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A423A" w14:textId="77777777" w:rsidR="000E306E" w:rsidRPr="00951523" w:rsidRDefault="000E306E" w:rsidP="000E306E">
      <w:pPr>
        <w:ind w:right="95"/>
        <w:jc w:val="center"/>
        <w:rPr>
          <w:rFonts w:ascii="Arial" w:hAnsi="Arial" w:cs="Arial"/>
          <w:b/>
          <w:sz w:val="24"/>
          <w:szCs w:val="24"/>
        </w:rPr>
      </w:pPr>
      <w:r w:rsidRPr="00951523">
        <w:rPr>
          <w:rFonts w:ascii="Arial" w:hAnsi="Arial" w:cs="Arial"/>
          <w:b/>
          <w:noProof/>
          <w:sz w:val="24"/>
          <w:szCs w:val="24"/>
          <w:lang w:val="en-US"/>
        </w:rPr>
        <w:drawing>
          <wp:inline distT="0" distB="0" distL="0" distR="0" wp14:anchorId="1F9C7F1B" wp14:editId="51C4E9ED">
            <wp:extent cx="1987550" cy="1652270"/>
            <wp:effectExtent l="0" t="0" r="0" b="508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p>
    <w:p w14:paraId="259B94F2" w14:textId="77777777" w:rsidR="000E306E" w:rsidRPr="00951523" w:rsidRDefault="000E306E" w:rsidP="000E306E">
      <w:pPr>
        <w:ind w:right="-613"/>
        <w:rPr>
          <w:rFonts w:ascii="Arial" w:hAnsi="Arial" w:cs="Arial"/>
          <w:b/>
          <w:sz w:val="24"/>
          <w:szCs w:val="24"/>
        </w:rPr>
      </w:pPr>
    </w:p>
    <w:p w14:paraId="7FB2A84E" w14:textId="77777777" w:rsidR="002450F7" w:rsidRPr="002322FF" w:rsidRDefault="002450F7" w:rsidP="002450F7">
      <w:pPr>
        <w:ind w:right="-613"/>
        <w:rPr>
          <w:rFonts w:ascii="Arial" w:hAnsi="Arial" w:cs="Arial"/>
          <w:b/>
          <w:sz w:val="24"/>
          <w:szCs w:val="24"/>
        </w:rPr>
      </w:pPr>
      <w:r>
        <w:rPr>
          <w:rFonts w:ascii="Arial" w:hAnsi="Arial" w:cs="Arial"/>
          <w:b/>
          <w:sz w:val="24"/>
          <w:szCs w:val="24"/>
        </w:rPr>
        <w:t xml:space="preserve">                                 </w:t>
      </w:r>
      <w:r w:rsidRPr="002322FF">
        <w:rPr>
          <w:rFonts w:ascii="Arial" w:hAnsi="Arial" w:cs="Arial"/>
          <w:b/>
          <w:sz w:val="24"/>
          <w:szCs w:val="24"/>
        </w:rPr>
        <w:t>IN THE HIGH COURT OF SOUTH AFRICA</w:t>
      </w:r>
      <w:r>
        <w:rPr>
          <w:rFonts w:ascii="Arial" w:hAnsi="Arial" w:cs="Arial"/>
          <w:b/>
          <w:sz w:val="24"/>
          <w:szCs w:val="24"/>
        </w:rPr>
        <w:t xml:space="preserve">            </w:t>
      </w:r>
      <w:r w:rsidRPr="001C7088">
        <w:rPr>
          <w:rFonts w:ascii="Times New Roman" w:hAnsi="Times New Roman" w:cs="Times New Roman"/>
          <w:b/>
          <w:sz w:val="28"/>
          <w:szCs w:val="28"/>
          <w:bdr w:val="single" w:sz="4" w:space="0" w:color="auto"/>
          <w:lang w:val="en-GB"/>
        </w:rPr>
        <w:t>REPORTABLE</w:t>
      </w:r>
    </w:p>
    <w:p w14:paraId="13C6514A" w14:textId="77777777" w:rsidR="000E306E" w:rsidRPr="00951523" w:rsidRDefault="000E306E" w:rsidP="000E306E">
      <w:pPr>
        <w:spacing w:line="600" w:lineRule="auto"/>
        <w:ind w:right="95"/>
        <w:jc w:val="center"/>
        <w:rPr>
          <w:rFonts w:ascii="Arial" w:hAnsi="Arial" w:cs="Arial"/>
          <w:b/>
          <w:sz w:val="24"/>
          <w:szCs w:val="24"/>
        </w:rPr>
      </w:pPr>
      <w:r w:rsidRPr="00951523">
        <w:rPr>
          <w:rFonts w:ascii="Arial" w:hAnsi="Arial" w:cs="Arial"/>
          <w:b/>
          <w:sz w:val="24"/>
          <w:szCs w:val="24"/>
        </w:rPr>
        <w:t>(EASTERN CAPE DIVISION, GQEBERHA)</w:t>
      </w:r>
    </w:p>
    <w:p w14:paraId="0D8F84BA" w14:textId="77777777" w:rsidR="000E306E" w:rsidRDefault="000E306E" w:rsidP="000E306E">
      <w:pPr>
        <w:jc w:val="right"/>
        <w:rPr>
          <w:rFonts w:ascii="Arial" w:hAnsi="Arial" w:cs="Arial"/>
          <w:b/>
          <w:sz w:val="24"/>
          <w:szCs w:val="24"/>
        </w:rPr>
      </w:pPr>
    </w:p>
    <w:p w14:paraId="55E382A0" w14:textId="77777777" w:rsidR="000E306E" w:rsidRDefault="000E306E" w:rsidP="000E306E">
      <w:pPr>
        <w:spacing w:after="0" w:line="360" w:lineRule="auto"/>
        <w:jc w:val="both"/>
        <w:rPr>
          <w:rFonts w:ascii="Arial" w:hAnsi="Arial" w:cs="Arial"/>
          <w:sz w:val="24"/>
          <w:szCs w:val="24"/>
        </w:rPr>
      </w:pPr>
      <w:r w:rsidRPr="002322FF">
        <w:rPr>
          <w:rFonts w:ascii="Arial" w:hAnsi="Arial" w:cs="Arial"/>
          <w:sz w:val="24"/>
          <w:szCs w:val="24"/>
        </w:rPr>
        <w:t>In the matter between:</w:t>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t xml:space="preserve">             </w:t>
      </w:r>
      <w:r>
        <w:rPr>
          <w:rFonts w:ascii="Arial" w:hAnsi="Arial" w:cs="Arial"/>
          <w:sz w:val="24"/>
          <w:szCs w:val="24"/>
        </w:rPr>
        <w:t xml:space="preserve">   </w:t>
      </w:r>
      <w:r w:rsidRPr="002322FF">
        <w:rPr>
          <w:rFonts w:ascii="Arial" w:hAnsi="Arial" w:cs="Arial"/>
          <w:sz w:val="24"/>
          <w:szCs w:val="24"/>
        </w:rPr>
        <w:t xml:space="preserve">Case No: </w:t>
      </w:r>
      <w:r>
        <w:rPr>
          <w:rFonts w:ascii="Arial" w:hAnsi="Arial" w:cs="Arial"/>
          <w:sz w:val="24"/>
          <w:szCs w:val="24"/>
        </w:rPr>
        <w:t>2806/2022</w:t>
      </w:r>
    </w:p>
    <w:p w14:paraId="141710AA" w14:textId="77777777" w:rsidR="000E306E" w:rsidRDefault="000E306E" w:rsidP="000E306E">
      <w:pPr>
        <w:spacing w:after="0" w:line="360" w:lineRule="auto"/>
        <w:jc w:val="both"/>
        <w:rPr>
          <w:rFonts w:ascii="Arial" w:hAnsi="Arial" w:cs="Arial"/>
          <w:b/>
          <w:bCs/>
          <w:sz w:val="24"/>
          <w:szCs w:val="24"/>
        </w:rPr>
      </w:pPr>
    </w:p>
    <w:p w14:paraId="53E709BF" w14:textId="77777777" w:rsidR="000E306E" w:rsidRDefault="000E306E" w:rsidP="000E306E">
      <w:pPr>
        <w:spacing w:after="0" w:line="360" w:lineRule="auto"/>
        <w:jc w:val="both"/>
        <w:rPr>
          <w:rFonts w:ascii="Arial" w:hAnsi="Arial" w:cs="Arial"/>
          <w:sz w:val="24"/>
          <w:szCs w:val="24"/>
        </w:rPr>
      </w:pPr>
      <w:r w:rsidRPr="002D7419">
        <w:rPr>
          <w:rFonts w:ascii="Arial" w:hAnsi="Arial" w:cs="Arial"/>
          <w:b/>
          <w:bCs/>
          <w:sz w:val="24"/>
          <w:szCs w:val="24"/>
        </w:rPr>
        <w:t>SPEC JOINT VENTURE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2D7419">
        <w:rPr>
          <w:rFonts w:ascii="Arial" w:hAnsi="Arial" w:cs="Arial"/>
          <w:sz w:val="24"/>
          <w:szCs w:val="24"/>
        </w:rPr>
        <w:t>Applicant</w:t>
      </w:r>
    </w:p>
    <w:p w14:paraId="616DC2DF" w14:textId="77777777" w:rsidR="000E306E" w:rsidRDefault="000E306E" w:rsidP="000E306E">
      <w:pPr>
        <w:spacing w:after="0" w:line="360" w:lineRule="auto"/>
        <w:jc w:val="both"/>
        <w:rPr>
          <w:rFonts w:ascii="Arial" w:hAnsi="Arial" w:cs="Arial"/>
          <w:sz w:val="24"/>
          <w:szCs w:val="24"/>
        </w:rPr>
      </w:pPr>
    </w:p>
    <w:p w14:paraId="4AD9C0B9" w14:textId="77777777" w:rsidR="000E306E" w:rsidRDefault="000E306E" w:rsidP="000E306E">
      <w:pPr>
        <w:spacing w:after="0" w:line="360" w:lineRule="auto"/>
        <w:jc w:val="both"/>
        <w:rPr>
          <w:rFonts w:ascii="Arial" w:hAnsi="Arial" w:cs="Arial"/>
          <w:sz w:val="24"/>
          <w:szCs w:val="24"/>
        </w:rPr>
      </w:pPr>
      <w:r>
        <w:rPr>
          <w:rFonts w:ascii="Arial" w:hAnsi="Arial" w:cs="Arial"/>
          <w:sz w:val="24"/>
          <w:szCs w:val="24"/>
        </w:rPr>
        <w:t>and</w:t>
      </w:r>
    </w:p>
    <w:p w14:paraId="1EC35FA3" w14:textId="77777777" w:rsidR="000E306E" w:rsidRDefault="000E306E" w:rsidP="000E306E">
      <w:pPr>
        <w:spacing w:after="0" w:line="360" w:lineRule="auto"/>
        <w:jc w:val="both"/>
        <w:rPr>
          <w:rFonts w:ascii="Arial" w:hAnsi="Arial" w:cs="Arial"/>
          <w:b/>
          <w:bCs/>
          <w:sz w:val="24"/>
          <w:szCs w:val="24"/>
        </w:rPr>
      </w:pPr>
    </w:p>
    <w:p w14:paraId="4838AF4E" w14:textId="77777777" w:rsidR="000E306E" w:rsidRPr="002D7419" w:rsidRDefault="000E306E" w:rsidP="000E306E">
      <w:pPr>
        <w:spacing w:after="0" w:line="360" w:lineRule="auto"/>
        <w:jc w:val="both"/>
        <w:rPr>
          <w:rFonts w:ascii="Arial" w:hAnsi="Arial" w:cs="Arial"/>
          <w:sz w:val="24"/>
          <w:szCs w:val="24"/>
        </w:rPr>
      </w:pPr>
      <w:r>
        <w:rPr>
          <w:rFonts w:ascii="Arial" w:hAnsi="Arial" w:cs="Arial"/>
          <w:b/>
          <w:bCs/>
          <w:sz w:val="24"/>
          <w:szCs w:val="24"/>
        </w:rPr>
        <w:t xml:space="preserve">THE MINISTER: DEPARTMENT OF WATER </w:t>
      </w:r>
      <w:r>
        <w:rPr>
          <w:rFonts w:ascii="Arial" w:hAnsi="Arial" w:cs="Arial"/>
          <w:sz w:val="24"/>
          <w:szCs w:val="24"/>
        </w:rPr>
        <w:t xml:space="preserve">                                         First Respondent</w:t>
      </w:r>
    </w:p>
    <w:p w14:paraId="41AA1AED" w14:textId="77777777" w:rsidR="000E306E" w:rsidRPr="002D7419" w:rsidRDefault="000E306E" w:rsidP="000E306E">
      <w:pPr>
        <w:spacing w:after="0" w:line="360" w:lineRule="auto"/>
        <w:jc w:val="both"/>
        <w:rPr>
          <w:rFonts w:ascii="Arial" w:hAnsi="Arial" w:cs="Arial"/>
          <w:b/>
          <w:bCs/>
          <w:sz w:val="24"/>
          <w:szCs w:val="24"/>
        </w:rPr>
      </w:pPr>
      <w:r>
        <w:rPr>
          <w:rFonts w:ascii="Arial" w:hAnsi="Arial" w:cs="Arial"/>
          <w:b/>
          <w:bCs/>
          <w:sz w:val="24"/>
          <w:szCs w:val="24"/>
        </w:rPr>
        <w:t>AND SANITATION</w:t>
      </w:r>
    </w:p>
    <w:p w14:paraId="35D7DCE6" w14:textId="77777777" w:rsidR="000E306E" w:rsidRDefault="000E306E" w:rsidP="000E306E">
      <w:pPr>
        <w:spacing w:after="0" w:line="360" w:lineRule="auto"/>
        <w:jc w:val="both"/>
        <w:rPr>
          <w:rFonts w:ascii="Arial" w:hAnsi="Arial" w:cs="Arial"/>
          <w:sz w:val="24"/>
          <w:szCs w:val="24"/>
        </w:rPr>
      </w:pPr>
    </w:p>
    <w:p w14:paraId="3542457D" w14:textId="77777777" w:rsidR="000E306E" w:rsidRPr="002D7419" w:rsidRDefault="000E306E" w:rsidP="000E306E">
      <w:pPr>
        <w:spacing w:after="0" w:line="360" w:lineRule="auto"/>
        <w:jc w:val="both"/>
        <w:rPr>
          <w:rFonts w:ascii="Arial" w:hAnsi="Arial" w:cs="Arial"/>
          <w:sz w:val="24"/>
          <w:szCs w:val="24"/>
        </w:rPr>
      </w:pPr>
      <w:r>
        <w:rPr>
          <w:rFonts w:ascii="Arial" w:hAnsi="Arial" w:cs="Arial"/>
          <w:b/>
          <w:bCs/>
          <w:sz w:val="24"/>
          <w:szCs w:val="24"/>
        </w:rPr>
        <w:t xml:space="preserve">ZANA MANZI SERVICES (PTY) LTD </w:t>
      </w:r>
      <w:r>
        <w:rPr>
          <w:rFonts w:ascii="Arial" w:hAnsi="Arial" w:cs="Arial"/>
          <w:sz w:val="24"/>
          <w:szCs w:val="24"/>
        </w:rPr>
        <w:t xml:space="preserve">                                            Second Respondent</w:t>
      </w:r>
    </w:p>
    <w:p w14:paraId="4A708F65" w14:textId="77777777" w:rsidR="000E306E" w:rsidRDefault="000E306E" w:rsidP="000E306E">
      <w:pPr>
        <w:spacing w:after="0" w:line="360" w:lineRule="auto"/>
        <w:jc w:val="both"/>
        <w:rPr>
          <w:rFonts w:ascii="Arial" w:hAnsi="Arial" w:cs="Arial"/>
          <w:b/>
          <w:bCs/>
          <w:sz w:val="24"/>
          <w:szCs w:val="24"/>
        </w:rPr>
      </w:pPr>
      <w:r>
        <w:rPr>
          <w:rFonts w:ascii="Arial" w:hAnsi="Arial" w:cs="Arial"/>
          <w:b/>
          <w:bCs/>
          <w:sz w:val="24"/>
          <w:szCs w:val="24"/>
        </w:rPr>
        <w:t>AND SANITATION</w:t>
      </w:r>
    </w:p>
    <w:p w14:paraId="5B39FE5D" w14:textId="77777777" w:rsidR="000E306E" w:rsidRPr="002D7419" w:rsidRDefault="000E306E" w:rsidP="000E306E">
      <w:pPr>
        <w:spacing w:after="0" w:line="360" w:lineRule="auto"/>
        <w:jc w:val="both"/>
        <w:rPr>
          <w:rFonts w:ascii="Arial" w:hAnsi="Arial" w:cs="Arial"/>
          <w:sz w:val="24"/>
          <w:szCs w:val="24"/>
        </w:rPr>
      </w:pPr>
      <w:r w:rsidRPr="002D7419">
        <w:rPr>
          <w:rFonts w:ascii="Arial" w:hAnsi="Arial" w:cs="Arial"/>
          <w:sz w:val="24"/>
          <w:szCs w:val="24"/>
        </w:rPr>
        <w:t>(Registration number</w:t>
      </w:r>
      <w:r>
        <w:rPr>
          <w:rFonts w:ascii="Arial" w:hAnsi="Arial" w:cs="Arial"/>
          <w:sz w:val="24"/>
          <w:szCs w:val="24"/>
        </w:rPr>
        <w:t>:</w:t>
      </w:r>
      <w:r w:rsidRPr="002D7419">
        <w:rPr>
          <w:rFonts w:ascii="Arial" w:hAnsi="Arial" w:cs="Arial"/>
          <w:sz w:val="24"/>
          <w:szCs w:val="24"/>
        </w:rPr>
        <w:t xml:space="preserve"> 2004/02899/07)</w:t>
      </w:r>
    </w:p>
    <w:p w14:paraId="5AE02C78" w14:textId="77777777" w:rsidR="000E306E" w:rsidRPr="002D7419" w:rsidRDefault="000E306E" w:rsidP="000E306E">
      <w:pPr>
        <w:spacing w:after="0" w:line="360" w:lineRule="auto"/>
        <w:jc w:val="both"/>
        <w:rPr>
          <w:rFonts w:ascii="Arial" w:hAnsi="Arial" w:cs="Arial"/>
          <w:b/>
          <w:bCs/>
          <w:sz w:val="24"/>
          <w:szCs w:val="24"/>
        </w:rPr>
      </w:pPr>
    </w:p>
    <w:p w14:paraId="6516ED01" w14:textId="77777777" w:rsidR="000E306E" w:rsidRDefault="000E306E" w:rsidP="000E306E">
      <w:pPr>
        <w:spacing w:after="0" w:line="360" w:lineRule="auto"/>
        <w:jc w:val="both"/>
        <w:rPr>
          <w:rFonts w:ascii="Arial" w:hAnsi="Arial" w:cs="Arial"/>
          <w:sz w:val="24"/>
          <w:szCs w:val="24"/>
        </w:rPr>
      </w:pPr>
      <w:r>
        <w:rPr>
          <w:rFonts w:ascii="Arial" w:hAnsi="Arial" w:cs="Arial"/>
          <w:b/>
          <w:bCs/>
          <w:sz w:val="24"/>
          <w:szCs w:val="24"/>
        </w:rPr>
        <w:t xml:space="preserve">PHUNYA CONSULTING CC </w:t>
      </w:r>
      <w:r>
        <w:rPr>
          <w:rFonts w:ascii="Arial" w:hAnsi="Arial" w:cs="Arial"/>
          <w:sz w:val="24"/>
          <w:szCs w:val="24"/>
        </w:rPr>
        <w:t xml:space="preserve">                                                              Third Respondent</w:t>
      </w:r>
    </w:p>
    <w:p w14:paraId="267D6AB6" w14:textId="5C4A07CA" w:rsidR="000E306E" w:rsidRPr="000E306E" w:rsidRDefault="000E306E" w:rsidP="000E306E">
      <w:pPr>
        <w:rPr>
          <w:rFonts w:ascii="Arial" w:hAnsi="Arial" w:cs="Arial"/>
          <w:b/>
          <w:sz w:val="24"/>
          <w:szCs w:val="24"/>
        </w:rPr>
      </w:pPr>
      <w:r>
        <w:rPr>
          <w:rFonts w:ascii="Arial" w:hAnsi="Arial" w:cs="Arial"/>
          <w:sz w:val="24"/>
          <w:szCs w:val="24"/>
        </w:rPr>
        <w:t>(Registration number: 2003/101158/23)</w:t>
      </w:r>
      <w:r w:rsidRPr="00951523">
        <w:rPr>
          <w:rFonts w:ascii="Arial" w:hAnsi="Arial" w:cs="Arial"/>
          <w:b/>
          <w:sz w:val="24"/>
          <w:szCs w:val="24"/>
        </w:rPr>
        <w:tab/>
      </w:r>
      <w:r w:rsidRPr="00951523">
        <w:rPr>
          <w:rFonts w:ascii="Arial" w:hAnsi="Arial" w:cs="Arial"/>
          <w:b/>
          <w:sz w:val="24"/>
          <w:szCs w:val="24"/>
        </w:rPr>
        <w:tab/>
      </w:r>
      <w:r w:rsidRPr="00951523">
        <w:rPr>
          <w:rFonts w:ascii="Arial" w:hAnsi="Arial" w:cs="Arial"/>
          <w:b/>
          <w:sz w:val="24"/>
          <w:szCs w:val="24"/>
        </w:rPr>
        <w:tab/>
      </w:r>
      <w:r w:rsidRPr="00951523">
        <w:rPr>
          <w:rFonts w:ascii="Arial" w:hAnsi="Arial" w:cs="Arial"/>
          <w:b/>
          <w:sz w:val="24"/>
          <w:szCs w:val="24"/>
        </w:rPr>
        <w:tab/>
      </w:r>
      <w:r w:rsidRPr="00951523">
        <w:rPr>
          <w:rFonts w:ascii="Arial" w:hAnsi="Arial" w:cs="Arial"/>
          <w:b/>
          <w:sz w:val="24"/>
          <w:szCs w:val="24"/>
        </w:rPr>
        <w:tab/>
      </w:r>
      <w:r w:rsidRPr="00951523">
        <w:rPr>
          <w:rFonts w:ascii="Arial" w:hAnsi="Arial" w:cs="Arial"/>
          <w:b/>
          <w:sz w:val="24"/>
          <w:szCs w:val="24"/>
        </w:rPr>
        <w:tab/>
      </w:r>
    </w:p>
    <w:p w14:paraId="34739272" w14:textId="77777777" w:rsidR="000E306E" w:rsidRPr="00951523" w:rsidRDefault="000E306E" w:rsidP="000E306E">
      <w:pPr>
        <w:pStyle w:val="GW13"/>
        <w:tabs>
          <w:tab w:val="clear" w:pos="8640"/>
          <w:tab w:val="right" w:pos="9072"/>
        </w:tabs>
        <w:spacing w:line="240" w:lineRule="auto"/>
        <w:ind w:right="-45"/>
        <w:rPr>
          <w:rFonts w:ascii="Arial" w:hAnsi="Arial" w:cs="Arial"/>
          <w:b/>
          <w:szCs w:val="24"/>
        </w:rPr>
      </w:pPr>
      <w:r w:rsidRPr="00951523">
        <w:rPr>
          <w:rFonts w:ascii="Arial" w:hAnsi="Arial" w:cs="Arial"/>
          <w:b/>
          <w:szCs w:val="24"/>
        </w:rPr>
        <w:t>___________________________________________________________________</w:t>
      </w:r>
    </w:p>
    <w:p w14:paraId="50C60072" w14:textId="77777777" w:rsidR="000E306E" w:rsidRPr="00951523" w:rsidRDefault="000E306E" w:rsidP="000E306E">
      <w:pPr>
        <w:pStyle w:val="GW13"/>
        <w:tabs>
          <w:tab w:val="clear" w:pos="8640"/>
        </w:tabs>
        <w:spacing w:line="240" w:lineRule="auto"/>
        <w:ind w:right="-45"/>
        <w:jc w:val="center"/>
        <w:rPr>
          <w:rFonts w:ascii="Arial" w:hAnsi="Arial" w:cs="Arial"/>
          <w:b/>
          <w:szCs w:val="24"/>
        </w:rPr>
      </w:pPr>
    </w:p>
    <w:p w14:paraId="570BF7DE" w14:textId="307763C5" w:rsidR="000E306E" w:rsidRPr="00951523" w:rsidRDefault="000E306E" w:rsidP="000E306E">
      <w:pPr>
        <w:pStyle w:val="GW13"/>
        <w:tabs>
          <w:tab w:val="clear" w:pos="8640"/>
          <w:tab w:val="right" w:pos="9072"/>
        </w:tabs>
        <w:spacing w:line="240" w:lineRule="auto"/>
        <w:ind w:right="-45"/>
        <w:jc w:val="center"/>
        <w:rPr>
          <w:rFonts w:ascii="Arial" w:hAnsi="Arial" w:cs="Arial"/>
          <w:b/>
          <w:szCs w:val="24"/>
        </w:rPr>
      </w:pPr>
      <w:r>
        <w:rPr>
          <w:rFonts w:ascii="Arial" w:hAnsi="Arial" w:cs="Arial"/>
          <w:b/>
          <w:szCs w:val="24"/>
        </w:rPr>
        <w:t xml:space="preserve">REASONS FOR </w:t>
      </w:r>
      <w:r w:rsidRPr="00951523">
        <w:rPr>
          <w:rFonts w:ascii="Arial" w:hAnsi="Arial" w:cs="Arial"/>
          <w:b/>
          <w:szCs w:val="24"/>
        </w:rPr>
        <w:t>JUDGMENT</w:t>
      </w:r>
    </w:p>
    <w:p w14:paraId="0130F36B" w14:textId="77777777" w:rsidR="000E306E" w:rsidRPr="00951523" w:rsidRDefault="000E306E" w:rsidP="000E306E">
      <w:pPr>
        <w:pStyle w:val="GW13"/>
        <w:tabs>
          <w:tab w:val="clear" w:pos="8640"/>
          <w:tab w:val="right" w:pos="9072"/>
        </w:tabs>
        <w:spacing w:line="240" w:lineRule="auto"/>
        <w:ind w:right="-45"/>
        <w:jc w:val="center"/>
        <w:rPr>
          <w:rFonts w:ascii="Arial" w:hAnsi="Arial" w:cs="Arial"/>
          <w:b/>
          <w:szCs w:val="24"/>
        </w:rPr>
      </w:pPr>
      <w:r w:rsidRPr="00951523">
        <w:rPr>
          <w:rFonts w:ascii="Arial" w:hAnsi="Arial" w:cs="Arial"/>
          <w:b/>
          <w:szCs w:val="24"/>
        </w:rPr>
        <w:t>___________________________________________________________________</w:t>
      </w:r>
    </w:p>
    <w:p w14:paraId="4DF6F556" w14:textId="77777777" w:rsidR="000E306E" w:rsidRPr="00951523" w:rsidRDefault="000E306E" w:rsidP="000E306E">
      <w:pPr>
        <w:pStyle w:val="GW13"/>
        <w:tabs>
          <w:tab w:val="clear" w:pos="8640"/>
          <w:tab w:val="right" w:pos="9072"/>
        </w:tabs>
        <w:spacing w:line="480" w:lineRule="auto"/>
        <w:ind w:right="-46"/>
        <w:rPr>
          <w:rFonts w:ascii="Arial" w:hAnsi="Arial" w:cs="Arial"/>
          <w:b/>
          <w:szCs w:val="24"/>
        </w:rPr>
      </w:pPr>
    </w:p>
    <w:p w14:paraId="162EB731" w14:textId="77777777" w:rsidR="000E306E" w:rsidRPr="00951523" w:rsidRDefault="000E306E" w:rsidP="000E306E">
      <w:pPr>
        <w:pStyle w:val="GW13"/>
        <w:tabs>
          <w:tab w:val="clear" w:pos="8640"/>
          <w:tab w:val="right" w:pos="9072"/>
        </w:tabs>
        <w:spacing w:line="480" w:lineRule="auto"/>
        <w:ind w:right="-46"/>
        <w:rPr>
          <w:rFonts w:ascii="Arial" w:hAnsi="Arial" w:cs="Arial"/>
          <w:b/>
          <w:szCs w:val="24"/>
          <w:u w:val="single"/>
        </w:rPr>
      </w:pPr>
      <w:r w:rsidRPr="00951523">
        <w:rPr>
          <w:rFonts w:ascii="Arial" w:hAnsi="Arial" w:cs="Arial"/>
          <w:b/>
          <w:szCs w:val="24"/>
          <w:u w:val="single"/>
        </w:rPr>
        <w:t>BANDS AJ:</w:t>
      </w:r>
    </w:p>
    <w:p w14:paraId="193694AA" w14:textId="46663911" w:rsidR="000E306E" w:rsidRDefault="000E306E" w:rsidP="00631512">
      <w:pPr>
        <w:spacing w:after="0" w:line="480" w:lineRule="auto"/>
        <w:jc w:val="both"/>
        <w:rPr>
          <w:rFonts w:ascii="Arial" w:hAnsi="Arial" w:cs="Arial"/>
          <w:sz w:val="24"/>
          <w:szCs w:val="24"/>
        </w:rPr>
      </w:pPr>
    </w:p>
    <w:p w14:paraId="64A992C8" w14:textId="3787FC36" w:rsidR="00AC07AD"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lastRenderedPageBreak/>
        <w:t>[1</w:t>
      </w:r>
      <w:bookmarkStart w:id="0" w:name="_GoBack"/>
      <w:bookmarkEnd w:id="0"/>
      <w:r>
        <w:rPr>
          <w:rFonts w:ascii="Arial" w:hAnsi="Arial" w:cs="Arial"/>
        </w:rPr>
        <w:t>]</w:t>
      </w:r>
      <w:r>
        <w:rPr>
          <w:rFonts w:ascii="Arial" w:hAnsi="Arial" w:cs="Arial"/>
        </w:rPr>
        <w:tab/>
      </w:r>
      <w:r w:rsidR="00473127" w:rsidRPr="00473127">
        <w:rPr>
          <w:rFonts w:ascii="Arial" w:hAnsi="Arial" w:cs="Arial"/>
        </w:rPr>
        <w:t xml:space="preserve">The applicant applied for the review and setting aside of decisions by the </w:t>
      </w:r>
      <w:r w:rsidR="00473127">
        <w:rPr>
          <w:rFonts w:ascii="Arial" w:hAnsi="Arial" w:cs="Arial"/>
        </w:rPr>
        <w:t xml:space="preserve">first respondent to </w:t>
      </w:r>
      <w:r w:rsidR="00473127" w:rsidRPr="00473127">
        <w:rPr>
          <w:rFonts w:ascii="Arial" w:hAnsi="Arial" w:cs="Arial"/>
        </w:rPr>
        <w:t xml:space="preserve">award </w:t>
      </w:r>
      <w:r w:rsidR="00AC07AD">
        <w:rPr>
          <w:rFonts w:ascii="Arial" w:hAnsi="Arial" w:cs="Arial"/>
        </w:rPr>
        <w:t>tender BID DWS 05-0621 WTE</w:t>
      </w:r>
      <w:r w:rsidR="00473127" w:rsidRPr="00473127">
        <w:rPr>
          <w:rFonts w:ascii="Arial" w:hAnsi="Arial" w:cs="Arial"/>
        </w:rPr>
        <w:t xml:space="preserve"> </w:t>
      </w:r>
      <w:r w:rsidR="008312CD">
        <w:rPr>
          <w:rFonts w:ascii="Arial" w:hAnsi="Arial" w:cs="Arial"/>
        </w:rPr>
        <w:t xml:space="preserve">for </w:t>
      </w:r>
      <w:r w:rsidR="00AC07AD" w:rsidRPr="00473127">
        <w:rPr>
          <w:rFonts w:ascii="Arial" w:hAnsi="Arial" w:cs="Arial"/>
        </w:rPr>
        <w:t>the mechanical and other related major plant and machinery installation, maintenance, repair, refurbishment and upgrade for southern operations</w:t>
      </w:r>
      <w:r w:rsidR="00AC07AD">
        <w:rPr>
          <w:rFonts w:ascii="Arial" w:hAnsi="Arial" w:cs="Arial"/>
        </w:rPr>
        <w:t xml:space="preserve"> in the Eastern and Western Cape</w:t>
      </w:r>
      <w:r w:rsidR="00AC07AD" w:rsidRPr="00473127">
        <w:rPr>
          <w:rFonts w:ascii="Arial" w:hAnsi="Arial" w:cs="Arial"/>
        </w:rPr>
        <w:t xml:space="preserve"> </w:t>
      </w:r>
      <w:r w:rsidR="00473127" w:rsidRPr="00473127">
        <w:rPr>
          <w:rFonts w:ascii="Arial" w:hAnsi="Arial" w:cs="Arial"/>
        </w:rPr>
        <w:t xml:space="preserve">to the </w:t>
      </w:r>
      <w:r w:rsidR="00473127">
        <w:rPr>
          <w:rFonts w:ascii="Arial" w:hAnsi="Arial" w:cs="Arial"/>
        </w:rPr>
        <w:t>second and third respondents</w:t>
      </w:r>
      <w:r w:rsidR="00AC07AD">
        <w:rPr>
          <w:rFonts w:ascii="Arial" w:hAnsi="Arial" w:cs="Arial"/>
        </w:rPr>
        <w:t>, respectively</w:t>
      </w:r>
      <w:r w:rsidR="00473127">
        <w:rPr>
          <w:rFonts w:ascii="Arial" w:hAnsi="Arial" w:cs="Arial"/>
        </w:rPr>
        <w:t>.  The</w:t>
      </w:r>
      <w:r w:rsidR="00AC07AD">
        <w:rPr>
          <w:rFonts w:ascii="Arial" w:hAnsi="Arial" w:cs="Arial"/>
        </w:rPr>
        <w:t xml:space="preserve"> Eastern Cape portion of the tender was awarded to the second respondent</w:t>
      </w:r>
      <w:r w:rsidR="005E6790">
        <w:rPr>
          <w:rFonts w:ascii="Arial" w:hAnsi="Arial" w:cs="Arial"/>
        </w:rPr>
        <w:t xml:space="preserve"> on 21 June 2022</w:t>
      </w:r>
      <w:r w:rsidR="00AC07AD">
        <w:rPr>
          <w:rFonts w:ascii="Arial" w:hAnsi="Arial" w:cs="Arial"/>
        </w:rPr>
        <w:t>, whilst the Western Cape portion was awarded to both the second and third respondents</w:t>
      </w:r>
      <w:r w:rsidR="005E6790">
        <w:rPr>
          <w:rFonts w:ascii="Arial" w:hAnsi="Arial" w:cs="Arial"/>
        </w:rPr>
        <w:t xml:space="preserve"> on 29 September 2022</w:t>
      </w:r>
      <w:r w:rsidR="00AC07AD">
        <w:rPr>
          <w:rFonts w:ascii="Arial" w:hAnsi="Arial" w:cs="Arial"/>
        </w:rPr>
        <w:t>.</w:t>
      </w:r>
    </w:p>
    <w:p w14:paraId="7DBEFAAF" w14:textId="3DD97229" w:rsidR="00AC07AD" w:rsidRDefault="00AC07AD" w:rsidP="0017412B">
      <w:pPr>
        <w:pStyle w:val="NormalWeb"/>
        <w:shd w:val="clear" w:color="auto" w:fill="FFFFFF"/>
        <w:spacing w:before="0" w:beforeAutospacing="0" w:after="0" w:afterAutospacing="0" w:line="480" w:lineRule="auto"/>
        <w:ind w:left="851" w:right="259"/>
        <w:jc w:val="both"/>
        <w:rPr>
          <w:rFonts w:ascii="Arial" w:hAnsi="Arial" w:cs="Arial"/>
        </w:rPr>
      </w:pPr>
    </w:p>
    <w:p w14:paraId="66C50734" w14:textId="73B9BCAC" w:rsidR="00D56AF9" w:rsidRPr="00990245"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sidRPr="00990245">
        <w:rPr>
          <w:rFonts w:ascii="Arial" w:hAnsi="Arial" w:cs="Arial"/>
        </w:rPr>
        <w:t>[2]</w:t>
      </w:r>
      <w:r w:rsidRPr="00990245">
        <w:rPr>
          <w:rFonts w:ascii="Arial" w:hAnsi="Arial" w:cs="Arial"/>
        </w:rPr>
        <w:tab/>
      </w:r>
      <w:r w:rsidR="00D56AF9">
        <w:rPr>
          <w:rFonts w:ascii="Arial" w:hAnsi="Arial" w:cs="Arial"/>
        </w:rPr>
        <w:t>It is common cause that the evaluation and award of the tender in question is administrative action and is reviewable under the Promotion of Administrative Justice Act, 3 of 2000 (“</w:t>
      </w:r>
      <w:r w:rsidR="00D56AF9" w:rsidRPr="00990245">
        <w:rPr>
          <w:rFonts w:ascii="Arial" w:hAnsi="Arial" w:cs="Arial"/>
          <w:i/>
          <w:iCs/>
        </w:rPr>
        <w:t>PAJA</w:t>
      </w:r>
      <w:r w:rsidR="00D56AF9">
        <w:rPr>
          <w:rFonts w:ascii="Arial" w:hAnsi="Arial" w:cs="Arial"/>
        </w:rPr>
        <w:t>”).</w:t>
      </w:r>
    </w:p>
    <w:p w14:paraId="2FB24696" w14:textId="77777777" w:rsidR="00D56AF9" w:rsidRDefault="00D56AF9" w:rsidP="0017412B">
      <w:pPr>
        <w:pStyle w:val="ListParagraph"/>
        <w:spacing w:after="0" w:line="480" w:lineRule="auto"/>
        <w:rPr>
          <w:rFonts w:ascii="Arial" w:hAnsi="Arial" w:cs="Arial"/>
          <w:lang w:val="en-US"/>
        </w:rPr>
      </w:pPr>
    </w:p>
    <w:p w14:paraId="201F30B7" w14:textId="7DE92191" w:rsidR="00543CE8" w:rsidRPr="00BB69A0"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sidRPr="00BB69A0">
        <w:rPr>
          <w:rFonts w:ascii="Arial" w:hAnsi="Arial" w:cs="Arial"/>
        </w:rPr>
        <w:t>[3]</w:t>
      </w:r>
      <w:r w:rsidRPr="00BB69A0">
        <w:rPr>
          <w:rFonts w:ascii="Arial" w:hAnsi="Arial" w:cs="Arial"/>
        </w:rPr>
        <w:tab/>
      </w:r>
      <w:r w:rsidR="00423DBD">
        <w:rPr>
          <w:rFonts w:ascii="Arial" w:hAnsi="Arial" w:cs="Arial"/>
        </w:rPr>
        <w:t>On 2 February 2023, I granted</w:t>
      </w:r>
      <w:r w:rsidR="00BB69A0">
        <w:rPr>
          <w:rFonts w:ascii="Arial" w:hAnsi="Arial" w:cs="Arial"/>
        </w:rPr>
        <w:t xml:space="preserve"> an order reviewing and setting aside the </w:t>
      </w:r>
      <w:r w:rsidR="002B39FF">
        <w:rPr>
          <w:rFonts w:ascii="Arial" w:hAnsi="Arial" w:cs="Arial"/>
        </w:rPr>
        <w:t>impugned</w:t>
      </w:r>
      <w:r w:rsidR="00BB69A0">
        <w:rPr>
          <w:rFonts w:ascii="Arial" w:hAnsi="Arial" w:cs="Arial"/>
        </w:rPr>
        <w:t xml:space="preserve"> decisions and remitting the matter back to the first respondent to start the procurement process afresh.</w:t>
      </w:r>
      <w:r w:rsidR="00BB69A0">
        <w:rPr>
          <w:rStyle w:val="FootnoteReference"/>
          <w:rFonts w:ascii="Arial" w:hAnsi="Arial" w:cs="Arial"/>
        </w:rPr>
        <w:footnoteReference w:id="1"/>
      </w:r>
      <w:r w:rsidR="00BB69A0">
        <w:rPr>
          <w:rFonts w:ascii="Arial" w:hAnsi="Arial" w:cs="Arial"/>
        </w:rPr>
        <w:t xml:space="preserve"> </w:t>
      </w:r>
      <w:r w:rsidR="00423DBD">
        <w:rPr>
          <w:rFonts w:ascii="Arial" w:hAnsi="Arial" w:cs="Arial"/>
        </w:rPr>
        <w:t xml:space="preserve"> </w:t>
      </w:r>
      <w:r w:rsidR="00543CE8" w:rsidRPr="00BB69A0">
        <w:rPr>
          <w:rFonts w:ascii="Arial" w:hAnsi="Arial" w:cs="Arial"/>
        </w:rPr>
        <w:t xml:space="preserve">What follows are </w:t>
      </w:r>
      <w:r w:rsidR="00BB69A0">
        <w:rPr>
          <w:rFonts w:ascii="Arial" w:hAnsi="Arial" w:cs="Arial"/>
        </w:rPr>
        <w:t>my reasons for the order.</w:t>
      </w:r>
    </w:p>
    <w:p w14:paraId="067F0E8D" w14:textId="701C0498" w:rsidR="00A152BC" w:rsidRPr="00A152BC"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sidRPr="00A152BC">
        <w:rPr>
          <w:rFonts w:ascii="Arial" w:hAnsi="Arial" w:cs="Arial"/>
        </w:rPr>
        <w:lastRenderedPageBreak/>
        <w:t>[4]</w:t>
      </w:r>
      <w:r w:rsidRPr="00A152BC">
        <w:rPr>
          <w:rFonts w:ascii="Arial" w:hAnsi="Arial" w:cs="Arial"/>
        </w:rPr>
        <w:tab/>
      </w:r>
      <w:r w:rsidR="00F533E9">
        <w:rPr>
          <w:rFonts w:ascii="Arial" w:hAnsi="Arial" w:cs="Arial"/>
        </w:rPr>
        <w:t xml:space="preserve">The facts are largely common cause.  </w:t>
      </w:r>
      <w:r w:rsidR="00F533E9" w:rsidRPr="00A152BC">
        <w:rPr>
          <w:rFonts w:ascii="Arial" w:hAnsi="Arial" w:cs="Arial"/>
        </w:rPr>
        <w:t xml:space="preserve">The first respondent invited interested parties to tender for the appointment of contractors relating to a three-year term contract </w:t>
      </w:r>
      <w:r w:rsidR="002555CC" w:rsidRPr="00A152BC">
        <w:rPr>
          <w:rFonts w:ascii="Arial" w:hAnsi="Arial" w:cs="Arial"/>
        </w:rPr>
        <w:t xml:space="preserve">for </w:t>
      </w:r>
      <w:r w:rsidR="00F533E9" w:rsidRPr="00A152BC">
        <w:rPr>
          <w:rFonts w:ascii="Arial" w:hAnsi="Arial" w:cs="Arial"/>
        </w:rPr>
        <w:t xml:space="preserve">the services referred to above.  </w:t>
      </w:r>
    </w:p>
    <w:p w14:paraId="117CF276" w14:textId="77777777" w:rsidR="00F923A5" w:rsidRDefault="00F923A5" w:rsidP="00F923A5">
      <w:pPr>
        <w:pStyle w:val="NormalWeb"/>
        <w:shd w:val="clear" w:color="auto" w:fill="FFFFFF"/>
        <w:spacing w:before="0" w:beforeAutospacing="0" w:after="0" w:afterAutospacing="0" w:line="480" w:lineRule="auto"/>
        <w:ind w:left="851" w:right="259"/>
        <w:jc w:val="both"/>
        <w:rPr>
          <w:rFonts w:ascii="Arial" w:hAnsi="Arial" w:cs="Arial"/>
        </w:rPr>
      </w:pPr>
    </w:p>
    <w:p w14:paraId="534E5D32" w14:textId="0F45495C" w:rsidR="002555CC"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[5]</w:t>
      </w:r>
      <w:r>
        <w:rPr>
          <w:rFonts w:ascii="Arial" w:hAnsi="Arial" w:cs="Arial"/>
        </w:rPr>
        <w:tab/>
      </w:r>
      <w:r w:rsidR="00F533E9">
        <w:rPr>
          <w:rFonts w:ascii="Arial" w:hAnsi="Arial" w:cs="Arial"/>
        </w:rPr>
        <w:t>Pursuant to this invitation, and following mandatory briefing sessions, which were held on 13 and 15 July 2021,</w:t>
      </w:r>
      <w:r w:rsidR="002555CC">
        <w:rPr>
          <w:rStyle w:val="FootnoteReference"/>
          <w:rFonts w:ascii="Arial" w:hAnsi="Arial" w:cs="Arial"/>
        </w:rPr>
        <w:footnoteReference w:id="2"/>
      </w:r>
      <w:r w:rsidR="00F533E9">
        <w:rPr>
          <w:rFonts w:ascii="Arial" w:hAnsi="Arial" w:cs="Arial"/>
        </w:rPr>
        <w:t xml:space="preserve"> </w:t>
      </w:r>
      <w:r w:rsidR="002555CC">
        <w:rPr>
          <w:rFonts w:ascii="Arial" w:hAnsi="Arial" w:cs="Arial"/>
        </w:rPr>
        <w:t>23 tenders were submitted, including tenders from the applicant and the second and third respondents</w:t>
      </w:r>
      <w:r w:rsidR="005F3E37">
        <w:rPr>
          <w:rFonts w:ascii="Arial" w:hAnsi="Arial" w:cs="Arial"/>
        </w:rPr>
        <w:t xml:space="preserve"> respectively</w:t>
      </w:r>
      <w:r w:rsidR="002555CC">
        <w:rPr>
          <w:rFonts w:ascii="Arial" w:hAnsi="Arial" w:cs="Arial"/>
        </w:rPr>
        <w:t>.</w:t>
      </w:r>
      <w:r w:rsidR="00E31798">
        <w:rPr>
          <w:rFonts w:ascii="Arial" w:hAnsi="Arial" w:cs="Arial"/>
        </w:rPr>
        <w:t xml:space="preserve">  The tender evaluation process comprised of seven phases, including: mandatory requirements; compulsory subcontracting;</w:t>
      </w:r>
      <w:r w:rsidR="00AD13EC">
        <w:rPr>
          <w:rFonts w:ascii="Arial" w:hAnsi="Arial" w:cs="Arial"/>
        </w:rPr>
        <w:t xml:space="preserve"> administrative compliance; local production and content; functionality compliance; workshop evaluation; and price and preference points claimed.</w:t>
      </w:r>
      <w:r w:rsidR="002555CC">
        <w:rPr>
          <w:rFonts w:ascii="Arial" w:hAnsi="Arial" w:cs="Arial"/>
        </w:rPr>
        <w:t xml:space="preserve">  </w:t>
      </w:r>
    </w:p>
    <w:p w14:paraId="005A2461" w14:textId="77777777" w:rsidR="002555CC" w:rsidRDefault="002555CC" w:rsidP="0017412B">
      <w:pPr>
        <w:pStyle w:val="ListParagraph"/>
        <w:spacing w:after="0" w:line="480" w:lineRule="auto"/>
        <w:rPr>
          <w:rFonts w:ascii="Arial" w:hAnsi="Arial" w:cs="Arial"/>
        </w:rPr>
      </w:pPr>
    </w:p>
    <w:p w14:paraId="72CFCEAF" w14:textId="2C0D24B0" w:rsidR="005F3E37"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[6]</w:t>
      </w:r>
      <w:r>
        <w:rPr>
          <w:rFonts w:ascii="Arial" w:hAnsi="Arial" w:cs="Arial"/>
        </w:rPr>
        <w:tab/>
      </w:r>
      <w:r w:rsidR="0026438E">
        <w:rPr>
          <w:rFonts w:ascii="Arial" w:hAnsi="Arial" w:cs="Arial"/>
        </w:rPr>
        <w:t xml:space="preserve">It is common cause that the applicant’s bid, being that of a </w:t>
      </w:r>
      <w:r w:rsidR="00F533E9" w:rsidRPr="008F31F2">
        <w:rPr>
          <w:rFonts w:ascii="Arial" w:hAnsi="Arial" w:cs="Arial"/>
        </w:rPr>
        <w:t>joint venture between three separate entities, namely, (i) Surface Preparations Equipment and Coatings (Pty) Ltd, the lead partner; (ii) SPEC Hardware (Pty) Ltd; and (iii) SPEC Corrosion Protection (Pty) Ltd</w:t>
      </w:r>
      <w:r w:rsidR="0026438E">
        <w:rPr>
          <w:rFonts w:ascii="Arial" w:hAnsi="Arial" w:cs="Arial"/>
        </w:rPr>
        <w:t xml:space="preserve">, </w:t>
      </w:r>
      <w:r w:rsidR="005F3E37" w:rsidRPr="005F3E37">
        <w:rPr>
          <w:rFonts w:ascii="Arial" w:hAnsi="Arial" w:cs="Arial"/>
        </w:rPr>
        <w:t>had to be materially evaluated in the context of the applicant’s lead entity’s compliance with</w:t>
      </w:r>
      <w:r w:rsidR="0026438E">
        <w:rPr>
          <w:rFonts w:ascii="Arial" w:hAnsi="Arial" w:cs="Arial"/>
        </w:rPr>
        <w:t xml:space="preserve"> the</w:t>
      </w:r>
      <w:r w:rsidR="005F3E37" w:rsidRPr="005F3E37">
        <w:rPr>
          <w:rFonts w:ascii="Arial" w:hAnsi="Arial" w:cs="Arial"/>
        </w:rPr>
        <w:t xml:space="preserve"> mandatory</w:t>
      </w:r>
      <w:r w:rsidR="001829C4">
        <w:rPr>
          <w:rFonts w:ascii="Arial" w:hAnsi="Arial" w:cs="Arial"/>
        </w:rPr>
        <w:t xml:space="preserve"> tender</w:t>
      </w:r>
      <w:r w:rsidR="005F3E37" w:rsidRPr="005F3E37">
        <w:rPr>
          <w:rFonts w:ascii="Arial" w:hAnsi="Arial" w:cs="Arial"/>
        </w:rPr>
        <w:t xml:space="preserve"> requirements. </w:t>
      </w:r>
      <w:r w:rsidR="00102829">
        <w:rPr>
          <w:rFonts w:ascii="Arial" w:hAnsi="Arial" w:cs="Arial"/>
        </w:rPr>
        <w:t xml:space="preserve"> In order to establish whether </w:t>
      </w:r>
      <w:r w:rsidR="008C0FD0">
        <w:rPr>
          <w:rFonts w:ascii="Arial" w:hAnsi="Arial" w:cs="Arial"/>
        </w:rPr>
        <w:t>or not there had been compliance by the applicant, I am required to consider the schedule of returnable documents</w:t>
      </w:r>
      <w:r w:rsidR="005E3B72">
        <w:rPr>
          <w:rFonts w:ascii="Arial" w:hAnsi="Arial" w:cs="Arial"/>
        </w:rPr>
        <w:t>, which is central to the present dispute.</w:t>
      </w:r>
      <w:r w:rsidR="00102829">
        <w:rPr>
          <w:rFonts w:ascii="Arial" w:hAnsi="Arial" w:cs="Arial"/>
        </w:rPr>
        <w:t xml:space="preserve"> </w:t>
      </w:r>
      <w:r w:rsidR="005F3E37" w:rsidRPr="005F3E37">
        <w:rPr>
          <w:rFonts w:ascii="Arial" w:hAnsi="Arial" w:cs="Arial"/>
        </w:rPr>
        <w:t xml:space="preserve">   </w:t>
      </w:r>
    </w:p>
    <w:p w14:paraId="73617C20" w14:textId="77777777" w:rsidR="005F3E37" w:rsidRDefault="005F3E37" w:rsidP="00A96376">
      <w:pPr>
        <w:pStyle w:val="ListParagraph"/>
        <w:spacing w:after="0" w:line="480" w:lineRule="auto"/>
        <w:rPr>
          <w:rFonts w:ascii="Arial" w:hAnsi="Arial" w:cs="Arial"/>
        </w:rPr>
      </w:pPr>
    </w:p>
    <w:p w14:paraId="2B18566B" w14:textId="07CF055B" w:rsidR="0026438E"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[7]</w:t>
      </w:r>
      <w:r>
        <w:rPr>
          <w:rFonts w:ascii="Arial" w:hAnsi="Arial" w:cs="Arial"/>
        </w:rPr>
        <w:tab/>
      </w:r>
      <w:r w:rsidR="002B39FF">
        <w:rPr>
          <w:rFonts w:ascii="Arial" w:hAnsi="Arial" w:cs="Arial"/>
        </w:rPr>
        <w:t>T</w:t>
      </w:r>
      <w:r w:rsidR="0026438E">
        <w:rPr>
          <w:rFonts w:ascii="Arial" w:hAnsi="Arial" w:cs="Arial"/>
        </w:rPr>
        <w:t>he invitation to tender</w:t>
      </w:r>
      <w:r w:rsidR="002B39FF">
        <w:rPr>
          <w:rFonts w:ascii="Arial" w:hAnsi="Arial" w:cs="Arial"/>
        </w:rPr>
        <w:t>, in respect of phase 1,</w:t>
      </w:r>
      <w:r w:rsidR="00102829">
        <w:rPr>
          <w:rFonts w:ascii="Arial" w:hAnsi="Arial" w:cs="Arial"/>
        </w:rPr>
        <w:t xml:space="preserve"> </w:t>
      </w:r>
      <w:r w:rsidR="0026438E">
        <w:rPr>
          <w:rFonts w:ascii="Arial" w:hAnsi="Arial" w:cs="Arial"/>
        </w:rPr>
        <w:t>records as follows:</w:t>
      </w:r>
    </w:p>
    <w:p w14:paraId="5FB813D2" w14:textId="77777777" w:rsidR="0026438E" w:rsidRDefault="0026438E" w:rsidP="00A96376">
      <w:pPr>
        <w:pStyle w:val="ListParagraph"/>
        <w:spacing w:after="0" w:line="480" w:lineRule="auto"/>
        <w:rPr>
          <w:rFonts w:ascii="Arial" w:hAnsi="Arial" w:cs="Arial"/>
        </w:rPr>
      </w:pPr>
    </w:p>
    <w:p w14:paraId="4C077494" w14:textId="1B7FEBAF" w:rsidR="0026438E" w:rsidRPr="00AC3F64" w:rsidRDefault="0026438E" w:rsidP="005C24FF">
      <w:pPr>
        <w:pStyle w:val="NormalWeb"/>
        <w:shd w:val="clear" w:color="auto" w:fill="FFFFFF"/>
        <w:spacing w:before="0" w:beforeAutospacing="0" w:after="0" w:afterAutospacing="0" w:line="360" w:lineRule="auto"/>
        <w:ind w:left="851" w:right="261"/>
        <w:jc w:val="both"/>
        <w:rPr>
          <w:rFonts w:ascii="Arial" w:hAnsi="Arial" w:cs="Arial"/>
          <w:i/>
          <w:iCs/>
          <w:sz w:val="20"/>
          <w:szCs w:val="20"/>
        </w:rPr>
      </w:pPr>
      <w:r w:rsidRPr="00AC3F64">
        <w:rPr>
          <w:rFonts w:ascii="Arial" w:hAnsi="Arial" w:cs="Arial"/>
          <w:sz w:val="20"/>
          <w:szCs w:val="20"/>
        </w:rPr>
        <w:t>“</w:t>
      </w:r>
      <w:r w:rsidRPr="00AC3F64">
        <w:rPr>
          <w:rFonts w:ascii="Arial" w:hAnsi="Arial" w:cs="Arial"/>
          <w:b/>
          <w:bCs/>
          <w:i/>
          <w:iCs/>
          <w:sz w:val="20"/>
          <w:szCs w:val="20"/>
          <w:u w:val="single"/>
        </w:rPr>
        <w:t>PHASE 1: MANDATORY REQUIREMENTS</w:t>
      </w:r>
    </w:p>
    <w:p w14:paraId="351D336F" w14:textId="1A03970C" w:rsidR="0026438E" w:rsidRPr="00AC3F64" w:rsidRDefault="0026438E" w:rsidP="005C24FF">
      <w:pPr>
        <w:pStyle w:val="NormalWeb"/>
        <w:shd w:val="clear" w:color="auto" w:fill="FFFFFF"/>
        <w:spacing w:before="0" w:beforeAutospacing="0" w:after="0" w:afterAutospacing="0" w:line="360" w:lineRule="auto"/>
        <w:ind w:left="851" w:right="261"/>
        <w:jc w:val="both"/>
        <w:rPr>
          <w:rFonts w:ascii="Arial" w:hAnsi="Arial" w:cs="Arial"/>
          <w:sz w:val="20"/>
          <w:szCs w:val="20"/>
        </w:rPr>
      </w:pPr>
      <w:r w:rsidRPr="00AC3F64">
        <w:rPr>
          <w:rFonts w:ascii="Arial" w:hAnsi="Arial" w:cs="Arial"/>
          <w:b/>
          <w:bCs/>
          <w:i/>
          <w:iCs/>
          <w:sz w:val="20"/>
          <w:szCs w:val="20"/>
        </w:rPr>
        <w:lastRenderedPageBreak/>
        <w:t>Failure to submit any of the documents listed below will render your bid non-responsive and will be disqualified</w:t>
      </w:r>
      <w:r w:rsidRPr="00AC3F64">
        <w:rPr>
          <w:rFonts w:ascii="Arial" w:hAnsi="Arial" w:cs="Arial"/>
          <w:i/>
          <w:iCs/>
          <w:sz w:val="20"/>
          <w:szCs w:val="20"/>
        </w:rPr>
        <w:t>.</w:t>
      </w:r>
      <w:r w:rsidR="005C24FF" w:rsidRPr="00AC3F64">
        <w:rPr>
          <w:rFonts w:ascii="Arial" w:hAnsi="Arial" w:cs="Arial"/>
          <w:sz w:val="20"/>
          <w:szCs w:val="20"/>
        </w:rPr>
        <w:t>”</w:t>
      </w:r>
    </w:p>
    <w:p w14:paraId="6442D7E6" w14:textId="2C9BA8E5" w:rsidR="005F3E37" w:rsidRPr="005F3E37" w:rsidRDefault="005F3E37" w:rsidP="0026438E">
      <w:pPr>
        <w:pStyle w:val="NormalWeb"/>
        <w:shd w:val="clear" w:color="auto" w:fill="FFFFFF"/>
        <w:spacing w:before="0" w:beforeAutospacing="0" w:after="0" w:afterAutospacing="0" w:line="480" w:lineRule="auto"/>
        <w:ind w:left="851" w:right="259"/>
        <w:jc w:val="both"/>
        <w:rPr>
          <w:rFonts w:ascii="Arial" w:hAnsi="Arial" w:cs="Arial"/>
        </w:rPr>
      </w:pPr>
    </w:p>
    <w:p w14:paraId="748F0C2E" w14:textId="2D288DA7" w:rsidR="005C24FF"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[8]</w:t>
      </w:r>
      <w:r>
        <w:rPr>
          <w:rFonts w:ascii="Arial" w:hAnsi="Arial" w:cs="Arial"/>
        </w:rPr>
        <w:tab/>
      </w:r>
      <w:r w:rsidR="00733C33">
        <w:rPr>
          <w:rFonts w:ascii="Arial" w:hAnsi="Arial" w:cs="Arial"/>
        </w:rPr>
        <w:t>Of</w:t>
      </w:r>
      <w:r w:rsidR="00CF3598">
        <w:rPr>
          <w:rFonts w:ascii="Arial" w:hAnsi="Arial" w:cs="Arial"/>
        </w:rPr>
        <w:t xml:space="preserve"> relevance</w:t>
      </w:r>
      <w:r w:rsidR="00733C33">
        <w:rPr>
          <w:rFonts w:ascii="Arial" w:hAnsi="Arial" w:cs="Arial"/>
        </w:rPr>
        <w:t xml:space="preserve"> is </w:t>
      </w:r>
      <w:r w:rsidR="00BF599F">
        <w:rPr>
          <w:rFonts w:ascii="Arial" w:hAnsi="Arial" w:cs="Arial"/>
        </w:rPr>
        <w:t xml:space="preserve">item </w:t>
      </w:r>
      <w:r w:rsidR="00733C33">
        <w:rPr>
          <w:rFonts w:ascii="Arial" w:hAnsi="Arial" w:cs="Arial"/>
        </w:rPr>
        <w:t xml:space="preserve">10 </w:t>
      </w:r>
      <w:r w:rsidR="00BF599F">
        <w:rPr>
          <w:rFonts w:ascii="Arial" w:hAnsi="Arial" w:cs="Arial"/>
        </w:rPr>
        <w:t xml:space="preserve">of the </w:t>
      </w:r>
      <w:r w:rsidR="00733C33">
        <w:rPr>
          <w:rFonts w:ascii="Arial" w:hAnsi="Arial" w:cs="Arial"/>
        </w:rPr>
        <w:t xml:space="preserve">mandatory </w:t>
      </w:r>
      <w:r w:rsidR="006A57B5">
        <w:rPr>
          <w:rFonts w:ascii="Arial" w:hAnsi="Arial" w:cs="Arial"/>
        </w:rPr>
        <w:t xml:space="preserve">tender </w:t>
      </w:r>
      <w:r w:rsidR="00733C33">
        <w:rPr>
          <w:rFonts w:ascii="Arial" w:hAnsi="Arial" w:cs="Arial"/>
        </w:rPr>
        <w:t>requirements, being “</w:t>
      </w:r>
      <w:r w:rsidR="00733C33" w:rsidRPr="00733C33">
        <w:rPr>
          <w:rFonts w:ascii="Arial" w:hAnsi="Arial" w:cs="Arial"/>
          <w:i/>
          <w:iCs/>
        </w:rPr>
        <w:t>[a] copy of a valid UIF certificate of compliance or copy of a valid letter of good standing/tender letter (verification will be done with the Department of Labour)</w:t>
      </w:r>
      <w:r w:rsidR="00733C33">
        <w:rPr>
          <w:rFonts w:ascii="Arial" w:hAnsi="Arial" w:cs="Arial"/>
        </w:rPr>
        <w:t>.”</w:t>
      </w:r>
      <w:r w:rsidR="00205C18">
        <w:rPr>
          <w:rFonts w:ascii="Arial" w:hAnsi="Arial" w:cs="Arial"/>
        </w:rPr>
        <w:t xml:space="preserve">  Where I make reference to non-compliance with the mandatory tender requirement</w:t>
      </w:r>
      <w:r w:rsidR="00826A21">
        <w:rPr>
          <w:rFonts w:ascii="Arial" w:hAnsi="Arial" w:cs="Arial"/>
        </w:rPr>
        <w:t>s</w:t>
      </w:r>
      <w:r w:rsidR="00205C18">
        <w:rPr>
          <w:rFonts w:ascii="Arial" w:hAnsi="Arial" w:cs="Arial"/>
        </w:rPr>
        <w:t>, such reference is</w:t>
      </w:r>
      <w:r w:rsidR="00DD7E21">
        <w:rPr>
          <w:rFonts w:ascii="Arial" w:hAnsi="Arial" w:cs="Arial"/>
        </w:rPr>
        <w:t xml:space="preserve"> made</w:t>
      </w:r>
      <w:r w:rsidR="00205C18">
        <w:rPr>
          <w:rFonts w:ascii="Arial" w:hAnsi="Arial" w:cs="Arial"/>
        </w:rPr>
        <w:t xml:space="preserve"> in the context of item 10.</w:t>
      </w:r>
    </w:p>
    <w:p w14:paraId="129CA0DF" w14:textId="77777777" w:rsidR="005F3E37" w:rsidRDefault="005F3E37" w:rsidP="005F3E37">
      <w:pPr>
        <w:pStyle w:val="NormalWeb"/>
        <w:shd w:val="clear" w:color="auto" w:fill="FFFFFF"/>
        <w:spacing w:before="0" w:beforeAutospacing="0" w:after="0" w:afterAutospacing="0" w:line="480" w:lineRule="auto"/>
        <w:ind w:left="851" w:right="259"/>
        <w:jc w:val="both"/>
        <w:rPr>
          <w:rFonts w:ascii="Arial" w:hAnsi="Arial" w:cs="Arial"/>
        </w:rPr>
      </w:pPr>
    </w:p>
    <w:p w14:paraId="22754B6D" w14:textId="3E5710B4" w:rsidR="00902D4E"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[9]</w:t>
      </w:r>
      <w:r>
        <w:rPr>
          <w:rFonts w:ascii="Arial" w:hAnsi="Arial" w:cs="Arial"/>
        </w:rPr>
        <w:tab/>
      </w:r>
      <w:r w:rsidR="002F7754">
        <w:rPr>
          <w:rFonts w:ascii="Arial" w:hAnsi="Arial" w:cs="Arial"/>
        </w:rPr>
        <w:t xml:space="preserve">It is </w:t>
      </w:r>
      <w:r w:rsidR="00A92AA0">
        <w:rPr>
          <w:rFonts w:ascii="Arial" w:hAnsi="Arial" w:cs="Arial"/>
        </w:rPr>
        <w:t xml:space="preserve">common cause </w:t>
      </w:r>
      <w:r w:rsidR="002F7754">
        <w:rPr>
          <w:rFonts w:ascii="Arial" w:hAnsi="Arial" w:cs="Arial"/>
        </w:rPr>
        <w:t>that t</w:t>
      </w:r>
      <w:r w:rsidR="00902D4E">
        <w:rPr>
          <w:rFonts w:ascii="Arial" w:hAnsi="Arial" w:cs="Arial"/>
        </w:rPr>
        <w:t>wo of the entities comprising the joint venture, inclusive of</w:t>
      </w:r>
      <w:r w:rsidR="00902D4E" w:rsidRPr="008F31F2">
        <w:rPr>
          <w:rFonts w:ascii="Arial" w:hAnsi="Arial" w:cs="Arial"/>
        </w:rPr>
        <w:t xml:space="preserve"> the </w:t>
      </w:r>
      <w:r w:rsidR="00C37162">
        <w:rPr>
          <w:rFonts w:ascii="Arial" w:hAnsi="Arial" w:cs="Arial"/>
        </w:rPr>
        <w:t xml:space="preserve">applicant’s </w:t>
      </w:r>
      <w:r w:rsidR="00902D4E" w:rsidRPr="008F31F2">
        <w:rPr>
          <w:rFonts w:ascii="Arial" w:hAnsi="Arial" w:cs="Arial"/>
        </w:rPr>
        <w:t xml:space="preserve">lead partner; </w:t>
      </w:r>
      <w:r w:rsidR="00902D4E">
        <w:rPr>
          <w:rFonts w:ascii="Arial" w:hAnsi="Arial" w:cs="Arial"/>
        </w:rPr>
        <w:t>and</w:t>
      </w:r>
      <w:r w:rsidR="00902D4E" w:rsidRPr="008F31F2">
        <w:rPr>
          <w:rFonts w:ascii="Arial" w:hAnsi="Arial" w:cs="Arial"/>
        </w:rPr>
        <w:t xml:space="preserve"> SPEC Hardware (Pty) Ltd</w:t>
      </w:r>
      <w:r w:rsidR="00FB240A">
        <w:rPr>
          <w:rFonts w:ascii="Arial" w:hAnsi="Arial" w:cs="Arial"/>
        </w:rPr>
        <w:t>,</w:t>
      </w:r>
      <w:r w:rsidR="00902D4E">
        <w:rPr>
          <w:rFonts w:ascii="Arial" w:hAnsi="Arial" w:cs="Arial"/>
        </w:rPr>
        <w:t xml:space="preserve"> </w:t>
      </w:r>
      <w:r w:rsidR="002F7754">
        <w:rPr>
          <w:rFonts w:ascii="Arial" w:hAnsi="Arial" w:cs="Arial"/>
        </w:rPr>
        <w:t>failed to submit</w:t>
      </w:r>
      <w:r w:rsidR="00902D4E">
        <w:rPr>
          <w:rFonts w:ascii="Arial" w:hAnsi="Arial" w:cs="Arial"/>
        </w:rPr>
        <w:t xml:space="preserve"> </w:t>
      </w:r>
      <w:r w:rsidR="00733C33">
        <w:rPr>
          <w:rFonts w:ascii="Arial" w:hAnsi="Arial" w:cs="Arial"/>
        </w:rPr>
        <w:t>valid UIF certificate</w:t>
      </w:r>
      <w:r w:rsidR="00902D4E">
        <w:rPr>
          <w:rFonts w:ascii="Arial" w:hAnsi="Arial" w:cs="Arial"/>
        </w:rPr>
        <w:t>s</w:t>
      </w:r>
      <w:r w:rsidR="00733C33">
        <w:rPr>
          <w:rFonts w:ascii="Arial" w:hAnsi="Arial" w:cs="Arial"/>
        </w:rPr>
        <w:t xml:space="preserve"> of compliance</w:t>
      </w:r>
      <w:r w:rsidR="002F7754">
        <w:rPr>
          <w:rFonts w:ascii="Arial" w:hAnsi="Arial" w:cs="Arial"/>
        </w:rPr>
        <w:t>.  Instead</w:t>
      </w:r>
      <w:r w:rsidR="00733C33">
        <w:rPr>
          <w:rFonts w:ascii="Arial" w:hAnsi="Arial" w:cs="Arial"/>
        </w:rPr>
        <w:t>,</w:t>
      </w:r>
      <w:r w:rsidR="002F7754">
        <w:rPr>
          <w:rFonts w:ascii="Arial" w:hAnsi="Arial" w:cs="Arial"/>
        </w:rPr>
        <w:t xml:space="preserve"> </w:t>
      </w:r>
      <w:r w:rsidR="00D41287">
        <w:rPr>
          <w:rFonts w:ascii="Arial" w:hAnsi="Arial" w:cs="Arial"/>
        </w:rPr>
        <w:t>the applicant</w:t>
      </w:r>
      <w:r w:rsidR="00733C33">
        <w:rPr>
          <w:rFonts w:ascii="Arial" w:hAnsi="Arial" w:cs="Arial"/>
        </w:rPr>
        <w:t xml:space="preserve"> submitted</w:t>
      </w:r>
      <w:r w:rsidR="00902D4E">
        <w:rPr>
          <w:rFonts w:ascii="Arial" w:hAnsi="Arial" w:cs="Arial"/>
        </w:rPr>
        <w:t xml:space="preserve"> </w:t>
      </w:r>
      <w:r w:rsidR="00733C33">
        <w:rPr>
          <w:rFonts w:ascii="Arial" w:hAnsi="Arial" w:cs="Arial"/>
        </w:rPr>
        <w:t>alternative documentation</w:t>
      </w:r>
      <w:r w:rsidR="00FB240A">
        <w:rPr>
          <w:rFonts w:ascii="Arial" w:hAnsi="Arial" w:cs="Arial"/>
        </w:rPr>
        <w:t xml:space="preserve"> </w:t>
      </w:r>
      <w:r w:rsidR="00D41287">
        <w:rPr>
          <w:rFonts w:ascii="Arial" w:hAnsi="Arial" w:cs="Arial"/>
        </w:rPr>
        <w:t>in respect of the aforementioned entities in support of its contention that it was UIF compliant.  I pause to mention that the documents submitted,</w:t>
      </w:r>
      <w:r w:rsidR="00AC4582">
        <w:rPr>
          <w:rFonts w:ascii="Arial" w:hAnsi="Arial" w:cs="Arial"/>
        </w:rPr>
        <w:t xml:space="preserve"> </w:t>
      </w:r>
      <w:r w:rsidR="00733C33">
        <w:rPr>
          <w:rFonts w:ascii="Arial" w:hAnsi="Arial" w:cs="Arial"/>
        </w:rPr>
        <w:t>inclusive of EPMSA statements</w:t>
      </w:r>
      <w:r w:rsidR="00205C18">
        <w:rPr>
          <w:rFonts w:ascii="Arial" w:hAnsi="Arial" w:cs="Arial"/>
        </w:rPr>
        <w:t>,</w:t>
      </w:r>
      <w:r w:rsidR="00D41287">
        <w:rPr>
          <w:rFonts w:ascii="Arial" w:hAnsi="Arial" w:cs="Arial"/>
        </w:rPr>
        <w:t xml:space="preserve"> were not included in item 10 as acceptable alternatives to a valid UIF certificate of compliance</w:t>
      </w:r>
      <w:r w:rsidR="00FB240A">
        <w:rPr>
          <w:rFonts w:ascii="Arial" w:hAnsi="Arial" w:cs="Arial"/>
        </w:rPr>
        <w:t xml:space="preserve">. </w:t>
      </w:r>
      <w:r w:rsidR="00902D4E">
        <w:rPr>
          <w:rFonts w:ascii="Arial" w:hAnsi="Arial" w:cs="Arial"/>
        </w:rPr>
        <w:t xml:space="preserve"> </w:t>
      </w:r>
      <w:r w:rsidR="00FB240A">
        <w:rPr>
          <w:rFonts w:ascii="Arial" w:hAnsi="Arial" w:cs="Arial"/>
        </w:rPr>
        <w:t>More particularly, t</w:t>
      </w:r>
      <w:r w:rsidR="00902D4E">
        <w:rPr>
          <w:rFonts w:ascii="Arial" w:hAnsi="Arial" w:cs="Arial"/>
        </w:rPr>
        <w:t xml:space="preserve">he applicant’s tender was accompanied by a cover letter, </w:t>
      </w:r>
      <w:r w:rsidR="00826A21">
        <w:rPr>
          <w:rFonts w:ascii="Arial" w:hAnsi="Arial" w:cs="Arial"/>
        </w:rPr>
        <w:t xml:space="preserve">in </w:t>
      </w:r>
      <w:r w:rsidR="00902D4E">
        <w:rPr>
          <w:rFonts w:ascii="Arial" w:hAnsi="Arial" w:cs="Arial"/>
        </w:rPr>
        <w:t>which</w:t>
      </w:r>
      <w:r w:rsidR="00826A21">
        <w:rPr>
          <w:rFonts w:ascii="Arial" w:hAnsi="Arial" w:cs="Arial"/>
        </w:rPr>
        <w:t xml:space="preserve"> the applicant, </w:t>
      </w:r>
      <w:r w:rsidR="0020706B">
        <w:rPr>
          <w:rFonts w:ascii="Arial" w:hAnsi="Arial" w:cs="Arial"/>
        </w:rPr>
        <w:t>in respect of</w:t>
      </w:r>
      <w:r w:rsidR="00826A21">
        <w:rPr>
          <w:rFonts w:ascii="Arial" w:hAnsi="Arial" w:cs="Arial"/>
        </w:rPr>
        <w:t xml:space="preserve"> its UIF compliance, </w:t>
      </w:r>
      <w:r w:rsidR="0020706B">
        <w:rPr>
          <w:rFonts w:ascii="Arial" w:hAnsi="Arial" w:cs="Arial"/>
        </w:rPr>
        <w:t>commented</w:t>
      </w:r>
      <w:r w:rsidR="00902D4E">
        <w:rPr>
          <w:rFonts w:ascii="Arial" w:hAnsi="Arial" w:cs="Arial"/>
        </w:rPr>
        <w:t xml:space="preserve"> as follows:</w:t>
      </w:r>
    </w:p>
    <w:p w14:paraId="08DB6839" w14:textId="77777777" w:rsidR="00902D4E" w:rsidRDefault="00902D4E" w:rsidP="00902D4E">
      <w:pPr>
        <w:pStyle w:val="ListParagraph"/>
        <w:rPr>
          <w:rFonts w:ascii="Arial" w:hAnsi="Arial" w:cs="Arial"/>
        </w:rPr>
      </w:pPr>
    </w:p>
    <w:p w14:paraId="2FF475F8" w14:textId="43E4D022" w:rsidR="00733C33" w:rsidRDefault="00AC3F64" w:rsidP="00477FE2">
      <w:pPr>
        <w:pStyle w:val="NormalWeb"/>
        <w:shd w:val="clear" w:color="auto" w:fill="FFFFFF"/>
        <w:spacing w:before="0" w:beforeAutospacing="0" w:after="0" w:afterAutospacing="0" w:line="360" w:lineRule="auto"/>
        <w:ind w:left="1440" w:right="261" w:hanging="589"/>
        <w:jc w:val="both"/>
        <w:rPr>
          <w:rFonts w:ascii="Arial" w:hAnsi="Arial" w:cs="Arial"/>
          <w:i/>
          <w:iCs/>
          <w:sz w:val="20"/>
          <w:szCs w:val="20"/>
        </w:rPr>
      </w:pPr>
      <w:r>
        <w:rPr>
          <w:rFonts w:ascii="Arial" w:hAnsi="Arial" w:cs="Arial"/>
          <w:i/>
          <w:iCs/>
          <w:sz w:val="20"/>
          <w:szCs w:val="20"/>
        </w:rPr>
        <w:t>“</w:t>
      </w:r>
      <w:r w:rsidR="00902D4E" w:rsidRPr="00AC3F64">
        <w:rPr>
          <w:rFonts w:ascii="Arial" w:hAnsi="Arial" w:cs="Arial"/>
          <w:i/>
          <w:iCs/>
          <w:sz w:val="20"/>
          <w:szCs w:val="20"/>
        </w:rPr>
        <w:t>6.1</w:t>
      </w:r>
      <w:r w:rsidR="00902D4E" w:rsidRPr="00AC3F64">
        <w:rPr>
          <w:rFonts w:ascii="Arial" w:hAnsi="Arial" w:cs="Arial"/>
          <w:i/>
          <w:iCs/>
          <w:sz w:val="20"/>
          <w:szCs w:val="20"/>
        </w:rPr>
        <w:tab/>
        <w:t xml:space="preserve"> The SPEC JV member SPEC Corrosion Protection (Pty) Ltd is in compliance with the UIF requirements and the Certificate of Compliance as issued by the Department of Employment and Labour is attached to this Tender Bid.</w:t>
      </w:r>
      <w:r w:rsidR="00733C33" w:rsidRPr="00AC3F64">
        <w:rPr>
          <w:rFonts w:ascii="Arial" w:hAnsi="Arial" w:cs="Arial"/>
          <w:i/>
          <w:iCs/>
          <w:sz w:val="20"/>
          <w:szCs w:val="20"/>
        </w:rPr>
        <w:t xml:space="preserve"> </w:t>
      </w:r>
    </w:p>
    <w:p w14:paraId="3C118377" w14:textId="77777777" w:rsidR="00826A21" w:rsidRPr="00AC3F64" w:rsidRDefault="00826A21" w:rsidP="00477FE2">
      <w:pPr>
        <w:pStyle w:val="NormalWeb"/>
        <w:shd w:val="clear" w:color="auto" w:fill="FFFFFF"/>
        <w:spacing w:before="0" w:beforeAutospacing="0" w:after="0" w:afterAutospacing="0" w:line="360" w:lineRule="auto"/>
        <w:ind w:left="1440" w:right="261" w:hanging="589"/>
        <w:jc w:val="both"/>
        <w:rPr>
          <w:rFonts w:ascii="Arial" w:hAnsi="Arial" w:cs="Arial"/>
          <w:i/>
          <w:iCs/>
          <w:sz w:val="20"/>
          <w:szCs w:val="20"/>
        </w:rPr>
      </w:pPr>
    </w:p>
    <w:p w14:paraId="4A31ACDE" w14:textId="77777777" w:rsidR="00D23A60" w:rsidRPr="00AC3F64" w:rsidRDefault="00DF6F61" w:rsidP="00477FE2">
      <w:pPr>
        <w:pStyle w:val="NormalWeb"/>
        <w:shd w:val="clear" w:color="auto" w:fill="FFFFFF"/>
        <w:spacing w:before="0" w:beforeAutospacing="0" w:after="0" w:afterAutospacing="0" w:line="360" w:lineRule="auto"/>
        <w:ind w:left="1440" w:right="261" w:hanging="589"/>
        <w:jc w:val="both"/>
        <w:rPr>
          <w:rFonts w:ascii="Arial" w:hAnsi="Arial" w:cs="Arial"/>
          <w:i/>
          <w:iCs/>
          <w:sz w:val="20"/>
          <w:szCs w:val="20"/>
        </w:rPr>
      </w:pPr>
      <w:r w:rsidRPr="00AC3F64">
        <w:rPr>
          <w:rFonts w:ascii="Arial" w:hAnsi="Arial" w:cs="Arial"/>
          <w:i/>
          <w:iCs/>
          <w:sz w:val="20"/>
          <w:szCs w:val="20"/>
        </w:rPr>
        <w:t>6.2</w:t>
      </w:r>
      <w:r w:rsidRPr="00AC3F64">
        <w:rPr>
          <w:rFonts w:ascii="Arial" w:hAnsi="Arial" w:cs="Arial"/>
          <w:i/>
          <w:iCs/>
          <w:sz w:val="20"/>
          <w:szCs w:val="20"/>
        </w:rPr>
        <w:tab/>
        <w:t xml:space="preserve">The SPEC JV member SPEC Hardware (Pty) Ltd is in compliance with the UIF requirements, but at time of this letter it is recorded </w:t>
      </w:r>
      <w:r w:rsidR="00DE522E" w:rsidRPr="00AC3F64">
        <w:rPr>
          <w:rFonts w:ascii="Arial" w:hAnsi="Arial" w:cs="Arial"/>
          <w:i/>
          <w:iCs/>
          <w:sz w:val="20"/>
          <w:szCs w:val="20"/>
        </w:rPr>
        <w:t xml:space="preserve">on the DoEL website that the contributions for June 2021 is (sic) outstanding.  However, proof of that payment (statement of account) is attached to the tender </w:t>
      </w:r>
      <w:r w:rsidR="00D23A60" w:rsidRPr="00AC3F64">
        <w:rPr>
          <w:rFonts w:ascii="Arial" w:hAnsi="Arial" w:cs="Arial"/>
          <w:i/>
          <w:iCs/>
          <w:sz w:val="20"/>
          <w:szCs w:val="20"/>
        </w:rPr>
        <w:t>Bid document.  In view of this it is the correct contention that SPEC Hardware (Pty) Ltd is in compliance with UIF requirements.</w:t>
      </w:r>
    </w:p>
    <w:p w14:paraId="146C7F73" w14:textId="78519ABE" w:rsidR="000C0D17" w:rsidRPr="00AC3F64" w:rsidRDefault="00D23A60" w:rsidP="00477FE2">
      <w:pPr>
        <w:pStyle w:val="NormalWeb"/>
        <w:shd w:val="clear" w:color="auto" w:fill="FFFFFF"/>
        <w:spacing w:before="0" w:beforeAutospacing="0" w:after="0" w:afterAutospacing="0" w:line="360" w:lineRule="auto"/>
        <w:ind w:left="1440" w:right="261" w:hanging="589"/>
        <w:jc w:val="both"/>
        <w:rPr>
          <w:rFonts w:ascii="Arial" w:hAnsi="Arial" w:cs="Arial"/>
          <w:sz w:val="20"/>
          <w:szCs w:val="20"/>
        </w:rPr>
      </w:pPr>
      <w:r w:rsidRPr="00AC3F64">
        <w:rPr>
          <w:rFonts w:ascii="Arial" w:hAnsi="Arial" w:cs="Arial"/>
          <w:i/>
          <w:iCs/>
          <w:sz w:val="20"/>
          <w:szCs w:val="20"/>
        </w:rPr>
        <w:lastRenderedPageBreak/>
        <w:t>6.3</w:t>
      </w:r>
      <w:r w:rsidRPr="00AC3F64">
        <w:rPr>
          <w:rFonts w:ascii="Arial" w:hAnsi="Arial" w:cs="Arial"/>
          <w:i/>
          <w:iCs/>
          <w:sz w:val="20"/>
          <w:szCs w:val="20"/>
        </w:rPr>
        <w:tab/>
      </w:r>
      <w:r w:rsidR="000C0D17" w:rsidRPr="00AC3F64">
        <w:rPr>
          <w:rFonts w:ascii="Arial" w:hAnsi="Arial" w:cs="Arial"/>
          <w:i/>
          <w:iCs/>
          <w:sz w:val="20"/>
          <w:szCs w:val="20"/>
        </w:rPr>
        <w:t>The SPEC JV member Surface Preparations Equipment and Coatings (Pty) Ltd is in compliance with the UIF requirements, but at time of this letter it is recorded on the DoEL website that contribution (sic) and declaration is (sic) outstanding.  However, proof of that payment (statement of account) as well as proof of submission of declaration is attached to the tender Bid document.  In view of this it is the correct contention that Surface Preparations Equipment and Coatings (Pty) Ltd is in compliance with UIF requirements.</w:t>
      </w:r>
      <w:r w:rsidR="00477FE2" w:rsidRPr="00AC3F64">
        <w:rPr>
          <w:rFonts w:ascii="Arial" w:hAnsi="Arial" w:cs="Arial"/>
          <w:sz w:val="20"/>
          <w:szCs w:val="20"/>
        </w:rPr>
        <w:t>”</w:t>
      </w:r>
    </w:p>
    <w:p w14:paraId="23DFE43C" w14:textId="77777777" w:rsidR="007B0E05" w:rsidRDefault="007B0E05" w:rsidP="007B0E05">
      <w:pPr>
        <w:pStyle w:val="NormalWeb"/>
        <w:shd w:val="clear" w:color="auto" w:fill="FFFFFF"/>
        <w:spacing w:before="0" w:beforeAutospacing="0" w:after="0" w:afterAutospacing="0" w:line="480" w:lineRule="auto"/>
        <w:ind w:left="851" w:right="259"/>
        <w:jc w:val="both"/>
        <w:rPr>
          <w:rFonts w:ascii="Arial" w:hAnsi="Arial" w:cs="Arial"/>
        </w:rPr>
      </w:pPr>
    </w:p>
    <w:p w14:paraId="490EBBBE" w14:textId="7D22E278" w:rsidR="00205C18"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[10]</w:t>
      </w:r>
      <w:r>
        <w:rPr>
          <w:rFonts w:ascii="Arial" w:hAnsi="Arial" w:cs="Arial"/>
        </w:rPr>
        <w:tab/>
      </w:r>
      <w:r w:rsidR="00FB240A">
        <w:rPr>
          <w:rFonts w:ascii="Arial" w:hAnsi="Arial" w:cs="Arial"/>
        </w:rPr>
        <w:t>It is</w:t>
      </w:r>
      <w:r w:rsidR="00205C18">
        <w:rPr>
          <w:rFonts w:ascii="Arial" w:hAnsi="Arial" w:cs="Arial"/>
        </w:rPr>
        <w:t xml:space="preserve"> not in dispute that the documents submitted by the applicant </w:t>
      </w:r>
      <w:r w:rsidR="00826A21">
        <w:rPr>
          <w:rFonts w:ascii="Arial" w:hAnsi="Arial" w:cs="Arial"/>
        </w:rPr>
        <w:t>do</w:t>
      </w:r>
      <w:r w:rsidR="00205C18">
        <w:rPr>
          <w:rFonts w:ascii="Arial" w:hAnsi="Arial" w:cs="Arial"/>
        </w:rPr>
        <w:t xml:space="preserve"> not comply with the mandatory tender requirement</w:t>
      </w:r>
      <w:r w:rsidR="00826A21">
        <w:rPr>
          <w:rFonts w:ascii="Arial" w:hAnsi="Arial" w:cs="Arial"/>
        </w:rPr>
        <w:t>s</w:t>
      </w:r>
      <w:r w:rsidR="00205C18">
        <w:rPr>
          <w:rFonts w:ascii="Arial" w:hAnsi="Arial" w:cs="Arial"/>
        </w:rPr>
        <w:t xml:space="preserve">.  </w:t>
      </w:r>
    </w:p>
    <w:p w14:paraId="22A8EA86" w14:textId="77777777" w:rsidR="00205C18" w:rsidRDefault="00205C18" w:rsidP="00205C18">
      <w:pPr>
        <w:pStyle w:val="NormalWeb"/>
        <w:shd w:val="clear" w:color="auto" w:fill="FFFFFF"/>
        <w:spacing w:before="0" w:beforeAutospacing="0" w:after="0" w:afterAutospacing="0" w:line="480" w:lineRule="auto"/>
        <w:ind w:left="851" w:right="259"/>
        <w:jc w:val="both"/>
        <w:rPr>
          <w:rFonts w:ascii="Arial" w:hAnsi="Arial" w:cs="Arial"/>
        </w:rPr>
      </w:pPr>
    </w:p>
    <w:p w14:paraId="6BB96F4C" w14:textId="7F79C260" w:rsidR="004C688B"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[11]</w:t>
      </w:r>
      <w:r>
        <w:rPr>
          <w:rFonts w:ascii="Arial" w:hAnsi="Arial" w:cs="Arial"/>
        </w:rPr>
        <w:tab/>
      </w:r>
      <w:r w:rsidR="00D373BF">
        <w:rPr>
          <w:rFonts w:ascii="Arial" w:hAnsi="Arial" w:cs="Arial"/>
        </w:rPr>
        <w:t>A</w:t>
      </w:r>
      <w:r w:rsidR="00205C18">
        <w:rPr>
          <w:rFonts w:ascii="Arial" w:hAnsi="Arial" w:cs="Arial"/>
        </w:rPr>
        <w:t xml:space="preserve">pparent </w:t>
      </w:r>
      <w:r w:rsidR="00FB240A">
        <w:rPr>
          <w:rFonts w:ascii="Arial" w:hAnsi="Arial" w:cs="Arial"/>
        </w:rPr>
        <w:t xml:space="preserve">from the minutes </w:t>
      </w:r>
      <w:r w:rsidR="00205C18">
        <w:rPr>
          <w:rFonts w:ascii="Arial" w:hAnsi="Arial" w:cs="Arial"/>
        </w:rPr>
        <w:t>of the Bid Evaluation Committee (“</w:t>
      </w:r>
      <w:r w:rsidR="00205C18" w:rsidRPr="00205C18">
        <w:rPr>
          <w:rFonts w:ascii="Arial" w:hAnsi="Arial" w:cs="Arial"/>
          <w:i/>
          <w:iCs/>
        </w:rPr>
        <w:t>the BEC</w:t>
      </w:r>
      <w:r w:rsidR="00205C18">
        <w:rPr>
          <w:rFonts w:ascii="Arial" w:hAnsi="Arial" w:cs="Arial"/>
        </w:rPr>
        <w:t xml:space="preserve">”) is that despite non-compliance with the mandatory tender requirements by </w:t>
      </w:r>
      <w:r w:rsidR="004C688B">
        <w:rPr>
          <w:rFonts w:ascii="Arial" w:hAnsi="Arial" w:cs="Arial"/>
        </w:rPr>
        <w:t>several</w:t>
      </w:r>
      <w:r w:rsidR="00205C18">
        <w:rPr>
          <w:rFonts w:ascii="Arial" w:hAnsi="Arial" w:cs="Arial"/>
        </w:rPr>
        <w:t xml:space="preserve"> </w:t>
      </w:r>
      <w:r w:rsidR="004C688B">
        <w:rPr>
          <w:rFonts w:ascii="Arial" w:hAnsi="Arial" w:cs="Arial"/>
        </w:rPr>
        <w:t xml:space="preserve">of </w:t>
      </w:r>
      <w:r w:rsidR="00913421">
        <w:rPr>
          <w:rFonts w:ascii="Arial" w:hAnsi="Arial" w:cs="Arial"/>
        </w:rPr>
        <w:t xml:space="preserve">the other </w:t>
      </w:r>
      <w:r w:rsidR="00205C18">
        <w:rPr>
          <w:rFonts w:ascii="Arial" w:hAnsi="Arial" w:cs="Arial"/>
        </w:rPr>
        <w:t>bidders, inclusive of the second respondent and Bicacon (Pty) Ltd</w:t>
      </w:r>
      <w:r w:rsidR="00826A21">
        <w:rPr>
          <w:rFonts w:ascii="Arial" w:hAnsi="Arial" w:cs="Arial"/>
        </w:rPr>
        <w:t xml:space="preserve"> (to whom I shall return later)</w:t>
      </w:r>
      <w:r w:rsidR="00205C18">
        <w:rPr>
          <w:rFonts w:ascii="Arial" w:hAnsi="Arial" w:cs="Arial"/>
        </w:rPr>
        <w:t xml:space="preserve">, </w:t>
      </w:r>
      <w:r w:rsidR="004C688B">
        <w:rPr>
          <w:rFonts w:ascii="Arial" w:hAnsi="Arial" w:cs="Arial"/>
        </w:rPr>
        <w:t xml:space="preserve">such bids were not </w:t>
      </w:r>
      <w:r w:rsidR="0079422B">
        <w:rPr>
          <w:rFonts w:ascii="Arial" w:hAnsi="Arial" w:cs="Arial"/>
        </w:rPr>
        <w:t xml:space="preserve">declared </w:t>
      </w:r>
      <w:r w:rsidR="004C688B">
        <w:rPr>
          <w:rFonts w:ascii="Arial" w:hAnsi="Arial" w:cs="Arial"/>
        </w:rPr>
        <w:t>non-responsive</w:t>
      </w:r>
      <w:r w:rsidR="00754349">
        <w:rPr>
          <w:rFonts w:ascii="Arial" w:hAnsi="Arial" w:cs="Arial"/>
        </w:rPr>
        <w:t xml:space="preserve"> by the first respondent</w:t>
      </w:r>
      <w:r w:rsidR="004C688B">
        <w:rPr>
          <w:rFonts w:ascii="Arial" w:hAnsi="Arial" w:cs="Arial"/>
        </w:rPr>
        <w:t>, nor were the</w:t>
      </w:r>
      <w:r w:rsidR="0079422B">
        <w:rPr>
          <w:rFonts w:ascii="Arial" w:hAnsi="Arial" w:cs="Arial"/>
        </w:rPr>
        <w:t>y</w:t>
      </w:r>
      <w:r w:rsidR="004C688B">
        <w:rPr>
          <w:rFonts w:ascii="Arial" w:hAnsi="Arial" w:cs="Arial"/>
        </w:rPr>
        <w:t xml:space="preserve"> disqualified.  Instead, the BEC suggested that the documents submitted by the respective bidders be forwarded to the Department of Labour for verification.  The following entries</w:t>
      </w:r>
      <w:r w:rsidR="00DD2C17">
        <w:rPr>
          <w:rFonts w:ascii="Arial" w:hAnsi="Arial" w:cs="Arial"/>
        </w:rPr>
        <w:t>, with reference to “</w:t>
      </w:r>
      <w:r w:rsidR="00DD2C17" w:rsidRPr="00DD2C17">
        <w:rPr>
          <w:rFonts w:ascii="Arial" w:hAnsi="Arial" w:cs="Arial"/>
          <w:i/>
          <w:iCs/>
        </w:rPr>
        <w:t>Phase 1: Mandatory requirements</w:t>
      </w:r>
      <w:r w:rsidR="00DD2C17">
        <w:rPr>
          <w:rFonts w:ascii="Arial" w:hAnsi="Arial" w:cs="Arial"/>
        </w:rPr>
        <w:t>”, in the minutes under discussion</w:t>
      </w:r>
      <w:r w:rsidR="00724341">
        <w:rPr>
          <w:rFonts w:ascii="Arial" w:hAnsi="Arial" w:cs="Arial"/>
        </w:rPr>
        <w:t xml:space="preserve"> bear </w:t>
      </w:r>
      <w:r w:rsidR="00EB71D4">
        <w:rPr>
          <w:rFonts w:ascii="Arial" w:hAnsi="Arial" w:cs="Arial"/>
        </w:rPr>
        <w:t>repetition</w:t>
      </w:r>
      <w:r w:rsidR="004C688B">
        <w:rPr>
          <w:rFonts w:ascii="Arial" w:hAnsi="Arial" w:cs="Arial"/>
        </w:rPr>
        <w:t>:</w:t>
      </w:r>
    </w:p>
    <w:p w14:paraId="63EFC0EE" w14:textId="77777777" w:rsidR="00826A21" w:rsidRDefault="00826A21" w:rsidP="00826A21">
      <w:pPr>
        <w:pStyle w:val="ListParagraph"/>
        <w:rPr>
          <w:rFonts w:ascii="Arial" w:hAnsi="Arial" w:cs="Arial"/>
        </w:rPr>
      </w:pPr>
    </w:p>
    <w:tbl>
      <w:tblPr>
        <w:tblStyle w:val="TableGrid"/>
        <w:tblW w:w="4402" w:type="pct"/>
        <w:tblInd w:w="846" w:type="dxa"/>
        <w:tblLook w:val="04A0" w:firstRow="1" w:lastRow="0" w:firstColumn="1" w:lastColumn="0" w:noHBand="0" w:noVBand="1"/>
      </w:tblPr>
      <w:tblGrid>
        <w:gridCol w:w="4818"/>
        <w:gridCol w:w="3120"/>
      </w:tblGrid>
      <w:tr w:rsidR="00DD2C17" w:rsidRPr="00EB71D4" w14:paraId="7814B896" w14:textId="77777777" w:rsidTr="00DD2C17">
        <w:tc>
          <w:tcPr>
            <w:tcW w:w="3035" w:type="pct"/>
            <w:shd w:val="clear" w:color="auto" w:fill="D9D9D9" w:themeFill="background1" w:themeFillShade="D9"/>
          </w:tcPr>
          <w:p w14:paraId="10C56A49" w14:textId="612D5CB7" w:rsidR="00DD2C17" w:rsidRPr="00EB71D4" w:rsidRDefault="00DD2C17" w:rsidP="00DD2C17">
            <w:pPr>
              <w:pStyle w:val="NormalWeb"/>
              <w:spacing w:before="0" w:beforeAutospacing="0" w:after="0" w:afterAutospacing="0" w:line="360" w:lineRule="auto"/>
              <w:ind w:right="259"/>
              <w:jc w:val="center"/>
              <w:rPr>
                <w:rFonts w:ascii="Arial" w:hAnsi="Arial" w:cs="Arial"/>
                <w:b/>
                <w:bCs/>
                <w:i/>
                <w:iCs/>
                <w:sz w:val="20"/>
                <w:szCs w:val="20"/>
              </w:rPr>
            </w:pPr>
            <w:r w:rsidRPr="00EB71D4">
              <w:rPr>
                <w:rFonts w:ascii="Arial" w:hAnsi="Arial" w:cs="Arial"/>
                <w:b/>
                <w:bCs/>
                <w:i/>
                <w:iCs/>
                <w:sz w:val="20"/>
                <w:szCs w:val="20"/>
              </w:rPr>
              <w:t>SUMMARY</w:t>
            </w:r>
          </w:p>
        </w:tc>
        <w:tc>
          <w:tcPr>
            <w:tcW w:w="1965" w:type="pct"/>
            <w:shd w:val="clear" w:color="auto" w:fill="D9D9D9" w:themeFill="background1" w:themeFillShade="D9"/>
          </w:tcPr>
          <w:p w14:paraId="18954DBC" w14:textId="77777777" w:rsidR="00DD2C17" w:rsidRPr="00EB71D4" w:rsidRDefault="00DD2C17" w:rsidP="00F34ED3">
            <w:pPr>
              <w:pStyle w:val="NormalWeb"/>
              <w:spacing w:before="0" w:beforeAutospacing="0" w:after="0" w:afterAutospacing="0" w:line="360" w:lineRule="auto"/>
              <w:ind w:right="259"/>
              <w:jc w:val="center"/>
              <w:rPr>
                <w:rFonts w:ascii="Arial" w:hAnsi="Arial" w:cs="Arial"/>
                <w:b/>
                <w:bCs/>
                <w:i/>
                <w:iCs/>
                <w:sz w:val="20"/>
                <w:szCs w:val="20"/>
              </w:rPr>
            </w:pPr>
            <w:r w:rsidRPr="00EB71D4">
              <w:rPr>
                <w:rFonts w:ascii="Arial" w:hAnsi="Arial" w:cs="Arial"/>
                <w:b/>
                <w:bCs/>
                <w:i/>
                <w:iCs/>
                <w:sz w:val="20"/>
                <w:szCs w:val="20"/>
              </w:rPr>
              <w:t>RESOLUTION/</w:t>
            </w:r>
          </w:p>
          <w:p w14:paraId="008B38F5" w14:textId="33C49BAF" w:rsidR="00DD2C17" w:rsidRPr="00EB71D4" w:rsidRDefault="00DD2C17" w:rsidP="00F34ED3">
            <w:pPr>
              <w:pStyle w:val="NormalWeb"/>
              <w:spacing w:before="0" w:beforeAutospacing="0" w:after="0" w:afterAutospacing="0" w:line="360" w:lineRule="auto"/>
              <w:ind w:right="259"/>
              <w:jc w:val="center"/>
              <w:rPr>
                <w:rFonts w:ascii="Arial" w:hAnsi="Arial" w:cs="Arial"/>
                <w:b/>
                <w:bCs/>
                <w:i/>
                <w:iCs/>
                <w:sz w:val="20"/>
                <w:szCs w:val="20"/>
              </w:rPr>
            </w:pPr>
            <w:r w:rsidRPr="00EB71D4">
              <w:rPr>
                <w:rFonts w:ascii="Arial" w:hAnsi="Arial" w:cs="Arial"/>
                <w:b/>
                <w:bCs/>
                <w:i/>
                <w:iCs/>
                <w:sz w:val="20"/>
                <w:szCs w:val="20"/>
              </w:rPr>
              <w:t>ACTION</w:t>
            </w:r>
          </w:p>
        </w:tc>
      </w:tr>
      <w:tr w:rsidR="00DD2C17" w:rsidRPr="00EB71D4" w14:paraId="4698E19F" w14:textId="77777777" w:rsidTr="00DD2C17">
        <w:tc>
          <w:tcPr>
            <w:tcW w:w="3035" w:type="pct"/>
          </w:tcPr>
          <w:p w14:paraId="28EBA012" w14:textId="77777777" w:rsidR="00DD2C17" w:rsidRPr="00EB71D4" w:rsidRDefault="00DD2C17" w:rsidP="00F34ED3">
            <w:pPr>
              <w:pStyle w:val="NormalWeb"/>
              <w:spacing w:before="0" w:beforeAutospacing="0" w:after="0" w:afterAutospacing="0" w:line="360" w:lineRule="auto"/>
              <w:ind w:right="259"/>
              <w:jc w:val="both"/>
              <w:rPr>
                <w:rFonts w:ascii="Arial" w:hAnsi="Arial" w:cs="Arial"/>
                <w:i/>
                <w:iCs/>
                <w:sz w:val="20"/>
                <w:szCs w:val="20"/>
              </w:rPr>
            </w:pPr>
            <w:r w:rsidRPr="00EB71D4">
              <w:rPr>
                <w:rFonts w:ascii="Arial" w:hAnsi="Arial" w:cs="Arial"/>
                <w:i/>
                <w:iCs/>
                <w:sz w:val="20"/>
                <w:szCs w:val="20"/>
              </w:rPr>
              <w:t>All twenty-three (23) bids were evaluated on phase 1 (mandatory requirements).  Failure to submit documents listed under mandatory requirements will render your bid non-responsive and will be disqualified.</w:t>
            </w:r>
          </w:p>
          <w:p w14:paraId="336AC544" w14:textId="77777777" w:rsidR="00DD2C17" w:rsidRPr="00EB71D4" w:rsidRDefault="00DD2C17" w:rsidP="00F34ED3">
            <w:pPr>
              <w:pStyle w:val="NormalWeb"/>
              <w:spacing w:before="0" w:beforeAutospacing="0" w:after="0" w:afterAutospacing="0" w:line="360" w:lineRule="auto"/>
              <w:ind w:right="259"/>
              <w:jc w:val="both"/>
              <w:rPr>
                <w:rFonts w:ascii="Arial" w:hAnsi="Arial" w:cs="Arial"/>
                <w:i/>
                <w:iCs/>
                <w:sz w:val="20"/>
                <w:szCs w:val="20"/>
              </w:rPr>
            </w:pPr>
          </w:p>
          <w:p w14:paraId="221E983F" w14:textId="462204F4" w:rsidR="00DD2C17" w:rsidRPr="00EB71D4" w:rsidRDefault="00DD2C17" w:rsidP="00F34ED3">
            <w:pPr>
              <w:spacing w:line="360" w:lineRule="auto"/>
              <w:jc w:val="both"/>
              <w:rPr>
                <w:rFonts w:ascii="Arial" w:hAnsi="Arial" w:cs="Arial"/>
                <w:b/>
                <w:bCs/>
                <w:i/>
                <w:iCs/>
                <w:sz w:val="20"/>
                <w:szCs w:val="20"/>
              </w:rPr>
            </w:pPr>
            <w:r w:rsidRPr="00EB71D4">
              <w:rPr>
                <w:rFonts w:ascii="Arial" w:hAnsi="Arial" w:cs="Arial"/>
                <w:b/>
                <w:bCs/>
                <w:i/>
                <w:iCs/>
                <w:sz w:val="20"/>
                <w:szCs w:val="20"/>
              </w:rPr>
              <w:t xml:space="preserve">The following bidders did not comply with Mandatory Requirements </w:t>
            </w:r>
          </w:p>
          <w:p w14:paraId="0AC37ADD" w14:textId="77777777" w:rsidR="00DD2C17" w:rsidRPr="00EB71D4" w:rsidRDefault="00DD2C17" w:rsidP="00F34ED3">
            <w:pPr>
              <w:pStyle w:val="ListParagraph"/>
              <w:spacing w:line="360" w:lineRule="auto"/>
              <w:ind w:left="851"/>
              <w:jc w:val="both"/>
              <w:rPr>
                <w:rFonts w:ascii="Arial" w:hAnsi="Arial" w:cs="Arial"/>
                <w:i/>
                <w:iCs/>
                <w:sz w:val="20"/>
                <w:szCs w:val="20"/>
              </w:rPr>
            </w:pPr>
          </w:p>
          <w:p w14:paraId="084D18D3" w14:textId="79C11619" w:rsidR="00DD2C17" w:rsidRPr="00E735C5" w:rsidRDefault="00E735C5" w:rsidP="00E735C5">
            <w:pPr>
              <w:spacing w:line="360" w:lineRule="auto"/>
              <w:ind w:left="415" w:hanging="415"/>
              <w:jc w:val="both"/>
              <w:rPr>
                <w:rFonts w:ascii="Arial" w:hAnsi="Arial" w:cs="Arial"/>
                <w:i/>
                <w:iCs/>
                <w:sz w:val="20"/>
                <w:szCs w:val="20"/>
                <w:lang w:val="en-US"/>
              </w:rPr>
            </w:pPr>
            <w:r w:rsidRPr="00EB71D4">
              <w:rPr>
                <w:rFonts w:ascii="Symbol" w:hAnsi="Symbol" w:cs="Arial"/>
                <w:iCs/>
                <w:sz w:val="20"/>
                <w:szCs w:val="20"/>
                <w:lang w:val="en-US"/>
              </w:rPr>
              <w:lastRenderedPageBreak/>
              <w:t></w:t>
            </w:r>
            <w:r w:rsidRPr="00EB71D4">
              <w:rPr>
                <w:rFonts w:ascii="Symbol" w:hAnsi="Symbol" w:cs="Arial"/>
                <w:iCs/>
                <w:sz w:val="20"/>
                <w:szCs w:val="20"/>
                <w:lang w:val="en-US"/>
              </w:rPr>
              <w:tab/>
            </w:r>
            <w:r w:rsidR="00DD2C17" w:rsidRPr="00E735C5">
              <w:rPr>
                <w:rFonts w:ascii="Arial" w:hAnsi="Arial" w:cs="Arial"/>
                <w:b/>
                <w:bCs/>
                <w:i/>
                <w:iCs/>
                <w:sz w:val="20"/>
                <w:szCs w:val="20"/>
              </w:rPr>
              <w:t>Bidder 5: Zana Manzi Services (Pty) Ltd</w:t>
            </w:r>
            <w:r w:rsidR="00DD2C17" w:rsidRPr="00E735C5">
              <w:rPr>
                <w:rFonts w:ascii="Arial" w:hAnsi="Arial" w:cs="Arial"/>
                <w:i/>
                <w:iCs/>
                <w:sz w:val="20"/>
                <w:szCs w:val="20"/>
              </w:rPr>
              <w:t xml:space="preserve"> – bidder </w:t>
            </w:r>
            <w:r w:rsidR="00DD2C17" w:rsidRPr="00E735C5">
              <w:rPr>
                <w:rFonts w:ascii="Arial" w:hAnsi="Arial" w:cs="Arial"/>
                <w:i/>
                <w:iCs/>
                <w:sz w:val="20"/>
                <w:szCs w:val="20"/>
                <w:lang w:val="en-US"/>
              </w:rPr>
              <w:t>submitted SARS notice of registration instead of UIF certificate or tender letter.  Bid Evaluation Committee (BEC) suggested that the documents submitted should be forwarded to (DoL) for verification. DoL confirmed that the companies’ (sic) declaration and contributions were up to date at the closing of the bid, but the UFC certificates were not issued.  Bidder was therefore considered for further evaluation.</w:t>
            </w:r>
          </w:p>
          <w:p w14:paraId="09C82497" w14:textId="42E07E71" w:rsidR="00DD2C17" w:rsidRPr="00EB71D4" w:rsidRDefault="00DD2C17" w:rsidP="00EB71D4">
            <w:pPr>
              <w:pStyle w:val="ListParagraph"/>
              <w:spacing w:line="360" w:lineRule="auto"/>
              <w:ind w:left="415"/>
              <w:jc w:val="both"/>
              <w:rPr>
                <w:rFonts w:ascii="Arial" w:hAnsi="Arial" w:cs="Arial"/>
                <w:i/>
                <w:iCs/>
                <w:sz w:val="20"/>
                <w:szCs w:val="20"/>
                <w:lang w:val="en-US"/>
              </w:rPr>
            </w:pPr>
            <w:r w:rsidRPr="00EB71D4">
              <w:rPr>
                <w:rFonts w:ascii="Arial" w:hAnsi="Arial" w:cs="Arial"/>
                <w:i/>
                <w:iCs/>
                <w:sz w:val="20"/>
                <w:szCs w:val="20"/>
                <w:lang w:val="en-US"/>
              </w:rPr>
              <w:t>…</w:t>
            </w:r>
          </w:p>
          <w:p w14:paraId="4AD72206" w14:textId="0605E1EC" w:rsidR="00DD2C17" w:rsidRPr="00E735C5" w:rsidRDefault="00E735C5" w:rsidP="00E735C5">
            <w:pPr>
              <w:spacing w:line="360" w:lineRule="auto"/>
              <w:ind w:left="415" w:hanging="415"/>
              <w:jc w:val="both"/>
              <w:rPr>
                <w:rFonts w:ascii="Arial" w:hAnsi="Arial" w:cs="Arial"/>
                <w:i/>
                <w:iCs/>
                <w:sz w:val="20"/>
                <w:szCs w:val="20"/>
                <w:lang w:val="en-US"/>
              </w:rPr>
            </w:pPr>
            <w:r w:rsidRPr="00EB71D4">
              <w:rPr>
                <w:rFonts w:ascii="Symbol" w:hAnsi="Symbol" w:cs="Arial"/>
                <w:iCs/>
                <w:sz w:val="20"/>
                <w:szCs w:val="20"/>
                <w:lang w:val="en-US"/>
              </w:rPr>
              <w:t></w:t>
            </w:r>
            <w:r w:rsidRPr="00EB71D4">
              <w:rPr>
                <w:rFonts w:ascii="Symbol" w:hAnsi="Symbol" w:cs="Arial"/>
                <w:iCs/>
                <w:sz w:val="20"/>
                <w:szCs w:val="20"/>
                <w:lang w:val="en-US"/>
              </w:rPr>
              <w:tab/>
            </w:r>
            <w:r w:rsidR="00DD2C17" w:rsidRPr="00E735C5">
              <w:rPr>
                <w:rFonts w:ascii="Arial" w:hAnsi="Arial" w:cs="Arial"/>
                <w:b/>
                <w:bCs/>
                <w:i/>
                <w:iCs/>
                <w:sz w:val="20"/>
                <w:szCs w:val="20"/>
                <w:lang w:val="en-US"/>
              </w:rPr>
              <w:t>Bidder 8: Bicacon (Pty) Ltd</w:t>
            </w:r>
            <w:r w:rsidR="00DD2C17" w:rsidRPr="00E735C5">
              <w:rPr>
                <w:rFonts w:ascii="Arial" w:hAnsi="Arial" w:cs="Arial"/>
                <w:i/>
                <w:iCs/>
                <w:sz w:val="20"/>
                <w:szCs w:val="20"/>
                <w:lang w:val="en-US"/>
              </w:rPr>
              <w:t xml:space="preserve"> - bidder submitted application for registration instead of UIF certificate or tender letter.  Bid Evaluation Committee (BEC) suggested that the documents submitted should be forwarded to (DoL) for verification.  DoL confirmed that the companies’ declaration and contributions were up to date at the closing of the bid, but the UIF certificates were not issued.  Bid was therefore considered for further evaluation.</w:t>
            </w:r>
          </w:p>
          <w:p w14:paraId="616DEF45" w14:textId="6654A801" w:rsidR="00DD2C17" w:rsidRPr="00EB71D4" w:rsidRDefault="00DD2C17" w:rsidP="00EB71D4">
            <w:pPr>
              <w:pStyle w:val="ListParagraph"/>
              <w:spacing w:line="360" w:lineRule="auto"/>
              <w:ind w:left="415"/>
              <w:jc w:val="both"/>
              <w:rPr>
                <w:rFonts w:ascii="Arial" w:hAnsi="Arial" w:cs="Arial"/>
                <w:i/>
                <w:iCs/>
                <w:sz w:val="20"/>
                <w:szCs w:val="20"/>
                <w:lang w:val="en-US"/>
              </w:rPr>
            </w:pPr>
            <w:r w:rsidRPr="00EB71D4">
              <w:rPr>
                <w:rFonts w:ascii="Arial" w:hAnsi="Arial" w:cs="Arial"/>
                <w:i/>
                <w:iCs/>
                <w:sz w:val="20"/>
                <w:szCs w:val="20"/>
                <w:lang w:val="en-US"/>
              </w:rPr>
              <w:t>…</w:t>
            </w:r>
          </w:p>
          <w:p w14:paraId="66D70BDB" w14:textId="4E060034" w:rsidR="00DD2C17" w:rsidRPr="00E735C5" w:rsidRDefault="00E735C5" w:rsidP="00E735C5">
            <w:pPr>
              <w:spacing w:line="360" w:lineRule="auto"/>
              <w:ind w:left="415" w:hanging="415"/>
              <w:jc w:val="both"/>
              <w:rPr>
                <w:rFonts w:ascii="Arial" w:hAnsi="Arial" w:cs="Arial"/>
                <w:i/>
                <w:iCs/>
                <w:sz w:val="20"/>
                <w:szCs w:val="20"/>
                <w:lang w:val="en-US"/>
              </w:rPr>
            </w:pPr>
            <w:r w:rsidRPr="00EB71D4">
              <w:rPr>
                <w:rFonts w:ascii="Symbol" w:hAnsi="Symbol" w:cs="Arial"/>
                <w:iCs/>
                <w:sz w:val="20"/>
                <w:szCs w:val="20"/>
                <w:lang w:val="en-US"/>
              </w:rPr>
              <w:t></w:t>
            </w:r>
            <w:r w:rsidRPr="00EB71D4">
              <w:rPr>
                <w:rFonts w:ascii="Symbol" w:hAnsi="Symbol" w:cs="Arial"/>
                <w:iCs/>
                <w:sz w:val="20"/>
                <w:szCs w:val="20"/>
                <w:lang w:val="en-US"/>
              </w:rPr>
              <w:tab/>
            </w:r>
            <w:r w:rsidR="00DD2C17" w:rsidRPr="00E735C5">
              <w:rPr>
                <w:rFonts w:ascii="Arial" w:hAnsi="Arial" w:cs="Arial"/>
                <w:b/>
                <w:bCs/>
                <w:i/>
                <w:iCs/>
                <w:sz w:val="20"/>
                <w:szCs w:val="20"/>
              </w:rPr>
              <w:t>Bidder 20 – SPEC JV (Pty) Ltd</w:t>
            </w:r>
            <w:r w:rsidR="00DD2C17" w:rsidRPr="00E735C5">
              <w:rPr>
                <w:rFonts w:ascii="Arial" w:hAnsi="Arial" w:cs="Arial"/>
                <w:i/>
                <w:iCs/>
                <w:sz w:val="20"/>
                <w:szCs w:val="20"/>
              </w:rPr>
              <w:t xml:space="preserve"> – on</w:t>
            </w:r>
            <w:r w:rsidR="00D774AB" w:rsidRPr="00E735C5">
              <w:rPr>
                <w:rFonts w:ascii="Arial" w:hAnsi="Arial" w:cs="Arial"/>
                <w:i/>
                <w:iCs/>
                <w:sz w:val="20"/>
                <w:szCs w:val="20"/>
              </w:rPr>
              <w:t>e</w:t>
            </w:r>
            <w:r w:rsidR="00DD2C17" w:rsidRPr="00E735C5">
              <w:rPr>
                <w:rFonts w:ascii="Arial" w:hAnsi="Arial" w:cs="Arial"/>
                <w:i/>
                <w:iCs/>
                <w:sz w:val="20"/>
                <w:szCs w:val="20"/>
              </w:rPr>
              <w:t xml:space="preserve"> of the joint venture company (SPEC) UIF was non-compliant.</w:t>
            </w:r>
          </w:p>
          <w:p w14:paraId="1E52EBE4" w14:textId="2888BFF7" w:rsidR="00DD2C17" w:rsidRPr="00EB71D4" w:rsidRDefault="00DD2C17" w:rsidP="00EB71D4">
            <w:pPr>
              <w:pStyle w:val="ListParagraph"/>
              <w:spacing w:line="360" w:lineRule="auto"/>
              <w:ind w:left="415"/>
              <w:jc w:val="both"/>
              <w:rPr>
                <w:rFonts w:ascii="Arial" w:hAnsi="Arial" w:cs="Arial"/>
                <w:i/>
                <w:iCs/>
                <w:sz w:val="20"/>
                <w:szCs w:val="20"/>
                <w:lang w:val="en-US"/>
              </w:rPr>
            </w:pPr>
            <w:r w:rsidRPr="00EB71D4">
              <w:rPr>
                <w:rFonts w:ascii="Arial" w:hAnsi="Arial" w:cs="Arial"/>
                <w:i/>
                <w:iCs/>
                <w:sz w:val="20"/>
                <w:szCs w:val="20"/>
                <w:lang w:val="en-US"/>
              </w:rPr>
              <w:t>…</w:t>
            </w:r>
          </w:p>
          <w:p w14:paraId="52616078" w14:textId="77777777" w:rsidR="00DD2C17" w:rsidRPr="00EB71D4" w:rsidRDefault="00DD2C17" w:rsidP="00F34ED3">
            <w:pPr>
              <w:pStyle w:val="NormalWeb"/>
              <w:spacing w:before="0" w:beforeAutospacing="0" w:after="0" w:afterAutospacing="0" w:line="360" w:lineRule="auto"/>
              <w:ind w:right="259"/>
              <w:jc w:val="both"/>
              <w:rPr>
                <w:rFonts w:ascii="Arial" w:hAnsi="Arial" w:cs="Arial"/>
                <w:b/>
                <w:bCs/>
                <w:i/>
                <w:iCs/>
                <w:sz w:val="20"/>
                <w:szCs w:val="20"/>
              </w:rPr>
            </w:pPr>
            <w:r w:rsidRPr="00EB71D4">
              <w:rPr>
                <w:rFonts w:ascii="Arial" w:hAnsi="Arial" w:cs="Arial"/>
                <w:b/>
                <w:bCs/>
                <w:i/>
                <w:iCs/>
                <w:sz w:val="20"/>
                <w:szCs w:val="20"/>
              </w:rPr>
              <w:t>See score sheets attached for ease of reference.</w:t>
            </w:r>
          </w:p>
          <w:p w14:paraId="3DBB988B" w14:textId="77777777" w:rsidR="00DD2C17" w:rsidRPr="00EB71D4" w:rsidRDefault="00DD2C17" w:rsidP="00F34ED3">
            <w:pPr>
              <w:pStyle w:val="NormalWeb"/>
              <w:spacing w:before="0" w:beforeAutospacing="0" w:after="0" w:afterAutospacing="0" w:line="360" w:lineRule="auto"/>
              <w:ind w:right="259"/>
              <w:jc w:val="both"/>
              <w:rPr>
                <w:rFonts w:ascii="Arial" w:hAnsi="Arial" w:cs="Arial"/>
                <w:i/>
                <w:iCs/>
                <w:sz w:val="20"/>
                <w:szCs w:val="20"/>
              </w:rPr>
            </w:pPr>
          </w:p>
          <w:p w14:paraId="37220EA2" w14:textId="20A8995D" w:rsidR="00DD2C17" w:rsidRPr="00EB71D4" w:rsidRDefault="00DD2C17" w:rsidP="00F34ED3">
            <w:pPr>
              <w:pStyle w:val="NormalWeb"/>
              <w:spacing w:before="0" w:beforeAutospacing="0" w:after="0" w:afterAutospacing="0" w:line="360" w:lineRule="auto"/>
              <w:ind w:right="259"/>
              <w:jc w:val="both"/>
              <w:rPr>
                <w:rFonts w:ascii="Arial" w:hAnsi="Arial" w:cs="Arial"/>
                <w:i/>
                <w:iCs/>
                <w:sz w:val="20"/>
                <w:szCs w:val="20"/>
              </w:rPr>
            </w:pPr>
            <w:r w:rsidRPr="00EB71D4">
              <w:rPr>
                <w:rFonts w:ascii="Arial" w:hAnsi="Arial" w:cs="Arial"/>
                <w:i/>
                <w:iCs/>
                <w:sz w:val="20"/>
                <w:szCs w:val="20"/>
              </w:rPr>
              <w:t>Below is a list of nine (9)</w:t>
            </w:r>
            <w:r>
              <w:rPr>
                <w:rStyle w:val="FootnoteReference"/>
                <w:rFonts w:ascii="Arial" w:hAnsi="Arial" w:cs="Arial"/>
                <w:i/>
                <w:iCs/>
                <w:sz w:val="20"/>
                <w:szCs w:val="20"/>
              </w:rPr>
              <w:footnoteReference w:id="3"/>
            </w:r>
            <w:r w:rsidRPr="00EB71D4">
              <w:rPr>
                <w:rFonts w:ascii="Arial" w:hAnsi="Arial" w:cs="Arial"/>
                <w:i/>
                <w:iCs/>
                <w:sz w:val="20"/>
                <w:szCs w:val="20"/>
              </w:rPr>
              <w:t xml:space="preserve"> bids who were considered for further evaluation:</w:t>
            </w:r>
          </w:p>
          <w:p w14:paraId="56DF1F5B" w14:textId="77777777" w:rsidR="00DD2C17" w:rsidRPr="00EB71D4" w:rsidRDefault="00DD2C17" w:rsidP="00F34ED3">
            <w:pPr>
              <w:pStyle w:val="NormalWeb"/>
              <w:spacing w:before="0" w:beforeAutospacing="0" w:after="0" w:afterAutospacing="0" w:line="360" w:lineRule="auto"/>
              <w:ind w:right="259"/>
              <w:jc w:val="both"/>
              <w:rPr>
                <w:rFonts w:ascii="Arial" w:hAnsi="Arial" w:cs="Arial"/>
                <w:i/>
                <w:iCs/>
                <w:sz w:val="20"/>
                <w:szCs w:val="20"/>
              </w:rPr>
            </w:pPr>
          </w:p>
          <w:p w14:paraId="4152C86F" w14:textId="2A2B48E9" w:rsidR="00DD2C17" w:rsidRPr="00E735C5" w:rsidRDefault="00E735C5" w:rsidP="00E735C5">
            <w:pPr>
              <w:spacing w:line="360" w:lineRule="auto"/>
              <w:ind w:left="415" w:hanging="415"/>
              <w:jc w:val="both"/>
              <w:rPr>
                <w:rFonts w:ascii="Arial" w:hAnsi="Arial" w:cs="Arial"/>
                <w:i/>
                <w:iCs/>
                <w:sz w:val="20"/>
                <w:szCs w:val="20"/>
                <w:lang w:val="en-US"/>
              </w:rPr>
            </w:pPr>
            <w:r w:rsidRPr="00EB71D4">
              <w:rPr>
                <w:rFonts w:ascii="Symbol" w:hAnsi="Symbol" w:cs="Arial"/>
                <w:iCs/>
                <w:sz w:val="20"/>
                <w:szCs w:val="20"/>
                <w:lang w:val="en-US"/>
              </w:rPr>
              <w:t></w:t>
            </w:r>
            <w:r w:rsidRPr="00EB71D4">
              <w:rPr>
                <w:rFonts w:ascii="Symbol" w:hAnsi="Symbol" w:cs="Arial"/>
                <w:iCs/>
                <w:sz w:val="20"/>
                <w:szCs w:val="20"/>
                <w:lang w:val="en-US"/>
              </w:rPr>
              <w:tab/>
            </w:r>
            <w:r w:rsidR="00DD2C17" w:rsidRPr="00E735C5">
              <w:rPr>
                <w:rFonts w:ascii="Arial" w:hAnsi="Arial" w:cs="Arial"/>
                <w:b/>
                <w:bCs/>
                <w:i/>
                <w:iCs/>
                <w:sz w:val="20"/>
                <w:szCs w:val="20"/>
              </w:rPr>
              <w:t>Bidder 2: Isiphethu Water Services (Pty) Ltd</w:t>
            </w:r>
          </w:p>
          <w:p w14:paraId="16FD2D9C" w14:textId="19F0B57D" w:rsidR="00DD2C17" w:rsidRPr="00E735C5" w:rsidRDefault="00E735C5" w:rsidP="00E735C5">
            <w:pPr>
              <w:spacing w:line="360" w:lineRule="auto"/>
              <w:ind w:left="415" w:hanging="415"/>
              <w:jc w:val="both"/>
              <w:rPr>
                <w:rFonts w:ascii="Arial" w:hAnsi="Arial" w:cs="Arial"/>
                <w:b/>
                <w:bCs/>
                <w:i/>
                <w:iCs/>
                <w:sz w:val="20"/>
                <w:szCs w:val="20"/>
                <w:lang w:val="en-US"/>
              </w:rPr>
            </w:pPr>
            <w:r w:rsidRPr="00EB71D4">
              <w:rPr>
                <w:rFonts w:ascii="Symbol" w:hAnsi="Symbol" w:cs="Arial"/>
                <w:bCs/>
                <w:iCs/>
                <w:sz w:val="20"/>
                <w:szCs w:val="20"/>
                <w:lang w:val="en-US"/>
              </w:rPr>
              <w:t></w:t>
            </w:r>
            <w:r w:rsidRPr="00EB71D4">
              <w:rPr>
                <w:rFonts w:ascii="Symbol" w:hAnsi="Symbol" w:cs="Arial"/>
                <w:bCs/>
                <w:iCs/>
                <w:sz w:val="20"/>
                <w:szCs w:val="20"/>
                <w:lang w:val="en-US"/>
              </w:rPr>
              <w:tab/>
            </w:r>
            <w:r w:rsidR="00DD2C17" w:rsidRPr="00E735C5">
              <w:rPr>
                <w:rFonts w:ascii="Arial" w:hAnsi="Arial" w:cs="Arial"/>
                <w:b/>
                <w:bCs/>
                <w:i/>
                <w:iCs/>
                <w:sz w:val="20"/>
                <w:szCs w:val="20"/>
                <w:lang w:val="en-US"/>
              </w:rPr>
              <w:t>Bidder 4: Tushcor Holdings (Pty) Ltd</w:t>
            </w:r>
          </w:p>
          <w:p w14:paraId="30801B4E" w14:textId="0C8723A4" w:rsidR="00DD2C17" w:rsidRPr="00E735C5" w:rsidRDefault="00E735C5" w:rsidP="00E735C5">
            <w:pPr>
              <w:spacing w:line="360" w:lineRule="auto"/>
              <w:ind w:left="415" w:hanging="415"/>
              <w:jc w:val="both"/>
              <w:rPr>
                <w:rFonts w:ascii="Arial" w:hAnsi="Arial" w:cs="Arial"/>
                <w:b/>
                <w:bCs/>
                <w:i/>
                <w:iCs/>
                <w:sz w:val="20"/>
                <w:szCs w:val="20"/>
                <w:lang w:val="en-US"/>
              </w:rPr>
            </w:pPr>
            <w:r w:rsidRPr="00EB71D4">
              <w:rPr>
                <w:rFonts w:ascii="Symbol" w:hAnsi="Symbol" w:cs="Arial"/>
                <w:bCs/>
                <w:iCs/>
                <w:sz w:val="20"/>
                <w:szCs w:val="20"/>
                <w:lang w:val="en-US"/>
              </w:rPr>
              <w:t></w:t>
            </w:r>
            <w:r w:rsidRPr="00EB71D4">
              <w:rPr>
                <w:rFonts w:ascii="Symbol" w:hAnsi="Symbol" w:cs="Arial"/>
                <w:bCs/>
                <w:iCs/>
                <w:sz w:val="20"/>
                <w:szCs w:val="20"/>
                <w:lang w:val="en-US"/>
              </w:rPr>
              <w:tab/>
            </w:r>
            <w:r w:rsidR="00DD2C17" w:rsidRPr="00E735C5">
              <w:rPr>
                <w:rFonts w:ascii="Arial" w:hAnsi="Arial" w:cs="Arial"/>
                <w:b/>
                <w:bCs/>
                <w:i/>
                <w:iCs/>
                <w:sz w:val="20"/>
                <w:szCs w:val="20"/>
                <w:lang w:val="en-US"/>
              </w:rPr>
              <w:t>Bidder 5: Zana Manzi Services (Pty) Ltd</w:t>
            </w:r>
          </w:p>
          <w:p w14:paraId="273FF7AA" w14:textId="1D3B831D" w:rsidR="00DD2C17" w:rsidRPr="00E735C5" w:rsidRDefault="00E735C5" w:rsidP="00E735C5">
            <w:pPr>
              <w:spacing w:line="360" w:lineRule="auto"/>
              <w:ind w:left="415" w:hanging="415"/>
              <w:jc w:val="both"/>
              <w:rPr>
                <w:rFonts w:ascii="Arial" w:hAnsi="Arial" w:cs="Arial"/>
                <w:b/>
                <w:bCs/>
                <w:i/>
                <w:iCs/>
                <w:sz w:val="20"/>
                <w:szCs w:val="20"/>
                <w:lang w:val="en-US"/>
              </w:rPr>
            </w:pPr>
            <w:r w:rsidRPr="00EB71D4">
              <w:rPr>
                <w:rFonts w:ascii="Symbol" w:hAnsi="Symbol" w:cs="Arial"/>
                <w:bCs/>
                <w:iCs/>
                <w:sz w:val="20"/>
                <w:szCs w:val="20"/>
                <w:lang w:val="en-US"/>
              </w:rPr>
              <w:t></w:t>
            </w:r>
            <w:r w:rsidRPr="00EB71D4">
              <w:rPr>
                <w:rFonts w:ascii="Symbol" w:hAnsi="Symbol" w:cs="Arial"/>
                <w:bCs/>
                <w:iCs/>
                <w:sz w:val="20"/>
                <w:szCs w:val="20"/>
                <w:lang w:val="en-US"/>
              </w:rPr>
              <w:tab/>
            </w:r>
            <w:r w:rsidR="00DD2C17" w:rsidRPr="00E735C5">
              <w:rPr>
                <w:rFonts w:ascii="Arial" w:hAnsi="Arial" w:cs="Arial"/>
                <w:b/>
                <w:bCs/>
                <w:i/>
                <w:iCs/>
                <w:sz w:val="20"/>
                <w:szCs w:val="20"/>
                <w:lang w:val="en-US"/>
              </w:rPr>
              <w:t>Bidder 8: Bicacon (Pty) Ltd</w:t>
            </w:r>
          </w:p>
          <w:p w14:paraId="216A01CD" w14:textId="1D565CB3" w:rsidR="00DD2C17" w:rsidRPr="00E735C5" w:rsidRDefault="00E735C5" w:rsidP="00E735C5">
            <w:pPr>
              <w:spacing w:line="360" w:lineRule="auto"/>
              <w:ind w:left="415" w:hanging="415"/>
              <w:jc w:val="both"/>
              <w:rPr>
                <w:rFonts w:ascii="Arial" w:hAnsi="Arial" w:cs="Arial"/>
                <w:b/>
                <w:bCs/>
                <w:i/>
                <w:iCs/>
                <w:sz w:val="20"/>
                <w:szCs w:val="20"/>
                <w:lang w:val="en-US"/>
              </w:rPr>
            </w:pPr>
            <w:r w:rsidRPr="00EB71D4">
              <w:rPr>
                <w:rFonts w:ascii="Symbol" w:hAnsi="Symbol" w:cs="Arial"/>
                <w:bCs/>
                <w:iCs/>
                <w:sz w:val="20"/>
                <w:szCs w:val="20"/>
                <w:lang w:val="en-US"/>
              </w:rPr>
              <w:t></w:t>
            </w:r>
            <w:r w:rsidRPr="00EB71D4">
              <w:rPr>
                <w:rFonts w:ascii="Symbol" w:hAnsi="Symbol" w:cs="Arial"/>
                <w:bCs/>
                <w:iCs/>
                <w:sz w:val="20"/>
                <w:szCs w:val="20"/>
                <w:lang w:val="en-US"/>
              </w:rPr>
              <w:tab/>
            </w:r>
            <w:r w:rsidR="00DD2C17" w:rsidRPr="00E735C5">
              <w:rPr>
                <w:rFonts w:ascii="Arial" w:hAnsi="Arial" w:cs="Arial"/>
                <w:b/>
                <w:bCs/>
                <w:i/>
                <w:iCs/>
                <w:sz w:val="20"/>
                <w:szCs w:val="20"/>
                <w:lang w:val="en-US"/>
              </w:rPr>
              <w:t>Bidder 9: Phunya Consulting CC</w:t>
            </w:r>
          </w:p>
          <w:p w14:paraId="63601BAC" w14:textId="1A0E2359" w:rsidR="00DD2C17" w:rsidRPr="00E735C5" w:rsidRDefault="00E735C5" w:rsidP="00E735C5">
            <w:pPr>
              <w:spacing w:line="360" w:lineRule="auto"/>
              <w:ind w:left="415" w:hanging="415"/>
              <w:jc w:val="both"/>
              <w:rPr>
                <w:rFonts w:ascii="Arial" w:hAnsi="Arial" w:cs="Arial"/>
                <w:b/>
                <w:bCs/>
                <w:i/>
                <w:iCs/>
                <w:sz w:val="20"/>
                <w:szCs w:val="20"/>
                <w:lang w:val="en-US"/>
              </w:rPr>
            </w:pPr>
            <w:r w:rsidRPr="00EB71D4">
              <w:rPr>
                <w:rFonts w:ascii="Symbol" w:hAnsi="Symbol" w:cs="Arial"/>
                <w:bCs/>
                <w:iCs/>
                <w:sz w:val="20"/>
                <w:szCs w:val="20"/>
                <w:lang w:val="en-US"/>
              </w:rPr>
              <w:lastRenderedPageBreak/>
              <w:t></w:t>
            </w:r>
            <w:r w:rsidRPr="00EB71D4">
              <w:rPr>
                <w:rFonts w:ascii="Symbol" w:hAnsi="Symbol" w:cs="Arial"/>
                <w:bCs/>
                <w:iCs/>
                <w:sz w:val="20"/>
                <w:szCs w:val="20"/>
                <w:lang w:val="en-US"/>
              </w:rPr>
              <w:tab/>
            </w:r>
            <w:r w:rsidR="00DD2C17" w:rsidRPr="00E735C5">
              <w:rPr>
                <w:rFonts w:ascii="Arial" w:hAnsi="Arial" w:cs="Arial"/>
                <w:b/>
                <w:bCs/>
                <w:i/>
                <w:iCs/>
                <w:sz w:val="20"/>
                <w:szCs w:val="20"/>
                <w:lang w:val="en-US"/>
              </w:rPr>
              <w:t>Bidder 15: CMS Water Engineering CC</w:t>
            </w:r>
          </w:p>
          <w:p w14:paraId="48A7970E" w14:textId="10F03244" w:rsidR="00DD2C17" w:rsidRPr="00E735C5" w:rsidRDefault="00E735C5" w:rsidP="00E735C5">
            <w:pPr>
              <w:spacing w:line="360" w:lineRule="auto"/>
              <w:ind w:left="415" w:hanging="415"/>
              <w:jc w:val="both"/>
              <w:rPr>
                <w:rFonts w:ascii="Arial" w:hAnsi="Arial" w:cs="Arial"/>
                <w:b/>
                <w:bCs/>
                <w:i/>
                <w:iCs/>
                <w:sz w:val="20"/>
                <w:szCs w:val="20"/>
                <w:lang w:val="en-US"/>
              </w:rPr>
            </w:pPr>
            <w:r w:rsidRPr="00EB71D4">
              <w:rPr>
                <w:rFonts w:ascii="Symbol" w:hAnsi="Symbol" w:cs="Arial"/>
                <w:bCs/>
                <w:iCs/>
                <w:sz w:val="20"/>
                <w:szCs w:val="20"/>
                <w:lang w:val="en-US"/>
              </w:rPr>
              <w:t></w:t>
            </w:r>
            <w:r w:rsidRPr="00EB71D4">
              <w:rPr>
                <w:rFonts w:ascii="Symbol" w:hAnsi="Symbol" w:cs="Arial"/>
                <w:bCs/>
                <w:iCs/>
                <w:sz w:val="20"/>
                <w:szCs w:val="20"/>
                <w:lang w:val="en-US"/>
              </w:rPr>
              <w:tab/>
            </w:r>
            <w:r w:rsidR="00DD2C17" w:rsidRPr="00E735C5">
              <w:rPr>
                <w:rFonts w:ascii="Arial" w:hAnsi="Arial" w:cs="Arial"/>
                <w:b/>
                <w:bCs/>
                <w:i/>
                <w:iCs/>
                <w:sz w:val="20"/>
                <w:szCs w:val="20"/>
                <w:lang w:val="en-US"/>
              </w:rPr>
              <w:t xml:space="preserve">Bidder 19: Kelotlhoko JV Xintsabyana </w:t>
            </w:r>
          </w:p>
          <w:p w14:paraId="5A4385C7" w14:textId="4EE0C0F4" w:rsidR="00DD2C17" w:rsidRPr="00EB71D4" w:rsidRDefault="00DD2C17" w:rsidP="00EB71D4">
            <w:pPr>
              <w:spacing w:line="360" w:lineRule="auto"/>
              <w:jc w:val="both"/>
              <w:rPr>
                <w:rFonts w:ascii="Arial" w:hAnsi="Arial" w:cs="Arial"/>
                <w:b/>
                <w:bCs/>
                <w:i/>
                <w:iCs/>
                <w:sz w:val="20"/>
                <w:szCs w:val="20"/>
                <w:lang w:val="en-US"/>
              </w:rPr>
            </w:pPr>
            <w:r w:rsidRPr="00EB71D4">
              <w:rPr>
                <w:rFonts w:ascii="Arial" w:hAnsi="Arial" w:cs="Arial"/>
                <w:b/>
                <w:bCs/>
                <w:i/>
                <w:iCs/>
                <w:sz w:val="20"/>
                <w:szCs w:val="20"/>
                <w:lang w:val="en-US"/>
              </w:rPr>
              <w:t>…</w:t>
            </w:r>
          </w:p>
        </w:tc>
        <w:tc>
          <w:tcPr>
            <w:tcW w:w="1965" w:type="pct"/>
          </w:tcPr>
          <w:p w14:paraId="6B7019C1" w14:textId="14D7AFF7" w:rsidR="00DD2C17" w:rsidRPr="00EB71D4" w:rsidRDefault="00DD2C17" w:rsidP="00F34ED3">
            <w:pPr>
              <w:pStyle w:val="NormalWeb"/>
              <w:spacing w:before="0" w:beforeAutospacing="0" w:after="0" w:afterAutospacing="0" w:line="360" w:lineRule="auto"/>
              <w:ind w:right="259"/>
              <w:jc w:val="center"/>
              <w:rPr>
                <w:rFonts w:ascii="Arial" w:hAnsi="Arial" w:cs="Arial"/>
                <w:i/>
                <w:iCs/>
                <w:sz w:val="20"/>
                <w:szCs w:val="20"/>
              </w:rPr>
            </w:pPr>
            <w:r w:rsidRPr="00EB71D4">
              <w:rPr>
                <w:rFonts w:ascii="Arial" w:hAnsi="Arial" w:cs="Arial"/>
                <w:i/>
                <w:iCs/>
                <w:sz w:val="20"/>
                <w:szCs w:val="20"/>
              </w:rPr>
              <w:lastRenderedPageBreak/>
              <w:t>Seven (7) bids complied with the mandatory requirements and were considered for further evaluation into Phase 2 (compulsory sub-contracting (Regulation 9) criteria.</w:t>
            </w:r>
          </w:p>
        </w:tc>
      </w:tr>
    </w:tbl>
    <w:p w14:paraId="733A555E" w14:textId="171B7EA7" w:rsidR="00477FE2" w:rsidRDefault="00477FE2" w:rsidP="002D60C7">
      <w:pPr>
        <w:pStyle w:val="NormalWeb"/>
        <w:shd w:val="clear" w:color="auto" w:fill="FFFFFF"/>
        <w:spacing w:before="0" w:beforeAutospacing="0" w:after="0" w:afterAutospacing="0" w:line="480" w:lineRule="auto"/>
        <w:ind w:left="851" w:right="259"/>
        <w:jc w:val="both"/>
        <w:rPr>
          <w:rFonts w:ascii="Arial" w:hAnsi="Arial" w:cs="Arial"/>
        </w:rPr>
      </w:pPr>
    </w:p>
    <w:p w14:paraId="468B6F26" w14:textId="07AF35E0" w:rsidR="00316FBF"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[12]</w:t>
      </w:r>
      <w:r>
        <w:rPr>
          <w:rFonts w:ascii="Arial" w:hAnsi="Arial" w:cs="Arial"/>
        </w:rPr>
        <w:tab/>
      </w:r>
      <w:r w:rsidR="00316FBF">
        <w:rPr>
          <w:rFonts w:ascii="Arial" w:hAnsi="Arial" w:cs="Arial"/>
        </w:rPr>
        <w:t xml:space="preserve">The main thrust of the applicant’s </w:t>
      </w:r>
      <w:r w:rsidR="00DC7DAB">
        <w:rPr>
          <w:rFonts w:ascii="Arial" w:hAnsi="Arial" w:cs="Arial"/>
        </w:rPr>
        <w:t xml:space="preserve">case is </w:t>
      </w:r>
      <w:r w:rsidR="00316FBF">
        <w:rPr>
          <w:rFonts w:ascii="Arial" w:hAnsi="Arial" w:cs="Arial"/>
        </w:rPr>
        <w:t xml:space="preserve">two-fold.  Firstly, that the first respondent relaxed the mandatory tender requirements for certain </w:t>
      </w:r>
      <w:r w:rsidR="00400676">
        <w:rPr>
          <w:rFonts w:ascii="Arial" w:hAnsi="Arial" w:cs="Arial"/>
        </w:rPr>
        <w:t>bidders</w:t>
      </w:r>
      <w:r w:rsidR="00316FBF">
        <w:rPr>
          <w:rFonts w:ascii="Arial" w:hAnsi="Arial" w:cs="Arial"/>
        </w:rPr>
        <w:t xml:space="preserve"> but not for others, including the applicant; and secondly, that the first respondent had sufficient information to verify</w:t>
      </w:r>
      <w:r w:rsidR="00B53C35">
        <w:rPr>
          <w:rFonts w:ascii="Arial" w:hAnsi="Arial" w:cs="Arial"/>
        </w:rPr>
        <w:t xml:space="preserve"> the applicant’s </w:t>
      </w:r>
      <w:r w:rsidR="00316FBF">
        <w:rPr>
          <w:rFonts w:ascii="Arial" w:hAnsi="Arial" w:cs="Arial"/>
        </w:rPr>
        <w:t xml:space="preserve">UIF status and compliance with the Department of Labour, which it failed to do.  </w:t>
      </w:r>
    </w:p>
    <w:p w14:paraId="549883A5" w14:textId="77777777" w:rsidR="00316FBF" w:rsidRDefault="00316FBF" w:rsidP="00316FBF">
      <w:pPr>
        <w:pStyle w:val="NormalWeb"/>
        <w:shd w:val="clear" w:color="auto" w:fill="FFFFFF"/>
        <w:spacing w:before="0" w:beforeAutospacing="0" w:after="0" w:afterAutospacing="0" w:line="480" w:lineRule="auto"/>
        <w:ind w:left="851" w:right="259"/>
        <w:jc w:val="both"/>
        <w:rPr>
          <w:rFonts w:ascii="Arial" w:hAnsi="Arial" w:cs="Arial"/>
        </w:rPr>
      </w:pPr>
    </w:p>
    <w:p w14:paraId="0E1C1186" w14:textId="7740B00F" w:rsidR="00815AF8" w:rsidRPr="00815AF8"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sidRPr="00815AF8">
        <w:rPr>
          <w:rFonts w:ascii="Arial" w:hAnsi="Arial" w:cs="Arial"/>
        </w:rPr>
        <w:t>[13]</w:t>
      </w:r>
      <w:r w:rsidRPr="00815AF8">
        <w:rPr>
          <w:rFonts w:ascii="Arial" w:hAnsi="Arial" w:cs="Arial"/>
        </w:rPr>
        <w:tab/>
      </w:r>
      <w:r w:rsidR="00316FBF">
        <w:rPr>
          <w:rFonts w:ascii="Arial" w:hAnsi="Arial" w:cs="Arial"/>
        </w:rPr>
        <w:t xml:space="preserve">On the other hand, the first respondent, </w:t>
      </w:r>
      <w:r w:rsidR="00815AF8">
        <w:rPr>
          <w:rFonts w:ascii="Arial" w:hAnsi="Arial" w:cs="Arial"/>
        </w:rPr>
        <w:t xml:space="preserve">notwithstanding the department’s own apparent deviation from the mandatory requirements, and without addressing this </w:t>
      </w:r>
      <w:r w:rsidR="00DC7DAB">
        <w:rPr>
          <w:rFonts w:ascii="Arial" w:hAnsi="Arial" w:cs="Arial"/>
        </w:rPr>
        <w:t>disparity</w:t>
      </w:r>
      <w:r w:rsidR="00815AF8">
        <w:rPr>
          <w:rFonts w:ascii="Arial" w:hAnsi="Arial" w:cs="Arial"/>
        </w:rPr>
        <w:t xml:space="preserve"> on the papers before court, </w:t>
      </w:r>
      <w:r w:rsidR="00DC7DAB">
        <w:rPr>
          <w:rFonts w:ascii="Arial" w:hAnsi="Arial" w:cs="Arial"/>
        </w:rPr>
        <w:t xml:space="preserve">takes the position </w:t>
      </w:r>
      <w:r w:rsidR="00815AF8">
        <w:rPr>
          <w:rFonts w:ascii="Arial" w:hAnsi="Arial" w:cs="Arial"/>
        </w:rPr>
        <w:t xml:space="preserve">that the applicant </w:t>
      </w:r>
      <w:r w:rsidR="00815AF8" w:rsidRPr="00815AF8">
        <w:rPr>
          <w:rFonts w:ascii="Arial" w:hAnsi="Arial" w:cs="Arial"/>
          <w:lang w:val="en-US"/>
        </w:rPr>
        <w:t xml:space="preserve">was not considered for further participation in the bidding process by reason of </w:t>
      </w:r>
      <w:r w:rsidR="0067200F">
        <w:rPr>
          <w:rFonts w:ascii="Arial" w:hAnsi="Arial" w:cs="Arial"/>
          <w:lang w:val="en-US"/>
        </w:rPr>
        <w:t xml:space="preserve">the applicant’s </w:t>
      </w:r>
      <w:r w:rsidR="00815AF8" w:rsidRPr="00815AF8">
        <w:rPr>
          <w:rFonts w:ascii="Arial" w:hAnsi="Arial" w:cs="Arial"/>
          <w:lang w:val="en-US"/>
        </w:rPr>
        <w:t>non</w:t>
      </w:r>
      <w:r w:rsidR="00815AF8">
        <w:rPr>
          <w:rFonts w:ascii="Arial" w:hAnsi="Arial" w:cs="Arial"/>
          <w:lang w:val="en-US"/>
        </w:rPr>
        <w:t>-</w:t>
      </w:r>
      <w:r w:rsidR="00815AF8" w:rsidRPr="00815AF8">
        <w:rPr>
          <w:rFonts w:ascii="Arial" w:hAnsi="Arial" w:cs="Arial"/>
          <w:lang w:val="en-US"/>
        </w:rPr>
        <w:t>compliance with the mandatory requirements</w:t>
      </w:r>
      <w:r w:rsidR="00815AF8">
        <w:rPr>
          <w:rFonts w:ascii="Arial" w:hAnsi="Arial" w:cs="Arial"/>
          <w:lang w:val="en-US"/>
        </w:rPr>
        <w:t>, and more particularly, its lead partner’s failure to submit a valid UIF certificate of compliance.</w:t>
      </w:r>
    </w:p>
    <w:p w14:paraId="7979C259" w14:textId="77777777" w:rsidR="00815AF8" w:rsidRDefault="00815AF8" w:rsidP="005366EF">
      <w:pPr>
        <w:pStyle w:val="ListParagraph"/>
        <w:spacing w:after="0" w:line="480" w:lineRule="auto"/>
        <w:rPr>
          <w:rFonts w:ascii="Arial" w:hAnsi="Arial" w:cs="Arial"/>
        </w:rPr>
      </w:pPr>
    </w:p>
    <w:p w14:paraId="1831AF9C" w14:textId="2018ECC9" w:rsidR="00D132BA" w:rsidRPr="009A269C"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lang w:val="en-US"/>
        </w:rPr>
      </w:pPr>
      <w:r w:rsidRPr="009A269C">
        <w:rPr>
          <w:rFonts w:ascii="Arial" w:hAnsi="Arial" w:cs="Arial"/>
          <w:lang w:val="en-US"/>
        </w:rPr>
        <w:t>[14]</w:t>
      </w:r>
      <w:r w:rsidRPr="009A269C">
        <w:rPr>
          <w:rFonts w:ascii="Arial" w:hAnsi="Arial" w:cs="Arial"/>
          <w:lang w:val="en-US"/>
        </w:rPr>
        <w:tab/>
      </w:r>
      <w:r w:rsidR="00D132BA" w:rsidRPr="009A269C">
        <w:rPr>
          <w:rFonts w:ascii="Arial" w:hAnsi="Arial" w:cs="Arial"/>
        </w:rPr>
        <w:t xml:space="preserve">The applicant’s </w:t>
      </w:r>
      <w:r w:rsidR="00AB1F02" w:rsidRPr="009A269C">
        <w:rPr>
          <w:rFonts w:ascii="Arial" w:hAnsi="Arial" w:cs="Arial"/>
        </w:rPr>
        <w:t>submission</w:t>
      </w:r>
      <w:r w:rsidR="00D132BA" w:rsidRPr="009A269C">
        <w:rPr>
          <w:rFonts w:ascii="Arial" w:hAnsi="Arial" w:cs="Arial"/>
        </w:rPr>
        <w:t xml:space="preserve"> </w:t>
      </w:r>
      <w:r w:rsidR="00D132BA" w:rsidRPr="009A269C">
        <w:rPr>
          <w:rFonts w:ascii="Arial" w:hAnsi="Arial" w:cs="Arial"/>
          <w:lang w:val="en-US"/>
        </w:rPr>
        <w:t xml:space="preserve">that it was </w:t>
      </w:r>
      <w:r w:rsidR="00AB1F02" w:rsidRPr="009A269C">
        <w:rPr>
          <w:rFonts w:ascii="Arial" w:hAnsi="Arial" w:cs="Arial"/>
          <w:lang w:val="en-US"/>
        </w:rPr>
        <w:t xml:space="preserve">undisputed </w:t>
      </w:r>
      <w:r w:rsidR="00091635">
        <w:rPr>
          <w:rFonts w:ascii="Arial" w:hAnsi="Arial" w:cs="Arial"/>
          <w:lang w:val="en-US"/>
        </w:rPr>
        <w:t xml:space="preserve">on the papers </w:t>
      </w:r>
      <w:r w:rsidR="00D132BA" w:rsidRPr="009A269C">
        <w:rPr>
          <w:rFonts w:ascii="Arial" w:hAnsi="Arial" w:cs="Arial"/>
          <w:lang w:val="en-US"/>
        </w:rPr>
        <w:t>that the Department of Labo</w:t>
      </w:r>
      <w:r w:rsidR="00AB1F02" w:rsidRPr="009A269C">
        <w:rPr>
          <w:rFonts w:ascii="Arial" w:hAnsi="Arial" w:cs="Arial"/>
          <w:lang w:val="en-US"/>
        </w:rPr>
        <w:t>u</w:t>
      </w:r>
      <w:r w:rsidR="00D132BA" w:rsidRPr="009A269C">
        <w:rPr>
          <w:rFonts w:ascii="Arial" w:hAnsi="Arial" w:cs="Arial"/>
          <w:lang w:val="en-US"/>
        </w:rPr>
        <w:t xml:space="preserve">r had ceased </w:t>
      </w:r>
      <w:r w:rsidR="00AB1F02" w:rsidRPr="009A269C">
        <w:rPr>
          <w:rFonts w:ascii="Arial" w:hAnsi="Arial" w:cs="Arial"/>
          <w:lang w:val="en-US"/>
        </w:rPr>
        <w:t xml:space="preserve">to </w:t>
      </w:r>
      <w:r w:rsidR="00D132BA" w:rsidRPr="009A269C">
        <w:rPr>
          <w:rFonts w:ascii="Arial" w:hAnsi="Arial" w:cs="Arial"/>
          <w:lang w:val="en-US"/>
        </w:rPr>
        <w:t>issu</w:t>
      </w:r>
      <w:r w:rsidR="00AB1F02" w:rsidRPr="009A269C">
        <w:rPr>
          <w:rFonts w:ascii="Arial" w:hAnsi="Arial" w:cs="Arial"/>
          <w:lang w:val="en-US"/>
        </w:rPr>
        <w:t>e</w:t>
      </w:r>
      <w:r w:rsidR="00D132BA" w:rsidRPr="009A269C">
        <w:rPr>
          <w:rFonts w:ascii="Arial" w:hAnsi="Arial" w:cs="Arial"/>
          <w:lang w:val="en-US"/>
        </w:rPr>
        <w:t xml:space="preserve"> UIF compliance certificates</w:t>
      </w:r>
      <w:r w:rsidR="005366EF">
        <w:rPr>
          <w:rFonts w:ascii="Arial" w:hAnsi="Arial" w:cs="Arial"/>
          <w:lang w:val="en-US"/>
        </w:rPr>
        <w:t xml:space="preserve"> </w:t>
      </w:r>
      <w:r w:rsidR="005366EF" w:rsidRPr="009A269C">
        <w:rPr>
          <w:rFonts w:ascii="Arial" w:hAnsi="Arial" w:cs="Arial"/>
          <w:lang w:val="en-US"/>
        </w:rPr>
        <w:t>for some time before the date of issue of the tender</w:t>
      </w:r>
      <w:r w:rsidR="005366EF">
        <w:rPr>
          <w:rFonts w:ascii="Arial" w:hAnsi="Arial" w:cs="Arial"/>
          <w:lang w:val="en-US"/>
        </w:rPr>
        <w:t>; alternatively,</w:t>
      </w:r>
      <w:r w:rsidR="00091635">
        <w:rPr>
          <w:rFonts w:ascii="Arial" w:hAnsi="Arial" w:cs="Arial"/>
          <w:lang w:val="en-US"/>
        </w:rPr>
        <w:t xml:space="preserve"> that such certificates were</w:t>
      </w:r>
      <w:r w:rsidR="00D132BA" w:rsidRPr="009A269C">
        <w:rPr>
          <w:rFonts w:ascii="Arial" w:hAnsi="Arial" w:cs="Arial"/>
          <w:lang w:val="en-US"/>
        </w:rPr>
        <w:t xml:space="preserve"> only issued intermittently, is </w:t>
      </w:r>
      <w:r w:rsidR="00407003">
        <w:rPr>
          <w:rFonts w:ascii="Arial" w:hAnsi="Arial" w:cs="Arial"/>
          <w:lang w:val="en-US"/>
        </w:rPr>
        <w:t xml:space="preserve">not only incorrect, but it is </w:t>
      </w:r>
      <w:r w:rsidR="00D132BA" w:rsidRPr="009A269C">
        <w:rPr>
          <w:rFonts w:ascii="Arial" w:hAnsi="Arial" w:cs="Arial"/>
          <w:lang w:val="en-US"/>
        </w:rPr>
        <w:t>not born out by the papers before court.</w:t>
      </w:r>
      <w:r w:rsidR="00AB1F02" w:rsidRPr="009A269C">
        <w:rPr>
          <w:rFonts w:ascii="Arial" w:hAnsi="Arial" w:cs="Arial"/>
          <w:lang w:val="en-US"/>
        </w:rPr>
        <w:t xml:space="preserve">  This </w:t>
      </w:r>
      <w:r w:rsidR="000C56E4">
        <w:rPr>
          <w:rFonts w:ascii="Arial" w:hAnsi="Arial" w:cs="Arial"/>
          <w:lang w:val="en-US"/>
        </w:rPr>
        <w:t xml:space="preserve">aspect </w:t>
      </w:r>
      <w:r w:rsidR="00AB1F02" w:rsidRPr="009A269C">
        <w:rPr>
          <w:rFonts w:ascii="Arial" w:hAnsi="Arial" w:cs="Arial"/>
          <w:lang w:val="en-US"/>
        </w:rPr>
        <w:t xml:space="preserve">was pertinently </w:t>
      </w:r>
      <w:r w:rsidR="007B0886">
        <w:rPr>
          <w:rFonts w:ascii="Arial" w:hAnsi="Arial" w:cs="Arial"/>
          <w:lang w:val="en-US"/>
        </w:rPr>
        <w:t>dealt with</w:t>
      </w:r>
      <w:r w:rsidR="00AB1F02" w:rsidRPr="009A269C">
        <w:rPr>
          <w:rFonts w:ascii="Arial" w:hAnsi="Arial" w:cs="Arial"/>
          <w:lang w:val="en-US"/>
        </w:rPr>
        <w:t xml:space="preserve"> by the first respondent</w:t>
      </w:r>
      <w:r w:rsidR="000C56E4">
        <w:rPr>
          <w:rFonts w:ascii="Arial" w:hAnsi="Arial" w:cs="Arial"/>
          <w:lang w:val="en-US"/>
        </w:rPr>
        <w:t xml:space="preserve"> with reference to circulars issued by the Department of Labour</w:t>
      </w:r>
      <w:r w:rsidR="00D132BA" w:rsidRPr="009A269C">
        <w:rPr>
          <w:rFonts w:ascii="Arial" w:hAnsi="Arial" w:cs="Arial"/>
          <w:lang w:val="en-US"/>
        </w:rPr>
        <w:t xml:space="preserve"> during or a</w:t>
      </w:r>
      <w:r w:rsidR="007D6759">
        <w:rPr>
          <w:rFonts w:ascii="Arial" w:hAnsi="Arial" w:cs="Arial"/>
          <w:lang w:val="en-US"/>
        </w:rPr>
        <w:t>bout</w:t>
      </w:r>
      <w:r w:rsidR="00D132BA" w:rsidRPr="009A269C">
        <w:rPr>
          <w:rFonts w:ascii="Arial" w:hAnsi="Arial" w:cs="Arial"/>
          <w:lang w:val="en-US"/>
        </w:rPr>
        <w:t xml:space="preserve"> March</w:t>
      </w:r>
      <w:r w:rsidR="00477060">
        <w:rPr>
          <w:rFonts w:ascii="Arial" w:hAnsi="Arial" w:cs="Arial"/>
          <w:lang w:val="en-US"/>
        </w:rPr>
        <w:t xml:space="preserve"> </w:t>
      </w:r>
      <w:r w:rsidR="008E66F7">
        <w:rPr>
          <w:rFonts w:ascii="Arial" w:hAnsi="Arial" w:cs="Arial"/>
          <w:lang w:val="en-US"/>
        </w:rPr>
        <w:t>and</w:t>
      </w:r>
      <w:r w:rsidR="00D132BA" w:rsidRPr="009A269C">
        <w:rPr>
          <w:rFonts w:ascii="Arial" w:hAnsi="Arial" w:cs="Arial"/>
          <w:lang w:val="en-US"/>
        </w:rPr>
        <w:t xml:space="preserve"> April 2022, some seven </w:t>
      </w:r>
      <w:r w:rsidR="00CF7A9B">
        <w:rPr>
          <w:rFonts w:ascii="Arial" w:hAnsi="Arial" w:cs="Arial"/>
          <w:lang w:val="en-US"/>
        </w:rPr>
        <w:t xml:space="preserve">to eight </w:t>
      </w:r>
      <w:r w:rsidR="00D132BA" w:rsidRPr="009A269C">
        <w:rPr>
          <w:rFonts w:ascii="Arial" w:hAnsi="Arial" w:cs="Arial"/>
          <w:lang w:val="en-US"/>
        </w:rPr>
        <w:t>months after the submission of the applicant’s bid on 12 August 2021.</w:t>
      </w:r>
      <w:r w:rsidR="005517A1" w:rsidRPr="009A269C">
        <w:rPr>
          <w:rFonts w:ascii="Arial" w:hAnsi="Arial" w:cs="Arial"/>
          <w:lang w:val="en-US"/>
        </w:rPr>
        <w:t xml:space="preserve">  </w:t>
      </w:r>
      <w:r w:rsidR="00AB1F02" w:rsidRPr="009A269C">
        <w:rPr>
          <w:rFonts w:ascii="Arial" w:hAnsi="Arial" w:cs="Arial"/>
          <w:lang w:val="en-US"/>
        </w:rPr>
        <w:t xml:space="preserve">This </w:t>
      </w:r>
      <w:r w:rsidR="00AB1F02" w:rsidRPr="009A269C">
        <w:rPr>
          <w:rFonts w:ascii="Arial" w:hAnsi="Arial" w:cs="Arial"/>
          <w:lang w:val="en-US"/>
        </w:rPr>
        <w:lastRenderedPageBreak/>
        <w:t xml:space="preserve">too is evidenced </w:t>
      </w:r>
      <w:r w:rsidR="009A269C" w:rsidRPr="009A269C">
        <w:rPr>
          <w:rFonts w:ascii="Arial" w:hAnsi="Arial" w:cs="Arial"/>
          <w:lang w:val="en-US"/>
        </w:rPr>
        <w:t>by the certificate of compliance issued to the second respondent by the Department of Labour on 29 July 2021.</w:t>
      </w:r>
      <w:r w:rsidR="00AB1F02" w:rsidRPr="009A269C">
        <w:rPr>
          <w:rFonts w:ascii="Arial" w:hAnsi="Arial" w:cs="Arial"/>
          <w:lang w:val="en-US"/>
        </w:rPr>
        <w:t xml:space="preserve"> </w:t>
      </w:r>
      <w:r w:rsidR="009A269C" w:rsidRPr="009A269C">
        <w:rPr>
          <w:rFonts w:ascii="Arial" w:hAnsi="Arial" w:cs="Arial"/>
          <w:lang w:val="en-US"/>
        </w:rPr>
        <w:t xml:space="preserve"> </w:t>
      </w:r>
      <w:r w:rsidR="005517A1" w:rsidRPr="009A269C">
        <w:rPr>
          <w:rFonts w:ascii="Arial" w:hAnsi="Arial" w:cs="Arial"/>
          <w:lang w:val="en-US"/>
        </w:rPr>
        <w:t xml:space="preserve">Significantly, </w:t>
      </w:r>
      <w:r w:rsidR="009A269C" w:rsidRPr="009A269C">
        <w:rPr>
          <w:rFonts w:ascii="Arial" w:hAnsi="Arial" w:cs="Arial"/>
          <w:lang w:val="en-US"/>
        </w:rPr>
        <w:t xml:space="preserve">nowhere in the </w:t>
      </w:r>
      <w:r w:rsidR="005517A1" w:rsidRPr="009A269C">
        <w:rPr>
          <w:rFonts w:ascii="Arial" w:hAnsi="Arial" w:cs="Arial"/>
          <w:lang w:val="en-US"/>
        </w:rPr>
        <w:t>applicant’s explanatory letter, under cover of which its bid was submitted, and to which I have already referred,</w:t>
      </w:r>
      <w:r w:rsidR="009A269C" w:rsidRPr="009A269C">
        <w:rPr>
          <w:rFonts w:ascii="Arial" w:hAnsi="Arial" w:cs="Arial"/>
          <w:lang w:val="en-US"/>
        </w:rPr>
        <w:t xml:space="preserve"> does the applicant contend that it was unable to obtain the required certificates of compliance.  </w:t>
      </w:r>
    </w:p>
    <w:p w14:paraId="1ED3B45F" w14:textId="77777777" w:rsidR="00E03E92" w:rsidRPr="00E03E92" w:rsidRDefault="00E03E92" w:rsidP="00E03E92">
      <w:pPr>
        <w:pStyle w:val="NormalWeb"/>
        <w:shd w:val="clear" w:color="auto" w:fill="FFFFFF"/>
        <w:spacing w:before="0" w:beforeAutospacing="0" w:after="0" w:afterAutospacing="0" w:line="480" w:lineRule="auto"/>
        <w:ind w:left="851" w:right="259"/>
        <w:jc w:val="both"/>
        <w:rPr>
          <w:rFonts w:ascii="Arial" w:hAnsi="Arial" w:cs="Arial"/>
        </w:rPr>
      </w:pPr>
    </w:p>
    <w:p w14:paraId="123F7485" w14:textId="0BFA659D" w:rsidR="00094364" w:rsidRPr="00094364"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sidRPr="00094364">
        <w:rPr>
          <w:rFonts w:ascii="Arial" w:hAnsi="Arial" w:cs="Arial"/>
        </w:rPr>
        <w:t>[15]</w:t>
      </w:r>
      <w:r w:rsidRPr="00094364">
        <w:rPr>
          <w:rFonts w:ascii="Arial" w:hAnsi="Arial" w:cs="Arial"/>
        </w:rPr>
        <w:tab/>
      </w:r>
      <w:r w:rsidR="009A269C">
        <w:rPr>
          <w:rFonts w:ascii="Arial" w:hAnsi="Arial" w:cs="Arial"/>
          <w:lang w:val="en-US"/>
        </w:rPr>
        <w:t>Further and in any event, l</w:t>
      </w:r>
      <w:r w:rsidR="00815AF8">
        <w:rPr>
          <w:rFonts w:ascii="Arial" w:hAnsi="Arial" w:cs="Arial"/>
          <w:lang w:val="en-US"/>
        </w:rPr>
        <w:t>eaving aside the dispute between the parties as to the availability of</w:t>
      </w:r>
      <w:r w:rsidR="004C7436">
        <w:rPr>
          <w:rFonts w:ascii="Arial" w:hAnsi="Arial" w:cs="Arial"/>
          <w:lang w:val="en-US"/>
        </w:rPr>
        <w:t xml:space="preserve"> certificates of compliance</w:t>
      </w:r>
      <w:r w:rsidR="009A269C">
        <w:rPr>
          <w:rFonts w:ascii="Arial" w:hAnsi="Arial" w:cs="Arial"/>
          <w:lang w:val="en-US"/>
        </w:rPr>
        <w:t xml:space="preserve">, </w:t>
      </w:r>
      <w:r w:rsidR="004C7436">
        <w:rPr>
          <w:rFonts w:ascii="Arial" w:hAnsi="Arial" w:cs="Arial"/>
          <w:lang w:val="en-US"/>
        </w:rPr>
        <w:t xml:space="preserve">the applicant </w:t>
      </w:r>
      <w:r w:rsidR="00DC7DAB">
        <w:rPr>
          <w:rFonts w:ascii="Arial" w:hAnsi="Arial" w:cs="Arial"/>
          <w:lang w:val="en-US"/>
        </w:rPr>
        <w:t xml:space="preserve">does not contend that </w:t>
      </w:r>
      <w:r w:rsidR="004C7436">
        <w:rPr>
          <w:rFonts w:ascii="Arial" w:hAnsi="Arial" w:cs="Arial"/>
          <w:lang w:val="en-US"/>
        </w:rPr>
        <w:t>it was unable to obtain a valid letter of good standing</w:t>
      </w:r>
      <w:r w:rsidR="00094364">
        <w:rPr>
          <w:rFonts w:ascii="Arial" w:hAnsi="Arial" w:cs="Arial"/>
          <w:lang w:val="en-US"/>
        </w:rPr>
        <w:t>/</w:t>
      </w:r>
      <w:r w:rsidR="004C7436">
        <w:rPr>
          <w:rFonts w:ascii="Arial" w:hAnsi="Arial" w:cs="Arial"/>
          <w:lang w:val="en-US"/>
        </w:rPr>
        <w:t>tender letter, this being the alternative</w:t>
      </w:r>
      <w:r w:rsidR="00094364">
        <w:rPr>
          <w:rFonts w:ascii="Arial" w:hAnsi="Arial" w:cs="Arial"/>
          <w:lang w:val="en-US"/>
        </w:rPr>
        <w:t xml:space="preserve"> acceptable</w:t>
      </w:r>
      <w:r w:rsidR="004C7436">
        <w:rPr>
          <w:rFonts w:ascii="Arial" w:hAnsi="Arial" w:cs="Arial"/>
          <w:lang w:val="en-US"/>
        </w:rPr>
        <w:t xml:space="preserve"> </w:t>
      </w:r>
      <w:r w:rsidR="00094364">
        <w:rPr>
          <w:rFonts w:ascii="Arial" w:hAnsi="Arial" w:cs="Arial"/>
          <w:lang w:val="en-US"/>
        </w:rPr>
        <w:t xml:space="preserve">documentation </w:t>
      </w:r>
      <w:r w:rsidR="00297B4A">
        <w:rPr>
          <w:rFonts w:ascii="Arial" w:hAnsi="Arial" w:cs="Arial"/>
          <w:lang w:val="en-US"/>
        </w:rPr>
        <w:t>falling within the ambit</w:t>
      </w:r>
      <w:r w:rsidR="00094364">
        <w:rPr>
          <w:rFonts w:ascii="Arial" w:hAnsi="Arial" w:cs="Arial"/>
          <w:lang w:val="en-US"/>
        </w:rPr>
        <w:t xml:space="preserve"> of item 10.  </w:t>
      </w:r>
    </w:p>
    <w:p w14:paraId="2765D2C2" w14:textId="77777777" w:rsidR="00094364" w:rsidRDefault="00094364" w:rsidP="00252993">
      <w:pPr>
        <w:pStyle w:val="ListParagraph"/>
        <w:spacing w:after="0" w:line="480" w:lineRule="auto"/>
        <w:rPr>
          <w:rFonts w:ascii="Arial" w:hAnsi="Arial" w:cs="Arial"/>
          <w:lang w:val="en-US"/>
        </w:rPr>
      </w:pPr>
    </w:p>
    <w:p w14:paraId="64DFB04B" w14:textId="2AC96A29" w:rsidR="00F258AD" w:rsidRPr="00F258AD"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sidRPr="00F258AD">
        <w:rPr>
          <w:rFonts w:ascii="Arial" w:hAnsi="Arial" w:cs="Arial"/>
        </w:rPr>
        <w:t>[16]</w:t>
      </w:r>
      <w:r w:rsidRPr="00F258AD">
        <w:rPr>
          <w:rFonts w:ascii="Arial" w:hAnsi="Arial" w:cs="Arial"/>
        </w:rPr>
        <w:tab/>
      </w:r>
      <w:r w:rsidR="00F258AD" w:rsidRPr="00F258AD">
        <w:rPr>
          <w:rFonts w:ascii="Arial" w:hAnsi="Arial" w:cs="Arial"/>
          <w:lang w:val="en-US"/>
        </w:rPr>
        <w:t>In argument, Mr Beyleveld</w:t>
      </w:r>
      <w:r w:rsidR="00F258AD">
        <w:rPr>
          <w:rFonts w:ascii="Arial" w:hAnsi="Arial" w:cs="Arial"/>
          <w:lang w:val="en-US"/>
        </w:rPr>
        <w:t xml:space="preserve"> SC</w:t>
      </w:r>
      <w:r w:rsidR="00F258AD" w:rsidRPr="00F258AD">
        <w:rPr>
          <w:rFonts w:ascii="Arial" w:hAnsi="Arial" w:cs="Arial"/>
          <w:lang w:val="en-US"/>
        </w:rPr>
        <w:t xml:space="preserve"> correctly conceded that</w:t>
      </w:r>
      <w:r w:rsidR="00407003">
        <w:rPr>
          <w:rFonts w:ascii="Arial" w:hAnsi="Arial" w:cs="Arial"/>
          <w:lang w:val="en-US"/>
        </w:rPr>
        <w:t xml:space="preserve"> on the facts of the present matter, and</w:t>
      </w:r>
      <w:r w:rsidR="00F258AD" w:rsidRPr="00F258AD">
        <w:rPr>
          <w:rFonts w:ascii="Arial" w:hAnsi="Arial" w:cs="Arial"/>
          <w:lang w:val="en-US"/>
        </w:rPr>
        <w:t xml:space="preserve"> in the event of a finding that the first respondent had no authority to condone non-compliance with its own mandatory requirements, the proper order in the circumstances was </w:t>
      </w:r>
      <w:r w:rsidR="00F258AD">
        <w:rPr>
          <w:rFonts w:ascii="Arial" w:hAnsi="Arial" w:cs="Arial"/>
          <w:lang w:val="en-US"/>
        </w:rPr>
        <w:t xml:space="preserve">to review and set aside the </w:t>
      </w:r>
      <w:r w:rsidR="00D01D93">
        <w:rPr>
          <w:rFonts w:ascii="Arial" w:hAnsi="Arial" w:cs="Arial"/>
          <w:lang w:val="en-US"/>
        </w:rPr>
        <w:t xml:space="preserve">impugned decisions </w:t>
      </w:r>
      <w:r w:rsidR="00F258AD">
        <w:rPr>
          <w:rFonts w:ascii="Arial" w:hAnsi="Arial" w:cs="Arial"/>
        </w:rPr>
        <w:t xml:space="preserve">and to refer the </w:t>
      </w:r>
      <w:r w:rsidR="00D01D93">
        <w:rPr>
          <w:rFonts w:ascii="Arial" w:hAnsi="Arial" w:cs="Arial"/>
        </w:rPr>
        <w:t>matter</w:t>
      </w:r>
      <w:r w:rsidR="00F258AD">
        <w:rPr>
          <w:rFonts w:ascii="Arial" w:hAnsi="Arial" w:cs="Arial"/>
        </w:rPr>
        <w:t xml:space="preserve"> back to the first</w:t>
      </w:r>
      <w:r w:rsidR="00F258AD" w:rsidRPr="00F258AD">
        <w:rPr>
          <w:rFonts w:ascii="Arial" w:hAnsi="Arial" w:cs="Arial"/>
        </w:rPr>
        <w:t xml:space="preserve"> respondent to start the procurement </w:t>
      </w:r>
      <w:r w:rsidR="00D01D93">
        <w:rPr>
          <w:rFonts w:ascii="Arial" w:hAnsi="Arial" w:cs="Arial"/>
        </w:rPr>
        <w:t xml:space="preserve">process </w:t>
      </w:r>
      <w:r w:rsidR="00F258AD">
        <w:rPr>
          <w:rFonts w:ascii="Arial" w:hAnsi="Arial" w:cs="Arial"/>
        </w:rPr>
        <w:t>afresh.  Whilst Mr Buchannan</w:t>
      </w:r>
      <w:r w:rsidR="00D01D93">
        <w:rPr>
          <w:rFonts w:ascii="Arial" w:hAnsi="Arial" w:cs="Arial"/>
        </w:rPr>
        <w:t xml:space="preserve"> SC was</w:t>
      </w:r>
      <w:r w:rsidR="00726121">
        <w:rPr>
          <w:rFonts w:ascii="Arial" w:hAnsi="Arial" w:cs="Arial"/>
        </w:rPr>
        <w:t xml:space="preserve">, in </w:t>
      </w:r>
      <w:r w:rsidR="00AB1E0C">
        <w:rPr>
          <w:rFonts w:ascii="Arial" w:hAnsi="Arial" w:cs="Arial"/>
        </w:rPr>
        <w:t>principle</w:t>
      </w:r>
      <w:r w:rsidR="00726121">
        <w:rPr>
          <w:rFonts w:ascii="Arial" w:hAnsi="Arial" w:cs="Arial"/>
        </w:rPr>
        <w:t>,</w:t>
      </w:r>
      <w:r w:rsidR="00D01D93">
        <w:rPr>
          <w:rFonts w:ascii="Arial" w:hAnsi="Arial" w:cs="Arial"/>
        </w:rPr>
        <w:t xml:space="preserve"> in agreement with the said proposition, he contended that on the facts of the present matter, (i) the materiality of compliance with the mandatory requirement depends on the extent to which the purpose of the requirement is attained; (ii) the purpose of the requirement to supply a UIF compliance certificate is to ensure that a prospective tenderer is registered for UIF and that its UIF contributions are up to date; and (iii)</w:t>
      </w:r>
      <w:r w:rsidR="00423DBD">
        <w:rPr>
          <w:rFonts w:ascii="Arial" w:hAnsi="Arial" w:cs="Arial"/>
        </w:rPr>
        <w:t xml:space="preserve"> the decision of the first respondent to qualify/limit this condition by enforcing the rigid </w:t>
      </w:r>
      <w:r w:rsidR="00423DBD">
        <w:rPr>
          <w:rFonts w:ascii="Arial" w:hAnsi="Arial" w:cs="Arial"/>
        </w:rPr>
        <w:lastRenderedPageBreak/>
        <w:t xml:space="preserve">requirement that a tenderer can only prove its compliance in the manner sought, without allowing any other valid proof of such compliance, is irrational in light of the purpose of the requirement.  </w:t>
      </w:r>
      <w:r w:rsidR="00D01D93">
        <w:rPr>
          <w:rFonts w:ascii="Arial" w:hAnsi="Arial" w:cs="Arial"/>
        </w:rPr>
        <w:t xml:space="preserve"> </w:t>
      </w:r>
      <w:r w:rsidR="00F258AD">
        <w:rPr>
          <w:rFonts w:ascii="Arial" w:hAnsi="Arial" w:cs="Arial"/>
        </w:rPr>
        <w:t xml:space="preserve"> </w:t>
      </w:r>
    </w:p>
    <w:p w14:paraId="67BA7EAC" w14:textId="77777777" w:rsidR="00F258AD" w:rsidRDefault="00F258AD" w:rsidP="00E60E10">
      <w:pPr>
        <w:pStyle w:val="ListParagraph"/>
        <w:spacing w:after="0" w:line="480" w:lineRule="auto"/>
        <w:rPr>
          <w:rFonts w:ascii="Arial" w:hAnsi="Arial" w:cs="Arial"/>
          <w:lang w:val="en-US"/>
        </w:rPr>
      </w:pPr>
    </w:p>
    <w:p w14:paraId="4F52A680" w14:textId="05ABCC4D" w:rsidR="00CB531E" w:rsidRPr="00473127"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sidRPr="00473127">
        <w:rPr>
          <w:rFonts w:ascii="Arial" w:hAnsi="Arial" w:cs="Arial"/>
        </w:rPr>
        <w:t>[17]</w:t>
      </w:r>
      <w:r w:rsidRPr="00473127">
        <w:rPr>
          <w:rFonts w:ascii="Arial" w:hAnsi="Arial" w:cs="Arial"/>
        </w:rPr>
        <w:tab/>
      </w:r>
      <w:r w:rsidR="00E60E10">
        <w:rPr>
          <w:rFonts w:ascii="Arial" w:hAnsi="Arial" w:cs="Arial"/>
        </w:rPr>
        <w:t>Section 217(1) of the Constitution</w:t>
      </w:r>
      <w:r w:rsidR="00E60E10">
        <w:rPr>
          <w:rStyle w:val="FootnoteReference"/>
          <w:rFonts w:ascii="Arial" w:hAnsi="Arial" w:cs="Arial"/>
        </w:rPr>
        <w:footnoteReference w:id="4"/>
      </w:r>
      <w:r w:rsidR="00E60E10">
        <w:rPr>
          <w:rFonts w:ascii="Arial" w:hAnsi="Arial" w:cs="Arial"/>
        </w:rPr>
        <w:t xml:space="preserve"> requires that public procurement must occur in accordance with a system which is fair, equitable, transparent, competitive</w:t>
      </w:r>
      <w:r w:rsidR="00CB531E">
        <w:rPr>
          <w:rFonts w:ascii="Arial" w:hAnsi="Arial" w:cs="Arial"/>
        </w:rPr>
        <w:t>,</w:t>
      </w:r>
      <w:r w:rsidR="00E60E10">
        <w:rPr>
          <w:rFonts w:ascii="Arial" w:hAnsi="Arial" w:cs="Arial"/>
        </w:rPr>
        <w:t xml:space="preserve"> and cost-effective.  Such requirements</w:t>
      </w:r>
      <w:r w:rsidR="00553F3E">
        <w:rPr>
          <w:rFonts w:ascii="Arial" w:hAnsi="Arial" w:cs="Arial"/>
        </w:rPr>
        <w:t xml:space="preserve"> are</w:t>
      </w:r>
      <w:r w:rsidR="00E60E10">
        <w:rPr>
          <w:rFonts w:ascii="Arial" w:hAnsi="Arial" w:cs="Arial"/>
        </w:rPr>
        <w:t xml:space="preserve"> qualified to the extent that </w:t>
      </w:r>
      <w:r w:rsidR="00553F3E">
        <w:rPr>
          <w:rFonts w:ascii="Arial" w:hAnsi="Arial" w:cs="Arial"/>
        </w:rPr>
        <w:t xml:space="preserve">organs of state </w:t>
      </w:r>
      <w:r w:rsidR="00CB531E">
        <w:rPr>
          <w:rFonts w:ascii="Arial" w:hAnsi="Arial" w:cs="Arial"/>
        </w:rPr>
        <w:t xml:space="preserve">or institutions referred to in section 217(1) </w:t>
      </w:r>
      <w:r w:rsidR="00553F3E">
        <w:rPr>
          <w:rFonts w:ascii="Arial" w:hAnsi="Arial" w:cs="Arial"/>
        </w:rPr>
        <w:t>are permitted to implement</w:t>
      </w:r>
      <w:r w:rsidR="00CB531E">
        <w:rPr>
          <w:rFonts w:ascii="Arial" w:hAnsi="Arial" w:cs="Arial"/>
        </w:rPr>
        <w:t xml:space="preserve"> a</w:t>
      </w:r>
      <w:r w:rsidR="00553F3E">
        <w:rPr>
          <w:rFonts w:ascii="Arial" w:hAnsi="Arial" w:cs="Arial"/>
        </w:rPr>
        <w:t xml:space="preserve"> preferential procurement poli</w:t>
      </w:r>
      <w:r w:rsidR="00CB531E">
        <w:rPr>
          <w:rFonts w:ascii="Arial" w:hAnsi="Arial" w:cs="Arial"/>
        </w:rPr>
        <w:t>cy</w:t>
      </w:r>
      <w:r w:rsidR="00553F3E">
        <w:rPr>
          <w:rFonts w:ascii="Arial" w:hAnsi="Arial" w:cs="Arial"/>
        </w:rPr>
        <w:t xml:space="preserve"> as provided for in </w:t>
      </w:r>
      <w:r w:rsidR="00CB531E">
        <w:rPr>
          <w:rFonts w:ascii="Arial" w:hAnsi="Arial" w:cs="Arial"/>
        </w:rPr>
        <w:t>s</w:t>
      </w:r>
      <w:r w:rsidR="00553F3E">
        <w:rPr>
          <w:rFonts w:ascii="Arial" w:hAnsi="Arial" w:cs="Arial"/>
        </w:rPr>
        <w:t>ection 217(2)</w:t>
      </w:r>
      <w:r w:rsidR="005E1C34">
        <w:rPr>
          <w:rFonts w:ascii="Arial" w:hAnsi="Arial" w:cs="Arial"/>
        </w:rPr>
        <w:t xml:space="preserve"> of the Constitution</w:t>
      </w:r>
      <w:r w:rsidR="00553F3E">
        <w:rPr>
          <w:rFonts w:ascii="Arial" w:hAnsi="Arial" w:cs="Arial"/>
        </w:rPr>
        <w:t xml:space="preserve">.  In turn, </w:t>
      </w:r>
      <w:r w:rsidR="00CB531E">
        <w:rPr>
          <w:rFonts w:ascii="Arial" w:hAnsi="Arial" w:cs="Arial"/>
        </w:rPr>
        <w:t>s</w:t>
      </w:r>
      <w:r w:rsidR="00553F3E">
        <w:rPr>
          <w:rFonts w:ascii="Arial" w:hAnsi="Arial" w:cs="Arial"/>
        </w:rPr>
        <w:t>ection 217(3) of the Constitution makes provision for the enactment of legislation to provide a framework within which such polic</w:t>
      </w:r>
      <w:r w:rsidR="00CB531E">
        <w:rPr>
          <w:rFonts w:ascii="Arial" w:hAnsi="Arial" w:cs="Arial"/>
        </w:rPr>
        <w:t xml:space="preserve">y is to </w:t>
      </w:r>
      <w:r w:rsidR="00553F3E">
        <w:rPr>
          <w:rFonts w:ascii="Arial" w:hAnsi="Arial" w:cs="Arial"/>
        </w:rPr>
        <w:t xml:space="preserve">be implemented.  </w:t>
      </w:r>
      <w:r w:rsidR="00CB531E" w:rsidRPr="00CB531E">
        <w:rPr>
          <w:rFonts w:ascii="Arial" w:hAnsi="Arial" w:cs="Arial"/>
        </w:rPr>
        <w:t xml:space="preserve">To give effect to </w:t>
      </w:r>
      <w:r w:rsidR="00CB531E">
        <w:rPr>
          <w:rFonts w:ascii="Arial" w:hAnsi="Arial" w:cs="Arial"/>
        </w:rPr>
        <w:t>s</w:t>
      </w:r>
      <w:r w:rsidR="00CB531E" w:rsidRPr="00CB531E">
        <w:rPr>
          <w:rFonts w:ascii="Arial" w:hAnsi="Arial" w:cs="Arial"/>
        </w:rPr>
        <w:t>ection 217(3) of the Constitution</w:t>
      </w:r>
      <w:r w:rsidR="00CB531E">
        <w:rPr>
          <w:rFonts w:ascii="Arial" w:hAnsi="Arial" w:cs="Arial"/>
        </w:rPr>
        <w:t xml:space="preserve">, the </w:t>
      </w:r>
      <w:r w:rsidR="00CB531E" w:rsidRPr="00473127">
        <w:rPr>
          <w:rFonts w:ascii="Arial" w:hAnsi="Arial" w:cs="Arial"/>
        </w:rPr>
        <w:t>Preferential Procurement Policy Framework Act 5 of 2000 (</w:t>
      </w:r>
      <w:r w:rsidR="00CB531E">
        <w:rPr>
          <w:rFonts w:ascii="Arial" w:hAnsi="Arial" w:cs="Arial"/>
        </w:rPr>
        <w:t>“</w:t>
      </w:r>
      <w:r w:rsidR="00CB531E" w:rsidRPr="00CB531E">
        <w:rPr>
          <w:rFonts w:ascii="Arial" w:hAnsi="Arial" w:cs="Arial"/>
          <w:i/>
          <w:iCs/>
        </w:rPr>
        <w:t>the PPPFA</w:t>
      </w:r>
      <w:r w:rsidR="00CB531E">
        <w:rPr>
          <w:rFonts w:ascii="Arial" w:hAnsi="Arial" w:cs="Arial"/>
        </w:rPr>
        <w:t>”</w:t>
      </w:r>
      <w:r w:rsidR="00CB531E" w:rsidRPr="00473127">
        <w:rPr>
          <w:rFonts w:ascii="Arial" w:hAnsi="Arial" w:cs="Arial"/>
        </w:rPr>
        <w:t>)</w:t>
      </w:r>
      <w:r w:rsidR="00CB531E" w:rsidRPr="00CB531E">
        <w:rPr>
          <w:rFonts w:ascii="Arial" w:hAnsi="Arial" w:cs="Arial"/>
        </w:rPr>
        <w:t xml:space="preserve"> </w:t>
      </w:r>
      <w:r w:rsidR="00CB531E">
        <w:rPr>
          <w:rFonts w:ascii="Arial" w:hAnsi="Arial" w:cs="Arial"/>
        </w:rPr>
        <w:t xml:space="preserve">was enacted.  </w:t>
      </w:r>
    </w:p>
    <w:p w14:paraId="00CA8FCC" w14:textId="0851B006" w:rsidR="00E60E10" w:rsidRPr="00473127" w:rsidRDefault="00E60E10" w:rsidP="00CB531E">
      <w:pPr>
        <w:pStyle w:val="NormalWeb"/>
        <w:shd w:val="clear" w:color="auto" w:fill="FFFFFF"/>
        <w:spacing w:before="0" w:beforeAutospacing="0" w:after="0" w:afterAutospacing="0" w:line="480" w:lineRule="auto"/>
        <w:ind w:left="851" w:right="259"/>
        <w:jc w:val="both"/>
        <w:rPr>
          <w:rFonts w:ascii="Arial" w:hAnsi="Arial" w:cs="Arial"/>
        </w:rPr>
      </w:pPr>
    </w:p>
    <w:p w14:paraId="15EEC8B7" w14:textId="0CC617E3" w:rsidR="007A77BD"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bookmarkStart w:id="1" w:name="_Ref328140295"/>
      <w:bookmarkEnd w:id="1"/>
      <w:r>
        <w:rPr>
          <w:rFonts w:ascii="Arial" w:hAnsi="Arial" w:cs="Arial"/>
        </w:rPr>
        <w:t>[18]</w:t>
      </w:r>
      <w:r>
        <w:rPr>
          <w:rFonts w:ascii="Arial" w:hAnsi="Arial" w:cs="Arial"/>
        </w:rPr>
        <w:tab/>
      </w:r>
      <w:r w:rsidR="00A61684">
        <w:rPr>
          <w:rFonts w:ascii="Arial" w:hAnsi="Arial" w:cs="Arial"/>
        </w:rPr>
        <w:t>In addition to providing for the application of a preferent point system in the evaluation of bids, t</w:t>
      </w:r>
      <w:r w:rsidR="00E60E10" w:rsidRPr="00473127">
        <w:rPr>
          <w:rFonts w:ascii="Arial" w:hAnsi="Arial" w:cs="Arial"/>
        </w:rPr>
        <w:t xml:space="preserve">he PPPFA </w:t>
      </w:r>
      <w:r w:rsidR="00A61684">
        <w:rPr>
          <w:rFonts w:ascii="Arial" w:hAnsi="Arial" w:cs="Arial"/>
        </w:rPr>
        <w:t xml:space="preserve">makes it clear that for a tenderer to be eligible for consideration, ie for the allocation of points, the tender must be what the PPPFA defines as an acceptable tender, this being </w:t>
      </w:r>
      <w:r w:rsidR="004912EE">
        <w:rPr>
          <w:rFonts w:ascii="Arial" w:hAnsi="Arial" w:cs="Arial"/>
        </w:rPr>
        <w:t xml:space="preserve">one </w:t>
      </w:r>
      <w:r w:rsidR="00B51340" w:rsidRPr="00A61684">
        <w:rPr>
          <w:rFonts w:ascii="Arial" w:hAnsi="Arial" w:cs="Arial"/>
        </w:rPr>
        <w:t>which, in all respects, complies with the specifications and conditions of tender as set out in the tender document.</w:t>
      </w:r>
      <w:r w:rsidR="00A61684">
        <w:rPr>
          <w:rFonts w:ascii="Arial" w:hAnsi="Arial" w:cs="Arial"/>
        </w:rPr>
        <w:t xml:space="preserve">  </w:t>
      </w:r>
      <w:r w:rsidR="00BD5E0C">
        <w:rPr>
          <w:rFonts w:ascii="Arial" w:hAnsi="Arial" w:cs="Arial"/>
        </w:rPr>
        <w:t xml:space="preserve">In accordance with the doctrine of legality, the legislature and executive in all spheres are constrained by the principle that they may exercise no power and perform no function beyond those </w:t>
      </w:r>
      <w:r w:rsidR="00BD5E0C">
        <w:rPr>
          <w:rFonts w:ascii="Arial" w:hAnsi="Arial" w:cs="Arial"/>
        </w:rPr>
        <w:lastRenderedPageBreak/>
        <w:t>conferred upon them by law.</w:t>
      </w:r>
      <w:r w:rsidR="00BD5E0C">
        <w:rPr>
          <w:rStyle w:val="FootnoteReference"/>
          <w:rFonts w:ascii="Arial" w:hAnsi="Arial" w:cs="Arial"/>
        </w:rPr>
        <w:footnoteReference w:id="5"/>
      </w:r>
      <w:r w:rsidR="00BD5E0C">
        <w:rPr>
          <w:rFonts w:ascii="Arial" w:hAnsi="Arial" w:cs="Arial"/>
        </w:rPr>
        <w:t xml:space="preserve"> </w:t>
      </w:r>
      <w:r w:rsidR="00990245">
        <w:rPr>
          <w:rFonts w:ascii="Arial" w:hAnsi="Arial" w:cs="Arial"/>
        </w:rPr>
        <w:t xml:space="preserve"> </w:t>
      </w:r>
      <w:r w:rsidR="00A61684">
        <w:rPr>
          <w:rFonts w:ascii="Arial" w:hAnsi="Arial" w:cs="Arial"/>
        </w:rPr>
        <w:t>The acceptability of the tender is accordingly a threshold requirement and the acceptance by an organ of state of a tender which fails to meet this threshold</w:t>
      </w:r>
      <w:r w:rsidR="007A77BD">
        <w:rPr>
          <w:rFonts w:ascii="Arial" w:hAnsi="Arial" w:cs="Arial"/>
        </w:rPr>
        <w:t xml:space="preserve"> is an invalid act which falls to be set aside.</w:t>
      </w:r>
      <w:r w:rsidR="007A77BD">
        <w:rPr>
          <w:rStyle w:val="FootnoteReference"/>
          <w:rFonts w:ascii="Arial" w:hAnsi="Arial" w:cs="Arial"/>
        </w:rPr>
        <w:footnoteReference w:id="6"/>
      </w:r>
    </w:p>
    <w:p w14:paraId="0AB6D7CE" w14:textId="77777777" w:rsidR="00E178FD" w:rsidRDefault="00E178FD" w:rsidP="00E178FD">
      <w:pPr>
        <w:pStyle w:val="ListParagraph"/>
        <w:rPr>
          <w:rFonts w:ascii="Arial" w:hAnsi="Arial" w:cs="Arial"/>
        </w:rPr>
      </w:pPr>
    </w:p>
    <w:p w14:paraId="5FD90FFF" w14:textId="0C0A936B" w:rsidR="00E178FD"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[19]</w:t>
      </w:r>
      <w:r>
        <w:rPr>
          <w:rFonts w:ascii="Arial" w:hAnsi="Arial" w:cs="Arial"/>
        </w:rPr>
        <w:tab/>
      </w:r>
      <w:r w:rsidR="00E178FD">
        <w:rPr>
          <w:rFonts w:ascii="Arial" w:hAnsi="Arial" w:cs="Arial"/>
        </w:rPr>
        <w:t xml:space="preserve">In </w:t>
      </w:r>
      <w:r w:rsidR="00E178FD" w:rsidRPr="00E178FD">
        <w:rPr>
          <w:rFonts w:ascii="Arial" w:hAnsi="Arial" w:cs="Arial"/>
          <w:i/>
          <w:iCs/>
        </w:rPr>
        <w:t xml:space="preserve">Chairperson, Standing Tender Committee v JFE Sapela Electronics (Pty) Ltd </w:t>
      </w:r>
      <w:r w:rsidR="00E178FD" w:rsidRPr="00E178FD">
        <w:rPr>
          <w:rFonts w:ascii="Arial" w:hAnsi="Arial" w:cs="Arial"/>
        </w:rPr>
        <w:t>(supra)</w:t>
      </w:r>
      <w:r w:rsidR="00E178FD">
        <w:rPr>
          <w:rFonts w:ascii="Arial" w:hAnsi="Arial" w:cs="Arial"/>
        </w:rPr>
        <w:t xml:space="preserve"> Scott JA</w:t>
      </w:r>
      <w:r w:rsidR="00963AC9">
        <w:rPr>
          <w:rFonts w:ascii="Arial" w:hAnsi="Arial" w:cs="Arial"/>
        </w:rPr>
        <w:t>, with reference to the definition of an acceptable tender,</w:t>
      </w:r>
      <w:r w:rsidR="00E178FD">
        <w:rPr>
          <w:rFonts w:ascii="Arial" w:hAnsi="Arial" w:cs="Arial"/>
        </w:rPr>
        <w:t xml:space="preserve"> stated as follows at paragraph [14]:</w:t>
      </w:r>
    </w:p>
    <w:p w14:paraId="25478EDE" w14:textId="77777777" w:rsidR="00E178FD" w:rsidRDefault="00E178FD" w:rsidP="00E178FD">
      <w:pPr>
        <w:pStyle w:val="ListParagraph"/>
        <w:rPr>
          <w:rFonts w:ascii="Verdana" w:hAnsi="Verdana"/>
          <w:color w:val="242121"/>
          <w:sz w:val="27"/>
          <w:szCs w:val="27"/>
          <w:shd w:val="clear" w:color="auto" w:fill="FFFFFF"/>
        </w:rPr>
      </w:pPr>
    </w:p>
    <w:p w14:paraId="54E93F05" w14:textId="72A3AD60" w:rsidR="004912EE" w:rsidRPr="00E178FD" w:rsidRDefault="00E178FD" w:rsidP="003F1CE5">
      <w:pPr>
        <w:pStyle w:val="NormalWeb"/>
        <w:shd w:val="clear" w:color="auto" w:fill="FFFFFF"/>
        <w:spacing w:before="0" w:beforeAutospacing="0" w:after="0" w:afterAutospacing="0" w:line="360" w:lineRule="auto"/>
        <w:ind w:left="851" w:right="261"/>
        <w:jc w:val="both"/>
        <w:rPr>
          <w:rFonts w:ascii="Arial" w:hAnsi="Arial" w:cs="Arial"/>
        </w:rPr>
      </w:pPr>
      <w:r>
        <w:rPr>
          <w:rFonts w:ascii="Arial" w:hAnsi="Arial" w:cs="Arial"/>
          <w:i/>
          <w:iCs/>
          <w:color w:val="242121"/>
          <w:sz w:val="20"/>
          <w:szCs w:val="20"/>
          <w:shd w:val="clear" w:color="auto" w:fill="FFFFFF"/>
        </w:rPr>
        <w:t>“T</w:t>
      </w:r>
      <w:r w:rsidRPr="00E178FD">
        <w:rPr>
          <w:rFonts w:ascii="Arial" w:hAnsi="Arial" w:cs="Arial"/>
          <w:i/>
          <w:iCs/>
          <w:color w:val="242121"/>
          <w:sz w:val="20"/>
          <w:szCs w:val="20"/>
          <w:shd w:val="clear" w:color="auto" w:fill="FFFFFF"/>
        </w:rPr>
        <w:t>he definition of ‘acceptable tender’ in the Preferential Act must be construed against the background of the system envisaged by s 217(1) of the Constitution, namely one which is ‘fair, equitable, transparent, competitive and effective’. In other words, whether ‘the tender in all respects complies with the specifications and conditions of tender as set out in the contract documents’ must be judged against these values</w:t>
      </w:r>
      <w:r>
        <w:rPr>
          <w:rFonts w:ascii="Arial" w:hAnsi="Arial" w:cs="Arial"/>
          <w:i/>
          <w:iCs/>
          <w:color w:val="242121"/>
          <w:sz w:val="20"/>
          <w:szCs w:val="20"/>
          <w:shd w:val="clear" w:color="auto" w:fill="FFFFFF"/>
        </w:rPr>
        <w:t>…”</w:t>
      </w:r>
      <w:r w:rsidRPr="00E178FD">
        <w:rPr>
          <w:rFonts w:ascii="Verdana" w:hAnsi="Verdana"/>
          <w:color w:val="242121"/>
          <w:sz w:val="27"/>
          <w:szCs w:val="27"/>
          <w:shd w:val="clear" w:color="auto" w:fill="FFFFFF"/>
        </w:rPr>
        <w:t> </w:t>
      </w:r>
    </w:p>
    <w:p w14:paraId="0496C796" w14:textId="77777777" w:rsidR="007A77BD" w:rsidRDefault="007A77BD" w:rsidP="00D24FCF">
      <w:pPr>
        <w:pStyle w:val="ListParagraph"/>
        <w:spacing w:after="0" w:line="480" w:lineRule="auto"/>
        <w:rPr>
          <w:rFonts w:ascii="Arial" w:hAnsi="Arial" w:cs="Arial"/>
        </w:rPr>
      </w:pPr>
    </w:p>
    <w:p w14:paraId="76A0E090" w14:textId="6404179B" w:rsidR="00E178FD"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[20]</w:t>
      </w:r>
      <w:r>
        <w:rPr>
          <w:rFonts w:ascii="Arial" w:hAnsi="Arial" w:cs="Arial"/>
        </w:rPr>
        <w:tab/>
      </w:r>
      <w:r w:rsidR="00A115F6">
        <w:rPr>
          <w:rFonts w:ascii="Arial" w:hAnsi="Arial" w:cs="Arial"/>
        </w:rPr>
        <w:t>In considering the aforesaid passage, Jafta JA i</w:t>
      </w:r>
      <w:r w:rsidR="00E178FD">
        <w:rPr>
          <w:rFonts w:ascii="Arial" w:hAnsi="Arial" w:cs="Arial"/>
        </w:rPr>
        <w:t xml:space="preserve">n </w:t>
      </w:r>
      <w:r w:rsidR="00E178FD" w:rsidRPr="00E178FD">
        <w:rPr>
          <w:rFonts w:ascii="Arial" w:hAnsi="Arial" w:cs="Arial"/>
          <w:i/>
          <w:iCs/>
        </w:rPr>
        <w:t>Millennium Waste Management (Pty) Ltd v Chairperson, Tender Board: Limpopo Province</w:t>
      </w:r>
      <w:r w:rsidR="00E178FD" w:rsidRPr="00E178FD">
        <w:rPr>
          <w:rStyle w:val="FootnoteReference"/>
          <w:rFonts w:ascii="Arial" w:hAnsi="Arial" w:cs="Arial"/>
        </w:rPr>
        <w:footnoteReference w:id="7"/>
      </w:r>
      <w:r w:rsidR="00A115F6">
        <w:rPr>
          <w:rFonts w:ascii="Arial" w:hAnsi="Arial" w:cs="Arial"/>
          <w:i/>
          <w:iCs/>
        </w:rPr>
        <w:t xml:space="preserve"> </w:t>
      </w:r>
      <w:r w:rsidR="00A115F6">
        <w:rPr>
          <w:rFonts w:ascii="Arial" w:hAnsi="Arial" w:cs="Arial"/>
        </w:rPr>
        <w:t>commented, obiter, that in such context, the definition of tender cannot be given its wide literal meaning and accordingly</w:t>
      </w:r>
      <w:r w:rsidR="00A72D1E">
        <w:rPr>
          <w:rFonts w:ascii="Arial" w:hAnsi="Arial" w:cs="Arial"/>
        </w:rPr>
        <w:t>,</w:t>
      </w:r>
      <w:r w:rsidR="00A115F6">
        <w:rPr>
          <w:rFonts w:ascii="Arial" w:hAnsi="Arial" w:cs="Arial"/>
        </w:rPr>
        <w:t xml:space="preserve"> it cannot mean that a tender must comply with conditions which are immaterial, unreasonable or unconstitutional.</w:t>
      </w:r>
    </w:p>
    <w:p w14:paraId="45FCE006" w14:textId="77777777" w:rsidR="00E178FD" w:rsidRDefault="00E178FD" w:rsidP="00E178FD">
      <w:pPr>
        <w:pStyle w:val="NormalWeb"/>
        <w:shd w:val="clear" w:color="auto" w:fill="FFFFFF"/>
        <w:spacing w:before="0" w:beforeAutospacing="0" w:after="0" w:afterAutospacing="0" w:line="480" w:lineRule="auto"/>
        <w:ind w:left="851" w:right="259"/>
        <w:jc w:val="both"/>
        <w:rPr>
          <w:rFonts w:ascii="Arial" w:hAnsi="Arial" w:cs="Arial"/>
        </w:rPr>
      </w:pPr>
    </w:p>
    <w:p w14:paraId="1E8F366F" w14:textId="6B317937" w:rsidR="00787F0F"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lastRenderedPageBreak/>
        <w:t>[21]</w:t>
      </w:r>
      <w:r>
        <w:rPr>
          <w:rFonts w:ascii="Arial" w:hAnsi="Arial" w:cs="Arial"/>
        </w:rPr>
        <w:tab/>
      </w:r>
      <w:r w:rsidR="00A72D1E">
        <w:rPr>
          <w:rFonts w:ascii="Arial" w:hAnsi="Arial" w:cs="Arial"/>
        </w:rPr>
        <w:t xml:space="preserve">In this context, and </w:t>
      </w:r>
      <w:r w:rsidR="00222B18">
        <w:rPr>
          <w:rFonts w:ascii="Arial" w:hAnsi="Arial" w:cs="Arial"/>
        </w:rPr>
        <w:t>with reference to</w:t>
      </w:r>
      <w:r w:rsidR="00A72D1E">
        <w:rPr>
          <w:rFonts w:ascii="Arial" w:hAnsi="Arial" w:cs="Arial"/>
        </w:rPr>
        <w:t xml:space="preserve"> the above, the Supreme Court of Appeal,</w:t>
      </w:r>
      <w:r w:rsidR="00222B18">
        <w:rPr>
          <w:rFonts w:ascii="Arial" w:hAnsi="Arial" w:cs="Arial"/>
        </w:rPr>
        <w:t xml:space="preserve"> </w:t>
      </w:r>
      <w:r w:rsidR="00787F0F">
        <w:rPr>
          <w:rFonts w:ascii="Arial" w:hAnsi="Arial" w:cs="Arial"/>
        </w:rPr>
        <w:t xml:space="preserve">in </w:t>
      </w:r>
      <w:r w:rsidR="00787F0F" w:rsidRPr="00842FFF">
        <w:rPr>
          <w:rFonts w:ascii="Arial" w:hAnsi="Arial" w:cs="Arial"/>
          <w:i/>
          <w:iCs/>
        </w:rPr>
        <w:t>Dr JS Moroka Municipality and Others v Betram (Pty) Limited and Another</w:t>
      </w:r>
      <w:r w:rsidR="00A72D1E">
        <w:rPr>
          <w:rFonts w:ascii="Arial" w:hAnsi="Arial" w:cs="Arial"/>
          <w:i/>
          <w:iCs/>
        </w:rPr>
        <w:t>,</w:t>
      </w:r>
      <w:r w:rsidR="00A72D1E">
        <w:rPr>
          <w:rFonts w:ascii="Arial" w:hAnsi="Arial" w:cs="Arial"/>
        </w:rPr>
        <w:t xml:space="preserve"> stated that:</w:t>
      </w:r>
      <w:r w:rsidR="00787F0F">
        <w:rPr>
          <w:rStyle w:val="FootnoteReference"/>
          <w:rFonts w:ascii="Arial" w:hAnsi="Arial" w:cs="Arial"/>
        </w:rPr>
        <w:footnoteReference w:id="8"/>
      </w:r>
    </w:p>
    <w:p w14:paraId="3003BF53" w14:textId="1ACFA3C7" w:rsidR="00787F0F" w:rsidRDefault="00787F0F" w:rsidP="00787F0F">
      <w:pPr>
        <w:pStyle w:val="NormalWeb"/>
        <w:shd w:val="clear" w:color="auto" w:fill="FFFFFF"/>
        <w:spacing w:before="0" w:beforeAutospacing="0" w:after="0" w:afterAutospacing="0" w:line="480" w:lineRule="auto"/>
        <w:ind w:left="851" w:right="259"/>
        <w:jc w:val="both"/>
        <w:rPr>
          <w:rFonts w:ascii="Arial" w:hAnsi="Arial" w:cs="Arial"/>
        </w:rPr>
      </w:pPr>
    </w:p>
    <w:p w14:paraId="2ACACDDB" w14:textId="7CCC3972" w:rsidR="00787F0F" w:rsidRPr="00787F0F" w:rsidRDefault="00787F0F" w:rsidP="00787F0F">
      <w:pPr>
        <w:pStyle w:val="NormalWeb"/>
        <w:shd w:val="clear" w:color="auto" w:fill="FFFFFF"/>
        <w:spacing w:before="0" w:beforeAutospacing="0" w:after="0" w:afterAutospacing="0" w:line="360" w:lineRule="auto"/>
        <w:ind w:left="851" w:right="261"/>
        <w:jc w:val="both"/>
        <w:rPr>
          <w:rFonts w:ascii="Arial" w:hAnsi="Arial" w:cs="Arial"/>
          <w:i/>
          <w:iCs/>
          <w:color w:val="242121"/>
          <w:sz w:val="20"/>
          <w:szCs w:val="20"/>
          <w:shd w:val="clear" w:color="auto" w:fill="FFFFFF"/>
        </w:rPr>
      </w:pPr>
      <w:r w:rsidRPr="00787F0F">
        <w:rPr>
          <w:rFonts w:ascii="Arial" w:hAnsi="Arial" w:cs="Arial"/>
          <w:i/>
          <w:iCs/>
          <w:color w:val="242121"/>
          <w:sz w:val="20"/>
          <w:szCs w:val="20"/>
          <w:shd w:val="clear" w:color="auto" w:fill="FFFFFF"/>
        </w:rPr>
        <w:t>“Essentially it was for the municipality, and not the court, to decide what should be a prerequisite for a valid tender, and a failure to comply with prescribed conditions will result in a tender being disqualified as an ‘acceptable tender’ under the Procurement Act unless those conditions are immaterial, unreasonable or unconstitutional.”</w:t>
      </w:r>
    </w:p>
    <w:p w14:paraId="0FC09D0B" w14:textId="77777777" w:rsidR="00787F0F" w:rsidRDefault="00787F0F" w:rsidP="00787F0F">
      <w:pPr>
        <w:pStyle w:val="NormalWeb"/>
        <w:shd w:val="clear" w:color="auto" w:fill="FFFFFF"/>
        <w:spacing w:before="0" w:beforeAutospacing="0" w:after="0" w:afterAutospacing="0" w:line="480" w:lineRule="auto"/>
        <w:ind w:left="851" w:right="259"/>
        <w:jc w:val="both"/>
        <w:rPr>
          <w:rFonts w:ascii="Arial" w:hAnsi="Arial" w:cs="Arial"/>
        </w:rPr>
      </w:pPr>
    </w:p>
    <w:p w14:paraId="5109D58D" w14:textId="7E21A12F" w:rsidR="009A269C" w:rsidRPr="009A269C"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sidRPr="009A269C">
        <w:rPr>
          <w:rFonts w:ascii="Arial" w:hAnsi="Arial" w:cs="Arial"/>
        </w:rPr>
        <w:t>[22]</w:t>
      </w:r>
      <w:r w:rsidRPr="009A269C">
        <w:rPr>
          <w:rFonts w:ascii="Arial" w:hAnsi="Arial" w:cs="Arial"/>
        </w:rPr>
        <w:tab/>
      </w:r>
      <w:r w:rsidR="001F57C5">
        <w:rPr>
          <w:rFonts w:ascii="Arial" w:hAnsi="Arial" w:cs="Arial"/>
        </w:rPr>
        <w:t xml:space="preserve">The requirement that tenders should only be awarded to bidders who are UIF compliant is not in issue.  Instead, the applicant contends that </w:t>
      </w:r>
      <w:r w:rsidR="001F57C5" w:rsidRPr="001F57C5">
        <w:rPr>
          <w:rFonts w:ascii="Arial" w:hAnsi="Arial" w:cs="Arial"/>
          <w:lang w:val="en-US"/>
        </w:rPr>
        <w:t xml:space="preserve">the decision of the first respondent to qualify or limit </w:t>
      </w:r>
      <w:r w:rsidR="001F57C5">
        <w:rPr>
          <w:rFonts w:ascii="Arial" w:hAnsi="Arial" w:cs="Arial"/>
          <w:lang w:val="en-US"/>
        </w:rPr>
        <w:t>such condition</w:t>
      </w:r>
      <w:r w:rsidR="001F57C5" w:rsidRPr="001F57C5">
        <w:rPr>
          <w:rFonts w:ascii="Arial" w:hAnsi="Arial" w:cs="Arial"/>
          <w:lang w:val="en-US"/>
        </w:rPr>
        <w:t xml:space="preserve"> by enforcing the rigid requirement that a tenderer can only prove its compliance by way of a U</w:t>
      </w:r>
      <w:r w:rsidR="001F57C5">
        <w:rPr>
          <w:rFonts w:ascii="Arial" w:hAnsi="Arial" w:cs="Arial"/>
          <w:lang w:val="en-US"/>
        </w:rPr>
        <w:t>I</w:t>
      </w:r>
      <w:r w:rsidR="001F57C5" w:rsidRPr="001F57C5">
        <w:rPr>
          <w:rFonts w:ascii="Arial" w:hAnsi="Arial" w:cs="Arial"/>
          <w:lang w:val="en-US"/>
        </w:rPr>
        <w:t>F certificate</w:t>
      </w:r>
      <w:r w:rsidR="001F57C5">
        <w:rPr>
          <w:rFonts w:ascii="Arial" w:hAnsi="Arial" w:cs="Arial"/>
          <w:lang w:val="en-US"/>
        </w:rPr>
        <w:t>,</w:t>
      </w:r>
      <w:r w:rsidR="00420068">
        <w:rPr>
          <w:rStyle w:val="FootnoteReference"/>
          <w:rFonts w:ascii="Arial" w:hAnsi="Arial" w:cs="Arial"/>
          <w:lang w:val="en-US"/>
        </w:rPr>
        <w:footnoteReference w:id="9"/>
      </w:r>
      <w:r w:rsidR="001F57C5" w:rsidRPr="001F57C5">
        <w:rPr>
          <w:rFonts w:ascii="Arial" w:hAnsi="Arial" w:cs="Arial"/>
          <w:lang w:val="en-US"/>
        </w:rPr>
        <w:t xml:space="preserve"> without allowing any other valid proof of </w:t>
      </w:r>
      <w:r w:rsidR="001F6136">
        <w:rPr>
          <w:rFonts w:ascii="Arial" w:hAnsi="Arial" w:cs="Arial"/>
          <w:lang w:val="en-US"/>
        </w:rPr>
        <w:t>its</w:t>
      </w:r>
      <w:r w:rsidR="001F57C5" w:rsidRPr="001F57C5">
        <w:rPr>
          <w:rFonts w:ascii="Arial" w:hAnsi="Arial" w:cs="Arial"/>
          <w:lang w:val="en-US"/>
        </w:rPr>
        <w:t xml:space="preserve"> compliance, is irrational in light of the purpose of the empowering provision, such purpose be</w:t>
      </w:r>
      <w:r w:rsidR="00E20F81">
        <w:rPr>
          <w:rFonts w:ascii="Arial" w:hAnsi="Arial" w:cs="Arial"/>
          <w:lang w:val="en-US"/>
        </w:rPr>
        <w:t>ing</w:t>
      </w:r>
      <w:r w:rsidR="00130DDB">
        <w:rPr>
          <w:rFonts w:ascii="Arial" w:hAnsi="Arial" w:cs="Arial"/>
          <w:lang w:val="en-US"/>
        </w:rPr>
        <w:t>, as stated,</w:t>
      </w:r>
      <w:r w:rsidR="001F57C5" w:rsidRPr="001F57C5">
        <w:rPr>
          <w:rFonts w:ascii="Arial" w:hAnsi="Arial" w:cs="Arial"/>
          <w:lang w:val="en-US"/>
        </w:rPr>
        <w:t xml:space="preserve"> to ensure that a prospective tenderer is registered for U</w:t>
      </w:r>
      <w:r w:rsidR="00A1450C">
        <w:rPr>
          <w:rFonts w:ascii="Arial" w:hAnsi="Arial" w:cs="Arial"/>
          <w:lang w:val="en-US"/>
        </w:rPr>
        <w:t>I</w:t>
      </w:r>
      <w:r w:rsidR="001F57C5" w:rsidRPr="001F57C5">
        <w:rPr>
          <w:rFonts w:ascii="Arial" w:hAnsi="Arial" w:cs="Arial"/>
          <w:lang w:val="en-US"/>
        </w:rPr>
        <w:t>F and that its U</w:t>
      </w:r>
      <w:r w:rsidR="00A1450C">
        <w:rPr>
          <w:rFonts w:ascii="Arial" w:hAnsi="Arial" w:cs="Arial"/>
          <w:lang w:val="en-US"/>
        </w:rPr>
        <w:t>I</w:t>
      </w:r>
      <w:r w:rsidR="001F57C5" w:rsidRPr="001F57C5">
        <w:rPr>
          <w:rFonts w:ascii="Arial" w:hAnsi="Arial" w:cs="Arial"/>
          <w:lang w:val="en-US"/>
        </w:rPr>
        <w:t>F contributions are up to date</w:t>
      </w:r>
      <w:r w:rsidR="001F57C5">
        <w:rPr>
          <w:rFonts w:ascii="Arial" w:hAnsi="Arial" w:cs="Arial"/>
          <w:lang w:val="en-US"/>
        </w:rPr>
        <w:t>.</w:t>
      </w:r>
      <w:r w:rsidR="009D7C65">
        <w:rPr>
          <w:rFonts w:ascii="Arial" w:hAnsi="Arial" w:cs="Arial"/>
          <w:lang w:val="en-US"/>
        </w:rPr>
        <w:t xml:space="preserve">  </w:t>
      </w:r>
      <w:r w:rsidR="009A269C">
        <w:rPr>
          <w:rFonts w:ascii="Arial" w:hAnsi="Arial" w:cs="Arial"/>
          <w:lang w:val="en-US"/>
        </w:rPr>
        <w:t xml:space="preserve">  </w:t>
      </w:r>
    </w:p>
    <w:p w14:paraId="4EB9CDF6" w14:textId="77777777" w:rsidR="009A269C" w:rsidRPr="009A269C" w:rsidRDefault="009A269C" w:rsidP="0038666C">
      <w:pPr>
        <w:pStyle w:val="NormalWeb"/>
        <w:shd w:val="clear" w:color="auto" w:fill="FFFFFF"/>
        <w:spacing w:before="0" w:beforeAutospacing="0" w:after="0" w:afterAutospacing="0" w:line="480" w:lineRule="auto"/>
        <w:ind w:left="851" w:right="259"/>
        <w:jc w:val="both"/>
        <w:rPr>
          <w:rFonts w:ascii="Arial" w:hAnsi="Arial" w:cs="Arial"/>
        </w:rPr>
      </w:pPr>
    </w:p>
    <w:p w14:paraId="173F4D14" w14:textId="3021074B" w:rsidR="009A269C" w:rsidRPr="009A269C"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sidRPr="009A269C">
        <w:rPr>
          <w:rFonts w:ascii="Arial" w:hAnsi="Arial" w:cs="Arial"/>
        </w:rPr>
        <w:t>[23]</w:t>
      </w:r>
      <w:r w:rsidRPr="009A269C">
        <w:rPr>
          <w:rFonts w:ascii="Arial" w:hAnsi="Arial" w:cs="Arial"/>
        </w:rPr>
        <w:tab/>
      </w:r>
      <w:r w:rsidR="00336412">
        <w:rPr>
          <w:rFonts w:ascii="Arial" w:hAnsi="Arial" w:cs="Arial"/>
          <w:lang w:val="en-US"/>
        </w:rPr>
        <w:t>In short</w:t>
      </w:r>
      <w:r w:rsidR="009A269C">
        <w:rPr>
          <w:rFonts w:ascii="Arial" w:hAnsi="Arial" w:cs="Arial"/>
          <w:lang w:val="en-US"/>
        </w:rPr>
        <w:t xml:space="preserve">, the applicant’s contention is that the first respondent could and should have condoned the applicant’s non-compliance with the mandatory </w:t>
      </w:r>
      <w:r w:rsidR="001205F9">
        <w:rPr>
          <w:rFonts w:ascii="Arial" w:hAnsi="Arial" w:cs="Arial"/>
          <w:lang w:val="en-US"/>
        </w:rPr>
        <w:t xml:space="preserve">tender </w:t>
      </w:r>
      <w:r w:rsidR="009A269C">
        <w:rPr>
          <w:rFonts w:ascii="Arial" w:hAnsi="Arial" w:cs="Arial"/>
          <w:lang w:val="en-US"/>
        </w:rPr>
        <w:t>requirements.</w:t>
      </w:r>
    </w:p>
    <w:p w14:paraId="3977D14B" w14:textId="77777777" w:rsidR="009A269C" w:rsidRDefault="009A269C" w:rsidP="0038666C">
      <w:pPr>
        <w:pStyle w:val="ListParagraph"/>
        <w:spacing w:after="0" w:line="480" w:lineRule="auto"/>
        <w:rPr>
          <w:rFonts w:ascii="Arial" w:hAnsi="Arial" w:cs="Arial"/>
        </w:rPr>
      </w:pPr>
    </w:p>
    <w:p w14:paraId="6DC1A8DB" w14:textId="7964EE90" w:rsidR="009A269C"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[24]</w:t>
      </w:r>
      <w:r>
        <w:rPr>
          <w:rFonts w:ascii="Arial" w:hAnsi="Arial" w:cs="Arial"/>
        </w:rPr>
        <w:tab/>
      </w:r>
      <w:r w:rsidR="00A1450C">
        <w:rPr>
          <w:rFonts w:ascii="Arial" w:hAnsi="Arial" w:cs="Arial"/>
        </w:rPr>
        <w:t xml:space="preserve">The court in </w:t>
      </w:r>
      <w:r w:rsidR="00A1450C" w:rsidRPr="00A1450C">
        <w:rPr>
          <w:rFonts w:ascii="Arial" w:hAnsi="Arial" w:cs="Arial"/>
          <w:i/>
          <w:iCs/>
        </w:rPr>
        <w:t>Minister of Environmental Affairs and Tourism v Pepper Bay Fishing (Pty) Ltd; Minister of Environmental Affairs v Smith</w:t>
      </w:r>
      <w:r w:rsidR="00A1450C">
        <w:rPr>
          <w:rStyle w:val="FootnoteReference"/>
          <w:rFonts w:ascii="Arial" w:hAnsi="Arial" w:cs="Arial"/>
        </w:rPr>
        <w:footnoteReference w:id="10"/>
      </w:r>
      <w:r w:rsidR="00A1450C">
        <w:rPr>
          <w:rFonts w:ascii="Arial" w:hAnsi="Arial" w:cs="Arial"/>
        </w:rPr>
        <w:t xml:space="preserve"> in dealing with </w:t>
      </w:r>
      <w:r w:rsidR="00A1450C">
        <w:rPr>
          <w:rFonts w:ascii="Arial" w:hAnsi="Arial" w:cs="Arial"/>
        </w:rPr>
        <w:lastRenderedPageBreak/>
        <w:t xml:space="preserve">the question as to whether an administrative authority has the power to condone a failure to comply with a peremptory requirement, stated </w:t>
      </w:r>
      <w:r w:rsidR="002F5B4D">
        <w:rPr>
          <w:rFonts w:ascii="Arial" w:hAnsi="Arial" w:cs="Arial"/>
        </w:rPr>
        <w:t>that</w:t>
      </w:r>
      <w:r w:rsidR="00A1450C">
        <w:rPr>
          <w:rFonts w:ascii="Arial" w:hAnsi="Arial" w:cs="Arial"/>
        </w:rPr>
        <w:t>:</w:t>
      </w:r>
    </w:p>
    <w:p w14:paraId="49762EB3" w14:textId="77777777" w:rsidR="00A1450C" w:rsidRDefault="00A1450C" w:rsidP="00A1450C">
      <w:pPr>
        <w:pStyle w:val="ListParagraph"/>
        <w:rPr>
          <w:rFonts w:ascii="Arial" w:hAnsi="Arial" w:cs="Arial"/>
        </w:rPr>
      </w:pPr>
    </w:p>
    <w:p w14:paraId="7904D542" w14:textId="4555759E" w:rsidR="00A1450C" w:rsidRPr="00A1450C" w:rsidRDefault="00A1450C" w:rsidP="00A1450C">
      <w:pPr>
        <w:pStyle w:val="NormalWeb"/>
        <w:shd w:val="clear" w:color="auto" w:fill="FFFFFF"/>
        <w:spacing w:before="0" w:beforeAutospacing="0" w:after="0" w:afterAutospacing="0" w:line="360" w:lineRule="auto"/>
        <w:ind w:left="851" w:right="261"/>
        <w:jc w:val="both"/>
        <w:rPr>
          <w:rFonts w:ascii="Arial" w:hAnsi="Arial" w:cs="Arial"/>
          <w:i/>
          <w:iCs/>
          <w:color w:val="242121"/>
          <w:sz w:val="20"/>
          <w:szCs w:val="20"/>
          <w:shd w:val="clear" w:color="auto" w:fill="FFFFFF"/>
        </w:rPr>
      </w:pPr>
      <w:r w:rsidRPr="00A1450C">
        <w:rPr>
          <w:rFonts w:ascii="Arial" w:hAnsi="Arial" w:cs="Arial"/>
          <w:i/>
          <w:iCs/>
          <w:color w:val="242121"/>
          <w:sz w:val="20"/>
          <w:szCs w:val="20"/>
          <w:shd w:val="clear" w:color="auto" w:fill="FFFFFF"/>
        </w:rPr>
        <w:t xml:space="preserve">“As a general principle an administrative authority has no inherent power to condone failure to comply with a peremptory requirement. </w:t>
      </w:r>
      <w:r w:rsidR="00C91E38">
        <w:rPr>
          <w:rFonts w:ascii="Arial" w:hAnsi="Arial" w:cs="Arial"/>
          <w:i/>
          <w:iCs/>
          <w:color w:val="242121"/>
          <w:sz w:val="20"/>
          <w:szCs w:val="20"/>
          <w:shd w:val="clear" w:color="auto" w:fill="FFFFFF"/>
        </w:rPr>
        <w:t xml:space="preserve"> </w:t>
      </w:r>
      <w:r w:rsidRPr="00A1450C">
        <w:rPr>
          <w:rFonts w:ascii="Arial" w:hAnsi="Arial" w:cs="Arial"/>
          <w:i/>
          <w:iCs/>
          <w:color w:val="242121"/>
          <w:sz w:val="20"/>
          <w:szCs w:val="20"/>
          <w:shd w:val="clear" w:color="auto" w:fill="FFFFFF"/>
        </w:rPr>
        <w:t>It only has such power if it has been afforded the discretion to do so</w:t>
      </w:r>
      <w:r>
        <w:rPr>
          <w:rFonts w:ascii="Arial" w:hAnsi="Arial" w:cs="Arial"/>
          <w:i/>
          <w:iCs/>
          <w:color w:val="242121"/>
          <w:sz w:val="20"/>
          <w:szCs w:val="20"/>
          <w:shd w:val="clear" w:color="auto" w:fill="FFFFFF"/>
        </w:rPr>
        <w:t>.”</w:t>
      </w:r>
    </w:p>
    <w:p w14:paraId="727CA3CC" w14:textId="77777777" w:rsidR="009A269C" w:rsidRDefault="009A269C" w:rsidP="00DA4C6E">
      <w:pPr>
        <w:pStyle w:val="ListParagraph"/>
        <w:spacing w:after="0" w:line="480" w:lineRule="auto"/>
        <w:rPr>
          <w:rFonts w:ascii="Arial" w:hAnsi="Arial" w:cs="Arial"/>
          <w:lang w:val="en-US"/>
        </w:rPr>
      </w:pPr>
    </w:p>
    <w:p w14:paraId="5B913336" w14:textId="6A7A859E" w:rsidR="00B11176" w:rsidRPr="00B11176"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sidRPr="00B11176">
        <w:rPr>
          <w:rFonts w:ascii="Arial" w:hAnsi="Arial" w:cs="Arial"/>
        </w:rPr>
        <w:t>[25]</w:t>
      </w:r>
      <w:r w:rsidRPr="00B11176">
        <w:rPr>
          <w:rFonts w:ascii="Arial" w:hAnsi="Arial" w:cs="Arial"/>
        </w:rPr>
        <w:tab/>
      </w:r>
      <w:r w:rsidR="0085014E">
        <w:rPr>
          <w:rFonts w:ascii="Arial" w:hAnsi="Arial" w:cs="Arial"/>
          <w:lang w:val="en-US"/>
        </w:rPr>
        <w:t xml:space="preserve">This </w:t>
      </w:r>
      <w:r w:rsidR="00AE070D">
        <w:rPr>
          <w:rFonts w:ascii="Arial" w:hAnsi="Arial" w:cs="Arial"/>
          <w:lang w:val="en-US"/>
        </w:rPr>
        <w:t xml:space="preserve">has been </w:t>
      </w:r>
      <w:r w:rsidR="0085014E">
        <w:rPr>
          <w:rFonts w:ascii="Arial" w:hAnsi="Arial" w:cs="Arial"/>
          <w:lang w:val="en-US"/>
        </w:rPr>
        <w:t xml:space="preserve">reaffirmed by </w:t>
      </w:r>
      <w:r w:rsidR="00C91E38">
        <w:rPr>
          <w:rFonts w:ascii="Arial" w:hAnsi="Arial" w:cs="Arial"/>
          <w:lang w:val="en-US"/>
        </w:rPr>
        <w:t xml:space="preserve">the Supreme </w:t>
      </w:r>
      <w:r w:rsidR="00833969">
        <w:rPr>
          <w:rFonts w:ascii="Arial" w:hAnsi="Arial" w:cs="Arial"/>
          <w:lang w:val="en-US"/>
        </w:rPr>
        <w:t xml:space="preserve">Court of Appeal </w:t>
      </w:r>
      <w:r w:rsidR="00B11176">
        <w:rPr>
          <w:rFonts w:ascii="Arial" w:hAnsi="Arial" w:cs="Arial"/>
          <w:lang w:val="en-US"/>
        </w:rPr>
        <w:t>on more than one occasion.</w:t>
      </w:r>
      <w:r w:rsidR="00B11176">
        <w:rPr>
          <w:rStyle w:val="FootnoteReference"/>
          <w:rFonts w:ascii="Arial" w:hAnsi="Arial" w:cs="Arial"/>
          <w:lang w:val="en-US"/>
        </w:rPr>
        <w:footnoteReference w:id="11"/>
      </w:r>
    </w:p>
    <w:p w14:paraId="374F817F" w14:textId="0947D935" w:rsidR="00833969" w:rsidRPr="00833969" w:rsidRDefault="00833969" w:rsidP="00DA4C6E">
      <w:pPr>
        <w:pStyle w:val="NormalWeb"/>
        <w:shd w:val="clear" w:color="auto" w:fill="FFFFFF"/>
        <w:spacing w:before="0" w:beforeAutospacing="0" w:after="0" w:afterAutospacing="0" w:line="480" w:lineRule="auto"/>
        <w:ind w:left="851" w:right="259"/>
        <w:jc w:val="both"/>
        <w:rPr>
          <w:rFonts w:ascii="Arial" w:hAnsi="Arial" w:cs="Arial"/>
        </w:rPr>
      </w:pPr>
    </w:p>
    <w:p w14:paraId="3F710CFF" w14:textId="17D53C64" w:rsidR="001F57C5" w:rsidRPr="00EF45BA"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sidRPr="00EF45BA">
        <w:rPr>
          <w:rFonts w:ascii="Arial" w:hAnsi="Arial" w:cs="Arial"/>
        </w:rPr>
        <w:t>[26]</w:t>
      </w:r>
      <w:r w:rsidRPr="00EF45BA">
        <w:rPr>
          <w:rFonts w:ascii="Arial" w:hAnsi="Arial" w:cs="Arial"/>
        </w:rPr>
        <w:tab/>
      </w:r>
      <w:r w:rsidR="00EF45BA">
        <w:rPr>
          <w:rFonts w:ascii="Arial" w:hAnsi="Arial" w:cs="Arial"/>
          <w:lang w:val="en-US"/>
        </w:rPr>
        <w:t xml:space="preserve">The </w:t>
      </w:r>
      <w:r w:rsidR="00F0201F">
        <w:rPr>
          <w:rFonts w:ascii="Arial" w:hAnsi="Arial" w:cs="Arial"/>
          <w:lang w:val="en-US"/>
        </w:rPr>
        <w:t xml:space="preserve">first respondent’s </w:t>
      </w:r>
      <w:r w:rsidR="00EF45BA" w:rsidRPr="00EF45BA">
        <w:rPr>
          <w:rFonts w:ascii="Arial" w:hAnsi="Arial" w:cs="Arial"/>
          <w:lang w:val="en-US"/>
        </w:rPr>
        <w:t xml:space="preserve">ability to condone </w:t>
      </w:r>
      <w:r w:rsidR="00F0201F">
        <w:rPr>
          <w:rFonts w:ascii="Arial" w:hAnsi="Arial" w:cs="Arial"/>
          <w:lang w:val="en-US"/>
        </w:rPr>
        <w:t>a</w:t>
      </w:r>
      <w:r w:rsidR="00EF45BA" w:rsidRPr="00EF45BA">
        <w:rPr>
          <w:rFonts w:ascii="Arial" w:hAnsi="Arial" w:cs="Arial"/>
          <w:lang w:val="en-US"/>
        </w:rPr>
        <w:t xml:space="preserve"> failure to comply with </w:t>
      </w:r>
      <w:r w:rsidR="00D03880">
        <w:rPr>
          <w:rFonts w:ascii="Arial" w:hAnsi="Arial" w:cs="Arial"/>
          <w:lang w:val="en-US"/>
        </w:rPr>
        <w:t>a</w:t>
      </w:r>
      <w:r w:rsidR="00EF45BA" w:rsidRPr="00EF45BA">
        <w:rPr>
          <w:rFonts w:ascii="Arial" w:hAnsi="Arial" w:cs="Arial"/>
          <w:lang w:val="en-US"/>
        </w:rPr>
        <w:t xml:space="preserve"> peremptory tender requirement</w:t>
      </w:r>
      <w:r w:rsidR="00F0201F">
        <w:rPr>
          <w:rFonts w:ascii="Arial" w:hAnsi="Arial" w:cs="Arial"/>
          <w:lang w:val="en-US"/>
        </w:rPr>
        <w:t>,</w:t>
      </w:r>
      <w:r w:rsidR="00EF45BA" w:rsidRPr="00EF45BA">
        <w:rPr>
          <w:rFonts w:ascii="Arial" w:hAnsi="Arial" w:cs="Arial"/>
          <w:lang w:val="en-US"/>
        </w:rPr>
        <w:t xml:space="preserve"> in the present instance</w:t>
      </w:r>
      <w:r w:rsidR="00F0201F">
        <w:rPr>
          <w:rFonts w:ascii="Arial" w:hAnsi="Arial" w:cs="Arial"/>
          <w:lang w:val="en-US"/>
        </w:rPr>
        <w:t>,</w:t>
      </w:r>
      <w:r w:rsidR="00EF45BA" w:rsidRPr="00EF45BA">
        <w:rPr>
          <w:rFonts w:ascii="Arial" w:hAnsi="Arial" w:cs="Arial"/>
          <w:lang w:val="en-US"/>
        </w:rPr>
        <w:t xml:space="preserve"> i</w:t>
      </w:r>
      <w:r w:rsidR="00F0201F">
        <w:rPr>
          <w:rFonts w:ascii="Arial" w:hAnsi="Arial" w:cs="Arial"/>
          <w:lang w:val="en-US"/>
        </w:rPr>
        <w:t>s</w:t>
      </w:r>
      <w:r w:rsidR="00EF45BA" w:rsidRPr="00EF45BA">
        <w:rPr>
          <w:rFonts w:ascii="Arial" w:hAnsi="Arial" w:cs="Arial"/>
          <w:lang w:val="en-US"/>
        </w:rPr>
        <w:t xml:space="preserve"> dependent upon</w:t>
      </w:r>
      <w:r w:rsidR="00F0201F">
        <w:rPr>
          <w:rFonts w:ascii="Arial" w:hAnsi="Arial" w:cs="Arial"/>
          <w:lang w:val="en-US"/>
        </w:rPr>
        <w:t xml:space="preserve"> a proper</w:t>
      </w:r>
      <w:r w:rsidR="00EF45BA" w:rsidRPr="00EF45BA">
        <w:rPr>
          <w:rFonts w:ascii="Arial" w:hAnsi="Arial" w:cs="Arial"/>
          <w:lang w:val="en-US"/>
        </w:rPr>
        <w:t xml:space="preserve"> construction of the documents forming part of the tender invitation.</w:t>
      </w:r>
      <w:r w:rsidR="00F0201F">
        <w:rPr>
          <w:rFonts w:ascii="Arial" w:hAnsi="Arial" w:cs="Arial"/>
          <w:lang w:val="en-US"/>
        </w:rPr>
        <w:t xml:space="preserve"> </w:t>
      </w:r>
      <w:r w:rsidR="00EF45BA" w:rsidRPr="00EF45BA">
        <w:rPr>
          <w:rFonts w:ascii="Arial" w:hAnsi="Arial" w:cs="Arial"/>
          <w:lang w:val="en-US"/>
        </w:rPr>
        <w:t xml:space="preserve"> </w:t>
      </w:r>
      <w:r w:rsidR="00F0201F">
        <w:rPr>
          <w:rFonts w:ascii="Arial" w:hAnsi="Arial" w:cs="Arial"/>
          <w:lang w:val="en-US"/>
        </w:rPr>
        <w:t>H</w:t>
      </w:r>
      <w:r w:rsidR="00EF45BA" w:rsidRPr="00EF45BA">
        <w:rPr>
          <w:rFonts w:ascii="Arial" w:hAnsi="Arial" w:cs="Arial"/>
          <w:lang w:val="en-US"/>
        </w:rPr>
        <w:t xml:space="preserve">aving had regard to the tender invitation </w:t>
      </w:r>
      <w:r w:rsidR="00274466">
        <w:rPr>
          <w:rFonts w:ascii="Arial" w:hAnsi="Arial" w:cs="Arial"/>
          <w:lang w:val="en-US"/>
        </w:rPr>
        <w:t>under</w:t>
      </w:r>
      <w:r w:rsidR="00EF45BA" w:rsidRPr="00EF45BA">
        <w:rPr>
          <w:rFonts w:ascii="Arial" w:hAnsi="Arial" w:cs="Arial"/>
          <w:lang w:val="en-US"/>
        </w:rPr>
        <w:t xml:space="preserve"> discussion, I</w:t>
      </w:r>
      <w:r w:rsidR="00F0201F">
        <w:rPr>
          <w:rFonts w:ascii="Arial" w:hAnsi="Arial" w:cs="Arial"/>
          <w:lang w:val="en-US"/>
        </w:rPr>
        <w:t xml:space="preserve"> am</w:t>
      </w:r>
      <w:r w:rsidR="00EF45BA" w:rsidRPr="00EF45BA">
        <w:rPr>
          <w:rFonts w:ascii="Arial" w:hAnsi="Arial" w:cs="Arial"/>
          <w:lang w:val="en-US"/>
        </w:rPr>
        <w:t xml:space="preserve"> satisfied that</w:t>
      </w:r>
      <w:r w:rsidR="00F0201F">
        <w:rPr>
          <w:rFonts w:ascii="Arial" w:hAnsi="Arial" w:cs="Arial"/>
          <w:lang w:val="en-US"/>
        </w:rPr>
        <w:t xml:space="preserve"> it</w:t>
      </w:r>
      <w:r w:rsidR="00EF45BA" w:rsidRPr="00EF45BA">
        <w:rPr>
          <w:rFonts w:ascii="Arial" w:hAnsi="Arial" w:cs="Arial"/>
          <w:lang w:val="en-US"/>
        </w:rPr>
        <w:t xml:space="preserve"> in no manner</w:t>
      </w:r>
      <w:r w:rsidR="003C6842">
        <w:rPr>
          <w:rFonts w:ascii="Arial" w:hAnsi="Arial" w:cs="Arial"/>
          <w:lang w:val="en-US"/>
        </w:rPr>
        <w:t>, either expressly or impliedly,</w:t>
      </w:r>
      <w:r w:rsidR="00EF45BA" w:rsidRPr="00EF45BA">
        <w:rPr>
          <w:rFonts w:ascii="Arial" w:hAnsi="Arial" w:cs="Arial"/>
          <w:lang w:val="en-US"/>
        </w:rPr>
        <w:t xml:space="preserve"> affords</w:t>
      </w:r>
      <w:r w:rsidR="00F0201F">
        <w:rPr>
          <w:rFonts w:ascii="Arial" w:hAnsi="Arial" w:cs="Arial"/>
          <w:lang w:val="en-US"/>
        </w:rPr>
        <w:t xml:space="preserve"> the first respondent</w:t>
      </w:r>
      <w:r w:rsidR="00EF45BA" w:rsidRPr="00EF45BA">
        <w:rPr>
          <w:rFonts w:ascii="Arial" w:hAnsi="Arial" w:cs="Arial"/>
          <w:lang w:val="en-US"/>
        </w:rPr>
        <w:t xml:space="preserve"> a discretion to condone a</w:t>
      </w:r>
      <w:r w:rsidR="00F0201F">
        <w:rPr>
          <w:rFonts w:ascii="Arial" w:hAnsi="Arial" w:cs="Arial"/>
          <w:lang w:val="en-US"/>
        </w:rPr>
        <w:t xml:space="preserve"> bidder’s</w:t>
      </w:r>
      <w:r w:rsidR="00EF45BA" w:rsidRPr="00EF45BA">
        <w:rPr>
          <w:rFonts w:ascii="Arial" w:hAnsi="Arial" w:cs="Arial"/>
          <w:lang w:val="en-US"/>
        </w:rPr>
        <w:t xml:space="preserve"> failure to comply with the prescribed minimum prerequisites set out in</w:t>
      </w:r>
      <w:r w:rsidR="00F61E5F">
        <w:rPr>
          <w:rFonts w:ascii="Arial" w:hAnsi="Arial" w:cs="Arial"/>
          <w:lang w:val="en-US"/>
        </w:rPr>
        <w:t xml:space="preserve"> items 1 to 10 of</w:t>
      </w:r>
      <w:r w:rsidR="00EF45BA" w:rsidRPr="00EF45BA">
        <w:rPr>
          <w:rFonts w:ascii="Arial" w:hAnsi="Arial" w:cs="Arial"/>
          <w:lang w:val="en-US"/>
        </w:rPr>
        <w:t xml:space="preserve"> the</w:t>
      </w:r>
      <w:r w:rsidR="00F44CE7">
        <w:rPr>
          <w:rFonts w:ascii="Arial" w:hAnsi="Arial" w:cs="Arial"/>
          <w:lang w:val="en-US"/>
        </w:rPr>
        <w:t xml:space="preserve"> </w:t>
      </w:r>
      <w:r w:rsidR="00EF45BA" w:rsidRPr="00EF45BA">
        <w:rPr>
          <w:rFonts w:ascii="Arial" w:hAnsi="Arial" w:cs="Arial"/>
          <w:lang w:val="en-US"/>
        </w:rPr>
        <w:t xml:space="preserve">mandatory requirements. </w:t>
      </w:r>
      <w:r w:rsidR="00F0201F">
        <w:rPr>
          <w:rFonts w:ascii="Arial" w:hAnsi="Arial" w:cs="Arial"/>
          <w:lang w:val="en-US"/>
        </w:rPr>
        <w:t xml:space="preserve">  </w:t>
      </w:r>
    </w:p>
    <w:p w14:paraId="41715C68" w14:textId="77777777" w:rsidR="00EF45BA" w:rsidRDefault="00EF45BA" w:rsidP="00FD53F0">
      <w:pPr>
        <w:pStyle w:val="ListParagraph"/>
        <w:spacing w:after="0" w:line="480" w:lineRule="auto"/>
        <w:rPr>
          <w:rFonts w:ascii="Arial" w:hAnsi="Arial" w:cs="Arial"/>
        </w:rPr>
      </w:pPr>
    </w:p>
    <w:p w14:paraId="41A7122F" w14:textId="61370C06" w:rsidR="00EF45BA"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[27]</w:t>
      </w:r>
      <w:r>
        <w:rPr>
          <w:rFonts w:ascii="Arial" w:hAnsi="Arial" w:cs="Arial"/>
        </w:rPr>
        <w:tab/>
      </w:r>
      <w:r w:rsidR="00F0201F">
        <w:rPr>
          <w:rFonts w:ascii="Arial" w:hAnsi="Arial" w:cs="Arial"/>
        </w:rPr>
        <w:t xml:space="preserve">I am </w:t>
      </w:r>
      <w:r w:rsidR="00E83821">
        <w:rPr>
          <w:rFonts w:ascii="Arial" w:hAnsi="Arial" w:cs="Arial"/>
        </w:rPr>
        <w:t>aware</w:t>
      </w:r>
      <w:r w:rsidR="00F0201F">
        <w:rPr>
          <w:rFonts w:ascii="Arial" w:hAnsi="Arial" w:cs="Arial"/>
        </w:rPr>
        <w:t xml:space="preserve"> of the </w:t>
      </w:r>
      <w:r w:rsidR="002F6DC1">
        <w:rPr>
          <w:rFonts w:ascii="Arial" w:hAnsi="Arial" w:cs="Arial"/>
        </w:rPr>
        <w:t xml:space="preserve">comments in </w:t>
      </w:r>
      <w:r w:rsidR="002F6DC1">
        <w:rPr>
          <w:rFonts w:ascii="Arial" w:hAnsi="Arial" w:cs="Arial"/>
          <w:i/>
          <w:iCs/>
        </w:rPr>
        <w:t xml:space="preserve">Millennium Waste Management </w:t>
      </w:r>
      <w:r w:rsidR="002F6DC1">
        <w:rPr>
          <w:rFonts w:ascii="Arial" w:hAnsi="Arial" w:cs="Arial"/>
        </w:rPr>
        <w:t xml:space="preserve">that our law permits condonation of non-compliance with peremptory requirements where the granting thereof is not incompatible with public interest and if it is granted by the body </w:t>
      </w:r>
      <w:r w:rsidR="001326BE">
        <w:rPr>
          <w:rFonts w:ascii="Arial" w:hAnsi="Arial" w:cs="Arial"/>
        </w:rPr>
        <w:t>for</w:t>
      </w:r>
      <w:r w:rsidR="002F6DC1">
        <w:rPr>
          <w:rFonts w:ascii="Arial" w:hAnsi="Arial" w:cs="Arial"/>
        </w:rPr>
        <w:t xml:space="preserve"> whose benefit the provision was enacted.</w:t>
      </w:r>
      <w:r w:rsidR="00E83821">
        <w:rPr>
          <w:rFonts w:ascii="Arial" w:hAnsi="Arial" w:cs="Arial"/>
        </w:rPr>
        <w:t xml:space="preserve">  The </w:t>
      </w:r>
      <w:r w:rsidR="00E83821">
        <w:rPr>
          <w:rFonts w:ascii="Arial" w:hAnsi="Arial" w:cs="Arial"/>
        </w:rPr>
        <w:lastRenderedPageBreak/>
        <w:t xml:space="preserve">aforesaid dictum was later disapproved of by the court in </w:t>
      </w:r>
      <w:r w:rsidR="00E83821" w:rsidRPr="00E83821">
        <w:rPr>
          <w:rFonts w:ascii="Arial" w:hAnsi="Arial" w:cs="Arial"/>
          <w:i/>
          <w:iCs/>
        </w:rPr>
        <w:t>Moroka Municipality</w:t>
      </w:r>
      <w:r w:rsidR="00E83821" w:rsidRPr="007E617D">
        <w:rPr>
          <w:rStyle w:val="FootnoteReference"/>
          <w:rFonts w:ascii="Arial" w:hAnsi="Arial" w:cs="Arial"/>
        </w:rPr>
        <w:footnoteReference w:id="12"/>
      </w:r>
      <w:r w:rsidR="00E83821">
        <w:rPr>
          <w:rFonts w:ascii="Arial" w:hAnsi="Arial" w:cs="Arial"/>
          <w:i/>
          <w:iCs/>
        </w:rPr>
        <w:t xml:space="preserve"> </w:t>
      </w:r>
      <w:r w:rsidR="00E83821">
        <w:rPr>
          <w:rFonts w:ascii="Arial" w:hAnsi="Arial" w:cs="Arial"/>
        </w:rPr>
        <w:t xml:space="preserve">on the basis that such proposition is inconsistent with the decision of the court in </w:t>
      </w:r>
      <w:r w:rsidR="00E83821">
        <w:rPr>
          <w:rFonts w:ascii="Arial" w:hAnsi="Arial" w:cs="Arial"/>
          <w:i/>
          <w:iCs/>
        </w:rPr>
        <w:t>Pepper Bay</w:t>
      </w:r>
      <w:r w:rsidR="00E83821">
        <w:rPr>
          <w:rFonts w:ascii="Arial" w:hAnsi="Arial" w:cs="Arial"/>
        </w:rPr>
        <w:t xml:space="preserve">, a decision which is regularly followed and cited with approval, and </w:t>
      </w:r>
      <w:r w:rsidR="008F39A7">
        <w:rPr>
          <w:rFonts w:ascii="Arial" w:hAnsi="Arial" w:cs="Arial"/>
        </w:rPr>
        <w:t xml:space="preserve">that it </w:t>
      </w:r>
      <w:r w:rsidR="00E83821">
        <w:rPr>
          <w:rFonts w:ascii="Arial" w:hAnsi="Arial" w:cs="Arial"/>
        </w:rPr>
        <w:t xml:space="preserve">also offends the principle of legality as emphasised by the court in </w:t>
      </w:r>
      <w:r w:rsidR="00E83821" w:rsidRPr="00E83821">
        <w:rPr>
          <w:rFonts w:ascii="Arial" w:hAnsi="Arial" w:cs="Arial"/>
          <w:i/>
          <w:iCs/>
        </w:rPr>
        <w:t>Sapela Electronics</w:t>
      </w:r>
      <w:r w:rsidR="00E83821">
        <w:rPr>
          <w:rFonts w:ascii="Arial" w:hAnsi="Arial" w:cs="Arial"/>
        </w:rPr>
        <w:t xml:space="preserve">, to which I have referred.  The </w:t>
      </w:r>
      <w:r w:rsidR="00245106">
        <w:rPr>
          <w:rFonts w:ascii="Arial" w:hAnsi="Arial" w:cs="Arial"/>
        </w:rPr>
        <w:t>Supreme C</w:t>
      </w:r>
      <w:r w:rsidR="00E83821">
        <w:rPr>
          <w:rFonts w:ascii="Arial" w:hAnsi="Arial" w:cs="Arial"/>
        </w:rPr>
        <w:t>ourt</w:t>
      </w:r>
      <w:r w:rsidR="00245106">
        <w:rPr>
          <w:rFonts w:ascii="Arial" w:hAnsi="Arial" w:cs="Arial"/>
        </w:rPr>
        <w:t xml:space="preserve"> of Appeal</w:t>
      </w:r>
      <w:r w:rsidR="00E83821">
        <w:rPr>
          <w:rFonts w:ascii="Arial" w:hAnsi="Arial" w:cs="Arial"/>
        </w:rPr>
        <w:t xml:space="preserve"> in </w:t>
      </w:r>
      <w:r w:rsidR="00E83821" w:rsidRPr="007E617D">
        <w:rPr>
          <w:rFonts w:ascii="Arial" w:hAnsi="Arial" w:cs="Arial"/>
          <w:i/>
          <w:iCs/>
        </w:rPr>
        <w:t>Overstrand Municipality v Water and Sanitation Services South Africa (Pty) Ltd</w:t>
      </w:r>
      <w:r w:rsidR="007E617D">
        <w:rPr>
          <w:rFonts w:ascii="Arial" w:hAnsi="Arial" w:cs="Arial"/>
        </w:rPr>
        <w:t>,</w:t>
      </w:r>
      <w:r w:rsidR="00E83821">
        <w:rPr>
          <w:rStyle w:val="FootnoteReference"/>
          <w:rFonts w:ascii="Arial" w:hAnsi="Arial" w:cs="Arial"/>
        </w:rPr>
        <w:footnoteReference w:id="13"/>
      </w:r>
      <w:r w:rsidR="007E617D">
        <w:rPr>
          <w:rFonts w:ascii="Arial" w:hAnsi="Arial" w:cs="Arial"/>
        </w:rPr>
        <w:t xml:space="preserve"> in considering the aforesaid apparent differences</w:t>
      </w:r>
      <w:r w:rsidR="004A0AA8">
        <w:rPr>
          <w:rFonts w:ascii="Arial" w:hAnsi="Arial" w:cs="Arial"/>
        </w:rPr>
        <w:t xml:space="preserve"> and having held that it was not necessary on the facts confronted with to resolve such differences</w:t>
      </w:r>
      <w:r w:rsidR="007E617D">
        <w:rPr>
          <w:rFonts w:ascii="Arial" w:hAnsi="Arial" w:cs="Arial"/>
        </w:rPr>
        <w:t xml:space="preserve">, </w:t>
      </w:r>
      <w:r w:rsidR="009C7681">
        <w:rPr>
          <w:rFonts w:ascii="Arial" w:hAnsi="Arial" w:cs="Arial"/>
        </w:rPr>
        <w:t>stated</w:t>
      </w:r>
      <w:r w:rsidR="007E617D">
        <w:rPr>
          <w:rFonts w:ascii="Arial" w:hAnsi="Arial" w:cs="Arial"/>
        </w:rPr>
        <w:t xml:space="preserve"> as follows:</w:t>
      </w:r>
    </w:p>
    <w:p w14:paraId="59C0C83A" w14:textId="77777777" w:rsidR="007E617D" w:rsidRDefault="007E617D" w:rsidP="007E617D">
      <w:pPr>
        <w:pStyle w:val="ListParagraph"/>
        <w:rPr>
          <w:rFonts w:ascii="Arial" w:hAnsi="Arial" w:cs="Arial"/>
        </w:rPr>
      </w:pPr>
    </w:p>
    <w:p w14:paraId="39CBC7E7" w14:textId="7164CB33" w:rsidR="007E617D" w:rsidRPr="007E617D" w:rsidRDefault="007E617D" w:rsidP="007E617D">
      <w:pPr>
        <w:pStyle w:val="NormalWeb"/>
        <w:shd w:val="clear" w:color="auto" w:fill="FFFFFF"/>
        <w:spacing w:before="0" w:beforeAutospacing="0" w:after="0" w:afterAutospacing="0" w:line="360" w:lineRule="auto"/>
        <w:ind w:left="851" w:right="261"/>
        <w:jc w:val="both"/>
        <w:rPr>
          <w:rFonts w:ascii="Arial" w:hAnsi="Arial" w:cs="Arial"/>
          <w:i/>
          <w:iCs/>
          <w:color w:val="242121"/>
          <w:sz w:val="20"/>
          <w:szCs w:val="20"/>
          <w:shd w:val="clear" w:color="auto" w:fill="FFFFFF"/>
        </w:rPr>
      </w:pPr>
      <w:r w:rsidRPr="007E617D">
        <w:rPr>
          <w:rFonts w:ascii="Arial" w:hAnsi="Arial" w:cs="Arial"/>
          <w:i/>
          <w:iCs/>
          <w:color w:val="242121"/>
          <w:sz w:val="20"/>
          <w:szCs w:val="20"/>
          <w:shd w:val="clear" w:color="auto" w:fill="FFFFFF"/>
        </w:rPr>
        <w:t>“I am alert to the debate concerning the possible sufficiency of substantial or adequate compliance with what, in conventional terms, is described as mandatory requirements. One should also guard against invalidating a tender that contains minor deviations that do not materially alter or depart from the characteristics, terms, conditions and other requirements set out in tender documents.</w:t>
      </w:r>
      <w:r>
        <w:rPr>
          <w:rFonts w:ascii="Arial" w:hAnsi="Arial" w:cs="Arial"/>
          <w:i/>
          <w:iCs/>
          <w:color w:val="242121"/>
          <w:sz w:val="20"/>
          <w:szCs w:val="20"/>
          <w:shd w:val="clear" w:color="auto" w:fill="FFFFFF"/>
        </w:rPr>
        <w:t xml:space="preserve"> </w:t>
      </w:r>
      <w:r w:rsidRPr="007E617D">
        <w:rPr>
          <w:rFonts w:ascii="Arial" w:hAnsi="Arial" w:cs="Arial"/>
          <w:i/>
          <w:iCs/>
          <w:color w:val="242121"/>
          <w:sz w:val="20"/>
          <w:szCs w:val="20"/>
          <w:shd w:val="clear" w:color="auto" w:fill="FFFFFF"/>
        </w:rPr>
        <w:t xml:space="preserve"> In the present case the non-compliance is not of a trivial or minor nature. The tender by Veolia was not an ‘acceptable’ one in terms of the Procurement Act, in that it did not ‘in all respects’ comply with the specifications and conditions set out in the RFP. Thus, the challenge in terms of s 6(2)(b) of PAJA, namely that a ‘mandatory and material procedure or condition prescribed by an empowering provision, was not complied with’. </w:t>
      </w:r>
      <w:r>
        <w:rPr>
          <w:rFonts w:ascii="Arial" w:hAnsi="Arial" w:cs="Arial"/>
          <w:i/>
          <w:iCs/>
          <w:color w:val="242121"/>
          <w:sz w:val="20"/>
          <w:szCs w:val="20"/>
          <w:shd w:val="clear" w:color="auto" w:fill="FFFFFF"/>
        </w:rPr>
        <w:t xml:space="preserve"> </w:t>
      </w:r>
      <w:r w:rsidRPr="007E617D">
        <w:rPr>
          <w:rFonts w:ascii="Arial" w:hAnsi="Arial" w:cs="Arial"/>
          <w:i/>
          <w:iCs/>
          <w:color w:val="242121"/>
          <w:sz w:val="20"/>
          <w:szCs w:val="20"/>
          <w:shd w:val="clear" w:color="auto" w:fill="FFFFFF"/>
        </w:rPr>
        <w:t>In my view, for all the reasons set out above, WSSA has made out a case for setting aside the decision by the Municipality to award the tender to Veolia and the consequent contract</w:t>
      </w:r>
      <w:r>
        <w:rPr>
          <w:rFonts w:ascii="Arial" w:hAnsi="Arial" w:cs="Arial"/>
          <w:i/>
          <w:iCs/>
          <w:color w:val="242121"/>
          <w:sz w:val="20"/>
          <w:szCs w:val="20"/>
          <w:shd w:val="clear" w:color="auto" w:fill="FFFFFF"/>
        </w:rPr>
        <w:t>.”</w:t>
      </w:r>
    </w:p>
    <w:p w14:paraId="3B8465B9" w14:textId="77777777" w:rsidR="00E83821" w:rsidRDefault="00E83821" w:rsidP="007E617D">
      <w:pPr>
        <w:pStyle w:val="ListParagraph"/>
        <w:spacing w:after="0" w:line="480" w:lineRule="auto"/>
        <w:rPr>
          <w:rFonts w:ascii="Arial" w:hAnsi="Arial" w:cs="Arial"/>
        </w:rPr>
      </w:pPr>
    </w:p>
    <w:p w14:paraId="29990928" w14:textId="3BA5C303" w:rsidR="0050273B"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[28]</w:t>
      </w:r>
      <w:r>
        <w:rPr>
          <w:rFonts w:ascii="Arial" w:hAnsi="Arial" w:cs="Arial"/>
        </w:rPr>
        <w:tab/>
      </w:r>
      <w:r w:rsidR="007E617D">
        <w:rPr>
          <w:rFonts w:ascii="Arial" w:hAnsi="Arial" w:cs="Arial"/>
        </w:rPr>
        <w:t xml:space="preserve">I align myself with the decisions of </w:t>
      </w:r>
      <w:r w:rsidR="007E617D" w:rsidRPr="00E83821">
        <w:rPr>
          <w:rFonts w:ascii="Arial" w:hAnsi="Arial" w:cs="Arial"/>
          <w:i/>
          <w:iCs/>
        </w:rPr>
        <w:t>Moroka Municipality</w:t>
      </w:r>
      <w:r w:rsidR="007E617D" w:rsidRPr="007E617D">
        <w:rPr>
          <w:rFonts w:ascii="Arial" w:hAnsi="Arial" w:cs="Arial"/>
        </w:rPr>
        <w:t>,</w:t>
      </w:r>
      <w:r w:rsidR="007E617D">
        <w:rPr>
          <w:rFonts w:ascii="Arial" w:hAnsi="Arial" w:cs="Arial"/>
          <w:i/>
          <w:iCs/>
        </w:rPr>
        <w:t xml:space="preserve"> Pepper Bay</w:t>
      </w:r>
      <w:r w:rsidR="007E617D">
        <w:rPr>
          <w:rFonts w:ascii="Arial" w:hAnsi="Arial" w:cs="Arial"/>
        </w:rPr>
        <w:t xml:space="preserve">, and </w:t>
      </w:r>
      <w:r w:rsidR="007E617D" w:rsidRPr="00E83821">
        <w:rPr>
          <w:rFonts w:ascii="Arial" w:hAnsi="Arial" w:cs="Arial"/>
          <w:i/>
          <w:iCs/>
        </w:rPr>
        <w:t>Sapela Electronics</w:t>
      </w:r>
      <w:r w:rsidR="007E617D">
        <w:rPr>
          <w:rFonts w:ascii="Arial" w:hAnsi="Arial" w:cs="Arial"/>
        </w:rPr>
        <w:t>.</w:t>
      </w:r>
      <w:r w:rsidR="002C4245">
        <w:rPr>
          <w:rStyle w:val="FootnoteReference"/>
          <w:rFonts w:ascii="Arial" w:hAnsi="Arial" w:cs="Arial"/>
        </w:rPr>
        <w:footnoteReference w:id="14"/>
      </w:r>
      <w:r w:rsidR="007E617D">
        <w:rPr>
          <w:rFonts w:ascii="Arial" w:hAnsi="Arial" w:cs="Arial"/>
        </w:rPr>
        <w:t xml:space="preserve">  </w:t>
      </w:r>
      <w:r w:rsidR="00197286">
        <w:rPr>
          <w:rFonts w:ascii="Arial" w:hAnsi="Arial" w:cs="Arial"/>
        </w:rPr>
        <w:t>I am, i</w:t>
      </w:r>
      <w:r w:rsidR="007E617D">
        <w:rPr>
          <w:rFonts w:ascii="Arial" w:hAnsi="Arial" w:cs="Arial"/>
        </w:rPr>
        <w:t xml:space="preserve">n any event, of the view that the mandatory requirement set out in item </w:t>
      </w:r>
      <w:r w:rsidR="00AD2985">
        <w:rPr>
          <w:rFonts w:ascii="Arial" w:hAnsi="Arial" w:cs="Arial"/>
        </w:rPr>
        <w:t>10</w:t>
      </w:r>
      <w:r w:rsidR="007E617D">
        <w:rPr>
          <w:rFonts w:ascii="Arial" w:hAnsi="Arial" w:cs="Arial"/>
        </w:rPr>
        <w:t xml:space="preserve"> of the tender invitation is neither trivial nor is </w:t>
      </w:r>
      <w:r w:rsidR="007E617D">
        <w:rPr>
          <w:rFonts w:ascii="Arial" w:hAnsi="Arial" w:cs="Arial"/>
        </w:rPr>
        <w:lastRenderedPageBreak/>
        <w:t xml:space="preserve">it of a minor nature.  Similarly, </w:t>
      </w:r>
      <w:r w:rsidR="0050273B">
        <w:rPr>
          <w:rFonts w:ascii="Arial" w:hAnsi="Arial" w:cs="Arial"/>
        </w:rPr>
        <w:t>it is not immaterial, unreasonable or unconstitutional.</w:t>
      </w:r>
    </w:p>
    <w:p w14:paraId="1B969087" w14:textId="6E1A82E7" w:rsidR="003A7232" w:rsidRDefault="003A7232" w:rsidP="003A7232">
      <w:pPr>
        <w:pStyle w:val="NormalWeb"/>
        <w:shd w:val="clear" w:color="auto" w:fill="FFFFFF"/>
        <w:spacing w:before="0" w:beforeAutospacing="0" w:after="0" w:afterAutospacing="0" w:line="480" w:lineRule="auto"/>
        <w:ind w:left="851" w:right="259"/>
        <w:jc w:val="both"/>
        <w:rPr>
          <w:rFonts w:ascii="Arial" w:hAnsi="Arial" w:cs="Arial"/>
        </w:rPr>
      </w:pPr>
    </w:p>
    <w:p w14:paraId="2F1A98B0" w14:textId="0EE67F13" w:rsidR="009E4B0E" w:rsidRPr="009E4B0E"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sidRPr="009E4B0E">
        <w:rPr>
          <w:rFonts w:ascii="Arial" w:hAnsi="Arial" w:cs="Arial"/>
        </w:rPr>
        <w:t>[29]</w:t>
      </w:r>
      <w:r w:rsidRPr="009E4B0E">
        <w:rPr>
          <w:rFonts w:ascii="Arial" w:hAnsi="Arial" w:cs="Arial"/>
        </w:rPr>
        <w:tab/>
      </w:r>
      <w:r w:rsidR="0050703E">
        <w:rPr>
          <w:rFonts w:ascii="Arial" w:hAnsi="Arial" w:cs="Arial"/>
        </w:rPr>
        <w:t xml:space="preserve">The dictum in </w:t>
      </w:r>
      <w:r w:rsidR="009E4B0E" w:rsidRPr="009E4B0E">
        <w:rPr>
          <w:rFonts w:ascii="Arial" w:hAnsi="Arial" w:cs="Arial"/>
          <w:i/>
          <w:iCs/>
        </w:rPr>
        <w:t>Allpay Consolidated Investment Holdings (Pty) Ltd and Others v Chief Executive Officer of the South African Social Security Agency and Others</w:t>
      </w:r>
      <w:r w:rsidR="009E4B0E">
        <w:rPr>
          <w:rStyle w:val="FootnoteReference"/>
          <w:rFonts w:ascii="Arial" w:hAnsi="Arial" w:cs="Arial"/>
        </w:rPr>
        <w:footnoteReference w:id="15"/>
      </w:r>
      <w:r w:rsidR="009E4B0E" w:rsidRPr="009E4B0E">
        <w:rPr>
          <w:rFonts w:ascii="Arial" w:hAnsi="Arial" w:cs="Arial"/>
        </w:rPr>
        <w:t xml:space="preserve"> </w:t>
      </w:r>
      <w:r w:rsidR="009E4B0E">
        <w:rPr>
          <w:rFonts w:ascii="Arial" w:hAnsi="Arial" w:cs="Arial"/>
        </w:rPr>
        <w:t>that in determining whether a ground of review exists under</w:t>
      </w:r>
      <w:r w:rsidR="00990245">
        <w:rPr>
          <w:rFonts w:ascii="Arial" w:hAnsi="Arial" w:cs="Arial"/>
        </w:rPr>
        <w:t xml:space="preserve"> PAJA</w:t>
      </w:r>
      <w:r w:rsidR="009E4B0E">
        <w:rPr>
          <w:rFonts w:ascii="Arial" w:hAnsi="Arial" w:cs="Arial"/>
        </w:rPr>
        <w:t>, the materiality of any deviance from legal requirements is dependent on the extent to which the purpose of the requirements is attained, is distinguishable on the facts of this case.</w:t>
      </w:r>
      <w:r w:rsidR="009E4B0E">
        <w:rPr>
          <w:rStyle w:val="FootnoteReference"/>
          <w:rFonts w:ascii="Arial" w:hAnsi="Arial" w:cs="Arial"/>
        </w:rPr>
        <w:footnoteReference w:id="16"/>
      </w:r>
    </w:p>
    <w:p w14:paraId="0D8A122E" w14:textId="3445948D" w:rsidR="0050273B" w:rsidRDefault="0050273B" w:rsidP="0050273B">
      <w:pPr>
        <w:pStyle w:val="NormalWeb"/>
        <w:shd w:val="clear" w:color="auto" w:fill="FFFFFF"/>
        <w:spacing w:before="0" w:beforeAutospacing="0" w:after="0" w:afterAutospacing="0" w:line="480" w:lineRule="auto"/>
        <w:ind w:left="851" w:right="259"/>
        <w:jc w:val="both"/>
        <w:rPr>
          <w:rFonts w:ascii="Arial" w:hAnsi="Arial" w:cs="Arial"/>
        </w:rPr>
      </w:pPr>
    </w:p>
    <w:p w14:paraId="1BBA319D" w14:textId="12923ACD" w:rsidR="0044107A"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[30]</w:t>
      </w:r>
      <w:r>
        <w:rPr>
          <w:rFonts w:ascii="Arial" w:hAnsi="Arial" w:cs="Arial"/>
        </w:rPr>
        <w:tab/>
      </w:r>
      <w:r w:rsidR="005962B3">
        <w:rPr>
          <w:rFonts w:ascii="Arial" w:hAnsi="Arial" w:cs="Arial"/>
        </w:rPr>
        <w:t xml:space="preserve">The applicant placed reliance on the comments of the Constitutional Court in </w:t>
      </w:r>
      <w:r w:rsidR="005962B3" w:rsidRPr="00F41BAA">
        <w:rPr>
          <w:rFonts w:ascii="Arial" w:hAnsi="Arial" w:cs="Arial"/>
          <w:i/>
          <w:iCs/>
        </w:rPr>
        <w:t>Allpay</w:t>
      </w:r>
      <w:r w:rsidR="005962B3">
        <w:rPr>
          <w:rFonts w:ascii="Arial" w:hAnsi="Arial" w:cs="Arial"/>
        </w:rPr>
        <w:t xml:space="preserve"> to advance its argument that the first respondent </w:t>
      </w:r>
      <w:r w:rsidR="00F41BAA">
        <w:rPr>
          <w:rFonts w:ascii="Arial" w:hAnsi="Arial" w:cs="Arial"/>
        </w:rPr>
        <w:t>was permitted to condone</w:t>
      </w:r>
      <w:r w:rsidR="00873CA4">
        <w:rPr>
          <w:rFonts w:ascii="Arial" w:hAnsi="Arial" w:cs="Arial"/>
        </w:rPr>
        <w:t xml:space="preserve"> a</w:t>
      </w:r>
      <w:r w:rsidR="00F41BAA">
        <w:rPr>
          <w:rFonts w:ascii="Arial" w:hAnsi="Arial" w:cs="Arial"/>
        </w:rPr>
        <w:t xml:space="preserve"> bidder</w:t>
      </w:r>
      <w:r w:rsidR="00873CA4">
        <w:rPr>
          <w:rFonts w:ascii="Arial" w:hAnsi="Arial" w:cs="Arial"/>
        </w:rPr>
        <w:t>’</w:t>
      </w:r>
      <w:r w:rsidR="00F41BAA">
        <w:rPr>
          <w:rFonts w:ascii="Arial" w:hAnsi="Arial" w:cs="Arial"/>
        </w:rPr>
        <w:t xml:space="preserve">s non-compliance with the mandatory tender requirements. </w:t>
      </w:r>
      <w:r w:rsidR="0044107A">
        <w:rPr>
          <w:rFonts w:ascii="Arial" w:hAnsi="Arial" w:cs="Arial"/>
        </w:rPr>
        <w:t xml:space="preserve"> The Constitutional Court, at paragraph [30], in dealing with the distinction between mandatory or peremptory provisions on the one hand and directory </w:t>
      </w:r>
      <w:r w:rsidR="00873CA4">
        <w:rPr>
          <w:rFonts w:ascii="Arial" w:hAnsi="Arial" w:cs="Arial"/>
        </w:rPr>
        <w:t>provisions</w:t>
      </w:r>
      <w:r w:rsidR="0044107A">
        <w:rPr>
          <w:rFonts w:ascii="Arial" w:hAnsi="Arial" w:cs="Arial"/>
        </w:rPr>
        <w:t xml:space="preserve"> on the other, stated as follows:</w:t>
      </w:r>
    </w:p>
    <w:p w14:paraId="510E094F" w14:textId="77777777" w:rsidR="0044107A" w:rsidRDefault="0044107A" w:rsidP="0044107A">
      <w:pPr>
        <w:pStyle w:val="ListParagraph"/>
        <w:rPr>
          <w:rFonts w:ascii="Arial" w:hAnsi="Arial" w:cs="Arial"/>
        </w:rPr>
      </w:pPr>
    </w:p>
    <w:p w14:paraId="55BB171B" w14:textId="5EC08714" w:rsidR="0044107A" w:rsidRPr="0044107A" w:rsidRDefault="0044107A" w:rsidP="0044107A">
      <w:pPr>
        <w:pStyle w:val="NormalWeb"/>
        <w:shd w:val="clear" w:color="auto" w:fill="FFFFFF"/>
        <w:spacing w:before="0" w:beforeAutospacing="0" w:after="0" w:afterAutospacing="0" w:line="360" w:lineRule="auto"/>
        <w:ind w:left="851" w:right="261"/>
        <w:jc w:val="both"/>
        <w:rPr>
          <w:rFonts w:ascii="Arial" w:hAnsi="Arial" w:cs="Arial"/>
          <w:i/>
          <w:iCs/>
          <w:color w:val="242121"/>
          <w:sz w:val="20"/>
          <w:szCs w:val="20"/>
          <w:shd w:val="clear" w:color="auto" w:fill="FFFFFF"/>
        </w:rPr>
      </w:pPr>
      <w:r>
        <w:rPr>
          <w:rFonts w:ascii="Arial" w:hAnsi="Arial" w:cs="Arial"/>
          <w:i/>
          <w:iCs/>
          <w:color w:val="242121"/>
          <w:sz w:val="20"/>
          <w:szCs w:val="20"/>
          <w:shd w:val="clear" w:color="auto" w:fill="FFFFFF"/>
        </w:rPr>
        <w:t>“</w:t>
      </w:r>
      <w:r w:rsidRPr="0044107A">
        <w:rPr>
          <w:rFonts w:ascii="Arial" w:hAnsi="Arial" w:cs="Arial"/>
          <w:i/>
          <w:iCs/>
          <w:color w:val="242121"/>
          <w:sz w:val="20"/>
          <w:szCs w:val="20"/>
          <w:shd w:val="clear" w:color="auto" w:fill="FFFFFF"/>
        </w:rPr>
        <w:t xml:space="preserve">Assessing the materiality of compliance with legal requirements in our administrative law is, fortunately, an exercise unencumbered by excessive formality.  It was not always so.  Formal distinctions were drawn between “mandatory” or “peremptory” provisions on the one hand and “directory” ones on the other, the former needing strict compliance on pain of non-validity, and the latter only substantial compliance or even non-compliance. That strict mechanical approach has been discarded. Although a number of factors need to be considered in this kind of enquiry, the central element is to link the question of compliance to the purpose of the provision.  In this Court O’Regan J succinctly put the </w:t>
      </w:r>
      <w:r w:rsidRPr="0044107A">
        <w:rPr>
          <w:rFonts w:ascii="Arial" w:hAnsi="Arial" w:cs="Arial"/>
          <w:i/>
          <w:iCs/>
          <w:color w:val="242121"/>
          <w:sz w:val="20"/>
          <w:szCs w:val="20"/>
          <w:shd w:val="clear" w:color="auto" w:fill="FFFFFF"/>
        </w:rPr>
        <w:lastRenderedPageBreak/>
        <w:t>question in ACDP v Electoral Commission as being “whether what the applicant did constituted compliance with the statutory provisions viewed in the light of their purpose</w:t>
      </w:r>
      <w:r w:rsidR="00873CA4">
        <w:rPr>
          <w:rFonts w:ascii="Arial" w:hAnsi="Arial" w:cs="Arial"/>
          <w:i/>
          <w:iCs/>
          <w:color w:val="242121"/>
          <w:sz w:val="20"/>
          <w:szCs w:val="20"/>
          <w:shd w:val="clear" w:color="auto" w:fill="FFFFFF"/>
        </w:rPr>
        <w:t>.</w:t>
      </w:r>
      <w:r w:rsidRPr="0044107A">
        <w:rPr>
          <w:rFonts w:ascii="Arial" w:hAnsi="Arial" w:cs="Arial"/>
          <w:i/>
          <w:iCs/>
          <w:color w:val="242121"/>
          <w:sz w:val="20"/>
          <w:szCs w:val="20"/>
          <w:shd w:val="clear" w:color="auto" w:fill="FFFFFF"/>
        </w:rPr>
        <w:t>”</w:t>
      </w:r>
    </w:p>
    <w:p w14:paraId="05723E07" w14:textId="32342CD8" w:rsidR="0044107A" w:rsidRDefault="0044107A" w:rsidP="0095071C">
      <w:pPr>
        <w:pStyle w:val="ListParagraph"/>
        <w:spacing w:after="0" w:line="480" w:lineRule="auto"/>
        <w:rPr>
          <w:rFonts w:ascii="Arial" w:hAnsi="Arial" w:cs="Arial"/>
        </w:rPr>
      </w:pPr>
    </w:p>
    <w:p w14:paraId="36C6A273" w14:textId="35FEFF3B" w:rsidR="00D40B5A"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[31]</w:t>
      </w:r>
      <w:r>
        <w:rPr>
          <w:rFonts w:ascii="Arial" w:hAnsi="Arial" w:cs="Arial"/>
        </w:rPr>
        <w:tab/>
      </w:r>
      <w:r w:rsidR="00451FEA">
        <w:rPr>
          <w:rFonts w:ascii="Arial" w:hAnsi="Arial" w:cs="Arial"/>
        </w:rPr>
        <w:t xml:space="preserve">An examination and consideration of the context in which the above comments were made is </w:t>
      </w:r>
      <w:r w:rsidR="00873CA4">
        <w:rPr>
          <w:rFonts w:ascii="Arial" w:hAnsi="Arial" w:cs="Arial"/>
        </w:rPr>
        <w:t>necessary</w:t>
      </w:r>
      <w:r w:rsidR="00451FEA">
        <w:rPr>
          <w:rFonts w:ascii="Arial" w:hAnsi="Arial" w:cs="Arial"/>
        </w:rPr>
        <w:t>.  Such comments were made in the context of the interpretation of documents</w:t>
      </w:r>
      <w:r w:rsidR="00D40B5A">
        <w:rPr>
          <w:rFonts w:ascii="Arial" w:hAnsi="Arial" w:cs="Arial"/>
        </w:rPr>
        <w:t xml:space="preserve">, and more particularly, the interpretation of clauses which are framed in peremptory terms; and the trend to move away from the strict legalistic to the substantive.  In this regard, the Constitutional Court, </w:t>
      </w:r>
      <w:r w:rsidR="00D40B5A" w:rsidRPr="00D40B5A">
        <w:rPr>
          <w:rFonts w:ascii="Arial" w:hAnsi="Arial" w:cs="Arial"/>
          <w:i/>
          <w:iCs/>
        </w:rPr>
        <w:t>inter alia</w:t>
      </w:r>
      <w:r w:rsidR="00D40B5A">
        <w:rPr>
          <w:rFonts w:ascii="Arial" w:hAnsi="Arial" w:cs="Arial"/>
        </w:rPr>
        <w:t xml:space="preserve">, made reference to paragraph [13] of </w:t>
      </w:r>
      <w:r w:rsidR="00D40B5A" w:rsidRPr="00D40B5A">
        <w:rPr>
          <w:rFonts w:ascii="Arial" w:hAnsi="Arial" w:cs="Arial"/>
          <w:i/>
          <w:iCs/>
        </w:rPr>
        <w:t>Weenen Transitional Local Council v Van Dyk</w:t>
      </w:r>
      <w:r w:rsidR="00D40B5A">
        <w:rPr>
          <w:rFonts w:ascii="Arial" w:hAnsi="Arial" w:cs="Arial"/>
          <w:i/>
          <w:iCs/>
        </w:rPr>
        <w:t>,</w:t>
      </w:r>
      <w:r w:rsidR="00D40B5A">
        <w:rPr>
          <w:rStyle w:val="FootnoteReference"/>
          <w:rFonts w:ascii="Arial" w:hAnsi="Arial" w:cs="Arial"/>
        </w:rPr>
        <w:footnoteReference w:id="17"/>
      </w:r>
      <w:r w:rsidR="00D40B5A">
        <w:rPr>
          <w:rFonts w:ascii="Arial" w:hAnsi="Arial" w:cs="Arial"/>
        </w:rPr>
        <w:t xml:space="preserve"> which reads as follows:</w:t>
      </w:r>
    </w:p>
    <w:p w14:paraId="6F531840" w14:textId="61D6306E" w:rsidR="00D40B5A" w:rsidRDefault="00D40B5A" w:rsidP="00D40B5A">
      <w:pPr>
        <w:pStyle w:val="NormalWeb"/>
        <w:shd w:val="clear" w:color="auto" w:fill="FFFFFF"/>
        <w:spacing w:before="0" w:beforeAutospacing="0" w:after="0" w:afterAutospacing="0" w:line="480" w:lineRule="auto"/>
        <w:ind w:left="851" w:right="259"/>
        <w:jc w:val="both"/>
        <w:rPr>
          <w:rFonts w:ascii="Arial" w:hAnsi="Arial" w:cs="Arial"/>
        </w:rPr>
      </w:pPr>
    </w:p>
    <w:p w14:paraId="710CDC6D" w14:textId="041F6BC6" w:rsidR="00D40B5A" w:rsidRDefault="00D40B5A" w:rsidP="00D40B5A">
      <w:pPr>
        <w:pStyle w:val="NormalWeb"/>
        <w:shd w:val="clear" w:color="auto" w:fill="FFFFFF"/>
        <w:spacing w:before="0" w:beforeAutospacing="0" w:after="0" w:afterAutospacing="0" w:line="360" w:lineRule="auto"/>
        <w:ind w:left="851" w:right="261"/>
        <w:jc w:val="both"/>
        <w:rPr>
          <w:rFonts w:ascii="Arial" w:hAnsi="Arial" w:cs="Arial"/>
          <w:i/>
          <w:iCs/>
          <w:color w:val="242121"/>
          <w:sz w:val="20"/>
          <w:szCs w:val="20"/>
          <w:shd w:val="clear" w:color="auto" w:fill="FFFFFF"/>
        </w:rPr>
      </w:pPr>
      <w:r w:rsidRPr="00D40B5A">
        <w:rPr>
          <w:rFonts w:ascii="Arial" w:hAnsi="Arial" w:cs="Arial"/>
          <w:i/>
          <w:iCs/>
          <w:color w:val="242121"/>
          <w:sz w:val="20"/>
          <w:szCs w:val="20"/>
          <w:shd w:val="clear" w:color="auto" w:fill="FFFFFF"/>
        </w:rPr>
        <w:t>“It seems to me that the correct approach to the objection that the appellant had failed to comply with the requirements of s 166 of the Ordinance is to follow a common</w:t>
      </w:r>
      <w:r>
        <w:rPr>
          <w:rFonts w:ascii="Arial" w:hAnsi="Arial" w:cs="Arial"/>
          <w:i/>
          <w:iCs/>
          <w:color w:val="242121"/>
          <w:sz w:val="20"/>
          <w:szCs w:val="20"/>
          <w:shd w:val="clear" w:color="auto" w:fill="FFFFFF"/>
        </w:rPr>
        <w:t xml:space="preserve"> </w:t>
      </w:r>
      <w:r w:rsidRPr="00D40B5A">
        <w:rPr>
          <w:rFonts w:ascii="Arial" w:hAnsi="Arial" w:cs="Arial"/>
          <w:i/>
          <w:iCs/>
          <w:color w:val="242121"/>
          <w:sz w:val="20"/>
          <w:szCs w:val="20"/>
          <w:shd w:val="clear" w:color="auto" w:fill="FFFFFF"/>
        </w:rPr>
        <w:t>sense approach by asking the question whether the steps taken by the local authority were effective to bring about the exigibility of the claim measured against the intention of the legislature as ascertained from the language, scope and purpose of the enactment as a whole and the statutory requirement in particular (see Nkisimane and Others v Santam Insurance Co Ltd </w:t>
      </w:r>
      <w:hyperlink r:id="rId9" w:tooltip="View LawCiteRecord" w:history="1">
        <w:r w:rsidRPr="00D40B5A">
          <w:rPr>
            <w:rFonts w:ascii="Arial" w:hAnsi="Arial" w:cs="Arial"/>
            <w:i/>
            <w:iCs/>
            <w:color w:val="242121"/>
            <w:sz w:val="20"/>
            <w:szCs w:val="20"/>
          </w:rPr>
          <w:t>1978 (2) SA 430</w:t>
        </w:r>
      </w:hyperlink>
      <w:r w:rsidRPr="00D40B5A">
        <w:rPr>
          <w:rFonts w:ascii="Arial" w:hAnsi="Arial" w:cs="Arial"/>
          <w:i/>
          <w:iCs/>
          <w:color w:val="242121"/>
          <w:sz w:val="20"/>
          <w:szCs w:val="20"/>
          <w:shd w:val="clear" w:color="auto" w:fill="FFFFFF"/>
        </w:rPr>
        <w:t> (A) at 434 A - B). Legalistic debates as to whether the enactment is peremptory (imperative, absolute, mandatory, a categorical imperative) or merely directory; whether 'shall' should be read as 'may'; whether strict as opposed to substantial compliance is required; whether delegated legislation dealing with formal requirements are of legislative or administrative nature, etc may be interesting, but seldom essential to the outcome of a real case before the courts. They tell us what the outcome of the court's interpretation of the particular enactment is; they cannot tell us how to interpret. These debates have a posteriori, not a priori significance. The approach described above, identified as ' ... a trend in interpretation away from the strict legalistic to the substantive' by Van Dijkhorst J in Ex parte Mothuloe (Law Society Transvaal, Intervening) </w:t>
      </w:r>
      <w:hyperlink r:id="rId10" w:tooltip="View LawCiteRecord" w:history="1">
        <w:r w:rsidRPr="00D40B5A">
          <w:rPr>
            <w:rFonts w:ascii="Arial" w:hAnsi="Arial" w:cs="Arial"/>
            <w:i/>
            <w:iCs/>
            <w:color w:val="242121"/>
            <w:sz w:val="20"/>
            <w:szCs w:val="20"/>
          </w:rPr>
          <w:t>1996 (4) SA 1131</w:t>
        </w:r>
      </w:hyperlink>
      <w:r w:rsidRPr="00D40B5A">
        <w:rPr>
          <w:rFonts w:ascii="Arial" w:hAnsi="Arial" w:cs="Arial"/>
          <w:i/>
          <w:iCs/>
          <w:color w:val="242121"/>
          <w:sz w:val="20"/>
          <w:szCs w:val="20"/>
          <w:shd w:val="clear" w:color="auto" w:fill="FFFFFF"/>
        </w:rPr>
        <w:t> (T) at 1138 D - E, seems to be the correct one and does away with debates of secondary importance only.</w:t>
      </w:r>
      <w:r>
        <w:rPr>
          <w:rFonts w:ascii="Arial" w:hAnsi="Arial" w:cs="Arial"/>
          <w:i/>
          <w:iCs/>
          <w:color w:val="242121"/>
          <w:sz w:val="20"/>
          <w:szCs w:val="20"/>
          <w:shd w:val="clear" w:color="auto" w:fill="FFFFFF"/>
        </w:rPr>
        <w:t>”</w:t>
      </w:r>
    </w:p>
    <w:p w14:paraId="44764C58" w14:textId="095B9567" w:rsidR="00D40B5A" w:rsidRDefault="00D40B5A" w:rsidP="0040610F">
      <w:pPr>
        <w:pStyle w:val="NormalWeb"/>
        <w:shd w:val="clear" w:color="auto" w:fill="FFFFFF"/>
        <w:spacing w:before="0" w:beforeAutospacing="0" w:after="0" w:afterAutospacing="0" w:line="480" w:lineRule="auto"/>
        <w:ind w:left="851" w:right="261"/>
        <w:jc w:val="both"/>
        <w:rPr>
          <w:rFonts w:ascii="Arial" w:hAnsi="Arial" w:cs="Arial"/>
          <w:i/>
          <w:iCs/>
          <w:color w:val="242121"/>
          <w:sz w:val="20"/>
          <w:szCs w:val="20"/>
          <w:shd w:val="clear" w:color="auto" w:fill="FFFFFF"/>
        </w:rPr>
      </w:pPr>
    </w:p>
    <w:p w14:paraId="158F99CF" w14:textId="6210B510" w:rsidR="00810F5E"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lastRenderedPageBreak/>
        <w:t>[32]</w:t>
      </w:r>
      <w:r>
        <w:rPr>
          <w:rFonts w:ascii="Arial" w:hAnsi="Arial" w:cs="Arial"/>
        </w:rPr>
        <w:tab/>
      </w:r>
      <w:r w:rsidR="00403C11">
        <w:rPr>
          <w:rFonts w:ascii="Arial" w:hAnsi="Arial" w:cs="Arial"/>
        </w:rPr>
        <w:t xml:space="preserve">Whilst the comments in </w:t>
      </w:r>
      <w:r w:rsidR="00403C11" w:rsidRPr="00403C11">
        <w:rPr>
          <w:rFonts w:ascii="Arial" w:hAnsi="Arial" w:cs="Arial"/>
          <w:i/>
          <w:iCs/>
        </w:rPr>
        <w:t>Allpay</w:t>
      </w:r>
      <w:r w:rsidR="00403C11">
        <w:rPr>
          <w:rFonts w:ascii="Arial" w:hAnsi="Arial" w:cs="Arial"/>
        </w:rPr>
        <w:t xml:space="preserve"> are apposite to the interpretation and assessment of the general provisions contained in tender invitations</w:t>
      </w:r>
      <w:r w:rsidR="0079410D">
        <w:rPr>
          <w:rFonts w:ascii="Arial" w:hAnsi="Arial" w:cs="Arial"/>
        </w:rPr>
        <w:t xml:space="preserve"> </w:t>
      </w:r>
      <w:r w:rsidR="00403C11">
        <w:rPr>
          <w:rFonts w:ascii="Arial" w:hAnsi="Arial" w:cs="Arial"/>
        </w:rPr>
        <w:t xml:space="preserve">such comments are not authority for the proposition that an administrative authority has the power to condone a failure to comply with a </w:t>
      </w:r>
      <w:r w:rsidR="00066D80">
        <w:rPr>
          <w:rFonts w:ascii="Arial" w:hAnsi="Arial" w:cs="Arial"/>
        </w:rPr>
        <w:t>mandatory (</w:t>
      </w:r>
      <w:r w:rsidR="00403C11">
        <w:rPr>
          <w:rFonts w:ascii="Arial" w:hAnsi="Arial" w:cs="Arial"/>
        </w:rPr>
        <w:t>peremptory</w:t>
      </w:r>
      <w:r w:rsidR="00066D80">
        <w:rPr>
          <w:rFonts w:ascii="Arial" w:hAnsi="Arial" w:cs="Arial"/>
        </w:rPr>
        <w:t>)</w:t>
      </w:r>
      <w:r w:rsidR="00403C11">
        <w:rPr>
          <w:rFonts w:ascii="Arial" w:hAnsi="Arial" w:cs="Arial"/>
        </w:rPr>
        <w:t xml:space="preserve"> requirement</w:t>
      </w:r>
      <w:r w:rsidR="00066D80">
        <w:rPr>
          <w:rFonts w:ascii="Arial" w:hAnsi="Arial" w:cs="Arial"/>
        </w:rPr>
        <w:t>,</w:t>
      </w:r>
      <w:r w:rsidR="0040610F">
        <w:rPr>
          <w:rFonts w:ascii="Arial" w:hAnsi="Arial" w:cs="Arial"/>
        </w:rPr>
        <w:t xml:space="preserve"> which is</w:t>
      </w:r>
      <w:r w:rsidR="00C36575">
        <w:rPr>
          <w:rFonts w:ascii="Arial" w:hAnsi="Arial" w:cs="Arial"/>
        </w:rPr>
        <w:t xml:space="preserve"> included as</w:t>
      </w:r>
      <w:r w:rsidR="0040610F">
        <w:rPr>
          <w:rFonts w:ascii="Arial" w:hAnsi="Arial" w:cs="Arial"/>
        </w:rPr>
        <w:t xml:space="preserve"> a prerequisite for a valid tender, </w:t>
      </w:r>
      <w:r w:rsidR="00403C11">
        <w:rPr>
          <w:rFonts w:ascii="Arial" w:hAnsi="Arial" w:cs="Arial"/>
        </w:rPr>
        <w:t xml:space="preserve">in the absence of a discretion to do so. </w:t>
      </w:r>
      <w:r w:rsidR="000F2F63">
        <w:rPr>
          <w:rFonts w:ascii="Arial" w:hAnsi="Arial" w:cs="Arial"/>
        </w:rPr>
        <w:t xml:space="preserve"> </w:t>
      </w:r>
      <w:r w:rsidR="00593042">
        <w:rPr>
          <w:rFonts w:ascii="Arial" w:hAnsi="Arial" w:cs="Arial"/>
        </w:rPr>
        <w:t xml:space="preserve">In </w:t>
      </w:r>
      <w:r w:rsidR="00403C11" w:rsidRPr="00403C11">
        <w:rPr>
          <w:rFonts w:ascii="Arial" w:hAnsi="Arial" w:cs="Arial"/>
          <w:i/>
          <w:iCs/>
        </w:rPr>
        <w:t>Allpay</w:t>
      </w:r>
      <w:r w:rsidR="00810F5E">
        <w:rPr>
          <w:rFonts w:ascii="Arial" w:hAnsi="Arial" w:cs="Arial"/>
        </w:rPr>
        <w:t xml:space="preserve">, the administrative authority had reserved the right to disqualify any bidder who failed to submit mandatory documentation and accordingly </w:t>
      </w:r>
      <w:r w:rsidR="0095071C">
        <w:rPr>
          <w:rFonts w:ascii="Arial" w:hAnsi="Arial" w:cs="Arial"/>
        </w:rPr>
        <w:t xml:space="preserve">it </w:t>
      </w:r>
      <w:r w:rsidR="00810F5E">
        <w:rPr>
          <w:rFonts w:ascii="Arial" w:hAnsi="Arial" w:cs="Arial"/>
        </w:rPr>
        <w:t xml:space="preserve">retained a discretion to condone such failure.  </w:t>
      </w:r>
      <w:r w:rsidR="0095071C">
        <w:rPr>
          <w:rFonts w:ascii="Arial" w:hAnsi="Arial" w:cs="Arial"/>
        </w:rPr>
        <w:t>As already stated, the first respondent herein retained no such discretion.</w:t>
      </w:r>
    </w:p>
    <w:p w14:paraId="1148F4CC" w14:textId="77777777" w:rsidR="00810F5E" w:rsidRDefault="00810F5E" w:rsidP="00D94790">
      <w:pPr>
        <w:pStyle w:val="NormalWeb"/>
        <w:shd w:val="clear" w:color="auto" w:fill="FFFFFF"/>
        <w:spacing w:before="0" w:beforeAutospacing="0" w:after="0" w:afterAutospacing="0" w:line="480" w:lineRule="auto"/>
        <w:ind w:left="851" w:right="259"/>
        <w:jc w:val="both"/>
        <w:rPr>
          <w:rFonts w:ascii="Arial" w:hAnsi="Arial" w:cs="Arial"/>
        </w:rPr>
      </w:pPr>
    </w:p>
    <w:p w14:paraId="4FE13863" w14:textId="4FC8B691" w:rsidR="0040610F"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[33]</w:t>
      </w:r>
      <w:r>
        <w:rPr>
          <w:rFonts w:ascii="Arial" w:hAnsi="Arial" w:cs="Arial"/>
        </w:rPr>
        <w:tab/>
      </w:r>
      <w:r w:rsidR="0040610F">
        <w:rPr>
          <w:rFonts w:ascii="Arial" w:hAnsi="Arial" w:cs="Arial"/>
        </w:rPr>
        <w:t xml:space="preserve">Similarly, the applicant’s reliance on </w:t>
      </w:r>
      <w:r w:rsidR="0040610F" w:rsidRPr="0040610F">
        <w:rPr>
          <w:rFonts w:ascii="Arial" w:hAnsi="Arial" w:cs="Arial"/>
          <w:i/>
          <w:iCs/>
        </w:rPr>
        <w:t>Millennium Waste Management</w:t>
      </w:r>
      <w:r w:rsidR="0040610F">
        <w:rPr>
          <w:rFonts w:ascii="Arial" w:hAnsi="Arial" w:cs="Arial"/>
        </w:rPr>
        <w:t xml:space="preserve"> and the unreported decision of </w:t>
      </w:r>
      <w:r w:rsidR="0040610F" w:rsidRPr="0040610F">
        <w:rPr>
          <w:rFonts w:ascii="Arial" w:hAnsi="Arial" w:cs="Arial"/>
          <w:i/>
          <w:iCs/>
        </w:rPr>
        <w:t>Amakahaya Construction CC v Eastern Cape Department of Human Settlements and the Member of the Executive Council of the Eastern Cape Department of Human Settlements</w:t>
      </w:r>
      <w:r w:rsidR="0040610F">
        <w:rPr>
          <w:rStyle w:val="FootnoteReference"/>
          <w:rFonts w:ascii="Arial" w:hAnsi="Arial" w:cs="Arial"/>
        </w:rPr>
        <w:footnoteReference w:id="18"/>
      </w:r>
      <w:r w:rsidR="00810F5E">
        <w:rPr>
          <w:rFonts w:ascii="Arial" w:hAnsi="Arial" w:cs="Arial"/>
        </w:rPr>
        <w:t xml:space="preserve"> </w:t>
      </w:r>
      <w:r w:rsidR="0040610F">
        <w:rPr>
          <w:rFonts w:ascii="Arial" w:hAnsi="Arial" w:cs="Arial"/>
        </w:rPr>
        <w:t xml:space="preserve">is misplaced.  In neither of the aforesaid matters was the court confronted with a failure of a bidder to comply with </w:t>
      </w:r>
      <w:r w:rsidR="002259BD">
        <w:rPr>
          <w:rFonts w:ascii="Arial" w:hAnsi="Arial" w:cs="Arial"/>
        </w:rPr>
        <w:t xml:space="preserve">peremptory tender </w:t>
      </w:r>
      <w:r w:rsidR="00F759E4">
        <w:rPr>
          <w:rFonts w:ascii="Arial" w:hAnsi="Arial" w:cs="Arial"/>
        </w:rPr>
        <w:t>requirements</w:t>
      </w:r>
      <w:r w:rsidR="00E16DB7">
        <w:rPr>
          <w:rFonts w:ascii="Arial" w:hAnsi="Arial" w:cs="Arial"/>
        </w:rPr>
        <w:t>, which were required to be met</w:t>
      </w:r>
      <w:r w:rsidR="009F41A8">
        <w:rPr>
          <w:rFonts w:ascii="Arial" w:hAnsi="Arial" w:cs="Arial"/>
        </w:rPr>
        <w:t xml:space="preserve"> in order to meet the threshold of an acceptable tender</w:t>
      </w:r>
      <w:r w:rsidR="00F759E4">
        <w:rPr>
          <w:rFonts w:ascii="Arial" w:hAnsi="Arial" w:cs="Arial"/>
        </w:rPr>
        <w:t xml:space="preserve">, </w:t>
      </w:r>
      <w:r w:rsidR="0071478F">
        <w:rPr>
          <w:rFonts w:ascii="Arial" w:hAnsi="Arial" w:cs="Arial"/>
        </w:rPr>
        <w:t>and in respect of</w:t>
      </w:r>
      <w:r w:rsidR="00F759E4">
        <w:rPr>
          <w:rFonts w:ascii="Arial" w:hAnsi="Arial" w:cs="Arial"/>
        </w:rPr>
        <w:t xml:space="preserve"> which the administrative authority in question retained no discretion to condone.</w:t>
      </w:r>
      <w:r w:rsidR="002259BD">
        <w:rPr>
          <w:rFonts w:ascii="Arial" w:hAnsi="Arial" w:cs="Arial"/>
        </w:rPr>
        <w:t xml:space="preserve">  </w:t>
      </w:r>
    </w:p>
    <w:p w14:paraId="6929576A" w14:textId="77777777" w:rsidR="00C84B46" w:rsidRDefault="00C84B46" w:rsidP="00C84B46">
      <w:pPr>
        <w:pStyle w:val="ListParagraph"/>
        <w:rPr>
          <w:rFonts w:ascii="Arial" w:hAnsi="Arial" w:cs="Arial"/>
        </w:rPr>
      </w:pPr>
    </w:p>
    <w:p w14:paraId="2F3C65BF" w14:textId="173E6581" w:rsidR="00C84B46" w:rsidRPr="00C84B46"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sidRPr="00C84B46">
        <w:rPr>
          <w:rFonts w:ascii="Arial" w:hAnsi="Arial" w:cs="Arial"/>
        </w:rPr>
        <w:t>[34]</w:t>
      </w:r>
      <w:r w:rsidRPr="00C84B46">
        <w:rPr>
          <w:rFonts w:ascii="Arial" w:hAnsi="Arial" w:cs="Arial"/>
        </w:rPr>
        <w:tab/>
      </w:r>
      <w:r w:rsidR="00C84B46" w:rsidRPr="00C84B46">
        <w:rPr>
          <w:rFonts w:ascii="Arial" w:hAnsi="Arial" w:cs="Arial"/>
          <w:lang w:val="en-US"/>
        </w:rPr>
        <w:t xml:space="preserve">Having come to this conclusion, the tender submitted by the applicant was not an acceptable tender as envisaged by the PPPFA and accordingly, it did not pass the threshold requirement to which I have referred.  By </w:t>
      </w:r>
      <w:r w:rsidR="00C84B46" w:rsidRPr="00C84B46">
        <w:rPr>
          <w:rFonts w:ascii="Arial" w:hAnsi="Arial" w:cs="Arial"/>
          <w:lang w:val="en-US"/>
        </w:rPr>
        <w:lastRenderedPageBreak/>
        <w:t xml:space="preserve">necessary implication, the same holds true for the remainder of the bidders who failed to comply with the mandatory tender requirements and in whose cases such requirements were </w:t>
      </w:r>
      <w:r w:rsidR="00597F2F">
        <w:rPr>
          <w:rFonts w:ascii="Arial" w:hAnsi="Arial" w:cs="Arial"/>
          <w:lang w:val="en-US"/>
        </w:rPr>
        <w:t xml:space="preserve">erroneously </w:t>
      </w:r>
      <w:r w:rsidR="00C84B46" w:rsidRPr="00C84B46">
        <w:rPr>
          <w:rFonts w:ascii="Arial" w:hAnsi="Arial" w:cs="Arial"/>
          <w:lang w:val="en-US"/>
        </w:rPr>
        <w:t>relaxed by the first respondent.</w:t>
      </w:r>
      <w:r w:rsidR="003E751D">
        <w:rPr>
          <w:rFonts w:ascii="Arial" w:hAnsi="Arial" w:cs="Arial"/>
          <w:lang w:val="en-US"/>
        </w:rPr>
        <w:t xml:space="preserve">  I am accordingly satisfied that the first respondent failed to comply with a mandatory condition prescribed by an empowering provision as envisaged in section 6(2)(b) of PAJA.</w:t>
      </w:r>
    </w:p>
    <w:p w14:paraId="6510818C" w14:textId="77777777" w:rsidR="00E16DB7" w:rsidRPr="00E16DB7" w:rsidRDefault="00E16DB7" w:rsidP="00E16DB7">
      <w:pPr>
        <w:pStyle w:val="NormalWeb"/>
        <w:shd w:val="clear" w:color="auto" w:fill="FFFFFF"/>
        <w:spacing w:before="0" w:beforeAutospacing="0" w:after="0" w:afterAutospacing="0" w:line="480" w:lineRule="auto"/>
        <w:ind w:left="851" w:right="259"/>
        <w:jc w:val="both"/>
        <w:rPr>
          <w:rFonts w:ascii="Arial" w:hAnsi="Arial" w:cs="Arial"/>
        </w:rPr>
      </w:pPr>
    </w:p>
    <w:p w14:paraId="319AB49D" w14:textId="0F5050F4" w:rsidR="0040610F" w:rsidRPr="00BF2D45"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sidRPr="00BF2D45">
        <w:rPr>
          <w:rFonts w:ascii="Arial" w:hAnsi="Arial" w:cs="Arial"/>
        </w:rPr>
        <w:t>[35]</w:t>
      </w:r>
      <w:r w:rsidRPr="00BF2D45">
        <w:rPr>
          <w:rFonts w:ascii="Arial" w:hAnsi="Arial" w:cs="Arial"/>
        </w:rPr>
        <w:tab/>
      </w:r>
      <w:r w:rsidR="00BF2D45">
        <w:rPr>
          <w:rFonts w:ascii="Arial" w:hAnsi="Arial" w:cs="Arial"/>
          <w:lang w:val="en-US"/>
        </w:rPr>
        <w:t xml:space="preserve">In light of the conclusion to which I </w:t>
      </w:r>
      <w:r w:rsidR="00756C0E">
        <w:rPr>
          <w:rFonts w:ascii="Arial" w:hAnsi="Arial" w:cs="Arial"/>
          <w:lang w:val="en-US"/>
        </w:rPr>
        <w:t xml:space="preserve">have </w:t>
      </w:r>
      <w:r w:rsidR="00BF2D45">
        <w:rPr>
          <w:rFonts w:ascii="Arial" w:hAnsi="Arial" w:cs="Arial"/>
          <w:lang w:val="en-US"/>
        </w:rPr>
        <w:t xml:space="preserve">arrived, I </w:t>
      </w:r>
      <w:r w:rsidR="00FC0AFC">
        <w:rPr>
          <w:rFonts w:ascii="Arial" w:hAnsi="Arial" w:cs="Arial"/>
          <w:lang w:val="en-US"/>
        </w:rPr>
        <w:t>was</w:t>
      </w:r>
      <w:r w:rsidR="00BF2D45">
        <w:rPr>
          <w:rFonts w:ascii="Arial" w:hAnsi="Arial" w:cs="Arial"/>
          <w:lang w:val="en-US"/>
        </w:rPr>
        <w:t xml:space="preserve"> required by section 172(1)(a) of the Constitution to declare the decisions under consideration unlawful</w:t>
      </w:r>
      <w:r w:rsidR="005153CD">
        <w:rPr>
          <w:rFonts w:ascii="Arial" w:hAnsi="Arial" w:cs="Arial"/>
          <w:lang w:val="en-US"/>
        </w:rPr>
        <w:t xml:space="preserve"> on this basis alone</w:t>
      </w:r>
      <w:r w:rsidR="00BF2D45">
        <w:rPr>
          <w:rFonts w:ascii="Arial" w:hAnsi="Arial" w:cs="Arial"/>
          <w:lang w:val="en-US"/>
        </w:rPr>
        <w:t>.</w:t>
      </w:r>
      <w:r w:rsidR="00BF2D45">
        <w:rPr>
          <w:rStyle w:val="FootnoteReference"/>
          <w:rFonts w:ascii="Arial" w:hAnsi="Arial" w:cs="Arial"/>
          <w:lang w:val="en-US"/>
        </w:rPr>
        <w:footnoteReference w:id="19"/>
      </w:r>
      <w:r w:rsidR="005153CD">
        <w:rPr>
          <w:rFonts w:ascii="Arial" w:hAnsi="Arial" w:cs="Arial"/>
          <w:lang w:val="en-US"/>
        </w:rPr>
        <w:t xml:space="preserve">  Accordingly, it is not necessary to deal with the dispute regarding the validity of the first respondent’s award of the Western Cape portion of the tender to the second and third respondents outside the tender validity period, which portion had </w:t>
      </w:r>
      <w:r w:rsidR="009F41A8">
        <w:rPr>
          <w:rFonts w:ascii="Arial" w:hAnsi="Arial" w:cs="Arial"/>
          <w:lang w:val="en-US"/>
        </w:rPr>
        <w:t xml:space="preserve">previously been </w:t>
      </w:r>
      <w:r w:rsidR="005153CD">
        <w:rPr>
          <w:rFonts w:ascii="Arial" w:hAnsi="Arial" w:cs="Arial"/>
          <w:lang w:val="en-US"/>
        </w:rPr>
        <w:t xml:space="preserve">conditionally awarded to Bicacon </w:t>
      </w:r>
      <w:r w:rsidR="005153CD">
        <w:rPr>
          <w:rFonts w:ascii="Arial" w:hAnsi="Arial" w:cs="Arial"/>
        </w:rPr>
        <w:t xml:space="preserve">(Pty) Ltd within such period. </w:t>
      </w:r>
    </w:p>
    <w:p w14:paraId="27B466A4" w14:textId="77777777" w:rsidR="00BF2D45" w:rsidRDefault="00BF2D45" w:rsidP="00D94790">
      <w:pPr>
        <w:pStyle w:val="ListParagraph"/>
        <w:spacing w:after="0" w:line="480" w:lineRule="auto"/>
        <w:rPr>
          <w:rFonts w:ascii="Arial" w:hAnsi="Arial" w:cs="Arial"/>
        </w:rPr>
      </w:pPr>
    </w:p>
    <w:p w14:paraId="5DD827D5" w14:textId="14BBA97F" w:rsidR="00473127" w:rsidRDefault="00E735C5" w:rsidP="00E735C5">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[36]</w:t>
      </w:r>
      <w:r>
        <w:rPr>
          <w:rFonts w:ascii="Arial" w:hAnsi="Arial" w:cs="Arial"/>
        </w:rPr>
        <w:tab/>
      </w:r>
      <w:r w:rsidR="00FC0AFC">
        <w:rPr>
          <w:rFonts w:ascii="Arial" w:hAnsi="Arial" w:cs="Arial"/>
        </w:rPr>
        <w:t xml:space="preserve">In respect of the issue of costs, </w:t>
      </w:r>
      <w:r w:rsidR="002B4922">
        <w:rPr>
          <w:rFonts w:ascii="Arial" w:hAnsi="Arial" w:cs="Arial"/>
        </w:rPr>
        <w:t>I am satisfied that the applicant was substantially successful herein and accordingly, it was appropriate that the costs should follow the cause</w:t>
      </w:r>
      <w:r w:rsidR="00FC0AFC">
        <w:rPr>
          <w:rFonts w:ascii="Arial" w:hAnsi="Arial" w:cs="Arial"/>
        </w:rPr>
        <w:t xml:space="preserve">.  Given the crisp issue which fell </w:t>
      </w:r>
      <w:r w:rsidR="002B4922">
        <w:rPr>
          <w:rFonts w:ascii="Arial" w:hAnsi="Arial" w:cs="Arial"/>
        </w:rPr>
        <w:t>to be</w:t>
      </w:r>
      <w:r w:rsidR="00FC0AFC">
        <w:rPr>
          <w:rFonts w:ascii="Arial" w:hAnsi="Arial" w:cs="Arial"/>
        </w:rPr>
        <w:t xml:space="preserve"> determin</w:t>
      </w:r>
      <w:r w:rsidR="002B4922">
        <w:rPr>
          <w:rFonts w:ascii="Arial" w:hAnsi="Arial" w:cs="Arial"/>
        </w:rPr>
        <w:t>ed</w:t>
      </w:r>
      <w:r w:rsidR="00926363">
        <w:rPr>
          <w:rFonts w:ascii="Arial" w:hAnsi="Arial" w:cs="Arial"/>
        </w:rPr>
        <w:t>, which was uncomplicated in nature, I do not agree that the costs of two counsel</w:t>
      </w:r>
      <w:r w:rsidR="002B4922">
        <w:rPr>
          <w:rFonts w:ascii="Arial" w:hAnsi="Arial" w:cs="Arial"/>
        </w:rPr>
        <w:t xml:space="preserve"> </w:t>
      </w:r>
      <w:r w:rsidR="00926363">
        <w:rPr>
          <w:rFonts w:ascii="Arial" w:hAnsi="Arial" w:cs="Arial"/>
        </w:rPr>
        <w:t>was justified in this case.</w:t>
      </w:r>
    </w:p>
    <w:p w14:paraId="0A413C46" w14:textId="77777777" w:rsidR="00926363" w:rsidRDefault="00926363" w:rsidP="00D94790">
      <w:pPr>
        <w:pStyle w:val="ListParagraph"/>
        <w:spacing w:after="0" w:line="480" w:lineRule="auto"/>
        <w:rPr>
          <w:rFonts w:ascii="Arial" w:hAnsi="Arial" w:cs="Arial"/>
        </w:rPr>
      </w:pPr>
    </w:p>
    <w:p w14:paraId="74D05FBD" w14:textId="0CA79995" w:rsidR="00A930DC" w:rsidRPr="007451BB" w:rsidRDefault="00E735C5" w:rsidP="00E735C5">
      <w:pPr>
        <w:pStyle w:val="NormalWeb"/>
        <w:shd w:val="clear" w:color="auto" w:fill="FFFFFF"/>
        <w:spacing w:before="0" w:beforeAutospacing="0" w:after="0" w:afterAutospacing="0" w:line="480" w:lineRule="auto"/>
        <w:ind w:left="851" w:right="261" w:hanging="851"/>
        <w:jc w:val="both"/>
        <w:rPr>
          <w:rFonts w:ascii="Arial" w:hAnsi="Arial" w:cs="Arial"/>
        </w:rPr>
      </w:pPr>
      <w:r w:rsidRPr="007451BB">
        <w:rPr>
          <w:rFonts w:ascii="Arial" w:hAnsi="Arial" w:cs="Arial"/>
        </w:rPr>
        <w:t>[37]</w:t>
      </w:r>
      <w:r w:rsidRPr="007451BB">
        <w:rPr>
          <w:rFonts w:ascii="Arial" w:hAnsi="Arial" w:cs="Arial"/>
        </w:rPr>
        <w:tab/>
      </w:r>
      <w:r w:rsidR="00A930DC">
        <w:rPr>
          <w:rFonts w:ascii="Arial" w:hAnsi="Arial" w:cs="Arial"/>
        </w:rPr>
        <w:t xml:space="preserve">Having already granted </w:t>
      </w:r>
      <w:r w:rsidR="00926363">
        <w:rPr>
          <w:rFonts w:ascii="Arial" w:hAnsi="Arial" w:cs="Arial"/>
        </w:rPr>
        <w:t xml:space="preserve">the order herein, </w:t>
      </w:r>
      <w:r w:rsidR="00A930DC">
        <w:rPr>
          <w:rFonts w:ascii="Arial" w:hAnsi="Arial" w:cs="Arial"/>
        </w:rPr>
        <w:t>I need not make any further order.</w:t>
      </w:r>
    </w:p>
    <w:p w14:paraId="5A010958" w14:textId="77777777" w:rsidR="00A930DC" w:rsidRPr="00631512" w:rsidRDefault="00A930DC" w:rsidP="00D94790">
      <w:pPr>
        <w:spacing w:after="0" w:line="480" w:lineRule="auto"/>
        <w:jc w:val="both"/>
        <w:rPr>
          <w:rFonts w:ascii="Arial" w:hAnsi="Arial" w:cs="Arial"/>
          <w:sz w:val="24"/>
          <w:szCs w:val="24"/>
        </w:rPr>
      </w:pPr>
    </w:p>
    <w:p w14:paraId="4887896E" w14:textId="0F1D6198" w:rsidR="000E306E" w:rsidRDefault="000E306E" w:rsidP="009F41A8">
      <w:pPr>
        <w:tabs>
          <w:tab w:val="left" w:pos="7797"/>
        </w:tabs>
        <w:spacing w:after="0" w:line="480" w:lineRule="auto"/>
        <w:jc w:val="both"/>
        <w:rPr>
          <w:noProof/>
          <w:lang w:eastAsia="en-ZA"/>
        </w:rPr>
      </w:pPr>
    </w:p>
    <w:p w14:paraId="7535D00B" w14:textId="77777777" w:rsidR="00D04DC3" w:rsidRPr="000E306E" w:rsidRDefault="00D04DC3" w:rsidP="009F41A8">
      <w:pPr>
        <w:tabs>
          <w:tab w:val="left" w:pos="7797"/>
        </w:tabs>
        <w:spacing w:after="0" w:line="480" w:lineRule="auto"/>
        <w:jc w:val="both"/>
        <w:rPr>
          <w:rStyle w:val="Hyperlink"/>
          <w:rFonts w:ascii="Arial" w:hAnsi="Arial" w:cs="Arial"/>
          <w:i/>
          <w:iCs/>
          <w:sz w:val="24"/>
          <w:szCs w:val="24"/>
        </w:rPr>
      </w:pPr>
    </w:p>
    <w:p w14:paraId="12B01003" w14:textId="77777777" w:rsidR="000E306E" w:rsidRPr="000E306E" w:rsidRDefault="000E306E" w:rsidP="000E306E">
      <w:pPr>
        <w:spacing w:after="0" w:line="360" w:lineRule="auto"/>
        <w:jc w:val="both"/>
        <w:rPr>
          <w:rStyle w:val="Hyperlink"/>
          <w:rFonts w:ascii="Arial" w:hAnsi="Arial" w:cs="Arial"/>
          <w:i/>
          <w:iCs/>
          <w:color w:val="auto"/>
          <w:sz w:val="24"/>
          <w:szCs w:val="24"/>
        </w:rPr>
      </w:pPr>
      <w:r w:rsidRPr="000E306E">
        <w:rPr>
          <w:rStyle w:val="Hyperlink"/>
          <w:rFonts w:ascii="Arial" w:hAnsi="Arial" w:cs="Arial"/>
          <w:i/>
          <w:iCs/>
          <w:color w:val="auto"/>
          <w:sz w:val="24"/>
          <w:szCs w:val="24"/>
        </w:rPr>
        <w:t>________________________________</w:t>
      </w:r>
    </w:p>
    <w:p w14:paraId="07630EC5" w14:textId="77777777" w:rsidR="000E306E" w:rsidRPr="000E306E" w:rsidRDefault="000E306E" w:rsidP="000E306E">
      <w:pPr>
        <w:spacing w:after="0" w:line="360" w:lineRule="auto"/>
        <w:jc w:val="both"/>
        <w:rPr>
          <w:rFonts w:ascii="Arial" w:hAnsi="Arial" w:cs="Arial"/>
          <w:b/>
          <w:bCs/>
          <w:sz w:val="24"/>
          <w:szCs w:val="24"/>
        </w:rPr>
      </w:pPr>
      <w:r w:rsidRPr="000E306E">
        <w:rPr>
          <w:rFonts w:ascii="Arial" w:hAnsi="Arial" w:cs="Arial"/>
          <w:b/>
          <w:bCs/>
          <w:sz w:val="24"/>
          <w:szCs w:val="24"/>
        </w:rPr>
        <w:t xml:space="preserve">I BANDS </w:t>
      </w:r>
    </w:p>
    <w:p w14:paraId="7E3A6092" w14:textId="77777777" w:rsidR="000E306E" w:rsidRPr="00951523" w:rsidRDefault="000E306E" w:rsidP="000E306E">
      <w:pPr>
        <w:spacing w:after="0" w:line="480" w:lineRule="auto"/>
        <w:jc w:val="both"/>
        <w:rPr>
          <w:rFonts w:ascii="Arial" w:hAnsi="Arial" w:cs="Arial"/>
          <w:b/>
          <w:bCs/>
          <w:sz w:val="24"/>
          <w:szCs w:val="24"/>
        </w:rPr>
      </w:pPr>
      <w:r w:rsidRPr="00951523">
        <w:rPr>
          <w:rFonts w:ascii="Arial" w:hAnsi="Arial" w:cs="Arial"/>
          <w:b/>
          <w:bCs/>
          <w:sz w:val="24"/>
          <w:szCs w:val="24"/>
        </w:rPr>
        <w:t xml:space="preserve">ACTING JUDGE OF THE HIGH COURT </w:t>
      </w:r>
    </w:p>
    <w:p w14:paraId="7A8985EC" w14:textId="426DD358" w:rsidR="000E306E" w:rsidRPr="00951523" w:rsidRDefault="000E306E" w:rsidP="000E306E">
      <w:pPr>
        <w:spacing w:after="0" w:line="360" w:lineRule="auto"/>
        <w:ind w:left="2880" w:hanging="2880"/>
        <w:jc w:val="both"/>
        <w:rPr>
          <w:rFonts w:ascii="Arial" w:hAnsi="Arial" w:cs="Arial"/>
          <w:sz w:val="24"/>
          <w:szCs w:val="24"/>
        </w:rPr>
      </w:pPr>
      <w:r w:rsidRPr="00951523">
        <w:rPr>
          <w:rFonts w:ascii="Arial" w:hAnsi="Arial" w:cs="Arial"/>
          <w:sz w:val="24"/>
          <w:szCs w:val="24"/>
        </w:rPr>
        <w:t>Heard:</w:t>
      </w:r>
      <w:r w:rsidRPr="00951523">
        <w:rPr>
          <w:rFonts w:ascii="Arial" w:hAnsi="Arial" w:cs="Arial"/>
          <w:sz w:val="24"/>
          <w:szCs w:val="24"/>
        </w:rPr>
        <w:tab/>
      </w:r>
      <w:r w:rsidR="00E16DB7">
        <w:rPr>
          <w:rFonts w:ascii="Arial" w:hAnsi="Arial" w:cs="Arial"/>
          <w:sz w:val="24"/>
          <w:szCs w:val="24"/>
        </w:rPr>
        <w:tab/>
      </w:r>
      <w:r>
        <w:rPr>
          <w:rFonts w:ascii="Arial" w:hAnsi="Arial" w:cs="Arial"/>
          <w:sz w:val="24"/>
          <w:szCs w:val="24"/>
        </w:rPr>
        <w:t>2 December 2022</w:t>
      </w:r>
      <w:r w:rsidRPr="00951523">
        <w:rPr>
          <w:rFonts w:ascii="Arial" w:hAnsi="Arial" w:cs="Arial"/>
          <w:sz w:val="24"/>
          <w:szCs w:val="24"/>
        </w:rPr>
        <w:t xml:space="preserve"> </w:t>
      </w:r>
    </w:p>
    <w:p w14:paraId="08E3AE44" w14:textId="0A51B1C9" w:rsidR="000E306E" w:rsidRDefault="000E306E" w:rsidP="000E306E">
      <w:pPr>
        <w:spacing w:after="0" w:line="360" w:lineRule="auto"/>
        <w:jc w:val="both"/>
        <w:rPr>
          <w:rFonts w:ascii="Arial" w:hAnsi="Arial" w:cs="Arial"/>
          <w:sz w:val="24"/>
          <w:szCs w:val="24"/>
        </w:rPr>
      </w:pPr>
      <w:r>
        <w:rPr>
          <w:rFonts w:ascii="Arial" w:hAnsi="Arial" w:cs="Arial"/>
          <w:sz w:val="24"/>
          <w:szCs w:val="24"/>
        </w:rPr>
        <w:t>Judgment granted</w:t>
      </w:r>
      <w:r w:rsidRPr="00951523">
        <w:rPr>
          <w:rFonts w:ascii="Arial" w:hAnsi="Arial" w:cs="Arial"/>
          <w:sz w:val="24"/>
          <w:szCs w:val="24"/>
        </w:rPr>
        <w:t>:</w:t>
      </w:r>
      <w:r>
        <w:rPr>
          <w:rFonts w:ascii="Arial" w:hAnsi="Arial" w:cs="Arial"/>
          <w:sz w:val="24"/>
          <w:szCs w:val="24"/>
        </w:rPr>
        <w:tab/>
      </w:r>
      <w:r w:rsidRPr="00951523">
        <w:rPr>
          <w:rFonts w:ascii="Arial" w:hAnsi="Arial" w:cs="Arial"/>
          <w:sz w:val="24"/>
          <w:szCs w:val="24"/>
        </w:rPr>
        <w:tab/>
      </w:r>
      <w:r w:rsidR="00E16DB7">
        <w:rPr>
          <w:rFonts w:ascii="Arial" w:hAnsi="Arial" w:cs="Arial"/>
          <w:sz w:val="24"/>
          <w:szCs w:val="24"/>
        </w:rPr>
        <w:tab/>
      </w:r>
      <w:r>
        <w:rPr>
          <w:rFonts w:ascii="Arial" w:hAnsi="Arial" w:cs="Arial"/>
          <w:sz w:val="24"/>
          <w:szCs w:val="24"/>
        </w:rPr>
        <w:t>2</w:t>
      </w:r>
      <w:r w:rsidRPr="00951523">
        <w:rPr>
          <w:rFonts w:ascii="Arial" w:hAnsi="Arial" w:cs="Arial"/>
          <w:sz w:val="24"/>
          <w:szCs w:val="24"/>
        </w:rPr>
        <w:t xml:space="preserve"> February 2023</w:t>
      </w:r>
    </w:p>
    <w:p w14:paraId="6B57A10B" w14:textId="7B1E2530" w:rsidR="000E306E" w:rsidRPr="00951523" w:rsidRDefault="000E306E" w:rsidP="000E306E">
      <w:pPr>
        <w:spacing w:after="0" w:line="360" w:lineRule="auto"/>
        <w:jc w:val="both"/>
        <w:rPr>
          <w:rFonts w:ascii="Arial" w:hAnsi="Arial" w:cs="Arial"/>
          <w:sz w:val="24"/>
          <w:szCs w:val="24"/>
        </w:rPr>
      </w:pPr>
      <w:r>
        <w:rPr>
          <w:rFonts w:ascii="Arial" w:hAnsi="Arial" w:cs="Arial"/>
          <w:sz w:val="24"/>
          <w:szCs w:val="24"/>
        </w:rPr>
        <w:t>Reasons:</w:t>
      </w:r>
      <w:r>
        <w:rPr>
          <w:rFonts w:ascii="Arial" w:hAnsi="Arial" w:cs="Arial"/>
          <w:sz w:val="24"/>
          <w:szCs w:val="24"/>
        </w:rPr>
        <w:tab/>
      </w:r>
      <w:r>
        <w:rPr>
          <w:rFonts w:ascii="Arial" w:hAnsi="Arial" w:cs="Arial"/>
          <w:sz w:val="24"/>
          <w:szCs w:val="24"/>
        </w:rPr>
        <w:tab/>
      </w:r>
      <w:r>
        <w:rPr>
          <w:rFonts w:ascii="Arial" w:hAnsi="Arial" w:cs="Arial"/>
          <w:sz w:val="24"/>
          <w:szCs w:val="24"/>
        </w:rPr>
        <w:tab/>
      </w:r>
      <w:r w:rsidR="00E16DB7">
        <w:rPr>
          <w:rFonts w:ascii="Arial" w:hAnsi="Arial" w:cs="Arial"/>
          <w:sz w:val="24"/>
          <w:szCs w:val="24"/>
        </w:rPr>
        <w:tab/>
      </w:r>
      <w:r>
        <w:rPr>
          <w:rFonts w:ascii="Arial" w:hAnsi="Arial" w:cs="Arial"/>
          <w:sz w:val="24"/>
          <w:szCs w:val="24"/>
        </w:rPr>
        <w:t>1</w:t>
      </w:r>
      <w:r w:rsidR="00926363">
        <w:rPr>
          <w:rFonts w:ascii="Arial" w:hAnsi="Arial" w:cs="Arial"/>
          <w:sz w:val="24"/>
          <w:szCs w:val="24"/>
        </w:rPr>
        <w:t>7</w:t>
      </w:r>
      <w:r>
        <w:rPr>
          <w:rFonts w:ascii="Arial" w:hAnsi="Arial" w:cs="Arial"/>
          <w:sz w:val="24"/>
          <w:szCs w:val="24"/>
        </w:rPr>
        <w:t xml:space="preserve"> February 2023</w:t>
      </w:r>
    </w:p>
    <w:p w14:paraId="4427712F" w14:textId="77777777" w:rsidR="00E16DB7" w:rsidRDefault="00E16DB7" w:rsidP="00E16DB7">
      <w:pPr>
        <w:pBdr>
          <w:bottom w:val="single" w:sz="4" w:space="1" w:color="auto"/>
        </w:pBdr>
        <w:spacing w:after="0" w:line="360" w:lineRule="auto"/>
        <w:jc w:val="both"/>
        <w:rPr>
          <w:rFonts w:ascii="Arial" w:hAnsi="Arial" w:cs="Arial"/>
          <w:sz w:val="24"/>
          <w:szCs w:val="24"/>
        </w:rPr>
      </w:pPr>
    </w:p>
    <w:p w14:paraId="531CCCE8" w14:textId="77777777" w:rsidR="00E16DB7" w:rsidRDefault="00E16DB7" w:rsidP="000E306E">
      <w:pPr>
        <w:spacing w:after="0" w:line="360" w:lineRule="auto"/>
        <w:jc w:val="both"/>
        <w:rPr>
          <w:rFonts w:ascii="Arial" w:hAnsi="Arial" w:cs="Arial"/>
          <w:sz w:val="24"/>
          <w:szCs w:val="24"/>
        </w:rPr>
      </w:pPr>
    </w:p>
    <w:p w14:paraId="1F1B8DF6" w14:textId="382DE0FB" w:rsidR="000E306E" w:rsidRPr="005E0A83" w:rsidRDefault="000E306E" w:rsidP="000E306E">
      <w:pPr>
        <w:spacing w:after="0" w:line="360" w:lineRule="auto"/>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r>
      <w:r>
        <w:rPr>
          <w:rFonts w:ascii="Arial" w:hAnsi="Arial" w:cs="Arial"/>
          <w:sz w:val="24"/>
          <w:szCs w:val="24"/>
        </w:rPr>
        <w:tab/>
        <w:t>Mr Buchanan SC; Mr Ronaasen SC; and Ms Ellis</w:t>
      </w:r>
    </w:p>
    <w:p w14:paraId="7F21CB43" w14:textId="77777777" w:rsidR="000E306E" w:rsidRDefault="000E306E" w:rsidP="000E306E">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Greyvensteins Inc</w:t>
      </w:r>
    </w:p>
    <w:p w14:paraId="4E7FD2AF" w14:textId="77777777" w:rsidR="000E306E" w:rsidRDefault="000E306E" w:rsidP="000E306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 Georges House, 104 Park Drive, Gqeberha</w:t>
      </w:r>
    </w:p>
    <w:p w14:paraId="18C25B78" w14:textId="77777777" w:rsidR="000E306E" w:rsidRDefault="000E306E" w:rsidP="000E306E">
      <w:pPr>
        <w:spacing w:after="0" w:line="360" w:lineRule="auto"/>
        <w:jc w:val="both"/>
        <w:rPr>
          <w:rFonts w:ascii="Arial" w:hAnsi="Arial" w:cs="Arial"/>
          <w:sz w:val="24"/>
          <w:szCs w:val="24"/>
        </w:rPr>
      </w:pPr>
    </w:p>
    <w:p w14:paraId="733BC08A" w14:textId="77777777" w:rsidR="000E306E" w:rsidRPr="005E0A83" w:rsidRDefault="000E306E" w:rsidP="000E306E">
      <w:pPr>
        <w:spacing w:after="0" w:line="360" w:lineRule="auto"/>
        <w:jc w:val="both"/>
        <w:rPr>
          <w:rFonts w:ascii="Arial" w:hAnsi="Arial" w:cs="Arial"/>
          <w:sz w:val="24"/>
          <w:szCs w:val="24"/>
        </w:rPr>
      </w:pPr>
      <w:r>
        <w:rPr>
          <w:rFonts w:ascii="Arial" w:hAnsi="Arial" w:cs="Arial"/>
          <w:sz w:val="24"/>
          <w:szCs w:val="24"/>
        </w:rPr>
        <w:t>For the first respondent:</w:t>
      </w:r>
      <w:r>
        <w:rPr>
          <w:rFonts w:ascii="Arial" w:hAnsi="Arial" w:cs="Arial"/>
          <w:sz w:val="24"/>
          <w:szCs w:val="24"/>
        </w:rPr>
        <w:tab/>
      </w:r>
      <w:r>
        <w:rPr>
          <w:rFonts w:ascii="Arial" w:hAnsi="Arial" w:cs="Arial"/>
          <w:sz w:val="24"/>
          <w:szCs w:val="24"/>
        </w:rPr>
        <w:tab/>
        <w:t>Mr Beyleveld SC</w:t>
      </w:r>
      <w:r w:rsidRPr="005E0A83">
        <w:rPr>
          <w:rFonts w:ascii="Arial" w:hAnsi="Arial" w:cs="Arial"/>
          <w:sz w:val="24"/>
          <w:szCs w:val="24"/>
        </w:rPr>
        <w:tab/>
      </w:r>
      <w:r>
        <w:rPr>
          <w:rFonts w:ascii="Arial" w:hAnsi="Arial" w:cs="Arial"/>
          <w:sz w:val="24"/>
          <w:szCs w:val="24"/>
        </w:rPr>
        <w:tab/>
      </w:r>
      <w:r w:rsidRPr="005E0A83">
        <w:rPr>
          <w:rFonts w:ascii="Arial" w:hAnsi="Arial" w:cs="Arial"/>
          <w:sz w:val="24"/>
          <w:szCs w:val="24"/>
        </w:rPr>
        <w:tab/>
      </w:r>
    </w:p>
    <w:p w14:paraId="565665F1" w14:textId="77777777" w:rsidR="000E306E" w:rsidRDefault="000E306E" w:rsidP="000E306E">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State Attorney</w:t>
      </w:r>
    </w:p>
    <w:p w14:paraId="4B91B979" w14:textId="77777777" w:rsidR="000E306E" w:rsidRDefault="000E306E" w:rsidP="000E306E">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29 Western Road, Central, Gqeberha</w:t>
      </w:r>
    </w:p>
    <w:p w14:paraId="40EC8232" w14:textId="063E21F3" w:rsidR="000E306E" w:rsidRDefault="000E306E" w:rsidP="000E306E">
      <w:pPr>
        <w:spacing w:after="0" w:line="360" w:lineRule="auto"/>
        <w:ind w:left="2160" w:firstLine="720"/>
        <w:rPr>
          <w:rFonts w:ascii="Arial" w:hAnsi="Arial" w:cs="Arial"/>
        </w:rPr>
      </w:pPr>
      <w:r w:rsidRPr="00951523">
        <w:rPr>
          <w:rFonts w:ascii="Arial" w:hAnsi="Arial" w:cs="Arial"/>
        </w:rPr>
        <w:tab/>
      </w:r>
      <w:r w:rsidRPr="00951523">
        <w:rPr>
          <w:rFonts w:ascii="Arial" w:hAnsi="Arial" w:cs="Arial"/>
        </w:rPr>
        <w:tab/>
      </w:r>
    </w:p>
    <w:sectPr w:rsidR="000E306E" w:rsidSect="00097395">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C76DE" w14:textId="77777777" w:rsidR="00292E6C" w:rsidRDefault="00292E6C" w:rsidP="000E306E">
      <w:pPr>
        <w:spacing w:after="0" w:line="240" w:lineRule="auto"/>
      </w:pPr>
      <w:r>
        <w:separator/>
      </w:r>
    </w:p>
  </w:endnote>
  <w:endnote w:type="continuationSeparator" w:id="0">
    <w:p w14:paraId="46CE6087" w14:textId="77777777" w:rsidR="00292E6C" w:rsidRDefault="00292E6C" w:rsidP="000E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B6352" w14:textId="77777777" w:rsidR="00292E6C" w:rsidRDefault="00292E6C" w:rsidP="000E306E">
      <w:pPr>
        <w:spacing w:after="0" w:line="240" w:lineRule="auto"/>
      </w:pPr>
      <w:r>
        <w:separator/>
      </w:r>
    </w:p>
  </w:footnote>
  <w:footnote w:type="continuationSeparator" w:id="0">
    <w:p w14:paraId="7870ECD7" w14:textId="77777777" w:rsidR="00292E6C" w:rsidRDefault="00292E6C" w:rsidP="000E306E">
      <w:pPr>
        <w:spacing w:after="0" w:line="240" w:lineRule="auto"/>
      </w:pPr>
      <w:r>
        <w:continuationSeparator/>
      </w:r>
    </w:p>
  </w:footnote>
  <w:footnote w:id="1">
    <w:p w14:paraId="34EAE576" w14:textId="5BBF97BB" w:rsidR="00BB69A0" w:rsidRPr="00BB69A0" w:rsidRDefault="00BB69A0" w:rsidP="00F923A5">
      <w:pPr>
        <w:pStyle w:val="FootnoteText"/>
        <w:spacing w:line="360" w:lineRule="auto"/>
        <w:ind w:left="567" w:hanging="432"/>
        <w:jc w:val="both"/>
        <w:rPr>
          <w:rFonts w:ascii="Arial" w:hAnsi="Arial" w:cs="Arial"/>
          <w:i/>
          <w:iCs/>
        </w:rPr>
      </w:pPr>
      <w:r w:rsidRPr="00BB69A0">
        <w:rPr>
          <w:rFonts w:ascii="Arial" w:hAnsi="Arial" w:cs="Arial"/>
        </w:rPr>
        <w:t>“</w:t>
      </w:r>
      <w:r w:rsidRPr="00BB69A0">
        <w:rPr>
          <w:rFonts w:ascii="Arial" w:hAnsi="Arial" w:cs="Arial"/>
          <w:i/>
          <w:iCs/>
        </w:rPr>
        <w:t>1.</w:t>
      </w:r>
      <w:r w:rsidRPr="00BB69A0">
        <w:rPr>
          <w:rFonts w:ascii="Arial" w:hAnsi="Arial" w:cs="Arial"/>
          <w:i/>
          <w:iCs/>
        </w:rPr>
        <w:tab/>
        <w:t>The decision of the first respondent (“the first impugned decision”) to award the Eastern Cape portion of tender BID DWS 05-0621 WTE to the second respondent on 21 June 2022 is reviewed and set aside.</w:t>
      </w:r>
    </w:p>
    <w:p w14:paraId="6215EC90" w14:textId="7257863F" w:rsidR="00BB69A0" w:rsidRPr="00BB69A0" w:rsidRDefault="00E735C5" w:rsidP="00E735C5">
      <w:pPr>
        <w:pStyle w:val="FootnoteText"/>
        <w:spacing w:line="360" w:lineRule="auto"/>
        <w:ind w:left="567" w:hanging="567"/>
        <w:jc w:val="both"/>
        <w:rPr>
          <w:rFonts w:ascii="Arial" w:hAnsi="Arial" w:cs="Arial"/>
        </w:rPr>
      </w:pPr>
      <w:r w:rsidRPr="00BB69A0">
        <w:rPr>
          <w:rFonts w:ascii="Arial" w:hAnsi="Arial" w:cs="Arial"/>
          <w:i/>
          <w:iCs/>
        </w:rPr>
        <w:t>2.</w:t>
      </w:r>
      <w:r w:rsidRPr="00BB69A0">
        <w:rPr>
          <w:rFonts w:ascii="Arial" w:hAnsi="Arial" w:cs="Arial"/>
          <w:i/>
          <w:iCs/>
        </w:rPr>
        <w:tab/>
      </w:r>
      <w:r w:rsidR="00BB69A0" w:rsidRPr="00BB69A0">
        <w:rPr>
          <w:rFonts w:ascii="Arial" w:hAnsi="Arial" w:cs="Arial"/>
          <w:i/>
          <w:iCs/>
        </w:rPr>
        <w:t>The decision of the first respondent (“the second impugned decision”) to award the Western Cape portion of tender BID DWS 05-0621 WTE to the second and third respondents on 29 September 2022 is reviewed and set aside.</w:t>
      </w:r>
    </w:p>
    <w:p w14:paraId="5A01A456" w14:textId="0C45F1BD" w:rsidR="00BB69A0" w:rsidRPr="00BB69A0" w:rsidRDefault="00E735C5" w:rsidP="00E735C5">
      <w:pPr>
        <w:pStyle w:val="FootnoteText"/>
        <w:spacing w:line="360" w:lineRule="auto"/>
        <w:ind w:left="567" w:hanging="567"/>
        <w:jc w:val="both"/>
        <w:rPr>
          <w:rFonts w:ascii="Arial" w:hAnsi="Arial" w:cs="Arial"/>
        </w:rPr>
      </w:pPr>
      <w:r w:rsidRPr="00BB69A0">
        <w:rPr>
          <w:rFonts w:ascii="Arial" w:hAnsi="Arial" w:cs="Arial"/>
          <w:i/>
          <w:iCs/>
        </w:rPr>
        <w:t>3.</w:t>
      </w:r>
      <w:r w:rsidRPr="00BB69A0">
        <w:rPr>
          <w:rFonts w:ascii="Arial" w:hAnsi="Arial" w:cs="Arial"/>
          <w:i/>
          <w:iCs/>
        </w:rPr>
        <w:tab/>
      </w:r>
      <w:r w:rsidR="00BB69A0" w:rsidRPr="00BB69A0">
        <w:rPr>
          <w:rFonts w:ascii="Arial" w:hAnsi="Arial" w:cs="Arial"/>
          <w:i/>
          <w:iCs/>
        </w:rPr>
        <w:t>The first and second impugned decisions are referred back to the first respondent to start the procurement of services for the mechanical and other related major plant and machinery installation, maintenance, repair, refurbishment and upgrade for southern operations (Eastern Cape and Western Cape) afresh.</w:t>
      </w:r>
    </w:p>
    <w:p w14:paraId="71B1C7AE" w14:textId="76E3627B" w:rsidR="00BB69A0" w:rsidRPr="002B39FF" w:rsidRDefault="00E735C5" w:rsidP="00E735C5">
      <w:pPr>
        <w:pStyle w:val="FootnoteText"/>
        <w:spacing w:line="360" w:lineRule="auto"/>
        <w:ind w:left="567" w:hanging="567"/>
        <w:jc w:val="both"/>
        <w:rPr>
          <w:rFonts w:ascii="Arial" w:hAnsi="Arial" w:cs="Arial"/>
        </w:rPr>
      </w:pPr>
      <w:r w:rsidRPr="002B39FF">
        <w:rPr>
          <w:rFonts w:ascii="Arial" w:hAnsi="Arial" w:cs="Arial"/>
          <w:i/>
          <w:iCs/>
        </w:rPr>
        <w:t>4.</w:t>
      </w:r>
      <w:r w:rsidRPr="002B39FF">
        <w:rPr>
          <w:rFonts w:ascii="Arial" w:hAnsi="Arial" w:cs="Arial"/>
          <w:i/>
          <w:iCs/>
        </w:rPr>
        <w:tab/>
      </w:r>
      <w:r w:rsidR="00BB69A0" w:rsidRPr="00BB69A0">
        <w:rPr>
          <w:rFonts w:ascii="Arial" w:hAnsi="Arial" w:cs="Arial"/>
          <w:i/>
          <w:iCs/>
        </w:rPr>
        <w:t>The first respondent is ordered to pay the costs of the application.</w:t>
      </w:r>
      <w:r w:rsidR="00BB69A0" w:rsidRPr="002B39FF">
        <w:rPr>
          <w:rFonts w:ascii="Arial" w:hAnsi="Arial" w:cs="Arial"/>
          <w:i/>
          <w:iCs/>
        </w:rPr>
        <w:t>”</w:t>
      </w:r>
    </w:p>
    <w:p w14:paraId="256778DB" w14:textId="77777777" w:rsidR="00BB69A0" w:rsidRPr="00BB69A0" w:rsidRDefault="00BB69A0" w:rsidP="00BB69A0">
      <w:pPr>
        <w:pStyle w:val="FootnoteText"/>
        <w:spacing w:line="360" w:lineRule="auto"/>
        <w:rPr>
          <w:rFonts w:ascii="Arial" w:hAnsi="Arial" w:cs="Arial"/>
        </w:rPr>
      </w:pPr>
    </w:p>
  </w:footnote>
  <w:footnote w:id="2">
    <w:p w14:paraId="479F8DC7" w14:textId="7BC9CF53" w:rsidR="002555CC" w:rsidRDefault="002555CC">
      <w:pPr>
        <w:pStyle w:val="FootnoteText"/>
      </w:pPr>
      <w:r>
        <w:rPr>
          <w:rStyle w:val="FootnoteReference"/>
        </w:rPr>
        <w:footnoteRef/>
      </w:r>
      <w:r>
        <w:t xml:space="preserve"> </w:t>
      </w:r>
      <w:r w:rsidRPr="00CF3598">
        <w:rPr>
          <w:rFonts w:ascii="Arial" w:hAnsi="Arial" w:cs="Arial"/>
        </w:rPr>
        <w:t>Each bidder was required to attend one briefing session.</w:t>
      </w:r>
    </w:p>
  </w:footnote>
  <w:footnote w:id="3">
    <w:p w14:paraId="7F10412D" w14:textId="2A1D4BFF" w:rsidR="00DD2C17" w:rsidRPr="00166BAF" w:rsidRDefault="00DD2C17" w:rsidP="00AC3F64">
      <w:pPr>
        <w:pStyle w:val="FootnoteText"/>
        <w:spacing w:line="360" w:lineRule="auto"/>
        <w:rPr>
          <w:rFonts w:ascii="Arial" w:hAnsi="Arial" w:cs="Arial"/>
        </w:rPr>
      </w:pPr>
      <w:r w:rsidRPr="00166BAF">
        <w:rPr>
          <w:rStyle w:val="FootnoteReference"/>
          <w:rFonts w:ascii="Arial" w:hAnsi="Arial" w:cs="Arial"/>
        </w:rPr>
        <w:footnoteRef/>
      </w:r>
      <w:r w:rsidRPr="00166BAF">
        <w:rPr>
          <w:rFonts w:ascii="Arial" w:hAnsi="Arial" w:cs="Arial"/>
        </w:rPr>
        <w:t xml:space="preserve"> Despite reference being made to 9 bids having been considered for further evaluation, it appears </w:t>
      </w:r>
      <w:r w:rsidRPr="00166BAF">
        <w:rPr>
          <w:rFonts w:ascii="Arial" w:hAnsi="Arial" w:cs="Arial"/>
          <w:i/>
          <w:iCs/>
        </w:rPr>
        <w:t>ex facie</w:t>
      </w:r>
      <w:r w:rsidRPr="00166BAF">
        <w:rPr>
          <w:rFonts w:ascii="Arial" w:hAnsi="Arial" w:cs="Arial"/>
        </w:rPr>
        <w:t xml:space="preserve"> the minutes that only 7 pro</w:t>
      </w:r>
      <w:r w:rsidR="00DA4C6E">
        <w:rPr>
          <w:rFonts w:ascii="Arial" w:hAnsi="Arial" w:cs="Arial"/>
        </w:rPr>
        <w:t>gressed</w:t>
      </w:r>
      <w:r w:rsidRPr="00166BAF">
        <w:rPr>
          <w:rFonts w:ascii="Arial" w:hAnsi="Arial" w:cs="Arial"/>
        </w:rPr>
        <w:t xml:space="preserve"> to phase 2.</w:t>
      </w:r>
    </w:p>
  </w:footnote>
  <w:footnote w:id="4">
    <w:p w14:paraId="57E91864" w14:textId="677D849F" w:rsidR="00E60E10" w:rsidRPr="00BD5E0C" w:rsidRDefault="00E60E10" w:rsidP="00BD5E0C">
      <w:pPr>
        <w:pStyle w:val="FootnoteText"/>
        <w:spacing w:line="360" w:lineRule="auto"/>
        <w:rPr>
          <w:rFonts w:ascii="Arial" w:hAnsi="Arial" w:cs="Arial"/>
        </w:rPr>
      </w:pPr>
      <w:r w:rsidRPr="00BD5E0C">
        <w:rPr>
          <w:rStyle w:val="FootnoteReference"/>
          <w:rFonts w:ascii="Arial" w:hAnsi="Arial" w:cs="Arial"/>
        </w:rPr>
        <w:footnoteRef/>
      </w:r>
      <w:r w:rsidRPr="00BD5E0C">
        <w:rPr>
          <w:rFonts w:ascii="Arial" w:hAnsi="Arial" w:cs="Arial"/>
        </w:rPr>
        <w:t xml:space="preserve"> The Constitution of the Republic of South Africa, 1996.</w:t>
      </w:r>
    </w:p>
  </w:footnote>
  <w:footnote w:id="5">
    <w:p w14:paraId="7CAF8F09" w14:textId="07FFC731" w:rsidR="00BD5E0C" w:rsidRPr="00BD5E0C" w:rsidRDefault="00BD5E0C" w:rsidP="00BD5E0C">
      <w:pPr>
        <w:pStyle w:val="FootnoteText"/>
        <w:spacing w:line="360" w:lineRule="auto"/>
        <w:rPr>
          <w:rFonts w:ascii="Arial" w:hAnsi="Arial" w:cs="Arial"/>
        </w:rPr>
      </w:pPr>
      <w:r w:rsidRPr="00BD5E0C">
        <w:rPr>
          <w:rStyle w:val="FootnoteReference"/>
          <w:rFonts w:ascii="Arial" w:hAnsi="Arial" w:cs="Arial"/>
        </w:rPr>
        <w:footnoteRef/>
      </w:r>
      <w:r w:rsidRPr="00BD5E0C">
        <w:rPr>
          <w:rFonts w:ascii="Arial" w:hAnsi="Arial" w:cs="Arial"/>
        </w:rPr>
        <w:t xml:space="preserve"> </w:t>
      </w:r>
      <w:r w:rsidRPr="00BD5E0C">
        <w:rPr>
          <w:rFonts w:ascii="Arial" w:hAnsi="Arial" w:cs="Arial"/>
          <w:i/>
          <w:iCs/>
        </w:rPr>
        <w:t>Pharmaceutical Manufacturers Association of SA: In re Ex parte President of the Republic of South Africa</w:t>
      </w:r>
      <w:r w:rsidRPr="00BD5E0C">
        <w:rPr>
          <w:rFonts w:ascii="Arial" w:hAnsi="Arial" w:cs="Arial"/>
        </w:rPr>
        <w:t xml:space="preserve"> 2000 (2) SA 674 (CC) at paras 17 and 50.</w:t>
      </w:r>
    </w:p>
  </w:footnote>
  <w:footnote w:id="6">
    <w:p w14:paraId="13425BC9" w14:textId="517DD6AD" w:rsidR="007A77BD" w:rsidRPr="00BD5E0C" w:rsidRDefault="007A77BD" w:rsidP="00BD5E0C">
      <w:pPr>
        <w:pStyle w:val="FootnoteText"/>
        <w:spacing w:line="360" w:lineRule="auto"/>
        <w:rPr>
          <w:rFonts w:ascii="Arial" w:hAnsi="Arial" w:cs="Arial"/>
        </w:rPr>
      </w:pPr>
      <w:r w:rsidRPr="00BD5E0C">
        <w:rPr>
          <w:rStyle w:val="FootnoteReference"/>
          <w:rFonts w:ascii="Arial" w:hAnsi="Arial" w:cs="Arial"/>
        </w:rPr>
        <w:footnoteRef/>
      </w:r>
      <w:r w:rsidRPr="00BD5E0C">
        <w:rPr>
          <w:rFonts w:ascii="Arial" w:hAnsi="Arial" w:cs="Arial"/>
        </w:rPr>
        <w:t xml:space="preserve"> </w:t>
      </w:r>
      <w:r w:rsidRPr="00BD5E0C">
        <w:rPr>
          <w:rFonts w:ascii="Arial" w:hAnsi="Arial" w:cs="Arial"/>
          <w:i/>
          <w:iCs/>
        </w:rPr>
        <w:t>Chairperson, Standing Tender Committee v JFE Sapela Electronics (Pty) Ltd</w:t>
      </w:r>
      <w:r w:rsidRPr="00BD5E0C">
        <w:rPr>
          <w:rFonts w:ascii="Arial" w:hAnsi="Arial" w:cs="Arial"/>
        </w:rPr>
        <w:t xml:space="preserve"> 2008 (2) SA 638 (SCA) at 644B-E</w:t>
      </w:r>
      <w:r w:rsidR="00D24FCF" w:rsidRPr="00BD5E0C">
        <w:rPr>
          <w:rFonts w:ascii="Arial" w:hAnsi="Arial" w:cs="Arial"/>
        </w:rPr>
        <w:t>.</w:t>
      </w:r>
    </w:p>
  </w:footnote>
  <w:footnote w:id="7">
    <w:p w14:paraId="67660854" w14:textId="4001F4D4" w:rsidR="00E178FD" w:rsidRPr="00D24FCF" w:rsidRDefault="00E178FD" w:rsidP="00D24FCF">
      <w:pPr>
        <w:pStyle w:val="FootnoteText"/>
        <w:spacing w:line="360" w:lineRule="auto"/>
        <w:rPr>
          <w:rFonts w:ascii="Arial" w:hAnsi="Arial" w:cs="Arial"/>
        </w:rPr>
      </w:pPr>
      <w:r w:rsidRPr="00D24FCF">
        <w:rPr>
          <w:rStyle w:val="FootnoteReference"/>
          <w:rFonts w:ascii="Arial" w:hAnsi="Arial" w:cs="Arial"/>
        </w:rPr>
        <w:footnoteRef/>
      </w:r>
      <w:r w:rsidRPr="00D24FCF">
        <w:rPr>
          <w:rFonts w:ascii="Arial" w:hAnsi="Arial" w:cs="Arial"/>
        </w:rPr>
        <w:t xml:space="preserve"> 2008 (2) SA 481 (SCA)</w:t>
      </w:r>
      <w:r w:rsidR="00A115F6">
        <w:rPr>
          <w:rFonts w:ascii="Arial" w:hAnsi="Arial" w:cs="Arial"/>
        </w:rPr>
        <w:t xml:space="preserve"> at para 19.</w:t>
      </w:r>
    </w:p>
  </w:footnote>
  <w:footnote w:id="8">
    <w:p w14:paraId="049BD2C8" w14:textId="2BF3DABD" w:rsidR="00787F0F" w:rsidRPr="00420068" w:rsidRDefault="00787F0F" w:rsidP="000C0901">
      <w:pPr>
        <w:pStyle w:val="FootnoteText"/>
        <w:spacing w:line="360" w:lineRule="auto"/>
        <w:rPr>
          <w:rFonts w:ascii="Arial" w:hAnsi="Arial" w:cs="Arial"/>
        </w:rPr>
      </w:pPr>
      <w:r w:rsidRPr="00420068">
        <w:rPr>
          <w:rStyle w:val="FootnoteReference"/>
          <w:rFonts w:ascii="Arial" w:hAnsi="Arial" w:cs="Arial"/>
        </w:rPr>
        <w:footnoteRef/>
      </w:r>
      <w:r w:rsidRPr="00420068">
        <w:rPr>
          <w:rFonts w:ascii="Arial" w:hAnsi="Arial" w:cs="Arial"/>
        </w:rPr>
        <w:t xml:space="preserve"> </w:t>
      </w:r>
      <w:r w:rsidRPr="00420068">
        <w:rPr>
          <w:rFonts w:ascii="Arial" w:eastAsia="Times New Roman" w:hAnsi="Arial" w:cs="Arial"/>
          <w:lang w:eastAsia="en-ZA"/>
        </w:rPr>
        <w:t>(937/2012) [2013] ZASCA 186; [2014] 1 All SA 545 (SCA) (29 November 2013)</w:t>
      </w:r>
      <w:r w:rsidR="00D24FCF" w:rsidRPr="00420068">
        <w:rPr>
          <w:rFonts w:ascii="Arial" w:eastAsia="Times New Roman" w:hAnsi="Arial" w:cs="Arial"/>
          <w:lang w:eastAsia="en-ZA"/>
        </w:rPr>
        <w:t>.</w:t>
      </w:r>
    </w:p>
  </w:footnote>
  <w:footnote w:id="9">
    <w:p w14:paraId="2AF8E2B1" w14:textId="30411095" w:rsidR="00420068" w:rsidRPr="00420068" w:rsidRDefault="00420068" w:rsidP="000C0901">
      <w:pPr>
        <w:pStyle w:val="FootnoteText"/>
        <w:spacing w:line="360" w:lineRule="auto"/>
        <w:rPr>
          <w:rFonts w:ascii="Arial" w:hAnsi="Arial" w:cs="Arial"/>
        </w:rPr>
      </w:pPr>
      <w:r w:rsidRPr="00420068">
        <w:rPr>
          <w:rStyle w:val="FootnoteReference"/>
          <w:rFonts w:ascii="Arial" w:hAnsi="Arial" w:cs="Arial"/>
        </w:rPr>
        <w:footnoteRef/>
      </w:r>
      <w:r w:rsidRPr="00420068">
        <w:rPr>
          <w:rFonts w:ascii="Arial" w:hAnsi="Arial" w:cs="Arial"/>
        </w:rPr>
        <w:t xml:space="preserve"> Which in any event is not the case if regard is had to the wording of item 10.</w:t>
      </w:r>
    </w:p>
  </w:footnote>
  <w:footnote w:id="10">
    <w:p w14:paraId="031228F9" w14:textId="34EB9708" w:rsidR="00A1450C" w:rsidRPr="00B11176" w:rsidRDefault="00A1450C" w:rsidP="000C0901">
      <w:pPr>
        <w:pStyle w:val="FootnoteText"/>
        <w:spacing w:line="360" w:lineRule="auto"/>
        <w:rPr>
          <w:rFonts w:ascii="Arial" w:hAnsi="Arial" w:cs="Arial"/>
        </w:rPr>
      </w:pPr>
      <w:r w:rsidRPr="00B11176">
        <w:rPr>
          <w:rStyle w:val="FootnoteReference"/>
          <w:rFonts w:ascii="Arial" w:hAnsi="Arial" w:cs="Arial"/>
        </w:rPr>
        <w:footnoteRef/>
      </w:r>
      <w:r w:rsidRPr="00B11176">
        <w:rPr>
          <w:rFonts w:ascii="Arial" w:hAnsi="Arial" w:cs="Arial"/>
        </w:rPr>
        <w:t xml:space="preserve"> 2004 (1) SA 308 (SCA) at para 31.</w:t>
      </w:r>
    </w:p>
  </w:footnote>
  <w:footnote w:id="11">
    <w:p w14:paraId="1D95A184" w14:textId="27288C1D" w:rsidR="00B11176" w:rsidRPr="00B11176" w:rsidRDefault="00B11176" w:rsidP="00B11176">
      <w:pPr>
        <w:pStyle w:val="FootnoteText"/>
        <w:spacing w:line="360" w:lineRule="auto"/>
        <w:rPr>
          <w:rFonts w:ascii="Arial" w:hAnsi="Arial" w:cs="Arial"/>
        </w:rPr>
      </w:pPr>
      <w:r w:rsidRPr="00B11176">
        <w:rPr>
          <w:rStyle w:val="FootnoteReference"/>
          <w:rFonts w:ascii="Arial" w:hAnsi="Arial" w:cs="Arial"/>
        </w:rPr>
        <w:footnoteRef/>
      </w:r>
      <w:r w:rsidRPr="00B11176">
        <w:rPr>
          <w:rFonts w:ascii="Arial" w:hAnsi="Arial" w:cs="Arial"/>
        </w:rPr>
        <w:t xml:space="preserve"> </w:t>
      </w:r>
      <w:r w:rsidRPr="00B11176">
        <w:rPr>
          <w:rFonts w:ascii="Arial" w:eastAsia="Times New Roman" w:hAnsi="Arial" w:cs="Arial"/>
          <w:i/>
          <w:iCs/>
          <w:lang w:eastAsia="en-ZA"/>
        </w:rPr>
        <w:t>Dr JS Moroka Municipality and Others v Betram (Pty) Limited and Another</w:t>
      </w:r>
      <w:r w:rsidRPr="00B11176">
        <w:rPr>
          <w:rFonts w:ascii="Arial" w:hAnsi="Arial" w:cs="Arial"/>
          <w:lang w:val="en-US"/>
        </w:rPr>
        <w:t xml:space="preserve"> (supra) at</w:t>
      </w:r>
      <w:r w:rsidRPr="00B11176">
        <w:rPr>
          <w:rFonts w:ascii="Arial" w:hAnsi="Arial" w:cs="Arial"/>
        </w:rPr>
        <w:t xml:space="preserve"> para 12.</w:t>
      </w:r>
    </w:p>
    <w:p w14:paraId="754FE031" w14:textId="231C1883" w:rsidR="00B11176" w:rsidRPr="00B11176" w:rsidRDefault="00B11176" w:rsidP="00B11176">
      <w:pPr>
        <w:pStyle w:val="Heading2"/>
        <w:shd w:val="clear" w:color="auto" w:fill="FFFFFF"/>
        <w:spacing w:before="0" w:beforeAutospacing="0" w:after="0" w:afterAutospacing="0" w:line="360" w:lineRule="auto"/>
        <w:rPr>
          <w:rFonts w:ascii="Arial" w:hAnsi="Arial" w:cs="Arial"/>
          <w:b w:val="0"/>
          <w:bCs w:val="0"/>
          <w:sz w:val="20"/>
          <w:szCs w:val="20"/>
        </w:rPr>
      </w:pPr>
      <w:r>
        <w:rPr>
          <w:rFonts w:ascii="Arial" w:hAnsi="Arial" w:cs="Arial"/>
          <w:b w:val="0"/>
          <w:bCs w:val="0"/>
          <w:sz w:val="20"/>
          <w:szCs w:val="20"/>
        </w:rPr>
        <w:t xml:space="preserve">See also: </w:t>
      </w:r>
      <w:r w:rsidRPr="00B11176">
        <w:rPr>
          <w:rFonts w:ascii="Arial" w:hAnsi="Arial" w:cs="Arial"/>
          <w:b w:val="0"/>
          <w:bCs w:val="0"/>
          <w:i/>
          <w:iCs/>
          <w:sz w:val="20"/>
          <w:szCs w:val="20"/>
        </w:rPr>
        <w:t xml:space="preserve">WDR Earthmoving Enterprises and Another v Joe Gqabi District Municipality and Others </w:t>
      </w:r>
      <w:r w:rsidRPr="00B11176">
        <w:rPr>
          <w:rFonts w:ascii="Arial" w:hAnsi="Arial" w:cs="Arial"/>
          <w:b w:val="0"/>
          <w:bCs w:val="0"/>
          <w:sz w:val="20"/>
          <w:szCs w:val="20"/>
        </w:rPr>
        <w:t>(392/2017) [2018] ZASCA 72 (30 May 2018)</w:t>
      </w:r>
      <w:r>
        <w:rPr>
          <w:rFonts w:ascii="Arial" w:hAnsi="Arial" w:cs="Arial"/>
          <w:b w:val="0"/>
          <w:bCs w:val="0"/>
          <w:sz w:val="20"/>
          <w:szCs w:val="20"/>
        </w:rPr>
        <w:t xml:space="preserve"> at para 30.</w:t>
      </w:r>
    </w:p>
    <w:p w14:paraId="5993EE4E" w14:textId="77777777" w:rsidR="00B11176" w:rsidRDefault="00B11176" w:rsidP="00B11176">
      <w:pPr>
        <w:pStyle w:val="FootnoteText"/>
      </w:pPr>
    </w:p>
  </w:footnote>
  <w:footnote w:id="12">
    <w:p w14:paraId="4D9E7BF6" w14:textId="78A1777A" w:rsidR="00E83821" w:rsidRPr="00F759E4" w:rsidRDefault="00E83821" w:rsidP="002C4245">
      <w:pPr>
        <w:pStyle w:val="FootnoteText"/>
        <w:spacing w:line="360" w:lineRule="auto"/>
        <w:rPr>
          <w:rFonts w:ascii="Arial" w:hAnsi="Arial" w:cs="Arial"/>
        </w:rPr>
      </w:pPr>
      <w:r w:rsidRPr="00F759E4">
        <w:rPr>
          <w:rStyle w:val="FootnoteReference"/>
          <w:rFonts w:ascii="Arial" w:hAnsi="Arial" w:cs="Arial"/>
        </w:rPr>
        <w:footnoteRef/>
      </w:r>
      <w:r w:rsidRPr="00F759E4">
        <w:rPr>
          <w:rFonts w:ascii="Arial" w:hAnsi="Arial" w:cs="Arial"/>
        </w:rPr>
        <w:t xml:space="preserve"> At paragraph 18.</w:t>
      </w:r>
    </w:p>
  </w:footnote>
  <w:footnote w:id="13">
    <w:p w14:paraId="64C94ED6" w14:textId="4C9563F2" w:rsidR="00E83821" w:rsidRPr="00F759E4" w:rsidRDefault="00E83821" w:rsidP="002C4245">
      <w:pPr>
        <w:pStyle w:val="Heading2"/>
        <w:shd w:val="clear" w:color="auto" w:fill="FFFFFF"/>
        <w:spacing w:before="0" w:beforeAutospacing="0" w:after="0" w:afterAutospacing="0" w:line="360" w:lineRule="auto"/>
        <w:rPr>
          <w:rFonts w:ascii="Arial" w:hAnsi="Arial" w:cs="Arial"/>
          <w:b w:val="0"/>
          <w:bCs w:val="0"/>
          <w:sz w:val="20"/>
          <w:szCs w:val="20"/>
        </w:rPr>
      </w:pPr>
      <w:r w:rsidRPr="00F759E4">
        <w:rPr>
          <w:rStyle w:val="FootnoteReference"/>
          <w:rFonts w:ascii="Arial" w:hAnsi="Arial" w:cs="Arial"/>
          <w:b w:val="0"/>
          <w:bCs w:val="0"/>
          <w:sz w:val="20"/>
          <w:szCs w:val="20"/>
        </w:rPr>
        <w:footnoteRef/>
      </w:r>
      <w:r w:rsidRPr="00F759E4">
        <w:rPr>
          <w:rFonts w:ascii="Arial" w:hAnsi="Arial" w:cs="Arial"/>
          <w:b w:val="0"/>
          <w:bCs w:val="0"/>
          <w:sz w:val="20"/>
          <w:szCs w:val="20"/>
        </w:rPr>
        <w:t xml:space="preserve"> [2018] 2 All SA 644 (SCA)</w:t>
      </w:r>
      <w:r w:rsidR="007E617D" w:rsidRPr="00F759E4">
        <w:rPr>
          <w:rFonts w:ascii="Arial" w:hAnsi="Arial" w:cs="Arial"/>
          <w:b w:val="0"/>
          <w:bCs w:val="0"/>
          <w:sz w:val="20"/>
          <w:szCs w:val="20"/>
        </w:rPr>
        <w:t xml:space="preserve"> at para 50.</w:t>
      </w:r>
    </w:p>
  </w:footnote>
  <w:footnote w:id="14">
    <w:p w14:paraId="5A149D84" w14:textId="1CE06197" w:rsidR="002C4245" w:rsidRPr="00F759E4" w:rsidRDefault="002C4245" w:rsidP="002C4245">
      <w:pPr>
        <w:pStyle w:val="FootnoteText"/>
        <w:spacing w:line="360" w:lineRule="auto"/>
        <w:rPr>
          <w:rFonts w:ascii="Arial" w:hAnsi="Arial" w:cs="Arial"/>
        </w:rPr>
      </w:pPr>
      <w:r w:rsidRPr="00F759E4">
        <w:rPr>
          <w:rStyle w:val="FootnoteReference"/>
          <w:rFonts w:ascii="Arial" w:hAnsi="Arial" w:cs="Arial"/>
        </w:rPr>
        <w:footnoteRef/>
      </w:r>
      <w:r w:rsidRPr="00F759E4">
        <w:rPr>
          <w:rFonts w:ascii="Arial" w:hAnsi="Arial" w:cs="Arial"/>
        </w:rPr>
        <w:t xml:space="preserve"> And to which I am bound.</w:t>
      </w:r>
    </w:p>
  </w:footnote>
  <w:footnote w:id="15">
    <w:p w14:paraId="78217C48" w14:textId="6E5DC335" w:rsidR="009E4B0E" w:rsidRPr="00F759E4" w:rsidRDefault="009E4B0E" w:rsidP="00F759E4">
      <w:pPr>
        <w:pStyle w:val="FootnoteText"/>
        <w:spacing w:line="360" w:lineRule="auto"/>
        <w:rPr>
          <w:rFonts w:ascii="Arial" w:hAnsi="Arial" w:cs="Arial"/>
        </w:rPr>
      </w:pPr>
      <w:r w:rsidRPr="00F759E4">
        <w:rPr>
          <w:rStyle w:val="FootnoteReference"/>
          <w:rFonts w:ascii="Arial" w:hAnsi="Arial" w:cs="Arial"/>
        </w:rPr>
        <w:footnoteRef/>
      </w:r>
      <w:r w:rsidRPr="00F759E4">
        <w:rPr>
          <w:rFonts w:ascii="Arial" w:hAnsi="Arial" w:cs="Arial"/>
        </w:rPr>
        <w:t xml:space="preserve"> ZACC 42; 2014 (1) SA 604 (CC) at para 22.</w:t>
      </w:r>
    </w:p>
  </w:footnote>
  <w:footnote w:id="16">
    <w:p w14:paraId="553976C9" w14:textId="3CF08EEF" w:rsidR="009E4B0E" w:rsidRPr="00F759E4" w:rsidRDefault="009E4B0E" w:rsidP="00F759E4">
      <w:pPr>
        <w:pStyle w:val="FootnoteText"/>
        <w:spacing w:line="360" w:lineRule="auto"/>
        <w:rPr>
          <w:rFonts w:ascii="Arial" w:hAnsi="Arial" w:cs="Arial"/>
        </w:rPr>
      </w:pPr>
      <w:r w:rsidRPr="00F759E4">
        <w:rPr>
          <w:rStyle w:val="FootnoteReference"/>
          <w:rFonts w:ascii="Arial" w:hAnsi="Arial" w:cs="Arial"/>
        </w:rPr>
        <w:footnoteRef/>
      </w:r>
      <w:r w:rsidRPr="00F759E4">
        <w:rPr>
          <w:rFonts w:ascii="Arial" w:hAnsi="Arial" w:cs="Arial"/>
        </w:rPr>
        <w:t xml:space="preserve"> </w:t>
      </w:r>
      <w:r w:rsidR="006361F5">
        <w:rPr>
          <w:rFonts w:ascii="Arial" w:hAnsi="Arial" w:cs="Arial"/>
        </w:rPr>
        <w:t>In this regard, s</w:t>
      </w:r>
      <w:r w:rsidR="00A07189">
        <w:rPr>
          <w:rFonts w:ascii="Arial" w:hAnsi="Arial" w:cs="Arial"/>
        </w:rPr>
        <w:t xml:space="preserve">ee also: </w:t>
      </w:r>
      <w:r w:rsidRPr="00F759E4">
        <w:rPr>
          <w:rFonts w:ascii="Arial" w:hAnsi="Arial" w:cs="Arial"/>
          <w:i/>
          <w:iCs/>
        </w:rPr>
        <w:t xml:space="preserve">WDR Earthmoving Enterprises and Another v Joe Gqabi District Municipality and Others </w:t>
      </w:r>
      <w:r w:rsidRPr="00F759E4">
        <w:rPr>
          <w:rFonts w:ascii="Arial" w:hAnsi="Arial" w:cs="Arial"/>
        </w:rPr>
        <w:t>(392/2017) [2018] ZASCA 72 (30 May 2018) at para 40.</w:t>
      </w:r>
    </w:p>
  </w:footnote>
  <w:footnote w:id="17">
    <w:p w14:paraId="6E51A1A7" w14:textId="1E16AE3C" w:rsidR="00D40B5A" w:rsidRPr="00D40B5A" w:rsidRDefault="00D40B5A" w:rsidP="00D40B5A">
      <w:pPr>
        <w:pStyle w:val="FootnoteText"/>
      </w:pPr>
      <w:r>
        <w:rPr>
          <w:rStyle w:val="FootnoteReference"/>
        </w:rPr>
        <w:footnoteRef/>
      </w:r>
      <w:r>
        <w:t xml:space="preserve"> </w:t>
      </w:r>
      <w:r w:rsidRPr="00D40B5A">
        <w:rPr>
          <w:rFonts w:ascii="Arial" w:hAnsi="Arial" w:cs="Arial"/>
        </w:rPr>
        <w:t>[2002] 2 All SA 482 (A) (14 March 2002)</w:t>
      </w:r>
      <w:r w:rsidR="00F759E4">
        <w:rPr>
          <w:rFonts w:ascii="Arial" w:hAnsi="Arial" w:cs="Arial"/>
        </w:rPr>
        <w:t>.</w:t>
      </w:r>
    </w:p>
    <w:p w14:paraId="367B2DBF" w14:textId="77777777" w:rsidR="00D40B5A" w:rsidRDefault="00D40B5A">
      <w:pPr>
        <w:pStyle w:val="FootnoteText"/>
      </w:pPr>
    </w:p>
  </w:footnote>
  <w:footnote w:id="18">
    <w:p w14:paraId="54799D04" w14:textId="6E94089F" w:rsidR="0040610F" w:rsidRPr="00B54532" w:rsidRDefault="0040610F" w:rsidP="00B54532">
      <w:pPr>
        <w:pStyle w:val="FootnoteText"/>
        <w:spacing w:line="360" w:lineRule="auto"/>
        <w:rPr>
          <w:rFonts w:ascii="Arial" w:hAnsi="Arial" w:cs="Arial"/>
        </w:rPr>
      </w:pPr>
      <w:r w:rsidRPr="00B54532">
        <w:rPr>
          <w:rStyle w:val="FootnoteReference"/>
          <w:rFonts w:ascii="Arial" w:hAnsi="Arial" w:cs="Arial"/>
        </w:rPr>
        <w:footnoteRef/>
      </w:r>
      <w:r w:rsidRPr="00B54532">
        <w:rPr>
          <w:rFonts w:ascii="Arial" w:hAnsi="Arial" w:cs="Arial"/>
        </w:rPr>
        <w:t xml:space="preserve"> (Eastern Cape Division, Grahamstown) Case No. 3782/2021.</w:t>
      </w:r>
    </w:p>
  </w:footnote>
  <w:footnote w:id="19">
    <w:p w14:paraId="78465289" w14:textId="2D1C18F7" w:rsidR="00BF2D45" w:rsidRPr="00B54532" w:rsidRDefault="00BF2D45" w:rsidP="00B54532">
      <w:pPr>
        <w:pStyle w:val="FootnoteText"/>
        <w:spacing w:line="360" w:lineRule="auto"/>
        <w:rPr>
          <w:rFonts w:ascii="Arial" w:hAnsi="Arial" w:cs="Arial"/>
        </w:rPr>
      </w:pPr>
      <w:r w:rsidRPr="00B54532">
        <w:rPr>
          <w:rStyle w:val="FootnoteReference"/>
          <w:rFonts w:ascii="Arial" w:hAnsi="Arial" w:cs="Arial"/>
        </w:rPr>
        <w:footnoteRef/>
      </w:r>
      <w:r w:rsidRPr="00B54532">
        <w:rPr>
          <w:rFonts w:ascii="Arial" w:hAnsi="Arial" w:cs="Arial"/>
        </w:rPr>
        <w:t xml:space="preserve"> </w:t>
      </w:r>
      <w:r w:rsidRPr="00B54532">
        <w:rPr>
          <w:rFonts w:ascii="Arial" w:hAnsi="Arial" w:cs="Arial"/>
          <w:i/>
          <w:iCs/>
        </w:rPr>
        <w:t xml:space="preserve">Allpay Consolidated Investment Holdings (Pty) Ltd and Others v Chief Executive Officer of the South African Social Security Agency and Others </w:t>
      </w:r>
      <w:r w:rsidRPr="00B54532">
        <w:rPr>
          <w:rFonts w:ascii="Arial" w:hAnsi="Arial" w:cs="Arial"/>
        </w:rPr>
        <w:t>ZACC 42; 2014 (1) SA 604 (CC) at para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rPr>
        <w:sz w:val="20"/>
        <w:szCs w:val="20"/>
      </w:rPr>
    </w:sdtEndPr>
    <w:sdtContent>
      <w:p w14:paraId="2E16A4CE" w14:textId="4B8FD321" w:rsidR="00097395" w:rsidRPr="00097395" w:rsidRDefault="000E77B7">
        <w:pPr>
          <w:pStyle w:val="Header"/>
          <w:jc w:val="center"/>
        </w:pPr>
        <w:r w:rsidRPr="0006033E">
          <w:rPr>
            <w:sz w:val="20"/>
            <w:szCs w:val="20"/>
          </w:rPr>
          <w:t xml:space="preserve">Page </w:t>
        </w:r>
        <w:r w:rsidRPr="0006033E">
          <w:rPr>
            <w:sz w:val="20"/>
            <w:szCs w:val="20"/>
          </w:rPr>
          <w:fldChar w:fldCharType="begin"/>
        </w:r>
        <w:r w:rsidRPr="0006033E">
          <w:rPr>
            <w:sz w:val="20"/>
            <w:szCs w:val="20"/>
          </w:rPr>
          <w:instrText xml:space="preserve"> PAGE </w:instrText>
        </w:r>
        <w:r w:rsidRPr="0006033E">
          <w:rPr>
            <w:sz w:val="20"/>
            <w:szCs w:val="20"/>
          </w:rPr>
          <w:fldChar w:fldCharType="separate"/>
        </w:r>
        <w:r w:rsidR="00E735C5">
          <w:rPr>
            <w:noProof/>
            <w:sz w:val="20"/>
            <w:szCs w:val="20"/>
          </w:rPr>
          <w:t>2</w:t>
        </w:r>
        <w:r w:rsidRPr="0006033E">
          <w:rPr>
            <w:sz w:val="20"/>
            <w:szCs w:val="20"/>
          </w:rPr>
          <w:fldChar w:fldCharType="end"/>
        </w:r>
        <w:r w:rsidRPr="0006033E">
          <w:rPr>
            <w:sz w:val="20"/>
            <w:szCs w:val="20"/>
          </w:rPr>
          <w:t xml:space="preserve"> of </w:t>
        </w:r>
        <w:r w:rsidRPr="0006033E">
          <w:rPr>
            <w:sz w:val="20"/>
            <w:szCs w:val="20"/>
          </w:rPr>
          <w:fldChar w:fldCharType="begin"/>
        </w:r>
        <w:r w:rsidRPr="0006033E">
          <w:rPr>
            <w:sz w:val="20"/>
            <w:szCs w:val="20"/>
          </w:rPr>
          <w:instrText xml:space="preserve"> NUMPAGES  </w:instrText>
        </w:r>
        <w:r w:rsidRPr="0006033E">
          <w:rPr>
            <w:sz w:val="20"/>
            <w:szCs w:val="20"/>
          </w:rPr>
          <w:fldChar w:fldCharType="separate"/>
        </w:r>
        <w:r w:rsidR="00E735C5">
          <w:rPr>
            <w:noProof/>
            <w:sz w:val="20"/>
            <w:szCs w:val="20"/>
          </w:rPr>
          <w:t>18</w:t>
        </w:r>
        <w:r w:rsidRPr="0006033E">
          <w:rPr>
            <w:sz w:val="20"/>
            <w:szCs w:val="20"/>
          </w:rPr>
          <w:fldChar w:fldCharType="end"/>
        </w:r>
      </w:p>
    </w:sdtContent>
  </w:sdt>
  <w:p w14:paraId="35BD3BBE" w14:textId="77777777" w:rsidR="00097395" w:rsidRDefault="00292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556D"/>
    <w:multiLevelType w:val="hybridMultilevel"/>
    <w:tmpl w:val="2084EA1A"/>
    <w:lvl w:ilvl="0" w:tplc="7FF8AE2E">
      <w:start w:val="2"/>
      <w:numFmt w:val="decimal"/>
      <w:lvlText w:val="%1."/>
      <w:lvlJc w:val="left"/>
      <w:pPr>
        <w:ind w:left="1211" w:hanging="360"/>
      </w:pPr>
      <w:rPr>
        <w:rFonts w:hint="default"/>
        <w:i/>
        <w:iCs/>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18407C4A"/>
    <w:multiLevelType w:val="hybridMultilevel"/>
    <w:tmpl w:val="94FA9DB6"/>
    <w:lvl w:ilvl="0" w:tplc="BBD20722">
      <w:start w:val="1"/>
      <w:numFmt w:val="decimal"/>
      <w:lvlText w:val="%1."/>
      <w:lvlJc w:val="left"/>
      <w:pPr>
        <w:ind w:left="1211" w:hanging="360"/>
      </w:pPr>
      <w:rPr>
        <w:rFonts w:ascii="Arial" w:hAnsi="Arial" w:cs="Arial" w:hint="default"/>
        <w:sz w:val="20"/>
        <w:szCs w:val="2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1D296E2D"/>
    <w:multiLevelType w:val="multilevel"/>
    <w:tmpl w:val="1876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42C5F"/>
    <w:multiLevelType w:val="multilevel"/>
    <w:tmpl w:val="C39A9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5E53B6"/>
    <w:multiLevelType w:val="hybridMultilevel"/>
    <w:tmpl w:val="81229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52D2FFE"/>
    <w:multiLevelType w:val="singleLevel"/>
    <w:tmpl w:val="6736E2E0"/>
    <w:lvl w:ilvl="0">
      <w:start w:val="1"/>
      <w:numFmt w:val="decimal"/>
      <w:lvlText w:val="[%1]"/>
      <w:lvlJc w:val="left"/>
      <w:pPr>
        <w:ind w:left="360" w:hanging="360"/>
      </w:pPr>
      <w:rPr>
        <w:rFonts w:hint="default"/>
        <w:sz w:val="24"/>
      </w:rPr>
    </w:lvl>
  </w:abstractNum>
  <w:abstractNum w:abstractNumId="7">
    <w:nsid w:val="61DD2D76"/>
    <w:multiLevelType w:val="multilevel"/>
    <w:tmpl w:val="A9AE2AA8"/>
    <w:lvl w:ilvl="0">
      <w:start w:val="24"/>
      <w:numFmt w:val="decimal"/>
      <w:lvlText w:val="%1"/>
      <w:lvlJc w:val="left"/>
      <w:pPr>
        <w:ind w:left="420" w:hanging="420"/>
      </w:pPr>
      <w:rPr>
        <w:rFonts w:hint="default"/>
      </w:rPr>
    </w:lvl>
    <w:lvl w:ilvl="1">
      <w:start w:val="2"/>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1"/>
  </w:num>
  <w:num w:numId="3">
    <w:abstractNumId w:val="7"/>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6E"/>
    <w:rsid w:val="000167BC"/>
    <w:rsid w:val="00021FF5"/>
    <w:rsid w:val="00043E7E"/>
    <w:rsid w:val="00066D80"/>
    <w:rsid w:val="00091635"/>
    <w:rsid w:val="00094364"/>
    <w:rsid w:val="000C0901"/>
    <w:rsid w:val="000C0D17"/>
    <w:rsid w:val="000C56E4"/>
    <w:rsid w:val="000E306E"/>
    <w:rsid w:val="000E77B7"/>
    <w:rsid w:val="000F2F63"/>
    <w:rsid w:val="00102829"/>
    <w:rsid w:val="001205F9"/>
    <w:rsid w:val="00130DDB"/>
    <w:rsid w:val="001326BE"/>
    <w:rsid w:val="00162753"/>
    <w:rsid w:val="00166BAF"/>
    <w:rsid w:val="001725F5"/>
    <w:rsid w:val="0017412B"/>
    <w:rsid w:val="00177400"/>
    <w:rsid w:val="001829C4"/>
    <w:rsid w:val="00197286"/>
    <w:rsid w:val="001C0F03"/>
    <w:rsid w:val="001C74FA"/>
    <w:rsid w:val="001F57C5"/>
    <w:rsid w:val="001F6136"/>
    <w:rsid w:val="002014B2"/>
    <w:rsid w:val="00205C18"/>
    <w:rsid w:val="0020706B"/>
    <w:rsid w:val="00222B18"/>
    <w:rsid w:val="002259BD"/>
    <w:rsid w:val="002450F7"/>
    <w:rsid w:val="00245106"/>
    <w:rsid w:val="00252993"/>
    <w:rsid w:val="002555CC"/>
    <w:rsid w:val="0026438E"/>
    <w:rsid w:val="00274466"/>
    <w:rsid w:val="00274AC3"/>
    <w:rsid w:val="00292E6C"/>
    <w:rsid w:val="00297B4A"/>
    <w:rsid w:val="002B39FF"/>
    <w:rsid w:val="002B4922"/>
    <w:rsid w:val="002C4245"/>
    <w:rsid w:val="002D0670"/>
    <w:rsid w:val="002D60C7"/>
    <w:rsid w:val="002F5B4D"/>
    <w:rsid w:val="002F6DC1"/>
    <w:rsid w:val="002F7754"/>
    <w:rsid w:val="00316FBF"/>
    <w:rsid w:val="00320B5F"/>
    <w:rsid w:val="003219B3"/>
    <w:rsid w:val="00336412"/>
    <w:rsid w:val="003627FC"/>
    <w:rsid w:val="003763EC"/>
    <w:rsid w:val="0038666C"/>
    <w:rsid w:val="003A7232"/>
    <w:rsid w:val="003C6842"/>
    <w:rsid w:val="003C69EA"/>
    <w:rsid w:val="003E751D"/>
    <w:rsid w:val="003F1CE5"/>
    <w:rsid w:val="00400676"/>
    <w:rsid w:val="00403C11"/>
    <w:rsid w:val="0040610F"/>
    <w:rsid w:val="00406826"/>
    <w:rsid w:val="00407003"/>
    <w:rsid w:val="00420068"/>
    <w:rsid w:val="00423DBD"/>
    <w:rsid w:val="0044107A"/>
    <w:rsid w:val="00451FEA"/>
    <w:rsid w:val="00473127"/>
    <w:rsid w:val="00477060"/>
    <w:rsid w:val="00477FE2"/>
    <w:rsid w:val="004908F8"/>
    <w:rsid w:val="004912EE"/>
    <w:rsid w:val="004A0AA8"/>
    <w:rsid w:val="004B56E1"/>
    <w:rsid w:val="004C688B"/>
    <w:rsid w:val="004C7436"/>
    <w:rsid w:val="00501AC3"/>
    <w:rsid w:val="0050273B"/>
    <w:rsid w:val="0050703E"/>
    <w:rsid w:val="005153CD"/>
    <w:rsid w:val="005366EF"/>
    <w:rsid w:val="00543CE8"/>
    <w:rsid w:val="005517A1"/>
    <w:rsid w:val="00553F3E"/>
    <w:rsid w:val="00574172"/>
    <w:rsid w:val="00581AA8"/>
    <w:rsid w:val="00591F07"/>
    <w:rsid w:val="00593042"/>
    <w:rsid w:val="005962B3"/>
    <w:rsid w:val="00597F2F"/>
    <w:rsid w:val="005A21F4"/>
    <w:rsid w:val="005C24FF"/>
    <w:rsid w:val="005E1C34"/>
    <w:rsid w:val="005E3B72"/>
    <w:rsid w:val="005E63EA"/>
    <w:rsid w:val="005E6790"/>
    <w:rsid w:val="005F3E37"/>
    <w:rsid w:val="00626A23"/>
    <w:rsid w:val="00631512"/>
    <w:rsid w:val="006361F5"/>
    <w:rsid w:val="0067200F"/>
    <w:rsid w:val="006875AF"/>
    <w:rsid w:val="00694790"/>
    <w:rsid w:val="00696FC6"/>
    <w:rsid w:val="006A57B5"/>
    <w:rsid w:val="006E5E2A"/>
    <w:rsid w:val="00702B91"/>
    <w:rsid w:val="00711A16"/>
    <w:rsid w:val="0071478F"/>
    <w:rsid w:val="00724341"/>
    <w:rsid w:val="00726121"/>
    <w:rsid w:val="00733C33"/>
    <w:rsid w:val="00754349"/>
    <w:rsid w:val="00756C0E"/>
    <w:rsid w:val="00787F0F"/>
    <w:rsid w:val="0079410D"/>
    <w:rsid w:val="0079422B"/>
    <w:rsid w:val="007A77BD"/>
    <w:rsid w:val="007B0886"/>
    <w:rsid w:val="007B0E05"/>
    <w:rsid w:val="007D6759"/>
    <w:rsid w:val="007E617D"/>
    <w:rsid w:val="00810F5E"/>
    <w:rsid w:val="00815AF8"/>
    <w:rsid w:val="00826A21"/>
    <w:rsid w:val="008279ED"/>
    <w:rsid w:val="008312CD"/>
    <w:rsid w:val="00833969"/>
    <w:rsid w:val="00842FFF"/>
    <w:rsid w:val="0085014E"/>
    <w:rsid w:val="00873CA4"/>
    <w:rsid w:val="00882E30"/>
    <w:rsid w:val="008921BF"/>
    <w:rsid w:val="008A46CE"/>
    <w:rsid w:val="008C0FD0"/>
    <w:rsid w:val="008E5AD2"/>
    <w:rsid w:val="008E66F7"/>
    <w:rsid w:val="008F31F2"/>
    <w:rsid w:val="008F39A7"/>
    <w:rsid w:val="00902D4E"/>
    <w:rsid w:val="00913421"/>
    <w:rsid w:val="00926363"/>
    <w:rsid w:val="00941736"/>
    <w:rsid w:val="0095071C"/>
    <w:rsid w:val="00963AC9"/>
    <w:rsid w:val="00990245"/>
    <w:rsid w:val="009A269C"/>
    <w:rsid w:val="009C7681"/>
    <w:rsid w:val="009D7C65"/>
    <w:rsid w:val="009E269E"/>
    <w:rsid w:val="009E4B0E"/>
    <w:rsid w:val="009F41A8"/>
    <w:rsid w:val="00A07189"/>
    <w:rsid w:val="00A115F6"/>
    <w:rsid w:val="00A1450C"/>
    <w:rsid w:val="00A152BC"/>
    <w:rsid w:val="00A61684"/>
    <w:rsid w:val="00A72D1E"/>
    <w:rsid w:val="00A7778E"/>
    <w:rsid w:val="00A92AA0"/>
    <w:rsid w:val="00A930DC"/>
    <w:rsid w:val="00A96376"/>
    <w:rsid w:val="00AB1E0C"/>
    <w:rsid w:val="00AB1F02"/>
    <w:rsid w:val="00AC07AD"/>
    <w:rsid w:val="00AC3F64"/>
    <w:rsid w:val="00AC4582"/>
    <w:rsid w:val="00AD13EC"/>
    <w:rsid w:val="00AD2985"/>
    <w:rsid w:val="00AE070D"/>
    <w:rsid w:val="00AF1393"/>
    <w:rsid w:val="00B11176"/>
    <w:rsid w:val="00B51340"/>
    <w:rsid w:val="00B517D0"/>
    <w:rsid w:val="00B53C35"/>
    <w:rsid w:val="00B54532"/>
    <w:rsid w:val="00BB69A0"/>
    <w:rsid w:val="00BD1085"/>
    <w:rsid w:val="00BD5E0C"/>
    <w:rsid w:val="00BF2D45"/>
    <w:rsid w:val="00BF599F"/>
    <w:rsid w:val="00C36575"/>
    <w:rsid w:val="00C37162"/>
    <w:rsid w:val="00C6307B"/>
    <w:rsid w:val="00C84B46"/>
    <w:rsid w:val="00C91E38"/>
    <w:rsid w:val="00CB531E"/>
    <w:rsid w:val="00CF3598"/>
    <w:rsid w:val="00CF3C34"/>
    <w:rsid w:val="00CF7A9B"/>
    <w:rsid w:val="00D01D93"/>
    <w:rsid w:val="00D03880"/>
    <w:rsid w:val="00D04DC3"/>
    <w:rsid w:val="00D11476"/>
    <w:rsid w:val="00D132BA"/>
    <w:rsid w:val="00D17BCA"/>
    <w:rsid w:val="00D2079E"/>
    <w:rsid w:val="00D23A60"/>
    <w:rsid w:val="00D24FCF"/>
    <w:rsid w:val="00D373BF"/>
    <w:rsid w:val="00D40B5A"/>
    <w:rsid w:val="00D41287"/>
    <w:rsid w:val="00D56AF9"/>
    <w:rsid w:val="00D774AB"/>
    <w:rsid w:val="00D81025"/>
    <w:rsid w:val="00D94790"/>
    <w:rsid w:val="00DA4C6E"/>
    <w:rsid w:val="00DB48D1"/>
    <w:rsid w:val="00DC7DAB"/>
    <w:rsid w:val="00DD2C17"/>
    <w:rsid w:val="00DD7E21"/>
    <w:rsid w:val="00DE522E"/>
    <w:rsid w:val="00DF6F61"/>
    <w:rsid w:val="00E03E92"/>
    <w:rsid w:val="00E14CAB"/>
    <w:rsid w:val="00E16DB7"/>
    <w:rsid w:val="00E178FD"/>
    <w:rsid w:val="00E20F81"/>
    <w:rsid w:val="00E31798"/>
    <w:rsid w:val="00E60E10"/>
    <w:rsid w:val="00E65CB7"/>
    <w:rsid w:val="00E735C5"/>
    <w:rsid w:val="00E83821"/>
    <w:rsid w:val="00EA3D9C"/>
    <w:rsid w:val="00EA6D21"/>
    <w:rsid w:val="00EB71D4"/>
    <w:rsid w:val="00EE162E"/>
    <w:rsid w:val="00EF45BA"/>
    <w:rsid w:val="00F0201F"/>
    <w:rsid w:val="00F258AD"/>
    <w:rsid w:val="00F32BD0"/>
    <w:rsid w:val="00F34ED3"/>
    <w:rsid w:val="00F41BAA"/>
    <w:rsid w:val="00F44CE7"/>
    <w:rsid w:val="00F533E9"/>
    <w:rsid w:val="00F61E5F"/>
    <w:rsid w:val="00F759E4"/>
    <w:rsid w:val="00F923A5"/>
    <w:rsid w:val="00FB185F"/>
    <w:rsid w:val="00FB240A"/>
    <w:rsid w:val="00FC0AFC"/>
    <w:rsid w:val="00FD53F0"/>
    <w:rsid w:val="00FD55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9528"/>
  <w15:chartTrackingRefBased/>
  <w15:docId w15:val="{8FF8BC7F-3B1F-414F-B0C5-4B8A3DC1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06E"/>
  </w:style>
  <w:style w:type="paragraph" w:styleId="Heading2">
    <w:name w:val="heading 2"/>
    <w:basedOn w:val="Normal"/>
    <w:link w:val="Heading2Char"/>
    <w:uiPriority w:val="9"/>
    <w:qFormat/>
    <w:rsid w:val="00787F0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306E"/>
    <w:pPr>
      <w:ind w:left="720"/>
      <w:contextualSpacing/>
    </w:pPr>
  </w:style>
  <w:style w:type="character" w:customStyle="1" w:styleId="ListParagraphChar">
    <w:name w:val="List Paragraph Char"/>
    <w:link w:val="ListParagraph"/>
    <w:uiPriority w:val="34"/>
    <w:rsid w:val="000E306E"/>
  </w:style>
  <w:style w:type="paragraph" w:styleId="FootnoteText">
    <w:name w:val="footnote text"/>
    <w:basedOn w:val="Normal"/>
    <w:link w:val="FootnoteTextChar"/>
    <w:uiPriority w:val="99"/>
    <w:unhideWhenUsed/>
    <w:rsid w:val="000E306E"/>
    <w:pPr>
      <w:spacing w:after="0" w:line="240" w:lineRule="auto"/>
    </w:pPr>
    <w:rPr>
      <w:sz w:val="20"/>
      <w:szCs w:val="20"/>
    </w:rPr>
  </w:style>
  <w:style w:type="character" w:customStyle="1" w:styleId="FootnoteTextChar">
    <w:name w:val="Footnote Text Char"/>
    <w:basedOn w:val="DefaultParagraphFont"/>
    <w:link w:val="FootnoteText"/>
    <w:uiPriority w:val="99"/>
    <w:rsid w:val="000E306E"/>
    <w:rPr>
      <w:sz w:val="20"/>
      <w:szCs w:val="20"/>
    </w:rPr>
  </w:style>
  <w:style w:type="character" w:styleId="FootnoteReference">
    <w:name w:val="footnote reference"/>
    <w:basedOn w:val="DefaultParagraphFont"/>
    <w:uiPriority w:val="99"/>
    <w:unhideWhenUsed/>
    <w:rsid w:val="000E306E"/>
    <w:rPr>
      <w:vertAlign w:val="superscript"/>
    </w:rPr>
  </w:style>
  <w:style w:type="character" w:styleId="Hyperlink">
    <w:name w:val="Hyperlink"/>
    <w:basedOn w:val="DefaultParagraphFont"/>
    <w:uiPriority w:val="99"/>
    <w:unhideWhenUsed/>
    <w:rsid w:val="000E306E"/>
    <w:rPr>
      <w:color w:val="0563C1" w:themeColor="hyperlink"/>
      <w:u w:val="single"/>
    </w:rPr>
  </w:style>
  <w:style w:type="paragraph" w:styleId="NormalWeb">
    <w:name w:val="Normal (Web)"/>
    <w:basedOn w:val="Normal"/>
    <w:uiPriority w:val="99"/>
    <w:unhideWhenUsed/>
    <w:rsid w:val="000E306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rsid w:val="000E306E"/>
    <w:pPr>
      <w:tabs>
        <w:tab w:val="center" w:pos="4320"/>
        <w:tab w:val="right" w:pos="8640"/>
      </w:tabs>
      <w:spacing w:after="0" w:line="240" w:lineRule="auto"/>
    </w:pPr>
    <w:rPr>
      <w:rFonts w:ascii="Arial" w:eastAsia="Times New Roman" w:hAnsi="Arial" w:cs="Arial"/>
      <w:spacing w:val="12"/>
      <w:w w:val="104"/>
      <w:sz w:val="24"/>
      <w:szCs w:val="24"/>
      <w:lang w:val="en-GB"/>
    </w:rPr>
  </w:style>
  <w:style w:type="character" w:customStyle="1" w:styleId="HeaderChar">
    <w:name w:val="Header Char"/>
    <w:basedOn w:val="DefaultParagraphFont"/>
    <w:link w:val="Header"/>
    <w:uiPriority w:val="99"/>
    <w:rsid w:val="000E306E"/>
    <w:rPr>
      <w:rFonts w:ascii="Arial" w:eastAsia="Times New Roman" w:hAnsi="Arial" w:cs="Arial"/>
      <w:spacing w:val="12"/>
      <w:w w:val="104"/>
      <w:sz w:val="24"/>
      <w:szCs w:val="24"/>
      <w:lang w:val="en-GB"/>
    </w:rPr>
  </w:style>
  <w:style w:type="paragraph" w:customStyle="1" w:styleId="GW13">
    <w:name w:val="GW1.3"/>
    <w:basedOn w:val="Normal"/>
    <w:rsid w:val="000E306E"/>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table" w:styleId="TableGrid">
    <w:name w:val="Table Grid"/>
    <w:basedOn w:val="TableNormal"/>
    <w:uiPriority w:val="39"/>
    <w:rsid w:val="000E3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W12">
    <w:name w:val="GW1.2"/>
    <w:basedOn w:val="Normal"/>
    <w:rsid w:val="000E306E"/>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western">
    <w:name w:val="western"/>
    <w:basedOn w:val="Normal"/>
    <w:rsid w:val="0047312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787F0F"/>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40">
      <w:bodyDiv w:val="1"/>
      <w:marLeft w:val="0"/>
      <w:marRight w:val="0"/>
      <w:marTop w:val="0"/>
      <w:marBottom w:val="0"/>
      <w:divBdr>
        <w:top w:val="none" w:sz="0" w:space="0" w:color="auto"/>
        <w:left w:val="none" w:sz="0" w:space="0" w:color="auto"/>
        <w:bottom w:val="none" w:sz="0" w:space="0" w:color="auto"/>
        <w:right w:val="none" w:sz="0" w:space="0" w:color="auto"/>
      </w:divBdr>
    </w:div>
    <w:div w:id="829174959">
      <w:bodyDiv w:val="1"/>
      <w:marLeft w:val="0"/>
      <w:marRight w:val="0"/>
      <w:marTop w:val="0"/>
      <w:marBottom w:val="0"/>
      <w:divBdr>
        <w:top w:val="none" w:sz="0" w:space="0" w:color="auto"/>
        <w:left w:val="none" w:sz="0" w:space="0" w:color="auto"/>
        <w:bottom w:val="none" w:sz="0" w:space="0" w:color="auto"/>
        <w:right w:val="none" w:sz="0" w:space="0" w:color="auto"/>
      </w:divBdr>
    </w:div>
    <w:div w:id="912088529">
      <w:bodyDiv w:val="1"/>
      <w:marLeft w:val="0"/>
      <w:marRight w:val="0"/>
      <w:marTop w:val="0"/>
      <w:marBottom w:val="0"/>
      <w:divBdr>
        <w:top w:val="none" w:sz="0" w:space="0" w:color="auto"/>
        <w:left w:val="none" w:sz="0" w:space="0" w:color="auto"/>
        <w:bottom w:val="none" w:sz="0" w:space="0" w:color="auto"/>
        <w:right w:val="none" w:sz="0" w:space="0" w:color="auto"/>
      </w:divBdr>
    </w:div>
    <w:div w:id="991174724">
      <w:bodyDiv w:val="1"/>
      <w:marLeft w:val="0"/>
      <w:marRight w:val="0"/>
      <w:marTop w:val="0"/>
      <w:marBottom w:val="0"/>
      <w:divBdr>
        <w:top w:val="none" w:sz="0" w:space="0" w:color="auto"/>
        <w:left w:val="none" w:sz="0" w:space="0" w:color="auto"/>
        <w:bottom w:val="none" w:sz="0" w:space="0" w:color="auto"/>
        <w:right w:val="none" w:sz="0" w:space="0" w:color="auto"/>
      </w:divBdr>
    </w:div>
    <w:div w:id="1096904564">
      <w:bodyDiv w:val="1"/>
      <w:marLeft w:val="0"/>
      <w:marRight w:val="0"/>
      <w:marTop w:val="0"/>
      <w:marBottom w:val="0"/>
      <w:divBdr>
        <w:top w:val="none" w:sz="0" w:space="0" w:color="auto"/>
        <w:left w:val="none" w:sz="0" w:space="0" w:color="auto"/>
        <w:bottom w:val="none" w:sz="0" w:space="0" w:color="auto"/>
        <w:right w:val="none" w:sz="0" w:space="0" w:color="auto"/>
      </w:divBdr>
    </w:div>
    <w:div w:id="1681931843">
      <w:bodyDiv w:val="1"/>
      <w:marLeft w:val="0"/>
      <w:marRight w:val="0"/>
      <w:marTop w:val="0"/>
      <w:marBottom w:val="0"/>
      <w:divBdr>
        <w:top w:val="none" w:sz="0" w:space="0" w:color="auto"/>
        <w:left w:val="none" w:sz="0" w:space="0" w:color="auto"/>
        <w:bottom w:val="none" w:sz="0" w:space="0" w:color="auto"/>
        <w:right w:val="none" w:sz="0" w:space="0" w:color="auto"/>
      </w:divBdr>
    </w:div>
    <w:div w:id="1810126303">
      <w:bodyDiv w:val="1"/>
      <w:marLeft w:val="0"/>
      <w:marRight w:val="0"/>
      <w:marTop w:val="0"/>
      <w:marBottom w:val="0"/>
      <w:divBdr>
        <w:top w:val="none" w:sz="0" w:space="0" w:color="auto"/>
        <w:left w:val="none" w:sz="0" w:space="0" w:color="auto"/>
        <w:bottom w:val="none" w:sz="0" w:space="0" w:color="auto"/>
        <w:right w:val="none" w:sz="0" w:space="0" w:color="auto"/>
      </w:divBdr>
    </w:div>
    <w:div w:id="1985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flii.org/cgi-bin/LawCite?cit=1996%20%284%29%20SA%201131" TargetMode="External"/><Relationship Id="rId4" Type="http://schemas.openxmlformats.org/officeDocument/2006/relationships/settings" Target="settings.xml"/><Relationship Id="rId9" Type="http://schemas.openxmlformats.org/officeDocument/2006/relationships/hyperlink" Target="http://www.saflii.org/cgi-bin/LawCite?cit=1978%20%282%29%20SA%20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FAE1A-0CEE-431D-BD03-5F046922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Mokone</cp:lastModifiedBy>
  <cp:revision>3</cp:revision>
  <cp:lastPrinted>2023-02-17T10:34:00Z</cp:lastPrinted>
  <dcterms:created xsi:type="dcterms:W3CDTF">2023-03-01T10:40:00Z</dcterms:created>
  <dcterms:modified xsi:type="dcterms:W3CDTF">2023-03-01T10:40:00Z</dcterms:modified>
</cp:coreProperties>
</file>