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CFFE" w14:textId="77777777" w:rsidR="00844242" w:rsidRPr="00951523" w:rsidRDefault="00844242" w:rsidP="00844242">
      <w:pPr>
        <w:ind w:right="95"/>
        <w:jc w:val="center"/>
        <w:rPr>
          <w:rFonts w:ascii="Arial" w:hAnsi="Arial" w:cs="Arial"/>
          <w:b/>
          <w:sz w:val="24"/>
          <w:szCs w:val="24"/>
        </w:rPr>
      </w:pPr>
      <w:r w:rsidRPr="00951523">
        <w:rPr>
          <w:rFonts w:ascii="Arial" w:hAnsi="Arial" w:cs="Arial"/>
          <w:b/>
          <w:noProof/>
          <w:sz w:val="24"/>
          <w:szCs w:val="24"/>
          <w:lang w:val="en-US"/>
        </w:rPr>
        <w:drawing>
          <wp:inline distT="0" distB="0" distL="0" distR="0" wp14:anchorId="3D6FD07C" wp14:editId="059E0230">
            <wp:extent cx="1987550" cy="1652270"/>
            <wp:effectExtent l="0" t="0" r="0" b="508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p>
    <w:p w14:paraId="1D113850" w14:textId="77777777" w:rsidR="00844242" w:rsidRPr="00951523" w:rsidRDefault="00844242" w:rsidP="00844242">
      <w:pPr>
        <w:ind w:right="-613"/>
        <w:rPr>
          <w:rFonts w:ascii="Arial" w:hAnsi="Arial" w:cs="Arial"/>
          <w:b/>
          <w:sz w:val="24"/>
          <w:szCs w:val="24"/>
        </w:rPr>
      </w:pPr>
    </w:p>
    <w:p w14:paraId="38AA246A" w14:textId="5F3A8407" w:rsidR="00844242" w:rsidRPr="002322FF" w:rsidRDefault="00844242" w:rsidP="00844242">
      <w:pPr>
        <w:ind w:right="-613"/>
        <w:rPr>
          <w:rFonts w:ascii="Arial" w:hAnsi="Arial" w:cs="Arial"/>
          <w:b/>
          <w:sz w:val="24"/>
          <w:szCs w:val="24"/>
        </w:rPr>
      </w:pPr>
      <w:r>
        <w:rPr>
          <w:rFonts w:ascii="Arial" w:hAnsi="Arial" w:cs="Arial"/>
          <w:b/>
          <w:sz w:val="24"/>
          <w:szCs w:val="24"/>
        </w:rPr>
        <w:t xml:space="preserve">                                 </w:t>
      </w:r>
      <w:r w:rsidRPr="002322FF">
        <w:rPr>
          <w:rFonts w:ascii="Arial" w:hAnsi="Arial" w:cs="Arial"/>
          <w:b/>
          <w:sz w:val="24"/>
          <w:szCs w:val="24"/>
        </w:rPr>
        <w:t xml:space="preserve">IN THE HIGH COURT OF SOUTH </w:t>
      </w:r>
      <w:r w:rsidR="00FE6F90">
        <w:rPr>
          <w:rFonts w:ascii="Arial" w:hAnsi="Arial" w:cs="Arial"/>
          <w:b/>
          <w:sz w:val="24"/>
          <w:szCs w:val="24"/>
        </w:rPr>
        <w:t>AFRICA</w:t>
      </w:r>
    </w:p>
    <w:p w14:paraId="7243B7B1" w14:textId="2392EE22" w:rsidR="00844242" w:rsidRPr="00951523" w:rsidRDefault="00844242" w:rsidP="00844242">
      <w:pPr>
        <w:spacing w:line="600" w:lineRule="auto"/>
        <w:ind w:right="95"/>
        <w:jc w:val="center"/>
        <w:rPr>
          <w:rFonts w:ascii="Arial" w:hAnsi="Arial" w:cs="Arial"/>
          <w:b/>
          <w:sz w:val="24"/>
          <w:szCs w:val="24"/>
        </w:rPr>
      </w:pPr>
      <w:r w:rsidRPr="00951523">
        <w:rPr>
          <w:rFonts w:ascii="Arial" w:hAnsi="Arial" w:cs="Arial"/>
          <w:b/>
          <w:sz w:val="24"/>
          <w:szCs w:val="24"/>
        </w:rPr>
        <w:t xml:space="preserve">(EASTERN CAPE DIVISION, </w:t>
      </w:r>
      <w:bookmarkStart w:id="0" w:name="_GoBack"/>
      <w:r w:rsidR="0009770D">
        <w:rPr>
          <w:rFonts w:ascii="Arial" w:hAnsi="Arial" w:cs="Arial"/>
          <w:b/>
          <w:sz w:val="24"/>
          <w:szCs w:val="24"/>
        </w:rPr>
        <w:t>MAKHANDA</w:t>
      </w:r>
      <w:bookmarkEnd w:id="0"/>
      <w:r w:rsidRPr="00951523">
        <w:rPr>
          <w:rFonts w:ascii="Arial" w:hAnsi="Arial" w:cs="Arial"/>
          <w:b/>
          <w:sz w:val="24"/>
          <w:szCs w:val="24"/>
        </w:rPr>
        <w:t>)</w:t>
      </w:r>
    </w:p>
    <w:p w14:paraId="2AEB028E" w14:textId="77777777" w:rsidR="00844242" w:rsidRDefault="00844242" w:rsidP="00844242">
      <w:pPr>
        <w:jc w:val="right"/>
        <w:rPr>
          <w:rFonts w:ascii="Arial" w:hAnsi="Arial" w:cs="Arial"/>
          <w:b/>
          <w:sz w:val="24"/>
          <w:szCs w:val="24"/>
        </w:rPr>
      </w:pPr>
    </w:p>
    <w:p w14:paraId="14CDC1CD" w14:textId="76385BA9" w:rsidR="00844242" w:rsidRDefault="00844242" w:rsidP="00844242">
      <w:pPr>
        <w:spacing w:after="0" w:line="360" w:lineRule="auto"/>
        <w:jc w:val="both"/>
        <w:rPr>
          <w:rFonts w:ascii="Arial" w:hAnsi="Arial" w:cs="Arial"/>
          <w:sz w:val="24"/>
          <w:szCs w:val="24"/>
        </w:rPr>
      </w:pPr>
      <w:r w:rsidRPr="002322FF">
        <w:rPr>
          <w:rFonts w:ascii="Arial" w:hAnsi="Arial" w:cs="Arial"/>
          <w:sz w:val="24"/>
          <w:szCs w:val="24"/>
        </w:rPr>
        <w:t>In the matter between:</w:t>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r>
      <w:r w:rsidRPr="002322FF">
        <w:rPr>
          <w:rFonts w:ascii="Arial" w:hAnsi="Arial" w:cs="Arial"/>
          <w:sz w:val="24"/>
          <w:szCs w:val="24"/>
        </w:rPr>
        <w:tab/>
        <w:t xml:space="preserve">             </w:t>
      </w:r>
      <w:r>
        <w:rPr>
          <w:rFonts w:ascii="Arial" w:hAnsi="Arial" w:cs="Arial"/>
          <w:sz w:val="24"/>
          <w:szCs w:val="24"/>
        </w:rPr>
        <w:t xml:space="preserve"> </w:t>
      </w:r>
      <w:r w:rsidRPr="002322FF">
        <w:rPr>
          <w:rFonts w:ascii="Arial" w:hAnsi="Arial" w:cs="Arial"/>
          <w:sz w:val="24"/>
          <w:szCs w:val="24"/>
        </w:rPr>
        <w:t xml:space="preserve">Case No: </w:t>
      </w:r>
      <w:r>
        <w:rPr>
          <w:rFonts w:ascii="Arial" w:hAnsi="Arial" w:cs="Arial"/>
          <w:sz w:val="24"/>
          <w:szCs w:val="24"/>
        </w:rPr>
        <w:t>CA 29/2022</w:t>
      </w:r>
    </w:p>
    <w:p w14:paraId="3490A280" w14:textId="77777777" w:rsidR="00844242" w:rsidRDefault="00844242" w:rsidP="00844242">
      <w:pPr>
        <w:spacing w:after="0" w:line="360" w:lineRule="auto"/>
        <w:jc w:val="both"/>
        <w:rPr>
          <w:rFonts w:ascii="Arial" w:hAnsi="Arial" w:cs="Arial"/>
          <w:b/>
          <w:bCs/>
          <w:sz w:val="24"/>
          <w:szCs w:val="24"/>
        </w:rPr>
      </w:pPr>
    </w:p>
    <w:p w14:paraId="2BB6D7DA" w14:textId="4866C7CB" w:rsidR="00844242" w:rsidRDefault="004A7B19" w:rsidP="00844242">
      <w:pPr>
        <w:spacing w:after="0" w:line="360" w:lineRule="auto"/>
        <w:jc w:val="both"/>
        <w:rPr>
          <w:rFonts w:ascii="Arial" w:hAnsi="Arial" w:cs="Arial"/>
          <w:sz w:val="24"/>
          <w:szCs w:val="24"/>
        </w:rPr>
      </w:pPr>
      <w:r>
        <w:rPr>
          <w:rFonts w:ascii="Arial" w:hAnsi="Arial" w:cs="Arial"/>
          <w:b/>
          <w:bCs/>
          <w:sz w:val="24"/>
          <w:szCs w:val="24"/>
        </w:rPr>
        <w:t>R-B M</w:t>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t xml:space="preserve"> </w:t>
      </w:r>
      <w:r w:rsidR="00844242" w:rsidRPr="002D7419">
        <w:rPr>
          <w:rFonts w:ascii="Arial" w:hAnsi="Arial" w:cs="Arial"/>
          <w:sz w:val="24"/>
          <w:szCs w:val="24"/>
        </w:rPr>
        <w:t>App</w:t>
      </w:r>
      <w:r w:rsidR="00844242">
        <w:rPr>
          <w:rFonts w:ascii="Arial" w:hAnsi="Arial" w:cs="Arial"/>
          <w:sz w:val="24"/>
          <w:szCs w:val="24"/>
        </w:rPr>
        <w:t>ellant</w:t>
      </w:r>
    </w:p>
    <w:p w14:paraId="20838763" w14:textId="77777777" w:rsidR="00844242" w:rsidRDefault="00844242" w:rsidP="00844242">
      <w:pPr>
        <w:spacing w:after="0" w:line="360" w:lineRule="auto"/>
        <w:jc w:val="both"/>
        <w:rPr>
          <w:rFonts w:ascii="Arial" w:hAnsi="Arial" w:cs="Arial"/>
          <w:sz w:val="24"/>
          <w:szCs w:val="24"/>
        </w:rPr>
      </w:pPr>
    </w:p>
    <w:p w14:paraId="70ED957D" w14:textId="77777777" w:rsidR="00844242" w:rsidRDefault="00844242" w:rsidP="00844242">
      <w:pPr>
        <w:spacing w:after="0" w:line="360" w:lineRule="auto"/>
        <w:jc w:val="both"/>
        <w:rPr>
          <w:rFonts w:ascii="Arial" w:hAnsi="Arial" w:cs="Arial"/>
          <w:sz w:val="24"/>
          <w:szCs w:val="24"/>
        </w:rPr>
      </w:pPr>
      <w:r>
        <w:rPr>
          <w:rFonts w:ascii="Arial" w:hAnsi="Arial" w:cs="Arial"/>
          <w:sz w:val="24"/>
          <w:szCs w:val="24"/>
        </w:rPr>
        <w:t>and</w:t>
      </w:r>
    </w:p>
    <w:p w14:paraId="658CC2E9" w14:textId="77777777" w:rsidR="00844242" w:rsidRDefault="00844242" w:rsidP="00844242">
      <w:pPr>
        <w:spacing w:after="0" w:line="360" w:lineRule="auto"/>
        <w:jc w:val="both"/>
        <w:rPr>
          <w:rFonts w:ascii="Arial" w:hAnsi="Arial" w:cs="Arial"/>
          <w:b/>
          <w:bCs/>
          <w:sz w:val="24"/>
          <w:szCs w:val="24"/>
        </w:rPr>
      </w:pPr>
    </w:p>
    <w:p w14:paraId="07E681B3" w14:textId="48E7EBC8" w:rsidR="00844242" w:rsidRDefault="004A7B19" w:rsidP="00844242">
      <w:pPr>
        <w:spacing w:after="0" w:line="360" w:lineRule="auto"/>
        <w:jc w:val="both"/>
        <w:rPr>
          <w:rFonts w:ascii="Arial" w:hAnsi="Arial" w:cs="Arial"/>
          <w:sz w:val="24"/>
          <w:szCs w:val="24"/>
        </w:rPr>
      </w:pPr>
      <w:r>
        <w:rPr>
          <w:rFonts w:ascii="Arial" w:hAnsi="Arial" w:cs="Arial"/>
          <w:b/>
          <w:bCs/>
          <w:sz w:val="24"/>
          <w:szCs w:val="24"/>
        </w:rPr>
        <w:t>M S M</w:t>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r>
      <w:r w:rsidR="00844242">
        <w:rPr>
          <w:rFonts w:ascii="Arial" w:hAnsi="Arial" w:cs="Arial"/>
          <w:b/>
          <w:bCs/>
          <w:sz w:val="24"/>
          <w:szCs w:val="24"/>
        </w:rPr>
        <w:tab/>
        <w:t xml:space="preserve">       </w:t>
      </w:r>
      <w:r w:rsidR="00844242">
        <w:rPr>
          <w:rFonts w:ascii="Arial" w:hAnsi="Arial" w:cs="Arial"/>
          <w:sz w:val="24"/>
          <w:szCs w:val="24"/>
        </w:rPr>
        <w:t>Respondent</w:t>
      </w:r>
    </w:p>
    <w:p w14:paraId="66534D47" w14:textId="77777777" w:rsidR="00844242" w:rsidRPr="00951523" w:rsidRDefault="00844242" w:rsidP="00844242">
      <w:pPr>
        <w:pStyle w:val="GW13"/>
        <w:tabs>
          <w:tab w:val="clear" w:pos="8640"/>
          <w:tab w:val="right" w:pos="9072"/>
        </w:tabs>
        <w:spacing w:line="240" w:lineRule="auto"/>
        <w:ind w:right="-45"/>
        <w:rPr>
          <w:rFonts w:ascii="Arial" w:hAnsi="Arial" w:cs="Arial"/>
          <w:b/>
          <w:szCs w:val="24"/>
        </w:rPr>
      </w:pPr>
      <w:r w:rsidRPr="00951523">
        <w:rPr>
          <w:rFonts w:ascii="Arial" w:hAnsi="Arial" w:cs="Arial"/>
          <w:b/>
          <w:szCs w:val="24"/>
        </w:rPr>
        <w:t>___________________________________________________________________</w:t>
      </w:r>
    </w:p>
    <w:p w14:paraId="24C88625" w14:textId="77777777" w:rsidR="00844242" w:rsidRPr="00951523" w:rsidRDefault="00844242" w:rsidP="00844242">
      <w:pPr>
        <w:pStyle w:val="GW13"/>
        <w:tabs>
          <w:tab w:val="clear" w:pos="8640"/>
        </w:tabs>
        <w:spacing w:line="240" w:lineRule="auto"/>
        <w:ind w:right="-45"/>
        <w:jc w:val="center"/>
        <w:rPr>
          <w:rFonts w:ascii="Arial" w:hAnsi="Arial" w:cs="Arial"/>
          <w:b/>
          <w:szCs w:val="24"/>
        </w:rPr>
      </w:pPr>
    </w:p>
    <w:p w14:paraId="3BCEFBC1" w14:textId="0BCD34D1" w:rsidR="00844242" w:rsidRPr="00951523" w:rsidRDefault="0009770D" w:rsidP="00844242">
      <w:pPr>
        <w:pStyle w:val="GW13"/>
        <w:tabs>
          <w:tab w:val="clear" w:pos="8640"/>
          <w:tab w:val="right" w:pos="9072"/>
        </w:tabs>
        <w:spacing w:line="240" w:lineRule="auto"/>
        <w:ind w:right="-45"/>
        <w:jc w:val="center"/>
        <w:rPr>
          <w:rFonts w:ascii="Arial" w:hAnsi="Arial" w:cs="Arial"/>
          <w:b/>
          <w:szCs w:val="24"/>
        </w:rPr>
      </w:pPr>
      <w:r>
        <w:rPr>
          <w:rFonts w:ascii="Arial" w:hAnsi="Arial" w:cs="Arial"/>
          <w:b/>
          <w:szCs w:val="24"/>
        </w:rPr>
        <w:t xml:space="preserve">APPEAL </w:t>
      </w:r>
      <w:r w:rsidR="00844242" w:rsidRPr="00951523">
        <w:rPr>
          <w:rFonts w:ascii="Arial" w:hAnsi="Arial" w:cs="Arial"/>
          <w:b/>
          <w:szCs w:val="24"/>
        </w:rPr>
        <w:t>JUDGMENT</w:t>
      </w:r>
    </w:p>
    <w:p w14:paraId="0E9CEB71" w14:textId="77777777" w:rsidR="00844242" w:rsidRPr="00951523" w:rsidRDefault="00844242" w:rsidP="00844242">
      <w:pPr>
        <w:pStyle w:val="GW13"/>
        <w:tabs>
          <w:tab w:val="clear" w:pos="8640"/>
          <w:tab w:val="right" w:pos="9072"/>
        </w:tabs>
        <w:spacing w:line="240" w:lineRule="auto"/>
        <w:ind w:right="-45"/>
        <w:jc w:val="center"/>
        <w:rPr>
          <w:rFonts w:ascii="Arial" w:hAnsi="Arial" w:cs="Arial"/>
          <w:b/>
          <w:szCs w:val="24"/>
        </w:rPr>
      </w:pPr>
      <w:r w:rsidRPr="00951523">
        <w:rPr>
          <w:rFonts w:ascii="Arial" w:hAnsi="Arial" w:cs="Arial"/>
          <w:b/>
          <w:szCs w:val="24"/>
        </w:rPr>
        <w:t>___________________________________________________________________</w:t>
      </w:r>
    </w:p>
    <w:p w14:paraId="3500F6BD" w14:textId="77777777" w:rsidR="00844242" w:rsidRPr="00951523" w:rsidRDefault="00844242" w:rsidP="00844242">
      <w:pPr>
        <w:pStyle w:val="GW13"/>
        <w:tabs>
          <w:tab w:val="clear" w:pos="8640"/>
          <w:tab w:val="right" w:pos="9072"/>
        </w:tabs>
        <w:spacing w:line="480" w:lineRule="auto"/>
        <w:ind w:right="-46"/>
        <w:rPr>
          <w:rFonts w:ascii="Arial" w:hAnsi="Arial" w:cs="Arial"/>
          <w:b/>
          <w:szCs w:val="24"/>
        </w:rPr>
      </w:pPr>
    </w:p>
    <w:p w14:paraId="01067C58" w14:textId="77777777" w:rsidR="00844242" w:rsidRPr="00951523" w:rsidRDefault="00844242" w:rsidP="00844242">
      <w:pPr>
        <w:pStyle w:val="GW13"/>
        <w:tabs>
          <w:tab w:val="clear" w:pos="8640"/>
          <w:tab w:val="right" w:pos="9072"/>
        </w:tabs>
        <w:spacing w:line="480" w:lineRule="auto"/>
        <w:ind w:right="-46"/>
        <w:rPr>
          <w:rFonts w:ascii="Arial" w:hAnsi="Arial" w:cs="Arial"/>
          <w:b/>
          <w:szCs w:val="24"/>
          <w:u w:val="single"/>
        </w:rPr>
      </w:pPr>
      <w:r w:rsidRPr="00951523">
        <w:rPr>
          <w:rFonts w:ascii="Arial" w:hAnsi="Arial" w:cs="Arial"/>
          <w:b/>
          <w:szCs w:val="24"/>
          <w:u w:val="single"/>
        </w:rPr>
        <w:t>BANDS AJ:</w:t>
      </w:r>
    </w:p>
    <w:p w14:paraId="70DCDA9D" w14:textId="77777777" w:rsidR="00844242" w:rsidRDefault="00844242" w:rsidP="00844242">
      <w:pPr>
        <w:spacing w:after="0" w:line="480" w:lineRule="auto"/>
        <w:jc w:val="both"/>
        <w:rPr>
          <w:rFonts w:ascii="Arial" w:hAnsi="Arial" w:cs="Arial"/>
          <w:sz w:val="24"/>
          <w:szCs w:val="24"/>
        </w:rPr>
      </w:pPr>
    </w:p>
    <w:p w14:paraId="0A6527E4" w14:textId="3A28109B" w:rsidR="006D523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w:t>
      </w:r>
      <w:r>
        <w:rPr>
          <w:rFonts w:ascii="Arial" w:hAnsi="Arial" w:cs="Arial"/>
        </w:rPr>
        <w:tab/>
      </w:r>
      <w:r w:rsidR="00844242" w:rsidRPr="00A336DE">
        <w:rPr>
          <w:rFonts w:ascii="Arial" w:hAnsi="Arial" w:cs="Arial"/>
        </w:rPr>
        <w:t>Th</w:t>
      </w:r>
      <w:r w:rsidR="00F6459A" w:rsidRPr="00A336DE">
        <w:rPr>
          <w:rFonts w:ascii="Arial" w:hAnsi="Arial" w:cs="Arial"/>
        </w:rPr>
        <w:t>e parties, who had been married for some 28 years, were divorced by order of the Regional Court on 12 November 2021.  This is</w:t>
      </w:r>
      <w:r w:rsidR="006D523A" w:rsidRPr="00A336DE">
        <w:rPr>
          <w:rFonts w:ascii="Arial" w:hAnsi="Arial" w:cs="Arial"/>
        </w:rPr>
        <w:t xml:space="preserve"> an</w:t>
      </w:r>
      <w:r w:rsidR="00F6459A" w:rsidRPr="00A336DE">
        <w:rPr>
          <w:rFonts w:ascii="Arial" w:hAnsi="Arial" w:cs="Arial"/>
        </w:rPr>
        <w:t xml:space="preserve"> appeal against </w:t>
      </w:r>
      <w:r w:rsidR="006D523A" w:rsidRPr="00A336DE">
        <w:rPr>
          <w:rFonts w:ascii="Arial" w:hAnsi="Arial" w:cs="Arial"/>
        </w:rPr>
        <w:t xml:space="preserve">part of </w:t>
      </w:r>
      <w:r w:rsidR="00F6459A" w:rsidRPr="00A336DE">
        <w:rPr>
          <w:rFonts w:ascii="Arial" w:hAnsi="Arial" w:cs="Arial"/>
        </w:rPr>
        <w:t xml:space="preserve">the </w:t>
      </w:r>
      <w:r w:rsidR="00EE0D16" w:rsidRPr="00A336DE">
        <w:rPr>
          <w:rFonts w:ascii="Arial" w:hAnsi="Arial" w:cs="Arial"/>
        </w:rPr>
        <w:t xml:space="preserve">trial </w:t>
      </w:r>
      <w:r w:rsidR="00F6459A" w:rsidRPr="00A336DE">
        <w:rPr>
          <w:rFonts w:ascii="Arial" w:hAnsi="Arial" w:cs="Arial"/>
        </w:rPr>
        <w:t>court</w:t>
      </w:r>
      <w:r w:rsidR="00EE0D16" w:rsidRPr="00A336DE">
        <w:rPr>
          <w:rFonts w:ascii="Arial" w:hAnsi="Arial" w:cs="Arial"/>
        </w:rPr>
        <w:t>’s</w:t>
      </w:r>
      <w:r w:rsidR="00F6459A" w:rsidRPr="00A336DE">
        <w:rPr>
          <w:rFonts w:ascii="Arial" w:hAnsi="Arial" w:cs="Arial"/>
        </w:rPr>
        <w:t xml:space="preserve"> </w:t>
      </w:r>
      <w:r w:rsidR="006D523A" w:rsidRPr="00A336DE">
        <w:rPr>
          <w:rFonts w:ascii="Arial" w:hAnsi="Arial" w:cs="Arial"/>
        </w:rPr>
        <w:t>judgment, and more particularly the court’s refusal to grant an order that the respondent forfeit the patrimonial benefits of the parties’ marriage, in accordance with section 9(1) of the Divorce Act 70 of 1979 (“</w:t>
      </w:r>
      <w:r w:rsidR="006D523A" w:rsidRPr="00A336DE">
        <w:rPr>
          <w:rFonts w:ascii="Arial" w:hAnsi="Arial" w:cs="Arial"/>
          <w:i/>
          <w:iCs/>
        </w:rPr>
        <w:t>the Divorce Act</w:t>
      </w:r>
      <w:r w:rsidR="006D523A" w:rsidRPr="00A336DE">
        <w:rPr>
          <w:rFonts w:ascii="Arial" w:hAnsi="Arial" w:cs="Arial"/>
        </w:rPr>
        <w:t xml:space="preserve">”). </w:t>
      </w:r>
      <w:r w:rsidR="00F6459A" w:rsidRPr="00A336DE">
        <w:rPr>
          <w:rFonts w:ascii="Arial" w:hAnsi="Arial" w:cs="Arial"/>
        </w:rPr>
        <w:t xml:space="preserve">  </w:t>
      </w:r>
    </w:p>
    <w:p w14:paraId="53209F0F" w14:textId="4F98F627" w:rsidR="008929FD" w:rsidRPr="00A336D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A336DE">
        <w:rPr>
          <w:rFonts w:ascii="Arial" w:hAnsi="Arial" w:cs="Arial"/>
        </w:rPr>
        <w:lastRenderedPageBreak/>
        <w:t>[2]</w:t>
      </w:r>
      <w:r w:rsidRPr="00A336DE">
        <w:rPr>
          <w:rFonts w:ascii="Arial" w:hAnsi="Arial" w:cs="Arial"/>
        </w:rPr>
        <w:tab/>
      </w:r>
      <w:r w:rsidR="008929FD" w:rsidRPr="008929FD">
        <w:rPr>
          <w:rFonts w:ascii="Arial" w:hAnsi="Arial" w:cs="Arial"/>
        </w:rPr>
        <w:t>In order to succeed</w:t>
      </w:r>
      <w:r w:rsidR="008929FD">
        <w:rPr>
          <w:rFonts w:ascii="Arial" w:hAnsi="Arial" w:cs="Arial"/>
        </w:rPr>
        <w:t xml:space="preserve"> with her appeal, the appellant must </w:t>
      </w:r>
      <w:r w:rsidR="008929FD" w:rsidRPr="008929FD">
        <w:rPr>
          <w:rFonts w:ascii="Arial" w:hAnsi="Arial" w:cs="Arial"/>
        </w:rPr>
        <w:t xml:space="preserve">establish that </w:t>
      </w:r>
      <w:r w:rsidR="008929FD">
        <w:rPr>
          <w:rFonts w:ascii="Arial" w:hAnsi="Arial" w:cs="Arial"/>
        </w:rPr>
        <w:t>the Magistrate’s</w:t>
      </w:r>
      <w:r w:rsidR="008929FD" w:rsidRPr="008929FD">
        <w:rPr>
          <w:rFonts w:ascii="Arial" w:hAnsi="Arial" w:cs="Arial"/>
        </w:rPr>
        <w:t xml:space="preserve"> judgment is assailable on the basis of error or misdirection.</w:t>
      </w:r>
      <w:r w:rsidR="00401482">
        <w:rPr>
          <w:rFonts w:ascii="Arial" w:hAnsi="Arial" w:cs="Arial"/>
        </w:rPr>
        <w:t xml:space="preserve">  I return to this later.</w:t>
      </w:r>
    </w:p>
    <w:p w14:paraId="74F6958E" w14:textId="77777777" w:rsidR="008929FD" w:rsidRDefault="008929FD" w:rsidP="008929FD">
      <w:pPr>
        <w:pStyle w:val="NormalWeb"/>
        <w:shd w:val="clear" w:color="auto" w:fill="FFFFFF"/>
        <w:spacing w:before="0" w:beforeAutospacing="0" w:after="0" w:afterAutospacing="0" w:line="480" w:lineRule="auto"/>
        <w:ind w:left="851" w:right="259"/>
        <w:jc w:val="both"/>
        <w:rPr>
          <w:rFonts w:ascii="Arial" w:hAnsi="Arial" w:cs="Arial"/>
        </w:rPr>
      </w:pPr>
    </w:p>
    <w:p w14:paraId="3E32F6F3" w14:textId="7FD954D9" w:rsidR="00EE0D16" w:rsidRPr="00A41276"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A41276">
        <w:rPr>
          <w:rFonts w:ascii="Arial" w:hAnsi="Arial" w:cs="Arial"/>
        </w:rPr>
        <w:t>[3]</w:t>
      </w:r>
      <w:r w:rsidRPr="00A41276">
        <w:rPr>
          <w:rFonts w:ascii="Arial" w:hAnsi="Arial" w:cs="Arial"/>
        </w:rPr>
        <w:tab/>
      </w:r>
      <w:r w:rsidR="00F33C6C">
        <w:rPr>
          <w:rFonts w:ascii="Arial" w:hAnsi="Arial" w:cs="Arial"/>
        </w:rPr>
        <w:t xml:space="preserve">The parties were married to one another, in community of property, on 23 May 1993. </w:t>
      </w:r>
      <w:r w:rsidR="00EE0D16">
        <w:rPr>
          <w:rFonts w:ascii="Arial" w:hAnsi="Arial" w:cs="Arial"/>
        </w:rPr>
        <w:t xml:space="preserve"> That the marriage relationship had </w:t>
      </w:r>
      <w:r w:rsidR="00F33C6C">
        <w:rPr>
          <w:rFonts w:ascii="Arial" w:hAnsi="Arial" w:cs="Arial"/>
        </w:rPr>
        <w:t>broken down irretrievably</w:t>
      </w:r>
      <w:r w:rsidR="00EE0D16">
        <w:rPr>
          <w:rFonts w:ascii="Arial" w:hAnsi="Arial" w:cs="Arial"/>
        </w:rPr>
        <w:t xml:space="preserve"> was common cause</w:t>
      </w:r>
      <w:r w:rsidR="00F33C6C">
        <w:rPr>
          <w:rFonts w:ascii="Arial" w:hAnsi="Arial" w:cs="Arial"/>
        </w:rPr>
        <w:t xml:space="preserve">.  The respondent, </w:t>
      </w:r>
      <w:r w:rsidR="005F7349">
        <w:rPr>
          <w:rFonts w:ascii="Arial" w:hAnsi="Arial" w:cs="Arial"/>
        </w:rPr>
        <w:t xml:space="preserve">as plaintiff </w:t>
      </w:r>
      <w:r w:rsidR="00F33C6C">
        <w:rPr>
          <w:rFonts w:ascii="Arial" w:hAnsi="Arial" w:cs="Arial"/>
        </w:rPr>
        <w:t xml:space="preserve">in the divorce action, sought (i) a division of the joint estate; (ii) maintenance </w:t>
      </w:r>
      <w:r w:rsidR="00F33C6C">
        <w:rPr>
          <w:rFonts w:ascii="Arial" w:hAnsi="Arial" w:cs="Arial"/>
          <w:i/>
          <w:iCs/>
        </w:rPr>
        <w:t>for the duration of the divorce action</w:t>
      </w:r>
      <w:r w:rsidR="00F33C6C">
        <w:rPr>
          <w:rFonts w:ascii="Arial" w:hAnsi="Arial" w:cs="Arial"/>
        </w:rPr>
        <w:t>;</w:t>
      </w:r>
      <w:r w:rsidR="00EE0D16">
        <w:rPr>
          <w:rStyle w:val="FootnoteReference"/>
          <w:rFonts w:ascii="Arial" w:hAnsi="Arial" w:cs="Arial"/>
        </w:rPr>
        <w:footnoteReference w:id="1"/>
      </w:r>
      <w:r w:rsidR="00F33C6C">
        <w:rPr>
          <w:rFonts w:ascii="Arial" w:hAnsi="Arial" w:cs="Arial"/>
        </w:rPr>
        <w:t xml:space="preserve"> and (iii) payment of 50%</w:t>
      </w:r>
      <w:r w:rsidR="00F6459A">
        <w:rPr>
          <w:rFonts w:ascii="Arial" w:hAnsi="Arial" w:cs="Arial"/>
        </w:rPr>
        <w:t xml:space="preserve"> </w:t>
      </w:r>
      <w:r w:rsidR="00EE0D16">
        <w:rPr>
          <w:rFonts w:ascii="Arial" w:hAnsi="Arial" w:cs="Arial"/>
        </w:rPr>
        <w:t>of the appellant’s pension interest as at the date of divorce.</w:t>
      </w:r>
      <w:r w:rsidR="00A41276">
        <w:rPr>
          <w:rFonts w:ascii="Arial" w:hAnsi="Arial" w:cs="Arial"/>
        </w:rPr>
        <w:t xml:space="preserve">  </w:t>
      </w:r>
      <w:r w:rsidR="00EE0D16" w:rsidRPr="00A41276">
        <w:rPr>
          <w:rFonts w:ascii="Arial" w:hAnsi="Arial" w:cs="Arial"/>
        </w:rPr>
        <w:t>The appellant</w:t>
      </w:r>
      <w:r w:rsidR="005F7349" w:rsidRPr="00A41276">
        <w:rPr>
          <w:rFonts w:ascii="Arial" w:hAnsi="Arial" w:cs="Arial"/>
        </w:rPr>
        <w:t>, as defendant,</w:t>
      </w:r>
      <w:r w:rsidR="00EE0D16" w:rsidRPr="00A41276">
        <w:rPr>
          <w:rFonts w:ascii="Arial" w:hAnsi="Arial" w:cs="Arial"/>
        </w:rPr>
        <w:t xml:space="preserve"> defended the action and, by way of a claim in reconvention, sought an order that the respondent forfeit the benefits arising from the marriage in community of property.</w:t>
      </w:r>
    </w:p>
    <w:p w14:paraId="2E17B0FE" w14:textId="77777777" w:rsidR="00783D74" w:rsidRDefault="00783D74" w:rsidP="009F35B8">
      <w:pPr>
        <w:pStyle w:val="ListParagraph"/>
        <w:spacing w:after="0" w:line="480" w:lineRule="auto"/>
        <w:rPr>
          <w:rFonts w:ascii="Arial" w:hAnsi="Arial" w:cs="Arial"/>
        </w:rPr>
      </w:pPr>
    </w:p>
    <w:p w14:paraId="41C01016" w14:textId="7018BB60" w:rsidR="005F7349"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[4]</w:t>
      </w:r>
      <w:r>
        <w:rPr>
          <w:rFonts w:ascii="Arial" w:hAnsi="Arial" w:cs="Arial"/>
        </w:rPr>
        <w:tab/>
      </w:r>
      <w:r w:rsidR="00783D74" w:rsidRPr="00783D74">
        <w:rPr>
          <w:rFonts w:ascii="Arial" w:hAnsi="Arial" w:cs="Arial"/>
        </w:rPr>
        <w:t xml:space="preserve">The </w:t>
      </w:r>
      <w:r w:rsidR="00AE54B8">
        <w:rPr>
          <w:rFonts w:ascii="Arial" w:hAnsi="Arial" w:cs="Arial"/>
        </w:rPr>
        <w:t xml:space="preserve">appellant’s pleadings </w:t>
      </w:r>
      <w:r w:rsidR="00783D74" w:rsidRPr="00783D74">
        <w:rPr>
          <w:rFonts w:ascii="Arial" w:hAnsi="Arial" w:cs="Arial"/>
        </w:rPr>
        <w:t xml:space="preserve">were </w:t>
      </w:r>
      <w:r w:rsidR="00AE54B8">
        <w:rPr>
          <w:rFonts w:ascii="Arial" w:hAnsi="Arial" w:cs="Arial"/>
        </w:rPr>
        <w:t>not</w:t>
      </w:r>
      <w:r w:rsidR="00783D74" w:rsidRPr="00783D74">
        <w:rPr>
          <w:rFonts w:ascii="Arial" w:hAnsi="Arial" w:cs="Arial"/>
        </w:rPr>
        <w:t xml:space="preserve"> a model of clarity</w:t>
      </w:r>
      <w:r w:rsidR="00CC4251">
        <w:rPr>
          <w:rFonts w:ascii="Arial" w:hAnsi="Arial" w:cs="Arial"/>
        </w:rPr>
        <w:t xml:space="preserve">, with the issue of forfeiture having been raised obliquely.  Not only did the drafter conflate the factors set out in section 7(2) of the divorce Act with those contained in section 9(1) thereof; but the appellant’s claim for forfeiture </w:t>
      </w:r>
      <w:r w:rsidR="005F7349">
        <w:rPr>
          <w:rFonts w:ascii="Arial" w:hAnsi="Arial" w:cs="Arial"/>
        </w:rPr>
        <w:t xml:space="preserve">was </w:t>
      </w:r>
      <w:r w:rsidR="00CC4251">
        <w:rPr>
          <w:rFonts w:ascii="Arial" w:hAnsi="Arial" w:cs="Arial"/>
        </w:rPr>
        <w:t>misguidedly based on the principle of fairness.</w:t>
      </w:r>
      <w:r w:rsidR="005F7349">
        <w:rPr>
          <w:rFonts w:ascii="Arial" w:hAnsi="Arial" w:cs="Arial"/>
        </w:rPr>
        <w:t xml:space="preserve">  By way of illustration, paragraph 6 of the appellant’s claim in reconvention reads as follows:</w:t>
      </w:r>
    </w:p>
    <w:p w14:paraId="00360592" w14:textId="77777777" w:rsidR="005F7349" w:rsidRDefault="005F7349" w:rsidP="009F35B8">
      <w:pPr>
        <w:pStyle w:val="ListParagraph"/>
        <w:spacing w:after="0" w:line="480" w:lineRule="auto"/>
        <w:rPr>
          <w:rFonts w:ascii="Arial" w:hAnsi="Arial" w:cs="Arial"/>
        </w:rPr>
      </w:pPr>
    </w:p>
    <w:p w14:paraId="5F5EAF27" w14:textId="5588C80B" w:rsidR="005F7349" w:rsidRDefault="005F7349" w:rsidP="00153175">
      <w:pPr>
        <w:pStyle w:val="NormalWeb"/>
        <w:shd w:val="clear" w:color="auto" w:fill="FFFFFF"/>
        <w:spacing w:before="0" w:beforeAutospacing="0" w:after="0" w:afterAutospacing="0" w:line="360" w:lineRule="auto"/>
        <w:ind w:left="851" w:right="261"/>
        <w:jc w:val="both"/>
        <w:rPr>
          <w:rFonts w:ascii="Arial" w:hAnsi="Arial" w:cs="Arial"/>
        </w:rPr>
      </w:pPr>
      <w:r>
        <w:rPr>
          <w:rFonts w:ascii="Arial" w:hAnsi="Arial" w:cs="Arial"/>
        </w:rPr>
        <w:t>“</w:t>
      </w:r>
      <w:r w:rsidRPr="00153175">
        <w:rPr>
          <w:rFonts w:ascii="Arial" w:hAnsi="Arial" w:cs="Arial"/>
          <w:i/>
          <w:iCs/>
          <w:sz w:val="22"/>
          <w:szCs w:val="22"/>
        </w:rPr>
        <w:t>In the absence of an agreement, having regards for (sic) the reasons of the breakdown of the marriage, as pleaded by the Defendant,</w:t>
      </w:r>
      <w:r w:rsidR="00153175" w:rsidRPr="00153175">
        <w:rPr>
          <w:rFonts w:ascii="Arial" w:hAnsi="Arial" w:cs="Arial"/>
          <w:i/>
          <w:iCs/>
          <w:sz w:val="22"/>
          <w:szCs w:val="22"/>
        </w:rPr>
        <w:t xml:space="preserve"> the existing and perspective (sic) means of the parties, </w:t>
      </w:r>
      <w:r w:rsidR="00153175" w:rsidRPr="00153175">
        <w:rPr>
          <w:rFonts w:ascii="Arial" w:hAnsi="Arial" w:cs="Arial"/>
          <w:i/>
          <w:iCs/>
          <w:sz w:val="22"/>
          <w:szCs w:val="22"/>
          <w:lang w:val="en-US"/>
        </w:rPr>
        <w:t xml:space="preserve">their respective earning capacities, their </w:t>
      </w:r>
      <w:r w:rsidR="00153175" w:rsidRPr="00153175">
        <w:rPr>
          <w:rFonts w:ascii="Arial" w:hAnsi="Arial" w:cs="Arial"/>
          <w:i/>
          <w:iCs/>
          <w:sz w:val="22"/>
          <w:szCs w:val="22"/>
          <w:lang w:val="en-US"/>
        </w:rPr>
        <w:lastRenderedPageBreak/>
        <w:t xml:space="preserve">financial needs and obligations, the age of the parties, the duration of the marriage and the standard of living that the parties enjoyed throughout the marriage, it is pleaded that the Plaintiff will be </w:t>
      </w:r>
      <w:r w:rsidR="00153175" w:rsidRPr="00A41276">
        <w:rPr>
          <w:rFonts w:ascii="Arial" w:hAnsi="Arial" w:cs="Arial"/>
          <w:i/>
          <w:iCs/>
          <w:sz w:val="22"/>
          <w:szCs w:val="22"/>
          <w:u w:val="single"/>
          <w:lang w:val="en-US"/>
        </w:rPr>
        <w:t>unfairly advantage</w:t>
      </w:r>
      <w:r w:rsidR="00153175" w:rsidRPr="00153175">
        <w:rPr>
          <w:rFonts w:ascii="Arial" w:hAnsi="Arial" w:cs="Arial"/>
          <w:i/>
          <w:iCs/>
          <w:sz w:val="22"/>
          <w:szCs w:val="22"/>
          <w:lang w:val="en-US"/>
        </w:rPr>
        <w:t xml:space="preserve"> (sic) vis-a-vis the Defendant unless he forfeit </w:t>
      </w:r>
      <w:r w:rsidR="009F35B8">
        <w:rPr>
          <w:rFonts w:ascii="Arial" w:hAnsi="Arial" w:cs="Arial"/>
          <w:i/>
          <w:iCs/>
          <w:sz w:val="22"/>
          <w:szCs w:val="22"/>
          <w:lang w:val="en-US"/>
        </w:rPr>
        <w:t xml:space="preserve">(sic) </w:t>
      </w:r>
      <w:r w:rsidR="00153175" w:rsidRPr="00153175">
        <w:rPr>
          <w:rFonts w:ascii="Arial" w:hAnsi="Arial" w:cs="Arial"/>
          <w:i/>
          <w:iCs/>
          <w:sz w:val="22"/>
          <w:szCs w:val="22"/>
          <w:lang w:val="en-US"/>
        </w:rPr>
        <w:t>the benefits of the marriage in community of property, including the Defendant’s pension fund interest and the Plaintiff’s share in the immovable property situated at 14 Mahogany Street Leondale, Germiston, while the Defendant continues to pay the mortgage bond over such immovable property.</w:t>
      </w:r>
      <w:r w:rsidR="00153175">
        <w:rPr>
          <w:rFonts w:ascii="Arial" w:hAnsi="Arial" w:cs="Arial"/>
          <w:lang w:val="en-US"/>
        </w:rPr>
        <w:t>”</w:t>
      </w:r>
      <w:r w:rsidR="00A41276">
        <w:rPr>
          <w:rFonts w:ascii="Arial" w:hAnsi="Arial" w:cs="Arial"/>
          <w:lang w:val="en-US"/>
        </w:rPr>
        <w:t xml:space="preserve"> [Own underlining].</w:t>
      </w:r>
    </w:p>
    <w:p w14:paraId="3FD63BC0" w14:textId="77777777" w:rsidR="00153175" w:rsidRDefault="00CC4251" w:rsidP="009F35B8">
      <w:pPr>
        <w:pStyle w:val="NormalWeb"/>
        <w:shd w:val="clear" w:color="auto" w:fill="FFFFFF"/>
        <w:spacing w:before="0" w:beforeAutospacing="0" w:after="0" w:afterAutospacing="0" w:line="480" w:lineRule="auto"/>
        <w:ind w:left="851" w:right="261"/>
        <w:jc w:val="both"/>
        <w:rPr>
          <w:rFonts w:ascii="Arial" w:hAnsi="Arial" w:cs="Arial"/>
        </w:rPr>
      </w:pPr>
      <w:r>
        <w:rPr>
          <w:rFonts w:ascii="Arial" w:hAnsi="Arial" w:cs="Arial"/>
        </w:rPr>
        <w:t xml:space="preserve"> </w:t>
      </w:r>
    </w:p>
    <w:p w14:paraId="7ADD5550" w14:textId="2C48635D" w:rsidR="006E6246" w:rsidRPr="009C1A23" w:rsidRDefault="00814390" w:rsidP="00814390">
      <w:pPr>
        <w:pStyle w:val="NormalWeb"/>
        <w:shd w:val="clear" w:color="auto" w:fill="FFFFFF"/>
        <w:spacing w:before="0" w:beforeAutospacing="0" w:after="0" w:afterAutospacing="0" w:line="480" w:lineRule="auto"/>
        <w:ind w:left="851" w:right="261" w:hanging="851"/>
        <w:jc w:val="both"/>
        <w:rPr>
          <w:rFonts w:ascii="Arial" w:hAnsi="Arial" w:cs="Arial"/>
        </w:rPr>
      </w:pPr>
      <w:r w:rsidRPr="009C1A23">
        <w:rPr>
          <w:rFonts w:ascii="Arial" w:hAnsi="Arial" w:cs="Arial"/>
        </w:rPr>
        <w:t>[5]</w:t>
      </w:r>
      <w:r w:rsidRPr="009C1A23">
        <w:rPr>
          <w:rFonts w:ascii="Arial" w:hAnsi="Arial" w:cs="Arial"/>
        </w:rPr>
        <w:tab/>
      </w:r>
      <w:r w:rsidR="00526F28">
        <w:rPr>
          <w:rFonts w:ascii="Arial" w:hAnsi="Arial" w:cs="Arial"/>
        </w:rPr>
        <w:t>I pause to mention that r</w:t>
      </w:r>
      <w:r w:rsidR="00A5361F">
        <w:rPr>
          <w:rFonts w:ascii="Arial" w:hAnsi="Arial" w:cs="Arial"/>
        </w:rPr>
        <w:t>eliance on the principle of fairness echoed through the appellant’s evidence</w:t>
      </w:r>
      <w:r w:rsidR="006E6246">
        <w:rPr>
          <w:rFonts w:ascii="Arial" w:hAnsi="Arial" w:cs="Arial"/>
        </w:rPr>
        <w:t xml:space="preserve"> in chief</w:t>
      </w:r>
      <w:r w:rsidR="00A41276">
        <w:rPr>
          <w:rFonts w:ascii="Arial" w:hAnsi="Arial" w:cs="Arial"/>
        </w:rPr>
        <w:t>.</w:t>
      </w:r>
      <w:r w:rsidR="009C1A23">
        <w:rPr>
          <w:rFonts w:ascii="Arial" w:hAnsi="Arial" w:cs="Arial"/>
        </w:rPr>
        <w:t xml:space="preserve"> </w:t>
      </w:r>
      <w:r w:rsidR="00942004">
        <w:rPr>
          <w:rFonts w:ascii="Arial" w:hAnsi="Arial" w:cs="Arial"/>
        </w:rPr>
        <w:t xml:space="preserve"> </w:t>
      </w:r>
      <w:r w:rsidR="009C1A23">
        <w:rPr>
          <w:rFonts w:ascii="Arial" w:hAnsi="Arial" w:cs="Arial"/>
        </w:rPr>
        <w:t>In</w:t>
      </w:r>
      <w:r w:rsidR="00526F28">
        <w:rPr>
          <w:rFonts w:ascii="Arial" w:hAnsi="Arial" w:cs="Arial"/>
        </w:rPr>
        <w:t xml:space="preserve"> adopting</w:t>
      </w:r>
      <w:r w:rsidR="009C1A23" w:rsidRPr="009C1A23">
        <w:rPr>
          <w:rFonts w:ascii="Arial" w:hAnsi="Arial" w:cs="Arial"/>
        </w:rPr>
        <w:t xml:space="preserve"> this approach,</w:t>
      </w:r>
      <w:r w:rsidR="009C1A23">
        <w:rPr>
          <w:rFonts w:ascii="Arial" w:hAnsi="Arial" w:cs="Arial"/>
        </w:rPr>
        <w:t xml:space="preserve"> the appellant </w:t>
      </w:r>
      <w:r w:rsidR="009C1A23" w:rsidRPr="009C1A23">
        <w:rPr>
          <w:rFonts w:ascii="Arial" w:hAnsi="Arial" w:cs="Arial"/>
        </w:rPr>
        <w:t>lost sight of what a marriage in community of property entails</w:t>
      </w:r>
      <w:r w:rsidR="009C1A23">
        <w:rPr>
          <w:rFonts w:ascii="Arial" w:hAnsi="Arial" w:cs="Arial"/>
        </w:rPr>
        <w:t xml:space="preserve"> at its core</w:t>
      </w:r>
      <w:r w:rsidR="009C1A23" w:rsidRPr="009C1A23">
        <w:rPr>
          <w:rFonts w:ascii="Arial" w:hAnsi="Arial" w:cs="Arial"/>
        </w:rPr>
        <w:t>.</w:t>
      </w:r>
      <w:r w:rsidR="009C1A23">
        <w:rPr>
          <w:rFonts w:ascii="Arial" w:hAnsi="Arial" w:cs="Arial"/>
        </w:rPr>
        <w:t xml:space="preserve">  This </w:t>
      </w:r>
      <w:r w:rsidR="00B7014F">
        <w:rPr>
          <w:rFonts w:ascii="Arial" w:hAnsi="Arial" w:cs="Arial"/>
        </w:rPr>
        <w:t>was</w:t>
      </w:r>
      <w:r w:rsidR="009C1A23">
        <w:rPr>
          <w:rFonts w:ascii="Arial" w:hAnsi="Arial" w:cs="Arial"/>
        </w:rPr>
        <w:t xml:space="preserve"> cautioned against by t</w:t>
      </w:r>
      <w:r w:rsidR="009C1A23" w:rsidRPr="009C1A23">
        <w:rPr>
          <w:rFonts w:ascii="Arial" w:hAnsi="Arial" w:cs="Arial"/>
        </w:rPr>
        <w:t xml:space="preserve">he then Appellate Division, in </w:t>
      </w:r>
      <w:r w:rsidR="009C1A23" w:rsidRPr="009C1A23">
        <w:rPr>
          <w:rFonts w:ascii="Arial" w:hAnsi="Arial" w:cs="Arial"/>
          <w:i/>
          <w:iCs/>
        </w:rPr>
        <w:t>Wijker v Wijker</w:t>
      </w:r>
      <w:r w:rsidR="00217E09">
        <w:rPr>
          <w:rFonts w:ascii="Arial" w:hAnsi="Arial" w:cs="Arial"/>
          <w:i/>
          <w:iCs/>
        </w:rPr>
        <w:t>.</w:t>
      </w:r>
      <w:r w:rsidR="009C1A23" w:rsidRPr="009C1A23">
        <w:rPr>
          <w:rStyle w:val="FootnoteReference"/>
          <w:rFonts w:ascii="Arial" w:hAnsi="Arial" w:cs="Arial"/>
        </w:rPr>
        <w:footnoteReference w:id="2"/>
      </w:r>
      <w:r w:rsidR="009C1A23" w:rsidRPr="009C1A23">
        <w:rPr>
          <w:rFonts w:ascii="Arial" w:hAnsi="Arial" w:cs="Arial"/>
          <w:i/>
          <w:iCs/>
        </w:rPr>
        <w:t xml:space="preserve"> </w:t>
      </w:r>
      <w:r w:rsidR="009C1A23" w:rsidRPr="009C1A23">
        <w:rPr>
          <w:rFonts w:ascii="Arial" w:hAnsi="Arial" w:cs="Arial"/>
        </w:rPr>
        <w:t xml:space="preserve"> </w:t>
      </w:r>
      <w:r w:rsidR="00BF003B">
        <w:rPr>
          <w:rFonts w:ascii="Arial" w:hAnsi="Arial" w:cs="Arial"/>
        </w:rPr>
        <w:t xml:space="preserve">Simply put, section 9(1) does not provide for the application of the principle of fairness. </w:t>
      </w:r>
    </w:p>
    <w:p w14:paraId="6D7EBD60" w14:textId="7F7306EB" w:rsidR="00A5361F" w:rsidRDefault="006E6246" w:rsidP="006E6246">
      <w:pPr>
        <w:pStyle w:val="NormalWeb"/>
        <w:shd w:val="clear" w:color="auto" w:fill="FFFFFF"/>
        <w:spacing w:before="0" w:beforeAutospacing="0" w:after="0" w:afterAutospacing="0" w:line="480" w:lineRule="auto"/>
        <w:ind w:left="851" w:right="261"/>
        <w:jc w:val="both"/>
        <w:rPr>
          <w:rFonts w:ascii="Arial" w:hAnsi="Arial" w:cs="Arial"/>
        </w:rPr>
      </w:pPr>
      <w:r>
        <w:rPr>
          <w:rFonts w:ascii="Arial" w:hAnsi="Arial" w:cs="Arial"/>
        </w:rPr>
        <w:t xml:space="preserve"> </w:t>
      </w:r>
      <w:r w:rsidR="00A5361F">
        <w:rPr>
          <w:rFonts w:ascii="Arial" w:hAnsi="Arial" w:cs="Arial"/>
        </w:rPr>
        <w:t xml:space="preserve"> </w:t>
      </w:r>
    </w:p>
    <w:p w14:paraId="17323B89" w14:textId="0FDCFFA7" w:rsidR="00760809" w:rsidRDefault="00814390" w:rsidP="00814390">
      <w:pPr>
        <w:pStyle w:val="NormalWeb"/>
        <w:shd w:val="clear" w:color="auto" w:fill="FFFFFF"/>
        <w:spacing w:before="0" w:beforeAutospacing="0" w:after="0" w:afterAutospacing="0" w:line="480" w:lineRule="auto"/>
        <w:ind w:left="851" w:right="261" w:hanging="851"/>
        <w:jc w:val="both"/>
        <w:rPr>
          <w:rFonts w:ascii="Arial" w:hAnsi="Arial" w:cs="Arial"/>
        </w:rPr>
      </w:pPr>
      <w:r>
        <w:rPr>
          <w:rFonts w:ascii="Arial" w:hAnsi="Arial" w:cs="Arial"/>
        </w:rPr>
        <w:t>[6]</w:t>
      </w:r>
      <w:r>
        <w:rPr>
          <w:rFonts w:ascii="Arial" w:hAnsi="Arial" w:cs="Arial"/>
        </w:rPr>
        <w:tab/>
      </w:r>
      <w:r w:rsidR="009B712F">
        <w:rPr>
          <w:rFonts w:ascii="Arial" w:hAnsi="Arial" w:cs="Arial"/>
        </w:rPr>
        <w:t xml:space="preserve">Returning to the </w:t>
      </w:r>
      <w:r w:rsidR="001619A3">
        <w:rPr>
          <w:rFonts w:ascii="Arial" w:hAnsi="Arial" w:cs="Arial"/>
        </w:rPr>
        <w:t>appellant’s</w:t>
      </w:r>
      <w:r w:rsidR="00153175">
        <w:rPr>
          <w:rFonts w:ascii="Arial" w:hAnsi="Arial" w:cs="Arial"/>
        </w:rPr>
        <w:t xml:space="preserve"> pleadings</w:t>
      </w:r>
      <w:r w:rsidR="009B712F">
        <w:rPr>
          <w:rFonts w:ascii="Arial" w:hAnsi="Arial" w:cs="Arial"/>
        </w:rPr>
        <w:t>, I am of the considered view that they</w:t>
      </w:r>
      <w:r w:rsidR="00153175">
        <w:rPr>
          <w:rFonts w:ascii="Arial" w:hAnsi="Arial" w:cs="Arial"/>
        </w:rPr>
        <w:t xml:space="preserve"> lacked legal coherence </w:t>
      </w:r>
      <w:r w:rsidR="001619A3">
        <w:rPr>
          <w:rFonts w:ascii="Arial" w:hAnsi="Arial" w:cs="Arial"/>
        </w:rPr>
        <w:t>in material respects and were undoubtably open to exception</w:t>
      </w:r>
      <w:r w:rsidR="00D62CA0">
        <w:rPr>
          <w:rFonts w:ascii="Arial" w:hAnsi="Arial" w:cs="Arial"/>
        </w:rPr>
        <w:t>.  None was taken.</w:t>
      </w:r>
      <w:r w:rsidR="001619A3">
        <w:rPr>
          <w:rFonts w:ascii="Arial" w:hAnsi="Arial" w:cs="Arial"/>
        </w:rPr>
        <w:t xml:space="preserve">  It is unsurprising</w:t>
      </w:r>
      <w:r w:rsidR="00CE57C2">
        <w:rPr>
          <w:rFonts w:ascii="Arial" w:hAnsi="Arial" w:cs="Arial"/>
        </w:rPr>
        <w:t>, however,</w:t>
      </w:r>
      <w:r w:rsidR="001619A3">
        <w:rPr>
          <w:rFonts w:ascii="Arial" w:hAnsi="Arial" w:cs="Arial"/>
        </w:rPr>
        <w:t xml:space="preserve"> that the respondent’s legal representative, at the outset of the divorce proceedings</w:t>
      </w:r>
      <w:r w:rsidR="00401482">
        <w:rPr>
          <w:rFonts w:ascii="Arial" w:hAnsi="Arial" w:cs="Arial"/>
        </w:rPr>
        <w:t xml:space="preserve"> in the trial court</w:t>
      </w:r>
      <w:r w:rsidR="001619A3">
        <w:rPr>
          <w:rFonts w:ascii="Arial" w:hAnsi="Arial" w:cs="Arial"/>
        </w:rPr>
        <w:t xml:space="preserve">, objected to the appellant’s claim </w:t>
      </w:r>
      <w:r w:rsidR="00A04073">
        <w:rPr>
          <w:rFonts w:ascii="Arial" w:hAnsi="Arial" w:cs="Arial"/>
        </w:rPr>
        <w:t>for forfeiture of benefits</w:t>
      </w:r>
      <w:r w:rsidR="004404A1">
        <w:rPr>
          <w:rFonts w:ascii="Arial" w:hAnsi="Arial" w:cs="Arial"/>
        </w:rPr>
        <w:t xml:space="preserve"> given the </w:t>
      </w:r>
      <w:r w:rsidR="00D75ADC">
        <w:rPr>
          <w:rFonts w:ascii="Arial" w:hAnsi="Arial" w:cs="Arial"/>
        </w:rPr>
        <w:t xml:space="preserve">formulation </w:t>
      </w:r>
      <w:r w:rsidR="004404A1">
        <w:rPr>
          <w:rFonts w:ascii="Arial" w:hAnsi="Arial" w:cs="Arial"/>
        </w:rPr>
        <w:t>of the pleadings</w:t>
      </w:r>
      <w:r w:rsidR="001619A3">
        <w:rPr>
          <w:rFonts w:ascii="Arial" w:hAnsi="Arial" w:cs="Arial"/>
        </w:rPr>
        <w:t>.  Notwithstanding this initial objection,</w:t>
      </w:r>
      <w:r w:rsidR="003A0D5B">
        <w:rPr>
          <w:rFonts w:ascii="Arial" w:hAnsi="Arial" w:cs="Arial"/>
        </w:rPr>
        <w:t xml:space="preserve"> and after much debate,</w:t>
      </w:r>
      <w:r w:rsidR="001619A3">
        <w:rPr>
          <w:rFonts w:ascii="Arial" w:hAnsi="Arial" w:cs="Arial"/>
        </w:rPr>
        <w:t xml:space="preserve"> </w:t>
      </w:r>
      <w:r w:rsidR="00A04073">
        <w:rPr>
          <w:rFonts w:ascii="Arial" w:hAnsi="Arial" w:cs="Arial"/>
        </w:rPr>
        <w:t>the</w:t>
      </w:r>
      <w:r w:rsidR="00D627FF">
        <w:rPr>
          <w:rFonts w:ascii="Arial" w:hAnsi="Arial" w:cs="Arial"/>
        </w:rPr>
        <w:t xml:space="preserve"> legal representatives on behalf of the parties agreed that the crux of the appellant’s case was one of</w:t>
      </w:r>
      <w:r w:rsidR="007866C6">
        <w:rPr>
          <w:rFonts w:ascii="Arial" w:hAnsi="Arial" w:cs="Arial"/>
        </w:rPr>
        <w:t xml:space="preserve"> partial</w:t>
      </w:r>
      <w:r w:rsidR="00D627FF">
        <w:rPr>
          <w:rFonts w:ascii="Arial" w:hAnsi="Arial" w:cs="Arial"/>
        </w:rPr>
        <w:t xml:space="preserve"> forfeiture of benefits</w:t>
      </w:r>
      <w:r w:rsidR="007866C6">
        <w:rPr>
          <w:rFonts w:ascii="Arial" w:hAnsi="Arial" w:cs="Arial"/>
        </w:rPr>
        <w:t xml:space="preserve">, such order relating to (i) a Nissan Qashqai motor vehicle 2.0 </w:t>
      </w:r>
      <w:r w:rsidR="007866C6">
        <w:rPr>
          <w:rFonts w:ascii="Arial" w:hAnsi="Arial" w:cs="Arial"/>
        </w:rPr>
        <w:lastRenderedPageBreak/>
        <w:t>Acenta (“</w:t>
      </w:r>
      <w:r w:rsidR="007866C6" w:rsidRPr="007866C6">
        <w:rPr>
          <w:rFonts w:ascii="Arial" w:hAnsi="Arial" w:cs="Arial"/>
          <w:i/>
          <w:iCs/>
        </w:rPr>
        <w:t>the motor vehicle</w:t>
      </w:r>
      <w:r w:rsidR="007866C6">
        <w:rPr>
          <w:rFonts w:ascii="Arial" w:hAnsi="Arial" w:cs="Arial"/>
        </w:rPr>
        <w:t>”);</w:t>
      </w:r>
      <w:r w:rsidR="00046574">
        <w:rPr>
          <w:rStyle w:val="FootnoteReference"/>
          <w:rFonts w:ascii="Arial" w:hAnsi="Arial" w:cs="Arial"/>
        </w:rPr>
        <w:footnoteReference w:id="3"/>
      </w:r>
      <w:r w:rsidR="007866C6">
        <w:rPr>
          <w:rFonts w:ascii="Arial" w:hAnsi="Arial" w:cs="Arial"/>
        </w:rPr>
        <w:t xml:space="preserve"> (ii) the parties former marital home, situated 14 Mahogany Street, Leondale, Germiston</w:t>
      </w:r>
      <w:r w:rsidR="00A61902">
        <w:rPr>
          <w:rFonts w:ascii="Arial" w:hAnsi="Arial" w:cs="Arial"/>
        </w:rPr>
        <w:t xml:space="preserve"> (“</w:t>
      </w:r>
      <w:r w:rsidR="00A61902" w:rsidRPr="00A61902">
        <w:rPr>
          <w:rFonts w:ascii="Arial" w:hAnsi="Arial" w:cs="Arial"/>
          <w:i/>
          <w:iCs/>
        </w:rPr>
        <w:t>the immovable property</w:t>
      </w:r>
      <w:r w:rsidR="00A61902">
        <w:rPr>
          <w:rFonts w:ascii="Arial" w:hAnsi="Arial" w:cs="Arial"/>
        </w:rPr>
        <w:t>”)</w:t>
      </w:r>
      <w:r w:rsidR="007866C6">
        <w:rPr>
          <w:rFonts w:ascii="Arial" w:hAnsi="Arial" w:cs="Arial"/>
        </w:rPr>
        <w:t>; and (iii)</w:t>
      </w:r>
      <w:r w:rsidR="00D627FF">
        <w:rPr>
          <w:rFonts w:ascii="Arial" w:hAnsi="Arial" w:cs="Arial"/>
        </w:rPr>
        <w:t xml:space="preserve"> </w:t>
      </w:r>
      <w:r w:rsidR="007866C6">
        <w:rPr>
          <w:rFonts w:ascii="Arial" w:hAnsi="Arial" w:cs="Arial"/>
        </w:rPr>
        <w:t>the appellant’s pension interest in the Government Employee’s Pension Fund</w:t>
      </w:r>
      <w:r w:rsidR="00A61902">
        <w:rPr>
          <w:rFonts w:ascii="Arial" w:hAnsi="Arial" w:cs="Arial"/>
        </w:rPr>
        <w:t xml:space="preserve"> (“</w:t>
      </w:r>
      <w:r w:rsidR="00A61902" w:rsidRPr="00A61902">
        <w:rPr>
          <w:rFonts w:ascii="Arial" w:hAnsi="Arial" w:cs="Arial"/>
          <w:i/>
          <w:iCs/>
        </w:rPr>
        <w:t>the appellant’s pension interest</w:t>
      </w:r>
      <w:r w:rsidR="00A61902">
        <w:rPr>
          <w:rFonts w:ascii="Arial" w:hAnsi="Arial" w:cs="Arial"/>
        </w:rPr>
        <w:t>”)</w:t>
      </w:r>
      <w:r w:rsidR="007866C6">
        <w:rPr>
          <w:rFonts w:ascii="Arial" w:hAnsi="Arial" w:cs="Arial"/>
        </w:rPr>
        <w:t xml:space="preserve">.  </w:t>
      </w:r>
      <w:r w:rsidR="005333A8">
        <w:rPr>
          <w:rFonts w:ascii="Arial" w:hAnsi="Arial" w:cs="Arial"/>
        </w:rPr>
        <w:t>Moreover, t</w:t>
      </w:r>
      <w:r w:rsidR="007866C6">
        <w:rPr>
          <w:rFonts w:ascii="Arial" w:hAnsi="Arial" w:cs="Arial"/>
        </w:rPr>
        <w:t>he legal representatives agreed that the issues in dispute,</w:t>
      </w:r>
      <w:r w:rsidR="005333A8">
        <w:rPr>
          <w:rFonts w:ascii="Arial" w:hAnsi="Arial" w:cs="Arial"/>
        </w:rPr>
        <w:t xml:space="preserve"> as appeared from the pleadings and</w:t>
      </w:r>
      <w:r w:rsidR="007866C6">
        <w:rPr>
          <w:rFonts w:ascii="Arial" w:hAnsi="Arial" w:cs="Arial"/>
        </w:rPr>
        <w:t xml:space="preserve"> </w:t>
      </w:r>
      <w:r w:rsidR="005333A8">
        <w:rPr>
          <w:rFonts w:ascii="Arial" w:hAnsi="Arial" w:cs="Arial"/>
        </w:rPr>
        <w:t>which had further been</w:t>
      </w:r>
      <w:r w:rsidR="007866C6">
        <w:rPr>
          <w:rFonts w:ascii="Arial" w:hAnsi="Arial" w:cs="Arial"/>
        </w:rPr>
        <w:t xml:space="preserve"> defined by agreement, would be fully ventilated during </w:t>
      </w:r>
      <w:r w:rsidR="00B669B2">
        <w:rPr>
          <w:rFonts w:ascii="Arial" w:hAnsi="Arial" w:cs="Arial"/>
        </w:rPr>
        <w:t xml:space="preserve">the </w:t>
      </w:r>
      <w:r w:rsidR="007866C6">
        <w:rPr>
          <w:rFonts w:ascii="Arial" w:hAnsi="Arial" w:cs="Arial"/>
        </w:rPr>
        <w:t xml:space="preserve">evidence.  </w:t>
      </w:r>
      <w:r w:rsidR="00F901D3">
        <w:rPr>
          <w:rFonts w:ascii="Arial" w:hAnsi="Arial" w:cs="Arial"/>
        </w:rPr>
        <w:t xml:space="preserve">It is on this </w:t>
      </w:r>
      <w:r w:rsidR="007866C6" w:rsidRPr="007866C6">
        <w:rPr>
          <w:rFonts w:ascii="Arial" w:hAnsi="Arial" w:cs="Arial"/>
        </w:rPr>
        <w:t xml:space="preserve">basis, </w:t>
      </w:r>
      <w:r w:rsidR="004A2DB1">
        <w:rPr>
          <w:rFonts w:ascii="Arial" w:hAnsi="Arial" w:cs="Arial"/>
        </w:rPr>
        <w:t xml:space="preserve">that </w:t>
      </w:r>
      <w:r w:rsidR="007866C6" w:rsidRPr="007866C6">
        <w:rPr>
          <w:rFonts w:ascii="Arial" w:hAnsi="Arial" w:cs="Arial"/>
        </w:rPr>
        <w:t xml:space="preserve">the </w:t>
      </w:r>
      <w:r w:rsidR="00BD32A0">
        <w:rPr>
          <w:rFonts w:ascii="Arial" w:hAnsi="Arial" w:cs="Arial"/>
        </w:rPr>
        <w:t>trial court</w:t>
      </w:r>
      <w:r w:rsidR="007866C6" w:rsidRPr="007866C6">
        <w:rPr>
          <w:rFonts w:ascii="Arial" w:hAnsi="Arial" w:cs="Arial"/>
        </w:rPr>
        <w:t xml:space="preserve"> </w:t>
      </w:r>
      <w:r w:rsidR="00BD32A0">
        <w:rPr>
          <w:rFonts w:ascii="Arial" w:hAnsi="Arial" w:cs="Arial"/>
        </w:rPr>
        <w:t>heard the matter.</w:t>
      </w:r>
      <w:r w:rsidR="00A04073" w:rsidRPr="007866C6">
        <w:rPr>
          <w:rFonts w:ascii="Arial" w:hAnsi="Arial" w:cs="Arial"/>
        </w:rPr>
        <w:t xml:space="preserve"> </w:t>
      </w:r>
    </w:p>
    <w:p w14:paraId="7907F6B0" w14:textId="5CDD55FB" w:rsidR="00760809" w:rsidRDefault="00760809" w:rsidP="00760809">
      <w:pPr>
        <w:pStyle w:val="NormalWeb"/>
        <w:shd w:val="clear" w:color="auto" w:fill="FFFFFF"/>
        <w:spacing w:before="0" w:beforeAutospacing="0" w:after="0" w:afterAutospacing="0" w:line="480" w:lineRule="auto"/>
        <w:ind w:left="851" w:right="261"/>
        <w:jc w:val="both"/>
        <w:rPr>
          <w:rFonts w:ascii="Arial" w:hAnsi="Arial" w:cs="Arial"/>
        </w:rPr>
      </w:pPr>
    </w:p>
    <w:p w14:paraId="7CD62801" w14:textId="333B9557" w:rsidR="00A258F1" w:rsidRPr="007866C6" w:rsidRDefault="00814390" w:rsidP="00814390">
      <w:pPr>
        <w:pStyle w:val="NormalWeb"/>
        <w:shd w:val="clear" w:color="auto" w:fill="FFFFFF"/>
        <w:spacing w:before="0" w:beforeAutospacing="0" w:after="0" w:afterAutospacing="0" w:line="480" w:lineRule="auto"/>
        <w:ind w:left="851" w:right="261" w:hanging="851"/>
        <w:jc w:val="both"/>
        <w:rPr>
          <w:rFonts w:ascii="Arial" w:hAnsi="Arial" w:cs="Arial"/>
        </w:rPr>
      </w:pPr>
      <w:r w:rsidRPr="007866C6">
        <w:rPr>
          <w:rFonts w:ascii="Arial" w:hAnsi="Arial" w:cs="Arial"/>
        </w:rPr>
        <w:t>[7]</w:t>
      </w:r>
      <w:r w:rsidRPr="007866C6">
        <w:rPr>
          <w:rFonts w:ascii="Arial" w:hAnsi="Arial" w:cs="Arial"/>
        </w:rPr>
        <w:tab/>
      </w:r>
      <w:r w:rsidR="00760809">
        <w:rPr>
          <w:rFonts w:ascii="Arial" w:hAnsi="Arial" w:cs="Arial"/>
          <w:lang w:val="en-US"/>
        </w:rPr>
        <w:t xml:space="preserve">At the hearing of the appeal, the appellant’s counsel conceded that the joint estate falls to be divided equally up until </w:t>
      </w:r>
      <w:r w:rsidR="000D4046">
        <w:rPr>
          <w:rFonts w:ascii="Arial" w:hAnsi="Arial" w:cs="Arial"/>
          <w:lang w:val="en-US"/>
        </w:rPr>
        <w:t xml:space="preserve">June </w:t>
      </w:r>
      <w:r w:rsidR="00760809">
        <w:rPr>
          <w:rFonts w:ascii="Arial" w:hAnsi="Arial" w:cs="Arial"/>
          <w:lang w:val="en-US"/>
        </w:rPr>
        <w:t xml:space="preserve">2015, this being the </w:t>
      </w:r>
      <w:r w:rsidR="000D4046">
        <w:rPr>
          <w:rFonts w:ascii="Arial" w:hAnsi="Arial" w:cs="Arial"/>
          <w:lang w:val="en-US"/>
        </w:rPr>
        <w:t>month</w:t>
      </w:r>
      <w:r w:rsidR="00760809">
        <w:rPr>
          <w:rFonts w:ascii="Arial" w:hAnsi="Arial" w:cs="Arial"/>
          <w:lang w:val="en-US"/>
        </w:rPr>
        <w:t xml:space="preserve"> during which the parties separated.  Accordingly, any order</w:t>
      </w:r>
      <w:r w:rsidR="000D4046">
        <w:rPr>
          <w:rFonts w:ascii="Arial" w:hAnsi="Arial" w:cs="Arial"/>
          <w:lang w:val="en-US"/>
        </w:rPr>
        <w:t xml:space="preserve"> for the forfeiture of benefits</w:t>
      </w:r>
      <w:r w:rsidR="00760809">
        <w:rPr>
          <w:rFonts w:ascii="Arial" w:hAnsi="Arial" w:cs="Arial"/>
          <w:lang w:val="en-US"/>
        </w:rPr>
        <w:t xml:space="preserve"> would</w:t>
      </w:r>
      <w:r w:rsidR="003C372A">
        <w:rPr>
          <w:rFonts w:ascii="Arial" w:hAnsi="Arial" w:cs="Arial"/>
          <w:lang w:val="en-US"/>
        </w:rPr>
        <w:t>,</w:t>
      </w:r>
      <w:r w:rsidR="00760809">
        <w:rPr>
          <w:rFonts w:ascii="Arial" w:hAnsi="Arial" w:cs="Arial"/>
          <w:lang w:val="en-US"/>
        </w:rPr>
        <w:t xml:space="preserve"> of necessity</w:t>
      </w:r>
      <w:r w:rsidR="003C372A">
        <w:rPr>
          <w:rFonts w:ascii="Arial" w:hAnsi="Arial" w:cs="Arial"/>
          <w:lang w:val="en-US"/>
        </w:rPr>
        <w:t>,</w:t>
      </w:r>
      <w:r w:rsidR="00760809">
        <w:rPr>
          <w:rFonts w:ascii="Arial" w:hAnsi="Arial" w:cs="Arial"/>
          <w:lang w:val="en-US"/>
        </w:rPr>
        <w:t xml:space="preserve"> only be operative post </w:t>
      </w:r>
      <w:r w:rsidR="003C372A">
        <w:rPr>
          <w:rFonts w:ascii="Arial" w:hAnsi="Arial" w:cs="Arial"/>
          <w:lang w:val="en-US"/>
        </w:rPr>
        <w:t xml:space="preserve">June </w:t>
      </w:r>
      <w:r w:rsidR="00760809">
        <w:rPr>
          <w:rFonts w:ascii="Arial" w:hAnsi="Arial" w:cs="Arial"/>
          <w:lang w:val="en-US"/>
        </w:rPr>
        <w:t xml:space="preserve">2015.  </w:t>
      </w:r>
      <w:r w:rsidR="00A04073" w:rsidRPr="007866C6">
        <w:rPr>
          <w:rFonts w:ascii="Arial" w:hAnsi="Arial" w:cs="Arial"/>
        </w:rPr>
        <w:t xml:space="preserve"> </w:t>
      </w:r>
      <w:r w:rsidR="001619A3" w:rsidRPr="007866C6">
        <w:rPr>
          <w:rFonts w:ascii="Arial" w:hAnsi="Arial" w:cs="Arial"/>
        </w:rPr>
        <w:t xml:space="preserve"> </w:t>
      </w:r>
    </w:p>
    <w:p w14:paraId="5AFE39A1" w14:textId="368DC25D" w:rsidR="00A258F1" w:rsidRDefault="00A258F1" w:rsidP="007D089E">
      <w:pPr>
        <w:pStyle w:val="NormalWeb"/>
        <w:shd w:val="clear" w:color="auto" w:fill="FFFFFF"/>
        <w:spacing w:before="0" w:beforeAutospacing="0" w:after="0" w:afterAutospacing="0" w:line="480" w:lineRule="auto"/>
        <w:ind w:right="259"/>
        <w:jc w:val="both"/>
        <w:rPr>
          <w:rFonts w:ascii="Arial" w:hAnsi="Arial" w:cs="Arial"/>
        </w:rPr>
      </w:pPr>
    </w:p>
    <w:p w14:paraId="77662C3E" w14:textId="1288D146" w:rsidR="007D089E" w:rsidRPr="007D089E" w:rsidRDefault="007D089E" w:rsidP="007D089E">
      <w:pPr>
        <w:pStyle w:val="NormalWeb"/>
        <w:shd w:val="clear" w:color="auto" w:fill="FFFFFF"/>
        <w:spacing w:before="0" w:beforeAutospacing="0" w:after="0" w:afterAutospacing="0" w:line="480" w:lineRule="auto"/>
        <w:ind w:right="259"/>
        <w:jc w:val="both"/>
        <w:rPr>
          <w:rFonts w:ascii="Arial" w:hAnsi="Arial" w:cs="Arial"/>
          <w:b/>
          <w:bCs/>
          <w:i/>
          <w:iCs/>
          <w:u w:val="single"/>
        </w:rPr>
      </w:pPr>
      <w:r w:rsidRPr="007D089E">
        <w:rPr>
          <w:rFonts w:ascii="Arial" w:hAnsi="Arial" w:cs="Arial"/>
          <w:b/>
          <w:bCs/>
          <w:i/>
          <w:iCs/>
          <w:u w:val="single"/>
        </w:rPr>
        <w:t>Legal principles</w:t>
      </w:r>
    </w:p>
    <w:p w14:paraId="25D127CC" w14:textId="77777777" w:rsidR="007D089E" w:rsidRDefault="007D089E" w:rsidP="007D089E">
      <w:pPr>
        <w:pStyle w:val="NormalWeb"/>
        <w:shd w:val="clear" w:color="auto" w:fill="FFFFFF"/>
        <w:spacing w:before="0" w:beforeAutospacing="0" w:after="0" w:afterAutospacing="0" w:line="480" w:lineRule="auto"/>
        <w:ind w:right="259"/>
        <w:jc w:val="both"/>
        <w:rPr>
          <w:rFonts w:ascii="Arial" w:hAnsi="Arial" w:cs="Arial"/>
        </w:rPr>
      </w:pPr>
    </w:p>
    <w:p w14:paraId="3D78AA71" w14:textId="76764B81" w:rsidR="009F35B8" w:rsidRPr="005E4047"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5E4047">
        <w:rPr>
          <w:rFonts w:ascii="Arial" w:hAnsi="Arial" w:cs="Arial"/>
        </w:rPr>
        <w:t>[8]</w:t>
      </w:r>
      <w:r w:rsidRPr="005E4047">
        <w:rPr>
          <w:rFonts w:ascii="Arial" w:hAnsi="Arial" w:cs="Arial"/>
        </w:rPr>
        <w:tab/>
      </w:r>
      <w:r w:rsidR="00A61902">
        <w:rPr>
          <w:rFonts w:ascii="Arial" w:hAnsi="Arial" w:cs="Arial"/>
        </w:rPr>
        <w:t>I</w:t>
      </w:r>
      <w:r w:rsidR="000C6CEE">
        <w:rPr>
          <w:rFonts w:ascii="Arial" w:hAnsi="Arial" w:cs="Arial"/>
        </w:rPr>
        <w:t xml:space="preserve">t is trite that </w:t>
      </w:r>
      <w:r w:rsidR="000C6CEE">
        <w:rPr>
          <w:rFonts w:ascii="Arial" w:hAnsi="Arial" w:cs="Arial"/>
          <w:lang w:val="en-US"/>
        </w:rPr>
        <w:t>a</w:t>
      </w:r>
      <w:r w:rsidR="000C6CEE" w:rsidRPr="000C6CEE">
        <w:rPr>
          <w:rFonts w:ascii="Arial" w:hAnsi="Arial" w:cs="Arial"/>
          <w:lang w:val="en-US"/>
        </w:rPr>
        <w:t xml:space="preserve"> discretion is conferred upon the court in terms of section 9</w:t>
      </w:r>
      <w:r w:rsidR="000C6CEE">
        <w:rPr>
          <w:rFonts w:ascii="Arial" w:hAnsi="Arial" w:cs="Arial"/>
          <w:lang w:val="en-US"/>
        </w:rPr>
        <w:t xml:space="preserve">(1) of the Divorce Act </w:t>
      </w:r>
      <w:r w:rsidR="000C6CEE" w:rsidRPr="000C6CEE">
        <w:rPr>
          <w:rFonts w:ascii="Arial" w:hAnsi="Arial" w:cs="Arial"/>
          <w:lang w:val="en-US"/>
        </w:rPr>
        <w:t>whether or not to order forfeiture of the patrimonial benefits of the marriage</w:t>
      </w:r>
      <w:r w:rsidR="000C6CEE">
        <w:rPr>
          <w:rFonts w:ascii="Arial" w:hAnsi="Arial" w:cs="Arial"/>
          <w:lang w:val="en-US"/>
        </w:rPr>
        <w:t>.</w:t>
      </w:r>
      <w:r w:rsidR="00582541">
        <w:rPr>
          <w:rFonts w:ascii="Arial" w:hAnsi="Arial" w:cs="Arial"/>
          <w:lang w:val="en-US"/>
        </w:rPr>
        <w:t xml:space="preserve">  Such discretion may be exercised in favour of either of the parties and may relate to the whole or only a portion of the patrimonial benefits.</w:t>
      </w:r>
      <w:r w:rsidR="000C6CEE">
        <w:rPr>
          <w:rFonts w:ascii="Arial" w:hAnsi="Arial" w:cs="Arial"/>
          <w:lang w:val="en-US"/>
        </w:rPr>
        <w:t xml:space="preserve">  </w:t>
      </w:r>
      <w:r w:rsidR="00762A5E">
        <w:rPr>
          <w:rFonts w:ascii="Arial" w:hAnsi="Arial" w:cs="Arial"/>
          <w:lang w:val="en-US"/>
        </w:rPr>
        <w:t xml:space="preserve">In the exercise of </w:t>
      </w:r>
      <w:r w:rsidR="000C4EF2">
        <w:rPr>
          <w:rFonts w:ascii="Arial" w:hAnsi="Arial" w:cs="Arial"/>
          <w:lang w:val="en-US"/>
        </w:rPr>
        <w:t>this</w:t>
      </w:r>
      <w:r w:rsidR="00762A5E">
        <w:rPr>
          <w:rFonts w:ascii="Arial" w:hAnsi="Arial" w:cs="Arial"/>
          <w:lang w:val="en-US"/>
        </w:rPr>
        <w:t xml:space="preserve"> discretion, the court is enjoined by section 9(1) to have regard to various factors in determining whether one party, in relation to the other, will be unduly benefitted if </w:t>
      </w:r>
      <w:r w:rsidR="00C11C0E">
        <w:rPr>
          <w:rFonts w:ascii="Arial" w:hAnsi="Arial" w:cs="Arial"/>
          <w:lang w:val="en-US"/>
        </w:rPr>
        <w:t>an</w:t>
      </w:r>
      <w:r w:rsidR="00762A5E">
        <w:rPr>
          <w:rFonts w:ascii="Arial" w:hAnsi="Arial" w:cs="Arial"/>
          <w:lang w:val="en-US"/>
        </w:rPr>
        <w:t xml:space="preserve"> order for forfeiture is not made. </w:t>
      </w:r>
    </w:p>
    <w:p w14:paraId="1EA4F860" w14:textId="29F9FD47" w:rsidR="005E4047" w:rsidRPr="009F35B8"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9F35B8">
        <w:rPr>
          <w:rFonts w:ascii="Arial" w:hAnsi="Arial" w:cs="Arial"/>
        </w:rPr>
        <w:lastRenderedPageBreak/>
        <w:t>[9]</w:t>
      </w:r>
      <w:r w:rsidRPr="009F35B8">
        <w:rPr>
          <w:rFonts w:ascii="Arial" w:hAnsi="Arial" w:cs="Arial"/>
        </w:rPr>
        <w:tab/>
      </w:r>
      <w:r w:rsidR="00C17FF7">
        <w:rPr>
          <w:rFonts w:ascii="Arial" w:hAnsi="Arial" w:cs="Arial"/>
        </w:rPr>
        <w:t>The factors to which the court must have regard</w:t>
      </w:r>
      <w:r w:rsidR="00A622B7">
        <w:rPr>
          <w:rFonts w:ascii="Arial" w:hAnsi="Arial" w:cs="Arial"/>
        </w:rPr>
        <w:t>,</w:t>
      </w:r>
      <w:r w:rsidR="00C17FF7">
        <w:rPr>
          <w:rFonts w:ascii="Arial" w:hAnsi="Arial" w:cs="Arial"/>
        </w:rPr>
        <w:t xml:space="preserve"> include: </w:t>
      </w:r>
      <w:r w:rsidR="009E5487">
        <w:rPr>
          <w:rFonts w:ascii="Arial" w:hAnsi="Arial" w:cs="Arial"/>
        </w:rPr>
        <w:t xml:space="preserve">(i) the duration of the parties’ marriage; (ii) the circumstances which gave rise to the breakdown of the marriage; and (iii) the existence of any substantial misconduct on the part of either of the parties.  </w:t>
      </w:r>
    </w:p>
    <w:p w14:paraId="592F78C2" w14:textId="779B0391" w:rsidR="009F35B8" w:rsidRDefault="009F35B8" w:rsidP="009F35B8">
      <w:pPr>
        <w:pStyle w:val="ListParagraph"/>
        <w:spacing w:after="0" w:line="480" w:lineRule="auto"/>
        <w:rPr>
          <w:rFonts w:ascii="Arial" w:hAnsi="Arial" w:cs="Arial"/>
          <w:lang w:val="en-US"/>
        </w:rPr>
      </w:pPr>
    </w:p>
    <w:p w14:paraId="24C6C5FA" w14:textId="35877E03" w:rsidR="009F35B8" w:rsidRPr="003C372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3C372A">
        <w:rPr>
          <w:rFonts w:ascii="Arial" w:hAnsi="Arial" w:cs="Arial"/>
        </w:rPr>
        <w:t>[10]</w:t>
      </w:r>
      <w:r w:rsidRPr="003C372A">
        <w:rPr>
          <w:rFonts w:ascii="Arial" w:hAnsi="Arial" w:cs="Arial"/>
        </w:rPr>
        <w:tab/>
      </w:r>
      <w:r w:rsidR="00A622B7">
        <w:rPr>
          <w:rFonts w:ascii="Arial" w:hAnsi="Arial" w:cs="Arial"/>
          <w:lang w:val="en-US"/>
        </w:rPr>
        <w:t xml:space="preserve">Regarding the evidence, which is necessary to be led at trial, </w:t>
      </w:r>
      <w:r w:rsidR="009F35B8">
        <w:rPr>
          <w:rFonts w:ascii="Arial" w:hAnsi="Arial" w:cs="Arial"/>
          <w:lang w:val="en-US"/>
        </w:rPr>
        <w:t>McCreath J</w:t>
      </w:r>
      <w:r w:rsidR="00A622B7">
        <w:rPr>
          <w:rFonts w:ascii="Arial" w:hAnsi="Arial" w:cs="Arial"/>
          <w:lang w:val="en-US"/>
        </w:rPr>
        <w:t xml:space="preserve"> commented as follows</w:t>
      </w:r>
      <w:r w:rsidR="009F35B8">
        <w:rPr>
          <w:rFonts w:ascii="Arial" w:hAnsi="Arial" w:cs="Arial"/>
          <w:lang w:val="en-US"/>
        </w:rPr>
        <w:t xml:space="preserve"> in </w:t>
      </w:r>
      <w:r w:rsidR="009F35B8" w:rsidRPr="009F35B8">
        <w:rPr>
          <w:rFonts w:ascii="Arial" w:hAnsi="Arial" w:cs="Arial"/>
          <w:i/>
          <w:iCs/>
          <w:lang w:val="en-US"/>
        </w:rPr>
        <w:t>Koza v Koza</w:t>
      </w:r>
      <w:r w:rsidR="009F35B8">
        <w:rPr>
          <w:rFonts w:ascii="Arial" w:hAnsi="Arial" w:cs="Arial"/>
          <w:lang w:val="en-US"/>
        </w:rPr>
        <w:t>:</w:t>
      </w:r>
      <w:r w:rsidR="009F35B8">
        <w:rPr>
          <w:rStyle w:val="FootnoteReference"/>
          <w:rFonts w:ascii="Arial" w:hAnsi="Arial" w:cs="Arial"/>
          <w:lang w:val="en-US"/>
        </w:rPr>
        <w:footnoteReference w:id="4"/>
      </w:r>
    </w:p>
    <w:p w14:paraId="28D7A481" w14:textId="77777777" w:rsidR="003C372A" w:rsidRDefault="003C372A" w:rsidP="003C372A">
      <w:pPr>
        <w:pStyle w:val="ListParagraph"/>
        <w:rPr>
          <w:rFonts w:ascii="Arial" w:hAnsi="Arial" w:cs="Arial"/>
        </w:rPr>
      </w:pPr>
    </w:p>
    <w:p w14:paraId="51EC753C" w14:textId="5BE20CB0" w:rsidR="00762A5E" w:rsidRPr="00762A5E" w:rsidRDefault="009F35B8" w:rsidP="009F35B8">
      <w:pPr>
        <w:pStyle w:val="NormalWeb"/>
        <w:shd w:val="clear" w:color="auto" w:fill="FFFFFF"/>
        <w:spacing w:before="0" w:beforeAutospacing="0" w:after="0" w:afterAutospacing="0" w:line="360" w:lineRule="auto"/>
        <w:ind w:left="851" w:right="261"/>
        <w:jc w:val="both"/>
        <w:rPr>
          <w:rFonts w:ascii="Arial" w:hAnsi="Arial" w:cs="Arial"/>
        </w:rPr>
      </w:pPr>
      <w:r>
        <w:rPr>
          <w:rFonts w:ascii="Arial" w:hAnsi="Arial" w:cs="Arial"/>
          <w:lang w:val="en-US"/>
        </w:rPr>
        <w:t>“</w:t>
      </w:r>
      <w:r w:rsidRPr="009F35B8">
        <w:rPr>
          <w:rFonts w:ascii="Arial" w:hAnsi="Arial" w:cs="Arial"/>
          <w:i/>
          <w:iCs/>
          <w:sz w:val="22"/>
          <w:szCs w:val="22"/>
          <w:lang w:val="en-US"/>
        </w:rPr>
        <w:t>In my view it is therefore necessary that there be placed before the court evidence in respect of the factors mentioned in section 9(1) and also, in order to establish properly whether there is an undue benefit warrant</w:t>
      </w:r>
      <w:r w:rsidR="000C4EF2">
        <w:rPr>
          <w:rFonts w:ascii="Arial" w:hAnsi="Arial" w:cs="Arial"/>
          <w:i/>
          <w:iCs/>
          <w:sz w:val="22"/>
          <w:szCs w:val="22"/>
          <w:lang w:val="en-US"/>
        </w:rPr>
        <w:t>ing</w:t>
      </w:r>
      <w:r w:rsidRPr="009F35B8">
        <w:rPr>
          <w:rFonts w:ascii="Arial" w:hAnsi="Arial" w:cs="Arial"/>
          <w:i/>
          <w:iCs/>
          <w:sz w:val="22"/>
          <w:szCs w:val="22"/>
          <w:lang w:val="en-US"/>
        </w:rPr>
        <w:t xml:space="preserve"> the making of an order, evidence of the nature and value of the benefits in respect whereof forfeiture is sought.  It follows that a party making a claim of this nature should plead the necessary facts to support that claim and formulate a proper prayer in the pleadings to define the nature of the relief sought</w:t>
      </w:r>
      <w:r w:rsidRPr="009F35B8">
        <w:rPr>
          <w:rFonts w:ascii="Arial" w:hAnsi="Arial" w:cs="Arial"/>
          <w:lang w:val="en-US"/>
        </w:rPr>
        <w:t>.</w:t>
      </w:r>
      <w:r>
        <w:rPr>
          <w:rFonts w:ascii="Arial" w:hAnsi="Arial" w:cs="Arial"/>
          <w:lang w:val="en-US"/>
        </w:rPr>
        <w:t>”</w:t>
      </w:r>
    </w:p>
    <w:p w14:paraId="775A6F09" w14:textId="77777777" w:rsidR="00762A5E" w:rsidRDefault="00762A5E" w:rsidP="005B28FF">
      <w:pPr>
        <w:pStyle w:val="ListParagraph"/>
        <w:spacing w:after="0" w:line="480" w:lineRule="auto"/>
        <w:rPr>
          <w:rFonts w:ascii="Arial" w:hAnsi="Arial" w:cs="Arial"/>
          <w:lang w:val="en-US"/>
        </w:rPr>
      </w:pPr>
    </w:p>
    <w:p w14:paraId="0C46BA43" w14:textId="0C47B215" w:rsidR="006F2FCE" w:rsidRPr="006F2FC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6F2FCE">
        <w:rPr>
          <w:rFonts w:ascii="Arial" w:hAnsi="Arial" w:cs="Arial"/>
        </w:rPr>
        <w:t>[11]</w:t>
      </w:r>
      <w:r w:rsidRPr="006F2FCE">
        <w:rPr>
          <w:rFonts w:ascii="Arial" w:hAnsi="Arial" w:cs="Arial"/>
        </w:rPr>
        <w:tab/>
      </w:r>
      <w:r w:rsidR="000C6CEE">
        <w:rPr>
          <w:rFonts w:ascii="Arial" w:hAnsi="Arial" w:cs="Arial"/>
          <w:lang w:val="en-US"/>
        </w:rPr>
        <w:t>W</w:t>
      </w:r>
      <w:r w:rsidR="000C6CEE" w:rsidRPr="000C6CEE">
        <w:rPr>
          <w:rFonts w:ascii="Arial" w:hAnsi="Arial" w:cs="Arial"/>
          <w:lang w:val="en-US"/>
        </w:rPr>
        <w:t>hilst</w:t>
      </w:r>
      <w:r w:rsidR="00401482">
        <w:rPr>
          <w:rFonts w:ascii="Arial" w:hAnsi="Arial" w:cs="Arial"/>
          <w:lang w:val="en-US"/>
        </w:rPr>
        <w:t xml:space="preserve"> it is apparent from the record of appeal </w:t>
      </w:r>
      <w:r w:rsidR="000C6CEE">
        <w:rPr>
          <w:rFonts w:ascii="Arial" w:hAnsi="Arial" w:cs="Arial"/>
          <w:lang w:val="en-US"/>
        </w:rPr>
        <w:t xml:space="preserve">that </w:t>
      </w:r>
      <w:r w:rsidR="000C6CEE" w:rsidRPr="000C6CEE">
        <w:rPr>
          <w:rFonts w:ascii="Arial" w:hAnsi="Arial" w:cs="Arial"/>
          <w:lang w:val="en-US"/>
        </w:rPr>
        <w:t>the parties had</w:t>
      </w:r>
      <w:r w:rsidR="003D7597">
        <w:rPr>
          <w:rFonts w:ascii="Arial" w:hAnsi="Arial" w:cs="Arial"/>
          <w:lang w:val="en-US"/>
        </w:rPr>
        <w:t>, by agreement,</w:t>
      </w:r>
      <w:r w:rsidR="00A81C8E">
        <w:rPr>
          <w:rFonts w:ascii="Arial" w:hAnsi="Arial" w:cs="Arial"/>
          <w:lang w:val="en-US"/>
        </w:rPr>
        <w:t xml:space="preserve"> defined the issues in dispute</w:t>
      </w:r>
      <w:r w:rsidR="003D7597">
        <w:rPr>
          <w:rFonts w:ascii="Arial" w:hAnsi="Arial" w:cs="Arial"/>
          <w:lang w:val="en-US"/>
        </w:rPr>
        <w:t xml:space="preserve"> </w:t>
      </w:r>
      <w:r w:rsidR="00A81C8E">
        <w:rPr>
          <w:rFonts w:ascii="Arial" w:hAnsi="Arial" w:cs="Arial"/>
          <w:lang w:val="en-US"/>
        </w:rPr>
        <w:t>prior to the commencement of the trial</w:t>
      </w:r>
      <w:r w:rsidR="00AA2D67">
        <w:rPr>
          <w:rFonts w:ascii="Arial" w:hAnsi="Arial" w:cs="Arial"/>
          <w:lang w:val="en-US"/>
        </w:rPr>
        <w:t>,</w:t>
      </w:r>
      <w:r w:rsidR="000C6CEE" w:rsidRPr="000C6CEE">
        <w:rPr>
          <w:rFonts w:ascii="Arial" w:hAnsi="Arial" w:cs="Arial"/>
          <w:lang w:val="en-US"/>
        </w:rPr>
        <w:t xml:space="preserve"> it remains to be determined whether </w:t>
      </w:r>
      <w:r w:rsidR="00356D4F">
        <w:rPr>
          <w:rFonts w:ascii="Arial" w:hAnsi="Arial" w:cs="Arial"/>
          <w:lang w:val="en-US"/>
        </w:rPr>
        <w:t xml:space="preserve">there </w:t>
      </w:r>
      <w:r w:rsidR="002267CA">
        <w:rPr>
          <w:rFonts w:ascii="Arial" w:hAnsi="Arial" w:cs="Arial"/>
          <w:lang w:val="en-US"/>
        </w:rPr>
        <w:t xml:space="preserve">was </w:t>
      </w:r>
      <w:r w:rsidR="000C6CEE" w:rsidRPr="000C6CEE">
        <w:rPr>
          <w:rFonts w:ascii="Arial" w:hAnsi="Arial" w:cs="Arial"/>
          <w:lang w:val="en-US"/>
        </w:rPr>
        <w:t>sufficient evidence to</w:t>
      </w:r>
      <w:r w:rsidR="006B2456">
        <w:rPr>
          <w:rFonts w:ascii="Arial" w:hAnsi="Arial" w:cs="Arial"/>
          <w:lang w:val="en-US"/>
        </w:rPr>
        <w:t xml:space="preserve"> have</w:t>
      </w:r>
      <w:r w:rsidR="000C6CEE" w:rsidRPr="000C6CEE">
        <w:rPr>
          <w:rFonts w:ascii="Arial" w:hAnsi="Arial" w:cs="Arial"/>
          <w:lang w:val="en-US"/>
        </w:rPr>
        <w:t xml:space="preserve"> enable</w:t>
      </w:r>
      <w:r w:rsidR="006B2456">
        <w:rPr>
          <w:rFonts w:ascii="Arial" w:hAnsi="Arial" w:cs="Arial"/>
          <w:lang w:val="en-US"/>
        </w:rPr>
        <w:t>d</w:t>
      </w:r>
      <w:r w:rsidR="000C6CEE" w:rsidRPr="000C6CEE">
        <w:rPr>
          <w:rFonts w:ascii="Arial" w:hAnsi="Arial" w:cs="Arial"/>
          <w:lang w:val="en-US"/>
        </w:rPr>
        <w:t xml:space="preserve"> </w:t>
      </w:r>
      <w:r w:rsidR="002267CA">
        <w:rPr>
          <w:rFonts w:ascii="Arial" w:hAnsi="Arial" w:cs="Arial"/>
          <w:lang w:val="en-US"/>
        </w:rPr>
        <w:t>the trial</w:t>
      </w:r>
      <w:r w:rsidR="000C6CEE" w:rsidRPr="000C6CEE">
        <w:rPr>
          <w:rFonts w:ascii="Arial" w:hAnsi="Arial" w:cs="Arial"/>
          <w:lang w:val="en-US"/>
        </w:rPr>
        <w:t xml:space="preserve"> court to exercise </w:t>
      </w:r>
      <w:r w:rsidR="00356D4F">
        <w:rPr>
          <w:rFonts w:ascii="Arial" w:hAnsi="Arial" w:cs="Arial"/>
          <w:lang w:val="en-US"/>
        </w:rPr>
        <w:t>a</w:t>
      </w:r>
      <w:r w:rsidR="000C6CEE" w:rsidRPr="000C6CEE">
        <w:rPr>
          <w:rFonts w:ascii="Arial" w:hAnsi="Arial" w:cs="Arial"/>
          <w:lang w:val="en-US"/>
        </w:rPr>
        <w:t xml:space="preserve"> discretion</w:t>
      </w:r>
      <w:r w:rsidR="000C6CEE">
        <w:rPr>
          <w:rFonts w:ascii="Arial" w:hAnsi="Arial" w:cs="Arial"/>
          <w:lang w:val="en-US"/>
        </w:rPr>
        <w:t>,</w:t>
      </w:r>
      <w:r w:rsidR="000C6CEE" w:rsidRPr="000C6CEE">
        <w:rPr>
          <w:rFonts w:ascii="Arial" w:hAnsi="Arial" w:cs="Arial"/>
          <w:lang w:val="en-US"/>
        </w:rPr>
        <w:t xml:space="preserve"> or to</w:t>
      </w:r>
      <w:r w:rsidR="001B334B">
        <w:rPr>
          <w:rFonts w:ascii="Arial" w:hAnsi="Arial" w:cs="Arial"/>
          <w:lang w:val="en-US"/>
        </w:rPr>
        <w:t xml:space="preserve"> have</w:t>
      </w:r>
      <w:r w:rsidR="000C6CEE" w:rsidRPr="000C6CEE">
        <w:rPr>
          <w:rFonts w:ascii="Arial" w:hAnsi="Arial" w:cs="Arial"/>
          <w:lang w:val="en-US"/>
        </w:rPr>
        <w:t xml:space="preserve"> ma</w:t>
      </w:r>
      <w:r w:rsidR="00363984">
        <w:rPr>
          <w:rFonts w:ascii="Arial" w:hAnsi="Arial" w:cs="Arial"/>
          <w:lang w:val="en-US"/>
        </w:rPr>
        <w:t>d</w:t>
      </w:r>
      <w:r w:rsidR="000C6CEE" w:rsidRPr="000C6CEE">
        <w:rPr>
          <w:rFonts w:ascii="Arial" w:hAnsi="Arial" w:cs="Arial"/>
          <w:lang w:val="en-US"/>
        </w:rPr>
        <w:t>e an order specifying the nature and extent of the patrimonial benefits, if any, which ought to</w:t>
      </w:r>
      <w:r w:rsidR="00B4443A">
        <w:rPr>
          <w:rFonts w:ascii="Arial" w:hAnsi="Arial" w:cs="Arial"/>
          <w:lang w:val="en-US"/>
        </w:rPr>
        <w:t xml:space="preserve"> have been</w:t>
      </w:r>
      <w:r w:rsidR="000C6CEE" w:rsidRPr="000C6CEE">
        <w:rPr>
          <w:rFonts w:ascii="Arial" w:hAnsi="Arial" w:cs="Arial"/>
          <w:lang w:val="en-US"/>
        </w:rPr>
        <w:t xml:space="preserve"> be forfeited by the respondent in favour of the appellant.</w:t>
      </w:r>
      <w:r w:rsidR="001B7152">
        <w:rPr>
          <w:rFonts w:ascii="Arial" w:hAnsi="Arial" w:cs="Arial"/>
          <w:lang w:val="en-US"/>
        </w:rPr>
        <w:t xml:space="preserve">  </w:t>
      </w:r>
    </w:p>
    <w:p w14:paraId="3E93193F" w14:textId="2FA29BFB" w:rsidR="00A61902" w:rsidRDefault="000C6CEE" w:rsidP="006F2FCE">
      <w:pPr>
        <w:pStyle w:val="NormalWeb"/>
        <w:shd w:val="clear" w:color="auto" w:fill="FFFFFF"/>
        <w:spacing w:before="0" w:beforeAutospacing="0" w:after="0" w:afterAutospacing="0" w:line="480" w:lineRule="auto"/>
        <w:ind w:left="851" w:right="259"/>
        <w:jc w:val="both"/>
        <w:rPr>
          <w:rFonts w:ascii="Arial" w:hAnsi="Arial" w:cs="Arial"/>
        </w:rPr>
      </w:pPr>
      <w:r>
        <w:rPr>
          <w:rFonts w:ascii="Arial" w:hAnsi="Arial" w:cs="Arial"/>
          <w:lang w:val="en-US"/>
        </w:rPr>
        <w:t xml:space="preserve">   </w:t>
      </w:r>
    </w:p>
    <w:p w14:paraId="1E5B8818" w14:textId="205231A8" w:rsidR="005B726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[12]</w:t>
      </w:r>
      <w:r>
        <w:rPr>
          <w:rFonts w:ascii="Arial" w:hAnsi="Arial" w:cs="Arial"/>
        </w:rPr>
        <w:tab/>
      </w:r>
      <w:r w:rsidR="000C4EF2">
        <w:rPr>
          <w:rFonts w:ascii="Arial" w:hAnsi="Arial" w:cs="Arial"/>
        </w:rPr>
        <w:t>It is accepted that the court</w:t>
      </w:r>
      <w:r w:rsidR="005B726A">
        <w:rPr>
          <w:rFonts w:ascii="Arial" w:hAnsi="Arial" w:cs="Arial"/>
        </w:rPr>
        <w:t>’s point of departure</w:t>
      </w:r>
      <w:r w:rsidR="000C4EF2">
        <w:rPr>
          <w:rFonts w:ascii="Arial" w:hAnsi="Arial" w:cs="Arial"/>
        </w:rPr>
        <w:t>, i</w:t>
      </w:r>
      <w:r w:rsidR="001B7152" w:rsidRPr="001B7152">
        <w:rPr>
          <w:rFonts w:ascii="Arial" w:hAnsi="Arial" w:cs="Arial"/>
        </w:rPr>
        <w:t>n considering a prayer for forfeiture</w:t>
      </w:r>
      <w:r w:rsidR="005B726A">
        <w:rPr>
          <w:rFonts w:ascii="Arial" w:hAnsi="Arial" w:cs="Arial"/>
        </w:rPr>
        <w:t xml:space="preserve">, </w:t>
      </w:r>
      <w:r w:rsidR="001B334B">
        <w:rPr>
          <w:rFonts w:ascii="Arial" w:hAnsi="Arial" w:cs="Arial"/>
        </w:rPr>
        <w:t>was</w:t>
      </w:r>
      <w:r w:rsidR="005B726A">
        <w:rPr>
          <w:rFonts w:ascii="Arial" w:hAnsi="Arial" w:cs="Arial"/>
        </w:rPr>
        <w:t xml:space="preserve"> to </w:t>
      </w:r>
      <w:r w:rsidR="001B334B">
        <w:rPr>
          <w:rFonts w:ascii="Arial" w:hAnsi="Arial" w:cs="Arial"/>
        </w:rPr>
        <w:t>have held</w:t>
      </w:r>
      <w:r w:rsidR="005B726A">
        <w:rPr>
          <w:rFonts w:ascii="Arial" w:hAnsi="Arial" w:cs="Arial"/>
        </w:rPr>
        <w:t xml:space="preserve"> the parties to the matrimonial property regime </w:t>
      </w:r>
      <w:r w:rsidR="005B726A">
        <w:rPr>
          <w:rFonts w:ascii="Arial" w:hAnsi="Arial" w:cs="Arial"/>
        </w:rPr>
        <w:lastRenderedPageBreak/>
        <w:t>elected by them.  In the context of the present dispute, the parties were married in community of property.</w:t>
      </w:r>
    </w:p>
    <w:p w14:paraId="5916EF6F" w14:textId="77777777" w:rsidR="005B726A" w:rsidRDefault="005B726A" w:rsidP="005B726A">
      <w:pPr>
        <w:pStyle w:val="ListParagraph"/>
        <w:spacing w:after="0" w:line="480" w:lineRule="auto"/>
        <w:rPr>
          <w:rFonts w:ascii="Arial" w:hAnsi="Arial" w:cs="Arial"/>
        </w:rPr>
      </w:pPr>
    </w:p>
    <w:p w14:paraId="2C7D2C3D" w14:textId="5FD598C2" w:rsidR="005B726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[13]</w:t>
      </w:r>
      <w:r>
        <w:rPr>
          <w:rFonts w:ascii="Arial" w:hAnsi="Arial" w:cs="Arial"/>
        </w:rPr>
        <w:tab/>
      </w:r>
      <w:r w:rsidR="005B726A">
        <w:rPr>
          <w:rFonts w:ascii="Arial" w:hAnsi="Arial" w:cs="Arial"/>
        </w:rPr>
        <w:t xml:space="preserve">The concept of community of property is described in HR Hahlo, </w:t>
      </w:r>
      <w:r w:rsidR="005B726A">
        <w:rPr>
          <w:rFonts w:ascii="Arial" w:hAnsi="Arial" w:cs="Arial"/>
          <w:i/>
          <w:iCs/>
        </w:rPr>
        <w:t>The South African Law of Husband and Wife</w:t>
      </w:r>
      <w:r w:rsidR="005B726A">
        <w:rPr>
          <w:rFonts w:ascii="Arial" w:hAnsi="Arial" w:cs="Arial"/>
        </w:rPr>
        <w:t xml:space="preserve"> in the following terms:</w:t>
      </w:r>
      <w:r w:rsidR="005B726A">
        <w:rPr>
          <w:rStyle w:val="FootnoteReference"/>
          <w:rFonts w:ascii="Arial" w:hAnsi="Arial" w:cs="Arial"/>
        </w:rPr>
        <w:footnoteReference w:id="5"/>
      </w:r>
    </w:p>
    <w:p w14:paraId="54A9F788" w14:textId="7B5CF938" w:rsidR="005B726A" w:rsidRDefault="005B726A" w:rsidP="005B726A">
      <w:pPr>
        <w:pStyle w:val="ListParagraph"/>
        <w:spacing w:after="0" w:line="480" w:lineRule="auto"/>
        <w:rPr>
          <w:rFonts w:ascii="Arial" w:hAnsi="Arial" w:cs="Arial"/>
        </w:rPr>
      </w:pPr>
    </w:p>
    <w:p w14:paraId="38D1C730" w14:textId="6C74C3CD" w:rsidR="005B726A" w:rsidRPr="005B726A" w:rsidRDefault="005B726A" w:rsidP="005B726A">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r w:rsidRPr="005B726A">
        <w:rPr>
          <w:rFonts w:ascii="Arial" w:hAnsi="Arial" w:cs="Arial"/>
          <w:i/>
          <w:iCs/>
          <w:sz w:val="22"/>
          <w:szCs w:val="22"/>
          <w:lang w:val="en-US"/>
        </w:rPr>
        <w:t>“Community of property is a universal economic partnership of the spouses. All their assets and liabilities are merged in a joint estate, in which both spouses, irrespective of the value of the financial contributions, hold equal shares.”</w:t>
      </w:r>
    </w:p>
    <w:p w14:paraId="2277454A" w14:textId="77777777" w:rsidR="005B726A" w:rsidRDefault="005B726A" w:rsidP="005B726A">
      <w:pPr>
        <w:pStyle w:val="NormalWeb"/>
        <w:shd w:val="clear" w:color="auto" w:fill="FFFFFF"/>
        <w:spacing w:before="0" w:beforeAutospacing="0" w:after="0" w:afterAutospacing="0" w:line="480" w:lineRule="auto"/>
        <w:ind w:left="851" w:right="259"/>
        <w:jc w:val="both"/>
        <w:rPr>
          <w:rFonts w:ascii="Arial" w:hAnsi="Arial" w:cs="Arial"/>
        </w:rPr>
      </w:pPr>
    </w:p>
    <w:p w14:paraId="57BBA3E2" w14:textId="0A7FB1D3" w:rsidR="00DF3516" w:rsidRPr="00DF3516"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DF3516">
        <w:rPr>
          <w:rFonts w:ascii="Arial" w:hAnsi="Arial" w:cs="Arial"/>
        </w:rPr>
        <w:t>[14]</w:t>
      </w:r>
      <w:r w:rsidRPr="00DF3516">
        <w:rPr>
          <w:rFonts w:ascii="Arial" w:hAnsi="Arial" w:cs="Arial"/>
        </w:rPr>
        <w:tab/>
      </w:r>
      <w:r w:rsidR="00E14729">
        <w:rPr>
          <w:rFonts w:ascii="Arial" w:hAnsi="Arial" w:cs="Arial"/>
        </w:rPr>
        <w:t>I</w:t>
      </w:r>
      <w:r w:rsidR="00CC71A6">
        <w:rPr>
          <w:rFonts w:ascii="Arial" w:hAnsi="Arial" w:cs="Arial"/>
        </w:rPr>
        <w:t xml:space="preserve">n the oft-quoted case of </w:t>
      </w:r>
      <w:r w:rsidR="00CC71A6">
        <w:rPr>
          <w:rFonts w:ascii="Arial" w:hAnsi="Arial" w:cs="Arial"/>
          <w:i/>
          <w:iCs/>
        </w:rPr>
        <w:t>Engelbrecht v Engelbrecht</w:t>
      </w:r>
      <w:r w:rsidR="00CC71A6">
        <w:rPr>
          <w:rStyle w:val="FootnoteReference"/>
          <w:rFonts w:ascii="Arial" w:hAnsi="Arial" w:cs="Arial"/>
          <w:i/>
          <w:iCs/>
        </w:rPr>
        <w:footnoteReference w:id="6"/>
      </w:r>
      <w:r w:rsidR="00CC71A6">
        <w:rPr>
          <w:rFonts w:ascii="Arial" w:hAnsi="Arial" w:cs="Arial"/>
          <w:i/>
          <w:iCs/>
        </w:rPr>
        <w:t xml:space="preserve"> </w:t>
      </w:r>
      <w:r w:rsidR="00E14729">
        <w:rPr>
          <w:rFonts w:ascii="Arial" w:hAnsi="Arial" w:cs="Arial"/>
        </w:rPr>
        <w:t xml:space="preserve">the court </w:t>
      </w:r>
      <w:r w:rsidR="00CC71A6" w:rsidRPr="00CC71A6">
        <w:rPr>
          <w:rFonts w:ascii="Arial" w:hAnsi="Arial" w:cs="Arial"/>
          <w:lang w:val="en-US"/>
        </w:rPr>
        <w:t>found that joint ownership of another party's property is a right</w:t>
      </w:r>
      <w:r w:rsidR="00675128">
        <w:rPr>
          <w:rFonts w:ascii="Arial" w:hAnsi="Arial" w:cs="Arial"/>
          <w:lang w:val="en-US"/>
        </w:rPr>
        <w:t>,</w:t>
      </w:r>
      <w:r w:rsidR="00CC71A6" w:rsidRPr="00CC71A6">
        <w:rPr>
          <w:rFonts w:ascii="Arial" w:hAnsi="Arial" w:cs="Arial"/>
          <w:lang w:val="en-US"/>
        </w:rPr>
        <w:t xml:space="preserve"> which each of the spouses acquires on </w:t>
      </w:r>
      <w:r w:rsidR="00DF3516">
        <w:rPr>
          <w:rFonts w:ascii="Arial" w:hAnsi="Arial" w:cs="Arial"/>
          <w:lang w:val="en-US"/>
        </w:rPr>
        <w:t xml:space="preserve">conclusion of a </w:t>
      </w:r>
      <w:r w:rsidR="00CC71A6" w:rsidRPr="00CC71A6">
        <w:rPr>
          <w:rFonts w:ascii="Arial" w:hAnsi="Arial" w:cs="Arial"/>
          <w:lang w:val="en-US"/>
        </w:rPr>
        <w:t>marriage in community of property.</w:t>
      </w:r>
      <w:r w:rsidR="00DF3516">
        <w:rPr>
          <w:rFonts w:ascii="Arial" w:hAnsi="Arial" w:cs="Arial"/>
          <w:lang w:val="en-US"/>
        </w:rPr>
        <w:t xml:space="preserve">  </w:t>
      </w:r>
      <w:r w:rsidR="00DF3516" w:rsidRPr="00DF3516">
        <w:rPr>
          <w:rFonts w:ascii="Arial" w:hAnsi="Arial" w:cs="Arial"/>
          <w:lang w:val="en-US"/>
        </w:rPr>
        <w:t>This is the inevitable consequence of the parties</w:t>
      </w:r>
      <w:r w:rsidR="00DF3516">
        <w:rPr>
          <w:rFonts w:ascii="Arial" w:hAnsi="Arial" w:cs="Arial"/>
          <w:lang w:val="en-US"/>
        </w:rPr>
        <w:t>’</w:t>
      </w:r>
      <w:r w:rsidR="00DF3516" w:rsidRPr="00DF3516">
        <w:rPr>
          <w:rFonts w:ascii="Arial" w:hAnsi="Arial" w:cs="Arial"/>
          <w:lang w:val="en-US"/>
        </w:rPr>
        <w:t xml:space="preserve"> matrimonial regime.</w:t>
      </w:r>
      <w:r w:rsidR="00CC71A6" w:rsidRPr="00CC71A6">
        <w:rPr>
          <w:rFonts w:ascii="Arial" w:hAnsi="Arial" w:cs="Arial"/>
          <w:lang w:val="en-US"/>
        </w:rPr>
        <w:t xml:space="preserve"> </w:t>
      </w:r>
      <w:r w:rsidR="00DF3516">
        <w:rPr>
          <w:rFonts w:ascii="Arial" w:hAnsi="Arial" w:cs="Arial"/>
          <w:lang w:val="en-US"/>
        </w:rPr>
        <w:t xml:space="preserve"> Unless </w:t>
      </w:r>
      <w:r w:rsidR="00CC71A6" w:rsidRPr="00CC71A6">
        <w:rPr>
          <w:rFonts w:ascii="Arial" w:hAnsi="Arial" w:cs="Arial"/>
          <w:lang w:val="en-US"/>
        </w:rPr>
        <w:t>the parties</w:t>
      </w:r>
      <w:r w:rsidR="00DF3516">
        <w:rPr>
          <w:rFonts w:ascii="Arial" w:hAnsi="Arial" w:cs="Arial"/>
          <w:lang w:val="en-US"/>
        </w:rPr>
        <w:t xml:space="preserve">, </w:t>
      </w:r>
      <w:r w:rsidR="00CC71A6" w:rsidRPr="00CC71A6">
        <w:rPr>
          <w:rFonts w:ascii="Arial" w:hAnsi="Arial" w:cs="Arial"/>
          <w:lang w:val="en-US"/>
        </w:rPr>
        <w:t>either before</w:t>
      </w:r>
      <w:r w:rsidR="00DF3516">
        <w:rPr>
          <w:rFonts w:ascii="Arial" w:hAnsi="Arial" w:cs="Arial"/>
          <w:lang w:val="en-US"/>
        </w:rPr>
        <w:t xml:space="preserve"> or</w:t>
      </w:r>
      <w:r w:rsidR="00CC71A6" w:rsidRPr="00CC71A6">
        <w:rPr>
          <w:rFonts w:ascii="Arial" w:hAnsi="Arial" w:cs="Arial"/>
          <w:lang w:val="en-US"/>
        </w:rPr>
        <w:t xml:space="preserve"> during the marriage</w:t>
      </w:r>
      <w:r w:rsidR="00DF3516">
        <w:rPr>
          <w:rFonts w:ascii="Arial" w:hAnsi="Arial" w:cs="Arial"/>
          <w:lang w:val="en-US"/>
        </w:rPr>
        <w:t xml:space="preserve">, contribute in </w:t>
      </w:r>
      <w:r w:rsidR="00CC71A6" w:rsidRPr="00CC71A6">
        <w:rPr>
          <w:rFonts w:ascii="Arial" w:hAnsi="Arial" w:cs="Arial"/>
          <w:lang w:val="en-US"/>
        </w:rPr>
        <w:t xml:space="preserve">precisely equal </w:t>
      </w:r>
      <w:r w:rsidR="00DF3516">
        <w:rPr>
          <w:rFonts w:ascii="Arial" w:hAnsi="Arial" w:cs="Arial"/>
          <w:lang w:val="en-US"/>
        </w:rPr>
        <w:t xml:space="preserve">shares, </w:t>
      </w:r>
      <w:r w:rsidR="00CC71A6" w:rsidRPr="00CC71A6">
        <w:rPr>
          <w:rFonts w:ascii="Arial" w:hAnsi="Arial" w:cs="Arial"/>
          <w:lang w:val="en-US"/>
        </w:rPr>
        <w:t>the party that contributed less</w:t>
      </w:r>
      <w:r w:rsidR="00DF3516">
        <w:rPr>
          <w:rFonts w:ascii="Arial" w:hAnsi="Arial" w:cs="Arial"/>
          <w:lang w:val="en-US"/>
        </w:rPr>
        <w:t>,</w:t>
      </w:r>
      <w:r w:rsidR="00CC71A6" w:rsidRPr="00CC71A6">
        <w:rPr>
          <w:rFonts w:ascii="Arial" w:hAnsi="Arial" w:cs="Arial"/>
          <w:lang w:val="en-US"/>
        </w:rPr>
        <w:t xml:space="preserve"> shall on </w:t>
      </w:r>
      <w:r w:rsidR="00A41271" w:rsidRPr="00CC71A6">
        <w:rPr>
          <w:rFonts w:ascii="Arial" w:hAnsi="Arial" w:cs="Arial"/>
          <w:lang w:val="en-US"/>
        </w:rPr>
        <w:t>dis</w:t>
      </w:r>
      <w:r w:rsidR="00A41271">
        <w:rPr>
          <w:rFonts w:ascii="Arial" w:hAnsi="Arial" w:cs="Arial"/>
          <w:lang w:val="en-US"/>
        </w:rPr>
        <w:t>sol</w:t>
      </w:r>
      <w:r w:rsidR="00A41271" w:rsidRPr="00CC71A6">
        <w:rPr>
          <w:rFonts w:ascii="Arial" w:hAnsi="Arial" w:cs="Arial"/>
          <w:lang w:val="en-US"/>
        </w:rPr>
        <w:t>ution</w:t>
      </w:r>
      <w:r w:rsidR="00CC71A6" w:rsidRPr="00CC71A6">
        <w:rPr>
          <w:rFonts w:ascii="Arial" w:hAnsi="Arial" w:cs="Arial"/>
          <w:lang w:val="en-US"/>
        </w:rPr>
        <w:t xml:space="preserve"> of the marriage</w:t>
      </w:r>
      <w:r w:rsidR="00DF3516">
        <w:rPr>
          <w:rFonts w:ascii="Arial" w:hAnsi="Arial" w:cs="Arial"/>
          <w:lang w:val="en-US"/>
        </w:rPr>
        <w:t>,</w:t>
      </w:r>
      <w:r w:rsidR="00CC71A6" w:rsidRPr="00CC71A6">
        <w:rPr>
          <w:rFonts w:ascii="Arial" w:hAnsi="Arial" w:cs="Arial"/>
          <w:lang w:val="en-US"/>
        </w:rPr>
        <w:t xml:space="preserve"> be benefited above</w:t>
      </w:r>
      <w:r w:rsidR="00DF3516">
        <w:rPr>
          <w:rFonts w:ascii="Arial" w:hAnsi="Arial" w:cs="Arial"/>
          <w:lang w:val="en-US"/>
        </w:rPr>
        <w:t xml:space="preserve"> the other should an order for forfeiture not be granted</w:t>
      </w:r>
      <w:r w:rsidR="00CC71A6" w:rsidRPr="00CC71A6">
        <w:rPr>
          <w:rFonts w:ascii="Arial" w:hAnsi="Arial" w:cs="Arial"/>
          <w:lang w:val="en-US"/>
        </w:rPr>
        <w:t>.</w:t>
      </w:r>
      <w:r w:rsidR="00DF3516" w:rsidRPr="00DF3516">
        <w:rPr>
          <w:rFonts w:ascii="Arial" w:hAnsi="Arial" w:cs="Arial"/>
          <w:lang w:val="en-US"/>
        </w:rPr>
        <w:t xml:space="preserve"> </w:t>
      </w:r>
      <w:r w:rsidR="00DF3516">
        <w:rPr>
          <w:rFonts w:ascii="Arial" w:hAnsi="Arial" w:cs="Arial"/>
          <w:lang w:val="en-US"/>
        </w:rPr>
        <w:t xml:space="preserve"> </w:t>
      </w:r>
      <w:r w:rsidR="00DF3516" w:rsidRPr="00DF3516">
        <w:rPr>
          <w:rFonts w:ascii="Arial" w:hAnsi="Arial" w:cs="Arial"/>
          <w:lang w:val="en-US"/>
        </w:rPr>
        <w:t>Section 9</w:t>
      </w:r>
      <w:r w:rsidR="006646CD">
        <w:rPr>
          <w:rFonts w:ascii="Arial" w:hAnsi="Arial" w:cs="Arial"/>
          <w:lang w:val="en-US"/>
        </w:rPr>
        <w:t>(1)</w:t>
      </w:r>
      <w:r w:rsidR="00DF3516" w:rsidRPr="00DF3516">
        <w:rPr>
          <w:rFonts w:ascii="Arial" w:hAnsi="Arial" w:cs="Arial"/>
          <w:lang w:val="en-US"/>
        </w:rPr>
        <w:t xml:space="preserve"> of the divorce act does not afford the greater contributor </w:t>
      </w:r>
      <w:r w:rsidR="00DF3516">
        <w:rPr>
          <w:rFonts w:ascii="Arial" w:hAnsi="Arial" w:cs="Arial"/>
          <w:lang w:val="en-US"/>
        </w:rPr>
        <w:t xml:space="preserve">a remedy in such circumstances, the remedy only arises in the event that the benefit is undue, having regard to </w:t>
      </w:r>
      <w:r w:rsidR="0061489E">
        <w:rPr>
          <w:rFonts w:ascii="Arial" w:hAnsi="Arial" w:cs="Arial"/>
          <w:lang w:val="en-US"/>
        </w:rPr>
        <w:t xml:space="preserve">the </w:t>
      </w:r>
      <w:r w:rsidR="00DF3516">
        <w:rPr>
          <w:rFonts w:ascii="Arial" w:hAnsi="Arial" w:cs="Arial"/>
          <w:lang w:val="en-US"/>
        </w:rPr>
        <w:t>factors to which I have referred.</w:t>
      </w:r>
      <w:r w:rsidR="00642529">
        <w:rPr>
          <w:rFonts w:ascii="Arial" w:hAnsi="Arial" w:cs="Arial"/>
          <w:lang w:val="en-US"/>
        </w:rPr>
        <w:t xml:space="preserve">  </w:t>
      </w:r>
    </w:p>
    <w:p w14:paraId="71FD39B6" w14:textId="77777777" w:rsidR="00DF3516" w:rsidRPr="00DF3516" w:rsidRDefault="00DF3516" w:rsidP="00DF3516">
      <w:pPr>
        <w:pStyle w:val="NormalWeb"/>
        <w:shd w:val="clear" w:color="auto" w:fill="FFFFFF"/>
        <w:spacing w:before="0" w:beforeAutospacing="0" w:after="0" w:afterAutospacing="0" w:line="480" w:lineRule="auto"/>
        <w:ind w:left="851" w:right="259"/>
        <w:jc w:val="both"/>
        <w:rPr>
          <w:rFonts w:ascii="Arial" w:hAnsi="Arial" w:cs="Arial"/>
        </w:rPr>
      </w:pPr>
    </w:p>
    <w:p w14:paraId="71F9F137" w14:textId="4DE5F89E" w:rsidR="00DF3516" w:rsidRPr="0040148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401482">
        <w:rPr>
          <w:rFonts w:ascii="Arial" w:hAnsi="Arial" w:cs="Arial"/>
        </w:rPr>
        <w:t>[15]</w:t>
      </w:r>
      <w:r w:rsidRPr="00401482">
        <w:rPr>
          <w:rFonts w:ascii="Arial" w:hAnsi="Arial" w:cs="Arial"/>
        </w:rPr>
        <w:tab/>
      </w:r>
      <w:r w:rsidR="00DF3516">
        <w:rPr>
          <w:rFonts w:ascii="Arial" w:hAnsi="Arial" w:cs="Arial"/>
        </w:rPr>
        <w:t xml:space="preserve">Accordingly, the </w:t>
      </w:r>
      <w:r w:rsidR="006957E7">
        <w:rPr>
          <w:rFonts w:ascii="Arial" w:hAnsi="Arial" w:cs="Arial"/>
        </w:rPr>
        <w:t xml:space="preserve">court </w:t>
      </w:r>
      <w:r w:rsidR="00DF3516">
        <w:rPr>
          <w:rFonts w:ascii="Arial" w:hAnsi="Arial" w:cs="Arial"/>
        </w:rPr>
        <w:t xml:space="preserve">in </w:t>
      </w:r>
      <w:r w:rsidR="00DF3516" w:rsidRPr="00DF3516">
        <w:rPr>
          <w:rFonts w:ascii="Arial" w:hAnsi="Arial" w:cs="Arial"/>
          <w:i/>
          <w:iCs/>
        </w:rPr>
        <w:t>Wijker</w:t>
      </w:r>
      <w:r w:rsidR="00DF3516">
        <w:rPr>
          <w:rFonts w:ascii="Arial" w:hAnsi="Arial" w:cs="Arial"/>
        </w:rPr>
        <w:t xml:space="preserve"> in considering the proper approach in determining whether to grant an order in accordance with section 9(1)</w:t>
      </w:r>
      <w:r w:rsidR="00852011">
        <w:rPr>
          <w:rFonts w:ascii="Arial" w:hAnsi="Arial" w:cs="Arial"/>
        </w:rPr>
        <w:t>,</w:t>
      </w:r>
      <w:r w:rsidR="00DF3516">
        <w:rPr>
          <w:rFonts w:ascii="Arial" w:hAnsi="Arial" w:cs="Arial"/>
        </w:rPr>
        <w:t xml:space="preserve"> held </w:t>
      </w:r>
      <w:r w:rsidR="00DF3516">
        <w:rPr>
          <w:rFonts w:ascii="Arial" w:hAnsi="Arial" w:cs="Arial"/>
        </w:rPr>
        <w:lastRenderedPageBreak/>
        <w:t xml:space="preserve">that </w:t>
      </w:r>
      <w:r w:rsidR="00DF3516" w:rsidRPr="00DF3516">
        <w:rPr>
          <w:rFonts w:ascii="Arial" w:hAnsi="Arial" w:cs="Arial"/>
          <w:lang w:val="en-US"/>
        </w:rPr>
        <w:t>the co</w:t>
      </w:r>
      <w:r w:rsidR="00852011">
        <w:rPr>
          <w:rFonts w:ascii="Arial" w:hAnsi="Arial" w:cs="Arial"/>
          <w:lang w:val="en-US"/>
        </w:rPr>
        <w:t xml:space="preserve">urt </w:t>
      </w:r>
      <w:r w:rsidR="00DF3516" w:rsidRPr="00DF3516">
        <w:rPr>
          <w:rFonts w:ascii="Arial" w:hAnsi="Arial" w:cs="Arial"/>
          <w:lang w:val="en-US"/>
        </w:rPr>
        <w:t>would first</w:t>
      </w:r>
      <w:r w:rsidR="00852011">
        <w:rPr>
          <w:rFonts w:ascii="Arial" w:hAnsi="Arial" w:cs="Arial"/>
          <w:lang w:val="en-US"/>
        </w:rPr>
        <w:t xml:space="preserve"> need to</w:t>
      </w:r>
      <w:r w:rsidR="00DF3516" w:rsidRPr="00DF3516">
        <w:rPr>
          <w:rFonts w:ascii="Arial" w:hAnsi="Arial" w:cs="Arial"/>
          <w:lang w:val="en-US"/>
        </w:rPr>
        <w:t xml:space="preserve"> determine whether or not the party against whom the order of forfeiture is sought will in fact be benefited if the order is not made.</w:t>
      </w:r>
      <w:r w:rsidR="00A41271">
        <w:rPr>
          <w:rFonts w:ascii="Arial" w:hAnsi="Arial" w:cs="Arial"/>
          <w:lang w:val="en-US"/>
        </w:rPr>
        <w:t xml:space="preserve">  This is a purely factual </w:t>
      </w:r>
      <w:r w:rsidR="00642529">
        <w:rPr>
          <w:rFonts w:ascii="Arial" w:hAnsi="Arial" w:cs="Arial"/>
          <w:lang w:val="en-US"/>
        </w:rPr>
        <w:t>determination</w:t>
      </w:r>
      <w:r w:rsidR="00A41271">
        <w:rPr>
          <w:rFonts w:ascii="Arial" w:hAnsi="Arial" w:cs="Arial"/>
          <w:lang w:val="en-US"/>
        </w:rPr>
        <w:t>.</w:t>
      </w:r>
      <w:r w:rsidR="00642529">
        <w:rPr>
          <w:rFonts w:ascii="Arial" w:hAnsi="Arial" w:cs="Arial"/>
          <w:lang w:val="en-US"/>
        </w:rPr>
        <w:t xml:space="preserve">  Unless the nature and extent of the benefit are established, the court cannot determine whether the benefit was undue or not.  Only if, and when it is </w:t>
      </w:r>
      <w:r w:rsidR="00DF3516" w:rsidRPr="00DF3516">
        <w:rPr>
          <w:rFonts w:ascii="Arial" w:hAnsi="Arial" w:cs="Arial"/>
          <w:lang w:val="en-US"/>
        </w:rPr>
        <w:t xml:space="preserve">determined that that party will benefit, </w:t>
      </w:r>
      <w:r w:rsidR="00642529">
        <w:rPr>
          <w:rFonts w:ascii="Arial" w:hAnsi="Arial" w:cs="Arial"/>
          <w:lang w:val="en-US"/>
        </w:rPr>
        <w:t>will the court</w:t>
      </w:r>
      <w:r w:rsidR="00852011">
        <w:rPr>
          <w:rFonts w:ascii="Arial" w:hAnsi="Arial" w:cs="Arial"/>
          <w:lang w:val="en-US"/>
        </w:rPr>
        <w:t xml:space="preserve"> move onto the</w:t>
      </w:r>
      <w:r w:rsidR="00DF3516" w:rsidRPr="00DF3516">
        <w:rPr>
          <w:rFonts w:ascii="Arial" w:hAnsi="Arial" w:cs="Arial"/>
          <w:lang w:val="en-US"/>
        </w:rPr>
        <w:t xml:space="preserve"> next inquiry</w:t>
      </w:r>
      <w:r w:rsidR="00852011">
        <w:rPr>
          <w:rFonts w:ascii="Arial" w:hAnsi="Arial" w:cs="Arial"/>
          <w:lang w:val="en-US"/>
        </w:rPr>
        <w:t xml:space="preserve">, being </w:t>
      </w:r>
      <w:r w:rsidR="00DF3516" w:rsidRPr="00DF3516">
        <w:rPr>
          <w:rFonts w:ascii="Arial" w:hAnsi="Arial" w:cs="Arial"/>
          <w:lang w:val="en-US"/>
        </w:rPr>
        <w:t xml:space="preserve">whether such benefit will be an undue </w:t>
      </w:r>
      <w:r w:rsidR="00852011">
        <w:rPr>
          <w:rFonts w:ascii="Arial" w:hAnsi="Arial" w:cs="Arial"/>
          <w:lang w:val="en-US"/>
        </w:rPr>
        <w:t>one.</w:t>
      </w:r>
      <w:r w:rsidR="00F233C3">
        <w:rPr>
          <w:rStyle w:val="FootnoteReference"/>
          <w:rFonts w:ascii="Arial" w:hAnsi="Arial" w:cs="Arial"/>
          <w:lang w:val="en-US"/>
        </w:rPr>
        <w:footnoteReference w:id="7"/>
      </w:r>
      <w:r w:rsidR="00F233C3">
        <w:rPr>
          <w:rFonts w:ascii="Arial" w:hAnsi="Arial" w:cs="Arial"/>
          <w:lang w:val="en-US"/>
        </w:rPr>
        <w:t xml:space="preserve">  </w:t>
      </w:r>
      <w:r w:rsidR="006C5BAE">
        <w:rPr>
          <w:rFonts w:ascii="Arial" w:hAnsi="Arial" w:cs="Arial"/>
          <w:lang w:val="en-US"/>
        </w:rPr>
        <w:t xml:space="preserve">The second stage of the enquiry </w:t>
      </w:r>
      <w:r w:rsidR="00FC47DF">
        <w:rPr>
          <w:rFonts w:ascii="Arial" w:hAnsi="Arial" w:cs="Arial"/>
          <w:lang w:val="en-US"/>
        </w:rPr>
        <w:t xml:space="preserve">involves </w:t>
      </w:r>
      <w:r w:rsidR="006C5BAE">
        <w:rPr>
          <w:rFonts w:ascii="Arial" w:hAnsi="Arial" w:cs="Arial"/>
          <w:lang w:val="en-US"/>
        </w:rPr>
        <w:t xml:space="preserve">a value judgment.  </w:t>
      </w:r>
      <w:r w:rsidR="00F233C3">
        <w:rPr>
          <w:rFonts w:ascii="Arial" w:hAnsi="Arial" w:cs="Arial"/>
          <w:lang w:val="en-US"/>
        </w:rPr>
        <w:t>T</w:t>
      </w:r>
      <w:r w:rsidR="00F233C3" w:rsidRPr="00F233C3">
        <w:rPr>
          <w:rFonts w:ascii="Arial" w:hAnsi="Arial" w:cs="Arial"/>
          <w:lang w:val="en-US"/>
        </w:rPr>
        <w:t>he onus of proving the nature and extent of the alleged benefit which is to be forfeited, is on the party alleging that his or her spouse would acquire an undue benefit</w:t>
      </w:r>
      <w:r w:rsidR="00F233C3">
        <w:rPr>
          <w:rFonts w:ascii="Arial" w:hAnsi="Arial" w:cs="Arial"/>
          <w:lang w:val="en-US"/>
        </w:rPr>
        <w:t>.</w:t>
      </w:r>
    </w:p>
    <w:p w14:paraId="7E4BA823" w14:textId="77777777" w:rsidR="00401482" w:rsidRDefault="00401482" w:rsidP="00401482">
      <w:pPr>
        <w:pStyle w:val="ListParagraph"/>
        <w:spacing w:after="0" w:line="480" w:lineRule="auto"/>
        <w:rPr>
          <w:rFonts w:ascii="Arial" w:hAnsi="Arial" w:cs="Arial"/>
        </w:rPr>
      </w:pPr>
    </w:p>
    <w:p w14:paraId="74A52364" w14:textId="34C03CB7" w:rsidR="00401482" w:rsidRPr="009371C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9371CA">
        <w:rPr>
          <w:rFonts w:ascii="Arial" w:hAnsi="Arial" w:cs="Arial"/>
        </w:rPr>
        <w:t>[16]</w:t>
      </w:r>
      <w:r w:rsidRPr="009371CA">
        <w:rPr>
          <w:rFonts w:ascii="Arial" w:hAnsi="Arial" w:cs="Arial"/>
        </w:rPr>
        <w:tab/>
      </w:r>
      <w:r w:rsidR="00401482">
        <w:rPr>
          <w:rFonts w:ascii="Arial" w:hAnsi="Arial" w:cs="Arial"/>
        </w:rPr>
        <w:t xml:space="preserve">On a reading of the trial court’s judgment, and whilst having </w:t>
      </w:r>
      <w:r w:rsidR="00D04BCE">
        <w:rPr>
          <w:rFonts w:ascii="Arial" w:hAnsi="Arial" w:cs="Arial"/>
        </w:rPr>
        <w:t>referred</w:t>
      </w:r>
      <w:r w:rsidR="009A0D0F">
        <w:rPr>
          <w:rFonts w:ascii="Arial" w:hAnsi="Arial" w:cs="Arial"/>
        </w:rPr>
        <w:t xml:space="preserve"> to the two</w:t>
      </w:r>
      <w:r w:rsidR="009371CA">
        <w:rPr>
          <w:rFonts w:ascii="Arial" w:hAnsi="Arial" w:cs="Arial"/>
        </w:rPr>
        <w:t xml:space="preserve">-stage </w:t>
      </w:r>
      <w:r w:rsidR="009A0D0F">
        <w:rPr>
          <w:rFonts w:ascii="Arial" w:hAnsi="Arial" w:cs="Arial"/>
        </w:rPr>
        <w:t xml:space="preserve">enquiry </w:t>
      </w:r>
      <w:r w:rsidR="009371CA">
        <w:rPr>
          <w:rFonts w:ascii="Arial" w:hAnsi="Arial" w:cs="Arial"/>
        </w:rPr>
        <w:t>as set out i</w:t>
      </w:r>
      <w:r w:rsidR="009A0D0F">
        <w:rPr>
          <w:rFonts w:ascii="Arial" w:hAnsi="Arial" w:cs="Arial"/>
        </w:rPr>
        <w:t xml:space="preserve">n </w:t>
      </w:r>
      <w:r w:rsidR="009A0D0F" w:rsidRPr="00DF3516">
        <w:rPr>
          <w:rFonts w:ascii="Arial" w:hAnsi="Arial" w:cs="Arial"/>
          <w:i/>
          <w:iCs/>
        </w:rPr>
        <w:t>Wijker</w:t>
      </w:r>
      <w:r w:rsidR="009A0D0F">
        <w:rPr>
          <w:rFonts w:ascii="Arial" w:hAnsi="Arial" w:cs="Arial"/>
        </w:rPr>
        <w:t xml:space="preserve">, </w:t>
      </w:r>
      <w:r w:rsidR="00401482">
        <w:rPr>
          <w:rFonts w:ascii="Arial" w:hAnsi="Arial" w:cs="Arial"/>
        </w:rPr>
        <w:t xml:space="preserve">the </w:t>
      </w:r>
      <w:r w:rsidR="009371CA">
        <w:rPr>
          <w:rFonts w:ascii="Arial" w:hAnsi="Arial" w:cs="Arial"/>
        </w:rPr>
        <w:t xml:space="preserve">trial </w:t>
      </w:r>
      <w:r w:rsidR="00401482">
        <w:rPr>
          <w:rFonts w:ascii="Arial" w:hAnsi="Arial" w:cs="Arial"/>
        </w:rPr>
        <w:t xml:space="preserve">court failed </w:t>
      </w:r>
      <w:r w:rsidR="009371CA">
        <w:rPr>
          <w:rFonts w:ascii="Arial" w:hAnsi="Arial" w:cs="Arial"/>
        </w:rPr>
        <w:t xml:space="preserve">in its entirety </w:t>
      </w:r>
      <w:r w:rsidR="00401482">
        <w:rPr>
          <w:rFonts w:ascii="Arial" w:hAnsi="Arial" w:cs="Arial"/>
        </w:rPr>
        <w:t>to</w:t>
      </w:r>
      <w:r w:rsidR="009A0D0F">
        <w:rPr>
          <w:rFonts w:ascii="Arial" w:hAnsi="Arial" w:cs="Arial"/>
        </w:rPr>
        <w:t xml:space="preserve"> consider </w:t>
      </w:r>
      <w:r w:rsidR="00912C4B" w:rsidRPr="00DF3516">
        <w:rPr>
          <w:rFonts w:ascii="Arial" w:hAnsi="Arial" w:cs="Arial"/>
          <w:lang w:val="en-US"/>
        </w:rPr>
        <w:t>whether</w:t>
      </w:r>
      <w:r w:rsidR="009A0D0F" w:rsidRPr="00DF3516">
        <w:rPr>
          <w:rFonts w:ascii="Arial" w:hAnsi="Arial" w:cs="Arial"/>
          <w:lang w:val="en-US"/>
        </w:rPr>
        <w:t xml:space="preserve"> the </w:t>
      </w:r>
      <w:r w:rsidR="009A0D0F">
        <w:rPr>
          <w:rFonts w:ascii="Arial" w:hAnsi="Arial" w:cs="Arial"/>
          <w:lang w:val="en-US"/>
        </w:rPr>
        <w:t>respondent would in fact</w:t>
      </w:r>
      <w:r w:rsidR="003B0406">
        <w:rPr>
          <w:rFonts w:ascii="Arial" w:hAnsi="Arial" w:cs="Arial"/>
          <w:lang w:val="en-US"/>
        </w:rPr>
        <w:t xml:space="preserve"> </w:t>
      </w:r>
      <w:r w:rsidR="00D56DAA">
        <w:rPr>
          <w:rFonts w:ascii="Arial" w:hAnsi="Arial" w:cs="Arial"/>
          <w:lang w:val="en-US"/>
        </w:rPr>
        <w:t xml:space="preserve">have stood </w:t>
      </w:r>
      <w:r w:rsidR="003B0406">
        <w:rPr>
          <w:rFonts w:ascii="Arial" w:hAnsi="Arial" w:cs="Arial"/>
          <w:lang w:val="en-US"/>
        </w:rPr>
        <w:t xml:space="preserve">to </w:t>
      </w:r>
      <w:r w:rsidR="005425DF">
        <w:rPr>
          <w:rFonts w:ascii="Arial" w:hAnsi="Arial" w:cs="Arial"/>
          <w:lang w:val="en-US"/>
        </w:rPr>
        <w:t xml:space="preserve">benefit </w:t>
      </w:r>
      <w:r w:rsidR="009A0D0F" w:rsidRPr="00DF3516">
        <w:rPr>
          <w:rFonts w:ascii="Arial" w:hAnsi="Arial" w:cs="Arial"/>
          <w:lang w:val="en-US"/>
        </w:rPr>
        <w:t xml:space="preserve">if </w:t>
      </w:r>
      <w:r w:rsidR="009A0D0F">
        <w:rPr>
          <w:rFonts w:ascii="Arial" w:hAnsi="Arial" w:cs="Arial"/>
          <w:lang w:val="en-US"/>
        </w:rPr>
        <w:t xml:space="preserve">an order for forfeiture </w:t>
      </w:r>
      <w:r w:rsidR="008D036F">
        <w:rPr>
          <w:rFonts w:ascii="Arial" w:hAnsi="Arial" w:cs="Arial"/>
          <w:lang w:val="en-US"/>
        </w:rPr>
        <w:t>was</w:t>
      </w:r>
      <w:r w:rsidR="009A0D0F" w:rsidRPr="00DF3516">
        <w:rPr>
          <w:rFonts w:ascii="Arial" w:hAnsi="Arial" w:cs="Arial"/>
          <w:lang w:val="en-US"/>
        </w:rPr>
        <w:t xml:space="preserve"> not made</w:t>
      </w:r>
      <w:r w:rsidR="009371CA">
        <w:rPr>
          <w:rFonts w:ascii="Arial" w:hAnsi="Arial" w:cs="Arial"/>
          <w:lang w:val="en-US"/>
        </w:rPr>
        <w:t>.  Seemingly, the trial court’s point of departure</w:t>
      </w:r>
      <w:r w:rsidR="001E772C">
        <w:rPr>
          <w:rFonts w:ascii="Arial" w:hAnsi="Arial" w:cs="Arial"/>
          <w:lang w:val="en-US"/>
        </w:rPr>
        <w:t>, insofar as the enquiry was concerned,</w:t>
      </w:r>
      <w:r w:rsidR="009371CA">
        <w:rPr>
          <w:rFonts w:ascii="Arial" w:hAnsi="Arial" w:cs="Arial"/>
          <w:lang w:val="en-US"/>
        </w:rPr>
        <w:t xml:space="preserve"> was a consideration of the second stage </w:t>
      </w:r>
      <w:r w:rsidR="002104FE">
        <w:rPr>
          <w:rFonts w:ascii="Arial" w:hAnsi="Arial" w:cs="Arial"/>
          <w:lang w:val="en-US"/>
        </w:rPr>
        <w:t>there</w:t>
      </w:r>
      <w:r w:rsidR="009371CA">
        <w:rPr>
          <w:rFonts w:ascii="Arial" w:hAnsi="Arial" w:cs="Arial"/>
          <w:lang w:val="en-US"/>
        </w:rPr>
        <w:t>of, which in itself</w:t>
      </w:r>
      <w:r w:rsidR="005425DF">
        <w:rPr>
          <w:rFonts w:ascii="Arial" w:hAnsi="Arial" w:cs="Arial"/>
          <w:lang w:val="en-US"/>
        </w:rPr>
        <w:t xml:space="preserve"> was</w:t>
      </w:r>
      <w:r w:rsidR="009371CA">
        <w:rPr>
          <w:rFonts w:ascii="Arial" w:hAnsi="Arial" w:cs="Arial"/>
          <w:lang w:val="en-US"/>
        </w:rPr>
        <w:t xml:space="preserve"> wholly insufficient in that proper regard was not had to the factors set out in section 9(1) of the Divorce Act.</w:t>
      </w:r>
      <w:r w:rsidR="00DE3A3D">
        <w:rPr>
          <w:rFonts w:ascii="Arial" w:hAnsi="Arial" w:cs="Arial"/>
          <w:lang w:val="en-US"/>
        </w:rPr>
        <w:t xml:space="preserve">  </w:t>
      </w:r>
      <w:r w:rsidR="001105B3">
        <w:rPr>
          <w:rFonts w:ascii="Arial" w:hAnsi="Arial" w:cs="Arial"/>
          <w:lang w:val="en-US"/>
        </w:rPr>
        <w:t>Consequently</w:t>
      </w:r>
      <w:r w:rsidR="0057211C">
        <w:rPr>
          <w:rFonts w:ascii="Arial" w:hAnsi="Arial" w:cs="Arial"/>
          <w:lang w:val="en-US"/>
        </w:rPr>
        <w:t>, there is no basis upon which the Magistrate could have</w:t>
      </w:r>
      <w:r w:rsidR="00DE3A3D">
        <w:rPr>
          <w:rFonts w:ascii="Arial" w:hAnsi="Arial" w:cs="Arial"/>
          <w:lang w:val="en-US"/>
        </w:rPr>
        <w:t xml:space="preserve"> exercised a value judgment</w:t>
      </w:r>
      <w:r w:rsidR="0057211C">
        <w:rPr>
          <w:rFonts w:ascii="Arial" w:hAnsi="Arial" w:cs="Arial"/>
          <w:lang w:val="en-US"/>
        </w:rPr>
        <w:t>.</w:t>
      </w:r>
      <w:r w:rsidR="009371CA">
        <w:rPr>
          <w:rFonts w:ascii="Arial" w:hAnsi="Arial" w:cs="Arial"/>
          <w:lang w:val="en-US"/>
        </w:rPr>
        <w:t xml:space="preserve"> </w:t>
      </w:r>
    </w:p>
    <w:p w14:paraId="48D75D9E" w14:textId="77777777" w:rsidR="009371CA" w:rsidRDefault="009371CA" w:rsidP="003B0406">
      <w:pPr>
        <w:pStyle w:val="ListParagraph"/>
        <w:spacing w:after="0" w:line="480" w:lineRule="auto"/>
        <w:rPr>
          <w:rFonts w:ascii="Arial" w:hAnsi="Arial" w:cs="Arial"/>
        </w:rPr>
      </w:pPr>
    </w:p>
    <w:p w14:paraId="0CEF0675" w14:textId="5792C5EF" w:rsidR="009371CA" w:rsidRPr="00A41271"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A41271">
        <w:rPr>
          <w:rFonts w:ascii="Arial" w:hAnsi="Arial" w:cs="Arial"/>
        </w:rPr>
        <w:t>[17]</w:t>
      </w:r>
      <w:r w:rsidRPr="00A41271">
        <w:rPr>
          <w:rFonts w:ascii="Arial" w:hAnsi="Arial" w:cs="Arial"/>
        </w:rPr>
        <w:tab/>
      </w:r>
      <w:r w:rsidR="00DE3A3D">
        <w:rPr>
          <w:rFonts w:ascii="Arial" w:hAnsi="Arial" w:cs="Arial"/>
        </w:rPr>
        <w:t xml:space="preserve">For the aforesaid reasons, I am satisfied that the trial court misdirected itself in the application of the legal principles relevant to claims in terms of section 9(1) of the Divorce Act.  Whether or not this misdirection will of necessity </w:t>
      </w:r>
      <w:r w:rsidR="00DE3A3D">
        <w:rPr>
          <w:rFonts w:ascii="Arial" w:hAnsi="Arial" w:cs="Arial"/>
        </w:rPr>
        <w:lastRenderedPageBreak/>
        <w:t xml:space="preserve">lead to an interference </w:t>
      </w:r>
      <w:r w:rsidR="004632FC">
        <w:rPr>
          <w:rFonts w:ascii="Arial" w:hAnsi="Arial" w:cs="Arial"/>
        </w:rPr>
        <w:t>with</w:t>
      </w:r>
      <w:r w:rsidR="00657DFD">
        <w:rPr>
          <w:rFonts w:ascii="Arial" w:hAnsi="Arial" w:cs="Arial"/>
        </w:rPr>
        <w:t xml:space="preserve"> the findings of the trial court will be depend</w:t>
      </w:r>
      <w:r w:rsidR="00C4470A">
        <w:rPr>
          <w:rFonts w:ascii="Arial" w:hAnsi="Arial" w:cs="Arial"/>
        </w:rPr>
        <w:t>e</w:t>
      </w:r>
      <w:r w:rsidR="00657DFD">
        <w:rPr>
          <w:rFonts w:ascii="Arial" w:hAnsi="Arial" w:cs="Arial"/>
        </w:rPr>
        <w:t>nt upon the outcome of a proper assessment of the evidence, in accordance with the stated legal principles.</w:t>
      </w:r>
      <w:r w:rsidR="009371CA">
        <w:rPr>
          <w:rFonts w:ascii="Arial" w:hAnsi="Arial" w:cs="Arial"/>
        </w:rPr>
        <w:t xml:space="preserve">  </w:t>
      </w:r>
    </w:p>
    <w:p w14:paraId="459571A3" w14:textId="77777777" w:rsidR="00A41271" w:rsidRDefault="00A41271" w:rsidP="002F5FA8">
      <w:pPr>
        <w:pStyle w:val="ListParagraph"/>
        <w:spacing w:after="0" w:line="480" w:lineRule="auto"/>
        <w:rPr>
          <w:rFonts w:ascii="Arial" w:hAnsi="Arial" w:cs="Arial"/>
        </w:rPr>
      </w:pPr>
    </w:p>
    <w:p w14:paraId="0173E916" w14:textId="071F570C" w:rsidR="00132764" w:rsidRPr="007B5C1C" w:rsidRDefault="00132764" w:rsidP="00132764">
      <w:pPr>
        <w:spacing w:after="0" w:line="480" w:lineRule="auto"/>
        <w:rPr>
          <w:rFonts w:ascii="Arial" w:hAnsi="Arial" w:cs="Arial"/>
          <w:b/>
          <w:bCs/>
          <w:i/>
          <w:iCs/>
          <w:sz w:val="24"/>
          <w:szCs w:val="24"/>
          <w:u w:val="single"/>
        </w:rPr>
      </w:pPr>
      <w:r w:rsidRPr="007B5C1C">
        <w:rPr>
          <w:rFonts w:ascii="Arial" w:hAnsi="Arial" w:cs="Arial"/>
          <w:b/>
          <w:bCs/>
          <w:i/>
          <w:iCs/>
          <w:sz w:val="24"/>
          <w:szCs w:val="24"/>
          <w:u w:val="single"/>
        </w:rPr>
        <w:t>Benefit</w:t>
      </w:r>
    </w:p>
    <w:p w14:paraId="380AAD78" w14:textId="77777777" w:rsidR="00132764" w:rsidRDefault="00132764" w:rsidP="00132764">
      <w:pPr>
        <w:pStyle w:val="NormalWeb"/>
        <w:shd w:val="clear" w:color="auto" w:fill="FFFFFF"/>
        <w:spacing w:before="0" w:beforeAutospacing="0" w:after="0" w:afterAutospacing="0" w:line="480" w:lineRule="auto"/>
        <w:ind w:left="851" w:right="259"/>
        <w:jc w:val="both"/>
        <w:rPr>
          <w:rFonts w:ascii="Arial" w:hAnsi="Arial" w:cs="Arial"/>
        </w:rPr>
      </w:pPr>
    </w:p>
    <w:p w14:paraId="79DFFDBD" w14:textId="373A6DCB" w:rsidR="00E341F5"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[18]</w:t>
      </w:r>
      <w:r>
        <w:rPr>
          <w:rFonts w:ascii="Arial" w:hAnsi="Arial" w:cs="Arial"/>
        </w:rPr>
        <w:tab/>
      </w:r>
      <w:r w:rsidR="0008764D">
        <w:rPr>
          <w:rFonts w:ascii="Arial" w:hAnsi="Arial" w:cs="Arial"/>
        </w:rPr>
        <w:t xml:space="preserve">Accordingly, </w:t>
      </w:r>
      <w:r w:rsidR="002F5FA8">
        <w:rPr>
          <w:rFonts w:ascii="Arial" w:hAnsi="Arial" w:cs="Arial"/>
        </w:rPr>
        <w:t>I turn to consider whether on the evidence before</w:t>
      </w:r>
      <w:r w:rsidR="008059D1">
        <w:rPr>
          <w:rFonts w:ascii="Arial" w:hAnsi="Arial" w:cs="Arial"/>
        </w:rPr>
        <w:t xml:space="preserve"> the trial</w:t>
      </w:r>
      <w:r w:rsidR="002F5FA8">
        <w:rPr>
          <w:rFonts w:ascii="Arial" w:hAnsi="Arial" w:cs="Arial"/>
        </w:rPr>
        <w:t xml:space="preserve"> court, any benefit </w:t>
      </w:r>
      <w:r w:rsidR="008059D1">
        <w:rPr>
          <w:rFonts w:ascii="Arial" w:hAnsi="Arial" w:cs="Arial"/>
        </w:rPr>
        <w:t>arose</w:t>
      </w:r>
      <w:r w:rsidR="002F5FA8">
        <w:rPr>
          <w:rFonts w:ascii="Arial" w:hAnsi="Arial" w:cs="Arial"/>
        </w:rPr>
        <w:t xml:space="preserve">.  In doing so, I recount the evidence of the trial court only insofar as it is necessary for the purposes of this judgment.  </w:t>
      </w:r>
    </w:p>
    <w:p w14:paraId="21164648" w14:textId="77777777" w:rsidR="00E341F5" w:rsidRDefault="00E341F5" w:rsidP="00C609B7">
      <w:pPr>
        <w:pStyle w:val="ListParagraph"/>
        <w:spacing w:after="0" w:line="480" w:lineRule="auto"/>
        <w:rPr>
          <w:rFonts w:ascii="Arial" w:hAnsi="Arial" w:cs="Arial"/>
        </w:rPr>
      </w:pPr>
    </w:p>
    <w:p w14:paraId="5E3ACA2F" w14:textId="3DC12F25" w:rsidR="00CB77A0"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[19]</w:t>
      </w:r>
      <w:r>
        <w:rPr>
          <w:rFonts w:ascii="Arial" w:hAnsi="Arial" w:cs="Arial"/>
        </w:rPr>
        <w:tab/>
      </w:r>
      <w:r w:rsidR="00E56286">
        <w:rPr>
          <w:rFonts w:ascii="Arial" w:hAnsi="Arial" w:cs="Arial"/>
        </w:rPr>
        <w:t xml:space="preserve">The vehicle was purchased by the appellant for an amount of R168,137.50 during the subsistence of the marriage, </w:t>
      </w:r>
      <w:r w:rsidR="00E56286" w:rsidRPr="00E56286">
        <w:rPr>
          <w:rFonts w:ascii="Arial" w:hAnsi="Arial" w:cs="Arial"/>
          <w:i/>
          <w:iCs/>
        </w:rPr>
        <w:t>albeit</w:t>
      </w:r>
      <w:r w:rsidR="00E56286">
        <w:rPr>
          <w:rFonts w:ascii="Arial" w:hAnsi="Arial" w:cs="Arial"/>
        </w:rPr>
        <w:t xml:space="preserve"> post 2015.  In the absence of any evidence to the contrary, and for the purposes of this judgment, I shall assume that the value of the vehicle </w:t>
      </w:r>
      <w:r w:rsidR="007325C6">
        <w:rPr>
          <w:rFonts w:ascii="Arial" w:hAnsi="Arial" w:cs="Arial"/>
        </w:rPr>
        <w:t>equates to</w:t>
      </w:r>
      <w:r w:rsidR="00E56286">
        <w:rPr>
          <w:rFonts w:ascii="Arial" w:hAnsi="Arial" w:cs="Arial"/>
        </w:rPr>
        <w:t xml:space="preserve"> the purchase price</w:t>
      </w:r>
      <w:r w:rsidR="007325C6">
        <w:rPr>
          <w:rFonts w:ascii="Arial" w:hAnsi="Arial" w:cs="Arial"/>
        </w:rPr>
        <w:t xml:space="preserve">.  The vehicle </w:t>
      </w:r>
      <w:r w:rsidR="00E56286">
        <w:rPr>
          <w:rFonts w:ascii="Arial" w:hAnsi="Arial" w:cs="Arial"/>
        </w:rPr>
        <w:t>was fully financed through WesBank</w:t>
      </w:r>
      <w:r w:rsidR="007325C6">
        <w:rPr>
          <w:rFonts w:ascii="Arial" w:hAnsi="Arial" w:cs="Arial"/>
        </w:rPr>
        <w:t xml:space="preserve"> and a</w:t>
      </w:r>
      <w:r w:rsidR="00E56286">
        <w:rPr>
          <w:rFonts w:ascii="Arial" w:hAnsi="Arial" w:cs="Arial"/>
        </w:rPr>
        <w:t>ccordingly, an asset with corresponding liability was brought into the joint estate by virtue of the parties’ marriage in community of property.</w:t>
      </w:r>
      <w:r w:rsidR="00B31AAB">
        <w:rPr>
          <w:rFonts w:ascii="Arial" w:hAnsi="Arial" w:cs="Arial"/>
        </w:rPr>
        <w:t xml:space="preserve">  </w:t>
      </w:r>
      <w:r w:rsidR="00D231C7">
        <w:rPr>
          <w:rFonts w:ascii="Arial" w:hAnsi="Arial" w:cs="Arial"/>
        </w:rPr>
        <w:t>Put differently, n</w:t>
      </w:r>
      <w:r w:rsidR="00B31AAB">
        <w:rPr>
          <w:rFonts w:ascii="Arial" w:hAnsi="Arial" w:cs="Arial"/>
        </w:rPr>
        <w:t>o nett asset was brought into the joint estate.</w:t>
      </w:r>
      <w:r w:rsidR="00E56286">
        <w:rPr>
          <w:rFonts w:ascii="Arial" w:hAnsi="Arial" w:cs="Arial"/>
        </w:rPr>
        <w:t xml:space="preserve">  </w:t>
      </w:r>
      <w:r w:rsidR="007325C6">
        <w:rPr>
          <w:rFonts w:ascii="Arial" w:hAnsi="Arial" w:cs="Arial"/>
        </w:rPr>
        <w:t xml:space="preserve">No evidence was led at trial as to the value of the vehicle at the time of divorce.  The evidence led was speculative in nature, with reference to the </w:t>
      </w:r>
      <w:r w:rsidR="00CB77A0">
        <w:rPr>
          <w:rFonts w:ascii="Arial" w:hAnsi="Arial" w:cs="Arial"/>
        </w:rPr>
        <w:t xml:space="preserve">amount owing on the car in terms of the asset and finance agreement </w:t>
      </w:r>
      <w:r w:rsidR="00DE4A55">
        <w:rPr>
          <w:rFonts w:ascii="Arial" w:hAnsi="Arial" w:cs="Arial"/>
        </w:rPr>
        <w:t xml:space="preserve">as </w:t>
      </w:r>
      <w:r w:rsidR="00FF0072">
        <w:rPr>
          <w:rFonts w:ascii="Arial" w:hAnsi="Arial" w:cs="Arial"/>
        </w:rPr>
        <w:t>of</w:t>
      </w:r>
      <w:r w:rsidR="00CB77A0">
        <w:rPr>
          <w:rFonts w:ascii="Arial" w:hAnsi="Arial" w:cs="Arial"/>
        </w:rPr>
        <w:t xml:space="preserve"> 31 January 2021, in the amount of R128,090.48.  Th</w:t>
      </w:r>
      <w:r w:rsidR="00E43AB2">
        <w:rPr>
          <w:rFonts w:ascii="Arial" w:hAnsi="Arial" w:cs="Arial"/>
        </w:rPr>
        <w:t xml:space="preserve">is amount </w:t>
      </w:r>
      <w:r w:rsidR="00CB77A0">
        <w:rPr>
          <w:rFonts w:ascii="Arial" w:hAnsi="Arial" w:cs="Arial"/>
        </w:rPr>
        <w:t>bears no correlation to the value of the vehicle, which value would</w:t>
      </w:r>
      <w:r w:rsidR="00145432">
        <w:rPr>
          <w:rFonts w:ascii="Arial" w:hAnsi="Arial" w:cs="Arial"/>
        </w:rPr>
        <w:t>,</w:t>
      </w:r>
      <w:r w:rsidR="006627DD">
        <w:rPr>
          <w:rFonts w:ascii="Arial" w:hAnsi="Arial" w:cs="Arial"/>
        </w:rPr>
        <w:t xml:space="preserve"> of necessity</w:t>
      </w:r>
      <w:r w:rsidR="00145432">
        <w:rPr>
          <w:rFonts w:ascii="Arial" w:hAnsi="Arial" w:cs="Arial"/>
        </w:rPr>
        <w:t>,</w:t>
      </w:r>
      <w:r w:rsidR="00CB77A0">
        <w:rPr>
          <w:rFonts w:ascii="Arial" w:hAnsi="Arial" w:cs="Arial"/>
        </w:rPr>
        <w:t xml:space="preserve"> be dependent on the age of the vehicle; the condition of the vehicle; and the current mileage thereof.  I am satisfied that the appellant failed to prove the value of the vehicle at the time of </w:t>
      </w:r>
      <w:r w:rsidR="00CB77A0">
        <w:rPr>
          <w:rFonts w:ascii="Arial" w:hAnsi="Arial" w:cs="Arial"/>
        </w:rPr>
        <w:lastRenderedPageBreak/>
        <w:t xml:space="preserve">divorce and concomitantly, she failed to establish the nature and extent of the benefit, if any, </w:t>
      </w:r>
      <w:r w:rsidR="001232B3">
        <w:rPr>
          <w:rFonts w:ascii="Arial" w:hAnsi="Arial" w:cs="Arial"/>
        </w:rPr>
        <w:t xml:space="preserve">that </w:t>
      </w:r>
      <w:r w:rsidR="00CB77A0">
        <w:rPr>
          <w:rFonts w:ascii="Arial" w:hAnsi="Arial" w:cs="Arial"/>
        </w:rPr>
        <w:t xml:space="preserve">the respondent would </w:t>
      </w:r>
      <w:r w:rsidR="0001666C">
        <w:rPr>
          <w:rFonts w:ascii="Arial" w:hAnsi="Arial" w:cs="Arial"/>
        </w:rPr>
        <w:t xml:space="preserve">have </w:t>
      </w:r>
      <w:r w:rsidR="00CB77A0">
        <w:rPr>
          <w:rFonts w:ascii="Arial" w:hAnsi="Arial" w:cs="Arial"/>
        </w:rPr>
        <w:t>derive</w:t>
      </w:r>
      <w:r w:rsidR="0001666C">
        <w:rPr>
          <w:rFonts w:ascii="Arial" w:hAnsi="Arial" w:cs="Arial"/>
        </w:rPr>
        <w:t>d</w:t>
      </w:r>
      <w:r w:rsidR="00CB77A0">
        <w:rPr>
          <w:rFonts w:ascii="Arial" w:hAnsi="Arial" w:cs="Arial"/>
        </w:rPr>
        <w:t xml:space="preserve">, should the joint estate </w:t>
      </w:r>
      <w:r w:rsidR="0001666C">
        <w:rPr>
          <w:rFonts w:ascii="Arial" w:hAnsi="Arial" w:cs="Arial"/>
        </w:rPr>
        <w:t xml:space="preserve">have </w:t>
      </w:r>
      <w:r w:rsidR="00CB77A0">
        <w:rPr>
          <w:rFonts w:ascii="Arial" w:hAnsi="Arial" w:cs="Arial"/>
        </w:rPr>
        <w:t>b</w:t>
      </w:r>
      <w:r w:rsidR="0001666C">
        <w:rPr>
          <w:rFonts w:ascii="Arial" w:hAnsi="Arial" w:cs="Arial"/>
        </w:rPr>
        <w:t>e</w:t>
      </w:r>
      <w:r w:rsidR="00CB77A0">
        <w:rPr>
          <w:rFonts w:ascii="Arial" w:hAnsi="Arial" w:cs="Arial"/>
        </w:rPr>
        <w:t>e</w:t>
      </w:r>
      <w:r w:rsidR="0001666C">
        <w:rPr>
          <w:rFonts w:ascii="Arial" w:hAnsi="Arial" w:cs="Arial"/>
        </w:rPr>
        <w:t>n</w:t>
      </w:r>
      <w:r w:rsidR="00CB77A0">
        <w:rPr>
          <w:rFonts w:ascii="Arial" w:hAnsi="Arial" w:cs="Arial"/>
        </w:rPr>
        <w:t xml:space="preserve"> divided in the ordinary course.  </w:t>
      </w:r>
    </w:p>
    <w:p w14:paraId="01E7CA04" w14:textId="77777777" w:rsidR="00CB77A0" w:rsidRDefault="00CB77A0" w:rsidP="00CB77A0">
      <w:pPr>
        <w:pStyle w:val="NormalWeb"/>
        <w:shd w:val="clear" w:color="auto" w:fill="FFFFFF"/>
        <w:spacing w:before="0" w:beforeAutospacing="0" w:after="0" w:afterAutospacing="0" w:line="480" w:lineRule="auto"/>
        <w:ind w:left="851" w:right="259"/>
        <w:jc w:val="both"/>
        <w:rPr>
          <w:rFonts w:ascii="Arial" w:hAnsi="Arial" w:cs="Arial"/>
        </w:rPr>
      </w:pPr>
    </w:p>
    <w:p w14:paraId="56EEC85C" w14:textId="65B3CCB5" w:rsidR="008D764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[20]</w:t>
      </w:r>
      <w:r>
        <w:rPr>
          <w:rFonts w:ascii="Arial" w:hAnsi="Arial" w:cs="Arial"/>
        </w:rPr>
        <w:tab/>
      </w:r>
      <w:r w:rsidR="00C178AE">
        <w:rPr>
          <w:rFonts w:ascii="Arial" w:hAnsi="Arial" w:cs="Arial"/>
        </w:rPr>
        <w:t xml:space="preserve">The immovable property was purchased during the subsistence of the marriage </w:t>
      </w:r>
      <w:r w:rsidR="0039162E">
        <w:rPr>
          <w:rFonts w:ascii="Arial" w:hAnsi="Arial" w:cs="Arial"/>
        </w:rPr>
        <w:t>for a</w:t>
      </w:r>
      <w:r w:rsidR="008D764D">
        <w:rPr>
          <w:rFonts w:ascii="Arial" w:hAnsi="Arial" w:cs="Arial"/>
        </w:rPr>
        <w:t xml:space="preserve"> purchase consideration </w:t>
      </w:r>
      <w:r w:rsidR="0039162E">
        <w:rPr>
          <w:rFonts w:ascii="Arial" w:hAnsi="Arial" w:cs="Arial"/>
        </w:rPr>
        <w:t xml:space="preserve">of R587,389.00 and was </w:t>
      </w:r>
      <w:r w:rsidR="000E6D65">
        <w:rPr>
          <w:rFonts w:ascii="Arial" w:hAnsi="Arial" w:cs="Arial"/>
        </w:rPr>
        <w:t xml:space="preserve">fully </w:t>
      </w:r>
      <w:r w:rsidR="0039162E">
        <w:rPr>
          <w:rFonts w:ascii="Arial" w:hAnsi="Arial" w:cs="Arial"/>
        </w:rPr>
        <w:t>bonded in favour of Nedbank</w:t>
      </w:r>
      <w:r w:rsidR="008023F2">
        <w:rPr>
          <w:rFonts w:ascii="Arial" w:hAnsi="Arial" w:cs="Arial"/>
        </w:rPr>
        <w:t xml:space="preserve">.  The parties accepted equal responsibility for the repayment thereof.  </w:t>
      </w:r>
      <w:r w:rsidR="008D764D">
        <w:rPr>
          <w:rFonts w:ascii="Arial" w:hAnsi="Arial" w:cs="Arial"/>
        </w:rPr>
        <w:t>Whilst the parties testified that the property was registered in their names during or about 2009,</w:t>
      </w:r>
      <w:r w:rsidR="000241A3">
        <w:rPr>
          <w:rFonts w:ascii="Arial" w:hAnsi="Arial" w:cs="Arial"/>
        </w:rPr>
        <w:t xml:space="preserve"> it </w:t>
      </w:r>
      <w:r w:rsidR="005E3A52">
        <w:rPr>
          <w:rFonts w:ascii="Arial" w:hAnsi="Arial" w:cs="Arial"/>
        </w:rPr>
        <w:t>was</w:t>
      </w:r>
      <w:r w:rsidR="000241A3">
        <w:rPr>
          <w:rFonts w:ascii="Arial" w:hAnsi="Arial" w:cs="Arial"/>
        </w:rPr>
        <w:t xml:space="preserve"> apparent </w:t>
      </w:r>
      <w:r w:rsidR="000241A3" w:rsidRPr="000241A3">
        <w:rPr>
          <w:rFonts w:ascii="Arial" w:hAnsi="Arial" w:cs="Arial"/>
          <w:i/>
          <w:iCs/>
        </w:rPr>
        <w:t>ex facie</w:t>
      </w:r>
      <w:r w:rsidR="008D764D">
        <w:rPr>
          <w:rFonts w:ascii="Arial" w:hAnsi="Arial" w:cs="Arial"/>
        </w:rPr>
        <w:t xml:space="preserve"> </w:t>
      </w:r>
      <w:r w:rsidR="00CC623D">
        <w:rPr>
          <w:rFonts w:ascii="Arial" w:hAnsi="Arial" w:cs="Arial"/>
        </w:rPr>
        <w:t>the</w:t>
      </w:r>
      <w:r w:rsidR="008D764D">
        <w:rPr>
          <w:rFonts w:ascii="Arial" w:hAnsi="Arial" w:cs="Arial"/>
        </w:rPr>
        <w:t xml:space="preserve"> statement of account issued by Nedbank on 30 November 2020, which </w:t>
      </w:r>
      <w:r w:rsidR="0069448C">
        <w:rPr>
          <w:rFonts w:ascii="Arial" w:hAnsi="Arial" w:cs="Arial"/>
        </w:rPr>
        <w:t>had been</w:t>
      </w:r>
      <w:r w:rsidR="008D764D">
        <w:rPr>
          <w:rFonts w:ascii="Arial" w:hAnsi="Arial" w:cs="Arial"/>
        </w:rPr>
        <w:t xml:space="preserve"> tendered into evidence</w:t>
      </w:r>
      <w:r w:rsidR="00116917">
        <w:rPr>
          <w:rFonts w:ascii="Arial" w:hAnsi="Arial" w:cs="Arial"/>
        </w:rPr>
        <w:t xml:space="preserve"> in the court below</w:t>
      </w:r>
      <w:r w:rsidR="008D764D">
        <w:rPr>
          <w:rFonts w:ascii="Arial" w:hAnsi="Arial" w:cs="Arial"/>
        </w:rPr>
        <w:t xml:space="preserve">, </w:t>
      </w:r>
      <w:r w:rsidR="00E004FE">
        <w:rPr>
          <w:rFonts w:ascii="Arial" w:hAnsi="Arial" w:cs="Arial"/>
        </w:rPr>
        <w:t xml:space="preserve">that </w:t>
      </w:r>
      <w:r w:rsidR="008D764D">
        <w:rPr>
          <w:rFonts w:ascii="Arial" w:hAnsi="Arial" w:cs="Arial"/>
        </w:rPr>
        <w:t xml:space="preserve">the parties took transfer of the immovable property on 27 November </w:t>
      </w:r>
      <w:r w:rsidR="00297260">
        <w:rPr>
          <w:rFonts w:ascii="Arial" w:hAnsi="Arial" w:cs="Arial"/>
        </w:rPr>
        <w:t>2008.</w:t>
      </w:r>
      <w:r w:rsidR="005177FD">
        <w:rPr>
          <w:rFonts w:ascii="Arial" w:hAnsi="Arial" w:cs="Arial"/>
        </w:rPr>
        <w:t xml:space="preserve"> </w:t>
      </w:r>
      <w:r w:rsidR="00116917">
        <w:rPr>
          <w:rFonts w:ascii="Arial" w:hAnsi="Arial" w:cs="Arial"/>
        </w:rPr>
        <w:t xml:space="preserve"> </w:t>
      </w:r>
      <w:r w:rsidR="005177FD">
        <w:rPr>
          <w:rFonts w:ascii="Arial" w:hAnsi="Arial" w:cs="Arial"/>
        </w:rPr>
        <w:t xml:space="preserve"> Assuming, for the purposes of this judgment, that the value of the property at the date of purchase corresponded with the purchase price, the value of the liability cancelled out the value of the asset. </w:t>
      </w:r>
    </w:p>
    <w:p w14:paraId="21896048" w14:textId="77777777" w:rsidR="008D764D" w:rsidRDefault="008D764D" w:rsidP="00CC26DE">
      <w:pPr>
        <w:pStyle w:val="ListParagraph"/>
        <w:spacing w:after="0" w:line="480" w:lineRule="auto"/>
        <w:rPr>
          <w:rFonts w:ascii="Arial" w:hAnsi="Arial" w:cs="Arial"/>
        </w:rPr>
      </w:pPr>
    </w:p>
    <w:p w14:paraId="2318B694" w14:textId="5047988A" w:rsidR="0032260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[21]</w:t>
      </w:r>
      <w:r>
        <w:rPr>
          <w:rFonts w:ascii="Arial" w:hAnsi="Arial" w:cs="Arial"/>
        </w:rPr>
        <w:tab/>
      </w:r>
      <w:r w:rsidR="0085625B">
        <w:rPr>
          <w:rFonts w:ascii="Arial" w:hAnsi="Arial" w:cs="Arial"/>
        </w:rPr>
        <w:t>On the record, i</w:t>
      </w:r>
      <w:r w:rsidR="0039162E">
        <w:rPr>
          <w:rFonts w:ascii="Arial" w:hAnsi="Arial" w:cs="Arial"/>
        </w:rPr>
        <w:t xml:space="preserve">t </w:t>
      </w:r>
      <w:r w:rsidR="0085625B">
        <w:rPr>
          <w:rFonts w:ascii="Arial" w:hAnsi="Arial" w:cs="Arial"/>
        </w:rPr>
        <w:t>wa</w:t>
      </w:r>
      <w:r w:rsidR="0039162E">
        <w:rPr>
          <w:rFonts w:ascii="Arial" w:hAnsi="Arial" w:cs="Arial"/>
        </w:rPr>
        <w:t>s common cause that the respondent was responsible for the payment of the bond instalments</w:t>
      </w:r>
      <w:r w:rsidR="00E004FE">
        <w:rPr>
          <w:rFonts w:ascii="Arial" w:hAnsi="Arial" w:cs="Arial"/>
        </w:rPr>
        <w:t xml:space="preserve"> from the date on which the parties took transfer</w:t>
      </w:r>
      <w:r w:rsidR="0039162E">
        <w:rPr>
          <w:rFonts w:ascii="Arial" w:hAnsi="Arial" w:cs="Arial"/>
        </w:rPr>
        <w:t xml:space="preserve"> </w:t>
      </w:r>
      <w:r w:rsidR="00FB2097">
        <w:rPr>
          <w:rFonts w:ascii="Arial" w:hAnsi="Arial" w:cs="Arial"/>
        </w:rPr>
        <w:t xml:space="preserve">of the immovable property </w:t>
      </w:r>
      <w:r w:rsidR="0039162E">
        <w:rPr>
          <w:rFonts w:ascii="Arial" w:hAnsi="Arial" w:cs="Arial"/>
        </w:rPr>
        <w:t xml:space="preserve">up until he lost his employment </w:t>
      </w:r>
      <w:r w:rsidR="00E004FE">
        <w:rPr>
          <w:rFonts w:ascii="Arial" w:hAnsi="Arial" w:cs="Arial"/>
        </w:rPr>
        <w:t>during the course of</w:t>
      </w:r>
      <w:r w:rsidR="0039162E">
        <w:rPr>
          <w:rFonts w:ascii="Arial" w:hAnsi="Arial" w:cs="Arial"/>
        </w:rPr>
        <w:t xml:space="preserve"> 2013</w:t>
      </w:r>
      <w:r w:rsidR="00FB2097">
        <w:rPr>
          <w:rFonts w:ascii="Arial" w:hAnsi="Arial" w:cs="Arial"/>
        </w:rPr>
        <w:t xml:space="preserve">.  From 2014 to the date of trial, </w:t>
      </w:r>
      <w:r w:rsidR="0039162E">
        <w:rPr>
          <w:rFonts w:ascii="Arial" w:hAnsi="Arial" w:cs="Arial"/>
        </w:rPr>
        <w:t>the appellant was responsible</w:t>
      </w:r>
      <w:r w:rsidR="00FB2097">
        <w:rPr>
          <w:rFonts w:ascii="Arial" w:hAnsi="Arial" w:cs="Arial"/>
        </w:rPr>
        <w:t xml:space="preserve"> for the payment thereof</w:t>
      </w:r>
      <w:r w:rsidR="0039162E">
        <w:rPr>
          <w:rFonts w:ascii="Arial" w:hAnsi="Arial" w:cs="Arial"/>
        </w:rPr>
        <w:t>.</w:t>
      </w:r>
      <w:r w:rsidR="00904AD1">
        <w:rPr>
          <w:rFonts w:ascii="Arial" w:hAnsi="Arial" w:cs="Arial"/>
        </w:rPr>
        <w:t xml:space="preserve">  Accordingly, and despite it having been put to the appellant that the respondent had paid such instalments for approximately 3.5 years versus the </w:t>
      </w:r>
      <w:r w:rsidR="00CA556E">
        <w:rPr>
          <w:rFonts w:ascii="Arial" w:hAnsi="Arial" w:cs="Arial"/>
        </w:rPr>
        <w:t xml:space="preserve">appellant’s contributions over a period of </w:t>
      </w:r>
      <w:r w:rsidR="00904AD1">
        <w:rPr>
          <w:rFonts w:ascii="Arial" w:hAnsi="Arial" w:cs="Arial"/>
        </w:rPr>
        <w:t>8 years</w:t>
      </w:r>
      <w:r w:rsidR="00CA556E">
        <w:rPr>
          <w:rFonts w:ascii="Arial" w:hAnsi="Arial" w:cs="Arial"/>
        </w:rPr>
        <w:t xml:space="preserve">, this </w:t>
      </w:r>
      <w:r w:rsidR="0085625B">
        <w:rPr>
          <w:rFonts w:ascii="Arial" w:hAnsi="Arial" w:cs="Arial"/>
        </w:rPr>
        <w:t>was</w:t>
      </w:r>
      <w:r w:rsidR="00CA556E">
        <w:rPr>
          <w:rFonts w:ascii="Arial" w:hAnsi="Arial" w:cs="Arial"/>
        </w:rPr>
        <w:t xml:space="preserve"> objectively, on the facts, incorrect.  As at the time of divorce, the respondent and the appellant had contributed towards the </w:t>
      </w:r>
      <w:r w:rsidR="00CA556E">
        <w:rPr>
          <w:rFonts w:ascii="Arial" w:hAnsi="Arial" w:cs="Arial"/>
        </w:rPr>
        <w:lastRenderedPageBreak/>
        <w:t>instalments for a period of 5 and 8 years respectively.</w:t>
      </w:r>
      <w:r w:rsidR="00CD4D0B">
        <w:rPr>
          <w:rFonts w:ascii="Arial" w:hAnsi="Arial" w:cs="Arial"/>
        </w:rPr>
        <w:t xml:space="preserve">  Profits</w:t>
      </w:r>
      <w:r w:rsidR="0086307D">
        <w:rPr>
          <w:rFonts w:ascii="Arial" w:hAnsi="Arial" w:cs="Arial"/>
        </w:rPr>
        <w:t xml:space="preserve"> in the amount of R90,000.00</w:t>
      </w:r>
      <w:r w:rsidR="00CD4D0B">
        <w:rPr>
          <w:rFonts w:ascii="Arial" w:hAnsi="Arial" w:cs="Arial"/>
        </w:rPr>
        <w:t xml:space="preserve"> from the sale of an immovable property situated in Motherwell, which the respondent</w:t>
      </w:r>
      <w:r w:rsidR="00A159BB">
        <w:rPr>
          <w:rFonts w:ascii="Arial" w:hAnsi="Arial" w:cs="Arial"/>
        </w:rPr>
        <w:t xml:space="preserve"> owned prior to the parties’ marriage, and which was brought into the joint estate and </w:t>
      </w:r>
      <w:r w:rsidR="00CD4D0B">
        <w:rPr>
          <w:rFonts w:ascii="Arial" w:hAnsi="Arial" w:cs="Arial"/>
        </w:rPr>
        <w:t xml:space="preserve">utilised by the parties as their first matrimonial home, were </w:t>
      </w:r>
      <w:r w:rsidR="00A93FA7">
        <w:rPr>
          <w:rFonts w:ascii="Arial" w:hAnsi="Arial" w:cs="Arial"/>
        </w:rPr>
        <w:t>for the most part</w:t>
      </w:r>
      <w:r w:rsidR="00CD4D0B">
        <w:rPr>
          <w:rFonts w:ascii="Arial" w:hAnsi="Arial" w:cs="Arial"/>
        </w:rPr>
        <w:t xml:space="preserve"> utilised for improvements to the immovable property.</w:t>
      </w:r>
      <w:r w:rsidR="00CA556E">
        <w:rPr>
          <w:rFonts w:ascii="Arial" w:hAnsi="Arial" w:cs="Arial"/>
        </w:rPr>
        <w:t xml:space="preserve">  </w:t>
      </w:r>
    </w:p>
    <w:p w14:paraId="062115E0" w14:textId="77777777" w:rsidR="0032260A" w:rsidRDefault="0032260A" w:rsidP="00CC26DE">
      <w:pPr>
        <w:pStyle w:val="ListParagraph"/>
        <w:spacing w:after="0" w:line="480" w:lineRule="auto"/>
        <w:rPr>
          <w:rFonts w:ascii="Arial" w:hAnsi="Arial" w:cs="Arial"/>
        </w:rPr>
      </w:pPr>
    </w:p>
    <w:p w14:paraId="38D804E1" w14:textId="1EE19CC3" w:rsidR="00D86F41"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[22]</w:t>
      </w:r>
      <w:r>
        <w:rPr>
          <w:rFonts w:ascii="Arial" w:hAnsi="Arial" w:cs="Arial"/>
        </w:rPr>
        <w:tab/>
      </w:r>
      <w:r w:rsidR="0039162E">
        <w:rPr>
          <w:rFonts w:ascii="Arial" w:hAnsi="Arial" w:cs="Arial"/>
        </w:rPr>
        <w:t xml:space="preserve">It </w:t>
      </w:r>
      <w:r w:rsidR="0032260A">
        <w:rPr>
          <w:rFonts w:ascii="Arial" w:hAnsi="Arial" w:cs="Arial"/>
        </w:rPr>
        <w:t xml:space="preserve">was undisputed </w:t>
      </w:r>
      <w:r w:rsidR="0039162E">
        <w:rPr>
          <w:rFonts w:ascii="Arial" w:hAnsi="Arial" w:cs="Arial"/>
        </w:rPr>
        <w:t xml:space="preserve">that the appellant </w:t>
      </w:r>
      <w:r w:rsidR="0032260A">
        <w:rPr>
          <w:rFonts w:ascii="Arial" w:hAnsi="Arial" w:cs="Arial"/>
        </w:rPr>
        <w:t xml:space="preserve">had </w:t>
      </w:r>
      <w:r w:rsidR="0039162E">
        <w:rPr>
          <w:rFonts w:ascii="Arial" w:hAnsi="Arial" w:cs="Arial"/>
        </w:rPr>
        <w:t>made a greater contribution to the property than the respondent.</w:t>
      </w:r>
      <w:r w:rsidR="00FB2097">
        <w:rPr>
          <w:rFonts w:ascii="Arial" w:hAnsi="Arial" w:cs="Arial"/>
        </w:rPr>
        <w:t xml:space="preserve">  Having said that, a calculation as to the parties’ actual respective contributions was never placed before</w:t>
      </w:r>
      <w:r w:rsidR="0032260A">
        <w:rPr>
          <w:rFonts w:ascii="Arial" w:hAnsi="Arial" w:cs="Arial"/>
        </w:rPr>
        <w:t xml:space="preserve"> the</w:t>
      </w:r>
      <w:r w:rsidR="00FB2097">
        <w:rPr>
          <w:rFonts w:ascii="Arial" w:hAnsi="Arial" w:cs="Arial"/>
        </w:rPr>
        <w:t xml:space="preserve"> </w:t>
      </w:r>
      <w:r w:rsidR="0085625B">
        <w:rPr>
          <w:rFonts w:ascii="Arial" w:hAnsi="Arial" w:cs="Arial"/>
        </w:rPr>
        <w:t xml:space="preserve">trial </w:t>
      </w:r>
      <w:r w:rsidR="00FB2097">
        <w:rPr>
          <w:rFonts w:ascii="Arial" w:hAnsi="Arial" w:cs="Arial"/>
        </w:rPr>
        <w:t xml:space="preserve">court.  </w:t>
      </w:r>
      <w:r w:rsidR="00BB76FB">
        <w:rPr>
          <w:rFonts w:ascii="Arial" w:hAnsi="Arial" w:cs="Arial"/>
        </w:rPr>
        <w:t>The evidence as to the</w:t>
      </w:r>
      <w:r w:rsidR="0032260A">
        <w:rPr>
          <w:rFonts w:ascii="Arial" w:hAnsi="Arial" w:cs="Arial"/>
        </w:rPr>
        <w:t xml:space="preserve"> parties’ estimated</w:t>
      </w:r>
      <w:r w:rsidR="00BB76FB">
        <w:rPr>
          <w:rFonts w:ascii="Arial" w:hAnsi="Arial" w:cs="Arial"/>
        </w:rPr>
        <w:t xml:space="preserve"> contributions was</w:t>
      </w:r>
      <w:r w:rsidR="0032260A">
        <w:rPr>
          <w:rFonts w:ascii="Arial" w:hAnsi="Arial" w:cs="Arial"/>
        </w:rPr>
        <w:t xml:space="preserve"> no more than</w:t>
      </w:r>
      <w:r w:rsidR="00BB76FB">
        <w:rPr>
          <w:rFonts w:ascii="Arial" w:hAnsi="Arial" w:cs="Arial"/>
        </w:rPr>
        <w:t xml:space="preserve"> speculative in nature.  Moreover, th</w:t>
      </w:r>
      <w:r w:rsidR="0039162E">
        <w:rPr>
          <w:rFonts w:ascii="Arial" w:hAnsi="Arial" w:cs="Arial"/>
        </w:rPr>
        <w:t xml:space="preserve">e only evidence at trial regarding the current value of the property was with reference to </w:t>
      </w:r>
      <w:r w:rsidR="008D764D">
        <w:rPr>
          <w:rFonts w:ascii="Arial" w:hAnsi="Arial" w:cs="Arial"/>
        </w:rPr>
        <w:t>the municipal valuation included in a municipal statement</w:t>
      </w:r>
      <w:r w:rsidR="00FB2097">
        <w:rPr>
          <w:rFonts w:ascii="Arial" w:hAnsi="Arial" w:cs="Arial"/>
        </w:rPr>
        <w:t xml:space="preserve"> of account</w:t>
      </w:r>
      <w:r w:rsidR="008D764D">
        <w:rPr>
          <w:rFonts w:ascii="Arial" w:hAnsi="Arial" w:cs="Arial"/>
        </w:rPr>
        <w:t xml:space="preserve"> issued to the parties by the City of Ekurhuleni on 21 June 2020</w:t>
      </w:r>
      <w:r w:rsidR="00BB76FB">
        <w:rPr>
          <w:rFonts w:ascii="Arial" w:hAnsi="Arial" w:cs="Arial"/>
        </w:rPr>
        <w:t>, some 15 months prior to the date of divorce</w:t>
      </w:r>
      <w:r w:rsidR="008D764D">
        <w:rPr>
          <w:rFonts w:ascii="Arial" w:hAnsi="Arial" w:cs="Arial"/>
        </w:rPr>
        <w:t xml:space="preserve">.  The value recorded therein was in the amount of R737,000.00.  Insofar as the outstanding loan agreement is concerned, the parties owed an amount of R392,011.62 as </w:t>
      </w:r>
      <w:r w:rsidR="00356B13">
        <w:rPr>
          <w:rFonts w:ascii="Arial" w:hAnsi="Arial" w:cs="Arial"/>
        </w:rPr>
        <w:t>of</w:t>
      </w:r>
      <w:r w:rsidR="008D764D">
        <w:rPr>
          <w:rFonts w:ascii="Arial" w:hAnsi="Arial" w:cs="Arial"/>
        </w:rPr>
        <w:t xml:space="preserve"> 1 September 2021. </w:t>
      </w:r>
      <w:r w:rsidR="00BB76FB">
        <w:rPr>
          <w:rFonts w:ascii="Arial" w:hAnsi="Arial" w:cs="Arial"/>
        </w:rPr>
        <w:t xml:space="preserve"> </w:t>
      </w:r>
    </w:p>
    <w:p w14:paraId="7FC8C833" w14:textId="77777777" w:rsidR="00405E4B" w:rsidRDefault="00405E4B" w:rsidP="00405E4B">
      <w:pPr>
        <w:pStyle w:val="ListParagraph"/>
        <w:spacing w:after="0" w:line="480" w:lineRule="auto"/>
        <w:rPr>
          <w:rFonts w:ascii="Arial" w:hAnsi="Arial" w:cs="Arial"/>
        </w:rPr>
      </w:pPr>
    </w:p>
    <w:p w14:paraId="68F3DB59" w14:textId="3AC7D275" w:rsidR="0032260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[23]</w:t>
      </w:r>
      <w:r>
        <w:rPr>
          <w:rFonts w:ascii="Arial" w:hAnsi="Arial" w:cs="Arial"/>
        </w:rPr>
        <w:tab/>
      </w:r>
      <w:r w:rsidR="0032260A">
        <w:rPr>
          <w:rFonts w:ascii="Arial" w:hAnsi="Arial" w:cs="Arial"/>
        </w:rPr>
        <w:t>On th</w:t>
      </w:r>
      <w:r w:rsidR="00E506B4">
        <w:rPr>
          <w:rFonts w:ascii="Arial" w:hAnsi="Arial" w:cs="Arial"/>
        </w:rPr>
        <w:t>e aforesaid</w:t>
      </w:r>
      <w:r w:rsidR="0032260A">
        <w:rPr>
          <w:rFonts w:ascii="Arial" w:hAnsi="Arial" w:cs="Arial"/>
        </w:rPr>
        <w:t xml:space="preserve"> evidence, I am not satisfied that </w:t>
      </w:r>
      <w:r w:rsidR="007B5C1C">
        <w:rPr>
          <w:rFonts w:ascii="Arial" w:hAnsi="Arial" w:cs="Arial"/>
        </w:rPr>
        <w:t xml:space="preserve">the </w:t>
      </w:r>
      <w:r w:rsidR="007104CF">
        <w:rPr>
          <w:rFonts w:ascii="Arial" w:hAnsi="Arial" w:cs="Arial"/>
        </w:rPr>
        <w:t>appellant</w:t>
      </w:r>
      <w:r w:rsidR="0032260A">
        <w:rPr>
          <w:rFonts w:ascii="Arial" w:hAnsi="Arial" w:cs="Arial"/>
        </w:rPr>
        <w:t xml:space="preserve"> prove</w:t>
      </w:r>
      <w:r w:rsidR="007104CF">
        <w:rPr>
          <w:rFonts w:ascii="Arial" w:hAnsi="Arial" w:cs="Arial"/>
        </w:rPr>
        <w:t>d</w:t>
      </w:r>
      <w:r w:rsidR="0032260A">
        <w:rPr>
          <w:rFonts w:ascii="Arial" w:hAnsi="Arial" w:cs="Arial"/>
        </w:rPr>
        <w:t xml:space="preserve"> the extent of the respondent’s benefit at all.  This is further compounded by the concession made on behalf of the appellant, that the joint estate up until 2015, f</w:t>
      </w:r>
      <w:r w:rsidR="000B2862">
        <w:rPr>
          <w:rFonts w:ascii="Arial" w:hAnsi="Arial" w:cs="Arial"/>
        </w:rPr>
        <w:t>ell</w:t>
      </w:r>
      <w:r w:rsidR="0032260A">
        <w:rPr>
          <w:rFonts w:ascii="Arial" w:hAnsi="Arial" w:cs="Arial"/>
        </w:rPr>
        <w:t xml:space="preserve"> to be divided equally between the parties.  On the evidence before </w:t>
      </w:r>
      <w:r w:rsidR="008A1C5B">
        <w:rPr>
          <w:rFonts w:ascii="Arial" w:hAnsi="Arial" w:cs="Arial"/>
        </w:rPr>
        <w:t xml:space="preserve">the trial </w:t>
      </w:r>
      <w:r w:rsidR="0032260A">
        <w:rPr>
          <w:rFonts w:ascii="Arial" w:hAnsi="Arial" w:cs="Arial"/>
        </w:rPr>
        <w:t xml:space="preserve">court, it is not possible to determine the value of the property in 2015 </w:t>
      </w:r>
      <w:r w:rsidR="008A1C5B">
        <w:rPr>
          <w:rFonts w:ascii="Arial" w:hAnsi="Arial" w:cs="Arial"/>
        </w:rPr>
        <w:t>nor</w:t>
      </w:r>
      <w:r w:rsidR="0032260A">
        <w:rPr>
          <w:rFonts w:ascii="Arial" w:hAnsi="Arial" w:cs="Arial"/>
        </w:rPr>
        <w:t xml:space="preserve"> the extent of the property’s appreciation, if any, between 2015 </w:t>
      </w:r>
      <w:r w:rsidR="00EF7E94">
        <w:rPr>
          <w:rFonts w:ascii="Arial" w:hAnsi="Arial" w:cs="Arial"/>
        </w:rPr>
        <w:t>and</w:t>
      </w:r>
      <w:r w:rsidR="0032260A">
        <w:rPr>
          <w:rFonts w:ascii="Arial" w:hAnsi="Arial" w:cs="Arial"/>
        </w:rPr>
        <w:t xml:space="preserve"> </w:t>
      </w:r>
      <w:r w:rsidR="0032260A">
        <w:rPr>
          <w:rFonts w:ascii="Arial" w:hAnsi="Arial" w:cs="Arial"/>
        </w:rPr>
        <w:lastRenderedPageBreak/>
        <w:t xml:space="preserve">the date of the parties’ divorce.  Accordingly, the appellant failed to establish the nature and the extent of the benefit, which may accrue to the respondent in respect of the immovable property, if any. </w:t>
      </w:r>
      <w:r w:rsidR="0020334A">
        <w:rPr>
          <w:rFonts w:ascii="Arial" w:hAnsi="Arial" w:cs="Arial"/>
        </w:rPr>
        <w:t xml:space="preserve"> </w:t>
      </w:r>
    </w:p>
    <w:p w14:paraId="31BEF6A3" w14:textId="7B62C886" w:rsidR="0020334A" w:rsidRDefault="0020334A" w:rsidP="00CB42B7">
      <w:pPr>
        <w:pStyle w:val="NormalWeb"/>
        <w:shd w:val="clear" w:color="auto" w:fill="FFFFFF"/>
        <w:spacing w:before="0" w:beforeAutospacing="0" w:after="0" w:afterAutospacing="0" w:line="480" w:lineRule="auto"/>
        <w:ind w:left="851" w:right="259"/>
        <w:jc w:val="both"/>
        <w:rPr>
          <w:rFonts w:ascii="Arial" w:hAnsi="Arial" w:cs="Arial"/>
        </w:rPr>
      </w:pPr>
    </w:p>
    <w:p w14:paraId="0FBF2AA4" w14:textId="6A3628CB" w:rsidR="00A13A59"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[24]</w:t>
      </w:r>
      <w:r>
        <w:rPr>
          <w:rFonts w:ascii="Arial" w:hAnsi="Arial" w:cs="Arial"/>
        </w:rPr>
        <w:tab/>
      </w:r>
      <w:r w:rsidR="005177FD">
        <w:rPr>
          <w:rFonts w:ascii="Arial" w:hAnsi="Arial" w:cs="Arial"/>
        </w:rPr>
        <w:t xml:space="preserve">Lastly, </w:t>
      </w:r>
      <w:r w:rsidR="008A1C5B">
        <w:rPr>
          <w:rFonts w:ascii="Arial" w:hAnsi="Arial" w:cs="Arial"/>
        </w:rPr>
        <w:t xml:space="preserve">it is necessary to </w:t>
      </w:r>
      <w:r w:rsidR="005177FD">
        <w:rPr>
          <w:rFonts w:ascii="Arial" w:hAnsi="Arial" w:cs="Arial"/>
        </w:rPr>
        <w:t xml:space="preserve">consider the appellant’s pension interest.  It </w:t>
      </w:r>
      <w:r w:rsidR="00BF1FF7">
        <w:rPr>
          <w:rFonts w:ascii="Arial" w:hAnsi="Arial" w:cs="Arial"/>
        </w:rPr>
        <w:t>was</w:t>
      </w:r>
      <w:r w:rsidR="005177FD">
        <w:rPr>
          <w:rFonts w:ascii="Arial" w:hAnsi="Arial" w:cs="Arial"/>
        </w:rPr>
        <w:t xml:space="preserve"> undisputed</w:t>
      </w:r>
      <w:r w:rsidR="00BF1FF7">
        <w:rPr>
          <w:rFonts w:ascii="Arial" w:hAnsi="Arial" w:cs="Arial"/>
        </w:rPr>
        <w:t xml:space="preserve"> in the trial court</w:t>
      </w:r>
      <w:r w:rsidR="005177FD">
        <w:rPr>
          <w:rFonts w:ascii="Arial" w:hAnsi="Arial" w:cs="Arial"/>
        </w:rPr>
        <w:t xml:space="preserve"> that the appellant’s pensionable service date with the Government Employees Pension Fund </w:t>
      </w:r>
      <w:r w:rsidR="00BA3BA9">
        <w:rPr>
          <w:rFonts w:ascii="Arial" w:hAnsi="Arial" w:cs="Arial"/>
        </w:rPr>
        <w:t>was</w:t>
      </w:r>
      <w:r w:rsidR="005177FD">
        <w:rPr>
          <w:rFonts w:ascii="Arial" w:hAnsi="Arial" w:cs="Arial"/>
        </w:rPr>
        <w:t xml:space="preserve"> 10 October 2005</w:t>
      </w:r>
      <w:r w:rsidR="00A53D1B">
        <w:rPr>
          <w:rFonts w:ascii="Arial" w:hAnsi="Arial" w:cs="Arial"/>
        </w:rPr>
        <w:t>, the contributions to</w:t>
      </w:r>
      <w:r w:rsidR="00E824DB">
        <w:rPr>
          <w:rFonts w:ascii="Arial" w:hAnsi="Arial" w:cs="Arial"/>
        </w:rPr>
        <w:t>wards</w:t>
      </w:r>
      <w:r w:rsidR="00A53D1B">
        <w:rPr>
          <w:rFonts w:ascii="Arial" w:hAnsi="Arial" w:cs="Arial"/>
        </w:rPr>
        <w:t xml:space="preserve"> which the respondent played no part.</w:t>
      </w:r>
      <w:r w:rsidR="00910DDC">
        <w:rPr>
          <w:rFonts w:ascii="Arial" w:hAnsi="Arial" w:cs="Arial"/>
        </w:rPr>
        <w:t xml:space="preserve">  Accordingly, such asset was acquired during the subsistence of the parties’ marriage, the value of which accrued to the joint estate.  According to the evidence led at trial, the resignation benefit as </w:t>
      </w:r>
      <w:r w:rsidR="001A7D83">
        <w:rPr>
          <w:rFonts w:ascii="Arial" w:hAnsi="Arial" w:cs="Arial"/>
        </w:rPr>
        <w:t>of</w:t>
      </w:r>
      <w:r w:rsidR="00910DDC">
        <w:rPr>
          <w:rFonts w:ascii="Arial" w:hAnsi="Arial" w:cs="Arial"/>
        </w:rPr>
        <w:t xml:space="preserve"> 8 February 2021 was in the amount of R2,165,547.00.  Given the concession to which I have referred, </w:t>
      </w:r>
      <w:r w:rsidR="00BC7FD6">
        <w:rPr>
          <w:rFonts w:ascii="Arial" w:hAnsi="Arial" w:cs="Arial"/>
        </w:rPr>
        <w:t>it is necessary</w:t>
      </w:r>
      <w:r w:rsidR="00910DDC">
        <w:rPr>
          <w:rFonts w:ascii="Arial" w:hAnsi="Arial" w:cs="Arial"/>
        </w:rPr>
        <w:t xml:space="preserve"> to consider the value of the pension interest as </w:t>
      </w:r>
      <w:r w:rsidR="00800EB5">
        <w:rPr>
          <w:rFonts w:ascii="Arial" w:hAnsi="Arial" w:cs="Arial"/>
        </w:rPr>
        <w:t>it was in</w:t>
      </w:r>
      <w:r w:rsidR="00910DDC">
        <w:rPr>
          <w:rFonts w:ascii="Arial" w:hAnsi="Arial" w:cs="Arial"/>
        </w:rPr>
        <w:t xml:space="preserve"> 2015.  </w:t>
      </w:r>
      <w:r w:rsidR="003614B5">
        <w:rPr>
          <w:rFonts w:ascii="Arial" w:hAnsi="Arial" w:cs="Arial"/>
        </w:rPr>
        <w:t>By virtue of the lateness of the concession, n</w:t>
      </w:r>
      <w:r w:rsidR="00910DDC">
        <w:rPr>
          <w:rFonts w:ascii="Arial" w:hAnsi="Arial" w:cs="Arial"/>
        </w:rPr>
        <w:t>o evidence was led at trial regarding such value</w:t>
      </w:r>
      <w:r w:rsidR="003613C7">
        <w:rPr>
          <w:rFonts w:ascii="Arial" w:hAnsi="Arial" w:cs="Arial"/>
        </w:rPr>
        <w:t xml:space="preserve">, and accordingly </w:t>
      </w:r>
      <w:r w:rsidR="00BC7FD6">
        <w:rPr>
          <w:rFonts w:ascii="Arial" w:hAnsi="Arial" w:cs="Arial"/>
        </w:rPr>
        <w:t xml:space="preserve">this court is </w:t>
      </w:r>
      <w:r w:rsidR="003613C7">
        <w:rPr>
          <w:rFonts w:ascii="Arial" w:hAnsi="Arial" w:cs="Arial"/>
        </w:rPr>
        <w:t xml:space="preserve">unable to ascertain it.  Notionally, </w:t>
      </w:r>
      <w:r w:rsidR="00910DDC">
        <w:rPr>
          <w:rFonts w:ascii="Arial" w:hAnsi="Arial" w:cs="Arial"/>
        </w:rPr>
        <w:t>the extent of the benefit</w:t>
      </w:r>
      <w:r w:rsidR="003614B5">
        <w:rPr>
          <w:rFonts w:ascii="Arial" w:hAnsi="Arial" w:cs="Arial"/>
        </w:rPr>
        <w:t xml:space="preserve"> that the respondent would acquire if the joint estate were to be divided equally for the full duration of the parties’ marriage</w:t>
      </w:r>
      <w:r w:rsidR="00910DDC">
        <w:rPr>
          <w:rFonts w:ascii="Arial" w:hAnsi="Arial" w:cs="Arial"/>
        </w:rPr>
        <w:t>, would</w:t>
      </w:r>
      <w:r w:rsidR="00BD07A6">
        <w:rPr>
          <w:rFonts w:ascii="Arial" w:hAnsi="Arial" w:cs="Arial"/>
        </w:rPr>
        <w:t xml:space="preserve"> </w:t>
      </w:r>
      <w:r w:rsidR="00910DDC">
        <w:rPr>
          <w:rFonts w:ascii="Arial" w:hAnsi="Arial" w:cs="Arial"/>
        </w:rPr>
        <w:t xml:space="preserve">be the increase in the value of the pension </w:t>
      </w:r>
      <w:r w:rsidR="00BD07A6">
        <w:rPr>
          <w:rFonts w:ascii="Arial" w:hAnsi="Arial" w:cs="Arial"/>
        </w:rPr>
        <w:t>interest</w:t>
      </w:r>
      <w:r w:rsidR="00910DDC">
        <w:rPr>
          <w:rFonts w:ascii="Arial" w:hAnsi="Arial" w:cs="Arial"/>
        </w:rPr>
        <w:t xml:space="preserve"> from 2015 to the date of divorce in November 2021. </w:t>
      </w:r>
      <w:r w:rsidR="00846CAD">
        <w:rPr>
          <w:rFonts w:ascii="Arial" w:hAnsi="Arial" w:cs="Arial"/>
        </w:rPr>
        <w:t xml:space="preserve"> </w:t>
      </w:r>
    </w:p>
    <w:p w14:paraId="21098EA0" w14:textId="77777777" w:rsidR="001F5E89" w:rsidRDefault="001F5E89" w:rsidP="000035F4">
      <w:pPr>
        <w:pStyle w:val="ListParagraph"/>
        <w:spacing w:after="0" w:line="480" w:lineRule="auto"/>
        <w:rPr>
          <w:rFonts w:ascii="Arial" w:hAnsi="Arial" w:cs="Arial"/>
        </w:rPr>
      </w:pPr>
    </w:p>
    <w:p w14:paraId="21123254" w14:textId="52A6F5F2" w:rsidR="00846CA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[25]</w:t>
      </w:r>
      <w:r>
        <w:rPr>
          <w:rFonts w:ascii="Arial" w:hAnsi="Arial" w:cs="Arial"/>
        </w:rPr>
        <w:tab/>
      </w:r>
      <w:r w:rsidR="00846CAD">
        <w:rPr>
          <w:rFonts w:ascii="Arial" w:hAnsi="Arial" w:cs="Arial"/>
        </w:rPr>
        <w:t>P</w:t>
      </w:r>
      <w:r w:rsidR="00BD07A6">
        <w:rPr>
          <w:rFonts w:ascii="Arial" w:hAnsi="Arial" w:cs="Arial"/>
        </w:rPr>
        <w:t>rimarily</w:t>
      </w:r>
      <w:r w:rsidR="00846CAD">
        <w:rPr>
          <w:rFonts w:ascii="Arial" w:hAnsi="Arial" w:cs="Arial"/>
        </w:rPr>
        <w:t>, I am</w:t>
      </w:r>
      <w:r w:rsidR="00BD07A6">
        <w:rPr>
          <w:rFonts w:ascii="Arial" w:hAnsi="Arial" w:cs="Arial"/>
        </w:rPr>
        <w:t xml:space="preserve"> not </w:t>
      </w:r>
      <w:r w:rsidR="00846CAD">
        <w:rPr>
          <w:rFonts w:ascii="Arial" w:hAnsi="Arial" w:cs="Arial"/>
        </w:rPr>
        <w:t>persuaded</w:t>
      </w:r>
      <w:r w:rsidR="00BD07A6">
        <w:rPr>
          <w:rFonts w:ascii="Arial" w:hAnsi="Arial" w:cs="Arial"/>
        </w:rPr>
        <w:t xml:space="preserve"> that the</w:t>
      </w:r>
      <w:r w:rsidR="00846CAD">
        <w:rPr>
          <w:rFonts w:ascii="Arial" w:hAnsi="Arial" w:cs="Arial"/>
        </w:rPr>
        <w:t xml:space="preserve"> aforesaid constitutes sufficient </w:t>
      </w:r>
      <w:r w:rsidR="003613C7">
        <w:rPr>
          <w:rFonts w:ascii="Arial" w:hAnsi="Arial" w:cs="Arial"/>
        </w:rPr>
        <w:t>proof of the benefit</w:t>
      </w:r>
      <w:r w:rsidR="00846CAD">
        <w:rPr>
          <w:rFonts w:ascii="Arial" w:hAnsi="Arial" w:cs="Arial"/>
        </w:rPr>
        <w:t xml:space="preserve"> and accordingly</w:t>
      </w:r>
      <w:r w:rsidR="003613C7">
        <w:rPr>
          <w:rFonts w:ascii="Arial" w:hAnsi="Arial" w:cs="Arial"/>
        </w:rPr>
        <w:t xml:space="preserve">, </w:t>
      </w:r>
      <w:r w:rsidR="00846CAD">
        <w:rPr>
          <w:rFonts w:ascii="Arial" w:hAnsi="Arial" w:cs="Arial"/>
        </w:rPr>
        <w:t xml:space="preserve">I cannot conclude that the respondent would </w:t>
      </w:r>
      <w:r w:rsidR="001F5E89">
        <w:rPr>
          <w:rFonts w:ascii="Arial" w:hAnsi="Arial" w:cs="Arial"/>
        </w:rPr>
        <w:t xml:space="preserve">have been </w:t>
      </w:r>
      <w:r w:rsidR="00846CAD">
        <w:rPr>
          <w:rFonts w:ascii="Arial" w:hAnsi="Arial" w:cs="Arial"/>
        </w:rPr>
        <w:t xml:space="preserve">unduly benefitted </w:t>
      </w:r>
      <w:r w:rsidR="001F5E89">
        <w:rPr>
          <w:rFonts w:ascii="Arial" w:hAnsi="Arial" w:cs="Arial"/>
        </w:rPr>
        <w:t xml:space="preserve">in the absence of an order </w:t>
      </w:r>
      <w:r w:rsidR="00846CAD">
        <w:rPr>
          <w:rFonts w:ascii="Arial" w:hAnsi="Arial" w:cs="Arial"/>
        </w:rPr>
        <w:t xml:space="preserve">for forfeiture.  Having said that, and in the event that I am incorrect in this conclusion, I am </w:t>
      </w:r>
      <w:r w:rsidR="00846CAD">
        <w:rPr>
          <w:rFonts w:ascii="Arial" w:hAnsi="Arial" w:cs="Arial"/>
        </w:rPr>
        <w:lastRenderedPageBreak/>
        <w:t xml:space="preserve">further not persuaded that forfeiture </w:t>
      </w:r>
      <w:r w:rsidR="006F2198">
        <w:rPr>
          <w:rFonts w:ascii="Arial" w:hAnsi="Arial" w:cs="Arial"/>
        </w:rPr>
        <w:t xml:space="preserve">ought to have been awarded </w:t>
      </w:r>
      <w:r w:rsidR="00846CAD">
        <w:rPr>
          <w:rFonts w:ascii="Arial" w:hAnsi="Arial" w:cs="Arial"/>
        </w:rPr>
        <w:t>on a consideration of the factors set out in section 9(1).</w:t>
      </w:r>
    </w:p>
    <w:p w14:paraId="38A8A29E" w14:textId="77777777" w:rsidR="000E4EA2" w:rsidRDefault="000E4EA2" w:rsidP="000E4EA2">
      <w:pPr>
        <w:pStyle w:val="NormalWeb"/>
        <w:shd w:val="clear" w:color="auto" w:fill="FFFFFF"/>
        <w:spacing w:before="0" w:beforeAutospacing="0" w:after="0" w:afterAutospacing="0" w:line="480" w:lineRule="auto"/>
        <w:ind w:left="851" w:right="259"/>
        <w:jc w:val="both"/>
        <w:rPr>
          <w:rFonts w:ascii="Arial" w:hAnsi="Arial" w:cs="Arial"/>
        </w:rPr>
      </w:pPr>
    </w:p>
    <w:p w14:paraId="222B466A" w14:textId="7320F6BF" w:rsidR="009B5089" w:rsidRPr="00377CA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377CAA">
        <w:rPr>
          <w:rFonts w:ascii="Arial" w:hAnsi="Arial" w:cs="Arial"/>
        </w:rPr>
        <w:t>[26]</w:t>
      </w:r>
      <w:r w:rsidRPr="00377CAA">
        <w:rPr>
          <w:rFonts w:ascii="Arial" w:hAnsi="Arial" w:cs="Arial"/>
        </w:rPr>
        <w:tab/>
      </w:r>
      <w:r w:rsidR="009B5089">
        <w:rPr>
          <w:rFonts w:ascii="Arial" w:hAnsi="Arial" w:cs="Arial"/>
        </w:rPr>
        <w:t xml:space="preserve">It is trite that the three factors governing the value judgment to be made by the court in terms of section 9(1) are not cumulative in nature.  Whilst the court is required to consider all three factors, it does not follow that if one factor is absent, an order for forfeiture is incompetent.  This was made clear by the court in </w:t>
      </w:r>
      <w:r w:rsidR="009B5089" w:rsidRPr="009B5089">
        <w:rPr>
          <w:rFonts w:ascii="Arial" w:hAnsi="Arial" w:cs="Arial"/>
          <w:i/>
          <w:iCs/>
        </w:rPr>
        <w:t>Wijker</w:t>
      </w:r>
      <w:r w:rsidR="009B5089">
        <w:rPr>
          <w:rFonts w:ascii="Arial" w:hAnsi="Arial" w:cs="Arial"/>
        </w:rPr>
        <w:t xml:space="preserve"> and has more recently been restated by the Supreme Court of Appeal in </w:t>
      </w:r>
      <w:r w:rsidR="009B5089" w:rsidRPr="009B5089">
        <w:rPr>
          <w:rFonts w:ascii="Arial" w:hAnsi="Arial" w:cs="Arial"/>
          <w:i/>
          <w:iCs/>
        </w:rPr>
        <w:t>Botha v Botha</w:t>
      </w:r>
      <w:r w:rsidR="009B5089">
        <w:rPr>
          <w:rFonts w:ascii="Arial" w:hAnsi="Arial" w:cs="Arial"/>
        </w:rPr>
        <w:t>.</w:t>
      </w:r>
      <w:r w:rsidR="009B5089">
        <w:rPr>
          <w:rStyle w:val="FootnoteReference"/>
          <w:rFonts w:ascii="Arial" w:hAnsi="Arial" w:cs="Arial"/>
        </w:rPr>
        <w:footnoteReference w:id="8"/>
      </w:r>
      <w:r w:rsidR="00377CAA">
        <w:rPr>
          <w:rFonts w:ascii="Arial" w:hAnsi="Arial" w:cs="Arial"/>
        </w:rPr>
        <w:t xml:space="preserve">  </w:t>
      </w:r>
      <w:r w:rsidR="00CB42B7" w:rsidRPr="00377CAA">
        <w:rPr>
          <w:rFonts w:ascii="Arial" w:hAnsi="Arial" w:cs="Arial"/>
        </w:rPr>
        <w:t xml:space="preserve">I accordingly proceed to consider the </w:t>
      </w:r>
      <w:r w:rsidR="000035F4">
        <w:rPr>
          <w:rFonts w:ascii="Arial" w:hAnsi="Arial" w:cs="Arial"/>
        </w:rPr>
        <w:t xml:space="preserve">required </w:t>
      </w:r>
      <w:r w:rsidR="00CB42B7" w:rsidRPr="00377CAA">
        <w:rPr>
          <w:rFonts w:ascii="Arial" w:hAnsi="Arial" w:cs="Arial"/>
        </w:rPr>
        <w:t>factors.</w:t>
      </w:r>
    </w:p>
    <w:p w14:paraId="7972DA21" w14:textId="62C4A227" w:rsidR="00CB42B7" w:rsidRDefault="00CB42B7" w:rsidP="00CB42B7">
      <w:pPr>
        <w:spacing w:after="0" w:line="480" w:lineRule="auto"/>
        <w:rPr>
          <w:rFonts w:ascii="Arial" w:hAnsi="Arial" w:cs="Arial"/>
        </w:rPr>
      </w:pPr>
    </w:p>
    <w:p w14:paraId="511E7133" w14:textId="105B7338" w:rsidR="00CB42B7" w:rsidRPr="001E557F" w:rsidRDefault="00CB42B7" w:rsidP="00CB42B7">
      <w:pPr>
        <w:spacing w:after="0" w:line="480" w:lineRule="auto"/>
        <w:rPr>
          <w:rFonts w:ascii="Arial" w:hAnsi="Arial" w:cs="Arial"/>
          <w:b/>
          <w:bCs/>
          <w:i/>
          <w:iCs/>
          <w:sz w:val="24"/>
          <w:szCs w:val="24"/>
          <w:u w:val="single"/>
        </w:rPr>
      </w:pPr>
      <w:r w:rsidRPr="001E557F">
        <w:rPr>
          <w:rFonts w:ascii="Arial" w:hAnsi="Arial" w:cs="Arial"/>
          <w:b/>
          <w:bCs/>
          <w:i/>
          <w:iCs/>
          <w:sz w:val="24"/>
          <w:szCs w:val="24"/>
          <w:u w:val="single"/>
        </w:rPr>
        <w:t>Duration of the marriage</w:t>
      </w:r>
    </w:p>
    <w:p w14:paraId="135D32CF" w14:textId="7F69A770" w:rsidR="00CB42B7" w:rsidRDefault="00CB42B7" w:rsidP="00CB42B7">
      <w:pPr>
        <w:pStyle w:val="NormalWeb"/>
        <w:shd w:val="clear" w:color="auto" w:fill="FFFFFF"/>
        <w:spacing w:before="0" w:beforeAutospacing="0" w:after="0" w:afterAutospacing="0" w:line="480" w:lineRule="auto"/>
        <w:ind w:left="851" w:right="259"/>
        <w:jc w:val="both"/>
        <w:rPr>
          <w:rFonts w:ascii="Arial" w:hAnsi="Arial" w:cs="Arial"/>
        </w:rPr>
      </w:pPr>
    </w:p>
    <w:p w14:paraId="5AF62132" w14:textId="12236687" w:rsidR="00847A2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[27]</w:t>
      </w:r>
      <w:r>
        <w:rPr>
          <w:rFonts w:ascii="Arial" w:hAnsi="Arial" w:cs="Arial"/>
        </w:rPr>
        <w:tab/>
      </w:r>
      <w:r w:rsidR="00847A2A">
        <w:rPr>
          <w:rFonts w:ascii="Arial" w:hAnsi="Arial" w:cs="Arial"/>
        </w:rPr>
        <w:t xml:space="preserve">In dealing with the interpretation of the meaning of </w:t>
      </w:r>
      <w:r w:rsidR="00EA11ED">
        <w:rPr>
          <w:rFonts w:ascii="Arial" w:hAnsi="Arial" w:cs="Arial"/>
        </w:rPr>
        <w:t>‘</w:t>
      </w:r>
      <w:r w:rsidR="00847A2A" w:rsidRPr="00EA11ED">
        <w:rPr>
          <w:rFonts w:ascii="Arial" w:hAnsi="Arial" w:cs="Arial"/>
          <w:i/>
          <w:iCs/>
        </w:rPr>
        <w:t>the duration of the marriage</w:t>
      </w:r>
      <w:r w:rsidR="00EA11ED">
        <w:rPr>
          <w:rFonts w:ascii="Arial" w:hAnsi="Arial" w:cs="Arial"/>
        </w:rPr>
        <w:t>’</w:t>
      </w:r>
      <w:r w:rsidR="00847A2A">
        <w:rPr>
          <w:rFonts w:ascii="Arial" w:hAnsi="Arial" w:cs="Arial"/>
        </w:rPr>
        <w:t>, the court, i</w:t>
      </w:r>
      <w:r w:rsidR="00847A2A" w:rsidRPr="00847A2A">
        <w:rPr>
          <w:rFonts w:ascii="Arial" w:hAnsi="Arial" w:cs="Arial"/>
        </w:rPr>
        <w:t xml:space="preserve">n </w:t>
      </w:r>
      <w:r w:rsidR="00847A2A" w:rsidRPr="00847A2A">
        <w:rPr>
          <w:rFonts w:ascii="Arial" w:hAnsi="Arial" w:cs="Arial"/>
          <w:i/>
          <w:iCs/>
        </w:rPr>
        <w:t>Matyila v Matyila</w:t>
      </w:r>
      <w:r w:rsidR="00847A2A" w:rsidRPr="00847A2A">
        <w:rPr>
          <w:rFonts w:ascii="Arial" w:hAnsi="Arial" w:cs="Arial"/>
        </w:rPr>
        <w:t>,</w:t>
      </w:r>
      <w:r w:rsidR="00847A2A">
        <w:rPr>
          <w:rStyle w:val="FootnoteReference"/>
          <w:rFonts w:ascii="Arial" w:hAnsi="Arial" w:cs="Arial"/>
        </w:rPr>
        <w:footnoteReference w:id="9"/>
      </w:r>
      <w:r w:rsidR="00847A2A" w:rsidRPr="00847A2A">
        <w:rPr>
          <w:rFonts w:ascii="Arial" w:hAnsi="Arial" w:cs="Arial"/>
        </w:rPr>
        <w:t xml:space="preserve"> </w:t>
      </w:r>
      <w:r w:rsidR="00847A2A">
        <w:rPr>
          <w:rFonts w:ascii="Arial" w:hAnsi="Arial" w:cs="Arial"/>
        </w:rPr>
        <w:t>s</w:t>
      </w:r>
      <w:r w:rsidR="00847A2A" w:rsidRPr="00847A2A">
        <w:rPr>
          <w:rFonts w:ascii="Arial" w:hAnsi="Arial" w:cs="Arial"/>
        </w:rPr>
        <w:t>tated</w:t>
      </w:r>
      <w:r w:rsidR="00847A2A">
        <w:rPr>
          <w:rFonts w:ascii="Arial" w:hAnsi="Arial" w:cs="Arial"/>
        </w:rPr>
        <w:t xml:space="preserve"> as follows: </w:t>
      </w:r>
    </w:p>
    <w:p w14:paraId="3706DA12" w14:textId="77777777" w:rsidR="00847A2A" w:rsidRDefault="00847A2A" w:rsidP="00847A2A">
      <w:pPr>
        <w:pStyle w:val="NormalWeb"/>
        <w:shd w:val="clear" w:color="auto" w:fill="FFFFFF"/>
        <w:spacing w:before="0" w:beforeAutospacing="0" w:after="0" w:afterAutospacing="0" w:line="480" w:lineRule="auto"/>
        <w:ind w:left="851" w:right="259"/>
        <w:jc w:val="both"/>
        <w:rPr>
          <w:rFonts w:ascii="Arial" w:hAnsi="Arial" w:cs="Arial"/>
        </w:rPr>
      </w:pPr>
    </w:p>
    <w:p w14:paraId="0F0CF891" w14:textId="07ED8E5F" w:rsidR="00847A2A" w:rsidRPr="00847A2A" w:rsidRDefault="00847A2A" w:rsidP="00847A2A">
      <w:pPr>
        <w:pStyle w:val="NormalWeb"/>
        <w:shd w:val="clear" w:color="auto" w:fill="FFFFFF"/>
        <w:spacing w:before="0" w:beforeAutospacing="0" w:after="0" w:afterAutospacing="0" w:line="360" w:lineRule="auto"/>
        <w:ind w:left="851" w:right="261"/>
        <w:jc w:val="both"/>
        <w:rPr>
          <w:rFonts w:ascii="Arial" w:hAnsi="Arial" w:cs="Arial"/>
          <w:sz w:val="22"/>
          <w:szCs w:val="22"/>
        </w:rPr>
      </w:pPr>
      <w:r w:rsidRPr="00847A2A">
        <w:rPr>
          <w:rFonts w:ascii="Arial" w:hAnsi="Arial" w:cs="Arial"/>
          <w:sz w:val="22"/>
          <w:szCs w:val="22"/>
        </w:rPr>
        <w:t>“</w:t>
      </w:r>
      <w:r w:rsidRPr="00847A2A">
        <w:rPr>
          <w:rFonts w:ascii="Arial" w:hAnsi="Arial" w:cs="Arial"/>
          <w:i/>
          <w:iCs/>
          <w:sz w:val="22"/>
          <w:szCs w:val="22"/>
        </w:rPr>
        <w:t>The meaning of the words ‘duration of the marriage’ as appearing in </w:t>
      </w:r>
      <w:r w:rsidRPr="00847A2A">
        <w:rPr>
          <w:rFonts w:ascii="Arial" w:hAnsi="Arial" w:cs="Arial"/>
          <w:i/>
          <w:iCs/>
          <w:sz w:val="22"/>
          <w:szCs w:val="22"/>
        </w:rPr>
        <w:br/>
      </w:r>
      <w:hyperlink r:id="rId9" w:anchor="s91" w:history="1">
        <w:r w:rsidRPr="00847A2A">
          <w:rPr>
            <w:rFonts w:ascii="Arial" w:hAnsi="Arial" w:cs="Arial"/>
            <w:i/>
            <w:iCs/>
            <w:sz w:val="22"/>
            <w:szCs w:val="22"/>
          </w:rPr>
          <w:t>s 9(1)</w:t>
        </w:r>
      </w:hyperlink>
      <w:r w:rsidRPr="00847A2A">
        <w:rPr>
          <w:rFonts w:ascii="Arial" w:hAnsi="Arial" w:cs="Arial"/>
          <w:i/>
          <w:iCs/>
          <w:sz w:val="22"/>
          <w:szCs w:val="22"/>
        </w:rPr>
        <w:t> aforesaid is clear.  It means no more nor less than the period during which the marriage has, from the legal point of view, subsisted, namely from the date of marriage to the date of divorce or, at the very least, to the date of institution of divorce proceedings.  This is in accordance with the primary rule of interpretation that words should be understood in their ordinary meaning</w:t>
      </w:r>
      <w:r w:rsidRPr="00847A2A">
        <w:rPr>
          <w:rFonts w:ascii="Arial" w:hAnsi="Arial" w:cs="Arial"/>
          <w:sz w:val="22"/>
          <w:szCs w:val="22"/>
        </w:rPr>
        <w:t>.”</w:t>
      </w:r>
    </w:p>
    <w:p w14:paraId="02067E9E" w14:textId="77777777" w:rsidR="00847A2A" w:rsidRDefault="00847A2A" w:rsidP="00847A2A">
      <w:pPr>
        <w:pStyle w:val="NormalWeb"/>
        <w:shd w:val="clear" w:color="auto" w:fill="FFFFFF"/>
        <w:spacing w:before="0" w:beforeAutospacing="0" w:after="0" w:afterAutospacing="0" w:line="480" w:lineRule="auto"/>
        <w:ind w:left="851" w:right="259"/>
        <w:jc w:val="both"/>
        <w:rPr>
          <w:rFonts w:ascii="Arial" w:hAnsi="Arial" w:cs="Arial"/>
        </w:rPr>
      </w:pPr>
    </w:p>
    <w:p w14:paraId="1A279E9E" w14:textId="3814D45B" w:rsidR="004F7FD4"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[28]</w:t>
      </w:r>
      <w:r>
        <w:rPr>
          <w:rFonts w:ascii="Arial" w:hAnsi="Arial" w:cs="Arial"/>
        </w:rPr>
        <w:tab/>
      </w:r>
      <w:r w:rsidR="00CC42BB">
        <w:rPr>
          <w:rFonts w:ascii="Arial" w:hAnsi="Arial" w:cs="Arial"/>
        </w:rPr>
        <w:t>During the trial, i</w:t>
      </w:r>
      <w:r w:rsidR="004F7FD4">
        <w:rPr>
          <w:rFonts w:ascii="Arial" w:hAnsi="Arial" w:cs="Arial"/>
        </w:rPr>
        <w:t>t was undisputed that the duration of the parties’ marriage was 28 years.  The appellant at no stage contended otherwise.</w:t>
      </w:r>
      <w:r w:rsidR="00CC42BB">
        <w:rPr>
          <w:rFonts w:ascii="Arial" w:hAnsi="Arial" w:cs="Arial"/>
        </w:rPr>
        <w:t xml:space="preserve">  For the first time</w:t>
      </w:r>
      <w:r w:rsidR="00AF3BA3">
        <w:rPr>
          <w:rFonts w:ascii="Arial" w:hAnsi="Arial" w:cs="Arial"/>
        </w:rPr>
        <w:t>,</w:t>
      </w:r>
      <w:r w:rsidR="00CC42BB">
        <w:rPr>
          <w:rFonts w:ascii="Arial" w:hAnsi="Arial" w:cs="Arial"/>
        </w:rPr>
        <w:t xml:space="preserve"> </w:t>
      </w:r>
      <w:r w:rsidR="005A691C">
        <w:rPr>
          <w:rFonts w:ascii="Arial" w:hAnsi="Arial" w:cs="Arial"/>
        </w:rPr>
        <w:t xml:space="preserve">the appellant took issue with the duration of the parties’ marriage, </w:t>
      </w:r>
      <w:r w:rsidR="00AF3BA3">
        <w:rPr>
          <w:rFonts w:ascii="Arial" w:hAnsi="Arial" w:cs="Arial"/>
        </w:rPr>
        <w:t xml:space="preserve">in </w:t>
      </w:r>
      <w:r w:rsidR="002339EC">
        <w:rPr>
          <w:rFonts w:ascii="Arial" w:hAnsi="Arial" w:cs="Arial"/>
        </w:rPr>
        <w:t>the</w:t>
      </w:r>
      <w:r w:rsidR="00AF3BA3">
        <w:rPr>
          <w:rFonts w:ascii="Arial" w:hAnsi="Arial" w:cs="Arial"/>
        </w:rPr>
        <w:t xml:space="preserve"> heads of argument filed in the appeal proceedings</w:t>
      </w:r>
      <w:r w:rsidR="00CC42BB">
        <w:rPr>
          <w:rFonts w:ascii="Arial" w:hAnsi="Arial" w:cs="Arial"/>
        </w:rPr>
        <w:t>.  The contention contained therein was that the duration of the marriage ought to</w:t>
      </w:r>
      <w:r w:rsidR="00BA3BA9">
        <w:rPr>
          <w:rFonts w:ascii="Arial" w:hAnsi="Arial" w:cs="Arial"/>
        </w:rPr>
        <w:t xml:space="preserve"> have</w:t>
      </w:r>
      <w:r w:rsidR="00CC42BB">
        <w:rPr>
          <w:rFonts w:ascii="Arial" w:hAnsi="Arial" w:cs="Arial"/>
        </w:rPr>
        <w:t xml:space="preserve"> be</w:t>
      </w:r>
      <w:r w:rsidR="00BA3BA9">
        <w:rPr>
          <w:rFonts w:ascii="Arial" w:hAnsi="Arial" w:cs="Arial"/>
        </w:rPr>
        <w:t>en</w:t>
      </w:r>
      <w:r w:rsidR="00CC42BB">
        <w:rPr>
          <w:rFonts w:ascii="Arial" w:hAnsi="Arial" w:cs="Arial"/>
        </w:rPr>
        <w:t xml:space="preserve"> calculated from 1993 up until the parties’ separation in 2015, with the resultant duration being that of 22 years and not 28.  The Magistrate’s finding </w:t>
      </w:r>
      <w:r w:rsidR="00F13234">
        <w:rPr>
          <w:rFonts w:ascii="Arial" w:hAnsi="Arial" w:cs="Arial"/>
        </w:rPr>
        <w:t xml:space="preserve">in this regard </w:t>
      </w:r>
      <w:r w:rsidR="00CC42BB">
        <w:rPr>
          <w:rFonts w:ascii="Arial" w:hAnsi="Arial" w:cs="Arial"/>
        </w:rPr>
        <w:t>was not raised by the appellant as a ground of appeal and accordingly, it need not be dealt with any further</w:t>
      </w:r>
      <w:r w:rsidR="00C6635A">
        <w:rPr>
          <w:rFonts w:ascii="Arial" w:hAnsi="Arial" w:cs="Arial"/>
        </w:rPr>
        <w:t xml:space="preserve"> suffice to comment that it could never have been the intention of the legislature to allow a party to delay the institution of divorce proceedings and then rely, to their benefit, on their </w:t>
      </w:r>
      <w:r w:rsidR="000035F4">
        <w:rPr>
          <w:rFonts w:ascii="Arial" w:hAnsi="Arial" w:cs="Arial"/>
        </w:rPr>
        <w:t xml:space="preserve">own </w:t>
      </w:r>
      <w:r w:rsidR="00C6635A">
        <w:rPr>
          <w:rFonts w:ascii="Arial" w:hAnsi="Arial" w:cs="Arial"/>
        </w:rPr>
        <w:t>failure to act.</w:t>
      </w:r>
      <w:r w:rsidR="00CC42BB">
        <w:rPr>
          <w:rFonts w:ascii="Arial" w:hAnsi="Arial" w:cs="Arial"/>
        </w:rPr>
        <w:t xml:space="preserve">   </w:t>
      </w:r>
    </w:p>
    <w:p w14:paraId="7CFCD5B5" w14:textId="77777777" w:rsidR="004F7FD4" w:rsidRDefault="004F7FD4" w:rsidP="000035F4">
      <w:pPr>
        <w:pStyle w:val="NormalWeb"/>
        <w:shd w:val="clear" w:color="auto" w:fill="FFFFFF"/>
        <w:spacing w:before="0" w:beforeAutospacing="0" w:after="0" w:afterAutospacing="0" w:line="480" w:lineRule="auto"/>
        <w:ind w:left="851" w:right="259"/>
        <w:jc w:val="both"/>
        <w:rPr>
          <w:rFonts w:ascii="Arial" w:hAnsi="Arial" w:cs="Arial"/>
        </w:rPr>
      </w:pPr>
      <w:r>
        <w:rPr>
          <w:rFonts w:ascii="Arial" w:hAnsi="Arial" w:cs="Arial"/>
        </w:rPr>
        <w:t xml:space="preserve"> </w:t>
      </w:r>
    </w:p>
    <w:p w14:paraId="39DAC8A9" w14:textId="7EC71F9D" w:rsidR="00733378"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[29]</w:t>
      </w:r>
      <w:r>
        <w:rPr>
          <w:rFonts w:ascii="Arial" w:hAnsi="Arial" w:cs="Arial"/>
        </w:rPr>
        <w:tab/>
      </w:r>
      <w:r w:rsidR="004F7FD4">
        <w:rPr>
          <w:rFonts w:ascii="Arial" w:hAnsi="Arial" w:cs="Arial"/>
        </w:rPr>
        <w:t>In any event, whether this factor</w:t>
      </w:r>
      <w:r w:rsidR="000035F4">
        <w:rPr>
          <w:rFonts w:ascii="Arial" w:hAnsi="Arial" w:cs="Arial"/>
        </w:rPr>
        <w:t xml:space="preserve"> is considered</w:t>
      </w:r>
      <w:r w:rsidR="004F7FD4">
        <w:rPr>
          <w:rFonts w:ascii="Arial" w:hAnsi="Arial" w:cs="Arial"/>
        </w:rPr>
        <w:t xml:space="preserve"> with reference to</w:t>
      </w:r>
      <w:r w:rsidR="00CC42BB">
        <w:rPr>
          <w:rFonts w:ascii="Arial" w:hAnsi="Arial" w:cs="Arial"/>
        </w:rPr>
        <w:t>: (i)</w:t>
      </w:r>
      <w:r w:rsidR="004F7FD4">
        <w:rPr>
          <w:rFonts w:ascii="Arial" w:hAnsi="Arial" w:cs="Arial"/>
        </w:rPr>
        <w:t xml:space="preserve"> the date on which </w:t>
      </w:r>
      <w:r w:rsidR="00CC42BB">
        <w:rPr>
          <w:rFonts w:ascii="Arial" w:hAnsi="Arial" w:cs="Arial"/>
        </w:rPr>
        <w:t xml:space="preserve">the parties separated, being </w:t>
      </w:r>
      <w:r w:rsidR="003970E4">
        <w:rPr>
          <w:rFonts w:ascii="Arial" w:hAnsi="Arial" w:cs="Arial"/>
        </w:rPr>
        <w:t>June</w:t>
      </w:r>
      <w:r w:rsidR="00CC42BB">
        <w:rPr>
          <w:rFonts w:ascii="Arial" w:hAnsi="Arial" w:cs="Arial"/>
        </w:rPr>
        <w:t xml:space="preserve"> 2015; alternatively, (ii) the date on which summons was issued, being October 2020; further </w:t>
      </w:r>
      <w:r w:rsidR="004F7FD4">
        <w:rPr>
          <w:rFonts w:ascii="Arial" w:hAnsi="Arial" w:cs="Arial"/>
        </w:rPr>
        <w:t>alternatively,</w:t>
      </w:r>
      <w:r w:rsidR="00CC42BB">
        <w:rPr>
          <w:rFonts w:ascii="Arial" w:hAnsi="Arial" w:cs="Arial"/>
        </w:rPr>
        <w:t xml:space="preserve"> (iiii)</w:t>
      </w:r>
      <w:r w:rsidR="004F7FD4">
        <w:rPr>
          <w:rFonts w:ascii="Arial" w:hAnsi="Arial" w:cs="Arial"/>
        </w:rPr>
        <w:t xml:space="preserve"> the date of divorce, being November 2021, the duration of the marriage is that of</w:t>
      </w:r>
      <w:r w:rsidR="00CC42BB">
        <w:rPr>
          <w:rFonts w:ascii="Arial" w:hAnsi="Arial" w:cs="Arial"/>
        </w:rPr>
        <w:t xml:space="preserve"> 22,</w:t>
      </w:r>
      <w:r w:rsidR="004F7FD4">
        <w:rPr>
          <w:rFonts w:ascii="Arial" w:hAnsi="Arial" w:cs="Arial"/>
        </w:rPr>
        <w:t xml:space="preserve"> 27, </w:t>
      </w:r>
      <w:r w:rsidR="00847A2A">
        <w:rPr>
          <w:rFonts w:ascii="Arial" w:hAnsi="Arial" w:cs="Arial"/>
        </w:rPr>
        <w:t xml:space="preserve">or </w:t>
      </w:r>
      <w:r w:rsidR="004F7FD4">
        <w:rPr>
          <w:rFonts w:ascii="Arial" w:hAnsi="Arial" w:cs="Arial"/>
        </w:rPr>
        <w:t xml:space="preserve">28 years respectively.  </w:t>
      </w:r>
    </w:p>
    <w:p w14:paraId="1950CF04" w14:textId="77777777" w:rsidR="00733378" w:rsidRDefault="00733378" w:rsidP="000035F4">
      <w:pPr>
        <w:pStyle w:val="ListParagraph"/>
        <w:spacing w:after="0" w:line="480" w:lineRule="auto"/>
        <w:rPr>
          <w:rFonts w:ascii="Arial" w:hAnsi="Arial" w:cs="Arial"/>
        </w:rPr>
      </w:pPr>
    </w:p>
    <w:p w14:paraId="66385B5E" w14:textId="1C62363A" w:rsidR="00871F57" w:rsidRPr="00733378"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733378">
        <w:rPr>
          <w:rFonts w:ascii="Arial" w:hAnsi="Arial" w:cs="Arial"/>
        </w:rPr>
        <w:t>[30]</w:t>
      </w:r>
      <w:r w:rsidRPr="00733378">
        <w:rPr>
          <w:rFonts w:ascii="Arial" w:hAnsi="Arial" w:cs="Arial"/>
        </w:rPr>
        <w:tab/>
      </w:r>
      <w:r w:rsidR="004F7FD4">
        <w:rPr>
          <w:rFonts w:ascii="Arial" w:hAnsi="Arial" w:cs="Arial"/>
        </w:rPr>
        <w:t xml:space="preserve">On any </w:t>
      </w:r>
      <w:r w:rsidR="00847A2A">
        <w:rPr>
          <w:rFonts w:ascii="Arial" w:hAnsi="Arial" w:cs="Arial"/>
        </w:rPr>
        <w:t>calculation</w:t>
      </w:r>
      <w:r w:rsidR="004F7FD4">
        <w:rPr>
          <w:rFonts w:ascii="Arial" w:hAnsi="Arial" w:cs="Arial"/>
        </w:rPr>
        <w:t xml:space="preserve"> such marriage was of significant duration</w:t>
      </w:r>
      <w:r w:rsidR="00733378">
        <w:rPr>
          <w:rFonts w:ascii="Arial" w:hAnsi="Arial" w:cs="Arial"/>
        </w:rPr>
        <w:t xml:space="preserve"> and</w:t>
      </w:r>
      <w:r w:rsidR="00871F57" w:rsidRPr="00733378">
        <w:rPr>
          <w:rFonts w:ascii="Arial" w:hAnsi="Arial" w:cs="Arial"/>
        </w:rPr>
        <w:t xml:space="preserve"> militates against the granting of an order for forfeiture.</w:t>
      </w:r>
    </w:p>
    <w:p w14:paraId="6B6747F1" w14:textId="77777777" w:rsidR="00C20B1F" w:rsidRDefault="00C20B1F" w:rsidP="00CB42B7">
      <w:pPr>
        <w:pStyle w:val="NormalWeb"/>
        <w:shd w:val="clear" w:color="auto" w:fill="FFFFFF"/>
        <w:spacing w:before="0" w:beforeAutospacing="0" w:after="0" w:afterAutospacing="0" w:line="480" w:lineRule="auto"/>
        <w:ind w:right="259"/>
        <w:jc w:val="both"/>
        <w:rPr>
          <w:rFonts w:ascii="Arial" w:hAnsi="Arial" w:cs="Arial"/>
        </w:rPr>
      </w:pPr>
    </w:p>
    <w:p w14:paraId="5DA31094" w14:textId="6AC37DD6" w:rsidR="00CB42B7" w:rsidRPr="000035F4" w:rsidRDefault="00CB42B7" w:rsidP="00CB42B7">
      <w:pPr>
        <w:spacing w:after="0" w:line="480" w:lineRule="auto"/>
        <w:rPr>
          <w:rFonts w:ascii="Arial" w:hAnsi="Arial" w:cs="Arial"/>
          <w:b/>
          <w:bCs/>
          <w:i/>
          <w:iCs/>
          <w:sz w:val="24"/>
          <w:szCs w:val="24"/>
          <w:u w:val="single"/>
        </w:rPr>
      </w:pPr>
      <w:r w:rsidRPr="000035F4">
        <w:rPr>
          <w:rFonts w:ascii="Arial" w:hAnsi="Arial" w:cs="Arial"/>
          <w:b/>
          <w:bCs/>
          <w:i/>
          <w:iCs/>
          <w:sz w:val="24"/>
          <w:szCs w:val="24"/>
          <w:u w:val="single"/>
        </w:rPr>
        <w:t>The circumstance whi</w:t>
      </w:r>
      <w:r w:rsidR="00F22FC6" w:rsidRPr="000035F4">
        <w:rPr>
          <w:rFonts w:ascii="Arial" w:hAnsi="Arial" w:cs="Arial"/>
          <w:b/>
          <w:bCs/>
          <w:i/>
          <w:iCs/>
          <w:sz w:val="24"/>
          <w:szCs w:val="24"/>
          <w:u w:val="single"/>
        </w:rPr>
        <w:t>c</w:t>
      </w:r>
      <w:r w:rsidRPr="000035F4">
        <w:rPr>
          <w:rFonts w:ascii="Arial" w:hAnsi="Arial" w:cs="Arial"/>
          <w:b/>
          <w:bCs/>
          <w:i/>
          <w:iCs/>
          <w:sz w:val="24"/>
          <w:szCs w:val="24"/>
          <w:u w:val="single"/>
        </w:rPr>
        <w:t>h gave rise to the breakdown in the parties’ marriage</w:t>
      </w:r>
    </w:p>
    <w:p w14:paraId="0FF45FF6" w14:textId="2D121BA3" w:rsidR="00CB42B7" w:rsidRDefault="00CB42B7" w:rsidP="00CB42B7">
      <w:pPr>
        <w:pStyle w:val="NormalWeb"/>
        <w:shd w:val="clear" w:color="auto" w:fill="FFFFFF"/>
        <w:spacing w:before="0" w:beforeAutospacing="0" w:after="0" w:afterAutospacing="0" w:line="480" w:lineRule="auto"/>
        <w:ind w:right="259"/>
        <w:jc w:val="both"/>
        <w:rPr>
          <w:rFonts w:ascii="Arial" w:hAnsi="Arial" w:cs="Arial"/>
        </w:rPr>
      </w:pPr>
    </w:p>
    <w:p w14:paraId="32A692F7" w14:textId="6DACE1E0" w:rsidR="0076773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[31]</w:t>
      </w:r>
      <w:r>
        <w:rPr>
          <w:rFonts w:ascii="Arial" w:hAnsi="Arial" w:cs="Arial"/>
        </w:rPr>
        <w:tab/>
      </w:r>
      <w:r w:rsidR="0076773E">
        <w:rPr>
          <w:rFonts w:ascii="Arial" w:hAnsi="Arial" w:cs="Arial"/>
        </w:rPr>
        <w:t>The reasons leading to the breakdown in a marriage are complex in nature.  It is not often that a marriage relationship breaks down due to the conduct of only one spouse and it is seldom possible to identify a peculiar event as being decisive.</w:t>
      </w:r>
    </w:p>
    <w:p w14:paraId="3619FE4B" w14:textId="76D709F9" w:rsidR="0076773E" w:rsidRDefault="0076773E" w:rsidP="0076773E">
      <w:pPr>
        <w:pStyle w:val="NormalWeb"/>
        <w:shd w:val="clear" w:color="auto" w:fill="FFFFFF"/>
        <w:spacing w:before="0" w:beforeAutospacing="0" w:after="0" w:afterAutospacing="0" w:line="480" w:lineRule="auto"/>
        <w:ind w:left="851" w:right="259"/>
        <w:jc w:val="both"/>
        <w:rPr>
          <w:rFonts w:ascii="Arial" w:hAnsi="Arial" w:cs="Arial"/>
        </w:rPr>
      </w:pPr>
      <w:r>
        <w:rPr>
          <w:rFonts w:ascii="Arial" w:hAnsi="Arial" w:cs="Arial"/>
        </w:rPr>
        <w:t xml:space="preserve">  </w:t>
      </w:r>
    </w:p>
    <w:p w14:paraId="37158AA3" w14:textId="5D7F09EE" w:rsidR="00E2614B"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[32]</w:t>
      </w:r>
      <w:r>
        <w:rPr>
          <w:rFonts w:ascii="Arial" w:hAnsi="Arial" w:cs="Arial"/>
        </w:rPr>
        <w:tab/>
      </w:r>
      <w:r w:rsidR="00E2614B">
        <w:rPr>
          <w:rFonts w:ascii="Arial" w:hAnsi="Arial" w:cs="Arial"/>
        </w:rPr>
        <w:t xml:space="preserve">The </w:t>
      </w:r>
      <w:r w:rsidR="00B91036">
        <w:rPr>
          <w:rFonts w:ascii="Arial" w:hAnsi="Arial" w:cs="Arial"/>
        </w:rPr>
        <w:t xml:space="preserve">circumstance relied upon by the </w:t>
      </w:r>
      <w:r w:rsidR="00E2614B">
        <w:rPr>
          <w:rFonts w:ascii="Arial" w:hAnsi="Arial" w:cs="Arial"/>
        </w:rPr>
        <w:t xml:space="preserve">respondent </w:t>
      </w:r>
      <w:r w:rsidR="00B91036">
        <w:rPr>
          <w:rFonts w:ascii="Arial" w:hAnsi="Arial" w:cs="Arial"/>
        </w:rPr>
        <w:t xml:space="preserve">in his particulars of claim </w:t>
      </w:r>
      <w:r w:rsidR="00B63C04">
        <w:rPr>
          <w:rFonts w:ascii="Arial" w:hAnsi="Arial" w:cs="Arial"/>
        </w:rPr>
        <w:t xml:space="preserve">were </w:t>
      </w:r>
      <w:r w:rsidR="00FE4012">
        <w:rPr>
          <w:rFonts w:ascii="Arial" w:hAnsi="Arial" w:cs="Arial"/>
        </w:rPr>
        <w:t>somewhat generic in nature.  He contend</w:t>
      </w:r>
      <w:r w:rsidR="00762C35">
        <w:rPr>
          <w:rFonts w:ascii="Arial" w:hAnsi="Arial" w:cs="Arial"/>
        </w:rPr>
        <w:t>ed</w:t>
      </w:r>
      <w:r w:rsidR="00FE4012">
        <w:rPr>
          <w:rFonts w:ascii="Arial" w:hAnsi="Arial" w:cs="Arial"/>
        </w:rPr>
        <w:t xml:space="preserve"> that</w:t>
      </w:r>
      <w:r w:rsidR="00E2614B">
        <w:rPr>
          <w:rFonts w:ascii="Arial" w:hAnsi="Arial" w:cs="Arial"/>
        </w:rPr>
        <w:t xml:space="preserve">: (i) the appellant </w:t>
      </w:r>
      <w:r w:rsidR="004C4EB4">
        <w:rPr>
          <w:rFonts w:ascii="Arial" w:hAnsi="Arial" w:cs="Arial"/>
        </w:rPr>
        <w:t xml:space="preserve">had </w:t>
      </w:r>
      <w:r w:rsidR="00E2614B">
        <w:rPr>
          <w:rFonts w:ascii="Arial" w:hAnsi="Arial" w:cs="Arial"/>
        </w:rPr>
        <w:t xml:space="preserve">abused him emotionally, whilst residing in their Gauteng property; </w:t>
      </w:r>
      <w:r w:rsidR="00962F59">
        <w:rPr>
          <w:rFonts w:ascii="Arial" w:hAnsi="Arial" w:cs="Arial"/>
        </w:rPr>
        <w:t xml:space="preserve">(ii) </w:t>
      </w:r>
      <w:r w:rsidR="00E2614B">
        <w:rPr>
          <w:rFonts w:ascii="Arial" w:hAnsi="Arial" w:cs="Arial"/>
        </w:rPr>
        <w:t xml:space="preserve">there </w:t>
      </w:r>
      <w:r w:rsidR="004C4EB4">
        <w:rPr>
          <w:rFonts w:ascii="Arial" w:hAnsi="Arial" w:cs="Arial"/>
        </w:rPr>
        <w:t>was</w:t>
      </w:r>
      <w:r w:rsidR="00E2614B">
        <w:rPr>
          <w:rFonts w:ascii="Arial" w:hAnsi="Arial" w:cs="Arial"/>
        </w:rPr>
        <w:t xml:space="preserve"> no meaningful communication between the parties; and (iii) that the parties </w:t>
      </w:r>
      <w:r w:rsidR="004C4EB4">
        <w:rPr>
          <w:rFonts w:ascii="Arial" w:hAnsi="Arial" w:cs="Arial"/>
        </w:rPr>
        <w:t>had</w:t>
      </w:r>
      <w:r w:rsidR="00E2614B">
        <w:rPr>
          <w:rFonts w:ascii="Arial" w:hAnsi="Arial" w:cs="Arial"/>
        </w:rPr>
        <w:t xml:space="preserve"> lost their love and affection for each other.</w:t>
      </w:r>
      <w:r w:rsidR="00236A44">
        <w:rPr>
          <w:rFonts w:ascii="Arial" w:hAnsi="Arial" w:cs="Arial"/>
        </w:rPr>
        <w:t xml:space="preserve">  In his replication, the respondent placed further reliance on the impact that his unemployment had on the marriage.  In evidence, the respondent made repeated reference to the parties’ financial strain over</w:t>
      </w:r>
      <w:r w:rsidR="00FE237B">
        <w:rPr>
          <w:rFonts w:ascii="Arial" w:hAnsi="Arial" w:cs="Arial"/>
        </w:rPr>
        <w:t xml:space="preserve"> a period of many years</w:t>
      </w:r>
      <w:r w:rsidR="00236A44">
        <w:rPr>
          <w:rFonts w:ascii="Arial" w:hAnsi="Arial" w:cs="Arial"/>
        </w:rPr>
        <w:t>, which was exacerbated by his intermittent employment and income</w:t>
      </w:r>
      <w:r w:rsidR="006A4C2C">
        <w:rPr>
          <w:rFonts w:ascii="Arial" w:hAnsi="Arial" w:cs="Arial"/>
        </w:rPr>
        <w:t>.  He cite</w:t>
      </w:r>
      <w:r w:rsidR="00762C35">
        <w:rPr>
          <w:rFonts w:ascii="Arial" w:hAnsi="Arial" w:cs="Arial"/>
        </w:rPr>
        <w:t>d</w:t>
      </w:r>
      <w:r w:rsidR="006A4C2C">
        <w:rPr>
          <w:rFonts w:ascii="Arial" w:hAnsi="Arial" w:cs="Arial"/>
        </w:rPr>
        <w:t xml:space="preserve"> </w:t>
      </w:r>
      <w:r w:rsidR="00B627CF">
        <w:rPr>
          <w:rFonts w:ascii="Arial" w:hAnsi="Arial" w:cs="Arial"/>
        </w:rPr>
        <w:t>Covid-19</w:t>
      </w:r>
      <w:r w:rsidR="00E92161">
        <w:rPr>
          <w:rFonts w:ascii="Arial" w:hAnsi="Arial" w:cs="Arial"/>
        </w:rPr>
        <w:t>,</w:t>
      </w:r>
      <w:r w:rsidR="00B627CF">
        <w:rPr>
          <w:rFonts w:ascii="Arial" w:hAnsi="Arial" w:cs="Arial"/>
        </w:rPr>
        <w:t xml:space="preserve"> a</w:t>
      </w:r>
      <w:r w:rsidR="0069792D">
        <w:rPr>
          <w:rFonts w:ascii="Arial" w:hAnsi="Arial" w:cs="Arial"/>
        </w:rPr>
        <w:t>n</w:t>
      </w:r>
      <w:r w:rsidR="00B627CF">
        <w:rPr>
          <w:rFonts w:ascii="Arial" w:hAnsi="Arial" w:cs="Arial"/>
        </w:rPr>
        <w:t>d the impact thereof</w:t>
      </w:r>
      <w:r w:rsidR="00E92161">
        <w:rPr>
          <w:rFonts w:ascii="Arial" w:hAnsi="Arial" w:cs="Arial"/>
        </w:rPr>
        <w:t>,</w:t>
      </w:r>
      <w:r w:rsidR="00B627CF">
        <w:rPr>
          <w:rFonts w:ascii="Arial" w:hAnsi="Arial" w:cs="Arial"/>
        </w:rPr>
        <w:t xml:space="preserve"> as the </w:t>
      </w:r>
      <w:r w:rsidR="00236A44">
        <w:rPr>
          <w:rFonts w:ascii="Arial" w:hAnsi="Arial" w:cs="Arial"/>
        </w:rPr>
        <w:t xml:space="preserve">breaking point </w:t>
      </w:r>
      <w:r w:rsidR="00B627CF">
        <w:rPr>
          <w:rFonts w:ascii="Arial" w:hAnsi="Arial" w:cs="Arial"/>
        </w:rPr>
        <w:t>in the parties’ marriage.</w:t>
      </w:r>
      <w:r w:rsidR="00236A44">
        <w:rPr>
          <w:rFonts w:ascii="Arial" w:hAnsi="Arial" w:cs="Arial"/>
        </w:rPr>
        <w:t xml:space="preserve">   </w:t>
      </w:r>
      <w:r w:rsidR="00E2614B">
        <w:rPr>
          <w:rFonts w:ascii="Arial" w:hAnsi="Arial" w:cs="Arial"/>
        </w:rPr>
        <w:t xml:space="preserve">    </w:t>
      </w:r>
    </w:p>
    <w:p w14:paraId="50746130" w14:textId="77777777" w:rsidR="00E2614B" w:rsidRDefault="00E2614B" w:rsidP="00E2614B">
      <w:pPr>
        <w:pStyle w:val="NormalWeb"/>
        <w:shd w:val="clear" w:color="auto" w:fill="FFFFFF"/>
        <w:spacing w:before="0" w:beforeAutospacing="0" w:after="0" w:afterAutospacing="0" w:line="480" w:lineRule="auto"/>
        <w:ind w:left="851" w:right="259"/>
        <w:jc w:val="both"/>
        <w:rPr>
          <w:rFonts w:ascii="Arial" w:hAnsi="Arial" w:cs="Arial"/>
        </w:rPr>
      </w:pPr>
    </w:p>
    <w:p w14:paraId="2C4F6D3E" w14:textId="6A9B28F4" w:rsidR="0055187B"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[33]</w:t>
      </w:r>
      <w:r>
        <w:rPr>
          <w:rFonts w:ascii="Arial" w:hAnsi="Arial" w:cs="Arial"/>
        </w:rPr>
        <w:tab/>
      </w:r>
      <w:r w:rsidR="00D8700B">
        <w:rPr>
          <w:rFonts w:ascii="Arial" w:hAnsi="Arial" w:cs="Arial"/>
        </w:rPr>
        <w:t xml:space="preserve">Given the construction of the appellant’s pleadings, it </w:t>
      </w:r>
      <w:r w:rsidR="00465301">
        <w:rPr>
          <w:rFonts w:ascii="Arial" w:hAnsi="Arial" w:cs="Arial"/>
        </w:rPr>
        <w:t>was</w:t>
      </w:r>
      <w:r w:rsidR="00D8700B">
        <w:rPr>
          <w:rFonts w:ascii="Arial" w:hAnsi="Arial" w:cs="Arial"/>
        </w:rPr>
        <w:t xml:space="preserve"> difficult to discern </w:t>
      </w:r>
      <w:r w:rsidR="0055187B">
        <w:rPr>
          <w:rFonts w:ascii="Arial" w:hAnsi="Arial" w:cs="Arial"/>
        </w:rPr>
        <w:t>which circumstances the appellant contend</w:t>
      </w:r>
      <w:r w:rsidR="00762C35">
        <w:rPr>
          <w:rFonts w:ascii="Arial" w:hAnsi="Arial" w:cs="Arial"/>
        </w:rPr>
        <w:t>ed</w:t>
      </w:r>
      <w:r w:rsidR="0055187B">
        <w:rPr>
          <w:rFonts w:ascii="Arial" w:hAnsi="Arial" w:cs="Arial"/>
        </w:rPr>
        <w:t xml:space="preserve"> </w:t>
      </w:r>
      <w:r w:rsidR="00D8700B">
        <w:rPr>
          <w:rFonts w:ascii="Arial" w:hAnsi="Arial" w:cs="Arial"/>
        </w:rPr>
        <w:t xml:space="preserve">gave rise to the breakdown in the parties’ marriage versus those which </w:t>
      </w:r>
      <w:r w:rsidR="00AD647D">
        <w:rPr>
          <w:rFonts w:ascii="Arial" w:hAnsi="Arial" w:cs="Arial"/>
        </w:rPr>
        <w:t>she</w:t>
      </w:r>
      <w:r w:rsidR="00D8700B">
        <w:rPr>
          <w:rFonts w:ascii="Arial" w:hAnsi="Arial" w:cs="Arial"/>
        </w:rPr>
        <w:t xml:space="preserve"> </w:t>
      </w:r>
      <w:r w:rsidR="00AD647D">
        <w:rPr>
          <w:rFonts w:ascii="Arial" w:hAnsi="Arial" w:cs="Arial"/>
        </w:rPr>
        <w:t>contend</w:t>
      </w:r>
      <w:r w:rsidR="00762C35">
        <w:rPr>
          <w:rFonts w:ascii="Arial" w:hAnsi="Arial" w:cs="Arial"/>
        </w:rPr>
        <w:t>ed</w:t>
      </w:r>
      <w:r w:rsidR="00AD647D">
        <w:rPr>
          <w:rFonts w:ascii="Arial" w:hAnsi="Arial" w:cs="Arial"/>
        </w:rPr>
        <w:t xml:space="preserve"> constitute</w:t>
      </w:r>
      <w:r w:rsidR="00762C35">
        <w:rPr>
          <w:rFonts w:ascii="Arial" w:hAnsi="Arial" w:cs="Arial"/>
        </w:rPr>
        <w:t>d</w:t>
      </w:r>
      <w:r w:rsidR="00AD647D">
        <w:rPr>
          <w:rFonts w:ascii="Arial" w:hAnsi="Arial" w:cs="Arial"/>
        </w:rPr>
        <w:t xml:space="preserve"> </w:t>
      </w:r>
      <w:r w:rsidR="00D8700B">
        <w:rPr>
          <w:rFonts w:ascii="Arial" w:hAnsi="Arial" w:cs="Arial"/>
        </w:rPr>
        <w:t>substantial misconduct on behalf of the respondent.</w:t>
      </w:r>
      <w:r w:rsidR="000A0F77">
        <w:rPr>
          <w:rFonts w:ascii="Arial" w:hAnsi="Arial" w:cs="Arial"/>
        </w:rPr>
        <w:t xml:space="preserve">  </w:t>
      </w:r>
    </w:p>
    <w:p w14:paraId="78E991C5" w14:textId="77777777" w:rsidR="0055187B" w:rsidRDefault="0055187B" w:rsidP="0055187B">
      <w:pPr>
        <w:pStyle w:val="NormalWeb"/>
        <w:shd w:val="clear" w:color="auto" w:fill="FFFFFF"/>
        <w:spacing w:before="0" w:beforeAutospacing="0" w:after="0" w:afterAutospacing="0" w:line="480" w:lineRule="auto"/>
        <w:ind w:left="851" w:right="259"/>
        <w:jc w:val="both"/>
        <w:rPr>
          <w:rFonts w:ascii="Arial" w:hAnsi="Arial" w:cs="Arial"/>
        </w:rPr>
      </w:pPr>
    </w:p>
    <w:p w14:paraId="18A444CE" w14:textId="641DE9B1" w:rsidR="00AD647D" w:rsidRPr="00AD647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AD647D">
        <w:rPr>
          <w:rFonts w:ascii="Arial" w:hAnsi="Arial" w:cs="Arial"/>
        </w:rPr>
        <w:t>[34]</w:t>
      </w:r>
      <w:r w:rsidRPr="00AD647D">
        <w:rPr>
          <w:rFonts w:ascii="Arial" w:hAnsi="Arial" w:cs="Arial"/>
        </w:rPr>
        <w:tab/>
      </w:r>
      <w:r w:rsidR="000035F4">
        <w:rPr>
          <w:rFonts w:ascii="Arial" w:hAnsi="Arial" w:cs="Arial"/>
          <w:lang w:val="en-US"/>
        </w:rPr>
        <w:t xml:space="preserve">On a consideration of </w:t>
      </w:r>
      <w:r w:rsidR="00AD647D" w:rsidRPr="00AD647D">
        <w:rPr>
          <w:rFonts w:ascii="Arial" w:hAnsi="Arial" w:cs="Arial"/>
          <w:lang w:val="en-US"/>
        </w:rPr>
        <w:t>the</w:t>
      </w:r>
      <w:r w:rsidR="00AD647D">
        <w:rPr>
          <w:rFonts w:ascii="Arial" w:hAnsi="Arial" w:cs="Arial"/>
          <w:lang w:val="en-US"/>
        </w:rPr>
        <w:t xml:space="preserve"> appellant’s</w:t>
      </w:r>
      <w:r w:rsidR="00AD647D" w:rsidRPr="00AD647D">
        <w:rPr>
          <w:rFonts w:ascii="Arial" w:hAnsi="Arial" w:cs="Arial"/>
          <w:lang w:val="en-US"/>
        </w:rPr>
        <w:t xml:space="preserve"> pleadings</w:t>
      </w:r>
      <w:r w:rsidR="00AD647D">
        <w:rPr>
          <w:rFonts w:ascii="Arial" w:hAnsi="Arial" w:cs="Arial"/>
          <w:lang w:val="en-US"/>
        </w:rPr>
        <w:t xml:space="preserve">, and in addition to the usual grounds which are routinely pleaded in divorce actions, </w:t>
      </w:r>
      <w:r w:rsidR="00AD647D" w:rsidRPr="00AD647D">
        <w:rPr>
          <w:rFonts w:ascii="Arial" w:hAnsi="Arial" w:cs="Arial"/>
          <w:lang w:val="en-US"/>
        </w:rPr>
        <w:t xml:space="preserve">it </w:t>
      </w:r>
      <w:r w:rsidR="00591D80">
        <w:rPr>
          <w:rFonts w:ascii="Arial" w:hAnsi="Arial" w:cs="Arial"/>
          <w:lang w:val="en-US"/>
        </w:rPr>
        <w:t>wa</w:t>
      </w:r>
      <w:r w:rsidR="00AD647D" w:rsidRPr="00AD647D">
        <w:rPr>
          <w:rFonts w:ascii="Arial" w:hAnsi="Arial" w:cs="Arial"/>
          <w:lang w:val="en-US"/>
        </w:rPr>
        <w:t xml:space="preserve">s apparent that the appellant in her </w:t>
      </w:r>
      <w:r w:rsidR="009B6DD5">
        <w:rPr>
          <w:rFonts w:ascii="Arial" w:hAnsi="Arial" w:cs="Arial"/>
          <w:lang w:val="en-US"/>
        </w:rPr>
        <w:t xml:space="preserve">claim in reconvention </w:t>
      </w:r>
      <w:r w:rsidR="00AD647D" w:rsidRPr="00AD647D">
        <w:rPr>
          <w:rFonts w:ascii="Arial" w:hAnsi="Arial" w:cs="Arial"/>
          <w:lang w:val="en-US"/>
        </w:rPr>
        <w:t>relie</w:t>
      </w:r>
      <w:r w:rsidR="00762C35">
        <w:rPr>
          <w:rFonts w:ascii="Arial" w:hAnsi="Arial" w:cs="Arial"/>
          <w:lang w:val="en-US"/>
        </w:rPr>
        <w:t>d</w:t>
      </w:r>
      <w:r w:rsidR="00AD647D" w:rsidRPr="00AD647D">
        <w:rPr>
          <w:rFonts w:ascii="Arial" w:hAnsi="Arial" w:cs="Arial"/>
          <w:lang w:val="en-US"/>
        </w:rPr>
        <w:t xml:space="preserve"> </w:t>
      </w:r>
      <w:r w:rsidR="00AD647D">
        <w:rPr>
          <w:rFonts w:ascii="Arial" w:hAnsi="Arial" w:cs="Arial"/>
          <w:lang w:val="en-US"/>
        </w:rPr>
        <w:t xml:space="preserve">primarily </w:t>
      </w:r>
      <w:r w:rsidR="00AD647D" w:rsidRPr="00AD647D">
        <w:rPr>
          <w:rFonts w:ascii="Arial" w:hAnsi="Arial" w:cs="Arial"/>
          <w:lang w:val="en-US"/>
        </w:rPr>
        <w:t>on the following</w:t>
      </w:r>
      <w:r w:rsidR="00AD647D">
        <w:rPr>
          <w:rFonts w:ascii="Arial" w:hAnsi="Arial" w:cs="Arial"/>
          <w:lang w:val="en-US"/>
        </w:rPr>
        <w:t xml:space="preserve"> further</w:t>
      </w:r>
      <w:r w:rsidR="00AD647D" w:rsidRPr="00AD647D">
        <w:rPr>
          <w:rFonts w:ascii="Arial" w:hAnsi="Arial" w:cs="Arial"/>
          <w:lang w:val="en-US"/>
        </w:rPr>
        <w:t xml:space="preserve"> grounds </w:t>
      </w:r>
      <w:r w:rsidR="00AD647D">
        <w:rPr>
          <w:rFonts w:ascii="Arial" w:hAnsi="Arial" w:cs="Arial"/>
          <w:lang w:val="en-US"/>
        </w:rPr>
        <w:t xml:space="preserve">for the breakdown in the </w:t>
      </w:r>
      <w:r w:rsidR="00AD647D" w:rsidRPr="00AD647D">
        <w:rPr>
          <w:rFonts w:ascii="Arial" w:hAnsi="Arial" w:cs="Arial"/>
          <w:lang w:val="en-US"/>
        </w:rPr>
        <w:t>marriage between the parties</w:t>
      </w:r>
      <w:r w:rsidR="00AD647D">
        <w:rPr>
          <w:rFonts w:ascii="Arial" w:hAnsi="Arial" w:cs="Arial"/>
          <w:lang w:val="en-US"/>
        </w:rPr>
        <w:t>:</w:t>
      </w:r>
    </w:p>
    <w:p w14:paraId="1320E76D" w14:textId="65953416"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rPr>
      </w:pPr>
      <w:r>
        <w:rPr>
          <w:rFonts w:ascii="Arial" w:hAnsi="Arial" w:cs="Arial"/>
        </w:rPr>
        <w:lastRenderedPageBreak/>
        <w:t>“</w:t>
      </w:r>
      <w:r w:rsidRPr="00AD647D">
        <w:rPr>
          <w:rFonts w:ascii="Arial" w:hAnsi="Arial" w:cs="Arial"/>
          <w:i/>
          <w:iCs/>
          <w:sz w:val="22"/>
          <w:szCs w:val="22"/>
        </w:rPr>
        <w:t>4.1</w:t>
      </w:r>
      <w:r w:rsidRPr="00AD647D">
        <w:rPr>
          <w:rFonts w:ascii="Arial" w:hAnsi="Arial" w:cs="Arial"/>
          <w:i/>
          <w:iCs/>
          <w:sz w:val="22"/>
          <w:szCs w:val="22"/>
        </w:rPr>
        <w:tab/>
        <w:t>…</w:t>
      </w:r>
    </w:p>
    <w:p w14:paraId="108C639D" w14:textId="77777777"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rPr>
      </w:pPr>
    </w:p>
    <w:p w14:paraId="27FC2ED9" w14:textId="7DB47F81"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rPr>
      </w:pPr>
      <w:r w:rsidRPr="00AD647D">
        <w:rPr>
          <w:rFonts w:ascii="Arial" w:hAnsi="Arial" w:cs="Arial"/>
          <w:i/>
          <w:iCs/>
          <w:sz w:val="22"/>
          <w:szCs w:val="22"/>
        </w:rPr>
        <w:t>4.2 …</w:t>
      </w:r>
    </w:p>
    <w:p w14:paraId="596132D0" w14:textId="77777777"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rPr>
      </w:pPr>
    </w:p>
    <w:p w14:paraId="141DDE47" w14:textId="75469A91"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sidRPr="00AD647D">
        <w:rPr>
          <w:rFonts w:ascii="Arial" w:hAnsi="Arial" w:cs="Arial"/>
          <w:i/>
          <w:iCs/>
          <w:sz w:val="22"/>
          <w:szCs w:val="22"/>
        </w:rPr>
        <w:t>4.3</w:t>
      </w:r>
      <w:r w:rsidRPr="00AD647D">
        <w:rPr>
          <w:rFonts w:ascii="Arial" w:hAnsi="Arial" w:cs="Arial"/>
          <w:i/>
          <w:iCs/>
          <w:sz w:val="22"/>
          <w:szCs w:val="22"/>
        </w:rPr>
        <w:tab/>
      </w:r>
      <w:r w:rsidRPr="00AD647D">
        <w:rPr>
          <w:rFonts w:ascii="Arial" w:hAnsi="Arial" w:cs="Arial"/>
          <w:i/>
          <w:iCs/>
          <w:sz w:val="22"/>
          <w:szCs w:val="22"/>
          <w:lang w:val="en-US"/>
        </w:rPr>
        <w:t xml:space="preserve">the </w:t>
      </w:r>
      <w:r w:rsidR="00AD01B4">
        <w:rPr>
          <w:rFonts w:ascii="Arial" w:hAnsi="Arial" w:cs="Arial"/>
          <w:i/>
          <w:iCs/>
          <w:sz w:val="22"/>
          <w:szCs w:val="22"/>
          <w:lang w:val="en-US"/>
        </w:rPr>
        <w:t>[respondent]</w:t>
      </w:r>
      <w:r w:rsidRPr="00AD647D">
        <w:rPr>
          <w:rFonts w:ascii="Arial" w:hAnsi="Arial" w:cs="Arial"/>
          <w:i/>
          <w:iCs/>
          <w:sz w:val="22"/>
          <w:szCs w:val="22"/>
          <w:lang w:val="en-US"/>
        </w:rPr>
        <w:t xml:space="preserve"> has throughout the marriage verbally, emotionally, financially and physically abused the </w:t>
      </w:r>
      <w:r w:rsidR="00AD01B4">
        <w:rPr>
          <w:rFonts w:ascii="Arial" w:hAnsi="Arial" w:cs="Arial"/>
          <w:i/>
          <w:iCs/>
          <w:sz w:val="22"/>
          <w:szCs w:val="22"/>
          <w:lang w:val="en-US"/>
        </w:rPr>
        <w:t>[appellant]</w:t>
      </w:r>
      <w:r w:rsidRPr="00AD647D">
        <w:rPr>
          <w:rFonts w:ascii="Arial" w:hAnsi="Arial" w:cs="Arial"/>
          <w:i/>
          <w:iCs/>
          <w:sz w:val="22"/>
          <w:szCs w:val="22"/>
          <w:lang w:val="en-US"/>
        </w:rPr>
        <w:t xml:space="preserve">, which resulted in a protection order being issued in favour of the </w:t>
      </w:r>
      <w:r w:rsidR="00AD01B4">
        <w:rPr>
          <w:rFonts w:ascii="Arial" w:hAnsi="Arial" w:cs="Arial"/>
          <w:i/>
          <w:iCs/>
          <w:sz w:val="22"/>
          <w:szCs w:val="22"/>
          <w:lang w:val="en-US"/>
        </w:rPr>
        <w:t>[appellant]</w:t>
      </w:r>
      <w:r w:rsidRPr="00AD647D">
        <w:rPr>
          <w:rFonts w:ascii="Arial" w:hAnsi="Arial" w:cs="Arial"/>
          <w:i/>
          <w:iCs/>
          <w:sz w:val="22"/>
          <w:szCs w:val="22"/>
          <w:lang w:val="en-US"/>
        </w:rPr>
        <w:t xml:space="preserve"> against the </w:t>
      </w:r>
      <w:r w:rsidR="00AD01B4">
        <w:rPr>
          <w:rFonts w:ascii="Arial" w:hAnsi="Arial" w:cs="Arial"/>
          <w:i/>
          <w:iCs/>
          <w:sz w:val="22"/>
          <w:szCs w:val="22"/>
          <w:lang w:val="en-US"/>
        </w:rPr>
        <w:t>[respondent]</w:t>
      </w:r>
      <w:r w:rsidRPr="00AD647D">
        <w:rPr>
          <w:rFonts w:ascii="Arial" w:hAnsi="Arial" w:cs="Arial"/>
          <w:i/>
          <w:iCs/>
          <w:sz w:val="22"/>
          <w:szCs w:val="22"/>
          <w:lang w:val="en-US"/>
        </w:rPr>
        <w:t>;</w:t>
      </w:r>
    </w:p>
    <w:p w14:paraId="3F09DFFD" w14:textId="2A4494E5" w:rsid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p>
    <w:p w14:paraId="2410D8EE" w14:textId="1231D341" w:rsidR="006811A5" w:rsidRPr="00AD647D" w:rsidRDefault="006811A5"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Pr>
          <w:rFonts w:ascii="Arial" w:hAnsi="Arial" w:cs="Arial"/>
          <w:i/>
          <w:iCs/>
          <w:sz w:val="22"/>
          <w:szCs w:val="22"/>
          <w:lang w:val="en-US"/>
        </w:rPr>
        <w:t>4.4</w:t>
      </w:r>
      <w:r>
        <w:rPr>
          <w:rFonts w:ascii="Arial" w:hAnsi="Arial" w:cs="Arial"/>
          <w:i/>
          <w:iCs/>
          <w:sz w:val="22"/>
          <w:szCs w:val="22"/>
          <w:lang w:val="en-US"/>
        </w:rPr>
        <w:tab/>
      </w:r>
      <w:r w:rsidRPr="006811A5">
        <w:rPr>
          <w:rFonts w:ascii="Arial" w:hAnsi="Arial" w:cs="Arial"/>
          <w:i/>
          <w:iCs/>
          <w:sz w:val="22"/>
          <w:szCs w:val="22"/>
          <w:lang w:val="en-US"/>
        </w:rPr>
        <w:t xml:space="preserve">the </w:t>
      </w:r>
      <w:r w:rsidR="00AD01B4">
        <w:rPr>
          <w:rFonts w:ascii="Arial" w:hAnsi="Arial" w:cs="Arial"/>
          <w:i/>
          <w:iCs/>
          <w:sz w:val="22"/>
          <w:szCs w:val="22"/>
          <w:lang w:val="en-US"/>
        </w:rPr>
        <w:t>[respondent]</w:t>
      </w:r>
      <w:r w:rsidRPr="006811A5">
        <w:rPr>
          <w:rFonts w:ascii="Arial" w:hAnsi="Arial" w:cs="Arial"/>
          <w:i/>
          <w:iCs/>
          <w:sz w:val="22"/>
          <w:szCs w:val="22"/>
          <w:lang w:val="en-US"/>
        </w:rPr>
        <w:t xml:space="preserve"> has failed to maintain the </w:t>
      </w:r>
      <w:r w:rsidR="00AD01B4">
        <w:rPr>
          <w:rFonts w:ascii="Arial" w:hAnsi="Arial" w:cs="Arial"/>
          <w:i/>
          <w:iCs/>
          <w:sz w:val="22"/>
          <w:szCs w:val="22"/>
          <w:lang w:val="en-US"/>
        </w:rPr>
        <w:t>[appellant]</w:t>
      </w:r>
      <w:r w:rsidRPr="006811A5">
        <w:rPr>
          <w:rFonts w:ascii="Arial" w:hAnsi="Arial" w:cs="Arial"/>
          <w:i/>
          <w:iCs/>
          <w:sz w:val="22"/>
          <w:szCs w:val="22"/>
          <w:lang w:val="en-US"/>
        </w:rPr>
        <w:t xml:space="preserve"> and the former, home financially</w:t>
      </w:r>
      <w:r>
        <w:rPr>
          <w:rFonts w:ascii="Arial" w:hAnsi="Arial" w:cs="Arial"/>
          <w:i/>
          <w:iCs/>
          <w:sz w:val="22"/>
          <w:szCs w:val="22"/>
          <w:lang w:val="en-US"/>
        </w:rPr>
        <w:t>;</w:t>
      </w:r>
    </w:p>
    <w:p w14:paraId="0A860ED0" w14:textId="77777777" w:rsidR="008B2B1F" w:rsidRDefault="008B2B1F"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p>
    <w:p w14:paraId="25617EBB" w14:textId="74CD7ECA"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sidRPr="00AD647D">
        <w:rPr>
          <w:rFonts w:ascii="Arial" w:hAnsi="Arial" w:cs="Arial"/>
          <w:i/>
          <w:iCs/>
          <w:sz w:val="22"/>
          <w:szCs w:val="22"/>
          <w:lang w:val="en-US"/>
        </w:rPr>
        <w:t>4.5</w:t>
      </w:r>
      <w:r w:rsidRPr="00AD647D">
        <w:rPr>
          <w:rFonts w:ascii="Arial" w:hAnsi="Arial" w:cs="Arial"/>
          <w:i/>
          <w:iCs/>
          <w:sz w:val="22"/>
          <w:szCs w:val="22"/>
          <w:lang w:val="en-US"/>
        </w:rPr>
        <w:tab/>
        <w:t xml:space="preserve">the </w:t>
      </w:r>
      <w:r w:rsidR="00AD01B4">
        <w:rPr>
          <w:rFonts w:ascii="Arial" w:hAnsi="Arial" w:cs="Arial"/>
          <w:i/>
          <w:iCs/>
          <w:sz w:val="22"/>
          <w:szCs w:val="22"/>
          <w:lang w:val="en-US"/>
        </w:rPr>
        <w:t>[respondent]</w:t>
      </w:r>
      <w:r w:rsidRPr="00AD647D">
        <w:rPr>
          <w:rFonts w:ascii="Arial" w:hAnsi="Arial" w:cs="Arial"/>
          <w:i/>
          <w:iCs/>
          <w:sz w:val="22"/>
          <w:szCs w:val="22"/>
          <w:lang w:val="en-US"/>
        </w:rPr>
        <w:t xml:space="preserve"> resigned from his employment in 2013 for no apparent reason and left the former common home approximately five years ago;</w:t>
      </w:r>
    </w:p>
    <w:p w14:paraId="2E31D96C" w14:textId="77777777"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p>
    <w:p w14:paraId="06A1F1C8" w14:textId="78E2C1CD"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r w:rsidRPr="00AD647D">
        <w:rPr>
          <w:rFonts w:ascii="Arial" w:hAnsi="Arial" w:cs="Arial"/>
          <w:i/>
          <w:iCs/>
          <w:sz w:val="22"/>
          <w:szCs w:val="22"/>
          <w:lang w:val="en-US"/>
        </w:rPr>
        <w:t>4.6 …</w:t>
      </w:r>
    </w:p>
    <w:p w14:paraId="3C8C991C" w14:textId="77777777"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p>
    <w:p w14:paraId="7B7F0F49" w14:textId="1400C62F"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sidRPr="00AD647D">
        <w:rPr>
          <w:rFonts w:ascii="Arial" w:hAnsi="Arial" w:cs="Arial"/>
          <w:i/>
          <w:iCs/>
          <w:sz w:val="22"/>
          <w:szCs w:val="22"/>
          <w:lang w:val="en-US"/>
        </w:rPr>
        <w:t>4.7</w:t>
      </w:r>
      <w:r w:rsidRPr="00AD647D">
        <w:rPr>
          <w:rFonts w:ascii="Arial" w:hAnsi="Arial" w:cs="Arial"/>
          <w:i/>
          <w:iCs/>
          <w:sz w:val="22"/>
          <w:szCs w:val="22"/>
          <w:lang w:val="en-US"/>
        </w:rPr>
        <w:tab/>
        <w:t xml:space="preserve">the </w:t>
      </w:r>
      <w:r w:rsidR="00AD01B4">
        <w:rPr>
          <w:rFonts w:ascii="Arial" w:hAnsi="Arial" w:cs="Arial"/>
          <w:i/>
          <w:iCs/>
          <w:sz w:val="22"/>
          <w:szCs w:val="22"/>
          <w:lang w:val="en-US"/>
        </w:rPr>
        <w:t>[respondent]</w:t>
      </w:r>
      <w:r w:rsidRPr="00AD647D">
        <w:rPr>
          <w:rFonts w:ascii="Arial" w:hAnsi="Arial" w:cs="Arial"/>
          <w:i/>
          <w:iCs/>
          <w:sz w:val="22"/>
          <w:szCs w:val="22"/>
          <w:lang w:val="en-US"/>
        </w:rPr>
        <w:t xml:space="preserve"> throughout the marriage utilised his salary, while employed, and his pension fund interest, after he resigned, for his own benefit, and without any due regard for the </w:t>
      </w:r>
      <w:r w:rsidR="00AD01B4">
        <w:rPr>
          <w:rFonts w:ascii="Arial" w:hAnsi="Arial" w:cs="Arial"/>
          <w:i/>
          <w:iCs/>
          <w:sz w:val="22"/>
          <w:szCs w:val="22"/>
          <w:lang w:val="en-US"/>
        </w:rPr>
        <w:t>[appellant]</w:t>
      </w:r>
      <w:r w:rsidRPr="00AD647D">
        <w:rPr>
          <w:rFonts w:ascii="Arial" w:hAnsi="Arial" w:cs="Arial"/>
          <w:i/>
          <w:iCs/>
          <w:sz w:val="22"/>
          <w:szCs w:val="22"/>
          <w:lang w:val="en-US"/>
        </w:rPr>
        <w:t xml:space="preserve"> and as such the </w:t>
      </w:r>
      <w:r w:rsidR="00AD01B4">
        <w:rPr>
          <w:rFonts w:ascii="Arial" w:hAnsi="Arial" w:cs="Arial"/>
          <w:i/>
          <w:iCs/>
          <w:sz w:val="22"/>
          <w:szCs w:val="22"/>
          <w:lang w:val="en-US"/>
        </w:rPr>
        <w:t>[respondent]</w:t>
      </w:r>
      <w:r w:rsidRPr="00AD647D">
        <w:rPr>
          <w:rFonts w:ascii="Arial" w:hAnsi="Arial" w:cs="Arial"/>
          <w:i/>
          <w:iCs/>
          <w:sz w:val="22"/>
          <w:szCs w:val="22"/>
          <w:lang w:val="en-US"/>
        </w:rPr>
        <w:t xml:space="preserve"> failed to share the financial benefits with the </w:t>
      </w:r>
      <w:r w:rsidR="00AD01B4">
        <w:rPr>
          <w:rFonts w:ascii="Arial" w:hAnsi="Arial" w:cs="Arial"/>
          <w:i/>
          <w:iCs/>
          <w:sz w:val="22"/>
          <w:szCs w:val="22"/>
          <w:lang w:val="en-US"/>
        </w:rPr>
        <w:t>[appellant]</w:t>
      </w:r>
      <w:r w:rsidRPr="00AD647D">
        <w:rPr>
          <w:rFonts w:ascii="Arial" w:hAnsi="Arial" w:cs="Arial"/>
          <w:i/>
          <w:iCs/>
          <w:sz w:val="22"/>
          <w:szCs w:val="22"/>
          <w:lang w:val="en-US"/>
        </w:rPr>
        <w:t>;</w:t>
      </w:r>
    </w:p>
    <w:p w14:paraId="76D2BC96" w14:textId="77777777"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p>
    <w:p w14:paraId="1FEF3501" w14:textId="09C7B423"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sidRPr="00AD647D">
        <w:rPr>
          <w:rFonts w:ascii="Arial" w:hAnsi="Arial" w:cs="Arial"/>
          <w:i/>
          <w:iCs/>
          <w:sz w:val="22"/>
          <w:szCs w:val="22"/>
          <w:lang w:val="en-US"/>
        </w:rPr>
        <w:t>4.8</w:t>
      </w:r>
      <w:r w:rsidRPr="00AD647D">
        <w:rPr>
          <w:rFonts w:ascii="Arial" w:hAnsi="Arial" w:cs="Arial"/>
          <w:i/>
          <w:iCs/>
          <w:sz w:val="22"/>
          <w:szCs w:val="22"/>
          <w:lang w:val="en-US"/>
        </w:rPr>
        <w:tab/>
        <w:t xml:space="preserve">the </w:t>
      </w:r>
      <w:r w:rsidR="00AD01B4">
        <w:rPr>
          <w:rFonts w:ascii="Arial" w:hAnsi="Arial" w:cs="Arial"/>
          <w:i/>
          <w:iCs/>
          <w:sz w:val="22"/>
          <w:szCs w:val="22"/>
          <w:lang w:val="en-US"/>
        </w:rPr>
        <w:t>[respondent]</w:t>
      </w:r>
      <w:r w:rsidRPr="00AD647D">
        <w:rPr>
          <w:rFonts w:ascii="Arial" w:hAnsi="Arial" w:cs="Arial"/>
          <w:i/>
          <w:iCs/>
          <w:sz w:val="22"/>
          <w:szCs w:val="22"/>
          <w:lang w:val="en-US"/>
        </w:rPr>
        <w:t xml:space="preserve"> sold a motor vehicle belonging to the parties and part of the joint estate and retained the cash proceeds, with</w:t>
      </w:r>
      <w:r w:rsidR="00AD01B4">
        <w:rPr>
          <w:rFonts w:ascii="Arial" w:hAnsi="Arial" w:cs="Arial"/>
          <w:i/>
          <w:iCs/>
          <w:sz w:val="22"/>
          <w:szCs w:val="22"/>
          <w:lang w:val="en-US"/>
        </w:rPr>
        <w:t>out</w:t>
      </w:r>
      <w:r w:rsidRPr="00AD647D">
        <w:rPr>
          <w:rFonts w:ascii="Arial" w:hAnsi="Arial" w:cs="Arial"/>
          <w:i/>
          <w:iCs/>
          <w:sz w:val="22"/>
          <w:szCs w:val="22"/>
          <w:lang w:val="en-US"/>
        </w:rPr>
        <w:t xml:space="preserve"> accounting to the </w:t>
      </w:r>
      <w:r w:rsidR="00AD01B4">
        <w:rPr>
          <w:rFonts w:ascii="Arial" w:hAnsi="Arial" w:cs="Arial"/>
          <w:i/>
          <w:iCs/>
          <w:sz w:val="22"/>
          <w:szCs w:val="22"/>
          <w:lang w:val="en-US"/>
        </w:rPr>
        <w:t>[appellant]</w:t>
      </w:r>
      <w:r w:rsidRPr="00AD647D">
        <w:rPr>
          <w:rFonts w:ascii="Arial" w:hAnsi="Arial" w:cs="Arial"/>
          <w:i/>
          <w:iCs/>
          <w:sz w:val="22"/>
          <w:szCs w:val="22"/>
          <w:lang w:val="en-US"/>
        </w:rPr>
        <w:t xml:space="preserve"> in respect of such proceeds, or sharing such proceeds with the </w:t>
      </w:r>
      <w:r w:rsidR="00AD01B4">
        <w:rPr>
          <w:rFonts w:ascii="Arial" w:hAnsi="Arial" w:cs="Arial"/>
          <w:i/>
          <w:iCs/>
          <w:sz w:val="22"/>
          <w:szCs w:val="22"/>
          <w:lang w:val="en-US"/>
        </w:rPr>
        <w:t>[appellant]</w:t>
      </w:r>
      <w:r w:rsidRPr="00AD647D">
        <w:rPr>
          <w:rFonts w:ascii="Arial" w:hAnsi="Arial" w:cs="Arial"/>
          <w:i/>
          <w:iCs/>
          <w:sz w:val="22"/>
          <w:szCs w:val="22"/>
          <w:lang w:val="en-US"/>
        </w:rPr>
        <w:t>;</w:t>
      </w:r>
    </w:p>
    <w:p w14:paraId="5DA80096" w14:textId="77777777"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p>
    <w:p w14:paraId="15F112FF" w14:textId="5D828C96" w:rsidR="00AD647D" w:rsidRPr="00AD647D" w:rsidRDefault="00AD647D" w:rsidP="00AD647D">
      <w:pPr>
        <w:pStyle w:val="NormalWeb"/>
        <w:shd w:val="clear" w:color="auto" w:fill="FFFFFF"/>
        <w:spacing w:before="0" w:beforeAutospacing="0" w:after="0" w:afterAutospacing="0" w:line="360" w:lineRule="auto"/>
        <w:ind w:left="1436" w:right="261" w:hanging="585"/>
        <w:jc w:val="both"/>
        <w:rPr>
          <w:rFonts w:ascii="Arial" w:hAnsi="Arial" w:cs="Arial"/>
          <w:i/>
          <w:iCs/>
          <w:sz w:val="22"/>
          <w:szCs w:val="22"/>
          <w:lang w:val="en-US"/>
        </w:rPr>
      </w:pPr>
      <w:r w:rsidRPr="00AD647D">
        <w:rPr>
          <w:rFonts w:ascii="Arial" w:hAnsi="Arial" w:cs="Arial"/>
          <w:i/>
          <w:iCs/>
          <w:sz w:val="22"/>
          <w:szCs w:val="22"/>
          <w:lang w:val="en-US"/>
        </w:rPr>
        <w:t>4.9</w:t>
      </w:r>
      <w:r w:rsidRPr="00AD647D">
        <w:rPr>
          <w:rFonts w:ascii="Arial" w:hAnsi="Arial" w:cs="Arial"/>
          <w:i/>
          <w:iCs/>
          <w:sz w:val="22"/>
          <w:szCs w:val="22"/>
          <w:lang w:val="en-US"/>
        </w:rPr>
        <w:tab/>
        <w:t xml:space="preserve">the </w:t>
      </w:r>
      <w:r w:rsidR="00AD01B4">
        <w:rPr>
          <w:rFonts w:ascii="Arial" w:hAnsi="Arial" w:cs="Arial"/>
          <w:i/>
          <w:iCs/>
          <w:sz w:val="22"/>
          <w:szCs w:val="22"/>
          <w:lang w:val="en-US"/>
        </w:rPr>
        <w:t xml:space="preserve">[appellant] </w:t>
      </w:r>
      <w:r w:rsidRPr="00AD647D">
        <w:rPr>
          <w:rFonts w:ascii="Arial" w:hAnsi="Arial" w:cs="Arial"/>
          <w:i/>
          <w:iCs/>
          <w:sz w:val="22"/>
          <w:szCs w:val="22"/>
          <w:lang w:val="en-US"/>
        </w:rPr>
        <w:t>engaged in an extramarital affair during the marriage, which resulted in him in fathering a child by another woman;</w:t>
      </w:r>
    </w:p>
    <w:p w14:paraId="45E4B756" w14:textId="77777777"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p>
    <w:p w14:paraId="0A23CEA4" w14:textId="112B5190"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r w:rsidRPr="00AD647D">
        <w:rPr>
          <w:rFonts w:ascii="Arial" w:hAnsi="Arial" w:cs="Arial"/>
          <w:i/>
          <w:iCs/>
          <w:sz w:val="22"/>
          <w:szCs w:val="22"/>
          <w:lang w:val="en-US"/>
        </w:rPr>
        <w:t>4.10 …</w:t>
      </w:r>
    </w:p>
    <w:p w14:paraId="09EFB1C3" w14:textId="77777777"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i/>
          <w:iCs/>
          <w:sz w:val="22"/>
          <w:szCs w:val="22"/>
          <w:lang w:val="en-US"/>
        </w:rPr>
      </w:pPr>
    </w:p>
    <w:p w14:paraId="25DE6915" w14:textId="725A36A8" w:rsidR="00AD647D" w:rsidRPr="00AD647D" w:rsidRDefault="00AD647D" w:rsidP="00AD647D">
      <w:pPr>
        <w:pStyle w:val="NormalWeb"/>
        <w:shd w:val="clear" w:color="auto" w:fill="FFFFFF"/>
        <w:spacing w:before="0" w:beforeAutospacing="0" w:after="0" w:afterAutospacing="0" w:line="360" w:lineRule="auto"/>
        <w:ind w:left="851" w:right="261"/>
        <w:jc w:val="both"/>
        <w:rPr>
          <w:rFonts w:ascii="Arial" w:hAnsi="Arial" w:cs="Arial"/>
          <w:sz w:val="22"/>
          <w:szCs w:val="22"/>
          <w:lang w:val="en-US"/>
        </w:rPr>
      </w:pPr>
      <w:r w:rsidRPr="00AD647D">
        <w:rPr>
          <w:rFonts w:ascii="Arial" w:hAnsi="Arial" w:cs="Arial"/>
          <w:i/>
          <w:iCs/>
          <w:sz w:val="22"/>
          <w:szCs w:val="22"/>
          <w:lang w:val="en-US"/>
        </w:rPr>
        <w:t>4.11 …</w:t>
      </w:r>
      <w:r w:rsidRPr="00AD647D">
        <w:rPr>
          <w:rFonts w:ascii="Arial" w:hAnsi="Arial" w:cs="Arial"/>
          <w:sz w:val="22"/>
          <w:szCs w:val="22"/>
          <w:lang w:val="en-US"/>
        </w:rPr>
        <w:t>”</w:t>
      </w:r>
    </w:p>
    <w:p w14:paraId="25A28216" w14:textId="77777777" w:rsidR="00AD647D" w:rsidRDefault="00AD647D" w:rsidP="00AD647D">
      <w:pPr>
        <w:pStyle w:val="NormalWeb"/>
        <w:shd w:val="clear" w:color="auto" w:fill="FFFFFF"/>
        <w:spacing w:before="0" w:beforeAutospacing="0" w:after="0" w:afterAutospacing="0" w:line="480" w:lineRule="auto"/>
        <w:ind w:left="851" w:right="259"/>
        <w:jc w:val="both"/>
        <w:rPr>
          <w:rFonts w:ascii="Arial" w:hAnsi="Arial" w:cs="Arial"/>
        </w:rPr>
      </w:pPr>
    </w:p>
    <w:p w14:paraId="29201078" w14:textId="61B7D2C6" w:rsidR="00E84412" w:rsidRPr="00546F03"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546F03">
        <w:rPr>
          <w:rFonts w:ascii="Arial" w:hAnsi="Arial" w:cs="Arial"/>
        </w:rPr>
        <w:lastRenderedPageBreak/>
        <w:t>[35]</w:t>
      </w:r>
      <w:r w:rsidRPr="00546F03">
        <w:rPr>
          <w:rFonts w:ascii="Arial" w:hAnsi="Arial" w:cs="Arial"/>
        </w:rPr>
        <w:tab/>
      </w:r>
      <w:r w:rsidR="00D57FD1">
        <w:rPr>
          <w:rFonts w:ascii="Arial" w:hAnsi="Arial" w:cs="Arial"/>
          <w:lang w:val="en-US"/>
        </w:rPr>
        <w:t>Immediately apparent</w:t>
      </w:r>
      <w:r w:rsidR="00B4403A">
        <w:rPr>
          <w:rFonts w:ascii="Arial" w:hAnsi="Arial" w:cs="Arial"/>
          <w:lang w:val="en-US"/>
        </w:rPr>
        <w:t xml:space="preserve"> from the above</w:t>
      </w:r>
      <w:r w:rsidR="00D57FD1">
        <w:rPr>
          <w:rFonts w:ascii="Arial" w:hAnsi="Arial" w:cs="Arial"/>
          <w:lang w:val="en-US"/>
        </w:rPr>
        <w:t xml:space="preserve"> </w:t>
      </w:r>
      <w:r w:rsidR="00147F78">
        <w:rPr>
          <w:rFonts w:ascii="Arial" w:hAnsi="Arial" w:cs="Arial"/>
          <w:lang w:val="en-US"/>
        </w:rPr>
        <w:t>was</w:t>
      </w:r>
      <w:r w:rsidR="00D57FD1">
        <w:rPr>
          <w:rFonts w:ascii="Arial" w:hAnsi="Arial" w:cs="Arial"/>
          <w:lang w:val="en-US"/>
        </w:rPr>
        <w:t xml:space="preserve"> the appellant’s disdainful attitude towards what</w:t>
      </w:r>
      <w:r w:rsidR="00E92161">
        <w:rPr>
          <w:rFonts w:ascii="Arial" w:hAnsi="Arial" w:cs="Arial"/>
          <w:lang w:val="en-US"/>
        </w:rPr>
        <w:t xml:space="preserve"> she</w:t>
      </w:r>
      <w:r w:rsidR="00D57FD1">
        <w:rPr>
          <w:rFonts w:ascii="Arial" w:hAnsi="Arial" w:cs="Arial"/>
          <w:lang w:val="en-US"/>
        </w:rPr>
        <w:t xml:space="preserve"> perceived </w:t>
      </w:r>
      <w:r w:rsidR="00E84412">
        <w:rPr>
          <w:rFonts w:ascii="Arial" w:hAnsi="Arial" w:cs="Arial"/>
          <w:lang w:val="en-US"/>
        </w:rPr>
        <w:t xml:space="preserve">to be, </w:t>
      </w:r>
      <w:r w:rsidR="00D57FD1">
        <w:rPr>
          <w:rFonts w:ascii="Arial" w:hAnsi="Arial" w:cs="Arial"/>
          <w:lang w:val="en-US"/>
        </w:rPr>
        <w:t xml:space="preserve">the respondent’s </w:t>
      </w:r>
      <w:r w:rsidR="00E84412">
        <w:rPr>
          <w:rFonts w:ascii="Arial" w:hAnsi="Arial" w:cs="Arial"/>
          <w:lang w:val="en-US"/>
        </w:rPr>
        <w:t xml:space="preserve">lack of </w:t>
      </w:r>
      <w:r w:rsidR="00D57FD1">
        <w:rPr>
          <w:rFonts w:ascii="Arial" w:hAnsi="Arial" w:cs="Arial"/>
          <w:lang w:val="en-US"/>
        </w:rPr>
        <w:t xml:space="preserve">financial contribution </w:t>
      </w:r>
      <w:r w:rsidR="00E84412">
        <w:rPr>
          <w:rFonts w:ascii="Arial" w:hAnsi="Arial" w:cs="Arial"/>
          <w:lang w:val="en-US"/>
        </w:rPr>
        <w:t xml:space="preserve">towards the joint estate.  </w:t>
      </w:r>
    </w:p>
    <w:p w14:paraId="2E41EA6F" w14:textId="77777777" w:rsidR="00147F78" w:rsidRPr="00147F78" w:rsidRDefault="00147F78" w:rsidP="00147F78">
      <w:pPr>
        <w:pStyle w:val="NormalWeb"/>
        <w:shd w:val="clear" w:color="auto" w:fill="FFFFFF"/>
        <w:spacing w:before="0" w:beforeAutospacing="0" w:after="0" w:afterAutospacing="0" w:line="480" w:lineRule="auto"/>
        <w:ind w:left="851" w:right="259"/>
        <w:jc w:val="both"/>
        <w:rPr>
          <w:rFonts w:ascii="Arial" w:hAnsi="Arial" w:cs="Arial"/>
        </w:rPr>
      </w:pPr>
    </w:p>
    <w:p w14:paraId="567F2EA6" w14:textId="0120C87B" w:rsidR="003533C7" w:rsidRPr="003533C7"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3533C7">
        <w:rPr>
          <w:rFonts w:ascii="Arial" w:hAnsi="Arial" w:cs="Arial"/>
        </w:rPr>
        <w:t>[36]</w:t>
      </w:r>
      <w:r w:rsidRPr="003533C7">
        <w:rPr>
          <w:rFonts w:ascii="Arial" w:hAnsi="Arial" w:cs="Arial"/>
        </w:rPr>
        <w:tab/>
      </w:r>
      <w:r w:rsidR="006811A5" w:rsidRPr="006811A5">
        <w:rPr>
          <w:rFonts w:ascii="Arial" w:hAnsi="Arial" w:cs="Arial"/>
          <w:lang w:val="en-US"/>
        </w:rPr>
        <w:t>The grounds pleaded in paragraphs 4.4</w:t>
      </w:r>
      <w:r w:rsidR="005E0404">
        <w:rPr>
          <w:rFonts w:ascii="Arial" w:hAnsi="Arial" w:cs="Arial"/>
          <w:lang w:val="en-US"/>
        </w:rPr>
        <w:t>; 4.5;</w:t>
      </w:r>
      <w:r w:rsidR="006811A5" w:rsidRPr="006811A5">
        <w:rPr>
          <w:rFonts w:ascii="Arial" w:hAnsi="Arial" w:cs="Arial"/>
          <w:lang w:val="en-US"/>
        </w:rPr>
        <w:t xml:space="preserve"> and 4.7 of the appellant</w:t>
      </w:r>
      <w:r w:rsidR="00C32F2D">
        <w:rPr>
          <w:rFonts w:ascii="Arial" w:hAnsi="Arial" w:cs="Arial"/>
          <w:lang w:val="en-US"/>
        </w:rPr>
        <w:t>’</w:t>
      </w:r>
      <w:r w:rsidR="006811A5" w:rsidRPr="006811A5">
        <w:rPr>
          <w:rFonts w:ascii="Arial" w:hAnsi="Arial" w:cs="Arial"/>
          <w:lang w:val="en-US"/>
        </w:rPr>
        <w:t>s claim in reconvention, to a large degree, overlap</w:t>
      </w:r>
      <w:r w:rsidR="005E0404">
        <w:rPr>
          <w:rFonts w:ascii="Arial" w:hAnsi="Arial" w:cs="Arial"/>
          <w:lang w:val="en-US"/>
        </w:rPr>
        <w:t xml:space="preserve">.  </w:t>
      </w:r>
      <w:r w:rsidR="00F163DE">
        <w:rPr>
          <w:rFonts w:ascii="Arial" w:hAnsi="Arial" w:cs="Arial"/>
          <w:lang w:val="en-US"/>
        </w:rPr>
        <w:t xml:space="preserve">With the exception of the allegation </w:t>
      </w:r>
      <w:r w:rsidR="0031261C">
        <w:rPr>
          <w:rFonts w:ascii="Arial" w:hAnsi="Arial" w:cs="Arial"/>
          <w:lang w:val="en-US"/>
        </w:rPr>
        <w:t xml:space="preserve">regarding the </w:t>
      </w:r>
      <w:r w:rsidR="00F163DE">
        <w:rPr>
          <w:rFonts w:ascii="Arial" w:hAnsi="Arial" w:cs="Arial"/>
          <w:lang w:val="en-US"/>
        </w:rPr>
        <w:t>respondent having vacated the common home in</w:t>
      </w:r>
      <w:r w:rsidR="005E0404">
        <w:rPr>
          <w:rFonts w:ascii="Arial" w:hAnsi="Arial" w:cs="Arial"/>
          <w:lang w:val="en-US"/>
        </w:rPr>
        <w:t xml:space="preserve"> 2015</w:t>
      </w:r>
      <w:r w:rsidR="00A46391">
        <w:rPr>
          <w:rFonts w:ascii="Arial" w:hAnsi="Arial" w:cs="Arial"/>
          <w:lang w:val="en-US"/>
        </w:rPr>
        <w:t xml:space="preserve"> (which is common cause)</w:t>
      </w:r>
      <w:r w:rsidR="005E0404">
        <w:rPr>
          <w:rFonts w:ascii="Arial" w:hAnsi="Arial" w:cs="Arial"/>
          <w:lang w:val="en-US"/>
        </w:rPr>
        <w:t xml:space="preserve">, the remainder of the allegations </w:t>
      </w:r>
      <w:r w:rsidR="006811A5">
        <w:rPr>
          <w:rFonts w:ascii="Arial" w:hAnsi="Arial" w:cs="Arial"/>
          <w:lang w:val="en-US"/>
        </w:rPr>
        <w:t>are not borne out from the common cause evidence</w:t>
      </w:r>
      <w:r w:rsidR="002274A1">
        <w:rPr>
          <w:rFonts w:ascii="Arial" w:hAnsi="Arial" w:cs="Arial"/>
          <w:lang w:val="en-US"/>
        </w:rPr>
        <w:t xml:space="preserve"> as it appear</w:t>
      </w:r>
      <w:r w:rsidR="00161064">
        <w:rPr>
          <w:rFonts w:ascii="Arial" w:hAnsi="Arial" w:cs="Arial"/>
          <w:lang w:val="en-US"/>
        </w:rPr>
        <w:t xml:space="preserve">s </w:t>
      </w:r>
      <w:r w:rsidR="002274A1">
        <w:rPr>
          <w:rFonts w:ascii="Arial" w:hAnsi="Arial" w:cs="Arial"/>
          <w:lang w:val="en-US"/>
        </w:rPr>
        <w:t xml:space="preserve">from </w:t>
      </w:r>
      <w:r w:rsidR="000035F4">
        <w:rPr>
          <w:rFonts w:ascii="Arial" w:hAnsi="Arial" w:cs="Arial"/>
          <w:lang w:val="en-US"/>
        </w:rPr>
        <w:t>the record</w:t>
      </w:r>
      <w:r w:rsidR="006811A5">
        <w:rPr>
          <w:rFonts w:ascii="Arial" w:hAnsi="Arial" w:cs="Arial"/>
          <w:lang w:val="en-US"/>
        </w:rPr>
        <w:t>.</w:t>
      </w:r>
      <w:r w:rsidR="003533C7">
        <w:rPr>
          <w:rFonts w:ascii="Arial" w:hAnsi="Arial" w:cs="Arial"/>
          <w:lang w:val="en-US"/>
        </w:rPr>
        <w:t xml:space="preserve">  </w:t>
      </w:r>
      <w:r w:rsidR="00AF0AE5">
        <w:rPr>
          <w:rFonts w:ascii="Arial" w:hAnsi="Arial" w:cs="Arial"/>
          <w:lang w:val="en-US"/>
        </w:rPr>
        <w:t xml:space="preserve">It is accordingly necessary </w:t>
      </w:r>
      <w:r w:rsidR="003533C7">
        <w:rPr>
          <w:rFonts w:ascii="Arial" w:hAnsi="Arial" w:cs="Arial"/>
          <w:lang w:val="en-US"/>
        </w:rPr>
        <w:t>to examine the parties’ respective contributions towards the joint estate</w:t>
      </w:r>
      <w:r w:rsidR="00497552">
        <w:rPr>
          <w:rFonts w:ascii="Arial" w:hAnsi="Arial" w:cs="Arial"/>
          <w:lang w:val="en-US"/>
        </w:rPr>
        <w:t>.</w:t>
      </w:r>
      <w:r w:rsidR="00AD01B4">
        <w:rPr>
          <w:rFonts w:ascii="Arial" w:hAnsi="Arial" w:cs="Arial"/>
          <w:lang w:val="en-US"/>
        </w:rPr>
        <w:t xml:space="preserve"> </w:t>
      </w:r>
      <w:r w:rsidR="003533C7">
        <w:rPr>
          <w:rFonts w:ascii="Arial" w:hAnsi="Arial" w:cs="Arial"/>
          <w:lang w:val="en-US"/>
        </w:rPr>
        <w:t xml:space="preserve"> </w:t>
      </w:r>
    </w:p>
    <w:p w14:paraId="31C9B1E6" w14:textId="0F24BCD3" w:rsidR="003533C7" w:rsidRPr="003533C7" w:rsidRDefault="003533C7" w:rsidP="003533C7">
      <w:pPr>
        <w:pStyle w:val="NormalWeb"/>
        <w:shd w:val="clear" w:color="auto" w:fill="FFFFFF"/>
        <w:spacing w:before="0" w:beforeAutospacing="0" w:after="0" w:afterAutospacing="0" w:line="480" w:lineRule="auto"/>
        <w:ind w:left="851" w:right="259"/>
        <w:jc w:val="both"/>
        <w:rPr>
          <w:rFonts w:ascii="Arial" w:hAnsi="Arial" w:cs="Arial"/>
        </w:rPr>
      </w:pPr>
    </w:p>
    <w:p w14:paraId="278E00F9" w14:textId="410BEA1A" w:rsidR="008262DE" w:rsidRPr="008262D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8262DE">
        <w:rPr>
          <w:rFonts w:ascii="Arial" w:hAnsi="Arial" w:cs="Arial"/>
        </w:rPr>
        <w:t>[37]</w:t>
      </w:r>
      <w:r w:rsidRPr="008262DE">
        <w:rPr>
          <w:rFonts w:ascii="Arial" w:hAnsi="Arial" w:cs="Arial"/>
        </w:rPr>
        <w:tab/>
      </w:r>
      <w:r w:rsidR="00AD01B4">
        <w:rPr>
          <w:rFonts w:ascii="Arial" w:hAnsi="Arial" w:cs="Arial"/>
          <w:lang w:val="en-US"/>
        </w:rPr>
        <w:t xml:space="preserve">The respondent </w:t>
      </w:r>
      <w:r w:rsidR="00AA6841">
        <w:rPr>
          <w:rFonts w:ascii="Arial" w:hAnsi="Arial" w:cs="Arial"/>
          <w:lang w:val="en-US"/>
        </w:rPr>
        <w:t>owned an immovable property situated in Motherwell prior to the conclusion of the marriage</w:t>
      </w:r>
      <w:r w:rsidR="00C81EE1">
        <w:rPr>
          <w:rFonts w:ascii="Arial" w:hAnsi="Arial" w:cs="Arial"/>
          <w:lang w:val="en-US"/>
        </w:rPr>
        <w:t xml:space="preserve">.  </w:t>
      </w:r>
      <w:r w:rsidR="00AF0AE5">
        <w:rPr>
          <w:rFonts w:ascii="Arial" w:hAnsi="Arial" w:cs="Arial"/>
          <w:lang w:val="en-US"/>
        </w:rPr>
        <w:t>As stated, t</w:t>
      </w:r>
      <w:r w:rsidR="00C81EE1">
        <w:rPr>
          <w:rFonts w:ascii="Arial" w:hAnsi="Arial" w:cs="Arial"/>
          <w:lang w:val="en-US"/>
        </w:rPr>
        <w:t xml:space="preserve">his property </w:t>
      </w:r>
      <w:r w:rsidR="00AA6841">
        <w:rPr>
          <w:rFonts w:ascii="Arial" w:hAnsi="Arial" w:cs="Arial"/>
          <w:lang w:val="en-US"/>
        </w:rPr>
        <w:t xml:space="preserve">was </w:t>
      </w:r>
      <w:r w:rsidR="00CD4D0B">
        <w:rPr>
          <w:rFonts w:ascii="Arial" w:hAnsi="Arial" w:cs="Arial"/>
          <w:lang w:val="en-US"/>
        </w:rPr>
        <w:t xml:space="preserve">brought into the joint estate </w:t>
      </w:r>
      <w:r w:rsidR="00AA6841">
        <w:rPr>
          <w:rFonts w:ascii="Arial" w:hAnsi="Arial" w:cs="Arial"/>
          <w:lang w:val="en-US"/>
        </w:rPr>
        <w:t>and utilised by the parties as their first matrimonial home.</w:t>
      </w:r>
      <w:r w:rsidR="004B0F60">
        <w:rPr>
          <w:rFonts w:ascii="Arial" w:hAnsi="Arial" w:cs="Arial"/>
          <w:lang w:val="en-US"/>
        </w:rPr>
        <w:t xml:space="preserve">  Whilst employed, this property was paid for by the respondent.</w:t>
      </w:r>
      <w:r w:rsidR="00AA6841">
        <w:rPr>
          <w:rFonts w:ascii="Arial" w:hAnsi="Arial" w:cs="Arial"/>
          <w:lang w:val="en-US"/>
        </w:rPr>
        <w:t xml:space="preserve">  The property was sold</w:t>
      </w:r>
      <w:r w:rsidR="007E484A">
        <w:rPr>
          <w:rFonts w:ascii="Arial" w:hAnsi="Arial" w:cs="Arial"/>
          <w:lang w:val="en-US"/>
        </w:rPr>
        <w:t xml:space="preserve"> during September 2010</w:t>
      </w:r>
      <w:r w:rsidR="00AA6841">
        <w:rPr>
          <w:rFonts w:ascii="Arial" w:hAnsi="Arial" w:cs="Arial"/>
          <w:lang w:val="en-US"/>
        </w:rPr>
        <w:t xml:space="preserve"> and the profits received from the sale</w:t>
      </w:r>
      <w:r w:rsidR="00E40EF6">
        <w:rPr>
          <w:rFonts w:ascii="Arial" w:hAnsi="Arial" w:cs="Arial"/>
          <w:lang w:val="en-US"/>
        </w:rPr>
        <w:t>,</w:t>
      </w:r>
      <w:r w:rsidR="00DC4EFC">
        <w:rPr>
          <w:rFonts w:ascii="Arial" w:hAnsi="Arial" w:cs="Arial"/>
          <w:lang w:val="en-US"/>
        </w:rPr>
        <w:t xml:space="preserve"> in the amount of R90,000.00</w:t>
      </w:r>
      <w:r w:rsidR="00E40EF6">
        <w:rPr>
          <w:rFonts w:ascii="Arial" w:hAnsi="Arial" w:cs="Arial"/>
          <w:lang w:val="en-US"/>
        </w:rPr>
        <w:t>,</w:t>
      </w:r>
      <w:r w:rsidR="00AA6841">
        <w:rPr>
          <w:rFonts w:ascii="Arial" w:hAnsi="Arial" w:cs="Arial"/>
          <w:lang w:val="en-US"/>
        </w:rPr>
        <w:t xml:space="preserve"> </w:t>
      </w:r>
      <w:r w:rsidR="00E40EF6">
        <w:rPr>
          <w:rFonts w:ascii="Arial" w:hAnsi="Arial" w:cs="Arial"/>
          <w:lang w:val="en-US"/>
        </w:rPr>
        <w:t xml:space="preserve">were </w:t>
      </w:r>
      <w:r w:rsidR="00AA6841">
        <w:rPr>
          <w:rFonts w:ascii="Arial" w:hAnsi="Arial" w:cs="Arial"/>
          <w:lang w:val="en-US"/>
        </w:rPr>
        <w:t>utilised for the joint benefit of the parties</w:t>
      </w:r>
      <w:r w:rsidR="00B93335">
        <w:rPr>
          <w:rFonts w:ascii="Arial" w:hAnsi="Arial" w:cs="Arial"/>
          <w:lang w:val="en-US"/>
        </w:rPr>
        <w:t>.  More particularly, a large portion of the profits was util</w:t>
      </w:r>
      <w:r w:rsidR="00626A89">
        <w:rPr>
          <w:rFonts w:ascii="Arial" w:hAnsi="Arial" w:cs="Arial"/>
          <w:lang w:val="en-US"/>
        </w:rPr>
        <w:t>i</w:t>
      </w:r>
      <w:r w:rsidR="00B93335">
        <w:rPr>
          <w:rFonts w:ascii="Arial" w:hAnsi="Arial" w:cs="Arial"/>
          <w:lang w:val="en-US"/>
        </w:rPr>
        <w:t>sed to</w:t>
      </w:r>
      <w:r w:rsidR="00626A89">
        <w:rPr>
          <w:rFonts w:ascii="Arial" w:hAnsi="Arial" w:cs="Arial"/>
          <w:lang w:val="en-US"/>
        </w:rPr>
        <w:t xml:space="preserve"> cover the costs of</w:t>
      </w:r>
      <w:r w:rsidR="00B93335">
        <w:rPr>
          <w:rFonts w:ascii="Arial" w:hAnsi="Arial" w:cs="Arial"/>
          <w:lang w:val="en-US"/>
        </w:rPr>
        <w:t xml:space="preserve"> renovations and improvements to </w:t>
      </w:r>
      <w:r w:rsidR="00AA6841">
        <w:rPr>
          <w:rFonts w:ascii="Arial" w:hAnsi="Arial" w:cs="Arial"/>
          <w:lang w:val="en-US"/>
        </w:rPr>
        <w:t>the immovable property</w:t>
      </w:r>
      <w:r w:rsidR="00CD4D0B">
        <w:rPr>
          <w:rFonts w:ascii="Arial" w:hAnsi="Arial" w:cs="Arial"/>
          <w:lang w:val="en-US"/>
        </w:rPr>
        <w:t xml:space="preserve"> situated in Germiston</w:t>
      </w:r>
      <w:r w:rsidR="00AA6841">
        <w:rPr>
          <w:rFonts w:ascii="Arial" w:hAnsi="Arial" w:cs="Arial"/>
          <w:lang w:val="en-US"/>
        </w:rPr>
        <w:t>.</w:t>
      </w:r>
      <w:r w:rsidR="006811A5">
        <w:rPr>
          <w:rFonts w:ascii="Arial" w:hAnsi="Arial" w:cs="Arial"/>
          <w:lang w:val="en-US"/>
        </w:rPr>
        <w:t xml:space="preserve">  </w:t>
      </w:r>
    </w:p>
    <w:p w14:paraId="0DC80D4D" w14:textId="77777777" w:rsidR="008262DE" w:rsidRDefault="008262DE" w:rsidP="008262DE">
      <w:pPr>
        <w:pStyle w:val="ListParagraph"/>
        <w:spacing w:after="0" w:line="480" w:lineRule="auto"/>
        <w:rPr>
          <w:rFonts w:ascii="Arial" w:hAnsi="Arial" w:cs="Arial"/>
          <w:lang w:val="en-US"/>
        </w:rPr>
      </w:pPr>
    </w:p>
    <w:p w14:paraId="71A55033" w14:textId="3A9D567E" w:rsidR="00147828" w:rsidRPr="00147828"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147828">
        <w:rPr>
          <w:rFonts w:ascii="Arial" w:hAnsi="Arial" w:cs="Arial"/>
        </w:rPr>
        <w:t>[38]</w:t>
      </w:r>
      <w:r w:rsidRPr="00147828">
        <w:rPr>
          <w:rFonts w:ascii="Arial" w:hAnsi="Arial" w:cs="Arial"/>
        </w:rPr>
        <w:tab/>
      </w:r>
      <w:r w:rsidR="009D1496">
        <w:rPr>
          <w:rFonts w:ascii="Arial" w:hAnsi="Arial" w:cs="Arial"/>
          <w:lang w:val="en-US"/>
        </w:rPr>
        <w:t xml:space="preserve">Whilst it </w:t>
      </w:r>
      <w:r w:rsidR="00161064">
        <w:rPr>
          <w:rFonts w:ascii="Arial" w:hAnsi="Arial" w:cs="Arial"/>
          <w:lang w:val="en-US"/>
        </w:rPr>
        <w:t>was</w:t>
      </w:r>
      <w:r w:rsidR="009D1496">
        <w:rPr>
          <w:rFonts w:ascii="Arial" w:hAnsi="Arial" w:cs="Arial"/>
          <w:lang w:val="en-US"/>
        </w:rPr>
        <w:t xml:space="preserve"> </w:t>
      </w:r>
      <w:r w:rsidR="00AF0AE5">
        <w:rPr>
          <w:rFonts w:ascii="Arial" w:hAnsi="Arial" w:cs="Arial"/>
          <w:lang w:val="en-US"/>
        </w:rPr>
        <w:t>apparent</w:t>
      </w:r>
      <w:r w:rsidR="009D1496">
        <w:rPr>
          <w:rFonts w:ascii="Arial" w:hAnsi="Arial" w:cs="Arial"/>
          <w:lang w:val="en-US"/>
        </w:rPr>
        <w:t xml:space="preserve"> that the respondent was unemployed for certain periods during the subsistence of the marriage,</w:t>
      </w:r>
      <w:r w:rsidR="008262DE">
        <w:rPr>
          <w:rFonts w:ascii="Arial" w:hAnsi="Arial" w:cs="Arial"/>
          <w:lang w:val="en-US"/>
        </w:rPr>
        <w:t xml:space="preserve"> blame for such circumstances cannot be attributed to him.  </w:t>
      </w:r>
      <w:r w:rsidR="00CC5147">
        <w:rPr>
          <w:rFonts w:ascii="Arial" w:hAnsi="Arial" w:cs="Arial"/>
          <w:lang w:val="en-US"/>
        </w:rPr>
        <w:t xml:space="preserve">The undisputed evidence was </w:t>
      </w:r>
      <w:r w:rsidR="00CC5147">
        <w:rPr>
          <w:rFonts w:ascii="Arial" w:hAnsi="Arial" w:cs="Arial"/>
          <w:lang w:val="en-US"/>
        </w:rPr>
        <w:lastRenderedPageBreak/>
        <w:t xml:space="preserve">that the respondent’s </w:t>
      </w:r>
      <w:r w:rsidR="009D1496">
        <w:rPr>
          <w:rFonts w:ascii="Arial" w:hAnsi="Arial" w:cs="Arial"/>
          <w:lang w:val="en-US"/>
        </w:rPr>
        <w:t xml:space="preserve">employ with Delta came to an end in 1998 </w:t>
      </w:r>
      <w:r w:rsidR="008E5010">
        <w:rPr>
          <w:rFonts w:ascii="Arial" w:hAnsi="Arial" w:cs="Arial"/>
          <w:lang w:val="en-US"/>
        </w:rPr>
        <w:t xml:space="preserve">due to the restructuring </w:t>
      </w:r>
      <w:r w:rsidR="009D1496">
        <w:rPr>
          <w:rFonts w:ascii="Arial" w:hAnsi="Arial" w:cs="Arial"/>
          <w:lang w:val="en-US"/>
        </w:rPr>
        <w:t xml:space="preserve">of the </w:t>
      </w:r>
      <w:r w:rsidR="008E5DDC">
        <w:rPr>
          <w:rFonts w:ascii="Arial" w:hAnsi="Arial" w:cs="Arial"/>
          <w:lang w:val="en-US"/>
        </w:rPr>
        <w:t>organi</w:t>
      </w:r>
      <w:r w:rsidR="00B3532B">
        <w:rPr>
          <w:rFonts w:ascii="Arial" w:hAnsi="Arial" w:cs="Arial"/>
          <w:lang w:val="en-US"/>
        </w:rPr>
        <w:t>s</w:t>
      </w:r>
      <w:r w:rsidR="008E5DDC">
        <w:rPr>
          <w:rFonts w:ascii="Arial" w:hAnsi="Arial" w:cs="Arial"/>
          <w:lang w:val="en-US"/>
        </w:rPr>
        <w:t>ation</w:t>
      </w:r>
      <w:r w:rsidR="009D1496">
        <w:rPr>
          <w:rFonts w:ascii="Arial" w:hAnsi="Arial" w:cs="Arial"/>
          <w:lang w:val="en-US"/>
        </w:rPr>
        <w:t xml:space="preserve">.  This period of unemployment lasted approximately 1 and a half years whereafter the respondent studied full time for a period of 2 to 3 years.  In 2002, the respondent obtained gainful employment </w:t>
      </w:r>
      <w:r w:rsidR="007313F0">
        <w:rPr>
          <w:rFonts w:ascii="Arial" w:hAnsi="Arial" w:cs="Arial"/>
          <w:lang w:val="en-US"/>
        </w:rPr>
        <w:t xml:space="preserve">which lasted </w:t>
      </w:r>
      <w:r w:rsidR="009D1496">
        <w:rPr>
          <w:rFonts w:ascii="Arial" w:hAnsi="Arial" w:cs="Arial"/>
          <w:lang w:val="en-US"/>
        </w:rPr>
        <w:t>up until 2013</w:t>
      </w:r>
      <w:r w:rsidR="00116378">
        <w:rPr>
          <w:rFonts w:ascii="Arial" w:hAnsi="Arial" w:cs="Arial"/>
          <w:lang w:val="en-US"/>
        </w:rPr>
        <w:t>.  At this time</w:t>
      </w:r>
      <w:r w:rsidR="00CD4673">
        <w:rPr>
          <w:rFonts w:ascii="Arial" w:hAnsi="Arial" w:cs="Arial"/>
          <w:lang w:val="en-US"/>
        </w:rPr>
        <w:t>, the respondent was hospitalised for ongoing chronic health issues</w:t>
      </w:r>
      <w:r w:rsidR="00EC39C5">
        <w:rPr>
          <w:rFonts w:ascii="Arial" w:hAnsi="Arial" w:cs="Arial"/>
          <w:lang w:val="en-US"/>
        </w:rPr>
        <w:t>, including diabetes and high blood pressure.  The</w:t>
      </w:r>
      <w:r w:rsidR="005258C4">
        <w:rPr>
          <w:rFonts w:ascii="Arial" w:hAnsi="Arial" w:cs="Arial"/>
          <w:lang w:val="en-US"/>
        </w:rPr>
        <w:t xml:space="preserve"> respondent’s </w:t>
      </w:r>
      <w:r w:rsidR="00EC39C5">
        <w:rPr>
          <w:rFonts w:ascii="Arial" w:hAnsi="Arial" w:cs="Arial"/>
          <w:lang w:val="en-US"/>
        </w:rPr>
        <w:t xml:space="preserve">health issues resulted in </w:t>
      </w:r>
      <w:r w:rsidR="005258C4">
        <w:rPr>
          <w:rFonts w:ascii="Arial" w:hAnsi="Arial" w:cs="Arial"/>
          <w:lang w:val="en-US"/>
        </w:rPr>
        <w:t>his</w:t>
      </w:r>
      <w:r w:rsidR="00EC39C5">
        <w:rPr>
          <w:rFonts w:ascii="Arial" w:hAnsi="Arial" w:cs="Arial"/>
          <w:lang w:val="en-US"/>
        </w:rPr>
        <w:t xml:space="preserve"> absence from work on various occasions and </w:t>
      </w:r>
      <w:r w:rsidR="00287F1B">
        <w:rPr>
          <w:rFonts w:ascii="Arial" w:hAnsi="Arial" w:cs="Arial"/>
          <w:lang w:val="en-US"/>
        </w:rPr>
        <w:t xml:space="preserve">led to </w:t>
      </w:r>
      <w:r w:rsidR="00EC39C5">
        <w:rPr>
          <w:rFonts w:ascii="Arial" w:hAnsi="Arial" w:cs="Arial"/>
          <w:lang w:val="en-US"/>
        </w:rPr>
        <w:t>two disciplinary proceedings.  Whilst in hospital, the respondent received a phone call from his team leader demanding his attendance at work the following day</w:t>
      </w:r>
      <w:r w:rsidR="000A1B9C">
        <w:rPr>
          <w:rFonts w:ascii="Arial" w:hAnsi="Arial" w:cs="Arial"/>
          <w:lang w:val="en-US"/>
        </w:rPr>
        <w:t xml:space="preserve">.  This </w:t>
      </w:r>
      <w:r w:rsidR="00992B18">
        <w:rPr>
          <w:rFonts w:ascii="Arial" w:hAnsi="Arial" w:cs="Arial"/>
          <w:lang w:val="en-US"/>
        </w:rPr>
        <w:t>was impossible</w:t>
      </w:r>
      <w:r w:rsidR="0069010D">
        <w:rPr>
          <w:rFonts w:ascii="Arial" w:hAnsi="Arial" w:cs="Arial"/>
          <w:lang w:val="en-US"/>
        </w:rPr>
        <w:t xml:space="preserve"> in the circumstances</w:t>
      </w:r>
      <w:r w:rsidR="00992B18">
        <w:rPr>
          <w:rFonts w:ascii="Arial" w:hAnsi="Arial" w:cs="Arial"/>
          <w:lang w:val="en-US"/>
        </w:rPr>
        <w:t xml:space="preserve">.  </w:t>
      </w:r>
      <w:r w:rsidR="004E37E8">
        <w:rPr>
          <w:rFonts w:ascii="Arial" w:hAnsi="Arial" w:cs="Arial"/>
          <w:lang w:val="en-US"/>
        </w:rPr>
        <w:t xml:space="preserve">He was advised by his employer that he should leave the section in which he was working as he was unable to handle the pressure.  </w:t>
      </w:r>
      <w:r w:rsidR="00EC39C5">
        <w:rPr>
          <w:rFonts w:ascii="Arial" w:hAnsi="Arial" w:cs="Arial"/>
          <w:lang w:val="en-US"/>
        </w:rPr>
        <w:t xml:space="preserve">In light of the aforesaid, and </w:t>
      </w:r>
      <w:r w:rsidR="00F163DE">
        <w:rPr>
          <w:rFonts w:ascii="Arial" w:hAnsi="Arial" w:cs="Arial"/>
          <w:lang w:val="en-US"/>
        </w:rPr>
        <w:t xml:space="preserve">given </w:t>
      </w:r>
      <w:r w:rsidR="00EC39C5">
        <w:rPr>
          <w:rFonts w:ascii="Arial" w:hAnsi="Arial" w:cs="Arial"/>
          <w:lang w:val="en-US"/>
        </w:rPr>
        <w:t>the stress experienced</w:t>
      </w:r>
      <w:r w:rsidR="00992B18">
        <w:rPr>
          <w:rFonts w:ascii="Arial" w:hAnsi="Arial" w:cs="Arial"/>
          <w:lang w:val="en-US"/>
        </w:rPr>
        <w:t xml:space="preserve"> by the respondent</w:t>
      </w:r>
      <w:r w:rsidR="00EC39C5">
        <w:rPr>
          <w:rFonts w:ascii="Arial" w:hAnsi="Arial" w:cs="Arial"/>
          <w:lang w:val="en-US"/>
        </w:rPr>
        <w:t xml:space="preserve"> at the relevant time</w:t>
      </w:r>
      <w:r w:rsidR="00A45397">
        <w:rPr>
          <w:rFonts w:ascii="Arial" w:hAnsi="Arial" w:cs="Arial"/>
          <w:lang w:val="en-US"/>
        </w:rPr>
        <w:t xml:space="preserve">, </w:t>
      </w:r>
      <w:r w:rsidR="00992B18">
        <w:rPr>
          <w:rFonts w:ascii="Arial" w:hAnsi="Arial" w:cs="Arial"/>
          <w:lang w:val="en-US"/>
        </w:rPr>
        <w:t xml:space="preserve">he resigned from </w:t>
      </w:r>
      <w:r w:rsidR="00A45397">
        <w:rPr>
          <w:rFonts w:ascii="Arial" w:hAnsi="Arial" w:cs="Arial"/>
          <w:lang w:val="en-US"/>
        </w:rPr>
        <w:t>his</w:t>
      </w:r>
      <w:r w:rsidR="00992B18">
        <w:rPr>
          <w:rFonts w:ascii="Arial" w:hAnsi="Arial" w:cs="Arial"/>
          <w:lang w:val="en-US"/>
        </w:rPr>
        <w:t xml:space="preserve"> employment</w:t>
      </w:r>
      <w:r w:rsidR="00EC39C5">
        <w:rPr>
          <w:rFonts w:ascii="Arial" w:hAnsi="Arial" w:cs="Arial"/>
          <w:lang w:val="en-US"/>
        </w:rPr>
        <w:t xml:space="preserve">. </w:t>
      </w:r>
      <w:r w:rsidR="00992B18">
        <w:rPr>
          <w:rFonts w:ascii="Arial" w:hAnsi="Arial" w:cs="Arial"/>
          <w:lang w:val="en-US"/>
        </w:rPr>
        <w:t xml:space="preserve"> </w:t>
      </w:r>
    </w:p>
    <w:p w14:paraId="75A060EC" w14:textId="77777777" w:rsidR="00147828" w:rsidRPr="00147828" w:rsidRDefault="00147828" w:rsidP="00147828">
      <w:pPr>
        <w:pStyle w:val="NormalWeb"/>
        <w:shd w:val="clear" w:color="auto" w:fill="FFFFFF"/>
        <w:spacing w:before="0" w:beforeAutospacing="0" w:after="0" w:afterAutospacing="0" w:line="480" w:lineRule="auto"/>
        <w:ind w:left="851" w:right="259"/>
        <w:jc w:val="both"/>
        <w:rPr>
          <w:rFonts w:ascii="Arial" w:hAnsi="Arial" w:cs="Arial"/>
        </w:rPr>
      </w:pPr>
    </w:p>
    <w:p w14:paraId="79E33390" w14:textId="2E9C3B57" w:rsidR="007864BC" w:rsidRPr="001616C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1616C2">
        <w:rPr>
          <w:rFonts w:ascii="Arial" w:hAnsi="Arial" w:cs="Arial"/>
        </w:rPr>
        <w:t>[39]</w:t>
      </w:r>
      <w:r w:rsidRPr="001616C2">
        <w:rPr>
          <w:rFonts w:ascii="Arial" w:hAnsi="Arial" w:cs="Arial"/>
        </w:rPr>
        <w:tab/>
      </w:r>
      <w:r w:rsidR="00992B18">
        <w:rPr>
          <w:rFonts w:ascii="Arial" w:hAnsi="Arial" w:cs="Arial"/>
          <w:lang w:val="en-US"/>
        </w:rPr>
        <w:t xml:space="preserve">He thereafter started a transport business, which was unsuccessful.  The business was in operation for approximately </w:t>
      </w:r>
      <w:r w:rsidR="006B1997">
        <w:rPr>
          <w:rFonts w:ascii="Arial" w:hAnsi="Arial" w:cs="Arial"/>
          <w:lang w:val="en-US"/>
        </w:rPr>
        <w:t>1</w:t>
      </w:r>
      <w:r w:rsidR="00992B18">
        <w:rPr>
          <w:rFonts w:ascii="Arial" w:hAnsi="Arial" w:cs="Arial"/>
          <w:lang w:val="en-US"/>
        </w:rPr>
        <w:t xml:space="preserve"> year.  During this period up until 2016, the respondent was unemployed with occasional</w:t>
      </w:r>
      <w:r w:rsidR="00BF5EBF">
        <w:rPr>
          <w:rFonts w:ascii="Arial" w:hAnsi="Arial" w:cs="Arial"/>
          <w:lang w:val="en-US"/>
        </w:rPr>
        <w:t xml:space="preserve"> casual</w:t>
      </w:r>
      <w:r w:rsidR="00992B18">
        <w:rPr>
          <w:rFonts w:ascii="Arial" w:hAnsi="Arial" w:cs="Arial"/>
          <w:lang w:val="en-US"/>
        </w:rPr>
        <w:t xml:space="preserve"> employment.  From 2016 </w:t>
      </w:r>
      <w:r w:rsidR="00BF5EBF">
        <w:rPr>
          <w:rFonts w:ascii="Arial" w:hAnsi="Arial" w:cs="Arial"/>
          <w:lang w:val="en-US"/>
        </w:rPr>
        <w:t xml:space="preserve">up </w:t>
      </w:r>
      <w:r w:rsidR="007864BC">
        <w:rPr>
          <w:rFonts w:ascii="Arial" w:hAnsi="Arial" w:cs="Arial"/>
          <w:lang w:val="en-US"/>
        </w:rPr>
        <w:t>until the end of May</w:t>
      </w:r>
      <w:r w:rsidR="00992B18">
        <w:rPr>
          <w:rFonts w:ascii="Arial" w:hAnsi="Arial" w:cs="Arial"/>
          <w:lang w:val="en-US"/>
        </w:rPr>
        <w:t xml:space="preserve"> 2018</w:t>
      </w:r>
      <w:r w:rsidR="007864BC">
        <w:rPr>
          <w:rFonts w:ascii="Arial" w:hAnsi="Arial" w:cs="Arial"/>
          <w:lang w:val="en-US"/>
        </w:rPr>
        <w:t>, the respondent was employed at Nestle on a fixed term contract.  He thereafter took up employment at Crown Chickens from March 2019 to November of that same year.</w:t>
      </w:r>
    </w:p>
    <w:p w14:paraId="6DE323AE" w14:textId="77777777" w:rsidR="001616C2" w:rsidRDefault="001616C2" w:rsidP="008564C0">
      <w:pPr>
        <w:pStyle w:val="ListParagraph"/>
        <w:spacing w:after="0" w:line="480" w:lineRule="auto"/>
        <w:rPr>
          <w:rFonts w:ascii="Arial" w:hAnsi="Arial" w:cs="Arial"/>
        </w:rPr>
      </w:pPr>
    </w:p>
    <w:p w14:paraId="255839AC" w14:textId="716E46BA" w:rsidR="00984CC1" w:rsidRPr="00984CC1"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984CC1">
        <w:rPr>
          <w:rFonts w:ascii="Arial" w:hAnsi="Arial" w:cs="Arial"/>
        </w:rPr>
        <w:lastRenderedPageBreak/>
        <w:t>[40]</w:t>
      </w:r>
      <w:r w:rsidRPr="00984CC1">
        <w:rPr>
          <w:rFonts w:ascii="Arial" w:hAnsi="Arial" w:cs="Arial"/>
        </w:rPr>
        <w:tab/>
      </w:r>
      <w:r w:rsidR="00463821">
        <w:rPr>
          <w:rFonts w:ascii="Arial" w:hAnsi="Arial" w:cs="Arial"/>
          <w:lang w:val="en-US"/>
        </w:rPr>
        <w:t xml:space="preserve">Apparent from the common cause evidence is that prior to 2015, both </w:t>
      </w:r>
      <w:r w:rsidR="006E519A">
        <w:rPr>
          <w:rFonts w:ascii="Arial" w:hAnsi="Arial" w:cs="Arial"/>
          <w:lang w:val="en-US"/>
        </w:rPr>
        <w:t xml:space="preserve">of the </w:t>
      </w:r>
      <w:r w:rsidR="00463821">
        <w:rPr>
          <w:rFonts w:ascii="Arial" w:hAnsi="Arial" w:cs="Arial"/>
          <w:lang w:val="en-US"/>
        </w:rPr>
        <w:t>parties contributed their earnings to</w:t>
      </w:r>
      <w:r w:rsidR="0059086B">
        <w:rPr>
          <w:rFonts w:ascii="Arial" w:hAnsi="Arial" w:cs="Arial"/>
          <w:lang w:val="en-US"/>
        </w:rPr>
        <w:t>wards</w:t>
      </w:r>
      <w:r w:rsidR="00463821">
        <w:rPr>
          <w:rFonts w:ascii="Arial" w:hAnsi="Arial" w:cs="Arial"/>
          <w:lang w:val="en-US"/>
        </w:rPr>
        <w:t xml:space="preserve"> the joint estate.  </w:t>
      </w:r>
      <w:r w:rsidR="001616C2">
        <w:rPr>
          <w:rFonts w:ascii="Arial" w:hAnsi="Arial" w:cs="Arial"/>
        </w:rPr>
        <w:t>During the periods of the respondent’s unemployment, the appellant</w:t>
      </w:r>
      <w:r w:rsidR="00DC0B2C">
        <w:rPr>
          <w:rFonts w:ascii="Arial" w:hAnsi="Arial" w:cs="Arial"/>
        </w:rPr>
        <w:t xml:space="preserve">, who had </w:t>
      </w:r>
      <w:r w:rsidR="00E42EB6">
        <w:rPr>
          <w:rFonts w:ascii="Arial" w:hAnsi="Arial" w:cs="Arial"/>
        </w:rPr>
        <w:t>enjoyed continuous employment</w:t>
      </w:r>
      <w:r w:rsidR="00DC0B2C">
        <w:rPr>
          <w:rFonts w:ascii="Arial" w:hAnsi="Arial" w:cs="Arial"/>
        </w:rPr>
        <w:t>,</w:t>
      </w:r>
      <w:r w:rsidR="001616C2">
        <w:rPr>
          <w:rFonts w:ascii="Arial" w:hAnsi="Arial" w:cs="Arial"/>
        </w:rPr>
        <w:t xml:space="preserve"> </w:t>
      </w:r>
      <w:r w:rsidR="00762C35">
        <w:rPr>
          <w:rFonts w:ascii="Arial" w:hAnsi="Arial" w:cs="Arial"/>
        </w:rPr>
        <w:t>had been</w:t>
      </w:r>
      <w:r w:rsidR="001616C2">
        <w:rPr>
          <w:rFonts w:ascii="Arial" w:hAnsi="Arial" w:cs="Arial"/>
        </w:rPr>
        <w:t xml:space="preserve"> required to meet the parties’ financial obligations in full.</w:t>
      </w:r>
      <w:r w:rsidR="006673A6">
        <w:rPr>
          <w:rFonts w:ascii="Arial" w:hAnsi="Arial" w:cs="Arial"/>
        </w:rPr>
        <w:t xml:space="preserve">  It is clear from the</w:t>
      </w:r>
      <w:r w:rsidR="004754F4">
        <w:rPr>
          <w:rFonts w:ascii="Arial" w:hAnsi="Arial" w:cs="Arial"/>
        </w:rPr>
        <w:t xml:space="preserve"> record </w:t>
      </w:r>
      <w:r w:rsidR="006673A6">
        <w:rPr>
          <w:rFonts w:ascii="Arial" w:hAnsi="Arial" w:cs="Arial"/>
        </w:rPr>
        <w:t xml:space="preserve">that this </w:t>
      </w:r>
      <w:r w:rsidR="009A6597">
        <w:rPr>
          <w:rFonts w:ascii="Arial" w:hAnsi="Arial" w:cs="Arial"/>
        </w:rPr>
        <w:t xml:space="preserve">had </w:t>
      </w:r>
      <w:r w:rsidR="006673A6">
        <w:rPr>
          <w:rFonts w:ascii="Arial" w:hAnsi="Arial" w:cs="Arial"/>
        </w:rPr>
        <w:t>placed a great deal of strain on the marital relationship.</w:t>
      </w:r>
      <w:r w:rsidR="00463821">
        <w:rPr>
          <w:rFonts w:ascii="Arial" w:hAnsi="Arial" w:cs="Arial"/>
        </w:rPr>
        <w:t xml:space="preserve">  The respondent on the other hand, </w:t>
      </w:r>
      <w:r w:rsidR="00084231" w:rsidRPr="00463821">
        <w:rPr>
          <w:rFonts w:ascii="Arial" w:hAnsi="Arial" w:cs="Arial"/>
          <w:lang w:val="en-US"/>
        </w:rPr>
        <w:t xml:space="preserve">(i) </w:t>
      </w:r>
      <w:r w:rsidR="004C3F7D" w:rsidRPr="00463821">
        <w:rPr>
          <w:rFonts w:ascii="Arial" w:hAnsi="Arial" w:cs="Arial"/>
          <w:lang w:val="en-US"/>
        </w:rPr>
        <w:t>stud</w:t>
      </w:r>
      <w:r w:rsidR="00984CC1">
        <w:rPr>
          <w:rFonts w:ascii="Arial" w:hAnsi="Arial" w:cs="Arial"/>
          <w:lang w:val="en-US"/>
        </w:rPr>
        <w:t>ied</w:t>
      </w:r>
      <w:r w:rsidR="004C3F7D" w:rsidRPr="00463821">
        <w:rPr>
          <w:rFonts w:ascii="Arial" w:hAnsi="Arial" w:cs="Arial"/>
          <w:lang w:val="en-US"/>
        </w:rPr>
        <w:t xml:space="preserve"> in an endeavor to upskill; </w:t>
      </w:r>
      <w:r w:rsidR="00084231" w:rsidRPr="00463821">
        <w:rPr>
          <w:rFonts w:ascii="Arial" w:hAnsi="Arial" w:cs="Arial"/>
          <w:lang w:val="en-US"/>
        </w:rPr>
        <w:t xml:space="preserve">(ii) </w:t>
      </w:r>
      <w:r w:rsidR="00984CC1">
        <w:rPr>
          <w:rFonts w:ascii="Arial" w:hAnsi="Arial" w:cs="Arial"/>
          <w:lang w:val="en-US"/>
        </w:rPr>
        <w:t>sought</w:t>
      </w:r>
      <w:r w:rsidR="00463821">
        <w:rPr>
          <w:rFonts w:ascii="Arial" w:hAnsi="Arial" w:cs="Arial"/>
          <w:lang w:val="en-US"/>
        </w:rPr>
        <w:t xml:space="preserve"> employment, </w:t>
      </w:r>
      <w:r w:rsidR="00463821" w:rsidRPr="00A03883">
        <w:rPr>
          <w:rFonts w:ascii="Arial" w:hAnsi="Arial" w:cs="Arial"/>
          <w:i/>
          <w:iCs/>
          <w:lang w:val="en-US"/>
        </w:rPr>
        <w:t>albeit</w:t>
      </w:r>
      <w:r w:rsidR="00463821">
        <w:rPr>
          <w:rFonts w:ascii="Arial" w:hAnsi="Arial" w:cs="Arial"/>
          <w:lang w:val="en-US"/>
        </w:rPr>
        <w:t xml:space="preserve"> that he was not always successful; </w:t>
      </w:r>
      <w:r w:rsidR="00084231" w:rsidRPr="00463821">
        <w:rPr>
          <w:rFonts w:ascii="Arial" w:hAnsi="Arial" w:cs="Arial"/>
          <w:lang w:val="en-US"/>
        </w:rPr>
        <w:t xml:space="preserve">(iii) </w:t>
      </w:r>
      <w:r w:rsidR="004C3F7D" w:rsidRPr="00463821">
        <w:rPr>
          <w:rFonts w:ascii="Arial" w:hAnsi="Arial" w:cs="Arial"/>
          <w:lang w:val="en-US"/>
        </w:rPr>
        <w:t>start</w:t>
      </w:r>
      <w:r w:rsidR="00984CC1">
        <w:rPr>
          <w:rFonts w:ascii="Arial" w:hAnsi="Arial" w:cs="Arial"/>
          <w:lang w:val="en-US"/>
        </w:rPr>
        <w:t>ed</w:t>
      </w:r>
      <w:r w:rsidR="004C3F7D" w:rsidRPr="00463821">
        <w:rPr>
          <w:rFonts w:ascii="Arial" w:hAnsi="Arial" w:cs="Arial"/>
          <w:lang w:val="en-US"/>
        </w:rPr>
        <w:t xml:space="preserve"> a business venture</w:t>
      </w:r>
      <w:r w:rsidR="00BE2B45" w:rsidRPr="00463821">
        <w:rPr>
          <w:rFonts w:ascii="Arial" w:hAnsi="Arial" w:cs="Arial"/>
          <w:lang w:val="en-US"/>
        </w:rPr>
        <w:t>;</w:t>
      </w:r>
      <w:r w:rsidR="004C3F7D" w:rsidRPr="00463821">
        <w:rPr>
          <w:rFonts w:ascii="Arial" w:hAnsi="Arial" w:cs="Arial"/>
          <w:lang w:val="en-US"/>
        </w:rPr>
        <w:t xml:space="preserve"> and</w:t>
      </w:r>
      <w:r w:rsidR="00084231" w:rsidRPr="00463821">
        <w:rPr>
          <w:rFonts w:ascii="Arial" w:hAnsi="Arial" w:cs="Arial"/>
          <w:lang w:val="en-US"/>
        </w:rPr>
        <w:t xml:space="preserve"> (iv)</w:t>
      </w:r>
      <w:r w:rsidR="004C3F7D" w:rsidRPr="00463821">
        <w:rPr>
          <w:rFonts w:ascii="Arial" w:hAnsi="Arial" w:cs="Arial"/>
          <w:lang w:val="en-US"/>
        </w:rPr>
        <w:t xml:space="preserve"> assist</w:t>
      </w:r>
      <w:r w:rsidR="00984CC1">
        <w:rPr>
          <w:rFonts w:ascii="Arial" w:hAnsi="Arial" w:cs="Arial"/>
          <w:lang w:val="en-US"/>
        </w:rPr>
        <w:t>ed</w:t>
      </w:r>
      <w:r w:rsidR="004C3F7D" w:rsidRPr="00463821">
        <w:rPr>
          <w:rFonts w:ascii="Arial" w:hAnsi="Arial" w:cs="Arial"/>
          <w:lang w:val="en-US"/>
        </w:rPr>
        <w:t xml:space="preserve"> with the lifting and carrying </w:t>
      </w:r>
      <w:r w:rsidR="00BE2B45" w:rsidRPr="00463821">
        <w:rPr>
          <w:rFonts w:ascii="Arial" w:hAnsi="Arial" w:cs="Arial"/>
          <w:lang w:val="en-US"/>
        </w:rPr>
        <w:t xml:space="preserve">of </w:t>
      </w:r>
      <w:r w:rsidR="004C3F7D" w:rsidRPr="00463821">
        <w:rPr>
          <w:rFonts w:ascii="Arial" w:hAnsi="Arial" w:cs="Arial"/>
          <w:lang w:val="en-US"/>
        </w:rPr>
        <w:t xml:space="preserve">children. </w:t>
      </w:r>
      <w:r w:rsidR="00634FC6">
        <w:rPr>
          <w:rFonts w:ascii="Arial" w:hAnsi="Arial" w:cs="Arial"/>
          <w:lang w:val="en-US"/>
        </w:rPr>
        <w:t xml:space="preserve"> </w:t>
      </w:r>
    </w:p>
    <w:p w14:paraId="44A9369A" w14:textId="77777777" w:rsidR="00984CC1" w:rsidRDefault="00984CC1" w:rsidP="00481D70">
      <w:pPr>
        <w:pStyle w:val="ListParagraph"/>
        <w:spacing w:after="0" w:line="480" w:lineRule="auto"/>
        <w:rPr>
          <w:rFonts w:ascii="Arial" w:hAnsi="Arial" w:cs="Arial"/>
          <w:lang w:val="en-US"/>
        </w:rPr>
      </w:pPr>
    </w:p>
    <w:p w14:paraId="01267827" w14:textId="15301A51" w:rsidR="00984CC1" w:rsidRPr="00634FC6"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634FC6">
        <w:rPr>
          <w:rFonts w:ascii="Arial" w:hAnsi="Arial" w:cs="Arial"/>
        </w:rPr>
        <w:t>[41]</w:t>
      </w:r>
      <w:r w:rsidRPr="00634FC6">
        <w:rPr>
          <w:rFonts w:ascii="Arial" w:hAnsi="Arial" w:cs="Arial"/>
        </w:rPr>
        <w:tab/>
      </w:r>
      <w:r w:rsidR="00984CC1" w:rsidRPr="00463821">
        <w:rPr>
          <w:rFonts w:ascii="Arial" w:hAnsi="Arial" w:cs="Arial"/>
          <w:lang w:val="en-US"/>
        </w:rPr>
        <w:t xml:space="preserve">Whilst there </w:t>
      </w:r>
      <w:r w:rsidR="004754F4">
        <w:rPr>
          <w:rFonts w:ascii="Arial" w:hAnsi="Arial" w:cs="Arial"/>
          <w:lang w:val="en-US"/>
        </w:rPr>
        <w:t>exist</w:t>
      </w:r>
      <w:r w:rsidR="00762C35">
        <w:rPr>
          <w:rFonts w:ascii="Arial" w:hAnsi="Arial" w:cs="Arial"/>
          <w:lang w:val="en-US"/>
        </w:rPr>
        <w:t>ed</w:t>
      </w:r>
      <w:r w:rsidR="00984CC1" w:rsidRPr="00463821">
        <w:rPr>
          <w:rFonts w:ascii="Arial" w:hAnsi="Arial" w:cs="Arial"/>
          <w:lang w:val="en-US"/>
        </w:rPr>
        <w:t xml:space="preserve"> </w:t>
      </w:r>
      <w:r w:rsidR="00984CC1">
        <w:rPr>
          <w:rFonts w:ascii="Arial" w:hAnsi="Arial" w:cs="Arial"/>
          <w:lang w:val="en-US"/>
        </w:rPr>
        <w:t>some</w:t>
      </w:r>
      <w:r w:rsidR="00984CC1" w:rsidRPr="00463821">
        <w:rPr>
          <w:rFonts w:ascii="Arial" w:hAnsi="Arial" w:cs="Arial"/>
          <w:lang w:val="en-US"/>
        </w:rPr>
        <w:t xml:space="preserve"> dispute regarding the value of the parties’ respective pension interests</w:t>
      </w:r>
      <w:r w:rsidR="002B403F">
        <w:rPr>
          <w:rFonts w:ascii="Arial" w:hAnsi="Arial" w:cs="Arial"/>
          <w:lang w:val="en-US"/>
        </w:rPr>
        <w:t>,</w:t>
      </w:r>
      <w:r w:rsidR="00984CC1" w:rsidRPr="00463821">
        <w:rPr>
          <w:rFonts w:ascii="Arial" w:hAnsi="Arial" w:cs="Arial"/>
          <w:lang w:val="en-US"/>
        </w:rPr>
        <w:t xml:space="preserve"> it </w:t>
      </w:r>
      <w:r w:rsidR="00762C35">
        <w:rPr>
          <w:rFonts w:ascii="Arial" w:hAnsi="Arial" w:cs="Arial"/>
          <w:lang w:val="en-US"/>
        </w:rPr>
        <w:t>was</w:t>
      </w:r>
      <w:r w:rsidR="00984CC1" w:rsidRPr="00463821">
        <w:rPr>
          <w:rFonts w:ascii="Arial" w:hAnsi="Arial" w:cs="Arial"/>
          <w:lang w:val="en-US"/>
        </w:rPr>
        <w:t xml:space="preserve"> </w:t>
      </w:r>
      <w:r w:rsidR="00C87B47">
        <w:rPr>
          <w:rFonts w:ascii="Arial" w:hAnsi="Arial" w:cs="Arial"/>
          <w:lang w:val="en-US"/>
        </w:rPr>
        <w:t xml:space="preserve">apparent </w:t>
      </w:r>
      <w:r w:rsidR="00984CC1" w:rsidRPr="00463821">
        <w:rPr>
          <w:rFonts w:ascii="Arial" w:hAnsi="Arial" w:cs="Arial"/>
          <w:lang w:val="en-US"/>
        </w:rPr>
        <w:t>that</w:t>
      </w:r>
      <w:r w:rsidR="004B3B56">
        <w:rPr>
          <w:rFonts w:ascii="Arial" w:hAnsi="Arial" w:cs="Arial"/>
          <w:lang w:val="en-US"/>
        </w:rPr>
        <w:t xml:space="preserve"> each of </w:t>
      </w:r>
      <w:r w:rsidR="00984CC1">
        <w:rPr>
          <w:rFonts w:ascii="Arial" w:hAnsi="Arial" w:cs="Arial"/>
          <w:lang w:val="en-US"/>
        </w:rPr>
        <w:t>the parties contributed a portion thereof to the joint estate.</w:t>
      </w:r>
      <w:r w:rsidR="00984CC1" w:rsidRPr="00463821">
        <w:rPr>
          <w:rFonts w:ascii="Arial" w:hAnsi="Arial" w:cs="Arial"/>
          <w:lang w:val="en-US"/>
        </w:rPr>
        <w:t xml:space="preserve">  </w:t>
      </w:r>
    </w:p>
    <w:p w14:paraId="67554B16" w14:textId="77777777" w:rsidR="00984CC1" w:rsidRDefault="00984CC1" w:rsidP="00984CC1">
      <w:pPr>
        <w:pStyle w:val="ListParagraph"/>
        <w:rPr>
          <w:rFonts w:ascii="Arial" w:hAnsi="Arial" w:cs="Arial"/>
          <w:lang w:val="en-US"/>
        </w:rPr>
      </w:pPr>
    </w:p>
    <w:p w14:paraId="19535725" w14:textId="34D9737C" w:rsidR="00A03883" w:rsidRPr="00634FC6"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634FC6">
        <w:rPr>
          <w:rFonts w:ascii="Arial" w:hAnsi="Arial" w:cs="Arial"/>
        </w:rPr>
        <w:t>[42]</w:t>
      </w:r>
      <w:r w:rsidRPr="00634FC6">
        <w:rPr>
          <w:rFonts w:ascii="Arial" w:hAnsi="Arial" w:cs="Arial"/>
        </w:rPr>
        <w:tab/>
      </w:r>
      <w:r w:rsidR="00984CC1">
        <w:rPr>
          <w:rFonts w:ascii="Arial" w:hAnsi="Arial" w:cs="Arial"/>
          <w:lang w:val="en-US"/>
        </w:rPr>
        <w:t xml:space="preserve">It </w:t>
      </w:r>
      <w:r w:rsidR="00687726">
        <w:rPr>
          <w:rFonts w:ascii="Arial" w:hAnsi="Arial" w:cs="Arial"/>
          <w:lang w:val="en-US"/>
        </w:rPr>
        <w:t xml:space="preserve">light of the aforesaid, </w:t>
      </w:r>
      <w:r w:rsidR="002274FB">
        <w:rPr>
          <w:rFonts w:ascii="Arial" w:hAnsi="Arial" w:cs="Arial"/>
          <w:lang w:val="en-US"/>
        </w:rPr>
        <w:t xml:space="preserve">the evidence established </w:t>
      </w:r>
      <w:r w:rsidR="00984CC1">
        <w:rPr>
          <w:rFonts w:ascii="Arial" w:hAnsi="Arial" w:cs="Arial"/>
          <w:lang w:val="en-US"/>
        </w:rPr>
        <w:t xml:space="preserve">that both of the </w:t>
      </w:r>
      <w:r w:rsidR="00634FC6">
        <w:rPr>
          <w:rFonts w:ascii="Arial" w:hAnsi="Arial" w:cs="Arial"/>
          <w:lang w:val="en-US"/>
        </w:rPr>
        <w:t xml:space="preserve">parties consistently </w:t>
      </w:r>
      <w:r w:rsidR="00634FC6" w:rsidRPr="00634FC6">
        <w:rPr>
          <w:rFonts w:ascii="Arial" w:hAnsi="Arial" w:cs="Arial"/>
          <w:lang w:val="en-US"/>
        </w:rPr>
        <w:t>contributed towards the running of the joint estate</w:t>
      </w:r>
      <w:r w:rsidR="00634FC6">
        <w:rPr>
          <w:rFonts w:ascii="Arial" w:hAnsi="Arial" w:cs="Arial"/>
          <w:lang w:val="en-US"/>
        </w:rPr>
        <w:t>.  T</w:t>
      </w:r>
      <w:r w:rsidR="00634FC6" w:rsidRPr="00634FC6">
        <w:rPr>
          <w:rFonts w:ascii="Arial" w:hAnsi="Arial" w:cs="Arial"/>
          <w:lang w:val="en-US"/>
        </w:rPr>
        <w:t>he respondent’s inability to contribute financially</w:t>
      </w:r>
      <w:r w:rsidR="001A045C">
        <w:rPr>
          <w:rFonts w:ascii="Arial" w:hAnsi="Arial" w:cs="Arial"/>
          <w:lang w:val="en-US"/>
        </w:rPr>
        <w:t>, at times</w:t>
      </w:r>
      <w:r w:rsidR="00634FC6" w:rsidRPr="00634FC6">
        <w:rPr>
          <w:rFonts w:ascii="Arial" w:hAnsi="Arial" w:cs="Arial"/>
          <w:lang w:val="en-US"/>
        </w:rPr>
        <w:t xml:space="preserve">, was not due to an attitude of laxity on his behalf. </w:t>
      </w:r>
      <w:r w:rsidR="004C3F7D" w:rsidRPr="00634FC6">
        <w:rPr>
          <w:rFonts w:ascii="Arial" w:hAnsi="Arial" w:cs="Arial"/>
          <w:lang w:val="en-US"/>
        </w:rPr>
        <w:t xml:space="preserve"> </w:t>
      </w:r>
    </w:p>
    <w:p w14:paraId="2D42E263" w14:textId="77777777" w:rsidR="00A03883" w:rsidRDefault="00A03883" w:rsidP="00E42EB6">
      <w:pPr>
        <w:pStyle w:val="ListParagraph"/>
        <w:spacing w:after="0" w:line="480" w:lineRule="auto"/>
        <w:rPr>
          <w:rFonts w:ascii="Arial" w:hAnsi="Arial" w:cs="Arial"/>
          <w:lang w:val="en-US"/>
        </w:rPr>
      </w:pPr>
    </w:p>
    <w:p w14:paraId="38053BC3" w14:textId="4708BA22" w:rsidR="00821E15" w:rsidRPr="009334D3"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9334D3">
        <w:rPr>
          <w:rFonts w:ascii="Arial" w:hAnsi="Arial" w:cs="Arial"/>
        </w:rPr>
        <w:t>[43]</w:t>
      </w:r>
      <w:r w:rsidRPr="009334D3">
        <w:rPr>
          <w:rFonts w:ascii="Arial" w:hAnsi="Arial" w:cs="Arial"/>
        </w:rPr>
        <w:tab/>
      </w:r>
      <w:r w:rsidR="00A04D70">
        <w:rPr>
          <w:rFonts w:ascii="Arial" w:hAnsi="Arial" w:cs="Arial"/>
          <w:lang w:val="en-US"/>
        </w:rPr>
        <w:t>Significantly, the appellant conceded that everything done by the parties prior to 2015, was done jointly.</w:t>
      </w:r>
      <w:r w:rsidR="009334D3">
        <w:rPr>
          <w:rFonts w:ascii="Arial" w:hAnsi="Arial" w:cs="Arial"/>
        </w:rPr>
        <w:t xml:space="preserve">  </w:t>
      </w:r>
      <w:r w:rsidR="00BE2B45" w:rsidRPr="009334D3">
        <w:rPr>
          <w:rFonts w:ascii="Arial" w:hAnsi="Arial" w:cs="Arial"/>
          <w:lang w:val="en-US"/>
        </w:rPr>
        <w:t>Th</w:t>
      </w:r>
      <w:r w:rsidR="00A04D70" w:rsidRPr="009334D3">
        <w:rPr>
          <w:rFonts w:ascii="Arial" w:hAnsi="Arial" w:cs="Arial"/>
          <w:lang w:val="en-US"/>
        </w:rPr>
        <w:t xml:space="preserve">is concession, coupled with the concession by the appellant’s counsel during the appeal regarding the </w:t>
      </w:r>
      <w:r w:rsidR="00BE2B45" w:rsidRPr="009334D3">
        <w:rPr>
          <w:rFonts w:ascii="Arial" w:hAnsi="Arial" w:cs="Arial"/>
          <w:lang w:val="en-US"/>
        </w:rPr>
        <w:t>division of the joint estate up until 2015</w:t>
      </w:r>
      <w:r w:rsidR="00A8057D" w:rsidRPr="009334D3">
        <w:rPr>
          <w:rFonts w:ascii="Arial" w:hAnsi="Arial" w:cs="Arial"/>
          <w:lang w:val="en-US"/>
        </w:rPr>
        <w:t xml:space="preserve"> is</w:t>
      </w:r>
      <w:r w:rsidR="00A04D70" w:rsidRPr="009334D3">
        <w:rPr>
          <w:rFonts w:ascii="Arial" w:hAnsi="Arial" w:cs="Arial"/>
          <w:lang w:val="en-US"/>
        </w:rPr>
        <w:t xml:space="preserve"> definitive of any question as to forfeiture prior to 2015.</w:t>
      </w:r>
      <w:r w:rsidR="00377CAA" w:rsidRPr="009334D3">
        <w:rPr>
          <w:rFonts w:ascii="Arial" w:hAnsi="Arial" w:cs="Arial"/>
        </w:rPr>
        <w:t xml:space="preserve">  </w:t>
      </w:r>
      <w:r w:rsidR="00A47913">
        <w:rPr>
          <w:rFonts w:ascii="Arial" w:hAnsi="Arial" w:cs="Arial"/>
        </w:rPr>
        <w:t xml:space="preserve">Having dealt with the facts prior to 2015, it is necessary to assess </w:t>
      </w:r>
      <w:r w:rsidR="00821E15" w:rsidRPr="009334D3">
        <w:rPr>
          <w:rFonts w:ascii="Arial" w:hAnsi="Arial" w:cs="Arial"/>
          <w:lang w:val="en-US"/>
        </w:rPr>
        <w:t xml:space="preserve">the </w:t>
      </w:r>
      <w:r w:rsidR="008B2B1F" w:rsidRPr="009334D3">
        <w:rPr>
          <w:rFonts w:ascii="Arial" w:hAnsi="Arial" w:cs="Arial"/>
          <w:lang w:val="en-US"/>
        </w:rPr>
        <w:t>position</w:t>
      </w:r>
      <w:r w:rsidR="00821E15" w:rsidRPr="009334D3">
        <w:rPr>
          <w:rFonts w:ascii="Arial" w:hAnsi="Arial" w:cs="Arial"/>
          <w:lang w:val="en-US"/>
        </w:rPr>
        <w:t>,</w:t>
      </w:r>
      <w:r w:rsidR="008B2B1F" w:rsidRPr="009334D3">
        <w:rPr>
          <w:rFonts w:ascii="Arial" w:hAnsi="Arial" w:cs="Arial"/>
          <w:lang w:val="en-US"/>
        </w:rPr>
        <w:t xml:space="preserve"> which subsisted post 2015</w:t>
      </w:r>
      <w:r w:rsidR="00821E15" w:rsidRPr="009334D3">
        <w:rPr>
          <w:rFonts w:ascii="Arial" w:hAnsi="Arial" w:cs="Arial"/>
          <w:lang w:val="en-US"/>
        </w:rPr>
        <w:t>.</w:t>
      </w:r>
    </w:p>
    <w:p w14:paraId="16D3F5BB" w14:textId="77777777" w:rsidR="00821E15" w:rsidRPr="00821E15" w:rsidRDefault="00821E15" w:rsidP="00821E15">
      <w:pPr>
        <w:pStyle w:val="NormalWeb"/>
        <w:shd w:val="clear" w:color="auto" w:fill="FFFFFF"/>
        <w:spacing w:before="0" w:beforeAutospacing="0" w:after="0" w:afterAutospacing="0" w:line="480" w:lineRule="auto"/>
        <w:ind w:left="851" w:right="259"/>
        <w:jc w:val="both"/>
        <w:rPr>
          <w:rFonts w:ascii="Arial" w:hAnsi="Arial" w:cs="Arial"/>
        </w:rPr>
      </w:pPr>
    </w:p>
    <w:p w14:paraId="0D65A579" w14:textId="52EC1C5B" w:rsidR="0001248D" w:rsidRPr="0001248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01248D">
        <w:rPr>
          <w:rFonts w:ascii="Arial" w:hAnsi="Arial" w:cs="Arial"/>
        </w:rPr>
        <w:lastRenderedPageBreak/>
        <w:t>[44]</w:t>
      </w:r>
      <w:r w:rsidRPr="0001248D">
        <w:rPr>
          <w:rFonts w:ascii="Arial" w:hAnsi="Arial" w:cs="Arial"/>
        </w:rPr>
        <w:tab/>
      </w:r>
      <w:r w:rsidR="00821E15">
        <w:rPr>
          <w:rFonts w:ascii="Arial" w:hAnsi="Arial" w:cs="Arial"/>
          <w:lang w:val="en-US"/>
        </w:rPr>
        <w:t>T</w:t>
      </w:r>
      <w:r w:rsidR="008B2B1F" w:rsidRPr="008B2B1F">
        <w:rPr>
          <w:rFonts w:ascii="Arial" w:hAnsi="Arial" w:cs="Arial"/>
          <w:lang w:val="en-US"/>
        </w:rPr>
        <w:t>he respondent testified that</w:t>
      </w:r>
      <w:r w:rsidR="006039A9">
        <w:rPr>
          <w:rFonts w:ascii="Arial" w:hAnsi="Arial" w:cs="Arial"/>
          <w:lang w:val="en-US"/>
        </w:rPr>
        <w:t>, following the separation,</w:t>
      </w:r>
      <w:r w:rsidR="008B2B1F" w:rsidRPr="008B2B1F">
        <w:rPr>
          <w:rFonts w:ascii="Arial" w:hAnsi="Arial" w:cs="Arial"/>
          <w:lang w:val="en-US"/>
        </w:rPr>
        <w:t xml:space="preserve"> </w:t>
      </w:r>
      <w:r w:rsidR="008B2B1F">
        <w:rPr>
          <w:rFonts w:ascii="Arial" w:hAnsi="Arial" w:cs="Arial"/>
          <w:lang w:val="en-US"/>
        </w:rPr>
        <w:t xml:space="preserve">he routinely returned home over weekends to visit the family, bringing </w:t>
      </w:r>
      <w:r w:rsidR="00DB5DB3">
        <w:rPr>
          <w:rFonts w:ascii="Arial" w:hAnsi="Arial" w:cs="Arial"/>
          <w:lang w:val="en-US"/>
        </w:rPr>
        <w:t>home</w:t>
      </w:r>
      <w:r w:rsidR="008B2B1F">
        <w:rPr>
          <w:rFonts w:ascii="Arial" w:hAnsi="Arial" w:cs="Arial"/>
          <w:lang w:val="en-US"/>
        </w:rPr>
        <w:t xml:space="preserve"> consumables such as chocolates and 2-minute noodles.  In addition, he made cash contributions to the appellant, in the form of bank transfers and by </w:t>
      </w:r>
      <w:r w:rsidR="004F08EB">
        <w:rPr>
          <w:rFonts w:ascii="Arial" w:hAnsi="Arial" w:cs="Arial"/>
          <w:lang w:val="en-US"/>
        </w:rPr>
        <w:t xml:space="preserve">utilising the </w:t>
      </w:r>
      <w:r w:rsidR="00242CB5">
        <w:rPr>
          <w:rFonts w:ascii="Arial" w:hAnsi="Arial" w:cs="Arial"/>
          <w:lang w:val="en-US"/>
        </w:rPr>
        <w:t>Shoprite</w:t>
      </w:r>
      <w:r w:rsidR="004F08EB">
        <w:rPr>
          <w:rFonts w:ascii="Arial" w:hAnsi="Arial" w:cs="Arial"/>
          <w:lang w:val="en-US"/>
        </w:rPr>
        <w:t xml:space="preserve"> Money Market service.  </w:t>
      </w:r>
    </w:p>
    <w:p w14:paraId="0F89D38C" w14:textId="77777777" w:rsidR="0001248D" w:rsidRDefault="0001248D" w:rsidP="00624A2A">
      <w:pPr>
        <w:pStyle w:val="ListParagraph"/>
        <w:spacing w:after="0" w:line="480" w:lineRule="auto"/>
        <w:rPr>
          <w:rFonts w:ascii="Arial" w:hAnsi="Arial" w:cs="Arial"/>
          <w:lang w:val="en-US"/>
        </w:rPr>
      </w:pPr>
    </w:p>
    <w:p w14:paraId="190E4349" w14:textId="07A4A8CB" w:rsidR="00371BF9" w:rsidRPr="00371BF9"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371BF9">
        <w:rPr>
          <w:rFonts w:ascii="Arial" w:hAnsi="Arial" w:cs="Arial"/>
        </w:rPr>
        <w:t>[45]</w:t>
      </w:r>
      <w:r w:rsidRPr="00371BF9">
        <w:rPr>
          <w:rFonts w:ascii="Arial" w:hAnsi="Arial" w:cs="Arial"/>
        </w:rPr>
        <w:tab/>
      </w:r>
      <w:r w:rsidR="004F08EB">
        <w:rPr>
          <w:rFonts w:ascii="Arial" w:hAnsi="Arial" w:cs="Arial"/>
          <w:lang w:val="en-US"/>
        </w:rPr>
        <w:t>The appellant</w:t>
      </w:r>
      <w:r w:rsidR="0001248D">
        <w:rPr>
          <w:rFonts w:ascii="Arial" w:hAnsi="Arial" w:cs="Arial"/>
          <w:lang w:val="en-US"/>
        </w:rPr>
        <w:t xml:space="preserve"> </w:t>
      </w:r>
      <w:r w:rsidR="008254C8">
        <w:rPr>
          <w:rFonts w:ascii="Arial" w:hAnsi="Arial" w:cs="Arial"/>
          <w:lang w:val="en-US"/>
        </w:rPr>
        <w:t xml:space="preserve">denied that the respondent had contributed financially in any </w:t>
      </w:r>
      <w:r w:rsidR="002C0ABC">
        <w:rPr>
          <w:rFonts w:ascii="Arial" w:hAnsi="Arial" w:cs="Arial"/>
          <w:lang w:val="en-US"/>
        </w:rPr>
        <w:t>way</w:t>
      </w:r>
      <w:r w:rsidR="008254C8">
        <w:rPr>
          <w:rFonts w:ascii="Arial" w:hAnsi="Arial" w:cs="Arial"/>
          <w:lang w:val="en-US"/>
        </w:rPr>
        <w:t xml:space="preserve"> towards</w:t>
      </w:r>
      <w:r w:rsidR="00371BF9">
        <w:rPr>
          <w:rFonts w:ascii="Arial" w:hAnsi="Arial" w:cs="Arial"/>
          <w:lang w:val="en-US"/>
        </w:rPr>
        <w:t xml:space="preserve"> the immovable property or towards her and the children’s expenses.  </w:t>
      </w:r>
      <w:r w:rsidR="00CF69B3">
        <w:rPr>
          <w:rFonts w:ascii="Arial" w:hAnsi="Arial" w:cs="Arial"/>
          <w:lang w:val="en-US"/>
        </w:rPr>
        <w:t xml:space="preserve">Specific reference </w:t>
      </w:r>
      <w:r w:rsidR="0001248D">
        <w:rPr>
          <w:rFonts w:ascii="Arial" w:hAnsi="Arial" w:cs="Arial"/>
          <w:lang w:val="en-US"/>
        </w:rPr>
        <w:t>was</w:t>
      </w:r>
      <w:r w:rsidR="00CF69B3">
        <w:rPr>
          <w:rFonts w:ascii="Arial" w:hAnsi="Arial" w:cs="Arial"/>
          <w:lang w:val="en-US"/>
        </w:rPr>
        <w:t xml:space="preserve"> made to </w:t>
      </w:r>
      <w:r w:rsidR="0001248D">
        <w:rPr>
          <w:rFonts w:ascii="Arial" w:hAnsi="Arial" w:cs="Arial"/>
          <w:lang w:val="en-US"/>
        </w:rPr>
        <w:t>the respondent’s apparent</w:t>
      </w:r>
      <w:r w:rsidR="00CF69B3">
        <w:rPr>
          <w:rFonts w:ascii="Arial" w:hAnsi="Arial" w:cs="Arial"/>
          <w:lang w:val="en-US"/>
        </w:rPr>
        <w:t xml:space="preserve"> lack of contribution, notwithstanding his </w:t>
      </w:r>
      <w:r w:rsidR="00371BF9">
        <w:rPr>
          <w:rFonts w:ascii="Arial" w:hAnsi="Arial" w:cs="Arial"/>
          <w:lang w:val="en-US"/>
        </w:rPr>
        <w:t xml:space="preserve">gainful </w:t>
      </w:r>
      <w:r w:rsidR="00CF69B3">
        <w:rPr>
          <w:rFonts w:ascii="Arial" w:hAnsi="Arial" w:cs="Arial"/>
          <w:lang w:val="en-US"/>
        </w:rPr>
        <w:t>employment with Nestle during 2016 and 2017.</w:t>
      </w:r>
      <w:r w:rsidR="008254C8">
        <w:rPr>
          <w:rFonts w:ascii="Arial" w:hAnsi="Arial" w:cs="Arial"/>
          <w:lang w:val="en-US"/>
        </w:rPr>
        <w:t xml:space="preserve">  </w:t>
      </w:r>
    </w:p>
    <w:p w14:paraId="53380E53" w14:textId="77777777" w:rsidR="00371BF9" w:rsidRDefault="00371BF9" w:rsidP="00624A2A">
      <w:pPr>
        <w:pStyle w:val="ListParagraph"/>
        <w:spacing w:after="0" w:line="480" w:lineRule="auto"/>
        <w:rPr>
          <w:rFonts w:ascii="Arial" w:hAnsi="Arial" w:cs="Arial"/>
          <w:lang w:val="en-US"/>
        </w:rPr>
      </w:pPr>
    </w:p>
    <w:p w14:paraId="17CCF109" w14:textId="359DF3F4" w:rsidR="00371BF9" w:rsidRPr="00371BF9"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371BF9">
        <w:rPr>
          <w:rFonts w:ascii="Arial" w:hAnsi="Arial" w:cs="Arial"/>
        </w:rPr>
        <w:t>[46]</w:t>
      </w:r>
      <w:r w:rsidRPr="00371BF9">
        <w:rPr>
          <w:rFonts w:ascii="Arial" w:hAnsi="Arial" w:cs="Arial"/>
        </w:rPr>
        <w:tab/>
      </w:r>
      <w:r w:rsidR="00A47913">
        <w:rPr>
          <w:rFonts w:ascii="Arial" w:hAnsi="Arial" w:cs="Arial"/>
          <w:lang w:val="en-US"/>
        </w:rPr>
        <w:t>The record show</w:t>
      </w:r>
      <w:r w:rsidR="00350D4B">
        <w:rPr>
          <w:rFonts w:ascii="Arial" w:hAnsi="Arial" w:cs="Arial"/>
          <w:lang w:val="en-US"/>
        </w:rPr>
        <w:t>s</w:t>
      </w:r>
      <w:r w:rsidR="00A47913">
        <w:rPr>
          <w:rFonts w:ascii="Arial" w:hAnsi="Arial" w:cs="Arial"/>
          <w:lang w:val="en-US"/>
        </w:rPr>
        <w:t xml:space="preserve"> that </w:t>
      </w:r>
      <w:r w:rsidR="002C0ABC">
        <w:rPr>
          <w:rFonts w:ascii="Arial" w:hAnsi="Arial" w:cs="Arial"/>
          <w:lang w:val="en-US"/>
        </w:rPr>
        <w:t>the appellant</w:t>
      </w:r>
      <w:r w:rsidR="004F08EB">
        <w:rPr>
          <w:rFonts w:ascii="Arial" w:hAnsi="Arial" w:cs="Arial"/>
          <w:lang w:val="en-US"/>
        </w:rPr>
        <w:t xml:space="preserve"> </w:t>
      </w:r>
      <w:r w:rsidR="00A47913">
        <w:rPr>
          <w:rFonts w:ascii="Arial" w:hAnsi="Arial" w:cs="Arial"/>
          <w:lang w:val="en-US"/>
        </w:rPr>
        <w:t xml:space="preserve">initially </w:t>
      </w:r>
      <w:r w:rsidR="004F08EB">
        <w:rPr>
          <w:rFonts w:ascii="Arial" w:hAnsi="Arial" w:cs="Arial"/>
          <w:lang w:val="en-US"/>
        </w:rPr>
        <w:t>attempted to distance herself from any form</w:t>
      </w:r>
      <w:r w:rsidR="008254C8">
        <w:rPr>
          <w:rFonts w:ascii="Arial" w:hAnsi="Arial" w:cs="Arial"/>
          <w:lang w:val="en-US"/>
        </w:rPr>
        <w:t xml:space="preserve"> of</w:t>
      </w:r>
      <w:r w:rsidR="004F08EB">
        <w:rPr>
          <w:rFonts w:ascii="Arial" w:hAnsi="Arial" w:cs="Arial"/>
          <w:lang w:val="en-US"/>
        </w:rPr>
        <w:t xml:space="preserve"> relationship with the respondent</w:t>
      </w:r>
      <w:r w:rsidR="008254C8">
        <w:rPr>
          <w:rFonts w:ascii="Arial" w:hAnsi="Arial" w:cs="Arial"/>
          <w:lang w:val="en-US"/>
        </w:rPr>
        <w:t xml:space="preserve"> and sought</w:t>
      </w:r>
      <w:r w:rsidR="004F08EB">
        <w:rPr>
          <w:rFonts w:ascii="Arial" w:hAnsi="Arial" w:cs="Arial"/>
          <w:lang w:val="en-US"/>
        </w:rPr>
        <w:t xml:space="preserve"> to create</w:t>
      </w:r>
      <w:r w:rsidR="0079353D">
        <w:rPr>
          <w:rFonts w:ascii="Arial" w:hAnsi="Arial" w:cs="Arial"/>
          <w:lang w:val="en-US"/>
        </w:rPr>
        <w:t xml:space="preserve"> </w:t>
      </w:r>
      <w:r w:rsidR="00EF40B4">
        <w:rPr>
          <w:rFonts w:ascii="Arial" w:hAnsi="Arial" w:cs="Arial"/>
          <w:lang w:val="en-US"/>
        </w:rPr>
        <w:t>the</w:t>
      </w:r>
      <w:r w:rsidR="004F08EB">
        <w:rPr>
          <w:rFonts w:ascii="Arial" w:hAnsi="Arial" w:cs="Arial"/>
          <w:lang w:val="en-US"/>
        </w:rPr>
        <w:t xml:space="preserve"> impression that </w:t>
      </w:r>
      <w:r w:rsidR="007A0671">
        <w:rPr>
          <w:rFonts w:ascii="Arial" w:hAnsi="Arial" w:cs="Arial"/>
          <w:lang w:val="en-US"/>
        </w:rPr>
        <w:t xml:space="preserve">she had no knowledge of the respondent’s </w:t>
      </w:r>
      <w:r w:rsidR="002C0ABC">
        <w:rPr>
          <w:rFonts w:ascii="Arial" w:hAnsi="Arial" w:cs="Arial"/>
          <w:lang w:val="en-US"/>
        </w:rPr>
        <w:t>whereabouts,</w:t>
      </w:r>
      <w:r w:rsidR="007A0671">
        <w:rPr>
          <w:rFonts w:ascii="Arial" w:hAnsi="Arial" w:cs="Arial"/>
          <w:lang w:val="en-US"/>
        </w:rPr>
        <w:t xml:space="preserve"> </w:t>
      </w:r>
      <w:r w:rsidR="008254C8">
        <w:rPr>
          <w:rFonts w:ascii="Arial" w:hAnsi="Arial" w:cs="Arial"/>
          <w:lang w:val="en-US"/>
        </w:rPr>
        <w:t xml:space="preserve">nor his employment details </w:t>
      </w:r>
      <w:r w:rsidR="007A0671">
        <w:rPr>
          <w:rFonts w:ascii="Arial" w:hAnsi="Arial" w:cs="Arial"/>
          <w:lang w:val="en-US"/>
        </w:rPr>
        <w:t xml:space="preserve">for </w:t>
      </w:r>
      <w:r w:rsidR="00037E2C">
        <w:rPr>
          <w:rFonts w:ascii="Arial" w:hAnsi="Arial" w:cs="Arial"/>
          <w:lang w:val="en-US"/>
        </w:rPr>
        <w:t xml:space="preserve">a </w:t>
      </w:r>
      <w:r w:rsidR="007A0671">
        <w:rPr>
          <w:rFonts w:ascii="Arial" w:hAnsi="Arial" w:cs="Arial"/>
          <w:lang w:val="en-US"/>
        </w:rPr>
        <w:t xml:space="preserve">significant period </w:t>
      </w:r>
      <w:r w:rsidR="00E90FEF">
        <w:rPr>
          <w:rFonts w:ascii="Arial" w:hAnsi="Arial" w:cs="Arial"/>
          <w:lang w:val="en-US"/>
        </w:rPr>
        <w:t xml:space="preserve">during </w:t>
      </w:r>
      <w:r w:rsidR="007A0671">
        <w:rPr>
          <w:rFonts w:ascii="Arial" w:hAnsi="Arial" w:cs="Arial"/>
          <w:lang w:val="en-US"/>
        </w:rPr>
        <w:t>2016 and 2021</w:t>
      </w:r>
      <w:r w:rsidR="008254C8">
        <w:rPr>
          <w:rFonts w:ascii="Arial" w:hAnsi="Arial" w:cs="Arial"/>
          <w:lang w:val="en-US"/>
        </w:rPr>
        <w:t>.</w:t>
      </w:r>
      <w:r w:rsidR="00371BF9">
        <w:rPr>
          <w:rFonts w:ascii="Arial" w:hAnsi="Arial" w:cs="Arial"/>
          <w:lang w:val="en-US"/>
        </w:rPr>
        <w:t xml:space="preserve">  It was put to the respondent that the appellant had only become aware of the respondent’s employment with Nestle following the discovery process.</w:t>
      </w:r>
      <w:r w:rsidR="00821E15">
        <w:rPr>
          <w:rFonts w:ascii="Arial" w:hAnsi="Arial" w:cs="Arial"/>
          <w:lang w:val="en-US"/>
        </w:rPr>
        <w:t xml:space="preserve">  Not only is this evidence at variance with that of the respondent, but</w:t>
      </w:r>
      <w:r w:rsidR="00371BF9">
        <w:rPr>
          <w:rFonts w:ascii="Arial" w:hAnsi="Arial" w:cs="Arial"/>
          <w:lang w:val="en-US"/>
        </w:rPr>
        <w:t xml:space="preserve"> it was later contradicted by the appellant herself.  </w:t>
      </w:r>
    </w:p>
    <w:p w14:paraId="2C47B22C" w14:textId="77777777" w:rsidR="00371BF9" w:rsidRDefault="00371BF9" w:rsidP="00017524">
      <w:pPr>
        <w:pStyle w:val="ListParagraph"/>
        <w:spacing w:after="0" w:line="480" w:lineRule="auto"/>
        <w:rPr>
          <w:rFonts w:ascii="Arial" w:hAnsi="Arial" w:cs="Arial"/>
          <w:lang w:val="en-US"/>
        </w:rPr>
      </w:pPr>
    </w:p>
    <w:p w14:paraId="3E81CDB3" w14:textId="14C07039" w:rsidR="0079353D" w:rsidRPr="0079353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79353D">
        <w:rPr>
          <w:rFonts w:ascii="Arial" w:hAnsi="Arial" w:cs="Arial"/>
        </w:rPr>
        <w:t>[47]</w:t>
      </w:r>
      <w:r w:rsidRPr="0079353D">
        <w:rPr>
          <w:rFonts w:ascii="Arial" w:hAnsi="Arial" w:cs="Arial"/>
        </w:rPr>
        <w:tab/>
      </w:r>
      <w:r w:rsidR="00371BF9">
        <w:rPr>
          <w:rFonts w:ascii="Arial" w:hAnsi="Arial" w:cs="Arial"/>
          <w:lang w:val="en-US"/>
        </w:rPr>
        <w:t xml:space="preserve">More particularly, the appellant testified that </w:t>
      </w:r>
      <w:r w:rsidR="00821E15">
        <w:rPr>
          <w:rFonts w:ascii="Arial" w:hAnsi="Arial" w:cs="Arial"/>
          <w:lang w:val="en-US"/>
        </w:rPr>
        <w:t>the respondent would return home occasionally</w:t>
      </w:r>
      <w:r w:rsidR="002C0ABC">
        <w:rPr>
          <w:rFonts w:ascii="Arial" w:hAnsi="Arial" w:cs="Arial"/>
          <w:lang w:val="en-US"/>
        </w:rPr>
        <w:t xml:space="preserve"> for the night</w:t>
      </w:r>
      <w:r w:rsidR="00821E15">
        <w:rPr>
          <w:rFonts w:ascii="Arial" w:hAnsi="Arial" w:cs="Arial"/>
          <w:lang w:val="en-US"/>
        </w:rPr>
        <w:t xml:space="preserve">, </w:t>
      </w:r>
      <w:r w:rsidR="00821E15" w:rsidRPr="008254C8">
        <w:rPr>
          <w:rFonts w:ascii="Arial" w:hAnsi="Arial" w:cs="Arial"/>
          <w:i/>
          <w:iCs/>
          <w:lang w:val="en-US"/>
        </w:rPr>
        <w:t>albeit</w:t>
      </w:r>
      <w:r w:rsidR="00821E15">
        <w:rPr>
          <w:rFonts w:ascii="Arial" w:hAnsi="Arial" w:cs="Arial"/>
          <w:lang w:val="en-US"/>
        </w:rPr>
        <w:t xml:space="preserve"> </w:t>
      </w:r>
      <w:r w:rsidR="002C0ABC">
        <w:rPr>
          <w:rFonts w:ascii="Arial" w:hAnsi="Arial" w:cs="Arial"/>
          <w:lang w:val="en-US"/>
        </w:rPr>
        <w:t xml:space="preserve">that </w:t>
      </w:r>
      <w:r w:rsidR="00371BF9">
        <w:rPr>
          <w:rFonts w:ascii="Arial" w:hAnsi="Arial" w:cs="Arial"/>
          <w:lang w:val="en-US"/>
        </w:rPr>
        <w:t>the parties would sleep i</w:t>
      </w:r>
      <w:r w:rsidR="00C865C3">
        <w:rPr>
          <w:rFonts w:ascii="Arial" w:hAnsi="Arial" w:cs="Arial"/>
          <w:lang w:val="en-US"/>
        </w:rPr>
        <w:t>n</w:t>
      </w:r>
      <w:r w:rsidR="00371BF9">
        <w:rPr>
          <w:rFonts w:ascii="Arial" w:hAnsi="Arial" w:cs="Arial"/>
          <w:lang w:val="en-US"/>
        </w:rPr>
        <w:t xml:space="preserve"> separate bedrooms.  </w:t>
      </w:r>
      <w:r w:rsidR="0079353D">
        <w:rPr>
          <w:rFonts w:ascii="Arial" w:hAnsi="Arial" w:cs="Arial"/>
          <w:lang w:val="en-US"/>
        </w:rPr>
        <w:t xml:space="preserve">The appellant, </w:t>
      </w:r>
      <w:r w:rsidR="00A31D90">
        <w:rPr>
          <w:rFonts w:ascii="Arial" w:hAnsi="Arial" w:cs="Arial"/>
          <w:lang w:val="en-US"/>
        </w:rPr>
        <w:t xml:space="preserve">presumably </w:t>
      </w:r>
      <w:r w:rsidR="0079353D">
        <w:rPr>
          <w:rFonts w:ascii="Arial" w:hAnsi="Arial" w:cs="Arial"/>
          <w:lang w:val="en-US"/>
        </w:rPr>
        <w:t xml:space="preserve">in an attempt to bolster her evidence that she was unaware of the respondent’s whereabouts, </w:t>
      </w:r>
      <w:r w:rsidR="00821E15">
        <w:rPr>
          <w:rFonts w:ascii="Arial" w:hAnsi="Arial" w:cs="Arial"/>
          <w:lang w:val="en-US"/>
        </w:rPr>
        <w:t xml:space="preserve">testified that </w:t>
      </w:r>
      <w:r w:rsidR="002C0ABC">
        <w:rPr>
          <w:rFonts w:ascii="Arial" w:hAnsi="Arial" w:cs="Arial"/>
          <w:lang w:val="en-US"/>
        </w:rPr>
        <w:t xml:space="preserve">she had contacted Nestle telephonically </w:t>
      </w:r>
      <w:r w:rsidR="00695EDE">
        <w:rPr>
          <w:rFonts w:ascii="Arial" w:hAnsi="Arial" w:cs="Arial"/>
          <w:lang w:val="en-US"/>
        </w:rPr>
        <w:t xml:space="preserve">in </w:t>
      </w:r>
      <w:r w:rsidR="00821E15">
        <w:rPr>
          <w:rFonts w:ascii="Arial" w:hAnsi="Arial" w:cs="Arial"/>
          <w:lang w:val="en-US"/>
        </w:rPr>
        <w:t>2019,</w:t>
      </w:r>
      <w:r w:rsidR="002C0ABC">
        <w:rPr>
          <w:rFonts w:ascii="Arial" w:hAnsi="Arial" w:cs="Arial"/>
          <w:lang w:val="en-US"/>
        </w:rPr>
        <w:t xml:space="preserve"> to speak to the </w:t>
      </w:r>
      <w:r w:rsidR="002C0ABC">
        <w:rPr>
          <w:rFonts w:ascii="Arial" w:hAnsi="Arial" w:cs="Arial"/>
          <w:lang w:val="en-US"/>
        </w:rPr>
        <w:lastRenderedPageBreak/>
        <w:t>respondent</w:t>
      </w:r>
      <w:r w:rsidR="0079353D">
        <w:rPr>
          <w:rFonts w:ascii="Arial" w:hAnsi="Arial" w:cs="Arial"/>
          <w:lang w:val="en-US"/>
        </w:rPr>
        <w:t xml:space="preserve">.  In doing so, the appellant inadvertently admitted to having been aware of the respondent’s employment with Nestle.  </w:t>
      </w:r>
      <w:r w:rsidR="00017524">
        <w:rPr>
          <w:rFonts w:ascii="Arial" w:hAnsi="Arial" w:cs="Arial"/>
          <w:lang w:val="en-US"/>
        </w:rPr>
        <w:t xml:space="preserve">Moreover, the appellant was constrained to concede, during cross examination, that the respondent had on at least two occasions during this period, transferred money to the appellant in the amounts of R4,000.00 and R2,500.00 on 25 May 2017 and 24 June 2017 respectively. </w:t>
      </w:r>
      <w:r w:rsidR="00624A2A">
        <w:rPr>
          <w:rFonts w:ascii="Arial" w:hAnsi="Arial" w:cs="Arial"/>
          <w:lang w:val="en-US"/>
        </w:rPr>
        <w:t xml:space="preserve"> The appellant further made mention of an intended family meeting in 2019, the purpose of which was to resolve the parties’ </w:t>
      </w:r>
      <w:r w:rsidR="00AD6BB7">
        <w:rPr>
          <w:rFonts w:ascii="Arial" w:hAnsi="Arial" w:cs="Arial"/>
          <w:lang w:val="en-US"/>
        </w:rPr>
        <w:t>marital issues</w:t>
      </w:r>
      <w:r w:rsidR="00624A2A">
        <w:rPr>
          <w:rFonts w:ascii="Arial" w:hAnsi="Arial" w:cs="Arial"/>
          <w:lang w:val="en-US"/>
        </w:rPr>
        <w:t xml:space="preserve">.  </w:t>
      </w:r>
      <w:r w:rsidR="00017524">
        <w:rPr>
          <w:rFonts w:ascii="Arial" w:hAnsi="Arial" w:cs="Arial"/>
          <w:lang w:val="en-US"/>
        </w:rPr>
        <w:t>In light of such concessions, I have no reason to doubt the veracity of the respondent’s evidence as to events post 2015, which evidence accord</w:t>
      </w:r>
      <w:r w:rsidR="00762C35">
        <w:rPr>
          <w:rFonts w:ascii="Arial" w:hAnsi="Arial" w:cs="Arial"/>
          <w:lang w:val="en-US"/>
        </w:rPr>
        <w:t>ed</w:t>
      </w:r>
      <w:r w:rsidR="00017524">
        <w:rPr>
          <w:rFonts w:ascii="Arial" w:hAnsi="Arial" w:cs="Arial"/>
          <w:lang w:val="en-US"/>
        </w:rPr>
        <w:t xml:space="preserve"> with the probabilities.    </w:t>
      </w:r>
    </w:p>
    <w:p w14:paraId="14BD2532" w14:textId="0CEC6F7F" w:rsidR="0079353D" w:rsidRDefault="0079353D" w:rsidP="00017524">
      <w:pPr>
        <w:pStyle w:val="ListParagraph"/>
        <w:spacing w:after="0" w:line="480" w:lineRule="auto"/>
        <w:rPr>
          <w:rFonts w:ascii="Arial" w:hAnsi="Arial" w:cs="Arial"/>
          <w:lang w:val="en-US"/>
        </w:rPr>
      </w:pPr>
    </w:p>
    <w:p w14:paraId="328D117B" w14:textId="2C6AB577" w:rsidR="00D57FD1"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[48]</w:t>
      </w:r>
      <w:r>
        <w:rPr>
          <w:rFonts w:ascii="Arial" w:hAnsi="Arial" w:cs="Arial"/>
        </w:rPr>
        <w:tab/>
      </w:r>
      <w:r w:rsidR="00D57FD1">
        <w:rPr>
          <w:rFonts w:ascii="Arial" w:hAnsi="Arial" w:cs="Arial"/>
        </w:rPr>
        <w:t xml:space="preserve">Leaving aside the allegations as to physical abuse, to which I shall return, I am satisfied that the appellant failed to prove </w:t>
      </w:r>
      <w:r w:rsidR="00752364">
        <w:rPr>
          <w:rFonts w:ascii="Arial" w:hAnsi="Arial" w:cs="Arial"/>
        </w:rPr>
        <w:t xml:space="preserve">any instances of abuse </w:t>
      </w:r>
      <w:r w:rsidR="00D57FD1">
        <w:rPr>
          <w:rFonts w:ascii="Arial" w:hAnsi="Arial" w:cs="Arial"/>
        </w:rPr>
        <w:t xml:space="preserve">as contended for in paragraph 4.3 of the appellant’s claim in reconvention.  </w:t>
      </w:r>
      <w:r w:rsidR="00D57FD1" w:rsidRPr="00005863">
        <w:rPr>
          <w:rFonts w:ascii="Arial" w:hAnsi="Arial" w:cs="Arial"/>
        </w:rPr>
        <w:t xml:space="preserve">Insofar as physical abuse is concerned, and on a close analysis of the evidence on behalf of both parties, it is common cause that a physical altercation took place on 13 June 2015, after which the appellant obtained a domestic violence interdict against the respondent.  </w:t>
      </w:r>
    </w:p>
    <w:p w14:paraId="68E46A6E" w14:textId="77777777" w:rsidR="00D57FD1" w:rsidRDefault="00D57FD1" w:rsidP="00D57FD1">
      <w:pPr>
        <w:pStyle w:val="NormalWeb"/>
        <w:shd w:val="clear" w:color="auto" w:fill="FFFFFF"/>
        <w:spacing w:before="0" w:beforeAutospacing="0" w:after="0" w:afterAutospacing="0" w:line="480" w:lineRule="auto"/>
        <w:ind w:left="851" w:right="259"/>
        <w:jc w:val="both"/>
        <w:rPr>
          <w:rFonts w:ascii="Arial" w:hAnsi="Arial" w:cs="Arial"/>
        </w:rPr>
      </w:pPr>
    </w:p>
    <w:p w14:paraId="1DD3FA7F" w14:textId="4C3BC7BF" w:rsidR="00D57FD1" w:rsidRPr="00005863"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005863">
        <w:rPr>
          <w:rFonts w:ascii="Arial" w:hAnsi="Arial" w:cs="Arial"/>
        </w:rPr>
        <w:t>[49]</w:t>
      </w:r>
      <w:r w:rsidRPr="00005863">
        <w:rPr>
          <w:rFonts w:ascii="Arial" w:hAnsi="Arial" w:cs="Arial"/>
        </w:rPr>
        <w:tab/>
      </w:r>
      <w:r w:rsidR="00D57FD1" w:rsidRPr="00005863">
        <w:rPr>
          <w:rFonts w:ascii="Arial" w:hAnsi="Arial" w:cs="Arial"/>
        </w:rPr>
        <w:t>The extent of the altercation remained in dispute between the parties</w:t>
      </w:r>
      <w:r w:rsidR="00D57FD1">
        <w:rPr>
          <w:rFonts w:ascii="Arial" w:hAnsi="Arial" w:cs="Arial"/>
        </w:rPr>
        <w:t xml:space="preserve"> at trial, with the respondent being </w:t>
      </w:r>
      <w:r w:rsidR="00350D4B">
        <w:rPr>
          <w:rFonts w:ascii="Arial" w:hAnsi="Arial" w:cs="Arial"/>
        </w:rPr>
        <w:t>vague</w:t>
      </w:r>
      <w:r w:rsidR="00D57FD1">
        <w:rPr>
          <w:rFonts w:ascii="Arial" w:hAnsi="Arial" w:cs="Arial"/>
        </w:rPr>
        <w:t xml:space="preserve"> regarding the details thereof</w:t>
      </w:r>
      <w:r w:rsidR="00D57FD1" w:rsidRPr="00005863">
        <w:rPr>
          <w:rFonts w:ascii="Arial" w:hAnsi="Arial" w:cs="Arial"/>
        </w:rPr>
        <w:t>.  The appellant testified that she was sitting on the couch when the respondent, unprovoked, started assaulting her.</w:t>
      </w:r>
      <w:r w:rsidR="00513566">
        <w:rPr>
          <w:rFonts w:ascii="Arial" w:hAnsi="Arial" w:cs="Arial"/>
        </w:rPr>
        <w:t xml:space="preserve">  During cross examination, the appellant conceded that the altercation was preceded by a disagreement between the parties.</w:t>
      </w:r>
      <w:r w:rsidR="00D57FD1" w:rsidRPr="00005863">
        <w:rPr>
          <w:rFonts w:ascii="Arial" w:hAnsi="Arial" w:cs="Arial"/>
        </w:rPr>
        <w:t xml:space="preserve">  </w:t>
      </w:r>
      <w:r w:rsidR="00D922C8">
        <w:rPr>
          <w:rFonts w:ascii="Arial" w:hAnsi="Arial" w:cs="Arial"/>
        </w:rPr>
        <w:t xml:space="preserve">According to the evidence, the respondent </w:t>
      </w:r>
      <w:r w:rsidR="00D57FD1" w:rsidRPr="00005863">
        <w:rPr>
          <w:rFonts w:ascii="Arial" w:hAnsi="Arial" w:cs="Arial"/>
        </w:rPr>
        <w:t xml:space="preserve">threw </w:t>
      </w:r>
      <w:r w:rsidR="00D922C8">
        <w:rPr>
          <w:rFonts w:ascii="Arial" w:hAnsi="Arial" w:cs="Arial"/>
        </w:rPr>
        <w:t xml:space="preserve">the </w:t>
      </w:r>
      <w:r w:rsidR="00D922C8">
        <w:rPr>
          <w:rFonts w:ascii="Arial" w:hAnsi="Arial" w:cs="Arial"/>
        </w:rPr>
        <w:lastRenderedPageBreak/>
        <w:t>appellant</w:t>
      </w:r>
      <w:r w:rsidR="00D57FD1" w:rsidRPr="00005863">
        <w:rPr>
          <w:rFonts w:ascii="Arial" w:hAnsi="Arial" w:cs="Arial"/>
        </w:rPr>
        <w:t xml:space="preserve"> into the corner of the couch and pulled her hair.  </w:t>
      </w:r>
      <w:r w:rsidR="00D922C8">
        <w:rPr>
          <w:rFonts w:ascii="Arial" w:hAnsi="Arial" w:cs="Arial"/>
        </w:rPr>
        <w:t>The appellant</w:t>
      </w:r>
      <w:r w:rsidR="00D57FD1" w:rsidRPr="00005863">
        <w:rPr>
          <w:rFonts w:ascii="Arial" w:hAnsi="Arial" w:cs="Arial"/>
        </w:rPr>
        <w:t xml:space="preserve"> grabbed hold of the respondent’s arm and bit him.  He loosened his hold of the appellant, affording her an opportunity to </w:t>
      </w:r>
      <w:r w:rsidR="00D57FD1">
        <w:rPr>
          <w:rFonts w:ascii="Arial" w:hAnsi="Arial" w:cs="Arial"/>
        </w:rPr>
        <w:t xml:space="preserve">move away from the corner of the couch.  </w:t>
      </w:r>
      <w:r w:rsidR="00D57FD1" w:rsidRPr="00005863">
        <w:rPr>
          <w:rFonts w:ascii="Arial" w:hAnsi="Arial" w:cs="Arial"/>
        </w:rPr>
        <w:t xml:space="preserve">The respondent thereafter pushed the appellant against the wall.  At that stage, the appellant’s nephew, Xolani, arrived home and the altercation </w:t>
      </w:r>
      <w:r w:rsidR="00B5450D">
        <w:rPr>
          <w:rFonts w:ascii="Arial" w:hAnsi="Arial" w:cs="Arial"/>
        </w:rPr>
        <w:t>ceased</w:t>
      </w:r>
      <w:r w:rsidR="00D57FD1" w:rsidRPr="00005863">
        <w:rPr>
          <w:rFonts w:ascii="Arial" w:hAnsi="Arial" w:cs="Arial"/>
        </w:rPr>
        <w:t xml:space="preserve">.  Xolani contacted the parties’ children </w:t>
      </w:r>
      <w:r w:rsidR="00D57FD1">
        <w:rPr>
          <w:rFonts w:ascii="Arial" w:hAnsi="Arial" w:cs="Arial"/>
        </w:rPr>
        <w:t xml:space="preserve">as well as </w:t>
      </w:r>
      <w:r w:rsidR="00D57FD1" w:rsidRPr="00005863">
        <w:rPr>
          <w:rFonts w:ascii="Arial" w:hAnsi="Arial" w:cs="Arial"/>
        </w:rPr>
        <w:t xml:space="preserve">the police.  </w:t>
      </w:r>
      <w:r w:rsidR="000438D0">
        <w:rPr>
          <w:rFonts w:ascii="Arial" w:hAnsi="Arial" w:cs="Arial"/>
        </w:rPr>
        <w:t xml:space="preserve">Upon arrival, </w:t>
      </w:r>
      <w:r w:rsidR="00D57FD1" w:rsidRPr="00005863">
        <w:rPr>
          <w:rFonts w:ascii="Arial" w:hAnsi="Arial" w:cs="Arial"/>
        </w:rPr>
        <w:t>the police requested the respondent to accompany them to the police station</w:t>
      </w:r>
      <w:r w:rsidR="000438D0">
        <w:rPr>
          <w:rFonts w:ascii="Arial" w:hAnsi="Arial" w:cs="Arial"/>
        </w:rPr>
        <w:t>.  T</w:t>
      </w:r>
      <w:r w:rsidR="00D57FD1" w:rsidRPr="00005863">
        <w:rPr>
          <w:rFonts w:ascii="Arial" w:hAnsi="Arial" w:cs="Arial"/>
        </w:rPr>
        <w:t>he respondent</w:t>
      </w:r>
      <w:r w:rsidR="000438D0">
        <w:rPr>
          <w:rFonts w:ascii="Arial" w:hAnsi="Arial" w:cs="Arial"/>
        </w:rPr>
        <w:t xml:space="preserve"> was uninclined to do so and</w:t>
      </w:r>
      <w:r w:rsidR="00D57FD1" w:rsidRPr="00005863">
        <w:rPr>
          <w:rFonts w:ascii="Arial" w:hAnsi="Arial" w:cs="Arial"/>
        </w:rPr>
        <w:t xml:space="preserve"> requested that he be permitted to stay at the immovable property until the end of the week.  </w:t>
      </w:r>
      <w:r w:rsidR="00D57FD1">
        <w:rPr>
          <w:rFonts w:ascii="Arial" w:hAnsi="Arial" w:cs="Arial"/>
        </w:rPr>
        <w:t xml:space="preserve">It is this </w:t>
      </w:r>
      <w:r w:rsidR="000438D0">
        <w:rPr>
          <w:rFonts w:ascii="Arial" w:hAnsi="Arial" w:cs="Arial"/>
        </w:rPr>
        <w:t>altercation</w:t>
      </w:r>
      <w:r w:rsidR="00D57FD1">
        <w:rPr>
          <w:rFonts w:ascii="Arial" w:hAnsi="Arial" w:cs="Arial"/>
        </w:rPr>
        <w:t xml:space="preserve"> which precipitated the parties’ separation.</w:t>
      </w:r>
      <w:r w:rsidR="00D57FD1" w:rsidRPr="00005863">
        <w:rPr>
          <w:rFonts w:ascii="Arial" w:hAnsi="Arial" w:cs="Arial"/>
        </w:rPr>
        <w:t xml:space="preserve"> </w:t>
      </w:r>
      <w:r w:rsidR="00D57FD1">
        <w:rPr>
          <w:rFonts w:ascii="Arial" w:hAnsi="Arial" w:cs="Arial"/>
        </w:rPr>
        <w:t xml:space="preserve"> No evidence was led as to any other incident</w:t>
      </w:r>
      <w:r w:rsidR="000438D0">
        <w:rPr>
          <w:rFonts w:ascii="Arial" w:hAnsi="Arial" w:cs="Arial"/>
        </w:rPr>
        <w:t>s</w:t>
      </w:r>
      <w:r w:rsidR="00D57FD1">
        <w:rPr>
          <w:rFonts w:ascii="Arial" w:hAnsi="Arial" w:cs="Arial"/>
        </w:rPr>
        <w:t xml:space="preserve"> of violence between the parties and accordingly, </w:t>
      </w:r>
      <w:r w:rsidR="00D922C8">
        <w:rPr>
          <w:rFonts w:ascii="Arial" w:hAnsi="Arial" w:cs="Arial"/>
        </w:rPr>
        <w:t>it must be accepted</w:t>
      </w:r>
      <w:r w:rsidR="0090278C">
        <w:rPr>
          <w:rFonts w:ascii="Arial" w:hAnsi="Arial" w:cs="Arial"/>
        </w:rPr>
        <w:t xml:space="preserve"> for the purposes of this judgment,</w:t>
      </w:r>
      <w:r w:rsidR="00D922C8">
        <w:rPr>
          <w:rFonts w:ascii="Arial" w:hAnsi="Arial" w:cs="Arial"/>
        </w:rPr>
        <w:t xml:space="preserve"> </w:t>
      </w:r>
      <w:r w:rsidR="00D57FD1">
        <w:rPr>
          <w:rFonts w:ascii="Arial" w:hAnsi="Arial" w:cs="Arial"/>
        </w:rPr>
        <w:t xml:space="preserve">that </w:t>
      </w:r>
      <w:r w:rsidR="0090278C">
        <w:rPr>
          <w:rFonts w:ascii="Arial" w:hAnsi="Arial" w:cs="Arial"/>
        </w:rPr>
        <w:t>it</w:t>
      </w:r>
      <w:r w:rsidR="00D57FD1">
        <w:rPr>
          <w:rFonts w:ascii="Arial" w:hAnsi="Arial" w:cs="Arial"/>
        </w:rPr>
        <w:t xml:space="preserve"> was a once off incident. </w:t>
      </w:r>
      <w:r w:rsidR="00D57FD1" w:rsidRPr="00005863">
        <w:rPr>
          <w:rFonts w:ascii="Arial" w:hAnsi="Arial" w:cs="Arial"/>
        </w:rPr>
        <w:t xml:space="preserve">         </w:t>
      </w:r>
    </w:p>
    <w:p w14:paraId="657E1F8B" w14:textId="77777777" w:rsidR="00D57FD1" w:rsidRDefault="00D57FD1" w:rsidP="00017524">
      <w:pPr>
        <w:pStyle w:val="ListParagraph"/>
        <w:spacing w:after="0" w:line="480" w:lineRule="auto"/>
        <w:rPr>
          <w:rFonts w:ascii="Arial" w:hAnsi="Arial" w:cs="Arial"/>
          <w:lang w:val="en-US"/>
        </w:rPr>
      </w:pPr>
    </w:p>
    <w:p w14:paraId="0A8F05C7" w14:textId="4FC824E2" w:rsidR="004F02E5" w:rsidRPr="004F02E5"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4F02E5">
        <w:rPr>
          <w:rFonts w:ascii="Arial" w:hAnsi="Arial" w:cs="Arial"/>
        </w:rPr>
        <w:t>[50]</w:t>
      </w:r>
      <w:r w:rsidRPr="004F02E5">
        <w:rPr>
          <w:rFonts w:ascii="Arial" w:hAnsi="Arial" w:cs="Arial"/>
        </w:rPr>
        <w:tab/>
      </w:r>
      <w:r w:rsidR="00AD01B4">
        <w:rPr>
          <w:rFonts w:ascii="Arial" w:hAnsi="Arial" w:cs="Arial"/>
          <w:lang w:val="en-US"/>
        </w:rPr>
        <w:t>In respect of the ground pleaded in paragraph 4.9 of the appellant’s claim in reconvention, it is common cause</w:t>
      </w:r>
      <w:r w:rsidR="00933975">
        <w:rPr>
          <w:rFonts w:ascii="Arial" w:hAnsi="Arial" w:cs="Arial"/>
          <w:lang w:val="en-US"/>
        </w:rPr>
        <w:t xml:space="preserve"> on the record</w:t>
      </w:r>
      <w:r w:rsidR="00AD01B4">
        <w:rPr>
          <w:rFonts w:ascii="Arial" w:hAnsi="Arial" w:cs="Arial"/>
          <w:lang w:val="en-US"/>
        </w:rPr>
        <w:t xml:space="preserve"> that the respondent, </w:t>
      </w:r>
      <w:r w:rsidR="00B25851">
        <w:rPr>
          <w:rFonts w:ascii="Arial" w:hAnsi="Arial" w:cs="Arial"/>
          <w:lang w:val="en-US"/>
        </w:rPr>
        <w:t>during the early</w:t>
      </w:r>
      <w:r w:rsidR="00AD01B4">
        <w:rPr>
          <w:rFonts w:ascii="Arial" w:hAnsi="Arial" w:cs="Arial"/>
          <w:lang w:val="en-US"/>
        </w:rPr>
        <w:t xml:space="preserve"> 2000</w:t>
      </w:r>
      <w:r w:rsidR="00857573">
        <w:rPr>
          <w:rFonts w:ascii="Arial" w:hAnsi="Arial" w:cs="Arial"/>
          <w:lang w:val="en-US"/>
        </w:rPr>
        <w:t>’</w:t>
      </w:r>
      <w:r w:rsidR="00B25851">
        <w:rPr>
          <w:rFonts w:ascii="Arial" w:hAnsi="Arial" w:cs="Arial"/>
          <w:lang w:val="en-US"/>
        </w:rPr>
        <w:t>s</w:t>
      </w:r>
      <w:r w:rsidR="00AD01B4">
        <w:rPr>
          <w:rFonts w:ascii="Arial" w:hAnsi="Arial" w:cs="Arial"/>
          <w:lang w:val="en-US"/>
        </w:rPr>
        <w:t xml:space="preserve"> engaged in an extramarital affair</w:t>
      </w:r>
      <w:r w:rsidR="00FA223A">
        <w:rPr>
          <w:rFonts w:ascii="Arial" w:hAnsi="Arial" w:cs="Arial"/>
          <w:lang w:val="en-US"/>
        </w:rPr>
        <w:t xml:space="preserve"> with one Ntombi Zodwa</w:t>
      </w:r>
      <w:r w:rsidR="00AD01B4">
        <w:rPr>
          <w:rFonts w:ascii="Arial" w:hAnsi="Arial" w:cs="Arial"/>
          <w:lang w:val="en-US"/>
        </w:rPr>
        <w:t xml:space="preserve">, </w:t>
      </w:r>
      <w:r w:rsidR="00FA223A">
        <w:rPr>
          <w:rFonts w:ascii="Arial" w:hAnsi="Arial" w:cs="Arial"/>
          <w:lang w:val="en-US"/>
        </w:rPr>
        <w:t>with whom he father</w:t>
      </w:r>
      <w:r w:rsidR="00C2098A">
        <w:rPr>
          <w:rFonts w:ascii="Arial" w:hAnsi="Arial" w:cs="Arial"/>
          <w:lang w:val="en-US"/>
        </w:rPr>
        <w:t>ed</w:t>
      </w:r>
      <w:r w:rsidR="00FA223A">
        <w:rPr>
          <w:rFonts w:ascii="Arial" w:hAnsi="Arial" w:cs="Arial"/>
          <w:lang w:val="en-US"/>
        </w:rPr>
        <w:t xml:space="preserve"> a son </w:t>
      </w:r>
      <w:r w:rsidR="00AD01B4">
        <w:rPr>
          <w:rFonts w:ascii="Arial" w:hAnsi="Arial" w:cs="Arial"/>
          <w:lang w:val="en-US"/>
        </w:rPr>
        <w:t>in 2001.</w:t>
      </w:r>
      <w:r w:rsidR="00573438">
        <w:rPr>
          <w:rFonts w:ascii="Arial" w:hAnsi="Arial" w:cs="Arial"/>
          <w:lang w:val="en-US"/>
        </w:rPr>
        <w:t xml:space="preserve">  </w:t>
      </w:r>
      <w:r w:rsidR="00C2098A">
        <w:rPr>
          <w:rFonts w:ascii="Arial" w:hAnsi="Arial" w:cs="Arial"/>
          <w:lang w:val="en-US"/>
        </w:rPr>
        <w:t>Consequently, t</w:t>
      </w:r>
      <w:r w:rsidR="00573438">
        <w:rPr>
          <w:rFonts w:ascii="Arial" w:hAnsi="Arial" w:cs="Arial"/>
          <w:lang w:val="en-US"/>
        </w:rPr>
        <w:t>he appellant left the common home</w:t>
      </w:r>
      <w:r w:rsidR="00C2098A">
        <w:rPr>
          <w:rFonts w:ascii="Arial" w:hAnsi="Arial" w:cs="Arial"/>
          <w:lang w:val="en-US"/>
        </w:rPr>
        <w:t>.  A</w:t>
      </w:r>
      <w:r w:rsidR="00CA3403">
        <w:rPr>
          <w:rFonts w:ascii="Arial" w:hAnsi="Arial" w:cs="Arial"/>
          <w:lang w:val="en-US"/>
        </w:rPr>
        <w:t>fter a period of separation, the parties reconciled</w:t>
      </w:r>
      <w:r w:rsidR="00B25851">
        <w:rPr>
          <w:rFonts w:ascii="Arial" w:hAnsi="Arial" w:cs="Arial"/>
          <w:lang w:val="en-US"/>
        </w:rPr>
        <w:t xml:space="preserve"> and continued to live together as husband and wife until their separation in 2015</w:t>
      </w:r>
      <w:r w:rsidR="00573438">
        <w:rPr>
          <w:rFonts w:ascii="Arial" w:hAnsi="Arial" w:cs="Arial"/>
          <w:lang w:val="en-US"/>
        </w:rPr>
        <w:t>.</w:t>
      </w:r>
      <w:r w:rsidR="00CA3403">
        <w:rPr>
          <w:rFonts w:ascii="Arial" w:hAnsi="Arial" w:cs="Arial"/>
          <w:lang w:val="en-US"/>
        </w:rPr>
        <w:t xml:space="preserve">  </w:t>
      </w:r>
    </w:p>
    <w:p w14:paraId="2BDD5D24" w14:textId="77777777" w:rsidR="004F02E5" w:rsidRDefault="004F02E5" w:rsidP="00F8342A">
      <w:pPr>
        <w:pStyle w:val="ListParagraph"/>
        <w:spacing w:after="0" w:line="480" w:lineRule="auto"/>
        <w:rPr>
          <w:rFonts w:ascii="Arial" w:hAnsi="Arial" w:cs="Arial"/>
          <w:lang w:val="en-US"/>
        </w:rPr>
      </w:pPr>
    </w:p>
    <w:p w14:paraId="7C3A6F97" w14:textId="74613200" w:rsidR="00F24E97" w:rsidRPr="00F24E97"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F24E97">
        <w:rPr>
          <w:rFonts w:ascii="Arial" w:hAnsi="Arial" w:cs="Arial"/>
        </w:rPr>
        <w:t>[51]</w:t>
      </w:r>
      <w:r w:rsidRPr="00F24E97">
        <w:rPr>
          <w:rFonts w:ascii="Arial" w:hAnsi="Arial" w:cs="Arial"/>
        </w:rPr>
        <w:tab/>
      </w:r>
      <w:r w:rsidR="00B25851">
        <w:rPr>
          <w:rFonts w:ascii="Arial" w:hAnsi="Arial" w:cs="Arial"/>
          <w:lang w:val="en-US"/>
        </w:rPr>
        <w:t xml:space="preserve">Implicit </w:t>
      </w:r>
      <w:r w:rsidR="00C2098A">
        <w:rPr>
          <w:rFonts w:ascii="Arial" w:hAnsi="Arial" w:cs="Arial"/>
          <w:lang w:val="en-US"/>
        </w:rPr>
        <w:t>in</w:t>
      </w:r>
      <w:r w:rsidR="004F02E5">
        <w:rPr>
          <w:rFonts w:ascii="Arial" w:hAnsi="Arial" w:cs="Arial"/>
          <w:lang w:val="en-US"/>
        </w:rPr>
        <w:t xml:space="preserve"> the appellant’s </w:t>
      </w:r>
      <w:r w:rsidR="00C2098A">
        <w:rPr>
          <w:rFonts w:ascii="Arial" w:hAnsi="Arial" w:cs="Arial"/>
          <w:lang w:val="en-US"/>
        </w:rPr>
        <w:t>conduct</w:t>
      </w:r>
      <w:r w:rsidR="00B25851">
        <w:rPr>
          <w:rFonts w:ascii="Arial" w:hAnsi="Arial" w:cs="Arial"/>
          <w:lang w:val="en-US"/>
        </w:rPr>
        <w:t xml:space="preserve"> is that after returning home, </w:t>
      </w:r>
      <w:r w:rsidR="00600847">
        <w:rPr>
          <w:rFonts w:ascii="Arial" w:hAnsi="Arial" w:cs="Arial"/>
          <w:lang w:val="en-US"/>
        </w:rPr>
        <w:t xml:space="preserve">she </w:t>
      </w:r>
      <w:r w:rsidR="00B25851">
        <w:rPr>
          <w:rFonts w:ascii="Arial" w:hAnsi="Arial" w:cs="Arial"/>
          <w:lang w:val="en-US"/>
        </w:rPr>
        <w:t>forgave the respondent for his infidelity and laid the issue to rest.</w:t>
      </w:r>
      <w:r w:rsidR="00857573">
        <w:rPr>
          <w:rFonts w:ascii="Arial" w:hAnsi="Arial" w:cs="Arial"/>
          <w:lang w:val="en-US"/>
        </w:rPr>
        <w:t xml:space="preserve">  At no stage did the respondent take steps to seek the dissolution of the marriage.  </w:t>
      </w:r>
      <w:r w:rsidR="00857573">
        <w:rPr>
          <w:rFonts w:ascii="Arial" w:hAnsi="Arial" w:cs="Arial"/>
          <w:lang w:val="en-US"/>
        </w:rPr>
        <w:lastRenderedPageBreak/>
        <w:t>Markedly, it was the respondent who vacated the common home in 2015, whereafter</w:t>
      </w:r>
      <w:r w:rsidR="00F24E97">
        <w:rPr>
          <w:rFonts w:ascii="Arial" w:hAnsi="Arial" w:cs="Arial"/>
          <w:lang w:val="en-US"/>
        </w:rPr>
        <w:t xml:space="preserve"> he issued summons in late 2020.  </w:t>
      </w:r>
    </w:p>
    <w:p w14:paraId="68D7F721" w14:textId="77777777" w:rsidR="00F24E97" w:rsidRDefault="00F24E97" w:rsidP="00F8342A">
      <w:pPr>
        <w:pStyle w:val="ListParagraph"/>
        <w:spacing w:after="0" w:line="480" w:lineRule="auto"/>
        <w:rPr>
          <w:rFonts w:ascii="Arial" w:hAnsi="Arial" w:cs="Arial"/>
          <w:lang w:val="en-US"/>
        </w:rPr>
      </w:pPr>
    </w:p>
    <w:p w14:paraId="11FEE616" w14:textId="20F865AC" w:rsidR="00C2098A" w:rsidRPr="00C2098A"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C2098A">
        <w:rPr>
          <w:rFonts w:ascii="Arial" w:hAnsi="Arial" w:cs="Arial"/>
        </w:rPr>
        <w:t>[52]</w:t>
      </w:r>
      <w:r w:rsidRPr="00C2098A">
        <w:rPr>
          <w:rFonts w:ascii="Arial" w:hAnsi="Arial" w:cs="Arial"/>
        </w:rPr>
        <w:tab/>
      </w:r>
      <w:r w:rsidR="00B25851">
        <w:rPr>
          <w:rFonts w:ascii="Arial" w:hAnsi="Arial" w:cs="Arial"/>
          <w:lang w:val="en-US"/>
        </w:rPr>
        <w:t xml:space="preserve">On the evidence, </w:t>
      </w:r>
      <w:r w:rsidR="00E23A22">
        <w:rPr>
          <w:rFonts w:ascii="Arial" w:hAnsi="Arial" w:cs="Arial"/>
          <w:lang w:val="en-US"/>
        </w:rPr>
        <w:t xml:space="preserve">it is not possible </w:t>
      </w:r>
      <w:r w:rsidR="00C2098A">
        <w:rPr>
          <w:rFonts w:ascii="Arial" w:hAnsi="Arial" w:cs="Arial"/>
          <w:lang w:val="en-US"/>
        </w:rPr>
        <w:t>to make any conclusive findings regarding the respondent’s alleged affair in 2015, nor in respect of the appellant’s alleged affair in 2000</w:t>
      </w:r>
      <w:r w:rsidR="00873DCF">
        <w:rPr>
          <w:rFonts w:ascii="Arial" w:hAnsi="Arial" w:cs="Arial"/>
          <w:lang w:val="en-US"/>
        </w:rPr>
        <w:t xml:space="preserve"> and accordingly, </w:t>
      </w:r>
      <w:r w:rsidR="003F06CA">
        <w:rPr>
          <w:rFonts w:ascii="Arial" w:hAnsi="Arial" w:cs="Arial"/>
          <w:lang w:val="en-US"/>
        </w:rPr>
        <w:t xml:space="preserve">it cannot be said that </w:t>
      </w:r>
      <w:r w:rsidR="00873DCF">
        <w:rPr>
          <w:rFonts w:ascii="Arial" w:hAnsi="Arial" w:cs="Arial"/>
          <w:lang w:val="en-US"/>
        </w:rPr>
        <w:t xml:space="preserve">parties’ marriage was characterised by infidelity beyond the respondent’s one indiscretion.  </w:t>
      </w:r>
    </w:p>
    <w:p w14:paraId="0A8C0C9F" w14:textId="77777777" w:rsidR="00E23A22" w:rsidRDefault="00E23A22" w:rsidP="00E23A22">
      <w:pPr>
        <w:pStyle w:val="NormalWeb"/>
        <w:shd w:val="clear" w:color="auto" w:fill="FFFFFF"/>
        <w:spacing w:before="0" w:beforeAutospacing="0" w:after="0" w:afterAutospacing="0" w:line="480" w:lineRule="auto"/>
        <w:ind w:left="851" w:right="259"/>
        <w:jc w:val="both"/>
        <w:rPr>
          <w:rFonts w:ascii="Arial" w:hAnsi="Arial" w:cs="Arial"/>
        </w:rPr>
      </w:pPr>
    </w:p>
    <w:p w14:paraId="6F898257" w14:textId="05B8E366" w:rsidR="00515F9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[53]</w:t>
      </w:r>
      <w:r>
        <w:rPr>
          <w:rFonts w:ascii="Arial" w:hAnsi="Arial" w:cs="Arial"/>
        </w:rPr>
        <w:tab/>
      </w:r>
      <w:r w:rsidR="00034358">
        <w:rPr>
          <w:rFonts w:ascii="Arial" w:hAnsi="Arial" w:cs="Arial"/>
        </w:rPr>
        <w:t xml:space="preserve">Lastly, it was conceded during argument in the trial court that </w:t>
      </w:r>
      <w:r w:rsidR="00034358" w:rsidRPr="00034358">
        <w:rPr>
          <w:rFonts w:ascii="Arial" w:hAnsi="Arial" w:cs="Arial"/>
        </w:rPr>
        <w:t>the respondent</w:t>
      </w:r>
      <w:r w:rsidR="00034358">
        <w:rPr>
          <w:rFonts w:ascii="Arial" w:hAnsi="Arial" w:cs="Arial"/>
        </w:rPr>
        <w:t xml:space="preserve"> had</w:t>
      </w:r>
      <w:r w:rsidR="00034358" w:rsidRPr="00034358">
        <w:rPr>
          <w:rFonts w:ascii="Arial" w:hAnsi="Arial" w:cs="Arial"/>
        </w:rPr>
        <w:t xml:space="preserve"> sold a motor vehicle belonging to the</w:t>
      </w:r>
      <w:r w:rsidR="00034358">
        <w:rPr>
          <w:rFonts w:ascii="Arial" w:hAnsi="Arial" w:cs="Arial"/>
        </w:rPr>
        <w:t xml:space="preserve"> joint estate </w:t>
      </w:r>
      <w:r w:rsidR="00034358" w:rsidRPr="00034358">
        <w:rPr>
          <w:rFonts w:ascii="Arial" w:hAnsi="Arial" w:cs="Arial"/>
        </w:rPr>
        <w:t>and retained the cash proceeds</w:t>
      </w:r>
      <w:r w:rsidR="00034358">
        <w:rPr>
          <w:rFonts w:ascii="Arial" w:hAnsi="Arial" w:cs="Arial"/>
        </w:rPr>
        <w:t xml:space="preserve"> thereof</w:t>
      </w:r>
      <w:r w:rsidR="00377CAA">
        <w:rPr>
          <w:rFonts w:ascii="Arial" w:hAnsi="Arial" w:cs="Arial"/>
        </w:rPr>
        <w:t xml:space="preserve"> in the sum of R20,000.00</w:t>
      </w:r>
      <w:r w:rsidR="00034358">
        <w:rPr>
          <w:rFonts w:ascii="Arial" w:hAnsi="Arial" w:cs="Arial"/>
        </w:rPr>
        <w:t>.</w:t>
      </w:r>
    </w:p>
    <w:p w14:paraId="095A36EC" w14:textId="77777777" w:rsidR="00515F9E" w:rsidRDefault="00515F9E" w:rsidP="00515F9E">
      <w:pPr>
        <w:pStyle w:val="ListParagraph"/>
        <w:rPr>
          <w:rFonts w:ascii="Arial" w:hAnsi="Arial" w:cs="Arial"/>
        </w:rPr>
      </w:pPr>
    </w:p>
    <w:p w14:paraId="539DAA40" w14:textId="1A3F33F4" w:rsidR="00A258F1" w:rsidRPr="001B715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1B7152">
        <w:rPr>
          <w:rFonts w:ascii="Arial" w:hAnsi="Arial" w:cs="Arial"/>
        </w:rPr>
        <w:t>[54]</w:t>
      </w:r>
      <w:r w:rsidRPr="001B7152">
        <w:rPr>
          <w:rFonts w:ascii="Arial" w:hAnsi="Arial" w:cs="Arial"/>
        </w:rPr>
        <w:tab/>
      </w:r>
      <w:r w:rsidR="00515F9E">
        <w:rPr>
          <w:rFonts w:ascii="Arial" w:hAnsi="Arial" w:cs="Arial"/>
        </w:rPr>
        <w:t xml:space="preserve">Having regard to the aforesaid, and on the parties’ own versions, </w:t>
      </w:r>
      <w:r w:rsidR="000266E3">
        <w:rPr>
          <w:rFonts w:ascii="Arial" w:hAnsi="Arial" w:cs="Arial"/>
        </w:rPr>
        <w:t xml:space="preserve">I am of the view that </w:t>
      </w:r>
      <w:r w:rsidR="00515F9E">
        <w:rPr>
          <w:rFonts w:ascii="Arial" w:hAnsi="Arial" w:cs="Arial"/>
        </w:rPr>
        <w:t>the reasons for the breakdown in the marriage relate</w:t>
      </w:r>
      <w:r w:rsidR="00762C35">
        <w:rPr>
          <w:rFonts w:ascii="Arial" w:hAnsi="Arial" w:cs="Arial"/>
        </w:rPr>
        <w:t>d</w:t>
      </w:r>
      <w:r w:rsidR="00515F9E">
        <w:rPr>
          <w:rFonts w:ascii="Arial" w:hAnsi="Arial" w:cs="Arial"/>
        </w:rPr>
        <w:t xml:space="preserve"> mainly to the financial strain on the parties, resulting in high levels of discontent</w:t>
      </w:r>
      <w:r w:rsidR="000266E3">
        <w:rPr>
          <w:rFonts w:ascii="Arial" w:hAnsi="Arial" w:cs="Arial"/>
        </w:rPr>
        <w:t xml:space="preserve">.  This was exacerbated by the periods of unemployment experienced by the respondent and the added demands placed on the appellant.  Over time, this </w:t>
      </w:r>
      <w:r w:rsidR="00515F9E">
        <w:rPr>
          <w:rFonts w:ascii="Arial" w:hAnsi="Arial" w:cs="Arial"/>
        </w:rPr>
        <w:t>eroded the marital relationship</w:t>
      </w:r>
      <w:r w:rsidR="000266E3">
        <w:rPr>
          <w:rFonts w:ascii="Arial" w:hAnsi="Arial" w:cs="Arial"/>
        </w:rPr>
        <w:t xml:space="preserve"> and led to ever increasing unhappiness.  </w:t>
      </w:r>
      <w:r w:rsidR="00515F9E">
        <w:rPr>
          <w:rFonts w:ascii="Arial" w:hAnsi="Arial" w:cs="Arial"/>
        </w:rPr>
        <w:t xml:space="preserve"> </w:t>
      </w:r>
      <w:r w:rsidR="00034358">
        <w:rPr>
          <w:rFonts w:ascii="Arial" w:hAnsi="Arial" w:cs="Arial"/>
        </w:rPr>
        <w:t xml:space="preserve">  </w:t>
      </w:r>
    </w:p>
    <w:p w14:paraId="443893E1" w14:textId="0C53393A" w:rsidR="00EE0D16" w:rsidRDefault="00EE0D16" w:rsidP="00EE0D16">
      <w:pPr>
        <w:pStyle w:val="ListParagraph"/>
        <w:rPr>
          <w:rFonts w:ascii="Arial" w:hAnsi="Arial" w:cs="Arial"/>
        </w:rPr>
      </w:pPr>
    </w:p>
    <w:p w14:paraId="44F2389C" w14:textId="21D691BB" w:rsidR="00AF3CBB" w:rsidRPr="0009770D" w:rsidRDefault="00AF3CBB" w:rsidP="00AF3CBB">
      <w:pPr>
        <w:spacing w:after="0" w:line="480" w:lineRule="auto"/>
        <w:rPr>
          <w:rFonts w:ascii="Arial" w:hAnsi="Arial" w:cs="Arial"/>
          <w:b/>
          <w:bCs/>
          <w:i/>
          <w:iCs/>
          <w:sz w:val="24"/>
          <w:szCs w:val="24"/>
          <w:u w:val="single"/>
        </w:rPr>
      </w:pPr>
      <w:r w:rsidRPr="0009770D">
        <w:rPr>
          <w:rFonts w:ascii="Arial" w:hAnsi="Arial" w:cs="Arial"/>
          <w:b/>
          <w:bCs/>
          <w:i/>
          <w:iCs/>
          <w:sz w:val="24"/>
          <w:szCs w:val="24"/>
          <w:u w:val="single"/>
        </w:rPr>
        <w:t>Substantial misconduct</w:t>
      </w:r>
    </w:p>
    <w:p w14:paraId="6FC71EB7" w14:textId="77777777" w:rsidR="00AF3CBB" w:rsidRDefault="00AF3CBB" w:rsidP="00EE0D16">
      <w:pPr>
        <w:pStyle w:val="ListParagraph"/>
        <w:rPr>
          <w:rFonts w:ascii="Arial" w:hAnsi="Arial" w:cs="Arial"/>
        </w:rPr>
      </w:pPr>
    </w:p>
    <w:p w14:paraId="206F058E" w14:textId="7386ED01" w:rsidR="00F35D6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[55]</w:t>
      </w:r>
      <w:r>
        <w:rPr>
          <w:rFonts w:ascii="Arial" w:hAnsi="Arial" w:cs="Arial"/>
        </w:rPr>
        <w:tab/>
      </w:r>
      <w:r w:rsidR="00AF3CBB">
        <w:rPr>
          <w:rFonts w:ascii="Arial" w:hAnsi="Arial" w:cs="Arial"/>
        </w:rPr>
        <w:t xml:space="preserve">As stated, it </w:t>
      </w:r>
      <w:r w:rsidR="00266CFA">
        <w:rPr>
          <w:rFonts w:ascii="Arial" w:hAnsi="Arial" w:cs="Arial"/>
        </w:rPr>
        <w:t>wa</w:t>
      </w:r>
      <w:r w:rsidR="00AF3CBB">
        <w:rPr>
          <w:rFonts w:ascii="Arial" w:hAnsi="Arial" w:cs="Arial"/>
        </w:rPr>
        <w:t>s unclear on the pleadings on which grounds the appellant place</w:t>
      </w:r>
      <w:r w:rsidR="00F8342A">
        <w:rPr>
          <w:rFonts w:ascii="Arial" w:hAnsi="Arial" w:cs="Arial"/>
        </w:rPr>
        <w:t>d</w:t>
      </w:r>
      <w:r w:rsidR="00AF3CBB">
        <w:rPr>
          <w:rFonts w:ascii="Arial" w:hAnsi="Arial" w:cs="Arial"/>
        </w:rPr>
        <w:t xml:space="preserve"> specific reliance for substantial misconduct.</w:t>
      </w:r>
      <w:r w:rsidR="009C67E0">
        <w:rPr>
          <w:rFonts w:ascii="Arial" w:hAnsi="Arial" w:cs="Arial"/>
        </w:rPr>
        <w:t xml:space="preserve">  This too was not clear from the record.</w:t>
      </w:r>
      <w:r w:rsidR="00255002">
        <w:rPr>
          <w:rFonts w:ascii="Arial" w:hAnsi="Arial" w:cs="Arial"/>
        </w:rPr>
        <w:t xml:space="preserve">  Apparent from the trial court’s judgment is that no consideration was given to this factor</w:t>
      </w:r>
      <w:r w:rsidR="00714050">
        <w:rPr>
          <w:rFonts w:ascii="Arial" w:hAnsi="Arial" w:cs="Arial"/>
        </w:rPr>
        <w:t xml:space="preserve"> whatsoever</w:t>
      </w:r>
      <w:r w:rsidR="00255002">
        <w:rPr>
          <w:rFonts w:ascii="Arial" w:hAnsi="Arial" w:cs="Arial"/>
        </w:rPr>
        <w:t xml:space="preserve">. </w:t>
      </w:r>
    </w:p>
    <w:p w14:paraId="66E1692E" w14:textId="07A22C37" w:rsidR="00D800D6" w:rsidRPr="00F35D6D"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F35D6D">
        <w:rPr>
          <w:rFonts w:ascii="Arial" w:hAnsi="Arial" w:cs="Arial"/>
        </w:rPr>
        <w:lastRenderedPageBreak/>
        <w:t>[56]</w:t>
      </w:r>
      <w:r w:rsidRPr="00F35D6D">
        <w:rPr>
          <w:rFonts w:ascii="Arial" w:hAnsi="Arial" w:cs="Arial"/>
        </w:rPr>
        <w:tab/>
      </w:r>
      <w:r w:rsidR="00D800D6" w:rsidRPr="00F35D6D">
        <w:rPr>
          <w:rFonts w:ascii="Arial" w:hAnsi="Arial" w:cs="Arial"/>
        </w:rPr>
        <w:t>The appellant, in the heads of argument filed in the appeal, in support of a finding of substantial misconduct, contend</w:t>
      </w:r>
      <w:r w:rsidR="00266CFA" w:rsidRPr="00F35D6D">
        <w:rPr>
          <w:rFonts w:ascii="Arial" w:hAnsi="Arial" w:cs="Arial"/>
        </w:rPr>
        <w:t>ed</w:t>
      </w:r>
      <w:r w:rsidR="00D800D6" w:rsidRPr="00F35D6D">
        <w:rPr>
          <w:rFonts w:ascii="Arial" w:hAnsi="Arial" w:cs="Arial"/>
        </w:rPr>
        <w:t xml:space="preserve"> as follows:</w:t>
      </w:r>
    </w:p>
    <w:p w14:paraId="708D0737" w14:textId="77777777" w:rsidR="00D800D6" w:rsidRDefault="00D800D6" w:rsidP="00D800D6">
      <w:pPr>
        <w:pStyle w:val="ListParagraph"/>
        <w:rPr>
          <w:rFonts w:ascii="Arial" w:hAnsi="Arial" w:cs="Arial"/>
        </w:rPr>
      </w:pPr>
    </w:p>
    <w:p w14:paraId="4A9233B0" w14:textId="3DD7EA20" w:rsidR="00D800D6" w:rsidRDefault="00D800D6" w:rsidP="00D800D6">
      <w:pPr>
        <w:pStyle w:val="NormalWeb"/>
        <w:shd w:val="clear" w:color="auto" w:fill="FFFFFF"/>
        <w:spacing w:before="0" w:beforeAutospacing="0" w:after="0" w:afterAutospacing="0" w:line="360" w:lineRule="auto"/>
        <w:ind w:left="851" w:right="261"/>
        <w:jc w:val="both"/>
        <w:rPr>
          <w:rFonts w:ascii="Arial" w:hAnsi="Arial" w:cs="Arial"/>
        </w:rPr>
      </w:pPr>
      <w:r>
        <w:rPr>
          <w:rFonts w:ascii="Arial" w:hAnsi="Arial" w:cs="Arial"/>
          <w:lang w:val="en-US"/>
        </w:rPr>
        <w:t>“…</w:t>
      </w:r>
      <w:r w:rsidRPr="00D800D6">
        <w:rPr>
          <w:rFonts w:ascii="Arial" w:hAnsi="Arial" w:cs="Arial"/>
          <w:i/>
          <w:iCs/>
          <w:sz w:val="22"/>
          <w:szCs w:val="22"/>
          <w:lang w:val="en-US"/>
        </w:rPr>
        <w:t xml:space="preserve"> The respondent had the affairs, he had a child out of wedlock, he resigned from gainful employment, he remained unemployed for substantial periods, he assaulted the appellant, he left the matrimonial home and did not return after June 2015</w:t>
      </w:r>
      <w:r w:rsidRPr="00D800D6">
        <w:rPr>
          <w:rFonts w:ascii="Arial" w:hAnsi="Arial" w:cs="Arial"/>
          <w:lang w:val="en-US"/>
        </w:rPr>
        <w:t>.</w:t>
      </w:r>
      <w:r>
        <w:rPr>
          <w:rFonts w:ascii="Arial" w:hAnsi="Arial" w:cs="Arial"/>
          <w:lang w:val="en-US"/>
        </w:rPr>
        <w:t>”</w:t>
      </w:r>
    </w:p>
    <w:p w14:paraId="124F0305" w14:textId="77777777" w:rsidR="004815B9" w:rsidRDefault="004815B9" w:rsidP="004815B9">
      <w:pPr>
        <w:pStyle w:val="NormalWeb"/>
        <w:shd w:val="clear" w:color="auto" w:fill="FFFFFF"/>
        <w:spacing w:before="0" w:beforeAutospacing="0" w:after="0" w:afterAutospacing="0" w:line="480" w:lineRule="auto"/>
        <w:ind w:left="851" w:right="259"/>
        <w:jc w:val="both"/>
        <w:rPr>
          <w:rFonts w:ascii="Arial" w:hAnsi="Arial" w:cs="Arial"/>
        </w:rPr>
      </w:pPr>
    </w:p>
    <w:p w14:paraId="6A7AB014" w14:textId="2B62C812" w:rsidR="00F00350"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[57]</w:t>
      </w:r>
      <w:r>
        <w:rPr>
          <w:rFonts w:ascii="Arial" w:hAnsi="Arial" w:cs="Arial"/>
        </w:rPr>
        <w:tab/>
      </w:r>
      <w:r w:rsidR="00D800D6">
        <w:rPr>
          <w:rFonts w:ascii="Arial" w:hAnsi="Arial" w:cs="Arial"/>
        </w:rPr>
        <w:t xml:space="preserve">I have dealt with these aspects </w:t>
      </w:r>
      <w:r w:rsidR="00947EE0">
        <w:rPr>
          <w:rFonts w:ascii="Arial" w:hAnsi="Arial" w:cs="Arial"/>
        </w:rPr>
        <w:t>in detail</w:t>
      </w:r>
      <w:r w:rsidR="00D800D6">
        <w:rPr>
          <w:rFonts w:ascii="Arial" w:hAnsi="Arial" w:cs="Arial"/>
        </w:rPr>
        <w:t>.</w:t>
      </w:r>
      <w:r w:rsidR="00947EE0">
        <w:rPr>
          <w:rFonts w:ascii="Arial" w:hAnsi="Arial" w:cs="Arial"/>
        </w:rPr>
        <w:t xml:space="preserve">  The circumstances surrounding the respondent’s resignation and </w:t>
      </w:r>
      <w:r w:rsidR="00073CD0">
        <w:rPr>
          <w:rFonts w:ascii="Arial" w:hAnsi="Arial" w:cs="Arial"/>
        </w:rPr>
        <w:t xml:space="preserve">the </w:t>
      </w:r>
      <w:r w:rsidR="00947EE0">
        <w:rPr>
          <w:rFonts w:ascii="Arial" w:hAnsi="Arial" w:cs="Arial"/>
        </w:rPr>
        <w:t>periods of</w:t>
      </w:r>
      <w:r w:rsidR="00073CD0">
        <w:rPr>
          <w:rFonts w:ascii="Arial" w:hAnsi="Arial" w:cs="Arial"/>
        </w:rPr>
        <w:t xml:space="preserve"> his</w:t>
      </w:r>
      <w:r w:rsidR="00947EE0">
        <w:rPr>
          <w:rFonts w:ascii="Arial" w:hAnsi="Arial" w:cs="Arial"/>
        </w:rPr>
        <w:t xml:space="preserve"> unemployment</w:t>
      </w:r>
      <w:r w:rsidR="00073CD0">
        <w:rPr>
          <w:rFonts w:ascii="Arial" w:hAnsi="Arial" w:cs="Arial"/>
        </w:rPr>
        <w:t>, whilst admittedly, having caused strain on the parties’ marriage,</w:t>
      </w:r>
      <w:r w:rsidR="00947EE0">
        <w:rPr>
          <w:rFonts w:ascii="Arial" w:hAnsi="Arial" w:cs="Arial"/>
        </w:rPr>
        <w:t xml:space="preserve"> do not constitute misconduct, let alone misconduct</w:t>
      </w:r>
      <w:r w:rsidR="00073CD0">
        <w:rPr>
          <w:rFonts w:ascii="Arial" w:hAnsi="Arial" w:cs="Arial"/>
        </w:rPr>
        <w:t xml:space="preserve"> of a </w:t>
      </w:r>
      <w:r w:rsidR="00655D33">
        <w:rPr>
          <w:rFonts w:ascii="Arial" w:hAnsi="Arial" w:cs="Arial"/>
        </w:rPr>
        <w:t xml:space="preserve">substantial </w:t>
      </w:r>
      <w:r w:rsidR="00073CD0">
        <w:rPr>
          <w:rFonts w:ascii="Arial" w:hAnsi="Arial" w:cs="Arial"/>
        </w:rPr>
        <w:t>nature as envisaged by the legislature</w:t>
      </w:r>
      <w:r w:rsidR="00947EE0">
        <w:rPr>
          <w:rFonts w:ascii="Arial" w:hAnsi="Arial" w:cs="Arial"/>
        </w:rPr>
        <w:t>.</w:t>
      </w:r>
      <w:r w:rsidR="00A838D1">
        <w:rPr>
          <w:rFonts w:ascii="Arial" w:hAnsi="Arial" w:cs="Arial"/>
        </w:rPr>
        <w:t xml:space="preserve">  </w:t>
      </w:r>
      <w:r w:rsidR="00D21A33">
        <w:rPr>
          <w:rFonts w:ascii="Arial" w:hAnsi="Arial" w:cs="Arial"/>
        </w:rPr>
        <w:t>During his periods of employment, which were not unsubstantial, the respondent</w:t>
      </w:r>
      <w:r w:rsidR="00A838D1">
        <w:rPr>
          <w:rFonts w:ascii="Arial" w:hAnsi="Arial" w:cs="Arial"/>
        </w:rPr>
        <w:t xml:space="preserve"> diligently discharged his financial obligations.</w:t>
      </w:r>
      <w:r w:rsidR="00ED26CE">
        <w:rPr>
          <w:rFonts w:ascii="Arial" w:hAnsi="Arial" w:cs="Arial"/>
        </w:rPr>
        <w:t xml:space="preserve">  </w:t>
      </w:r>
    </w:p>
    <w:p w14:paraId="4AF623D4" w14:textId="77777777" w:rsidR="00F00350" w:rsidRDefault="00F00350" w:rsidP="00F00350">
      <w:pPr>
        <w:pStyle w:val="NormalWeb"/>
        <w:shd w:val="clear" w:color="auto" w:fill="FFFFFF"/>
        <w:spacing w:before="0" w:beforeAutospacing="0" w:after="0" w:afterAutospacing="0" w:line="480" w:lineRule="auto"/>
        <w:ind w:left="851" w:right="259"/>
        <w:jc w:val="both"/>
        <w:rPr>
          <w:rFonts w:ascii="Arial" w:hAnsi="Arial" w:cs="Arial"/>
        </w:rPr>
      </w:pPr>
    </w:p>
    <w:p w14:paraId="261619F2" w14:textId="6555E5EE" w:rsidR="00ED26C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[58]</w:t>
      </w:r>
      <w:r>
        <w:rPr>
          <w:rFonts w:ascii="Arial" w:hAnsi="Arial" w:cs="Arial"/>
        </w:rPr>
        <w:tab/>
      </w:r>
      <w:r w:rsidR="00ED26CE">
        <w:rPr>
          <w:rFonts w:ascii="Arial" w:hAnsi="Arial" w:cs="Arial"/>
        </w:rPr>
        <w:t>Whilst the respondent vacated the matrimonial home</w:t>
      </w:r>
      <w:r w:rsidR="00073CD0">
        <w:rPr>
          <w:rFonts w:ascii="Arial" w:hAnsi="Arial" w:cs="Arial"/>
        </w:rPr>
        <w:t xml:space="preserve"> in June 2015</w:t>
      </w:r>
      <w:r w:rsidR="00ED26CE">
        <w:rPr>
          <w:rFonts w:ascii="Arial" w:hAnsi="Arial" w:cs="Arial"/>
        </w:rPr>
        <w:t xml:space="preserve">, it is factually incorrect that he did not return </w:t>
      </w:r>
      <w:r w:rsidR="00073CD0">
        <w:rPr>
          <w:rFonts w:ascii="Arial" w:hAnsi="Arial" w:cs="Arial"/>
        </w:rPr>
        <w:t xml:space="preserve">thereafter.  </w:t>
      </w:r>
      <w:r w:rsidR="00ED26CE">
        <w:rPr>
          <w:rFonts w:ascii="Arial" w:hAnsi="Arial" w:cs="Arial"/>
        </w:rPr>
        <w:t>On no version can this factor be characterised as constituting s</w:t>
      </w:r>
      <w:r w:rsidR="00655D33">
        <w:rPr>
          <w:rFonts w:ascii="Arial" w:hAnsi="Arial" w:cs="Arial"/>
        </w:rPr>
        <w:t>ubstantial</w:t>
      </w:r>
      <w:r w:rsidR="00ED26CE">
        <w:rPr>
          <w:rFonts w:ascii="Arial" w:hAnsi="Arial" w:cs="Arial"/>
        </w:rPr>
        <w:t xml:space="preserve"> misconduct. </w:t>
      </w:r>
      <w:r w:rsidR="00947EE0">
        <w:rPr>
          <w:rFonts w:ascii="Arial" w:hAnsi="Arial" w:cs="Arial"/>
        </w:rPr>
        <w:t xml:space="preserve">  </w:t>
      </w:r>
    </w:p>
    <w:p w14:paraId="21AE4F5C" w14:textId="77777777" w:rsidR="00ED26CE" w:rsidRDefault="00ED26CE" w:rsidP="00ED26CE">
      <w:pPr>
        <w:pStyle w:val="NormalWeb"/>
        <w:shd w:val="clear" w:color="auto" w:fill="FFFFFF"/>
        <w:spacing w:before="0" w:beforeAutospacing="0" w:after="0" w:afterAutospacing="0" w:line="480" w:lineRule="auto"/>
        <w:ind w:left="851" w:right="259"/>
        <w:jc w:val="both"/>
        <w:rPr>
          <w:rFonts w:ascii="Arial" w:hAnsi="Arial" w:cs="Arial"/>
        </w:rPr>
      </w:pPr>
    </w:p>
    <w:p w14:paraId="173C0CF2" w14:textId="084F4D52" w:rsidR="00947EE0"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[59]</w:t>
      </w:r>
      <w:r>
        <w:rPr>
          <w:rFonts w:ascii="Arial" w:hAnsi="Arial" w:cs="Arial"/>
        </w:rPr>
        <w:tab/>
      </w:r>
      <w:r w:rsidR="00ED26CE">
        <w:rPr>
          <w:rFonts w:ascii="Arial" w:hAnsi="Arial" w:cs="Arial"/>
        </w:rPr>
        <w:t xml:space="preserve">To the extent </w:t>
      </w:r>
      <w:r w:rsidR="000B5F15">
        <w:rPr>
          <w:rFonts w:ascii="Arial" w:hAnsi="Arial" w:cs="Arial"/>
        </w:rPr>
        <w:t>that the respondent engaged in an extramarital affair in 2000,</w:t>
      </w:r>
      <w:r w:rsidR="008128B9">
        <w:rPr>
          <w:rFonts w:ascii="Arial" w:hAnsi="Arial" w:cs="Arial"/>
        </w:rPr>
        <w:t xml:space="preserve"> and that a physical altercation took place between the parties on 13 June 2015, both relate to single incidents, neither of which were features of the marital relationship.  Whilst such conduct is not to be condoned, nor is it to be considered acceptable, on the facts of the present dispute, such conduct falls short of constituting substantial misconduct.  </w:t>
      </w:r>
      <w:r w:rsidR="0035446E" w:rsidRPr="00F00350">
        <w:rPr>
          <w:rFonts w:ascii="Arial" w:hAnsi="Arial" w:cs="Arial"/>
        </w:rPr>
        <w:t>Moreover, I am of the view t</w:t>
      </w:r>
      <w:r w:rsidR="008128B9" w:rsidRPr="00F00350">
        <w:rPr>
          <w:rFonts w:ascii="Arial" w:hAnsi="Arial" w:cs="Arial"/>
        </w:rPr>
        <w:t xml:space="preserve">he </w:t>
      </w:r>
      <w:r w:rsidR="009F5BA8" w:rsidRPr="00F00350">
        <w:rPr>
          <w:rFonts w:ascii="Arial" w:hAnsi="Arial" w:cs="Arial"/>
        </w:rPr>
        <w:t>parties conduct, following the respective incidents,</w:t>
      </w:r>
      <w:r w:rsidR="004815B9">
        <w:rPr>
          <w:rFonts w:ascii="Arial" w:hAnsi="Arial" w:cs="Arial"/>
        </w:rPr>
        <w:t xml:space="preserve"> as appears from the record,</w:t>
      </w:r>
      <w:r w:rsidR="009F5BA8" w:rsidRPr="00F00350">
        <w:rPr>
          <w:rFonts w:ascii="Arial" w:hAnsi="Arial" w:cs="Arial"/>
        </w:rPr>
        <w:t xml:space="preserve"> </w:t>
      </w:r>
      <w:r w:rsidR="00F00350">
        <w:rPr>
          <w:rFonts w:ascii="Arial" w:hAnsi="Arial" w:cs="Arial"/>
        </w:rPr>
        <w:t>m</w:t>
      </w:r>
      <w:r w:rsidR="009F5BA8" w:rsidRPr="00F00350">
        <w:rPr>
          <w:rFonts w:ascii="Arial" w:hAnsi="Arial" w:cs="Arial"/>
        </w:rPr>
        <w:t>ilitates against such a finding.  Not only did the respondent</w:t>
      </w:r>
      <w:r w:rsidR="00193BD3">
        <w:rPr>
          <w:rFonts w:ascii="Arial" w:hAnsi="Arial" w:cs="Arial"/>
        </w:rPr>
        <w:t xml:space="preserve">, </w:t>
      </w:r>
      <w:r w:rsidR="00193BD3">
        <w:rPr>
          <w:rFonts w:ascii="Arial" w:hAnsi="Arial" w:cs="Arial"/>
        </w:rPr>
        <w:lastRenderedPageBreak/>
        <w:t>following the altercation,</w:t>
      </w:r>
      <w:r w:rsidR="009F5BA8" w:rsidRPr="00F00350">
        <w:rPr>
          <w:rFonts w:ascii="Arial" w:hAnsi="Arial" w:cs="Arial"/>
        </w:rPr>
        <w:t xml:space="preserve"> continue to spend nights at the former common home,</w:t>
      </w:r>
      <w:r w:rsidR="00F00350">
        <w:rPr>
          <w:rFonts w:ascii="Arial" w:hAnsi="Arial" w:cs="Arial"/>
        </w:rPr>
        <w:t xml:space="preserve"> with the knowledge and consent of the appellant, but he also continued to make financial contributions </w:t>
      </w:r>
      <w:r w:rsidR="009F5BA8" w:rsidRPr="00F00350">
        <w:rPr>
          <w:rFonts w:ascii="Arial" w:hAnsi="Arial" w:cs="Arial"/>
        </w:rPr>
        <w:t xml:space="preserve">as </w:t>
      </w:r>
      <w:r w:rsidR="00F00350">
        <w:rPr>
          <w:rFonts w:ascii="Arial" w:hAnsi="Arial" w:cs="Arial"/>
        </w:rPr>
        <w:t xml:space="preserve">and </w:t>
      </w:r>
      <w:r w:rsidR="009F5BA8" w:rsidRPr="00F00350">
        <w:rPr>
          <w:rFonts w:ascii="Arial" w:hAnsi="Arial" w:cs="Arial"/>
        </w:rPr>
        <w:t>when circumstances permitted.</w:t>
      </w:r>
      <w:r w:rsidR="0035446E" w:rsidRPr="00F00350">
        <w:rPr>
          <w:rFonts w:ascii="Arial" w:hAnsi="Arial" w:cs="Arial"/>
        </w:rPr>
        <w:t xml:space="preserve">  The fact that the appellant took no steps </w:t>
      </w:r>
      <w:r w:rsidR="009F5BA8" w:rsidRPr="00F00350">
        <w:rPr>
          <w:rFonts w:ascii="Arial" w:hAnsi="Arial" w:cs="Arial"/>
        </w:rPr>
        <w:t>to seek the dissolution of the parties’ marriage,</w:t>
      </w:r>
      <w:r w:rsidR="0035446E" w:rsidRPr="00F00350">
        <w:rPr>
          <w:rFonts w:ascii="Arial" w:hAnsi="Arial" w:cs="Arial"/>
        </w:rPr>
        <w:t xml:space="preserve"> is of significance.</w:t>
      </w:r>
      <w:r w:rsidR="003D784B">
        <w:rPr>
          <w:rFonts w:ascii="Arial" w:hAnsi="Arial" w:cs="Arial"/>
        </w:rPr>
        <w:t xml:space="preserve">  This is more so in the context of the respondent’s affair, given the </w:t>
      </w:r>
      <w:r w:rsidR="00902C5F">
        <w:rPr>
          <w:rFonts w:ascii="Arial" w:hAnsi="Arial" w:cs="Arial"/>
        </w:rPr>
        <w:t>duration</w:t>
      </w:r>
      <w:r w:rsidR="003D784B">
        <w:rPr>
          <w:rFonts w:ascii="Arial" w:hAnsi="Arial" w:cs="Arial"/>
        </w:rPr>
        <w:t xml:space="preserve"> of the parties</w:t>
      </w:r>
      <w:r w:rsidR="00902C5F">
        <w:rPr>
          <w:rFonts w:ascii="Arial" w:hAnsi="Arial" w:cs="Arial"/>
        </w:rPr>
        <w:t>’</w:t>
      </w:r>
      <w:r w:rsidR="003D784B">
        <w:rPr>
          <w:rFonts w:ascii="Arial" w:hAnsi="Arial" w:cs="Arial"/>
        </w:rPr>
        <w:t xml:space="preserve"> marriage following their reconciliation.</w:t>
      </w:r>
      <w:r w:rsidR="0035446E" w:rsidRPr="00F00350">
        <w:rPr>
          <w:rFonts w:ascii="Arial" w:hAnsi="Arial" w:cs="Arial"/>
        </w:rPr>
        <w:t xml:space="preserve">  </w:t>
      </w:r>
      <w:r w:rsidR="009F5BA8" w:rsidRPr="00F00350">
        <w:rPr>
          <w:rFonts w:ascii="Arial" w:hAnsi="Arial" w:cs="Arial"/>
        </w:rPr>
        <w:t xml:space="preserve"> </w:t>
      </w:r>
    </w:p>
    <w:p w14:paraId="377B457E" w14:textId="77777777" w:rsidR="00F00350" w:rsidRDefault="00F00350" w:rsidP="00902C5F">
      <w:pPr>
        <w:pStyle w:val="ListParagraph"/>
        <w:spacing w:after="0" w:line="480" w:lineRule="auto"/>
        <w:rPr>
          <w:rFonts w:ascii="Arial" w:hAnsi="Arial" w:cs="Arial"/>
        </w:rPr>
      </w:pPr>
    </w:p>
    <w:p w14:paraId="67976E9C" w14:textId="01A74002" w:rsidR="00F00350"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[60]</w:t>
      </w:r>
      <w:r>
        <w:rPr>
          <w:rFonts w:ascii="Arial" w:hAnsi="Arial" w:cs="Arial"/>
        </w:rPr>
        <w:tab/>
      </w:r>
      <w:r w:rsidR="00F00350">
        <w:rPr>
          <w:rFonts w:ascii="Arial" w:hAnsi="Arial" w:cs="Arial"/>
        </w:rPr>
        <w:t>For the aforesaid reasons, I am not satisfied that the appellant</w:t>
      </w:r>
      <w:r w:rsidR="00843868">
        <w:rPr>
          <w:rFonts w:ascii="Arial" w:hAnsi="Arial" w:cs="Arial"/>
        </w:rPr>
        <w:t xml:space="preserve"> succeeded in proving </w:t>
      </w:r>
      <w:r w:rsidR="00F00350">
        <w:rPr>
          <w:rFonts w:ascii="Arial" w:hAnsi="Arial" w:cs="Arial"/>
        </w:rPr>
        <w:t>substantial misconduct on the part of the respondent.</w:t>
      </w:r>
    </w:p>
    <w:p w14:paraId="5BBE198B" w14:textId="2CA71FB4" w:rsidR="00F00350" w:rsidRDefault="00F00350" w:rsidP="00902C5F">
      <w:pPr>
        <w:spacing w:after="0" w:line="480" w:lineRule="auto"/>
        <w:rPr>
          <w:rFonts w:ascii="Arial" w:hAnsi="Arial" w:cs="Arial"/>
        </w:rPr>
      </w:pPr>
    </w:p>
    <w:p w14:paraId="749A9FDC" w14:textId="27A43F27" w:rsidR="00E6063F" w:rsidRPr="00843868" w:rsidRDefault="00E6063F" w:rsidP="00E6063F">
      <w:pPr>
        <w:spacing w:after="0" w:line="480" w:lineRule="auto"/>
        <w:rPr>
          <w:rFonts w:ascii="Arial" w:hAnsi="Arial" w:cs="Arial"/>
          <w:b/>
          <w:bCs/>
          <w:i/>
          <w:iCs/>
          <w:sz w:val="24"/>
          <w:szCs w:val="24"/>
          <w:u w:val="single"/>
        </w:rPr>
      </w:pPr>
      <w:r w:rsidRPr="00843868">
        <w:rPr>
          <w:rFonts w:ascii="Arial" w:hAnsi="Arial" w:cs="Arial"/>
          <w:b/>
          <w:bCs/>
          <w:i/>
          <w:iCs/>
          <w:sz w:val="24"/>
          <w:szCs w:val="24"/>
          <w:u w:val="single"/>
        </w:rPr>
        <w:t>Conclusion</w:t>
      </w:r>
    </w:p>
    <w:p w14:paraId="22781A6E" w14:textId="77777777" w:rsidR="00E6063F" w:rsidRPr="00E6063F" w:rsidRDefault="00E6063F" w:rsidP="00E6063F">
      <w:pPr>
        <w:rPr>
          <w:rFonts w:ascii="Arial" w:hAnsi="Arial" w:cs="Arial"/>
        </w:rPr>
      </w:pPr>
    </w:p>
    <w:p w14:paraId="6FD6CC8C" w14:textId="6767514F" w:rsidR="0002498E"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[61]</w:t>
      </w:r>
      <w:r>
        <w:rPr>
          <w:rFonts w:ascii="Arial" w:hAnsi="Arial" w:cs="Arial"/>
        </w:rPr>
        <w:tab/>
      </w:r>
      <w:r w:rsidR="0002498E">
        <w:rPr>
          <w:rFonts w:ascii="Arial" w:hAnsi="Arial" w:cs="Arial"/>
        </w:rPr>
        <w:t xml:space="preserve">It is apposite to repeat my earlier finding </w:t>
      </w:r>
      <w:r w:rsidR="0002498E" w:rsidRPr="0002498E">
        <w:rPr>
          <w:rFonts w:ascii="Arial" w:hAnsi="Arial" w:cs="Arial"/>
        </w:rPr>
        <w:t>that the appellant</w:t>
      </w:r>
      <w:r w:rsidR="00843868">
        <w:rPr>
          <w:rFonts w:ascii="Arial" w:hAnsi="Arial" w:cs="Arial"/>
        </w:rPr>
        <w:t xml:space="preserve"> had</w:t>
      </w:r>
      <w:r w:rsidR="0002498E" w:rsidRPr="0002498E">
        <w:rPr>
          <w:rFonts w:ascii="Arial" w:hAnsi="Arial" w:cs="Arial"/>
        </w:rPr>
        <w:t xml:space="preserve"> failed to prove the nature and extent of the respondent’s benefit on dissolution of the </w:t>
      </w:r>
      <w:r w:rsidR="0002498E">
        <w:rPr>
          <w:rFonts w:ascii="Arial" w:hAnsi="Arial" w:cs="Arial"/>
        </w:rPr>
        <w:t xml:space="preserve">parties’ </w:t>
      </w:r>
      <w:r w:rsidR="0002498E" w:rsidRPr="0002498E">
        <w:rPr>
          <w:rFonts w:ascii="Arial" w:hAnsi="Arial" w:cs="Arial"/>
        </w:rPr>
        <w:t>marriage</w:t>
      </w:r>
      <w:r w:rsidR="0002498E">
        <w:rPr>
          <w:rFonts w:ascii="Arial" w:hAnsi="Arial" w:cs="Arial"/>
        </w:rPr>
        <w:t xml:space="preserve"> and accordingly</w:t>
      </w:r>
      <w:r w:rsidR="0002498E" w:rsidRPr="0002498E">
        <w:rPr>
          <w:rFonts w:ascii="Arial" w:hAnsi="Arial" w:cs="Arial"/>
        </w:rPr>
        <w:t>,</w:t>
      </w:r>
      <w:r w:rsidR="0002498E">
        <w:rPr>
          <w:rFonts w:ascii="Arial" w:hAnsi="Arial" w:cs="Arial"/>
        </w:rPr>
        <w:t xml:space="preserve"> the appellant’s claim on this basis alone</w:t>
      </w:r>
      <w:r w:rsidR="00843868">
        <w:rPr>
          <w:rFonts w:ascii="Arial" w:hAnsi="Arial" w:cs="Arial"/>
        </w:rPr>
        <w:t xml:space="preserve"> ought to have been dismissed</w:t>
      </w:r>
      <w:r w:rsidR="0002498E">
        <w:rPr>
          <w:rFonts w:ascii="Arial" w:hAnsi="Arial" w:cs="Arial"/>
        </w:rPr>
        <w:t>.</w:t>
      </w:r>
    </w:p>
    <w:p w14:paraId="4C75C8EE" w14:textId="1E721484" w:rsidR="0002498E" w:rsidRPr="0002498E" w:rsidRDefault="0002498E" w:rsidP="00EE2EA2">
      <w:pPr>
        <w:pStyle w:val="NormalWeb"/>
        <w:shd w:val="clear" w:color="auto" w:fill="FFFFFF"/>
        <w:spacing w:before="0" w:beforeAutospacing="0" w:after="0" w:afterAutospacing="0" w:line="480" w:lineRule="auto"/>
        <w:ind w:left="851" w:right="259"/>
        <w:jc w:val="both"/>
        <w:rPr>
          <w:rFonts w:ascii="Arial" w:hAnsi="Arial" w:cs="Arial"/>
        </w:rPr>
      </w:pPr>
    </w:p>
    <w:p w14:paraId="1AD00277" w14:textId="76138F24" w:rsidR="00EE2EA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[62]</w:t>
      </w:r>
      <w:r>
        <w:rPr>
          <w:rFonts w:ascii="Arial" w:hAnsi="Arial" w:cs="Arial"/>
        </w:rPr>
        <w:tab/>
      </w:r>
      <w:r w:rsidR="00453850">
        <w:rPr>
          <w:rFonts w:ascii="Arial" w:hAnsi="Arial" w:cs="Arial"/>
        </w:rPr>
        <w:t xml:space="preserve">In the event that I am incorrect in this </w:t>
      </w:r>
      <w:r w:rsidR="00843868">
        <w:rPr>
          <w:rFonts w:ascii="Arial" w:hAnsi="Arial" w:cs="Arial"/>
        </w:rPr>
        <w:t>finding</w:t>
      </w:r>
      <w:r w:rsidR="00453850">
        <w:rPr>
          <w:rFonts w:ascii="Arial" w:hAnsi="Arial" w:cs="Arial"/>
        </w:rPr>
        <w:t xml:space="preserve"> </w:t>
      </w:r>
      <w:r w:rsidR="0002498E">
        <w:rPr>
          <w:rFonts w:ascii="Arial" w:hAnsi="Arial" w:cs="Arial"/>
        </w:rPr>
        <w:t>and given the appellant</w:t>
      </w:r>
      <w:r w:rsidR="00453850">
        <w:rPr>
          <w:rFonts w:ascii="Arial" w:hAnsi="Arial" w:cs="Arial"/>
        </w:rPr>
        <w:t>’</w:t>
      </w:r>
      <w:r w:rsidR="0002498E">
        <w:rPr>
          <w:rFonts w:ascii="Arial" w:hAnsi="Arial" w:cs="Arial"/>
        </w:rPr>
        <w:t>s concession in respect of the division of the joint estate prior to 2015, all that remains to be determined, to the extent necessary, is whether the respondent would be unduly benefitted if</w:t>
      </w:r>
      <w:r w:rsidR="00453850">
        <w:rPr>
          <w:rFonts w:ascii="Arial" w:hAnsi="Arial" w:cs="Arial"/>
        </w:rPr>
        <w:t xml:space="preserve"> the joint estate, for the full duration of the marriage, was divided equally.  </w:t>
      </w:r>
      <w:r w:rsidR="00EE2EA2">
        <w:rPr>
          <w:rFonts w:ascii="Arial" w:hAnsi="Arial" w:cs="Arial"/>
        </w:rPr>
        <w:t>An undue benefit as been held to be one that is disturbingly unfair.</w:t>
      </w:r>
      <w:r w:rsidR="00EE2EA2" w:rsidRPr="00EE2EA2">
        <w:rPr>
          <w:rStyle w:val="FootnoteReference"/>
          <w:rFonts w:ascii="Arial" w:hAnsi="Arial" w:cs="Arial"/>
        </w:rPr>
        <w:footnoteReference w:id="10"/>
      </w:r>
      <w:r w:rsidR="00EE2EA2">
        <w:rPr>
          <w:rFonts w:ascii="Arial" w:hAnsi="Arial" w:cs="Arial"/>
        </w:rPr>
        <w:t xml:space="preserve">  </w:t>
      </w:r>
    </w:p>
    <w:p w14:paraId="43EF52D3" w14:textId="2FC78390" w:rsidR="00453850"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lastRenderedPageBreak/>
        <w:t>[63]</w:t>
      </w:r>
      <w:r>
        <w:rPr>
          <w:rFonts w:ascii="Arial" w:hAnsi="Arial" w:cs="Arial"/>
        </w:rPr>
        <w:tab/>
      </w:r>
      <w:r w:rsidR="00453850">
        <w:rPr>
          <w:rFonts w:ascii="Arial" w:hAnsi="Arial" w:cs="Arial"/>
        </w:rPr>
        <w:t xml:space="preserve">In </w:t>
      </w:r>
      <w:r w:rsidR="00E46CB7">
        <w:rPr>
          <w:rFonts w:ascii="Arial" w:hAnsi="Arial" w:cs="Arial"/>
        </w:rPr>
        <w:t>answering the aforesaid question,</w:t>
      </w:r>
      <w:r w:rsidR="00843868">
        <w:rPr>
          <w:rFonts w:ascii="Arial" w:hAnsi="Arial" w:cs="Arial"/>
        </w:rPr>
        <w:t xml:space="preserve"> a consideration of </w:t>
      </w:r>
      <w:r w:rsidR="00453850">
        <w:rPr>
          <w:rFonts w:ascii="Arial" w:hAnsi="Arial" w:cs="Arial"/>
        </w:rPr>
        <w:t>the factors set out in section 9(1) of the Divorce Act</w:t>
      </w:r>
      <w:r w:rsidR="00843868">
        <w:rPr>
          <w:rFonts w:ascii="Arial" w:hAnsi="Arial" w:cs="Arial"/>
        </w:rPr>
        <w:t xml:space="preserve"> is required</w:t>
      </w:r>
      <w:r w:rsidR="00453850">
        <w:rPr>
          <w:rFonts w:ascii="Arial" w:hAnsi="Arial" w:cs="Arial"/>
        </w:rPr>
        <w:t>,</w:t>
      </w:r>
      <w:r w:rsidR="00843868">
        <w:rPr>
          <w:rFonts w:ascii="Arial" w:hAnsi="Arial" w:cs="Arial"/>
        </w:rPr>
        <w:t xml:space="preserve"> whilst</w:t>
      </w:r>
      <w:r w:rsidR="00453850">
        <w:rPr>
          <w:rFonts w:ascii="Arial" w:hAnsi="Arial" w:cs="Arial"/>
        </w:rPr>
        <w:t xml:space="preserve"> being mindful of the authorities to which I have referred.  On a conspectus of the evidence, and in the exercise of a value judgment, I am of the view that appellant would not be unduly benefited if the joint estate, for the full duration of the marriage, was divided equally.</w:t>
      </w:r>
    </w:p>
    <w:p w14:paraId="74099A5E" w14:textId="77777777" w:rsidR="00843868" w:rsidRDefault="00843868" w:rsidP="004A16B2">
      <w:pPr>
        <w:pStyle w:val="ListParagraph"/>
        <w:spacing w:after="0" w:line="480" w:lineRule="auto"/>
        <w:rPr>
          <w:rFonts w:ascii="Arial" w:hAnsi="Arial" w:cs="Arial"/>
        </w:rPr>
      </w:pPr>
    </w:p>
    <w:p w14:paraId="5B85EC95" w14:textId="0F7FAAC8" w:rsidR="00843868" w:rsidRPr="00843868"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sidRPr="00843868">
        <w:rPr>
          <w:rFonts w:ascii="Arial" w:hAnsi="Arial" w:cs="Arial"/>
        </w:rPr>
        <w:t>[64]</w:t>
      </w:r>
      <w:r w:rsidRPr="00843868">
        <w:rPr>
          <w:rFonts w:ascii="Arial" w:hAnsi="Arial" w:cs="Arial"/>
        </w:rPr>
        <w:tab/>
      </w:r>
      <w:r w:rsidR="00843868">
        <w:rPr>
          <w:rFonts w:ascii="Arial" w:hAnsi="Arial" w:cs="Arial"/>
        </w:rPr>
        <w:t xml:space="preserve">Having come to this conclusion, and notwithstanding the misdirection of the trial court, it is not necessary to interfere with the order </w:t>
      </w:r>
      <w:r w:rsidR="004A16B2">
        <w:rPr>
          <w:rFonts w:ascii="Arial" w:hAnsi="Arial" w:cs="Arial"/>
        </w:rPr>
        <w:t>granted</w:t>
      </w:r>
      <w:r w:rsidR="00843868">
        <w:rPr>
          <w:rFonts w:ascii="Arial" w:hAnsi="Arial" w:cs="Arial"/>
        </w:rPr>
        <w:t>.</w:t>
      </w:r>
    </w:p>
    <w:p w14:paraId="4F494C15" w14:textId="77777777" w:rsidR="00453850" w:rsidRDefault="00453850" w:rsidP="004A16B2">
      <w:pPr>
        <w:pStyle w:val="ListParagraph"/>
        <w:spacing w:after="0" w:line="480" w:lineRule="auto"/>
        <w:rPr>
          <w:rFonts w:ascii="Arial" w:hAnsi="Arial" w:cs="Arial"/>
        </w:rPr>
      </w:pPr>
    </w:p>
    <w:p w14:paraId="39FE24C7" w14:textId="44E7E66D" w:rsidR="00EE2EA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[65]</w:t>
      </w:r>
      <w:r>
        <w:rPr>
          <w:rFonts w:ascii="Arial" w:hAnsi="Arial" w:cs="Arial"/>
        </w:rPr>
        <w:tab/>
      </w:r>
      <w:r w:rsidR="00EE2EA2">
        <w:rPr>
          <w:rFonts w:ascii="Arial" w:hAnsi="Arial" w:cs="Arial"/>
        </w:rPr>
        <w:t xml:space="preserve">In the result, the appellant’s appeal must fail.  </w:t>
      </w:r>
      <w:r w:rsidR="00D81D5F">
        <w:rPr>
          <w:rFonts w:ascii="Arial" w:hAnsi="Arial" w:cs="Arial"/>
        </w:rPr>
        <w:t xml:space="preserve">I see no reason </w:t>
      </w:r>
      <w:r w:rsidR="00EE2EA2">
        <w:rPr>
          <w:rFonts w:ascii="Arial" w:hAnsi="Arial" w:cs="Arial"/>
        </w:rPr>
        <w:t>why costs should not follow the result.</w:t>
      </w:r>
    </w:p>
    <w:p w14:paraId="4F1F0997" w14:textId="77777777" w:rsidR="00D81D5F" w:rsidRDefault="00D81D5F" w:rsidP="004A16B2">
      <w:pPr>
        <w:pStyle w:val="NormalWeb"/>
        <w:shd w:val="clear" w:color="auto" w:fill="FFFFFF"/>
        <w:spacing w:before="0" w:beforeAutospacing="0" w:after="0" w:afterAutospacing="0" w:line="480" w:lineRule="auto"/>
        <w:ind w:left="851" w:right="259"/>
        <w:jc w:val="both"/>
        <w:rPr>
          <w:rFonts w:ascii="Arial" w:hAnsi="Arial" w:cs="Arial"/>
        </w:rPr>
      </w:pPr>
    </w:p>
    <w:p w14:paraId="2C09294F" w14:textId="1F66C6DE" w:rsidR="00EE2EA2" w:rsidRDefault="00814390" w:rsidP="00814390">
      <w:pPr>
        <w:pStyle w:val="NormalWeb"/>
        <w:shd w:val="clear" w:color="auto" w:fill="FFFFFF"/>
        <w:spacing w:before="0" w:beforeAutospacing="0" w:after="0" w:afterAutospacing="0" w:line="480" w:lineRule="auto"/>
        <w:ind w:left="851" w:right="259" w:hanging="851"/>
        <w:jc w:val="both"/>
        <w:rPr>
          <w:rFonts w:ascii="Arial" w:hAnsi="Arial" w:cs="Arial"/>
        </w:rPr>
      </w:pPr>
      <w:r>
        <w:rPr>
          <w:rFonts w:ascii="Arial" w:hAnsi="Arial" w:cs="Arial"/>
        </w:rPr>
        <w:t>[66]</w:t>
      </w:r>
      <w:r>
        <w:rPr>
          <w:rFonts w:ascii="Arial" w:hAnsi="Arial" w:cs="Arial"/>
        </w:rPr>
        <w:tab/>
      </w:r>
      <w:r w:rsidR="00EE2EA2">
        <w:rPr>
          <w:rFonts w:ascii="Arial" w:hAnsi="Arial" w:cs="Arial"/>
        </w:rPr>
        <w:t>In the premises, the following order is issued:</w:t>
      </w:r>
    </w:p>
    <w:p w14:paraId="76829011" w14:textId="77777777" w:rsidR="00EE2EA2" w:rsidRDefault="00EE2EA2" w:rsidP="004A16B2">
      <w:pPr>
        <w:pStyle w:val="ListParagraph"/>
        <w:spacing w:after="0" w:line="480" w:lineRule="auto"/>
        <w:rPr>
          <w:rFonts w:ascii="Arial" w:hAnsi="Arial" w:cs="Arial"/>
        </w:rPr>
      </w:pPr>
    </w:p>
    <w:p w14:paraId="4EA5C379" w14:textId="724D6D4B" w:rsidR="00EE2EA2" w:rsidRDefault="00814390" w:rsidP="00814390">
      <w:pPr>
        <w:pStyle w:val="NormalWeb"/>
        <w:shd w:val="clear" w:color="auto" w:fill="FFFFFF"/>
        <w:spacing w:before="0" w:beforeAutospacing="0" w:after="0" w:afterAutospacing="0" w:line="480" w:lineRule="auto"/>
        <w:ind w:left="1211" w:right="259" w:hanging="360"/>
        <w:jc w:val="both"/>
        <w:rPr>
          <w:rFonts w:ascii="Arial" w:hAnsi="Arial" w:cs="Arial"/>
        </w:rPr>
      </w:pPr>
      <w:r>
        <w:rPr>
          <w:rFonts w:ascii="Arial" w:hAnsi="Arial" w:cs="Arial"/>
        </w:rPr>
        <w:t>1.</w:t>
      </w:r>
      <w:r>
        <w:rPr>
          <w:rFonts w:ascii="Arial" w:hAnsi="Arial" w:cs="Arial"/>
        </w:rPr>
        <w:tab/>
      </w:r>
      <w:r w:rsidR="00EE2EA2">
        <w:rPr>
          <w:rFonts w:ascii="Arial" w:hAnsi="Arial" w:cs="Arial"/>
        </w:rPr>
        <w:t>The appeal is dismissed.</w:t>
      </w:r>
    </w:p>
    <w:p w14:paraId="14E54F71" w14:textId="77777777" w:rsidR="00EE2EA2" w:rsidRDefault="00EE2EA2" w:rsidP="00EE2EA2">
      <w:pPr>
        <w:pStyle w:val="NormalWeb"/>
        <w:shd w:val="clear" w:color="auto" w:fill="FFFFFF"/>
        <w:spacing w:before="0" w:beforeAutospacing="0" w:after="0" w:afterAutospacing="0" w:line="480" w:lineRule="auto"/>
        <w:ind w:left="1211" w:right="259"/>
        <w:jc w:val="both"/>
        <w:rPr>
          <w:rFonts w:ascii="Arial" w:hAnsi="Arial" w:cs="Arial"/>
        </w:rPr>
      </w:pPr>
    </w:p>
    <w:p w14:paraId="75D62F9F" w14:textId="2FB5F38E" w:rsidR="00453850" w:rsidRDefault="00814390" w:rsidP="00814390">
      <w:pPr>
        <w:pStyle w:val="NormalWeb"/>
        <w:shd w:val="clear" w:color="auto" w:fill="FFFFFF"/>
        <w:spacing w:before="0" w:beforeAutospacing="0" w:after="0" w:afterAutospacing="0" w:line="480" w:lineRule="auto"/>
        <w:ind w:left="1211" w:right="259" w:hanging="360"/>
        <w:jc w:val="both"/>
        <w:rPr>
          <w:rFonts w:ascii="Arial" w:hAnsi="Arial" w:cs="Arial"/>
        </w:rPr>
      </w:pPr>
      <w:r>
        <w:rPr>
          <w:rFonts w:ascii="Arial" w:hAnsi="Arial" w:cs="Arial"/>
        </w:rPr>
        <w:t>2.</w:t>
      </w:r>
      <w:r>
        <w:rPr>
          <w:rFonts w:ascii="Arial" w:hAnsi="Arial" w:cs="Arial"/>
        </w:rPr>
        <w:tab/>
      </w:r>
      <w:r w:rsidR="00EE2EA2">
        <w:rPr>
          <w:rFonts w:ascii="Arial" w:hAnsi="Arial" w:cs="Arial"/>
        </w:rPr>
        <w:t xml:space="preserve">The appellant is ordered to pay the respondent’s costs. </w:t>
      </w:r>
      <w:r w:rsidR="00453850">
        <w:rPr>
          <w:rFonts w:ascii="Arial" w:hAnsi="Arial" w:cs="Arial"/>
        </w:rPr>
        <w:t xml:space="preserve">    </w:t>
      </w:r>
    </w:p>
    <w:p w14:paraId="34EDED2F" w14:textId="77777777" w:rsidR="00453850" w:rsidRDefault="00453850" w:rsidP="00453850">
      <w:pPr>
        <w:pStyle w:val="ListParagraph"/>
        <w:rPr>
          <w:rFonts w:ascii="Arial" w:hAnsi="Arial" w:cs="Arial"/>
        </w:rPr>
      </w:pPr>
    </w:p>
    <w:p w14:paraId="2FAAC551" w14:textId="77777777" w:rsidR="00844242" w:rsidRDefault="00844242" w:rsidP="00844242">
      <w:pPr>
        <w:pStyle w:val="NormalWeb"/>
        <w:shd w:val="clear" w:color="auto" w:fill="FFFFFF"/>
        <w:spacing w:before="0" w:beforeAutospacing="0" w:after="0" w:afterAutospacing="0" w:line="480" w:lineRule="auto"/>
        <w:ind w:left="851" w:right="259"/>
        <w:jc w:val="both"/>
        <w:rPr>
          <w:rFonts w:ascii="Arial" w:hAnsi="Arial" w:cs="Arial"/>
        </w:rPr>
      </w:pPr>
    </w:p>
    <w:p w14:paraId="2F6DD4A9" w14:textId="77777777" w:rsidR="00844242" w:rsidRDefault="00844242" w:rsidP="00844242">
      <w:pPr>
        <w:tabs>
          <w:tab w:val="left" w:pos="7797"/>
        </w:tabs>
        <w:spacing w:after="0" w:line="480" w:lineRule="auto"/>
        <w:jc w:val="both"/>
        <w:rPr>
          <w:noProof/>
          <w:lang w:eastAsia="en-ZA"/>
        </w:rPr>
      </w:pPr>
    </w:p>
    <w:p w14:paraId="238430C9" w14:textId="6367D395" w:rsidR="00844242" w:rsidRPr="000E306E" w:rsidRDefault="006E2832" w:rsidP="00844242">
      <w:pPr>
        <w:tabs>
          <w:tab w:val="left" w:pos="7797"/>
        </w:tabs>
        <w:spacing w:after="0" w:line="480" w:lineRule="auto"/>
        <w:jc w:val="both"/>
        <w:rPr>
          <w:rStyle w:val="Hyperlink"/>
          <w:rFonts w:ascii="Arial" w:hAnsi="Arial" w:cs="Arial"/>
          <w:i/>
          <w:iCs/>
          <w:sz w:val="24"/>
          <w:szCs w:val="24"/>
        </w:rPr>
      </w:pPr>
      <w:r>
        <w:rPr>
          <w:noProof/>
          <w:lang w:val="en-US"/>
        </w:rPr>
        <w:drawing>
          <wp:inline distT="0" distB="0" distL="0" distR="0" wp14:anchorId="212CE874" wp14:editId="52DE5E24">
            <wp:extent cx="1285875" cy="571500"/>
            <wp:effectExtent l="0" t="0" r="9525" b="0"/>
            <wp:docPr id="1" name="Picture 1" descr="Descriptio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gnature 2"/>
                    <pic:cNvPicPr>
                      <a:picLocks noChangeAspect="1" noChangeArrowheads="1"/>
                    </pic:cNvPicPr>
                  </pic:nvPicPr>
                  <pic:blipFill>
                    <a:blip r:embed="rId10">
                      <a:extLst>
                        <a:ext uri="{28A0092B-C50C-407E-A947-70E740481C1C}">
                          <a14:useLocalDpi xmlns:a14="http://schemas.microsoft.com/office/drawing/2010/main" val="0"/>
                        </a:ext>
                      </a:extLst>
                    </a:blip>
                    <a:srcRect b="12500"/>
                    <a:stretch>
                      <a:fillRect/>
                    </a:stretch>
                  </pic:blipFill>
                  <pic:spPr bwMode="auto">
                    <a:xfrm>
                      <a:off x="0" y="0"/>
                      <a:ext cx="1285875" cy="571500"/>
                    </a:xfrm>
                    <a:prstGeom prst="rect">
                      <a:avLst/>
                    </a:prstGeom>
                    <a:noFill/>
                    <a:ln>
                      <a:noFill/>
                    </a:ln>
                  </pic:spPr>
                </pic:pic>
              </a:graphicData>
            </a:graphic>
          </wp:inline>
        </w:drawing>
      </w:r>
    </w:p>
    <w:p w14:paraId="21505D3F" w14:textId="77777777" w:rsidR="00844242" w:rsidRPr="00844242" w:rsidRDefault="00844242" w:rsidP="00844242">
      <w:pPr>
        <w:spacing w:after="0" w:line="360" w:lineRule="auto"/>
        <w:jc w:val="both"/>
        <w:rPr>
          <w:rStyle w:val="Hyperlink"/>
          <w:rFonts w:ascii="Arial" w:hAnsi="Arial" w:cs="Arial"/>
          <w:i/>
          <w:iCs/>
          <w:color w:val="auto"/>
          <w:sz w:val="24"/>
          <w:szCs w:val="24"/>
        </w:rPr>
      </w:pPr>
      <w:r w:rsidRPr="00844242">
        <w:rPr>
          <w:rStyle w:val="Hyperlink"/>
          <w:rFonts w:ascii="Arial" w:hAnsi="Arial" w:cs="Arial"/>
          <w:i/>
          <w:iCs/>
          <w:color w:val="auto"/>
          <w:sz w:val="24"/>
          <w:szCs w:val="24"/>
        </w:rPr>
        <w:t>________________________________</w:t>
      </w:r>
    </w:p>
    <w:p w14:paraId="231605A4" w14:textId="77777777" w:rsidR="00844242" w:rsidRPr="00844242" w:rsidRDefault="00844242" w:rsidP="00844242">
      <w:pPr>
        <w:spacing w:after="0" w:line="360" w:lineRule="auto"/>
        <w:jc w:val="both"/>
        <w:rPr>
          <w:rFonts w:ascii="Arial" w:hAnsi="Arial" w:cs="Arial"/>
          <w:b/>
          <w:bCs/>
          <w:sz w:val="24"/>
          <w:szCs w:val="24"/>
        </w:rPr>
      </w:pPr>
      <w:r w:rsidRPr="00844242">
        <w:rPr>
          <w:rFonts w:ascii="Arial" w:hAnsi="Arial" w:cs="Arial"/>
          <w:b/>
          <w:bCs/>
          <w:sz w:val="24"/>
          <w:szCs w:val="24"/>
        </w:rPr>
        <w:t xml:space="preserve">I BANDS </w:t>
      </w:r>
    </w:p>
    <w:p w14:paraId="1EE3308F" w14:textId="7E3A281A" w:rsidR="00844242" w:rsidRDefault="00844242" w:rsidP="00844242">
      <w:pPr>
        <w:spacing w:after="0" w:line="480" w:lineRule="auto"/>
        <w:jc w:val="both"/>
        <w:rPr>
          <w:rFonts w:ascii="Arial" w:hAnsi="Arial" w:cs="Arial"/>
          <w:b/>
          <w:bCs/>
          <w:sz w:val="24"/>
          <w:szCs w:val="24"/>
        </w:rPr>
      </w:pPr>
      <w:r w:rsidRPr="00951523">
        <w:rPr>
          <w:rFonts w:ascii="Arial" w:hAnsi="Arial" w:cs="Arial"/>
          <w:b/>
          <w:bCs/>
          <w:sz w:val="24"/>
          <w:szCs w:val="24"/>
        </w:rPr>
        <w:t xml:space="preserve">ACTING JUDGE OF THE HIGH COURT </w:t>
      </w:r>
    </w:p>
    <w:p w14:paraId="43657796" w14:textId="2BE84B92" w:rsidR="00391E7E" w:rsidRDefault="00391E7E" w:rsidP="00844242">
      <w:pPr>
        <w:spacing w:after="0" w:line="480" w:lineRule="auto"/>
        <w:jc w:val="both"/>
        <w:rPr>
          <w:rFonts w:ascii="Arial" w:hAnsi="Arial" w:cs="Arial"/>
          <w:b/>
          <w:bCs/>
          <w:sz w:val="24"/>
          <w:szCs w:val="24"/>
        </w:rPr>
      </w:pPr>
    </w:p>
    <w:p w14:paraId="09A7EE31" w14:textId="77777777" w:rsidR="006E2832" w:rsidRDefault="006E2832" w:rsidP="00844242">
      <w:pPr>
        <w:spacing w:after="0" w:line="480" w:lineRule="auto"/>
        <w:jc w:val="both"/>
        <w:rPr>
          <w:rFonts w:ascii="Arial" w:hAnsi="Arial" w:cs="Arial"/>
          <w:b/>
          <w:bCs/>
          <w:sz w:val="24"/>
          <w:szCs w:val="24"/>
        </w:rPr>
      </w:pPr>
    </w:p>
    <w:p w14:paraId="35F98C4B" w14:textId="1EADDACD" w:rsidR="00391E7E" w:rsidRDefault="00391E7E" w:rsidP="00844242">
      <w:pPr>
        <w:spacing w:after="0" w:line="480" w:lineRule="auto"/>
        <w:jc w:val="both"/>
        <w:rPr>
          <w:rFonts w:ascii="Arial" w:hAnsi="Arial" w:cs="Arial"/>
          <w:sz w:val="24"/>
          <w:szCs w:val="24"/>
        </w:rPr>
      </w:pPr>
      <w:r>
        <w:rPr>
          <w:rFonts w:ascii="Arial" w:hAnsi="Arial" w:cs="Arial"/>
          <w:sz w:val="24"/>
          <w:szCs w:val="24"/>
        </w:rPr>
        <w:t>I agree.</w:t>
      </w:r>
    </w:p>
    <w:p w14:paraId="0EAFB6AE" w14:textId="77777777" w:rsidR="00391E7E" w:rsidRPr="00391E7E" w:rsidRDefault="00391E7E" w:rsidP="00844242">
      <w:pPr>
        <w:spacing w:after="0" w:line="480" w:lineRule="auto"/>
        <w:jc w:val="both"/>
        <w:rPr>
          <w:rFonts w:ascii="Arial" w:hAnsi="Arial" w:cs="Arial"/>
          <w:sz w:val="24"/>
          <w:szCs w:val="24"/>
        </w:rPr>
      </w:pPr>
    </w:p>
    <w:p w14:paraId="13441697" w14:textId="77777777" w:rsidR="00391E7E" w:rsidRPr="00844242" w:rsidRDefault="00391E7E" w:rsidP="00391E7E">
      <w:pPr>
        <w:spacing w:after="0" w:line="360" w:lineRule="auto"/>
        <w:jc w:val="both"/>
        <w:rPr>
          <w:rStyle w:val="Hyperlink"/>
          <w:rFonts w:ascii="Arial" w:hAnsi="Arial" w:cs="Arial"/>
          <w:i/>
          <w:iCs/>
          <w:color w:val="auto"/>
          <w:sz w:val="24"/>
          <w:szCs w:val="24"/>
        </w:rPr>
      </w:pPr>
      <w:r w:rsidRPr="00844242">
        <w:rPr>
          <w:rStyle w:val="Hyperlink"/>
          <w:rFonts w:ascii="Arial" w:hAnsi="Arial" w:cs="Arial"/>
          <w:i/>
          <w:iCs/>
          <w:color w:val="auto"/>
          <w:sz w:val="24"/>
          <w:szCs w:val="24"/>
        </w:rPr>
        <w:t>________________________________</w:t>
      </w:r>
    </w:p>
    <w:p w14:paraId="362368E3" w14:textId="0849D32D" w:rsidR="00391E7E" w:rsidRPr="00844242" w:rsidRDefault="00391E7E" w:rsidP="00391E7E">
      <w:pPr>
        <w:spacing w:after="0" w:line="360" w:lineRule="auto"/>
        <w:jc w:val="both"/>
        <w:rPr>
          <w:rFonts w:ascii="Arial" w:hAnsi="Arial" w:cs="Arial"/>
          <w:b/>
          <w:bCs/>
          <w:sz w:val="24"/>
          <w:szCs w:val="24"/>
        </w:rPr>
      </w:pPr>
      <w:r>
        <w:rPr>
          <w:rFonts w:ascii="Arial" w:hAnsi="Arial" w:cs="Arial"/>
          <w:b/>
          <w:bCs/>
          <w:sz w:val="24"/>
          <w:szCs w:val="24"/>
        </w:rPr>
        <w:t>B HARTLE</w:t>
      </w:r>
      <w:r w:rsidRPr="00844242">
        <w:rPr>
          <w:rFonts w:ascii="Arial" w:hAnsi="Arial" w:cs="Arial"/>
          <w:b/>
          <w:bCs/>
          <w:sz w:val="24"/>
          <w:szCs w:val="24"/>
        </w:rPr>
        <w:t xml:space="preserve"> </w:t>
      </w:r>
    </w:p>
    <w:p w14:paraId="077B91A1" w14:textId="3B9F5127" w:rsidR="00391E7E" w:rsidRDefault="00391E7E" w:rsidP="00391E7E">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02899AA2" w14:textId="73FDFB29" w:rsidR="00391E7E" w:rsidRDefault="00391E7E" w:rsidP="00844242">
      <w:pPr>
        <w:spacing w:after="0" w:line="480" w:lineRule="auto"/>
        <w:jc w:val="both"/>
        <w:rPr>
          <w:rFonts w:ascii="Arial" w:hAnsi="Arial" w:cs="Arial"/>
          <w:b/>
          <w:bCs/>
          <w:sz w:val="24"/>
          <w:szCs w:val="24"/>
        </w:rPr>
      </w:pPr>
    </w:p>
    <w:p w14:paraId="71994A95" w14:textId="77777777" w:rsidR="00391E7E" w:rsidRPr="00951523" w:rsidRDefault="00391E7E" w:rsidP="00844242">
      <w:pPr>
        <w:spacing w:after="0" w:line="480" w:lineRule="auto"/>
        <w:jc w:val="both"/>
        <w:rPr>
          <w:rFonts w:ascii="Arial" w:hAnsi="Arial" w:cs="Arial"/>
          <w:b/>
          <w:bCs/>
          <w:sz w:val="24"/>
          <w:szCs w:val="24"/>
        </w:rPr>
      </w:pPr>
    </w:p>
    <w:p w14:paraId="0CCA9879" w14:textId="79F0DF66" w:rsidR="00844242" w:rsidRPr="00951523" w:rsidRDefault="00844242" w:rsidP="00844242">
      <w:pPr>
        <w:spacing w:after="0" w:line="360" w:lineRule="auto"/>
        <w:ind w:left="2880" w:hanging="2880"/>
        <w:jc w:val="both"/>
        <w:rPr>
          <w:rFonts w:ascii="Arial" w:hAnsi="Arial" w:cs="Arial"/>
          <w:sz w:val="24"/>
          <w:szCs w:val="24"/>
        </w:rPr>
      </w:pPr>
      <w:r w:rsidRPr="00951523">
        <w:rPr>
          <w:rFonts w:ascii="Arial" w:hAnsi="Arial" w:cs="Arial"/>
          <w:sz w:val="24"/>
          <w:szCs w:val="24"/>
        </w:rPr>
        <w:t>Heard:</w:t>
      </w:r>
      <w:r w:rsidRPr="00951523">
        <w:rPr>
          <w:rFonts w:ascii="Arial" w:hAnsi="Arial" w:cs="Arial"/>
          <w:sz w:val="24"/>
          <w:szCs w:val="24"/>
        </w:rPr>
        <w:tab/>
      </w:r>
      <w:r>
        <w:rPr>
          <w:rFonts w:ascii="Arial" w:hAnsi="Arial" w:cs="Arial"/>
          <w:sz w:val="24"/>
          <w:szCs w:val="24"/>
        </w:rPr>
        <w:tab/>
        <w:t>25 November 2022</w:t>
      </w:r>
      <w:r w:rsidRPr="00951523">
        <w:rPr>
          <w:rFonts w:ascii="Arial" w:hAnsi="Arial" w:cs="Arial"/>
          <w:sz w:val="24"/>
          <w:szCs w:val="24"/>
        </w:rPr>
        <w:t xml:space="preserve"> </w:t>
      </w:r>
    </w:p>
    <w:p w14:paraId="5348081D" w14:textId="28B74909" w:rsidR="00844242" w:rsidRDefault="00844242" w:rsidP="00844242">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Pr>
          <w:rFonts w:ascii="Arial" w:hAnsi="Arial" w:cs="Arial"/>
          <w:sz w:val="24"/>
          <w:szCs w:val="24"/>
        </w:rPr>
        <w:tab/>
        <w:t>24</w:t>
      </w:r>
      <w:r w:rsidRPr="00951523">
        <w:rPr>
          <w:rFonts w:ascii="Arial" w:hAnsi="Arial" w:cs="Arial"/>
          <w:sz w:val="24"/>
          <w:szCs w:val="24"/>
        </w:rPr>
        <w:t xml:space="preserve"> February 2023</w:t>
      </w:r>
    </w:p>
    <w:p w14:paraId="069BADCB" w14:textId="77777777" w:rsidR="00844242" w:rsidRDefault="00844242" w:rsidP="00844242">
      <w:pPr>
        <w:pBdr>
          <w:bottom w:val="single" w:sz="4" w:space="1" w:color="auto"/>
        </w:pBdr>
        <w:spacing w:after="0" w:line="360" w:lineRule="auto"/>
        <w:jc w:val="both"/>
        <w:rPr>
          <w:rFonts w:ascii="Arial" w:hAnsi="Arial" w:cs="Arial"/>
          <w:sz w:val="24"/>
          <w:szCs w:val="24"/>
        </w:rPr>
      </w:pPr>
    </w:p>
    <w:p w14:paraId="1D66F860" w14:textId="77777777" w:rsidR="00844242" w:rsidRDefault="00844242" w:rsidP="00844242">
      <w:pPr>
        <w:spacing w:after="0" w:line="360" w:lineRule="auto"/>
        <w:jc w:val="both"/>
        <w:rPr>
          <w:rFonts w:ascii="Arial" w:hAnsi="Arial" w:cs="Arial"/>
          <w:sz w:val="24"/>
          <w:szCs w:val="24"/>
        </w:rPr>
      </w:pPr>
    </w:p>
    <w:p w14:paraId="12533420" w14:textId="6B02D3D1" w:rsidR="00844242" w:rsidRPr="005E0A83" w:rsidRDefault="00844242" w:rsidP="00844242">
      <w:pPr>
        <w:spacing w:after="0" w:line="360" w:lineRule="auto"/>
        <w:jc w:val="both"/>
        <w:rPr>
          <w:rFonts w:ascii="Arial" w:hAnsi="Arial" w:cs="Arial"/>
          <w:sz w:val="24"/>
          <w:szCs w:val="24"/>
        </w:rPr>
      </w:pPr>
      <w:r>
        <w:rPr>
          <w:rFonts w:ascii="Arial" w:hAnsi="Arial" w:cs="Arial"/>
          <w:sz w:val="24"/>
          <w:szCs w:val="24"/>
        </w:rPr>
        <w:t>For the appellant:</w:t>
      </w:r>
      <w:r>
        <w:rPr>
          <w:rFonts w:ascii="Arial" w:hAnsi="Arial" w:cs="Arial"/>
          <w:sz w:val="24"/>
          <w:szCs w:val="24"/>
        </w:rPr>
        <w:tab/>
      </w:r>
      <w:r>
        <w:rPr>
          <w:rFonts w:ascii="Arial" w:hAnsi="Arial" w:cs="Arial"/>
          <w:sz w:val="24"/>
          <w:szCs w:val="24"/>
        </w:rPr>
        <w:tab/>
      </w:r>
      <w:r w:rsidR="006E2832">
        <w:rPr>
          <w:rFonts w:ascii="Arial" w:hAnsi="Arial" w:cs="Arial"/>
          <w:sz w:val="24"/>
          <w:szCs w:val="24"/>
        </w:rPr>
        <w:t>Adv Sephton</w:t>
      </w:r>
      <w:r>
        <w:rPr>
          <w:rFonts w:ascii="Arial" w:hAnsi="Arial" w:cs="Arial"/>
          <w:sz w:val="24"/>
          <w:szCs w:val="24"/>
        </w:rPr>
        <w:tab/>
      </w:r>
    </w:p>
    <w:p w14:paraId="1D035A69" w14:textId="552B1DDA" w:rsidR="00844242" w:rsidRDefault="00844242" w:rsidP="00844242">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6E2832">
        <w:rPr>
          <w:rFonts w:ascii="Arial" w:hAnsi="Arial" w:cs="Arial"/>
          <w:sz w:val="24"/>
          <w:szCs w:val="24"/>
        </w:rPr>
        <w:t>Neville Borman &amp; Botha</w:t>
      </w:r>
      <w:r>
        <w:rPr>
          <w:rFonts w:ascii="Arial" w:hAnsi="Arial" w:cs="Arial"/>
          <w:sz w:val="24"/>
          <w:szCs w:val="24"/>
        </w:rPr>
        <w:tab/>
      </w:r>
    </w:p>
    <w:p w14:paraId="182592F9" w14:textId="77777777" w:rsidR="00844242" w:rsidRDefault="00844242" w:rsidP="00844242">
      <w:pPr>
        <w:spacing w:after="0" w:line="360" w:lineRule="auto"/>
        <w:jc w:val="both"/>
        <w:rPr>
          <w:rFonts w:ascii="Arial" w:hAnsi="Arial" w:cs="Arial"/>
          <w:sz w:val="24"/>
          <w:szCs w:val="24"/>
        </w:rPr>
      </w:pPr>
    </w:p>
    <w:p w14:paraId="291B4ACA" w14:textId="65636261" w:rsidR="006E2832" w:rsidRDefault="00844242" w:rsidP="00844242">
      <w:pPr>
        <w:spacing w:after="0" w:line="360" w:lineRule="auto"/>
        <w:jc w:val="both"/>
        <w:rPr>
          <w:rFonts w:ascii="Arial" w:hAnsi="Arial" w:cs="Arial"/>
          <w:sz w:val="24"/>
          <w:szCs w:val="24"/>
        </w:rPr>
      </w:pPr>
      <w:r>
        <w:rPr>
          <w:rFonts w:ascii="Arial" w:hAnsi="Arial" w:cs="Arial"/>
          <w:sz w:val="24"/>
          <w:szCs w:val="24"/>
        </w:rPr>
        <w:t>For the respondent:</w:t>
      </w:r>
      <w:r w:rsidR="006E2832">
        <w:rPr>
          <w:rFonts w:ascii="Arial" w:hAnsi="Arial" w:cs="Arial"/>
          <w:sz w:val="24"/>
          <w:szCs w:val="24"/>
        </w:rPr>
        <w:tab/>
      </w:r>
      <w:r>
        <w:rPr>
          <w:rFonts w:ascii="Arial" w:hAnsi="Arial" w:cs="Arial"/>
          <w:sz w:val="24"/>
          <w:szCs w:val="24"/>
        </w:rPr>
        <w:tab/>
      </w:r>
      <w:r w:rsidR="006E2832">
        <w:rPr>
          <w:rFonts w:ascii="Arial" w:hAnsi="Arial" w:cs="Arial"/>
          <w:sz w:val="24"/>
          <w:szCs w:val="24"/>
        </w:rPr>
        <w:t>Adv Ndamase (together with Adv Masiza)</w:t>
      </w:r>
      <w:r>
        <w:rPr>
          <w:rFonts w:ascii="Arial" w:hAnsi="Arial" w:cs="Arial"/>
          <w:sz w:val="24"/>
          <w:szCs w:val="24"/>
        </w:rPr>
        <w:tab/>
      </w:r>
    </w:p>
    <w:p w14:paraId="0C561620" w14:textId="1276B0C9" w:rsidR="00844242" w:rsidRDefault="00844242" w:rsidP="00844242">
      <w:pPr>
        <w:spacing w:after="0" w:line="360" w:lineRule="auto"/>
        <w:jc w:val="both"/>
        <w:rPr>
          <w:rFonts w:ascii="Arial" w:hAnsi="Arial" w:cs="Arial"/>
          <w:sz w:val="24"/>
          <w:szCs w:val="24"/>
        </w:rPr>
      </w:pPr>
      <w:r>
        <w:rPr>
          <w:rFonts w:ascii="Arial" w:hAnsi="Arial" w:cs="Arial"/>
          <w:sz w:val="24"/>
          <w:szCs w:val="24"/>
        </w:rPr>
        <w:t>Instructed by:</w:t>
      </w:r>
      <w:r w:rsidR="006E2832">
        <w:rPr>
          <w:rFonts w:ascii="Arial" w:hAnsi="Arial" w:cs="Arial"/>
          <w:sz w:val="24"/>
          <w:szCs w:val="24"/>
        </w:rPr>
        <w:tab/>
      </w:r>
      <w:r w:rsidR="006E2832">
        <w:rPr>
          <w:rFonts w:ascii="Arial" w:hAnsi="Arial" w:cs="Arial"/>
          <w:sz w:val="24"/>
          <w:szCs w:val="24"/>
        </w:rPr>
        <w:tab/>
        <w:t xml:space="preserve">Mente Faltein Attorneys Inc.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30CAA3BD" w14:textId="77777777" w:rsidR="00844242" w:rsidRDefault="00844242" w:rsidP="00844242">
      <w:pPr>
        <w:spacing w:after="0" w:line="360" w:lineRule="auto"/>
        <w:ind w:left="2160" w:firstLine="720"/>
        <w:rPr>
          <w:rFonts w:ascii="Arial" w:hAnsi="Arial" w:cs="Arial"/>
        </w:rPr>
      </w:pPr>
      <w:r w:rsidRPr="00951523">
        <w:rPr>
          <w:rFonts w:ascii="Arial" w:hAnsi="Arial" w:cs="Arial"/>
        </w:rPr>
        <w:tab/>
      </w:r>
      <w:r w:rsidRPr="00951523">
        <w:rPr>
          <w:rFonts w:ascii="Arial" w:hAnsi="Arial" w:cs="Arial"/>
        </w:rPr>
        <w:tab/>
      </w:r>
    </w:p>
    <w:p w14:paraId="68F86359" w14:textId="77777777" w:rsidR="00066BE8" w:rsidRDefault="00066BE8"/>
    <w:sectPr w:rsidR="00066BE8" w:rsidSect="00097395">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81576" w14:textId="77777777" w:rsidR="00DF1A9B" w:rsidRDefault="00DF1A9B" w:rsidP="00844242">
      <w:pPr>
        <w:spacing w:after="0" w:line="240" w:lineRule="auto"/>
      </w:pPr>
      <w:r>
        <w:separator/>
      </w:r>
    </w:p>
  </w:endnote>
  <w:endnote w:type="continuationSeparator" w:id="0">
    <w:p w14:paraId="479771D8" w14:textId="77777777" w:rsidR="00DF1A9B" w:rsidRDefault="00DF1A9B" w:rsidP="0084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118B" w14:textId="77777777" w:rsidR="00DF1A9B" w:rsidRDefault="00DF1A9B" w:rsidP="00844242">
      <w:pPr>
        <w:spacing w:after="0" w:line="240" w:lineRule="auto"/>
      </w:pPr>
      <w:r>
        <w:separator/>
      </w:r>
    </w:p>
  </w:footnote>
  <w:footnote w:type="continuationSeparator" w:id="0">
    <w:p w14:paraId="04075793" w14:textId="77777777" w:rsidR="00DF1A9B" w:rsidRDefault="00DF1A9B" w:rsidP="00844242">
      <w:pPr>
        <w:spacing w:after="0" w:line="240" w:lineRule="auto"/>
      </w:pPr>
      <w:r>
        <w:continuationSeparator/>
      </w:r>
    </w:p>
  </w:footnote>
  <w:footnote w:id="1">
    <w:p w14:paraId="5088AE17" w14:textId="2FB9DAC0" w:rsidR="00EE0D16" w:rsidRPr="00526F28" w:rsidRDefault="00EE0D16" w:rsidP="00EE0D16">
      <w:pPr>
        <w:pStyle w:val="FootnoteText"/>
        <w:spacing w:line="360" w:lineRule="auto"/>
        <w:rPr>
          <w:rFonts w:ascii="Arial" w:hAnsi="Arial" w:cs="Arial"/>
          <w:sz w:val="22"/>
          <w:szCs w:val="22"/>
        </w:rPr>
      </w:pPr>
      <w:r w:rsidRPr="00526F28">
        <w:rPr>
          <w:rStyle w:val="FootnoteReference"/>
          <w:rFonts w:ascii="Arial" w:hAnsi="Arial" w:cs="Arial"/>
          <w:sz w:val="22"/>
          <w:szCs w:val="22"/>
        </w:rPr>
        <w:footnoteRef/>
      </w:r>
      <w:r w:rsidRPr="00526F28">
        <w:rPr>
          <w:rFonts w:ascii="Arial" w:hAnsi="Arial" w:cs="Arial"/>
          <w:sz w:val="22"/>
          <w:szCs w:val="22"/>
        </w:rPr>
        <w:t xml:space="preserve"> Notwithstanding the inclusion of such prayer, it does not appear that proceedings for the payment of maintenance </w:t>
      </w:r>
      <w:r w:rsidRPr="00526F28">
        <w:rPr>
          <w:rFonts w:ascii="Arial" w:hAnsi="Arial" w:cs="Arial"/>
          <w:i/>
          <w:iCs/>
          <w:sz w:val="22"/>
          <w:szCs w:val="22"/>
        </w:rPr>
        <w:t>pendente lite</w:t>
      </w:r>
      <w:r w:rsidRPr="00526F28">
        <w:rPr>
          <w:rFonts w:ascii="Arial" w:hAnsi="Arial" w:cs="Arial"/>
          <w:sz w:val="22"/>
          <w:szCs w:val="22"/>
        </w:rPr>
        <w:t xml:space="preserve"> were ever pursued by the respondent.</w:t>
      </w:r>
    </w:p>
  </w:footnote>
  <w:footnote w:id="2">
    <w:p w14:paraId="113C6952" w14:textId="2A8E5D60" w:rsidR="009C1A23" w:rsidRPr="00526F28" w:rsidRDefault="009C1A23" w:rsidP="00526F28">
      <w:pPr>
        <w:pStyle w:val="FootnoteText"/>
        <w:spacing w:line="360" w:lineRule="auto"/>
        <w:rPr>
          <w:rFonts w:ascii="Arial" w:hAnsi="Arial" w:cs="Arial"/>
          <w:sz w:val="22"/>
          <w:szCs w:val="22"/>
        </w:rPr>
      </w:pPr>
      <w:r w:rsidRPr="00526F28">
        <w:rPr>
          <w:rStyle w:val="FootnoteReference"/>
          <w:rFonts w:ascii="Arial" w:hAnsi="Arial" w:cs="Arial"/>
          <w:sz w:val="22"/>
          <w:szCs w:val="22"/>
        </w:rPr>
        <w:footnoteRef/>
      </w:r>
      <w:r w:rsidRPr="00526F28">
        <w:rPr>
          <w:rFonts w:ascii="Arial" w:hAnsi="Arial" w:cs="Arial"/>
          <w:sz w:val="22"/>
          <w:szCs w:val="22"/>
        </w:rPr>
        <w:t xml:space="preserve"> 1993 (4) SA 720 (A) at para 33.</w:t>
      </w:r>
    </w:p>
  </w:footnote>
  <w:footnote w:id="3">
    <w:p w14:paraId="24093269" w14:textId="1059A287" w:rsidR="00046574" w:rsidRPr="00526F28" w:rsidRDefault="00046574" w:rsidP="00526F28">
      <w:pPr>
        <w:pStyle w:val="FootnoteText"/>
        <w:spacing w:line="360" w:lineRule="auto"/>
        <w:rPr>
          <w:rFonts w:ascii="Arial" w:hAnsi="Arial" w:cs="Arial"/>
          <w:sz w:val="22"/>
          <w:szCs w:val="22"/>
        </w:rPr>
      </w:pPr>
      <w:r w:rsidRPr="00526F28">
        <w:rPr>
          <w:rStyle w:val="FootnoteReference"/>
          <w:rFonts w:ascii="Arial" w:hAnsi="Arial" w:cs="Arial"/>
          <w:sz w:val="22"/>
          <w:szCs w:val="22"/>
        </w:rPr>
        <w:footnoteRef/>
      </w:r>
      <w:r w:rsidRPr="00526F28">
        <w:rPr>
          <w:rFonts w:ascii="Arial" w:hAnsi="Arial" w:cs="Arial"/>
          <w:sz w:val="22"/>
          <w:szCs w:val="22"/>
        </w:rPr>
        <w:t xml:space="preserve"> Which was not previously sought on the pleadings.</w:t>
      </w:r>
    </w:p>
  </w:footnote>
  <w:footnote w:id="4">
    <w:p w14:paraId="4069FC43" w14:textId="56057C37" w:rsidR="009F35B8" w:rsidRPr="0055739F" w:rsidRDefault="009F35B8">
      <w:pPr>
        <w:pStyle w:val="FootnoteText"/>
        <w:rPr>
          <w:rFonts w:ascii="Arial" w:hAnsi="Arial" w:cs="Arial"/>
          <w:sz w:val="22"/>
          <w:szCs w:val="22"/>
        </w:rPr>
      </w:pPr>
      <w:r w:rsidRPr="0055739F">
        <w:rPr>
          <w:rStyle w:val="FootnoteReference"/>
          <w:rFonts w:ascii="Arial" w:hAnsi="Arial" w:cs="Arial"/>
          <w:sz w:val="22"/>
          <w:szCs w:val="22"/>
        </w:rPr>
        <w:footnoteRef/>
      </w:r>
      <w:r w:rsidRPr="0055739F">
        <w:rPr>
          <w:rFonts w:ascii="Arial" w:hAnsi="Arial" w:cs="Arial"/>
          <w:sz w:val="22"/>
          <w:szCs w:val="22"/>
        </w:rPr>
        <w:t xml:space="preserve"> 1982 (3) 462 (TPD) at 465H. </w:t>
      </w:r>
    </w:p>
  </w:footnote>
  <w:footnote w:id="5">
    <w:p w14:paraId="23343B00" w14:textId="6D932A98" w:rsidR="005B726A" w:rsidRPr="00E56286" w:rsidRDefault="005B726A" w:rsidP="00E56286">
      <w:pPr>
        <w:pStyle w:val="FootnoteText"/>
        <w:spacing w:line="360" w:lineRule="auto"/>
        <w:rPr>
          <w:rFonts w:ascii="Arial" w:hAnsi="Arial" w:cs="Arial"/>
          <w:sz w:val="22"/>
          <w:szCs w:val="22"/>
        </w:rPr>
      </w:pPr>
      <w:r w:rsidRPr="00E56286">
        <w:rPr>
          <w:rStyle w:val="FootnoteReference"/>
          <w:rFonts w:ascii="Arial" w:hAnsi="Arial" w:cs="Arial"/>
          <w:sz w:val="22"/>
          <w:szCs w:val="22"/>
        </w:rPr>
        <w:footnoteRef/>
      </w:r>
      <w:r w:rsidRPr="00E56286">
        <w:rPr>
          <w:rFonts w:ascii="Arial" w:hAnsi="Arial" w:cs="Arial"/>
          <w:sz w:val="22"/>
          <w:szCs w:val="22"/>
        </w:rPr>
        <w:t xml:space="preserve"> 5</w:t>
      </w:r>
      <w:r w:rsidRPr="00E56286">
        <w:rPr>
          <w:rFonts w:ascii="Arial" w:hAnsi="Arial" w:cs="Arial"/>
          <w:sz w:val="22"/>
          <w:szCs w:val="22"/>
          <w:vertAlign w:val="superscript"/>
        </w:rPr>
        <w:t>th</w:t>
      </w:r>
      <w:r w:rsidRPr="00E56286">
        <w:rPr>
          <w:rFonts w:ascii="Arial" w:hAnsi="Arial" w:cs="Arial"/>
          <w:sz w:val="22"/>
          <w:szCs w:val="22"/>
        </w:rPr>
        <w:t xml:space="preserve"> Edition at pp 157 and 158.</w:t>
      </w:r>
    </w:p>
  </w:footnote>
  <w:footnote w:id="6">
    <w:p w14:paraId="25C07ACD" w14:textId="58D0E8BE" w:rsidR="00CC71A6" w:rsidRPr="00E56286" w:rsidRDefault="00CC71A6" w:rsidP="00E56286">
      <w:pPr>
        <w:pStyle w:val="FootnoteText"/>
        <w:spacing w:line="360" w:lineRule="auto"/>
        <w:rPr>
          <w:rFonts w:ascii="Arial" w:hAnsi="Arial" w:cs="Arial"/>
          <w:sz w:val="22"/>
          <w:szCs w:val="22"/>
        </w:rPr>
      </w:pPr>
      <w:r w:rsidRPr="00E56286">
        <w:rPr>
          <w:rStyle w:val="FootnoteReference"/>
          <w:rFonts w:ascii="Arial" w:hAnsi="Arial" w:cs="Arial"/>
          <w:sz w:val="22"/>
          <w:szCs w:val="22"/>
        </w:rPr>
        <w:footnoteRef/>
      </w:r>
      <w:r w:rsidRPr="00E56286">
        <w:rPr>
          <w:rFonts w:ascii="Arial" w:hAnsi="Arial" w:cs="Arial"/>
          <w:sz w:val="22"/>
          <w:szCs w:val="22"/>
        </w:rPr>
        <w:t xml:space="preserve"> 1989 (1) SA 597 (C).</w:t>
      </w:r>
    </w:p>
  </w:footnote>
  <w:footnote w:id="7">
    <w:p w14:paraId="7A8DC2B0" w14:textId="26A1F921" w:rsidR="00F233C3" w:rsidRPr="00400865" w:rsidRDefault="00F233C3" w:rsidP="00400865">
      <w:pPr>
        <w:pStyle w:val="FootnoteText"/>
        <w:spacing w:line="360" w:lineRule="auto"/>
        <w:rPr>
          <w:rFonts w:ascii="Arial" w:hAnsi="Arial" w:cs="Arial"/>
          <w:sz w:val="22"/>
          <w:szCs w:val="22"/>
        </w:rPr>
      </w:pPr>
      <w:r w:rsidRPr="00400865">
        <w:rPr>
          <w:rStyle w:val="FootnoteReference"/>
          <w:rFonts w:ascii="Arial" w:hAnsi="Arial" w:cs="Arial"/>
          <w:sz w:val="22"/>
          <w:szCs w:val="22"/>
        </w:rPr>
        <w:footnoteRef/>
      </w:r>
      <w:r w:rsidRPr="00400865">
        <w:rPr>
          <w:rFonts w:ascii="Arial" w:hAnsi="Arial" w:cs="Arial"/>
          <w:sz w:val="22"/>
          <w:szCs w:val="22"/>
        </w:rPr>
        <w:t xml:space="preserve"> See also: </w:t>
      </w:r>
      <w:r w:rsidRPr="00400865">
        <w:rPr>
          <w:rFonts w:ascii="Arial" w:hAnsi="Arial" w:cs="Arial"/>
          <w:i/>
          <w:iCs/>
          <w:sz w:val="22"/>
          <w:szCs w:val="22"/>
        </w:rPr>
        <w:t>Engelbrecht</w:t>
      </w:r>
      <w:r w:rsidRPr="00400865">
        <w:rPr>
          <w:rFonts w:ascii="Arial" w:hAnsi="Arial" w:cs="Arial"/>
          <w:sz w:val="22"/>
          <w:szCs w:val="22"/>
        </w:rPr>
        <w:t xml:space="preserve"> (supra) at 601F-H.</w:t>
      </w:r>
    </w:p>
  </w:footnote>
  <w:footnote w:id="8">
    <w:p w14:paraId="2DF44D90" w14:textId="054A36E7" w:rsidR="009B5089" w:rsidRPr="009B5089" w:rsidRDefault="009B5089" w:rsidP="009B5089">
      <w:pPr>
        <w:pStyle w:val="FootnoteText"/>
        <w:spacing w:line="360" w:lineRule="auto"/>
        <w:jc w:val="both"/>
        <w:rPr>
          <w:rFonts w:ascii="Arial" w:hAnsi="Arial" w:cs="Arial"/>
          <w:sz w:val="22"/>
          <w:szCs w:val="22"/>
        </w:rPr>
      </w:pPr>
      <w:r w:rsidRPr="009B5089">
        <w:rPr>
          <w:rStyle w:val="FootnoteReference"/>
          <w:rFonts w:ascii="Arial" w:hAnsi="Arial" w:cs="Arial"/>
          <w:sz w:val="22"/>
          <w:szCs w:val="22"/>
        </w:rPr>
        <w:footnoteRef/>
      </w:r>
      <w:r w:rsidRPr="009B5089">
        <w:rPr>
          <w:rFonts w:ascii="Arial" w:hAnsi="Arial" w:cs="Arial"/>
          <w:sz w:val="22"/>
          <w:szCs w:val="22"/>
        </w:rPr>
        <w:t xml:space="preserve"> </w:t>
      </w:r>
      <w:r w:rsidRPr="001E557F">
        <w:rPr>
          <w:rFonts w:ascii="Arial" w:hAnsi="Arial" w:cs="Arial"/>
          <w:i/>
          <w:iCs/>
          <w:sz w:val="22"/>
          <w:szCs w:val="22"/>
        </w:rPr>
        <w:t>Wijker</w:t>
      </w:r>
      <w:r w:rsidRPr="009B5089">
        <w:rPr>
          <w:rFonts w:ascii="Arial" w:hAnsi="Arial" w:cs="Arial"/>
          <w:sz w:val="22"/>
          <w:szCs w:val="22"/>
        </w:rPr>
        <w:t xml:space="preserve"> (supra) at 729.</w:t>
      </w:r>
    </w:p>
    <w:p w14:paraId="4CC03F7E" w14:textId="39152D43" w:rsidR="009B5089" w:rsidRPr="00377CAA" w:rsidRDefault="009B5089" w:rsidP="00377CAA">
      <w:pPr>
        <w:pStyle w:val="FootnoteText"/>
        <w:spacing w:line="360" w:lineRule="auto"/>
        <w:jc w:val="both"/>
        <w:rPr>
          <w:rFonts w:ascii="Arial" w:hAnsi="Arial" w:cs="Arial"/>
          <w:sz w:val="22"/>
          <w:szCs w:val="22"/>
        </w:rPr>
      </w:pPr>
      <w:r w:rsidRPr="00377CAA">
        <w:rPr>
          <w:rFonts w:ascii="Arial" w:hAnsi="Arial" w:cs="Arial"/>
          <w:sz w:val="22"/>
          <w:szCs w:val="22"/>
        </w:rPr>
        <w:t xml:space="preserve">See also: </w:t>
      </w:r>
      <w:r w:rsidRPr="00377CAA">
        <w:rPr>
          <w:rFonts w:ascii="Arial" w:hAnsi="Arial" w:cs="Arial"/>
          <w:i/>
          <w:iCs/>
          <w:sz w:val="22"/>
          <w:szCs w:val="22"/>
        </w:rPr>
        <w:t>Botha v Botha</w:t>
      </w:r>
      <w:r w:rsidRPr="00377CAA">
        <w:rPr>
          <w:rFonts w:ascii="Arial" w:hAnsi="Arial" w:cs="Arial"/>
          <w:sz w:val="22"/>
          <w:szCs w:val="22"/>
        </w:rPr>
        <w:t xml:space="preserve"> 2006 (4) SA 144 (SCA).</w:t>
      </w:r>
    </w:p>
  </w:footnote>
  <w:footnote w:id="9">
    <w:p w14:paraId="1E0C5EF1" w14:textId="0B599EEC" w:rsidR="00847A2A" w:rsidRDefault="00847A2A" w:rsidP="00377CAA">
      <w:pPr>
        <w:pStyle w:val="FootnoteText"/>
        <w:spacing w:line="360" w:lineRule="auto"/>
      </w:pPr>
      <w:r w:rsidRPr="00377CAA">
        <w:rPr>
          <w:rStyle w:val="FootnoteReference"/>
          <w:rFonts w:ascii="Arial" w:hAnsi="Arial" w:cs="Arial"/>
          <w:sz w:val="22"/>
          <w:szCs w:val="22"/>
        </w:rPr>
        <w:footnoteRef/>
      </w:r>
      <w:r w:rsidRPr="00377CAA">
        <w:rPr>
          <w:rFonts w:ascii="Arial" w:hAnsi="Arial" w:cs="Arial"/>
          <w:sz w:val="22"/>
          <w:szCs w:val="22"/>
        </w:rPr>
        <w:t xml:space="preserve"> 1987 (3) SA 230 (WLD) at 236B-C.</w:t>
      </w:r>
    </w:p>
  </w:footnote>
  <w:footnote w:id="10">
    <w:p w14:paraId="5210EE5D" w14:textId="4D50C71A" w:rsidR="00EE2EA2" w:rsidRPr="00EE2EA2" w:rsidRDefault="00EE2EA2" w:rsidP="00EE2EA2">
      <w:pPr>
        <w:pStyle w:val="FootnoteText"/>
        <w:rPr>
          <w:rFonts w:ascii="Arial" w:hAnsi="Arial" w:cs="Arial"/>
          <w:sz w:val="22"/>
          <w:szCs w:val="22"/>
        </w:rPr>
      </w:pPr>
      <w:r w:rsidRPr="00EE2EA2">
        <w:rPr>
          <w:rStyle w:val="FootnoteReference"/>
          <w:rFonts w:ascii="Arial" w:hAnsi="Arial" w:cs="Arial"/>
          <w:sz w:val="22"/>
          <w:szCs w:val="22"/>
        </w:rPr>
        <w:footnoteRef/>
      </w:r>
      <w:r w:rsidRPr="00EE2EA2">
        <w:rPr>
          <w:rFonts w:ascii="Arial" w:hAnsi="Arial" w:cs="Arial"/>
          <w:sz w:val="22"/>
          <w:szCs w:val="22"/>
        </w:rPr>
        <w:t xml:space="preserve"> </w:t>
      </w:r>
      <w:r w:rsidRPr="00843868">
        <w:rPr>
          <w:rFonts w:ascii="Arial" w:hAnsi="Arial" w:cs="Arial"/>
          <w:i/>
          <w:iCs/>
          <w:sz w:val="22"/>
          <w:szCs w:val="22"/>
        </w:rPr>
        <w:t>Engelbrecht v Engelbrecht</w:t>
      </w:r>
      <w:r w:rsidRPr="00EE2EA2">
        <w:rPr>
          <w:rFonts w:ascii="Arial" w:hAnsi="Arial" w:cs="Arial"/>
          <w:sz w:val="22"/>
          <w:szCs w:val="22"/>
        </w:rPr>
        <w:t xml:space="preserve"> (supra) at 602F.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rPr>
        <w:sz w:val="20"/>
        <w:szCs w:val="20"/>
      </w:rPr>
    </w:sdtEndPr>
    <w:sdtContent>
      <w:p w14:paraId="7677FFB4" w14:textId="46E3F143" w:rsidR="00097395" w:rsidRPr="00097395" w:rsidRDefault="004F41ED">
        <w:pPr>
          <w:pStyle w:val="Header"/>
          <w:jc w:val="center"/>
        </w:pPr>
        <w:r w:rsidRPr="0006033E">
          <w:rPr>
            <w:sz w:val="20"/>
            <w:szCs w:val="20"/>
          </w:rPr>
          <w:t xml:space="preserve">Page </w:t>
        </w:r>
        <w:r w:rsidRPr="0006033E">
          <w:rPr>
            <w:sz w:val="20"/>
            <w:szCs w:val="20"/>
          </w:rPr>
          <w:fldChar w:fldCharType="begin"/>
        </w:r>
        <w:r w:rsidRPr="0006033E">
          <w:rPr>
            <w:sz w:val="20"/>
            <w:szCs w:val="20"/>
          </w:rPr>
          <w:instrText xml:space="preserve"> PAGE </w:instrText>
        </w:r>
        <w:r w:rsidRPr="0006033E">
          <w:rPr>
            <w:sz w:val="20"/>
            <w:szCs w:val="20"/>
          </w:rPr>
          <w:fldChar w:fldCharType="separate"/>
        </w:r>
        <w:r w:rsidR="00814390">
          <w:rPr>
            <w:noProof/>
            <w:sz w:val="20"/>
            <w:szCs w:val="20"/>
          </w:rPr>
          <w:t>26</w:t>
        </w:r>
        <w:r w:rsidRPr="0006033E">
          <w:rPr>
            <w:sz w:val="20"/>
            <w:szCs w:val="20"/>
          </w:rPr>
          <w:fldChar w:fldCharType="end"/>
        </w:r>
        <w:r w:rsidRPr="0006033E">
          <w:rPr>
            <w:sz w:val="20"/>
            <w:szCs w:val="20"/>
          </w:rPr>
          <w:t xml:space="preserve"> of </w:t>
        </w:r>
        <w:r w:rsidRPr="0006033E">
          <w:rPr>
            <w:sz w:val="20"/>
            <w:szCs w:val="20"/>
          </w:rPr>
          <w:fldChar w:fldCharType="begin"/>
        </w:r>
        <w:r w:rsidRPr="0006033E">
          <w:rPr>
            <w:sz w:val="20"/>
            <w:szCs w:val="20"/>
          </w:rPr>
          <w:instrText xml:space="preserve"> NUMPAGES  </w:instrText>
        </w:r>
        <w:r w:rsidRPr="0006033E">
          <w:rPr>
            <w:sz w:val="20"/>
            <w:szCs w:val="20"/>
          </w:rPr>
          <w:fldChar w:fldCharType="separate"/>
        </w:r>
        <w:r w:rsidR="00814390">
          <w:rPr>
            <w:noProof/>
            <w:sz w:val="20"/>
            <w:szCs w:val="20"/>
          </w:rPr>
          <w:t>26</w:t>
        </w:r>
        <w:r w:rsidRPr="0006033E">
          <w:rPr>
            <w:sz w:val="20"/>
            <w:szCs w:val="20"/>
          </w:rPr>
          <w:fldChar w:fldCharType="end"/>
        </w:r>
      </w:p>
    </w:sdtContent>
  </w:sdt>
  <w:p w14:paraId="74998A3C" w14:textId="77777777" w:rsidR="00097395" w:rsidRDefault="00DF1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56D"/>
    <w:multiLevelType w:val="hybridMultilevel"/>
    <w:tmpl w:val="2084EA1A"/>
    <w:lvl w:ilvl="0" w:tplc="7FF8AE2E">
      <w:start w:val="2"/>
      <w:numFmt w:val="decimal"/>
      <w:lvlText w:val="%1."/>
      <w:lvlJc w:val="left"/>
      <w:pPr>
        <w:ind w:left="1211" w:hanging="360"/>
      </w:pPr>
      <w:rPr>
        <w:rFonts w:hint="default"/>
        <w:i/>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255E53B6"/>
    <w:multiLevelType w:val="hybridMultilevel"/>
    <w:tmpl w:val="81229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52D2FFE"/>
    <w:multiLevelType w:val="singleLevel"/>
    <w:tmpl w:val="6736E2E0"/>
    <w:lvl w:ilvl="0">
      <w:start w:val="1"/>
      <w:numFmt w:val="decimal"/>
      <w:lvlText w:val="[%1]"/>
      <w:lvlJc w:val="left"/>
      <w:pPr>
        <w:ind w:left="360" w:hanging="360"/>
      </w:pPr>
      <w:rPr>
        <w:rFonts w:hint="default"/>
        <w:sz w:val="24"/>
      </w:rPr>
    </w:lvl>
  </w:abstractNum>
  <w:abstractNum w:abstractNumId="3">
    <w:nsid w:val="451C1706"/>
    <w:multiLevelType w:val="hybridMultilevel"/>
    <w:tmpl w:val="ADCAA5B0"/>
    <w:lvl w:ilvl="0" w:tplc="C7DA9D50">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42"/>
    <w:rsid w:val="000035F4"/>
    <w:rsid w:val="00005863"/>
    <w:rsid w:val="00010EF3"/>
    <w:rsid w:val="0001248D"/>
    <w:rsid w:val="00015935"/>
    <w:rsid w:val="0001666C"/>
    <w:rsid w:val="00017524"/>
    <w:rsid w:val="000241A3"/>
    <w:rsid w:val="0002498E"/>
    <w:rsid w:val="000266E3"/>
    <w:rsid w:val="00034358"/>
    <w:rsid w:val="00037E2C"/>
    <w:rsid w:val="000438D0"/>
    <w:rsid w:val="00046574"/>
    <w:rsid w:val="00057C99"/>
    <w:rsid w:val="00066BE8"/>
    <w:rsid w:val="00073CD0"/>
    <w:rsid w:val="00084231"/>
    <w:rsid w:val="0008764D"/>
    <w:rsid w:val="0009770D"/>
    <w:rsid w:val="000A0F77"/>
    <w:rsid w:val="000A1B9C"/>
    <w:rsid w:val="000B2862"/>
    <w:rsid w:val="000B5F15"/>
    <w:rsid w:val="000C4EF2"/>
    <w:rsid w:val="000C6CEE"/>
    <w:rsid w:val="000D4046"/>
    <w:rsid w:val="000E4EA2"/>
    <w:rsid w:val="000E6D65"/>
    <w:rsid w:val="001105B3"/>
    <w:rsid w:val="00116378"/>
    <w:rsid w:val="00116917"/>
    <w:rsid w:val="001232B3"/>
    <w:rsid w:val="00132764"/>
    <w:rsid w:val="00145432"/>
    <w:rsid w:val="00147828"/>
    <w:rsid w:val="00147F78"/>
    <w:rsid w:val="00153175"/>
    <w:rsid w:val="00161064"/>
    <w:rsid w:val="001616C2"/>
    <w:rsid w:val="001619A3"/>
    <w:rsid w:val="00193BD3"/>
    <w:rsid w:val="001A045C"/>
    <w:rsid w:val="001A09B3"/>
    <w:rsid w:val="001A75D1"/>
    <w:rsid w:val="001A7D83"/>
    <w:rsid w:val="001B2035"/>
    <w:rsid w:val="001B334B"/>
    <w:rsid w:val="001B7152"/>
    <w:rsid w:val="001E557F"/>
    <w:rsid w:val="001E772C"/>
    <w:rsid w:val="001F5E89"/>
    <w:rsid w:val="0020334A"/>
    <w:rsid w:val="002104FE"/>
    <w:rsid w:val="002164AF"/>
    <w:rsid w:val="00217E09"/>
    <w:rsid w:val="002267CA"/>
    <w:rsid w:val="002274A1"/>
    <w:rsid w:val="002274FB"/>
    <w:rsid w:val="002339EC"/>
    <w:rsid w:val="00236A44"/>
    <w:rsid w:val="00242CB5"/>
    <w:rsid w:val="00253C73"/>
    <w:rsid w:val="00255002"/>
    <w:rsid w:val="00266CFA"/>
    <w:rsid w:val="00287F1B"/>
    <w:rsid w:val="00293644"/>
    <w:rsid w:val="00297260"/>
    <w:rsid w:val="002A39EC"/>
    <w:rsid w:val="002B403F"/>
    <w:rsid w:val="002C0ABC"/>
    <w:rsid w:val="002F203E"/>
    <w:rsid w:val="002F5FA8"/>
    <w:rsid w:val="0031261C"/>
    <w:rsid w:val="0032260A"/>
    <w:rsid w:val="00350D4B"/>
    <w:rsid w:val="003533C7"/>
    <w:rsid w:val="0035446E"/>
    <w:rsid w:val="00356B13"/>
    <w:rsid w:val="00356D4F"/>
    <w:rsid w:val="003613C7"/>
    <w:rsid w:val="003614B5"/>
    <w:rsid w:val="00363984"/>
    <w:rsid w:val="00363F86"/>
    <w:rsid w:val="00370E74"/>
    <w:rsid w:val="00371BF9"/>
    <w:rsid w:val="00377CAA"/>
    <w:rsid w:val="0039162E"/>
    <w:rsid w:val="00391E7E"/>
    <w:rsid w:val="003970E4"/>
    <w:rsid w:val="003A0D5B"/>
    <w:rsid w:val="003A3588"/>
    <w:rsid w:val="003B0406"/>
    <w:rsid w:val="003C29D4"/>
    <w:rsid w:val="003C372A"/>
    <w:rsid w:val="003D4940"/>
    <w:rsid w:val="003D7597"/>
    <w:rsid w:val="003D784B"/>
    <w:rsid w:val="003E07C6"/>
    <w:rsid w:val="003F06CA"/>
    <w:rsid w:val="00400865"/>
    <w:rsid w:val="00401482"/>
    <w:rsid w:val="004031DB"/>
    <w:rsid w:val="00405E4B"/>
    <w:rsid w:val="00413884"/>
    <w:rsid w:val="004235F8"/>
    <w:rsid w:val="004404A1"/>
    <w:rsid w:val="00453850"/>
    <w:rsid w:val="004632FC"/>
    <w:rsid w:val="00463821"/>
    <w:rsid w:val="00465301"/>
    <w:rsid w:val="004754F4"/>
    <w:rsid w:val="004815B9"/>
    <w:rsid w:val="00481D70"/>
    <w:rsid w:val="00494CE5"/>
    <w:rsid w:val="00497552"/>
    <w:rsid w:val="004A16B2"/>
    <w:rsid w:val="004A2DB1"/>
    <w:rsid w:val="004A3A41"/>
    <w:rsid w:val="004A7B19"/>
    <w:rsid w:val="004B0F60"/>
    <w:rsid w:val="004B3B56"/>
    <w:rsid w:val="004C3F7D"/>
    <w:rsid w:val="004C4EB4"/>
    <w:rsid w:val="004E37E8"/>
    <w:rsid w:val="004F02E5"/>
    <w:rsid w:val="004F08EB"/>
    <w:rsid w:val="004F330C"/>
    <w:rsid w:val="004F41ED"/>
    <w:rsid w:val="004F6657"/>
    <w:rsid w:val="004F7FD4"/>
    <w:rsid w:val="00513566"/>
    <w:rsid w:val="00515F9E"/>
    <w:rsid w:val="005177FD"/>
    <w:rsid w:val="005258C4"/>
    <w:rsid w:val="00526F28"/>
    <w:rsid w:val="005333A8"/>
    <w:rsid w:val="00535E63"/>
    <w:rsid w:val="005425DF"/>
    <w:rsid w:val="00546F03"/>
    <w:rsid w:val="0055187B"/>
    <w:rsid w:val="0055739F"/>
    <w:rsid w:val="00567BDC"/>
    <w:rsid w:val="0057211C"/>
    <w:rsid w:val="00573438"/>
    <w:rsid w:val="00575547"/>
    <w:rsid w:val="00582541"/>
    <w:rsid w:val="0059086B"/>
    <w:rsid w:val="00591D80"/>
    <w:rsid w:val="005A691C"/>
    <w:rsid w:val="005B28FF"/>
    <w:rsid w:val="005B726A"/>
    <w:rsid w:val="005E0404"/>
    <w:rsid w:val="005E3A52"/>
    <w:rsid w:val="005E4047"/>
    <w:rsid w:val="005F0BB9"/>
    <w:rsid w:val="005F226E"/>
    <w:rsid w:val="005F7349"/>
    <w:rsid w:val="00600847"/>
    <w:rsid w:val="00601BF7"/>
    <w:rsid w:val="006039A9"/>
    <w:rsid w:val="0061489E"/>
    <w:rsid w:val="00617A39"/>
    <w:rsid w:val="00624A2A"/>
    <w:rsid w:val="00626A89"/>
    <w:rsid w:val="00634FC6"/>
    <w:rsid w:val="00642529"/>
    <w:rsid w:val="006516A5"/>
    <w:rsid w:val="00655D33"/>
    <w:rsid w:val="00657DFD"/>
    <w:rsid w:val="006627DD"/>
    <w:rsid w:val="006646CD"/>
    <w:rsid w:val="0066643A"/>
    <w:rsid w:val="006673A6"/>
    <w:rsid w:val="00675128"/>
    <w:rsid w:val="00680B7F"/>
    <w:rsid w:val="006811A5"/>
    <w:rsid w:val="00687726"/>
    <w:rsid w:val="0069010D"/>
    <w:rsid w:val="0069448C"/>
    <w:rsid w:val="006957E7"/>
    <w:rsid w:val="00695EDE"/>
    <w:rsid w:val="0069792D"/>
    <w:rsid w:val="006A1519"/>
    <w:rsid w:val="006A4C2C"/>
    <w:rsid w:val="006B0EEB"/>
    <w:rsid w:val="006B1997"/>
    <w:rsid w:val="006B2456"/>
    <w:rsid w:val="006C5BAE"/>
    <w:rsid w:val="006D2842"/>
    <w:rsid w:val="006D523A"/>
    <w:rsid w:val="006E2832"/>
    <w:rsid w:val="006E519A"/>
    <w:rsid w:val="006E6246"/>
    <w:rsid w:val="006F2198"/>
    <w:rsid w:val="006F2FCE"/>
    <w:rsid w:val="007104CF"/>
    <w:rsid w:val="00710831"/>
    <w:rsid w:val="00714050"/>
    <w:rsid w:val="007313F0"/>
    <w:rsid w:val="007325C6"/>
    <w:rsid w:val="00733378"/>
    <w:rsid w:val="00752364"/>
    <w:rsid w:val="00760809"/>
    <w:rsid w:val="00762A5E"/>
    <w:rsid w:val="00762C35"/>
    <w:rsid w:val="00766AAC"/>
    <w:rsid w:val="0076773E"/>
    <w:rsid w:val="00783D74"/>
    <w:rsid w:val="00784D8D"/>
    <w:rsid w:val="007864BC"/>
    <w:rsid w:val="007866C6"/>
    <w:rsid w:val="00792004"/>
    <w:rsid w:val="0079353D"/>
    <w:rsid w:val="007A0671"/>
    <w:rsid w:val="007A4E4F"/>
    <w:rsid w:val="007B5C1C"/>
    <w:rsid w:val="007D089E"/>
    <w:rsid w:val="007D75AC"/>
    <w:rsid w:val="007E484A"/>
    <w:rsid w:val="007F30F4"/>
    <w:rsid w:val="007F3E8E"/>
    <w:rsid w:val="007F61F4"/>
    <w:rsid w:val="00800EB5"/>
    <w:rsid w:val="008023F2"/>
    <w:rsid w:val="008059D1"/>
    <w:rsid w:val="00807DA9"/>
    <w:rsid w:val="008128B9"/>
    <w:rsid w:val="00814390"/>
    <w:rsid w:val="00821E15"/>
    <w:rsid w:val="008254C8"/>
    <w:rsid w:val="008262DE"/>
    <w:rsid w:val="00840F15"/>
    <w:rsid w:val="00843868"/>
    <w:rsid w:val="00844242"/>
    <w:rsid w:val="00846CAD"/>
    <w:rsid w:val="00847A2A"/>
    <w:rsid w:val="00852011"/>
    <w:rsid w:val="00855003"/>
    <w:rsid w:val="0085625B"/>
    <w:rsid w:val="008564C0"/>
    <w:rsid w:val="00857573"/>
    <w:rsid w:val="0086307D"/>
    <w:rsid w:val="0086763C"/>
    <w:rsid w:val="00871F57"/>
    <w:rsid w:val="00873DCF"/>
    <w:rsid w:val="0087572C"/>
    <w:rsid w:val="008929FD"/>
    <w:rsid w:val="008A1C5B"/>
    <w:rsid w:val="008B2B1F"/>
    <w:rsid w:val="008D036F"/>
    <w:rsid w:val="008D3FD3"/>
    <w:rsid w:val="008D764D"/>
    <w:rsid w:val="008E5010"/>
    <w:rsid w:val="008E5DDC"/>
    <w:rsid w:val="008F3A9C"/>
    <w:rsid w:val="008F733F"/>
    <w:rsid w:val="0090278C"/>
    <w:rsid w:val="00902C5F"/>
    <w:rsid w:val="00904AD1"/>
    <w:rsid w:val="00910DDC"/>
    <w:rsid w:val="00912C4B"/>
    <w:rsid w:val="009334D3"/>
    <w:rsid w:val="00933975"/>
    <w:rsid w:val="009371CA"/>
    <w:rsid w:val="00942004"/>
    <w:rsid w:val="00942FF5"/>
    <w:rsid w:val="00947EE0"/>
    <w:rsid w:val="00962F59"/>
    <w:rsid w:val="009660E5"/>
    <w:rsid w:val="0098216D"/>
    <w:rsid w:val="00984CC1"/>
    <w:rsid w:val="00992B18"/>
    <w:rsid w:val="009A0D0F"/>
    <w:rsid w:val="009A159F"/>
    <w:rsid w:val="009A6597"/>
    <w:rsid w:val="009B0BD4"/>
    <w:rsid w:val="009B5089"/>
    <w:rsid w:val="009B6DD5"/>
    <w:rsid w:val="009B712F"/>
    <w:rsid w:val="009C01FD"/>
    <w:rsid w:val="009C1A23"/>
    <w:rsid w:val="009C67E0"/>
    <w:rsid w:val="009D1496"/>
    <w:rsid w:val="009E5487"/>
    <w:rsid w:val="009F35B8"/>
    <w:rsid w:val="009F5BA8"/>
    <w:rsid w:val="00A03883"/>
    <w:rsid w:val="00A04073"/>
    <w:rsid w:val="00A04D70"/>
    <w:rsid w:val="00A13A59"/>
    <w:rsid w:val="00A159BB"/>
    <w:rsid w:val="00A258F1"/>
    <w:rsid w:val="00A31D90"/>
    <w:rsid w:val="00A336DE"/>
    <w:rsid w:val="00A41271"/>
    <w:rsid w:val="00A41276"/>
    <w:rsid w:val="00A45397"/>
    <w:rsid w:val="00A46391"/>
    <w:rsid w:val="00A47913"/>
    <w:rsid w:val="00A5361F"/>
    <w:rsid w:val="00A53D1B"/>
    <w:rsid w:val="00A607D6"/>
    <w:rsid w:val="00A61902"/>
    <w:rsid w:val="00A622B7"/>
    <w:rsid w:val="00A8057D"/>
    <w:rsid w:val="00A81C8E"/>
    <w:rsid w:val="00A838D1"/>
    <w:rsid w:val="00A93FA7"/>
    <w:rsid w:val="00AA2D67"/>
    <w:rsid w:val="00AA6841"/>
    <w:rsid w:val="00AC00BC"/>
    <w:rsid w:val="00AD01B4"/>
    <w:rsid w:val="00AD647D"/>
    <w:rsid w:val="00AD6BB7"/>
    <w:rsid w:val="00AE54B8"/>
    <w:rsid w:val="00AF0AE5"/>
    <w:rsid w:val="00AF3BA3"/>
    <w:rsid w:val="00AF3CBB"/>
    <w:rsid w:val="00AF4DAD"/>
    <w:rsid w:val="00B07C64"/>
    <w:rsid w:val="00B25851"/>
    <w:rsid w:val="00B31AAB"/>
    <w:rsid w:val="00B3532B"/>
    <w:rsid w:val="00B416CE"/>
    <w:rsid w:val="00B4403A"/>
    <w:rsid w:val="00B4443A"/>
    <w:rsid w:val="00B5450D"/>
    <w:rsid w:val="00B627CF"/>
    <w:rsid w:val="00B63C04"/>
    <w:rsid w:val="00B6558C"/>
    <w:rsid w:val="00B669B2"/>
    <w:rsid w:val="00B7014F"/>
    <w:rsid w:val="00B91036"/>
    <w:rsid w:val="00B914C5"/>
    <w:rsid w:val="00B93335"/>
    <w:rsid w:val="00BA308D"/>
    <w:rsid w:val="00BA3BA9"/>
    <w:rsid w:val="00BB76FB"/>
    <w:rsid w:val="00BC7FD6"/>
    <w:rsid w:val="00BD07A6"/>
    <w:rsid w:val="00BD32A0"/>
    <w:rsid w:val="00BD5BF7"/>
    <w:rsid w:val="00BE2B45"/>
    <w:rsid w:val="00BF003B"/>
    <w:rsid w:val="00BF1FF7"/>
    <w:rsid w:val="00BF5EBF"/>
    <w:rsid w:val="00C11C0E"/>
    <w:rsid w:val="00C178AE"/>
    <w:rsid w:val="00C17F3F"/>
    <w:rsid w:val="00C17FF7"/>
    <w:rsid w:val="00C2098A"/>
    <w:rsid w:val="00C20B1F"/>
    <w:rsid w:val="00C32F2D"/>
    <w:rsid w:val="00C4470A"/>
    <w:rsid w:val="00C4638E"/>
    <w:rsid w:val="00C5253F"/>
    <w:rsid w:val="00C55556"/>
    <w:rsid w:val="00C609B7"/>
    <w:rsid w:val="00C63DAD"/>
    <w:rsid w:val="00C65879"/>
    <w:rsid w:val="00C6635A"/>
    <w:rsid w:val="00C805EE"/>
    <w:rsid w:val="00C81EE1"/>
    <w:rsid w:val="00C865C3"/>
    <w:rsid w:val="00C87B47"/>
    <w:rsid w:val="00CA3403"/>
    <w:rsid w:val="00CA556E"/>
    <w:rsid w:val="00CB42B7"/>
    <w:rsid w:val="00CB6BC5"/>
    <w:rsid w:val="00CB77A0"/>
    <w:rsid w:val="00CC26DE"/>
    <w:rsid w:val="00CC4251"/>
    <w:rsid w:val="00CC42BB"/>
    <w:rsid w:val="00CC5147"/>
    <w:rsid w:val="00CC623D"/>
    <w:rsid w:val="00CC71A6"/>
    <w:rsid w:val="00CC7A34"/>
    <w:rsid w:val="00CD4673"/>
    <w:rsid w:val="00CD4D0B"/>
    <w:rsid w:val="00CE57C2"/>
    <w:rsid w:val="00CF18A5"/>
    <w:rsid w:val="00CF69B3"/>
    <w:rsid w:val="00D04BCE"/>
    <w:rsid w:val="00D10064"/>
    <w:rsid w:val="00D21A33"/>
    <w:rsid w:val="00D231C7"/>
    <w:rsid w:val="00D269FF"/>
    <w:rsid w:val="00D30F82"/>
    <w:rsid w:val="00D34D10"/>
    <w:rsid w:val="00D34E9D"/>
    <w:rsid w:val="00D43E17"/>
    <w:rsid w:val="00D53100"/>
    <w:rsid w:val="00D53E56"/>
    <w:rsid w:val="00D560A3"/>
    <w:rsid w:val="00D56DAA"/>
    <w:rsid w:val="00D57FD1"/>
    <w:rsid w:val="00D627FF"/>
    <w:rsid w:val="00D62CA0"/>
    <w:rsid w:val="00D6372D"/>
    <w:rsid w:val="00D75ADC"/>
    <w:rsid w:val="00D800D6"/>
    <w:rsid w:val="00D81D5F"/>
    <w:rsid w:val="00D8406E"/>
    <w:rsid w:val="00D86F41"/>
    <w:rsid w:val="00D8700B"/>
    <w:rsid w:val="00D922C8"/>
    <w:rsid w:val="00DB2DC9"/>
    <w:rsid w:val="00DB5DB3"/>
    <w:rsid w:val="00DC0B2C"/>
    <w:rsid w:val="00DC4EFC"/>
    <w:rsid w:val="00DE1ECA"/>
    <w:rsid w:val="00DE3A3D"/>
    <w:rsid w:val="00DE4A55"/>
    <w:rsid w:val="00DF1A9B"/>
    <w:rsid w:val="00DF3516"/>
    <w:rsid w:val="00E004FE"/>
    <w:rsid w:val="00E14729"/>
    <w:rsid w:val="00E150EE"/>
    <w:rsid w:val="00E16FDA"/>
    <w:rsid w:val="00E23A22"/>
    <w:rsid w:val="00E2614B"/>
    <w:rsid w:val="00E341F5"/>
    <w:rsid w:val="00E35B82"/>
    <w:rsid w:val="00E40EF6"/>
    <w:rsid w:val="00E42EB6"/>
    <w:rsid w:val="00E43AB2"/>
    <w:rsid w:val="00E46087"/>
    <w:rsid w:val="00E46CB7"/>
    <w:rsid w:val="00E506B4"/>
    <w:rsid w:val="00E56286"/>
    <w:rsid w:val="00E6063F"/>
    <w:rsid w:val="00E61A22"/>
    <w:rsid w:val="00E7486B"/>
    <w:rsid w:val="00E824DB"/>
    <w:rsid w:val="00E84412"/>
    <w:rsid w:val="00E90FEF"/>
    <w:rsid w:val="00E92161"/>
    <w:rsid w:val="00E92DC1"/>
    <w:rsid w:val="00EA11ED"/>
    <w:rsid w:val="00EC39C5"/>
    <w:rsid w:val="00ED26CE"/>
    <w:rsid w:val="00EE0D16"/>
    <w:rsid w:val="00EE2EA2"/>
    <w:rsid w:val="00EF40B4"/>
    <w:rsid w:val="00EF7E94"/>
    <w:rsid w:val="00F00350"/>
    <w:rsid w:val="00F13234"/>
    <w:rsid w:val="00F163DE"/>
    <w:rsid w:val="00F22FC6"/>
    <w:rsid w:val="00F233C3"/>
    <w:rsid w:val="00F24E97"/>
    <w:rsid w:val="00F33C6C"/>
    <w:rsid w:val="00F35D6D"/>
    <w:rsid w:val="00F57182"/>
    <w:rsid w:val="00F6459A"/>
    <w:rsid w:val="00F8342A"/>
    <w:rsid w:val="00F901D3"/>
    <w:rsid w:val="00F91F4E"/>
    <w:rsid w:val="00FA223A"/>
    <w:rsid w:val="00FB2097"/>
    <w:rsid w:val="00FB2BA4"/>
    <w:rsid w:val="00FC47DF"/>
    <w:rsid w:val="00FD6B53"/>
    <w:rsid w:val="00FE237B"/>
    <w:rsid w:val="00FE4012"/>
    <w:rsid w:val="00FE6F90"/>
    <w:rsid w:val="00FF00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5ACF"/>
  <w15:chartTrackingRefBased/>
  <w15:docId w15:val="{7EBAFA0C-E7B2-49AD-ADF1-ECD41DB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242"/>
  </w:style>
  <w:style w:type="paragraph" w:styleId="Heading2">
    <w:name w:val="heading 2"/>
    <w:basedOn w:val="Normal"/>
    <w:link w:val="Heading2Char"/>
    <w:uiPriority w:val="9"/>
    <w:qFormat/>
    <w:rsid w:val="0084424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242"/>
    <w:rPr>
      <w:rFonts w:ascii="Times New Roman" w:eastAsia="Times New Roman" w:hAnsi="Times New Roman" w:cs="Times New Roman"/>
      <w:b/>
      <w:bCs/>
      <w:sz w:val="36"/>
      <w:szCs w:val="36"/>
      <w:lang w:eastAsia="en-ZA"/>
    </w:rPr>
  </w:style>
  <w:style w:type="paragraph" w:styleId="ListParagraph">
    <w:name w:val="List Paragraph"/>
    <w:basedOn w:val="Normal"/>
    <w:link w:val="ListParagraphChar"/>
    <w:uiPriority w:val="34"/>
    <w:qFormat/>
    <w:rsid w:val="00844242"/>
    <w:pPr>
      <w:ind w:left="720"/>
      <w:contextualSpacing/>
    </w:pPr>
  </w:style>
  <w:style w:type="character" w:customStyle="1" w:styleId="ListParagraphChar">
    <w:name w:val="List Paragraph Char"/>
    <w:link w:val="ListParagraph"/>
    <w:uiPriority w:val="34"/>
    <w:rsid w:val="00844242"/>
  </w:style>
  <w:style w:type="paragraph" w:styleId="FootnoteText">
    <w:name w:val="footnote text"/>
    <w:basedOn w:val="Normal"/>
    <w:link w:val="FootnoteTextChar"/>
    <w:uiPriority w:val="99"/>
    <w:unhideWhenUsed/>
    <w:rsid w:val="00844242"/>
    <w:pPr>
      <w:spacing w:after="0" w:line="240" w:lineRule="auto"/>
    </w:pPr>
    <w:rPr>
      <w:sz w:val="20"/>
      <w:szCs w:val="20"/>
    </w:rPr>
  </w:style>
  <w:style w:type="character" w:customStyle="1" w:styleId="FootnoteTextChar">
    <w:name w:val="Footnote Text Char"/>
    <w:basedOn w:val="DefaultParagraphFont"/>
    <w:link w:val="FootnoteText"/>
    <w:uiPriority w:val="99"/>
    <w:rsid w:val="00844242"/>
    <w:rPr>
      <w:sz w:val="20"/>
      <w:szCs w:val="20"/>
    </w:rPr>
  </w:style>
  <w:style w:type="character" w:styleId="FootnoteReference">
    <w:name w:val="footnote reference"/>
    <w:basedOn w:val="DefaultParagraphFont"/>
    <w:uiPriority w:val="99"/>
    <w:unhideWhenUsed/>
    <w:rsid w:val="00844242"/>
    <w:rPr>
      <w:vertAlign w:val="superscript"/>
    </w:rPr>
  </w:style>
  <w:style w:type="character" w:styleId="Hyperlink">
    <w:name w:val="Hyperlink"/>
    <w:basedOn w:val="DefaultParagraphFont"/>
    <w:uiPriority w:val="99"/>
    <w:unhideWhenUsed/>
    <w:rsid w:val="00844242"/>
    <w:rPr>
      <w:color w:val="0563C1" w:themeColor="hyperlink"/>
      <w:u w:val="single"/>
    </w:rPr>
  </w:style>
  <w:style w:type="paragraph" w:styleId="NormalWeb">
    <w:name w:val="Normal (Web)"/>
    <w:basedOn w:val="Normal"/>
    <w:uiPriority w:val="99"/>
    <w:unhideWhenUsed/>
    <w:rsid w:val="0084424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rsid w:val="00844242"/>
    <w:pPr>
      <w:tabs>
        <w:tab w:val="center" w:pos="4320"/>
        <w:tab w:val="right" w:pos="8640"/>
      </w:tabs>
      <w:spacing w:after="0" w:line="240" w:lineRule="auto"/>
    </w:pPr>
    <w:rPr>
      <w:rFonts w:ascii="Arial" w:eastAsia="Times New Roman" w:hAnsi="Arial" w:cs="Arial"/>
      <w:spacing w:val="12"/>
      <w:w w:val="104"/>
      <w:sz w:val="24"/>
      <w:szCs w:val="24"/>
      <w:lang w:val="en-GB"/>
    </w:rPr>
  </w:style>
  <w:style w:type="character" w:customStyle="1" w:styleId="HeaderChar">
    <w:name w:val="Header Char"/>
    <w:basedOn w:val="DefaultParagraphFont"/>
    <w:link w:val="Header"/>
    <w:uiPriority w:val="99"/>
    <w:rsid w:val="00844242"/>
    <w:rPr>
      <w:rFonts w:ascii="Arial" w:eastAsia="Times New Roman" w:hAnsi="Arial" w:cs="Arial"/>
      <w:spacing w:val="12"/>
      <w:w w:val="104"/>
      <w:sz w:val="24"/>
      <w:szCs w:val="24"/>
      <w:lang w:val="en-GB"/>
    </w:rPr>
  </w:style>
  <w:style w:type="paragraph" w:customStyle="1" w:styleId="GW13">
    <w:name w:val="GW1.3"/>
    <w:basedOn w:val="Normal"/>
    <w:rsid w:val="00844242"/>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table" w:styleId="TableGrid">
    <w:name w:val="Table Grid"/>
    <w:basedOn w:val="TableNormal"/>
    <w:uiPriority w:val="39"/>
    <w:rsid w:val="00844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lii.org/za/legis/consol_act/da19799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4D4E-A7D4-4B90-80C4-F4525B65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5532</Words>
  <Characters>31534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2023-02-24T10:45:00Z</cp:lastPrinted>
  <dcterms:created xsi:type="dcterms:W3CDTF">2023-03-08T09:39:00Z</dcterms:created>
  <dcterms:modified xsi:type="dcterms:W3CDTF">2023-03-08T09:42:00Z</dcterms:modified>
</cp:coreProperties>
</file>