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95DEE" w14:textId="77777777" w:rsidR="00283C98" w:rsidRDefault="00283C98" w:rsidP="00283C98">
      <w:pPr>
        <w:spacing w:line="480" w:lineRule="auto"/>
        <w:jc w:val="center"/>
        <w:rPr>
          <w:rFonts w:ascii="Arial" w:hAnsi="Arial" w:cs="Arial"/>
          <w:b/>
          <w:sz w:val="24"/>
          <w:szCs w:val="24"/>
        </w:rPr>
      </w:pPr>
      <w:r>
        <w:rPr>
          <w:rFonts w:ascii="Arial" w:hAnsi="Arial" w:cs="Arial"/>
          <w:b/>
          <w:noProof/>
          <w:sz w:val="24"/>
          <w:szCs w:val="24"/>
          <w:lang w:val="en-US"/>
        </w:rPr>
        <w:drawing>
          <wp:inline distT="0" distB="0" distL="0" distR="0" wp14:anchorId="46EB1A6B" wp14:editId="4461645F">
            <wp:extent cx="1987550" cy="1652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r>
        <w:rPr>
          <w:noProof/>
          <w:lang w:val="en-US"/>
        </w:rPr>
        <mc:AlternateContent>
          <mc:Choice Requires="wps">
            <w:drawing>
              <wp:inline distT="0" distB="0" distL="0" distR="0" wp14:anchorId="675460C2" wp14:editId="2B10E0EC">
                <wp:extent cx="301625" cy="301625"/>
                <wp:effectExtent l="0" t="0" r="0" b="0"/>
                <wp:docPr id="2" name="AutoShape 3"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9520420" id="AutoShape 3"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r w:rsidRPr="00D275D6">
        <w:rPr>
          <w:rFonts w:ascii="Arial" w:hAnsi="Arial" w:cs="Arial"/>
          <w:b/>
          <w:noProof/>
          <w:sz w:val="24"/>
          <w:szCs w:val="24"/>
          <w:lang w:val="en-US"/>
        </w:rPr>
        <mc:AlternateContent>
          <mc:Choice Requires="wps">
            <w:drawing>
              <wp:inline distT="0" distB="0" distL="0" distR="0" wp14:anchorId="41918D89" wp14:editId="07EF8568">
                <wp:extent cx="301625" cy="301625"/>
                <wp:effectExtent l="0" t="0" r="0" b="0"/>
                <wp:docPr id="1" name="Rectangle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4DC969BE" id="Rectangle 1"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p>
    <w:p w14:paraId="686547D4" w14:textId="77777777" w:rsidR="00283C98" w:rsidRPr="002322FF" w:rsidRDefault="00283C98" w:rsidP="00283C98">
      <w:pPr>
        <w:ind w:right="-613"/>
        <w:rPr>
          <w:rFonts w:ascii="Arial" w:hAnsi="Arial" w:cs="Arial"/>
          <w:b/>
          <w:sz w:val="24"/>
          <w:szCs w:val="24"/>
        </w:rPr>
      </w:pPr>
      <w:r>
        <w:rPr>
          <w:rFonts w:ascii="Arial" w:hAnsi="Arial" w:cs="Arial"/>
          <w:b/>
          <w:sz w:val="24"/>
          <w:szCs w:val="24"/>
        </w:rPr>
        <w:t xml:space="preserve">                                 </w:t>
      </w:r>
      <w:r w:rsidRPr="002322FF">
        <w:rPr>
          <w:rFonts w:ascii="Arial" w:hAnsi="Arial" w:cs="Arial"/>
          <w:b/>
          <w:sz w:val="24"/>
          <w:szCs w:val="24"/>
        </w:rPr>
        <w:t>IN THE HIGH COURT OF SOUTH AFRICA</w:t>
      </w:r>
      <w:r>
        <w:rPr>
          <w:rFonts w:ascii="Arial" w:hAnsi="Arial" w:cs="Arial"/>
          <w:b/>
          <w:sz w:val="24"/>
          <w:szCs w:val="24"/>
        </w:rPr>
        <w:t xml:space="preserve">            </w:t>
      </w:r>
    </w:p>
    <w:p w14:paraId="10817E17" w14:textId="77777777" w:rsidR="00283C98" w:rsidRPr="002322FF" w:rsidRDefault="00283C98" w:rsidP="00283C98">
      <w:pPr>
        <w:spacing w:line="600" w:lineRule="auto"/>
        <w:jc w:val="center"/>
        <w:rPr>
          <w:rFonts w:ascii="Arial" w:hAnsi="Arial" w:cs="Arial"/>
          <w:b/>
          <w:sz w:val="24"/>
          <w:szCs w:val="24"/>
        </w:rPr>
      </w:pPr>
      <w:r w:rsidRPr="002322FF">
        <w:rPr>
          <w:rFonts w:ascii="Arial" w:hAnsi="Arial" w:cs="Arial"/>
          <w:b/>
          <w:sz w:val="24"/>
          <w:szCs w:val="24"/>
        </w:rPr>
        <w:t xml:space="preserve">(EASTERN CAPE DIVISION, </w:t>
      </w:r>
      <w:r>
        <w:rPr>
          <w:rFonts w:ascii="Arial" w:hAnsi="Arial" w:cs="Arial"/>
          <w:b/>
          <w:sz w:val="24"/>
          <w:szCs w:val="24"/>
        </w:rPr>
        <w:t>MAKHANDA</w:t>
      </w:r>
      <w:r w:rsidRPr="002322FF">
        <w:rPr>
          <w:rFonts w:ascii="Arial" w:hAnsi="Arial" w:cs="Arial"/>
          <w:b/>
          <w:sz w:val="24"/>
          <w:szCs w:val="24"/>
        </w:rPr>
        <w:t>)</w:t>
      </w:r>
    </w:p>
    <w:p w14:paraId="52CEE550" w14:textId="77777777" w:rsidR="00283C98" w:rsidRPr="002322FF" w:rsidRDefault="00283C98" w:rsidP="00283C98">
      <w:pPr>
        <w:jc w:val="right"/>
        <w:rPr>
          <w:rFonts w:ascii="Arial" w:hAnsi="Arial" w:cs="Arial"/>
          <w:b/>
          <w:sz w:val="24"/>
          <w:szCs w:val="24"/>
        </w:rPr>
      </w:pP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p>
    <w:p w14:paraId="6640074D" w14:textId="77777777" w:rsidR="00283C98" w:rsidRDefault="00283C98" w:rsidP="00283C98">
      <w:pPr>
        <w:spacing w:line="600" w:lineRule="auto"/>
        <w:jc w:val="both"/>
        <w:rPr>
          <w:rFonts w:ascii="Arial" w:hAnsi="Arial" w:cs="Arial"/>
          <w:sz w:val="24"/>
          <w:szCs w:val="24"/>
        </w:rPr>
      </w:pPr>
      <w:r w:rsidRPr="002322FF">
        <w:rPr>
          <w:rFonts w:ascii="Arial" w:hAnsi="Arial" w:cs="Arial"/>
          <w:sz w:val="24"/>
          <w:szCs w:val="24"/>
        </w:rPr>
        <w:t>In the matter between:</w:t>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t xml:space="preserve">             </w:t>
      </w:r>
      <w:r>
        <w:rPr>
          <w:rFonts w:ascii="Arial" w:hAnsi="Arial" w:cs="Arial"/>
          <w:sz w:val="24"/>
          <w:szCs w:val="24"/>
        </w:rPr>
        <w:t xml:space="preserve">     </w:t>
      </w:r>
      <w:r w:rsidRPr="002322FF">
        <w:rPr>
          <w:rFonts w:ascii="Arial" w:hAnsi="Arial" w:cs="Arial"/>
          <w:sz w:val="24"/>
          <w:szCs w:val="24"/>
        </w:rPr>
        <w:t xml:space="preserve">Case No: </w:t>
      </w:r>
      <w:r>
        <w:rPr>
          <w:rFonts w:ascii="Arial" w:hAnsi="Arial" w:cs="Arial"/>
          <w:sz w:val="24"/>
          <w:szCs w:val="24"/>
        </w:rPr>
        <w:t>250/2020</w:t>
      </w:r>
    </w:p>
    <w:p w14:paraId="4164FBA0" w14:textId="77777777" w:rsidR="00283C98" w:rsidRDefault="00283C98" w:rsidP="00283C98">
      <w:pPr>
        <w:pStyle w:val="GW12"/>
        <w:tabs>
          <w:tab w:val="clear" w:pos="6048"/>
          <w:tab w:val="clear" w:pos="8640"/>
          <w:tab w:val="left" w:pos="4820"/>
          <w:tab w:val="right" w:pos="9072"/>
        </w:tabs>
        <w:ind w:right="-46"/>
        <w:jc w:val="left"/>
        <w:rPr>
          <w:rFonts w:ascii="Arial" w:hAnsi="Arial" w:cs="Arial"/>
          <w:b/>
          <w:szCs w:val="24"/>
        </w:rPr>
      </w:pPr>
      <w:r>
        <w:rPr>
          <w:rFonts w:ascii="Arial" w:hAnsi="Arial" w:cs="Arial"/>
          <w:b/>
          <w:szCs w:val="24"/>
        </w:rPr>
        <w:t>AFRICAN PAPER PRODUCTS (PTY) LTD</w:t>
      </w:r>
      <w:r>
        <w:rPr>
          <w:rFonts w:ascii="Arial" w:hAnsi="Arial" w:cs="Arial"/>
          <w:b/>
          <w:szCs w:val="24"/>
        </w:rPr>
        <w:tab/>
        <w:t xml:space="preserve"> </w:t>
      </w:r>
      <w:r>
        <w:rPr>
          <w:rFonts w:ascii="Arial" w:hAnsi="Arial" w:cs="Arial"/>
          <w:b/>
          <w:szCs w:val="24"/>
        </w:rPr>
        <w:tab/>
      </w:r>
      <w:r w:rsidRPr="00F7134F">
        <w:rPr>
          <w:rFonts w:ascii="Arial" w:hAnsi="Arial" w:cs="Arial"/>
          <w:bCs/>
          <w:szCs w:val="24"/>
        </w:rPr>
        <w:t xml:space="preserve">First </w:t>
      </w:r>
      <w:r w:rsidRPr="0052758A">
        <w:rPr>
          <w:rFonts w:ascii="Arial" w:hAnsi="Arial" w:cs="Arial"/>
          <w:bCs/>
          <w:szCs w:val="24"/>
        </w:rPr>
        <w:t>Applicant</w:t>
      </w:r>
    </w:p>
    <w:p w14:paraId="189C597E" w14:textId="77777777" w:rsidR="00283C98" w:rsidRDefault="00283C98" w:rsidP="00283C98">
      <w:pPr>
        <w:pStyle w:val="GW12"/>
        <w:tabs>
          <w:tab w:val="clear" w:pos="6048"/>
          <w:tab w:val="clear" w:pos="8640"/>
          <w:tab w:val="left" w:pos="4820"/>
          <w:tab w:val="right" w:pos="9072"/>
        </w:tabs>
        <w:ind w:right="-46"/>
        <w:jc w:val="left"/>
        <w:rPr>
          <w:rFonts w:ascii="Arial" w:hAnsi="Arial" w:cs="Arial"/>
          <w:bCs/>
          <w:szCs w:val="24"/>
        </w:rPr>
      </w:pPr>
    </w:p>
    <w:p w14:paraId="4121F856" w14:textId="77777777" w:rsidR="00283C98" w:rsidRPr="00F7134F" w:rsidRDefault="00283C98" w:rsidP="00283C98">
      <w:pPr>
        <w:pStyle w:val="GW12"/>
        <w:tabs>
          <w:tab w:val="clear" w:pos="6048"/>
          <w:tab w:val="clear" w:pos="8640"/>
          <w:tab w:val="left" w:pos="4820"/>
          <w:tab w:val="right" w:pos="9072"/>
        </w:tabs>
        <w:ind w:right="-46"/>
        <w:jc w:val="left"/>
        <w:rPr>
          <w:rFonts w:ascii="Arial" w:hAnsi="Arial" w:cs="Arial"/>
          <w:b/>
          <w:szCs w:val="24"/>
        </w:rPr>
      </w:pPr>
      <w:r w:rsidRPr="00F7134F">
        <w:rPr>
          <w:rFonts w:ascii="Arial" w:hAnsi="Arial" w:cs="Arial"/>
          <w:b/>
          <w:szCs w:val="24"/>
        </w:rPr>
        <w:t>VISHAL DEVRAJ SEEBRAN</w:t>
      </w:r>
      <w:r>
        <w:rPr>
          <w:rFonts w:ascii="Arial" w:hAnsi="Arial" w:cs="Arial"/>
          <w:b/>
          <w:szCs w:val="24"/>
        </w:rPr>
        <w:t xml:space="preserve">  </w:t>
      </w:r>
      <w:r>
        <w:rPr>
          <w:rFonts w:ascii="Arial" w:hAnsi="Arial" w:cs="Arial"/>
          <w:b/>
          <w:szCs w:val="24"/>
        </w:rPr>
        <w:tab/>
      </w:r>
      <w:r>
        <w:rPr>
          <w:rFonts w:ascii="Arial" w:hAnsi="Arial" w:cs="Arial"/>
          <w:b/>
          <w:szCs w:val="24"/>
        </w:rPr>
        <w:tab/>
      </w:r>
      <w:r>
        <w:rPr>
          <w:rFonts w:ascii="Arial" w:hAnsi="Arial" w:cs="Arial"/>
          <w:b/>
          <w:szCs w:val="24"/>
        </w:rPr>
        <w:tab/>
      </w:r>
      <w:r w:rsidRPr="00F7134F">
        <w:rPr>
          <w:rFonts w:ascii="Arial" w:hAnsi="Arial" w:cs="Arial"/>
          <w:bCs/>
          <w:szCs w:val="24"/>
        </w:rPr>
        <w:t>Second Applicant</w:t>
      </w:r>
    </w:p>
    <w:p w14:paraId="4F40D29C" w14:textId="77777777" w:rsidR="00283C98" w:rsidRPr="00F7134F" w:rsidRDefault="00283C98" w:rsidP="00283C98">
      <w:pPr>
        <w:pStyle w:val="GW12"/>
        <w:tabs>
          <w:tab w:val="clear" w:pos="6048"/>
          <w:tab w:val="clear" w:pos="8640"/>
          <w:tab w:val="left" w:pos="4820"/>
          <w:tab w:val="right" w:pos="9072"/>
        </w:tabs>
        <w:ind w:right="-46"/>
        <w:jc w:val="left"/>
        <w:rPr>
          <w:rFonts w:ascii="Arial" w:hAnsi="Arial" w:cs="Arial"/>
          <w:bCs/>
          <w:szCs w:val="24"/>
        </w:rPr>
      </w:pPr>
      <w:r w:rsidRPr="00F7134F">
        <w:rPr>
          <w:rFonts w:ascii="Arial" w:hAnsi="Arial" w:cs="Arial"/>
          <w:bCs/>
          <w:szCs w:val="24"/>
        </w:rPr>
        <w:tab/>
      </w:r>
      <w:r w:rsidRPr="00F7134F">
        <w:rPr>
          <w:rFonts w:ascii="Arial" w:hAnsi="Arial" w:cs="Arial"/>
          <w:bCs/>
          <w:szCs w:val="24"/>
        </w:rPr>
        <w:tab/>
      </w:r>
      <w:r w:rsidRPr="00F7134F">
        <w:rPr>
          <w:rFonts w:ascii="Arial" w:hAnsi="Arial" w:cs="Arial"/>
          <w:bCs/>
          <w:szCs w:val="24"/>
        </w:rPr>
        <w:tab/>
      </w:r>
    </w:p>
    <w:p w14:paraId="04DC7C93" w14:textId="77777777" w:rsidR="00283C98" w:rsidRPr="005E0A83" w:rsidRDefault="00283C98" w:rsidP="00283C98">
      <w:pPr>
        <w:pStyle w:val="GW11"/>
        <w:rPr>
          <w:rFonts w:ascii="Arial" w:hAnsi="Arial" w:cs="Arial"/>
          <w:szCs w:val="24"/>
        </w:rPr>
      </w:pPr>
      <w:r w:rsidRPr="005E0A83">
        <w:rPr>
          <w:rFonts w:ascii="Arial" w:hAnsi="Arial" w:cs="Arial"/>
          <w:szCs w:val="24"/>
        </w:rPr>
        <w:t>and</w:t>
      </w:r>
    </w:p>
    <w:p w14:paraId="19A3B4F9" w14:textId="77777777" w:rsidR="00283C98" w:rsidRPr="005E0A83" w:rsidRDefault="00283C98" w:rsidP="00283C98">
      <w:pPr>
        <w:pStyle w:val="GW12"/>
        <w:tabs>
          <w:tab w:val="clear" w:pos="8640"/>
          <w:tab w:val="right" w:pos="9072"/>
        </w:tabs>
        <w:ind w:right="471"/>
        <w:rPr>
          <w:rFonts w:ascii="Arial" w:hAnsi="Arial" w:cs="Arial"/>
          <w:b/>
          <w:szCs w:val="24"/>
        </w:rPr>
      </w:pPr>
      <w:r w:rsidRPr="005E0A83">
        <w:rPr>
          <w:rFonts w:ascii="Arial" w:hAnsi="Arial" w:cs="Arial"/>
          <w:b/>
          <w:szCs w:val="24"/>
        </w:rPr>
        <w:t xml:space="preserve"> </w:t>
      </w:r>
    </w:p>
    <w:p w14:paraId="38627652" w14:textId="77777777" w:rsidR="00283C98" w:rsidRDefault="00283C98" w:rsidP="00283C98">
      <w:pPr>
        <w:pStyle w:val="GW12"/>
        <w:tabs>
          <w:tab w:val="clear" w:pos="6048"/>
          <w:tab w:val="clear" w:pos="8640"/>
          <w:tab w:val="right" w:pos="9072"/>
        </w:tabs>
        <w:ind w:right="-46"/>
        <w:rPr>
          <w:rFonts w:ascii="Arial" w:hAnsi="Arial" w:cs="Arial"/>
          <w:b/>
          <w:szCs w:val="24"/>
        </w:rPr>
      </w:pPr>
      <w:r>
        <w:rPr>
          <w:rFonts w:ascii="Arial" w:hAnsi="Arial" w:cs="Arial"/>
          <w:b/>
          <w:szCs w:val="24"/>
        </w:rPr>
        <w:t xml:space="preserve">THE DIRECTOR OF PUBLIC PROSECUTIONS: </w:t>
      </w:r>
      <w:r>
        <w:rPr>
          <w:rFonts w:ascii="Arial" w:hAnsi="Arial" w:cs="Arial"/>
          <w:b/>
          <w:szCs w:val="24"/>
        </w:rPr>
        <w:tab/>
        <w:t xml:space="preserve"> </w:t>
      </w:r>
      <w:r w:rsidRPr="00F7134F">
        <w:rPr>
          <w:rFonts w:ascii="Arial" w:hAnsi="Arial" w:cs="Arial"/>
          <w:bCs/>
          <w:szCs w:val="24"/>
        </w:rPr>
        <w:t xml:space="preserve">First </w:t>
      </w:r>
      <w:r w:rsidRPr="005E0A83">
        <w:rPr>
          <w:rFonts w:ascii="Arial" w:hAnsi="Arial" w:cs="Arial"/>
          <w:szCs w:val="24"/>
        </w:rPr>
        <w:t>Respondent</w:t>
      </w:r>
    </w:p>
    <w:p w14:paraId="3461F4AB" w14:textId="77777777" w:rsidR="00283C98" w:rsidRDefault="00283C98" w:rsidP="00283C98">
      <w:pPr>
        <w:pStyle w:val="GW12"/>
        <w:tabs>
          <w:tab w:val="clear" w:pos="6048"/>
          <w:tab w:val="clear" w:pos="8640"/>
          <w:tab w:val="right" w:pos="8931"/>
        </w:tabs>
        <w:ind w:right="-46"/>
        <w:rPr>
          <w:rFonts w:ascii="Arial" w:hAnsi="Arial" w:cs="Arial"/>
          <w:szCs w:val="24"/>
        </w:rPr>
      </w:pPr>
      <w:r>
        <w:rPr>
          <w:rFonts w:ascii="Arial" w:hAnsi="Arial" w:cs="Arial"/>
          <w:b/>
          <w:szCs w:val="24"/>
        </w:rPr>
        <w:t>EASTERN CAPE</w:t>
      </w:r>
      <w:r w:rsidRPr="005E0A83">
        <w:rPr>
          <w:rFonts w:ascii="Arial" w:hAnsi="Arial" w:cs="Arial"/>
          <w:b/>
          <w:szCs w:val="24"/>
        </w:rPr>
        <w:t xml:space="preserve">                                                   </w:t>
      </w:r>
      <w:r>
        <w:rPr>
          <w:rFonts w:ascii="Arial" w:hAnsi="Arial" w:cs="Arial"/>
          <w:b/>
          <w:szCs w:val="24"/>
        </w:rPr>
        <w:tab/>
      </w:r>
    </w:p>
    <w:p w14:paraId="2CF40589" w14:textId="77777777" w:rsidR="00283C98" w:rsidRDefault="00283C98" w:rsidP="00283C98">
      <w:pPr>
        <w:pStyle w:val="GW12"/>
        <w:tabs>
          <w:tab w:val="clear" w:pos="6048"/>
          <w:tab w:val="clear" w:pos="8640"/>
          <w:tab w:val="right" w:pos="8931"/>
        </w:tabs>
        <w:ind w:right="-46"/>
        <w:rPr>
          <w:rFonts w:ascii="Arial" w:hAnsi="Arial" w:cs="Arial"/>
          <w:szCs w:val="24"/>
        </w:rPr>
      </w:pPr>
    </w:p>
    <w:p w14:paraId="28852233" w14:textId="77777777" w:rsidR="00283C98" w:rsidRDefault="00283C98" w:rsidP="00283C98">
      <w:pPr>
        <w:pStyle w:val="GW12"/>
        <w:tabs>
          <w:tab w:val="clear" w:pos="6048"/>
          <w:tab w:val="clear" w:pos="8640"/>
          <w:tab w:val="right" w:pos="8931"/>
        </w:tabs>
        <w:ind w:right="-46"/>
        <w:rPr>
          <w:rFonts w:ascii="Arial" w:hAnsi="Arial" w:cs="Arial"/>
          <w:b/>
          <w:szCs w:val="24"/>
        </w:rPr>
      </w:pPr>
      <w:r>
        <w:rPr>
          <w:rFonts w:ascii="Arial" w:hAnsi="Arial" w:cs="Arial"/>
          <w:b/>
          <w:szCs w:val="24"/>
        </w:rPr>
        <w:t xml:space="preserve">THE REGIONAL MAGISTRATE COMMERCIAL                                </w:t>
      </w:r>
      <w:r>
        <w:rPr>
          <w:rFonts w:ascii="Arial" w:hAnsi="Arial" w:cs="Arial"/>
          <w:bCs/>
          <w:szCs w:val="24"/>
        </w:rPr>
        <w:t>Second</w:t>
      </w:r>
      <w:r w:rsidRPr="00F7134F">
        <w:rPr>
          <w:rFonts w:ascii="Arial" w:hAnsi="Arial" w:cs="Arial"/>
          <w:bCs/>
          <w:szCs w:val="24"/>
        </w:rPr>
        <w:t xml:space="preserve"> </w:t>
      </w:r>
      <w:r w:rsidRPr="005E0A83">
        <w:rPr>
          <w:rFonts w:ascii="Arial" w:hAnsi="Arial" w:cs="Arial"/>
          <w:szCs w:val="24"/>
        </w:rPr>
        <w:t>Respondent</w:t>
      </w:r>
    </w:p>
    <w:p w14:paraId="167DD8AB" w14:textId="77777777" w:rsidR="00283C98" w:rsidRDefault="00283C98" w:rsidP="00283C98">
      <w:pPr>
        <w:pStyle w:val="GW12"/>
        <w:tabs>
          <w:tab w:val="clear" w:pos="6048"/>
          <w:tab w:val="clear" w:pos="8640"/>
          <w:tab w:val="right" w:pos="8931"/>
        </w:tabs>
        <w:ind w:right="-46"/>
        <w:rPr>
          <w:rFonts w:ascii="Arial" w:hAnsi="Arial" w:cs="Arial"/>
          <w:b/>
          <w:szCs w:val="24"/>
        </w:rPr>
      </w:pPr>
      <w:r>
        <w:rPr>
          <w:rFonts w:ascii="Arial" w:hAnsi="Arial" w:cs="Arial"/>
          <w:b/>
          <w:szCs w:val="24"/>
        </w:rPr>
        <w:t>CRIMES COURT, PORT ELIZABETH</w:t>
      </w:r>
    </w:p>
    <w:p w14:paraId="74EDDF4D" w14:textId="77777777" w:rsidR="00283C98" w:rsidRPr="005E0A83" w:rsidRDefault="00283C98" w:rsidP="00283C98">
      <w:pPr>
        <w:pStyle w:val="GW12"/>
        <w:tabs>
          <w:tab w:val="clear" w:pos="6048"/>
          <w:tab w:val="clear" w:pos="8640"/>
          <w:tab w:val="right" w:pos="8931"/>
        </w:tabs>
        <w:ind w:right="-46"/>
        <w:rPr>
          <w:rFonts w:ascii="Arial" w:hAnsi="Arial" w:cs="Arial"/>
          <w:szCs w:val="24"/>
        </w:rPr>
      </w:pPr>
      <w:r>
        <w:rPr>
          <w:rFonts w:ascii="Arial" w:hAnsi="Arial" w:cs="Arial"/>
          <w:b/>
          <w:szCs w:val="24"/>
        </w:rPr>
        <w:t>MR CLAASEN</w:t>
      </w:r>
      <w:r w:rsidRPr="005E0A83">
        <w:rPr>
          <w:rFonts w:ascii="Arial" w:hAnsi="Arial" w:cs="Arial"/>
          <w:b/>
          <w:szCs w:val="24"/>
        </w:rPr>
        <w:t xml:space="preserve">                                                   </w:t>
      </w:r>
      <w:r>
        <w:rPr>
          <w:rFonts w:ascii="Arial" w:hAnsi="Arial" w:cs="Arial"/>
          <w:b/>
          <w:szCs w:val="24"/>
        </w:rPr>
        <w:tab/>
      </w:r>
    </w:p>
    <w:p w14:paraId="77E77A2D" w14:textId="77777777" w:rsidR="00283C98" w:rsidRPr="005E0A83" w:rsidRDefault="00283C98" w:rsidP="00283C98">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064701A5" w14:textId="77777777" w:rsidR="00283C98" w:rsidRPr="005E0A83" w:rsidRDefault="00283C98" w:rsidP="00283C98">
      <w:pPr>
        <w:pStyle w:val="GW13"/>
        <w:tabs>
          <w:tab w:val="clear" w:pos="8640"/>
        </w:tabs>
        <w:spacing w:line="240" w:lineRule="auto"/>
        <w:ind w:right="-45"/>
        <w:jc w:val="center"/>
        <w:rPr>
          <w:rFonts w:ascii="Arial" w:hAnsi="Arial" w:cs="Arial"/>
          <w:b/>
          <w:szCs w:val="24"/>
        </w:rPr>
      </w:pPr>
    </w:p>
    <w:p w14:paraId="6D16BCA1" w14:textId="718447E0" w:rsidR="00283C98" w:rsidRPr="005E0A83" w:rsidRDefault="00283C98" w:rsidP="00283C98">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JUDGMENT</w:t>
      </w:r>
      <w:r w:rsidR="00996A7B">
        <w:rPr>
          <w:rFonts w:ascii="Arial" w:hAnsi="Arial" w:cs="Arial"/>
          <w:b/>
          <w:szCs w:val="24"/>
        </w:rPr>
        <w:t xml:space="preserve"> ON APPLICATION FOR LEAVE TO APPEAL</w:t>
      </w:r>
    </w:p>
    <w:p w14:paraId="1C4F5457" w14:textId="77777777" w:rsidR="00283C98" w:rsidRPr="005E0A83" w:rsidRDefault="00283C98" w:rsidP="00283C98">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___________________________________________________________________</w:t>
      </w:r>
    </w:p>
    <w:p w14:paraId="5E18B809" w14:textId="77777777" w:rsidR="00283C98" w:rsidRDefault="00283C98" w:rsidP="00283C98">
      <w:pPr>
        <w:pStyle w:val="GW13"/>
        <w:tabs>
          <w:tab w:val="clear" w:pos="8640"/>
          <w:tab w:val="right" w:pos="9072"/>
        </w:tabs>
        <w:spacing w:line="480" w:lineRule="auto"/>
        <w:ind w:right="-46"/>
        <w:rPr>
          <w:rFonts w:ascii="Arial" w:hAnsi="Arial" w:cs="Arial"/>
          <w:b/>
          <w:szCs w:val="24"/>
          <w:u w:val="single"/>
        </w:rPr>
      </w:pPr>
    </w:p>
    <w:p w14:paraId="2A635E28" w14:textId="21589354" w:rsidR="00283C98" w:rsidRPr="005A63F9" w:rsidRDefault="00283C98" w:rsidP="00283C98">
      <w:pPr>
        <w:pStyle w:val="GW13"/>
        <w:tabs>
          <w:tab w:val="clear" w:pos="8640"/>
          <w:tab w:val="right" w:pos="9072"/>
        </w:tabs>
        <w:spacing w:line="480" w:lineRule="auto"/>
        <w:ind w:right="-46"/>
        <w:rPr>
          <w:rFonts w:ascii="Arial" w:hAnsi="Arial" w:cs="Arial"/>
          <w:b/>
          <w:szCs w:val="24"/>
          <w:u w:val="single"/>
        </w:rPr>
      </w:pPr>
      <w:r w:rsidRPr="005A63F9">
        <w:rPr>
          <w:rFonts w:ascii="Arial" w:hAnsi="Arial" w:cs="Arial"/>
          <w:b/>
          <w:szCs w:val="24"/>
          <w:u w:val="single"/>
        </w:rPr>
        <w:t>BANDS AJ:</w:t>
      </w:r>
    </w:p>
    <w:p w14:paraId="411FE21F" w14:textId="30D05B44" w:rsidR="00283C98" w:rsidRDefault="00283C98" w:rsidP="00283C98">
      <w:pPr>
        <w:spacing w:after="0" w:line="480" w:lineRule="auto"/>
        <w:jc w:val="both"/>
        <w:rPr>
          <w:rFonts w:ascii="Arial" w:hAnsi="Arial" w:cs="Arial"/>
          <w:sz w:val="24"/>
          <w:szCs w:val="24"/>
        </w:rPr>
      </w:pPr>
    </w:p>
    <w:p w14:paraId="6656029C" w14:textId="617BBBCC" w:rsidR="00283C98" w:rsidRPr="007E1EEE" w:rsidRDefault="007E1EEE" w:rsidP="007E1EEE">
      <w:pPr>
        <w:spacing w:after="0" w:line="480" w:lineRule="auto"/>
        <w:ind w:left="851" w:hanging="851"/>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283C98" w:rsidRPr="007E1EEE">
        <w:rPr>
          <w:rFonts w:ascii="Arial" w:hAnsi="Arial" w:cs="Arial"/>
          <w:sz w:val="24"/>
          <w:szCs w:val="24"/>
        </w:rPr>
        <w:t xml:space="preserve">The applicants seek leave to appeal against the whole of this court’s judgment and order granted in favour of the respondents, delivered on 31 October 2022.  </w:t>
      </w:r>
    </w:p>
    <w:p w14:paraId="0CAF115D" w14:textId="77777777" w:rsidR="00283C98" w:rsidRDefault="00283C98" w:rsidP="00283C98">
      <w:pPr>
        <w:pStyle w:val="ListParagraph"/>
        <w:spacing w:after="0" w:line="480" w:lineRule="auto"/>
        <w:ind w:left="851"/>
        <w:jc w:val="both"/>
        <w:rPr>
          <w:rFonts w:ascii="Arial" w:eastAsia="Times New Roman" w:hAnsi="Arial" w:cs="Arial"/>
          <w:color w:val="242121"/>
          <w:sz w:val="24"/>
          <w:szCs w:val="24"/>
          <w:lang w:eastAsia="en-ZA"/>
        </w:rPr>
      </w:pPr>
    </w:p>
    <w:p w14:paraId="3339C579" w14:textId="2D3B9FB4" w:rsidR="00283C98" w:rsidRPr="007E1EEE" w:rsidRDefault="007E1EEE" w:rsidP="007E1EEE">
      <w:pPr>
        <w:spacing w:after="0" w:line="480" w:lineRule="auto"/>
        <w:ind w:left="851" w:hanging="851"/>
        <w:jc w:val="both"/>
        <w:rPr>
          <w:rFonts w:ascii="Arial" w:hAnsi="Arial" w:cs="Arial"/>
          <w:sz w:val="24"/>
          <w:szCs w:val="24"/>
        </w:rPr>
      </w:pPr>
      <w:r>
        <w:rPr>
          <w:rFonts w:ascii="Arial" w:hAnsi="Arial" w:cs="Arial"/>
          <w:sz w:val="24"/>
          <w:szCs w:val="24"/>
        </w:rPr>
        <w:t>[2]</w:t>
      </w:r>
      <w:r>
        <w:rPr>
          <w:rFonts w:ascii="Arial" w:hAnsi="Arial" w:cs="Arial"/>
          <w:sz w:val="24"/>
          <w:szCs w:val="24"/>
        </w:rPr>
        <w:tab/>
      </w:r>
      <w:r w:rsidR="00283C98" w:rsidRPr="007E1EEE">
        <w:rPr>
          <w:rFonts w:ascii="Arial" w:eastAsia="Times New Roman" w:hAnsi="Arial" w:cs="Arial"/>
          <w:color w:val="242121"/>
          <w:sz w:val="24"/>
          <w:szCs w:val="24"/>
          <w:lang w:eastAsia="en-ZA"/>
        </w:rPr>
        <w:t xml:space="preserve">The test to be applied in applications of this nature finds legislative expression in </w:t>
      </w:r>
      <w:r w:rsidR="00283C98" w:rsidRPr="007E1EEE">
        <w:rPr>
          <w:rFonts w:ascii="Arial" w:hAnsi="Arial" w:cs="Arial"/>
          <w:sz w:val="24"/>
          <w:szCs w:val="24"/>
        </w:rPr>
        <w:t>section 17 of the Superior Courts Act, 10 of 2013 (“</w:t>
      </w:r>
      <w:r w:rsidR="00283C98" w:rsidRPr="007E1EEE">
        <w:rPr>
          <w:rFonts w:ascii="Arial" w:hAnsi="Arial" w:cs="Arial"/>
          <w:i/>
          <w:iCs/>
          <w:sz w:val="24"/>
          <w:szCs w:val="24"/>
        </w:rPr>
        <w:t>the Act</w:t>
      </w:r>
      <w:r w:rsidR="00283C98" w:rsidRPr="007E1EEE">
        <w:rPr>
          <w:rFonts w:ascii="Arial" w:hAnsi="Arial" w:cs="Arial"/>
          <w:sz w:val="24"/>
          <w:szCs w:val="24"/>
        </w:rPr>
        <w:t>”), which provides that leave to appeal may only be granted where the judge concerned is of the opinion that the appeal would have a reasonable prospect of success, or that there is some other compelling reason why the appeal should be heard, including conflicting judgments on the matter under consideration.</w:t>
      </w:r>
    </w:p>
    <w:p w14:paraId="4A597EA2" w14:textId="77777777" w:rsidR="00283C98" w:rsidRPr="00562AA5" w:rsidRDefault="00283C98" w:rsidP="001B1432">
      <w:pPr>
        <w:pStyle w:val="ListParagraph"/>
        <w:spacing w:after="0" w:line="480" w:lineRule="auto"/>
        <w:rPr>
          <w:rFonts w:ascii="Arial" w:hAnsi="Arial" w:cs="Arial"/>
          <w:sz w:val="24"/>
          <w:szCs w:val="24"/>
        </w:rPr>
      </w:pPr>
    </w:p>
    <w:p w14:paraId="41E8E07A" w14:textId="40DF2AF0" w:rsidR="001B1432" w:rsidRPr="007E1EEE" w:rsidRDefault="007E1EEE" w:rsidP="007E1EEE">
      <w:pPr>
        <w:spacing w:after="0" w:line="480" w:lineRule="auto"/>
        <w:ind w:left="851" w:hanging="851"/>
        <w:jc w:val="both"/>
        <w:rPr>
          <w:rFonts w:ascii="Arial" w:hAnsi="Arial" w:cs="Arial"/>
          <w:sz w:val="24"/>
          <w:szCs w:val="24"/>
        </w:rPr>
      </w:pPr>
      <w:r>
        <w:rPr>
          <w:rFonts w:ascii="Arial" w:hAnsi="Arial" w:cs="Arial"/>
          <w:sz w:val="24"/>
          <w:szCs w:val="24"/>
        </w:rPr>
        <w:t>[3]</w:t>
      </w:r>
      <w:r>
        <w:rPr>
          <w:rFonts w:ascii="Arial" w:hAnsi="Arial" w:cs="Arial"/>
          <w:sz w:val="24"/>
          <w:szCs w:val="24"/>
        </w:rPr>
        <w:tab/>
      </w:r>
      <w:r w:rsidR="001B1432" w:rsidRPr="007E1EEE">
        <w:rPr>
          <w:rFonts w:ascii="Arial" w:hAnsi="Arial" w:cs="Arial"/>
          <w:sz w:val="24"/>
          <w:szCs w:val="24"/>
        </w:rPr>
        <w:t>The applicants bring their application in terms of section 17(1)(a)(i) of the Act</w:t>
      </w:r>
      <w:r w:rsidR="000C7270" w:rsidRPr="007E1EEE">
        <w:rPr>
          <w:rFonts w:ascii="Arial" w:hAnsi="Arial" w:cs="Arial"/>
          <w:sz w:val="24"/>
          <w:szCs w:val="24"/>
        </w:rPr>
        <w:t xml:space="preserve"> only.</w:t>
      </w:r>
      <w:r w:rsidR="001B1432" w:rsidRPr="007E1EEE">
        <w:rPr>
          <w:rFonts w:ascii="Arial" w:hAnsi="Arial" w:cs="Arial"/>
          <w:sz w:val="24"/>
          <w:szCs w:val="24"/>
        </w:rPr>
        <w:t xml:space="preserve"> </w:t>
      </w:r>
    </w:p>
    <w:p w14:paraId="5CAFD0A3" w14:textId="77777777" w:rsidR="001B1432" w:rsidRPr="001B1432" w:rsidRDefault="001B1432" w:rsidP="001B1432">
      <w:pPr>
        <w:pStyle w:val="ListParagraph"/>
        <w:spacing w:after="0" w:line="480" w:lineRule="auto"/>
        <w:rPr>
          <w:rFonts w:ascii="Arial" w:hAnsi="Arial" w:cs="Arial"/>
          <w:sz w:val="24"/>
          <w:szCs w:val="24"/>
        </w:rPr>
      </w:pPr>
    </w:p>
    <w:p w14:paraId="665BF839" w14:textId="5340A96A" w:rsidR="00283C98" w:rsidRPr="007E1EEE" w:rsidRDefault="007E1EEE" w:rsidP="007E1EEE">
      <w:pPr>
        <w:spacing w:after="0" w:line="480" w:lineRule="auto"/>
        <w:ind w:left="851" w:hanging="851"/>
        <w:jc w:val="both"/>
        <w:rPr>
          <w:rFonts w:ascii="Arial" w:hAnsi="Arial" w:cs="Arial"/>
          <w:sz w:val="24"/>
          <w:szCs w:val="24"/>
        </w:rPr>
      </w:pPr>
      <w:r w:rsidRPr="00D87131">
        <w:rPr>
          <w:rFonts w:ascii="Arial" w:hAnsi="Arial" w:cs="Arial"/>
          <w:sz w:val="24"/>
          <w:szCs w:val="24"/>
        </w:rPr>
        <w:t>[4]</w:t>
      </w:r>
      <w:r w:rsidRPr="00D87131">
        <w:rPr>
          <w:rFonts w:ascii="Arial" w:hAnsi="Arial" w:cs="Arial"/>
          <w:sz w:val="24"/>
          <w:szCs w:val="24"/>
        </w:rPr>
        <w:tab/>
      </w:r>
      <w:r w:rsidR="00283C98" w:rsidRPr="007E1EEE">
        <w:rPr>
          <w:rFonts w:ascii="Arial" w:hAnsi="Arial" w:cs="Arial"/>
          <w:sz w:val="24"/>
          <w:szCs w:val="24"/>
        </w:rPr>
        <w:t>The Supreme Court of Appeal has on more than one occasion had the opportunity to consider what constitutes a reasonable prospect of success, which is stated to be as follows:</w:t>
      </w:r>
      <w:r w:rsidR="00283C98">
        <w:rPr>
          <w:rStyle w:val="FootnoteReference"/>
          <w:rFonts w:ascii="Arial" w:hAnsi="Arial" w:cs="Arial"/>
          <w:sz w:val="24"/>
          <w:szCs w:val="24"/>
        </w:rPr>
        <w:footnoteReference w:id="1"/>
      </w:r>
    </w:p>
    <w:p w14:paraId="714E87B5" w14:textId="77777777" w:rsidR="00283C98" w:rsidRPr="00293D5D" w:rsidRDefault="00283C98" w:rsidP="00283C98">
      <w:pPr>
        <w:pStyle w:val="ListParagraph"/>
        <w:spacing w:after="0" w:line="360" w:lineRule="auto"/>
        <w:rPr>
          <w:rFonts w:ascii="Arial" w:hAnsi="Arial" w:cs="Arial"/>
          <w:sz w:val="24"/>
          <w:szCs w:val="24"/>
        </w:rPr>
      </w:pPr>
    </w:p>
    <w:p w14:paraId="6CB92542" w14:textId="77777777" w:rsidR="00283C98" w:rsidRPr="00562AA5" w:rsidRDefault="00283C98" w:rsidP="00283C98">
      <w:pPr>
        <w:pStyle w:val="ListParagraph"/>
        <w:spacing w:after="0" w:line="360" w:lineRule="auto"/>
        <w:ind w:left="851"/>
        <w:jc w:val="both"/>
        <w:rPr>
          <w:rFonts w:ascii="Arial" w:hAnsi="Arial" w:cs="Arial"/>
          <w:sz w:val="24"/>
          <w:szCs w:val="24"/>
        </w:rPr>
      </w:pPr>
      <w:r>
        <w:rPr>
          <w:rFonts w:ascii="Arial" w:hAnsi="Arial" w:cs="Arial"/>
          <w:sz w:val="24"/>
          <w:szCs w:val="24"/>
        </w:rPr>
        <w:t>“</w:t>
      </w:r>
      <w:r w:rsidRPr="00293D5D">
        <w:rPr>
          <w:rFonts w:ascii="Arial" w:hAnsi="Arial" w:cs="Arial"/>
          <w:i/>
          <w:iCs/>
          <w:sz w:val="20"/>
          <w:szCs w:val="20"/>
        </w:rPr>
        <w:t>What the test of reasonable prospects of success postulates is a dispassionate decision, based on the facts and the law, that a court of appeal could reasonably arrive at a conclusion different to that of the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r>
        <w:rPr>
          <w:rFonts w:ascii="Arial" w:hAnsi="Arial" w:cs="Arial"/>
          <w:sz w:val="24"/>
          <w:szCs w:val="24"/>
        </w:rPr>
        <w:t>”</w:t>
      </w:r>
      <w:r w:rsidRPr="00293D5D">
        <w:rPr>
          <w:rFonts w:ascii="Arial" w:hAnsi="Arial" w:cs="Arial"/>
          <w:sz w:val="24"/>
          <w:szCs w:val="24"/>
        </w:rPr>
        <w:t> </w:t>
      </w:r>
    </w:p>
    <w:p w14:paraId="34C4087B" w14:textId="0761BBE2" w:rsidR="00BE71A9" w:rsidRPr="007E1EEE" w:rsidRDefault="007E1EEE" w:rsidP="007E1EEE">
      <w:pPr>
        <w:spacing w:after="0" w:line="480" w:lineRule="auto"/>
        <w:ind w:left="851" w:hanging="851"/>
        <w:jc w:val="both"/>
        <w:rPr>
          <w:rFonts w:ascii="Arial" w:hAnsi="Arial" w:cs="Arial"/>
          <w:sz w:val="24"/>
          <w:szCs w:val="24"/>
        </w:rPr>
      </w:pPr>
      <w:r w:rsidRPr="00B378C2">
        <w:rPr>
          <w:rFonts w:ascii="Arial" w:hAnsi="Arial" w:cs="Arial"/>
          <w:sz w:val="24"/>
          <w:szCs w:val="24"/>
        </w:rPr>
        <w:lastRenderedPageBreak/>
        <w:t>[5]</w:t>
      </w:r>
      <w:r w:rsidRPr="00B378C2">
        <w:rPr>
          <w:rFonts w:ascii="Arial" w:hAnsi="Arial" w:cs="Arial"/>
          <w:sz w:val="24"/>
          <w:szCs w:val="24"/>
        </w:rPr>
        <w:tab/>
      </w:r>
      <w:r w:rsidR="00BE71A9" w:rsidRPr="007E1EEE">
        <w:rPr>
          <w:rFonts w:ascii="Arial" w:hAnsi="Arial" w:cs="Arial"/>
          <w:sz w:val="24"/>
          <w:szCs w:val="24"/>
        </w:rPr>
        <w:t>It is against this backdrop that this application is adjudicated.</w:t>
      </w:r>
    </w:p>
    <w:p w14:paraId="541FCD64" w14:textId="77777777" w:rsidR="00BE71A9" w:rsidRPr="00BE71A9" w:rsidRDefault="00BE71A9" w:rsidP="00BE71A9">
      <w:pPr>
        <w:pStyle w:val="ListParagraph"/>
        <w:spacing w:after="0" w:line="480" w:lineRule="auto"/>
        <w:rPr>
          <w:rFonts w:ascii="Arial" w:hAnsi="Arial" w:cs="Arial"/>
          <w:sz w:val="24"/>
          <w:szCs w:val="24"/>
        </w:rPr>
      </w:pPr>
    </w:p>
    <w:p w14:paraId="10B3E4AA" w14:textId="29664869" w:rsidR="00283C98" w:rsidRPr="007E1EEE" w:rsidRDefault="007E1EEE" w:rsidP="007E1EEE">
      <w:pPr>
        <w:spacing w:after="0" w:line="480" w:lineRule="auto"/>
        <w:ind w:left="851" w:hanging="851"/>
        <w:jc w:val="both"/>
        <w:rPr>
          <w:rFonts w:ascii="Arial" w:hAnsi="Arial" w:cs="Arial"/>
          <w:sz w:val="24"/>
          <w:szCs w:val="24"/>
        </w:rPr>
      </w:pPr>
      <w:r>
        <w:rPr>
          <w:rFonts w:ascii="Arial" w:hAnsi="Arial" w:cs="Arial"/>
          <w:sz w:val="24"/>
          <w:szCs w:val="24"/>
        </w:rPr>
        <w:t>[6]</w:t>
      </w:r>
      <w:r>
        <w:rPr>
          <w:rFonts w:ascii="Arial" w:hAnsi="Arial" w:cs="Arial"/>
          <w:sz w:val="24"/>
          <w:szCs w:val="24"/>
        </w:rPr>
        <w:tab/>
      </w:r>
      <w:r w:rsidR="001B1432" w:rsidRPr="007E1EEE">
        <w:rPr>
          <w:rFonts w:ascii="Arial" w:hAnsi="Arial" w:cs="Arial"/>
          <w:sz w:val="24"/>
          <w:szCs w:val="24"/>
        </w:rPr>
        <w:t xml:space="preserve">The applicants rely on </w:t>
      </w:r>
      <w:r w:rsidR="00283C98" w:rsidRPr="007E1EEE">
        <w:rPr>
          <w:rFonts w:ascii="Arial" w:hAnsi="Arial" w:cs="Arial"/>
          <w:sz w:val="24"/>
          <w:szCs w:val="24"/>
        </w:rPr>
        <w:t>six grounds of appeal</w:t>
      </w:r>
      <w:r w:rsidR="001B1432" w:rsidRPr="007E1EEE">
        <w:rPr>
          <w:rFonts w:ascii="Arial" w:hAnsi="Arial" w:cs="Arial"/>
          <w:sz w:val="24"/>
          <w:szCs w:val="24"/>
        </w:rPr>
        <w:t>, each of which are dealt with below.</w:t>
      </w:r>
    </w:p>
    <w:p w14:paraId="6058189C" w14:textId="77777777" w:rsidR="00283C98" w:rsidRDefault="00283C98" w:rsidP="00283C98">
      <w:pPr>
        <w:spacing w:after="0" w:line="480" w:lineRule="auto"/>
        <w:rPr>
          <w:rFonts w:ascii="Arial" w:hAnsi="Arial" w:cs="Arial"/>
          <w:sz w:val="24"/>
          <w:szCs w:val="24"/>
        </w:rPr>
      </w:pPr>
    </w:p>
    <w:p w14:paraId="2EB5041F" w14:textId="77777777" w:rsidR="00283C98" w:rsidRPr="001A0C80" w:rsidRDefault="00283C98" w:rsidP="00283C98">
      <w:pPr>
        <w:spacing w:after="0" w:line="480" w:lineRule="auto"/>
        <w:rPr>
          <w:rFonts w:ascii="Arial" w:hAnsi="Arial" w:cs="Arial"/>
          <w:b/>
          <w:bCs/>
          <w:i/>
          <w:iCs/>
          <w:sz w:val="24"/>
          <w:szCs w:val="24"/>
          <w:u w:val="single"/>
        </w:rPr>
      </w:pPr>
      <w:r w:rsidRPr="001A0C80">
        <w:rPr>
          <w:rFonts w:ascii="Arial" w:hAnsi="Arial" w:cs="Arial"/>
          <w:b/>
          <w:bCs/>
          <w:i/>
          <w:iCs/>
          <w:sz w:val="24"/>
          <w:szCs w:val="24"/>
          <w:u w:val="single"/>
        </w:rPr>
        <w:t>First and third grounds of appeal</w:t>
      </w:r>
    </w:p>
    <w:p w14:paraId="716BDEDE" w14:textId="77777777" w:rsidR="00283C98" w:rsidRPr="001A0C80" w:rsidRDefault="00283C98" w:rsidP="00283C98">
      <w:pPr>
        <w:spacing w:after="0" w:line="480" w:lineRule="auto"/>
        <w:rPr>
          <w:rFonts w:ascii="Arial" w:hAnsi="Arial" w:cs="Arial"/>
          <w:sz w:val="24"/>
          <w:szCs w:val="24"/>
        </w:rPr>
      </w:pPr>
    </w:p>
    <w:p w14:paraId="5251E109" w14:textId="738D570D" w:rsidR="00283C98" w:rsidRPr="007E1EEE" w:rsidRDefault="007E1EEE" w:rsidP="007E1EEE">
      <w:pPr>
        <w:spacing w:after="0" w:line="480" w:lineRule="auto"/>
        <w:ind w:left="851" w:hanging="851"/>
        <w:jc w:val="both"/>
        <w:rPr>
          <w:rFonts w:ascii="Arial" w:hAnsi="Arial" w:cs="Arial"/>
          <w:sz w:val="24"/>
          <w:szCs w:val="24"/>
        </w:rPr>
      </w:pPr>
      <w:r>
        <w:rPr>
          <w:rFonts w:ascii="Arial" w:hAnsi="Arial" w:cs="Arial"/>
          <w:sz w:val="24"/>
          <w:szCs w:val="24"/>
        </w:rPr>
        <w:t>[7]</w:t>
      </w:r>
      <w:r>
        <w:rPr>
          <w:rFonts w:ascii="Arial" w:hAnsi="Arial" w:cs="Arial"/>
          <w:sz w:val="24"/>
          <w:szCs w:val="24"/>
        </w:rPr>
        <w:tab/>
      </w:r>
      <w:r w:rsidR="00283C98" w:rsidRPr="007E1EEE">
        <w:rPr>
          <w:rFonts w:ascii="Arial" w:hAnsi="Arial" w:cs="Arial"/>
          <w:sz w:val="24"/>
          <w:szCs w:val="24"/>
        </w:rPr>
        <w:t>The applicants’ first and third grounds of appeal take issue with</w:t>
      </w:r>
      <w:r w:rsidR="0087610A" w:rsidRPr="007E1EEE">
        <w:rPr>
          <w:rFonts w:ascii="Arial" w:hAnsi="Arial" w:cs="Arial"/>
          <w:sz w:val="24"/>
          <w:szCs w:val="24"/>
        </w:rPr>
        <w:t xml:space="preserve"> the</w:t>
      </w:r>
      <w:r w:rsidR="00283C98" w:rsidRPr="007E1EEE">
        <w:rPr>
          <w:rFonts w:ascii="Arial" w:hAnsi="Arial" w:cs="Arial"/>
          <w:sz w:val="24"/>
          <w:szCs w:val="24"/>
        </w:rPr>
        <w:t xml:space="preserve"> legal principles applied by the court to the facts of the matter.  More particularly, the applicants contend that: (i) “</w:t>
      </w:r>
      <w:r w:rsidR="00283C98" w:rsidRPr="007E1EEE">
        <w:rPr>
          <w:rFonts w:ascii="Arial" w:hAnsi="Arial" w:cs="Arial"/>
          <w:i/>
          <w:iCs/>
          <w:sz w:val="24"/>
          <w:szCs w:val="24"/>
        </w:rPr>
        <w:t>the court’s finding was influenced by the wrong application of jurisprudential principles arising in different areas of the law to the criminal proceedings before it</w:t>
      </w:r>
      <w:r w:rsidR="00283C98" w:rsidRPr="007E1EEE">
        <w:rPr>
          <w:rFonts w:ascii="Arial" w:hAnsi="Arial" w:cs="Arial"/>
          <w:sz w:val="24"/>
          <w:szCs w:val="24"/>
        </w:rPr>
        <w:t>”; and (ii) “</w:t>
      </w:r>
      <w:r w:rsidR="00283C98" w:rsidRPr="007E1EEE">
        <w:rPr>
          <w:rFonts w:ascii="Arial" w:hAnsi="Arial" w:cs="Arial"/>
          <w:i/>
          <w:iCs/>
          <w:sz w:val="24"/>
          <w:szCs w:val="24"/>
        </w:rPr>
        <w:t>the court took an impermissible view of what constituted a gross irregularity and impermissibly applied arbitration and labour review jurisprudence to the exercise of the discretion required of it in terms of section 22 of the Act</w:t>
      </w:r>
      <w:r w:rsidR="00283C98" w:rsidRPr="007E1EEE">
        <w:rPr>
          <w:rFonts w:ascii="Arial" w:hAnsi="Arial" w:cs="Arial"/>
          <w:sz w:val="24"/>
          <w:szCs w:val="24"/>
        </w:rPr>
        <w:t>”.</w:t>
      </w:r>
    </w:p>
    <w:p w14:paraId="2A32EFCF" w14:textId="77777777" w:rsidR="00283C98" w:rsidRPr="00FA600D" w:rsidRDefault="00283C98" w:rsidP="00283C98">
      <w:pPr>
        <w:pStyle w:val="ListParagraph"/>
        <w:spacing w:after="0" w:line="480" w:lineRule="auto"/>
        <w:rPr>
          <w:rFonts w:ascii="Arial" w:hAnsi="Arial" w:cs="Arial"/>
          <w:sz w:val="24"/>
          <w:szCs w:val="24"/>
        </w:rPr>
      </w:pPr>
    </w:p>
    <w:p w14:paraId="1EA48B6A" w14:textId="3B050DAF" w:rsidR="00283C98" w:rsidRPr="007E1EEE" w:rsidRDefault="007E1EEE" w:rsidP="007E1EEE">
      <w:pPr>
        <w:spacing w:after="0" w:line="480" w:lineRule="auto"/>
        <w:ind w:left="851" w:hanging="851"/>
        <w:jc w:val="both"/>
        <w:rPr>
          <w:rFonts w:ascii="Arial" w:hAnsi="Arial" w:cs="Arial"/>
          <w:sz w:val="24"/>
          <w:szCs w:val="24"/>
        </w:rPr>
      </w:pPr>
      <w:r>
        <w:rPr>
          <w:rFonts w:ascii="Arial" w:hAnsi="Arial" w:cs="Arial"/>
          <w:sz w:val="24"/>
          <w:szCs w:val="24"/>
        </w:rPr>
        <w:t>[8]</w:t>
      </w:r>
      <w:r>
        <w:rPr>
          <w:rFonts w:ascii="Arial" w:hAnsi="Arial" w:cs="Arial"/>
          <w:sz w:val="24"/>
          <w:szCs w:val="24"/>
        </w:rPr>
        <w:tab/>
      </w:r>
      <w:r w:rsidR="00283C98" w:rsidRPr="007E1EEE">
        <w:rPr>
          <w:rFonts w:ascii="Arial" w:hAnsi="Arial" w:cs="Arial"/>
          <w:sz w:val="24"/>
          <w:szCs w:val="24"/>
        </w:rPr>
        <w:t>The applicants lose sight of the fact that the principles relied upon by this court in paragraph</w:t>
      </w:r>
      <w:r w:rsidR="000C7270" w:rsidRPr="007E1EEE">
        <w:rPr>
          <w:rFonts w:ascii="Arial" w:hAnsi="Arial" w:cs="Arial"/>
          <w:sz w:val="24"/>
          <w:szCs w:val="24"/>
        </w:rPr>
        <w:t>s</w:t>
      </w:r>
      <w:r w:rsidR="00283C98" w:rsidRPr="007E1EEE">
        <w:rPr>
          <w:rFonts w:ascii="Arial" w:hAnsi="Arial" w:cs="Arial"/>
          <w:sz w:val="24"/>
          <w:szCs w:val="24"/>
        </w:rPr>
        <w:t xml:space="preserve"> [31] to [35] of the judgment</w:t>
      </w:r>
      <w:r w:rsidR="000C7270" w:rsidRPr="007E1EEE">
        <w:rPr>
          <w:rFonts w:ascii="Arial" w:hAnsi="Arial" w:cs="Arial"/>
          <w:sz w:val="24"/>
          <w:szCs w:val="24"/>
        </w:rPr>
        <w:t>,</w:t>
      </w:r>
      <w:r w:rsidR="00283C98" w:rsidRPr="007E1EEE">
        <w:rPr>
          <w:rFonts w:ascii="Arial" w:hAnsi="Arial" w:cs="Arial"/>
          <w:sz w:val="24"/>
          <w:szCs w:val="24"/>
        </w:rPr>
        <w:t xml:space="preserve"> with reference to </w:t>
      </w:r>
      <w:r w:rsidR="00283C98" w:rsidRPr="007E1EEE">
        <w:rPr>
          <w:rFonts w:ascii="Arial" w:hAnsi="Arial" w:cs="Arial"/>
          <w:i/>
          <w:iCs/>
          <w:sz w:val="24"/>
          <w:szCs w:val="24"/>
        </w:rPr>
        <w:t>Telecordia Technologies Inc v Telkom SA Ltd</w:t>
      </w:r>
      <w:r w:rsidR="00283C98">
        <w:rPr>
          <w:rStyle w:val="FootnoteReference"/>
          <w:rFonts w:ascii="Arial" w:hAnsi="Arial" w:cs="Arial"/>
          <w:sz w:val="24"/>
          <w:szCs w:val="24"/>
        </w:rPr>
        <w:footnoteReference w:id="2"/>
      </w:r>
      <w:r w:rsidR="00283C98" w:rsidRPr="007E1EEE">
        <w:rPr>
          <w:rFonts w:ascii="Arial" w:hAnsi="Arial" w:cs="Arial"/>
          <w:sz w:val="24"/>
          <w:szCs w:val="24"/>
        </w:rPr>
        <w:t xml:space="preserve"> and </w:t>
      </w:r>
      <w:r w:rsidR="00283C98" w:rsidRPr="007E1EEE">
        <w:rPr>
          <w:rFonts w:ascii="Arial" w:hAnsi="Arial" w:cs="Arial"/>
          <w:i/>
          <w:iCs/>
          <w:sz w:val="24"/>
          <w:szCs w:val="24"/>
        </w:rPr>
        <w:t>Sidumo and Another v Rustenburg Platinum Mines Ltd and Others,</w:t>
      </w:r>
      <w:r w:rsidR="00283C98">
        <w:rPr>
          <w:rStyle w:val="FootnoteReference"/>
          <w:rFonts w:ascii="Arial" w:hAnsi="Arial" w:cs="Arial"/>
          <w:sz w:val="24"/>
          <w:szCs w:val="24"/>
        </w:rPr>
        <w:footnoteReference w:id="3"/>
      </w:r>
      <w:r w:rsidR="00283C98" w:rsidRPr="007E1EEE">
        <w:rPr>
          <w:rFonts w:ascii="Arial" w:hAnsi="Arial" w:cs="Arial"/>
          <w:sz w:val="24"/>
          <w:szCs w:val="24"/>
        </w:rPr>
        <w:t xml:space="preserve"> constitute a restatement of </w:t>
      </w:r>
      <w:r w:rsidR="0081161E" w:rsidRPr="007E1EEE">
        <w:rPr>
          <w:rFonts w:ascii="Arial" w:hAnsi="Arial" w:cs="Arial"/>
          <w:sz w:val="24"/>
          <w:szCs w:val="24"/>
        </w:rPr>
        <w:t xml:space="preserve">the law </w:t>
      </w:r>
      <w:r w:rsidR="00283C98" w:rsidRPr="007E1EEE">
        <w:rPr>
          <w:rFonts w:ascii="Arial" w:hAnsi="Arial" w:cs="Arial"/>
          <w:sz w:val="24"/>
          <w:szCs w:val="24"/>
        </w:rPr>
        <w:t xml:space="preserve">distilled in </w:t>
      </w:r>
      <w:r w:rsidR="00283C98" w:rsidRPr="007E1EEE">
        <w:rPr>
          <w:rFonts w:ascii="Arial" w:hAnsi="Arial" w:cs="Arial"/>
          <w:i/>
          <w:iCs/>
          <w:sz w:val="24"/>
          <w:szCs w:val="24"/>
        </w:rPr>
        <w:t>Ellis v Morgan; Ellis v Desai</w:t>
      </w:r>
      <w:r w:rsidR="00283C98">
        <w:rPr>
          <w:rStyle w:val="FootnoteReference"/>
          <w:rFonts w:ascii="Arial" w:hAnsi="Arial" w:cs="Arial"/>
          <w:sz w:val="24"/>
          <w:szCs w:val="24"/>
        </w:rPr>
        <w:footnoteReference w:id="4"/>
      </w:r>
      <w:r w:rsidR="00283C98" w:rsidRPr="007E1EEE">
        <w:rPr>
          <w:rFonts w:ascii="Arial" w:hAnsi="Arial" w:cs="Arial"/>
          <w:sz w:val="24"/>
          <w:szCs w:val="24"/>
        </w:rPr>
        <w:t xml:space="preserve"> and </w:t>
      </w:r>
      <w:r w:rsidR="00283C98" w:rsidRPr="007E1EEE">
        <w:rPr>
          <w:rFonts w:ascii="Arial" w:hAnsi="Arial" w:cs="Arial"/>
          <w:i/>
          <w:iCs/>
          <w:sz w:val="24"/>
          <w:szCs w:val="24"/>
        </w:rPr>
        <w:t>Goldfields Investments Ltd and Another v City Council of Johannesburg and Another</w:t>
      </w:r>
      <w:r w:rsidR="00283C98" w:rsidRPr="007E1EEE">
        <w:rPr>
          <w:rFonts w:ascii="Arial" w:hAnsi="Arial" w:cs="Arial"/>
          <w:sz w:val="24"/>
          <w:szCs w:val="24"/>
        </w:rPr>
        <w:t>,</w:t>
      </w:r>
      <w:r w:rsidR="00283C98">
        <w:rPr>
          <w:rStyle w:val="FootnoteReference"/>
          <w:rFonts w:ascii="Arial" w:hAnsi="Arial" w:cs="Arial"/>
          <w:sz w:val="24"/>
          <w:szCs w:val="24"/>
        </w:rPr>
        <w:footnoteReference w:id="5"/>
      </w:r>
      <w:r w:rsidR="00283C98" w:rsidRPr="007E1EEE">
        <w:rPr>
          <w:rFonts w:ascii="Arial" w:hAnsi="Arial" w:cs="Arial"/>
          <w:sz w:val="24"/>
          <w:szCs w:val="24"/>
        </w:rPr>
        <w:t xml:space="preserve"> in that if a complaint is against </w:t>
      </w:r>
      <w:r w:rsidR="00283C98" w:rsidRPr="007E1EEE">
        <w:rPr>
          <w:rFonts w:ascii="Arial" w:hAnsi="Arial" w:cs="Arial"/>
          <w:sz w:val="24"/>
          <w:szCs w:val="24"/>
        </w:rPr>
        <w:lastRenderedPageBreak/>
        <w:t>the result of the proceedings, the appropriate remedy is by way of appeal; whereas, if the method of the proceedings is attacked, the remedy is to bring the matter in review.</w:t>
      </w:r>
      <w:r w:rsidR="00283C98">
        <w:rPr>
          <w:rStyle w:val="FootnoteReference"/>
          <w:rFonts w:ascii="Arial" w:hAnsi="Arial" w:cs="Arial"/>
          <w:sz w:val="24"/>
          <w:szCs w:val="24"/>
        </w:rPr>
        <w:footnoteReference w:id="6"/>
      </w:r>
      <w:r w:rsidR="00283C98" w:rsidRPr="007E1EEE">
        <w:rPr>
          <w:rFonts w:ascii="Arial" w:hAnsi="Arial" w:cs="Arial"/>
          <w:sz w:val="24"/>
          <w:szCs w:val="24"/>
        </w:rPr>
        <w:t xml:space="preserve"> </w:t>
      </w:r>
      <w:r w:rsidR="000C7270" w:rsidRPr="007E1EEE">
        <w:rPr>
          <w:rFonts w:ascii="Arial" w:hAnsi="Arial" w:cs="Arial"/>
          <w:sz w:val="24"/>
          <w:szCs w:val="24"/>
        </w:rPr>
        <w:t xml:space="preserve"> Thi</w:t>
      </w:r>
      <w:r w:rsidR="0081161E" w:rsidRPr="007E1EEE">
        <w:rPr>
          <w:rFonts w:ascii="Arial" w:hAnsi="Arial" w:cs="Arial"/>
          <w:sz w:val="24"/>
          <w:szCs w:val="24"/>
        </w:rPr>
        <w:t>s</w:t>
      </w:r>
      <w:r w:rsidR="000C7270" w:rsidRPr="007E1EEE">
        <w:rPr>
          <w:rFonts w:ascii="Arial" w:hAnsi="Arial" w:cs="Arial"/>
          <w:sz w:val="24"/>
          <w:szCs w:val="24"/>
        </w:rPr>
        <w:t xml:space="preserve"> is </w:t>
      </w:r>
      <w:r w:rsidR="0081161E" w:rsidRPr="007E1EEE">
        <w:rPr>
          <w:rFonts w:ascii="Arial" w:hAnsi="Arial" w:cs="Arial"/>
          <w:sz w:val="24"/>
          <w:szCs w:val="24"/>
        </w:rPr>
        <w:t>settled law</w:t>
      </w:r>
      <w:r w:rsidR="000C7270" w:rsidRPr="007E1EEE">
        <w:rPr>
          <w:rFonts w:ascii="Arial" w:hAnsi="Arial" w:cs="Arial"/>
          <w:sz w:val="24"/>
          <w:szCs w:val="24"/>
        </w:rPr>
        <w:t>.</w:t>
      </w:r>
      <w:r w:rsidR="00283C98" w:rsidRPr="007E1EEE">
        <w:rPr>
          <w:rFonts w:ascii="Arial" w:hAnsi="Arial" w:cs="Arial"/>
          <w:sz w:val="24"/>
          <w:szCs w:val="24"/>
        </w:rPr>
        <w:t xml:space="preserve"> </w:t>
      </w:r>
    </w:p>
    <w:p w14:paraId="65BAD21D" w14:textId="77777777" w:rsidR="000C7270" w:rsidRPr="000C7270" w:rsidRDefault="000C7270" w:rsidP="000C7270">
      <w:pPr>
        <w:pStyle w:val="ListParagraph"/>
        <w:spacing w:after="0" w:line="480" w:lineRule="auto"/>
        <w:rPr>
          <w:rFonts w:ascii="Arial" w:hAnsi="Arial" w:cs="Arial"/>
          <w:sz w:val="24"/>
          <w:szCs w:val="24"/>
        </w:rPr>
      </w:pPr>
    </w:p>
    <w:p w14:paraId="56F214A0" w14:textId="7F5B586F" w:rsidR="000C7270" w:rsidRPr="007E1EEE" w:rsidRDefault="007E1EEE" w:rsidP="007E1EEE">
      <w:pPr>
        <w:spacing w:after="0" w:line="480" w:lineRule="auto"/>
        <w:ind w:left="851" w:hanging="851"/>
        <w:jc w:val="both"/>
        <w:rPr>
          <w:rFonts w:ascii="Arial" w:hAnsi="Arial" w:cs="Arial"/>
          <w:sz w:val="24"/>
          <w:szCs w:val="24"/>
        </w:rPr>
      </w:pPr>
      <w:r>
        <w:rPr>
          <w:rFonts w:ascii="Arial" w:hAnsi="Arial" w:cs="Arial"/>
          <w:sz w:val="24"/>
          <w:szCs w:val="24"/>
        </w:rPr>
        <w:t>[9]</w:t>
      </w:r>
      <w:r>
        <w:rPr>
          <w:rFonts w:ascii="Arial" w:hAnsi="Arial" w:cs="Arial"/>
          <w:sz w:val="24"/>
          <w:szCs w:val="24"/>
        </w:rPr>
        <w:tab/>
      </w:r>
      <w:r w:rsidR="000C7270" w:rsidRPr="007E1EEE">
        <w:rPr>
          <w:rFonts w:ascii="Arial" w:hAnsi="Arial" w:cs="Arial"/>
          <w:sz w:val="24"/>
          <w:szCs w:val="24"/>
        </w:rPr>
        <w:t>Paragraphs [19] to [29] of the court’s judgment deal</w:t>
      </w:r>
      <w:r w:rsidR="0081161E" w:rsidRPr="007E1EEE">
        <w:rPr>
          <w:rFonts w:ascii="Arial" w:hAnsi="Arial" w:cs="Arial"/>
          <w:sz w:val="24"/>
          <w:szCs w:val="24"/>
        </w:rPr>
        <w:t xml:space="preserve"> extensively</w:t>
      </w:r>
      <w:r w:rsidR="000C7270" w:rsidRPr="007E1EEE">
        <w:rPr>
          <w:rFonts w:ascii="Arial" w:hAnsi="Arial" w:cs="Arial"/>
          <w:sz w:val="24"/>
          <w:szCs w:val="24"/>
        </w:rPr>
        <w:t xml:space="preserve"> with the </w:t>
      </w:r>
      <w:r w:rsidR="0081161E" w:rsidRPr="007E1EEE">
        <w:rPr>
          <w:rFonts w:ascii="Arial" w:hAnsi="Arial" w:cs="Arial"/>
          <w:sz w:val="24"/>
          <w:szCs w:val="24"/>
        </w:rPr>
        <w:t xml:space="preserve">further </w:t>
      </w:r>
      <w:r w:rsidR="000C7270" w:rsidRPr="007E1EEE">
        <w:rPr>
          <w:rFonts w:ascii="Arial" w:hAnsi="Arial" w:cs="Arial"/>
          <w:sz w:val="24"/>
          <w:szCs w:val="24"/>
        </w:rPr>
        <w:t xml:space="preserve">legal principles, insofar as they are applicable to the facts of the present matter, and more particularly, which govern the court’s power to interfere with unterminated proceedings in a lower court, inclusive of criminal law proceedings, and need not be repeated herein.  </w:t>
      </w:r>
    </w:p>
    <w:p w14:paraId="200E20BC" w14:textId="77777777" w:rsidR="000C7270" w:rsidRPr="00B65745" w:rsidRDefault="000C7270" w:rsidP="000C7270">
      <w:pPr>
        <w:pStyle w:val="ListParagraph"/>
        <w:spacing w:after="0" w:line="480" w:lineRule="auto"/>
        <w:rPr>
          <w:rFonts w:ascii="Arial" w:hAnsi="Arial" w:cs="Arial"/>
          <w:sz w:val="24"/>
          <w:szCs w:val="24"/>
        </w:rPr>
      </w:pPr>
    </w:p>
    <w:p w14:paraId="728E2D30" w14:textId="5F55BCAD" w:rsidR="00283C98" w:rsidRPr="007E1EEE" w:rsidRDefault="007E1EEE" w:rsidP="007E1EEE">
      <w:pPr>
        <w:spacing w:after="0" w:line="480" w:lineRule="auto"/>
        <w:ind w:left="851" w:hanging="851"/>
        <w:jc w:val="both"/>
        <w:rPr>
          <w:rFonts w:ascii="Arial" w:hAnsi="Arial" w:cs="Arial"/>
          <w:sz w:val="24"/>
          <w:szCs w:val="24"/>
        </w:rPr>
      </w:pPr>
      <w:r w:rsidRPr="0081161E">
        <w:rPr>
          <w:rFonts w:ascii="Arial" w:hAnsi="Arial" w:cs="Arial"/>
          <w:sz w:val="24"/>
          <w:szCs w:val="24"/>
        </w:rPr>
        <w:t>[10]</w:t>
      </w:r>
      <w:r w:rsidRPr="0081161E">
        <w:rPr>
          <w:rFonts w:ascii="Arial" w:hAnsi="Arial" w:cs="Arial"/>
          <w:sz w:val="24"/>
          <w:szCs w:val="24"/>
        </w:rPr>
        <w:tab/>
      </w:r>
      <w:r w:rsidR="0081161E" w:rsidRPr="007E1EEE">
        <w:rPr>
          <w:rFonts w:ascii="Arial" w:hAnsi="Arial" w:cs="Arial"/>
          <w:sz w:val="24"/>
          <w:szCs w:val="24"/>
        </w:rPr>
        <w:t>O</w:t>
      </w:r>
      <w:r w:rsidR="00283C98" w:rsidRPr="007E1EEE">
        <w:rPr>
          <w:rFonts w:ascii="Arial" w:hAnsi="Arial" w:cs="Arial"/>
          <w:sz w:val="24"/>
          <w:szCs w:val="24"/>
        </w:rPr>
        <w:t xml:space="preserve">n a proper application of the law to the facts of the present matter, </w:t>
      </w:r>
      <w:r w:rsidR="0081161E" w:rsidRPr="007E1EEE">
        <w:rPr>
          <w:rFonts w:ascii="Arial" w:hAnsi="Arial" w:cs="Arial"/>
          <w:sz w:val="24"/>
          <w:szCs w:val="24"/>
        </w:rPr>
        <w:t xml:space="preserve">and for the reasons set out in </w:t>
      </w:r>
      <w:r w:rsidR="00284D29" w:rsidRPr="007E1EEE">
        <w:rPr>
          <w:rFonts w:ascii="Arial" w:hAnsi="Arial" w:cs="Arial"/>
          <w:sz w:val="24"/>
          <w:szCs w:val="24"/>
        </w:rPr>
        <w:t xml:space="preserve">this court’s </w:t>
      </w:r>
      <w:r w:rsidR="0081161E" w:rsidRPr="007E1EEE">
        <w:rPr>
          <w:rFonts w:ascii="Arial" w:hAnsi="Arial" w:cs="Arial"/>
          <w:sz w:val="24"/>
          <w:szCs w:val="24"/>
        </w:rPr>
        <w:t xml:space="preserve">judgment, </w:t>
      </w:r>
      <w:r w:rsidR="00283C98" w:rsidRPr="007E1EEE">
        <w:rPr>
          <w:rFonts w:ascii="Arial" w:hAnsi="Arial" w:cs="Arial"/>
          <w:sz w:val="24"/>
          <w:szCs w:val="24"/>
        </w:rPr>
        <w:t>I do not think that there are reasonable prospects that another court will come to a different conclusion.</w:t>
      </w:r>
    </w:p>
    <w:p w14:paraId="53688A90" w14:textId="77777777" w:rsidR="00283C98" w:rsidRDefault="00283C98" w:rsidP="0081161E">
      <w:pPr>
        <w:pStyle w:val="ListParagraph"/>
        <w:spacing w:after="0" w:line="480" w:lineRule="auto"/>
        <w:rPr>
          <w:rFonts w:ascii="Arial" w:hAnsi="Arial" w:cs="Arial"/>
          <w:sz w:val="24"/>
          <w:szCs w:val="24"/>
        </w:rPr>
      </w:pPr>
    </w:p>
    <w:p w14:paraId="6C98A787" w14:textId="77777777" w:rsidR="00283C98" w:rsidRPr="001A0C80" w:rsidRDefault="00283C98" w:rsidP="0081161E">
      <w:pPr>
        <w:spacing w:after="0" w:line="480" w:lineRule="auto"/>
        <w:rPr>
          <w:rFonts w:ascii="Arial" w:hAnsi="Arial" w:cs="Arial"/>
          <w:b/>
          <w:bCs/>
          <w:i/>
          <w:iCs/>
          <w:sz w:val="24"/>
          <w:szCs w:val="24"/>
          <w:u w:val="single"/>
        </w:rPr>
      </w:pPr>
      <w:r>
        <w:rPr>
          <w:rFonts w:ascii="Arial" w:hAnsi="Arial" w:cs="Arial"/>
          <w:b/>
          <w:bCs/>
          <w:i/>
          <w:iCs/>
          <w:sz w:val="24"/>
          <w:szCs w:val="24"/>
          <w:u w:val="single"/>
        </w:rPr>
        <w:t xml:space="preserve">Second and sixth </w:t>
      </w:r>
      <w:r w:rsidRPr="001A0C80">
        <w:rPr>
          <w:rFonts w:ascii="Arial" w:hAnsi="Arial" w:cs="Arial"/>
          <w:b/>
          <w:bCs/>
          <w:i/>
          <w:iCs/>
          <w:sz w:val="24"/>
          <w:szCs w:val="24"/>
          <w:u w:val="single"/>
        </w:rPr>
        <w:t>grounds of appeal</w:t>
      </w:r>
    </w:p>
    <w:p w14:paraId="375FD17E" w14:textId="77777777" w:rsidR="00283C98" w:rsidRPr="00DC0169" w:rsidRDefault="00283C98" w:rsidP="0081161E">
      <w:pPr>
        <w:pStyle w:val="ListParagraph"/>
        <w:spacing w:after="0" w:line="480" w:lineRule="auto"/>
        <w:rPr>
          <w:rFonts w:ascii="Arial" w:hAnsi="Arial" w:cs="Arial"/>
          <w:sz w:val="24"/>
          <w:szCs w:val="24"/>
        </w:rPr>
      </w:pPr>
    </w:p>
    <w:p w14:paraId="71F49487" w14:textId="1A543B8A" w:rsidR="00283C98" w:rsidRPr="007E1EEE" w:rsidRDefault="007E1EEE" w:rsidP="007E1EEE">
      <w:pPr>
        <w:spacing w:after="0" w:line="480" w:lineRule="auto"/>
        <w:ind w:left="851" w:hanging="851"/>
        <w:jc w:val="both"/>
        <w:rPr>
          <w:rFonts w:ascii="Arial" w:hAnsi="Arial" w:cs="Arial"/>
          <w:sz w:val="24"/>
          <w:szCs w:val="24"/>
        </w:rPr>
      </w:pPr>
      <w:r>
        <w:rPr>
          <w:rFonts w:ascii="Arial" w:hAnsi="Arial" w:cs="Arial"/>
          <w:sz w:val="24"/>
          <w:szCs w:val="24"/>
        </w:rPr>
        <w:t>[11]</w:t>
      </w:r>
      <w:r>
        <w:rPr>
          <w:rFonts w:ascii="Arial" w:hAnsi="Arial" w:cs="Arial"/>
          <w:sz w:val="24"/>
          <w:szCs w:val="24"/>
        </w:rPr>
        <w:tab/>
      </w:r>
      <w:r w:rsidR="00283C98" w:rsidRPr="007E1EEE">
        <w:rPr>
          <w:rFonts w:ascii="Arial" w:hAnsi="Arial" w:cs="Arial"/>
          <w:sz w:val="24"/>
          <w:szCs w:val="24"/>
        </w:rPr>
        <w:t xml:space="preserve">The applicants’ second and sixth grounds of appeal pertain to this court’s finding that the grounds of review relied upon by the applicants are directed at the result of the proceedings in the Commercial Crimes Court and not with the method thereof.  The applicants’ grounds for review, which are set out in paragraph 31 of the applicants’ founding papers and are repeated in </w:t>
      </w:r>
      <w:r w:rsidR="00283C98" w:rsidRPr="007E1EEE">
        <w:rPr>
          <w:rFonts w:ascii="Arial" w:hAnsi="Arial" w:cs="Arial"/>
          <w:sz w:val="24"/>
          <w:szCs w:val="24"/>
        </w:rPr>
        <w:lastRenderedPageBreak/>
        <w:t xml:space="preserve">paragraph [16] of this court’s judgment, were </w:t>
      </w:r>
      <w:r w:rsidR="000E56D7" w:rsidRPr="007E1EEE">
        <w:rPr>
          <w:rFonts w:ascii="Arial" w:hAnsi="Arial" w:cs="Arial"/>
          <w:sz w:val="24"/>
          <w:szCs w:val="24"/>
        </w:rPr>
        <w:t xml:space="preserve">previously </w:t>
      </w:r>
      <w:r w:rsidR="00283C98" w:rsidRPr="007E1EEE">
        <w:rPr>
          <w:rFonts w:ascii="Arial" w:hAnsi="Arial" w:cs="Arial"/>
          <w:sz w:val="24"/>
          <w:szCs w:val="24"/>
        </w:rPr>
        <w:t>dealt with by me</w:t>
      </w:r>
      <w:r w:rsidR="000E56D7" w:rsidRPr="007E1EEE">
        <w:rPr>
          <w:rFonts w:ascii="Arial" w:hAnsi="Arial" w:cs="Arial"/>
          <w:sz w:val="24"/>
          <w:szCs w:val="24"/>
        </w:rPr>
        <w:t>,</w:t>
      </w:r>
      <w:r w:rsidR="00283C98" w:rsidRPr="007E1EEE">
        <w:rPr>
          <w:rFonts w:ascii="Arial" w:hAnsi="Arial" w:cs="Arial"/>
          <w:sz w:val="24"/>
          <w:szCs w:val="24"/>
        </w:rPr>
        <w:t xml:space="preserve"> contextually</w:t>
      </w:r>
      <w:r w:rsidR="000E56D7" w:rsidRPr="007E1EEE">
        <w:rPr>
          <w:rFonts w:ascii="Arial" w:hAnsi="Arial" w:cs="Arial"/>
          <w:sz w:val="24"/>
          <w:szCs w:val="24"/>
        </w:rPr>
        <w:t>,</w:t>
      </w:r>
      <w:r w:rsidR="00283C98" w:rsidRPr="007E1EEE">
        <w:rPr>
          <w:rFonts w:ascii="Arial" w:hAnsi="Arial" w:cs="Arial"/>
          <w:sz w:val="24"/>
          <w:szCs w:val="24"/>
        </w:rPr>
        <w:t xml:space="preserve"> and speak for themselves.</w:t>
      </w:r>
    </w:p>
    <w:p w14:paraId="4EF3035E" w14:textId="77777777" w:rsidR="00283C98" w:rsidRPr="00FD377C" w:rsidRDefault="00283C98" w:rsidP="0087610A">
      <w:pPr>
        <w:pStyle w:val="ListParagraph"/>
        <w:spacing w:after="0" w:line="480" w:lineRule="auto"/>
        <w:rPr>
          <w:rFonts w:ascii="Arial" w:hAnsi="Arial" w:cs="Arial"/>
          <w:sz w:val="24"/>
          <w:szCs w:val="24"/>
        </w:rPr>
      </w:pPr>
    </w:p>
    <w:p w14:paraId="5BD4FE98" w14:textId="629DB27A" w:rsidR="00283C98" w:rsidRPr="007E1EEE" w:rsidRDefault="007E1EEE" w:rsidP="007E1EEE">
      <w:pPr>
        <w:spacing w:after="0" w:line="480" w:lineRule="auto"/>
        <w:ind w:left="851" w:hanging="851"/>
        <w:jc w:val="both"/>
        <w:rPr>
          <w:rFonts w:ascii="Arial" w:hAnsi="Arial" w:cs="Arial"/>
          <w:sz w:val="24"/>
          <w:szCs w:val="24"/>
        </w:rPr>
      </w:pPr>
      <w:r>
        <w:rPr>
          <w:rFonts w:ascii="Arial" w:hAnsi="Arial" w:cs="Arial"/>
          <w:sz w:val="24"/>
          <w:szCs w:val="24"/>
        </w:rPr>
        <w:t>[12]</w:t>
      </w:r>
      <w:r>
        <w:rPr>
          <w:rFonts w:ascii="Arial" w:hAnsi="Arial" w:cs="Arial"/>
          <w:sz w:val="24"/>
          <w:szCs w:val="24"/>
        </w:rPr>
        <w:tab/>
      </w:r>
      <w:r w:rsidR="00283C98" w:rsidRPr="007E1EEE">
        <w:rPr>
          <w:rFonts w:ascii="Arial" w:hAnsi="Arial" w:cs="Arial"/>
          <w:sz w:val="24"/>
          <w:szCs w:val="24"/>
        </w:rPr>
        <w:t xml:space="preserve">In any event, at paragraphs [39] to [41] of </w:t>
      </w:r>
      <w:r w:rsidR="0087610A" w:rsidRPr="007E1EEE">
        <w:rPr>
          <w:rFonts w:ascii="Arial" w:hAnsi="Arial" w:cs="Arial"/>
          <w:sz w:val="24"/>
          <w:szCs w:val="24"/>
        </w:rPr>
        <w:t>the</w:t>
      </w:r>
      <w:r w:rsidR="00283C98" w:rsidRPr="007E1EEE">
        <w:rPr>
          <w:rFonts w:ascii="Arial" w:hAnsi="Arial" w:cs="Arial"/>
          <w:sz w:val="24"/>
          <w:szCs w:val="24"/>
        </w:rPr>
        <w:t xml:space="preserve"> judgment, I set out as follows:</w:t>
      </w:r>
    </w:p>
    <w:p w14:paraId="1537F812" w14:textId="77777777" w:rsidR="00283C98" w:rsidRPr="00FD377C" w:rsidRDefault="00283C98" w:rsidP="0087610A">
      <w:pPr>
        <w:pStyle w:val="ListParagraph"/>
        <w:spacing w:after="0" w:line="480" w:lineRule="auto"/>
        <w:rPr>
          <w:rFonts w:ascii="Arial" w:hAnsi="Arial" w:cs="Arial"/>
          <w:sz w:val="24"/>
          <w:szCs w:val="24"/>
        </w:rPr>
      </w:pPr>
    </w:p>
    <w:p w14:paraId="1F347EC4" w14:textId="77777777" w:rsidR="00283C98" w:rsidRPr="00FD377C" w:rsidRDefault="00283C98" w:rsidP="00283C98">
      <w:pPr>
        <w:pStyle w:val="ListParagraph"/>
        <w:spacing w:after="0" w:line="360" w:lineRule="auto"/>
        <w:ind w:left="851"/>
        <w:contextualSpacing w:val="0"/>
        <w:jc w:val="both"/>
        <w:rPr>
          <w:rFonts w:ascii="Arial" w:hAnsi="Arial" w:cs="Arial"/>
          <w:i/>
          <w:iCs/>
        </w:rPr>
      </w:pPr>
      <w:r>
        <w:rPr>
          <w:rFonts w:ascii="Arial" w:hAnsi="Arial" w:cs="Arial"/>
          <w:sz w:val="24"/>
          <w:szCs w:val="24"/>
        </w:rPr>
        <w:t>“</w:t>
      </w:r>
      <w:r w:rsidRPr="00FD377C">
        <w:rPr>
          <w:rFonts w:ascii="Arial" w:hAnsi="Arial" w:cs="Arial"/>
          <w:i/>
          <w:iCs/>
        </w:rPr>
        <w:t>[39]</w:t>
      </w:r>
      <w:r w:rsidRPr="00FD377C">
        <w:rPr>
          <w:rFonts w:ascii="Arial" w:hAnsi="Arial" w:cs="Arial"/>
          <w:i/>
          <w:iCs/>
        </w:rPr>
        <w:tab/>
        <w:t>Even if I am incorrect in this conclusion, whether or not the applicants are satisfied with the result of the objection proceedings, there can be no doubt that the second respondent considered the applicants’ grounds of objection and applied his mind thereto in deliberating the issues before him.  This much is clear from a reading of the ruling in question.  There is nothing from the second respondent’s reasons from which it is apparent that his mind was not in a state to enable him to try the matter fairly or that his conduct prevented a fair trial of the issues.</w:t>
      </w:r>
    </w:p>
    <w:p w14:paraId="3BEFEFD5" w14:textId="77777777" w:rsidR="00283C98" w:rsidRPr="00FD377C" w:rsidRDefault="00283C98" w:rsidP="00283C98">
      <w:pPr>
        <w:pStyle w:val="ListParagraph"/>
        <w:spacing w:after="0" w:line="360" w:lineRule="auto"/>
        <w:ind w:left="851"/>
        <w:contextualSpacing w:val="0"/>
        <w:jc w:val="both"/>
        <w:rPr>
          <w:rFonts w:ascii="Arial" w:hAnsi="Arial" w:cs="Arial"/>
          <w:i/>
          <w:iCs/>
        </w:rPr>
      </w:pPr>
    </w:p>
    <w:p w14:paraId="7ED094EB" w14:textId="77777777" w:rsidR="00283C98" w:rsidRPr="00FD377C" w:rsidRDefault="00283C98" w:rsidP="00283C98">
      <w:pPr>
        <w:pStyle w:val="ListParagraph"/>
        <w:spacing w:after="0" w:line="360" w:lineRule="auto"/>
        <w:ind w:left="851"/>
        <w:contextualSpacing w:val="0"/>
        <w:jc w:val="both"/>
        <w:rPr>
          <w:rFonts w:ascii="Arial" w:hAnsi="Arial" w:cs="Arial"/>
          <w:i/>
          <w:iCs/>
        </w:rPr>
      </w:pPr>
      <w:r w:rsidRPr="00FD377C">
        <w:rPr>
          <w:rFonts w:ascii="Arial" w:hAnsi="Arial" w:cs="Arial"/>
          <w:i/>
          <w:iCs/>
        </w:rPr>
        <w:t>[40]</w:t>
      </w:r>
      <w:r w:rsidRPr="00FD377C">
        <w:rPr>
          <w:rFonts w:ascii="Arial" w:hAnsi="Arial" w:cs="Arial"/>
          <w:i/>
          <w:iCs/>
        </w:rPr>
        <w:tab/>
        <w:t>I am not persuaded that the applicants have shown the presence of any of the grounds referred to in section 22 of the Superior Courts Act; nor have they demonstrated that there are circumstances to satisfy this court that absent an intervention at this stage, grave injustice may result, such as to materially prejudice the applicants, which could not, in due course be corrected on review or appeal.  I deal with this in greater detail below.</w:t>
      </w:r>
    </w:p>
    <w:p w14:paraId="22EDF3B5" w14:textId="77777777" w:rsidR="00283C98" w:rsidRPr="00FD377C" w:rsidRDefault="00283C98" w:rsidP="00283C98">
      <w:pPr>
        <w:pStyle w:val="ListParagraph"/>
        <w:spacing w:after="0" w:line="360" w:lineRule="auto"/>
        <w:contextualSpacing w:val="0"/>
        <w:rPr>
          <w:rFonts w:ascii="Arial" w:hAnsi="Arial" w:cs="Arial"/>
          <w:i/>
          <w:iCs/>
        </w:rPr>
      </w:pPr>
    </w:p>
    <w:p w14:paraId="1DAB35CE" w14:textId="77777777" w:rsidR="00283C98" w:rsidRPr="00C75680" w:rsidRDefault="00283C98" w:rsidP="00283C98">
      <w:pPr>
        <w:pStyle w:val="ListParagraph"/>
        <w:spacing w:after="0" w:line="360" w:lineRule="auto"/>
        <w:ind w:left="851"/>
        <w:contextualSpacing w:val="0"/>
        <w:jc w:val="both"/>
        <w:rPr>
          <w:rFonts w:ascii="Arial" w:hAnsi="Arial" w:cs="Arial"/>
          <w:sz w:val="24"/>
          <w:szCs w:val="24"/>
        </w:rPr>
      </w:pPr>
      <w:r w:rsidRPr="00FD377C">
        <w:rPr>
          <w:rFonts w:ascii="Arial" w:hAnsi="Arial" w:cs="Arial"/>
          <w:i/>
          <w:iCs/>
        </w:rPr>
        <w:t>[41]</w:t>
      </w:r>
      <w:r w:rsidRPr="00FD377C">
        <w:rPr>
          <w:rFonts w:ascii="Arial" w:hAnsi="Arial" w:cs="Arial"/>
          <w:i/>
          <w:iCs/>
        </w:rPr>
        <w:tab/>
        <w:t>Accordingly, the applicants’ application for review in medias res, must, on either of these additional grounds, meet the same fate.</w:t>
      </w:r>
      <w:r>
        <w:rPr>
          <w:rFonts w:ascii="Arial" w:hAnsi="Arial" w:cs="Arial"/>
          <w:sz w:val="24"/>
          <w:szCs w:val="24"/>
        </w:rPr>
        <w:t>”</w:t>
      </w:r>
    </w:p>
    <w:p w14:paraId="4C3BEB83" w14:textId="77777777" w:rsidR="00283C98" w:rsidRDefault="00283C98" w:rsidP="00654087">
      <w:pPr>
        <w:pStyle w:val="ListParagraph"/>
        <w:spacing w:after="0" w:line="480" w:lineRule="auto"/>
        <w:ind w:left="851"/>
        <w:jc w:val="both"/>
        <w:rPr>
          <w:rFonts w:ascii="Arial" w:hAnsi="Arial" w:cs="Arial"/>
          <w:sz w:val="24"/>
          <w:szCs w:val="24"/>
        </w:rPr>
      </w:pPr>
    </w:p>
    <w:p w14:paraId="31C6EBF7" w14:textId="30615972" w:rsidR="00283C98" w:rsidRPr="007E1EEE" w:rsidRDefault="007E1EEE" w:rsidP="007E1EEE">
      <w:pPr>
        <w:spacing w:after="0" w:line="480" w:lineRule="auto"/>
        <w:ind w:left="851" w:hanging="851"/>
        <w:jc w:val="both"/>
        <w:rPr>
          <w:rFonts w:ascii="Arial" w:hAnsi="Arial" w:cs="Arial"/>
          <w:sz w:val="24"/>
          <w:szCs w:val="24"/>
        </w:rPr>
      </w:pPr>
      <w:r>
        <w:rPr>
          <w:rFonts w:ascii="Arial" w:hAnsi="Arial" w:cs="Arial"/>
          <w:sz w:val="24"/>
          <w:szCs w:val="24"/>
        </w:rPr>
        <w:t>[13]</w:t>
      </w:r>
      <w:r>
        <w:rPr>
          <w:rFonts w:ascii="Arial" w:hAnsi="Arial" w:cs="Arial"/>
          <w:sz w:val="24"/>
          <w:szCs w:val="24"/>
        </w:rPr>
        <w:tab/>
      </w:r>
      <w:r w:rsidR="00283C98" w:rsidRPr="007E1EEE">
        <w:rPr>
          <w:rFonts w:ascii="Arial" w:hAnsi="Arial" w:cs="Arial"/>
          <w:sz w:val="24"/>
          <w:szCs w:val="24"/>
        </w:rPr>
        <w:t>Detailed reasons for my above findings are contained in paragraphs [41] to [63] of this court’s judgment.  If regard is had to such reasons, I am of the view that there are no reasonable prospects that another court will come to a different conclusion.</w:t>
      </w:r>
    </w:p>
    <w:p w14:paraId="3757215F" w14:textId="72064385" w:rsidR="00283C98" w:rsidRDefault="00283C98" w:rsidP="00654087">
      <w:pPr>
        <w:spacing w:after="0" w:line="480" w:lineRule="auto"/>
        <w:jc w:val="both"/>
        <w:rPr>
          <w:rFonts w:ascii="Arial" w:hAnsi="Arial" w:cs="Arial"/>
          <w:sz w:val="24"/>
          <w:szCs w:val="24"/>
        </w:rPr>
      </w:pPr>
    </w:p>
    <w:p w14:paraId="24A80DA8" w14:textId="77777777" w:rsidR="00283C98" w:rsidRPr="001A0C80" w:rsidRDefault="00283C98" w:rsidP="00283C98">
      <w:pPr>
        <w:spacing w:after="0" w:line="480" w:lineRule="auto"/>
        <w:rPr>
          <w:rFonts w:ascii="Arial" w:hAnsi="Arial" w:cs="Arial"/>
          <w:b/>
          <w:bCs/>
          <w:i/>
          <w:iCs/>
          <w:sz w:val="24"/>
          <w:szCs w:val="24"/>
          <w:u w:val="single"/>
        </w:rPr>
      </w:pPr>
      <w:r>
        <w:rPr>
          <w:rFonts w:ascii="Arial" w:hAnsi="Arial" w:cs="Arial"/>
          <w:b/>
          <w:bCs/>
          <w:i/>
          <w:iCs/>
          <w:sz w:val="24"/>
          <w:szCs w:val="24"/>
          <w:u w:val="single"/>
        </w:rPr>
        <w:t xml:space="preserve">Fourth and fifth </w:t>
      </w:r>
      <w:r w:rsidRPr="001A0C80">
        <w:rPr>
          <w:rFonts w:ascii="Arial" w:hAnsi="Arial" w:cs="Arial"/>
          <w:b/>
          <w:bCs/>
          <w:i/>
          <w:iCs/>
          <w:sz w:val="24"/>
          <w:szCs w:val="24"/>
          <w:u w:val="single"/>
        </w:rPr>
        <w:t>grounds of appeal</w:t>
      </w:r>
    </w:p>
    <w:p w14:paraId="5E20BF32" w14:textId="0404E034" w:rsidR="00283C98" w:rsidRPr="007E1EEE" w:rsidRDefault="007E1EEE" w:rsidP="007E1EEE">
      <w:pPr>
        <w:spacing w:after="0" w:line="480" w:lineRule="auto"/>
        <w:ind w:left="851" w:hanging="851"/>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283C98" w:rsidRPr="007E1EEE">
        <w:rPr>
          <w:rFonts w:ascii="Arial" w:hAnsi="Arial" w:cs="Arial"/>
          <w:sz w:val="24"/>
          <w:szCs w:val="24"/>
        </w:rPr>
        <w:t xml:space="preserve">The applicants’ fourth and fifth grounds of appeal, broadly stated, pertain to </w:t>
      </w:r>
      <w:r w:rsidR="00D373D1" w:rsidRPr="007E1EEE">
        <w:rPr>
          <w:rFonts w:ascii="Arial" w:hAnsi="Arial" w:cs="Arial"/>
          <w:sz w:val="24"/>
          <w:szCs w:val="24"/>
        </w:rPr>
        <w:t>the court’s</w:t>
      </w:r>
      <w:r w:rsidR="00283C98" w:rsidRPr="007E1EEE">
        <w:rPr>
          <w:rFonts w:ascii="Arial" w:hAnsi="Arial" w:cs="Arial"/>
          <w:sz w:val="24"/>
          <w:szCs w:val="24"/>
        </w:rPr>
        <w:t xml:space="preserve"> finding that the second applicant had sufficient details of the forgery charges against him in circumstances “</w:t>
      </w:r>
      <w:r w:rsidR="00283C98" w:rsidRPr="007E1EEE">
        <w:rPr>
          <w:rFonts w:ascii="Arial" w:hAnsi="Arial" w:cs="Arial"/>
          <w:i/>
          <w:iCs/>
          <w:sz w:val="24"/>
          <w:szCs w:val="24"/>
        </w:rPr>
        <w:t xml:space="preserve">where the State had failed to identify </w:t>
      </w:r>
      <w:r w:rsidR="00283C98" w:rsidRPr="007E1EEE">
        <w:rPr>
          <w:rFonts w:ascii="Arial" w:hAnsi="Arial" w:cs="Arial"/>
          <w:i/>
          <w:iCs/>
          <w:sz w:val="24"/>
          <w:szCs w:val="24"/>
          <w:u w:val="single"/>
        </w:rPr>
        <w:t>him</w:t>
      </w:r>
      <w:r w:rsidR="00283C98" w:rsidRPr="007E1EEE">
        <w:rPr>
          <w:rFonts w:ascii="Arial" w:hAnsi="Arial" w:cs="Arial"/>
          <w:i/>
          <w:iCs/>
          <w:sz w:val="24"/>
          <w:szCs w:val="24"/>
        </w:rPr>
        <w:t xml:space="preserve"> as the person who forged the document</w:t>
      </w:r>
      <w:r w:rsidR="00283C98" w:rsidRPr="007E1EEE">
        <w:rPr>
          <w:rFonts w:ascii="Arial" w:hAnsi="Arial" w:cs="Arial"/>
          <w:sz w:val="24"/>
          <w:szCs w:val="24"/>
        </w:rPr>
        <w:t xml:space="preserve">.” </w:t>
      </w:r>
    </w:p>
    <w:p w14:paraId="2953C0D9" w14:textId="77777777" w:rsidR="00283C98" w:rsidRDefault="00283C98" w:rsidP="00283C98">
      <w:pPr>
        <w:pStyle w:val="ListParagraph"/>
        <w:spacing w:after="0" w:line="480" w:lineRule="auto"/>
        <w:ind w:left="851"/>
        <w:jc w:val="both"/>
        <w:rPr>
          <w:rFonts w:ascii="Arial" w:hAnsi="Arial" w:cs="Arial"/>
          <w:sz w:val="24"/>
          <w:szCs w:val="24"/>
        </w:rPr>
      </w:pPr>
    </w:p>
    <w:p w14:paraId="0D1A1CF3" w14:textId="2CDCABBD" w:rsidR="00283C98" w:rsidRPr="007E1EEE" w:rsidRDefault="007E1EEE" w:rsidP="007E1EEE">
      <w:pPr>
        <w:spacing w:after="0" w:line="480" w:lineRule="auto"/>
        <w:ind w:left="851" w:hanging="851"/>
        <w:jc w:val="both"/>
        <w:rPr>
          <w:rFonts w:ascii="Arial" w:hAnsi="Arial" w:cs="Arial"/>
          <w:sz w:val="24"/>
          <w:szCs w:val="24"/>
        </w:rPr>
      </w:pPr>
      <w:r>
        <w:rPr>
          <w:rFonts w:ascii="Arial" w:hAnsi="Arial" w:cs="Arial"/>
          <w:sz w:val="24"/>
          <w:szCs w:val="24"/>
        </w:rPr>
        <w:t>[15]</w:t>
      </w:r>
      <w:r>
        <w:rPr>
          <w:rFonts w:ascii="Arial" w:hAnsi="Arial" w:cs="Arial"/>
          <w:sz w:val="24"/>
          <w:szCs w:val="24"/>
        </w:rPr>
        <w:tab/>
      </w:r>
      <w:r w:rsidR="00283C98" w:rsidRPr="007E1EEE">
        <w:rPr>
          <w:rFonts w:ascii="Arial" w:hAnsi="Arial" w:cs="Arial"/>
          <w:sz w:val="24"/>
          <w:szCs w:val="24"/>
        </w:rPr>
        <w:t xml:space="preserve">The issue of </w:t>
      </w:r>
      <w:r w:rsidR="00283C98" w:rsidRPr="007E1EEE">
        <w:rPr>
          <w:rFonts w:ascii="Arial" w:hAnsi="Arial" w:cs="Arial"/>
          <w:i/>
          <w:iCs/>
          <w:sz w:val="24"/>
          <w:szCs w:val="24"/>
        </w:rPr>
        <w:t>actus reus</w:t>
      </w:r>
      <w:r w:rsidR="00283C98" w:rsidRPr="007E1EEE">
        <w:rPr>
          <w:rFonts w:ascii="Arial" w:hAnsi="Arial" w:cs="Arial"/>
          <w:sz w:val="24"/>
          <w:szCs w:val="24"/>
        </w:rPr>
        <w:t>, as well as the legal principles pertaining to the requirements of a charge sheet; the purposes therefor; and what is required of the state at the relevant stage of the proceedings, was dealt with</w:t>
      </w:r>
      <w:r w:rsidR="00D373D1" w:rsidRPr="007E1EEE">
        <w:rPr>
          <w:rFonts w:ascii="Arial" w:hAnsi="Arial" w:cs="Arial"/>
          <w:sz w:val="24"/>
          <w:szCs w:val="24"/>
        </w:rPr>
        <w:t xml:space="preserve"> by me</w:t>
      </w:r>
      <w:r w:rsidR="00283C98" w:rsidRPr="007E1EEE">
        <w:rPr>
          <w:rFonts w:ascii="Arial" w:hAnsi="Arial" w:cs="Arial"/>
          <w:sz w:val="24"/>
          <w:szCs w:val="24"/>
        </w:rPr>
        <w:t xml:space="preserve"> in paragraphs [52] to [59] of </w:t>
      </w:r>
      <w:r w:rsidR="00D373D1" w:rsidRPr="007E1EEE">
        <w:rPr>
          <w:rFonts w:ascii="Arial" w:hAnsi="Arial" w:cs="Arial"/>
          <w:sz w:val="24"/>
          <w:szCs w:val="24"/>
        </w:rPr>
        <w:t>the court’s judgment</w:t>
      </w:r>
      <w:r w:rsidR="00283C98" w:rsidRPr="007E1EEE">
        <w:rPr>
          <w:rFonts w:ascii="Arial" w:hAnsi="Arial" w:cs="Arial"/>
          <w:sz w:val="24"/>
          <w:szCs w:val="24"/>
        </w:rPr>
        <w:t>.  I further dealt with the clear wording of the charge sheet</w:t>
      </w:r>
      <w:r w:rsidR="00571D5A" w:rsidRPr="007E1EEE">
        <w:rPr>
          <w:rFonts w:ascii="Arial" w:hAnsi="Arial" w:cs="Arial"/>
          <w:sz w:val="24"/>
          <w:szCs w:val="24"/>
        </w:rPr>
        <w:t xml:space="preserve"> in question</w:t>
      </w:r>
      <w:r w:rsidR="00283C98" w:rsidRPr="007E1EEE">
        <w:rPr>
          <w:rFonts w:ascii="Arial" w:hAnsi="Arial" w:cs="Arial"/>
          <w:sz w:val="24"/>
          <w:szCs w:val="24"/>
        </w:rPr>
        <w:t>, read together with the preamble thereto; the state’s answer to the request for particulars; and the applicants’ contention that the charges do not disclose an offence.  In short, the conclusion arrived at by me in paragraph [59] is as follows:</w:t>
      </w:r>
    </w:p>
    <w:p w14:paraId="3DD56122" w14:textId="77777777" w:rsidR="00283C98" w:rsidRPr="00054135" w:rsidRDefault="00283C98" w:rsidP="00283C98">
      <w:pPr>
        <w:pStyle w:val="ListParagraph"/>
        <w:rPr>
          <w:rFonts w:ascii="Arial" w:hAnsi="Arial" w:cs="Arial"/>
          <w:sz w:val="24"/>
          <w:szCs w:val="24"/>
        </w:rPr>
      </w:pPr>
    </w:p>
    <w:p w14:paraId="3DFC1A70" w14:textId="77777777" w:rsidR="00283C98" w:rsidRDefault="00283C98" w:rsidP="00283C98">
      <w:pPr>
        <w:pStyle w:val="ListParagraph"/>
        <w:spacing w:after="0" w:line="360" w:lineRule="auto"/>
        <w:ind w:left="851"/>
        <w:jc w:val="both"/>
        <w:rPr>
          <w:rFonts w:ascii="Arial" w:hAnsi="Arial" w:cs="Arial"/>
          <w:sz w:val="24"/>
          <w:szCs w:val="24"/>
        </w:rPr>
      </w:pPr>
      <w:r>
        <w:rPr>
          <w:rFonts w:ascii="Arial" w:hAnsi="Arial" w:cs="Arial"/>
          <w:sz w:val="24"/>
          <w:szCs w:val="24"/>
        </w:rPr>
        <w:t>“</w:t>
      </w:r>
      <w:r w:rsidRPr="00054135">
        <w:rPr>
          <w:rFonts w:ascii="Arial" w:hAnsi="Arial" w:cs="Arial"/>
          <w:i/>
          <w:iCs/>
          <w:sz w:val="24"/>
          <w:szCs w:val="24"/>
        </w:rPr>
        <w:t>…it is clear from the unambiguous terms contained in the charge-sheet that the State has nailed its colours to the mast and relies solely on the personal liability of the second applicant.  It cannot be gainsaid that the second applicant has sufficient detail to (i) inform him of the nature of the charges against him; (ii) enable him to answer thereto; and (iii) properly mount his defence.  There can be no question that the second applicant is not at risk of a trial by ambush or prejudiced in his preparations for trial.  Whether the State will, in due course, be in a position to prove its case on the evidence available to it, which evidence is not within the particular knowledge of this court, is not for this court to determine.  I am not at liberty, at this stage of the proceedings, to draw an inference concerning the strength or weakness of the State’s case from the prosecutor’s inability to furnish particulars</w:t>
      </w:r>
      <w:r>
        <w:rPr>
          <w:rFonts w:ascii="Arial" w:hAnsi="Arial" w:cs="Arial"/>
          <w:i/>
          <w:iCs/>
          <w:sz w:val="24"/>
          <w:szCs w:val="24"/>
        </w:rPr>
        <w:t>.</w:t>
      </w:r>
      <w:r>
        <w:rPr>
          <w:rFonts w:ascii="Arial" w:hAnsi="Arial" w:cs="Arial"/>
          <w:sz w:val="24"/>
          <w:szCs w:val="24"/>
        </w:rPr>
        <w:t>”</w:t>
      </w:r>
    </w:p>
    <w:p w14:paraId="0B8F004D" w14:textId="77777777" w:rsidR="00283C98" w:rsidRDefault="00283C98" w:rsidP="00283C98">
      <w:pPr>
        <w:pStyle w:val="ListParagraph"/>
        <w:spacing w:after="0" w:line="360" w:lineRule="auto"/>
        <w:ind w:left="851"/>
        <w:jc w:val="both"/>
        <w:rPr>
          <w:rFonts w:ascii="Arial" w:hAnsi="Arial" w:cs="Arial"/>
          <w:sz w:val="24"/>
          <w:szCs w:val="24"/>
        </w:rPr>
      </w:pPr>
    </w:p>
    <w:p w14:paraId="080B33A3" w14:textId="41B89135" w:rsidR="00283C98" w:rsidRPr="007E1EEE" w:rsidRDefault="007E1EEE" w:rsidP="007E1EEE">
      <w:pPr>
        <w:spacing w:after="0" w:line="480" w:lineRule="auto"/>
        <w:ind w:left="851" w:hanging="851"/>
        <w:jc w:val="both"/>
        <w:rPr>
          <w:rFonts w:ascii="Arial" w:hAnsi="Arial" w:cs="Arial"/>
          <w:sz w:val="24"/>
          <w:szCs w:val="24"/>
        </w:rPr>
      </w:pPr>
      <w:r>
        <w:rPr>
          <w:rFonts w:ascii="Arial" w:hAnsi="Arial" w:cs="Arial"/>
          <w:sz w:val="24"/>
          <w:szCs w:val="24"/>
        </w:rPr>
        <w:lastRenderedPageBreak/>
        <w:t>[16</w:t>
      </w:r>
      <w:bookmarkStart w:id="0" w:name="_GoBack"/>
      <w:bookmarkEnd w:id="0"/>
      <w:r>
        <w:rPr>
          <w:rFonts w:ascii="Arial" w:hAnsi="Arial" w:cs="Arial"/>
          <w:sz w:val="24"/>
          <w:szCs w:val="24"/>
        </w:rPr>
        <w:t>]</w:t>
      </w:r>
      <w:r>
        <w:rPr>
          <w:rFonts w:ascii="Arial" w:hAnsi="Arial" w:cs="Arial"/>
          <w:sz w:val="24"/>
          <w:szCs w:val="24"/>
        </w:rPr>
        <w:tab/>
      </w:r>
      <w:r w:rsidR="00283C98" w:rsidRPr="007E1EEE">
        <w:rPr>
          <w:rFonts w:ascii="Arial" w:hAnsi="Arial" w:cs="Arial"/>
          <w:sz w:val="24"/>
          <w:szCs w:val="24"/>
        </w:rPr>
        <w:t>I am accordingly of the view that there are no reasonable prospects that another court will come to a different conclusion in respect of the applicants’ fourth and fifth ground of appeal.</w:t>
      </w:r>
    </w:p>
    <w:p w14:paraId="30C8A764" w14:textId="77777777" w:rsidR="00283C98" w:rsidRDefault="00283C98" w:rsidP="00283C98">
      <w:pPr>
        <w:spacing w:after="0" w:line="480" w:lineRule="auto"/>
        <w:jc w:val="both"/>
        <w:rPr>
          <w:rFonts w:ascii="Arial" w:hAnsi="Arial" w:cs="Arial"/>
          <w:sz w:val="24"/>
          <w:szCs w:val="24"/>
        </w:rPr>
      </w:pPr>
    </w:p>
    <w:p w14:paraId="1CCA837E" w14:textId="77777777" w:rsidR="00283C98" w:rsidRPr="00EB344C" w:rsidRDefault="00283C98" w:rsidP="00283C98">
      <w:pPr>
        <w:spacing w:after="0" w:line="480" w:lineRule="auto"/>
        <w:jc w:val="both"/>
        <w:rPr>
          <w:rFonts w:ascii="Arial" w:hAnsi="Arial" w:cs="Arial"/>
          <w:b/>
          <w:bCs/>
          <w:i/>
          <w:iCs/>
          <w:sz w:val="24"/>
          <w:szCs w:val="24"/>
          <w:u w:val="single"/>
        </w:rPr>
      </w:pPr>
      <w:r w:rsidRPr="00EB344C">
        <w:rPr>
          <w:rFonts w:ascii="Arial" w:hAnsi="Arial" w:cs="Arial"/>
          <w:b/>
          <w:bCs/>
          <w:i/>
          <w:iCs/>
          <w:sz w:val="24"/>
          <w:szCs w:val="24"/>
          <w:u w:val="single"/>
        </w:rPr>
        <w:t>Conclusion</w:t>
      </w:r>
    </w:p>
    <w:p w14:paraId="20233C49" w14:textId="77777777" w:rsidR="00283C98" w:rsidRDefault="00283C98" w:rsidP="00283C98">
      <w:pPr>
        <w:pStyle w:val="ListParagraph"/>
        <w:spacing w:after="0" w:line="480" w:lineRule="auto"/>
        <w:ind w:left="851"/>
        <w:jc w:val="both"/>
        <w:rPr>
          <w:rFonts w:ascii="Arial" w:hAnsi="Arial" w:cs="Arial"/>
          <w:sz w:val="24"/>
          <w:szCs w:val="24"/>
        </w:rPr>
      </w:pPr>
    </w:p>
    <w:p w14:paraId="02CC8940" w14:textId="67239EBB" w:rsidR="00283C98" w:rsidRPr="007E1EEE" w:rsidRDefault="007E1EEE" w:rsidP="007E1EEE">
      <w:pPr>
        <w:spacing w:after="0" w:line="480" w:lineRule="auto"/>
        <w:ind w:left="851" w:hanging="851"/>
        <w:jc w:val="both"/>
        <w:rPr>
          <w:rFonts w:ascii="Arial" w:hAnsi="Arial" w:cs="Arial"/>
          <w:sz w:val="24"/>
          <w:szCs w:val="24"/>
        </w:rPr>
      </w:pPr>
      <w:r>
        <w:rPr>
          <w:rFonts w:ascii="Arial" w:hAnsi="Arial" w:cs="Arial"/>
          <w:sz w:val="24"/>
          <w:szCs w:val="24"/>
        </w:rPr>
        <w:t>[17]</w:t>
      </w:r>
      <w:r>
        <w:rPr>
          <w:rFonts w:ascii="Arial" w:hAnsi="Arial" w:cs="Arial"/>
          <w:sz w:val="24"/>
          <w:szCs w:val="24"/>
        </w:rPr>
        <w:tab/>
      </w:r>
      <w:r w:rsidR="00283C98" w:rsidRPr="007E1EEE">
        <w:rPr>
          <w:rFonts w:ascii="Arial" w:hAnsi="Arial" w:cs="Arial"/>
          <w:sz w:val="24"/>
          <w:szCs w:val="24"/>
        </w:rPr>
        <w:t>In the result, I am of the view that there exists no reasonable prospect of success in the contemplated appeal.  Given the nature of these proceedings, I am of the view that each party should be ordered to pay their own costs.</w:t>
      </w:r>
      <w:r w:rsidR="00571D5A" w:rsidRPr="007E1EEE">
        <w:rPr>
          <w:rFonts w:ascii="Arial" w:hAnsi="Arial" w:cs="Arial"/>
          <w:sz w:val="24"/>
          <w:szCs w:val="24"/>
        </w:rPr>
        <w:t xml:space="preserve">  Accordingly, the following order shall issue:</w:t>
      </w:r>
    </w:p>
    <w:p w14:paraId="3668B3F1" w14:textId="77777777" w:rsidR="00571D5A" w:rsidRPr="00EB344C" w:rsidRDefault="00571D5A" w:rsidP="00571D5A">
      <w:pPr>
        <w:pStyle w:val="ListParagraph"/>
        <w:spacing w:after="0" w:line="480" w:lineRule="auto"/>
        <w:ind w:left="851"/>
        <w:jc w:val="both"/>
        <w:rPr>
          <w:rFonts w:ascii="Arial" w:hAnsi="Arial" w:cs="Arial"/>
          <w:sz w:val="24"/>
          <w:szCs w:val="24"/>
        </w:rPr>
      </w:pPr>
    </w:p>
    <w:p w14:paraId="4EDC3266" w14:textId="5F75BA7B" w:rsidR="00283C98" w:rsidRPr="007E1EEE" w:rsidRDefault="007E1EEE" w:rsidP="007E1EEE">
      <w:pPr>
        <w:spacing w:after="0" w:line="480" w:lineRule="auto"/>
        <w:ind w:left="1211"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283C98" w:rsidRPr="007E1EEE">
        <w:rPr>
          <w:rFonts w:ascii="Arial" w:hAnsi="Arial" w:cs="Arial"/>
          <w:sz w:val="24"/>
          <w:szCs w:val="24"/>
        </w:rPr>
        <w:t>The applicants’ application for leave to appeal is dism</w:t>
      </w:r>
      <w:r w:rsidR="00471B17" w:rsidRPr="007E1EEE">
        <w:rPr>
          <w:rFonts w:ascii="Arial" w:hAnsi="Arial" w:cs="Arial"/>
          <w:sz w:val="24"/>
          <w:szCs w:val="24"/>
        </w:rPr>
        <w:t>issed.</w:t>
      </w:r>
    </w:p>
    <w:p w14:paraId="454E3C75" w14:textId="77777777" w:rsidR="00471B17" w:rsidRDefault="00471B17" w:rsidP="00471B17">
      <w:pPr>
        <w:pStyle w:val="ListParagraph"/>
        <w:spacing w:after="0" w:line="480" w:lineRule="auto"/>
        <w:ind w:left="1211"/>
        <w:jc w:val="both"/>
        <w:rPr>
          <w:rFonts w:ascii="Arial" w:hAnsi="Arial" w:cs="Arial"/>
          <w:sz w:val="24"/>
          <w:szCs w:val="24"/>
        </w:rPr>
      </w:pPr>
    </w:p>
    <w:p w14:paraId="528A83A8" w14:textId="52E2DC38" w:rsidR="00471B17" w:rsidRPr="007E1EEE" w:rsidRDefault="007E1EEE" w:rsidP="007E1EEE">
      <w:pPr>
        <w:spacing w:after="0" w:line="480" w:lineRule="auto"/>
        <w:ind w:left="1211"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471B17" w:rsidRPr="007E1EEE">
        <w:rPr>
          <w:rFonts w:ascii="Arial" w:hAnsi="Arial" w:cs="Arial"/>
          <w:sz w:val="24"/>
          <w:szCs w:val="24"/>
        </w:rPr>
        <w:t>Each party is to pay their own costs.</w:t>
      </w:r>
    </w:p>
    <w:p w14:paraId="444A02B0" w14:textId="77777777" w:rsidR="00283C98" w:rsidRPr="00283C98" w:rsidRDefault="00283C98" w:rsidP="00283C98">
      <w:pPr>
        <w:spacing w:after="0" w:line="480" w:lineRule="auto"/>
        <w:jc w:val="both"/>
        <w:rPr>
          <w:rFonts w:ascii="Arial" w:hAnsi="Arial" w:cs="Arial"/>
          <w:sz w:val="24"/>
          <w:szCs w:val="24"/>
        </w:rPr>
      </w:pPr>
    </w:p>
    <w:p w14:paraId="5E911198" w14:textId="3FA41513" w:rsidR="00283C98" w:rsidRDefault="00283C98" w:rsidP="000B5538">
      <w:pPr>
        <w:spacing w:after="0" w:line="240" w:lineRule="auto"/>
        <w:jc w:val="both"/>
        <w:rPr>
          <w:noProof/>
          <w:lang w:eastAsia="en-ZA"/>
        </w:rPr>
      </w:pPr>
    </w:p>
    <w:p w14:paraId="14C951DF" w14:textId="77777777" w:rsidR="003D6B0D" w:rsidRPr="00283C98" w:rsidRDefault="003D6B0D" w:rsidP="000B5538">
      <w:pPr>
        <w:spacing w:after="0" w:line="240" w:lineRule="auto"/>
        <w:jc w:val="both"/>
        <w:rPr>
          <w:rStyle w:val="Hyperlink"/>
          <w:rFonts w:ascii="Arial" w:hAnsi="Arial" w:cs="Arial"/>
          <w:i/>
          <w:iCs/>
          <w:color w:val="auto"/>
          <w:sz w:val="24"/>
          <w:szCs w:val="24"/>
        </w:rPr>
      </w:pPr>
    </w:p>
    <w:p w14:paraId="7E5CE2BC" w14:textId="77777777" w:rsidR="00283C98" w:rsidRPr="00283C98" w:rsidRDefault="00283C98" w:rsidP="000B5538">
      <w:pPr>
        <w:spacing w:after="0" w:line="240" w:lineRule="auto"/>
        <w:jc w:val="both"/>
        <w:rPr>
          <w:rStyle w:val="Hyperlink"/>
          <w:rFonts w:ascii="Arial" w:hAnsi="Arial" w:cs="Arial"/>
          <w:i/>
          <w:iCs/>
          <w:color w:val="auto"/>
          <w:sz w:val="24"/>
          <w:szCs w:val="24"/>
        </w:rPr>
      </w:pPr>
      <w:r w:rsidRPr="00283C98">
        <w:rPr>
          <w:rStyle w:val="Hyperlink"/>
          <w:rFonts w:ascii="Arial" w:hAnsi="Arial" w:cs="Arial"/>
          <w:i/>
          <w:iCs/>
          <w:color w:val="auto"/>
          <w:sz w:val="24"/>
          <w:szCs w:val="24"/>
        </w:rPr>
        <w:t>________________________________</w:t>
      </w:r>
    </w:p>
    <w:p w14:paraId="4C73436D" w14:textId="77777777" w:rsidR="00283C98" w:rsidRPr="00283C98" w:rsidRDefault="00283C98" w:rsidP="000B5538">
      <w:pPr>
        <w:spacing w:after="0" w:line="240" w:lineRule="auto"/>
        <w:jc w:val="both"/>
        <w:rPr>
          <w:rFonts w:ascii="Arial" w:hAnsi="Arial" w:cs="Arial"/>
          <w:b/>
          <w:bCs/>
          <w:sz w:val="24"/>
          <w:szCs w:val="24"/>
        </w:rPr>
      </w:pPr>
      <w:r w:rsidRPr="00283C98">
        <w:rPr>
          <w:rFonts w:ascii="Arial" w:hAnsi="Arial" w:cs="Arial"/>
          <w:b/>
          <w:bCs/>
          <w:sz w:val="24"/>
          <w:szCs w:val="24"/>
        </w:rPr>
        <w:t xml:space="preserve">I BANDS </w:t>
      </w:r>
    </w:p>
    <w:p w14:paraId="7CEE939F" w14:textId="77777777" w:rsidR="00283C98" w:rsidRPr="00283C98" w:rsidRDefault="00283C98" w:rsidP="000B5538">
      <w:pPr>
        <w:spacing w:after="0" w:line="240" w:lineRule="auto"/>
        <w:jc w:val="both"/>
        <w:rPr>
          <w:rFonts w:ascii="Arial" w:hAnsi="Arial" w:cs="Arial"/>
          <w:b/>
          <w:bCs/>
          <w:sz w:val="24"/>
          <w:szCs w:val="24"/>
        </w:rPr>
      </w:pPr>
      <w:r w:rsidRPr="00283C98">
        <w:rPr>
          <w:rFonts w:ascii="Arial" w:hAnsi="Arial" w:cs="Arial"/>
          <w:b/>
          <w:bCs/>
          <w:sz w:val="24"/>
          <w:szCs w:val="24"/>
        </w:rPr>
        <w:t xml:space="preserve">ACTING JUDGE OF THE HIGH COURT </w:t>
      </w:r>
    </w:p>
    <w:p w14:paraId="67A23199" w14:textId="77777777" w:rsidR="00283C98" w:rsidRPr="00283C98" w:rsidRDefault="00283C98" w:rsidP="00283C98">
      <w:pPr>
        <w:spacing w:after="0" w:line="480" w:lineRule="auto"/>
        <w:jc w:val="both"/>
        <w:rPr>
          <w:rFonts w:ascii="Arial" w:hAnsi="Arial" w:cs="Arial"/>
          <w:sz w:val="24"/>
          <w:szCs w:val="24"/>
        </w:rPr>
      </w:pPr>
    </w:p>
    <w:p w14:paraId="48AA2DF7" w14:textId="77777777" w:rsidR="000B5538" w:rsidRDefault="000B5538" w:rsidP="00283C98">
      <w:pPr>
        <w:spacing w:after="0" w:line="480" w:lineRule="auto"/>
        <w:jc w:val="both"/>
        <w:rPr>
          <w:rFonts w:ascii="Arial" w:hAnsi="Arial" w:cs="Arial"/>
          <w:sz w:val="24"/>
          <w:szCs w:val="24"/>
        </w:rPr>
      </w:pPr>
    </w:p>
    <w:p w14:paraId="298AB231" w14:textId="77777777" w:rsidR="000B5538" w:rsidRDefault="000B5538" w:rsidP="00283C98">
      <w:pPr>
        <w:spacing w:after="0" w:line="480" w:lineRule="auto"/>
        <w:jc w:val="both"/>
        <w:rPr>
          <w:rFonts w:ascii="Arial" w:hAnsi="Arial" w:cs="Arial"/>
          <w:sz w:val="24"/>
          <w:szCs w:val="24"/>
        </w:rPr>
      </w:pPr>
    </w:p>
    <w:p w14:paraId="545597B8" w14:textId="43B24841" w:rsidR="00283C98" w:rsidRPr="00283C98" w:rsidRDefault="00283C98" w:rsidP="00283C98">
      <w:pPr>
        <w:spacing w:after="0" w:line="480" w:lineRule="auto"/>
        <w:jc w:val="both"/>
        <w:rPr>
          <w:rFonts w:ascii="Arial" w:hAnsi="Arial" w:cs="Arial"/>
          <w:sz w:val="24"/>
          <w:szCs w:val="24"/>
        </w:rPr>
      </w:pPr>
      <w:r w:rsidRPr="00283C98">
        <w:rPr>
          <w:rFonts w:ascii="Arial" w:hAnsi="Arial" w:cs="Arial"/>
          <w:sz w:val="24"/>
          <w:szCs w:val="24"/>
        </w:rPr>
        <w:t>I agree:</w:t>
      </w:r>
    </w:p>
    <w:p w14:paraId="72AA3F37" w14:textId="77777777" w:rsidR="00283C98" w:rsidRPr="00283C98" w:rsidRDefault="00283C98" w:rsidP="00283C98">
      <w:pPr>
        <w:spacing w:after="0" w:line="360" w:lineRule="auto"/>
        <w:jc w:val="both"/>
        <w:rPr>
          <w:rFonts w:ascii="Arial" w:hAnsi="Arial" w:cs="Arial"/>
          <w:sz w:val="24"/>
          <w:szCs w:val="24"/>
        </w:rPr>
      </w:pPr>
    </w:p>
    <w:p w14:paraId="084804DD" w14:textId="77777777" w:rsidR="00283C98" w:rsidRPr="00283C98" w:rsidRDefault="00283C98" w:rsidP="00283C98">
      <w:pPr>
        <w:spacing w:after="0" w:line="360" w:lineRule="auto"/>
        <w:jc w:val="both"/>
        <w:rPr>
          <w:rFonts w:ascii="Arial" w:hAnsi="Arial" w:cs="Arial"/>
          <w:sz w:val="24"/>
          <w:szCs w:val="24"/>
        </w:rPr>
      </w:pPr>
    </w:p>
    <w:p w14:paraId="4DEF4AB5" w14:textId="77777777" w:rsidR="00283C98" w:rsidRPr="00283C98" w:rsidRDefault="00283C98" w:rsidP="000B5538">
      <w:pPr>
        <w:spacing w:after="0" w:line="240" w:lineRule="auto"/>
        <w:jc w:val="both"/>
        <w:rPr>
          <w:rStyle w:val="Hyperlink"/>
          <w:rFonts w:ascii="Arial" w:hAnsi="Arial" w:cs="Arial"/>
          <w:i/>
          <w:iCs/>
          <w:color w:val="auto"/>
          <w:sz w:val="24"/>
          <w:szCs w:val="24"/>
        </w:rPr>
      </w:pPr>
      <w:r w:rsidRPr="00283C98">
        <w:rPr>
          <w:rStyle w:val="Hyperlink"/>
          <w:rFonts w:ascii="Arial" w:hAnsi="Arial" w:cs="Arial"/>
          <w:i/>
          <w:iCs/>
          <w:color w:val="auto"/>
          <w:sz w:val="24"/>
          <w:szCs w:val="24"/>
        </w:rPr>
        <w:t>________________________________</w:t>
      </w:r>
    </w:p>
    <w:p w14:paraId="7011D2F9" w14:textId="77777777" w:rsidR="00283C98" w:rsidRPr="00283C98" w:rsidRDefault="00283C98" w:rsidP="000B5538">
      <w:pPr>
        <w:spacing w:after="0" w:line="240" w:lineRule="auto"/>
        <w:jc w:val="both"/>
        <w:rPr>
          <w:rFonts w:ascii="Arial" w:hAnsi="Arial" w:cs="Arial"/>
          <w:b/>
          <w:bCs/>
          <w:sz w:val="24"/>
          <w:szCs w:val="24"/>
        </w:rPr>
      </w:pPr>
      <w:r w:rsidRPr="00283C98">
        <w:rPr>
          <w:rFonts w:ascii="Arial" w:hAnsi="Arial" w:cs="Arial"/>
          <w:b/>
          <w:bCs/>
          <w:sz w:val="24"/>
          <w:szCs w:val="24"/>
        </w:rPr>
        <w:t>M LOWE</w:t>
      </w:r>
    </w:p>
    <w:p w14:paraId="76D796C3" w14:textId="77777777" w:rsidR="00283C98" w:rsidRPr="00283C98" w:rsidRDefault="00283C98" w:rsidP="00283C98">
      <w:pPr>
        <w:spacing w:after="0" w:line="480" w:lineRule="auto"/>
        <w:jc w:val="both"/>
        <w:rPr>
          <w:rFonts w:ascii="Arial" w:hAnsi="Arial" w:cs="Arial"/>
          <w:b/>
          <w:bCs/>
          <w:sz w:val="24"/>
          <w:szCs w:val="24"/>
        </w:rPr>
      </w:pPr>
      <w:r w:rsidRPr="00283C98">
        <w:rPr>
          <w:rFonts w:ascii="Arial" w:hAnsi="Arial" w:cs="Arial"/>
          <w:b/>
          <w:bCs/>
          <w:sz w:val="24"/>
          <w:szCs w:val="24"/>
        </w:rPr>
        <w:t xml:space="preserve">JUDGE OF THE HIGH COURT </w:t>
      </w:r>
    </w:p>
    <w:p w14:paraId="1D181E33" w14:textId="77777777" w:rsidR="00283C98" w:rsidRPr="005E0A83" w:rsidRDefault="00283C98" w:rsidP="00283C98">
      <w:pPr>
        <w:spacing w:after="0" w:line="480" w:lineRule="auto"/>
        <w:jc w:val="both"/>
        <w:rPr>
          <w:rFonts w:ascii="Arial" w:hAnsi="Arial" w:cs="Arial"/>
          <w:b/>
          <w:bCs/>
          <w:sz w:val="24"/>
          <w:szCs w:val="24"/>
        </w:rPr>
      </w:pPr>
      <w:r w:rsidRPr="005E0A83">
        <w:rPr>
          <w:rFonts w:ascii="Arial" w:hAnsi="Arial" w:cs="Arial"/>
          <w:b/>
          <w:bCs/>
          <w:sz w:val="24"/>
          <w:szCs w:val="24"/>
        </w:rPr>
        <w:lastRenderedPageBreak/>
        <w:t xml:space="preserve">Appearances: </w:t>
      </w:r>
    </w:p>
    <w:p w14:paraId="414B481E" w14:textId="0439FB8D" w:rsidR="00283C98" w:rsidRPr="000B5538" w:rsidRDefault="00283C98" w:rsidP="00283C98">
      <w:pPr>
        <w:spacing w:after="0" w:line="360" w:lineRule="auto"/>
        <w:jc w:val="both"/>
        <w:rPr>
          <w:rFonts w:ascii="Arial" w:hAnsi="Arial" w:cs="Arial"/>
          <w:sz w:val="24"/>
          <w:szCs w:val="24"/>
        </w:rPr>
      </w:pPr>
      <w:r w:rsidRPr="000B5538">
        <w:rPr>
          <w:rFonts w:ascii="Arial" w:hAnsi="Arial" w:cs="Arial"/>
          <w:sz w:val="24"/>
          <w:szCs w:val="24"/>
        </w:rPr>
        <w:t xml:space="preserve">For the Applicants: </w:t>
      </w:r>
      <w:r w:rsidRPr="000B5538">
        <w:rPr>
          <w:rFonts w:ascii="Arial" w:hAnsi="Arial" w:cs="Arial"/>
          <w:sz w:val="24"/>
          <w:szCs w:val="24"/>
        </w:rPr>
        <w:tab/>
      </w:r>
      <w:r w:rsidRPr="000B5538">
        <w:rPr>
          <w:rFonts w:ascii="Arial" w:hAnsi="Arial" w:cs="Arial"/>
          <w:sz w:val="24"/>
          <w:szCs w:val="24"/>
        </w:rPr>
        <w:tab/>
      </w:r>
      <w:r w:rsidRPr="000B5538">
        <w:rPr>
          <w:rFonts w:ascii="Arial" w:hAnsi="Arial" w:cs="Arial"/>
          <w:sz w:val="24"/>
          <w:szCs w:val="24"/>
        </w:rPr>
        <w:tab/>
        <w:t>J.P Broster</w:t>
      </w:r>
      <w:r w:rsidRPr="000B5538">
        <w:rPr>
          <w:rFonts w:ascii="Arial" w:hAnsi="Arial" w:cs="Arial"/>
          <w:sz w:val="24"/>
          <w:szCs w:val="24"/>
        </w:rPr>
        <w:tab/>
      </w:r>
    </w:p>
    <w:p w14:paraId="001A8C95" w14:textId="77777777" w:rsidR="00283C98" w:rsidRPr="000B5538" w:rsidRDefault="00283C98" w:rsidP="00283C98">
      <w:pPr>
        <w:spacing w:after="0" w:line="360" w:lineRule="auto"/>
        <w:jc w:val="both"/>
        <w:rPr>
          <w:rFonts w:ascii="Arial" w:hAnsi="Arial" w:cs="Arial"/>
          <w:sz w:val="24"/>
          <w:szCs w:val="24"/>
        </w:rPr>
      </w:pPr>
      <w:r w:rsidRPr="000B5538">
        <w:rPr>
          <w:rFonts w:ascii="Arial" w:hAnsi="Arial" w:cs="Arial"/>
          <w:sz w:val="24"/>
          <w:szCs w:val="24"/>
        </w:rPr>
        <w:t>Instructed by:</w:t>
      </w:r>
      <w:r w:rsidRPr="000B5538">
        <w:rPr>
          <w:rFonts w:ascii="Arial" w:hAnsi="Arial" w:cs="Arial"/>
          <w:sz w:val="24"/>
          <w:szCs w:val="24"/>
        </w:rPr>
        <w:tab/>
      </w:r>
      <w:r w:rsidRPr="000B5538">
        <w:rPr>
          <w:rFonts w:ascii="Arial" w:hAnsi="Arial" w:cs="Arial"/>
          <w:sz w:val="24"/>
          <w:szCs w:val="24"/>
        </w:rPr>
        <w:tab/>
      </w:r>
      <w:r w:rsidRPr="000B5538">
        <w:rPr>
          <w:rFonts w:ascii="Arial" w:hAnsi="Arial" w:cs="Arial"/>
          <w:sz w:val="24"/>
          <w:szCs w:val="24"/>
        </w:rPr>
        <w:tab/>
        <w:t>Pather &amp; Pather Attorneys c/o Nolte Smit Attorneys</w:t>
      </w:r>
    </w:p>
    <w:p w14:paraId="158FCFE7" w14:textId="77777777" w:rsidR="00283C98" w:rsidRPr="000B5538" w:rsidRDefault="00283C98" w:rsidP="00283C98">
      <w:pPr>
        <w:spacing w:after="0" w:line="360" w:lineRule="auto"/>
        <w:ind w:left="2880" w:firstLine="720"/>
        <w:jc w:val="both"/>
        <w:rPr>
          <w:rFonts w:ascii="Arial" w:hAnsi="Arial" w:cs="Arial"/>
          <w:sz w:val="24"/>
          <w:szCs w:val="24"/>
        </w:rPr>
      </w:pPr>
      <w:r w:rsidRPr="000B5538">
        <w:rPr>
          <w:rFonts w:ascii="Arial" w:hAnsi="Arial" w:cs="Arial"/>
          <w:sz w:val="24"/>
          <w:szCs w:val="24"/>
        </w:rPr>
        <w:t>51A High Street, Makhanda</w:t>
      </w:r>
    </w:p>
    <w:p w14:paraId="492784FF" w14:textId="77777777" w:rsidR="00283C98" w:rsidRPr="000B5538" w:rsidRDefault="00283C98" w:rsidP="00283C98">
      <w:pPr>
        <w:spacing w:after="0" w:line="360" w:lineRule="auto"/>
        <w:jc w:val="both"/>
        <w:rPr>
          <w:rFonts w:ascii="Arial" w:hAnsi="Arial" w:cs="Arial"/>
          <w:sz w:val="24"/>
          <w:szCs w:val="24"/>
        </w:rPr>
      </w:pPr>
    </w:p>
    <w:p w14:paraId="0C25F5B3" w14:textId="77777777" w:rsidR="00283C98" w:rsidRPr="000B5538" w:rsidRDefault="00283C98" w:rsidP="00283C98">
      <w:pPr>
        <w:spacing w:after="0" w:line="360" w:lineRule="auto"/>
        <w:jc w:val="both"/>
        <w:rPr>
          <w:rFonts w:ascii="Arial" w:hAnsi="Arial" w:cs="Arial"/>
          <w:sz w:val="24"/>
          <w:szCs w:val="24"/>
        </w:rPr>
      </w:pPr>
      <w:r w:rsidRPr="000B5538">
        <w:rPr>
          <w:rFonts w:ascii="Arial" w:hAnsi="Arial" w:cs="Arial"/>
          <w:sz w:val="24"/>
          <w:szCs w:val="24"/>
        </w:rPr>
        <w:t>For the First Respondent:</w:t>
      </w:r>
      <w:r w:rsidRPr="000B5538">
        <w:rPr>
          <w:rFonts w:ascii="Arial" w:hAnsi="Arial" w:cs="Arial"/>
          <w:sz w:val="24"/>
          <w:szCs w:val="24"/>
        </w:rPr>
        <w:tab/>
      </w:r>
      <w:r w:rsidRPr="000B5538">
        <w:rPr>
          <w:rFonts w:ascii="Arial" w:hAnsi="Arial" w:cs="Arial"/>
          <w:sz w:val="24"/>
          <w:szCs w:val="24"/>
        </w:rPr>
        <w:tab/>
        <w:t>N.L. Ntsepe</w:t>
      </w:r>
    </w:p>
    <w:p w14:paraId="274F8F86" w14:textId="0324B72D" w:rsidR="00283C98" w:rsidRPr="000B5538" w:rsidRDefault="00283C98" w:rsidP="00283C98">
      <w:pPr>
        <w:spacing w:after="0" w:line="360" w:lineRule="auto"/>
        <w:rPr>
          <w:rFonts w:ascii="Arial" w:hAnsi="Arial" w:cs="Arial"/>
          <w:sz w:val="24"/>
          <w:szCs w:val="24"/>
        </w:rPr>
      </w:pPr>
      <w:r w:rsidRPr="000B5538">
        <w:rPr>
          <w:rFonts w:ascii="Arial" w:hAnsi="Arial" w:cs="Arial"/>
          <w:sz w:val="24"/>
          <w:szCs w:val="24"/>
        </w:rPr>
        <w:t>Instructed by:</w:t>
      </w:r>
      <w:r w:rsidRPr="000B5538">
        <w:rPr>
          <w:rFonts w:ascii="Arial" w:hAnsi="Arial" w:cs="Arial"/>
          <w:sz w:val="24"/>
          <w:szCs w:val="24"/>
        </w:rPr>
        <w:tab/>
      </w:r>
      <w:r w:rsidRPr="000B5538">
        <w:rPr>
          <w:rFonts w:ascii="Arial" w:hAnsi="Arial" w:cs="Arial"/>
          <w:sz w:val="24"/>
          <w:szCs w:val="24"/>
        </w:rPr>
        <w:tab/>
      </w:r>
      <w:r w:rsidRPr="000B5538">
        <w:rPr>
          <w:rFonts w:ascii="Arial" w:hAnsi="Arial" w:cs="Arial"/>
          <w:sz w:val="24"/>
          <w:szCs w:val="24"/>
        </w:rPr>
        <w:tab/>
        <w:t>The State Attorney c/o Yokwana Attorneys</w:t>
      </w:r>
    </w:p>
    <w:p w14:paraId="3241C3B3" w14:textId="75591CCA" w:rsidR="00283C98" w:rsidRPr="000B5538" w:rsidRDefault="00283C98" w:rsidP="00283C98">
      <w:pPr>
        <w:spacing w:after="0" w:line="360" w:lineRule="auto"/>
        <w:rPr>
          <w:rFonts w:ascii="Arial" w:hAnsi="Arial" w:cs="Arial"/>
          <w:sz w:val="24"/>
          <w:szCs w:val="24"/>
        </w:rPr>
      </w:pPr>
      <w:r w:rsidRPr="000B5538">
        <w:rPr>
          <w:rFonts w:ascii="Arial" w:hAnsi="Arial" w:cs="Arial"/>
          <w:sz w:val="24"/>
          <w:szCs w:val="24"/>
        </w:rPr>
        <w:tab/>
      </w:r>
      <w:r w:rsidRPr="000B5538">
        <w:rPr>
          <w:rFonts w:ascii="Arial" w:hAnsi="Arial" w:cs="Arial"/>
          <w:sz w:val="24"/>
          <w:szCs w:val="24"/>
        </w:rPr>
        <w:tab/>
      </w:r>
      <w:r w:rsidRPr="000B5538">
        <w:rPr>
          <w:rFonts w:ascii="Arial" w:hAnsi="Arial" w:cs="Arial"/>
          <w:sz w:val="24"/>
          <w:szCs w:val="24"/>
        </w:rPr>
        <w:tab/>
      </w:r>
      <w:r w:rsidRPr="000B5538">
        <w:rPr>
          <w:rFonts w:ascii="Arial" w:hAnsi="Arial" w:cs="Arial"/>
          <w:sz w:val="24"/>
          <w:szCs w:val="24"/>
        </w:rPr>
        <w:tab/>
      </w:r>
      <w:r w:rsidRPr="000B5538">
        <w:rPr>
          <w:rFonts w:ascii="Arial" w:hAnsi="Arial" w:cs="Arial"/>
          <w:sz w:val="24"/>
          <w:szCs w:val="24"/>
        </w:rPr>
        <w:tab/>
        <w:t>10 New Street, Makhanda</w:t>
      </w:r>
    </w:p>
    <w:p w14:paraId="76B26452" w14:textId="34BF9035" w:rsidR="00283C98" w:rsidRPr="000B5538" w:rsidRDefault="00283C98" w:rsidP="00283C98">
      <w:pPr>
        <w:pBdr>
          <w:bottom w:val="single" w:sz="4" w:space="1" w:color="auto"/>
        </w:pBdr>
        <w:spacing w:after="0" w:line="360" w:lineRule="auto"/>
        <w:rPr>
          <w:rFonts w:ascii="Arial" w:hAnsi="Arial" w:cs="Arial"/>
          <w:sz w:val="24"/>
          <w:szCs w:val="24"/>
        </w:rPr>
      </w:pPr>
    </w:p>
    <w:p w14:paraId="5159FC89" w14:textId="77777777" w:rsidR="00283C98" w:rsidRPr="000B5538" w:rsidRDefault="00283C98" w:rsidP="00283C98">
      <w:pPr>
        <w:pStyle w:val="GW12"/>
        <w:tabs>
          <w:tab w:val="clear" w:pos="6048"/>
          <w:tab w:val="clear" w:pos="8640"/>
          <w:tab w:val="right" w:pos="8931"/>
        </w:tabs>
        <w:spacing w:line="240" w:lineRule="auto"/>
        <w:ind w:right="-46"/>
        <w:rPr>
          <w:rFonts w:ascii="Arial" w:hAnsi="Arial" w:cs="Arial"/>
          <w:szCs w:val="24"/>
        </w:rPr>
      </w:pPr>
    </w:p>
    <w:p w14:paraId="4BD4E34B" w14:textId="488C81BD" w:rsidR="00283C98" w:rsidRPr="000B5538" w:rsidRDefault="00283C98" w:rsidP="00283C98">
      <w:pPr>
        <w:pStyle w:val="GW12"/>
        <w:tabs>
          <w:tab w:val="clear" w:pos="6048"/>
          <w:tab w:val="clear" w:pos="8640"/>
          <w:tab w:val="right" w:pos="8931"/>
        </w:tabs>
        <w:spacing w:line="240" w:lineRule="auto"/>
        <w:ind w:right="-46"/>
        <w:rPr>
          <w:rFonts w:ascii="Arial" w:hAnsi="Arial" w:cs="Arial"/>
          <w:szCs w:val="24"/>
        </w:rPr>
      </w:pPr>
      <w:r w:rsidRPr="000B5538">
        <w:rPr>
          <w:rFonts w:ascii="Arial" w:hAnsi="Arial" w:cs="Arial"/>
          <w:szCs w:val="24"/>
        </w:rPr>
        <w:t xml:space="preserve">Coram: </w:t>
      </w:r>
      <w:r w:rsidRPr="000B5538">
        <w:rPr>
          <w:rFonts w:ascii="Arial" w:hAnsi="Arial" w:cs="Arial"/>
          <w:szCs w:val="24"/>
        </w:rPr>
        <w:tab/>
      </w:r>
      <w:r w:rsidRPr="000B5538">
        <w:rPr>
          <w:rFonts w:ascii="Arial" w:hAnsi="Arial" w:cs="Arial"/>
          <w:szCs w:val="24"/>
        </w:rPr>
        <w:tab/>
        <w:t xml:space="preserve">Lowe J </w:t>
      </w:r>
      <w:r w:rsidRPr="000B5538">
        <w:rPr>
          <w:rFonts w:ascii="Arial" w:hAnsi="Arial" w:cs="Arial"/>
          <w:i/>
          <w:iCs/>
          <w:szCs w:val="24"/>
        </w:rPr>
        <w:t>et</w:t>
      </w:r>
      <w:r w:rsidRPr="000B5538">
        <w:rPr>
          <w:rFonts w:ascii="Arial" w:hAnsi="Arial" w:cs="Arial"/>
          <w:szCs w:val="24"/>
        </w:rPr>
        <w:t xml:space="preserve"> Bands AJ</w:t>
      </w:r>
    </w:p>
    <w:p w14:paraId="41208625" w14:textId="77777777" w:rsidR="00283C98" w:rsidRPr="000B5538" w:rsidRDefault="00283C98" w:rsidP="00283C98">
      <w:pPr>
        <w:pStyle w:val="GW12"/>
        <w:tabs>
          <w:tab w:val="clear" w:pos="6048"/>
          <w:tab w:val="clear" w:pos="8640"/>
          <w:tab w:val="right" w:pos="8931"/>
        </w:tabs>
        <w:spacing w:line="240" w:lineRule="auto"/>
        <w:ind w:right="-46"/>
        <w:rPr>
          <w:rFonts w:ascii="Arial" w:hAnsi="Arial" w:cs="Arial"/>
          <w:szCs w:val="24"/>
        </w:rPr>
      </w:pPr>
      <w:r w:rsidRPr="000B5538">
        <w:rPr>
          <w:rFonts w:ascii="Arial" w:hAnsi="Arial" w:cs="Arial"/>
          <w:szCs w:val="24"/>
        </w:rPr>
        <w:t xml:space="preserve">Date heard: </w:t>
      </w:r>
      <w:r w:rsidRPr="000B5538">
        <w:rPr>
          <w:rFonts w:ascii="Arial" w:hAnsi="Arial" w:cs="Arial"/>
          <w:szCs w:val="24"/>
        </w:rPr>
        <w:tab/>
        <w:t>8 March 2023</w:t>
      </w:r>
    </w:p>
    <w:p w14:paraId="17C70160" w14:textId="77777777" w:rsidR="00283C98" w:rsidRPr="000B5538" w:rsidRDefault="00283C98" w:rsidP="00283C98">
      <w:pPr>
        <w:pStyle w:val="GW12"/>
        <w:tabs>
          <w:tab w:val="clear" w:pos="6048"/>
          <w:tab w:val="clear" w:pos="8640"/>
          <w:tab w:val="right" w:pos="8931"/>
        </w:tabs>
        <w:spacing w:line="240" w:lineRule="auto"/>
        <w:ind w:right="-46"/>
        <w:rPr>
          <w:rFonts w:ascii="Arial" w:hAnsi="Arial" w:cs="Arial"/>
          <w:szCs w:val="24"/>
        </w:rPr>
      </w:pPr>
      <w:r w:rsidRPr="000B5538">
        <w:rPr>
          <w:rFonts w:ascii="Arial" w:hAnsi="Arial" w:cs="Arial"/>
          <w:szCs w:val="24"/>
        </w:rPr>
        <w:t>Delivered:</w:t>
      </w:r>
      <w:r w:rsidRPr="000B5538">
        <w:rPr>
          <w:rFonts w:ascii="Arial" w:hAnsi="Arial" w:cs="Arial"/>
          <w:szCs w:val="24"/>
        </w:rPr>
        <w:tab/>
      </w:r>
      <w:r w:rsidRPr="000B5538">
        <w:rPr>
          <w:rFonts w:ascii="Arial" w:hAnsi="Arial" w:cs="Arial"/>
          <w:szCs w:val="24"/>
        </w:rPr>
        <w:tab/>
        <w:t>9 March 2023</w:t>
      </w:r>
    </w:p>
    <w:p w14:paraId="340C02D1" w14:textId="77777777" w:rsidR="00283C98" w:rsidRPr="00F452BA" w:rsidRDefault="00283C98" w:rsidP="00283C98">
      <w:pPr>
        <w:spacing w:after="0" w:line="360" w:lineRule="auto"/>
        <w:rPr>
          <w:rFonts w:ascii="Arial" w:hAnsi="Arial" w:cs="Arial"/>
        </w:rPr>
      </w:pPr>
    </w:p>
    <w:p w14:paraId="1FFD7076" w14:textId="77777777" w:rsidR="00283C98" w:rsidRDefault="00283C98" w:rsidP="00283C98">
      <w:pPr>
        <w:pStyle w:val="ListParagraph"/>
        <w:spacing w:after="0" w:line="480" w:lineRule="auto"/>
        <w:ind w:left="851"/>
        <w:jc w:val="both"/>
        <w:rPr>
          <w:rFonts w:ascii="Arial" w:hAnsi="Arial" w:cs="Arial"/>
          <w:sz w:val="24"/>
          <w:szCs w:val="24"/>
        </w:rPr>
      </w:pPr>
    </w:p>
    <w:p w14:paraId="58D02ED1" w14:textId="77777777" w:rsidR="00283C98" w:rsidRPr="00973140" w:rsidRDefault="00283C98" w:rsidP="00283C98">
      <w:pPr>
        <w:pStyle w:val="ListParagraph"/>
        <w:rPr>
          <w:rFonts w:ascii="Arial" w:hAnsi="Arial" w:cs="Arial"/>
          <w:sz w:val="24"/>
          <w:szCs w:val="24"/>
        </w:rPr>
      </w:pPr>
    </w:p>
    <w:p w14:paraId="45A0DA7F" w14:textId="77777777" w:rsidR="00283C98" w:rsidRPr="00AC2A65" w:rsidRDefault="00283C98" w:rsidP="00283C98">
      <w:pPr>
        <w:pStyle w:val="ListParagraph"/>
        <w:spacing w:after="0" w:line="480" w:lineRule="auto"/>
        <w:ind w:left="851"/>
        <w:jc w:val="both"/>
        <w:rPr>
          <w:rFonts w:ascii="Arial" w:hAnsi="Arial" w:cs="Arial"/>
          <w:sz w:val="24"/>
          <w:szCs w:val="24"/>
        </w:rPr>
      </w:pPr>
    </w:p>
    <w:p w14:paraId="29CC0952" w14:textId="77777777" w:rsidR="001F7F1B" w:rsidRDefault="001F7F1B"/>
    <w:sectPr w:rsidR="001F7F1B" w:rsidSect="00533254">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F58A4" w14:textId="77777777" w:rsidR="00261391" w:rsidRDefault="00261391" w:rsidP="00283C98">
      <w:pPr>
        <w:spacing w:after="0" w:line="240" w:lineRule="auto"/>
      </w:pPr>
      <w:r>
        <w:separator/>
      </w:r>
    </w:p>
  </w:endnote>
  <w:endnote w:type="continuationSeparator" w:id="0">
    <w:p w14:paraId="52EC3351" w14:textId="77777777" w:rsidR="00261391" w:rsidRDefault="00261391" w:rsidP="0028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9C9FB" w14:textId="77777777" w:rsidR="00D154BB" w:rsidRDefault="008405A8" w:rsidP="00E87326">
    <w:pPr>
      <w:pStyle w:val="Footer"/>
      <w:tabs>
        <w:tab w:val="clear" w:pos="4513"/>
        <w:tab w:val="clear" w:pos="9026"/>
        <w:tab w:val="left" w:pos="183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9C274" w14:textId="77777777" w:rsidR="00261391" w:rsidRDefault="00261391" w:rsidP="00283C98">
      <w:pPr>
        <w:spacing w:after="0" w:line="240" w:lineRule="auto"/>
      </w:pPr>
      <w:r>
        <w:separator/>
      </w:r>
    </w:p>
  </w:footnote>
  <w:footnote w:type="continuationSeparator" w:id="0">
    <w:p w14:paraId="433DF6E5" w14:textId="77777777" w:rsidR="00261391" w:rsidRDefault="00261391" w:rsidP="00283C98">
      <w:pPr>
        <w:spacing w:after="0" w:line="240" w:lineRule="auto"/>
      </w:pPr>
      <w:r>
        <w:continuationSeparator/>
      </w:r>
    </w:p>
  </w:footnote>
  <w:footnote w:id="1">
    <w:p w14:paraId="708661DF" w14:textId="5CFBE41C" w:rsidR="00283C98" w:rsidRPr="003B2F7D" w:rsidRDefault="00283C98" w:rsidP="003B2F7D">
      <w:pPr>
        <w:pStyle w:val="FootnoteText"/>
        <w:spacing w:line="360" w:lineRule="auto"/>
        <w:jc w:val="both"/>
        <w:rPr>
          <w:rFonts w:ascii="Arial" w:hAnsi="Arial" w:cs="Arial"/>
          <w:sz w:val="22"/>
          <w:szCs w:val="22"/>
          <w:shd w:val="clear" w:color="auto" w:fill="FFFFFF"/>
        </w:rPr>
      </w:pPr>
      <w:r w:rsidRPr="003B2F7D">
        <w:rPr>
          <w:rStyle w:val="FootnoteReference"/>
          <w:rFonts w:ascii="Arial" w:hAnsi="Arial" w:cs="Arial"/>
          <w:sz w:val="22"/>
          <w:szCs w:val="22"/>
        </w:rPr>
        <w:footnoteRef/>
      </w:r>
      <w:r w:rsidRPr="003B2F7D">
        <w:rPr>
          <w:rFonts w:ascii="Arial" w:hAnsi="Arial" w:cs="Arial"/>
          <w:sz w:val="22"/>
          <w:szCs w:val="22"/>
        </w:rPr>
        <w:t xml:space="preserve"> </w:t>
      </w:r>
      <w:r w:rsidRPr="003B2F7D">
        <w:rPr>
          <w:rFonts w:ascii="Arial" w:hAnsi="Arial" w:cs="Arial"/>
          <w:i/>
          <w:iCs/>
          <w:sz w:val="22"/>
          <w:szCs w:val="22"/>
          <w:shd w:val="clear" w:color="auto" w:fill="FFFFFF"/>
        </w:rPr>
        <w:t>S v Smith</w:t>
      </w:r>
      <w:r w:rsidRPr="003B2F7D">
        <w:rPr>
          <w:rFonts w:ascii="Arial" w:hAnsi="Arial" w:cs="Arial"/>
          <w:sz w:val="22"/>
          <w:szCs w:val="22"/>
          <w:shd w:val="clear" w:color="auto" w:fill="FFFFFF"/>
        </w:rPr>
        <w:t> 2012 (1) SACR 567 (SCA) para 7.</w:t>
      </w:r>
    </w:p>
    <w:p w14:paraId="6E659AA6" w14:textId="77777777" w:rsidR="00283C98" w:rsidRPr="003B2F7D" w:rsidRDefault="00283C98" w:rsidP="003B2F7D">
      <w:pPr>
        <w:pStyle w:val="Heading2"/>
        <w:shd w:val="clear" w:color="auto" w:fill="FFFFFF"/>
        <w:spacing w:before="0" w:beforeAutospacing="0" w:after="0" w:afterAutospacing="0" w:line="360" w:lineRule="auto"/>
        <w:jc w:val="both"/>
        <w:rPr>
          <w:rFonts w:ascii="Arial" w:hAnsi="Arial" w:cs="Arial"/>
          <w:b w:val="0"/>
          <w:sz w:val="22"/>
          <w:szCs w:val="22"/>
        </w:rPr>
      </w:pPr>
      <w:r w:rsidRPr="003B2F7D">
        <w:rPr>
          <w:rFonts w:ascii="Arial" w:hAnsi="Arial" w:cs="Arial"/>
          <w:b w:val="0"/>
          <w:i/>
          <w:iCs/>
          <w:sz w:val="22"/>
          <w:szCs w:val="22"/>
        </w:rPr>
        <w:t>Maphana and Another v S</w:t>
      </w:r>
      <w:r w:rsidRPr="003B2F7D">
        <w:rPr>
          <w:rFonts w:ascii="Arial" w:hAnsi="Arial" w:cs="Arial"/>
          <w:b w:val="0"/>
          <w:sz w:val="22"/>
          <w:szCs w:val="22"/>
        </w:rPr>
        <w:t xml:space="preserve"> (174/2017) [2018] ZASCA 8 (1 March 2018).</w:t>
      </w:r>
    </w:p>
    <w:p w14:paraId="4AEACF36" w14:textId="77777777" w:rsidR="00283C98" w:rsidRPr="003B2F7D" w:rsidRDefault="00283C98" w:rsidP="003B2F7D">
      <w:pPr>
        <w:pStyle w:val="Heading2"/>
        <w:shd w:val="clear" w:color="auto" w:fill="FFFFFF"/>
        <w:spacing w:before="0" w:beforeAutospacing="0" w:after="0" w:afterAutospacing="0" w:line="360" w:lineRule="auto"/>
        <w:jc w:val="both"/>
        <w:rPr>
          <w:rFonts w:ascii="Arial" w:hAnsi="Arial" w:cs="Arial"/>
          <w:b w:val="0"/>
          <w:sz w:val="22"/>
          <w:szCs w:val="22"/>
        </w:rPr>
      </w:pPr>
      <w:r w:rsidRPr="003B2F7D">
        <w:rPr>
          <w:rFonts w:ascii="Arial" w:hAnsi="Arial" w:cs="Arial"/>
          <w:b w:val="0"/>
          <w:i/>
          <w:iCs/>
          <w:sz w:val="22"/>
          <w:szCs w:val="22"/>
        </w:rPr>
        <w:t xml:space="preserve">Ramakatsa and Others v African National Congress and Another </w:t>
      </w:r>
      <w:r w:rsidRPr="003B2F7D">
        <w:rPr>
          <w:rFonts w:ascii="Arial" w:hAnsi="Arial" w:cs="Arial"/>
          <w:b w:val="0"/>
          <w:sz w:val="22"/>
          <w:szCs w:val="22"/>
        </w:rPr>
        <w:t>(724/2019) [2021] ZASCA 31 (31 March 2021) at para 10.</w:t>
      </w:r>
    </w:p>
  </w:footnote>
  <w:footnote w:id="2">
    <w:p w14:paraId="2D1C1CAA" w14:textId="77777777" w:rsidR="00283C98" w:rsidRPr="00284D29" w:rsidRDefault="00283C98" w:rsidP="00283C98">
      <w:pPr>
        <w:pStyle w:val="FootnoteText"/>
        <w:spacing w:line="360" w:lineRule="auto"/>
        <w:jc w:val="both"/>
        <w:rPr>
          <w:rFonts w:ascii="Arial" w:hAnsi="Arial" w:cs="Arial"/>
          <w:sz w:val="22"/>
          <w:szCs w:val="22"/>
        </w:rPr>
      </w:pPr>
      <w:r w:rsidRPr="00284D29">
        <w:rPr>
          <w:rStyle w:val="FootnoteReference"/>
          <w:rFonts w:ascii="Arial" w:hAnsi="Arial" w:cs="Arial"/>
          <w:sz w:val="22"/>
          <w:szCs w:val="22"/>
        </w:rPr>
        <w:footnoteRef/>
      </w:r>
      <w:r w:rsidRPr="00284D29">
        <w:rPr>
          <w:rFonts w:ascii="Arial" w:hAnsi="Arial" w:cs="Arial"/>
          <w:sz w:val="22"/>
          <w:szCs w:val="22"/>
        </w:rPr>
        <w:t xml:space="preserve"> 2007 (3) SA 266 (SCA)</w:t>
      </w:r>
    </w:p>
  </w:footnote>
  <w:footnote w:id="3">
    <w:p w14:paraId="2A847BA1" w14:textId="77777777" w:rsidR="00283C98" w:rsidRPr="00284D29" w:rsidRDefault="00283C98" w:rsidP="00283C98">
      <w:pPr>
        <w:pStyle w:val="FootnoteText"/>
        <w:spacing w:line="360" w:lineRule="auto"/>
        <w:jc w:val="both"/>
        <w:rPr>
          <w:rFonts w:ascii="Arial" w:hAnsi="Arial" w:cs="Arial"/>
          <w:sz w:val="22"/>
          <w:szCs w:val="22"/>
        </w:rPr>
      </w:pPr>
      <w:r w:rsidRPr="00284D29">
        <w:rPr>
          <w:rStyle w:val="FootnoteReference"/>
          <w:rFonts w:ascii="Arial" w:hAnsi="Arial" w:cs="Arial"/>
          <w:sz w:val="22"/>
          <w:szCs w:val="22"/>
        </w:rPr>
        <w:footnoteRef/>
      </w:r>
      <w:r w:rsidRPr="00284D29">
        <w:rPr>
          <w:rFonts w:ascii="Arial" w:hAnsi="Arial" w:cs="Arial"/>
          <w:sz w:val="22"/>
          <w:szCs w:val="22"/>
        </w:rPr>
        <w:t xml:space="preserve"> 2008 (2) SA 24 at para [265].</w:t>
      </w:r>
    </w:p>
  </w:footnote>
  <w:footnote w:id="4">
    <w:p w14:paraId="3787891C" w14:textId="77777777" w:rsidR="00283C98" w:rsidRPr="00284D29" w:rsidRDefault="00283C98" w:rsidP="00283C98">
      <w:pPr>
        <w:pStyle w:val="FootnoteText"/>
        <w:spacing w:line="360" w:lineRule="auto"/>
        <w:jc w:val="both"/>
        <w:rPr>
          <w:rFonts w:ascii="Arial" w:hAnsi="Arial" w:cs="Arial"/>
          <w:sz w:val="22"/>
          <w:szCs w:val="22"/>
        </w:rPr>
      </w:pPr>
      <w:r w:rsidRPr="00284D29">
        <w:rPr>
          <w:rStyle w:val="FootnoteReference"/>
          <w:rFonts w:ascii="Arial" w:hAnsi="Arial" w:cs="Arial"/>
          <w:sz w:val="22"/>
          <w:szCs w:val="22"/>
        </w:rPr>
        <w:footnoteRef/>
      </w:r>
      <w:r w:rsidRPr="00284D29">
        <w:rPr>
          <w:rFonts w:ascii="Arial" w:hAnsi="Arial" w:cs="Arial"/>
          <w:sz w:val="22"/>
          <w:szCs w:val="22"/>
        </w:rPr>
        <w:t xml:space="preserve"> 1909 TS 576.</w:t>
      </w:r>
    </w:p>
  </w:footnote>
  <w:footnote w:id="5">
    <w:p w14:paraId="65A3C4CC" w14:textId="77777777" w:rsidR="00283C98" w:rsidRPr="0087610A" w:rsidRDefault="00283C98" w:rsidP="0087610A">
      <w:pPr>
        <w:pStyle w:val="FootnoteText"/>
        <w:spacing w:line="360" w:lineRule="auto"/>
        <w:jc w:val="both"/>
        <w:rPr>
          <w:rFonts w:ascii="Arial" w:hAnsi="Arial" w:cs="Arial"/>
          <w:sz w:val="22"/>
          <w:szCs w:val="22"/>
        </w:rPr>
      </w:pPr>
      <w:r w:rsidRPr="0087610A">
        <w:rPr>
          <w:rStyle w:val="FootnoteReference"/>
          <w:rFonts w:ascii="Arial" w:hAnsi="Arial" w:cs="Arial"/>
          <w:sz w:val="22"/>
          <w:szCs w:val="22"/>
        </w:rPr>
        <w:footnoteRef/>
      </w:r>
      <w:r w:rsidRPr="0087610A">
        <w:rPr>
          <w:rFonts w:ascii="Arial" w:hAnsi="Arial" w:cs="Arial"/>
          <w:sz w:val="22"/>
          <w:szCs w:val="22"/>
        </w:rPr>
        <w:t xml:space="preserve"> 1938 TPD 551.</w:t>
      </w:r>
    </w:p>
  </w:footnote>
  <w:footnote w:id="6">
    <w:p w14:paraId="56C1A6D7" w14:textId="77777777" w:rsidR="00283C98" w:rsidRPr="0087610A" w:rsidRDefault="00283C98" w:rsidP="0087610A">
      <w:pPr>
        <w:pStyle w:val="FootnoteText"/>
        <w:spacing w:line="360" w:lineRule="auto"/>
        <w:jc w:val="both"/>
        <w:rPr>
          <w:rFonts w:ascii="Arial" w:hAnsi="Arial" w:cs="Arial"/>
          <w:sz w:val="22"/>
          <w:szCs w:val="22"/>
        </w:rPr>
      </w:pPr>
      <w:r w:rsidRPr="0087610A">
        <w:rPr>
          <w:rStyle w:val="FootnoteReference"/>
          <w:rFonts w:ascii="Arial" w:hAnsi="Arial" w:cs="Arial"/>
          <w:sz w:val="22"/>
          <w:szCs w:val="22"/>
        </w:rPr>
        <w:footnoteRef/>
      </w:r>
      <w:r w:rsidRPr="0087610A">
        <w:rPr>
          <w:rFonts w:ascii="Arial" w:hAnsi="Arial" w:cs="Arial"/>
          <w:sz w:val="22"/>
          <w:szCs w:val="22"/>
        </w:rPr>
        <w:t xml:space="preserve"> See also: </w:t>
      </w:r>
      <w:r w:rsidRPr="0087610A">
        <w:rPr>
          <w:rFonts w:ascii="Arial" w:hAnsi="Arial" w:cs="Arial"/>
          <w:i/>
          <w:iCs/>
          <w:sz w:val="22"/>
          <w:szCs w:val="22"/>
        </w:rPr>
        <w:t>Snyders v De Jaager</w:t>
      </w:r>
      <w:r w:rsidRPr="0087610A">
        <w:rPr>
          <w:rFonts w:ascii="Arial" w:hAnsi="Arial" w:cs="Arial"/>
          <w:sz w:val="22"/>
          <w:szCs w:val="22"/>
        </w:rPr>
        <w:t xml:space="preserve"> 2016 (5) SA 218 (SCA) at 222F-J.</w:t>
      </w:r>
    </w:p>
    <w:p w14:paraId="5E2A730D" w14:textId="77777777" w:rsidR="00283C98" w:rsidRPr="0087610A" w:rsidRDefault="00283C98" w:rsidP="0087610A">
      <w:pPr>
        <w:pStyle w:val="FootnoteText"/>
        <w:spacing w:line="360" w:lineRule="auto"/>
        <w:jc w:val="both"/>
        <w:rPr>
          <w:rFonts w:ascii="Arial" w:hAnsi="Arial" w:cs="Arial"/>
          <w:sz w:val="22"/>
          <w:szCs w:val="22"/>
        </w:rPr>
      </w:pPr>
      <w:r w:rsidRPr="0087610A">
        <w:rPr>
          <w:rFonts w:ascii="Arial" w:hAnsi="Arial" w:cs="Arial"/>
          <w:sz w:val="22"/>
          <w:szCs w:val="22"/>
        </w:rPr>
        <w:t xml:space="preserve">See also: DE van Loggerenberg, </w:t>
      </w:r>
      <w:r w:rsidRPr="0087610A">
        <w:rPr>
          <w:rFonts w:ascii="Arial" w:hAnsi="Arial" w:cs="Arial"/>
          <w:i/>
          <w:iCs/>
          <w:sz w:val="22"/>
          <w:szCs w:val="22"/>
        </w:rPr>
        <w:t xml:space="preserve">Erasmus, Superior Court Practice </w:t>
      </w:r>
      <w:r w:rsidRPr="0087610A">
        <w:rPr>
          <w:rFonts w:ascii="Arial" w:hAnsi="Arial" w:cs="Arial"/>
          <w:sz w:val="22"/>
          <w:szCs w:val="22"/>
        </w:rPr>
        <w:t>Vol 2 (Juta), Second Edition, [service 4, 2017] at A2-123; and [service 7,2018] at A2-133.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918332"/>
      <w:docPartObj>
        <w:docPartGallery w:val="Page Numbers (Top of Page)"/>
        <w:docPartUnique/>
      </w:docPartObj>
    </w:sdtPr>
    <w:sdtEndPr/>
    <w:sdtContent>
      <w:p w14:paraId="5CCA1626" w14:textId="090641E0" w:rsidR="00840E2F" w:rsidRDefault="008405A8">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E1EEE">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1EEE">
          <w:rPr>
            <w:b/>
            <w:bCs/>
            <w:noProof/>
          </w:rPr>
          <w:t>8</w:t>
        </w:r>
        <w:r>
          <w:rPr>
            <w:b/>
            <w:bCs/>
            <w:sz w:val="24"/>
            <w:szCs w:val="24"/>
          </w:rPr>
          <w:fldChar w:fldCharType="end"/>
        </w:r>
      </w:p>
    </w:sdtContent>
  </w:sdt>
  <w:p w14:paraId="4FC097A8" w14:textId="77777777" w:rsidR="00840E2F" w:rsidRDefault="00261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16DBB"/>
    <w:multiLevelType w:val="hybridMultilevel"/>
    <w:tmpl w:val="2190D7EE"/>
    <w:lvl w:ilvl="0" w:tplc="AE4AD7B0">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1AB41129"/>
    <w:multiLevelType w:val="hybridMultilevel"/>
    <w:tmpl w:val="14A444A4"/>
    <w:lvl w:ilvl="0" w:tplc="32AEB92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nsid w:val="330D490F"/>
    <w:multiLevelType w:val="hybridMultilevel"/>
    <w:tmpl w:val="0A4ED7C0"/>
    <w:lvl w:ilvl="0" w:tplc="87FC32EC">
      <w:start w:val="1"/>
      <w:numFmt w:val="decimal"/>
      <w:lvlText w:val="[%1]"/>
      <w:lvlJc w:val="left"/>
      <w:pPr>
        <w:ind w:left="720" w:hanging="360"/>
      </w:pPr>
      <w:rPr>
        <w:rFonts w:ascii="Arial" w:hAnsi="Arial" w:cs="Arial" w:hint="default"/>
        <w:i w:val="0"/>
        <w:iCs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143504B"/>
    <w:multiLevelType w:val="hybridMultilevel"/>
    <w:tmpl w:val="E82A5A7A"/>
    <w:lvl w:ilvl="0" w:tplc="9F48392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nsid w:val="7740199E"/>
    <w:multiLevelType w:val="hybridMultilevel"/>
    <w:tmpl w:val="DD940FE4"/>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98"/>
    <w:rsid w:val="00040985"/>
    <w:rsid w:val="000B5538"/>
    <w:rsid w:val="000C7270"/>
    <w:rsid w:val="000E56D7"/>
    <w:rsid w:val="001B1432"/>
    <w:rsid w:val="001F7F1B"/>
    <w:rsid w:val="00261391"/>
    <w:rsid w:val="00283C98"/>
    <w:rsid w:val="00284D29"/>
    <w:rsid w:val="002C13FB"/>
    <w:rsid w:val="003B2F7D"/>
    <w:rsid w:val="003D6B0D"/>
    <w:rsid w:val="00471B17"/>
    <w:rsid w:val="004A3008"/>
    <w:rsid w:val="004D711E"/>
    <w:rsid w:val="00571D5A"/>
    <w:rsid w:val="00654087"/>
    <w:rsid w:val="007E1EEE"/>
    <w:rsid w:val="0081161E"/>
    <w:rsid w:val="008405A8"/>
    <w:rsid w:val="0087610A"/>
    <w:rsid w:val="00996A7B"/>
    <w:rsid w:val="00AD08C0"/>
    <w:rsid w:val="00B15C26"/>
    <w:rsid w:val="00BE71A9"/>
    <w:rsid w:val="00C54F71"/>
    <w:rsid w:val="00D16810"/>
    <w:rsid w:val="00D373D1"/>
    <w:rsid w:val="00D83EB3"/>
    <w:rsid w:val="00F75417"/>
    <w:rsid w:val="00FE5C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F004"/>
  <w15:chartTrackingRefBased/>
  <w15:docId w15:val="{2FE935C8-4827-4638-8671-B07C13BD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C98"/>
    <w:pPr>
      <w:spacing w:after="200" w:line="276" w:lineRule="auto"/>
    </w:pPr>
  </w:style>
  <w:style w:type="paragraph" w:styleId="Heading2">
    <w:name w:val="heading 2"/>
    <w:basedOn w:val="Normal"/>
    <w:link w:val="Heading2Char"/>
    <w:uiPriority w:val="9"/>
    <w:qFormat/>
    <w:rsid w:val="00283C98"/>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3C98"/>
    <w:rPr>
      <w:rFonts w:ascii="Times New Roman" w:eastAsia="Times New Roman" w:hAnsi="Times New Roman" w:cs="Times New Roman"/>
      <w:b/>
      <w:bCs/>
      <w:sz w:val="36"/>
      <w:szCs w:val="36"/>
      <w:lang w:eastAsia="en-ZA"/>
    </w:rPr>
  </w:style>
  <w:style w:type="paragraph" w:styleId="FootnoteText">
    <w:name w:val="footnote text"/>
    <w:basedOn w:val="Normal"/>
    <w:link w:val="FootnoteTextChar"/>
    <w:uiPriority w:val="99"/>
    <w:unhideWhenUsed/>
    <w:rsid w:val="00283C98"/>
    <w:pPr>
      <w:spacing w:after="0" w:line="240" w:lineRule="auto"/>
    </w:pPr>
    <w:rPr>
      <w:sz w:val="20"/>
      <w:szCs w:val="20"/>
    </w:rPr>
  </w:style>
  <w:style w:type="character" w:customStyle="1" w:styleId="FootnoteTextChar">
    <w:name w:val="Footnote Text Char"/>
    <w:basedOn w:val="DefaultParagraphFont"/>
    <w:link w:val="FootnoteText"/>
    <w:uiPriority w:val="99"/>
    <w:rsid w:val="00283C98"/>
    <w:rPr>
      <w:sz w:val="20"/>
      <w:szCs w:val="20"/>
    </w:rPr>
  </w:style>
  <w:style w:type="character" w:styleId="FootnoteReference">
    <w:name w:val="footnote reference"/>
    <w:basedOn w:val="DefaultParagraphFont"/>
    <w:uiPriority w:val="99"/>
    <w:unhideWhenUsed/>
    <w:rsid w:val="00283C98"/>
    <w:rPr>
      <w:vertAlign w:val="superscript"/>
    </w:rPr>
  </w:style>
  <w:style w:type="paragraph" w:styleId="ListParagraph">
    <w:name w:val="List Paragraph"/>
    <w:basedOn w:val="Normal"/>
    <w:link w:val="ListParagraphChar"/>
    <w:uiPriority w:val="34"/>
    <w:qFormat/>
    <w:rsid w:val="00283C98"/>
    <w:pPr>
      <w:ind w:left="720"/>
      <w:contextualSpacing/>
    </w:pPr>
  </w:style>
  <w:style w:type="paragraph" w:styleId="Header">
    <w:name w:val="header"/>
    <w:basedOn w:val="Normal"/>
    <w:link w:val="HeaderChar"/>
    <w:uiPriority w:val="99"/>
    <w:unhideWhenUsed/>
    <w:rsid w:val="00283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C98"/>
  </w:style>
  <w:style w:type="paragraph" w:styleId="Footer">
    <w:name w:val="footer"/>
    <w:basedOn w:val="Normal"/>
    <w:link w:val="FooterChar"/>
    <w:uiPriority w:val="99"/>
    <w:unhideWhenUsed/>
    <w:rsid w:val="00283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C98"/>
  </w:style>
  <w:style w:type="character" w:styleId="Hyperlink">
    <w:name w:val="Hyperlink"/>
    <w:basedOn w:val="DefaultParagraphFont"/>
    <w:uiPriority w:val="99"/>
    <w:unhideWhenUsed/>
    <w:rsid w:val="00283C98"/>
    <w:rPr>
      <w:color w:val="0563C1" w:themeColor="hyperlink"/>
      <w:u w:val="single"/>
    </w:rPr>
  </w:style>
  <w:style w:type="paragraph" w:customStyle="1" w:styleId="GW11">
    <w:name w:val="GW1.1"/>
    <w:basedOn w:val="Normal"/>
    <w:rsid w:val="00283C98"/>
    <w:pPr>
      <w:tabs>
        <w:tab w:val="left" w:pos="0"/>
        <w:tab w:val="left" w:pos="1152"/>
        <w:tab w:val="left" w:pos="2592"/>
        <w:tab w:val="left" w:pos="4464"/>
        <w:tab w:val="left" w:pos="6048"/>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2">
    <w:name w:val="GW1.2"/>
    <w:basedOn w:val="Normal"/>
    <w:rsid w:val="00283C98"/>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3">
    <w:name w:val="GW1.3"/>
    <w:basedOn w:val="Normal"/>
    <w:rsid w:val="00283C98"/>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character" w:customStyle="1" w:styleId="ListParagraphChar">
    <w:name w:val="List Paragraph Char"/>
    <w:link w:val="ListParagraph"/>
    <w:uiPriority w:val="34"/>
    <w:rsid w:val="00283C98"/>
  </w:style>
  <w:style w:type="paragraph" w:customStyle="1" w:styleId="western">
    <w:name w:val="western"/>
    <w:basedOn w:val="Normal"/>
    <w:rsid w:val="00283C9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Bands</dc:creator>
  <cp:keywords/>
  <dc:description/>
  <cp:lastModifiedBy>Mokone</cp:lastModifiedBy>
  <cp:revision>3</cp:revision>
  <cp:lastPrinted>2023-03-09T06:23:00Z</cp:lastPrinted>
  <dcterms:created xsi:type="dcterms:W3CDTF">2023-03-23T08:22:00Z</dcterms:created>
  <dcterms:modified xsi:type="dcterms:W3CDTF">2023-03-23T08:28:00Z</dcterms:modified>
</cp:coreProperties>
</file>