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70" w:rsidRDefault="00EE2C70" w:rsidP="00EE2C70">
      <w:pPr>
        <w:jc w:val="center"/>
        <w:rPr>
          <w:rFonts w:ascii="Arial" w:hAnsi="Arial" w:cs="Arial"/>
          <w:b/>
          <w:sz w:val="24"/>
          <w:szCs w:val="24"/>
          <w:lang w:val="en-GB"/>
        </w:rPr>
      </w:pPr>
      <w:r>
        <w:rPr>
          <w:noProof/>
          <w:lang w:val="en-US"/>
        </w:rPr>
        <w:drawing>
          <wp:inline distT="0" distB="0" distL="0" distR="0" wp14:anchorId="05697C88" wp14:editId="3ADB162B">
            <wp:extent cx="14668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rsidR="00EE2C70" w:rsidRDefault="00EE2C70" w:rsidP="00EE2C70">
      <w:pPr>
        <w:jc w:val="center"/>
        <w:rPr>
          <w:rFonts w:ascii="Arial" w:hAnsi="Arial" w:cs="Arial"/>
          <w:b/>
          <w:sz w:val="24"/>
          <w:szCs w:val="24"/>
          <w:lang w:val="en-GB"/>
        </w:rPr>
      </w:pPr>
      <w:r>
        <w:rPr>
          <w:rFonts w:ascii="Arial" w:hAnsi="Arial" w:cs="Arial"/>
          <w:b/>
          <w:sz w:val="24"/>
          <w:szCs w:val="24"/>
          <w:lang w:val="en-GB"/>
        </w:rPr>
        <w:t>IN THE HIGH COURT OF SOUTH AFRICA</w:t>
      </w:r>
    </w:p>
    <w:p w:rsidR="00EE2C70" w:rsidRDefault="00EE2C70" w:rsidP="00EE2C70">
      <w:pPr>
        <w:jc w:val="center"/>
        <w:rPr>
          <w:rFonts w:ascii="Arial" w:hAnsi="Arial" w:cs="Arial"/>
          <w:b/>
          <w:sz w:val="24"/>
          <w:szCs w:val="24"/>
          <w:lang w:val="en-GB"/>
        </w:rPr>
      </w:pPr>
      <w:r>
        <w:rPr>
          <w:rFonts w:ascii="Arial" w:hAnsi="Arial" w:cs="Arial"/>
          <w:b/>
          <w:sz w:val="24"/>
          <w:szCs w:val="24"/>
          <w:lang w:val="en-GB"/>
        </w:rPr>
        <w:t>[EASTERN CAPE DIVISION: MAKHANDA]</w:t>
      </w:r>
    </w:p>
    <w:p w:rsidR="00EE2C70" w:rsidRDefault="00EE2C70" w:rsidP="00EE2C70">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1284/2021</w:t>
      </w:r>
    </w:p>
    <w:p w:rsidR="00EE2C70" w:rsidRDefault="00EE2C70" w:rsidP="00EE2C70">
      <w:pPr>
        <w:rPr>
          <w:rFonts w:ascii="Arial" w:hAnsi="Arial" w:cs="Arial"/>
          <w:sz w:val="24"/>
          <w:szCs w:val="24"/>
          <w:lang w:val="en-GB"/>
        </w:rPr>
      </w:pPr>
      <w:r>
        <w:rPr>
          <w:rFonts w:ascii="Arial" w:hAnsi="Arial" w:cs="Arial"/>
          <w:sz w:val="24"/>
          <w:szCs w:val="24"/>
          <w:lang w:val="en-GB"/>
        </w:rPr>
        <w:t>In the matter between:</w:t>
      </w:r>
    </w:p>
    <w:p w:rsidR="00EE2C70" w:rsidRDefault="00EE2C70" w:rsidP="00EE2C70">
      <w:pPr>
        <w:rPr>
          <w:rFonts w:ascii="Arial" w:hAnsi="Arial" w:cs="Arial"/>
          <w:b/>
          <w:sz w:val="24"/>
          <w:szCs w:val="24"/>
          <w:lang w:val="en-GB"/>
        </w:rPr>
      </w:pPr>
    </w:p>
    <w:p w:rsidR="00EE2C70" w:rsidRDefault="00EE2C70" w:rsidP="00EE2C70">
      <w:pPr>
        <w:rPr>
          <w:rFonts w:ascii="Arial" w:hAnsi="Arial" w:cs="Arial"/>
          <w:b/>
          <w:sz w:val="24"/>
          <w:szCs w:val="24"/>
          <w:lang w:val="en-GB"/>
        </w:rPr>
      </w:pPr>
      <w:r>
        <w:rPr>
          <w:rFonts w:ascii="Arial" w:hAnsi="Arial" w:cs="Arial"/>
          <w:b/>
          <w:sz w:val="24"/>
          <w:szCs w:val="24"/>
          <w:lang w:val="en-GB"/>
        </w:rPr>
        <w:t>TEKOA ENGINEERS (PTY)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EE2C70" w:rsidRDefault="00EE2C70" w:rsidP="00EE2C70">
      <w:pPr>
        <w:rPr>
          <w:rFonts w:ascii="Arial" w:hAnsi="Arial" w:cs="Arial"/>
          <w:b/>
          <w:sz w:val="24"/>
          <w:szCs w:val="24"/>
          <w:lang w:val="en-GB"/>
        </w:rPr>
      </w:pPr>
    </w:p>
    <w:p w:rsidR="00EE2C70" w:rsidRDefault="00EE2C70" w:rsidP="00EE2C70">
      <w:pPr>
        <w:rPr>
          <w:rFonts w:ascii="Arial" w:hAnsi="Arial" w:cs="Arial"/>
          <w:b/>
          <w:sz w:val="24"/>
          <w:szCs w:val="24"/>
          <w:lang w:val="en-GB"/>
        </w:rPr>
      </w:pPr>
      <w:r>
        <w:rPr>
          <w:rFonts w:ascii="Arial" w:hAnsi="Arial" w:cs="Arial"/>
          <w:b/>
          <w:sz w:val="24"/>
          <w:szCs w:val="24"/>
          <w:lang w:val="en-GB"/>
        </w:rPr>
        <w:t>and</w:t>
      </w:r>
    </w:p>
    <w:p w:rsidR="00EE2C70" w:rsidRDefault="00EE2C70" w:rsidP="00EE2C70">
      <w:pPr>
        <w:rPr>
          <w:rFonts w:ascii="Arial" w:hAnsi="Arial" w:cs="Arial"/>
          <w:b/>
          <w:sz w:val="24"/>
          <w:szCs w:val="24"/>
          <w:lang w:val="en-GB"/>
        </w:rPr>
      </w:pPr>
    </w:p>
    <w:p w:rsidR="00EE2C70" w:rsidRDefault="00EE2C70" w:rsidP="00EE2C70">
      <w:pPr>
        <w:spacing w:line="240" w:lineRule="auto"/>
        <w:rPr>
          <w:rFonts w:ascii="Arial" w:hAnsi="Arial" w:cs="Arial"/>
          <w:b/>
          <w:sz w:val="24"/>
          <w:szCs w:val="24"/>
          <w:lang w:val="en-GB"/>
        </w:rPr>
      </w:pPr>
      <w:r>
        <w:rPr>
          <w:rFonts w:ascii="Arial" w:hAnsi="Arial" w:cs="Arial"/>
          <w:b/>
          <w:sz w:val="24"/>
          <w:szCs w:val="24"/>
          <w:lang w:val="en-GB"/>
        </w:rPr>
        <w:t xml:space="preserve">ALFRED NZO MUNICIPALITY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w:t>
      </w:r>
      <w:r w:rsidRPr="00112C31">
        <w:rPr>
          <w:rFonts w:ascii="Arial" w:hAnsi="Arial" w:cs="Arial"/>
          <w:b/>
          <w:sz w:val="24"/>
          <w:szCs w:val="24"/>
          <w:vertAlign w:val="superscript"/>
          <w:lang w:val="en-GB"/>
        </w:rPr>
        <w:t>st</w:t>
      </w:r>
      <w:r>
        <w:rPr>
          <w:rFonts w:ascii="Arial" w:hAnsi="Arial" w:cs="Arial"/>
          <w:b/>
          <w:sz w:val="24"/>
          <w:szCs w:val="24"/>
          <w:lang w:val="en-GB"/>
        </w:rPr>
        <w:t xml:space="preserve"> Respondent</w:t>
      </w:r>
    </w:p>
    <w:p w:rsidR="00EE2C70" w:rsidRDefault="00EE2C70" w:rsidP="00EE2C70">
      <w:pPr>
        <w:spacing w:line="240" w:lineRule="auto"/>
        <w:rPr>
          <w:rFonts w:ascii="Arial" w:hAnsi="Arial" w:cs="Arial"/>
          <w:b/>
          <w:sz w:val="24"/>
          <w:szCs w:val="24"/>
          <w:lang w:val="en-GB"/>
        </w:rPr>
      </w:pPr>
    </w:p>
    <w:p w:rsidR="00EE2C70" w:rsidRDefault="00EE2C70" w:rsidP="00EE2C70">
      <w:pPr>
        <w:spacing w:line="240" w:lineRule="auto"/>
        <w:rPr>
          <w:rFonts w:ascii="Arial" w:hAnsi="Arial" w:cs="Arial"/>
          <w:b/>
          <w:sz w:val="24"/>
          <w:szCs w:val="24"/>
          <w:lang w:val="en-GB"/>
        </w:rPr>
      </w:pPr>
      <w:r>
        <w:rPr>
          <w:rFonts w:ascii="Arial" w:hAnsi="Arial" w:cs="Arial"/>
          <w:b/>
          <w:sz w:val="24"/>
          <w:szCs w:val="24"/>
          <w:lang w:val="en-GB"/>
        </w:rPr>
        <w:t>THE MUNICIPALITY MANAGER: ALFRED NZO DISTRICT</w:t>
      </w:r>
    </w:p>
    <w:p w:rsidR="00EE2C70" w:rsidRDefault="00EE2C70" w:rsidP="00EE2C70">
      <w:pPr>
        <w:spacing w:line="240" w:lineRule="auto"/>
        <w:rPr>
          <w:rFonts w:ascii="Arial" w:hAnsi="Arial" w:cs="Arial"/>
          <w:b/>
          <w:sz w:val="24"/>
          <w:szCs w:val="24"/>
          <w:lang w:val="en-GB"/>
        </w:rPr>
      </w:pPr>
      <w:r>
        <w:rPr>
          <w:rFonts w:ascii="Arial" w:hAnsi="Arial" w:cs="Arial"/>
          <w:b/>
          <w:sz w:val="24"/>
          <w:szCs w:val="24"/>
          <w:lang w:val="en-GB"/>
        </w:rPr>
        <w:t>MUNICIPALITY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w:t>
      </w:r>
      <w:r w:rsidRPr="00112C31">
        <w:rPr>
          <w:rFonts w:ascii="Arial" w:hAnsi="Arial" w:cs="Arial"/>
          <w:b/>
          <w:sz w:val="24"/>
          <w:szCs w:val="24"/>
          <w:vertAlign w:val="superscript"/>
          <w:lang w:val="en-GB"/>
        </w:rPr>
        <w:t>nd</w:t>
      </w:r>
      <w:r>
        <w:rPr>
          <w:rFonts w:ascii="Arial" w:hAnsi="Arial" w:cs="Arial"/>
          <w:b/>
          <w:sz w:val="24"/>
          <w:szCs w:val="24"/>
          <w:lang w:val="en-GB"/>
        </w:rPr>
        <w:t xml:space="preserve"> Respondent</w:t>
      </w:r>
    </w:p>
    <w:p w:rsidR="00EE2C70" w:rsidRDefault="00EE2C70" w:rsidP="00EE2C70">
      <w:pPr>
        <w:spacing w:line="240" w:lineRule="auto"/>
        <w:rPr>
          <w:rFonts w:ascii="Arial" w:hAnsi="Arial" w:cs="Arial"/>
          <w:b/>
          <w:sz w:val="24"/>
          <w:szCs w:val="24"/>
          <w:lang w:val="en-GB"/>
        </w:rPr>
      </w:pPr>
    </w:p>
    <w:p w:rsidR="00EE2C70" w:rsidRDefault="00EE2C70" w:rsidP="00EE2C70">
      <w:pPr>
        <w:spacing w:line="240" w:lineRule="auto"/>
        <w:rPr>
          <w:rFonts w:ascii="Arial" w:hAnsi="Arial" w:cs="Arial"/>
          <w:b/>
          <w:sz w:val="24"/>
          <w:szCs w:val="24"/>
          <w:lang w:val="en-GB"/>
        </w:rPr>
      </w:pPr>
      <w:r>
        <w:rPr>
          <w:rFonts w:ascii="Arial" w:hAnsi="Arial" w:cs="Arial"/>
          <w:b/>
          <w:sz w:val="24"/>
          <w:szCs w:val="24"/>
          <w:lang w:val="en-GB"/>
        </w:rPr>
        <w:t xml:space="preserve">ZINZAME CONSULTING ENGINEERS/CYCLE </w:t>
      </w:r>
    </w:p>
    <w:p w:rsidR="00EE2C70" w:rsidRDefault="00EE2C70" w:rsidP="00EE2C70">
      <w:pPr>
        <w:spacing w:line="240" w:lineRule="auto"/>
        <w:rPr>
          <w:rFonts w:ascii="Arial" w:hAnsi="Arial" w:cs="Arial"/>
          <w:b/>
          <w:sz w:val="24"/>
          <w:szCs w:val="24"/>
          <w:lang w:val="en-GB"/>
        </w:rPr>
      </w:pPr>
      <w:r>
        <w:rPr>
          <w:rFonts w:ascii="Arial" w:hAnsi="Arial" w:cs="Arial"/>
          <w:b/>
          <w:sz w:val="24"/>
          <w:szCs w:val="24"/>
          <w:lang w:val="en-GB"/>
        </w:rPr>
        <w:t>PROJECTS/UBUNTU BAM JV</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3</w:t>
      </w:r>
      <w:r w:rsidRPr="00FA0267">
        <w:rPr>
          <w:rFonts w:ascii="Arial" w:hAnsi="Arial" w:cs="Arial"/>
          <w:b/>
          <w:sz w:val="24"/>
          <w:szCs w:val="24"/>
          <w:vertAlign w:val="superscript"/>
          <w:lang w:val="en-GB"/>
        </w:rPr>
        <w:t>rd</w:t>
      </w:r>
      <w:r>
        <w:rPr>
          <w:rFonts w:ascii="Arial" w:hAnsi="Arial" w:cs="Arial"/>
          <w:b/>
          <w:sz w:val="24"/>
          <w:szCs w:val="24"/>
          <w:lang w:val="en-GB"/>
        </w:rPr>
        <w:t xml:space="preserve"> Respondent</w:t>
      </w:r>
    </w:p>
    <w:p w:rsidR="00EE2C70" w:rsidRDefault="00EE2C70" w:rsidP="00EE2C70">
      <w:pPr>
        <w:spacing w:line="240" w:lineRule="auto"/>
        <w:rPr>
          <w:rFonts w:ascii="Arial" w:hAnsi="Arial" w:cs="Arial"/>
          <w:b/>
          <w:sz w:val="24"/>
          <w:szCs w:val="24"/>
          <w:lang w:val="en-GB"/>
        </w:rPr>
      </w:pPr>
    </w:p>
    <w:p w:rsidR="00EE2C70" w:rsidRDefault="00EE2C70" w:rsidP="00EE2C70">
      <w:pPr>
        <w:spacing w:line="240" w:lineRule="auto"/>
        <w:rPr>
          <w:rFonts w:ascii="Arial" w:hAnsi="Arial" w:cs="Arial"/>
          <w:b/>
          <w:sz w:val="24"/>
          <w:szCs w:val="24"/>
          <w:lang w:val="en-GB"/>
        </w:rPr>
      </w:pPr>
      <w:r>
        <w:rPr>
          <w:rFonts w:ascii="Arial" w:hAnsi="Arial" w:cs="Arial"/>
          <w:b/>
          <w:sz w:val="24"/>
          <w:szCs w:val="24"/>
          <w:lang w:val="en-GB"/>
        </w:rPr>
        <w:t>EMLANJENI JV</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4</w:t>
      </w:r>
      <w:r w:rsidRPr="00FA0267">
        <w:rPr>
          <w:rFonts w:ascii="Arial" w:hAnsi="Arial" w:cs="Arial"/>
          <w:b/>
          <w:sz w:val="24"/>
          <w:szCs w:val="24"/>
          <w:vertAlign w:val="superscript"/>
          <w:lang w:val="en-GB"/>
        </w:rPr>
        <w:t>th</w:t>
      </w:r>
      <w:r>
        <w:rPr>
          <w:rFonts w:ascii="Arial" w:hAnsi="Arial" w:cs="Arial"/>
          <w:b/>
          <w:sz w:val="24"/>
          <w:szCs w:val="24"/>
          <w:lang w:val="en-GB"/>
        </w:rPr>
        <w:t xml:space="preserve"> Respondent</w:t>
      </w:r>
    </w:p>
    <w:p w:rsidR="00EE2C70" w:rsidRDefault="00EE2C70" w:rsidP="00EE2C70">
      <w:pPr>
        <w:spacing w:line="240" w:lineRule="auto"/>
        <w:rPr>
          <w:rFonts w:ascii="Arial" w:hAnsi="Arial" w:cs="Arial"/>
          <w:b/>
          <w:sz w:val="24"/>
          <w:szCs w:val="24"/>
          <w:lang w:val="en-GB"/>
        </w:rPr>
      </w:pPr>
    </w:p>
    <w:p w:rsidR="00EE2C70" w:rsidRDefault="00EE2C70" w:rsidP="00EE2C70">
      <w:pPr>
        <w:spacing w:line="240" w:lineRule="auto"/>
        <w:rPr>
          <w:rFonts w:ascii="Arial" w:hAnsi="Arial" w:cs="Arial"/>
          <w:b/>
          <w:sz w:val="24"/>
          <w:szCs w:val="24"/>
          <w:lang w:val="en-GB"/>
        </w:rPr>
      </w:pPr>
      <w:r>
        <w:rPr>
          <w:rFonts w:ascii="Arial" w:hAnsi="Arial" w:cs="Arial"/>
          <w:b/>
          <w:sz w:val="24"/>
          <w:szCs w:val="24"/>
          <w:lang w:val="en-GB"/>
        </w:rPr>
        <w:t>OLON CONSULTING ENGINEERS JV</w:t>
      </w:r>
    </w:p>
    <w:p w:rsidR="00EE2C70" w:rsidRDefault="00EE2C70" w:rsidP="00EE2C70">
      <w:pPr>
        <w:spacing w:line="240" w:lineRule="auto"/>
        <w:rPr>
          <w:rFonts w:ascii="Arial" w:hAnsi="Arial" w:cs="Arial"/>
          <w:b/>
          <w:sz w:val="24"/>
          <w:szCs w:val="24"/>
          <w:lang w:val="en-GB"/>
        </w:rPr>
      </w:pPr>
      <w:r>
        <w:rPr>
          <w:rFonts w:ascii="Arial" w:hAnsi="Arial" w:cs="Arial"/>
          <w:b/>
          <w:sz w:val="24"/>
          <w:szCs w:val="24"/>
          <w:lang w:val="en-GB"/>
        </w:rPr>
        <w:t>IMP PLANT HIRE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5</w:t>
      </w:r>
      <w:r w:rsidRPr="00FA0267">
        <w:rPr>
          <w:rFonts w:ascii="Arial" w:hAnsi="Arial" w:cs="Arial"/>
          <w:b/>
          <w:sz w:val="24"/>
          <w:szCs w:val="24"/>
          <w:vertAlign w:val="superscript"/>
          <w:lang w:val="en-GB"/>
        </w:rPr>
        <w:t>th</w:t>
      </w:r>
      <w:r>
        <w:rPr>
          <w:rFonts w:ascii="Arial" w:hAnsi="Arial" w:cs="Arial"/>
          <w:b/>
          <w:sz w:val="24"/>
          <w:szCs w:val="24"/>
          <w:lang w:val="en-GB"/>
        </w:rPr>
        <w:t xml:space="preserve"> Respondent</w:t>
      </w:r>
    </w:p>
    <w:p w:rsidR="00EE2C70" w:rsidRDefault="00EE2C70" w:rsidP="00EE2C70">
      <w:pPr>
        <w:spacing w:line="240" w:lineRule="auto"/>
        <w:rPr>
          <w:rFonts w:ascii="Arial" w:hAnsi="Arial" w:cs="Arial"/>
          <w:b/>
          <w:sz w:val="24"/>
          <w:szCs w:val="24"/>
          <w:lang w:val="en-GB"/>
        </w:rPr>
      </w:pPr>
    </w:p>
    <w:p w:rsidR="00EE2C70" w:rsidRDefault="00EE2C70" w:rsidP="00EE2C70">
      <w:pPr>
        <w:spacing w:line="240" w:lineRule="auto"/>
        <w:rPr>
          <w:rFonts w:ascii="Arial" w:hAnsi="Arial" w:cs="Arial"/>
          <w:b/>
          <w:sz w:val="24"/>
          <w:szCs w:val="24"/>
          <w:lang w:val="en-GB"/>
        </w:rPr>
      </w:pPr>
      <w:r>
        <w:rPr>
          <w:rFonts w:ascii="Arial" w:hAnsi="Arial" w:cs="Arial"/>
          <w:b/>
          <w:sz w:val="24"/>
          <w:szCs w:val="24"/>
          <w:lang w:val="en-GB"/>
        </w:rPr>
        <w:t>BM INFRASTRUCTURE JV MAGNACORP</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6</w:t>
      </w:r>
      <w:r w:rsidRPr="00FA0267">
        <w:rPr>
          <w:rFonts w:ascii="Arial" w:hAnsi="Arial" w:cs="Arial"/>
          <w:b/>
          <w:sz w:val="24"/>
          <w:szCs w:val="24"/>
          <w:vertAlign w:val="superscript"/>
          <w:lang w:val="en-GB"/>
        </w:rPr>
        <w:t>th</w:t>
      </w:r>
      <w:r>
        <w:rPr>
          <w:rFonts w:ascii="Arial" w:hAnsi="Arial" w:cs="Arial"/>
          <w:b/>
          <w:sz w:val="24"/>
          <w:szCs w:val="24"/>
          <w:lang w:val="en-GB"/>
        </w:rPr>
        <w:t xml:space="preserve"> Respondent</w:t>
      </w:r>
    </w:p>
    <w:p w:rsidR="00EE2C70" w:rsidRDefault="00EE2C70" w:rsidP="00EE2C70">
      <w:pPr>
        <w:spacing w:line="240" w:lineRule="auto"/>
        <w:rPr>
          <w:rFonts w:ascii="Arial" w:hAnsi="Arial" w:cs="Arial"/>
          <w:b/>
          <w:sz w:val="24"/>
          <w:szCs w:val="24"/>
          <w:lang w:val="en-GB"/>
        </w:rPr>
      </w:pPr>
    </w:p>
    <w:p w:rsidR="00EE2C70" w:rsidRDefault="00EE2C70" w:rsidP="00EE2C70">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rsidR="00EE2C70" w:rsidRDefault="00EE2C70" w:rsidP="00EE2C70">
      <w:pPr>
        <w:spacing w:line="240" w:lineRule="auto"/>
        <w:jc w:val="center"/>
        <w:rPr>
          <w:rFonts w:ascii="Arial" w:hAnsi="Arial" w:cs="Arial"/>
          <w:b/>
          <w:sz w:val="24"/>
          <w:szCs w:val="24"/>
          <w:lang w:val="en-GB"/>
        </w:rPr>
      </w:pPr>
      <w:r>
        <w:rPr>
          <w:rFonts w:ascii="Arial" w:hAnsi="Arial" w:cs="Arial"/>
          <w:b/>
          <w:sz w:val="24"/>
          <w:szCs w:val="24"/>
          <w:lang w:val="en-GB"/>
        </w:rPr>
        <w:t>JUDGMENT</w:t>
      </w:r>
    </w:p>
    <w:p w:rsidR="00EE2C70" w:rsidRDefault="00EE2C70" w:rsidP="00EE2C70">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rsidR="00EE2C70" w:rsidRDefault="00EE2C70" w:rsidP="00EE2C70">
      <w:pPr>
        <w:spacing w:line="480" w:lineRule="auto"/>
        <w:jc w:val="both"/>
        <w:rPr>
          <w:rFonts w:ascii="Arial" w:hAnsi="Arial" w:cs="Arial"/>
          <w:b/>
          <w:sz w:val="24"/>
          <w:szCs w:val="24"/>
          <w:lang w:val="en-GB"/>
        </w:rPr>
      </w:pPr>
      <w:r>
        <w:rPr>
          <w:rFonts w:ascii="Arial" w:hAnsi="Arial" w:cs="Arial"/>
          <w:b/>
          <w:sz w:val="24"/>
          <w:szCs w:val="24"/>
          <w:lang w:val="en-GB"/>
        </w:rPr>
        <w:lastRenderedPageBreak/>
        <w:t>JOLWANA J:</w:t>
      </w:r>
    </w:p>
    <w:p w:rsidR="007B45A6" w:rsidRDefault="00EE2C70" w:rsidP="00EE2C70">
      <w:pPr>
        <w:spacing w:line="480" w:lineRule="auto"/>
        <w:jc w:val="both"/>
        <w:rPr>
          <w:rFonts w:ascii="Arial" w:hAnsi="Arial" w:cs="Arial"/>
          <w:sz w:val="24"/>
          <w:szCs w:val="24"/>
        </w:rPr>
      </w:pPr>
      <w:r>
        <w:rPr>
          <w:rFonts w:ascii="Arial" w:hAnsi="Arial" w:cs="Arial"/>
          <w:sz w:val="24"/>
          <w:szCs w:val="24"/>
        </w:rPr>
        <w:t>[1] On 17 January 2023 this Court delivered a judgment dis</w:t>
      </w:r>
      <w:r w:rsidR="005E1CDB">
        <w:rPr>
          <w:rFonts w:ascii="Arial" w:hAnsi="Arial" w:cs="Arial"/>
          <w:sz w:val="24"/>
          <w:szCs w:val="24"/>
        </w:rPr>
        <w:t>mi</w:t>
      </w:r>
      <w:r>
        <w:rPr>
          <w:rFonts w:ascii="Arial" w:hAnsi="Arial" w:cs="Arial"/>
          <w:sz w:val="24"/>
          <w:szCs w:val="24"/>
        </w:rPr>
        <w:t xml:space="preserve">ssing the applicant’s application for the granting of an execution order </w:t>
      </w:r>
      <w:r w:rsidR="00B7482D">
        <w:rPr>
          <w:rFonts w:ascii="Arial" w:hAnsi="Arial" w:cs="Arial"/>
          <w:sz w:val="24"/>
          <w:szCs w:val="24"/>
        </w:rPr>
        <w:t>in respect of a judgment of this Court delivered on 14 June 2022.  The said application is provided for in section 18 (3) of the Superior Courts Act 10 of 2013</w:t>
      </w:r>
      <w:r>
        <w:rPr>
          <w:rFonts w:ascii="Arial" w:hAnsi="Arial" w:cs="Arial"/>
          <w:sz w:val="24"/>
          <w:szCs w:val="24"/>
        </w:rPr>
        <w:t>.  The applicant now applies for leave to appeal against the judgment</w:t>
      </w:r>
      <w:r w:rsidR="00270E15">
        <w:rPr>
          <w:rFonts w:ascii="Arial" w:hAnsi="Arial" w:cs="Arial"/>
          <w:sz w:val="24"/>
          <w:szCs w:val="24"/>
        </w:rPr>
        <w:t xml:space="preserve"> in the section 18 (3) application</w:t>
      </w:r>
      <w:r>
        <w:rPr>
          <w:rFonts w:ascii="Arial" w:hAnsi="Arial" w:cs="Arial"/>
          <w:sz w:val="24"/>
          <w:szCs w:val="24"/>
        </w:rPr>
        <w:t>.  I</w:t>
      </w:r>
      <w:r w:rsidR="00C414E7">
        <w:rPr>
          <w:rFonts w:ascii="Arial" w:hAnsi="Arial" w:cs="Arial"/>
          <w:sz w:val="24"/>
          <w:szCs w:val="24"/>
        </w:rPr>
        <w:t>t</w:t>
      </w:r>
      <w:r>
        <w:rPr>
          <w:rFonts w:ascii="Arial" w:hAnsi="Arial" w:cs="Arial"/>
          <w:sz w:val="24"/>
          <w:szCs w:val="24"/>
        </w:rPr>
        <w:t xml:space="preserve"> do</w:t>
      </w:r>
      <w:r w:rsidR="005E1CDB">
        <w:rPr>
          <w:rFonts w:ascii="Arial" w:hAnsi="Arial" w:cs="Arial"/>
          <w:sz w:val="24"/>
          <w:szCs w:val="24"/>
        </w:rPr>
        <w:t>es</w:t>
      </w:r>
      <w:r>
        <w:rPr>
          <w:rFonts w:ascii="Arial" w:hAnsi="Arial" w:cs="Arial"/>
          <w:sz w:val="24"/>
          <w:szCs w:val="24"/>
        </w:rPr>
        <w:t xml:space="preserve"> so citing a raft of grounds in its application for leave to appeal, to be precise, no less than 33 grounds </w:t>
      </w:r>
      <w:r w:rsidR="00C414E7">
        <w:rPr>
          <w:rFonts w:ascii="Arial" w:hAnsi="Arial" w:cs="Arial"/>
          <w:sz w:val="24"/>
          <w:szCs w:val="24"/>
        </w:rPr>
        <w:t xml:space="preserve">have been </w:t>
      </w:r>
      <w:r>
        <w:rPr>
          <w:rFonts w:ascii="Arial" w:hAnsi="Arial" w:cs="Arial"/>
          <w:sz w:val="24"/>
          <w:szCs w:val="24"/>
        </w:rPr>
        <w:t xml:space="preserve">cited therein.  In all of those grounds, nothing is said about the appeal against the actual order that this </w:t>
      </w:r>
      <w:r w:rsidR="005E1CDB">
        <w:rPr>
          <w:rFonts w:ascii="Arial" w:hAnsi="Arial" w:cs="Arial"/>
          <w:sz w:val="24"/>
          <w:szCs w:val="24"/>
        </w:rPr>
        <w:t>C</w:t>
      </w:r>
      <w:r>
        <w:rPr>
          <w:rFonts w:ascii="Arial" w:hAnsi="Arial" w:cs="Arial"/>
          <w:sz w:val="24"/>
          <w:szCs w:val="24"/>
        </w:rPr>
        <w:t xml:space="preserve">ourt made, that is, an order dismissing the section 18 </w:t>
      </w:r>
      <w:r w:rsidR="00B7482D">
        <w:rPr>
          <w:rFonts w:ascii="Arial" w:hAnsi="Arial" w:cs="Arial"/>
          <w:sz w:val="24"/>
          <w:szCs w:val="24"/>
        </w:rPr>
        <w:t xml:space="preserve">(3) </w:t>
      </w:r>
      <w:r>
        <w:rPr>
          <w:rFonts w:ascii="Arial" w:hAnsi="Arial" w:cs="Arial"/>
          <w:sz w:val="24"/>
          <w:szCs w:val="24"/>
        </w:rPr>
        <w:t xml:space="preserve">application for </w:t>
      </w:r>
      <w:r w:rsidR="005E1CDB">
        <w:rPr>
          <w:rFonts w:ascii="Arial" w:hAnsi="Arial" w:cs="Arial"/>
          <w:sz w:val="24"/>
          <w:szCs w:val="24"/>
        </w:rPr>
        <w:t xml:space="preserve">it to be granted an </w:t>
      </w:r>
      <w:r>
        <w:rPr>
          <w:rFonts w:ascii="Arial" w:hAnsi="Arial" w:cs="Arial"/>
          <w:sz w:val="24"/>
          <w:szCs w:val="24"/>
        </w:rPr>
        <w:t xml:space="preserve">execution order.  </w:t>
      </w:r>
      <w:r w:rsidR="00B7482D">
        <w:rPr>
          <w:rFonts w:ascii="Arial" w:hAnsi="Arial" w:cs="Arial"/>
          <w:sz w:val="24"/>
          <w:szCs w:val="24"/>
        </w:rPr>
        <w:t xml:space="preserve">In other words, there is no leave to appeal sought against the order that this Court made on 17 January 2023 dismissing the </w:t>
      </w:r>
      <w:r w:rsidR="00270E15">
        <w:rPr>
          <w:rFonts w:ascii="Arial" w:hAnsi="Arial" w:cs="Arial"/>
          <w:sz w:val="24"/>
          <w:szCs w:val="24"/>
        </w:rPr>
        <w:t xml:space="preserve">said </w:t>
      </w:r>
      <w:r w:rsidR="00B7482D">
        <w:rPr>
          <w:rFonts w:ascii="Arial" w:hAnsi="Arial" w:cs="Arial"/>
          <w:sz w:val="24"/>
          <w:szCs w:val="24"/>
        </w:rPr>
        <w:t>section 18 (3) application.</w:t>
      </w:r>
    </w:p>
    <w:p w:rsidR="004C62FC" w:rsidRDefault="004C62FC" w:rsidP="00EE2C70">
      <w:pPr>
        <w:spacing w:line="480" w:lineRule="auto"/>
        <w:jc w:val="both"/>
        <w:rPr>
          <w:rFonts w:ascii="Arial" w:hAnsi="Arial" w:cs="Arial"/>
          <w:sz w:val="24"/>
          <w:szCs w:val="24"/>
        </w:rPr>
      </w:pPr>
      <w:r>
        <w:rPr>
          <w:rFonts w:ascii="Arial" w:hAnsi="Arial" w:cs="Arial"/>
          <w:sz w:val="24"/>
          <w:szCs w:val="24"/>
        </w:rPr>
        <w:t xml:space="preserve">[2] This </w:t>
      </w:r>
      <w:r w:rsidR="00270E15">
        <w:rPr>
          <w:rFonts w:ascii="Arial" w:hAnsi="Arial" w:cs="Arial"/>
          <w:sz w:val="24"/>
          <w:szCs w:val="24"/>
        </w:rPr>
        <w:t xml:space="preserve">lacuna </w:t>
      </w:r>
      <w:r w:rsidR="003C5135">
        <w:rPr>
          <w:rFonts w:ascii="Arial" w:hAnsi="Arial" w:cs="Arial"/>
          <w:sz w:val="24"/>
          <w:szCs w:val="24"/>
        </w:rPr>
        <w:t>was not missed out by</w:t>
      </w:r>
      <w:r>
        <w:rPr>
          <w:rFonts w:ascii="Arial" w:hAnsi="Arial" w:cs="Arial"/>
          <w:sz w:val="24"/>
          <w:szCs w:val="24"/>
        </w:rPr>
        <w:t xml:space="preserve"> Mr Bodlani who appeared for the municipal respondents.  He invited the court to carefully </w:t>
      </w:r>
      <w:r w:rsidR="00C769B0">
        <w:rPr>
          <w:rFonts w:ascii="Arial" w:hAnsi="Arial" w:cs="Arial"/>
          <w:sz w:val="24"/>
          <w:szCs w:val="24"/>
        </w:rPr>
        <w:t>peruse</w:t>
      </w:r>
      <w:r>
        <w:rPr>
          <w:rFonts w:ascii="Arial" w:hAnsi="Arial" w:cs="Arial"/>
          <w:sz w:val="24"/>
          <w:szCs w:val="24"/>
        </w:rPr>
        <w:t xml:space="preserve"> and even scrutinize all of those grounds of appeal </w:t>
      </w:r>
      <w:r w:rsidR="00C769B0">
        <w:rPr>
          <w:rFonts w:ascii="Arial" w:hAnsi="Arial" w:cs="Arial"/>
          <w:sz w:val="24"/>
          <w:szCs w:val="24"/>
        </w:rPr>
        <w:t xml:space="preserve">and </w:t>
      </w:r>
      <w:r w:rsidR="00B7482D">
        <w:rPr>
          <w:rFonts w:ascii="Arial" w:hAnsi="Arial" w:cs="Arial"/>
          <w:sz w:val="24"/>
          <w:szCs w:val="24"/>
        </w:rPr>
        <w:t>submitted that</w:t>
      </w:r>
      <w:r>
        <w:rPr>
          <w:rFonts w:ascii="Arial" w:hAnsi="Arial" w:cs="Arial"/>
          <w:sz w:val="24"/>
          <w:szCs w:val="24"/>
        </w:rPr>
        <w:t xml:space="preserve"> the court will not find any suggestion that the order itself </w:t>
      </w:r>
      <w:r w:rsidR="00AA3498">
        <w:rPr>
          <w:rFonts w:ascii="Arial" w:hAnsi="Arial" w:cs="Arial"/>
          <w:sz w:val="24"/>
          <w:szCs w:val="24"/>
        </w:rPr>
        <w:t>wa</w:t>
      </w:r>
      <w:r>
        <w:rPr>
          <w:rFonts w:ascii="Arial" w:hAnsi="Arial" w:cs="Arial"/>
          <w:sz w:val="24"/>
          <w:szCs w:val="24"/>
        </w:rPr>
        <w:t>s under attack.  What seem</w:t>
      </w:r>
      <w:r w:rsidR="00AA3498">
        <w:rPr>
          <w:rFonts w:ascii="Arial" w:hAnsi="Arial" w:cs="Arial"/>
          <w:sz w:val="24"/>
          <w:szCs w:val="24"/>
        </w:rPr>
        <w:t>ed</w:t>
      </w:r>
      <w:r>
        <w:rPr>
          <w:rFonts w:ascii="Arial" w:hAnsi="Arial" w:cs="Arial"/>
          <w:sz w:val="24"/>
          <w:szCs w:val="24"/>
        </w:rPr>
        <w:t xml:space="preserve"> to be under attack, he pointed</w:t>
      </w:r>
      <w:r w:rsidR="00C769B0">
        <w:rPr>
          <w:rFonts w:ascii="Arial" w:hAnsi="Arial" w:cs="Arial"/>
          <w:sz w:val="24"/>
          <w:szCs w:val="24"/>
        </w:rPr>
        <w:t xml:space="preserve"> out</w:t>
      </w:r>
      <w:r>
        <w:rPr>
          <w:rFonts w:ascii="Arial" w:hAnsi="Arial" w:cs="Arial"/>
          <w:sz w:val="24"/>
          <w:szCs w:val="24"/>
        </w:rPr>
        <w:t xml:space="preserve">, </w:t>
      </w:r>
      <w:r w:rsidR="00AA3498">
        <w:rPr>
          <w:rFonts w:ascii="Arial" w:hAnsi="Arial" w:cs="Arial"/>
          <w:sz w:val="24"/>
          <w:szCs w:val="24"/>
        </w:rPr>
        <w:t>we</w:t>
      </w:r>
      <w:r>
        <w:rPr>
          <w:rFonts w:ascii="Arial" w:hAnsi="Arial" w:cs="Arial"/>
          <w:sz w:val="24"/>
          <w:szCs w:val="24"/>
        </w:rPr>
        <w:t xml:space="preserve">re the reasons for the court coming to the conclusion that it did.  In the final analysis, the submission was that this should be the end of this matter and the application for leave to appeal should meet its natural destiny </w:t>
      </w:r>
      <w:r w:rsidR="00C769B0">
        <w:rPr>
          <w:rFonts w:ascii="Arial" w:hAnsi="Arial" w:cs="Arial"/>
          <w:sz w:val="24"/>
          <w:szCs w:val="24"/>
        </w:rPr>
        <w:t xml:space="preserve">of dismissal </w:t>
      </w:r>
      <w:r w:rsidR="003C5135">
        <w:rPr>
          <w:rFonts w:ascii="Arial" w:hAnsi="Arial" w:cs="Arial"/>
          <w:sz w:val="24"/>
          <w:szCs w:val="24"/>
        </w:rPr>
        <w:t>in the circumstances</w:t>
      </w:r>
      <w:r>
        <w:rPr>
          <w:rFonts w:ascii="Arial" w:hAnsi="Arial" w:cs="Arial"/>
          <w:sz w:val="24"/>
          <w:szCs w:val="24"/>
        </w:rPr>
        <w:t xml:space="preserve">.  I consider it convenient to start with this point which </w:t>
      </w:r>
      <w:r w:rsidR="00B7482D">
        <w:rPr>
          <w:rFonts w:ascii="Arial" w:hAnsi="Arial" w:cs="Arial"/>
          <w:sz w:val="24"/>
          <w:szCs w:val="24"/>
        </w:rPr>
        <w:t xml:space="preserve">is in my view an issue that could potentially </w:t>
      </w:r>
      <w:r w:rsidR="00270E15">
        <w:rPr>
          <w:rFonts w:ascii="Arial" w:hAnsi="Arial" w:cs="Arial"/>
          <w:sz w:val="24"/>
          <w:szCs w:val="24"/>
        </w:rPr>
        <w:t>be dispositive</w:t>
      </w:r>
      <w:r w:rsidR="00B7482D">
        <w:rPr>
          <w:rFonts w:ascii="Arial" w:hAnsi="Arial" w:cs="Arial"/>
          <w:sz w:val="24"/>
          <w:szCs w:val="24"/>
        </w:rPr>
        <w:t xml:space="preserve"> of </w:t>
      </w:r>
      <w:r w:rsidR="00270E15">
        <w:rPr>
          <w:rFonts w:ascii="Arial" w:hAnsi="Arial" w:cs="Arial"/>
          <w:sz w:val="24"/>
          <w:szCs w:val="24"/>
        </w:rPr>
        <w:t>the</w:t>
      </w:r>
      <w:r w:rsidR="00B7482D">
        <w:rPr>
          <w:rFonts w:ascii="Arial" w:hAnsi="Arial" w:cs="Arial"/>
          <w:sz w:val="24"/>
          <w:szCs w:val="24"/>
        </w:rPr>
        <w:t xml:space="preserve"> application for leave to appeal</w:t>
      </w:r>
      <w:r>
        <w:rPr>
          <w:rFonts w:ascii="Arial" w:hAnsi="Arial" w:cs="Arial"/>
          <w:sz w:val="24"/>
          <w:szCs w:val="24"/>
        </w:rPr>
        <w:t>.</w:t>
      </w:r>
    </w:p>
    <w:p w:rsidR="00464E27" w:rsidRDefault="00464E27" w:rsidP="00EE2C70">
      <w:pPr>
        <w:spacing w:line="480" w:lineRule="auto"/>
        <w:jc w:val="both"/>
        <w:rPr>
          <w:rFonts w:ascii="Arial" w:hAnsi="Arial" w:cs="Arial"/>
          <w:sz w:val="24"/>
          <w:szCs w:val="24"/>
        </w:rPr>
      </w:pPr>
      <w:r>
        <w:rPr>
          <w:rFonts w:ascii="Arial" w:hAnsi="Arial" w:cs="Arial"/>
          <w:sz w:val="24"/>
          <w:szCs w:val="24"/>
        </w:rPr>
        <w:t xml:space="preserve">[3] In </w:t>
      </w:r>
      <w:r w:rsidRPr="00464E27">
        <w:rPr>
          <w:rFonts w:ascii="Arial" w:hAnsi="Arial" w:cs="Arial"/>
          <w:i/>
          <w:sz w:val="24"/>
          <w:szCs w:val="24"/>
        </w:rPr>
        <w:t>Ntshwaqela</w:t>
      </w:r>
      <w:r>
        <w:rPr>
          <w:rStyle w:val="FootnoteReference"/>
          <w:rFonts w:ascii="Arial" w:hAnsi="Arial" w:cs="Arial"/>
          <w:sz w:val="24"/>
          <w:szCs w:val="24"/>
        </w:rPr>
        <w:footnoteReference w:id="1"/>
      </w:r>
      <w:r>
        <w:rPr>
          <w:rFonts w:ascii="Arial" w:hAnsi="Arial" w:cs="Arial"/>
          <w:sz w:val="24"/>
          <w:szCs w:val="24"/>
        </w:rPr>
        <w:t xml:space="preserve"> </w:t>
      </w:r>
      <w:r w:rsidR="00B7482D">
        <w:rPr>
          <w:rFonts w:ascii="Arial" w:hAnsi="Arial" w:cs="Arial"/>
          <w:sz w:val="24"/>
          <w:szCs w:val="24"/>
        </w:rPr>
        <w:t>a case to which I was referred to</w:t>
      </w:r>
      <w:r w:rsidR="00681B30">
        <w:rPr>
          <w:rFonts w:ascii="Arial" w:hAnsi="Arial" w:cs="Arial"/>
          <w:sz w:val="24"/>
          <w:szCs w:val="24"/>
        </w:rPr>
        <w:t xml:space="preserve"> by counsel for the municipal respondents</w:t>
      </w:r>
      <w:r w:rsidR="00B7482D">
        <w:rPr>
          <w:rFonts w:ascii="Arial" w:hAnsi="Arial" w:cs="Arial"/>
          <w:sz w:val="24"/>
          <w:szCs w:val="24"/>
        </w:rPr>
        <w:t xml:space="preserve">, </w:t>
      </w:r>
      <w:r>
        <w:rPr>
          <w:rFonts w:ascii="Arial" w:hAnsi="Arial" w:cs="Arial"/>
          <w:sz w:val="24"/>
          <w:szCs w:val="24"/>
        </w:rPr>
        <w:t>the Appellant Division</w:t>
      </w:r>
      <w:r w:rsidR="00CD35A3">
        <w:rPr>
          <w:rFonts w:ascii="Arial" w:hAnsi="Arial" w:cs="Arial"/>
          <w:sz w:val="24"/>
          <w:szCs w:val="24"/>
        </w:rPr>
        <w:t>,</w:t>
      </w:r>
      <w:r>
        <w:rPr>
          <w:rFonts w:ascii="Arial" w:hAnsi="Arial" w:cs="Arial"/>
          <w:sz w:val="24"/>
          <w:szCs w:val="24"/>
        </w:rPr>
        <w:t xml:space="preserve"> as the Supreme Court of Appeal was then called</w:t>
      </w:r>
      <w:r w:rsidR="00CD35A3">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explained in quite some detail what</w:t>
      </w:r>
      <w:r w:rsidR="00B7482D">
        <w:rPr>
          <w:rFonts w:ascii="Arial" w:hAnsi="Arial" w:cs="Arial"/>
          <w:sz w:val="24"/>
          <w:szCs w:val="24"/>
        </w:rPr>
        <w:t>,</w:t>
      </w:r>
      <w:r>
        <w:rPr>
          <w:rFonts w:ascii="Arial" w:hAnsi="Arial" w:cs="Arial"/>
          <w:sz w:val="24"/>
          <w:szCs w:val="24"/>
        </w:rPr>
        <w:t xml:space="preserve"> in the context of </w:t>
      </w:r>
      <w:r w:rsidR="00AA3498">
        <w:rPr>
          <w:rFonts w:ascii="Arial" w:hAnsi="Arial" w:cs="Arial"/>
          <w:sz w:val="24"/>
          <w:szCs w:val="24"/>
        </w:rPr>
        <w:t>court proceedings</w:t>
      </w:r>
      <w:r>
        <w:rPr>
          <w:rFonts w:ascii="Arial" w:hAnsi="Arial" w:cs="Arial"/>
          <w:sz w:val="24"/>
          <w:szCs w:val="24"/>
        </w:rPr>
        <w:t xml:space="preserve">, a judgment or order is.  </w:t>
      </w:r>
      <w:r w:rsidR="00B7482D">
        <w:rPr>
          <w:rFonts w:ascii="Arial" w:hAnsi="Arial" w:cs="Arial"/>
          <w:sz w:val="24"/>
          <w:szCs w:val="24"/>
        </w:rPr>
        <w:t>It appears that</w:t>
      </w:r>
      <w:r w:rsidR="00CD35A3">
        <w:rPr>
          <w:rFonts w:ascii="Arial" w:hAnsi="Arial" w:cs="Arial"/>
          <w:sz w:val="24"/>
          <w:szCs w:val="24"/>
        </w:rPr>
        <w:t>, more than thirty years ago</w:t>
      </w:r>
      <w:r w:rsidR="00AA3498">
        <w:rPr>
          <w:rFonts w:ascii="Arial" w:hAnsi="Arial" w:cs="Arial"/>
          <w:sz w:val="24"/>
          <w:szCs w:val="24"/>
        </w:rPr>
        <w:t xml:space="preserve"> </w:t>
      </w:r>
      <w:r w:rsidR="00B7482D">
        <w:rPr>
          <w:rFonts w:ascii="Arial" w:hAnsi="Arial" w:cs="Arial"/>
          <w:sz w:val="24"/>
          <w:szCs w:val="24"/>
        </w:rPr>
        <w:t>already when the court</w:t>
      </w:r>
      <w:r w:rsidR="00AA3498">
        <w:rPr>
          <w:rFonts w:ascii="Arial" w:hAnsi="Arial" w:cs="Arial"/>
          <w:sz w:val="24"/>
          <w:szCs w:val="24"/>
        </w:rPr>
        <w:t xml:space="preserve"> dealt with the matter of </w:t>
      </w:r>
      <w:r w:rsidR="00AA3498" w:rsidRPr="00B7482D">
        <w:rPr>
          <w:rFonts w:ascii="Arial" w:hAnsi="Arial" w:cs="Arial"/>
          <w:i/>
          <w:sz w:val="24"/>
          <w:szCs w:val="24"/>
        </w:rPr>
        <w:t>Ntshwaqela</w:t>
      </w:r>
      <w:r w:rsidR="00CD35A3">
        <w:rPr>
          <w:rFonts w:ascii="Arial" w:hAnsi="Arial" w:cs="Arial"/>
          <w:sz w:val="24"/>
          <w:szCs w:val="24"/>
        </w:rPr>
        <w:t xml:space="preserve">, </w:t>
      </w:r>
      <w:r>
        <w:rPr>
          <w:rFonts w:ascii="Arial" w:hAnsi="Arial" w:cs="Arial"/>
          <w:sz w:val="24"/>
          <w:szCs w:val="24"/>
        </w:rPr>
        <w:t xml:space="preserve">the distinction between </w:t>
      </w:r>
      <w:r w:rsidR="00F462F5">
        <w:rPr>
          <w:rFonts w:ascii="Arial" w:hAnsi="Arial" w:cs="Arial"/>
          <w:sz w:val="24"/>
          <w:szCs w:val="24"/>
        </w:rPr>
        <w:t xml:space="preserve">a judgment or order </w:t>
      </w:r>
      <w:r w:rsidR="00CD35A3">
        <w:rPr>
          <w:rFonts w:ascii="Arial" w:hAnsi="Arial" w:cs="Arial"/>
          <w:sz w:val="24"/>
          <w:szCs w:val="24"/>
        </w:rPr>
        <w:t xml:space="preserve">and a judgment in the general sense </w:t>
      </w:r>
      <w:r w:rsidR="00B7482D">
        <w:rPr>
          <w:rFonts w:ascii="Arial" w:hAnsi="Arial" w:cs="Arial"/>
          <w:sz w:val="24"/>
          <w:szCs w:val="24"/>
        </w:rPr>
        <w:t>wa</w:t>
      </w:r>
      <w:r w:rsidR="00CD35A3">
        <w:rPr>
          <w:rFonts w:ascii="Arial" w:hAnsi="Arial" w:cs="Arial"/>
          <w:sz w:val="24"/>
          <w:szCs w:val="24"/>
        </w:rPr>
        <w:t>s so</w:t>
      </w:r>
      <w:r>
        <w:rPr>
          <w:rFonts w:ascii="Arial" w:hAnsi="Arial" w:cs="Arial"/>
          <w:sz w:val="24"/>
          <w:szCs w:val="24"/>
        </w:rPr>
        <w:t xml:space="preserve"> obvious that it call</w:t>
      </w:r>
      <w:r w:rsidR="00B7482D">
        <w:rPr>
          <w:rFonts w:ascii="Arial" w:hAnsi="Arial" w:cs="Arial"/>
          <w:sz w:val="24"/>
          <w:szCs w:val="24"/>
        </w:rPr>
        <w:t>ed</w:t>
      </w:r>
      <w:r>
        <w:rPr>
          <w:rFonts w:ascii="Arial" w:hAnsi="Arial" w:cs="Arial"/>
          <w:sz w:val="24"/>
          <w:szCs w:val="24"/>
        </w:rPr>
        <w:t xml:space="preserve"> for a detailed explanation </w:t>
      </w:r>
      <w:r w:rsidR="00B7482D">
        <w:rPr>
          <w:rFonts w:ascii="Arial" w:hAnsi="Arial" w:cs="Arial"/>
          <w:sz w:val="24"/>
          <w:szCs w:val="24"/>
        </w:rPr>
        <w:t xml:space="preserve">as it still does todate, </w:t>
      </w:r>
      <w:r w:rsidR="00CD35A3">
        <w:rPr>
          <w:rFonts w:ascii="Arial" w:hAnsi="Arial" w:cs="Arial"/>
          <w:sz w:val="24"/>
          <w:szCs w:val="24"/>
        </w:rPr>
        <w:t>i</w:t>
      </w:r>
      <w:r>
        <w:rPr>
          <w:rFonts w:ascii="Arial" w:hAnsi="Arial" w:cs="Arial"/>
          <w:sz w:val="24"/>
          <w:szCs w:val="24"/>
        </w:rPr>
        <w:t>f only to demystify the obvious</w:t>
      </w:r>
      <w:r w:rsidR="00270E15">
        <w:rPr>
          <w:rFonts w:ascii="Arial" w:hAnsi="Arial" w:cs="Arial"/>
          <w:sz w:val="24"/>
          <w:szCs w:val="24"/>
        </w:rPr>
        <w:t xml:space="preserve">, </w:t>
      </w:r>
      <w:r w:rsidR="00AA3498">
        <w:rPr>
          <w:rFonts w:ascii="Arial" w:hAnsi="Arial" w:cs="Arial"/>
          <w:sz w:val="24"/>
          <w:szCs w:val="24"/>
        </w:rPr>
        <w:t>so to speak</w:t>
      </w:r>
      <w:r>
        <w:rPr>
          <w:rFonts w:ascii="Arial" w:hAnsi="Arial" w:cs="Arial"/>
          <w:sz w:val="24"/>
          <w:szCs w:val="24"/>
        </w:rPr>
        <w:t xml:space="preserve">.  </w:t>
      </w:r>
      <w:r w:rsidR="00270E15">
        <w:rPr>
          <w:rFonts w:ascii="Arial" w:hAnsi="Arial" w:cs="Arial"/>
          <w:sz w:val="24"/>
          <w:szCs w:val="24"/>
        </w:rPr>
        <w:t>I quote copiously from the said case below</w:t>
      </w:r>
      <w:r>
        <w:rPr>
          <w:rFonts w:ascii="Arial" w:hAnsi="Arial" w:cs="Arial"/>
          <w:sz w:val="24"/>
          <w:szCs w:val="24"/>
        </w:rPr>
        <w:t>:</w:t>
      </w:r>
    </w:p>
    <w:p w:rsidR="00F462F5" w:rsidRDefault="00464E27" w:rsidP="00374954">
      <w:pPr>
        <w:spacing w:line="360" w:lineRule="auto"/>
        <w:ind w:left="720"/>
        <w:jc w:val="both"/>
        <w:rPr>
          <w:rFonts w:ascii="Arial" w:hAnsi="Arial" w:cs="Arial"/>
        </w:rPr>
      </w:pPr>
      <w:r w:rsidRPr="00374954">
        <w:rPr>
          <w:rFonts w:ascii="Arial" w:hAnsi="Arial" w:cs="Arial"/>
        </w:rPr>
        <w:t>“An initial question arises in regard to the interpretation of H</w:t>
      </w:r>
      <w:r w:rsidR="00CD35A3">
        <w:rPr>
          <w:rFonts w:ascii="Arial" w:hAnsi="Arial" w:cs="Arial"/>
        </w:rPr>
        <w:t>o</w:t>
      </w:r>
      <w:r w:rsidRPr="00374954">
        <w:rPr>
          <w:rFonts w:ascii="Arial" w:hAnsi="Arial" w:cs="Arial"/>
        </w:rPr>
        <w:t xml:space="preserve">wie J’s judgment.  In legal usage the word </w:t>
      </w:r>
      <w:r w:rsidR="00CD35A3" w:rsidRPr="00F462F5">
        <w:rPr>
          <w:rFonts w:ascii="Arial" w:hAnsi="Arial" w:cs="Arial"/>
          <w:i/>
        </w:rPr>
        <w:t>judgment</w:t>
      </w:r>
      <w:r w:rsidR="00CD35A3">
        <w:rPr>
          <w:rFonts w:ascii="Arial" w:hAnsi="Arial" w:cs="Arial"/>
        </w:rPr>
        <w:t xml:space="preserve"> </w:t>
      </w:r>
      <w:r w:rsidRPr="00374954">
        <w:rPr>
          <w:rFonts w:ascii="Arial" w:hAnsi="Arial" w:cs="Arial"/>
        </w:rPr>
        <w:t xml:space="preserve">has at least two meanings: a general meaning and a technical meaning.  In the general sense it is the English equivalent of the American </w:t>
      </w:r>
      <w:r w:rsidRPr="00F462F5">
        <w:rPr>
          <w:rFonts w:ascii="Arial" w:hAnsi="Arial" w:cs="Arial"/>
          <w:i/>
        </w:rPr>
        <w:t>opinion</w:t>
      </w:r>
      <w:r w:rsidR="00F462F5">
        <w:rPr>
          <w:rFonts w:ascii="Arial" w:hAnsi="Arial" w:cs="Arial"/>
        </w:rPr>
        <w:t xml:space="preserve">, which is </w:t>
      </w:r>
    </w:p>
    <w:p w:rsidR="00464E27" w:rsidRPr="00F462F5" w:rsidRDefault="00F462F5" w:rsidP="00374954">
      <w:pPr>
        <w:spacing w:line="360" w:lineRule="auto"/>
        <w:ind w:left="720"/>
        <w:jc w:val="both"/>
        <w:rPr>
          <w:rFonts w:ascii="Arial" w:hAnsi="Arial" w:cs="Arial"/>
          <w:sz w:val="20"/>
          <w:szCs w:val="20"/>
        </w:rPr>
      </w:pPr>
      <w:r w:rsidRPr="00F462F5">
        <w:rPr>
          <w:rFonts w:ascii="Arial" w:hAnsi="Arial" w:cs="Arial"/>
          <w:sz w:val="20"/>
          <w:szCs w:val="20"/>
        </w:rPr>
        <w:t>‘(t)he statement by a J</w:t>
      </w:r>
      <w:r w:rsidR="00464E27" w:rsidRPr="00F462F5">
        <w:rPr>
          <w:rFonts w:ascii="Arial" w:hAnsi="Arial" w:cs="Arial"/>
          <w:sz w:val="20"/>
          <w:szCs w:val="20"/>
        </w:rPr>
        <w:t>udge or court of the decision reached in regard to a cause tried or argued before them, expounding the law as applied to the case, and detailing the reasons upon which the judgment is based</w:t>
      </w:r>
      <w:r w:rsidRPr="00F462F5">
        <w:rPr>
          <w:rFonts w:ascii="Arial" w:hAnsi="Arial" w:cs="Arial"/>
          <w:sz w:val="20"/>
          <w:szCs w:val="20"/>
        </w:rPr>
        <w:t>’</w:t>
      </w:r>
      <w:r w:rsidR="00464E27" w:rsidRPr="00F462F5">
        <w:rPr>
          <w:rFonts w:ascii="Arial" w:hAnsi="Arial" w:cs="Arial"/>
          <w:sz w:val="20"/>
          <w:szCs w:val="20"/>
        </w:rPr>
        <w:t>.</w:t>
      </w:r>
    </w:p>
    <w:p w:rsidR="00F462F5" w:rsidRDefault="00F462F5" w:rsidP="00374954">
      <w:pPr>
        <w:spacing w:line="360" w:lineRule="auto"/>
        <w:ind w:left="720"/>
        <w:jc w:val="both"/>
        <w:rPr>
          <w:rFonts w:ascii="Arial" w:hAnsi="Arial" w:cs="Arial"/>
        </w:rPr>
      </w:pPr>
      <w:r>
        <w:rPr>
          <w:rFonts w:ascii="Arial" w:hAnsi="Arial" w:cs="Arial"/>
        </w:rPr>
        <w:t xml:space="preserve">… </w:t>
      </w:r>
      <w:r w:rsidR="00464E27" w:rsidRPr="00374954">
        <w:rPr>
          <w:rFonts w:ascii="Arial" w:hAnsi="Arial" w:cs="Arial"/>
        </w:rPr>
        <w:t xml:space="preserve">In its technical sense it is the equivalent of </w:t>
      </w:r>
      <w:r w:rsidR="00464E27" w:rsidRPr="00F462F5">
        <w:rPr>
          <w:rFonts w:ascii="Arial" w:hAnsi="Arial" w:cs="Arial"/>
          <w:i/>
        </w:rPr>
        <w:t>order</w:t>
      </w:r>
      <w:r w:rsidR="00464E27" w:rsidRPr="00374954">
        <w:rPr>
          <w:rFonts w:ascii="Arial" w:hAnsi="Arial" w:cs="Arial"/>
        </w:rPr>
        <w:t>.  See Rule 42 of the Rules of Court</w:t>
      </w:r>
      <w:r>
        <w:rPr>
          <w:rFonts w:ascii="Arial" w:hAnsi="Arial" w:cs="Arial"/>
        </w:rPr>
        <w:t>,</w:t>
      </w:r>
      <w:r w:rsidR="00464E27" w:rsidRPr="00374954">
        <w:rPr>
          <w:rFonts w:ascii="Arial" w:hAnsi="Arial" w:cs="Arial"/>
        </w:rPr>
        <w:t xml:space="preserve"> which deals with the rescission or variation of </w:t>
      </w:r>
      <w:r>
        <w:rPr>
          <w:rFonts w:ascii="Arial" w:hAnsi="Arial" w:cs="Arial"/>
        </w:rPr>
        <w:t>‘</w:t>
      </w:r>
      <w:r w:rsidR="003E0AE9" w:rsidRPr="00374954">
        <w:rPr>
          <w:rFonts w:ascii="Arial" w:hAnsi="Arial" w:cs="Arial"/>
        </w:rPr>
        <w:t>an order or judgment</w:t>
      </w:r>
      <w:r>
        <w:rPr>
          <w:rFonts w:ascii="Arial" w:hAnsi="Arial" w:cs="Arial"/>
        </w:rPr>
        <w:t>’</w:t>
      </w:r>
      <w:r w:rsidR="003E0AE9" w:rsidRPr="00374954">
        <w:rPr>
          <w:rFonts w:ascii="Arial" w:hAnsi="Arial" w:cs="Arial"/>
        </w:rPr>
        <w:t xml:space="preserve">, and ss 20 and 21 of the Supreme Court Act </w:t>
      </w:r>
      <w:r>
        <w:rPr>
          <w:rFonts w:ascii="Arial" w:hAnsi="Arial" w:cs="Arial"/>
        </w:rPr>
        <w:t xml:space="preserve">59 of </w:t>
      </w:r>
      <w:r w:rsidR="003E0AE9" w:rsidRPr="00374954">
        <w:rPr>
          <w:rFonts w:ascii="Arial" w:hAnsi="Arial" w:cs="Arial"/>
        </w:rPr>
        <w:t>1959, which provide</w:t>
      </w:r>
      <w:r>
        <w:rPr>
          <w:rFonts w:ascii="Arial" w:hAnsi="Arial" w:cs="Arial"/>
        </w:rPr>
        <w:t xml:space="preserve"> for appeal</w:t>
      </w:r>
      <w:r w:rsidR="003E0AE9" w:rsidRPr="00374954">
        <w:rPr>
          <w:rFonts w:ascii="Arial" w:hAnsi="Arial" w:cs="Arial"/>
        </w:rPr>
        <w:t xml:space="preserve">s from a judgment or order.  In </w:t>
      </w:r>
      <w:r w:rsidR="003E0AE9" w:rsidRPr="00374954">
        <w:rPr>
          <w:rFonts w:ascii="Arial" w:hAnsi="Arial" w:cs="Arial"/>
          <w:i/>
        </w:rPr>
        <w:t>Dickson &amp; Another v Fisher’s Executors</w:t>
      </w:r>
      <w:r w:rsidR="003E0AE9" w:rsidRPr="00374954">
        <w:rPr>
          <w:rFonts w:ascii="Arial" w:hAnsi="Arial" w:cs="Arial"/>
        </w:rPr>
        <w:t xml:space="preserve"> 1914 AD 424</w:t>
      </w:r>
      <w:r>
        <w:rPr>
          <w:rFonts w:ascii="Arial" w:hAnsi="Arial" w:cs="Arial"/>
        </w:rPr>
        <w:t>,</w:t>
      </w:r>
      <w:r w:rsidR="003E0AE9" w:rsidRPr="00374954">
        <w:rPr>
          <w:rFonts w:ascii="Arial" w:hAnsi="Arial" w:cs="Arial"/>
        </w:rPr>
        <w:t xml:space="preserve"> it was explained at 427 that the distinction between a judgment and an order wou</w:t>
      </w:r>
      <w:r>
        <w:rPr>
          <w:rFonts w:ascii="Arial" w:hAnsi="Arial" w:cs="Arial"/>
        </w:rPr>
        <w:t>ld probably be found to be this</w:t>
      </w:r>
      <w:r w:rsidR="007C5FDF">
        <w:rPr>
          <w:rFonts w:ascii="Arial" w:hAnsi="Arial" w:cs="Arial"/>
        </w:rPr>
        <w:t>,</w:t>
      </w:r>
    </w:p>
    <w:p w:rsidR="00F462F5" w:rsidRDefault="007C5FDF" w:rsidP="00374954">
      <w:pPr>
        <w:spacing w:line="360" w:lineRule="auto"/>
        <w:ind w:left="720"/>
        <w:jc w:val="both"/>
        <w:rPr>
          <w:rFonts w:ascii="Arial" w:hAnsi="Arial" w:cs="Arial"/>
        </w:rPr>
      </w:pPr>
      <w:r>
        <w:rPr>
          <w:rFonts w:ascii="Arial" w:hAnsi="Arial" w:cs="Arial"/>
          <w:sz w:val="20"/>
          <w:szCs w:val="20"/>
        </w:rPr>
        <w:t>‘</w:t>
      </w:r>
      <w:r w:rsidR="003E0AE9" w:rsidRPr="00F462F5">
        <w:rPr>
          <w:rFonts w:ascii="Arial" w:hAnsi="Arial" w:cs="Arial"/>
          <w:sz w:val="20"/>
          <w:szCs w:val="20"/>
        </w:rPr>
        <w:t>… that the term judgment is used to describe a decision of a court of law upon relief claimed in an action</w:t>
      </w:r>
      <w:r w:rsidR="00F462F5" w:rsidRPr="00F462F5">
        <w:rPr>
          <w:rFonts w:ascii="Arial" w:hAnsi="Arial" w:cs="Arial"/>
          <w:sz w:val="20"/>
          <w:szCs w:val="20"/>
        </w:rPr>
        <w:t>,</w:t>
      </w:r>
      <w:r w:rsidR="003E0AE9" w:rsidRPr="00F462F5">
        <w:rPr>
          <w:rFonts w:ascii="Arial" w:hAnsi="Arial" w:cs="Arial"/>
          <w:sz w:val="20"/>
          <w:szCs w:val="20"/>
        </w:rPr>
        <w:t xml:space="preserve"> whilst by an order is understood a similar decision upon relief claimed not by action but by motion, petition or other machinery recognised in practice</w:t>
      </w:r>
      <w:r w:rsidR="00F462F5" w:rsidRPr="00F462F5">
        <w:rPr>
          <w:rFonts w:ascii="Arial" w:hAnsi="Arial" w:cs="Arial"/>
          <w:sz w:val="20"/>
          <w:szCs w:val="20"/>
        </w:rPr>
        <w:t>’</w:t>
      </w:r>
      <w:r w:rsidR="003E0AE9" w:rsidRPr="00F462F5">
        <w:rPr>
          <w:rFonts w:ascii="Arial" w:hAnsi="Arial" w:cs="Arial"/>
          <w:sz w:val="20"/>
          <w:szCs w:val="20"/>
        </w:rPr>
        <w:t>.</w:t>
      </w:r>
      <w:r w:rsidR="003E0AE9" w:rsidRPr="00374954">
        <w:rPr>
          <w:rFonts w:ascii="Arial" w:hAnsi="Arial" w:cs="Arial"/>
        </w:rPr>
        <w:t xml:space="preserve">  </w:t>
      </w:r>
    </w:p>
    <w:p w:rsidR="00464E27" w:rsidRPr="00374954" w:rsidRDefault="003E0AE9" w:rsidP="00374954">
      <w:pPr>
        <w:spacing w:line="360" w:lineRule="auto"/>
        <w:ind w:left="720"/>
        <w:jc w:val="both"/>
        <w:rPr>
          <w:rFonts w:ascii="Arial" w:hAnsi="Arial" w:cs="Arial"/>
        </w:rPr>
      </w:pPr>
      <w:r w:rsidRPr="00374954">
        <w:rPr>
          <w:rFonts w:ascii="Arial" w:hAnsi="Arial" w:cs="Arial"/>
        </w:rPr>
        <w:t xml:space="preserve">When a judgment has been delivered in </w:t>
      </w:r>
      <w:r w:rsidR="007C5FDF">
        <w:rPr>
          <w:rFonts w:ascii="Arial" w:hAnsi="Arial" w:cs="Arial"/>
        </w:rPr>
        <w:t>C</w:t>
      </w:r>
      <w:r w:rsidRPr="00374954">
        <w:rPr>
          <w:rFonts w:ascii="Arial" w:hAnsi="Arial" w:cs="Arial"/>
        </w:rPr>
        <w:t>ourt</w:t>
      </w:r>
      <w:r w:rsidR="00F462F5">
        <w:rPr>
          <w:rFonts w:ascii="Arial" w:hAnsi="Arial" w:cs="Arial"/>
        </w:rPr>
        <w:t>,</w:t>
      </w:r>
      <w:r w:rsidRPr="00374954">
        <w:rPr>
          <w:rFonts w:ascii="Arial" w:hAnsi="Arial" w:cs="Arial"/>
        </w:rPr>
        <w:t xml:space="preserve"> whether in writing or orally, the </w:t>
      </w:r>
      <w:r w:rsidR="00F462F5">
        <w:rPr>
          <w:rFonts w:ascii="Arial" w:hAnsi="Arial" w:cs="Arial"/>
        </w:rPr>
        <w:t>R</w:t>
      </w:r>
      <w:r w:rsidRPr="00374954">
        <w:rPr>
          <w:rFonts w:ascii="Arial" w:hAnsi="Arial" w:cs="Arial"/>
        </w:rPr>
        <w:t xml:space="preserve">egistrar draws up a formal order of court which is embodied in a separate document signed by him.  It is a copy of this which is served by the </w:t>
      </w:r>
      <w:r w:rsidR="00F462F5">
        <w:rPr>
          <w:rFonts w:ascii="Arial" w:hAnsi="Arial" w:cs="Arial"/>
        </w:rPr>
        <w:t>S</w:t>
      </w:r>
      <w:r w:rsidRPr="00374954">
        <w:rPr>
          <w:rFonts w:ascii="Arial" w:hAnsi="Arial" w:cs="Arial"/>
        </w:rPr>
        <w:t xml:space="preserve">heriff.  </w:t>
      </w:r>
      <w:r w:rsidRPr="00CD35A3">
        <w:rPr>
          <w:rFonts w:ascii="Arial" w:hAnsi="Arial" w:cs="Arial"/>
          <w:u w:val="single"/>
        </w:rPr>
        <w:t xml:space="preserve">There can be an appeal only against the substantive order made by a </w:t>
      </w:r>
      <w:r w:rsidR="00F462F5">
        <w:rPr>
          <w:rFonts w:ascii="Arial" w:hAnsi="Arial" w:cs="Arial"/>
          <w:u w:val="single"/>
        </w:rPr>
        <w:t>C</w:t>
      </w:r>
      <w:r w:rsidRPr="00CD35A3">
        <w:rPr>
          <w:rFonts w:ascii="Arial" w:hAnsi="Arial" w:cs="Arial"/>
          <w:u w:val="single"/>
        </w:rPr>
        <w:t>ourt, not against the reasons for judgment.</w:t>
      </w:r>
      <w:r w:rsidRPr="00374954">
        <w:rPr>
          <w:rFonts w:ascii="Arial" w:hAnsi="Arial" w:cs="Arial"/>
        </w:rPr>
        <w:t>”</w:t>
      </w:r>
      <w:r w:rsidR="00CD35A3">
        <w:rPr>
          <w:rStyle w:val="FootnoteReference"/>
          <w:rFonts w:ascii="Arial" w:hAnsi="Arial" w:cs="Arial"/>
        </w:rPr>
        <w:footnoteReference w:id="2"/>
      </w:r>
    </w:p>
    <w:p w:rsidR="003E0AE9" w:rsidRDefault="003E0AE9" w:rsidP="00EE2C70">
      <w:pPr>
        <w:spacing w:line="480" w:lineRule="auto"/>
        <w:jc w:val="both"/>
        <w:rPr>
          <w:rFonts w:ascii="Arial" w:hAnsi="Arial" w:cs="Arial"/>
          <w:sz w:val="24"/>
          <w:szCs w:val="24"/>
        </w:rPr>
      </w:pPr>
      <w:r>
        <w:rPr>
          <w:rFonts w:ascii="Arial" w:hAnsi="Arial" w:cs="Arial"/>
          <w:sz w:val="24"/>
          <w:szCs w:val="24"/>
        </w:rPr>
        <w:t>[</w:t>
      </w:r>
      <w:r w:rsidR="001C5F6E">
        <w:rPr>
          <w:rFonts w:ascii="Arial" w:hAnsi="Arial" w:cs="Arial"/>
          <w:sz w:val="24"/>
          <w:szCs w:val="24"/>
        </w:rPr>
        <w:t>4</w:t>
      </w:r>
      <w:r>
        <w:rPr>
          <w:rFonts w:ascii="Arial" w:hAnsi="Arial" w:cs="Arial"/>
          <w:sz w:val="24"/>
          <w:szCs w:val="24"/>
        </w:rPr>
        <w:t>] It is th</w:t>
      </w:r>
      <w:r w:rsidR="00CD35A3">
        <w:rPr>
          <w:rFonts w:ascii="Arial" w:hAnsi="Arial" w:cs="Arial"/>
          <w:sz w:val="24"/>
          <w:szCs w:val="24"/>
        </w:rPr>
        <w:t>is</w:t>
      </w:r>
      <w:r>
        <w:rPr>
          <w:rFonts w:ascii="Arial" w:hAnsi="Arial" w:cs="Arial"/>
          <w:sz w:val="24"/>
          <w:szCs w:val="24"/>
        </w:rPr>
        <w:t xml:space="preserve"> </w:t>
      </w:r>
      <w:r w:rsidR="00B7482D">
        <w:rPr>
          <w:rFonts w:ascii="Arial" w:hAnsi="Arial" w:cs="Arial"/>
          <w:sz w:val="24"/>
          <w:szCs w:val="24"/>
        </w:rPr>
        <w:t>distinction</w:t>
      </w:r>
      <w:r>
        <w:rPr>
          <w:rFonts w:ascii="Arial" w:hAnsi="Arial" w:cs="Arial"/>
          <w:sz w:val="24"/>
          <w:szCs w:val="24"/>
        </w:rPr>
        <w:t xml:space="preserve"> on what a judgment or order, at least, for </w:t>
      </w:r>
      <w:r w:rsidR="00B7482D">
        <w:rPr>
          <w:rFonts w:ascii="Arial" w:hAnsi="Arial" w:cs="Arial"/>
          <w:sz w:val="24"/>
          <w:szCs w:val="24"/>
        </w:rPr>
        <w:t xml:space="preserve">the </w:t>
      </w:r>
      <w:r>
        <w:rPr>
          <w:rFonts w:ascii="Arial" w:hAnsi="Arial" w:cs="Arial"/>
          <w:sz w:val="24"/>
          <w:szCs w:val="24"/>
        </w:rPr>
        <w:t>purposes of an appeal, is that has led to the unde</w:t>
      </w:r>
      <w:r w:rsidR="00ED1515">
        <w:rPr>
          <w:rFonts w:ascii="Arial" w:hAnsi="Arial" w:cs="Arial"/>
          <w:sz w:val="24"/>
          <w:szCs w:val="24"/>
        </w:rPr>
        <w:t>sirable but u</w:t>
      </w:r>
      <w:r w:rsidR="00681B30">
        <w:rPr>
          <w:rFonts w:ascii="Arial" w:hAnsi="Arial" w:cs="Arial"/>
          <w:sz w:val="24"/>
          <w:szCs w:val="24"/>
        </w:rPr>
        <w:t>nfortunately very common practic</w:t>
      </w:r>
      <w:r w:rsidR="00ED1515">
        <w:rPr>
          <w:rFonts w:ascii="Arial" w:hAnsi="Arial" w:cs="Arial"/>
          <w:sz w:val="24"/>
          <w:szCs w:val="24"/>
        </w:rPr>
        <w:t xml:space="preserve">e </w:t>
      </w:r>
      <w:r w:rsidR="00CD35A3">
        <w:rPr>
          <w:rFonts w:ascii="Arial" w:hAnsi="Arial" w:cs="Arial"/>
          <w:sz w:val="24"/>
          <w:szCs w:val="24"/>
        </w:rPr>
        <w:t xml:space="preserve">of </w:t>
      </w:r>
      <w:r w:rsidR="00ED1515">
        <w:rPr>
          <w:rFonts w:ascii="Arial" w:hAnsi="Arial" w:cs="Arial"/>
          <w:sz w:val="24"/>
          <w:szCs w:val="24"/>
        </w:rPr>
        <w:lastRenderedPageBreak/>
        <w:t>applications for leave to appeal which tend to be a monotonous mono</w:t>
      </w:r>
      <w:r w:rsidR="00CD35A3">
        <w:rPr>
          <w:rFonts w:ascii="Arial" w:hAnsi="Arial" w:cs="Arial"/>
          <w:sz w:val="24"/>
          <w:szCs w:val="24"/>
        </w:rPr>
        <w:t>lo</w:t>
      </w:r>
      <w:r w:rsidR="00ED1515">
        <w:rPr>
          <w:rFonts w:ascii="Arial" w:hAnsi="Arial" w:cs="Arial"/>
          <w:sz w:val="24"/>
          <w:szCs w:val="24"/>
        </w:rPr>
        <w:t xml:space="preserve">gue </w:t>
      </w:r>
      <w:r w:rsidR="00CD35A3">
        <w:rPr>
          <w:rFonts w:ascii="Arial" w:hAnsi="Arial" w:cs="Arial"/>
          <w:sz w:val="24"/>
          <w:szCs w:val="24"/>
        </w:rPr>
        <w:t>which sometimes almost rivals</w:t>
      </w:r>
      <w:r w:rsidR="00ED1515">
        <w:rPr>
          <w:rFonts w:ascii="Arial" w:hAnsi="Arial" w:cs="Arial"/>
          <w:sz w:val="24"/>
          <w:szCs w:val="24"/>
        </w:rPr>
        <w:t xml:space="preserve"> the judgment itself</w:t>
      </w:r>
      <w:r w:rsidR="00CD35A3">
        <w:rPr>
          <w:rFonts w:ascii="Arial" w:hAnsi="Arial" w:cs="Arial"/>
          <w:sz w:val="24"/>
          <w:szCs w:val="24"/>
        </w:rPr>
        <w:t xml:space="preserve"> in length</w:t>
      </w:r>
      <w:r w:rsidR="00ED1515">
        <w:rPr>
          <w:rFonts w:ascii="Arial" w:hAnsi="Arial" w:cs="Arial"/>
          <w:sz w:val="24"/>
          <w:szCs w:val="24"/>
        </w:rPr>
        <w:t xml:space="preserve">.  In this practice, </w:t>
      </w:r>
      <w:r w:rsidR="005B7454">
        <w:rPr>
          <w:rFonts w:ascii="Arial" w:hAnsi="Arial" w:cs="Arial"/>
          <w:sz w:val="24"/>
          <w:szCs w:val="24"/>
        </w:rPr>
        <w:t xml:space="preserve">undersireable as it is, </w:t>
      </w:r>
      <w:r w:rsidR="00ED1515">
        <w:rPr>
          <w:rFonts w:ascii="Arial" w:hAnsi="Arial" w:cs="Arial"/>
          <w:sz w:val="24"/>
          <w:szCs w:val="24"/>
        </w:rPr>
        <w:t xml:space="preserve">even the court’s comments made </w:t>
      </w:r>
      <w:r w:rsidR="00ED1515" w:rsidRPr="007C5FDF">
        <w:rPr>
          <w:rFonts w:ascii="Arial" w:hAnsi="Arial" w:cs="Arial"/>
          <w:i/>
          <w:sz w:val="24"/>
          <w:szCs w:val="24"/>
        </w:rPr>
        <w:t>obiter</w:t>
      </w:r>
      <w:r w:rsidR="00ED1515">
        <w:rPr>
          <w:rFonts w:ascii="Arial" w:hAnsi="Arial" w:cs="Arial"/>
          <w:sz w:val="24"/>
          <w:szCs w:val="24"/>
        </w:rPr>
        <w:t>, tend to be a subject of an application for leave to appeal as was the case in this matter</w:t>
      </w:r>
      <w:r w:rsidR="00270E15">
        <w:rPr>
          <w:rFonts w:ascii="Arial" w:hAnsi="Arial" w:cs="Arial"/>
          <w:sz w:val="24"/>
          <w:szCs w:val="24"/>
        </w:rPr>
        <w:t xml:space="preserve">. </w:t>
      </w:r>
      <w:r w:rsidR="00ED1515">
        <w:rPr>
          <w:rFonts w:ascii="Arial" w:hAnsi="Arial" w:cs="Arial"/>
          <w:sz w:val="24"/>
          <w:szCs w:val="24"/>
        </w:rPr>
        <w:t xml:space="preserve"> </w:t>
      </w:r>
      <w:r w:rsidR="00270E15">
        <w:rPr>
          <w:rFonts w:ascii="Arial" w:hAnsi="Arial" w:cs="Arial"/>
          <w:sz w:val="24"/>
          <w:szCs w:val="24"/>
        </w:rPr>
        <w:t>T</w:t>
      </w:r>
      <w:r w:rsidR="00ED1515">
        <w:rPr>
          <w:rFonts w:ascii="Arial" w:hAnsi="Arial" w:cs="Arial"/>
          <w:sz w:val="24"/>
          <w:szCs w:val="24"/>
        </w:rPr>
        <w:t xml:space="preserve">he rather overly extensive grounds of appeal </w:t>
      </w:r>
      <w:r w:rsidR="00270E15">
        <w:rPr>
          <w:rFonts w:ascii="Arial" w:hAnsi="Arial" w:cs="Arial"/>
          <w:sz w:val="24"/>
          <w:szCs w:val="24"/>
        </w:rPr>
        <w:t>tend to</w:t>
      </w:r>
      <w:r w:rsidR="00ED1515">
        <w:rPr>
          <w:rFonts w:ascii="Arial" w:hAnsi="Arial" w:cs="Arial"/>
          <w:sz w:val="24"/>
          <w:szCs w:val="24"/>
        </w:rPr>
        <w:t xml:space="preserve"> fruitlessly engage in a futile debate </w:t>
      </w:r>
      <w:r w:rsidR="001D56E6">
        <w:rPr>
          <w:rFonts w:ascii="Arial" w:hAnsi="Arial" w:cs="Arial"/>
          <w:sz w:val="24"/>
          <w:szCs w:val="24"/>
        </w:rPr>
        <w:t xml:space="preserve">about </w:t>
      </w:r>
      <w:r w:rsidR="00270E15">
        <w:rPr>
          <w:rFonts w:ascii="Arial" w:hAnsi="Arial" w:cs="Arial"/>
          <w:sz w:val="24"/>
          <w:szCs w:val="24"/>
        </w:rPr>
        <w:t>a court’s</w:t>
      </w:r>
      <w:r w:rsidR="00ED1515">
        <w:rPr>
          <w:rFonts w:ascii="Arial" w:hAnsi="Arial" w:cs="Arial"/>
          <w:sz w:val="24"/>
          <w:szCs w:val="24"/>
        </w:rPr>
        <w:t xml:space="preserve"> reasoning for the judgment.  Fortunately, counsel for the applicant, who, it was clear</w:t>
      </w:r>
      <w:r w:rsidR="001D56E6">
        <w:rPr>
          <w:rFonts w:ascii="Arial" w:hAnsi="Arial" w:cs="Arial"/>
          <w:sz w:val="24"/>
          <w:szCs w:val="24"/>
        </w:rPr>
        <w:t>,</w:t>
      </w:r>
      <w:r w:rsidR="00ED1515">
        <w:rPr>
          <w:rFonts w:ascii="Arial" w:hAnsi="Arial" w:cs="Arial"/>
          <w:sz w:val="24"/>
          <w:szCs w:val="24"/>
        </w:rPr>
        <w:t xml:space="preserve"> did not draw the application for leave to appeal</w:t>
      </w:r>
      <w:r w:rsidR="00270E15">
        <w:rPr>
          <w:rFonts w:ascii="Arial" w:hAnsi="Arial" w:cs="Arial"/>
          <w:sz w:val="24"/>
          <w:szCs w:val="24"/>
        </w:rPr>
        <w:t xml:space="preserve"> in this matter</w:t>
      </w:r>
      <w:r w:rsidR="00ED1515">
        <w:rPr>
          <w:rFonts w:ascii="Arial" w:hAnsi="Arial" w:cs="Arial"/>
          <w:sz w:val="24"/>
          <w:szCs w:val="24"/>
        </w:rPr>
        <w:t>, understood this.  As a result</w:t>
      </w:r>
      <w:r w:rsidR="001D56E6">
        <w:rPr>
          <w:rFonts w:ascii="Arial" w:hAnsi="Arial" w:cs="Arial"/>
          <w:sz w:val="24"/>
          <w:szCs w:val="24"/>
        </w:rPr>
        <w:t>,</w:t>
      </w:r>
      <w:r w:rsidR="00ED1515">
        <w:rPr>
          <w:rFonts w:ascii="Arial" w:hAnsi="Arial" w:cs="Arial"/>
          <w:sz w:val="24"/>
          <w:szCs w:val="24"/>
        </w:rPr>
        <w:t xml:space="preserve"> she focused </w:t>
      </w:r>
      <w:r w:rsidR="00681B30">
        <w:rPr>
          <w:rFonts w:ascii="Arial" w:hAnsi="Arial" w:cs="Arial"/>
          <w:sz w:val="24"/>
          <w:szCs w:val="24"/>
        </w:rPr>
        <w:t>squarely</w:t>
      </w:r>
      <w:r w:rsidR="00ED1515">
        <w:rPr>
          <w:rFonts w:ascii="Arial" w:hAnsi="Arial" w:cs="Arial"/>
          <w:sz w:val="24"/>
          <w:szCs w:val="24"/>
        </w:rPr>
        <w:t xml:space="preserve"> on the real and the only issue before the court.  That is whether, to bor</w:t>
      </w:r>
      <w:r w:rsidR="00FB7625">
        <w:rPr>
          <w:rFonts w:ascii="Arial" w:hAnsi="Arial" w:cs="Arial"/>
          <w:sz w:val="24"/>
          <w:szCs w:val="24"/>
        </w:rPr>
        <w:t>row from the language</w:t>
      </w:r>
      <w:r w:rsidR="00ED1515">
        <w:rPr>
          <w:rFonts w:ascii="Arial" w:hAnsi="Arial" w:cs="Arial"/>
          <w:sz w:val="24"/>
          <w:szCs w:val="24"/>
        </w:rPr>
        <w:t xml:space="preserve"> of section 17</w:t>
      </w:r>
      <w:r w:rsidR="00FB7625">
        <w:rPr>
          <w:rFonts w:ascii="Arial" w:hAnsi="Arial" w:cs="Arial"/>
          <w:sz w:val="24"/>
          <w:szCs w:val="24"/>
        </w:rPr>
        <w:t xml:space="preserve"> (1)</w:t>
      </w:r>
      <w:r w:rsidR="00ED1515">
        <w:rPr>
          <w:rFonts w:ascii="Arial" w:hAnsi="Arial" w:cs="Arial"/>
          <w:sz w:val="24"/>
          <w:szCs w:val="24"/>
        </w:rPr>
        <w:t xml:space="preserve"> of the Superior Courts Act, the appeal would have a</w:t>
      </w:r>
      <w:r w:rsidR="007C5FDF">
        <w:rPr>
          <w:rFonts w:ascii="Arial" w:hAnsi="Arial" w:cs="Arial"/>
          <w:sz w:val="24"/>
          <w:szCs w:val="24"/>
        </w:rPr>
        <w:t xml:space="preserve"> reasonable prospect of success</w:t>
      </w:r>
      <w:r w:rsidR="00ED1515">
        <w:rPr>
          <w:rFonts w:ascii="Arial" w:hAnsi="Arial" w:cs="Arial"/>
          <w:sz w:val="24"/>
          <w:szCs w:val="24"/>
        </w:rPr>
        <w:t xml:space="preserve">.  I turn now to this </w:t>
      </w:r>
      <w:r w:rsidR="001D56E6">
        <w:rPr>
          <w:rFonts w:ascii="Arial" w:hAnsi="Arial" w:cs="Arial"/>
          <w:sz w:val="24"/>
          <w:szCs w:val="24"/>
        </w:rPr>
        <w:t xml:space="preserve">narrow </w:t>
      </w:r>
      <w:r w:rsidR="00ED1515">
        <w:rPr>
          <w:rFonts w:ascii="Arial" w:hAnsi="Arial" w:cs="Arial"/>
          <w:sz w:val="24"/>
          <w:szCs w:val="24"/>
        </w:rPr>
        <w:t>issue hereinbelow</w:t>
      </w:r>
      <w:r w:rsidR="0053471F">
        <w:rPr>
          <w:rFonts w:ascii="Arial" w:hAnsi="Arial" w:cs="Arial"/>
          <w:sz w:val="24"/>
          <w:szCs w:val="24"/>
        </w:rPr>
        <w:t>.</w:t>
      </w:r>
    </w:p>
    <w:p w:rsidR="0053471F" w:rsidRDefault="0053471F" w:rsidP="00EE2C70">
      <w:pPr>
        <w:spacing w:line="480" w:lineRule="auto"/>
        <w:jc w:val="both"/>
        <w:rPr>
          <w:rFonts w:ascii="Arial" w:hAnsi="Arial" w:cs="Arial"/>
          <w:sz w:val="24"/>
          <w:szCs w:val="24"/>
        </w:rPr>
      </w:pPr>
      <w:r>
        <w:rPr>
          <w:rFonts w:ascii="Arial" w:hAnsi="Arial" w:cs="Arial"/>
          <w:sz w:val="24"/>
          <w:szCs w:val="24"/>
        </w:rPr>
        <w:t>[</w:t>
      </w:r>
      <w:r w:rsidR="001C5F6E">
        <w:rPr>
          <w:rFonts w:ascii="Arial" w:hAnsi="Arial" w:cs="Arial"/>
          <w:sz w:val="24"/>
          <w:szCs w:val="24"/>
        </w:rPr>
        <w:t>5</w:t>
      </w:r>
      <w:bookmarkStart w:id="0" w:name="_GoBack"/>
      <w:bookmarkEnd w:id="0"/>
      <w:r>
        <w:rPr>
          <w:rFonts w:ascii="Arial" w:hAnsi="Arial" w:cs="Arial"/>
          <w:sz w:val="24"/>
          <w:szCs w:val="24"/>
        </w:rPr>
        <w:t>] The central issue in the judgment sought to be appealed was whether</w:t>
      </w:r>
      <w:r w:rsidR="007C5FDF">
        <w:rPr>
          <w:rFonts w:ascii="Arial" w:hAnsi="Arial" w:cs="Arial"/>
          <w:sz w:val="24"/>
          <w:szCs w:val="24"/>
        </w:rPr>
        <w:t xml:space="preserve">, first, </w:t>
      </w:r>
      <w:r w:rsidR="001D56E6">
        <w:rPr>
          <w:rFonts w:ascii="Arial" w:hAnsi="Arial" w:cs="Arial"/>
          <w:sz w:val="24"/>
          <w:szCs w:val="24"/>
        </w:rPr>
        <w:t xml:space="preserve">exceptional circumstances </w:t>
      </w:r>
      <w:r w:rsidR="00681B30">
        <w:rPr>
          <w:rFonts w:ascii="Arial" w:hAnsi="Arial" w:cs="Arial"/>
          <w:sz w:val="24"/>
          <w:szCs w:val="24"/>
        </w:rPr>
        <w:t xml:space="preserve">for the relief sought </w:t>
      </w:r>
      <w:r w:rsidR="001D56E6">
        <w:rPr>
          <w:rFonts w:ascii="Arial" w:hAnsi="Arial" w:cs="Arial"/>
          <w:sz w:val="24"/>
          <w:szCs w:val="24"/>
        </w:rPr>
        <w:t xml:space="preserve">as provided for in </w:t>
      </w:r>
      <w:r>
        <w:rPr>
          <w:rFonts w:ascii="Arial" w:hAnsi="Arial" w:cs="Arial"/>
          <w:sz w:val="24"/>
          <w:szCs w:val="24"/>
        </w:rPr>
        <w:t xml:space="preserve">section 18 (1) </w:t>
      </w:r>
      <w:r w:rsidR="001D56E6">
        <w:rPr>
          <w:rFonts w:ascii="Arial" w:hAnsi="Arial" w:cs="Arial"/>
          <w:sz w:val="24"/>
          <w:szCs w:val="24"/>
        </w:rPr>
        <w:t>of the Superior Courts Act</w:t>
      </w:r>
      <w:r>
        <w:rPr>
          <w:rFonts w:ascii="Arial" w:hAnsi="Arial" w:cs="Arial"/>
          <w:sz w:val="24"/>
          <w:szCs w:val="24"/>
        </w:rPr>
        <w:t xml:space="preserve"> had been</w:t>
      </w:r>
      <w:r w:rsidR="001D56E6">
        <w:rPr>
          <w:rFonts w:ascii="Arial" w:hAnsi="Arial" w:cs="Arial"/>
          <w:sz w:val="24"/>
          <w:szCs w:val="24"/>
        </w:rPr>
        <w:t xml:space="preserve"> established by the applicant</w:t>
      </w:r>
      <w:r>
        <w:rPr>
          <w:rFonts w:ascii="Arial" w:hAnsi="Arial" w:cs="Arial"/>
          <w:sz w:val="24"/>
          <w:szCs w:val="24"/>
        </w:rPr>
        <w:t>.</w:t>
      </w:r>
      <w:r w:rsidR="007D2725">
        <w:rPr>
          <w:rFonts w:ascii="Arial" w:hAnsi="Arial" w:cs="Arial"/>
          <w:sz w:val="24"/>
          <w:szCs w:val="24"/>
        </w:rPr>
        <w:t xml:space="preserve">  </w:t>
      </w:r>
      <w:r w:rsidR="003F766F">
        <w:rPr>
          <w:rFonts w:ascii="Arial" w:hAnsi="Arial" w:cs="Arial"/>
          <w:sz w:val="24"/>
          <w:szCs w:val="24"/>
        </w:rPr>
        <w:t>When the matter was heard</w:t>
      </w:r>
      <w:r w:rsidR="007D2725">
        <w:rPr>
          <w:rFonts w:ascii="Arial" w:hAnsi="Arial" w:cs="Arial"/>
          <w:sz w:val="24"/>
          <w:szCs w:val="24"/>
        </w:rPr>
        <w:t xml:space="preserve"> </w:t>
      </w:r>
      <w:r w:rsidR="00F05D9D">
        <w:rPr>
          <w:rFonts w:ascii="Arial" w:hAnsi="Arial" w:cs="Arial"/>
          <w:sz w:val="24"/>
          <w:szCs w:val="24"/>
        </w:rPr>
        <w:t>the respondents’</w:t>
      </w:r>
      <w:r w:rsidR="007D2725">
        <w:rPr>
          <w:rFonts w:ascii="Arial" w:hAnsi="Arial" w:cs="Arial"/>
          <w:sz w:val="24"/>
          <w:szCs w:val="24"/>
        </w:rPr>
        <w:t xml:space="preserve"> application for leave to appeal </w:t>
      </w:r>
      <w:r w:rsidR="00681B30">
        <w:rPr>
          <w:rFonts w:ascii="Arial" w:hAnsi="Arial" w:cs="Arial"/>
          <w:sz w:val="24"/>
          <w:szCs w:val="24"/>
        </w:rPr>
        <w:t xml:space="preserve">against the main judgment </w:t>
      </w:r>
      <w:r w:rsidR="007D2725">
        <w:rPr>
          <w:rFonts w:ascii="Arial" w:hAnsi="Arial" w:cs="Arial"/>
          <w:sz w:val="24"/>
          <w:szCs w:val="24"/>
        </w:rPr>
        <w:t>had been dismissed</w:t>
      </w:r>
      <w:r w:rsidR="00FB7625">
        <w:rPr>
          <w:rFonts w:ascii="Arial" w:hAnsi="Arial" w:cs="Arial"/>
          <w:sz w:val="24"/>
          <w:szCs w:val="24"/>
        </w:rPr>
        <w:t>.  T</w:t>
      </w:r>
      <w:r w:rsidR="007D2725">
        <w:rPr>
          <w:rFonts w:ascii="Arial" w:hAnsi="Arial" w:cs="Arial"/>
          <w:sz w:val="24"/>
          <w:szCs w:val="24"/>
        </w:rPr>
        <w:t xml:space="preserve">hey had then applied to the Supreme Court of Appeal for special leave to appeal the main judgment.  The Supreme Court of </w:t>
      </w:r>
      <w:r w:rsidR="007C5FDF">
        <w:rPr>
          <w:rFonts w:ascii="Arial" w:hAnsi="Arial" w:cs="Arial"/>
          <w:sz w:val="24"/>
          <w:szCs w:val="24"/>
        </w:rPr>
        <w:t>A</w:t>
      </w:r>
      <w:r w:rsidR="007D2725">
        <w:rPr>
          <w:rFonts w:ascii="Arial" w:hAnsi="Arial" w:cs="Arial"/>
          <w:sz w:val="24"/>
          <w:szCs w:val="24"/>
        </w:rPr>
        <w:t>ppeal had not yet pronounced on the application</w:t>
      </w:r>
      <w:r w:rsidR="007C5FDF">
        <w:rPr>
          <w:rFonts w:ascii="Arial" w:hAnsi="Arial" w:cs="Arial"/>
          <w:sz w:val="24"/>
          <w:szCs w:val="24"/>
        </w:rPr>
        <w:t>s</w:t>
      </w:r>
      <w:r w:rsidR="007D2725">
        <w:rPr>
          <w:rFonts w:ascii="Arial" w:hAnsi="Arial" w:cs="Arial"/>
          <w:sz w:val="24"/>
          <w:szCs w:val="24"/>
        </w:rPr>
        <w:t xml:space="preserve"> for </w:t>
      </w:r>
      <w:r w:rsidR="00681B30">
        <w:rPr>
          <w:rFonts w:ascii="Arial" w:hAnsi="Arial" w:cs="Arial"/>
          <w:sz w:val="24"/>
          <w:szCs w:val="24"/>
        </w:rPr>
        <w:t xml:space="preserve">the </w:t>
      </w:r>
      <w:r w:rsidR="007D2725">
        <w:rPr>
          <w:rFonts w:ascii="Arial" w:hAnsi="Arial" w:cs="Arial"/>
          <w:sz w:val="24"/>
          <w:szCs w:val="24"/>
        </w:rPr>
        <w:t>special leave to appeal.</w:t>
      </w:r>
    </w:p>
    <w:p w:rsidR="007D2725" w:rsidRDefault="007D2725" w:rsidP="00EE2C70">
      <w:pPr>
        <w:spacing w:line="480" w:lineRule="auto"/>
        <w:jc w:val="both"/>
        <w:rPr>
          <w:rFonts w:ascii="Arial" w:hAnsi="Arial" w:cs="Arial"/>
          <w:sz w:val="24"/>
          <w:szCs w:val="24"/>
        </w:rPr>
      </w:pPr>
      <w:r>
        <w:rPr>
          <w:rFonts w:ascii="Arial" w:hAnsi="Arial" w:cs="Arial"/>
          <w:sz w:val="24"/>
          <w:szCs w:val="24"/>
        </w:rPr>
        <w:t>[</w:t>
      </w:r>
      <w:r w:rsidR="001C5F6E">
        <w:rPr>
          <w:rFonts w:ascii="Arial" w:hAnsi="Arial" w:cs="Arial"/>
          <w:sz w:val="24"/>
          <w:szCs w:val="24"/>
        </w:rPr>
        <w:t>6</w:t>
      </w:r>
      <w:r>
        <w:rPr>
          <w:rFonts w:ascii="Arial" w:hAnsi="Arial" w:cs="Arial"/>
          <w:sz w:val="24"/>
          <w:szCs w:val="24"/>
        </w:rPr>
        <w:t>] It appears that when the applicant’s heads of argument</w:t>
      </w:r>
      <w:r w:rsidR="00FE42B9">
        <w:rPr>
          <w:rFonts w:ascii="Arial" w:hAnsi="Arial" w:cs="Arial"/>
          <w:sz w:val="24"/>
          <w:szCs w:val="24"/>
        </w:rPr>
        <w:t xml:space="preserve"> </w:t>
      </w:r>
      <w:r>
        <w:rPr>
          <w:rFonts w:ascii="Arial" w:hAnsi="Arial" w:cs="Arial"/>
          <w:sz w:val="24"/>
          <w:szCs w:val="24"/>
        </w:rPr>
        <w:t>were d</w:t>
      </w:r>
      <w:r w:rsidR="00FB7625">
        <w:rPr>
          <w:rFonts w:ascii="Arial" w:hAnsi="Arial" w:cs="Arial"/>
          <w:sz w:val="24"/>
          <w:szCs w:val="24"/>
        </w:rPr>
        <w:t>ra</w:t>
      </w:r>
      <w:r>
        <w:rPr>
          <w:rFonts w:ascii="Arial" w:hAnsi="Arial" w:cs="Arial"/>
          <w:sz w:val="24"/>
          <w:szCs w:val="24"/>
        </w:rPr>
        <w:t>w</w:t>
      </w:r>
      <w:r w:rsidR="00FB7625">
        <w:rPr>
          <w:rFonts w:ascii="Arial" w:hAnsi="Arial" w:cs="Arial"/>
          <w:sz w:val="24"/>
          <w:szCs w:val="24"/>
        </w:rPr>
        <w:t>n</w:t>
      </w:r>
      <w:r>
        <w:rPr>
          <w:rFonts w:ascii="Arial" w:hAnsi="Arial" w:cs="Arial"/>
          <w:sz w:val="24"/>
          <w:szCs w:val="24"/>
        </w:rPr>
        <w:t xml:space="preserve"> by </w:t>
      </w:r>
      <w:r w:rsidR="00FE42B9">
        <w:rPr>
          <w:rFonts w:ascii="Arial" w:hAnsi="Arial" w:cs="Arial"/>
          <w:sz w:val="24"/>
          <w:szCs w:val="24"/>
        </w:rPr>
        <w:t>applicant’s counsel on 10 March 2023</w:t>
      </w:r>
      <w:r w:rsidR="00F05D9D">
        <w:rPr>
          <w:rFonts w:ascii="Arial" w:hAnsi="Arial" w:cs="Arial"/>
          <w:sz w:val="24"/>
          <w:szCs w:val="24"/>
        </w:rPr>
        <w:t>,</w:t>
      </w:r>
      <w:r w:rsidR="00FE42B9">
        <w:rPr>
          <w:rFonts w:ascii="Arial" w:hAnsi="Arial" w:cs="Arial"/>
          <w:sz w:val="24"/>
          <w:szCs w:val="24"/>
        </w:rPr>
        <w:t xml:space="preserve"> it had not yet been brought to her attention that the Supreme Court of </w:t>
      </w:r>
      <w:r w:rsidR="00F05D9D">
        <w:rPr>
          <w:rFonts w:ascii="Arial" w:hAnsi="Arial" w:cs="Arial"/>
          <w:sz w:val="24"/>
          <w:szCs w:val="24"/>
        </w:rPr>
        <w:t>A</w:t>
      </w:r>
      <w:r w:rsidR="00FE42B9">
        <w:rPr>
          <w:rFonts w:ascii="Arial" w:hAnsi="Arial" w:cs="Arial"/>
          <w:sz w:val="24"/>
          <w:szCs w:val="24"/>
        </w:rPr>
        <w:t>ppeal had</w:t>
      </w:r>
      <w:r w:rsidR="00FB7625">
        <w:rPr>
          <w:rFonts w:ascii="Arial" w:hAnsi="Arial" w:cs="Arial"/>
          <w:sz w:val="24"/>
          <w:szCs w:val="24"/>
        </w:rPr>
        <w:t>,</w:t>
      </w:r>
      <w:r w:rsidR="00FE42B9">
        <w:rPr>
          <w:rFonts w:ascii="Arial" w:hAnsi="Arial" w:cs="Arial"/>
          <w:sz w:val="24"/>
          <w:szCs w:val="24"/>
        </w:rPr>
        <w:t xml:space="preserve"> </w:t>
      </w:r>
      <w:r w:rsidR="00FB7625">
        <w:rPr>
          <w:rFonts w:ascii="Arial" w:hAnsi="Arial" w:cs="Arial"/>
          <w:sz w:val="24"/>
          <w:szCs w:val="24"/>
        </w:rPr>
        <w:t>on 9 December 2022, granted</w:t>
      </w:r>
      <w:r w:rsidR="00FE42B9">
        <w:rPr>
          <w:rFonts w:ascii="Arial" w:hAnsi="Arial" w:cs="Arial"/>
          <w:sz w:val="24"/>
          <w:szCs w:val="24"/>
        </w:rPr>
        <w:t xml:space="preserve"> all the respondents leave to appeal to the full court of this </w:t>
      </w:r>
      <w:r w:rsidR="00FB7625">
        <w:rPr>
          <w:rFonts w:ascii="Arial" w:hAnsi="Arial" w:cs="Arial"/>
          <w:sz w:val="24"/>
          <w:szCs w:val="24"/>
        </w:rPr>
        <w:t>D</w:t>
      </w:r>
      <w:r w:rsidR="00FE42B9">
        <w:rPr>
          <w:rFonts w:ascii="Arial" w:hAnsi="Arial" w:cs="Arial"/>
          <w:sz w:val="24"/>
          <w:szCs w:val="24"/>
        </w:rPr>
        <w:t>ivision.  In fact</w:t>
      </w:r>
      <w:r w:rsidR="00FB7625">
        <w:rPr>
          <w:rFonts w:ascii="Arial" w:hAnsi="Arial" w:cs="Arial"/>
          <w:sz w:val="24"/>
          <w:szCs w:val="24"/>
        </w:rPr>
        <w:t>,</w:t>
      </w:r>
      <w:r w:rsidR="00FE42B9">
        <w:rPr>
          <w:rFonts w:ascii="Arial" w:hAnsi="Arial" w:cs="Arial"/>
          <w:sz w:val="24"/>
          <w:szCs w:val="24"/>
        </w:rPr>
        <w:t xml:space="preserve"> the heads </w:t>
      </w:r>
      <w:r w:rsidR="00270E15">
        <w:rPr>
          <w:rFonts w:ascii="Arial" w:hAnsi="Arial" w:cs="Arial"/>
          <w:sz w:val="24"/>
          <w:szCs w:val="24"/>
        </w:rPr>
        <w:t xml:space="preserve">of argument </w:t>
      </w:r>
      <w:r w:rsidR="00FE42B9">
        <w:rPr>
          <w:rFonts w:ascii="Arial" w:hAnsi="Arial" w:cs="Arial"/>
          <w:sz w:val="24"/>
          <w:szCs w:val="24"/>
        </w:rPr>
        <w:t xml:space="preserve">were filed on the 14 March 2023 </w:t>
      </w:r>
      <w:r w:rsidR="00FB7625">
        <w:rPr>
          <w:rFonts w:ascii="Arial" w:hAnsi="Arial" w:cs="Arial"/>
          <w:sz w:val="24"/>
          <w:szCs w:val="24"/>
        </w:rPr>
        <w:t xml:space="preserve">apparently </w:t>
      </w:r>
      <w:r w:rsidR="00FE42B9">
        <w:rPr>
          <w:rFonts w:ascii="Arial" w:hAnsi="Arial" w:cs="Arial"/>
          <w:sz w:val="24"/>
          <w:szCs w:val="24"/>
        </w:rPr>
        <w:t xml:space="preserve">still under </w:t>
      </w:r>
      <w:r w:rsidR="00FB7625">
        <w:rPr>
          <w:rFonts w:ascii="Arial" w:hAnsi="Arial" w:cs="Arial"/>
          <w:sz w:val="24"/>
          <w:szCs w:val="24"/>
        </w:rPr>
        <w:t>the mistaken impression that the decision of the Supreme Court of Appeal was still pending</w:t>
      </w:r>
      <w:r w:rsidR="00FE42B9">
        <w:rPr>
          <w:rFonts w:ascii="Arial" w:hAnsi="Arial" w:cs="Arial"/>
          <w:sz w:val="24"/>
          <w:szCs w:val="24"/>
        </w:rPr>
        <w:t>.  As a result</w:t>
      </w:r>
      <w:r w:rsidR="00FB7625">
        <w:rPr>
          <w:rFonts w:ascii="Arial" w:hAnsi="Arial" w:cs="Arial"/>
          <w:sz w:val="24"/>
          <w:szCs w:val="24"/>
        </w:rPr>
        <w:t>,</w:t>
      </w:r>
      <w:r w:rsidR="00FE42B9">
        <w:rPr>
          <w:rFonts w:ascii="Arial" w:hAnsi="Arial" w:cs="Arial"/>
          <w:sz w:val="24"/>
          <w:szCs w:val="24"/>
        </w:rPr>
        <w:t xml:space="preserve"> at paragraphs 25 and 26 of the applicant’s heads of argument</w:t>
      </w:r>
      <w:r w:rsidR="007C5FDF">
        <w:rPr>
          <w:rFonts w:ascii="Arial" w:hAnsi="Arial" w:cs="Arial"/>
          <w:sz w:val="24"/>
          <w:szCs w:val="24"/>
        </w:rPr>
        <w:t>,</w:t>
      </w:r>
      <w:r w:rsidR="00FE42B9">
        <w:rPr>
          <w:rFonts w:ascii="Arial" w:hAnsi="Arial" w:cs="Arial"/>
          <w:sz w:val="24"/>
          <w:szCs w:val="24"/>
        </w:rPr>
        <w:t xml:space="preserve"> the following submission is made.</w:t>
      </w:r>
    </w:p>
    <w:p w:rsidR="00742860" w:rsidRPr="00374954" w:rsidRDefault="00742860" w:rsidP="00374954">
      <w:pPr>
        <w:spacing w:line="360" w:lineRule="auto"/>
        <w:ind w:left="1146" w:hanging="426"/>
        <w:jc w:val="both"/>
        <w:rPr>
          <w:rFonts w:ascii="Arial" w:hAnsi="Arial" w:cs="Arial"/>
        </w:rPr>
      </w:pPr>
      <w:r w:rsidRPr="00374954">
        <w:rPr>
          <w:rFonts w:ascii="Arial" w:hAnsi="Arial" w:cs="Arial"/>
        </w:rPr>
        <w:lastRenderedPageBreak/>
        <w:t xml:space="preserve">“25. A Full Court of the Pretoria High Court has articulated the position as follows </w:t>
      </w:r>
      <w:r w:rsidR="00F05D9D">
        <w:rPr>
          <w:rFonts w:ascii="Arial" w:hAnsi="Arial" w:cs="Arial"/>
        </w:rPr>
        <w:t>[</w:t>
      </w:r>
      <w:r w:rsidRPr="00374954">
        <w:rPr>
          <w:rFonts w:ascii="Arial" w:hAnsi="Arial" w:cs="Arial"/>
        </w:rPr>
        <w:t xml:space="preserve">in </w:t>
      </w:r>
      <w:r w:rsidRPr="00F05D9D">
        <w:rPr>
          <w:rFonts w:ascii="Arial" w:hAnsi="Arial" w:cs="Arial"/>
          <w:i/>
        </w:rPr>
        <w:t xml:space="preserve">Liviero Wilge Joint </w:t>
      </w:r>
      <w:r w:rsidR="00F05D9D" w:rsidRPr="00F05D9D">
        <w:rPr>
          <w:rFonts w:ascii="Arial" w:hAnsi="Arial" w:cs="Arial"/>
          <w:i/>
        </w:rPr>
        <w:t>V</w:t>
      </w:r>
      <w:r w:rsidRPr="00F05D9D">
        <w:rPr>
          <w:rFonts w:ascii="Arial" w:hAnsi="Arial" w:cs="Arial"/>
          <w:i/>
        </w:rPr>
        <w:t>e</w:t>
      </w:r>
      <w:r w:rsidR="00F05D9D" w:rsidRPr="00F05D9D">
        <w:rPr>
          <w:rFonts w:ascii="Arial" w:hAnsi="Arial" w:cs="Arial"/>
          <w:i/>
        </w:rPr>
        <w:t>n</w:t>
      </w:r>
      <w:r w:rsidRPr="00F05D9D">
        <w:rPr>
          <w:rFonts w:ascii="Arial" w:hAnsi="Arial" w:cs="Arial"/>
          <w:i/>
        </w:rPr>
        <w:t xml:space="preserve">ture and Another </w:t>
      </w:r>
      <w:r w:rsidR="00F05D9D" w:rsidRPr="00F05D9D">
        <w:rPr>
          <w:rFonts w:ascii="Arial" w:hAnsi="Arial" w:cs="Arial"/>
          <w:i/>
        </w:rPr>
        <w:t>v</w:t>
      </w:r>
      <w:r w:rsidRPr="00F05D9D">
        <w:rPr>
          <w:rFonts w:ascii="Arial" w:hAnsi="Arial" w:cs="Arial"/>
          <w:i/>
        </w:rPr>
        <w:t xml:space="preserve"> Eskom Holdings SOC Ltd</w:t>
      </w:r>
      <w:r w:rsidR="008C2251">
        <w:rPr>
          <w:rFonts w:ascii="Arial" w:hAnsi="Arial" w:cs="Arial"/>
        </w:rPr>
        <w:t xml:space="preserve"> [2014] ZAGPPJHC 150 para 30]</w:t>
      </w:r>
      <w:r w:rsidRPr="00374954">
        <w:rPr>
          <w:rFonts w:ascii="Arial" w:hAnsi="Arial" w:cs="Arial"/>
        </w:rPr>
        <w:t>:</w:t>
      </w:r>
    </w:p>
    <w:p w:rsidR="00742860" w:rsidRPr="00F05D9D" w:rsidRDefault="00586018" w:rsidP="00374954">
      <w:pPr>
        <w:spacing w:line="360" w:lineRule="auto"/>
        <w:ind w:left="1440"/>
        <w:jc w:val="both"/>
        <w:rPr>
          <w:rFonts w:ascii="Arial" w:hAnsi="Arial" w:cs="Arial"/>
          <w:sz w:val="20"/>
          <w:szCs w:val="20"/>
        </w:rPr>
      </w:pPr>
      <w:r w:rsidRPr="00F05D9D">
        <w:rPr>
          <w:rFonts w:ascii="Arial" w:hAnsi="Arial" w:cs="Arial"/>
          <w:sz w:val="20"/>
          <w:szCs w:val="20"/>
        </w:rPr>
        <w:t>‘</w:t>
      </w:r>
      <w:r w:rsidR="00742860" w:rsidRPr="00F05D9D">
        <w:rPr>
          <w:rFonts w:ascii="Arial" w:hAnsi="Arial" w:cs="Arial"/>
          <w:sz w:val="20"/>
          <w:szCs w:val="20"/>
        </w:rPr>
        <w:t>The less sanguine a court seized of an application in terms of s18 (3) is about the prospects of success of the judgment at first instance being upheld on appeal, the less inclined it will be to grant the exceptional remedy of execution of that judgment pending the appeal.  The same quite obviously applies in respect of a court dealing with an appeal against an order granted in terms of s18 (3).</w:t>
      </w:r>
      <w:r w:rsidRPr="00F05D9D">
        <w:rPr>
          <w:rFonts w:ascii="Arial" w:hAnsi="Arial" w:cs="Arial"/>
          <w:sz w:val="20"/>
          <w:szCs w:val="20"/>
        </w:rPr>
        <w:t>’</w:t>
      </w:r>
    </w:p>
    <w:p w:rsidR="00742860" w:rsidRPr="00374954" w:rsidRDefault="00742860" w:rsidP="00374954">
      <w:pPr>
        <w:spacing w:line="360" w:lineRule="auto"/>
        <w:ind w:left="1004" w:hanging="284"/>
        <w:jc w:val="both"/>
        <w:rPr>
          <w:rFonts w:ascii="Arial" w:hAnsi="Arial" w:cs="Arial"/>
        </w:rPr>
      </w:pPr>
      <w:r w:rsidRPr="00374954">
        <w:rPr>
          <w:rFonts w:ascii="Arial" w:hAnsi="Arial" w:cs="Arial"/>
        </w:rPr>
        <w:t>26. It is submitted that the circumstances of this case demonstrate weak prospects of success.  In</w:t>
      </w:r>
      <w:r w:rsidR="005178BA" w:rsidRPr="00374954">
        <w:rPr>
          <w:rFonts w:ascii="Arial" w:hAnsi="Arial" w:cs="Arial"/>
        </w:rPr>
        <w:t xml:space="preserve">deed, this Court refused leave to appeal, with the result that the respondent approached the Supreme Court of Appeal for special leave to appeal.  The outcome of those applications is still awaited; as such, no court has </w:t>
      </w:r>
      <w:r w:rsidR="00901486" w:rsidRPr="00374954">
        <w:rPr>
          <w:rFonts w:ascii="Arial" w:hAnsi="Arial" w:cs="Arial"/>
        </w:rPr>
        <w:t>found reasonable prospects that another court would come to a different conclusion on appeal.  It is submitted that no such prospects can be demonstrated.”</w:t>
      </w:r>
    </w:p>
    <w:p w:rsidR="00901486" w:rsidRDefault="00901486" w:rsidP="00742860">
      <w:pPr>
        <w:spacing w:line="480" w:lineRule="auto"/>
        <w:jc w:val="both"/>
        <w:rPr>
          <w:rFonts w:ascii="Arial" w:hAnsi="Arial" w:cs="Arial"/>
          <w:sz w:val="24"/>
          <w:szCs w:val="24"/>
        </w:rPr>
      </w:pPr>
      <w:r>
        <w:rPr>
          <w:rFonts w:ascii="Arial" w:hAnsi="Arial" w:cs="Arial"/>
          <w:sz w:val="24"/>
          <w:szCs w:val="24"/>
        </w:rPr>
        <w:t>[</w:t>
      </w:r>
      <w:r w:rsidR="001C5F6E">
        <w:rPr>
          <w:rFonts w:ascii="Arial" w:hAnsi="Arial" w:cs="Arial"/>
          <w:sz w:val="24"/>
          <w:szCs w:val="24"/>
        </w:rPr>
        <w:t>7</w:t>
      </w:r>
      <w:r>
        <w:rPr>
          <w:rFonts w:ascii="Arial" w:hAnsi="Arial" w:cs="Arial"/>
          <w:sz w:val="24"/>
          <w:szCs w:val="24"/>
        </w:rPr>
        <w:t xml:space="preserve">] Counsel for the </w:t>
      </w:r>
      <w:r w:rsidR="003F766F">
        <w:rPr>
          <w:rFonts w:ascii="Arial" w:hAnsi="Arial" w:cs="Arial"/>
          <w:sz w:val="24"/>
          <w:szCs w:val="24"/>
        </w:rPr>
        <w:t xml:space="preserve">municipal </w:t>
      </w:r>
      <w:r>
        <w:rPr>
          <w:rFonts w:ascii="Arial" w:hAnsi="Arial" w:cs="Arial"/>
          <w:sz w:val="24"/>
          <w:szCs w:val="24"/>
        </w:rPr>
        <w:t xml:space="preserve">respondents brought to the attention of the court that in fact the Supreme Court of Appeal has since granted all the respondents leave to appeal to the </w:t>
      </w:r>
      <w:r w:rsidR="00F05D9D">
        <w:rPr>
          <w:rFonts w:ascii="Arial" w:hAnsi="Arial" w:cs="Arial"/>
          <w:sz w:val="24"/>
          <w:szCs w:val="24"/>
        </w:rPr>
        <w:t xml:space="preserve">full court </w:t>
      </w:r>
      <w:r>
        <w:rPr>
          <w:rFonts w:ascii="Arial" w:hAnsi="Arial" w:cs="Arial"/>
          <w:sz w:val="24"/>
          <w:szCs w:val="24"/>
        </w:rPr>
        <w:t xml:space="preserve">of this Division.  The </w:t>
      </w:r>
      <w:r w:rsidR="00F05D9D">
        <w:rPr>
          <w:rFonts w:ascii="Arial" w:hAnsi="Arial" w:cs="Arial"/>
          <w:sz w:val="24"/>
          <w:szCs w:val="24"/>
        </w:rPr>
        <w:t>c</w:t>
      </w:r>
      <w:r>
        <w:rPr>
          <w:rFonts w:ascii="Arial" w:hAnsi="Arial" w:cs="Arial"/>
          <w:sz w:val="24"/>
          <w:szCs w:val="24"/>
        </w:rPr>
        <w:t xml:space="preserve">ourt order </w:t>
      </w:r>
      <w:r w:rsidR="00F05D9D">
        <w:rPr>
          <w:rFonts w:ascii="Arial" w:hAnsi="Arial" w:cs="Arial"/>
          <w:sz w:val="24"/>
          <w:szCs w:val="24"/>
        </w:rPr>
        <w:t>of</w:t>
      </w:r>
      <w:r>
        <w:rPr>
          <w:rFonts w:ascii="Arial" w:hAnsi="Arial" w:cs="Arial"/>
          <w:sz w:val="24"/>
          <w:szCs w:val="24"/>
        </w:rPr>
        <w:t xml:space="preserve"> the Supreme Court of Appeal is dated 9 December 2022</w:t>
      </w:r>
      <w:r w:rsidR="007C5FDF">
        <w:rPr>
          <w:rFonts w:ascii="Arial" w:hAnsi="Arial" w:cs="Arial"/>
          <w:sz w:val="24"/>
          <w:szCs w:val="24"/>
        </w:rPr>
        <w:t xml:space="preserve"> as I said before</w:t>
      </w:r>
      <w:r>
        <w:rPr>
          <w:rFonts w:ascii="Arial" w:hAnsi="Arial" w:cs="Arial"/>
          <w:sz w:val="24"/>
          <w:szCs w:val="24"/>
        </w:rPr>
        <w:t>.  It is not clear how this significant development was missed by the applicant</w:t>
      </w:r>
      <w:r w:rsidR="00270E15">
        <w:rPr>
          <w:rFonts w:ascii="Arial" w:hAnsi="Arial" w:cs="Arial"/>
          <w:sz w:val="24"/>
          <w:szCs w:val="24"/>
        </w:rPr>
        <w:t>’s attorneys</w:t>
      </w:r>
      <w:r>
        <w:rPr>
          <w:rFonts w:ascii="Arial" w:hAnsi="Arial" w:cs="Arial"/>
          <w:sz w:val="24"/>
          <w:szCs w:val="24"/>
        </w:rPr>
        <w:t xml:space="preserve"> with the result that they failed to bring it to the attention of applicant’s counsel.  </w:t>
      </w:r>
      <w:r w:rsidR="003F766F">
        <w:rPr>
          <w:rFonts w:ascii="Arial" w:hAnsi="Arial" w:cs="Arial"/>
          <w:sz w:val="24"/>
          <w:szCs w:val="24"/>
        </w:rPr>
        <w:t>After all</w:t>
      </w:r>
      <w:r w:rsidR="00270E15">
        <w:rPr>
          <w:rFonts w:ascii="Arial" w:hAnsi="Arial" w:cs="Arial"/>
          <w:sz w:val="24"/>
          <w:szCs w:val="24"/>
        </w:rPr>
        <w:t>,</w:t>
      </w:r>
      <w:r w:rsidR="003F766F">
        <w:rPr>
          <w:rFonts w:ascii="Arial" w:hAnsi="Arial" w:cs="Arial"/>
          <w:sz w:val="24"/>
          <w:szCs w:val="24"/>
        </w:rPr>
        <w:t xml:space="preserve"> these are the same attorneys who have been acting for the applicant from inception.  They </w:t>
      </w:r>
      <w:r w:rsidR="00270E15">
        <w:rPr>
          <w:rFonts w:ascii="Arial" w:hAnsi="Arial" w:cs="Arial"/>
          <w:sz w:val="24"/>
          <w:szCs w:val="24"/>
        </w:rPr>
        <w:t>would also have been</w:t>
      </w:r>
      <w:r w:rsidR="003F766F">
        <w:rPr>
          <w:rFonts w:ascii="Arial" w:hAnsi="Arial" w:cs="Arial"/>
          <w:sz w:val="24"/>
          <w:szCs w:val="24"/>
        </w:rPr>
        <w:t xml:space="preserve"> involved </w:t>
      </w:r>
      <w:r w:rsidR="00CB50B1">
        <w:rPr>
          <w:rFonts w:ascii="Arial" w:hAnsi="Arial" w:cs="Arial"/>
          <w:sz w:val="24"/>
          <w:szCs w:val="24"/>
        </w:rPr>
        <w:t xml:space="preserve">and interested </w:t>
      </w:r>
      <w:r w:rsidR="003F766F">
        <w:rPr>
          <w:rFonts w:ascii="Arial" w:hAnsi="Arial" w:cs="Arial"/>
          <w:sz w:val="24"/>
          <w:szCs w:val="24"/>
        </w:rPr>
        <w:t xml:space="preserve">in the application for </w:t>
      </w:r>
      <w:r w:rsidR="00270E15">
        <w:rPr>
          <w:rFonts w:ascii="Arial" w:hAnsi="Arial" w:cs="Arial"/>
          <w:sz w:val="24"/>
          <w:szCs w:val="24"/>
        </w:rPr>
        <w:t xml:space="preserve">special </w:t>
      </w:r>
      <w:r w:rsidR="003F766F">
        <w:rPr>
          <w:rFonts w:ascii="Arial" w:hAnsi="Arial" w:cs="Arial"/>
          <w:sz w:val="24"/>
          <w:szCs w:val="24"/>
        </w:rPr>
        <w:t xml:space="preserve">leave to appeal to the Supreme Court of Appeal as they are still acting for the applicant even now.  </w:t>
      </w:r>
      <w:r>
        <w:rPr>
          <w:rFonts w:ascii="Arial" w:hAnsi="Arial" w:cs="Arial"/>
          <w:sz w:val="24"/>
          <w:szCs w:val="24"/>
        </w:rPr>
        <w:t xml:space="preserve">The granting of the </w:t>
      </w:r>
      <w:r w:rsidR="003F766F">
        <w:rPr>
          <w:rFonts w:ascii="Arial" w:hAnsi="Arial" w:cs="Arial"/>
          <w:sz w:val="24"/>
          <w:szCs w:val="24"/>
        </w:rPr>
        <w:t xml:space="preserve">special </w:t>
      </w:r>
      <w:r>
        <w:rPr>
          <w:rFonts w:ascii="Arial" w:hAnsi="Arial" w:cs="Arial"/>
          <w:sz w:val="24"/>
          <w:szCs w:val="24"/>
        </w:rPr>
        <w:t xml:space="preserve">leave to appeal is significant for two </w:t>
      </w:r>
      <w:r w:rsidR="00270E15">
        <w:rPr>
          <w:rFonts w:ascii="Arial" w:hAnsi="Arial" w:cs="Arial"/>
          <w:sz w:val="24"/>
          <w:szCs w:val="24"/>
        </w:rPr>
        <w:t xml:space="preserve">main </w:t>
      </w:r>
      <w:r>
        <w:rPr>
          <w:rFonts w:ascii="Arial" w:hAnsi="Arial" w:cs="Arial"/>
          <w:sz w:val="24"/>
          <w:szCs w:val="24"/>
        </w:rPr>
        <w:t>reasons.  First</w:t>
      </w:r>
      <w:r w:rsidR="00F05D9D">
        <w:rPr>
          <w:rFonts w:ascii="Arial" w:hAnsi="Arial" w:cs="Arial"/>
          <w:sz w:val="24"/>
          <w:szCs w:val="24"/>
        </w:rPr>
        <w:t>,</w:t>
      </w:r>
      <w:r w:rsidR="007C5FDF">
        <w:rPr>
          <w:rFonts w:ascii="Arial" w:hAnsi="Arial" w:cs="Arial"/>
          <w:sz w:val="24"/>
          <w:szCs w:val="24"/>
        </w:rPr>
        <w:t xml:space="preserve"> it means that the respondent</w:t>
      </w:r>
      <w:r>
        <w:rPr>
          <w:rFonts w:ascii="Arial" w:hAnsi="Arial" w:cs="Arial"/>
          <w:sz w:val="24"/>
          <w:szCs w:val="24"/>
        </w:rPr>
        <w:t>s</w:t>
      </w:r>
      <w:r w:rsidR="007C5FDF">
        <w:rPr>
          <w:rFonts w:ascii="Arial" w:hAnsi="Arial" w:cs="Arial"/>
          <w:sz w:val="24"/>
          <w:szCs w:val="24"/>
        </w:rPr>
        <w:t>’</w:t>
      </w:r>
      <w:r>
        <w:rPr>
          <w:rFonts w:ascii="Arial" w:hAnsi="Arial" w:cs="Arial"/>
          <w:sz w:val="24"/>
          <w:szCs w:val="24"/>
        </w:rPr>
        <w:t xml:space="preserve"> efforts to seek leave to appeal were not in pursuit of a vexatio</w:t>
      </w:r>
      <w:r w:rsidR="008E4A3A">
        <w:rPr>
          <w:rFonts w:ascii="Arial" w:hAnsi="Arial" w:cs="Arial"/>
          <w:sz w:val="24"/>
          <w:szCs w:val="24"/>
        </w:rPr>
        <w:t>us appeal</w:t>
      </w:r>
      <w:r w:rsidR="007C5FDF">
        <w:rPr>
          <w:rFonts w:ascii="Arial" w:hAnsi="Arial" w:cs="Arial"/>
          <w:sz w:val="24"/>
          <w:szCs w:val="24"/>
        </w:rPr>
        <w:t>,</w:t>
      </w:r>
      <w:r w:rsidR="008E4A3A">
        <w:rPr>
          <w:rFonts w:ascii="Arial" w:hAnsi="Arial" w:cs="Arial"/>
          <w:sz w:val="24"/>
          <w:szCs w:val="24"/>
        </w:rPr>
        <w:t xml:space="preserve"> </w:t>
      </w:r>
      <w:r w:rsidR="00586018">
        <w:rPr>
          <w:rFonts w:ascii="Arial" w:hAnsi="Arial" w:cs="Arial"/>
          <w:sz w:val="24"/>
          <w:szCs w:val="24"/>
        </w:rPr>
        <w:t xml:space="preserve">or </w:t>
      </w:r>
      <w:r w:rsidR="007C5FDF">
        <w:rPr>
          <w:rFonts w:ascii="Arial" w:hAnsi="Arial" w:cs="Arial"/>
          <w:sz w:val="24"/>
          <w:szCs w:val="24"/>
        </w:rPr>
        <w:t xml:space="preserve">even </w:t>
      </w:r>
      <w:r w:rsidR="00270E15">
        <w:rPr>
          <w:rFonts w:ascii="Arial" w:hAnsi="Arial" w:cs="Arial"/>
          <w:sz w:val="24"/>
          <w:szCs w:val="24"/>
        </w:rPr>
        <w:t>an entiely</w:t>
      </w:r>
      <w:r w:rsidR="00586018">
        <w:rPr>
          <w:rFonts w:ascii="Arial" w:hAnsi="Arial" w:cs="Arial"/>
          <w:sz w:val="24"/>
          <w:szCs w:val="24"/>
        </w:rPr>
        <w:t xml:space="preserve"> meritless one</w:t>
      </w:r>
      <w:r w:rsidR="00F05D9D">
        <w:rPr>
          <w:rFonts w:ascii="Arial" w:hAnsi="Arial" w:cs="Arial"/>
          <w:sz w:val="24"/>
          <w:szCs w:val="24"/>
        </w:rPr>
        <w:t>,</w:t>
      </w:r>
      <w:r w:rsidR="00586018">
        <w:rPr>
          <w:rFonts w:ascii="Arial" w:hAnsi="Arial" w:cs="Arial"/>
          <w:sz w:val="24"/>
          <w:szCs w:val="24"/>
        </w:rPr>
        <w:t xml:space="preserve"> </w:t>
      </w:r>
      <w:r w:rsidR="008E4A3A">
        <w:rPr>
          <w:rFonts w:ascii="Arial" w:hAnsi="Arial" w:cs="Arial"/>
          <w:sz w:val="24"/>
          <w:szCs w:val="24"/>
        </w:rPr>
        <w:t xml:space="preserve">designed </w:t>
      </w:r>
      <w:r w:rsidR="00586018">
        <w:rPr>
          <w:rFonts w:ascii="Arial" w:hAnsi="Arial" w:cs="Arial"/>
          <w:sz w:val="24"/>
          <w:szCs w:val="24"/>
        </w:rPr>
        <w:t xml:space="preserve">merely </w:t>
      </w:r>
      <w:r w:rsidR="008E4A3A">
        <w:rPr>
          <w:rFonts w:ascii="Arial" w:hAnsi="Arial" w:cs="Arial"/>
          <w:sz w:val="24"/>
          <w:szCs w:val="24"/>
        </w:rPr>
        <w:t xml:space="preserve">to delay the </w:t>
      </w:r>
      <w:r w:rsidR="00586018">
        <w:rPr>
          <w:rFonts w:ascii="Arial" w:hAnsi="Arial" w:cs="Arial"/>
          <w:sz w:val="24"/>
          <w:szCs w:val="24"/>
        </w:rPr>
        <w:t>inevitable</w:t>
      </w:r>
      <w:r w:rsidR="008E4A3A">
        <w:rPr>
          <w:rFonts w:ascii="Arial" w:hAnsi="Arial" w:cs="Arial"/>
          <w:sz w:val="24"/>
          <w:szCs w:val="24"/>
        </w:rPr>
        <w:t xml:space="preserve">.  Second, it means that in fact the Supreme Court of Appeal is of the view that the respondents do enjoy </w:t>
      </w:r>
      <w:r w:rsidR="00270E15">
        <w:rPr>
          <w:rFonts w:ascii="Arial" w:hAnsi="Arial" w:cs="Arial"/>
          <w:sz w:val="24"/>
          <w:szCs w:val="24"/>
        </w:rPr>
        <w:t xml:space="preserve">a </w:t>
      </w:r>
      <w:r w:rsidR="008E4A3A">
        <w:rPr>
          <w:rFonts w:ascii="Arial" w:hAnsi="Arial" w:cs="Arial"/>
          <w:sz w:val="24"/>
          <w:szCs w:val="24"/>
        </w:rPr>
        <w:t>reasonable prospect of success on appeal in respect of the main judgment</w:t>
      </w:r>
      <w:r w:rsidR="00586018">
        <w:rPr>
          <w:rFonts w:ascii="Arial" w:hAnsi="Arial" w:cs="Arial"/>
          <w:sz w:val="24"/>
          <w:szCs w:val="24"/>
        </w:rPr>
        <w:t xml:space="preserve"> hence i</w:t>
      </w:r>
      <w:r w:rsidR="00F05D9D">
        <w:rPr>
          <w:rFonts w:ascii="Arial" w:hAnsi="Arial" w:cs="Arial"/>
          <w:sz w:val="24"/>
          <w:szCs w:val="24"/>
        </w:rPr>
        <w:t>t</w:t>
      </w:r>
      <w:r w:rsidR="00586018">
        <w:rPr>
          <w:rFonts w:ascii="Arial" w:hAnsi="Arial" w:cs="Arial"/>
          <w:sz w:val="24"/>
          <w:szCs w:val="24"/>
        </w:rPr>
        <w:t xml:space="preserve"> granted leave to appeal to the full court of this Division</w:t>
      </w:r>
      <w:r w:rsidR="008E4A3A">
        <w:rPr>
          <w:rFonts w:ascii="Arial" w:hAnsi="Arial" w:cs="Arial"/>
          <w:sz w:val="24"/>
          <w:szCs w:val="24"/>
        </w:rPr>
        <w:t>.</w:t>
      </w:r>
    </w:p>
    <w:p w:rsidR="008E4A3A" w:rsidRDefault="008E4A3A" w:rsidP="00742860">
      <w:pPr>
        <w:spacing w:line="480" w:lineRule="auto"/>
        <w:jc w:val="both"/>
        <w:rPr>
          <w:rFonts w:ascii="Arial" w:hAnsi="Arial" w:cs="Arial"/>
          <w:sz w:val="24"/>
          <w:szCs w:val="24"/>
        </w:rPr>
      </w:pPr>
      <w:r>
        <w:rPr>
          <w:rFonts w:ascii="Arial" w:hAnsi="Arial" w:cs="Arial"/>
          <w:sz w:val="24"/>
          <w:szCs w:val="24"/>
        </w:rPr>
        <w:lastRenderedPageBreak/>
        <w:t>[</w:t>
      </w:r>
      <w:r w:rsidR="001C5F6E">
        <w:rPr>
          <w:rFonts w:ascii="Arial" w:hAnsi="Arial" w:cs="Arial"/>
          <w:sz w:val="24"/>
          <w:szCs w:val="24"/>
        </w:rPr>
        <w:t>8</w:t>
      </w:r>
      <w:r>
        <w:rPr>
          <w:rFonts w:ascii="Arial" w:hAnsi="Arial" w:cs="Arial"/>
          <w:sz w:val="24"/>
          <w:szCs w:val="24"/>
        </w:rPr>
        <w:t xml:space="preserve">] Be that as it may, counsel for the applicant stressed that despite this development, nothing has changed in so far as the actual appeal </w:t>
      </w:r>
      <w:r w:rsidR="00C8116D">
        <w:rPr>
          <w:rFonts w:ascii="Arial" w:hAnsi="Arial" w:cs="Arial"/>
          <w:sz w:val="24"/>
          <w:szCs w:val="24"/>
        </w:rPr>
        <w:t xml:space="preserve">itself </w:t>
      </w:r>
      <w:r>
        <w:rPr>
          <w:rFonts w:ascii="Arial" w:hAnsi="Arial" w:cs="Arial"/>
          <w:sz w:val="24"/>
          <w:szCs w:val="24"/>
        </w:rPr>
        <w:t xml:space="preserve">is concerned.  </w:t>
      </w:r>
      <w:r w:rsidR="003F766F">
        <w:rPr>
          <w:rFonts w:ascii="Arial" w:hAnsi="Arial" w:cs="Arial"/>
          <w:sz w:val="24"/>
          <w:szCs w:val="24"/>
        </w:rPr>
        <w:t>Indeed, n</w:t>
      </w:r>
      <w:r>
        <w:rPr>
          <w:rFonts w:ascii="Arial" w:hAnsi="Arial" w:cs="Arial"/>
          <w:sz w:val="24"/>
          <w:szCs w:val="24"/>
        </w:rPr>
        <w:t>o court has made any pronouncement on the appeal itself in that it is yet to be heard.   This submission is correct</w:t>
      </w:r>
      <w:r w:rsidR="00586018">
        <w:rPr>
          <w:rFonts w:ascii="Arial" w:hAnsi="Arial" w:cs="Arial"/>
          <w:sz w:val="24"/>
          <w:szCs w:val="24"/>
        </w:rPr>
        <w:t xml:space="preserve"> in my view</w:t>
      </w:r>
      <w:r>
        <w:rPr>
          <w:rFonts w:ascii="Arial" w:hAnsi="Arial" w:cs="Arial"/>
          <w:sz w:val="24"/>
          <w:szCs w:val="24"/>
        </w:rPr>
        <w:t xml:space="preserve">.  The fact that leave to appeal has been granted does not mean that the appeal itself is a </w:t>
      </w:r>
      <w:r w:rsidRPr="00586018">
        <w:rPr>
          <w:rFonts w:ascii="Arial" w:hAnsi="Arial" w:cs="Arial"/>
          <w:i/>
          <w:sz w:val="24"/>
          <w:szCs w:val="24"/>
        </w:rPr>
        <w:t>fait accompl</w:t>
      </w:r>
      <w:r w:rsidR="00586018" w:rsidRPr="00586018">
        <w:rPr>
          <w:rFonts w:ascii="Arial" w:hAnsi="Arial" w:cs="Arial"/>
          <w:i/>
          <w:sz w:val="24"/>
          <w:szCs w:val="24"/>
        </w:rPr>
        <w:t>i</w:t>
      </w:r>
      <w:r>
        <w:rPr>
          <w:rFonts w:ascii="Arial" w:hAnsi="Arial" w:cs="Arial"/>
          <w:sz w:val="24"/>
          <w:szCs w:val="24"/>
        </w:rPr>
        <w:t xml:space="preserve">.  All that it means is that </w:t>
      </w:r>
      <w:r w:rsidR="006872D1">
        <w:rPr>
          <w:rFonts w:ascii="Arial" w:hAnsi="Arial" w:cs="Arial"/>
          <w:sz w:val="24"/>
          <w:szCs w:val="24"/>
        </w:rPr>
        <w:t xml:space="preserve">the appeal by the respondents </w:t>
      </w:r>
      <w:r>
        <w:rPr>
          <w:rFonts w:ascii="Arial" w:hAnsi="Arial" w:cs="Arial"/>
          <w:sz w:val="24"/>
          <w:szCs w:val="24"/>
        </w:rPr>
        <w:t xml:space="preserve">enjoys </w:t>
      </w:r>
      <w:r w:rsidR="00C8116D">
        <w:rPr>
          <w:rFonts w:ascii="Arial" w:hAnsi="Arial" w:cs="Arial"/>
          <w:sz w:val="24"/>
          <w:szCs w:val="24"/>
        </w:rPr>
        <w:t xml:space="preserve">a </w:t>
      </w:r>
      <w:r>
        <w:rPr>
          <w:rFonts w:ascii="Arial" w:hAnsi="Arial" w:cs="Arial"/>
          <w:sz w:val="24"/>
          <w:szCs w:val="24"/>
        </w:rPr>
        <w:t>prospect of success</w:t>
      </w:r>
      <w:r w:rsidR="00827146">
        <w:rPr>
          <w:rFonts w:ascii="Arial" w:hAnsi="Arial" w:cs="Arial"/>
          <w:sz w:val="24"/>
          <w:szCs w:val="24"/>
        </w:rPr>
        <w:t xml:space="preserve"> </w:t>
      </w:r>
      <w:r w:rsidR="00586018">
        <w:rPr>
          <w:rFonts w:ascii="Arial" w:hAnsi="Arial" w:cs="Arial"/>
          <w:sz w:val="24"/>
          <w:szCs w:val="24"/>
        </w:rPr>
        <w:t xml:space="preserve"> </w:t>
      </w:r>
      <w:r w:rsidR="00827146">
        <w:rPr>
          <w:rFonts w:ascii="Arial" w:hAnsi="Arial" w:cs="Arial"/>
          <w:sz w:val="24"/>
          <w:szCs w:val="24"/>
        </w:rPr>
        <w:t>̶̶̶</w:t>
      </w:r>
      <w:r w:rsidR="006872D1">
        <w:rPr>
          <w:rFonts w:ascii="Arial" w:hAnsi="Arial" w:cs="Arial"/>
          <w:sz w:val="24"/>
          <w:szCs w:val="24"/>
        </w:rPr>
        <w:t xml:space="preserve"> </w:t>
      </w:r>
      <w:r w:rsidR="00586018">
        <w:rPr>
          <w:rFonts w:ascii="Arial" w:hAnsi="Arial" w:cs="Arial"/>
          <w:sz w:val="24"/>
          <w:szCs w:val="24"/>
        </w:rPr>
        <w:t>this being the test or requirement prescribed in section 17 (1) of the Superior Courts Act</w:t>
      </w:r>
      <w:r w:rsidR="007C5FDF">
        <w:rPr>
          <w:rFonts w:ascii="Arial" w:hAnsi="Arial" w:cs="Arial"/>
          <w:sz w:val="24"/>
          <w:szCs w:val="24"/>
        </w:rPr>
        <w:t xml:space="preserve"> for the granting of an application for leave to appeal</w:t>
      </w:r>
      <w:r>
        <w:rPr>
          <w:rFonts w:ascii="Arial" w:hAnsi="Arial" w:cs="Arial"/>
          <w:sz w:val="24"/>
          <w:szCs w:val="24"/>
        </w:rPr>
        <w:t xml:space="preserve">.  This distinction is very important especially in </w:t>
      </w:r>
      <w:r w:rsidR="00D70A23">
        <w:rPr>
          <w:rFonts w:ascii="Arial" w:hAnsi="Arial" w:cs="Arial"/>
          <w:sz w:val="24"/>
          <w:szCs w:val="24"/>
        </w:rPr>
        <w:t xml:space="preserve">light of the application for leave to appeal </w:t>
      </w:r>
      <w:r w:rsidR="00C8116D">
        <w:rPr>
          <w:rFonts w:ascii="Arial" w:hAnsi="Arial" w:cs="Arial"/>
          <w:sz w:val="24"/>
          <w:szCs w:val="24"/>
        </w:rPr>
        <w:t xml:space="preserve">against </w:t>
      </w:r>
      <w:r w:rsidR="00D70A23">
        <w:rPr>
          <w:rFonts w:ascii="Arial" w:hAnsi="Arial" w:cs="Arial"/>
          <w:sz w:val="24"/>
          <w:szCs w:val="24"/>
        </w:rPr>
        <w:t>this Court’s judgment in the section 18 (3) application</w:t>
      </w:r>
      <w:r w:rsidR="00C8116D">
        <w:rPr>
          <w:rFonts w:ascii="Arial" w:hAnsi="Arial" w:cs="Arial"/>
          <w:sz w:val="24"/>
          <w:szCs w:val="24"/>
        </w:rPr>
        <w:t>.  That application</w:t>
      </w:r>
      <w:r w:rsidR="00827146">
        <w:rPr>
          <w:rFonts w:ascii="Arial" w:hAnsi="Arial" w:cs="Arial"/>
          <w:sz w:val="24"/>
          <w:szCs w:val="24"/>
        </w:rPr>
        <w:t xml:space="preserve"> must consequently be assessed on the basis that </w:t>
      </w:r>
      <w:r w:rsidR="007C5FDF">
        <w:rPr>
          <w:rFonts w:ascii="Arial" w:hAnsi="Arial" w:cs="Arial"/>
          <w:sz w:val="24"/>
          <w:szCs w:val="24"/>
        </w:rPr>
        <w:t xml:space="preserve">the appeal in </w:t>
      </w:r>
      <w:r w:rsidR="009F2876">
        <w:rPr>
          <w:rFonts w:ascii="Arial" w:hAnsi="Arial" w:cs="Arial"/>
          <w:sz w:val="24"/>
          <w:szCs w:val="24"/>
        </w:rPr>
        <w:t xml:space="preserve">respect of </w:t>
      </w:r>
      <w:r w:rsidR="007C5FDF">
        <w:rPr>
          <w:rFonts w:ascii="Arial" w:hAnsi="Arial" w:cs="Arial"/>
          <w:sz w:val="24"/>
          <w:szCs w:val="24"/>
        </w:rPr>
        <w:t>the main judgment</w:t>
      </w:r>
      <w:r w:rsidR="00827146">
        <w:rPr>
          <w:rFonts w:ascii="Arial" w:hAnsi="Arial" w:cs="Arial"/>
          <w:sz w:val="24"/>
          <w:szCs w:val="24"/>
        </w:rPr>
        <w:t xml:space="preserve"> is still pending</w:t>
      </w:r>
      <w:r w:rsidR="009F2876">
        <w:rPr>
          <w:rFonts w:ascii="Arial" w:hAnsi="Arial" w:cs="Arial"/>
          <w:sz w:val="24"/>
          <w:szCs w:val="24"/>
        </w:rPr>
        <w:t xml:space="preserve"> and has not yet been determined</w:t>
      </w:r>
      <w:r w:rsidR="00D70A23">
        <w:rPr>
          <w:rFonts w:ascii="Arial" w:hAnsi="Arial" w:cs="Arial"/>
          <w:sz w:val="24"/>
          <w:szCs w:val="24"/>
        </w:rPr>
        <w:t>.</w:t>
      </w:r>
    </w:p>
    <w:p w:rsidR="009F2876" w:rsidRDefault="00D70A23" w:rsidP="00742860">
      <w:pPr>
        <w:spacing w:line="480" w:lineRule="auto"/>
        <w:jc w:val="both"/>
        <w:rPr>
          <w:rFonts w:ascii="Arial" w:hAnsi="Arial" w:cs="Arial"/>
          <w:sz w:val="24"/>
          <w:szCs w:val="24"/>
        </w:rPr>
      </w:pPr>
      <w:r>
        <w:rPr>
          <w:rFonts w:ascii="Arial" w:hAnsi="Arial" w:cs="Arial"/>
          <w:sz w:val="24"/>
          <w:szCs w:val="24"/>
        </w:rPr>
        <w:t>[</w:t>
      </w:r>
      <w:r w:rsidR="001C5F6E">
        <w:rPr>
          <w:rFonts w:ascii="Arial" w:hAnsi="Arial" w:cs="Arial"/>
          <w:sz w:val="24"/>
          <w:szCs w:val="24"/>
        </w:rPr>
        <w:t>9</w:t>
      </w:r>
      <w:r>
        <w:rPr>
          <w:rFonts w:ascii="Arial" w:hAnsi="Arial" w:cs="Arial"/>
          <w:sz w:val="24"/>
          <w:szCs w:val="24"/>
        </w:rPr>
        <w:t xml:space="preserve">] In the section 18 (3) application I </w:t>
      </w:r>
      <w:r w:rsidR="00827146">
        <w:rPr>
          <w:rFonts w:ascii="Arial" w:hAnsi="Arial" w:cs="Arial"/>
          <w:sz w:val="24"/>
          <w:szCs w:val="24"/>
        </w:rPr>
        <w:t xml:space="preserve">made two </w:t>
      </w:r>
      <w:r w:rsidR="007C5FDF">
        <w:rPr>
          <w:rFonts w:ascii="Arial" w:hAnsi="Arial" w:cs="Arial"/>
          <w:sz w:val="24"/>
          <w:szCs w:val="24"/>
        </w:rPr>
        <w:t>principal</w:t>
      </w:r>
      <w:r w:rsidR="00586018">
        <w:rPr>
          <w:rFonts w:ascii="Arial" w:hAnsi="Arial" w:cs="Arial"/>
          <w:sz w:val="24"/>
          <w:szCs w:val="24"/>
        </w:rPr>
        <w:t xml:space="preserve"> finding</w:t>
      </w:r>
      <w:r w:rsidR="00827146">
        <w:rPr>
          <w:rFonts w:ascii="Arial" w:hAnsi="Arial" w:cs="Arial"/>
          <w:sz w:val="24"/>
          <w:szCs w:val="24"/>
        </w:rPr>
        <w:t>s</w:t>
      </w:r>
      <w:r>
        <w:rPr>
          <w:rFonts w:ascii="Arial" w:hAnsi="Arial" w:cs="Arial"/>
          <w:sz w:val="24"/>
          <w:szCs w:val="24"/>
        </w:rPr>
        <w:t>.  The first one was that a court has no discretion on the assessment of the section 18 requirements.  In other words</w:t>
      </w:r>
      <w:r w:rsidR="001B1980">
        <w:rPr>
          <w:rFonts w:ascii="Arial" w:hAnsi="Arial" w:cs="Arial"/>
          <w:sz w:val="24"/>
          <w:szCs w:val="24"/>
        </w:rPr>
        <w:t>,</w:t>
      </w:r>
      <w:r>
        <w:rPr>
          <w:rFonts w:ascii="Arial" w:hAnsi="Arial" w:cs="Arial"/>
          <w:sz w:val="24"/>
          <w:szCs w:val="24"/>
        </w:rPr>
        <w:t xml:space="preserve"> it </w:t>
      </w:r>
      <w:r w:rsidR="001B1980">
        <w:rPr>
          <w:rFonts w:ascii="Arial" w:hAnsi="Arial" w:cs="Arial"/>
          <w:sz w:val="24"/>
          <w:szCs w:val="24"/>
        </w:rPr>
        <w:t>had to</w:t>
      </w:r>
      <w:r>
        <w:rPr>
          <w:rFonts w:ascii="Arial" w:hAnsi="Arial" w:cs="Arial"/>
          <w:sz w:val="24"/>
          <w:szCs w:val="24"/>
        </w:rPr>
        <w:t xml:space="preserve"> be established factually that exceptional circumstances </w:t>
      </w:r>
      <w:r w:rsidR="00586018">
        <w:rPr>
          <w:rFonts w:ascii="Arial" w:hAnsi="Arial" w:cs="Arial"/>
          <w:sz w:val="24"/>
          <w:szCs w:val="24"/>
        </w:rPr>
        <w:t xml:space="preserve">for the granting of the execution order </w:t>
      </w:r>
      <w:r>
        <w:rPr>
          <w:rFonts w:ascii="Arial" w:hAnsi="Arial" w:cs="Arial"/>
          <w:sz w:val="24"/>
          <w:szCs w:val="24"/>
        </w:rPr>
        <w:t xml:space="preserve">existed in the first place.  In the second place it </w:t>
      </w:r>
      <w:r w:rsidR="001B1980">
        <w:rPr>
          <w:rFonts w:ascii="Arial" w:hAnsi="Arial" w:cs="Arial"/>
          <w:sz w:val="24"/>
          <w:szCs w:val="24"/>
        </w:rPr>
        <w:t>had to</w:t>
      </w:r>
      <w:r>
        <w:rPr>
          <w:rFonts w:ascii="Arial" w:hAnsi="Arial" w:cs="Arial"/>
          <w:sz w:val="24"/>
          <w:szCs w:val="24"/>
        </w:rPr>
        <w:t xml:space="preserve"> be established by applicant first</w:t>
      </w:r>
      <w:r w:rsidR="00586018">
        <w:rPr>
          <w:rFonts w:ascii="Arial" w:hAnsi="Arial" w:cs="Arial"/>
          <w:sz w:val="24"/>
          <w:szCs w:val="24"/>
        </w:rPr>
        <w:t>, that it</w:t>
      </w:r>
      <w:r>
        <w:rPr>
          <w:rFonts w:ascii="Arial" w:hAnsi="Arial" w:cs="Arial"/>
          <w:sz w:val="24"/>
          <w:szCs w:val="24"/>
        </w:rPr>
        <w:t xml:space="preserve"> </w:t>
      </w:r>
      <w:r w:rsidR="001B1980">
        <w:rPr>
          <w:rFonts w:ascii="Arial" w:hAnsi="Arial" w:cs="Arial"/>
          <w:sz w:val="24"/>
          <w:szCs w:val="24"/>
        </w:rPr>
        <w:t>would</w:t>
      </w:r>
      <w:r>
        <w:rPr>
          <w:rFonts w:ascii="Arial" w:hAnsi="Arial" w:cs="Arial"/>
          <w:sz w:val="24"/>
          <w:szCs w:val="24"/>
        </w:rPr>
        <w:t xml:space="preserve"> suffer irreparable harm if the execution order </w:t>
      </w:r>
      <w:r w:rsidR="001B1980">
        <w:rPr>
          <w:rFonts w:ascii="Arial" w:hAnsi="Arial" w:cs="Arial"/>
          <w:sz w:val="24"/>
          <w:szCs w:val="24"/>
        </w:rPr>
        <w:t>wa</w:t>
      </w:r>
      <w:r w:rsidR="00586018">
        <w:rPr>
          <w:rFonts w:ascii="Arial" w:hAnsi="Arial" w:cs="Arial"/>
          <w:sz w:val="24"/>
          <w:szCs w:val="24"/>
        </w:rPr>
        <w:t>s</w:t>
      </w:r>
      <w:r>
        <w:rPr>
          <w:rFonts w:ascii="Arial" w:hAnsi="Arial" w:cs="Arial"/>
          <w:sz w:val="24"/>
          <w:szCs w:val="24"/>
        </w:rPr>
        <w:t xml:space="preserve"> not granted.  Secondly</w:t>
      </w:r>
      <w:r w:rsidR="00827146">
        <w:rPr>
          <w:rFonts w:ascii="Arial" w:hAnsi="Arial" w:cs="Arial"/>
          <w:sz w:val="24"/>
          <w:szCs w:val="24"/>
        </w:rPr>
        <w:t>,</w:t>
      </w:r>
      <w:r>
        <w:rPr>
          <w:rFonts w:ascii="Arial" w:hAnsi="Arial" w:cs="Arial"/>
          <w:sz w:val="24"/>
          <w:szCs w:val="24"/>
        </w:rPr>
        <w:t xml:space="preserve"> the respondents would not suffer irreparable harm by the granting of the execution order pending the appeal processes.  The second </w:t>
      </w:r>
      <w:r w:rsidR="00827146">
        <w:rPr>
          <w:rFonts w:ascii="Arial" w:hAnsi="Arial" w:cs="Arial"/>
          <w:sz w:val="24"/>
          <w:szCs w:val="24"/>
        </w:rPr>
        <w:t xml:space="preserve">main </w:t>
      </w:r>
      <w:r>
        <w:rPr>
          <w:rFonts w:ascii="Arial" w:hAnsi="Arial" w:cs="Arial"/>
          <w:sz w:val="24"/>
          <w:szCs w:val="24"/>
        </w:rPr>
        <w:t>finding was that the applicant had failed to establish any of the requirements provided for section 18 for the granting of the execution order</w:t>
      </w:r>
      <w:r w:rsidR="001B1980">
        <w:rPr>
          <w:rFonts w:ascii="Arial" w:hAnsi="Arial" w:cs="Arial"/>
          <w:sz w:val="24"/>
          <w:szCs w:val="24"/>
        </w:rPr>
        <w:t xml:space="preserve"> all of which had to be established for the court to exercise the discretion that flows from a positive finding</w:t>
      </w:r>
      <w:r w:rsidR="00CB50B1">
        <w:rPr>
          <w:rFonts w:ascii="Arial" w:hAnsi="Arial" w:cs="Arial"/>
          <w:sz w:val="24"/>
          <w:szCs w:val="24"/>
        </w:rPr>
        <w:t xml:space="preserve"> in that regard</w:t>
      </w:r>
      <w:r>
        <w:rPr>
          <w:rFonts w:ascii="Arial" w:hAnsi="Arial" w:cs="Arial"/>
          <w:sz w:val="24"/>
          <w:szCs w:val="24"/>
        </w:rPr>
        <w:t xml:space="preserve">.  </w:t>
      </w:r>
    </w:p>
    <w:p w:rsidR="00D70A23" w:rsidRDefault="009F2876" w:rsidP="00742860">
      <w:pPr>
        <w:spacing w:line="480" w:lineRule="auto"/>
        <w:jc w:val="both"/>
        <w:rPr>
          <w:rFonts w:ascii="Arial" w:hAnsi="Arial" w:cs="Arial"/>
          <w:sz w:val="24"/>
          <w:szCs w:val="24"/>
        </w:rPr>
      </w:pPr>
      <w:r>
        <w:rPr>
          <w:rFonts w:ascii="Arial" w:hAnsi="Arial" w:cs="Arial"/>
          <w:sz w:val="24"/>
          <w:szCs w:val="24"/>
        </w:rPr>
        <w:t xml:space="preserve">[10] </w:t>
      </w:r>
      <w:r w:rsidR="00D70A23">
        <w:rPr>
          <w:rFonts w:ascii="Arial" w:hAnsi="Arial" w:cs="Arial"/>
          <w:sz w:val="24"/>
          <w:szCs w:val="24"/>
        </w:rPr>
        <w:t>Once th</w:t>
      </w:r>
      <w:r w:rsidR="001B1980">
        <w:rPr>
          <w:rFonts w:ascii="Arial" w:hAnsi="Arial" w:cs="Arial"/>
          <w:sz w:val="24"/>
          <w:szCs w:val="24"/>
        </w:rPr>
        <w:t>e above</w:t>
      </w:r>
      <w:r w:rsidR="00D70A23">
        <w:rPr>
          <w:rFonts w:ascii="Arial" w:hAnsi="Arial" w:cs="Arial"/>
          <w:sz w:val="24"/>
          <w:szCs w:val="24"/>
        </w:rPr>
        <w:t xml:space="preserve"> conclusion was reached,</w:t>
      </w:r>
      <w:r w:rsidR="001F40BC">
        <w:rPr>
          <w:rFonts w:ascii="Arial" w:hAnsi="Arial" w:cs="Arial"/>
          <w:sz w:val="24"/>
          <w:szCs w:val="24"/>
        </w:rPr>
        <w:t xml:space="preserve"> the court had no discretion on whether or not to grant the execution order as the section 18 jurisdictional </w:t>
      </w:r>
      <w:r w:rsidR="003E3BB4">
        <w:rPr>
          <w:rFonts w:ascii="Arial" w:hAnsi="Arial" w:cs="Arial"/>
          <w:sz w:val="24"/>
          <w:szCs w:val="24"/>
        </w:rPr>
        <w:t xml:space="preserve">requirements had </w:t>
      </w:r>
      <w:r w:rsidR="003E3BB4">
        <w:rPr>
          <w:rFonts w:ascii="Arial" w:hAnsi="Arial" w:cs="Arial"/>
          <w:sz w:val="24"/>
          <w:szCs w:val="24"/>
        </w:rPr>
        <w:lastRenderedPageBreak/>
        <w:t>not been met</w:t>
      </w:r>
      <w:r w:rsidR="001B1980">
        <w:rPr>
          <w:rFonts w:ascii="Arial" w:hAnsi="Arial" w:cs="Arial"/>
          <w:sz w:val="24"/>
          <w:szCs w:val="24"/>
        </w:rPr>
        <w:t xml:space="preserve">. </w:t>
      </w:r>
      <w:r w:rsidR="003E3BB4">
        <w:rPr>
          <w:rFonts w:ascii="Arial" w:hAnsi="Arial" w:cs="Arial"/>
          <w:sz w:val="24"/>
          <w:szCs w:val="24"/>
        </w:rPr>
        <w:t xml:space="preserve"> </w:t>
      </w:r>
      <w:r w:rsidR="001B1980">
        <w:rPr>
          <w:rFonts w:ascii="Arial" w:hAnsi="Arial" w:cs="Arial"/>
          <w:sz w:val="24"/>
          <w:szCs w:val="24"/>
        </w:rPr>
        <w:t>They</w:t>
      </w:r>
      <w:r w:rsidR="003E3BB4">
        <w:rPr>
          <w:rFonts w:ascii="Arial" w:hAnsi="Arial" w:cs="Arial"/>
          <w:sz w:val="24"/>
          <w:szCs w:val="24"/>
        </w:rPr>
        <w:t xml:space="preserve"> are</w:t>
      </w:r>
      <w:r w:rsidR="001B1980">
        <w:rPr>
          <w:rFonts w:ascii="Arial" w:hAnsi="Arial" w:cs="Arial"/>
          <w:sz w:val="24"/>
          <w:szCs w:val="24"/>
        </w:rPr>
        <w:t xml:space="preserve"> after all,</w:t>
      </w:r>
      <w:r w:rsidR="003E3BB4">
        <w:rPr>
          <w:rFonts w:ascii="Arial" w:hAnsi="Arial" w:cs="Arial"/>
          <w:sz w:val="24"/>
          <w:szCs w:val="24"/>
        </w:rPr>
        <w:t xml:space="preserve"> a </w:t>
      </w:r>
      <w:r w:rsidR="003E3BB4" w:rsidRPr="00374954">
        <w:rPr>
          <w:rFonts w:ascii="Arial" w:hAnsi="Arial" w:cs="Arial"/>
          <w:i/>
          <w:sz w:val="24"/>
          <w:szCs w:val="24"/>
        </w:rPr>
        <w:t>condictio sine qua</w:t>
      </w:r>
      <w:r w:rsidR="003E3BB4">
        <w:rPr>
          <w:rFonts w:ascii="Arial" w:hAnsi="Arial" w:cs="Arial"/>
          <w:sz w:val="24"/>
          <w:szCs w:val="24"/>
        </w:rPr>
        <w:t xml:space="preserve"> </w:t>
      </w:r>
      <w:r w:rsidR="003E3BB4" w:rsidRPr="00586018">
        <w:rPr>
          <w:rFonts w:ascii="Arial" w:hAnsi="Arial" w:cs="Arial"/>
          <w:i/>
          <w:sz w:val="24"/>
          <w:szCs w:val="24"/>
        </w:rPr>
        <w:t>non</w:t>
      </w:r>
      <w:r w:rsidR="003E3BB4">
        <w:rPr>
          <w:rFonts w:ascii="Arial" w:hAnsi="Arial" w:cs="Arial"/>
          <w:sz w:val="24"/>
          <w:szCs w:val="24"/>
        </w:rPr>
        <w:t xml:space="preserve"> for the ultimate exercise of the discretion</w:t>
      </w:r>
      <w:r w:rsidR="003518A0">
        <w:rPr>
          <w:rFonts w:ascii="Arial" w:hAnsi="Arial" w:cs="Arial"/>
          <w:sz w:val="24"/>
          <w:szCs w:val="24"/>
        </w:rPr>
        <w:t xml:space="preserve"> by the court</w:t>
      </w:r>
      <w:r w:rsidR="003E3BB4">
        <w:rPr>
          <w:rFonts w:ascii="Arial" w:hAnsi="Arial" w:cs="Arial"/>
          <w:sz w:val="24"/>
          <w:szCs w:val="24"/>
        </w:rPr>
        <w:t xml:space="preserve"> to grant or not to grant the execution order.</w:t>
      </w:r>
      <w:r w:rsidR="00827146">
        <w:rPr>
          <w:rFonts w:ascii="Arial" w:hAnsi="Arial" w:cs="Arial"/>
          <w:sz w:val="24"/>
          <w:szCs w:val="24"/>
        </w:rPr>
        <w:t xml:space="preserve">  </w:t>
      </w:r>
      <w:r w:rsidR="001C40AC">
        <w:rPr>
          <w:rFonts w:ascii="Arial" w:hAnsi="Arial" w:cs="Arial"/>
          <w:sz w:val="24"/>
          <w:szCs w:val="24"/>
        </w:rPr>
        <w:t xml:space="preserve">Absent a positive finding in that regard, there could be no talk of a discretion.  </w:t>
      </w:r>
      <w:r w:rsidR="00827146">
        <w:rPr>
          <w:rFonts w:ascii="Arial" w:hAnsi="Arial" w:cs="Arial"/>
          <w:sz w:val="24"/>
          <w:szCs w:val="24"/>
        </w:rPr>
        <w:t xml:space="preserve">The issue of the court having a discretion on whether or not to grant the execution order even if the requirements are met actually means that the fact that the section 18 requirements are met does not mean that the court must, under all circumstances, grant the </w:t>
      </w:r>
      <w:r w:rsidR="001C40AC">
        <w:rPr>
          <w:rFonts w:ascii="Arial" w:hAnsi="Arial" w:cs="Arial"/>
          <w:sz w:val="24"/>
          <w:szCs w:val="24"/>
        </w:rPr>
        <w:t xml:space="preserve">execution </w:t>
      </w:r>
      <w:r w:rsidR="00827146">
        <w:rPr>
          <w:rFonts w:ascii="Arial" w:hAnsi="Arial" w:cs="Arial"/>
          <w:sz w:val="24"/>
          <w:szCs w:val="24"/>
        </w:rPr>
        <w:t xml:space="preserve">order.  The court is obliged to exercise a discretion, judiciously and it </w:t>
      </w:r>
      <w:r w:rsidR="003518A0">
        <w:rPr>
          <w:rFonts w:ascii="Arial" w:hAnsi="Arial" w:cs="Arial"/>
          <w:sz w:val="24"/>
          <w:szCs w:val="24"/>
        </w:rPr>
        <w:t>m</w:t>
      </w:r>
      <w:r w:rsidR="00827146">
        <w:rPr>
          <w:rFonts w:ascii="Arial" w:hAnsi="Arial" w:cs="Arial"/>
          <w:sz w:val="24"/>
          <w:szCs w:val="24"/>
        </w:rPr>
        <w:t>ay very well decide against g</w:t>
      </w:r>
      <w:r w:rsidR="003518A0">
        <w:rPr>
          <w:rFonts w:ascii="Arial" w:hAnsi="Arial" w:cs="Arial"/>
          <w:sz w:val="24"/>
          <w:szCs w:val="24"/>
        </w:rPr>
        <w:t>ranting the execution order not</w:t>
      </w:r>
      <w:r w:rsidR="00827146">
        <w:rPr>
          <w:rFonts w:ascii="Arial" w:hAnsi="Arial" w:cs="Arial"/>
          <w:sz w:val="24"/>
          <w:szCs w:val="24"/>
        </w:rPr>
        <w:t xml:space="preserve">withstanding the fact that exceptional circumstances have been established and the applicant has shown that irreparable harm will befall it if the order is not granted and that the respondents will not suffer irreparable harm by the granting of the order.  </w:t>
      </w:r>
      <w:r w:rsidR="00401DFA">
        <w:rPr>
          <w:rFonts w:ascii="Arial" w:hAnsi="Arial" w:cs="Arial"/>
          <w:sz w:val="24"/>
          <w:szCs w:val="24"/>
        </w:rPr>
        <w:t>T</w:t>
      </w:r>
      <w:r w:rsidR="00827146">
        <w:rPr>
          <w:rFonts w:ascii="Arial" w:hAnsi="Arial" w:cs="Arial"/>
          <w:sz w:val="24"/>
          <w:szCs w:val="24"/>
        </w:rPr>
        <w:t xml:space="preserve">his kind of discretion </w:t>
      </w:r>
      <w:r w:rsidR="00F11DBC">
        <w:rPr>
          <w:rFonts w:ascii="Arial" w:hAnsi="Arial" w:cs="Arial"/>
          <w:sz w:val="24"/>
          <w:szCs w:val="24"/>
        </w:rPr>
        <w:t xml:space="preserve">ultimately </w:t>
      </w:r>
      <w:r w:rsidR="00401DFA">
        <w:rPr>
          <w:rFonts w:ascii="Arial" w:hAnsi="Arial" w:cs="Arial"/>
          <w:sz w:val="24"/>
          <w:szCs w:val="24"/>
        </w:rPr>
        <w:t>depends</w:t>
      </w:r>
      <w:r w:rsidR="00827146">
        <w:rPr>
          <w:rFonts w:ascii="Arial" w:hAnsi="Arial" w:cs="Arial"/>
          <w:sz w:val="24"/>
          <w:szCs w:val="24"/>
        </w:rPr>
        <w:t xml:space="preserve"> on the facts of each</w:t>
      </w:r>
      <w:r>
        <w:rPr>
          <w:rFonts w:ascii="Arial" w:hAnsi="Arial" w:cs="Arial"/>
          <w:sz w:val="24"/>
          <w:szCs w:val="24"/>
        </w:rPr>
        <w:t xml:space="preserve"> case</w:t>
      </w:r>
      <w:r w:rsidR="00CB50B1">
        <w:rPr>
          <w:rFonts w:ascii="Arial" w:hAnsi="Arial" w:cs="Arial"/>
          <w:sz w:val="24"/>
          <w:szCs w:val="24"/>
        </w:rPr>
        <w:t xml:space="preserve"> and must be exercised</w:t>
      </w:r>
      <w:r w:rsidR="00401DFA">
        <w:rPr>
          <w:rFonts w:ascii="Arial" w:hAnsi="Arial" w:cs="Arial"/>
          <w:sz w:val="24"/>
          <w:szCs w:val="24"/>
        </w:rPr>
        <w:t xml:space="preserve"> with great circumspection</w:t>
      </w:r>
      <w:r>
        <w:rPr>
          <w:rFonts w:ascii="Arial" w:hAnsi="Arial" w:cs="Arial"/>
          <w:sz w:val="24"/>
          <w:szCs w:val="24"/>
        </w:rPr>
        <w:t>.  The court’s discretion in this regard is not without significance.  It is undergird</w:t>
      </w:r>
      <w:r w:rsidR="00401DFA">
        <w:rPr>
          <w:rFonts w:ascii="Arial" w:hAnsi="Arial" w:cs="Arial"/>
          <w:sz w:val="24"/>
          <w:szCs w:val="24"/>
        </w:rPr>
        <w:t>ed by</w:t>
      </w:r>
      <w:r>
        <w:rPr>
          <w:rFonts w:ascii="Arial" w:hAnsi="Arial" w:cs="Arial"/>
          <w:sz w:val="24"/>
          <w:szCs w:val="24"/>
        </w:rPr>
        <w:t xml:space="preserve"> the legal position that the operation and execution of a decision which is the subject of an application for leave to appeal or of an appeal, is suspended pending the decision of the application or appeal which is at the </w:t>
      </w:r>
      <w:r w:rsidR="00CB50B1">
        <w:rPr>
          <w:rFonts w:ascii="Arial" w:hAnsi="Arial" w:cs="Arial"/>
          <w:sz w:val="24"/>
          <w:szCs w:val="24"/>
        </w:rPr>
        <w:t xml:space="preserve">very </w:t>
      </w:r>
      <w:r w:rsidR="001C40AC">
        <w:rPr>
          <w:rFonts w:ascii="Arial" w:hAnsi="Arial" w:cs="Arial"/>
          <w:sz w:val="24"/>
          <w:szCs w:val="24"/>
        </w:rPr>
        <w:t>core</w:t>
      </w:r>
      <w:r>
        <w:rPr>
          <w:rFonts w:ascii="Arial" w:hAnsi="Arial" w:cs="Arial"/>
          <w:sz w:val="24"/>
          <w:szCs w:val="24"/>
        </w:rPr>
        <w:t xml:space="preserve"> of section 18</w:t>
      </w:r>
      <w:r w:rsidR="001C40AC">
        <w:rPr>
          <w:rFonts w:ascii="Arial" w:hAnsi="Arial" w:cs="Arial"/>
          <w:sz w:val="24"/>
          <w:szCs w:val="24"/>
        </w:rPr>
        <w:t xml:space="preserve"> as a whole</w:t>
      </w:r>
      <w:r>
        <w:rPr>
          <w:rFonts w:ascii="Arial" w:hAnsi="Arial" w:cs="Arial"/>
          <w:sz w:val="24"/>
          <w:szCs w:val="24"/>
        </w:rPr>
        <w:t>.</w:t>
      </w:r>
    </w:p>
    <w:p w:rsidR="003E3BB4" w:rsidRDefault="003E3BB4" w:rsidP="00742860">
      <w:pPr>
        <w:spacing w:line="480" w:lineRule="auto"/>
        <w:jc w:val="both"/>
        <w:rPr>
          <w:rFonts w:ascii="Arial" w:hAnsi="Arial" w:cs="Arial"/>
          <w:sz w:val="24"/>
          <w:szCs w:val="24"/>
        </w:rPr>
      </w:pPr>
      <w:r>
        <w:rPr>
          <w:rFonts w:ascii="Arial" w:hAnsi="Arial" w:cs="Arial"/>
          <w:sz w:val="24"/>
          <w:szCs w:val="24"/>
        </w:rPr>
        <w:t>[1</w:t>
      </w:r>
      <w:r w:rsidR="00C833AF">
        <w:rPr>
          <w:rFonts w:ascii="Arial" w:hAnsi="Arial" w:cs="Arial"/>
          <w:sz w:val="24"/>
          <w:szCs w:val="24"/>
        </w:rPr>
        <w:t>1</w:t>
      </w:r>
      <w:r>
        <w:rPr>
          <w:rFonts w:ascii="Arial" w:hAnsi="Arial" w:cs="Arial"/>
          <w:sz w:val="24"/>
          <w:szCs w:val="24"/>
        </w:rPr>
        <w:t xml:space="preserve">] The central </w:t>
      </w:r>
      <w:r w:rsidR="0056315E">
        <w:rPr>
          <w:rFonts w:ascii="Arial" w:hAnsi="Arial" w:cs="Arial"/>
          <w:sz w:val="24"/>
          <w:szCs w:val="24"/>
        </w:rPr>
        <w:t>theme</w:t>
      </w:r>
      <w:r>
        <w:rPr>
          <w:rFonts w:ascii="Arial" w:hAnsi="Arial" w:cs="Arial"/>
          <w:sz w:val="24"/>
          <w:szCs w:val="24"/>
        </w:rPr>
        <w:t xml:space="preserve"> of the applicant in its quest for leave to appeal </w:t>
      </w:r>
      <w:r w:rsidR="00E2205D">
        <w:rPr>
          <w:rFonts w:ascii="Arial" w:hAnsi="Arial" w:cs="Arial"/>
          <w:sz w:val="24"/>
          <w:szCs w:val="24"/>
        </w:rPr>
        <w:t>i</w:t>
      </w:r>
      <w:r>
        <w:rPr>
          <w:rFonts w:ascii="Arial" w:hAnsi="Arial" w:cs="Arial"/>
          <w:sz w:val="24"/>
          <w:szCs w:val="24"/>
        </w:rPr>
        <w:t xml:space="preserve">s that this Court should have found that </w:t>
      </w:r>
      <w:r w:rsidR="00E2205D">
        <w:rPr>
          <w:rFonts w:ascii="Arial" w:hAnsi="Arial" w:cs="Arial"/>
          <w:sz w:val="24"/>
          <w:szCs w:val="24"/>
        </w:rPr>
        <w:t>it</w:t>
      </w:r>
      <w:r>
        <w:rPr>
          <w:rFonts w:ascii="Arial" w:hAnsi="Arial" w:cs="Arial"/>
          <w:sz w:val="24"/>
          <w:szCs w:val="24"/>
        </w:rPr>
        <w:t xml:space="preserve"> had established the exceptional circumstances and </w:t>
      </w:r>
      <w:r w:rsidR="0056315E">
        <w:rPr>
          <w:rFonts w:ascii="Arial" w:hAnsi="Arial" w:cs="Arial"/>
          <w:sz w:val="24"/>
          <w:szCs w:val="24"/>
        </w:rPr>
        <w:t xml:space="preserve">that it would suffer </w:t>
      </w:r>
      <w:r>
        <w:rPr>
          <w:rFonts w:ascii="Arial" w:hAnsi="Arial" w:cs="Arial"/>
          <w:sz w:val="24"/>
          <w:szCs w:val="24"/>
        </w:rPr>
        <w:t xml:space="preserve">irreparable harm if the </w:t>
      </w:r>
      <w:r w:rsidR="0056315E">
        <w:rPr>
          <w:rFonts w:ascii="Arial" w:hAnsi="Arial" w:cs="Arial"/>
          <w:sz w:val="24"/>
          <w:szCs w:val="24"/>
        </w:rPr>
        <w:t xml:space="preserve">execution </w:t>
      </w:r>
      <w:r>
        <w:rPr>
          <w:rFonts w:ascii="Arial" w:hAnsi="Arial" w:cs="Arial"/>
          <w:sz w:val="24"/>
          <w:szCs w:val="24"/>
        </w:rPr>
        <w:t>order was not granted.  Furthermore, it was contended that applicant had established that the respondents would not suffer irreparable harm by the granting of this order</w:t>
      </w:r>
      <w:r w:rsidR="001746BE">
        <w:rPr>
          <w:rFonts w:ascii="Arial" w:hAnsi="Arial" w:cs="Arial"/>
          <w:sz w:val="24"/>
          <w:szCs w:val="24"/>
        </w:rPr>
        <w:t xml:space="preserve"> and the court erred in not finding accordingly</w:t>
      </w:r>
      <w:r>
        <w:rPr>
          <w:rFonts w:ascii="Arial" w:hAnsi="Arial" w:cs="Arial"/>
          <w:sz w:val="24"/>
          <w:szCs w:val="24"/>
        </w:rPr>
        <w:t>.  As such</w:t>
      </w:r>
      <w:r w:rsidR="00CB50B1">
        <w:rPr>
          <w:rFonts w:ascii="Arial" w:hAnsi="Arial" w:cs="Arial"/>
          <w:sz w:val="24"/>
          <w:szCs w:val="24"/>
        </w:rPr>
        <w:t>,</w:t>
      </w:r>
      <w:r>
        <w:rPr>
          <w:rFonts w:ascii="Arial" w:hAnsi="Arial" w:cs="Arial"/>
          <w:sz w:val="24"/>
          <w:szCs w:val="24"/>
        </w:rPr>
        <w:t xml:space="preserve"> not granting</w:t>
      </w:r>
      <w:r w:rsidR="004C4CA9">
        <w:rPr>
          <w:rFonts w:ascii="Arial" w:hAnsi="Arial" w:cs="Arial"/>
          <w:sz w:val="24"/>
          <w:szCs w:val="24"/>
        </w:rPr>
        <w:t xml:space="preserve"> the execution order w</w:t>
      </w:r>
      <w:r w:rsidR="00D17D4C">
        <w:rPr>
          <w:rFonts w:ascii="Arial" w:hAnsi="Arial" w:cs="Arial"/>
          <w:sz w:val="24"/>
          <w:szCs w:val="24"/>
        </w:rPr>
        <w:t>ou</w:t>
      </w:r>
      <w:r w:rsidR="004C4CA9">
        <w:rPr>
          <w:rFonts w:ascii="Arial" w:hAnsi="Arial" w:cs="Arial"/>
          <w:sz w:val="24"/>
          <w:szCs w:val="24"/>
        </w:rPr>
        <w:t>l</w:t>
      </w:r>
      <w:r w:rsidR="00D17D4C">
        <w:rPr>
          <w:rFonts w:ascii="Arial" w:hAnsi="Arial" w:cs="Arial"/>
          <w:sz w:val="24"/>
          <w:szCs w:val="24"/>
        </w:rPr>
        <w:t>d</w:t>
      </w:r>
      <w:r w:rsidR="004C4CA9">
        <w:rPr>
          <w:rFonts w:ascii="Arial" w:hAnsi="Arial" w:cs="Arial"/>
          <w:sz w:val="24"/>
          <w:szCs w:val="24"/>
        </w:rPr>
        <w:t xml:space="preserve"> lead to the order granted in the main application evaporating </w:t>
      </w:r>
      <w:r w:rsidR="00F11DBC">
        <w:rPr>
          <w:rFonts w:ascii="Arial" w:hAnsi="Arial" w:cs="Arial"/>
          <w:sz w:val="24"/>
          <w:szCs w:val="24"/>
        </w:rPr>
        <w:t xml:space="preserve">during the </w:t>
      </w:r>
      <w:r w:rsidR="004C4CA9">
        <w:rPr>
          <w:rFonts w:ascii="Arial" w:hAnsi="Arial" w:cs="Arial"/>
          <w:sz w:val="24"/>
          <w:szCs w:val="24"/>
        </w:rPr>
        <w:t>remain</w:t>
      </w:r>
      <w:r w:rsidR="0056315E">
        <w:rPr>
          <w:rFonts w:ascii="Arial" w:hAnsi="Arial" w:cs="Arial"/>
          <w:sz w:val="24"/>
          <w:szCs w:val="24"/>
        </w:rPr>
        <w:t>ing</w:t>
      </w:r>
      <w:r w:rsidR="004C4CA9">
        <w:rPr>
          <w:rFonts w:ascii="Arial" w:hAnsi="Arial" w:cs="Arial"/>
          <w:sz w:val="24"/>
          <w:szCs w:val="24"/>
        </w:rPr>
        <w:t xml:space="preserve"> period before the contract comes to an </w:t>
      </w:r>
      <w:r w:rsidR="0056315E">
        <w:rPr>
          <w:rFonts w:ascii="Arial" w:hAnsi="Arial" w:cs="Arial"/>
          <w:sz w:val="24"/>
          <w:szCs w:val="24"/>
        </w:rPr>
        <w:t>e</w:t>
      </w:r>
      <w:r w:rsidR="004C4CA9">
        <w:rPr>
          <w:rFonts w:ascii="Arial" w:hAnsi="Arial" w:cs="Arial"/>
          <w:sz w:val="24"/>
          <w:szCs w:val="24"/>
        </w:rPr>
        <w:t xml:space="preserve">nd on 31 August 2023 </w:t>
      </w:r>
      <w:r w:rsidR="00F11DBC">
        <w:rPr>
          <w:rFonts w:ascii="Arial" w:hAnsi="Arial" w:cs="Arial"/>
          <w:sz w:val="24"/>
          <w:szCs w:val="24"/>
        </w:rPr>
        <w:t xml:space="preserve">unless the order </w:t>
      </w:r>
      <w:r w:rsidR="00DA0A8A">
        <w:rPr>
          <w:rFonts w:ascii="Arial" w:hAnsi="Arial" w:cs="Arial"/>
          <w:sz w:val="24"/>
          <w:szCs w:val="24"/>
        </w:rPr>
        <w:t>wa</w:t>
      </w:r>
      <w:r w:rsidR="00F11DBC">
        <w:rPr>
          <w:rFonts w:ascii="Arial" w:hAnsi="Arial" w:cs="Arial"/>
          <w:sz w:val="24"/>
          <w:szCs w:val="24"/>
        </w:rPr>
        <w:t>s granted.  And</w:t>
      </w:r>
      <w:r w:rsidR="004C4CA9">
        <w:rPr>
          <w:rFonts w:ascii="Arial" w:hAnsi="Arial" w:cs="Arial"/>
          <w:sz w:val="24"/>
          <w:szCs w:val="24"/>
        </w:rPr>
        <w:t xml:space="preserve"> public funds </w:t>
      </w:r>
      <w:r w:rsidR="004C4CA9">
        <w:rPr>
          <w:rFonts w:ascii="Arial" w:hAnsi="Arial" w:cs="Arial"/>
          <w:sz w:val="24"/>
          <w:szCs w:val="24"/>
        </w:rPr>
        <w:lastRenderedPageBreak/>
        <w:t xml:space="preserve">that </w:t>
      </w:r>
      <w:r w:rsidR="00C2509B">
        <w:rPr>
          <w:rFonts w:ascii="Arial" w:hAnsi="Arial" w:cs="Arial"/>
          <w:sz w:val="24"/>
          <w:szCs w:val="24"/>
        </w:rPr>
        <w:t>would</w:t>
      </w:r>
      <w:r w:rsidR="004C4CA9">
        <w:rPr>
          <w:rFonts w:ascii="Arial" w:hAnsi="Arial" w:cs="Arial"/>
          <w:sz w:val="24"/>
          <w:szCs w:val="24"/>
        </w:rPr>
        <w:t xml:space="preserve"> be </w:t>
      </w:r>
      <w:r w:rsidR="00C2509B">
        <w:rPr>
          <w:rFonts w:ascii="Arial" w:hAnsi="Arial" w:cs="Arial"/>
          <w:sz w:val="24"/>
          <w:szCs w:val="24"/>
        </w:rPr>
        <w:t>expended during the remaining</w:t>
      </w:r>
      <w:r w:rsidR="004C4CA9">
        <w:rPr>
          <w:rFonts w:ascii="Arial" w:hAnsi="Arial" w:cs="Arial"/>
          <w:sz w:val="24"/>
          <w:szCs w:val="24"/>
        </w:rPr>
        <w:t xml:space="preserve"> period while the respondents continue with the works when they were ordered to stop by the court </w:t>
      </w:r>
      <w:r w:rsidR="00401DFA">
        <w:rPr>
          <w:rFonts w:ascii="Arial" w:hAnsi="Arial" w:cs="Arial"/>
          <w:sz w:val="24"/>
          <w:szCs w:val="24"/>
        </w:rPr>
        <w:t>c</w:t>
      </w:r>
      <w:r w:rsidR="001746BE">
        <w:rPr>
          <w:rFonts w:ascii="Arial" w:hAnsi="Arial" w:cs="Arial"/>
          <w:sz w:val="24"/>
          <w:szCs w:val="24"/>
        </w:rPr>
        <w:t xml:space="preserve">ould be </w:t>
      </w:r>
      <w:r w:rsidR="0037363E">
        <w:rPr>
          <w:rFonts w:ascii="Arial" w:hAnsi="Arial" w:cs="Arial"/>
          <w:sz w:val="24"/>
          <w:szCs w:val="24"/>
        </w:rPr>
        <w:t>waste</w:t>
      </w:r>
      <w:r w:rsidR="00401DFA">
        <w:rPr>
          <w:rFonts w:ascii="Arial" w:hAnsi="Arial" w:cs="Arial"/>
          <w:sz w:val="24"/>
          <w:szCs w:val="24"/>
        </w:rPr>
        <w:t>d</w:t>
      </w:r>
      <w:r w:rsidR="00DA0A8A">
        <w:rPr>
          <w:rFonts w:ascii="Arial" w:hAnsi="Arial" w:cs="Arial"/>
          <w:sz w:val="24"/>
          <w:szCs w:val="24"/>
        </w:rPr>
        <w:t>.  Therefore</w:t>
      </w:r>
      <w:r w:rsidR="001746BE">
        <w:rPr>
          <w:rFonts w:ascii="Arial" w:hAnsi="Arial" w:cs="Arial"/>
          <w:sz w:val="24"/>
          <w:szCs w:val="24"/>
        </w:rPr>
        <w:t>,</w:t>
      </w:r>
      <w:r w:rsidR="00C2509B">
        <w:rPr>
          <w:rFonts w:ascii="Arial" w:hAnsi="Arial" w:cs="Arial"/>
          <w:sz w:val="24"/>
          <w:szCs w:val="24"/>
        </w:rPr>
        <w:t xml:space="preserve"> exceptional circumstances</w:t>
      </w:r>
      <w:r w:rsidR="00DA0A8A">
        <w:rPr>
          <w:rFonts w:ascii="Arial" w:hAnsi="Arial" w:cs="Arial"/>
          <w:sz w:val="24"/>
          <w:szCs w:val="24"/>
        </w:rPr>
        <w:t xml:space="preserve"> were established</w:t>
      </w:r>
      <w:r w:rsidR="0037363E">
        <w:rPr>
          <w:rFonts w:ascii="Arial" w:hAnsi="Arial" w:cs="Arial"/>
          <w:sz w:val="24"/>
          <w:szCs w:val="24"/>
        </w:rPr>
        <w:t>, so went the submission</w:t>
      </w:r>
      <w:r w:rsidR="004C4CA9">
        <w:rPr>
          <w:rFonts w:ascii="Arial" w:hAnsi="Arial" w:cs="Arial"/>
          <w:sz w:val="24"/>
          <w:szCs w:val="24"/>
        </w:rPr>
        <w:t>.</w:t>
      </w:r>
    </w:p>
    <w:p w:rsidR="004C4CA9" w:rsidRDefault="004C4CA9" w:rsidP="00742860">
      <w:pPr>
        <w:spacing w:line="480" w:lineRule="auto"/>
        <w:jc w:val="both"/>
        <w:rPr>
          <w:rFonts w:ascii="Arial" w:hAnsi="Arial" w:cs="Arial"/>
          <w:sz w:val="24"/>
          <w:szCs w:val="24"/>
        </w:rPr>
      </w:pPr>
      <w:r>
        <w:rPr>
          <w:rFonts w:ascii="Arial" w:hAnsi="Arial" w:cs="Arial"/>
          <w:sz w:val="24"/>
          <w:szCs w:val="24"/>
        </w:rPr>
        <w:t>[1</w:t>
      </w:r>
      <w:r w:rsidR="00C833AF">
        <w:rPr>
          <w:rFonts w:ascii="Arial" w:hAnsi="Arial" w:cs="Arial"/>
          <w:sz w:val="24"/>
          <w:szCs w:val="24"/>
        </w:rPr>
        <w:t>2</w:t>
      </w:r>
      <w:r>
        <w:rPr>
          <w:rFonts w:ascii="Arial" w:hAnsi="Arial" w:cs="Arial"/>
          <w:sz w:val="24"/>
          <w:szCs w:val="24"/>
        </w:rPr>
        <w:t xml:space="preserve">] </w:t>
      </w:r>
      <w:r w:rsidR="00EA4296">
        <w:rPr>
          <w:rFonts w:ascii="Arial" w:hAnsi="Arial" w:cs="Arial"/>
          <w:sz w:val="24"/>
          <w:szCs w:val="24"/>
        </w:rPr>
        <w:t>Counsel for the applicant, Ms Stein</w:t>
      </w:r>
      <w:r>
        <w:rPr>
          <w:rFonts w:ascii="Arial" w:hAnsi="Arial" w:cs="Arial"/>
          <w:sz w:val="24"/>
          <w:szCs w:val="24"/>
        </w:rPr>
        <w:t xml:space="preserve"> </w:t>
      </w:r>
      <w:r w:rsidR="001746BE">
        <w:rPr>
          <w:rFonts w:ascii="Arial" w:hAnsi="Arial" w:cs="Arial"/>
          <w:sz w:val="24"/>
          <w:szCs w:val="24"/>
        </w:rPr>
        <w:t xml:space="preserve">further </w:t>
      </w:r>
      <w:r>
        <w:rPr>
          <w:rFonts w:ascii="Arial" w:hAnsi="Arial" w:cs="Arial"/>
          <w:sz w:val="24"/>
          <w:szCs w:val="24"/>
        </w:rPr>
        <w:t>submitted that the rights that accrued to the applicant</w:t>
      </w:r>
      <w:r w:rsidR="00EA4296">
        <w:rPr>
          <w:rFonts w:ascii="Arial" w:hAnsi="Arial" w:cs="Arial"/>
          <w:sz w:val="24"/>
          <w:szCs w:val="24"/>
        </w:rPr>
        <w:t>,</w:t>
      </w:r>
      <w:r>
        <w:rPr>
          <w:rFonts w:ascii="Arial" w:hAnsi="Arial" w:cs="Arial"/>
          <w:sz w:val="24"/>
          <w:szCs w:val="24"/>
        </w:rPr>
        <w:t xml:space="preserve"> in particular</w:t>
      </w:r>
      <w:r w:rsidR="00C2509B">
        <w:rPr>
          <w:rFonts w:ascii="Arial" w:hAnsi="Arial" w:cs="Arial"/>
          <w:sz w:val="24"/>
          <w:szCs w:val="24"/>
        </w:rPr>
        <w:t>,</w:t>
      </w:r>
      <w:r>
        <w:rPr>
          <w:rFonts w:ascii="Arial" w:hAnsi="Arial" w:cs="Arial"/>
          <w:sz w:val="24"/>
          <w:szCs w:val="24"/>
        </w:rPr>
        <w:t xml:space="preserve"> the right to participate in a procurement process that </w:t>
      </w:r>
      <w:r w:rsidR="002F3007">
        <w:rPr>
          <w:rFonts w:ascii="Arial" w:hAnsi="Arial" w:cs="Arial"/>
          <w:sz w:val="24"/>
          <w:szCs w:val="24"/>
        </w:rPr>
        <w:t>is fair</w:t>
      </w:r>
      <w:r w:rsidR="0037363E">
        <w:rPr>
          <w:rFonts w:ascii="Arial" w:hAnsi="Arial" w:cs="Arial"/>
          <w:sz w:val="24"/>
          <w:szCs w:val="24"/>
        </w:rPr>
        <w:t>,</w:t>
      </w:r>
      <w:r w:rsidR="002F3007">
        <w:rPr>
          <w:rFonts w:ascii="Arial" w:hAnsi="Arial" w:cs="Arial"/>
          <w:sz w:val="24"/>
          <w:szCs w:val="24"/>
        </w:rPr>
        <w:t xml:space="preserve"> equitable, transparent</w:t>
      </w:r>
      <w:r w:rsidR="00EA4296">
        <w:rPr>
          <w:rFonts w:ascii="Arial" w:hAnsi="Arial" w:cs="Arial"/>
          <w:sz w:val="24"/>
          <w:szCs w:val="24"/>
        </w:rPr>
        <w:t>,</w:t>
      </w:r>
      <w:r w:rsidR="002F3007">
        <w:rPr>
          <w:rFonts w:ascii="Arial" w:hAnsi="Arial" w:cs="Arial"/>
          <w:sz w:val="24"/>
          <w:szCs w:val="24"/>
        </w:rPr>
        <w:t xml:space="preserve"> competitive and costs effective are of the il</w:t>
      </w:r>
      <w:r w:rsidR="00EA4296">
        <w:rPr>
          <w:rFonts w:ascii="Arial" w:hAnsi="Arial" w:cs="Arial"/>
          <w:sz w:val="24"/>
          <w:szCs w:val="24"/>
        </w:rPr>
        <w:t>k</w:t>
      </w:r>
      <w:r w:rsidR="002F3007">
        <w:rPr>
          <w:rFonts w:ascii="Arial" w:hAnsi="Arial" w:cs="Arial"/>
          <w:sz w:val="24"/>
          <w:szCs w:val="24"/>
        </w:rPr>
        <w:t xml:space="preserve"> that our courts have</w:t>
      </w:r>
      <w:r w:rsidR="00EA4296">
        <w:rPr>
          <w:rFonts w:ascii="Arial" w:hAnsi="Arial" w:cs="Arial"/>
          <w:sz w:val="24"/>
          <w:szCs w:val="24"/>
        </w:rPr>
        <w:t>,</w:t>
      </w:r>
      <w:r w:rsidR="002F3007">
        <w:rPr>
          <w:rFonts w:ascii="Arial" w:hAnsi="Arial" w:cs="Arial"/>
          <w:sz w:val="24"/>
          <w:szCs w:val="24"/>
        </w:rPr>
        <w:t xml:space="preserve"> in a number of cases</w:t>
      </w:r>
      <w:r w:rsidR="00C2509B">
        <w:rPr>
          <w:rFonts w:ascii="Arial" w:hAnsi="Arial" w:cs="Arial"/>
          <w:sz w:val="24"/>
          <w:szCs w:val="24"/>
        </w:rPr>
        <w:t>,</w:t>
      </w:r>
      <w:r w:rsidR="002F3007">
        <w:rPr>
          <w:rFonts w:ascii="Arial" w:hAnsi="Arial" w:cs="Arial"/>
          <w:sz w:val="24"/>
          <w:szCs w:val="24"/>
        </w:rPr>
        <w:t xml:space="preserve"> said that they are worthy of protection.  Reference was made </w:t>
      </w:r>
      <w:r w:rsidR="001746BE">
        <w:rPr>
          <w:rFonts w:ascii="Arial" w:hAnsi="Arial" w:cs="Arial"/>
          <w:sz w:val="24"/>
          <w:szCs w:val="24"/>
        </w:rPr>
        <w:t xml:space="preserve">in the applicant’s heads of argument and during the oral hearing in court </w:t>
      </w:r>
      <w:r w:rsidR="002F3007">
        <w:rPr>
          <w:rFonts w:ascii="Arial" w:hAnsi="Arial" w:cs="Arial"/>
          <w:sz w:val="24"/>
          <w:szCs w:val="24"/>
        </w:rPr>
        <w:t xml:space="preserve">to a number of </w:t>
      </w:r>
      <w:r w:rsidR="001746BE">
        <w:rPr>
          <w:rFonts w:ascii="Arial" w:hAnsi="Arial" w:cs="Arial"/>
          <w:sz w:val="24"/>
          <w:szCs w:val="24"/>
        </w:rPr>
        <w:t xml:space="preserve">court </w:t>
      </w:r>
      <w:r w:rsidR="002F3007">
        <w:rPr>
          <w:rFonts w:ascii="Arial" w:hAnsi="Arial" w:cs="Arial"/>
          <w:sz w:val="24"/>
          <w:szCs w:val="24"/>
        </w:rPr>
        <w:t xml:space="preserve">decisions all the way to the Constitutional Court including the case of </w:t>
      </w:r>
      <w:r w:rsidR="002F3007" w:rsidRPr="002F3007">
        <w:rPr>
          <w:rFonts w:ascii="Arial" w:hAnsi="Arial" w:cs="Arial"/>
          <w:i/>
          <w:sz w:val="24"/>
          <w:szCs w:val="24"/>
        </w:rPr>
        <w:t>Fose</w:t>
      </w:r>
      <w:r w:rsidR="002F3007">
        <w:rPr>
          <w:rStyle w:val="FootnoteReference"/>
          <w:rFonts w:ascii="Arial" w:hAnsi="Arial" w:cs="Arial"/>
          <w:sz w:val="24"/>
          <w:szCs w:val="24"/>
        </w:rPr>
        <w:footnoteReference w:id="3"/>
      </w:r>
      <w:r w:rsidR="002F3007">
        <w:rPr>
          <w:rFonts w:ascii="Arial" w:hAnsi="Arial" w:cs="Arial"/>
          <w:sz w:val="24"/>
          <w:szCs w:val="24"/>
        </w:rPr>
        <w:t xml:space="preserve"> in which the centrality of a litigant’s rights to a just, equitable and effective relief in our constitutional order was emphasized in the following terms:</w:t>
      </w:r>
    </w:p>
    <w:p w:rsidR="002F3007" w:rsidRPr="00374954" w:rsidRDefault="00752895" w:rsidP="00374954">
      <w:pPr>
        <w:spacing w:line="360" w:lineRule="auto"/>
        <w:ind w:left="720"/>
        <w:jc w:val="both"/>
        <w:rPr>
          <w:rFonts w:ascii="Arial" w:hAnsi="Arial" w:cs="Arial"/>
        </w:rPr>
      </w:pPr>
      <w:r w:rsidRPr="00374954">
        <w:rPr>
          <w:rFonts w:ascii="Arial" w:hAnsi="Arial" w:cs="Arial"/>
        </w:rPr>
        <w:t>“Given the historical context in which the interim Constitution was adopted and the extensive violation of fundamental rights which had preceded it, I have no doubt that this Court has a particular duty to ensure that</w:t>
      </w:r>
      <w:r w:rsidR="00C2509B">
        <w:rPr>
          <w:rFonts w:ascii="Arial" w:hAnsi="Arial" w:cs="Arial"/>
        </w:rPr>
        <w:t>,</w:t>
      </w:r>
      <w:r w:rsidRPr="00374954">
        <w:rPr>
          <w:rFonts w:ascii="Arial" w:hAnsi="Arial" w:cs="Arial"/>
        </w:rPr>
        <w:t xml:space="preserve"> within the bounds of the Constitution, effective relief be granted for the infringement of any of the rights entrenched in it.   In our context an appropriate remedy must mean an effective remedy, for without effective remedies for breach</w:t>
      </w:r>
      <w:r w:rsidR="00EA4296">
        <w:rPr>
          <w:rFonts w:ascii="Arial" w:hAnsi="Arial" w:cs="Arial"/>
        </w:rPr>
        <w:t>,</w:t>
      </w:r>
      <w:r w:rsidRPr="00374954">
        <w:rPr>
          <w:rFonts w:ascii="Arial" w:hAnsi="Arial" w:cs="Arial"/>
        </w:rPr>
        <w:t xml:space="preserve"> the values underlying and the rights entrenched in the Constitution cannot properly be upheld or enhanced.  Particularly in a country where so few have the means to enforce their rights through the courts</w:t>
      </w:r>
      <w:r w:rsidR="00EA4296">
        <w:rPr>
          <w:rFonts w:ascii="Arial" w:hAnsi="Arial" w:cs="Arial"/>
        </w:rPr>
        <w:t>,</w:t>
      </w:r>
      <w:r w:rsidRPr="00374954">
        <w:rPr>
          <w:rFonts w:ascii="Arial" w:hAnsi="Arial" w:cs="Arial"/>
        </w:rPr>
        <w:t xml:space="preserve"> it is essential that on those occasions when the legal process does establish that </w:t>
      </w:r>
      <w:r w:rsidR="00EA4296">
        <w:rPr>
          <w:rFonts w:ascii="Arial" w:hAnsi="Arial" w:cs="Arial"/>
        </w:rPr>
        <w:t>a</w:t>
      </w:r>
      <w:r w:rsidRPr="00374954">
        <w:rPr>
          <w:rFonts w:ascii="Arial" w:hAnsi="Arial" w:cs="Arial"/>
        </w:rPr>
        <w:t xml:space="preserve">n infringement of an entrenched right has occurred, it be effectively vindicated.  The courts have a particular responsibility in this regard </w:t>
      </w:r>
      <w:r w:rsidR="00DA0A8A">
        <w:rPr>
          <w:rFonts w:ascii="Arial" w:hAnsi="Arial" w:cs="Arial"/>
        </w:rPr>
        <w:t>and are obliged to “forg</w:t>
      </w:r>
      <w:r w:rsidR="001E1835" w:rsidRPr="00374954">
        <w:rPr>
          <w:rFonts w:ascii="Arial" w:hAnsi="Arial" w:cs="Arial"/>
        </w:rPr>
        <w:t xml:space="preserve">e new tools” and shape innovative remedies if needs be to achieve this goal.” </w:t>
      </w:r>
    </w:p>
    <w:p w:rsidR="00B04B72" w:rsidRDefault="00B04B72" w:rsidP="00742860">
      <w:pPr>
        <w:spacing w:line="480" w:lineRule="auto"/>
        <w:jc w:val="both"/>
        <w:rPr>
          <w:rFonts w:ascii="Arial" w:hAnsi="Arial" w:cs="Arial"/>
          <w:sz w:val="24"/>
          <w:szCs w:val="24"/>
        </w:rPr>
      </w:pPr>
      <w:r>
        <w:rPr>
          <w:rFonts w:ascii="Arial" w:hAnsi="Arial" w:cs="Arial"/>
          <w:sz w:val="24"/>
          <w:szCs w:val="24"/>
        </w:rPr>
        <w:t>[1</w:t>
      </w:r>
      <w:r w:rsidR="00C833AF">
        <w:rPr>
          <w:rFonts w:ascii="Arial" w:hAnsi="Arial" w:cs="Arial"/>
          <w:sz w:val="24"/>
          <w:szCs w:val="24"/>
        </w:rPr>
        <w:t>3</w:t>
      </w:r>
      <w:r>
        <w:rPr>
          <w:rFonts w:ascii="Arial" w:hAnsi="Arial" w:cs="Arial"/>
          <w:sz w:val="24"/>
          <w:szCs w:val="24"/>
        </w:rPr>
        <w:t>] What in essence was submitted on behalf of the applicant was that the rights that applicant has in a fair tendering process as provided for in section 217 of the Constitution are the entrenched rights that deserve protection from the courts.  Therefore</w:t>
      </w:r>
      <w:r w:rsidR="00303033">
        <w:rPr>
          <w:rFonts w:ascii="Arial" w:hAnsi="Arial" w:cs="Arial"/>
          <w:sz w:val="24"/>
          <w:szCs w:val="24"/>
        </w:rPr>
        <w:t>,</w:t>
      </w:r>
      <w:r>
        <w:rPr>
          <w:rFonts w:ascii="Arial" w:hAnsi="Arial" w:cs="Arial"/>
          <w:sz w:val="24"/>
          <w:szCs w:val="24"/>
        </w:rPr>
        <w:t xml:space="preserve"> leave to appeal should be granted to prevent the applicant’s rights which </w:t>
      </w:r>
      <w:r>
        <w:rPr>
          <w:rFonts w:ascii="Arial" w:hAnsi="Arial" w:cs="Arial"/>
          <w:sz w:val="24"/>
          <w:szCs w:val="24"/>
        </w:rPr>
        <w:lastRenderedPageBreak/>
        <w:t>were vindicated in its</w:t>
      </w:r>
      <w:r w:rsidR="006A503D">
        <w:rPr>
          <w:rFonts w:ascii="Arial" w:hAnsi="Arial" w:cs="Arial"/>
          <w:sz w:val="24"/>
          <w:szCs w:val="24"/>
        </w:rPr>
        <w:t xml:space="preserve"> success in the main application from </w:t>
      </w:r>
      <w:r w:rsidR="003C3023">
        <w:rPr>
          <w:rFonts w:ascii="Arial" w:hAnsi="Arial" w:cs="Arial"/>
          <w:sz w:val="24"/>
          <w:szCs w:val="24"/>
        </w:rPr>
        <w:t>coming to nought</w:t>
      </w:r>
      <w:r w:rsidR="006A503D">
        <w:rPr>
          <w:rFonts w:ascii="Arial" w:hAnsi="Arial" w:cs="Arial"/>
          <w:sz w:val="24"/>
          <w:szCs w:val="24"/>
        </w:rPr>
        <w:t>.</w:t>
      </w:r>
      <w:r w:rsidR="00DA0A8A">
        <w:rPr>
          <w:rFonts w:ascii="Arial" w:hAnsi="Arial" w:cs="Arial"/>
          <w:sz w:val="24"/>
          <w:szCs w:val="24"/>
        </w:rPr>
        <w:t xml:space="preserve">  The submission was that in all these circumstances, the applicant enjoys reasonable prospects of success on appeal.</w:t>
      </w:r>
    </w:p>
    <w:p w:rsidR="006A503D" w:rsidRDefault="006A503D" w:rsidP="00742860">
      <w:pPr>
        <w:spacing w:line="480" w:lineRule="auto"/>
        <w:jc w:val="both"/>
        <w:rPr>
          <w:rFonts w:ascii="Arial" w:hAnsi="Arial" w:cs="Arial"/>
          <w:sz w:val="24"/>
          <w:szCs w:val="24"/>
        </w:rPr>
      </w:pPr>
      <w:r>
        <w:rPr>
          <w:rFonts w:ascii="Arial" w:hAnsi="Arial" w:cs="Arial"/>
          <w:sz w:val="24"/>
          <w:szCs w:val="24"/>
        </w:rPr>
        <w:t>[1</w:t>
      </w:r>
      <w:r w:rsidR="00C833AF">
        <w:rPr>
          <w:rFonts w:ascii="Arial" w:hAnsi="Arial" w:cs="Arial"/>
          <w:sz w:val="24"/>
          <w:szCs w:val="24"/>
        </w:rPr>
        <w:t>4</w:t>
      </w:r>
      <w:r>
        <w:rPr>
          <w:rFonts w:ascii="Arial" w:hAnsi="Arial" w:cs="Arial"/>
          <w:sz w:val="24"/>
          <w:szCs w:val="24"/>
        </w:rPr>
        <w:t xml:space="preserve">] Counsel for the municipal </w:t>
      </w:r>
      <w:r w:rsidR="00EA4296">
        <w:rPr>
          <w:rFonts w:ascii="Arial" w:hAnsi="Arial" w:cs="Arial"/>
          <w:sz w:val="24"/>
          <w:szCs w:val="24"/>
        </w:rPr>
        <w:t>respondents</w:t>
      </w:r>
      <w:r>
        <w:rPr>
          <w:rFonts w:ascii="Arial" w:hAnsi="Arial" w:cs="Arial"/>
          <w:sz w:val="24"/>
          <w:szCs w:val="24"/>
        </w:rPr>
        <w:t xml:space="preserve"> referred </w:t>
      </w:r>
      <w:r w:rsidR="00F04468">
        <w:rPr>
          <w:rFonts w:ascii="Arial" w:hAnsi="Arial" w:cs="Arial"/>
          <w:sz w:val="24"/>
          <w:szCs w:val="24"/>
        </w:rPr>
        <w:t xml:space="preserve">the court </w:t>
      </w:r>
      <w:r>
        <w:rPr>
          <w:rFonts w:ascii="Arial" w:hAnsi="Arial" w:cs="Arial"/>
          <w:sz w:val="24"/>
          <w:szCs w:val="24"/>
        </w:rPr>
        <w:t xml:space="preserve">to the case of </w:t>
      </w:r>
      <w:r w:rsidRPr="00945676">
        <w:rPr>
          <w:rFonts w:ascii="Arial" w:hAnsi="Arial" w:cs="Arial"/>
          <w:i/>
          <w:sz w:val="24"/>
          <w:szCs w:val="24"/>
        </w:rPr>
        <w:t>South Cape Corporation</w:t>
      </w:r>
      <w:r>
        <w:rPr>
          <w:rStyle w:val="FootnoteReference"/>
          <w:rFonts w:ascii="Arial" w:hAnsi="Arial" w:cs="Arial"/>
          <w:sz w:val="24"/>
          <w:szCs w:val="24"/>
        </w:rPr>
        <w:footnoteReference w:id="4"/>
      </w:r>
      <w:r>
        <w:rPr>
          <w:rFonts w:ascii="Arial" w:hAnsi="Arial" w:cs="Arial"/>
          <w:sz w:val="24"/>
          <w:szCs w:val="24"/>
        </w:rPr>
        <w:t xml:space="preserve"> in which Corbett JA, as he then was said:</w:t>
      </w:r>
    </w:p>
    <w:p w:rsidR="00945676" w:rsidRPr="00374954" w:rsidRDefault="00945676" w:rsidP="00374954">
      <w:pPr>
        <w:spacing w:line="360" w:lineRule="auto"/>
        <w:ind w:left="720"/>
        <w:jc w:val="both"/>
        <w:rPr>
          <w:rFonts w:ascii="Arial" w:hAnsi="Arial" w:cs="Arial"/>
        </w:rPr>
      </w:pPr>
      <w:r w:rsidRPr="00374954">
        <w:rPr>
          <w:rFonts w:ascii="Arial" w:hAnsi="Arial" w:cs="Arial"/>
        </w:rPr>
        <w:t>“Approaching the matter on principle, one starts with the basic rule that the due noting of an appeal suspe</w:t>
      </w:r>
      <w:r w:rsidR="007D3A30">
        <w:rPr>
          <w:rFonts w:ascii="Arial" w:hAnsi="Arial" w:cs="Arial"/>
        </w:rPr>
        <w:t>nds</w:t>
      </w:r>
      <w:r w:rsidRPr="00374954">
        <w:rPr>
          <w:rFonts w:ascii="Arial" w:hAnsi="Arial" w:cs="Arial"/>
        </w:rPr>
        <w:t xml:space="preserve"> the operation of the judgment and that, if the party in whose favour it has been given wishes it to be put into execution, he must make special application for leave to do so.  He, being the claimant for relief, must satisfy the Court that th</w:t>
      </w:r>
      <w:r w:rsidR="00C2509B">
        <w:rPr>
          <w:rFonts w:ascii="Arial" w:hAnsi="Arial" w:cs="Arial"/>
        </w:rPr>
        <w:t>er</w:t>
      </w:r>
      <w:r w:rsidRPr="00374954">
        <w:rPr>
          <w:rFonts w:ascii="Arial" w:hAnsi="Arial" w:cs="Arial"/>
        </w:rPr>
        <w:t xml:space="preserve">e are good grounds for the exercise by the Court of its general discretion in his favour.   This means that the overall </w:t>
      </w:r>
      <w:r w:rsidRPr="00C2509B">
        <w:rPr>
          <w:rFonts w:ascii="Arial" w:hAnsi="Arial" w:cs="Arial"/>
          <w:i/>
        </w:rPr>
        <w:t>onus</w:t>
      </w:r>
      <w:r w:rsidRPr="00374954">
        <w:rPr>
          <w:rFonts w:ascii="Arial" w:hAnsi="Arial" w:cs="Arial"/>
        </w:rPr>
        <w:t xml:space="preserve"> of establishing a proper case for the grant of leave to execute would rest upon the applicant and, if at the end of the hearing the Court were left in doubt as to the essential facts or as to whether it was an appropriate case of the grant of leave</w:t>
      </w:r>
      <w:r w:rsidR="00C2509B">
        <w:rPr>
          <w:rFonts w:ascii="Arial" w:hAnsi="Arial" w:cs="Arial"/>
        </w:rPr>
        <w:t>,</w:t>
      </w:r>
      <w:r w:rsidRPr="00374954">
        <w:rPr>
          <w:rFonts w:ascii="Arial" w:hAnsi="Arial" w:cs="Arial"/>
        </w:rPr>
        <w:t xml:space="preserve"> then the application should be refused.”</w:t>
      </w:r>
    </w:p>
    <w:p w:rsidR="00945676" w:rsidRDefault="005B375E" w:rsidP="00742860">
      <w:pPr>
        <w:spacing w:line="480" w:lineRule="auto"/>
        <w:jc w:val="both"/>
        <w:rPr>
          <w:rFonts w:ascii="Arial" w:hAnsi="Arial" w:cs="Arial"/>
          <w:sz w:val="24"/>
          <w:szCs w:val="24"/>
        </w:rPr>
      </w:pPr>
      <w:r>
        <w:rPr>
          <w:rFonts w:ascii="Arial" w:hAnsi="Arial" w:cs="Arial"/>
          <w:sz w:val="24"/>
          <w:szCs w:val="24"/>
        </w:rPr>
        <w:t>[1</w:t>
      </w:r>
      <w:r w:rsidR="00C833AF">
        <w:rPr>
          <w:rFonts w:ascii="Arial" w:hAnsi="Arial" w:cs="Arial"/>
          <w:sz w:val="24"/>
          <w:szCs w:val="24"/>
        </w:rPr>
        <w:t>5</w:t>
      </w:r>
      <w:r>
        <w:rPr>
          <w:rFonts w:ascii="Arial" w:hAnsi="Arial" w:cs="Arial"/>
          <w:sz w:val="24"/>
          <w:szCs w:val="24"/>
        </w:rPr>
        <w:t xml:space="preserve">] In the section 18 (3) application I came to the conclusion that the applicant had failed in establishing a proper case for the grant to it of the execution order it sought in that it had not satisfied the statutory requirements ordained in section 18 of the Superior Courts Act.  Having read the well written heads of argument by both counsel for which </w:t>
      </w:r>
      <w:r w:rsidR="00C2509B">
        <w:rPr>
          <w:rFonts w:ascii="Arial" w:hAnsi="Arial" w:cs="Arial"/>
          <w:sz w:val="24"/>
          <w:szCs w:val="24"/>
        </w:rPr>
        <w:t>I am very</w:t>
      </w:r>
      <w:r>
        <w:rPr>
          <w:rFonts w:ascii="Arial" w:hAnsi="Arial" w:cs="Arial"/>
          <w:sz w:val="24"/>
          <w:szCs w:val="24"/>
        </w:rPr>
        <w:t xml:space="preserve"> grateful and having heard the incisive submissions made during the oral hearing of the application for leave to appeal</w:t>
      </w:r>
      <w:r w:rsidR="00967AD1">
        <w:rPr>
          <w:rFonts w:ascii="Arial" w:hAnsi="Arial" w:cs="Arial"/>
          <w:sz w:val="24"/>
          <w:szCs w:val="24"/>
        </w:rPr>
        <w:t>,</w:t>
      </w:r>
      <w:r>
        <w:rPr>
          <w:rFonts w:ascii="Arial" w:hAnsi="Arial" w:cs="Arial"/>
          <w:sz w:val="24"/>
          <w:szCs w:val="24"/>
        </w:rPr>
        <w:t xml:space="preserve"> I am not swayed that I erred in dismissing the application for </w:t>
      </w:r>
      <w:r w:rsidR="007D3A30">
        <w:rPr>
          <w:rFonts w:ascii="Arial" w:hAnsi="Arial" w:cs="Arial"/>
          <w:sz w:val="24"/>
          <w:szCs w:val="24"/>
        </w:rPr>
        <w:t xml:space="preserve">the granting of the </w:t>
      </w:r>
      <w:r>
        <w:rPr>
          <w:rFonts w:ascii="Arial" w:hAnsi="Arial" w:cs="Arial"/>
          <w:sz w:val="24"/>
          <w:szCs w:val="24"/>
        </w:rPr>
        <w:t xml:space="preserve">execution order for the reasons stated in my judgment.  Therefore, I am not of the opinion that the appeal would have </w:t>
      </w:r>
      <w:r w:rsidR="00982DB6">
        <w:rPr>
          <w:rFonts w:ascii="Arial" w:hAnsi="Arial" w:cs="Arial"/>
          <w:sz w:val="24"/>
          <w:szCs w:val="24"/>
        </w:rPr>
        <w:t xml:space="preserve">a </w:t>
      </w:r>
      <w:r>
        <w:rPr>
          <w:rFonts w:ascii="Arial" w:hAnsi="Arial" w:cs="Arial"/>
          <w:sz w:val="24"/>
          <w:szCs w:val="24"/>
        </w:rPr>
        <w:t xml:space="preserve">reasonable prospect of success.  </w:t>
      </w:r>
      <w:r w:rsidR="007D3A30">
        <w:rPr>
          <w:rFonts w:ascii="Arial" w:hAnsi="Arial" w:cs="Arial"/>
          <w:sz w:val="24"/>
          <w:szCs w:val="24"/>
        </w:rPr>
        <w:t xml:space="preserve">In fact, I am of the view that in addition to the appeal having no prospect of success, granting the application for leave </w:t>
      </w:r>
      <w:r w:rsidR="00C2509B">
        <w:rPr>
          <w:rFonts w:ascii="Arial" w:hAnsi="Arial" w:cs="Arial"/>
          <w:sz w:val="24"/>
          <w:szCs w:val="24"/>
        </w:rPr>
        <w:t xml:space="preserve">to appeal </w:t>
      </w:r>
      <w:r w:rsidR="007D3A30">
        <w:rPr>
          <w:rFonts w:ascii="Arial" w:hAnsi="Arial" w:cs="Arial"/>
          <w:sz w:val="24"/>
          <w:szCs w:val="24"/>
        </w:rPr>
        <w:t>now just before the appeal in the main judgment is hea</w:t>
      </w:r>
      <w:r w:rsidR="00C2509B">
        <w:rPr>
          <w:rFonts w:ascii="Arial" w:hAnsi="Arial" w:cs="Arial"/>
          <w:sz w:val="24"/>
          <w:szCs w:val="24"/>
        </w:rPr>
        <w:t>r</w:t>
      </w:r>
      <w:r w:rsidR="007D3A30">
        <w:rPr>
          <w:rFonts w:ascii="Arial" w:hAnsi="Arial" w:cs="Arial"/>
          <w:sz w:val="24"/>
          <w:szCs w:val="24"/>
        </w:rPr>
        <w:t xml:space="preserve">d would be counterintuitive.  </w:t>
      </w:r>
      <w:r>
        <w:rPr>
          <w:rFonts w:ascii="Arial" w:hAnsi="Arial" w:cs="Arial"/>
          <w:sz w:val="24"/>
          <w:szCs w:val="24"/>
        </w:rPr>
        <w:lastRenderedPageBreak/>
        <w:t>Furthermore</w:t>
      </w:r>
      <w:r w:rsidR="004112BE">
        <w:rPr>
          <w:rFonts w:ascii="Arial" w:hAnsi="Arial" w:cs="Arial"/>
          <w:sz w:val="24"/>
          <w:szCs w:val="24"/>
        </w:rPr>
        <w:t>,</w:t>
      </w:r>
      <w:r>
        <w:rPr>
          <w:rFonts w:ascii="Arial" w:hAnsi="Arial" w:cs="Arial"/>
          <w:sz w:val="24"/>
          <w:szCs w:val="24"/>
        </w:rPr>
        <w:t xml:space="preserve"> it was not argued that there was a compelling reason for the appeal to be heard.  I also am not of the opinion that a compelling reason why the appeal should be heard exists.</w:t>
      </w:r>
    </w:p>
    <w:p w:rsidR="005B375E" w:rsidRDefault="005B375E" w:rsidP="00742860">
      <w:pPr>
        <w:spacing w:line="480" w:lineRule="auto"/>
        <w:jc w:val="both"/>
        <w:rPr>
          <w:rFonts w:ascii="Arial" w:hAnsi="Arial" w:cs="Arial"/>
          <w:sz w:val="24"/>
          <w:szCs w:val="24"/>
        </w:rPr>
      </w:pPr>
      <w:r>
        <w:rPr>
          <w:rFonts w:ascii="Arial" w:hAnsi="Arial" w:cs="Arial"/>
          <w:sz w:val="24"/>
          <w:szCs w:val="24"/>
        </w:rPr>
        <w:t>[1</w:t>
      </w:r>
      <w:r w:rsidR="00C833AF">
        <w:rPr>
          <w:rFonts w:ascii="Arial" w:hAnsi="Arial" w:cs="Arial"/>
          <w:sz w:val="24"/>
          <w:szCs w:val="24"/>
        </w:rPr>
        <w:t>6</w:t>
      </w:r>
      <w:r>
        <w:rPr>
          <w:rFonts w:ascii="Arial" w:hAnsi="Arial" w:cs="Arial"/>
          <w:sz w:val="24"/>
          <w:szCs w:val="24"/>
        </w:rPr>
        <w:t>] In the result the following order shall issue:</w:t>
      </w:r>
    </w:p>
    <w:p w:rsidR="005B375E" w:rsidRDefault="005B375E" w:rsidP="00742860">
      <w:pPr>
        <w:spacing w:line="480" w:lineRule="auto"/>
        <w:jc w:val="both"/>
        <w:rPr>
          <w:rFonts w:ascii="Arial" w:hAnsi="Arial" w:cs="Arial"/>
          <w:sz w:val="24"/>
          <w:szCs w:val="24"/>
        </w:rPr>
      </w:pPr>
      <w:r>
        <w:rPr>
          <w:rFonts w:ascii="Arial" w:hAnsi="Arial" w:cs="Arial"/>
          <w:sz w:val="24"/>
          <w:szCs w:val="24"/>
        </w:rPr>
        <w:t>1. The application for leave to appeal is dismissed.</w:t>
      </w:r>
    </w:p>
    <w:p w:rsidR="00310195" w:rsidRDefault="005B375E" w:rsidP="00310195">
      <w:pPr>
        <w:spacing w:line="480" w:lineRule="auto"/>
        <w:ind w:left="284" w:hanging="284"/>
        <w:jc w:val="both"/>
        <w:rPr>
          <w:rFonts w:ascii="Arial" w:hAnsi="Arial" w:cs="Arial"/>
          <w:sz w:val="24"/>
          <w:szCs w:val="24"/>
        </w:rPr>
      </w:pPr>
      <w:r>
        <w:rPr>
          <w:rFonts w:ascii="Arial" w:hAnsi="Arial" w:cs="Arial"/>
          <w:sz w:val="24"/>
          <w:szCs w:val="24"/>
        </w:rPr>
        <w:t xml:space="preserve">2. The applicant is ordered to pay costs </w:t>
      </w:r>
      <w:r w:rsidR="00982DB6">
        <w:rPr>
          <w:rFonts w:ascii="Arial" w:hAnsi="Arial" w:cs="Arial"/>
          <w:sz w:val="24"/>
          <w:szCs w:val="24"/>
        </w:rPr>
        <w:t xml:space="preserve">of the application for leave to appeal </w:t>
      </w:r>
      <w:r>
        <w:rPr>
          <w:rFonts w:ascii="Arial" w:hAnsi="Arial" w:cs="Arial"/>
          <w:sz w:val="24"/>
          <w:szCs w:val="24"/>
        </w:rPr>
        <w:t>including costs consequent upon the employment of two counsel.</w:t>
      </w:r>
    </w:p>
    <w:p w:rsidR="009A381D" w:rsidRDefault="009A381D" w:rsidP="00310195">
      <w:pPr>
        <w:spacing w:line="480" w:lineRule="auto"/>
        <w:ind w:left="284" w:hanging="284"/>
        <w:jc w:val="both"/>
        <w:rPr>
          <w:rFonts w:ascii="Arial" w:hAnsi="Arial" w:cs="Arial"/>
          <w:sz w:val="24"/>
          <w:szCs w:val="24"/>
        </w:rPr>
      </w:pPr>
    </w:p>
    <w:p w:rsidR="00A404CC" w:rsidRDefault="00A404CC" w:rsidP="00310195">
      <w:pPr>
        <w:spacing w:line="480" w:lineRule="auto"/>
        <w:ind w:left="284" w:hanging="284"/>
        <w:jc w:val="both"/>
        <w:rPr>
          <w:rFonts w:ascii="Arial" w:hAnsi="Arial" w:cs="Arial"/>
          <w:sz w:val="24"/>
          <w:szCs w:val="24"/>
        </w:rPr>
      </w:pPr>
    </w:p>
    <w:p w:rsidR="009A381D" w:rsidRDefault="009A381D" w:rsidP="00310195">
      <w:pPr>
        <w:spacing w:line="480" w:lineRule="auto"/>
        <w:ind w:left="284" w:hanging="284"/>
        <w:jc w:val="both"/>
        <w:rPr>
          <w:rFonts w:ascii="Arial" w:hAnsi="Arial" w:cs="Arial"/>
          <w:b/>
          <w:sz w:val="24"/>
          <w:szCs w:val="24"/>
        </w:rPr>
      </w:pPr>
      <w:r>
        <w:rPr>
          <w:rFonts w:ascii="Arial" w:hAnsi="Arial" w:cs="Arial"/>
          <w:b/>
          <w:sz w:val="24"/>
          <w:szCs w:val="24"/>
        </w:rPr>
        <w:t>_________________________</w:t>
      </w:r>
    </w:p>
    <w:p w:rsidR="009A381D" w:rsidRDefault="009A381D" w:rsidP="00310195">
      <w:pPr>
        <w:spacing w:line="480" w:lineRule="auto"/>
        <w:ind w:left="284" w:hanging="284"/>
        <w:jc w:val="both"/>
        <w:rPr>
          <w:rFonts w:ascii="Arial" w:hAnsi="Arial" w:cs="Arial"/>
          <w:b/>
          <w:sz w:val="24"/>
          <w:szCs w:val="24"/>
        </w:rPr>
      </w:pPr>
      <w:r>
        <w:rPr>
          <w:rFonts w:ascii="Arial" w:hAnsi="Arial" w:cs="Arial"/>
          <w:b/>
          <w:sz w:val="24"/>
          <w:szCs w:val="24"/>
        </w:rPr>
        <w:t>M.S. JOLWANA</w:t>
      </w:r>
    </w:p>
    <w:p w:rsidR="009A381D" w:rsidRDefault="009A381D" w:rsidP="00310195">
      <w:pPr>
        <w:spacing w:line="480" w:lineRule="auto"/>
        <w:ind w:left="284" w:hanging="284"/>
        <w:jc w:val="both"/>
        <w:rPr>
          <w:rFonts w:ascii="Arial" w:hAnsi="Arial" w:cs="Arial"/>
          <w:b/>
          <w:sz w:val="24"/>
          <w:szCs w:val="24"/>
        </w:rPr>
      </w:pPr>
      <w:r>
        <w:rPr>
          <w:rFonts w:ascii="Arial" w:hAnsi="Arial" w:cs="Arial"/>
          <w:b/>
          <w:sz w:val="24"/>
          <w:szCs w:val="24"/>
        </w:rPr>
        <w:t>JUDGE OF THE HIGH COURT</w:t>
      </w:r>
    </w:p>
    <w:p w:rsidR="00A404CC" w:rsidRDefault="00A404CC" w:rsidP="00310195">
      <w:pPr>
        <w:spacing w:line="480" w:lineRule="auto"/>
        <w:ind w:left="284" w:hanging="284"/>
        <w:jc w:val="both"/>
        <w:rPr>
          <w:rFonts w:ascii="Arial" w:hAnsi="Arial" w:cs="Arial"/>
          <w:sz w:val="24"/>
          <w:szCs w:val="24"/>
        </w:rPr>
      </w:pPr>
    </w:p>
    <w:p w:rsidR="00D7053C" w:rsidRDefault="00D7053C" w:rsidP="00310195">
      <w:pPr>
        <w:spacing w:line="480" w:lineRule="auto"/>
        <w:ind w:left="284" w:hanging="284"/>
        <w:jc w:val="both"/>
        <w:rPr>
          <w:rFonts w:ascii="Arial" w:hAnsi="Arial" w:cs="Arial"/>
          <w:sz w:val="24"/>
          <w:szCs w:val="24"/>
        </w:rPr>
      </w:pPr>
      <w:r>
        <w:rPr>
          <w:rFonts w:ascii="Arial" w:hAnsi="Arial" w:cs="Arial"/>
          <w:sz w:val="24"/>
          <w:szCs w:val="24"/>
        </w:rPr>
        <w:t>Appearance:</w:t>
      </w:r>
    </w:p>
    <w:p w:rsidR="00F27C92" w:rsidRDefault="00F27C92" w:rsidP="00F27C92">
      <w:pPr>
        <w:spacing w:line="480" w:lineRule="auto"/>
        <w:jc w:val="both"/>
        <w:rPr>
          <w:rFonts w:ascii="Arial" w:hAnsi="Arial" w:cs="Arial"/>
          <w:sz w:val="24"/>
          <w:szCs w:val="24"/>
          <w:lang w:val="en-GB"/>
        </w:rPr>
      </w:pPr>
      <w:r>
        <w:rPr>
          <w:rFonts w:ascii="Arial" w:hAnsi="Arial" w:cs="Arial"/>
          <w:sz w:val="24"/>
          <w:szCs w:val="24"/>
          <w:lang w:val="en-GB"/>
        </w:rPr>
        <w:t>Counsel for the applicant</w:t>
      </w:r>
      <w:r>
        <w:rPr>
          <w:rFonts w:ascii="Arial" w:hAnsi="Arial" w:cs="Arial"/>
          <w:sz w:val="24"/>
          <w:szCs w:val="24"/>
          <w:lang w:val="en-GB"/>
        </w:rPr>
        <w:tab/>
        <w:t>:</w:t>
      </w:r>
      <w:r w:rsidR="00432CD4">
        <w:rPr>
          <w:rFonts w:ascii="Arial" w:hAnsi="Arial" w:cs="Arial"/>
          <w:sz w:val="24"/>
          <w:szCs w:val="24"/>
          <w:lang w:val="en-GB"/>
        </w:rPr>
        <w:t xml:space="preserve"> </w:t>
      </w:r>
      <w:r>
        <w:rPr>
          <w:rFonts w:ascii="Arial" w:hAnsi="Arial" w:cs="Arial"/>
          <w:sz w:val="24"/>
          <w:szCs w:val="24"/>
          <w:lang w:val="en-GB"/>
        </w:rPr>
        <w:t>N. STEIN</w:t>
      </w:r>
    </w:p>
    <w:p w:rsidR="00F27C92" w:rsidRDefault="00F27C92" w:rsidP="00F27C92">
      <w:pPr>
        <w:spacing w:line="480" w:lineRule="auto"/>
        <w:jc w:val="both"/>
        <w:rPr>
          <w:rFonts w:ascii="Arial" w:hAnsi="Arial" w:cs="Arial"/>
          <w:sz w:val="24"/>
          <w:szCs w:val="24"/>
          <w:lang w:val="en-GB"/>
        </w:rPr>
      </w:pPr>
      <w:r>
        <w:rPr>
          <w:rFonts w:ascii="Arial" w:hAnsi="Arial" w:cs="Arial"/>
          <w:sz w:val="24"/>
          <w:szCs w:val="24"/>
          <w:lang w:val="en-GB"/>
        </w:rPr>
        <w:t xml:space="preserve">Instructed by </w:t>
      </w:r>
      <w:r>
        <w:rPr>
          <w:rFonts w:ascii="Arial" w:hAnsi="Arial" w:cs="Arial"/>
          <w:sz w:val="24"/>
          <w:szCs w:val="24"/>
          <w:lang w:val="en-GB"/>
        </w:rPr>
        <w:tab/>
      </w:r>
      <w:r>
        <w:rPr>
          <w:rFonts w:ascii="Arial" w:hAnsi="Arial" w:cs="Arial"/>
          <w:sz w:val="24"/>
          <w:szCs w:val="24"/>
          <w:lang w:val="en-GB"/>
        </w:rPr>
        <w:tab/>
        <w:t>: PN MOLETSANE ATTORNEYS INC.</w:t>
      </w:r>
    </w:p>
    <w:p w:rsidR="00F27C92" w:rsidRDefault="00F27C92" w:rsidP="00F27C92">
      <w:pPr>
        <w:spacing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c/o CLOETE AND CO. ATTORNEYS</w:t>
      </w:r>
    </w:p>
    <w:p w:rsidR="00F27C92" w:rsidRPr="009F38C6" w:rsidRDefault="00F27C92" w:rsidP="00F27C92">
      <w:pPr>
        <w:spacing w:line="48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9F38C6">
        <w:rPr>
          <w:rFonts w:ascii="Arial" w:hAnsi="Arial" w:cs="Arial"/>
          <w:b/>
          <w:sz w:val="24"/>
          <w:szCs w:val="24"/>
          <w:lang w:val="en-GB"/>
        </w:rPr>
        <w:t>GRAHAMSTOWN</w:t>
      </w:r>
    </w:p>
    <w:p w:rsidR="00A404CC" w:rsidRDefault="00A404CC" w:rsidP="00F27C92">
      <w:pPr>
        <w:spacing w:line="480" w:lineRule="auto"/>
        <w:jc w:val="both"/>
        <w:rPr>
          <w:rFonts w:ascii="Arial" w:hAnsi="Arial" w:cs="Arial"/>
          <w:sz w:val="24"/>
          <w:szCs w:val="24"/>
          <w:lang w:val="en-GB"/>
        </w:rPr>
      </w:pPr>
    </w:p>
    <w:p w:rsidR="00A404CC" w:rsidRDefault="00A404CC" w:rsidP="00F27C92">
      <w:pPr>
        <w:spacing w:line="480" w:lineRule="auto"/>
        <w:jc w:val="both"/>
        <w:rPr>
          <w:rFonts w:ascii="Arial" w:hAnsi="Arial" w:cs="Arial"/>
          <w:sz w:val="24"/>
          <w:szCs w:val="24"/>
          <w:lang w:val="en-GB"/>
        </w:rPr>
      </w:pPr>
    </w:p>
    <w:p w:rsidR="00F27C92" w:rsidRDefault="00F27C92" w:rsidP="00F27C92">
      <w:pPr>
        <w:spacing w:line="480" w:lineRule="auto"/>
        <w:jc w:val="both"/>
        <w:rPr>
          <w:rFonts w:ascii="Arial" w:hAnsi="Arial" w:cs="Arial"/>
          <w:sz w:val="24"/>
          <w:szCs w:val="24"/>
          <w:lang w:val="en-GB"/>
        </w:rPr>
      </w:pPr>
      <w:r>
        <w:rPr>
          <w:rFonts w:ascii="Arial" w:hAnsi="Arial" w:cs="Arial"/>
          <w:sz w:val="24"/>
          <w:szCs w:val="24"/>
          <w:lang w:val="en-GB"/>
        </w:rPr>
        <w:lastRenderedPageBreak/>
        <w:t>Counsel for 1</w:t>
      </w:r>
      <w:r w:rsidRPr="000E7721">
        <w:rPr>
          <w:rFonts w:ascii="Arial" w:hAnsi="Arial" w:cs="Arial"/>
          <w:sz w:val="24"/>
          <w:szCs w:val="24"/>
          <w:vertAlign w:val="superscript"/>
          <w:lang w:val="en-GB"/>
        </w:rPr>
        <w:t>st</w:t>
      </w:r>
      <w:r>
        <w:rPr>
          <w:rFonts w:ascii="Arial" w:hAnsi="Arial" w:cs="Arial"/>
          <w:sz w:val="24"/>
          <w:szCs w:val="24"/>
          <w:lang w:val="en-GB"/>
        </w:rPr>
        <w:t xml:space="preserve"> &amp; 2</w:t>
      </w:r>
      <w:r w:rsidRPr="000E7721">
        <w:rPr>
          <w:rFonts w:ascii="Arial" w:hAnsi="Arial" w:cs="Arial"/>
          <w:sz w:val="24"/>
          <w:szCs w:val="24"/>
          <w:vertAlign w:val="superscript"/>
          <w:lang w:val="en-GB"/>
        </w:rPr>
        <w:t>nd</w:t>
      </w:r>
      <w:r>
        <w:rPr>
          <w:rFonts w:ascii="Arial" w:hAnsi="Arial" w:cs="Arial"/>
          <w:sz w:val="24"/>
          <w:szCs w:val="24"/>
          <w:lang w:val="en-GB"/>
        </w:rPr>
        <w:t xml:space="preserve"> Respondent</w:t>
      </w:r>
      <w:r w:rsidR="00432CD4">
        <w:rPr>
          <w:rFonts w:ascii="Arial" w:hAnsi="Arial" w:cs="Arial"/>
          <w:sz w:val="24"/>
          <w:szCs w:val="24"/>
          <w:lang w:val="en-GB"/>
        </w:rPr>
        <w:tab/>
      </w:r>
      <w:r>
        <w:rPr>
          <w:rFonts w:ascii="Arial" w:hAnsi="Arial" w:cs="Arial"/>
          <w:sz w:val="24"/>
          <w:szCs w:val="24"/>
          <w:lang w:val="en-GB"/>
        </w:rPr>
        <w:t>: A.</w:t>
      </w:r>
      <w:r w:rsidR="009049D7">
        <w:rPr>
          <w:rFonts w:ascii="Arial" w:hAnsi="Arial" w:cs="Arial"/>
          <w:sz w:val="24"/>
          <w:szCs w:val="24"/>
          <w:lang w:val="en-GB"/>
        </w:rPr>
        <w:t>M.</w:t>
      </w:r>
      <w:r>
        <w:rPr>
          <w:rFonts w:ascii="Arial" w:hAnsi="Arial" w:cs="Arial"/>
          <w:sz w:val="24"/>
          <w:szCs w:val="24"/>
          <w:lang w:val="en-GB"/>
        </w:rPr>
        <w:t xml:space="preserve"> BODLANI SC WITH S.</w:t>
      </w:r>
      <w:r w:rsidR="009049D7">
        <w:rPr>
          <w:rFonts w:ascii="Arial" w:hAnsi="Arial" w:cs="Arial"/>
          <w:sz w:val="24"/>
          <w:szCs w:val="24"/>
          <w:lang w:val="en-GB"/>
        </w:rPr>
        <w:t>H.</w:t>
      </w:r>
      <w:r>
        <w:rPr>
          <w:rFonts w:ascii="Arial" w:hAnsi="Arial" w:cs="Arial"/>
          <w:sz w:val="24"/>
          <w:szCs w:val="24"/>
          <w:lang w:val="en-GB"/>
        </w:rPr>
        <w:t xml:space="preserve"> MALIWA</w:t>
      </w:r>
    </w:p>
    <w:p w:rsidR="00F27C92" w:rsidRDefault="00F27C92" w:rsidP="00F27C92">
      <w:pPr>
        <w:spacing w:line="48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432CD4">
        <w:rPr>
          <w:rFonts w:ascii="Arial" w:hAnsi="Arial" w:cs="Arial"/>
          <w:sz w:val="24"/>
          <w:szCs w:val="24"/>
          <w:lang w:val="en-GB"/>
        </w:rPr>
        <w:tab/>
      </w:r>
      <w:r>
        <w:rPr>
          <w:rFonts w:ascii="Arial" w:hAnsi="Arial" w:cs="Arial"/>
          <w:sz w:val="24"/>
          <w:szCs w:val="24"/>
          <w:lang w:val="en-GB"/>
        </w:rPr>
        <w:t>: V. FUNANI ATTORNEYS INC.</w:t>
      </w:r>
    </w:p>
    <w:p w:rsidR="00F27C92" w:rsidRPr="009F38C6" w:rsidRDefault="00F27C92" w:rsidP="00F27C92">
      <w:pPr>
        <w:spacing w:line="48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432CD4">
        <w:rPr>
          <w:rFonts w:ascii="Arial" w:hAnsi="Arial" w:cs="Arial"/>
          <w:sz w:val="24"/>
          <w:szCs w:val="24"/>
          <w:lang w:val="en-GB"/>
        </w:rPr>
        <w:tab/>
        <w:t xml:space="preserve">  </w:t>
      </w:r>
      <w:r w:rsidR="00432CD4">
        <w:rPr>
          <w:rFonts w:ascii="Arial" w:hAnsi="Arial" w:cs="Arial"/>
          <w:b/>
          <w:sz w:val="24"/>
          <w:szCs w:val="24"/>
          <w:lang w:val="en-GB"/>
        </w:rPr>
        <w:t>MTHATHA</w:t>
      </w:r>
    </w:p>
    <w:p w:rsidR="00A404CC" w:rsidRDefault="00A404CC" w:rsidP="00F27C92">
      <w:pPr>
        <w:spacing w:line="480" w:lineRule="auto"/>
        <w:jc w:val="both"/>
        <w:rPr>
          <w:rFonts w:ascii="Arial" w:hAnsi="Arial" w:cs="Arial"/>
          <w:sz w:val="24"/>
          <w:szCs w:val="24"/>
          <w:lang w:val="en-GB"/>
        </w:rPr>
      </w:pPr>
    </w:p>
    <w:p w:rsidR="00F27C92" w:rsidRDefault="00F27C92" w:rsidP="00F27C92">
      <w:pPr>
        <w:spacing w:line="480" w:lineRule="auto"/>
        <w:jc w:val="both"/>
        <w:rPr>
          <w:rFonts w:ascii="Arial" w:hAnsi="Arial" w:cs="Arial"/>
          <w:sz w:val="24"/>
          <w:szCs w:val="24"/>
          <w:lang w:val="en-GB"/>
        </w:rPr>
      </w:pPr>
      <w:r>
        <w:rPr>
          <w:rFonts w:ascii="Arial" w:hAnsi="Arial" w:cs="Arial"/>
          <w:sz w:val="24"/>
          <w:szCs w:val="24"/>
          <w:lang w:val="en-GB"/>
        </w:rPr>
        <w:t>Date heard</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432CD4">
        <w:rPr>
          <w:rFonts w:ascii="Arial" w:hAnsi="Arial" w:cs="Arial"/>
          <w:sz w:val="24"/>
          <w:szCs w:val="24"/>
          <w:lang w:val="en-GB"/>
        </w:rPr>
        <w:tab/>
      </w:r>
      <w:r>
        <w:rPr>
          <w:rFonts w:ascii="Arial" w:hAnsi="Arial" w:cs="Arial"/>
          <w:sz w:val="24"/>
          <w:szCs w:val="24"/>
          <w:lang w:val="en-GB"/>
        </w:rPr>
        <w:t>: 1</w:t>
      </w:r>
      <w:r w:rsidR="009049D7">
        <w:rPr>
          <w:rFonts w:ascii="Arial" w:hAnsi="Arial" w:cs="Arial"/>
          <w:sz w:val="24"/>
          <w:szCs w:val="24"/>
          <w:lang w:val="en-GB"/>
        </w:rPr>
        <w:t>5</w:t>
      </w:r>
      <w:r>
        <w:rPr>
          <w:rFonts w:ascii="Arial" w:hAnsi="Arial" w:cs="Arial"/>
          <w:sz w:val="24"/>
          <w:szCs w:val="24"/>
          <w:lang w:val="en-GB"/>
        </w:rPr>
        <w:t xml:space="preserve"> </w:t>
      </w:r>
      <w:r w:rsidR="009049D7">
        <w:rPr>
          <w:rFonts w:ascii="Arial" w:hAnsi="Arial" w:cs="Arial"/>
          <w:sz w:val="24"/>
          <w:szCs w:val="24"/>
          <w:lang w:val="en-GB"/>
        </w:rPr>
        <w:t xml:space="preserve">March </w:t>
      </w:r>
      <w:r>
        <w:rPr>
          <w:rFonts w:ascii="Arial" w:hAnsi="Arial" w:cs="Arial"/>
          <w:sz w:val="24"/>
          <w:szCs w:val="24"/>
          <w:lang w:val="en-GB"/>
        </w:rPr>
        <w:t>202</w:t>
      </w:r>
      <w:r w:rsidR="009049D7">
        <w:rPr>
          <w:rFonts w:ascii="Arial" w:hAnsi="Arial" w:cs="Arial"/>
          <w:sz w:val="24"/>
          <w:szCs w:val="24"/>
          <w:lang w:val="en-GB"/>
        </w:rPr>
        <w:t>3</w:t>
      </w:r>
    </w:p>
    <w:p w:rsidR="00F27C92" w:rsidRPr="009049D7" w:rsidRDefault="00F27C92" w:rsidP="009049D7">
      <w:pPr>
        <w:spacing w:line="480" w:lineRule="auto"/>
        <w:jc w:val="both"/>
        <w:rPr>
          <w:rFonts w:ascii="Arial" w:hAnsi="Arial" w:cs="Arial"/>
          <w:sz w:val="24"/>
          <w:szCs w:val="24"/>
          <w:lang w:val="en-GB"/>
        </w:rPr>
      </w:pPr>
      <w:r>
        <w:rPr>
          <w:rFonts w:ascii="Arial" w:hAnsi="Arial" w:cs="Arial"/>
          <w:sz w:val="24"/>
          <w:szCs w:val="24"/>
          <w:lang w:val="en-GB"/>
        </w:rPr>
        <w:t>Date delivered</w:t>
      </w:r>
      <w:r>
        <w:rPr>
          <w:rFonts w:ascii="Arial" w:hAnsi="Arial" w:cs="Arial"/>
          <w:sz w:val="24"/>
          <w:szCs w:val="24"/>
          <w:lang w:val="en-GB"/>
        </w:rPr>
        <w:tab/>
      </w:r>
      <w:r>
        <w:rPr>
          <w:rFonts w:ascii="Arial" w:hAnsi="Arial" w:cs="Arial"/>
          <w:sz w:val="24"/>
          <w:szCs w:val="24"/>
          <w:lang w:val="en-GB"/>
        </w:rPr>
        <w:tab/>
      </w:r>
      <w:r w:rsidR="00432CD4">
        <w:rPr>
          <w:rFonts w:ascii="Arial" w:hAnsi="Arial" w:cs="Arial"/>
          <w:sz w:val="24"/>
          <w:szCs w:val="24"/>
          <w:lang w:val="en-GB"/>
        </w:rPr>
        <w:tab/>
      </w:r>
      <w:r>
        <w:rPr>
          <w:rFonts w:ascii="Arial" w:hAnsi="Arial" w:cs="Arial"/>
          <w:sz w:val="24"/>
          <w:szCs w:val="24"/>
          <w:lang w:val="en-GB"/>
        </w:rPr>
        <w:t xml:space="preserve">: </w:t>
      </w:r>
      <w:r w:rsidR="009049D7">
        <w:rPr>
          <w:rFonts w:ascii="Arial" w:hAnsi="Arial" w:cs="Arial"/>
          <w:sz w:val="24"/>
          <w:szCs w:val="24"/>
          <w:lang w:val="en-GB"/>
        </w:rPr>
        <w:t>23</w:t>
      </w:r>
      <w:r>
        <w:rPr>
          <w:rFonts w:ascii="Arial" w:hAnsi="Arial" w:cs="Arial"/>
          <w:sz w:val="24"/>
          <w:szCs w:val="24"/>
          <w:lang w:val="en-GB"/>
        </w:rPr>
        <w:t xml:space="preserve"> </w:t>
      </w:r>
      <w:r w:rsidR="009049D7">
        <w:rPr>
          <w:rFonts w:ascii="Arial" w:hAnsi="Arial" w:cs="Arial"/>
          <w:sz w:val="24"/>
          <w:szCs w:val="24"/>
          <w:lang w:val="en-GB"/>
        </w:rPr>
        <w:t>March</w:t>
      </w:r>
      <w:r>
        <w:rPr>
          <w:rFonts w:ascii="Arial" w:hAnsi="Arial" w:cs="Arial"/>
          <w:sz w:val="24"/>
          <w:szCs w:val="24"/>
          <w:lang w:val="en-GB"/>
        </w:rPr>
        <w:t xml:space="preserve"> 2023</w:t>
      </w:r>
    </w:p>
    <w:sectPr w:rsidR="00F27C92" w:rsidRPr="009049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B3" w:rsidRDefault="00206AB3" w:rsidP="00464E27">
      <w:pPr>
        <w:spacing w:after="0" w:line="240" w:lineRule="auto"/>
      </w:pPr>
      <w:r>
        <w:separator/>
      </w:r>
    </w:p>
  </w:endnote>
  <w:endnote w:type="continuationSeparator" w:id="0">
    <w:p w:rsidR="00206AB3" w:rsidRDefault="00206AB3" w:rsidP="0046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747986"/>
      <w:docPartObj>
        <w:docPartGallery w:val="Page Numbers (Bottom of Page)"/>
        <w:docPartUnique/>
      </w:docPartObj>
    </w:sdtPr>
    <w:sdtEndPr>
      <w:rPr>
        <w:noProof/>
      </w:rPr>
    </w:sdtEndPr>
    <w:sdtContent>
      <w:p w:rsidR="00310195" w:rsidRDefault="00310195">
        <w:pPr>
          <w:pStyle w:val="Footer"/>
          <w:jc w:val="right"/>
        </w:pPr>
        <w:r>
          <w:fldChar w:fldCharType="begin"/>
        </w:r>
        <w:r>
          <w:instrText xml:space="preserve"> PAGE   \* MERGEFORMAT </w:instrText>
        </w:r>
        <w:r>
          <w:fldChar w:fldCharType="separate"/>
        </w:r>
        <w:r w:rsidR="006B6443">
          <w:rPr>
            <w:noProof/>
          </w:rPr>
          <w:t>4</w:t>
        </w:r>
        <w:r>
          <w:rPr>
            <w:noProof/>
          </w:rPr>
          <w:fldChar w:fldCharType="end"/>
        </w:r>
      </w:p>
    </w:sdtContent>
  </w:sdt>
  <w:p w:rsidR="00310195" w:rsidRDefault="00310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B3" w:rsidRDefault="00206AB3" w:rsidP="00464E27">
      <w:pPr>
        <w:spacing w:after="0" w:line="240" w:lineRule="auto"/>
      </w:pPr>
      <w:r>
        <w:separator/>
      </w:r>
    </w:p>
  </w:footnote>
  <w:footnote w:type="continuationSeparator" w:id="0">
    <w:p w:rsidR="00206AB3" w:rsidRDefault="00206AB3" w:rsidP="00464E27">
      <w:pPr>
        <w:spacing w:after="0" w:line="240" w:lineRule="auto"/>
      </w:pPr>
      <w:r>
        <w:continuationSeparator/>
      </w:r>
    </w:p>
  </w:footnote>
  <w:footnote w:id="1">
    <w:p w:rsidR="00464E27" w:rsidRPr="00464E27" w:rsidRDefault="00464E27">
      <w:pPr>
        <w:pStyle w:val="FootnoteText"/>
        <w:rPr>
          <w:lang w:val="en-US"/>
        </w:rPr>
      </w:pPr>
      <w:r>
        <w:rPr>
          <w:rStyle w:val="FootnoteReference"/>
        </w:rPr>
        <w:footnoteRef/>
      </w:r>
      <w:r>
        <w:t xml:space="preserve"> </w:t>
      </w:r>
      <w:r>
        <w:rPr>
          <w:lang w:val="en-US"/>
        </w:rPr>
        <w:t>Administrator of Cape of Good Hope and Another v Ntshwaqela and Ot</w:t>
      </w:r>
      <w:r w:rsidR="00E62CDE">
        <w:rPr>
          <w:lang w:val="en-US"/>
        </w:rPr>
        <w:t>hers 1990 (1) SA 705 (A) at 714 I to 715 A-D</w:t>
      </w:r>
    </w:p>
  </w:footnote>
  <w:footnote w:id="2">
    <w:p w:rsidR="00CD35A3" w:rsidRDefault="00CD35A3">
      <w:pPr>
        <w:pStyle w:val="FootnoteText"/>
      </w:pPr>
      <w:r>
        <w:rPr>
          <w:rStyle w:val="FootnoteReference"/>
        </w:rPr>
        <w:footnoteRef/>
      </w:r>
      <w:r>
        <w:t xml:space="preserve"> My emphasis.</w:t>
      </w:r>
    </w:p>
  </w:footnote>
  <w:footnote w:id="3">
    <w:p w:rsidR="002F3007" w:rsidRPr="002F3007" w:rsidRDefault="002F3007">
      <w:pPr>
        <w:pStyle w:val="FootnoteText"/>
        <w:rPr>
          <w:lang w:val="en-US"/>
        </w:rPr>
      </w:pPr>
      <w:r>
        <w:rPr>
          <w:rStyle w:val="FootnoteReference"/>
        </w:rPr>
        <w:footnoteRef/>
      </w:r>
      <w:r>
        <w:t xml:space="preserve"> </w:t>
      </w:r>
      <w:r>
        <w:rPr>
          <w:lang w:val="en-US"/>
        </w:rPr>
        <w:t>Fose v Minister of Safety and Security 1997 (3) SA 786 (CC) para 69.</w:t>
      </w:r>
    </w:p>
  </w:footnote>
  <w:footnote w:id="4">
    <w:p w:rsidR="006A503D" w:rsidRPr="006A503D" w:rsidRDefault="006A503D">
      <w:pPr>
        <w:pStyle w:val="FootnoteText"/>
        <w:rPr>
          <w:lang w:val="en-US"/>
        </w:rPr>
      </w:pPr>
      <w:r>
        <w:rPr>
          <w:rStyle w:val="FootnoteReference"/>
        </w:rPr>
        <w:footnoteRef/>
      </w:r>
      <w:r>
        <w:t xml:space="preserve"> </w:t>
      </w:r>
      <w:r>
        <w:rPr>
          <w:lang w:val="en-US"/>
        </w:rPr>
        <w:t>South Cape Corporation (Pty) Ltd v Engineering Management Services (Pty) Ltd 1977 (3) SA 534 (A) at 546 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70"/>
    <w:rsid w:val="001746BE"/>
    <w:rsid w:val="001B1980"/>
    <w:rsid w:val="001C178F"/>
    <w:rsid w:val="001C40AC"/>
    <w:rsid w:val="001C5D8D"/>
    <w:rsid w:val="001C5F6E"/>
    <w:rsid w:val="001D56E6"/>
    <w:rsid w:val="001E1835"/>
    <w:rsid w:val="001F40BC"/>
    <w:rsid w:val="00206AB3"/>
    <w:rsid w:val="002708C4"/>
    <w:rsid w:val="00270E15"/>
    <w:rsid w:val="002F3007"/>
    <w:rsid w:val="00303033"/>
    <w:rsid w:val="00310195"/>
    <w:rsid w:val="003518A0"/>
    <w:rsid w:val="0037363E"/>
    <w:rsid w:val="00374954"/>
    <w:rsid w:val="003C3023"/>
    <w:rsid w:val="003C5135"/>
    <w:rsid w:val="003E0AE9"/>
    <w:rsid w:val="003E3BB4"/>
    <w:rsid w:val="003F766F"/>
    <w:rsid w:val="00401DFA"/>
    <w:rsid w:val="004112BE"/>
    <w:rsid w:val="00432CD4"/>
    <w:rsid w:val="00464E27"/>
    <w:rsid w:val="00474C16"/>
    <w:rsid w:val="004A095A"/>
    <w:rsid w:val="004C3F5E"/>
    <w:rsid w:val="004C4CA9"/>
    <w:rsid w:val="004C62FC"/>
    <w:rsid w:val="005178BA"/>
    <w:rsid w:val="0053471F"/>
    <w:rsid w:val="0056315E"/>
    <w:rsid w:val="00586018"/>
    <w:rsid w:val="005B1B85"/>
    <w:rsid w:val="005B375E"/>
    <w:rsid w:val="005B7454"/>
    <w:rsid w:val="005E1CDB"/>
    <w:rsid w:val="00681B30"/>
    <w:rsid w:val="006872D1"/>
    <w:rsid w:val="006A503D"/>
    <w:rsid w:val="006B6443"/>
    <w:rsid w:val="006B771B"/>
    <w:rsid w:val="00742860"/>
    <w:rsid w:val="00752895"/>
    <w:rsid w:val="007662E1"/>
    <w:rsid w:val="007C5FDF"/>
    <w:rsid w:val="007D2725"/>
    <w:rsid w:val="007D3A30"/>
    <w:rsid w:val="00825641"/>
    <w:rsid w:val="00827146"/>
    <w:rsid w:val="008C2251"/>
    <w:rsid w:val="008E4A3A"/>
    <w:rsid w:val="008F5523"/>
    <w:rsid w:val="00901486"/>
    <w:rsid w:val="009049D7"/>
    <w:rsid w:val="00945676"/>
    <w:rsid w:val="00967AD1"/>
    <w:rsid w:val="00970546"/>
    <w:rsid w:val="00982DB6"/>
    <w:rsid w:val="009870A9"/>
    <w:rsid w:val="009A381D"/>
    <w:rsid w:val="009F2876"/>
    <w:rsid w:val="00A404CC"/>
    <w:rsid w:val="00A5398C"/>
    <w:rsid w:val="00A64925"/>
    <w:rsid w:val="00AA3498"/>
    <w:rsid w:val="00B04B72"/>
    <w:rsid w:val="00B17A3E"/>
    <w:rsid w:val="00B7482D"/>
    <w:rsid w:val="00B74FDD"/>
    <w:rsid w:val="00BF1B6B"/>
    <w:rsid w:val="00C2509B"/>
    <w:rsid w:val="00C414E7"/>
    <w:rsid w:val="00C472CA"/>
    <w:rsid w:val="00C769B0"/>
    <w:rsid w:val="00C8116D"/>
    <w:rsid w:val="00C833AF"/>
    <w:rsid w:val="00CB50B1"/>
    <w:rsid w:val="00CD35A3"/>
    <w:rsid w:val="00CE12F1"/>
    <w:rsid w:val="00D17D4C"/>
    <w:rsid w:val="00D476FF"/>
    <w:rsid w:val="00D7053C"/>
    <w:rsid w:val="00D70A23"/>
    <w:rsid w:val="00DA0A8A"/>
    <w:rsid w:val="00E2205D"/>
    <w:rsid w:val="00E62CDE"/>
    <w:rsid w:val="00EA4296"/>
    <w:rsid w:val="00EB25F1"/>
    <w:rsid w:val="00EB66F2"/>
    <w:rsid w:val="00ED1515"/>
    <w:rsid w:val="00EE2C70"/>
    <w:rsid w:val="00F02F1E"/>
    <w:rsid w:val="00F04468"/>
    <w:rsid w:val="00F05D9D"/>
    <w:rsid w:val="00F11DBC"/>
    <w:rsid w:val="00F27C92"/>
    <w:rsid w:val="00F462F5"/>
    <w:rsid w:val="00FB7625"/>
    <w:rsid w:val="00FE42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42291-6E63-4912-8729-7B2EB420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4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E27"/>
    <w:rPr>
      <w:sz w:val="20"/>
      <w:szCs w:val="20"/>
    </w:rPr>
  </w:style>
  <w:style w:type="character" w:styleId="FootnoteReference">
    <w:name w:val="footnote reference"/>
    <w:basedOn w:val="DefaultParagraphFont"/>
    <w:uiPriority w:val="99"/>
    <w:semiHidden/>
    <w:unhideWhenUsed/>
    <w:rsid w:val="00464E27"/>
    <w:rPr>
      <w:vertAlign w:val="superscript"/>
    </w:rPr>
  </w:style>
  <w:style w:type="paragraph" w:styleId="Header">
    <w:name w:val="header"/>
    <w:basedOn w:val="Normal"/>
    <w:link w:val="HeaderChar"/>
    <w:uiPriority w:val="99"/>
    <w:unhideWhenUsed/>
    <w:rsid w:val="00310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95"/>
  </w:style>
  <w:style w:type="paragraph" w:styleId="Footer">
    <w:name w:val="footer"/>
    <w:basedOn w:val="Normal"/>
    <w:link w:val="FooterChar"/>
    <w:uiPriority w:val="99"/>
    <w:unhideWhenUsed/>
    <w:rsid w:val="00310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95"/>
  </w:style>
  <w:style w:type="paragraph" w:styleId="BalloonText">
    <w:name w:val="Balloon Text"/>
    <w:basedOn w:val="Normal"/>
    <w:link w:val="BalloonTextChar"/>
    <w:uiPriority w:val="99"/>
    <w:semiHidden/>
    <w:unhideWhenUsed/>
    <w:rsid w:val="004A0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6827-8BF7-4428-85AA-199653E4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Mokone</cp:lastModifiedBy>
  <cp:revision>2</cp:revision>
  <cp:lastPrinted>2023-03-22T16:57:00Z</cp:lastPrinted>
  <dcterms:created xsi:type="dcterms:W3CDTF">2023-03-27T08:54:00Z</dcterms:created>
  <dcterms:modified xsi:type="dcterms:W3CDTF">2023-03-27T08:54:00Z</dcterms:modified>
</cp:coreProperties>
</file>