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C6" w:rsidRDefault="001B54C6" w:rsidP="00E47747">
      <w:pPr>
        <w:spacing w:line="360" w:lineRule="auto"/>
        <w:jc w:val="center"/>
        <w:rPr>
          <w:noProof/>
          <w:lang w:eastAsia="en-ZA"/>
        </w:rPr>
      </w:pPr>
    </w:p>
    <w:p w:rsidR="00E47747" w:rsidRDefault="00E47747" w:rsidP="00E47747">
      <w:pPr>
        <w:spacing w:line="360" w:lineRule="auto"/>
        <w:jc w:val="center"/>
        <w:rPr>
          <w:rFonts w:ascii="Times New Roman" w:hAnsi="Times New Roman" w:cs="Times New Roman"/>
          <w:sz w:val="28"/>
          <w:szCs w:val="28"/>
        </w:rPr>
      </w:pPr>
      <w:r>
        <w:rPr>
          <w:noProof/>
          <w:lang w:val="en-US"/>
        </w:rPr>
        <w:drawing>
          <wp:inline distT="0" distB="0" distL="0" distR="0" wp14:anchorId="007E10EF" wp14:editId="7F5C3FEA">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D321C3" w:rsidRDefault="00D321C3" w:rsidP="00E47747">
      <w:pPr>
        <w:spacing w:line="360" w:lineRule="auto"/>
        <w:jc w:val="center"/>
        <w:rPr>
          <w:rFonts w:ascii="Times New Roman" w:hAnsi="Times New Roman" w:cs="Times New Roman"/>
          <w:sz w:val="28"/>
          <w:szCs w:val="28"/>
        </w:rPr>
      </w:pPr>
    </w:p>
    <w:p w:rsidR="00E47747" w:rsidRPr="00701B17" w:rsidRDefault="00E47747" w:rsidP="00E47747">
      <w:pPr>
        <w:spacing w:line="360" w:lineRule="auto"/>
        <w:jc w:val="center"/>
        <w:rPr>
          <w:rFonts w:ascii="Times New Roman" w:hAnsi="Times New Roman" w:cs="Times New Roman"/>
          <w:b/>
          <w:sz w:val="28"/>
          <w:szCs w:val="28"/>
        </w:rPr>
      </w:pPr>
      <w:r w:rsidRPr="00701B17">
        <w:rPr>
          <w:rFonts w:ascii="Times New Roman" w:hAnsi="Times New Roman" w:cs="Times New Roman"/>
          <w:b/>
          <w:sz w:val="28"/>
          <w:szCs w:val="28"/>
        </w:rPr>
        <w:t>IN THE HIGH COURT OF SOUTH AFRICA</w:t>
      </w:r>
    </w:p>
    <w:p w:rsidR="00E47747" w:rsidRPr="00701B17" w:rsidRDefault="00E47747" w:rsidP="00E4774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701B17">
        <w:rPr>
          <w:rFonts w:ascii="Times New Roman" w:hAnsi="Times New Roman" w:cs="Times New Roman"/>
          <w:b/>
          <w:sz w:val="28"/>
          <w:szCs w:val="28"/>
        </w:rPr>
        <w:t>EASTERN CAPE DIVISION, MAKHANDA</w:t>
      </w:r>
      <w:r>
        <w:rPr>
          <w:rFonts w:ascii="Times New Roman" w:hAnsi="Times New Roman" w:cs="Times New Roman"/>
          <w:b/>
          <w:sz w:val="28"/>
          <w:szCs w:val="28"/>
        </w:rPr>
        <w:t>)</w:t>
      </w:r>
    </w:p>
    <w:p w:rsidR="001B54C6" w:rsidRDefault="00E47747" w:rsidP="00547F0B">
      <w:pPr>
        <w:spacing w:line="360" w:lineRule="auto"/>
        <w:ind w:left="720" w:firstLine="720"/>
        <w:jc w:val="both"/>
        <w:rPr>
          <w:rFonts w:ascii="Times New Roman" w:hAnsi="Times New Roman" w:cs="Times New Roman"/>
          <w:b/>
          <w:sz w:val="28"/>
          <w:szCs w:val="28"/>
        </w:rPr>
      </w:pPr>
      <w:r w:rsidRPr="00701B17">
        <w:rPr>
          <w:rFonts w:ascii="Times New Roman" w:hAnsi="Times New Roman" w:cs="Times New Roman"/>
          <w:b/>
          <w:sz w:val="28"/>
          <w:szCs w:val="28"/>
        </w:rPr>
        <w:t xml:space="preserve"> </w:t>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r>
      <w:r w:rsidRPr="00701B17">
        <w:rPr>
          <w:rFonts w:ascii="Times New Roman" w:hAnsi="Times New Roman" w:cs="Times New Roman"/>
          <w:b/>
          <w:sz w:val="28"/>
          <w:szCs w:val="28"/>
        </w:rPr>
        <w:tab/>
        <w:t xml:space="preserve">  </w:t>
      </w:r>
      <w:r>
        <w:rPr>
          <w:rFonts w:ascii="Times New Roman" w:hAnsi="Times New Roman" w:cs="Times New Roman"/>
          <w:b/>
          <w:sz w:val="28"/>
          <w:szCs w:val="28"/>
        </w:rPr>
        <w:t xml:space="preserve">       </w:t>
      </w:r>
    </w:p>
    <w:p w:rsidR="00E47747" w:rsidRPr="00701B17" w:rsidRDefault="001B54C6" w:rsidP="001B54C6">
      <w:pPr>
        <w:spacing w:line="360" w:lineRule="auto"/>
        <w:ind w:left="5760"/>
        <w:jc w:val="both"/>
        <w:rPr>
          <w:rFonts w:ascii="Times New Roman" w:hAnsi="Times New Roman" w:cs="Times New Roman"/>
          <w:b/>
          <w:sz w:val="28"/>
          <w:szCs w:val="28"/>
        </w:rPr>
      </w:pPr>
      <w:r>
        <w:rPr>
          <w:rFonts w:ascii="Times New Roman" w:hAnsi="Times New Roman" w:cs="Times New Roman"/>
          <w:b/>
          <w:sz w:val="28"/>
          <w:szCs w:val="28"/>
        </w:rPr>
        <w:t xml:space="preserve">         </w:t>
      </w:r>
      <w:r w:rsidR="00547F0B">
        <w:rPr>
          <w:rFonts w:ascii="Times New Roman" w:hAnsi="Times New Roman" w:cs="Times New Roman"/>
          <w:b/>
          <w:sz w:val="28"/>
          <w:szCs w:val="28"/>
        </w:rPr>
        <w:t xml:space="preserve"> </w:t>
      </w:r>
      <w:r w:rsidR="00E47747" w:rsidRPr="00701B17">
        <w:rPr>
          <w:rFonts w:ascii="Times New Roman" w:hAnsi="Times New Roman" w:cs="Times New Roman"/>
          <w:b/>
          <w:sz w:val="28"/>
          <w:szCs w:val="28"/>
        </w:rPr>
        <w:t xml:space="preserve">CASE NO. </w:t>
      </w:r>
      <w:r w:rsidR="00E47747">
        <w:rPr>
          <w:rFonts w:ascii="Times New Roman" w:hAnsi="Times New Roman" w:cs="Times New Roman"/>
          <w:b/>
          <w:sz w:val="28"/>
          <w:szCs w:val="28"/>
        </w:rPr>
        <w:t>3372/2018</w:t>
      </w:r>
    </w:p>
    <w:p w:rsidR="001B54C6" w:rsidRDefault="001B54C6" w:rsidP="00E47747">
      <w:pPr>
        <w:spacing w:line="360" w:lineRule="auto"/>
        <w:jc w:val="both"/>
        <w:rPr>
          <w:rFonts w:ascii="Times New Roman" w:hAnsi="Times New Roman" w:cs="Times New Roman"/>
          <w:sz w:val="28"/>
          <w:szCs w:val="28"/>
        </w:rPr>
      </w:pPr>
    </w:p>
    <w:p w:rsidR="00E47747" w:rsidRDefault="00E47747" w:rsidP="00E47747">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E47747" w:rsidRDefault="00E47747" w:rsidP="00E47747">
      <w:pPr>
        <w:spacing w:line="360" w:lineRule="auto"/>
        <w:jc w:val="both"/>
        <w:rPr>
          <w:rFonts w:ascii="Times New Roman" w:hAnsi="Times New Roman" w:cs="Times New Roman"/>
          <w:sz w:val="28"/>
          <w:szCs w:val="28"/>
        </w:rPr>
      </w:pPr>
    </w:p>
    <w:p w:rsidR="00E47747" w:rsidRDefault="00E47747" w:rsidP="00E47747">
      <w:pPr>
        <w:spacing w:line="360" w:lineRule="auto"/>
        <w:jc w:val="both"/>
        <w:rPr>
          <w:rFonts w:ascii="Times New Roman" w:hAnsi="Times New Roman" w:cs="Times New Roman"/>
          <w:sz w:val="28"/>
          <w:szCs w:val="28"/>
        </w:rPr>
      </w:pPr>
      <w:r>
        <w:rPr>
          <w:rFonts w:ascii="Times New Roman" w:hAnsi="Times New Roman" w:cs="Times New Roman"/>
          <w:b/>
          <w:sz w:val="28"/>
          <w:szCs w:val="28"/>
        </w:rPr>
        <w:t>SINETHEMBA NTLANJENI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Applicant</w:t>
      </w:r>
    </w:p>
    <w:p w:rsidR="00E47747" w:rsidRDefault="00E47747" w:rsidP="00E47747">
      <w:pPr>
        <w:spacing w:line="360" w:lineRule="auto"/>
        <w:jc w:val="both"/>
        <w:rPr>
          <w:rFonts w:ascii="Times New Roman" w:hAnsi="Times New Roman" w:cs="Times New Roman"/>
          <w:sz w:val="28"/>
          <w:szCs w:val="28"/>
        </w:rPr>
      </w:pPr>
    </w:p>
    <w:p w:rsidR="00E47747" w:rsidRDefault="00E47747" w:rsidP="00E47747">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E47747" w:rsidRDefault="00E47747" w:rsidP="00E47747">
      <w:pPr>
        <w:spacing w:line="360" w:lineRule="auto"/>
        <w:jc w:val="both"/>
        <w:rPr>
          <w:rFonts w:ascii="Times New Roman" w:hAnsi="Times New Roman" w:cs="Times New Roman"/>
          <w:sz w:val="28"/>
          <w:szCs w:val="28"/>
        </w:rPr>
      </w:pPr>
    </w:p>
    <w:p w:rsidR="00E47747" w:rsidRDefault="00E47747" w:rsidP="00E47747">
      <w:pPr>
        <w:spacing w:line="360" w:lineRule="auto"/>
        <w:jc w:val="both"/>
        <w:rPr>
          <w:rFonts w:ascii="Times New Roman" w:hAnsi="Times New Roman" w:cs="Times New Roman"/>
          <w:sz w:val="28"/>
          <w:szCs w:val="28"/>
        </w:rPr>
      </w:pPr>
      <w:r>
        <w:rPr>
          <w:rFonts w:ascii="Times New Roman" w:hAnsi="Times New Roman" w:cs="Times New Roman"/>
          <w:b/>
          <w:sz w:val="28"/>
          <w:szCs w:val="28"/>
        </w:rPr>
        <w:t>MINISTER OF POLICE</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sidRPr="009203BC">
        <w:rPr>
          <w:rFonts w:ascii="Times New Roman" w:hAnsi="Times New Roman" w:cs="Times New Roman"/>
          <w:sz w:val="28"/>
          <w:szCs w:val="28"/>
        </w:rPr>
        <w:t>First Respondent</w:t>
      </w:r>
    </w:p>
    <w:p w:rsidR="00E47747" w:rsidRDefault="00E47747" w:rsidP="00E47747">
      <w:pPr>
        <w:spacing w:line="360" w:lineRule="auto"/>
        <w:jc w:val="both"/>
        <w:rPr>
          <w:rFonts w:ascii="Times New Roman" w:hAnsi="Times New Roman" w:cs="Times New Roman"/>
          <w:sz w:val="28"/>
          <w:szCs w:val="28"/>
        </w:rPr>
      </w:pPr>
    </w:p>
    <w:p w:rsidR="00E47747" w:rsidRDefault="00E47747" w:rsidP="00E47747">
      <w:pPr>
        <w:spacing w:line="360" w:lineRule="auto"/>
        <w:jc w:val="both"/>
        <w:rPr>
          <w:rFonts w:ascii="Times New Roman" w:hAnsi="Times New Roman" w:cs="Times New Roman"/>
          <w:sz w:val="28"/>
          <w:szCs w:val="28"/>
        </w:rPr>
      </w:pPr>
      <w:r w:rsidRPr="00E47747">
        <w:rPr>
          <w:rFonts w:ascii="Times New Roman" w:hAnsi="Times New Roman" w:cs="Times New Roman"/>
          <w:b/>
          <w:sz w:val="28"/>
          <w:szCs w:val="28"/>
        </w:rPr>
        <w:t>MR NTSHINKOSE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Second Respondent</w:t>
      </w:r>
    </w:p>
    <w:p w:rsidR="00E47747" w:rsidRDefault="00E47747" w:rsidP="00E47747">
      <w:pPr>
        <w:spacing w:line="360" w:lineRule="auto"/>
        <w:jc w:val="both"/>
        <w:rPr>
          <w:rFonts w:ascii="Times New Roman" w:hAnsi="Times New Roman" w:cs="Times New Roman"/>
          <w:b/>
          <w:sz w:val="28"/>
          <w:szCs w:val="28"/>
        </w:rPr>
      </w:pPr>
    </w:p>
    <w:p w:rsidR="00547F0B" w:rsidRDefault="00547F0B" w:rsidP="00E47747">
      <w:pPr>
        <w:spacing w:line="360" w:lineRule="auto"/>
        <w:jc w:val="both"/>
        <w:rPr>
          <w:rFonts w:ascii="Times New Roman" w:hAnsi="Times New Roman" w:cs="Times New Roman"/>
          <w:b/>
          <w:sz w:val="28"/>
          <w:szCs w:val="28"/>
        </w:rPr>
      </w:pPr>
      <w:r>
        <w:rPr>
          <w:rFonts w:ascii="Times New Roman" w:hAnsi="Times New Roman" w:cs="Times New Roman"/>
          <w:b/>
          <w:sz w:val="28"/>
          <w:szCs w:val="28"/>
        </w:rPr>
        <w:t>NATIONAL DIRECTOR OF PUBLIC</w:t>
      </w:r>
    </w:p>
    <w:p w:rsidR="00E47747" w:rsidRDefault="00547F0B" w:rsidP="00E47747">
      <w:pPr>
        <w:spacing w:line="360" w:lineRule="auto"/>
        <w:jc w:val="both"/>
        <w:rPr>
          <w:rFonts w:ascii="Times New Roman" w:hAnsi="Times New Roman" w:cs="Times New Roman"/>
          <w:sz w:val="28"/>
          <w:szCs w:val="28"/>
        </w:rPr>
      </w:pPr>
      <w:r>
        <w:rPr>
          <w:rFonts w:ascii="Times New Roman" w:hAnsi="Times New Roman" w:cs="Times New Roman"/>
          <w:b/>
          <w:sz w:val="28"/>
          <w:szCs w:val="28"/>
        </w:rPr>
        <w:t>PROSECUTIONS</w:t>
      </w:r>
      <w:r w:rsidR="00E47747">
        <w:rPr>
          <w:rFonts w:ascii="Times New Roman" w:hAnsi="Times New Roman" w:cs="Times New Roman"/>
          <w:sz w:val="28"/>
          <w:szCs w:val="28"/>
        </w:rPr>
        <w:t xml:space="preserve">  </w:t>
      </w:r>
      <w:r w:rsidR="00E47747">
        <w:rPr>
          <w:rFonts w:ascii="Times New Roman" w:hAnsi="Times New Roman" w:cs="Times New Roman"/>
          <w:sz w:val="28"/>
          <w:szCs w:val="28"/>
        </w:rPr>
        <w:tab/>
      </w:r>
      <w:r w:rsidR="00E47747">
        <w:rPr>
          <w:rFonts w:ascii="Times New Roman" w:hAnsi="Times New Roman" w:cs="Times New Roman"/>
          <w:sz w:val="28"/>
          <w:szCs w:val="28"/>
        </w:rPr>
        <w:tab/>
      </w:r>
      <w:r w:rsidR="00E47747">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Third </w:t>
      </w:r>
      <w:r w:rsidR="00E47747">
        <w:rPr>
          <w:rFonts w:ascii="Times New Roman" w:hAnsi="Times New Roman" w:cs="Times New Roman"/>
          <w:sz w:val="28"/>
          <w:szCs w:val="28"/>
        </w:rPr>
        <w:t>Respondent</w:t>
      </w:r>
    </w:p>
    <w:p w:rsidR="00354A12" w:rsidRDefault="00354A12" w:rsidP="00354A12">
      <w:pPr>
        <w:pBdr>
          <w:bottom w:val="single" w:sz="12" w:space="1" w:color="auto"/>
        </w:pBdr>
        <w:spacing w:line="240" w:lineRule="auto"/>
        <w:jc w:val="both"/>
        <w:rPr>
          <w:rFonts w:ascii="Times New Roman" w:hAnsi="Times New Roman" w:cs="Times New Roman"/>
          <w:sz w:val="28"/>
          <w:szCs w:val="28"/>
        </w:rPr>
      </w:pPr>
    </w:p>
    <w:p w:rsidR="00D321C3" w:rsidRDefault="00D321C3" w:rsidP="00354A12">
      <w:pPr>
        <w:pBdr>
          <w:bottom w:val="single" w:sz="12" w:space="1" w:color="auto"/>
        </w:pBdr>
        <w:spacing w:line="240" w:lineRule="auto"/>
        <w:jc w:val="both"/>
        <w:rPr>
          <w:rFonts w:ascii="Times New Roman" w:hAnsi="Times New Roman" w:cs="Times New Roman"/>
          <w:sz w:val="28"/>
          <w:szCs w:val="28"/>
        </w:rPr>
      </w:pPr>
    </w:p>
    <w:p w:rsidR="0092282C" w:rsidRPr="003C36E9" w:rsidRDefault="0092282C" w:rsidP="00354A12">
      <w:pPr>
        <w:pBdr>
          <w:bottom w:val="single" w:sz="12" w:space="1" w:color="auto"/>
        </w:pBdr>
        <w:spacing w:line="240" w:lineRule="auto"/>
        <w:jc w:val="both"/>
        <w:rPr>
          <w:rFonts w:ascii="Times New Roman" w:hAnsi="Times New Roman" w:cs="Times New Roman"/>
          <w:sz w:val="28"/>
          <w:szCs w:val="28"/>
        </w:rPr>
      </w:pPr>
    </w:p>
    <w:p w:rsidR="00354A12" w:rsidRPr="003C36E9" w:rsidRDefault="00354A12" w:rsidP="00354A12">
      <w:pPr>
        <w:spacing w:line="240" w:lineRule="auto"/>
        <w:jc w:val="both"/>
        <w:rPr>
          <w:rFonts w:ascii="Times New Roman" w:hAnsi="Times New Roman" w:cs="Times New Roman"/>
          <w:sz w:val="28"/>
          <w:szCs w:val="28"/>
        </w:rPr>
      </w:pPr>
    </w:p>
    <w:p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3C36E9" w:rsidRDefault="00354A12" w:rsidP="00354A12">
      <w:pPr>
        <w:spacing w:line="240" w:lineRule="auto"/>
        <w:jc w:val="both"/>
        <w:rPr>
          <w:rFonts w:ascii="Times New Roman" w:hAnsi="Times New Roman" w:cs="Times New Roman"/>
          <w:sz w:val="28"/>
          <w:szCs w:val="28"/>
        </w:rPr>
      </w:pPr>
    </w:p>
    <w:p w:rsidR="00354A12" w:rsidRDefault="00354A12" w:rsidP="00354A12">
      <w:pPr>
        <w:spacing w:line="360" w:lineRule="auto"/>
        <w:jc w:val="both"/>
        <w:rPr>
          <w:rFonts w:ascii="Times New Roman" w:hAnsi="Times New Roman" w:cs="Times New Roman"/>
          <w:b/>
          <w:sz w:val="28"/>
          <w:szCs w:val="28"/>
        </w:rPr>
      </w:pPr>
    </w:p>
    <w:p w:rsidR="00354A12" w:rsidRDefault="00354A12" w:rsidP="00354A12">
      <w:pPr>
        <w:spacing w:line="360" w:lineRule="auto"/>
        <w:jc w:val="both"/>
        <w:rPr>
          <w:rFonts w:ascii="Times New Roman" w:hAnsi="Times New Roman" w:cs="Times New Roman"/>
          <w:b/>
          <w:sz w:val="28"/>
          <w:szCs w:val="28"/>
        </w:rPr>
      </w:pPr>
      <w:r w:rsidRPr="003C36E9">
        <w:rPr>
          <w:rFonts w:ascii="Times New Roman" w:hAnsi="Times New Roman" w:cs="Times New Roman"/>
          <w:b/>
          <w:sz w:val="28"/>
          <w:szCs w:val="28"/>
        </w:rPr>
        <w:lastRenderedPageBreak/>
        <w:t>R</w:t>
      </w:r>
      <w:r w:rsidR="003C36E9">
        <w:rPr>
          <w:rFonts w:ascii="Times New Roman" w:hAnsi="Times New Roman" w:cs="Times New Roman"/>
          <w:b/>
          <w:sz w:val="28"/>
          <w:szCs w:val="28"/>
        </w:rPr>
        <w:t xml:space="preserve">ugunanan </w:t>
      </w:r>
      <w:r w:rsidR="00D45647" w:rsidRPr="003C36E9">
        <w:rPr>
          <w:rFonts w:ascii="Times New Roman" w:hAnsi="Times New Roman" w:cs="Times New Roman"/>
          <w:b/>
          <w:sz w:val="28"/>
          <w:szCs w:val="28"/>
        </w:rPr>
        <w:t>J</w:t>
      </w:r>
    </w:p>
    <w:p w:rsidR="00D321C3" w:rsidRPr="003C36E9" w:rsidRDefault="00D321C3" w:rsidP="00354A12">
      <w:pPr>
        <w:spacing w:line="360" w:lineRule="auto"/>
        <w:jc w:val="both"/>
        <w:rPr>
          <w:rFonts w:ascii="Times New Roman" w:hAnsi="Times New Roman" w:cs="Times New Roman"/>
          <w:b/>
          <w:sz w:val="28"/>
          <w:szCs w:val="28"/>
        </w:rPr>
      </w:pPr>
    </w:p>
    <w:p w:rsidR="00087C08" w:rsidRPr="00087C08" w:rsidRDefault="00281191" w:rsidP="00281191">
      <w:pPr>
        <w:pStyle w:val="LegalList1"/>
        <w:spacing w:line="360" w:lineRule="auto"/>
        <w:rPr>
          <w:rFonts w:ascii="Times New Roman" w:hAnsi="Times New Roman"/>
          <w:sz w:val="28"/>
          <w:szCs w:val="28"/>
        </w:rPr>
      </w:pPr>
      <w:r w:rsidRPr="00087C08">
        <w:rPr>
          <w:rFonts w:ascii="Times New Roman" w:hAnsi="Times New Roman"/>
          <w:sz w:val="28"/>
          <w:szCs w:val="28"/>
        </w:rPr>
        <w:t>[1]</w:t>
      </w:r>
      <w:r w:rsidRPr="00087C08">
        <w:rPr>
          <w:rFonts w:ascii="Times New Roman" w:hAnsi="Times New Roman"/>
          <w:sz w:val="28"/>
          <w:szCs w:val="28"/>
        </w:rPr>
        <w:tab/>
      </w:r>
      <w:r w:rsidR="000F2FC8">
        <w:rPr>
          <w:rFonts w:ascii="Times New Roman" w:hAnsi="Times New Roman"/>
          <w:color w:val="000000"/>
          <w:sz w:val="28"/>
          <w:szCs w:val="28"/>
        </w:rPr>
        <w:t xml:space="preserve">The applicant has instituted action against the respondents in which he claims damages for an alleged unlawful arrest, unlawful detention and malicious prosecution. </w:t>
      </w:r>
    </w:p>
    <w:p w:rsidR="00087C08" w:rsidRPr="00194BB4" w:rsidRDefault="00281191" w:rsidP="00281191">
      <w:pPr>
        <w:pStyle w:val="LegalList1"/>
        <w:spacing w:line="360" w:lineRule="auto"/>
        <w:rPr>
          <w:rFonts w:ascii="Times New Roman" w:hAnsi="Times New Roman"/>
          <w:sz w:val="28"/>
          <w:szCs w:val="28"/>
        </w:rPr>
      </w:pPr>
      <w:r w:rsidRPr="00194BB4">
        <w:rPr>
          <w:rFonts w:ascii="Times New Roman" w:hAnsi="Times New Roman"/>
          <w:sz w:val="28"/>
          <w:szCs w:val="28"/>
        </w:rPr>
        <w:t>[2]</w:t>
      </w:r>
      <w:r w:rsidRPr="00194BB4">
        <w:rPr>
          <w:rFonts w:ascii="Times New Roman" w:hAnsi="Times New Roman"/>
          <w:sz w:val="28"/>
          <w:szCs w:val="28"/>
        </w:rPr>
        <w:tab/>
      </w:r>
      <w:r w:rsidR="00087C08">
        <w:rPr>
          <w:rFonts w:ascii="Times New Roman" w:hAnsi="Times New Roman"/>
          <w:color w:val="000000"/>
          <w:sz w:val="28"/>
          <w:szCs w:val="28"/>
        </w:rPr>
        <w:t>He approaches this Court for seeking condonation of the late service</w:t>
      </w:r>
      <w:r w:rsidR="0021125F">
        <w:rPr>
          <w:rFonts w:ascii="Times New Roman" w:hAnsi="Times New Roman"/>
          <w:color w:val="000000"/>
          <w:sz w:val="28"/>
          <w:szCs w:val="28"/>
        </w:rPr>
        <w:t xml:space="preserve"> </w:t>
      </w:r>
      <w:r w:rsidR="00087C08">
        <w:rPr>
          <w:rFonts w:ascii="Times New Roman" w:hAnsi="Times New Roman"/>
          <w:color w:val="000000"/>
          <w:sz w:val="28"/>
          <w:szCs w:val="28"/>
        </w:rPr>
        <w:t>of the notice of his intention to institute legal proceedings against the respondents in accordance with section 3(2)</w:t>
      </w:r>
      <w:r w:rsidR="00087C08" w:rsidRPr="00896710">
        <w:rPr>
          <w:rFonts w:ascii="Times New Roman" w:hAnsi="Times New Roman"/>
          <w:i/>
          <w:color w:val="000000"/>
          <w:sz w:val="28"/>
          <w:szCs w:val="28"/>
        </w:rPr>
        <w:t>(a)</w:t>
      </w:r>
      <w:r w:rsidR="00087C08" w:rsidRPr="00193244">
        <w:rPr>
          <w:rFonts w:ascii="Times New Roman" w:hAnsi="Times New Roman"/>
          <w:i/>
          <w:color w:val="000000"/>
          <w:sz w:val="28"/>
          <w:szCs w:val="28"/>
        </w:rPr>
        <w:t xml:space="preserve"> </w:t>
      </w:r>
      <w:r w:rsidR="00087C08">
        <w:rPr>
          <w:rFonts w:ascii="Times New Roman" w:hAnsi="Times New Roman"/>
          <w:color w:val="000000"/>
          <w:sz w:val="28"/>
          <w:szCs w:val="28"/>
        </w:rPr>
        <w:t>of the Institution of Legal Proceedings against certain Or</w:t>
      </w:r>
      <w:bookmarkStart w:id="0" w:name="_GoBack"/>
      <w:bookmarkEnd w:id="0"/>
      <w:r w:rsidR="00087C08">
        <w:rPr>
          <w:rFonts w:ascii="Times New Roman" w:hAnsi="Times New Roman"/>
          <w:color w:val="000000"/>
          <w:sz w:val="28"/>
          <w:szCs w:val="28"/>
        </w:rPr>
        <w:t>gans of State Act 40 of 2002 (the Proceedings Act).</w:t>
      </w:r>
    </w:p>
    <w:p w:rsidR="00DA05D2" w:rsidRPr="00DA05D2" w:rsidRDefault="00281191" w:rsidP="00281191">
      <w:pPr>
        <w:pStyle w:val="LegalList1"/>
        <w:spacing w:line="360" w:lineRule="auto"/>
        <w:rPr>
          <w:rFonts w:ascii="Times New Roman" w:hAnsi="Times New Roman"/>
          <w:sz w:val="28"/>
          <w:szCs w:val="28"/>
        </w:rPr>
      </w:pPr>
      <w:r w:rsidRPr="00DA05D2">
        <w:rPr>
          <w:rFonts w:ascii="Times New Roman" w:hAnsi="Times New Roman"/>
          <w:sz w:val="28"/>
          <w:szCs w:val="28"/>
        </w:rPr>
        <w:t>[3]</w:t>
      </w:r>
      <w:r w:rsidRPr="00DA05D2">
        <w:rPr>
          <w:rFonts w:ascii="Times New Roman" w:hAnsi="Times New Roman"/>
          <w:sz w:val="28"/>
          <w:szCs w:val="28"/>
        </w:rPr>
        <w:tab/>
      </w:r>
      <w:r w:rsidR="000F2FC8">
        <w:rPr>
          <w:rFonts w:ascii="Times New Roman" w:hAnsi="Times New Roman"/>
          <w:color w:val="000000"/>
          <w:sz w:val="28"/>
          <w:szCs w:val="28"/>
        </w:rPr>
        <w:t xml:space="preserve">In seeking condonation he </w:t>
      </w:r>
      <w:r w:rsidR="009B16E3">
        <w:rPr>
          <w:rFonts w:ascii="Times New Roman" w:hAnsi="Times New Roman"/>
          <w:color w:val="000000"/>
          <w:sz w:val="28"/>
          <w:szCs w:val="28"/>
        </w:rPr>
        <w:t xml:space="preserve">contends </w:t>
      </w:r>
      <w:r w:rsidR="000F2FC8">
        <w:rPr>
          <w:rFonts w:ascii="Times New Roman" w:hAnsi="Times New Roman"/>
          <w:color w:val="000000"/>
          <w:sz w:val="28"/>
          <w:szCs w:val="28"/>
        </w:rPr>
        <w:t xml:space="preserve">that the claims constituted a </w:t>
      </w:r>
      <w:r w:rsidR="00E91C66">
        <w:rPr>
          <w:rFonts w:ascii="Times New Roman" w:hAnsi="Times New Roman"/>
          <w:color w:val="000000"/>
          <w:sz w:val="28"/>
          <w:szCs w:val="28"/>
        </w:rPr>
        <w:t>continuous</w:t>
      </w:r>
      <w:r w:rsidR="000F2FC8">
        <w:rPr>
          <w:rFonts w:ascii="Times New Roman" w:hAnsi="Times New Roman"/>
          <w:color w:val="000000"/>
          <w:sz w:val="28"/>
          <w:szCs w:val="28"/>
        </w:rPr>
        <w:t xml:space="preserve"> cause of action</w:t>
      </w:r>
      <w:r w:rsidR="00ED7E10">
        <w:rPr>
          <w:rFonts w:ascii="Times New Roman" w:hAnsi="Times New Roman"/>
          <w:color w:val="000000"/>
          <w:sz w:val="28"/>
          <w:szCs w:val="28"/>
        </w:rPr>
        <w:t xml:space="preserve"> or transaction that arose on 4 May 2009 being the date of his arrest and detention which could not be regarded as complete until 2 June 2016</w:t>
      </w:r>
      <w:r w:rsidR="00C61449">
        <w:rPr>
          <w:rFonts w:ascii="Times New Roman" w:hAnsi="Times New Roman"/>
          <w:color w:val="000000"/>
          <w:sz w:val="28"/>
          <w:szCs w:val="28"/>
        </w:rPr>
        <w:t xml:space="preserve"> when the Full Court of this Division</w:t>
      </w:r>
      <w:r w:rsidR="002D3817">
        <w:rPr>
          <w:rFonts w:ascii="Times New Roman" w:hAnsi="Times New Roman"/>
          <w:color w:val="000000"/>
          <w:sz w:val="28"/>
          <w:szCs w:val="28"/>
        </w:rPr>
        <w:t xml:space="preserve"> </w:t>
      </w:r>
      <w:r w:rsidR="00B10247">
        <w:rPr>
          <w:rFonts w:ascii="Times New Roman" w:hAnsi="Times New Roman"/>
          <w:color w:val="000000"/>
          <w:sz w:val="28"/>
          <w:szCs w:val="28"/>
        </w:rPr>
        <w:t xml:space="preserve">upheld his appeal and </w:t>
      </w:r>
      <w:r w:rsidR="001B54C6">
        <w:rPr>
          <w:rFonts w:ascii="Times New Roman" w:hAnsi="Times New Roman"/>
          <w:color w:val="000000"/>
          <w:sz w:val="28"/>
          <w:szCs w:val="28"/>
        </w:rPr>
        <w:t>set aside</w:t>
      </w:r>
      <w:r w:rsidR="002D3817">
        <w:rPr>
          <w:rFonts w:ascii="Times New Roman" w:hAnsi="Times New Roman"/>
          <w:color w:val="000000"/>
          <w:sz w:val="28"/>
          <w:szCs w:val="28"/>
        </w:rPr>
        <w:t xml:space="preserve"> his conviction </w:t>
      </w:r>
      <w:r w:rsidR="00AA2B65">
        <w:rPr>
          <w:rFonts w:ascii="Times New Roman" w:hAnsi="Times New Roman"/>
          <w:color w:val="000000"/>
          <w:sz w:val="28"/>
          <w:szCs w:val="28"/>
        </w:rPr>
        <w:t xml:space="preserve">and sentence of 22 years’ imprisonment </w:t>
      </w:r>
      <w:r w:rsidR="00482D83">
        <w:rPr>
          <w:rFonts w:ascii="Times New Roman" w:hAnsi="Times New Roman"/>
          <w:color w:val="000000"/>
          <w:sz w:val="28"/>
          <w:szCs w:val="28"/>
        </w:rPr>
        <w:t xml:space="preserve">on two counts of rape </w:t>
      </w:r>
      <w:r w:rsidR="00B10247">
        <w:rPr>
          <w:rFonts w:ascii="Times New Roman" w:hAnsi="Times New Roman"/>
          <w:color w:val="000000"/>
          <w:sz w:val="28"/>
          <w:szCs w:val="28"/>
        </w:rPr>
        <w:t xml:space="preserve">including </w:t>
      </w:r>
      <w:r w:rsidR="00482D83">
        <w:rPr>
          <w:rFonts w:ascii="Times New Roman" w:hAnsi="Times New Roman"/>
          <w:color w:val="000000"/>
          <w:sz w:val="28"/>
          <w:szCs w:val="28"/>
        </w:rPr>
        <w:t>one count of kidnapping</w:t>
      </w:r>
      <w:r w:rsidR="00AA2B65">
        <w:rPr>
          <w:rFonts w:ascii="Times New Roman" w:hAnsi="Times New Roman"/>
          <w:color w:val="000000"/>
          <w:sz w:val="28"/>
          <w:szCs w:val="28"/>
        </w:rPr>
        <w:t>.</w:t>
      </w:r>
    </w:p>
    <w:p w:rsidR="00DF52B1" w:rsidRPr="00DF52B1" w:rsidRDefault="00281191" w:rsidP="00281191">
      <w:pPr>
        <w:pStyle w:val="LegalList1"/>
        <w:spacing w:line="360" w:lineRule="auto"/>
        <w:rPr>
          <w:rFonts w:ascii="Times New Roman" w:hAnsi="Times New Roman"/>
          <w:sz w:val="28"/>
          <w:szCs w:val="28"/>
        </w:rPr>
      </w:pPr>
      <w:r w:rsidRPr="00DF52B1">
        <w:rPr>
          <w:rFonts w:ascii="Times New Roman" w:hAnsi="Times New Roman"/>
          <w:sz w:val="28"/>
          <w:szCs w:val="28"/>
        </w:rPr>
        <w:t>[4]</w:t>
      </w:r>
      <w:r w:rsidRPr="00DF52B1">
        <w:rPr>
          <w:rFonts w:ascii="Times New Roman" w:hAnsi="Times New Roman"/>
          <w:sz w:val="28"/>
          <w:szCs w:val="28"/>
        </w:rPr>
        <w:tab/>
      </w:r>
      <w:r w:rsidR="00DA05D2">
        <w:rPr>
          <w:rFonts w:ascii="Times New Roman" w:hAnsi="Times New Roman"/>
          <w:sz w:val="28"/>
          <w:szCs w:val="28"/>
        </w:rPr>
        <w:t xml:space="preserve">The appeal judgment is cited as </w:t>
      </w:r>
      <w:r w:rsidR="00DA05D2" w:rsidRPr="00C07678">
        <w:rPr>
          <w:rFonts w:ascii="Times New Roman" w:hAnsi="Times New Roman"/>
          <w:i/>
          <w:color w:val="000000"/>
          <w:sz w:val="28"/>
          <w:szCs w:val="28"/>
        </w:rPr>
        <w:t>Poni and Others v The State</w:t>
      </w:r>
      <w:r w:rsidR="00DA05D2">
        <w:rPr>
          <w:rStyle w:val="FootnoteReference"/>
          <w:rFonts w:ascii="Times New Roman" w:hAnsi="Times New Roman"/>
          <w:color w:val="000000"/>
          <w:sz w:val="28"/>
          <w:szCs w:val="28"/>
        </w:rPr>
        <w:footnoteReference w:id="1"/>
      </w:r>
      <w:r w:rsidR="00DA05D2">
        <w:rPr>
          <w:rFonts w:ascii="Times New Roman" w:hAnsi="Times New Roman"/>
          <w:color w:val="000000"/>
          <w:sz w:val="28"/>
          <w:szCs w:val="28"/>
        </w:rPr>
        <w:t xml:space="preserve"> in which the applicant featured as third appellant.</w:t>
      </w:r>
    </w:p>
    <w:p w:rsidR="00E87186" w:rsidRPr="00E87186" w:rsidRDefault="00281191" w:rsidP="00281191">
      <w:pPr>
        <w:pStyle w:val="LegalList1"/>
        <w:spacing w:line="360" w:lineRule="auto"/>
        <w:rPr>
          <w:rFonts w:ascii="Times New Roman" w:hAnsi="Times New Roman"/>
          <w:sz w:val="28"/>
          <w:szCs w:val="28"/>
        </w:rPr>
      </w:pPr>
      <w:r w:rsidRPr="00E87186">
        <w:rPr>
          <w:rFonts w:ascii="Times New Roman" w:hAnsi="Times New Roman"/>
          <w:sz w:val="28"/>
          <w:szCs w:val="28"/>
        </w:rPr>
        <w:t>[5]</w:t>
      </w:r>
      <w:r w:rsidRPr="00E87186">
        <w:rPr>
          <w:rFonts w:ascii="Times New Roman" w:hAnsi="Times New Roman"/>
          <w:sz w:val="28"/>
          <w:szCs w:val="28"/>
        </w:rPr>
        <w:tab/>
      </w:r>
      <w:r w:rsidR="00E87186">
        <w:rPr>
          <w:rFonts w:ascii="Times New Roman" w:hAnsi="Times New Roman"/>
          <w:sz w:val="28"/>
          <w:szCs w:val="28"/>
        </w:rPr>
        <w:t xml:space="preserve">There are several factors which are common cause, alternatively not in </w:t>
      </w:r>
      <w:r w:rsidR="00273B74">
        <w:rPr>
          <w:rFonts w:ascii="Times New Roman" w:hAnsi="Times New Roman"/>
          <w:sz w:val="28"/>
          <w:szCs w:val="28"/>
        </w:rPr>
        <w:t>dispute</w:t>
      </w:r>
      <w:r w:rsidR="00E87186">
        <w:rPr>
          <w:rFonts w:ascii="Times New Roman" w:hAnsi="Times New Roman"/>
          <w:sz w:val="28"/>
          <w:szCs w:val="28"/>
        </w:rPr>
        <w:t>, namely:</w:t>
      </w:r>
    </w:p>
    <w:p w:rsidR="001378F4" w:rsidRPr="00B10247" w:rsidRDefault="00187C0D" w:rsidP="007A06EF">
      <w:pPr>
        <w:pStyle w:val="LegalList1"/>
        <w:spacing w:line="360" w:lineRule="auto"/>
        <w:ind w:left="720" w:hanging="720"/>
        <w:rPr>
          <w:rFonts w:ascii="Times New Roman" w:hAnsi="Times New Roman"/>
          <w:sz w:val="28"/>
          <w:szCs w:val="28"/>
        </w:rPr>
      </w:pPr>
      <w:r>
        <w:rPr>
          <w:rFonts w:ascii="Times New Roman" w:hAnsi="Times New Roman"/>
          <w:color w:val="000000"/>
          <w:sz w:val="28"/>
          <w:szCs w:val="28"/>
        </w:rPr>
        <w:t>5.1</w:t>
      </w:r>
      <w:r>
        <w:rPr>
          <w:rFonts w:ascii="Times New Roman" w:hAnsi="Times New Roman"/>
          <w:color w:val="000000"/>
          <w:sz w:val="28"/>
          <w:szCs w:val="28"/>
        </w:rPr>
        <w:tab/>
      </w:r>
      <w:r w:rsidR="007A06EF">
        <w:rPr>
          <w:rFonts w:ascii="Times New Roman" w:hAnsi="Times New Roman"/>
          <w:color w:val="000000"/>
          <w:sz w:val="28"/>
          <w:szCs w:val="28"/>
        </w:rPr>
        <w:t>t</w:t>
      </w:r>
      <w:r>
        <w:rPr>
          <w:rFonts w:ascii="Times New Roman" w:hAnsi="Times New Roman"/>
          <w:color w:val="000000"/>
          <w:sz w:val="28"/>
          <w:szCs w:val="28"/>
        </w:rPr>
        <w:t>hat t</w:t>
      </w:r>
      <w:r w:rsidR="001378F4">
        <w:rPr>
          <w:rFonts w:ascii="Times New Roman" w:hAnsi="Times New Roman"/>
          <w:color w:val="000000"/>
          <w:sz w:val="28"/>
          <w:szCs w:val="28"/>
        </w:rPr>
        <w:t xml:space="preserve">he requisite ‘jurisdictional facts to launch action based on malicious prosecution, unlawful arrest and detention arose [on 2 June 2016] upon the setting aside of the </w:t>
      </w:r>
      <w:r w:rsidR="0035598C">
        <w:rPr>
          <w:rFonts w:ascii="Times New Roman" w:hAnsi="Times New Roman"/>
          <w:color w:val="000000"/>
          <w:sz w:val="28"/>
          <w:szCs w:val="28"/>
        </w:rPr>
        <w:t>conviction and sentence’ (</w:t>
      </w:r>
      <w:r w:rsidR="001378F4">
        <w:rPr>
          <w:rFonts w:ascii="Times New Roman" w:hAnsi="Times New Roman"/>
          <w:color w:val="000000"/>
          <w:sz w:val="28"/>
          <w:szCs w:val="28"/>
        </w:rPr>
        <w:t>this being conceded in the applicant’s heads of argument</w:t>
      </w:r>
      <w:r w:rsidR="0035598C">
        <w:rPr>
          <w:rFonts w:ascii="Times New Roman" w:hAnsi="Times New Roman"/>
          <w:color w:val="000000"/>
          <w:sz w:val="28"/>
          <w:szCs w:val="28"/>
        </w:rPr>
        <w:t>);</w:t>
      </w:r>
    </w:p>
    <w:p w:rsidR="001378F4" w:rsidRPr="004D7442" w:rsidRDefault="0035598C" w:rsidP="007A06EF">
      <w:pPr>
        <w:pStyle w:val="LegalList1"/>
        <w:spacing w:line="360" w:lineRule="auto"/>
        <w:ind w:left="720" w:hanging="720"/>
        <w:rPr>
          <w:rFonts w:ascii="Times New Roman" w:hAnsi="Times New Roman"/>
          <w:sz w:val="28"/>
          <w:szCs w:val="28"/>
        </w:rPr>
      </w:pPr>
      <w:r>
        <w:rPr>
          <w:rFonts w:ascii="Times New Roman" w:hAnsi="Times New Roman"/>
          <w:color w:val="000000"/>
          <w:sz w:val="28"/>
          <w:szCs w:val="28"/>
        </w:rPr>
        <w:lastRenderedPageBreak/>
        <w:t>5.2</w:t>
      </w:r>
      <w:r>
        <w:rPr>
          <w:rFonts w:ascii="Times New Roman" w:hAnsi="Times New Roman"/>
          <w:color w:val="000000"/>
          <w:sz w:val="28"/>
          <w:szCs w:val="28"/>
        </w:rPr>
        <w:tab/>
      </w:r>
      <w:r w:rsidR="007A06EF">
        <w:rPr>
          <w:rFonts w:ascii="Times New Roman" w:hAnsi="Times New Roman"/>
          <w:color w:val="000000"/>
          <w:sz w:val="28"/>
          <w:szCs w:val="28"/>
        </w:rPr>
        <w:t>t</w:t>
      </w:r>
      <w:r>
        <w:rPr>
          <w:rFonts w:ascii="Times New Roman" w:hAnsi="Times New Roman"/>
          <w:color w:val="000000"/>
          <w:sz w:val="28"/>
          <w:szCs w:val="28"/>
        </w:rPr>
        <w:t>hat t</w:t>
      </w:r>
      <w:r w:rsidR="001378F4">
        <w:rPr>
          <w:rFonts w:ascii="Times New Roman" w:hAnsi="Times New Roman"/>
          <w:color w:val="000000"/>
          <w:sz w:val="28"/>
          <w:szCs w:val="28"/>
        </w:rPr>
        <w:t>he applicant’s statutory notices were not served</w:t>
      </w:r>
      <w:r w:rsidR="001378F4" w:rsidRPr="00934754">
        <w:rPr>
          <w:rFonts w:ascii="Times New Roman" w:hAnsi="Times New Roman"/>
          <w:color w:val="000000"/>
          <w:sz w:val="28"/>
          <w:szCs w:val="28"/>
        </w:rPr>
        <w:t xml:space="preserve"> </w:t>
      </w:r>
      <w:r w:rsidR="001378F4">
        <w:rPr>
          <w:rFonts w:ascii="Times New Roman" w:hAnsi="Times New Roman"/>
          <w:color w:val="000000"/>
          <w:sz w:val="28"/>
          <w:szCs w:val="28"/>
        </w:rPr>
        <w:t>within six months of the date on which the appeal was upheld</w:t>
      </w:r>
      <w:r>
        <w:rPr>
          <w:rFonts w:ascii="Times New Roman" w:hAnsi="Times New Roman"/>
          <w:color w:val="000000"/>
          <w:sz w:val="28"/>
          <w:szCs w:val="28"/>
        </w:rPr>
        <w:t>; and</w:t>
      </w:r>
    </w:p>
    <w:p w:rsidR="001817D5" w:rsidRDefault="0035598C" w:rsidP="007A06EF">
      <w:pPr>
        <w:pStyle w:val="LegalList1"/>
        <w:spacing w:line="360" w:lineRule="auto"/>
        <w:ind w:left="720" w:hanging="720"/>
        <w:rPr>
          <w:rFonts w:ascii="Times New Roman" w:hAnsi="Times New Roman"/>
          <w:sz w:val="28"/>
          <w:szCs w:val="28"/>
        </w:rPr>
      </w:pPr>
      <w:r>
        <w:rPr>
          <w:rFonts w:ascii="Times New Roman" w:hAnsi="Times New Roman"/>
          <w:color w:val="000000"/>
          <w:sz w:val="28"/>
          <w:szCs w:val="28"/>
        </w:rPr>
        <w:t>5.3</w:t>
      </w:r>
      <w:r>
        <w:rPr>
          <w:rFonts w:ascii="Times New Roman" w:hAnsi="Times New Roman"/>
          <w:color w:val="000000"/>
          <w:sz w:val="28"/>
          <w:szCs w:val="28"/>
        </w:rPr>
        <w:tab/>
      </w:r>
      <w:r w:rsidR="007A06EF">
        <w:rPr>
          <w:rFonts w:ascii="Times New Roman" w:hAnsi="Times New Roman"/>
          <w:color w:val="000000"/>
          <w:sz w:val="28"/>
          <w:szCs w:val="28"/>
        </w:rPr>
        <w:t>r</w:t>
      </w:r>
      <w:r w:rsidR="001817D5">
        <w:rPr>
          <w:rFonts w:ascii="Times New Roman" w:hAnsi="Times New Roman"/>
          <w:color w:val="000000"/>
          <w:sz w:val="28"/>
          <w:szCs w:val="28"/>
        </w:rPr>
        <w:t>elevant to the second respondent</w:t>
      </w:r>
      <w:r w:rsidR="006379EF">
        <w:rPr>
          <w:rFonts w:ascii="Times New Roman" w:hAnsi="Times New Roman"/>
          <w:color w:val="000000"/>
          <w:sz w:val="28"/>
          <w:szCs w:val="28"/>
        </w:rPr>
        <w:t>,</w:t>
      </w:r>
      <w:r w:rsidR="001817D5" w:rsidRPr="00941D50">
        <w:rPr>
          <w:rFonts w:ascii="Times New Roman" w:hAnsi="Times New Roman"/>
          <w:color w:val="000000"/>
          <w:sz w:val="28"/>
          <w:szCs w:val="28"/>
        </w:rPr>
        <w:t xml:space="preserve"> </w:t>
      </w:r>
      <w:r w:rsidR="001817D5">
        <w:rPr>
          <w:rFonts w:ascii="Times New Roman" w:hAnsi="Times New Roman"/>
          <w:color w:val="000000"/>
          <w:sz w:val="28"/>
          <w:szCs w:val="28"/>
        </w:rPr>
        <w:t>Mr Ntshinkose</w:t>
      </w:r>
      <w:r w:rsidR="006379EF">
        <w:rPr>
          <w:rFonts w:ascii="Times New Roman" w:hAnsi="Times New Roman"/>
          <w:color w:val="000000"/>
          <w:sz w:val="28"/>
          <w:szCs w:val="28"/>
        </w:rPr>
        <w:t>,</w:t>
      </w:r>
      <w:r w:rsidR="001817D5">
        <w:rPr>
          <w:rFonts w:ascii="Times New Roman" w:hAnsi="Times New Roman"/>
          <w:color w:val="000000"/>
          <w:sz w:val="28"/>
          <w:szCs w:val="28"/>
        </w:rPr>
        <w:t xml:space="preserve"> that </w:t>
      </w:r>
      <w:r w:rsidR="001817D5">
        <w:rPr>
          <w:rFonts w:ascii="Times New Roman" w:hAnsi="Times New Roman"/>
          <w:sz w:val="28"/>
          <w:szCs w:val="28"/>
        </w:rPr>
        <w:t>he is an organ of state as defined in section 1 of the Proceedings Act</w:t>
      </w:r>
      <w:r w:rsidR="00611CD6">
        <w:rPr>
          <w:rFonts w:ascii="Times New Roman" w:hAnsi="Times New Roman"/>
          <w:sz w:val="28"/>
          <w:szCs w:val="28"/>
        </w:rPr>
        <w:t xml:space="preserve">. It is asserted in answer </w:t>
      </w:r>
      <w:r w:rsidR="001817D5">
        <w:rPr>
          <w:rFonts w:ascii="Times New Roman" w:hAnsi="Times New Roman"/>
          <w:sz w:val="28"/>
          <w:szCs w:val="28"/>
        </w:rPr>
        <w:t>that he was never served wit</w:t>
      </w:r>
      <w:r w:rsidR="00611CD6">
        <w:rPr>
          <w:rFonts w:ascii="Times New Roman" w:hAnsi="Times New Roman"/>
          <w:sz w:val="28"/>
          <w:szCs w:val="28"/>
        </w:rPr>
        <w:t>h a statutory notice or summons – this not being countered in reply.</w:t>
      </w:r>
    </w:p>
    <w:p w:rsidR="001817D5" w:rsidRPr="004C2EC2" w:rsidRDefault="00281191" w:rsidP="00281191">
      <w:pPr>
        <w:pStyle w:val="LegalList1"/>
        <w:spacing w:line="360" w:lineRule="auto"/>
        <w:rPr>
          <w:rFonts w:ascii="Times New Roman" w:hAnsi="Times New Roman"/>
          <w:sz w:val="28"/>
          <w:szCs w:val="28"/>
        </w:rPr>
      </w:pPr>
      <w:r w:rsidRPr="004C2EC2">
        <w:rPr>
          <w:rFonts w:ascii="Times New Roman" w:hAnsi="Times New Roman"/>
          <w:sz w:val="28"/>
          <w:szCs w:val="28"/>
        </w:rPr>
        <w:t>[6]</w:t>
      </w:r>
      <w:r w:rsidRPr="004C2EC2">
        <w:rPr>
          <w:rFonts w:ascii="Times New Roman" w:hAnsi="Times New Roman"/>
          <w:sz w:val="28"/>
          <w:szCs w:val="28"/>
        </w:rPr>
        <w:tab/>
      </w:r>
      <w:r w:rsidR="001817D5">
        <w:rPr>
          <w:rFonts w:ascii="Times New Roman" w:hAnsi="Times New Roman"/>
          <w:color w:val="000000"/>
          <w:sz w:val="28"/>
          <w:szCs w:val="28"/>
        </w:rPr>
        <w:t>The application is opposed, the respondents contending that the requirements in section 3(4)</w:t>
      </w:r>
      <w:r w:rsidR="001817D5" w:rsidRPr="00896710">
        <w:rPr>
          <w:rFonts w:ascii="Times New Roman" w:hAnsi="Times New Roman"/>
          <w:i/>
          <w:color w:val="000000"/>
          <w:sz w:val="28"/>
          <w:szCs w:val="28"/>
        </w:rPr>
        <w:t>(b)</w:t>
      </w:r>
      <w:r w:rsidR="001817D5">
        <w:rPr>
          <w:rFonts w:ascii="Times New Roman" w:hAnsi="Times New Roman"/>
          <w:color w:val="000000"/>
          <w:sz w:val="28"/>
          <w:szCs w:val="28"/>
        </w:rPr>
        <w:t xml:space="preserve"> of the Proceedings Act have not been met.</w:t>
      </w:r>
    </w:p>
    <w:p w:rsidR="004C2EC2" w:rsidRPr="00205155" w:rsidRDefault="004C2EC2" w:rsidP="00193244">
      <w:pPr>
        <w:pStyle w:val="LegalList1"/>
        <w:spacing w:line="360" w:lineRule="auto"/>
        <w:rPr>
          <w:rFonts w:ascii="Times New Roman" w:hAnsi="Times New Roman"/>
          <w:b/>
          <w:sz w:val="28"/>
          <w:szCs w:val="28"/>
        </w:rPr>
      </w:pPr>
      <w:r w:rsidRPr="00205155">
        <w:rPr>
          <w:rFonts w:ascii="Times New Roman" w:hAnsi="Times New Roman"/>
          <w:b/>
          <w:color w:val="000000"/>
          <w:sz w:val="28"/>
          <w:szCs w:val="28"/>
        </w:rPr>
        <w:t>Background</w:t>
      </w:r>
    </w:p>
    <w:p w:rsidR="00A572D4" w:rsidRPr="00EC7A58" w:rsidRDefault="00281191" w:rsidP="00281191">
      <w:pPr>
        <w:pStyle w:val="LegalList1"/>
        <w:spacing w:line="360" w:lineRule="auto"/>
        <w:rPr>
          <w:rFonts w:ascii="Times New Roman" w:hAnsi="Times New Roman"/>
          <w:sz w:val="28"/>
          <w:szCs w:val="28"/>
        </w:rPr>
      </w:pPr>
      <w:r w:rsidRPr="00EC7A58">
        <w:rPr>
          <w:rFonts w:ascii="Times New Roman" w:hAnsi="Times New Roman"/>
          <w:sz w:val="28"/>
          <w:szCs w:val="28"/>
        </w:rPr>
        <w:t>[7]</w:t>
      </w:r>
      <w:r w:rsidRPr="00EC7A58">
        <w:rPr>
          <w:rFonts w:ascii="Times New Roman" w:hAnsi="Times New Roman"/>
          <w:sz w:val="28"/>
          <w:szCs w:val="28"/>
        </w:rPr>
        <w:tab/>
      </w:r>
      <w:r w:rsidR="00D03AAD">
        <w:rPr>
          <w:rFonts w:ascii="Times New Roman" w:hAnsi="Times New Roman"/>
          <w:color w:val="000000"/>
          <w:sz w:val="28"/>
          <w:szCs w:val="28"/>
        </w:rPr>
        <w:t xml:space="preserve">The applicant was arrested </w:t>
      </w:r>
      <w:r w:rsidR="00E97E8B">
        <w:rPr>
          <w:rFonts w:ascii="Times New Roman" w:hAnsi="Times New Roman"/>
          <w:color w:val="000000"/>
          <w:sz w:val="28"/>
          <w:szCs w:val="28"/>
        </w:rPr>
        <w:t xml:space="preserve">on </w:t>
      </w:r>
      <w:r w:rsidR="00A229D9">
        <w:rPr>
          <w:rFonts w:ascii="Times New Roman" w:hAnsi="Times New Roman"/>
          <w:color w:val="000000"/>
          <w:sz w:val="28"/>
          <w:szCs w:val="28"/>
        </w:rPr>
        <w:t xml:space="preserve">4 May 2009 in Port Elizabeth (now Gqeberha) by members of the </w:t>
      </w:r>
      <w:r w:rsidR="00193244">
        <w:rPr>
          <w:rFonts w:ascii="Times New Roman" w:hAnsi="Times New Roman"/>
          <w:color w:val="000000"/>
          <w:sz w:val="28"/>
          <w:szCs w:val="28"/>
        </w:rPr>
        <w:t>South African Police Service</w:t>
      </w:r>
      <w:r w:rsidR="00491F82">
        <w:rPr>
          <w:rFonts w:ascii="Times New Roman" w:hAnsi="Times New Roman"/>
          <w:color w:val="000000"/>
          <w:sz w:val="28"/>
          <w:szCs w:val="28"/>
        </w:rPr>
        <w:t xml:space="preserve"> (SAPS)</w:t>
      </w:r>
      <w:r w:rsidR="00193244">
        <w:rPr>
          <w:rFonts w:ascii="Times New Roman" w:hAnsi="Times New Roman"/>
          <w:color w:val="000000"/>
          <w:sz w:val="28"/>
          <w:szCs w:val="28"/>
        </w:rPr>
        <w:t>, among them the second respondent</w:t>
      </w:r>
      <w:r w:rsidR="00A52ED5">
        <w:rPr>
          <w:rFonts w:ascii="Times New Roman" w:hAnsi="Times New Roman"/>
          <w:color w:val="000000"/>
          <w:sz w:val="28"/>
          <w:szCs w:val="28"/>
        </w:rPr>
        <w:t>, Mr Ntshinkose</w:t>
      </w:r>
      <w:r w:rsidR="00C84317">
        <w:rPr>
          <w:rFonts w:ascii="Times New Roman" w:hAnsi="Times New Roman"/>
          <w:color w:val="000000"/>
          <w:sz w:val="28"/>
          <w:szCs w:val="28"/>
        </w:rPr>
        <w:t xml:space="preserve">. </w:t>
      </w:r>
      <w:r w:rsidR="00C50DA9">
        <w:rPr>
          <w:rFonts w:ascii="Times New Roman" w:hAnsi="Times New Roman"/>
          <w:color w:val="000000"/>
          <w:sz w:val="28"/>
          <w:szCs w:val="28"/>
        </w:rPr>
        <w:t>He also alleges that his detention commenced on that date and terminated on 2 June 2016</w:t>
      </w:r>
      <w:r w:rsidR="00CA4C1B">
        <w:rPr>
          <w:rFonts w:ascii="Times New Roman" w:hAnsi="Times New Roman"/>
          <w:color w:val="000000"/>
          <w:sz w:val="28"/>
          <w:szCs w:val="28"/>
        </w:rPr>
        <w:t xml:space="preserve"> when his conviction</w:t>
      </w:r>
      <w:r w:rsidR="0035598C">
        <w:rPr>
          <w:rFonts w:ascii="Times New Roman" w:hAnsi="Times New Roman"/>
          <w:color w:val="000000"/>
          <w:sz w:val="28"/>
          <w:szCs w:val="28"/>
        </w:rPr>
        <w:t>s for</w:t>
      </w:r>
      <w:r w:rsidR="00CA4C1B">
        <w:rPr>
          <w:rFonts w:ascii="Times New Roman" w:hAnsi="Times New Roman"/>
          <w:color w:val="000000"/>
          <w:sz w:val="28"/>
          <w:szCs w:val="28"/>
        </w:rPr>
        <w:t xml:space="preserve"> rape and kidnapping </w:t>
      </w:r>
      <w:r w:rsidR="00205155">
        <w:rPr>
          <w:rFonts w:ascii="Times New Roman" w:hAnsi="Times New Roman"/>
          <w:color w:val="000000"/>
          <w:sz w:val="28"/>
          <w:szCs w:val="28"/>
        </w:rPr>
        <w:t xml:space="preserve">– for </w:t>
      </w:r>
      <w:r w:rsidR="00CA4C1B">
        <w:rPr>
          <w:rFonts w:ascii="Times New Roman" w:hAnsi="Times New Roman"/>
          <w:color w:val="000000"/>
          <w:sz w:val="28"/>
          <w:szCs w:val="28"/>
        </w:rPr>
        <w:t xml:space="preserve">which </w:t>
      </w:r>
      <w:r w:rsidR="009F70AC">
        <w:rPr>
          <w:rFonts w:ascii="Times New Roman" w:hAnsi="Times New Roman"/>
          <w:color w:val="000000"/>
          <w:sz w:val="28"/>
          <w:szCs w:val="28"/>
        </w:rPr>
        <w:t xml:space="preserve">the respondents’ </w:t>
      </w:r>
      <w:r w:rsidR="009A0D86">
        <w:rPr>
          <w:rFonts w:ascii="Times New Roman" w:hAnsi="Times New Roman"/>
          <w:color w:val="000000"/>
          <w:sz w:val="28"/>
          <w:szCs w:val="28"/>
        </w:rPr>
        <w:t xml:space="preserve">employees </w:t>
      </w:r>
      <w:r w:rsidR="00AC0E8B">
        <w:rPr>
          <w:rFonts w:ascii="Times New Roman" w:hAnsi="Times New Roman"/>
          <w:color w:val="000000"/>
          <w:sz w:val="28"/>
          <w:szCs w:val="28"/>
        </w:rPr>
        <w:t xml:space="preserve">allegedly </w:t>
      </w:r>
      <w:r w:rsidR="006A10BA">
        <w:rPr>
          <w:rFonts w:ascii="Times New Roman" w:hAnsi="Times New Roman"/>
          <w:color w:val="000000"/>
          <w:sz w:val="28"/>
          <w:szCs w:val="28"/>
        </w:rPr>
        <w:t xml:space="preserve">maliciously </w:t>
      </w:r>
      <w:r w:rsidR="00CA4C1B">
        <w:rPr>
          <w:rFonts w:ascii="Times New Roman" w:hAnsi="Times New Roman"/>
          <w:color w:val="000000"/>
          <w:sz w:val="28"/>
          <w:szCs w:val="28"/>
        </w:rPr>
        <w:t xml:space="preserve">charged </w:t>
      </w:r>
      <w:r w:rsidR="006A10BA">
        <w:rPr>
          <w:rFonts w:ascii="Times New Roman" w:hAnsi="Times New Roman"/>
          <w:color w:val="000000"/>
          <w:sz w:val="28"/>
          <w:szCs w:val="28"/>
        </w:rPr>
        <w:t xml:space="preserve">and prosecuted </w:t>
      </w:r>
      <w:r w:rsidR="009F70AC">
        <w:rPr>
          <w:rFonts w:ascii="Times New Roman" w:hAnsi="Times New Roman"/>
          <w:color w:val="000000"/>
          <w:sz w:val="28"/>
          <w:szCs w:val="28"/>
        </w:rPr>
        <w:t xml:space="preserve">him </w:t>
      </w:r>
      <w:r w:rsidR="00CA4C1B">
        <w:rPr>
          <w:rFonts w:ascii="Times New Roman" w:hAnsi="Times New Roman"/>
          <w:color w:val="000000"/>
          <w:sz w:val="28"/>
          <w:szCs w:val="28"/>
        </w:rPr>
        <w:t xml:space="preserve">and </w:t>
      </w:r>
      <w:r w:rsidR="009F70AC">
        <w:rPr>
          <w:rFonts w:ascii="Times New Roman" w:hAnsi="Times New Roman"/>
          <w:color w:val="000000"/>
          <w:sz w:val="28"/>
          <w:szCs w:val="28"/>
        </w:rPr>
        <w:t xml:space="preserve">for which he was </w:t>
      </w:r>
      <w:r w:rsidR="00CA4C1B">
        <w:rPr>
          <w:rFonts w:ascii="Times New Roman" w:hAnsi="Times New Roman"/>
          <w:color w:val="000000"/>
          <w:sz w:val="28"/>
          <w:szCs w:val="28"/>
        </w:rPr>
        <w:t xml:space="preserve">sentenced </w:t>
      </w:r>
      <w:r w:rsidR="00DE4E43">
        <w:rPr>
          <w:rFonts w:ascii="Times New Roman" w:hAnsi="Times New Roman"/>
          <w:color w:val="000000"/>
          <w:sz w:val="28"/>
          <w:szCs w:val="28"/>
        </w:rPr>
        <w:t>on 19</w:t>
      </w:r>
      <w:r w:rsidR="007A06EF">
        <w:rPr>
          <w:rFonts w:ascii="Times New Roman" w:hAnsi="Times New Roman"/>
          <w:color w:val="000000"/>
          <w:sz w:val="28"/>
          <w:szCs w:val="28"/>
        </w:rPr>
        <w:t> </w:t>
      </w:r>
      <w:r w:rsidR="00DE4E43">
        <w:rPr>
          <w:rFonts w:ascii="Times New Roman" w:hAnsi="Times New Roman"/>
          <w:color w:val="000000"/>
          <w:sz w:val="28"/>
          <w:szCs w:val="28"/>
        </w:rPr>
        <w:t xml:space="preserve">January 2011 </w:t>
      </w:r>
      <w:r w:rsidR="00CA4C1B">
        <w:rPr>
          <w:rFonts w:ascii="Times New Roman" w:hAnsi="Times New Roman"/>
          <w:color w:val="000000"/>
          <w:sz w:val="28"/>
          <w:szCs w:val="28"/>
        </w:rPr>
        <w:t>to an effective 22 years’ imprisonment</w:t>
      </w:r>
      <w:r w:rsidR="00F52ECC">
        <w:rPr>
          <w:rFonts w:ascii="Times New Roman" w:hAnsi="Times New Roman"/>
          <w:color w:val="000000"/>
          <w:sz w:val="28"/>
          <w:szCs w:val="28"/>
        </w:rPr>
        <w:t xml:space="preserve"> </w:t>
      </w:r>
      <w:r w:rsidR="00205155">
        <w:rPr>
          <w:rFonts w:ascii="Times New Roman" w:hAnsi="Times New Roman"/>
          <w:color w:val="000000"/>
          <w:sz w:val="28"/>
          <w:szCs w:val="28"/>
        </w:rPr>
        <w:t xml:space="preserve">in the High Court – were </w:t>
      </w:r>
      <w:r w:rsidR="00F52ECC">
        <w:rPr>
          <w:rFonts w:ascii="Times New Roman" w:hAnsi="Times New Roman"/>
          <w:color w:val="000000"/>
          <w:sz w:val="28"/>
          <w:szCs w:val="28"/>
        </w:rPr>
        <w:t>overtu</w:t>
      </w:r>
      <w:r w:rsidR="002C610B">
        <w:rPr>
          <w:rFonts w:ascii="Times New Roman" w:hAnsi="Times New Roman"/>
          <w:color w:val="000000"/>
          <w:sz w:val="28"/>
          <w:szCs w:val="28"/>
        </w:rPr>
        <w:t>r</w:t>
      </w:r>
      <w:r w:rsidR="00F52ECC">
        <w:rPr>
          <w:rFonts w:ascii="Times New Roman" w:hAnsi="Times New Roman"/>
          <w:color w:val="000000"/>
          <w:sz w:val="28"/>
          <w:szCs w:val="28"/>
        </w:rPr>
        <w:t xml:space="preserve">ned </w:t>
      </w:r>
      <w:r w:rsidR="00334A3C">
        <w:rPr>
          <w:rFonts w:ascii="Times New Roman" w:hAnsi="Times New Roman"/>
          <w:color w:val="000000"/>
          <w:sz w:val="28"/>
          <w:szCs w:val="28"/>
        </w:rPr>
        <w:t xml:space="preserve">by </w:t>
      </w:r>
      <w:r w:rsidR="00F52ECC">
        <w:rPr>
          <w:rFonts w:ascii="Times New Roman" w:hAnsi="Times New Roman"/>
          <w:color w:val="000000"/>
          <w:sz w:val="28"/>
          <w:szCs w:val="28"/>
        </w:rPr>
        <w:t xml:space="preserve">the Full </w:t>
      </w:r>
      <w:r w:rsidR="00E63C83">
        <w:rPr>
          <w:rFonts w:ascii="Times New Roman" w:hAnsi="Times New Roman"/>
          <w:color w:val="000000"/>
          <w:sz w:val="28"/>
          <w:szCs w:val="28"/>
        </w:rPr>
        <w:t>C</w:t>
      </w:r>
      <w:r w:rsidR="00334A3C">
        <w:rPr>
          <w:rFonts w:ascii="Times New Roman" w:hAnsi="Times New Roman"/>
          <w:color w:val="000000"/>
          <w:sz w:val="28"/>
          <w:szCs w:val="28"/>
        </w:rPr>
        <w:t>ourt</w:t>
      </w:r>
      <w:r w:rsidR="00FC4864" w:rsidRPr="00FC4864">
        <w:rPr>
          <w:rFonts w:ascii="Times New Roman" w:hAnsi="Times New Roman"/>
          <w:color w:val="000000"/>
          <w:sz w:val="28"/>
          <w:szCs w:val="28"/>
        </w:rPr>
        <w:t xml:space="preserve"> </w:t>
      </w:r>
      <w:r w:rsidR="00FC4864">
        <w:rPr>
          <w:rFonts w:ascii="Times New Roman" w:hAnsi="Times New Roman"/>
          <w:color w:val="000000"/>
          <w:sz w:val="28"/>
          <w:szCs w:val="28"/>
        </w:rPr>
        <w:t>on appeal</w:t>
      </w:r>
      <w:r w:rsidR="006A10BA">
        <w:rPr>
          <w:rFonts w:ascii="Times New Roman" w:hAnsi="Times New Roman"/>
          <w:color w:val="000000"/>
          <w:sz w:val="28"/>
          <w:szCs w:val="28"/>
        </w:rPr>
        <w:t>.</w:t>
      </w:r>
    </w:p>
    <w:p w:rsidR="00B74B5B" w:rsidRPr="00B74B5B" w:rsidRDefault="00281191" w:rsidP="00281191">
      <w:pPr>
        <w:pStyle w:val="LegalList1"/>
        <w:spacing w:line="360" w:lineRule="auto"/>
        <w:rPr>
          <w:rFonts w:ascii="Times New Roman" w:hAnsi="Times New Roman"/>
          <w:sz w:val="28"/>
          <w:szCs w:val="28"/>
        </w:rPr>
      </w:pPr>
      <w:r w:rsidRPr="00B74B5B">
        <w:rPr>
          <w:rFonts w:ascii="Times New Roman" w:hAnsi="Times New Roman"/>
          <w:sz w:val="28"/>
          <w:szCs w:val="28"/>
        </w:rPr>
        <w:t>[8]</w:t>
      </w:r>
      <w:r w:rsidRPr="00B74B5B">
        <w:rPr>
          <w:rFonts w:ascii="Times New Roman" w:hAnsi="Times New Roman"/>
          <w:sz w:val="28"/>
          <w:szCs w:val="28"/>
        </w:rPr>
        <w:tab/>
      </w:r>
      <w:r w:rsidR="002C610B">
        <w:rPr>
          <w:rFonts w:ascii="Times New Roman" w:hAnsi="Times New Roman"/>
          <w:color w:val="000000"/>
          <w:sz w:val="28"/>
          <w:szCs w:val="28"/>
        </w:rPr>
        <w:t>In all</w:t>
      </w:r>
      <w:r w:rsidR="00334A3C">
        <w:rPr>
          <w:rFonts w:ascii="Times New Roman" w:hAnsi="Times New Roman"/>
          <w:color w:val="000000"/>
          <w:sz w:val="28"/>
          <w:szCs w:val="28"/>
        </w:rPr>
        <w:t>,</w:t>
      </w:r>
      <w:r w:rsidR="002C610B">
        <w:rPr>
          <w:rFonts w:ascii="Times New Roman" w:hAnsi="Times New Roman"/>
          <w:color w:val="000000"/>
          <w:sz w:val="28"/>
          <w:szCs w:val="28"/>
        </w:rPr>
        <w:t xml:space="preserve"> f</w:t>
      </w:r>
      <w:r w:rsidR="00DE4E43">
        <w:rPr>
          <w:rFonts w:ascii="Times New Roman" w:hAnsi="Times New Roman"/>
          <w:color w:val="000000"/>
          <w:sz w:val="28"/>
          <w:szCs w:val="28"/>
        </w:rPr>
        <w:t xml:space="preserve">rom date of </w:t>
      </w:r>
      <w:r w:rsidR="00B74B5B">
        <w:rPr>
          <w:rFonts w:ascii="Times New Roman" w:hAnsi="Times New Roman"/>
          <w:color w:val="000000"/>
          <w:sz w:val="28"/>
          <w:szCs w:val="28"/>
        </w:rPr>
        <w:t xml:space="preserve">his </w:t>
      </w:r>
      <w:r w:rsidR="00DE4E43">
        <w:rPr>
          <w:rFonts w:ascii="Times New Roman" w:hAnsi="Times New Roman"/>
          <w:color w:val="000000"/>
          <w:sz w:val="28"/>
          <w:szCs w:val="28"/>
        </w:rPr>
        <w:t>arrest</w:t>
      </w:r>
      <w:r w:rsidR="002C610B">
        <w:rPr>
          <w:rFonts w:ascii="Times New Roman" w:hAnsi="Times New Roman"/>
          <w:color w:val="000000"/>
          <w:sz w:val="28"/>
          <w:szCs w:val="28"/>
        </w:rPr>
        <w:t xml:space="preserve"> until the </w:t>
      </w:r>
      <w:r w:rsidR="00B74B5B">
        <w:rPr>
          <w:rFonts w:ascii="Times New Roman" w:hAnsi="Times New Roman"/>
          <w:color w:val="000000"/>
          <w:sz w:val="28"/>
          <w:szCs w:val="28"/>
        </w:rPr>
        <w:t xml:space="preserve">date on which the appeal was finalised the applicant had been detained in custody for 7 years. </w:t>
      </w:r>
    </w:p>
    <w:p w:rsidR="005F2DA4" w:rsidRPr="005F2DA4" w:rsidRDefault="00281191" w:rsidP="00281191">
      <w:pPr>
        <w:pStyle w:val="LegalList1"/>
        <w:spacing w:line="360" w:lineRule="auto"/>
        <w:rPr>
          <w:rFonts w:ascii="Times New Roman" w:hAnsi="Times New Roman"/>
          <w:sz w:val="28"/>
          <w:szCs w:val="28"/>
        </w:rPr>
      </w:pPr>
      <w:r w:rsidRPr="005F2DA4">
        <w:rPr>
          <w:rFonts w:ascii="Times New Roman" w:hAnsi="Times New Roman"/>
          <w:sz w:val="28"/>
          <w:szCs w:val="28"/>
        </w:rPr>
        <w:t>[9]</w:t>
      </w:r>
      <w:r w:rsidRPr="005F2DA4">
        <w:rPr>
          <w:rFonts w:ascii="Times New Roman" w:hAnsi="Times New Roman"/>
          <w:sz w:val="28"/>
          <w:szCs w:val="28"/>
        </w:rPr>
        <w:tab/>
      </w:r>
      <w:r w:rsidR="00334A3C">
        <w:rPr>
          <w:rFonts w:ascii="Times New Roman" w:hAnsi="Times New Roman"/>
          <w:color w:val="000000"/>
          <w:sz w:val="28"/>
          <w:szCs w:val="28"/>
        </w:rPr>
        <w:t xml:space="preserve">The applicant issued summons out of this Court on 13 November 2018. Although claiming that summons was served on the respondents on 19 December 2018, 6 April 2019 and 17 May 2019, </w:t>
      </w:r>
      <w:r w:rsidR="005F2DA4">
        <w:rPr>
          <w:rFonts w:ascii="Times New Roman" w:hAnsi="Times New Roman"/>
          <w:color w:val="000000"/>
          <w:sz w:val="28"/>
          <w:szCs w:val="28"/>
        </w:rPr>
        <w:t>he</w:t>
      </w:r>
      <w:r w:rsidR="00334A3C">
        <w:rPr>
          <w:rFonts w:ascii="Times New Roman" w:hAnsi="Times New Roman"/>
          <w:color w:val="000000"/>
          <w:sz w:val="28"/>
          <w:szCs w:val="28"/>
        </w:rPr>
        <w:t xml:space="preserve"> does not identify the date of service </w:t>
      </w:r>
      <w:r w:rsidR="00FC4864">
        <w:rPr>
          <w:rFonts w:ascii="Times New Roman" w:hAnsi="Times New Roman"/>
          <w:color w:val="000000"/>
          <w:sz w:val="28"/>
          <w:szCs w:val="28"/>
        </w:rPr>
        <w:t xml:space="preserve">applicable </w:t>
      </w:r>
      <w:r w:rsidR="00334A3C">
        <w:rPr>
          <w:rFonts w:ascii="Times New Roman" w:hAnsi="Times New Roman"/>
          <w:color w:val="000000"/>
          <w:sz w:val="28"/>
          <w:szCs w:val="28"/>
        </w:rPr>
        <w:t>to each respondent.</w:t>
      </w:r>
    </w:p>
    <w:p w:rsidR="00334A3C" w:rsidRPr="00334A3C" w:rsidRDefault="00281191" w:rsidP="00281191">
      <w:pPr>
        <w:pStyle w:val="LegalList1"/>
        <w:spacing w:line="360" w:lineRule="auto"/>
        <w:rPr>
          <w:rFonts w:ascii="Times New Roman" w:hAnsi="Times New Roman"/>
          <w:sz w:val="28"/>
          <w:szCs w:val="28"/>
        </w:rPr>
      </w:pPr>
      <w:r w:rsidRPr="00334A3C">
        <w:rPr>
          <w:rFonts w:ascii="Times New Roman" w:hAnsi="Times New Roman"/>
          <w:sz w:val="28"/>
          <w:szCs w:val="28"/>
        </w:rPr>
        <w:lastRenderedPageBreak/>
        <w:t>[10]</w:t>
      </w:r>
      <w:r w:rsidRPr="00334A3C">
        <w:rPr>
          <w:rFonts w:ascii="Times New Roman" w:hAnsi="Times New Roman"/>
          <w:sz w:val="28"/>
          <w:szCs w:val="28"/>
        </w:rPr>
        <w:tab/>
      </w:r>
      <w:r w:rsidR="00334A3C">
        <w:rPr>
          <w:rFonts w:ascii="Times New Roman" w:hAnsi="Times New Roman"/>
          <w:color w:val="000000"/>
          <w:sz w:val="28"/>
          <w:szCs w:val="28"/>
        </w:rPr>
        <w:t>In answer, the respondents identify service effected on 19 December 2018 and 5 August 2019 respectively on the Minister</w:t>
      </w:r>
      <w:r w:rsidR="00334A3C" w:rsidRPr="004D7442">
        <w:rPr>
          <w:rFonts w:ascii="Times New Roman" w:hAnsi="Times New Roman"/>
          <w:color w:val="000000"/>
          <w:sz w:val="28"/>
          <w:szCs w:val="28"/>
        </w:rPr>
        <w:t xml:space="preserve"> </w:t>
      </w:r>
      <w:r w:rsidR="00334A3C">
        <w:rPr>
          <w:rFonts w:ascii="Times New Roman" w:hAnsi="Times New Roman"/>
          <w:color w:val="000000"/>
          <w:sz w:val="28"/>
          <w:szCs w:val="28"/>
        </w:rPr>
        <w:t>and the Provincial Commissioner</w:t>
      </w:r>
      <w:r w:rsidR="00334A3C" w:rsidRPr="004D7442">
        <w:rPr>
          <w:rFonts w:ascii="Times New Roman" w:hAnsi="Times New Roman"/>
          <w:color w:val="000000"/>
          <w:sz w:val="28"/>
          <w:szCs w:val="28"/>
        </w:rPr>
        <w:t xml:space="preserve"> </w:t>
      </w:r>
      <w:r w:rsidR="00152096">
        <w:rPr>
          <w:rFonts w:ascii="Times New Roman" w:hAnsi="Times New Roman"/>
          <w:color w:val="000000"/>
          <w:sz w:val="28"/>
          <w:szCs w:val="28"/>
        </w:rPr>
        <w:t xml:space="preserve">of the </w:t>
      </w:r>
      <w:r w:rsidR="00334A3C">
        <w:rPr>
          <w:rFonts w:ascii="Times New Roman" w:hAnsi="Times New Roman"/>
          <w:color w:val="000000"/>
          <w:sz w:val="28"/>
          <w:szCs w:val="28"/>
        </w:rPr>
        <w:t>South African Police Service, and on the NDPP on 16 April 2019. These assertions are not countered by the applicant in reply.</w:t>
      </w:r>
    </w:p>
    <w:p w:rsidR="00C06402"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5A0549">
        <w:rPr>
          <w:rFonts w:ascii="Times New Roman" w:hAnsi="Times New Roman"/>
          <w:sz w:val="28"/>
          <w:szCs w:val="28"/>
        </w:rPr>
        <w:t xml:space="preserve">The applicant’s pleaded </w:t>
      </w:r>
      <w:r w:rsidR="00912B07">
        <w:rPr>
          <w:rFonts w:ascii="Times New Roman" w:hAnsi="Times New Roman"/>
          <w:sz w:val="28"/>
          <w:szCs w:val="28"/>
        </w:rPr>
        <w:t xml:space="preserve">compliance with the notice requirements of the Proceedings Act, </w:t>
      </w:r>
      <w:r w:rsidR="00670E50">
        <w:rPr>
          <w:rFonts w:ascii="Times New Roman" w:hAnsi="Times New Roman"/>
          <w:sz w:val="28"/>
          <w:szCs w:val="28"/>
        </w:rPr>
        <w:t xml:space="preserve">was met with an objection by the </w:t>
      </w:r>
      <w:r w:rsidR="00912B07">
        <w:rPr>
          <w:rFonts w:ascii="Times New Roman" w:hAnsi="Times New Roman"/>
          <w:sz w:val="28"/>
          <w:szCs w:val="28"/>
        </w:rPr>
        <w:t>respondents</w:t>
      </w:r>
      <w:r w:rsidR="00670E50">
        <w:rPr>
          <w:rFonts w:ascii="Times New Roman" w:hAnsi="Times New Roman"/>
          <w:sz w:val="28"/>
          <w:szCs w:val="28"/>
        </w:rPr>
        <w:t xml:space="preserve">. </w:t>
      </w:r>
      <w:r w:rsidR="00F61617">
        <w:rPr>
          <w:rFonts w:ascii="Times New Roman" w:hAnsi="Times New Roman"/>
          <w:sz w:val="28"/>
          <w:szCs w:val="28"/>
        </w:rPr>
        <w:t xml:space="preserve">Regarding </w:t>
      </w:r>
      <w:r w:rsidR="00F63826">
        <w:rPr>
          <w:rFonts w:ascii="Times New Roman" w:hAnsi="Times New Roman"/>
          <w:sz w:val="28"/>
          <w:szCs w:val="28"/>
        </w:rPr>
        <w:t>the claims based on the arrest and detention t</w:t>
      </w:r>
      <w:r w:rsidR="00670E50">
        <w:rPr>
          <w:rFonts w:ascii="Times New Roman" w:hAnsi="Times New Roman"/>
          <w:sz w:val="28"/>
          <w:szCs w:val="28"/>
        </w:rPr>
        <w:t xml:space="preserve">he </w:t>
      </w:r>
      <w:r w:rsidR="008F28FD">
        <w:rPr>
          <w:rFonts w:ascii="Times New Roman" w:hAnsi="Times New Roman"/>
          <w:sz w:val="28"/>
          <w:szCs w:val="28"/>
        </w:rPr>
        <w:t>Ministe</w:t>
      </w:r>
      <w:r w:rsidR="00381FDE">
        <w:rPr>
          <w:rFonts w:ascii="Times New Roman" w:hAnsi="Times New Roman"/>
          <w:sz w:val="28"/>
          <w:szCs w:val="28"/>
        </w:rPr>
        <w:t>r</w:t>
      </w:r>
      <w:r w:rsidR="00E53541">
        <w:rPr>
          <w:rFonts w:ascii="Times New Roman" w:hAnsi="Times New Roman"/>
          <w:sz w:val="28"/>
          <w:szCs w:val="28"/>
        </w:rPr>
        <w:t xml:space="preserve"> </w:t>
      </w:r>
      <w:r w:rsidR="00670E50">
        <w:rPr>
          <w:rFonts w:ascii="Times New Roman" w:hAnsi="Times New Roman"/>
          <w:sz w:val="28"/>
          <w:szCs w:val="28"/>
        </w:rPr>
        <w:t xml:space="preserve">objected by way of </w:t>
      </w:r>
      <w:r w:rsidR="00D65781">
        <w:rPr>
          <w:rFonts w:ascii="Times New Roman" w:hAnsi="Times New Roman"/>
          <w:sz w:val="28"/>
          <w:szCs w:val="28"/>
        </w:rPr>
        <w:t xml:space="preserve">a </w:t>
      </w:r>
      <w:r w:rsidR="00670E50">
        <w:rPr>
          <w:rFonts w:ascii="Times New Roman" w:hAnsi="Times New Roman"/>
          <w:sz w:val="28"/>
          <w:szCs w:val="28"/>
        </w:rPr>
        <w:t>special plea</w:t>
      </w:r>
      <w:r w:rsidR="00102036">
        <w:rPr>
          <w:rFonts w:ascii="Times New Roman" w:hAnsi="Times New Roman"/>
          <w:sz w:val="28"/>
          <w:szCs w:val="28"/>
        </w:rPr>
        <w:t xml:space="preserve"> to the effect that </w:t>
      </w:r>
      <w:r w:rsidR="00E53541">
        <w:rPr>
          <w:rFonts w:ascii="Times New Roman" w:hAnsi="Times New Roman"/>
          <w:sz w:val="28"/>
          <w:szCs w:val="28"/>
        </w:rPr>
        <w:t xml:space="preserve">the notice was not served within the six months </w:t>
      </w:r>
      <w:r w:rsidR="0074255E">
        <w:rPr>
          <w:rFonts w:ascii="Times New Roman" w:hAnsi="Times New Roman"/>
          <w:sz w:val="28"/>
          <w:szCs w:val="28"/>
        </w:rPr>
        <w:t xml:space="preserve">stipulated </w:t>
      </w:r>
      <w:r w:rsidR="00E53541">
        <w:rPr>
          <w:rFonts w:ascii="Times New Roman" w:hAnsi="Times New Roman"/>
          <w:sz w:val="28"/>
          <w:szCs w:val="28"/>
        </w:rPr>
        <w:t>in terms of section 3(2)</w:t>
      </w:r>
      <w:r w:rsidR="00E53541" w:rsidRPr="00896710">
        <w:rPr>
          <w:rFonts w:ascii="Times New Roman" w:hAnsi="Times New Roman"/>
          <w:i/>
          <w:sz w:val="28"/>
          <w:szCs w:val="28"/>
        </w:rPr>
        <w:t>(a)</w:t>
      </w:r>
      <w:r w:rsidR="00F63826">
        <w:rPr>
          <w:rFonts w:ascii="Times New Roman" w:hAnsi="Times New Roman"/>
          <w:sz w:val="28"/>
          <w:szCs w:val="28"/>
        </w:rPr>
        <w:t xml:space="preserve"> and that</w:t>
      </w:r>
      <w:r w:rsidR="006D1B02">
        <w:rPr>
          <w:rFonts w:ascii="Times New Roman" w:hAnsi="Times New Roman"/>
          <w:sz w:val="28"/>
          <w:szCs w:val="28"/>
        </w:rPr>
        <w:t xml:space="preserve"> these claims have become prescribed </w:t>
      </w:r>
      <w:r w:rsidR="00C06402">
        <w:rPr>
          <w:rFonts w:ascii="Times New Roman" w:hAnsi="Times New Roman"/>
          <w:sz w:val="28"/>
          <w:szCs w:val="28"/>
        </w:rPr>
        <w:t>under</w:t>
      </w:r>
      <w:r w:rsidR="006D1B02">
        <w:rPr>
          <w:rFonts w:ascii="Times New Roman" w:hAnsi="Times New Roman"/>
          <w:sz w:val="28"/>
          <w:szCs w:val="28"/>
        </w:rPr>
        <w:t xml:space="preserve"> the Prescription Act 68 of 1969</w:t>
      </w:r>
      <w:r w:rsidR="006D1B02">
        <w:rPr>
          <w:rStyle w:val="FootnoteReference"/>
          <w:rFonts w:ascii="Times New Roman" w:hAnsi="Times New Roman"/>
          <w:sz w:val="28"/>
          <w:szCs w:val="28"/>
        </w:rPr>
        <w:footnoteReference w:id="2"/>
      </w:r>
      <w:r w:rsidR="004E5D2B">
        <w:rPr>
          <w:rFonts w:ascii="Times New Roman" w:hAnsi="Times New Roman"/>
          <w:sz w:val="28"/>
          <w:szCs w:val="28"/>
        </w:rPr>
        <w:t xml:space="preserve"> (the Prescription Act)</w:t>
      </w:r>
      <w:r w:rsidR="006D1B02">
        <w:rPr>
          <w:rFonts w:ascii="Times New Roman" w:hAnsi="Times New Roman"/>
          <w:sz w:val="28"/>
          <w:szCs w:val="28"/>
        </w:rPr>
        <w:t>.</w:t>
      </w:r>
    </w:p>
    <w:p w:rsidR="005F2DA4"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5F2DA4">
        <w:rPr>
          <w:rFonts w:ascii="Times New Roman" w:hAnsi="Times New Roman"/>
          <w:sz w:val="28"/>
          <w:szCs w:val="28"/>
        </w:rPr>
        <w:t>The objection in the special plea taken by the Minister was also taken on behalf</w:t>
      </w:r>
      <w:r w:rsidR="00F61617">
        <w:rPr>
          <w:rFonts w:ascii="Times New Roman" w:hAnsi="Times New Roman"/>
          <w:sz w:val="28"/>
          <w:szCs w:val="28"/>
        </w:rPr>
        <w:t xml:space="preserve"> of Ntshinkose.</w:t>
      </w:r>
    </w:p>
    <w:p w:rsidR="00A572D4" w:rsidRPr="003C36E9" w:rsidRDefault="00281191" w:rsidP="00281191">
      <w:pPr>
        <w:pStyle w:val="LegalList1"/>
        <w:spacing w:line="360" w:lineRule="auto"/>
        <w:rPr>
          <w:rFonts w:ascii="Times New Roman" w:hAnsi="Times New Roman"/>
          <w:sz w:val="28"/>
          <w:szCs w:val="28"/>
        </w:rPr>
      </w:pPr>
      <w:r w:rsidRPr="003C36E9">
        <w:rPr>
          <w:rFonts w:ascii="Times New Roman" w:hAnsi="Times New Roman"/>
          <w:sz w:val="28"/>
          <w:szCs w:val="28"/>
        </w:rPr>
        <w:t>[13]</w:t>
      </w:r>
      <w:r w:rsidRPr="003C36E9">
        <w:rPr>
          <w:rFonts w:ascii="Times New Roman" w:hAnsi="Times New Roman"/>
          <w:sz w:val="28"/>
          <w:szCs w:val="28"/>
        </w:rPr>
        <w:tab/>
      </w:r>
      <w:r w:rsidR="0057106B">
        <w:rPr>
          <w:rFonts w:ascii="Times New Roman" w:hAnsi="Times New Roman"/>
          <w:sz w:val="28"/>
          <w:szCs w:val="28"/>
        </w:rPr>
        <w:t xml:space="preserve">Regarding </w:t>
      </w:r>
      <w:r w:rsidR="003B0A94">
        <w:rPr>
          <w:rFonts w:ascii="Times New Roman" w:hAnsi="Times New Roman"/>
          <w:sz w:val="28"/>
          <w:szCs w:val="28"/>
        </w:rPr>
        <w:t xml:space="preserve">the claim for malicious prosecution the respondents’ objection </w:t>
      </w:r>
      <w:r w:rsidR="0057106B">
        <w:rPr>
          <w:rFonts w:ascii="Times New Roman" w:hAnsi="Times New Roman"/>
          <w:sz w:val="28"/>
          <w:szCs w:val="28"/>
        </w:rPr>
        <w:t xml:space="preserve">to </w:t>
      </w:r>
      <w:r w:rsidR="00052D19">
        <w:rPr>
          <w:rFonts w:ascii="Times New Roman" w:hAnsi="Times New Roman"/>
          <w:sz w:val="28"/>
          <w:szCs w:val="28"/>
        </w:rPr>
        <w:t xml:space="preserve">service of the statutory notice </w:t>
      </w:r>
      <w:r w:rsidR="003B0A94">
        <w:rPr>
          <w:rFonts w:ascii="Times New Roman" w:hAnsi="Times New Roman"/>
          <w:sz w:val="28"/>
          <w:szCs w:val="28"/>
        </w:rPr>
        <w:t xml:space="preserve">was taken in a </w:t>
      </w:r>
      <w:r w:rsidR="00052D19">
        <w:rPr>
          <w:rFonts w:ascii="Times New Roman" w:hAnsi="Times New Roman"/>
          <w:sz w:val="28"/>
          <w:szCs w:val="28"/>
        </w:rPr>
        <w:t>notice under Uniform rule 30</w:t>
      </w:r>
      <w:r w:rsidR="00410734">
        <w:rPr>
          <w:rFonts w:ascii="Times New Roman" w:hAnsi="Times New Roman"/>
          <w:sz w:val="28"/>
          <w:szCs w:val="28"/>
        </w:rPr>
        <w:t>,</w:t>
      </w:r>
      <w:r w:rsidR="003E5F9D">
        <w:rPr>
          <w:rFonts w:ascii="Times New Roman" w:hAnsi="Times New Roman"/>
          <w:sz w:val="28"/>
          <w:szCs w:val="28"/>
        </w:rPr>
        <w:t xml:space="preserve"> and in so far as the applicant alleged compliance with the notice requirement</w:t>
      </w:r>
      <w:r w:rsidR="00410734">
        <w:rPr>
          <w:rFonts w:ascii="Times New Roman" w:hAnsi="Times New Roman"/>
          <w:sz w:val="28"/>
          <w:szCs w:val="28"/>
        </w:rPr>
        <w:t>,</w:t>
      </w:r>
      <w:r w:rsidR="003E5F9D">
        <w:rPr>
          <w:rFonts w:ascii="Times New Roman" w:hAnsi="Times New Roman"/>
          <w:sz w:val="28"/>
          <w:szCs w:val="28"/>
        </w:rPr>
        <w:t xml:space="preserve"> this was denied in the respondents’ plea.</w:t>
      </w:r>
      <w:r w:rsidR="00D30B8D">
        <w:rPr>
          <w:rFonts w:ascii="Times New Roman" w:hAnsi="Times New Roman"/>
          <w:sz w:val="28"/>
          <w:szCs w:val="28"/>
        </w:rPr>
        <w:t xml:space="preserve"> Prescription not being </w:t>
      </w:r>
      <w:r w:rsidR="00C877E5">
        <w:rPr>
          <w:rFonts w:ascii="Times New Roman" w:hAnsi="Times New Roman"/>
          <w:sz w:val="28"/>
          <w:szCs w:val="28"/>
        </w:rPr>
        <w:t>i</w:t>
      </w:r>
      <w:r w:rsidR="00D30B8D">
        <w:rPr>
          <w:rFonts w:ascii="Times New Roman" w:hAnsi="Times New Roman"/>
          <w:sz w:val="28"/>
          <w:szCs w:val="28"/>
        </w:rPr>
        <w:t>n issue, respondents contending instead for prejudice and the absence of good cause.</w:t>
      </w:r>
    </w:p>
    <w:p w:rsidR="00A572D4" w:rsidRPr="00CE586E" w:rsidRDefault="00410734" w:rsidP="00CE586E">
      <w:pPr>
        <w:pStyle w:val="LegalList1"/>
        <w:spacing w:line="360" w:lineRule="auto"/>
        <w:rPr>
          <w:rFonts w:ascii="Times New Roman" w:hAnsi="Times New Roman"/>
          <w:b/>
          <w:sz w:val="28"/>
          <w:szCs w:val="28"/>
        </w:rPr>
      </w:pPr>
      <w:r w:rsidRPr="00CE586E">
        <w:rPr>
          <w:rFonts w:ascii="Times New Roman" w:hAnsi="Times New Roman"/>
          <w:b/>
          <w:sz w:val="28"/>
          <w:szCs w:val="28"/>
        </w:rPr>
        <w:t>The legislative context</w:t>
      </w:r>
    </w:p>
    <w:p w:rsidR="00410734" w:rsidRPr="003C36E9" w:rsidRDefault="00281191" w:rsidP="00281191">
      <w:pPr>
        <w:pStyle w:val="LegalList1"/>
        <w:spacing w:line="360" w:lineRule="auto"/>
        <w:rPr>
          <w:rFonts w:ascii="Times New Roman" w:hAnsi="Times New Roman"/>
          <w:sz w:val="28"/>
          <w:szCs w:val="28"/>
        </w:rPr>
      </w:pPr>
      <w:r w:rsidRPr="003C36E9">
        <w:rPr>
          <w:rFonts w:ascii="Times New Roman" w:hAnsi="Times New Roman"/>
          <w:sz w:val="28"/>
          <w:szCs w:val="28"/>
        </w:rPr>
        <w:t>[14]</w:t>
      </w:r>
      <w:r w:rsidRPr="003C36E9">
        <w:rPr>
          <w:rFonts w:ascii="Times New Roman" w:hAnsi="Times New Roman"/>
          <w:sz w:val="28"/>
          <w:szCs w:val="28"/>
        </w:rPr>
        <w:tab/>
      </w:r>
      <w:r w:rsidR="00410734">
        <w:rPr>
          <w:rFonts w:ascii="Times New Roman" w:hAnsi="Times New Roman"/>
          <w:sz w:val="28"/>
          <w:szCs w:val="28"/>
        </w:rPr>
        <w:t>Section 3(4)</w:t>
      </w:r>
      <w:r w:rsidR="00410734" w:rsidRPr="00896710">
        <w:rPr>
          <w:rFonts w:ascii="Times New Roman" w:hAnsi="Times New Roman"/>
          <w:i/>
          <w:sz w:val="28"/>
          <w:szCs w:val="28"/>
        </w:rPr>
        <w:t>(b)</w:t>
      </w:r>
      <w:r w:rsidR="00410734">
        <w:rPr>
          <w:rFonts w:ascii="Times New Roman" w:hAnsi="Times New Roman"/>
          <w:sz w:val="28"/>
          <w:szCs w:val="28"/>
        </w:rPr>
        <w:t xml:space="preserve"> circumscribes a court’s power to grant condonation by requiring that it be satisfied that – </w:t>
      </w:r>
    </w:p>
    <w:p w:rsidR="00A572D4" w:rsidRDefault="00FC4918" w:rsidP="00CE586E">
      <w:pPr>
        <w:pStyle w:val="LegalList1"/>
        <w:spacing w:line="360" w:lineRule="auto"/>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t>the debt has not been extinguished by prescription;</w:t>
      </w:r>
    </w:p>
    <w:p w:rsidR="00FC4918" w:rsidRDefault="00FC4918" w:rsidP="00CE586E">
      <w:pPr>
        <w:pStyle w:val="LegalList1"/>
        <w:spacing w:line="360" w:lineRule="auto"/>
        <w:ind w:left="720" w:hanging="720"/>
        <w:rPr>
          <w:rFonts w:ascii="Times New Roman" w:hAnsi="Times New Roman"/>
          <w:sz w:val="28"/>
          <w:szCs w:val="28"/>
        </w:rPr>
      </w:pPr>
      <w:r>
        <w:rPr>
          <w:rFonts w:ascii="Times New Roman" w:hAnsi="Times New Roman"/>
          <w:sz w:val="28"/>
          <w:szCs w:val="28"/>
        </w:rPr>
        <w:lastRenderedPageBreak/>
        <w:t>(ii)</w:t>
      </w:r>
      <w:r>
        <w:rPr>
          <w:rFonts w:ascii="Times New Roman" w:hAnsi="Times New Roman"/>
          <w:sz w:val="28"/>
          <w:szCs w:val="28"/>
        </w:rPr>
        <w:tab/>
        <w:t>good cause exists for the failure by the creditor (to serve the statutory notice in terms of section 3(2)</w:t>
      </w:r>
      <w:r w:rsidRPr="00896710">
        <w:rPr>
          <w:rFonts w:ascii="Times New Roman" w:hAnsi="Times New Roman"/>
          <w:i/>
          <w:sz w:val="28"/>
          <w:szCs w:val="28"/>
        </w:rPr>
        <w:t>(a)</w:t>
      </w:r>
      <w:r w:rsidR="00CE586E">
        <w:rPr>
          <w:rFonts w:ascii="Times New Roman" w:hAnsi="Times New Roman"/>
          <w:sz w:val="28"/>
          <w:szCs w:val="28"/>
        </w:rPr>
        <w:t xml:space="preserve"> or to serve a notice that complies with the requirements of section 3(2)</w:t>
      </w:r>
      <w:r w:rsidR="00CE586E" w:rsidRPr="00896710">
        <w:rPr>
          <w:rFonts w:ascii="Times New Roman" w:hAnsi="Times New Roman"/>
          <w:i/>
          <w:sz w:val="28"/>
          <w:szCs w:val="28"/>
        </w:rPr>
        <w:t>(b)</w:t>
      </w:r>
      <w:r w:rsidR="00AC0E8B">
        <w:rPr>
          <w:rFonts w:ascii="Times New Roman" w:hAnsi="Times New Roman"/>
          <w:sz w:val="28"/>
          <w:szCs w:val="28"/>
        </w:rPr>
        <w:t>)</w:t>
      </w:r>
      <w:r w:rsidR="00CE586E">
        <w:rPr>
          <w:rFonts w:ascii="Times New Roman" w:hAnsi="Times New Roman"/>
          <w:sz w:val="28"/>
          <w:szCs w:val="28"/>
        </w:rPr>
        <w:t>; and</w:t>
      </w:r>
    </w:p>
    <w:p w:rsidR="00CE586E" w:rsidRPr="003C36E9" w:rsidRDefault="00CE586E" w:rsidP="00CE586E">
      <w:pPr>
        <w:pStyle w:val="LegalList1"/>
        <w:spacing w:line="360" w:lineRule="auto"/>
        <w:rPr>
          <w:rFonts w:ascii="Times New Roman" w:hAnsi="Times New Roman"/>
          <w:sz w:val="28"/>
          <w:szCs w:val="28"/>
        </w:rPr>
      </w:pPr>
      <w:r>
        <w:rPr>
          <w:rFonts w:ascii="Times New Roman" w:hAnsi="Times New Roman"/>
          <w:sz w:val="28"/>
          <w:szCs w:val="28"/>
        </w:rPr>
        <w:t>(iii)</w:t>
      </w:r>
      <w:r>
        <w:rPr>
          <w:rFonts w:ascii="Times New Roman" w:hAnsi="Times New Roman"/>
          <w:sz w:val="28"/>
          <w:szCs w:val="28"/>
        </w:rPr>
        <w:tab/>
        <w:t>the organ of state was not unreasonably prejudiced by the failure.</w:t>
      </w:r>
    </w:p>
    <w:p w:rsidR="006D2A24"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06357C">
        <w:rPr>
          <w:rFonts w:ascii="Times New Roman" w:hAnsi="Times New Roman"/>
          <w:sz w:val="28"/>
          <w:szCs w:val="28"/>
        </w:rPr>
        <w:t xml:space="preserve">The party seeking condonation (an indulgence) bears the onus to satisfy the court in respect of each of these requirements. </w:t>
      </w:r>
      <w:r w:rsidR="006D2A24">
        <w:rPr>
          <w:rFonts w:ascii="Times New Roman" w:hAnsi="Times New Roman"/>
          <w:sz w:val="28"/>
          <w:szCs w:val="28"/>
        </w:rPr>
        <w:t>The</w:t>
      </w:r>
      <w:r w:rsidR="00A00CC0">
        <w:rPr>
          <w:rFonts w:ascii="Times New Roman" w:hAnsi="Times New Roman"/>
          <w:sz w:val="28"/>
          <w:szCs w:val="28"/>
        </w:rPr>
        <w:t xml:space="preserve">y </w:t>
      </w:r>
      <w:r w:rsidR="006D2A24">
        <w:rPr>
          <w:rFonts w:ascii="Times New Roman" w:hAnsi="Times New Roman"/>
          <w:sz w:val="28"/>
          <w:szCs w:val="28"/>
        </w:rPr>
        <w:t>are cumulative</w:t>
      </w:r>
      <w:r w:rsidR="00070CC3">
        <w:rPr>
          <w:rFonts w:ascii="Times New Roman" w:hAnsi="Times New Roman"/>
          <w:sz w:val="28"/>
          <w:szCs w:val="28"/>
        </w:rPr>
        <w:t xml:space="preserve"> and a court may only exercise its discretion to condone non-compliance if all three requirements are met.</w:t>
      </w:r>
      <w:r w:rsidR="00070CC3">
        <w:rPr>
          <w:rStyle w:val="FootnoteReference"/>
          <w:rFonts w:ascii="Times New Roman" w:hAnsi="Times New Roman"/>
          <w:sz w:val="28"/>
          <w:szCs w:val="28"/>
        </w:rPr>
        <w:footnoteReference w:id="3"/>
      </w:r>
      <w:r w:rsidR="005F5E89">
        <w:rPr>
          <w:rFonts w:ascii="Times New Roman" w:hAnsi="Times New Roman"/>
          <w:sz w:val="28"/>
          <w:szCs w:val="28"/>
        </w:rPr>
        <w:t xml:space="preserve"> If any of the requirements are absent, the court may not exercise its discretion in favour of the defaulting party.</w:t>
      </w:r>
      <w:r w:rsidR="005F5E89">
        <w:rPr>
          <w:rStyle w:val="FootnoteReference"/>
          <w:rFonts w:ascii="Times New Roman" w:hAnsi="Times New Roman"/>
          <w:sz w:val="28"/>
          <w:szCs w:val="28"/>
        </w:rPr>
        <w:footnoteReference w:id="4"/>
      </w:r>
    </w:p>
    <w:p w:rsidR="00A572D4"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7C694E">
        <w:rPr>
          <w:rFonts w:ascii="Times New Roman" w:hAnsi="Times New Roman"/>
          <w:sz w:val="28"/>
          <w:szCs w:val="28"/>
        </w:rPr>
        <w:t>Approaching the matter according to the legislative construct I turn to address these requirements hereunder.</w:t>
      </w:r>
    </w:p>
    <w:p w:rsidR="007C694E" w:rsidRPr="007C694E" w:rsidRDefault="007C694E" w:rsidP="007C694E">
      <w:pPr>
        <w:pStyle w:val="LegalList1"/>
        <w:spacing w:line="360" w:lineRule="auto"/>
        <w:rPr>
          <w:rFonts w:ascii="Times New Roman" w:hAnsi="Times New Roman"/>
          <w:b/>
          <w:sz w:val="28"/>
          <w:szCs w:val="28"/>
        </w:rPr>
      </w:pPr>
      <w:r w:rsidRPr="007C694E">
        <w:rPr>
          <w:rFonts w:ascii="Times New Roman" w:hAnsi="Times New Roman"/>
          <w:b/>
          <w:sz w:val="28"/>
          <w:szCs w:val="28"/>
        </w:rPr>
        <w:t>Prescription</w:t>
      </w:r>
    </w:p>
    <w:p w:rsidR="003F2D1C"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3F2D1C">
        <w:rPr>
          <w:rFonts w:ascii="Times New Roman" w:hAnsi="Times New Roman"/>
          <w:sz w:val="28"/>
          <w:szCs w:val="28"/>
        </w:rPr>
        <w:t>The applicant’s approach to the prescription issue is two pronged.</w:t>
      </w:r>
    </w:p>
    <w:p w:rsidR="00A572D4" w:rsidRPr="003C36E9" w:rsidRDefault="00281191" w:rsidP="00281191">
      <w:pPr>
        <w:pStyle w:val="LegalList1"/>
        <w:spacing w:line="360" w:lineRule="auto"/>
        <w:rPr>
          <w:rFonts w:ascii="Times New Roman" w:hAnsi="Times New Roman"/>
          <w:sz w:val="28"/>
          <w:szCs w:val="28"/>
        </w:rPr>
      </w:pPr>
      <w:r w:rsidRPr="003C36E9">
        <w:rPr>
          <w:rFonts w:ascii="Times New Roman" w:hAnsi="Times New Roman"/>
          <w:sz w:val="28"/>
          <w:szCs w:val="28"/>
        </w:rPr>
        <w:t>[18]</w:t>
      </w:r>
      <w:r w:rsidRPr="003C36E9">
        <w:rPr>
          <w:rFonts w:ascii="Times New Roman" w:hAnsi="Times New Roman"/>
          <w:sz w:val="28"/>
          <w:szCs w:val="28"/>
        </w:rPr>
        <w:tab/>
      </w:r>
      <w:r w:rsidR="00DA05D2">
        <w:rPr>
          <w:rFonts w:ascii="Times New Roman" w:hAnsi="Times New Roman"/>
          <w:sz w:val="28"/>
          <w:szCs w:val="28"/>
        </w:rPr>
        <w:t>In the first instance h</w:t>
      </w:r>
      <w:r w:rsidR="00D03BE5">
        <w:rPr>
          <w:rFonts w:ascii="Times New Roman" w:hAnsi="Times New Roman"/>
          <w:sz w:val="28"/>
          <w:szCs w:val="28"/>
        </w:rPr>
        <w:t xml:space="preserve">e disputes that </w:t>
      </w:r>
      <w:r w:rsidR="006F4CDE">
        <w:rPr>
          <w:rFonts w:ascii="Times New Roman" w:hAnsi="Times New Roman"/>
          <w:sz w:val="28"/>
          <w:szCs w:val="28"/>
        </w:rPr>
        <w:t>his claims have prescribed and argue</w:t>
      </w:r>
      <w:r w:rsidR="00440996">
        <w:rPr>
          <w:rFonts w:ascii="Times New Roman" w:hAnsi="Times New Roman"/>
          <w:sz w:val="28"/>
          <w:szCs w:val="28"/>
        </w:rPr>
        <w:t>s</w:t>
      </w:r>
      <w:r w:rsidR="006F4CDE">
        <w:rPr>
          <w:rFonts w:ascii="Times New Roman" w:hAnsi="Times New Roman"/>
          <w:sz w:val="28"/>
          <w:szCs w:val="28"/>
        </w:rPr>
        <w:t xml:space="preserve"> that the claim</w:t>
      </w:r>
      <w:r w:rsidR="00D03BE5">
        <w:rPr>
          <w:rFonts w:ascii="Times New Roman" w:hAnsi="Times New Roman"/>
          <w:sz w:val="28"/>
          <w:szCs w:val="28"/>
        </w:rPr>
        <w:t>s</w:t>
      </w:r>
      <w:r w:rsidR="006F4CDE">
        <w:rPr>
          <w:rFonts w:ascii="Times New Roman" w:hAnsi="Times New Roman"/>
          <w:sz w:val="28"/>
          <w:szCs w:val="28"/>
        </w:rPr>
        <w:t xml:space="preserve"> for unlawful arrest, subsequent detention and malicious prosecution </w:t>
      </w:r>
      <w:r w:rsidR="00D03BE5">
        <w:rPr>
          <w:rFonts w:ascii="Times New Roman" w:hAnsi="Times New Roman"/>
          <w:sz w:val="28"/>
          <w:szCs w:val="28"/>
        </w:rPr>
        <w:t xml:space="preserve">constitute </w:t>
      </w:r>
      <w:r w:rsidR="006F4CDE">
        <w:rPr>
          <w:rFonts w:ascii="Times New Roman" w:hAnsi="Times New Roman"/>
          <w:sz w:val="28"/>
          <w:szCs w:val="28"/>
        </w:rPr>
        <w:t xml:space="preserve">a continuous transaction </w:t>
      </w:r>
      <w:r w:rsidR="00EF2C9F">
        <w:rPr>
          <w:rFonts w:ascii="Times New Roman" w:hAnsi="Times New Roman"/>
          <w:sz w:val="28"/>
          <w:szCs w:val="28"/>
        </w:rPr>
        <w:t xml:space="preserve">or </w:t>
      </w:r>
      <w:r w:rsidR="0051660E">
        <w:rPr>
          <w:rFonts w:ascii="Times New Roman" w:hAnsi="Times New Roman"/>
          <w:sz w:val="28"/>
          <w:szCs w:val="28"/>
        </w:rPr>
        <w:t xml:space="preserve">single </w:t>
      </w:r>
      <w:r w:rsidR="00EF2C9F">
        <w:rPr>
          <w:rFonts w:ascii="Times New Roman" w:hAnsi="Times New Roman"/>
          <w:sz w:val="28"/>
          <w:szCs w:val="28"/>
        </w:rPr>
        <w:t xml:space="preserve">cause of action </w:t>
      </w:r>
      <w:r w:rsidR="006F4CDE">
        <w:rPr>
          <w:rFonts w:ascii="Times New Roman" w:hAnsi="Times New Roman"/>
          <w:sz w:val="28"/>
          <w:szCs w:val="28"/>
        </w:rPr>
        <w:t>which could not be regarded as complete until the outcome of the appeal to the Full C</w:t>
      </w:r>
      <w:r w:rsidR="00C95DE5">
        <w:rPr>
          <w:rFonts w:ascii="Times New Roman" w:hAnsi="Times New Roman"/>
          <w:sz w:val="28"/>
          <w:szCs w:val="28"/>
        </w:rPr>
        <w:t>ourt</w:t>
      </w:r>
      <w:r w:rsidR="007C01AF">
        <w:rPr>
          <w:rFonts w:ascii="Times New Roman" w:hAnsi="Times New Roman"/>
          <w:sz w:val="28"/>
          <w:szCs w:val="28"/>
        </w:rPr>
        <w:t>, its judgment signifying the successful termination of the criminal proceedings in his favour.</w:t>
      </w:r>
    </w:p>
    <w:p w:rsidR="00F14EB7" w:rsidRPr="00C6731F" w:rsidRDefault="00281191" w:rsidP="00281191">
      <w:pPr>
        <w:pStyle w:val="LegalList1"/>
        <w:spacing w:line="360" w:lineRule="auto"/>
        <w:rPr>
          <w:rFonts w:ascii="Times New Roman" w:hAnsi="Times New Roman"/>
          <w:sz w:val="28"/>
          <w:szCs w:val="28"/>
        </w:rPr>
      </w:pPr>
      <w:r w:rsidRPr="00C6731F">
        <w:rPr>
          <w:rFonts w:ascii="Times New Roman" w:hAnsi="Times New Roman"/>
          <w:sz w:val="28"/>
          <w:szCs w:val="28"/>
        </w:rPr>
        <w:t>[19]</w:t>
      </w:r>
      <w:r w:rsidRPr="00C6731F">
        <w:rPr>
          <w:rFonts w:ascii="Times New Roman" w:hAnsi="Times New Roman"/>
          <w:sz w:val="28"/>
          <w:szCs w:val="28"/>
        </w:rPr>
        <w:tab/>
      </w:r>
      <w:r w:rsidR="00A84ACB" w:rsidRPr="00C6731F">
        <w:rPr>
          <w:rFonts w:ascii="Times New Roman" w:hAnsi="Times New Roman"/>
          <w:sz w:val="28"/>
          <w:szCs w:val="28"/>
        </w:rPr>
        <w:t xml:space="preserve">In the second instance </w:t>
      </w:r>
      <w:r w:rsidR="00E52685" w:rsidRPr="00C6731F">
        <w:rPr>
          <w:rFonts w:ascii="Times New Roman" w:hAnsi="Times New Roman"/>
          <w:sz w:val="28"/>
          <w:szCs w:val="28"/>
        </w:rPr>
        <w:t xml:space="preserve">the applicant relies on sections 12(3) and 12(4) of the Prescription Act. </w:t>
      </w:r>
      <w:r w:rsidR="00C6731F" w:rsidRPr="00C6731F">
        <w:rPr>
          <w:rFonts w:ascii="Times New Roman" w:hAnsi="Times New Roman"/>
          <w:sz w:val="28"/>
          <w:szCs w:val="28"/>
        </w:rPr>
        <w:t>C</w:t>
      </w:r>
      <w:r w:rsidR="00F14EB7" w:rsidRPr="00C6731F">
        <w:rPr>
          <w:rFonts w:ascii="Times New Roman" w:hAnsi="Times New Roman"/>
          <w:sz w:val="28"/>
          <w:szCs w:val="28"/>
        </w:rPr>
        <w:t xml:space="preserve">ommon to the </w:t>
      </w:r>
      <w:r w:rsidR="00C6731F" w:rsidRPr="00C6731F">
        <w:rPr>
          <w:rFonts w:ascii="Times New Roman" w:hAnsi="Times New Roman"/>
          <w:sz w:val="28"/>
          <w:szCs w:val="28"/>
        </w:rPr>
        <w:t xml:space="preserve">arguments founded on these prescripts is the </w:t>
      </w:r>
      <w:r w:rsidR="00C6731F" w:rsidRPr="00C6731F">
        <w:rPr>
          <w:rFonts w:ascii="Times New Roman" w:hAnsi="Times New Roman"/>
          <w:sz w:val="28"/>
          <w:szCs w:val="28"/>
        </w:rPr>
        <w:lastRenderedPageBreak/>
        <w:t xml:space="preserve">applicant’s acknowledgment </w:t>
      </w:r>
      <w:r w:rsidR="00912594" w:rsidRPr="00C6731F">
        <w:rPr>
          <w:rFonts w:ascii="Times New Roman" w:hAnsi="Times New Roman"/>
          <w:sz w:val="28"/>
          <w:szCs w:val="28"/>
        </w:rPr>
        <w:t xml:space="preserve">that the jurisdictional facts </w:t>
      </w:r>
      <w:r w:rsidR="00723048">
        <w:rPr>
          <w:rFonts w:ascii="Times New Roman" w:hAnsi="Times New Roman"/>
          <w:sz w:val="28"/>
          <w:szCs w:val="28"/>
        </w:rPr>
        <w:t xml:space="preserve">for instituting </w:t>
      </w:r>
      <w:r w:rsidR="00912594" w:rsidRPr="00C6731F">
        <w:rPr>
          <w:rFonts w:ascii="Times New Roman" w:hAnsi="Times New Roman"/>
          <w:sz w:val="28"/>
          <w:szCs w:val="28"/>
        </w:rPr>
        <w:t>an action based on each of the abovementioned claims arose upon the successful outcome of the appeal process</w:t>
      </w:r>
      <w:r w:rsidR="00C6731F" w:rsidRPr="00C6731F">
        <w:rPr>
          <w:rFonts w:ascii="Times New Roman" w:hAnsi="Times New Roman"/>
          <w:sz w:val="28"/>
          <w:szCs w:val="28"/>
        </w:rPr>
        <w:t xml:space="preserve">. Relying </w:t>
      </w:r>
      <w:r w:rsidR="00723048">
        <w:rPr>
          <w:rFonts w:ascii="Times New Roman" w:hAnsi="Times New Roman"/>
          <w:sz w:val="28"/>
          <w:szCs w:val="28"/>
        </w:rPr>
        <w:t xml:space="preserve">however </w:t>
      </w:r>
      <w:r w:rsidR="00C6731F" w:rsidRPr="00C6731F">
        <w:rPr>
          <w:rFonts w:ascii="Times New Roman" w:hAnsi="Times New Roman"/>
          <w:sz w:val="28"/>
          <w:szCs w:val="28"/>
        </w:rPr>
        <w:t>on section 12(3)</w:t>
      </w:r>
      <w:r w:rsidR="00723048">
        <w:rPr>
          <w:rFonts w:ascii="Times New Roman" w:hAnsi="Times New Roman"/>
          <w:sz w:val="28"/>
          <w:szCs w:val="28"/>
        </w:rPr>
        <w:t>,</w:t>
      </w:r>
      <w:r w:rsidR="00C6731F" w:rsidRPr="00C6731F">
        <w:rPr>
          <w:rFonts w:ascii="Times New Roman" w:hAnsi="Times New Roman"/>
          <w:sz w:val="28"/>
          <w:szCs w:val="28"/>
        </w:rPr>
        <w:t xml:space="preserve"> he</w:t>
      </w:r>
      <w:r w:rsidR="00912594" w:rsidRPr="00C6731F">
        <w:rPr>
          <w:rFonts w:ascii="Times New Roman" w:hAnsi="Times New Roman"/>
          <w:sz w:val="28"/>
          <w:szCs w:val="28"/>
        </w:rPr>
        <w:t xml:space="preserve"> </w:t>
      </w:r>
      <w:r w:rsidR="006D51E2" w:rsidRPr="00C6731F">
        <w:rPr>
          <w:rFonts w:ascii="Times New Roman" w:hAnsi="Times New Roman"/>
          <w:sz w:val="28"/>
          <w:szCs w:val="28"/>
        </w:rPr>
        <w:t xml:space="preserve">asserts that it was only </w:t>
      </w:r>
      <w:r w:rsidR="00BE30D1" w:rsidRPr="00C6731F">
        <w:rPr>
          <w:rFonts w:ascii="Times New Roman" w:hAnsi="Times New Roman"/>
          <w:sz w:val="28"/>
          <w:szCs w:val="28"/>
        </w:rPr>
        <w:t xml:space="preserve">during July 2018 </w:t>
      </w:r>
      <w:r w:rsidR="006D51E2" w:rsidRPr="00C6731F">
        <w:rPr>
          <w:rFonts w:ascii="Times New Roman" w:hAnsi="Times New Roman"/>
          <w:sz w:val="28"/>
          <w:szCs w:val="28"/>
        </w:rPr>
        <w:t xml:space="preserve">that he acquired knowledge </w:t>
      </w:r>
      <w:r w:rsidR="002E71A5" w:rsidRPr="00C6731F">
        <w:rPr>
          <w:rFonts w:ascii="Times New Roman" w:hAnsi="Times New Roman"/>
          <w:sz w:val="28"/>
          <w:szCs w:val="28"/>
        </w:rPr>
        <w:t xml:space="preserve">of the </w:t>
      </w:r>
      <w:r w:rsidR="00BE30D1" w:rsidRPr="00C6731F">
        <w:rPr>
          <w:rFonts w:ascii="Times New Roman" w:hAnsi="Times New Roman"/>
          <w:sz w:val="28"/>
          <w:szCs w:val="28"/>
        </w:rPr>
        <w:t xml:space="preserve">statutory notice requirement as also the </w:t>
      </w:r>
      <w:r w:rsidR="002E71A5" w:rsidRPr="00C6731F">
        <w:rPr>
          <w:rFonts w:ascii="Times New Roman" w:hAnsi="Times New Roman"/>
          <w:sz w:val="28"/>
          <w:szCs w:val="28"/>
        </w:rPr>
        <w:t xml:space="preserve">identity of the </w:t>
      </w:r>
      <w:r w:rsidR="008F28FD" w:rsidRPr="00C6731F">
        <w:rPr>
          <w:rFonts w:ascii="Times New Roman" w:hAnsi="Times New Roman"/>
          <w:sz w:val="28"/>
          <w:szCs w:val="28"/>
        </w:rPr>
        <w:t xml:space="preserve">respondents </w:t>
      </w:r>
      <w:r w:rsidR="002E71A5" w:rsidRPr="00C6731F">
        <w:rPr>
          <w:rFonts w:ascii="Times New Roman" w:hAnsi="Times New Roman"/>
          <w:sz w:val="28"/>
          <w:szCs w:val="28"/>
        </w:rPr>
        <w:t>and the facts giv</w:t>
      </w:r>
      <w:r w:rsidR="00BE30D1" w:rsidRPr="00C6731F">
        <w:rPr>
          <w:rFonts w:ascii="Times New Roman" w:hAnsi="Times New Roman"/>
          <w:sz w:val="28"/>
          <w:szCs w:val="28"/>
        </w:rPr>
        <w:t>ing rise to the cause of action</w:t>
      </w:r>
      <w:r w:rsidR="00FB4A14" w:rsidRPr="00C6731F">
        <w:rPr>
          <w:rFonts w:ascii="Times New Roman" w:hAnsi="Times New Roman"/>
          <w:sz w:val="28"/>
          <w:szCs w:val="28"/>
        </w:rPr>
        <w:t>.</w:t>
      </w:r>
      <w:r w:rsidR="00C6731F" w:rsidRPr="00C6731F">
        <w:rPr>
          <w:rFonts w:ascii="Times New Roman" w:hAnsi="Times New Roman"/>
          <w:sz w:val="28"/>
          <w:szCs w:val="28"/>
        </w:rPr>
        <w:t xml:space="preserve"> As for reliance on section 12(4)</w:t>
      </w:r>
      <w:r w:rsidR="00A23389">
        <w:rPr>
          <w:rFonts w:ascii="Times New Roman" w:hAnsi="Times New Roman"/>
          <w:sz w:val="28"/>
          <w:szCs w:val="28"/>
        </w:rPr>
        <w:t xml:space="preserve">, </w:t>
      </w:r>
      <w:r w:rsidR="00C6731F" w:rsidRPr="00C6731F">
        <w:rPr>
          <w:rFonts w:ascii="Times New Roman" w:hAnsi="Times New Roman"/>
          <w:sz w:val="28"/>
          <w:szCs w:val="28"/>
        </w:rPr>
        <w:t>he</w:t>
      </w:r>
      <w:r w:rsidR="00E51D7A" w:rsidRPr="00C6731F">
        <w:rPr>
          <w:rFonts w:ascii="Times New Roman" w:hAnsi="Times New Roman"/>
          <w:sz w:val="28"/>
          <w:szCs w:val="28"/>
        </w:rPr>
        <w:t xml:space="preserve"> contends that his claim is for a debt based on the commission of an alleged sexual offence and is unaffected by extinctive prescription.</w:t>
      </w:r>
    </w:p>
    <w:p w:rsidR="00E51D7A" w:rsidRPr="003C36E9" w:rsidRDefault="00281191" w:rsidP="00281191">
      <w:pPr>
        <w:pStyle w:val="LegalList1"/>
        <w:spacing w:line="360" w:lineRule="auto"/>
        <w:rPr>
          <w:rFonts w:ascii="Times New Roman" w:hAnsi="Times New Roman"/>
          <w:sz w:val="28"/>
          <w:szCs w:val="28"/>
        </w:rPr>
      </w:pPr>
      <w:r w:rsidRPr="003C36E9">
        <w:rPr>
          <w:rFonts w:ascii="Times New Roman" w:hAnsi="Times New Roman"/>
          <w:sz w:val="28"/>
          <w:szCs w:val="28"/>
        </w:rPr>
        <w:t>[20]</w:t>
      </w:r>
      <w:r w:rsidRPr="003C36E9">
        <w:rPr>
          <w:rFonts w:ascii="Times New Roman" w:hAnsi="Times New Roman"/>
          <w:sz w:val="28"/>
          <w:szCs w:val="28"/>
        </w:rPr>
        <w:tab/>
      </w:r>
      <w:r w:rsidR="00E51D7A">
        <w:rPr>
          <w:rFonts w:ascii="Times New Roman" w:hAnsi="Times New Roman"/>
          <w:sz w:val="28"/>
          <w:szCs w:val="28"/>
        </w:rPr>
        <w:t>The applicant’s purported reliance on sections 12(3) and 12(4) of the Prescription Act is dealt with later in this judgment.</w:t>
      </w:r>
      <w:r w:rsidR="00A23389">
        <w:rPr>
          <w:rFonts w:ascii="Times New Roman" w:hAnsi="Times New Roman"/>
          <w:sz w:val="28"/>
          <w:szCs w:val="28"/>
        </w:rPr>
        <w:t xml:space="preserve"> </w:t>
      </w:r>
      <w:r w:rsidR="001960D3">
        <w:rPr>
          <w:rFonts w:ascii="Times New Roman" w:hAnsi="Times New Roman"/>
          <w:sz w:val="28"/>
          <w:szCs w:val="28"/>
        </w:rPr>
        <w:t xml:space="preserve">I proceed at the outset to deal with the first </w:t>
      </w:r>
      <w:r w:rsidR="0051660E">
        <w:rPr>
          <w:rFonts w:ascii="Times New Roman" w:hAnsi="Times New Roman"/>
          <w:sz w:val="28"/>
          <w:szCs w:val="28"/>
        </w:rPr>
        <w:t xml:space="preserve">part </w:t>
      </w:r>
      <w:r w:rsidR="001960D3">
        <w:rPr>
          <w:rFonts w:ascii="Times New Roman" w:hAnsi="Times New Roman"/>
          <w:sz w:val="28"/>
          <w:szCs w:val="28"/>
        </w:rPr>
        <w:t xml:space="preserve">of his </w:t>
      </w:r>
      <w:r w:rsidR="0051660E">
        <w:rPr>
          <w:rFonts w:ascii="Times New Roman" w:hAnsi="Times New Roman"/>
          <w:sz w:val="28"/>
          <w:szCs w:val="28"/>
        </w:rPr>
        <w:t>argument.</w:t>
      </w:r>
    </w:p>
    <w:p w:rsidR="00E51D7A" w:rsidRPr="0051660E" w:rsidRDefault="0051660E" w:rsidP="0051660E">
      <w:pPr>
        <w:pStyle w:val="LegalList1"/>
        <w:spacing w:line="360" w:lineRule="auto"/>
        <w:rPr>
          <w:rFonts w:ascii="Times New Roman" w:hAnsi="Times New Roman"/>
          <w:b/>
          <w:i/>
          <w:sz w:val="28"/>
          <w:szCs w:val="28"/>
        </w:rPr>
      </w:pPr>
      <w:r w:rsidRPr="0051660E">
        <w:rPr>
          <w:rFonts w:ascii="Times New Roman" w:hAnsi="Times New Roman"/>
          <w:b/>
          <w:i/>
          <w:sz w:val="28"/>
          <w:szCs w:val="28"/>
        </w:rPr>
        <w:t>A continuous transaction</w:t>
      </w:r>
      <w:r>
        <w:rPr>
          <w:rFonts w:ascii="Times New Roman" w:hAnsi="Times New Roman"/>
          <w:b/>
          <w:i/>
          <w:sz w:val="28"/>
          <w:szCs w:val="28"/>
        </w:rPr>
        <w:t>/single cause of action</w:t>
      </w:r>
    </w:p>
    <w:p w:rsidR="00026857" w:rsidRPr="0093513E" w:rsidRDefault="00281191" w:rsidP="00281191">
      <w:pPr>
        <w:pStyle w:val="LegalList1"/>
        <w:spacing w:line="360" w:lineRule="auto"/>
        <w:rPr>
          <w:rFonts w:ascii="Times New Roman" w:hAnsi="Times New Roman"/>
          <w:sz w:val="28"/>
          <w:szCs w:val="28"/>
        </w:rPr>
      </w:pPr>
      <w:r w:rsidRPr="0093513E">
        <w:rPr>
          <w:rFonts w:ascii="Times New Roman" w:hAnsi="Times New Roman"/>
          <w:sz w:val="28"/>
          <w:szCs w:val="28"/>
        </w:rPr>
        <w:t>[21]</w:t>
      </w:r>
      <w:r w:rsidRPr="0093513E">
        <w:rPr>
          <w:rFonts w:ascii="Times New Roman" w:hAnsi="Times New Roman"/>
          <w:sz w:val="28"/>
          <w:szCs w:val="28"/>
        </w:rPr>
        <w:tab/>
      </w:r>
      <w:r w:rsidR="00026857">
        <w:rPr>
          <w:rFonts w:ascii="Times New Roman" w:hAnsi="Times New Roman"/>
          <w:color w:val="000000"/>
          <w:sz w:val="28"/>
          <w:szCs w:val="28"/>
        </w:rPr>
        <w:t xml:space="preserve">The </w:t>
      </w:r>
      <w:r w:rsidR="006B0C4A">
        <w:rPr>
          <w:rFonts w:ascii="Times New Roman" w:hAnsi="Times New Roman"/>
          <w:color w:val="000000"/>
          <w:sz w:val="28"/>
          <w:szCs w:val="28"/>
        </w:rPr>
        <w:t xml:space="preserve">notion </w:t>
      </w:r>
      <w:r w:rsidR="00026857">
        <w:rPr>
          <w:rFonts w:ascii="Times New Roman" w:hAnsi="Times New Roman"/>
          <w:color w:val="000000"/>
          <w:sz w:val="28"/>
          <w:szCs w:val="28"/>
        </w:rPr>
        <w:t xml:space="preserve">of a continuous transaction </w:t>
      </w:r>
      <w:r w:rsidR="000D34C5">
        <w:rPr>
          <w:rFonts w:ascii="Times New Roman" w:hAnsi="Times New Roman"/>
          <w:color w:val="000000"/>
          <w:sz w:val="28"/>
          <w:szCs w:val="28"/>
        </w:rPr>
        <w:t xml:space="preserve">relied on by </w:t>
      </w:r>
      <w:r w:rsidR="00026857">
        <w:rPr>
          <w:rFonts w:ascii="Times New Roman" w:hAnsi="Times New Roman"/>
          <w:color w:val="000000"/>
          <w:sz w:val="28"/>
          <w:szCs w:val="28"/>
        </w:rPr>
        <w:t xml:space="preserve">the applicant </w:t>
      </w:r>
      <w:r w:rsidR="000D34C5">
        <w:rPr>
          <w:rFonts w:ascii="Times New Roman" w:hAnsi="Times New Roman"/>
          <w:color w:val="000000"/>
          <w:sz w:val="28"/>
          <w:szCs w:val="28"/>
        </w:rPr>
        <w:t xml:space="preserve">suggests that his arrest and detention by </w:t>
      </w:r>
      <w:r w:rsidR="000D34C5">
        <w:rPr>
          <w:rFonts w:ascii="Times New Roman" w:hAnsi="Times New Roman"/>
          <w:sz w:val="28"/>
          <w:szCs w:val="28"/>
        </w:rPr>
        <w:t>Ntshinkose</w:t>
      </w:r>
      <w:r w:rsidR="000D34C5">
        <w:rPr>
          <w:rFonts w:ascii="Times New Roman" w:hAnsi="Times New Roman"/>
          <w:color w:val="000000"/>
          <w:sz w:val="28"/>
          <w:szCs w:val="28"/>
        </w:rPr>
        <w:t xml:space="preserve"> constituted the factual and legal cause</w:t>
      </w:r>
      <w:r w:rsidR="0093513E">
        <w:rPr>
          <w:rFonts w:ascii="Times New Roman" w:hAnsi="Times New Roman"/>
          <w:color w:val="000000"/>
          <w:sz w:val="28"/>
          <w:szCs w:val="28"/>
        </w:rPr>
        <w:t xml:space="preserve"> (the former being sufficiently closely linked to the harm suffered by the applicant),</w:t>
      </w:r>
      <w:r w:rsidR="000D34C5">
        <w:rPr>
          <w:rFonts w:ascii="Times New Roman" w:hAnsi="Times New Roman"/>
          <w:color w:val="000000"/>
          <w:sz w:val="28"/>
          <w:szCs w:val="28"/>
        </w:rPr>
        <w:t xml:space="preserve"> for attributing liability to the Minister. </w:t>
      </w:r>
      <w:r w:rsidR="00CB04C3">
        <w:rPr>
          <w:rFonts w:ascii="Times New Roman" w:hAnsi="Times New Roman"/>
          <w:color w:val="000000"/>
          <w:sz w:val="28"/>
          <w:szCs w:val="28"/>
        </w:rPr>
        <w:t>For that reason t</w:t>
      </w:r>
      <w:r w:rsidR="00AA476C">
        <w:rPr>
          <w:rFonts w:ascii="Times New Roman" w:hAnsi="Times New Roman"/>
          <w:color w:val="000000"/>
          <w:sz w:val="28"/>
          <w:szCs w:val="28"/>
        </w:rPr>
        <w:t xml:space="preserve">he applicant seeks to hold the Minister liable for the entire period of detention based on the anterior arrest. </w:t>
      </w:r>
      <w:r w:rsidR="000D34C5">
        <w:rPr>
          <w:rFonts w:ascii="Times New Roman" w:hAnsi="Times New Roman"/>
          <w:color w:val="000000"/>
          <w:sz w:val="28"/>
          <w:szCs w:val="28"/>
        </w:rPr>
        <w:t>The fulcrum of this argument appears to be</w:t>
      </w:r>
      <w:r w:rsidR="00026857">
        <w:rPr>
          <w:rFonts w:ascii="Times New Roman" w:hAnsi="Times New Roman"/>
          <w:color w:val="000000"/>
          <w:sz w:val="28"/>
          <w:szCs w:val="28"/>
        </w:rPr>
        <w:t xml:space="preserve"> the </w:t>
      </w:r>
      <w:r w:rsidR="000D34C5">
        <w:rPr>
          <w:rFonts w:ascii="Times New Roman" w:hAnsi="Times New Roman"/>
          <w:color w:val="000000"/>
          <w:sz w:val="28"/>
          <w:szCs w:val="28"/>
        </w:rPr>
        <w:t xml:space="preserve">majority decision of the </w:t>
      </w:r>
      <w:r w:rsidR="00026857">
        <w:rPr>
          <w:rFonts w:ascii="Times New Roman" w:hAnsi="Times New Roman"/>
          <w:color w:val="000000"/>
          <w:sz w:val="28"/>
          <w:szCs w:val="28"/>
        </w:rPr>
        <w:t xml:space="preserve">Constitutional Court in </w:t>
      </w:r>
      <w:r w:rsidR="00026857" w:rsidRPr="007709BC">
        <w:rPr>
          <w:rFonts w:ascii="Times New Roman" w:hAnsi="Times New Roman"/>
          <w:i/>
          <w:color w:val="000000"/>
          <w:sz w:val="28"/>
          <w:szCs w:val="28"/>
        </w:rPr>
        <w:t>De</w:t>
      </w:r>
      <w:r w:rsidR="007709BC" w:rsidRPr="007709BC">
        <w:rPr>
          <w:rFonts w:ascii="Times New Roman" w:hAnsi="Times New Roman"/>
          <w:i/>
          <w:color w:val="000000"/>
          <w:sz w:val="28"/>
          <w:szCs w:val="28"/>
        </w:rPr>
        <w:t> </w:t>
      </w:r>
      <w:r w:rsidR="00026857" w:rsidRPr="007709BC">
        <w:rPr>
          <w:rFonts w:ascii="Times New Roman" w:hAnsi="Times New Roman"/>
          <w:i/>
          <w:color w:val="000000"/>
          <w:sz w:val="28"/>
          <w:szCs w:val="28"/>
        </w:rPr>
        <w:t>Klerk v Minister of Police</w:t>
      </w:r>
      <w:r w:rsidR="00026857">
        <w:rPr>
          <w:rStyle w:val="FootnoteReference"/>
          <w:rFonts w:ascii="Times New Roman" w:hAnsi="Times New Roman"/>
          <w:color w:val="000000"/>
          <w:sz w:val="28"/>
          <w:szCs w:val="28"/>
        </w:rPr>
        <w:footnoteReference w:id="5"/>
      </w:r>
      <w:r w:rsidR="00026857">
        <w:rPr>
          <w:rFonts w:ascii="Times New Roman" w:hAnsi="Times New Roman"/>
          <w:color w:val="000000"/>
          <w:sz w:val="28"/>
          <w:szCs w:val="28"/>
        </w:rPr>
        <w:t xml:space="preserve">. </w:t>
      </w:r>
    </w:p>
    <w:p w:rsidR="00452797" w:rsidRPr="00452797" w:rsidRDefault="00281191" w:rsidP="00281191">
      <w:pPr>
        <w:pStyle w:val="LegalList1"/>
        <w:spacing w:line="360" w:lineRule="auto"/>
        <w:rPr>
          <w:rFonts w:ascii="Times New Roman" w:hAnsi="Times New Roman"/>
          <w:sz w:val="28"/>
          <w:szCs w:val="28"/>
        </w:rPr>
      </w:pPr>
      <w:r w:rsidRPr="00452797">
        <w:rPr>
          <w:rFonts w:ascii="Times New Roman" w:hAnsi="Times New Roman"/>
          <w:sz w:val="28"/>
          <w:szCs w:val="28"/>
        </w:rPr>
        <w:t>[22]</w:t>
      </w:r>
      <w:r w:rsidRPr="00452797">
        <w:rPr>
          <w:rFonts w:ascii="Times New Roman" w:hAnsi="Times New Roman"/>
          <w:sz w:val="28"/>
          <w:szCs w:val="28"/>
        </w:rPr>
        <w:tab/>
      </w:r>
      <w:r w:rsidR="0093513E">
        <w:rPr>
          <w:rFonts w:ascii="Times New Roman" w:hAnsi="Times New Roman"/>
          <w:color w:val="000000"/>
          <w:sz w:val="28"/>
          <w:szCs w:val="28"/>
        </w:rPr>
        <w:t>In my view the argument does not pass muster</w:t>
      </w:r>
      <w:r w:rsidR="00466C90">
        <w:rPr>
          <w:rFonts w:ascii="Times New Roman" w:hAnsi="Times New Roman"/>
          <w:color w:val="000000"/>
          <w:sz w:val="28"/>
          <w:szCs w:val="28"/>
        </w:rPr>
        <w:t xml:space="preserve"> </w:t>
      </w:r>
      <w:r w:rsidR="00CB04C3">
        <w:rPr>
          <w:rFonts w:ascii="Times New Roman" w:hAnsi="Times New Roman"/>
          <w:color w:val="000000"/>
          <w:sz w:val="28"/>
          <w:szCs w:val="28"/>
        </w:rPr>
        <w:t xml:space="preserve">given that </w:t>
      </w:r>
      <w:r w:rsidR="00466C90">
        <w:rPr>
          <w:rFonts w:ascii="Times New Roman" w:hAnsi="Times New Roman"/>
          <w:color w:val="000000"/>
          <w:sz w:val="28"/>
          <w:szCs w:val="28"/>
        </w:rPr>
        <w:t xml:space="preserve">the facts in the present matter are not on par with those in </w:t>
      </w:r>
      <w:r w:rsidR="00466C90" w:rsidRPr="007709BC">
        <w:rPr>
          <w:rFonts w:ascii="Times New Roman" w:hAnsi="Times New Roman"/>
          <w:i/>
          <w:color w:val="000000"/>
          <w:sz w:val="28"/>
          <w:szCs w:val="28"/>
        </w:rPr>
        <w:t>De K</w:t>
      </w:r>
      <w:r w:rsidR="00265386" w:rsidRPr="007709BC">
        <w:rPr>
          <w:rFonts w:ascii="Times New Roman" w:hAnsi="Times New Roman"/>
          <w:i/>
          <w:color w:val="000000"/>
          <w:sz w:val="28"/>
          <w:szCs w:val="28"/>
        </w:rPr>
        <w:t>lerk</w:t>
      </w:r>
      <w:r w:rsidR="00452797">
        <w:rPr>
          <w:rFonts w:ascii="Times New Roman" w:hAnsi="Times New Roman"/>
          <w:color w:val="000000"/>
          <w:sz w:val="28"/>
          <w:szCs w:val="28"/>
        </w:rPr>
        <w:t>.</w:t>
      </w:r>
    </w:p>
    <w:p w:rsidR="0016646B" w:rsidRPr="0016646B" w:rsidRDefault="00281191" w:rsidP="00281191">
      <w:pPr>
        <w:pStyle w:val="LegalList1"/>
        <w:spacing w:line="360" w:lineRule="auto"/>
        <w:rPr>
          <w:rFonts w:ascii="Times New Roman" w:hAnsi="Times New Roman"/>
          <w:sz w:val="28"/>
          <w:szCs w:val="28"/>
        </w:rPr>
      </w:pPr>
      <w:r w:rsidRPr="0016646B">
        <w:rPr>
          <w:rFonts w:ascii="Times New Roman" w:hAnsi="Times New Roman"/>
          <w:sz w:val="28"/>
          <w:szCs w:val="28"/>
        </w:rPr>
        <w:t>[23]</w:t>
      </w:r>
      <w:r w:rsidRPr="0016646B">
        <w:rPr>
          <w:rFonts w:ascii="Times New Roman" w:hAnsi="Times New Roman"/>
          <w:sz w:val="28"/>
          <w:szCs w:val="28"/>
        </w:rPr>
        <w:tab/>
      </w:r>
      <w:r w:rsidR="00452797" w:rsidRPr="00452797">
        <w:rPr>
          <w:rFonts w:ascii="Times New Roman" w:hAnsi="Times New Roman"/>
          <w:i/>
          <w:color w:val="000000"/>
          <w:sz w:val="28"/>
          <w:szCs w:val="28"/>
        </w:rPr>
        <w:t>De Klerk</w:t>
      </w:r>
      <w:r w:rsidR="002A712E">
        <w:rPr>
          <w:rFonts w:ascii="Times New Roman" w:hAnsi="Times New Roman"/>
          <w:color w:val="000000"/>
          <w:sz w:val="28"/>
          <w:szCs w:val="28"/>
        </w:rPr>
        <w:t xml:space="preserve"> dealt with a specific factual scenario pertaining to the liability of the </w:t>
      </w:r>
      <w:r w:rsidR="00670A71">
        <w:rPr>
          <w:rFonts w:ascii="Times New Roman" w:hAnsi="Times New Roman"/>
          <w:color w:val="000000"/>
          <w:sz w:val="28"/>
          <w:szCs w:val="28"/>
        </w:rPr>
        <w:t>Minister</w:t>
      </w:r>
      <w:r w:rsidR="002A712E">
        <w:rPr>
          <w:rFonts w:ascii="Times New Roman" w:hAnsi="Times New Roman"/>
          <w:color w:val="000000"/>
          <w:sz w:val="28"/>
          <w:szCs w:val="28"/>
        </w:rPr>
        <w:t xml:space="preserve"> </w:t>
      </w:r>
      <w:r w:rsidR="005A459D">
        <w:rPr>
          <w:rFonts w:ascii="Times New Roman" w:hAnsi="Times New Roman"/>
          <w:color w:val="000000"/>
          <w:sz w:val="28"/>
          <w:szCs w:val="28"/>
        </w:rPr>
        <w:t xml:space="preserve">for the detention of the </w:t>
      </w:r>
      <w:r w:rsidR="00452797">
        <w:rPr>
          <w:rFonts w:ascii="Times New Roman" w:hAnsi="Times New Roman"/>
          <w:color w:val="000000"/>
          <w:sz w:val="28"/>
          <w:szCs w:val="28"/>
        </w:rPr>
        <w:t xml:space="preserve">claimant </w:t>
      </w:r>
      <w:r w:rsidR="005A459D">
        <w:rPr>
          <w:rFonts w:ascii="Times New Roman" w:hAnsi="Times New Roman"/>
          <w:color w:val="000000"/>
          <w:sz w:val="28"/>
          <w:szCs w:val="28"/>
        </w:rPr>
        <w:t xml:space="preserve">after his first appearance in court. </w:t>
      </w:r>
      <w:r w:rsidR="007709BC">
        <w:rPr>
          <w:rFonts w:ascii="Times New Roman" w:hAnsi="Times New Roman"/>
          <w:color w:val="000000"/>
          <w:sz w:val="28"/>
          <w:szCs w:val="28"/>
        </w:rPr>
        <w:t>A</w:t>
      </w:r>
      <w:r w:rsidR="00265386">
        <w:rPr>
          <w:rFonts w:ascii="Times New Roman" w:hAnsi="Times New Roman"/>
          <w:color w:val="000000"/>
          <w:sz w:val="28"/>
          <w:szCs w:val="28"/>
        </w:rPr>
        <w:t xml:space="preserve"> </w:t>
      </w:r>
      <w:r w:rsidR="008B491E">
        <w:rPr>
          <w:rFonts w:ascii="Times New Roman" w:hAnsi="Times New Roman"/>
          <w:color w:val="000000"/>
          <w:sz w:val="28"/>
          <w:szCs w:val="28"/>
        </w:rPr>
        <w:t xml:space="preserve">significant </w:t>
      </w:r>
      <w:r w:rsidR="00265386">
        <w:rPr>
          <w:rFonts w:ascii="Times New Roman" w:hAnsi="Times New Roman"/>
          <w:color w:val="000000"/>
          <w:sz w:val="28"/>
          <w:szCs w:val="28"/>
        </w:rPr>
        <w:t xml:space="preserve">distinguishing </w:t>
      </w:r>
      <w:r w:rsidR="00656B5A">
        <w:rPr>
          <w:rFonts w:ascii="Times New Roman" w:hAnsi="Times New Roman"/>
          <w:color w:val="000000"/>
          <w:sz w:val="28"/>
          <w:szCs w:val="28"/>
        </w:rPr>
        <w:t xml:space="preserve">attribute in </w:t>
      </w:r>
      <w:r w:rsidR="00265386" w:rsidRPr="007709BC">
        <w:rPr>
          <w:rFonts w:ascii="Times New Roman" w:hAnsi="Times New Roman"/>
          <w:i/>
          <w:color w:val="000000"/>
          <w:sz w:val="28"/>
          <w:szCs w:val="28"/>
        </w:rPr>
        <w:t>De Klerk</w:t>
      </w:r>
      <w:r w:rsidR="00265386">
        <w:rPr>
          <w:rFonts w:ascii="Times New Roman" w:hAnsi="Times New Roman"/>
          <w:color w:val="000000"/>
          <w:sz w:val="28"/>
          <w:szCs w:val="28"/>
        </w:rPr>
        <w:t xml:space="preserve"> was that the </w:t>
      </w:r>
      <w:r w:rsidR="00CE4923">
        <w:rPr>
          <w:rFonts w:ascii="Times New Roman" w:hAnsi="Times New Roman"/>
          <w:color w:val="000000"/>
          <w:sz w:val="28"/>
          <w:szCs w:val="28"/>
        </w:rPr>
        <w:t xml:space="preserve">Minister </w:t>
      </w:r>
      <w:r w:rsidR="00265386">
        <w:rPr>
          <w:rFonts w:ascii="Times New Roman" w:hAnsi="Times New Roman"/>
          <w:color w:val="000000"/>
          <w:sz w:val="28"/>
          <w:szCs w:val="28"/>
        </w:rPr>
        <w:t xml:space="preserve">in that </w:t>
      </w:r>
      <w:r w:rsidR="00265386">
        <w:rPr>
          <w:rFonts w:ascii="Times New Roman" w:hAnsi="Times New Roman"/>
          <w:color w:val="000000"/>
          <w:sz w:val="28"/>
          <w:szCs w:val="28"/>
        </w:rPr>
        <w:lastRenderedPageBreak/>
        <w:t xml:space="preserve">matter was </w:t>
      </w:r>
      <w:r w:rsidR="00A71D62">
        <w:rPr>
          <w:rFonts w:ascii="Times New Roman" w:hAnsi="Times New Roman"/>
          <w:color w:val="000000"/>
          <w:sz w:val="28"/>
          <w:szCs w:val="28"/>
        </w:rPr>
        <w:t xml:space="preserve">held liable because the arresting officer had the requisite knowledge and foresight to appreciate that the question of the release of the </w:t>
      </w:r>
      <w:r w:rsidR="00452797">
        <w:rPr>
          <w:rFonts w:ascii="Times New Roman" w:hAnsi="Times New Roman"/>
          <w:color w:val="000000"/>
          <w:sz w:val="28"/>
          <w:szCs w:val="28"/>
        </w:rPr>
        <w:t xml:space="preserve">claimant </w:t>
      </w:r>
      <w:r w:rsidR="00A71D62">
        <w:rPr>
          <w:rFonts w:ascii="Times New Roman" w:hAnsi="Times New Roman"/>
          <w:color w:val="000000"/>
          <w:sz w:val="28"/>
          <w:szCs w:val="28"/>
        </w:rPr>
        <w:t xml:space="preserve">on bail would not be considered by the </w:t>
      </w:r>
      <w:r w:rsidR="001567DD">
        <w:rPr>
          <w:rFonts w:ascii="Times New Roman" w:hAnsi="Times New Roman"/>
          <w:color w:val="000000"/>
          <w:sz w:val="28"/>
          <w:szCs w:val="28"/>
        </w:rPr>
        <w:t xml:space="preserve">reception </w:t>
      </w:r>
      <w:r w:rsidR="00A71D62">
        <w:rPr>
          <w:rFonts w:ascii="Times New Roman" w:hAnsi="Times New Roman"/>
          <w:color w:val="000000"/>
          <w:sz w:val="28"/>
          <w:szCs w:val="28"/>
        </w:rPr>
        <w:t>court</w:t>
      </w:r>
      <w:r w:rsidR="001567DD">
        <w:rPr>
          <w:rFonts w:ascii="Times New Roman" w:hAnsi="Times New Roman"/>
          <w:color w:val="000000"/>
          <w:sz w:val="28"/>
          <w:szCs w:val="28"/>
        </w:rPr>
        <w:t xml:space="preserve"> in which the </w:t>
      </w:r>
      <w:r w:rsidR="00452797">
        <w:rPr>
          <w:rFonts w:ascii="Times New Roman" w:hAnsi="Times New Roman"/>
          <w:color w:val="000000"/>
          <w:sz w:val="28"/>
          <w:szCs w:val="28"/>
        </w:rPr>
        <w:t xml:space="preserve">claimant </w:t>
      </w:r>
      <w:r w:rsidR="001567DD">
        <w:rPr>
          <w:rFonts w:ascii="Times New Roman" w:hAnsi="Times New Roman"/>
          <w:color w:val="000000"/>
          <w:sz w:val="28"/>
          <w:szCs w:val="28"/>
        </w:rPr>
        <w:t>made a first appearance</w:t>
      </w:r>
      <w:r w:rsidR="00A71D62">
        <w:rPr>
          <w:rFonts w:ascii="Times New Roman" w:hAnsi="Times New Roman"/>
          <w:color w:val="000000"/>
          <w:sz w:val="28"/>
          <w:szCs w:val="28"/>
        </w:rPr>
        <w:t>.</w:t>
      </w:r>
      <w:r w:rsidR="00A71D62">
        <w:rPr>
          <w:rStyle w:val="FootnoteReference"/>
          <w:rFonts w:ascii="Times New Roman" w:hAnsi="Times New Roman"/>
          <w:color w:val="000000"/>
          <w:sz w:val="28"/>
          <w:szCs w:val="28"/>
        </w:rPr>
        <w:footnoteReference w:id="6"/>
      </w:r>
      <w:r w:rsidR="00CC486D">
        <w:rPr>
          <w:rFonts w:ascii="Times New Roman" w:hAnsi="Times New Roman"/>
          <w:color w:val="000000"/>
          <w:sz w:val="28"/>
          <w:szCs w:val="28"/>
        </w:rPr>
        <w:t xml:space="preserve"> </w:t>
      </w:r>
      <w:r w:rsidR="00184A41">
        <w:rPr>
          <w:rFonts w:ascii="Times New Roman" w:hAnsi="Times New Roman"/>
          <w:color w:val="000000"/>
          <w:sz w:val="28"/>
          <w:szCs w:val="28"/>
        </w:rPr>
        <w:t>My observation is that</w:t>
      </w:r>
      <w:r w:rsidR="00CC486D">
        <w:rPr>
          <w:rFonts w:ascii="Times New Roman" w:hAnsi="Times New Roman"/>
          <w:color w:val="000000"/>
          <w:sz w:val="28"/>
          <w:szCs w:val="28"/>
        </w:rPr>
        <w:t xml:space="preserve"> the </w:t>
      </w:r>
      <w:r w:rsidR="00CE4923">
        <w:rPr>
          <w:rFonts w:ascii="Times New Roman" w:hAnsi="Times New Roman"/>
          <w:color w:val="000000"/>
          <w:sz w:val="28"/>
          <w:szCs w:val="28"/>
        </w:rPr>
        <w:t xml:space="preserve">applicant’s </w:t>
      </w:r>
      <w:r w:rsidR="00E26784">
        <w:rPr>
          <w:rFonts w:ascii="Times New Roman" w:hAnsi="Times New Roman"/>
          <w:color w:val="000000"/>
          <w:sz w:val="28"/>
          <w:szCs w:val="28"/>
        </w:rPr>
        <w:t xml:space="preserve">founding affidavit </w:t>
      </w:r>
      <w:r w:rsidR="00184A41">
        <w:rPr>
          <w:rFonts w:ascii="Times New Roman" w:hAnsi="Times New Roman"/>
          <w:color w:val="000000"/>
          <w:sz w:val="28"/>
          <w:szCs w:val="28"/>
        </w:rPr>
        <w:t>does not come</w:t>
      </w:r>
      <w:r w:rsidR="00CC486D">
        <w:rPr>
          <w:rFonts w:ascii="Times New Roman" w:hAnsi="Times New Roman"/>
          <w:color w:val="000000"/>
          <w:sz w:val="28"/>
          <w:szCs w:val="28"/>
        </w:rPr>
        <w:t xml:space="preserve"> anywhere close to suggesting that </w:t>
      </w:r>
      <w:r w:rsidR="00CC486D">
        <w:rPr>
          <w:rFonts w:ascii="Times New Roman" w:hAnsi="Times New Roman"/>
          <w:sz w:val="28"/>
          <w:szCs w:val="28"/>
        </w:rPr>
        <w:t>Ntshinkose</w:t>
      </w:r>
      <w:r w:rsidR="00CC486D">
        <w:rPr>
          <w:rFonts w:ascii="Times New Roman" w:hAnsi="Times New Roman"/>
          <w:color w:val="000000"/>
          <w:sz w:val="28"/>
          <w:szCs w:val="28"/>
        </w:rPr>
        <w:t xml:space="preserve"> had the requisite knowledge and foresight </w:t>
      </w:r>
      <w:r w:rsidR="002A27BD">
        <w:rPr>
          <w:rFonts w:ascii="Times New Roman" w:hAnsi="Times New Roman"/>
          <w:color w:val="000000"/>
          <w:sz w:val="28"/>
          <w:szCs w:val="28"/>
        </w:rPr>
        <w:t xml:space="preserve">in circumstances similar to those in </w:t>
      </w:r>
      <w:r w:rsidR="002A27BD" w:rsidRPr="00E26784">
        <w:rPr>
          <w:rFonts w:ascii="Times New Roman" w:hAnsi="Times New Roman"/>
          <w:i/>
          <w:color w:val="000000"/>
          <w:sz w:val="28"/>
          <w:szCs w:val="28"/>
        </w:rPr>
        <w:t>De Klerk</w:t>
      </w:r>
      <w:r w:rsidR="002A27BD">
        <w:rPr>
          <w:rFonts w:ascii="Times New Roman" w:hAnsi="Times New Roman"/>
          <w:color w:val="000000"/>
          <w:sz w:val="28"/>
          <w:szCs w:val="28"/>
        </w:rPr>
        <w:t>.</w:t>
      </w:r>
    </w:p>
    <w:p w:rsidR="004E7964" w:rsidRPr="004E7964" w:rsidRDefault="00281191" w:rsidP="00281191">
      <w:pPr>
        <w:pStyle w:val="LegalList1"/>
        <w:spacing w:line="360" w:lineRule="auto"/>
        <w:rPr>
          <w:rFonts w:ascii="Times New Roman" w:hAnsi="Times New Roman"/>
          <w:sz w:val="28"/>
          <w:szCs w:val="28"/>
        </w:rPr>
      </w:pPr>
      <w:r w:rsidRPr="004E7964">
        <w:rPr>
          <w:rFonts w:ascii="Times New Roman" w:hAnsi="Times New Roman"/>
          <w:sz w:val="28"/>
          <w:szCs w:val="28"/>
        </w:rPr>
        <w:t>[24]</w:t>
      </w:r>
      <w:r w:rsidRPr="004E7964">
        <w:rPr>
          <w:rFonts w:ascii="Times New Roman" w:hAnsi="Times New Roman"/>
          <w:sz w:val="28"/>
          <w:szCs w:val="28"/>
        </w:rPr>
        <w:tab/>
      </w:r>
      <w:r w:rsidR="000126C0">
        <w:rPr>
          <w:rFonts w:ascii="Times New Roman" w:hAnsi="Times New Roman"/>
          <w:color w:val="000000"/>
          <w:sz w:val="28"/>
          <w:szCs w:val="28"/>
        </w:rPr>
        <w:t>M</w:t>
      </w:r>
      <w:r w:rsidR="002A27BD">
        <w:rPr>
          <w:rFonts w:ascii="Times New Roman" w:hAnsi="Times New Roman"/>
          <w:color w:val="000000"/>
          <w:sz w:val="28"/>
          <w:szCs w:val="28"/>
        </w:rPr>
        <w:t>oreover</w:t>
      </w:r>
      <w:r w:rsidR="00AC0E8B">
        <w:rPr>
          <w:rFonts w:ascii="Times New Roman" w:hAnsi="Times New Roman"/>
          <w:color w:val="000000"/>
          <w:sz w:val="28"/>
          <w:szCs w:val="28"/>
        </w:rPr>
        <w:t>,</w:t>
      </w:r>
      <w:r w:rsidR="002A27BD">
        <w:rPr>
          <w:rFonts w:ascii="Times New Roman" w:hAnsi="Times New Roman"/>
          <w:color w:val="000000"/>
          <w:sz w:val="28"/>
          <w:szCs w:val="28"/>
        </w:rPr>
        <w:t xml:space="preserve"> there is an absence of averments</w:t>
      </w:r>
      <w:r w:rsidR="000126C0">
        <w:rPr>
          <w:rFonts w:ascii="Times New Roman" w:hAnsi="Times New Roman"/>
          <w:color w:val="000000"/>
          <w:sz w:val="28"/>
          <w:szCs w:val="28"/>
        </w:rPr>
        <w:t xml:space="preserve"> indicati</w:t>
      </w:r>
      <w:r w:rsidR="00F14CA8">
        <w:rPr>
          <w:rFonts w:ascii="Times New Roman" w:hAnsi="Times New Roman"/>
          <w:color w:val="000000"/>
          <w:sz w:val="28"/>
          <w:szCs w:val="28"/>
        </w:rPr>
        <w:t>ng</w:t>
      </w:r>
      <w:r w:rsidR="000126C0">
        <w:rPr>
          <w:rFonts w:ascii="Times New Roman" w:hAnsi="Times New Roman"/>
          <w:color w:val="000000"/>
          <w:sz w:val="28"/>
          <w:szCs w:val="28"/>
        </w:rPr>
        <w:t xml:space="preserve"> that </w:t>
      </w:r>
      <w:r w:rsidR="000126C0">
        <w:rPr>
          <w:rFonts w:ascii="Times New Roman" w:hAnsi="Times New Roman"/>
          <w:sz w:val="28"/>
          <w:szCs w:val="28"/>
        </w:rPr>
        <w:t>Ntshinkose</w:t>
      </w:r>
      <w:r w:rsidR="000126C0">
        <w:rPr>
          <w:rFonts w:ascii="Times New Roman" w:hAnsi="Times New Roman"/>
          <w:color w:val="000000"/>
          <w:sz w:val="28"/>
          <w:szCs w:val="28"/>
        </w:rPr>
        <w:t xml:space="preserve">’s conduct influenced the decision of the presiding officer </w:t>
      </w:r>
      <w:r w:rsidR="00A27B1A">
        <w:rPr>
          <w:rFonts w:ascii="Times New Roman" w:hAnsi="Times New Roman"/>
          <w:color w:val="000000"/>
          <w:sz w:val="28"/>
          <w:szCs w:val="28"/>
        </w:rPr>
        <w:t xml:space="preserve">(or even the attitude of the prosecutor) </w:t>
      </w:r>
      <w:r w:rsidR="000126C0">
        <w:rPr>
          <w:rFonts w:ascii="Times New Roman" w:hAnsi="Times New Roman"/>
          <w:color w:val="000000"/>
          <w:sz w:val="28"/>
          <w:szCs w:val="28"/>
        </w:rPr>
        <w:t>at first appearance to remand the applicant in custody.</w:t>
      </w:r>
    </w:p>
    <w:p w:rsidR="0093513E" w:rsidRPr="00561488" w:rsidRDefault="00281191" w:rsidP="00281191">
      <w:pPr>
        <w:pStyle w:val="LegalList1"/>
        <w:spacing w:line="360" w:lineRule="auto"/>
        <w:rPr>
          <w:rFonts w:ascii="Times New Roman" w:hAnsi="Times New Roman"/>
          <w:sz w:val="28"/>
          <w:szCs w:val="28"/>
        </w:rPr>
      </w:pPr>
      <w:r w:rsidRPr="00561488">
        <w:rPr>
          <w:rFonts w:ascii="Times New Roman" w:hAnsi="Times New Roman"/>
          <w:sz w:val="28"/>
          <w:szCs w:val="28"/>
        </w:rPr>
        <w:t>[25]</w:t>
      </w:r>
      <w:r w:rsidRPr="00561488">
        <w:rPr>
          <w:rFonts w:ascii="Times New Roman" w:hAnsi="Times New Roman"/>
          <w:sz w:val="28"/>
          <w:szCs w:val="28"/>
        </w:rPr>
        <w:tab/>
      </w:r>
      <w:r w:rsidR="00E5433D">
        <w:rPr>
          <w:rFonts w:ascii="Times New Roman" w:hAnsi="Times New Roman"/>
          <w:color w:val="000000"/>
          <w:sz w:val="28"/>
          <w:szCs w:val="28"/>
        </w:rPr>
        <w:t xml:space="preserve">Another distinguishing factor is that the offence </w:t>
      </w:r>
      <w:r w:rsidR="007663A8">
        <w:rPr>
          <w:rFonts w:ascii="Times New Roman" w:hAnsi="Times New Roman"/>
          <w:color w:val="000000"/>
          <w:sz w:val="28"/>
          <w:szCs w:val="28"/>
        </w:rPr>
        <w:t xml:space="preserve">pertaining to an assault </w:t>
      </w:r>
      <w:r w:rsidR="00E5433D">
        <w:rPr>
          <w:rFonts w:ascii="Times New Roman" w:hAnsi="Times New Roman"/>
          <w:color w:val="000000"/>
          <w:sz w:val="28"/>
          <w:szCs w:val="28"/>
        </w:rPr>
        <w:t xml:space="preserve">for which the </w:t>
      </w:r>
      <w:r w:rsidR="00452797">
        <w:rPr>
          <w:rFonts w:ascii="Times New Roman" w:hAnsi="Times New Roman"/>
          <w:color w:val="000000"/>
          <w:sz w:val="28"/>
          <w:szCs w:val="28"/>
        </w:rPr>
        <w:t xml:space="preserve">claimant </w:t>
      </w:r>
      <w:r w:rsidR="00E5433D">
        <w:rPr>
          <w:rFonts w:ascii="Times New Roman" w:hAnsi="Times New Roman"/>
          <w:color w:val="000000"/>
          <w:sz w:val="28"/>
          <w:szCs w:val="28"/>
        </w:rPr>
        <w:t xml:space="preserve">in </w:t>
      </w:r>
      <w:r w:rsidR="00E5433D" w:rsidRPr="007663A8">
        <w:rPr>
          <w:rFonts w:ascii="Times New Roman" w:hAnsi="Times New Roman"/>
          <w:i/>
          <w:color w:val="000000"/>
          <w:sz w:val="28"/>
          <w:szCs w:val="28"/>
        </w:rPr>
        <w:t>De Klerk</w:t>
      </w:r>
      <w:r w:rsidR="00E5433D">
        <w:rPr>
          <w:rFonts w:ascii="Times New Roman" w:hAnsi="Times New Roman"/>
          <w:color w:val="000000"/>
          <w:sz w:val="28"/>
          <w:szCs w:val="28"/>
        </w:rPr>
        <w:t xml:space="preserve"> was arrested </w:t>
      </w:r>
      <w:r w:rsidR="007F75E9">
        <w:rPr>
          <w:rFonts w:ascii="Times New Roman" w:hAnsi="Times New Roman"/>
          <w:color w:val="000000"/>
          <w:sz w:val="28"/>
          <w:szCs w:val="28"/>
        </w:rPr>
        <w:t xml:space="preserve">bears no relation </w:t>
      </w:r>
      <w:r w:rsidR="00EB1BD6">
        <w:rPr>
          <w:rFonts w:ascii="Times New Roman" w:hAnsi="Times New Roman"/>
          <w:color w:val="000000"/>
          <w:sz w:val="28"/>
          <w:szCs w:val="28"/>
        </w:rPr>
        <w:t xml:space="preserve">to </w:t>
      </w:r>
      <w:r w:rsidR="007F75E9">
        <w:rPr>
          <w:rFonts w:ascii="Times New Roman" w:hAnsi="Times New Roman"/>
          <w:color w:val="000000"/>
          <w:sz w:val="28"/>
          <w:szCs w:val="28"/>
        </w:rPr>
        <w:t xml:space="preserve">the offence of </w:t>
      </w:r>
      <w:r w:rsidR="007663A8">
        <w:rPr>
          <w:rFonts w:ascii="Times New Roman" w:hAnsi="Times New Roman"/>
          <w:color w:val="000000"/>
          <w:sz w:val="28"/>
          <w:szCs w:val="28"/>
        </w:rPr>
        <w:t>rape for which the applicant was arrested</w:t>
      </w:r>
      <w:r w:rsidR="0056220A">
        <w:rPr>
          <w:rFonts w:ascii="Times New Roman" w:hAnsi="Times New Roman"/>
          <w:color w:val="000000"/>
          <w:sz w:val="28"/>
          <w:szCs w:val="28"/>
        </w:rPr>
        <w:t>. The latter offence</w:t>
      </w:r>
      <w:r w:rsidR="00452797">
        <w:rPr>
          <w:rFonts w:ascii="Times New Roman" w:hAnsi="Times New Roman"/>
          <w:color w:val="000000"/>
          <w:sz w:val="28"/>
          <w:szCs w:val="28"/>
        </w:rPr>
        <w:t xml:space="preserve"> </w:t>
      </w:r>
      <w:r w:rsidR="00FD0670">
        <w:rPr>
          <w:rFonts w:ascii="Times New Roman" w:hAnsi="Times New Roman"/>
          <w:color w:val="000000"/>
          <w:sz w:val="28"/>
          <w:szCs w:val="28"/>
        </w:rPr>
        <w:t xml:space="preserve">is </w:t>
      </w:r>
      <w:r w:rsidR="004E7964">
        <w:rPr>
          <w:rFonts w:ascii="Times New Roman" w:hAnsi="Times New Roman"/>
          <w:color w:val="000000"/>
          <w:sz w:val="28"/>
          <w:szCs w:val="28"/>
        </w:rPr>
        <w:t>implicate</w:t>
      </w:r>
      <w:r w:rsidR="00FD0670">
        <w:rPr>
          <w:rFonts w:ascii="Times New Roman" w:hAnsi="Times New Roman"/>
          <w:color w:val="000000"/>
          <w:sz w:val="28"/>
          <w:szCs w:val="28"/>
        </w:rPr>
        <w:t>d by</w:t>
      </w:r>
      <w:r w:rsidR="004E7964">
        <w:rPr>
          <w:rFonts w:ascii="Times New Roman" w:hAnsi="Times New Roman"/>
          <w:color w:val="000000"/>
          <w:sz w:val="28"/>
          <w:szCs w:val="28"/>
        </w:rPr>
        <w:t xml:space="preserve"> </w:t>
      </w:r>
      <w:r w:rsidR="00FD0670">
        <w:rPr>
          <w:rFonts w:ascii="Times New Roman" w:hAnsi="Times New Roman"/>
          <w:color w:val="000000"/>
          <w:sz w:val="28"/>
          <w:szCs w:val="28"/>
        </w:rPr>
        <w:t>section 60(11)(a)</w:t>
      </w:r>
      <w:r w:rsidR="00FD0670" w:rsidRPr="004E7964">
        <w:rPr>
          <w:rFonts w:ascii="Times New Roman" w:hAnsi="Times New Roman"/>
          <w:color w:val="000000"/>
          <w:sz w:val="28"/>
          <w:szCs w:val="28"/>
        </w:rPr>
        <w:t xml:space="preserve"> </w:t>
      </w:r>
      <w:r w:rsidR="00FD0670">
        <w:rPr>
          <w:rFonts w:ascii="Times New Roman" w:hAnsi="Times New Roman"/>
          <w:color w:val="000000"/>
          <w:sz w:val="28"/>
          <w:szCs w:val="28"/>
        </w:rPr>
        <w:t>of the Criminal Procedure Act 51 of 1977 regarding the onus provisions which place the burden on an accused to adduce evidence which satisfies the court that exceptional circumstances exist which in the interests of justice permit his release.</w:t>
      </w:r>
    </w:p>
    <w:p w:rsidR="00C2003C" w:rsidRPr="00C2003C" w:rsidRDefault="00281191" w:rsidP="00281191">
      <w:pPr>
        <w:pStyle w:val="LegalList1"/>
        <w:spacing w:line="360" w:lineRule="auto"/>
        <w:rPr>
          <w:rFonts w:ascii="Times New Roman" w:hAnsi="Times New Roman"/>
          <w:sz w:val="28"/>
          <w:szCs w:val="28"/>
        </w:rPr>
      </w:pPr>
      <w:r w:rsidRPr="00C2003C">
        <w:rPr>
          <w:rFonts w:ascii="Times New Roman" w:hAnsi="Times New Roman"/>
          <w:sz w:val="28"/>
          <w:szCs w:val="28"/>
        </w:rPr>
        <w:t>[26]</w:t>
      </w:r>
      <w:r w:rsidRPr="00C2003C">
        <w:rPr>
          <w:rFonts w:ascii="Times New Roman" w:hAnsi="Times New Roman"/>
          <w:sz w:val="28"/>
          <w:szCs w:val="28"/>
        </w:rPr>
        <w:tab/>
      </w:r>
      <w:r w:rsidR="00DF23A5">
        <w:rPr>
          <w:rFonts w:ascii="Times New Roman" w:hAnsi="Times New Roman"/>
          <w:color w:val="000000"/>
          <w:sz w:val="28"/>
          <w:szCs w:val="28"/>
        </w:rPr>
        <w:t>T</w:t>
      </w:r>
      <w:r w:rsidR="006171E9">
        <w:rPr>
          <w:rFonts w:ascii="Times New Roman" w:hAnsi="Times New Roman"/>
          <w:color w:val="000000"/>
          <w:sz w:val="28"/>
          <w:szCs w:val="28"/>
        </w:rPr>
        <w:t xml:space="preserve">he </w:t>
      </w:r>
      <w:r w:rsidR="0034234E">
        <w:rPr>
          <w:rFonts w:ascii="Times New Roman" w:hAnsi="Times New Roman"/>
          <w:color w:val="000000"/>
          <w:sz w:val="28"/>
          <w:szCs w:val="28"/>
        </w:rPr>
        <w:t>distinguishing features and paucity</w:t>
      </w:r>
      <w:r w:rsidR="0075144C">
        <w:rPr>
          <w:rFonts w:ascii="Times New Roman" w:hAnsi="Times New Roman"/>
          <w:color w:val="000000"/>
          <w:sz w:val="28"/>
          <w:szCs w:val="28"/>
        </w:rPr>
        <w:t xml:space="preserve"> of facts</w:t>
      </w:r>
      <w:r w:rsidR="0034234E">
        <w:rPr>
          <w:rFonts w:ascii="Times New Roman" w:hAnsi="Times New Roman"/>
          <w:color w:val="000000"/>
          <w:sz w:val="28"/>
          <w:szCs w:val="28"/>
        </w:rPr>
        <w:t xml:space="preserve"> </w:t>
      </w:r>
      <w:r w:rsidR="006171E9">
        <w:rPr>
          <w:rFonts w:ascii="Times New Roman" w:hAnsi="Times New Roman"/>
          <w:color w:val="000000"/>
          <w:sz w:val="28"/>
          <w:szCs w:val="28"/>
        </w:rPr>
        <w:t>in the present case</w:t>
      </w:r>
      <w:r w:rsidR="002800E6">
        <w:rPr>
          <w:rFonts w:ascii="Times New Roman" w:hAnsi="Times New Roman"/>
          <w:color w:val="000000"/>
          <w:sz w:val="28"/>
          <w:szCs w:val="28"/>
        </w:rPr>
        <w:t xml:space="preserve"> renders applicant’s reliance</w:t>
      </w:r>
      <w:r w:rsidR="006171E9">
        <w:rPr>
          <w:rFonts w:ascii="Times New Roman" w:hAnsi="Times New Roman"/>
          <w:color w:val="000000"/>
          <w:sz w:val="28"/>
          <w:szCs w:val="28"/>
        </w:rPr>
        <w:t xml:space="preserve"> </w:t>
      </w:r>
      <w:r w:rsidR="002800E6">
        <w:rPr>
          <w:rFonts w:ascii="Times New Roman" w:hAnsi="Times New Roman"/>
          <w:color w:val="000000"/>
          <w:sz w:val="28"/>
          <w:szCs w:val="28"/>
        </w:rPr>
        <w:t xml:space="preserve">on </w:t>
      </w:r>
      <w:r w:rsidR="002800E6" w:rsidRPr="00C2003C">
        <w:rPr>
          <w:rFonts w:ascii="Times New Roman" w:hAnsi="Times New Roman"/>
          <w:i/>
          <w:color w:val="000000"/>
          <w:sz w:val="28"/>
          <w:szCs w:val="28"/>
        </w:rPr>
        <w:t>De Klerk</w:t>
      </w:r>
      <w:r w:rsidR="002800E6">
        <w:rPr>
          <w:rFonts w:ascii="Times New Roman" w:hAnsi="Times New Roman"/>
          <w:color w:val="000000"/>
          <w:sz w:val="28"/>
          <w:szCs w:val="28"/>
        </w:rPr>
        <w:t xml:space="preserve"> misguided</w:t>
      </w:r>
      <w:r w:rsidR="00845AF3">
        <w:rPr>
          <w:rFonts w:ascii="Times New Roman" w:hAnsi="Times New Roman"/>
          <w:color w:val="000000"/>
          <w:sz w:val="28"/>
          <w:szCs w:val="28"/>
        </w:rPr>
        <w:t xml:space="preserve">. </w:t>
      </w:r>
      <w:r w:rsidR="00384E15" w:rsidRPr="002A3BC1">
        <w:rPr>
          <w:rFonts w:ascii="Times New Roman" w:hAnsi="Times New Roman"/>
          <w:i/>
          <w:color w:val="000000"/>
          <w:sz w:val="28"/>
          <w:szCs w:val="28"/>
        </w:rPr>
        <w:t>De Klerk</w:t>
      </w:r>
      <w:r w:rsidR="00384E15">
        <w:rPr>
          <w:rFonts w:ascii="Times New Roman" w:hAnsi="Times New Roman"/>
          <w:color w:val="000000"/>
          <w:sz w:val="28"/>
          <w:szCs w:val="28"/>
        </w:rPr>
        <w:t xml:space="preserve"> </w:t>
      </w:r>
      <w:r w:rsidR="0072009A">
        <w:rPr>
          <w:rFonts w:ascii="Times New Roman" w:hAnsi="Times New Roman"/>
          <w:color w:val="000000"/>
          <w:sz w:val="28"/>
          <w:szCs w:val="28"/>
        </w:rPr>
        <w:t>did not, on my understanding, deal with the question whether a claim for unlawful arrest, subsequent detention and malicious prosecution was a continuous transaction</w:t>
      </w:r>
      <w:r w:rsidR="00B245C5">
        <w:rPr>
          <w:rFonts w:ascii="Times New Roman" w:hAnsi="Times New Roman"/>
          <w:color w:val="000000"/>
          <w:sz w:val="28"/>
          <w:szCs w:val="28"/>
        </w:rPr>
        <w:t xml:space="preserve"> or cause of action</w:t>
      </w:r>
      <w:r w:rsidR="00855FB8">
        <w:rPr>
          <w:rFonts w:ascii="Times New Roman" w:hAnsi="Times New Roman"/>
          <w:color w:val="000000"/>
          <w:sz w:val="28"/>
          <w:szCs w:val="28"/>
        </w:rPr>
        <w:t xml:space="preserve">. </w:t>
      </w:r>
      <w:r w:rsidR="00845AF3">
        <w:rPr>
          <w:rFonts w:ascii="Times New Roman" w:hAnsi="Times New Roman"/>
          <w:color w:val="000000"/>
          <w:sz w:val="28"/>
          <w:szCs w:val="28"/>
        </w:rPr>
        <w:t xml:space="preserve">I am therefore of the view that </w:t>
      </w:r>
      <w:r w:rsidR="0044521B">
        <w:rPr>
          <w:rFonts w:ascii="Times New Roman" w:hAnsi="Times New Roman"/>
          <w:color w:val="000000"/>
          <w:sz w:val="28"/>
          <w:szCs w:val="28"/>
        </w:rPr>
        <w:t xml:space="preserve">the proposition </w:t>
      </w:r>
      <w:r w:rsidR="00855FB8">
        <w:rPr>
          <w:rFonts w:ascii="Times New Roman" w:hAnsi="Times New Roman"/>
          <w:color w:val="000000"/>
          <w:sz w:val="28"/>
          <w:szCs w:val="28"/>
        </w:rPr>
        <w:t>which t</w:t>
      </w:r>
      <w:r w:rsidR="00845AF3">
        <w:rPr>
          <w:rFonts w:ascii="Times New Roman" w:hAnsi="Times New Roman"/>
          <w:color w:val="000000"/>
          <w:sz w:val="28"/>
          <w:szCs w:val="28"/>
        </w:rPr>
        <w:t xml:space="preserve">he </w:t>
      </w:r>
      <w:r w:rsidR="00855FB8">
        <w:rPr>
          <w:rFonts w:ascii="Times New Roman" w:hAnsi="Times New Roman"/>
          <w:color w:val="000000"/>
          <w:sz w:val="28"/>
          <w:szCs w:val="28"/>
        </w:rPr>
        <w:t xml:space="preserve">applicant </w:t>
      </w:r>
      <w:r w:rsidR="0044521B">
        <w:rPr>
          <w:rFonts w:ascii="Times New Roman" w:hAnsi="Times New Roman"/>
          <w:color w:val="000000"/>
          <w:sz w:val="28"/>
          <w:szCs w:val="28"/>
        </w:rPr>
        <w:t>contend</w:t>
      </w:r>
      <w:r w:rsidR="00845AF3">
        <w:rPr>
          <w:rFonts w:ascii="Times New Roman" w:hAnsi="Times New Roman"/>
          <w:color w:val="000000"/>
          <w:sz w:val="28"/>
          <w:szCs w:val="28"/>
        </w:rPr>
        <w:t xml:space="preserve">s for </w:t>
      </w:r>
      <w:r w:rsidR="0044521B">
        <w:rPr>
          <w:rFonts w:ascii="Times New Roman" w:hAnsi="Times New Roman"/>
          <w:color w:val="000000"/>
          <w:sz w:val="28"/>
          <w:szCs w:val="28"/>
        </w:rPr>
        <w:t>is insupportable</w:t>
      </w:r>
      <w:r w:rsidR="00C2003C">
        <w:rPr>
          <w:rFonts w:ascii="Times New Roman" w:hAnsi="Times New Roman"/>
          <w:color w:val="000000"/>
          <w:sz w:val="28"/>
          <w:szCs w:val="28"/>
        </w:rPr>
        <w:t xml:space="preserve"> for the following reasons.</w:t>
      </w:r>
    </w:p>
    <w:p w:rsidR="00561488" w:rsidRPr="00E80D70" w:rsidRDefault="00281191" w:rsidP="00281191">
      <w:pPr>
        <w:pStyle w:val="LegalList1"/>
        <w:spacing w:line="360" w:lineRule="auto"/>
        <w:rPr>
          <w:rFonts w:ascii="Times New Roman" w:hAnsi="Times New Roman"/>
          <w:sz w:val="28"/>
          <w:szCs w:val="28"/>
        </w:rPr>
      </w:pPr>
      <w:r w:rsidRPr="00E80D70">
        <w:rPr>
          <w:rFonts w:ascii="Times New Roman" w:hAnsi="Times New Roman"/>
          <w:sz w:val="28"/>
          <w:szCs w:val="28"/>
        </w:rPr>
        <w:t>[27]</w:t>
      </w:r>
      <w:r w:rsidRPr="00E80D70">
        <w:rPr>
          <w:rFonts w:ascii="Times New Roman" w:hAnsi="Times New Roman"/>
          <w:sz w:val="28"/>
          <w:szCs w:val="28"/>
        </w:rPr>
        <w:tab/>
      </w:r>
      <w:r w:rsidR="006C4BF5">
        <w:rPr>
          <w:rFonts w:ascii="Times New Roman" w:hAnsi="Times New Roman"/>
          <w:color w:val="000000"/>
          <w:sz w:val="28"/>
          <w:szCs w:val="28"/>
        </w:rPr>
        <w:t>An unlawful arrest is not a continuing wrong, nor is it inextricably linked to an alleged unlawful detention</w:t>
      </w:r>
      <w:r w:rsidR="00F86989">
        <w:rPr>
          <w:rFonts w:ascii="Times New Roman" w:hAnsi="Times New Roman"/>
          <w:color w:val="000000"/>
          <w:sz w:val="28"/>
          <w:szCs w:val="28"/>
        </w:rPr>
        <w:t xml:space="preserve"> that may follow.</w:t>
      </w:r>
      <w:r w:rsidR="00F86989">
        <w:rPr>
          <w:rStyle w:val="FootnoteReference"/>
          <w:rFonts w:ascii="Times New Roman" w:hAnsi="Times New Roman"/>
          <w:color w:val="000000"/>
          <w:sz w:val="28"/>
          <w:szCs w:val="28"/>
        </w:rPr>
        <w:footnoteReference w:id="7"/>
      </w:r>
      <w:r w:rsidR="005702AF">
        <w:rPr>
          <w:rFonts w:ascii="Times New Roman" w:hAnsi="Times New Roman"/>
          <w:color w:val="000000"/>
          <w:sz w:val="28"/>
          <w:szCs w:val="28"/>
        </w:rPr>
        <w:t xml:space="preserve"> </w:t>
      </w:r>
      <w:r w:rsidR="003358B1">
        <w:rPr>
          <w:rFonts w:ascii="Times New Roman" w:hAnsi="Times New Roman"/>
          <w:color w:val="000000"/>
          <w:sz w:val="28"/>
          <w:szCs w:val="28"/>
        </w:rPr>
        <w:t xml:space="preserve">The consequence is that the </w:t>
      </w:r>
      <w:r w:rsidR="003358B1">
        <w:rPr>
          <w:rFonts w:ascii="Times New Roman" w:hAnsi="Times New Roman"/>
          <w:color w:val="000000"/>
          <w:sz w:val="28"/>
          <w:szCs w:val="28"/>
        </w:rPr>
        <w:lastRenderedPageBreak/>
        <w:t>arrest, detention and prosecution of the applicant are discrete causes of action with their own prescriptive periods</w:t>
      </w:r>
      <w:r w:rsidR="00E80D70">
        <w:rPr>
          <w:rFonts w:ascii="Times New Roman" w:hAnsi="Times New Roman"/>
          <w:color w:val="000000"/>
          <w:sz w:val="28"/>
          <w:szCs w:val="28"/>
        </w:rPr>
        <w:t>.</w:t>
      </w:r>
    </w:p>
    <w:p w:rsidR="00917CB9" w:rsidRPr="00917CB9" w:rsidRDefault="00281191" w:rsidP="00281191">
      <w:pPr>
        <w:pStyle w:val="LegalList1"/>
        <w:spacing w:line="360" w:lineRule="auto"/>
        <w:rPr>
          <w:rFonts w:ascii="Times New Roman" w:hAnsi="Times New Roman"/>
          <w:sz w:val="28"/>
          <w:szCs w:val="28"/>
        </w:rPr>
      </w:pPr>
      <w:r w:rsidRPr="00917CB9">
        <w:rPr>
          <w:rFonts w:ascii="Times New Roman" w:hAnsi="Times New Roman"/>
          <w:sz w:val="28"/>
          <w:szCs w:val="28"/>
        </w:rPr>
        <w:t>[28]</w:t>
      </w:r>
      <w:r w:rsidRPr="00917CB9">
        <w:rPr>
          <w:rFonts w:ascii="Times New Roman" w:hAnsi="Times New Roman"/>
          <w:sz w:val="28"/>
          <w:szCs w:val="28"/>
        </w:rPr>
        <w:tab/>
      </w:r>
      <w:r w:rsidR="00D43A8E">
        <w:rPr>
          <w:rFonts w:ascii="Times New Roman" w:hAnsi="Times New Roman"/>
          <w:color w:val="000000"/>
          <w:sz w:val="28"/>
          <w:szCs w:val="28"/>
        </w:rPr>
        <w:t xml:space="preserve">While </w:t>
      </w:r>
      <w:r w:rsidR="00E80D70">
        <w:rPr>
          <w:rFonts w:ascii="Times New Roman" w:hAnsi="Times New Roman"/>
          <w:color w:val="000000"/>
          <w:sz w:val="28"/>
          <w:szCs w:val="28"/>
        </w:rPr>
        <w:t xml:space="preserve">there appears to be a dispute of fact regarding the applicant’s arrest, which on the version of the Minister occurred on </w:t>
      </w:r>
      <w:r w:rsidR="00996089">
        <w:rPr>
          <w:rFonts w:ascii="Times New Roman" w:hAnsi="Times New Roman"/>
          <w:color w:val="000000"/>
          <w:sz w:val="28"/>
          <w:szCs w:val="28"/>
        </w:rPr>
        <w:t>5 June 20</w:t>
      </w:r>
      <w:r w:rsidR="00DD1E16">
        <w:rPr>
          <w:rFonts w:ascii="Times New Roman" w:hAnsi="Times New Roman"/>
          <w:color w:val="000000"/>
          <w:sz w:val="28"/>
          <w:szCs w:val="28"/>
        </w:rPr>
        <w:t>0</w:t>
      </w:r>
      <w:r w:rsidR="00855FB8">
        <w:rPr>
          <w:rFonts w:ascii="Times New Roman" w:hAnsi="Times New Roman"/>
          <w:color w:val="000000"/>
          <w:sz w:val="28"/>
          <w:szCs w:val="28"/>
        </w:rPr>
        <w:t xml:space="preserve">9, this makes no difference to the question of </w:t>
      </w:r>
      <w:r w:rsidR="00DD1E16">
        <w:rPr>
          <w:rFonts w:ascii="Times New Roman" w:hAnsi="Times New Roman"/>
          <w:color w:val="000000"/>
          <w:sz w:val="28"/>
          <w:szCs w:val="28"/>
        </w:rPr>
        <w:t xml:space="preserve">extinctive </w:t>
      </w:r>
      <w:r w:rsidR="00996089">
        <w:rPr>
          <w:rFonts w:ascii="Times New Roman" w:hAnsi="Times New Roman"/>
          <w:color w:val="000000"/>
          <w:sz w:val="28"/>
          <w:szCs w:val="28"/>
        </w:rPr>
        <w:t>prescription</w:t>
      </w:r>
      <w:r w:rsidR="00DD1E16">
        <w:rPr>
          <w:rFonts w:ascii="Times New Roman" w:hAnsi="Times New Roman"/>
          <w:color w:val="000000"/>
          <w:sz w:val="28"/>
          <w:szCs w:val="28"/>
        </w:rPr>
        <w:t>.</w:t>
      </w:r>
      <w:r w:rsidR="00996089">
        <w:rPr>
          <w:rFonts w:ascii="Times New Roman" w:hAnsi="Times New Roman"/>
          <w:color w:val="000000"/>
          <w:sz w:val="28"/>
          <w:szCs w:val="28"/>
        </w:rPr>
        <w:t xml:space="preserve"> </w:t>
      </w:r>
      <w:r w:rsidR="005702AF">
        <w:rPr>
          <w:rFonts w:ascii="Times New Roman" w:hAnsi="Times New Roman"/>
          <w:color w:val="000000"/>
          <w:sz w:val="28"/>
          <w:szCs w:val="28"/>
        </w:rPr>
        <w:t xml:space="preserve">The applicant’s claim for unlawful arrest </w:t>
      </w:r>
      <w:r w:rsidR="007B29F4">
        <w:rPr>
          <w:rFonts w:ascii="Times New Roman" w:hAnsi="Times New Roman"/>
          <w:color w:val="000000"/>
          <w:sz w:val="28"/>
          <w:szCs w:val="28"/>
        </w:rPr>
        <w:t xml:space="preserve">accrues on the date of his arrest. </w:t>
      </w:r>
      <w:r w:rsidR="00996089">
        <w:rPr>
          <w:rFonts w:ascii="Times New Roman" w:hAnsi="Times New Roman"/>
          <w:color w:val="000000"/>
          <w:sz w:val="28"/>
          <w:szCs w:val="28"/>
        </w:rPr>
        <w:t>B</w:t>
      </w:r>
      <w:r w:rsidR="007B29F4">
        <w:rPr>
          <w:rFonts w:ascii="Times New Roman" w:hAnsi="Times New Roman"/>
          <w:color w:val="000000"/>
          <w:sz w:val="28"/>
          <w:szCs w:val="28"/>
        </w:rPr>
        <w:t>y all accounts his</w:t>
      </w:r>
      <w:r w:rsidR="00996089">
        <w:rPr>
          <w:rFonts w:ascii="Times New Roman" w:hAnsi="Times New Roman"/>
          <w:color w:val="000000"/>
          <w:sz w:val="28"/>
          <w:szCs w:val="28"/>
        </w:rPr>
        <w:t xml:space="preserve"> claim </w:t>
      </w:r>
      <w:r w:rsidR="00D43A8E">
        <w:rPr>
          <w:rFonts w:ascii="Times New Roman" w:hAnsi="Times New Roman"/>
          <w:color w:val="000000"/>
          <w:sz w:val="28"/>
          <w:szCs w:val="28"/>
        </w:rPr>
        <w:t xml:space="preserve">against the Minister and </w:t>
      </w:r>
      <w:r w:rsidR="00D43A8E">
        <w:rPr>
          <w:rFonts w:ascii="Times New Roman" w:hAnsi="Times New Roman"/>
          <w:sz w:val="28"/>
          <w:szCs w:val="28"/>
        </w:rPr>
        <w:t>Ntshinkose</w:t>
      </w:r>
      <w:r w:rsidR="00D43A8E">
        <w:rPr>
          <w:rFonts w:ascii="Times New Roman" w:hAnsi="Times New Roman"/>
          <w:color w:val="000000"/>
          <w:sz w:val="28"/>
          <w:szCs w:val="28"/>
        </w:rPr>
        <w:t xml:space="preserve"> </w:t>
      </w:r>
      <w:r w:rsidR="00996089">
        <w:rPr>
          <w:rFonts w:ascii="Times New Roman" w:hAnsi="Times New Roman"/>
          <w:color w:val="000000"/>
          <w:sz w:val="28"/>
          <w:szCs w:val="28"/>
        </w:rPr>
        <w:t>for his alleged unlawful arrest prescribed on 3 May 2</w:t>
      </w:r>
      <w:r w:rsidR="00400F00">
        <w:rPr>
          <w:rFonts w:ascii="Times New Roman" w:hAnsi="Times New Roman"/>
          <w:color w:val="000000"/>
          <w:sz w:val="28"/>
          <w:szCs w:val="28"/>
        </w:rPr>
        <w:t xml:space="preserve">012 </w:t>
      </w:r>
      <w:r w:rsidR="00682486">
        <w:rPr>
          <w:rFonts w:ascii="Times New Roman" w:hAnsi="Times New Roman"/>
          <w:color w:val="000000"/>
          <w:sz w:val="28"/>
          <w:szCs w:val="28"/>
        </w:rPr>
        <w:t>(</w:t>
      </w:r>
      <w:r w:rsidR="00400F00">
        <w:rPr>
          <w:rFonts w:ascii="Times New Roman" w:hAnsi="Times New Roman"/>
          <w:color w:val="000000"/>
          <w:sz w:val="28"/>
          <w:szCs w:val="28"/>
        </w:rPr>
        <w:t>or 4 J</w:t>
      </w:r>
      <w:r w:rsidR="00DD1E16">
        <w:rPr>
          <w:rFonts w:ascii="Times New Roman" w:hAnsi="Times New Roman"/>
          <w:color w:val="000000"/>
          <w:sz w:val="28"/>
          <w:szCs w:val="28"/>
        </w:rPr>
        <w:t>une 2012</w:t>
      </w:r>
      <w:r w:rsidR="00682486">
        <w:rPr>
          <w:rFonts w:ascii="Times New Roman" w:hAnsi="Times New Roman"/>
          <w:color w:val="000000"/>
          <w:sz w:val="28"/>
          <w:szCs w:val="28"/>
        </w:rPr>
        <w:t>)</w:t>
      </w:r>
      <w:r w:rsidR="00DD1E16">
        <w:rPr>
          <w:rFonts w:ascii="Times New Roman" w:hAnsi="Times New Roman"/>
          <w:color w:val="000000"/>
          <w:sz w:val="28"/>
          <w:szCs w:val="28"/>
        </w:rPr>
        <w:t xml:space="preserve"> well before action was instituted</w:t>
      </w:r>
      <w:r w:rsidR="00D43A8E">
        <w:rPr>
          <w:rFonts w:ascii="Times New Roman" w:hAnsi="Times New Roman"/>
          <w:color w:val="000000"/>
          <w:sz w:val="28"/>
          <w:szCs w:val="28"/>
        </w:rPr>
        <w:t>.</w:t>
      </w:r>
    </w:p>
    <w:p w:rsidR="00A746BB" w:rsidRPr="00A746BB" w:rsidRDefault="00281191" w:rsidP="00281191">
      <w:pPr>
        <w:pStyle w:val="LegalList1"/>
        <w:spacing w:line="360" w:lineRule="auto"/>
        <w:rPr>
          <w:rFonts w:ascii="Times New Roman" w:hAnsi="Times New Roman"/>
          <w:sz w:val="28"/>
          <w:szCs w:val="28"/>
        </w:rPr>
      </w:pPr>
      <w:r w:rsidRPr="00A746BB">
        <w:rPr>
          <w:rFonts w:ascii="Times New Roman" w:hAnsi="Times New Roman"/>
          <w:sz w:val="28"/>
          <w:szCs w:val="28"/>
        </w:rPr>
        <w:t>[29]</w:t>
      </w:r>
      <w:r w:rsidRPr="00A746BB">
        <w:rPr>
          <w:rFonts w:ascii="Times New Roman" w:hAnsi="Times New Roman"/>
          <w:sz w:val="28"/>
          <w:szCs w:val="28"/>
        </w:rPr>
        <w:tab/>
      </w:r>
      <w:r w:rsidR="00917CB9">
        <w:rPr>
          <w:rFonts w:ascii="Times New Roman" w:hAnsi="Times New Roman"/>
          <w:color w:val="000000"/>
          <w:sz w:val="28"/>
          <w:szCs w:val="28"/>
        </w:rPr>
        <w:t>In relation to the claim for the alleged unlawful detention</w:t>
      </w:r>
      <w:r w:rsidR="00E12EE0">
        <w:rPr>
          <w:rFonts w:ascii="Times New Roman" w:hAnsi="Times New Roman"/>
          <w:color w:val="000000"/>
          <w:sz w:val="28"/>
          <w:szCs w:val="28"/>
        </w:rPr>
        <w:t>,</w:t>
      </w:r>
      <w:r w:rsidR="00E63CA1">
        <w:rPr>
          <w:rFonts w:ascii="Times New Roman" w:hAnsi="Times New Roman"/>
          <w:color w:val="000000"/>
          <w:sz w:val="28"/>
          <w:szCs w:val="28"/>
        </w:rPr>
        <w:t xml:space="preserve"> the approach with a continuous wrong is that it results in a series of debts arising from moment to moment or day to day </w:t>
      </w:r>
      <w:r w:rsidR="00821125">
        <w:rPr>
          <w:rFonts w:ascii="Times New Roman" w:hAnsi="Times New Roman"/>
          <w:color w:val="000000"/>
          <w:sz w:val="28"/>
          <w:szCs w:val="28"/>
        </w:rPr>
        <w:t>as long as the wrongful conduct endures. The applicant’s claim is for separate debts arising on each day of his detention</w:t>
      </w:r>
      <w:r w:rsidR="00E80748">
        <w:rPr>
          <w:rFonts w:ascii="Times New Roman" w:hAnsi="Times New Roman"/>
          <w:color w:val="000000"/>
          <w:sz w:val="28"/>
          <w:szCs w:val="28"/>
        </w:rPr>
        <w:t xml:space="preserve">. The continued detention gave rise to a separate cause of action for each day </w:t>
      </w:r>
      <w:r w:rsidR="003D75AF">
        <w:rPr>
          <w:rFonts w:ascii="Times New Roman" w:hAnsi="Times New Roman"/>
          <w:color w:val="000000"/>
          <w:sz w:val="28"/>
          <w:szCs w:val="28"/>
        </w:rPr>
        <w:t xml:space="preserve">of </w:t>
      </w:r>
      <w:r w:rsidR="00E80748">
        <w:rPr>
          <w:rFonts w:ascii="Times New Roman" w:hAnsi="Times New Roman"/>
          <w:color w:val="000000"/>
          <w:sz w:val="28"/>
          <w:szCs w:val="28"/>
        </w:rPr>
        <w:t xml:space="preserve">the </w:t>
      </w:r>
      <w:r w:rsidR="003D75AF">
        <w:rPr>
          <w:rFonts w:ascii="Times New Roman" w:hAnsi="Times New Roman"/>
          <w:color w:val="000000"/>
          <w:sz w:val="28"/>
          <w:szCs w:val="28"/>
        </w:rPr>
        <w:t xml:space="preserve">period </w:t>
      </w:r>
      <w:r w:rsidR="00E30692">
        <w:rPr>
          <w:rFonts w:ascii="Times New Roman" w:hAnsi="Times New Roman"/>
          <w:color w:val="000000"/>
          <w:sz w:val="28"/>
          <w:szCs w:val="28"/>
        </w:rPr>
        <w:t xml:space="preserve">he </w:t>
      </w:r>
      <w:r w:rsidR="00E80748">
        <w:rPr>
          <w:rFonts w:ascii="Times New Roman" w:hAnsi="Times New Roman"/>
          <w:color w:val="000000"/>
          <w:sz w:val="28"/>
          <w:szCs w:val="28"/>
        </w:rPr>
        <w:t xml:space="preserve">was detained </w:t>
      </w:r>
      <w:r w:rsidR="003D75AF">
        <w:rPr>
          <w:rFonts w:ascii="Times New Roman" w:hAnsi="Times New Roman"/>
          <w:color w:val="000000"/>
          <w:sz w:val="28"/>
          <w:szCs w:val="28"/>
        </w:rPr>
        <w:t>in custody.</w:t>
      </w:r>
      <w:r w:rsidR="00E30692">
        <w:rPr>
          <w:rStyle w:val="FootnoteReference"/>
          <w:rFonts w:ascii="Times New Roman" w:hAnsi="Times New Roman"/>
          <w:color w:val="000000"/>
          <w:sz w:val="28"/>
          <w:szCs w:val="28"/>
        </w:rPr>
        <w:footnoteReference w:id="8"/>
      </w:r>
      <w:r w:rsidR="001E0DD4">
        <w:rPr>
          <w:rFonts w:ascii="Times New Roman" w:hAnsi="Times New Roman"/>
          <w:color w:val="000000"/>
          <w:sz w:val="28"/>
          <w:szCs w:val="28"/>
        </w:rPr>
        <w:t xml:space="preserve"> </w:t>
      </w:r>
      <w:r w:rsidR="005D797E">
        <w:rPr>
          <w:rFonts w:ascii="Times New Roman" w:hAnsi="Times New Roman"/>
          <w:color w:val="000000"/>
          <w:sz w:val="28"/>
          <w:szCs w:val="28"/>
        </w:rPr>
        <w:t>On the facts</w:t>
      </w:r>
      <w:r w:rsidR="0027274C">
        <w:rPr>
          <w:rFonts w:ascii="Times New Roman" w:hAnsi="Times New Roman"/>
          <w:color w:val="000000"/>
          <w:sz w:val="28"/>
          <w:szCs w:val="28"/>
        </w:rPr>
        <w:t>,</w:t>
      </w:r>
      <w:r w:rsidR="005D797E">
        <w:rPr>
          <w:rFonts w:ascii="Times New Roman" w:hAnsi="Times New Roman"/>
          <w:color w:val="000000"/>
          <w:sz w:val="28"/>
          <w:szCs w:val="28"/>
        </w:rPr>
        <w:t xml:space="preserve"> his unlawful detention occurred on 4 May 2009 upon his arrest, with further claims arising on each subsequent date of his detention until 2 June 2016. </w:t>
      </w:r>
      <w:r w:rsidR="00943B51">
        <w:rPr>
          <w:rFonts w:ascii="Times New Roman" w:hAnsi="Times New Roman"/>
          <w:color w:val="000000"/>
          <w:sz w:val="28"/>
          <w:szCs w:val="28"/>
        </w:rPr>
        <w:t>Summons was served on the Minister on 19</w:t>
      </w:r>
      <w:r w:rsidR="005D797E">
        <w:rPr>
          <w:rFonts w:ascii="Times New Roman" w:hAnsi="Times New Roman"/>
          <w:color w:val="000000"/>
          <w:sz w:val="28"/>
          <w:szCs w:val="28"/>
        </w:rPr>
        <w:t> </w:t>
      </w:r>
      <w:r w:rsidR="00943B51">
        <w:rPr>
          <w:rFonts w:ascii="Times New Roman" w:hAnsi="Times New Roman"/>
          <w:color w:val="000000"/>
          <w:sz w:val="28"/>
          <w:szCs w:val="28"/>
        </w:rPr>
        <w:t xml:space="preserve">December 2018. </w:t>
      </w:r>
      <w:r w:rsidR="00C35309">
        <w:rPr>
          <w:rFonts w:ascii="Times New Roman" w:hAnsi="Times New Roman"/>
          <w:color w:val="000000"/>
          <w:sz w:val="28"/>
          <w:szCs w:val="28"/>
        </w:rPr>
        <w:t>Although t</w:t>
      </w:r>
      <w:r w:rsidR="00943B51">
        <w:rPr>
          <w:rFonts w:ascii="Times New Roman" w:hAnsi="Times New Roman"/>
          <w:color w:val="000000"/>
          <w:sz w:val="28"/>
          <w:szCs w:val="28"/>
        </w:rPr>
        <w:t>he portion of the applicant’s claim for 4 May 2009 to 18 December 2015</w:t>
      </w:r>
      <w:r w:rsidR="00C35309">
        <w:rPr>
          <w:rFonts w:ascii="Times New Roman" w:hAnsi="Times New Roman"/>
          <w:color w:val="000000"/>
          <w:sz w:val="28"/>
          <w:szCs w:val="28"/>
        </w:rPr>
        <w:t xml:space="preserve"> has prescribed, </w:t>
      </w:r>
      <w:r w:rsidR="003A3A7A">
        <w:rPr>
          <w:rFonts w:ascii="Times New Roman" w:hAnsi="Times New Roman"/>
          <w:color w:val="000000"/>
          <w:sz w:val="28"/>
          <w:szCs w:val="28"/>
        </w:rPr>
        <w:t xml:space="preserve">the same </w:t>
      </w:r>
      <w:r w:rsidR="0081080D">
        <w:rPr>
          <w:rFonts w:ascii="Times New Roman" w:hAnsi="Times New Roman"/>
          <w:color w:val="000000"/>
          <w:sz w:val="28"/>
          <w:szCs w:val="28"/>
        </w:rPr>
        <w:t xml:space="preserve">cannot be concluded </w:t>
      </w:r>
      <w:r w:rsidR="003A3A7A">
        <w:rPr>
          <w:rFonts w:ascii="Times New Roman" w:hAnsi="Times New Roman"/>
          <w:color w:val="000000"/>
          <w:sz w:val="28"/>
          <w:szCs w:val="28"/>
        </w:rPr>
        <w:t xml:space="preserve">for </w:t>
      </w:r>
      <w:r w:rsidR="0081080D">
        <w:rPr>
          <w:rFonts w:ascii="Times New Roman" w:hAnsi="Times New Roman"/>
          <w:color w:val="000000"/>
          <w:sz w:val="28"/>
          <w:szCs w:val="28"/>
        </w:rPr>
        <w:t>his entire claim</w:t>
      </w:r>
      <w:r w:rsidR="00C35309">
        <w:rPr>
          <w:rFonts w:ascii="Times New Roman" w:hAnsi="Times New Roman"/>
          <w:color w:val="000000"/>
          <w:sz w:val="28"/>
          <w:szCs w:val="28"/>
        </w:rPr>
        <w:t xml:space="preserve"> for the period 19 December 2015 to 2 June 2016</w:t>
      </w:r>
      <w:r w:rsidR="0017550B">
        <w:rPr>
          <w:rFonts w:ascii="Times New Roman" w:hAnsi="Times New Roman"/>
          <w:color w:val="000000"/>
          <w:sz w:val="28"/>
          <w:szCs w:val="28"/>
        </w:rPr>
        <w:t xml:space="preserve"> </w:t>
      </w:r>
      <w:r w:rsidR="005D797E">
        <w:rPr>
          <w:rFonts w:ascii="Times New Roman" w:hAnsi="Times New Roman"/>
          <w:color w:val="000000"/>
          <w:sz w:val="28"/>
          <w:szCs w:val="28"/>
        </w:rPr>
        <w:t xml:space="preserve">as </w:t>
      </w:r>
      <w:r w:rsidR="00682486">
        <w:rPr>
          <w:rFonts w:ascii="Times New Roman" w:hAnsi="Times New Roman"/>
          <w:color w:val="000000"/>
          <w:sz w:val="28"/>
          <w:szCs w:val="28"/>
        </w:rPr>
        <w:t xml:space="preserve">against </w:t>
      </w:r>
      <w:r w:rsidR="0017550B">
        <w:rPr>
          <w:rFonts w:ascii="Times New Roman" w:hAnsi="Times New Roman"/>
          <w:color w:val="000000"/>
          <w:sz w:val="28"/>
          <w:szCs w:val="28"/>
        </w:rPr>
        <w:t>the Minister.</w:t>
      </w:r>
      <w:r w:rsidR="00682486" w:rsidRPr="00682486">
        <w:rPr>
          <w:rFonts w:ascii="Times New Roman" w:hAnsi="Times New Roman"/>
          <w:color w:val="000000"/>
          <w:sz w:val="28"/>
          <w:szCs w:val="28"/>
        </w:rPr>
        <w:t xml:space="preserve"> </w:t>
      </w:r>
      <w:r w:rsidR="0027274C">
        <w:rPr>
          <w:rFonts w:ascii="Times New Roman" w:hAnsi="Times New Roman"/>
          <w:color w:val="000000"/>
          <w:sz w:val="28"/>
          <w:szCs w:val="28"/>
        </w:rPr>
        <w:t>However, a</w:t>
      </w:r>
      <w:r w:rsidR="00682486">
        <w:rPr>
          <w:rFonts w:ascii="Times New Roman" w:hAnsi="Times New Roman"/>
          <w:color w:val="000000"/>
          <w:sz w:val="28"/>
          <w:szCs w:val="28"/>
        </w:rPr>
        <w:t xml:space="preserve">s against </w:t>
      </w:r>
      <w:r w:rsidR="00682486">
        <w:rPr>
          <w:rFonts w:ascii="Times New Roman" w:hAnsi="Times New Roman"/>
          <w:sz w:val="28"/>
          <w:szCs w:val="28"/>
        </w:rPr>
        <w:t xml:space="preserve">Ntshinkose, the claim for the entire period </w:t>
      </w:r>
      <w:r w:rsidR="00682486">
        <w:rPr>
          <w:rFonts w:ascii="Times New Roman" w:hAnsi="Times New Roman"/>
          <w:color w:val="000000"/>
          <w:sz w:val="28"/>
          <w:szCs w:val="28"/>
        </w:rPr>
        <w:t>4 May 2009 to 2</w:t>
      </w:r>
      <w:r w:rsidR="0027274C">
        <w:rPr>
          <w:rFonts w:ascii="Times New Roman" w:hAnsi="Times New Roman"/>
          <w:color w:val="000000"/>
          <w:sz w:val="28"/>
          <w:szCs w:val="28"/>
        </w:rPr>
        <w:t> </w:t>
      </w:r>
      <w:r w:rsidR="00682486">
        <w:rPr>
          <w:rFonts w:ascii="Times New Roman" w:hAnsi="Times New Roman"/>
          <w:color w:val="000000"/>
          <w:sz w:val="28"/>
          <w:szCs w:val="28"/>
        </w:rPr>
        <w:t>June 2016 has prescribed because no summons was served on him.</w:t>
      </w:r>
    </w:p>
    <w:p w:rsidR="003A3A7A" w:rsidRPr="00A819D8" w:rsidRDefault="00281191" w:rsidP="00281191">
      <w:pPr>
        <w:pStyle w:val="LegalList1"/>
        <w:spacing w:line="360" w:lineRule="auto"/>
        <w:rPr>
          <w:rFonts w:ascii="Times New Roman" w:hAnsi="Times New Roman"/>
          <w:sz w:val="28"/>
          <w:szCs w:val="28"/>
        </w:rPr>
      </w:pPr>
      <w:r w:rsidRPr="00A819D8">
        <w:rPr>
          <w:rFonts w:ascii="Times New Roman" w:hAnsi="Times New Roman"/>
          <w:sz w:val="28"/>
          <w:szCs w:val="28"/>
        </w:rPr>
        <w:t>[30]</w:t>
      </w:r>
      <w:r w:rsidRPr="00A819D8">
        <w:rPr>
          <w:rFonts w:ascii="Times New Roman" w:hAnsi="Times New Roman"/>
          <w:sz w:val="28"/>
          <w:szCs w:val="28"/>
        </w:rPr>
        <w:tab/>
      </w:r>
      <w:r w:rsidR="003A3A7A">
        <w:rPr>
          <w:rFonts w:ascii="Times New Roman" w:hAnsi="Times New Roman"/>
          <w:color w:val="000000"/>
          <w:sz w:val="28"/>
          <w:szCs w:val="28"/>
        </w:rPr>
        <w:t>In relation to the claim for malicious prosecution, that claim has not prescribed</w:t>
      </w:r>
      <w:r w:rsidR="00C26C8C">
        <w:rPr>
          <w:rFonts w:ascii="Times New Roman" w:hAnsi="Times New Roman"/>
          <w:color w:val="000000"/>
          <w:sz w:val="28"/>
          <w:szCs w:val="28"/>
        </w:rPr>
        <w:t xml:space="preserve"> considering that prescription begins to run when the prosecution fails</w:t>
      </w:r>
      <w:r w:rsidR="00C26C8C">
        <w:rPr>
          <w:rStyle w:val="FootnoteReference"/>
          <w:rFonts w:ascii="Times New Roman" w:hAnsi="Times New Roman"/>
          <w:color w:val="000000"/>
          <w:sz w:val="28"/>
          <w:szCs w:val="28"/>
        </w:rPr>
        <w:footnoteReference w:id="9"/>
      </w:r>
      <w:r w:rsidR="00A746BB">
        <w:rPr>
          <w:rFonts w:ascii="Times New Roman" w:hAnsi="Times New Roman"/>
          <w:color w:val="000000"/>
          <w:sz w:val="28"/>
          <w:szCs w:val="28"/>
        </w:rPr>
        <w:t xml:space="preserve"> </w:t>
      </w:r>
      <w:r w:rsidR="00BE18DB">
        <w:rPr>
          <w:rFonts w:ascii="Times New Roman" w:hAnsi="Times New Roman"/>
          <w:color w:val="000000"/>
          <w:sz w:val="28"/>
          <w:szCs w:val="28"/>
        </w:rPr>
        <w:lastRenderedPageBreak/>
        <w:t xml:space="preserve">which in </w:t>
      </w:r>
      <w:r w:rsidR="00A746BB">
        <w:rPr>
          <w:rFonts w:ascii="Times New Roman" w:hAnsi="Times New Roman"/>
          <w:color w:val="000000"/>
          <w:sz w:val="28"/>
          <w:szCs w:val="28"/>
        </w:rPr>
        <w:t>this instance occurred</w:t>
      </w:r>
      <w:r w:rsidR="00BE18DB">
        <w:rPr>
          <w:rFonts w:ascii="Times New Roman" w:hAnsi="Times New Roman"/>
          <w:color w:val="000000"/>
          <w:sz w:val="28"/>
          <w:szCs w:val="28"/>
        </w:rPr>
        <w:t xml:space="preserve"> once the Full Court had handed down its judgment.</w:t>
      </w:r>
    </w:p>
    <w:p w:rsidR="00026857" w:rsidRPr="008610DC" w:rsidRDefault="0015328E" w:rsidP="0015328E">
      <w:pPr>
        <w:pStyle w:val="LegalList1"/>
        <w:spacing w:line="360" w:lineRule="auto"/>
        <w:rPr>
          <w:rFonts w:ascii="Times New Roman" w:hAnsi="Times New Roman"/>
          <w:b/>
          <w:i/>
          <w:sz w:val="28"/>
          <w:szCs w:val="28"/>
        </w:rPr>
      </w:pPr>
      <w:r w:rsidRPr="008610DC">
        <w:rPr>
          <w:rFonts w:ascii="Times New Roman" w:hAnsi="Times New Roman"/>
          <w:b/>
          <w:i/>
          <w:color w:val="000000"/>
          <w:sz w:val="28"/>
          <w:szCs w:val="28"/>
        </w:rPr>
        <w:t>The section 12(3) and 12(4) argument</w:t>
      </w:r>
    </w:p>
    <w:p w:rsidR="00A572D4" w:rsidRPr="003C36E9" w:rsidRDefault="00281191" w:rsidP="00281191">
      <w:pPr>
        <w:pStyle w:val="LegalList1"/>
        <w:spacing w:line="360" w:lineRule="auto"/>
        <w:rPr>
          <w:rFonts w:ascii="Times New Roman" w:hAnsi="Times New Roman"/>
          <w:sz w:val="28"/>
          <w:szCs w:val="28"/>
        </w:rPr>
      </w:pPr>
      <w:r w:rsidRPr="003C36E9">
        <w:rPr>
          <w:rFonts w:ascii="Times New Roman" w:hAnsi="Times New Roman"/>
          <w:sz w:val="28"/>
          <w:szCs w:val="28"/>
        </w:rPr>
        <w:t>[31]</w:t>
      </w:r>
      <w:r w:rsidRPr="003C36E9">
        <w:rPr>
          <w:rFonts w:ascii="Times New Roman" w:hAnsi="Times New Roman"/>
          <w:sz w:val="28"/>
          <w:szCs w:val="28"/>
        </w:rPr>
        <w:tab/>
      </w:r>
      <w:r w:rsidR="00D941A6">
        <w:rPr>
          <w:rFonts w:ascii="Times New Roman" w:hAnsi="Times New Roman"/>
          <w:color w:val="000000"/>
          <w:sz w:val="28"/>
          <w:szCs w:val="28"/>
        </w:rPr>
        <w:t xml:space="preserve">Section 12(3) </w:t>
      </w:r>
      <w:r w:rsidR="00890EC3">
        <w:rPr>
          <w:rFonts w:ascii="Times New Roman" w:hAnsi="Times New Roman"/>
          <w:color w:val="000000"/>
          <w:sz w:val="28"/>
          <w:szCs w:val="28"/>
        </w:rPr>
        <w:t xml:space="preserve">of the Prescription Act </w:t>
      </w:r>
      <w:r w:rsidR="00D941A6">
        <w:rPr>
          <w:rFonts w:ascii="Times New Roman" w:hAnsi="Times New Roman"/>
          <w:color w:val="000000"/>
          <w:sz w:val="28"/>
          <w:szCs w:val="28"/>
        </w:rPr>
        <w:t>stipulates that a debt shall not be deemed to be due until the creditor has knowledge of the identity of the debtor and of the facts giving rise to the debt</w:t>
      </w:r>
      <w:r w:rsidR="00DF3401">
        <w:rPr>
          <w:rFonts w:ascii="Times New Roman" w:hAnsi="Times New Roman"/>
          <w:color w:val="000000"/>
          <w:sz w:val="28"/>
          <w:szCs w:val="28"/>
        </w:rPr>
        <w:t>. The section is subject to the proviso that a creditor shall be deemed to have such knowledge if he could have acquired it by exercising reasonable care.</w:t>
      </w:r>
    </w:p>
    <w:p w:rsidR="00A572D4" w:rsidRPr="00B84743" w:rsidRDefault="00281191" w:rsidP="00281191">
      <w:pPr>
        <w:pStyle w:val="LegalList1"/>
        <w:spacing w:line="360" w:lineRule="auto"/>
        <w:rPr>
          <w:rFonts w:ascii="Times New Roman" w:hAnsi="Times New Roman"/>
          <w:sz w:val="28"/>
          <w:szCs w:val="28"/>
        </w:rPr>
      </w:pPr>
      <w:r w:rsidRPr="00B84743">
        <w:rPr>
          <w:rFonts w:ascii="Times New Roman" w:hAnsi="Times New Roman"/>
          <w:sz w:val="28"/>
          <w:szCs w:val="28"/>
        </w:rPr>
        <w:t>[32]</w:t>
      </w:r>
      <w:r w:rsidRPr="00B84743">
        <w:rPr>
          <w:rFonts w:ascii="Times New Roman" w:hAnsi="Times New Roman"/>
          <w:sz w:val="28"/>
          <w:szCs w:val="28"/>
        </w:rPr>
        <w:tab/>
      </w:r>
      <w:r w:rsidR="000D496E">
        <w:rPr>
          <w:rFonts w:ascii="Times New Roman" w:hAnsi="Times New Roman"/>
          <w:color w:val="000000"/>
          <w:sz w:val="28"/>
          <w:szCs w:val="28"/>
        </w:rPr>
        <w:t>In argument the respondents correctly contended that the applicant’s reliance on section 12(3) is misplaced.</w:t>
      </w:r>
      <w:r w:rsidR="0005022C">
        <w:rPr>
          <w:rFonts w:ascii="Times New Roman" w:hAnsi="Times New Roman"/>
          <w:color w:val="000000"/>
          <w:sz w:val="28"/>
          <w:szCs w:val="28"/>
        </w:rPr>
        <w:t xml:space="preserve"> The section imposes a duty on a creditor to exercise reasonable care to obtain knowledge of the identity of the debtor and the facts from which the debt arises. </w:t>
      </w:r>
      <w:r w:rsidR="00EC4266">
        <w:rPr>
          <w:rFonts w:ascii="Times New Roman" w:hAnsi="Times New Roman"/>
          <w:color w:val="000000"/>
          <w:sz w:val="28"/>
          <w:szCs w:val="28"/>
        </w:rPr>
        <w:t>As will be shown below</w:t>
      </w:r>
      <w:r w:rsidR="00AB0A3B">
        <w:rPr>
          <w:rFonts w:ascii="Times New Roman" w:hAnsi="Times New Roman"/>
          <w:color w:val="000000"/>
          <w:sz w:val="28"/>
          <w:szCs w:val="28"/>
        </w:rPr>
        <w:t>,</w:t>
      </w:r>
      <w:r w:rsidR="00EC4266">
        <w:rPr>
          <w:rFonts w:ascii="Times New Roman" w:hAnsi="Times New Roman"/>
          <w:color w:val="000000"/>
          <w:sz w:val="28"/>
          <w:szCs w:val="28"/>
        </w:rPr>
        <w:t xml:space="preserve"> i</w:t>
      </w:r>
      <w:r w:rsidR="0005022C">
        <w:rPr>
          <w:rFonts w:ascii="Times New Roman" w:hAnsi="Times New Roman"/>
          <w:color w:val="000000"/>
          <w:sz w:val="28"/>
          <w:szCs w:val="28"/>
        </w:rPr>
        <w:t>t is impermissible for a creditor, as with the applicant in this case, to postpone the commencement of the running of prescription by his failure to take necessary steps.</w:t>
      </w:r>
      <w:r w:rsidR="0005022C">
        <w:rPr>
          <w:rStyle w:val="FootnoteReference"/>
          <w:rFonts w:ascii="Times New Roman" w:hAnsi="Times New Roman"/>
          <w:color w:val="000000"/>
          <w:sz w:val="28"/>
          <w:szCs w:val="28"/>
        </w:rPr>
        <w:footnoteReference w:id="10"/>
      </w:r>
    </w:p>
    <w:p w:rsidR="00A572D4" w:rsidRPr="005722DC" w:rsidRDefault="00281191" w:rsidP="00281191">
      <w:pPr>
        <w:pStyle w:val="LegalList1"/>
        <w:spacing w:after="0" w:line="360" w:lineRule="auto"/>
        <w:rPr>
          <w:rFonts w:ascii="Times New Roman" w:hAnsi="Times New Roman"/>
          <w:sz w:val="28"/>
          <w:szCs w:val="28"/>
        </w:rPr>
      </w:pPr>
      <w:r w:rsidRPr="005722DC">
        <w:rPr>
          <w:rFonts w:ascii="Times New Roman" w:hAnsi="Times New Roman"/>
          <w:sz w:val="28"/>
          <w:szCs w:val="28"/>
        </w:rPr>
        <w:t>[33]</w:t>
      </w:r>
      <w:r w:rsidRPr="005722DC">
        <w:rPr>
          <w:rFonts w:ascii="Times New Roman" w:hAnsi="Times New Roman"/>
          <w:sz w:val="28"/>
          <w:szCs w:val="28"/>
        </w:rPr>
        <w:tab/>
      </w:r>
      <w:r w:rsidR="002E1394">
        <w:rPr>
          <w:rFonts w:ascii="Times New Roman" w:hAnsi="Times New Roman"/>
          <w:color w:val="000000"/>
          <w:sz w:val="28"/>
          <w:szCs w:val="28"/>
        </w:rPr>
        <w:t xml:space="preserve">In </w:t>
      </w:r>
      <w:r w:rsidR="002E1394" w:rsidRPr="00B07996">
        <w:rPr>
          <w:rFonts w:ascii="Times New Roman" w:hAnsi="Times New Roman"/>
          <w:i/>
          <w:color w:val="000000"/>
          <w:sz w:val="28"/>
          <w:szCs w:val="28"/>
        </w:rPr>
        <w:t>Drennan Maud &amp; Partners v Pennington Town Board</w:t>
      </w:r>
      <w:r w:rsidR="002E1394">
        <w:rPr>
          <w:rStyle w:val="FootnoteReference"/>
          <w:rFonts w:ascii="Times New Roman" w:hAnsi="Times New Roman"/>
          <w:color w:val="000000"/>
          <w:sz w:val="28"/>
          <w:szCs w:val="28"/>
        </w:rPr>
        <w:footnoteReference w:id="11"/>
      </w:r>
      <w:r w:rsidR="005722DC">
        <w:rPr>
          <w:rFonts w:ascii="Times New Roman" w:hAnsi="Times New Roman"/>
          <w:color w:val="000000"/>
          <w:sz w:val="28"/>
          <w:szCs w:val="28"/>
        </w:rPr>
        <w:t xml:space="preserve"> it is stated that:</w:t>
      </w:r>
    </w:p>
    <w:p w:rsidR="005722DC" w:rsidRPr="007D54DF" w:rsidRDefault="00BE0904" w:rsidP="007D54DF">
      <w:pPr>
        <w:pStyle w:val="LegalList1"/>
        <w:spacing w:after="0" w:line="360" w:lineRule="auto"/>
        <w:rPr>
          <w:rFonts w:ascii="Times New Roman" w:hAnsi="Times New Roman"/>
        </w:rPr>
      </w:pPr>
      <w:r w:rsidRPr="007D54DF">
        <w:rPr>
          <w:rFonts w:ascii="Times New Roman" w:hAnsi="Times New Roman"/>
        </w:rPr>
        <w:t>‘Section 12 (3) of the Act provides that a creditor shall be deemed to have the required knowledge “if he could have acquired it by exercising reasonable care.</w:t>
      </w:r>
      <w:r w:rsidR="007D54DF" w:rsidRPr="007D54DF">
        <w:rPr>
          <w:rFonts w:ascii="Times New Roman" w:hAnsi="Times New Roman"/>
        </w:rPr>
        <w:t>” In my view, the requirement “exercising reasonable care” requires diligence not only in the ascertainment of the facts underlying the debt, but also in relation to the evaluation and significance of those facts. This means that the creditor is deemed to have the requisite knowledge if a reasonable person in his position would have deduced the identity of the debtor and the facts from which the debt arises.’</w:t>
      </w:r>
    </w:p>
    <w:p w:rsidR="00A572D4" w:rsidRPr="003C36E9" w:rsidRDefault="00A572D4" w:rsidP="00B07996"/>
    <w:p w:rsidR="000F357C" w:rsidRPr="000F357C" w:rsidRDefault="00281191" w:rsidP="00281191">
      <w:pPr>
        <w:pStyle w:val="LegalList1"/>
        <w:spacing w:line="360" w:lineRule="auto"/>
        <w:rPr>
          <w:rFonts w:ascii="Times New Roman" w:hAnsi="Times New Roman"/>
          <w:sz w:val="28"/>
          <w:szCs w:val="28"/>
        </w:rPr>
      </w:pPr>
      <w:r w:rsidRPr="000F357C">
        <w:rPr>
          <w:rFonts w:ascii="Times New Roman" w:hAnsi="Times New Roman"/>
          <w:sz w:val="28"/>
          <w:szCs w:val="28"/>
        </w:rPr>
        <w:t>[34]</w:t>
      </w:r>
      <w:r w:rsidRPr="000F357C">
        <w:rPr>
          <w:rFonts w:ascii="Times New Roman" w:hAnsi="Times New Roman"/>
          <w:sz w:val="28"/>
          <w:szCs w:val="28"/>
        </w:rPr>
        <w:tab/>
      </w:r>
      <w:r w:rsidR="00B07996">
        <w:rPr>
          <w:rFonts w:ascii="Times New Roman" w:hAnsi="Times New Roman"/>
          <w:color w:val="000000"/>
          <w:sz w:val="28"/>
          <w:szCs w:val="28"/>
        </w:rPr>
        <w:t>The adverse operation of the section does not depend upon a</w:t>
      </w:r>
      <w:r w:rsidR="00A21023">
        <w:rPr>
          <w:rFonts w:ascii="Times New Roman" w:hAnsi="Times New Roman"/>
          <w:color w:val="000000"/>
          <w:sz w:val="28"/>
          <w:szCs w:val="28"/>
        </w:rPr>
        <w:t xml:space="preserve"> creditor’s subjective evaluation of the presence or absence of ‘knowledge’.</w:t>
      </w:r>
    </w:p>
    <w:p w:rsidR="00A572D4" w:rsidRPr="00B07996" w:rsidRDefault="00281191" w:rsidP="00281191">
      <w:pPr>
        <w:pStyle w:val="LegalList1"/>
        <w:spacing w:line="360" w:lineRule="auto"/>
        <w:rPr>
          <w:rFonts w:ascii="Times New Roman" w:hAnsi="Times New Roman"/>
          <w:sz w:val="28"/>
          <w:szCs w:val="28"/>
        </w:rPr>
      </w:pPr>
      <w:r w:rsidRPr="00B07996">
        <w:rPr>
          <w:rFonts w:ascii="Times New Roman" w:hAnsi="Times New Roman"/>
          <w:sz w:val="28"/>
          <w:szCs w:val="28"/>
        </w:rPr>
        <w:lastRenderedPageBreak/>
        <w:t>[35]</w:t>
      </w:r>
      <w:r w:rsidRPr="00B07996">
        <w:rPr>
          <w:rFonts w:ascii="Times New Roman" w:hAnsi="Times New Roman"/>
          <w:sz w:val="28"/>
          <w:szCs w:val="28"/>
        </w:rPr>
        <w:tab/>
      </w:r>
      <w:r w:rsidR="00A21023">
        <w:rPr>
          <w:rFonts w:ascii="Times New Roman" w:hAnsi="Times New Roman"/>
          <w:color w:val="000000"/>
          <w:sz w:val="28"/>
          <w:szCs w:val="28"/>
        </w:rPr>
        <w:t>The standard is not subjective – it is objective.</w:t>
      </w:r>
      <w:r w:rsidR="00EC4266">
        <w:rPr>
          <w:rStyle w:val="FootnoteReference"/>
          <w:rFonts w:ascii="Times New Roman" w:hAnsi="Times New Roman"/>
          <w:color w:val="000000"/>
          <w:sz w:val="28"/>
          <w:szCs w:val="28"/>
        </w:rPr>
        <w:footnoteReference w:id="12"/>
      </w:r>
    </w:p>
    <w:p w:rsidR="000F357C"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r>
      <w:r w:rsidR="005971E1">
        <w:rPr>
          <w:rFonts w:ascii="Times New Roman" w:hAnsi="Times New Roman"/>
          <w:sz w:val="28"/>
          <w:szCs w:val="28"/>
        </w:rPr>
        <w:t xml:space="preserve">The applicant’s stance is that </w:t>
      </w:r>
      <w:r w:rsidR="005971E1" w:rsidRPr="00C6731F">
        <w:rPr>
          <w:rFonts w:ascii="Times New Roman" w:hAnsi="Times New Roman"/>
          <w:sz w:val="28"/>
          <w:szCs w:val="28"/>
        </w:rPr>
        <w:t xml:space="preserve">it was only during July 2018 that he acquired </w:t>
      </w:r>
      <w:r w:rsidR="005971E1">
        <w:rPr>
          <w:rFonts w:ascii="Times New Roman" w:hAnsi="Times New Roman"/>
          <w:sz w:val="28"/>
          <w:szCs w:val="28"/>
        </w:rPr>
        <w:t xml:space="preserve">the requisite </w:t>
      </w:r>
      <w:r w:rsidR="005971E1" w:rsidRPr="00C6731F">
        <w:rPr>
          <w:rFonts w:ascii="Times New Roman" w:hAnsi="Times New Roman"/>
          <w:sz w:val="28"/>
          <w:szCs w:val="28"/>
        </w:rPr>
        <w:t>knowledge</w:t>
      </w:r>
      <w:r w:rsidR="005971E1">
        <w:rPr>
          <w:rFonts w:ascii="Times New Roman" w:hAnsi="Times New Roman"/>
          <w:sz w:val="28"/>
          <w:szCs w:val="28"/>
        </w:rPr>
        <w:t xml:space="preserve">. </w:t>
      </w:r>
      <w:r w:rsidR="000F357C">
        <w:rPr>
          <w:rFonts w:ascii="Times New Roman" w:hAnsi="Times New Roman"/>
          <w:sz w:val="28"/>
          <w:szCs w:val="28"/>
        </w:rPr>
        <w:t>This occurred consequent to initial consultation with his present attorneys Ayabonga Koswana on 12 May 2018 whereafter they initiated investigations on his behalf. Although the relevant statutory notices were only dispatched on 24 August 2018 more than 6 months after 2 June 2016, the applicant, on his reckoning, maintains that by the time he acquired such knowledge, the three year period for extinctive prescription in respect of his claims had not interceded.</w:t>
      </w:r>
    </w:p>
    <w:p w:rsidR="003D503F"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r>
      <w:r w:rsidR="00371824">
        <w:rPr>
          <w:rFonts w:ascii="Times New Roman" w:hAnsi="Times New Roman"/>
          <w:sz w:val="28"/>
          <w:szCs w:val="28"/>
        </w:rPr>
        <w:t xml:space="preserve">Indications in the applicant’s founding affidavit are that prior to 12 May 2018 </w:t>
      </w:r>
      <w:r w:rsidR="001F63B0">
        <w:rPr>
          <w:rFonts w:ascii="Times New Roman" w:hAnsi="Times New Roman"/>
          <w:sz w:val="28"/>
          <w:szCs w:val="28"/>
        </w:rPr>
        <w:t>he was aware of the respondents’ identities as debtors in this matter and the facts from which</w:t>
      </w:r>
      <w:r w:rsidR="009A1323">
        <w:rPr>
          <w:rFonts w:ascii="Times New Roman" w:hAnsi="Times New Roman"/>
          <w:sz w:val="28"/>
          <w:szCs w:val="28"/>
        </w:rPr>
        <w:t xml:space="preserve"> the debts arose.</w:t>
      </w:r>
      <w:r w:rsidR="009A1323">
        <w:rPr>
          <w:rStyle w:val="FootnoteReference"/>
          <w:rFonts w:ascii="Times New Roman" w:hAnsi="Times New Roman"/>
          <w:sz w:val="28"/>
          <w:szCs w:val="28"/>
        </w:rPr>
        <w:footnoteReference w:id="13"/>
      </w:r>
      <w:r w:rsidR="00077759">
        <w:rPr>
          <w:rFonts w:ascii="Times New Roman" w:hAnsi="Times New Roman"/>
          <w:sz w:val="28"/>
          <w:szCs w:val="28"/>
        </w:rPr>
        <w:t xml:space="preserve"> Even if he had not been aware of the identities of the debtors and the facts giving rise to the debts, there is no evidence </w:t>
      </w:r>
      <w:r w:rsidR="008D7F44">
        <w:rPr>
          <w:rFonts w:ascii="Times New Roman" w:hAnsi="Times New Roman"/>
          <w:sz w:val="28"/>
          <w:szCs w:val="28"/>
        </w:rPr>
        <w:t xml:space="preserve">indicating </w:t>
      </w:r>
      <w:r w:rsidR="00077759">
        <w:rPr>
          <w:rFonts w:ascii="Times New Roman" w:hAnsi="Times New Roman"/>
          <w:sz w:val="28"/>
          <w:szCs w:val="28"/>
        </w:rPr>
        <w:t>that he could not have acquired them by exercising reasonable care.</w:t>
      </w:r>
    </w:p>
    <w:p w:rsidR="003F12B9"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r>
      <w:r w:rsidR="008D7F44">
        <w:rPr>
          <w:rFonts w:ascii="Times New Roman" w:hAnsi="Times New Roman"/>
          <w:sz w:val="28"/>
          <w:szCs w:val="28"/>
        </w:rPr>
        <w:t>I</w:t>
      </w:r>
      <w:r w:rsidR="006A1FAD">
        <w:rPr>
          <w:rFonts w:ascii="Times New Roman" w:hAnsi="Times New Roman"/>
          <w:sz w:val="28"/>
          <w:szCs w:val="28"/>
        </w:rPr>
        <w:t xml:space="preserve">t brooks </w:t>
      </w:r>
      <w:r w:rsidR="003547D1">
        <w:rPr>
          <w:rFonts w:ascii="Times New Roman" w:hAnsi="Times New Roman"/>
          <w:sz w:val="28"/>
          <w:szCs w:val="28"/>
        </w:rPr>
        <w:t xml:space="preserve">of no doubt that the applicant was legally represented </w:t>
      </w:r>
      <w:r w:rsidR="003D503F">
        <w:rPr>
          <w:rFonts w:ascii="Times New Roman" w:hAnsi="Times New Roman"/>
          <w:sz w:val="28"/>
          <w:szCs w:val="28"/>
        </w:rPr>
        <w:t xml:space="preserve">during the conduct of his criminal trial considering that he does not assert the contrary. Nor is there any doubt that he was represented by </w:t>
      </w:r>
      <w:r w:rsidR="005655F9">
        <w:rPr>
          <w:rFonts w:ascii="Times New Roman" w:hAnsi="Times New Roman"/>
          <w:sz w:val="28"/>
          <w:szCs w:val="28"/>
        </w:rPr>
        <w:t xml:space="preserve">Legal Aid South Africa </w:t>
      </w:r>
      <w:r w:rsidR="003547D1">
        <w:rPr>
          <w:rFonts w:ascii="Times New Roman" w:hAnsi="Times New Roman"/>
          <w:sz w:val="28"/>
          <w:szCs w:val="28"/>
        </w:rPr>
        <w:t xml:space="preserve">during the prosecution of his appeal. </w:t>
      </w:r>
      <w:r w:rsidR="00A049F2">
        <w:rPr>
          <w:rFonts w:ascii="Times New Roman" w:hAnsi="Times New Roman"/>
          <w:sz w:val="28"/>
          <w:szCs w:val="28"/>
        </w:rPr>
        <w:t>Moreover, i</w:t>
      </w:r>
      <w:r w:rsidR="003547D1">
        <w:rPr>
          <w:rFonts w:ascii="Times New Roman" w:hAnsi="Times New Roman"/>
          <w:sz w:val="28"/>
          <w:szCs w:val="28"/>
        </w:rPr>
        <w:t>n their answering affidavit the respondents</w:t>
      </w:r>
      <w:r w:rsidR="00417A60">
        <w:rPr>
          <w:rFonts w:ascii="Times New Roman" w:hAnsi="Times New Roman"/>
          <w:sz w:val="28"/>
          <w:szCs w:val="28"/>
        </w:rPr>
        <w:t xml:space="preserve"> have attached a letter dated 12 J</w:t>
      </w:r>
      <w:r w:rsidR="003108C0">
        <w:rPr>
          <w:rFonts w:ascii="Times New Roman" w:hAnsi="Times New Roman"/>
          <w:sz w:val="28"/>
          <w:szCs w:val="28"/>
        </w:rPr>
        <w:t>a</w:t>
      </w:r>
      <w:r w:rsidR="00417A60">
        <w:rPr>
          <w:rFonts w:ascii="Times New Roman" w:hAnsi="Times New Roman"/>
          <w:sz w:val="28"/>
          <w:szCs w:val="28"/>
        </w:rPr>
        <w:t>nuary 2016</w:t>
      </w:r>
      <w:r w:rsidR="003547D1">
        <w:rPr>
          <w:rFonts w:ascii="Times New Roman" w:hAnsi="Times New Roman"/>
          <w:sz w:val="28"/>
          <w:szCs w:val="28"/>
        </w:rPr>
        <w:t xml:space="preserve"> </w:t>
      </w:r>
      <w:r w:rsidR="003108C0">
        <w:rPr>
          <w:rFonts w:ascii="Times New Roman" w:hAnsi="Times New Roman"/>
          <w:sz w:val="28"/>
          <w:szCs w:val="28"/>
        </w:rPr>
        <w:t xml:space="preserve">from </w:t>
      </w:r>
      <w:r w:rsidR="00F97053">
        <w:rPr>
          <w:rFonts w:ascii="Times New Roman" w:hAnsi="Times New Roman"/>
          <w:sz w:val="28"/>
          <w:szCs w:val="28"/>
        </w:rPr>
        <w:t xml:space="preserve">attorneys </w:t>
      </w:r>
      <w:r w:rsidR="003108C0">
        <w:rPr>
          <w:rFonts w:ascii="Times New Roman" w:hAnsi="Times New Roman"/>
          <w:sz w:val="28"/>
          <w:szCs w:val="28"/>
        </w:rPr>
        <w:t xml:space="preserve">Faltein </w:t>
      </w:r>
      <w:r w:rsidR="00614FEB">
        <w:rPr>
          <w:rFonts w:ascii="Times New Roman" w:hAnsi="Times New Roman"/>
          <w:sz w:val="28"/>
          <w:szCs w:val="28"/>
        </w:rPr>
        <w:t>in which notice of intended legal proceedings is directed at the NDPP in respect of the applicant’s c</w:t>
      </w:r>
      <w:r w:rsidR="003F12B9">
        <w:rPr>
          <w:rFonts w:ascii="Times New Roman" w:hAnsi="Times New Roman"/>
          <w:sz w:val="28"/>
          <w:szCs w:val="28"/>
        </w:rPr>
        <w:t>laim for malicious prosecution.</w:t>
      </w:r>
    </w:p>
    <w:p w:rsidR="00773B9B"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r>
      <w:r w:rsidR="00556C1D">
        <w:rPr>
          <w:rFonts w:ascii="Times New Roman" w:hAnsi="Times New Roman"/>
          <w:sz w:val="28"/>
          <w:szCs w:val="28"/>
        </w:rPr>
        <w:t xml:space="preserve">What the </w:t>
      </w:r>
      <w:r w:rsidR="00970DC7">
        <w:rPr>
          <w:rFonts w:ascii="Times New Roman" w:hAnsi="Times New Roman"/>
          <w:sz w:val="28"/>
          <w:szCs w:val="28"/>
        </w:rPr>
        <w:t xml:space="preserve">letter signifies </w:t>
      </w:r>
      <w:r w:rsidR="00556C1D">
        <w:rPr>
          <w:rFonts w:ascii="Times New Roman" w:hAnsi="Times New Roman"/>
          <w:sz w:val="28"/>
          <w:szCs w:val="28"/>
        </w:rPr>
        <w:t xml:space="preserve">is </w:t>
      </w:r>
      <w:r w:rsidR="00970DC7">
        <w:rPr>
          <w:rFonts w:ascii="Times New Roman" w:hAnsi="Times New Roman"/>
          <w:sz w:val="28"/>
          <w:szCs w:val="28"/>
        </w:rPr>
        <w:t xml:space="preserve">that the applicant had access to legal representation during his period of incarceration. His protestation that </w:t>
      </w:r>
      <w:r w:rsidR="00A74137">
        <w:rPr>
          <w:rFonts w:ascii="Times New Roman" w:hAnsi="Times New Roman"/>
          <w:sz w:val="28"/>
          <w:szCs w:val="28"/>
        </w:rPr>
        <w:t>the attorneys were instructed by his former co-accused in the impugned criminal case</w:t>
      </w:r>
      <w:r w:rsidR="00660D18">
        <w:rPr>
          <w:rFonts w:ascii="Times New Roman" w:hAnsi="Times New Roman"/>
          <w:sz w:val="28"/>
          <w:szCs w:val="28"/>
        </w:rPr>
        <w:t xml:space="preserve"> </w:t>
      </w:r>
      <w:r w:rsidR="00660D18">
        <w:rPr>
          <w:rFonts w:ascii="Times New Roman" w:hAnsi="Times New Roman"/>
          <w:sz w:val="28"/>
          <w:szCs w:val="28"/>
        </w:rPr>
        <w:lastRenderedPageBreak/>
        <w:t>who inadvertently included his name</w:t>
      </w:r>
      <w:r w:rsidR="006F791E">
        <w:rPr>
          <w:rFonts w:ascii="Times New Roman" w:hAnsi="Times New Roman"/>
          <w:sz w:val="28"/>
          <w:szCs w:val="28"/>
        </w:rPr>
        <w:t>,</w:t>
      </w:r>
      <w:r w:rsidR="00660D18">
        <w:rPr>
          <w:rFonts w:ascii="Times New Roman" w:hAnsi="Times New Roman"/>
          <w:sz w:val="28"/>
          <w:szCs w:val="28"/>
        </w:rPr>
        <w:t xml:space="preserve"> </w:t>
      </w:r>
      <w:r w:rsidR="00991590">
        <w:rPr>
          <w:rFonts w:ascii="Times New Roman" w:hAnsi="Times New Roman"/>
          <w:sz w:val="28"/>
          <w:szCs w:val="28"/>
        </w:rPr>
        <w:t>lacks credulity</w:t>
      </w:r>
      <w:r w:rsidR="00660D18">
        <w:rPr>
          <w:rFonts w:ascii="Times New Roman" w:hAnsi="Times New Roman"/>
          <w:sz w:val="28"/>
          <w:szCs w:val="28"/>
        </w:rPr>
        <w:t>.</w:t>
      </w:r>
      <w:r w:rsidR="00442FE9">
        <w:rPr>
          <w:rFonts w:ascii="Times New Roman" w:hAnsi="Times New Roman"/>
          <w:sz w:val="28"/>
          <w:szCs w:val="28"/>
        </w:rPr>
        <w:t xml:space="preserve"> So too is his assertion that Legal Aid did not advise him of his right to institute a civil action. </w:t>
      </w:r>
      <w:r w:rsidR="004F0FBE">
        <w:rPr>
          <w:rFonts w:ascii="Times New Roman" w:hAnsi="Times New Roman"/>
          <w:sz w:val="28"/>
          <w:szCs w:val="28"/>
        </w:rPr>
        <w:t>In this regard he does not contend that he was precluded from seeking their advice.</w:t>
      </w:r>
    </w:p>
    <w:p w:rsidR="00B07996" w:rsidRPr="00A94542" w:rsidRDefault="00281191" w:rsidP="00281191">
      <w:pPr>
        <w:pStyle w:val="LegalList1"/>
        <w:spacing w:line="360" w:lineRule="auto"/>
        <w:rPr>
          <w:rFonts w:ascii="Times New Roman" w:hAnsi="Times New Roman"/>
          <w:sz w:val="28"/>
          <w:szCs w:val="28"/>
        </w:rPr>
      </w:pPr>
      <w:r w:rsidRPr="00A94542">
        <w:rPr>
          <w:rFonts w:ascii="Times New Roman" w:hAnsi="Times New Roman"/>
          <w:sz w:val="28"/>
          <w:szCs w:val="28"/>
        </w:rPr>
        <w:t>[40]</w:t>
      </w:r>
      <w:r w:rsidRPr="00A94542">
        <w:rPr>
          <w:rFonts w:ascii="Times New Roman" w:hAnsi="Times New Roman"/>
          <w:sz w:val="28"/>
          <w:szCs w:val="28"/>
        </w:rPr>
        <w:tab/>
      </w:r>
      <w:r w:rsidR="00556C1D">
        <w:rPr>
          <w:rFonts w:ascii="Times New Roman" w:hAnsi="Times New Roman"/>
          <w:sz w:val="28"/>
          <w:szCs w:val="28"/>
        </w:rPr>
        <w:t xml:space="preserve">The upshot of </w:t>
      </w:r>
      <w:r w:rsidR="00A049F2" w:rsidRPr="00A94542">
        <w:rPr>
          <w:rFonts w:ascii="Times New Roman" w:hAnsi="Times New Roman"/>
          <w:sz w:val="28"/>
          <w:szCs w:val="28"/>
        </w:rPr>
        <w:t xml:space="preserve">these observations </w:t>
      </w:r>
      <w:r w:rsidR="00556C1D">
        <w:rPr>
          <w:rFonts w:ascii="Times New Roman" w:hAnsi="Times New Roman"/>
          <w:sz w:val="28"/>
          <w:szCs w:val="28"/>
        </w:rPr>
        <w:t xml:space="preserve">is that </w:t>
      </w:r>
      <w:r w:rsidR="00A94542">
        <w:rPr>
          <w:rFonts w:ascii="Times New Roman" w:hAnsi="Times New Roman"/>
          <w:sz w:val="28"/>
          <w:szCs w:val="28"/>
        </w:rPr>
        <w:t xml:space="preserve">the applicant’s </w:t>
      </w:r>
      <w:r w:rsidR="00A049F2" w:rsidRPr="00A94542">
        <w:rPr>
          <w:rFonts w:ascii="Times New Roman" w:hAnsi="Times New Roman"/>
          <w:sz w:val="28"/>
          <w:szCs w:val="28"/>
        </w:rPr>
        <w:t xml:space="preserve">incarceration did not on its own prevent </w:t>
      </w:r>
      <w:r w:rsidR="00A94542">
        <w:rPr>
          <w:rFonts w:ascii="Times New Roman" w:hAnsi="Times New Roman"/>
          <w:sz w:val="28"/>
          <w:szCs w:val="28"/>
        </w:rPr>
        <w:t>him</w:t>
      </w:r>
      <w:r w:rsidR="00A049F2" w:rsidRPr="00A94542">
        <w:rPr>
          <w:rFonts w:ascii="Times New Roman" w:hAnsi="Times New Roman"/>
          <w:sz w:val="28"/>
          <w:szCs w:val="28"/>
        </w:rPr>
        <w:t xml:space="preserve"> from giving instructions to an attorney to investigate or institute civil proceedings on his behalf.</w:t>
      </w:r>
      <w:r w:rsidR="00A049F2">
        <w:rPr>
          <w:rStyle w:val="FootnoteReference"/>
          <w:rFonts w:ascii="Times New Roman" w:hAnsi="Times New Roman"/>
          <w:sz w:val="28"/>
          <w:szCs w:val="28"/>
        </w:rPr>
        <w:footnoteReference w:id="14"/>
      </w:r>
      <w:r w:rsidR="007F3D1D" w:rsidRPr="00A94542">
        <w:rPr>
          <w:rFonts w:ascii="Times New Roman" w:hAnsi="Times New Roman"/>
          <w:sz w:val="28"/>
          <w:szCs w:val="28"/>
        </w:rPr>
        <w:t xml:space="preserve"> The applicant does not contend that he was prevented from having access to an attorney or vice versa while incarcerated.</w:t>
      </w:r>
      <w:r w:rsidR="007F3D1D">
        <w:rPr>
          <w:rStyle w:val="FootnoteReference"/>
          <w:rFonts w:ascii="Times New Roman" w:hAnsi="Times New Roman"/>
          <w:sz w:val="28"/>
          <w:szCs w:val="28"/>
        </w:rPr>
        <w:footnoteReference w:id="15"/>
      </w:r>
      <w:r w:rsidR="00A94542">
        <w:rPr>
          <w:rFonts w:ascii="Times New Roman" w:hAnsi="Times New Roman"/>
          <w:sz w:val="28"/>
          <w:szCs w:val="28"/>
        </w:rPr>
        <w:t xml:space="preserve"> His </w:t>
      </w:r>
      <w:r w:rsidR="00D62A70" w:rsidRPr="00A94542">
        <w:rPr>
          <w:rFonts w:ascii="Times New Roman" w:hAnsi="Times New Roman"/>
          <w:sz w:val="28"/>
          <w:szCs w:val="28"/>
        </w:rPr>
        <w:t xml:space="preserve">assertions of </w:t>
      </w:r>
      <w:r w:rsidR="007F1339" w:rsidRPr="00A94542">
        <w:rPr>
          <w:rFonts w:ascii="Times New Roman" w:hAnsi="Times New Roman"/>
          <w:sz w:val="28"/>
          <w:szCs w:val="28"/>
        </w:rPr>
        <w:t xml:space="preserve">the knowledge requirement being satisfied in July 2018 amounts to a </w:t>
      </w:r>
      <w:r w:rsidR="003E1ECF">
        <w:rPr>
          <w:rFonts w:ascii="Times New Roman" w:hAnsi="Times New Roman"/>
          <w:sz w:val="28"/>
          <w:szCs w:val="28"/>
        </w:rPr>
        <w:t>manufactured</w:t>
      </w:r>
      <w:r w:rsidR="003E1ECF" w:rsidRPr="00A94542">
        <w:rPr>
          <w:rFonts w:ascii="Times New Roman" w:hAnsi="Times New Roman"/>
          <w:sz w:val="28"/>
          <w:szCs w:val="28"/>
        </w:rPr>
        <w:t xml:space="preserve"> </w:t>
      </w:r>
      <w:r w:rsidR="007F1339" w:rsidRPr="00A94542">
        <w:rPr>
          <w:rFonts w:ascii="Times New Roman" w:hAnsi="Times New Roman"/>
          <w:sz w:val="28"/>
          <w:szCs w:val="28"/>
        </w:rPr>
        <w:t xml:space="preserve">attempt to </w:t>
      </w:r>
      <w:r w:rsidR="007F1339" w:rsidRPr="00A94542">
        <w:rPr>
          <w:rFonts w:ascii="Times New Roman" w:hAnsi="Times New Roman"/>
          <w:color w:val="000000"/>
          <w:sz w:val="28"/>
          <w:szCs w:val="28"/>
        </w:rPr>
        <w:t xml:space="preserve">postpone the commencement of the running of prescription </w:t>
      </w:r>
      <w:r w:rsidR="009503F2">
        <w:rPr>
          <w:rFonts w:ascii="Times New Roman" w:hAnsi="Times New Roman"/>
          <w:color w:val="000000"/>
          <w:sz w:val="28"/>
          <w:szCs w:val="28"/>
        </w:rPr>
        <w:t>in circumstances where his founding affidavit</w:t>
      </w:r>
      <w:r w:rsidR="00556C1D">
        <w:rPr>
          <w:rFonts w:ascii="Times New Roman" w:hAnsi="Times New Roman"/>
          <w:color w:val="000000"/>
          <w:sz w:val="28"/>
          <w:szCs w:val="28"/>
        </w:rPr>
        <w:t>, objectively considered,</w:t>
      </w:r>
      <w:r w:rsidR="009503F2">
        <w:rPr>
          <w:rFonts w:ascii="Times New Roman" w:hAnsi="Times New Roman"/>
          <w:color w:val="000000"/>
          <w:sz w:val="28"/>
          <w:szCs w:val="28"/>
        </w:rPr>
        <w:t xml:space="preserve"> </w:t>
      </w:r>
      <w:r w:rsidR="00EF2CD4">
        <w:rPr>
          <w:rFonts w:ascii="Times New Roman" w:hAnsi="Times New Roman"/>
          <w:color w:val="000000"/>
          <w:sz w:val="28"/>
          <w:szCs w:val="28"/>
        </w:rPr>
        <w:t xml:space="preserve">indicates a </w:t>
      </w:r>
      <w:r w:rsidR="00EF2CD4" w:rsidRPr="00A94542">
        <w:rPr>
          <w:rFonts w:ascii="Times New Roman" w:hAnsi="Times New Roman"/>
          <w:color w:val="000000"/>
          <w:sz w:val="28"/>
          <w:szCs w:val="28"/>
        </w:rPr>
        <w:t xml:space="preserve">manifest failure to take </w:t>
      </w:r>
      <w:r w:rsidR="00556C1D">
        <w:rPr>
          <w:rFonts w:ascii="Times New Roman" w:hAnsi="Times New Roman"/>
          <w:color w:val="000000"/>
          <w:sz w:val="28"/>
          <w:szCs w:val="28"/>
        </w:rPr>
        <w:t xml:space="preserve">reasonable </w:t>
      </w:r>
      <w:r w:rsidR="00EF2CD4" w:rsidRPr="00A94542">
        <w:rPr>
          <w:rFonts w:ascii="Times New Roman" w:hAnsi="Times New Roman"/>
          <w:color w:val="000000"/>
          <w:sz w:val="28"/>
          <w:szCs w:val="28"/>
        </w:rPr>
        <w:t>steps for the enforcement or preservation of his own interests</w:t>
      </w:r>
      <w:r w:rsidR="008C30AF">
        <w:rPr>
          <w:rFonts w:ascii="Times New Roman" w:hAnsi="Times New Roman"/>
          <w:color w:val="000000"/>
          <w:sz w:val="28"/>
          <w:szCs w:val="28"/>
        </w:rPr>
        <w:t xml:space="preserve"> – and </w:t>
      </w:r>
      <w:r w:rsidR="009503F2">
        <w:rPr>
          <w:rFonts w:ascii="Times New Roman" w:hAnsi="Times New Roman"/>
          <w:color w:val="000000"/>
          <w:sz w:val="28"/>
          <w:szCs w:val="28"/>
        </w:rPr>
        <w:t>on its own</w:t>
      </w:r>
      <w:r w:rsidR="008C30AF">
        <w:rPr>
          <w:rFonts w:ascii="Times New Roman" w:hAnsi="Times New Roman"/>
          <w:color w:val="000000"/>
          <w:sz w:val="28"/>
          <w:szCs w:val="28"/>
        </w:rPr>
        <w:t>,</w:t>
      </w:r>
      <w:r w:rsidR="009503F2">
        <w:rPr>
          <w:rFonts w:ascii="Times New Roman" w:hAnsi="Times New Roman"/>
          <w:color w:val="000000"/>
          <w:sz w:val="28"/>
          <w:szCs w:val="28"/>
        </w:rPr>
        <w:t xml:space="preserve"> indicates that his incarceration did not prevent </w:t>
      </w:r>
      <w:r w:rsidR="00EF2CD4">
        <w:rPr>
          <w:rFonts w:ascii="Times New Roman" w:hAnsi="Times New Roman"/>
          <w:color w:val="000000"/>
          <w:sz w:val="28"/>
          <w:szCs w:val="28"/>
        </w:rPr>
        <w:t>the running of prescription.</w:t>
      </w:r>
    </w:p>
    <w:p w:rsidR="00B07996" w:rsidRPr="00F3389E" w:rsidRDefault="00281191" w:rsidP="00281191">
      <w:pPr>
        <w:pStyle w:val="LegalList1"/>
        <w:spacing w:line="360" w:lineRule="auto"/>
        <w:rPr>
          <w:rFonts w:ascii="Times New Roman" w:hAnsi="Times New Roman"/>
          <w:sz w:val="28"/>
          <w:szCs w:val="28"/>
        </w:rPr>
      </w:pPr>
      <w:r w:rsidRPr="00F3389E">
        <w:rPr>
          <w:rFonts w:ascii="Times New Roman" w:hAnsi="Times New Roman"/>
          <w:sz w:val="28"/>
          <w:szCs w:val="28"/>
        </w:rPr>
        <w:t>[41]</w:t>
      </w:r>
      <w:r w:rsidRPr="00F3389E">
        <w:rPr>
          <w:rFonts w:ascii="Times New Roman" w:hAnsi="Times New Roman"/>
          <w:sz w:val="28"/>
          <w:szCs w:val="28"/>
        </w:rPr>
        <w:tab/>
      </w:r>
      <w:r w:rsidR="00382F14">
        <w:rPr>
          <w:rFonts w:ascii="Times New Roman" w:hAnsi="Times New Roman"/>
          <w:color w:val="000000"/>
          <w:sz w:val="28"/>
          <w:szCs w:val="28"/>
        </w:rPr>
        <w:t xml:space="preserve">Turning </w:t>
      </w:r>
      <w:r w:rsidR="00DC2A98">
        <w:rPr>
          <w:rFonts w:ascii="Times New Roman" w:hAnsi="Times New Roman"/>
          <w:color w:val="000000"/>
          <w:sz w:val="28"/>
          <w:szCs w:val="28"/>
        </w:rPr>
        <w:t>to address the applicant’s reliance on s</w:t>
      </w:r>
      <w:r w:rsidR="00890EC3">
        <w:rPr>
          <w:rFonts w:ascii="Times New Roman" w:hAnsi="Times New Roman"/>
          <w:color w:val="000000"/>
          <w:sz w:val="28"/>
          <w:szCs w:val="28"/>
        </w:rPr>
        <w:t>ection 12(4)</w:t>
      </w:r>
      <w:r w:rsidR="00DC2A98">
        <w:rPr>
          <w:rFonts w:ascii="Times New Roman" w:hAnsi="Times New Roman"/>
          <w:color w:val="000000"/>
          <w:sz w:val="28"/>
          <w:szCs w:val="28"/>
        </w:rPr>
        <w:t xml:space="preserve"> of the Prescription Act</w:t>
      </w:r>
      <w:r w:rsidR="006C03BC">
        <w:rPr>
          <w:rFonts w:ascii="Times New Roman" w:hAnsi="Times New Roman"/>
          <w:color w:val="000000"/>
          <w:sz w:val="28"/>
          <w:szCs w:val="28"/>
        </w:rPr>
        <w:t>,</w:t>
      </w:r>
      <w:r w:rsidR="00382F14">
        <w:rPr>
          <w:rFonts w:ascii="Times New Roman" w:hAnsi="Times New Roman"/>
          <w:color w:val="000000"/>
          <w:sz w:val="28"/>
          <w:szCs w:val="28"/>
        </w:rPr>
        <w:t xml:space="preserve"> the section, quoted in </w:t>
      </w:r>
      <w:r w:rsidR="008C30AF">
        <w:rPr>
          <w:rFonts w:ascii="Times New Roman" w:hAnsi="Times New Roman"/>
          <w:color w:val="000000"/>
          <w:sz w:val="28"/>
          <w:szCs w:val="28"/>
        </w:rPr>
        <w:t>relevant part, reads:</w:t>
      </w:r>
    </w:p>
    <w:p w:rsidR="00F3389E" w:rsidRPr="00BA4B4B" w:rsidRDefault="00F3389E" w:rsidP="006C03BC">
      <w:pPr>
        <w:pStyle w:val="LegalList1"/>
        <w:spacing w:line="360" w:lineRule="auto"/>
        <w:rPr>
          <w:rFonts w:ascii="Times New Roman" w:hAnsi="Times New Roman"/>
        </w:rPr>
      </w:pPr>
      <w:r w:rsidRPr="00BA4B4B">
        <w:rPr>
          <w:rFonts w:ascii="Times New Roman" w:hAnsi="Times New Roman"/>
          <w:color w:val="000000"/>
        </w:rPr>
        <w:t>‘Prescription shall not commence to run in respect of a debt based on the commission of an alleged sexual offence as contemplated in … the Criminal Law (Sexual Offences and Related Matters) Amendment Act</w:t>
      </w:r>
      <w:r w:rsidR="00BA4B4B" w:rsidRPr="00BA4B4B">
        <w:rPr>
          <w:rFonts w:ascii="Times New Roman" w:hAnsi="Times New Roman"/>
          <w:color w:val="000000"/>
        </w:rPr>
        <w:t xml:space="preserve"> 2007, during the time in which the creditor is unable to institute proc</w:t>
      </w:r>
      <w:r w:rsidR="004C203E">
        <w:rPr>
          <w:rFonts w:ascii="Times New Roman" w:hAnsi="Times New Roman"/>
          <w:color w:val="000000"/>
        </w:rPr>
        <w:t>eedings because of his or her me</w:t>
      </w:r>
      <w:r w:rsidR="00BA4B4B" w:rsidRPr="00BA4B4B">
        <w:rPr>
          <w:rFonts w:ascii="Times New Roman" w:hAnsi="Times New Roman"/>
          <w:color w:val="000000"/>
        </w:rPr>
        <w:t>ntal or psychological condition.’</w:t>
      </w:r>
    </w:p>
    <w:p w:rsidR="00B07996"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00382F14">
        <w:rPr>
          <w:rFonts w:ascii="Times New Roman" w:hAnsi="Times New Roman"/>
          <w:sz w:val="28"/>
          <w:szCs w:val="28"/>
        </w:rPr>
        <w:t>The provision makes it clear that it is meant to operate in circumstances where a debt has arisen following the commissi</w:t>
      </w:r>
      <w:r w:rsidR="00F3212A">
        <w:rPr>
          <w:rFonts w:ascii="Times New Roman" w:hAnsi="Times New Roman"/>
          <w:sz w:val="28"/>
          <w:szCs w:val="28"/>
        </w:rPr>
        <w:t xml:space="preserve">on of a sexual offence by a debtor against a creditor and resulting in the creditor suffering mental or psychological </w:t>
      </w:r>
      <w:r w:rsidR="00F3212A">
        <w:rPr>
          <w:rFonts w:ascii="Times New Roman" w:hAnsi="Times New Roman"/>
          <w:sz w:val="28"/>
          <w:szCs w:val="28"/>
        </w:rPr>
        <w:lastRenderedPageBreak/>
        <w:t>impairment that prevents the creditor from instituting proceedings to claim the debt.</w:t>
      </w:r>
    </w:p>
    <w:p w:rsidR="00BA4B4B"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r>
      <w:r w:rsidR="002221CA">
        <w:rPr>
          <w:rFonts w:ascii="Times New Roman" w:hAnsi="Times New Roman"/>
          <w:sz w:val="28"/>
          <w:szCs w:val="28"/>
        </w:rPr>
        <w:t xml:space="preserve">The applicant was not the victim of a sexual offence. Where he states in his </w:t>
      </w:r>
      <w:r w:rsidR="005C418F">
        <w:rPr>
          <w:rFonts w:ascii="Times New Roman" w:hAnsi="Times New Roman"/>
          <w:sz w:val="28"/>
          <w:szCs w:val="28"/>
        </w:rPr>
        <w:t xml:space="preserve">founding </w:t>
      </w:r>
      <w:r w:rsidR="002221CA">
        <w:rPr>
          <w:rFonts w:ascii="Times New Roman" w:hAnsi="Times New Roman"/>
          <w:sz w:val="28"/>
          <w:szCs w:val="28"/>
        </w:rPr>
        <w:t xml:space="preserve">affidavit that he </w:t>
      </w:r>
      <w:r w:rsidR="001E538F">
        <w:rPr>
          <w:rFonts w:ascii="Times New Roman" w:hAnsi="Times New Roman"/>
          <w:sz w:val="28"/>
          <w:szCs w:val="28"/>
        </w:rPr>
        <w:t>was ‘not in a good psychological state’ upon his release from incarceration and that he experienced difficulty reintegrating within his community</w:t>
      </w:r>
      <w:r w:rsidR="00C91AD4">
        <w:rPr>
          <w:rFonts w:ascii="Times New Roman" w:hAnsi="Times New Roman"/>
          <w:sz w:val="28"/>
          <w:szCs w:val="28"/>
        </w:rPr>
        <w:t>, he does not lay a sufficiently candid basis for postponing or interrupting prescription. His failure to do so must be considered</w:t>
      </w:r>
      <w:r w:rsidR="00E444E8">
        <w:rPr>
          <w:rFonts w:ascii="Times New Roman" w:hAnsi="Times New Roman"/>
          <w:sz w:val="28"/>
          <w:szCs w:val="28"/>
        </w:rPr>
        <w:t xml:space="preserve"> in the </w:t>
      </w:r>
      <w:r w:rsidR="006470BA">
        <w:rPr>
          <w:rFonts w:ascii="Times New Roman" w:hAnsi="Times New Roman"/>
          <w:sz w:val="28"/>
          <w:szCs w:val="28"/>
        </w:rPr>
        <w:t xml:space="preserve">context </w:t>
      </w:r>
      <w:r w:rsidR="00E444E8">
        <w:rPr>
          <w:rFonts w:ascii="Times New Roman" w:hAnsi="Times New Roman"/>
          <w:sz w:val="28"/>
          <w:szCs w:val="28"/>
        </w:rPr>
        <w:t xml:space="preserve">of the views expressed in the preceding paragraphs </w:t>
      </w:r>
      <w:r w:rsidR="005C418F">
        <w:rPr>
          <w:rFonts w:ascii="Times New Roman" w:hAnsi="Times New Roman"/>
          <w:sz w:val="28"/>
          <w:szCs w:val="28"/>
        </w:rPr>
        <w:t xml:space="preserve">indicating that </w:t>
      </w:r>
      <w:r w:rsidR="006470BA">
        <w:rPr>
          <w:rFonts w:ascii="Times New Roman" w:hAnsi="Times New Roman"/>
          <w:sz w:val="28"/>
          <w:szCs w:val="28"/>
        </w:rPr>
        <w:t>he had reasonable opportunity, notwithstanding incarceration, for seeking legal advice and assistance prior to his release.</w:t>
      </w:r>
    </w:p>
    <w:p w:rsidR="00BA4B4B" w:rsidRPr="008610DC" w:rsidRDefault="008610DC" w:rsidP="008610DC">
      <w:pPr>
        <w:pStyle w:val="LegalList1"/>
        <w:spacing w:line="360" w:lineRule="auto"/>
        <w:rPr>
          <w:rFonts w:ascii="Times New Roman" w:hAnsi="Times New Roman"/>
          <w:b/>
          <w:sz w:val="28"/>
          <w:szCs w:val="28"/>
        </w:rPr>
      </w:pPr>
      <w:r w:rsidRPr="008610DC">
        <w:rPr>
          <w:rFonts w:ascii="Times New Roman" w:hAnsi="Times New Roman"/>
          <w:b/>
          <w:sz w:val="28"/>
          <w:szCs w:val="28"/>
        </w:rPr>
        <w:t>Good cause</w:t>
      </w:r>
    </w:p>
    <w:p w:rsidR="00882915"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00882915">
        <w:rPr>
          <w:rFonts w:ascii="Times New Roman" w:hAnsi="Times New Roman"/>
          <w:sz w:val="28"/>
          <w:szCs w:val="28"/>
        </w:rPr>
        <w:t>The claims based on malicious prosecution and for that portion of the applicant’s incarceration from 19 December 2015 to 2 June 2016 have not prescribed. This situation requires an examination as to whether the applicant has discharged the obligation to satisfy the court that good cause exists for his failure to comply with the provisions of the Proceedings Act.</w:t>
      </w:r>
    </w:p>
    <w:p w:rsidR="00882915"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00882915">
        <w:rPr>
          <w:rFonts w:ascii="Times New Roman" w:hAnsi="Times New Roman"/>
          <w:sz w:val="28"/>
          <w:szCs w:val="28"/>
        </w:rPr>
        <w:t xml:space="preserve">The applicant </w:t>
      </w:r>
      <w:r w:rsidR="006D588B">
        <w:rPr>
          <w:rFonts w:ascii="Times New Roman" w:hAnsi="Times New Roman"/>
          <w:sz w:val="28"/>
          <w:szCs w:val="28"/>
        </w:rPr>
        <w:t>attempts</w:t>
      </w:r>
      <w:r w:rsidR="00882915">
        <w:rPr>
          <w:rFonts w:ascii="Times New Roman" w:hAnsi="Times New Roman"/>
          <w:sz w:val="28"/>
          <w:szCs w:val="28"/>
        </w:rPr>
        <w:t xml:space="preserve"> to satisfy this requirement by </w:t>
      </w:r>
      <w:r w:rsidR="006037F9">
        <w:rPr>
          <w:rFonts w:ascii="Times New Roman" w:hAnsi="Times New Roman"/>
          <w:sz w:val="28"/>
          <w:szCs w:val="28"/>
        </w:rPr>
        <w:t>putting forward a</w:t>
      </w:r>
      <w:r w:rsidR="00882915">
        <w:rPr>
          <w:rFonts w:ascii="Times New Roman" w:hAnsi="Times New Roman"/>
          <w:sz w:val="28"/>
          <w:szCs w:val="28"/>
        </w:rPr>
        <w:t xml:space="preserve"> version in his founding affidavit to the effect that after his release from incarceration, and during May 2018, he met an old friend to whom he narrated his story. Moved by the applicant’s plight</w:t>
      </w:r>
      <w:r w:rsidR="00417AD2">
        <w:rPr>
          <w:rFonts w:ascii="Times New Roman" w:hAnsi="Times New Roman"/>
          <w:sz w:val="28"/>
          <w:szCs w:val="28"/>
        </w:rPr>
        <w:t>,</w:t>
      </w:r>
      <w:r w:rsidR="00882915">
        <w:rPr>
          <w:rFonts w:ascii="Times New Roman" w:hAnsi="Times New Roman"/>
          <w:sz w:val="28"/>
          <w:szCs w:val="28"/>
        </w:rPr>
        <w:t xml:space="preserve"> the friend facilitated contact with</w:t>
      </w:r>
      <w:r w:rsidR="00882915" w:rsidRPr="00A807DF">
        <w:rPr>
          <w:rFonts w:ascii="Times New Roman" w:hAnsi="Times New Roman"/>
          <w:sz w:val="28"/>
          <w:szCs w:val="28"/>
        </w:rPr>
        <w:t xml:space="preserve"> </w:t>
      </w:r>
      <w:r w:rsidR="00882915">
        <w:rPr>
          <w:rFonts w:ascii="Times New Roman" w:hAnsi="Times New Roman"/>
          <w:sz w:val="28"/>
          <w:szCs w:val="28"/>
        </w:rPr>
        <w:t>attorneys Ayabonga Koswana. Following consultation with the</w:t>
      </w:r>
      <w:r w:rsidR="00417AD2">
        <w:rPr>
          <w:rFonts w:ascii="Times New Roman" w:hAnsi="Times New Roman"/>
          <w:sz w:val="28"/>
          <w:szCs w:val="28"/>
        </w:rPr>
        <w:t>m</w:t>
      </w:r>
      <w:r w:rsidR="00882915">
        <w:rPr>
          <w:rFonts w:ascii="Times New Roman" w:hAnsi="Times New Roman"/>
          <w:sz w:val="28"/>
          <w:szCs w:val="28"/>
        </w:rPr>
        <w:t xml:space="preserve"> on 12 May 2018 and their follow up with the applicant during July 2018 the applicant</w:t>
      </w:r>
      <w:r w:rsidR="00417AD2">
        <w:rPr>
          <w:rFonts w:ascii="Times New Roman" w:hAnsi="Times New Roman"/>
          <w:sz w:val="28"/>
          <w:szCs w:val="28"/>
        </w:rPr>
        <w:t>,</w:t>
      </w:r>
      <w:r w:rsidR="00882915">
        <w:rPr>
          <w:rFonts w:ascii="Times New Roman" w:hAnsi="Times New Roman"/>
          <w:sz w:val="28"/>
          <w:szCs w:val="28"/>
        </w:rPr>
        <w:t xml:space="preserve"> on the strength of their investigations</w:t>
      </w:r>
      <w:r w:rsidR="00417AD2">
        <w:rPr>
          <w:rFonts w:ascii="Times New Roman" w:hAnsi="Times New Roman"/>
          <w:sz w:val="28"/>
          <w:szCs w:val="28"/>
        </w:rPr>
        <w:t>,</w:t>
      </w:r>
      <w:r w:rsidR="00882915">
        <w:rPr>
          <w:rFonts w:ascii="Times New Roman" w:hAnsi="Times New Roman"/>
          <w:sz w:val="28"/>
          <w:szCs w:val="28"/>
        </w:rPr>
        <w:t xml:space="preserve"> became aware of the statutory notice requirement and the identity of the respondents and the facts giving rise to his cause of action. On his instructions the attorneys dispatched by registered mail notices in accordance with section 3 of the </w:t>
      </w:r>
      <w:r w:rsidR="00417AD2">
        <w:rPr>
          <w:rFonts w:ascii="Times New Roman" w:hAnsi="Times New Roman"/>
          <w:sz w:val="28"/>
          <w:szCs w:val="28"/>
        </w:rPr>
        <w:t>P</w:t>
      </w:r>
      <w:r w:rsidR="00882915">
        <w:rPr>
          <w:rFonts w:ascii="Times New Roman" w:hAnsi="Times New Roman"/>
          <w:sz w:val="28"/>
          <w:szCs w:val="28"/>
        </w:rPr>
        <w:t xml:space="preserve">roceedings </w:t>
      </w:r>
      <w:r w:rsidR="00417AD2">
        <w:rPr>
          <w:rFonts w:ascii="Times New Roman" w:hAnsi="Times New Roman"/>
          <w:sz w:val="28"/>
          <w:szCs w:val="28"/>
        </w:rPr>
        <w:t>A</w:t>
      </w:r>
      <w:r w:rsidR="00882915">
        <w:rPr>
          <w:rFonts w:ascii="Times New Roman" w:hAnsi="Times New Roman"/>
          <w:sz w:val="28"/>
          <w:szCs w:val="28"/>
        </w:rPr>
        <w:t xml:space="preserve">ct to the Minister c/o </w:t>
      </w:r>
      <w:r w:rsidR="00417AD2">
        <w:rPr>
          <w:rFonts w:ascii="Times New Roman" w:hAnsi="Times New Roman"/>
          <w:sz w:val="28"/>
          <w:szCs w:val="28"/>
        </w:rPr>
        <w:t xml:space="preserve">the </w:t>
      </w:r>
      <w:r w:rsidR="00882915">
        <w:rPr>
          <w:rFonts w:ascii="Times New Roman" w:hAnsi="Times New Roman"/>
          <w:sz w:val="28"/>
          <w:szCs w:val="28"/>
        </w:rPr>
        <w:t xml:space="preserve">National </w:t>
      </w:r>
      <w:r w:rsidR="00882915">
        <w:rPr>
          <w:rFonts w:ascii="Times New Roman" w:hAnsi="Times New Roman"/>
          <w:sz w:val="28"/>
          <w:szCs w:val="28"/>
        </w:rPr>
        <w:lastRenderedPageBreak/>
        <w:t>Commissioner</w:t>
      </w:r>
      <w:r w:rsidR="00417AD2">
        <w:rPr>
          <w:rFonts w:ascii="Times New Roman" w:hAnsi="Times New Roman"/>
          <w:sz w:val="28"/>
          <w:szCs w:val="28"/>
        </w:rPr>
        <w:t xml:space="preserve"> of the South African Police</w:t>
      </w:r>
      <w:r w:rsidR="00882915">
        <w:rPr>
          <w:rFonts w:ascii="Times New Roman" w:hAnsi="Times New Roman"/>
          <w:sz w:val="28"/>
          <w:szCs w:val="28"/>
        </w:rPr>
        <w:t>, and to the NDPP. The notices are dated 24 August 2018.</w:t>
      </w:r>
    </w:p>
    <w:p w:rsidR="0090429E" w:rsidRPr="0090429E" w:rsidRDefault="00281191" w:rsidP="00281191">
      <w:pPr>
        <w:pStyle w:val="LegalList1"/>
        <w:spacing w:line="360" w:lineRule="auto"/>
        <w:rPr>
          <w:rFonts w:ascii="Times New Roman" w:hAnsi="Times New Roman"/>
          <w:sz w:val="28"/>
          <w:szCs w:val="28"/>
        </w:rPr>
      </w:pPr>
      <w:r w:rsidRPr="0090429E">
        <w:rPr>
          <w:rFonts w:ascii="Times New Roman" w:hAnsi="Times New Roman"/>
          <w:sz w:val="28"/>
          <w:szCs w:val="28"/>
        </w:rPr>
        <w:t>[46]</w:t>
      </w:r>
      <w:r w:rsidRPr="0090429E">
        <w:rPr>
          <w:rFonts w:ascii="Times New Roman" w:hAnsi="Times New Roman"/>
          <w:sz w:val="28"/>
          <w:szCs w:val="28"/>
        </w:rPr>
        <w:tab/>
      </w:r>
      <w:r w:rsidR="00882915">
        <w:rPr>
          <w:rFonts w:ascii="Times New Roman" w:hAnsi="Times New Roman"/>
          <w:color w:val="000000"/>
          <w:sz w:val="28"/>
          <w:szCs w:val="28"/>
        </w:rPr>
        <w:t xml:space="preserve">In a notice under Uniform rule 30 dated 29 July 2019 the NDPP communicated its objection to the applicant’s alleged compliance with the </w:t>
      </w:r>
      <w:r w:rsidR="00882915">
        <w:rPr>
          <w:rFonts w:ascii="Times New Roman" w:hAnsi="Times New Roman"/>
          <w:sz w:val="28"/>
          <w:szCs w:val="28"/>
        </w:rPr>
        <w:t xml:space="preserve">provisions of section </w:t>
      </w:r>
      <w:r w:rsidR="00882915">
        <w:rPr>
          <w:rFonts w:ascii="Times New Roman" w:hAnsi="Times New Roman"/>
          <w:color w:val="000000"/>
          <w:sz w:val="28"/>
          <w:szCs w:val="28"/>
        </w:rPr>
        <w:t>3(2)</w:t>
      </w:r>
      <w:r w:rsidR="00882915" w:rsidRPr="00896710">
        <w:rPr>
          <w:rFonts w:ascii="Times New Roman" w:hAnsi="Times New Roman"/>
          <w:i/>
          <w:color w:val="000000"/>
          <w:sz w:val="28"/>
          <w:szCs w:val="28"/>
        </w:rPr>
        <w:t>(a)</w:t>
      </w:r>
      <w:r w:rsidR="00882915" w:rsidRPr="009D4047">
        <w:rPr>
          <w:rFonts w:ascii="Times New Roman" w:hAnsi="Times New Roman"/>
          <w:color w:val="000000"/>
          <w:sz w:val="28"/>
          <w:szCs w:val="28"/>
        </w:rPr>
        <w:t xml:space="preserve"> </w:t>
      </w:r>
      <w:r w:rsidR="00882915">
        <w:rPr>
          <w:rFonts w:ascii="Times New Roman" w:hAnsi="Times New Roman"/>
          <w:color w:val="000000"/>
          <w:sz w:val="28"/>
          <w:szCs w:val="28"/>
        </w:rPr>
        <w:t xml:space="preserve">of the </w:t>
      </w:r>
      <w:r w:rsidR="0090429E">
        <w:rPr>
          <w:rFonts w:ascii="Times New Roman" w:hAnsi="Times New Roman"/>
          <w:color w:val="000000"/>
          <w:sz w:val="28"/>
          <w:szCs w:val="28"/>
        </w:rPr>
        <w:t>P</w:t>
      </w:r>
      <w:r w:rsidR="00882915">
        <w:rPr>
          <w:rFonts w:ascii="Times New Roman" w:hAnsi="Times New Roman"/>
          <w:color w:val="000000"/>
          <w:sz w:val="28"/>
          <w:szCs w:val="28"/>
        </w:rPr>
        <w:t xml:space="preserve">roceedings </w:t>
      </w:r>
      <w:r w:rsidR="0090429E">
        <w:rPr>
          <w:rFonts w:ascii="Times New Roman" w:hAnsi="Times New Roman"/>
          <w:color w:val="000000"/>
          <w:sz w:val="28"/>
          <w:szCs w:val="28"/>
        </w:rPr>
        <w:t>A</w:t>
      </w:r>
      <w:r w:rsidR="00882915">
        <w:rPr>
          <w:rFonts w:ascii="Times New Roman" w:hAnsi="Times New Roman"/>
          <w:color w:val="000000"/>
          <w:sz w:val="28"/>
          <w:szCs w:val="28"/>
        </w:rPr>
        <w:t>ct.</w:t>
      </w:r>
    </w:p>
    <w:p w:rsidR="00BD0BE2" w:rsidRPr="00BD0BE2" w:rsidRDefault="00281191" w:rsidP="00281191">
      <w:pPr>
        <w:pStyle w:val="LegalList1"/>
        <w:spacing w:line="360" w:lineRule="auto"/>
        <w:rPr>
          <w:rFonts w:ascii="Times New Roman" w:hAnsi="Times New Roman"/>
          <w:sz w:val="28"/>
          <w:szCs w:val="28"/>
        </w:rPr>
      </w:pPr>
      <w:r w:rsidRPr="00BD0BE2">
        <w:rPr>
          <w:rFonts w:ascii="Times New Roman" w:hAnsi="Times New Roman"/>
          <w:sz w:val="28"/>
          <w:szCs w:val="28"/>
        </w:rPr>
        <w:t>[47]</w:t>
      </w:r>
      <w:r w:rsidRPr="00BD0BE2">
        <w:rPr>
          <w:rFonts w:ascii="Times New Roman" w:hAnsi="Times New Roman"/>
          <w:sz w:val="28"/>
          <w:szCs w:val="28"/>
        </w:rPr>
        <w:tab/>
      </w:r>
      <w:r w:rsidR="00882915">
        <w:rPr>
          <w:rFonts w:ascii="Times New Roman" w:hAnsi="Times New Roman"/>
          <w:sz w:val="28"/>
          <w:szCs w:val="28"/>
        </w:rPr>
        <w:t>On 14 July 2</w:t>
      </w:r>
      <w:r w:rsidR="009D4047">
        <w:rPr>
          <w:rFonts w:ascii="Times New Roman" w:hAnsi="Times New Roman"/>
          <w:sz w:val="28"/>
          <w:szCs w:val="28"/>
        </w:rPr>
        <w:t xml:space="preserve">020 the Minister </w:t>
      </w:r>
      <w:r w:rsidR="00882915">
        <w:rPr>
          <w:rFonts w:ascii="Times New Roman" w:hAnsi="Times New Roman"/>
          <w:sz w:val="28"/>
          <w:szCs w:val="28"/>
        </w:rPr>
        <w:t xml:space="preserve">filed a special plea of non-compliance with the provisions of section </w:t>
      </w:r>
      <w:r w:rsidR="00882915">
        <w:rPr>
          <w:rFonts w:ascii="Times New Roman" w:hAnsi="Times New Roman"/>
          <w:color w:val="000000"/>
          <w:sz w:val="28"/>
          <w:szCs w:val="28"/>
        </w:rPr>
        <w:t>3(2)</w:t>
      </w:r>
      <w:r w:rsidR="00882915" w:rsidRPr="00896710">
        <w:rPr>
          <w:rFonts w:ascii="Times New Roman" w:hAnsi="Times New Roman"/>
          <w:i/>
          <w:color w:val="000000"/>
          <w:sz w:val="28"/>
          <w:szCs w:val="28"/>
        </w:rPr>
        <w:t>(a)</w:t>
      </w:r>
      <w:r w:rsidR="00882915">
        <w:rPr>
          <w:rFonts w:ascii="Times New Roman" w:hAnsi="Times New Roman"/>
          <w:color w:val="000000"/>
          <w:sz w:val="28"/>
          <w:szCs w:val="28"/>
        </w:rPr>
        <w:t xml:space="preserve"> of the Act. For its part the NDPP merely denied the applicant’s allegation that he complied with the statutory notice requirement. </w:t>
      </w:r>
    </w:p>
    <w:p w:rsidR="00882915" w:rsidRPr="0059550E" w:rsidRDefault="00281191" w:rsidP="00281191">
      <w:pPr>
        <w:pStyle w:val="LegalList1"/>
        <w:spacing w:line="360" w:lineRule="auto"/>
        <w:rPr>
          <w:rFonts w:ascii="Times New Roman" w:hAnsi="Times New Roman"/>
          <w:sz w:val="28"/>
          <w:szCs w:val="28"/>
        </w:rPr>
      </w:pPr>
      <w:r w:rsidRPr="0059550E">
        <w:rPr>
          <w:rFonts w:ascii="Times New Roman" w:hAnsi="Times New Roman"/>
          <w:sz w:val="28"/>
          <w:szCs w:val="28"/>
        </w:rPr>
        <w:t>[48]</w:t>
      </w:r>
      <w:r w:rsidRPr="0059550E">
        <w:rPr>
          <w:rFonts w:ascii="Times New Roman" w:hAnsi="Times New Roman"/>
          <w:sz w:val="28"/>
          <w:szCs w:val="28"/>
        </w:rPr>
        <w:tab/>
      </w:r>
      <w:r w:rsidR="00882915">
        <w:rPr>
          <w:rFonts w:ascii="Times New Roman" w:hAnsi="Times New Roman"/>
          <w:color w:val="000000"/>
          <w:sz w:val="28"/>
          <w:szCs w:val="28"/>
        </w:rPr>
        <w:t>The application for condonation was only launched on 5 October 2020 some 2½ months later.</w:t>
      </w:r>
    </w:p>
    <w:p w:rsidR="00882915" w:rsidRPr="004C2A19" w:rsidRDefault="00281191" w:rsidP="00281191">
      <w:pPr>
        <w:pStyle w:val="LegalList1"/>
        <w:spacing w:line="360" w:lineRule="auto"/>
        <w:rPr>
          <w:rFonts w:ascii="Times New Roman" w:hAnsi="Times New Roman"/>
          <w:sz w:val="28"/>
          <w:szCs w:val="28"/>
        </w:rPr>
      </w:pPr>
      <w:r w:rsidRPr="004C2A19">
        <w:rPr>
          <w:rFonts w:ascii="Times New Roman" w:hAnsi="Times New Roman"/>
          <w:sz w:val="28"/>
          <w:szCs w:val="28"/>
        </w:rPr>
        <w:t>[49]</w:t>
      </w:r>
      <w:r w:rsidRPr="004C2A19">
        <w:rPr>
          <w:rFonts w:ascii="Times New Roman" w:hAnsi="Times New Roman"/>
          <w:sz w:val="28"/>
          <w:szCs w:val="28"/>
        </w:rPr>
        <w:tab/>
      </w:r>
      <w:r w:rsidR="00882915">
        <w:rPr>
          <w:rFonts w:ascii="Times New Roman" w:hAnsi="Times New Roman"/>
          <w:color w:val="000000"/>
          <w:sz w:val="28"/>
          <w:szCs w:val="28"/>
        </w:rPr>
        <w:t>No explanation is provided for this delay.</w:t>
      </w:r>
    </w:p>
    <w:p w:rsidR="00882915"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r>
      <w:r w:rsidR="00882915">
        <w:rPr>
          <w:rFonts w:ascii="Times New Roman" w:hAnsi="Times New Roman"/>
          <w:sz w:val="28"/>
          <w:szCs w:val="28"/>
        </w:rPr>
        <w:t>In the light thereof the applicant’s prospects of success as an element of good cause must be addressed.</w:t>
      </w:r>
    </w:p>
    <w:p w:rsidR="00882915" w:rsidRDefault="00281191" w:rsidP="00281191">
      <w:pPr>
        <w:pStyle w:val="LegalList1"/>
        <w:spacing w:after="0" w:line="360" w:lineRule="auto"/>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00882915">
        <w:rPr>
          <w:rFonts w:ascii="Times New Roman" w:hAnsi="Times New Roman"/>
          <w:sz w:val="28"/>
          <w:szCs w:val="28"/>
        </w:rPr>
        <w:t xml:space="preserve">The concept of good cause was examined in </w:t>
      </w:r>
      <w:r w:rsidR="00882915" w:rsidRPr="00A83E99">
        <w:rPr>
          <w:rFonts w:ascii="Times New Roman" w:hAnsi="Times New Roman"/>
          <w:i/>
          <w:sz w:val="28"/>
          <w:szCs w:val="28"/>
        </w:rPr>
        <w:t>Minister of Agriculture and Land Affairs v CJ Rance (Pty) Ltd</w:t>
      </w:r>
      <w:r w:rsidR="00882915">
        <w:rPr>
          <w:rStyle w:val="FootnoteReference"/>
          <w:rFonts w:ascii="Times New Roman" w:hAnsi="Times New Roman"/>
          <w:sz w:val="28"/>
          <w:szCs w:val="28"/>
        </w:rPr>
        <w:footnoteReference w:id="16"/>
      </w:r>
      <w:r w:rsidR="00882915">
        <w:rPr>
          <w:rFonts w:ascii="Times New Roman" w:hAnsi="Times New Roman"/>
          <w:sz w:val="28"/>
          <w:szCs w:val="28"/>
        </w:rPr>
        <w:t>. The prospects of success relevant to good cause was explained as follows:</w:t>
      </w:r>
    </w:p>
    <w:p w:rsidR="00882915" w:rsidRPr="00A83E99" w:rsidRDefault="00882915" w:rsidP="00882915">
      <w:pPr>
        <w:pStyle w:val="LegalList1"/>
        <w:spacing w:after="0" w:line="360" w:lineRule="auto"/>
        <w:rPr>
          <w:rFonts w:ascii="Times New Roman" w:hAnsi="Times New Roman"/>
        </w:rPr>
      </w:pPr>
      <w:r w:rsidRPr="00A83E99">
        <w:rPr>
          <w:rFonts w:ascii="Times New Roman" w:hAnsi="Times New Roman"/>
        </w:rPr>
        <w:t>‘The prospects of success of the intended claim play a significant role – strong merits may mitigate fault; no merits may render mitigation pointless. The court must be placed in a position to make an assessment of the merits in order to balance that factor with the cause of the delay as explained by the applicant. A paucity of detail on the merits will exacerbate matters for a creditor who has failed to fully explain the cause of the delay. An applicant thus acts at his own peril when a court is left in the dark on the merits of an intended action, e.g. where an expert report central to the applicant’s envisaged claim is omitted from the condonation papers.’</w:t>
      </w:r>
    </w:p>
    <w:p w:rsidR="00FA3C13" w:rsidRDefault="00281191" w:rsidP="00281191">
      <w:pPr>
        <w:pStyle w:val="LegalList1"/>
        <w:spacing w:before="240" w:line="360" w:lineRule="auto"/>
        <w:rPr>
          <w:rFonts w:ascii="Times New Roman" w:hAnsi="Times New Roman"/>
          <w:sz w:val="28"/>
          <w:szCs w:val="28"/>
        </w:rPr>
      </w:pPr>
      <w:r>
        <w:rPr>
          <w:rFonts w:ascii="Times New Roman" w:hAnsi="Times New Roman"/>
          <w:sz w:val="28"/>
          <w:szCs w:val="28"/>
        </w:rPr>
        <w:lastRenderedPageBreak/>
        <w:t>[52]</w:t>
      </w:r>
      <w:r>
        <w:rPr>
          <w:rFonts w:ascii="Times New Roman" w:hAnsi="Times New Roman"/>
          <w:sz w:val="28"/>
          <w:szCs w:val="28"/>
        </w:rPr>
        <w:tab/>
      </w:r>
      <w:r w:rsidR="00882915">
        <w:rPr>
          <w:rFonts w:ascii="Times New Roman" w:hAnsi="Times New Roman"/>
          <w:sz w:val="28"/>
          <w:szCs w:val="28"/>
        </w:rPr>
        <w:t xml:space="preserve">In his founding affidavit, save for </w:t>
      </w:r>
      <w:r w:rsidR="009D4047">
        <w:rPr>
          <w:rFonts w:ascii="Times New Roman" w:hAnsi="Times New Roman"/>
          <w:sz w:val="28"/>
          <w:szCs w:val="28"/>
        </w:rPr>
        <w:t xml:space="preserve">asserting </w:t>
      </w:r>
      <w:r w:rsidR="00882915">
        <w:rPr>
          <w:rFonts w:ascii="Times New Roman" w:hAnsi="Times New Roman"/>
          <w:sz w:val="28"/>
          <w:szCs w:val="28"/>
        </w:rPr>
        <w:t>that he has ‘high prospects of success’, the applicant proffers no meaningful factual detail to set up a prima facie case of unlawful arrest, unlawful detention and malicious prosecution; and where reference is made to the Full Court judgment – which in any event made no pertinent findings relevant to the</w:t>
      </w:r>
      <w:r w:rsidR="00921597">
        <w:rPr>
          <w:rFonts w:ascii="Times New Roman" w:hAnsi="Times New Roman"/>
          <w:sz w:val="28"/>
          <w:szCs w:val="28"/>
        </w:rPr>
        <w:t xml:space="preserve"> elements of these</w:t>
      </w:r>
      <w:r w:rsidR="00882915">
        <w:rPr>
          <w:rFonts w:ascii="Times New Roman" w:hAnsi="Times New Roman"/>
          <w:sz w:val="28"/>
          <w:szCs w:val="28"/>
        </w:rPr>
        <w:t xml:space="preserve"> causes of action</w:t>
      </w:r>
      <w:r w:rsidR="00C648BE" w:rsidRPr="00C648BE">
        <w:rPr>
          <w:rFonts w:ascii="Times New Roman" w:hAnsi="Times New Roman"/>
          <w:sz w:val="28"/>
          <w:szCs w:val="28"/>
        </w:rPr>
        <w:t xml:space="preserve"> </w:t>
      </w:r>
      <w:r w:rsidR="00FA3C13">
        <w:rPr>
          <w:rFonts w:ascii="Times New Roman" w:hAnsi="Times New Roman"/>
          <w:sz w:val="28"/>
          <w:szCs w:val="28"/>
        </w:rPr>
        <w:t xml:space="preserve">– the </w:t>
      </w:r>
      <w:r w:rsidR="00C648BE">
        <w:rPr>
          <w:rFonts w:ascii="Times New Roman" w:hAnsi="Times New Roman"/>
          <w:sz w:val="28"/>
          <w:szCs w:val="28"/>
        </w:rPr>
        <w:t>judgment</w:t>
      </w:r>
      <w:r w:rsidR="00C230E6">
        <w:rPr>
          <w:rFonts w:ascii="Times New Roman" w:hAnsi="Times New Roman"/>
          <w:sz w:val="28"/>
          <w:szCs w:val="28"/>
        </w:rPr>
        <w:t>, without intending criticism,</w:t>
      </w:r>
      <w:r w:rsidR="00C648BE">
        <w:rPr>
          <w:rFonts w:ascii="Times New Roman" w:hAnsi="Times New Roman"/>
          <w:sz w:val="28"/>
          <w:szCs w:val="28"/>
        </w:rPr>
        <w:t xml:space="preserve"> merely represents the opinion of another court and is inadmissible in these proceedings.</w:t>
      </w:r>
    </w:p>
    <w:p w:rsidR="00F35E42" w:rsidRDefault="00281191" w:rsidP="00281191">
      <w:pPr>
        <w:pStyle w:val="LegalList1"/>
        <w:spacing w:before="240" w:line="360" w:lineRule="auto"/>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00F35E42" w:rsidRPr="00FA3C13">
        <w:rPr>
          <w:rFonts w:ascii="Times New Roman" w:hAnsi="Times New Roman"/>
          <w:sz w:val="28"/>
          <w:szCs w:val="28"/>
        </w:rPr>
        <w:t xml:space="preserve">In argument, the applicant’s failure to address the issue of the absence of reasonable or probable cause as one of the jurisdictional elements in a cause of action for malicious prosecution was </w:t>
      </w:r>
      <w:r w:rsidR="00455A5E">
        <w:rPr>
          <w:rFonts w:ascii="Times New Roman" w:hAnsi="Times New Roman"/>
          <w:sz w:val="28"/>
          <w:szCs w:val="28"/>
        </w:rPr>
        <w:t>straightforwardly</w:t>
      </w:r>
      <w:r w:rsidR="00455A5E" w:rsidRPr="00FA3C13">
        <w:rPr>
          <w:rFonts w:ascii="Times New Roman" w:hAnsi="Times New Roman"/>
          <w:sz w:val="28"/>
          <w:szCs w:val="28"/>
        </w:rPr>
        <w:t xml:space="preserve"> </w:t>
      </w:r>
      <w:r w:rsidR="00F35E42" w:rsidRPr="00FA3C13">
        <w:rPr>
          <w:rFonts w:ascii="Times New Roman" w:hAnsi="Times New Roman"/>
          <w:sz w:val="28"/>
          <w:szCs w:val="28"/>
        </w:rPr>
        <w:t xml:space="preserve">drawn to the Court’s attention. </w:t>
      </w:r>
    </w:p>
    <w:p w:rsidR="00FA3C13" w:rsidRDefault="00281191" w:rsidP="00281191">
      <w:pPr>
        <w:pStyle w:val="LegalList1"/>
        <w:spacing w:before="240" w:line="360" w:lineRule="auto"/>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r>
      <w:r w:rsidR="00D752DD" w:rsidRPr="00FA3C13">
        <w:rPr>
          <w:rFonts w:ascii="Times New Roman" w:hAnsi="Times New Roman"/>
          <w:sz w:val="28"/>
          <w:szCs w:val="28"/>
        </w:rPr>
        <w:t>A reading</w:t>
      </w:r>
      <w:r w:rsidR="00F35E42">
        <w:rPr>
          <w:rFonts w:ascii="Times New Roman" w:hAnsi="Times New Roman"/>
          <w:sz w:val="28"/>
          <w:szCs w:val="28"/>
        </w:rPr>
        <w:t xml:space="preserve"> of the </w:t>
      </w:r>
      <w:r w:rsidR="00BE7229">
        <w:rPr>
          <w:rFonts w:ascii="Times New Roman" w:hAnsi="Times New Roman"/>
          <w:sz w:val="28"/>
          <w:szCs w:val="28"/>
        </w:rPr>
        <w:t xml:space="preserve">appeal </w:t>
      </w:r>
      <w:r w:rsidR="00F35E42">
        <w:rPr>
          <w:rFonts w:ascii="Times New Roman" w:hAnsi="Times New Roman"/>
          <w:sz w:val="28"/>
          <w:szCs w:val="28"/>
        </w:rPr>
        <w:t xml:space="preserve">judgment </w:t>
      </w:r>
      <w:r w:rsidR="00D752DD" w:rsidRPr="00FA3C13">
        <w:rPr>
          <w:rFonts w:ascii="Times New Roman" w:hAnsi="Times New Roman"/>
          <w:sz w:val="28"/>
          <w:szCs w:val="28"/>
        </w:rPr>
        <w:t xml:space="preserve">indicates that its outcome turned </w:t>
      </w:r>
      <w:r w:rsidR="00815E9C" w:rsidRPr="00FA3C13">
        <w:rPr>
          <w:rFonts w:ascii="Times New Roman" w:hAnsi="Times New Roman"/>
          <w:sz w:val="28"/>
          <w:szCs w:val="28"/>
        </w:rPr>
        <w:t xml:space="preserve">on the credibility of the complainant as a single witness on the issue of identification. </w:t>
      </w:r>
      <w:r w:rsidR="00575FEE">
        <w:rPr>
          <w:rFonts w:ascii="Times New Roman" w:hAnsi="Times New Roman"/>
          <w:sz w:val="28"/>
          <w:szCs w:val="28"/>
        </w:rPr>
        <w:t>Exactly h</w:t>
      </w:r>
      <w:r w:rsidR="00815E9C" w:rsidRPr="00FA3C13">
        <w:rPr>
          <w:rFonts w:ascii="Times New Roman" w:hAnsi="Times New Roman"/>
          <w:sz w:val="28"/>
          <w:szCs w:val="28"/>
        </w:rPr>
        <w:t>ow that wo</w:t>
      </w:r>
      <w:r w:rsidR="00BE7229">
        <w:rPr>
          <w:rFonts w:ascii="Times New Roman" w:hAnsi="Times New Roman"/>
          <w:sz w:val="28"/>
          <w:szCs w:val="28"/>
        </w:rPr>
        <w:t>u</w:t>
      </w:r>
      <w:r w:rsidR="00815E9C" w:rsidRPr="00FA3C13">
        <w:rPr>
          <w:rFonts w:ascii="Times New Roman" w:hAnsi="Times New Roman"/>
          <w:sz w:val="28"/>
          <w:szCs w:val="28"/>
        </w:rPr>
        <w:t xml:space="preserve">ld translate into an absence of reasonable and probable cause is </w:t>
      </w:r>
      <w:r w:rsidR="00D752DD" w:rsidRPr="00FA3C13">
        <w:rPr>
          <w:rFonts w:ascii="Times New Roman" w:hAnsi="Times New Roman"/>
          <w:sz w:val="28"/>
          <w:szCs w:val="28"/>
        </w:rPr>
        <w:t xml:space="preserve">the question </w:t>
      </w:r>
      <w:r w:rsidR="00D26FA1">
        <w:rPr>
          <w:rFonts w:ascii="Times New Roman" w:hAnsi="Times New Roman"/>
          <w:sz w:val="28"/>
          <w:szCs w:val="28"/>
        </w:rPr>
        <w:t xml:space="preserve">to </w:t>
      </w:r>
      <w:r w:rsidR="00D752DD" w:rsidRPr="00FA3C13">
        <w:rPr>
          <w:rFonts w:ascii="Times New Roman" w:hAnsi="Times New Roman"/>
          <w:sz w:val="28"/>
          <w:szCs w:val="28"/>
        </w:rPr>
        <w:t xml:space="preserve">which the applicant </w:t>
      </w:r>
      <w:r w:rsidR="00D26FA1">
        <w:rPr>
          <w:rFonts w:ascii="Times New Roman" w:hAnsi="Times New Roman"/>
          <w:sz w:val="28"/>
          <w:szCs w:val="28"/>
        </w:rPr>
        <w:t xml:space="preserve">ought to have applied </w:t>
      </w:r>
      <w:r w:rsidR="00D752DD" w:rsidRPr="00FA3C13">
        <w:rPr>
          <w:rFonts w:ascii="Times New Roman" w:hAnsi="Times New Roman"/>
          <w:sz w:val="28"/>
          <w:szCs w:val="28"/>
        </w:rPr>
        <w:t>his mind in seeking to persuade this Court</w:t>
      </w:r>
      <w:r w:rsidR="00C648BE" w:rsidRPr="00FA3C13">
        <w:rPr>
          <w:rFonts w:ascii="Times New Roman" w:hAnsi="Times New Roman"/>
          <w:sz w:val="28"/>
          <w:szCs w:val="28"/>
        </w:rPr>
        <w:t xml:space="preserve"> that good cause e</w:t>
      </w:r>
      <w:r w:rsidR="00FA3C13">
        <w:rPr>
          <w:rFonts w:ascii="Times New Roman" w:hAnsi="Times New Roman"/>
          <w:sz w:val="28"/>
          <w:szCs w:val="28"/>
        </w:rPr>
        <w:t>xists for granting condonation.</w:t>
      </w:r>
    </w:p>
    <w:p w:rsidR="009C06CF" w:rsidRDefault="00281191" w:rsidP="00281191">
      <w:pPr>
        <w:pStyle w:val="LegalList1"/>
        <w:spacing w:before="240" w:line="360" w:lineRule="auto"/>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r>
      <w:r w:rsidR="00680442" w:rsidRPr="00FA3C13">
        <w:rPr>
          <w:rFonts w:ascii="Times New Roman" w:hAnsi="Times New Roman"/>
          <w:sz w:val="28"/>
          <w:szCs w:val="28"/>
        </w:rPr>
        <w:t xml:space="preserve">For reasons aforesaid, </w:t>
      </w:r>
      <w:r w:rsidR="009C06CF">
        <w:rPr>
          <w:rFonts w:ascii="Times New Roman" w:hAnsi="Times New Roman"/>
          <w:sz w:val="28"/>
          <w:szCs w:val="28"/>
        </w:rPr>
        <w:t xml:space="preserve">it </w:t>
      </w:r>
      <w:r w:rsidR="00680442" w:rsidRPr="00FA3C13">
        <w:rPr>
          <w:rFonts w:ascii="Times New Roman" w:hAnsi="Times New Roman"/>
          <w:sz w:val="28"/>
          <w:szCs w:val="28"/>
        </w:rPr>
        <w:t xml:space="preserve">cannot be expected </w:t>
      </w:r>
      <w:r w:rsidR="009C06CF">
        <w:rPr>
          <w:rFonts w:ascii="Times New Roman" w:hAnsi="Times New Roman"/>
          <w:sz w:val="28"/>
          <w:szCs w:val="28"/>
        </w:rPr>
        <w:t xml:space="preserve">of this Court </w:t>
      </w:r>
      <w:r w:rsidR="00680442" w:rsidRPr="00FA3C13">
        <w:rPr>
          <w:rFonts w:ascii="Times New Roman" w:hAnsi="Times New Roman"/>
          <w:sz w:val="28"/>
          <w:szCs w:val="28"/>
        </w:rPr>
        <w:t>to draw inferences from the findings of the Full Court</w:t>
      </w:r>
      <w:r w:rsidR="00072FB5" w:rsidRPr="00FA3C13">
        <w:rPr>
          <w:rFonts w:ascii="Times New Roman" w:hAnsi="Times New Roman"/>
          <w:sz w:val="28"/>
          <w:szCs w:val="28"/>
        </w:rPr>
        <w:t xml:space="preserve"> </w:t>
      </w:r>
      <w:r w:rsidR="00D26FA1">
        <w:rPr>
          <w:rFonts w:ascii="Times New Roman" w:hAnsi="Times New Roman"/>
          <w:sz w:val="28"/>
          <w:szCs w:val="28"/>
        </w:rPr>
        <w:t xml:space="preserve">and </w:t>
      </w:r>
      <w:r w:rsidR="00680442" w:rsidRPr="00FA3C13">
        <w:rPr>
          <w:rFonts w:ascii="Times New Roman" w:hAnsi="Times New Roman"/>
          <w:sz w:val="28"/>
          <w:szCs w:val="28"/>
        </w:rPr>
        <w:t>to speculate on whether the applicant has a cause of action, or more precisely whether the r</w:t>
      </w:r>
      <w:r w:rsidR="00B80736" w:rsidRPr="00FA3C13">
        <w:rPr>
          <w:rFonts w:ascii="Times New Roman" w:hAnsi="Times New Roman"/>
          <w:sz w:val="28"/>
          <w:szCs w:val="28"/>
        </w:rPr>
        <w:t>equisite jurisdictional element/s are evident</w:t>
      </w:r>
      <w:r w:rsidR="003D4170" w:rsidRPr="00FA3C13">
        <w:rPr>
          <w:rFonts w:ascii="Times New Roman" w:hAnsi="Times New Roman"/>
          <w:sz w:val="28"/>
          <w:szCs w:val="28"/>
        </w:rPr>
        <w:t> </w:t>
      </w:r>
      <w:r w:rsidR="003C5CD0" w:rsidRPr="00FA3C13">
        <w:rPr>
          <w:rFonts w:ascii="Times New Roman" w:hAnsi="Times New Roman"/>
          <w:sz w:val="28"/>
          <w:szCs w:val="28"/>
        </w:rPr>
        <w:t>in satisfaction of good cause</w:t>
      </w:r>
      <w:r w:rsidR="00B80736" w:rsidRPr="00FA3C13">
        <w:rPr>
          <w:rFonts w:ascii="Times New Roman" w:hAnsi="Times New Roman"/>
          <w:sz w:val="28"/>
          <w:szCs w:val="28"/>
        </w:rPr>
        <w:t>.</w:t>
      </w:r>
    </w:p>
    <w:p w:rsidR="003C5CD0" w:rsidRPr="00FA3C13" w:rsidRDefault="00281191" w:rsidP="00281191">
      <w:pPr>
        <w:pStyle w:val="LegalList1"/>
        <w:spacing w:before="240" w:line="360" w:lineRule="auto"/>
        <w:rPr>
          <w:rFonts w:ascii="Times New Roman" w:hAnsi="Times New Roman"/>
          <w:sz w:val="28"/>
          <w:szCs w:val="28"/>
        </w:rPr>
      </w:pPr>
      <w:r w:rsidRPr="00FA3C13">
        <w:rPr>
          <w:rFonts w:ascii="Times New Roman" w:hAnsi="Times New Roman"/>
          <w:sz w:val="28"/>
          <w:szCs w:val="28"/>
        </w:rPr>
        <w:t>[56]</w:t>
      </w:r>
      <w:r w:rsidRPr="00FA3C13">
        <w:rPr>
          <w:rFonts w:ascii="Times New Roman" w:hAnsi="Times New Roman"/>
          <w:sz w:val="28"/>
          <w:szCs w:val="28"/>
        </w:rPr>
        <w:tab/>
      </w:r>
      <w:r w:rsidR="00B80736" w:rsidRPr="00FA3C13">
        <w:rPr>
          <w:rFonts w:ascii="Times New Roman" w:hAnsi="Times New Roman"/>
          <w:sz w:val="28"/>
          <w:szCs w:val="28"/>
        </w:rPr>
        <w:t>In</w:t>
      </w:r>
      <w:r w:rsidR="003D4170" w:rsidRPr="00FA3C13">
        <w:rPr>
          <w:rFonts w:ascii="Times New Roman" w:hAnsi="Times New Roman"/>
          <w:sz w:val="28"/>
          <w:szCs w:val="28"/>
        </w:rPr>
        <w:t>sofar</w:t>
      </w:r>
      <w:r w:rsidR="00B80736" w:rsidRPr="00FA3C13">
        <w:rPr>
          <w:rFonts w:ascii="Times New Roman" w:hAnsi="Times New Roman"/>
          <w:sz w:val="28"/>
          <w:szCs w:val="28"/>
        </w:rPr>
        <w:t xml:space="preserve"> as the applicant place</w:t>
      </w:r>
      <w:r w:rsidR="003D4170" w:rsidRPr="00FA3C13">
        <w:rPr>
          <w:rFonts w:ascii="Times New Roman" w:hAnsi="Times New Roman"/>
          <w:sz w:val="28"/>
          <w:szCs w:val="28"/>
        </w:rPr>
        <w:t>s</w:t>
      </w:r>
      <w:r w:rsidR="00B80736" w:rsidRPr="00FA3C13">
        <w:rPr>
          <w:rFonts w:ascii="Times New Roman" w:hAnsi="Times New Roman"/>
          <w:sz w:val="28"/>
          <w:szCs w:val="28"/>
        </w:rPr>
        <w:t xml:space="preserve"> store on the judgment</w:t>
      </w:r>
      <w:r w:rsidR="00C230E6">
        <w:rPr>
          <w:rFonts w:ascii="Times New Roman" w:hAnsi="Times New Roman"/>
          <w:sz w:val="28"/>
          <w:szCs w:val="28"/>
        </w:rPr>
        <w:t xml:space="preserve">, </w:t>
      </w:r>
      <w:r w:rsidR="003D4170" w:rsidRPr="00FA3C13">
        <w:rPr>
          <w:rFonts w:ascii="Times New Roman" w:hAnsi="Times New Roman"/>
          <w:sz w:val="28"/>
          <w:szCs w:val="28"/>
        </w:rPr>
        <w:t>it</w:t>
      </w:r>
      <w:r w:rsidR="003C5CD0" w:rsidRPr="00FA3C13">
        <w:rPr>
          <w:rFonts w:ascii="Times New Roman" w:hAnsi="Times New Roman"/>
          <w:sz w:val="28"/>
          <w:szCs w:val="28"/>
        </w:rPr>
        <w:t xml:space="preserve"> does not assist him.</w:t>
      </w:r>
    </w:p>
    <w:p w:rsidR="00882915" w:rsidRDefault="00281191" w:rsidP="00281191">
      <w:pPr>
        <w:pStyle w:val="LegalList1"/>
        <w:spacing w:before="240" w:line="360" w:lineRule="auto"/>
        <w:rPr>
          <w:rFonts w:ascii="Times New Roman" w:hAnsi="Times New Roman"/>
          <w:sz w:val="28"/>
          <w:szCs w:val="28"/>
        </w:rPr>
      </w:pPr>
      <w:r>
        <w:rPr>
          <w:rFonts w:ascii="Times New Roman" w:hAnsi="Times New Roman"/>
          <w:sz w:val="28"/>
          <w:szCs w:val="28"/>
        </w:rPr>
        <w:t>[57]</w:t>
      </w:r>
      <w:r>
        <w:rPr>
          <w:rFonts w:ascii="Times New Roman" w:hAnsi="Times New Roman"/>
          <w:sz w:val="28"/>
          <w:szCs w:val="28"/>
        </w:rPr>
        <w:tab/>
      </w:r>
      <w:r w:rsidR="00882915">
        <w:rPr>
          <w:rFonts w:ascii="Times New Roman" w:hAnsi="Times New Roman"/>
          <w:sz w:val="28"/>
          <w:szCs w:val="28"/>
        </w:rPr>
        <w:t xml:space="preserve">In my view the applicant has fallen short of the requirements in </w:t>
      </w:r>
      <w:r w:rsidR="00882915" w:rsidRPr="00921597">
        <w:rPr>
          <w:rFonts w:ascii="Times New Roman" w:hAnsi="Times New Roman"/>
          <w:i/>
          <w:sz w:val="28"/>
          <w:szCs w:val="28"/>
        </w:rPr>
        <w:t>Rance</w:t>
      </w:r>
      <w:r w:rsidR="00882915">
        <w:rPr>
          <w:rFonts w:ascii="Times New Roman" w:hAnsi="Times New Roman"/>
          <w:sz w:val="28"/>
          <w:szCs w:val="28"/>
        </w:rPr>
        <w:t xml:space="preserve"> and it would be </w:t>
      </w:r>
      <w:r w:rsidR="00F24A09">
        <w:rPr>
          <w:rFonts w:ascii="Times New Roman" w:hAnsi="Times New Roman"/>
          <w:sz w:val="28"/>
          <w:szCs w:val="28"/>
        </w:rPr>
        <w:t xml:space="preserve">a matter of conjecture </w:t>
      </w:r>
      <w:r w:rsidR="00882915">
        <w:rPr>
          <w:rFonts w:ascii="Times New Roman" w:hAnsi="Times New Roman"/>
          <w:sz w:val="28"/>
          <w:szCs w:val="28"/>
        </w:rPr>
        <w:t>to determine that there are prospects of success in satisfaction of good cause.</w:t>
      </w:r>
    </w:p>
    <w:p w:rsidR="00882915" w:rsidRPr="008F6D72" w:rsidRDefault="00882915" w:rsidP="00882915">
      <w:pPr>
        <w:pStyle w:val="LegalList1"/>
        <w:spacing w:before="240" w:line="360" w:lineRule="auto"/>
        <w:rPr>
          <w:rFonts w:ascii="Times New Roman" w:hAnsi="Times New Roman"/>
          <w:b/>
          <w:sz w:val="28"/>
          <w:szCs w:val="28"/>
        </w:rPr>
      </w:pPr>
      <w:r>
        <w:rPr>
          <w:rFonts w:ascii="Times New Roman" w:hAnsi="Times New Roman"/>
          <w:b/>
          <w:sz w:val="28"/>
          <w:szCs w:val="28"/>
        </w:rPr>
        <w:lastRenderedPageBreak/>
        <w:t>Unreasonable p</w:t>
      </w:r>
      <w:r w:rsidRPr="008F6D72">
        <w:rPr>
          <w:rFonts w:ascii="Times New Roman" w:hAnsi="Times New Roman"/>
          <w:b/>
          <w:sz w:val="28"/>
          <w:szCs w:val="28"/>
        </w:rPr>
        <w:t>rejudice</w:t>
      </w:r>
    </w:p>
    <w:p w:rsidR="00882915" w:rsidRDefault="00281191" w:rsidP="00281191">
      <w:pPr>
        <w:pStyle w:val="LegalList1"/>
        <w:spacing w:after="0" w:line="360" w:lineRule="auto"/>
        <w:rPr>
          <w:rFonts w:ascii="Times New Roman" w:hAnsi="Times New Roman"/>
          <w:sz w:val="28"/>
          <w:szCs w:val="28"/>
        </w:rPr>
      </w:pPr>
      <w:r>
        <w:rPr>
          <w:rFonts w:ascii="Times New Roman" w:hAnsi="Times New Roman"/>
          <w:sz w:val="28"/>
          <w:szCs w:val="28"/>
        </w:rPr>
        <w:t>[58]</w:t>
      </w:r>
      <w:r>
        <w:rPr>
          <w:rFonts w:ascii="Times New Roman" w:hAnsi="Times New Roman"/>
          <w:sz w:val="28"/>
          <w:szCs w:val="28"/>
        </w:rPr>
        <w:tab/>
      </w:r>
      <w:r w:rsidR="00882915">
        <w:rPr>
          <w:rFonts w:ascii="Times New Roman" w:hAnsi="Times New Roman"/>
          <w:sz w:val="28"/>
          <w:szCs w:val="28"/>
        </w:rPr>
        <w:t xml:space="preserve">It is apposite to quote what is stated in </w:t>
      </w:r>
      <w:r w:rsidR="00882915" w:rsidRPr="00906CA8">
        <w:rPr>
          <w:rFonts w:ascii="Times New Roman" w:hAnsi="Times New Roman"/>
          <w:i/>
          <w:sz w:val="28"/>
          <w:szCs w:val="28"/>
        </w:rPr>
        <w:t>Madinda v Minister of Safety and Security</w:t>
      </w:r>
      <w:r w:rsidR="00882915">
        <w:rPr>
          <w:rStyle w:val="FootnoteReference"/>
          <w:rFonts w:ascii="Times New Roman" w:hAnsi="Times New Roman"/>
          <w:sz w:val="28"/>
          <w:szCs w:val="28"/>
        </w:rPr>
        <w:footnoteReference w:id="17"/>
      </w:r>
      <w:r w:rsidR="00882915">
        <w:rPr>
          <w:rFonts w:ascii="Times New Roman" w:hAnsi="Times New Roman"/>
          <w:sz w:val="28"/>
          <w:szCs w:val="28"/>
        </w:rPr>
        <w:t>:</w:t>
      </w:r>
    </w:p>
    <w:p w:rsidR="00882915" w:rsidRPr="00410B03" w:rsidRDefault="00882915" w:rsidP="00882915">
      <w:pPr>
        <w:pStyle w:val="LegalList1"/>
        <w:spacing w:after="0" w:line="360" w:lineRule="auto"/>
        <w:rPr>
          <w:rFonts w:ascii="Times New Roman" w:hAnsi="Times New Roman"/>
        </w:rPr>
      </w:pPr>
      <w:r w:rsidRPr="00410B03">
        <w:rPr>
          <w:rFonts w:ascii="Times New Roman" w:hAnsi="Times New Roman"/>
        </w:rPr>
        <w:t>‘The approach to the existence of unreasonable prejudice … requires a common sense analysis of the facts, bearing in mind that whether grounds of prejudice exist often lies peculiarly within the knowledge of the respondent. Although the onus lies on an applicant to bring the application within the terms of the statute, a court should be slow to assume prejudice for which the respondent itself does not lay a basis.’</w:t>
      </w:r>
    </w:p>
    <w:p w:rsidR="00882915" w:rsidRDefault="00281191" w:rsidP="00281191">
      <w:pPr>
        <w:pStyle w:val="LegalList1"/>
        <w:spacing w:before="240" w:line="360" w:lineRule="auto"/>
        <w:rPr>
          <w:rFonts w:ascii="Times New Roman" w:hAnsi="Times New Roman"/>
          <w:sz w:val="28"/>
          <w:szCs w:val="28"/>
        </w:rPr>
      </w:pPr>
      <w:r>
        <w:rPr>
          <w:rFonts w:ascii="Times New Roman" w:hAnsi="Times New Roman"/>
          <w:sz w:val="28"/>
          <w:szCs w:val="28"/>
        </w:rPr>
        <w:t>[59]</w:t>
      </w:r>
      <w:r>
        <w:rPr>
          <w:rFonts w:ascii="Times New Roman" w:hAnsi="Times New Roman"/>
          <w:sz w:val="28"/>
          <w:szCs w:val="28"/>
        </w:rPr>
        <w:tab/>
      </w:r>
      <w:r w:rsidR="00882915">
        <w:rPr>
          <w:rFonts w:ascii="Times New Roman" w:hAnsi="Times New Roman"/>
          <w:sz w:val="28"/>
          <w:szCs w:val="28"/>
        </w:rPr>
        <w:t>In addressing this issue the applicant states in his founding affidavit:</w:t>
      </w:r>
    </w:p>
    <w:p w:rsidR="00882915" w:rsidRPr="00D952A0" w:rsidRDefault="00882915" w:rsidP="00767E64">
      <w:pPr>
        <w:pStyle w:val="LegalList1"/>
        <w:spacing w:before="240" w:line="360" w:lineRule="auto"/>
        <w:ind w:left="720" w:hanging="720"/>
        <w:rPr>
          <w:rFonts w:ascii="Times New Roman" w:hAnsi="Times New Roman"/>
        </w:rPr>
      </w:pPr>
      <w:r w:rsidRPr="00D952A0">
        <w:rPr>
          <w:rFonts w:ascii="Times New Roman" w:hAnsi="Times New Roman"/>
        </w:rPr>
        <w:t>‘34.3.1</w:t>
      </w:r>
      <w:r w:rsidRPr="00D952A0">
        <w:rPr>
          <w:rFonts w:ascii="Times New Roman" w:hAnsi="Times New Roman"/>
        </w:rPr>
        <w:tab/>
        <w:t>[T]he evidence is largely preserved in that the police and criminal case records relating to my arrest, detention, prosecution, conviction and successful appeal are available. The said criminal records including transcripts are available in the archives of the registrar of this Honourable Court under case number CA 306/2012. I have even attached a copy of the appeal judgment… as a clear demonstration of the availability of the records. The police officers who unlawfully arrested me as well as the public prosecutors who maliciously prosecuted me are still available in the service of the respondents as employees. Their names can be gleaned from the records of the appeal criminal court file … in the possession of the registrar and one of the police officers involved is the second respondent whom I believe is still based in Port Elizabeth.</w:t>
      </w:r>
    </w:p>
    <w:p w:rsidR="00882915" w:rsidRPr="00D952A0" w:rsidRDefault="00882915" w:rsidP="00767E64">
      <w:pPr>
        <w:pStyle w:val="LegalList1"/>
        <w:spacing w:line="360" w:lineRule="auto"/>
        <w:ind w:left="720" w:hanging="720"/>
        <w:rPr>
          <w:rFonts w:ascii="Times New Roman" w:hAnsi="Times New Roman"/>
        </w:rPr>
      </w:pPr>
      <w:r w:rsidRPr="00D952A0">
        <w:rPr>
          <w:rFonts w:ascii="Times New Roman" w:hAnsi="Times New Roman"/>
          <w:color w:val="000000"/>
        </w:rPr>
        <w:t>34.3.2</w:t>
      </w:r>
      <w:r w:rsidRPr="00D952A0">
        <w:rPr>
          <w:rFonts w:ascii="Times New Roman" w:hAnsi="Times New Roman"/>
          <w:color w:val="000000"/>
        </w:rPr>
        <w:tab/>
        <w:t>Secondly, the respondents have easy access to the said police docket and criminal records as I have mentioned above.</w:t>
      </w:r>
    </w:p>
    <w:p w:rsidR="00882915" w:rsidRPr="00D952A0" w:rsidRDefault="00882915" w:rsidP="00882915">
      <w:pPr>
        <w:pStyle w:val="LegalList1"/>
        <w:spacing w:line="360" w:lineRule="auto"/>
        <w:rPr>
          <w:rFonts w:ascii="Times New Roman" w:hAnsi="Times New Roman"/>
        </w:rPr>
      </w:pPr>
      <w:r w:rsidRPr="00D952A0">
        <w:rPr>
          <w:rFonts w:ascii="Times New Roman" w:hAnsi="Times New Roman"/>
          <w:color w:val="000000"/>
        </w:rPr>
        <w:t>34.3.3</w:t>
      </w:r>
      <w:r w:rsidRPr="00D952A0">
        <w:rPr>
          <w:rFonts w:ascii="Times New Roman" w:hAnsi="Times New Roman"/>
          <w:color w:val="000000"/>
        </w:rPr>
        <w:tab/>
        <w:t>Thus I submit that the respondents have not been unreasonably prejudiced …’</w:t>
      </w:r>
    </w:p>
    <w:p w:rsidR="00FB218F"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[60]</w:t>
      </w:r>
      <w:r>
        <w:rPr>
          <w:rFonts w:ascii="Times New Roman" w:hAnsi="Times New Roman"/>
          <w:sz w:val="28"/>
          <w:szCs w:val="28"/>
        </w:rPr>
        <w:tab/>
      </w:r>
      <w:r w:rsidR="00882915">
        <w:rPr>
          <w:rFonts w:ascii="Times New Roman" w:hAnsi="Times New Roman"/>
          <w:sz w:val="28"/>
          <w:szCs w:val="28"/>
        </w:rPr>
        <w:t>The Full Court judgment does not constitute proof of the availability of the records which the applicant maintains are available in the archives of the registrar</w:t>
      </w:r>
      <w:r w:rsidR="00921597">
        <w:rPr>
          <w:rFonts w:ascii="Times New Roman" w:hAnsi="Times New Roman"/>
          <w:sz w:val="28"/>
          <w:szCs w:val="28"/>
        </w:rPr>
        <w:t xml:space="preserve"> of this Court</w:t>
      </w:r>
      <w:r w:rsidR="00882915">
        <w:rPr>
          <w:rFonts w:ascii="Times New Roman" w:hAnsi="Times New Roman"/>
          <w:sz w:val="28"/>
          <w:szCs w:val="28"/>
        </w:rPr>
        <w:t xml:space="preserve">. As at the date on which this application was argued, no assurance was given that the said records are available, or that the applicant has obtained </w:t>
      </w:r>
      <w:r w:rsidR="00882915">
        <w:rPr>
          <w:rFonts w:ascii="Times New Roman" w:hAnsi="Times New Roman"/>
          <w:sz w:val="28"/>
          <w:szCs w:val="28"/>
        </w:rPr>
        <w:lastRenderedPageBreak/>
        <w:t>them or secured their preservation and safekeeping</w:t>
      </w:r>
      <w:r w:rsidR="00A949D9">
        <w:rPr>
          <w:rFonts w:ascii="Times New Roman" w:hAnsi="Times New Roman"/>
          <w:sz w:val="28"/>
          <w:szCs w:val="28"/>
        </w:rPr>
        <w:t xml:space="preserve">, or that the docket </w:t>
      </w:r>
      <w:r w:rsidR="004D50F6">
        <w:rPr>
          <w:rFonts w:ascii="Times New Roman" w:hAnsi="Times New Roman"/>
          <w:sz w:val="28"/>
          <w:szCs w:val="28"/>
        </w:rPr>
        <w:t xml:space="preserve">survives </w:t>
      </w:r>
      <w:r w:rsidR="00D45220">
        <w:rPr>
          <w:rFonts w:ascii="Times New Roman" w:hAnsi="Times New Roman"/>
          <w:sz w:val="28"/>
          <w:szCs w:val="28"/>
        </w:rPr>
        <w:t xml:space="preserve">on the SAPS Crime Administration System </w:t>
      </w:r>
      <w:r w:rsidR="00AA2725">
        <w:rPr>
          <w:rFonts w:ascii="Times New Roman" w:hAnsi="Times New Roman"/>
          <w:sz w:val="28"/>
          <w:szCs w:val="28"/>
        </w:rPr>
        <w:t xml:space="preserve">and can be retrieved by tracking its reference number </w:t>
      </w:r>
      <w:r w:rsidR="00D45220">
        <w:rPr>
          <w:rFonts w:ascii="Times New Roman" w:hAnsi="Times New Roman"/>
          <w:sz w:val="28"/>
          <w:szCs w:val="28"/>
        </w:rPr>
        <w:t xml:space="preserve">(also known as a </w:t>
      </w:r>
      <w:r w:rsidR="00A949D9">
        <w:rPr>
          <w:rFonts w:ascii="Times New Roman" w:hAnsi="Times New Roman"/>
          <w:sz w:val="28"/>
          <w:szCs w:val="28"/>
        </w:rPr>
        <w:t>CAS</w:t>
      </w:r>
      <w:r w:rsidR="00D45220">
        <w:rPr>
          <w:rFonts w:ascii="Times New Roman" w:hAnsi="Times New Roman"/>
          <w:sz w:val="28"/>
          <w:szCs w:val="28"/>
        </w:rPr>
        <w:t xml:space="preserve"> number)</w:t>
      </w:r>
      <w:r w:rsidR="00882915">
        <w:rPr>
          <w:rFonts w:ascii="Times New Roman" w:hAnsi="Times New Roman"/>
          <w:sz w:val="28"/>
          <w:szCs w:val="28"/>
        </w:rPr>
        <w:t>.</w:t>
      </w:r>
    </w:p>
    <w:p w:rsidR="00882915" w:rsidRPr="003C36E9" w:rsidRDefault="00281191" w:rsidP="00281191">
      <w:pPr>
        <w:pStyle w:val="LegalList1"/>
        <w:spacing w:line="360" w:lineRule="auto"/>
        <w:rPr>
          <w:rFonts w:ascii="Times New Roman" w:hAnsi="Times New Roman"/>
          <w:sz w:val="28"/>
          <w:szCs w:val="28"/>
        </w:rPr>
      </w:pPr>
      <w:r w:rsidRPr="003C36E9">
        <w:rPr>
          <w:rFonts w:ascii="Times New Roman" w:hAnsi="Times New Roman"/>
          <w:sz w:val="28"/>
          <w:szCs w:val="28"/>
        </w:rPr>
        <w:t>[61]</w:t>
      </w:r>
      <w:r w:rsidRPr="003C36E9">
        <w:rPr>
          <w:rFonts w:ascii="Times New Roman" w:hAnsi="Times New Roman"/>
          <w:sz w:val="28"/>
          <w:szCs w:val="28"/>
        </w:rPr>
        <w:tab/>
      </w:r>
      <w:r w:rsidR="00FB218F">
        <w:rPr>
          <w:rFonts w:ascii="Times New Roman" w:hAnsi="Times New Roman"/>
          <w:sz w:val="28"/>
          <w:szCs w:val="28"/>
        </w:rPr>
        <w:t xml:space="preserve">In answer to the </w:t>
      </w:r>
      <w:r w:rsidR="00882915">
        <w:rPr>
          <w:rFonts w:ascii="Times New Roman" w:hAnsi="Times New Roman"/>
          <w:sz w:val="28"/>
          <w:szCs w:val="28"/>
        </w:rPr>
        <w:t>applicant’s averments the deponent to the respondents’ answering affidavit states that the charge sheet and details relating to the bail application and recordings are no longer available. He attaches an affidavit from an incumbent employed in the Legal Affairs Division of the National Prosecuting Authority to confirm this. He mentions that a significant period of 12 years have passed since the applicant’s arrest</w:t>
      </w:r>
      <w:r w:rsidR="00FB218F">
        <w:rPr>
          <w:rFonts w:ascii="Times New Roman" w:hAnsi="Times New Roman"/>
          <w:sz w:val="28"/>
          <w:szCs w:val="28"/>
        </w:rPr>
        <w:t xml:space="preserve">. In that regard he </w:t>
      </w:r>
      <w:r w:rsidR="00882915">
        <w:rPr>
          <w:rFonts w:ascii="Times New Roman" w:hAnsi="Times New Roman"/>
          <w:sz w:val="28"/>
          <w:szCs w:val="28"/>
        </w:rPr>
        <w:t>points out the potential difficulty which employees of the respondents would encounter if they were required to recall minute detail in the event of proceeding to trial. Moreover, Ntshinkose is no longer in the service and employment of the Minister.</w:t>
      </w:r>
    </w:p>
    <w:p w:rsidR="00882915"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00882915">
        <w:rPr>
          <w:rFonts w:ascii="Times New Roman" w:hAnsi="Times New Roman"/>
          <w:sz w:val="28"/>
          <w:szCs w:val="28"/>
        </w:rPr>
        <w:t>The substantial lapse of time long after events relating to the applicant’s arrest, detention and prosecution must obviously have an effect on human recollection and cannot, in the circumstances of this matter be</w:t>
      </w:r>
      <w:r w:rsidR="00616014">
        <w:rPr>
          <w:rFonts w:ascii="Times New Roman" w:hAnsi="Times New Roman"/>
          <w:sz w:val="28"/>
          <w:szCs w:val="28"/>
        </w:rPr>
        <w:t xml:space="preserve"> downplayed</w:t>
      </w:r>
      <w:r w:rsidR="00882915">
        <w:rPr>
          <w:rFonts w:ascii="Times New Roman" w:hAnsi="Times New Roman"/>
          <w:sz w:val="28"/>
          <w:szCs w:val="28"/>
        </w:rPr>
        <w:t>. The prejudice occasioned to the respondents is not anything speculative. It is based on a common sense approach to the matter stemming from the practical difficulty of expecting witnesses to testify on events without relevant documentation which may assist in recollection.</w:t>
      </w:r>
    </w:p>
    <w:p w:rsidR="00882915" w:rsidRPr="00463A9E" w:rsidRDefault="00882915" w:rsidP="00882915">
      <w:pPr>
        <w:pStyle w:val="LegalList1"/>
        <w:spacing w:line="360" w:lineRule="auto"/>
        <w:rPr>
          <w:rFonts w:ascii="Times New Roman" w:hAnsi="Times New Roman"/>
          <w:b/>
          <w:sz w:val="28"/>
          <w:szCs w:val="28"/>
        </w:rPr>
      </w:pPr>
      <w:r w:rsidRPr="00463A9E">
        <w:rPr>
          <w:rFonts w:ascii="Times New Roman" w:hAnsi="Times New Roman"/>
          <w:b/>
          <w:sz w:val="28"/>
          <w:szCs w:val="28"/>
        </w:rPr>
        <w:t xml:space="preserve">Conclusion </w:t>
      </w:r>
    </w:p>
    <w:p w:rsidR="00FB218F"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882915">
        <w:rPr>
          <w:rFonts w:ascii="Times New Roman" w:hAnsi="Times New Roman"/>
          <w:sz w:val="28"/>
          <w:szCs w:val="28"/>
        </w:rPr>
        <w:t xml:space="preserve">I am not persuaded that the applicant </w:t>
      </w:r>
      <w:r w:rsidR="008325E6">
        <w:rPr>
          <w:rFonts w:ascii="Times New Roman" w:hAnsi="Times New Roman"/>
          <w:sz w:val="28"/>
          <w:szCs w:val="28"/>
        </w:rPr>
        <w:t xml:space="preserve">has </w:t>
      </w:r>
      <w:r w:rsidR="00882915">
        <w:rPr>
          <w:rFonts w:ascii="Times New Roman" w:hAnsi="Times New Roman"/>
          <w:sz w:val="28"/>
          <w:szCs w:val="28"/>
        </w:rPr>
        <w:t>met the requirements of section 3(4)</w:t>
      </w:r>
      <w:r w:rsidR="00882915" w:rsidRPr="00896710">
        <w:rPr>
          <w:rFonts w:ascii="Times New Roman" w:hAnsi="Times New Roman"/>
          <w:i/>
          <w:sz w:val="28"/>
          <w:szCs w:val="28"/>
        </w:rPr>
        <w:t>(b)</w:t>
      </w:r>
      <w:r w:rsidR="00882915">
        <w:rPr>
          <w:rFonts w:ascii="Times New Roman" w:hAnsi="Times New Roman"/>
          <w:sz w:val="28"/>
          <w:szCs w:val="28"/>
        </w:rPr>
        <w:t xml:space="preserve"> of the Proceedings Act.</w:t>
      </w:r>
    </w:p>
    <w:p w:rsidR="00CC0D04"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00E47747">
        <w:rPr>
          <w:rFonts w:ascii="Times New Roman" w:hAnsi="Times New Roman"/>
          <w:sz w:val="28"/>
          <w:szCs w:val="28"/>
        </w:rPr>
        <w:t>The applicant’s papers, to say the least</w:t>
      </w:r>
      <w:r w:rsidR="00CC0D04">
        <w:rPr>
          <w:rFonts w:ascii="Times New Roman" w:hAnsi="Times New Roman"/>
          <w:sz w:val="28"/>
          <w:szCs w:val="28"/>
        </w:rPr>
        <w:t>,</w:t>
      </w:r>
      <w:r w:rsidR="00E47747">
        <w:rPr>
          <w:rFonts w:ascii="Times New Roman" w:hAnsi="Times New Roman"/>
          <w:sz w:val="28"/>
          <w:szCs w:val="28"/>
        </w:rPr>
        <w:t xml:space="preserve"> are confusing</w:t>
      </w:r>
      <w:r w:rsidR="000A0A51">
        <w:rPr>
          <w:rFonts w:ascii="Times New Roman" w:hAnsi="Times New Roman"/>
          <w:sz w:val="28"/>
          <w:szCs w:val="28"/>
        </w:rPr>
        <w:t xml:space="preserve"> and </w:t>
      </w:r>
      <w:r w:rsidR="00BD0BE2">
        <w:rPr>
          <w:rFonts w:ascii="Times New Roman" w:hAnsi="Times New Roman"/>
          <w:sz w:val="28"/>
          <w:szCs w:val="28"/>
        </w:rPr>
        <w:t xml:space="preserve">purposely </w:t>
      </w:r>
      <w:r w:rsidR="000A0A51">
        <w:rPr>
          <w:rFonts w:ascii="Times New Roman" w:hAnsi="Times New Roman"/>
          <w:sz w:val="28"/>
          <w:szCs w:val="28"/>
        </w:rPr>
        <w:t>scant in detail</w:t>
      </w:r>
      <w:r w:rsidR="00E47747">
        <w:rPr>
          <w:rFonts w:ascii="Times New Roman" w:hAnsi="Times New Roman"/>
          <w:sz w:val="28"/>
          <w:szCs w:val="28"/>
        </w:rPr>
        <w:t xml:space="preserve">. </w:t>
      </w:r>
    </w:p>
    <w:p w:rsidR="009F5D87" w:rsidRDefault="00281191" w:rsidP="00281191">
      <w:pPr>
        <w:pStyle w:val="LegalList1"/>
        <w:spacing w:line="360" w:lineRule="auto"/>
        <w:rPr>
          <w:rFonts w:ascii="Times New Roman" w:hAnsi="Times New Roman"/>
          <w:sz w:val="28"/>
          <w:szCs w:val="28"/>
        </w:rPr>
      </w:pPr>
      <w:r>
        <w:rPr>
          <w:rFonts w:ascii="Times New Roman" w:hAnsi="Times New Roman"/>
          <w:sz w:val="28"/>
          <w:szCs w:val="28"/>
        </w:rPr>
        <w:lastRenderedPageBreak/>
        <w:t>[65]</w:t>
      </w:r>
      <w:r>
        <w:rPr>
          <w:rFonts w:ascii="Times New Roman" w:hAnsi="Times New Roman"/>
          <w:sz w:val="28"/>
          <w:szCs w:val="28"/>
        </w:rPr>
        <w:tab/>
      </w:r>
      <w:r w:rsidR="00882915">
        <w:rPr>
          <w:rFonts w:ascii="Times New Roman" w:hAnsi="Times New Roman"/>
          <w:sz w:val="28"/>
          <w:szCs w:val="28"/>
        </w:rPr>
        <w:t>The applicant sought final relief and made no request to refer any issues to oral evidence notwithstanding numerous disputes of fact presenting themselves on the papers, particularly those relevant to prescription, good cau</w:t>
      </w:r>
      <w:r w:rsidR="009F5D87">
        <w:rPr>
          <w:rFonts w:ascii="Times New Roman" w:hAnsi="Times New Roman"/>
          <w:sz w:val="28"/>
          <w:szCs w:val="28"/>
        </w:rPr>
        <w:t>se and prejudice.</w:t>
      </w:r>
    </w:p>
    <w:p w:rsidR="00882915"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00882915">
        <w:rPr>
          <w:rFonts w:ascii="Times New Roman" w:hAnsi="Times New Roman"/>
          <w:sz w:val="28"/>
          <w:szCs w:val="28"/>
        </w:rPr>
        <w:t xml:space="preserve">These disputes fall to be dealt with in accordance with the approach conventionally known as the ‘Plascon-Evans rule’ set out in </w:t>
      </w:r>
      <w:r w:rsidR="00882915" w:rsidRPr="00ED6548">
        <w:rPr>
          <w:rFonts w:ascii="Times New Roman" w:hAnsi="Times New Roman"/>
          <w:i/>
          <w:sz w:val="28"/>
          <w:szCs w:val="28"/>
        </w:rPr>
        <w:t>Plascon-Evans Paints Ltd v Van Riebeeck Paints (Pty) Ltd</w:t>
      </w:r>
      <w:r w:rsidR="00882915">
        <w:rPr>
          <w:rStyle w:val="FootnoteReference"/>
          <w:rFonts w:ascii="Times New Roman" w:hAnsi="Times New Roman"/>
          <w:sz w:val="28"/>
          <w:szCs w:val="28"/>
        </w:rPr>
        <w:footnoteReference w:id="18"/>
      </w:r>
      <w:r w:rsidR="00882915">
        <w:rPr>
          <w:rFonts w:ascii="Times New Roman" w:hAnsi="Times New Roman"/>
          <w:sz w:val="28"/>
          <w:szCs w:val="28"/>
        </w:rPr>
        <w:t>, namely:</w:t>
      </w:r>
    </w:p>
    <w:p w:rsidR="00882915" w:rsidRPr="00ED6548" w:rsidRDefault="00882915" w:rsidP="00882915">
      <w:pPr>
        <w:pStyle w:val="LegalList1"/>
        <w:spacing w:after="0" w:line="360" w:lineRule="auto"/>
        <w:rPr>
          <w:rFonts w:ascii="Times New Roman" w:hAnsi="Times New Roman"/>
        </w:rPr>
      </w:pPr>
      <w:r w:rsidRPr="00ED6548">
        <w:rPr>
          <w:rFonts w:ascii="Times New Roman" w:hAnsi="Times New Roman"/>
        </w:rPr>
        <w:t>‘[W]here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p>
    <w:p w:rsidR="00882915" w:rsidRDefault="00281191" w:rsidP="00281191">
      <w:pPr>
        <w:pStyle w:val="LegalList1"/>
        <w:spacing w:before="240" w:line="360" w:lineRule="auto"/>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r>
      <w:r w:rsidR="00882915">
        <w:rPr>
          <w:rFonts w:ascii="Times New Roman" w:hAnsi="Times New Roman"/>
          <w:sz w:val="28"/>
          <w:szCs w:val="28"/>
        </w:rPr>
        <w:t>This principle applies even where the onus may be on an opposite party</w:t>
      </w:r>
      <w:r w:rsidR="00882915">
        <w:rPr>
          <w:rStyle w:val="FootnoteReference"/>
          <w:rFonts w:ascii="Times New Roman" w:hAnsi="Times New Roman"/>
          <w:sz w:val="28"/>
          <w:szCs w:val="28"/>
        </w:rPr>
        <w:footnoteReference w:id="19"/>
      </w:r>
      <w:r w:rsidR="00882915">
        <w:rPr>
          <w:rFonts w:ascii="Times New Roman" w:hAnsi="Times New Roman"/>
          <w:sz w:val="28"/>
          <w:szCs w:val="28"/>
        </w:rPr>
        <w:t xml:space="preserve"> (as in this instance where the respondents are required to lay a basis for claiming prejudice).</w:t>
      </w:r>
    </w:p>
    <w:p w:rsidR="00882915" w:rsidRPr="005259A0" w:rsidRDefault="00882915" w:rsidP="00882915">
      <w:pPr>
        <w:pStyle w:val="LegalList1"/>
        <w:spacing w:line="360" w:lineRule="auto"/>
        <w:rPr>
          <w:rFonts w:ascii="Times New Roman" w:hAnsi="Times New Roman"/>
          <w:b/>
          <w:sz w:val="28"/>
          <w:szCs w:val="28"/>
        </w:rPr>
      </w:pPr>
      <w:r w:rsidRPr="005259A0">
        <w:rPr>
          <w:rFonts w:ascii="Times New Roman" w:hAnsi="Times New Roman"/>
          <w:b/>
          <w:sz w:val="28"/>
          <w:szCs w:val="28"/>
        </w:rPr>
        <w:t>The order</w:t>
      </w:r>
    </w:p>
    <w:p w:rsidR="00882915" w:rsidRDefault="00281191" w:rsidP="00281191">
      <w:pPr>
        <w:pStyle w:val="LegalList1"/>
        <w:spacing w:line="360" w:lineRule="auto"/>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sidR="00882915">
        <w:rPr>
          <w:rFonts w:ascii="Times New Roman" w:hAnsi="Times New Roman"/>
          <w:sz w:val="28"/>
          <w:szCs w:val="28"/>
        </w:rPr>
        <w:t>The application is dismissed with costs.</w:t>
      </w:r>
    </w:p>
    <w:p w:rsidR="007D4924" w:rsidRDefault="007D4924" w:rsidP="007D4924">
      <w:pPr>
        <w:pStyle w:val="LegalList1"/>
        <w:spacing w:line="360" w:lineRule="auto"/>
        <w:rPr>
          <w:rFonts w:ascii="Times New Roman" w:hAnsi="Times New Roman"/>
          <w:sz w:val="28"/>
          <w:szCs w:val="28"/>
        </w:rPr>
      </w:pPr>
    </w:p>
    <w:p w:rsidR="00095234" w:rsidRDefault="00095234" w:rsidP="007D4924">
      <w:pPr>
        <w:pStyle w:val="LegalList1"/>
        <w:spacing w:line="360" w:lineRule="auto"/>
        <w:rPr>
          <w:rFonts w:ascii="Times New Roman" w:hAnsi="Times New Roman"/>
          <w:sz w:val="28"/>
          <w:szCs w:val="28"/>
        </w:rPr>
      </w:pPr>
    </w:p>
    <w:p w:rsidR="007D4924" w:rsidRDefault="007D4924" w:rsidP="00BB3E29">
      <w:pPr>
        <w:pStyle w:val="LegalList1"/>
        <w:spacing w:after="0" w:line="240" w:lineRule="auto"/>
        <w:ind w:left="851"/>
        <w:rPr>
          <w:rFonts w:ascii="Times New Roman" w:hAnsi="Times New Roman"/>
          <w:sz w:val="28"/>
          <w:szCs w:val="28"/>
        </w:rPr>
      </w:pPr>
      <w:r>
        <w:rPr>
          <w:rFonts w:ascii="Times New Roman" w:hAnsi="Times New Roman"/>
          <w:sz w:val="28"/>
          <w:szCs w:val="28"/>
        </w:rPr>
        <w:t>____________________________</w:t>
      </w:r>
    </w:p>
    <w:p w:rsidR="007D4924" w:rsidRPr="009E483B" w:rsidRDefault="007D4924" w:rsidP="007D4924">
      <w:pPr>
        <w:pStyle w:val="LegalList1"/>
        <w:spacing w:line="240" w:lineRule="auto"/>
        <w:ind w:left="851"/>
        <w:rPr>
          <w:rFonts w:ascii="Times New Roman" w:hAnsi="Times New Roman"/>
          <w:b/>
          <w:sz w:val="28"/>
          <w:szCs w:val="28"/>
        </w:rPr>
      </w:pPr>
      <w:r>
        <w:rPr>
          <w:rFonts w:ascii="Times New Roman" w:hAnsi="Times New Roman"/>
          <w:b/>
          <w:sz w:val="28"/>
          <w:szCs w:val="28"/>
        </w:rPr>
        <w:t xml:space="preserve">M. </w:t>
      </w:r>
      <w:r w:rsidRPr="009E483B">
        <w:rPr>
          <w:rFonts w:ascii="Times New Roman" w:hAnsi="Times New Roman"/>
          <w:b/>
          <w:sz w:val="28"/>
          <w:szCs w:val="28"/>
        </w:rPr>
        <w:t>S. RUGUNANAN</w:t>
      </w:r>
    </w:p>
    <w:p w:rsidR="007D4924" w:rsidRPr="009E483B" w:rsidRDefault="007D4924" w:rsidP="007D4924">
      <w:pPr>
        <w:pStyle w:val="LegalList1"/>
        <w:spacing w:line="240" w:lineRule="auto"/>
        <w:ind w:left="851"/>
        <w:rPr>
          <w:rFonts w:ascii="Times New Roman" w:hAnsi="Times New Roman"/>
          <w:b/>
          <w:sz w:val="28"/>
          <w:szCs w:val="28"/>
        </w:rPr>
      </w:pPr>
      <w:r w:rsidRPr="009E483B">
        <w:rPr>
          <w:rFonts w:ascii="Times New Roman" w:hAnsi="Times New Roman"/>
          <w:b/>
          <w:sz w:val="28"/>
          <w:szCs w:val="28"/>
        </w:rPr>
        <w:t>JUDGE OF THE HIGH COURT</w:t>
      </w:r>
    </w:p>
    <w:p w:rsidR="007D4924" w:rsidRDefault="007D4924" w:rsidP="007D4924">
      <w:pPr>
        <w:ind w:left="131" w:firstLine="720"/>
        <w:rPr>
          <w:rFonts w:ascii="Times New Roman" w:hAnsi="Times New Roman" w:cs="Times New Roman"/>
          <w:sz w:val="28"/>
          <w:szCs w:val="28"/>
        </w:rPr>
      </w:pPr>
    </w:p>
    <w:p w:rsidR="007D4924" w:rsidRDefault="007D4924" w:rsidP="007D4924">
      <w:pPr>
        <w:pStyle w:val="LegalList1"/>
        <w:spacing w:line="240" w:lineRule="auto"/>
        <w:ind w:left="851"/>
        <w:rPr>
          <w:rFonts w:ascii="Times New Roman" w:hAnsi="Times New Roman"/>
          <w:sz w:val="28"/>
          <w:szCs w:val="28"/>
        </w:rPr>
      </w:pPr>
      <w:r w:rsidRPr="009E483B">
        <w:rPr>
          <w:rFonts w:ascii="Times New Roman" w:hAnsi="Times New Roman"/>
          <w:sz w:val="28"/>
          <w:szCs w:val="28"/>
        </w:rPr>
        <w:lastRenderedPageBreak/>
        <w:t>APPEARANCES:</w:t>
      </w:r>
    </w:p>
    <w:p w:rsidR="007D4924" w:rsidRPr="009E483B" w:rsidRDefault="007D4924" w:rsidP="007D4924">
      <w:pPr>
        <w:ind w:left="131" w:firstLine="720"/>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Applicant</w:t>
      </w:r>
      <w:r w:rsidRPr="00DE1B37">
        <w:rPr>
          <w:rFonts w:ascii="Times New Roman" w:hAnsi="Times New Roman" w:cs="Times New Roman"/>
          <w:sz w:val="28"/>
          <w:szCs w:val="28"/>
        </w:rPr>
        <w:t>:</w:t>
      </w:r>
      <w:r w:rsidRPr="00DE1B37">
        <w:rPr>
          <w:rFonts w:ascii="Times New Roman" w:hAnsi="Times New Roman" w:cs="Times New Roman"/>
          <w:sz w:val="28"/>
          <w:szCs w:val="28"/>
        </w:rPr>
        <w:tab/>
      </w:r>
      <w:r w:rsidRPr="00DE1B37">
        <w:rPr>
          <w:rFonts w:ascii="Times New Roman" w:hAnsi="Times New Roman" w:cs="Times New Roman"/>
          <w:sz w:val="28"/>
          <w:szCs w:val="28"/>
        </w:rPr>
        <w:tab/>
      </w:r>
      <w:r w:rsidR="00296725">
        <w:rPr>
          <w:rFonts w:ascii="Times New Roman" w:hAnsi="Times New Roman" w:cs="Times New Roman"/>
          <w:sz w:val="28"/>
          <w:szCs w:val="28"/>
        </w:rPr>
        <w:t>M. Mayekiso</w:t>
      </w:r>
      <w:r>
        <w:rPr>
          <w:rFonts w:ascii="Times New Roman" w:hAnsi="Times New Roman" w:cs="Times New Roman"/>
          <w:sz w:val="28"/>
          <w:szCs w:val="28"/>
        </w:rPr>
        <w:t xml:space="preserve"> </w:t>
      </w:r>
    </w:p>
    <w:p w:rsidR="007D4924" w:rsidRDefault="007D4924" w:rsidP="007D4924">
      <w:pPr>
        <w:ind w:left="3600" w:firstLine="720"/>
        <w:rPr>
          <w:rFonts w:ascii="Times New Roman" w:hAnsi="Times New Roman" w:cs="Times New Roman"/>
          <w:sz w:val="28"/>
          <w:szCs w:val="28"/>
        </w:rPr>
      </w:pPr>
      <w:r>
        <w:rPr>
          <w:rFonts w:ascii="Times New Roman" w:hAnsi="Times New Roman" w:cs="Times New Roman"/>
          <w:sz w:val="28"/>
          <w:szCs w:val="28"/>
        </w:rPr>
        <w:t>Instructed by</w:t>
      </w:r>
    </w:p>
    <w:p w:rsidR="007D4924" w:rsidRDefault="00296725" w:rsidP="007D4924">
      <w:pPr>
        <w:ind w:left="3600" w:firstLine="720"/>
        <w:rPr>
          <w:rFonts w:ascii="Times New Roman" w:hAnsi="Times New Roman" w:cs="Times New Roman"/>
          <w:sz w:val="28"/>
          <w:szCs w:val="28"/>
        </w:rPr>
      </w:pPr>
      <w:r>
        <w:rPr>
          <w:rFonts w:ascii="Times New Roman" w:hAnsi="Times New Roman" w:cs="Times New Roman"/>
          <w:sz w:val="28"/>
          <w:szCs w:val="28"/>
        </w:rPr>
        <w:t>Ayabonga Koswana Attorneys</w:t>
      </w:r>
    </w:p>
    <w:p w:rsidR="007D4924" w:rsidRPr="00DE1B37" w:rsidRDefault="007D4924" w:rsidP="007D4924">
      <w:pPr>
        <w:ind w:left="3600" w:firstLine="720"/>
        <w:rPr>
          <w:rFonts w:ascii="Times New Roman" w:hAnsi="Times New Roman" w:cs="Times New Roman"/>
          <w:sz w:val="28"/>
          <w:szCs w:val="28"/>
        </w:rPr>
      </w:pPr>
      <w:r>
        <w:rPr>
          <w:rFonts w:ascii="Times New Roman" w:hAnsi="Times New Roman" w:cs="Times New Roman"/>
          <w:sz w:val="28"/>
          <w:szCs w:val="28"/>
        </w:rPr>
        <w:t>c/o Mgangatho Attorneys</w:t>
      </w:r>
    </w:p>
    <w:p w:rsidR="007D4924" w:rsidRPr="00DE1B37" w:rsidRDefault="007D4924" w:rsidP="007D4924">
      <w:pPr>
        <w:ind w:left="3600" w:firstLine="720"/>
        <w:rPr>
          <w:rFonts w:ascii="Times New Roman" w:hAnsi="Times New Roman" w:cs="Times New Roman"/>
          <w:sz w:val="28"/>
          <w:szCs w:val="28"/>
        </w:rPr>
      </w:pPr>
      <w:r w:rsidRPr="00DE1B37">
        <w:rPr>
          <w:rFonts w:ascii="Times New Roman" w:hAnsi="Times New Roman" w:cs="Times New Roman"/>
          <w:sz w:val="28"/>
          <w:szCs w:val="28"/>
        </w:rPr>
        <w:t>Makhanda</w:t>
      </w:r>
    </w:p>
    <w:p w:rsidR="007D4924" w:rsidRDefault="007D4924" w:rsidP="007D4924">
      <w:pPr>
        <w:ind w:left="3600" w:firstLine="720"/>
        <w:rPr>
          <w:rFonts w:ascii="Times New Roman" w:hAnsi="Times New Roman" w:cs="Times New Roman"/>
          <w:sz w:val="28"/>
          <w:szCs w:val="28"/>
        </w:rPr>
      </w:pPr>
      <w:r w:rsidRPr="00DE1B37">
        <w:rPr>
          <w:rFonts w:ascii="Times New Roman" w:hAnsi="Times New Roman" w:cs="Times New Roman"/>
          <w:sz w:val="28"/>
          <w:szCs w:val="28"/>
        </w:rPr>
        <w:t>(Ref:</w:t>
      </w:r>
      <w:r w:rsidR="00EB7438">
        <w:rPr>
          <w:rFonts w:ascii="Times New Roman" w:hAnsi="Times New Roman" w:cs="Times New Roman"/>
          <w:sz w:val="28"/>
          <w:szCs w:val="28"/>
        </w:rPr>
        <w:t xml:space="preserve">  </w:t>
      </w:r>
      <w:r w:rsidR="00A16161">
        <w:rPr>
          <w:rFonts w:ascii="Times New Roman" w:hAnsi="Times New Roman" w:cs="Times New Roman"/>
          <w:sz w:val="28"/>
          <w:szCs w:val="28"/>
        </w:rPr>
        <w:t xml:space="preserve">A. </w:t>
      </w:r>
      <w:r w:rsidR="00DD5B5F">
        <w:rPr>
          <w:rFonts w:ascii="Times New Roman" w:hAnsi="Times New Roman" w:cs="Times New Roman"/>
          <w:sz w:val="28"/>
          <w:szCs w:val="28"/>
        </w:rPr>
        <w:t>Mgangatho</w:t>
      </w:r>
      <w:r w:rsidRPr="00DE1B37">
        <w:rPr>
          <w:rFonts w:ascii="Times New Roman" w:hAnsi="Times New Roman" w:cs="Times New Roman"/>
          <w:sz w:val="28"/>
          <w:szCs w:val="28"/>
        </w:rPr>
        <w:t>)</w:t>
      </w:r>
    </w:p>
    <w:p w:rsidR="007D4924" w:rsidRPr="009E483B" w:rsidRDefault="007D4924" w:rsidP="007D4924">
      <w:pPr>
        <w:ind w:left="982"/>
        <w:rPr>
          <w:rFonts w:ascii="Times New Roman" w:hAnsi="Times New Roman" w:cs="Times New Roman"/>
          <w:sz w:val="28"/>
          <w:szCs w:val="28"/>
        </w:rPr>
      </w:pPr>
    </w:p>
    <w:p w:rsidR="007D4924" w:rsidRPr="009E483B" w:rsidRDefault="007D4924" w:rsidP="007D4924">
      <w:pPr>
        <w:ind w:left="982"/>
        <w:rPr>
          <w:rFonts w:ascii="Times New Roman" w:hAnsi="Times New Roman" w:cs="Times New Roman"/>
          <w:sz w:val="28"/>
          <w:szCs w:val="28"/>
        </w:rPr>
      </w:pPr>
    </w:p>
    <w:p w:rsidR="007D4924" w:rsidRPr="00DE1B37" w:rsidRDefault="007D4924" w:rsidP="007D4924">
      <w:pPr>
        <w:ind w:left="851"/>
        <w:rPr>
          <w:rFonts w:ascii="Times New Roman" w:hAnsi="Times New Roman" w:cs="Times New Roman"/>
          <w:sz w:val="28"/>
          <w:szCs w:val="28"/>
        </w:rPr>
      </w:pPr>
      <w:r w:rsidRPr="00DE1B37">
        <w:rPr>
          <w:rFonts w:ascii="Times New Roman" w:hAnsi="Times New Roman" w:cs="Times New Roman"/>
          <w:sz w:val="28"/>
          <w:szCs w:val="28"/>
        </w:rPr>
        <w:t xml:space="preserve">For the </w:t>
      </w:r>
      <w:r>
        <w:rPr>
          <w:rFonts w:ascii="Times New Roman" w:hAnsi="Times New Roman" w:cs="Times New Roman"/>
          <w:sz w:val="28"/>
          <w:szCs w:val="28"/>
        </w:rPr>
        <w:t>Respondent</w:t>
      </w:r>
      <w:r w:rsidR="000A5ED4">
        <w:rPr>
          <w:rFonts w:ascii="Times New Roman" w:hAnsi="Times New Roman" w:cs="Times New Roman"/>
          <w:sz w:val="28"/>
          <w:szCs w:val="28"/>
        </w:rPr>
        <w:t>s</w:t>
      </w:r>
      <w:r w:rsidRPr="00DE1B37">
        <w:rPr>
          <w:rFonts w:ascii="Times New Roman" w:hAnsi="Times New Roman" w:cs="Times New Roman"/>
          <w:sz w:val="28"/>
          <w:szCs w:val="28"/>
        </w:rPr>
        <w:t>:</w:t>
      </w:r>
      <w:r>
        <w:rPr>
          <w:rFonts w:ascii="Times New Roman" w:hAnsi="Times New Roman" w:cs="Times New Roman"/>
          <w:sz w:val="28"/>
          <w:szCs w:val="28"/>
        </w:rPr>
        <w:tab/>
      </w:r>
      <w:r w:rsidR="000A5ED4">
        <w:rPr>
          <w:rFonts w:ascii="Times New Roman" w:hAnsi="Times New Roman" w:cs="Times New Roman"/>
          <w:sz w:val="28"/>
          <w:szCs w:val="28"/>
        </w:rPr>
        <w:tab/>
        <w:t>C. Goremusando</w:t>
      </w:r>
    </w:p>
    <w:p w:rsidR="007D4924" w:rsidRPr="009E483B" w:rsidRDefault="000A5ED4" w:rsidP="000A5ED4">
      <w:pPr>
        <w:ind w:left="3862" w:firstLine="458"/>
        <w:rPr>
          <w:rFonts w:ascii="Times New Roman" w:hAnsi="Times New Roman" w:cs="Times New Roman"/>
          <w:sz w:val="28"/>
          <w:szCs w:val="28"/>
        </w:rPr>
      </w:pPr>
      <w:r>
        <w:rPr>
          <w:rFonts w:ascii="Times New Roman" w:hAnsi="Times New Roman" w:cs="Times New Roman"/>
          <w:sz w:val="28"/>
          <w:szCs w:val="28"/>
        </w:rPr>
        <w:t>Zilwa Attorneys</w:t>
      </w:r>
    </w:p>
    <w:p w:rsidR="007D4924" w:rsidRPr="009E483B" w:rsidRDefault="007D4924" w:rsidP="007D4924">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Makhanda</w:t>
      </w:r>
    </w:p>
    <w:p w:rsidR="007D4924" w:rsidRDefault="007D4924" w:rsidP="007D4924">
      <w:pPr>
        <w:ind w:left="982"/>
        <w:rPr>
          <w:rFonts w:ascii="Times New Roman" w:hAnsi="Times New Roman" w:cs="Times New Roman"/>
          <w:sz w:val="28"/>
          <w:szCs w:val="28"/>
        </w:rPr>
      </w:pP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r>
      <w:r w:rsidRPr="009E483B">
        <w:rPr>
          <w:rFonts w:ascii="Times New Roman" w:hAnsi="Times New Roman" w:cs="Times New Roman"/>
          <w:sz w:val="28"/>
          <w:szCs w:val="28"/>
        </w:rPr>
        <w:tab/>
        <w:t xml:space="preserve">(Ref: </w:t>
      </w:r>
      <w:r w:rsidR="00A16161">
        <w:rPr>
          <w:rFonts w:ascii="Times New Roman" w:hAnsi="Times New Roman" w:cs="Times New Roman"/>
          <w:sz w:val="28"/>
          <w:szCs w:val="28"/>
        </w:rPr>
        <w:t>T. Zilwa</w:t>
      </w:r>
      <w:r w:rsidRPr="009E483B">
        <w:rPr>
          <w:rFonts w:ascii="Times New Roman" w:hAnsi="Times New Roman" w:cs="Times New Roman"/>
          <w:sz w:val="28"/>
          <w:szCs w:val="28"/>
        </w:rPr>
        <w:t>)</w:t>
      </w:r>
    </w:p>
    <w:p w:rsidR="000A5ED4" w:rsidRDefault="000A5ED4" w:rsidP="007D4924">
      <w:pPr>
        <w:ind w:left="98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D4924" w:rsidRDefault="007D4924" w:rsidP="007D4924">
      <w:pPr>
        <w:ind w:left="3600"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D4924" w:rsidRPr="00DE1B37" w:rsidRDefault="007D4924" w:rsidP="007D4924">
      <w:pPr>
        <w:ind w:left="4451"/>
        <w:rPr>
          <w:rFonts w:ascii="Times New Roman" w:hAnsi="Times New Roman" w:cs="Times New Roman"/>
          <w:sz w:val="28"/>
          <w:szCs w:val="28"/>
        </w:rPr>
      </w:pPr>
    </w:p>
    <w:p w:rsidR="007D4924" w:rsidRDefault="007D4924" w:rsidP="007D4924">
      <w:pPr>
        <w:pStyle w:val="LegalList1"/>
        <w:spacing w:line="360" w:lineRule="auto"/>
        <w:ind w:left="851"/>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914B8">
        <w:rPr>
          <w:rFonts w:ascii="Times New Roman" w:hAnsi="Times New Roman"/>
          <w:sz w:val="28"/>
          <w:szCs w:val="28"/>
        </w:rPr>
        <w:t>17 November 2022</w:t>
      </w:r>
    </w:p>
    <w:p w:rsidR="007D4924" w:rsidRPr="00A45FC3" w:rsidRDefault="007D4924" w:rsidP="007D4924">
      <w:pPr>
        <w:pStyle w:val="LegalList1"/>
        <w:spacing w:line="360" w:lineRule="auto"/>
        <w:ind w:left="851"/>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914B8">
        <w:rPr>
          <w:rFonts w:ascii="Times New Roman" w:hAnsi="Times New Roman"/>
          <w:sz w:val="28"/>
          <w:szCs w:val="28"/>
        </w:rPr>
        <w:t>23 March 2023</w:t>
      </w:r>
    </w:p>
    <w:p w:rsidR="007D4924" w:rsidRPr="003C36E9" w:rsidRDefault="007D4924" w:rsidP="00354A12">
      <w:pPr>
        <w:spacing w:line="360" w:lineRule="auto"/>
        <w:jc w:val="both"/>
        <w:rPr>
          <w:rFonts w:ascii="Times New Roman" w:hAnsi="Times New Roman" w:cs="Times New Roman"/>
          <w:b/>
          <w:sz w:val="28"/>
          <w:szCs w:val="28"/>
        </w:rPr>
      </w:pPr>
    </w:p>
    <w:sectPr w:rsidR="007D4924" w:rsidRPr="003C36E9"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B36" w:rsidRDefault="00F50B36" w:rsidP="00354A12">
      <w:pPr>
        <w:spacing w:line="240" w:lineRule="auto"/>
      </w:pPr>
      <w:r>
        <w:separator/>
      </w:r>
    </w:p>
  </w:endnote>
  <w:endnote w:type="continuationSeparator" w:id="0">
    <w:p w:rsidR="00F50B36" w:rsidRDefault="00F50B36"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B36" w:rsidRDefault="00F50B36" w:rsidP="00354A12">
      <w:pPr>
        <w:spacing w:line="240" w:lineRule="auto"/>
      </w:pPr>
      <w:r>
        <w:separator/>
      </w:r>
    </w:p>
  </w:footnote>
  <w:footnote w:type="continuationSeparator" w:id="0">
    <w:p w:rsidR="00F50B36" w:rsidRDefault="00F50B36" w:rsidP="00354A12">
      <w:pPr>
        <w:spacing w:line="240" w:lineRule="auto"/>
      </w:pPr>
      <w:r>
        <w:continuationSeparator/>
      </w:r>
    </w:p>
  </w:footnote>
  <w:footnote w:id="1">
    <w:p w:rsidR="00DA05D2" w:rsidRPr="00D84E99" w:rsidRDefault="00DA05D2"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[2016] ZAECGHC 39.</w:t>
      </w:r>
    </w:p>
  </w:footnote>
  <w:footnote w:id="2">
    <w:p w:rsidR="006D1B02" w:rsidRPr="00D84E99" w:rsidRDefault="006D1B02"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Per section 11(d).</w:t>
      </w:r>
    </w:p>
  </w:footnote>
  <w:footnote w:id="3">
    <w:p w:rsidR="00070CC3" w:rsidRPr="00D84E99" w:rsidRDefault="00070CC3"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w:t>
      </w:r>
      <w:r w:rsidRPr="00D84E99">
        <w:rPr>
          <w:rFonts w:ascii="Times New Roman" w:hAnsi="Times New Roman" w:cs="Times New Roman"/>
          <w:i/>
        </w:rPr>
        <w:t>Madinda v Minister of Safety and Security</w:t>
      </w:r>
      <w:r w:rsidRPr="00D84E99">
        <w:rPr>
          <w:rFonts w:ascii="Times New Roman" w:hAnsi="Times New Roman" w:cs="Times New Roman"/>
        </w:rPr>
        <w:t xml:space="preserve"> 2008 (4) SA 312 (SCA)</w:t>
      </w:r>
      <w:r w:rsidR="00D77AA9" w:rsidRPr="00D84E99">
        <w:rPr>
          <w:rFonts w:ascii="Times New Roman" w:hAnsi="Times New Roman" w:cs="Times New Roman"/>
        </w:rPr>
        <w:t xml:space="preserve"> para </w:t>
      </w:r>
      <w:r w:rsidR="00A00CC0" w:rsidRPr="00D84E99">
        <w:rPr>
          <w:rFonts w:ascii="Times New Roman" w:hAnsi="Times New Roman" w:cs="Times New Roman"/>
        </w:rPr>
        <w:t>1</w:t>
      </w:r>
      <w:r w:rsidR="00D77AA9" w:rsidRPr="00D84E99">
        <w:rPr>
          <w:rFonts w:ascii="Times New Roman" w:hAnsi="Times New Roman" w:cs="Times New Roman"/>
        </w:rPr>
        <w:t>6</w:t>
      </w:r>
      <w:r w:rsidR="00A00CC0" w:rsidRPr="00D84E99">
        <w:rPr>
          <w:rFonts w:ascii="Times New Roman" w:hAnsi="Times New Roman" w:cs="Times New Roman"/>
        </w:rPr>
        <w:t xml:space="preserve">; </w:t>
      </w:r>
      <w:r w:rsidR="008F5B05" w:rsidRPr="002A4C05">
        <w:rPr>
          <w:rFonts w:ascii="Times New Roman" w:hAnsi="Times New Roman" w:cs="Times New Roman"/>
          <w:i/>
        </w:rPr>
        <w:t>Minister of Agriculture and Land Affairs v CJ Rance (Pty) Ltd</w:t>
      </w:r>
      <w:r w:rsidR="008F5B05" w:rsidRPr="00D84E99">
        <w:rPr>
          <w:rFonts w:ascii="Times New Roman" w:hAnsi="Times New Roman" w:cs="Times New Roman"/>
        </w:rPr>
        <w:t xml:space="preserve"> 2010 (4) SA 109</w:t>
      </w:r>
      <w:r w:rsidR="000612A3" w:rsidRPr="00D84E99">
        <w:rPr>
          <w:rFonts w:ascii="Times New Roman" w:hAnsi="Times New Roman" w:cs="Times New Roman"/>
        </w:rPr>
        <w:t xml:space="preserve"> (SCA) para 11; </w:t>
      </w:r>
      <w:r w:rsidR="00A00CC0" w:rsidRPr="002A4C05">
        <w:rPr>
          <w:rFonts w:ascii="Times New Roman" w:hAnsi="Times New Roman" w:cs="Times New Roman"/>
          <w:i/>
        </w:rPr>
        <w:t>Makhatholela v Minister of Police and Another</w:t>
      </w:r>
      <w:r w:rsidR="00A00CC0" w:rsidRPr="00D84E99">
        <w:rPr>
          <w:rFonts w:ascii="Times New Roman" w:hAnsi="Times New Roman" w:cs="Times New Roman"/>
        </w:rPr>
        <w:t xml:space="preserve"> </w:t>
      </w:r>
      <w:r w:rsidR="004A5B4A" w:rsidRPr="00D84E99">
        <w:rPr>
          <w:rFonts w:ascii="Times New Roman" w:hAnsi="Times New Roman" w:cs="Times New Roman"/>
        </w:rPr>
        <w:t>[2022] ZAGPJHC 193 para 24.</w:t>
      </w:r>
    </w:p>
  </w:footnote>
  <w:footnote w:id="4">
    <w:p w:rsidR="005F5E89" w:rsidRPr="00D84E99" w:rsidRDefault="005F5E89"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Compare </w:t>
      </w:r>
      <w:r w:rsidRPr="002A4C05">
        <w:rPr>
          <w:rFonts w:ascii="Times New Roman" w:hAnsi="Times New Roman" w:cs="Times New Roman"/>
          <w:i/>
        </w:rPr>
        <w:t>Minister of Police and Another v Yekiso</w:t>
      </w:r>
      <w:r w:rsidRPr="00D84E99">
        <w:rPr>
          <w:rFonts w:ascii="Times New Roman" w:hAnsi="Times New Roman" w:cs="Times New Roman"/>
        </w:rPr>
        <w:t xml:space="preserve"> 2019 (2) SA 281 (WCC) para 35.</w:t>
      </w:r>
    </w:p>
  </w:footnote>
  <w:footnote w:id="5">
    <w:p w:rsidR="00026857" w:rsidRPr="00D84E99" w:rsidRDefault="00026857"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w:t>
      </w:r>
      <w:r w:rsidR="00A71D62" w:rsidRPr="002A4C05">
        <w:rPr>
          <w:rFonts w:ascii="Times New Roman" w:hAnsi="Times New Roman" w:cs="Times New Roman"/>
          <w:i/>
        </w:rPr>
        <w:t>De Klerk v Minister of Police</w:t>
      </w:r>
      <w:r w:rsidR="00A71D62" w:rsidRPr="00D84E99">
        <w:rPr>
          <w:rFonts w:ascii="Times New Roman" w:hAnsi="Times New Roman" w:cs="Times New Roman"/>
        </w:rPr>
        <w:t xml:space="preserve"> </w:t>
      </w:r>
      <w:r w:rsidRPr="00D84E99">
        <w:rPr>
          <w:rFonts w:ascii="Times New Roman" w:hAnsi="Times New Roman" w:cs="Times New Roman"/>
        </w:rPr>
        <w:t>[2019] ZACC 32 paras 24-25</w:t>
      </w:r>
      <w:r w:rsidR="00A71D62" w:rsidRPr="00D84E99">
        <w:rPr>
          <w:rFonts w:ascii="Times New Roman" w:hAnsi="Times New Roman" w:cs="Times New Roman"/>
        </w:rPr>
        <w:t>.</w:t>
      </w:r>
    </w:p>
  </w:footnote>
  <w:footnote w:id="6">
    <w:p w:rsidR="00A71D62" w:rsidRPr="00D84E99" w:rsidRDefault="00A71D62"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w:t>
      </w:r>
      <w:r w:rsidR="007709BC" w:rsidRPr="00D84E99">
        <w:rPr>
          <w:rFonts w:ascii="Times New Roman" w:hAnsi="Times New Roman" w:cs="Times New Roman"/>
        </w:rPr>
        <w:t>De Klerk supra paras 76-81.</w:t>
      </w:r>
    </w:p>
  </w:footnote>
  <w:footnote w:id="7">
    <w:p w:rsidR="00F86989" w:rsidRPr="00D84E99" w:rsidRDefault="00F86989"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See </w:t>
      </w:r>
      <w:r w:rsidRPr="002A4C05">
        <w:rPr>
          <w:rFonts w:ascii="Times New Roman" w:hAnsi="Times New Roman" w:cs="Times New Roman"/>
          <w:i/>
        </w:rPr>
        <w:t>Makhatholela supra</w:t>
      </w:r>
      <w:r w:rsidRPr="00D84E99">
        <w:rPr>
          <w:rFonts w:ascii="Times New Roman" w:hAnsi="Times New Roman" w:cs="Times New Roman"/>
        </w:rPr>
        <w:t xml:space="preserve"> para 29 and the authorities cited in the footnotes thereto.</w:t>
      </w:r>
    </w:p>
  </w:footnote>
  <w:footnote w:id="8">
    <w:p w:rsidR="00E30692" w:rsidRPr="00D84E99" w:rsidRDefault="00E30692"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See </w:t>
      </w:r>
      <w:r w:rsidRPr="002A4C05">
        <w:rPr>
          <w:rFonts w:ascii="Times New Roman" w:hAnsi="Times New Roman" w:cs="Times New Roman"/>
          <w:i/>
        </w:rPr>
        <w:t>Makhatholela supra</w:t>
      </w:r>
      <w:r w:rsidRPr="00D84E99">
        <w:rPr>
          <w:rFonts w:ascii="Times New Roman" w:hAnsi="Times New Roman" w:cs="Times New Roman"/>
        </w:rPr>
        <w:t xml:space="preserve"> para 29 and the authorities cited in the footnotes thereto.</w:t>
      </w:r>
    </w:p>
  </w:footnote>
  <w:footnote w:id="9">
    <w:p w:rsidR="00C26C8C" w:rsidRPr="00D84E99" w:rsidRDefault="00C26C8C"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w:t>
      </w:r>
      <w:r w:rsidRPr="002A4C05">
        <w:rPr>
          <w:rFonts w:ascii="Times New Roman" w:hAnsi="Times New Roman" w:cs="Times New Roman"/>
          <w:i/>
        </w:rPr>
        <w:t>Human v Minister of Safety and Security</w:t>
      </w:r>
      <w:r w:rsidRPr="00D84E99">
        <w:rPr>
          <w:rFonts w:ascii="Times New Roman" w:hAnsi="Times New Roman" w:cs="Times New Roman"/>
        </w:rPr>
        <w:t xml:space="preserve"> 2013 JDR 2302 (GNP)</w:t>
      </w:r>
      <w:r w:rsidR="002A3BC1" w:rsidRPr="00D84E99">
        <w:rPr>
          <w:rFonts w:ascii="Times New Roman" w:hAnsi="Times New Roman" w:cs="Times New Roman"/>
        </w:rPr>
        <w:t xml:space="preserve"> para 15.</w:t>
      </w:r>
    </w:p>
  </w:footnote>
  <w:footnote w:id="10">
    <w:p w:rsidR="0005022C" w:rsidRPr="00D84E99" w:rsidRDefault="0005022C"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w:t>
      </w:r>
      <w:r w:rsidR="007C2012" w:rsidRPr="002A4C05">
        <w:rPr>
          <w:rFonts w:ascii="Times New Roman" w:hAnsi="Times New Roman" w:cs="Times New Roman"/>
          <w:i/>
        </w:rPr>
        <w:t>Gunase v Anirudth</w:t>
      </w:r>
      <w:r w:rsidR="007C2012" w:rsidRPr="00D84E99">
        <w:rPr>
          <w:rFonts w:ascii="Times New Roman" w:hAnsi="Times New Roman" w:cs="Times New Roman"/>
        </w:rPr>
        <w:t xml:space="preserve"> 2012 (2) 398 (SCA) para 14.</w:t>
      </w:r>
    </w:p>
  </w:footnote>
  <w:footnote w:id="11">
    <w:p w:rsidR="002E1394" w:rsidRPr="00D84E99" w:rsidRDefault="002E1394"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1998 (3) SA 200 (SCA) at 209F-G.</w:t>
      </w:r>
    </w:p>
  </w:footnote>
  <w:footnote w:id="12">
    <w:p w:rsidR="00EC4266" w:rsidRPr="00D84E99" w:rsidRDefault="00EC4266"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w:t>
      </w:r>
      <w:r w:rsidRPr="002A4C05">
        <w:rPr>
          <w:rFonts w:ascii="Times New Roman" w:hAnsi="Times New Roman" w:cs="Times New Roman"/>
          <w:i/>
        </w:rPr>
        <w:t>Leketi v Tladi NO &amp; Others</w:t>
      </w:r>
      <w:r w:rsidRPr="00D84E99">
        <w:rPr>
          <w:rFonts w:ascii="Times New Roman" w:hAnsi="Times New Roman" w:cs="Times New Roman"/>
        </w:rPr>
        <w:t xml:space="preserve"> [2010] 3 All SA 519 (SCA) para 18.</w:t>
      </w:r>
    </w:p>
  </w:footnote>
  <w:footnote w:id="13">
    <w:p w:rsidR="009A1323" w:rsidRPr="00D84E99" w:rsidRDefault="009A1323"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Founding affidavit, paras 18-23.</w:t>
      </w:r>
    </w:p>
  </w:footnote>
  <w:footnote w:id="14">
    <w:p w:rsidR="00A049F2" w:rsidRPr="00D84E99" w:rsidRDefault="00A049F2"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Compare </w:t>
      </w:r>
      <w:r w:rsidRPr="002A4C05">
        <w:rPr>
          <w:rFonts w:ascii="Times New Roman" w:hAnsi="Times New Roman" w:cs="Times New Roman"/>
          <w:i/>
        </w:rPr>
        <w:t>Minister of Police and Another v Yekiso supra</w:t>
      </w:r>
      <w:r w:rsidRPr="00D84E99">
        <w:rPr>
          <w:rFonts w:ascii="Times New Roman" w:hAnsi="Times New Roman" w:cs="Times New Roman"/>
        </w:rPr>
        <w:t xml:space="preserve"> para 24.</w:t>
      </w:r>
    </w:p>
  </w:footnote>
  <w:footnote w:id="15">
    <w:p w:rsidR="007F3D1D" w:rsidRPr="00D84E99" w:rsidRDefault="007F3D1D"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Compare </w:t>
      </w:r>
      <w:r w:rsidRPr="002A4C05">
        <w:rPr>
          <w:rFonts w:ascii="Times New Roman" w:hAnsi="Times New Roman" w:cs="Times New Roman"/>
          <w:i/>
        </w:rPr>
        <w:t>Skom v Minister of Police and Others, In Re: Singatha v Minister of Police and Another</w:t>
      </w:r>
      <w:r w:rsidRPr="00D84E99">
        <w:rPr>
          <w:rFonts w:ascii="Times New Roman" w:hAnsi="Times New Roman" w:cs="Times New Roman"/>
        </w:rPr>
        <w:t xml:space="preserve"> [2014] ZAECBHC 6 para 7.</w:t>
      </w:r>
    </w:p>
  </w:footnote>
  <w:footnote w:id="16">
    <w:p w:rsidR="00882915" w:rsidRPr="00D84E99" w:rsidRDefault="00882915"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2010 (4) SA 109 (SCA) para 37.</w:t>
      </w:r>
    </w:p>
  </w:footnote>
  <w:footnote w:id="17">
    <w:p w:rsidR="00882915" w:rsidRPr="00D84E99" w:rsidRDefault="00882915"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2008 (4) SA 312 (SCA) para 21.</w:t>
      </w:r>
    </w:p>
  </w:footnote>
  <w:footnote w:id="18">
    <w:p w:rsidR="00882915" w:rsidRPr="00D84E99" w:rsidRDefault="00882915"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1984 (3) SA 623 (AD) at 634E-635C.</w:t>
      </w:r>
    </w:p>
  </w:footnote>
  <w:footnote w:id="19">
    <w:p w:rsidR="00882915" w:rsidRPr="00D84E99" w:rsidRDefault="00882915" w:rsidP="00D84E99">
      <w:pPr>
        <w:pStyle w:val="FootnoteText"/>
        <w:jc w:val="both"/>
        <w:rPr>
          <w:rFonts w:ascii="Times New Roman" w:hAnsi="Times New Roman" w:cs="Times New Roman"/>
        </w:rPr>
      </w:pPr>
      <w:r w:rsidRPr="00D84E99">
        <w:rPr>
          <w:rStyle w:val="FootnoteReference"/>
          <w:rFonts w:ascii="Times New Roman" w:hAnsi="Times New Roman" w:cs="Times New Roman"/>
        </w:rPr>
        <w:footnoteRef/>
      </w:r>
      <w:r w:rsidRPr="00D84E99">
        <w:rPr>
          <w:rFonts w:ascii="Times New Roman" w:hAnsi="Times New Roman" w:cs="Times New Roman"/>
        </w:rPr>
        <w:t xml:space="preserve"> </w:t>
      </w:r>
      <w:r w:rsidRPr="000A0A51">
        <w:rPr>
          <w:rFonts w:ascii="Times New Roman" w:hAnsi="Times New Roman" w:cs="Times New Roman"/>
          <w:i/>
        </w:rPr>
        <w:t>Aetiology Today CC t/a Somerset Schools v Van Aswegen and Another</w:t>
      </w:r>
      <w:r w:rsidR="009A62C6">
        <w:rPr>
          <w:rFonts w:ascii="Times New Roman" w:hAnsi="Times New Roman" w:cs="Times New Roman"/>
        </w:rPr>
        <w:t xml:space="preserve"> 1992 (1) SA 807 (WLD) at 809J</w:t>
      </w:r>
      <w:r w:rsidRPr="00D84E9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281191">
          <w:rPr>
            <w:noProof/>
          </w:rPr>
          <w:t>2</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32F792-4F32-400F-94C7-C86ECB2CA1C6}"/>
    <w:docVar w:name="dgnword-eventsink" w:val="488034864"/>
  </w:docVars>
  <w:rsids>
    <w:rsidRoot w:val="00354A12"/>
    <w:rsid w:val="000126C0"/>
    <w:rsid w:val="00026857"/>
    <w:rsid w:val="0004039C"/>
    <w:rsid w:val="000451BF"/>
    <w:rsid w:val="0005022C"/>
    <w:rsid w:val="00052D19"/>
    <w:rsid w:val="000612A3"/>
    <w:rsid w:val="0006357C"/>
    <w:rsid w:val="00070CC3"/>
    <w:rsid w:val="00072FB5"/>
    <w:rsid w:val="00074538"/>
    <w:rsid w:val="00077759"/>
    <w:rsid w:val="00087C08"/>
    <w:rsid w:val="0009050F"/>
    <w:rsid w:val="00095234"/>
    <w:rsid w:val="000A0A51"/>
    <w:rsid w:val="000A5ED4"/>
    <w:rsid w:val="000C590B"/>
    <w:rsid w:val="000D1DCE"/>
    <w:rsid w:val="000D34C5"/>
    <w:rsid w:val="000D496E"/>
    <w:rsid w:val="000E1C6D"/>
    <w:rsid w:val="000F2FC8"/>
    <w:rsid w:val="000F357C"/>
    <w:rsid w:val="00102036"/>
    <w:rsid w:val="001167AA"/>
    <w:rsid w:val="00124A3B"/>
    <w:rsid w:val="001378F4"/>
    <w:rsid w:val="00152096"/>
    <w:rsid w:val="0015328E"/>
    <w:rsid w:val="001567DD"/>
    <w:rsid w:val="00165AAD"/>
    <w:rsid w:val="00166266"/>
    <w:rsid w:val="0016646B"/>
    <w:rsid w:val="0017550B"/>
    <w:rsid w:val="001817D5"/>
    <w:rsid w:val="00184A41"/>
    <w:rsid w:val="00187C0D"/>
    <w:rsid w:val="00191B2B"/>
    <w:rsid w:val="00193244"/>
    <w:rsid w:val="00194BB4"/>
    <w:rsid w:val="001960D3"/>
    <w:rsid w:val="001B2FE7"/>
    <w:rsid w:val="001B54C6"/>
    <w:rsid w:val="001B71F6"/>
    <w:rsid w:val="001D451C"/>
    <w:rsid w:val="001E0DD4"/>
    <w:rsid w:val="001E538F"/>
    <w:rsid w:val="001F3168"/>
    <w:rsid w:val="001F63B0"/>
    <w:rsid w:val="002007BA"/>
    <w:rsid w:val="00205155"/>
    <w:rsid w:val="0021125F"/>
    <w:rsid w:val="002221CA"/>
    <w:rsid w:val="00265386"/>
    <w:rsid w:val="0027274C"/>
    <w:rsid w:val="00273B74"/>
    <w:rsid w:val="00274500"/>
    <w:rsid w:val="002800E6"/>
    <w:rsid w:val="00281191"/>
    <w:rsid w:val="00296725"/>
    <w:rsid w:val="002A27BD"/>
    <w:rsid w:val="002A3BC1"/>
    <w:rsid w:val="002A4C05"/>
    <w:rsid w:val="002A712E"/>
    <w:rsid w:val="002B7A11"/>
    <w:rsid w:val="002C4FDD"/>
    <w:rsid w:val="002C610B"/>
    <w:rsid w:val="002D3817"/>
    <w:rsid w:val="002E1394"/>
    <w:rsid w:val="002E71A5"/>
    <w:rsid w:val="002F56FA"/>
    <w:rsid w:val="002F67DC"/>
    <w:rsid w:val="003108C0"/>
    <w:rsid w:val="00311288"/>
    <w:rsid w:val="00324991"/>
    <w:rsid w:val="00326AE5"/>
    <w:rsid w:val="00334A3C"/>
    <w:rsid w:val="003358B1"/>
    <w:rsid w:val="0034234E"/>
    <w:rsid w:val="00342E61"/>
    <w:rsid w:val="00347937"/>
    <w:rsid w:val="003547D1"/>
    <w:rsid w:val="00354A12"/>
    <w:rsid w:val="0035598C"/>
    <w:rsid w:val="00371824"/>
    <w:rsid w:val="00374B5A"/>
    <w:rsid w:val="00381FDE"/>
    <w:rsid w:val="00382F14"/>
    <w:rsid w:val="00384E15"/>
    <w:rsid w:val="003A1D1C"/>
    <w:rsid w:val="003A3A7A"/>
    <w:rsid w:val="003B0A94"/>
    <w:rsid w:val="003C36E9"/>
    <w:rsid w:val="003C5CD0"/>
    <w:rsid w:val="003C7278"/>
    <w:rsid w:val="003D4170"/>
    <w:rsid w:val="003D503F"/>
    <w:rsid w:val="003D75AF"/>
    <w:rsid w:val="003E1ECF"/>
    <w:rsid w:val="003E5F9D"/>
    <w:rsid w:val="003F12B9"/>
    <w:rsid w:val="003F2D1C"/>
    <w:rsid w:val="003F4968"/>
    <w:rsid w:val="00400F00"/>
    <w:rsid w:val="004018F0"/>
    <w:rsid w:val="00410734"/>
    <w:rsid w:val="00411669"/>
    <w:rsid w:val="00417A60"/>
    <w:rsid w:val="00417AD2"/>
    <w:rsid w:val="00433E0E"/>
    <w:rsid w:val="00440996"/>
    <w:rsid w:val="00441D6A"/>
    <w:rsid w:val="00442FE9"/>
    <w:rsid w:val="0044521B"/>
    <w:rsid w:val="00450854"/>
    <w:rsid w:val="0045249F"/>
    <w:rsid w:val="00452797"/>
    <w:rsid w:val="00455A5E"/>
    <w:rsid w:val="00455FBE"/>
    <w:rsid w:val="00466C90"/>
    <w:rsid w:val="00482D83"/>
    <w:rsid w:val="00487981"/>
    <w:rsid w:val="00491F82"/>
    <w:rsid w:val="004A5B4A"/>
    <w:rsid w:val="004C203E"/>
    <w:rsid w:val="004C2EC2"/>
    <w:rsid w:val="004D1F36"/>
    <w:rsid w:val="004D50F6"/>
    <w:rsid w:val="004D7442"/>
    <w:rsid w:val="004E1F65"/>
    <w:rsid w:val="004E5D2B"/>
    <w:rsid w:val="004E7964"/>
    <w:rsid w:val="004F0FBE"/>
    <w:rsid w:val="004F4538"/>
    <w:rsid w:val="0051660E"/>
    <w:rsid w:val="00522051"/>
    <w:rsid w:val="0052246E"/>
    <w:rsid w:val="00532C88"/>
    <w:rsid w:val="00547F0B"/>
    <w:rsid w:val="00556C1D"/>
    <w:rsid w:val="00561488"/>
    <w:rsid w:val="0056220A"/>
    <w:rsid w:val="005635D2"/>
    <w:rsid w:val="005655F9"/>
    <w:rsid w:val="005702AF"/>
    <w:rsid w:val="0057106B"/>
    <w:rsid w:val="005722DC"/>
    <w:rsid w:val="00575FEE"/>
    <w:rsid w:val="0057747D"/>
    <w:rsid w:val="00577A93"/>
    <w:rsid w:val="00580451"/>
    <w:rsid w:val="00590EC6"/>
    <w:rsid w:val="00593C2B"/>
    <w:rsid w:val="005971E1"/>
    <w:rsid w:val="005A0549"/>
    <w:rsid w:val="005A459D"/>
    <w:rsid w:val="005C418F"/>
    <w:rsid w:val="005D797E"/>
    <w:rsid w:val="005F2DA4"/>
    <w:rsid w:val="005F43AF"/>
    <w:rsid w:val="005F5E89"/>
    <w:rsid w:val="006037F9"/>
    <w:rsid w:val="00611CD6"/>
    <w:rsid w:val="00614FEB"/>
    <w:rsid w:val="00616014"/>
    <w:rsid w:val="006171E9"/>
    <w:rsid w:val="00622081"/>
    <w:rsid w:val="00624D52"/>
    <w:rsid w:val="00633710"/>
    <w:rsid w:val="006379EF"/>
    <w:rsid w:val="006470BA"/>
    <w:rsid w:val="00656B5A"/>
    <w:rsid w:val="00660D18"/>
    <w:rsid w:val="006666B0"/>
    <w:rsid w:val="00670A71"/>
    <w:rsid w:val="00670E50"/>
    <w:rsid w:val="006764AB"/>
    <w:rsid w:val="006774F3"/>
    <w:rsid w:val="00680442"/>
    <w:rsid w:val="00682486"/>
    <w:rsid w:val="006914B8"/>
    <w:rsid w:val="006A10BA"/>
    <w:rsid w:val="006A1FAD"/>
    <w:rsid w:val="006B0C4A"/>
    <w:rsid w:val="006B5957"/>
    <w:rsid w:val="006C03BC"/>
    <w:rsid w:val="006C4BF5"/>
    <w:rsid w:val="006D1B02"/>
    <w:rsid w:val="006D2A24"/>
    <w:rsid w:val="006D51E2"/>
    <w:rsid w:val="006D588B"/>
    <w:rsid w:val="006F4CDE"/>
    <w:rsid w:val="006F791E"/>
    <w:rsid w:val="007100DF"/>
    <w:rsid w:val="0072009A"/>
    <w:rsid w:val="00723048"/>
    <w:rsid w:val="0074255E"/>
    <w:rsid w:val="0075144C"/>
    <w:rsid w:val="00752234"/>
    <w:rsid w:val="00760ADB"/>
    <w:rsid w:val="007663A8"/>
    <w:rsid w:val="00767E64"/>
    <w:rsid w:val="007709BC"/>
    <w:rsid w:val="00773B9B"/>
    <w:rsid w:val="00781BB2"/>
    <w:rsid w:val="007A06EF"/>
    <w:rsid w:val="007B29F4"/>
    <w:rsid w:val="007C01AF"/>
    <w:rsid w:val="007C11C8"/>
    <w:rsid w:val="007C2012"/>
    <w:rsid w:val="007C694E"/>
    <w:rsid w:val="007C7E33"/>
    <w:rsid w:val="007D4924"/>
    <w:rsid w:val="007D54DF"/>
    <w:rsid w:val="007F1339"/>
    <w:rsid w:val="007F3D1D"/>
    <w:rsid w:val="007F4183"/>
    <w:rsid w:val="007F6F41"/>
    <w:rsid w:val="007F75E9"/>
    <w:rsid w:val="00804761"/>
    <w:rsid w:val="0081080D"/>
    <w:rsid w:val="00815E9C"/>
    <w:rsid w:val="00821125"/>
    <w:rsid w:val="008325E6"/>
    <w:rsid w:val="00845AF3"/>
    <w:rsid w:val="00855FB8"/>
    <w:rsid w:val="008610DC"/>
    <w:rsid w:val="00882915"/>
    <w:rsid w:val="00887829"/>
    <w:rsid w:val="00890EC3"/>
    <w:rsid w:val="00896710"/>
    <w:rsid w:val="008A4A35"/>
    <w:rsid w:val="008A68CA"/>
    <w:rsid w:val="008B491E"/>
    <w:rsid w:val="008C30AF"/>
    <w:rsid w:val="008D19BC"/>
    <w:rsid w:val="008D7F44"/>
    <w:rsid w:val="008E30C8"/>
    <w:rsid w:val="008E35D0"/>
    <w:rsid w:val="008F0CC6"/>
    <w:rsid w:val="008F28FD"/>
    <w:rsid w:val="008F5B05"/>
    <w:rsid w:val="009005DC"/>
    <w:rsid w:val="0090429E"/>
    <w:rsid w:val="00906DD1"/>
    <w:rsid w:val="00912594"/>
    <w:rsid w:val="00912B07"/>
    <w:rsid w:val="00917CB9"/>
    <w:rsid w:val="00921597"/>
    <w:rsid w:val="0092282C"/>
    <w:rsid w:val="00934754"/>
    <w:rsid w:val="0093513E"/>
    <w:rsid w:val="00941D50"/>
    <w:rsid w:val="00943B51"/>
    <w:rsid w:val="009503F2"/>
    <w:rsid w:val="00950F42"/>
    <w:rsid w:val="0095280B"/>
    <w:rsid w:val="00970DC7"/>
    <w:rsid w:val="00980F52"/>
    <w:rsid w:val="00991590"/>
    <w:rsid w:val="00996089"/>
    <w:rsid w:val="009A0D86"/>
    <w:rsid w:val="009A1323"/>
    <w:rsid w:val="009A54FE"/>
    <w:rsid w:val="009A62C6"/>
    <w:rsid w:val="009A6AF3"/>
    <w:rsid w:val="009B16E3"/>
    <w:rsid w:val="009B1BD9"/>
    <w:rsid w:val="009C06CF"/>
    <w:rsid w:val="009D2854"/>
    <w:rsid w:val="009D4047"/>
    <w:rsid w:val="009E631E"/>
    <w:rsid w:val="009F5D87"/>
    <w:rsid w:val="009F70AC"/>
    <w:rsid w:val="009F7873"/>
    <w:rsid w:val="00A00CC0"/>
    <w:rsid w:val="00A049F2"/>
    <w:rsid w:val="00A16161"/>
    <w:rsid w:val="00A20FCB"/>
    <w:rsid w:val="00A21023"/>
    <w:rsid w:val="00A215E4"/>
    <w:rsid w:val="00A22125"/>
    <w:rsid w:val="00A229D9"/>
    <w:rsid w:val="00A23389"/>
    <w:rsid w:val="00A27B1A"/>
    <w:rsid w:val="00A34A29"/>
    <w:rsid w:val="00A52ED5"/>
    <w:rsid w:val="00A572D4"/>
    <w:rsid w:val="00A71D62"/>
    <w:rsid w:val="00A74137"/>
    <w:rsid w:val="00A746BB"/>
    <w:rsid w:val="00A819D8"/>
    <w:rsid w:val="00A84ACB"/>
    <w:rsid w:val="00A94542"/>
    <w:rsid w:val="00A949D9"/>
    <w:rsid w:val="00AA13D8"/>
    <w:rsid w:val="00AA2725"/>
    <w:rsid w:val="00AA2B65"/>
    <w:rsid w:val="00AA476C"/>
    <w:rsid w:val="00AA67B8"/>
    <w:rsid w:val="00AB0A3B"/>
    <w:rsid w:val="00AC0E8B"/>
    <w:rsid w:val="00AC7D4F"/>
    <w:rsid w:val="00AE696B"/>
    <w:rsid w:val="00AF0CDA"/>
    <w:rsid w:val="00AF2F82"/>
    <w:rsid w:val="00AF6FD7"/>
    <w:rsid w:val="00B07996"/>
    <w:rsid w:val="00B10247"/>
    <w:rsid w:val="00B245C5"/>
    <w:rsid w:val="00B2766D"/>
    <w:rsid w:val="00B45389"/>
    <w:rsid w:val="00B54C4B"/>
    <w:rsid w:val="00B74B5B"/>
    <w:rsid w:val="00B80736"/>
    <w:rsid w:val="00B81D26"/>
    <w:rsid w:val="00B84743"/>
    <w:rsid w:val="00BA4B4B"/>
    <w:rsid w:val="00BB3E29"/>
    <w:rsid w:val="00BD0BE2"/>
    <w:rsid w:val="00BD1C23"/>
    <w:rsid w:val="00BD7E1A"/>
    <w:rsid w:val="00BE0904"/>
    <w:rsid w:val="00BE0AF0"/>
    <w:rsid w:val="00BE18DB"/>
    <w:rsid w:val="00BE2946"/>
    <w:rsid w:val="00BE30D1"/>
    <w:rsid w:val="00BE7229"/>
    <w:rsid w:val="00BF2E4E"/>
    <w:rsid w:val="00BF723D"/>
    <w:rsid w:val="00C06402"/>
    <w:rsid w:val="00C07678"/>
    <w:rsid w:val="00C13709"/>
    <w:rsid w:val="00C2003C"/>
    <w:rsid w:val="00C230E6"/>
    <w:rsid w:val="00C235E1"/>
    <w:rsid w:val="00C26C8C"/>
    <w:rsid w:val="00C35309"/>
    <w:rsid w:val="00C50DA9"/>
    <w:rsid w:val="00C56D87"/>
    <w:rsid w:val="00C61449"/>
    <w:rsid w:val="00C648BE"/>
    <w:rsid w:val="00C6731F"/>
    <w:rsid w:val="00C84317"/>
    <w:rsid w:val="00C87710"/>
    <w:rsid w:val="00C877E5"/>
    <w:rsid w:val="00C91AD4"/>
    <w:rsid w:val="00C9282E"/>
    <w:rsid w:val="00C95958"/>
    <w:rsid w:val="00C95DE5"/>
    <w:rsid w:val="00CA4C1B"/>
    <w:rsid w:val="00CA52A1"/>
    <w:rsid w:val="00CA5DB7"/>
    <w:rsid w:val="00CB04C3"/>
    <w:rsid w:val="00CC0D04"/>
    <w:rsid w:val="00CC486D"/>
    <w:rsid w:val="00CE4923"/>
    <w:rsid w:val="00CE586E"/>
    <w:rsid w:val="00CF5FCC"/>
    <w:rsid w:val="00D00888"/>
    <w:rsid w:val="00D03AAD"/>
    <w:rsid w:val="00D03BE5"/>
    <w:rsid w:val="00D16251"/>
    <w:rsid w:val="00D24D91"/>
    <w:rsid w:val="00D26FA1"/>
    <w:rsid w:val="00D30B8D"/>
    <w:rsid w:val="00D321C3"/>
    <w:rsid w:val="00D43A8E"/>
    <w:rsid w:val="00D45220"/>
    <w:rsid w:val="00D45647"/>
    <w:rsid w:val="00D543ED"/>
    <w:rsid w:val="00D62A70"/>
    <w:rsid w:val="00D65781"/>
    <w:rsid w:val="00D752DD"/>
    <w:rsid w:val="00D77AA9"/>
    <w:rsid w:val="00D81165"/>
    <w:rsid w:val="00D83EF2"/>
    <w:rsid w:val="00D84E99"/>
    <w:rsid w:val="00D941A6"/>
    <w:rsid w:val="00DA05D2"/>
    <w:rsid w:val="00DB4DD0"/>
    <w:rsid w:val="00DC2A98"/>
    <w:rsid w:val="00DC4DC8"/>
    <w:rsid w:val="00DD1E16"/>
    <w:rsid w:val="00DD5B5F"/>
    <w:rsid w:val="00DE2BC6"/>
    <w:rsid w:val="00DE4E43"/>
    <w:rsid w:val="00DF23A5"/>
    <w:rsid w:val="00DF3401"/>
    <w:rsid w:val="00DF52B1"/>
    <w:rsid w:val="00DF6FC2"/>
    <w:rsid w:val="00E11B04"/>
    <w:rsid w:val="00E12EE0"/>
    <w:rsid w:val="00E26784"/>
    <w:rsid w:val="00E30692"/>
    <w:rsid w:val="00E42DB3"/>
    <w:rsid w:val="00E444E8"/>
    <w:rsid w:val="00E47747"/>
    <w:rsid w:val="00E51022"/>
    <w:rsid w:val="00E51211"/>
    <w:rsid w:val="00E51D7A"/>
    <w:rsid w:val="00E52685"/>
    <w:rsid w:val="00E53541"/>
    <w:rsid w:val="00E5433D"/>
    <w:rsid w:val="00E63C83"/>
    <w:rsid w:val="00E63CA1"/>
    <w:rsid w:val="00E80748"/>
    <w:rsid w:val="00E80D70"/>
    <w:rsid w:val="00E87186"/>
    <w:rsid w:val="00E91C66"/>
    <w:rsid w:val="00E95C8A"/>
    <w:rsid w:val="00E97E8B"/>
    <w:rsid w:val="00EA4F40"/>
    <w:rsid w:val="00EB1BD6"/>
    <w:rsid w:val="00EB6A64"/>
    <w:rsid w:val="00EB7438"/>
    <w:rsid w:val="00EC4266"/>
    <w:rsid w:val="00EC7A58"/>
    <w:rsid w:val="00ED578A"/>
    <w:rsid w:val="00ED7E10"/>
    <w:rsid w:val="00EE6290"/>
    <w:rsid w:val="00EF22C3"/>
    <w:rsid w:val="00EF2C9F"/>
    <w:rsid w:val="00EF2CD4"/>
    <w:rsid w:val="00F07A84"/>
    <w:rsid w:val="00F14CA8"/>
    <w:rsid w:val="00F14EB7"/>
    <w:rsid w:val="00F17B16"/>
    <w:rsid w:val="00F22436"/>
    <w:rsid w:val="00F24A09"/>
    <w:rsid w:val="00F3212A"/>
    <w:rsid w:val="00F3389E"/>
    <w:rsid w:val="00F35E42"/>
    <w:rsid w:val="00F50B36"/>
    <w:rsid w:val="00F52ECC"/>
    <w:rsid w:val="00F61617"/>
    <w:rsid w:val="00F63826"/>
    <w:rsid w:val="00F83206"/>
    <w:rsid w:val="00F86989"/>
    <w:rsid w:val="00F97053"/>
    <w:rsid w:val="00FA3C13"/>
    <w:rsid w:val="00FA64C6"/>
    <w:rsid w:val="00FB218F"/>
    <w:rsid w:val="00FB3150"/>
    <w:rsid w:val="00FB4A14"/>
    <w:rsid w:val="00FB79F4"/>
    <w:rsid w:val="00FC3CAA"/>
    <w:rsid w:val="00FC4864"/>
    <w:rsid w:val="00FC4918"/>
    <w:rsid w:val="00FD0670"/>
    <w:rsid w:val="00FF19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BalloonText">
    <w:name w:val="Balloon Text"/>
    <w:basedOn w:val="Normal"/>
    <w:link w:val="BalloonTextChar"/>
    <w:uiPriority w:val="99"/>
    <w:semiHidden/>
    <w:unhideWhenUsed/>
    <w:rsid w:val="009042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7A47-0FF3-46A2-99EB-AE95273E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3</cp:revision>
  <cp:lastPrinted>2023-03-22T16:54:00Z</cp:lastPrinted>
  <dcterms:created xsi:type="dcterms:W3CDTF">2023-03-29T09:11:00Z</dcterms:created>
  <dcterms:modified xsi:type="dcterms:W3CDTF">2023-03-29T09:12:00Z</dcterms:modified>
  <cp:contentStatus/>
</cp:coreProperties>
</file>