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F6" w:rsidRPr="00095BB2" w:rsidRDefault="00D968F6" w:rsidP="00095BB2">
      <w:pPr>
        <w:spacing w:line="360" w:lineRule="auto"/>
        <w:jc w:val="center"/>
        <w:rPr>
          <w:rFonts w:ascii="Times New Roman" w:hAnsi="Times New Roman" w:cs="Times New Roman"/>
          <w:sz w:val="28"/>
          <w:szCs w:val="28"/>
        </w:rPr>
      </w:pPr>
      <w:r w:rsidRPr="00095BB2">
        <w:rPr>
          <w:rFonts w:ascii="Times New Roman" w:hAnsi="Times New Roman" w:cs="Times New Roman"/>
          <w:noProof/>
          <w:sz w:val="28"/>
          <w:szCs w:val="28"/>
          <w:lang w:val="en-US"/>
        </w:rPr>
        <w:drawing>
          <wp:inline distT="0" distB="0" distL="0" distR="0" wp14:anchorId="59DACCBE" wp14:editId="39ED7BC0">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DB141F" w:rsidRPr="00095BB2" w:rsidRDefault="00DB141F" w:rsidP="00095BB2">
      <w:pPr>
        <w:spacing w:line="360" w:lineRule="auto"/>
        <w:jc w:val="center"/>
        <w:rPr>
          <w:rFonts w:ascii="Times New Roman" w:hAnsi="Times New Roman" w:cs="Times New Roman"/>
          <w:sz w:val="28"/>
          <w:szCs w:val="28"/>
        </w:rPr>
      </w:pPr>
    </w:p>
    <w:p w:rsidR="00D968F6" w:rsidRPr="00095BB2" w:rsidRDefault="00D968F6" w:rsidP="00095BB2">
      <w:pPr>
        <w:spacing w:line="360" w:lineRule="auto"/>
        <w:jc w:val="center"/>
        <w:rPr>
          <w:rFonts w:ascii="Times New Roman" w:hAnsi="Times New Roman" w:cs="Times New Roman"/>
          <w:b/>
          <w:sz w:val="28"/>
          <w:szCs w:val="28"/>
        </w:rPr>
      </w:pPr>
      <w:r w:rsidRPr="00095BB2">
        <w:rPr>
          <w:rFonts w:ascii="Times New Roman" w:hAnsi="Times New Roman" w:cs="Times New Roman"/>
          <w:b/>
          <w:sz w:val="28"/>
          <w:szCs w:val="28"/>
        </w:rPr>
        <w:t>IN THE HIGH COURT OF SOUTH AFRICA</w:t>
      </w:r>
    </w:p>
    <w:p w:rsidR="00D968F6" w:rsidRPr="00095BB2" w:rsidRDefault="00095BB2" w:rsidP="00095BB2">
      <w:pPr>
        <w:spacing w:line="360" w:lineRule="auto"/>
        <w:jc w:val="center"/>
        <w:rPr>
          <w:rFonts w:ascii="Times New Roman" w:hAnsi="Times New Roman" w:cs="Times New Roman"/>
          <w:b/>
          <w:sz w:val="28"/>
          <w:szCs w:val="28"/>
        </w:rPr>
      </w:pPr>
      <w:r w:rsidRPr="00095BB2">
        <w:rPr>
          <w:rFonts w:ascii="Times New Roman" w:hAnsi="Times New Roman" w:cs="Times New Roman"/>
          <w:b/>
          <w:sz w:val="28"/>
          <w:szCs w:val="28"/>
        </w:rPr>
        <w:t>(</w:t>
      </w:r>
      <w:r w:rsidR="00D968F6" w:rsidRPr="00095BB2">
        <w:rPr>
          <w:rFonts w:ascii="Times New Roman" w:hAnsi="Times New Roman" w:cs="Times New Roman"/>
          <w:b/>
          <w:sz w:val="28"/>
          <w:szCs w:val="28"/>
        </w:rPr>
        <w:t>EASTERN CAPE DIVISION, MAKHANDA</w:t>
      </w:r>
      <w:r w:rsidRPr="00095BB2">
        <w:rPr>
          <w:rFonts w:ascii="Times New Roman" w:hAnsi="Times New Roman" w:cs="Times New Roman"/>
          <w:b/>
          <w:sz w:val="28"/>
          <w:szCs w:val="28"/>
        </w:rPr>
        <w:t>)</w:t>
      </w:r>
    </w:p>
    <w:p w:rsidR="00D968F6" w:rsidRPr="00095BB2" w:rsidRDefault="00D968F6">
      <w:pPr>
        <w:spacing w:line="360" w:lineRule="auto"/>
        <w:ind w:left="720" w:firstLine="720"/>
        <w:jc w:val="both"/>
        <w:rPr>
          <w:rFonts w:ascii="Times New Roman" w:hAnsi="Times New Roman" w:cs="Times New Roman"/>
          <w:b/>
          <w:sz w:val="28"/>
          <w:szCs w:val="28"/>
        </w:rPr>
      </w:pPr>
      <w:r w:rsidRPr="00095BB2">
        <w:rPr>
          <w:rFonts w:ascii="Times New Roman" w:hAnsi="Times New Roman" w:cs="Times New Roman"/>
          <w:b/>
          <w:sz w:val="28"/>
          <w:szCs w:val="28"/>
        </w:rPr>
        <w:t xml:space="preserve"> </w:t>
      </w:r>
      <w:r w:rsidRPr="00095BB2">
        <w:rPr>
          <w:rFonts w:ascii="Times New Roman" w:hAnsi="Times New Roman" w:cs="Times New Roman"/>
          <w:b/>
          <w:sz w:val="28"/>
          <w:szCs w:val="28"/>
        </w:rPr>
        <w:tab/>
      </w:r>
      <w:r w:rsidRPr="00095BB2">
        <w:rPr>
          <w:rFonts w:ascii="Times New Roman" w:hAnsi="Times New Roman" w:cs="Times New Roman"/>
          <w:b/>
          <w:sz w:val="28"/>
          <w:szCs w:val="28"/>
        </w:rPr>
        <w:tab/>
      </w:r>
      <w:r w:rsidRPr="00095BB2">
        <w:rPr>
          <w:rFonts w:ascii="Times New Roman" w:hAnsi="Times New Roman" w:cs="Times New Roman"/>
          <w:b/>
          <w:sz w:val="28"/>
          <w:szCs w:val="28"/>
        </w:rPr>
        <w:tab/>
      </w:r>
      <w:r w:rsidRPr="00095BB2">
        <w:rPr>
          <w:rFonts w:ascii="Times New Roman" w:hAnsi="Times New Roman" w:cs="Times New Roman"/>
          <w:b/>
          <w:sz w:val="28"/>
          <w:szCs w:val="28"/>
        </w:rPr>
        <w:tab/>
      </w:r>
      <w:r w:rsidRPr="00095BB2">
        <w:rPr>
          <w:rFonts w:ascii="Times New Roman" w:hAnsi="Times New Roman" w:cs="Times New Roman"/>
          <w:b/>
          <w:sz w:val="28"/>
          <w:szCs w:val="28"/>
        </w:rPr>
        <w:tab/>
      </w:r>
      <w:r w:rsidRPr="00095BB2">
        <w:rPr>
          <w:rFonts w:ascii="Times New Roman" w:hAnsi="Times New Roman" w:cs="Times New Roman"/>
          <w:b/>
          <w:sz w:val="28"/>
          <w:szCs w:val="28"/>
        </w:rPr>
        <w:tab/>
        <w:t xml:space="preserve">        </w:t>
      </w:r>
      <w:r w:rsidR="00095BB2" w:rsidRPr="00095BB2">
        <w:rPr>
          <w:rFonts w:ascii="Times New Roman" w:hAnsi="Times New Roman" w:cs="Times New Roman"/>
          <w:b/>
          <w:sz w:val="28"/>
          <w:szCs w:val="28"/>
        </w:rPr>
        <w:t xml:space="preserve">    </w:t>
      </w:r>
      <w:r w:rsidRPr="00095BB2">
        <w:rPr>
          <w:rFonts w:ascii="Times New Roman" w:hAnsi="Times New Roman" w:cs="Times New Roman"/>
          <w:b/>
          <w:sz w:val="28"/>
          <w:szCs w:val="28"/>
        </w:rPr>
        <w:t xml:space="preserve"> C</w:t>
      </w:r>
      <w:r w:rsidR="00095BB2" w:rsidRPr="00095BB2">
        <w:rPr>
          <w:rFonts w:ascii="Times New Roman" w:hAnsi="Times New Roman" w:cs="Times New Roman"/>
          <w:b/>
          <w:sz w:val="28"/>
          <w:szCs w:val="28"/>
        </w:rPr>
        <w:t>ase</w:t>
      </w:r>
      <w:r w:rsidRPr="00095BB2">
        <w:rPr>
          <w:rFonts w:ascii="Times New Roman" w:hAnsi="Times New Roman" w:cs="Times New Roman"/>
          <w:b/>
          <w:sz w:val="28"/>
          <w:szCs w:val="28"/>
        </w:rPr>
        <w:t xml:space="preserve"> N</w:t>
      </w:r>
      <w:r w:rsidR="00095BB2" w:rsidRPr="00095BB2">
        <w:rPr>
          <w:rFonts w:ascii="Times New Roman" w:hAnsi="Times New Roman" w:cs="Times New Roman"/>
          <w:b/>
          <w:sz w:val="28"/>
          <w:szCs w:val="28"/>
        </w:rPr>
        <w:t>o:</w:t>
      </w:r>
      <w:r w:rsidRPr="00095BB2">
        <w:rPr>
          <w:rFonts w:ascii="Times New Roman" w:hAnsi="Times New Roman" w:cs="Times New Roman"/>
          <w:b/>
          <w:sz w:val="28"/>
          <w:szCs w:val="28"/>
        </w:rPr>
        <w:t xml:space="preserve"> 2338/2020</w:t>
      </w:r>
    </w:p>
    <w:p w:rsidR="00D968F6" w:rsidRPr="00095BB2" w:rsidRDefault="00D968F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In the matter between:</w:t>
      </w:r>
    </w:p>
    <w:p w:rsidR="00D968F6" w:rsidRPr="00095BB2" w:rsidRDefault="00D968F6">
      <w:pPr>
        <w:spacing w:line="360" w:lineRule="auto"/>
        <w:jc w:val="both"/>
        <w:rPr>
          <w:rFonts w:ascii="Times New Roman" w:hAnsi="Times New Roman" w:cs="Times New Roman"/>
          <w:sz w:val="28"/>
          <w:szCs w:val="28"/>
        </w:rPr>
      </w:pPr>
    </w:p>
    <w:p w:rsidR="00D968F6" w:rsidRPr="00095BB2" w:rsidRDefault="00D968F6">
      <w:pPr>
        <w:spacing w:line="360" w:lineRule="auto"/>
        <w:jc w:val="both"/>
        <w:rPr>
          <w:rFonts w:ascii="Times New Roman" w:hAnsi="Times New Roman" w:cs="Times New Roman"/>
          <w:b/>
          <w:sz w:val="28"/>
          <w:szCs w:val="28"/>
        </w:rPr>
      </w:pPr>
      <w:r w:rsidRPr="00095BB2">
        <w:rPr>
          <w:rFonts w:ascii="Times New Roman" w:hAnsi="Times New Roman" w:cs="Times New Roman"/>
          <w:b/>
          <w:sz w:val="28"/>
          <w:szCs w:val="28"/>
        </w:rPr>
        <w:t xml:space="preserve">SIKHOSONKE </w:t>
      </w:r>
      <w:r w:rsidR="001B7854" w:rsidRPr="00095BB2">
        <w:rPr>
          <w:rFonts w:ascii="Times New Roman" w:hAnsi="Times New Roman" w:cs="Times New Roman"/>
          <w:b/>
          <w:sz w:val="28"/>
          <w:szCs w:val="28"/>
        </w:rPr>
        <w:t>T</w:t>
      </w:r>
      <w:r w:rsidRPr="00095BB2">
        <w:rPr>
          <w:rFonts w:ascii="Times New Roman" w:hAnsi="Times New Roman" w:cs="Times New Roman"/>
          <w:b/>
          <w:sz w:val="28"/>
          <w:szCs w:val="28"/>
        </w:rPr>
        <w:t xml:space="preserve">RADING AND </w:t>
      </w:r>
    </w:p>
    <w:p w:rsidR="00D968F6" w:rsidRPr="00095BB2" w:rsidRDefault="00D968F6">
      <w:pPr>
        <w:spacing w:line="360" w:lineRule="auto"/>
        <w:jc w:val="both"/>
        <w:rPr>
          <w:rFonts w:ascii="Times New Roman" w:hAnsi="Times New Roman" w:cs="Times New Roman"/>
          <w:sz w:val="28"/>
          <w:szCs w:val="28"/>
        </w:rPr>
      </w:pPr>
      <w:r w:rsidRPr="00095BB2">
        <w:rPr>
          <w:rFonts w:ascii="Times New Roman" w:hAnsi="Times New Roman" w:cs="Times New Roman"/>
          <w:b/>
          <w:sz w:val="28"/>
          <w:szCs w:val="28"/>
        </w:rPr>
        <w:t>INVESTMENTS (PTY) LTD</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833D92">
        <w:rPr>
          <w:rFonts w:ascii="Times New Roman" w:hAnsi="Times New Roman" w:cs="Times New Roman"/>
          <w:sz w:val="28"/>
          <w:szCs w:val="28"/>
        </w:rPr>
        <w:t xml:space="preserve">  </w:t>
      </w:r>
      <w:r w:rsidR="00095BB2" w:rsidRPr="00D75D96">
        <w:rPr>
          <w:rFonts w:ascii="Times New Roman" w:hAnsi="Times New Roman" w:cs="Times New Roman"/>
          <w:b/>
          <w:sz w:val="28"/>
          <w:szCs w:val="28"/>
        </w:rPr>
        <w:t>APPLICANT</w:t>
      </w:r>
    </w:p>
    <w:p w:rsidR="00D968F6" w:rsidRPr="00095BB2" w:rsidRDefault="00D968F6">
      <w:pPr>
        <w:spacing w:line="360" w:lineRule="auto"/>
        <w:jc w:val="both"/>
        <w:rPr>
          <w:rFonts w:ascii="Times New Roman" w:hAnsi="Times New Roman" w:cs="Times New Roman"/>
          <w:sz w:val="28"/>
          <w:szCs w:val="28"/>
        </w:rPr>
      </w:pPr>
    </w:p>
    <w:p w:rsidR="00D968F6" w:rsidRPr="00095BB2" w:rsidRDefault="00D968F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and</w:t>
      </w:r>
    </w:p>
    <w:p w:rsidR="00D968F6" w:rsidRPr="00095BB2" w:rsidRDefault="00D968F6">
      <w:pPr>
        <w:spacing w:line="360" w:lineRule="auto"/>
        <w:jc w:val="both"/>
        <w:rPr>
          <w:rFonts w:ascii="Times New Roman" w:hAnsi="Times New Roman" w:cs="Times New Roman"/>
          <w:sz w:val="28"/>
          <w:szCs w:val="28"/>
        </w:rPr>
      </w:pPr>
    </w:p>
    <w:p w:rsidR="00D968F6" w:rsidRPr="00095BB2" w:rsidRDefault="00D968F6">
      <w:pPr>
        <w:spacing w:line="360" w:lineRule="auto"/>
        <w:jc w:val="both"/>
        <w:rPr>
          <w:rFonts w:ascii="Times New Roman" w:hAnsi="Times New Roman" w:cs="Times New Roman"/>
          <w:sz w:val="28"/>
          <w:szCs w:val="28"/>
        </w:rPr>
      </w:pPr>
      <w:r w:rsidRPr="00095BB2">
        <w:rPr>
          <w:rFonts w:ascii="Times New Roman" w:hAnsi="Times New Roman" w:cs="Times New Roman"/>
          <w:b/>
          <w:sz w:val="28"/>
          <w:szCs w:val="28"/>
        </w:rPr>
        <w:t>ABSA BANK LIMITED</w:t>
      </w:r>
      <w:r w:rsidRPr="00095BB2">
        <w:rPr>
          <w:rFonts w:ascii="Times New Roman" w:hAnsi="Times New Roman" w:cs="Times New Roman"/>
          <w:sz w:val="28"/>
          <w:szCs w:val="28"/>
        </w:rPr>
        <w:t xml:space="preserve"> </w:t>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t xml:space="preserve">    </w:t>
      </w:r>
      <w:r w:rsidR="00095BB2" w:rsidRPr="00095BB2">
        <w:rPr>
          <w:rFonts w:ascii="Times New Roman" w:hAnsi="Times New Roman" w:cs="Times New Roman"/>
          <w:sz w:val="28"/>
          <w:szCs w:val="28"/>
        </w:rPr>
        <w:t xml:space="preserve">  </w:t>
      </w:r>
      <w:r w:rsidR="00095BB2" w:rsidRPr="00D75D96">
        <w:rPr>
          <w:rFonts w:ascii="Times New Roman" w:hAnsi="Times New Roman" w:cs="Times New Roman"/>
          <w:b/>
          <w:sz w:val="28"/>
          <w:szCs w:val="28"/>
        </w:rPr>
        <w:t>FIRST RESPONDENT</w:t>
      </w:r>
    </w:p>
    <w:p w:rsidR="00A85E29" w:rsidRPr="00095BB2" w:rsidRDefault="00A85E29">
      <w:pPr>
        <w:spacing w:line="360" w:lineRule="auto"/>
        <w:jc w:val="both"/>
        <w:rPr>
          <w:rFonts w:ascii="Times New Roman" w:hAnsi="Times New Roman" w:cs="Times New Roman"/>
          <w:sz w:val="28"/>
          <w:szCs w:val="28"/>
        </w:rPr>
      </w:pPr>
    </w:p>
    <w:p w:rsidR="00354A12" w:rsidRPr="00095BB2" w:rsidRDefault="00A85E29">
      <w:pPr>
        <w:spacing w:line="360" w:lineRule="auto"/>
        <w:jc w:val="both"/>
        <w:rPr>
          <w:rFonts w:ascii="Times New Roman" w:hAnsi="Times New Roman" w:cs="Times New Roman"/>
          <w:b/>
          <w:sz w:val="28"/>
          <w:szCs w:val="28"/>
        </w:rPr>
      </w:pPr>
      <w:r w:rsidRPr="00095BB2">
        <w:rPr>
          <w:rFonts w:ascii="Times New Roman" w:hAnsi="Times New Roman" w:cs="Times New Roman"/>
          <w:b/>
          <w:sz w:val="28"/>
          <w:szCs w:val="28"/>
        </w:rPr>
        <w:t>SHERIFF OF THE HIGH COURT,</w:t>
      </w:r>
    </w:p>
    <w:p w:rsidR="00A85E29" w:rsidRPr="00095BB2" w:rsidRDefault="00A85E29">
      <w:pPr>
        <w:spacing w:line="360" w:lineRule="auto"/>
        <w:jc w:val="both"/>
        <w:rPr>
          <w:rFonts w:ascii="Times New Roman" w:hAnsi="Times New Roman" w:cs="Times New Roman"/>
          <w:sz w:val="28"/>
          <w:szCs w:val="28"/>
        </w:rPr>
      </w:pPr>
      <w:r w:rsidRPr="00095BB2">
        <w:rPr>
          <w:rFonts w:ascii="Times New Roman" w:hAnsi="Times New Roman" w:cs="Times New Roman"/>
          <w:b/>
          <w:sz w:val="28"/>
          <w:szCs w:val="28"/>
        </w:rPr>
        <w:t>LUSIKISIKI</w:t>
      </w:r>
      <w:r w:rsidRPr="00095BB2">
        <w:rPr>
          <w:rFonts w:ascii="Times New Roman" w:hAnsi="Times New Roman" w:cs="Times New Roman"/>
          <w:sz w:val="28"/>
          <w:szCs w:val="28"/>
        </w:rPr>
        <w:t xml:space="preserve"> </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95BB2" w:rsidRPr="00095BB2">
        <w:rPr>
          <w:rFonts w:ascii="Times New Roman" w:hAnsi="Times New Roman" w:cs="Times New Roman"/>
          <w:sz w:val="28"/>
          <w:szCs w:val="28"/>
        </w:rPr>
        <w:t xml:space="preserve"> </w:t>
      </w:r>
      <w:r w:rsidR="00095BB2" w:rsidRPr="00D75D96">
        <w:rPr>
          <w:rFonts w:ascii="Times New Roman" w:hAnsi="Times New Roman" w:cs="Times New Roman"/>
          <w:b/>
          <w:sz w:val="28"/>
          <w:szCs w:val="28"/>
        </w:rPr>
        <w:t>SECOND RESPONDENT</w:t>
      </w:r>
    </w:p>
    <w:p w:rsidR="00A572D4" w:rsidRPr="00095BB2" w:rsidRDefault="00A572D4">
      <w:pPr>
        <w:spacing w:line="360" w:lineRule="auto"/>
        <w:jc w:val="both"/>
        <w:rPr>
          <w:rFonts w:ascii="Times New Roman" w:hAnsi="Times New Roman" w:cs="Times New Roman"/>
          <w:sz w:val="28"/>
          <w:szCs w:val="28"/>
        </w:rPr>
      </w:pPr>
    </w:p>
    <w:p w:rsidR="00A85E29" w:rsidRPr="00095BB2" w:rsidRDefault="00A85E29">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 xml:space="preserve">In </w:t>
      </w:r>
      <w:r w:rsidR="00DC45B3">
        <w:rPr>
          <w:rFonts w:ascii="Times New Roman" w:hAnsi="Times New Roman" w:cs="Times New Roman"/>
          <w:sz w:val="28"/>
          <w:szCs w:val="28"/>
        </w:rPr>
        <w:t>r</w:t>
      </w:r>
      <w:r w:rsidRPr="00095BB2">
        <w:rPr>
          <w:rFonts w:ascii="Times New Roman" w:hAnsi="Times New Roman" w:cs="Times New Roman"/>
          <w:sz w:val="28"/>
          <w:szCs w:val="28"/>
        </w:rPr>
        <w:t>e:</w:t>
      </w:r>
    </w:p>
    <w:p w:rsidR="00A85E29" w:rsidRPr="00095BB2" w:rsidRDefault="00A85E29">
      <w:pPr>
        <w:spacing w:line="360" w:lineRule="auto"/>
        <w:jc w:val="both"/>
        <w:rPr>
          <w:rFonts w:ascii="Times New Roman" w:hAnsi="Times New Roman" w:cs="Times New Roman"/>
          <w:sz w:val="28"/>
          <w:szCs w:val="28"/>
        </w:rPr>
      </w:pPr>
    </w:p>
    <w:p w:rsidR="001C335E" w:rsidRPr="00095BB2" w:rsidRDefault="00A85E29">
      <w:pPr>
        <w:spacing w:line="360" w:lineRule="auto"/>
        <w:jc w:val="both"/>
        <w:rPr>
          <w:rFonts w:ascii="Times New Roman" w:hAnsi="Times New Roman" w:cs="Times New Roman"/>
          <w:sz w:val="28"/>
          <w:szCs w:val="28"/>
        </w:rPr>
      </w:pPr>
      <w:r w:rsidRPr="00095BB2">
        <w:rPr>
          <w:rFonts w:ascii="Times New Roman" w:hAnsi="Times New Roman" w:cs="Times New Roman"/>
          <w:b/>
          <w:sz w:val="28"/>
          <w:szCs w:val="28"/>
        </w:rPr>
        <w:t>ABSA BANK LIMITED</w:t>
      </w:r>
      <w:r w:rsidRPr="00095BB2">
        <w:rPr>
          <w:rFonts w:ascii="Times New Roman" w:hAnsi="Times New Roman" w:cs="Times New Roman"/>
          <w:sz w:val="28"/>
          <w:szCs w:val="28"/>
        </w:rPr>
        <w:t xml:space="preserve"> </w:t>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t xml:space="preserve">       </w:t>
      </w:r>
      <w:r w:rsidR="001C335E" w:rsidRPr="00095BB2">
        <w:rPr>
          <w:rFonts w:ascii="Times New Roman" w:hAnsi="Times New Roman" w:cs="Times New Roman"/>
          <w:sz w:val="28"/>
          <w:szCs w:val="28"/>
        </w:rPr>
        <w:tab/>
      </w:r>
      <w:r w:rsidR="00095BB2" w:rsidRPr="00095BB2">
        <w:rPr>
          <w:rFonts w:ascii="Times New Roman" w:hAnsi="Times New Roman" w:cs="Times New Roman"/>
          <w:sz w:val="28"/>
          <w:szCs w:val="28"/>
        </w:rPr>
        <w:t xml:space="preserve">    </w:t>
      </w:r>
      <w:r w:rsidR="00095BB2" w:rsidRPr="00D75D96">
        <w:rPr>
          <w:rFonts w:ascii="Times New Roman" w:hAnsi="Times New Roman" w:cs="Times New Roman"/>
          <w:b/>
          <w:sz w:val="28"/>
          <w:szCs w:val="28"/>
        </w:rPr>
        <w:t>PLAINTIFF</w:t>
      </w:r>
    </w:p>
    <w:p w:rsidR="001C335E" w:rsidRPr="00095BB2" w:rsidRDefault="001C335E">
      <w:pPr>
        <w:spacing w:line="360" w:lineRule="auto"/>
        <w:jc w:val="both"/>
        <w:rPr>
          <w:rFonts w:ascii="Times New Roman" w:hAnsi="Times New Roman" w:cs="Times New Roman"/>
          <w:sz w:val="28"/>
          <w:szCs w:val="28"/>
        </w:rPr>
      </w:pPr>
    </w:p>
    <w:p w:rsidR="001C335E" w:rsidRPr="00095BB2" w:rsidRDefault="001C335E">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and</w:t>
      </w:r>
    </w:p>
    <w:p w:rsidR="00A85E29" w:rsidRPr="00095BB2" w:rsidRDefault="00A85E29">
      <w:pPr>
        <w:spacing w:line="360" w:lineRule="auto"/>
        <w:jc w:val="both"/>
        <w:rPr>
          <w:rFonts w:ascii="Times New Roman" w:hAnsi="Times New Roman" w:cs="Times New Roman"/>
          <w:sz w:val="28"/>
          <w:szCs w:val="28"/>
        </w:rPr>
      </w:pPr>
    </w:p>
    <w:p w:rsidR="00A85E29" w:rsidRPr="00095BB2" w:rsidRDefault="00A85E29">
      <w:pPr>
        <w:spacing w:line="360" w:lineRule="auto"/>
        <w:jc w:val="both"/>
        <w:rPr>
          <w:rFonts w:ascii="Times New Roman" w:hAnsi="Times New Roman" w:cs="Times New Roman"/>
          <w:b/>
          <w:sz w:val="28"/>
          <w:szCs w:val="28"/>
        </w:rPr>
      </w:pPr>
      <w:r w:rsidRPr="00095BB2">
        <w:rPr>
          <w:rFonts w:ascii="Times New Roman" w:hAnsi="Times New Roman" w:cs="Times New Roman"/>
          <w:b/>
          <w:sz w:val="28"/>
          <w:szCs w:val="28"/>
        </w:rPr>
        <w:t xml:space="preserve">SIKHOSONKE </w:t>
      </w:r>
      <w:r w:rsidR="001B7854" w:rsidRPr="00095BB2">
        <w:rPr>
          <w:rFonts w:ascii="Times New Roman" w:hAnsi="Times New Roman" w:cs="Times New Roman"/>
          <w:b/>
          <w:sz w:val="28"/>
          <w:szCs w:val="28"/>
        </w:rPr>
        <w:t>T</w:t>
      </w:r>
      <w:r w:rsidRPr="00095BB2">
        <w:rPr>
          <w:rFonts w:ascii="Times New Roman" w:hAnsi="Times New Roman" w:cs="Times New Roman"/>
          <w:b/>
          <w:sz w:val="28"/>
          <w:szCs w:val="28"/>
        </w:rPr>
        <w:t>RADING AND</w:t>
      </w:r>
    </w:p>
    <w:p w:rsidR="00A85E29" w:rsidRPr="00095BB2" w:rsidRDefault="00A85E29">
      <w:pPr>
        <w:spacing w:line="360" w:lineRule="auto"/>
        <w:jc w:val="both"/>
        <w:rPr>
          <w:rFonts w:ascii="Times New Roman" w:hAnsi="Times New Roman" w:cs="Times New Roman"/>
          <w:sz w:val="28"/>
          <w:szCs w:val="28"/>
        </w:rPr>
      </w:pPr>
      <w:r w:rsidRPr="00095BB2">
        <w:rPr>
          <w:rFonts w:ascii="Times New Roman" w:hAnsi="Times New Roman" w:cs="Times New Roman"/>
          <w:b/>
          <w:sz w:val="28"/>
          <w:szCs w:val="28"/>
        </w:rPr>
        <w:t>INVESTMENTS (PTY) LTD</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t xml:space="preserve">    </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95BB2" w:rsidRPr="00095BB2">
        <w:rPr>
          <w:rFonts w:ascii="Times New Roman" w:hAnsi="Times New Roman" w:cs="Times New Roman"/>
          <w:sz w:val="28"/>
          <w:szCs w:val="28"/>
        </w:rPr>
        <w:t xml:space="preserve"> </w:t>
      </w:r>
      <w:r w:rsidR="00095BB2" w:rsidRPr="00D75D96">
        <w:rPr>
          <w:rFonts w:ascii="Times New Roman" w:hAnsi="Times New Roman" w:cs="Times New Roman"/>
          <w:b/>
          <w:sz w:val="28"/>
          <w:szCs w:val="28"/>
        </w:rPr>
        <w:t>DEFENDANT</w:t>
      </w:r>
    </w:p>
    <w:p w:rsidR="00354A12" w:rsidRPr="00095BB2" w:rsidRDefault="00354A12" w:rsidP="00D75D96">
      <w:pPr>
        <w:pBdr>
          <w:bottom w:val="single" w:sz="12" w:space="1" w:color="auto"/>
        </w:pBdr>
        <w:spacing w:line="360" w:lineRule="auto"/>
        <w:jc w:val="both"/>
        <w:rPr>
          <w:rFonts w:ascii="Times New Roman" w:hAnsi="Times New Roman" w:cs="Times New Roman"/>
          <w:sz w:val="28"/>
          <w:szCs w:val="28"/>
        </w:rPr>
      </w:pPr>
    </w:p>
    <w:p w:rsidR="00354A12" w:rsidRPr="00095BB2" w:rsidRDefault="00354A12" w:rsidP="00D75D96">
      <w:pPr>
        <w:spacing w:line="360" w:lineRule="auto"/>
        <w:jc w:val="both"/>
        <w:rPr>
          <w:rFonts w:ascii="Times New Roman" w:hAnsi="Times New Roman" w:cs="Times New Roman"/>
          <w:sz w:val="28"/>
          <w:szCs w:val="28"/>
        </w:rPr>
      </w:pPr>
    </w:p>
    <w:p w:rsidR="00354A12" w:rsidRPr="00095BB2" w:rsidRDefault="00354A12" w:rsidP="00D75D96">
      <w:pPr>
        <w:pBdr>
          <w:bottom w:val="single" w:sz="12" w:space="1" w:color="auto"/>
        </w:pBdr>
        <w:spacing w:line="360" w:lineRule="auto"/>
        <w:jc w:val="center"/>
        <w:rPr>
          <w:rFonts w:ascii="Times New Roman" w:hAnsi="Times New Roman" w:cs="Times New Roman"/>
          <w:b/>
          <w:sz w:val="28"/>
          <w:szCs w:val="28"/>
        </w:rPr>
      </w:pPr>
      <w:r w:rsidRPr="00095BB2">
        <w:rPr>
          <w:rFonts w:ascii="Times New Roman" w:hAnsi="Times New Roman" w:cs="Times New Roman"/>
          <w:b/>
          <w:sz w:val="28"/>
          <w:szCs w:val="28"/>
        </w:rPr>
        <w:t>JUDGMENT</w:t>
      </w:r>
    </w:p>
    <w:p w:rsidR="00354A12" w:rsidRPr="00095BB2" w:rsidRDefault="00354A12" w:rsidP="00D75D96">
      <w:pPr>
        <w:pBdr>
          <w:bottom w:val="single" w:sz="12" w:space="1" w:color="auto"/>
        </w:pBdr>
        <w:spacing w:line="360" w:lineRule="auto"/>
        <w:jc w:val="both"/>
        <w:rPr>
          <w:rFonts w:ascii="Times New Roman" w:hAnsi="Times New Roman" w:cs="Times New Roman"/>
          <w:sz w:val="28"/>
          <w:szCs w:val="28"/>
        </w:rPr>
      </w:pPr>
    </w:p>
    <w:p w:rsidR="00354A12" w:rsidRPr="00095BB2" w:rsidRDefault="00354A12" w:rsidP="00D75D96">
      <w:pPr>
        <w:spacing w:line="360" w:lineRule="auto"/>
        <w:jc w:val="both"/>
        <w:rPr>
          <w:rFonts w:ascii="Times New Roman" w:hAnsi="Times New Roman" w:cs="Times New Roman"/>
          <w:sz w:val="28"/>
          <w:szCs w:val="28"/>
        </w:rPr>
      </w:pPr>
    </w:p>
    <w:p w:rsidR="00354A12" w:rsidRPr="00095BB2" w:rsidRDefault="00354A12">
      <w:pPr>
        <w:spacing w:line="360" w:lineRule="auto"/>
        <w:jc w:val="both"/>
        <w:rPr>
          <w:rFonts w:ascii="Times New Roman" w:hAnsi="Times New Roman" w:cs="Times New Roman"/>
          <w:b/>
          <w:sz w:val="28"/>
          <w:szCs w:val="28"/>
        </w:rPr>
      </w:pPr>
      <w:r w:rsidRPr="00095BB2">
        <w:rPr>
          <w:rFonts w:ascii="Times New Roman" w:hAnsi="Times New Roman" w:cs="Times New Roman"/>
          <w:b/>
          <w:sz w:val="28"/>
          <w:szCs w:val="28"/>
        </w:rPr>
        <w:t>R</w:t>
      </w:r>
      <w:r w:rsidR="003C36E9" w:rsidRPr="00095BB2">
        <w:rPr>
          <w:rFonts w:ascii="Times New Roman" w:hAnsi="Times New Roman" w:cs="Times New Roman"/>
          <w:b/>
          <w:sz w:val="28"/>
          <w:szCs w:val="28"/>
        </w:rPr>
        <w:t xml:space="preserve">ugunanan </w:t>
      </w:r>
      <w:r w:rsidR="00D45647" w:rsidRPr="00095BB2">
        <w:rPr>
          <w:rFonts w:ascii="Times New Roman" w:hAnsi="Times New Roman" w:cs="Times New Roman"/>
          <w:b/>
          <w:sz w:val="28"/>
          <w:szCs w:val="28"/>
        </w:rPr>
        <w:t>J</w:t>
      </w:r>
    </w:p>
    <w:p w:rsidR="00354A12" w:rsidRPr="00095BB2" w:rsidRDefault="00354A12">
      <w:pPr>
        <w:spacing w:line="360" w:lineRule="auto"/>
        <w:jc w:val="both"/>
        <w:rPr>
          <w:rFonts w:ascii="Times New Roman" w:hAnsi="Times New Roman" w:cs="Times New Roman"/>
          <w:b/>
          <w:sz w:val="28"/>
          <w:szCs w:val="28"/>
        </w:rPr>
      </w:pPr>
    </w:p>
    <w:p w:rsidR="008A6A84" w:rsidRPr="00D75D96" w:rsidRDefault="00AE4C99" w:rsidP="00AE4C99">
      <w:pPr>
        <w:pStyle w:val="LegalList1"/>
        <w:spacing w:after="0" w:line="360" w:lineRule="auto"/>
        <w:rPr>
          <w:rFonts w:ascii="Times New Roman" w:hAnsi="Times New Roman"/>
          <w:sz w:val="28"/>
          <w:szCs w:val="28"/>
        </w:rPr>
      </w:pPr>
      <w:r w:rsidRPr="00D75D96">
        <w:rPr>
          <w:rFonts w:ascii="Times New Roman" w:hAnsi="Times New Roman"/>
          <w:sz w:val="28"/>
          <w:szCs w:val="28"/>
        </w:rPr>
        <w:t>[1]</w:t>
      </w:r>
      <w:r w:rsidRPr="00D75D96">
        <w:rPr>
          <w:rFonts w:ascii="Times New Roman" w:hAnsi="Times New Roman"/>
          <w:sz w:val="28"/>
          <w:szCs w:val="28"/>
        </w:rPr>
        <w:tab/>
      </w:r>
      <w:r w:rsidR="00E96355" w:rsidRPr="00095BB2">
        <w:rPr>
          <w:rFonts w:ascii="Times New Roman" w:hAnsi="Times New Roman"/>
          <w:color w:val="000000"/>
          <w:sz w:val="28"/>
          <w:szCs w:val="28"/>
        </w:rPr>
        <w:t>The applicant seeks</w:t>
      </w:r>
      <w:r w:rsidR="003F6B95" w:rsidRPr="00095BB2">
        <w:rPr>
          <w:rFonts w:ascii="Times New Roman" w:hAnsi="Times New Roman"/>
          <w:color w:val="000000"/>
          <w:sz w:val="28"/>
          <w:szCs w:val="28"/>
        </w:rPr>
        <w:t xml:space="preserve"> a</w:t>
      </w:r>
      <w:r w:rsidR="0064669E" w:rsidRPr="00095BB2">
        <w:rPr>
          <w:rFonts w:ascii="Times New Roman" w:hAnsi="Times New Roman"/>
          <w:color w:val="000000"/>
          <w:sz w:val="28"/>
          <w:szCs w:val="28"/>
        </w:rPr>
        <w:t xml:space="preserve"> rescission of a</w:t>
      </w:r>
      <w:r w:rsidR="003F6B95" w:rsidRPr="00095BB2">
        <w:rPr>
          <w:rFonts w:ascii="Times New Roman" w:hAnsi="Times New Roman"/>
          <w:color w:val="000000"/>
          <w:sz w:val="28"/>
          <w:szCs w:val="28"/>
        </w:rPr>
        <w:t xml:space="preserve">n order </w:t>
      </w:r>
      <w:r w:rsidR="00E927C3" w:rsidRPr="00095BB2">
        <w:rPr>
          <w:rFonts w:ascii="Times New Roman" w:hAnsi="Times New Roman"/>
          <w:color w:val="000000"/>
          <w:sz w:val="28"/>
          <w:szCs w:val="28"/>
        </w:rPr>
        <w:t xml:space="preserve">of this Court </w:t>
      </w:r>
      <w:r w:rsidR="00E96355" w:rsidRPr="00095BB2">
        <w:rPr>
          <w:rFonts w:ascii="Times New Roman" w:hAnsi="Times New Roman"/>
          <w:color w:val="000000"/>
          <w:sz w:val="28"/>
          <w:szCs w:val="28"/>
        </w:rPr>
        <w:t xml:space="preserve">granted by default on </w:t>
      </w:r>
      <w:r w:rsidR="00283F8F" w:rsidRPr="00095BB2">
        <w:rPr>
          <w:rFonts w:ascii="Times New Roman" w:hAnsi="Times New Roman"/>
          <w:color w:val="000000"/>
          <w:sz w:val="28"/>
          <w:szCs w:val="28"/>
        </w:rPr>
        <w:t>9 March 2021</w:t>
      </w:r>
      <w:r w:rsidR="003202CC" w:rsidRPr="00095BB2">
        <w:rPr>
          <w:rFonts w:ascii="Times New Roman" w:hAnsi="Times New Roman"/>
          <w:color w:val="000000"/>
          <w:sz w:val="28"/>
          <w:szCs w:val="28"/>
        </w:rPr>
        <w:t xml:space="preserve"> per Lowe J.</w:t>
      </w:r>
      <w:r w:rsidR="000D259A" w:rsidRPr="00095BB2">
        <w:rPr>
          <w:rFonts w:ascii="Times New Roman" w:hAnsi="Times New Roman"/>
          <w:color w:val="000000"/>
          <w:sz w:val="28"/>
          <w:szCs w:val="28"/>
        </w:rPr>
        <w:t xml:space="preserve"> On 30 October 2020</w:t>
      </w:r>
      <w:r w:rsidR="002B4E84">
        <w:rPr>
          <w:rFonts w:ascii="Times New Roman" w:hAnsi="Times New Roman"/>
          <w:color w:val="000000"/>
          <w:sz w:val="28"/>
          <w:szCs w:val="28"/>
        </w:rPr>
        <w:t>,</w:t>
      </w:r>
      <w:r w:rsidR="000D259A" w:rsidRPr="00095BB2">
        <w:rPr>
          <w:rFonts w:ascii="Times New Roman" w:hAnsi="Times New Roman"/>
          <w:color w:val="000000"/>
          <w:sz w:val="28"/>
          <w:szCs w:val="28"/>
        </w:rPr>
        <w:t xml:space="preserve"> the </w:t>
      </w:r>
      <w:r w:rsidR="002D64D2" w:rsidRPr="00095BB2">
        <w:rPr>
          <w:rFonts w:ascii="Times New Roman" w:hAnsi="Times New Roman"/>
          <w:color w:val="000000"/>
          <w:sz w:val="28"/>
          <w:szCs w:val="28"/>
        </w:rPr>
        <w:t xml:space="preserve">first </w:t>
      </w:r>
      <w:r w:rsidR="000D259A" w:rsidRPr="00095BB2">
        <w:rPr>
          <w:rFonts w:ascii="Times New Roman" w:hAnsi="Times New Roman"/>
          <w:color w:val="000000"/>
          <w:sz w:val="28"/>
          <w:szCs w:val="28"/>
        </w:rPr>
        <w:t xml:space="preserve">respondent (as plaintiff) instituted action against the applicant (as defendant). The claim arose from the applicant’s breach of a written agreement for the lease of an excavator from the </w:t>
      </w:r>
      <w:r w:rsidR="002D64D2" w:rsidRPr="00095BB2">
        <w:rPr>
          <w:rFonts w:ascii="Times New Roman" w:hAnsi="Times New Roman"/>
          <w:color w:val="000000"/>
          <w:sz w:val="28"/>
          <w:szCs w:val="28"/>
        </w:rPr>
        <w:t xml:space="preserve">first </w:t>
      </w:r>
      <w:r w:rsidR="000D259A" w:rsidRPr="00095BB2">
        <w:rPr>
          <w:rFonts w:ascii="Times New Roman" w:hAnsi="Times New Roman"/>
          <w:color w:val="000000"/>
          <w:sz w:val="28"/>
          <w:szCs w:val="28"/>
        </w:rPr>
        <w:t xml:space="preserve">respondent for a </w:t>
      </w:r>
      <w:r w:rsidR="00E8221D">
        <w:rPr>
          <w:rFonts w:ascii="Times New Roman" w:hAnsi="Times New Roman"/>
          <w:color w:val="000000"/>
          <w:sz w:val="28"/>
          <w:szCs w:val="28"/>
        </w:rPr>
        <w:t>five</w:t>
      </w:r>
      <w:r w:rsidR="000D259A" w:rsidRPr="00095BB2">
        <w:rPr>
          <w:rFonts w:ascii="Times New Roman" w:hAnsi="Times New Roman"/>
          <w:color w:val="000000"/>
          <w:sz w:val="28"/>
          <w:szCs w:val="28"/>
        </w:rPr>
        <w:t xml:space="preserve"> year term at a monthly rental of R30 196.15. As at 9 March 2021, the date on which the order was </w:t>
      </w:r>
      <w:r w:rsidR="00093BD4" w:rsidRPr="00095BB2">
        <w:rPr>
          <w:rFonts w:ascii="Times New Roman" w:hAnsi="Times New Roman"/>
          <w:color w:val="000000"/>
          <w:sz w:val="28"/>
          <w:szCs w:val="28"/>
        </w:rPr>
        <w:t xml:space="preserve">granted, the applicant’s arrears amounted to </w:t>
      </w:r>
      <w:r w:rsidR="000D259A" w:rsidRPr="00095BB2">
        <w:rPr>
          <w:rFonts w:ascii="Times New Roman" w:hAnsi="Times New Roman"/>
          <w:color w:val="000000"/>
          <w:sz w:val="28"/>
          <w:szCs w:val="28"/>
        </w:rPr>
        <w:t>R165 045.29.</w:t>
      </w:r>
    </w:p>
    <w:p w:rsidR="002307F2" w:rsidRPr="00095BB2" w:rsidRDefault="002307F2" w:rsidP="00D75D96">
      <w:pPr>
        <w:pStyle w:val="LegalList1"/>
        <w:spacing w:after="0" w:line="360" w:lineRule="auto"/>
        <w:rPr>
          <w:rFonts w:ascii="Times New Roman" w:hAnsi="Times New Roman"/>
          <w:sz w:val="28"/>
          <w:szCs w:val="28"/>
        </w:rPr>
      </w:pPr>
    </w:p>
    <w:p w:rsidR="0053442C" w:rsidRPr="00D75D96" w:rsidRDefault="00AE4C99" w:rsidP="00AE4C99">
      <w:pPr>
        <w:pStyle w:val="LegalList1"/>
        <w:spacing w:after="0" w:line="360" w:lineRule="auto"/>
        <w:rPr>
          <w:rFonts w:ascii="Times New Roman" w:hAnsi="Times New Roman"/>
          <w:sz w:val="28"/>
          <w:szCs w:val="28"/>
        </w:rPr>
      </w:pPr>
      <w:r w:rsidRPr="00D75D96">
        <w:rPr>
          <w:rFonts w:ascii="Times New Roman" w:hAnsi="Times New Roman"/>
          <w:sz w:val="28"/>
          <w:szCs w:val="28"/>
        </w:rPr>
        <w:t>[</w:t>
      </w:r>
      <w:bookmarkStart w:id="0" w:name="_GoBack"/>
      <w:bookmarkEnd w:id="0"/>
      <w:r w:rsidRPr="00D75D96">
        <w:rPr>
          <w:rFonts w:ascii="Times New Roman" w:hAnsi="Times New Roman"/>
          <w:sz w:val="28"/>
          <w:szCs w:val="28"/>
        </w:rPr>
        <w:t>2]</w:t>
      </w:r>
      <w:r w:rsidRPr="00D75D96">
        <w:rPr>
          <w:rFonts w:ascii="Times New Roman" w:hAnsi="Times New Roman"/>
          <w:sz w:val="28"/>
          <w:szCs w:val="28"/>
        </w:rPr>
        <w:tab/>
      </w:r>
      <w:r w:rsidR="002D64D2" w:rsidRPr="00095BB2">
        <w:rPr>
          <w:rFonts w:ascii="Times New Roman" w:hAnsi="Times New Roman"/>
          <w:color w:val="000000"/>
          <w:sz w:val="28"/>
          <w:szCs w:val="28"/>
        </w:rPr>
        <w:t>The sheriff for Lusikisiki has been cited</w:t>
      </w:r>
      <w:r w:rsidR="008A6A84" w:rsidRPr="00095BB2">
        <w:rPr>
          <w:rFonts w:ascii="Times New Roman" w:hAnsi="Times New Roman"/>
          <w:color w:val="000000"/>
          <w:sz w:val="28"/>
          <w:szCs w:val="28"/>
        </w:rPr>
        <w:t xml:space="preserve"> as second respondent in these proceedings but has not participated therein. I</w:t>
      </w:r>
      <w:r w:rsidR="002D64D2" w:rsidRPr="00095BB2">
        <w:rPr>
          <w:rFonts w:ascii="Times New Roman" w:hAnsi="Times New Roman"/>
          <w:color w:val="000000"/>
          <w:sz w:val="28"/>
          <w:szCs w:val="28"/>
        </w:rPr>
        <w:t>n what follows hereafter I shall refer to the first respondent as ‘the respondent’</w:t>
      </w:r>
      <w:r w:rsidR="008A6A84" w:rsidRPr="00095BB2">
        <w:rPr>
          <w:rFonts w:ascii="Times New Roman" w:hAnsi="Times New Roman"/>
          <w:color w:val="000000"/>
          <w:sz w:val="28"/>
          <w:szCs w:val="28"/>
        </w:rPr>
        <w:t>.</w:t>
      </w:r>
    </w:p>
    <w:p w:rsidR="002307F2" w:rsidRPr="00095BB2" w:rsidRDefault="002307F2" w:rsidP="00D75D96">
      <w:pPr>
        <w:pStyle w:val="LegalList1"/>
        <w:spacing w:after="0" w:line="360" w:lineRule="auto"/>
        <w:rPr>
          <w:rFonts w:ascii="Times New Roman" w:hAnsi="Times New Roman"/>
          <w:sz w:val="28"/>
          <w:szCs w:val="28"/>
        </w:rPr>
      </w:pPr>
    </w:p>
    <w:p w:rsidR="00A572D4" w:rsidRPr="00D75D96" w:rsidRDefault="00AE4C99" w:rsidP="00AE4C99">
      <w:pPr>
        <w:pStyle w:val="LegalList1"/>
        <w:spacing w:after="0" w:line="360" w:lineRule="auto"/>
        <w:rPr>
          <w:rFonts w:ascii="Times New Roman" w:hAnsi="Times New Roman"/>
          <w:sz w:val="28"/>
          <w:szCs w:val="28"/>
        </w:rPr>
      </w:pPr>
      <w:r w:rsidRPr="00D75D96">
        <w:rPr>
          <w:rFonts w:ascii="Times New Roman" w:hAnsi="Times New Roman"/>
          <w:sz w:val="28"/>
          <w:szCs w:val="28"/>
        </w:rPr>
        <w:t>[3]</w:t>
      </w:r>
      <w:r w:rsidRPr="00D75D96">
        <w:rPr>
          <w:rFonts w:ascii="Times New Roman" w:hAnsi="Times New Roman"/>
          <w:sz w:val="28"/>
          <w:szCs w:val="28"/>
        </w:rPr>
        <w:tab/>
      </w:r>
      <w:r w:rsidR="00950B50" w:rsidRPr="00095BB2">
        <w:rPr>
          <w:rFonts w:ascii="Times New Roman" w:hAnsi="Times New Roman"/>
          <w:color w:val="000000"/>
          <w:sz w:val="28"/>
          <w:szCs w:val="28"/>
        </w:rPr>
        <w:t>T</w:t>
      </w:r>
      <w:r w:rsidR="009746DC" w:rsidRPr="00095BB2">
        <w:rPr>
          <w:rFonts w:ascii="Times New Roman" w:hAnsi="Times New Roman"/>
          <w:color w:val="000000"/>
          <w:sz w:val="28"/>
          <w:szCs w:val="28"/>
        </w:rPr>
        <w:t xml:space="preserve">he </w:t>
      </w:r>
      <w:r w:rsidR="0053442C" w:rsidRPr="00095BB2">
        <w:rPr>
          <w:rFonts w:ascii="Times New Roman" w:hAnsi="Times New Roman"/>
          <w:color w:val="000000"/>
          <w:sz w:val="28"/>
          <w:szCs w:val="28"/>
        </w:rPr>
        <w:t xml:space="preserve">applicant’s </w:t>
      </w:r>
      <w:r w:rsidR="00BD40F9" w:rsidRPr="00095BB2">
        <w:rPr>
          <w:rFonts w:ascii="Times New Roman" w:hAnsi="Times New Roman"/>
          <w:color w:val="000000"/>
          <w:sz w:val="28"/>
          <w:szCs w:val="28"/>
        </w:rPr>
        <w:t xml:space="preserve">notice of motion does not identify the specific </w:t>
      </w:r>
      <w:r w:rsidR="0064669E" w:rsidRPr="00095BB2">
        <w:rPr>
          <w:rFonts w:ascii="Times New Roman" w:hAnsi="Times New Roman"/>
          <w:color w:val="000000"/>
          <w:sz w:val="28"/>
          <w:szCs w:val="28"/>
        </w:rPr>
        <w:t>r</w:t>
      </w:r>
      <w:r w:rsidR="00BD40F9" w:rsidRPr="00095BB2">
        <w:rPr>
          <w:rFonts w:ascii="Times New Roman" w:hAnsi="Times New Roman"/>
          <w:color w:val="000000"/>
          <w:sz w:val="28"/>
          <w:szCs w:val="28"/>
        </w:rPr>
        <w:t xml:space="preserve">ule of </w:t>
      </w:r>
      <w:r w:rsidR="0064669E" w:rsidRPr="00095BB2">
        <w:rPr>
          <w:rFonts w:ascii="Times New Roman" w:hAnsi="Times New Roman"/>
          <w:color w:val="000000"/>
          <w:sz w:val="28"/>
          <w:szCs w:val="28"/>
        </w:rPr>
        <w:t>c</w:t>
      </w:r>
      <w:r w:rsidR="00BD40F9" w:rsidRPr="00095BB2">
        <w:rPr>
          <w:rFonts w:ascii="Times New Roman" w:hAnsi="Times New Roman"/>
          <w:color w:val="000000"/>
          <w:sz w:val="28"/>
          <w:szCs w:val="28"/>
        </w:rPr>
        <w:t>ourt in terms of which</w:t>
      </w:r>
      <w:r w:rsidR="00007574" w:rsidRPr="00095BB2">
        <w:rPr>
          <w:rFonts w:ascii="Times New Roman" w:hAnsi="Times New Roman"/>
          <w:color w:val="000000"/>
          <w:sz w:val="28"/>
          <w:szCs w:val="28"/>
        </w:rPr>
        <w:t xml:space="preserve"> the application was instituted, though the founding affidavit </w:t>
      </w:r>
      <w:r w:rsidR="00C44BA7" w:rsidRPr="00095BB2">
        <w:rPr>
          <w:rFonts w:ascii="Times New Roman" w:hAnsi="Times New Roman"/>
          <w:color w:val="000000"/>
          <w:sz w:val="28"/>
          <w:szCs w:val="28"/>
        </w:rPr>
        <w:t>indistinct</w:t>
      </w:r>
      <w:r w:rsidR="00DD2B39" w:rsidRPr="00095BB2">
        <w:rPr>
          <w:rFonts w:ascii="Times New Roman" w:hAnsi="Times New Roman"/>
          <w:color w:val="000000"/>
          <w:sz w:val="28"/>
          <w:szCs w:val="28"/>
        </w:rPr>
        <w:t>ly</w:t>
      </w:r>
      <w:r w:rsidR="00C44BA7" w:rsidRPr="00095BB2">
        <w:rPr>
          <w:rFonts w:ascii="Times New Roman" w:hAnsi="Times New Roman"/>
          <w:color w:val="000000"/>
          <w:sz w:val="28"/>
          <w:szCs w:val="28"/>
        </w:rPr>
        <w:t xml:space="preserve"> </w:t>
      </w:r>
      <w:r w:rsidR="00DD2B39" w:rsidRPr="00095BB2">
        <w:rPr>
          <w:rFonts w:ascii="Times New Roman" w:hAnsi="Times New Roman"/>
          <w:color w:val="000000"/>
          <w:sz w:val="28"/>
          <w:szCs w:val="28"/>
        </w:rPr>
        <w:t>indicates</w:t>
      </w:r>
      <w:r w:rsidR="00007574" w:rsidRPr="00095BB2">
        <w:rPr>
          <w:rFonts w:ascii="Times New Roman" w:hAnsi="Times New Roman"/>
          <w:color w:val="000000"/>
          <w:sz w:val="28"/>
          <w:szCs w:val="28"/>
        </w:rPr>
        <w:t xml:space="preserve"> that reliance is sought on </w:t>
      </w:r>
      <w:r w:rsidR="002307F2">
        <w:rPr>
          <w:rFonts w:ascii="Times New Roman" w:hAnsi="Times New Roman"/>
          <w:color w:val="000000"/>
          <w:sz w:val="28"/>
          <w:szCs w:val="28"/>
        </w:rPr>
        <w:t>U</w:t>
      </w:r>
      <w:r w:rsidR="009746DC" w:rsidRPr="00095BB2">
        <w:rPr>
          <w:rFonts w:ascii="Times New Roman" w:hAnsi="Times New Roman"/>
          <w:color w:val="000000"/>
          <w:sz w:val="28"/>
          <w:szCs w:val="28"/>
        </w:rPr>
        <w:t>niform rule 42(1)</w:t>
      </w:r>
      <w:r w:rsidR="009746DC" w:rsidRPr="00D75D96">
        <w:rPr>
          <w:rFonts w:ascii="Times New Roman" w:hAnsi="Times New Roman"/>
          <w:i/>
          <w:color w:val="000000"/>
          <w:sz w:val="28"/>
          <w:szCs w:val="28"/>
        </w:rPr>
        <w:t>(a)</w:t>
      </w:r>
      <w:r w:rsidR="009746DC" w:rsidRPr="00095BB2">
        <w:rPr>
          <w:rFonts w:ascii="Times New Roman" w:hAnsi="Times New Roman"/>
          <w:color w:val="000000"/>
          <w:sz w:val="28"/>
          <w:szCs w:val="28"/>
        </w:rPr>
        <w:t>, alternatively rule 31(2)</w:t>
      </w:r>
      <w:r w:rsidR="009746DC" w:rsidRPr="00D75D96">
        <w:rPr>
          <w:rFonts w:ascii="Times New Roman" w:hAnsi="Times New Roman"/>
          <w:i/>
          <w:color w:val="000000"/>
          <w:sz w:val="28"/>
          <w:szCs w:val="28"/>
        </w:rPr>
        <w:t>(b)</w:t>
      </w:r>
      <w:r w:rsidR="009746DC" w:rsidRPr="00095BB2">
        <w:rPr>
          <w:rFonts w:ascii="Times New Roman" w:hAnsi="Times New Roman"/>
          <w:color w:val="000000"/>
          <w:sz w:val="28"/>
          <w:szCs w:val="28"/>
        </w:rPr>
        <w:t xml:space="preserve"> or the common law.</w:t>
      </w:r>
      <w:r w:rsidR="00007574" w:rsidRPr="00095BB2">
        <w:rPr>
          <w:rFonts w:ascii="Times New Roman" w:hAnsi="Times New Roman"/>
          <w:color w:val="000000"/>
          <w:sz w:val="28"/>
          <w:szCs w:val="28"/>
        </w:rPr>
        <w:t xml:space="preserve"> It is trite that an application for rescission can be entertained on any of these bases if the requirements are met</w:t>
      </w:r>
      <w:r w:rsidR="0064669E" w:rsidRPr="00095BB2">
        <w:rPr>
          <w:rFonts w:ascii="Times New Roman" w:hAnsi="Times New Roman"/>
          <w:color w:val="000000"/>
          <w:sz w:val="28"/>
          <w:szCs w:val="28"/>
        </w:rPr>
        <w:t>.</w:t>
      </w:r>
      <w:r w:rsidR="0064669E" w:rsidRPr="00095BB2">
        <w:rPr>
          <w:rStyle w:val="FootnoteReference"/>
          <w:rFonts w:ascii="Times New Roman" w:hAnsi="Times New Roman"/>
          <w:color w:val="000000"/>
          <w:sz w:val="28"/>
          <w:szCs w:val="28"/>
        </w:rPr>
        <w:footnoteReference w:id="1"/>
      </w:r>
    </w:p>
    <w:p w:rsidR="00093ED4" w:rsidRDefault="00093ED4" w:rsidP="00D75D96">
      <w:pPr>
        <w:pStyle w:val="LegalList1"/>
        <w:spacing w:after="0" w:line="360" w:lineRule="auto"/>
        <w:rPr>
          <w:rFonts w:ascii="Times New Roman" w:hAnsi="Times New Roman"/>
          <w:color w:val="000000"/>
          <w:sz w:val="28"/>
          <w:szCs w:val="28"/>
        </w:rPr>
      </w:pPr>
    </w:p>
    <w:p w:rsidR="00093ED4" w:rsidRDefault="00093ED4" w:rsidP="00D75D96">
      <w:pPr>
        <w:pStyle w:val="LegalList1"/>
        <w:spacing w:after="0" w:line="360" w:lineRule="auto"/>
        <w:rPr>
          <w:rFonts w:ascii="Times New Roman" w:hAnsi="Times New Roman"/>
          <w:color w:val="000000"/>
          <w:sz w:val="28"/>
          <w:szCs w:val="28"/>
        </w:rPr>
      </w:pPr>
    </w:p>
    <w:p w:rsidR="00093ED4" w:rsidRPr="00095BB2" w:rsidRDefault="00093ED4" w:rsidP="00D75D96">
      <w:pPr>
        <w:pStyle w:val="LegalList1"/>
        <w:spacing w:after="0" w:line="360" w:lineRule="auto"/>
        <w:rPr>
          <w:rFonts w:ascii="Times New Roman" w:hAnsi="Times New Roman"/>
          <w:sz w:val="28"/>
          <w:szCs w:val="28"/>
        </w:rPr>
      </w:pPr>
    </w:p>
    <w:p w:rsidR="00A572D4" w:rsidRPr="00095BB2" w:rsidRDefault="00093ED4" w:rsidP="00D75D96">
      <w:pPr>
        <w:pStyle w:val="LegalList1"/>
        <w:spacing w:after="120" w:line="360" w:lineRule="auto"/>
        <w:rPr>
          <w:rFonts w:ascii="Times New Roman" w:hAnsi="Times New Roman"/>
          <w:b/>
          <w:sz w:val="28"/>
          <w:szCs w:val="28"/>
        </w:rPr>
      </w:pPr>
      <w:r>
        <w:rPr>
          <w:rFonts w:ascii="Times New Roman" w:hAnsi="Times New Roman"/>
          <w:b/>
          <w:sz w:val="28"/>
          <w:szCs w:val="28"/>
        </w:rPr>
        <w:lastRenderedPageBreak/>
        <w:t>Uniform r</w:t>
      </w:r>
      <w:r w:rsidR="00CC051A" w:rsidRPr="00095BB2">
        <w:rPr>
          <w:rFonts w:ascii="Times New Roman" w:hAnsi="Times New Roman"/>
          <w:b/>
          <w:sz w:val="28"/>
          <w:szCs w:val="28"/>
        </w:rPr>
        <w:t>ule 42(1)</w:t>
      </w:r>
      <w:r w:rsidR="00CC051A" w:rsidRPr="00D75D96">
        <w:rPr>
          <w:rFonts w:ascii="Times New Roman" w:hAnsi="Times New Roman"/>
          <w:b/>
          <w:i/>
          <w:sz w:val="28"/>
          <w:szCs w:val="28"/>
        </w:rPr>
        <w:t>(a)</w:t>
      </w:r>
    </w:p>
    <w:p w:rsidR="00926DB2"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EA3951" w:rsidRPr="00095BB2">
        <w:rPr>
          <w:rFonts w:ascii="Times New Roman" w:hAnsi="Times New Roman"/>
          <w:sz w:val="28"/>
          <w:szCs w:val="28"/>
        </w:rPr>
        <w:t xml:space="preserve">The prerequisite </w:t>
      </w:r>
      <w:r w:rsidR="009B6AA9" w:rsidRPr="00095BB2">
        <w:rPr>
          <w:rFonts w:ascii="Times New Roman" w:hAnsi="Times New Roman"/>
          <w:sz w:val="28"/>
          <w:szCs w:val="28"/>
        </w:rPr>
        <w:t xml:space="preserve">jurisdictional </w:t>
      </w:r>
      <w:r w:rsidR="00EA3951" w:rsidRPr="00095BB2">
        <w:rPr>
          <w:rFonts w:ascii="Times New Roman" w:hAnsi="Times New Roman"/>
          <w:sz w:val="28"/>
          <w:szCs w:val="28"/>
        </w:rPr>
        <w:t>factors for granting rescission in terms of this rule are firstly, that the judgment or order must have been erroneously sought or erroneously granted</w:t>
      </w:r>
      <w:r w:rsidR="00B44843" w:rsidRPr="00095BB2">
        <w:rPr>
          <w:rFonts w:ascii="Times New Roman" w:hAnsi="Times New Roman"/>
          <w:sz w:val="28"/>
          <w:szCs w:val="28"/>
        </w:rPr>
        <w:t>; and secondly, that it must have been granted in the absence of the applicant.</w:t>
      </w:r>
      <w:r w:rsidR="0098551C" w:rsidRPr="00095BB2">
        <w:rPr>
          <w:rFonts w:ascii="Times New Roman" w:hAnsi="Times New Roman"/>
          <w:sz w:val="28"/>
          <w:szCs w:val="28"/>
        </w:rPr>
        <w:t xml:space="preserve"> Once these requirements are established, the applicant would ordinarily be entitled to relief, </w:t>
      </w:r>
      <w:r w:rsidR="0098551C" w:rsidRPr="00095BB2">
        <w:rPr>
          <w:rFonts w:ascii="Times New Roman" w:hAnsi="Times New Roman"/>
          <w:i/>
          <w:sz w:val="28"/>
          <w:szCs w:val="28"/>
        </w:rPr>
        <w:t>caedit quaestio</w:t>
      </w:r>
      <w:r w:rsidR="0098551C" w:rsidRPr="00095BB2">
        <w:rPr>
          <w:rFonts w:ascii="Times New Roman" w:hAnsi="Times New Roman"/>
          <w:sz w:val="28"/>
          <w:szCs w:val="28"/>
        </w:rPr>
        <w:t>.</w:t>
      </w:r>
      <w:r w:rsidR="0098551C" w:rsidRPr="00095BB2">
        <w:rPr>
          <w:rStyle w:val="FootnoteReference"/>
          <w:rFonts w:ascii="Times New Roman" w:hAnsi="Times New Roman"/>
          <w:sz w:val="28"/>
          <w:szCs w:val="28"/>
        </w:rPr>
        <w:footnoteReference w:id="2"/>
      </w:r>
    </w:p>
    <w:p w:rsidR="00F04FF8" w:rsidRPr="00095BB2" w:rsidRDefault="00F04FF8" w:rsidP="00D75D96">
      <w:pPr>
        <w:pStyle w:val="LegalList1"/>
        <w:spacing w:after="0" w:line="360" w:lineRule="auto"/>
        <w:rPr>
          <w:rFonts w:ascii="Times New Roman" w:hAnsi="Times New Roman"/>
          <w:sz w:val="28"/>
          <w:szCs w:val="28"/>
        </w:rPr>
      </w:pPr>
    </w:p>
    <w:p w:rsidR="006F0941"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3F50FC" w:rsidRPr="00095BB2">
        <w:rPr>
          <w:rFonts w:ascii="Times New Roman" w:hAnsi="Times New Roman"/>
          <w:sz w:val="28"/>
          <w:szCs w:val="28"/>
        </w:rPr>
        <w:t>A rescission on grounds of error</w:t>
      </w:r>
      <w:r w:rsidR="000F26A6" w:rsidRPr="00095BB2">
        <w:rPr>
          <w:rFonts w:ascii="Times New Roman" w:hAnsi="Times New Roman"/>
          <w:sz w:val="28"/>
          <w:szCs w:val="28"/>
        </w:rPr>
        <w:t xml:space="preserve"> requires an applicant to show that there existed at the time of </w:t>
      </w:r>
      <w:r w:rsidR="007A6360" w:rsidRPr="00095BB2">
        <w:rPr>
          <w:rFonts w:ascii="Times New Roman" w:hAnsi="Times New Roman"/>
          <w:sz w:val="28"/>
          <w:szCs w:val="28"/>
        </w:rPr>
        <w:t>the judgment or order a fact which the court was unaware</w:t>
      </w:r>
      <w:r w:rsidR="00EF3489">
        <w:rPr>
          <w:rFonts w:ascii="Times New Roman" w:hAnsi="Times New Roman"/>
          <w:sz w:val="28"/>
          <w:szCs w:val="28"/>
        </w:rPr>
        <w:t xml:space="preserve"> of</w:t>
      </w:r>
      <w:r w:rsidR="007A6360" w:rsidRPr="00095BB2">
        <w:rPr>
          <w:rFonts w:ascii="Times New Roman" w:hAnsi="Times New Roman"/>
          <w:sz w:val="28"/>
          <w:szCs w:val="28"/>
        </w:rPr>
        <w:t xml:space="preserve"> </w:t>
      </w:r>
      <w:r w:rsidR="00654004" w:rsidRPr="00095BB2">
        <w:rPr>
          <w:rFonts w:ascii="Times New Roman" w:hAnsi="Times New Roman"/>
          <w:sz w:val="28"/>
          <w:szCs w:val="28"/>
        </w:rPr>
        <w:t>and which would have induced the court, if aware of it, not to grant the judgment.</w:t>
      </w:r>
      <w:r w:rsidR="00654004" w:rsidRPr="00095BB2">
        <w:rPr>
          <w:rStyle w:val="FootnoteReference"/>
          <w:rFonts w:ascii="Times New Roman" w:hAnsi="Times New Roman"/>
          <w:sz w:val="28"/>
          <w:szCs w:val="28"/>
        </w:rPr>
        <w:footnoteReference w:id="3"/>
      </w:r>
    </w:p>
    <w:p w:rsidR="000C51C1" w:rsidRPr="00095BB2" w:rsidRDefault="000C51C1" w:rsidP="00D75D96">
      <w:pPr>
        <w:pStyle w:val="LegalList1"/>
        <w:spacing w:after="0" w:line="360" w:lineRule="auto"/>
        <w:rPr>
          <w:rFonts w:ascii="Times New Roman" w:hAnsi="Times New Roman"/>
          <w:sz w:val="28"/>
          <w:szCs w:val="28"/>
        </w:rPr>
      </w:pPr>
    </w:p>
    <w:p w:rsidR="00D56A0C"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F76D3A" w:rsidRPr="00095BB2">
        <w:rPr>
          <w:rFonts w:ascii="Times New Roman" w:hAnsi="Times New Roman"/>
          <w:sz w:val="28"/>
          <w:szCs w:val="28"/>
        </w:rPr>
        <w:t xml:space="preserve">The rule has also been held to cater for a mistake in the proceedings – the mistake </w:t>
      </w:r>
      <w:r w:rsidR="007C2CBB" w:rsidRPr="00095BB2">
        <w:rPr>
          <w:rFonts w:ascii="Times New Roman" w:hAnsi="Times New Roman"/>
          <w:sz w:val="28"/>
          <w:szCs w:val="28"/>
        </w:rPr>
        <w:t>may</w:t>
      </w:r>
      <w:r w:rsidR="00F76D3A" w:rsidRPr="00095BB2">
        <w:rPr>
          <w:rFonts w:ascii="Times New Roman" w:hAnsi="Times New Roman"/>
          <w:sz w:val="28"/>
          <w:szCs w:val="28"/>
        </w:rPr>
        <w:t xml:space="preserve"> either </w:t>
      </w:r>
      <w:r w:rsidR="007C2CBB" w:rsidRPr="00095BB2">
        <w:rPr>
          <w:rFonts w:ascii="Times New Roman" w:hAnsi="Times New Roman"/>
          <w:sz w:val="28"/>
          <w:szCs w:val="28"/>
        </w:rPr>
        <w:t>appear</w:t>
      </w:r>
      <w:r w:rsidR="00F76D3A" w:rsidRPr="00095BB2">
        <w:rPr>
          <w:rFonts w:ascii="Times New Roman" w:hAnsi="Times New Roman"/>
          <w:sz w:val="28"/>
          <w:szCs w:val="28"/>
        </w:rPr>
        <w:t xml:space="preserve"> on the record of proceedings or </w:t>
      </w:r>
      <w:r w:rsidR="00652132" w:rsidRPr="00095BB2">
        <w:rPr>
          <w:rFonts w:ascii="Times New Roman" w:hAnsi="Times New Roman"/>
          <w:sz w:val="28"/>
          <w:szCs w:val="28"/>
        </w:rPr>
        <w:t xml:space="preserve">it may </w:t>
      </w:r>
      <w:r w:rsidR="00F76D3A" w:rsidRPr="00095BB2">
        <w:rPr>
          <w:rFonts w:ascii="Times New Roman" w:hAnsi="Times New Roman"/>
          <w:sz w:val="28"/>
          <w:szCs w:val="28"/>
        </w:rPr>
        <w:t xml:space="preserve">subsequently become apparent from </w:t>
      </w:r>
      <w:r w:rsidR="00EA0446" w:rsidRPr="00095BB2">
        <w:rPr>
          <w:rFonts w:ascii="Times New Roman" w:hAnsi="Times New Roman"/>
          <w:sz w:val="28"/>
          <w:szCs w:val="28"/>
        </w:rPr>
        <w:t xml:space="preserve">the </w:t>
      </w:r>
      <w:r w:rsidR="00F76D3A" w:rsidRPr="00095BB2">
        <w:rPr>
          <w:rFonts w:ascii="Times New Roman" w:hAnsi="Times New Roman"/>
          <w:sz w:val="28"/>
          <w:szCs w:val="28"/>
        </w:rPr>
        <w:t>information</w:t>
      </w:r>
      <w:r w:rsidR="00EA0446" w:rsidRPr="00095BB2">
        <w:rPr>
          <w:rFonts w:ascii="Times New Roman" w:hAnsi="Times New Roman"/>
          <w:sz w:val="28"/>
          <w:szCs w:val="28"/>
        </w:rPr>
        <w:t xml:space="preserve"> made available in </w:t>
      </w:r>
      <w:r w:rsidR="007754CC" w:rsidRPr="00095BB2">
        <w:rPr>
          <w:rFonts w:ascii="Times New Roman" w:hAnsi="Times New Roman"/>
          <w:sz w:val="28"/>
          <w:szCs w:val="28"/>
        </w:rPr>
        <w:t xml:space="preserve">the </w:t>
      </w:r>
      <w:r w:rsidR="00EA0446" w:rsidRPr="00095BB2">
        <w:rPr>
          <w:rFonts w:ascii="Times New Roman" w:hAnsi="Times New Roman"/>
          <w:sz w:val="28"/>
          <w:szCs w:val="28"/>
        </w:rPr>
        <w:t>application for rescission.</w:t>
      </w:r>
      <w:r w:rsidR="00EA0446" w:rsidRPr="00095BB2">
        <w:rPr>
          <w:rStyle w:val="FootnoteReference"/>
          <w:rFonts w:ascii="Times New Roman" w:hAnsi="Times New Roman"/>
          <w:sz w:val="28"/>
          <w:szCs w:val="28"/>
        </w:rPr>
        <w:footnoteReference w:id="4"/>
      </w:r>
    </w:p>
    <w:p w:rsidR="000C51C1" w:rsidRPr="00095BB2" w:rsidRDefault="000C51C1" w:rsidP="00D75D96">
      <w:pPr>
        <w:pStyle w:val="LegalList1"/>
        <w:spacing w:after="0" w:line="360" w:lineRule="auto"/>
        <w:rPr>
          <w:rFonts w:ascii="Times New Roman" w:hAnsi="Times New Roman"/>
          <w:sz w:val="28"/>
          <w:szCs w:val="28"/>
        </w:rPr>
      </w:pPr>
    </w:p>
    <w:p w:rsidR="00826A4C"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B45CD3" w:rsidRPr="00095BB2">
        <w:rPr>
          <w:rFonts w:ascii="Times New Roman" w:hAnsi="Times New Roman"/>
          <w:sz w:val="28"/>
          <w:szCs w:val="28"/>
        </w:rPr>
        <w:t xml:space="preserve">The interaction between Lowe J and the legal representative for the respondent who moved for the order by default </w:t>
      </w:r>
      <w:r w:rsidR="0025331A" w:rsidRPr="00095BB2">
        <w:rPr>
          <w:rFonts w:ascii="Times New Roman" w:hAnsi="Times New Roman"/>
          <w:sz w:val="28"/>
          <w:szCs w:val="28"/>
        </w:rPr>
        <w:t xml:space="preserve">is unknown as the </w:t>
      </w:r>
      <w:r w:rsidR="00A02218" w:rsidRPr="00095BB2">
        <w:rPr>
          <w:rFonts w:ascii="Times New Roman" w:hAnsi="Times New Roman"/>
          <w:sz w:val="28"/>
          <w:szCs w:val="28"/>
        </w:rPr>
        <w:t>record of those proceedings</w:t>
      </w:r>
      <w:r w:rsidR="00B45CD3" w:rsidRPr="00095BB2">
        <w:rPr>
          <w:rFonts w:ascii="Times New Roman" w:hAnsi="Times New Roman"/>
          <w:sz w:val="28"/>
          <w:szCs w:val="28"/>
        </w:rPr>
        <w:t xml:space="preserve"> is not before this Court</w:t>
      </w:r>
      <w:r w:rsidR="0025331A" w:rsidRPr="00095BB2">
        <w:rPr>
          <w:rFonts w:ascii="Times New Roman" w:hAnsi="Times New Roman"/>
          <w:sz w:val="28"/>
          <w:szCs w:val="28"/>
        </w:rPr>
        <w:t xml:space="preserve">. </w:t>
      </w:r>
      <w:r w:rsidR="00054133" w:rsidRPr="00095BB2">
        <w:rPr>
          <w:rFonts w:ascii="Times New Roman" w:hAnsi="Times New Roman"/>
          <w:sz w:val="28"/>
          <w:szCs w:val="28"/>
        </w:rPr>
        <w:t xml:space="preserve">The applicant posits its </w:t>
      </w:r>
      <w:r w:rsidR="0025331A" w:rsidRPr="00095BB2">
        <w:rPr>
          <w:rFonts w:ascii="Times New Roman" w:hAnsi="Times New Roman"/>
          <w:sz w:val="28"/>
          <w:szCs w:val="28"/>
        </w:rPr>
        <w:t xml:space="preserve">case on </w:t>
      </w:r>
      <w:r w:rsidR="00035292" w:rsidRPr="00095BB2">
        <w:rPr>
          <w:rFonts w:ascii="Times New Roman" w:hAnsi="Times New Roman"/>
          <w:sz w:val="28"/>
          <w:szCs w:val="28"/>
        </w:rPr>
        <w:t>mistake or error</w:t>
      </w:r>
      <w:r w:rsidR="00C122B2" w:rsidRPr="00095BB2">
        <w:rPr>
          <w:rFonts w:ascii="Times New Roman" w:hAnsi="Times New Roman"/>
          <w:sz w:val="28"/>
          <w:szCs w:val="28"/>
        </w:rPr>
        <w:t xml:space="preserve"> subsequently becoming apparent from information </w:t>
      </w:r>
      <w:r w:rsidR="00A27AD0" w:rsidRPr="00095BB2">
        <w:rPr>
          <w:rFonts w:ascii="Times New Roman" w:hAnsi="Times New Roman"/>
          <w:sz w:val="28"/>
          <w:szCs w:val="28"/>
        </w:rPr>
        <w:t>extrapolated from the court file</w:t>
      </w:r>
      <w:r w:rsidR="00054133" w:rsidRPr="00095BB2">
        <w:rPr>
          <w:rFonts w:ascii="Times New Roman" w:hAnsi="Times New Roman"/>
          <w:sz w:val="28"/>
          <w:szCs w:val="28"/>
        </w:rPr>
        <w:t>.</w:t>
      </w:r>
      <w:r w:rsidR="00830867" w:rsidRPr="00095BB2">
        <w:rPr>
          <w:rFonts w:ascii="Times New Roman" w:hAnsi="Times New Roman"/>
          <w:sz w:val="28"/>
          <w:szCs w:val="28"/>
        </w:rPr>
        <w:t xml:space="preserve"> </w:t>
      </w:r>
      <w:r w:rsidR="00293402" w:rsidRPr="00095BB2">
        <w:rPr>
          <w:rFonts w:ascii="Times New Roman" w:hAnsi="Times New Roman"/>
          <w:sz w:val="28"/>
          <w:szCs w:val="28"/>
        </w:rPr>
        <w:t>T</w:t>
      </w:r>
      <w:r w:rsidR="00A27AD0" w:rsidRPr="00095BB2">
        <w:rPr>
          <w:rFonts w:ascii="Times New Roman" w:hAnsi="Times New Roman"/>
          <w:sz w:val="28"/>
          <w:szCs w:val="28"/>
        </w:rPr>
        <w:t>he error suggested</w:t>
      </w:r>
      <w:r w:rsidR="00830867" w:rsidRPr="00095BB2">
        <w:rPr>
          <w:rFonts w:ascii="Times New Roman" w:hAnsi="Times New Roman"/>
          <w:sz w:val="28"/>
          <w:szCs w:val="28"/>
        </w:rPr>
        <w:t xml:space="preserve"> is that service of the summons was defective.</w:t>
      </w:r>
      <w:r w:rsidR="0093565A" w:rsidRPr="00095BB2">
        <w:rPr>
          <w:rStyle w:val="FootnoteReference"/>
          <w:rFonts w:ascii="Times New Roman" w:hAnsi="Times New Roman"/>
          <w:sz w:val="28"/>
          <w:szCs w:val="28"/>
        </w:rPr>
        <w:footnoteReference w:id="5"/>
      </w:r>
    </w:p>
    <w:p w:rsidR="00A01C27" w:rsidRPr="00095BB2" w:rsidRDefault="00A01C27" w:rsidP="00D75D96">
      <w:pPr>
        <w:pStyle w:val="LegalList1"/>
        <w:spacing w:after="0" w:line="360" w:lineRule="auto"/>
        <w:rPr>
          <w:rFonts w:ascii="Times New Roman" w:hAnsi="Times New Roman"/>
          <w:sz w:val="28"/>
          <w:szCs w:val="28"/>
        </w:rPr>
      </w:pPr>
    </w:p>
    <w:p w:rsidR="00C8779E"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lastRenderedPageBreak/>
        <w:t>[8]</w:t>
      </w:r>
      <w:r>
        <w:rPr>
          <w:rFonts w:ascii="Times New Roman" w:hAnsi="Times New Roman"/>
          <w:sz w:val="28"/>
          <w:szCs w:val="28"/>
        </w:rPr>
        <w:tab/>
      </w:r>
      <w:r w:rsidR="00C8779E" w:rsidRPr="00095BB2">
        <w:rPr>
          <w:rFonts w:ascii="Times New Roman" w:hAnsi="Times New Roman"/>
          <w:sz w:val="28"/>
          <w:szCs w:val="28"/>
        </w:rPr>
        <w:t>It matters not in my view whether the error</w:t>
      </w:r>
      <w:r w:rsidR="00AF2765" w:rsidRPr="00095BB2">
        <w:rPr>
          <w:rFonts w:ascii="Times New Roman" w:hAnsi="Times New Roman"/>
          <w:sz w:val="28"/>
          <w:szCs w:val="28"/>
        </w:rPr>
        <w:t xml:space="preserve"> (if indeed it were)</w:t>
      </w:r>
      <w:r w:rsidR="00C8779E" w:rsidRPr="00095BB2">
        <w:rPr>
          <w:rFonts w:ascii="Times New Roman" w:hAnsi="Times New Roman"/>
          <w:sz w:val="28"/>
          <w:szCs w:val="28"/>
        </w:rPr>
        <w:t xml:space="preserve"> becomes apparent from the information presently made available</w:t>
      </w:r>
      <w:r w:rsidR="007F3C88" w:rsidRPr="00095BB2">
        <w:rPr>
          <w:rFonts w:ascii="Times New Roman" w:hAnsi="Times New Roman"/>
          <w:sz w:val="28"/>
          <w:szCs w:val="28"/>
        </w:rPr>
        <w:t>, or whether it existed</w:t>
      </w:r>
      <w:r w:rsidR="00C8779E" w:rsidRPr="00095BB2">
        <w:rPr>
          <w:rFonts w:ascii="Times New Roman" w:hAnsi="Times New Roman"/>
          <w:sz w:val="28"/>
          <w:szCs w:val="28"/>
        </w:rPr>
        <w:t xml:space="preserve"> at the time of the judgment or order. In either instance </w:t>
      </w:r>
      <w:r w:rsidR="00774027" w:rsidRPr="00095BB2">
        <w:rPr>
          <w:rFonts w:ascii="Times New Roman" w:hAnsi="Times New Roman"/>
          <w:sz w:val="28"/>
          <w:szCs w:val="28"/>
        </w:rPr>
        <w:t xml:space="preserve">it makes no difference to the </w:t>
      </w:r>
      <w:r w:rsidR="00C8779E" w:rsidRPr="00095BB2">
        <w:rPr>
          <w:rFonts w:ascii="Times New Roman" w:hAnsi="Times New Roman"/>
          <w:sz w:val="28"/>
          <w:szCs w:val="28"/>
        </w:rPr>
        <w:t xml:space="preserve">order </w:t>
      </w:r>
      <w:r w:rsidR="00A539B6" w:rsidRPr="00095BB2">
        <w:rPr>
          <w:rFonts w:ascii="Times New Roman" w:hAnsi="Times New Roman"/>
          <w:sz w:val="28"/>
          <w:szCs w:val="28"/>
        </w:rPr>
        <w:t xml:space="preserve">intended to be made </w:t>
      </w:r>
      <w:r w:rsidR="006B3FF5">
        <w:rPr>
          <w:rFonts w:ascii="Times New Roman" w:hAnsi="Times New Roman"/>
          <w:sz w:val="28"/>
          <w:szCs w:val="28"/>
        </w:rPr>
        <w:t xml:space="preserve">at </w:t>
      </w:r>
      <w:r w:rsidR="00C8779E" w:rsidRPr="00095BB2">
        <w:rPr>
          <w:rFonts w:ascii="Times New Roman" w:hAnsi="Times New Roman"/>
          <w:sz w:val="28"/>
          <w:szCs w:val="28"/>
        </w:rPr>
        <w:t>the conclusion of this judgment</w:t>
      </w:r>
      <w:r w:rsidR="00A539B6" w:rsidRPr="00095BB2">
        <w:rPr>
          <w:rFonts w:ascii="Times New Roman" w:hAnsi="Times New Roman"/>
          <w:sz w:val="28"/>
          <w:szCs w:val="28"/>
        </w:rPr>
        <w:t>.</w:t>
      </w:r>
    </w:p>
    <w:p w:rsidR="006B3FF5" w:rsidRPr="00095BB2" w:rsidRDefault="006B3FF5" w:rsidP="00D75D96">
      <w:pPr>
        <w:pStyle w:val="LegalList1"/>
        <w:spacing w:after="0" w:line="360" w:lineRule="auto"/>
        <w:rPr>
          <w:rFonts w:ascii="Times New Roman" w:hAnsi="Times New Roman"/>
          <w:sz w:val="28"/>
          <w:szCs w:val="28"/>
        </w:rPr>
      </w:pPr>
    </w:p>
    <w:p w:rsidR="00C828B4"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7754CC" w:rsidRPr="00095BB2">
        <w:rPr>
          <w:rFonts w:ascii="Times New Roman" w:hAnsi="Times New Roman"/>
          <w:sz w:val="28"/>
          <w:szCs w:val="28"/>
        </w:rPr>
        <w:t xml:space="preserve">Beginning with the question of absence it is not disputed that the order was granted in circumstances where no </w:t>
      </w:r>
      <w:r w:rsidR="00FF7563" w:rsidRPr="00095BB2">
        <w:rPr>
          <w:rFonts w:ascii="Times New Roman" w:hAnsi="Times New Roman"/>
          <w:sz w:val="28"/>
          <w:szCs w:val="28"/>
        </w:rPr>
        <w:t xml:space="preserve">notice to </w:t>
      </w:r>
      <w:r w:rsidR="007754CC" w:rsidRPr="00095BB2">
        <w:rPr>
          <w:rFonts w:ascii="Times New Roman" w:hAnsi="Times New Roman"/>
          <w:sz w:val="28"/>
          <w:szCs w:val="28"/>
        </w:rPr>
        <w:t xml:space="preserve">defend was </w:t>
      </w:r>
      <w:r w:rsidR="00FF7563" w:rsidRPr="00095BB2">
        <w:rPr>
          <w:rFonts w:ascii="Times New Roman" w:hAnsi="Times New Roman"/>
          <w:sz w:val="28"/>
          <w:szCs w:val="28"/>
        </w:rPr>
        <w:t xml:space="preserve">delivered. </w:t>
      </w:r>
      <w:r w:rsidR="000A7984" w:rsidRPr="00095BB2">
        <w:rPr>
          <w:rFonts w:ascii="Times New Roman" w:hAnsi="Times New Roman"/>
          <w:sz w:val="28"/>
          <w:szCs w:val="28"/>
        </w:rPr>
        <w:t>Mr Xolani Daniso</w:t>
      </w:r>
      <w:r w:rsidR="0067515B" w:rsidRPr="00095BB2">
        <w:rPr>
          <w:rFonts w:ascii="Times New Roman" w:hAnsi="Times New Roman"/>
          <w:sz w:val="28"/>
          <w:szCs w:val="28"/>
        </w:rPr>
        <w:t>, the applicant’s sole director</w:t>
      </w:r>
      <w:r w:rsidR="000A7984" w:rsidRPr="00095BB2">
        <w:rPr>
          <w:rFonts w:ascii="Times New Roman" w:hAnsi="Times New Roman"/>
          <w:sz w:val="28"/>
          <w:szCs w:val="28"/>
        </w:rPr>
        <w:t xml:space="preserve"> </w:t>
      </w:r>
      <w:r w:rsidR="00054133" w:rsidRPr="00095BB2">
        <w:rPr>
          <w:rFonts w:ascii="Times New Roman" w:hAnsi="Times New Roman"/>
          <w:sz w:val="28"/>
          <w:szCs w:val="28"/>
        </w:rPr>
        <w:t>who is also the deponent to the founding affidavit</w:t>
      </w:r>
      <w:r w:rsidR="005A13B4">
        <w:rPr>
          <w:rFonts w:ascii="Times New Roman" w:hAnsi="Times New Roman"/>
          <w:sz w:val="28"/>
          <w:szCs w:val="28"/>
        </w:rPr>
        <w:t>,</w:t>
      </w:r>
      <w:r w:rsidR="008F2C2F" w:rsidRPr="00095BB2">
        <w:rPr>
          <w:rFonts w:ascii="Times New Roman" w:hAnsi="Times New Roman"/>
          <w:sz w:val="28"/>
          <w:szCs w:val="28"/>
        </w:rPr>
        <w:t xml:space="preserve"> </w:t>
      </w:r>
      <w:r w:rsidR="0067515B" w:rsidRPr="00095BB2">
        <w:rPr>
          <w:rFonts w:ascii="Times New Roman" w:hAnsi="Times New Roman"/>
          <w:sz w:val="28"/>
          <w:szCs w:val="28"/>
        </w:rPr>
        <w:t xml:space="preserve">avers that the applicant </w:t>
      </w:r>
      <w:r w:rsidR="00B83B32" w:rsidRPr="00095BB2">
        <w:rPr>
          <w:rFonts w:ascii="Times New Roman" w:hAnsi="Times New Roman"/>
          <w:sz w:val="28"/>
          <w:szCs w:val="28"/>
        </w:rPr>
        <w:t xml:space="preserve">had no knowledge </w:t>
      </w:r>
      <w:r w:rsidR="008F2C2F" w:rsidRPr="00095BB2">
        <w:rPr>
          <w:rFonts w:ascii="Times New Roman" w:hAnsi="Times New Roman"/>
          <w:sz w:val="28"/>
          <w:szCs w:val="28"/>
        </w:rPr>
        <w:t>of the action instituted by the respondent</w:t>
      </w:r>
      <w:r w:rsidR="00B83B32" w:rsidRPr="00095BB2">
        <w:rPr>
          <w:rFonts w:ascii="Times New Roman" w:hAnsi="Times New Roman"/>
          <w:sz w:val="28"/>
          <w:szCs w:val="28"/>
        </w:rPr>
        <w:t xml:space="preserve"> </w:t>
      </w:r>
      <w:r w:rsidR="00A02218" w:rsidRPr="00095BB2">
        <w:rPr>
          <w:rFonts w:ascii="Times New Roman" w:hAnsi="Times New Roman"/>
          <w:sz w:val="28"/>
          <w:szCs w:val="28"/>
        </w:rPr>
        <w:t xml:space="preserve">nor did </w:t>
      </w:r>
      <w:r w:rsidR="008F2C2F" w:rsidRPr="00095BB2">
        <w:rPr>
          <w:rFonts w:ascii="Times New Roman" w:hAnsi="Times New Roman"/>
          <w:sz w:val="28"/>
          <w:szCs w:val="28"/>
        </w:rPr>
        <w:t xml:space="preserve">the applicant </w:t>
      </w:r>
      <w:r w:rsidR="00A02218" w:rsidRPr="00095BB2">
        <w:rPr>
          <w:rFonts w:ascii="Times New Roman" w:hAnsi="Times New Roman"/>
          <w:sz w:val="28"/>
          <w:szCs w:val="28"/>
        </w:rPr>
        <w:t xml:space="preserve">have knowledge </w:t>
      </w:r>
      <w:r w:rsidR="00B83B32" w:rsidRPr="00095BB2">
        <w:rPr>
          <w:rFonts w:ascii="Times New Roman" w:hAnsi="Times New Roman"/>
          <w:sz w:val="28"/>
          <w:szCs w:val="28"/>
        </w:rPr>
        <w:t>of the order granted by default</w:t>
      </w:r>
      <w:r w:rsidR="00054133" w:rsidRPr="00095BB2">
        <w:rPr>
          <w:rFonts w:ascii="Times New Roman" w:hAnsi="Times New Roman"/>
          <w:sz w:val="28"/>
          <w:szCs w:val="28"/>
        </w:rPr>
        <w:t xml:space="preserve">. </w:t>
      </w:r>
      <w:r w:rsidR="008F2C2F" w:rsidRPr="00095BB2">
        <w:rPr>
          <w:rFonts w:ascii="Times New Roman" w:hAnsi="Times New Roman"/>
          <w:sz w:val="28"/>
          <w:szCs w:val="28"/>
        </w:rPr>
        <w:t xml:space="preserve">He attributes the applicant’s </w:t>
      </w:r>
      <w:r w:rsidR="00C828B4" w:rsidRPr="00095BB2">
        <w:rPr>
          <w:rFonts w:ascii="Times New Roman" w:hAnsi="Times New Roman"/>
          <w:sz w:val="28"/>
          <w:szCs w:val="28"/>
        </w:rPr>
        <w:t xml:space="preserve">lack of knowledge to </w:t>
      </w:r>
      <w:r w:rsidR="00293402" w:rsidRPr="00095BB2">
        <w:rPr>
          <w:rFonts w:ascii="Times New Roman" w:hAnsi="Times New Roman"/>
          <w:sz w:val="28"/>
          <w:szCs w:val="28"/>
        </w:rPr>
        <w:t xml:space="preserve">defective </w:t>
      </w:r>
      <w:r w:rsidR="00C828B4" w:rsidRPr="00095BB2">
        <w:rPr>
          <w:rFonts w:ascii="Times New Roman" w:hAnsi="Times New Roman"/>
          <w:sz w:val="28"/>
          <w:szCs w:val="28"/>
        </w:rPr>
        <w:t>service of the summons</w:t>
      </w:r>
      <w:r w:rsidR="00FF7563" w:rsidRPr="00095BB2">
        <w:rPr>
          <w:rFonts w:ascii="Times New Roman" w:hAnsi="Times New Roman"/>
          <w:sz w:val="28"/>
          <w:szCs w:val="28"/>
        </w:rPr>
        <w:t xml:space="preserve"> and for that reason</w:t>
      </w:r>
      <w:r w:rsidR="005D5228">
        <w:rPr>
          <w:rFonts w:ascii="Times New Roman" w:hAnsi="Times New Roman"/>
          <w:sz w:val="28"/>
          <w:szCs w:val="28"/>
        </w:rPr>
        <w:t>,</w:t>
      </w:r>
      <w:r w:rsidR="00FF7563" w:rsidRPr="00095BB2">
        <w:rPr>
          <w:rFonts w:ascii="Times New Roman" w:hAnsi="Times New Roman"/>
          <w:sz w:val="28"/>
          <w:szCs w:val="28"/>
        </w:rPr>
        <w:t xml:space="preserve"> he maintains that the applicant did not wilfully</w:t>
      </w:r>
      <w:r w:rsidR="00706F42" w:rsidRPr="00095BB2">
        <w:rPr>
          <w:rFonts w:ascii="Times New Roman" w:hAnsi="Times New Roman"/>
          <w:sz w:val="28"/>
          <w:szCs w:val="28"/>
        </w:rPr>
        <w:t xml:space="preserve"> fail to enter an appearance to defend.</w:t>
      </w:r>
      <w:r w:rsidR="00826A4C" w:rsidRPr="00095BB2">
        <w:rPr>
          <w:rFonts w:ascii="Times New Roman" w:hAnsi="Times New Roman"/>
          <w:sz w:val="28"/>
          <w:szCs w:val="28"/>
        </w:rPr>
        <w:t xml:space="preserve"> </w:t>
      </w:r>
      <w:r w:rsidR="00294E9F" w:rsidRPr="00095BB2">
        <w:rPr>
          <w:rFonts w:ascii="Times New Roman" w:hAnsi="Times New Roman"/>
          <w:sz w:val="28"/>
          <w:szCs w:val="28"/>
        </w:rPr>
        <w:t xml:space="preserve">He goes on to state that </w:t>
      </w:r>
      <w:r w:rsidR="008E2211" w:rsidRPr="00095BB2">
        <w:rPr>
          <w:rFonts w:ascii="Times New Roman" w:hAnsi="Times New Roman"/>
          <w:sz w:val="28"/>
          <w:szCs w:val="28"/>
        </w:rPr>
        <w:t>i</w:t>
      </w:r>
      <w:r w:rsidR="00C828B4" w:rsidRPr="00095BB2">
        <w:rPr>
          <w:rFonts w:ascii="Times New Roman" w:hAnsi="Times New Roman"/>
          <w:sz w:val="28"/>
          <w:szCs w:val="28"/>
        </w:rPr>
        <w:t>t was only upon gaining access</w:t>
      </w:r>
      <w:r w:rsidR="002B665B">
        <w:rPr>
          <w:rFonts w:ascii="Times New Roman" w:hAnsi="Times New Roman"/>
          <w:sz w:val="28"/>
          <w:szCs w:val="28"/>
        </w:rPr>
        <w:t xml:space="preserve"> </w:t>
      </w:r>
      <w:r w:rsidR="00C828B4" w:rsidRPr="00095BB2">
        <w:rPr>
          <w:rFonts w:ascii="Times New Roman" w:hAnsi="Times New Roman"/>
          <w:sz w:val="28"/>
          <w:szCs w:val="28"/>
        </w:rPr>
        <w:t>to the court file</w:t>
      </w:r>
      <w:r w:rsidR="00D71D09" w:rsidRPr="00095BB2">
        <w:rPr>
          <w:rFonts w:ascii="Times New Roman" w:hAnsi="Times New Roman"/>
          <w:sz w:val="28"/>
          <w:szCs w:val="28"/>
        </w:rPr>
        <w:t xml:space="preserve"> after the sheriff attempted to execute a warrant for the delivery of goods during June 2021</w:t>
      </w:r>
      <w:r w:rsidR="00696F50" w:rsidRPr="00095BB2">
        <w:rPr>
          <w:rFonts w:ascii="Times New Roman" w:hAnsi="Times New Roman"/>
          <w:sz w:val="28"/>
          <w:szCs w:val="28"/>
        </w:rPr>
        <w:t xml:space="preserve"> </w:t>
      </w:r>
      <w:r w:rsidR="00C828B4" w:rsidRPr="00095BB2">
        <w:rPr>
          <w:rFonts w:ascii="Times New Roman" w:hAnsi="Times New Roman"/>
          <w:sz w:val="28"/>
          <w:szCs w:val="28"/>
        </w:rPr>
        <w:t xml:space="preserve">that </w:t>
      </w:r>
      <w:r w:rsidR="00294E9F" w:rsidRPr="00095BB2">
        <w:rPr>
          <w:rFonts w:ascii="Times New Roman" w:hAnsi="Times New Roman"/>
          <w:sz w:val="28"/>
          <w:szCs w:val="28"/>
        </w:rPr>
        <w:t xml:space="preserve">the applicant </w:t>
      </w:r>
      <w:r w:rsidR="00C828B4" w:rsidRPr="00095BB2">
        <w:rPr>
          <w:rFonts w:ascii="Times New Roman" w:hAnsi="Times New Roman"/>
          <w:sz w:val="28"/>
          <w:szCs w:val="28"/>
        </w:rPr>
        <w:t>became aware for the first time</w:t>
      </w:r>
      <w:r w:rsidR="00293402" w:rsidRPr="00095BB2">
        <w:rPr>
          <w:rFonts w:ascii="Times New Roman" w:hAnsi="Times New Roman"/>
          <w:sz w:val="28"/>
          <w:szCs w:val="28"/>
        </w:rPr>
        <w:t xml:space="preserve"> that the</w:t>
      </w:r>
      <w:r w:rsidR="002B665B">
        <w:rPr>
          <w:rFonts w:ascii="Times New Roman" w:hAnsi="Times New Roman"/>
          <w:sz w:val="28"/>
          <w:szCs w:val="28"/>
        </w:rPr>
        <w:t xml:space="preserve"> </w:t>
      </w:r>
      <w:r w:rsidR="00A44C33" w:rsidRPr="00095BB2">
        <w:rPr>
          <w:rFonts w:ascii="Times New Roman" w:hAnsi="Times New Roman"/>
          <w:sz w:val="28"/>
          <w:szCs w:val="28"/>
        </w:rPr>
        <w:t xml:space="preserve">sheriff’s return indicating that service of </w:t>
      </w:r>
      <w:r w:rsidR="002E15B2" w:rsidRPr="00095BB2">
        <w:rPr>
          <w:rFonts w:ascii="Times New Roman" w:hAnsi="Times New Roman"/>
          <w:sz w:val="28"/>
          <w:szCs w:val="28"/>
        </w:rPr>
        <w:t xml:space="preserve">the </w:t>
      </w:r>
      <w:r w:rsidR="00A44C33" w:rsidRPr="00095BB2">
        <w:rPr>
          <w:rFonts w:ascii="Times New Roman" w:hAnsi="Times New Roman"/>
          <w:sz w:val="28"/>
          <w:szCs w:val="28"/>
        </w:rPr>
        <w:t xml:space="preserve">summons was effected on ‘10-11-12’ was a ‘doctored’ </w:t>
      </w:r>
      <w:r w:rsidR="002E15B2" w:rsidRPr="00095BB2">
        <w:rPr>
          <w:rFonts w:ascii="Times New Roman" w:hAnsi="Times New Roman"/>
          <w:sz w:val="28"/>
          <w:szCs w:val="28"/>
        </w:rPr>
        <w:t xml:space="preserve">or fraudulent </w:t>
      </w:r>
      <w:r w:rsidR="00A44C33" w:rsidRPr="00095BB2">
        <w:rPr>
          <w:rFonts w:ascii="Times New Roman" w:hAnsi="Times New Roman"/>
          <w:sz w:val="28"/>
          <w:szCs w:val="28"/>
        </w:rPr>
        <w:t>document</w:t>
      </w:r>
      <w:r w:rsidR="002E15B2" w:rsidRPr="00095BB2">
        <w:rPr>
          <w:rFonts w:ascii="Times New Roman" w:hAnsi="Times New Roman"/>
          <w:sz w:val="28"/>
          <w:szCs w:val="28"/>
        </w:rPr>
        <w:t>,</w:t>
      </w:r>
      <w:r w:rsidR="00C828B4" w:rsidRPr="00095BB2">
        <w:rPr>
          <w:rFonts w:ascii="Times New Roman" w:hAnsi="Times New Roman"/>
          <w:sz w:val="28"/>
          <w:szCs w:val="28"/>
        </w:rPr>
        <w:t xml:space="preserve"> and that the order it now seeks to set aside was </w:t>
      </w:r>
      <w:r w:rsidR="007A71AD" w:rsidRPr="00095BB2">
        <w:rPr>
          <w:rFonts w:ascii="Times New Roman" w:hAnsi="Times New Roman"/>
          <w:sz w:val="28"/>
          <w:szCs w:val="28"/>
        </w:rPr>
        <w:t xml:space="preserve">erroneously </w:t>
      </w:r>
      <w:r w:rsidR="00A27AD0" w:rsidRPr="00095BB2">
        <w:rPr>
          <w:rFonts w:ascii="Times New Roman" w:hAnsi="Times New Roman"/>
          <w:sz w:val="28"/>
          <w:szCs w:val="28"/>
        </w:rPr>
        <w:t>granted</w:t>
      </w:r>
      <w:r w:rsidR="00C828B4" w:rsidRPr="00095BB2">
        <w:rPr>
          <w:rFonts w:ascii="Times New Roman" w:hAnsi="Times New Roman"/>
          <w:sz w:val="28"/>
          <w:szCs w:val="28"/>
        </w:rPr>
        <w:t>.</w:t>
      </w:r>
    </w:p>
    <w:p w:rsidR="002B665B" w:rsidRPr="00095BB2" w:rsidRDefault="002B665B" w:rsidP="00D75D96">
      <w:pPr>
        <w:pStyle w:val="LegalList1"/>
        <w:spacing w:after="0" w:line="360" w:lineRule="auto"/>
        <w:rPr>
          <w:rFonts w:ascii="Times New Roman" w:hAnsi="Times New Roman"/>
          <w:sz w:val="28"/>
          <w:szCs w:val="28"/>
        </w:rPr>
      </w:pPr>
    </w:p>
    <w:p w:rsidR="000A2C0A" w:rsidRPr="00095BB2" w:rsidRDefault="00AE4C99" w:rsidP="00AE4C99">
      <w:pPr>
        <w:pStyle w:val="LegalList1"/>
        <w:spacing w:after="120" w:line="360" w:lineRule="auto"/>
        <w:rPr>
          <w:rFonts w:ascii="Times New Roman" w:hAnsi="Times New Roman"/>
          <w:sz w:val="28"/>
          <w:szCs w:val="28"/>
        </w:rPr>
      </w:pPr>
      <w:r w:rsidRPr="00095BB2">
        <w:rPr>
          <w:rFonts w:ascii="Times New Roman" w:hAnsi="Times New Roman"/>
          <w:sz w:val="28"/>
          <w:szCs w:val="28"/>
        </w:rPr>
        <w:t>[10]</w:t>
      </w:r>
      <w:r w:rsidRPr="00095BB2">
        <w:rPr>
          <w:rFonts w:ascii="Times New Roman" w:hAnsi="Times New Roman"/>
          <w:sz w:val="28"/>
          <w:szCs w:val="28"/>
        </w:rPr>
        <w:tab/>
      </w:r>
      <w:r w:rsidR="00706F42" w:rsidRPr="00095BB2">
        <w:rPr>
          <w:rFonts w:ascii="Times New Roman" w:hAnsi="Times New Roman"/>
          <w:sz w:val="28"/>
          <w:szCs w:val="28"/>
        </w:rPr>
        <w:t>In considering the rescission sought under the rule aforementioned t</w:t>
      </w:r>
      <w:r w:rsidR="00BA4B6A" w:rsidRPr="00095BB2">
        <w:rPr>
          <w:rFonts w:ascii="Times New Roman" w:hAnsi="Times New Roman"/>
          <w:sz w:val="28"/>
          <w:szCs w:val="28"/>
        </w:rPr>
        <w:t xml:space="preserve">he scenario commences with </w:t>
      </w:r>
      <w:r w:rsidR="005E0452" w:rsidRPr="00095BB2">
        <w:rPr>
          <w:rFonts w:ascii="Times New Roman" w:hAnsi="Times New Roman"/>
          <w:sz w:val="28"/>
          <w:szCs w:val="28"/>
        </w:rPr>
        <w:t>three purported returns of service</w:t>
      </w:r>
      <w:r w:rsidR="00731D92" w:rsidRPr="00095BB2">
        <w:rPr>
          <w:rFonts w:ascii="Times New Roman" w:hAnsi="Times New Roman"/>
          <w:sz w:val="28"/>
          <w:szCs w:val="28"/>
        </w:rPr>
        <w:t>, each bearing the name of the sheriff, ‘L Tonjeni’.</w:t>
      </w:r>
      <w:r w:rsidR="00B36DF5" w:rsidRPr="00095BB2">
        <w:rPr>
          <w:rStyle w:val="FootnoteReference"/>
          <w:rFonts w:ascii="Times New Roman" w:hAnsi="Times New Roman"/>
          <w:sz w:val="28"/>
          <w:szCs w:val="28"/>
        </w:rPr>
        <w:footnoteReference w:id="6"/>
      </w:r>
    </w:p>
    <w:p w:rsidR="00955D96" w:rsidRPr="00095BB2" w:rsidRDefault="00BF63E3" w:rsidP="00D75D96">
      <w:pPr>
        <w:pStyle w:val="LegalList1"/>
        <w:spacing w:after="120" w:line="360" w:lineRule="auto"/>
        <w:ind w:left="720" w:hanging="720"/>
        <w:rPr>
          <w:rFonts w:ascii="Times New Roman" w:hAnsi="Times New Roman"/>
          <w:sz w:val="28"/>
          <w:szCs w:val="28"/>
        </w:rPr>
      </w:pPr>
      <w:r w:rsidRPr="00095BB2">
        <w:rPr>
          <w:rFonts w:ascii="Times New Roman" w:hAnsi="Times New Roman"/>
          <w:sz w:val="28"/>
          <w:szCs w:val="28"/>
        </w:rPr>
        <w:t>1</w:t>
      </w:r>
      <w:r w:rsidR="002B665B">
        <w:rPr>
          <w:rFonts w:ascii="Times New Roman" w:hAnsi="Times New Roman"/>
          <w:sz w:val="28"/>
          <w:szCs w:val="28"/>
        </w:rPr>
        <w:t>0</w:t>
      </w:r>
      <w:r w:rsidRPr="00095BB2">
        <w:rPr>
          <w:rFonts w:ascii="Times New Roman" w:hAnsi="Times New Roman"/>
          <w:sz w:val="28"/>
          <w:szCs w:val="28"/>
        </w:rPr>
        <w:t>.1</w:t>
      </w:r>
      <w:r w:rsidRPr="00095BB2">
        <w:rPr>
          <w:rFonts w:ascii="Times New Roman" w:hAnsi="Times New Roman"/>
          <w:sz w:val="28"/>
          <w:szCs w:val="28"/>
        </w:rPr>
        <w:tab/>
      </w:r>
      <w:r w:rsidR="00777ABA" w:rsidRPr="00095BB2">
        <w:rPr>
          <w:rFonts w:ascii="Times New Roman" w:hAnsi="Times New Roman"/>
          <w:sz w:val="28"/>
          <w:szCs w:val="28"/>
        </w:rPr>
        <w:t xml:space="preserve">The first return indicates that a ‘Notice of Agreement Form 27’ was served on the applicant on </w:t>
      </w:r>
      <w:r w:rsidR="00E236D8" w:rsidRPr="00095BB2">
        <w:rPr>
          <w:rFonts w:ascii="Times New Roman" w:hAnsi="Times New Roman"/>
          <w:sz w:val="28"/>
          <w:szCs w:val="28"/>
        </w:rPr>
        <w:t>‘</w:t>
      </w:r>
      <w:r w:rsidR="00777ABA" w:rsidRPr="00095BB2">
        <w:rPr>
          <w:rFonts w:ascii="Times New Roman" w:hAnsi="Times New Roman"/>
          <w:sz w:val="28"/>
          <w:szCs w:val="28"/>
        </w:rPr>
        <w:t>10-11-20’ at 09h00</w:t>
      </w:r>
      <w:r w:rsidR="00944909" w:rsidRPr="00095BB2">
        <w:rPr>
          <w:rFonts w:ascii="Times New Roman" w:hAnsi="Times New Roman"/>
          <w:sz w:val="28"/>
          <w:szCs w:val="28"/>
        </w:rPr>
        <w:t xml:space="preserve"> (I add that Form 27 is the notice under </w:t>
      </w:r>
      <w:r w:rsidR="00417CEC">
        <w:rPr>
          <w:rFonts w:ascii="Times New Roman" w:hAnsi="Times New Roman"/>
          <w:sz w:val="28"/>
          <w:szCs w:val="28"/>
        </w:rPr>
        <w:t xml:space="preserve">Uniform </w:t>
      </w:r>
      <w:r w:rsidR="00944909" w:rsidRPr="00095BB2">
        <w:rPr>
          <w:rFonts w:ascii="Times New Roman" w:hAnsi="Times New Roman"/>
          <w:sz w:val="28"/>
          <w:szCs w:val="28"/>
        </w:rPr>
        <w:t>rule 41A</w:t>
      </w:r>
      <w:r w:rsidR="00460C65" w:rsidRPr="00095BB2">
        <w:rPr>
          <w:rFonts w:ascii="Times New Roman" w:hAnsi="Times New Roman"/>
          <w:sz w:val="28"/>
          <w:szCs w:val="28"/>
        </w:rPr>
        <w:t xml:space="preserve"> dealing with the referral of a dispute to mediation before proceeding with litigation).</w:t>
      </w:r>
    </w:p>
    <w:p w:rsidR="000A2C0A" w:rsidRPr="00095BB2" w:rsidRDefault="00BF63E3" w:rsidP="00D75D96">
      <w:pPr>
        <w:pStyle w:val="LegalList1"/>
        <w:spacing w:after="120" w:line="360" w:lineRule="auto"/>
        <w:ind w:left="720" w:hanging="720"/>
        <w:rPr>
          <w:rFonts w:ascii="Times New Roman" w:hAnsi="Times New Roman"/>
          <w:sz w:val="28"/>
          <w:szCs w:val="28"/>
        </w:rPr>
      </w:pPr>
      <w:r w:rsidRPr="00095BB2">
        <w:rPr>
          <w:rFonts w:ascii="Times New Roman" w:hAnsi="Times New Roman"/>
          <w:sz w:val="28"/>
          <w:szCs w:val="28"/>
        </w:rPr>
        <w:lastRenderedPageBreak/>
        <w:t>1</w:t>
      </w:r>
      <w:r w:rsidR="00A438DA" w:rsidRPr="00095BB2">
        <w:rPr>
          <w:rFonts w:ascii="Times New Roman" w:hAnsi="Times New Roman"/>
          <w:sz w:val="28"/>
          <w:szCs w:val="28"/>
        </w:rPr>
        <w:t>0</w:t>
      </w:r>
      <w:r w:rsidRPr="00095BB2">
        <w:rPr>
          <w:rFonts w:ascii="Times New Roman" w:hAnsi="Times New Roman"/>
          <w:sz w:val="28"/>
          <w:szCs w:val="28"/>
        </w:rPr>
        <w:t>.2</w:t>
      </w:r>
      <w:r w:rsidRPr="00095BB2">
        <w:rPr>
          <w:rFonts w:ascii="Times New Roman" w:hAnsi="Times New Roman"/>
          <w:sz w:val="28"/>
          <w:szCs w:val="28"/>
        </w:rPr>
        <w:tab/>
      </w:r>
      <w:r w:rsidR="000A2C0A" w:rsidRPr="00095BB2">
        <w:rPr>
          <w:rFonts w:ascii="Times New Roman" w:hAnsi="Times New Roman"/>
          <w:sz w:val="28"/>
          <w:szCs w:val="28"/>
        </w:rPr>
        <w:t xml:space="preserve">The second return indicates that ‘Summons’ was served on the applicant on </w:t>
      </w:r>
      <w:r w:rsidR="000559BB" w:rsidRPr="00095BB2">
        <w:rPr>
          <w:rFonts w:ascii="Times New Roman" w:hAnsi="Times New Roman"/>
          <w:sz w:val="28"/>
          <w:szCs w:val="28"/>
        </w:rPr>
        <w:t>‘</w:t>
      </w:r>
      <w:r w:rsidR="005520E5" w:rsidRPr="00095BB2">
        <w:rPr>
          <w:rFonts w:ascii="Times New Roman" w:hAnsi="Times New Roman"/>
          <w:sz w:val="28"/>
          <w:szCs w:val="28"/>
        </w:rPr>
        <w:t>10-11-12’ at 09h00.</w:t>
      </w:r>
      <w:r w:rsidR="00C51413" w:rsidRPr="00095BB2">
        <w:rPr>
          <w:rFonts w:ascii="Times New Roman" w:hAnsi="Times New Roman"/>
          <w:sz w:val="28"/>
          <w:szCs w:val="28"/>
        </w:rPr>
        <w:t xml:space="preserve"> The document however bears a date stamp for 10</w:t>
      </w:r>
      <w:r w:rsidR="00963D3D" w:rsidRPr="00095BB2">
        <w:rPr>
          <w:rFonts w:ascii="Times New Roman" w:hAnsi="Times New Roman"/>
          <w:sz w:val="28"/>
          <w:szCs w:val="28"/>
        </w:rPr>
        <w:t> </w:t>
      </w:r>
      <w:r w:rsidR="00C51413" w:rsidRPr="00095BB2">
        <w:rPr>
          <w:rFonts w:ascii="Times New Roman" w:hAnsi="Times New Roman"/>
          <w:sz w:val="28"/>
          <w:szCs w:val="28"/>
        </w:rPr>
        <w:t>November 2020.</w:t>
      </w:r>
    </w:p>
    <w:p w:rsidR="005520E5" w:rsidRPr="00095BB2" w:rsidRDefault="006A1CDD" w:rsidP="00D75D96">
      <w:pPr>
        <w:pStyle w:val="LegalList1"/>
        <w:spacing w:after="120" w:line="360" w:lineRule="auto"/>
        <w:ind w:left="720" w:hanging="720"/>
        <w:rPr>
          <w:rFonts w:ascii="Times New Roman" w:hAnsi="Times New Roman"/>
          <w:sz w:val="28"/>
          <w:szCs w:val="28"/>
        </w:rPr>
      </w:pPr>
      <w:r w:rsidRPr="00095BB2">
        <w:rPr>
          <w:rFonts w:ascii="Times New Roman" w:hAnsi="Times New Roman"/>
          <w:sz w:val="28"/>
          <w:szCs w:val="28"/>
        </w:rPr>
        <w:t>1</w:t>
      </w:r>
      <w:r w:rsidR="00A438DA" w:rsidRPr="00095BB2">
        <w:rPr>
          <w:rFonts w:ascii="Times New Roman" w:hAnsi="Times New Roman"/>
          <w:sz w:val="28"/>
          <w:szCs w:val="28"/>
        </w:rPr>
        <w:t>0</w:t>
      </w:r>
      <w:r w:rsidRPr="00095BB2">
        <w:rPr>
          <w:rFonts w:ascii="Times New Roman" w:hAnsi="Times New Roman"/>
          <w:sz w:val="28"/>
          <w:szCs w:val="28"/>
        </w:rPr>
        <w:t>.3</w:t>
      </w:r>
      <w:r w:rsidRPr="00095BB2">
        <w:rPr>
          <w:rFonts w:ascii="Times New Roman" w:hAnsi="Times New Roman"/>
          <w:sz w:val="28"/>
          <w:szCs w:val="28"/>
        </w:rPr>
        <w:tab/>
      </w:r>
      <w:r w:rsidR="005520E5" w:rsidRPr="00095BB2">
        <w:rPr>
          <w:rFonts w:ascii="Times New Roman" w:hAnsi="Times New Roman"/>
          <w:sz w:val="28"/>
          <w:szCs w:val="28"/>
        </w:rPr>
        <w:t>Both returns sh</w:t>
      </w:r>
      <w:r w:rsidR="00854E7D" w:rsidRPr="00095BB2">
        <w:rPr>
          <w:rFonts w:ascii="Times New Roman" w:hAnsi="Times New Roman"/>
          <w:sz w:val="28"/>
          <w:szCs w:val="28"/>
        </w:rPr>
        <w:t>ow that service was effected at ‘Dubana A/A Lusikisiki 4820’ on V Tshezi (Secretary).</w:t>
      </w:r>
    </w:p>
    <w:p w:rsidR="00854E7D" w:rsidRDefault="006A1CDD" w:rsidP="00D75D96">
      <w:pPr>
        <w:pStyle w:val="LegalList1"/>
        <w:spacing w:after="0" w:line="360" w:lineRule="auto"/>
        <w:ind w:left="720" w:hanging="720"/>
        <w:rPr>
          <w:rFonts w:ascii="Times New Roman" w:hAnsi="Times New Roman"/>
          <w:sz w:val="28"/>
          <w:szCs w:val="28"/>
        </w:rPr>
      </w:pPr>
      <w:r w:rsidRPr="00095BB2">
        <w:rPr>
          <w:rFonts w:ascii="Times New Roman" w:hAnsi="Times New Roman"/>
          <w:sz w:val="28"/>
          <w:szCs w:val="28"/>
        </w:rPr>
        <w:t>1</w:t>
      </w:r>
      <w:r w:rsidR="00A438DA" w:rsidRPr="00095BB2">
        <w:rPr>
          <w:rFonts w:ascii="Times New Roman" w:hAnsi="Times New Roman"/>
          <w:sz w:val="28"/>
          <w:szCs w:val="28"/>
        </w:rPr>
        <w:t>0</w:t>
      </w:r>
      <w:r w:rsidRPr="00095BB2">
        <w:rPr>
          <w:rFonts w:ascii="Times New Roman" w:hAnsi="Times New Roman"/>
          <w:sz w:val="28"/>
          <w:szCs w:val="28"/>
        </w:rPr>
        <w:t>.4</w:t>
      </w:r>
      <w:r w:rsidRPr="00095BB2">
        <w:rPr>
          <w:rFonts w:ascii="Times New Roman" w:hAnsi="Times New Roman"/>
          <w:sz w:val="28"/>
          <w:szCs w:val="28"/>
        </w:rPr>
        <w:tab/>
      </w:r>
      <w:r w:rsidR="00854E7D" w:rsidRPr="00095BB2">
        <w:rPr>
          <w:rFonts w:ascii="Times New Roman" w:hAnsi="Times New Roman"/>
          <w:sz w:val="28"/>
          <w:szCs w:val="28"/>
        </w:rPr>
        <w:t>The third return</w:t>
      </w:r>
      <w:r w:rsidR="009C261B" w:rsidRPr="00095BB2">
        <w:rPr>
          <w:rFonts w:ascii="Times New Roman" w:hAnsi="Times New Roman"/>
          <w:sz w:val="28"/>
          <w:szCs w:val="28"/>
        </w:rPr>
        <w:t xml:space="preserve"> indicates that ‘Summons &amp; Form 27 Notice of A</w:t>
      </w:r>
      <w:r w:rsidR="000559BB" w:rsidRPr="00095BB2">
        <w:rPr>
          <w:rFonts w:ascii="Times New Roman" w:hAnsi="Times New Roman"/>
          <w:sz w:val="28"/>
          <w:szCs w:val="28"/>
        </w:rPr>
        <w:t xml:space="preserve">greement’ </w:t>
      </w:r>
      <w:r w:rsidR="00E13A66" w:rsidRPr="00095BB2">
        <w:rPr>
          <w:rFonts w:ascii="Times New Roman" w:hAnsi="Times New Roman"/>
          <w:sz w:val="28"/>
          <w:szCs w:val="28"/>
        </w:rPr>
        <w:t xml:space="preserve">was served </w:t>
      </w:r>
      <w:r w:rsidR="000559BB" w:rsidRPr="00095BB2">
        <w:rPr>
          <w:rFonts w:ascii="Times New Roman" w:hAnsi="Times New Roman"/>
          <w:sz w:val="28"/>
          <w:szCs w:val="28"/>
        </w:rPr>
        <w:t xml:space="preserve">on </w:t>
      </w:r>
      <w:r w:rsidR="00E13A66" w:rsidRPr="00095BB2">
        <w:rPr>
          <w:rFonts w:ascii="Times New Roman" w:hAnsi="Times New Roman"/>
          <w:sz w:val="28"/>
          <w:szCs w:val="28"/>
        </w:rPr>
        <w:t>‘10-11-20’ at 12h00 at ‘Dubana A/A Lusikisiki 4820’ on V</w:t>
      </w:r>
      <w:r w:rsidRPr="00D75D96">
        <w:rPr>
          <w:rFonts w:ascii="Times New Roman" w:hAnsi="Times New Roman"/>
        </w:rPr>
        <w:t> </w:t>
      </w:r>
      <w:r w:rsidR="00E13A66" w:rsidRPr="00095BB2">
        <w:rPr>
          <w:rFonts w:ascii="Times New Roman" w:hAnsi="Times New Roman"/>
          <w:sz w:val="28"/>
          <w:szCs w:val="28"/>
        </w:rPr>
        <w:t>Cacadu (Secretary).</w:t>
      </w:r>
    </w:p>
    <w:p w:rsidR="00417CEC" w:rsidRPr="00095BB2" w:rsidRDefault="00417CEC" w:rsidP="00D75D96">
      <w:pPr>
        <w:pStyle w:val="LegalList1"/>
        <w:spacing w:after="0" w:line="360" w:lineRule="auto"/>
        <w:ind w:left="720" w:hanging="720"/>
        <w:rPr>
          <w:rFonts w:ascii="Times New Roman" w:hAnsi="Times New Roman"/>
          <w:sz w:val="28"/>
          <w:szCs w:val="28"/>
        </w:rPr>
      </w:pPr>
    </w:p>
    <w:p w:rsidR="00963D3D"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845044" w:rsidRPr="00095BB2">
        <w:rPr>
          <w:rFonts w:ascii="Times New Roman" w:hAnsi="Times New Roman"/>
          <w:sz w:val="28"/>
          <w:szCs w:val="28"/>
        </w:rPr>
        <w:t>Relevant to the</w:t>
      </w:r>
      <w:r w:rsidR="00093F7A" w:rsidRPr="00095BB2">
        <w:rPr>
          <w:rFonts w:ascii="Times New Roman" w:hAnsi="Times New Roman"/>
          <w:sz w:val="28"/>
          <w:szCs w:val="28"/>
        </w:rPr>
        <w:t xml:space="preserve"> second return of service </w:t>
      </w:r>
      <w:r w:rsidR="00845044" w:rsidRPr="00095BB2">
        <w:rPr>
          <w:rFonts w:ascii="Times New Roman" w:hAnsi="Times New Roman"/>
          <w:sz w:val="28"/>
          <w:szCs w:val="28"/>
        </w:rPr>
        <w:t xml:space="preserve">the </w:t>
      </w:r>
      <w:r w:rsidR="00D87AB5" w:rsidRPr="00095BB2">
        <w:rPr>
          <w:rFonts w:ascii="Times New Roman" w:hAnsi="Times New Roman"/>
          <w:sz w:val="28"/>
          <w:szCs w:val="28"/>
        </w:rPr>
        <w:t xml:space="preserve">error relied on </w:t>
      </w:r>
      <w:r w:rsidR="00731D92" w:rsidRPr="00095BB2">
        <w:rPr>
          <w:rFonts w:ascii="Times New Roman" w:hAnsi="Times New Roman"/>
          <w:sz w:val="28"/>
          <w:szCs w:val="28"/>
        </w:rPr>
        <w:t xml:space="preserve">in </w:t>
      </w:r>
      <w:r w:rsidR="005D67C5" w:rsidRPr="00095BB2">
        <w:rPr>
          <w:rFonts w:ascii="Times New Roman" w:hAnsi="Times New Roman"/>
          <w:sz w:val="28"/>
          <w:szCs w:val="28"/>
        </w:rPr>
        <w:t xml:space="preserve">the </w:t>
      </w:r>
      <w:r w:rsidR="00845044" w:rsidRPr="00095BB2">
        <w:rPr>
          <w:rFonts w:ascii="Times New Roman" w:hAnsi="Times New Roman"/>
          <w:sz w:val="28"/>
          <w:szCs w:val="28"/>
        </w:rPr>
        <w:t xml:space="preserve">founding affidavit </w:t>
      </w:r>
      <w:r w:rsidR="009D5705" w:rsidRPr="00095BB2">
        <w:rPr>
          <w:rFonts w:ascii="Times New Roman" w:hAnsi="Times New Roman"/>
          <w:sz w:val="28"/>
          <w:szCs w:val="28"/>
        </w:rPr>
        <w:t xml:space="preserve">differs from </w:t>
      </w:r>
      <w:r w:rsidR="00D87AB5" w:rsidRPr="00095BB2">
        <w:rPr>
          <w:rFonts w:ascii="Times New Roman" w:hAnsi="Times New Roman"/>
          <w:sz w:val="28"/>
          <w:szCs w:val="28"/>
        </w:rPr>
        <w:t xml:space="preserve">the </w:t>
      </w:r>
      <w:r w:rsidR="00B038C6" w:rsidRPr="00095BB2">
        <w:rPr>
          <w:rFonts w:ascii="Times New Roman" w:hAnsi="Times New Roman"/>
          <w:sz w:val="28"/>
          <w:szCs w:val="28"/>
        </w:rPr>
        <w:t>contention/</w:t>
      </w:r>
      <w:r w:rsidR="00D87AB5" w:rsidRPr="00095BB2">
        <w:rPr>
          <w:rFonts w:ascii="Times New Roman" w:hAnsi="Times New Roman"/>
          <w:sz w:val="28"/>
          <w:szCs w:val="28"/>
        </w:rPr>
        <w:t xml:space="preserve">s raised in </w:t>
      </w:r>
      <w:r w:rsidR="005D67C5" w:rsidRPr="00095BB2">
        <w:rPr>
          <w:rFonts w:ascii="Times New Roman" w:hAnsi="Times New Roman"/>
          <w:sz w:val="28"/>
          <w:szCs w:val="28"/>
        </w:rPr>
        <w:t xml:space="preserve">the applicant’s </w:t>
      </w:r>
      <w:r w:rsidR="009D5705" w:rsidRPr="00095BB2">
        <w:rPr>
          <w:rFonts w:ascii="Times New Roman" w:hAnsi="Times New Roman"/>
          <w:sz w:val="28"/>
          <w:szCs w:val="28"/>
        </w:rPr>
        <w:t xml:space="preserve">heads of argument. </w:t>
      </w:r>
      <w:r w:rsidR="00F34849" w:rsidRPr="00095BB2">
        <w:rPr>
          <w:rFonts w:ascii="Times New Roman" w:hAnsi="Times New Roman"/>
          <w:sz w:val="28"/>
          <w:szCs w:val="28"/>
        </w:rPr>
        <w:t xml:space="preserve">Adverting to the second return, </w:t>
      </w:r>
      <w:r w:rsidR="005D67C5" w:rsidRPr="00095BB2">
        <w:rPr>
          <w:rFonts w:ascii="Times New Roman" w:hAnsi="Times New Roman"/>
          <w:sz w:val="28"/>
          <w:szCs w:val="28"/>
        </w:rPr>
        <w:t>Mr Daniso</w:t>
      </w:r>
      <w:r w:rsidR="00661F7C" w:rsidRPr="00095BB2">
        <w:rPr>
          <w:rFonts w:ascii="Times New Roman" w:hAnsi="Times New Roman"/>
          <w:sz w:val="28"/>
          <w:szCs w:val="28"/>
        </w:rPr>
        <w:t xml:space="preserve"> </w:t>
      </w:r>
      <w:r w:rsidR="00BA07D1" w:rsidRPr="00095BB2">
        <w:rPr>
          <w:rFonts w:ascii="Times New Roman" w:hAnsi="Times New Roman"/>
          <w:sz w:val="28"/>
          <w:szCs w:val="28"/>
        </w:rPr>
        <w:t xml:space="preserve">impugns the </w:t>
      </w:r>
      <w:r w:rsidR="00F97C24" w:rsidRPr="00095BB2">
        <w:rPr>
          <w:rFonts w:ascii="Times New Roman" w:hAnsi="Times New Roman"/>
          <w:sz w:val="28"/>
          <w:szCs w:val="28"/>
        </w:rPr>
        <w:t xml:space="preserve">service </w:t>
      </w:r>
      <w:r w:rsidR="00D438F8" w:rsidRPr="00095BB2">
        <w:rPr>
          <w:rFonts w:ascii="Times New Roman" w:hAnsi="Times New Roman"/>
          <w:sz w:val="28"/>
          <w:szCs w:val="28"/>
        </w:rPr>
        <w:t xml:space="preserve">of summons </w:t>
      </w:r>
      <w:r w:rsidR="00963D3D" w:rsidRPr="00095BB2">
        <w:rPr>
          <w:rFonts w:ascii="Times New Roman" w:hAnsi="Times New Roman"/>
          <w:sz w:val="28"/>
          <w:szCs w:val="28"/>
        </w:rPr>
        <w:t xml:space="preserve">effected </w:t>
      </w:r>
      <w:r w:rsidR="00BA07D1" w:rsidRPr="00095BB2">
        <w:rPr>
          <w:rFonts w:ascii="Times New Roman" w:hAnsi="Times New Roman"/>
          <w:sz w:val="28"/>
          <w:szCs w:val="28"/>
        </w:rPr>
        <w:t>on 10-11-12</w:t>
      </w:r>
      <w:r w:rsidR="0097075D" w:rsidRPr="00095BB2">
        <w:rPr>
          <w:rFonts w:ascii="Times New Roman" w:hAnsi="Times New Roman"/>
          <w:sz w:val="28"/>
          <w:szCs w:val="28"/>
        </w:rPr>
        <w:t xml:space="preserve">. He </w:t>
      </w:r>
      <w:r w:rsidR="002C2C57" w:rsidRPr="00095BB2">
        <w:rPr>
          <w:rFonts w:ascii="Times New Roman" w:hAnsi="Times New Roman"/>
          <w:sz w:val="28"/>
          <w:szCs w:val="28"/>
        </w:rPr>
        <w:t xml:space="preserve">denies </w:t>
      </w:r>
      <w:r w:rsidR="0097075D" w:rsidRPr="00095BB2">
        <w:rPr>
          <w:rFonts w:ascii="Times New Roman" w:hAnsi="Times New Roman"/>
          <w:sz w:val="28"/>
          <w:szCs w:val="28"/>
        </w:rPr>
        <w:t xml:space="preserve">that the applicant has a registered office at Dubana </w:t>
      </w:r>
      <w:r w:rsidR="00D35730" w:rsidRPr="00095BB2">
        <w:rPr>
          <w:rFonts w:ascii="Times New Roman" w:hAnsi="Times New Roman"/>
          <w:sz w:val="28"/>
          <w:szCs w:val="28"/>
        </w:rPr>
        <w:t xml:space="preserve">Administrative Area and maintains that it is </w:t>
      </w:r>
      <w:r w:rsidR="00D438F8" w:rsidRPr="00095BB2">
        <w:rPr>
          <w:rFonts w:ascii="Times New Roman" w:hAnsi="Times New Roman"/>
          <w:sz w:val="28"/>
          <w:szCs w:val="28"/>
        </w:rPr>
        <w:t xml:space="preserve">his residential </w:t>
      </w:r>
      <w:r w:rsidR="00F82F69" w:rsidRPr="00095BB2">
        <w:rPr>
          <w:rFonts w:ascii="Times New Roman" w:hAnsi="Times New Roman"/>
          <w:sz w:val="28"/>
          <w:szCs w:val="28"/>
        </w:rPr>
        <w:t xml:space="preserve">address </w:t>
      </w:r>
      <w:r w:rsidR="00D438F8" w:rsidRPr="00095BB2">
        <w:rPr>
          <w:rFonts w:ascii="Times New Roman" w:hAnsi="Times New Roman"/>
          <w:sz w:val="28"/>
          <w:szCs w:val="28"/>
        </w:rPr>
        <w:t xml:space="preserve">at which </w:t>
      </w:r>
      <w:r w:rsidR="00D35730" w:rsidRPr="00095BB2">
        <w:rPr>
          <w:rFonts w:ascii="Times New Roman" w:hAnsi="Times New Roman"/>
          <w:sz w:val="28"/>
          <w:szCs w:val="28"/>
        </w:rPr>
        <w:t>there is no other person</w:t>
      </w:r>
      <w:r w:rsidR="005D5228">
        <w:rPr>
          <w:rFonts w:ascii="Times New Roman" w:hAnsi="Times New Roman"/>
          <w:sz w:val="28"/>
          <w:szCs w:val="28"/>
        </w:rPr>
        <w:t>,</w:t>
      </w:r>
      <w:r w:rsidR="00D35730" w:rsidRPr="00095BB2">
        <w:rPr>
          <w:rFonts w:ascii="Times New Roman" w:hAnsi="Times New Roman"/>
          <w:sz w:val="28"/>
          <w:szCs w:val="28"/>
        </w:rPr>
        <w:t xml:space="preserve"> whether male or female</w:t>
      </w:r>
      <w:r w:rsidR="005D5228">
        <w:rPr>
          <w:rFonts w:ascii="Times New Roman" w:hAnsi="Times New Roman"/>
          <w:sz w:val="28"/>
          <w:szCs w:val="28"/>
        </w:rPr>
        <w:t>,</w:t>
      </w:r>
      <w:r w:rsidR="00D35730" w:rsidRPr="00095BB2">
        <w:rPr>
          <w:rFonts w:ascii="Times New Roman" w:hAnsi="Times New Roman"/>
          <w:sz w:val="28"/>
          <w:szCs w:val="28"/>
        </w:rPr>
        <w:t xml:space="preserve"> by the name of V Tshezi</w:t>
      </w:r>
      <w:r w:rsidR="004A44C7" w:rsidRPr="00095BB2">
        <w:rPr>
          <w:rFonts w:ascii="Times New Roman" w:hAnsi="Times New Roman"/>
          <w:sz w:val="28"/>
          <w:szCs w:val="28"/>
        </w:rPr>
        <w:t xml:space="preserve"> designated as the applicant’s secretary.</w:t>
      </w:r>
    </w:p>
    <w:p w:rsidR="00417CEC" w:rsidRPr="00095BB2" w:rsidRDefault="00417CEC" w:rsidP="00D75D96">
      <w:pPr>
        <w:pStyle w:val="LegalList1"/>
        <w:spacing w:after="0" w:line="360" w:lineRule="auto"/>
        <w:rPr>
          <w:rFonts w:ascii="Times New Roman" w:hAnsi="Times New Roman"/>
          <w:sz w:val="28"/>
          <w:szCs w:val="28"/>
        </w:rPr>
      </w:pPr>
    </w:p>
    <w:p w:rsidR="00955D13"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433FEA" w:rsidRPr="00095BB2">
        <w:rPr>
          <w:rFonts w:ascii="Times New Roman" w:hAnsi="Times New Roman"/>
          <w:sz w:val="28"/>
          <w:szCs w:val="28"/>
        </w:rPr>
        <w:t>Parenthetically, the answering affidavit</w:t>
      </w:r>
      <w:r w:rsidR="005D67C5" w:rsidRPr="00095BB2">
        <w:rPr>
          <w:rFonts w:ascii="Times New Roman" w:hAnsi="Times New Roman"/>
          <w:sz w:val="28"/>
          <w:szCs w:val="28"/>
        </w:rPr>
        <w:t xml:space="preserve"> </w:t>
      </w:r>
      <w:r w:rsidR="00D438F8" w:rsidRPr="00095BB2">
        <w:rPr>
          <w:rFonts w:ascii="Times New Roman" w:hAnsi="Times New Roman"/>
          <w:sz w:val="28"/>
          <w:szCs w:val="28"/>
        </w:rPr>
        <w:t>point</w:t>
      </w:r>
      <w:r w:rsidR="00433FEA" w:rsidRPr="00095BB2">
        <w:rPr>
          <w:rFonts w:ascii="Times New Roman" w:hAnsi="Times New Roman"/>
          <w:sz w:val="28"/>
          <w:szCs w:val="28"/>
        </w:rPr>
        <w:t>s</w:t>
      </w:r>
      <w:r w:rsidR="00D438F8" w:rsidRPr="00095BB2">
        <w:rPr>
          <w:rFonts w:ascii="Times New Roman" w:hAnsi="Times New Roman"/>
          <w:sz w:val="28"/>
          <w:szCs w:val="28"/>
        </w:rPr>
        <w:t xml:space="preserve"> out that there is no denial </w:t>
      </w:r>
      <w:r w:rsidR="00653492" w:rsidRPr="00095BB2">
        <w:rPr>
          <w:rFonts w:ascii="Times New Roman" w:hAnsi="Times New Roman"/>
          <w:sz w:val="28"/>
          <w:szCs w:val="28"/>
        </w:rPr>
        <w:t xml:space="preserve">attributed </w:t>
      </w:r>
      <w:r w:rsidR="005D5228">
        <w:rPr>
          <w:rFonts w:ascii="Times New Roman" w:hAnsi="Times New Roman"/>
          <w:sz w:val="28"/>
          <w:szCs w:val="28"/>
        </w:rPr>
        <w:t xml:space="preserve">to </w:t>
      </w:r>
      <w:r w:rsidR="00D438F8" w:rsidRPr="00095BB2">
        <w:rPr>
          <w:rFonts w:ascii="Times New Roman" w:hAnsi="Times New Roman"/>
          <w:sz w:val="28"/>
          <w:szCs w:val="28"/>
        </w:rPr>
        <w:t xml:space="preserve">V Cacadu </w:t>
      </w:r>
      <w:r w:rsidR="004F42F1" w:rsidRPr="00095BB2">
        <w:rPr>
          <w:rFonts w:ascii="Times New Roman" w:hAnsi="Times New Roman"/>
          <w:sz w:val="28"/>
          <w:szCs w:val="28"/>
        </w:rPr>
        <w:t xml:space="preserve">who features as secretary in the third </w:t>
      </w:r>
      <w:r w:rsidR="00653492" w:rsidRPr="00095BB2">
        <w:rPr>
          <w:rFonts w:ascii="Times New Roman" w:hAnsi="Times New Roman"/>
          <w:sz w:val="28"/>
          <w:szCs w:val="28"/>
        </w:rPr>
        <w:t>return of service</w:t>
      </w:r>
      <w:r w:rsidR="00A27AD0" w:rsidRPr="00095BB2">
        <w:rPr>
          <w:rFonts w:ascii="Times New Roman" w:hAnsi="Times New Roman"/>
          <w:sz w:val="28"/>
          <w:szCs w:val="28"/>
        </w:rPr>
        <w:t xml:space="preserve">, nor is it denied that the applicant </w:t>
      </w:r>
      <w:r w:rsidR="00E7666F" w:rsidRPr="00095BB2">
        <w:rPr>
          <w:rFonts w:ascii="Times New Roman" w:hAnsi="Times New Roman"/>
          <w:sz w:val="28"/>
          <w:szCs w:val="28"/>
        </w:rPr>
        <w:t xml:space="preserve">had been served with the Form 27 </w:t>
      </w:r>
      <w:r w:rsidR="001852FA" w:rsidRPr="00095BB2">
        <w:rPr>
          <w:rFonts w:ascii="Times New Roman" w:hAnsi="Times New Roman"/>
          <w:sz w:val="28"/>
          <w:szCs w:val="28"/>
        </w:rPr>
        <w:t xml:space="preserve">which </w:t>
      </w:r>
      <w:r w:rsidR="00E7666F" w:rsidRPr="00095BB2">
        <w:rPr>
          <w:rFonts w:ascii="Times New Roman" w:hAnsi="Times New Roman"/>
          <w:sz w:val="28"/>
          <w:szCs w:val="28"/>
        </w:rPr>
        <w:t xml:space="preserve">is the notice under </w:t>
      </w:r>
      <w:r w:rsidR="00417CEC">
        <w:rPr>
          <w:rFonts w:ascii="Times New Roman" w:hAnsi="Times New Roman"/>
          <w:sz w:val="28"/>
          <w:szCs w:val="28"/>
        </w:rPr>
        <w:t xml:space="preserve">Uniform </w:t>
      </w:r>
      <w:r w:rsidR="00E7666F" w:rsidRPr="00095BB2">
        <w:rPr>
          <w:rFonts w:ascii="Times New Roman" w:hAnsi="Times New Roman"/>
          <w:sz w:val="28"/>
          <w:szCs w:val="28"/>
        </w:rPr>
        <w:t>rule 41A.</w:t>
      </w:r>
    </w:p>
    <w:p w:rsidR="00F82F69" w:rsidRPr="00095BB2" w:rsidRDefault="00F82F69" w:rsidP="00D75D96">
      <w:pPr>
        <w:pStyle w:val="LegalList1"/>
        <w:spacing w:after="0" w:line="360" w:lineRule="auto"/>
        <w:rPr>
          <w:rFonts w:ascii="Times New Roman" w:hAnsi="Times New Roman"/>
          <w:sz w:val="28"/>
          <w:szCs w:val="28"/>
        </w:rPr>
      </w:pPr>
    </w:p>
    <w:p w:rsidR="002C2C57"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A25130" w:rsidRPr="00095BB2">
        <w:rPr>
          <w:rFonts w:ascii="Times New Roman" w:hAnsi="Times New Roman"/>
          <w:sz w:val="28"/>
          <w:szCs w:val="28"/>
        </w:rPr>
        <w:t>I</w:t>
      </w:r>
      <w:r w:rsidR="004F42F1" w:rsidRPr="00095BB2">
        <w:rPr>
          <w:rFonts w:ascii="Times New Roman" w:hAnsi="Times New Roman"/>
          <w:sz w:val="28"/>
          <w:szCs w:val="28"/>
        </w:rPr>
        <w:t xml:space="preserve">n </w:t>
      </w:r>
      <w:r w:rsidR="00A4669B" w:rsidRPr="00095BB2">
        <w:rPr>
          <w:rFonts w:ascii="Times New Roman" w:hAnsi="Times New Roman"/>
          <w:sz w:val="28"/>
          <w:szCs w:val="28"/>
        </w:rPr>
        <w:t>the founding affidavit</w:t>
      </w:r>
      <w:r w:rsidR="005D5228">
        <w:rPr>
          <w:rFonts w:ascii="Times New Roman" w:hAnsi="Times New Roman"/>
          <w:sz w:val="28"/>
          <w:szCs w:val="28"/>
        </w:rPr>
        <w:t>,</w:t>
      </w:r>
      <w:r w:rsidR="00A4669B" w:rsidRPr="00095BB2">
        <w:rPr>
          <w:rFonts w:ascii="Times New Roman" w:hAnsi="Times New Roman"/>
          <w:sz w:val="28"/>
          <w:szCs w:val="28"/>
        </w:rPr>
        <w:t xml:space="preserve"> </w:t>
      </w:r>
      <w:r w:rsidR="00A25130" w:rsidRPr="00095BB2">
        <w:rPr>
          <w:rFonts w:ascii="Times New Roman" w:hAnsi="Times New Roman"/>
          <w:sz w:val="28"/>
          <w:szCs w:val="28"/>
        </w:rPr>
        <w:t xml:space="preserve">it is apparent </w:t>
      </w:r>
      <w:r w:rsidR="00A4669B" w:rsidRPr="00095BB2">
        <w:rPr>
          <w:rFonts w:ascii="Times New Roman" w:hAnsi="Times New Roman"/>
          <w:sz w:val="28"/>
          <w:szCs w:val="28"/>
        </w:rPr>
        <w:t>t</w:t>
      </w:r>
      <w:r w:rsidR="009420CA" w:rsidRPr="00095BB2">
        <w:rPr>
          <w:rFonts w:ascii="Times New Roman" w:hAnsi="Times New Roman"/>
          <w:sz w:val="28"/>
          <w:szCs w:val="28"/>
        </w:rPr>
        <w:t xml:space="preserve">hat the applicant engenders the belief that the order was </w:t>
      </w:r>
      <w:r w:rsidR="00F15753" w:rsidRPr="00095BB2">
        <w:rPr>
          <w:rFonts w:ascii="Times New Roman" w:hAnsi="Times New Roman"/>
          <w:sz w:val="28"/>
          <w:szCs w:val="28"/>
        </w:rPr>
        <w:t xml:space="preserve">erroneously </w:t>
      </w:r>
      <w:r w:rsidR="009420CA" w:rsidRPr="00095BB2">
        <w:rPr>
          <w:rFonts w:ascii="Times New Roman" w:hAnsi="Times New Roman"/>
          <w:sz w:val="28"/>
          <w:szCs w:val="28"/>
        </w:rPr>
        <w:t xml:space="preserve">granted </w:t>
      </w:r>
      <w:r w:rsidR="00990420" w:rsidRPr="00095BB2">
        <w:rPr>
          <w:rFonts w:ascii="Times New Roman" w:hAnsi="Times New Roman"/>
          <w:sz w:val="28"/>
          <w:szCs w:val="28"/>
        </w:rPr>
        <w:t xml:space="preserve">with reference to the </w:t>
      </w:r>
      <w:r w:rsidR="00A438DA" w:rsidRPr="00095BB2">
        <w:rPr>
          <w:rFonts w:ascii="Times New Roman" w:hAnsi="Times New Roman"/>
          <w:sz w:val="28"/>
          <w:szCs w:val="28"/>
        </w:rPr>
        <w:t xml:space="preserve">sheriff’s </w:t>
      </w:r>
      <w:r w:rsidR="00245D64" w:rsidRPr="00095BB2">
        <w:rPr>
          <w:rFonts w:ascii="Times New Roman" w:hAnsi="Times New Roman"/>
          <w:sz w:val="28"/>
          <w:szCs w:val="28"/>
        </w:rPr>
        <w:t xml:space="preserve">return indicating service of the summons on </w:t>
      </w:r>
      <w:r w:rsidR="00A4669B" w:rsidRPr="00095BB2">
        <w:rPr>
          <w:rFonts w:ascii="Times New Roman" w:hAnsi="Times New Roman"/>
          <w:sz w:val="28"/>
          <w:szCs w:val="28"/>
        </w:rPr>
        <w:t>10-11-12</w:t>
      </w:r>
      <w:r w:rsidR="001852FA" w:rsidRPr="00095BB2">
        <w:rPr>
          <w:rFonts w:ascii="Times New Roman" w:hAnsi="Times New Roman"/>
          <w:sz w:val="28"/>
          <w:szCs w:val="28"/>
        </w:rPr>
        <w:t>.</w:t>
      </w:r>
      <w:r w:rsidR="00E82209" w:rsidRPr="00095BB2">
        <w:rPr>
          <w:rFonts w:ascii="Times New Roman" w:hAnsi="Times New Roman"/>
          <w:sz w:val="28"/>
          <w:szCs w:val="28"/>
        </w:rPr>
        <w:t xml:space="preserve"> </w:t>
      </w:r>
      <w:r w:rsidR="00990420" w:rsidRPr="00095BB2">
        <w:rPr>
          <w:rFonts w:ascii="Times New Roman" w:hAnsi="Times New Roman"/>
          <w:sz w:val="28"/>
          <w:szCs w:val="28"/>
        </w:rPr>
        <w:t xml:space="preserve">To augment this belief and indeed the basis </w:t>
      </w:r>
      <w:r w:rsidR="00B23D41" w:rsidRPr="00095BB2">
        <w:rPr>
          <w:rFonts w:ascii="Times New Roman" w:hAnsi="Times New Roman"/>
          <w:sz w:val="28"/>
          <w:szCs w:val="28"/>
        </w:rPr>
        <w:t xml:space="preserve">for asserting that it is a fraudulent document </w:t>
      </w:r>
      <w:r w:rsidR="00990420" w:rsidRPr="00095BB2">
        <w:rPr>
          <w:rFonts w:ascii="Times New Roman" w:hAnsi="Times New Roman"/>
          <w:sz w:val="28"/>
          <w:szCs w:val="28"/>
        </w:rPr>
        <w:t xml:space="preserve">the applicant also places reliance on an affidavit by the sheriff Mr Luyanda Tonjeni in which the latter denies having served any process on 10 November 2012 ‘or on any other </w:t>
      </w:r>
      <w:r w:rsidR="00990420" w:rsidRPr="00095BB2">
        <w:rPr>
          <w:rFonts w:ascii="Times New Roman" w:hAnsi="Times New Roman"/>
          <w:sz w:val="28"/>
          <w:szCs w:val="28"/>
        </w:rPr>
        <w:lastRenderedPageBreak/>
        <w:t xml:space="preserve">day in connection with this matter’. </w:t>
      </w:r>
      <w:r w:rsidR="003173BB" w:rsidRPr="00095BB2">
        <w:rPr>
          <w:rFonts w:ascii="Times New Roman" w:hAnsi="Times New Roman"/>
          <w:sz w:val="28"/>
          <w:szCs w:val="28"/>
        </w:rPr>
        <w:t>T</w:t>
      </w:r>
      <w:r w:rsidR="00794EB3" w:rsidRPr="00095BB2">
        <w:rPr>
          <w:rFonts w:ascii="Times New Roman" w:hAnsi="Times New Roman"/>
          <w:sz w:val="28"/>
          <w:szCs w:val="28"/>
        </w:rPr>
        <w:t xml:space="preserve">he contents of this affidavit </w:t>
      </w:r>
      <w:r w:rsidR="003173BB" w:rsidRPr="00095BB2">
        <w:rPr>
          <w:rFonts w:ascii="Times New Roman" w:hAnsi="Times New Roman"/>
          <w:sz w:val="28"/>
          <w:szCs w:val="28"/>
        </w:rPr>
        <w:t xml:space="preserve">will be dealt with </w:t>
      </w:r>
      <w:r w:rsidR="00E82209" w:rsidRPr="00095BB2">
        <w:rPr>
          <w:rFonts w:ascii="Times New Roman" w:hAnsi="Times New Roman"/>
          <w:sz w:val="28"/>
          <w:szCs w:val="28"/>
        </w:rPr>
        <w:t>later in this judgment.</w:t>
      </w:r>
    </w:p>
    <w:p w:rsidR="00955D13" w:rsidRPr="00095BB2" w:rsidRDefault="00955D13" w:rsidP="00D75D96">
      <w:pPr>
        <w:pStyle w:val="LegalList1"/>
        <w:spacing w:after="0" w:line="360" w:lineRule="auto"/>
        <w:rPr>
          <w:rFonts w:ascii="Times New Roman" w:hAnsi="Times New Roman"/>
          <w:sz w:val="28"/>
          <w:szCs w:val="28"/>
        </w:rPr>
      </w:pPr>
    </w:p>
    <w:p w:rsidR="00A539B6"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845044" w:rsidRPr="00095BB2">
        <w:rPr>
          <w:rFonts w:ascii="Times New Roman" w:hAnsi="Times New Roman"/>
          <w:sz w:val="28"/>
          <w:szCs w:val="28"/>
        </w:rPr>
        <w:t>In heads of argument</w:t>
      </w:r>
      <w:r w:rsidR="005D5228">
        <w:rPr>
          <w:rFonts w:ascii="Times New Roman" w:hAnsi="Times New Roman"/>
          <w:sz w:val="28"/>
          <w:szCs w:val="28"/>
        </w:rPr>
        <w:t>,</w:t>
      </w:r>
      <w:r w:rsidR="003063DC" w:rsidRPr="00095BB2">
        <w:rPr>
          <w:rFonts w:ascii="Times New Roman" w:hAnsi="Times New Roman"/>
          <w:sz w:val="28"/>
          <w:szCs w:val="28"/>
        </w:rPr>
        <w:t xml:space="preserve"> </w:t>
      </w:r>
      <w:r w:rsidR="005240FC" w:rsidRPr="00095BB2">
        <w:rPr>
          <w:rFonts w:ascii="Times New Roman" w:hAnsi="Times New Roman"/>
          <w:sz w:val="28"/>
          <w:szCs w:val="28"/>
        </w:rPr>
        <w:t xml:space="preserve">applicant’s counsel </w:t>
      </w:r>
      <w:r w:rsidR="003063DC" w:rsidRPr="00095BB2">
        <w:rPr>
          <w:rFonts w:ascii="Times New Roman" w:hAnsi="Times New Roman"/>
          <w:sz w:val="28"/>
          <w:szCs w:val="28"/>
        </w:rPr>
        <w:t xml:space="preserve">assailed the </w:t>
      </w:r>
      <w:r w:rsidR="00093F7A" w:rsidRPr="00095BB2">
        <w:rPr>
          <w:rFonts w:ascii="Times New Roman" w:hAnsi="Times New Roman"/>
          <w:sz w:val="28"/>
          <w:szCs w:val="28"/>
        </w:rPr>
        <w:t xml:space="preserve">first and third </w:t>
      </w:r>
      <w:r w:rsidR="009C27F9" w:rsidRPr="00095BB2">
        <w:rPr>
          <w:rFonts w:ascii="Times New Roman" w:hAnsi="Times New Roman"/>
          <w:sz w:val="28"/>
          <w:szCs w:val="28"/>
        </w:rPr>
        <w:t>returns of service</w:t>
      </w:r>
      <w:r w:rsidR="003063DC" w:rsidRPr="00095BB2">
        <w:rPr>
          <w:rFonts w:ascii="Times New Roman" w:hAnsi="Times New Roman"/>
          <w:sz w:val="28"/>
          <w:szCs w:val="28"/>
        </w:rPr>
        <w:t>.</w:t>
      </w:r>
      <w:r w:rsidR="009C27F9" w:rsidRPr="00095BB2">
        <w:rPr>
          <w:rFonts w:ascii="Times New Roman" w:hAnsi="Times New Roman"/>
          <w:sz w:val="28"/>
          <w:szCs w:val="28"/>
        </w:rPr>
        <w:t xml:space="preserve"> </w:t>
      </w:r>
      <w:r w:rsidR="00093F7A" w:rsidRPr="00095BB2">
        <w:rPr>
          <w:rFonts w:ascii="Times New Roman" w:hAnsi="Times New Roman"/>
          <w:sz w:val="28"/>
          <w:szCs w:val="28"/>
        </w:rPr>
        <w:t xml:space="preserve">The </w:t>
      </w:r>
      <w:r w:rsidR="0046456A" w:rsidRPr="00095BB2">
        <w:rPr>
          <w:rFonts w:ascii="Times New Roman" w:hAnsi="Times New Roman"/>
          <w:sz w:val="28"/>
          <w:szCs w:val="28"/>
        </w:rPr>
        <w:t xml:space="preserve">proposition </w:t>
      </w:r>
      <w:r w:rsidR="00093F7A" w:rsidRPr="00095BB2">
        <w:rPr>
          <w:rFonts w:ascii="Times New Roman" w:hAnsi="Times New Roman"/>
          <w:sz w:val="28"/>
          <w:szCs w:val="28"/>
        </w:rPr>
        <w:t xml:space="preserve">is that </w:t>
      </w:r>
      <w:r w:rsidR="00E82209" w:rsidRPr="00095BB2">
        <w:rPr>
          <w:rFonts w:ascii="Times New Roman" w:hAnsi="Times New Roman"/>
          <w:sz w:val="28"/>
          <w:szCs w:val="28"/>
        </w:rPr>
        <w:t xml:space="preserve">they are </w:t>
      </w:r>
      <w:r w:rsidR="00225E7D" w:rsidRPr="00095BB2">
        <w:rPr>
          <w:rFonts w:ascii="Times New Roman" w:hAnsi="Times New Roman"/>
          <w:sz w:val="28"/>
          <w:szCs w:val="28"/>
        </w:rPr>
        <w:t>three hour</w:t>
      </w:r>
      <w:r w:rsidR="00A25130" w:rsidRPr="00095BB2">
        <w:rPr>
          <w:rFonts w:ascii="Times New Roman" w:hAnsi="Times New Roman"/>
          <w:sz w:val="28"/>
          <w:szCs w:val="28"/>
        </w:rPr>
        <w:t xml:space="preserve">s apart on the same date </w:t>
      </w:r>
      <w:r w:rsidR="00825271" w:rsidRPr="00095BB2">
        <w:rPr>
          <w:rFonts w:ascii="Times New Roman" w:hAnsi="Times New Roman"/>
          <w:sz w:val="28"/>
          <w:szCs w:val="28"/>
        </w:rPr>
        <w:t xml:space="preserve">and they identify </w:t>
      </w:r>
      <w:r w:rsidR="00A71E46" w:rsidRPr="00095BB2">
        <w:rPr>
          <w:rFonts w:ascii="Times New Roman" w:hAnsi="Times New Roman"/>
          <w:sz w:val="28"/>
          <w:szCs w:val="28"/>
        </w:rPr>
        <w:t xml:space="preserve">two </w:t>
      </w:r>
      <w:r w:rsidR="00225E7D" w:rsidRPr="00095BB2">
        <w:rPr>
          <w:rFonts w:ascii="Times New Roman" w:hAnsi="Times New Roman"/>
          <w:sz w:val="28"/>
          <w:szCs w:val="28"/>
        </w:rPr>
        <w:t>different people who are said to be secretaries</w:t>
      </w:r>
      <w:r w:rsidR="00306CEC" w:rsidRPr="00095BB2">
        <w:rPr>
          <w:rFonts w:ascii="Times New Roman" w:hAnsi="Times New Roman"/>
          <w:sz w:val="28"/>
          <w:szCs w:val="28"/>
        </w:rPr>
        <w:t xml:space="preserve"> whom </w:t>
      </w:r>
      <w:r w:rsidR="005240FC" w:rsidRPr="00095BB2">
        <w:rPr>
          <w:rFonts w:ascii="Times New Roman" w:hAnsi="Times New Roman"/>
          <w:sz w:val="28"/>
          <w:szCs w:val="28"/>
        </w:rPr>
        <w:t>Mr Daniso</w:t>
      </w:r>
      <w:r w:rsidR="00306CEC" w:rsidRPr="00095BB2">
        <w:rPr>
          <w:rFonts w:ascii="Times New Roman" w:hAnsi="Times New Roman"/>
          <w:sz w:val="28"/>
          <w:szCs w:val="28"/>
        </w:rPr>
        <w:t xml:space="preserve"> maintains are fictitious individuals.</w:t>
      </w:r>
      <w:r w:rsidR="00F15753" w:rsidRPr="00095BB2">
        <w:rPr>
          <w:rFonts w:ascii="Times New Roman" w:hAnsi="Times New Roman"/>
          <w:sz w:val="28"/>
          <w:szCs w:val="28"/>
        </w:rPr>
        <w:t xml:space="preserve"> </w:t>
      </w:r>
      <w:r w:rsidR="00F44E24" w:rsidRPr="00095BB2">
        <w:rPr>
          <w:rFonts w:ascii="Times New Roman" w:hAnsi="Times New Roman"/>
          <w:sz w:val="28"/>
          <w:szCs w:val="28"/>
        </w:rPr>
        <w:t>This discrepancy</w:t>
      </w:r>
      <w:r w:rsidR="006F6F17" w:rsidRPr="00095BB2">
        <w:rPr>
          <w:rFonts w:ascii="Times New Roman" w:hAnsi="Times New Roman"/>
          <w:sz w:val="28"/>
          <w:szCs w:val="28"/>
        </w:rPr>
        <w:t>,</w:t>
      </w:r>
      <w:r w:rsidR="00F44E24" w:rsidRPr="00095BB2">
        <w:rPr>
          <w:rFonts w:ascii="Times New Roman" w:hAnsi="Times New Roman"/>
          <w:sz w:val="28"/>
          <w:szCs w:val="28"/>
        </w:rPr>
        <w:t xml:space="preserve"> so the argument went, </w:t>
      </w:r>
      <w:r w:rsidR="00B96E25" w:rsidRPr="00095BB2">
        <w:rPr>
          <w:rFonts w:ascii="Times New Roman" w:hAnsi="Times New Roman"/>
          <w:sz w:val="28"/>
          <w:szCs w:val="28"/>
        </w:rPr>
        <w:t xml:space="preserve">undermines </w:t>
      </w:r>
      <w:r w:rsidR="00F44E24" w:rsidRPr="00095BB2">
        <w:rPr>
          <w:rFonts w:ascii="Times New Roman" w:hAnsi="Times New Roman"/>
          <w:sz w:val="28"/>
          <w:szCs w:val="28"/>
        </w:rPr>
        <w:t>the reliability of the returns</w:t>
      </w:r>
      <w:r w:rsidR="006F6F17" w:rsidRPr="00095BB2">
        <w:rPr>
          <w:rFonts w:ascii="Times New Roman" w:hAnsi="Times New Roman"/>
          <w:sz w:val="28"/>
          <w:szCs w:val="28"/>
        </w:rPr>
        <w:t xml:space="preserve">; hence the failure to have brought it to the attention of the presiding judge </w:t>
      </w:r>
      <w:r w:rsidR="00B96E25" w:rsidRPr="00095BB2">
        <w:rPr>
          <w:rFonts w:ascii="Times New Roman" w:hAnsi="Times New Roman"/>
          <w:sz w:val="28"/>
          <w:szCs w:val="28"/>
        </w:rPr>
        <w:t xml:space="preserve">occasioned </w:t>
      </w:r>
      <w:r w:rsidR="006F6F17" w:rsidRPr="00095BB2">
        <w:rPr>
          <w:rFonts w:ascii="Times New Roman" w:hAnsi="Times New Roman"/>
          <w:sz w:val="28"/>
          <w:szCs w:val="28"/>
        </w:rPr>
        <w:t xml:space="preserve">the </w:t>
      </w:r>
      <w:r w:rsidR="00B96E25" w:rsidRPr="00095BB2">
        <w:rPr>
          <w:rFonts w:ascii="Times New Roman" w:hAnsi="Times New Roman"/>
          <w:sz w:val="28"/>
          <w:szCs w:val="28"/>
        </w:rPr>
        <w:t>erroneous granting of the o</w:t>
      </w:r>
      <w:r w:rsidR="004846E7" w:rsidRPr="00095BB2">
        <w:rPr>
          <w:rFonts w:ascii="Times New Roman" w:hAnsi="Times New Roman"/>
          <w:sz w:val="28"/>
          <w:szCs w:val="28"/>
        </w:rPr>
        <w:t>rder.</w:t>
      </w:r>
    </w:p>
    <w:p w:rsidR="00955D13" w:rsidRPr="00095BB2" w:rsidRDefault="00955D13" w:rsidP="00D75D96">
      <w:pPr>
        <w:pStyle w:val="LegalList1"/>
        <w:spacing w:after="0" w:line="360" w:lineRule="auto"/>
        <w:rPr>
          <w:rFonts w:ascii="Times New Roman" w:hAnsi="Times New Roman"/>
          <w:sz w:val="28"/>
          <w:szCs w:val="28"/>
        </w:rPr>
      </w:pPr>
    </w:p>
    <w:p w:rsidR="004846E7"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A539B6" w:rsidRPr="00095BB2">
        <w:rPr>
          <w:rFonts w:ascii="Times New Roman" w:hAnsi="Times New Roman"/>
          <w:sz w:val="28"/>
          <w:szCs w:val="28"/>
        </w:rPr>
        <w:t>T</w:t>
      </w:r>
      <w:r w:rsidR="007A305D" w:rsidRPr="00095BB2">
        <w:rPr>
          <w:rFonts w:ascii="Times New Roman" w:hAnsi="Times New Roman"/>
          <w:sz w:val="28"/>
          <w:szCs w:val="28"/>
        </w:rPr>
        <w:t>he argument</w:t>
      </w:r>
      <w:r w:rsidR="00A539B6" w:rsidRPr="00095BB2">
        <w:rPr>
          <w:rFonts w:ascii="Times New Roman" w:hAnsi="Times New Roman"/>
          <w:sz w:val="28"/>
          <w:szCs w:val="28"/>
        </w:rPr>
        <w:t xml:space="preserve"> </w:t>
      </w:r>
      <w:r w:rsidR="006C07A3" w:rsidRPr="00095BB2">
        <w:rPr>
          <w:rFonts w:ascii="Times New Roman" w:hAnsi="Times New Roman"/>
          <w:sz w:val="28"/>
          <w:szCs w:val="28"/>
        </w:rPr>
        <w:t xml:space="preserve">appears to be </w:t>
      </w:r>
      <w:r w:rsidR="00C42978" w:rsidRPr="00095BB2">
        <w:rPr>
          <w:rFonts w:ascii="Times New Roman" w:hAnsi="Times New Roman"/>
          <w:sz w:val="28"/>
          <w:szCs w:val="28"/>
        </w:rPr>
        <w:t xml:space="preserve">made </w:t>
      </w:r>
      <w:r w:rsidR="00A539B6" w:rsidRPr="00095BB2">
        <w:rPr>
          <w:rFonts w:ascii="Times New Roman" w:hAnsi="Times New Roman"/>
          <w:sz w:val="28"/>
          <w:szCs w:val="28"/>
        </w:rPr>
        <w:t>without reference to the record</w:t>
      </w:r>
      <w:r w:rsidR="007A305D" w:rsidRPr="00095BB2">
        <w:rPr>
          <w:rFonts w:ascii="Times New Roman" w:hAnsi="Times New Roman"/>
          <w:sz w:val="28"/>
          <w:szCs w:val="28"/>
        </w:rPr>
        <w:t xml:space="preserve"> </w:t>
      </w:r>
      <w:r w:rsidR="00A539B6" w:rsidRPr="00095BB2">
        <w:rPr>
          <w:rFonts w:ascii="Times New Roman" w:hAnsi="Times New Roman"/>
          <w:sz w:val="28"/>
          <w:szCs w:val="28"/>
        </w:rPr>
        <w:t xml:space="preserve">and </w:t>
      </w:r>
      <w:r w:rsidR="007A305D" w:rsidRPr="00095BB2">
        <w:rPr>
          <w:rFonts w:ascii="Times New Roman" w:hAnsi="Times New Roman"/>
          <w:sz w:val="28"/>
          <w:szCs w:val="28"/>
        </w:rPr>
        <w:t>is misconceived</w:t>
      </w:r>
      <w:r w:rsidR="00C42978" w:rsidRPr="00095BB2">
        <w:rPr>
          <w:rFonts w:ascii="Times New Roman" w:hAnsi="Times New Roman"/>
          <w:sz w:val="28"/>
          <w:szCs w:val="28"/>
        </w:rPr>
        <w:t xml:space="preserve">. It </w:t>
      </w:r>
      <w:r w:rsidR="008C2512" w:rsidRPr="00095BB2">
        <w:rPr>
          <w:rFonts w:ascii="Times New Roman" w:hAnsi="Times New Roman"/>
          <w:sz w:val="28"/>
          <w:szCs w:val="28"/>
        </w:rPr>
        <w:t xml:space="preserve">overlooks a telling deficiency in the founding affidavit. </w:t>
      </w:r>
      <w:r w:rsidR="00A71E46" w:rsidRPr="00095BB2">
        <w:rPr>
          <w:rFonts w:ascii="Times New Roman" w:hAnsi="Times New Roman"/>
          <w:sz w:val="28"/>
          <w:szCs w:val="28"/>
        </w:rPr>
        <w:t xml:space="preserve">While </w:t>
      </w:r>
      <w:r w:rsidR="008C2512" w:rsidRPr="00095BB2">
        <w:rPr>
          <w:rFonts w:ascii="Times New Roman" w:hAnsi="Times New Roman"/>
          <w:sz w:val="28"/>
          <w:szCs w:val="28"/>
        </w:rPr>
        <w:t>Mr Daniso</w:t>
      </w:r>
      <w:r w:rsidR="00990EB5" w:rsidRPr="00095BB2">
        <w:rPr>
          <w:rFonts w:ascii="Times New Roman" w:hAnsi="Times New Roman"/>
          <w:sz w:val="28"/>
          <w:szCs w:val="28"/>
        </w:rPr>
        <w:t>,</w:t>
      </w:r>
      <w:r w:rsidR="008C2512" w:rsidRPr="00095BB2">
        <w:rPr>
          <w:rFonts w:ascii="Times New Roman" w:hAnsi="Times New Roman"/>
          <w:sz w:val="28"/>
          <w:szCs w:val="28"/>
        </w:rPr>
        <w:t xml:space="preserve"> </w:t>
      </w:r>
      <w:r w:rsidR="00A71E46" w:rsidRPr="00095BB2">
        <w:rPr>
          <w:rFonts w:ascii="Times New Roman" w:hAnsi="Times New Roman"/>
          <w:sz w:val="28"/>
          <w:szCs w:val="28"/>
        </w:rPr>
        <w:t>in the vaguest of terms</w:t>
      </w:r>
      <w:r w:rsidR="00990EB5" w:rsidRPr="00095BB2">
        <w:rPr>
          <w:rFonts w:ascii="Times New Roman" w:hAnsi="Times New Roman"/>
          <w:sz w:val="28"/>
          <w:szCs w:val="28"/>
        </w:rPr>
        <w:t>,</w:t>
      </w:r>
      <w:r w:rsidR="00A71E46" w:rsidRPr="00095BB2">
        <w:rPr>
          <w:rFonts w:ascii="Times New Roman" w:hAnsi="Times New Roman"/>
          <w:sz w:val="28"/>
          <w:szCs w:val="28"/>
        </w:rPr>
        <w:t xml:space="preserve"> </w:t>
      </w:r>
      <w:r w:rsidR="00EE15BF" w:rsidRPr="00095BB2">
        <w:rPr>
          <w:rFonts w:ascii="Times New Roman" w:hAnsi="Times New Roman"/>
          <w:sz w:val="28"/>
          <w:szCs w:val="28"/>
        </w:rPr>
        <w:t xml:space="preserve">seeks to distance himself or the applicant from V Tshezi, he </w:t>
      </w:r>
      <w:r w:rsidR="008C2512" w:rsidRPr="00095BB2">
        <w:rPr>
          <w:rFonts w:ascii="Times New Roman" w:hAnsi="Times New Roman"/>
          <w:sz w:val="28"/>
          <w:szCs w:val="28"/>
        </w:rPr>
        <w:t>does not categorically state that no person by the name of V</w:t>
      </w:r>
      <w:r w:rsidR="006C07A3" w:rsidRPr="00095BB2">
        <w:rPr>
          <w:rFonts w:ascii="Times New Roman" w:hAnsi="Times New Roman"/>
          <w:sz w:val="28"/>
          <w:szCs w:val="28"/>
        </w:rPr>
        <w:t> </w:t>
      </w:r>
      <w:r w:rsidR="008C2512" w:rsidRPr="00095BB2">
        <w:rPr>
          <w:rFonts w:ascii="Times New Roman" w:hAnsi="Times New Roman"/>
          <w:sz w:val="28"/>
          <w:szCs w:val="28"/>
        </w:rPr>
        <w:t>Cacadu is employed by the applicant or that the said person is unknown to the applicant or to himself.</w:t>
      </w:r>
      <w:r w:rsidR="00170BA2" w:rsidRPr="00095BB2">
        <w:rPr>
          <w:rFonts w:ascii="Times New Roman" w:hAnsi="Times New Roman"/>
          <w:sz w:val="28"/>
          <w:szCs w:val="28"/>
        </w:rPr>
        <w:t xml:space="preserve"> </w:t>
      </w:r>
      <w:r w:rsidR="008C2512" w:rsidRPr="00095BB2">
        <w:rPr>
          <w:rFonts w:ascii="Times New Roman" w:hAnsi="Times New Roman"/>
          <w:sz w:val="28"/>
          <w:szCs w:val="28"/>
        </w:rPr>
        <w:t>Mr</w:t>
      </w:r>
      <w:r w:rsidR="001D5ECA" w:rsidRPr="00095BB2">
        <w:rPr>
          <w:rFonts w:ascii="Times New Roman" w:hAnsi="Times New Roman"/>
          <w:sz w:val="28"/>
          <w:szCs w:val="28"/>
        </w:rPr>
        <w:t> </w:t>
      </w:r>
      <w:r w:rsidR="008C2512" w:rsidRPr="00095BB2">
        <w:rPr>
          <w:rFonts w:ascii="Times New Roman" w:hAnsi="Times New Roman"/>
          <w:sz w:val="28"/>
          <w:szCs w:val="28"/>
        </w:rPr>
        <w:t xml:space="preserve">Daniso has </w:t>
      </w:r>
      <w:r w:rsidR="00170BA2" w:rsidRPr="00095BB2">
        <w:rPr>
          <w:rFonts w:ascii="Times New Roman" w:hAnsi="Times New Roman"/>
          <w:sz w:val="28"/>
          <w:szCs w:val="28"/>
        </w:rPr>
        <w:t xml:space="preserve">indisputably </w:t>
      </w:r>
      <w:r w:rsidR="0028094E" w:rsidRPr="00095BB2">
        <w:rPr>
          <w:rFonts w:ascii="Times New Roman" w:hAnsi="Times New Roman"/>
          <w:sz w:val="28"/>
          <w:szCs w:val="28"/>
        </w:rPr>
        <w:t xml:space="preserve">and </w:t>
      </w:r>
      <w:r w:rsidR="00A0428B" w:rsidRPr="00095BB2">
        <w:rPr>
          <w:rFonts w:ascii="Times New Roman" w:hAnsi="Times New Roman"/>
          <w:sz w:val="28"/>
          <w:szCs w:val="28"/>
        </w:rPr>
        <w:t xml:space="preserve">opportunistically </w:t>
      </w:r>
      <w:r w:rsidR="008C2512" w:rsidRPr="00095BB2">
        <w:rPr>
          <w:rFonts w:ascii="Times New Roman" w:hAnsi="Times New Roman"/>
          <w:sz w:val="28"/>
          <w:szCs w:val="28"/>
        </w:rPr>
        <w:t>failed to disclose mat</w:t>
      </w:r>
      <w:r w:rsidR="00A0428B" w:rsidRPr="00095BB2">
        <w:rPr>
          <w:rFonts w:ascii="Times New Roman" w:hAnsi="Times New Roman"/>
          <w:sz w:val="28"/>
          <w:szCs w:val="28"/>
        </w:rPr>
        <w:t>erial information to th</w:t>
      </w:r>
      <w:r w:rsidR="009C55B4" w:rsidRPr="00095BB2">
        <w:rPr>
          <w:rFonts w:ascii="Times New Roman" w:hAnsi="Times New Roman"/>
          <w:sz w:val="28"/>
          <w:szCs w:val="28"/>
        </w:rPr>
        <w:t xml:space="preserve">is Court </w:t>
      </w:r>
      <w:r w:rsidR="00C96BD3" w:rsidRPr="00095BB2">
        <w:rPr>
          <w:rFonts w:ascii="Times New Roman" w:hAnsi="Times New Roman"/>
          <w:sz w:val="28"/>
          <w:szCs w:val="28"/>
        </w:rPr>
        <w:t>to deflect attention f</w:t>
      </w:r>
      <w:r w:rsidR="006C07A3" w:rsidRPr="00095BB2">
        <w:rPr>
          <w:rFonts w:ascii="Times New Roman" w:hAnsi="Times New Roman"/>
          <w:sz w:val="28"/>
          <w:szCs w:val="28"/>
        </w:rPr>
        <w:t>rom the third return of service</w:t>
      </w:r>
      <w:r w:rsidR="00EC1B9E" w:rsidRPr="00095BB2">
        <w:rPr>
          <w:rFonts w:ascii="Times New Roman" w:hAnsi="Times New Roman"/>
          <w:sz w:val="28"/>
          <w:szCs w:val="28"/>
        </w:rPr>
        <w:t xml:space="preserve"> which </w:t>
      </w:r>
      <w:r w:rsidR="006C07A3" w:rsidRPr="00095BB2">
        <w:rPr>
          <w:rFonts w:ascii="Times New Roman" w:hAnsi="Times New Roman"/>
          <w:sz w:val="28"/>
          <w:szCs w:val="28"/>
        </w:rPr>
        <w:t xml:space="preserve">quite </w:t>
      </w:r>
      <w:r w:rsidR="00EC1B9E" w:rsidRPr="00095BB2">
        <w:rPr>
          <w:rFonts w:ascii="Times New Roman" w:hAnsi="Times New Roman"/>
          <w:sz w:val="28"/>
          <w:szCs w:val="28"/>
        </w:rPr>
        <w:t>remarkably is attached to the founding affidavit.</w:t>
      </w:r>
      <w:r w:rsidR="00EC1B9E" w:rsidRPr="00095BB2">
        <w:rPr>
          <w:rStyle w:val="FootnoteReference"/>
          <w:rFonts w:ascii="Times New Roman" w:hAnsi="Times New Roman"/>
          <w:sz w:val="28"/>
          <w:szCs w:val="28"/>
        </w:rPr>
        <w:footnoteReference w:id="7"/>
      </w:r>
    </w:p>
    <w:p w:rsidR="00955D13" w:rsidRPr="00095BB2" w:rsidRDefault="00955D13" w:rsidP="00D75D96">
      <w:pPr>
        <w:pStyle w:val="LegalList1"/>
        <w:spacing w:after="0" w:line="360" w:lineRule="auto"/>
        <w:rPr>
          <w:rFonts w:ascii="Times New Roman" w:hAnsi="Times New Roman"/>
          <w:sz w:val="28"/>
          <w:szCs w:val="28"/>
        </w:rPr>
      </w:pPr>
    </w:p>
    <w:p w:rsidR="00B23D41"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4846E7" w:rsidRPr="00095BB2">
        <w:rPr>
          <w:rFonts w:ascii="Times New Roman" w:hAnsi="Times New Roman"/>
          <w:sz w:val="28"/>
          <w:szCs w:val="28"/>
        </w:rPr>
        <w:t xml:space="preserve">Although </w:t>
      </w:r>
      <w:r w:rsidR="00EE15BF" w:rsidRPr="00095BB2">
        <w:rPr>
          <w:rFonts w:ascii="Times New Roman" w:hAnsi="Times New Roman"/>
          <w:sz w:val="28"/>
          <w:szCs w:val="28"/>
        </w:rPr>
        <w:t xml:space="preserve">the </w:t>
      </w:r>
      <w:r w:rsidR="00825271" w:rsidRPr="00095BB2">
        <w:rPr>
          <w:rFonts w:ascii="Times New Roman" w:hAnsi="Times New Roman"/>
          <w:sz w:val="28"/>
          <w:szCs w:val="28"/>
        </w:rPr>
        <w:t xml:space="preserve">argument </w:t>
      </w:r>
      <w:r w:rsidR="00EE15BF" w:rsidRPr="00095BB2">
        <w:rPr>
          <w:rFonts w:ascii="Times New Roman" w:hAnsi="Times New Roman"/>
          <w:sz w:val="28"/>
          <w:szCs w:val="28"/>
        </w:rPr>
        <w:t xml:space="preserve">by counsel </w:t>
      </w:r>
      <w:r w:rsidR="00825271" w:rsidRPr="00095BB2">
        <w:rPr>
          <w:rFonts w:ascii="Times New Roman" w:hAnsi="Times New Roman"/>
          <w:sz w:val="28"/>
          <w:szCs w:val="28"/>
        </w:rPr>
        <w:t xml:space="preserve">does not accord with the case </w:t>
      </w:r>
      <w:r w:rsidR="00F15753" w:rsidRPr="00095BB2">
        <w:rPr>
          <w:rFonts w:ascii="Times New Roman" w:hAnsi="Times New Roman"/>
          <w:sz w:val="28"/>
          <w:szCs w:val="28"/>
        </w:rPr>
        <w:t>pres</w:t>
      </w:r>
      <w:r w:rsidR="004846E7" w:rsidRPr="00095BB2">
        <w:rPr>
          <w:rFonts w:ascii="Times New Roman" w:hAnsi="Times New Roman"/>
          <w:sz w:val="28"/>
          <w:szCs w:val="28"/>
        </w:rPr>
        <w:t xml:space="preserve">ented in the founding affidavit, </w:t>
      </w:r>
      <w:r w:rsidR="009C55B4" w:rsidRPr="00095BB2">
        <w:rPr>
          <w:rFonts w:ascii="Times New Roman" w:hAnsi="Times New Roman"/>
          <w:sz w:val="28"/>
          <w:szCs w:val="28"/>
        </w:rPr>
        <w:t>his</w:t>
      </w:r>
      <w:r w:rsidR="004846E7" w:rsidRPr="00095BB2">
        <w:rPr>
          <w:rFonts w:ascii="Times New Roman" w:hAnsi="Times New Roman"/>
          <w:sz w:val="28"/>
          <w:szCs w:val="28"/>
        </w:rPr>
        <w:t xml:space="preserve"> arguments in either instance are untenable. </w:t>
      </w:r>
      <w:r w:rsidR="00A21512" w:rsidRPr="00095BB2">
        <w:rPr>
          <w:rFonts w:ascii="Times New Roman" w:hAnsi="Times New Roman"/>
          <w:sz w:val="28"/>
          <w:szCs w:val="28"/>
        </w:rPr>
        <w:t xml:space="preserve">Focus ought to have been directed </w:t>
      </w:r>
      <w:r w:rsidR="00093F7A" w:rsidRPr="00095BB2">
        <w:rPr>
          <w:rFonts w:ascii="Times New Roman" w:hAnsi="Times New Roman"/>
          <w:sz w:val="28"/>
          <w:szCs w:val="28"/>
        </w:rPr>
        <w:t xml:space="preserve">more specifically </w:t>
      </w:r>
      <w:r w:rsidR="00A21512" w:rsidRPr="00095BB2">
        <w:rPr>
          <w:rFonts w:ascii="Times New Roman" w:hAnsi="Times New Roman"/>
          <w:sz w:val="28"/>
          <w:szCs w:val="28"/>
        </w:rPr>
        <w:t xml:space="preserve">at the </w:t>
      </w:r>
      <w:r w:rsidR="000A7984" w:rsidRPr="00095BB2">
        <w:rPr>
          <w:rFonts w:ascii="Times New Roman" w:hAnsi="Times New Roman"/>
          <w:sz w:val="28"/>
          <w:szCs w:val="28"/>
        </w:rPr>
        <w:t xml:space="preserve">third </w:t>
      </w:r>
      <w:r w:rsidR="00A21512" w:rsidRPr="00095BB2">
        <w:rPr>
          <w:rFonts w:ascii="Times New Roman" w:hAnsi="Times New Roman"/>
          <w:sz w:val="28"/>
          <w:szCs w:val="28"/>
        </w:rPr>
        <w:t>return of service</w:t>
      </w:r>
      <w:r w:rsidR="00112A36" w:rsidRPr="00095BB2">
        <w:rPr>
          <w:rFonts w:ascii="Times New Roman" w:hAnsi="Times New Roman"/>
          <w:sz w:val="28"/>
          <w:szCs w:val="28"/>
        </w:rPr>
        <w:t xml:space="preserve"> and the lease agreement attached to the summons</w:t>
      </w:r>
      <w:r w:rsidR="00093F7A" w:rsidRPr="00095BB2">
        <w:rPr>
          <w:rFonts w:ascii="Times New Roman" w:hAnsi="Times New Roman"/>
          <w:sz w:val="28"/>
          <w:szCs w:val="28"/>
        </w:rPr>
        <w:t xml:space="preserve">. </w:t>
      </w:r>
      <w:r w:rsidR="00112A36" w:rsidRPr="00095BB2">
        <w:rPr>
          <w:rFonts w:ascii="Times New Roman" w:hAnsi="Times New Roman"/>
          <w:sz w:val="28"/>
          <w:szCs w:val="28"/>
        </w:rPr>
        <w:t>The return</w:t>
      </w:r>
      <w:r w:rsidR="00093F7A" w:rsidRPr="00095BB2">
        <w:rPr>
          <w:rFonts w:ascii="Times New Roman" w:hAnsi="Times New Roman"/>
          <w:sz w:val="28"/>
          <w:szCs w:val="28"/>
        </w:rPr>
        <w:t xml:space="preserve"> </w:t>
      </w:r>
      <w:r w:rsidR="00A21512" w:rsidRPr="00095BB2">
        <w:rPr>
          <w:rFonts w:ascii="Times New Roman" w:hAnsi="Times New Roman"/>
          <w:sz w:val="28"/>
          <w:szCs w:val="28"/>
        </w:rPr>
        <w:t>indicates that: ‘Summons &amp; Form 27 Notice of Agreement’ was served on ‘10-11-20’ at 12h00 at ‘Dubana A/A Lusikisiki 4820’ on V Cacadu (Secretary).</w:t>
      </w:r>
    </w:p>
    <w:p w:rsidR="00955D13" w:rsidRPr="00095BB2" w:rsidRDefault="00955D13" w:rsidP="00D75D96">
      <w:pPr>
        <w:pStyle w:val="LegalList1"/>
        <w:spacing w:after="0" w:line="360" w:lineRule="auto"/>
        <w:rPr>
          <w:rFonts w:ascii="Times New Roman" w:hAnsi="Times New Roman"/>
          <w:sz w:val="28"/>
          <w:szCs w:val="28"/>
        </w:rPr>
      </w:pPr>
    </w:p>
    <w:p w:rsidR="00481837"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lastRenderedPageBreak/>
        <w:t>[17]</w:t>
      </w:r>
      <w:r>
        <w:rPr>
          <w:rFonts w:ascii="Times New Roman" w:hAnsi="Times New Roman"/>
          <w:sz w:val="28"/>
          <w:szCs w:val="28"/>
        </w:rPr>
        <w:tab/>
      </w:r>
      <w:r w:rsidR="002151FB" w:rsidRPr="00095BB2">
        <w:rPr>
          <w:rFonts w:ascii="Times New Roman" w:hAnsi="Times New Roman"/>
          <w:sz w:val="28"/>
          <w:szCs w:val="28"/>
        </w:rPr>
        <w:t>In my view</w:t>
      </w:r>
      <w:r w:rsidR="00D809B3" w:rsidRPr="00095BB2">
        <w:rPr>
          <w:rFonts w:ascii="Times New Roman" w:hAnsi="Times New Roman"/>
          <w:sz w:val="28"/>
          <w:szCs w:val="28"/>
        </w:rPr>
        <w:t xml:space="preserve"> </w:t>
      </w:r>
      <w:r w:rsidR="002151FB" w:rsidRPr="00095BB2">
        <w:rPr>
          <w:rFonts w:ascii="Times New Roman" w:hAnsi="Times New Roman"/>
          <w:sz w:val="28"/>
          <w:szCs w:val="28"/>
        </w:rPr>
        <w:t>this return of servic</w:t>
      </w:r>
      <w:r w:rsidR="005B7288" w:rsidRPr="00095BB2">
        <w:rPr>
          <w:rFonts w:ascii="Times New Roman" w:hAnsi="Times New Roman"/>
          <w:sz w:val="28"/>
          <w:szCs w:val="28"/>
        </w:rPr>
        <w:t xml:space="preserve">e </w:t>
      </w:r>
      <w:r w:rsidR="001C7233" w:rsidRPr="00095BB2">
        <w:rPr>
          <w:rFonts w:ascii="Times New Roman" w:hAnsi="Times New Roman"/>
          <w:sz w:val="28"/>
          <w:szCs w:val="28"/>
        </w:rPr>
        <w:t xml:space="preserve">is manifest of </w:t>
      </w:r>
      <w:r w:rsidR="005B7288" w:rsidRPr="00095BB2">
        <w:rPr>
          <w:rFonts w:ascii="Times New Roman" w:hAnsi="Times New Roman"/>
          <w:sz w:val="28"/>
          <w:szCs w:val="28"/>
        </w:rPr>
        <w:t xml:space="preserve">effective service under </w:t>
      </w:r>
      <w:r w:rsidR="00955D13">
        <w:rPr>
          <w:rFonts w:ascii="Times New Roman" w:hAnsi="Times New Roman"/>
          <w:sz w:val="28"/>
          <w:szCs w:val="28"/>
        </w:rPr>
        <w:t>U</w:t>
      </w:r>
      <w:r w:rsidR="00825271" w:rsidRPr="00095BB2">
        <w:rPr>
          <w:rFonts w:ascii="Times New Roman" w:hAnsi="Times New Roman"/>
          <w:sz w:val="28"/>
          <w:szCs w:val="28"/>
        </w:rPr>
        <w:t xml:space="preserve">niform </w:t>
      </w:r>
      <w:r w:rsidR="005B7288" w:rsidRPr="00095BB2">
        <w:rPr>
          <w:rFonts w:ascii="Times New Roman" w:hAnsi="Times New Roman"/>
          <w:sz w:val="28"/>
          <w:szCs w:val="28"/>
        </w:rPr>
        <w:t>rule 4(1)</w:t>
      </w:r>
      <w:r w:rsidR="005B7288" w:rsidRPr="00D75D96">
        <w:rPr>
          <w:rFonts w:ascii="Times New Roman" w:hAnsi="Times New Roman"/>
          <w:i/>
          <w:sz w:val="28"/>
          <w:szCs w:val="28"/>
        </w:rPr>
        <w:t>(a)</w:t>
      </w:r>
      <w:r w:rsidR="005B7288" w:rsidRPr="00856425">
        <w:rPr>
          <w:rFonts w:ascii="Times New Roman" w:hAnsi="Times New Roman"/>
          <w:sz w:val="28"/>
          <w:szCs w:val="28"/>
        </w:rPr>
        <w:t>(v)</w:t>
      </w:r>
      <w:r w:rsidR="00481837">
        <w:rPr>
          <w:rFonts w:ascii="Times New Roman" w:hAnsi="Times New Roman"/>
          <w:sz w:val="28"/>
          <w:szCs w:val="28"/>
        </w:rPr>
        <w:t>.</w:t>
      </w:r>
      <w:r w:rsidR="00B608D6" w:rsidRPr="00095BB2">
        <w:rPr>
          <w:rStyle w:val="FootnoteReference"/>
          <w:rFonts w:ascii="Times New Roman" w:hAnsi="Times New Roman"/>
          <w:sz w:val="28"/>
          <w:szCs w:val="28"/>
        </w:rPr>
        <w:footnoteReference w:id="8"/>
      </w:r>
    </w:p>
    <w:p w:rsidR="00825271" w:rsidRPr="00095BB2" w:rsidRDefault="00825271" w:rsidP="00D75D96">
      <w:pPr>
        <w:pStyle w:val="LegalList1"/>
        <w:spacing w:after="0" w:line="360" w:lineRule="auto"/>
        <w:rPr>
          <w:rFonts w:ascii="Times New Roman" w:hAnsi="Times New Roman"/>
          <w:sz w:val="28"/>
          <w:szCs w:val="28"/>
        </w:rPr>
      </w:pPr>
    </w:p>
    <w:p w:rsidR="00082340"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825271" w:rsidRPr="00095BB2">
        <w:rPr>
          <w:rFonts w:ascii="Times New Roman" w:hAnsi="Times New Roman"/>
          <w:sz w:val="28"/>
          <w:szCs w:val="28"/>
        </w:rPr>
        <w:t>W</w:t>
      </w:r>
      <w:r w:rsidR="00D809B3" w:rsidRPr="00095BB2">
        <w:rPr>
          <w:rFonts w:ascii="Times New Roman" w:hAnsi="Times New Roman"/>
          <w:sz w:val="28"/>
          <w:szCs w:val="28"/>
        </w:rPr>
        <w:t>hat follows are my reasons.</w:t>
      </w:r>
    </w:p>
    <w:p w:rsidR="00481837" w:rsidRPr="00095BB2" w:rsidRDefault="00481837" w:rsidP="00D75D96">
      <w:pPr>
        <w:pStyle w:val="LegalList1"/>
        <w:spacing w:after="0" w:line="360" w:lineRule="auto"/>
        <w:rPr>
          <w:rFonts w:ascii="Times New Roman" w:hAnsi="Times New Roman"/>
          <w:sz w:val="28"/>
          <w:szCs w:val="28"/>
        </w:rPr>
      </w:pPr>
    </w:p>
    <w:p w:rsidR="00AA5A47"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E94A04" w:rsidRPr="00095BB2">
        <w:rPr>
          <w:rFonts w:ascii="Times New Roman" w:hAnsi="Times New Roman"/>
          <w:sz w:val="28"/>
          <w:szCs w:val="28"/>
        </w:rPr>
        <w:t>In the lease agreement</w:t>
      </w:r>
      <w:r w:rsidR="00D8269F">
        <w:rPr>
          <w:rFonts w:ascii="Times New Roman" w:hAnsi="Times New Roman"/>
          <w:sz w:val="28"/>
          <w:szCs w:val="28"/>
        </w:rPr>
        <w:t>,</w:t>
      </w:r>
      <w:r w:rsidR="00E94A04" w:rsidRPr="00095BB2">
        <w:rPr>
          <w:rFonts w:ascii="Times New Roman" w:hAnsi="Times New Roman"/>
          <w:sz w:val="28"/>
          <w:szCs w:val="28"/>
        </w:rPr>
        <w:t xml:space="preserve"> the applicant’s registered </w:t>
      </w:r>
      <w:r w:rsidR="007E4B9D" w:rsidRPr="00095BB2">
        <w:rPr>
          <w:rFonts w:ascii="Times New Roman" w:hAnsi="Times New Roman"/>
          <w:sz w:val="28"/>
          <w:szCs w:val="28"/>
        </w:rPr>
        <w:t xml:space="preserve">address </w:t>
      </w:r>
      <w:r w:rsidR="00E94A04" w:rsidRPr="00095BB2">
        <w:rPr>
          <w:rFonts w:ascii="Times New Roman" w:hAnsi="Times New Roman"/>
          <w:sz w:val="28"/>
          <w:szCs w:val="28"/>
        </w:rPr>
        <w:t xml:space="preserve">and </w:t>
      </w:r>
      <w:r w:rsidR="007E4B9D" w:rsidRPr="00095BB2">
        <w:rPr>
          <w:rFonts w:ascii="Times New Roman" w:hAnsi="Times New Roman"/>
          <w:sz w:val="28"/>
          <w:szCs w:val="28"/>
        </w:rPr>
        <w:t xml:space="preserve">its </w:t>
      </w:r>
      <w:r w:rsidR="00E94A04" w:rsidRPr="00095BB2">
        <w:rPr>
          <w:rFonts w:ascii="Times New Roman" w:hAnsi="Times New Roman"/>
          <w:sz w:val="28"/>
          <w:szCs w:val="28"/>
        </w:rPr>
        <w:t>physical address</w:t>
      </w:r>
      <w:r w:rsidR="00FD4E6C" w:rsidRPr="00095BB2">
        <w:rPr>
          <w:rFonts w:ascii="Times New Roman" w:hAnsi="Times New Roman"/>
          <w:sz w:val="28"/>
          <w:szCs w:val="28"/>
        </w:rPr>
        <w:t xml:space="preserve"> is</w:t>
      </w:r>
      <w:r w:rsidR="00E94A04" w:rsidRPr="00095BB2">
        <w:rPr>
          <w:rFonts w:ascii="Times New Roman" w:hAnsi="Times New Roman"/>
          <w:sz w:val="28"/>
          <w:szCs w:val="28"/>
        </w:rPr>
        <w:t xml:space="preserve"> indicated as ‘Dubana A/A Lusikisiki 4820’.</w:t>
      </w:r>
      <w:r w:rsidR="00FD4E6C" w:rsidRPr="00095BB2">
        <w:rPr>
          <w:rFonts w:ascii="Times New Roman" w:hAnsi="Times New Roman"/>
          <w:sz w:val="28"/>
          <w:szCs w:val="28"/>
        </w:rPr>
        <w:t xml:space="preserve"> The address falls within the jurisdiction of this Court</w:t>
      </w:r>
      <w:r w:rsidR="007E4B9D" w:rsidRPr="00095BB2">
        <w:rPr>
          <w:rFonts w:ascii="Times New Roman" w:hAnsi="Times New Roman"/>
          <w:sz w:val="28"/>
          <w:szCs w:val="28"/>
        </w:rPr>
        <w:t>,</w:t>
      </w:r>
      <w:r w:rsidR="00F83C17" w:rsidRPr="00095BB2">
        <w:rPr>
          <w:rFonts w:ascii="Times New Roman" w:hAnsi="Times New Roman"/>
          <w:sz w:val="28"/>
          <w:szCs w:val="28"/>
        </w:rPr>
        <w:t xml:space="preserve"> which exercises </w:t>
      </w:r>
      <w:r w:rsidR="00D809B3" w:rsidRPr="00095BB2">
        <w:rPr>
          <w:rFonts w:ascii="Times New Roman" w:hAnsi="Times New Roman"/>
          <w:sz w:val="28"/>
          <w:szCs w:val="28"/>
        </w:rPr>
        <w:t>its</w:t>
      </w:r>
      <w:r w:rsidR="00F83C17" w:rsidRPr="00095BB2">
        <w:rPr>
          <w:rFonts w:ascii="Times New Roman" w:hAnsi="Times New Roman"/>
          <w:sz w:val="28"/>
          <w:szCs w:val="28"/>
        </w:rPr>
        <w:t xml:space="preserve"> jurisdiction over the entire province</w:t>
      </w:r>
      <w:r w:rsidR="007D3D1D" w:rsidRPr="00095BB2">
        <w:rPr>
          <w:rFonts w:ascii="Times New Roman" w:hAnsi="Times New Roman"/>
          <w:sz w:val="28"/>
          <w:szCs w:val="28"/>
        </w:rPr>
        <w:t xml:space="preserve"> of the Eastern Cape</w:t>
      </w:r>
      <w:r w:rsidR="00F83C17" w:rsidRPr="00095BB2">
        <w:rPr>
          <w:rFonts w:ascii="Times New Roman" w:hAnsi="Times New Roman"/>
          <w:sz w:val="28"/>
          <w:szCs w:val="28"/>
        </w:rPr>
        <w:t>.</w:t>
      </w:r>
      <w:r w:rsidR="00F83C17" w:rsidRPr="00095BB2">
        <w:rPr>
          <w:rStyle w:val="FootnoteReference"/>
          <w:rFonts w:ascii="Times New Roman" w:hAnsi="Times New Roman"/>
          <w:sz w:val="28"/>
          <w:szCs w:val="28"/>
        </w:rPr>
        <w:footnoteReference w:id="9"/>
      </w:r>
      <w:r w:rsidR="005B7288" w:rsidRPr="00095BB2">
        <w:rPr>
          <w:rFonts w:ascii="Times New Roman" w:hAnsi="Times New Roman"/>
          <w:sz w:val="28"/>
          <w:szCs w:val="28"/>
        </w:rPr>
        <w:t xml:space="preserve"> </w:t>
      </w:r>
      <w:r w:rsidR="000E79E7" w:rsidRPr="00095BB2">
        <w:rPr>
          <w:rFonts w:ascii="Times New Roman" w:hAnsi="Times New Roman"/>
          <w:sz w:val="28"/>
          <w:szCs w:val="28"/>
        </w:rPr>
        <w:t>S</w:t>
      </w:r>
      <w:r w:rsidR="007E4B9D" w:rsidRPr="00095BB2">
        <w:rPr>
          <w:rFonts w:ascii="Times New Roman" w:hAnsi="Times New Roman"/>
          <w:sz w:val="28"/>
          <w:szCs w:val="28"/>
        </w:rPr>
        <w:t>ervice at the registered address within the Court’s jurisdiction is good service</w:t>
      </w:r>
      <w:r w:rsidR="002C217B" w:rsidRPr="00095BB2">
        <w:rPr>
          <w:rStyle w:val="FootnoteReference"/>
          <w:rFonts w:ascii="Times New Roman" w:hAnsi="Times New Roman"/>
          <w:sz w:val="28"/>
          <w:szCs w:val="28"/>
        </w:rPr>
        <w:footnoteReference w:id="10"/>
      </w:r>
      <w:r w:rsidR="00CA0EFF" w:rsidRPr="00095BB2">
        <w:rPr>
          <w:rFonts w:ascii="Times New Roman" w:hAnsi="Times New Roman"/>
          <w:sz w:val="28"/>
          <w:szCs w:val="28"/>
        </w:rPr>
        <w:t xml:space="preserve"> even if the registered address is not the place of business of the applicant</w:t>
      </w:r>
      <w:r w:rsidR="00481837">
        <w:rPr>
          <w:rFonts w:ascii="Times New Roman" w:hAnsi="Times New Roman"/>
          <w:sz w:val="28"/>
          <w:szCs w:val="28"/>
        </w:rPr>
        <w:t>.</w:t>
      </w:r>
      <w:r w:rsidR="00CA0EFF" w:rsidRPr="00095BB2">
        <w:rPr>
          <w:rStyle w:val="FootnoteReference"/>
          <w:rFonts w:ascii="Times New Roman" w:hAnsi="Times New Roman"/>
          <w:sz w:val="28"/>
          <w:szCs w:val="28"/>
        </w:rPr>
        <w:footnoteReference w:id="11"/>
      </w:r>
      <w:r w:rsidR="00B3788E" w:rsidRPr="00095BB2">
        <w:rPr>
          <w:rFonts w:ascii="Times New Roman" w:hAnsi="Times New Roman"/>
          <w:sz w:val="28"/>
          <w:szCs w:val="28"/>
        </w:rPr>
        <w:t xml:space="preserve"> </w:t>
      </w:r>
      <w:r w:rsidR="00DB141F" w:rsidRPr="00095BB2">
        <w:rPr>
          <w:rFonts w:ascii="Times New Roman" w:hAnsi="Times New Roman"/>
          <w:sz w:val="28"/>
          <w:szCs w:val="28"/>
        </w:rPr>
        <w:t>Hence</w:t>
      </w:r>
      <w:r w:rsidR="00D22C48" w:rsidRPr="00095BB2">
        <w:rPr>
          <w:rFonts w:ascii="Times New Roman" w:hAnsi="Times New Roman"/>
          <w:sz w:val="28"/>
          <w:szCs w:val="28"/>
        </w:rPr>
        <w:t xml:space="preserve">, </w:t>
      </w:r>
      <w:r w:rsidR="003A734A" w:rsidRPr="00095BB2">
        <w:rPr>
          <w:rFonts w:ascii="Times New Roman" w:hAnsi="Times New Roman"/>
          <w:sz w:val="28"/>
          <w:szCs w:val="28"/>
        </w:rPr>
        <w:t>t</w:t>
      </w:r>
      <w:r w:rsidR="00B3788E" w:rsidRPr="00095BB2">
        <w:rPr>
          <w:rFonts w:ascii="Times New Roman" w:hAnsi="Times New Roman"/>
          <w:sz w:val="28"/>
          <w:szCs w:val="28"/>
        </w:rPr>
        <w:t xml:space="preserve">he denial </w:t>
      </w:r>
      <w:r w:rsidR="002E4991" w:rsidRPr="00095BB2">
        <w:rPr>
          <w:rFonts w:ascii="Times New Roman" w:hAnsi="Times New Roman"/>
          <w:sz w:val="28"/>
          <w:szCs w:val="28"/>
        </w:rPr>
        <w:t xml:space="preserve">by Mr Daniso that </w:t>
      </w:r>
      <w:r w:rsidR="00B3788E" w:rsidRPr="00095BB2">
        <w:rPr>
          <w:rFonts w:ascii="Times New Roman" w:hAnsi="Times New Roman"/>
          <w:sz w:val="28"/>
          <w:szCs w:val="28"/>
        </w:rPr>
        <w:t xml:space="preserve">the applicant has a registered office at Dubana Administrative Area is </w:t>
      </w:r>
      <w:r w:rsidR="00165BE6" w:rsidRPr="00095BB2">
        <w:rPr>
          <w:rFonts w:ascii="Times New Roman" w:hAnsi="Times New Roman"/>
          <w:sz w:val="28"/>
          <w:szCs w:val="28"/>
        </w:rPr>
        <w:t xml:space="preserve">at odds </w:t>
      </w:r>
      <w:r w:rsidR="009937D2" w:rsidRPr="00095BB2">
        <w:rPr>
          <w:rFonts w:ascii="Times New Roman" w:hAnsi="Times New Roman"/>
          <w:sz w:val="28"/>
          <w:szCs w:val="28"/>
        </w:rPr>
        <w:t xml:space="preserve">with the address indicated in </w:t>
      </w:r>
      <w:r w:rsidR="00B3788E" w:rsidRPr="00095BB2">
        <w:rPr>
          <w:rFonts w:ascii="Times New Roman" w:hAnsi="Times New Roman"/>
          <w:sz w:val="28"/>
          <w:szCs w:val="28"/>
        </w:rPr>
        <w:t xml:space="preserve">the lease </w:t>
      </w:r>
      <w:r w:rsidR="007D5B70" w:rsidRPr="00095BB2">
        <w:rPr>
          <w:rFonts w:ascii="Times New Roman" w:hAnsi="Times New Roman"/>
          <w:sz w:val="28"/>
          <w:szCs w:val="28"/>
        </w:rPr>
        <w:t>which he si</w:t>
      </w:r>
      <w:r w:rsidR="00BE6E83" w:rsidRPr="00095BB2">
        <w:rPr>
          <w:rFonts w:ascii="Times New Roman" w:hAnsi="Times New Roman"/>
          <w:sz w:val="28"/>
          <w:szCs w:val="28"/>
        </w:rPr>
        <w:t xml:space="preserve">gned on behalf of the applicant </w:t>
      </w:r>
      <w:r w:rsidR="007D5B70" w:rsidRPr="00095BB2">
        <w:rPr>
          <w:rFonts w:ascii="Times New Roman" w:hAnsi="Times New Roman"/>
          <w:sz w:val="28"/>
          <w:szCs w:val="28"/>
        </w:rPr>
        <w:t>as its</w:t>
      </w:r>
      <w:r w:rsidR="00BE6E83" w:rsidRPr="00095BB2">
        <w:rPr>
          <w:rFonts w:ascii="Times New Roman" w:hAnsi="Times New Roman"/>
          <w:sz w:val="28"/>
          <w:szCs w:val="28"/>
        </w:rPr>
        <w:t xml:space="preserve"> director </w:t>
      </w:r>
      <w:r w:rsidR="007D5B70" w:rsidRPr="00095BB2">
        <w:rPr>
          <w:rFonts w:ascii="Times New Roman" w:hAnsi="Times New Roman"/>
          <w:sz w:val="28"/>
          <w:szCs w:val="28"/>
        </w:rPr>
        <w:t xml:space="preserve">when the </w:t>
      </w:r>
      <w:r w:rsidR="007D3D1D" w:rsidRPr="00095BB2">
        <w:rPr>
          <w:rFonts w:ascii="Times New Roman" w:hAnsi="Times New Roman"/>
          <w:sz w:val="28"/>
          <w:szCs w:val="28"/>
        </w:rPr>
        <w:t xml:space="preserve">agreement </w:t>
      </w:r>
      <w:r w:rsidR="007D5B70" w:rsidRPr="00095BB2">
        <w:rPr>
          <w:rFonts w:ascii="Times New Roman" w:hAnsi="Times New Roman"/>
          <w:sz w:val="28"/>
          <w:szCs w:val="28"/>
        </w:rPr>
        <w:t>was entered into in June 2019.</w:t>
      </w:r>
    </w:p>
    <w:p w:rsidR="0080552F" w:rsidRPr="00095BB2" w:rsidRDefault="0080552F" w:rsidP="00D75D96">
      <w:pPr>
        <w:pStyle w:val="LegalList1"/>
        <w:spacing w:after="0" w:line="360" w:lineRule="auto"/>
        <w:rPr>
          <w:rFonts w:ascii="Times New Roman" w:hAnsi="Times New Roman"/>
          <w:sz w:val="28"/>
          <w:szCs w:val="28"/>
        </w:rPr>
      </w:pPr>
    </w:p>
    <w:p w:rsidR="002E4991"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3A734A" w:rsidRPr="00095BB2">
        <w:rPr>
          <w:rFonts w:ascii="Times New Roman" w:hAnsi="Times New Roman"/>
          <w:sz w:val="28"/>
          <w:szCs w:val="28"/>
        </w:rPr>
        <w:t>Moreover, n</w:t>
      </w:r>
      <w:r w:rsidR="00165BE6" w:rsidRPr="00095BB2">
        <w:rPr>
          <w:rFonts w:ascii="Times New Roman" w:hAnsi="Times New Roman"/>
          <w:sz w:val="28"/>
          <w:szCs w:val="28"/>
        </w:rPr>
        <w:t xml:space="preserve">othing turns on the </w:t>
      </w:r>
      <w:r w:rsidR="00DD3380" w:rsidRPr="00095BB2">
        <w:rPr>
          <w:rFonts w:ascii="Times New Roman" w:hAnsi="Times New Roman"/>
          <w:sz w:val="28"/>
          <w:szCs w:val="28"/>
        </w:rPr>
        <w:t xml:space="preserve">contentions raised by applicant’s counsel </w:t>
      </w:r>
      <w:r w:rsidR="003A734A" w:rsidRPr="00095BB2">
        <w:rPr>
          <w:rFonts w:ascii="Times New Roman" w:hAnsi="Times New Roman"/>
          <w:sz w:val="28"/>
          <w:szCs w:val="28"/>
        </w:rPr>
        <w:t xml:space="preserve">about </w:t>
      </w:r>
      <w:r w:rsidR="00165BE6" w:rsidRPr="00095BB2">
        <w:rPr>
          <w:rFonts w:ascii="Times New Roman" w:hAnsi="Times New Roman"/>
          <w:sz w:val="28"/>
          <w:szCs w:val="28"/>
        </w:rPr>
        <w:t>discrepant returns as indicated in the applicant’</w:t>
      </w:r>
      <w:r w:rsidR="003A734A" w:rsidRPr="00095BB2">
        <w:rPr>
          <w:rFonts w:ascii="Times New Roman" w:hAnsi="Times New Roman"/>
          <w:sz w:val="28"/>
          <w:szCs w:val="28"/>
        </w:rPr>
        <w:t xml:space="preserve">s heads </w:t>
      </w:r>
      <w:r w:rsidR="00DD3380" w:rsidRPr="00095BB2">
        <w:rPr>
          <w:rFonts w:ascii="Times New Roman" w:hAnsi="Times New Roman"/>
          <w:sz w:val="28"/>
          <w:szCs w:val="28"/>
        </w:rPr>
        <w:t xml:space="preserve">of argument. </w:t>
      </w:r>
      <w:r w:rsidR="002E4991" w:rsidRPr="00095BB2">
        <w:rPr>
          <w:rFonts w:ascii="Times New Roman" w:hAnsi="Times New Roman"/>
          <w:sz w:val="28"/>
          <w:szCs w:val="28"/>
        </w:rPr>
        <w:t xml:space="preserve">Counsel’s </w:t>
      </w:r>
      <w:r w:rsidR="00E05422" w:rsidRPr="00095BB2">
        <w:rPr>
          <w:rFonts w:ascii="Times New Roman" w:hAnsi="Times New Roman"/>
          <w:sz w:val="28"/>
          <w:szCs w:val="28"/>
        </w:rPr>
        <w:t xml:space="preserve">approach </w:t>
      </w:r>
      <w:r w:rsidR="00DD3380" w:rsidRPr="00095BB2">
        <w:rPr>
          <w:rFonts w:ascii="Times New Roman" w:hAnsi="Times New Roman"/>
          <w:sz w:val="28"/>
          <w:szCs w:val="28"/>
        </w:rPr>
        <w:t>overlooks the fact that the</w:t>
      </w:r>
      <w:r w:rsidR="00F00CB0" w:rsidRPr="00095BB2">
        <w:rPr>
          <w:rFonts w:ascii="Times New Roman" w:hAnsi="Times New Roman"/>
          <w:sz w:val="28"/>
          <w:szCs w:val="28"/>
        </w:rPr>
        <w:t xml:space="preserve"> third instrument</w:t>
      </w:r>
      <w:r w:rsidR="00DD3380" w:rsidRPr="00095BB2">
        <w:rPr>
          <w:rFonts w:ascii="Times New Roman" w:hAnsi="Times New Roman"/>
          <w:sz w:val="28"/>
          <w:szCs w:val="28"/>
        </w:rPr>
        <w:t xml:space="preserve"> is a self-standing return of service</w:t>
      </w:r>
      <w:r w:rsidR="0017555E" w:rsidRPr="00095BB2">
        <w:rPr>
          <w:rFonts w:ascii="Times New Roman" w:hAnsi="Times New Roman"/>
          <w:sz w:val="28"/>
          <w:szCs w:val="28"/>
        </w:rPr>
        <w:t xml:space="preserve"> which</w:t>
      </w:r>
      <w:r w:rsidR="009937D2" w:rsidRPr="00095BB2">
        <w:rPr>
          <w:rFonts w:ascii="Times New Roman" w:hAnsi="Times New Roman"/>
          <w:sz w:val="28"/>
          <w:szCs w:val="28"/>
        </w:rPr>
        <w:t>,</w:t>
      </w:r>
      <w:r w:rsidR="0017555E" w:rsidRPr="00095BB2">
        <w:rPr>
          <w:rFonts w:ascii="Times New Roman" w:hAnsi="Times New Roman"/>
          <w:sz w:val="28"/>
          <w:szCs w:val="28"/>
        </w:rPr>
        <w:t xml:space="preserve"> for reasons aforementioned</w:t>
      </w:r>
      <w:r w:rsidR="009937D2" w:rsidRPr="00095BB2">
        <w:rPr>
          <w:rFonts w:ascii="Times New Roman" w:hAnsi="Times New Roman"/>
          <w:sz w:val="28"/>
          <w:szCs w:val="28"/>
        </w:rPr>
        <w:t>,</w:t>
      </w:r>
      <w:r w:rsidR="0017555E" w:rsidRPr="00095BB2">
        <w:rPr>
          <w:rFonts w:ascii="Times New Roman" w:hAnsi="Times New Roman"/>
          <w:sz w:val="28"/>
          <w:szCs w:val="28"/>
        </w:rPr>
        <w:t xml:space="preserve"> </w:t>
      </w:r>
      <w:r w:rsidR="006C0E42" w:rsidRPr="00095BB2">
        <w:rPr>
          <w:rFonts w:ascii="Times New Roman" w:hAnsi="Times New Roman"/>
          <w:i/>
          <w:sz w:val="28"/>
          <w:szCs w:val="28"/>
        </w:rPr>
        <w:t>prima facie</w:t>
      </w:r>
      <w:r w:rsidR="006C0E42" w:rsidRPr="00095BB2">
        <w:rPr>
          <w:rFonts w:ascii="Times New Roman" w:hAnsi="Times New Roman"/>
          <w:sz w:val="28"/>
          <w:szCs w:val="28"/>
        </w:rPr>
        <w:t xml:space="preserve"> </w:t>
      </w:r>
      <w:r w:rsidR="00803AF6" w:rsidRPr="00095BB2">
        <w:rPr>
          <w:rFonts w:ascii="Times New Roman" w:hAnsi="Times New Roman"/>
          <w:sz w:val="28"/>
          <w:szCs w:val="28"/>
        </w:rPr>
        <w:t>constitutes evidence of the matters stated therein</w:t>
      </w:r>
      <w:r w:rsidR="00803AF6" w:rsidRPr="00095BB2">
        <w:rPr>
          <w:rStyle w:val="FootnoteReference"/>
          <w:rFonts w:ascii="Times New Roman" w:hAnsi="Times New Roman"/>
          <w:sz w:val="28"/>
          <w:szCs w:val="28"/>
        </w:rPr>
        <w:footnoteReference w:id="12"/>
      </w:r>
      <w:r w:rsidR="00803AF6" w:rsidRPr="00095BB2">
        <w:rPr>
          <w:rFonts w:ascii="Times New Roman" w:hAnsi="Times New Roman"/>
          <w:sz w:val="28"/>
          <w:szCs w:val="28"/>
        </w:rPr>
        <w:t xml:space="preserve"> and </w:t>
      </w:r>
      <w:r w:rsidR="0017555E" w:rsidRPr="00095BB2">
        <w:rPr>
          <w:rFonts w:ascii="Times New Roman" w:hAnsi="Times New Roman"/>
          <w:sz w:val="28"/>
          <w:szCs w:val="28"/>
        </w:rPr>
        <w:t>has been shown to be reliable and effective.</w:t>
      </w:r>
    </w:p>
    <w:p w:rsidR="0080552F" w:rsidRPr="00095BB2" w:rsidRDefault="0080552F" w:rsidP="00D75D96">
      <w:pPr>
        <w:pStyle w:val="LegalList1"/>
        <w:spacing w:after="0" w:line="360" w:lineRule="auto"/>
        <w:rPr>
          <w:rFonts w:ascii="Times New Roman" w:hAnsi="Times New Roman"/>
          <w:sz w:val="28"/>
          <w:szCs w:val="28"/>
        </w:rPr>
      </w:pPr>
    </w:p>
    <w:p w:rsidR="00522FCE" w:rsidRPr="006D6334" w:rsidRDefault="00AE4C99" w:rsidP="00AE4C99">
      <w:pPr>
        <w:pStyle w:val="LegalList1"/>
        <w:spacing w:after="0" w:line="360" w:lineRule="auto"/>
        <w:rPr>
          <w:rFonts w:ascii="Times New Roman" w:hAnsi="Times New Roman"/>
          <w:sz w:val="28"/>
          <w:szCs w:val="28"/>
        </w:rPr>
      </w:pPr>
      <w:r w:rsidRPr="006D6334">
        <w:rPr>
          <w:rFonts w:ascii="Times New Roman" w:hAnsi="Times New Roman"/>
          <w:sz w:val="28"/>
          <w:szCs w:val="28"/>
        </w:rPr>
        <w:t>[21]</w:t>
      </w:r>
      <w:r w:rsidRPr="006D6334">
        <w:rPr>
          <w:rFonts w:ascii="Times New Roman" w:hAnsi="Times New Roman"/>
          <w:sz w:val="28"/>
          <w:szCs w:val="28"/>
        </w:rPr>
        <w:tab/>
      </w:r>
      <w:r w:rsidR="00784453" w:rsidRPr="00095BB2">
        <w:rPr>
          <w:rFonts w:ascii="Times New Roman" w:hAnsi="Times New Roman"/>
          <w:sz w:val="28"/>
          <w:szCs w:val="28"/>
        </w:rPr>
        <w:t>I</w:t>
      </w:r>
      <w:r w:rsidR="00522FCE" w:rsidRPr="00095BB2">
        <w:rPr>
          <w:rFonts w:ascii="Times New Roman" w:hAnsi="Times New Roman"/>
          <w:sz w:val="28"/>
          <w:szCs w:val="28"/>
        </w:rPr>
        <w:t>n the light of the finding that there was effective service of the summons</w:t>
      </w:r>
      <w:r w:rsidR="00856425">
        <w:rPr>
          <w:rFonts w:ascii="Times New Roman" w:hAnsi="Times New Roman"/>
          <w:sz w:val="28"/>
          <w:szCs w:val="28"/>
        </w:rPr>
        <w:t>,</w:t>
      </w:r>
      <w:r w:rsidR="00784453" w:rsidRPr="00095BB2">
        <w:rPr>
          <w:rFonts w:ascii="Times New Roman" w:hAnsi="Times New Roman"/>
          <w:sz w:val="28"/>
          <w:szCs w:val="28"/>
        </w:rPr>
        <w:t xml:space="preserve"> the applicant’s explanation that it did not wilfully fail to enter an appearance to </w:t>
      </w:r>
      <w:r w:rsidR="00784453" w:rsidRPr="00095BB2">
        <w:rPr>
          <w:rFonts w:ascii="Times New Roman" w:hAnsi="Times New Roman"/>
          <w:sz w:val="28"/>
          <w:szCs w:val="28"/>
        </w:rPr>
        <w:lastRenderedPageBreak/>
        <w:t>defend because it had no knowledge of the pending action recedes into insignificance.</w:t>
      </w:r>
      <w:r w:rsidR="001244B6" w:rsidRPr="00095BB2">
        <w:rPr>
          <w:rFonts w:ascii="Times New Roman" w:hAnsi="Times New Roman"/>
          <w:sz w:val="28"/>
          <w:szCs w:val="28"/>
        </w:rPr>
        <w:t xml:space="preserve"> Where there had been proper service of the summons and a failure to enter appearance to defend</w:t>
      </w:r>
      <w:r w:rsidR="00241DB7" w:rsidRPr="00095BB2">
        <w:rPr>
          <w:rFonts w:ascii="Times New Roman" w:hAnsi="Times New Roman"/>
          <w:sz w:val="28"/>
          <w:szCs w:val="28"/>
        </w:rPr>
        <w:t>, the respondent was procedurally entitled to obtain its order in the absence of the applicant.</w:t>
      </w:r>
      <w:r w:rsidR="00AA5A47" w:rsidRPr="00095BB2">
        <w:rPr>
          <w:rFonts w:ascii="Times New Roman" w:hAnsi="Times New Roman"/>
          <w:sz w:val="28"/>
          <w:szCs w:val="28"/>
        </w:rPr>
        <w:t xml:space="preserve"> </w:t>
      </w:r>
      <w:r w:rsidR="0073326F" w:rsidRPr="00095BB2">
        <w:rPr>
          <w:rFonts w:ascii="Times New Roman" w:hAnsi="Times New Roman"/>
          <w:iCs/>
          <w:sz w:val="28"/>
          <w:szCs w:val="28"/>
        </w:rPr>
        <w:t>Expressed differently, a court which grants a judgment o</w:t>
      </w:r>
      <w:r w:rsidR="0080048B" w:rsidRPr="00095BB2">
        <w:rPr>
          <w:rFonts w:ascii="Times New Roman" w:hAnsi="Times New Roman"/>
          <w:iCs/>
          <w:sz w:val="28"/>
          <w:szCs w:val="28"/>
        </w:rPr>
        <w:t>r</w:t>
      </w:r>
      <w:r w:rsidR="0073326F" w:rsidRPr="00095BB2">
        <w:rPr>
          <w:rFonts w:ascii="Times New Roman" w:hAnsi="Times New Roman"/>
          <w:iCs/>
          <w:sz w:val="28"/>
          <w:szCs w:val="28"/>
        </w:rPr>
        <w:t xml:space="preserve"> order by default</w:t>
      </w:r>
      <w:r w:rsidR="00654A46" w:rsidRPr="00095BB2">
        <w:rPr>
          <w:rFonts w:ascii="Times New Roman" w:hAnsi="Times New Roman"/>
          <w:iCs/>
          <w:sz w:val="28"/>
          <w:szCs w:val="28"/>
        </w:rPr>
        <w:t xml:space="preserve"> does so </w:t>
      </w:r>
      <w:r w:rsidR="0073326F" w:rsidRPr="00095BB2">
        <w:rPr>
          <w:rFonts w:ascii="Times New Roman" w:hAnsi="Times New Roman"/>
          <w:iCs/>
          <w:sz w:val="28"/>
          <w:szCs w:val="28"/>
        </w:rPr>
        <w:t xml:space="preserve">on the basis that the defendant has been notified of the plaintiff’s claim as required by the </w:t>
      </w:r>
      <w:r w:rsidR="00BB731F">
        <w:rPr>
          <w:rFonts w:ascii="Times New Roman" w:hAnsi="Times New Roman"/>
          <w:iCs/>
          <w:sz w:val="28"/>
          <w:szCs w:val="28"/>
        </w:rPr>
        <w:t>U</w:t>
      </w:r>
      <w:r w:rsidR="00654A46" w:rsidRPr="00095BB2">
        <w:rPr>
          <w:rFonts w:ascii="Times New Roman" w:hAnsi="Times New Roman"/>
          <w:iCs/>
          <w:sz w:val="28"/>
          <w:szCs w:val="28"/>
        </w:rPr>
        <w:t>niform r</w:t>
      </w:r>
      <w:r w:rsidR="0073326F" w:rsidRPr="00095BB2">
        <w:rPr>
          <w:rFonts w:ascii="Times New Roman" w:hAnsi="Times New Roman"/>
          <w:iCs/>
          <w:sz w:val="28"/>
          <w:szCs w:val="28"/>
        </w:rPr>
        <w:t xml:space="preserve">ules, that the defendant, not having given notice of an intention to defend, is not defending the matter and that the plaintiff is in terms of the </w:t>
      </w:r>
      <w:r w:rsidR="00654A46" w:rsidRPr="00095BB2">
        <w:rPr>
          <w:rFonts w:ascii="Times New Roman" w:hAnsi="Times New Roman"/>
          <w:iCs/>
          <w:sz w:val="28"/>
          <w:szCs w:val="28"/>
        </w:rPr>
        <w:t>r</w:t>
      </w:r>
      <w:r w:rsidR="0073326F" w:rsidRPr="00095BB2">
        <w:rPr>
          <w:rFonts w:ascii="Times New Roman" w:hAnsi="Times New Roman"/>
          <w:iCs/>
          <w:sz w:val="28"/>
          <w:szCs w:val="28"/>
        </w:rPr>
        <w:t>ules entitled to the order sought.</w:t>
      </w:r>
    </w:p>
    <w:p w:rsidR="004261A2" w:rsidRPr="00095BB2" w:rsidRDefault="004261A2" w:rsidP="00D75D96">
      <w:pPr>
        <w:pStyle w:val="LegalList1"/>
        <w:spacing w:after="0" w:line="360" w:lineRule="auto"/>
        <w:rPr>
          <w:rFonts w:ascii="Times New Roman" w:hAnsi="Times New Roman"/>
          <w:sz w:val="28"/>
          <w:szCs w:val="28"/>
        </w:rPr>
      </w:pPr>
    </w:p>
    <w:p w:rsidR="004261A2"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B3682A" w:rsidRPr="00095BB2">
        <w:rPr>
          <w:rFonts w:ascii="Times New Roman" w:hAnsi="Times New Roman"/>
          <w:sz w:val="28"/>
          <w:szCs w:val="28"/>
        </w:rPr>
        <w:t>In the premises</w:t>
      </w:r>
      <w:r w:rsidR="00856425">
        <w:rPr>
          <w:rFonts w:ascii="Times New Roman" w:hAnsi="Times New Roman"/>
          <w:sz w:val="28"/>
          <w:szCs w:val="28"/>
        </w:rPr>
        <w:t>,</w:t>
      </w:r>
      <w:r w:rsidR="00B3682A" w:rsidRPr="00095BB2">
        <w:rPr>
          <w:rFonts w:ascii="Times New Roman" w:hAnsi="Times New Roman"/>
          <w:sz w:val="28"/>
          <w:szCs w:val="28"/>
        </w:rPr>
        <w:t xml:space="preserve"> I am not persuaded that the order against the applicant was erroneously granted and </w:t>
      </w:r>
      <w:r w:rsidR="001900A9" w:rsidRPr="00095BB2">
        <w:rPr>
          <w:rFonts w:ascii="Times New Roman" w:hAnsi="Times New Roman"/>
          <w:sz w:val="28"/>
          <w:szCs w:val="28"/>
        </w:rPr>
        <w:t xml:space="preserve">that </w:t>
      </w:r>
      <w:r w:rsidR="00B3682A" w:rsidRPr="00095BB2">
        <w:rPr>
          <w:rFonts w:ascii="Times New Roman" w:hAnsi="Times New Roman"/>
          <w:sz w:val="28"/>
          <w:szCs w:val="28"/>
        </w:rPr>
        <w:t>is liable to be set aside.</w:t>
      </w:r>
    </w:p>
    <w:p w:rsidR="0020304B" w:rsidRPr="00095BB2" w:rsidRDefault="0020304B" w:rsidP="00D75D96">
      <w:pPr>
        <w:pStyle w:val="LegalList1"/>
        <w:spacing w:after="0" w:line="360" w:lineRule="auto"/>
        <w:rPr>
          <w:rFonts w:ascii="Times New Roman" w:hAnsi="Times New Roman"/>
          <w:sz w:val="28"/>
          <w:szCs w:val="28"/>
        </w:rPr>
      </w:pPr>
    </w:p>
    <w:p w:rsidR="00A40502" w:rsidRPr="00095BB2" w:rsidRDefault="007C43C1" w:rsidP="00D75D96">
      <w:pPr>
        <w:pStyle w:val="LegalList1"/>
        <w:spacing w:after="120" w:line="360" w:lineRule="auto"/>
        <w:rPr>
          <w:rFonts w:ascii="Times New Roman" w:hAnsi="Times New Roman"/>
          <w:b/>
          <w:sz w:val="28"/>
          <w:szCs w:val="28"/>
        </w:rPr>
      </w:pPr>
      <w:r w:rsidRPr="00095BB2">
        <w:rPr>
          <w:rFonts w:ascii="Times New Roman" w:hAnsi="Times New Roman"/>
          <w:b/>
          <w:sz w:val="28"/>
          <w:szCs w:val="28"/>
        </w:rPr>
        <w:t xml:space="preserve">Good cause as a requirement under </w:t>
      </w:r>
      <w:r w:rsidR="004261A2">
        <w:rPr>
          <w:rFonts w:ascii="Times New Roman" w:hAnsi="Times New Roman"/>
          <w:b/>
          <w:sz w:val="28"/>
          <w:szCs w:val="28"/>
        </w:rPr>
        <w:t>Uniform r</w:t>
      </w:r>
      <w:r w:rsidR="00A40502" w:rsidRPr="00095BB2">
        <w:rPr>
          <w:rFonts w:ascii="Times New Roman" w:hAnsi="Times New Roman"/>
          <w:b/>
          <w:sz w:val="28"/>
          <w:szCs w:val="28"/>
        </w:rPr>
        <w:t>ule 31(2)</w:t>
      </w:r>
      <w:r w:rsidR="00A40502" w:rsidRPr="00D75D96">
        <w:rPr>
          <w:rFonts w:ascii="Times New Roman" w:hAnsi="Times New Roman"/>
          <w:b/>
          <w:i/>
          <w:sz w:val="28"/>
          <w:szCs w:val="28"/>
        </w:rPr>
        <w:t>(b)</w:t>
      </w:r>
      <w:r w:rsidRPr="00095BB2">
        <w:rPr>
          <w:rFonts w:ascii="Times New Roman" w:hAnsi="Times New Roman"/>
          <w:b/>
          <w:sz w:val="28"/>
          <w:szCs w:val="28"/>
        </w:rPr>
        <w:t xml:space="preserve"> or the </w:t>
      </w:r>
      <w:r w:rsidR="007449D1">
        <w:rPr>
          <w:rFonts w:ascii="Times New Roman" w:hAnsi="Times New Roman"/>
          <w:b/>
          <w:sz w:val="28"/>
          <w:szCs w:val="28"/>
        </w:rPr>
        <w:t>c</w:t>
      </w:r>
      <w:r w:rsidR="008A316F" w:rsidRPr="00095BB2">
        <w:rPr>
          <w:rFonts w:ascii="Times New Roman" w:hAnsi="Times New Roman"/>
          <w:b/>
          <w:sz w:val="28"/>
          <w:szCs w:val="28"/>
        </w:rPr>
        <w:t>ommon</w:t>
      </w:r>
      <w:r w:rsidR="008A19C8">
        <w:rPr>
          <w:rFonts w:ascii="Times New Roman" w:hAnsi="Times New Roman"/>
          <w:b/>
          <w:sz w:val="28"/>
          <w:szCs w:val="28"/>
        </w:rPr>
        <w:t> </w:t>
      </w:r>
      <w:r w:rsidR="007449D1">
        <w:rPr>
          <w:rFonts w:ascii="Times New Roman" w:hAnsi="Times New Roman"/>
          <w:b/>
          <w:sz w:val="28"/>
          <w:szCs w:val="28"/>
        </w:rPr>
        <w:t>l</w:t>
      </w:r>
      <w:r w:rsidR="008A316F" w:rsidRPr="00095BB2">
        <w:rPr>
          <w:rFonts w:ascii="Times New Roman" w:hAnsi="Times New Roman"/>
          <w:b/>
          <w:sz w:val="28"/>
          <w:szCs w:val="28"/>
        </w:rPr>
        <w:t>aw</w:t>
      </w:r>
    </w:p>
    <w:p w:rsidR="0082023F"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A40502" w:rsidRPr="00095BB2">
        <w:rPr>
          <w:rFonts w:ascii="Times New Roman" w:hAnsi="Times New Roman"/>
          <w:sz w:val="28"/>
          <w:szCs w:val="28"/>
        </w:rPr>
        <w:t xml:space="preserve">Under </w:t>
      </w:r>
      <w:r w:rsidR="004261A2">
        <w:rPr>
          <w:rFonts w:ascii="Times New Roman" w:hAnsi="Times New Roman"/>
          <w:sz w:val="28"/>
          <w:szCs w:val="28"/>
        </w:rPr>
        <w:t xml:space="preserve">Uniform </w:t>
      </w:r>
      <w:r w:rsidR="00A40502" w:rsidRPr="00095BB2">
        <w:rPr>
          <w:rFonts w:ascii="Times New Roman" w:hAnsi="Times New Roman"/>
          <w:sz w:val="28"/>
          <w:szCs w:val="28"/>
        </w:rPr>
        <w:t>rule 31(2)</w:t>
      </w:r>
      <w:r w:rsidR="00A40502" w:rsidRPr="00D75D96">
        <w:rPr>
          <w:rFonts w:ascii="Times New Roman" w:hAnsi="Times New Roman"/>
          <w:i/>
          <w:sz w:val="28"/>
          <w:szCs w:val="28"/>
        </w:rPr>
        <w:t>(b)</w:t>
      </w:r>
      <w:r w:rsidR="00A40502" w:rsidRPr="00095BB2">
        <w:rPr>
          <w:rFonts w:ascii="Times New Roman" w:hAnsi="Times New Roman"/>
          <w:sz w:val="28"/>
          <w:szCs w:val="28"/>
        </w:rPr>
        <w:t xml:space="preserve"> the court may set aside a default judgment upon ‘good cause’ shown. The relief under the common law is available on the basis of ‘sufficient cause’ being shown</w:t>
      </w:r>
      <w:r w:rsidR="008A19C8">
        <w:rPr>
          <w:rFonts w:ascii="Times New Roman" w:hAnsi="Times New Roman"/>
          <w:sz w:val="28"/>
          <w:szCs w:val="28"/>
        </w:rPr>
        <w:t>.</w:t>
      </w:r>
      <w:r w:rsidR="00A40502" w:rsidRPr="00095BB2">
        <w:rPr>
          <w:rStyle w:val="FootnoteReference"/>
          <w:rFonts w:ascii="Times New Roman" w:hAnsi="Times New Roman"/>
          <w:sz w:val="28"/>
          <w:szCs w:val="28"/>
        </w:rPr>
        <w:footnoteReference w:id="13"/>
      </w:r>
      <w:r w:rsidR="00A40502" w:rsidRPr="00095BB2">
        <w:rPr>
          <w:rFonts w:ascii="Times New Roman" w:hAnsi="Times New Roman"/>
          <w:sz w:val="28"/>
          <w:szCs w:val="28"/>
        </w:rPr>
        <w:t xml:space="preserve"> Whereas ‘good cause’ </w:t>
      </w:r>
      <w:r w:rsidR="00207F06" w:rsidRPr="00095BB2">
        <w:rPr>
          <w:rFonts w:ascii="Times New Roman" w:hAnsi="Times New Roman"/>
          <w:sz w:val="28"/>
          <w:szCs w:val="28"/>
        </w:rPr>
        <w:t xml:space="preserve">identifies </w:t>
      </w:r>
      <w:r w:rsidR="00A40502" w:rsidRPr="00095BB2">
        <w:rPr>
          <w:rFonts w:ascii="Times New Roman" w:hAnsi="Times New Roman"/>
          <w:sz w:val="28"/>
          <w:szCs w:val="28"/>
        </w:rPr>
        <w:t>a</w:t>
      </w:r>
      <w:r w:rsidR="00E5055F" w:rsidRPr="00095BB2">
        <w:rPr>
          <w:rFonts w:ascii="Times New Roman" w:hAnsi="Times New Roman"/>
          <w:sz w:val="28"/>
          <w:szCs w:val="28"/>
        </w:rPr>
        <w:t xml:space="preserve"> rescission under rule 31(2)</w:t>
      </w:r>
      <w:r w:rsidR="00E5055F" w:rsidRPr="00D75D96">
        <w:rPr>
          <w:rFonts w:ascii="Times New Roman" w:hAnsi="Times New Roman"/>
          <w:i/>
          <w:sz w:val="28"/>
          <w:szCs w:val="28"/>
        </w:rPr>
        <w:t>(b)</w:t>
      </w:r>
      <w:r w:rsidR="00E5055F" w:rsidRPr="00095BB2">
        <w:rPr>
          <w:rFonts w:ascii="Times New Roman" w:hAnsi="Times New Roman"/>
          <w:sz w:val="28"/>
          <w:szCs w:val="28"/>
        </w:rPr>
        <w:t xml:space="preserve">, </w:t>
      </w:r>
      <w:r w:rsidR="00A40502" w:rsidRPr="00095BB2">
        <w:rPr>
          <w:rFonts w:ascii="Times New Roman" w:hAnsi="Times New Roman"/>
          <w:sz w:val="28"/>
          <w:szCs w:val="28"/>
        </w:rPr>
        <w:t xml:space="preserve">‘sufficient cause’ </w:t>
      </w:r>
      <w:r w:rsidR="000E5AB8" w:rsidRPr="00095BB2">
        <w:rPr>
          <w:rFonts w:ascii="Times New Roman" w:hAnsi="Times New Roman"/>
          <w:sz w:val="28"/>
          <w:szCs w:val="28"/>
        </w:rPr>
        <w:t xml:space="preserve">is associated with </w:t>
      </w:r>
      <w:r w:rsidR="00A40502" w:rsidRPr="00095BB2">
        <w:rPr>
          <w:rFonts w:ascii="Times New Roman" w:hAnsi="Times New Roman"/>
          <w:sz w:val="28"/>
          <w:szCs w:val="28"/>
        </w:rPr>
        <w:t>the common</w:t>
      </w:r>
      <w:r w:rsidR="008A19C8">
        <w:rPr>
          <w:rFonts w:ascii="Times New Roman" w:hAnsi="Times New Roman"/>
          <w:sz w:val="28"/>
          <w:szCs w:val="28"/>
        </w:rPr>
        <w:t> </w:t>
      </w:r>
      <w:r w:rsidR="00A40502" w:rsidRPr="00095BB2">
        <w:rPr>
          <w:rFonts w:ascii="Times New Roman" w:hAnsi="Times New Roman"/>
          <w:sz w:val="28"/>
          <w:szCs w:val="28"/>
        </w:rPr>
        <w:t>law</w:t>
      </w:r>
      <w:r w:rsidR="00E5055F" w:rsidRPr="00095BB2">
        <w:rPr>
          <w:rFonts w:ascii="Times New Roman" w:hAnsi="Times New Roman"/>
          <w:sz w:val="28"/>
          <w:szCs w:val="28"/>
        </w:rPr>
        <w:t>. The distinction is semantic</w:t>
      </w:r>
      <w:r w:rsidR="00207F06" w:rsidRPr="00095BB2">
        <w:rPr>
          <w:rFonts w:ascii="Times New Roman" w:hAnsi="Times New Roman"/>
          <w:sz w:val="28"/>
          <w:szCs w:val="28"/>
        </w:rPr>
        <w:t xml:space="preserve">; </w:t>
      </w:r>
      <w:r w:rsidR="00A40502" w:rsidRPr="00095BB2">
        <w:rPr>
          <w:rFonts w:ascii="Times New Roman" w:hAnsi="Times New Roman"/>
          <w:sz w:val="28"/>
          <w:szCs w:val="28"/>
        </w:rPr>
        <w:t>the terms mean the same thing</w:t>
      </w:r>
      <w:r w:rsidR="00A40502" w:rsidRPr="00095BB2">
        <w:rPr>
          <w:rStyle w:val="FootnoteReference"/>
          <w:rFonts w:ascii="Times New Roman" w:hAnsi="Times New Roman"/>
          <w:sz w:val="28"/>
          <w:szCs w:val="28"/>
        </w:rPr>
        <w:footnoteReference w:id="14"/>
      </w:r>
      <w:r w:rsidR="00A40502" w:rsidRPr="00095BB2">
        <w:rPr>
          <w:rFonts w:ascii="Times New Roman" w:hAnsi="Times New Roman"/>
          <w:sz w:val="28"/>
          <w:szCs w:val="28"/>
        </w:rPr>
        <w:t xml:space="preserve"> and t</w:t>
      </w:r>
      <w:r w:rsidR="007B1540" w:rsidRPr="00095BB2">
        <w:rPr>
          <w:rFonts w:ascii="Times New Roman" w:hAnsi="Times New Roman"/>
          <w:sz w:val="28"/>
          <w:szCs w:val="28"/>
        </w:rPr>
        <w:t>heir requirements are identical namely,</w:t>
      </w:r>
      <w:r w:rsidR="00A40502" w:rsidRPr="00095BB2">
        <w:rPr>
          <w:rFonts w:ascii="Times New Roman" w:hAnsi="Times New Roman"/>
          <w:sz w:val="28"/>
          <w:szCs w:val="28"/>
        </w:rPr>
        <w:t xml:space="preserve"> an applicant </w:t>
      </w:r>
      <w:r w:rsidR="00A25287" w:rsidRPr="00095BB2">
        <w:rPr>
          <w:rFonts w:ascii="Times New Roman" w:hAnsi="Times New Roman"/>
          <w:sz w:val="28"/>
          <w:szCs w:val="28"/>
        </w:rPr>
        <w:t xml:space="preserve">must </w:t>
      </w:r>
      <w:r w:rsidR="005D3999" w:rsidRPr="00095BB2">
        <w:rPr>
          <w:rFonts w:ascii="Times New Roman" w:hAnsi="Times New Roman"/>
          <w:sz w:val="28"/>
          <w:szCs w:val="28"/>
        </w:rPr>
        <w:t>satisfy the court</w:t>
      </w:r>
      <w:r w:rsidR="007B1540" w:rsidRPr="00095BB2">
        <w:rPr>
          <w:rFonts w:ascii="Times New Roman" w:hAnsi="Times New Roman"/>
          <w:sz w:val="28"/>
          <w:szCs w:val="28"/>
        </w:rPr>
        <w:t>:</w:t>
      </w:r>
      <w:r w:rsidR="005D3999" w:rsidRPr="00095BB2">
        <w:rPr>
          <w:rFonts w:ascii="Times New Roman" w:hAnsi="Times New Roman"/>
          <w:sz w:val="28"/>
          <w:szCs w:val="28"/>
        </w:rPr>
        <w:t xml:space="preserve"> (a</w:t>
      </w:r>
      <w:r w:rsidR="00A40502" w:rsidRPr="00095BB2">
        <w:rPr>
          <w:rFonts w:ascii="Times New Roman" w:hAnsi="Times New Roman"/>
          <w:sz w:val="28"/>
          <w:szCs w:val="28"/>
        </w:rPr>
        <w:t>)</w:t>
      </w:r>
      <w:r w:rsidR="004F2819">
        <w:rPr>
          <w:rFonts w:ascii="Times New Roman" w:hAnsi="Times New Roman"/>
          <w:sz w:val="28"/>
          <w:szCs w:val="28"/>
        </w:rPr>
        <w:t> </w:t>
      </w:r>
      <w:r w:rsidR="00A40502" w:rsidRPr="00095BB2">
        <w:rPr>
          <w:rFonts w:ascii="Times New Roman" w:hAnsi="Times New Roman"/>
          <w:sz w:val="28"/>
          <w:szCs w:val="28"/>
        </w:rPr>
        <w:t xml:space="preserve">that there is a reasonable explanation </w:t>
      </w:r>
      <w:r w:rsidR="005D3999" w:rsidRPr="00095BB2">
        <w:rPr>
          <w:rFonts w:ascii="Times New Roman" w:hAnsi="Times New Roman"/>
          <w:sz w:val="28"/>
          <w:szCs w:val="28"/>
        </w:rPr>
        <w:t xml:space="preserve">for its default; </w:t>
      </w:r>
      <w:r w:rsidR="00A25287" w:rsidRPr="00095BB2">
        <w:rPr>
          <w:rFonts w:ascii="Times New Roman" w:hAnsi="Times New Roman"/>
          <w:sz w:val="28"/>
          <w:szCs w:val="28"/>
        </w:rPr>
        <w:t xml:space="preserve">(b) that the application for rescission is </w:t>
      </w:r>
      <w:r w:rsidR="00A25287" w:rsidRPr="00095BB2">
        <w:rPr>
          <w:rFonts w:ascii="Times New Roman" w:hAnsi="Times New Roman"/>
          <w:i/>
          <w:sz w:val="28"/>
          <w:szCs w:val="28"/>
        </w:rPr>
        <w:t>bona fide</w:t>
      </w:r>
      <w:r w:rsidR="00A25287" w:rsidRPr="00095BB2">
        <w:rPr>
          <w:rFonts w:ascii="Times New Roman" w:hAnsi="Times New Roman"/>
          <w:sz w:val="28"/>
          <w:szCs w:val="28"/>
        </w:rPr>
        <w:t xml:space="preserve"> in the sense that it is not made with the intention of merely delaying the plaintiff’s claim</w:t>
      </w:r>
      <w:r w:rsidR="008C5960">
        <w:rPr>
          <w:rFonts w:ascii="Times New Roman" w:hAnsi="Times New Roman"/>
          <w:sz w:val="28"/>
          <w:szCs w:val="28"/>
        </w:rPr>
        <w:t>;</w:t>
      </w:r>
      <w:r w:rsidR="007B1540" w:rsidRPr="00095BB2">
        <w:rPr>
          <w:rStyle w:val="FootnoteReference"/>
          <w:rFonts w:ascii="Times New Roman" w:hAnsi="Times New Roman"/>
          <w:sz w:val="28"/>
          <w:szCs w:val="28"/>
        </w:rPr>
        <w:footnoteReference w:id="15"/>
      </w:r>
      <w:r w:rsidR="00A25287" w:rsidRPr="00095BB2">
        <w:rPr>
          <w:rFonts w:ascii="Times New Roman" w:hAnsi="Times New Roman"/>
          <w:sz w:val="28"/>
          <w:szCs w:val="28"/>
        </w:rPr>
        <w:t xml:space="preserve"> </w:t>
      </w:r>
      <w:r w:rsidR="005D3999" w:rsidRPr="00095BB2">
        <w:rPr>
          <w:rFonts w:ascii="Times New Roman" w:hAnsi="Times New Roman"/>
          <w:sz w:val="28"/>
          <w:szCs w:val="28"/>
        </w:rPr>
        <w:t>and (</w:t>
      </w:r>
      <w:r w:rsidR="00A25287" w:rsidRPr="00095BB2">
        <w:rPr>
          <w:rFonts w:ascii="Times New Roman" w:hAnsi="Times New Roman"/>
          <w:sz w:val="28"/>
          <w:szCs w:val="28"/>
        </w:rPr>
        <w:t>c</w:t>
      </w:r>
      <w:r w:rsidR="00A40502" w:rsidRPr="00095BB2">
        <w:rPr>
          <w:rFonts w:ascii="Times New Roman" w:hAnsi="Times New Roman"/>
          <w:sz w:val="28"/>
          <w:szCs w:val="28"/>
        </w:rPr>
        <w:t xml:space="preserve">) that it has a </w:t>
      </w:r>
      <w:r w:rsidR="00A40502" w:rsidRPr="00095BB2">
        <w:rPr>
          <w:rFonts w:ascii="Times New Roman" w:hAnsi="Times New Roman"/>
          <w:i/>
          <w:sz w:val="28"/>
          <w:szCs w:val="28"/>
        </w:rPr>
        <w:t>bona fide</w:t>
      </w:r>
      <w:r w:rsidR="00A40502" w:rsidRPr="00095BB2">
        <w:rPr>
          <w:rFonts w:ascii="Times New Roman" w:hAnsi="Times New Roman"/>
          <w:sz w:val="28"/>
          <w:szCs w:val="28"/>
        </w:rPr>
        <w:t xml:space="preserve"> defence which </w:t>
      </w:r>
      <w:r w:rsidR="00A40502" w:rsidRPr="00095BB2">
        <w:rPr>
          <w:rFonts w:ascii="Times New Roman" w:hAnsi="Times New Roman"/>
          <w:i/>
          <w:sz w:val="28"/>
          <w:szCs w:val="28"/>
        </w:rPr>
        <w:t>prima</w:t>
      </w:r>
      <w:r w:rsidR="008C5960">
        <w:rPr>
          <w:rFonts w:ascii="Times New Roman" w:hAnsi="Times New Roman"/>
          <w:i/>
          <w:sz w:val="28"/>
          <w:szCs w:val="28"/>
        </w:rPr>
        <w:t> </w:t>
      </w:r>
      <w:r w:rsidR="00A40502" w:rsidRPr="00095BB2">
        <w:rPr>
          <w:rFonts w:ascii="Times New Roman" w:hAnsi="Times New Roman"/>
          <w:i/>
          <w:sz w:val="28"/>
          <w:szCs w:val="28"/>
        </w:rPr>
        <w:t>facie</w:t>
      </w:r>
      <w:r w:rsidR="00A40502" w:rsidRPr="00095BB2">
        <w:rPr>
          <w:rFonts w:ascii="Times New Roman" w:hAnsi="Times New Roman"/>
          <w:sz w:val="28"/>
          <w:szCs w:val="28"/>
        </w:rPr>
        <w:t xml:space="preserve"> carries some prospect of success.</w:t>
      </w:r>
      <w:r w:rsidR="00A40502" w:rsidRPr="00095BB2">
        <w:rPr>
          <w:rStyle w:val="FootnoteReference"/>
          <w:rFonts w:ascii="Times New Roman" w:hAnsi="Times New Roman"/>
          <w:sz w:val="28"/>
          <w:szCs w:val="28"/>
        </w:rPr>
        <w:footnoteReference w:id="16"/>
      </w:r>
    </w:p>
    <w:p w:rsidR="00F43B3B" w:rsidRPr="00095BB2" w:rsidRDefault="00F43B3B" w:rsidP="00D75D96">
      <w:pPr>
        <w:pStyle w:val="LegalList1"/>
        <w:spacing w:after="0" w:line="360" w:lineRule="auto"/>
        <w:rPr>
          <w:rFonts w:ascii="Times New Roman" w:hAnsi="Times New Roman"/>
          <w:sz w:val="28"/>
          <w:szCs w:val="28"/>
        </w:rPr>
      </w:pPr>
    </w:p>
    <w:p w:rsidR="00A40502" w:rsidRPr="00095BB2" w:rsidRDefault="00AE4C99" w:rsidP="00AE4C99">
      <w:pPr>
        <w:pStyle w:val="LegalList1"/>
        <w:spacing w:after="0" w:line="360" w:lineRule="auto"/>
        <w:rPr>
          <w:rFonts w:ascii="Times New Roman" w:hAnsi="Times New Roman"/>
          <w:sz w:val="28"/>
          <w:szCs w:val="28"/>
        </w:rPr>
      </w:pPr>
      <w:r w:rsidRPr="00095BB2">
        <w:rPr>
          <w:rFonts w:ascii="Times New Roman" w:hAnsi="Times New Roman"/>
          <w:sz w:val="28"/>
          <w:szCs w:val="28"/>
        </w:rPr>
        <w:t>[24]</w:t>
      </w:r>
      <w:r w:rsidRPr="00095BB2">
        <w:rPr>
          <w:rFonts w:ascii="Times New Roman" w:hAnsi="Times New Roman"/>
          <w:sz w:val="28"/>
          <w:szCs w:val="28"/>
        </w:rPr>
        <w:tab/>
      </w:r>
      <w:r w:rsidR="004D1581" w:rsidRPr="00095BB2">
        <w:rPr>
          <w:rFonts w:ascii="Times New Roman" w:hAnsi="Times New Roman"/>
          <w:sz w:val="28"/>
          <w:szCs w:val="28"/>
        </w:rPr>
        <w:t>As to the meani</w:t>
      </w:r>
      <w:r w:rsidR="005D3999" w:rsidRPr="00095BB2">
        <w:rPr>
          <w:rFonts w:ascii="Times New Roman" w:hAnsi="Times New Roman"/>
          <w:sz w:val="28"/>
          <w:szCs w:val="28"/>
        </w:rPr>
        <w:t>ng of requirement (</w:t>
      </w:r>
      <w:r w:rsidR="007B1540" w:rsidRPr="00095BB2">
        <w:rPr>
          <w:rFonts w:ascii="Times New Roman" w:hAnsi="Times New Roman"/>
          <w:sz w:val="28"/>
          <w:szCs w:val="28"/>
        </w:rPr>
        <w:t>c</w:t>
      </w:r>
      <w:r w:rsidR="004D1581" w:rsidRPr="00095BB2">
        <w:rPr>
          <w:rFonts w:ascii="Times New Roman" w:hAnsi="Times New Roman"/>
          <w:sz w:val="28"/>
          <w:szCs w:val="28"/>
        </w:rPr>
        <w:t>) it is considered apposite to quote</w:t>
      </w:r>
      <w:r w:rsidR="000A48C4" w:rsidRPr="00095BB2">
        <w:rPr>
          <w:rFonts w:ascii="Times New Roman" w:hAnsi="Times New Roman"/>
          <w:sz w:val="28"/>
          <w:szCs w:val="28"/>
        </w:rPr>
        <w:t xml:space="preserve"> from </w:t>
      </w:r>
      <w:r w:rsidR="004D1581" w:rsidRPr="00095BB2">
        <w:rPr>
          <w:rFonts w:ascii="Times New Roman" w:hAnsi="Times New Roman"/>
          <w:i/>
          <w:sz w:val="28"/>
          <w:szCs w:val="28"/>
        </w:rPr>
        <w:t>Sanderson Technitool (Pty) Ltd v Intermenua (Pty) Ltd</w:t>
      </w:r>
      <w:r w:rsidR="004D1581" w:rsidRPr="00095BB2">
        <w:rPr>
          <w:rStyle w:val="FootnoteReference"/>
          <w:rFonts w:ascii="Times New Roman" w:hAnsi="Times New Roman"/>
          <w:sz w:val="28"/>
          <w:szCs w:val="28"/>
        </w:rPr>
        <w:footnoteReference w:id="17"/>
      </w:r>
      <w:r w:rsidR="000A48C4" w:rsidRPr="00095BB2">
        <w:rPr>
          <w:rFonts w:ascii="Times New Roman" w:hAnsi="Times New Roman"/>
          <w:sz w:val="28"/>
          <w:szCs w:val="28"/>
        </w:rPr>
        <w:t xml:space="preserve"> in which it is stated:</w:t>
      </w:r>
    </w:p>
    <w:p w:rsidR="006B6D5E" w:rsidRPr="00095BB2" w:rsidRDefault="006B6D5E">
      <w:pPr>
        <w:pStyle w:val="LegalList1"/>
        <w:spacing w:after="0" w:line="360" w:lineRule="auto"/>
        <w:rPr>
          <w:rFonts w:ascii="Times New Roman" w:hAnsi="Times New Roman"/>
        </w:rPr>
      </w:pPr>
      <w:r w:rsidRPr="00095BB2">
        <w:rPr>
          <w:rFonts w:ascii="Times New Roman" w:hAnsi="Times New Roman"/>
        </w:rPr>
        <w:t xml:space="preserve">‘It is sufficient if [the applicant] </w:t>
      </w:r>
      <w:r w:rsidR="00EC1E63">
        <w:rPr>
          <w:rFonts w:ascii="Times New Roman" w:hAnsi="Times New Roman"/>
        </w:rPr>
        <w:t>makes</w:t>
      </w:r>
      <w:r w:rsidRPr="00095BB2">
        <w:rPr>
          <w:rFonts w:ascii="Times New Roman" w:hAnsi="Times New Roman"/>
        </w:rPr>
        <w:t xml:space="preserve"> out a </w:t>
      </w:r>
      <w:r w:rsidRPr="00095BB2">
        <w:rPr>
          <w:rFonts w:ascii="Times New Roman" w:hAnsi="Times New Roman"/>
          <w:i/>
        </w:rPr>
        <w:t>prima facie</w:t>
      </w:r>
      <w:r w:rsidRPr="00095BB2">
        <w:rPr>
          <w:rFonts w:ascii="Times New Roman" w:hAnsi="Times New Roman"/>
        </w:rPr>
        <w:t xml:space="preserve"> defence in the sense of setting out averments which if established at trial, would entitle </w:t>
      </w:r>
      <w:r w:rsidR="003A2E0B" w:rsidRPr="00095BB2">
        <w:rPr>
          <w:rFonts w:ascii="Times New Roman" w:hAnsi="Times New Roman"/>
        </w:rPr>
        <w:t>him to the relief asked for. He need not deal fully with the merits of the case or produce evidence that the probabilities are actually in his favour.’</w:t>
      </w:r>
    </w:p>
    <w:p w:rsidR="00762F25" w:rsidRPr="00095BB2" w:rsidRDefault="00762F25">
      <w:pPr>
        <w:pStyle w:val="LegalList1"/>
        <w:spacing w:after="0" w:line="360" w:lineRule="auto"/>
        <w:rPr>
          <w:rFonts w:ascii="Times New Roman" w:hAnsi="Times New Roman"/>
        </w:rPr>
      </w:pPr>
    </w:p>
    <w:p w:rsidR="0020304B"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5D3999" w:rsidRPr="00095BB2">
        <w:rPr>
          <w:rFonts w:ascii="Times New Roman" w:hAnsi="Times New Roman"/>
          <w:sz w:val="28"/>
          <w:szCs w:val="28"/>
        </w:rPr>
        <w:t xml:space="preserve">The </w:t>
      </w:r>
      <w:r w:rsidR="0082023F" w:rsidRPr="00095BB2">
        <w:rPr>
          <w:rFonts w:ascii="Times New Roman" w:hAnsi="Times New Roman"/>
          <w:sz w:val="28"/>
          <w:szCs w:val="28"/>
        </w:rPr>
        <w:t xml:space="preserve">requirements in (b) and (c) are </w:t>
      </w:r>
      <w:r w:rsidR="00DF6A7F" w:rsidRPr="00095BB2">
        <w:rPr>
          <w:rFonts w:ascii="Times New Roman" w:hAnsi="Times New Roman"/>
          <w:sz w:val="28"/>
          <w:szCs w:val="28"/>
        </w:rPr>
        <w:t>inter</w:t>
      </w:r>
      <w:r w:rsidR="0082023F" w:rsidRPr="00095BB2">
        <w:rPr>
          <w:rFonts w:ascii="Times New Roman" w:hAnsi="Times New Roman"/>
          <w:sz w:val="28"/>
          <w:szCs w:val="28"/>
        </w:rPr>
        <w:t xml:space="preserve">connected in that proof of a </w:t>
      </w:r>
      <w:r w:rsidR="0082023F" w:rsidRPr="00095BB2">
        <w:rPr>
          <w:rFonts w:ascii="Times New Roman" w:hAnsi="Times New Roman"/>
          <w:i/>
          <w:sz w:val="28"/>
          <w:szCs w:val="28"/>
        </w:rPr>
        <w:t>bona</w:t>
      </w:r>
      <w:r w:rsidR="00A50D13">
        <w:rPr>
          <w:rFonts w:ascii="Times New Roman" w:hAnsi="Times New Roman"/>
          <w:i/>
          <w:sz w:val="28"/>
          <w:szCs w:val="28"/>
        </w:rPr>
        <w:t> </w:t>
      </w:r>
      <w:r w:rsidR="0082023F" w:rsidRPr="00095BB2">
        <w:rPr>
          <w:rFonts w:ascii="Times New Roman" w:hAnsi="Times New Roman"/>
          <w:i/>
          <w:sz w:val="28"/>
          <w:szCs w:val="28"/>
        </w:rPr>
        <w:t>fide</w:t>
      </w:r>
      <w:r w:rsidR="0082023F" w:rsidRPr="00095BB2">
        <w:rPr>
          <w:rFonts w:ascii="Times New Roman" w:hAnsi="Times New Roman"/>
          <w:sz w:val="28"/>
          <w:szCs w:val="28"/>
        </w:rPr>
        <w:t xml:space="preserve"> defence may indicate that the application is not made merely for delaying the plaintiff’s claim but that the applicant does have a valid defence in law. On the other hand, the absence of a </w:t>
      </w:r>
      <w:r w:rsidR="0082023F" w:rsidRPr="00095BB2">
        <w:rPr>
          <w:rFonts w:ascii="Times New Roman" w:hAnsi="Times New Roman"/>
          <w:i/>
          <w:sz w:val="28"/>
          <w:szCs w:val="28"/>
        </w:rPr>
        <w:t>bona fide</w:t>
      </w:r>
      <w:r w:rsidR="0082023F" w:rsidRPr="00095BB2">
        <w:rPr>
          <w:rFonts w:ascii="Times New Roman" w:hAnsi="Times New Roman"/>
          <w:sz w:val="28"/>
          <w:szCs w:val="28"/>
        </w:rPr>
        <w:t xml:space="preserve"> defence</w:t>
      </w:r>
      <w:r w:rsidR="003B12E9" w:rsidRPr="00095BB2">
        <w:rPr>
          <w:rFonts w:ascii="Times New Roman" w:hAnsi="Times New Roman"/>
          <w:sz w:val="28"/>
          <w:szCs w:val="28"/>
        </w:rPr>
        <w:t xml:space="preserve"> would generally lead to the conclusion that the applicant is engaged in delaying tactics where there is no valid defence to the plaintiff’s claim.</w:t>
      </w:r>
      <w:r w:rsidR="003B12E9" w:rsidRPr="00095BB2">
        <w:rPr>
          <w:rStyle w:val="FootnoteReference"/>
          <w:rFonts w:ascii="Times New Roman" w:hAnsi="Times New Roman"/>
          <w:sz w:val="28"/>
          <w:szCs w:val="28"/>
        </w:rPr>
        <w:footnoteReference w:id="18"/>
      </w:r>
    </w:p>
    <w:p w:rsidR="00AD06A5" w:rsidRPr="00095BB2" w:rsidRDefault="00AD06A5" w:rsidP="00D75D96">
      <w:pPr>
        <w:pStyle w:val="LegalList1"/>
        <w:spacing w:after="0" w:line="360" w:lineRule="auto"/>
        <w:rPr>
          <w:rFonts w:ascii="Times New Roman" w:hAnsi="Times New Roman"/>
          <w:sz w:val="28"/>
          <w:szCs w:val="28"/>
        </w:rPr>
      </w:pPr>
    </w:p>
    <w:p w:rsidR="00AD06A5"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0D3F9D" w:rsidRPr="00095BB2">
        <w:rPr>
          <w:rFonts w:ascii="Times New Roman" w:hAnsi="Times New Roman"/>
          <w:sz w:val="28"/>
          <w:szCs w:val="28"/>
        </w:rPr>
        <w:t xml:space="preserve">I turn to consider whether the applicant has established a </w:t>
      </w:r>
      <w:r w:rsidR="000D3F9D" w:rsidRPr="00095BB2">
        <w:rPr>
          <w:rFonts w:ascii="Times New Roman" w:hAnsi="Times New Roman"/>
          <w:i/>
          <w:sz w:val="28"/>
          <w:szCs w:val="28"/>
        </w:rPr>
        <w:t>bona fide</w:t>
      </w:r>
      <w:r w:rsidR="000D3F9D" w:rsidRPr="00095BB2">
        <w:rPr>
          <w:rFonts w:ascii="Times New Roman" w:hAnsi="Times New Roman"/>
          <w:sz w:val="28"/>
          <w:szCs w:val="28"/>
        </w:rPr>
        <w:t xml:space="preserve"> defence.</w:t>
      </w:r>
    </w:p>
    <w:p w:rsidR="00DC571C" w:rsidRPr="00095BB2" w:rsidRDefault="00DC571C" w:rsidP="00D75D96">
      <w:pPr>
        <w:pStyle w:val="LegalList1"/>
        <w:spacing w:after="0" w:line="360" w:lineRule="auto"/>
        <w:rPr>
          <w:rFonts w:ascii="Times New Roman" w:hAnsi="Times New Roman"/>
          <w:sz w:val="28"/>
          <w:szCs w:val="28"/>
        </w:rPr>
      </w:pPr>
    </w:p>
    <w:p w:rsidR="002409A9"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5E2EC6" w:rsidRPr="00095BB2">
        <w:rPr>
          <w:rFonts w:ascii="Times New Roman" w:hAnsi="Times New Roman"/>
          <w:sz w:val="28"/>
          <w:szCs w:val="28"/>
        </w:rPr>
        <w:t>The essence of the applicant’s alleged defence is that there was a verbal agreement between Mr Daniso</w:t>
      </w:r>
      <w:r w:rsidR="00862620" w:rsidRPr="00095BB2">
        <w:rPr>
          <w:rFonts w:ascii="Times New Roman" w:hAnsi="Times New Roman"/>
          <w:sz w:val="28"/>
          <w:szCs w:val="28"/>
        </w:rPr>
        <w:t xml:space="preserve"> and the respondent’s branch manager at Lusikisiki to settle the applicant’s arrears by the end of March 2021</w:t>
      </w:r>
      <w:r w:rsidR="00412AE4" w:rsidRPr="00095BB2">
        <w:rPr>
          <w:rFonts w:ascii="Times New Roman" w:hAnsi="Times New Roman"/>
          <w:sz w:val="28"/>
          <w:szCs w:val="28"/>
        </w:rPr>
        <w:t xml:space="preserve">, the arrears having been </w:t>
      </w:r>
      <w:r w:rsidR="005E2EC6" w:rsidRPr="00095BB2">
        <w:rPr>
          <w:rFonts w:ascii="Times New Roman" w:hAnsi="Times New Roman"/>
          <w:sz w:val="28"/>
          <w:szCs w:val="28"/>
        </w:rPr>
        <w:t xml:space="preserve">occasioned by the Covid-19 pandemic </w:t>
      </w:r>
      <w:r w:rsidR="00412AE4" w:rsidRPr="00095BB2">
        <w:rPr>
          <w:rFonts w:ascii="Times New Roman" w:hAnsi="Times New Roman"/>
          <w:sz w:val="28"/>
          <w:szCs w:val="28"/>
        </w:rPr>
        <w:t>in</w:t>
      </w:r>
      <w:r w:rsidR="005E2EC6" w:rsidRPr="00095BB2">
        <w:rPr>
          <w:rFonts w:ascii="Times New Roman" w:hAnsi="Times New Roman"/>
          <w:sz w:val="28"/>
          <w:szCs w:val="28"/>
        </w:rPr>
        <w:t xml:space="preserve"> 2020</w:t>
      </w:r>
      <w:r w:rsidR="00412AE4" w:rsidRPr="00095BB2">
        <w:rPr>
          <w:rFonts w:ascii="Times New Roman" w:hAnsi="Times New Roman"/>
          <w:sz w:val="28"/>
          <w:szCs w:val="28"/>
        </w:rPr>
        <w:t>.</w:t>
      </w:r>
    </w:p>
    <w:p w:rsidR="00AD06A5" w:rsidRPr="00095BB2" w:rsidRDefault="00AD06A5" w:rsidP="00D75D96">
      <w:pPr>
        <w:pStyle w:val="LegalList1"/>
        <w:spacing w:after="0" w:line="360" w:lineRule="auto"/>
        <w:rPr>
          <w:rFonts w:ascii="Times New Roman" w:hAnsi="Times New Roman"/>
          <w:sz w:val="28"/>
          <w:szCs w:val="28"/>
        </w:rPr>
      </w:pPr>
    </w:p>
    <w:p w:rsidR="0003335F"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CB7928" w:rsidRPr="00095BB2">
        <w:rPr>
          <w:rFonts w:ascii="Times New Roman" w:hAnsi="Times New Roman"/>
          <w:sz w:val="28"/>
          <w:szCs w:val="28"/>
        </w:rPr>
        <w:t>The averment by Mr Daniso that the applicant was given until the end of March 2</w:t>
      </w:r>
      <w:r w:rsidR="00B5418B" w:rsidRPr="00095BB2">
        <w:rPr>
          <w:rFonts w:ascii="Times New Roman" w:hAnsi="Times New Roman"/>
          <w:sz w:val="28"/>
          <w:szCs w:val="28"/>
        </w:rPr>
        <w:t>021 is denied by the respondent on the basis that</w:t>
      </w:r>
      <w:r w:rsidR="00AB1C02" w:rsidRPr="00095BB2">
        <w:rPr>
          <w:rFonts w:ascii="Times New Roman" w:hAnsi="Times New Roman"/>
          <w:sz w:val="28"/>
          <w:szCs w:val="28"/>
        </w:rPr>
        <w:t xml:space="preserve"> clause 24 of</w:t>
      </w:r>
      <w:r w:rsidR="00B5418B" w:rsidRPr="00095BB2">
        <w:rPr>
          <w:rFonts w:ascii="Times New Roman" w:hAnsi="Times New Roman"/>
          <w:sz w:val="28"/>
          <w:szCs w:val="28"/>
        </w:rPr>
        <w:t xml:space="preserve"> the lease agreement precludes any amendment or variation thereof unless reduced to writing.</w:t>
      </w:r>
      <w:r w:rsidR="00C436D3" w:rsidRPr="00095BB2">
        <w:rPr>
          <w:rFonts w:ascii="Times New Roman" w:hAnsi="Times New Roman"/>
          <w:sz w:val="28"/>
          <w:szCs w:val="28"/>
        </w:rPr>
        <w:t xml:space="preserve"> The applicant filed a</w:t>
      </w:r>
      <w:r w:rsidR="00CA738E" w:rsidRPr="00095BB2">
        <w:rPr>
          <w:rFonts w:ascii="Times New Roman" w:hAnsi="Times New Roman"/>
          <w:sz w:val="28"/>
          <w:szCs w:val="28"/>
        </w:rPr>
        <w:t xml:space="preserve"> </w:t>
      </w:r>
      <w:r w:rsidR="00C436D3" w:rsidRPr="00095BB2">
        <w:rPr>
          <w:rFonts w:ascii="Times New Roman" w:hAnsi="Times New Roman"/>
          <w:sz w:val="28"/>
          <w:szCs w:val="28"/>
        </w:rPr>
        <w:t>replying affida</w:t>
      </w:r>
      <w:r w:rsidR="00825F06" w:rsidRPr="00095BB2">
        <w:rPr>
          <w:rFonts w:ascii="Times New Roman" w:hAnsi="Times New Roman"/>
          <w:sz w:val="28"/>
          <w:szCs w:val="28"/>
        </w:rPr>
        <w:t>vit</w:t>
      </w:r>
      <w:r w:rsidR="0025509E" w:rsidRPr="00095BB2">
        <w:rPr>
          <w:rFonts w:ascii="Times New Roman" w:hAnsi="Times New Roman"/>
          <w:sz w:val="28"/>
          <w:szCs w:val="28"/>
        </w:rPr>
        <w:t xml:space="preserve"> which was struck out in terms of </w:t>
      </w:r>
      <w:r w:rsidR="0025509E" w:rsidRPr="00095BB2">
        <w:rPr>
          <w:rFonts w:ascii="Times New Roman" w:hAnsi="Times New Roman"/>
          <w:sz w:val="28"/>
          <w:szCs w:val="28"/>
        </w:rPr>
        <w:lastRenderedPageBreak/>
        <w:t>an order granted by Bloem J on 29 March 2022</w:t>
      </w:r>
      <w:r w:rsidR="008F3EBD" w:rsidRPr="00095BB2">
        <w:rPr>
          <w:rFonts w:ascii="Times New Roman" w:hAnsi="Times New Roman"/>
          <w:sz w:val="28"/>
          <w:szCs w:val="28"/>
        </w:rPr>
        <w:t>.</w:t>
      </w:r>
      <w:r w:rsidR="00CA738E" w:rsidRPr="00095BB2">
        <w:rPr>
          <w:rFonts w:ascii="Times New Roman" w:hAnsi="Times New Roman"/>
          <w:sz w:val="28"/>
          <w:szCs w:val="28"/>
        </w:rPr>
        <w:t xml:space="preserve"> </w:t>
      </w:r>
      <w:r w:rsidR="0003335F" w:rsidRPr="00095BB2">
        <w:rPr>
          <w:rFonts w:ascii="Times New Roman" w:hAnsi="Times New Roman"/>
          <w:sz w:val="28"/>
          <w:szCs w:val="28"/>
        </w:rPr>
        <w:t>T</w:t>
      </w:r>
      <w:r w:rsidR="00CA738E" w:rsidRPr="00095BB2">
        <w:rPr>
          <w:rFonts w:ascii="Times New Roman" w:hAnsi="Times New Roman"/>
          <w:sz w:val="28"/>
          <w:szCs w:val="28"/>
        </w:rPr>
        <w:t xml:space="preserve">echnically </w:t>
      </w:r>
      <w:r w:rsidR="008F3EBD" w:rsidRPr="00095BB2">
        <w:rPr>
          <w:rFonts w:ascii="Times New Roman" w:hAnsi="Times New Roman"/>
          <w:sz w:val="28"/>
          <w:szCs w:val="28"/>
        </w:rPr>
        <w:t>t</w:t>
      </w:r>
      <w:r w:rsidR="00CA738E" w:rsidRPr="00095BB2">
        <w:rPr>
          <w:rFonts w:ascii="Times New Roman" w:hAnsi="Times New Roman"/>
          <w:sz w:val="28"/>
          <w:szCs w:val="28"/>
        </w:rPr>
        <w:t>he</w:t>
      </w:r>
      <w:r w:rsidR="008F3EBD" w:rsidRPr="00095BB2">
        <w:rPr>
          <w:rFonts w:ascii="Times New Roman" w:hAnsi="Times New Roman"/>
          <w:sz w:val="28"/>
          <w:szCs w:val="28"/>
        </w:rPr>
        <w:t>re is</w:t>
      </w:r>
      <w:r w:rsidR="00CA738E" w:rsidRPr="00095BB2">
        <w:rPr>
          <w:rFonts w:ascii="Times New Roman" w:hAnsi="Times New Roman"/>
          <w:sz w:val="28"/>
          <w:szCs w:val="28"/>
        </w:rPr>
        <w:t xml:space="preserve"> no reply to the respondent’s denial</w:t>
      </w:r>
      <w:r w:rsidR="0003335F" w:rsidRPr="00095BB2">
        <w:rPr>
          <w:rFonts w:ascii="Times New Roman" w:hAnsi="Times New Roman"/>
          <w:sz w:val="28"/>
          <w:szCs w:val="28"/>
        </w:rPr>
        <w:t>.</w:t>
      </w:r>
    </w:p>
    <w:p w:rsidR="001F6CD3" w:rsidRPr="00095BB2" w:rsidRDefault="001F6CD3" w:rsidP="00D75D96">
      <w:pPr>
        <w:pStyle w:val="LegalList1"/>
        <w:spacing w:after="0" w:line="360" w:lineRule="auto"/>
        <w:rPr>
          <w:rFonts w:ascii="Times New Roman" w:hAnsi="Times New Roman"/>
          <w:sz w:val="28"/>
          <w:szCs w:val="28"/>
        </w:rPr>
      </w:pPr>
    </w:p>
    <w:p w:rsidR="005E2EC6"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720F1F" w:rsidRPr="00095BB2">
        <w:rPr>
          <w:rFonts w:ascii="Times New Roman" w:hAnsi="Times New Roman"/>
          <w:sz w:val="28"/>
          <w:szCs w:val="28"/>
        </w:rPr>
        <w:t>For that reason t</w:t>
      </w:r>
      <w:r w:rsidR="00C436D3" w:rsidRPr="00095BB2">
        <w:rPr>
          <w:rFonts w:ascii="Times New Roman" w:hAnsi="Times New Roman"/>
          <w:sz w:val="28"/>
          <w:szCs w:val="28"/>
        </w:rPr>
        <w:t>he respondent’s denial stands to be accepted as uncontested.</w:t>
      </w:r>
      <w:r w:rsidR="00C436D3" w:rsidRPr="00095BB2">
        <w:rPr>
          <w:rStyle w:val="FootnoteReference"/>
          <w:rFonts w:ascii="Times New Roman" w:hAnsi="Times New Roman"/>
          <w:sz w:val="28"/>
          <w:szCs w:val="28"/>
        </w:rPr>
        <w:footnoteReference w:id="19"/>
      </w:r>
    </w:p>
    <w:p w:rsidR="001F6CD3" w:rsidRPr="00095BB2" w:rsidRDefault="001F6CD3" w:rsidP="00D75D96">
      <w:pPr>
        <w:pStyle w:val="LegalList1"/>
        <w:spacing w:after="0" w:line="360" w:lineRule="auto"/>
        <w:rPr>
          <w:rFonts w:ascii="Times New Roman" w:hAnsi="Times New Roman"/>
          <w:sz w:val="28"/>
          <w:szCs w:val="28"/>
        </w:rPr>
      </w:pPr>
    </w:p>
    <w:p w:rsidR="00BA2942"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442A6C" w:rsidRPr="00095BB2">
        <w:rPr>
          <w:rFonts w:ascii="Times New Roman" w:hAnsi="Times New Roman"/>
          <w:sz w:val="28"/>
          <w:szCs w:val="28"/>
        </w:rPr>
        <w:t xml:space="preserve">It is </w:t>
      </w:r>
      <w:r w:rsidR="00AB1C02" w:rsidRPr="00095BB2">
        <w:rPr>
          <w:rFonts w:ascii="Times New Roman" w:hAnsi="Times New Roman"/>
          <w:sz w:val="28"/>
          <w:szCs w:val="28"/>
        </w:rPr>
        <w:t xml:space="preserve">obvious </w:t>
      </w:r>
      <w:r w:rsidR="00B83E4C" w:rsidRPr="00095BB2">
        <w:rPr>
          <w:rFonts w:ascii="Times New Roman" w:hAnsi="Times New Roman"/>
          <w:sz w:val="28"/>
          <w:szCs w:val="28"/>
        </w:rPr>
        <w:t>from</w:t>
      </w:r>
      <w:r w:rsidR="00AB1C02" w:rsidRPr="00095BB2">
        <w:rPr>
          <w:rFonts w:ascii="Times New Roman" w:hAnsi="Times New Roman"/>
          <w:sz w:val="28"/>
          <w:szCs w:val="28"/>
        </w:rPr>
        <w:t xml:space="preserve"> </w:t>
      </w:r>
      <w:r w:rsidR="00B83E4C" w:rsidRPr="00095BB2">
        <w:rPr>
          <w:rFonts w:ascii="Times New Roman" w:hAnsi="Times New Roman"/>
          <w:sz w:val="28"/>
          <w:szCs w:val="28"/>
        </w:rPr>
        <w:t>the lease agreement that</w:t>
      </w:r>
      <w:r w:rsidR="006525D2" w:rsidRPr="00095BB2">
        <w:rPr>
          <w:rFonts w:ascii="Times New Roman" w:hAnsi="Times New Roman"/>
          <w:sz w:val="28"/>
          <w:szCs w:val="28"/>
        </w:rPr>
        <w:t xml:space="preserve"> </w:t>
      </w:r>
      <w:r w:rsidR="00362DFA" w:rsidRPr="00095BB2">
        <w:rPr>
          <w:rFonts w:ascii="Times New Roman" w:hAnsi="Times New Roman"/>
          <w:sz w:val="28"/>
          <w:szCs w:val="28"/>
        </w:rPr>
        <w:t>it</w:t>
      </w:r>
      <w:r w:rsidR="00720F1F" w:rsidRPr="00095BB2">
        <w:rPr>
          <w:rFonts w:ascii="Times New Roman" w:hAnsi="Times New Roman"/>
          <w:sz w:val="28"/>
          <w:szCs w:val="28"/>
        </w:rPr>
        <w:t>s</w:t>
      </w:r>
      <w:r w:rsidR="00362DFA" w:rsidRPr="00095BB2">
        <w:rPr>
          <w:rFonts w:ascii="Times New Roman" w:hAnsi="Times New Roman"/>
          <w:sz w:val="28"/>
          <w:szCs w:val="28"/>
        </w:rPr>
        <w:t xml:space="preserve"> terms are binding.</w:t>
      </w:r>
      <w:r w:rsidR="006525D2" w:rsidRPr="00095BB2">
        <w:rPr>
          <w:rFonts w:ascii="Times New Roman" w:hAnsi="Times New Roman"/>
          <w:sz w:val="28"/>
          <w:szCs w:val="28"/>
        </w:rPr>
        <w:t xml:space="preserve"> </w:t>
      </w:r>
      <w:r w:rsidR="00502CEC" w:rsidRPr="00095BB2">
        <w:rPr>
          <w:rFonts w:ascii="Times New Roman" w:hAnsi="Times New Roman"/>
          <w:sz w:val="28"/>
          <w:szCs w:val="28"/>
        </w:rPr>
        <w:t>As at 9</w:t>
      </w:r>
      <w:r w:rsidR="00720F1F" w:rsidRPr="00095BB2">
        <w:rPr>
          <w:rFonts w:ascii="Times New Roman" w:hAnsi="Times New Roman"/>
          <w:sz w:val="28"/>
          <w:szCs w:val="28"/>
        </w:rPr>
        <w:t> </w:t>
      </w:r>
      <w:r w:rsidR="00502CEC" w:rsidRPr="00095BB2">
        <w:rPr>
          <w:rFonts w:ascii="Times New Roman" w:hAnsi="Times New Roman"/>
          <w:sz w:val="28"/>
          <w:szCs w:val="28"/>
        </w:rPr>
        <w:t xml:space="preserve">March 2021 when the </w:t>
      </w:r>
      <w:r w:rsidR="001E1148" w:rsidRPr="00095BB2">
        <w:rPr>
          <w:rFonts w:ascii="Times New Roman" w:hAnsi="Times New Roman"/>
          <w:sz w:val="28"/>
          <w:szCs w:val="28"/>
        </w:rPr>
        <w:t>court order was g</w:t>
      </w:r>
      <w:r w:rsidR="00502CEC" w:rsidRPr="00095BB2">
        <w:rPr>
          <w:rFonts w:ascii="Times New Roman" w:hAnsi="Times New Roman"/>
          <w:sz w:val="28"/>
          <w:szCs w:val="28"/>
        </w:rPr>
        <w:t>ranted against the applicant</w:t>
      </w:r>
      <w:r w:rsidR="001E1148" w:rsidRPr="00095BB2">
        <w:rPr>
          <w:rFonts w:ascii="Times New Roman" w:hAnsi="Times New Roman"/>
          <w:sz w:val="28"/>
          <w:szCs w:val="28"/>
        </w:rPr>
        <w:t xml:space="preserve"> its </w:t>
      </w:r>
      <w:r w:rsidR="003A551F" w:rsidRPr="00095BB2">
        <w:rPr>
          <w:rFonts w:ascii="Times New Roman" w:hAnsi="Times New Roman"/>
          <w:sz w:val="28"/>
          <w:szCs w:val="28"/>
        </w:rPr>
        <w:t>account was in arrears</w:t>
      </w:r>
      <w:r w:rsidR="00CA0CBA" w:rsidRPr="00095BB2">
        <w:rPr>
          <w:rFonts w:ascii="Times New Roman" w:hAnsi="Times New Roman"/>
          <w:sz w:val="28"/>
          <w:szCs w:val="28"/>
        </w:rPr>
        <w:t xml:space="preserve">. </w:t>
      </w:r>
      <w:r w:rsidR="00442A6C" w:rsidRPr="00095BB2">
        <w:rPr>
          <w:rFonts w:ascii="Times New Roman" w:hAnsi="Times New Roman"/>
          <w:sz w:val="28"/>
          <w:szCs w:val="28"/>
        </w:rPr>
        <w:t>P</w:t>
      </w:r>
      <w:r w:rsidR="00A74AC6" w:rsidRPr="00095BB2">
        <w:rPr>
          <w:rFonts w:ascii="Times New Roman" w:hAnsi="Times New Roman"/>
          <w:sz w:val="28"/>
          <w:szCs w:val="28"/>
        </w:rPr>
        <w:t>ayment bringing the arrears up to date was made on 15</w:t>
      </w:r>
      <w:r w:rsidR="001C467E">
        <w:rPr>
          <w:rFonts w:ascii="Times New Roman" w:hAnsi="Times New Roman"/>
          <w:sz w:val="28"/>
          <w:szCs w:val="28"/>
        </w:rPr>
        <w:t> </w:t>
      </w:r>
      <w:r w:rsidR="00A74AC6" w:rsidRPr="00095BB2">
        <w:rPr>
          <w:rFonts w:ascii="Times New Roman" w:hAnsi="Times New Roman"/>
          <w:sz w:val="28"/>
          <w:szCs w:val="28"/>
        </w:rPr>
        <w:t>March</w:t>
      </w:r>
      <w:r w:rsidR="001C467E">
        <w:rPr>
          <w:rFonts w:ascii="Times New Roman" w:hAnsi="Times New Roman"/>
          <w:sz w:val="28"/>
          <w:szCs w:val="28"/>
        </w:rPr>
        <w:t> </w:t>
      </w:r>
      <w:r w:rsidR="00A74AC6" w:rsidRPr="00095BB2">
        <w:rPr>
          <w:rFonts w:ascii="Times New Roman" w:hAnsi="Times New Roman"/>
          <w:sz w:val="28"/>
          <w:szCs w:val="28"/>
        </w:rPr>
        <w:t xml:space="preserve">2021. This occurred a few days after </w:t>
      </w:r>
      <w:r w:rsidR="002A2F87" w:rsidRPr="00095BB2">
        <w:rPr>
          <w:rFonts w:ascii="Times New Roman" w:hAnsi="Times New Roman"/>
          <w:sz w:val="28"/>
          <w:szCs w:val="28"/>
        </w:rPr>
        <w:t xml:space="preserve">the </w:t>
      </w:r>
      <w:r w:rsidR="00CB7928" w:rsidRPr="00095BB2">
        <w:rPr>
          <w:rFonts w:ascii="Times New Roman" w:hAnsi="Times New Roman"/>
          <w:sz w:val="28"/>
          <w:szCs w:val="28"/>
        </w:rPr>
        <w:t xml:space="preserve">lease </w:t>
      </w:r>
      <w:r w:rsidR="002A2F87" w:rsidRPr="00095BB2">
        <w:rPr>
          <w:rFonts w:ascii="Times New Roman" w:hAnsi="Times New Roman"/>
          <w:sz w:val="28"/>
          <w:szCs w:val="28"/>
        </w:rPr>
        <w:t>agreement was cancelled and judgment by default was obtained.</w:t>
      </w:r>
    </w:p>
    <w:p w:rsidR="007449D1" w:rsidRPr="00095BB2" w:rsidRDefault="007449D1" w:rsidP="00D75D96">
      <w:pPr>
        <w:pStyle w:val="LegalList1"/>
        <w:spacing w:after="0" w:line="360" w:lineRule="auto"/>
        <w:rPr>
          <w:rFonts w:ascii="Times New Roman" w:hAnsi="Times New Roman"/>
          <w:sz w:val="28"/>
          <w:szCs w:val="28"/>
        </w:rPr>
      </w:pPr>
    </w:p>
    <w:p w:rsidR="00836DDB"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806A1B" w:rsidRPr="00095BB2">
        <w:rPr>
          <w:rFonts w:ascii="Times New Roman" w:hAnsi="Times New Roman"/>
          <w:sz w:val="28"/>
          <w:szCs w:val="28"/>
        </w:rPr>
        <w:t>A</w:t>
      </w:r>
      <w:r w:rsidR="00A74AC6" w:rsidRPr="00095BB2">
        <w:rPr>
          <w:rFonts w:ascii="Times New Roman" w:hAnsi="Times New Roman"/>
          <w:sz w:val="28"/>
          <w:szCs w:val="28"/>
        </w:rPr>
        <w:t xml:space="preserve">t the time the order was granted there existed a </w:t>
      </w:r>
      <w:r w:rsidR="00A74AC6" w:rsidRPr="00095BB2">
        <w:rPr>
          <w:rFonts w:ascii="Times New Roman" w:hAnsi="Times New Roman"/>
          <w:i/>
          <w:sz w:val="28"/>
          <w:szCs w:val="28"/>
        </w:rPr>
        <w:t>lis</w:t>
      </w:r>
      <w:r w:rsidR="00806A1B" w:rsidRPr="00095BB2">
        <w:rPr>
          <w:rFonts w:ascii="Times New Roman" w:hAnsi="Times New Roman"/>
          <w:sz w:val="28"/>
          <w:szCs w:val="28"/>
        </w:rPr>
        <w:t xml:space="preserve"> between the parties</w:t>
      </w:r>
      <w:r w:rsidR="00502CEC" w:rsidRPr="00095BB2">
        <w:rPr>
          <w:rFonts w:ascii="Times New Roman" w:hAnsi="Times New Roman"/>
          <w:sz w:val="28"/>
          <w:szCs w:val="28"/>
        </w:rPr>
        <w:t xml:space="preserve">. The applicant mistakenly presumes that </w:t>
      </w:r>
      <w:r w:rsidR="00C53103" w:rsidRPr="00095BB2">
        <w:rPr>
          <w:rFonts w:ascii="Times New Roman" w:hAnsi="Times New Roman"/>
          <w:sz w:val="28"/>
          <w:szCs w:val="28"/>
        </w:rPr>
        <w:t xml:space="preserve">the </w:t>
      </w:r>
      <w:r w:rsidR="00866E85" w:rsidRPr="00095BB2">
        <w:rPr>
          <w:rFonts w:ascii="Times New Roman" w:hAnsi="Times New Roman"/>
          <w:sz w:val="28"/>
          <w:szCs w:val="28"/>
        </w:rPr>
        <w:t xml:space="preserve">agreement between Mr Daniso and the respondent’s branch manager </w:t>
      </w:r>
      <w:r w:rsidR="00806A1B" w:rsidRPr="00095BB2">
        <w:rPr>
          <w:rFonts w:ascii="Times New Roman" w:hAnsi="Times New Roman"/>
          <w:sz w:val="28"/>
          <w:szCs w:val="28"/>
        </w:rPr>
        <w:t xml:space="preserve">discharged </w:t>
      </w:r>
      <w:r w:rsidR="00CA0CBA" w:rsidRPr="00095BB2">
        <w:rPr>
          <w:rFonts w:ascii="Times New Roman" w:hAnsi="Times New Roman"/>
          <w:sz w:val="28"/>
          <w:szCs w:val="28"/>
        </w:rPr>
        <w:t xml:space="preserve">that </w:t>
      </w:r>
      <w:r w:rsidR="00CA0CBA" w:rsidRPr="00095BB2">
        <w:rPr>
          <w:rFonts w:ascii="Times New Roman" w:hAnsi="Times New Roman"/>
          <w:i/>
          <w:sz w:val="28"/>
          <w:szCs w:val="28"/>
        </w:rPr>
        <w:t>lis</w:t>
      </w:r>
      <w:r w:rsidR="00CA0CBA" w:rsidRPr="00095BB2">
        <w:rPr>
          <w:rFonts w:ascii="Times New Roman" w:hAnsi="Times New Roman"/>
          <w:sz w:val="28"/>
          <w:szCs w:val="28"/>
        </w:rPr>
        <w:t>.</w:t>
      </w:r>
      <w:r w:rsidR="00C53103" w:rsidRPr="00095BB2">
        <w:rPr>
          <w:rFonts w:ascii="Times New Roman" w:hAnsi="Times New Roman"/>
          <w:sz w:val="28"/>
          <w:szCs w:val="28"/>
        </w:rPr>
        <w:t xml:space="preserve"> </w:t>
      </w:r>
      <w:r w:rsidR="000651A9" w:rsidRPr="00095BB2">
        <w:rPr>
          <w:rFonts w:ascii="Times New Roman" w:hAnsi="Times New Roman"/>
          <w:sz w:val="28"/>
          <w:szCs w:val="28"/>
        </w:rPr>
        <w:t>In the absence of clear proof</w:t>
      </w:r>
      <w:r w:rsidR="00C53103" w:rsidRPr="00095BB2">
        <w:rPr>
          <w:rFonts w:ascii="Times New Roman" w:hAnsi="Times New Roman"/>
          <w:sz w:val="28"/>
          <w:szCs w:val="28"/>
        </w:rPr>
        <w:t xml:space="preserve"> of the reduction to writing of the alleged payment arrangement</w:t>
      </w:r>
      <w:r w:rsidR="007F7778" w:rsidRPr="00095BB2">
        <w:rPr>
          <w:rFonts w:ascii="Times New Roman" w:hAnsi="Times New Roman"/>
          <w:sz w:val="28"/>
          <w:szCs w:val="28"/>
        </w:rPr>
        <w:t xml:space="preserve">, the arrangement is </w:t>
      </w:r>
      <w:r w:rsidR="00C53103" w:rsidRPr="00095BB2">
        <w:rPr>
          <w:rFonts w:ascii="Times New Roman" w:hAnsi="Times New Roman"/>
          <w:sz w:val="28"/>
          <w:szCs w:val="28"/>
        </w:rPr>
        <w:t>ineffective</w:t>
      </w:r>
      <w:r w:rsidR="00B244D2" w:rsidRPr="00095BB2">
        <w:rPr>
          <w:rFonts w:ascii="Times New Roman" w:hAnsi="Times New Roman"/>
          <w:sz w:val="28"/>
          <w:szCs w:val="28"/>
        </w:rPr>
        <w:t xml:space="preserve"> and lends no credence to what is stated in the founding affidavit.</w:t>
      </w:r>
    </w:p>
    <w:p w:rsidR="007449D1" w:rsidRPr="00095BB2" w:rsidRDefault="007449D1" w:rsidP="00D75D96">
      <w:pPr>
        <w:pStyle w:val="LegalList1"/>
        <w:spacing w:after="0" w:line="360" w:lineRule="auto"/>
        <w:rPr>
          <w:rFonts w:ascii="Times New Roman" w:hAnsi="Times New Roman"/>
          <w:sz w:val="28"/>
          <w:szCs w:val="28"/>
        </w:rPr>
      </w:pPr>
    </w:p>
    <w:p w:rsidR="00AF2492"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AF2492" w:rsidRPr="00095BB2">
        <w:rPr>
          <w:rFonts w:ascii="Times New Roman" w:hAnsi="Times New Roman"/>
          <w:sz w:val="28"/>
          <w:szCs w:val="28"/>
        </w:rPr>
        <w:t xml:space="preserve">In the applicant’s heads of argument an attempt is made to </w:t>
      </w:r>
      <w:r w:rsidR="00971F70" w:rsidRPr="00095BB2">
        <w:rPr>
          <w:rFonts w:ascii="Times New Roman" w:hAnsi="Times New Roman"/>
          <w:sz w:val="28"/>
          <w:szCs w:val="28"/>
        </w:rPr>
        <w:t xml:space="preserve">raise as a defence </w:t>
      </w:r>
      <w:r w:rsidR="0018677A" w:rsidRPr="00095BB2">
        <w:rPr>
          <w:rFonts w:ascii="Times New Roman" w:hAnsi="Times New Roman"/>
          <w:sz w:val="28"/>
          <w:szCs w:val="28"/>
        </w:rPr>
        <w:t xml:space="preserve">the provisions of </w:t>
      </w:r>
      <w:r w:rsidR="00971F70" w:rsidRPr="00095BB2">
        <w:rPr>
          <w:rFonts w:ascii="Times New Roman" w:hAnsi="Times New Roman"/>
          <w:sz w:val="28"/>
          <w:szCs w:val="28"/>
        </w:rPr>
        <w:t>section 129(3) of the National Credit Act 34 of 2005</w:t>
      </w:r>
      <w:r w:rsidR="0018677A" w:rsidRPr="00095BB2">
        <w:rPr>
          <w:rFonts w:ascii="Times New Roman" w:hAnsi="Times New Roman"/>
          <w:sz w:val="28"/>
          <w:szCs w:val="28"/>
        </w:rPr>
        <w:t>. The section</w:t>
      </w:r>
      <w:r w:rsidR="00971F70" w:rsidRPr="00095BB2">
        <w:rPr>
          <w:rFonts w:ascii="Times New Roman" w:hAnsi="Times New Roman"/>
          <w:sz w:val="28"/>
          <w:szCs w:val="28"/>
        </w:rPr>
        <w:t xml:space="preserve"> permits</w:t>
      </w:r>
      <w:r w:rsidR="0018677A" w:rsidRPr="00095BB2">
        <w:rPr>
          <w:rFonts w:ascii="Times New Roman" w:hAnsi="Times New Roman"/>
          <w:sz w:val="28"/>
          <w:szCs w:val="28"/>
        </w:rPr>
        <w:t xml:space="preserve"> a consumer </w:t>
      </w:r>
      <w:r w:rsidR="00D02BC5" w:rsidRPr="00095BB2">
        <w:rPr>
          <w:rFonts w:ascii="Times New Roman" w:hAnsi="Times New Roman"/>
          <w:sz w:val="28"/>
          <w:szCs w:val="28"/>
        </w:rPr>
        <w:t xml:space="preserve">who is in default, </w:t>
      </w:r>
      <w:r w:rsidR="0018677A" w:rsidRPr="00095BB2">
        <w:rPr>
          <w:rFonts w:ascii="Times New Roman" w:hAnsi="Times New Roman"/>
          <w:sz w:val="28"/>
          <w:szCs w:val="28"/>
        </w:rPr>
        <w:t>at any time before a credit provider has cancelled a</w:t>
      </w:r>
      <w:r w:rsidR="00D02BC5" w:rsidRPr="00095BB2">
        <w:rPr>
          <w:rFonts w:ascii="Times New Roman" w:hAnsi="Times New Roman"/>
          <w:sz w:val="28"/>
          <w:szCs w:val="28"/>
        </w:rPr>
        <w:t xml:space="preserve"> credit</w:t>
      </w:r>
      <w:r w:rsidR="0018677A" w:rsidRPr="00095BB2">
        <w:rPr>
          <w:rFonts w:ascii="Times New Roman" w:hAnsi="Times New Roman"/>
          <w:sz w:val="28"/>
          <w:szCs w:val="28"/>
        </w:rPr>
        <w:t xml:space="preserve"> agreement</w:t>
      </w:r>
      <w:r w:rsidR="00D02BC5" w:rsidRPr="00095BB2">
        <w:rPr>
          <w:rFonts w:ascii="Times New Roman" w:hAnsi="Times New Roman"/>
          <w:sz w:val="28"/>
          <w:szCs w:val="28"/>
        </w:rPr>
        <w:t>,</w:t>
      </w:r>
      <w:r w:rsidR="0018677A" w:rsidRPr="00095BB2">
        <w:rPr>
          <w:rFonts w:ascii="Times New Roman" w:hAnsi="Times New Roman"/>
          <w:sz w:val="28"/>
          <w:szCs w:val="28"/>
        </w:rPr>
        <w:t xml:space="preserve"> to re-instate</w:t>
      </w:r>
      <w:r w:rsidR="00D02BC5" w:rsidRPr="00095BB2">
        <w:rPr>
          <w:rFonts w:ascii="Times New Roman" w:hAnsi="Times New Roman"/>
          <w:sz w:val="28"/>
          <w:szCs w:val="28"/>
        </w:rPr>
        <w:t xml:space="preserve"> the agreement by paying all overdue amounts and default charges up to the time of re-instatement.</w:t>
      </w:r>
      <w:r w:rsidR="00F427DA" w:rsidRPr="00095BB2">
        <w:rPr>
          <w:rFonts w:ascii="Times New Roman" w:hAnsi="Times New Roman"/>
          <w:sz w:val="28"/>
          <w:szCs w:val="28"/>
        </w:rPr>
        <w:t xml:space="preserve"> </w:t>
      </w:r>
      <w:r w:rsidR="00841A5B" w:rsidRPr="00095BB2">
        <w:rPr>
          <w:rFonts w:ascii="Times New Roman" w:hAnsi="Times New Roman"/>
          <w:sz w:val="28"/>
          <w:szCs w:val="28"/>
        </w:rPr>
        <w:t xml:space="preserve">The Act does not apply to a juristic person. </w:t>
      </w:r>
      <w:r w:rsidR="00D96AD4" w:rsidRPr="00095BB2">
        <w:rPr>
          <w:rFonts w:ascii="Times New Roman" w:hAnsi="Times New Roman"/>
          <w:sz w:val="28"/>
          <w:szCs w:val="28"/>
        </w:rPr>
        <w:t>To this end the provisions of section 4(1)</w:t>
      </w:r>
      <w:r w:rsidR="00D96AD4" w:rsidRPr="00D75D96">
        <w:rPr>
          <w:rFonts w:ascii="Times New Roman" w:hAnsi="Times New Roman"/>
          <w:i/>
          <w:sz w:val="28"/>
          <w:szCs w:val="28"/>
        </w:rPr>
        <w:t>(a)</w:t>
      </w:r>
      <w:r w:rsidR="00D96AD4" w:rsidRPr="00095BB2">
        <w:rPr>
          <w:rFonts w:ascii="Times New Roman" w:hAnsi="Times New Roman"/>
          <w:sz w:val="28"/>
          <w:szCs w:val="28"/>
        </w:rPr>
        <w:t xml:space="preserve"> read with section 4(1)</w:t>
      </w:r>
      <w:r w:rsidR="00D96AD4" w:rsidRPr="00D75D96">
        <w:rPr>
          <w:rFonts w:ascii="Times New Roman" w:hAnsi="Times New Roman"/>
          <w:i/>
          <w:sz w:val="28"/>
          <w:szCs w:val="28"/>
        </w:rPr>
        <w:t>(b)</w:t>
      </w:r>
      <w:r w:rsidR="00D96AD4" w:rsidRPr="00095BB2">
        <w:rPr>
          <w:rFonts w:ascii="Times New Roman" w:hAnsi="Times New Roman"/>
          <w:sz w:val="28"/>
          <w:szCs w:val="28"/>
        </w:rPr>
        <w:t xml:space="preserve"> of the Act have been pleaded in the summons. It is also noted that t</w:t>
      </w:r>
      <w:r w:rsidR="00F427DA" w:rsidRPr="00095BB2">
        <w:rPr>
          <w:rFonts w:ascii="Times New Roman" w:hAnsi="Times New Roman"/>
          <w:sz w:val="28"/>
          <w:szCs w:val="28"/>
        </w:rPr>
        <w:t xml:space="preserve">he applicant’s founding affidavit says nothing about seeking reliance on the section and indeed no case is made out for relying thereon as a defence. </w:t>
      </w:r>
      <w:r w:rsidR="00F427DA" w:rsidRPr="00095BB2">
        <w:rPr>
          <w:rFonts w:ascii="Times New Roman" w:hAnsi="Times New Roman"/>
          <w:sz w:val="28"/>
          <w:szCs w:val="28"/>
        </w:rPr>
        <w:lastRenderedPageBreak/>
        <w:t xml:space="preserve">Heads of argument do not constitute evidence given under oath. They are merely persuasive comment by the parties or their legal representatives with regard to questions of fact or law and offer no substitute for </w:t>
      </w:r>
      <w:r w:rsidR="00C35208" w:rsidRPr="00095BB2">
        <w:rPr>
          <w:rFonts w:ascii="Times New Roman" w:hAnsi="Times New Roman"/>
          <w:sz w:val="28"/>
          <w:szCs w:val="28"/>
        </w:rPr>
        <w:t>sworn evidence.</w:t>
      </w:r>
    </w:p>
    <w:p w:rsidR="007449D1" w:rsidRPr="00095BB2" w:rsidRDefault="007449D1" w:rsidP="00D75D96">
      <w:pPr>
        <w:pStyle w:val="LegalList1"/>
        <w:spacing w:after="0" w:line="360" w:lineRule="auto"/>
        <w:rPr>
          <w:rFonts w:ascii="Times New Roman" w:hAnsi="Times New Roman"/>
          <w:sz w:val="28"/>
          <w:szCs w:val="28"/>
        </w:rPr>
      </w:pPr>
    </w:p>
    <w:p w:rsidR="00836DDB"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BA2942" w:rsidRPr="00095BB2">
        <w:rPr>
          <w:rFonts w:ascii="Times New Roman" w:hAnsi="Times New Roman"/>
          <w:sz w:val="28"/>
          <w:szCs w:val="28"/>
        </w:rPr>
        <w:t xml:space="preserve">I am of the opinion that the circumstances are such that this Court </w:t>
      </w:r>
      <w:r w:rsidR="003B0670" w:rsidRPr="00095BB2">
        <w:rPr>
          <w:rFonts w:ascii="Times New Roman" w:hAnsi="Times New Roman"/>
          <w:sz w:val="28"/>
          <w:szCs w:val="28"/>
        </w:rPr>
        <w:t xml:space="preserve">is unable to come </w:t>
      </w:r>
      <w:r w:rsidR="00B2355D">
        <w:rPr>
          <w:rFonts w:ascii="Times New Roman" w:hAnsi="Times New Roman"/>
          <w:sz w:val="28"/>
          <w:szCs w:val="28"/>
        </w:rPr>
        <w:t xml:space="preserve">to </w:t>
      </w:r>
      <w:r w:rsidR="00446DA6" w:rsidRPr="00095BB2">
        <w:rPr>
          <w:rFonts w:ascii="Times New Roman" w:hAnsi="Times New Roman"/>
          <w:sz w:val="28"/>
          <w:szCs w:val="28"/>
        </w:rPr>
        <w:t>the assistance of the applicant neither under</w:t>
      </w:r>
      <w:r w:rsidR="007449D1">
        <w:rPr>
          <w:rFonts w:ascii="Times New Roman" w:hAnsi="Times New Roman"/>
          <w:sz w:val="28"/>
          <w:szCs w:val="28"/>
        </w:rPr>
        <w:t xml:space="preserve"> Uniform </w:t>
      </w:r>
      <w:r w:rsidR="00446DA6" w:rsidRPr="00095BB2">
        <w:rPr>
          <w:rFonts w:ascii="Times New Roman" w:hAnsi="Times New Roman"/>
          <w:sz w:val="28"/>
          <w:szCs w:val="28"/>
        </w:rPr>
        <w:t>rule 31(2)</w:t>
      </w:r>
      <w:r w:rsidR="00446DA6" w:rsidRPr="00D75D96">
        <w:rPr>
          <w:rFonts w:ascii="Times New Roman" w:hAnsi="Times New Roman"/>
          <w:i/>
          <w:sz w:val="28"/>
          <w:szCs w:val="28"/>
        </w:rPr>
        <w:t>(b)</w:t>
      </w:r>
      <w:r w:rsidR="00446DA6" w:rsidRPr="00095BB2">
        <w:rPr>
          <w:rFonts w:ascii="Times New Roman" w:hAnsi="Times New Roman"/>
          <w:sz w:val="28"/>
          <w:szCs w:val="28"/>
        </w:rPr>
        <w:t xml:space="preserve"> nor the common law.</w:t>
      </w:r>
      <w:r w:rsidR="0026738E" w:rsidRPr="00095BB2">
        <w:rPr>
          <w:rFonts w:ascii="Times New Roman" w:hAnsi="Times New Roman"/>
          <w:sz w:val="28"/>
          <w:szCs w:val="28"/>
        </w:rPr>
        <w:t xml:space="preserve"> </w:t>
      </w:r>
      <w:r w:rsidR="00BD5C16" w:rsidRPr="00095BB2">
        <w:rPr>
          <w:rFonts w:ascii="Times New Roman" w:hAnsi="Times New Roman"/>
          <w:sz w:val="28"/>
          <w:szCs w:val="28"/>
        </w:rPr>
        <w:t>T</w:t>
      </w:r>
      <w:r w:rsidR="0026738E" w:rsidRPr="00095BB2">
        <w:rPr>
          <w:rFonts w:ascii="Times New Roman" w:hAnsi="Times New Roman"/>
          <w:sz w:val="28"/>
          <w:szCs w:val="28"/>
        </w:rPr>
        <w:t xml:space="preserve">he absence of a </w:t>
      </w:r>
      <w:r w:rsidR="0026738E" w:rsidRPr="00095BB2">
        <w:rPr>
          <w:rFonts w:ascii="Times New Roman" w:hAnsi="Times New Roman"/>
          <w:i/>
          <w:sz w:val="28"/>
          <w:szCs w:val="28"/>
        </w:rPr>
        <w:t>bona fide</w:t>
      </w:r>
      <w:r w:rsidR="0026738E" w:rsidRPr="00095BB2">
        <w:rPr>
          <w:rFonts w:ascii="Times New Roman" w:hAnsi="Times New Roman"/>
          <w:sz w:val="28"/>
          <w:szCs w:val="28"/>
        </w:rPr>
        <w:t xml:space="preserve"> defence </w:t>
      </w:r>
      <w:r w:rsidR="003B0670" w:rsidRPr="00095BB2">
        <w:rPr>
          <w:rFonts w:ascii="Times New Roman" w:hAnsi="Times New Roman"/>
          <w:sz w:val="28"/>
          <w:szCs w:val="28"/>
        </w:rPr>
        <w:t xml:space="preserve">is </w:t>
      </w:r>
      <w:r w:rsidR="00BD5C16" w:rsidRPr="00095BB2">
        <w:rPr>
          <w:rFonts w:ascii="Times New Roman" w:hAnsi="Times New Roman"/>
          <w:sz w:val="28"/>
          <w:szCs w:val="28"/>
        </w:rPr>
        <w:t xml:space="preserve">indicative of </w:t>
      </w:r>
      <w:r w:rsidR="00116282" w:rsidRPr="00095BB2">
        <w:rPr>
          <w:rFonts w:ascii="Times New Roman" w:hAnsi="Times New Roman"/>
          <w:sz w:val="28"/>
          <w:szCs w:val="28"/>
        </w:rPr>
        <w:t>the</w:t>
      </w:r>
      <w:r w:rsidR="003B0670" w:rsidRPr="00095BB2">
        <w:rPr>
          <w:rFonts w:ascii="Times New Roman" w:hAnsi="Times New Roman"/>
          <w:sz w:val="28"/>
          <w:szCs w:val="28"/>
        </w:rPr>
        <w:t xml:space="preserve"> a</w:t>
      </w:r>
      <w:r w:rsidR="0026738E" w:rsidRPr="00095BB2">
        <w:rPr>
          <w:rFonts w:ascii="Times New Roman" w:hAnsi="Times New Roman"/>
          <w:sz w:val="28"/>
          <w:szCs w:val="28"/>
        </w:rPr>
        <w:t xml:space="preserve">pplicant </w:t>
      </w:r>
      <w:r w:rsidR="00BD5C16" w:rsidRPr="00095BB2">
        <w:rPr>
          <w:rFonts w:ascii="Times New Roman" w:hAnsi="Times New Roman"/>
          <w:sz w:val="28"/>
          <w:szCs w:val="28"/>
        </w:rPr>
        <w:t xml:space="preserve">employing </w:t>
      </w:r>
      <w:r w:rsidR="0026738E" w:rsidRPr="00095BB2">
        <w:rPr>
          <w:rFonts w:ascii="Times New Roman" w:hAnsi="Times New Roman"/>
          <w:sz w:val="28"/>
          <w:szCs w:val="28"/>
        </w:rPr>
        <w:t>delaying tactics</w:t>
      </w:r>
      <w:r w:rsidR="00116282" w:rsidRPr="00095BB2">
        <w:rPr>
          <w:rFonts w:ascii="Times New Roman" w:hAnsi="Times New Roman"/>
          <w:sz w:val="28"/>
          <w:szCs w:val="28"/>
        </w:rPr>
        <w:t>.</w:t>
      </w:r>
    </w:p>
    <w:p w:rsidR="00BD4246" w:rsidRPr="00095BB2" w:rsidRDefault="00BD4246" w:rsidP="00D75D96">
      <w:pPr>
        <w:pStyle w:val="LegalList1"/>
        <w:spacing w:after="0" w:line="360" w:lineRule="auto"/>
        <w:rPr>
          <w:rFonts w:ascii="Times New Roman" w:hAnsi="Times New Roman"/>
          <w:sz w:val="28"/>
          <w:szCs w:val="28"/>
        </w:rPr>
      </w:pPr>
    </w:p>
    <w:p w:rsidR="00D14596"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144DF7" w:rsidRPr="00095BB2">
        <w:rPr>
          <w:rFonts w:ascii="Times New Roman" w:hAnsi="Times New Roman"/>
          <w:sz w:val="28"/>
          <w:szCs w:val="28"/>
        </w:rPr>
        <w:t xml:space="preserve">The order </w:t>
      </w:r>
      <w:r w:rsidR="007A0D54" w:rsidRPr="00095BB2">
        <w:rPr>
          <w:rFonts w:ascii="Times New Roman" w:hAnsi="Times New Roman"/>
          <w:sz w:val="28"/>
          <w:szCs w:val="28"/>
        </w:rPr>
        <w:t xml:space="preserve">complained of </w:t>
      </w:r>
      <w:r w:rsidR="00144DF7" w:rsidRPr="00095BB2">
        <w:rPr>
          <w:rFonts w:ascii="Times New Roman" w:hAnsi="Times New Roman"/>
          <w:sz w:val="28"/>
          <w:szCs w:val="28"/>
        </w:rPr>
        <w:t xml:space="preserve">was correctly granted but to set it aside in </w:t>
      </w:r>
      <w:r w:rsidR="00D14596" w:rsidRPr="00095BB2">
        <w:rPr>
          <w:rFonts w:ascii="Times New Roman" w:hAnsi="Times New Roman"/>
          <w:sz w:val="28"/>
          <w:szCs w:val="28"/>
        </w:rPr>
        <w:t xml:space="preserve">circumstances </w:t>
      </w:r>
      <w:r w:rsidR="008A127B" w:rsidRPr="00095BB2">
        <w:rPr>
          <w:rFonts w:ascii="Times New Roman" w:hAnsi="Times New Roman"/>
          <w:sz w:val="28"/>
          <w:szCs w:val="28"/>
        </w:rPr>
        <w:t>where,</w:t>
      </w:r>
      <w:r w:rsidR="003D5F39" w:rsidRPr="00095BB2">
        <w:rPr>
          <w:rFonts w:ascii="Times New Roman" w:hAnsi="Times New Roman"/>
          <w:sz w:val="28"/>
          <w:szCs w:val="28"/>
        </w:rPr>
        <w:t xml:space="preserve"> absent a </w:t>
      </w:r>
      <w:r w:rsidR="003D5F39" w:rsidRPr="00095BB2">
        <w:rPr>
          <w:rFonts w:ascii="Times New Roman" w:hAnsi="Times New Roman"/>
          <w:i/>
          <w:sz w:val="28"/>
          <w:szCs w:val="28"/>
        </w:rPr>
        <w:t>lis</w:t>
      </w:r>
      <w:r w:rsidR="008A127B" w:rsidRPr="00095BB2">
        <w:rPr>
          <w:rFonts w:ascii="Times New Roman" w:hAnsi="Times New Roman"/>
          <w:sz w:val="28"/>
          <w:szCs w:val="28"/>
        </w:rPr>
        <w:t xml:space="preserve"> between the parties</w:t>
      </w:r>
      <w:r w:rsidR="003D5F39" w:rsidRPr="00095BB2">
        <w:rPr>
          <w:rFonts w:ascii="Times New Roman" w:hAnsi="Times New Roman"/>
          <w:sz w:val="28"/>
          <w:szCs w:val="28"/>
        </w:rPr>
        <w:t xml:space="preserve"> </w:t>
      </w:r>
      <w:r w:rsidR="008A127B" w:rsidRPr="00095BB2">
        <w:rPr>
          <w:rFonts w:ascii="Times New Roman" w:hAnsi="Times New Roman"/>
          <w:sz w:val="28"/>
          <w:szCs w:val="28"/>
        </w:rPr>
        <w:t xml:space="preserve">and </w:t>
      </w:r>
      <w:r w:rsidR="00144DF7" w:rsidRPr="00095BB2">
        <w:rPr>
          <w:rFonts w:ascii="Times New Roman" w:hAnsi="Times New Roman"/>
          <w:sz w:val="28"/>
          <w:szCs w:val="28"/>
        </w:rPr>
        <w:t xml:space="preserve">no </w:t>
      </w:r>
      <w:r w:rsidR="00144DF7" w:rsidRPr="00095BB2">
        <w:rPr>
          <w:rFonts w:ascii="Times New Roman" w:hAnsi="Times New Roman"/>
          <w:i/>
          <w:sz w:val="28"/>
          <w:szCs w:val="28"/>
        </w:rPr>
        <w:t>bona fide</w:t>
      </w:r>
      <w:r w:rsidR="00144DF7" w:rsidRPr="00095BB2">
        <w:rPr>
          <w:rFonts w:ascii="Times New Roman" w:hAnsi="Times New Roman"/>
          <w:sz w:val="28"/>
          <w:szCs w:val="28"/>
        </w:rPr>
        <w:t xml:space="preserve"> defence is shown</w:t>
      </w:r>
      <w:r w:rsidR="008A127B" w:rsidRPr="00095BB2">
        <w:rPr>
          <w:rFonts w:ascii="Times New Roman" w:hAnsi="Times New Roman"/>
          <w:sz w:val="28"/>
          <w:szCs w:val="28"/>
        </w:rPr>
        <w:t>,</w:t>
      </w:r>
      <w:r w:rsidR="00144DF7" w:rsidRPr="00095BB2">
        <w:rPr>
          <w:rFonts w:ascii="Times New Roman" w:hAnsi="Times New Roman"/>
          <w:sz w:val="28"/>
          <w:szCs w:val="28"/>
        </w:rPr>
        <w:t xml:space="preserve"> </w:t>
      </w:r>
      <w:r w:rsidR="00D14596" w:rsidRPr="00095BB2">
        <w:rPr>
          <w:rFonts w:ascii="Times New Roman" w:hAnsi="Times New Roman"/>
          <w:sz w:val="28"/>
          <w:szCs w:val="28"/>
        </w:rPr>
        <w:t xml:space="preserve">would be an exercise in futility </w:t>
      </w:r>
      <w:r w:rsidR="009B1996" w:rsidRPr="00095BB2">
        <w:rPr>
          <w:rFonts w:ascii="Times New Roman" w:hAnsi="Times New Roman"/>
          <w:sz w:val="28"/>
          <w:szCs w:val="28"/>
        </w:rPr>
        <w:t xml:space="preserve">and would be tantamount to granting </w:t>
      </w:r>
      <w:r w:rsidR="005668F2" w:rsidRPr="00095BB2">
        <w:rPr>
          <w:rFonts w:ascii="Times New Roman" w:hAnsi="Times New Roman"/>
          <w:sz w:val="28"/>
          <w:szCs w:val="28"/>
        </w:rPr>
        <w:t xml:space="preserve">the applicant </w:t>
      </w:r>
      <w:r w:rsidR="009B1996" w:rsidRPr="00095BB2">
        <w:rPr>
          <w:rFonts w:ascii="Times New Roman" w:hAnsi="Times New Roman"/>
          <w:sz w:val="28"/>
          <w:szCs w:val="28"/>
        </w:rPr>
        <w:t>an order that has final effect. From that perspective the factual disputes raised by the respondent become an obstacle to the applicant.</w:t>
      </w:r>
      <w:r w:rsidR="005668F2" w:rsidRPr="00095BB2">
        <w:rPr>
          <w:rStyle w:val="FootnoteReference"/>
          <w:rFonts w:ascii="Times New Roman" w:hAnsi="Times New Roman"/>
          <w:sz w:val="28"/>
          <w:szCs w:val="28"/>
        </w:rPr>
        <w:footnoteReference w:id="20"/>
      </w:r>
    </w:p>
    <w:p w:rsidR="00BD4246" w:rsidRPr="00095BB2" w:rsidRDefault="00BD4246" w:rsidP="00D75D96">
      <w:pPr>
        <w:pStyle w:val="LegalList1"/>
        <w:spacing w:after="0" w:line="360" w:lineRule="auto"/>
        <w:rPr>
          <w:rFonts w:ascii="Times New Roman" w:hAnsi="Times New Roman"/>
          <w:sz w:val="28"/>
          <w:szCs w:val="28"/>
        </w:rPr>
      </w:pPr>
    </w:p>
    <w:p w:rsidR="00C97933"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720F1F" w:rsidRPr="00095BB2">
        <w:rPr>
          <w:rFonts w:ascii="Times New Roman" w:hAnsi="Times New Roman"/>
          <w:sz w:val="28"/>
          <w:szCs w:val="28"/>
        </w:rPr>
        <w:t>Because t</w:t>
      </w:r>
      <w:r w:rsidR="00A11D0C" w:rsidRPr="00095BB2">
        <w:rPr>
          <w:rFonts w:ascii="Times New Roman" w:hAnsi="Times New Roman"/>
          <w:sz w:val="28"/>
          <w:szCs w:val="28"/>
        </w:rPr>
        <w:t xml:space="preserve">he </w:t>
      </w:r>
      <w:r w:rsidR="00F80274" w:rsidRPr="00095BB2">
        <w:rPr>
          <w:rFonts w:ascii="Times New Roman" w:hAnsi="Times New Roman"/>
          <w:sz w:val="28"/>
          <w:szCs w:val="28"/>
        </w:rPr>
        <w:t>application has no merit</w:t>
      </w:r>
      <w:r w:rsidR="00720F1F" w:rsidRPr="00095BB2">
        <w:rPr>
          <w:rFonts w:ascii="Times New Roman" w:hAnsi="Times New Roman"/>
          <w:sz w:val="28"/>
          <w:szCs w:val="28"/>
        </w:rPr>
        <w:t>, t</w:t>
      </w:r>
      <w:r w:rsidR="00F80274" w:rsidRPr="00095BB2">
        <w:rPr>
          <w:rFonts w:ascii="Times New Roman" w:hAnsi="Times New Roman"/>
          <w:sz w:val="28"/>
          <w:szCs w:val="28"/>
        </w:rPr>
        <w:t xml:space="preserve">he </w:t>
      </w:r>
      <w:r w:rsidR="00A11D0C" w:rsidRPr="00095BB2">
        <w:rPr>
          <w:rFonts w:ascii="Times New Roman" w:hAnsi="Times New Roman"/>
          <w:sz w:val="28"/>
          <w:szCs w:val="28"/>
        </w:rPr>
        <w:t xml:space="preserve">norm is that costs must follow the result. </w:t>
      </w:r>
      <w:r w:rsidR="00EE136C" w:rsidRPr="00095BB2">
        <w:rPr>
          <w:rFonts w:ascii="Times New Roman" w:hAnsi="Times New Roman"/>
          <w:sz w:val="28"/>
          <w:szCs w:val="28"/>
        </w:rPr>
        <w:t xml:space="preserve">There is another dimension to the question of costs. </w:t>
      </w:r>
      <w:r w:rsidR="001271A8" w:rsidRPr="00095BB2">
        <w:rPr>
          <w:rFonts w:ascii="Times New Roman" w:hAnsi="Times New Roman"/>
          <w:sz w:val="28"/>
          <w:szCs w:val="28"/>
        </w:rPr>
        <w:t>This application was initially brought in two parts, the first of which was for an order</w:t>
      </w:r>
      <w:r w:rsidR="007F299C" w:rsidRPr="00095BB2">
        <w:rPr>
          <w:rFonts w:ascii="Times New Roman" w:hAnsi="Times New Roman"/>
          <w:sz w:val="28"/>
          <w:szCs w:val="28"/>
        </w:rPr>
        <w:t xml:space="preserve"> sought on urgency for the stay of the warrant </w:t>
      </w:r>
      <w:r w:rsidR="00CA41CC" w:rsidRPr="00095BB2">
        <w:rPr>
          <w:rFonts w:ascii="Times New Roman" w:hAnsi="Times New Roman"/>
          <w:sz w:val="28"/>
          <w:szCs w:val="28"/>
        </w:rPr>
        <w:t>of</w:t>
      </w:r>
      <w:r w:rsidR="00720F1F" w:rsidRPr="00095BB2">
        <w:rPr>
          <w:rFonts w:ascii="Times New Roman" w:hAnsi="Times New Roman"/>
          <w:sz w:val="28"/>
          <w:szCs w:val="28"/>
        </w:rPr>
        <w:t xml:space="preserve"> delivery</w:t>
      </w:r>
      <w:r w:rsidR="007F299C" w:rsidRPr="00095BB2">
        <w:rPr>
          <w:rFonts w:ascii="Times New Roman" w:hAnsi="Times New Roman"/>
          <w:sz w:val="28"/>
          <w:szCs w:val="28"/>
        </w:rPr>
        <w:t xml:space="preserve"> issued </w:t>
      </w:r>
      <w:r w:rsidR="00746812" w:rsidRPr="00095BB2">
        <w:rPr>
          <w:rFonts w:ascii="Times New Roman" w:hAnsi="Times New Roman"/>
          <w:sz w:val="28"/>
          <w:szCs w:val="28"/>
        </w:rPr>
        <w:t xml:space="preserve">on 6 April 2021 </w:t>
      </w:r>
      <w:r w:rsidR="007F299C" w:rsidRPr="00095BB2">
        <w:rPr>
          <w:rFonts w:ascii="Times New Roman" w:hAnsi="Times New Roman"/>
          <w:sz w:val="28"/>
          <w:szCs w:val="28"/>
        </w:rPr>
        <w:t xml:space="preserve">at </w:t>
      </w:r>
      <w:r w:rsidR="00746812" w:rsidRPr="00095BB2">
        <w:rPr>
          <w:rFonts w:ascii="Times New Roman" w:hAnsi="Times New Roman"/>
          <w:sz w:val="28"/>
          <w:szCs w:val="28"/>
        </w:rPr>
        <w:t xml:space="preserve">the instance of the respondent – and the second part of the application was in respect of the present rescission application. </w:t>
      </w:r>
      <w:r w:rsidR="00D84BA8" w:rsidRPr="00095BB2">
        <w:rPr>
          <w:rFonts w:ascii="Times New Roman" w:hAnsi="Times New Roman"/>
          <w:sz w:val="28"/>
          <w:szCs w:val="28"/>
        </w:rPr>
        <w:t xml:space="preserve">On 25 June 2021, this Court per Beshe J </w:t>
      </w:r>
      <w:r w:rsidR="00746812" w:rsidRPr="00095BB2">
        <w:rPr>
          <w:rFonts w:ascii="Times New Roman" w:hAnsi="Times New Roman"/>
          <w:sz w:val="28"/>
          <w:szCs w:val="28"/>
        </w:rPr>
        <w:t>granted an order staying the warrant</w:t>
      </w:r>
      <w:r w:rsidR="00183EC2" w:rsidRPr="00095BB2">
        <w:rPr>
          <w:rFonts w:ascii="Times New Roman" w:hAnsi="Times New Roman"/>
          <w:sz w:val="28"/>
          <w:szCs w:val="28"/>
        </w:rPr>
        <w:t xml:space="preserve"> </w:t>
      </w:r>
      <w:r w:rsidR="00B407D0" w:rsidRPr="00095BB2">
        <w:rPr>
          <w:rFonts w:ascii="Times New Roman" w:hAnsi="Times New Roman"/>
          <w:sz w:val="28"/>
          <w:szCs w:val="28"/>
        </w:rPr>
        <w:t>pending the outcome of the application for rescission</w:t>
      </w:r>
      <w:r w:rsidR="00890649" w:rsidRPr="00095BB2">
        <w:rPr>
          <w:rFonts w:ascii="Times New Roman" w:hAnsi="Times New Roman"/>
          <w:sz w:val="28"/>
          <w:szCs w:val="28"/>
        </w:rPr>
        <w:t xml:space="preserve">. In addition, the order </w:t>
      </w:r>
      <w:r w:rsidR="00B407D0" w:rsidRPr="00095BB2">
        <w:rPr>
          <w:rFonts w:ascii="Times New Roman" w:hAnsi="Times New Roman"/>
          <w:sz w:val="28"/>
          <w:szCs w:val="28"/>
        </w:rPr>
        <w:t xml:space="preserve">directed that the costs of the application relevant to the first part of the proceedings are to stand over for determination in the rescission application. </w:t>
      </w:r>
      <w:r w:rsidR="00286D07" w:rsidRPr="00095BB2">
        <w:rPr>
          <w:rFonts w:ascii="Times New Roman" w:hAnsi="Times New Roman"/>
          <w:sz w:val="28"/>
          <w:szCs w:val="28"/>
        </w:rPr>
        <w:t>For the respondent it was submitted that the costs of the first part be costs in the cause in the determination of the outcome of the rescission application.</w:t>
      </w:r>
    </w:p>
    <w:p w:rsidR="0043599A" w:rsidRPr="00095BB2" w:rsidRDefault="0043599A" w:rsidP="00D75D96">
      <w:pPr>
        <w:pStyle w:val="LegalList1"/>
        <w:spacing w:after="0" w:line="360" w:lineRule="auto"/>
        <w:rPr>
          <w:rFonts w:ascii="Times New Roman" w:hAnsi="Times New Roman"/>
          <w:sz w:val="28"/>
          <w:szCs w:val="28"/>
        </w:rPr>
      </w:pPr>
    </w:p>
    <w:p w:rsidR="0043599A"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333CF0" w:rsidRPr="00095BB2">
        <w:rPr>
          <w:rFonts w:ascii="Times New Roman" w:hAnsi="Times New Roman"/>
          <w:sz w:val="28"/>
          <w:szCs w:val="28"/>
        </w:rPr>
        <w:t>I have no inclination to disagree</w:t>
      </w:r>
      <w:r w:rsidR="00286D07" w:rsidRPr="00095BB2">
        <w:rPr>
          <w:rFonts w:ascii="Times New Roman" w:hAnsi="Times New Roman"/>
          <w:sz w:val="28"/>
          <w:szCs w:val="28"/>
        </w:rPr>
        <w:t xml:space="preserve"> </w:t>
      </w:r>
      <w:r w:rsidR="00333CF0" w:rsidRPr="00095BB2">
        <w:rPr>
          <w:rFonts w:ascii="Times New Roman" w:hAnsi="Times New Roman"/>
          <w:sz w:val="28"/>
          <w:szCs w:val="28"/>
        </w:rPr>
        <w:t>with this approach.</w:t>
      </w:r>
    </w:p>
    <w:p w:rsidR="00A11D0C" w:rsidRPr="00095BB2" w:rsidRDefault="00A11D0C" w:rsidP="00D75D96">
      <w:pPr>
        <w:pStyle w:val="LegalList1"/>
        <w:spacing w:after="0" w:line="360" w:lineRule="auto"/>
        <w:rPr>
          <w:rFonts w:ascii="Times New Roman" w:hAnsi="Times New Roman"/>
          <w:sz w:val="28"/>
          <w:szCs w:val="28"/>
        </w:rPr>
      </w:pPr>
    </w:p>
    <w:p w:rsidR="0028094E" w:rsidRPr="00095BB2" w:rsidRDefault="00AE4C99" w:rsidP="00AE4C99">
      <w:pPr>
        <w:pStyle w:val="LegalList1"/>
        <w:spacing w:after="0" w:line="360" w:lineRule="auto"/>
        <w:rPr>
          <w:rFonts w:ascii="Times New Roman" w:hAnsi="Times New Roman"/>
          <w:sz w:val="28"/>
          <w:szCs w:val="28"/>
        </w:rPr>
      </w:pPr>
      <w:r w:rsidRPr="00095BB2">
        <w:rPr>
          <w:rFonts w:ascii="Times New Roman" w:hAnsi="Times New Roman"/>
          <w:sz w:val="28"/>
          <w:szCs w:val="28"/>
        </w:rPr>
        <w:t>[37]</w:t>
      </w:r>
      <w:r w:rsidRPr="00095BB2">
        <w:rPr>
          <w:rFonts w:ascii="Times New Roman" w:hAnsi="Times New Roman"/>
          <w:sz w:val="28"/>
          <w:szCs w:val="28"/>
        </w:rPr>
        <w:tab/>
      </w:r>
      <w:r w:rsidR="00CD3533" w:rsidRPr="00095BB2">
        <w:rPr>
          <w:rFonts w:ascii="Times New Roman" w:hAnsi="Times New Roman"/>
          <w:sz w:val="28"/>
          <w:szCs w:val="28"/>
        </w:rPr>
        <w:t xml:space="preserve">Before concluding, </w:t>
      </w:r>
      <w:r w:rsidR="00F35172" w:rsidRPr="00095BB2">
        <w:rPr>
          <w:rFonts w:ascii="Times New Roman" w:hAnsi="Times New Roman"/>
          <w:sz w:val="28"/>
          <w:szCs w:val="28"/>
        </w:rPr>
        <w:t xml:space="preserve">a matter that needs to be mentioned </w:t>
      </w:r>
      <w:r w:rsidR="000E5CD1" w:rsidRPr="00095BB2">
        <w:rPr>
          <w:rFonts w:ascii="Times New Roman" w:hAnsi="Times New Roman"/>
          <w:sz w:val="28"/>
          <w:szCs w:val="28"/>
        </w:rPr>
        <w:t>concerns</w:t>
      </w:r>
      <w:r w:rsidR="00886F36" w:rsidRPr="00095BB2">
        <w:rPr>
          <w:rFonts w:ascii="Times New Roman" w:hAnsi="Times New Roman"/>
          <w:sz w:val="28"/>
          <w:szCs w:val="28"/>
        </w:rPr>
        <w:t xml:space="preserve"> the </w:t>
      </w:r>
      <w:r w:rsidR="00F35172" w:rsidRPr="00095BB2">
        <w:rPr>
          <w:rFonts w:ascii="Times New Roman" w:hAnsi="Times New Roman"/>
          <w:sz w:val="28"/>
          <w:szCs w:val="28"/>
        </w:rPr>
        <w:t>affidavit</w:t>
      </w:r>
      <w:r w:rsidR="00886F36" w:rsidRPr="00095BB2">
        <w:rPr>
          <w:rFonts w:ascii="Times New Roman" w:hAnsi="Times New Roman"/>
          <w:sz w:val="28"/>
          <w:szCs w:val="28"/>
        </w:rPr>
        <w:t xml:space="preserve"> by the sheriff, Mr Tonjeni.</w:t>
      </w:r>
      <w:r w:rsidR="00886F36" w:rsidRPr="00095BB2">
        <w:rPr>
          <w:rStyle w:val="FootnoteReference"/>
          <w:rFonts w:ascii="Times New Roman" w:hAnsi="Times New Roman"/>
          <w:sz w:val="28"/>
          <w:szCs w:val="28"/>
        </w:rPr>
        <w:footnoteReference w:id="21"/>
      </w:r>
    </w:p>
    <w:p w:rsidR="0028094E" w:rsidRPr="00095BB2" w:rsidRDefault="0028094E">
      <w:pPr>
        <w:pStyle w:val="LegalList1"/>
        <w:spacing w:after="0" w:line="360" w:lineRule="auto"/>
        <w:rPr>
          <w:rFonts w:ascii="Times New Roman" w:hAnsi="Times New Roman"/>
          <w:sz w:val="28"/>
          <w:szCs w:val="28"/>
        </w:rPr>
      </w:pPr>
    </w:p>
    <w:p w:rsidR="0020304B" w:rsidRPr="00095BB2" w:rsidRDefault="00AE4C99" w:rsidP="00AE4C99">
      <w:pPr>
        <w:pStyle w:val="LegalList1"/>
        <w:spacing w:after="0" w:line="360" w:lineRule="auto"/>
        <w:rPr>
          <w:rFonts w:ascii="Times New Roman" w:hAnsi="Times New Roman"/>
          <w:sz w:val="28"/>
          <w:szCs w:val="28"/>
        </w:rPr>
      </w:pPr>
      <w:r w:rsidRPr="00095BB2">
        <w:rPr>
          <w:rFonts w:ascii="Times New Roman" w:hAnsi="Times New Roman"/>
          <w:sz w:val="28"/>
          <w:szCs w:val="28"/>
        </w:rPr>
        <w:t>[38]</w:t>
      </w:r>
      <w:r w:rsidRPr="00095BB2">
        <w:rPr>
          <w:rFonts w:ascii="Times New Roman" w:hAnsi="Times New Roman"/>
          <w:sz w:val="28"/>
          <w:szCs w:val="28"/>
        </w:rPr>
        <w:tab/>
      </w:r>
      <w:r w:rsidR="00E54E78" w:rsidRPr="00095BB2">
        <w:rPr>
          <w:rFonts w:ascii="Times New Roman" w:hAnsi="Times New Roman"/>
          <w:sz w:val="28"/>
          <w:szCs w:val="28"/>
        </w:rPr>
        <w:t>My own emphasis in italics, h</w:t>
      </w:r>
      <w:r w:rsidR="00886F36" w:rsidRPr="00095BB2">
        <w:rPr>
          <w:rFonts w:ascii="Times New Roman" w:hAnsi="Times New Roman"/>
          <w:sz w:val="28"/>
          <w:szCs w:val="28"/>
        </w:rPr>
        <w:t>e states the following:</w:t>
      </w:r>
    </w:p>
    <w:p w:rsidR="00886F36" w:rsidRPr="00095BB2" w:rsidRDefault="008E3D40">
      <w:pPr>
        <w:pStyle w:val="LegalList1"/>
        <w:spacing w:after="0" w:line="360" w:lineRule="auto"/>
        <w:rPr>
          <w:rFonts w:ascii="Times New Roman" w:hAnsi="Times New Roman"/>
        </w:rPr>
      </w:pPr>
      <w:r w:rsidRPr="00095BB2">
        <w:rPr>
          <w:rFonts w:ascii="Times New Roman" w:hAnsi="Times New Roman"/>
        </w:rPr>
        <w:t>‘</w:t>
      </w:r>
      <w:r w:rsidR="00886F36" w:rsidRPr="00095BB2">
        <w:rPr>
          <w:rFonts w:ascii="Times New Roman" w:hAnsi="Times New Roman"/>
        </w:rPr>
        <w:t>I wish to clarify that I personally never went to serve any papers at Lusikisiki on 10 November 2012</w:t>
      </w:r>
      <w:r w:rsidRPr="00095BB2">
        <w:rPr>
          <w:rFonts w:ascii="Times New Roman" w:hAnsi="Times New Roman"/>
        </w:rPr>
        <w:t xml:space="preserve"> </w:t>
      </w:r>
      <w:r w:rsidRPr="00095BB2">
        <w:rPr>
          <w:rFonts w:ascii="Times New Roman" w:hAnsi="Times New Roman"/>
          <w:i/>
        </w:rPr>
        <w:t>or on any other day in connection with this matter</w:t>
      </w:r>
      <w:r w:rsidRPr="00095BB2">
        <w:rPr>
          <w:rFonts w:ascii="Times New Roman" w:hAnsi="Times New Roman"/>
        </w:rPr>
        <w:t>. I never authorised any person to draft the return of service in this matter. I did not sign the return either. Someone may have forged my signature. I do not even know where Dubana Administrative Area is.’</w:t>
      </w:r>
    </w:p>
    <w:p w:rsidR="0020304B" w:rsidRPr="00D75D96" w:rsidRDefault="0020304B" w:rsidP="00D75D96">
      <w:pPr>
        <w:spacing w:line="360" w:lineRule="auto"/>
        <w:rPr>
          <w:rFonts w:ascii="Times New Roman" w:hAnsi="Times New Roman" w:cs="Times New Roman"/>
        </w:rPr>
      </w:pPr>
    </w:p>
    <w:p w:rsidR="0022687A"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C46720" w:rsidRPr="00095BB2">
        <w:rPr>
          <w:rFonts w:ascii="Times New Roman" w:hAnsi="Times New Roman"/>
          <w:sz w:val="28"/>
          <w:szCs w:val="28"/>
        </w:rPr>
        <w:t xml:space="preserve">It appears that the sheriff distances himself from the </w:t>
      </w:r>
      <w:r w:rsidR="004F717F">
        <w:rPr>
          <w:rFonts w:ascii="Times New Roman" w:hAnsi="Times New Roman"/>
          <w:sz w:val="28"/>
          <w:szCs w:val="28"/>
        </w:rPr>
        <w:t xml:space="preserve">second </w:t>
      </w:r>
      <w:r w:rsidR="00C46720" w:rsidRPr="00095BB2">
        <w:rPr>
          <w:rFonts w:ascii="Times New Roman" w:hAnsi="Times New Roman"/>
          <w:sz w:val="28"/>
          <w:szCs w:val="28"/>
        </w:rPr>
        <w:t xml:space="preserve">return indicating service on 10 November 2012. Whether he does so in relation to the </w:t>
      </w:r>
      <w:r w:rsidR="004F717F">
        <w:rPr>
          <w:rFonts w:ascii="Times New Roman" w:hAnsi="Times New Roman"/>
          <w:sz w:val="28"/>
          <w:szCs w:val="28"/>
        </w:rPr>
        <w:t xml:space="preserve">first </w:t>
      </w:r>
      <w:r w:rsidR="00C46720" w:rsidRPr="00095BB2">
        <w:rPr>
          <w:rFonts w:ascii="Times New Roman" w:hAnsi="Times New Roman"/>
          <w:sz w:val="28"/>
          <w:szCs w:val="28"/>
        </w:rPr>
        <w:t xml:space="preserve">and third returns of service requires clarification </w:t>
      </w:r>
      <w:r w:rsidR="002102A1" w:rsidRPr="00095BB2">
        <w:rPr>
          <w:rFonts w:ascii="Times New Roman" w:hAnsi="Times New Roman"/>
          <w:sz w:val="28"/>
          <w:szCs w:val="28"/>
        </w:rPr>
        <w:t>taking into consideration the italicised portion of his affidavit.</w:t>
      </w:r>
      <w:r w:rsidR="00800232" w:rsidRPr="00095BB2">
        <w:rPr>
          <w:rFonts w:ascii="Times New Roman" w:hAnsi="Times New Roman"/>
          <w:sz w:val="28"/>
          <w:szCs w:val="28"/>
        </w:rPr>
        <w:t xml:space="preserve"> </w:t>
      </w:r>
      <w:r w:rsidR="00C65DFE" w:rsidRPr="00095BB2">
        <w:rPr>
          <w:rFonts w:ascii="Times New Roman" w:hAnsi="Times New Roman"/>
          <w:sz w:val="28"/>
          <w:szCs w:val="28"/>
        </w:rPr>
        <w:t>On the version of the respondent</w:t>
      </w:r>
      <w:r w:rsidR="0043599A">
        <w:rPr>
          <w:rFonts w:ascii="Times New Roman" w:hAnsi="Times New Roman"/>
          <w:sz w:val="28"/>
          <w:szCs w:val="28"/>
        </w:rPr>
        <w:t>,</w:t>
      </w:r>
      <w:r w:rsidR="00C65DFE" w:rsidRPr="00095BB2">
        <w:rPr>
          <w:rStyle w:val="FootnoteReference"/>
          <w:rFonts w:ascii="Times New Roman" w:hAnsi="Times New Roman"/>
          <w:sz w:val="28"/>
          <w:szCs w:val="28"/>
        </w:rPr>
        <w:footnoteReference w:id="22"/>
      </w:r>
      <w:r w:rsidR="00460C65" w:rsidRPr="00095BB2">
        <w:rPr>
          <w:rFonts w:ascii="Times New Roman" w:hAnsi="Times New Roman"/>
          <w:sz w:val="28"/>
          <w:szCs w:val="28"/>
        </w:rPr>
        <w:t xml:space="preserve"> </w:t>
      </w:r>
      <w:r w:rsidR="0085386D" w:rsidRPr="00095BB2">
        <w:rPr>
          <w:rFonts w:ascii="Times New Roman" w:hAnsi="Times New Roman"/>
          <w:sz w:val="28"/>
          <w:szCs w:val="28"/>
        </w:rPr>
        <w:t>supported by confirmatory affidavits by its legal representatives</w:t>
      </w:r>
      <w:r w:rsidR="0043599A">
        <w:rPr>
          <w:rFonts w:ascii="Times New Roman" w:hAnsi="Times New Roman"/>
          <w:sz w:val="28"/>
          <w:szCs w:val="28"/>
        </w:rPr>
        <w:t>,</w:t>
      </w:r>
      <w:r w:rsidR="0085386D" w:rsidRPr="00095BB2">
        <w:rPr>
          <w:rStyle w:val="FootnoteReference"/>
          <w:rFonts w:ascii="Times New Roman" w:hAnsi="Times New Roman"/>
          <w:sz w:val="28"/>
          <w:szCs w:val="28"/>
        </w:rPr>
        <w:footnoteReference w:id="23"/>
      </w:r>
      <w:r w:rsidR="00460C65" w:rsidRPr="00095BB2">
        <w:rPr>
          <w:rFonts w:ascii="Times New Roman" w:hAnsi="Times New Roman"/>
          <w:sz w:val="28"/>
          <w:szCs w:val="28"/>
        </w:rPr>
        <w:t xml:space="preserve"> </w:t>
      </w:r>
      <w:r w:rsidR="009E507D" w:rsidRPr="00095BB2">
        <w:rPr>
          <w:rFonts w:ascii="Times New Roman" w:hAnsi="Times New Roman"/>
          <w:sz w:val="28"/>
          <w:szCs w:val="28"/>
        </w:rPr>
        <w:t>the sheriff emailed a statement of account to its attorneys on 10 November 2020 for the amount of R988. This amount was paid on 16 November 2020</w:t>
      </w:r>
      <w:r w:rsidR="008B5BE5" w:rsidRPr="00095BB2">
        <w:rPr>
          <w:rFonts w:ascii="Times New Roman" w:hAnsi="Times New Roman"/>
          <w:sz w:val="28"/>
          <w:szCs w:val="28"/>
        </w:rPr>
        <w:t>.</w:t>
      </w:r>
    </w:p>
    <w:p w:rsidR="0043599A" w:rsidRPr="00095BB2" w:rsidRDefault="0043599A" w:rsidP="00D75D96">
      <w:pPr>
        <w:pStyle w:val="LegalList1"/>
        <w:spacing w:after="0" w:line="360" w:lineRule="auto"/>
        <w:rPr>
          <w:rFonts w:ascii="Times New Roman" w:hAnsi="Times New Roman"/>
          <w:sz w:val="28"/>
          <w:szCs w:val="28"/>
        </w:rPr>
      </w:pPr>
    </w:p>
    <w:p w:rsidR="00E85DC3"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8B5BE5" w:rsidRPr="00095BB2">
        <w:rPr>
          <w:rFonts w:ascii="Times New Roman" w:hAnsi="Times New Roman"/>
          <w:sz w:val="28"/>
          <w:szCs w:val="28"/>
        </w:rPr>
        <w:t>What followed in February 2021 was a further statement of account from the sheriff for the amount of R709</w:t>
      </w:r>
      <w:r w:rsidR="0022687A" w:rsidRPr="00095BB2">
        <w:rPr>
          <w:rFonts w:ascii="Times New Roman" w:hAnsi="Times New Roman"/>
          <w:sz w:val="28"/>
          <w:szCs w:val="28"/>
        </w:rPr>
        <w:t>. The respondent’s attorneys requested the sheriff to reverse this amount</w:t>
      </w:r>
      <w:r w:rsidR="003B3B66" w:rsidRPr="00095BB2">
        <w:rPr>
          <w:rFonts w:ascii="Times New Roman" w:hAnsi="Times New Roman"/>
          <w:sz w:val="28"/>
          <w:szCs w:val="28"/>
        </w:rPr>
        <w:t xml:space="preserve"> </w:t>
      </w:r>
      <w:r w:rsidR="0022687A" w:rsidRPr="00095BB2">
        <w:rPr>
          <w:rFonts w:ascii="Times New Roman" w:hAnsi="Times New Roman"/>
          <w:sz w:val="28"/>
          <w:szCs w:val="28"/>
        </w:rPr>
        <w:t xml:space="preserve">which </w:t>
      </w:r>
      <w:r w:rsidR="00183EC2" w:rsidRPr="00095BB2">
        <w:rPr>
          <w:rFonts w:ascii="Times New Roman" w:hAnsi="Times New Roman"/>
          <w:sz w:val="28"/>
          <w:szCs w:val="28"/>
        </w:rPr>
        <w:t xml:space="preserve">had not been done </w:t>
      </w:r>
      <w:r w:rsidR="0022687A" w:rsidRPr="00095BB2">
        <w:rPr>
          <w:rFonts w:ascii="Times New Roman" w:hAnsi="Times New Roman"/>
          <w:sz w:val="28"/>
          <w:szCs w:val="28"/>
        </w:rPr>
        <w:t xml:space="preserve">as at </w:t>
      </w:r>
      <w:r w:rsidR="003B3B66" w:rsidRPr="00095BB2">
        <w:rPr>
          <w:rFonts w:ascii="Times New Roman" w:hAnsi="Times New Roman"/>
          <w:sz w:val="28"/>
          <w:szCs w:val="28"/>
        </w:rPr>
        <w:t xml:space="preserve">12 July 2021 being </w:t>
      </w:r>
      <w:r w:rsidR="0022687A" w:rsidRPr="00095BB2">
        <w:rPr>
          <w:rFonts w:ascii="Times New Roman" w:hAnsi="Times New Roman"/>
          <w:sz w:val="28"/>
          <w:szCs w:val="28"/>
        </w:rPr>
        <w:t>the date of signature of the respondent’</w:t>
      </w:r>
      <w:r w:rsidR="003B3B66" w:rsidRPr="00095BB2">
        <w:rPr>
          <w:rFonts w:ascii="Times New Roman" w:hAnsi="Times New Roman"/>
          <w:sz w:val="28"/>
          <w:szCs w:val="28"/>
        </w:rPr>
        <w:t xml:space="preserve">s </w:t>
      </w:r>
      <w:r w:rsidR="00534489" w:rsidRPr="00095BB2">
        <w:rPr>
          <w:rFonts w:ascii="Times New Roman" w:hAnsi="Times New Roman"/>
          <w:sz w:val="28"/>
          <w:szCs w:val="28"/>
        </w:rPr>
        <w:t xml:space="preserve">answering </w:t>
      </w:r>
      <w:r w:rsidR="00183EC2" w:rsidRPr="00095BB2">
        <w:rPr>
          <w:rFonts w:ascii="Times New Roman" w:hAnsi="Times New Roman"/>
          <w:sz w:val="28"/>
          <w:szCs w:val="28"/>
        </w:rPr>
        <w:t>affidavit</w:t>
      </w:r>
      <w:r w:rsidR="003B3B66" w:rsidRPr="00095BB2">
        <w:rPr>
          <w:rFonts w:ascii="Times New Roman" w:hAnsi="Times New Roman"/>
          <w:sz w:val="28"/>
          <w:szCs w:val="28"/>
        </w:rPr>
        <w:t>.</w:t>
      </w:r>
      <w:r w:rsidR="001A55D3" w:rsidRPr="00095BB2">
        <w:rPr>
          <w:rFonts w:ascii="Times New Roman" w:hAnsi="Times New Roman"/>
          <w:sz w:val="28"/>
          <w:szCs w:val="28"/>
        </w:rPr>
        <w:t xml:space="preserve"> </w:t>
      </w:r>
      <w:r w:rsidR="00793220" w:rsidRPr="00095BB2">
        <w:rPr>
          <w:rFonts w:ascii="Times New Roman" w:hAnsi="Times New Roman"/>
          <w:sz w:val="28"/>
          <w:szCs w:val="28"/>
        </w:rPr>
        <w:t xml:space="preserve">By maintaining that he </w:t>
      </w:r>
      <w:r w:rsidR="001A55D3" w:rsidRPr="00095BB2">
        <w:rPr>
          <w:rFonts w:ascii="Times New Roman" w:hAnsi="Times New Roman"/>
          <w:sz w:val="28"/>
          <w:szCs w:val="28"/>
        </w:rPr>
        <w:t xml:space="preserve">did not serve papers on any other day in connection with the matter, it begs </w:t>
      </w:r>
      <w:r w:rsidR="00793220" w:rsidRPr="00095BB2">
        <w:rPr>
          <w:rFonts w:ascii="Times New Roman" w:hAnsi="Times New Roman"/>
          <w:sz w:val="28"/>
          <w:szCs w:val="28"/>
        </w:rPr>
        <w:t xml:space="preserve">of the sheriff to address </w:t>
      </w:r>
      <w:r w:rsidR="001A55D3" w:rsidRPr="00095BB2">
        <w:rPr>
          <w:rFonts w:ascii="Times New Roman" w:hAnsi="Times New Roman"/>
          <w:sz w:val="28"/>
          <w:szCs w:val="28"/>
        </w:rPr>
        <w:t xml:space="preserve">the </w:t>
      </w:r>
      <w:r w:rsidR="00793220" w:rsidRPr="00095BB2">
        <w:rPr>
          <w:rFonts w:ascii="Times New Roman" w:hAnsi="Times New Roman"/>
          <w:sz w:val="28"/>
          <w:szCs w:val="28"/>
        </w:rPr>
        <w:t xml:space="preserve">following </w:t>
      </w:r>
      <w:r w:rsidR="001A55D3" w:rsidRPr="00095BB2">
        <w:rPr>
          <w:rFonts w:ascii="Times New Roman" w:hAnsi="Times New Roman"/>
          <w:sz w:val="28"/>
          <w:szCs w:val="28"/>
        </w:rPr>
        <w:t>question</w:t>
      </w:r>
      <w:r w:rsidR="004F5056" w:rsidRPr="00095BB2">
        <w:rPr>
          <w:rFonts w:ascii="Times New Roman" w:hAnsi="Times New Roman"/>
          <w:sz w:val="28"/>
          <w:szCs w:val="28"/>
        </w:rPr>
        <w:t>s: (a) for which return of service is the statement of account of 10 November 2020 applicable</w:t>
      </w:r>
      <w:r w:rsidR="009603AD" w:rsidRPr="00095BB2">
        <w:rPr>
          <w:rFonts w:ascii="Times New Roman" w:hAnsi="Times New Roman"/>
          <w:sz w:val="28"/>
          <w:szCs w:val="28"/>
        </w:rPr>
        <w:t>?</w:t>
      </w:r>
      <w:r w:rsidR="004F5056" w:rsidRPr="00095BB2">
        <w:rPr>
          <w:rFonts w:ascii="Times New Roman" w:hAnsi="Times New Roman"/>
          <w:sz w:val="28"/>
          <w:szCs w:val="28"/>
        </w:rPr>
        <w:t xml:space="preserve"> </w:t>
      </w:r>
      <w:r w:rsidR="0043599A">
        <w:rPr>
          <w:rFonts w:ascii="Times New Roman" w:hAnsi="Times New Roman"/>
          <w:sz w:val="28"/>
          <w:szCs w:val="28"/>
        </w:rPr>
        <w:t>A</w:t>
      </w:r>
      <w:r w:rsidR="009603AD" w:rsidRPr="00095BB2">
        <w:rPr>
          <w:rFonts w:ascii="Times New Roman" w:hAnsi="Times New Roman"/>
          <w:sz w:val="28"/>
          <w:szCs w:val="28"/>
        </w:rPr>
        <w:t xml:space="preserve">nd </w:t>
      </w:r>
      <w:r w:rsidR="004F5056" w:rsidRPr="00095BB2">
        <w:rPr>
          <w:rFonts w:ascii="Times New Roman" w:hAnsi="Times New Roman"/>
          <w:sz w:val="28"/>
          <w:szCs w:val="28"/>
        </w:rPr>
        <w:t>(b)</w:t>
      </w:r>
      <w:r w:rsidR="009603AD" w:rsidRPr="00095BB2">
        <w:rPr>
          <w:rFonts w:ascii="Times New Roman" w:hAnsi="Times New Roman"/>
          <w:sz w:val="28"/>
          <w:szCs w:val="28"/>
        </w:rPr>
        <w:t xml:space="preserve"> for which </w:t>
      </w:r>
      <w:r w:rsidR="009603AD" w:rsidRPr="00095BB2">
        <w:rPr>
          <w:rFonts w:ascii="Times New Roman" w:hAnsi="Times New Roman"/>
          <w:sz w:val="28"/>
          <w:szCs w:val="28"/>
        </w:rPr>
        <w:lastRenderedPageBreak/>
        <w:t xml:space="preserve">return of service </w:t>
      </w:r>
      <w:r w:rsidR="00B478B5" w:rsidRPr="00095BB2">
        <w:rPr>
          <w:rFonts w:ascii="Times New Roman" w:hAnsi="Times New Roman"/>
          <w:sz w:val="28"/>
          <w:szCs w:val="28"/>
        </w:rPr>
        <w:t xml:space="preserve">is </w:t>
      </w:r>
      <w:r w:rsidR="009603AD" w:rsidRPr="00095BB2">
        <w:rPr>
          <w:rFonts w:ascii="Times New Roman" w:hAnsi="Times New Roman"/>
          <w:sz w:val="28"/>
          <w:szCs w:val="28"/>
        </w:rPr>
        <w:t>the statement of account forwarded in February 2021 for the amount of R709 appl</w:t>
      </w:r>
      <w:r w:rsidR="00B478B5" w:rsidRPr="00095BB2">
        <w:rPr>
          <w:rFonts w:ascii="Times New Roman" w:hAnsi="Times New Roman"/>
          <w:sz w:val="28"/>
          <w:szCs w:val="28"/>
        </w:rPr>
        <w:t>icable?</w:t>
      </w:r>
    </w:p>
    <w:p w:rsidR="00910FD0" w:rsidRPr="00095BB2" w:rsidRDefault="00910FD0" w:rsidP="00D75D96">
      <w:pPr>
        <w:pStyle w:val="LegalList1"/>
        <w:spacing w:after="0" w:line="360" w:lineRule="auto"/>
        <w:rPr>
          <w:rFonts w:ascii="Times New Roman" w:hAnsi="Times New Roman"/>
          <w:sz w:val="28"/>
          <w:szCs w:val="28"/>
        </w:rPr>
      </w:pPr>
    </w:p>
    <w:p w:rsidR="00856605" w:rsidRPr="00095BB2" w:rsidRDefault="00AE4C99" w:rsidP="00AE4C99">
      <w:pPr>
        <w:pStyle w:val="LegalList1"/>
        <w:spacing w:after="0" w:line="360" w:lineRule="auto"/>
        <w:rPr>
          <w:rFonts w:ascii="Times New Roman" w:hAnsi="Times New Roman"/>
          <w:sz w:val="28"/>
          <w:szCs w:val="28"/>
        </w:rPr>
      </w:pPr>
      <w:r w:rsidRPr="00095BB2">
        <w:rPr>
          <w:rFonts w:ascii="Times New Roman" w:hAnsi="Times New Roman"/>
          <w:sz w:val="28"/>
          <w:szCs w:val="28"/>
        </w:rPr>
        <w:t>[41]</w:t>
      </w:r>
      <w:r w:rsidRPr="00095BB2">
        <w:rPr>
          <w:rFonts w:ascii="Times New Roman" w:hAnsi="Times New Roman"/>
          <w:sz w:val="28"/>
          <w:szCs w:val="28"/>
        </w:rPr>
        <w:tab/>
      </w:r>
      <w:r w:rsidR="001A55D3" w:rsidRPr="00095BB2">
        <w:rPr>
          <w:rFonts w:ascii="Times New Roman" w:hAnsi="Times New Roman"/>
          <w:sz w:val="28"/>
          <w:szCs w:val="28"/>
        </w:rPr>
        <w:t>The other issue</w:t>
      </w:r>
      <w:r w:rsidR="00CA5B11" w:rsidRPr="00095BB2">
        <w:rPr>
          <w:rFonts w:ascii="Times New Roman" w:hAnsi="Times New Roman"/>
          <w:sz w:val="28"/>
          <w:szCs w:val="28"/>
        </w:rPr>
        <w:t>s</w:t>
      </w:r>
      <w:r w:rsidR="001A55D3" w:rsidRPr="00095BB2">
        <w:rPr>
          <w:rFonts w:ascii="Times New Roman" w:hAnsi="Times New Roman"/>
          <w:sz w:val="28"/>
          <w:szCs w:val="28"/>
        </w:rPr>
        <w:t xml:space="preserve"> arising from</w:t>
      </w:r>
      <w:r w:rsidR="00CA5B11" w:rsidRPr="00095BB2">
        <w:rPr>
          <w:rFonts w:ascii="Times New Roman" w:hAnsi="Times New Roman"/>
          <w:sz w:val="28"/>
          <w:szCs w:val="28"/>
        </w:rPr>
        <w:t xml:space="preserve"> the sheriff’s affidavit </w:t>
      </w:r>
      <w:r w:rsidR="00B478B5" w:rsidRPr="00095BB2">
        <w:rPr>
          <w:rFonts w:ascii="Times New Roman" w:hAnsi="Times New Roman"/>
          <w:sz w:val="28"/>
          <w:szCs w:val="28"/>
        </w:rPr>
        <w:t xml:space="preserve">are </w:t>
      </w:r>
      <w:r w:rsidR="00CA5B11" w:rsidRPr="00095BB2">
        <w:rPr>
          <w:rFonts w:ascii="Times New Roman" w:hAnsi="Times New Roman"/>
          <w:sz w:val="28"/>
          <w:szCs w:val="28"/>
        </w:rPr>
        <w:t xml:space="preserve">identified in the </w:t>
      </w:r>
      <w:r w:rsidR="005A767C" w:rsidRPr="00095BB2">
        <w:rPr>
          <w:rFonts w:ascii="Times New Roman" w:hAnsi="Times New Roman"/>
          <w:sz w:val="28"/>
          <w:szCs w:val="28"/>
        </w:rPr>
        <w:t xml:space="preserve">respondent’s </w:t>
      </w:r>
      <w:r w:rsidR="00534489" w:rsidRPr="00095BB2">
        <w:rPr>
          <w:rFonts w:ascii="Times New Roman" w:hAnsi="Times New Roman"/>
          <w:sz w:val="28"/>
          <w:szCs w:val="28"/>
        </w:rPr>
        <w:t xml:space="preserve">answering </w:t>
      </w:r>
      <w:r w:rsidR="005A767C" w:rsidRPr="00095BB2">
        <w:rPr>
          <w:rFonts w:ascii="Times New Roman" w:hAnsi="Times New Roman"/>
          <w:sz w:val="28"/>
          <w:szCs w:val="28"/>
        </w:rPr>
        <w:t>affidavit.</w:t>
      </w:r>
    </w:p>
    <w:p w:rsidR="00856605" w:rsidRPr="00095BB2" w:rsidRDefault="00856605">
      <w:pPr>
        <w:pStyle w:val="LegalList1"/>
        <w:spacing w:after="0" w:line="360" w:lineRule="auto"/>
        <w:rPr>
          <w:rFonts w:ascii="Times New Roman" w:hAnsi="Times New Roman"/>
          <w:sz w:val="28"/>
          <w:szCs w:val="28"/>
        </w:rPr>
      </w:pPr>
    </w:p>
    <w:p w:rsidR="003B3B66" w:rsidRPr="00095BB2" w:rsidRDefault="00AE4C99" w:rsidP="00AE4C99">
      <w:pPr>
        <w:pStyle w:val="LegalList1"/>
        <w:spacing w:after="0" w:line="360" w:lineRule="auto"/>
        <w:rPr>
          <w:rFonts w:ascii="Times New Roman" w:hAnsi="Times New Roman"/>
          <w:sz w:val="28"/>
          <w:szCs w:val="28"/>
        </w:rPr>
      </w:pPr>
      <w:r w:rsidRPr="00095BB2">
        <w:rPr>
          <w:rFonts w:ascii="Times New Roman" w:hAnsi="Times New Roman"/>
          <w:sz w:val="28"/>
          <w:szCs w:val="28"/>
        </w:rPr>
        <w:t>[42]</w:t>
      </w:r>
      <w:r w:rsidRPr="00095BB2">
        <w:rPr>
          <w:rFonts w:ascii="Times New Roman" w:hAnsi="Times New Roman"/>
          <w:sz w:val="28"/>
          <w:szCs w:val="28"/>
        </w:rPr>
        <w:tab/>
      </w:r>
      <w:r w:rsidR="005A767C" w:rsidRPr="00095BB2">
        <w:rPr>
          <w:rFonts w:ascii="Times New Roman" w:hAnsi="Times New Roman"/>
          <w:sz w:val="28"/>
          <w:szCs w:val="28"/>
        </w:rPr>
        <w:t>I quote directly from the applicable paragraphs:</w:t>
      </w:r>
    </w:p>
    <w:p w:rsidR="005A767C" w:rsidRPr="00095BB2" w:rsidRDefault="005A767C" w:rsidP="00D75D96">
      <w:pPr>
        <w:pStyle w:val="LegalList1"/>
        <w:spacing w:after="120" w:line="360" w:lineRule="auto"/>
        <w:rPr>
          <w:rFonts w:ascii="Times New Roman" w:hAnsi="Times New Roman"/>
        </w:rPr>
      </w:pPr>
      <w:r w:rsidRPr="00095BB2">
        <w:rPr>
          <w:rFonts w:ascii="Times New Roman" w:hAnsi="Times New Roman"/>
        </w:rPr>
        <w:t>‘15.</w:t>
      </w:r>
      <w:r w:rsidRPr="00095BB2">
        <w:rPr>
          <w:rFonts w:ascii="Times New Roman" w:hAnsi="Times New Roman"/>
        </w:rPr>
        <w:tab/>
        <w:t>The supporting affidavit from the sheriff … is vague in that:</w:t>
      </w:r>
    </w:p>
    <w:p w:rsidR="005A767C" w:rsidRPr="00095BB2" w:rsidRDefault="005A767C" w:rsidP="00D75D96">
      <w:pPr>
        <w:pStyle w:val="LegalList1"/>
        <w:spacing w:after="120" w:line="360" w:lineRule="auto"/>
        <w:ind w:left="720" w:hanging="720"/>
        <w:rPr>
          <w:rFonts w:ascii="Times New Roman" w:hAnsi="Times New Roman"/>
        </w:rPr>
      </w:pPr>
      <w:r w:rsidRPr="00095BB2">
        <w:rPr>
          <w:rFonts w:ascii="Times New Roman" w:hAnsi="Times New Roman"/>
        </w:rPr>
        <w:t>15.1</w:t>
      </w:r>
      <w:r w:rsidRPr="00095BB2">
        <w:rPr>
          <w:rFonts w:ascii="Times New Roman" w:hAnsi="Times New Roman"/>
        </w:rPr>
        <w:tab/>
        <w:t>there are two returns of service in this matter</w:t>
      </w:r>
      <w:r w:rsidR="00247D48" w:rsidRPr="00095BB2">
        <w:rPr>
          <w:rFonts w:ascii="Times New Roman" w:hAnsi="Times New Roman"/>
        </w:rPr>
        <w:t>, one for the summons and one for the Rule</w:t>
      </w:r>
      <w:r w:rsidR="00AE616C">
        <w:rPr>
          <w:rFonts w:ascii="Times New Roman" w:hAnsi="Times New Roman"/>
        </w:rPr>
        <w:t> </w:t>
      </w:r>
      <w:r w:rsidR="00247D48" w:rsidRPr="00095BB2">
        <w:rPr>
          <w:rFonts w:ascii="Times New Roman" w:hAnsi="Times New Roman"/>
        </w:rPr>
        <w:t>41A notice. The Sheriff does not indicate in respect of which return of service, or both, he is referring to;</w:t>
      </w:r>
    </w:p>
    <w:p w:rsidR="00247D48" w:rsidRPr="00095BB2" w:rsidRDefault="00247D48" w:rsidP="00D75D96">
      <w:pPr>
        <w:pStyle w:val="LegalList1"/>
        <w:spacing w:after="120" w:line="360" w:lineRule="auto"/>
        <w:ind w:left="720" w:hanging="720"/>
        <w:rPr>
          <w:rFonts w:ascii="Times New Roman" w:hAnsi="Times New Roman"/>
        </w:rPr>
      </w:pPr>
      <w:r w:rsidRPr="00095BB2">
        <w:rPr>
          <w:rFonts w:ascii="Times New Roman" w:hAnsi="Times New Roman"/>
        </w:rPr>
        <w:t>15.2</w:t>
      </w:r>
      <w:r w:rsidRPr="00095BB2">
        <w:rPr>
          <w:rFonts w:ascii="Times New Roman" w:hAnsi="Times New Roman"/>
        </w:rPr>
        <w:tab/>
        <w:t>the sheriff states that he did not personally serve the papers, however</w:t>
      </w:r>
      <w:r w:rsidR="001102E1" w:rsidRPr="00095BB2">
        <w:rPr>
          <w:rFonts w:ascii="Times New Roman" w:hAnsi="Times New Roman"/>
        </w:rPr>
        <w:t xml:space="preserve"> [he] does not state that nobody from his offices such as a deputy sheriff served the summons and/or [the] Rule 41A notice;</w:t>
      </w:r>
    </w:p>
    <w:p w:rsidR="001102E1" w:rsidRDefault="001102E1" w:rsidP="00D75D96">
      <w:pPr>
        <w:pStyle w:val="LegalList1"/>
        <w:spacing w:after="0" w:line="360" w:lineRule="auto"/>
        <w:ind w:left="720" w:hanging="720"/>
        <w:rPr>
          <w:rFonts w:ascii="Times New Roman" w:hAnsi="Times New Roman"/>
        </w:rPr>
      </w:pPr>
      <w:r w:rsidRPr="00095BB2">
        <w:rPr>
          <w:rFonts w:ascii="Times New Roman" w:hAnsi="Times New Roman"/>
        </w:rPr>
        <w:t>15.3</w:t>
      </w:r>
      <w:r w:rsidRPr="00095BB2">
        <w:rPr>
          <w:rFonts w:ascii="Times New Roman" w:hAnsi="Times New Roman"/>
        </w:rPr>
        <w:tab/>
        <w:t>whilst he states that he “did not sign the return”, he also states that “Someone may have forged my signature”</w:t>
      </w:r>
      <w:r w:rsidR="00B36766" w:rsidRPr="00095BB2">
        <w:rPr>
          <w:rFonts w:ascii="Times New Roman" w:hAnsi="Times New Roman"/>
        </w:rPr>
        <w:t>. If he did not sign the return of service, it must consequently follow that his signature was forged as he does not state that his signature is different to that of his own … nor does he state what steps, if any, he is taking to resolve the issue which relates to himself directly.’</w:t>
      </w:r>
    </w:p>
    <w:p w:rsidR="00F252EB" w:rsidRPr="00095BB2" w:rsidRDefault="00F252EB" w:rsidP="00D75D96">
      <w:pPr>
        <w:pStyle w:val="LegalList1"/>
        <w:spacing w:after="0" w:line="360" w:lineRule="auto"/>
        <w:ind w:left="720" w:hanging="720"/>
        <w:rPr>
          <w:rFonts w:ascii="Times New Roman" w:hAnsi="Times New Roman"/>
        </w:rPr>
      </w:pPr>
    </w:p>
    <w:p w:rsidR="003136E4"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1B3194" w:rsidRPr="00095BB2">
        <w:rPr>
          <w:rFonts w:ascii="Times New Roman" w:hAnsi="Times New Roman"/>
          <w:sz w:val="28"/>
          <w:szCs w:val="28"/>
        </w:rPr>
        <w:t>In short, and a</w:t>
      </w:r>
      <w:r w:rsidR="003136E4" w:rsidRPr="00095BB2">
        <w:rPr>
          <w:rFonts w:ascii="Times New Roman" w:hAnsi="Times New Roman"/>
          <w:sz w:val="28"/>
          <w:szCs w:val="28"/>
        </w:rPr>
        <w:t>rising from what is put out hereinabove</w:t>
      </w:r>
      <w:r w:rsidR="001B3194" w:rsidRPr="00095BB2">
        <w:rPr>
          <w:rFonts w:ascii="Times New Roman" w:hAnsi="Times New Roman"/>
          <w:sz w:val="28"/>
          <w:szCs w:val="28"/>
        </w:rPr>
        <w:t xml:space="preserve"> read in conjunction with the </w:t>
      </w:r>
      <w:r w:rsidR="003136E4" w:rsidRPr="00095BB2">
        <w:rPr>
          <w:rFonts w:ascii="Times New Roman" w:hAnsi="Times New Roman"/>
          <w:sz w:val="28"/>
          <w:szCs w:val="28"/>
        </w:rPr>
        <w:t>respondent’s answering affidavit and supporting annexures</w:t>
      </w:r>
      <w:r w:rsidR="001B3194" w:rsidRPr="00095BB2">
        <w:rPr>
          <w:rFonts w:ascii="Times New Roman" w:hAnsi="Times New Roman"/>
          <w:sz w:val="28"/>
          <w:szCs w:val="28"/>
        </w:rPr>
        <w:t>, are issues: (a)</w:t>
      </w:r>
      <w:r w:rsidR="003136E4" w:rsidRPr="00095BB2">
        <w:rPr>
          <w:rFonts w:ascii="Times New Roman" w:hAnsi="Times New Roman"/>
          <w:sz w:val="28"/>
          <w:szCs w:val="28"/>
        </w:rPr>
        <w:t xml:space="preserve"> relating to the unidentified returns of service for which statements of account were rendered in November 2020 and in February 2021; and</w:t>
      </w:r>
      <w:r w:rsidR="001B3194" w:rsidRPr="00095BB2">
        <w:rPr>
          <w:rFonts w:ascii="Times New Roman" w:hAnsi="Times New Roman"/>
          <w:sz w:val="28"/>
          <w:szCs w:val="28"/>
        </w:rPr>
        <w:t xml:space="preserve"> (b)</w:t>
      </w:r>
      <w:r w:rsidR="003136E4" w:rsidRPr="00095BB2">
        <w:rPr>
          <w:rFonts w:ascii="Times New Roman" w:hAnsi="Times New Roman"/>
          <w:sz w:val="28"/>
          <w:szCs w:val="28"/>
        </w:rPr>
        <w:t xml:space="preserve"> in relation to the alleged forging of the sheriff’s signature.</w:t>
      </w:r>
    </w:p>
    <w:p w:rsidR="00630EAE" w:rsidRPr="00095BB2" w:rsidRDefault="00630EAE" w:rsidP="00D75D96">
      <w:pPr>
        <w:pStyle w:val="LegalList1"/>
        <w:spacing w:after="0" w:line="360" w:lineRule="auto"/>
        <w:rPr>
          <w:rFonts w:ascii="Times New Roman" w:hAnsi="Times New Roman"/>
          <w:sz w:val="28"/>
          <w:szCs w:val="28"/>
        </w:rPr>
      </w:pPr>
    </w:p>
    <w:p w:rsidR="00654004" w:rsidRDefault="00AE4C99" w:rsidP="00AE4C99">
      <w:pPr>
        <w:pStyle w:val="LegalList1"/>
        <w:spacing w:after="0"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1B3194" w:rsidRPr="00095BB2">
        <w:rPr>
          <w:rFonts w:ascii="Times New Roman" w:hAnsi="Times New Roman"/>
          <w:sz w:val="28"/>
          <w:szCs w:val="28"/>
        </w:rPr>
        <w:t xml:space="preserve">It is not intended to </w:t>
      </w:r>
      <w:r w:rsidR="00906212" w:rsidRPr="00095BB2">
        <w:rPr>
          <w:rFonts w:ascii="Times New Roman" w:hAnsi="Times New Roman"/>
          <w:sz w:val="28"/>
          <w:szCs w:val="28"/>
        </w:rPr>
        <w:t xml:space="preserve">cast </w:t>
      </w:r>
      <w:r w:rsidR="008B7164" w:rsidRPr="00095BB2">
        <w:rPr>
          <w:rFonts w:ascii="Times New Roman" w:hAnsi="Times New Roman"/>
          <w:sz w:val="28"/>
          <w:szCs w:val="28"/>
        </w:rPr>
        <w:t>disrespectable reflections upon the sheriff</w:t>
      </w:r>
      <w:r w:rsidR="006769EE" w:rsidRPr="00095BB2">
        <w:rPr>
          <w:rFonts w:ascii="Times New Roman" w:hAnsi="Times New Roman"/>
          <w:sz w:val="28"/>
          <w:szCs w:val="28"/>
        </w:rPr>
        <w:t xml:space="preserve"> but </w:t>
      </w:r>
      <w:r w:rsidR="000C4C31" w:rsidRPr="00095BB2">
        <w:rPr>
          <w:rFonts w:ascii="Times New Roman" w:hAnsi="Times New Roman"/>
          <w:sz w:val="28"/>
          <w:szCs w:val="28"/>
        </w:rPr>
        <w:t xml:space="preserve">the material before this Court </w:t>
      </w:r>
      <w:r w:rsidR="00534489" w:rsidRPr="00095BB2">
        <w:rPr>
          <w:rFonts w:ascii="Times New Roman" w:hAnsi="Times New Roman"/>
          <w:sz w:val="28"/>
          <w:szCs w:val="28"/>
        </w:rPr>
        <w:t xml:space="preserve">does </w:t>
      </w:r>
      <w:r w:rsidR="006769EE" w:rsidRPr="00095BB2">
        <w:rPr>
          <w:rFonts w:ascii="Times New Roman" w:hAnsi="Times New Roman"/>
          <w:sz w:val="28"/>
          <w:szCs w:val="28"/>
        </w:rPr>
        <w:t>raise concerns about his conduct and motives</w:t>
      </w:r>
      <w:r w:rsidR="000C4C31" w:rsidRPr="00095BB2">
        <w:rPr>
          <w:rFonts w:ascii="Times New Roman" w:hAnsi="Times New Roman"/>
          <w:sz w:val="28"/>
          <w:szCs w:val="28"/>
        </w:rPr>
        <w:t xml:space="preserve"> if left unexplained to date.</w:t>
      </w:r>
      <w:r w:rsidR="00BB1A0D" w:rsidRPr="00095BB2">
        <w:rPr>
          <w:rFonts w:ascii="Times New Roman" w:hAnsi="Times New Roman"/>
          <w:sz w:val="28"/>
          <w:szCs w:val="28"/>
        </w:rPr>
        <w:t xml:space="preserve"> For this reason</w:t>
      </w:r>
      <w:r w:rsidR="00EC1E63">
        <w:rPr>
          <w:rFonts w:ascii="Times New Roman" w:hAnsi="Times New Roman"/>
          <w:sz w:val="28"/>
          <w:szCs w:val="28"/>
        </w:rPr>
        <w:t>,</w:t>
      </w:r>
      <w:r w:rsidR="00BB1A0D" w:rsidRPr="00095BB2">
        <w:rPr>
          <w:rFonts w:ascii="Times New Roman" w:hAnsi="Times New Roman"/>
          <w:sz w:val="28"/>
          <w:szCs w:val="28"/>
        </w:rPr>
        <w:t xml:space="preserve"> the registrar of this Court</w:t>
      </w:r>
      <w:r w:rsidR="00B6360F" w:rsidRPr="00095BB2">
        <w:rPr>
          <w:rFonts w:ascii="Times New Roman" w:hAnsi="Times New Roman"/>
          <w:sz w:val="28"/>
          <w:szCs w:val="28"/>
        </w:rPr>
        <w:t xml:space="preserve"> will be directed </w:t>
      </w:r>
      <w:r w:rsidR="00BB1A0D" w:rsidRPr="00095BB2">
        <w:rPr>
          <w:rFonts w:ascii="Times New Roman" w:hAnsi="Times New Roman"/>
          <w:sz w:val="28"/>
          <w:szCs w:val="28"/>
        </w:rPr>
        <w:lastRenderedPageBreak/>
        <w:t>to forward a copy of this judgment to the Board for Sheriffs for its consideration and possible further investigation of the matter.</w:t>
      </w:r>
    </w:p>
    <w:p w:rsidR="00630EAE" w:rsidRPr="00095BB2" w:rsidRDefault="00630EAE" w:rsidP="00D75D96">
      <w:pPr>
        <w:pStyle w:val="LegalList1"/>
        <w:spacing w:after="0" w:line="360" w:lineRule="auto"/>
        <w:rPr>
          <w:rFonts w:ascii="Times New Roman" w:hAnsi="Times New Roman"/>
          <w:sz w:val="28"/>
          <w:szCs w:val="28"/>
        </w:rPr>
      </w:pPr>
    </w:p>
    <w:p w:rsidR="00A572D4" w:rsidRPr="00095BB2" w:rsidRDefault="00A355E0" w:rsidP="00D75D96">
      <w:pPr>
        <w:pStyle w:val="LegalList1"/>
        <w:spacing w:after="120" w:line="360" w:lineRule="auto"/>
        <w:rPr>
          <w:rFonts w:ascii="Times New Roman" w:hAnsi="Times New Roman"/>
          <w:b/>
          <w:sz w:val="28"/>
          <w:szCs w:val="28"/>
        </w:rPr>
      </w:pPr>
      <w:r w:rsidRPr="00095BB2">
        <w:rPr>
          <w:rFonts w:ascii="Times New Roman" w:hAnsi="Times New Roman"/>
          <w:b/>
          <w:sz w:val="28"/>
          <w:szCs w:val="28"/>
        </w:rPr>
        <w:t>Order</w:t>
      </w:r>
    </w:p>
    <w:p w:rsidR="00A355E0" w:rsidRPr="00095BB2" w:rsidRDefault="00AE4C99" w:rsidP="00AE4C99">
      <w:pPr>
        <w:pStyle w:val="LegalList1"/>
        <w:spacing w:after="120" w:line="360" w:lineRule="auto"/>
        <w:rPr>
          <w:rFonts w:ascii="Times New Roman" w:hAnsi="Times New Roman"/>
          <w:sz w:val="28"/>
          <w:szCs w:val="28"/>
        </w:rPr>
      </w:pPr>
      <w:r w:rsidRPr="00095BB2">
        <w:rPr>
          <w:rFonts w:ascii="Times New Roman" w:hAnsi="Times New Roman"/>
          <w:sz w:val="28"/>
          <w:szCs w:val="28"/>
        </w:rPr>
        <w:t>[45]</w:t>
      </w:r>
      <w:r w:rsidRPr="00095BB2">
        <w:rPr>
          <w:rFonts w:ascii="Times New Roman" w:hAnsi="Times New Roman"/>
          <w:sz w:val="28"/>
          <w:szCs w:val="28"/>
        </w:rPr>
        <w:tab/>
      </w:r>
      <w:r w:rsidR="00A355E0" w:rsidRPr="00095BB2">
        <w:rPr>
          <w:rFonts w:ascii="Times New Roman" w:hAnsi="Times New Roman"/>
          <w:sz w:val="28"/>
          <w:szCs w:val="28"/>
        </w:rPr>
        <w:t>The following order will issue:</w:t>
      </w:r>
    </w:p>
    <w:p w:rsidR="00A355E0" w:rsidRPr="00095BB2" w:rsidRDefault="00AE4C99" w:rsidP="00AE4C99">
      <w:pPr>
        <w:pStyle w:val="LegalList1"/>
        <w:spacing w:after="0" w:line="360" w:lineRule="auto"/>
        <w:ind w:left="1080" w:hanging="360"/>
        <w:rPr>
          <w:rFonts w:ascii="Times New Roman" w:hAnsi="Times New Roman"/>
          <w:sz w:val="28"/>
          <w:szCs w:val="28"/>
        </w:rPr>
      </w:pPr>
      <w:r w:rsidRPr="00095BB2">
        <w:rPr>
          <w:rFonts w:ascii="Times New Roman" w:hAnsi="Times New Roman"/>
          <w:sz w:val="28"/>
          <w:szCs w:val="28"/>
        </w:rPr>
        <w:t>1.</w:t>
      </w:r>
      <w:r w:rsidRPr="00095BB2">
        <w:rPr>
          <w:rFonts w:ascii="Times New Roman" w:hAnsi="Times New Roman"/>
          <w:sz w:val="28"/>
          <w:szCs w:val="28"/>
        </w:rPr>
        <w:tab/>
      </w:r>
      <w:r w:rsidR="00A355E0" w:rsidRPr="00095BB2">
        <w:rPr>
          <w:rFonts w:ascii="Times New Roman" w:hAnsi="Times New Roman"/>
          <w:sz w:val="28"/>
          <w:szCs w:val="28"/>
        </w:rPr>
        <w:t>The application for rescission of the order granted by this Court per Lowe J on 9 March 2021 is dismissed.</w:t>
      </w:r>
    </w:p>
    <w:p w:rsidR="00A355E0" w:rsidRPr="00095BB2" w:rsidRDefault="00AE4C99" w:rsidP="00AE4C99">
      <w:pPr>
        <w:pStyle w:val="LegalList1"/>
        <w:spacing w:after="0" w:line="360" w:lineRule="auto"/>
        <w:ind w:left="1080" w:hanging="360"/>
        <w:rPr>
          <w:rFonts w:ascii="Times New Roman" w:hAnsi="Times New Roman"/>
          <w:sz w:val="28"/>
          <w:szCs w:val="28"/>
        </w:rPr>
      </w:pPr>
      <w:r w:rsidRPr="00095BB2">
        <w:rPr>
          <w:rFonts w:ascii="Times New Roman" w:hAnsi="Times New Roman"/>
          <w:sz w:val="28"/>
          <w:szCs w:val="28"/>
        </w:rPr>
        <w:t>2.</w:t>
      </w:r>
      <w:r w:rsidRPr="00095BB2">
        <w:rPr>
          <w:rFonts w:ascii="Times New Roman" w:hAnsi="Times New Roman"/>
          <w:sz w:val="28"/>
          <w:szCs w:val="28"/>
        </w:rPr>
        <w:tab/>
      </w:r>
      <w:r w:rsidR="00A355E0" w:rsidRPr="00095BB2">
        <w:rPr>
          <w:rFonts w:ascii="Times New Roman" w:hAnsi="Times New Roman"/>
          <w:sz w:val="28"/>
          <w:szCs w:val="28"/>
        </w:rPr>
        <w:t>The applicant shall pay the costs of the application</w:t>
      </w:r>
      <w:r w:rsidR="006D5DCD" w:rsidRPr="00095BB2">
        <w:rPr>
          <w:rFonts w:ascii="Times New Roman" w:hAnsi="Times New Roman"/>
          <w:sz w:val="28"/>
          <w:szCs w:val="28"/>
        </w:rPr>
        <w:t>,</w:t>
      </w:r>
      <w:r w:rsidR="00333CF0" w:rsidRPr="00095BB2">
        <w:rPr>
          <w:rFonts w:ascii="Times New Roman" w:hAnsi="Times New Roman"/>
          <w:sz w:val="28"/>
          <w:szCs w:val="28"/>
        </w:rPr>
        <w:t xml:space="preserve"> such costs shall include those</w:t>
      </w:r>
      <w:r w:rsidR="006D5DCD" w:rsidRPr="00095BB2">
        <w:rPr>
          <w:rFonts w:ascii="Times New Roman" w:hAnsi="Times New Roman"/>
          <w:sz w:val="28"/>
          <w:szCs w:val="28"/>
        </w:rPr>
        <w:t xml:space="preserve"> in respect of Part 1 thereof.</w:t>
      </w:r>
    </w:p>
    <w:p w:rsidR="00A355E0" w:rsidRPr="00095BB2" w:rsidRDefault="00AE4C99" w:rsidP="00AE4C99">
      <w:pPr>
        <w:pStyle w:val="LegalList1"/>
        <w:spacing w:after="0" w:line="360" w:lineRule="auto"/>
        <w:ind w:left="1080" w:hanging="360"/>
        <w:rPr>
          <w:rFonts w:ascii="Times New Roman" w:hAnsi="Times New Roman"/>
          <w:sz w:val="28"/>
          <w:szCs w:val="28"/>
        </w:rPr>
      </w:pPr>
      <w:r w:rsidRPr="00095BB2">
        <w:rPr>
          <w:rFonts w:ascii="Times New Roman" w:hAnsi="Times New Roman"/>
          <w:sz w:val="28"/>
          <w:szCs w:val="28"/>
        </w:rPr>
        <w:t>3.</w:t>
      </w:r>
      <w:r w:rsidRPr="00095BB2">
        <w:rPr>
          <w:rFonts w:ascii="Times New Roman" w:hAnsi="Times New Roman"/>
          <w:sz w:val="28"/>
          <w:szCs w:val="28"/>
        </w:rPr>
        <w:tab/>
      </w:r>
      <w:r w:rsidR="00A355E0" w:rsidRPr="00095BB2">
        <w:rPr>
          <w:rFonts w:ascii="Times New Roman" w:hAnsi="Times New Roman"/>
          <w:sz w:val="28"/>
          <w:szCs w:val="28"/>
        </w:rPr>
        <w:t>The registrar is directed to send a copy of this judgment to the Board for Sheriffs.</w:t>
      </w:r>
    </w:p>
    <w:p w:rsidR="00A572D4" w:rsidRPr="00095BB2" w:rsidRDefault="00A572D4">
      <w:pPr>
        <w:spacing w:line="360" w:lineRule="auto"/>
        <w:jc w:val="both"/>
        <w:rPr>
          <w:rFonts w:ascii="Times New Roman" w:hAnsi="Times New Roman" w:cs="Times New Roman"/>
          <w:b/>
          <w:sz w:val="28"/>
          <w:szCs w:val="28"/>
        </w:rPr>
      </w:pPr>
    </w:p>
    <w:p w:rsidR="00EF552D" w:rsidRPr="00095BB2" w:rsidRDefault="00EF552D">
      <w:pPr>
        <w:spacing w:line="360" w:lineRule="auto"/>
        <w:jc w:val="both"/>
        <w:rPr>
          <w:rFonts w:ascii="Times New Roman" w:hAnsi="Times New Roman" w:cs="Times New Roman"/>
          <w:b/>
          <w:sz w:val="28"/>
          <w:szCs w:val="28"/>
        </w:rPr>
      </w:pP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____________________________</w:t>
      </w:r>
    </w:p>
    <w:p w:rsidR="00EF552D" w:rsidRPr="00095BB2" w:rsidRDefault="00EF552D" w:rsidP="00D75D96">
      <w:pPr>
        <w:spacing w:line="360" w:lineRule="auto"/>
        <w:jc w:val="both"/>
        <w:rPr>
          <w:rFonts w:ascii="Times New Roman" w:hAnsi="Times New Roman" w:cs="Times New Roman"/>
          <w:b/>
          <w:sz w:val="28"/>
          <w:szCs w:val="28"/>
        </w:rPr>
      </w:pPr>
      <w:r w:rsidRPr="00095BB2">
        <w:rPr>
          <w:rFonts w:ascii="Times New Roman" w:hAnsi="Times New Roman" w:cs="Times New Roman"/>
          <w:b/>
          <w:sz w:val="28"/>
          <w:szCs w:val="28"/>
        </w:rPr>
        <w:t>M. S. RUGUNANAN</w:t>
      </w:r>
    </w:p>
    <w:p w:rsidR="00EF552D" w:rsidRPr="00095BB2" w:rsidRDefault="00EF552D" w:rsidP="00D75D96">
      <w:pPr>
        <w:spacing w:line="360" w:lineRule="auto"/>
        <w:jc w:val="both"/>
        <w:rPr>
          <w:rFonts w:ascii="Times New Roman" w:hAnsi="Times New Roman" w:cs="Times New Roman"/>
          <w:b/>
          <w:sz w:val="28"/>
          <w:szCs w:val="28"/>
        </w:rPr>
      </w:pPr>
      <w:r w:rsidRPr="00095BB2">
        <w:rPr>
          <w:rFonts w:ascii="Times New Roman" w:hAnsi="Times New Roman" w:cs="Times New Roman"/>
          <w:b/>
          <w:sz w:val="28"/>
          <w:szCs w:val="28"/>
        </w:rPr>
        <w:t>JUDGE OF THE HIGH COURT</w:t>
      </w:r>
    </w:p>
    <w:p w:rsidR="003663E9" w:rsidRDefault="003663E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lastRenderedPageBreak/>
        <w:t>Appearances:</w:t>
      </w:r>
    </w:p>
    <w:p w:rsidR="00EF552D" w:rsidRPr="00095BB2" w:rsidRDefault="00EF552D">
      <w:pPr>
        <w:spacing w:line="360" w:lineRule="auto"/>
        <w:ind w:left="851"/>
        <w:jc w:val="both"/>
        <w:rPr>
          <w:rFonts w:ascii="Times New Roman" w:hAnsi="Times New Roman" w:cs="Times New Roman"/>
          <w:sz w:val="28"/>
          <w:szCs w:val="28"/>
        </w:rPr>
      </w:pP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For the Applicant:</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63D9C">
        <w:rPr>
          <w:rFonts w:ascii="Times New Roman" w:hAnsi="Times New Roman" w:cs="Times New Roman"/>
          <w:sz w:val="28"/>
          <w:szCs w:val="28"/>
        </w:rPr>
        <w:tab/>
      </w:r>
      <w:r w:rsidR="00C63346" w:rsidRPr="00095BB2">
        <w:rPr>
          <w:rFonts w:ascii="Times New Roman" w:hAnsi="Times New Roman" w:cs="Times New Roman"/>
          <w:sz w:val="28"/>
          <w:szCs w:val="28"/>
        </w:rPr>
        <w:t>J. Knott</w:t>
      </w: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63D9C">
        <w:rPr>
          <w:rFonts w:ascii="Times New Roman" w:hAnsi="Times New Roman" w:cs="Times New Roman"/>
          <w:sz w:val="28"/>
          <w:szCs w:val="28"/>
        </w:rPr>
        <w:tab/>
      </w:r>
      <w:r w:rsidRPr="00095BB2">
        <w:rPr>
          <w:rFonts w:ascii="Times New Roman" w:hAnsi="Times New Roman" w:cs="Times New Roman"/>
          <w:sz w:val="28"/>
          <w:szCs w:val="28"/>
        </w:rPr>
        <w:t xml:space="preserve">Instructed by </w:t>
      </w:r>
      <w:r w:rsidR="00C63346" w:rsidRPr="00095BB2">
        <w:rPr>
          <w:rFonts w:ascii="Times New Roman" w:hAnsi="Times New Roman" w:cs="Times New Roman"/>
          <w:sz w:val="28"/>
          <w:szCs w:val="28"/>
        </w:rPr>
        <w:t>Mduma Mjobo Attorneys</w:t>
      </w:r>
    </w:p>
    <w:p w:rsidR="00EF552D" w:rsidRPr="00095BB2" w:rsidRDefault="00C63346" w:rsidP="00D75D96">
      <w:pPr>
        <w:spacing w:line="360" w:lineRule="auto"/>
        <w:ind w:left="2880" w:firstLine="720"/>
        <w:jc w:val="both"/>
        <w:rPr>
          <w:rFonts w:ascii="Times New Roman" w:hAnsi="Times New Roman" w:cs="Times New Roman"/>
          <w:sz w:val="28"/>
          <w:szCs w:val="28"/>
        </w:rPr>
      </w:pPr>
      <w:r w:rsidRPr="00095BB2">
        <w:rPr>
          <w:rFonts w:ascii="Times New Roman" w:hAnsi="Times New Roman" w:cs="Times New Roman"/>
          <w:sz w:val="28"/>
          <w:szCs w:val="28"/>
        </w:rPr>
        <w:t>c/o Yokwana Attorneys</w:t>
      </w:r>
    </w:p>
    <w:p w:rsidR="00EF552D" w:rsidRPr="00095BB2" w:rsidRDefault="00EF552D" w:rsidP="00D75D96">
      <w:pPr>
        <w:spacing w:line="360" w:lineRule="auto"/>
        <w:ind w:left="851"/>
        <w:jc w:val="both"/>
        <w:rPr>
          <w:rFonts w:ascii="Times New Roman" w:hAnsi="Times New Roman" w:cs="Times New Roman"/>
          <w:sz w:val="28"/>
          <w:szCs w:val="28"/>
        </w:rPr>
      </w:pP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63D9C">
        <w:rPr>
          <w:rFonts w:ascii="Times New Roman" w:hAnsi="Times New Roman" w:cs="Times New Roman"/>
          <w:sz w:val="28"/>
          <w:szCs w:val="28"/>
        </w:rPr>
        <w:tab/>
      </w:r>
      <w:r w:rsidRPr="00095BB2">
        <w:rPr>
          <w:rFonts w:ascii="Times New Roman" w:hAnsi="Times New Roman" w:cs="Times New Roman"/>
          <w:sz w:val="28"/>
          <w:szCs w:val="28"/>
        </w:rPr>
        <w:t>Makhanda</w:t>
      </w:r>
    </w:p>
    <w:p w:rsidR="00EF552D" w:rsidRPr="00095BB2" w:rsidRDefault="00EF552D" w:rsidP="00D75D96">
      <w:pPr>
        <w:spacing w:line="360" w:lineRule="auto"/>
        <w:ind w:left="851"/>
        <w:jc w:val="both"/>
        <w:rPr>
          <w:rFonts w:ascii="Times New Roman" w:hAnsi="Times New Roman" w:cs="Times New Roman"/>
          <w:sz w:val="28"/>
          <w:szCs w:val="28"/>
        </w:rPr>
      </w:pP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63D9C">
        <w:rPr>
          <w:rFonts w:ascii="Times New Roman" w:hAnsi="Times New Roman" w:cs="Times New Roman"/>
          <w:sz w:val="28"/>
          <w:szCs w:val="28"/>
        </w:rPr>
        <w:tab/>
      </w:r>
      <w:r w:rsidRPr="00095BB2">
        <w:rPr>
          <w:rFonts w:ascii="Times New Roman" w:hAnsi="Times New Roman" w:cs="Times New Roman"/>
          <w:sz w:val="28"/>
          <w:szCs w:val="28"/>
        </w:rPr>
        <w:t xml:space="preserve">Tel: 046-622 </w:t>
      </w:r>
      <w:r w:rsidR="00C63346" w:rsidRPr="00095BB2">
        <w:rPr>
          <w:rFonts w:ascii="Times New Roman" w:hAnsi="Times New Roman" w:cs="Times New Roman"/>
          <w:sz w:val="28"/>
          <w:szCs w:val="28"/>
        </w:rPr>
        <w:t>9928</w:t>
      </w:r>
    </w:p>
    <w:p w:rsidR="00EF552D" w:rsidRPr="00095BB2" w:rsidRDefault="00EF552D" w:rsidP="00D75D96">
      <w:pPr>
        <w:spacing w:line="360" w:lineRule="auto"/>
        <w:ind w:left="851"/>
        <w:jc w:val="both"/>
        <w:rPr>
          <w:rFonts w:ascii="Times New Roman" w:hAnsi="Times New Roman" w:cs="Times New Roman"/>
          <w:sz w:val="28"/>
          <w:szCs w:val="28"/>
        </w:rPr>
      </w:pP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63D9C">
        <w:rPr>
          <w:rFonts w:ascii="Times New Roman" w:hAnsi="Times New Roman" w:cs="Times New Roman"/>
          <w:sz w:val="28"/>
          <w:szCs w:val="28"/>
        </w:rPr>
        <w:tab/>
      </w:r>
      <w:r w:rsidRPr="00095BB2">
        <w:rPr>
          <w:rFonts w:ascii="Times New Roman" w:hAnsi="Times New Roman" w:cs="Times New Roman"/>
          <w:sz w:val="28"/>
          <w:szCs w:val="28"/>
        </w:rPr>
        <w:t xml:space="preserve">(Ref: </w:t>
      </w:r>
      <w:r w:rsidR="00C63346" w:rsidRPr="00095BB2">
        <w:rPr>
          <w:rFonts w:ascii="Times New Roman" w:hAnsi="Times New Roman" w:cs="Times New Roman"/>
          <w:sz w:val="28"/>
          <w:szCs w:val="28"/>
        </w:rPr>
        <w:t>N. Yokwana</w:t>
      </w:r>
      <w:r w:rsidRPr="00095BB2">
        <w:rPr>
          <w:rFonts w:ascii="Times New Roman" w:hAnsi="Times New Roman" w:cs="Times New Roman"/>
          <w:sz w:val="28"/>
          <w:szCs w:val="28"/>
        </w:rPr>
        <w:t>)</w:t>
      </w:r>
    </w:p>
    <w:p w:rsidR="00EF552D" w:rsidRPr="00095BB2" w:rsidRDefault="00EF552D" w:rsidP="00D75D96">
      <w:pPr>
        <w:spacing w:line="360" w:lineRule="auto"/>
        <w:ind w:left="851"/>
        <w:jc w:val="both"/>
        <w:rPr>
          <w:rFonts w:ascii="Times New Roman" w:hAnsi="Times New Roman" w:cs="Times New Roman"/>
          <w:sz w:val="28"/>
          <w:szCs w:val="28"/>
        </w:rPr>
      </w:pP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For the First Respondent:</w:t>
      </w:r>
      <w:r w:rsidR="00063D9C">
        <w:rPr>
          <w:rFonts w:ascii="Times New Roman" w:hAnsi="Times New Roman" w:cs="Times New Roman"/>
          <w:sz w:val="28"/>
          <w:szCs w:val="28"/>
        </w:rPr>
        <w:tab/>
      </w:r>
      <w:r w:rsidR="00063D9C">
        <w:rPr>
          <w:rFonts w:ascii="Times New Roman" w:hAnsi="Times New Roman" w:cs="Times New Roman"/>
          <w:sz w:val="28"/>
          <w:szCs w:val="28"/>
        </w:rPr>
        <w:tab/>
      </w:r>
      <w:r w:rsidR="002607BA" w:rsidRPr="00095BB2">
        <w:rPr>
          <w:rFonts w:ascii="Times New Roman" w:hAnsi="Times New Roman" w:cs="Times New Roman"/>
          <w:sz w:val="28"/>
          <w:szCs w:val="28"/>
        </w:rPr>
        <w:t>M. Somandi</w:t>
      </w:r>
    </w:p>
    <w:p w:rsidR="002607BA" w:rsidRPr="00095BB2" w:rsidRDefault="002607BA" w:rsidP="00D75D96">
      <w:pPr>
        <w:spacing w:line="360" w:lineRule="auto"/>
        <w:ind w:left="851"/>
        <w:jc w:val="both"/>
        <w:rPr>
          <w:rFonts w:ascii="Times New Roman" w:hAnsi="Times New Roman" w:cs="Times New Roman"/>
          <w:sz w:val="28"/>
          <w:szCs w:val="28"/>
        </w:rPr>
      </w:pP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063D9C">
        <w:rPr>
          <w:rFonts w:ascii="Times New Roman" w:hAnsi="Times New Roman" w:cs="Times New Roman"/>
          <w:sz w:val="28"/>
          <w:szCs w:val="28"/>
        </w:rPr>
        <w:tab/>
      </w:r>
      <w:r w:rsidRPr="00095BB2">
        <w:rPr>
          <w:rFonts w:ascii="Times New Roman" w:hAnsi="Times New Roman" w:cs="Times New Roman"/>
          <w:sz w:val="28"/>
          <w:szCs w:val="28"/>
        </w:rPr>
        <w:t>Instructed by Huxtable Attorneys</w:t>
      </w:r>
    </w:p>
    <w:p w:rsidR="00EF552D" w:rsidRPr="00095BB2" w:rsidRDefault="002607BA" w:rsidP="00D75D96">
      <w:pPr>
        <w:spacing w:line="360" w:lineRule="auto"/>
        <w:ind w:left="2880" w:firstLine="720"/>
        <w:jc w:val="both"/>
        <w:rPr>
          <w:rFonts w:ascii="Times New Roman" w:hAnsi="Times New Roman" w:cs="Times New Roman"/>
          <w:sz w:val="28"/>
          <w:szCs w:val="28"/>
        </w:rPr>
      </w:pPr>
      <w:r w:rsidRPr="00095BB2">
        <w:rPr>
          <w:rFonts w:ascii="Times New Roman" w:hAnsi="Times New Roman" w:cs="Times New Roman"/>
          <w:sz w:val="28"/>
          <w:szCs w:val="28"/>
        </w:rPr>
        <w:t>Makhanda</w:t>
      </w:r>
    </w:p>
    <w:p w:rsidR="00EF552D" w:rsidRPr="00095BB2" w:rsidRDefault="00EF552D" w:rsidP="00D75D96">
      <w:pPr>
        <w:spacing w:line="360" w:lineRule="auto"/>
        <w:ind w:left="2880" w:firstLine="720"/>
        <w:jc w:val="both"/>
        <w:rPr>
          <w:rFonts w:ascii="Times New Roman" w:hAnsi="Times New Roman" w:cs="Times New Roman"/>
          <w:sz w:val="28"/>
          <w:szCs w:val="28"/>
        </w:rPr>
      </w:pPr>
      <w:r w:rsidRPr="00095BB2">
        <w:rPr>
          <w:rFonts w:ascii="Times New Roman" w:hAnsi="Times New Roman" w:cs="Times New Roman"/>
          <w:sz w:val="28"/>
          <w:szCs w:val="28"/>
        </w:rPr>
        <w:t>Tel: 04</w:t>
      </w:r>
      <w:r w:rsidR="002607BA" w:rsidRPr="00095BB2">
        <w:rPr>
          <w:rFonts w:ascii="Times New Roman" w:hAnsi="Times New Roman" w:cs="Times New Roman"/>
          <w:sz w:val="28"/>
          <w:szCs w:val="28"/>
        </w:rPr>
        <w:t>4-622 2692</w:t>
      </w:r>
    </w:p>
    <w:p w:rsidR="00EF552D" w:rsidRPr="00095BB2" w:rsidRDefault="00EF552D" w:rsidP="00D75D96">
      <w:pPr>
        <w:spacing w:line="360" w:lineRule="auto"/>
        <w:ind w:left="2880" w:firstLine="720"/>
        <w:jc w:val="both"/>
        <w:rPr>
          <w:rFonts w:ascii="Times New Roman" w:hAnsi="Times New Roman" w:cs="Times New Roman"/>
          <w:sz w:val="28"/>
          <w:szCs w:val="28"/>
        </w:rPr>
      </w:pPr>
      <w:r w:rsidRPr="00095BB2">
        <w:rPr>
          <w:rFonts w:ascii="Times New Roman" w:hAnsi="Times New Roman" w:cs="Times New Roman"/>
          <w:sz w:val="28"/>
          <w:szCs w:val="28"/>
        </w:rPr>
        <w:t xml:space="preserve">(Ref: </w:t>
      </w:r>
      <w:r w:rsidR="002607BA" w:rsidRPr="00095BB2">
        <w:rPr>
          <w:rFonts w:ascii="Times New Roman" w:hAnsi="Times New Roman" w:cs="Times New Roman"/>
          <w:sz w:val="28"/>
          <w:szCs w:val="28"/>
        </w:rPr>
        <w:t>O. Huxtable</w:t>
      </w:r>
      <w:r w:rsidRPr="00095BB2">
        <w:rPr>
          <w:rFonts w:ascii="Times New Roman" w:hAnsi="Times New Roman" w:cs="Times New Roman"/>
          <w:sz w:val="28"/>
          <w:szCs w:val="28"/>
        </w:rPr>
        <w:t>)</w:t>
      </w:r>
    </w:p>
    <w:p w:rsidR="00EF552D" w:rsidRPr="00095BB2" w:rsidRDefault="00EF552D" w:rsidP="00D75D96">
      <w:pPr>
        <w:spacing w:line="360" w:lineRule="auto"/>
        <w:ind w:left="4320"/>
        <w:jc w:val="both"/>
        <w:rPr>
          <w:rFonts w:ascii="Times New Roman" w:hAnsi="Times New Roman" w:cs="Times New Roman"/>
          <w:sz w:val="28"/>
          <w:szCs w:val="28"/>
        </w:rPr>
      </w:pP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Date heard:</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AB0B28">
        <w:rPr>
          <w:rFonts w:ascii="Times New Roman" w:hAnsi="Times New Roman" w:cs="Times New Roman"/>
          <w:sz w:val="28"/>
          <w:szCs w:val="28"/>
        </w:rPr>
        <w:tab/>
      </w:r>
      <w:r w:rsidR="000650D3" w:rsidRPr="00095BB2">
        <w:rPr>
          <w:rFonts w:ascii="Times New Roman" w:hAnsi="Times New Roman" w:cs="Times New Roman"/>
          <w:sz w:val="28"/>
          <w:szCs w:val="28"/>
        </w:rPr>
        <w:t>17 November 2022</w:t>
      </w:r>
    </w:p>
    <w:p w:rsidR="00EF552D" w:rsidRPr="00095BB2" w:rsidRDefault="00EF552D" w:rsidP="00D75D96">
      <w:pPr>
        <w:spacing w:line="360" w:lineRule="auto"/>
        <w:jc w:val="both"/>
        <w:rPr>
          <w:rFonts w:ascii="Times New Roman" w:hAnsi="Times New Roman" w:cs="Times New Roman"/>
          <w:sz w:val="28"/>
          <w:szCs w:val="28"/>
        </w:rPr>
      </w:pPr>
      <w:r w:rsidRPr="00095BB2">
        <w:rPr>
          <w:rFonts w:ascii="Times New Roman" w:hAnsi="Times New Roman" w:cs="Times New Roman"/>
          <w:sz w:val="28"/>
          <w:szCs w:val="28"/>
        </w:rPr>
        <w:t xml:space="preserve">Date delivered: </w:t>
      </w:r>
      <w:r w:rsidRPr="00095BB2">
        <w:rPr>
          <w:rFonts w:ascii="Times New Roman" w:hAnsi="Times New Roman" w:cs="Times New Roman"/>
          <w:sz w:val="28"/>
          <w:szCs w:val="28"/>
        </w:rPr>
        <w:tab/>
      </w:r>
      <w:r w:rsidRPr="00095BB2">
        <w:rPr>
          <w:rFonts w:ascii="Times New Roman" w:hAnsi="Times New Roman" w:cs="Times New Roman"/>
          <w:sz w:val="28"/>
          <w:szCs w:val="28"/>
        </w:rPr>
        <w:tab/>
      </w:r>
      <w:r w:rsidR="00AB0B28">
        <w:rPr>
          <w:rFonts w:ascii="Times New Roman" w:hAnsi="Times New Roman" w:cs="Times New Roman"/>
          <w:sz w:val="28"/>
          <w:szCs w:val="28"/>
        </w:rPr>
        <w:tab/>
      </w:r>
      <w:r w:rsidRPr="00095BB2">
        <w:rPr>
          <w:rFonts w:ascii="Times New Roman" w:hAnsi="Times New Roman" w:cs="Times New Roman"/>
          <w:sz w:val="28"/>
          <w:szCs w:val="28"/>
        </w:rPr>
        <w:t>1</w:t>
      </w:r>
      <w:r w:rsidR="000650D3" w:rsidRPr="00095BB2">
        <w:rPr>
          <w:rFonts w:ascii="Times New Roman" w:hAnsi="Times New Roman" w:cs="Times New Roman"/>
          <w:sz w:val="28"/>
          <w:szCs w:val="28"/>
        </w:rPr>
        <w:t>7</w:t>
      </w:r>
      <w:r w:rsidRPr="00095BB2">
        <w:rPr>
          <w:rFonts w:ascii="Times New Roman" w:hAnsi="Times New Roman" w:cs="Times New Roman"/>
          <w:sz w:val="28"/>
          <w:szCs w:val="28"/>
        </w:rPr>
        <w:t xml:space="preserve"> March 2023</w:t>
      </w:r>
    </w:p>
    <w:p w:rsidR="00F62448" w:rsidRPr="00095BB2" w:rsidRDefault="00F62448">
      <w:pPr>
        <w:spacing w:line="360" w:lineRule="auto"/>
        <w:ind w:left="851"/>
        <w:jc w:val="both"/>
        <w:rPr>
          <w:rFonts w:ascii="Times New Roman" w:hAnsi="Times New Roman" w:cs="Times New Roman"/>
          <w:sz w:val="28"/>
          <w:szCs w:val="28"/>
        </w:rPr>
      </w:pPr>
    </w:p>
    <w:p w:rsidR="00EF552D" w:rsidRPr="00095BB2" w:rsidRDefault="00EF552D">
      <w:pPr>
        <w:spacing w:line="360" w:lineRule="auto"/>
        <w:jc w:val="both"/>
        <w:rPr>
          <w:rFonts w:ascii="Times New Roman" w:hAnsi="Times New Roman" w:cs="Times New Roman"/>
          <w:b/>
          <w:sz w:val="28"/>
          <w:szCs w:val="28"/>
        </w:rPr>
      </w:pPr>
    </w:p>
    <w:sectPr w:rsidR="00EF552D" w:rsidRPr="00095BB2"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30" w:rsidRDefault="00C11030" w:rsidP="00354A12">
      <w:pPr>
        <w:spacing w:line="240" w:lineRule="auto"/>
      </w:pPr>
      <w:r>
        <w:separator/>
      </w:r>
    </w:p>
  </w:endnote>
  <w:endnote w:type="continuationSeparator" w:id="0">
    <w:p w:rsidR="00C11030" w:rsidRDefault="00C11030"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30" w:rsidRDefault="00C11030" w:rsidP="00354A12">
      <w:pPr>
        <w:spacing w:line="240" w:lineRule="auto"/>
      </w:pPr>
      <w:r>
        <w:separator/>
      </w:r>
    </w:p>
  </w:footnote>
  <w:footnote w:type="continuationSeparator" w:id="0">
    <w:p w:rsidR="00C11030" w:rsidRDefault="00C11030" w:rsidP="00354A12">
      <w:pPr>
        <w:spacing w:line="240" w:lineRule="auto"/>
      </w:pPr>
      <w:r>
        <w:continuationSeparator/>
      </w:r>
    </w:p>
  </w:footnote>
  <w:footnote w:id="1">
    <w:p w:rsidR="0064669E" w:rsidRPr="009041E1" w:rsidRDefault="0064669E"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Mutebwa v Mutebwa</w:t>
      </w:r>
      <w:r w:rsidRPr="009041E1">
        <w:rPr>
          <w:rFonts w:ascii="Times New Roman" w:hAnsi="Times New Roman" w:cs="Times New Roman"/>
        </w:rPr>
        <w:t xml:space="preserve"> 2001 (2) SA 193 (TkHC) paras 11-12</w:t>
      </w:r>
      <w:r w:rsidR="00131665">
        <w:rPr>
          <w:rFonts w:ascii="Times New Roman" w:hAnsi="Times New Roman" w:cs="Times New Roman"/>
        </w:rPr>
        <w:t xml:space="preserve"> (‘</w:t>
      </w:r>
      <w:r w:rsidR="00131665" w:rsidRPr="00E22F9C">
        <w:rPr>
          <w:rFonts w:ascii="Times New Roman" w:hAnsi="Times New Roman" w:cs="Times New Roman"/>
          <w:i/>
        </w:rPr>
        <w:t>Mutebwa</w:t>
      </w:r>
      <w:r w:rsidR="00131665">
        <w:rPr>
          <w:rFonts w:ascii="Times New Roman" w:hAnsi="Times New Roman" w:cs="Times New Roman"/>
        </w:rPr>
        <w:t>’).</w:t>
      </w:r>
    </w:p>
  </w:footnote>
  <w:footnote w:id="2">
    <w:p w:rsidR="0098551C" w:rsidRPr="009041E1" w:rsidRDefault="0098551C"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Mutebwa</w:t>
      </w:r>
      <w:r w:rsidRPr="009041E1">
        <w:rPr>
          <w:rFonts w:ascii="Times New Roman" w:hAnsi="Times New Roman" w:cs="Times New Roman"/>
        </w:rPr>
        <w:t xml:space="preserve"> </w:t>
      </w:r>
      <w:r w:rsidRPr="00E22F9C">
        <w:rPr>
          <w:rFonts w:ascii="Times New Roman" w:hAnsi="Times New Roman" w:cs="Times New Roman"/>
          <w:i/>
        </w:rPr>
        <w:t>supra</w:t>
      </w:r>
      <w:r w:rsidRPr="009041E1">
        <w:rPr>
          <w:rFonts w:ascii="Times New Roman" w:hAnsi="Times New Roman" w:cs="Times New Roman"/>
        </w:rPr>
        <w:t xml:space="preserve"> at 199G</w:t>
      </w:r>
      <w:r w:rsidR="00131665">
        <w:rPr>
          <w:rFonts w:ascii="Times New Roman" w:hAnsi="Times New Roman" w:cs="Times New Roman"/>
        </w:rPr>
        <w:t>.</w:t>
      </w:r>
    </w:p>
  </w:footnote>
  <w:footnote w:id="3">
    <w:p w:rsidR="00654004" w:rsidRPr="009041E1" w:rsidRDefault="00654004"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Zuma v Secretary of the Judicial Commission of Inquiry into Allegations of State Capture, C</w:t>
      </w:r>
      <w:r w:rsidR="001A4EAC" w:rsidRPr="00E22F9C">
        <w:rPr>
          <w:rFonts w:ascii="Times New Roman" w:hAnsi="Times New Roman" w:cs="Times New Roman"/>
          <w:i/>
        </w:rPr>
        <w:t>orruption and Fraud in the Public Sector Including Organs of State and Others</w:t>
      </w:r>
      <w:r w:rsidR="001A4EAC" w:rsidRPr="009041E1">
        <w:rPr>
          <w:rFonts w:ascii="Times New Roman" w:hAnsi="Times New Roman" w:cs="Times New Roman"/>
        </w:rPr>
        <w:t xml:space="preserve"> </w:t>
      </w:r>
      <w:r w:rsidR="002C17B1">
        <w:rPr>
          <w:rFonts w:ascii="Times New Roman" w:hAnsi="Times New Roman" w:cs="Times New Roman"/>
        </w:rPr>
        <w:t xml:space="preserve">[2021] ZACC 28; </w:t>
      </w:r>
      <w:r w:rsidR="001A4EAC" w:rsidRPr="009041E1">
        <w:rPr>
          <w:rFonts w:ascii="Times New Roman" w:hAnsi="Times New Roman" w:cs="Times New Roman"/>
        </w:rPr>
        <w:t>2021 (11) BCLR 1263 (CC)</w:t>
      </w:r>
      <w:r w:rsidR="002C17B1">
        <w:rPr>
          <w:rFonts w:ascii="Times New Roman" w:hAnsi="Times New Roman" w:cs="Times New Roman"/>
        </w:rPr>
        <w:t>;</w:t>
      </w:r>
      <w:r w:rsidR="00275BE1" w:rsidRPr="009041E1">
        <w:rPr>
          <w:rFonts w:ascii="Times New Roman" w:hAnsi="Times New Roman" w:cs="Times New Roman"/>
        </w:rPr>
        <w:t xml:space="preserve"> para</w:t>
      </w:r>
      <w:r w:rsidR="002C17B1">
        <w:rPr>
          <w:rFonts w:ascii="Times New Roman" w:hAnsi="Times New Roman" w:cs="Times New Roman"/>
        </w:rPr>
        <w:t> </w:t>
      </w:r>
      <w:r w:rsidR="00275BE1" w:rsidRPr="009041E1">
        <w:rPr>
          <w:rFonts w:ascii="Times New Roman" w:hAnsi="Times New Roman" w:cs="Times New Roman"/>
        </w:rPr>
        <w:t xml:space="preserve">62; </w:t>
      </w:r>
      <w:r w:rsidR="00275BE1" w:rsidRPr="00E22F9C">
        <w:rPr>
          <w:rFonts w:ascii="Times New Roman" w:hAnsi="Times New Roman" w:cs="Times New Roman"/>
          <w:i/>
        </w:rPr>
        <w:t xml:space="preserve">Rossitter &amp; </w:t>
      </w:r>
      <w:r w:rsidR="007A13B6">
        <w:rPr>
          <w:rFonts w:ascii="Times New Roman" w:hAnsi="Times New Roman" w:cs="Times New Roman"/>
          <w:i/>
        </w:rPr>
        <w:t>O</w:t>
      </w:r>
      <w:r w:rsidR="00275BE1" w:rsidRPr="00E22F9C">
        <w:rPr>
          <w:rFonts w:ascii="Times New Roman" w:hAnsi="Times New Roman" w:cs="Times New Roman"/>
          <w:i/>
        </w:rPr>
        <w:t>thers v Nedbank Ltd</w:t>
      </w:r>
      <w:r w:rsidR="00DE31A3" w:rsidRPr="009041E1">
        <w:rPr>
          <w:rFonts w:ascii="Times New Roman" w:hAnsi="Times New Roman" w:cs="Times New Roman"/>
        </w:rPr>
        <w:t xml:space="preserve"> [2015] ZASCA 196 para 16.</w:t>
      </w:r>
    </w:p>
  </w:footnote>
  <w:footnote w:id="4">
    <w:p w:rsidR="00EA0446" w:rsidRPr="009041E1" w:rsidRDefault="00EA0446"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Kgomo v Standard Bank</w:t>
      </w:r>
      <w:r w:rsidR="001A184F" w:rsidRPr="00E22F9C">
        <w:rPr>
          <w:rFonts w:ascii="Times New Roman" w:hAnsi="Times New Roman" w:cs="Times New Roman"/>
          <w:i/>
        </w:rPr>
        <w:t xml:space="preserve"> of South Africa and Others</w:t>
      </w:r>
      <w:r w:rsidR="001A184F" w:rsidRPr="009041E1">
        <w:rPr>
          <w:rFonts w:ascii="Times New Roman" w:hAnsi="Times New Roman" w:cs="Times New Roman"/>
        </w:rPr>
        <w:t xml:space="preserve"> 2016 (2) SA 184 (GP) at 187I-188A.</w:t>
      </w:r>
    </w:p>
  </w:footnote>
  <w:footnote w:id="5">
    <w:p w:rsidR="0093565A" w:rsidRPr="009041E1" w:rsidRDefault="0093565A"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See </w:t>
      </w:r>
      <w:r w:rsidRPr="00E22F9C">
        <w:rPr>
          <w:rFonts w:ascii="Times New Roman" w:hAnsi="Times New Roman" w:cs="Times New Roman"/>
          <w:i/>
        </w:rPr>
        <w:t>Topol and Others v Group Management Services</w:t>
      </w:r>
      <w:r w:rsidRPr="009041E1">
        <w:rPr>
          <w:rFonts w:ascii="Times New Roman" w:hAnsi="Times New Roman" w:cs="Times New Roman"/>
        </w:rPr>
        <w:t xml:space="preserve"> </w:t>
      </w:r>
      <w:r w:rsidRPr="00D75D96">
        <w:rPr>
          <w:rFonts w:ascii="Times New Roman" w:hAnsi="Times New Roman" w:cs="Times New Roman"/>
          <w:i/>
        </w:rPr>
        <w:t xml:space="preserve">(Pty) Ltd </w:t>
      </w:r>
      <w:r w:rsidRPr="009041E1">
        <w:rPr>
          <w:rFonts w:ascii="Times New Roman" w:hAnsi="Times New Roman" w:cs="Times New Roman"/>
        </w:rPr>
        <w:t>1988 (1) SA 639 (WLD) at 648</w:t>
      </w:r>
      <w:r w:rsidR="00B559EF" w:rsidRPr="009041E1">
        <w:rPr>
          <w:rFonts w:ascii="Times New Roman" w:hAnsi="Times New Roman" w:cs="Times New Roman"/>
        </w:rPr>
        <w:t xml:space="preserve">D-649F for a discussion on as to what constitutes an error for purposes of </w:t>
      </w:r>
      <w:r w:rsidR="00A01C27">
        <w:rPr>
          <w:rFonts w:ascii="Times New Roman" w:hAnsi="Times New Roman" w:cs="Times New Roman"/>
        </w:rPr>
        <w:t xml:space="preserve">Uniform </w:t>
      </w:r>
      <w:r w:rsidR="00B559EF" w:rsidRPr="009041E1">
        <w:rPr>
          <w:rFonts w:ascii="Times New Roman" w:hAnsi="Times New Roman" w:cs="Times New Roman"/>
        </w:rPr>
        <w:t>rule 42(1)</w:t>
      </w:r>
      <w:r w:rsidR="00B559EF" w:rsidRPr="00D75D96">
        <w:rPr>
          <w:rFonts w:ascii="Times New Roman" w:hAnsi="Times New Roman" w:cs="Times New Roman"/>
          <w:i/>
        </w:rPr>
        <w:t>(a)</w:t>
      </w:r>
      <w:r w:rsidR="00B559EF" w:rsidRPr="009041E1">
        <w:rPr>
          <w:rFonts w:ascii="Times New Roman" w:hAnsi="Times New Roman" w:cs="Times New Roman"/>
        </w:rPr>
        <w:t>.</w:t>
      </w:r>
    </w:p>
  </w:footnote>
  <w:footnote w:id="6">
    <w:p w:rsidR="00B36DF5" w:rsidRPr="00B36DF5" w:rsidRDefault="00B36DF5">
      <w:pPr>
        <w:pStyle w:val="FootnoteText"/>
        <w:rPr>
          <w:rFonts w:ascii="Times New Roman" w:hAnsi="Times New Roman" w:cs="Times New Roman"/>
        </w:rPr>
      </w:pPr>
      <w:r w:rsidRPr="00B36DF5">
        <w:rPr>
          <w:rStyle w:val="FootnoteReference"/>
          <w:rFonts w:ascii="Times New Roman" w:hAnsi="Times New Roman" w:cs="Times New Roman"/>
        </w:rPr>
        <w:footnoteRef/>
      </w:r>
      <w:r w:rsidRPr="00B36DF5">
        <w:rPr>
          <w:rFonts w:ascii="Times New Roman" w:hAnsi="Times New Roman" w:cs="Times New Roman"/>
        </w:rPr>
        <w:t xml:space="preserve"> For completeness, the returns are attached to the respondent’s answering affidavit as annexures at pages 66, 67 and 71.</w:t>
      </w:r>
    </w:p>
  </w:footnote>
  <w:footnote w:id="7">
    <w:p w:rsidR="00EC1B9E" w:rsidRPr="00EC1B9E" w:rsidRDefault="00EC1B9E">
      <w:pPr>
        <w:pStyle w:val="FootnoteText"/>
        <w:rPr>
          <w:rFonts w:ascii="Times New Roman" w:hAnsi="Times New Roman" w:cs="Times New Roman"/>
        </w:rPr>
      </w:pPr>
      <w:r w:rsidRPr="00EC1B9E">
        <w:rPr>
          <w:rStyle w:val="FootnoteReference"/>
          <w:rFonts w:ascii="Times New Roman" w:hAnsi="Times New Roman" w:cs="Times New Roman"/>
        </w:rPr>
        <w:footnoteRef/>
      </w:r>
      <w:r w:rsidRPr="00EC1B9E">
        <w:rPr>
          <w:rFonts w:ascii="Times New Roman" w:hAnsi="Times New Roman" w:cs="Times New Roman"/>
        </w:rPr>
        <w:t xml:space="preserve"> Annexure SIKHO2.</w:t>
      </w:r>
    </w:p>
  </w:footnote>
  <w:footnote w:id="8">
    <w:p w:rsidR="00B608D6" w:rsidRPr="009041E1" w:rsidRDefault="00B608D6"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001142C1" w:rsidRPr="009041E1">
        <w:rPr>
          <w:rFonts w:ascii="Times New Roman" w:hAnsi="Times New Roman" w:cs="Times New Roman"/>
        </w:rPr>
        <w:t>To the extent considered relevant for present purposes t</w:t>
      </w:r>
      <w:r w:rsidRPr="009041E1">
        <w:rPr>
          <w:rFonts w:ascii="Times New Roman" w:hAnsi="Times New Roman" w:cs="Times New Roman"/>
        </w:rPr>
        <w:t>he rule essentially provides that service</w:t>
      </w:r>
      <w:r w:rsidR="001B762D" w:rsidRPr="009041E1">
        <w:rPr>
          <w:rFonts w:ascii="Times New Roman" w:hAnsi="Times New Roman" w:cs="Times New Roman"/>
        </w:rPr>
        <w:t xml:space="preserve"> of process directed to the sheriff shall be effected ‘in the case of a corporation or company, by delivering a copy to a responsible employee thereof at its registered office or its principal place of business</w:t>
      </w:r>
      <w:r w:rsidR="001142C1" w:rsidRPr="009041E1">
        <w:rPr>
          <w:rFonts w:ascii="Times New Roman" w:hAnsi="Times New Roman" w:cs="Times New Roman"/>
        </w:rPr>
        <w:t xml:space="preserve"> within the court’s jurisdiction…’</w:t>
      </w:r>
    </w:p>
  </w:footnote>
  <w:footnote w:id="9">
    <w:p w:rsidR="00F83C17" w:rsidRPr="009041E1" w:rsidRDefault="00F83C17"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Thembani Wholesalers (Pty) Ltd v September and Another</w:t>
      </w:r>
      <w:r w:rsidRPr="009041E1">
        <w:rPr>
          <w:rFonts w:ascii="Times New Roman" w:hAnsi="Times New Roman" w:cs="Times New Roman"/>
        </w:rPr>
        <w:t xml:space="preserve"> 2014 (5) SA 51 (ECG).</w:t>
      </w:r>
    </w:p>
  </w:footnote>
  <w:footnote w:id="10">
    <w:p w:rsidR="002C217B" w:rsidRPr="009041E1" w:rsidRDefault="002C217B"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00D73BD4" w:rsidRPr="009041E1">
        <w:rPr>
          <w:rFonts w:ascii="Times New Roman" w:hAnsi="Times New Roman" w:cs="Times New Roman"/>
        </w:rPr>
        <w:t xml:space="preserve">Erasmus </w:t>
      </w:r>
      <w:r w:rsidR="00D73BD4" w:rsidRPr="00E22F9C">
        <w:rPr>
          <w:rFonts w:ascii="Times New Roman" w:hAnsi="Times New Roman" w:cs="Times New Roman"/>
          <w:i/>
        </w:rPr>
        <w:t>Superior Court Practice</w:t>
      </w:r>
      <w:r w:rsidR="00D73BD4" w:rsidRPr="009041E1">
        <w:rPr>
          <w:rFonts w:ascii="Times New Roman" w:hAnsi="Times New Roman" w:cs="Times New Roman"/>
        </w:rPr>
        <w:t xml:space="preserve"> [Service 2, 2016] at </w:t>
      </w:r>
      <w:r w:rsidR="00CA0EFF" w:rsidRPr="009041E1">
        <w:rPr>
          <w:rFonts w:ascii="Times New Roman" w:hAnsi="Times New Roman" w:cs="Times New Roman"/>
        </w:rPr>
        <w:t>D</w:t>
      </w:r>
      <w:r w:rsidR="00D73BD4" w:rsidRPr="009041E1">
        <w:rPr>
          <w:rFonts w:ascii="Times New Roman" w:hAnsi="Times New Roman" w:cs="Times New Roman"/>
        </w:rPr>
        <w:t>1-35</w:t>
      </w:r>
      <w:r w:rsidR="00CA0EFF" w:rsidRPr="009041E1">
        <w:rPr>
          <w:rFonts w:ascii="Times New Roman" w:hAnsi="Times New Roman" w:cs="Times New Roman"/>
        </w:rPr>
        <w:t>.</w:t>
      </w:r>
    </w:p>
  </w:footnote>
  <w:footnote w:id="11">
    <w:p w:rsidR="00CA0EFF" w:rsidRPr="009041E1" w:rsidRDefault="00CA0EFF"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Federated Insurance Co Ltd v Malawana</w:t>
      </w:r>
      <w:r w:rsidRPr="009041E1">
        <w:rPr>
          <w:rFonts w:ascii="Times New Roman" w:hAnsi="Times New Roman" w:cs="Times New Roman"/>
        </w:rPr>
        <w:t xml:space="preserve"> 1986 (1) SA 751 (AD) at 759E.</w:t>
      </w:r>
    </w:p>
  </w:footnote>
  <w:footnote w:id="12">
    <w:p w:rsidR="00803AF6" w:rsidRPr="009041E1" w:rsidRDefault="00803AF6"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Section 43(2) of the Superior Courts Act 10 of 2013; see also </w:t>
      </w:r>
      <w:r w:rsidRPr="00E22F9C">
        <w:rPr>
          <w:rFonts w:ascii="Times New Roman" w:hAnsi="Times New Roman" w:cs="Times New Roman"/>
          <w:i/>
        </w:rPr>
        <w:t>Van Vuuren v Jansen</w:t>
      </w:r>
      <w:r w:rsidRPr="009041E1">
        <w:rPr>
          <w:rFonts w:ascii="Times New Roman" w:hAnsi="Times New Roman" w:cs="Times New Roman"/>
        </w:rPr>
        <w:t xml:space="preserve"> 1977 (3) SA 1062 (T)</w:t>
      </w:r>
      <w:r w:rsidR="00AC3057" w:rsidRPr="009041E1">
        <w:rPr>
          <w:rFonts w:ascii="Times New Roman" w:hAnsi="Times New Roman" w:cs="Times New Roman"/>
        </w:rPr>
        <w:t>.</w:t>
      </w:r>
    </w:p>
  </w:footnote>
  <w:footnote w:id="13">
    <w:p w:rsidR="00A40502" w:rsidRPr="009041E1" w:rsidRDefault="00A40502"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9041E1">
        <w:rPr>
          <w:rFonts w:ascii="Times New Roman" w:hAnsi="Times New Roman" w:cs="Times New Roman"/>
          <w:i/>
        </w:rPr>
        <w:t>De Wet and Others v Western Bank Ltd</w:t>
      </w:r>
      <w:r w:rsidRPr="009041E1">
        <w:rPr>
          <w:rFonts w:ascii="Times New Roman" w:hAnsi="Times New Roman" w:cs="Times New Roman"/>
        </w:rPr>
        <w:t xml:space="preserve"> 1979 (2) SA 1031 (A) at 1042F-1043A; </w:t>
      </w:r>
      <w:r w:rsidR="00F43B3B">
        <w:rPr>
          <w:rFonts w:ascii="Times New Roman" w:hAnsi="Times New Roman" w:cs="Times New Roman"/>
        </w:rPr>
        <w:t xml:space="preserve">see </w:t>
      </w:r>
      <w:r w:rsidRPr="009041E1">
        <w:rPr>
          <w:rFonts w:ascii="Times New Roman" w:hAnsi="Times New Roman" w:cs="Times New Roman"/>
        </w:rPr>
        <w:t xml:space="preserve">also </w:t>
      </w:r>
      <w:r w:rsidRPr="009041E1">
        <w:rPr>
          <w:rFonts w:ascii="Times New Roman" w:hAnsi="Times New Roman" w:cs="Times New Roman"/>
          <w:i/>
        </w:rPr>
        <w:t>Athmaram v Singh</w:t>
      </w:r>
      <w:r w:rsidRPr="009041E1">
        <w:rPr>
          <w:rFonts w:ascii="Times New Roman" w:hAnsi="Times New Roman" w:cs="Times New Roman"/>
        </w:rPr>
        <w:t xml:space="preserve"> 1989 (3) SA 953 (D&amp;CLD) at 954E</w:t>
      </w:r>
      <w:r w:rsidR="006326CD">
        <w:rPr>
          <w:rFonts w:ascii="Times New Roman" w:hAnsi="Times New Roman" w:cs="Times New Roman"/>
        </w:rPr>
        <w:t>.</w:t>
      </w:r>
    </w:p>
  </w:footnote>
  <w:footnote w:id="14">
    <w:p w:rsidR="00A40502" w:rsidRPr="009041E1" w:rsidRDefault="00A40502"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9041E1">
        <w:rPr>
          <w:rFonts w:ascii="Times New Roman" w:hAnsi="Times New Roman" w:cs="Times New Roman"/>
          <w:i/>
        </w:rPr>
        <w:t>Athmaram v Singh supra</w:t>
      </w:r>
      <w:r w:rsidRPr="009041E1">
        <w:rPr>
          <w:rFonts w:ascii="Times New Roman" w:hAnsi="Times New Roman" w:cs="Times New Roman"/>
        </w:rPr>
        <w:t xml:space="preserve"> at 957C;</w:t>
      </w:r>
      <w:r w:rsidRPr="009041E1">
        <w:rPr>
          <w:rFonts w:ascii="Times New Roman" w:hAnsi="Times New Roman" w:cs="Times New Roman"/>
          <w:i/>
        </w:rPr>
        <w:t xml:space="preserve"> Chetty v Law Society, Transvaal </w:t>
      </w:r>
      <w:r w:rsidRPr="005146DD">
        <w:rPr>
          <w:rFonts w:ascii="Times New Roman" w:hAnsi="Times New Roman" w:cs="Times New Roman"/>
        </w:rPr>
        <w:t>1985 (2) SA 756 (A); also</w:t>
      </w:r>
      <w:r w:rsidRPr="009041E1">
        <w:rPr>
          <w:rFonts w:ascii="Times New Roman" w:hAnsi="Times New Roman" w:cs="Times New Roman"/>
          <w:i/>
        </w:rPr>
        <w:t xml:space="preserve"> Mosenogi NO and Another v 22 Webster</w:t>
      </w:r>
      <w:r w:rsidRPr="005146DD">
        <w:rPr>
          <w:rFonts w:ascii="Times New Roman" w:hAnsi="Times New Roman" w:cs="Times New Roman"/>
        </w:rPr>
        <w:t xml:space="preserve"> </w:t>
      </w:r>
      <w:r w:rsidR="005146DD" w:rsidRPr="005146DD">
        <w:rPr>
          <w:rFonts w:ascii="Times New Roman" w:hAnsi="Times New Roman" w:cs="Times New Roman"/>
        </w:rPr>
        <w:t>[</w:t>
      </w:r>
      <w:r w:rsidRPr="005146DD">
        <w:rPr>
          <w:rFonts w:ascii="Times New Roman" w:hAnsi="Times New Roman" w:cs="Times New Roman"/>
        </w:rPr>
        <w:t>2020] ZAGPPHC 127</w:t>
      </w:r>
      <w:r w:rsidRPr="009041E1">
        <w:rPr>
          <w:rFonts w:ascii="Times New Roman" w:hAnsi="Times New Roman" w:cs="Times New Roman"/>
          <w:i/>
        </w:rPr>
        <w:t xml:space="preserve"> </w:t>
      </w:r>
      <w:r w:rsidRPr="00D75D96">
        <w:rPr>
          <w:rFonts w:ascii="Times New Roman" w:hAnsi="Times New Roman" w:cs="Times New Roman"/>
        </w:rPr>
        <w:t>para</w:t>
      </w:r>
      <w:r w:rsidR="005146DD" w:rsidRPr="00D75D96">
        <w:rPr>
          <w:rFonts w:ascii="Times New Roman" w:hAnsi="Times New Roman" w:cs="Times New Roman"/>
        </w:rPr>
        <w:t xml:space="preserve"> </w:t>
      </w:r>
      <w:r w:rsidRPr="00D75D96">
        <w:rPr>
          <w:rFonts w:ascii="Times New Roman" w:hAnsi="Times New Roman" w:cs="Times New Roman"/>
        </w:rPr>
        <w:t>9; and</w:t>
      </w:r>
      <w:r w:rsidRPr="009041E1">
        <w:rPr>
          <w:rFonts w:ascii="Times New Roman" w:hAnsi="Times New Roman" w:cs="Times New Roman"/>
          <w:i/>
        </w:rPr>
        <w:t xml:space="preserve"> Mutebwa supra </w:t>
      </w:r>
      <w:r w:rsidRPr="005146DD">
        <w:rPr>
          <w:rFonts w:ascii="Times New Roman" w:hAnsi="Times New Roman" w:cs="Times New Roman"/>
        </w:rPr>
        <w:t>at 198I</w:t>
      </w:r>
      <w:r w:rsidRPr="009041E1">
        <w:rPr>
          <w:rFonts w:ascii="Times New Roman" w:hAnsi="Times New Roman" w:cs="Times New Roman"/>
          <w:i/>
        </w:rPr>
        <w:t>.</w:t>
      </w:r>
    </w:p>
  </w:footnote>
  <w:footnote w:id="15">
    <w:p w:rsidR="007B1540" w:rsidRPr="009041E1" w:rsidRDefault="007B1540"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E22F9C">
        <w:rPr>
          <w:rFonts w:ascii="Times New Roman" w:hAnsi="Times New Roman" w:cs="Times New Roman"/>
          <w:i/>
        </w:rPr>
        <w:t>Mutebwa supra</w:t>
      </w:r>
      <w:r w:rsidRPr="009041E1">
        <w:rPr>
          <w:rFonts w:ascii="Times New Roman" w:hAnsi="Times New Roman" w:cs="Times New Roman"/>
        </w:rPr>
        <w:t xml:space="preserve"> at 197E-F.</w:t>
      </w:r>
    </w:p>
  </w:footnote>
  <w:footnote w:id="16">
    <w:p w:rsidR="00A40502" w:rsidRPr="009041E1" w:rsidRDefault="00A40502"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9041E1">
        <w:rPr>
          <w:rFonts w:ascii="Times New Roman" w:hAnsi="Times New Roman" w:cs="Times New Roman"/>
          <w:i/>
        </w:rPr>
        <w:t>De Witts Auto Body Repairs (Pty) Ltd v Fedgen Insurance Co Ltd</w:t>
      </w:r>
      <w:r w:rsidRPr="009041E1">
        <w:rPr>
          <w:rFonts w:ascii="Times New Roman" w:hAnsi="Times New Roman" w:cs="Times New Roman"/>
        </w:rPr>
        <w:t xml:space="preserve"> 1994 (4) SA 705 (ECD) at 708H-J; </w:t>
      </w:r>
      <w:r w:rsidRPr="009041E1">
        <w:rPr>
          <w:rFonts w:ascii="Times New Roman" w:hAnsi="Times New Roman" w:cs="Times New Roman"/>
          <w:i/>
        </w:rPr>
        <w:t>Athmaram v Singh supra</w:t>
      </w:r>
      <w:r w:rsidRPr="009041E1">
        <w:rPr>
          <w:rFonts w:ascii="Times New Roman" w:hAnsi="Times New Roman" w:cs="Times New Roman"/>
        </w:rPr>
        <w:t xml:space="preserve"> at 957C. As to what is meant by the words ‘a prima facie defence’, the court in </w:t>
      </w:r>
      <w:r w:rsidRPr="00621DC3">
        <w:rPr>
          <w:rFonts w:ascii="Times New Roman" w:hAnsi="Times New Roman" w:cs="Times New Roman"/>
          <w:i/>
        </w:rPr>
        <w:t>Sanderson Technitool (Pty) Ltd v Intermenua (Pty) Ltd</w:t>
      </w:r>
      <w:r w:rsidRPr="009041E1">
        <w:rPr>
          <w:rFonts w:ascii="Times New Roman" w:hAnsi="Times New Roman" w:cs="Times New Roman"/>
        </w:rPr>
        <w:t xml:space="preserve"> 1980 (4) SA 573 (WLD) at 575H-576A, stated: ‘It is sufficient if he sets out a prima facie defence in the sense of setting out averments, </w:t>
      </w:r>
      <w:r w:rsidRPr="009041E1">
        <w:rPr>
          <w:rFonts w:ascii="Times New Roman" w:hAnsi="Times New Roman" w:cs="Times New Roman"/>
          <w:i/>
        </w:rPr>
        <w:t>which if established at trial</w:t>
      </w:r>
      <w:r w:rsidRPr="009041E1">
        <w:rPr>
          <w:rFonts w:ascii="Times New Roman" w:hAnsi="Times New Roman" w:cs="Times New Roman"/>
        </w:rPr>
        <w:t>, would entitle him to the relief asked for. He need not deal fully with the merits of the case or produce evidence that the probabilities are actually in his favour.’</w:t>
      </w:r>
    </w:p>
  </w:footnote>
  <w:footnote w:id="17">
    <w:p w:rsidR="004D1581" w:rsidRPr="009041E1" w:rsidRDefault="004D1581"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00AD06A5" w:rsidRPr="00AD06A5">
        <w:rPr>
          <w:rFonts w:ascii="Times New Roman" w:hAnsi="Times New Roman" w:cs="Times New Roman"/>
          <w:i/>
        </w:rPr>
        <w:t>Sanderson Technitool (Pty) Ltd v Intermenua (Pty) Ltd</w:t>
      </w:r>
      <w:r w:rsidR="00AD06A5" w:rsidRPr="00AD06A5">
        <w:rPr>
          <w:rFonts w:ascii="Times New Roman" w:hAnsi="Times New Roman" w:cs="Times New Roman"/>
        </w:rPr>
        <w:t xml:space="preserve"> </w:t>
      </w:r>
      <w:r w:rsidRPr="009041E1">
        <w:rPr>
          <w:rFonts w:ascii="Times New Roman" w:hAnsi="Times New Roman" w:cs="Times New Roman"/>
        </w:rPr>
        <w:t>1980 (4) SA 573 (WLD) at 575H-576A</w:t>
      </w:r>
      <w:r w:rsidR="000A48C4" w:rsidRPr="009041E1">
        <w:rPr>
          <w:rFonts w:ascii="Times New Roman" w:hAnsi="Times New Roman" w:cs="Times New Roman"/>
        </w:rPr>
        <w:t>.</w:t>
      </w:r>
    </w:p>
  </w:footnote>
  <w:footnote w:id="18">
    <w:p w:rsidR="003B12E9" w:rsidRPr="009041E1" w:rsidRDefault="003B12E9"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Pr="00621DC3">
        <w:rPr>
          <w:rFonts w:ascii="Times New Roman" w:hAnsi="Times New Roman" w:cs="Times New Roman"/>
          <w:i/>
        </w:rPr>
        <w:t>Mutebwa supra</w:t>
      </w:r>
      <w:r w:rsidRPr="009041E1">
        <w:rPr>
          <w:rFonts w:ascii="Times New Roman" w:hAnsi="Times New Roman" w:cs="Times New Roman"/>
        </w:rPr>
        <w:t xml:space="preserve"> at 197G</w:t>
      </w:r>
      <w:r w:rsidR="00BD4246">
        <w:rPr>
          <w:rFonts w:ascii="Times New Roman" w:hAnsi="Times New Roman" w:cs="Times New Roman"/>
        </w:rPr>
        <w:t>.</w:t>
      </w:r>
    </w:p>
  </w:footnote>
  <w:footnote w:id="19">
    <w:p w:rsidR="00C436D3" w:rsidRPr="009041E1" w:rsidRDefault="00C436D3" w:rsidP="009041E1">
      <w:pPr>
        <w:pStyle w:val="FootnoteText"/>
        <w:jc w:val="both"/>
        <w:rPr>
          <w:rFonts w:ascii="Times New Roman" w:hAnsi="Times New Roman" w:cs="Times New Roman"/>
        </w:rPr>
      </w:pPr>
      <w:r w:rsidRPr="009041E1">
        <w:rPr>
          <w:rStyle w:val="FootnoteReference"/>
          <w:rFonts w:ascii="Times New Roman" w:hAnsi="Times New Roman" w:cs="Times New Roman"/>
        </w:rPr>
        <w:footnoteRef/>
      </w:r>
      <w:r w:rsidRPr="009041E1">
        <w:rPr>
          <w:rFonts w:ascii="Times New Roman" w:hAnsi="Times New Roman" w:cs="Times New Roman"/>
        </w:rPr>
        <w:t xml:space="preserve"> </w:t>
      </w:r>
      <w:r w:rsidR="00B11CB6" w:rsidRPr="00621DC3">
        <w:rPr>
          <w:rFonts w:ascii="Times New Roman" w:hAnsi="Times New Roman" w:cs="Times New Roman"/>
          <w:i/>
        </w:rPr>
        <w:t xml:space="preserve">Nedbank Limited v Dinah Rampersad and </w:t>
      </w:r>
      <w:r w:rsidR="00873898">
        <w:rPr>
          <w:rFonts w:ascii="Times New Roman" w:hAnsi="Times New Roman" w:cs="Times New Roman"/>
          <w:i/>
        </w:rPr>
        <w:t>A</w:t>
      </w:r>
      <w:r w:rsidR="00B11CB6" w:rsidRPr="00621DC3">
        <w:rPr>
          <w:rFonts w:ascii="Times New Roman" w:hAnsi="Times New Roman" w:cs="Times New Roman"/>
          <w:i/>
        </w:rPr>
        <w:t>nother</w:t>
      </w:r>
      <w:r w:rsidR="00BD4246" w:rsidRPr="00873898">
        <w:rPr>
          <w:rFonts w:ascii="Times New Roman" w:hAnsi="Times New Roman" w:cs="Times New Roman"/>
        </w:rPr>
        <w:t>,</w:t>
      </w:r>
      <w:r w:rsidR="00B11CB6" w:rsidRPr="009041E1">
        <w:rPr>
          <w:rFonts w:ascii="Times New Roman" w:hAnsi="Times New Roman" w:cs="Times New Roman"/>
        </w:rPr>
        <w:t xml:space="preserve"> </w:t>
      </w:r>
      <w:r w:rsidR="00BD4246">
        <w:rPr>
          <w:rFonts w:ascii="Times New Roman" w:hAnsi="Times New Roman" w:cs="Times New Roman"/>
        </w:rPr>
        <w:t>u</w:t>
      </w:r>
      <w:r w:rsidR="00B11CB6" w:rsidRPr="009041E1">
        <w:rPr>
          <w:rFonts w:ascii="Times New Roman" w:hAnsi="Times New Roman" w:cs="Times New Roman"/>
        </w:rPr>
        <w:t xml:space="preserve">nreported </w:t>
      </w:r>
      <w:r w:rsidR="00BD4246">
        <w:rPr>
          <w:rFonts w:ascii="Times New Roman" w:hAnsi="Times New Roman" w:cs="Times New Roman"/>
        </w:rPr>
        <w:t>judgment of the Pretoria High Court,</w:t>
      </w:r>
      <w:r w:rsidR="00B11CB6" w:rsidRPr="009041E1">
        <w:rPr>
          <w:rFonts w:ascii="Times New Roman" w:hAnsi="Times New Roman" w:cs="Times New Roman"/>
        </w:rPr>
        <w:t xml:space="preserve"> Case</w:t>
      </w:r>
      <w:r w:rsidR="00BD4246">
        <w:rPr>
          <w:rFonts w:ascii="Times New Roman" w:hAnsi="Times New Roman" w:cs="Times New Roman"/>
        </w:rPr>
        <w:t> </w:t>
      </w:r>
      <w:r w:rsidR="00B11CB6" w:rsidRPr="009041E1">
        <w:rPr>
          <w:rFonts w:ascii="Times New Roman" w:hAnsi="Times New Roman" w:cs="Times New Roman"/>
        </w:rPr>
        <w:t>No</w:t>
      </w:r>
      <w:r w:rsidR="00BD4246">
        <w:rPr>
          <w:rFonts w:ascii="Times New Roman" w:hAnsi="Times New Roman" w:cs="Times New Roman"/>
        </w:rPr>
        <w:t> </w:t>
      </w:r>
      <w:r w:rsidR="00B11CB6" w:rsidRPr="009041E1">
        <w:rPr>
          <w:rFonts w:ascii="Times New Roman" w:hAnsi="Times New Roman" w:cs="Times New Roman"/>
        </w:rPr>
        <w:t>58806/2018 (3 November 2021) para 4.</w:t>
      </w:r>
    </w:p>
  </w:footnote>
  <w:footnote w:id="20">
    <w:p w:rsidR="005668F2" w:rsidRPr="005E7E70" w:rsidRDefault="005668F2">
      <w:pPr>
        <w:pStyle w:val="FootnoteText"/>
        <w:rPr>
          <w:rFonts w:ascii="Times New Roman" w:hAnsi="Times New Roman" w:cs="Times New Roman"/>
        </w:rPr>
      </w:pPr>
      <w:r w:rsidRPr="005E7E70">
        <w:rPr>
          <w:rStyle w:val="FootnoteReference"/>
          <w:rFonts w:ascii="Times New Roman" w:hAnsi="Times New Roman" w:cs="Times New Roman"/>
        </w:rPr>
        <w:footnoteRef/>
      </w:r>
      <w:r w:rsidRPr="005E7E70">
        <w:rPr>
          <w:rFonts w:ascii="Times New Roman" w:hAnsi="Times New Roman" w:cs="Times New Roman"/>
        </w:rPr>
        <w:t xml:space="preserve"> </w:t>
      </w:r>
      <w:r w:rsidR="00144503" w:rsidRPr="005E7E70">
        <w:rPr>
          <w:rFonts w:ascii="Times New Roman" w:hAnsi="Times New Roman" w:cs="Times New Roman"/>
          <w:i/>
        </w:rPr>
        <w:t>JAN v NCN</w:t>
      </w:r>
      <w:r w:rsidR="00144503" w:rsidRPr="005E7E70">
        <w:rPr>
          <w:rFonts w:ascii="Times New Roman" w:hAnsi="Times New Roman" w:cs="Times New Roman"/>
        </w:rPr>
        <w:t xml:space="preserve"> [2022] ZAECMKHC 47 paras 13-14.</w:t>
      </w:r>
    </w:p>
  </w:footnote>
  <w:footnote w:id="21">
    <w:p w:rsidR="00886F36" w:rsidRPr="00E06B07" w:rsidRDefault="00886F36" w:rsidP="00E06B07">
      <w:pPr>
        <w:pStyle w:val="FootnoteText"/>
        <w:jc w:val="both"/>
        <w:rPr>
          <w:rFonts w:ascii="Times New Roman" w:hAnsi="Times New Roman" w:cs="Times New Roman"/>
        </w:rPr>
      </w:pPr>
      <w:r w:rsidRPr="00E06B07">
        <w:rPr>
          <w:rStyle w:val="FootnoteReference"/>
          <w:rFonts w:ascii="Times New Roman" w:hAnsi="Times New Roman" w:cs="Times New Roman"/>
        </w:rPr>
        <w:footnoteRef/>
      </w:r>
      <w:r w:rsidRPr="00E06B07">
        <w:rPr>
          <w:rFonts w:ascii="Times New Roman" w:hAnsi="Times New Roman" w:cs="Times New Roman"/>
        </w:rPr>
        <w:t xml:space="preserve"> The affidavit is dated 14 June 2021 and is attached to the applicant’s founding affidavit at pages 32-34.</w:t>
      </w:r>
    </w:p>
  </w:footnote>
  <w:footnote w:id="22">
    <w:p w:rsidR="00C65DFE" w:rsidRPr="00E06B07" w:rsidRDefault="00C65DFE" w:rsidP="00E06B07">
      <w:pPr>
        <w:pStyle w:val="FootnoteText"/>
        <w:jc w:val="both"/>
        <w:rPr>
          <w:rFonts w:ascii="Times New Roman" w:hAnsi="Times New Roman" w:cs="Times New Roman"/>
        </w:rPr>
      </w:pPr>
      <w:r w:rsidRPr="00E06B07">
        <w:rPr>
          <w:rStyle w:val="FootnoteReference"/>
          <w:rFonts w:ascii="Times New Roman" w:hAnsi="Times New Roman" w:cs="Times New Roman"/>
        </w:rPr>
        <w:footnoteRef/>
      </w:r>
      <w:r w:rsidRPr="00E06B07">
        <w:rPr>
          <w:rFonts w:ascii="Times New Roman" w:hAnsi="Times New Roman" w:cs="Times New Roman"/>
        </w:rPr>
        <w:t xml:space="preserve"> </w:t>
      </w:r>
      <w:r w:rsidR="00262F04">
        <w:rPr>
          <w:rFonts w:ascii="Times New Roman" w:hAnsi="Times New Roman" w:cs="Times New Roman"/>
        </w:rPr>
        <w:t>See a</w:t>
      </w:r>
      <w:r w:rsidR="00534489" w:rsidRPr="00E06B07">
        <w:rPr>
          <w:rFonts w:ascii="Times New Roman" w:hAnsi="Times New Roman" w:cs="Times New Roman"/>
        </w:rPr>
        <w:t>nswering</w:t>
      </w:r>
      <w:r w:rsidRPr="00E06B07">
        <w:rPr>
          <w:rFonts w:ascii="Times New Roman" w:hAnsi="Times New Roman" w:cs="Times New Roman"/>
        </w:rPr>
        <w:t xml:space="preserve"> affidavit</w:t>
      </w:r>
      <w:r w:rsidR="0085386D" w:rsidRPr="00E06B07">
        <w:rPr>
          <w:rFonts w:ascii="Times New Roman" w:hAnsi="Times New Roman" w:cs="Times New Roman"/>
        </w:rPr>
        <w:t xml:space="preserve"> Basetsana Matolong, dated 12 July 2021 paragraphs 5 to 15</w:t>
      </w:r>
      <w:r w:rsidR="001A1670" w:rsidRPr="00E06B07">
        <w:rPr>
          <w:rFonts w:ascii="Times New Roman" w:hAnsi="Times New Roman" w:cs="Times New Roman"/>
        </w:rPr>
        <w:t>.</w:t>
      </w:r>
    </w:p>
  </w:footnote>
  <w:footnote w:id="23">
    <w:p w:rsidR="0085386D" w:rsidRDefault="0085386D" w:rsidP="00E06B07">
      <w:pPr>
        <w:pStyle w:val="FootnoteText"/>
        <w:jc w:val="both"/>
      </w:pPr>
      <w:r w:rsidRPr="00E06B07">
        <w:rPr>
          <w:rStyle w:val="FootnoteReference"/>
          <w:rFonts w:ascii="Times New Roman" w:hAnsi="Times New Roman" w:cs="Times New Roman"/>
        </w:rPr>
        <w:footnoteRef/>
      </w:r>
      <w:r w:rsidRPr="00E06B07">
        <w:rPr>
          <w:rFonts w:ascii="Times New Roman" w:hAnsi="Times New Roman" w:cs="Times New Roman"/>
        </w:rPr>
        <w:t xml:space="preserve"> </w:t>
      </w:r>
      <w:r w:rsidR="00D26DCD" w:rsidRPr="00E06B07">
        <w:rPr>
          <w:rFonts w:ascii="Times New Roman" w:hAnsi="Times New Roman" w:cs="Times New Roman"/>
        </w:rPr>
        <w:t xml:space="preserve">Marileze Marais </w:t>
      </w:r>
      <w:r w:rsidR="00910FD0">
        <w:rPr>
          <w:rFonts w:ascii="Times New Roman" w:hAnsi="Times New Roman" w:cs="Times New Roman"/>
        </w:rPr>
        <w:t xml:space="preserve">at </w:t>
      </w:r>
      <w:r w:rsidR="00D26DCD" w:rsidRPr="00E06B07">
        <w:rPr>
          <w:rFonts w:ascii="Times New Roman" w:hAnsi="Times New Roman" w:cs="Times New Roman"/>
        </w:rPr>
        <w:t xml:space="preserve">72 and Jason Myles De Klerk </w:t>
      </w:r>
      <w:r w:rsidR="00910FD0">
        <w:rPr>
          <w:rFonts w:ascii="Times New Roman" w:hAnsi="Times New Roman" w:cs="Times New Roman"/>
        </w:rPr>
        <w:t xml:space="preserve">at </w:t>
      </w:r>
      <w:r w:rsidR="00D26DCD" w:rsidRPr="00E06B07">
        <w:rPr>
          <w:rFonts w:ascii="Times New Roman" w:hAnsi="Times New Roman" w:cs="Times New Roman"/>
        </w:rPr>
        <w:t>74</w:t>
      </w:r>
      <w:r w:rsidR="001A1670" w:rsidRPr="00E06B0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69232"/>
      <w:docPartObj>
        <w:docPartGallery w:val="Page Numbers (Top of Page)"/>
        <w:docPartUnique/>
      </w:docPartObj>
    </w:sdtPr>
    <w:sdtEndPr>
      <w:rPr>
        <w:rFonts w:ascii="Times New Roman" w:hAnsi="Times New Roman" w:cs="Times New Roman"/>
        <w:noProof/>
      </w:rPr>
    </w:sdtEndPr>
    <w:sdtContent>
      <w:p w:rsidR="00095BB2" w:rsidRPr="00D75D96" w:rsidRDefault="00095BB2">
        <w:pPr>
          <w:pStyle w:val="Header"/>
          <w:jc w:val="right"/>
          <w:rPr>
            <w:rFonts w:ascii="Times New Roman" w:hAnsi="Times New Roman" w:cs="Times New Roman"/>
          </w:rPr>
        </w:pPr>
        <w:r w:rsidRPr="00D75D96">
          <w:rPr>
            <w:rFonts w:ascii="Times New Roman" w:hAnsi="Times New Roman" w:cs="Times New Roman"/>
          </w:rPr>
          <w:fldChar w:fldCharType="begin"/>
        </w:r>
        <w:r w:rsidRPr="00D75D96">
          <w:rPr>
            <w:rFonts w:ascii="Times New Roman" w:hAnsi="Times New Roman" w:cs="Times New Roman"/>
          </w:rPr>
          <w:instrText xml:space="preserve"> PAGE   \* MERGEFORMAT </w:instrText>
        </w:r>
        <w:r w:rsidRPr="00D75D96">
          <w:rPr>
            <w:rFonts w:ascii="Times New Roman" w:hAnsi="Times New Roman" w:cs="Times New Roman"/>
          </w:rPr>
          <w:fldChar w:fldCharType="separate"/>
        </w:r>
        <w:r w:rsidR="00AE4C99">
          <w:rPr>
            <w:rFonts w:ascii="Times New Roman" w:hAnsi="Times New Roman" w:cs="Times New Roman"/>
            <w:noProof/>
          </w:rPr>
          <w:t>2</w:t>
        </w:r>
        <w:r w:rsidRPr="00D75D96">
          <w:rPr>
            <w:rFonts w:ascii="Times New Roman" w:hAnsi="Times New Roman" w:cs="Times New Roman"/>
            <w:noProof/>
          </w:rPr>
          <w:fldChar w:fldCharType="end"/>
        </w:r>
      </w:p>
    </w:sdtContent>
  </w:sdt>
  <w:p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A3877"/>
    <w:multiLevelType w:val="hybridMultilevel"/>
    <w:tmpl w:val="69880DF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4FEBEB-450B-4F7F-88F1-521DCDD5BA4A}"/>
    <w:docVar w:name="dgnword-eventsink" w:val="170137768"/>
  </w:docVars>
  <w:rsids>
    <w:rsidRoot w:val="00354A12"/>
    <w:rsid w:val="00001920"/>
    <w:rsid w:val="00007574"/>
    <w:rsid w:val="0002088A"/>
    <w:rsid w:val="000264F6"/>
    <w:rsid w:val="0003335F"/>
    <w:rsid w:val="00035292"/>
    <w:rsid w:val="00051F54"/>
    <w:rsid w:val="0005280D"/>
    <w:rsid w:val="00054133"/>
    <w:rsid w:val="000559BB"/>
    <w:rsid w:val="00063D9C"/>
    <w:rsid w:val="000650D3"/>
    <w:rsid w:val="000651A9"/>
    <w:rsid w:val="000821F1"/>
    <w:rsid w:val="00082340"/>
    <w:rsid w:val="00093BD4"/>
    <w:rsid w:val="00093ED4"/>
    <w:rsid w:val="00093F7A"/>
    <w:rsid w:val="00095488"/>
    <w:rsid w:val="00095BB2"/>
    <w:rsid w:val="000A0C6E"/>
    <w:rsid w:val="000A2C0A"/>
    <w:rsid w:val="000A48C4"/>
    <w:rsid w:val="000A7984"/>
    <w:rsid w:val="000C4C31"/>
    <w:rsid w:val="000C51C1"/>
    <w:rsid w:val="000D1DCE"/>
    <w:rsid w:val="000D259A"/>
    <w:rsid w:val="000D3E8D"/>
    <w:rsid w:val="000D3F9D"/>
    <w:rsid w:val="000E5AB8"/>
    <w:rsid w:val="000E5CD1"/>
    <w:rsid w:val="000E79E7"/>
    <w:rsid w:val="000F26A6"/>
    <w:rsid w:val="001030EE"/>
    <w:rsid w:val="001078C4"/>
    <w:rsid w:val="001102E1"/>
    <w:rsid w:val="00112A36"/>
    <w:rsid w:val="001142C1"/>
    <w:rsid w:val="00116282"/>
    <w:rsid w:val="001244B6"/>
    <w:rsid w:val="00126CD9"/>
    <w:rsid w:val="001271A8"/>
    <w:rsid w:val="00131665"/>
    <w:rsid w:val="00135A67"/>
    <w:rsid w:val="00137F24"/>
    <w:rsid w:val="00144503"/>
    <w:rsid w:val="00144DF7"/>
    <w:rsid w:val="001513A5"/>
    <w:rsid w:val="00165BE6"/>
    <w:rsid w:val="00170BA2"/>
    <w:rsid w:val="001742E3"/>
    <w:rsid w:val="0017555E"/>
    <w:rsid w:val="00183EC2"/>
    <w:rsid w:val="001852FA"/>
    <w:rsid w:val="0018677A"/>
    <w:rsid w:val="001900A9"/>
    <w:rsid w:val="001A1670"/>
    <w:rsid w:val="001A184F"/>
    <w:rsid w:val="001A35A3"/>
    <w:rsid w:val="001A4EAC"/>
    <w:rsid w:val="001A55D3"/>
    <w:rsid w:val="001B2FE7"/>
    <w:rsid w:val="001B3194"/>
    <w:rsid w:val="001B762D"/>
    <w:rsid w:val="001B7854"/>
    <w:rsid w:val="001C0F2E"/>
    <w:rsid w:val="001C335E"/>
    <w:rsid w:val="001C467E"/>
    <w:rsid w:val="001C7233"/>
    <w:rsid w:val="001D5ECA"/>
    <w:rsid w:val="001E1148"/>
    <w:rsid w:val="001F3899"/>
    <w:rsid w:val="001F6CD3"/>
    <w:rsid w:val="00200A87"/>
    <w:rsid w:val="0020304B"/>
    <w:rsid w:val="00207F06"/>
    <w:rsid w:val="002102A1"/>
    <w:rsid w:val="002151FB"/>
    <w:rsid w:val="00215DA8"/>
    <w:rsid w:val="0022154B"/>
    <w:rsid w:val="0022264D"/>
    <w:rsid w:val="002246D8"/>
    <w:rsid w:val="00225E7D"/>
    <w:rsid w:val="0022687A"/>
    <w:rsid w:val="002307F2"/>
    <w:rsid w:val="002377AA"/>
    <w:rsid w:val="002409A9"/>
    <w:rsid w:val="00241DB7"/>
    <w:rsid w:val="002451AC"/>
    <w:rsid w:val="00245D64"/>
    <w:rsid w:val="00246984"/>
    <w:rsid w:val="00247D48"/>
    <w:rsid w:val="0025331A"/>
    <w:rsid w:val="00253915"/>
    <w:rsid w:val="0025497B"/>
    <w:rsid w:val="0025509E"/>
    <w:rsid w:val="002607BA"/>
    <w:rsid w:val="00262F04"/>
    <w:rsid w:val="0026738E"/>
    <w:rsid w:val="00275BE1"/>
    <w:rsid w:val="0028094E"/>
    <w:rsid w:val="00283F8F"/>
    <w:rsid w:val="00286D07"/>
    <w:rsid w:val="00292974"/>
    <w:rsid w:val="00293402"/>
    <w:rsid w:val="00294C54"/>
    <w:rsid w:val="00294E9F"/>
    <w:rsid w:val="00295F84"/>
    <w:rsid w:val="002960E4"/>
    <w:rsid w:val="002A2F87"/>
    <w:rsid w:val="002A5DF2"/>
    <w:rsid w:val="002B4E84"/>
    <w:rsid w:val="002B665B"/>
    <w:rsid w:val="002B6BF7"/>
    <w:rsid w:val="002B7A11"/>
    <w:rsid w:val="002C17B1"/>
    <w:rsid w:val="002C217B"/>
    <w:rsid w:val="002C2C57"/>
    <w:rsid w:val="002D64D2"/>
    <w:rsid w:val="002E15B2"/>
    <w:rsid w:val="002E4991"/>
    <w:rsid w:val="003063DC"/>
    <w:rsid w:val="00306CEC"/>
    <w:rsid w:val="003107D5"/>
    <w:rsid w:val="0031132A"/>
    <w:rsid w:val="003136E4"/>
    <w:rsid w:val="003173BB"/>
    <w:rsid w:val="003202CC"/>
    <w:rsid w:val="00324991"/>
    <w:rsid w:val="00324DF5"/>
    <w:rsid w:val="003309A1"/>
    <w:rsid w:val="00333CF0"/>
    <w:rsid w:val="00343278"/>
    <w:rsid w:val="00354A12"/>
    <w:rsid w:val="00362DFA"/>
    <w:rsid w:val="003663E9"/>
    <w:rsid w:val="00375A1E"/>
    <w:rsid w:val="003778AE"/>
    <w:rsid w:val="00382B02"/>
    <w:rsid w:val="00386A9E"/>
    <w:rsid w:val="003A2E0B"/>
    <w:rsid w:val="003A551F"/>
    <w:rsid w:val="003A734A"/>
    <w:rsid w:val="003B0670"/>
    <w:rsid w:val="003B12E9"/>
    <w:rsid w:val="003B3B66"/>
    <w:rsid w:val="003C1413"/>
    <w:rsid w:val="003C36E9"/>
    <w:rsid w:val="003D1E8E"/>
    <w:rsid w:val="003D5F39"/>
    <w:rsid w:val="003D7A6B"/>
    <w:rsid w:val="003F0AEE"/>
    <w:rsid w:val="003F32ED"/>
    <w:rsid w:val="003F50FC"/>
    <w:rsid w:val="003F6B95"/>
    <w:rsid w:val="00412AE4"/>
    <w:rsid w:val="004143F3"/>
    <w:rsid w:val="00417CEC"/>
    <w:rsid w:val="004261A2"/>
    <w:rsid w:val="00433FEA"/>
    <w:rsid w:val="0043599A"/>
    <w:rsid w:val="00442A6C"/>
    <w:rsid w:val="00446DA6"/>
    <w:rsid w:val="00460C65"/>
    <w:rsid w:val="0046456A"/>
    <w:rsid w:val="00465A51"/>
    <w:rsid w:val="004754FA"/>
    <w:rsid w:val="00481837"/>
    <w:rsid w:val="004846E7"/>
    <w:rsid w:val="004A33DE"/>
    <w:rsid w:val="004A44C7"/>
    <w:rsid w:val="004B56E6"/>
    <w:rsid w:val="004D1581"/>
    <w:rsid w:val="004D6A68"/>
    <w:rsid w:val="004E1F65"/>
    <w:rsid w:val="004E203B"/>
    <w:rsid w:val="004E374C"/>
    <w:rsid w:val="004F2819"/>
    <w:rsid w:val="004F42F1"/>
    <w:rsid w:val="004F5056"/>
    <w:rsid w:val="004F717F"/>
    <w:rsid w:val="004F7593"/>
    <w:rsid w:val="00502CEC"/>
    <w:rsid w:val="0051324C"/>
    <w:rsid w:val="005146DD"/>
    <w:rsid w:val="00522FCE"/>
    <w:rsid w:val="005240FC"/>
    <w:rsid w:val="0053442C"/>
    <w:rsid w:val="00534489"/>
    <w:rsid w:val="005409DB"/>
    <w:rsid w:val="005520E5"/>
    <w:rsid w:val="0056126B"/>
    <w:rsid w:val="00562B46"/>
    <w:rsid w:val="005635D2"/>
    <w:rsid w:val="005643F5"/>
    <w:rsid w:val="00565B21"/>
    <w:rsid w:val="005668F2"/>
    <w:rsid w:val="005672A3"/>
    <w:rsid w:val="0057137C"/>
    <w:rsid w:val="005A0028"/>
    <w:rsid w:val="005A13B4"/>
    <w:rsid w:val="005A5BB2"/>
    <w:rsid w:val="005A767C"/>
    <w:rsid w:val="005B6B56"/>
    <w:rsid w:val="005B7288"/>
    <w:rsid w:val="005B7BD5"/>
    <w:rsid w:val="005D3999"/>
    <w:rsid w:val="005D5228"/>
    <w:rsid w:val="005D67C5"/>
    <w:rsid w:val="005E0452"/>
    <w:rsid w:val="005E2EC6"/>
    <w:rsid w:val="005E7E70"/>
    <w:rsid w:val="00605DE8"/>
    <w:rsid w:val="00616ACB"/>
    <w:rsid w:val="00621DC3"/>
    <w:rsid w:val="006251D9"/>
    <w:rsid w:val="00630D24"/>
    <w:rsid w:val="00630EAE"/>
    <w:rsid w:val="006326CD"/>
    <w:rsid w:val="00633710"/>
    <w:rsid w:val="0064669E"/>
    <w:rsid w:val="00652132"/>
    <w:rsid w:val="006525D2"/>
    <w:rsid w:val="00653492"/>
    <w:rsid w:val="00654004"/>
    <w:rsid w:val="00654A46"/>
    <w:rsid w:val="006602DB"/>
    <w:rsid w:val="00661F7C"/>
    <w:rsid w:val="0067515B"/>
    <w:rsid w:val="006769EE"/>
    <w:rsid w:val="0069648F"/>
    <w:rsid w:val="00696F50"/>
    <w:rsid w:val="006A1CDD"/>
    <w:rsid w:val="006A2DFD"/>
    <w:rsid w:val="006A6096"/>
    <w:rsid w:val="006B3FF5"/>
    <w:rsid w:val="006B499B"/>
    <w:rsid w:val="006B6D5E"/>
    <w:rsid w:val="006C07A3"/>
    <w:rsid w:val="006C0E42"/>
    <w:rsid w:val="006C1D31"/>
    <w:rsid w:val="006C3371"/>
    <w:rsid w:val="006D2C66"/>
    <w:rsid w:val="006D5DCD"/>
    <w:rsid w:val="006D6334"/>
    <w:rsid w:val="006E4A11"/>
    <w:rsid w:val="006F0941"/>
    <w:rsid w:val="006F1C22"/>
    <w:rsid w:val="006F6F17"/>
    <w:rsid w:val="00705661"/>
    <w:rsid w:val="00706F42"/>
    <w:rsid w:val="007147E5"/>
    <w:rsid w:val="00720F1F"/>
    <w:rsid w:val="0072429E"/>
    <w:rsid w:val="00725A0F"/>
    <w:rsid w:val="00731D92"/>
    <w:rsid w:val="0073326F"/>
    <w:rsid w:val="0073376B"/>
    <w:rsid w:val="00734318"/>
    <w:rsid w:val="00737763"/>
    <w:rsid w:val="007449D1"/>
    <w:rsid w:val="00746812"/>
    <w:rsid w:val="00753FBB"/>
    <w:rsid w:val="0076117D"/>
    <w:rsid w:val="00762F25"/>
    <w:rsid w:val="00767E91"/>
    <w:rsid w:val="00774027"/>
    <w:rsid w:val="007754CC"/>
    <w:rsid w:val="00776C3B"/>
    <w:rsid w:val="00777ABA"/>
    <w:rsid w:val="00781C51"/>
    <w:rsid w:val="00784453"/>
    <w:rsid w:val="00792AE8"/>
    <w:rsid w:val="00793220"/>
    <w:rsid w:val="00794EB3"/>
    <w:rsid w:val="007A0D54"/>
    <w:rsid w:val="007A13B6"/>
    <w:rsid w:val="007A305D"/>
    <w:rsid w:val="007A6360"/>
    <w:rsid w:val="007A6743"/>
    <w:rsid w:val="007A71AD"/>
    <w:rsid w:val="007B1540"/>
    <w:rsid w:val="007C2CBB"/>
    <w:rsid w:val="007C43C1"/>
    <w:rsid w:val="007D3D1D"/>
    <w:rsid w:val="007D5B70"/>
    <w:rsid w:val="007E2A73"/>
    <w:rsid w:val="007E4B9D"/>
    <w:rsid w:val="007F1831"/>
    <w:rsid w:val="007F20D2"/>
    <w:rsid w:val="007F299C"/>
    <w:rsid w:val="007F3C88"/>
    <w:rsid w:val="007F68FE"/>
    <w:rsid w:val="007F7778"/>
    <w:rsid w:val="00800232"/>
    <w:rsid w:val="0080048B"/>
    <w:rsid w:val="00803AF6"/>
    <w:rsid w:val="0080552F"/>
    <w:rsid w:val="00806A1B"/>
    <w:rsid w:val="0082023F"/>
    <w:rsid w:val="00825203"/>
    <w:rsid w:val="00825271"/>
    <w:rsid w:val="00825F06"/>
    <w:rsid w:val="0082610E"/>
    <w:rsid w:val="00826A4C"/>
    <w:rsid w:val="00830867"/>
    <w:rsid w:val="00833D92"/>
    <w:rsid w:val="00836DDB"/>
    <w:rsid w:val="00841A5B"/>
    <w:rsid w:val="00845044"/>
    <w:rsid w:val="00847A05"/>
    <w:rsid w:val="008508BB"/>
    <w:rsid w:val="0085386D"/>
    <w:rsid w:val="00854E7D"/>
    <w:rsid w:val="00856425"/>
    <w:rsid w:val="00856605"/>
    <w:rsid w:val="00862620"/>
    <w:rsid w:val="00863687"/>
    <w:rsid w:val="00866E85"/>
    <w:rsid w:val="00870A22"/>
    <w:rsid w:val="00873898"/>
    <w:rsid w:val="008751D3"/>
    <w:rsid w:val="00884249"/>
    <w:rsid w:val="00886F36"/>
    <w:rsid w:val="00890649"/>
    <w:rsid w:val="00892B91"/>
    <w:rsid w:val="008A127B"/>
    <w:rsid w:val="008A19C8"/>
    <w:rsid w:val="008A2959"/>
    <w:rsid w:val="008A316F"/>
    <w:rsid w:val="008A6A84"/>
    <w:rsid w:val="008B5BE5"/>
    <w:rsid w:val="008B7164"/>
    <w:rsid w:val="008C2512"/>
    <w:rsid w:val="008C3EB3"/>
    <w:rsid w:val="008C5960"/>
    <w:rsid w:val="008D0418"/>
    <w:rsid w:val="008D05D1"/>
    <w:rsid w:val="008D19BC"/>
    <w:rsid w:val="008E2211"/>
    <w:rsid w:val="008E3D40"/>
    <w:rsid w:val="008E446E"/>
    <w:rsid w:val="008E79A6"/>
    <w:rsid w:val="008F2C2F"/>
    <w:rsid w:val="008F3EBD"/>
    <w:rsid w:val="009041E1"/>
    <w:rsid w:val="00904E6D"/>
    <w:rsid w:val="00906212"/>
    <w:rsid w:val="00906DD1"/>
    <w:rsid w:val="00910FD0"/>
    <w:rsid w:val="00926DB2"/>
    <w:rsid w:val="0093565A"/>
    <w:rsid w:val="009420CA"/>
    <w:rsid w:val="00944909"/>
    <w:rsid w:val="00950B50"/>
    <w:rsid w:val="00955D13"/>
    <w:rsid w:val="00955D96"/>
    <w:rsid w:val="009603AD"/>
    <w:rsid w:val="00963D3D"/>
    <w:rsid w:val="0097075D"/>
    <w:rsid w:val="00971F70"/>
    <w:rsid w:val="009746DC"/>
    <w:rsid w:val="00977375"/>
    <w:rsid w:val="00982EB3"/>
    <w:rsid w:val="0098551C"/>
    <w:rsid w:val="00990420"/>
    <w:rsid w:val="00990EB5"/>
    <w:rsid w:val="009937D2"/>
    <w:rsid w:val="009B1996"/>
    <w:rsid w:val="009B291C"/>
    <w:rsid w:val="009B6AA9"/>
    <w:rsid w:val="009C261B"/>
    <w:rsid w:val="009C27F9"/>
    <w:rsid w:val="009C55B4"/>
    <w:rsid w:val="009D5705"/>
    <w:rsid w:val="009E13EA"/>
    <w:rsid w:val="009E507D"/>
    <w:rsid w:val="009E6224"/>
    <w:rsid w:val="009E70F0"/>
    <w:rsid w:val="009F2A9B"/>
    <w:rsid w:val="009F342A"/>
    <w:rsid w:val="009F3666"/>
    <w:rsid w:val="00A01C27"/>
    <w:rsid w:val="00A02218"/>
    <w:rsid w:val="00A0428B"/>
    <w:rsid w:val="00A077B2"/>
    <w:rsid w:val="00A11D0C"/>
    <w:rsid w:val="00A21512"/>
    <w:rsid w:val="00A25130"/>
    <w:rsid w:val="00A25287"/>
    <w:rsid w:val="00A25739"/>
    <w:rsid w:val="00A27AD0"/>
    <w:rsid w:val="00A355E0"/>
    <w:rsid w:val="00A40502"/>
    <w:rsid w:val="00A438DA"/>
    <w:rsid w:val="00A44C33"/>
    <w:rsid w:val="00A4669B"/>
    <w:rsid w:val="00A50D13"/>
    <w:rsid w:val="00A539B6"/>
    <w:rsid w:val="00A572D4"/>
    <w:rsid w:val="00A666F4"/>
    <w:rsid w:val="00A71E46"/>
    <w:rsid w:val="00A74AC6"/>
    <w:rsid w:val="00A818F0"/>
    <w:rsid w:val="00A85E29"/>
    <w:rsid w:val="00A96F09"/>
    <w:rsid w:val="00AA5A47"/>
    <w:rsid w:val="00AA5D7F"/>
    <w:rsid w:val="00AB0B28"/>
    <w:rsid w:val="00AB1C02"/>
    <w:rsid w:val="00AC2EF6"/>
    <w:rsid w:val="00AC3057"/>
    <w:rsid w:val="00AC4B6D"/>
    <w:rsid w:val="00AD06A5"/>
    <w:rsid w:val="00AE056F"/>
    <w:rsid w:val="00AE0BC3"/>
    <w:rsid w:val="00AE4C99"/>
    <w:rsid w:val="00AE616C"/>
    <w:rsid w:val="00AF2492"/>
    <w:rsid w:val="00AF2765"/>
    <w:rsid w:val="00AF4CCE"/>
    <w:rsid w:val="00AF670A"/>
    <w:rsid w:val="00B014AC"/>
    <w:rsid w:val="00B038C6"/>
    <w:rsid w:val="00B11CB6"/>
    <w:rsid w:val="00B2355D"/>
    <w:rsid w:val="00B23D41"/>
    <w:rsid w:val="00B244D2"/>
    <w:rsid w:val="00B25138"/>
    <w:rsid w:val="00B36766"/>
    <w:rsid w:val="00B3682A"/>
    <w:rsid w:val="00B36DF5"/>
    <w:rsid w:val="00B3788E"/>
    <w:rsid w:val="00B407D0"/>
    <w:rsid w:val="00B44843"/>
    <w:rsid w:val="00B45CD3"/>
    <w:rsid w:val="00B478B5"/>
    <w:rsid w:val="00B5418B"/>
    <w:rsid w:val="00B559EF"/>
    <w:rsid w:val="00B57019"/>
    <w:rsid w:val="00B608D6"/>
    <w:rsid w:val="00B63283"/>
    <w:rsid w:val="00B6360F"/>
    <w:rsid w:val="00B76599"/>
    <w:rsid w:val="00B83A24"/>
    <w:rsid w:val="00B83A51"/>
    <w:rsid w:val="00B83B32"/>
    <w:rsid w:val="00B83E4C"/>
    <w:rsid w:val="00B91799"/>
    <w:rsid w:val="00B95B87"/>
    <w:rsid w:val="00B96E25"/>
    <w:rsid w:val="00BA07D1"/>
    <w:rsid w:val="00BA0B04"/>
    <w:rsid w:val="00BA2942"/>
    <w:rsid w:val="00BA45BD"/>
    <w:rsid w:val="00BA4B6A"/>
    <w:rsid w:val="00BB1A0D"/>
    <w:rsid w:val="00BB4037"/>
    <w:rsid w:val="00BB553C"/>
    <w:rsid w:val="00BB731F"/>
    <w:rsid w:val="00BC5044"/>
    <w:rsid w:val="00BD40F9"/>
    <w:rsid w:val="00BD4246"/>
    <w:rsid w:val="00BD5C16"/>
    <w:rsid w:val="00BD7012"/>
    <w:rsid w:val="00BE6E83"/>
    <w:rsid w:val="00BF10B2"/>
    <w:rsid w:val="00BF51DD"/>
    <w:rsid w:val="00BF63E3"/>
    <w:rsid w:val="00C000E1"/>
    <w:rsid w:val="00C0459F"/>
    <w:rsid w:val="00C06BE6"/>
    <w:rsid w:val="00C11030"/>
    <w:rsid w:val="00C122B2"/>
    <w:rsid w:val="00C35208"/>
    <w:rsid w:val="00C35F2C"/>
    <w:rsid w:val="00C42978"/>
    <w:rsid w:val="00C436D3"/>
    <w:rsid w:val="00C44BA7"/>
    <w:rsid w:val="00C46720"/>
    <w:rsid w:val="00C46BD8"/>
    <w:rsid w:val="00C51413"/>
    <w:rsid w:val="00C53103"/>
    <w:rsid w:val="00C55726"/>
    <w:rsid w:val="00C62B9E"/>
    <w:rsid w:val="00C63346"/>
    <w:rsid w:val="00C65DFE"/>
    <w:rsid w:val="00C721A6"/>
    <w:rsid w:val="00C74297"/>
    <w:rsid w:val="00C7755A"/>
    <w:rsid w:val="00C828B4"/>
    <w:rsid w:val="00C87047"/>
    <w:rsid w:val="00C8779E"/>
    <w:rsid w:val="00C9634B"/>
    <w:rsid w:val="00C96BD3"/>
    <w:rsid w:val="00C97933"/>
    <w:rsid w:val="00CA0CBA"/>
    <w:rsid w:val="00CA0EFF"/>
    <w:rsid w:val="00CA1ACC"/>
    <w:rsid w:val="00CA41CC"/>
    <w:rsid w:val="00CA5B11"/>
    <w:rsid w:val="00CA738E"/>
    <w:rsid w:val="00CB0B61"/>
    <w:rsid w:val="00CB5DBD"/>
    <w:rsid w:val="00CB7928"/>
    <w:rsid w:val="00CC051A"/>
    <w:rsid w:val="00CC5043"/>
    <w:rsid w:val="00CD2088"/>
    <w:rsid w:val="00CD3533"/>
    <w:rsid w:val="00CD49C9"/>
    <w:rsid w:val="00CD5455"/>
    <w:rsid w:val="00CD686D"/>
    <w:rsid w:val="00D02BC5"/>
    <w:rsid w:val="00D14596"/>
    <w:rsid w:val="00D22C48"/>
    <w:rsid w:val="00D26DCD"/>
    <w:rsid w:val="00D326D3"/>
    <w:rsid w:val="00D35730"/>
    <w:rsid w:val="00D438F8"/>
    <w:rsid w:val="00D45647"/>
    <w:rsid w:val="00D51E42"/>
    <w:rsid w:val="00D56A0C"/>
    <w:rsid w:val="00D602F2"/>
    <w:rsid w:val="00D645EB"/>
    <w:rsid w:val="00D71D09"/>
    <w:rsid w:val="00D73BD4"/>
    <w:rsid w:val="00D75D96"/>
    <w:rsid w:val="00D76E35"/>
    <w:rsid w:val="00D809B3"/>
    <w:rsid w:val="00D8269F"/>
    <w:rsid w:val="00D84BA8"/>
    <w:rsid w:val="00D87AB5"/>
    <w:rsid w:val="00D94078"/>
    <w:rsid w:val="00D960DE"/>
    <w:rsid w:val="00D968F6"/>
    <w:rsid w:val="00D96AD4"/>
    <w:rsid w:val="00DB141F"/>
    <w:rsid w:val="00DB7AAF"/>
    <w:rsid w:val="00DC45B3"/>
    <w:rsid w:val="00DC4D8B"/>
    <w:rsid w:val="00DC571C"/>
    <w:rsid w:val="00DD2B39"/>
    <w:rsid w:val="00DD3380"/>
    <w:rsid w:val="00DD43B3"/>
    <w:rsid w:val="00DE31A3"/>
    <w:rsid w:val="00DF6A7F"/>
    <w:rsid w:val="00E05422"/>
    <w:rsid w:val="00E06B07"/>
    <w:rsid w:val="00E13A66"/>
    <w:rsid w:val="00E22F9C"/>
    <w:rsid w:val="00E236D8"/>
    <w:rsid w:val="00E25D1E"/>
    <w:rsid w:val="00E278F8"/>
    <w:rsid w:val="00E5055F"/>
    <w:rsid w:val="00E5160A"/>
    <w:rsid w:val="00E52EBF"/>
    <w:rsid w:val="00E54E78"/>
    <w:rsid w:val="00E55845"/>
    <w:rsid w:val="00E6232A"/>
    <w:rsid w:val="00E7666F"/>
    <w:rsid w:val="00E82209"/>
    <w:rsid w:val="00E8221D"/>
    <w:rsid w:val="00E85DC3"/>
    <w:rsid w:val="00E91505"/>
    <w:rsid w:val="00E927C3"/>
    <w:rsid w:val="00E94A04"/>
    <w:rsid w:val="00E95C8A"/>
    <w:rsid w:val="00E96355"/>
    <w:rsid w:val="00EA0446"/>
    <w:rsid w:val="00EA061D"/>
    <w:rsid w:val="00EA3608"/>
    <w:rsid w:val="00EA3951"/>
    <w:rsid w:val="00EA51A7"/>
    <w:rsid w:val="00EB3701"/>
    <w:rsid w:val="00EC1B9E"/>
    <w:rsid w:val="00EC1E63"/>
    <w:rsid w:val="00EE136C"/>
    <w:rsid w:val="00EE15BF"/>
    <w:rsid w:val="00EE6905"/>
    <w:rsid w:val="00EF3489"/>
    <w:rsid w:val="00EF552D"/>
    <w:rsid w:val="00F00CB0"/>
    <w:rsid w:val="00F021EC"/>
    <w:rsid w:val="00F0297A"/>
    <w:rsid w:val="00F04FF8"/>
    <w:rsid w:val="00F1197B"/>
    <w:rsid w:val="00F15753"/>
    <w:rsid w:val="00F252EB"/>
    <w:rsid w:val="00F26F93"/>
    <w:rsid w:val="00F27BDD"/>
    <w:rsid w:val="00F34849"/>
    <w:rsid w:val="00F35172"/>
    <w:rsid w:val="00F427DA"/>
    <w:rsid w:val="00F43B3B"/>
    <w:rsid w:val="00F44E24"/>
    <w:rsid w:val="00F457B9"/>
    <w:rsid w:val="00F53156"/>
    <w:rsid w:val="00F62448"/>
    <w:rsid w:val="00F76D3A"/>
    <w:rsid w:val="00F80274"/>
    <w:rsid w:val="00F82F69"/>
    <w:rsid w:val="00F83C17"/>
    <w:rsid w:val="00F97C24"/>
    <w:rsid w:val="00FA452E"/>
    <w:rsid w:val="00FB3202"/>
    <w:rsid w:val="00FC089C"/>
    <w:rsid w:val="00FD222F"/>
    <w:rsid w:val="00FD4E6C"/>
    <w:rsid w:val="00FD5299"/>
    <w:rsid w:val="00FF5335"/>
    <w:rsid w:val="00FF5C0C"/>
    <w:rsid w:val="00FF7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styleId="Hyperlink">
    <w:name w:val="Hyperlink"/>
    <w:basedOn w:val="DefaultParagraphFont"/>
    <w:uiPriority w:val="99"/>
    <w:unhideWhenUsed/>
    <w:rsid w:val="001C0F2E"/>
    <w:rPr>
      <w:color w:val="0563C1" w:themeColor="hyperlink"/>
      <w:u w:val="single"/>
    </w:rPr>
  </w:style>
  <w:style w:type="paragraph" w:styleId="BalloonText">
    <w:name w:val="Balloon Text"/>
    <w:basedOn w:val="Normal"/>
    <w:link w:val="BalloonTextChar"/>
    <w:uiPriority w:val="99"/>
    <w:semiHidden/>
    <w:unhideWhenUsed/>
    <w:rsid w:val="001B7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5930-E1A4-4650-B968-0FD0D8D4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2023-03-15T12:03:00Z</cp:lastPrinted>
  <dcterms:created xsi:type="dcterms:W3CDTF">2023-03-29T09:19:00Z</dcterms:created>
  <dcterms:modified xsi:type="dcterms:W3CDTF">2023-03-29T09:19:00Z</dcterms:modified>
  <cp:contentStatus/>
</cp:coreProperties>
</file>