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F3FC2" w14:textId="77777777" w:rsidR="002C6760" w:rsidRPr="00F8747C" w:rsidRDefault="002C6760" w:rsidP="002C6760">
      <w:pPr>
        <w:widowControl w:val="0"/>
        <w:spacing w:after="0" w:line="360" w:lineRule="auto"/>
        <w:jc w:val="center"/>
        <w:rPr>
          <w:rFonts w:ascii="Arial" w:eastAsia="Times New Roman" w:hAnsi="Arial" w:cs="Arial"/>
          <w:kern w:val="0"/>
          <w:sz w:val="24"/>
          <w:szCs w:val="24"/>
          <w14:ligatures w14:val="none"/>
        </w:rPr>
      </w:pPr>
      <w:r w:rsidRPr="00F8747C">
        <w:rPr>
          <w:rFonts w:ascii="Arial" w:eastAsia="Times New Roman" w:hAnsi="Arial" w:cs="Arial"/>
          <w:noProof/>
          <w:kern w:val="0"/>
          <w:sz w:val="24"/>
          <w:szCs w:val="24"/>
          <w:lang w:val="en-US"/>
          <w14:ligatures w14:val="none"/>
        </w:rPr>
        <w:drawing>
          <wp:inline distT="0" distB="0" distL="0" distR="0" wp14:anchorId="41DB637D" wp14:editId="18847B78">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14:paraId="123DAC2D" w14:textId="77777777" w:rsidR="002C6760" w:rsidRPr="00F8747C" w:rsidRDefault="002C6760" w:rsidP="002C6760">
      <w:pPr>
        <w:widowControl w:val="0"/>
        <w:spacing w:after="0" w:line="360" w:lineRule="auto"/>
        <w:jc w:val="center"/>
        <w:rPr>
          <w:rFonts w:ascii="Arial" w:eastAsia="Times New Roman" w:hAnsi="Arial" w:cs="Arial"/>
          <w:b/>
          <w:kern w:val="0"/>
          <w:sz w:val="24"/>
          <w:szCs w:val="24"/>
          <w14:ligatures w14:val="none"/>
        </w:rPr>
      </w:pPr>
      <w:r w:rsidRPr="00F8747C">
        <w:rPr>
          <w:rFonts w:ascii="Arial" w:eastAsia="Times New Roman" w:hAnsi="Arial" w:cs="Arial"/>
          <w:b/>
          <w:kern w:val="0"/>
          <w:sz w:val="24"/>
          <w:szCs w:val="24"/>
          <w14:ligatures w14:val="none"/>
        </w:rPr>
        <w:t>IN THE HIGH COURT OF SOUTH AFRICA</w:t>
      </w:r>
    </w:p>
    <w:p w14:paraId="630304C0" w14:textId="75368F94" w:rsidR="002C6760" w:rsidRPr="00F8747C" w:rsidRDefault="002C6760" w:rsidP="002C6760">
      <w:pPr>
        <w:widowControl w:val="0"/>
        <w:tabs>
          <w:tab w:val="right" w:pos="9213"/>
        </w:tabs>
        <w:spacing w:line="720" w:lineRule="auto"/>
        <w:jc w:val="center"/>
        <w:rPr>
          <w:rFonts w:ascii="Arial" w:hAnsi="Arial" w:cs="Arial"/>
          <w:kern w:val="0"/>
          <w:sz w:val="24"/>
          <w:szCs w:val="24"/>
          <w14:ligatures w14:val="none"/>
        </w:rPr>
      </w:pPr>
      <w:r>
        <w:rPr>
          <w:rFonts w:ascii="Arial" w:hAnsi="Arial" w:cs="Arial"/>
          <w:b/>
          <w:kern w:val="0"/>
          <w:sz w:val="24"/>
          <w:szCs w:val="24"/>
          <w14:ligatures w14:val="none"/>
        </w:rPr>
        <w:t>(EASTERN CAPE DIVISION, MAKHANDA)</w:t>
      </w:r>
    </w:p>
    <w:p w14:paraId="1C4DA116" w14:textId="44E81156" w:rsidR="002C6760" w:rsidRPr="00F8747C" w:rsidRDefault="002C6760" w:rsidP="002C6760">
      <w:pPr>
        <w:widowControl w:val="0"/>
        <w:tabs>
          <w:tab w:val="right" w:pos="9213"/>
        </w:tabs>
        <w:spacing w:line="240" w:lineRule="auto"/>
        <w:rPr>
          <w:rFonts w:ascii="Arial" w:hAnsi="Arial" w:cs="Arial"/>
          <w:kern w:val="0"/>
          <w:sz w:val="24"/>
          <w:szCs w:val="24"/>
          <w14:ligatures w14:val="none"/>
        </w:rPr>
      </w:pPr>
      <w:r w:rsidRPr="00F8747C">
        <w:rPr>
          <w:rFonts w:ascii="Arial" w:hAnsi="Arial" w:cs="Arial"/>
          <w:kern w:val="0"/>
          <w:sz w:val="24"/>
          <w:szCs w:val="24"/>
          <w14:ligatures w14:val="none"/>
        </w:rPr>
        <w:tab/>
        <w:t xml:space="preserve">CASE NO. </w:t>
      </w:r>
      <w:r>
        <w:rPr>
          <w:rFonts w:ascii="Arial" w:hAnsi="Arial" w:cs="Arial"/>
          <w:kern w:val="0"/>
          <w:sz w:val="24"/>
          <w:szCs w:val="24"/>
          <w14:ligatures w14:val="none"/>
        </w:rPr>
        <w:t>3887/2013</w:t>
      </w:r>
    </w:p>
    <w:p w14:paraId="692996C4" w14:textId="77777777" w:rsidR="002C6760" w:rsidRPr="00F8747C" w:rsidRDefault="002C6760" w:rsidP="002C6760">
      <w:pPr>
        <w:widowControl w:val="0"/>
        <w:tabs>
          <w:tab w:val="right" w:pos="9213"/>
        </w:tabs>
        <w:spacing w:line="240" w:lineRule="auto"/>
        <w:rPr>
          <w:rFonts w:ascii="Arial" w:hAnsi="Arial" w:cs="Arial"/>
          <w:kern w:val="0"/>
          <w:sz w:val="24"/>
          <w:szCs w:val="24"/>
          <w14:ligatures w14:val="none"/>
        </w:rPr>
      </w:pPr>
      <w:r>
        <w:rPr>
          <w:rFonts w:ascii="Arial" w:hAnsi="Arial" w:cs="Arial"/>
          <w:kern w:val="0"/>
          <w:sz w:val="24"/>
          <w:szCs w:val="24"/>
          <w14:ligatures w14:val="none"/>
        </w:rPr>
        <w:tab/>
      </w:r>
    </w:p>
    <w:p w14:paraId="7B89CBDE" w14:textId="77777777" w:rsidR="002C6760" w:rsidRPr="00F8747C" w:rsidRDefault="002C6760" w:rsidP="002C6760">
      <w:pPr>
        <w:widowControl w:val="0"/>
        <w:tabs>
          <w:tab w:val="right" w:pos="9213"/>
        </w:tabs>
        <w:spacing w:line="360" w:lineRule="auto"/>
        <w:rPr>
          <w:rFonts w:ascii="Arial" w:hAnsi="Arial" w:cs="Arial"/>
          <w:kern w:val="0"/>
          <w:sz w:val="24"/>
          <w:szCs w:val="24"/>
          <w14:ligatures w14:val="none"/>
        </w:rPr>
      </w:pPr>
      <w:r w:rsidRPr="00F8747C">
        <w:rPr>
          <w:rFonts w:ascii="Arial" w:hAnsi="Arial" w:cs="Arial"/>
          <w:kern w:val="0"/>
          <w:sz w:val="24"/>
          <w:szCs w:val="24"/>
          <w14:ligatures w14:val="none"/>
        </w:rPr>
        <w:t>In the matter between:</w:t>
      </w:r>
    </w:p>
    <w:p w14:paraId="705F0EB6" w14:textId="1FEBC454" w:rsidR="002C6760" w:rsidRPr="00F8747C" w:rsidRDefault="002C6760" w:rsidP="002C6760">
      <w:pPr>
        <w:widowControl w:val="0"/>
        <w:tabs>
          <w:tab w:val="right" w:pos="9213"/>
        </w:tabs>
        <w:spacing w:line="360" w:lineRule="auto"/>
        <w:rPr>
          <w:rFonts w:ascii="Arial" w:hAnsi="Arial" w:cs="Arial"/>
          <w:b/>
          <w:kern w:val="0"/>
          <w:sz w:val="24"/>
          <w:szCs w:val="24"/>
          <w14:ligatures w14:val="none"/>
        </w:rPr>
      </w:pPr>
      <w:r>
        <w:rPr>
          <w:rFonts w:ascii="Arial" w:hAnsi="Arial" w:cs="Arial"/>
          <w:b/>
          <w:kern w:val="0"/>
          <w:sz w:val="24"/>
          <w:szCs w:val="24"/>
          <w14:ligatures w14:val="none"/>
        </w:rPr>
        <w:t xml:space="preserve">MOEKETSI RODERICK NONE </w:t>
      </w:r>
      <w:r>
        <w:rPr>
          <w:rFonts w:ascii="Arial" w:hAnsi="Arial" w:cs="Arial"/>
          <w:b/>
          <w:kern w:val="0"/>
          <w:sz w:val="24"/>
          <w:szCs w:val="24"/>
          <w14:ligatures w14:val="none"/>
        </w:rPr>
        <w:tab/>
        <w:t>P</w:t>
      </w:r>
      <w:r w:rsidRPr="00F8747C">
        <w:rPr>
          <w:rFonts w:ascii="Arial" w:hAnsi="Arial" w:cs="Arial"/>
          <w:b/>
          <w:kern w:val="0"/>
          <w:sz w:val="24"/>
          <w:szCs w:val="24"/>
          <w14:ligatures w14:val="none"/>
        </w:rPr>
        <w:t>laintiff</w:t>
      </w:r>
    </w:p>
    <w:p w14:paraId="4DCE7F42" w14:textId="77777777" w:rsidR="002C6760" w:rsidRPr="00F8747C" w:rsidRDefault="002C6760" w:rsidP="002C6760">
      <w:pPr>
        <w:widowControl w:val="0"/>
        <w:tabs>
          <w:tab w:val="right" w:pos="9213"/>
        </w:tabs>
        <w:spacing w:line="240" w:lineRule="auto"/>
        <w:rPr>
          <w:rFonts w:ascii="Arial" w:hAnsi="Arial" w:cs="Arial"/>
          <w:b/>
          <w:kern w:val="0"/>
          <w:sz w:val="24"/>
          <w:szCs w:val="24"/>
          <w14:ligatures w14:val="none"/>
        </w:rPr>
      </w:pPr>
    </w:p>
    <w:p w14:paraId="05F4EC22" w14:textId="77777777" w:rsidR="002C6760" w:rsidRPr="00F8747C" w:rsidRDefault="002C6760" w:rsidP="002C6760">
      <w:pPr>
        <w:widowControl w:val="0"/>
        <w:tabs>
          <w:tab w:val="right" w:pos="9213"/>
        </w:tabs>
        <w:spacing w:line="240" w:lineRule="auto"/>
        <w:rPr>
          <w:rFonts w:ascii="Arial" w:hAnsi="Arial" w:cs="Arial"/>
          <w:kern w:val="0"/>
          <w:sz w:val="24"/>
          <w:szCs w:val="24"/>
          <w14:ligatures w14:val="none"/>
        </w:rPr>
      </w:pPr>
      <w:r w:rsidRPr="00F8747C">
        <w:rPr>
          <w:rFonts w:ascii="Arial" w:hAnsi="Arial" w:cs="Arial"/>
          <w:kern w:val="0"/>
          <w:sz w:val="24"/>
          <w:szCs w:val="24"/>
          <w14:ligatures w14:val="none"/>
        </w:rPr>
        <w:t>and</w:t>
      </w:r>
    </w:p>
    <w:p w14:paraId="20139012" w14:textId="77777777" w:rsidR="002C6760" w:rsidRPr="00F8747C" w:rsidRDefault="002C6760" w:rsidP="002C6760">
      <w:pPr>
        <w:widowControl w:val="0"/>
        <w:tabs>
          <w:tab w:val="right" w:pos="9213"/>
        </w:tabs>
        <w:spacing w:line="240" w:lineRule="auto"/>
        <w:rPr>
          <w:rFonts w:ascii="Arial" w:hAnsi="Arial" w:cs="Arial"/>
          <w:kern w:val="0"/>
          <w:sz w:val="24"/>
          <w:szCs w:val="24"/>
          <w14:ligatures w14:val="none"/>
        </w:rPr>
      </w:pPr>
    </w:p>
    <w:p w14:paraId="298AD377" w14:textId="276CF610" w:rsidR="002C6760" w:rsidRDefault="002C6760" w:rsidP="002C6760">
      <w:pPr>
        <w:widowControl w:val="0"/>
        <w:tabs>
          <w:tab w:val="right" w:pos="9213"/>
        </w:tabs>
        <w:spacing w:line="360" w:lineRule="auto"/>
        <w:rPr>
          <w:rFonts w:ascii="Arial" w:hAnsi="Arial" w:cs="Arial"/>
          <w:b/>
          <w:kern w:val="0"/>
          <w:sz w:val="24"/>
          <w:szCs w:val="24"/>
          <w14:ligatures w14:val="none"/>
        </w:rPr>
      </w:pPr>
      <w:r>
        <w:rPr>
          <w:rFonts w:ascii="Arial" w:hAnsi="Arial" w:cs="Arial"/>
          <w:b/>
          <w:kern w:val="0"/>
          <w:sz w:val="24"/>
          <w:szCs w:val="24"/>
          <w14:ligatures w14:val="none"/>
        </w:rPr>
        <w:t>ROAD ACCIDENT FUND</w:t>
      </w:r>
      <w:r w:rsidRPr="00F8747C">
        <w:rPr>
          <w:rFonts w:ascii="Arial" w:hAnsi="Arial" w:cs="Arial"/>
          <w:b/>
          <w:kern w:val="0"/>
          <w:sz w:val="24"/>
          <w:szCs w:val="24"/>
          <w14:ligatures w14:val="none"/>
        </w:rPr>
        <w:tab/>
      </w:r>
      <w:r>
        <w:rPr>
          <w:rFonts w:ascii="Arial" w:hAnsi="Arial" w:cs="Arial"/>
          <w:b/>
          <w:kern w:val="0"/>
          <w:sz w:val="24"/>
          <w:szCs w:val="24"/>
          <w14:ligatures w14:val="none"/>
        </w:rPr>
        <w:t>D</w:t>
      </w:r>
      <w:r w:rsidRPr="00F8747C">
        <w:rPr>
          <w:rFonts w:ascii="Arial" w:hAnsi="Arial" w:cs="Arial"/>
          <w:b/>
          <w:kern w:val="0"/>
          <w:sz w:val="24"/>
          <w:szCs w:val="24"/>
          <w14:ligatures w14:val="none"/>
        </w:rPr>
        <w:t>efendant</w:t>
      </w:r>
    </w:p>
    <w:p w14:paraId="0732F90D" w14:textId="77777777" w:rsidR="002C6760" w:rsidRPr="00F8747C" w:rsidRDefault="002C6760" w:rsidP="002C6760">
      <w:pPr>
        <w:spacing w:line="360" w:lineRule="auto"/>
        <w:rPr>
          <w:rFonts w:ascii="Arial" w:hAnsi="Arial" w:cs="Arial"/>
          <w:kern w:val="0"/>
          <w:sz w:val="24"/>
          <w:szCs w:val="24"/>
          <w:lang w:val="en-GB"/>
          <w14:ligatures w14:val="none"/>
        </w:rPr>
      </w:pPr>
      <w:r w:rsidRPr="00F8747C">
        <w:rPr>
          <w:rFonts w:ascii="Arial" w:hAnsi="Arial" w:cs="Arial"/>
          <w:kern w:val="0"/>
          <w:sz w:val="24"/>
          <w:szCs w:val="24"/>
          <w:lang w:val="en-GB"/>
          <w14:ligatures w14:val="none"/>
        </w:rPr>
        <w:t>______________________________________________________________________</w:t>
      </w:r>
    </w:p>
    <w:p w14:paraId="4989095D" w14:textId="77777777" w:rsidR="002C6760" w:rsidRPr="00F8747C" w:rsidRDefault="002C6760" w:rsidP="002C6760">
      <w:pPr>
        <w:spacing w:line="360" w:lineRule="auto"/>
        <w:jc w:val="center"/>
        <w:rPr>
          <w:rFonts w:ascii="Arial" w:hAnsi="Arial" w:cs="Arial"/>
          <w:b/>
          <w:kern w:val="0"/>
          <w:sz w:val="24"/>
          <w:szCs w:val="24"/>
          <w:lang w:val="en-GB"/>
          <w14:ligatures w14:val="none"/>
        </w:rPr>
      </w:pPr>
      <w:r w:rsidRPr="00F8747C">
        <w:rPr>
          <w:rFonts w:ascii="Arial" w:hAnsi="Arial" w:cs="Arial"/>
          <w:b/>
          <w:kern w:val="0"/>
          <w:sz w:val="24"/>
          <w:szCs w:val="24"/>
          <w:lang w:val="en-GB"/>
          <w14:ligatures w14:val="none"/>
        </w:rPr>
        <w:t>JUDGMENT</w:t>
      </w:r>
    </w:p>
    <w:p w14:paraId="293923FB" w14:textId="77777777" w:rsidR="002C6760" w:rsidRPr="00F8747C" w:rsidRDefault="002C6760" w:rsidP="002C6760">
      <w:pPr>
        <w:spacing w:line="360" w:lineRule="auto"/>
        <w:rPr>
          <w:rFonts w:ascii="Arial" w:hAnsi="Arial" w:cs="Arial"/>
          <w:kern w:val="0"/>
          <w:sz w:val="24"/>
          <w:szCs w:val="24"/>
          <w:lang w:val="en-GB"/>
          <w14:ligatures w14:val="none"/>
        </w:rPr>
      </w:pPr>
      <w:r w:rsidRPr="00F8747C">
        <w:rPr>
          <w:rFonts w:ascii="Arial" w:hAnsi="Arial" w:cs="Arial"/>
          <w:kern w:val="0"/>
          <w:sz w:val="24"/>
          <w:szCs w:val="24"/>
          <w:lang w:val="en-GB"/>
          <w14:ligatures w14:val="none"/>
        </w:rPr>
        <w:t>______________________________________________________________________</w:t>
      </w:r>
    </w:p>
    <w:p w14:paraId="10261CF1" w14:textId="77777777" w:rsidR="002C6760" w:rsidRDefault="002C6760" w:rsidP="002C6760">
      <w:pPr>
        <w:spacing w:line="240" w:lineRule="auto"/>
        <w:jc w:val="both"/>
        <w:rPr>
          <w:rFonts w:ascii="Arial" w:hAnsi="Arial" w:cs="Arial"/>
          <w:b/>
          <w:kern w:val="0"/>
          <w:sz w:val="24"/>
          <w:szCs w:val="24"/>
          <w:lang w:val="en-GB"/>
          <w14:ligatures w14:val="none"/>
        </w:rPr>
      </w:pPr>
      <w:r w:rsidRPr="00F8747C">
        <w:rPr>
          <w:rFonts w:ascii="Arial" w:hAnsi="Arial" w:cs="Arial"/>
          <w:b/>
          <w:kern w:val="0"/>
          <w:sz w:val="24"/>
          <w:szCs w:val="24"/>
          <w:lang w:val="en-GB"/>
          <w14:ligatures w14:val="none"/>
        </w:rPr>
        <w:t>LAING J</w:t>
      </w:r>
    </w:p>
    <w:p w14:paraId="21310B57" w14:textId="77777777" w:rsidR="002C6760" w:rsidRDefault="002C6760" w:rsidP="002C6760">
      <w:pPr>
        <w:spacing w:line="240" w:lineRule="auto"/>
        <w:rPr>
          <w:rFonts w:ascii="Arial" w:hAnsi="Arial" w:cs="Arial"/>
          <w:sz w:val="24"/>
          <w:szCs w:val="24"/>
        </w:rPr>
      </w:pPr>
    </w:p>
    <w:p w14:paraId="7E811BB8" w14:textId="2F18A67D"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47992" w:rsidRPr="00960F80">
        <w:rPr>
          <w:rFonts w:ascii="Arial" w:hAnsi="Arial" w:cs="Arial"/>
          <w:sz w:val="24"/>
          <w:szCs w:val="24"/>
        </w:rPr>
        <w:t>This is an action arising from a motor vehicle accident that occurred on 6 February 2009 between the towns of Lady Grey and Barkly East. The plaintiff had been a passenger at the time. H</w:t>
      </w:r>
      <w:r w:rsidR="002475F9" w:rsidRPr="00960F80">
        <w:rPr>
          <w:rFonts w:ascii="Arial" w:hAnsi="Arial" w:cs="Arial"/>
          <w:sz w:val="24"/>
          <w:szCs w:val="24"/>
        </w:rPr>
        <w:t>is claim comprised general damages, future medical expenses, and future loss of earnings.</w:t>
      </w:r>
    </w:p>
    <w:p w14:paraId="498EE539" w14:textId="77777777" w:rsidR="002C6760" w:rsidRDefault="002C6760" w:rsidP="002C6760">
      <w:pPr>
        <w:pStyle w:val="ListParagraph"/>
        <w:spacing w:line="360" w:lineRule="auto"/>
        <w:ind w:left="0"/>
        <w:jc w:val="both"/>
        <w:rPr>
          <w:rFonts w:ascii="Arial" w:hAnsi="Arial" w:cs="Arial"/>
          <w:sz w:val="24"/>
          <w:szCs w:val="24"/>
        </w:rPr>
      </w:pPr>
    </w:p>
    <w:p w14:paraId="3CCDAD54" w14:textId="77777777" w:rsidR="002C6760" w:rsidRDefault="002C6760" w:rsidP="002C6760">
      <w:pPr>
        <w:pStyle w:val="ListParagraph"/>
        <w:spacing w:line="360" w:lineRule="auto"/>
        <w:ind w:left="0"/>
        <w:jc w:val="both"/>
        <w:rPr>
          <w:rFonts w:ascii="Arial" w:hAnsi="Arial" w:cs="Arial"/>
          <w:sz w:val="24"/>
          <w:szCs w:val="24"/>
        </w:rPr>
      </w:pPr>
    </w:p>
    <w:p w14:paraId="45FDAF7E" w14:textId="77777777" w:rsidR="002C6760" w:rsidRPr="002C6760" w:rsidRDefault="00D30300" w:rsidP="002C6760">
      <w:pPr>
        <w:pStyle w:val="ListParagraph"/>
        <w:spacing w:line="360" w:lineRule="auto"/>
        <w:ind w:left="0"/>
        <w:jc w:val="both"/>
        <w:rPr>
          <w:rFonts w:ascii="Arial" w:hAnsi="Arial" w:cs="Arial"/>
          <w:sz w:val="24"/>
          <w:szCs w:val="24"/>
        </w:rPr>
      </w:pPr>
      <w:r w:rsidRPr="002C6760">
        <w:rPr>
          <w:rFonts w:ascii="Arial" w:hAnsi="Arial" w:cs="Arial"/>
          <w:b/>
          <w:bCs/>
          <w:sz w:val="24"/>
          <w:szCs w:val="24"/>
        </w:rPr>
        <w:t>Background</w:t>
      </w:r>
    </w:p>
    <w:p w14:paraId="499B6EFD" w14:textId="17AE25C7" w:rsidR="002C6760" w:rsidRPr="00960F80" w:rsidRDefault="00960F80" w:rsidP="00960F80">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2475F9" w:rsidRPr="00960F80">
        <w:rPr>
          <w:rFonts w:ascii="Arial" w:hAnsi="Arial" w:cs="Arial"/>
          <w:sz w:val="24"/>
          <w:szCs w:val="24"/>
        </w:rPr>
        <w:t>The defendant conceded the merits and accepted liability for the plaintiff’s claim, as proved or agreed upon. Subsequently, the parties achieved settlement regarding general damages in the amount of R 400,000. The defendant, furthermore, agreed to furnish an undertaking to the plaintiff in terms of section 17(4)(a) of the Road Accident Fund Act 56 of 1996 (‘RAF Act’) for the payment of his future medical and related expenses.</w:t>
      </w:r>
      <w:r w:rsidR="00D74309" w:rsidRPr="00960F80">
        <w:rPr>
          <w:rFonts w:ascii="Arial" w:hAnsi="Arial" w:cs="Arial"/>
          <w:sz w:val="24"/>
          <w:szCs w:val="24"/>
        </w:rPr>
        <w:t xml:space="preserve"> The settlement was made an order of court on 29 March 2022 and the determination of future loss of earnings was postponed </w:t>
      </w:r>
      <w:r w:rsidR="00D74309" w:rsidRPr="00960F80">
        <w:rPr>
          <w:rFonts w:ascii="Arial" w:hAnsi="Arial" w:cs="Arial"/>
          <w:i/>
          <w:iCs/>
          <w:sz w:val="24"/>
          <w:szCs w:val="24"/>
        </w:rPr>
        <w:t>sine die</w:t>
      </w:r>
      <w:r w:rsidR="00D74309" w:rsidRPr="00960F80">
        <w:rPr>
          <w:rFonts w:ascii="Arial" w:hAnsi="Arial" w:cs="Arial"/>
          <w:sz w:val="24"/>
          <w:szCs w:val="24"/>
        </w:rPr>
        <w:t>.</w:t>
      </w:r>
    </w:p>
    <w:p w14:paraId="41E13876" w14:textId="77777777" w:rsidR="002C6760" w:rsidRDefault="002C6760" w:rsidP="002C6760">
      <w:pPr>
        <w:pStyle w:val="ListParagraph"/>
        <w:spacing w:line="360" w:lineRule="auto"/>
        <w:ind w:left="0"/>
        <w:jc w:val="both"/>
        <w:rPr>
          <w:rFonts w:ascii="Arial" w:hAnsi="Arial" w:cs="Arial"/>
          <w:sz w:val="24"/>
          <w:szCs w:val="24"/>
        </w:rPr>
      </w:pPr>
    </w:p>
    <w:p w14:paraId="798DE690" w14:textId="551677C6" w:rsidR="00C33B61" w:rsidRPr="00960F80" w:rsidRDefault="00960F80" w:rsidP="00960F80">
      <w:pPr>
        <w:spacing w:line="360" w:lineRule="auto"/>
        <w:jc w:val="both"/>
        <w:rPr>
          <w:rFonts w:ascii="Arial" w:hAnsi="Arial" w:cs="Arial"/>
          <w:sz w:val="24"/>
          <w:szCs w:val="24"/>
        </w:rPr>
      </w:pPr>
      <w:r w:rsidRPr="002C6760">
        <w:rPr>
          <w:rFonts w:ascii="Arial" w:hAnsi="Arial" w:cs="Arial"/>
          <w:sz w:val="24"/>
          <w:szCs w:val="24"/>
        </w:rPr>
        <w:t>[3]</w:t>
      </w:r>
      <w:r w:rsidRPr="002C6760">
        <w:rPr>
          <w:rFonts w:ascii="Arial" w:hAnsi="Arial" w:cs="Arial"/>
          <w:sz w:val="24"/>
          <w:szCs w:val="24"/>
        </w:rPr>
        <w:tab/>
      </w:r>
      <w:r w:rsidR="00D74309" w:rsidRPr="00960F80">
        <w:rPr>
          <w:rFonts w:ascii="Arial" w:hAnsi="Arial" w:cs="Arial"/>
          <w:sz w:val="24"/>
          <w:szCs w:val="24"/>
        </w:rPr>
        <w:t xml:space="preserve">The parties later prepared a written statement, setting out a special case for adjudication under the provisions of rule 33 of the Uniform Rules of Court (‘URC’). </w:t>
      </w:r>
      <w:r w:rsidR="00C33B61" w:rsidRPr="00960F80">
        <w:rPr>
          <w:rFonts w:ascii="Arial" w:hAnsi="Arial" w:cs="Arial"/>
          <w:sz w:val="24"/>
          <w:szCs w:val="24"/>
        </w:rPr>
        <w:t xml:space="preserve">To that effect, the parties agreed that: </w:t>
      </w:r>
    </w:p>
    <w:p w14:paraId="2D21550C" w14:textId="77777777" w:rsidR="00D30300" w:rsidRDefault="00D30300" w:rsidP="00D30300">
      <w:pPr>
        <w:pStyle w:val="ListParagraph"/>
        <w:spacing w:line="360" w:lineRule="auto"/>
        <w:ind w:left="1080"/>
        <w:rPr>
          <w:rFonts w:ascii="Arial" w:hAnsi="Arial" w:cs="Arial"/>
          <w:sz w:val="24"/>
          <w:szCs w:val="24"/>
        </w:rPr>
      </w:pPr>
    </w:p>
    <w:p w14:paraId="0F198004" w14:textId="7A43DC95" w:rsidR="00D74309" w:rsidRPr="00960F80" w:rsidRDefault="00960F80" w:rsidP="00960F80">
      <w:pPr>
        <w:spacing w:line="360" w:lineRule="auto"/>
        <w:ind w:left="1418" w:hanging="698"/>
        <w:jc w:val="both"/>
        <w:rPr>
          <w:rFonts w:ascii="Arial" w:hAnsi="Arial" w:cs="Arial"/>
          <w:sz w:val="24"/>
          <w:szCs w:val="24"/>
        </w:rPr>
      </w:pPr>
      <w:r w:rsidRPr="009C2330">
        <w:rPr>
          <w:rFonts w:ascii="Arial" w:hAnsi="Arial" w:cs="Arial"/>
          <w:sz w:val="24"/>
          <w:szCs w:val="24"/>
        </w:rPr>
        <w:t>(a)</w:t>
      </w:r>
      <w:r w:rsidRPr="009C2330">
        <w:rPr>
          <w:rFonts w:ascii="Arial" w:hAnsi="Arial" w:cs="Arial"/>
          <w:sz w:val="24"/>
          <w:szCs w:val="24"/>
        </w:rPr>
        <w:tab/>
      </w:r>
      <w:r w:rsidR="00C33B61" w:rsidRPr="00960F80">
        <w:rPr>
          <w:rFonts w:ascii="Arial" w:hAnsi="Arial" w:cs="Arial"/>
          <w:sz w:val="24"/>
          <w:szCs w:val="24"/>
        </w:rPr>
        <w:t>they would not call any expert witnesses but would confine the case to argument in relation to the contingency deductions to be applied to the plaintiff’s loss of earning capacity;</w:t>
      </w:r>
    </w:p>
    <w:p w14:paraId="57923330" w14:textId="77777777" w:rsidR="00D30300" w:rsidRDefault="00D30300" w:rsidP="00D30300">
      <w:pPr>
        <w:pStyle w:val="ListParagraph"/>
        <w:spacing w:line="360" w:lineRule="auto"/>
        <w:ind w:left="1080"/>
        <w:rPr>
          <w:rFonts w:ascii="Arial" w:hAnsi="Arial" w:cs="Arial"/>
          <w:sz w:val="24"/>
          <w:szCs w:val="24"/>
        </w:rPr>
      </w:pPr>
    </w:p>
    <w:p w14:paraId="73415851" w14:textId="4E426A4D" w:rsidR="00C33B61" w:rsidRPr="00960F80" w:rsidRDefault="00960F80" w:rsidP="00960F80">
      <w:pPr>
        <w:spacing w:line="360" w:lineRule="auto"/>
        <w:ind w:left="1418" w:hanging="698"/>
        <w:jc w:val="both"/>
        <w:rPr>
          <w:rFonts w:ascii="Arial" w:hAnsi="Arial" w:cs="Arial"/>
          <w:sz w:val="24"/>
          <w:szCs w:val="24"/>
        </w:rPr>
      </w:pPr>
      <w:r w:rsidRPr="009C2330">
        <w:rPr>
          <w:rFonts w:ascii="Arial" w:hAnsi="Arial" w:cs="Arial"/>
          <w:sz w:val="24"/>
          <w:szCs w:val="24"/>
        </w:rPr>
        <w:t>(b)</w:t>
      </w:r>
      <w:r w:rsidRPr="009C2330">
        <w:rPr>
          <w:rFonts w:ascii="Arial" w:hAnsi="Arial" w:cs="Arial"/>
          <w:sz w:val="24"/>
          <w:szCs w:val="24"/>
        </w:rPr>
        <w:tab/>
      </w:r>
      <w:r w:rsidR="00C33B61" w:rsidRPr="00960F80">
        <w:rPr>
          <w:rFonts w:ascii="Arial" w:hAnsi="Arial" w:cs="Arial"/>
          <w:sz w:val="24"/>
          <w:szCs w:val="24"/>
        </w:rPr>
        <w:t>the contents of the report prepared by an industrial psychologist, Dr Gideon de Kock, dated 17 April 2019, were correct;</w:t>
      </w:r>
    </w:p>
    <w:p w14:paraId="108D517F" w14:textId="77777777" w:rsidR="00D30300" w:rsidRDefault="00D30300" w:rsidP="00D30300">
      <w:pPr>
        <w:pStyle w:val="ListParagraph"/>
        <w:spacing w:line="360" w:lineRule="auto"/>
        <w:ind w:left="1080"/>
        <w:rPr>
          <w:rFonts w:ascii="Arial" w:hAnsi="Arial" w:cs="Arial"/>
          <w:sz w:val="24"/>
          <w:szCs w:val="24"/>
        </w:rPr>
      </w:pPr>
    </w:p>
    <w:p w14:paraId="17045482" w14:textId="252F9326" w:rsidR="00C33B61" w:rsidRPr="00960F80" w:rsidRDefault="00960F80" w:rsidP="00960F80">
      <w:pPr>
        <w:spacing w:line="360" w:lineRule="auto"/>
        <w:ind w:left="1418" w:hanging="698"/>
        <w:jc w:val="both"/>
        <w:rPr>
          <w:rFonts w:ascii="Arial" w:hAnsi="Arial" w:cs="Arial"/>
          <w:sz w:val="24"/>
          <w:szCs w:val="24"/>
        </w:rPr>
      </w:pPr>
      <w:r w:rsidRPr="009C2330">
        <w:rPr>
          <w:rFonts w:ascii="Arial" w:hAnsi="Arial" w:cs="Arial"/>
          <w:sz w:val="24"/>
          <w:szCs w:val="24"/>
        </w:rPr>
        <w:t>(c)</w:t>
      </w:r>
      <w:r w:rsidRPr="009C2330">
        <w:rPr>
          <w:rFonts w:ascii="Arial" w:hAnsi="Arial" w:cs="Arial"/>
          <w:sz w:val="24"/>
          <w:szCs w:val="24"/>
        </w:rPr>
        <w:tab/>
      </w:r>
      <w:r w:rsidR="00C33B61" w:rsidRPr="00960F80">
        <w:rPr>
          <w:rFonts w:ascii="Arial" w:hAnsi="Arial" w:cs="Arial"/>
          <w:sz w:val="24"/>
          <w:szCs w:val="24"/>
        </w:rPr>
        <w:t xml:space="preserve">the calculations prepared by Munro </w:t>
      </w:r>
      <w:r w:rsidR="001A3AD4" w:rsidRPr="00960F80">
        <w:rPr>
          <w:rFonts w:ascii="Arial" w:hAnsi="Arial" w:cs="Arial"/>
          <w:sz w:val="24"/>
          <w:szCs w:val="24"/>
        </w:rPr>
        <w:t xml:space="preserve">Forensic </w:t>
      </w:r>
      <w:r w:rsidR="00C33B61" w:rsidRPr="00960F80">
        <w:rPr>
          <w:rFonts w:ascii="Arial" w:hAnsi="Arial" w:cs="Arial"/>
          <w:sz w:val="24"/>
          <w:szCs w:val="24"/>
        </w:rPr>
        <w:t>Actuaries were correct and that the plaintiff’s future loss of earnings amounted to R 2,491,300 prior to the deduction of an amount for general contingencies; and</w:t>
      </w:r>
    </w:p>
    <w:p w14:paraId="71313E0C" w14:textId="77777777" w:rsidR="00D30300" w:rsidRDefault="00D30300" w:rsidP="00D30300">
      <w:pPr>
        <w:pStyle w:val="ListParagraph"/>
        <w:spacing w:line="360" w:lineRule="auto"/>
        <w:ind w:left="1080"/>
        <w:rPr>
          <w:rFonts w:ascii="Arial" w:hAnsi="Arial" w:cs="Arial"/>
          <w:sz w:val="24"/>
          <w:szCs w:val="24"/>
        </w:rPr>
      </w:pPr>
    </w:p>
    <w:p w14:paraId="460FB830" w14:textId="2ECD92B2" w:rsidR="00C33B61" w:rsidRPr="00960F80" w:rsidRDefault="00960F80" w:rsidP="00960F80">
      <w:pPr>
        <w:spacing w:line="360" w:lineRule="auto"/>
        <w:ind w:left="1418" w:hanging="698"/>
        <w:jc w:val="both"/>
        <w:rPr>
          <w:rFonts w:ascii="Arial" w:hAnsi="Arial" w:cs="Arial"/>
          <w:sz w:val="24"/>
          <w:szCs w:val="24"/>
        </w:rPr>
      </w:pPr>
      <w:r>
        <w:rPr>
          <w:rFonts w:ascii="Arial" w:hAnsi="Arial" w:cs="Arial"/>
          <w:sz w:val="24"/>
          <w:szCs w:val="24"/>
        </w:rPr>
        <w:t>(d)</w:t>
      </w:r>
      <w:r>
        <w:rPr>
          <w:rFonts w:ascii="Arial" w:hAnsi="Arial" w:cs="Arial"/>
          <w:sz w:val="24"/>
          <w:szCs w:val="24"/>
        </w:rPr>
        <w:tab/>
      </w:r>
      <w:r w:rsidR="00C33B61" w:rsidRPr="00960F80">
        <w:rPr>
          <w:rFonts w:ascii="Arial" w:hAnsi="Arial" w:cs="Arial"/>
          <w:sz w:val="24"/>
          <w:szCs w:val="24"/>
        </w:rPr>
        <w:t xml:space="preserve">the only issues to be decided by the court were </w:t>
      </w:r>
      <w:r w:rsidR="00F90C7F" w:rsidRPr="00960F80">
        <w:rPr>
          <w:rFonts w:ascii="Arial" w:hAnsi="Arial" w:cs="Arial"/>
          <w:sz w:val="24"/>
          <w:szCs w:val="24"/>
        </w:rPr>
        <w:t>the general contingency deduction to be applied to the above sum, and costs.</w:t>
      </w:r>
    </w:p>
    <w:p w14:paraId="601C8E2F" w14:textId="77777777" w:rsidR="00D30300" w:rsidRPr="00D30300" w:rsidRDefault="00D30300" w:rsidP="00D30300">
      <w:pPr>
        <w:pStyle w:val="ListParagraph"/>
        <w:rPr>
          <w:rFonts w:ascii="Arial" w:hAnsi="Arial" w:cs="Arial"/>
          <w:sz w:val="24"/>
          <w:szCs w:val="24"/>
        </w:rPr>
      </w:pPr>
    </w:p>
    <w:p w14:paraId="3122DB7B" w14:textId="1079882A" w:rsidR="002C6760" w:rsidRPr="00960F80" w:rsidRDefault="00960F80" w:rsidP="00960F80">
      <w:pPr>
        <w:spacing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D30300" w:rsidRPr="00960F80">
        <w:rPr>
          <w:rFonts w:ascii="Arial" w:hAnsi="Arial" w:cs="Arial"/>
          <w:sz w:val="24"/>
          <w:szCs w:val="24"/>
        </w:rPr>
        <w:t xml:space="preserve">When the matter came before this court, the parties confirmed that none of the expert reports was in dispute. </w:t>
      </w:r>
    </w:p>
    <w:p w14:paraId="603844B0" w14:textId="4DEDE442" w:rsidR="002C6760" w:rsidRDefault="002C6760" w:rsidP="002C6760">
      <w:pPr>
        <w:pStyle w:val="ListParagraph"/>
        <w:spacing w:line="360" w:lineRule="auto"/>
        <w:ind w:left="0"/>
        <w:jc w:val="both"/>
        <w:rPr>
          <w:rFonts w:ascii="Arial" w:hAnsi="Arial" w:cs="Arial"/>
          <w:sz w:val="24"/>
          <w:szCs w:val="24"/>
        </w:rPr>
      </w:pPr>
    </w:p>
    <w:p w14:paraId="3A5A969D" w14:textId="461DCE55" w:rsidR="002C6760" w:rsidRDefault="002C6760" w:rsidP="002C6760">
      <w:pPr>
        <w:pStyle w:val="ListParagraph"/>
        <w:spacing w:line="360" w:lineRule="auto"/>
        <w:ind w:left="0"/>
        <w:jc w:val="both"/>
        <w:rPr>
          <w:rFonts w:ascii="Arial" w:hAnsi="Arial" w:cs="Arial"/>
          <w:sz w:val="24"/>
          <w:szCs w:val="24"/>
        </w:rPr>
      </w:pPr>
    </w:p>
    <w:p w14:paraId="008162D5" w14:textId="77777777" w:rsidR="002C6760" w:rsidRDefault="002C6760" w:rsidP="002C6760">
      <w:pPr>
        <w:pStyle w:val="ListParagraph"/>
        <w:spacing w:line="360" w:lineRule="auto"/>
        <w:ind w:left="0"/>
        <w:jc w:val="both"/>
        <w:rPr>
          <w:rFonts w:ascii="Arial" w:hAnsi="Arial" w:cs="Arial"/>
          <w:sz w:val="24"/>
          <w:szCs w:val="24"/>
        </w:rPr>
      </w:pPr>
    </w:p>
    <w:p w14:paraId="75937CAC" w14:textId="30551048" w:rsidR="002C6760" w:rsidRPr="002C6760" w:rsidRDefault="00D30300" w:rsidP="002C6760">
      <w:pPr>
        <w:pStyle w:val="ListParagraph"/>
        <w:spacing w:line="360" w:lineRule="auto"/>
        <w:ind w:left="0"/>
        <w:jc w:val="both"/>
        <w:rPr>
          <w:rFonts w:ascii="Arial" w:hAnsi="Arial" w:cs="Arial"/>
          <w:sz w:val="24"/>
          <w:szCs w:val="24"/>
        </w:rPr>
      </w:pPr>
      <w:r w:rsidRPr="002C6760">
        <w:rPr>
          <w:rFonts w:ascii="Arial" w:hAnsi="Arial" w:cs="Arial"/>
          <w:b/>
          <w:bCs/>
          <w:sz w:val="24"/>
          <w:szCs w:val="24"/>
        </w:rPr>
        <w:t>Issues to be decided</w:t>
      </w:r>
    </w:p>
    <w:p w14:paraId="4A5E7532" w14:textId="77777777" w:rsidR="002C6760" w:rsidRPr="002C6760" w:rsidRDefault="002C6760" w:rsidP="002C6760">
      <w:pPr>
        <w:spacing w:line="360" w:lineRule="auto"/>
        <w:jc w:val="both"/>
        <w:rPr>
          <w:rFonts w:ascii="Arial" w:hAnsi="Arial" w:cs="Arial"/>
          <w:sz w:val="24"/>
          <w:szCs w:val="24"/>
        </w:rPr>
      </w:pPr>
    </w:p>
    <w:p w14:paraId="2FB51596" w14:textId="00C20806"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B02AFC" w:rsidRPr="00960F80">
        <w:rPr>
          <w:rFonts w:ascii="Arial" w:hAnsi="Arial" w:cs="Arial"/>
          <w:sz w:val="24"/>
          <w:szCs w:val="24"/>
        </w:rPr>
        <w:t xml:space="preserve">The court is satisfied that the </w:t>
      </w:r>
      <w:r w:rsidR="00B72A45" w:rsidRPr="00960F80">
        <w:rPr>
          <w:rFonts w:ascii="Arial" w:hAnsi="Arial" w:cs="Arial"/>
          <w:sz w:val="24"/>
          <w:szCs w:val="24"/>
        </w:rPr>
        <w:t xml:space="preserve">facts of the matter are not in dispute and can be recorded as </w:t>
      </w:r>
      <w:r w:rsidR="00605416" w:rsidRPr="00960F80">
        <w:rPr>
          <w:rFonts w:ascii="Arial" w:hAnsi="Arial" w:cs="Arial"/>
          <w:sz w:val="24"/>
          <w:szCs w:val="24"/>
        </w:rPr>
        <w:t>s</w:t>
      </w:r>
      <w:r w:rsidR="003B0DF1" w:rsidRPr="00960F80">
        <w:rPr>
          <w:rFonts w:ascii="Arial" w:hAnsi="Arial" w:cs="Arial"/>
          <w:sz w:val="24"/>
          <w:szCs w:val="24"/>
        </w:rPr>
        <w:t>et out in the expert reports</w:t>
      </w:r>
      <w:r w:rsidR="00DF09D3" w:rsidRPr="00960F80">
        <w:rPr>
          <w:rFonts w:ascii="Arial" w:hAnsi="Arial" w:cs="Arial"/>
          <w:sz w:val="24"/>
          <w:szCs w:val="24"/>
        </w:rPr>
        <w:t xml:space="preserve">. It is apparent, furthermore, </w:t>
      </w:r>
      <w:r w:rsidR="003B0DF1" w:rsidRPr="00960F80">
        <w:rPr>
          <w:rFonts w:ascii="Arial" w:hAnsi="Arial" w:cs="Arial"/>
          <w:sz w:val="24"/>
          <w:szCs w:val="24"/>
        </w:rPr>
        <w:t xml:space="preserve">that there is </w:t>
      </w:r>
      <w:r w:rsidR="00DF09D3" w:rsidRPr="00960F80">
        <w:rPr>
          <w:rFonts w:ascii="Arial" w:hAnsi="Arial" w:cs="Arial"/>
          <w:sz w:val="24"/>
          <w:szCs w:val="24"/>
        </w:rPr>
        <w:t xml:space="preserve">no need </w:t>
      </w:r>
      <w:r w:rsidR="003B0DF1" w:rsidRPr="00960F80">
        <w:rPr>
          <w:rFonts w:ascii="Arial" w:hAnsi="Arial" w:cs="Arial"/>
          <w:sz w:val="24"/>
          <w:szCs w:val="24"/>
        </w:rPr>
        <w:t>for the hearing of evidence.</w:t>
      </w:r>
    </w:p>
    <w:p w14:paraId="31D798C6" w14:textId="77777777" w:rsidR="002C6760" w:rsidRDefault="002C6760" w:rsidP="002C6760">
      <w:pPr>
        <w:pStyle w:val="ListParagraph"/>
        <w:spacing w:line="360" w:lineRule="auto"/>
        <w:ind w:left="0"/>
        <w:jc w:val="both"/>
        <w:rPr>
          <w:rFonts w:ascii="Arial" w:hAnsi="Arial" w:cs="Arial"/>
          <w:sz w:val="24"/>
          <w:szCs w:val="24"/>
        </w:rPr>
      </w:pPr>
    </w:p>
    <w:p w14:paraId="774F60FB" w14:textId="07D6889B"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DE1303" w:rsidRPr="00960F80">
        <w:rPr>
          <w:rFonts w:ascii="Arial" w:hAnsi="Arial" w:cs="Arial"/>
          <w:sz w:val="24"/>
          <w:szCs w:val="24"/>
        </w:rPr>
        <w:t>Consequently, the court is required to decide</w:t>
      </w:r>
      <w:r w:rsidR="00AB16CF" w:rsidRPr="00960F80">
        <w:rPr>
          <w:rFonts w:ascii="Arial" w:hAnsi="Arial" w:cs="Arial"/>
          <w:sz w:val="24"/>
          <w:szCs w:val="24"/>
        </w:rPr>
        <w:t xml:space="preserve"> the issues contained in</w:t>
      </w:r>
      <w:r w:rsidR="00D30300" w:rsidRPr="00960F80">
        <w:rPr>
          <w:rFonts w:ascii="Arial" w:hAnsi="Arial" w:cs="Arial"/>
          <w:sz w:val="24"/>
          <w:szCs w:val="24"/>
        </w:rPr>
        <w:t xml:space="preserve"> the written statement</w:t>
      </w:r>
      <w:r w:rsidR="00F45547" w:rsidRPr="00960F80">
        <w:rPr>
          <w:rFonts w:ascii="Arial" w:hAnsi="Arial" w:cs="Arial"/>
          <w:sz w:val="24"/>
          <w:szCs w:val="24"/>
        </w:rPr>
        <w:t xml:space="preserve">. The special case for adjudication </w:t>
      </w:r>
      <w:r w:rsidR="00BE53D3" w:rsidRPr="00960F80">
        <w:rPr>
          <w:rFonts w:ascii="Arial" w:hAnsi="Arial" w:cs="Arial"/>
          <w:sz w:val="24"/>
          <w:szCs w:val="24"/>
        </w:rPr>
        <w:t>is</w:t>
      </w:r>
      <w:r w:rsidR="00815EF2" w:rsidRPr="00960F80">
        <w:rPr>
          <w:rFonts w:ascii="Arial" w:hAnsi="Arial" w:cs="Arial"/>
          <w:sz w:val="24"/>
          <w:szCs w:val="24"/>
        </w:rPr>
        <w:t xml:space="preserve"> limited </w:t>
      </w:r>
      <w:r w:rsidR="00667128" w:rsidRPr="00960F80">
        <w:rPr>
          <w:rFonts w:ascii="Arial" w:hAnsi="Arial" w:cs="Arial"/>
          <w:sz w:val="24"/>
          <w:szCs w:val="24"/>
        </w:rPr>
        <w:t xml:space="preserve">primarily </w:t>
      </w:r>
      <w:r w:rsidR="00815EF2" w:rsidRPr="00960F80">
        <w:rPr>
          <w:rFonts w:ascii="Arial" w:hAnsi="Arial" w:cs="Arial"/>
          <w:sz w:val="24"/>
          <w:szCs w:val="24"/>
        </w:rPr>
        <w:t xml:space="preserve">to the general contingency deduction to be applied to the </w:t>
      </w:r>
      <w:r w:rsidR="00667128" w:rsidRPr="00960F80">
        <w:rPr>
          <w:rFonts w:ascii="Arial" w:hAnsi="Arial" w:cs="Arial"/>
          <w:sz w:val="24"/>
          <w:szCs w:val="24"/>
        </w:rPr>
        <w:t>calculation of the plaintiff’s loss of earning</w:t>
      </w:r>
      <w:r w:rsidR="00C80A85" w:rsidRPr="00960F80">
        <w:rPr>
          <w:rFonts w:ascii="Arial" w:hAnsi="Arial" w:cs="Arial"/>
          <w:sz w:val="24"/>
          <w:szCs w:val="24"/>
        </w:rPr>
        <w:t xml:space="preserve"> capacity</w:t>
      </w:r>
      <w:r w:rsidR="00667128" w:rsidRPr="00960F80">
        <w:rPr>
          <w:rFonts w:ascii="Arial" w:hAnsi="Arial" w:cs="Arial"/>
          <w:sz w:val="24"/>
          <w:szCs w:val="24"/>
        </w:rPr>
        <w:t>.</w:t>
      </w:r>
      <w:r w:rsidR="00C80A85">
        <w:rPr>
          <w:rStyle w:val="FootnoteReference"/>
          <w:rFonts w:ascii="Arial" w:hAnsi="Arial" w:cs="Arial"/>
          <w:sz w:val="24"/>
          <w:szCs w:val="24"/>
        </w:rPr>
        <w:footnoteReference w:id="1"/>
      </w:r>
      <w:r w:rsidR="00667128" w:rsidRPr="00960F80">
        <w:rPr>
          <w:rFonts w:ascii="Arial" w:hAnsi="Arial" w:cs="Arial"/>
          <w:sz w:val="24"/>
          <w:szCs w:val="24"/>
        </w:rPr>
        <w:t xml:space="preserve"> The only remaining issue </w:t>
      </w:r>
      <w:r w:rsidR="00D51CE2" w:rsidRPr="00960F80">
        <w:rPr>
          <w:rFonts w:ascii="Arial" w:hAnsi="Arial" w:cs="Arial"/>
          <w:sz w:val="24"/>
          <w:szCs w:val="24"/>
        </w:rPr>
        <w:t xml:space="preserve">for determination </w:t>
      </w:r>
      <w:r w:rsidR="00667128" w:rsidRPr="00960F80">
        <w:rPr>
          <w:rFonts w:ascii="Arial" w:hAnsi="Arial" w:cs="Arial"/>
          <w:sz w:val="24"/>
          <w:szCs w:val="24"/>
        </w:rPr>
        <w:t>is that of costs.</w:t>
      </w:r>
    </w:p>
    <w:p w14:paraId="494BB32F" w14:textId="77777777" w:rsidR="002C6760" w:rsidRPr="002C6760" w:rsidRDefault="002C6760" w:rsidP="002C6760">
      <w:pPr>
        <w:pStyle w:val="ListParagraph"/>
        <w:rPr>
          <w:rFonts w:ascii="Arial" w:hAnsi="Arial" w:cs="Arial"/>
          <w:sz w:val="24"/>
          <w:szCs w:val="24"/>
        </w:rPr>
      </w:pPr>
    </w:p>
    <w:p w14:paraId="2EB06117" w14:textId="35F67364"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E27409" w:rsidRPr="00960F80">
        <w:rPr>
          <w:rFonts w:ascii="Arial" w:hAnsi="Arial" w:cs="Arial"/>
          <w:sz w:val="24"/>
          <w:szCs w:val="24"/>
        </w:rPr>
        <w:t xml:space="preserve">The relevant </w:t>
      </w:r>
      <w:r w:rsidR="00B54213" w:rsidRPr="00960F80">
        <w:rPr>
          <w:rFonts w:ascii="Arial" w:hAnsi="Arial" w:cs="Arial"/>
          <w:sz w:val="24"/>
          <w:szCs w:val="24"/>
        </w:rPr>
        <w:t xml:space="preserve">principles are </w:t>
      </w:r>
      <w:r w:rsidR="00E27409" w:rsidRPr="00960F80">
        <w:rPr>
          <w:rFonts w:ascii="Arial" w:hAnsi="Arial" w:cs="Arial"/>
          <w:sz w:val="24"/>
          <w:szCs w:val="24"/>
        </w:rPr>
        <w:t>discussed in the paragraphs below.</w:t>
      </w:r>
    </w:p>
    <w:p w14:paraId="17807B5D" w14:textId="77777777" w:rsidR="002C6760" w:rsidRPr="002C6760" w:rsidRDefault="002C6760" w:rsidP="002C6760">
      <w:pPr>
        <w:pStyle w:val="ListParagraph"/>
        <w:rPr>
          <w:rFonts w:ascii="Arial" w:hAnsi="Arial" w:cs="Arial"/>
          <w:sz w:val="24"/>
          <w:szCs w:val="24"/>
        </w:rPr>
      </w:pPr>
    </w:p>
    <w:p w14:paraId="6355DA81" w14:textId="77777777" w:rsidR="002C6760" w:rsidRDefault="002C6760" w:rsidP="002C6760">
      <w:pPr>
        <w:pStyle w:val="ListParagraph"/>
        <w:spacing w:line="360" w:lineRule="auto"/>
        <w:ind w:left="0"/>
        <w:jc w:val="both"/>
        <w:rPr>
          <w:rFonts w:ascii="Arial" w:hAnsi="Arial" w:cs="Arial"/>
          <w:sz w:val="24"/>
          <w:szCs w:val="24"/>
        </w:rPr>
      </w:pPr>
    </w:p>
    <w:p w14:paraId="07329BA0" w14:textId="77777777" w:rsidR="002C6760" w:rsidRPr="002C6760" w:rsidRDefault="002C6760" w:rsidP="002C6760">
      <w:pPr>
        <w:pStyle w:val="ListParagraph"/>
        <w:rPr>
          <w:rFonts w:ascii="Arial" w:hAnsi="Arial" w:cs="Arial"/>
          <w:b/>
          <w:bCs/>
          <w:sz w:val="24"/>
          <w:szCs w:val="24"/>
        </w:rPr>
      </w:pPr>
    </w:p>
    <w:p w14:paraId="2CC50C75" w14:textId="77777777" w:rsidR="002C6760" w:rsidRPr="002C6760" w:rsidRDefault="00E27409" w:rsidP="002C6760">
      <w:pPr>
        <w:pStyle w:val="ListParagraph"/>
        <w:spacing w:line="360" w:lineRule="auto"/>
        <w:ind w:left="0"/>
        <w:jc w:val="both"/>
        <w:rPr>
          <w:rFonts w:ascii="Arial" w:hAnsi="Arial" w:cs="Arial"/>
          <w:sz w:val="24"/>
          <w:szCs w:val="24"/>
        </w:rPr>
      </w:pPr>
      <w:r w:rsidRPr="002C6760">
        <w:rPr>
          <w:rFonts w:ascii="Arial" w:hAnsi="Arial" w:cs="Arial"/>
          <w:b/>
          <w:bCs/>
          <w:sz w:val="24"/>
          <w:szCs w:val="24"/>
        </w:rPr>
        <w:t>Legal framework</w:t>
      </w:r>
    </w:p>
    <w:p w14:paraId="11F5EF4F" w14:textId="77777777" w:rsidR="002C6760" w:rsidRPr="002C6760" w:rsidRDefault="002C6760" w:rsidP="002C6760">
      <w:pPr>
        <w:pStyle w:val="ListParagraph"/>
        <w:spacing w:line="360" w:lineRule="auto"/>
        <w:ind w:left="0"/>
        <w:jc w:val="both"/>
        <w:rPr>
          <w:rFonts w:ascii="Arial" w:hAnsi="Arial" w:cs="Arial"/>
          <w:sz w:val="24"/>
          <w:szCs w:val="24"/>
        </w:rPr>
      </w:pPr>
    </w:p>
    <w:p w14:paraId="1782B507" w14:textId="77777777" w:rsidR="002C6760" w:rsidRPr="002C6760" w:rsidRDefault="002C6760" w:rsidP="002C6760">
      <w:pPr>
        <w:pStyle w:val="ListParagraph"/>
        <w:spacing w:line="360" w:lineRule="auto"/>
        <w:ind w:left="0"/>
        <w:jc w:val="both"/>
        <w:rPr>
          <w:rFonts w:ascii="Arial" w:hAnsi="Arial" w:cs="Arial"/>
          <w:sz w:val="24"/>
          <w:szCs w:val="24"/>
        </w:rPr>
      </w:pPr>
    </w:p>
    <w:p w14:paraId="6BDF24D4" w14:textId="0B9047B6"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9A64F4" w:rsidRPr="00960F80">
        <w:rPr>
          <w:rFonts w:ascii="Arial" w:hAnsi="Arial" w:cs="Arial"/>
          <w:sz w:val="24"/>
          <w:szCs w:val="24"/>
        </w:rPr>
        <w:t xml:space="preserve">A general contingency deduction is </w:t>
      </w:r>
      <w:r w:rsidR="00E81608" w:rsidRPr="00960F80">
        <w:rPr>
          <w:rFonts w:ascii="Arial" w:hAnsi="Arial" w:cs="Arial"/>
          <w:sz w:val="24"/>
          <w:szCs w:val="24"/>
        </w:rPr>
        <w:t xml:space="preserve">made </w:t>
      </w:r>
      <w:r w:rsidR="00734839" w:rsidRPr="00960F80">
        <w:rPr>
          <w:rFonts w:ascii="Arial" w:hAnsi="Arial" w:cs="Arial"/>
          <w:sz w:val="24"/>
          <w:szCs w:val="24"/>
        </w:rPr>
        <w:t xml:space="preserve">so that </w:t>
      </w:r>
      <w:r w:rsidR="0038138A" w:rsidRPr="00960F80">
        <w:rPr>
          <w:rFonts w:ascii="Arial" w:hAnsi="Arial" w:cs="Arial"/>
          <w:sz w:val="24"/>
          <w:szCs w:val="24"/>
        </w:rPr>
        <w:t xml:space="preserve">any possible (and relevant) future event </w:t>
      </w:r>
      <w:r w:rsidR="003723E2" w:rsidRPr="00960F80">
        <w:rPr>
          <w:rFonts w:ascii="Arial" w:hAnsi="Arial" w:cs="Arial"/>
          <w:sz w:val="24"/>
          <w:szCs w:val="24"/>
        </w:rPr>
        <w:t xml:space="preserve">which might otherwise have caused </w:t>
      </w:r>
      <w:r w:rsidR="002A33A8" w:rsidRPr="00960F80">
        <w:rPr>
          <w:rFonts w:ascii="Arial" w:hAnsi="Arial" w:cs="Arial"/>
          <w:sz w:val="24"/>
          <w:szCs w:val="24"/>
        </w:rPr>
        <w:t xml:space="preserve">or influenced the extent of </w:t>
      </w:r>
      <w:r w:rsidR="003723E2" w:rsidRPr="00960F80">
        <w:rPr>
          <w:rFonts w:ascii="Arial" w:hAnsi="Arial" w:cs="Arial"/>
          <w:sz w:val="24"/>
          <w:szCs w:val="24"/>
        </w:rPr>
        <w:t xml:space="preserve">the </w:t>
      </w:r>
      <w:r w:rsidR="00E219A2" w:rsidRPr="00960F80">
        <w:rPr>
          <w:rFonts w:ascii="Arial" w:hAnsi="Arial" w:cs="Arial"/>
          <w:sz w:val="24"/>
          <w:szCs w:val="24"/>
        </w:rPr>
        <w:t xml:space="preserve">damages </w:t>
      </w:r>
      <w:r w:rsidR="00E219A2" w:rsidRPr="00960F80">
        <w:rPr>
          <w:rFonts w:ascii="Arial" w:hAnsi="Arial" w:cs="Arial"/>
          <w:sz w:val="24"/>
          <w:szCs w:val="24"/>
        </w:rPr>
        <w:lastRenderedPageBreak/>
        <w:t xml:space="preserve">sustained </w:t>
      </w:r>
      <w:r w:rsidR="005A58CE" w:rsidRPr="00960F80">
        <w:rPr>
          <w:rFonts w:ascii="Arial" w:hAnsi="Arial" w:cs="Arial"/>
          <w:sz w:val="24"/>
          <w:szCs w:val="24"/>
        </w:rPr>
        <w:t xml:space="preserve">by the plaintiff </w:t>
      </w:r>
      <w:r w:rsidR="00251A12" w:rsidRPr="00960F80">
        <w:rPr>
          <w:rFonts w:ascii="Arial" w:hAnsi="Arial" w:cs="Arial"/>
          <w:sz w:val="24"/>
          <w:szCs w:val="24"/>
        </w:rPr>
        <w:t xml:space="preserve">is </w:t>
      </w:r>
      <w:r w:rsidR="00130073" w:rsidRPr="00960F80">
        <w:rPr>
          <w:rFonts w:ascii="Arial" w:hAnsi="Arial" w:cs="Arial"/>
          <w:sz w:val="24"/>
          <w:szCs w:val="24"/>
        </w:rPr>
        <w:t>considered</w:t>
      </w:r>
      <w:r w:rsidR="00251A12" w:rsidRPr="00960F80">
        <w:rPr>
          <w:rFonts w:ascii="Arial" w:hAnsi="Arial" w:cs="Arial"/>
          <w:sz w:val="24"/>
          <w:szCs w:val="24"/>
        </w:rPr>
        <w:t>.</w:t>
      </w:r>
      <w:r w:rsidR="00264D32">
        <w:rPr>
          <w:rStyle w:val="FootnoteReference"/>
          <w:rFonts w:ascii="Arial" w:hAnsi="Arial" w:cs="Arial"/>
          <w:sz w:val="24"/>
          <w:szCs w:val="24"/>
        </w:rPr>
        <w:footnoteReference w:id="2"/>
      </w:r>
      <w:r w:rsidR="00E81608" w:rsidRPr="00960F80">
        <w:rPr>
          <w:rFonts w:ascii="Arial" w:hAnsi="Arial" w:cs="Arial"/>
          <w:sz w:val="24"/>
          <w:szCs w:val="24"/>
        </w:rPr>
        <w:t xml:space="preserve"> </w:t>
      </w:r>
      <w:r w:rsidR="00E1124C" w:rsidRPr="00960F80">
        <w:rPr>
          <w:rFonts w:ascii="Arial" w:hAnsi="Arial" w:cs="Arial"/>
          <w:sz w:val="24"/>
          <w:szCs w:val="24"/>
        </w:rPr>
        <w:t xml:space="preserve">Broadly speaking, contingencies have been described as </w:t>
      </w:r>
      <w:r w:rsidR="004A2990" w:rsidRPr="00960F80">
        <w:rPr>
          <w:rFonts w:ascii="Arial" w:hAnsi="Arial" w:cs="Arial"/>
          <w:sz w:val="24"/>
          <w:szCs w:val="24"/>
        </w:rPr>
        <w:t>‘</w:t>
      </w:r>
      <w:r w:rsidR="00926D41" w:rsidRPr="00960F80">
        <w:rPr>
          <w:rFonts w:ascii="Arial" w:hAnsi="Arial" w:cs="Arial"/>
          <w:sz w:val="24"/>
          <w:szCs w:val="24"/>
        </w:rPr>
        <w:t>the vicissitudes of life, such as illness, unemployment,</w:t>
      </w:r>
      <w:r w:rsidR="00F828E9" w:rsidRPr="00960F80">
        <w:rPr>
          <w:rFonts w:ascii="Arial" w:hAnsi="Arial" w:cs="Arial"/>
          <w:sz w:val="24"/>
          <w:szCs w:val="24"/>
        </w:rPr>
        <w:t xml:space="preserve"> life expectancy, early retirement and other unforeseen factors</w:t>
      </w:r>
      <w:r w:rsidR="00CF6483" w:rsidRPr="00960F80">
        <w:rPr>
          <w:rFonts w:ascii="Arial" w:hAnsi="Arial" w:cs="Arial"/>
          <w:sz w:val="24"/>
          <w:szCs w:val="24"/>
        </w:rPr>
        <w:t>’.</w:t>
      </w:r>
      <w:r w:rsidR="00CF6483">
        <w:rPr>
          <w:rStyle w:val="FootnoteReference"/>
          <w:rFonts w:ascii="Arial" w:hAnsi="Arial" w:cs="Arial"/>
          <w:sz w:val="24"/>
          <w:szCs w:val="24"/>
        </w:rPr>
        <w:footnoteReference w:id="3"/>
      </w:r>
      <w:r w:rsidR="006C09BC" w:rsidRPr="00960F80">
        <w:rPr>
          <w:rFonts w:ascii="Arial" w:hAnsi="Arial" w:cs="Arial"/>
          <w:sz w:val="24"/>
          <w:szCs w:val="24"/>
        </w:rPr>
        <w:t xml:space="preserve"> The courts have recognised</w:t>
      </w:r>
      <w:r w:rsidR="00ED6612" w:rsidRPr="00960F80">
        <w:rPr>
          <w:rFonts w:ascii="Arial" w:hAnsi="Arial" w:cs="Arial"/>
          <w:sz w:val="24"/>
          <w:szCs w:val="24"/>
        </w:rPr>
        <w:t>, however</w:t>
      </w:r>
      <w:r w:rsidR="002E60F7" w:rsidRPr="00960F80">
        <w:rPr>
          <w:rFonts w:ascii="Arial" w:hAnsi="Arial" w:cs="Arial"/>
          <w:sz w:val="24"/>
          <w:szCs w:val="24"/>
        </w:rPr>
        <w:t>,</w:t>
      </w:r>
      <w:r w:rsidR="00E15E5E" w:rsidRPr="00960F80">
        <w:rPr>
          <w:rFonts w:ascii="Arial" w:hAnsi="Arial" w:cs="Arial"/>
          <w:sz w:val="24"/>
          <w:szCs w:val="24"/>
        </w:rPr>
        <w:t xml:space="preserve"> that the fortunes of life are</w:t>
      </w:r>
      <w:r w:rsidR="00E55818" w:rsidRPr="00960F80">
        <w:rPr>
          <w:rFonts w:ascii="Arial" w:hAnsi="Arial" w:cs="Arial"/>
          <w:sz w:val="24"/>
          <w:szCs w:val="24"/>
        </w:rPr>
        <w:t xml:space="preserve"> not always adverse; they may be favourable.</w:t>
      </w:r>
      <w:r w:rsidR="00E55818">
        <w:rPr>
          <w:rStyle w:val="FootnoteReference"/>
          <w:rFonts w:ascii="Arial" w:hAnsi="Arial" w:cs="Arial"/>
          <w:sz w:val="24"/>
          <w:szCs w:val="24"/>
        </w:rPr>
        <w:footnoteReference w:id="4"/>
      </w:r>
    </w:p>
    <w:p w14:paraId="198C5838" w14:textId="77777777" w:rsidR="002C6760" w:rsidRDefault="002C6760" w:rsidP="002C6760">
      <w:pPr>
        <w:pStyle w:val="ListParagraph"/>
        <w:spacing w:line="360" w:lineRule="auto"/>
        <w:ind w:left="0"/>
        <w:jc w:val="both"/>
        <w:rPr>
          <w:rFonts w:ascii="Arial" w:hAnsi="Arial" w:cs="Arial"/>
          <w:sz w:val="24"/>
          <w:szCs w:val="24"/>
        </w:rPr>
      </w:pPr>
    </w:p>
    <w:p w14:paraId="02F18D40" w14:textId="131B9326" w:rsidR="0052114E" w:rsidRPr="00960F80" w:rsidRDefault="00960F80" w:rsidP="00960F80">
      <w:pPr>
        <w:spacing w:line="360" w:lineRule="auto"/>
        <w:jc w:val="both"/>
        <w:rPr>
          <w:rFonts w:ascii="Arial" w:hAnsi="Arial" w:cs="Arial"/>
          <w:sz w:val="24"/>
          <w:szCs w:val="24"/>
        </w:rPr>
      </w:pPr>
      <w:r w:rsidRPr="002C6760">
        <w:rPr>
          <w:rFonts w:ascii="Arial" w:hAnsi="Arial" w:cs="Arial"/>
          <w:sz w:val="24"/>
          <w:szCs w:val="24"/>
        </w:rPr>
        <w:t>[9]</w:t>
      </w:r>
      <w:r w:rsidRPr="002C6760">
        <w:rPr>
          <w:rFonts w:ascii="Arial" w:hAnsi="Arial" w:cs="Arial"/>
          <w:sz w:val="24"/>
          <w:szCs w:val="24"/>
        </w:rPr>
        <w:tab/>
      </w:r>
      <w:r w:rsidR="0052114E" w:rsidRPr="00960F80">
        <w:rPr>
          <w:rFonts w:ascii="Arial" w:hAnsi="Arial" w:cs="Arial"/>
          <w:sz w:val="24"/>
          <w:szCs w:val="24"/>
        </w:rPr>
        <w:t xml:space="preserve">The determination </w:t>
      </w:r>
      <w:r w:rsidR="00792986" w:rsidRPr="00960F80">
        <w:rPr>
          <w:rFonts w:ascii="Arial" w:hAnsi="Arial" w:cs="Arial"/>
          <w:sz w:val="24"/>
          <w:szCs w:val="24"/>
        </w:rPr>
        <w:t>of the general contingency deduction to be made falls squarely within the discretion of the court</w:t>
      </w:r>
      <w:r w:rsidR="00C05676" w:rsidRPr="00960F80">
        <w:rPr>
          <w:rFonts w:ascii="Arial" w:hAnsi="Arial" w:cs="Arial"/>
          <w:sz w:val="24"/>
          <w:szCs w:val="24"/>
        </w:rPr>
        <w:t>, which must decide what is fair and reasonable.</w:t>
      </w:r>
      <w:r w:rsidR="00E370F0">
        <w:rPr>
          <w:rStyle w:val="FootnoteReference"/>
          <w:rFonts w:ascii="Arial" w:hAnsi="Arial" w:cs="Arial"/>
          <w:sz w:val="24"/>
          <w:szCs w:val="24"/>
        </w:rPr>
        <w:footnoteReference w:id="5"/>
      </w:r>
      <w:r w:rsidR="004922CC" w:rsidRPr="00960F80">
        <w:rPr>
          <w:rFonts w:ascii="Arial" w:hAnsi="Arial" w:cs="Arial"/>
          <w:sz w:val="24"/>
          <w:szCs w:val="24"/>
        </w:rPr>
        <w:t xml:space="preserve"> This is far from an exact science</w:t>
      </w:r>
      <w:r w:rsidR="00D11908" w:rsidRPr="00960F80">
        <w:rPr>
          <w:rFonts w:ascii="Arial" w:hAnsi="Arial" w:cs="Arial"/>
          <w:sz w:val="24"/>
          <w:szCs w:val="24"/>
        </w:rPr>
        <w:t>. As Trollip</w:t>
      </w:r>
      <w:r w:rsidR="00295B72" w:rsidRPr="00960F80">
        <w:rPr>
          <w:rFonts w:ascii="Arial" w:hAnsi="Arial" w:cs="Arial"/>
          <w:sz w:val="24"/>
          <w:szCs w:val="24"/>
        </w:rPr>
        <w:t xml:space="preserve"> JA observed in </w:t>
      </w:r>
      <w:r w:rsidR="003E611A" w:rsidRPr="00960F80">
        <w:rPr>
          <w:rFonts w:ascii="Arial" w:hAnsi="Arial" w:cs="Arial"/>
          <w:i/>
          <w:iCs/>
          <w:sz w:val="24"/>
          <w:szCs w:val="24"/>
        </w:rPr>
        <w:t>Shield Insurance Co Ltd v Booysen</w:t>
      </w:r>
      <w:r w:rsidR="003E611A" w:rsidRPr="00960F80">
        <w:rPr>
          <w:rFonts w:ascii="Arial" w:hAnsi="Arial" w:cs="Arial"/>
          <w:sz w:val="24"/>
          <w:szCs w:val="24"/>
        </w:rPr>
        <w:t>,</w:t>
      </w:r>
      <w:r w:rsidR="003E611A">
        <w:rPr>
          <w:rStyle w:val="FootnoteReference"/>
          <w:rFonts w:ascii="Arial" w:hAnsi="Arial" w:cs="Arial"/>
          <w:sz w:val="24"/>
          <w:szCs w:val="24"/>
        </w:rPr>
        <w:footnoteReference w:id="6"/>
      </w:r>
      <w:r w:rsidR="00E652B5" w:rsidRPr="00960F80">
        <w:rPr>
          <w:rFonts w:ascii="Arial" w:hAnsi="Arial" w:cs="Arial"/>
          <w:sz w:val="24"/>
          <w:szCs w:val="24"/>
        </w:rPr>
        <w:t xml:space="preserve"> the determination of </w:t>
      </w:r>
      <w:r w:rsidR="000D03FE" w:rsidRPr="00960F80">
        <w:rPr>
          <w:rFonts w:ascii="Arial" w:hAnsi="Arial" w:cs="Arial"/>
          <w:sz w:val="24"/>
          <w:szCs w:val="24"/>
        </w:rPr>
        <w:t>contingencies involves</w:t>
      </w:r>
      <w:r w:rsidR="00AA265A" w:rsidRPr="00960F80">
        <w:rPr>
          <w:rFonts w:ascii="Arial" w:hAnsi="Arial" w:cs="Arial"/>
          <w:sz w:val="24"/>
          <w:szCs w:val="24"/>
        </w:rPr>
        <w:t xml:space="preserve"> ‘a process of subjective impression</w:t>
      </w:r>
      <w:r w:rsidR="009C24D2" w:rsidRPr="00960F80">
        <w:rPr>
          <w:rFonts w:ascii="Arial" w:hAnsi="Arial" w:cs="Arial"/>
          <w:sz w:val="24"/>
          <w:szCs w:val="24"/>
        </w:rPr>
        <w:t xml:space="preserve"> or estimation rather than objective calculation’.</w:t>
      </w:r>
      <w:r w:rsidR="003A5C87" w:rsidRPr="00960F80">
        <w:rPr>
          <w:rFonts w:ascii="Arial" w:hAnsi="Arial" w:cs="Arial"/>
          <w:sz w:val="24"/>
          <w:szCs w:val="24"/>
        </w:rPr>
        <w:t xml:space="preserve"> </w:t>
      </w:r>
      <w:r w:rsidR="0027306A" w:rsidRPr="00960F80">
        <w:rPr>
          <w:rFonts w:ascii="Arial" w:hAnsi="Arial" w:cs="Arial"/>
          <w:sz w:val="24"/>
          <w:szCs w:val="24"/>
        </w:rPr>
        <w:t xml:space="preserve">The true nature of the task </w:t>
      </w:r>
      <w:r w:rsidR="006B4E32" w:rsidRPr="00960F80">
        <w:rPr>
          <w:rFonts w:ascii="Arial" w:hAnsi="Arial" w:cs="Arial"/>
          <w:sz w:val="24"/>
          <w:szCs w:val="24"/>
        </w:rPr>
        <w:t xml:space="preserve">was possibly best described by Margo J in </w:t>
      </w:r>
      <w:r w:rsidR="006B4E32" w:rsidRPr="00960F80">
        <w:rPr>
          <w:rFonts w:ascii="Arial" w:hAnsi="Arial" w:cs="Arial"/>
          <w:i/>
          <w:iCs/>
          <w:sz w:val="24"/>
          <w:szCs w:val="24"/>
        </w:rPr>
        <w:t>Goodall v President Insurance Co Ltd</w:t>
      </w:r>
      <w:r w:rsidR="00327202" w:rsidRPr="00960F80">
        <w:rPr>
          <w:rFonts w:ascii="Arial" w:hAnsi="Arial" w:cs="Arial"/>
          <w:sz w:val="24"/>
          <w:szCs w:val="24"/>
        </w:rPr>
        <w:t>,</w:t>
      </w:r>
      <w:r w:rsidR="00327202">
        <w:rPr>
          <w:rStyle w:val="FootnoteReference"/>
          <w:rFonts w:ascii="Arial" w:hAnsi="Arial" w:cs="Arial"/>
          <w:sz w:val="24"/>
          <w:szCs w:val="24"/>
        </w:rPr>
        <w:footnoteReference w:id="7"/>
      </w:r>
      <w:r w:rsidR="00885001" w:rsidRPr="00960F80">
        <w:rPr>
          <w:rFonts w:ascii="Arial" w:hAnsi="Arial" w:cs="Arial"/>
          <w:sz w:val="24"/>
          <w:szCs w:val="24"/>
        </w:rPr>
        <w:t xml:space="preserve"> who remarked as follows:</w:t>
      </w:r>
    </w:p>
    <w:p w14:paraId="554BD926" w14:textId="13642298" w:rsidR="00885001" w:rsidRPr="00406D73" w:rsidRDefault="00885001" w:rsidP="002C6760">
      <w:pPr>
        <w:spacing w:line="360" w:lineRule="auto"/>
        <w:ind w:left="720"/>
        <w:jc w:val="both"/>
        <w:rPr>
          <w:rFonts w:ascii="Arial" w:hAnsi="Arial" w:cs="Arial"/>
          <w:sz w:val="20"/>
          <w:szCs w:val="20"/>
        </w:rPr>
      </w:pPr>
      <w:r w:rsidRPr="00406D73">
        <w:rPr>
          <w:rFonts w:ascii="Arial" w:hAnsi="Arial" w:cs="Arial"/>
          <w:sz w:val="20"/>
          <w:szCs w:val="20"/>
        </w:rPr>
        <w:t>‘</w:t>
      </w:r>
      <w:r w:rsidR="00387D06" w:rsidRPr="00406D73">
        <w:rPr>
          <w:rFonts w:ascii="Arial" w:hAnsi="Arial" w:cs="Arial"/>
          <w:sz w:val="20"/>
          <w:szCs w:val="20"/>
        </w:rPr>
        <w:t>In t</w:t>
      </w:r>
      <w:r w:rsidRPr="00406D73">
        <w:rPr>
          <w:rFonts w:ascii="Arial" w:hAnsi="Arial" w:cs="Arial"/>
          <w:sz w:val="20"/>
          <w:szCs w:val="20"/>
        </w:rPr>
        <w:t xml:space="preserve">he assessment of a proper allowance </w:t>
      </w:r>
      <w:r w:rsidR="00387D06" w:rsidRPr="00406D73">
        <w:rPr>
          <w:rFonts w:ascii="Arial" w:hAnsi="Arial" w:cs="Arial"/>
          <w:sz w:val="20"/>
          <w:szCs w:val="20"/>
        </w:rPr>
        <w:t>for contingencies,</w:t>
      </w:r>
      <w:r w:rsidR="001B51E9" w:rsidRPr="00406D73">
        <w:rPr>
          <w:rFonts w:ascii="Arial" w:hAnsi="Arial" w:cs="Arial"/>
          <w:sz w:val="20"/>
          <w:szCs w:val="20"/>
        </w:rPr>
        <w:t xml:space="preserve"> arbitrary considerations must inevitably play a part</w:t>
      </w:r>
      <w:r w:rsidR="00BF602F" w:rsidRPr="00406D73">
        <w:rPr>
          <w:rFonts w:ascii="Arial" w:hAnsi="Arial" w:cs="Arial"/>
          <w:sz w:val="20"/>
          <w:szCs w:val="20"/>
        </w:rPr>
        <w:t xml:space="preserve">, for the art or science of foretelling the future, so confidently practised </w:t>
      </w:r>
      <w:r w:rsidR="00953975" w:rsidRPr="00406D73">
        <w:rPr>
          <w:rFonts w:ascii="Arial" w:hAnsi="Arial" w:cs="Arial"/>
          <w:sz w:val="20"/>
          <w:szCs w:val="20"/>
        </w:rPr>
        <w:t xml:space="preserve">by ancient prophets and soothsayers, and by modern authors of a certain type of almanack, </w:t>
      </w:r>
      <w:r w:rsidR="0050766F" w:rsidRPr="00406D73">
        <w:rPr>
          <w:rFonts w:ascii="Arial" w:hAnsi="Arial" w:cs="Arial"/>
          <w:sz w:val="20"/>
          <w:szCs w:val="20"/>
        </w:rPr>
        <w:t>is not numbered among the qualifications for judicial office.’</w:t>
      </w:r>
      <w:r w:rsidR="0050766F" w:rsidRPr="00406D73">
        <w:rPr>
          <w:rStyle w:val="FootnoteReference"/>
          <w:rFonts w:ascii="Arial" w:hAnsi="Arial" w:cs="Arial"/>
          <w:sz w:val="20"/>
          <w:szCs w:val="20"/>
        </w:rPr>
        <w:footnoteReference w:id="8"/>
      </w:r>
    </w:p>
    <w:p w14:paraId="239FA456" w14:textId="77777777" w:rsidR="00021EA9" w:rsidRDefault="00021EA9" w:rsidP="009C2330">
      <w:pPr>
        <w:spacing w:line="360" w:lineRule="auto"/>
        <w:rPr>
          <w:rFonts w:ascii="Arial" w:hAnsi="Arial" w:cs="Arial"/>
          <w:sz w:val="24"/>
          <w:szCs w:val="24"/>
        </w:rPr>
      </w:pPr>
    </w:p>
    <w:p w14:paraId="000557B3" w14:textId="154245AD"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1C5022" w:rsidRPr="00960F80">
        <w:rPr>
          <w:rFonts w:ascii="Arial" w:hAnsi="Arial" w:cs="Arial"/>
          <w:sz w:val="24"/>
          <w:szCs w:val="24"/>
        </w:rPr>
        <w:t>The a</w:t>
      </w:r>
      <w:r w:rsidR="00027D22" w:rsidRPr="00960F80">
        <w:rPr>
          <w:rFonts w:ascii="Arial" w:hAnsi="Arial" w:cs="Arial"/>
          <w:sz w:val="24"/>
          <w:szCs w:val="24"/>
        </w:rPr>
        <w:t xml:space="preserve">pplication of a general contingency deduction has the </w:t>
      </w:r>
      <w:r w:rsidR="001D435E" w:rsidRPr="00960F80">
        <w:rPr>
          <w:rFonts w:ascii="Arial" w:hAnsi="Arial" w:cs="Arial"/>
          <w:sz w:val="24"/>
          <w:szCs w:val="24"/>
        </w:rPr>
        <w:t>effect that the damages are reduced by</w:t>
      </w:r>
      <w:r w:rsidR="00EC0985" w:rsidRPr="00960F80">
        <w:rPr>
          <w:rFonts w:ascii="Arial" w:hAnsi="Arial" w:cs="Arial"/>
          <w:sz w:val="24"/>
          <w:szCs w:val="24"/>
        </w:rPr>
        <w:t xml:space="preserve"> anything between </w:t>
      </w:r>
      <w:r w:rsidR="002953E9" w:rsidRPr="00960F80">
        <w:rPr>
          <w:rFonts w:ascii="Arial" w:hAnsi="Arial" w:cs="Arial"/>
          <w:sz w:val="24"/>
          <w:szCs w:val="24"/>
        </w:rPr>
        <w:t>5%</w:t>
      </w:r>
      <w:r w:rsidR="00EC0985" w:rsidRPr="00960F80">
        <w:rPr>
          <w:rFonts w:ascii="Arial" w:hAnsi="Arial" w:cs="Arial"/>
          <w:sz w:val="24"/>
          <w:szCs w:val="24"/>
        </w:rPr>
        <w:t xml:space="preserve"> and 50</w:t>
      </w:r>
      <w:r w:rsidR="002953E9" w:rsidRPr="00960F80">
        <w:rPr>
          <w:rFonts w:ascii="Arial" w:hAnsi="Arial" w:cs="Arial"/>
          <w:sz w:val="24"/>
          <w:szCs w:val="24"/>
        </w:rPr>
        <w:t>%.</w:t>
      </w:r>
      <w:r w:rsidR="002953E9">
        <w:rPr>
          <w:rStyle w:val="FootnoteReference"/>
          <w:rFonts w:ascii="Arial" w:hAnsi="Arial" w:cs="Arial"/>
          <w:sz w:val="24"/>
          <w:szCs w:val="24"/>
        </w:rPr>
        <w:footnoteReference w:id="9"/>
      </w:r>
      <w:r w:rsidR="00BD6B40" w:rsidRPr="00960F80">
        <w:rPr>
          <w:rFonts w:ascii="Arial" w:hAnsi="Arial" w:cs="Arial"/>
          <w:sz w:val="24"/>
          <w:szCs w:val="24"/>
        </w:rPr>
        <w:t xml:space="preserve"> Precisely where the </w:t>
      </w:r>
      <w:r w:rsidR="00E91F8D" w:rsidRPr="00960F80">
        <w:rPr>
          <w:rFonts w:ascii="Arial" w:hAnsi="Arial" w:cs="Arial"/>
          <w:sz w:val="24"/>
          <w:szCs w:val="24"/>
        </w:rPr>
        <w:t xml:space="preserve">line should be drawn </w:t>
      </w:r>
      <w:r w:rsidR="00BD6B40" w:rsidRPr="00960F80">
        <w:rPr>
          <w:rFonts w:ascii="Arial" w:hAnsi="Arial" w:cs="Arial"/>
          <w:sz w:val="24"/>
          <w:szCs w:val="24"/>
        </w:rPr>
        <w:t>depends on the facts and unique circumstances of each case</w:t>
      </w:r>
      <w:r w:rsidR="00834AE9" w:rsidRPr="00960F80">
        <w:rPr>
          <w:rFonts w:ascii="Arial" w:hAnsi="Arial" w:cs="Arial"/>
          <w:sz w:val="24"/>
          <w:szCs w:val="24"/>
        </w:rPr>
        <w:t>.</w:t>
      </w:r>
    </w:p>
    <w:p w14:paraId="0C34CD65" w14:textId="77777777" w:rsidR="002C6760" w:rsidRDefault="002C6760" w:rsidP="002C6760">
      <w:pPr>
        <w:pStyle w:val="ListParagraph"/>
        <w:spacing w:line="360" w:lineRule="auto"/>
        <w:ind w:left="0"/>
        <w:jc w:val="both"/>
        <w:rPr>
          <w:rFonts w:ascii="Arial" w:hAnsi="Arial" w:cs="Arial"/>
          <w:sz w:val="24"/>
          <w:szCs w:val="24"/>
        </w:rPr>
      </w:pPr>
    </w:p>
    <w:p w14:paraId="66813F79" w14:textId="26F1C0FC"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68797D" w:rsidRPr="00960F80">
        <w:rPr>
          <w:rFonts w:ascii="Arial" w:hAnsi="Arial" w:cs="Arial"/>
          <w:sz w:val="24"/>
          <w:szCs w:val="24"/>
        </w:rPr>
        <w:t xml:space="preserve">It is necessary to consider, </w:t>
      </w:r>
      <w:r w:rsidR="00834AE9" w:rsidRPr="00960F80">
        <w:rPr>
          <w:rFonts w:ascii="Arial" w:hAnsi="Arial" w:cs="Arial"/>
          <w:sz w:val="24"/>
          <w:szCs w:val="24"/>
        </w:rPr>
        <w:t>at this stage</w:t>
      </w:r>
      <w:r w:rsidR="0068797D" w:rsidRPr="00960F80">
        <w:rPr>
          <w:rFonts w:ascii="Arial" w:hAnsi="Arial" w:cs="Arial"/>
          <w:sz w:val="24"/>
          <w:szCs w:val="24"/>
        </w:rPr>
        <w:t>, the contents of the expert reports upon which the parties chiefly rely</w:t>
      </w:r>
      <w:r w:rsidR="009E6646" w:rsidRPr="00960F80">
        <w:rPr>
          <w:rFonts w:ascii="Arial" w:hAnsi="Arial" w:cs="Arial"/>
          <w:sz w:val="24"/>
          <w:szCs w:val="24"/>
        </w:rPr>
        <w:t>.</w:t>
      </w:r>
    </w:p>
    <w:p w14:paraId="5EAA2562" w14:textId="77777777" w:rsidR="002C6760" w:rsidRPr="002C6760" w:rsidRDefault="002C6760" w:rsidP="002C6760">
      <w:pPr>
        <w:pStyle w:val="ListParagraph"/>
        <w:rPr>
          <w:rFonts w:ascii="Arial" w:hAnsi="Arial" w:cs="Arial"/>
          <w:b/>
          <w:bCs/>
          <w:sz w:val="24"/>
          <w:szCs w:val="24"/>
        </w:rPr>
      </w:pPr>
    </w:p>
    <w:p w14:paraId="5A3E5D8A" w14:textId="77777777" w:rsidR="002C6760" w:rsidRPr="002C6760" w:rsidRDefault="002C6760" w:rsidP="002C6760">
      <w:pPr>
        <w:pStyle w:val="ListParagraph"/>
        <w:spacing w:line="360" w:lineRule="auto"/>
        <w:ind w:left="0"/>
        <w:jc w:val="both"/>
        <w:rPr>
          <w:rFonts w:ascii="Arial" w:hAnsi="Arial" w:cs="Arial"/>
          <w:sz w:val="24"/>
          <w:szCs w:val="24"/>
        </w:rPr>
      </w:pPr>
    </w:p>
    <w:p w14:paraId="6C9054E1" w14:textId="77777777" w:rsidR="002C6760" w:rsidRPr="002C6760" w:rsidRDefault="002C6760" w:rsidP="002C6760">
      <w:pPr>
        <w:pStyle w:val="ListParagraph"/>
        <w:rPr>
          <w:rFonts w:ascii="Arial" w:hAnsi="Arial" w:cs="Arial"/>
          <w:b/>
          <w:bCs/>
          <w:sz w:val="24"/>
          <w:szCs w:val="24"/>
        </w:rPr>
      </w:pPr>
    </w:p>
    <w:p w14:paraId="38707CC9" w14:textId="77777777" w:rsidR="002C6760" w:rsidRPr="002C6760" w:rsidRDefault="00906448" w:rsidP="002C6760">
      <w:pPr>
        <w:pStyle w:val="ListParagraph"/>
        <w:spacing w:line="360" w:lineRule="auto"/>
        <w:ind w:left="0"/>
        <w:jc w:val="both"/>
        <w:rPr>
          <w:rFonts w:ascii="Arial" w:hAnsi="Arial" w:cs="Arial"/>
          <w:sz w:val="24"/>
          <w:szCs w:val="24"/>
        </w:rPr>
      </w:pPr>
      <w:r w:rsidRPr="002C6760">
        <w:rPr>
          <w:rFonts w:ascii="Arial" w:hAnsi="Arial" w:cs="Arial"/>
          <w:b/>
          <w:bCs/>
          <w:sz w:val="24"/>
          <w:szCs w:val="24"/>
        </w:rPr>
        <w:t>Expert reports</w:t>
      </w:r>
    </w:p>
    <w:p w14:paraId="6CFB08DD" w14:textId="77777777" w:rsidR="002C6760" w:rsidRPr="002C6760" w:rsidRDefault="002C6760" w:rsidP="002C6760">
      <w:pPr>
        <w:pStyle w:val="ListParagraph"/>
        <w:spacing w:line="360" w:lineRule="auto"/>
        <w:ind w:left="0"/>
        <w:jc w:val="both"/>
        <w:rPr>
          <w:rFonts w:ascii="Arial" w:hAnsi="Arial" w:cs="Arial"/>
          <w:sz w:val="24"/>
          <w:szCs w:val="24"/>
        </w:rPr>
      </w:pPr>
    </w:p>
    <w:p w14:paraId="197B733B" w14:textId="77777777" w:rsidR="002C6760" w:rsidRPr="002C6760" w:rsidRDefault="002C6760" w:rsidP="002C6760">
      <w:pPr>
        <w:pStyle w:val="ListParagraph"/>
        <w:spacing w:line="360" w:lineRule="auto"/>
        <w:ind w:left="0"/>
        <w:jc w:val="both"/>
        <w:rPr>
          <w:rFonts w:ascii="Arial" w:hAnsi="Arial" w:cs="Arial"/>
          <w:sz w:val="24"/>
          <w:szCs w:val="24"/>
        </w:rPr>
      </w:pPr>
    </w:p>
    <w:p w14:paraId="407257B1" w14:textId="77777777" w:rsidR="002C6760" w:rsidRPr="002C6760" w:rsidRDefault="00906448" w:rsidP="002C6760">
      <w:pPr>
        <w:pStyle w:val="ListParagraph"/>
        <w:spacing w:line="360" w:lineRule="auto"/>
        <w:ind w:left="0"/>
        <w:jc w:val="both"/>
        <w:rPr>
          <w:rFonts w:ascii="Arial" w:hAnsi="Arial" w:cs="Arial"/>
          <w:sz w:val="24"/>
          <w:szCs w:val="24"/>
        </w:rPr>
      </w:pPr>
      <w:r w:rsidRPr="002C6760">
        <w:rPr>
          <w:rFonts w:ascii="Arial" w:hAnsi="Arial" w:cs="Arial"/>
          <w:i/>
          <w:iCs/>
          <w:sz w:val="24"/>
          <w:szCs w:val="24"/>
        </w:rPr>
        <w:t>Dr Gideon de Kock</w:t>
      </w:r>
    </w:p>
    <w:p w14:paraId="068237B1" w14:textId="77777777" w:rsidR="002C6760" w:rsidRPr="002C6760" w:rsidRDefault="002C6760" w:rsidP="002C6760">
      <w:pPr>
        <w:pStyle w:val="ListParagraph"/>
        <w:spacing w:line="360" w:lineRule="auto"/>
        <w:ind w:left="0"/>
        <w:jc w:val="both"/>
        <w:rPr>
          <w:rFonts w:ascii="Arial" w:hAnsi="Arial" w:cs="Arial"/>
          <w:sz w:val="24"/>
          <w:szCs w:val="24"/>
        </w:rPr>
      </w:pPr>
    </w:p>
    <w:p w14:paraId="0EB10FA7" w14:textId="241E636E"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06448" w:rsidRPr="00960F80">
        <w:rPr>
          <w:rFonts w:ascii="Arial" w:hAnsi="Arial" w:cs="Arial"/>
          <w:sz w:val="24"/>
          <w:szCs w:val="24"/>
        </w:rPr>
        <w:t>T</w:t>
      </w:r>
      <w:r w:rsidR="00F90C7F" w:rsidRPr="00960F80">
        <w:rPr>
          <w:rFonts w:ascii="Arial" w:hAnsi="Arial" w:cs="Arial"/>
          <w:sz w:val="24"/>
          <w:szCs w:val="24"/>
        </w:rPr>
        <w:t>he report of Dr de Kock indicate</w:t>
      </w:r>
      <w:r w:rsidR="00906448" w:rsidRPr="00960F80">
        <w:rPr>
          <w:rFonts w:ascii="Arial" w:hAnsi="Arial" w:cs="Arial"/>
          <w:sz w:val="24"/>
          <w:szCs w:val="24"/>
        </w:rPr>
        <w:t>s</w:t>
      </w:r>
      <w:r w:rsidR="00F90C7F" w:rsidRPr="00960F80">
        <w:rPr>
          <w:rFonts w:ascii="Arial" w:hAnsi="Arial" w:cs="Arial"/>
          <w:sz w:val="24"/>
          <w:szCs w:val="24"/>
        </w:rPr>
        <w:t xml:space="preserve"> that the plaintiff was a </w:t>
      </w:r>
      <w:r w:rsidR="009C2330" w:rsidRPr="00960F80">
        <w:rPr>
          <w:rFonts w:ascii="Arial" w:hAnsi="Arial" w:cs="Arial"/>
          <w:sz w:val="24"/>
          <w:szCs w:val="24"/>
        </w:rPr>
        <w:t>40-year-old</w:t>
      </w:r>
      <w:r w:rsidR="00F90C7F" w:rsidRPr="00960F80">
        <w:rPr>
          <w:rFonts w:ascii="Arial" w:hAnsi="Arial" w:cs="Arial"/>
          <w:sz w:val="24"/>
          <w:szCs w:val="24"/>
        </w:rPr>
        <w:t xml:space="preserve"> </w:t>
      </w:r>
      <w:r w:rsidR="009C2330" w:rsidRPr="00960F80">
        <w:rPr>
          <w:rFonts w:ascii="Arial" w:hAnsi="Arial" w:cs="Arial"/>
          <w:sz w:val="24"/>
          <w:szCs w:val="24"/>
        </w:rPr>
        <w:t xml:space="preserve">single </w:t>
      </w:r>
      <w:r w:rsidR="00F90C7F" w:rsidRPr="00960F80">
        <w:rPr>
          <w:rFonts w:ascii="Arial" w:hAnsi="Arial" w:cs="Arial"/>
          <w:sz w:val="24"/>
          <w:szCs w:val="24"/>
        </w:rPr>
        <w:t>male</w:t>
      </w:r>
      <w:r w:rsidR="009C2330" w:rsidRPr="00960F80">
        <w:rPr>
          <w:rFonts w:ascii="Arial" w:hAnsi="Arial" w:cs="Arial"/>
          <w:sz w:val="24"/>
          <w:szCs w:val="24"/>
        </w:rPr>
        <w:t>.</w:t>
      </w:r>
      <w:r w:rsidR="007309FC">
        <w:rPr>
          <w:rStyle w:val="FootnoteReference"/>
          <w:rFonts w:ascii="Arial" w:hAnsi="Arial" w:cs="Arial"/>
          <w:sz w:val="24"/>
          <w:szCs w:val="24"/>
        </w:rPr>
        <w:footnoteReference w:id="10"/>
      </w:r>
      <w:r w:rsidR="009C2330" w:rsidRPr="00960F80">
        <w:rPr>
          <w:rFonts w:ascii="Arial" w:hAnsi="Arial" w:cs="Arial"/>
          <w:sz w:val="24"/>
          <w:szCs w:val="24"/>
        </w:rPr>
        <w:t xml:space="preserve"> His minor son lived with the mother. The plaintiff had attained an educational level of grade 11 a</w:t>
      </w:r>
      <w:bookmarkStart w:id="0" w:name="_GoBack"/>
      <w:bookmarkEnd w:id="0"/>
      <w:r w:rsidR="009C2330" w:rsidRPr="00960F80">
        <w:rPr>
          <w:rFonts w:ascii="Arial" w:hAnsi="Arial" w:cs="Arial"/>
          <w:sz w:val="24"/>
          <w:szCs w:val="24"/>
        </w:rPr>
        <w:t xml:space="preserve">nd resided with his brother and sister at Khwezi Naledi township in the district of Lady Grey. His siblings had achieved grade 12 levels of education and one of them was employed in a clerical position. </w:t>
      </w:r>
    </w:p>
    <w:p w14:paraId="66D958AA" w14:textId="77777777" w:rsidR="002C6760" w:rsidRDefault="002C6760" w:rsidP="002C6760">
      <w:pPr>
        <w:pStyle w:val="ListParagraph"/>
        <w:spacing w:line="360" w:lineRule="auto"/>
        <w:ind w:left="0"/>
        <w:jc w:val="both"/>
        <w:rPr>
          <w:rFonts w:ascii="Arial" w:hAnsi="Arial" w:cs="Arial"/>
          <w:sz w:val="24"/>
          <w:szCs w:val="24"/>
        </w:rPr>
      </w:pPr>
    </w:p>
    <w:p w14:paraId="7DDC97D5" w14:textId="02F66001"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9C2330" w:rsidRPr="00960F80">
        <w:rPr>
          <w:rFonts w:ascii="Arial" w:hAnsi="Arial" w:cs="Arial"/>
          <w:sz w:val="24"/>
          <w:szCs w:val="24"/>
        </w:rPr>
        <w:t>Previously, the plaintiff had been employed as a storeman at a construction site after which he had been engaged in casual labour. At the time of the accident, he had been employed as a road construction worker. He was currently unemployed.</w:t>
      </w:r>
    </w:p>
    <w:p w14:paraId="51AB2623" w14:textId="77777777" w:rsidR="002C6760" w:rsidRPr="002C6760" w:rsidRDefault="002C6760" w:rsidP="002C6760">
      <w:pPr>
        <w:pStyle w:val="ListParagraph"/>
        <w:rPr>
          <w:rFonts w:ascii="Arial" w:hAnsi="Arial" w:cs="Arial"/>
          <w:sz w:val="24"/>
          <w:szCs w:val="24"/>
        </w:rPr>
      </w:pPr>
    </w:p>
    <w:p w14:paraId="7D574C75" w14:textId="0D773E6F"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FA6203" w:rsidRPr="00960F80">
        <w:rPr>
          <w:rFonts w:ascii="Arial" w:hAnsi="Arial" w:cs="Arial"/>
          <w:sz w:val="24"/>
          <w:szCs w:val="24"/>
        </w:rPr>
        <w:t xml:space="preserve">The plaintiff sustained a fracture of the left humerus and soft tissue injuries to </w:t>
      </w:r>
      <w:r w:rsidR="001E749A" w:rsidRPr="00960F80">
        <w:rPr>
          <w:rFonts w:ascii="Arial" w:hAnsi="Arial" w:cs="Arial"/>
          <w:sz w:val="24"/>
          <w:szCs w:val="24"/>
        </w:rPr>
        <w:t>the back and left ankle. He complaine</w:t>
      </w:r>
      <w:r w:rsidR="00CF5379" w:rsidRPr="00960F80">
        <w:rPr>
          <w:rFonts w:ascii="Arial" w:hAnsi="Arial" w:cs="Arial"/>
          <w:sz w:val="24"/>
          <w:szCs w:val="24"/>
        </w:rPr>
        <w:t>d of pain in the left arm</w:t>
      </w:r>
      <w:r w:rsidR="00A35667" w:rsidRPr="00960F80">
        <w:rPr>
          <w:rFonts w:ascii="Arial" w:hAnsi="Arial" w:cs="Arial"/>
          <w:sz w:val="24"/>
          <w:szCs w:val="24"/>
        </w:rPr>
        <w:t>, which is weak and cannot straighten</w:t>
      </w:r>
      <w:r w:rsidR="00B35821" w:rsidRPr="00960F80">
        <w:rPr>
          <w:rFonts w:ascii="Arial" w:hAnsi="Arial" w:cs="Arial"/>
          <w:sz w:val="24"/>
          <w:szCs w:val="24"/>
        </w:rPr>
        <w:t xml:space="preserve">. He also complained of pain in the left shoulder and upper back, especially when he </w:t>
      </w:r>
      <w:r w:rsidR="000B718F" w:rsidRPr="00960F80">
        <w:rPr>
          <w:rFonts w:ascii="Arial" w:hAnsi="Arial" w:cs="Arial"/>
          <w:sz w:val="24"/>
          <w:szCs w:val="24"/>
        </w:rPr>
        <w:t>bends. The plaintiff’s left ankle bec</w:t>
      </w:r>
      <w:r w:rsidR="00634541" w:rsidRPr="00960F80">
        <w:rPr>
          <w:rFonts w:ascii="Arial" w:hAnsi="Arial" w:cs="Arial"/>
          <w:sz w:val="24"/>
          <w:szCs w:val="24"/>
        </w:rPr>
        <w:t>o</w:t>
      </w:r>
      <w:r w:rsidR="000B718F" w:rsidRPr="00960F80">
        <w:rPr>
          <w:rFonts w:ascii="Arial" w:hAnsi="Arial" w:cs="Arial"/>
          <w:sz w:val="24"/>
          <w:szCs w:val="24"/>
        </w:rPr>
        <w:t>me</w:t>
      </w:r>
      <w:r w:rsidR="00634541" w:rsidRPr="00960F80">
        <w:rPr>
          <w:rFonts w:ascii="Arial" w:hAnsi="Arial" w:cs="Arial"/>
          <w:sz w:val="24"/>
          <w:szCs w:val="24"/>
        </w:rPr>
        <w:t>s</w:t>
      </w:r>
      <w:r w:rsidR="000B718F" w:rsidRPr="00960F80">
        <w:rPr>
          <w:rFonts w:ascii="Arial" w:hAnsi="Arial" w:cs="Arial"/>
          <w:sz w:val="24"/>
          <w:szCs w:val="24"/>
        </w:rPr>
        <w:t xml:space="preserve"> painful when he walk</w:t>
      </w:r>
      <w:r w:rsidR="00634541" w:rsidRPr="00960F80">
        <w:rPr>
          <w:rFonts w:ascii="Arial" w:hAnsi="Arial" w:cs="Arial"/>
          <w:sz w:val="24"/>
          <w:szCs w:val="24"/>
        </w:rPr>
        <w:t>s</w:t>
      </w:r>
      <w:r w:rsidR="005E3D51" w:rsidRPr="00960F80">
        <w:rPr>
          <w:rFonts w:ascii="Arial" w:hAnsi="Arial" w:cs="Arial"/>
          <w:sz w:val="24"/>
          <w:szCs w:val="24"/>
        </w:rPr>
        <w:t xml:space="preserve"> long distances.</w:t>
      </w:r>
    </w:p>
    <w:p w14:paraId="15F755FC" w14:textId="77777777" w:rsidR="002C6760" w:rsidRPr="002C6760" w:rsidRDefault="002C6760" w:rsidP="002C6760">
      <w:pPr>
        <w:pStyle w:val="ListParagraph"/>
        <w:rPr>
          <w:rFonts w:ascii="Arial" w:hAnsi="Arial" w:cs="Arial"/>
          <w:sz w:val="24"/>
          <w:szCs w:val="24"/>
        </w:rPr>
      </w:pPr>
    </w:p>
    <w:p w14:paraId="649CE4C1" w14:textId="1ABFDDAB"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A832A6" w:rsidRPr="00960F80">
        <w:rPr>
          <w:rFonts w:ascii="Arial" w:hAnsi="Arial" w:cs="Arial"/>
          <w:sz w:val="24"/>
          <w:szCs w:val="24"/>
        </w:rPr>
        <w:t xml:space="preserve">In the opinion of </w:t>
      </w:r>
      <w:r w:rsidR="0021788B" w:rsidRPr="00960F80">
        <w:rPr>
          <w:rFonts w:ascii="Arial" w:hAnsi="Arial" w:cs="Arial"/>
          <w:sz w:val="24"/>
          <w:szCs w:val="24"/>
        </w:rPr>
        <w:t>Dr de Kock</w:t>
      </w:r>
      <w:r w:rsidR="00E83A89" w:rsidRPr="00960F80">
        <w:rPr>
          <w:rFonts w:ascii="Arial" w:hAnsi="Arial" w:cs="Arial"/>
          <w:sz w:val="24"/>
          <w:szCs w:val="24"/>
        </w:rPr>
        <w:t>, the plaintiff</w:t>
      </w:r>
      <w:r w:rsidR="003678BA" w:rsidRPr="00960F80">
        <w:rPr>
          <w:rFonts w:ascii="Arial" w:hAnsi="Arial" w:cs="Arial"/>
          <w:sz w:val="24"/>
          <w:szCs w:val="24"/>
        </w:rPr>
        <w:t xml:space="preserve"> was likely to have continued as a road construction worker, </w:t>
      </w:r>
      <w:r w:rsidR="00BD57CE" w:rsidRPr="00960F80">
        <w:rPr>
          <w:rFonts w:ascii="Arial" w:hAnsi="Arial" w:cs="Arial"/>
          <w:sz w:val="24"/>
          <w:szCs w:val="24"/>
        </w:rPr>
        <w:t xml:space="preserve">but for the accident, </w:t>
      </w:r>
      <w:r w:rsidR="003678BA" w:rsidRPr="00960F80">
        <w:rPr>
          <w:rFonts w:ascii="Arial" w:hAnsi="Arial" w:cs="Arial"/>
          <w:sz w:val="24"/>
          <w:szCs w:val="24"/>
        </w:rPr>
        <w:t xml:space="preserve">earning approximately </w:t>
      </w:r>
      <w:r w:rsidR="000F6BA7" w:rsidRPr="00960F80">
        <w:rPr>
          <w:rFonts w:ascii="Arial" w:hAnsi="Arial" w:cs="Arial"/>
          <w:sz w:val="24"/>
          <w:szCs w:val="24"/>
        </w:rPr>
        <w:t>R 24,000 per annum.</w:t>
      </w:r>
      <w:r w:rsidR="00A47AF2" w:rsidRPr="00960F80">
        <w:rPr>
          <w:rFonts w:ascii="Arial" w:hAnsi="Arial" w:cs="Arial"/>
          <w:sz w:val="24"/>
          <w:szCs w:val="24"/>
        </w:rPr>
        <w:t xml:space="preserve"> </w:t>
      </w:r>
      <w:r w:rsidR="00F55111" w:rsidRPr="00960F80">
        <w:rPr>
          <w:rFonts w:ascii="Arial" w:hAnsi="Arial" w:cs="Arial"/>
          <w:sz w:val="24"/>
          <w:szCs w:val="24"/>
        </w:rPr>
        <w:t xml:space="preserve">He would probably have </w:t>
      </w:r>
      <w:r w:rsidR="004A3294" w:rsidRPr="00960F80">
        <w:rPr>
          <w:rFonts w:ascii="Arial" w:hAnsi="Arial" w:cs="Arial"/>
          <w:sz w:val="24"/>
          <w:szCs w:val="24"/>
        </w:rPr>
        <w:t xml:space="preserve">been employed at the unskilled to low semi-skilled </w:t>
      </w:r>
      <w:r w:rsidR="00A0113D" w:rsidRPr="00960F80">
        <w:rPr>
          <w:rFonts w:ascii="Arial" w:hAnsi="Arial" w:cs="Arial"/>
          <w:sz w:val="24"/>
          <w:szCs w:val="24"/>
        </w:rPr>
        <w:t xml:space="preserve">level, eventually attaining a career ceiling </w:t>
      </w:r>
      <w:r w:rsidR="0078597C" w:rsidRPr="00960F80">
        <w:rPr>
          <w:rFonts w:ascii="Arial" w:hAnsi="Arial" w:cs="Arial"/>
          <w:sz w:val="24"/>
          <w:szCs w:val="24"/>
        </w:rPr>
        <w:t>by the age of 45</w:t>
      </w:r>
      <w:r w:rsidR="00CC3D68" w:rsidRPr="00960F80">
        <w:rPr>
          <w:rFonts w:ascii="Arial" w:hAnsi="Arial" w:cs="Arial"/>
          <w:sz w:val="24"/>
          <w:szCs w:val="24"/>
        </w:rPr>
        <w:t xml:space="preserve">. At this stage, he would have been </w:t>
      </w:r>
      <w:r w:rsidR="00585DC7" w:rsidRPr="00960F80">
        <w:rPr>
          <w:rFonts w:ascii="Arial" w:hAnsi="Arial" w:cs="Arial"/>
          <w:sz w:val="24"/>
          <w:szCs w:val="24"/>
        </w:rPr>
        <w:t>earn</w:t>
      </w:r>
      <w:r w:rsidR="00645340" w:rsidRPr="00960F80">
        <w:rPr>
          <w:rFonts w:ascii="Arial" w:hAnsi="Arial" w:cs="Arial"/>
          <w:sz w:val="24"/>
          <w:szCs w:val="24"/>
        </w:rPr>
        <w:t>ing</w:t>
      </w:r>
      <w:r w:rsidR="00585DC7" w:rsidRPr="00960F80">
        <w:rPr>
          <w:rFonts w:ascii="Arial" w:hAnsi="Arial" w:cs="Arial"/>
          <w:sz w:val="24"/>
          <w:szCs w:val="24"/>
        </w:rPr>
        <w:t xml:space="preserve"> </w:t>
      </w:r>
      <w:r w:rsidR="0078597C" w:rsidRPr="00960F80">
        <w:rPr>
          <w:rFonts w:ascii="Arial" w:hAnsi="Arial" w:cs="Arial"/>
          <w:sz w:val="24"/>
          <w:szCs w:val="24"/>
        </w:rPr>
        <w:lastRenderedPageBreak/>
        <w:t xml:space="preserve">approximately </w:t>
      </w:r>
      <w:r w:rsidR="00474757" w:rsidRPr="00960F80">
        <w:rPr>
          <w:rFonts w:ascii="Arial" w:hAnsi="Arial" w:cs="Arial"/>
          <w:sz w:val="24"/>
          <w:szCs w:val="24"/>
        </w:rPr>
        <w:t>R 130,000 per annum</w:t>
      </w:r>
      <w:r w:rsidR="00645340" w:rsidRPr="00960F80">
        <w:rPr>
          <w:rFonts w:ascii="Arial" w:hAnsi="Arial" w:cs="Arial"/>
          <w:sz w:val="24"/>
          <w:szCs w:val="24"/>
        </w:rPr>
        <w:t xml:space="preserve">, </w:t>
      </w:r>
      <w:r w:rsidR="000C1A2C" w:rsidRPr="00960F80">
        <w:rPr>
          <w:rFonts w:ascii="Arial" w:hAnsi="Arial" w:cs="Arial"/>
          <w:sz w:val="24"/>
          <w:szCs w:val="24"/>
        </w:rPr>
        <w:t xml:space="preserve">receiving </w:t>
      </w:r>
      <w:r w:rsidR="00F801C2" w:rsidRPr="00960F80">
        <w:rPr>
          <w:rFonts w:ascii="Arial" w:hAnsi="Arial" w:cs="Arial"/>
          <w:sz w:val="24"/>
          <w:szCs w:val="24"/>
        </w:rPr>
        <w:t xml:space="preserve">only </w:t>
      </w:r>
      <w:r w:rsidR="000C1A2C" w:rsidRPr="00960F80">
        <w:rPr>
          <w:rFonts w:ascii="Arial" w:hAnsi="Arial" w:cs="Arial"/>
          <w:sz w:val="24"/>
          <w:szCs w:val="24"/>
        </w:rPr>
        <w:t xml:space="preserve">inflationary increases </w:t>
      </w:r>
      <w:r w:rsidR="00F801C2" w:rsidRPr="00960F80">
        <w:rPr>
          <w:rFonts w:ascii="Arial" w:hAnsi="Arial" w:cs="Arial"/>
          <w:sz w:val="24"/>
          <w:szCs w:val="24"/>
        </w:rPr>
        <w:t>thereafter until retirement at the age of 65.</w:t>
      </w:r>
    </w:p>
    <w:p w14:paraId="2B9E9773" w14:textId="77777777" w:rsidR="002C6760" w:rsidRPr="002C6760" w:rsidRDefault="002C6760" w:rsidP="002C6760">
      <w:pPr>
        <w:pStyle w:val="ListParagraph"/>
        <w:rPr>
          <w:rFonts w:ascii="Arial" w:hAnsi="Arial" w:cs="Arial"/>
          <w:sz w:val="24"/>
          <w:szCs w:val="24"/>
        </w:rPr>
      </w:pPr>
    </w:p>
    <w:p w14:paraId="195D8FFF" w14:textId="6397E413" w:rsidR="00171B3B" w:rsidRPr="00960F80" w:rsidRDefault="00960F80" w:rsidP="00960F80">
      <w:pPr>
        <w:spacing w:line="360" w:lineRule="auto"/>
        <w:jc w:val="both"/>
        <w:rPr>
          <w:rFonts w:ascii="Arial" w:hAnsi="Arial" w:cs="Arial"/>
          <w:sz w:val="24"/>
          <w:szCs w:val="24"/>
        </w:rPr>
      </w:pPr>
      <w:r w:rsidRPr="002C6760">
        <w:rPr>
          <w:rFonts w:ascii="Arial" w:hAnsi="Arial" w:cs="Arial"/>
          <w:sz w:val="24"/>
          <w:szCs w:val="24"/>
        </w:rPr>
        <w:t>[16]</w:t>
      </w:r>
      <w:r w:rsidRPr="002C6760">
        <w:rPr>
          <w:rFonts w:ascii="Arial" w:hAnsi="Arial" w:cs="Arial"/>
          <w:sz w:val="24"/>
          <w:szCs w:val="24"/>
        </w:rPr>
        <w:tab/>
      </w:r>
      <w:r w:rsidR="00D6264C" w:rsidRPr="00960F80">
        <w:rPr>
          <w:rFonts w:ascii="Arial" w:hAnsi="Arial" w:cs="Arial"/>
          <w:sz w:val="24"/>
          <w:szCs w:val="24"/>
        </w:rPr>
        <w:t xml:space="preserve">Because of the accident, stated Dr de Kock, </w:t>
      </w:r>
      <w:r w:rsidR="008A7AEF" w:rsidRPr="00960F80">
        <w:rPr>
          <w:rFonts w:ascii="Arial" w:hAnsi="Arial" w:cs="Arial"/>
          <w:sz w:val="24"/>
          <w:szCs w:val="24"/>
        </w:rPr>
        <w:t xml:space="preserve">the plaintiff has suffered significant </w:t>
      </w:r>
      <w:r w:rsidR="001B20C2" w:rsidRPr="00960F80">
        <w:rPr>
          <w:rFonts w:ascii="Arial" w:hAnsi="Arial" w:cs="Arial"/>
          <w:sz w:val="24"/>
          <w:szCs w:val="24"/>
        </w:rPr>
        <w:t>psyc</w:t>
      </w:r>
      <w:r w:rsidR="00D431AE" w:rsidRPr="00960F80">
        <w:rPr>
          <w:rFonts w:ascii="Arial" w:hAnsi="Arial" w:cs="Arial"/>
          <w:sz w:val="24"/>
          <w:szCs w:val="24"/>
        </w:rPr>
        <w:t xml:space="preserve">hological and physical sequelae that have reduced </w:t>
      </w:r>
      <w:r w:rsidR="006A49F3" w:rsidRPr="00960F80">
        <w:rPr>
          <w:rFonts w:ascii="Arial" w:hAnsi="Arial" w:cs="Arial"/>
          <w:sz w:val="24"/>
          <w:szCs w:val="24"/>
        </w:rPr>
        <w:t>his vocational prospects.</w:t>
      </w:r>
      <w:r w:rsidR="00A839C9" w:rsidRPr="00960F80">
        <w:rPr>
          <w:rFonts w:ascii="Arial" w:hAnsi="Arial" w:cs="Arial"/>
          <w:sz w:val="24"/>
          <w:szCs w:val="24"/>
        </w:rPr>
        <w:t xml:space="preserve"> He sustained a serious injury to his dominant</w:t>
      </w:r>
      <w:r w:rsidR="00403642" w:rsidRPr="00960F80">
        <w:rPr>
          <w:rFonts w:ascii="Arial" w:hAnsi="Arial" w:cs="Arial"/>
          <w:sz w:val="24"/>
          <w:szCs w:val="24"/>
        </w:rPr>
        <w:t xml:space="preserve"> left hand (and arm), thereby hampering </w:t>
      </w:r>
      <w:r w:rsidR="007C3B68" w:rsidRPr="00960F80">
        <w:rPr>
          <w:rFonts w:ascii="Arial" w:hAnsi="Arial" w:cs="Arial"/>
          <w:sz w:val="24"/>
          <w:szCs w:val="24"/>
        </w:rPr>
        <w:t xml:space="preserve">his ability to perform the bi-manual tasks that are most common </w:t>
      </w:r>
      <w:r w:rsidR="006D66B1" w:rsidRPr="00960F80">
        <w:rPr>
          <w:rFonts w:ascii="Arial" w:hAnsi="Arial" w:cs="Arial"/>
          <w:sz w:val="24"/>
          <w:szCs w:val="24"/>
        </w:rPr>
        <w:t>to unskilled employment.</w:t>
      </w:r>
      <w:r w:rsidR="006B5CE2" w:rsidRPr="00960F80">
        <w:rPr>
          <w:rFonts w:ascii="Arial" w:hAnsi="Arial" w:cs="Arial"/>
          <w:sz w:val="24"/>
          <w:szCs w:val="24"/>
        </w:rPr>
        <w:t xml:space="preserve"> He was limited to </w:t>
      </w:r>
      <w:r w:rsidR="0022235E" w:rsidRPr="00960F80">
        <w:rPr>
          <w:rFonts w:ascii="Arial" w:hAnsi="Arial" w:cs="Arial"/>
          <w:sz w:val="24"/>
          <w:szCs w:val="24"/>
        </w:rPr>
        <w:t>sedentary and light</w:t>
      </w:r>
      <w:r w:rsidR="008D3561" w:rsidRPr="00960F80">
        <w:rPr>
          <w:rFonts w:ascii="Arial" w:hAnsi="Arial" w:cs="Arial"/>
          <w:sz w:val="24"/>
          <w:szCs w:val="24"/>
        </w:rPr>
        <w:t>-</w:t>
      </w:r>
      <w:r w:rsidR="0022235E" w:rsidRPr="00960F80">
        <w:rPr>
          <w:rFonts w:ascii="Arial" w:hAnsi="Arial" w:cs="Arial"/>
          <w:sz w:val="24"/>
          <w:szCs w:val="24"/>
        </w:rPr>
        <w:t xml:space="preserve">duty work, not requiring bi-manual skills </w:t>
      </w:r>
      <w:r w:rsidR="008D3561" w:rsidRPr="00960F80">
        <w:rPr>
          <w:rFonts w:ascii="Arial" w:hAnsi="Arial" w:cs="Arial"/>
          <w:sz w:val="24"/>
          <w:szCs w:val="24"/>
        </w:rPr>
        <w:t xml:space="preserve">or </w:t>
      </w:r>
      <w:r w:rsidR="00CB4A8F" w:rsidRPr="00960F80">
        <w:rPr>
          <w:rFonts w:ascii="Arial" w:hAnsi="Arial" w:cs="Arial"/>
          <w:sz w:val="24"/>
          <w:szCs w:val="24"/>
        </w:rPr>
        <w:t>strength.</w:t>
      </w:r>
      <w:r w:rsidR="008630E2" w:rsidRPr="00960F80">
        <w:rPr>
          <w:rFonts w:ascii="Arial" w:hAnsi="Arial" w:cs="Arial"/>
          <w:sz w:val="24"/>
          <w:szCs w:val="24"/>
        </w:rPr>
        <w:t xml:space="preserve"> Dr de Kock went on to indicate as follows:</w:t>
      </w:r>
    </w:p>
    <w:p w14:paraId="4B6929D5" w14:textId="22AA06D9" w:rsidR="008630E2" w:rsidRPr="00154543" w:rsidRDefault="008630E2" w:rsidP="002C6760">
      <w:pPr>
        <w:spacing w:line="360" w:lineRule="auto"/>
        <w:ind w:left="720"/>
        <w:jc w:val="both"/>
        <w:rPr>
          <w:rFonts w:ascii="Arial" w:hAnsi="Arial" w:cs="Arial"/>
          <w:sz w:val="20"/>
          <w:szCs w:val="20"/>
        </w:rPr>
      </w:pPr>
      <w:r w:rsidRPr="00154543">
        <w:rPr>
          <w:rFonts w:ascii="Arial" w:hAnsi="Arial" w:cs="Arial"/>
          <w:sz w:val="20"/>
          <w:szCs w:val="20"/>
        </w:rPr>
        <w:t>‘</w:t>
      </w:r>
      <w:r w:rsidR="009017BC" w:rsidRPr="00154543">
        <w:rPr>
          <w:rFonts w:ascii="Arial" w:hAnsi="Arial" w:cs="Arial"/>
          <w:sz w:val="20"/>
          <w:szCs w:val="20"/>
        </w:rPr>
        <w:t>Given the high unemployment rate, [the plaintiff’s]</w:t>
      </w:r>
      <w:r w:rsidR="00AE6808" w:rsidRPr="00154543">
        <w:rPr>
          <w:rFonts w:ascii="Arial" w:hAnsi="Arial" w:cs="Arial"/>
          <w:sz w:val="20"/>
          <w:szCs w:val="20"/>
        </w:rPr>
        <w:t xml:space="preserve"> advanced age, time out of market, low level of education, low level of intellectual </w:t>
      </w:r>
      <w:r w:rsidR="0011761C" w:rsidRPr="00154543">
        <w:rPr>
          <w:rFonts w:ascii="Arial" w:hAnsi="Arial" w:cs="Arial"/>
          <w:sz w:val="20"/>
          <w:szCs w:val="20"/>
        </w:rPr>
        <w:t>functioning, physical limitations and endurance</w:t>
      </w:r>
      <w:r w:rsidR="006B3FE1" w:rsidRPr="00154543">
        <w:rPr>
          <w:rFonts w:ascii="Arial" w:hAnsi="Arial" w:cs="Arial"/>
          <w:sz w:val="20"/>
          <w:szCs w:val="20"/>
        </w:rPr>
        <w:t>, chronic pain</w:t>
      </w:r>
      <w:r w:rsidR="00AF4FC2" w:rsidRPr="00154543">
        <w:rPr>
          <w:rFonts w:ascii="Arial" w:hAnsi="Arial" w:cs="Arial"/>
          <w:sz w:val="20"/>
          <w:szCs w:val="20"/>
        </w:rPr>
        <w:t xml:space="preserve">, and emotional distress, his employment prospects are so significantly narrowed that he is </w:t>
      </w:r>
      <w:r w:rsidR="001A5F1C" w:rsidRPr="00154543">
        <w:rPr>
          <w:rFonts w:ascii="Arial" w:hAnsi="Arial" w:cs="Arial"/>
          <w:sz w:val="20"/>
          <w:szCs w:val="20"/>
        </w:rPr>
        <w:t>for all practical purposes regarded as unemployable in the open market on a permanent basis.</w:t>
      </w:r>
      <w:r w:rsidR="00154543" w:rsidRPr="00154543">
        <w:rPr>
          <w:rFonts w:ascii="Arial" w:hAnsi="Arial" w:cs="Arial"/>
          <w:sz w:val="20"/>
          <w:szCs w:val="20"/>
        </w:rPr>
        <w:t>’</w:t>
      </w:r>
    </w:p>
    <w:p w14:paraId="5BE3D526" w14:textId="77777777" w:rsidR="00154543" w:rsidRDefault="00154543" w:rsidP="009C2330">
      <w:pPr>
        <w:spacing w:line="360" w:lineRule="auto"/>
        <w:rPr>
          <w:rFonts w:ascii="Arial" w:hAnsi="Arial" w:cs="Arial"/>
          <w:sz w:val="24"/>
          <w:szCs w:val="24"/>
        </w:rPr>
      </w:pPr>
    </w:p>
    <w:p w14:paraId="395B6C5A" w14:textId="5CFEB8F1" w:rsidR="007F38E0" w:rsidRPr="00960F80" w:rsidRDefault="00960F80" w:rsidP="00960F80">
      <w:pPr>
        <w:spacing w:line="360" w:lineRule="auto"/>
        <w:rPr>
          <w:rFonts w:ascii="Arial" w:hAnsi="Arial" w:cs="Arial"/>
          <w:sz w:val="24"/>
          <w:szCs w:val="24"/>
        </w:rPr>
      </w:pPr>
      <w:r w:rsidRPr="002C6760">
        <w:rPr>
          <w:rFonts w:ascii="Arial" w:hAnsi="Arial" w:cs="Arial"/>
          <w:sz w:val="24"/>
          <w:szCs w:val="24"/>
        </w:rPr>
        <w:t>[17]</w:t>
      </w:r>
      <w:r w:rsidRPr="002C6760">
        <w:rPr>
          <w:rFonts w:ascii="Arial" w:hAnsi="Arial" w:cs="Arial"/>
          <w:sz w:val="24"/>
          <w:szCs w:val="24"/>
        </w:rPr>
        <w:tab/>
      </w:r>
      <w:r w:rsidR="007F38E0" w:rsidRPr="00960F80">
        <w:rPr>
          <w:rFonts w:ascii="Arial" w:hAnsi="Arial" w:cs="Arial"/>
          <w:sz w:val="24"/>
          <w:szCs w:val="24"/>
        </w:rPr>
        <w:t xml:space="preserve">Dr de Kock concluded his report </w:t>
      </w:r>
      <w:r w:rsidR="002201E9" w:rsidRPr="00960F80">
        <w:rPr>
          <w:rFonts w:ascii="Arial" w:hAnsi="Arial" w:cs="Arial"/>
          <w:sz w:val="24"/>
          <w:szCs w:val="24"/>
        </w:rPr>
        <w:t>by saying that the plaintiff was a candidate for a permanent disability grant</w:t>
      </w:r>
      <w:r w:rsidR="00154543" w:rsidRPr="00960F80">
        <w:rPr>
          <w:rFonts w:ascii="Arial" w:hAnsi="Arial" w:cs="Arial"/>
          <w:sz w:val="24"/>
          <w:szCs w:val="24"/>
        </w:rPr>
        <w:t xml:space="preserve"> and that he should be compensated for loss of past and future income.</w:t>
      </w:r>
    </w:p>
    <w:p w14:paraId="179F1F0F" w14:textId="77777777" w:rsidR="00E01DE5" w:rsidRDefault="00E01DE5" w:rsidP="009C2330">
      <w:pPr>
        <w:spacing w:line="360" w:lineRule="auto"/>
        <w:rPr>
          <w:rFonts w:ascii="Arial" w:hAnsi="Arial" w:cs="Arial"/>
          <w:sz w:val="24"/>
          <w:szCs w:val="24"/>
        </w:rPr>
      </w:pPr>
    </w:p>
    <w:p w14:paraId="4E1D599D" w14:textId="216F339E" w:rsidR="00E01DE5" w:rsidRPr="00EE6FC4" w:rsidRDefault="00E01DE5" w:rsidP="009C2330">
      <w:pPr>
        <w:spacing w:line="360" w:lineRule="auto"/>
        <w:rPr>
          <w:rFonts w:ascii="Arial" w:hAnsi="Arial" w:cs="Arial"/>
          <w:i/>
          <w:iCs/>
          <w:sz w:val="24"/>
          <w:szCs w:val="24"/>
        </w:rPr>
      </w:pPr>
      <w:r w:rsidRPr="00EE6FC4">
        <w:rPr>
          <w:rFonts w:ascii="Arial" w:hAnsi="Arial" w:cs="Arial"/>
          <w:i/>
          <w:iCs/>
          <w:sz w:val="24"/>
          <w:szCs w:val="24"/>
        </w:rPr>
        <w:t xml:space="preserve">Munro </w:t>
      </w:r>
      <w:r w:rsidR="001A3AD4" w:rsidRPr="00EE6FC4">
        <w:rPr>
          <w:rFonts w:ascii="Arial" w:hAnsi="Arial" w:cs="Arial"/>
          <w:i/>
          <w:iCs/>
          <w:sz w:val="24"/>
          <w:szCs w:val="24"/>
        </w:rPr>
        <w:t>Forensic Actuaries</w:t>
      </w:r>
    </w:p>
    <w:p w14:paraId="4527FC33" w14:textId="77777777" w:rsidR="001A3AD4" w:rsidRDefault="001A3AD4" w:rsidP="009C2330">
      <w:pPr>
        <w:spacing w:line="360" w:lineRule="auto"/>
        <w:rPr>
          <w:rFonts w:ascii="Arial" w:hAnsi="Arial" w:cs="Arial"/>
          <w:sz w:val="24"/>
          <w:szCs w:val="24"/>
        </w:rPr>
      </w:pPr>
    </w:p>
    <w:p w14:paraId="4A6A393A" w14:textId="11266D65"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E67845" w:rsidRPr="00960F80">
        <w:rPr>
          <w:rFonts w:ascii="Arial" w:hAnsi="Arial" w:cs="Arial"/>
          <w:sz w:val="24"/>
          <w:szCs w:val="24"/>
        </w:rPr>
        <w:t>It is not clear who prepared t</w:t>
      </w:r>
      <w:r w:rsidR="001A3AD4" w:rsidRPr="00960F80">
        <w:rPr>
          <w:rFonts w:ascii="Arial" w:hAnsi="Arial" w:cs="Arial"/>
          <w:sz w:val="24"/>
          <w:szCs w:val="24"/>
        </w:rPr>
        <w:t xml:space="preserve">he </w:t>
      </w:r>
      <w:r w:rsidR="00E67845" w:rsidRPr="00960F80">
        <w:rPr>
          <w:rFonts w:ascii="Arial" w:hAnsi="Arial" w:cs="Arial"/>
          <w:sz w:val="24"/>
          <w:szCs w:val="24"/>
        </w:rPr>
        <w:t xml:space="preserve">actuarial </w:t>
      </w:r>
      <w:r w:rsidR="001A3AD4" w:rsidRPr="00960F80">
        <w:rPr>
          <w:rFonts w:ascii="Arial" w:hAnsi="Arial" w:cs="Arial"/>
          <w:sz w:val="24"/>
          <w:szCs w:val="24"/>
        </w:rPr>
        <w:t xml:space="preserve">report </w:t>
      </w:r>
      <w:r w:rsidR="00E67845" w:rsidRPr="00960F80">
        <w:rPr>
          <w:rFonts w:ascii="Arial" w:hAnsi="Arial" w:cs="Arial"/>
          <w:sz w:val="24"/>
          <w:szCs w:val="24"/>
        </w:rPr>
        <w:t>on behalf of Munro Forensic Actuaries</w:t>
      </w:r>
      <w:r w:rsidR="001A6B7B" w:rsidRPr="00960F80">
        <w:rPr>
          <w:rFonts w:ascii="Arial" w:hAnsi="Arial" w:cs="Arial"/>
          <w:sz w:val="24"/>
          <w:szCs w:val="24"/>
        </w:rPr>
        <w:t xml:space="preserve"> (‘MFA’)</w:t>
      </w:r>
      <w:r w:rsidR="00E67845" w:rsidRPr="00960F80">
        <w:rPr>
          <w:rFonts w:ascii="Arial" w:hAnsi="Arial" w:cs="Arial"/>
          <w:sz w:val="24"/>
          <w:szCs w:val="24"/>
        </w:rPr>
        <w:t xml:space="preserve"> but the </w:t>
      </w:r>
      <w:r w:rsidR="00F0210B" w:rsidRPr="00960F80">
        <w:rPr>
          <w:rFonts w:ascii="Arial" w:hAnsi="Arial" w:cs="Arial"/>
          <w:sz w:val="24"/>
          <w:szCs w:val="24"/>
        </w:rPr>
        <w:t xml:space="preserve">defendant has not placed </w:t>
      </w:r>
      <w:r w:rsidR="000D67FD" w:rsidRPr="00960F80">
        <w:rPr>
          <w:rFonts w:ascii="Arial" w:hAnsi="Arial" w:cs="Arial"/>
          <w:sz w:val="24"/>
          <w:szCs w:val="24"/>
        </w:rPr>
        <w:t>the contents in issue.</w:t>
      </w:r>
      <w:r w:rsidR="000D67FD">
        <w:rPr>
          <w:rStyle w:val="FootnoteReference"/>
          <w:rFonts w:ascii="Arial" w:hAnsi="Arial" w:cs="Arial"/>
          <w:sz w:val="24"/>
          <w:szCs w:val="24"/>
        </w:rPr>
        <w:footnoteReference w:id="11"/>
      </w:r>
      <w:r w:rsidR="005C2CCA" w:rsidRPr="00960F80">
        <w:rPr>
          <w:rFonts w:ascii="Arial" w:hAnsi="Arial" w:cs="Arial"/>
          <w:sz w:val="24"/>
          <w:szCs w:val="24"/>
        </w:rPr>
        <w:t xml:space="preserve"> The authors thereof </w:t>
      </w:r>
      <w:r w:rsidR="009C68B8" w:rsidRPr="00960F80">
        <w:rPr>
          <w:rFonts w:ascii="Arial" w:hAnsi="Arial" w:cs="Arial"/>
          <w:sz w:val="24"/>
          <w:szCs w:val="24"/>
        </w:rPr>
        <w:t xml:space="preserve">state that they were instructed to </w:t>
      </w:r>
      <w:r w:rsidR="006F60EA" w:rsidRPr="00960F80">
        <w:rPr>
          <w:rFonts w:ascii="Arial" w:hAnsi="Arial" w:cs="Arial"/>
          <w:sz w:val="24"/>
          <w:szCs w:val="24"/>
        </w:rPr>
        <w:t>estimate the capital value of the potential loss of earnings suffered by the plaintiff</w:t>
      </w:r>
      <w:r w:rsidR="00EA271C" w:rsidRPr="00960F80">
        <w:rPr>
          <w:rFonts w:ascii="Arial" w:hAnsi="Arial" w:cs="Arial"/>
          <w:sz w:val="24"/>
          <w:szCs w:val="24"/>
        </w:rPr>
        <w:t xml:space="preserve"> because of the accident.</w:t>
      </w:r>
      <w:r w:rsidR="00AD7228" w:rsidRPr="00960F80">
        <w:rPr>
          <w:rFonts w:ascii="Arial" w:hAnsi="Arial" w:cs="Arial"/>
          <w:sz w:val="24"/>
          <w:szCs w:val="24"/>
        </w:rPr>
        <w:t xml:space="preserve"> They stipulate that their report is based on, </w:t>
      </w:r>
      <w:r w:rsidR="00AD7228" w:rsidRPr="00960F80">
        <w:rPr>
          <w:rFonts w:ascii="Arial" w:hAnsi="Arial" w:cs="Arial"/>
          <w:i/>
          <w:iCs/>
          <w:sz w:val="24"/>
          <w:szCs w:val="24"/>
        </w:rPr>
        <w:t>inter alia</w:t>
      </w:r>
      <w:r w:rsidR="00AD7228" w:rsidRPr="00960F80">
        <w:rPr>
          <w:rFonts w:ascii="Arial" w:hAnsi="Arial" w:cs="Arial"/>
          <w:sz w:val="24"/>
          <w:szCs w:val="24"/>
        </w:rPr>
        <w:t>,</w:t>
      </w:r>
      <w:r w:rsidR="006A1204" w:rsidRPr="00960F80">
        <w:rPr>
          <w:rFonts w:ascii="Arial" w:hAnsi="Arial" w:cs="Arial"/>
          <w:sz w:val="24"/>
          <w:szCs w:val="24"/>
        </w:rPr>
        <w:t xml:space="preserve"> the information contained in</w:t>
      </w:r>
      <w:r w:rsidR="00AD7228" w:rsidRPr="00960F80">
        <w:rPr>
          <w:rFonts w:ascii="Arial" w:hAnsi="Arial" w:cs="Arial"/>
          <w:sz w:val="24"/>
          <w:szCs w:val="24"/>
        </w:rPr>
        <w:t xml:space="preserve"> Dr de Kock’s report.</w:t>
      </w:r>
    </w:p>
    <w:p w14:paraId="13FC1591" w14:textId="77777777" w:rsidR="002C6760" w:rsidRDefault="002C6760" w:rsidP="002C6760">
      <w:pPr>
        <w:pStyle w:val="ListParagraph"/>
        <w:spacing w:line="360" w:lineRule="auto"/>
        <w:ind w:left="0"/>
        <w:jc w:val="both"/>
        <w:rPr>
          <w:rFonts w:ascii="Arial" w:hAnsi="Arial" w:cs="Arial"/>
          <w:sz w:val="24"/>
          <w:szCs w:val="24"/>
        </w:rPr>
      </w:pPr>
    </w:p>
    <w:p w14:paraId="65BA0F86" w14:textId="237C2554" w:rsidR="002C6760" w:rsidRPr="00960F80" w:rsidRDefault="00960F80" w:rsidP="00960F80">
      <w:pPr>
        <w:spacing w:line="360" w:lineRule="auto"/>
        <w:jc w:val="both"/>
        <w:rPr>
          <w:rFonts w:ascii="Arial" w:hAnsi="Arial" w:cs="Arial"/>
          <w:sz w:val="24"/>
          <w:szCs w:val="24"/>
        </w:rPr>
      </w:pPr>
      <w:r>
        <w:rPr>
          <w:rFonts w:ascii="Arial" w:hAnsi="Arial" w:cs="Arial"/>
          <w:sz w:val="24"/>
          <w:szCs w:val="24"/>
        </w:rPr>
        <w:lastRenderedPageBreak/>
        <w:t>[19]</w:t>
      </w:r>
      <w:r>
        <w:rPr>
          <w:rFonts w:ascii="Arial" w:hAnsi="Arial" w:cs="Arial"/>
          <w:sz w:val="24"/>
          <w:szCs w:val="24"/>
        </w:rPr>
        <w:tab/>
      </w:r>
      <w:r w:rsidR="006A1204" w:rsidRPr="00960F80">
        <w:rPr>
          <w:rFonts w:ascii="Arial" w:hAnsi="Arial" w:cs="Arial"/>
          <w:sz w:val="24"/>
          <w:szCs w:val="24"/>
        </w:rPr>
        <w:t xml:space="preserve">The MFA report indicates that </w:t>
      </w:r>
      <w:r w:rsidR="00F072B3" w:rsidRPr="00960F80">
        <w:rPr>
          <w:rFonts w:ascii="Arial" w:hAnsi="Arial" w:cs="Arial"/>
          <w:sz w:val="24"/>
          <w:szCs w:val="24"/>
        </w:rPr>
        <w:t xml:space="preserve">the plaintiff was paid for one month </w:t>
      </w:r>
      <w:r w:rsidR="00121514" w:rsidRPr="00960F80">
        <w:rPr>
          <w:rFonts w:ascii="Arial" w:hAnsi="Arial" w:cs="Arial"/>
          <w:sz w:val="24"/>
          <w:szCs w:val="24"/>
        </w:rPr>
        <w:t xml:space="preserve">only </w:t>
      </w:r>
      <w:r w:rsidR="00F072B3" w:rsidRPr="00960F80">
        <w:rPr>
          <w:rFonts w:ascii="Arial" w:hAnsi="Arial" w:cs="Arial"/>
          <w:sz w:val="24"/>
          <w:szCs w:val="24"/>
        </w:rPr>
        <w:t>after the accident</w:t>
      </w:r>
      <w:r w:rsidR="00D725A8" w:rsidRPr="00960F80">
        <w:rPr>
          <w:rFonts w:ascii="Arial" w:hAnsi="Arial" w:cs="Arial"/>
          <w:sz w:val="24"/>
          <w:szCs w:val="24"/>
        </w:rPr>
        <w:t>, before becoming unemployed</w:t>
      </w:r>
      <w:r w:rsidR="00121514" w:rsidRPr="00960F80">
        <w:rPr>
          <w:rFonts w:ascii="Arial" w:hAnsi="Arial" w:cs="Arial"/>
          <w:sz w:val="24"/>
          <w:szCs w:val="24"/>
        </w:rPr>
        <w:t xml:space="preserve">. He </w:t>
      </w:r>
      <w:r w:rsidR="00D725A8" w:rsidRPr="00960F80">
        <w:rPr>
          <w:rFonts w:ascii="Arial" w:hAnsi="Arial" w:cs="Arial"/>
          <w:sz w:val="24"/>
          <w:szCs w:val="24"/>
        </w:rPr>
        <w:t xml:space="preserve">later </w:t>
      </w:r>
      <w:r w:rsidR="00121514" w:rsidRPr="00960F80">
        <w:rPr>
          <w:rFonts w:ascii="Arial" w:hAnsi="Arial" w:cs="Arial"/>
          <w:sz w:val="24"/>
          <w:szCs w:val="24"/>
        </w:rPr>
        <w:t>managed to secure low</w:t>
      </w:r>
      <w:r w:rsidR="00296F5B" w:rsidRPr="00960F80">
        <w:rPr>
          <w:rFonts w:ascii="Arial" w:hAnsi="Arial" w:cs="Arial"/>
          <w:sz w:val="24"/>
          <w:szCs w:val="24"/>
        </w:rPr>
        <w:t>-paying work</w:t>
      </w:r>
      <w:r w:rsidR="00526FB5" w:rsidRPr="00960F80">
        <w:rPr>
          <w:rFonts w:ascii="Arial" w:hAnsi="Arial" w:cs="Arial"/>
          <w:sz w:val="24"/>
          <w:szCs w:val="24"/>
        </w:rPr>
        <w:t xml:space="preserve">, but only </w:t>
      </w:r>
      <w:r w:rsidR="00296F5B" w:rsidRPr="00960F80">
        <w:rPr>
          <w:rFonts w:ascii="Arial" w:hAnsi="Arial" w:cs="Arial"/>
          <w:sz w:val="24"/>
          <w:szCs w:val="24"/>
        </w:rPr>
        <w:t>for a period of two months</w:t>
      </w:r>
      <w:r w:rsidR="00526FB5" w:rsidRPr="00960F80">
        <w:rPr>
          <w:rFonts w:ascii="Arial" w:hAnsi="Arial" w:cs="Arial"/>
          <w:sz w:val="24"/>
          <w:szCs w:val="24"/>
        </w:rPr>
        <w:t xml:space="preserve">. He </w:t>
      </w:r>
      <w:r w:rsidR="008D57F5" w:rsidRPr="00960F80">
        <w:rPr>
          <w:rFonts w:ascii="Arial" w:hAnsi="Arial" w:cs="Arial"/>
          <w:sz w:val="24"/>
          <w:szCs w:val="24"/>
        </w:rPr>
        <w:t xml:space="preserve">has </w:t>
      </w:r>
      <w:r w:rsidR="00526FB5" w:rsidRPr="00960F80">
        <w:rPr>
          <w:rFonts w:ascii="Arial" w:hAnsi="Arial" w:cs="Arial"/>
          <w:sz w:val="24"/>
          <w:szCs w:val="24"/>
        </w:rPr>
        <w:t xml:space="preserve">been </w:t>
      </w:r>
      <w:r w:rsidR="008D57F5" w:rsidRPr="00960F80">
        <w:rPr>
          <w:rFonts w:ascii="Arial" w:hAnsi="Arial" w:cs="Arial"/>
          <w:sz w:val="24"/>
          <w:szCs w:val="24"/>
        </w:rPr>
        <w:t xml:space="preserve">unemployed </w:t>
      </w:r>
      <w:r w:rsidR="00526FB5" w:rsidRPr="00960F80">
        <w:rPr>
          <w:rFonts w:ascii="Arial" w:hAnsi="Arial" w:cs="Arial"/>
          <w:sz w:val="24"/>
          <w:szCs w:val="24"/>
        </w:rPr>
        <w:t>since mid-2010</w:t>
      </w:r>
      <w:r w:rsidR="00F22F0D" w:rsidRPr="00960F80">
        <w:rPr>
          <w:rFonts w:ascii="Arial" w:hAnsi="Arial" w:cs="Arial"/>
          <w:sz w:val="24"/>
          <w:szCs w:val="24"/>
        </w:rPr>
        <w:t xml:space="preserve"> and </w:t>
      </w:r>
      <w:r w:rsidR="00787F25" w:rsidRPr="00960F80">
        <w:rPr>
          <w:rFonts w:ascii="Arial" w:hAnsi="Arial" w:cs="Arial"/>
          <w:sz w:val="24"/>
          <w:szCs w:val="24"/>
        </w:rPr>
        <w:t>wa</w:t>
      </w:r>
      <w:r w:rsidR="00F22F0D" w:rsidRPr="00960F80">
        <w:rPr>
          <w:rFonts w:ascii="Arial" w:hAnsi="Arial" w:cs="Arial"/>
          <w:sz w:val="24"/>
          <w:szCs w:val="24"/>
        </w:rPr>
        <w:t>s not expected to secure any further work in the future.</w:t>
      </w:r>
    </w:p>
    <w:p w14:paraId="4D91FF78" w14:textId="77777777" w:rsidR="002C6760" w:rsidRPr="002C6760" w:rsidRDefault="002C6760" w:rsidP="002C6760">
      <w:pPr>
        <w:pStyle w:val="ListParagraph"/>
        <w:rPr>
          <w:rFonts w:ascii="Arial" w:hAnsi="Arial" w:cs="Arial"/>
          <w:sz w:val="24"/>
          <w:szCs w:val="24"/>
        </w:rPr>
      </w:pPr>
    </w:p>
    <w:p w14:paraId="755D9284" w14:textId="263234CC" w:rsidR="000A3239" w:rsidRPr="00960F80" w:rsidRDefault="00960F80" w:rsidP="00960F80">
      <w:pPr>
        <w:spacing w:line="360" w:lineRule="auto"/>
        <w:jc w:val="both"/>
        <w:rPr>
          <w:rFonts w:ascii="Arial" w:hAnsi="Arial" w:cs="Arial"/>
          <w:sz w:val="24"/>
          <w:szCs w:val="24"/>
        </w:rPr>
      </w:pPr>
      <w:r w:rsidRPr="002C6760">
        <w:rPr>
          <w:rFonts w:ascii="Arial" w:hAnsi="Arial" w:cs="Arial"/>
          <w:sz w:val="24"/>
          <w:szCs w:val="24"/>
        </w:rPr>
        <w:t>[20]</w:t>
      </w:r>
      <w:r w:rsidRPr="002C6760">
        <w:rPr>
          <w:rFonts w:ascii="Arial" w:hAnsi="Arial" w:cs="Arial"/>
          <w:sz w:val="24"/>
          <w:szCs w:val="24"/>
        </w:rPr>
        <w:tab/>
      </w:r>
      <w:r w:rsidR="003B1176" w:rsidRPr="00960F80">
        <w:rPr>
          <w:rFonts w:ascii="Arial" w:hAnsi="Arial" w:cs="Arial"/>
          <w:sz w:val="24"/>
          <w:szCs w:val="24"/>
        </w:rPr>
        <w:t xml:space="preserve">The </w:t>
      </w:r>
      <w:r w:rsidR="00D96D90" w:rsidRPr="00960F80">
        <w:rPr>
          <w:rFonts w:ascii="Arial" w:hAnsi="Arial" w:cs="Arial"/>
          <w:sz w:val="24"/>
          <w:szCs w:val="24"/>
        </w:rPr>
        <w:t xml:space="preserve">capital value of </w:t>
      </w:r>
      <w:r w:rsidR="005A7BB8" w:rsidRPr="00960F80">
        <w:rPr>
          <w:rFonts w:ascii="Arial" w:hAnsi="Arial" w:cs="Arial"/>
          <w:sz w:val="24"/>
          <w:szCs w:val="24"/>
        </w:rPr>
        <w:t>the plaintiff</w:t>
      </w:r>
      <w:r w:rsidR="00D96D90" w:rsidRPr="00960F80">
        <w:rPr>
          <w:rFonts w:ascii="Arial" w:hAnsi="Arial" w:cs="Arial"/>
          <w:sz w:val="24"/>
          <w:szCs w:val="24"/>
        </w:rPr>
        <w:t xml:space="preserve">’s past loss of earnings was </w:t>
      </w:r>
      <w:r w:rsidR="005A7BB8" w:rsidRPr="00960F80">
        <w:rPr>
          <w:rFonts w:ascii="Arial" w:hAnsi="Arial" w:cs="Arial"/>
          <w:sz w:val="24"/>
          <w:szCs w:val="24"/>
        </w:rPr>
        <w:t xml:space="preserve">calculated </w:t>
      </w:r>
      <w:r w:rsidR="00780A59" w:rsidRPr="00960F80">
        <w:rPr>
          <w:rFonts w:ascii="Arial" w:hAnsi="Arial" w:cs="Arial"/>
          <w:sz w:val="24"/>
          <w:szCs w:val="24"/>
        </w:rPr>
        <w:t xml:space="preserve">as R 579,400. </w:t>
      </w:r>
      <w:r w:rsidR="00613825" w:rsidRPr="00960F80">
        <w:rPr>
          <w:rFonts w:ascii="Arial" w:hAnsi="Arial" w:cs="Arial"/>
          <w:sz w:val="24"/>
          <w:szCs w:val="24"/>
        </w:rPr>
        <w:t>His</w:t>
      </w:r>
      <w:r w:rsidR="00780A59" w:rsidRPr="00960F80">
        <w:rPr>
          <w:rFonts w:ascii="Arial" w:hAnsi="Arial" w:cs="Arial"/>
          <w:sz w:val="24"/>
          <w:szCs w:val="24"/>
        </w:rPr>
        <w:t xml:space="preserve"> future loss of earnings </w:t>
      </w:r>
      <w:r w:rsidR="00613825" w:rsidRPr="00960F80">
        <w:rPr>
          <w:rFonts w:ascii="Arial" w:hAnsi="Arial" w:cs="Arial"/>
          <w:sz w:val="24"/>
          <w:szCs w:val="24"/>
        </w:rPr>
        <w:t xml:space="preserve">was </w:t>
      </w:r>
      <w:r w:rsidR="00780A59" w:rsidRPr="00960F80">
        <w:rPr>
          <w:rFonts w:ascii="Arial" w:hAnsi="Arial" w:cs="Arial"/>
          <w:sz w:val="24"/>
          <w:szCs w:val="24"/>
        </w:rPr>
        <w:t xml:space="preserve">equated to </w:t>
      </w:r>
      <w:r w:rsidR="00613825" w:rsidRPr="00960F80">
        <w:rPr>
          <w:rFonts w:ascii="Arial" w:hAnsi="Arial" w:cs="Arial"/>
          <w:sz w:val="24"/>
          <w:szCs w:val="24"/>
        </w:rPr>
        <w:t xml:space="preserve">be </w:t>
      </w:r>
      <w:r w:rsidR="00780A59" w:rsidRPr="00960F80">
        <w:rPr>
          <w:rFonts w:ascii="Arial" w:hAnsi="Arial" w:cs="Arial"/>
          <w:sz w:val="24"/>
          <w:szCs w:val="24"/>
        </w:rPr>
        <w:t>R 1,911</w:t>
      </w:r>
      <w:r w:rsidR="0060421B" w:rsidRPr="00960F80">
        <w:rPr>
          <w:rFonts w:ascii="Arial" w:hAnsi="Arial" w:cs="Arial"/>
          <w:sz w:val="24"/>
          <w:szCs w:val="24"/>
        </w:rPr>
        <w:t xml:space="preserve">,900. The total capital value of </w:t>
      </w:r>
      <w:r w:rsidR="00613825" w:rsidRPr="00960F80">
        <w:rPr>
          <w:rFonts w:ascii="Arial" w:hAnsi="Arial" w:cs="Arial"/>
          <w:sz w:val="24"/>
          <w:szCs w:val="24"/>
        </w:rPr>
        <w:t xml:space="preserve">the plaintiff’s loss of earnings, excluding </w:t>
      </w:r>
      <w:r w:rsidR="00D20680" w:rsidRPr="00960F80">
        <w:rPr>
          <w:rFonts w:ascii="Arial" w:hAnsi="Arial" w:cs="Arial"/>
          <w:sz w:val="24"/>
          <w:szCs w:val="24"/>
        </w:rPr>
        <w:t>contingencies, amounted to R 2,491,300.</w:t>
      </w:r>
    </w:p>
    <w:p w14:paraId="32284AFA" w14:textId="77777777" w:rsidR="00446B40" w:rsidRDefault="00446B40" w:rsidP="009C2330">
      <w:pPr>
        <w:spacing w:line="360" w:lineRule="auto"/>
        <w:rPr>
          <w:rFonts w:ascii="Arial" w:hAnsi="Arial" w:cs="Arial"/>
          <w:sz w:val="24"/>
          <w:szCs w:val="24"/>
        </w:rPr>
      </w:pPr>
    </w:p>
    <w:p w14:paraId="41246558" w14:textId="17C199DB" w:rsidR="00446B40" w:rsidRPr="00446B40" w:rsidRDefault="00446B40" w:rsidP="009C2330">
      <w:pPr>
        <w:spacing w:line="360" w:lineRule="auto"/>
        <w:rPr>
          <w:rFonts w:ascii="Arial" w:hAnsi="Arial" w:cs="Arial"/>
          <w:b/>
          <w:bCs/>
          <w:sz w:val="24"/>
          <w:szCs w:val="24"/>
        </w:rPr>
      </w:pPr>
      <w:r w:rsidRPr="00446B40">
        <w:rPr>
          <w:rFonts w:ascii="Arial" w:hAnsi="Arial" w:cs="Arial"/>
          <w:b/>
          <w:bCs/>
          <w:sz w:val="24"/>
          <w:szCs w:val="24"/>
        </w:rPr>
        <w:t>Discussion</w:t>
      </w:r>
    </w:p>
    <w:p w14:paraId="11704FA0" w14:textId="2699FFB4" w:rsidR="00446B40" w:rsidRPr="00960F80" w:rsidRDefault="00960F80" w:rsidP="00960F80">
      <w:pPr>
        <w:spacing w:line="360" w:lineRule="auto"/>
        <w:jc w:val="both"/>
        <w:rPr>
          <w:rFonts w:ascii="Arial" w:hAnsi="Arial" w:cs="Arial"/>
          <w:sz w:val="24"/>
          <w:szCs w:val="24"/>
        </w:rPr>
      </w:pPr>
      <w:r w:rsidRPr="002C6760">
        <w:rPr>
          <w:rFonts w:ascii="Arial" w:hAnsi="Arial" w:cs="Arial"/>
          <w:sz w:val="24"/>
          <w:szCs w:val="24"/>
        </w:rPr>
        <w:t>[21]</w:t>
      </w:r>
      <w:r w:rsidRPr="002C6760">
        <w:rPr>
          <w:rFonts w:ascii="Arial" w:hAnsi="Arial" w:cs="Arial"/>
          <w:sz w:val="24"/>
          <w:szCs w:val="24"/>
        </w:rPr>
        <w:tab/>
      </w:r>
      <w:r w:rsidR="00446B40" w:rsidRPr="00960F80">
        <w:rPr>
          <w:rFonts w:ascii="Arial" w:hAnsi="Arial" w:cs="Arial"/>
          <w:sz w:val="24"/>
          <w:szCs w:val="24"/>
        </w:rPr>
        <w:t xml:space="preserve">The </w:t>
      </w:r>
      <w:r w:rsidR="00867937" w:rsidRPr="00960F80">
        <w:rPr>
          <w:rFonts w:ascii="Arial" w:hAnsi="Arial" w:cs="Arial"/>
          <w:sz w:val="24"/>
          <w:szCs w:val="24"/>
        </w:rPr>
        <w:t xml:space="preserve">plaintiff’s counsel </w:t>
      </w:r>
      <w:r w:rsidR="002B6CC4" w:rsidRPr="00960F80">
        <w:rPr>
          <w:rFonts w:ascii="Arial" w:hAnsi="Arial" w:cs="Arial"/>
          <w:sz w:val="24"/>
          <w:szCs w:val="24"/>
        </w:rPr>
        <w:t>drew attention</w:t>
      </w:r>
      <w:r w:rsidR="00EA5C79" w:rsidRPr="00960F80">
        <w:rPr>
          <w:rFonts w:ascii="Arial" w:hAnsi="Arial" w:cs="Arial"/>
          <w:sz w:val="24"/>
          <w:szCs w:val="24"/>
        </w:rPr>
        <w:t xml:space="preserve">, in argument, to </w:t>
      </w:r>
      <w:r w:rsidR="00211C65" w:rsidRPr="00960F80">
        <w:rPr>
          <w:rFonts w:ascii="Arial" w:hAnsi="Arial" w:cs="Arial"/>
          <w:sz w:val="24"/>
          <w:szCs w:val="24"/>
        </w:rPr>
        <w:t xml:space="preserve">the </w:t>
      </w:r>
      <w:r w:rsidR="00CE17F3" w:rsidRPr="00960F80">
        <w:rPr>
          <w:rFonts w:ascii="Arial" w:hAnsi="Arial" w:cs="Arial"/>
          <w:sz w:val="24"/>
          <w:szCs w:val="24"/>
        </w:rPr>
        <w:t xml:space="preserve">report prepared by an orthopaedic surgeon, </w:t>
      </w:r>
      <w:r w:rsidR="00F02644" w:rsidRPr="00960F80">
        <w:rPr>
          <w:rFonts w:ascii="Arial" w:hAnsi="Arial" w:cs="Arial"/>
          <w:sz w:val="24"/>
          <w:szCs w:val="24"/>
        </w:rPr>
        <w:t xml:space="preserve">Dr Piet Olivier. </w:t>
      </w:r>
      <w:r w:rsidR="003D120A" w:rsidRPr="00960F80">
        <w:rPr>
          <w:rFonts w:ascii="Arial" w:hAnsi="Arial" w:cs="Arial"/>
          <w:sz w:val="24"/>
          <w:szCs w:val="24"/>
        </w:rPr>
        <w:t xml:space="preserve">Dealing with </w:t>
      </w:r>
      <w:r w:rsidR="00CC44E7" w:rsidRPr="00960F80">
        <w:rPr>
          <w:rFonts w:ascii="Arial" w:hAnsi="Arial" w:cs="Arial"/>
          <w:sz w:val="24"/>
          <w:szCs w:val="24"/>
        </w:rPr>
        <w:t>the employability of the plaintiff</w:t>
      </w:r>
      <w:r w:rsidR="00E62C24" w:rsidRPr="00960F80">
        <w:rPr>
          <w:rFonts w:ascii="Arial" w:hAnsi="Arial" w:cs="Arial"/>
          <w:sz w:val="24"/>
          <w:szCs w:val="24"/>
        </w:rPr>
        <w:t xml:space="preserve">, </w:t>
      </w:r>
      <w:r w:rsidR="00F36912" w:rsidRPr="00960F80">
        <w:rPr>
          <w:rFonts w:ascii="Arial" w:hAnsi="Arial" w:cs="Arial"/>
          <w:sz w:val="24"/>
          <w:szCs w:val="24"/>
        </w:rPr>
        <w:t>the following view was expressed:</w:t>
      </w:r>
    </w:p>
    <w:p w14:paraId="7EE0AD2B" w14:textId="648C8A99" w:rsidR="00F36912" w:rsidRPr="005D2833" w:rsidRDefault="00F36912" w:rsidP="002C6760">
      <w:pPr>
        <w:spacing w:line="360" w:lineRule="auto"/>
        <w:ind w:left="720"/>
        <w:jc w:val="both"/>
        <w:rPr>
          <w:rFonts w:ascii="Arial" w:hAnsi="Arial" w:cs="Arial"/>
          <w:sz w:val="20"/>
          <w:szCs w:val="20"/>
        </w:rPr>
      </w:pPr>
      <w:r w:rsidRPr="005D2833">
        <w:rPr>
          <w:rFonts w:ascii="Arial" w:hAnsi="Arial" w:cs="Arial"/>
          <w:sz w:val="20"/>
          <w:szCs w:val="20"/>
        </w:rPr>
        <w:t xml:space="preserve">‘The presence of pathology in the left shoulder girdle as well as the </w:t>
      </w:r>
      <w:r w:rsidR="00315F68" w:rsidRPr="005D2833">
        <w:rPr>
          <w:rFonts w:ascii="Arial" w:hAnsi="Arial" w:cs="Arial"/>
          <w:sz w:val="20"/>
          <w:szCs w:val="20"/>
        </w:rPr>
        <w:t xml:space="preserve">left </w:t>
      </w:r>
      <w:r w:rsidRPr="005D2833">
        <w:rPr>
          <w:rFonts w:ascii="Arial" w:hAnsi="Arial" w:cs="Arial"/>
          <w:sz w:val="20"/>
          <w:szCs w:val="20"/>
        </w:rPr>
        <w:t xml:space="preserve">upper </w:t>
      </w:r>
      <w:r w:rsidR="00315F68" w:rsidRPr="005D2833">
        <w:rPr>
          <w:rFonts w:ascii="Arial" w:hAnsi="Arial" w:cs="Arial"/>
          <w:sz w:val="20"/>
          <w:szCs w:val="20"/>
        </w:rPr>
        <w:t>arm is responsible for the inability to perform normal as well as strenuous manual activities</w:t>
      </w:r>
      <w:r w:rsidR="00A1614F" w:rsidRPr="005D2833">
        <w:rPr>
          <w:rFonts w:ascii="Arial" w:hAnsi="Arial" w:cs="Arial"/>
          <w:sz w:val="20"/>
          <w:szCs w:val="20"/>
        </w:rPr>
        <w:t>. The client will therefore not be able to compete against uninjured individuals in the future</w:t>
      </w:r>
      <w:r w:rsidR="003F697B" w:rsidRPr="005D2833">
        <w:rPr>
          <w:rFonts w:ascii="Arial" w:hAnsi="Arial" w:cs="Arial"/>
          <w:sz w:val="20"/>
          <w:szCs w:val="20"/>
        </w:rPr>
        <w:t>. It is not foreseen that the current degree of disability would improve with future medical or surgical intervention</w:t>
      </w:r>
      <w:r w:rsidR="001F2C54" w:rsidRPr="005D2833">
        <w:rPr>
          <w:rFonts w:ascii="Arial" w:hAnsi="Arial" w:cs="Arial"/>
          <w:sz w:val="20"/>
          <w:szCs w:val="20"/>
        </w:rPr>
        <w:t xml:space="preserve">… </w:t>
      </w:r>
      <w:r w:rsidR="008002E8" w:rsidRPr="005D2833">
        <w:rPr>
          <w:rFonts w:ascii="Arial" w:hAnsi="Arial" w:cs="Arial"/>
          <w:sz w:val="20"/>
          <w:szCs w:val="20"/>
        </w:rPr>
        <w:t>As the client would be restricted to a job that entails light duties only, his future competitiveness in the open labour market is significantly jeopardized.’</w:t>
      </w:r>
    </w:p>
    <w:p w14:paraId="447004A9" w14:textId="77777777" w:rsidR="00343CFC" w:rsidRDefault="00343CFC" w:rsidP="009C2330">
      <w:pPr>
        <w:spacing w:line="360" w:lineRule="auto"/>
        <w:rPr>
          <w:rFonts w:ascii="Arial" w:hAnsi="Arial" w:cs="Arial"/>
          <w:sz w:val="24"/>
          <w:szCs w:val="24"/>
        </w:rPr>
      </w:pPr>
    </w:p>
    <w:p w14:paraId="0FC552BC" w14:textId="272B064F" w:rsidR="00343CFC" w:rsidRPr="00960F80" w:rsidRDefault="00960F80" w:rsidP="00960F80">
      <w:pPr>
        <w:spacing w:line="360" w:lineRule="auto"/>
        <w:jc w:val="both"/>
        <w:rPr>
          <w:rFonts w:ascii="Arial" w:hAnsi="Arial" w:cs="Arial"/>
          <w:sz w:val="24"/>
          <w:szCs w:val="24"/>
        </w:rPr>
      </w:pPr>
      <w:r w:rsidRPr="002C6760">
        <w:rPr>
          <w:rFonts w:ascii="Arial" w:hAnsi="Arial" w:cs="Arial"/>
          <w:sz w:val="24"/>
          <w:szCs w:val="24"/>
        </w:rPr>
        <w:t>[22]</w:t>
      </w:r>
      <w:r w:rsidRPr="002C6760">
        <w:rPr>
          <w:rFonts w:ascii="Arial" w:hAnsi="Arial" w:cs="Arial"/>
          <w:sz w:val="24"/>
          <w:szCs w:val="24"/>
        </w:rPr>
        <w:tab/>
      </w:r>
      <w:r w:rsidR="00343CFC" w:rsidRPr="00960F80">
        <w:rPr>
          <w:rFonts w:ascii="Arial" w:hAnsi="Arial" w:cs="Arial"/>
          <w:sz w:val="24"/>
          <w:szCs w:val="24"/>
        </w:rPr>
        <w:t xml:space="preserve">Similarly, plaintiff’s counsel referred to the report </w:t>
      </w:r>
      <w:r w:rsidR="00BD3557" w:rsidRPr="00960F80">
        <w:rPr>
          <w:rFonts w:ascii="Arial" w:hAnsi="Arial" w:cs="Arial"/>
          <w:sz w:val="24"/>
          <w:szCs w:val="24"/>
        </w:rPr>
        <w:t xml:space="preserve">prepared by </w:t>
      </w:r>
      <w:r w:rsidR="00776150" w:rsidRPr="00960F80">
        <w:rPr>
          <w:rFonts w:ascii="Arial" w:hAnsi="Arial" w:cs="Arial"/>
          <w:sz w:val="24"/>
          <w:szCs w:val="24"/>
        </w:rPr>
        <w:t xml:space="preserve">an occupational therapist, </w:t>
      </w:r>
      <w:r w:rsidR="005D2833" w:rsidRPr="00960F80">
        <w:rPr>
          <w:rFonts w:ascii="Arial" w:hAnsi="Arial" w:cs="Arial"/>
          <w:sz w:val="24"/>
          <w:szCs w:val="24"/>
        </w:rPr>
        <w:t xml:space="preserve">Ms Peliwe Mdlokolo. </w:t>
      </w:r>
      <w:r w:rsidR="00A02FBC" w:rsidRPr="00960F80">
        <w:rPr>
          <w:rFonts w:ascii="Arial" w:hAnsi="Arial" w:cs="Arial"/>
          <w:sz w:val="24"/>
          <w:szCs w:val="24"/>
        </w:rPr>
        <w:t xml:space="preserve">She </w:t>
      </w:r>
      <w:r w:rsidR="00CE4DB0" w:rsidRPr="00960F80">
        <w:rPr>
          <w:rFonts w:ascii="Arial" w:hAnsi="Arial" w:cs="Arial"/>
          <w:sz w:val="24"/>
          <w:szCs w:val="24"/>
        </w:rPr>
        <w:t>stated that:</w:t>
      </w:r>
    </w:p>
    <w:p w14:paraId="4FA3B8DD" w14:textId="202405B2" w:rsidR="00CE4DB0" w:rsidRPr="00267D11" w:rsidRDefault="00CE4DB0" w:rsidP="002C6760">
      <w:pPr>
        <w:spacing w:line="360" w:lineRule="auto"/>
        <w:ind w:left="720"/>
        <w:jc w:val="both"/>
        <w:rPr>
          <w:rFonts w:ascii="Arial" w:hAnsi="Arial" w:cs="Arial"/>
          <w:sz w:val="20"/>
          <w:szCs w:val="20"/>
        </w:rPr>
      </w:pPr>
      <w:r w:rsidRPr="00267D11">
        <w:rPr>
          <w:rFonts w:ascii="Arial" w:hAnsi="Arial" w:cs="Arial"/>
          <w:sz w:val="20"/>
          <w:szCs w:val="20"/>
        </w:rPr>
        <w:t xml:space="preserve">‘The plaintiff sustained </w:t>
      </w:r>
      <w:r w:rsidR="00F56FC2" w:rsidRPr="00267D11">
        <w:rPr>
          <w:rFonts w:ascii="Arial" w:hAnsi="Arial" w:cs="Arial"/>
          <w:sz w:val="20"/>
          <w:szCs w:val="20"/>
        </w:rPr>
        <w:t xml:space="preserve">orthopaedic injuries involving his left dominant upper limb. He is currently best suited for work that would entail </w:t>
      </w:r>
      <w:r w:rsidR="00F5203B" w:rsidRPr="00267D11">
        <w:rPr>
          <w:rFonts w:ascii="Arial" w:hAnsi="Arial" w:cs="Arial"/>
          <w:sz w:val="20"/>
          <w:szCs w:val="20"/>
        </w:rPr>
        <w:t>prolonged standing whilst handling objects of negligent weights</w:t>
      </w:r>
      <w:r w:rsidR="005D6CD9" w:rsidRPr="00267D11">
        <w:rPr>
          <w:rFonts w:ascii="Arial" w:hAnsi="Arial" w:cs="Arial"/>
          <w:sz w:val="20"/>
          <w:szCs w:val="20"/>
        </w:rPr>
        <w:t xml:space="preserve"> [sic]. In view of his previous academic difficulties and cognitive limitations noted during the assessment</w:t>
      </w:r>
      <w:r w:rsidR="004A487F" w:rsidRPr="00267D11">
        <w:rPr>
          <w:rFonts w:ascii="Arial" w:hAnsi="Arial" w:cs="Arial"/>
          <w:sz w:val="20"/>
          <w:szCs w:val="20"/>
        </w:rPr>
        <w:t>, he is not a candidate for training for an alternative sedentary occupation</w:t>
      </w:r>
      <w:r w:rsidR="00A02879" w:rsidRPr="00267D11">
        <w:rPr>
          <w:rFonts w:ascii="Arial" w:hAnsi="Arial" w:cs="Arial"/>
          <w:sz w:val="20"/>
          <w:szCs w:val="20"/>
        </w:rPr>
        <w:t xml:space="preserve">. He will also have difficulties securing work in the open labour market as most jobs that he would </w:t>
      </w:r>
      <w:r w:rsidR="00D240D5" w:rsidRPr="00267D11">
        <w:rPr>
          <w:rFonts w:ascii="Arial" w:hAnsi="Arial" w:cs="Arial"/>
          <w:sz w:val="20"/>
          <w:szCs w:val="20"/>
        </w:rPr>
        <w:t>qualify for would require good bilateral hand functioning whilst handling objects</w:t>
      </w:r>
      <w:r w:rsidR="00BF04C0" w:rsidRPr="00267D11">
        <w:rPr>
          <w:rFonts w:ascii="Arial" w:hAnsi="Arial" w:cs="Arial"/>
          <w:sz w:val="20"/>
          <w:szCs w:val="20"/>
        </w:rPr>
        <w:t xml:space="preserve"> of significant weights, working at and above shoulder level, repetitive arm movements, etc. Therefore, it is </w:t>
      </w:r>
      <w:r w:rsidR="00354E2A" w:rsidRPr="00267D11">
        <w:rPr>
          <w:rFonts w:ascii="Arial" w:hAnsi="Arial" w:cs="Arial"/>
          <w:sz w:val="20"/>
          <w:szCs w:val="20"/>
        </w:rPr>
        <w:t xml:space="preserve">evident that his </w:t>
      </w:r>
      <w:r w:rsidR="00354E2A" w:rsidRPr="00267D11">
        <w:rPr>
          <w:rFonts w:ascii="Arial" w:hAnsi="Arial" w:cs="Arial"/>
          <w:sz w:val="20"/>
          <w:szCs w:val="20"/>
        </w:rPr>
        <w:lastRenderedPageBreak/>
        <w:t>opportunities for gainful employment have been significantly compromised when compared to his premorbid state.’</w:t>
      </w:r>
    </w:p>
    <w:p w14:paraId="28A4E446" w14:textId="77777777" w:rsidR="00305EBC" w:rsidRDefault="00305EBC" w:rsidP="009C2330">
      <w:pPr>
        <w:spacing w:line="360" w:lineRule="auto"/>
        <w:rPr>
          <w:rFonts w:ascii="Arial" w:hAnsi="Arial" w:cs="Arial"/>
          <w:sz w:val="24"/>
          <w:szCs w:val="24"/>
        </w:rPr>
      </w:pPr>
    </w:p>
    <w:p w14:paraId="38966F1B" w14:textId="2107F597"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67D11" w:rsidRPr="00960F80">
        <w:rPr>
          <w:rFonts w:ascii="Arial" w:hAnsi="Arial" w:cs="Arial"/>
          <w:sz w:val="24"/>
          <w:szCs w:val="24"/>
        </w:rPr>
        <w:t>With reference to the above reports</w:t>
      </w:r>
      <w:r w:rsidR="00E24111" w:rsidRPr="00960F80">
        <w:rPr>
          <w:rFonts w:ascii="Arial" w:hAnsi="Arial" w:cs="Arial"/>
          <w:sz w:val="24"/>
          <w:szCs w:val="24"/>
        </w:rPr>
        <w:t xml:space="preserve">, as well as that of Dr de Kock, </w:t>
      </w:r>
      <w:r w:rsidR="00AF420B" w:rsidRPr="00960F80">
        <w:rPr>
          <w:rFonts w:ascii="Arial" w:hAnsi="Arial" w:cs="Arial"/>
          <w:sz w:val="24"/>
          <w:szCs w:val="24"/>
        </w:rPr>
        <w:t xml:space="preserve">plaintiff’s counsel argued for </w:t>
      </w:r>
      <w:r w:rsidR="002D5102" w:rsidRPr="00960F80">
        <w:rPr>
          <w:rFonts w:ascii="Arial" w:hAnsi="Arial" w:cs="Arial"/>
          <w:sz w:val="24"/>
          <w:szCs w:val="24"/>
        </w:rPr>
        <w:t xml:space="preserve">a deduction of 5% for pre-morbid </w:t>
      </w:r>
      <w:r w:rsidR="00F44286" w:rsidRPr="00960F80">
        <w:rPr>
          <w:rFonts w:ascii="Arial" w:hAnsi="Arial" w:cs="Arial"/>
          <w:sz w:val="24"/>
          <w:szCs w:val="24"/>
        </w:rPr>
        <w:t xml:space="preserve">and 15% for </w:t>
      </w:r>
      <w:r w:rsidR="00E624DC" w:rsidRPr="00960F80">
        <w:rPr>
          <w:rFonts w:ascii="Arial" w:hAnsi="Arial" w:cs="Arial"/>
          <w:sz w:val="24"/>
          <w:szCs w:val="24"/>
        </w:rPr>
        <w:t xml:space="preserve">post-morbid </w:t>
      </w:r>
      <w:r w:rsidR="00F44286" w:rsidRPr="00960F80">
        <w:rPr>
          <w:rFonts w:ascii="Arial" w:hAnsi="Arial" w:cs="Arial"/>
          <w:sz w:val="24"/>
          <w:szCs w:val="24"/>
        </w:rPr>
        <w:t>loss of earning capacity</w:t>
      </w:r>
      <w:r w:rsidR="00E624DC" w:rsidRPr="00960F80">
        <w:rPr>
          <w:rFonts w:ascii="Arial" w:hAnsi="Arial" w:cs="Arial"/>
          <w:sz w:val="24"/>
          <w:szCs w:val="24"/>
        </w:rPr>
        <w:t>.</w:t>
      </w:r>
      <w:r w:rsidR="00E624DC">
        <w:rPr>
          <w:rStyle w:val="FootnoteReference"/>
          <w:rFonts w:ascii="Arial" w:hAnsi="Arial" w:cs="Arial"/>
          <w:sz w:val="24"/>
          <w:szCs w:val="24"/>
        </w:rPr>
        <w:footnoteReference w:id="12"/>
      </w:r>
      <w:r w:rsidR="00F72EAD" w:rsidRPr="00960F80">
        <w:rPr>
          <w:rFonts w:ascii="Arial" w:hAnsi="Arial" w:cs="Arial"/>
          <w:sz w:val="24"/>
          <w:szCs w:val="24"/>
        </w:rPr>
        <w:t xml:space="preserve"> At the heart of </w:t>
      </w:r>
      <w:r w:rsidR="00EE21C1" w:rsidRPr="00960F80">
        <w:rPr>
          <w:rFonts w:ascii="Arial" w:hAnsi="Arial" w:cs="Arial"/>
          <w:sz w:val="24"/>
          <w:szCs w:val="24"/>
        </w:rPr>
        <w:t xml:space="preserve">this argument was the contention that </w:t>
      </w:r>
      <w:r w:rsidR="00B77121" w:rsidRPr="00960F80">
        <w:rPr>
          <w:rFonts w:ascii="Arial" w:hAnsi="Arial" w:cs="Arial"/>
          <w:sz w:val="24"/>
          <w:szCs w:val="24"/>
        </w:rPr>
        <w:t>the plaintiff was unemployable in the open market</w:t>
      </w:r>
      <w:r w:rsidR="006075B6" w:rsidRPr="00960F80">
        <w:rPr>
          <w:rFonts w:ascii="Arial" w:hAnsi="Arial" w:cs="Arial"/>
          <w:sz w:val="24"/>
          <w:szCs w:val="24"/>
        </w:rPr>
        <w:t xml:space="preserve">, on a permanent basis. This </w:t>
      </w:r>
      <w:r w:rsidR="008D493C" w:rsidRPr="00960F80">
        <w:rPr>
          <w:rFonts w:ascii="Arial" w:hAnsi="Arial" w:cs="Arial"/>
          <w:sz w:val="24"/>
          <w:szCs w:val="24"/>
        </w:rPr>
        <w:t xml:space="preserve">was </w:t>
      </w:r>
      <w:r w:rsidR="00960A7C" w:rsidRPr="00960F80">
        <w:rPr>
          <w:rFonts w:ascii="Arial" w:hAnsi="Arial" w:cs="Arial"/>
          <w:sz w:val="24"/>
          <w:szCs w:val="24"/>
        </w:rPr>
        <w:t>the conclusion reached by Dr de Kock.</w:t>
      </w:r>
    </w:p>
    <w:p w14:paraId="658C9479" w14:textId="77777777" w:rsidR="002C6760" w:rsidRDefault="002C6760" w:rsidP="002C6760">
      <w:pPr>
        <w:pStyle w:val="ListParagraph"/>
        <w:spacing w:line="360" w:lineRule="auto"/>
        <w:ind w:left="0"/>
        <w:jc w:val="both"/>
        <w:rPr>
          <w:rFonts w:ascii="Arial" w:hAnsi="Arial" w:cs="Arial"/>
          <w:sz w:val="24"/>
          <w:szCs w:val="24"/>
        </w:rPr>
      </w:pPr>
    </w:p>
    <w:p w14:paraId="0BE2EE48" w14:textId="41721DCC"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960A7C" w:rsidRPr="00960F80">
        <w:rPr>
          <w:rFonts w:ascii="Arial" w:hAnsi="Arial" w:cs="Arial"/>
          <w:sz w:val="24"/>
          <w:szCs w:val="24"/>
        </w:rPr>
        <w:t xml:space="preserve">In contrast, defendant’s counsel </w:t>
      </w:r>
      <w:r w:rsidR="004074CA" w:rsidRPr="00960F80">
        <w:rPr>
          <w:rFonts w:ascii="Arial" w:hAnsi="Arial" w:cs="Arial"/>
          <w:sz w:val="24"/>
          <w:szCs w:val="24"/>
        </w:rPr>
        <w:t xml:space="preserve">argued </w:t>
      </w:r>
      <w:r w:rsidR="006539D1" w:rsidRPr="00960F80">
        <w:rPr>
          <w:rFonts w:ascii="Arial" w:hAnsi="Arial" w:cs="Arial"/>
          <w:sz w:val="24"/>
          <w:szCs w:val="24"/>
        </w:rPr>
        <w:t xml:space="preserve">for </w:t>
      </w:r>
      <w:r w:rsidR="004074CA" w:rsidRPr="00960F80">
        <w:rPr>
          <w:rFonts w:ascii="Arial" w:hAnsi="Arial" w:cs="Arial"/>
          <w:sz w:val="24"/>
          <w:szCs w:val="24"/>
        </w:rPr>
        <w:t xml:space="preserve">deductions of </w:t>
      </w:r>
      <w:r w:rsidR="006539D1" w:rsidRPr="00960F80">
        <w:rPr>
          <w:rFonts w:ascii="Arial" w:hAnsi="Arial" w:cs="Arial"/>
          <w:sz w:val="24"/>
          <w:szCs w:val="24"/>
        </w:rPr>
        <w:t>30% and 50%, respectively.</w:t>
      </w:r>
      <w:r w:rsidR="00B106E2" w:rsidRPr="00960F80">
        <w:rPr>
          <w:rFonts w:ascii="Arial" w:hAnsi="Arial" w:cs="Arial"/>
          <w:sz w:val="24"/>
          <w:szCs w:val="24"/>
        </w:rPr>
        <w:t xml:space="preserve"> Th</w:t>
      </w:r>
      <w:r w:rsidR="00F221AE" w:rsidRPr="00960F80">
        <w:rPr>
          <w:rFonts w:ascii="Arial" w:hAnsi="Arial" w:cs="Arial"/>
          <w:sz w:val="24"/>
          <w:szCs w:val="24"/>
        </w:rPr>
        <w:t xml:space="preserve">is was because, in relation to pre-morbid </w:t>
      </w:r>
      <w:r w:rsidR="00445EA9" w:rsidRPr="00960F80">
        <w:rPr>
          <w:rFonts w:ascii="Arial" w:hAnsi="Arial" w:cs="Arial"/>
          <w:sz w:val="24"/>
          <w:szCs w:val="24"/>
        </w:rPr>
        <w:t>loss of earnings, the plaintiff</w:t>
      </w:r>
      <w:r w:rsidR="00CF3719" w:rsidRPr="00960F80">
        <w:rPr>
          <w:rFonts w:ascii="Arial" w:hAnsi="Arial" w:cs="Arial"/>
          <w:sz w:val="24"/>
          <w:szCs w:val="24"/>
        </w:rPr>
        <w:t xml:space="preserve"> was relatively young and there was no proof of </w:t>
      </w:r>
      <w:r w:rsidR="004E712E" w:rsidRPr="00960F80">
        <w:rPr>
          <w:rFonts w:ascii="Arial" w:hAnsi="Arial" w:cs="Arial"/>
          <w:sz w:val="24"/>
          <w:szCs w:val="24"/>
        </w:rPr>
        <w:t>his earnings at the time of the accident. It was not possible to establish whether he was indeed earning R 2,000 per month</w:t>
      </w:r>
      <w:r w:rsidR="00B73734" w:rsidRPr="00960F80">
        <w:rPr>
          <w:rFonts w:ascii="Arial" w:hAnsi="Arial" w:cs="Arial"/>
          <w:sz w:val="24"/>
          <w:szCs w:val="24"/>
        </w:rPr>
        <w:t>.</w:t>
      </w:r>
      <w:r w:rsidR="00203708" w:rsidRPr="00960F80">
        <w:rPr>
          <w:rFonts w:ascii="Arial" w:hAnsi="Arial" w:cs="Arial"/>
          <w:sz w:val="24"/>
          <w:szCs w:val="24"/>
        </w:rPr>
        <w:t xml:space="preserve"> Regarding post-morbid earnings, </w:t>
      </w:r>
      <w:r w:rsidR="00F91471" w:rsidRPr="00960F80">
        <w:rPr>
          <w:rFonts w:ascii="Arial" w:hAnsi="Arial" w:cs="Arial"/>
          <w:sz w:val="24"/>
          <w:szCs w:val="24"/>
        </w:rPr>
        <w:t xml:space="preserve">defendant’s counsel argued that the plaintiff was not unemployable and would have had the </w:t>
      </w:r>
      <w:r w:rsidR="001E7537" w:rsidRPr="00960F80">
        <w:rPr>
          <w:rFonts w:ascii="Arial" w:hAnsi="Arial" w:cs="Arial"/>
          <w:sz w:val="24"/>
          <w:szCs w:val="24"/>
        </w:rPr>
        <w:t xml:space="preserve">capacity to continue with employment for another </w:t>
      </w:r>
      <w:r w:rsidR="00814F37" w:rsidRPr="00960F80">
        <w:rPr>
          <w:rFonts w:ascii="Arial" w:hAnsi="Arial" w:cs="Arial"/>
          <w:sz w:val="24"/>
          <w:szCs w:val="24"/>
        </w:rPr>
        <w:t xml:space="preserve">40 years. This was supported, so it was asserted, by the </w:t>
      </w:r>
      <w:r w:rsidR="000127F4" w:rsidRPr="00960F80">
        <w:rPr>
          <w:rFonts w:ascii="Arial" w:hAnsi="Arial" w:cs="Arial"/>
          <w:sz w:val="24"/>
          <w:szCs w:val="24"/>
        </w:rPr>
        <w:t xml:space="preserve">findings made in the </w:t>
      </w:r>
      <w:r w:rsidR="00356360" w:rsidRPr="00960F80">
        <w:rPr>
          <w:rFonts w:ascii="Arial" w:hAnsi="Arial" w:cs="Arial"/>
          <w:sz w:val="24"/>
          <w:szCs w:val="24"/>
        </w:rPr>
        <w:t xml:space="preserve">expert </w:t>
      </w:r>
      <w:r w:rsidR="000127F4" w:rsidRPr="00960F80">
        <w:rPr>
          <w:rFonts w:ascii="Arial" w:hAnsi="Arial" w:cs="Arial"/>
          <w:sz w:val="24"/>
          <w:szCs w:val="24"/>
        </w:rPr>
        <w:t>reports.</w:t>
      </w:r>
      <w:r w:rsidR="00576144" w:rsidRPr="00960F80">
        <w:rPr>
          <w:rFonts w:ascii="Arial" w:hAnsi="Arial" w:cs="Arial"/>
          <w:sz w:val="24"/>
          <w:szCs w:val="24"/>
        </w:rPr>
        <w:t xml:space="preserve"> It was possible that the plaintiff could</w:t>
      </w:r>
      <w:r w:rsidR="004C0029" w:rsidRPr="00960F80">
        <w:rPr>
          <w:rFonts w:ascii="Arial" w:hAnsi="Arial" w:cs="Arial"/>
          <w:sz w:val="24"/>
          <w:szCs w:val="24"/>
        </w:rPr>
        <w:t xml:space="preserve"> obtain employment that entailed light</w:t>
      </w:r>
      <w:r w:rsidR="00674CC6" w:rsidRPr="00960F80">
        <w:rPr>
          <w:rFonts w:ascii="Arial" w:hAnsi="Arial" w:cs="Arial"/>
          <w:sz w:val="24"/>
          <w:szCs w:val="24"/>
        </w:rPr>
        <w:t>-</w:t>
      </w:r>
      <w:r w:rsidR="004C0029" w:rsidRPr="00960F80">
        <w:rPr>
          <w:rFonts w:ascii="Arial" w:hAnsi="Arial" w:cs="Arial"/>
          <w:sz w:val="24"/>
          <w:szCs w:val="24"/>
        </w:rPr>
        <w:t>duty work</w:t>
      </w:r>
      <w:r w:rsidR="004F6152" w:rsidRPr="00960F80">
        <w:rPr>
          <w:rFonts w:ascii="Arial" w:hAnsi="Arial" w:cs="Arial"/>
          <w:sz w:val="24"/>
          <w:szCs w:val="24"/>
        </w:rPr>
        <w:t>.</w:t>
      </w:r>
    </w:p>
    <w:p w14:paraId="4D28373A" w14:textId="77777777" w:rsidR="002C6760" w:rsidRPr="002C6760" w:rsidRDefault="002C6760" w:rsidP="002C6760">
      <w:pPr>
        <w:pStyle w:val="ListParagraph"/>
        <w:rPr>
          <w:rFonts w:ascii="Arial" w:hAnsi="Arial" w:cs="Arial"/>
          <w:sz w:val="24"/>
          <w:szCs w:val="24"/>
        </w:rPr>
      </w:pPr>
    </w:p>
    <w:p w14:paraId="1775C794" w14:textId="76341170"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4F6152" w:rsidRPr="00960F80">
        <w:rPr>
          <w:rFonts w:ascii="Arial" w:hAnsi="Arial" w:cs="Arial"/>
          <w:sz w:val="24"/>
          <w:szCs w:val="24"/>
        </w:rPr>
        <w:t xml:space="preserve">Defendant’s counsel </w:t>
      </w:r>
      <w:r w:rsidR="00001CA9" w:rsidRPr="00960F80">
        <w:rPr>
          <w:rFonts w:ascii="Arial" w:hAnsi="Arial" w:cs="Arial"/>
          <w:sz w:val="24"/>
          <w:szCs w:val="24"/>
        </w:rPr>
        <w:t xml:space="preserve">referred to the decision in </w:t>
      </w:r>
      <w:r w:rsidR="00D172FD" w:rsidRPr="00960F80">
        <w:rPr>
          <w:rFonts w:ascii="Arial" w:hAnsi="Arial" w:cs="Arial"/>
          <w:i/>
          <w:iCs/>
          <w:sz w:val="24"/>
          <w:szCs w:val="24"/>
        </w:rPr>
        <w:t>Lekanyane v Road Accident Fund</w:t>
      </w:r>
      <w:r w:rsidR="00D172FD" w:rsidRPr="00960F80">
        <w:rPr>
          <w:rFonts w:ascii="Arial" w:hAnsi="Arial" w:cs="Arial"/>
          <w:sz w:val="24"/>
          <w:szCs w:val="24"/>
        </w:rPr>
        <w:t>,</w:t>
      </w:r>
      <w:r w:rsidR="00D172FD">
        <w:rPr>
          <w:rStyle w:val="FootnoteReference"/>
          <w:rFonts w:ascii="Arial" w:hAnsi="Arial" w:cs="Arial"/>
          <w:sz w:val="24"/>
          <w:szCs w:val="24"/>
        </w:rPr>
        <w:footnoteReference w:id="13"/>
      </w:r>
      <w:r w:rsidR="00B468D0" w:rsidRPr="00960F80">
        <w:rPr>
          <w:rFonts w:ascii="Arial" w:hAnsi="Arial" w:cs="Arial"/>
          <w:sz w:val="24"/>
          <w:szCs w:val="24"/>
        </w:rPr>
        <w:t xml:space="preserve"> </w:t>
      </w:r>
      <w:r w:rsidR="006838D4" w:rsidRPr="00960F80">
        <w:rPr>
          <w:rFonts w:ascii="Arial" w:hAnsi="Arial" w:cs="Arial"/>
          <w:sz w:val="24"/>
          <w:szCs w:val="24"/>
        </w:rPr>
        <w:t xml:space="preserve">where the court dealt with </w:t>
      </w:r>
      <w:r w:rsidR="00B80AF8" w:rsidRPr="00960F80">
        <w:rPr>
          <w:rFonts w:ascii="Arial" w:hAnsi="Arial" w:cs="Arial"/>
          <w:sz w:val="24"/>
          <w:szCs w:val="24"/>
        </w:rPr>
        <w:t xml:space="preserve">a claim brought on behalf of </w:t>
      </w:r>
      <w:r w:rsidR="00217A03" w:rsidRPr="00960F80">
        <w:rPr>
          <w:rFonts w:ascii="Arial" w:hAnsi="Arial" w:cs="Arial"/>
          <w:sz w:val="24"/>
          <w:szCs w:val="24"/>
        </w:rPr>
        <w:t xml:space="preserve">a minor child who had sustained a head injury when struck by a passing motor vehicle. The court accepted the joint minutes of the industrial psychologists, who concluded that the accident had compromised the child’s prospects of employment. However, </w:t>
      </w:r>
      <w:r w:rsidR="00E91F8D" w:rsidRPr="00960F80">
        <w:rPr>
          <w:rFonts w:ascii="Arial" w:hAnsi="Arial" w:cs="Arial"/>
          <w:sz w:val="24"/>
          <w:szCs w:val="24"/>
        </w:rPr>
        <w:t>it went on to</w:t>
      </w:r>
      <w:r w:rsidR="00217A03" w:rsidRPr="00960F80">
        <w:rPr>
          <w:rFonts w:ascii="Arial" w:hAnsi="Arial" w:cs="Arial"/>
          <w:sz w:val="24"/>
          <w:szCs w:val="24"/>
        </w:rPr>
        <w:t xml:space="preserve"> </w:t>
      </w:r>
      <w:r w:rsidR="00E91F8D" w:rsidRPr="00960F80">
        <w:rPr>
          <w:rFonts w:ascii="Arial" w:hAnsi="Arial" w:cs="Arial"/>
          <w:sz w:val="24"/>
          <w:szCs w:val="24"/>
        </w:rPr>
        <w:t xml:space="preserve">find </w:t>
      </w:r>
      <w:r w:rsidR="00217A03" w:rsidRPr="00960F80">
        <w:rPr>
          <w:rFonts w:ascii="Arial" w:hAnsi="Arial" w:cs="Arial"/>
          <w:sz w:val="24"/>
          <w:szCs w:val="24"/>
        </w:rPr>
        <w:t>that the</w:t>
      </w:r>
      <w:r w:rsidR="00E91F8D" w:rsidRPr="00960F80">
        <w:rPr>
          <w:rFonts w:ascii="Arial" w:hAnsi="Arial" w:cs="Arial"/>
          <w:sz w:val="24"/>
          <w:szCs w:val="24"/>
        </w:rPr>
        <w:t xml:space="preserve"> experts </w:t>
      </w:r>
      <w:r w:rsidR="00217A03" w:rsidRPr="00960F80">
        <w:rPr>
          <w:rFonts w:ascii="Arial" w:hAnsi="Arial" w:cs="Arial"/>
          <w:sz w:val="24"/>
          <w:szCs w:val="24"/>
        </w:rPr>
        <w:t xml:space="preserve">did not rule out that </w:t>
      </w:r>
      <w:r w:rsidR="00E91F8D" w:rsidRPr="00960F80">
        <w:rPr>
          <w:rFonts w:ascii="Arial" w:hAnsi="Arial" w:cs="Arial"/>
          <w:sz w:val="24"/>
          <w:szCs w:val="24"/>
        </w:rPr>
        <w:t>t</w:t>
      </w:r>
      <w:r w:rsidR="00217A03" w:rsidRPr="00960F80">
        <w:rPr>
          <w:rFonts w:ascii="Arial" w:hAnsi="Arial" w:cs="Arial"/>
          <w:sz w:val="24"/>
          <w:szCs w:val="24"/>
        </w:rPr>
        <w:t xml:space="preserve">he </w:t>
      </w:r>
      <w:r w:rsidR="00E91F8D" w:rsidRPr="00960F80">
        <w:rPr>
          <w:rFonts w:ascii="Arial" w:hAnsi="Arial" w:cs="Arial"/>
          <w:sz w:val="24"/>
          <w:szCs w:val="24"/>
        </w:rPr>
        <w:t xml:space="preserve">child </w:t>
      </w:r>
      <w:r w:rsidR="00217A03" w:rsidRPr="00960F80">
        <w:rPr>
          <w:rFonts w:ascii="Arial" w:hAnsi="Arial" w:cs="Arial"/>
          <w:sz w:val="24"/>
          <w:szCs w:val="24"/>
        </w:rPr>
        <w:t xml:space="preserve">might be able to find employment, although not necessarily be able to sustain it. </w:t>
      </w:r>
      <w:r w:rsidR="00E91F8D" w:rsidRPr="00960F80">
        <w:rPr>
          <w:rFonts w:ascii="Arial" w:hAnsi="Arial" w:cs="Arial"/>
          <w:sz w:val="24"/>
          <w:szCs w:val="24"/>
        </w:rPr>
        <w:t xml:space="preserve">The plaintiff had also not proved that any </w:t>
      </w:r>
      <w:r w:rsidR="00217A03" w:rsidRPr="00960F80">
        <w:rPr>
          <w:rFonts w:ascii="Arial" w:hAnsi="Arial" w:cs="Arial"/>
          <w:sz w:val="24"/>
          <w:szCs w:val="24"/>
        </w:rPr>
        <w:t xml:space="preserve">learning </w:t>
      </w:r>
      <w:r w:rsidR="00217A03" w:rsidRPr="00960F80">
        <w:rPr>
          <w:rFonts w:ascii="Arial" w:hAnsi="Arial" w:cs="Arial"/>
          <w:sz w:val="24"/>
          <w:szCs w:val="24"/>
        </w:rPr>
        <w:lastRenderedPageBreak/>
        <w:t>disabilities</w:t>
      </w:r>
      <w:r w:rsidR="00E91F8D" w:rsidRPr="00960F80">
        <w:rPr>
          <w:rFonts w:ascii="Arial" w:hAnsi="Arial" w:cs="Arial"/>
          <w:sz w:val="24"/>
          <w:szCs w:val="24"/>
        </w:rPr>
        <w:t xml:space="preserve"> on the part of the child would have prevented him from having completed his schooling.</w:t>
      </w:r>
      <w:r w:rsidR="00E91F8D">
        <w:rPr>
          <w:rStyle w:val="FootnoteReference"/>
          <w:rFonts w:ascii="Arial" w:hAnsi="Arial" w:cs="Arial"/>
          <w:sz w:val="24"/>
          <w:szCs w:val="24"/>
        </w:rPr>
        <w:footnoteReference w:id="14"/>
      </w:r>
      <w:r w:rsidR="00E91F8D" w:rsidRPr="00960F80">
        <w:rPr>
          <w:rFonts w:ascii="Arial" w:hAnsi="Arial" w:cs="Arial"/>
          <w:sz w:val="24"/>
          <w:szCs w:val="24"/>
        </w:rPr>
        <w:t xml:space="preserve"> Accordingly, the court</w:t>
      </w:r>
      <w:r w:rsidR="00116FF8" w:rsidRPr="00960F80">
        <w:rPr>
          <w:rFonts w:ascii="Arial" w:hAnsi="Arial" w:cs="Arial"/>
          <w:sz w:val="24"/>
          <w:szCs w:val="24"/>
        </w:rPr>
        <w:t xml:space="preserve"> </w:t>
      </w:r>
      <w:r w:rsidR="00E91F8D" w:rsidRPr="00960F80">
        <w:rPr>
          <w:rFonts w:ascii="Arial" w:hAnsi="Arial" w:cs="Arial"/>
          <w:sz w:val="24"/>
          <w:szCs w:val="24"/>
        </w:rPr>
        <w:t>applied deductions of 35% and 30% respectively.</w:t>
      </w:r>
    </w:p>
    <w:p w14:paraId="0378A3C1" w14:textId="77777777" w:rsidR="002C6760" w:rsidRPr="002C6760" w:rsidRDefault="002C6760" w:rsidP="002C6760">
      <w:pPr>
        <w:pStyle w:val="ListParagraph"/>
        <w:rPr>
          <w:rFonts w:ascii="Arial" w:hAnsi="Arial" w:cs="Arial"/>
          <w:sz w:val="24"/>
          <w:szCs w:val="24"/>
        </w:rPr>
      </w:pPr>
    </w:p>
    <w:p w14:paraId="7D5047E0" w14:textId="0173E614"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116FF8" w:rsidRPr="00960F80">
        <w:rPr>
          <w:rFonts w:ascii="Arial" w:hAnsi="Arial" w:cs="Arial"/>
          <w:sz w:val="24"/>
          <w:szCs w:val="24"/>
        </w:rPr>
        <w:t xml:space="preserve">Furthermore, defendant’s counsel referred to </w:t>
      </w:r>
      <w:r w:rsidR="00674CC6" w:rsidRPr="00960F80">
        <w:rPr>
          <w:rFonts w:ascii="Arial" w:hAnsi="Arial" w:cs="Arial"/>
          <w:i/>
          <w:iCs/>
          <w:sz w:val="24"/>
          <w:szCs w:val="24"/>
        </w:rPr>
        <w:t>M obo M v Road Accident Fund</w:t>
      </w:r>
      <w:r w:rsidR="00116FF8" w:rsidRPr="00960F80">
        <w:rPr>
          <w:rFonts w:ascii="Arial" w:hAnsi="Arial" w:cs="Arial"/>
          <w:sz w:val="24"/>
          <w:szCs w:val="24"/>
        </w:rPr>
        <w:t>,</w:t>
      </w:r>
      <w:r w:rsidR="00674CC6">
        <w:rPr>
          <w:rStyle w:val="FootnoteReference"/>
          <w:rFonts w:ascii="Arial" w:hAnsi="Arial" w:cs="Arial"/>
          <w:sz w:val="24"/>
          <w:szCs w:val="24"/>
        </w:rPr>
        <w:footnoteReference w:id="15"/>
      </w:r>
      <w:r w:rsidR="00116FF8" w:rsidRPr="00960F80">
        <w:rPr>
          <w:rFonts w:ascii="Arial" w:hAnsi="Arial" w:cs="Arial"/>
          <w:sz w:val="24"/>
          <w:szCs w:val="24"/>
        </w:rPr>
        <w:t xml:space="preserve"> involving a claim brought on behalf of an eight-year-old child who had sustained injuries while travelling as a passenger in a motor vehicle. The court applied deductions of </w:t>
      </w:r>
      <w:r w:rsidR="00674CC6" w:rsidRPr="00960F80">
        <w:rPr>
          <w:rFonts w:ascii="Arial" w:hAnsi="Arial" w:cs="Arial"/>
          <w:sz w:val="24"/>
          <w:szCs w:val="24"/>
        </w:rPr>
        <w:t>20% and 30%, based on the child’s age, ability to work, and prospects of employment.</w:t>
      </w:r>
      <w:r w:rsidR="00674CC6">
        <w:rPr>
          <w:rStyle w:val="FootnoteReference"/>
          <w:rFonts w:ascii="Arial" w:hAnsi="Arial" w:cs="Arial"/>
          <w:sz w:val="24"/>
          <w:szCs w:val="24"/>
        </w:rPr>
        <w:footnoteReference w:id="16"/>
      </w:r>
    </w:p>
    <w:p w14:paraId="4F954D33" w14:textId="77777777" w:rsidR="002C6760" w:rsidRPr="002C6760" w:rsidRDefault="002C6760" w:rsidP="002C6760">
      <w:pPr>
        <w:pStyle w:val="ListParagraph"/>
        <w:rPr>
          <w:rFonts w:ascii="Arial" w:hAnsi="Arial" w:cs="Arial"/>
          <w:sz w:val="24"/>
          <w:szCs w:val="24"/>
        </w:rPr>
      </w:pPr>
    </w:p>
    <w:p w14:paraId="5300F40D" w14:textId="1AAC2A7F"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5F79B7" w:rsidRPr="00960F80">
        <w:rPr>
          <w:rFonts w:ascii="Arial" w:hAnsi="Arial" w:cs="Arial"/>
          <w:sz w:val="24"/>
          <w:szCs w:val="24"/>
        </w:rPr>
        <w:t xml:space="preserve">The immediate </w:t>
      </w:r>
      <w:r w:rsidR="00E00276" w:rsidRPr="00960F80">
        <w:rPr>
          <w:rFonts w:ascii="Arial" w:hAnsi="Arial" w:cs="Arial"/>
          <w:sz w:val="24"/>
          <w:szCs w:val="24"/>
        </w:rPr>
        <w:t>problem with the authorities to which defendant’s counsel referred is that they pertain to a minor child</w:t>
      </w:r>
      <w:r w:rsidR="001873D7" w:rsidRPr="00960F80">
        <w:rPr>
          <w:rFonts w:ascii="Arial" w:hAnsi="Arial" w:cs="Arial"/>
          <w:sz w:val="24"/>
          <w:szCs w:val="24"/>
        </w:rPr>
        <w:t xml:space="preserve">. The plaintiff in the present matter was </w:t>
      </w:r>
      <w:r w:rsidR="009D7F05" w:rsidRPr="00960F80">
        <w:rPr>
          <w:rFonts w:ascii="Arial" w:hAnsi="Arial" w:cs="Arial"/>
          <w:sz w:val="24"/>
          <w:szCs w:val="24"/>
        </w:rPr>
        <w:t>30</w:t>
      </w:r>
      <w:r w:rsidR="00784516" w:rsidRPr="00960F80">
        <w:rPr>
          <w:rFonts w:ascii="Arial" w:hAnsi="Arial" w:cs="Arial"/>
          <w:sz w:val="24"/>
          <w:szCs w:val="24"/>
        </w:rPr>
        <w:t xml:space="preserve"> years of age at the time of the accident.</w:t>
      </w:r>
      <w:r w:rsidR="00841753" w:rsidRPr="00960F80">
        <w:rPr>
          <w:rFonts w:ascii="Arial" w:hAnsi="Arial" w:cs="Arial"/>
          <w:sz w:val="24"/>
          <w:szCs w:val="24"/>
        </w:rPr>
        <w:t xml:space="preserve"> </w:t>
      </w:r>
      <w:r w:rsidR="000F6963" w:rsidRPr="00960F80">
        <w:rPr>
          <w:rFonts w:ascii="Arial" w:hAnsi="Arial" w:cs="Arial"/>
          <w:sz w:val="24"/>
          <w:szCs w:val="24"/>
        </w:rPr>
        <w:t>T</w:t>
      </w:r>
      <w:r w:rsidR="00841753" w:rsidRPr="00960F80">
        <w:rPr>
          <w:rFonts w:ascii="Arial" w:hAnsi="Arial" w:cs="Arial"/>
          <w:sz w:val="24"/>
          <w:szCs w:val="24"/>
        </w:rPr>
        <w:t xml:space="preserve">here are </w:t>
      </w:r>
      <w:r w:rsidR="00B74852" w:rsidRPr="00960F80">
        <w:rPr>
          <w:rFonts w:ascii="Arial" w:hAnsi="Arial" w:cs="Arial"/>
          <w:sz w:val="24"/>
          <w:szCs w:val="24"/>
        </w:rPr>
        <w:t xml:space="preserve">considerably </w:t>
      </w:r>
      <w:r w:rsidR="00841753" w:rsidRPr="00960F80">
        <w:rPr>
          <w:rFonts w:ascii="Arial" w:hAnsi="Arial" w:cs="Arial"/>
          <w:sz w:val="24"/>
          <w:szCs w:val="24"/>
        </w:rPr>
        <w:t>more un</w:t>
      </w:r>
      <w:r w:rsidR="00757B7C" w:rsidRPr="00960F80">
        <w:rPr>
          <w:rFonts w:ascii="Arial" w:hAnsi="Arial" w:cs="Arial"/>
          <w:sz w:val="24"/>
          <w:szCs w:val="24"/>
        </w:rPr>
        <w:t>certainties</w:t>
      </w:r>
      <w:r w:rsidR="00841753" w:rsidRPr="00960F80">
        <w:rPr>
          <w:rFonts w:ascii="Arial" w:hAnsi="Arial" w:cs="Arial"/>
          <w:sz w:val="24"/>
          <w:szCs w:val="24"/>
        </w:rPr>
        <w:t xml:space="preserve"> in relation to the </w:t>
      </w:r>
      <w:r w:rsidR="000F6963" w:rsidRPr="00960F80">
        <w:rPr>
          <w:rFonts w:ascii="Arial" w:hAnsi="Arial" w:cs="Arial"/>
          <w:sz w:val="24"/>
          <w:szCs w:val="24"/>
        </w:rPr>
        <w:t>application of general contingencies</w:t>
      </w:r>
      <w:r w:rsidR="00757B7C" w:rsidRPr="00960F80">
        <w:rPr>
          <w:rFonts w:ascii="Arial" w:hAnsi="Arial" w:cs="Arial"/>
          <w:sz w:val="24"/>
          <w:szCs w:val="24"/>
        </w:rPr>
        <w:t xml:space="preserve"> to the loss of earning capacity for a minor child. His or her true </w:t>
      </w:r>
      <w:r w:rsidR="00406D40" w:rsidRPr="00960F80">
        <w:rPr>
          <w:rFonts w:ascii="Arial" w:hAnsi="Arial" w:cs="Arial"/>
          <w:sz w:val="24"/>
          <w:szCs w:val="24"/>
        </w:rPr>
        <w:t xml:space="preserve">abilities and </w:t>
      </w:r>
      <w:r w:rsidR="00454322" w:rsidRPr="00960F80">
        <w:rPr>
          <w:rFonts w:ascii="Arial" w:hAnsi="Arial" w:cs="Arial"/>
          <w:sz w:val="24"/>
          <w:szCs w:val="24"/>
        </w:rPr>
        <w:t>relatively unknown until later in development</w:t>
      </w:r>
      <w:r w:rsidR="00D0369C" w:rsidRPr="00960F80">
        <w:rPr>
          <w:rFonts w:ascii="Arial" w:hAnsi="Arial" w:cs="Arial"/>
          <w:sz w:val="24"/>
          <w:szCs w:val="24"/>
        </w:rPr>
        <w:t xml:space="preserve">, whereas those of a mature adult are </w:t>
      </w:r>
      <w:r w:rsidR="002E5FDC" w:rsidRPr="00960F80">
        <w:rPr>
          <w:rFonts w:ascii="Arial" w:hAnsi="Arial" w:cs="Arial"/>
          <w:sz w:val="24"/>
          <w:szCs w:val="24"/>
        </w:rPr>
        <w:t>more predictable, notwithstanding the possib</w:t>
      </w:r>
      <w:r w:rsidR="00DE1BBA" w:rsidRPr="00960F80">
        <w:rPr>
          <w:rFonts w:ascii="Arial" w:hAnsi="Arial" w:cs="Arial"/>
          <w:sz w:val="24"/>
          <w:szCs w:val="24"/>
        </w:rPr>
        <w:t xml:space="preserve">le impact </w:t>
      </w:r>
      <w:r w:rsidR="002E5FDC" w:rsidRPr="00960F80">
        <w:rPr>
          <w:rFonts w:ascii="Arial" w:hAnsi="Arial" w:cs="Arial"/>
          <w:sz w:val="24"/>
          <w:szCs w:val="24"/>
        </w:rPr>
        <w:t xml:space="preserve">of </w:t>
      </w:r>
      <w:r w:rsidR="00DE1BBA" w:rsidRPr="00960F80">
        <w:rPr>
          <w:rFonts w:ascii="Arial" w:hAnsi="Arial" w:cs="Arial"/>
          <w:sz w:val="24"/>
          <w:szCs w:val="24"/>
        </w:rPr>
        <w:t xml:space="preserve">further </w:t>
      </w:r>
      <w:r w:rsidR="00507AFF" w:rsidRPr="00960F80">
        <w:rPr>
          <w:rFonts w:ascii="Arial" w:hAnsi="Arial" w:cs="Arial"/>
          <w:sz w:val="24"/>
          <w:szCs w:val="24"/>
        </w:rPr>
        <w:t xml:space="preserve">work experience and training. Consequently, the </w:t>
      </w:r>
      <w:r w:rsidR="00790DF2" w:rsidRPr="00960F80">
        <w:rPr>
          <w:rFonts w:ascii="Arial" w:hAnsi="Arial" w:cs="Arial"/>
          <w:sz w:val="24"/>
          <w:szCs w:val="24"/>
        </w:rPr>
        <w:t xml:space="preserve">authorities in question are not </w:t>
      </w:r>
      <w:r w:rsidR="00E572D5" w:rsidRPr="00960F80">
        <w:rPr>
          <w:rFonts w:ascii="Arial" w:hAnsi="Arial" w:cs="Arial"/>
          <w:sz w:val="24"/>
          <w:szCs w:val="24"/>
        </w:rPr>
        <w:t>helpful.</w:t>
      </w:r>
      <w:r w:rsidR="00507AFF" w:rsidRPr="00960F80">
        <w:rPr>
          <w:rFonts w:ascii="Arial" w:hAnsi="Arial" w:cs="Arial"/>
          <w:sz w:val="24"/>
          <w:szCs w:val="24"/>
        </w:rPr>
        <w:t xml:space="preserve"> </w:t>
      </w:r>
    </w:p>
    <w:p w14:paraId="720B59AF" w14:textId="77777777" w:rsidR="002C6760" w:rsidRPr="002C6760" w:rsidRDefault="002C6760" w:rsidP="002C6760">
      <w:pPr>
        <w:pStyle w:val="ListParagraph"/>
        <w:rPr>
          <w:rFonts w:ascii="Arial" w:hAnsi="Arial" w:cs="Arial"/>
          <w:sz w:val="24"/>
          <w:szCs w:val="24"/>
        </w:rPr>
      </w:pPr>
    </w:p>
    <w:p w14:paraId="50CB0A9A" w14:textId="11E33C48"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9E1606" w:rsidRPr="00960F80">
        <w:rPr>
          <w:rFonts w:ascii="Arial" w:hAnsi="Arial" w:cs="Arial"/>
          <w:sz w:val="24"/>
          <w:szCs w:val="24"/>
        </w:rPr>
        <w:t xml:space="preserve">Defendant’s counsel has also taken issue with the lack of proof in relation to </w:t>
      </w:r>
      <w:r w:rsidR="00CB5A9F" w:rsidRPr="00960F80">
        <w:rPr>
          <w:rFonts w:ascii="Arial" w:hAnsi="Arial" w:cs="Arial"/>
          <w:sz w:val="24"/>
          <w:szCs w:val="24"/>
        </w:rPr>
        <w:t>the plaintiff’s earnings at the time of the accident</w:t>
      </w:r>
      <w:r w:rsidR="002A57C3" w:rsidRPr="00960F80">
        <w:rPr>
          <w:rFonts w:ascii="Arial" w:hAnsi="Arial" w:cs="Arial"/>
          <w:sz w:val="24"/>
          <w:szCs w:val="24"/>
        </w:rPr>
        <w:t xml:space="preserve">, suggesting that this would justify a higher deduction </w:t>
      </w:r>
      <w:r w:rsidR="00C26231" w:rsidRPr="00960F80">
        <w:rPr>
          <w:rFonts w:ascii="Arial" w:hAnsi="Arial" w:cs="Arial"/>
          <w:sz w:val="24"/>
          <w:szCs w:val="24"/>
        </w:rPr>
        <w:t xml:space="preserve">in relation to </w:t>
      </w:r>
      <w:r w:rsidR="002A57C3" w:rsidRPr="00960F80">
        <w:rPr>
          <w:rFonts w:ascii="Arial" w:hAnsi="Arial" w:cs="Arial"/>
          <w:sz w:val="24"/>
          <w:szCs w:val="24"/>
        </w:rPr>
        <w:t xml:space="preserve">pre-morbid </w:t>
      </w:r>
      <w:r w:rsidR="00853857" w:rsidRPr="00960F80">
        <w:rPr>
          <w:rFonts w:ascii="Arial" w:hAnsi="Arial" w:cs="Arial"/>
          <w:sz w:val="24"/>
          <w:szCs w:val="24"/>
        </w:rPr>
        <w:t>earnings</w:t>
      </w:r>
      <w:r w:rsidR="00CB5A9F" w:rsidRPr="00960F80">
        <w:rPr>
          <w:rFonts w:ascii="Arial" w:hAnsi="Arial" w:cs="Arial"/>
          <w:sz w:val="24"/>
          <w:szCs w:val="24"/>
        </w:rPr>
        <w:t xml:space="preserve">. </w:t>
      </w:r>
      <w:r w:rsidR="0015368F" w:rsidRPr="00960F80">
        <w:rPr>
          <w:rFonts w:ascii="Arial" w:hAnsi="Arial" w:cs="Arial"/>
          <w:sz w:val="24"/>
          <w:szCs w:val="24"/>
        </w:rPr>
        <w:t xml:space="preserve">To adopt such a stance, however, contradicts the defendant’s acceptance of the contents of </w:t>
      </w:r>
      <w:r w:rsidR="00EC19AB" w:rsidRPr="00960F80">
        <w:rPr>
          <w:rFonts w:ascii="Arial" w:hAnsi="Arial" w:cs="Arial"/>
          <w:sz w:val="24"/>
          <w:szCs w:val="24"/>
        </w:rPr>
        <w:t xml:space="preserve">both Dr de Kock’s and the MFA </w:t>
      </w:r>
      <w:r w:rsidR="00AA28F3" w:rsidRPr="00960F80">
        <w:rPr>
          <w:rFonts w:ascii="Arial" w:hAnsi="Arial" w:cs="Arial"/>
          <w:sz w:val="24"/>
          <w:szCs w:val="24"/>
        </w:rPr>
        <w:t>reports</w:t>
      </w:r>
      <w:r w:rsidR="0087194C" w:rsidRPr="00960F80">
        <w:rPr>
          <w:rFonts w:ascii="Arial" w:hAnsi="Arial" w:cs="Arial"/>
          <w:sz w:val="24"/>
          <w:szCs w:val="24"/>
        </w:rPr>
        <w:t xml:space="preserve">, which </w:t>
      </w:r>
      <w:r w:rsidR="00C26231" w:rsidRPr="00960F80">
        <w:rPr>
          <w:rFonts w:ascii="Arial" w:hAnsi="Arial" w:cs="Arial"/>
          <w:sz w:val="24"/>
          <w:szCs w:val="24"/>
        </w:rPr>
        <w:t xml:space="preserve">relied upon </w:t>
      </w:r>
      <w:r w:rsidR="00AF759B" w:rsidRPr="00960F80">
        <w:rPr>
          <w:rFonts w:ascii="Arial" w:hAnsi="Arial" w:cs="Arial"/>
          <w:sz w:val="24"/>
          <w:szCs w:val="24"/>
        </w:rPr>
        <w:t xml:space="preserve">monthly </w:t>
      </w:r>
      <w:r w:rsidR="00631ABA" w:rsidRPr="00960F80">
        <w:rPr>
          <w:rFonts w:ascii="Arial" w:hAnsi="Arial" w:cs="Arial"/>
          <w:sz w:val="24"/>
          <w:szCs w:val="24"/>
        </w:rPr>
        <w:t xml:space="preserve">earnings of R 2,000 </w:t>
      </w:r>
      <w:r w:rsidR="00552DA2" w:rsidRPr="00960F80">
        <w:rPr>
          <w:rFonts w:ascii="Arial" w:hAnsi="Arial" w:cs="Arial"/>
          <w:sz w:val="24"/>
          <w:szCs w:val="24"/>
        </w:rPr>
        <w:t xml:space="preserve">at the time of the accident </w:t>
      </w:r>
      <w:r w:rsidR="00631ABA" w:rsidRPr="00960F80">
        <w:rPr>
          <w:rFonts w:ascii="Arial" w:hAnsi="Arial" w:cs="Arial"/>
          <w:sz w:val="24"/>
          <w:szCs w:val="24"/>
        </w:rPr>
        <w:t xml:space="preserve">as the premise upon which to make the </w:t>
      </w:r>
      <w:r w:rsidR="007A62EC" w:rsidRPr="00960F80">
        <w:rPr>
          <w:rFonts w:ascii="Arial" w:hAnsi="Arial" w:cs="Arial"/>
          <w:sz w:val="24"/>
          <w:szCs w:val="24"/>
        </w:rPr>
        <w:t xml:space="preserve">findings </w:t>
      </w:r>
      <w:r w:rsidR="00D01389" w:rsidRPr="00960F80">
        <w:rPr>
          <w:rFonts w:ascii="Arial" w:hAnsi="Arial" w:cs="Arial"/>
          <w:sz w:val="24"/>
          <w:szCs w:val="24"/>
        </w:rPr>
        <w:t xml:space="preserve">indicated. </w:t>
      </w:r>
      <w:r w:rsidR="008739C6" w:rsidRPr="00960F80">
        <w:rPr>
          <w:rFonts w:ascii="Arial" w:hAnsi="Arial" w:cs="Arial"/>
          <w:sz w:val="24"/>
          <w:szCs w:val="24"/>
        </w:rPr>
        <w:t xml:space="preserve">The defendant’s acceptance thereof is a key component of the </w:t>
      </w:r>
      <w:r w:rsidR="005C0496" w:rsidRPr="00960F80">
        <w:rPr>
          <w:rFonts w:ascii="Arial" w:hAnsi="Arial" w:cs="Arial"/>
          <w:sz w:val="24"/>
          <w:szCs w:val="24"/>
        </w:rPr>
        <w:t>special case</w:t>
      </w:r>
      <w:r w:rsidR="008D35DD" w:rsidRPr="00960F80">
        <w:rPr>
          <w:rFonts w:ascii="Arial" w:hAnsi="Arial" w:cs="Arial"/>
          <w:sz w:val="24"/>
          <w:szCs w:val="24"/>
        </w:rPr>
        <w:t xml:space="preserve"> for adjudication. It is not </w:t>
      </w:r>
      <w:r w:rsidR="000C7D0B" w:rsidRPr="00960F80">
        <w:rPr>
          <w:rFonts w:ascii="Arial" w:hAnsi="Arial" w:cs="Arial"/>
          <w:sz w:val="24"/>
          <w:szCs w:val="24"/>
        </w:rPr>
        <w:t xml:space="preserve">possible, at this stage, for the </w:t>
      </w:r>
      <w:r w:rsidR="00217596" w:rsidRPr="00960F80">
        <w:rPr>
          <w:rFonts w:ascii="Arial" w:hAnsi="Arial" w:cs="Arial"/>
          <w:sz w:val="24"/>
          <w:szCs w:val="24"/>
        </w:rPr>
        <w:t>defen</w:t>
      </w:r>
      <w:r w:rsidR="008E45B6" w:rsidRPr="00960F80">
        <w:rPr>
          <w:rFonts w:ascii="Arial" w:hAnsi="Arial" w:cs="Arial"/>
          <w:sz w:val="24"/>
          <w:szCs w:val="24"/>
        </w:rPr>
        <w:t>dant</w:t>
      </w:r>
      <w:r w:rsidR="000C7D0B" w:rsidRPr="00960F80">
        <w:rPr>
          <w:rFonts w:ascii="Arial" w:hAnsi="Arial" w:cs="Arial"/>
          <w:sz w:val="24"/>
          <w:szCs w:val="24"/>
        </w:rPr>
        <w:t xml:space="preserve"> to attempt </w:t>
      </w:r>
      <w:r w:rsidR="009B1218" w:rsidRPr="00960F80">
        <w:rPr>
          <w:rFonts w:ascii="Arial" w:hAnsi="Arial" w:cs="Arial"/>
          <w:sz w:val="24"/>
          <w:szCs w:val="24"/>
        </w:rPr>
        <w:t xml:space="preserve">to distance itself from the </w:t>
      </w:r>
      <w:r w:rsidR="001E5629" w:rsidRPr="00960F80">
        <w:rPr>
          <w:rFonts w:ascii="Arial" w:hAnsi="Arial" w:cs="Arial"/>
          <w:sz w:val="24"/>
          <w:szCs w:val="24"/>
        </w:rPr>
        <w:t>amount in question without a suitable application having been made</w:t>
      </w:r>
      <w:r w:rsidR="006147F1" w:rsidRPr="00960F80">
        <w:rPr>
          <w:rFonts w:ascii="Arial" w:hAnsi="Arial" w:cs="Arial"/>
          <w:sz w:val="24"/>
          <w:szCs w:val="24"/>
        </w:rPr>
        <w:t>.</w:t>
      </w:r>
      <w:r w:rsidR="006147F1">
        <w:rPr>
          <w:rStyle w:val="FootnoteReference"/>
          <w:rFonts w:ascii="Arial" w:hAnsi="Arial" w:cs="Arial"/>
          <w:sz w:val="24"/>
          <w:szCs w:val="24"/>
        </w:rPr>
        <w:footnoteReference w:id="17"/>
      </w:r>
    </w:p>
    <w:p w14:paraId="4C2138A7" w14:textId="77777777" w:rsidR="002C6760" w:rsidRPr="002C6760" w:rsidRDefault="002C6760" w:rsidP="002C6760">
      <w:pPr>
        <w:pStyle w:val="ListParagraph"/>
        <w:rPr>
          <w:rFonts w:ascii="Arial" w:hAnsi="Arial" w:cs="Arial"/>
          <w:sz w:val="24"/>
          <w:szCs w:val="24"/>
        </w:rPr>
      </w:pPr>
    </w:p>
    <w:p w14:paraId="2FEEAEDB" w14:textId="0C6AF651"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C77A2A" w:rsidRPr="00960F80">
        <w:rPr>
          <w:rFonts w:ascii="Arial" w:hAnsi="Arial" w:cs="Arial"/>
          <w:sz w:val="24"/>
          <w:szCs w:val="24"/>
        </w:rPr>
        <w:t>The remainder</w:t>
      </w:r>
      <w:r w:rsidR="0034799D" w:rsidRPr="00960F80">
        <w:rPr>
          <w:rFonts w:ascii="Arial" w:hAnsi="Arial" w:cs="Arial"/>
          <w:sz w:val="24"/>
          <w:szCs w:val="24"/>
        </w:rPr>
        <w:t xml:space="preserve"> of the defendant’s argument rests on the assertion that the plaintiff was not </w:t>
      </w:r>
      <w:r w:rsidR="00024AB1" w:rsidRPr="00960F80">
        <w:rPr>
          <w:rFonts w:ascii="Arial" w:hAnsi="Arial" w:cs="Arial"/>
          <w:sz w:val="24"/>
          <w:szCs w:val="24"/>
        </w:rPr>
        <w:t xml:space="preserve">unemployable and that he still had capacity to work. </w:t>
      </w:r>
      <w:r w:rsidR="000152BF" w:rsidRPr="00960F80">
        <w:rPr>
          <w:rFonts w:ascii="Arial" w:hAnsi="Arial" w:cs="Arial"/>
          <w:sz w:val="24"/>
          <w:szCs w:val="24"/>
        </w:rPr>
        <w:t>This requires closer examination.</w:t>
      </w:r>
    </w:p>
    <w:p w14:paraId="749E3F07" w14:textId="77777777" w:rsidR="002C6760" w:rsidRPr="002C6760" w:rsidRDefault="002C6760" w:rsidP="002C6760">
      <w:pPr>
        <w:pStyle w:val="ListParagraph"/>
        <w:rPr>
          <w:rFonts w:ascii="Arial" w:hAnsi="Arial" w:cs="Arial"/>
          <w:sz w:val="24"/>
          <w:szCs w:val="24"/>
        </w:rPr>
      </w:pPr>
    </w:p>
    <w:p w14:paraId="5F1F2EDB" w14:textId="09D2519C"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A33849" w:rsidRPr="00960F80">
        <w:rPr>
          <w:rFonts w:ascii="Arial" w:hAnsi="Arial" w:cs="Arial"/>
          <w:sz w:val="24"/>
          <w:szCs w:val="24"/>
        </w:rPr>
        <w:t xml:space="preserve">Dr de Kock concluded that </w:t>
      </w:r>
      <w:r w:rsidR="00A079D2" w:rsidRPr="00960F80">
        <w:rPr>
          <w:rFonts w:ascii="Arial" w:hAnsi="Arial" w:cs="Arial"/>
          <w:sz w:val="24"/>
          <w:szCs w:val="24"/>
        </w:rPr>
        <w:t>the plaintiff should, for practical purposes, be regarded as unemployable in the open market on a permanent basis.</w:t>
      </w:r>
      <w:r w:rsidR="007278DB" w:rsidRPr="00960F80">
        <w:rPr>
          <w:rFonts w:ascii="Arial" w:hAnsi="Arial" w:cs="Arial"/>
          <w:sz w:val="24"/>
          <w:szCs w:val="24"/>
        </w:rPr>
        <w:t xml:space="preserve"> He should be regarded as a candidate for a permanent disability grant. </w:t>
      </w:r>
      <w:r w:rsidR="00B83DB3" w:rsidRPr="00960F80">
        <w:rPr>
          <w:rFonts w:ascii="Arial" w:hAnsi="Arial" w:cs="Arial"/>
          <w:sz w:val="24"/>
          <w:szCs w:val="24"/>
        </w:rPr>
        <w:t xml:space="preserve">The findings </w:t>
      </w:r>
      <w:r w:rsidR="00160372" w:rsidRPr="00960F80">
        <w:rPr>
          <w:rFonts w:ascii="Arial" w:hAnsi="Arial" w:cs="Arial"/>
          <w:sz w:val="24"/>
          <w:szCs w:val="24"/>
        </w:rPr>
        <w:t xml:space="preserve">of Dr Olivier, however, </w:t>
      </w:r>
      <w:r w:rsidR="00B83DB3" w:rsidRPr="00960F80">
        <w:rPr>
          <w:rFonts w:ascii="Arial" w:hAnsi="Arial" w:cs="Arial"/>
          <w:sz w:val="24"/>
          <w:szCs w:val="24"/>
        </w:rPr>
        <w:t xml:space="preserve">seem not to be </w:t>
      </w:r>
      <w:r w:rsidR="000756A6" w:rsidRPr="00960F80">
        <w:rPr>
          <w:rFonts w:ascii="Arial" w:hAnsi="Arial" w:cs="Arial"/>
          <w:sz w:val="24"/>
          <w:szCs w:val="24"/>
        </w:rPr>
        <w:t xml:space="preserve">quite </w:t>
      </w:r>
      <w:r w:rsidR="00B83DB3" w:rsidRPr="00960F80">
        <w:rPr>
          <w:rFonts w:ascii="Arial" w:hAnsi="Arial" w:cs="Arial"/>
          <w:sz w:val="24"/>
          <w:szCs w:val="24"/>
        </w:rPr>
        <w:t xml:space="preserve">as </w:t>
      </w:r>
      <w:r w:rsidR="000F4513" w:rsidRPr="00960F80">
        <w:rPr>
          <w:rFonts w:ascii="Arial" w:hAnsi="Arial" w:cs="Arial"/>
          <w:sz w:val="24"/>
          <w:szCs w:val="24"/>
        </w:rPr>
        <w:t xml:space="preserve">extreme. Whereas he confirmed that </w:t>
      </w:r>
      <w:r w:rsidR="00160372" w:rsidRPr="00960F80">
        <w:rPr>
          <w:rFonts w:ascii="Arial" w:hAnsi="Arial" w:cs="Arial"/>
          <w:sz w:val="24"/>
          <w:szCs w:val="24"/>
        </w:rPr>
        <w:t>the plaintiff</w:t>
      </w:r>
      <w:r w:rsidR="000F4513" w:rsidRPr="00960F80">
        <w:rPr>
          <w:rFonts w:ascii="Arial" w:hAnsi="Arial" w:cs="Arial"/>
          <w:sz w:val="24"/>
          <w:szCs w:val="24"/>
        </w:rPr>
        <w:t>’s</w:t>
      </w:r>
      <w:r w:rsidR="005C0ABF" w:rsidRPr="00960F80">
        <w:rPr>
          <w:rFonts w:ascii="Arial" w:hAnsi="Arial" w:cs="Arial"/>
          <w:sz w:val="24"/>
          <w:szCs w:val="24"/>
        </w:rPr>
        <w:t xml:space="preserve"> competitiveness in the open market had been severely jeopardised, he </w:t>
      </w:r>
      <w:r w:rsidR="00C44591" w:rsidRPr="00960F80">
        <w:rPr>
          <w:rFonts w:ascii="Arial" w:hAnsi="Arial" w:cs="Arial"/>
          <w:sz w:val="24"/>
          <w:szCs w:val="24"/>
        </w:rPr>
        <w:t xml:space="preserve">suggested that the plaintiff was still capable of </w:t>
      </w:r>
      <w:r w:rsidR="00B34EC7" w:rsidRPr="00960F80">
        <w:rPr>
          <w:rFonts w:ascii="Arial" w:hAnsi="Arial" w:cs="Arial"/>
          <w:sz w:val="24"/>
          <w:szCs w:val="24"/>
        </w:rPr>
        <w:t xml:space="preserve">light-duty </w:t>
      </w:r>
      <w:r w:rsidR="00C44591" w:rsidRPr="00960F80">
        <w:rPr>
          <w:rFonts w:ascii="Arial" w:hAnsi="Arial" w:cs="Arial"/>
          <w:sz w:val="24"/>
          <w:szCs w:val="24"/>
        </w:rPr>
        <w:t>work</w:t>
      </w:r>
      <w:r w:rsidR="00B34EC7" w:rsidRPr="00960F80">
        <w:rPr>
          <w:rFonts w:ascii="Arial" w:hAnsi="Arial" w:cs="Arial"/>
          <w:sz w:val="24"/>
          <w:szCs w:val="24"/>
        </w:rPr>
        <w:t xml:space="preserve">. Similarly, </w:t>
      </w:r>
      <w:r w:rsidR="00581D80" w:rsidRPr="00960F80">
        <w:rPr>
          <w:rFonts w:ascii="Arial" w:hAnsi="Arial" w:cs="Arial"/>
          <w:sz w:val="24"/>
          <w:szCs w:val="24"/>
        </w:rPr>
        <w:t>Ms Mdlokolo</w:t>
      </w:r>
      <w:r w:rsidR="006F64E9" w:rsidRPr="00960F80">
        <w:rPr>
          <w:rFonts w:ascii="Arial" w:hAnsi="Arial" w:cs="Arial"/>
          <w:sz w:val="24"/>
          <w:szCs w:val="24"/>
        </w:rPr>
        <w:t xml:space="preserve"> indicated that the plaintiff was best suited for work that involved </w:t>
      </w:r>
      <w:r w:rsidR="00632CE7" w:rsidRPr="00960F80">
        <w:rPr>
          <w:rFonts w:ascii="Arial" w:hAnsi="Arial" w:cs="Arial"/>
          <w:sz w:val="24"/>
          <w:szCs w:val="24"/>
        </w:rPr>
        <w:t>standing and the handling of light objects. She did concede, nevertheless, that the</w:t>
      </w:r>
      <w:r w:rsidR="009510AB" w:rsidRPr="00960F80">
        <w:rPr>
          <w:rFonts w:ascii="Arial" w:hAnsi="Arial" w:cs="Arial"/>
          <w:sz w:val="24"/>
          <w:szCs w:val="24"/>
        </w:rPr>
        <w:t xml:space="preserve"> plaintiff’s opportunities for finding gainful employment had been significantly compromised.</w:t>
      </w:r>
    </w:p>
    <w:p w14:paraId="6AB3FED2" w14:textId="77777777" w:rsidR="002C6760" w:rsidRPr="002C6760" w:rsidRDefault="002C6760" w:rsidP="002C6760">
      <w:pPr>
        <w:pStyle w:val="ListParagraph"/>
        <w:rPr>
          <w:rFonts w:ascii="Arial" w:hAnsi="Arial" w:cs="Arial"/>
          <w:sz w:val="24"/>
          <w:szCs w:val="24"/>
        </w:rPr>
      </w:pPr>
    </w:p>
    <w:p w14:paraId="0A123831" w14:textId="5B0959D5"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922DBB" w:rsidRPr="00960F80">
        <w:rPr>
          <w:rFonts w:ascii="Arial" w:hAnsi="Arial" w:cs="Arial"/>
          <w:sz w:val="24"/>
          <w:szCs w:val="24"/>
        </w:rPr>
        <w:t>T</w:t>
      </w:r>
      <w:r w:rsidR="008E1AF6" w:rsidRPr="00960F80">
        <w:rPr>
          <w:rFonts w:ascii="Arial" w:hAnsi="Arial" w:cs="Arial"/>
          <w:sz w:val="24"/>
          <w:szCs w:val="24"/>
        </w:rPr>
        <w:t xml:space="preserve">he plaintiff’s </w:t>
      </w:r>
      <w:r w:rsidR="002E4363" w:rsidRPr="00960F80">
        <w:rPr>
          <w:rFonts w:ascii="Arial" w:hAnsi="Arial" w:cs="Arial"/>
          <w:sz w:val="24"/>
          <w:szCs w:val="24"/>
        </w:rPr>
        <w:t xml:space="preserve">history of learning difficulties, </w:t>
      </w:r>
      <w:r w:rsidR="008E1AF6" w:rsidRPr="00960F80">
        <w:rPr>
          <w:rFonts w:ascii="Arial" w:hAnsi="Arial" w:cs="Arial"/>
          <w:sz w:val="24"/>
          <w:szCs w:val="24"/>
        </w:rPr>
        <w:t xml:space="preserve">lack of </w:t>
      </w:r>
      <w:r w:rsidR="002E4363" w:rsidRPr="00960F80">
        <w:rPr>
          <w:rFonts w:ascii="Arial" w:hAnsi="Arial" w:cs="Arial"/>
          <w:sz w:val="24"/>
          <w:szCs w:val="24"/>
        </w:rPr>
        <w:t xml:space="preserve">education, and </w:t>
      </w:r>
      <w:r w:rsidR="004C5F89" w:rsidRPr="00960F80">
        <w:rPr>
          <w:rFonts w:ascii="Arial" w:hAnsi="Arial" w:cs="Arial"/>
          <w:sz w:val="24"/>
          <w:szCs w:val="24"/>
        </w:rPr>
        <w:t>dependen</w:t>
      </w:r>
      <w:r w:rsidR="002D3913" w:rsidRPr="00960F80">
        <w:rPr>
          <w:rFonts w:ascii="Arial" w:hAnsi="Arial" w:cs="Arial"/>
          <w:sz w:val="24"/>
          <w:szCs w:val="24"/>
        </w:rPr>
        <w:t xml:space="preserve">ce on manual labour as a source of work, as apparent from the reports, </w:t>
      </w:r>
      <w:r w:rsidR="00084D2B" w:rsidRPr="00960F80">
        <w:rPr>
          <w:rFonts w:ascii="Arial" w:hAnsi="Arial" w:cs="Arial"/>
          <w:sz w:val="24"/>
          <w:szCs w:val="24"/>
        </w:rPr>
        <w:t>cannot be ignored. I</w:t>
      </w:r>
      <w:r w:rsidR="002D3913" w:rsidRPr="00960F80">
        <w:rPr>
          <w:rFonts w:ascii="Arial" w:hAnsi="Arial" w:cs="Arial"/>
          <w:sz w:val="24"/>
          <w:szCs w:val="24"/>
        </w:rPr>
        <w:t xml:space="preserve">t would not be unreasonable to </w:t>
      </w:r>
      <w:r w:rsidR="00E7088D" w:rsidRPr="00960F80">
        <w:rPr>
          <w:rFonts w:ascii="Arial" w:hAnsi="Arial" w:cs="Arial"/>
          <w:sz w:val="24"/>
          <w:szCs w:val="24"/>
        </w:rPr>
        <w:t xml:space="preserve">say that </w:t>
      </w:r>
      <w:r w:rsidR="009560D5" w:rsidRPr="00960F80">
        <w:rPr>
          <w:rFonts w:ascii="Arial" w:hAnsi="Arial" w:cs="Arial"/>
          <w:sz w:val="24"/>
          <w:szCs w:val="24"/>
        </w:rPr>
        <w:t>a</w:t>
      </w:r>
      <w:r w:rsidR="00470BBC" w:rsidRPr="00960F80">
        <w:rPr>
          <w:rFonts w:ascii="Arial" w:hAnsi="Arial" w:cs="Arial"/>
          <w:sz w:val="24"/>
          <w:szCs w:val="24"/>
        </w:rPr>
        <w:t xml:space="preserve"> permanent</w:t>
      </w:r>
      <w:r w:rsidR="009560D5" w:rsidRPr="00960F80">
        <w:rPr>
          <w:rFonts w:ascii="Arial" w:hAnsi="Arial" w:cs="Arial"/>
          <w:sz w:val="24"/>
          <w:szCs w:val="24"/>
        </w:rPr>
        <w:t xml:space="preserve"> injury to his arm </w:t>
      </w:r>
      <w:r w:rsidR="00DD5BAC" w:rsidRPr="00960F80">
        <w:rPr>
          <w:rFonts w:ascii="Arial" w:hAnsi="Arial" w:cs="Arial"/>
          <w:sz w:val="24"/>
          <w:szCs w:val="24"/>
        </w:rPr>
        <w:t>has all but ne</w:t>
      </w:r>
      <w:r w:rsidR="00922DBB" w:rsidRPr="00960F80">
        <w:rPr>
          <w:rFonts w:ascii="Arial" w:hAnsi="Arial" w:cs="Arial"/>
          <w:sz w:val="24"/>
          <w:szCs w:val="24"/>
        </w:rPr>
        <w:t xml:space="preserve">gated his </w:t>
      </w:r>
      <w:r w:rsidR="00084D2B" w:rsidRPr="00960F80">
        <w:rPr>
          <w:rFonts w:ascii="Arial" w:hAnsi="Arial" w:cs="Arial"/>
          <w:sz w:val="24"/>
          <w:szCs w:val="24"/>
        </w:rPr>
        <w:t xml:space="preserve">chances of securing </w:t>
      </w:r>
      <w:r w:rsidR="00394FB9" w:rsidRPr="00960F80">
        <w:rPr>
          <w:rFonts w:ascii="Arial" w:hAnsi="Arial" w:cs="Arial"/>
          <w:sz w:val="24"/>
          <w:szCs w:val="24"/>
        </w:rPr>
        <w:t>meaningful employment of any kind, let alone light-duty work</w:t>
      </w:r>
      <w:r w:rsidR="007300BF" w:rsidRPr="00960F80">
        <w:rPr>
          <w:rFonts w:ascii="Arial" w:hAnsi="Arial" w:cs="Arial"/>
          <w:sz w:val="24"/>
          <w:szCs w:val="24"/>
        </w:rPr>
        <w:t xml:space="preserve">. This </w:t>
      </w:r>
      <w:r w:rsidR="00F23455" w:rsidRPr="00960F80">
        <w:rPr>
          <w:rFonts w:ascii="Arial" w:hAnsi="Arial" w:cs="Arial"/>
          <w:sz w:val="24"/>
          <w:szCs w:val="24"/>
        </w:rPr>
        <w:t>is</w:t>
      </w:r>
      <w:r w:rsidR="00394FB9" w:rsidRPr="00960F80">
        <w:rPr>
          <w:rFonts w:ascii="Arial" w:hAnsi="Arial" w:cs="Arial"/>
          <w:sz w:val="24"/>
          <w:szCs w:val="24"/>
        </w:rPr>
        <w:t xml:space="preserve"> </w:t>
      </w:r>
      <w:r w:rsidR="00CA15F6" w:rsidRPr="00960F80">
        <w:rPr>
          <w:rFonts w:ascii="Arial" w:hAnsi="Arial" w:cs="Arial"/>
          <w:sz w:val="24"/>
          <w:szCs w:val="24"/>
        </w:rPr>
        <w:t xml:space="preserve">especially </w:t>
      </w:r>
      <w:r w:rsidR="00F23455" w:rsidRPr="00960F80">
        <w:rPr>
          <w:rFonts w:ascii="Arial" w:hAnsi="Arial" w:cs="Arial"/>
          <w:sz w:val="24"/>
          <w:szCs w:val="24"/>
        </w:rPr>
        <w:t xml:space="preserve">so when </w:t>
      </w:r>
      <w:r w:rsidR="001D6B98" w:rsidRPr="00960F80">
        <w:rPr>
          <w:rFonts w:ascii="Arial" w:hAnsi="Arial" w:cs="Arial"/>
          <w:sz w:val="24"/>
          <w:szCs w:val="24"/>
        </w:rPr>
        <w:t>considering</w:t>
      </w:r>
      <w:r w:rsidR="00E25720" w:rsidRPr="00960F80">
        <w:rPr>
          <w:rFonts w:ascii="Arial" w:hAnsi="Arial" w:cs="Arial"/>
          <w:sz w:val="24"/>
          <w:szCs w:val="24"/>
        </w:rPr>
        <w:t xml:space="preserve"> his </w:t>
      </w:r>
      <w:r w:rsidR="00582BBE" w:rsidRPr="00960F80">
        <w:rPr>
          <w:rFonts w:ascii="Arial" w:hAnsi="Arial" w:cs="Arial"/>
          <w:sz w:val="24"/>
          <w:szCs w:val="24"/>
        </w:rPr>
        <w:t>residence in the rural Eastern Cape, w</w:t>
      </w:r>
      <w:r w:rsidR="009266F5" w:rsidRPr="00960F80">
        <w:rPr>
          <w:rFonts w:ascii="Arial" w:hAnsi="Arial" w:cs="Arial"/>
          <w:sz w:val="24"/>
          <w:szCs w:val="24"/>
        </w:rPr>
        <w:t xml:space="preserve">ith its </w:t>
      </w:r>
      <w:r w:rsidR="00D47085" w:rsidRPr="00960F80">
        <w:rPr>
          <w:rFonts w:ascii="Arial" w:hAnsi="Arial" w:cs="Arial"/>
          <w:sz w:val="24"/>
          <w:szCs w:val="24"/>
        </w:rPr>
        <w:t>notorious</w:t>
      </w:r>
      <w:r w:rsidR="009266F5" w:rsidRPr="00960F80">
        <w:rPr>
          <w:rFonts w:ascii="Arial" w:hAnsi="Arial" w:cs="Arial"/>
          <w:sz w:val="24"/>
          <w:szCs w:val="24"/>
        </w:rPr>
        <w:t xml:space="preserve">ly </w:t>
      </w:r>
      <w:r w:rsidR="00000C2B" w:rsidRPr="00960F80">
        <w:rPr>
          <w:rFonts w:ascii="Arial" w:hAnsi="Arial" w:cs="Arial"/>
          <w:sz w:val="24"/>
          <w:szCs w:val="24"/>
        </w:rPr>
        <w:t xml:space="preserve">high levels of unemployment. There was no indication at all that the plaintiff </w:t>
      </w:r>
      <w:r w:rsidR="001F4AFA" w:rsidRPr="00960F80">
        <w:rPr>
          <w:rFonts w:ascii="Arial" w:hAnsi="Arial" w:cs="Arial"/>
          <w:sz w:val="24"/>
          <w:szCs w:val="24"/>
        </w:rPr>
        <w:t xml:space="preserve">intended to or </w:t>
      </w:r>
      <w:r w:rsidR="00000C2B" w:rsidRPr="00960F80">
        <w:rPr>
          <w:rFonts w:ascii="Arial" w:hAnsi="Arial" w:cs="Arial"/>
          <w:sz w:val="24"/>
          <w:szCs w:val="24"/>
        </w:rPr>
        <w:t>could</w:t>
      </w:r>
      <w:r w:rsidR="001F4AFA" w:rsidRPr="00960F80">
        <w:rPr>
          <w:rFonts w:ascii="Arial" w:hAnsi="Arial" w:cs="Arial"/>
          <w:sz w:val="24"/>
          <w:szCs w:val="24"/>
        </w:rPr>
        <w:t xml:space="preserve"> indeed</w:t>
      </w:r>
      <w:r w:rsidR="00000C2B" w:rsidRPr="00960F80">
        <w:rPr>
          <w:rFonts w:ascii="Arial" w:hAnsi="Arial" w:cs="Arial"/>
          <w:sz w:val="24"/>
          <w:szCs w:val="24"/>
        </w:rPr>
        <w:t xml:space="preserve"> </w:t>
      </w:r>
      <w:r w:rsidR="00AC15AB" w:rsidRPr="00960F80">
        <w:rPr>
          <w:rFonts w:ascii="Arial" w:hAnsi="Arial" w:cs="Arial"/>
          <w:sz w:val="24"/>
          <w:szCs w:val="24"/>
        </w:rPr>
        <w:t xml:space="preserve">search for employment </w:t>
      </w:r>
      <w:r w:rsidR="00ED0DC2" w:rsidRPr="00960F80">
        <w:rPr>
          <w:rFonts w:ascii="Arial" w:hAnsi="Arial" w:cs="Arial"/>
          <w:sz w:val="24"/>
          <w:szCs w:val="24"/>
        </w:rPr>
        <w:t>elsewhere, although this cannot be excluded.</w:t>
      </w:r>
      <w:r w:rsidR="001F4AFA" w:rsidRPr="00960F80">
        <w:rPr>
          <w:rFonts w:ascii="Arial" w:hAnsi="Arial" w:cs="Arial"/>
          <w:sz w:val="24"/>
          <w:szCs w:val="24"/>
        </w:rPr>
        <w:t xml:space="preserve"> Ultimately, </w:t>
      </w:r>
      <w:r w:rsidR="001D6B98" w:rsidRPr="00960F80">
        <w:rPr>
          <w:rFonts w:ascii="Arial" w:hAnsi="Arial" w:cs="Arial"/>
          <w:sz w:val="24"/>
          <w:szCs w:val="24"/>
        </w:rPr>
        <w:t xml:space="preserve">however, the outlook on his post-morbid earning capacity is </w:t>
      </w:r>
      <w:r w:rsidR="00A65191" w:rsidRPr="00960F80">
        <w:rPr>
          <w:rFonts w:ascii="Arial" w:hAnsi="Arial" w:cs="Arial"/>
          <w:sz w:val="24"/>
          <w:szCs w:val="24"/>
        </w:rPr>
        <w:t>bleak.</w:t>
      </w:r>
      <w:r w:rsidR="00F70A9F" w:rsidRPr="00960F80">
        <w:rPr>
          <w:rFonts w:ascii="Arial" w:hAnsi="Arial" w:cs="Arial"/>
          <w:sz w:val="24"/>
          <w:szCs w:val="24"/>
        </w:rPr>
        <w:t xml:space="preserve"> </w:t>
      </w:r>
    </w:p>
    <w:p w14:paraId="4E3102AD" w14:textId="77777777" w:rsidR="002C6760" w:rsidRPr="002C6760" w:rsidRDefault="002C6760" w:rsidP="002C6760">
      <w:pPr>
        <w:pStyle w:val="ListParagraph"/>
        <w:rPr>
          <w:rFonts w:ascii="Arial" w:hAnsi="Arial" w:cs="Arial"/>
          <w:sz w:val="24"/>
          <w:szCs w:val="24"/>
        </w:rPr>
      </w:pPr>
    </w:p>
    <w:p w14:paraId="1E50D410" w14:textId="6FF855D6" w:rsidR="00137313" w:rsidRPr="00960F80" w:rsidRDefault="00960F80" w:rsidP="00960F80">
      <w:pPr>
        <w:spacing w:line="360" w:lineRule="auto"/>
        <w:jc w:val="both"/>
        <w:rPr>
          <w:rFonts w:ascii="Arial" w:hAnsi="Arial" w:cs="Arial"/>
          <w:sz w:val="24"/>
          <w:szCs w:val="24"/>
        </w:rPr>
      </w:pPr>
      <w:r w:rsidRPr="002C6760">
        <w:rPr>
          <w:rFonts w:ascii="Arial" w:hAnsi="Arial" w:cs="Arial"/>
          <w:sz w:val="24"/>
          <w:szCs w:val="24"/>
        </w:rPr>
        <w:t>[32]</w:t>
      </w:r>
      <w:r w:rsidRPr="002C6760">
        <w:rPr>
          <w:rFonts w:ascii="Arial" w:hAnsi="Arial" w:cs="Arial"/>
          <w:sz w:val="24"/>
          <w:szCs w:val="24"/>
        </w:rPr>
        <w:tab/>
      </w:r>
      <w:r w:rsidR="000C4F25" w:rsidRPr="00960F80">
        <w:rPr>
          <w:rFonts w:ascii="Arial" w:hAnsi="Arial" w:cs="Arial"/>
          <w:sz w:val="24"/>
          <w:szCs w:val="24"/>
        </w:rPr>
        <w:t xml:space="preserve">To place absolute </w:t>
      </w:r>
      <w:r w:rsidR="00096390" w:rsidRPr="00960F80">
        <w:rPr>
          <w:rFonts w:ascii="Arial" w:hAnsi="Arial" w:cs="Arial"/>
          <w:sz w:val="24"/>
          <w:szCs w:val="24"/>
        </w:rPr>
        <w:t>rel</w:t>
      </w:r>
      <w:r w:rsidR="00C324C5" w:rsidRPr="00960F80">
        <w:rPr>
          <w:rFonts w:ascii="Arial" w:hAnsi="Arial" w:cs="Arial"/>
          <w:sz w:val="24"/>
          <w:szCs w:val="24"/>
        </w:rPr>
        <w:t>iance</w:t>
      </w:r>
      <w:r w:rsidR="00096390" w:rsidRPr="00960F80">
        <w:rPr>
          <w:rFonts w:ascii="Arial" w:hAnsi="Arial" w:cs="Arial"/>
          <w:sz w:val="24"/>
          <w:szCs w:val="24"/>
        </w:rPr>
        <w:t xml:space="preserve"> on the views of Dr Olivier and Ms </w:t>
      </w:r>
      <w:r w:rsidR="005A3A7B" w:rsidRPr="00960F80">
        <w:rPr>
          <w:rFonts w:ascii="Arial" w:hAnsi="Arial" w:cs="Arial"/>
          <w:sz w:val="24"/>
          <w:szCs w:val="24"/>
        </w:rPr>
        <w:t>Mdlokolo</w:t>
      </w:r>
      <w:r w:rsidR="00EE40F6" w:rsidRPr="00960F80">
        <w:rPr>
          <w:rFonts w:ascii="Arial" w:hAnsi="Arial" w:cs="Arial"/>
          <w:sz w:val="24"/>
          <w:szCs w:val="24"/>
        </w:rPr>
        <w:t xml:space="preserve"> </w:t>
      </w:r>
      <w:r w:rsidR="009F4685" w:rsidRPr="00960F80">
        <w:rPr>
          <w:rFonts w:ascii="Arial" w:hAnsi="Arial" w:cs="Arial"/>
          <w:sz w:val="24"/>
          <w:szCs w:val="24"/>
        </w:rPr>
        <w:t xml:space="preserve">and </w:t>
      </w:r>
      <w:r w:rsidR="00356A21" w:rsidRPr="00960F80">
        <w:rPr>
          <w:rFonts w:ascii="Arial" w:hAnsi="Arial" w:cs="Arial"/>
          <w:sz w:val="24"/>
          <w:szCs w:val="24"/>
        </w:rPr>
        <w:t xml:space="preserve">contend that the plaintiff </w:t>
      </w:r>
      <w:r w:rsidR="00220F17" w:rsidRPr="00960F80">
        <w:rPr>
          <w:rFonts w:ascii="Arial" w:hAnsi="Arial" w:cs="Arial"/>
          <w:sz w:val="24"/>
          <w:szCs w:val="24"/>
        </w:rPr>
        <w:t>was not unemployable</w:t>
      </w:r>
      <w:r w:rsidR="001A7BD6" w:rsidRPr="00960F80">
        <w:rPr>
          <w:rFonts w:ascii="Arial" w:hAnsi="Arial" w:cs="Arial"/>
          <w:sz w:val="24"/>
          <w:szCs w:val="24"/>
        </w:rPr>
        <w:t>,</w:t>
      </w:r>
      <w:r w:rsidR="00220F17" w:rsidRPr="00960F80">
        <w:rPr>
          <w:rFonts w:ascii="Arial" w:hAnsi="Arial" w:cs="Arial"/>
          <w:sz w:val="24"/>
          <w:szCs w:val="24"/>
        </w:rPr>
        <w:t xml:space="preserve"> and still had the capacity to work</w:t>
      </w:r>
      <w:r w:rsidR="001A7BD6" w:rsidRPr="00960F80">
        <w:rPr>
          <w:rFonts w:ascii="Arial" w:hAnsi="Arial" w:cs="Arial"/>
          <w:sz w:val="24"/>
          <w:szCs w:val="24"/>
        </w:rPr>
        <w:t>,</w:t>
      </w:r>
      <w:r w:rsidR="00EE40F6" w:rsidRPr="00960F80">
        <w:rPr>
          <w:rFonts w:ascii="Arial" w:hAnsi="Arial" w:cs="Arial"/>
          <w:sz w:val="24"/>
          <w:szCs w:val="24"/>
        </w:rPr>
        <w:t xml:space="preserve"> </w:t>
      </w:r>
      <w:r w:rsidR="000C4F25" w:rsidRPr="00960F80">
        <w:rPr>
          <w:rFonts w:ascii="Arial" w:hAnsi="Arial" w:cs="Arial"/>
          <w:sz w:val="24"/>
          <w:szCs w:val="24"/>
        </w:rPr>
        <w:t xml:space="preserve">would be </w:t>
      </w:r>
      <w:r w:rsidR="008B168A" w:rsidRPr="00960F80">
        <w:rPr>
          <w:rFonts w:ascii="Arial" w:hAnsi="Arial" w:cs="Arial"/>
          <w:sz w:val="24"/>
          <w:szCs w:val="24"/>
        </w:rPr>
        <w:t xml:space="preserve">misplaced. </w:t>
      </w:r>
      <w:r w:rsidR="00870268" w:rsidRPr="00960F80">
        <w:rPr>
          <w:rFonts w:ascii="Arial" w:hAnsi="Arial" w:cs="Arial"/>
          <w:sz w:val="24"/>
          <w:szCs w:val="24"/>
        </w:rPr>
        <w:t xml:space="preserve">The reality is that </w:t>
      </w:r>
      <w:r w:rsidR="00456D90" w:rsidRPr="00960F80">
        <w:rPr>
          <w:rFonts w:ascii="Arial" w:hAnsi="Arial" w:cs="Arial"/>
          <w:sz w:val="24"/>
          <w:szCs w:val="24"/>
        </w:rPr>
        <w:t xml:space="preserve">for the plaintiff to </w:t>
      </w:r>
      <w:r w:rsidR="00A42227" w:rsidRPr="00960F80">
        <w:rPr>
          <w:rFonts w:ascii="Arial" w:hAnsi="Arial" w:cs="Arial"/>
          <w:sz w:val="24"/>
          <w:szCs w:val="24"/>
        </w:rPr>
        <w:t xml:space="preserve">earn any </w:t>
      </w:r>
      <w:r w:rsidR="003D32C3" w:rsidRPr="00960F80">
        <w:rPr>
          <w:rFonts w:ascii="Arial" w:hAnsi="Arial" w:cs="Arial"/>
          <w:sz w:val="24"/>
          <w:szCs w:val="24"/>
        </w:rPr>
        <w:t xml:space="preserve">fixed </w:t>
      </w:r>
      <w:r w:rsidR="00A42227" w:rsidRPr="00960F80">
        <w:rPr>
          <w:rFonts w:ascii="Arial" w:hAnsi="Arial" w:cs="Arial"/>
          <w:sz w:val="24"/>
          <w:szCs w:val="24"/>
        </w:rPr>
        <w:t xml:space="preserve">income, </w:t>
      </w:r>
      <w:r w:rsidR="00456D90" w:rsidRPr="00960F80">
        <w:rPr>
          <w:rFonts w:ascii="Arial" w:hAnsi="Arial" w:cs="Arial"/>
          <w:sz w:val="24"/>
          <w:szCs w:val="24"/>
        </w:rPr>
        <w:t xml:space="preserve">he would </w:t>
      </w:r>
      <w:r w:rsidR="001229CB" w:rsidRPr="00960F80">
        <w:rPr>
          <w:rFonts w:ascii="Arial" w:hAnsi="Arial" w:cs="Arial"/>
          <w:sz w:val="24"/>
          <w:szCs w:val="24"/>
        </w:rPr>
        <w:t xml:space="preserve">need </w:t>
      </w:r>
      <w:r w:rsidR="00456D90" w:rsidRPr="00960F80">
        <w:rPr>
          <w:rFonts w:ascii="Arial" w:hAnsi="Arial" w:cs="Arial"/>
          <w:sz w:val="24"/>
          <w:szCs w:val="24"/>
        </w:rPr>
        <w:t xml:space="preserve">to find </w:t>
      </w:r>
      <w:r w:rsidR="007B3EEF" w:rsidRPr="00960F80">
        <w:rPr>
          <w:rFonts w:ascii="Arial" w:hAnsi="Arial" w:cs="Arial"/>
          <w:sz w:val="24"/>
          <w:szCs w:val="24"/>
        </w:rPr>
        <w:t>non-manual labour.</w:t>
      </w:r>
      <w:r w:rsidR="003D32C3" w:rsidRPr="00960F80">
        <w:rPr>
          <w:rFonts w:ascii="Arial" w:hAnsi="Arial" w:cs="Arial"/>
          <w:sz w:val="24"/>
          <w:szCs w:val="24"/>
        </w:rPr>
        <w:t xml:space="preserve"> </w:t>
      </w:r>
      <w:r w:rsidR="008823BC" w:rsidRPr="00960F80">
        <w:rPr>
          <w:rFonts w:ascii="Arial" w:hAnsi="Arial" w:cs="Arial"/>
          <w:sz w:val="24"/>
          <w:szCs w:val="24"/>
        </w:rPr>
        <w:t>He may yet succeed, but i</w:t>
      </w:r>
      <w:r w:rsidR="003D32C3" w:rsidRPr="00960F80">
        <w:rPr>
          <w:rFonts w:ascii="Arial" w:hAnsi="Arial" w:cs="Arial"/>
          <w:sz w:val="24"/>
          <w:szCs w:val="24"/>
        </w:rPr>
        <w:t xml:space="preserve">t would be overly optimistic to </w:t>
      </w:r>
      <w:r w:rsidR="00476175" w:rsidRPr="00960F80">
        <w:rPr>
          <w:rFonts w:ascii="Arial" w:hAnsi="Arial" w:cs="Arial"/>
          <w:sz w:val="24"/>
          <w:szCs w:val="24"/>
        </w:rPr>
        <w:t xml:space="preserve">expect this to be </w:t>
      </w:r>
      <w:r w:rsidR="001A7BD6" w:rsidRPr="00960F80">
        <w:rPr>
          <w:rFonts w:ascii="Arial" w:hAnsi="Arial" w:cs="Arial"/>
          <w:sz w:val="24"/>
          <w:szCs w:val="24"/>
        </w:rPr>
        <w:t xml:space="preserve">entirely </w:t>
      </w:r>
      <w:r w:rsidR="00F31AD5" w:rsidRPr="00960F80">
        <w:rPr>
          <w:rFonts w:ascii="Arial" w:hAnsi="Arial" w:cs="Arial"/>
          <w:sz w:val="24"/>
          <w:szCs w:val="24"/>
        </w:rPr>
        <w:t>feasible</w:t>
      </w:r>
      <w:r w:rsidR="00476175" w:rsidRPr="00960F80">
        <w:rPr>
          <w:rFonts w:ascii="Arial" w:hAnsi="Arial" w:cs="Arial"/>
          <w:sz w:val="24"/>
          <w:szCs w:val="24"/>
        </w:rPr>
        <w:t xml:space="preserve"> in the foreseeable future</w:t>
      </w:r>
      <w:r w:rsidR="000422D6" w:rsidRPr="00960F80">
        <w:rPr>
          <w:rFonts w:ascii="Arial" w:hAnsi="Arial" w:cs="Arial"/>
          <w:sz w:val="24"/>
          <w:szCs w:val="24"/>
        </w:rPr>
        <w:t>.</w:t>
      </w:r>
    </w:p>
    <w:p w14:paraId="441767ED" w14:textId="77777777" w:rsidR="000422D6" w:rsidRDefault="000422D6" w:rsidP="009C2330">
      <w:pPr>
        <w:spacing w:line="360" w:lineRule="auto"/>
        <w:rPr>
          <w:rFonts w:ascii="Arial" w:hAnsi="Arial" w:cs="Arial"/>
          <w:sz w:val="24"/>
          <w:szCs w:val="24"/>
        </w:rPr>
      </w:pPr>
    </w:p>
    <w:p w14:paraId="6810BE0A" w14:textId="5A713552" w:rsidR="000422D6" w:rsidRPr="00E34477" w:rsidRDefault="000422D6" w:rsidP="009C2330">
      <w:pPr>
        <w:spacing w:line="360" w:lineRule="auto"/>
        <w:rPr>
          <w:rFonts w:ascii="Arial" w:hAnsi="Arial" w:cs="Arial"/>
          <w:b/>
          <w:bCs/>
          <w:sz w:val="24"/>
          <w:szCs w:val="24"/>
        </w:rPr>
      </w:pPr>
      <w:r w:rsidRPr="00E34477">
        <w:rPr>
          <w:rFonts w:ascii="Arial" w:hAnsi="Arial" w:cs="Arial"/>
          <w:b/>
          <w:bCs/>
          <w:sz w:val="24"/>
          <w:szCs w:val="24"/>
        </w:rPr>
        <w:t>Relief and order to be granted</w:t>
      </w:r>
    </w:p>
    <w:p w14:paraId="3EB69F79" w14:textId="77777777" w:rsidR="000422D6" w:rsidRDefault="000422D6" w:rsidP="009C2330">
      <w:pPr>
        <w:spacing w:line="360" w:lineRule="auto"/>
        <w:rPr>
          <w:rFonts w:ascii="Arial" w:hAnsi="Arial" w:cs="Arial"/>
          <w:sz w:val="24"/>
          <w:szCs w:val="24"/>
        </w:rPr>
      </w:pPr>
    </w:p>
    <w:p w14:paraId="7BB1760E" w14:textId="2865551A"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F05535" w:rsidRPr="00960F80">
        <w:rPr>
          <w:rFonts w:ascii="Arial" w:hAnsi="Arial" w:cs="Arial"/>
          <w:sz w:val="24"/>
          <w:szCs w:val="24"/>
        </w:rPr>
        <w:t xml:space="preserve">For purposes of </w:t>
      </w:r>
      <w:r w:rsidR="0053641C" w:rsidRPr="00960F80">
        <w:rPr>
          <w:rFonts w:ascii="Arial" w:hAnsi="Arial" w:cs="Arial"/>
          <w:sz w:val="24"/>
          <w:szCs w:val="24"/>
        </w:rPr>
        <w:t xml:space="preserve">the determination of general contingencies, the </w:t>
      </w:r>
      <w:r w:rsidR="0053641C" w:rsidRPr="00960F80">
        <w:rPr>
          <w:rFonts w:ascii="Arial" w:hAnsi="Arial" w:cs="Arial"/>
          <w:i/>
          <w:iCs/>
          <w:sz w:val="24"/>
          <w:szCs w:val="24"/>
        </w:rPr>
        <w:t>Quantum Yearbook</w:t>
      </w:r>
      <w:r w:rsidR="00F05535" w:rsidRPr="00960F80">
        <w:rPr>
          <w:rFonts w:ascii="Arial" w:hAnsi="Arial" w:cs="Arial"/>
          <w:sz w:val="24"/>
          <w:szCs w:val="24"/>
        </w:rPr>
        <w:t xml:space="preserve"> remains a reliable guideline.</w:t>
      </w:r>
      <w:r w:rsidR="00F05535">
        <w:rPr>
          <w:rStyle w:val="FootnoteReference"/>
          <w:rFonts w:ascii="Arial" w:hAnsi="Arial" w:cs="Arial"/>
          <w:sz w:val="24"/>
          <w:szCs w:val="24"/>
        </w:rPr>
        <w:footnoteReference w:id="18"/>
      </w:r>
      <w:r w:rsidR="00362BA8" w:rsidRPr="00960F80">
        <w:rPr>
          <w:rFonts w:ascii="Arial" w:hAnsi="Arial" w:cs="Arial"/>
          <w:sz w:val="24"/>
          <w:szCs w:val="24"/>
        </w:rPr>
        <w:t xml:space="preserve"> </w:t>
      </w:r>
      <w:r w:rsidR="00502A34" w:rsidRPr="00960F80">
        <w:rPr>
          <w:rFonts w:ascii="Arial" w:hAnsi="Arial" w:cs="Arial"/>
          <w:sz w:val="24"/>
          <w:szCs w:val="24"/>
        </w:rPr>
        <w:t>The lear</w:t>
      </w:r>
      <w:r w:rsidR="00E62881" w:rsidRPr="00960F80">
        <w:rPr>
          <w:rFonts w:ascii="Arial" w:hAnsi="Arial" w:cs="Arial"/>
          <w:sz w:val="24"/>
          <w:szCs w:val="24"/>
        </w:rPr>
        <w:t>ned authors thereof observe that a</w:t>
      </w:r>
      <w:r w:rsidR="00502A34" w:rsidRPr="00960F80">
        <w:rPr>
          <w:rFonts w:ascii="Arial" w:hAnsi="Arial" w:cs="Arial"/>
          <w:sz w:val="24"/>
          <w:szCs w:val="24"/>
        </w:rPr>
        <w:t xml:space="preserve"> sliding scale </w:t>
      </w:r>
      <w:r w:rsidR="00D713E6" w:rsidRPr="00960F80">
        <w:rPr>
          <w:rFonts w:ascii="Arial" w:hAnsi="Arial" w:cs="Arial"/>
          <w:sz w:val="24"/>
          <w:szCs w:val="24"/>
        </w:rPr>
        <w:t xml:space="preserve">of 25% for a child, 20% for a youth, and 10% in middle age, can </w:t>
      </w:r>
      <w:r w:rsidR="00DB259E" w:rsidRPr="00960F80">
        <w:rPr>
          <w:rFonts w:ascii="Arial" w:hAnsi="Arial" w:cs="Arial"/>
          <w:sz w:val="24"/>
          <w:szCs w:val="24"/>
        </w:rPr>
        <w:t xml:space="preserve">serve as a basis for the deductions to be made. Moreover, </w:t>
      </w:r>
      <w:r w:rsidR="0047324D" w:rsidRPr="00960F80">
        <w:rPr>
          <w:rFonts w:ascii="Arial" w:hAnsi="Arial" w:cs="Arial"/>
          <w:sz w:val="24"/>
          <w:szCs w:val="24"/>
        </w:rPr>
        <w:t xml:space="preserve">the so-called ‘normal contingencies’ of 5% for pre-morbid and </w:t>
      </w:r>
      <w:r w:rsidR="009B2C18" w:rsidRPr="00960F80">
        <w:rPr>
          <w:rFonts w:ascii="Arial" w:hAnsi="Arial" w:cs="Arial"/>
          <w:sz w:val="24"/>
          <w:szCs w:val="24"/>
        </w:rPr>
        <w:t>15% for post-morbid loss of earning capacity still apply</w:t>
      </w:r>
      <w:r w:rsidR="00E34477" w:rsidRPr="00960F80">
        <w:rPr>
          <w:rFonts w:ascii="Arial" w:hAnsi="Arial" w:cs="Arial"/>
          <w:sz w:val="24"/>
          <w:szCs w:val="24"/>
        </w:rPr>
        <w:t>.</w:t>
      </w:r>
      <w:r w:rsidR="00E34477">
        <w:rPr>
          <w:rStyle w:val="FootnoteReference"/>
          <w:rFonts w:ascii="Arial" w:hAnsi="Arial" w:cs="Arial"/>
          <w:sz w:val="24"/>
          <w:szCs w:val="24"/>
        </w:rPr>
        <w:footnoteReference w:id="19"/>
      </w:r>
    </w:p>
    <w:p w14:paraId="69E673A9" w14:textId="77777777" w:rsidR="002C6760" w:rsidRDefault="002C6760" w:rsidP="002C6760">
      <w:pPr>
        <w:pStyle w:val="ListParagraph"/>
        <w:spacing w:line="360" w:lineRule="auto"/>
        <w:ind w:left="0"/>
        <w:jc w:val="both"/>
        <w:rPr>
          <w:rFonts w:ascii="Arial" w:hAnsi="Arial" w:cs="Arial"/>
          <w:sz w:val="24"/>
          <w:szCs w:val="24"/>
        </w:rPr>
      </w:pPr>
    </w:p>
    <w:p w14:paraId="2AA76E9C" w14:textId="5A5EA0F9" w:rsidR="002C6760" w:rsidRPr="00960F80" w:rsidRDefault="00960F80" w:rsidP="00960F80">
      <w:pPr>
        <w:spacing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2520A3" w:rsidRPr="00960F80">
        <w:rPr>
          <w:rFonts w:ascii="Arial" w:hAnsi="Arial" w:cs="Arial"/>
          <w:sz w:val="24"/>
          <w:szCs w:val="24"/>
        </w:rPr>
        <w:t xml:space="preserve">As </w:t>
      </w:r>
      <w:r w:rsidR="00B740C1" w:rsidRPr="00960F80">
        <w:rPr>
          <w:rFonts w:ascii="Arial" w:hAnsi="Arial" w:cs="Arial"/>
          <w:sz w:val="24"/>
          <w:szCs w:val="24"/>
        </w:rPr>
        <w:t xml:space="preserve">complete </w:t>
      </w:r>
      <w:r w:rsidR="002520A3" w:rsidRPr="00960F80">
        <w:rPr>
          <w:rFonts w:ascii="Arial" w:hAnsi="Arial" w:cs="Arial"/>
          <w:sz w:val="24"/>
          <w:szCs w:val="24"/>
        </w:rPr>
        <w:t xml:space="preserve">a </w:t>
      </w:r>
      <w:r w:rsidR="00B740C1" w:rsidRPr="00960F80">
        <w:rPr>
          <w:rFonts w:ascii="Arial" w:hAnsi="Arial" w:cs="Arial"/>
          <w:sz w:val="24"/>
          <w:szCs w:val="24"/>
        </w:rPr>
        <w:t xml:space="preserve">picture </w:t>
      </w:r>
      <w:r w:rsidR="000902AE" w:rsidRPr="00960F80">
        <w:rPr>
          <w:rFonts w:ascii="Arial" w:hAnsi="Arial" w:cs="Arial"/>
          <w:sz w:val="24"/>
          <w:szCs w:val="24"/>
        </w:rPr>
        <w:t xml:space="preserve">as possible </w:t>
      </w:r>
      <w:r w:rsidR="00B740C1" w:rsidRPr="00960F80">
        <w:rPr>
          <w:rFonts w:ascii="Arial" w:hAnsi="Arial" w:cs="Arial"/>
          <w:sz w:val="24"/>
          <w:szCs w:val="24"/>
        </w:rPr>
        <w:t xml:space="preserve">of the </w:t>
      </w:r>
      <w:r w:rsidR="00442B1A" w:rsidRPr="00960F80">
        <w:rPr>
          <w:rFonts w:ascii="Arial" w:hAnsi="Arial" w:cs="Arial"/>
          <w:sz w:val="24"/>
          <w:szCs w:val="24"/>
        </w:rPr>
        <w:t>plaintiff’s</w:t>
      </w:r>
      <w:r w:rsidR="00B740C1" w:rsidRPr="00960F80">
        <w:rPr>
          <w:rFonts w:ascii="Arial" w:hAnsi="Arial" w:cs="Arial"/>
          <w:sz w:val="24"/>
          <w:szCs w:val="24"/>
        </w:rPr>
        <w:t xml:space="preserve"> </w:t>
      </w:r>
      <w:r w:rsidR="00773397" w:rsidRPr="00960F80">
        <w:rPr>
          <w:rFonts w:ascii="Arial" w:hAnsi="Arial" w:cs="Arial"/>
          <w:sz w:val="24"/>
          <w:szCs w:val="24"/>
        </w:rPr>
        <w:t xml:space="preserve">circumstances must </w:t>
      </w:r>
      <w:r w:rsidR="00AE6EE2" w:rsidRPr="00960F80">
        <w:rPr>
          <w:rFonts w:ascii="Arial" w:hAnsi="Arial" w:cs="Arial"/>
          <w:sz w:val="24"/>
          <w:szCs w:val="24"/>
        </w:rPr>
        <w:t xml:space="preserve">influence the assessment of the general contingencies to be </w:t>
      </w:r>
      <w:r w:rsidR="002520A3" w:rsidRPr="00960F80">
        <w:rPr>
          <w:rFonts w:ascii="Arial" w:hAnsi="Arial" w:cs="Arial"/>
          <w:sz w:val="24"/>
          <w:szCs w:val="24"/>
        </w:rPr>
        <w:t xml:space="preserve">applied. To that effect, </w:t>
      </w:r>
      <w:r w:rsidR="004B464F" w:rsidRPr="00960F80">
        <w:rPr>
          <w:rFonts w:ascii="Arial" w:hAnsi="Arial" w:cs="Arial"/>
          <w:sz w:val="24"/>
          <w:szCs w:val="24"/>
        </w:rPr>
        <w:t xml:space="preserve">the court </w:t>
      </w:r>
      <w:r w:rsidR="001C7F33" w:rsidRPr="00960F80">
        <w:rPr>
          <w:rFonts w:ascii="Arial" w:hAnsi="Arial" w:cs="Arial"/>
          <w:sz w:val="24"/>
          <w:szCs w:val="24"/>
        </w:rPr>
        <w:t>has considered</w:t>
      </w:r>
      <w:r w:rsidR="004B464F" w:rsidRPr="00960F80">
        <w:rPr>
          <w:rFonts w:ascii="Arial" w:hAnsi="Arial" w:cs="Arial"/>
          <w:sz w:val="24"/>
          <w:szCs w:val="24"/>
        </w:rPr>
        <w:t xml:space="preserve"> the </w:t>
      </w:r>
      <w:r w:rsidR="001C7F33" w:rsidRPr="00960F80">
        <w:rPr>
          <w:rFonts w:ascii="Arial" w:hAnsi="Arial" w:cs="Arial"/>
          <w:sz w:val="24"/>
          <w:szCs w:val="24"/>
        </w:rPr>
        <w:t>contents of the expert reports, as agreed by the parties. A</w:t>
      </w:r>
      <w:r w:rsidR="00742F8C" w:rsidRPr="00960F80">
        <w:rPr>
          <w:rFonts w:ascii="Arial" w:hAnsi="Arial" w:cs="Arial"/>
          <w:sz w:val="24"/>
          <w:szCs w:val="24"/>
        </w:rPr>
        <w:t xml:space="preserve"> </w:t>
      </w:r>
      <w:r w:rsidR="00AE23DD" w:rsidRPr="00960F80">
        <w:rPr>
          <w:rFonts w:ascii="Arial" w:hAnsi="Arial" w:cs="Arial"/>
          <w:sz w:val="24"/>
          <w:szCs w:val="24"/>
        </w:rPr>
        <w:t xml:space="preserve">deduction of 10% for pre-morbid earnings would appear to </w:t>
      </w:r>
      <w:r w:rsidR="00E2328A" w:rsidRPr="00960F80">
        <w:rPr>
          <w:rFonts w:ascii="Arial" w:hAnsi="Arial" w:cs="Arial"/>
          <w:sz w:val="24"/>
          <w:szCs w:val="24"/>
        </w:rPr>
        <w:t xml:space="preserve">be </w:t>
      </w:r>
      <w:r w:rsidR="00D9008B" w:rsidRPr="00960F80">
        <w:rPr>
          <w:rFonts w:ascii="Arial" w:hAnsi="Arial" w:cs="Arial"/>
          <w:sz w:val="24"/>
          <w:szCs w:val="24"/>
        </w:rPr>
        <w:t>fair and reasonable</w:t>
      </w:r>
      <w:r w:rsidR="00ED118E" w:rsidRPr="00960F80">
        <w:rPr>
          <w:rFonts w:ascii="Arial" w:hAnsi="Arial" w:cs="Arial"/>
          <w:sz w:val="24"/>
          <w:szCs w:val="24"/>
        </w:rPr>
        <w:t xml:space="preserve">, </w:t>
      </w:r>
      <w:r w:rsidR="00102993" w:rsidRPr="00960F80">
        <w:rPr>
          <w:rFonts w:ascii="Arial" w:hAnsi="Arial" w:cs="Arial"/>
          <w:sz w:val="24"/>
          <w:szCs w:val="24"/>
        </w:rPr>
        <w:t>mindful of</w:t>
      </w:r>
      <w:r w:rsidR="00ED118E" w:rsidRPr="00960F80">
        <w:rPr>
          <w:rFonts w:ascii="Arial" w:hAnsi="Arial" w:cs="Arial"/>
          <w:sz w:val="24"/>
          <w:szCs w:val="24"/>
        </w:rPr>
        <w:t xml:space="preserve"> the </w:t>
      </w:r>
      <w:r w:rsidR="00817CC7" w:rsidRPr="00960F80">
        <w:rPr>
          <w:rFonts w:ascii="Arial" w:hAnsi="Arial" w:cs="Arial"/>
          <w:i/>
          <w:iCs/>
          <w:sz w:val="24"/>
          <w:szCs w:val="24"/>
        </w:rPr>
        <w:t>Quantum Yearbook</w:t>
      </w:r>
      <w:r w:rsidR="009D768A" w:rsidRPr="00960F80">
        <w:rPr>
          <w:rFonts w:ascii="Arial" w:hAnsi="Arial" w:cs="Arial"/>
          <w:sz w:val="24"/>
          <w:szCs w:val="24"/>
        </w:rPr>
        <w:t xml:space="preserve"> guidelines and the impact of increasing</w:t>
      </w:r>
      <w:r w:rsidR="00A4551E" w:rsidRPr="00960F80">
        <w:rPr>
          <w:rFonts w:ascii="Arial" w:hAnsi="Arial" w:cs="Arial"/>
          <w:sz w:val="24"/>
          <w:szCs w:val="24"/>
        </w:rPr>
        <w:t xml:space="preserve">ly </w:t>
      </w:r>
      <w:r w:rsidR="00BF0B30" w:rsidRPr="00960F80">
        <w:rPr>
          <w:rFonts w:ascii="Arial" w:hAnsi="Arial" w:cs="Arial"/>
          <w:sz w:val="24"/>
          <w:szCs w:val="24"/>
        </w:rPr>
        <w:t xml:space="preserve">severe </w:t>
      </w:r>
      <w:r w:rsidR="009D768A" w:rsidRPr="00960F80">
        <w:rPr>
          <w:rFonts w:ascii="Arial" w:hAnsi="Arial" w:cs="Arial"/>
          <w:sz w:val="24"/>
          <w:szCs w:val="24"/>
        </w:rPr>
        <w:t xml:space="preserve">socio-economic </w:t>
      </w:r>
      <w:r w:rsidR="00B419F2" w:rsidRPr="00960F80">
        <w:rPr>
          <w:rFonts w:ascii="Arial" w:hAnsi="Arial" w:cs="Arial"/>
          <w:sz w:val="24"/>
          <w:szCs w:val="24"/>
        </w:rPr>
        <w:t>difficulties</w:t>
      </w:r>
      <w:r w:rsidR="001A26AE" w:rsidRPr="00960F80">
        <w:rPr>
          <w:rFonts w:ascii="Arial" w:hAnsi="Arial" w:cs="Arial"/>
          <w:sz w:val="24"/>
          <w:szCs w:val="24"/>
        </w:rPr>
        <w:t xml:space="preserve"> in South Africa</w:t>
      </w:r>
      <w:r w:rsidR="00B419F2" w:rsidRPr="00960F80">
        <w:rPr>
          <w:rFonts w:ascii="Arial" w:hAnsi="Arial" w:cs="Arial"/>
          <w:sz w:val="24"/>
          <w:szCs w:val="24"/>
        </w:rPr>
        <w:t xml:space="preserve">. There is no merit in the </w:t>
      </w:r>
      <w:r w:rsidR="00F06011" w:rsidRPr="00960F80">
        <w:rPr>
          <w:rFonts w:ascii="Arial" w:hAnsi="Arial" w:cs="Arial"/>
          <w:sz w:val="24"/>
          <w:szCs w:val="24"/>
        </w:rPr>
        <w:t>defendant’s argument for a deduction of 50% for post-morbid earnings</w:t>
      </w:r>
      <w:r w:rsidR="00493CA5" w:rsidRPr="00960F80">
        <w:rPr>
          <w:rFonts w:ascii="Arial" w:hAnsi="Arial" w:cs="Arial"/>
          <w:sz w:val="24"/>
          <w:szCs w:val="24"/>
        </w:rPr>
        <w:t>. T</w:t>
      </w:r>
      <w:r w:rsidR="00F06011" w:rsidRPr="00960F80">
        <w:rPr>
          <w:rFonts w:ascii="Arial" w:hAnsi="Arial" w:cs="Arial"/>
          <w:sz w:val="24"/>
          <w:szCs w:val="24"/>
        </w:rPr>
        <w:t xml:space="preserve">he court is satisfied that </w:t>
      </w:r>
      <w:r w:rsidR="00493CA5" w:rsidRPr="00960F80">
        <w:rPr>
          <w:rFonts w:ascii="Arial" w:hAnsi="Arial" w:cs="Arial"/>
          <w:sz w:val="24"/>
          <w:szCs w:val="24"/>
        </w:rPr>
        <w:t xml:space="preserve">a deduction </w:t>
      </w:r>
      <w:r w:rsidR="007C5F5C" w:rsidRPr="00960F80">
        <w:rPr>
          <w:rFonts w:ascii="Arial" w:hAnsi="Arial" w:cs="Arial"/>
          <w:sz w:val="24"/>
          <w:szCs w:val="24"/>
        </w:rPr>
        <w:t xml:space="preserve">of 15%, as contended by </w:t>
      </w:r>
      <w:r w:rsidR="00F06011" w:rsidRPr="00960F80">
        <w:rPr>
          <w:rFonts w:ascii="Arial" w:hAnsi="Arial" w:cs="Arial"/>
          <w:sz w:val="24"/>
          <w:szCs w:val="24"/>
        </w:rPr>
        <w:t>the plaintiff</w:t>
      </w:r>
      <w:r w:rsidR="007C5F5C" w:rsidRPr="00960F80">
        <w:rPr>
          <w:rFonts w:ascii="Arial" w:hAnsi="Arial" w:cs="Arial"/>
          <w:sz w:val="24"/>
          <w:szCs w:val="24"/>
        </w:rPr>
        <w:t xml:space="preserve">, </w:t>
      </w:r>
      <w:r w:rsidR="00EA11E9" w:rsidRPr="00960F80">
        <w:rPr>
          <w:rFonts w:ascii="Arial" w:hAnsi="Arial" w:cs="Arial"/>
          <w:sz w:val="24"/>
          <w:szCs w:val="24"/>
        </w:rPr>
        <w:t>is justified.</w:t>
      </w:r>
      <w:r w:rsidR="00963A97" w:rsidRPr="00960F80">
        <w:rPr>
          <w:rFonts w:ascii="Arial" w:hAnsi="Arial" w:cs="Arial"/>
          <w:sz w:val="24"/>
          <w:szCs w:val="24"/>
        </w:rPr>
        <w:t xml:space="preserve"> </w:t>
      </w:r>
    </w:p>
    <w:p w14:paraId="21D9EAA9" w14:textId="0FBC26D1" w:rsidR="00B01169" w:rsidRPr="00960F80" w:rsidRDefault="00960F80" w:rsidP="00960F80">
      <w:pPr>
        <w:spacing w:line="360" w:lineRule="auto"/>
        <w:jc w:val="both"/>
        <w:rPr>
          <w:rFonts w:ascii="Arial" w:hAnsi="Arial" w:cs="Arial"/>
          <w:sz w:val="24"/>
          <w:szCs w:val="24"/>
        </w:rPr>
      </w:pPr>
      <w:r w:rsidRPr="002C6760">
        <w:rPr>
          <w:rFonts w:ascii="Arial" w:hAnsi="Arial" w:cs="Arial"/>
          <w:sz w:val="24"/>
          <w:szCs w:val="24"/>
        </w:rPr>
        <w:t>[35]</w:t>
      </w:r>
      <w:r w:rsidRPr="002C6760">
        <w:rPr>
          <w:rFonts w:ascii="Arial" w:hAnsi="Arial" w:cs="Arial"/>
          <w:sz w:val="24"/>
          <w:szCs w:val="24"/>
        </w:rPr>
        <w:tab/>
      </w:r>
      <w:r w:rsidR="00B01169" w:rsidRPr="00960F80">
        <w:rPr>
          <w:rFonts w:ascii="Arial" w:hAnsi="Arial" w:cs="Arial"/>
          <w:sz w:val="24"/>
          <w:szCs w:val="24"/>
        </w:rPr>
        <w:t xml:space="preserve">The </w:t>
      </w:r>
      <w:r w:rsidR="00904ACB" w:rsidRPr="00960F80">
        <w:rPr>
          <w:rFonts w:ascii="Arial" w:hAnsi="Arial" w:cs="Arial"/>
          <w:sz w:val="24"/>
          <w:szCs w:val="24"/>
        </w:rPr>
        <w:t>plaintiff’s loss of earning capacity must be adjusted as follows:</w:t>
      </w:r>
    </w:p>
    <w:p w14:paraId="1C289077" w14:textId="77777777" w:rsidR="00012258" w:rsidRDefault="00012258" w:rsidP="009C2330">
      <w:pPr>
        <w:spacing w:line="36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1855"/>
        <w:gridCol w:w="1799"/>
      </w:tblGrid>
      <w:tr w:rsidR="00FE185F" w14:paraId="1294C56C" w14:textId="16117C30" w:rsidTr="00BC55A1">
        <w:tc>
          <w:tcPr>
            <w:tcW w:w="6835" w:type="dxa"/>
            <w:gridSpan w:val="3"/>
          </w:tcPr>
          <w:p w14:paraId="15B48A09" w14:textId="77777777" w:rsidR="00FE185F" w:rsidRPr="003B18CF" w:rsidRDefault="00FE185F" w:rsidP="009C2330">
            <w:pPr>
              <w:spacing w:line="360" w:lineRule="auto"/>
              <w:rPr>
                <w:rFonts w:ascii="Arial" w:hAnsi="Arial" w:cs="Arial"/>
                <w:b/>
                <w:bCs/>
                <w:sz w:val="24"/>
                <w:szCs w:val="24"/>
              </w:rPr>
            </w:pPr>
            <w:r w:rsidRPr="003B18CF">
              <w:rPr>
                <w:rFonts w:ascii="Arial" w:hAnsi="Arial" w:cs="Arial"/>
                <w:b/>
                <w:bCs/>
                <w:sz w:val="24"/>
                <w:szCs w:val="24"/>
              </w:rPr>
              <w:t>Loss of earning capacity</w:t>
            </w:r>
          </w:p>
          <w:p w14:paraId="37D60A17" w14:textId="77777777" w:rsidR="00FE185F" w:rsidRDefault="00FE185F" w:rsidP="009C2330">
            <w:pPr>
              <w:spacing w:line="360" w:lineRule="auto"/>
              <w:rPr>
                <w:rFonts w:ascii="Arial" w:hAnsi="Arial" w:cs="Arial"/>
                <w:sz w:val="24"/>
                <w:szCs w:val="24"/>
              </w:rPr>
            </w:pPr>
          </w:p>
        </w:tc>
      </w:tr>
      <w:tr w:rsidR="00CD50F1" w14:paraId="434144B1" w14:textId="6E99044C" w:rsidTr="00BC55A1">
        <w:tc>
          <w:tcPr>
            <w:tcW w:w="3181" w:type="dxa"/>
          </w:tcPr>
          <w:p w14:paraId="70668C6F" w14:textId="7C8C5DD2" w:rsidR="00CD50F1" w:rsidRDefault="00CD50F1" w:rsidP="009C2330">
            <w:pPr>
              <w:spacing w:line="360" w:lineRule="auto"/>
              <w:rPr>
                <w:rFonts w:ascii="Arial" w:hAnsi="Arial" w:cs="Arial"/>
                <w:sz w:val="24"/>
                <w:szCs w:val="24"/>
              </w:rPr>
            </w:pPr>
            <w:r>
              <w:rPr>
                <w:rFonts w:ascii="Arial" w:hAnsi="Arial" w:cs="Arial"/>
                <w:sz w:val="24"/>
                <w:szCs w:val="24"/>
              </w:rPr>
              <w:t>Pre-morbid</w:t>
            </w:r>
          </w:p>
        </w:tc>
        <w:tc>
          <w:tcPr>
            <w:tcW w:w="1855" w:type="dxa"/>
          </w:tcPr>
          <w:p w14:paraId="2926741D" w14:textId="75745B4C" w:rsidR="00CD50F1" w:rsidRDefault="00CD50F1" w:rsidP="009C2330">
            <w:pPr>
              <w:spacing w:line="360" w:lineRule="auto"/>
              <w:rPr>
                <w:rFonts w:ascii="Arial" w:hAnsi="Arial" w:cs="Arial"/>
                <w:sz w:val="24"/>
                <w:szCs w:val="24"/>
              </w:rPr>
            </w:pPr>
            <w:r>
              <w:rPr>
                <w:rFonts w:ascii="Arial" w:hAnsi="Arial" w:cs="Arial"/>
                <w:sz w:val="24"/>
                <w:szCs w:val="24"/>
              </w:rPr>
              <w:t>R 579,400</w:t>
            </w:r>
          </w:p>
        </w:tc>
        <w:tc>
          <w:tcPr>
            <w:tcW w:w="1799" w:type="dxa"/>
          </w:tcPr>
          <w:p w14:paraId="7F46CFB7" w14:textId="77777777" w:rsidR="00CD50F1" w:rsidRDefault="00CD50F1" w:rsidP="009C2330">
            <w:pPr>
              <w:spacing w:line="360" w:lineRule="auto"/>
              <w:rPr>
                <w:rFonts w:ascii="Arial" w:hAnsi="Arial" w:cs="Arial"/>
                <w:sz w:val="24"/>
                <w:szCs w:val="24"/>
              </w:rPr>
            </w:pPr>
          </w:p>
        </w:tc>
      </w:tr>
      <w:tr w:rsidR="00CD50F1" w14:paraId="58B4FB9F" w14:textId="55B16686" w:rsidTr="00BC55A1">
        <w:tc>
          <w:tcPr>
            <w:tcW w:w="3181" w:type="dxa"/>
          </w:tcPr>
          <w:p w14:paraId="39F51112" w14:textId="49206A86" w:rsidR="00CD50F1" w:rsidRDefault="00CD50F1" w:rsidP="009C2330">
            <w:pPr>
              <w:spacing w:line="360" w:lineRule="auto"/>
              <w:rPr>
                <w:rFonts w:ascii="Arial" w:hAnsi="Arial" w:cs="Arial"/>
                <w:sz w:val="24"/>
                <w:szCs w:val="24"/>
              </w:rPr>
            </w:pPr>
            <w:r>
              <w:rPr>
                <w:rFonts w:ascii="Arial" w:hAnsi="Arial" w:cs="Arial"/>
                <w:sz w:val="24"/>
                <w:szCs w:val="24"/>
              </w:rPr>
              <w:t>Less 10% general contingencies</w:t>
            </w:r>
          </w:p>
        </w:tc>
        <w:tc>
          <w:tcPr>
            <w:tcW w:w="1855" w:type="dxa"/>
          </w:tcPr>
          <w:p w14:paraId="099CA00E" w14:textId="2A0D4631" w:rsidR="00CD50F1" w:rsidRDefault="00CD50F1" w:rsidP="009C2330">
            <w:pPr>
              <w:spacing w:line="360" w:lineRule="auto"/>
              <w:rPr>
                <w:rFonts w:ascii="Arial" w:hAnsi="Arial" w:cs="Arial"/>
                <w:sz w:val="24"/>
                <w:szCs w:val="24"/>
              </w:rPr>
            </w:pPr>
            <w:r>
              <w:rPr>
                <w:rFonts w:ascii="Arial" w:hAnsi="Arial" w:cs="Arial"/>
                <w:sz w:val="24"/>
                <w:szCs w:val="24"/>
              </w:rPr>
              <w:t>(R 57,940)</w:t>
            </w:r>
          </w:p>
        </w:tc>
        <w:tc>
          <w:tcPr>
            <w:tcW w:w="1799" w:type="dxa"/>
          </w:tcPr>
          <w:p w14:paraId="11B70DC1" w14:textId="77777777" w:rsidR="00CD50F1" w:rsidRDefault="00CD50F1" w:rsidP="009C2330">
            <w:pPr>
              <w:spacing w:line="360" w:lineRule="auto"/>
              <w:rPr>
                <w:rFonts w:ascii="Arial" w:hAnsi="Arial" w:cs="Arial"/>
                <w:sz w:val="24"/>
                <w:szCs w:val="24"/>
              </w:rPr>
            </w:pPr>
          </w:p>
        </w:tc>
      </w:tr>
      <w:tr w:rsidR="00CD50F1" w14:paraId="3C21532B" w14:textId="783720D5" w:rsidTr="00BC55A1">
        <w:tc>
          <w:tcPr>
            <w:tcW w:w="3181" w:type="dxa"/>
          </w:tcPr>
          <w:p w14:paraId="3225E7FE" w14:textId="755A3FDD" w:rsidR="00CD50F1" w:rsidRDefault="00CD50F1" w:rsidP="009C2330">
            <w:pPr>
              <w:spacing w:line="360" w:lineRule="auto"/>
              <w:rPr>
                <w:rFonts w:ascii="Arial" w:hAnsi="Arial" w:cs="Arial"/>
                <w:sz w:val="24"/>
                <w:szCs w:val="24"/>
              </w:rPr>
            </w:pPr>
            <w:r>
              <w:rPr>
                <w:rFonts w:ascii="Arial" w:hAnsi="Arial" w:cs="Arial"/>
                <w:sz w:val="24"/>
                <w:szCs w:val="24"/>
              </w:rPr>
              <w:t>Sub-total</w:t>
            </w:r>
          </w:p>
        </w:tc>
        <w:tc>
          <w:tcPr>
            <w:tcW w:w="1855" w:type="dxa"/>
          </w:tcPr>
          <w:p w14:paraId="7341BDF5" w14:textId="6F2D17DD" w:rsidR="00CD50F1" w:rsidRDefault="00C074E6" w:rsidP="009C2330">
            <w:pPr>
              <w:spacing w:line="360" w:lineRule="auto"/>
              <w:rPr>
                <w:rFonts w:ascii="Arial" w:hAnsi="Arial" w:cs="Arial"/>
                <w:sz w:val="24"/>
                <w:szCs w:val="24"/>
              </w:rPr>
            </w:pPr>
            <w:r>
              <w:rPr>
                <w:rFonts w:ascii="Arial" w:hAnsi="Arial" w:cs="Arial"/>
                <w:sz w:val="24"/>
                <w:szCs w:val="24"/>
              </w:rPr>
              <w:t>R 521,460</w:t>
            </w:r>
          </w:p>
        </w:tc>
        <w:tc>
          <w:tcPr>
            <w:tcW w:w="1799" w:type="dxa"/>
          </w:tcPr>
          <w:p w14:paraId="75F37925" w14:textId="06FF776D" w:rsidR="00CD50F1" w:rsidRDefault="00A17351" w:rsidP="009C2330">
            <w:pPr>
              <w:spacing w:line="360" w:lineRule="auto"/>
              <w:rPr>
                <w:rFonts w:ascii="Arial" w:hAnsi="Arial" w:cs="Arial"/>
                <w:sz w:val="24"/>
                <w:szCs w:val="24"/>
              </w:rPr>
            </w:pPr>
            <w:r>
              <w:rPr>
                <w:rFonts w:ascii="Arial" w:hAnsi="Arial" w:cs="Arial"/>
                <w:sz w:val="24"/>
                <w:szCs w:val="24"/>
              </w:rPr>
              <w:t>R 521,460</w:t>
            </w:r>
          </w:p>
        </w:tc>
      </w:tr>
      <w:tr w:rsidR="00CD50F1" w14:paraId="0E146B3F" w14:textId="33BE9564" w:rsidTr="00BC55A1">
        <w:tc>
          <w:tcPr>
            <w:tcW w:w="3181" w:type="dxa"/>
          </w:tcPr>
          <w:p w14:paraId="65807980" w14:textId="77777777" w:rsidR="00CD50F1" w:rsidRDefault="00CD50F1" w:rsidP="009C2330">
            <w:pPr>
              <w:spacing w:line="360" w:lineRule="auto"/>
              <w:rPr>
                <w:rFonts w:ascii="Arial" w:hAnsi="Arial" w:cs="Arial"/>
                <w:sz w:val="24"/>
                <w:szCs w:val="24"/>
              </w:rPr>
            </w:pPr>
          </w:p>
        </w:tc>
        <w:tc>
          <w:tcPr>
            <w:tcW w:w="1855" w:type="dxa"/>
          </w:tcPr>
          <w:p w14:paraId="0CC21E63" w14:textId="77777777" w:rsidR="00CD50F1" w:rsidRDefault="00CD50F1" w:rsidP="009C2330">
            <w:pPr>
              <w:spacing w:line="360" w:lineRule="auto"/>
              <w:rPr>
                <w:rFonts w:ascii="Arial" w:hAnsi="Arial" w:cs="Arial"/>
                <w:sz w:val="24"/>
                <w:szCs w:val="24"/>
              </w:rPr>
            </w:pPr>
          </w:p>
        </w:tc>
        <w:tc>
          <w:tcPr>
            <w:tcW w:w="1799" w:type="dxa"/>
          </w:tcPr>
          <w:p w14:paraId="3175FBAA" w14:textId="77777777" w:rsidR="00CD50F1" w:rsidRDefault="00CD50F1" w:rsidP="009C2330">
            <w:pPr>
              <w:spacing w:line="360" w:lineRule="auto"/>
              <w:rPr>
                <w:rFonts w:ascii="Arial" w:hAnsi="Arial" w:cs="Arial"/>
                <w:sz w:val="24"/>
                <w:szCs w:val="24"/>
              </w:rPr>
            </w:pPr>
          </w:p>
        </w:tc>
      </w:tr>
      <w:tr w:rsidR="00CD50F1" w14:paraId="01152575" w14:textId="78E8739A" w:rsidTr="00BC55A1">
        <w:tc>
          <w:tcPr>
            <w:tcW w:w="3181" w:type="dxa"/>
          </w:tcPr>
          <w:p w14:paraId="40631AF7" w14:textId="608F5DFB" w:rsidR="00CD50F1" w:rsidRDefault="00C074E6" w:rsidP="009C2330">
            <w:pPr>
              <w:spacing w:line="360" w:lineRule="auto"/>
              <w:rPr>
                <w:rFonts w:ascii="Arial" w:hAnsi="Arial" w:cs="Arial"/>
                <w:sz w:val="24"/>
                <w:szCs w:val="24"/>
              </w:rPr>
            </w:pPr>
            <w:r>
              <w:rPr>
                <w:rFonts w:ascii="Arial" w:hAnsi="Arial" w:cs="Arial"/>
                <w:sz w:val="24"/>
                <w:szCs w:val="24"/>
              </w:rPr>
              <w:lastRenderedPageBreak/>
              <w:t>Post-morbid</w:t>
            </w:r>
          </w:p>
        </w:tc>
        <w:tc>
          <w:tcPr>
            <w:tcW w:w="1855" w:type="dxa"/>
          </w:tcPr>
          <w:p w14:paraId="350E4FB8" w14:textId="096265C7" w:rsidR="00CD50F1" w:rsidRDefault="004B0738" w:rsidP="009C2330">
            <w:pPr>
              <w:spacing w:line="360" w:lineRule="auto"/>
              <w:rPr>
                <w:rFonts w:ascii="Arial" w:hAnsi="Arial" w:cs="Arial"/>
                <w:sz w:val="24"/>
                <w:szCs w:val="24"/>
              </w:rPr>
            </w:pPr>
            <w:r>
              <w:rPr>
                <w:rFonts w:ascii="Arial" w:hAnsi="Arial" w:cs="Arial"/>
                <w:sz w:val="24"/>
                <w:szCs w:val="24"/>
              </w:rPr>
              <w:t>R 1,911,900</w:t>
            </w:r>
          </w:p>
        </w:tc>
        <w:tc>
          <w:tcPr>
            <w:tcW w:w="1799" w:type="dxa"/>
          </w:tcPr>
          <w:p w14:paraId="08A7DFF2" w14:textId="77777777" w:rsidR="00CD50F1" w:rsidRDefault="00CD50F1" w:rsidP="009C2330">
            <w:pPr>
              <w:spacing w:line="360" w:lineRule="auto"/>
              <w:rPr>
                <w:rFonts w:ascii="Arial" w:hAnsi="Arial" w:cs="Arial"/>
                <w:sz w:val="24"/>
                <w:szCs w:val="24"/>
              </w:rPr>
            </w:pPr>
          </w:p>
        </w:tc>
      </w:tr>
      <w:tr w:rsidR="00CD50F1" w14:paraId="2B88BD22" w14:textId="4E56AA36" w:rsidTr="00BC55A1">
        <w:tc>
          <w:tcPr>
            <w:tcW w:w="3181" w:type="dxa"/>
          </w:tcPr>
          <w:p w14:paraId="234AA44A" w14:textId="3BA0F934" w:rsidR="00CD50F1" w:rsidRDefault="00E60725" w:rsidP="009C2330">
            <w:pPr>
              <w:spacing w:line="360" w:lineRule="auto"/>
              <w:rPr>
                <w:rFonts w:ascii="Arial" w:hAnsi="Arial" w:cs="Arial"/>
                <w:sz w:val="24"/>
                <w:szCs w:val="24"/>
              </w:rPr>
            </w:pPr>
            <w:r>
              <w:rPr>
                <w:rFonts w:ascii="Arial" w:hAnsi="Arial" w:cs="Arial"/>
                <w:sz w:val="24"/>
                <w:szCs w:val="24"/>
              </w:rPr>
              <w:t>Less 15% general contingencies</w:t>
            </w:r>
          </w:p>
        </w:tc>
        <w:tc>
          <w:tcPr>
            <w:tcW w:w="1855" w:type="dxa"/>
          </w:tcPr>
          <w:p w14:paraId="018D79DD" w14:textId="3206B3F3" w:rsidR="00CD50F1" w:rsidRDefault="00E60725" w:rsidP="009C2330">
            <w:pPr>
              <w:spacing w:line="360" w:lineRule="auto"/>
              <w:rPr>
                <w:rFonts w:ascii="Arial" w:hAnsi="Arial" w:cs="Arial"/>
                <w:sz w:val="24"/>
                <w:szCs w:val="24"/>
              </w:rPr>
            </w:pPr>
            <w:r>
              <w:rPr>
                <w:rFonts w:ascii="Arial" w:hAnsi="Arial" w:cs="Arial"/>
                <w:sz w:val="24"/>
                <w:szCs w:val="24"/>
              </w:rPr>
              <w:t>(</w:t>
            </w:r>
            <w:r w:rsidR="00DF328F">
              <w:rPr>
                <w:rFonts w:ascii="Arial" w:hAnsi="Arial" w:cs="Arial"/>
                <w:sz w:val="24"/>
                <w:szCs w:val="24"/>
              </w:rPr>
              <w:t>R 286 785)</w:t>
            </w:r>
          </w:p>
        </w:tc>
        <w:tc>
          <w:tcPr>
            <w:tcW w:w="1799" w:type="dxa"/>
          </w:tcPr>
          <w:p w14:paraId="6DCCAA8A" w14:textId="77777777" w:rsidR="00CD50F1" w:rsidRDefault="00CD50F1" w:rsidP="009C2330">
            <w:pPr>
              <w:spacing w:line="360" w:lineRule="auto"/>
              <w:rPr>
                <w:rFonts w:ascii="Arial" w:hAnsi="Arial" w:cs="Arial"/>
                <w:sz w:val="24"/>
                <w:szCs w:val="24"/>
              </w:rPr>
            </w:pPr>
          </w:p>
        </w:tc>
      </w:tr>
      <w:tr w:rsidR="00CD50F1" w14:paraId="1BC56F81" w14:textId="4458BCA0" w:rsidTr="00BC55A1">
        <w:tc>
          <w:tcPr>
            <w:tcW w:w="3181" w:type="dxa"/>
          </w:tcPr>
          <w:p w14:paraId="37CC9922" w14:textId="5D69CB6F" w:rsidR="00CD50F1" w:rsidRDefault="0042769C" w:rsidP="009C2330">
            <w:pPr>
              <w:spacing w:line="360" w:lineRule="auto"/>
              <w:rPr>
                <w:rFonts w:ascii="Arial" w:hAnsi="Arial" w:cs="Arial"/>
                <w:sz w:val="24"/>
                <w:szCs w:val="24"/>
              </w:rPr>
            </w:pPr>
            <w:r>
              <w:rPr>
                <w:rFonts w:ascii="Arial" w:hAnsi="Arial" w:cs="Arial"/>
                <w:sz w:val="24"/>
                <w:szCs w:val="24"/>
              </w:rPr>
              <w:t>Sub-total</w:t>
            </w:r>
          </w:p>
        </w:tc>
        <w:tc>
          <w:tcPr>
            <w:tcW w:w="1855" w:type="dxa"/>
          </w:tcPr>
          <w:p w14:paraId="3F1B7788" w14:textId="3E3DD634" w:rsidR="00CD50F1" w:rsidRDefault="00A17351" w:rsidP="009C2330">
            <w:pPr>
              <w:spacing w:line="360" w:lineRule="auto"/>
              <w:rPr>
                <w:rFonts w:ascii="Arial" w:hAnsi="Arial" w:cs="Arial"/>
                <w:sz w:val="24"/>
                <w:szCs w:val="24"/>
              </w:rPr>
            </w:pPr>
            <w:r>
              <w:rPr>
                <w:rFonts w:ascii="Arial" w:hAnsi="Arial" w:cs="Arial"/>
                <w:sz w:val="24"/>
                <w:szCs w:val="24"/>
              </w:rPr>
              <w:t>R 1,625,115</w:t>
            </w:r>
          </w:p>
        </w:tc>
        <w:tc>
          <w:tcPr>
            <w:tcW w:w="1799" w:type="dxa"/>
          </w:tcPr>
          <w:p w14:paraId="1B493133" w14:textId="751F7B37" w:rsidR="00CD50F1" w:rsidRDefault="007F564B" w:rsidP="009C2330">
            <w:pPr>
              <w:spacing w:line="360" w:lineRule="auto"/>
              <w:rPr>
                <w:rFonts w:ascii="Arial" w:hAnsi="Arial" w:cs="Arial"/>
                <w:sz w:val="24"/>
                <w:szCs w:val="24"/>
              </w:rPr>
            </w:pPr>
            <w:r>
              <w:rPr>
                <w:rFonts w:ascii="Arial" w:hAnsi="Arial" w:cs="Arial"/>
                <w:sz w:val="24"/>
                <w:szCs w:val="24"/>
              </w:rPr>
              <w:t>R 1,625,115</w:t>
            </w:r>
          </w:p>
        </w:tc>
      </w:tr>
      <w:tr w:rsidR="003B18CF" w14:paraId="529246E8" w14:textId="77777777" w:rsidTr="00BC55A1">
        <w:tc>
          <w:tcPr>
            <w:tcW w:w="3181" w:type="dxa"/>
          </w:tcPr>
          <w:p w14:paraId="60256465" w14:textId="77777777" w:rsidR="003B18CF" w:rsidRDefault="003B18CF" w:rsidP="009C2330">
            <w:pPr>
              <w:spacing w:line="360" w:lineRule="auto"/>
              <w:rPr>
                <w:rFonts w:ascii="Arial" w:hAnsi="Arial" w:cs="Arial"/>
                <w:sz w:val="24"/>
                <w:szCs w:val="24"/>
              </w:rPr>
            </w:pPr>
          </w:p>
        </w:tc>
        <w:tc>
          <w:tcPr>
            <w:tcW w:w="1855" w:type="dxa"/>
          </w:tcPr>
          <w:p w14:paraId="15895687" w14:textId="77777777" w:rsidR="003B18CF" w:rsidRDefault="003B18CF" w:rsidP="009C2330">
            <w:pPr>
              <w:spacing w:line="360" w:lineRule="auto"/>
              <w:rPr>
                <w:rFonts w:ascii="Arial" w:hAnsi="Arial" w:cs="Arial"/>
                <w:sz w:val="24"/>
                <w:szCs w:val="24"/>
              </w:rPr>
            </w:pPr>
          </w:p>
        </w:tc>
        <w:tc>
          <w:tcPr>
            <w:tcW w:w="1799" w:type="dxa"/>
          </w:tcPr>
          <w:p w14:paraId="50C938BB" w14:textId="77777777" w:rsidR="003B18CF" w:rsidRDefault="003B18CF" w:rsidP="009C2330">
            <w:pPr>
              <w:spacing w:line="360" w:lineRule="auto"/>
              <w:rPr>
                <w:rFonts w:ascii="Arial" w:hAnsi="Arial" w:cs="Arial"/>
                <w:sz w:val="24"/>
                <w:szCs w:val="24"/>
              </w:rPr>
            </w:pPr>
          </w:p>
        </w:tc>
      </w:tr>
      <w:tr w:rsidR="00FE185F" w14:paraId="4707D13B" w14:textId="77777777" w:rsidTr="00BC55A1">
        <w:tc>
          <w:tcPr>
            <w:tcW w:w="5036" w:type="dxa"/>
            <w:gridSpan w:val="2"/>
          </w:tcPr>
          <w:p w14:paraId="1FDFBC6E" w14:textId="034C13F7" w:rsidR="00FE185F" w:rsidRDefault="00FE185F" w:rsidP="009C2330">
            <w:pPr>
              <w:spacing w:line="360" w:lineRule="auto"/>
              <w:rPr>
                <w:rFonts w:ascii="Arial" w:hAnsi="Arial" w:cs="Arial"/>
                <w:sz w:val="24"/>
                <w:szCs w:val="24"/>
              </w:rPr>
            </w:pPr>
            <w:r w:rsidRPr="003B18CF">
              <w:rPr>
                <w:rFonts w:ascii="Arial" w:hAnsi="Arial" w:cs="Arial"/>
                <w:b/>
                <w:bCs/>
                <w:sz w:val="24"/>
                <w:szCs w:val="24"/>
              </w:rPr>
              <w:t>Total</w:t>
            </w:r>
          </w:p>
        </w:tc>
        <w:tc>
          <w:tcPr>
            <w:tcW w:w="1799" w:type="dxa"/>
          </w:tcPr>
          <w:p w14:paraId="654C9BF4" w14:textId="78448F1E" w:rsidR="00FE185F" w:rsidRPr="003B18CF" w:rsidRDefault="00FE185F" w:rsidP="009C2330">
            <w:pPr>
              <w:spacing w:line="360" w:lineRule="auto"/>
              <w:rPr>
                <w:rFonts w:ascii="Arial" w:hAnsi="Arial" w:cs="Arial"/>
                <w:b/>
                <w:bCs/>
                <w:sz w:val="24"/>
                <w:szCs w:val="24"/>
              </w:rPr>
            </w:pPr>
            <w:r w:rsidRPr="003B18CF">
              <w:rPr>
                <w:rFonts w:ascii="Arial" w:hAnsi="Arial" w:cs="Arial"/>
                <w:b/>
                <w:bCs/>
                <w:sz w:val="24"/>
                <w:szCs w:val="24"/>
              </w:rPr>
              <w:t>R 2,146,575</w:t>
            </w:r>
          </w:p>
        </w:tc>
      </w:tr>
    </w:tbl>
    <w:p w14:paraId="2FD3C386" w14:textId="77777777" w:rsidR="00904ACB" w:rsidRDefault="00904ACB" w:rsidP="009C2330">
      <w:pPr>
        <w:spacing w:line="360" w:lineRule="auto"/>
        <w:rPr>
          <w:rFonts w:ascii="Arial" w:hAnsi="Arial" w:cs="Arial"/>
          <w:sz w:val="24"/>
          <w:szCs w:val="24"/>
        </w:rPr>
      </w:pPr>
    </w:p>
    <w:p w14:paraId="307D5A98" w14:textId="725367A3" w:rsidR="00BC55A1" w:rsidRPr="00960F80" w:rsidRDefault="00960F80" w:rsidP="00960F80">
      <w:pPr>
        <w:spacing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7E4606" w:rsidRPr="00960F80">
        <w:rPr>
          <w:rFonts w:ascii="Arial" w:hAnsi="Arial" w:cs="Arial"/>
          <w:sz w:val="24"/>
          <w:szCs w:val="24"/>
        </w:rPr>
        <w:t xml:space="preserve">In relation to </w:t>
      </w:r>
      <w:r w:rsidR="00E34907" w:rsidRPr="00960F80">
        <w:rPr>
          <w:rFonts w:ascii="Arial" w:hAnsi="Arial" w:cs="Arial"/>
          <w:sz w:val="24"/>
          <w:szCs w:val="24"/>
        </w:rPr>
        <w:t xml:space="preserve">costs, </w:t>
      </w:r>
      <w:r w:rsidR="007146C8" w:rsidRPr="00960F80">
        <w:rPr>
          <w:rFonts w:ascii="Arial" w:hAnsi="Arial" w:cs="Arial"/>
          <w:sz w:val="24"/>
          <w:szCs w:val="24"/>
        </w:rPr>
        <w:t>the plaintiff has been substantially successful and there is no reason why he should not be entitled thereto. The only remaining issue</w:t>
      </w:r>
      <w:r w:rsidR="009E4D2E" w:rsidRPr="00960F80">
        <w:rPr>
          <w:rFonts w:ascii="Arial" w:hAnsi="Arial" w:cs="Arial"/>
          <w:sz w:val="24"/>
          <w:szCs w:val="24"/>
        </w:rPr>
        <w:t xml:space="preserve"> </w:t>
      </w:r>
      <w:r w:rsidR="0044013F" w:rsidRPr="00960F80">
        <w:rPr>
          <w:rFonts w:ascii="Arial" w:hAnsi="Arial" w:cs="Arial"/>
          <w:sz w:val="24"/>
          <w:szCs w:val="24"/>
        </w:rPr>
        <w:t xml:space="preserve">is </w:t>
      </w:r>
      <w:r w:rsidR="009E4D2E" w:rsidRPr="00960F80">
        <w:rPr>
          <w:rFonts w:ascii="Arial" w:hAnsi="Arial" w:cs="Arial"/>
          <w:sz w:val="24"/>
          <w:szCs w:val="24"/>
        </w:rPr>
        <w:t xml:space="preserve">the question of </w:t>
      </w:r>
      <w:r w:rsidR="0044013F" w:rsidRPr="00960F80">
        <w:rPr>
          <w:rFonts w:ascii="Arial" w:hAnsi="Arial" w:cs="Arial"/>
          <w:sz w:val="24"/>
          <w:szCs w:val="24"/>
        </w:rPr>
        <w:t>liability for the p</w:t>
      </w:r>
      <w:r w:rsidR="00A52F6A" w:rsidRPr="00960F80">
        <w:rPr>
          <w:rFonts w:ascii="Arial" w:hAnsi="Arial" w:cs="Arial"/>
          <w:sz w:val="24"/>
          <w:szCs w:val="24"/>
        </w:rPr>
        <w:t xml:space="preserve">ostponement on </w:t>
      </w:r>
      <w:r w:rsidR="00FE0E47" w:rsidRPr="00960F80">
        <w:rPr>
          <w:rFonts w:ascii="Arial" w:hAnsi="Arial" w:cs="Arial"/>
          <w:sz w:val="24"/>
          <w:szCs w:val="24"/>
        </w:rPr>
        <w:t xml:space="preserve">28 November 2022. This was done to allow the defendant to </w:t>
      </w:r>
      <w:r w:rsidR="00965E36" w:rsidRPr="00960F80">
        <w:rPr>
          <w:rFonts w:ascii="Arial" w:hAnsi="Arial" w:cs="Arial"/>
          <w:sz w:val="24"/>
          <w:szCs w:val="24"/>
        </w:rPr>
        <w:t>prepare and submit heads of argument</w:t>
      </w:r>
      <w:r w:rsidR="00C1107F" w:rsidRPr="00960F80">
        <w:rPr>
          <w:rFonts w:ascii="Arial" w:hAnsi="Arial" w:cs="Arial"/>
          <w:sz w:val="24"/>
          <w:szCs w:val="24"/>
        </w:rPr>
        <w:t xml:space="preserve">. Similarly, there </w:t>
      </w:r>
      <w:r w:rsidR="00532BA6" w:rsidRPr="00960F80">
        <w:rPr>
          <w:rFonts w:ascii="Arial" w:hAnsi="Arial" w:cs="Arial"/>
          <w:sz w:val="24"/>
          <w:szCs w:val="24"/>
        </w:rPr>
        <w:t>is no reason why the plaintiff should not be entitled to recover the costs thereof.</w:t>
      </w:r>
    </w:p>
    <w:p w14:paraId="230F6856" w14:textId="77777777" w:rsidR="00BC55A1" w:rsidRDefault="00BC55A1" w:rsidP="00BC55A1">
      <w:pPr>
        <w:pStyle w:val="ListParagraph"/>
        <w:spacing w:line="360" w:lineRule="auto"/>
        <w:ind w:left="0"/>
        <w:jc w:val="both"/>
        <w:rPr>
          <w:rFonts w:ascii="Arial" w:hAnsi="Arial" w:cs="Arial"/>
          <w:sz w:val="24"/>
          <w:szCs w:val="24"/>
        </w:rPr>
      </w:pPr>
    </w:p>
    <w:p w14:paraId="6BF5B426" w14:textId="7FDEF054" w:rsidR="00532BA6" w:rsidRPr="00960F80" w:rsidRDefault="00960F80" w:rsidP="00960F80">
      <w:pPr>
        <w:spacing w:line="360" w:lineRule="auto"/>
        <w:jc w:val="both"/>
        <w:rPr>
          <w:rFonts w:ascii="Arial" w:hAnsi="Arial" w:cs="Arial"/>
          <w:sz w:val="24"/>
          <w:szCs w:val="24"/>
        </w:rPr>
      </w:pPr>
      <w:r w:rsidRPr="00BC55A1">
        <w:rPr>
          <w:rFonts w:ascii="Arial" w:hAnsi="Arial" w:cs="Arial"/>
          <w:sz w:val="24"/>
          <w:szCs w:val="24"/>
        </w:rPr>
        <w:t>[37]</w:t>
      </w:r>
      <w:r w:rsidRPr="00BC55A1">
        <w:rPr>
          <w:rFonts w:ascii="Arial" w:hAnsi="Arial" w:cs="Arial"/>
          <w:sz w:val="24"/>
          <w:szCs w:val="24"/>
        </w:rPr>
        <w:tab/>
      </w:r>
      <w:r w:rsidR="00532BA6" w:rsidRPr="00960F80">
        <w:rPr>
          <w:rFonts w:ascii="Arial" w:hAnsi="Arial" w:cs="Arial"/>
          <w:sz w:val="24"/>
          <w:szCs w:val="24"/>
        </w:rPr>
        <w:t>The following order is made:</w:t>
      </w:r>
    </w:p>
    <w:p w14:paraId="66ACCFDC" w14:textId="77777777" w:rsidR="00A903D5" w:rsidRDefault="00A903D5" w:rsidP="00A903D5">
      <w:pPr>
        <w:pStyle w:val="ListParagraph"/>
        <w:spacing w:line="360" w:lineRule="auto"/>
        <w:rPr>
          <w:rFonts w:ascii="Arial" w:hAnsi="Arial" w:cs="Arial"/>
          <w:sz w:val="24"/>
          <w:szCs w:val="24"/>
        </w:rPr>
      </w:pPr>
    </w:p>
    <w:p w14:paraId="74A542BD" w14:textId="02F1D527" w:rsidR="00BC55A1" w:rsidRPr="00960F80" w:rsidRDefault="00960F80" w:rsidP="00960F80">
      <w:pPr>
        <w:spacing w:line="360" w:lineRule="auto"/>
        <w:ind w:left="720" w:hanging="11"/>
        <w:jc w:val="both"/>
        <w:rPr>
          <w:rFonts w:ascii="Arial" w:hAnsi="Arial" w:cs="Arial"/>
          <w:sz w:val="24"/>
          <w:szCs w:val="24"/>
        </w:rPr>
      </w:pPr>
      <w:r>
        <w:rPr>
          <w:rFonts w:ascii="Arial" w:hAnsi="Arial" w:cs="Arial"/>
          <w:sz w:val="24"/>
          <w:szCs w:val="24"/>
        </w:rPr>
        <w:t>(a)</w:t>
      </w:r>
      <w:r>
        <w:rPr>
          <w:rFonts w:ascii="Arial" w:hAnsi="Arial" w:cs="Arial"/>
          <w:sz w:val="24"/>
          <w:szCs w:val="24"/>
        </w:rPr>
        <w:tab/>
      </w:r>
      <w:r w:rsidR="00CE5E8D" w:rsidRPr="00960F80">
        <w:rPr>
          <w:rFonts w:ascii="Arial" w:hAnsi="Arial" w:cs="Arial"/>
          <w:sz w:val="24"/>
          <w:szCs w:val="24"/>
        </w:rPr>
        <w:t xml:space="preserve">the </w:t>
      </w:r>
      <w:r w:rsidR="00202495" w:rsidRPr="00960F80">
        <w:rPr>
          <w:rFonts w:ascii="Arial" w:hAnsi="Arial" w:cs="Arial"/>
          <w:sz w:val="24"/>
          <w:szCs w:val="24"/>
        </w:rPr>
        <w:t xml:space="preserve">defendant is </w:t>
      </w:r>
      <w:r w:rsidR="008628D4" w:rsidRPr="00960F80">
        <w:rPr>
          <w:rFonts w:ascii="Arial" w:hAnsi="Arial" w:cs="Arial"/>
          <w:sz w:val="24"/>
          <w:szCs w:val="24"/>
        </w:rPr>
        <w:t xml:space="preserve">directed to pay </w:t>
      </w:r>
      <w:r w:rsidR="003A3DA5" w:rsidRPr="00960F80">
        <w:rPr>
          <w:rFonts w:ascii="Arial" w:hAnsi="Arial" w:cs="Arial"/>
          <w:sz w:val="24"/>
          <w:szCs w:val="24"/>
        </w:rPr>
        <w:t xml:space="preserve">to the plaintiff </w:t>
      </w:r>
      <w:r w:rsidR="008628D4" w:rsidRPr="00960F80">
        <w:rPr>
          <w:rFonts w:ascii="Arial" w:hAnsi="Arial" w:cs="Arial"/>
          <w:sz w:val="24"/>
          <w:szCs w:val="24"/>
        </w:rPr>
        <w:t xml:space="preserve">the amount of R 2,146,575 </w:t>
      </w:r>
      <w:r w:rsidR="00DF0ECC" w:rsidRPr="00960F80">
        <w:rPr>
          <w:rFonts w:ascii="Arial" w:hAnsi="Arial" w:cs="Arial"/>
          <w:sz w:val="24"/>
          <w:szCs w:val="24"/>
        </w:rPr>
        <w:t xml:space="preserve">as damages </w:t>
      </w:r>
      <w:r w:rsidR="003A3DA5" w:rsidRPr="00960F80">
        <w:rPr>
          <w:rFonts w:ascii="Arial" w:hAnsi="Arial" w:cs="Arial"/>
          <w:sz w:val="24"/>
          <w:szCs w:val="24"/>
        </w:rPr>
        <w:t xml:space="preserve">for </w:t>
      </w:r>
      <w:r w:rsidR="00DF0ECC" w:rsidRPr="00960F80">
        <w:rPr>
          <w:rFonts w:ascii="Arial" w:hAnsi="Arial" w:cs="Arial"/>
          <w:sz w:val="24"/>
          <w:szCs w:val="24"/>
        </w:rPr>
        <w:t xml:space="preserve">the </w:t>
      </w:r>
      <w:r w:rsidR="003A3DA5" w:rsidRPr="00960F80">
        <w:rPr>
          <w:rFonts w:ascii="Arial" w:hAnsi="Arial" w:cs="Arial"/>
          <w:sz w:val="24"/>
          <w:szCs w:val="24"/>
        </w:rPr>
        <w:t>loss of earning cap</w:t>
      </w:r>
      <w:r w:rsidR="00CF72B5" w:rsidRPr="00960F80">
        <w:rPr>
          <w:rFonts w:ascii="Arial" w:hAnsi="Arial" w:cs="Arial"/>
          <w:sz w:val="24"/>
          <w:szCs w:val="24"/>
        </w:rPr>
        <w:t xml:space="preserve">acity </w:t>
      </w:r>
      <w:r w:rsidR="00222718" w:rsidRPr="00960F80">
        <w:rPr>
          <w:rFonts w:ascii="Arial" w:hAnsi="Arial" w:cs="Arial"/>
          <w:sz w:val="24"/>
          <w:szCs w:val="24"/>
        </w:rPr>
        <w:t>because of</w:t>
      </w:r>
      <w:r w:rsidR="00DF0ECC" w:rsidRPr="00960F80">
        <w:rPr>
          <w:rFonts w:ascii="Arial" w:hAnsi="Arial" w:cs="Arial"/>
          <w:sz w:val="24"/>
          <w:szCs w:val="24"/>
        </w:rPr>
        <w:t xml:space="preserve"> the injuries sustained by t</w:t>
      </w:r>
      <w:r w:rsidR="00222718" w:rsidRPr="00960F80">
        <w:rPr>
          <w:rFonts w:ascii="Arial" w:hAnsi="Arial" w:cs="Arial"/>
          <w:sz w:val="24"/>
          <w:szCs w:val="24"/>
        </w:rPr>
        <w:t>he plaintiff;</w:t>
      </w:r>
    </w:p>
    <w:p w14:paraId="2CF64374" w14:textId="77777777" w:rsidR="00BC55A1" w:rsidRDefault="00BC55A1" w:rsidP="00BC55A1">
      <w:pPr>
        <w:pStyle w:val="ListParagraph"/>
        <w:spacing w:line="360" w:lineRule="auto"/>
        <w:jc w:val="both"/>
        <w:rPr>
          <w:rFonts w:ascii="Arial" w:hAnsi="Arial" w:cs="Arial"/>
          <w:sz w:val="24"/>
          <w:szCs w:val="24"/>
        </w:rPr>
      </w:pPr>
    </w:p>
    <w:p w14:paraId="094F6250" w14:textId="22B53C01" w:rsidR="00222718" w:rsidRPr="00960F80" w:rsidRDefault="00960F80" w:rsidP="00960F80">
      <w:pPr>
        <w:spacing w:line="360" w:lineRule="auto"/>
        <w:ind w:left="720" w:hanging="11"/>
        <w:jc w:val="both"/>
        <w:rPr>
          <w:rFonts w:ascii="Arial" w:hAnsi="Arial" w:cs="Arial"/>
          <w:sz w:val="24"/>
          <w:szCs w:val="24"/>
        </w:rPr>
      </w:pPr>
      <w:r w:rsidRPr="00BC55A1">
        <w:rPr>
          <w:rFonts w:ascii="Arial" w:hAnsi="Arial" w:cs="Arial"/>
          <w:sz w:val="24"/>
          <w:szCs w:val="24"/>
        </w:rPr>
        <w:t>(b)</w:t>
      </w:r>
      <w:r w:rsidRPr="00BC55A1">
        <w:rPr>
          <w:rFonts w:ascii="Arial" w:hAnsi="Arial" w:cs="Arial"/>
          <w:sz w:val="24"/>
          <w:szCs w:val="24"/>
        </w:rPr>
        <w:tab/>
      </w:r>
      <w:r w:rsidR="00222718" w:rsidRPr="00960F80">
        <w:rPr>
          <w:rFonts w:ascii="Arial" w:hAnsi="Arial" w:cs="Arial"/>
          <w:sz w:val="24"/>
          <w:szCs w:val="24"/>
        </w:rPr>
        <w:t>the defendant is directed to pay the plaintiff’s costs of suit</w:t>
      </w:r>
      <w:r w:rsidR="003D45C5" w:rsidRPr="00960F80">
        <w:rPr>
          <w:rFonts w:ascii="Arial" w:hAnsi="Arial" w:cs="Arial"/>
          <w:sz w:val="24"/>
          <w:szCs w:val="24"/>
        </w:rPr>
        <w:t xml:space="preserve"> on a party and party scale, including:</w:t>
      </w:r>
    </w:p>
    <w:p w14:paraId="59FA3248" w14:textId="7694F7CA" w:rsidR="003D45C5" w:rsidRPr="00960F80" w:rsidRDefault="00960F80" w:rsidP="00960F80">
      <w:pPr>
        <w:spacing w:line="360" w:lineRule="auto"/>
        <w:ind w:left="1440" w:hanging="22"/>
        <w:jc w:val="both"/>
        <w:rPr>
          <w:rFonts w:ascii="Arial" w:hAnsi="Arial" w:cs="Arial"/>
          <w:sz w:val="24"/>
          <w:szCs w:val="24"/>
        </w:rPr>
      </w:pPr>
      <w:r>
        <w:rPr>
          <w:rFonts w:ascii="Arial" w:hAnsi="Arial" w:cs="Arial"/>
          <w:sz w:val="24"/>
          <w:szCs w:val="24"/>
        </w:rPr>
        <w:t>(i)</w:t>
      </w:r>
      <w:r>
        <w:rPr>
          <w:rFonts w:ascii="Arial" w:hAnsi="Arial" w:cs="Arial"/>
          <w:sz w:val="24"/>
          <w:szCs w:val="24"/>
        </w:rPr>
        <w:tab/>
      </w:r>
      <w:r w:rsidR="0067403D" w:rsidRPr="00960F80">
        <w:rPr>
          <w:rFonts w:ascii="Arial" w:hAnsi="Arial" w:cs="Arial"/>
          <w:sz w:val="24"/>
          <w:szCs w:val="24"/>
        </w:rPr>
        <w:t>costs of counsel</w:t>
      </w:r>
      <w:r w:rsidR="002E249D" w:rsidRPr="00960F80">
        <w:rPr>
          <w:rFonts w:ascii="Arial" w:hAnsi="Arial" w:cs="Arial"/>
          <w:sz w:val="24"/>
          <w:szCs w:val="24"/>
        </w:rPr>
        <w:t>; and</w:t>
      </w:r>
    </w:p>
    <w:p w14:paraId="40DD880E" w14:textId="77777777" w:rsidR="001566EE" w:rsidRDefault="001566EE" w:rsidP="00BC55A1">
      <w:pPr>
        <w:pStyle w:val="ListParagraph"/>
        <w:spacing w:line="360" w:lineRule="auto"/>
        <w:ind w:left="1440"/>
        <w:jc w:val="both"/>
        <w:rPr>
          <w:rFonts w:ascii="Arial" w:hAnsi="Arial" w:cs="Arial"/>
          <w:sz w:val="24"/>
          <w:szCs w:val="24"/>
        </w:rPr>
      </w:pPr>
    </w:p>
    <w:p w14:paraId="6BCCA2B0" w14:textId="5B634BA9" w:rsidR="002E249D" w:rsidRPr="00960F80" w:rsidRDefault="00960F80" w:rsidP="00960F80">
      <w:pPr>
        <w:spacing w:line="360" w:lineRule="auto"/>
        <w:ind w:left="1440" w:hanging="22"/>
        <w:jc w:val="both"/>
        <w:rPr>
          <w:rFonts w:ascii="Arial" w:hAnsi="Arial" w:cs="Arial"/>
          <w:sz w:val="24"/>
          <w:szCs w:val="24"/>
        </w:rPr>
      </w:pPr>
      <w:r>
        <w:rPr>
          <w:rFonts w:ascii="Arial" w:hAnsi="Arial" w:cs="Arial"/>
          <w:sz w:val="24"/>
          <w:szCs w:val="24"/>
        </w:rPr>
        <w:t>(ii)</w:t>
      </w:r>
      <w:r>
        <w:rPr>
          <w:rFonts w:ascii="Arial" w:hAnsi="Arial" w:cs="Arial"/>
          <w:sz w:val="24"/>
          <w:szCs w:val="24"/>
        </w:rPr>
        <w:tab/>
      </w:r>
      <w:r w:rsidR="002E249D" w:rsidRPr="00960F80">
        <w:rPr>
          <w:rFonts w:ascii="Arial" w:hAnsi="Arial" w:cs="Arial"/>
          <w:sz w:val="24"/>
          <w:szCs w:val="24"/>
        </w:rPr>
        <w:t>the plaintiff’s reasonable qualifying and travelling</w:t>
      </w:r>
      <w:r w:rsidR="00FF2410" w:rsidRPr="00960F80">
        <w:rPr>
          <w:rFonts w:ascii="Arial" w:hAnsi="Arial" w:cs="Arial"/>
          <w:sz w:val="24"/>
          <w:szCs w:val="24"/>
        </w:rPr>
        <w:t xml:space="preserve"> expenses to consult with;</w:t>
      </w:r>
    </w:p>
    <w:p w14:paraId="1ABF8953" w14:textId="77777777" w:rsidR="001566EE" w:rsidRDefault="001566EE" w:rsidP="00BC55A1">
      <w:pPr>
        <w:pStyle w:val="ListParagraph"/>
        <w:spacing w:line="360" w:lineRule="auto"/>
        <w:ind w:left="1440"/>
        <w:jc w:val="both"/>
        <w:rPr>
          <w:rFonts w:ascii="Arial" w:hAnsi="Arial" w:cs="Arial"/>
          <w:sz w:val="24"/>
          <w:szCs w:val="24"/>
        </w:rPr>
      </w:pPr>
    </w:p>
    <w:p w14:paraId="5BB7F24C" w14:textId="0DB95A07" w:rsidR="00FF2410" w:rsidRDefault="00FF2410" w:rsidP="00BC55A1">
      <w:pPr>
        <w:pStyle w:val="ListParagraph"/>
        <w:spacing w:line="360" w:lineRule="auto"/>
        <w:ind w:left="1440" w:firstLine="720"/>
        <w:jc w:val="both"/>
        <w:rPr>
          <w:rFonts w:ascii="Arial" w:hAnsi="Arial" w:cs="Arial"/>
          <w:sz w:val="24"/>
          <w:szCs w:val="24"/>
        </w:rPr>
      </w:pPr>
      <w:r>
        <w:rPr>
          <w:rFonts w:ascii="Arial" w:hAnsi="Arial" w:cs="Arial"/>
          <w:sz w:val="24"/>
          <w:szCs w:val="24"/>
        </w:rPr>
        <w:t xml:space="preserve">(aa) </w:t>
      </w:r>
      <w:r>
        <w:rPr>
          <w:rFonts w:ascii="Arial" w:hAnsi="Arial" w:cs="Arial"/>
          <w:sz w:val="24"/>
          <w:szCs w:val="24"/>
        </w:rPr>
        <w:tab/>
        <w:t>Dr PA Olivier;</w:t>
      </w:r>
    </w:p>
    <w:p w14:paraId="4F9867CC" w14:textId="77777777" w:rsidR="001566EE" w:rsidRDefault="001566EE" w:rsidP="00BC55A1">
      <w:pPr>
        <w:pStyle w:val="ListParagraph"/>
        <w:spacing w:line="360" w:lineRule="auto"/>
        <w:ind w:left="1440"/>
        <w:jc w:val="both"/>
        <w:rPr>
          <w:rFonts w:ascii="Arial" w:hAnsi="Arial" w:cs="Arial"/>
          <w:sz w:val="24"/>
          <w:szCs w:val="24"/>
        </w:rPr>
      </w:pPr>
    </w:p>
    <w:p w14:paraId="6AE23146" w14:textId="4103F345" w:rsidR="00FF2410" w:rsidRDefault="00FF2410" w:rsidP="00BC55A1">
      <w:pPr>
        <w:pStyle w:val="ListParagraph"/>
        <w:spacing w:line="360" w:lineRule="auto"/>
        <w:ind w:left="1440" w:firstLine="720"/>
        <w:jc w:val="both"/>
        <w:rPr>
          <w:rFonts w:ascii="Arial" w:hAnsi="Arial" w:cs="Arial"/>
          <w:sz w:val="24"/>
          <w:szCs w:val="24"/>
        </w:rPr>
      </w:pPr>
      <w:r>
        <w:rPr>
          <w:rFonts w:ascii="Arial" w:hAnsi="Arial" w:cs="Arial"/>
          <w:sz w:val="24"/>
          <w:szCs w:val="24"/>
        </w:rPr>
        <w:t>(bb)</w:t>
      </w:r>
      <w:r>
        <w:rPr>
          <w:rFonts w:ascii="Arial" w:hAnsi="Arial" w:cs="Arial"/>
          <w:sz w:val="24"/>
          <w:szCs w:val="24"/>
        </w:rPr>
        <w:tab/>
        <w:t>Ms P Mdlokolo;</w:t>
      </w:r>
    </w:p>
    <w:p w14:paraId="46060B8A" w14:textId="77777777" w:rsidR="001566EE" w:rsidRDefault="001566EE" w:rsidP="00BC55A1">
      <w:pPr>
        <w:pStyle w:val="ListParagraph"/>
        <w:spacing w:line="360" w:lineRule="auto"/>
        <w:ind w:left="1440"/>
        <w:jc w:val="both"/>
        <w:rPr>
          <w:rFonts w:ascii="Arial" w:hAnsi="Arial" w:cs="Arial"/>
          <w:sz w:val="24"/>
          <w:szCs w:val="24"/>
        </w:rPr>
      </w:pPr>
    </w:p>
    <w:p w14:paraId="0622D93C" w14:textId="24D2CCC3" w:rsidR="00FF2410" w:rsidRDefault="00FF2410" w:rsidP="00BC55A1">
      <w:pPr>
        <w:pStyle w:val="ListParagraph"/>
        <w:spacing w:line="360" w:lineRule="auto"/>
        <w:ind w:left="1440" w:firstLine="720"/>
        <w:jc w:val="both"/>
        <w:rPr>
          <w:rFonts w:ascii="Arial" w:hAnsi="Arial" w:cs="Arial"/>
          <w:sz w:val="24"/>
          <w:szCs w:val="24"/>
        </w:rPr>
      </w:pPr>
      <w:r>
        <w:rPr>
          <w:rFonts w:ascii="Arial" w:hAnsi="Arial" w:cs="Arial"/>
          <w:sz w:val="24"/>
          <w:szCs w:val="24"/>
        </w:rPr>
        <w:t>(cc)</w:t>
      </w:r>
      <w:r>
        <w:rPr>
          <w:rFonts w:ascii="Arial" w:hAnsi="Arial" w:cs="Arial"/>
          <w:sz w:val="24"/>
          <w:szCs w:val="24"/>
        </w:rPr>
        <w:tab/>
      </w:r>
      <w:r w:rsidR="00855784">
        <w:rPr>
          <w:rFonts w:ascii="Arial" w:hAnsi="Arial" w:cs="Arial"/>
          <w:sz w:val="24"/>
          <w:szCs w:val="24"/>
        </w:rPr>
        <w:t>Dr G de Kock; and</w:t>
      </w:r>
    </w:p>
    <w:p w14:paraId="13F7AAC6" w14:textId="77777777" w:rsidR="001566EE" w:rsidRDefault="001566EE" w:rsidP="00BC55A1">
      <w:pPr>
        <w:pStyle w:val="ListParagraph"/>
        <w:spacing w:line="360" w:lineRule="auto"/>
        <w:ind w:left="1440"/>
        <w:jc w:val="both"/>
        <w:rPr>
          <w:rFonts w:ascii="Arial" w:hAnsi="Arial" w:cs="Arial"/>
          <w:sz w:val="24"/>
          <w:szCs w:val="24"/>
        </w:rPr>
      </w:pPr>
    </w:p>
    <w:p w14:paraId="19CB225B" w14:textId="70F57789" w:rsidR="00855784" w:rsidRDefault="00855784" w:rsidP="00BC55A1">
      <w:pPr>
        <w:pStyle w:val="ListParagraph"/>
        <w:spacing w:line="360" w:lineRule="auto"/>
        <w:ind w:left="1440" w:firstLine="720"/>
        <w:jc w:val="both"/>
        <w:rPr>
          <w:rFonts w:ascii="Arial" w:hAnsi="Arial" w:cs="Arial"/>
          <w:sz w:val="24"/>
          <w:szCs w:val="24"/>
        </w:rPr>
      </w:pPr>
      <w:r>
        <w:rPr>
          <w:rFonts w:ascii="Arial" w:hAnsi="Arial" w:cs="Arial"/>
          <w:sz w:val="24"/>
          <w:szCs w:val="24"/>
        </w:rPr>
        <w:t>(dd)</w:t>
      </w:r>
      <w:r>
        <w:rPr>
          <w:rFonts w:ascii="Arial" w:hAnsi="Arial" w:cs="Arial"/>
          <w:sz w:val="24"/>
          <w:szCs w:val="24"/>
        </w:rPr>
        <w:tab/>
        <w:t>Munro Forensic Actuaries;</w:t>
      </w:r>
    </w:p>
    <w:p w14:paraId="203DDCB2" w14:textId="77777777" w:rsidR="001566EE" w:rsidRDefault="001566EE" w:rsidP="00BC55A1">
      <w:pPr>
        <w:pStyle w:val="ListParagraph"/>
        <w:spacing w:line="360" w:lineRule="auto"/>
        <w:jc w:val="both"/>
        <w:rPr>
          <w:rFonts w:ascii="Arial" w:hAnsi="Arial" w:cs="Arial"/>
          <w:sz w:val="24"/>
          <w:szCs w:val="24"/>
        </w:rPr>
      </w:pPr>
    </w:p>
    <w:p w14:paraId="091C1406" w14:textId="403FCEED" w:rsidR="0081552A" w:rsidRPr="00960F80" w:rsidRDefault="00960F80" w:rsidP="00960F80">
      <w:pPr>
        <w:spacing w:line="360" w:lineRule="auto"/>
        <w:ind w:left="709"/>
        <w:jc w:val="both"/>
        <w:rPr>
          <w:rFonts w:ascii="Arial" w:hAnsi="Arial" w:cs="Arial"/>
          <w:sz w:val="24"/>
          <w:szCs w:val="24"/>
        </w:rPr>
      </w:pPr>
      <w:r>
        <w:rPr>
          <w:rFonts w:ascii="Arial" w:hAnsi="Arial" w:cs="Arial"/>
          <w:sz w:val="24"/>
          <w:szCs w:val="24"/>
        </w:rPr>
        <w:t>(c)</w:t>
      </w:r>
      <w:r>
        <w:rPr>
          <w:rFonts w:ascii="Arial" w:hAnsi="Arial" w:cs="Arial"/>
          <w:sz w:val="24"/>
          <w:szCs w:val="24"/>
        </w:rPr>
        <w:tab/>
      </w:r>
      <w:r w:rsidR="000F71A1" w:rsidRPr="00960F80">
        <w:rPr>
          <w:rFonts w:ascii="Arial" w:hAnsi="Arial" w:cs="Arial"/>
          <w:sz w:val="24"/>
          <w:szCs w:val="24"/>
        </w:rPr>
        <w:t xml:space="preserve">the defendant is directed to pay interest </w:t>
      </w:r>
      <w:r w:rsidR="007813E6" w:rsidRPr="00960F80">
        <w:rPr>
          <w:rFonts w:ascii="Arial" w:hAnsi="Arial" w:cs="Arial"/>
          <w:sz w:val="24"/>
          <w:szCs w:val="24"/>
        </w:rPr>
        <w:t>on the above amounts</w:t>
      </w:r>
      <w:r w:rsidR="003F35AE" w:rsidRPr="00960F80">
        <w:rPr>
          <w:rFonts w:ascii="Arial" w:hAnsi="Arial" w:cs="Arial"/>
          <w:sz w:val="24"/>
          <w:szCs w:val="24"/>
        </w:rPr>
        <w:t xml:space="preserve">, </w:t>
      </w:r>
      <w:r w:rsidR="00BC28E2" w:rsidRPr="00960F80">
        <w:rPr>
          <w:rFonts w:ascii="Arial" w:hAnsi="Arial" w:cs="Arial"/>
          <w:sz w:val="24"/>
          <w:szCs w:val="24"/>
        </w:rPr>
        <w:t xml:space="preserve">at the prescribed legal rate, </w:t>
      </w:r>
      <w:r w:rsidR="003F35AE" w:rsidRPr="00960F80">
        <w:rPr>
          <w:rFonts w:ascii="Arial" w:hAnsi="Arial" w:cs="Arial"/>
          <w:sz w:val="24"/>
          <w:szCs w:val="24"/>
        </w:rPr>
        <w:t>calculated from</w:t>
      </w:r>
      <w:r w:rsidR="0081552A" w:rsidRPr="00960F80">
        <w:rPr>
          <w:rFonts w:ascii="Arial" w:hAnsi="Arial" w:cs="Arial"/>
          <w:sz w:val="24"/>
          <w:szCs w:val="24"/>
        </w:rPr>
        <w:t>:</w:t>
      </w:r>
    </w:p>
    <w:p w14:paraId="73BCEECB" w14:textId="77777777" w:rsidR="001566EE" w:rsidRDefault="001566EE" w:rsidP="00BC55A1">
      <w:pPr>
        <w:pStyle w:val="ListParagraph"/>
        <w:spacing w:line="360" w:lineRule="auto"/>
        <w:ind w:left="1440"/>
        <w:jc w:val="both"/>
        <w:rPr>
          <w:rFonts w:ascii="Arial" w:hAnsi="Arial" w:cs="Arial"/>
          <w:sz w:val="24"/>
          <w:szCs w:val="24"/>
        </w:rPr>
      </w:pPr>
    </w:p>
    <w:p w14:paraId="5D94F472" w14:textId="053D9DEA" w:rsidR="005F526B" w:rsidRPr="00960F80" w:rsidRDefault="00960F80" w:rsidP="00960F80">
      <w:pPr>
        <w:spacing w:line="360" w:lineRule="auto"/>
        <w:ind w:left="1440" w:hanging="22"/>
        <w:jc w:val="both"/>
        <w:rPr>
          <w:rFonts w:ascii="Arial" w:hAnsi="Arial" w:cs="Arial"/>
          <w:sz w:val="24"/>
          <w:szCs w:val="24"/>
        </w:rPr>
      </w:pPr>
      <w:r>
        <w:rPr>
          <w:rFonts w:ascii="Arial" w:hAnsi="Arial" w:cs="Arial"/>
          <w:sz w:val="24"/>
          <w:szCs w:val="24"/>
        </w:rPr>
        <w:t>(i)</w:t>
      </w:r>
      <w:r>
        <w:rPr>
          <w:rFonts w:ascii="Arial" w:hAnsi="Arial" w:cs="Arial"/>
          <w:sz w:val="24"/>
          <w:szCs w:val="24"/>
        </w:rPr>
        <w:tab/>
      </w:r>
      <w:r w:rsidR="00C725BA" w:rsidRPr="00960F80">
        <w:rPr>
          <w:rFonts w:ascii="Arial" w:hAnsi="Arial" w:cs="Arial"/>
          <w:sz w:val="24"/>
          <w:szCs w:val="24"/>
        </w:rPr>
        <w:t xml:space="preserve">14 calendar days after the date of this order until date of payment, </w:t>
      </w:r>
      <w:r w:rsidR="005F526B" w:rsidRPr="00960F80">
        <w:rPr>
          <w:rFonts w:ascii="Arial" w:hAnsi="Arial" w:cs="Arial"/>
          <w:sz w:val="24"/>
          <w:szCs w:val="24"/>
        </w:rPr>
        <w:t xml:space="preserve">in relation to paragraph (a), above; and </w:t>
      </w:r>
    </w:p>
    <w:p w14:paraId="3C6C95A6" w14:textId="77777777" w:rsidR="00D825FF" w:rsidRDefault="00D825FF" w:rsidP="00BC55A1">
      <w:pPr>
        <w:pStyle w:val="ListParagraph"/>
        <w:spacing w:line="360" w:lineRule="auto"/>
        <w:ind w:left="1440"/>
        <w:jc w:val="both"/>
        <w:rPr>
          <w:rFonts w:ascii="Arial" w:hAnsi="Arial" w:cs="Arial"/>
          <w:sz w:val="24"/>
          <w:szCs w:val="24"/>
        </w:rPr>
      </w:pPr>
    </w:p>
    <w:p w14:paraId="548282A3" w14:textId="7F593951" w:rsidR="00855784" w:rsidRPr="00960F80" w:rsidRDefault="00960F80" w:rsidP="00960F80">
      <w:pPr>
        <w:spacing w:line="360" w:lineRule="auto"/>
        <w:ind w:left="1440" w:hanging="22"/>
        <w:jc w:val="both"/>
        <w:rPr>
          <w:rFonts w:ascii="Arial" w:hAnsi="Arial" w:cs="Arial"/>
          <w:sz w:val="24"/>
          <w:szCs w:val="24"/>
        </w:rPr>
      </w:pPr>
      <w:r>
        <w:rPr>
          <w:rFonts w:ascii="Arial" w:hAnsi="Arial" w:cs="Arial"/>
          <w:sz w:val="24"/>
          <w:szCs w:val="24"/>
        </w:rPr>
        <w:t>(ii)</w:t>
      </w:r>
      <w:r>
        <w:rPr>
          <w:rFonts w:ascii="Arial" w:hAnsi="Arial" w:cs="Arial"/>
          <w:sz w:val="24"/>
          <w:szCs w:val="24"/>
        </w:rPr>
        <w:tab/>
      </w:r>
      <w:r w:rsidR="005F526B" w:rsidRPr="00960F80">
        <w:rPr>
          <w:rFonts w:ascii="Arial" w:hAnsi="Arial" w:cs="Arial"/>
          <w:sz w:val="24"/>
          <w:szCs w:val="24"/>
        </w:rPr>
        <w:t xml:space="preserve">14 calendar days after the date of </w:t>
      </w:r>
      <w:r w:rsidR="00CC7C4E" w:rsidRPr="00960F80">
        <w:rPr>
          <w:rFonts w:ascii="Arial" w:hAnsi="Arial" w:cs="Arial"/>
          <w:i/>
          <w:iCs/>
          <w:sz w:val="24"/>
          <w:szCs w:val="24"/>
        </w:rPr>
        <w:t>allocatur</w:t>
      </w:r>
      <w:r w:rsidR="00CC7C4E" w:rsidRPr="00960F80">
        <w:rPr>
          <w:rFonts w:ascii="Arial" w:hAnsi="Arial" w:cs="Arial"/>
          <w:sz w:val="24"/>
          <w:szCs w:val="24"/>
        </w:rPr>
        <w:t xml:space="preserve"> until date of payment, in relation to paragraph (b), above</w:t>
      </w:r>
      <w:r w:rsidR="00607145" w:rsidRPr="00960F80">
        <w:rPr>
          <w:rFonts w:ascii="Arial" w:hAnsi="Arial" w:cs="Arial"/>
          <w:sz w:val="24"/>
          <w:szCs w:val="24"/>
        </w:rPr>
        <w:t>.</w:t>
      </w:r>
      <w:r w:rsidR="003F35AE" w:rsidRPr="00960F80">
        <w:rPr>
          <w:rFonts w:ascii="Arial" w:hAnsi="Arial" w:cs="Arial"/>
          <w:sz w:val="24"/>
          <w:szCs w:val="24"/>
        </w:rPr>
        <w:t xml:space="preserve"> </w:t>
      </w:r>
    </w:p>
    <w:p w14:paraId="6E8E55B3" w14:textId="77777777" w:rsidR="00607145" w:rsidRDefault="00607145" w:rsidP="00BC55A1">
      <w:pPr>
        <w:spacing w:line="360" w:lineRule="auto"/>
        <w:jc w:val="both"/>
        <w:rPr>
          <w:rFonts w:ascii="Arial" w:hAnsi="Arial" w:cs="Arial"/>
          <w:sz w:val="24"/>
          <w:szCs w:val="24"/>
        </w:rPr>
      </w:pPr>
    </w:p>
    <w:p w14:paraId="2ADAAA2A" w14:textId="77777777" w:rsidR="00607145" w:rsidRDefault="00607145" w:rsidP="00607145">
      <w:pPr>
        <w:spacing w:line="360" w:lineRule="auto"/>
        <w:rPr>
          <w:rFonts w:ascii="Arial" w:hAnsi="Arial" w:cs="Arial"/>
          <w:sz w:val="24"/>
          <w:szCs w:val="24"/>
        </w:rPr>
      </w:pPr>
    </w:p>
    <w:p w14:paraId="330523A5" w14:textId="6C35CF6C" w:rsidR="00607145" w:rsidRDefault="00607145" w:rsidP="00BC55A1">
      <w:pPr>
        <w:spacing w:line="240" w:lineRule="auto"/>
        <w:jc w:val="both"/>
        <w:rPr>
          <w:rFonts w:ascii="Arial" w:hAnsi="Arial" w:cs="Arial"/>
          <w:sz w:val="24"/>
          <w:szCs w:val="24"/>
        </w:rPr>
      </w:pPr>
      <w:r>
        <w:rPr>
          <w:rFonts w:ascii="Arial" w:hAnsi="Arial" w:cs="Arial"/>
          <w:sz w:val="24"/>
          <w:szCs w:val="24"/>
        </w:rPr>
        <w:t>_________________________</w:t>
      </w:r>
    </w:p>
    <w:p w14:paraId="6AA775BA" w14:textId="34139487" w:rsidR="00607145" w:rsidRPr="00607145" w:rsidRDefault="00607145" w:rsidP="00BC55A1">
      <w:pPr>
        <w:spacing w:line="240" w:lineRule="auto"/>
        <w:jc w:val="both"/>
        <w:rPr>
          <w:rFonts w:ascii="Arial" w:hAnsi="Arial" w:cs="Arial"/>
          <w:b/>
          <w:bCs/>
          <w:sz w:val="24"/>
          <w:szCs w:val="24"/>
        </w:rPr>
      </w:pPr>
      <w:r w:rsidRPr="00607145">
        <w:rPr>
          <w:rFonts w:ascii="Arial" w:hAnsi="Arial" w:cs="Arial"/>
          <w:b/>
          <w:bCs/>
          <w:sz w:val="24"/>
          <w:szCs w:val="24"/>
        </w:rPr>
        <w:t>JGA LAING</w:t>
      </w:r>
    </w:p>
    <w:p w14:paraId="231044CD" w14:textId="77332A94" w:rsidR="00607145" w:rsidRDefault="00607145" w:rsidP="00BC55A1">
      <w:pPr>
        <w:spacing w:line="240" w:lineRule="auto"/>
        <w:jc w:val="both"/>
        <w:rPr>
          <w:rFonts w:ascii="Arial" w:hAnsi="Arial" w:cs="Arial"/>
          <w:b/>
          <w:bCs/>
          <w:sz w:val="24"/>
          <w:szCs w:val="24"/>
        </w:rPr>
      </w:pPr>
      <w:r w:rsidRPr="00607145">
        <w:rPr>
          <w:rFonts w:ascii="Arial" w:hAnsi="Arial" w:cs="Arial"/>
          <w:b/>
          <w:bCs/>
          <w:sz w:val="24"/>
          <w:szCs w:val="24"/>
        </w:rPr>
        <w:t>JUDGE OF THE HIGH COURT</w:t>
      </w:r>
    </w:p>
    <w:p w14:paraId="00F57405" w14:textId="1B65E663" w:rsidR="00C0423B" w:rsidRDefault="00C0423B" w:rsidP="00BC55A1">
      <w:pPr>
        <w:spacing w:line="240" w:lineRule="auto"/>
        <w:jc w:val="both"/>
        <w:rPr>
          <w:rFonts w:ascii="Arial" w:hAnsi="Arial" w:cs="Arial"/>
          <w:b/>
          <w:bCs/>
          <w:sz w:val="24"/>
          <w:szCs w:val="24"/>
        </w:rPr>
      </w:pPr>
    </w:p>
    <w:p w14:paraId="2F441F4F" w14:textId="6DD00382" w:rsidR="00C0423B" w:rsidRDefault="00C0423B" w:rsidP="00BC55A1">
      <w:pPr>
        <w:spacing w:line="240" w:lineRule="auto"/>
        <w:jc w:val="both"/>
        <w:rPr>
          <w:rFonts w:ascii="Arial" w:hAnsi="Arial" w:cs="Arial"/>
          <w:b/>
          <w:bCs/>
          <w:sz w:val="24"/>
          <w:szCs w:val="24"/>
        </w:rPr>
      </w:pPr>
    </w:p>
    <w:p w14:paraId="602373DC" w14:textId="77777777" w:rsidR="00C0423B" w:rsidRDefault="00C0423B" w:rsidP="00BC55A1">
      <w:pPr>
        <w:spacing w:line="240" w:lineRule="auto"/>
        <w:jc w:val="both"/>
        <w:rPr>
          <w:rFonts w:ascii="Arial" w:hAnsi="Arial" w:cs="Arial"/>
          <w:b/>
          <w:bCs/>
          <w:sz w:val="24"/>
          <w:szCs w:val="24"/>
        </w:rPr>
      </w:pPr>
    </w:p>
    <w:p w14:paraId="4E8E6D6B" w14:textId="11A05799" w:rsidR="00BC55A1" w:rsidRDefault="00BC55A1" w:rsidP="00BC55A1">
      <w:pPr>
        <w:spacing w:line="240" w:lineRule="auto"/>
        <w:jc w:val="both"/>
        <w:rPr>
          <w:rFonts w:ascii="Arial" w:hAnsi="Arial" w:cs="Arial"/>
          <w:b/>
          <w:bCs/>
          <w:sz w:val="24"/>
          <w:szCs w:val="24"/>
        </w:rPr>
      </w:pPr>
    </w:p>
    <w:p w14:paraId="4F4D4E44" w14:textId="322D13E1" w:rsidR="00BC55A1" w:rsidRDefault="00BC55A1" w:rsidP="00BC55A1">
      <w:pPr>
        <w:spacing w:line="240" w:lineRule="auto"/>
        <w:jc w:val="both"/>
        <w:rPr>
          <w:rFonts w:ascii="Arial" w:hAnsi="Arial" w:cs="Arial"/>
          <w:b/>
          <w:bCs/>
          <w:sz w:val="24"/>
          <w:szCs w:val="24"/>
        </w:rPr>
      </w:pPr>
      <w:r>
        <w:rPr>
          <w:rFonts w:ascii="Arial" w:hAnsi="Arial" w:cs="Arial"/>
          <w:b/>
          <w:bCs/>
          <w:sz w:val="24"/>
          <w:szCs w:val="24"/>
        </w:rPr>
        <w:t xml:space="preserve">APPEARANCE </w:t>
      </w:r>
    </w:p>
    <w:p w14:paraId="0660750F" w14:textId="518D486E" w:rsidR="00BC55A1" w:rsidRDefault="00BC55A1" w:rsidP="00BC55A1">
      <w:pPr>
        <w:spacing w:line="240" w:lineRule="auto"/>
        <w:jc w:val="both"/>
        <w:rPr>
          <w:rFonts w:ascii="Arial" w:hAnsi="Arial" w:cs="Arial"/>
          <w:bCs/>
          <w:sz w:val="24"/>
          <w:szCs w:val="24"/>
        </w:rPr>
      </w:pPr>
      <w:r w:rsidRPr="00BC55A1">
        <w:rPr>
          <w:rFonts w:ascii="Arial" w:hAnsi="Arial" w:cs="Arial"/>
          <w:bCs/>
          <w:sz w:val="24"/>
          <w:szCs w:val="24"/>
        </w:rPr>
        <w:t xml:space="preserve">For the plaintiff: </w:t>
      </w:r>
      <w:r w:rsidRPr="00BC55A1">
        <w:rPr>
          <w:rFonts w:ascii="Arial" w:hAnsi="Arial" w:cs="Arial"/>
          <w:bCs/>
          <w:sz w:val="24"/>
          <w:szCs w:val="24"/>
        </w:rPr>
        <w:tab/>
      </w:r>
      <w:r w:rsidRPr="00BC55A1">
        <w:rPr>
          <w:rFonts w:ascii="Arial" w:hAnsi="Arial" w:cs="Arial"/>
          <w:bCs/>
          <w:sz w:val="24"/>
          <w:szCs w:val="24"/>
        </w:rPr>
        <w:tab/>
        <w:t xml:space="preserve">Adv Skoti, instructed by Yokwana Attorneys, Makhanda. </w:t>
      </w:r>
    </w:p>
    <w:p w14:paraId="34207AE1" w14:textId="77777777" w:rsidR="00BC55A1" w:rsidRPr="00BC55A1" w:rsidRDefault="00BC55A1" w:rsidP="00BC55A1">
      <w:pPr>
        <w:spacing w:line="240" w:lineRule="auto"/>
        <w:jc w:val="both"/>
        <w:rPr>
          <w:rFonts w:ascii="Arial" w:hAnsi="Arial" w:cs="Arial"/>
          <w:bCs/>
          <w:sz w:val="24"/>
          <w:szCs w:val="24"/>
        </w:rPr>
      </w:pPr>
    </w:p>
    <w:p w14:paraId="111AF3F2" w14:textId="38BE14AF" w:rsidR="00BC55A1" w:rsidRDefault="00BC55A1" w:rsidP="00BC55A1">
      <w:pPr>
        <w:spacing w:line="240" w:lineRule="auto"/>
        <w:ind w:left="2880" w:hanging="2880"/>
        <w:jc w:val="both"/>
        <w:rPr>
          <w:rFonts w:ascii="Arial" w:hAnsi="Arial" w:cs="Arial"/>
          <w:bCs/>
          <w:sz w:val="24"/>
          <w:szCs w:val="24"/>
        </w:rPr>
      </w:pPr>
      <w:r w:rsidRPr="00BC55A1">
        <w:rPr>
          <w:rFonts w:ascii="Arial" w:hAnsi="Arial" w:cs="Arial"/>
          <w:bCs/>
          <w:sz w:val="24"/>
          <w:szCs w:val="24"/>
        </w:rPr>
        <w:lastRenderedPageBreak/>
        <w:t>For the defendant:</w:t>
      </w:r>
      <w:r w:rsidRPr="00BC55A1">
        <w:rPr>
          <w:rFonts w:ascii="Arial" w:hAnsi="Arial" w:cs="Arial"/>
          <w:bCs/>
          <w:sz w:val="24"/>
          <w:szCs w:val="24"/>
        </w:rPr>
        <w:tab/>
        <w:t xml:space="preserve">Ms Jeram, Instructed by the Office of the State Attorney, East London. </w:t>
      </w:r>
    </w:p>
    <w:p w14:paraId="6F2C5DEE" w14:textId="5DF5F0E5" w:rsidR="00BC55A1" w:rsidRDefault="00BC55A1" w:rsidP="00BC55A1">
      <w:pPr>
        <w:spacing w:line="240" w:lineRule="auto"/>
        <w:ind w:left="2880" w:hanging="2880"/>
        <w:jc w:val="both"/>
        <w:rPr>
          <w:rFonts w:ascii="Arial" w:hAnsi="Arial" w:cs="Arial"/>
          <w:bCs/>
          <w:sz w:val="24"/>
          <w:szCs w:val="24"/>
        </w:rPr>
      </w:pPr>
    </w:p>
    <w:p w14:paraId="45E97160" w14:textId="2AFAD691" w:rsidR="00DE7511" w:rsidRDefault="00DE7511" w:rsidP="00DE7511">
      <w:pPr>
        <w:spacing w:line="240" w:lineRule="auto"/>
        <w:rPr>
          <w:rFonts w:ascii="Arial" w:hAnsi="Arial" w:cs="Arial"/>
          <w:bCs/>
          <w:sz w:val="24"/>
          <w:szCs w:val="24"/>
        </w:rPr>
      </w:pPr>
      <w:r>
        <w:rPr>
          <w:rFonts w:ascii="Arial" w:hAnsi="Arial" w:cs="Arial"/>
          <w:bCs/>
          <w:sz w:val="24"/>
          <w:szCs w:val="24"/>
        </w:rPr>
        <w:t>Date of submission of heads of argument:</w:t>
      </w:r>
      <w:r>
        <w:rPr>
          <w:rFonts w:ascii="Arial" w:hAnsi="Arial" w:cs="Arial"/>
          <w:bCs/>
          <w:sz w:val="24"/>
          <w:szCs w:val="24"/>
        </w:rPr>
        <w:tab/>
        <w:t>07 December 2022.</w:t>
      </w:r>
    </w:p>
    <w:p w14:paraId="27AF5135" w14:textId="77777777" w:rsidR="00DE7511" w:rsidRDefault="00DE7511" w:rsidP="00DE7511">
      <w:pPr>
        <w:spacing w:line="240" w:lineRule="auto"/>
        <w:rPr>
          <w:rFonts w:ascii="Arial" w:hAnsi="Arial" w:cs="Arial"/>
          <w:bCs/>
          <w:sz w:val="24"/>
          <w:szCs w:val="24"/>
        </w:rPr>
      </w:pPr>
      <w:r>
        <w:rPr>
          <w:rFonts w:ascii="Arial" w:hAnsi="Arial" w:cs="Arial"/>
          <w:bCs/>
          <w:sz w:val="24"/>
          <w:szCs w:val="24"/>
        </w:rPr>
        <w:t>Date of delivery of judgment:</w:t>
      </w:r>
      <w:r>
        <w:rPr>
          <w:rFonts w:ascii="Arial" w:hAnsi="Arial" w:cs="Arial"/>
          <w:bCs/>
          <w:sz w:val="24"/>
          <w:szCs w:val="24"/>
        </w:rPr>
        <w:tab/>
      </w:r>
      <w:r>
        <w:rPr>
          <w:rFonts w:ascii="Arial" w:hAnsi="Arial" w:cs="Arial"/>
          <w:bCs/>
          <w:sz w:val="24"/>
          <w:szCs w:val="24"/>
        </w:rPr>
        <w:tab/>
      </w:r>
      <w:r>
        <w:rPr>
          <w:rFonts w:ascii="Arial" w:hAnsi="Arial" w:cs="Arial"/>
          <w:bCs/>
          <w:sz w:val="24"/>
          <w:szCs w:val="24"/>
        </w:rPr>
        <w:tab/>
        <w:t>28 March 2023.</w:t>
      </w:r>
    </w:p>
    <w:p w14:paraId="61613E61" w14:textId="4394FE38" w:rsidR="00BC55A1" w:rsidRPr="00BC55A1" w:rsidRDefault="00BC55A1" w:rsidP="00DE7511">
      <w:pPr>
        <w:spacing w:line="240" w:lineRule="auto"/>
        <w:ind w:left="2880" w:hanging="2880"/>
        <w:jc w:val="both"/>
        <w:rPr>
          <w:rFonts w:ascii="Arial" w:hAnsi="Arial" w:cs="Arial"/>
          <w:bCs/>
          <w:sz w:val="24"/>
          <w:szCs w:val="24"/>
        </w:rPr>
      </w:pPr>
    </w:p>
    <w:sectPr w:rsidR="00BC55A1" w:rsidRPr="00BC55A1" w:rsidSect="002C676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D6189" w14:textId="77777777" w:rsidR="005A655E" w:rsidRDefault="005A655E" w:rsidP="000D67FD">
      <w:pPr>
        <w:spacing w:after="0" w:line="240" w:lineRule="auto"/>
      </w:pPr>
      <w:r>
        <w:separator/>
      </w:r>
    </w:p>
  </w:endnote>
  <w:endnote w:type="continuationSeparator" w:id="0">
    <w:p w14:paraId="1D7DFB11" w14:textId="77777777" w:rsidR="005A655E" w:rsidRDefault="005A655E" w:rsidP="000D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297A0" w14:textId="77777777" w:rsidR="005A655E" w:rsidRDefault="005A655E" w:rsidP="000D67FD">
      <w:pPr>
        <w:spacing w:after="0" w:line="240" w:lineRule="auto"/>
      </w:pPr>
      <w:r>
        <w:separator/>
      </w:r>
    </w:p>
  </w:footnote>
  <w:footnote w:type="continuationSeparator" w:id="0">
    <w:p w14:paraId="3B7070DA" w14:textId="77777777" w:rsidR="005A655E" w:rsidRDefault="005A655E" w:rsidP="000D67FD">
      <w:pPr>
        <w:spacing w:after="0" w:line="240" w:lineRule="auto"/>
      </w:pPr>
      <w:r>
        <w:continuationSeparator/>
      </w:r>
    </w:p>
  </w:footnote>
  <w:footnote w:id="1">
    <w:p w14:paraId="44C77F91" w14:textId="141F033C" w:rsidR="00C80A85" w:rsidRPr="00C80A85" w:rsidRDefault="00C80A85" w:rsidP="002C6760">
      <w:pPr>
        <w:pStyle w:val="FootnoteText"/>
        <w:jc w:val="both"/>
        <w:rPr>
          <w:lang w:val="en-US"/>
        </w:rPr>
      </w:pPr>
      <w:r>
        <w:rPr>
          <w:rStyle w:val="FootnoteReference"/>
        </w:rPr>
        <w:footnoteRef/>
      </w:r>
      <w:r>
        <w:t xml:space="preserve"> </w:t>
      </w:r>
      <w:r>
        <w:rPr>
          <w:lang w:val="en-US"/>
        </w:rPr>
        <w:t xml:space="preserve">The </w:t>
      </w:r>
      <w:r w:rsidR="009D7FDD">
        <w:rPr>
          <w:lang w:val="en-US"/>
        </w:rPr>
        <w:t xml:space="preserve">use of the </w:t>
      </w:r>
      <w:r>
        <w:rPr>
          <w:lang w:val="en-US"/>
        </w:rPr>
        <w:t>term is preferred</w:t>
      </w:r>
      <w:r w:rsidR="009D7FDD">
        <w:rPr>
          <w:lang w:val="en-US"/>
        </w:rPr>
        <w:t xml:space="preserve"> </w:t>
      </w:r>
      <w:r w:rsidR="00F317F1">
        <w:rPr>
          <w:lang w:val="en-US"/>
        </w:rPr>
        <w:t>to ‘future loss of earnings’</w:t>
      </w:r>
      <w:r w:rsidR="00712EF0">
        <w:rPr>
          <w:lang w:val="en-US"/>
        </w:rPr>
        <w:t xml:space="preserve">. See, to that effect, </w:t>
      </w:r>
      <w:r w:rsidR="00AB7F8F">
        <w:rPr>
          <w:lang w:val="en-US"/>
        </w:rPr>
        <w:t xml:space="preserve">see </w:t>
      </w:r>
      <w:r w:rsidR="00712EF0">
        <w:rPr>
          <w:lang w:val="en-US"/>
        </w:rPr>
        <w:t xml:space="preserve">the </w:t>
      </w:r>
      <w:r w:rsidR="001C4C13">
        <w:rPr>
          <w:lang w:val="en-US"/>
        </w:rPr>
        <w:t xml:space="preserve">remarks </w:t>
      </w:r>
      <w:r w:rsidR="00712EF0">
        <w:rPr>
          <w:lang w:val="en-US"/>
        </w:rPr>
        <w:t xml:space="preserve">of Nicholas JA in </w:t>
      </w:r>
      <w:r w:rsidR="003031BD" w:rsidRPr="001C4C13">
        <w:rPr>
          <w:i/>
          <w:iCs/>
          <w:lang w:val="en-US"/>
        </w:rPr>
        <w:t xml:space="preserve">Southern Insurance </w:t>
      </w:r>
      <w:r w:rsidR="00313A8D">
        <w:rPr>
          <w:i/>
          <w:iCs/>
          <w:lang w:val="en-US"/>
        </w:rPr>
        <w:t>A</w:t>
      </w:r>
      <w:r w:rsidR="00FB69F2" w:rsidRPr="001C4C13">
        <w:rPr>
          <w:i/>
          <w:iCs/>
          <w:lang w:val="en-US"/>
        </w:rPr>
        <w:t xml:space="preserve">ssociation Ltd </w:t>
      </w:r>
      <w:r w:rsidR="003031BD" w:rsidRPr="001C4C13">
        <w:rPr>
          <w:i/>
          <w:iCs/>
          <w:lang w:val="en-US"/>
        </w:rPr>
        <w:t>v Bailey</w:t>
      </w:r>
      <w:r w:rsidR="00FB69F2" w:rsidRPr="001C4C13">
        <w:rPr>
          <w:i/>
          <w:iCs/>
          <w:lang w:val="en-US"/>
        </w:rPr>
        <w:t xml:space="preserve"> NO</w:t>
      </w:r>
      <w:r w:rsidR="00FB69F2">
        <w:rPr>
          <w:lang w:val="en-US"/>
        </w:rPr>
        <w:t xml:space="preserve"> 1984 (1) SA </w:t>
      </w:r>
      <w:r w:rsidR="001C4C13">
        <w:rPr>
          <w:lang w:val="en-US"/>
        </w:rPr>
        <w:t>98 (A), at 111C-D.</w:t>
      </w:r>
    </w:p>
  </w:footnote>
  <w:footnote w:id="2">
    <w:p w14:paraId="27B06ADE" w14:textId="3BB1A047" w:rsidR="00264D32" w:rsidRPr="00264D32" w:rsidRDefault="00264D32" w:rsidP="002C6760">
      <w:pPr>
        <w:pStyle w:val="FootnoteText"/>
        <w:jc w:val="both"/>
        <w:rPr>
          <w:lang w:val="en-US"/>
        </w:rPr>
      </w:pPr>
      <w:r>
        <w:rPr>
          <w:rStyle w:val="FootnoteReference"/>
        </w:rPr>
        <w:footnoteRef/>
      </w:r>
      <w:r>
        <w:t xml:space="preserve"> </w:t>
      </w:r>
      <w:r w:rsidRPr="00907E5F">
        <w:rPr>
          <w:i/>
          <w:iCs/>
          <w:lang w:val="en-US"/>
        </w:rPr>
        <w:t>Erdmann v Santam Insurance Co Ltd</w:t>
      </w:r>
      <w:r>
        <w:rPr>
          <w:lang w:val="en-US"/>
        </w:rPr>
        <w:t xml:space="preserve"> </w:t>
      </w:r>
      <w:r w:rsidR="00907E5F">
        <w:rPr>
          <w:lang w:val="en-US"/>
        </w:rPr>
        <w:t xml:space="preserve">[1985] 4 All SA 120 (C); </w:t>
      </w:r>
      <w:r w:rsidR="00B967C8" w:rsidRPr="00B967C8">
        <w:rPr>
          <w:i/>
          <w:iCs/>
          <w:lang w:val="en-US"/>
        </w:rPr>
        <w:t>Ncubu v National Employers General Insurance Co Ltd</w:t>
      </w:r>
      <w:r w:rsidR="00B967C8" w:rsidRPr="00B967C8">
        <w:rPr>
          <w:lang w:val="en-US"/>
        </w:rPr>
        <w:t xml:space="preserve"> [1988] 1 All SA 415 (N)</w:t>
      </w:r>
      <w:r w:rsidR="00B967C8">
        <w:rPr>
          <w:lang w:val="en-US"/>
        </w:rPr>
        <w:t xml:space="preserve">; and </w:t>
      </w:r>
      <w:r w:rsidR="0042033D" w:rsidRPr="00B967C8">
        <w:rPr>
          <w:i/>
          <w:iCs/>
          <w:lang w:val="en-US"/>
        </w:rPr>
        <w:t xml:space="preserve">Burns v </w:t>
      </w:r>
      <w:r w:rsidR="00B967C8" w:rsidRPr="00B967C8">
        <w:rPr>
          <w:i/>
          <w:iCs/>
          <w:lang w:val="en-US"/>
        </w:rPr>
        <w:t>N</w:t>
      </w:r>
      <w:r w:rsidR="0042033D" w:rsidRPr="00B967C8">
        <w:rPr>
          <w:i/>
          <w:iCs/>
          <w:lang w:val="en-US"/>
        </w:rPr>
        <w:t>ational Employers General Insurance Co Ltd</w:t>
      </w:r>
      <w:r w:rsidR="00DD0E89">
        <w:rPr>
          <w:lang w:val="en-US"/>
        </w:rPr>
        <w:t xml:space="preserve"> [1988] 3 All SA 476 (C)</w:t>
      </w:r>
      <w:r w:rsidR="00B967C8">
        <w:rPr>
          <w:lang w:val="en-US"/>
        </w:rPr>
        <w:t>.</w:t>
      </w:r>
    </w:p>
  </w:footnote>
  <w:footnote w:id="3">
    <w:p w14:paraId="45C43C2F" w14:textId="667B48B3" w:rsidR="00CF6483" w:rsidRPr="00CF6483" w:rsidRDefault="00CF6483" w:rsidP="002C6760">
      <w:pPr>
        <w:pStyle w:val="FootnoteText"/>
        <w:jc w:val="both"/>
        <w:rPr>
          <w:lang w:val="en-US"/>
        </w:rPr>
      </w:pPr>
      <w:r>
        <w:rPr>
          <w:rStyle w:val="FootnoteReference"/>
        </w:rPr>
        <w:footnoteRef/>
      </w:r>
      <w:r>
        <w:t xml:space="preserve"> </w:t>
      </w:r>
      <w:r w:rsidRPr="0081329A">
        <w:rPr>
          <w:i/>
          <w:iCs/>
          <w:lang w:val="en-US"/>
        </w:rPr>
        <w:t>Road Accident Fund v Guedes</w:t>
      </w:r>
      <w:r>
        <w:rPr>
          <w:lang w:val="en-US"/>
        </w:rPr>
        <w:t xml:space="preserve"> </w:t>
      </w:r>
      <w:r w:rsidR="00650BC1">
        <w:rPr>
          <w:lang w:val="en-US"/>
        </w:rPr>
        <w:t xml:space="preserve">2006 (5) SA 583 (SCA), at paragraph </w:t>
      </w:r>
      <w:r w:rsidR="0081329A">
        <w:rPr>
          <w:lang w:val="en-US"/>
        </w:rPr>
        <w:t>[3].</w:t>
      </w:r>
    </w:p>
  </w:footnote>
  <w:footnote w:id="4">
    <w:p w14:paraId="1657A7B5" w14:textId="1B97A0BE" w:rsidR="00E55818" w:rsidRPr="00E55818" w:rsidRDefault="00E55818" w:rsidP="002C6760">
      <w:pPr>
        <w:pStyle w:val="FootnoteText"/>
        <w:jc w:val="both"/>
        <w:rPr>
          <w:lang w:val="en-US"/>
        </w:rPr>
      </w:pPr>
      <w:r>
        <w:rPr>
          <w:rStyle w:val="FootnoteReference"/>
        </w:rPr>
        <w:footnoteRef/>
      </w:r>
      <w:r>
        <w:t xml:space="preserve"> </w:t>
      </w:r>
      <w:r w:rsidR="008E0B2C" w:rsidRPr="00ED6612">
        <w:rPr>
          <w:i/>
          <w:iCs/>
          <w:lang w:val="en-US"/>
        </w:rPr>
        <w:t>Southern Insurance Association v Bailey NO</w:t>
      </w:r>
      <w:r w:rsidR="004C22B7">
        <w:rPr>
          <w:lang w:val="en-US"/>
        </w:rPr>
        <w:t xml:space="preserve">, n 1, </w:t>
      </w:r>
      <w:r w:rsidR="004C22B7" w:rsidRPr="004C22B7">
        <w:rPr>
          <w:i/>
          <w:iCs/>
          <w:lang w:val="en-US"/>
        </w:rPr>
        <w:t>supra</w:t>
      </w:r>
      <w:r w:rsidR="004C22B7">
        <w:rPr>
          <w:lang w:val="en-US"/>
        </w:rPr>
        <w:t>,</w:t>
      </w:r>
      <w:r w:rsidR="00ED6612">
        <w:rPr>
          <w:lang w:val="en-US"/>
        </w:rPr>
        <w:t xml:space="preserve"> at 117B.</w:t>
      </w:r>
    </w:p>
  </w:footnote>
  <w:footnote w:id="5">
    <w:p w14:paraId="24AEC4E9" w14:textId="5FC4D68A" w:rsidR="00E370F0" w:rsidRPr="00E370F0" w:rsidRDefault="00E370F0" w:rsidP="002C6760">
      <w:pPr>
        <w:pStyle w:val="FootnoteText"/>
        <w:jc w:val="both"/>
        <w:rPr>
          <w:lang w:val="en-US"/>
        </w:rPr>
      </w:pPr>
      <w:r>
        <w:rPr>
          <w:rStyle w:val="FootnoteReference"/>
        </w:rPr>
        <w:footnoteRef/>
      </w:r>
      <w:r>
        <w:t xml:space="preserve"> </w:t>
      </w:r>
      <w:r w:rsidRPr="00A71B25">
        <w:rPr>
          <w:i/>
          <w:iCs/>
          <w:lang w:val="en-US"/>
        </w:rPr>
        <w:t>Fulton v Road Accident Fund</w:t>
      </w:r>
      <w:r>
        <w:rPr>
          <w:lang w:val="en-US"/>
        </w:rPr>
        <w:t xml:space="preserve"> 2012</w:t>
      </w:r>
      <w:r w:rsidR="003023A4">
        <w:rPr>
          <w:lang w:val="en-US"/>
        </w:rPr>
        <w:t xml:space="preserve"> (3) SA 255 (G</w:t>
      </w:r>
      <w:r w:rsidR="00CA5C44">
        <w:rPr>
          <w:lang w:val="en-US"/>
        </w:rPr>
        <w:t>S</w:t>
      </w:r>
      <w:r w:rsidR="003023A4">
        <w:rPr>
          <w:lang w:val="en-US"/>
        </w:rPr>
        <w:t>J)</w:t>
      </w:r>
      <w:r w:rsidR="00CA5C44">
        <w:rPr>
          <w:lang w:val="en-US"/>
        </w:rPr>
        <w:t xml:space="preserve">, at paragraphs [95] to [96]; </w:t>
      </w:r>
      <w:r w:rsidR="00083873">
        <w:rPr>
          <w:lang w:val="en-US"/>
        </w:rPr>
        <w:t xml:space="preserve">and </w:t>
      </w:r>
      <w:r w:rsidR="00083873" w:rsidRPr="00A71B25">
        <w:rPr>
          <w:i/>
          <w:iCs/>
          <w:lang w:val="en-US"/>
        </w:rPr>
        <w:t>Nationwide Airlines (Pty) Ltd</w:t>
      </w:r>
      <w:r w:rsidR="003D2C4B" w:rsidRPr="00A71B25">
        <w:rPr>
          <w:i/>
          <w:iCs/>
          <w:lang w:val="en-US"/>
        </w:rPr>
        <w:t xml:space="preserve"> (in liquidation) v SA Airways (Pty) Ltd</w:t>
      </w:r>
      <w:r w:rsidR="003D2C4B">
        <w:rPr>
          <w:lang w:val="en-US"/>
        </w:rPr>
        <w:t xml:space="preserve"> [2016] 4 All SA </w:t>
      </w:r>
      <w:r w:rsidR="00596493">
        <w:rPr>
          <w:lang w:val="en-US"/>
        </w:rPr>
        <w:t>153 (GJ), at paragraph [147].</w:t>
      </w:r>
    </w:p>
  </w:footnote>
  <w:footnote w:id="6">
    <w:p w14:paraId="431DD5E2" w14:textId="42901DA1" w:rsidR="003E611A" w:rsidRPr="003E611A" w:rsidRDefault="003E611A" w:rsidP="002C6760">
      <w:pPr>
        <w:pStyle w:val="FootnoteText"/>
        <w:jc w:val="both"/>
        <w:rPr>
          <w:lang w:val="en-US"/>
        </w:rPr>
      </w:pPr>
      <w:r>
        <w:rPr>
          <w:rStyle w:val="FootnoteReference"/>
        </w:rPr>
        <w:footnoteRef/>
      </w:r>
      <w:r>
        <w:t xml:space="preserve"> </w:t>
      </w:r>
      <w:r>
        <w:rPr>
          <w:lang w:val="en-US"/>
        </w:rPr>
        <w:t xml:space="preserve">1979 (3) SA </w:t>
      </w:r>
      <w:r w:rsidR="00415702">
        <w:rPr>
          <w:lang w:val="en-US"/>
        </w:rPr>
        <w:t xml:space="preserve">953 (A), at </w:t>
      </w:r>
      <w:r w:rsidR="00492DD3">
        <w:rPr>
          <w:lang w:val="en-US"/>
        </w:rPr>
        <w:t>965G.</w:t>
      </w:r>
    </w:p>
  </w:footnote>
  <w:footnote w:id="7">
    <w:p w14:paraId="70FCCBA7" w14:textId="732490A7" w:rsidR="00327202" w:rsidRPr="00327202" w:rsidRDefault="00327202" w:rsidP="002C6760">
      <w:pPr>
        <w:pStyle w:val="FootnoteText"/>
        <w:jc w:val="both"/>
        <w:rPr>
          <w:lang w:val="en-US"/>
        </w:rPr>
      </w:pPr>
      <w:r>
        <w:rPr>
          <w:rStyle w:val="FootnoteReference"/>
        </w:rPr>
        <w:footnoteRef/>
      </w:r>
      <w:r>
        <w:t xml:space="preserve"> </w:t>
      </w:r>
      <w:r>
        <w:rPr>
          <w:lang w:val="en-US"/>
        </w:rPr>
        <w:t>1978 (1) SA 389 (W)</w:t>
      </w:r>
      <w:r w:rsidR="00885001">
        <w:rPr>
          <w:lang w:val="en-US"/>
        </w:rPr>
        <w:t>.</w:t>
      </w:r>
    </w:p>
  </w:footnote>
  <w:footnote w:id="8">
    <w:p w14:paraId="30E4A688" w14:textId="2C249B3C" w:rsidR="0050766F" w:rsidRPr="0050766F" w:rsidRDefault="0050766F" w:rsidP="002C6760">
      <w:pPr>
        <w:pStyle w:val="FootnoteText"/>
        <w:jc w:val="both"/>
        <w:rPr>
          <w:lang w:val="en-US"/>
        </w:rPr>
      </w:pPr>
      <w:r>
        <w:rPr>
          <w:rStyle w:val="FootnoteReference"/>
        </w:rPr>
        <w:footnoteRef/>
      </w:r>
      <w:r>
        <w:t xml:space="preserve"> </w:t>
      </w:r>
      <w:r w:rsidR="00406D73">
        <w:rPr>
          <w:lang w:val="en-US"/>
        </w:rPr>
        <w:t>At 392H-392A.</w:t>
      </w:r>
    </w:p>
  </w:footnote>
  <w:footnote w:id="9">
    <w:p w14:paraId="08A2B3E6" w14:textId="504323D3" w:rsidR="002953E9" w:rsidRPr="002953E9" w:rsidRDefault="002953E9" w:rsidP="002C6760">
      <w:pPr>
        <w:pStyle w:val="FootnoteText"/>
        <w:jc w:val="both"/>
        <w:rPr>
          <w:lang w:val="en-US"/>
        </w:rPr>
      </w:pPr>
      <w:r>
        <w:rPr>
          <w:rStyle w:val="FootnoteReference"/>
        </w:rPr>
        <w:footnoteRef/>
      </w:r>
      <w:r>
        <w:t xml:space="preserve"> </w:t>
      </w:r>
      <w:r w:rsidR="007D47F5" w:rsidRPr="004B77CE">
        <w:rPr>
          <w:i/>
          <w:iCs/>
          <w:lang w:val="en-US"/>
        </w:rPr>
        <w:t>Van der Plaats v SA Mutual</w:t>
      </w:r>
      <w:r w:rsidR="00D368ED" w:rsidRPr="004B77CE">
        <w:rPr>
          <w:i/>
          <w:iCs/>
          <w:lang w:val="en-US"/>
        </w:rPr>
        <w:t xml:space="preserve"> Fire &amp; </w:t>
      </w:r>
      <w:r w:rsidR="007D47F5" w:rsidRPr="004B77CE">
        <w:rPr>
          <w:i/>
          <w:iCs/>
          <w:lang w:val="en-US"/>
        </w:rPr>
        <w:t>General Insurance Co Ltd</w:t>
      </w:r>
      <w:r w:rsidR="00997813">
        <w:rPr>
          <w:lang w:val="en-US"/>
        </w:rPr>
        <w:t xml:space="preserve"> [1980] 2 All SA 129 (A).</w:t>
      </w:r>
    </w:p>
  </w:footnote>
  <w:footnote w:id="10">
    <w:p w14:paraId="3AD61631" w14:textId="0DBBB3D8" w:rsidR="007309FC" w:rsidRPr="007309FC" w:rsidRDefault="007309FC" w:rsidP="002C6760">
      <w:pPr>
        <w:pStyle w:val="FootnoteText"/>
        <w:jc w:val="both"/>
        <w:rPr>
          <w:lang w:val="en-US"/>
        </w:rPr>
      </w:pPr>
      <w:r>
        <w:rPr>
          <w:rStyle w:val="FootnoteReference"/>
        </w:rPr>
        <w:footnoteRef/>
      </w:r>
      <w:r>
        <w:t xml:space="preserve"> </w:t>
      </w:r>
      <w:r w:rsidR="00466A9D">
        <w:rPr>
          <w:lang w:val="en-US"/>
        </w:rPr>
        <w:t xml:space="preserve">This was the plaintiff’s age at the date of the report, 17 April 2019. </w:t>
      </w:r>
    </w:p>
  </w:footnote>
  <w:footnote w:id="11">
    <w:p w14:paraId="6B9764CD" w14:textId="5B32DF13" w:rsidR="000D67FD" w:rsidRPr="000D67FD" w:rsidRDefault="000D67FD" w:rsidP="002C6760">
      <w:pPr>
        <w:pStyle w:val="FootnoteText"/>
        <w:jc w:val="both"/>
        <w:rPr>
          <w:lang w:val="en-US"/>
        </w:rPr>
      </w:pPr>
      <w:r>
        <w:rPr>
          <w:rStyle w:val="FootnoteReference"/>
        </w:rPr>
        <w:footnoteRef/>
      </w:r>
      <w:r>
        <w:t xml:space="preserve"> </w:t>
      </w:r>
      <w:r>
        <w:rPr>
          <w:lang w:val="en-US"/>
        </w:rPr>
        <w:t xml:space="preserve">The report is signed by </w:t>
      </w:r>
      <w:r w:rsidR="00953742">
        <w:rPr>
          <w:lang w:val="en-US"/>
        </w:rPr>
        <w:t xml:space="preserve">a Mr Willem Boshoff and co-signed by a Mr Eddie Theron, both </w:t>
      </w:r>
      <w:r w:rsidR="008946B3">
        <w:rPr>
          <w:lang w:val="en-US"/>
        </w:rPr>
        <w:t>indicating that they are fellows of the Actuarial Society of South Africa.</w:t>
      </w:r>
    </w:p>
  </w:footnote>
  <w:footnote w:id="12">
    <w:p w14:paraId="07A62A4C" w14:textId="4390EEAF" w:rsidR="00E624DC" w:rsidRPr="00E624DC" w:rsidRDefault="00E624DC" w:rsidP="002C6760">
      <w:pPr>
        <w:pStyle w:val="FootnoteText"/>
        <w:jc w:val="both"/>
        <w:rPr>
          <w:lang w:val="en-US"/>
        </w:rPr>
      </w:pPr>
      <w:r>
        <w:rPr>
          <w:rStyle w:val="FootnoteReference"/>
        </w:rPr>
        <w:footnoteRef/>
      </w:r>
      <w:r>
        <w:t xml:space="preserve"> </w:t>
      </w:r>
      <w:r>
        <w:rPr>
          <w:lang w:val="en-US"/>
        </w:rPr>
        <w:t>The plaintiff</w:t>
      </w:r>
      <w:r w:rsidR="005955D3">
        <w:rPr>
          <w:lang w:val="en-US"/>
        </w:rPr>
        <w:t>’s counsel</w:t>
      </w:r>
      <w:r>
        <w:rPr>
          <w:lang w:val="en-US"/>
        </w:rPr>
        <w:t xml:space="preserve"> </w:t>
      </w:r>
      <w:r w:rsidR="003F60E4">
        <w:rPr>
          <w:lang w:val="en-US"/>
        </w:rPr>
        <w:t>used the terms, ‘past loss of earnings’ and ‘future loss of earnings’, respectively</w:t>
      </w:r>
      <w:r w:rsidR="005955D3">
        <w:rPr>
          <w:lang w:val="en-US"/>
        </w:rPr>
        <w:t xml:space="preserve">. </w:t>
      </w:r>
      <w:r w:rsidR="00ED3557">
        <w:rPr>
          <w:lang w:val="en-US"/>
        </w:rPr>
        <w:t>T</w:t>
      </w:r>
      <w:r w:rsidR="005955D3">
        <w:rPr>
          <w:lang w:val="en-US"/>
        </w:rPr>
        <w:t>he terms used by the defendant’s counsel are preferred.</w:t>
      </w:r>
    </w:p>
  </w:footnote>
  <w:footnote w:id="13">
    <w:p w14:paraId="5A3A905F" w14:textId="1063D77C" w:rsidR="00D172FD" w:rsidRPr="00D172FD" w:rsidRDefault="00D172FD" w:rsidP="002C6760">
      <w:pPr>
        <w:pStyle w:val="FootnoteText"/>
        <w:jc w:val="both"/>
        <w:rPr>
          <w:lang w:val="en-US"/>
        </w:rPr>
      </w:pPr>
      <w:r>
        <w:rPr>
          <w:rStyle w:val="FootnoteReference"/>
        </w:rPr>
        <w:footnoteRef/>
      </w:r>
      <w:r>
        <w:t xml:space="preserve"> </w:t>
      </w:r>
      <w:r w:rsidR="009703D4">
        <w:rPr>
          <w:lang w:val="en-US"/>
        </w:rPr>
        <w:t>(RAF209/15) [2017] ZANWHC</w:t>
      </w:r>
      <w:r w:rsidR="001F1C24">
        <w:rPr>
          <w:lang w:val="en-US"/>
        </w:rPr>
        <w:t xml:space="preserve"> 124 (</w:t>
      </w:r>
      <w:r w:rsidR="00B468D0">
        <w:rPr>
          <w:lang w:val="en-US"/>
        </w:rPr>
        <w:t>5 October 2017).</w:t>
      </w:r>
    </w:p>
  </w:footnote>
  <w:footnote w:id="14">
    <w:p w14:paraId="4289FC00" w14:textId="73E5DF6A" w:rsidR="00E91F8D" w:rsidRPr="00E91F8D" w:rsidRDefault="00E91F8D" w:rsidP="002C6760">
      <w:pPr>
        <w:pStyle w:val="FootnoteText"/>
        <w:jc w:val="both"/>
        <w:rPr>
          <w:lang w:val="en-US"/>
        </w:rPr>
      </w:pPr>
      <w:r>
        <w:rPr>
          <w:rStyle w:val="FootnoteReference"/>
        </w:rPr>
        <w:footnoteRef/>
      </w:r>
      <w:r>
        <w:t xml:space="preserve"> </w:t>
      </w:r>
      <w:r>
        <w:rPr>
          <w:lang w:val="en-US"/>
        </w:rPr>
        <w:t>At paragraph [14].</w:t>
      </w:r>
    </w:p>
  </w:footnote>
  <w:footnote w:id="15">
    <w:p w14:paraId="08B73178" w14:textId="4BBBC7B6" w:rsidR="00674CC6" w:rsidRPr="00674CC6" w:rsidRDefault="00674CC6" w:rsidP="002C6760">
      <w:pPr>
        <w:pStyle w:val="FootnoteText"/>
        <w:jc w:val="both"/>
        <w:rPr>
          <w:lang w:val="en-US"/>
        </w:rPr>
      </w:pPr>
      <w:r>
        <w:rPr>
          <w:rStyle w:val="FootnoteReference"/>
        </w:rPr>
        <w:footnoteRef/>
      </w:r>
      <w:r>
        <w:t xml:space="preserve"> </w:t>
      </w:r>
      <w:r>
        <w:rPr>
          <w:lang w:val="en-US"/>
        </w:rPr>
        <w:t>(4484/2016) [2018] ZAGPJHC 451 (18 June 2018).</w:t>
      </w:r>
    </w:p>
  </w:footnote>
  <w:footnote w:id="16">
    <w:p w14:paraId="35991B85" w14:textId="281F68C0" w:rsidR="00674CC6" w:rsidRPr="00674CC6" w:rsidRDefault="00674CC6" w:rsidP="002C6760">
      <w:pPr>
        <w:pStyle w:val="FootnoteText"/>
        <w:jc w:val="both"/>
        <w:rPr>
          <w:lang w:val="en-US"/>
        </w:rPr>
      </w:pPr>
      <w:r>
        <w:rPr>
          <w:rStyle w:val="FootnoteReference"/>
        </w:rPr>
        <w:footnoteRef/>
      </w:r>
      <w:r>
        <w:t xml:space="preserve"> </w:t>
      </w:r>
      <w:r>
        <w:rPr>
          <w:lang w:val="en-US"/>
        </w:rPr>
        <w:t>At paragraphs [15] and [16].</w:t>
      </w:r>
    </w:p>
  </w:footnote>
  <w:footnote w:id="17">
    <w:p w14:paraId="55519AB7" w14:textId="00F4F093" w:rsidR="006147F1" w:rsidRPr="006147F1" w:rsidRDefault="006147F1" w:rsidP="002C6760">
      <w:pPr>
        <w:pStyle w:val="FootnoteText"/>
        <w:jc w:val="both"/>
        <w:rPr>
          <w:lang w:val="en-US"/>
        </w:rPr>
      </w:pPr>
      <w:r>
        <w:rPr>
          <w:rStyle w:val="FootnoteReference"/>
        </w:rPr>
        <w:footnoteRef/>
      </w:r>
      <w:r>
        <w:t xml:space="preserve"> </w:t>
      </w:r>
      <w:r>
        <w:rPr>
          <w:lang w:val="en-US"/>
        </w:rPr>
        <w:t xml:space="preserve">As to whether such an avenue is open to the defendant, in the circumstances, is doubtful. </w:t>
      </w:r>
      <w:r w:rsidR="00B22CF0">
        <w:rPr>
          <w:lang w:val="en-US"/>
        </w:rPr>
        <w:t>The issue</w:t>
      </w:r>
      <w:r w:rsidR="009F4685">
        <w:rPr>
          <w:lang w:val="en-US"/>
        </w:rPr>
        <w:t xml:space="preserve"> </w:t>
      </w:r>
      <w:r w:rsidR="00B22CF0">
        <w:rPr>
          <w:lang w:val="en-US"/>
        </w:rPr>
        <w:t>is not for the present court to decide.</w:t>
      </w:r>
    </w:p>
  </w:footnote>
  <w:footnote w:id="18">
    <w:p w14:paraId="14354FED" w14:textId="3D9CB238" w:rsidR="00F05535" w:rsidRPr="00F05535" w:rsidRDefault="00F05535" w:rsidP="002C6760">
      <w:pPr>
        <w:pStyle w:val="FootnoteText"/>
        <w:jc w:val="both"/>
        <w:rPr>
          <w:lang w:val="en-US"/>
        </w:rPr>
      </w:pPr>
      <w:r>
        <w:rPr>
          <w:rStyle w:val="FootnoteReference"/>
        </w:rPr>
        <w:footnoteRef/>
      </w:r>
      <w:r>
        <w:t xml:space="preserve"> </w:t>
      </w:r>
      <w:r w:rsidR="00546E74">
        <w:rPr>
          <w:lang w:val="en-US"/>
        </w:rPr>
        <w:t xml:space="preserve">Koch, </w:t>
      </w:r>
      <w:r w:rsidR="00546E74" w:rsidRPr="00362BA8">
        <w:rPr>
          <w:i/>
          <w:iCs/>
          <w:lang w:val="en-US"/>
        </w:rPr>
        <w:t>The Quantum Yearbook</w:t>
      </w:r>
      <w:r w:rsidR="00546E74">
        <w:rPr>
          <w:lang w:val="en-US"/>
        </w:rPr>
        <w:t xml:space="preserve"> (Van Zyl Rudd &amp; Associates</w:t>
      </w:r>
      <w:r w:rsidR="00F60F73">
        <w:rPr>
          <w:lang w:val="en-US"/>
        </w:rPr>
        <w:t xml:space="preserve"> (Pty) Ltd, Port Elizabeth, 2021).</w:t>
      </w:r>
    </w:p>
  </w:footnote>
  <w:footnote w:id="19">
    <w:p w14:paraId="792CC4D6" w14:textId="282D2540" w:rsidR="00E34477" w:rsidRPr="00E34477" w:rsidRDefault="00E34477" w:rsidP="002C6760">
      <w:pPr>
        <w:pStyle w:val="FootnoteText"/>
        <w:jc w:val="both"/>
        <w:rPr>
          <w:lang w:val="en-US"/>
        </w:rPr>
      </w:pPr>
      <w:r>
        <w:rPr>
          <w:rStyle w:val="FootnoteReference"/>
        </w:rPr>
        <w:footnoteRef/>
      </w:r>
      <w:r>
        <w:t xml:space="preserve"> </w:t>
      </w:r>
      <w:r>
        <w:rPr>
          <w:lang w:val="en-US"/>
        </w:rPr>
        <w:t>At 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367800"/>
      <w:docPartObj>
        <w:docPartGallery w:val="Page Numbers (Top of Page)"/>
        <w:docPartUnique/>
      </w:docPartObj>
    </w:sdtPr>
    <w:sdtEndPr>
      <w:rPr>
        <w:noProof/>
      </w:rPr>
    </w:sdtEndPr>
    <w:sdtContent>
      <w:p w14:paraId="53BB83CF" w14:textId="0163E6F2" w:rsidR="002C6760" w:rsidRDefault="002C6760">
        <w:pPr>
          <w:pStyle w:val="Header"/>
          <w:jc w:val="center"/>
        </w:pPr>
        <w:r>
          <w:fldChar w:fldCharType="begin"/>
        </w:r>
        <w:r>
          <w:instrText xml:space="preserve"> PAGE   \* MERGEFORMAT </w:instrText>
        </w:r>
        <w:r>
          <w:fldChar w:fldCharType="separate"/>
        </w:r>
        <w:r w:rsidR="00960F80">
          <w:rPr>
            <w:noProof/>
          </w:rPr>
          <w:t>5</w:t>
        </w:r>
        <w:r>
          <w:rPr>
            <w:noProof/>
          </w:rPr>
          <w:fldChar w:fldCharType="end"/>
        </w:r>
      </w:p>
    </w:sdtContent>
  </w:sdt>
  <w:p w14:paraId="3298BA38" w14:textId="77777777" w:rsidR="002C6760" w:rsidRDefault="002C6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1524B"/>
    <w:multiLevelType w:val="hybridMultilevel"/>
    <w:tmpl w:val="83107432"/>
    <w:lvl w:ilvl="0" w:tplc="2F2C1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66350"/>
    <w:multiLevelType w:val="hybridMultilevel"/>
    <w:tmpl w:val="686EA13C"/>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D11CBE"/>
    <w:multiLevelType w:val="hybridMultilevel"/>
    <w:tmpl w:val="C6D0D228"/>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B151C24"/>
    <w:multiLevelType w:val="hybridMultilevel"/>
    <w:tmpl w:val="27625748"/>
    <w:lvl w:ilvl="0" w:tplc="EB3846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862341"/>
    <w:multiLevelType w:val="hybridMultilevel"/>
    <w:tmpl w:val="3CBC714A"/>
    <w:lvl w:ilvl="0" w:tplc="7C460B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700782"/>
    <w:multiLevelType w:val="hybridMultilevel"/>
    <w:tmpl w:val="8DB60406"/>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93D3715"/>
    <w:multiLevelType w:val="hybridMultilevel"/>
    <w:tmpl w:val="C1B02E36"/>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EFB57C6"/>
    <w:multiLevelType w:val="hybridMultilevel"/>
    <w:tmpl w:val="BD3C4194"/>
    <w:lvl w:ilvl="0" w:tplc="D08E55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7"/>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30"/>
    <w:rsid w:val="00000C2B"/>
    <w:rsid w:val="00001CA9"/>
    <w:rsid w:val="00012258"/>
    <w:rsid w:val="000127F4"/>
    <w:rsid w:val="000152BF"/>
    <w:rsid w:val="00021EA9"/>
    <w:rsid w:val="00024AB1"/>
    <w:rsid w:val="00027D22"/>
    <w:rsid w:val="000422D6"/>
    <w:rsid w:val="000756A6"/>
    <w:rsid w:val="00083873"/>
    <w:rsid w:val="00084D2B"/>
    <w:rsid w:val="000902AE"/>
    <w:rsid w:val="00096390"/>
    <w:rsid w:val="000A3239"/>
    <w:rsid w:val="000B718F"/>
    <w:rsid w:val="000C1A2C"/>
    <w:rsid w:val="000C4F25"/>
    <w:rsid w:val="000C7D0B"/>
    <w:rsid w:val="000D03FE"/>
    <w:rsid w:val="000D67FD"/>
    <w:rsid w:val="000F4513"/>
    <w:rsid w:val="000F6963"/>
    <w:rsid w:val="000F6BA7"/>
    <w:rsid w:val="000F71A1"/>
    <w:rsid w:val="00102993"/>
    <w:rsid w:val="00112366"/>
    <w:rsid w:val="00116FF8"/>
    <w:rsid w:val="0011761C"/>
    <w:rsid w:val="00121514"/>
    <w:rsid w:val="001229CB"/>
    <w:rsid w:val="00130073"/>
    <w:rsid w:val="00137313"/>
    <w:rsid w:val="001415D5"/>
    <w:rsid w:val="00143488"/>
    <w:rsid w:val="0015368F"/>
    <w:rsid w:val="00154543"/>
    <w:rsid w:val="001566EE"/>
    <w:rsid w:val="00160372"/>
    <w:rsid w:val="00166709"/>
    <w:rsid w:val="001678B3"/>
    <w:rsid w:val="00171B3B"/>
    <w:rsid w:val="00177968"/>
    <w:rsid w:val="001873D7"/>
    <w:rsid w:val="001A26AE"/>
    <w:rsid w:val="001A3AD4"/>
    <w:rsid w:val="001A5F1C"/>
    <w:rsid w:val="001A6B7B"/>
    <w:rsid w:val="001A7BD6"/>
    <w:rsid w:val="001B20C2"/>
    <w:rsid w:val="001B51E9"/>
    <w:rsid w:val="001C4C13"/>
    <w:rsid w:val="001C5022"/>
    <w:rsid w:val="001C6BC0"/>
    <w:rsid w:val="001C7F33"/>
    <w:rsid w:val="001D435E"/>
    <w:rsid w:val="001D6B98"/>
    <w:rsid w:val="001D6D06"/>
    <w:rsid w:val="001E5629"/>
    <w:rsid w:val="001E749A"/>
    <w:rsid w:val="001E7537"/>
    <w:rsid w:val="001F1C24"/>
    <w:rsid w:val="001F2C54"/>
    <w:rsid w:val="001F4AFA"/>
    <w:rsid w:val="00202495"/>
    <w:rsid w:val="00203708"/>
    <w:rsid w:val="00211532"/>
    <w:rsid w:val="00211C65"/>
    <w:rsid w:val="00217596"/>
    <w:rsid w:val="0021788B"/>
    <w:rsid w:val="00217A03"/>
    <w:rsid w:val="002201E9"/>
    <w:rsid w:val="002203B6"/>
    <w:rsid w:val="00220F17"/>
    <w:rsid w:val="0022235E"/>
    <w:rsid w:val="00222718"/>
    <w:rsid w:val="00242C4E"/>
    <w:rsid w:val="002475F9"/>
    <w:rsid w:val="00251A12"/>
    <w:rsid w:val="002520A3"/>
    <w:rsid w:val="00264D32"/>
    <w:rsid w:val="00267D11"/>
    <w:rsid w:val="0027306A"/>
    <w:rsid w:val="00290EFD"/>
    <w:rsid w:val="002953E9"/>
    <w:rsid w:val="00295B72"/>
    <w:rsid w:val="00296F5B"/>
    <w:rsid w:val="002A33A8"/>
    <w:rsid w:val="002A57C3"/>
    <w:rsid w:val="002B6CC4"/>
    <w:rsid w:val="002C6760"/>
    <w:rsid w:val="002D3913"/>
    <w:rsid w:val="002D5102"/>
    <w:rsid w:val="002E249D"/>
    <w:rsid w:val="002E4363"/>
    <w:rsid w:val="002E5FDC"/>
    <w:rsid w:val="002E60F7"/>
    <w:rsid w:val="003023A4"/>
    <w:rsid w:val="003031BD"/>
    <w:rsid w:val="00305EBC"/>
    <w:rsid w:val="003065B0"/>
    <w:rsid w:val="00306660"/>
    <w:rsid w:val="00313A8D"/>
    <w:rsid w:val="00315F68"/>
    <w:rsid w:val="00327202"/>
    <w:rsid w:val="00327E9C"/>
    <w:rsid w:val="00343CFC"/>
    <w:rsid w:val="0034799D"/>
    <w:rsid w:val="00354E2A"/>
    <w:rsid w:val="00356360"/>
    <w:rsid w:val="00356A21"/>
    <w:rsid w:val="00362BA8"/>
    <w:rsid w:val="003678BA"/>
    <w:rsid w:val="003723E2"/>
    <w:rsid w:val="0038138A"/>
    <w:rsid w:val="00387D06"/>
    <w:rsid w:val="00394FB9"/>
    <w:rsid w:val="003A183C"/>
    <w:rsid w:val="003A3DA5"/>
    <w:rsid w:val="003A5C87"/>
    <w:rsid w:val="003B0DF1"/>
    <w:rsid w:val="003B1176"/>
    <w:rsid w:val="003B18CF"/>
    <w:rsid w:val="003D120A"/>
    <w:rsid w:val="003D2C4B"/>
    <w:rsid w:val="003D32C3"/>
    <w:rsid w:val="003D45C5"/>
    <w:rsid w:val="003E611A"/>
    <w:rsid w:val="003F35AE"/>
    <w:rsid w:val="003F60E4"/>
    <w:rsid w:val="003F697B"/>
    <w:rsid w:val="00403642"/>
    <w:rsid w:val="00406D40"/>
    <w:rsid w:val="00406D73"/>
    <w:rsid w:val="004074CA"/>
    <w:rsid w:val="00415702"/>
    <w:rsid w:val="0042033D"/>
    <w:rsid w:val="0042769C"/>
    <w:rsid w:val="0044013F"/>
    <w:rsid w:val="00442B1A"/>
    <w:rsid w:val="00445EA9"/>
    <w:rsid w:val="00446B40"/>
    <w:rsid w:val="00454322"/>
    <w:rsid w:val="00455C96"/>
    <w:rsid w:val="00456D90"/>
    <w:rsid w:val="004641A4"/>
    <w:rsid w:val="00466A9D"/>
    <w:rsid w:val="00470BBC"/>
    <w:rsid w:val="0047324D"/>
    <w:rsid w:val="00474757"/>
    <w:rsid w:val="00476175"/>
    <w:rsid w:val="004922CC"/>
    <w:rsid w:val="00492DD3"/>
    <w:rsid w:val="00493CA5"/>
    <w:rsid w:val="004A2990"/>
    <w:rsid w:val="004A3294"/>
    <w:rsid w:val="004A487F"/>
    <w:rsid w:val="004B0738"/>
    <w:rsid w:val="004B250A"/>
    <w:rsid w:val="004B464F"/>
    <w:rsid w:val="004B77CE"/>
    <w:rsid w:val="004C0029"/>
    <w:rsid w:val="004C22B7"/>
    <w:rsid w:val="004C5F89"/>
    <w:rsid w:val="004D3BED"/>
    <w:rsid w:val="004E712E"/>
    <w:rsid w:val="004F6152"/>
    <w:rsid w:val="00502A34"/>
    <w:rsid w:val="0050766F"/>
    <w:rsid w:val="00507AFF"/>
    <w:rsid w:val="0052114E"/>
    <w:rsid w:val="00526FB5"/>
    <w:rsid w:val="00532BA6"/>
    <w:rsid w:val="0053641C"/>
    <w:rsid w:val="00546E74"/>
    <w:rsid w:val="00552DA2"/>
    <w:rsid w:val="00572EBD"/>
    <w:rsid w:val="005746D5"/>
    <w:rsid w:val="00576144"/>
    <w:rsid w:val="00581D80"/>
    <w:rsid w:val="00582BBE"/>
    <w:rsid w:val="00585DC7"/>
    <w:rsid w:val="005955D3"/>
    <w:rsid w:val="00596493"/>
    <w:rsid w:val="005A3A7B"/>
    <w:rsid w:val="005A58CE"/>
    <w:rsid w:val="005A655E"/>
    <w:rsid w:val="005A7BB8"/>
    <w:rsid w:val="005C0496"/>
    <w:rsid w:val="005C0ABF"/>
    <w:rsid w:val="005C25EB"/>
    <w:rsid w:val="005C2CCA"/>
    <w:rsid w:val="005D2833"/>
    <w:rsid w:val="005D6CD9"/>
    <w:rsid w:val="005E15B5"/>
    <w:rsid w:val="005E3D51"/>
    <w:rsid w:val="005E6430"/>
    <w:rsid w:val="005F526B"/>
    <w:rsid w:val="005F79B7"/>
    <w:rsid w:val="0060421B"/>
    <w:rsid w:val="00605416"/>
    <w:rsid w:val="00607145"/>
    <w:rsid w:val="006075B6"/>
    <w:rsid w:val="00613825"/>
    <w:rsid w:val="006138A3"/>
    <w:rsid w:val="006147F1"/>
    <w:rsid w:val="00631ABA"/>
    <w:rsid w:val="00632CE7"/>
    <w:rsid w:val="00634541"/>
    <w:rsid w:val="00645340"/>
    <w:rsid w:val="00650BC1"/>
    <w:rsid w:val="006539D1"/>
    <w:rsid w:val="00667128"/>
    <w:rsid w:val="0067403D"/>
    <w:rsid w:val="00674CC6"/>
    <w:rsid w:val="006838D4"/>
    <w:rsid w:val="0068797D"/>
    <w:rsid w:val="006A1204"/>
    <w:rsid w:val="006A49F3"/>
    <w:rsid w:val="006B11F0"/>
    <w:rsid w:val="006B2A8C"/>
    <w:rsid w:val="006B3FE1"/>
    <w:rsid w:val="006B4E32"/>
    <w:rsid w:val="006B5CE2"/>
    <w:rsid w:val="006C09BC"/>
    <w:rsid w:val="006D66B1"/>
    <w:rsid w:val="006F60EA"/>
    <w:rsid w:val="006F64E9"/>
    <w:rsid w:val="00710DF2"/>
    <w:rsid w:val="00712EF0"/>
    <w:rsid w:val="007146C8"/>
    <w:rsid w:val="007163A8"/>
    <w:rsid w:val="00725EFD"/>
    <w:rsid w:val="007278DB"/>
    <w:rsid w:val="007300BF"/>
    <w:rsid w:val="007309FC"/>
    <w:rsid w:val="00734839"/>
    <w:rsid w:val="00742F8C"/>
    <w:rsid w:val="007506C9"/>
    <w:rsid w:val="007514DB"/>
    <w:rsid w:val="00757A68"/>
    <w:rsid w:val="00757B7C"/>
    <w:rsid w:val="00773397"/>
    <w:rsid w:val="00776150"/>
    <w:rsid w:val="00780A59"/>
    <w:rsid w:val="007813E6"/>
    <w:rsid w:val="00784516"/>
    <w:rsid w:val="0078597C"/>
    <w:rsid w:val="00787F25"/>
    <w:rsid w:val="00790DF2"/>
    <w:rsid w:val="00792986"/>
    <w:rsid w:val="007A62EC"/>
    <w:rsid w:val="007B3EEF"/>
    <w:rsid w:val="007C3B68"/>
    <w:rsid w:val="007C5F5C"/>
    <w:rsid w:val="007D47F5"/>
    <w:rsid w:val="007D55D7"/>
    <w:rsid w:val="007D5DBD"/>
    <w:rsid w:val="007E4606"/>
    <w:rsid w:val="007F38E0"/>
    <w:rsid w:val="007F3F53"/>
    <w:rsid w:val="007F564B"/>
    <w:rsid w:val="007F6272"/>
    <w:rsid w:val="008002E8"/>
    <w:rsid w:val="0081329A"/>
    <w:rsid w:val="00814F37"/>
    <w:rsid w:val="0081552A"/>
    <w:rsid w:val="00815EF2"/>
    <w:rsid w:val="00817CC7"/>
    <w:rsid w:val="00833043"/>
    <w:rsid w:val="00834AE9"/>
    <w:rsid w:val="00841753"/>
    <w:rsid w:val="00853857"/>
    <w:rsid w:val="00855784"/>
    <w:rsid w:val="008628D4"/>
    <w:rsid w:val="008630E2"/>
    <w:rsid w:val="0086454C"/>
    <w:rsid w:val="00867937"/>
    <w:rsid w:val="00870268"/>
    <w:rsid w:val="0087194C"/>
    <w:rsid w:val="008739C6"/>
    <w:rsid w:val="008823BC"/>
    <w:rsid w:val="00885001"/>
    <w:rsid w:val="008946B3"/>
    <w:rsid w:val="008A7AEF"/>
    <w:rsid w:val="008B168A"/>
    <w:rsid w:val="008D3561"/>
    <w:rsid w:val="008D35DD"/>
    <w:rsid w:val="008D493C"/>
    <w:rsid w:val="008D57F5"/>
    <w:rsid w:val="008E0B2C"/>
    <w:rsid w:val="008E1AF6"/>
    <w:rsid w:val="008E45B6"/>
    <w:rsid w:val="009017BC"/>
    <w:rsid w:val="00904ACB"/>
    <w:rsid w:val="00906448"/>
    <w:rsid w:val="00907E5F"/>
    <w:rsid w:val="00922DBB"/>
    <w:rsid w:val="00924275"/>
    <w:rsid w:val="009266F5"/>
    <w:rsid w:val="00926D41"/>
    <w:rsid w:val="00946B05"/>
    <w:rsid w:val="009510AB"/>
    <w:rsid w:val="00953742"/>
    <w:rsid w:val="00953975"/>
    <w:rsid w:val="009560D5"/>
    <w:rsid w:val="00960A7C"/>
    <w:rsid w:val="00960F80"/>
    <w:rsid w:val="00963A97"/>
    <w:rsid w:val="00965BD4"/>
    <w:rsid w:val="00965E36"/>
    <w:rsid w:val="009703D4"/>
    <w:rsid w:val="00997813"/>
    <w:rsid w:val="009A61BD"/>
    <w:rsid w:val="009A64F4"/>
    <w:rsid w:val="009B1218"/>
    <w:rsid w:val="009B2C18"/>
    <w:rsid w:val="009C2330"/>
    <w:rsid w:val="009C24D2"/>
    <w:rsid w:val="009C68B8"/>
    <w:rsid w:val="009D768A"/>
    <w:rsid w:val="009D7F05"/>
    <w:rsid w:val="009D7FDD"/>
    <w:rsid w:val="009E1606"/>
    <w:rsid w:val="009E4D2E"/>
    <w:rsid w:val="009E6646"/>
    <w:rsid w:val="009F4685"/>
    <w:rsid w:val="00A0113D"/>
    <w:rsid w:val="00A02879"/>
    <w:rsid w:val="00A02FBC"/>
    <w:rsid w:val="00A079D2"/>
    <w:rsid w:val="00A1614F"/>
    <w:rsid w:val="00A17351"/>
    <w:rsid w:val="00A33849"/>
    <w:rsid w:val="00A35667"/>
    <w:rsid w:val="00A42227"/>
    <w:rsid w:val="00A4551E"/>
    <w:rsid w:val="00A47AF2"/>
    <w:rsid w:val="00A52F6A"/>
    <w:rsid w:val="00A535FC"/>
    <w:rsid w:val="00A617F0"/>
    <w:rsid w:val="00A65191"/>
    <w:rsid w:val="00A71B25"/>
    <w:rsid w:val="00A832A6"/>
    <w:rsid w:val="00A839C9"/>
    <w:rsid w:val="00A903D5"/>
    <w:rsid w:val="00AA265A"/>
    <w:rsid w:val="00AA28F3"/>
    <w:rsid w:val="00AA5A93"/>
    <w:rsid w:val="00AB16CF"/>
    <w:rsid w:val="00AB7F8F"/>
    <w:rsid w:val="00AC15AB"/>
    <w:rsid w:val="00AD5FCF"/>
    <w:rsid w:val="00AD7228"/>
    <w:rsid w:val="00AE23DD"/>
    <w:rsid w:val="00AE6808"/>
    <w:rsid w:val="00AE6EE2"/>
    <w:rsid w:val="00AF420B"/>
    <w:rsid w:val="00AF4FC2"/>
    <w:rsid w:val="00AF759B"/>
    <w:rsid w:val="00B01169"/>
    <w:rsid w:val="00B02AFC"/>
    <w:rsid w:val="00B0680F"/>
    <w:rsid w:val="00B106E2"/>
    <w:rsid w:val="00B22CF0"/>
    <w:rsid w:val="00B2581A"/>
    <w:rsid w:val="00B34EC7"/>
    <w:rsid w:val="00B35821"/>
    <w:rsid w:val="00B419F2"/>
    <w:rsid w:val="00B468D0"/>
    <w:rsid w:val="00B54213"/>
    <w:rsid w:val="00B72A45"/>
    <w:rsid w:val="00B73734"/>
    <w:rsid w:val="00B740C1"/>
    <w:rsid w:val="00B74852"/>
    <w:rsid w:val="00B77121"/>
    <w:rsid w:val="00B80AF8"/>
    <w:rsid w:val="00B83DB3"/>
    <w:rsid w:val="00B92778"/>
    <w:rsid w:val="00B967C8"/>
    <w:rsid w:val="00BC28E2"/>
    <w:rsid w:val="00BC55A1"/>
    <w:rsid w:val="00BD3557"/>
    <w:rsid w:val="00BD57CE"/>
    <w:rsid w:val="00BD6B40"/>
    <w:rsid w:val="00BE53D3"/>
    <w:rsid w:val="00BF04C0"/>
    <w:rsid w:val="00BF0B30"/>
    <w:rsid w:val="00BF602F"/>
    <w:rsid w:val="00C0423B"/>
    <w:rsid w:val="00C05676"/>
    <w:rsid w:val="00C074E6"/>
    <w:rsid w:val="00C1107F"/>
    <w:rsid w:val="00C26231"/>
    <w:rsid w:val="00C306A4"/>
    <w:rsid w:val="00C324C5"/>
    <w:rsid w:val="00C33B61"/>
    <w:rsid w:val="00C4431F"/>
    <w:rsid w:val="00C44591"/>
    <w:rsid w:val="00C47992"/>
    <w:rsid w:val="00C725BA"/>
    <w:rsid w:val="00C771A2"/>
    <w:rsid w:val="00C77A2A"/>
    <w:rsid w:val="00C80A85"/>
    <w:rsid w:val="00CA15F6"/>
    <w:rsid w:val="00CA5C44"/>
    <w:rsid w:val="00CB4A8F"/>
    <w:rsid w:val="00CB5A9F"/>
    <w:rsid w:val="00CC3D68"/>
    <w:rsid w:val="00CC44E7"/>
    <w:rsid w:val="00CC7C4E"/>
    <w:rsid w:val="00CD50F1"/>
    <w:rsid w:val="00CE17F3"/>
    <w:rsid w:val="00CE46A1"/>
    <w:rsid w:val="00CE4DB0"/>
    <w:rsid w:val="00CE5E8D"/>
    <w:rsid w:val="00CF3719"/>
    <w:rsid w:val="00CF5379"/>
    <w:rsid w:val="00CF571E"/>
    <w:rsid w:val="00CF6483"/>
    <w:rsid w:val="00CF72B5"/>
    <w:rsid w:val="00D01389"/>
    <w:rsid w:val="00D0369C"/>
    <w:rsid w:val="00D11908"/>
    <w:rsid w:val="00D172FD"/>
    <w:rsid w:val="00D20680"/>
    <w:rsid w:val="00D21447"/>
    <w:rsid w:val="00D240D5"/>
    <w:rsid w:val="00D30300"/>
    <w:rsid w:val="00D368ED"/>
    <w:rsid w:val="00D431AE"/>
    <w:rsid w:val="00D47085"/>
    <w:rsid w:val="00D51CE2"/>
    <w:rsid w:val="00D6264C"/>
    <w:rsid w:val="00D70894"/>
    <w:rsid w:val="00D713E6"/>
    <w:rsid w:val="00D725A8"/>
    <w:rsid w:val="00D74309"/>
    <w:rsid w:val="00D74D7E"/>
    <w:rsid w:val="00D825FF"/>
    <w:rsid w:val="00D9008B"/>
    <w:rsid w:val="00D96D90"/>
    <w:rsid w:val="00DA6ECF"/>
    <w:rsid w:val="00DB259E"/>
    <w:rsid w:val="00DD0E89"/>
    <w:rsid w:val="00DD3430"/>
    <w:rsid w:val="00DD5BAC"/>
    <w:rsid w:val="00DE1303"/>
    <w:rsid w:val="00DE1BBA"/>
    <w:rsid w:val="00DE7511"/>
    <w:rsid w:val="00DF09D3"/>
    <w:rsid w:val="00DF0ECC"/>
    <w:rsid w:val="00DF328F"/>
    <w:rsid w:val="00E00276"/>
    <w:rsid w:val="00E01DE5"/>
    <w:rsid w:val="00E1124C"/>
    <w:rsid w:val="00E11ECF"/>
    <w:rsid w:val="00E15E5E"/>
    <w:rsid w:val="00E219A2"/>
    <w:rsid w:val="00E2328A"/>
    <w:rsid w:val="00E23FAD"/>
    <w:rsid w:val="00E24111"/>
    <w:rsid w:val="00E25720"/>
    <w:rsid w:val="00E27409"/>
    <w:rsid w:val="00E34477"/>
    <w:rsid w:val="00E34907"/>
    <w:rsid w:val="00E370F0"/>
    <w:rsid w:val="00E55818"/>
    <w:rsid w:val="00E572D5"/>
    <w:rsid w:val="00E60725"/>
    <w:rsid w:val="00E624DC"/>
    <w:rsid w:val="00E62881"/>
    <w:rsid w:val="00E62C24"/>
    <w:rsid w:val="00E63CC6"/>
    <w:rsid w:val="00E652B5"/>
    <w:rsid w:val="00E67845"/>
    <w:rsid w:val="00E7088D"/>
    <w:rsid w:val="00E738BD"/>
    <w:rsid w:val="00E81608"/>
    <w:rsid w:val="00E83A89"/>
    <w:rsid w:val="00E91F8D"/>
    <w:rsid w:val="00EA11E9"/>
    <w:rsid w:val="00EA271C"/>
    <w:rsid w:val="00EA5C79"/>
    <w:rsid w:val="00EC0985"/>
    <w:rsid w:val="00EC19AB"/>
    <w:rsid w:val="00EC5871"/>
    <w:rsid w:val="00ED0DC2"/>
    <w:rsid w:val="00ED118E"/>
    <w:rsid w:val="00ED3557"/>
    <w:rsid w:val="00ED6612"/>
    <w:rsid w:val="00EE21C1"/>
    <w:rsid w:val="00EE40F6"/>
    <w:rsid w:val="00EE6FC4"/>
    <w:rsid w:val="00EF16A2"/>
    <w:rsid w:val="00F0210B"/>
    <w:rsid w:val="00F02644"/>
    <w:rsid w:val="00F05535"/>
    <w:rsid w:val="00F06011"/>
    <w:rsid w:val="00F072B3"/>
    <w:rsid w:val="00F221AE"/>
    <w:rsid w:val="00F22F0D"/>
    <w:rsid w:val="00F23455"/>
    <w:rsid w:val="00F317F1"/>
    <w:rsid w:val="00F31AD5"/>
    <w:rsid w:val="00F333C8"/>
    <w:rsid w:val="00F36912"/>
    <w:rsid w:val="00F44286"/>
    <w:rsid w:val="00F45547"/>
    <w:rsid w:val="00F5203B"/>
    <w:rsid w:val="00F55111"/>
    <w:rsid w:val="00F56FC2"/>
    <w:rsid w:val="00F60F73"/>
    <w:rsid w:val="00F70A9F"/>
    <w:rsid w:val="00F72EAD"/>
    <w:rsid w:val="00F801C2"/>
    <w:rsid w:val="00F828E9"/>
    <w:rsid w:val="00F90C7F"/>
    <w:rsid w:val="00F91471"/>
    <w:rsid w:val="00FA6203"/>
    <w:rsid w:val="00FB69F2"/>
    <w:rsid w:val="00FE0E47"/>
    <w:rsid w:val="00FE185F"/>
    <w:rsid w:val="00FF2410"/>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BE8A"/>
  <w15:chartTrackingRefBased/>
  <w15:docId w15:val="{78CDFF01-48C8-4E69-99B0-9B5D3B14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B61"/>
    <w:pPr>
      <w:ind w:left="720"/>
      <w:contextualSpacing/>
    </w:pPr>
  </w:style>
  <w:style w:type="paragraph" w:styleId="FootnoteText">
    <w:name w:val="footnote text"/>
    <w:basedOn w:val="Normal"/>
    <w:link w:val="FootnoteTextChar"/>
    <w:uiPriority w:val="99"/>
    <w:semiHidden/>
    <w:unhideWhenUsed/>
    <w:rsid w:val="000D6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7FD"/>
    <w:rPr>
      <w:sz w:val="20"/>
      <w:szCs w:val="20"/>
      <w:lang w:val="en-ZA"/>
    </w:rPr>
  </w:style>
  <w:style w:type="character" w:styleId="FootnoteReference">
    <w:name w:val="footnote reference"/>
    <w:basedOn w:val="DefaultParagraphFont"/>
    <w:uiPriority w:val="99"/>
    <w:semiHidden/>
    <w:unhideWhenUsed/>
    <w:rsid w:val="000D67FD"/>
    <w:rPr>
      <w:vertAlign w:val="superscript"/>
    </w:rPr>
  </w:style>
  <w:style w:type="table" w:styleId="TableGrid">
    <w:name w:val="Table Grid"/>
    <w:basedOn w:val="TableNormal"/>
    <w:uiPriority w:val="39"/>
    <w:rsid w:val="0016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6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760"/>
    <w:rPr>
      <w:lang w:val="en-ZA"/>
    </w:rPr>
  </w:style>
  <w:style w:type="paragraph" w:styleId="Footer">
    <w:name w:val="footer"/>
    <w:basedOn w:val="Normal"/>
    <w:link w:val="FooterChar"/>
    <w:uiPriority w:val="99"/>
    <w:unhideWhenUsed/>
    <w:rsid w:val="002C6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760"/>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4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Mokone</cp:lastModifiedBy>
  <cp:revision>3</cp:revision>
  <cp:lastPrinted>2023-03-28T06:24:00Z</cp:lastPrinted>
  <dcterms:created xsi:type="dcterms:W3CDTF">2023-03-31T11:18:00Z</dcterms:created>
  <dcterms:modified xsi:type="dcterms:W3CDTF">2023-03-31T11:19:00Z</dcterms:modified>
</cp:coreProperties>
</file>