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BD57" w14:textId="77777777" w:rsidR="001677DF" w:rsidRPr="00DB2A06" w:rsidRDefault="001677DF" w:rsidP="001677DF">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6FC6CF61" w14:textId="77777777" w:rsidR="001677DF" w:rsidRDefault="001677DF" w:rsidP="00CD1FE1">
      <w:pPr>
        <w:widowControl w:val="0"/>
        <w:spacing w:after="0" w:line="360" w:lineRule="auto"/>
        <w:jc w:val="center"/>
        <w:rPr>
          <w:rFonts w:ascii="Arial" w:eastAsia="Times New Roman" w:hAnsi="Arial" w:cs="Arial"/>
          <w:noProof/>
          <w:sz w:val="24"/>
          <w:szCs w:val="24"/>
          <w:lang w:val="en-US"/>
        </w:rPr>
      </w:pPr>
    </w:p>
    <w:p w14:paraId="4D1E31AC" w14:textId="77777777" w:rsidR="00CD1FE1" w:rsidRPr="003304AD" w:rsidRDefault="00CD1FE1" w:rsidP="00CD1FE1">
      <w:pPr>
        <w:widowControl w:val="0"/>
        <w:spacing w:after="0" w:line="360" w:lineRule="auto"/>
        <w:jc w:val="center"/>
        <w:rPr>
          <w:rFonts w:ascii="Arial" w:eastAsia="Times New Roman" w:hAnsi="Arial" w:cs="Arial"/>
          <w:sz w:val="24"/>
          <w:szCs w:val="24"/>
        </w:rPr>
      </w:pPr>
      <w:r w:rsidRPr="003304AD">
        <w:rPr>
          <w:rFonts w:ascii="Arial" w:eastAsia="Times New Roman" w:hAnsi="Arial" w:cs="Arial"/>
          <w:noProof/>
          <w:sz w:val="24"/>
          <w:szCs w:val="24"/>
          <w:lang w:val="en-US"/>
        </w:rPr>
        <w:drawing>
          <wp:inline distT="0" distB="0" distL="0" distR="0" wp14:anchorId="6524B573" wp14:editId="4C51E574">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1A646C0D" w14:textId="77777777" w:rsidR="00CD1FE1" w:rsidRPr="003304AD" w:rsidRDefault="00CD1FE1" w:rsidP="00CD1FE1">
      <w:pPr>
        <w:widowControl w:val="0"/>
        <w:spacing w:after="0" w:line="360" w:lineRule="auto"/>
        <w:jc w:val="center"/>
        <w:rPr>
          <w:rFonts w:ascii="Arial" w:eastAsia="Times New Roman" w:hAnsi="Arial" w:cs="Arial"/>
          <w:b/>
          <w:sz w:val="24"/>
          <w:szCs w:val="24"/>
        </w:rPr>
      </w:pPr>
      <w:r w:rsidRPr="003304AD">
        <w:rPr>
          <w:rFonts w:ascii="Arial" w:eastAsia="Times New Roman" w:hAnsi="Arial" w:cs="Arial"/>
          <w:b/>
          <w:sz w:val="24"/>
          <w:szCs w:val="24"/>
        </w:rPr>
        <w:t>IN THE HIGH COURT OF SOUTH AFRICA</w:t>
      </w:r>
    </w:p>
    <w:p w14:paraId="1991FD07" w14:textId="2DE09B48" w:rsidR="00CD1FE1" w:rsidRPr="003304AD" w:rsidRDefault="00CD1FE1" w:rsidP="00CD1FE1">
      <w:pPr>
        <w:widowControl w:val="0"/>
        <w:tabs>
          <w:tab w:val="right" w:pos="9213"/>
        </w:tabs>
        <w:spacing w:line="720" w:lineRule="auto"/>
        <w:jc w:val="center"/>
        <w:rPr>
          <w:rFonts w:ascii="Arial" w:hAnsi="Arial" w:cs="Arial"/>
          <w:sz w:val="24"/>
          <w:szCs w:val="24"/>
        </w:rPr>
      </w:pPr>
      <w:r>
        <w:rPr>
          <w:rFonts w:ascii="Arial" w:hAnsi="Arial" w:cs="Arial"/>
          <w:b/>
          <w:sz w:val="24"/>
          <w:szCs w:val="24"/>
        </w:rPr>
        <w:t>(</w:t>
      </w:r>
      <w:r w:rsidRPr="003304AD">
        <w:rPr>
          <w:rFonts w:ascii="Arial" w:hAnsi="Arial" w:cs="Arial"/>
          <w:b/>
          <w:sz w:val="24"/>
          <w:szCs w:val="24"/>
        </w:rPr>
        <w:t xml:space="preserve">EASTERN CAPE DIVISION, </w:t>
      </w:r>
      <w:r>
        <w:rPr>
          <w:rFonts w:ascii="Arial" w:hAnsi="Arial" w:cs="Arial"/>
          <w:b/>
          <w:sz w:val="24"/>
          <w:szCs w:val="24"/>
        </w:rPr>
        <w:t>MAKHANDA)</w:t>
      </w:r>
    </w:p>
    <w:p w14:paraId="10A4A1E7" w14:textId="1D0A5233" w:rsidR="00CD1FE1" w:rsidRDefault="00CD1FE1" w:rsidP="00CD1FE1">
      <w:pPr>
        <w:widowControl w:val="0"/>
        <w:tabs>
          <w:tab w:val="right" w:pos="9213"/>
        </w:tabs>
        <w:spacing w:line="240" w:lineRule="auto"/>
        <w:rPr>
          <w:rFonts w:ascii="Arial" w:hAnsi="Arial" w:cs="Arial"/>
          <w:sz w:val="24"/>
          <w:szCs w:val="24"/>
        </w:rPr>
      </w:pPr>
      <w:r w:rsidRPr="003304AD">
        <w:rPr>
          <w:rFonts w:ascii="Arial" w:hAnsi="Arial" w:cs="Arial"/>
          <w:sz w:val="24"/>
          <w:szCs w:val="24"/>
        </w:rPr>
        <w:tab/>
        <w:t xml:space="preserve">CASE NO. </w:t>
      </w:r>
      <w:r>
        <w:rPr>
          <w:rFonts w:ascii="Arial" w:hAnsi="Arial" w:cs="Arial"/>
          <w:sz w:val="24"/>
          <w:szCs w:val="24"/>
        </w:rPr>
        <w:t>135/2020</w:t>
      </w:r>
    </w:p>
    <w:p w14:paraId="16E3E2C7" w14:textId="77777777" w:rsidR="00CD1FE1" w:rsidRDefault="00CD1FE1" w:rsidP="00CD1FE1">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14:paraId="3F7FA730" w14:textId="25B9EDEF" w:rsidR="00CD1FE1" w:rsidRDefault="001677DF" w:rsidP="00CD1FE1">
      <w:pPr>
        <w:widowControl w:val="0"/>
        <w:tabs>
          <w:tab w:val="right" w:pos="9213"/>
        </w:tabs>
        <w:spacing w:line="360" w:lineRule="auto"/>
        <w:rPr>
          <w:rFonts w:ascii="Arial" w:hAnsi="Arial" w:cs="Arial"/>
          <w:b/>
          <w:sz w:val="24"/>
          <w:szCs w:val="24"/>
        </w:rPr>
      </w:pPr>
      <w:r>
        <w:rPr>
          <w:rFonts w:ascii="Arial" w:hAnsi="Arial" w:cs="Arial"/>
          <w:b/>
          <w:sz w:val="24"/>
          <w:szCs w:val="24"/>
        </w:rPr>
        <w:t>E V (born S</w:t>
      </w:r>
      <w:r w:rsidR="00CD1FE1">
        <w:rPr>
          <w:rFonts w:ascii="Arial" w:hAnsi="Arial" w:cs="Arial"/>
          <w:b/>
          <w:sz w:val="24"/>
          <w:szCs w:val="24"/>
        </w:rPr>
        <w:t>)</w:t>
      </w:r>
      <w:r w:rsidR="00CD1FE1" w:rsidRPr="003304AD">
        <w:rPr>
          <w:rFonts w:ascii="Arial" w:hAnsi="Arial" w:cs="Arial"/>
          <w:b/>
          <w:sz w:val="24"/>
          <w:szCs w:val="24"/>
        </w:rPr>
        <w:tab/>
      </w:r>
      <w:r w:rsidR="00CD1FE1">
        <w:rPr>
          <w:rFonts w:ascii="Arial" w:hAnsi="Arial" w:cs="Arial"/>
          <w:b/>
          <w:sz w:val="24"/>
          <w:szCs w:val="24"/>
        </w:rPr>
        <w:t>Plaintiff</w:t>
      </w:r>
    </w:p>
    <w:p w14:paraId="1C3362BA" w14:textId="77777777" w:rsidR="00CD1FE1" w:rsidRDefault="00CD1FE1" w:rsidP="00CD1FE1">
      <w:pPr>
        <w:widowControl w:val="0"/>
        <w:tabs>
          <w:tab w:val="right" w:pos="9213"/>
        </w:tabs>
        <w:spacing w:line="480" w:lineRule="auto"/>
        <w:rPr>
          <w:rFonts w:ascii="Arial" w:hAnsi="Arial" w:cs="Arial"/>
          <w:sz w:val="24"/>
          <w:szCs w:val="24"/>
        </w:rPr>
      </w:pPr>
      <w:proofErr w:type="gramStart"/>
      <w:r>
        <w:rPr>
          <w:rFonts w:ascii="Arial" w:hAnsi="Arial" w:cs="Arial"/>
          <w:sz w:val="24"/>
          <w:szCs w:val="24"/>
        </w:rPr>
        <w:t>and</w:t>
      </w:r>
      <w:proofErr w:type="gramEnd"/>
    </w:p>
    <w:p w14:paraId="7A5F4685" w14:textId="30C9266C" w:rsidR="00CD1FE1" w:rsidRDefault="001677DF" w:rsidP="00CD1FE1">
      <w:pPr>
        <w:widowControl w:val="0"/>
        <w:tabs>
          <w:tab w:val="right" w:pos="9213"/>
        </w:tabs>
        <w:spacing w:line="360" w:lineRule="auto"/>
        <w:rPr>
          <w:rFonts w:ascii="Arial" w:hAnsi="Arial" w:cs="Arial"/>
          <w:b/>
          <w:sz w:val="24"/>
          <w:szCs w:val="24"/>
        </w:rPr>
      </w:pPr>
      <w:r>
        <w:rPr>
          <w:rFonts w:ascii="Arial" w:hAnsi="Arial" w:cs="Arial"/>
          <w:b/>
          <w:sz w:val="24"/>
          <w:szCs w:val="24"/>
        </w:rPr>
        <w:t>J H V</w:t>
      </w:r>
      <w:r w:rsidR="00CD1FE1" w:rsidRPr="003304AD">
        <w:rPr>
          <w:rFonts w:ascii="Arial" w:hAnsi="Arial" w:cs="Arial"/>
          <w:b/>
          <w:sz w:val="24"/>
          <w:szCs w:val="24"/>
        </w:rPr>
        <w:tab/>
      </w:r>
      <w:r w:rsidR="00CD1FE1">
        <w:rPr>
          <w:rFonts w:ascii="Arial" w:hAnsi="Arial" w:cs="Arial"/>
          <w:b/>
          <w:sz w:val="24"/>
          <w:szCs w:val="24"/>
        </w:rPr>
        <w:t>First Defendant</w:t>
      </w:r>
    </w:p>
    <w:p w14:paraId="5396A623" w14:textId="4A74419A" w:rsidR="00CD1FE1" w:rsidRDefault="001677DF" w:rsidP="00CD1FE1">
      <w:pPr>
        <w:widowControl w:val="0"/>
        <w:tabs>
          <w:tab w:val="right" w:pos="9213"/>
        </w:tabs>
        <w:spacing w:line="360" w:lineRule="auto"/>
        <w:rPr>
          <w:rFonts w:ascii="Arial" w:hAnsi="Arial" w:cs="Arial"/>
          <w:b/>
          <w:sz w:val="24"/>
          <w:szCs w:val="24"/>
        </w:rPr>
      </w:pPr>
      <w:r>
        <w:rPr>
          <w:rFonts w:ascii="Arial" w:hAnsi="Arial" w:cs="Arial"/>
          <w:b/>
          <w:sz w:val="24"/>
          <w:szCs w:val="24"/>
        </w:rPr>
        <w:t>J H V</w:t>
      </w:r>
      <w:r w:rsidR="00CD1FE1">
        <w:rPr>
          <w:rFonts w:ascii="Arial" w:hAnsi="Arial" w:cs="Arial"/>
          <w:b/>
          <w:sz w:val="24"/>
          <w:szCs w:val="24"/>
        </w:rPr>
        <w:t xml:space="preserve"> N.O.</w:t>
      </w:r>
      <w:r w:rsidR="00CD1FE1">
        <w:rPr>
          <w:rFonts w:ascii="Arial" w:hAnsi="Arial" w:cs="Arial"/>
          <w:b/>
          <w:sz w:val="24"/>
          <w:szCs w:val="24"/>
        </w:rPr>
        <w:tab/>
        <w:t>Second Defendant</w:t>
      </w:r>
    </w:p>
    <w:p w14:paraId="6F55BC81" w14:textId="494EE959" w:rsidR="00CD1FE1" w:rsidRDefault="001677DF" w:rsidP="00CD1FE1">
      <w:pPr>
        <w:widowControl w:val="0"/>
        <w:tabs>
          <w:tab w:val="right" w:pos="9213"/>
        </w:tabs>
        <w:spacing w:line="360" w:lineRule="auto"/>
        <w:rPr>
          <w:rFonts w:ascii="Arial" w:hAnsi="Arial" w:cs="Arial"/>
          <w:b/>
          <w:sz w:val="24"/>
          <w:szCs w:val="24"/>
        </w:rPr>
      </w:pPr>
      <w:r>
        <w:rPr>
          <w:rFonts w:ascii="Arial" w:hAnsi="Arial" w:cs="Arial"/>
          <w:b/>
          <w:sz w:val="24"/>
          <w:szCs w:val="24"/>
        </w:rPr>
        <w:t>J</w:t>
      </w:r>
      <w:r w:rsidR="00CD1FE1">
        <w:rPr>
          <w:rFonts w:ascii="Arial" w:hAnsi="Arial" w:cs="Arial"/>
          <w:b/>
          <w:sz w:val="24"/>
          <w:szCs w:val="24"/>
        </w:rPr>
        <w:t xml:space="preserve"> </w:t>
      </w:r>
      <w:r>
        <w:rPr>
          <w:rFonts w:ascii="Arial" w:hAnsi="Arial" w:cs="Arial"/>
          <w:b/>
          <w:sz w:val="24"/>
          <w:szCs w:val="24"/>
        </w:rPr>
        <w:t>H V</w:t>
      </w:r>
      <w:r w:rsidR="00CD1FE1">
        <w:rPr>
          <w:rFonts w:ascii="Arial" w:hAnsi="Arial" w:cs="Arial"/>
          <w:b/>
          <w:sz w:val="24"/>
          <w:szCs w:val="24"/>
        </w:rPr>
        <w:t xml:space="preserve"> N.O.</w:t>
      </w:r>
      <w:r w:rsidR="00CD1FE1">
        <w:rPr>
          <w:rFonts w:ascii="Arial" w:hAnsi="Arial" w:cs="Arial"/>
          <w:b/>
          <w:sz w:val="24"/>
          <w:szCs w:val="24"/>
        </w:rPr>
        <w:tab/>
        <w:t>Third Defendant</w:t>
      </w:r>
    </w:p>
    <w:p w14:paraId="4D3D8FB0" w14:textId="24BAF39F" w:rsidR="00CD1FE1" w:rsidRDefault="00CD1FE1" w:rsidP="00CD1FE1">
      <w:pPr>
        <w:widowControl w:val="0"/>
        <w:tabs>
          <w:tab w:val="right" w:pos="9213"/>
        </w:tabs>
        <w:spacing w:line="360" w:lineRule="auto"/>
        <w:rPr>
          <w:rFonts w:ascii="Arial" w:hAnsi="Arial" w:cs="Arial"/>
          <w:b/>
          <w:sz w:val="24"/>
          <w:szCs w:val="24"/>
        </w:rPr>
      </w:pPr>
      <w:r>
        <w:rPr>
          <w:rFonts w:ascii="Arial" w:hAnsi="Arial" w:cs="Arial"/>
          <w:b/>
          <w:sz w:val="24"/>
          <w:szCs w:val="24"/>
        </w:rPr>
        <w:t>JOCEMUS PRISLOO VOSLOO N.O.</w:t>
      </w:r>
      <w:r>
        <w:rPr>
          <w:rFonts w:ascii="Arial" w:hAnsi="Arial" w:cs="Arial"/>
          <w:b/>
          <w:sz w:val="24"/>
          <w:szCs w:val="24"/>
        </w:rPr>
        <w:tab/>
        <w:t xml:space="preserve">Fourth Defendant </w:t>
      </w:r>
    </w:p>
    <w:p w14:paraId="3320E59E" w14:textId="247A5439" w:rsidR="00CD1FE1" w:rsidRDefault="00CD1FE1" w:rsidP="00CD1FE1">
      <w:pPr>
        <w:widowControl w:val="0"/>
        <w:tabs>
          <w:tab w:val="right" w:pos="9213"/>
        </w:tabs>
        <w:spacing w:line="240" w:lineRule="auto"/>
        <w:rPr>
          <w:rFonts w:ascii="Arial" w:hAnsi="Arial" w:cs="Arial"/>
          <w:b/>
          <w:sz w:val="24"/>
          <w:szCs w:val="24"/>
        </w:rPr>
      </w:pPr>
      <w:r>
        <w:rPr>
          <w:rFonts w:ascii="Arial" w:hAnsi="Arial" w:cs="Arial"/>
          <w:b/>
          <w:sz w:val="24"/>
          <w:szCs w:val="24"/>
        </w:rPr>
        <w:t xml:space="preserve">THE MASTER OF THE HIGH COURT, </w:t>
      </w:r>
    </w:p>
    <w:p w14:paraId="03FDD020" w14:textId="3267B5ED" w:rsidR="00CD1FE1" w:rsidRPr="00E80AB7" w:rsidRDefault="00CD1FE1" w:rsidP="00CD1FE1">
      <w:pPr>
        <w:widowControl w:val="0"/>
        <w:tabs>
          <w:tab w:val="right" w:pos="9213"/>
        </w:tabs>
        <w:spacing w:line="240" w:lineRule="auto"/>
        <w:rPr>
          <w:rFonts w:ascii="Arial" w:hAnsi="Arial" w:cs="Arial"/>
          <w:b/>
          <w:sz w:val="24"/>
          <w:szCs w:val="24"/>
          <w:lang w:val="en-GB"/>
        </w:rPr>
      </w:pPr>
      <w:r>
        <w:rPr>
          <w:rFonts w:ascii="Arial" w:hAnsi="Arial" w:cs="Arial"/>
          <w:b/>
          <w:sz w:val="24"/>
          <w:szCs w:val="24"/>
        </w:rPr>
        <w:t xml:space="preserve">BLOEMFONTEIN </w:t>
      </w:r>
      <w:r>
        <w:rPr>
          <w:rFonts w:ascii="Arial" w:hAnsi="Arial" w:cs="Arial"/>
          <w:b/>
          <w:sz w:val="24"/>
          <w:szCs w:val="24"/>
        </w:rPr>
        <w:tab/>
        <w:t>Fifth Defendant</w:t>
      </w:r>
    </w:p>
    <w:p w14:paraId="440560E4" w14:textId="425D0ED9" w:rsidR="006413B5" w:rsidRPr="006413B5" w:rsidRDefault="006413B5" w:rsidP="006413B5">
      <w:pPr>
        <w:spacing w:line="360" w:lineRule="auto"/>
        <w:rPr>
          <w:rFonts w:ascii="Arial" w:hAnsi="Arial" w:cs="Arial"/>
          <w:sz w:val="24"/>
          <w:szCs w:val="24"/>
        </w:rPr>
      </w:pPr>
      <w:r w:rsidRPr="006413B5">
        <w:rPr>
          <w:rFonts w:ascii="Arial" w:hAnsi="Arial" w:cs="Arial"/>
          <w:sz w:val="24"/>
          <w:szCs w:val="24"/>
        </w:rPr>
        <w:t>______________________________________________________________________</w:t>
      </w:r>
    </w:p>
    <w:p w14:paraId="565A6362" w14:textId="694F5475" w:rsidR="006413B5" w:rsidRPr="006413B5" w:rsidRDefault="006413B5" w:rsidP="006413B5">
      <w:pPr>
        <w:spacing w:line="360" w:lineRule="auto"/>
        <w:jc w:val="center"/>
        <w:rPr>
          <w:rFonts w:ascii="Arial" w:hAnsi="Arial" w:cs="Arial"/>
          <w:b/>
          <w:bCs/>
          <w:sz w:val="24"/>
          <w:szCs w:val="24"/>
        </w:rPr>
      </w:pPr>
      <w:r w:rsidRPr="006413B5">
        <w:rPr>
          <w:rFonts w:ascii="Arial" w:hAnsi="Arial" w:cs="Arial"/>
          <w:b/>
          <w:bCs/>
          <w:sz w:val="24"/>
          <w:szCs w:val="24"/>
        </w:rPr>
        <w:t>JUDGMENT</w:t>
      </w:r>
    </w:p>
    <w:p w14:paraId="2367F16F" w14:textId="50E027A0" w:rsidR="006413B5" w:rsidRPr="006413B5" w:rsidRDefault="006413B5" w:rsidP="006413B5">
      <w:pPr>
        <w:spacing w:line="360" w:lineRule="auto"/>
        <w:rPr>
          <w:rFonts w:ascii="Arial" w:hAnsi="Arial" w:cs="Arial"/>
          <w:sz w:val="24"/>
          <w:szCs w:val="24"/>
        </w:rPr>
      </w:pPr>
      <w:r w:rsidRPr="006413B5">
        <w:rPr>
          <w:rFonts w:ascii="Arial" w:hAnsi="Arial" w:cs="Arial"/>
          <w:sz w:val="24"/>
          <w:szCs w:val="24"/>
        </w:rPr>
        <w:t>______________________________________________________________________</w:t>
      </w:r>
    </w:p>
    <w:p w14:paraId="26BB228F" w14:textId="578782A0" w:rsidR="006413B5" w:rsidRPr="006413B5" w:rsidRDefault="006413B5" w:rsidP="006413B5">
      <w:pPr>
        <w:spacing w:line="360" w:lineRule="auto"/>
        <w:rPr>
          <w:rFonts w:ascii="Arial" w:hAnsi="Arial" w:cs="Arial"/>
          <w:b/>
          <w:bCs/>
          <w:sz w:val="24"/>
          <w:szCs w:val="24"/>
        </w:rPr>
      </w:pPr>
      <w:r w:rsidRPr="006413B5">
        <w:rPr>
          <w:rFonts w:ascii="Arial" w:hAnsi="Arial" w:cs="Arial"/>
          <w:b/>
          <w:bCs/>
          <w:sz w:val="24"/>
          <w:szCs w:val="24"/>
        </w:rPr>
        <w:t>LAING J</w:t>
      </w:r>
    </w:p>
    <w:p w14:paraId="04AB0EB8" w14:textId="31604D1C" w:rsidR="006413B5" w:rsidRPr="006413B5" w:rsidRDefault="006413B5" w:rsidP="006413B5">
      <w:pPr>
        <w:spacing w:line="360" w:lineRule="auto"/>
        <w:rPr>
          <w:rFonts w:ascii="Arial" w:hAnsi="Arial" w:cs="Arial"/>
          <w:sz w:val="24"/>
          <w:szCs w:val="24"/>
        </w:rPr>
      </w:pPr>
    </w:p>
    <w:p w14:paraId="567B01B7" w14:textId="015CF5CE" w:rsidR="006413B5" w:rsidRPr="00CD1FE1" w:rsidRDefault="006413B5" w:rsidP="00CD1FE1">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lastRenderedPageBreak/>
        <w:t>This is an application for</w:t>
      </w:r>
      <w:r w:rsidR="00671042" w:rsidRPr="00CD1FE1">
        <w:rPr>
          <w:rFonts w:ascii="Arial" w:hAnsi="Arial" w:cs="Arial"/>
          <w:sz w:val="24"/>
          <w:szCs w:val="24"/>
        </w:rPr>
        <w:t xml:space="preserve"> the respondents to provide further and better particulars in response to the applicant’s request for trial particulars.</w:t>
      </w:r>
    </w:p>
    <w:p w14:paraId="27CB940F" w14:textId="77777777" w:rsidR="00671042" w:rsidRDefault="00671042" w:rsidP="006413B5">
      <w:pPr>
        <w:spacing w:line="360" w:lineRule="auto"/>
        <w:rPr>
          <w:rFonts w:ascii="Arial" w:hAnsi="Arial" w:cs="Arial"/>
          <w:sz w:val="24"/>
          <w:szCs w:val="24"/>
        </w:rPr>
      </w:pPr>
    </w:p>
    <w:p w14:paraId="664E7FC1" w14:textId="789FDC19" w:rsidR="00671042" w:rsidRPr="00671042" w:rsidRDefault="00671042" w:rsidP="006413B5">
      <w:pPr>
        <w:spacing w:line="360" w:lineRule="auto"/>
        <w:rPr>
          <w:rFonts w:ascii="Arial" w:hAnsi="Arial" w:cs="Arial"/>
          <w:b/>
          <w:bCs/>
          <w:sz w:val="24"/>
          <w:szCs w:val="24"/>
        </w:rPr>
      </w:pPr>
      <w:r w:rsidRPr="00671042">
        <w:rPr>
          <w:rFonts w:ascii="Arial" w:hAnsi="Arial" w:cs="Arial"/>
          <w:b/>
          <w:bCs/>
          <w:sz w:val="24"/>
          <w:szCs w:val="24"/>
        </w:rPr>
        <w:t>Background</w:t>
      </w:r>
    </w:p>
    <w:p w14:paraId="216893F5" w14:textId="77777777" w:rsidR="00671042" w:rsidRDefault="00671042" w:rsidP="006413B5">
      <w:pPr>
        <w:spacing w:line="360" w:lineRule="auto"/>
        <w:rPr>
          <w:rFonts w:ascii="Arial" w:hAnsi="Arial" w:cs="Arial"/>
          <w:sz w:val="24"/>
          <w:szCs w:val="24"/>
        </w:rPr>
      </w:pPr>
      <w:bookmarkStart w:id="0" w:name="_GoBack"/>
      <w:bookmarkEnd w:id="0"/>
    </w:p>
    <w:p w14:paraId="52517544" w14:textId="1A0C9DC1" w:rsidR="00CD1FE1" w:rsidRDefault="00671042"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The applicant and the first respondent married each other on 17 April 1992, out of community of property and with the application of the accrual system. Subsequently, the applicant</w:t>
      </w:r>
      <w:r w:rsidR="00C91B01" w:rsidRPr="00CD1FE1">
        <w:rPr>
          <w:rFonts w:ascii="Arial" w:hAnsi="Arial" w:cs="Arial"/>
          <w:sz w:val="24"/>
          <w:szCs w:val="24"/>
        </w:rPr>
        <w:t xml:space="preserve"> </w:t>
      </w:r>
      <w:r w:rsidRPr="00CD1FE1">
        <w:rPr>
          <w:rFonts w:ascii="Arial" w:hAnsi="Arial" w:cs="Arial"/>
          <w:sz w:val="24"/>
          <w:szCs w:val="24"/>
        </w:rPr>
        <w:t xml:space="preserve">instituted an action for divorce. She joined the </w:t>
      </w:r>
      <w:r w:rsidR="00000B7C" w:rsidRPr="00CD1FE1">
        <w:rPr>
          <w:rFonts w:ascii="Arial" w:hAnsi="Arial" w:cs="Arial"/>
          <w:sz w:val="24"/>
          <w:szCs w:val="24"/>
        </w:rPr>
        <w:t xml:space="preserve">second respondent in his capacity as trustee of the </w:t>
      </w:r>
      <w:proofErr w:type="spellStart"/>
      <w:r w:rsidR="00000B7C" w:rsidRPr="00CD1FE1">
        <w:rPr>
          <w:rFonts w:ascii="Arial" w:hAnsi="Arial" w:cs="Arial"/>
          <w:sz w:val="24"/>
          <w:szCs w:val="24"/>
        </w:rPr>
        <w:t>Lizann</w:t>
      </w:r>
      <w:proofErr w:type="spellEnd"/>
      <w:r w:rsidR="00000B7C" w:rsidRPr="00CD1FE1">
        <w:rPr>
          <w:rFonts w:ascii="Arial" w:hAnsi="Arial" w:cs="Arial"/>
          <w:sz w:val="24"/>
          <w:szCs w:val="24"/>
        </w:rPr>
        <w:t xml:space="preserve"> Trust, as well as the third and fourth respondents in their capacities as trustees of the </w:t>
      </w:r>
      <w:proofErr w:type="spellStart"/>
      <w:r w:rsidR="00000B7C" w:rsidRPr="00CD1FE1">
        <w:rPr>
          <w:rFonts w:ascii="Arial" w:hAnsi="Arial" w:cs="Arial"/>
          <w:sz w:val="24"/>
          <w:szCs w:val="24"/>
        </w:rPr>
        <w:t>Kesieberg</w:t>
      </w:r>
      <w:proofErr w:type="spellEnd"/>
      <w:r w:rsidR="00000B7C" w:rsidRPr="00CD1FE1">
        <w:rPr>
          <w:rFonts w:ascii="Arial" w:hAnsi="Arial" w:cs="Arial"/>
          <w:sz w:val="24"/>
          <w:szCs w:val="24"/>
        </w:rPr>
        <w:t xml:space="preserve"> </w:t>
      </w:r>
      <w:proofErr w:type="spellStart"/>
      <w:r w:rsidR="00000B7C" w:rsidRPr="00CD1FE1">
        <w:rPr>
          <w:rFonts w:ascii="Arial" w:hAnsi="Arial" w:cs="Arial"/>
          <w:sz w:val="24"/>
          <w:szCs w:val="24"/>
        </w:rPr>
        <w:t>Boerdery</w:t>
      </w:r>
      <w:proofErr w:type="spellEnd"/>
      <w:r w:rsidR="00000B7C" w:rsidRPr="00CD1FE1">
        <w:rPr>
          <w:rFonts w:ascii="Arial" w:hAnsi="Arial" w:cs="Arial"/>
          <w:sz w:val="24"/>
          <w:szCs w:val="24"/>
        </w:rPr>
        <w:t xml:space="preserve"> Trust.</w:t>
      </w:r>
    </w:p>
    <w:p w14:paraId="710CA5BD" w14:textId="77777777" w:rsidR="00CD1FE1" w:rsidRDefault="00CD1FE1" w:rsidP="00CD1FE1">
      <w:pPr>
        <w:pStyle w:val="ListParagraph"/>
        <w:spacing w:line="360" w:lineRule="auto"/>
        <w:ind w:left="0"/>
        <w:jc w:val="both"/>
        <w:rPr>
          <w:rFonts w:ascii="Arial" w:hAnsi="Arial" w:cs="Arial"/>
          <w:sz w:val="24"/>
          <w:szCs w:val="24"/>
        </w:rPr>
      </w:pPr>
    </w:p>
    <w:p w14:paraId="6A4BB2E0" w14:textId="77777777" w:rsidR="00CD1FE1" w:rsidRDefault="00000B7C"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In the divorce action, the applicant seeks, </w:t>
      </w:r>
      <w:r w:rsidRPr="00CD1FE1">
        <w:rPr>
          <w:rFonts w:ascii="Arial" w:hAnsi="Arial" w:cs="Arial"/>
          <w:i/>
          <w:iCs/>
          <w:sz w:val="24"/>
          <w:szCs w:val="24"/>
        </w:rPr>
        <w:t>inter alia</w:t>
      </w:r>
      <w:r w:rsidRPr="00CD1FE1">
        <w:rPr>
          <w:rFonts w:ascii="Arial" w:hAnsi="Arial" w:cs="Arial"/>
          <w:sz w:val="24"/>
          <w:szCs w:val="24"/>
        </w:rPr>
        <w:t xml:space="preserve">, an order declaring that the assets acquired by the above trusts are, in effect, owned by the first respondent in his personal capacity. She also seeks an order declaring that the net value of the trust assets must be </w:t>
      </w:r>
      <w:r w:rsidR="00C91B01" w:rsidRPr="00CD1FE1">
        <w:rPr>
          <w:rFonts w:ascii="Arial" w:hAnsi="Arial" w:cs="Arial"/>
          <w:sz w:val="24"/>
          <w:szCs w:val="24"/>
        </w:rPr>
        <w:t>considered</w:t>
      </w:r>
      <w:r w:rsidRPr="00CD1FE1">
        <w:rPr>
          <w:rFonts w:ascii="Arial" w:hAnsi="Arial" w:cs="Arial"/>
          <w:sz w:val="24"/>
          <w:szCs w:val="24"/>
        </w:rPr>
        <w:t xml:space="preserve"> when calculating accrual in relation to the first respondent’s estate. She further seeks an order directing the first respondent to pay one-half of the difference between the accrual for the parties’ respective estates. She seeks, too, an order directing the second to fourth respondents to transfer the trust assets to the first respondent</w:t>
      </w:r>
      <w:r w:rsidR="00857913" w:rsidRPr="00CD1FE1">
        <w:rPr>
          <w:rFonts w:ascii="Arial" w:hAnsi="Arial" w:cs="Arial"/>
          <w:sz w:val="24"/>
          <w:szCs w:val="24"/>
        </w:rPr>
        <w:t xml:space="preserve"> in his personal </w:t>
      </w:r>
      <w:r w:rsidR="00C91B01" w:rsidRPr="00CD1FE1">
        <w:rPr>
          <w:rFonts w:ascii="Arial" w:hAnsi="Arial" w:cs="Arial"/>
          <w:sz w:val="24"/>
          <w:szCs w:val="24"/>
        </w:rPr>
        <w:t>capacity if</w:t>
      </w:r>
      <w:r w:rsidR="00857913" w:rsidRPr="00CD1FE1">
        <w:rPr>
          <w:rFonts w:ascii="Arial" w:hAnsi="Arial" w:cs="Arial"/>
          <w:sz w:val="24"/>
          <w:szCs w:val="24"/>
        </w:rPr>
        <w:t xml:space="preserve"> he holds insufficient assets to satisfy the applicant’s accrual claim.</w:t>
      </w:r>
    </w:p>
    <w:p w14:paraId="751A3D73" w14:textId="77777777" w:rsidR="00CD1FE1" w:rsidRPr="00CD1FE1" w:rsidRDefault="00CD1FE1" w:rsidP="00CD1FE1">
      <w:pPr>
        <w:pStyle w:val="ListParagraph"/>
        <w:rPr>
          <w:rFonts w:ascii="Arial" w:hAnsi="Arial" w:cs="Arial"/>
          <w:sz w:val="24"/>
          <w:szCs w:val="24"/>
        </w:rPr>
      </w:pPr>
    </w:p>
    <w:p w14:paraId="5B5AA260" w14:textId="77777777" w:rsidR="00CD1FE1" w:rsidRDefault="00857913"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The applicant delivered a request for trial particulars. The respondents delivered a reply, which the applicant contends is insufficient.</w:t>
      </w:r>
    </w:p>
    <w:p w14:paraId="3F1428FF" w14:textId="77777777" w:rsidR="00CD1FE1" w:rsidRPr="00CD1FE1" w:rsidRDefault="00CD1FE1" w:rsidP="00CD1FE1">
      <w:pPr>
        <w:pStyle w:val="ListParagraph"/>
        <w:rPr>
          <w:rFonts w:ascii="Arial" w:hAnsi="Arial" w:cs="Arial"/>
          <w:sz w:val="24"/>
          <w:szCs w:val="24"/>
        </w:rPr>
      </w:pPr>
    </w:p>
    <w:p w14:paraId="781CC08F" w14:textId="77777777" w:rsidR="00CD1FE1" w:rsidRDefault="00857913"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In her founding affidavit, the applicant details the nature of the request made. She requested, </w:t>
      </w:r>
      <w:r w:rsidRPr="00CD1FE1">
        <w:rPr>
          <w:rFonts w:ascii="Arial" w:hAnsi="Arial" w:cs="Arial"/>
          <w:i/>
          <w:iCs/>
          <w:sz w:val="24"/>
          <w:szCs w:val="24"/>
        </w:rPr>
        <w:t>inter alia</w:t>
      </w:r>
      <w:r w:rsidRPr="00CD1FE1">
        <w:rPr>
          <w:rFonts w:ascii="Arial" w:hAnsi="Arial" w:cs="Arial"/>
          <w:sz w:val="24"/>
          <w:szCs w:val="24"/>
        </w:rPr>
        <w:t xml:space="preserve">: particulars of the bank accounts operated by the first respondent, including the current balances held therein; details of </w:t>
      </w:r>
      <w:r w:rsidR="00057BA5" w:rsidRPr="00CD1FE1">
        <w:rPr>
          <w:rFonts w:ascii="Arial" w:hAnsi="Arial" w:cs="Arial"/>
          <w:sz w:val="24"/>
          <w:szCs w:val="24"/>
        </w:rPr>
        <w:t xml:space="preserve">the first respondent’s </w:t>
      </w:r>
      <w:r w:rsidRPr="00CD1FE1">
        <w:rPr>
          <w:rFonts w:ascii="Arial" w:hAnsi="Arial" w:cs="Arial"/>
          <w:sz w:val="24"/>
          <w:szCs w:val="24"/>
        </w:rPr>
        <w:t>shares or member’s interests</w:t>
      </w:r>
      <w:r w:rsidR="00057BA5" w:rsidRPr="00CD1FE1">
        <w:rPr>
          <w:rFonts w:ascii="Arial" w:hAnsi="Arial" w:cs="Arial"/>
          <w:sz w:val="24"/>
          <w:szCs w:val="24"/>
        </w:rPr>
        <w:t xml:space="preserve">, investments, and loan accounts; information about any business entity in which he held an interest; particulars about his employment with </w:t>
      </w:r>
      <w:proofErr w:type="spellStart"/>
      <w:r w:rsidR="00057BA5" w:rsidRPr="00CD1FE1">
        <w:rPr>
          <w:rFonts w:ascii="Arial" w:hAnsi="Arial" w:cs="Arial"/>
          <w:sz w:val="24"/>
          <w:szCs w:val="24"/>
        </w:rPr>
        <w:t>Chemfit</w:t>
      </w:r>
      <w:proofErr w:type="spellEnd"/>
      <w:r w:rsidR="00057BA5" w:rsidRPr="00CD1FE1">
        <w:rPr>
          <w:rFonts w:ascii="Arial" w:hAnsi="Arial" w:cs="Arial"/>
          <w:sz w:val="24"/>
          <w:szCs w:val="24"/>
        </w:rPr>
        <w:t xml:space="preserve"> Fine Chemicals (Pty) Ltd; details of his gross and </w:t>
      </w:r>
      <w:proofErr w:type="spellStart"/>
      <w:r w:rsidR="00057BA5" w:rsidRPr="00CD1FE1">
        <w:rPr>
          <w:rFonts w:ascii="Arial" w:hAnsi="Arial" w:cs="Arial"/>
          <w:sz w:val="24"/>
          <w:szCs w:val="24"/>
        </w:rPr>
        <w:t>nett</w:t>
      </w:r>
      <w:proofErr w:type="spellEnd"/>
      <w:r w:rsidR="00057BA5" w:rsidRPr="00CD1FE1">
        <w:rPr>
          <w:rFonts w:ascii="Arial" w:hAnsi="Arial" w:cs="Arial"/>
          <w:sz w:val="24"/>
          <w:szCs w:val="24"/>
        </w:rPr>
        <w:t xml:space="preserve"> income for the past five years; </w:t>
      </w:r>
      <w:r w:rsidR="00057BA5" w:rsidRPr="00CD1FE1">
        <w:rPr>
          <w:rFonts w:ascii="Arial" w:hAnsi="Arial" w:cs="Arial"/>
          <w:sz w:val="24"/>
          <w:szCs w:val="24"/>
        </w:rPr>
        <w:lastRenderedPageBreak/>
        <w:t xml:space="preserve">information about his monthly expenditure, and his anticipated financial obligations; and particulars of trust assets and liabilities. </w:t>
      </w:r>
    </w:p>
    <w:p w14:paraId="021433C6" w14:textId="77777777" w:rsidR="00CD1FE1" w:rsidRPr="00CD1FE1" w:rsidRDefault="00CD1FE1" w:rsidP="00CD1FE1">
      <w:pPr>
        <w:pStyle w:val="ListParagraph"/>
        <w:rPr>
          <w:rFonts w:ascii="Arial" w:hAnsi="Arial" w:cs="Arial"/>
          <w:sz w:val="24"/>
          <w:szCs w:val="24"/>
        </w:rPr>
      </w:pPr>
    </w:p>
    <w:p w14:paraId="4A6EDFB8" w14:textId="77777777" w:rsidR="00CD1FE1" w:rsidRDefault="00622C77"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The applicant asserts that the respondents have not supplied the particulars sought. Moreover, she alleges that their replies to the request are vague and lack the necessary specificity. </w:t>
      </w:r>
    </w:p>
    <w:p w14:paraId="1A897635" w14:textId="77777777" w:rsidR="00CD1FE1" w:rsidRPr="00CD1FE1" w:rsidRDefault="00CD1FE1" w:rsidP="00CD1FE1">
      <w:pPr>
        <w:pStyle w:val="ListParagraph"/>
        <w:rPr>
          <w:rFonts w:ascii="Arial" w:hAnsi="Arial" w:cs="Arial"/>
          <w:sz w:val="24"/>
          <w:szCs w:val="24"/>
        </w:rPr>
      </w:pPr>
    </w:p>
    <w:p w14:paraId="21C17C6C" w14:textId="77777777" w:rsidR="00CD1FE1" w:rsidRDefault="00622C77"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On their part, the respondents argue that an accrual claim only arises on the date of the dissolution of the marriage, and not before. Consequently, contend the respondents, </w:t>
      </w:r>
      <w:r w:rsidR="003C6FEC" w:rsidRPr="00CD1FE1">
        <w:rPr>
          <w:rFonts w:ascii="Arial" w:hAnsi="Arial" w:cs="Arial"/>
          <w:sz w:val="24"/>
          <w:szCs w:val="24"/>
        </w:rPr>
        <w:t>any claim to that effect would be improper and irrelevant. There was no agreement between the parties that accrual could be determined at this stage of proceedings. There was, therefore, no need for the respondents to supply the particulars sought.</w:t>
      </w:r>
    </w:p>
    <w:p w14:paraId="16CEF6A8" w14:textId="77777777" w:rsidR="00CD1FE1" w:rsidRPr="00CD1FE1" w:rsidRDefault="00CD1FE1" w:rsidP="00CD1FE1">
      <w:pPr>
        <w:pStyle w:val="ListParagraph"/>
        <w:rPr>
          <w:rFonts w:ascii="Arial" w:hAnsi="Arial" w:cs="Arial"/>
          <w:sz w:val="24"/>
          <w:szCs w:val="24"/>
        </w:rPr>
      </w:pPr>
    </w:p>
    <w:p w14:paraId="6E5B434E" w14:textId="77777777" w:rsidR="00CD1FE1" w:rsidRDefault="003C6FEC"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Furthermore, the respondents point out that they have already provided details of the value of the first respondent’s estate. They have also made discovery regarding the trusts and have furnished documentation that the applicant previously requested in terms of rule 35(3), notwithstanding the respondents’ attitude that the </w:t>
      </w:r>
      <w:r w:rsidR="00FE541A" w:rsidRPr="00CD1FE1">
        <w:rPr>
          <w:rFonts w:ascii="Arial" w:hAnsi="Arial" w:cs="Arial"/>
          <w:sz w:val="24"/>
          <w:szCs w:val="24"/>
        </w:rPr>
        <w:t>information was irrelevant to the dispute. They argue that the applicant is in possession of all the particulars that she requires in relation to the issues to be adjudicated at trial.</w:t>
      </w:r>
    </w:p>
    <w:p w14:paraId="3E320BCF" w14:textId="77777777" w:rsidR="00CD1FE1" w:rsidRPr="00CD1FE1" w:rsidRDefault="00CD1FE1" w:rsidP="00CD1FE1">
      <w:pPr>
        <w:pStyle w:val="ListParagraph"/>
        <w:rPr>
          <w:rFonts w:ascii="Arial" w:hAnsi="Arial" w:cs="Arial"/>
          <w:sz w:val="24"/>
          <w:szCs w:val="24"/>
        </w:rPr>
      </w:pPr>
    </w:p>
    <w:p w14:paraId="3604F488" w14:textId="77777777" w:rsidR="00CD1FE1" w:rsidRDefault="00FE541A"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The respondents aver that they have discovered the financial statements of the business entities involved but admit that the first respondent has not discovered any in his personal capacity. He does not have any. </w:t>
      </w:r>
      <w:r w:rsidR="00752DB8" w:rsidRPr="00CD1FE1">
        <w:rPr>
          <w:rFonts w:ascii="Arial" w:hAnsi="Arial" w:cs="Arial"/>
          <w:sz w:val="24"/>
          <w:szCs w:val="24"/>
        </w:rPr>
        <w:t>Furthermore, the respondents state that the first respondent has already provided particulars in relation to his assets and liabilities, as well as information about his monthly expenditure</w:t>
      </w:r>
    </w:p>
    <w:p w14:paraId="7725CA1D" w14:textId="77777777" w:rsidR="00CD1FE1" w:rsidRPr="00CD1FE1" w:rsidRDefault="00CD1FE1" w:rsidP="00CD1FE1">
      <w:pPr>
        <w:pStyle w:val="ListParagraph"/>
        <w:rPr>
          <w:rFonts w:ascii="Arial" w:hAnsi="Arial" w:cs="Arial"/>
          <w:sz w:val="24"/>
          <w:szCs w:val="24"/>
        </w:rPr>
      </w:pPr>
    </w:p>
    <w:p w14:paraId="2B35CB16" w14:textId="13B586E6" w:rsidR="00FE541A" w:rsidRPr="00CD1FE1" w:rsidRDefault="00CE4AFC"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In reply, the applicant </w:t>
      </w:r>
      <w:r w:rsidR="00C47FF6" w:rsidRPr="00CD1FE1">
        <w:rPr>
          <w:rFonts w:ascii="Arial" w:hAnsi="Arial" w:cs="Arial"/>
          <w:sz w:val="24"/>
          <w:szCs w:val="24"/>
        </w:rPr>
        <w:t xml:space="preserve">draws attention to the contradictory nature of the particulars </w:t>
      </w:r>
      <w:r w:rsidR="00232A2A" w:rsidRPr="00CD1FE1">
        <w:rPr>
          <w:rFonts w:ascii="Arial" w:hAnsi="Arial" w:cs="Arial"/>
          <w:sz w:val="24"/>
          <w:szCs w:val="24"/>
        </w:rPr>
        <w:t>that the first respondent supplied in relation to his assets</w:t>
      </w:r>
      <w:r w:rsidR="00D015AA" w:rsidRPr="00CD1FE1">
        <w:rPr>
          <w:rFonts w:ascii="Arial" w:hAnsi="Arial" w:cs="Arial"/>
          <w:sz w:val="24"/>
          <w:szCs w:val="24"/>
        </w:rPr>
        <w:t xml:space="preserve">. Moreover, the </w:t>
      </w:r>
      <w:r w:rsidR="001308B2" w:rsidRPr="00CD1FE1">
        <w:rPr>
          <w:rFonts w:ascii="Arial" w:hAnsi="Arial" w:cs="Arial"/>
          <w:sz w:val="24"/>
          <w:szCs w:val="24"/>
        </w:rPr>
        <w:t>trust documents</w:t>
      </w:r>
      <w:r w:rsidR="00F052B6" w:rsidRPr="00CD1FE1">
        <w:rPr>
          <w:rFonts w:ascii="Arial" w:hAnsi="Arial" w:cs="Arial"/>
          <w:sz w:val="24"/>
          <w:szCs w:val="24"/>
        </w:rPr>
        <w:t>, as discovered, were outdated, unsigned and incomplete</w:t>
      </w:r>
      <w:r w:rsidR="000258CE" w:rsidRPr="00CD1FE1">
        <w:rPr>
          <w:rFonts w:ascii="Arial" w:hAnsi="Arial" w:cs="Arial"/>
          <w:sz w:val="24"/>
          <w:szCs w:val="24"/>
        </w:rPr>
        <w:t>.</w:t>
      </w:r>
      <w:r w:rsidR="00965107" w:rsidRPr="00CD1FE1">
        <w:rPr>
          <w:rFonts w:ascii="Arial" w:hAnsi="Arial" w:cs="Arial"/>
          <w:sz w:val="24"/>
          <w:szCs w:val="24"/>
        </w:rPr>
        <w:t xml:space="preserve"> Without the particulars requested, asserts the applicant, she is unable to prepare properly for trial or to instruct an account</w:t>
      </w:r>
      <w:r w:rsidR="0061770C" w:rsidRPr="00CD1FE1">
        <w:rPr>
          <w:rFonts w:ascii="Arial" w:hAnsi="Arial" w:cs="Arial"/>
          <w:sz w:val="24"/>
          <w:szCs w:val="24"/>
        </w:rPr>
        <w:t xml:space="preserve">ant </w:t>
      </w:r>
      <w:r w:rsidR="00965107" w:rsidRPr="00CD1FE1">
        <w:rPr>
          <w:rFonts w:ascii="Arial" w:hAnsi="Arial" w:cs="Arial"/>
          <w:sz w:val="24"/>
          <w:szCs w:val="24"/>
        </w:rPr>
        <w:t>for purposes of preparing an expert report.</w:t>
      </w:r>
    </w:p>
    <w:p w14:paraId="03EDE7C8" w14:textId="58E19123" w:rsidR="00965107" w:rsidRDefault="00965107" w:rsidP="006413B5">
      <w:pPr>
        <w:spacing w:line="360" w:lineRule="auto"/>
        <w:rPr>
          <w:rFonts w:ascii="Arial" w:hAnsi="Arial" w:cs="Arial"/>
          <w:sz w:val="24"/>
          <w:szCs w:val="24"/>
        </w:rPr>
      </w:pPr>
    </w:p>
    <w:p w14:paraId="6089CF5E" w14:textId="4E470909" w:rsidR="00965107" w:rsidRPr="00965107" w:rsidRDefault="00965107" w:rsidP="006413B5">
      <w:pPr>
        <w:spacing w:line="360" w:lineRule="auto"/>
        <w:rPr>
          <w:rFonts w:ascii="Arial" w:hAnsi="Arial" w:cs="Arial"/>
          <w:b/>
          <w:bCs/>
          <w:sz w:val="24"/>
          <w:szCs w:val="24"/>
        </w:rPr>
      </w:pPr>
      <w:r w:rsidRPr="00965107">
        <w:rPr>
          <w:rFonts w:ascii="Arial" w:hAnsi="Arial" w:cs="Arial"/>
          <w:b/>
          <w:bCs/>
          <w:sz w:val="24"/>
          <w:szCs w:val="24"/>
        </w:rPr>
        <w:t>Issues to be decided</w:t>
      </w:r>
    </w:p>
    <w:p w14:paraId="13231BFA" w14:textId="44F4EF1B" w:rsidR="00CD1FE1" w:rsidRDefault="00965107"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The court, in the present matter, is simply required to determine whether the applicant is entitled to further and better particulars. This will depend, primarily, on the nature of the relief sought in the divorce action.</w:t>
      </w:r>
    </w:p>
    <w:p w14:paraId="0385BBE0" w14:textId="77777777" w:rsidR="00CD1FE1" w:rsidRDefault="00CD1FE1" w:rsidP="00CD1FE1">
      <w:pPr>
        <w:pStyle w:val="ListParagraph"/>
        <w:spacing w:line="360" w:lineRule="auto"/>
        <w:ind w:left="0"/>
        <w:jc w:val="both"/>
        <w:rPr>
          <w:rFonts w:ascii="Arial" w:hAnsi="Arial" w:cs="Arial"/>
          <w:sz w:val="24"/>
          <w:szCs w:val="24"/>
        </w:rPr>
      </w:pPr>
    </w:p>
    <w:p w14:paraId="4A244090" w14:textId="14DA3B56" w:rsidR="00965107" w:rsidRPr="00CD1FE1" w:rsidRDefault="00965107"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We proceed to outline the applicable principles below.</w:t>
      </w:r>
    </w:p>
    <w:p w14:paraId="780B3BF5" w14:textId="620814E5" w:rsidR="00965107" w:rsidRDefault="00965107" w:rsidP="006413B5">
      <w:pPr>
        <w:spacing w:line="360" w:lineRule="auto"/>
        <w:rPr>
          <w:rFonts w:ascii="Arial" w:hAnsi="Arial" w:cs="Arial"/>
          <w:sz w:val="24"/>
          <w:szCs w:val="24"/>
        </w:rPr>
      </w:pPr>
    </w:p>
    <w:p w14:paraId="6B168ECC" w14:textId="44066BEC" w:rsidR="00965107" w:rsidRPr="00965107" w:rsidRDefault="00965107" w:rsidP="006413B5">
      <w:pPr>
        <w:spacing w:line="360" w:lineRule="auto"/>
        <w:rPr>
          <w:rFonts w:ascii="Arial" w:hAnsi="Arial" w:cs="Arial"/>
          <w:b/>
          <w:bCs/>
          <w:sz w:val="24"/>
          <w:szCs w:val="24"/>
        </w:rPr>
      </w:pPr>
      <w:r w:rsidRPr="00965107">
        <w:rPr>
          <w:rFonts w:ascii="Arial" w:hAnsi="Arial" w:cs="Arial"/>
          <w:b/>
          <w:bCs/>
          <w:sz w:val="24"/>
          <w:szCs w:val="24"/>
        </w:rPr>
        <w:t>Legal framework</w:t>
      </w:r>
    </w:p>
    <w:p w14:paraId="4567057D" w14:textId="1C4A7490" w:rsidR="00965107" w:rsidRDefault="00965107" w:rsidP="006413B5">
      <w:pPr>
        <w:spacing w:line="360" w:lineRule="auto"/>
        <w:rPr>
          <w:rFonts w:ascii="Arial" w:hAnsi="Arial" w:cs="Arial"/>
          <w:sz w:val="24"/>
          <w:szCs w:val="24"/>
        </w:rPr>
      </w:pPr>
    </w:p>
    <w:p w14:paraId="413DA8C3" w14:textId="77777777" w:rsidR="00642359" w:rsidRPr="00CD1FE1" w:rsidRDefault="00965107" w:rsidP="00CD1FE1">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A request for trial particulars</w:t>
      </w:r>
      <w:r w:rsidR="00642359" w:rsidRPr="00CD1FE1">
        <w:rPr>
          <w:rFonts w:ascii="Arial" w:hAnsi="Arial" w:cs="Arial"/>
          <w:sz w:val="24"/>
          <w:szCs w:val="24"/>
        </w:rPr>
        <w:t xml:space="preserve"> is permitted under rule 21(2), which provides as follows:</w:t>
      </w:r>
    </w:p>
    <w:p w14:paraId="2CC0FE37" w14:textId="24299A15" w:rsidR="00642359" w:rsidRPr="002E0B47" w:rsidRDefault="00642359" w:rsidP="00CD1FE1">
      <w:pPr>
        <w:spacing w:line="360" w:lineRule="auto"/>
        <w:ind w:left="720"/>
        <w:jc w:val="both"/>
        <w:rPr>
          <w:rFonts w:ascii="Arial" w:hAnsi="Arial" w:cs="Arial"/>
          <w:sz w:val="20"/>
          <w:szCs w:val="20"/>
        </w:rPr>
      </w:pPr>
      <w:r w:rsidRPr="002E0B47">
        <w:rPr>
          <w:rFonts w:ascii="Arial" w:hAnsi="Arial" w:cs="Arial"/>
          <w:sz w:val="20"/>
          <w:szCs w:val="20"/>
        </w:rPr>
        <w:t>‘After the close of pleadings any party may, not less than twenty days before trial, deliver a notice requesting only such further particulars as are strictly necessary to enable him to prepare for trial. Such request shall be complied with within ten days after receipt thereof.’</w:t>
      </w:r>
    </w:p>
    <w:p w14:paraId="5218C7AF" w14:textId="77777777" w:rsidR="002E0B47" w:rsidRDefault="002E0B47" w:rsidP="006413B5">
      <w:pPr>
        <w:spacing w:line="360" w:lineRule="auto"/>
        <w:rPr>
          <w:rFonts w:ascii="Arial" w:hAnsi="Arial" w:cs="Arial"/>
          <w:sz w:val="24"/>
          <w:szCs w:val="24"/>
        </w:rPr>
      </w:pPr>
    </w:p>
    <w:p w14:paraId="7DF2ED1D" w14:textId="6B7F6E83" w:rsidR="00CD1FE1" w:rsidRDefault="00642359"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If the other party fails to provide the requested particulars, then the requesting party may apply to court under rule 21(4). The court </w:t>
      </w:r>
      <w:r w:rsidR="002B189B" w:rsidRPr="00CD1FE1">
        <w:rPr>
          <w:rFonts w:ascii="Arial" w:hAnsi="Arial" w:cs="Arial"/>
          <w:sz w:val="24"/>
          <w:szCs w:val="24"/>
        </w:rPr>
        <w:t>has a discretion to grant any such order as may seem appropriate in the circumstances.</w:t>
      </w:r>
      <w:r w:rsidR="002B189B">
        <w:rPr>
          <w:rStyle w:val="FootnoteReference"/>
          <w:rFonts w:ascii="Arial" w:hAnsi="Arial" w:cs="Arial"/>
          <w:sz w:val="24"/>
          <w:szCs w:val="24"/>
        </w:rPr>
        <w:footnoteReference w:id="2"/>
      </w:r>
      <w:r w:rsidRPr="00CD1FE1">
        <w:rPr>
          <w:rFonts w:ascii="Arial" w:hAnsi="Arial" w:cs="Arial"/>
          <w:sz w:val="24"/>
          <w:szCs w:val="24"/>
        </w:rPr>
        <w:t xml:space="preserve"> </w:t>
      </w:r>
    </w:p>
    <w:p w14:paraId="12BF96E5" w14:textId="77777777" w:rsidR="00CD1FE1" w:rsidRDefault="00CD1FE1" w:rsidP="00CD1FE1">
      <w:pPr>
        <w:pStyle w:val="ListParagraph"/>
        <w:spacing w:line="360" w:lineRule="auto"/>
        <w:ind w:left="0"/>
        <w:jc w:val="both"/>
        <w:rPr>
          <w:rFonts w:ascii="Arial" w:hAnsi="Arial" w:cs="Arial"/>
          <w:sz w:val="24"/>
          <w:szCs w:val="24"/>
        </w:rPr>
      </w:pPr>
    </w:p>
    <w:p w14:paraId="1E7E2951" w14:textId="4C0BDB8F" w:rsidR="002E40CD" w:rsidRPr="00CD1FE1" w:rsidRDefault="002B189B"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The courts have held that the purpose of allowing a party to request further particulars for trial is to prevent surprise, to ensure that the parties can be told with greater precision</w:t>
      </w:r>
      <w:r w:rsidR="00CD4076" w:rsidRPr="00CD1FE1">
        <w:rPr>
          <w:rFonts w:ascii="Arial" w:hAnsi="Arial" w:cs="Arial"/>
          <w:sz w:val="24"/>
          <w:szCs w:val="24"/>
        </w:rPr>
        <w:t xml:space="preserve"> what the other party intends to prove so as to enable his or her opponent to </w:t>
      </w:r>
      <w:r w:rsidR="00CD4076" w:rsidRPr="00CD1FE1">
        <w:rPr>
          <w:rFonts w:ascii="Arial" w:hAnsi="Arial" w:cs="Arial"/>
          <w:sz w:val="24"/>
          <w:szCs w:val="24"/>
        </w:rPr>
        <w:lastRenderedPageBreak/>
        <w:t xml:space="preserve">prepare his or her case and combat counter-allegations, </w:t>
      </w:r>
      <w:r w:rsidR="002E0B47" w:rsidRPr="00CD1FE1">
        <w:rPr>
          <w:rFonts w:ascii="Arial" w:hAnsi="Arial" w:cs="Arial"/>
          <w:sz w:val="24"/>
          <w:szCs w:val="24"/>
        </w:rPr>
        <w:t>but</w:t>
      </w:r>
      <w:r w:rsidR="00CD4076" w:rsidRPr="00CD1FE1">
        <w:rPr>
          <w:rFonts w:ascii="Arial" w:hAnsi="Arial" w:cs="Arial"/>
          <w:sz w:val="24"/>
          <w:szCs w:val="24"/>
        </w:rPr>
        <w:t xml:space="preserve"> (nevertheless) not to tie the other party down </w:t>
      </w:r>
      <w:r w:rsidR="002E0B47" w:rsidRPr="00CD1FE1">
        <w:rPr>
          <w:rFonts w:ascii="Arial" w:hAnsi="Arial" w:cs="Arial"/>
          <w:sz w:val="24"/>
          <w:szCs w:val="24"/>
        </w:rPr>
        <w:t>or</w:t>
      </w:r>
      <w:r w:rsidR="00CD4076" w:rsidRPr="00CD1FE1">
        <w:rPr>
          <w:rFonts w:ascii="Arial" w:hAnsi="Arial" w:cs="Arial"/>
          <w:sz w:val="24"/>
          <w:szCs w:val="24"/>
        </w:rPr>
        <w:t xml:space="preserve"> to limit his or her case unfairly at trial.</w:t>
      </w:r>
      <w:r w:rsidR="00CD4076">
        <w:rPr>
          <w:rStyle w:val="FootnoteReference"/>
          <w:rFonts w:ascii="Arial" w:hAnsi="Arial" w:cs="Arial"/>
          <w:sz w:val="24"/>
          <w:szCs w:val="24"/>
        </w:rPr>
        <w:footnoteReference w:id="3"/>
      </w:r>
      <w:r w:rsidR="002E0B47" w:rsidRPr="00CD1FE1">
        <w:rPr>
          <w:rFonts w:ascii="Arial" w:hAnsi="Arial" w:cs="Arial"/>
          <w:sz w:val="24"/>
          <w:szCs w:val="24"/>
        </w:rPr>
        <w:t xml:space="preserve"> </w:t>
      </w:r>
    </w:p>
    <w:p w14:paraId="286855BC" w14:textId="45ADC3EB" w:rsidR="00CD1FE1" w:rsidRDefault="002E0B47"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The purpose of requesting further particulars is not to secure evidence that will emerge during cross-examination</w:t>
      </w:r>
      <w:r w:rsidR="002E40CD" w:rsidRPr="00CD1FE1">
        <w:rPr>
          <w:rFonts w:ascii="Arial" w:hAnsi="Arial" w:cs="Arial"/>
          <w:sz w:val="24"/>
          <w:szCs w:val="24"/>
        </w:rPr>
        <w:t>. However, a party is not prevented from requesting particulars when it would result in the disclosure of evidence where the absence of such particulars would cause embarrassment or prejudice in the preparation of his or her case.</w:t>
      </w:r>
      <w:r w:rsidR="002E40CD">
        <w:rPr>
          <w:rStyle w:val="FootnoteReference"/>
          <w:rFonts w:ascii="Arial" w:hAnsi="Arial" w:cs="Arial"/>
          <w:sz w:val="24"/>
          <w:szCs w:val="24"/>
        </w:rPr>
        <w:footnoteReference w:id="4"/>
      </w:r>
    </w:p>
    <w:p w14:paraId="3641F82C" w14:textId="77777777" w:rsidR="00CD1FE1" w:rsidRDefault="00CD1FE1" w:rsidP="00CD1FE1">
      <w:pPr>
        <w:pStyle w:val="ListParagraph"/>
        <w:spacing w:line="360" w:lineRule="auto"/>
        <w:ind w:left="0"/>
        <w:jc w:val="both"/>
        <w:rPr>
          <w:rFonts w:ascii="Arial" w:hAnsi="Arial" w:cs="Arial"/>
          <w:sz w:val="24"/>
          <w:szCs w:val="24"/>
        </w:rPr>
      </w:pPr>
    </w:p>
    <w:p w14:paraId="5A32D3CB" w14:textId="4FA2822A" w:rsidR="00AB0C6A" w:rsidRPr="00CD1FE1" w:rsidRDefault="00AB0C6A"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It is also necessary to mention the Matrimonial Property Act 88 of 1984 (‘MPA’). The </w:t>
      </w:r>
      <w:r w:rsidR="00F750C3" w:rsidRPr="00CD1FE1">
        <w:rPr>
          <w:rFonts w:ascii="Arial" w:hAnsi="Arial" w:cs="Arial"/>
          <w:sz w:val="24"/>
          <w:szCs w:val="24"/>
        </w:rPr>
        <w:t xml:space="preserve">relevant </w:t>
      </w:r>
      <w:r w:rsidR="00EF2488" w:rsidRPr="00CD1FE1">
        <w:rPr>
          <w:rFonts w:ascii="Arial" w:hAnsi="Arial" w:cs="Arial"/>
          <w:sz w:val="24"/>
          <w:szCs w:val="24"/>
        </w:rPr>
        <w:t xml:space="preserve">provisions </w:t>
      </w:r>
      <w:r w:rsidR="00F750C3" w:rsidRPr="00CD1FE1">
        <w:rPr>
          <w:rFonts w:ascii="Arial" w:hAnsi="Arial" w:cs="Arial"/>
          <w:sz w:val="24"/>
          <w:szCs w:val="24"/>
        </w:rPr>
        <w:t xml:space="preserve">are set out </w:t>
      </w:r>
      <w:r w:rsidRPr="00CD1FE1">
        <w:rPr>
          <w:rFonts w:ascii="Arial" w:hAnsi="Arial" w:cs="Arial"/>
          <w:sz w:val="24"/>
          <w:szCs w:val="24"/>
        </w:rPr>
        <w:t>as follows:</w:t>
      </w:r>
    </w:p>
    <w:p w14:paraId="134888A4" w14:textId="5E02FB3F" w:rsidR="00AB0C6A" w:rsidRPr="007976FD" w:rsidRDefault="00AB0C6A" w:rsidP="00CD1FE1">
      <w:pPr>
        <w:spacing w:line="360" w:lineRule="auto"/>
        <w:ind w:left="720"/>
        <w:jc w:val="both"/>
        <w:rPr>
          <w:rFonts w:ascii="Arial" w:hAnsi="Arial" w:cs="Arial"/>
          <w:sz w:val="20"/>
          <w:szCs w:val="20"/>
        </w:rPr>
      </w:pPr>
      <w:r w:rsidRPr="007976FD">
        <w:rPr>
          <w:rFonts w:ascii="Arial" w:hAnsi="Arial" w:cs="Arial"/>
          <w:sz w:val="20"/>
          <w:szCs w:val="20"/>
        </w:rPr>
        <w:t>‘</w:t>
      </w:r>
      <w:r w:rsidRPr="007976FD">
        <w:rPr>
          <w:rFonts w:ascii="Arial" w:hAnsi="Arial" w:cs="Arial"/>
          <w:b/>
          <w:bCs/>
          <w:sz w:val="20"/>
          <w:szCs w:val="20"/>
        </w:rPr>
        <w:t>3.</w:t>
      </w:r>
      <w:r w:rsidRPr="007976FD">
        <w:rPr>
          <w:rFonts w:ascii="Arial" w:hAnsi="Arial" w:cs="Arial"/>
          <w:b/>
          <w:bCs/>
          <w:sz w:val="20"/>
          <w:szCs w:val="20"/>
        </w:rPr>
        <w:tab/>
        <w:t>Accrual system</w:t>
      </w:r>
      <w:r w:rsidRPr="007976FD">
        <w:rPr>
          <w:rFonts w:ascii="Arial" w:hAnsi="Arial" w:cs="Arial"/>
          <w:sz w:val="20"/>
          <w:szCs w:val="20"/>
        </w:rPr>
        <w:t>.—(1)</w:t>
      </w:r>
      <w:r w:rsidRPr="007976FD">
        <w:rPr>
          <w:rFonts w:ascii="Arial" w:hAnsi="Arial" w:cs="Arial"/>
          <w:sz w:val="20"/>
          <w:szCs w:val="20"/>
        </w:rPr>
        <w:tab/>
        <w:t xml:space="preserve">At the dissolution of a marriage subject to the accrual system, by divorce or by the death of one or both of the spouses, the spouse whose estate shows no accrual or a smaller accrual than the estate of the other spouse, or his estate if he is deceased, acquires a claim against the other spouse or his estate for an amount equal to half of the difference between the accrual of the </w:t>
      </w:r>
      <w:r w:rsidR="007976FD" w:rsidRPr="007976FD">
        <w:rPr>
          <w:rFonts w:ascii="Arial" w:hAnsi="Arial" w:cs="Arial"/>
          <w:sz w:val="20"/>
          <w:szCs w:val="20"/>
        </w:rPr>
        <w:t>respective estates of the spouses.</w:t>
      </w:r>
    </w:p>
    <w:p w14:paraId="6E53D766" w14:textId="5C6AB9DB" w:rsidR="007976FD" w:rsidRDefault="007976FD" w:rsidP="00CD1FE1">
      <w:pPr>
        <w:spacing w:line="360" w:lineRule="auto"/>
        <w:ind w:left="720" w:firstLine="720"/>
        <w:jc w:val="both"/>
        <w:rPr>
          <w:rFonts w:ascii="Arial" w:hAnsi="Arial" w:cs="Arial"/>
          <w:sz w:val="20"/>
          <w:szCs w:val="20"/>
        </w:rPr>
      </w:pPr>
      <w:r w:rsidRPr="007976FD">
        <w:rPr>
          <w:rFonts w:ascii="Arial" w:hAnsi="Arial" w:cs="Arial"/>
          <w:sz w:val="20"/>
          <w:szCs w:val="20"/>
        </w:rPr>
        <w:t>(2)</w:t>
      </w:r>
      <w:r w:rsidRPr="007976FD">
        <w:rPr>
          <w:rFonts w:ascii="Arial" w:hAnsi="Arial" w:cs="Arial"/>
          <w:sz w:val="20"/>
          <w:szCs w:val="20"/>
        </w:rPr>
        <w:tab/>
        <w:t>Subject to the provisions of section 8(1), a claim in terms of sub-section (1) arises at the dissolution of the marriage and the right of a spouse to share in terms of this Act in the accrual of the estate of the other spouse is during the subsistence of the marriage not transferable or liable to attachment, and does not form part of the insolvent estate of a spouse.</w:t>
      </w:r>
    </w:p>
    <w:p w14:paraId="0568E007" w14:textId="23671B60" w:rsidR="00A20745" w:rsidRDefault="00A20745" w:rsidP="00CD1FE1">
      <w:pPr>
        <w:spacing w:line="360" w:lineRule="auto"/>
        <w:jc w:val="both"/>
        <w:rPr>
          <w:rFonts w:ascii="Arial" w:hAnsi="Arial" w:cs="Arial"/>
          <w:sz w:val="20"/>
          <w:szCs w:val="20"/>
        </w:rPr>
      </w:pPr>
    </w:p>
    <w:p w14:paraId="4591F982" w14:textId="6ED98E75" w:rsidR="00A20745" w:rsidRDefault="00A20745" w:rsidP="00CD1FE1">
      <w:pPr>
        <w:spacing w:line="360" w:lineRule="auto"/>
        <w:ind w:left="720"/>
        <w:jc w:val="both"/>
        <w:rPr>
          <w:rFonts w:ascii="Arial" w:hAnsi="Arial" w:cs="Arial"/>
          <w:sz w:val="20"/>
          <w:szCs w:val="20"/>
        </w:rPr>
      </w:pPr>
      <w:r w:rsidRPr="00C95B1B">
        <w:rPr>
          <w:rFonts w:ascii="Arial" w:hAnsi="Arial" w:cs="Arial"/>
          <w:b/>
          <w:bCs/>
          <w:sz w:val="20"/>
          <w:szCs w:val="20"/>
        </w:rPr>
        <w:t>4.</w:t>
      </w:r>
      <w:r w:rsidRPr="00C95B1B">
        <w:rPr>
          <w:rFonts w:ascii="Arial" w:hAnsi="Arial" w:cs="Arial"/>
          <w:b/>
          <w:bCs/>
          <w:sz w:val="20"/>
          <w:szCs w:val="20"/>
        </w:rPr>
        <w:tab/>
        <w:t>Accrual of estate</w:t>
      </w:r>
      <w:r w:rsidR="00DA2B40">
        <w:rPr>
          <w:rFonts w:ascii="Arial" w:hAnsi="Arial" w:cs="Arial"/>
          <w:sz w:val="20"/>
          <w:szCs w:val="20"/>
        </w:rPr>
        <w:t>.—(1)</w:t>
      </w:r>
      <w:r w:rsidR="00DA2B40">
        <w:rPr>
          <w:rFonts w:ascii="Arial" w:hAnsi="Arial" w:cs="Arial"/>
          <w:sz w:val="20"/>
          <w:szCs w:val="20"/>
        </w:rPr>
        <w:tab/>
        <w:t>(a)</w:t>
      </w:r>
      <w:r w:rsidR="00CA6DC2">
        <w:rPr>
          <w:rFonts w:ascii="Arial" w:hAnsi="Arial" w:cs="Arial"/>
          <w:sz w:val="20"/>
          <w:szCs w:val="20"/>
        </w:rPr>
        <w:tab/>
      </w:r>
      <w:proofErr w:type="gramStart"/>
      <w:r w:rsidR="00CA6DC2">
        <w:rPr>
          <w:rFonts w:ascii="Arial" w:hAnsi="Arial" w:cs="Arial"/>
          <w:sz w:val="20"/>
          <w:szCs w:val="20"/>
        </w:rPr>
        <w:t>The</w:t>
      </w:r>
      <w:proofErr w:type="gramEnd"/>
      <w:r w:rsidR="00CA6DC2">
        <w:rPr>
          <w:rFonts w:ascii="Arial" w:hAnsi="Arial" w:cs="Arial"/>
          <w:sz w:val="20"/>
          <w:szCs w:val="20"/>
        </w:rPr>
        <w:t xml:space="preserve"> accrual of the estate of a spouse</w:t>
      </w:r>
      <w:r w:rsidR="00E15AC8">
        <w:rPr>
          <w:rFonts w:ascii="Arial" w:hAnsi="Arial" w:cs="Arial"/>
          <w:sz w:val="20"/>
          <w:szCs w:val="20"/>
        </w:rPr>
        <w:t xml:space="preserve"> is the amount by which the net value of his estate at the dissolution of his marriage</w:t>
      </w:r>
      <w:r w:rsidR="009033E6">
        <w:rPr>
          <w:rFonts w:ascii="Arial" w:hAnsi="Arial" w:cs="Arial"/>
          <w:sz w:val="20"/>
          <w:szCs w:val="20"/>
        </w:rPr>
        <w:t xml:space="preserve"> exceeds the net value of his estate at the </w:t>
      </w:r>
      <w:r w:rsidR="00A53B0F">
        <w:rPr>
          <w:rFonts w:ascii="Arial" w:hAnsi="Arial" w:cs="Arial"/>
          <w:sz w:val="20"/>
          <w:szCs w:val="20"/>
        </w:rPr>
        <w:t>commencement of that marriage.</w:t>
      </w:r>
    </w:p>
    <w:p w14:paraId="6142DEBE" w14:textId="1EC2F1EA" w:rsidR="00A53B0F" w:rsidRDefault="00A53B0F" w:rsidP="00CD1FE1">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DF0607">
        <w:rPr>
          <w:rFonts w:ascii="Arial" w:hAnsi="Arial" w:cs="Arial"/>
          <w:sz w:val="20"/>
          <w:szCs w:val="20"/>
        </w:rPr>
        <w:tab/>
      </w:r>
      <w:r>
        <w:rPr>
          <w:rFonts w:ascii="Arial" w:hAnsi="Arial" w:cs="Arial"/>
          <w:sz w:val="20"/>
          <w:szCs w:val="20"/>
        </w:rPr>
        <w:t>(b)</w:t>
      </w:r>
      <w:r>
        <w:rPr>
          <w:rFonts w:ascii="Arial" w:hAnsi="Arial" w:cs="Arial"/>
          <w:sz w:val="20"/>
          <w:szCs w:val="20"/>
        </w:rPr>
        <w:tab/>
      </w:r>
      <w:r w:rsidR="00DF0607">
        <w:rPr>
          <w:rFonts w:ascii="Arial" w:hAnsi="Arial" w:cs="Arial"/>
          <w:sz w:val="20"/>
          <w:szCs w:val="20"/>
        </w:rPr>
        <w:t>…</w:t>
      </w:r>
    </w:p>
    <w:p w14:paraId="02084753" w14:textId="00C7BCF2" w:rsidR="00DF0607" w:rsidRDefault="00DF0607" w:rsidP="00CD1FE1">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w:t>
      </w:r>
    </w:p>
    <w:p w14:paraId="09A84857" w14:textId="17EBDC78" w:rsidR="00EC436D" w:rsidRDefault="00EC436D" w:rsidP="00CD1FE1">
      <w:pPr>
        <w:spacing w:line="360" w:lineRule="auto"/>
        <w:jc w:val="both"/>
        <w:rPr>
          <w:rFonts w:ascii="Arial" w:hAnsi="Arial" w:cs="Arial"/>
          <w:sz w:val="20"/>
          <w:szCs w:val="20"/>
        </w:rPr>
      </w:pPr>
    </w:p>
    <w:p w14:paraId="4E75A2AD" w14:textId="134E4152" w:rsidR="00EC436D" w:rsidRDefault="00EC436D" w:rsidP="00CD1FE1">
      <w:pPr>
        <w:spacing w:line="360" w:lineRule="auto"/>
        <w:jc w:val="both"/>
        <w:rPr>
          <w:rFonts w:ascii="Arial" w:hAnsi="Arial" w:cs="Arial"/>
          <w:sz w:val="20"/>
          <w:szCs w:val="20"/>
        </w:rPr>
      </w:pPr>
      <w:r>
        <w:rPr>
          <w:rFonts w:ascii="Arial" w:hAnsi="Arial" w:cs="Arial"/>
          <w:sz w:val="20"/>
          <w:szCs w:val="20"/>
        </w:rPr>
        <w:tab/>
        <w:t>5.</w:t>
      </w:r>
      <w:r w:rsidR="001A101C">
        <w:rPr>
          <w:rFonts w:ascii="Arial" w:hAnsi="Arial" w:cs="Arial"/>
          <w:sz w:val="20"/>
          <w:szCs w:val="20"/>
        </w:rPr>
        <w:tab/>
        <w:t>…</w:t>
      </w:r>
    </w:p>
    <w:p w14:paraId="57B3169C" w14:textId="0C774F25" w:rsidR="001A101C" w:rsidRDefault="001A101C" w:rsidP="00CD1FE1">
      <w:pPr>
        <w:spacing w:line="360" w:lineRule="auto"/>
        <w:jc w:val="both"/>
        <w:rPr>
          <w:rFonts w:ascii="Arial" w:hAnsi="Arial" w:cs="Arial"/>
          <w:sz w:val="20"/>
          <w:szCs w:val="20"/>
        </w:rPr>
      </w:pPr>
    </w:p>
    <w:p w14:paraId="5823E434" w14:textId="188858F6" w:rsidR="001A101C" w:rsidRDefault="001A101C" w:rsidP="00CD1FE1">
      <w:pPr>
        <w:spacing w:line="360" w:lineRule="auto"/>
        <w:jc w:val="both"/>
        <w:rPr>
          <w:rFonts w:ascii="Arial" w:hAnsi="Arial" w:cs="Arial"/>
          <w:sz w:val="20"/>
          <w:szCs w:val="20"/>
        </w:rPr>
      </w:pPr>
      <w:r>
        <w:rPr>
          <w:rFonts w:ascii="Arial" w:hAnsi="Arial" w:cs="Arial"/>
          <w:sz w:val="20"/>
          <w:szCs w:val="20"/>
        </w:rPr>
        <w:tab/>
        <w:t>6.</w:t>
      </w:r>
      <w:r w:rsidR="00280E69">
        <w:rPr>
          <w:rFonts w:ascii="Arial" w:hAnsi="Arial" w:cs="Arial"/>
          <w:sz w:val="20"/>
          <w:szCs w:val="20"/>
        </w:rPr>
        <w:tab/>
        <w:t>…</w:t>
      </w:r>
    </w:p>
    <w:p w14:paraId="384B8B23" w14:textId="4525942F" w:rsidR="00937C0D" w:rsidRDefault="00937C0D" w:rsidP="00CD1FE1">
      <w:pPr>
        <w:spacing w:line="360" w:lineRule="auto"/>
        <w:jc w:val="both"/>
        <w:rPr>
          <w:rFonts w:ascii="Arial" w:hAnsi="Arial" w:cs="Arial"/>
          <w:sz w:val="20"/>
          <w:szCs w:val="20"/>
        </w:rPr>
      </w:pPr>
    </w:p>
    <w:p w14:paraId="4DB29A14" w14:textId="1687D96C" w:rsidR="00937C0D" w:rsidRPr="007976FD" w:rsidRDefault="00937C0D" w:rsidP="00CD1FE1">
      <w:pPr>
        <w:spacing w:line="360" w:lineRule="auto"/>
        <w:ind w:left="720"/>
        <w:jc w:val="both"/>
        <w:rPr>
          <w:rFonts w:ascii="Arial" w:hAnsi="Arial" w:cs="Arial"/>
          <w:sz w:val="20"/>
          <w:szCs w:val="20"/>
        </w:rPr>
      </w:pPr>
      <w:r w:rsidRPr="00936DB3">
        <w:rPr>
          <w:rFonts w:ascii="Arial" w:hAnsi="Arial" w:cs="Arial"/>
          <w:b/>
          <w:bCs/>
          <w:sz w:val="20"/>
          <w:szCs w:val="20"/>
        </w:rPr>
        <w:t>7.</w:t>
      </w:r>
      <w:r w:rsidRPr="00936DB3">
        <w:rPr>
          <w:rFonts w:ascii="Arial" w:hAnsi="Arial" w:cs="Arial"/>
          <w:b/>
          <w:bCs/>
          <w:sz w:val="20"/>
          <w:szCs w:val="20"/>
        </w:rPr>
        <w:tab/>
        <w:t>Obligation to furnish particulars of value of estate</w:t>
      </w:r>
      <w:proofErr w:type="gramStart"/>
      <w:r w:rsidR="00BD375B">
        <w:rPr>
          <w:rFonts w:ascii="Arial" w:hAnsi="Arial" w:cs="Arial"/>
          <w:sz w:val="20"/>
          <w:szCs w:val="20"/>
        </w:rPr>
        <w:t>.</w:t>
      </w:r>
      <w:r w:rsidR="006F4139">
        <w:rPr>
          <w:rFonts w:ascii="Arial" w:hAnsi="Arial" w:cs="Arial"/>
          <w:sz w:val="20"/>
          <w:szCs w:val="20"/>
        </w:rPr>
        <w:t>—</w:t>
      </w:r>
      <w:proofErr w:type="gramEnd"/>
      <w:r w:rsidR="00936DB3">
        <w:rPr>
          <w:rFonts w:ascii="Arial" w:hAnsi="Arial" w:cs="Arial"/>
          <w:sz w:val="20"/>
          <w:szCs w:val="20"/>
        </w:rPr>
        <w:t xml:space="preserve"> When it is necessary </w:t>
      </w:r>
      <w:r w:rsidR="00E716F6">
        <w:rPr>
          <w:rFonts w:ascii="Arial" w:hAnsi="Arial" w:cs="Arial"/>
          <w:sz w:val="20"/>
          <w:szCs w:val="20"/>
        </w:rPr>
        <w:t>to determine the accrual of the estate of a spouse or a deceased spouse</w:t>
      </w:r>
      <w:r w:rsidR="000A08D3">
        <w:rPr>
          <w:rFonts w:ascii="Arial" w:hAnsi="Arial" w:cs="Arial"/>
          <w:sz w:val="20"/>
          <w:szCs w:val="20"/>
        </w:rPr>
        <w:t>, that spouse or the executor of the estate</w:t>
      </w:r>
      <w:r w:rsidR="00372330">
        <w:rPr>
          <w:rFonts w:ascii="Arial" w:hAnsi="Arial" w:cs="Arial"/>
          <w:sz w:val="20"/>
          <w:szCs w:val="20"/>
        </w:rPr>
        <w:t xml:space="preserve"> of the deceased spouse, as the case may be, shall within a reasonable time</w:t>
      </w:r>
      <w:r w:rsidR="00ED5FCB">
        <w:rPr>
          <w:rFonts w:ascii="Arial" w:hAnsi="Arial" w:cs="Arial"/>
          <w:sz w:val="20"/>
          <w:szCs w:val="20"/>
        </w:rPr>
        <w:t xml:space="preserve"> at the request of the other spouse or the executor of the estate</w:t>
      </w:r>
      <w:r w:rsidR="00C76633">
        <w:rPr>
          <w:rFonts w:ascii="Arial" w:hAnsi="Arial" w:cs="Arial"/>
          <w:sz w:val="20"/>
          <w:szCs w:val="20"/>
        </w:rPr>
        <w:t xml:space="preserve"> of the other spouse, as the case may be, furnish full particulars</w:t>
      </w:r>
      <w:r w:rsidR="00EA2498">
        <w:rPr>
          <w:rFonts w:ascii="Arial" w:hAnsi="Arial" w:cs="Arial"/>
          <w:sz w:val="20"/>
          <w:szCs w:val="20"/>
        </w:rPr>
        <w:t xml:space="preserve"> of the value of that estate.’</w:t>
      </w:r>
    </w:p>
    <w:p w14:paraId="19320FF6" w14:textId="309AFE13" w:rsidR="007976FD" w:rsidRDefault="007976FD" w:rsidP="007976FD">
      <w:pPr>
        <w:spacing w:line="360" w:lineRule="auto"/>
        <w:rPr>
          <w:rFonts w:ascii="Arial" w:hAnsi="Arial" w:cs="Arial"/>
          <w:sz w:val="24"/>
          <w:szCs w:val="24"/>
        </w:rPr>
      </w:pPr>
    </w:p>
    <w:p w14:paraId="4511F119" w14:textId="774A146A" w:rsidR="007976FD" w:rsidRPr="00CD1FE1" w:rsidRDefault="007976FD" w:rsidP="00CD1FE1">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The respondents in the present matter have relied on the provisions of section </w:t>
      </w:r>
      <w:r w:rsidR="007C05FF" w:rsidRPr="00CD1FE1">
        <w:rPr>
          <w:rFonts w:ascii="Arial" w:hAnsi="Arial" w:cs="Arial"/>
          <w:sz w:val="24"/>
          <w:szCs w:val="24"/>
        </w:rPr>
        <w:t>3</w:t>
      </w:r>
      <w:r w:rsidRPr="00CD1FE1">
        <w:rPr>
          <w:rFonts w:ascii="Arial" w:hAnsi="Arial" w:cs="Arial"/>
          <w:sz w:val="24"/>
          <w:szCs w:val="24"/>
        </w:rPr>
        <w:t>(1) as the primary basis for their opposition to the application. The application of the above principles will be considered in the paragraphs below.</w:t>
      </w:r>
    </w:p>
    <w:p w14:paraId="5BFB68BA" w14:textId="56ED9AF5" w:rsidR="007976FD" w:rsidRDefault="007976FD" w:rsidP="007976FD">
      <w:pPr>
        <w:spacing w:line="360" w:lineRule="auto"/>
        <w:rPr>
          <w:rFonts w:ascii="Arial" w:hAnsi="Arial" w:cs="Arial"/>
          <w:sz w:val="24"/>
          <w:szCs w:val="24"/>
        </w:rPr>
      </w:pPr>
    </w:p>
    <w:p w14:paraId="745E9EB7" w14:textId="58A45272" w:rsidR="007976FD" w:rsidRPr="007976FD" w:rsidRDefault="007976FD" w:rsidP="007976FD">
      <w:pPr>
        <w:spacing w:line="360" w:lineRule="auto"/>
        <w:rPr>
          <w:rFonts w:ascii="Arial" w:hAnsi="Arial" w:cs="Arial"/>
          <w:b/>
          <w:bCs/>
          <w:sz w:val="24"/>
          <w:szCs w:val="24"/>
        </w:rPr>
      </w:pPr>
      <w:r w:rsidRPr="007976FD">
        <w:rPr>
          <w:rFonts w:ascii="Arial" w:hAnsi="Arial" w:cs="Arial"/>
          <w:b/>
          <w:bCs/>
          <w:sz w:val="24"/>
          <w:szCs w:val="24"/>
        </w:rPr>
        <w:t>Application to the facts</w:t>
      </w:r>
    </w:p>
    <w:p w14:paraId="32FBBD4D" w14:textId="7E99FD4C" w:rsidR="007976FD" w:rsidRDefault="007976FD" w:rsidP="007976FD">
      <w:pPr>
        <w:spacing w:line="360" w:lineRule="auto"/>
        <w:rPr>
          <w:rFonts w:ascii="Arial" w:hAnsi="Arial" w:cs="Arial"/>
          <w:sz w:val="24"/>
          <w:szCs w:val="24"/>
        </w:rPr>
      </w:pPr>
    </w:p>
    <w:p w14:paraId="2F3873B6" w14:textId="23BBD367" w:rsidR="00CD1FE1" w:rsidRDefault="007976FD"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The </w:t>
      </w:r>
      <w:r w:rsidR="00EF2488" w:rsidRPr="00CD1FE1">
        <w:rPr>
          <w:rFonts w:ascii="Arial" w:hAnsi="Arial" w:cs="Arial"/>
          <w:sz w:val="24"/>
          <w:szCs w:val="24"/>
        </w:rPr>
        <w:t xml:space="preserve">respondents argue that the applicant and first respondent are still married. They are not yet divorced. Accordingly, with reference to section 3(1) of the MPA, any accrual claim that the applicant may have will only arise upon the dissolution of the marriage. </w:t>
      </w:r>
      <w:bookmarkStart w:id="1" w:name="_Hlk128149125"/>
      <w:r w:rsidR="00EF2488" w:rsidRPr="00CD1FE1">
        <w:rPr>
          <w:rFonts w:ascii="Arial" w:hAnsi="Arial" w:cs="Arial"/>
          <w:sz w:val="24"/>
          <w:szCs w:val="24"/>
        </w:rPr>
        <w:t xml:space="preserve">Consequently, there is no legal basis for the quantification of the claim since the date of quantification has not yet arisen. The </w:t>
      </w:r>
      <w:r w:rsidR="00322A9D" w:rsidRPr="00CD1FE1">
        <w:rPr>
          <w:rFonts w:ascii="Arial" w:hAnsi="Arial" w:cs="Arial"/>
          <w:sz w:val="24"/>
          <w:szCs w:val="24"/>
        </w:rPr>
        <w:t>further particulars sought by the applicant are irrelevant until an order for divorce has been granted.</w:t>
      </w:r>
      <w:bookmarkEnd w:id="1"/>
    </w:p>
    <w:p w14:paraId="77A9D86D" w14:textId="77777777" w:rsidR="00CD1FE1" w:rsidRDefault="00CD1FE1" w:rsidP="00CD1FE1">
      <w:pPr>
        <w:pStyle w:val="ListParagraph"/>
        <w:spacing w:line="360" w:lineRule="auto"/>
        <w:ind w:left="0"/>
        <w:jc w:val="both"/>
        <w:rPr>
          <w:rFonts w:ascii="Arial" w:hAnsi="Arial" w:cs="Arial"/>
          <w:sz w:val="24"/>
          <w:szCs w:val="24"/>
        </w:rPr>
      </w:pPr>
    </w:p>
    <w:p w14:paraId="3DCE253A" w14:textId="1AA7B787" w:rsidR="00FE541A" w:rsidRPr="00CD1FE1" w:rsidRDefault="00322A9D"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In </w:t>
      </w:r>
      <w:r w:rsidR="00D304C8" w:rsidRPr="00CD1FE1">
        <w:rPr>
          <w:rFonts w:ascii="Arial" w:hAnsi="Arial" w:cs="Arial"/>
          <w:sz w:val="24"/>
          <w:szCs w:val="24"/>
        </w:rPr>
        <w:t xml:space="preserve">support of their argument, the respondents refer to </w:t>
      </w:r>
      <w:r w:rsidR="00D304C8" w:rsidRPr="00CD1FE1">
        <w:rPr>
          <w:rFonts w:ascii="Arial" w:hAnsi="Arial" w:cs="Arial"/>
          <w:i/>
          <w:iCs/>
          <w:sz w:val="24"/>
          <w:szCs w:val="24"/>
        </w:rPr>
        <w:t>AB v JB</w:t>
      </w:r>
      <w:r w:rsidR="00D304C8" w:rsidRPr="00CD1FE1">
        <w:rPr>
          <w:rFonts w:ascii="Arial" w:hAnsi="Arial" w:cs="Arial"/>
          <w:sz w:val="24"/>
          <w:szCs w:val="24"/>
        </w:rPr>
        <w:t>,</w:t>
      </w:r>
      <w:r w:rsidR="00D304C8">
        <w:rPr>
          <w:rStyle w:val="FootnoteReference"/>
          <w:rFonts w:ascii="Arial" w:hAnsi="Arial" w:cs="Arial"/>
          <w:sz w:val="24"/>
          <w:szCs w:val="24"/>
        </w:rPr>
        <w:footnoteReference w:id="5"/>
      </w:r>
      <w:r w:rsidR="00D304C8" w:rsidRPr="00CD1FE1">
        <w:rPr>
          <w:rFonts w:ascii="Arial" w:hAnsi="Arial" w:cs="Arial"/>
          <w:sz w:val="24"/>
          <w:szCs w:val="24"/>
        </w:rPr>
        <w:t xml:space="preserve"> where </w:t>
      </w:r>
      <w:proofErr w:type="spellStart"/>
      <w:r w:rsidR="00D304C8" w:rsidRPr="00CD1FE1">
        <w:rPr>
          <w:rFonts w:ascii="Arial" w:hAnsi="Arial" w:cs="Arial"/>
          <w:sz w:val="24"/>
          <w:szCs w:val="24"/>
        </w:rPr>
        <w:t>Tsoka</w:t>
      </w:r>
      <w:proofErr w:type="spellEnd"/>
      <w:r w:rsidR="00D304C8" w:rsidRPr="00CD1FE1">
        <w:rPr>
          <w:rFonts w:ascii="Arial" w:hAnsi="Arial" w:cs="Arial"/>
          <w:sz w:val="24"/>
          <w:szCs w:val="24"/>
        </w:rPr>
        <w:t xml:space="preserve"> AJA held</w:t>
      </w:r>
      <w:r w:rsidR="00386EEE" w:rsidRPr="00CD1FE1">
        <w:rPr>
          <w:rFonts w:ascii="Arial" w:hAnsi="Arial" w:cs="Arial"/>
          <w:sz w:val="24"/>
          <w:szCs w:val="24"/>
        </w:rPr>
        <w:t xml:space="preserve"> that</w:t>
      </w:r>
      <w:r w:rsidR="001F4928" w:rsidRPr="00CD1FE1">
        <w:rPr>
          <w:rFonts w:ascii="Arial" w:hAnsi="Arial" w:cs="Arial"/>
          <w:sz w:val="24"/>
          <w:szCs w:val="24"/>
        </w:rPr>
        <w:t>:</w:t>
      </w:r>
    </w:p>
    <w:p w14:paraId="0FACAA1E" w14:textId="2C34DA7F" w:rsidR="001F4928" w:rsidRPr="00EB18FC" w:rsidRDefault="001F4928" w:rsidP="00CD1FE1">
      <w:pPr>
        <w:spacing w:line="360" w:lineRule="auto"/>
        <w:ind w:left="720"/>
        <w:jc w:val="both"/>
        <w:rPr>
          <w:rFonts w:ascii="Arial" w:hAnsi="Arial" w:cs="Arial"/>
          <w:sz w:val="20"/>
          <w:szCs w:val="20"/>
        </w:rPr>
      </w:pPr>
      <w:r w:rsidRPr="00EB18FC">
        <w:rPr>
          <w:rFonts w:ascii="Arial" w:hAnsi="Arial" w:cs="Arial"/>
          <w:sz w:val="20"/>
          <w:szCs w:val="20"/>
        </w:rPr>
        <w:t>‘</w:t>
      </w:r>
      <w:r w:rsidR="0097741E" w:rsidRPr="00EB18FC">
        <w:rPr>
          <w:rFonts w:ascii="Arial" w:hAnsi="Arial" w:cs="Arial"/>
          <w:sz w:val="20"/>
          <w:szCs w:val="20"/>
        </w:rPr>
        <w:t>…The provisions of the MPA are clear and unambiguous.</w:t>
      </w:r>
      <w:r w:rsidR="000F7F61" w:rsidRPr="00EB18FC">
        <w:rPr>
          <w:rFonts w:ascii="Arial" w:hAnsi="Arial" w:cs="Arial"/>
          <w:sz w:val="20"/>
          <w:szCs w:val="20"/>
        </w:rPr>
        <w:t xml:space="preserve"> In terms of section 3 thereof, a spouse acquires a right to claim an accrual at the </w:t>
      </w:r>
      <w:r w:rsidR="007672A0" w:rsidRPr="00EB18FC">
        <w:rPr>
          <w:rFonts w:ascii="Arial" w:hAnsi="Arial" w:cs="Arial"/>
          <w:sz w:val="20"/>
          <w:szCs w:val="20"/>
        </w:rPr>
        <w:t>“dissolution of a marriage”. An exception arises in terms of section 8 of the MPA</w:t>
      </w:r>
      <w:r w:rsidR="007447B4" w:rsidRPr="00EB18FC">
        <w:rPr>
          <w:rFonts w:ascii="Arial" w:hAnsi="Arial" w:cs="Arial"/>
          <w:sz w:val="20"/>
          <w:szCs w:val="20"/>
        </w:rPr>
        <w:t xml:space="preserve">. In terms of this section, a spouse is entitled to approach </w:t>
      </w:r>
      <w:r w:rsidR="00DB63E0" w:rsidRPr="00EB18FC">
        <w:rPr>
          <w:rFonts w:ascii="Arial" w:hAnsi="Arial" w:cs="Arial"/>
          <w:sz w:val="20"/>
          <w:szCs w:val="20"/>
        </w:rPr>
        <w:t>the court for immediate division of the accrual, where his or her right</w:t>
      </w:r>
      <w:r w:rsidR="00800077" w:rsidRPr="00EB18FC">
        <w:rPr>
          <w:rFonts w:ascii="Arial" w:hAnsi="Arial" w:cs="Arial"/>
          <w:sz w:val="20"/>
          <w:szCs w:val="20"/>
        </w:rPr>
        <w:t xml:space="preserve"> to share in it at dissolution of the marriage </w:t>
      </w:r>
      <w:r w:rsidR="00800077" w:rsidRPr="00EB18FC">
        <w:rPr>
          <w:rFonts w:ascii="Arial" w:hAnsi="Arial" w:cs="Arial"/>
          <w:sz w:val="20"/>
          <w:szCs w:val="20"/>
        </w:rPr>
        <w:lastRenderedPageBreak/>
        <w:t>“will probably be seriously prejudiced</w:t>
      </w:r>
      <w:r w:rsidR="00544A10" w:rsidRPr="00EB18FC">
        <w:rPr>
          <w:rFonts w:ascii="Arial" w:hAnsi="Arial" w:cs="Arial"/>
          <w:sz w:val="20"/>
          <w:szCs w:val="20"/>
        </w:rPr>
        <w:t xml:space="preserve"> by the conduct or proposed conduct of the other spouse”. It is only then</w:t>
      </w:r>
      <w:r w:rsidR="00AC30E2" w:rsidRPr="00EB18FC">
        <w:rPr>
          <w:rFonts w:ascii="Arial" w:hAnsi="Arial" w:cs="Arial"/>
          <w:sz w:val="20"/>
          <w:szCs w:val="20"/>
        </w:rPr>
        <w:t xml:space="preserve"> that the date for determination of an accrual is brought forward</w:t>
      </w:r>
      <w:r w:rsidR="00611E42" w:rsidRPr="00EB18FC">
        <w:rPr>
          <w:rFonts w:ascii="Arial" w:hAnsi="Arial" w:cs="Arial"/>
          <w:sz w:val="20"/>
          <w:szCs w:val="20"/>
        </w:rPr>
        <w:t>, instead of at “dissolution of the marriage”. Furthermore, in terms of section 4</w:t>
      </w:r>
      <w:r w:rsidR="00667483" w:rsidRPr="00EB18FC">
        <w:rPr>
          <w:rFonts w:ascii="Arial" w:hAnsi="Arial" w:cs="Arial"/>
          <w:sz w:val="20"/>
          <w:szCs w:val="20"/>
        </w:rPr>
        <w:t xml:space="preserve"> of the MPA the net value of the accrual of the estate of a spouse</w:t>
      </w:r>
      <w:r w:rsidR="003B608D" w:rsidRPr="00EB18FC">
        <w:rPr>
          <w:rFonts w:ascii="Arial" w:hAnsi="Arial" w:cs="Arial"/>
          <w:sz w:val="20"/>
          <w:szCs w:val="20"/>
        </w:rPr>
        <w:t xml:space="preserve"> is determined at the dissolution of the marriage.’</w:t>
      </w:r>
      <w:r w:rsidR="003B608D" w:rsidRPr="00EB18FC">
        <w:rPr>
          <w:rStyle w:val="FootnoteReference"/>
          <w:rFonts w:ascii="Arial" w:hAnsi="Arial" w:cs="Arial"/>
          <w:sz w:val="20"/>
          <w:szCs w:val="20"/>
        </w:rPr>
        <w:footnoteReference w:id="6"/>
      </w:r>
    </w:p>
    <w:p w14:paraId="5F5ABD54" w14:textId="77777777" w:rsidR="00EB18FC" w:rsidRDefault="00EB18FC" w:rsidP="006413B5">
      <w:pPr>
        <w:spacing w:line="360" w:lineRule="auto"/>
        <w:rPr>
          <w:rFonts w:ascii="Arial" w:hAnsi="Arial" w:cs="Arial"/>
          <w:sz w:val="24"/>
          <w:szCs w:val="24"/>
        </w:rPr>
      </w:pPr>
    </w:p>
    <w:p w14:paraId="149FE64B" w14:textId="55528CF5" w:rsidR="00CD1FE1" w:rsidRDefault="00EB18FC" w:rsidP="006413B5">
      <w:pPr>
        <w:pStyle w:val="ListParagraph"/>
        <w:numPr>
          <w:ilvl w:val="0"/>
          <w:numId w:val="2"/>
        </w:numPr>
        <w:spacing w:line="360" w:lineRule="auto"/>
        <w:ind w:left="0" w:firstLine="0"/>
        <w:rPr>
          <w:rFonts w:ascii="Arial" w:hAnsi="Arial" w:cs="Arial"/>
          <w:sz w:val="24"/>
          <w:szCs w:val="24"/>
        </w:rPr>
      </w:pPr>
      <w:r w:rsidRPr="00CD1FE1">
        <w:rPr>
          <w:rFonts w:ascii="Arial" w:hAnsi="Arial" w:cs="Arial"/>
          <w:sz w:val="24"/>
          <w:szCs w:val="24"/>
        </w:rPr>
        <w:t xml:space="preserve">The respondents assert </w:t>
      </w:r>
      <w:r w:rsidR="003C6335" w:rsidRPr="00CD1FE1">
        <w:rPr>
          <w:rFonts w:ascii="Arial" w:hAnsi="Arial" w:cs="Arial"/>
          <w:sz w:val="24"/>
          <w:szCs w:val="24"/>
        </w:rPr>
        <w:t>that the applicant’s accrual claim may (or may not) arise at the dissolution of the marriage</w:t>
      </w:r>
      <w:r w:rsidR="00B43F47" w:rsidRPr="00CD1FE1">
        <w:rPr>
          <w:rFonts w:ascii="Arial" w:hAnsi="Arial" w:cs="Arial"/>
          <w:sz w:val="24"/>
          <w:szCs w:val="24"/>
        </w:rPr>
        <w:t xml:space="preserve">. It was still possible that a court could refuse to grant a divorce order or postpone the proceedings </w:t>
      </w:r>
      <w:r w:rsidR="00A95F96" w:rsidRPr="00CD1FE1">
        <w:rPr>
          <w:rFonts w:ascii="Arial" w:hAnsi="Arial" w:cs="Arial"/>
          <w:sz w:val="24"/>
          <w:szCs w:val="24"/>
        </w:rPr>
        <w:t>where it was not satisfied that the marriage relationship had broken down irretrievably</w:t>
      </w:r>
      <w:r w:rsidR="003C01F2" w:rsidRPr="00CD1FE1">
        <w:rPr>
          <w:rFonts w:ascii="Arial" w:hAnsi="Arial" w:cs="Arial"/>
          <w:sz w:val="24"/>
          <w:szCs w:val="24"/>
        </w:rPr>
        <w:t xml:space="preserve">. Consequently, </w:t>
      </w:r>
      <w:r w:rsidR="00A877F9" w:rsidRPr="00CD1FE1">
        <w:rPr>
          <w:rFonts w:ascii="Arial" w:hAnsi="Arial" w:cs="Arial"/>
          <w:sz w:val="24"/>
          <w:szCs w:val="24"/>
        </w:rPr>
        <w:t>because</w:t>
      </w:r>
      <w:r w:rsidR="003C01F2" w:rsidRPr="00CD1FE1">
        <w:rPr>
          <w:rFonts w:ascii="Arial" w:hAnsi="Arial" w:cs="Arial"/>
          <w:sz w:val="24"/>
          <w:szCs w:val="24"/>
        </w:rPr>
        <w:t xml:space="preserve"> </w:t>
      </w:r>
      <w:r w:rsidR="00527F73" w:rsidRPr="00CD1FE1">
        <w:rPr>
          <w:rFonts w:ascii="Arial" w:hAnsi="Arial" w:cs="Arial"/>
          <w:sz w:val="24"/>
          <w:szCs w:val="24"/>
        </w:rPr>
        <w:t>no accrual claim had yet arisen, there was no legal basis up</w:t>
      </w:r>
      <w:r w:rsidR="001F20EF" w:rsidRPr="00CD1FE1">
        <w:rPr>
          <w:rFonts w:ascii="Arial" w:hAnsi="Arial" w:cs="Arial"/>
          <w:sz w:val="24"/>
          <w:szCs w:val="24"/>
        </w:rPr>
        <w:t>o</w:t>
      </w:r>
      <w:r w:rsidR="00527F73" w:rsidRPr="00CD1FE1">
        <w:rPr>
          <w:rFonts w:ascii="Arial" w:hAnsi="Arial" w:cs="Arial"/>
          <w:sz w:val="24"/>
          <w:szCs w:val="24"/>
        </w:rPr>
        <w:t>n which it could be quantified at this stage.</w:t>
      </w:r>
      <w:r w:rsidR="00DE6C97" w:rsidRPr="00CD1FE1">
        <w:rPr>
          <w:rFonts w:ascii="Arial" w:hAnsi="Arial" w:cs="Arial"/>
          <w:sz w:val="24"/>
          <w:szCs w:val="24"/>
        </w:rPr>
        <w:t xml:space="preserve"> The further particulars requested by the applicant were irrelevant.</w:t>
      </w:r>
    </w:p>
    <w:p w14:paraId="5AF6784E" w14:textId="77777777" w:rsidR="00CD1FE1" w:rsidRDefault="00CD1FE1" w:rsidP="00CD1FE1">
      <w:pPr>
        <w:pStyle w:val="ListParagraph"/>
        <w:spacing w:line="360" w:lineRule="auto"/>
        <w:ind w:left="0"/>
        <w:rPr>
          <w:rFonts w:ascii="Arial" w:hAnsi="Arial" w:cs="Arial"/>
          <w:sz w:val="24"/>
          <w:szCs w:val="24"/>
        </w:rPr>
      </w:pPr>
    </w:p>
    <w:p w14:paraId="1C1985A8" w14:textId="745FA73E" w:rsidR="005969A4" w:rsidRPr="00CD1FE1" w:rsidRDefault="005969A4" w:rsidP="006413B5">
      <w:pPr>
        <w:pStyle w:val="ListParagraph"/>
        <w:numPr>
          <w:ilvl w:val="0"/>
          <w:numId w:val="2"/>
        </w:numPr>
        <w:spacing w:line="360" w:lineRule="auto"/>
        <w:ind w:left="0" w:firstLine="0"/>
        <w:rPr>
          <w:rFonts w:ascii="Arial" w:hAnsi="Arial" w:cs="Arial"/>
          <w:sz w:val="24"/>
          <w:szCs w:val="24"/>
        </w:rPr>
      </w:pPr>
      <w:r w:rsidRPr="00CD1FE1">
        <w:rPr>
          <w:rFonts w:ascii="Arial" w:hAnsi="Arial" w:cs="Arial"/>
          <w:sz w:val="24"/>
          <w:szCs w:val="24"/>
        </w:rPr>
        <w:t xml:space="preserve">In </w:t>
      </w:r>
      <w:r w:rsidRPr="00CD1FE1">
        <w:rPr>
          <w:rFonts w:ascii="Arial" w:hAnsi="Arial" w:cs="Arial"/>
          <w:i/>
          <w:iCs/>
          <w:sz w:val="24"/>
          <w:szCs w:val="24"/>
        </w:rPr>
        <w:t>LD v JD</w:t>
      </w:r>
      <w:r w:rsidRPr="00CD1FE1">
        <w:rPr>
          <w:rFonts w:ascii="Arial" w:hAnsi="Arial" w:cs="Arial"/>
          <w:sz w:val="24"/>
          <w:szCs w:val="24"/>
        </w:rPr>
        <w:t>,</w:t>
      </w:r>
      <w:r w:rsidR="00BD102C">
        <w:rPr>
          <w:rStyle w:val="FootnoteReference"/>
          <w:rFonts w:ascii="Arial" w:hAnsi="Arial" w:cs="Arial"/>
          <w:sz w:val="24"/>
          <w:szCs w:val="24"/>
        </w:rPr>
        <w:footnoteReference w:id="7"/>
      </w:r>
      <w:r w:rsidRPr="00CD1FE1">
        <w:rPr>
          <w:rFonts w:ascii="Arial" w:hAnsi="Arial" w:cs="Arial"/>
          <w:sz w:val="24"/>
          <w:szCs w:val="24"/>
        </w:rPr>
        <w:t xml:space="preserve"> </w:t>
      </w:r>
      <w:r w:rsidR="00507042" w:rsidRPr="00CD1FE1">
        <w:rPr>
          <w:rFonts w:ascii="Arial" w:hAnsi="Arial" w:cs="Arial"/>
          <w:sz w:val="24"/>
          <w:szCs w:val="24"/>
        </w:rPr>
        <w:t>say</w:t>
      </w:r>
      <w:r w:rsidRPr="00CD1FE1">
        <w:rPr>
          <w:rFonts w:ascii="Arial" w:hAnsi="Arial" w:cs="Arial"/>
          <w:sz w:val="24"/>
          <w:szCs w:val="24"/>
        </w:rPr>
        <w:t xml:space="preserve"> the respondents, </w:t>
      </w:r>
      <w:r w:rsidR="000C463C" w:rsidRPr="00CD1FE1">
        <w:rPr>
          <w:rFonts w:ascii="Arial" w:hAnsi="Arial" w:cs="Arial"/>
          <w:sz w:val="24"/>
          <w:szCs w:val="24"/>
        </w:rPr>
        <w:t>Gilbert AJ</w:t>
      </w:r>
      <w:r w:rsidR="00BD102C" w:rsidRPr="00CD1FE1">
        <w:rPr>
          <w:rFonts w:ascii="Arial" w:hAnsi="Arial" w:cs="Arial"/>
          <w:sz w:val="24"/>
          <w:szCs w:val="24"/>
        </w:rPr>
        <w:t xml:space="preserve"> </w:t>
      </w:r>
      <w:r w:rsidR="00507042" w:rsidRPr="00CD1FE1">
        <w:rPr>
          <w:rFonts w:ascii="Arial" w:hAnsi="Arial" w:cs="Arial"/>
          <w:sz w:val="24"/>
          <w:szCs w:val="24"/>
        </w:rPr>
        <w:t>followed the above principles</w:t>
      </w:r>
      <w:r w:rsidR="003818ED" w:rsidRPr="00CD1FE1">
        <w:rPr>
          <w:rFonts w:ascii="Arial" w:hAnsi="Arial" w:cs="Arial"/>
          <w:sz w:val="24"/>
          <w:szCs w:val="24"/>
        </w:rPr>
        <w:t xml:space="preserve"> and held that</w:t>
      </w:r>
      <w:r w:rsidR="000C463C" w:rsidRPr="00CD1FE1">
        <w:rPr>
          <w:rFonts w:ascii="Arial" w:hAnsi="Arial" w:cs="Arial"/>
          <w:sz w:val="24"/>
          <w:szCs w:val="24"/>
        </w:rPr>
        <w:t xml:space="preserve"> the accrual claim was contingent in nature</w:t>
      </w:r>
      <w:r w:rsidR="003818ED" w:rsidRPr="00CD1FE1">
        <w:rPr>
          <w:rFonts w:ascii="Arial" w:hAnsi="Arial" w:cs="Arial"/>
          <w:sz w:val="24"/>
          <w:szCs w:val="24"/>
        </w:rPr>
        <w:t xml:space="preserve"> </w:t>
      </w:r>
      <w:r w:rsidR="00E36606" w:rsidRPr="00CD1FE1">
        <w:rPr>
          <w:rFonts w:ascii="Arial" w:hAnsi="Arial" w:cs="Arial"/>
          <w:sz w:val="24"/>
          <w:szCs w:val="24"/>
        </w:rPr>
        <w:t>until it vested upon the dissolution of the marriage</w:t>
      </w:r>
      <w:r w:rsidR="009A70EF" w:rsidRPr="00CD1FE1">
        <w:rPr>
          <w:rFonts w:ascii="Arial" w:hAnsi="Arial" w:cs="Arial"/>
          <w:sz w:val="24"/>
          <w:szCs w:val="24"/>
        </w:rPr>
        <w:t>.</w:t>
      </w:r>
      <w:r w:rsidR="009A70EF">
        <w:rPr>
          <w:rStyle w:val="FootnoteReference"/>
          <w:rFonts w:ascii="Arial" w:hAnsi="Arial" w:cs="Arial"/>
          <w:sz w:val="24"/>
          <w:szCs w:val="24"/>
        </w:rPr>
        <w:footnoteReference w:id="8"/>
      </w:r>
      <w:r w:rsidR="004F0D8D" w:rsidRPr="00CD1FE1">
        <w:rPr>
          <w:rFonts w:ascii="Arial" w:hAnsi="Arial" w:cs="Arial"/>
          <w:sz w:val="24"/>
          <w:szCs w:val="24"/>
        </w:rPr>
        <w:t xml:space="preserve"> Furthermore, the same principles found application in </w:t>
      </w:r>
      <w:r w:rsidR="00F102AA" w:rsidRPr="00CD1FE1">
        <w:rPr>
          <w:rFonts w:ascii="Arial" w:hAnsi="Arial" w:cs="Arial"/>
          <w:sz w:val="24"/>
          <w:szCs w:val="24"/>
        </w:rPr>
        <w:t xml:space="preserve">the full bench decision </w:t>
      </w:r>
      <w:r w:rsidR="00655E8F" w:rsidRPr="00CD1FE1">
        <w:rPr>
          <w:rFonts w:ascii="Arial" w:hAnsi="Arial" w:cs="Arial"/>
          <w:sz w:val="24"/>
          <w:szCs w:val="24"/>
        </w:rPr>
        <w:t xml:space="preserve">of </w:t>
      </w:r>
      <w:r w:rsidR="00655E8F" w:rsidRPr="00CD1FE1">
        <w:rPr>
          <w:rFonts w:ascii="Arial" w:hAnsi="Arial" w:cs="Arial"/>
          <w:i/>
          <w:iCs/>
          <w:sz w:val="24"/>
          <w:szCs w:val="24"/>
        </w:rPr>
        <w:t>PJ v HJ</w:t>
      </w:r>
      <w:r w:rsidR="00655E8F" w:rsidRPr="00CD1FE1">
        <w:rPr>
          <w:rFonts w:ascii="Arial" w:hAnsi="Arial" w:cs="Arial"/>
          <w:sz w:val="24"/>
          <w:szCs w:val="24"/>
        </w:rPr>
        <w:t>,</w:t>
      </w:r>
      <w:r w:rsidR="00E539DD">
        <w:rPr>
          <w:rStyle w:val="FootnoteReference"/>
          <w:rFonts w:ascii="Arial" w:hAnsi="Arial" w:cs="Arial"/>
          <w:sz w:val="24"/>
          <w:szCs w:val="24"/>
        </w:rPr>
        <w:footnoteReference w:id="9"/>
      </w:r>
      <w:r w:rsidR="00655E8F" w:rsidRPr="00CD1FE1">
        <w:rPr>
          <w:rFonts w:ascii="Arial" w:hAnsi="Arial" w:cs="Arial"/>
          <w:sz w:val="24"/>
          <w:szCs w:val="24"/>
        </w:rPr>
        <w:t xml:space="preserve"> </w:t>
      </w:r>
      <w:r w:rsidR="00FB787F" w:rsidRPr="00CD1FE1">
        <w:rPr>
          <w:rFonts w:ascii="Arial" w:hAnsi="Arial" w:cs="Arial"/>
          <w:sz w:val="24"/>
          <w:szCs w:val="24"/>
        </w:rPr>
        <w:t xml:space="preserve">in the Free State Division, </w:t>
      </w:r>
      <w:r w:rsidR="00655E8F" w:rsidRPr="00CD1FE1">
        <w:rPr>
          <w:rFonts w:ascii="Arial" w:hAnsi="Arial" w:cs="Arial"/>
          <w:sz w:val="24"/>
          <w:szCs w:val="24"/>
        </w:rPr>
        <w:t>where</w:t>
      </w:r>
      <w:r w:rsidR="00E539DD" w:rsidRPr="00CD1FE1">
        <w:rPr>
          <w:rFonts w:ascii="Arial" w:hAnsi="Arial" w:cs="Arial"/>
          <w:sz w:val="24"/>
          <w:szCs w:val="24"/>
        </w:rPr>
        <w:t xml:space="preserve"> </w:t>
      </w:r>
      <w:r w:rsidR="00A776D2" w:rsidRPr="00CD1FE1">
        <w:rPr>
          <w:rFonts w:ascii="Arial" w:hAnsi="Arial" w:cs="Arial"/>
          <w:sz w:val="24"/>
          <w:szCs w:val="24"/>
        </w:rPr>
        <w:t xml:space="preserve">the court dealt with </w:t>
      </w:r>
      <w:r w:rsidR="00604F69" w:rsidRPr="00CD1FE1">
        <w:rPr>
          <w:rFonts w:ascii="Arial" w:hAnsi="Arial" w:cs="Arial"/>
          <w:sz w:val="24"/>
          <w:szCs w:val="24"/>
        </w:rPr>
        <w:t>a request for further particulars in divorce proceedings</w:t>
      </w:r>
      <w:r w:rsidR="00756753" w:rsidRPr="00CD1FE1">
        <w:rPr>
          <w:rFonts w:ascii="Arial" w:hAnsi="Arial" w:cs="Arial"/>
          <w:sz w:val="24"/>
          <w:szCs w:val="24"/>
        </w:rPr>
        <w:t xml:space="preserve">. </w:t>
      </w:r>
      <w:proofErr w:type="spellStart"/>
      <w:r w:rsidR="00756753" w:rsidRPr="00CD1FE1">
        <w:rPr>
          <w:rFonts w:ascii="Arial" w:hAnsi="Arial" w:cs="Arial"/>
          <w:sz w:val="24"/>
          <w:szCs w:val="24"/>
        </w:rPr>
        <w:t>Loubser</w:t>
      </w:r>
      <w:proofErr w:type="spellEnd"/>
      <w:r w:rsidR="00756753" w:rsidRPr="00CD1FE1">
        <w:rPr>
          <w:rFonts w:ascii="Arial" w:hAnsi="Arial" w:cs="Arial"/>
          <w:sz w:val="24"/>
          <w:szCs w:val="24"/>
        </w:rPr>
        <w:t xml:space="preserve"> J </w:t>
      </w:r>
      <w:r w:rsidR="00E976AD" w:rsidRPr="00CD1FE1">
        <w:rPr>
          <w:rFonts w:ascii="Arial" w:hAnsi="Arial" w:cs="Arial"/>
          <w:sz w:val="24"/>
          <w:szCs w:val="24"/>
        </w:rPr>
        <w:t>held</w:t>
      </w:r>
      <w:r w:rsidR="0057071E" w:rsidRPr="00CD1FE1">
        <w:rPr>
          <w:rFonts w:ascii="Arial" w:hAnsi="Arial" w:cs="Arial"/>
          <w:sz w:val="24"/>
          <w:szCs w:val="24"/>
        </w:rPr>
        <w:t xml:space="preserve"> that:</w:t>
      </w:r>
    </w:p>
    <w:p w14:paraId="6C25016C" w14:textId="1EF8CCEE" w:rsidR="0057071E" w:rsidRPr="00290F82" w:rsidRDefault="0057071E" w:rsidP="00CD1FE1">
      <w:pPr>
        <w:spacing w:line="360" w:lineRule="auto"/>
        <w:ind w:left="720"/>
        <w:jc w:val="both"/>
        <w:rPr>
          <w:rFonts w:ascii="Arial" w:hAnsi="Arial" w:cs="Arial"/>
          <w:sz w:val="20"/>
          <w:szCs w:val="20"/>
        </w:rPr>
      </w:pPr>
      <w:r w:rsidRPr="00290F82">
        <w:rPr>
          <w:rFonts w:ascii="Arial" w:hAnsi="Arial" w:cs="Arial"/>
          <w:sz w:val="20"/>
          <w:szCs w:val="20"/>
        </w:rPr>
        <w:t xml:space="preserve">‘…The first question is then whether the trial Magistrate was correct in finding that the particulars were relevant as far as the issue </w:t>
      </w:r>
      <w:r w:rsidR="00B97501" w:rsidRPr="00290F82">
        <w:rPr>
          <w:rFonts w:ascii="Arial" w:hAnsi="Arial" w:cs="Arial"/>
          <w:sz w:val="20"/>
          <w:szCs w:val="20"/>
        </w:rPr>
        <w:t>of accrual is concerned. Unfortunately she was not correct in this respect. Section 4 of the Matrimonial Property Act</w:t>
      </w:r>
      <w:r w:rsidR="00D912C0" w:rsidRPr="00290F82">
        <w:rPr>
          <w:rFonts w:ascii="Arial" w:hAnsi="Arial" w:cs="Arial"/>
          <w:sz w:val="20"/>
          <w:szCs w:val="20"/>
        </w:rPr>
        <w:t xml:space="preserve"> provides that the accrual of the estate of a spouse is the amount by which the net value </w:t>
      </w:r>
      <w:r w:rsidR="005146C9" w:rsidRPr="00290F82">
        <w:rPr>
          <w:rFonts w:ascii="Arial" w:hAnsi="Arial" w:cs="Arial"/>
          <w:sz w:val="20"/>
          <w:szCs w:val="20"/>
        </w:rPr>
        <w:t xml:space="preserve">of his estate at the dissolution of his marriage exceeds the net value </w:t>
      </w:r>
      <w:r w:rsidR="00592B08" w:rsidRPr="00290F82">
        <w:rPr>
          <w:rFonts w:ascii="Arial" w:hAnsi="Arial" w:cs="Arial"/>
          <w:sz w:val="20"/>
          <w:szCs w:val="20"/>
        </w:rPr>
        <w:t>of his estate at the commencement of that marriage. It follows that</w:t>
      </w:r>
      <w:r w:rsidR="00113612" w:rsidRPr="00290F82">
        <w:rPr>
          <w:rFonts w:ascii="Arial" w:hAnsi="Arial" w:cs="Arial"/>
          <w:sz w:val="20"/>
          <w:szCs w:val="20"/>
        </w:rPr>
        <w:t xml:space="preserve"> at the trial proceedings for a divorce, the right to accrual has not yet accrued</w:t>
      </w:r>
      <w:r w:rsidR="00BA4CE2" w:rsidRPr="00290F82">
        <w:rPr>
          <w:rFonts w:ascii="Arial" w:hAnsi="Arial" w:cs="Arial"/>
          <w:sz w:val="20"/>
          <w:szCs w:val="20"/>
        </w:rPr>
        <w:t xml:space="preserve">. It will only accrue when the divorce order is granted, and only at that time must the accrual </w:t>
      </w:r>
      <w:r w:rsidR="00CF3921" w:rsidRPr="00290F82">
        <w:rPr>
          <w:rFonts w:ascii="Arial" w:hAnsi="Arial" w:cs="Arial"/>
          <w:sz w:val="20"/>
          <w:szCs w:val="20"/>
        </w:rPr>
        <w:t>be determined. For purposes of the divorce proceedings</w:t>
      </w:r>
      <w:r w:rsidR="00CC192B" w:rsidRPr="00290F82">
        <w:rPr>
          <w:rFonts w:ascii="Arial" w:hAnsi="Arial" w:cs="Arial"/>
          <w:sz w:val="20"/>
          <w:szCs w:val="20"/>
        </w:rPr>
        <w:t>, the issue of accrual is therefore irrelevant. Particulars in respect thereof cannot be “strictly necessary” to prepare for trial</w:t>
      </w:r>
      <w:r w:rsidR="000E3362" w:rsidRPr="00290F82">
        <w:rPr>
          <w:rFonts w:ascii="Arial" w:hAnsi="Arial" w:cs="Arial"/>
          <w:sz w:val="20"/>
          <w:szCs w:val="20"/>
        </w:rPr>
        <w:t>.</w:t>
      </w:r>
    </w:p>
    <w:p w14:paraId="1BF9CFC0" w14:textId="49DA8780" w:rsidR="000E3362" w:rsidRPr="00290F82" w:rsidRDefault="000E3362" w:rsidP="00CD1FE1">
      <w:pPr>
        <w:spacing w:line="360" w:lineRule="auto"/>
        <w:ind w:left="720"/>
        <w:jc w:val="both"/>
        <w:rPr>
          <w:rFonts w:ascii="Arial" w:hAnsi="Arial" w:cs="Arial"/>
          <w:sz w:val="20"/>
          <w:szCs w:val="20"/>
        </w:rPr>
      </w:pPr>
      <w:r w:rsidRPr="00290F82">
        <w:rPr>
          <w:rFonts w:ascii="Arial" w:hAnsi="Arial" w:cs="Arial"/>
          <w:sz w:val="20"/>
          <w:szCs w:val="20"/>
        </w:rPr>
        <w:lastRenderedPageBreak/>
        <w:t xml:space="preserve">…In addition, the trial Magistrate ignored the fact that the Respondent had already obtained the information relating to accrual </w:t>
      </w:r>
      <w:r w:rsidR="00F011A3" w:rsidRPr="00290F82">
        <w:rPr>
          <w:rFonts w:ascii="Arial" w:hAnsi="Arial" w:cs="Arial"/>
          <w:sz w:val="20"/>
          <w:szCs w:val="20"/>
        </w:rPr>
        <w:t>after she had served her notice in terms of Section 7 of the Matrimonial Property Act.’</w:t>
      </w:r>
      <w:r w:rsidR="00F011A3" w:rsidRPr="00290F82">
        <w:rPr>
          <w:rStyle w:val="FootnoteReference"/>
          <w:rFonts w:ascii="Arial" w:hAnsi="Arial" w:cs="Arial"/>
          <w:sz w:val="20"/>
          <w:szCs w:val="20"/>
        </w:rPr>
        <w:footnoteReference w:id="10"/>
      </w:r>
    </w:p>
    <w:p w14:paraId="128C74E3" w14:textId="316CE815" w:rsidR="00CD1FE1" w:rsidRDefault="001379C7"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Consequently, contend the respondents, the applicant is entitled, at best, </w:t>
      </w:r>
      <w:r w:rsidR="005A72C5" w:rsidRPr="00CD1FE1">
        <w:rPr>
          <w:rFonts w:ascii="Arial" w:hAnsi="Arial" w:cs="Arial"/>
          <w:sz w:val="24"/>
          <w:szCs w:val="24"/>
        </w:rPr>
        <w:t xml:space="preserve">to </w:t>
      </w:r>
      <w:r w:rsidR="00F06664" w:rsidRPr="00CD1FE1">
        <w:rPr>
          <w:rFonts w:ascii="Arial" w:hAnsi="Arial" w:cs="Arial"/>
          <w:sz w:val="24"/>
          <w:szCs w:val="24"/>
        </w:rPr>
        <w:t xml:space="preserve">particulars </w:t>
      </w:r>
      <w:r w:rsidR="00A82A5C" w:rsidRPr="00CD1FE1">
        <w:rPr>
          <w:rFonts w:ascii="Arial" w:hAnsi="Arial" w:cs="Arial"/>
          <w:sz w:val="24"/>
          <w:szCs w:val="24"/>
        </w:rPr>
        <w:t xml:space="preserve">pertaining to the trusts. </w:t>
      </w:r>
      <w:r w:rsidR="00C263A4" w:rsidRPr="00CD1FE1">
        <w:rPr>
          <w:rFonts w:ascii="Arial" w:hAnsi="Arial" w:cs="Arial"/>
          <w:sz w:val="24"/>
          <w:szCs w:val="24"/>
        </w:rPr>
        <w:t xml:space="preserve">However, these would be limited to the </w:t>
      </w:r>
      <w:r w:rsidR="00652425" w:rsidRPr="00CD1FE1">
        <w:rPr>
          <w:rFonts w:ascii="Arial" w:hAnsi="Arial" w:cs="Arial"/>
          <w:sz w:val="24"/>
          <w:szCs w:val="24"/>
        </w:rPr>
        <w:t>issue</w:t>
      </w:r>
      <w:r w:rsidR="0061105E" w:rsidRPr="00CD1FE1">
        <w:rPr>
          <w:rFonts w:ascii="Arial" w:hAnsi="Arial" w:cs="Arial"/>
          <w:sz w:val="24"/>
          <w:szCs w:val="24"/>
        </w:rPr>
        <w:t>s</w:t>
      </w:r>
      <w:r w:rsidR="00B52BF6" w:rsidRPr="00CD1FE1">
        <w:rPr>
          <w:rFonts w:ascii="Arial" w:hAnsi="Arial" w:cs="Arial"/>
          <w:sz w:val="24"/>
          <w:szCs w:val="24"/>
        </w:rPr>
        <w:t xml:space="preserve"> </w:t>
      </w:r>
      <w:r w:rsidR="00C00856" w:rsidRPr="00CD1FE1">
        <w:rPr>
          <w:rFonts w:ascii="Arial" w:hAnsi="Arial" w:cs="Arial"/>
          <w:sz w:val="24"/>
          <w:szCs w:val="24"/>
        </w:rPr>
        <w:t xml:space="preserve">regarding </w:t>
      </w:r>
      <w:r w:rsidR="00B52BF6" w:rsidRPr="00CD1FE1">
        <w:rPr>
          <w:rFonts w:ascii="Arial" w:hAnsi="Arial" w:cs="Arial"/>
          <w:sz w:val="24"/>
          <w:szCs w:val="24"/>
        </w:rPr>
        <w:t xml:space="preserve">the </w:t>
      </w:r>
      <w:r w:rsidR="00CA08F4" w:rsidRPr="00CD1FE1">
        <w:rPr>
          <w:rFonts w:ascii="Arial" w:hAnsi="Arial" w:cs="Arial"/>
          <w:sz w:val="24"/>
          <w:szCs w:val="24"/>
        </w:rPr>
        <w:t xml:space="preserve">order </w:t>
      </w:r>
      <w:r w:rsidR="00B52BF6" w:rsidRPr="00CD1FE1">
        <w:rPr>
          <w:rFonts w:ascii="Arial" w:hAnsi="Arial" w:cs="Arial"/>
          <w:sz w:val="24"/>
          <w:szCs w:val="24"/>
        </w:rPr>
        <w:t xml:space="preserve">sought by the applicant </w:t>
      </w:r>
      <w:r w:rsidR="001F3704" w:rsidRPr="00CD1FE1">
        <w:rPr>
          <w:rFonts w:ascii="Arial" w:hAnsi="Arial" w:cs="Arial"/>
          <w:sz w:val="24"/>
          <w:szCs w:val="24"/>
        </w:rPr>
        <w:t xml:space="preserve">for a </w:t>
      </w:r>
      <w:proofErr w:type="spellStart"/>
      <w:r w:rsidR="001F3704" w:rsidRPr="00CD1FE1">
        <w:rPr>
          <w:rFonts w:ascii="Arial" w:hAnsi="Arial" w:cs="Arial"/>
          <w:sz w:val="24"/>
          <w:szCs w:val="24"/>
        </w:rPr>
        <w:t>declarator</w:t>
      </w:r>
      <w:proofErr w:type="spellEnd"/>
      <w:r w:rsidR="001F3704" w:rsidRPr="00CD1FE1">
        <w:rPr>
          <w:rFonts w:ascii="Arial" w:hAnsi="Arial" w:cs="Arial"/>
          <w:sz w:val="24"/>
          <w:szCs w:val="24"/>
        </w:rPr>
        <w:t xml:space="preserve"> </w:t>
      </w:r>
      <w:r w:rsidR="00CA08F4" w:rsidRPr="00CD1FE1">
        <w:rPr>
          <w:rFonts w:ascii="Arial" w:hAnsi="Arial" w:cs="Arial"/>
          <w:sz w:val="24"/>
          <w:szCs w:val="24"/>
        </w:rPr>
        <w:t>that the assets acquired by the trusts are, in effect, owned by the first respondent in his personal capacity.</w:t>
      </w:r>
    </w:p>
    <w:p w14:paraId="3A102946" w14:textId="77777777" w:rsidR="00CD1FE1" w:rsidRDefault="00CD1FE1" w:rsidP="00CD1FE1">
      <w:pPr>
        <w:pStyle w:val="ListParagraph"/>
        <w:spacing w:line="360" w:lineRule="auto"/>
        <w:ind w:left="0"/>
        <w:jc w:val="both"/>
        <w:rPr>
          <w:rFonts w:ascii="Arial" w:hAnsi="Arial" w:cs="Arial"/>
          <w:sz w:val="24"/>
          <w:szCs w:val="24"/>
        </w:rPr>
      </w:pPr>
    </w:p>
    <w:p w14:paraId="061D4C12" w14:textId="77777777" w:rsidR="00CD1FE1" w:rsidRDefault="001F3704"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The </w:t>
      </w:r>
      <w:r w:rsidR="00B501F9" w:rsidRPr="00CD1FE1">
        <w:rPr>
          <w:rFonts w:ascii="Arial" w:hAnsi="Arial" w:cs="Arial"/>
          <w:sz w:val="24"/>
          <w:szCs w:val="24"/>
        </w:rPr>
        <w:t xml:space="preserve">principles enunciated in </w:t>
      </w:r>
      <w:r w:rsidR="008433E0" w:rsidRPr="00CD1FE1">
        <w:rPr>
          <w:rFonts w:ascii="Arial" w:hAnsi="Arial" w:cs="Arial"/>
          <w:i/>
          <w:iCs/>
          <w:sz w:val="24"/>
          <w:szCs w:val="24"/>
        </w:rPr>
        <w:t>AB v JB</w:t>
      </w:r>
      <w:r w:rsidR="008433E0" w:rsidRPr="00CD1FE1">
        <w:rPr>
          <w:rFonts w:ascii="Arial" w:hAnsi="Arial" w:cs="Arial"/>
          <w:sz w:val="24"/>
          <w:szCs w:val="24"/>
        </w:rPr>
        <w:t xml:space="preserve"> are well-established and accord with the language of </w:t>
      </w:r>
      <w:r w:rsidR="00A93D54" w:rsidRPr="00CD1FE1">
        <w:rPr>
          <w:rFonts w:ascii="Arial" w:hAnsi="Arial" w:cs="Arial"/>
          <w:sz w:val="24"/>
          <w:szCs w:val="24"/>
        </w:rPr>
        <w:t xml:space="preserve">sections 3 and 4 of the MPA. </w:t>
      </w:r>
      <w:r w:rsidR="00B36EEC" w:rsidRPr="00CD1FE1">
        <w:rPr>
          <w:rFonts w:ascii="Arial" w:hAnsi="Arial" w:cs="Arial"/>
          <w:sz w:val="24"/>
          <w:szCs w:val="24"/>
        </w:rPr>
        <w:t xml:space="preserve">An accrual claim </w:t>
      </w:r>
      <w:r w:rsidR="00597BA0" w:rsidRPr="00CD1FE1">
        <w:rPr>
          <w:rFonts w:ascii="Arial" w:hAnsi="Arial" w:cs="Arial"/>
          <w:sz w:val="24"/>
          <w:szCs w:val="24"/>
        </w:rPr>
        <w:t xml:space="preserve">is only acquired upon </w:t>
      </w:r>
      <w:r w:rsidR="00300768" w:rsidRPr="00CD1FE1">
        <w:rPr>
          <w:rFonts w:ascii="Arial" w:hAnsi="Arial" w:cs="Arial"/>
          <w:sz w:val="24"/>
          <w:szCs w:val="24"/>
        </w:rPr>
        <w:t>the dissolution of a marriage</w:t>
      </w:r>
      <w:r w:rsidR="00F2574A" w:rsidRPr="00CD1FE1">
        <w:rPr>
          <w:rFonts w:ascii="Arial" w:hAnsi="Arial" w:cs="Arial"/>
          <w:sz w:val="24"/>
          <w:szCs w:val="24"/>
        </w:rPr>
        <w:t>.</w:t>
      </w:r>
      <w:r w:rsidR="003B4BD9">
        <w:rPr>
          <w:rStyle w:val="FootnoteReference"/>
          <w:rFonts w:ascii="Arial" w:hAnsi="Arial" w:cs="Arial"/>
          <w:sz w:val="24"/>
          <w:szCs w:val="24"/>
        </w:rPr>
        <w:footnoteReference w:id="11"/>
      </w:r>
      <w:r w:rsidR="00F2574A" w:rsidRPr="00CD1FE1">
        <w:rPr>
          <w:rFonts w:ascii="Arial" w:hAnsi="Arial" w:cs="Arial"/>
          <w:sz w:val="24"/>
          <w:szCs w:val="24"/>
        </w:rPr>
        <w:t xml:space="preserve"> The determination </w:t>
      </w:r>
      <w:r w:rsidR="00F14C29" w:rsidRPr="00CD1FE1">
        <w:rPr>
          <w:rFonts w:ascii="Arial" w:hAnsi="Arial" w:cs="Arial"/>
          <w:sz w:val="24"/>
          <w:szCs w:val="24"/>
        </w:rPr>
        <w:t xml:space="preserve">of the net value of </w:t>
      </w:r>
      <w:r w:rsidR="00400A08" w:rsidRPr="00CD1FE1">
        <w:rPr>
          <w:rFonts w:ascii="Arial" w:hAnsi="Arial" w:cs="Arial"/>
          <w:sz w:val="24"/>
          <w:szCs w:val="24"/>
        </w:rPr>
        <w:t xml:space="preserve">the accrual </w:t>
      </w:r>
      <w:r w:rsidR="003F60F0" w:rsidRPr="00CD1FE1">
        <w:rPr>
          <w:rFonts w:ascii="Arial" w:hAnsi="Arial" w:cs="Arial"/>
          <w:sz w:val="24"/>
          <w:szCs w:val="24"/>
        </w:rPr>
        <w:t xml:space="preserve">for </w:t>
      </w:r>
      <w:r w:rsidR="00F14C29" w:rsidRPr="00CD1FE1">
        <w:rPr>
          <w:rFonts w:ascii="Arial" w:hAnsi="Arial" w:cs="Arial"/>
          <w:sz w:val="24"/>
          <w:szCs w:val="24"/>
        </w:rPr>
        <w:t>an estate</w:t>
      </w:r>
      <w:r w:rsidR="003F60F0" w:rsidRPr="00CD1FE1">
        <w:rPr>
          <w:rFonts w:ascii="Arial" w:hAnsi="Arial" w:cs="Arial"/>
          <w:sz w:val="24"/>
          <w:szCs w:val="24"/>
        </w:rPr>
        <w:t xml:space="preserve"> can only be determined upon such </w:t>
      </w:r>
      <w:r w:rsidR="00BC5724" w:rsidRPr="00CD1FE1">
        <w:rPr>
          <w:rFonts w:ascii="Arial" w:hAnsi="Arial" w:cs="Arial"/>
          <w:sz w:val="24"/>
          <w:szCs w:val="24"/>
        </w:rPr>
        <w:t>date unless</w:t>
      </w:r>
      <w:r w:rsidR="003F60F0" w:rsidRPr="00CD1FE1">
        <w:rPr>
          <w:rFonts w:ascii="Arial" w:hAnsi="Arial" w:cs="Arial"/>
          <w:sz w:val="24"/>
          <w:szCs w:val="24"/>
        </w:rPr>
        <w:t xml:space="preserve"> the exception under section 8 applies.</w:t>
      </w:r>
    </w:p>
    <w:p w14:paraId="2CFBF474" w14:textId="77777777" w:rsidR="00CD1FE1" w:rsidRPr="00CD1FE1" w:rsidRDefault="00CD1FE1" w:rsidP="00CD1FE1">
      <w:pPr>
        <w:pStyle w:val="ListParagraph"/>
        <w:rPr>
          <w:rFonts w:ascii="Arial" w:hAnsi="Arial" w:cs="Arial"/>
          <w:sz w:val="24"/>
          <w:szCs w:val="24"/>
        </w:rPr>
      </w:pPr>
    </w:p>
    <w:p w14:paraId="222D1DB1" w14:textId="77777777" w:rsidR="00CD1FE1" w:rsidRDefault="00B0022F"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The decision in </w:t>
      </w:r>
      <w:r w:rsidRPr="00CD1FE1">
        <w:rPr>
          <w:rFonts w:ascii="Arial" w:hAnsi="Arial" w:cs="Arial"/>
          <w:i/>
          <w:iCs/>
          <w:sz w:val="24"/>
          <w:szCs w:val="24"/>
        </w:rPr>
        <w:t>PJ v HJ</w:t>
      </w:r>
      <w:r w:rsidRPr="00CD1FE1">
        <w:rPr>
          <w:rFonts w:ascii="Arial" w:hAnsi="Arial" w:cs="Arial"/>
          <w:sz w:val="24"/>
          <w:szCs w:val="24"/>
        </w:rPr>
        <w:t xml:space="preserve">, however, requires closer analysis. Here, the </w:t>
      </w:r>
      <w:r w:rsidR="00423683" w:rsidRPr="00CD1FE1">
        <w:rPr>
          <w:rFonts w:ascii="Arial" w:hAnsi="Arial" w:cs="Arial"/>
          <w:sz w:val="24"/>
          <w:szCs w:val="24"/>
        </w:rPr>
        <w:t>facts were that the</w:t>
      </w:r>
      <w:r w:rsidR="00342B65" w:rsidRPr="00CD1FE1">
        <w:rPr>
          <w:rFonts w:ascii="Arial" w:hAnsi="Arial" w:cs="Arial"/>
          <w:sz w:val="24"/>
          <w:szCs w:val="24"/>
        </w:rPr>
        <w:t xml:space="preserve"> appellant had instituted divorce proceedings</w:t>
      </w:r>
      <w:r w:rsidR="0037212E" w:rsidRPr="00CD1FE1">
        <w:rPr>
          <w:rFonts w:ascii="Arial" w:hAnsi="Arial" w:cs="Arial"/>
          <w:sz w:val="24"/>
          <w:szCs w:val="24"/>
        </w:rPr>
        <w:t xml:space="preserve"> in the </w:t>
      </w:r>
      <w:r w:rsidR="00690AFC" w:rsidRPr="00CD1FE1">
        <w:rPr>
          <w:rFonts w:ascii="Arial" w:hAnsi="Arial" w:cs="Arial"/>
          <w:sz w:val="24"/>
          <w:szCs w:val="24"/>
        </w:rPr>
        <w:t>Regional Court</w:t>
      </w:r>
      <w:r w:rsidR="00342B65" w:rsidRPr="00CD1FE1">
        <w:rPr>
          <w:rFonts w:ascii="Arial" w:hAnsi="Arial" w:cs="Arial"/>
          <w:sz w:val="24"/>
          <w:szCs w:val="24"/>
        </w:rPr>
        <w:t>, claiming</w:t>
      </w:r>
      <w:r w:rsidR="002D7C29" w:rsidRPr="00CD1FE1">
        <w:rPr>
          <w:rFonts w:ascii="Arial" w:hAnsi="Arial" w:cs="Arial"/>
          <w:sz w:val="24"/>
          <w:szCs w:val="24"/>
        </w:rPr>
        <w:t xml:space="preserve">, </w:t>
      </w:r>
      <w:r w:rsidR="002D7C29" w:rsidRPr="00CD1FE1">
        <w:rPr>
          <w:rFonts w:ascii="Arial" w:hAnsi="Arial" w:cs="Arial"/>
          <w:i/>
          <w:iCs/>
          <w:sz w:val="24"/>
          <w:szCs w:val="24"/>
        </w:rPr>
        <w:t>inter alia</w:t>
      </w:r>
      <w:r w:rsidR="002D7C29" w:rsidRPr="00CD1FE1">
        <w:rPr>
          <w:rFonts w:ascii="Arial" w:hAnsi="Arial" w:cs="Arial"/>
          <w:sz w:val="24"/>
          <w:szCs w:val="24"/>
        </w:rPr>
        <w:t>,</w:t>
      </w:r>
      <w:r w:rsidR="00342B65" w:rsidRPr="00CD1FE1">
        <w:rPr>
          <w:rFonts w:ascii="Arial" w:hAnsi="Arial" w:cs="Arial"/>
          <w:sz w:val="24"/>
          <w:szCs w:val="24"/>
        </w:rPr>
        <w:t xml:space="preserve"> </w:t>
      </w:r>
      <w:r w:rsidR="002D7C29" w:rsidRPr="00CD1FE1">
        <w:rPr>
          <w:rFonts w:ascii="Arial" w:hAnsi="Arial" w:cs="Arial"/>
          <w:sz w:val="24"/>
          <w:szCs w:val="24"/>
        </w:rPr>
        <w:t xml:space="preserve">a decree of divorce, </w:t>
      </w:r>
      <w:r w:rsidR="00303266" w:rsidRPr="00CD1FE1">
        <w:rPr>
          <w:rFonts w:ascii="Arial" w:hAnsi="Arial" w:cs="Arial"/>
          <w:sz w:val="24"/>
          <w:szCs w:val="24"/>
        </w:rPr>
        <w:t xml:space="preserve">an order that </w:t>
      </w:r>
      <w:r w:rsidR="002C514E" w:rsidRPr="00CD1FE1">
        <w:rPr>
          <w:rFonts w:ascii="Arial" w:hAnsi="Arial" w:cs="Arial"/>
          <w:sz w:val="24"/>
          <w:szCs w:val="24"/>
        </w:rPr>
        <w:t>he pay reasonable maintenance for the minor child</w:t>
      </w:r>
      <w:r w:rsidR="00CA487F" w:rsidRPr="00CD1FE1">
        <w:rPr>
          <w:rFonts w:ascii="Arial" w:hAnsi="Arial" w:cs="Arial"/>
          <w:sz w:val="24"/>
          <w:szCs w:val="24"/>
        </w:rPr>
        <w:t xml:space="preserve">, and compliance with the </w:t>
      </w:r>
      <w:proofErr w:type="spellStart"/>
      <w:r w:rsidR="00CA487F" w:rsidRPr="00CD1FE1">
        <w:rPr>
          <w:rFonts w:ascii="Arial" w:hAnsi="Arial" w:cs="Arial"/>
          <w:sz w:val="24"/>
          <w:szCs w:val="24"/>
        </w:rPr>
        <w:t>antenuptial</w:t>
      </w:r>
      <w:proofErr w:type="spellEnd"/>
      <w:r w:rsidR="00CA487F" w:rsidRPr="00CD1FE1">
        <w:rPr>
          <w:rFonts w:ascii="Arial" w:hAnsi="Arial" w:cs="Arial"/>
          <w:sz w:val="24"/>
          <w:szCs w:val="24"/>
        </w:rPr>
        <w:t xml:space="preserve"> contract</w:t>
      </w:r>
      <w:r w:rsidR="004C7443" w:rsidRPr="00CD1FE1">
        <w:rPr>
          <w:rFonts w:ascii="Arial" w:hAnsi="Arial" w:cs="Arial"/>
          <w:sz w:val="24"/>
          <w:szCs w:val="24"/>
        </w:rPr>
        <w:t xml:space="preserve">. </w:t>
      </w:r>
      <w:r w:rsidR="00303266" w:rsidRPr="00CD1FE1">
        <w:rPr>
          <w:rFonts w:ascii="Arial" w:hAnsi="Arial" w:cs="Arial"/>
          <w:sz w:val="24"/>
          <w:szCs w:val="24"/>
        </w:rPr>
        <w:t>The respondent</w:t>
      </w:r>
      <w:r w:rsidR="000E0DEF" w:rsidRPr="00CD1FE1">
        <w:rPr>
          <w:rFonts w:ascii="Arial" w:hAnsi="Arial" w:cs="Arial"/>
          <w:sz w:val="24"/>
          <w:szCs w:val="24"/>
        </w:rPr>
        <w:t xml:space="preserve"> </w:t>
      </w:r>
      <w:r w:rsidR="003D2B3D" w:rsidRPr="00CD1FE1">
        <w:rPr>
          <w:rFonts w:ascii="Arial" w:hAnsi="Arial" w:cs="Arial"/>
          <w:sz w:val="24"/>
          <w:szCs w:val="24"/>
        </w:rPr>
        <w:t xml:space="preserve">counter-claimed, seeking, </w:t>
      </w:r>
      <w:r w:rsidR="003D2B3D" w:rsidRPr="00CD1FE1">
        <w:rPr>
          <w:rFonts w:ascii="Arial" w:hAnsi="Arial" w:cs="Arial"/>
          <w:i/>
          <w:iCs/>
          <w:sz w:val="24"/>
          <w:szCs w:val="24"/>
        </w:rPr>
        <w:t>inter alia</w:t>
      </w:r>
      <w:r w:rsidR="003D2B3D" w:rsidRPr="00CD1FE1">
        <w:rPr>
          <w:rFonts w:ascii="Arial" w:hAnsi="Arial" w:cs="Arial"/>
          <w:sz w:val="24"/>
          <w:szCs w:val="24"/>
        </w:rPr>
        <w:t>, maintenance for herself</w:t>
      </w:r>
      <w:r w:rsidR="007B330E" w:rsidRPr="00CD1FE1">
        <w:rPr>
          <w:rFonts w:ascii="Arial" w:hAnsi="Arial" w:cs="Arial"/>
          <w:sz w:val="24"/>
          <w:szCs w:val="24"/>
        </w:rPr>
        <w:t xml:space="preserve">. The appellant pleaded that </w:t>
      </w:r>
      <w:r w:rsidR="0079099A" w:rsidRPr="00CD1FE1">
        <w:rPr>
          <w:rFonts w:ascii="Arial" w:hAnsi="Arial" w:cs="Arial"/>
          <w:sz w:val="24"/>
          <w:szCs w:val="24"/>
        </w:rPr>
        <w:t xml:space="preserve">the respondent was able to provide for her own maintenance needs. </w:t>
      </w:r>
      <w:r w:rsidR="00326DE6" w:rsidRPr="00CD1FE1">
        <w:rPr>
          <w:rFonts w:ascii="Arial" w:hAnsi="Arial" w:cs="Arial"/>
          <w:sz w:val="24"/>
          <w:szCs w:val="24"/>
        </w:rPr>
        <w:t xml:space="preserve">Both parties </w:t>
      </w:r>
      <w:r w:rsidR="00C77B09" w:rsidRPr="00CD1FE1">
        <w:rPr>
          <w:rFonts w:ascii="Arial" w:hAnsi="Arial" w:cs="Arial"/>
          <w:sz w:val="24"/>
          <w:szCs w:val="24"/>
        </w:rPr>
        <w:t xml:space="preserve">issued notices in terms of section 7 of the MPA, requesting </w:t>
      </w:r>
      <w:r w:rsidR="00AE6D11" w:rsidRPr="00CD1FE1">
        <w:rPr>
          <w:rFonts w:ascii="Arial" w:hAnsi="Arial" w:cs="Arial"/>
          <w:sz w:val="24"/>
          <w:szCs w:val="24"/>
        </w:rPr>
        <w:t>details of the value of the assets and liabilities in each other’s estate for purposes of de</w:t>
      </w:r>
      <w:r w:rsidR="000E0DEF" w:rsidRPr="00CD1FE1">
        <w:rPr>
          <w:rFonts w:ascii="Arial" w:hAnsi="Arial" w:cs="Arial"/>
          <w:sz w:val="24"/>
          <w:szCs w:val="24"/>
        </w:rPr>
        <w:t xml:space="preserve">termining accrual. Details were </w:t>
      </w:r>
      <w:r w:rsidR="00BD3CE5" w:rsidRPr="00CD1FE1">
        <w:rPr>
          <w:rFonts w:ascii="Arial" w:hAnsi="Arial" w:cs="Arial"/>
          <w:sz w:val="24"/>
          <w:szCs w:val="24"/>
        </w:rPr>
        <w:t xml:space="preserve">subsequently </w:t>
      </w:r>
      <w:r w:rsidR="006D2C80" w:rsidRPr="00CD1FE1">
        <w:rPr>
          <w:rFonts w:ascii="Arial" w:hAnsi="Arial" w:cs="Arial"/>
          <w:sz w:val="24"/>
          <w:szCs w:val="24"/>
        </w:rPr>
        <w:t>suppli</w:t>
      </w:r>
      <w:r w:rsidR="00BD3CE5" w:rsidRPr="00CD1FE1">
        <w:rPr>
          <w:rFonts w:ascii="Arial" w:hAnsi="Arial" w:cs="Arial"/>
          <w:sz w:val="24"/>
          <w:szCs w:val="24"/>
        </w:rPr>
        <w:t>ed by both parties. Shortly afterwards, the respondent filed a request for further particulars for trial</w:t>
      </w:r>
      <w:r w:rsidR="00D70909" w:rsidRPr="00CD1FE1">
        <w:rPr>
          <w:rFonts w:ascii="Arial" w:hAnsi="Arial" w:cs="Arial"/>
          <w:sz w:val="24"/>
          <w:szCs w:val="24"/>
        </w:rPr>
        <w:t>, consisting of a lengthy list of questions about the appellant’s financial position.</w:t>
      </w:r>
      <w:r w:rsidR="00393BE3" w:rsidRPr="00CD1FE1">
        <w:rPr>
          <w:rFonts w:ascii="Arial" w:hAnsi="Arial" w:cs="Arial"/>
          <w:sz w:val="24"/>
          <w:szCs w:val="24"/>
        </w:rPr>
        <w:t xml:space="preserve"> The appellant refused the request, stating that the particulars were not necessary </w:t>
      </w:r>
      <w:r w:rsidR="003F2DC3" w:rsidRPr="00CD1FE1">
        <w:rPr>
          <w:rFonts w:ascii="Arial" w:hAnsi="Arial" w:cs="Arial"/>
          <w:sz w:val="24"/>
          <w:szCs w:val="24"/>
        </w:rPr>
        <w:t>for trial and were irrelevant.</w:t>
      </w:r>
      <w:r w:rsidR="00772EE4" w:rsidRPr="00CD1FE1">
        <w:rPr>
          <w:rFonts w:ascii="Arial" w:hAnsi="Arial" w:cs="Arial"/>
          <w:sz w:val="24"/>
          <w:szCs w:val="24"/>
        </w:rPr>
        <w:t xml:space="preserve"> This prompted the respondent to make </w:t>
      </w:r>
      <w:r w:rsidR="00147F69" w:rsidRPr="00CD1FE1">
        <w:rPr>
          <w:rFonts w:ascii="Arial" w:hAnsi="Arial" w:cs="Arial"/>
          <w:sz w:val="24"/>
          <w:szCs w:val="24"/>
        </w:rPr>
        <w:t>application to compel.</w:t>
      </w:r>
    </w:p>
    <w:p w14:paraId="37D8C9E5" w14:textId="77777777" w:rsidR="00CD1FE1" w:rsidRPr="00CD1FE1" w:rsidRDefault="00CD1FE1" w:rsidP="00CD1FE1">
      <w:pPr>
        <w:pStyle w:val="ListParagraph"/>
        <w:rPr>
          <w:rFonts w:ascii="Arial" w:hAnsi="Arial" w:cs="Arial"/>
          <w:sz w:val="24"/>
          <w:szCs w:val="24"/>
        </w:rPr>
      </w:pPr>
    </w:p>
    <w:p w14:paraId="65F031E6" w14:textId="77777777" w:rsidR="00CD1FE1" w:rsidRDefault="00147F69"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The </w:t>
      </w:r>
      <w:r w:rsidR="0037212E" w:rsidRPr="00CD1FE1">
        <w:rPr>
          <w:rFonts w:ascii="Arial" w:hAnsi="Arial" w:cs="Arial"/>
          <w:sz w:val="24"/>
          <w:szCs w:val="24"/>
        </w:rPr>
        <w:t xml:space="preserve">magistrate </w:t>
      </w:r>
      <w:r w:rsidR="007A0160" w:rsidRPr="00CD1FE1">
        <w:rPr>
          <w:rFonts w:ascii="Arial" w:hAnsi="Arial" w:cs="Arial"/>
          <w:sz w:val="24"/>
          <w:szCs w:val="24"/>
        </w:rPr>
        <w:t xml:space="preserve">in the Regional Court referred to the decision of the Supreme Court of Appeal (‘SCA’) in </w:t>
      </w:r>
      <w:r w:rsidR="007A0160" w:rsidRPr="00CD1FE1">
        <w:rPr>
          <w:rFonts w:ascii="Arial" w:hAnsi="Arial" w:cs="Arial"/>
          <w:i/>
          <w:iCs/>
          <w:sz w:val="24"/>
          <w:szCs w:val="24"/>
        </w:rPr>
        <w:t>ST</w:t>
      </w:r>
      <w:r w:rsidR="00941A00" w:rsidRPr="00CD1FE1">
        <w:rPr>
          <w:rFonts w:ascii="Arial" w:hAnsi="Arial" w:cs="Arial"/>
          <w:i/>
          <w:iCs/>
          <w:sz w:val="24"/>
          <w:szCs w:val="24"/>
        </w:rPr>
        <w:t xml:space="preserve"> v CT</w:t>
      </w:r>
      <w:r w:rsidR="00941A00" w:rsidRPr="00CD1FE1">
        <w:rPr>
          <w:rFonts w:ascii="Arial" w:hAnsi="Arial" w:cs="Arial"/>
          <w:sz w:val="24"/>
          <w:szCs w:val="24"/>
        </w:rPr>
        <w:t>,</w:t>
      </w:r>
      <w:r w:rsidR="00941A00">
        <w:rPr>
          <w:rStyle w:val="FootnoteReference"/>
          <w:rFonts w:ascii="Arial" w:hAnsi="Arial" w:cs="Arial"/>
          <w:sz w:val="24"/>
          <w:szCs w:val="24"/>
        </w:rPr>
        <w:footnoteReference w:id="12"/>
      </w:r>
      <w:r w:rsidR="0046285F" w:rsidRPr="00CD1FE1">
        <w:rPr>
          <w:rFonts w:ascii="Arial" w:hAnsi="Arial" w:cs="Arial"/>
          <w:sz w:val="24"/>
          <w:szCs w:val="24"/>
        </w:rPr>
        <w:t xml:space="preserve"> where </w:t>
      </w:r>
      <w:proofErr w:type="spellStart"/>
      <w:r w:rsidR="00D37DD7" w:rsidRPr="00CD1FE1">
        <w:rPr>
          <w:rFonts w:ascii="Arial" w:hAnsi="Arial" w:cs="Arial"/>
          <w:sz w:val="24"/>
          <w:szCs w:val="24"/>
        </w:rPr>
        <w:t>Majiedt</w:t>
      </w:r>
      <w:proofErr w:type="spellEnd"/>
      <w:r w:rsidR="00D37DD7" w:rsidRPr="00CD1FE1">
        <w:rPr>
          <w:rFonts w:ascii="Arial" w:hAnsi="Arial" w:cs="Arial"/>
          <w:sz w:val="24"/>
          <w:szCs w:val="24"/>
        </w:rPr>
        <w:t xml:space="preserve"> JA and Rogers AJA</w:t>
      </w:r>
      <w:r w:rsidR="00FA219B" w:rsidRPr="00CD1FE1">
        <w:rPr>
          <w:rFonts w:ascii="Arial" w:hAnsi="Arial" w:cs="Arial"/>
          <w:sz w:val="24"/>
          <w:szCs w:val="24"/>
        </w:rPr>
        <w:t xml:space="preserve"> emphasised the duty </w:t>
      </w:r>
      <w:r w:rsidR="00FA219B" w:rsidRPr="00CD1FE1">
        <w:rPr>
          <w:rFonts w:ascii="Arial" w:hAnsi="Arial" w:cs="Arial"/>
          <w:sz w:val="24"/>
          <w:szCs w:val="24"/>
        </w:rPr>
        <w:lastRenderedPageBreak/>
        <w:t>of a spouse</w:t>
      </w:r>
      <w:r w:rsidR="007A4D7F" w:rsidRPr="00CD1FE1">
        <w:rPr>
          <w:rFonts w:ascii="Arial" w:hAnsi="Arial" w:cs="Arial"/>
          <w:sz w:val="24"/>
          <w:szCs w:val="24"/>
        </w:rPr>
        <w:t>, in terms of section 7 of the MPA,</w:t>
      </w:r>
      <w:r w:rsidR="00FA219B" w:rsidRPr="00CD1FE1">
        <w:rPr>
          <w:rFonts w:ascii="Arial" w:hAnsi="Arial" w:cs="Arial"/>
          <w:sz w:val="24"/>
          <w:szCs w:val="24"/>
        </w:rPr>
        <w:t xml:space="preserve"> to make full and frank disclosure of the particulars </w:t>
      </w:r>
      <w:r w:rsidR="003014F0" w:rsidRPr="00CD1FE1">
        <w:rPr>
          <w:rFonts w:ascii="Arial" w:hAnsi="Arial" w:cs="Arial"/>
          <w:sz w:val="24"/>
          <w:szCs w:val="24"/>
        </w:rPr>
        <w:t>pertaining to t</w:t>
      </w:r>
      <w:r w:rsidR="00FA219B" w:rsidRPr="00CD1FE1">
        <w:rPr>
          <w:rFonts w:ascii="Arial" w:hAnsi="Arial" w:cs="Arial"/>
          <w:sz w:val="24"/>
          <w:szCs w:val="24"/>
        </w:rPr>
        <w:t>he value of his or her estate</w:t>
      </w:r>
      <w:r w:rsidR="00AC549E" w:rsidRPr="00CD1FE1">
        <w:rPr>
          <w:rFonts w:ascii="Arial" w:hAnsi="Arial" w:cs="Arial"/>
          <w:sz w:val="24"/>
          <w:szCs w:val="24"/>
        </w:rPr>
        <w:t>. The failure to do so could lead to the drawing of an adverse inference that a party had hidden assets.</w:t>
      </w:r>
      <w:r w:rsidR="00E226D4">
        <w:rPr>
          <w:rStyle w:val="FootnoteReference"/>
          <w:rFonts w:ascii="Arial" w:hAnsi="Arial" w:cs="Arial"/>
          <w:sz w:val="24"/>
          <w:szCs w:val="24"/>
        </w:rPr>
        <w:footnoteReference w:id="13"/>
      </w:r>
      <w:r w:rsidR="00652637" w:rsidRPr="00CD1FE1">
        <w:rPr>
          <w:rFonts w:ascii="Arial" w:hAnsi="Arial" w:cs="Arial"/>
          <w:sz w:val="24"/>
          <w:szCs w:val="24"/>
        </w:rPr>
        <w:t xml:space="preserve"> The magistrate </w:t>
      </w:r>
      <w:r w:rsidR="0094783C" w:rsidRPr="00CD1FE1">
        <w:rPr>
          <w:rFonts w:ascii="Arial" w:hAnsi="Arial" w:cs="Arial"/>
          <w:sz w:val="24"/>
          <w:szCs w:val="24"/>
        </w:rPr>
        <w:t>state</w:t>
      </w:r>
      <w:r w:rsidR="00D75CB3" w:rsidRPr="00CD1FE1">
        <w:rPr>
          <w:rFonts w:ascii="Arial" w:hAnsi="Arial" w:cs="Arial"/>
          <w:sz w:val="24"/>
          <w:szCs w:val="24"/>
        </w:rPr>
        <w:t>d</w:t>
      </w:r>
      <w:r w:rsidR="00652637" w:rsidRPr="00CD1FE1">
        <w:rPr>
          <w:rFonts w:ascii="Arial" w:hAnsi="Arial" w:cs="Arial"/>
          <w:sz w:val="24"/>
          <w:szCs w:val="24"/>
        </w:rPr>
        <w:t xml:space="preserve"> that </w:t>
      </w:r>
      <w:r w:rsidR="00441EC3" w:rsidRPr="00CD1FE1">
        <w:rPr>
          <w:rFonts w:ascii="Arial" w:hAnsi="Arial" w:cs="Arial"/>
          <w:sz w:val="24"/>
          <w:szCs w:val="24"/>
        </w:rPr>
        <w:t xml:space="preserve">full disclosure was </w:t>
      </w:r>
      <w:r w:rsidR="00FA2CF0" w:rsidRPr="00CD1FE1">
        <w:rPr>
          <w:rFonts w:ascii="Arial" w:hAnsi="Arial" w:cs="Arial"/>
          <w:sz w:val="24"/>
          <w:szCs w:val="24"/>
        </w:rPr>
        <w:t xml:space="preserve">required for the court to decide the question of maintenance. Furthermore, </w:t>
      </w:r>
      <w:r w:rsidR="000D0EB7" w:rsidRPr="00CD1FE1">
        <w:rPr>
          <w:rFonts w:ascii="Arial" w:hAnsi="Arial" w:cs="Arial"/>
          <w:sz w:val="24"/>
          <w:szCs w:val="24"/>
        </w:rPr>
        <w:t xml:space="preserve">she </w:t>
      </w:r>
      <w:r w:rsidR="00D75CB3" w:rsidRPr="00CD1FE1">
        <w:rPr>
          <w:rFonts w:ascii="Arial" w:hAnsi="Arial" w:cs="Arial"/>
          <w:sz w:val="24"/>
          <w:szCs w:val="24"/>
        </w:rPr>
        <w:t>held that</w:t>
      </w:r>
      <w:r w:rsidR="0094783C" w:rsidRPr="00CD1FE1">
        <w:rPr>
          <w:rFonts w:ascii="Arial" w:hAnsi="Arial" w:cs="Arial"/>
          <w:sz w:val="24"/>
          <w:szCs w:val="24"/>
        </w:rPr>
        <w:t xml:space="preserve"> the request for further particulars </w:t>
      </w:r>
      <w:r w:rsidR="00D37C4B" w:rsidRPr="00CD1FE1">
        <w:rPr>
          <w:rFonts w:ascii="Arial" w:hAnsi="Arial" w:cs="Arial"/>
          <w:sz w:val="24"/>
          <w:szCs w:val="24"/>
        </w:rPr>
        <w:t xml:space="preserve">concerned the issues of </w:t>
      </w:r>
      <w:r w:rsidR="007B46B3" w:rsidRPr="00CD1FE1">
        <w:rPr>
          <w:rFonts w:ascii="Arial" w:hAnsi="Arial" w:cs="Arial"/>
          <w:sz w:val="24"/>
          <w:szCs w:val="24"/>
        </w:rPr>
        <w:t xml:space="preserve">both </w:t>
      </w:r>
      <w:r w:rsidR="00D37C4B" w:rsidRPr="00CD1FE1">
        <w:rPr>
          <w:rFonts w:ascii="Arial" w:hAnsi="Arial" w:cs="Arial"/>
          <w:sz w:val="24"/>
          <w:szCs w:val="24"/>
        </w:rPr>
        <w:t>maintenance and accrual</w:t>
      </w:r>
      <w:r w:rsidR="00435093" w:rsidRPr="00CD1FE1">
        <w:rPr>
          <w:rFonts w:ascii="Arial" w:hAnsi="Arial" w:cs="Arial"/>
          <w:sz w:val="24"/>
          <w:szCs w:val="24"/>
        </w:rPr>
        <w:t xml:space="preserve">. The particulars were relevant for trial preparation </w:t>
      </w:r>
      <w:r w:rsidR="008E2A7A" w:rsidRPr="00CD1FE1">
        <w:rPr>
          <w:rFonts w:ascii="Arial" w:hAnsi="Arial" w:cs="Arial"/>
          <w:sz w:val="24"/>
          <w:szCs w:val="24"/>
        </w:rPr>
        <w:t>since</w:t>
      </w:r>
      <w:r w:rsidR="00435093" w:rsidRPr="00CD1FE1">
        <w:rPr>
          <w:rFonts w:ascii="Arial" w:hAnsi="Arial" w:cs="Arial"/>
          <w:sz w:val="24"/>
          <w:szCs w:val="24"/>
        </w:rPr>
        <w:t xml:space="preserve"> </w:t>
      </w:r>
      <w:r w:rsidR="007108CA" w:rsidRPr="00CD1FE1">
        <w:rPr>
          <w:rFonts w:ascii="Arial" w:hAnsi="Arial" w:cs="Arial"/>
          <w:sz w:val="24"/>
          <w:szCs w:val="24"/>
        </w:rPr>
        <w:t xml:space="preserve">they related to the accrual </w:t>
      </w:r>
      <w:r w:rsidR="008E2A7A" w:rsidRPr="00CD1FE1">
        <w:rPr>
          <w:rFonts w:ascii="Arial" w:hAnsi="Arial" w:cs="Arial"/>
          <w:sz w:val="24"/>
          <w:szCs w:val="24"/>
        </w:rPr>
        <w:t>in</w:t>
      </w:r>
      <w:r w:rsidR="007B46B3" w:rsidRPr="00CD1FE1">
        <w:rPr>
          <w:rFonts w:ascii="Arial" w:hAnsi="Arial" w:cs="Arial"/>
          <w:sz w:val="24"/>
          <w:szCs w:val="24"/>
        </w:rPr>
        <w:t xml:space="preserve"> the respondent’s estate.</w:t>
      </w:r>
      <w:r w:rsidR="00D75CB3" w:rsidRPr="00CD1FE1">
        <w:rPr>
          <w:rFonts w:ascii="Arial" w:hAnsi="Arial" w:cs="Arial"/>
          <w:sz w:val="24"/>
          <w:szCs w:val="24"/>
        </w:rPr>
        <w:t xml:space="preserve"> </w:t>
      </w:r>
    </w:p>
    <w:p w14:paraId="4AB72882" w14:textId="77777777" w:rsidR="00CD1FE1" w:rsidRPr="00CD1FE1" w:rsidRDefault="00CD1FE1" w:rsidP="00CD1FE1">
      <w:pPr>
        <w:pStyle w:val="ListParagraph"/>
        <w:rPr>
          <w:rFonts w:ascii="Arial" w:hAnsi="Arial" w:cs="Arial"/>
          <w:sz w:val="24"/>
          <w:szCs w:val="24"/>
        </w:rPr>
      </w:pPr>
    </w:p>
    <w:p w14:paraId="593159AE" w14:textId="77777777" w:rsidR="00CD1FE1" w:rsidRDefault="0071541B"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As apparent from the extract, the full bench </w:t>
      </w:r>
      <w:r w:rsidR="0062642A" w:rsidRPr="00CD1FE1">
        <w:rPr>
          <w:rFonts w:ascii="Arial" w:hAnsi="Arial" w:cs="Arial"/>
          <w:sz w:val="24"/>
          <w:szCs w:val="24"/>
        </w:rPr>
        <w:t xml:space="preserve">found that the magistrate </w:t>
      </w:r>
      <w:r w:rsidR="00C91B01" w:rsidRPr="00CD1FE1">
        <w:rPr>
          <w:rFonts w:ascii="Arial" w:hAnsi="Arial" w:cs="Arial"/>
          <w:sz w:val="24"/>
          <w:szCs w:val="24"/>
        </w:rPr>
        <w:t>had not been</w:t>
      </w:r>
      <w:r w:rsidR="001D6D46" w:rsidRPr="00CD1FE1">
        <w:rPr>
          <w:rFonts w:ascii="Arial" w:hAnsi="Arial" w:cs="Arial"/>
          <w:sz w:val="24"/>
          <w:szCs w:val="24"/>
        </w:rPr>
        <w:t xml:space="preserve"> correct regarding the issue of accrual.</w:t>
      </w:r>
      <w:r w:rsidR="001D6D46">
        <w:rPr>
          <w:rStyle w:val="FootnoteReference"/>
          <w:rFonts w:ascii="Arial" w:hAnsi="Arial" w:cs="Arial"/>
          <w:sz w:val="24"/>
          <w:szCs w:val="24"/>
        </w:rPr>
        <w:footnoteReference w:id="14"/>
      </w:r>
      <w:r w:rsidR="00C7164A" w:rsidRPr="00CD1FE1">
        <w:rPr>
          <w:rFonts w:ascii="Arial" w:hAnsi="Arial" w:cs="Arial"/>
          <w:sz w:val="24"/>
          <w:szCs w:val="24"/>
        </w:rPr>
        <w:t xml:space="preserve"> </w:t>
      </w:r>
      <w:r w:rsidR="0007393A" w:rsidRPr="00CD1FE1">
        <w:rPr>
          <w:rFonts w:ascii="Arial" w:hAnsi="Arial" w:cs="Arial"/>
          <w:sz w:val="24"/>
          <w:szCs w:val="24"/>
        </w:rPr>
        <w:t xml:space="preserve">The </w:t>
      </w:r>
      <w:r w:rsidR="003C2AC4" w:rsidRPr="00CD1FE1">
        <w:rPr>
          <w:rFonts w:ascii="Arial" w:hAnsi="Arial" w:cs="Arial"/>
          <w:sz w:val="24"/>
          <w:szCs w:val="24"/>
        </w:rPr>
        <w:t xml:space="preserve">right to accrual had not yet </w:t>
      </w:r>
      <w:r w:rsidR="007C516B" w:rsidRPr="00CD1FE1">
        <w:rPr>
          <w:rFonts w:ascii="Arial" w:hAnsi="Arial" w:cs="Arial"/>
          <w:sz w:val="24"/>
          <w:szCs w:val="24"/>
        </w:rPr>
        <w:t>vest</w:t>
      </w:r>
      <w:r w:rsidR="00BD4959" w:rsidRPr="00CD1FE1">
        <w:rPr>
          <w:rFonts w:ascii="Arial" w:hAnsi="Arial" w:cs="Arial"/>
          <w:sz w:val="24"/>
          <w:szCs w:val="24"/>
        </w:rPr>
        <w:t xml:space="preserve">ed. </w:t>
      </w:r>
      <w:r w:rsidR="00C7164A" w:rsidRPr="00CD1FE1">
        <w:rPr>
          <w:rFonts w:ascii="Arial" w:hAnsi="Arial" w:cs="Arial"/>
          <w:sz w:val="24"/>
          <w:szCs w:val="24"/>
        </w:rPr>
        <w:t>For purposes of the divorce proceedings</w:t>
      </w:r>
      <w:r w:rsidR="007C516B" w:rsidRPr="00CD1FE1">
        <w:rPr>
          <w:rFonts w:ascii="Arial" w:hAnsi="Arial" w:cs="Arial"/>
          <w:sz w:val="24"/>
          <w:szCs w:val="24"/>
        </w:rPr>
        <w:t xml:space="preserve">, </w:t>
      </w:r>
      <w:r w:rsidR="0058518F" w:rsidRPr="00CD1FE1">
        <w:rPr>
          <w:rFonts w:ascii="Arial" w:hAnsi="Arial" w:cs="Arial"/>
          <w:sz w:val="24"/>
          <w:szCs w:val="24"/>
        </w:rPr>
        <w:t xml:space="preserve">the court held that </w:t>
      </w:r>
      <w:r w:rsidR="007C516B" w:rsidRPr="00CD1FE1">
        <w:rPr>
          <w:rFonts w:ascii="Arial" w:hAnsi="Arial" w:cs="Arial"/>
          <w:sz w:val="24"/>
          <w:szCs w:val="24"/>
        </w:rPr>
        <w:t>th</w:t>
      </w:r>
      <w:r w:rsidR="00C33F15" w:rsidRPr="00CD1FE1">
        <w:rPr>
          <w:rFonts w:ascii="Arial" w:hAnsi="Arial" w:cs="Arial"/>
          <w:sz w:val="24"/>
          <w:szCs w:val="24"/>
        </w:rPr>
        <w:t xml:space="preserve">e </w:t>
      </w:r>
      <w:r w:rsidR="007C516B" w:rsidRPr="00CD1FE1">
        <w:rPr>
          <w:rFonts w:ascii="Arial" w:hAnsi="Arial" w:cs="Arial"/>
          <w:sz w:val="24"/>
          <w:szCs w:val="24"/>
        </w:rPr>
        <w:t xml:space="preserve">issue </w:t>
      </w:r>
      <w:r w:rsidR="00C33F15" w:rsidRPr="00CD1FE1">
        <w:rPr>
          <w:rFonts w:ascii="Arial" w:hAnsi="Arial" w:cs="Arial"/>
          <w:sz w:val="24"/>
          <w:szCs w:val="24"/>
        </w:rPr>
        <w:t xml:space="preserve">of accrual </w:t>
      </w:r>
      <w:r w:rsidR="007C516B" w:rsidRPr="00CD1FE1">
        <w:rPr>
          <w:rFonts w:ascii="Arial" w:hAnsi="Arial" w:cs="Arial"/>
          <w:sz w:val="24"/>
          <w:szCs w:val="24"/>
        </w:rPr>
        <w:t>was irrelevant.</w:t>
      </w:r>
      <w:r w:rsidR="005D2E44" w:rsidRPr="00CD1FE1">
        <w:rPr>
          <w:rFonts w:ascii="Arial" w:hAnsi="Arial" w:cs="Arial"/>
          <w:sz w:val="24"/>
          <w:szCs w:val="24"/>
        </w:rPr>
        <w:t xml:space="preserve"> </w:t>
      </w:r>
      <w:r w:rsidR="00D16E62" w:rsidRPr="00CD1FE1">
        <w:rPr>
          <w:rFonts w:ascii="Arial" w:hAnsi="Arial" w:cs="Arial"/>
          <w:sz w:val="24"/>
          <w:szCs w:val="24"/>
        </w:rPr>
        <w:t xml:space="preserve">Regarding the issue of maintenance, the court </w:t>
      </w:r>
      <w:r w:rsidR="009B2F2C" w:rsidRPr="00CD1FE1">
        <w:rPr>
          <w:rFonts w:ascii="Arial" w:hAnsi="Arial" w:cs="Arial"/>
          <w:sz w:val="24"/>
          <w:szCs w:val="24"/>
        </w:rPr>
        <w:t xml:space="preserve">examined the pleadings and </w:t>
      </w:r>
      <w:r w:rsidR="009147FE" w:rsidRPr="00CD1FE1">
        <w:rPr>
          <w:rFonts w:ascii="Arial" w:hAnsi="Arial" w:cs="Arial"/>
          <w:sz w:val="24"/>
          <w:szCs w:val="24"/>
        </w:rPr>
        <w:t xml:space="preserve">pointed out that the respondent’s claim for maintenance was </w:t>
      </w:r>
      <w:r w:rsidR="00EA2FF3" w:rsidRPr="00CD1FE1">
        <w:rPr>
          <w:rFonts w:ascii="Arial" w:hAnsi="Arial" w:cs="Arial"/>
          <w:sz w:val="24"/>
          <w:szCs w:val="24"/>
        </w:rPr>
        <w:t>met by the appellant’s bare denial. The court, citing</w:t>
      </w:r>
      <w:r w:rsidR="00AA314A" w:rsidRPr="00CD1FE1">
        <w:rPr>
          <w:rFonts w:ascii="Arial" w:hAnsi="Arial" w:cs="Arial"/>
          <w:sz w:val="24"/>
          <w:szCs w:val="24"/>
        </w:rPr>
        <w:t xml:space="preserve"> </w:t>
      </w:r>
      <w:proofErr w:type="spellStart"/>
      <w:r w:rsidR="00AA314A" w:rsidRPr="00CD1FE1">
        <w:rPr>
          <w:rFonts w:ascii="Arial" w:hAnsi="Arial" w:cs="Arial"/>
          <w:i/>
          <w:iCs/>
          <w:sz w:val="24"/>
          <w:szCs w:val="24"/>
        </w:rPr>
        <w:t>Rall</w:t>
      </w:r>
      <w:proofErr w:type="spellEnd"/>
      <w:r w:rsidR="00AA314A" w:rsidRPr="00CD1FE1">
        <w:rPr>
          <w:rFonts w:ascii="Arial" w:hAnsi="Arial" w:cs="Arial"/>
          <w:i/>
          <w:iCs/>
          <w:sz w:val="24"/>
          <w:szCs w:val="24"/>
        </w:rPr>
        <w:t xml:space="preserve"> v </w:t>
      </w:r>
      <w:proofErr w:type="spellStart"/>
      <w:r w:rsidR="00AA314A" w:rsidRPr="00CD1FE1">
        <w:rPr>
          <w:rFonts w:ascii="Arial" w:hAnsi="Arial" w:cs="Arial"/>
          <w:i/>
          <w:iCs/>
          <w:sz w:val="24"/>
          <w:szCs w:val="24"/>
        </w:rPr>
        <w:t>Rall</w:t>
      </w:r>
      <w:proofErr w:type="spellEnd"/>
      <w:r w:rsidR="00AA314A" w:rsidRPr="00CD1FE1">
        <w:rPr>
          <w:rFonts w:ascii="Arial" w:hAnsi="Arial" w:cs="Arial"/>
          <w:sz w:val="24"/>
          <w:szCs w:val="24"/>
        </w:rPr>
        <w:t>,</w:t>
      </w:r>
      <w:r w:rsidR="00AA314A">
        <w:rPr>
          <w:rStyle w:val="FootnoteReference"/>
          <w:rFonts w:ascii="Arial" w:hAnsi="Arial" w:cs="Arial"/>
          <w:sz w:val="24"/>
          <w:szCs w:val="24"/>
        </w:rPr>
        <w:footnoteReference w:id="15"/>
      </w:r>
      <w:r w:rsidR="006339FD" w:rsidRPr="00CD1FE1">
        <w:rPr>
          <w:rFonts w:ascii="Arial" w:hAnsi="Arial" w:cs="Arial"/>
          <w:sz w:val="24"/>
          <w:szCs w:val="24"/>
        </w:rPr>
        <w:t xml:space="preserve"> found that </w:t>
      </w:r>
      <w:r w:rsidR="008156B2" w:rsidRPr="00CD1FE1">
        <w:rPr>
          <w:rFonts w:ascii="Arial" w:hAnsi="Arial" w:cs="Arial"/>
          <w:sz w:val="24"/>
          <w:szCs w:val="24"/>
        </w:rPr>
        <w:t xml:space="preserve">a party cannot be required to provide particulars </w:t>
      </w:r>
      <w:r w:rsidR="0067102C" w:rsidRPr="00CD1FE1">
        <w:rPr>
          <w:rFonts w:ascii="Arial" w:hAnsi="Arial" w:cs="Arial"/>
          <w:sz w:val="24"/>
          <w:szCs w:val="24"/>
        </w:rPr>
        <w:t xml:space="preserve">in such circumstances, </w:t>
      </w:r>
      <w:r w:rsidR="0032644B" w:rsidRPr="00CD1FE1">
        <w:rPr>
          <w:rFonts w:ascii="Arial" w:hAnsi="Arial" w:cs="Arial"/>
          <w:sz w:val="24"/>
          <w:szCs w:val="24"/>
        </w:rPr>
        <w:t xml:space="preserve">especially when </w:t>
      </w:r>
      <w:r w:rsidR="00E46020" w:rsidRPr="00CD1FE1">
        <w:rPr>
          <w:rFonts w:ascii="Arial" w:hAnsi="Arial" w:cs="Arial"/>
          <w:sz w:val="24"/>
          <w:szCs w:val="24"/>
        </w:rPr>
        <w:t>the information sought</w:t>
      </w:r>
      <w:r w:rsidR="00B66D3C" w:rsidRPr="00CD1FE1">
        <w:rPr>
          <w:rFonts w:ascii="Arial" w:hAnsi="Arial" w:cs="Arial"/>
          <w:sz w:val="24"/>
          <w:szCs w:val="24"/>
        </w:rPr>
        <w:t xml:space="preserve"> could simply be secured by means of cross-examination.</w:t>
      </w:r>
      <w:r w:rsidR="007117A8">
        <w:rPr>
          <w:rStyle w:val="FootnoteReference"/>
          <w:rFonts w:ascii="Arial" w:hAnsi="Arial" w:cs="Arial"/>
          <w:sz w:val="24"/>
          <w:szCs w:val="24"/>
        </w:rPr>
        <w:footnoteReference w:id="16"/>
      </w:r>
    </w:p>
    <w:p w14:paraId="554A5289" w14:textId="77777777" w:rsidR="00CD1FE1" w:rsidRPr="00CD1FE1" w:rsidRDefault="00CD1FE1" w:rsidP="00CD1FE1">
      <w:pPr>
        <w:pStyle w:val="ListParagraph"/>
        <w:rPr>
          <w:rFonts w:ascii="Arial" w:hAnsi="Arial" w:cs="Arial"/>
          <w:sz w:val="24"/>
          <w:szCs w:val="24"/>
        </w:rPr>
      </w:pPr>
    </w:p>
    <w:p w14:paraId="6BCDCDAA" w14:textId="5157ECBE" w:rsidR="00CD1FE1" w:rsidRDefault="008C59E4"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It is the respectful view of this court that </w:t>
      </w:r>
      <w:r w:rsidR="002221ED" w:rsidRPr="00CD1FE1">
        <w:rPr>
          <w:rFonts w:ascii="Arial" w:hAnsi="Arial" w:cs="Arial"/>
          <w:sz w:val="24"/>
          <w:szCs w:val="24"/>
        </w:rPr>
        <w:t xml:space="preserve">the facts in </w:t>
      </w:r>
      <w:r w:rsidR="002221ED" w:rsidRPr="00CD1FE1">
        <w:rPr>
          <w:rFonts w:ascii="Arial" w:hAnsi="Arial" w:cs="Arial"/>
          <w:i/>
          <w:iCs/>
          <w:sz w:val="24"/>
          <w:szCs w:val="24"/>
        </w:rPr>
        <w:t>PJ v HJ</w:t>
      </w:r>
      <w:r w:rsidR="00917287" w:rsidRPr="00CD1FE1">
        <w:rPr>
          <w:rFonts w:ascii="Arial" w:hAnsi="Arial" w:cs="Arial"/>
          <w:sz w:val="24"/>
          <w:szCs w:val="24"/>
        </w:rPr>
        <w:t xml:space="preserve"> are distinguishable from those in the present matter. </w:t>
      </w:r>
      <w:r w:rsidR="000B2564" w:rsidRPr="00CD1FE1">
        <w:rPr>
          <w:rFonts w:ascii="Arial" w:hAnsi="Arial" w:cs="Arial"/>
          <w:sz w:val="24"/>
          <w:szCs w:val="24"/>
        </w:rPr>
        <w:t xml:space="preserve">The respondent in </w:t>
      </w:r>
      <w:r w:rsidR="00155BC1" w:rsidRPr="00CD1FE1">
        <w:rPr>
          <w:rFonts w:ascii="Arial" w:hAnsi="Arial" w:cs="Arial"/>
          <w:sz w:val="24"/>
          <w:szCs w:val="24"/>
        </w:rPr>
        <w:t xml:space="preserve">the above proceedings </w:t>
      </w:r>
      <w:r w:rsidR="00FC2E99" w:rsidRPr="00CD1FE1">
        <w:rPr>
          <w:rFonts w:ascii="Arial" w:hAnsi="Arial" w:cs="Arial"/>
          <w:sz w:val="24"/>
          <w:szCs w:val="24"/>
        </w:rPr>
        <w:t>did</w:t>
      </w:r>
      <w:r w:rsidR="000B2564" w:rsidRPr="00CD1FE1">
        <w:rPr>
          <w:rFonts w:ascii="Arial" w:hAnsi="Arial" w:cs="Arial"/>
          <w:sz w:val="24"/>
          <w:szCs w:val="24"/>
        </w:rPr>
        <w:t xml:space="preserve"> not </w:t>
      </w:r>
      <w:r w:rsidR="00FC2E99" w:rsidRPr="00CD1FE1">
        <w:rPr>
          <w:rFonts w:ascii="Arial" w:hAnsi="Arial" w:cs="Arial"/>
          <w:sz w:val="24"/>
          <w:szCs w:val="24"/>
        </w:rPr>
        <w:t>seek</w:t>
      </w:r>
      <w:r w:rsidR="00F94A8F" w:rsidRPr="00CD1FE1">
        <w:rPr>
          <w:rFonts w:ascii="Arial" w:hAnsi="Arial" w:cs="Arial"/>
          <w:sz w:val="24"/>
          <w:szCs w:val="24"/>
        </w:rPr>
        <w:t>, in terms of her counter-claim,</w:t>
      </w:r>
      <w:r w:rsidR="000B2564" w:rsidRPr="00CD1FE1">
        <w:rPr>
          <w:rFonts w:ascii="Arial" w:hAnsi="Arial" w:cs="Arial"/>
          <w:sz w:val="24"/>
          <w:szCs w:val="24"/>
        </w:rPr>
        <w:t xml:space="preserve"> an order for </w:t>
      </w:r>
      <w:r w:rsidR="00C2333D" w:rsidRPr="00CD1FE1">
        <w:rPr>
          <w:rFonts w:ascii="Arial" w:hAnsi="Arial" w:cs="Arial"/>
          <w:sz w:val="24"/>
          <w:szCs w:val="24"/>
        </w:rPr>
        <w:t>the determination and payment of accrual</w:t>
      </w:r>
      <w:r w:rsidR="00880713" w:rsidRPr="00CD1FE1">
        <w:rPr>
          <w:rFonts w:ascii="Arial" w:hAnsi="Arial" w:cs="Arial"/>
          <w:sz w:val="24"/>
          <w:szCs w:val="24"/>
        </w:rPr>
        <w:t>.</w:t>
      </w:r>
      <w:r w:rsidR="00155BC1" w:rsidRPr="00CD1FE1">
        <w:rPr>
          <w:rFonts w:ascii="Arial" w:hAnsi="Arial" w:cs="Arial"/>
          <w:sz w:val="24"/>
          <w:szCs w:val="24"/>
        </w:rPr>
        <w:t xml:space="preserve"> </w:t>
      </w:r>
      <w:r w:rsidR="00880713" w:rsidRPr="00CD1FE1">
        <w:rPr>
          <w:rFonts w:ascii="Arial" w:hAnsi="Arial" w:cs="Arial"/>
          <w:sz w:val="24"/>
          <w:szCs w:val="24"/>
        </w:rPr>
        <w:t>S</w:t>
      </w:r>
      <w:r w:rsidR="00155BC1" w:rsidRPr="00CD1FE1">
        <w:rPr>
          <w:rFonts w:ascii="Arial" w:hAnsi="Arial" w:cs="Arial"/>
          <w:sz w:val="24"/>
          <w:szCs w:val="24"/>
        </w:rPr>
        <w:t xml:space="preserve">he merely sought </w:t>
      </w:r>
      <w:r w:rsidR="00971909" w:rsidRPr="00CD1FE1">
        <w:rPr>
          <w:rFonts w:ascii="Arial" w:hAnsi="Arial" w:cs="Arial"/>
          <w:sz w:val="24"/>
          <w:szCs w:val="24"/>
        </w:rPr>
        <w:t>maintenance</w:t>
      </w:r>
      <w:r w:rsidR="004F7947" w:rsidRPr="00CD1FE1">
        <w:rPr>
          <w:rFonts w:ascii="Arial" w:hAnsi="Arial" w:cs="Arial"/>
          <w:sz w:val="24"/>
          <w:szCs w:val="24"/>
        </w:rPr>
        <w:t xml:space="preserve"> for herself. </w:t>
      </w:r>
      <w:r w:rsidR="00C91B01" w:rsidRPr="00CD1FE1">
        <w:rPr>
          <w:rFonts w:ascii="Arial" w:hAnsi="Arial" w:cs="Arial"/>
          <w:sz w:val="24"/>
          <w:szCs w:val="24"/>
        </w:rPr>
        <w:t xml:space="preserve">Strictly speaking, the question of accrual was not </w:t>
      </w:r>
      <w:r w:rsidR="00BE761A" w:rsidRPr="00CD1FE1">
        <w:rPr>
          <w:rFonts w:ascii="Arial" w:hAnsi="Arial" w:cs="Arial"/>
          <w:sz w:val="24"/>
          <w:szCs w:val="24"/>
        </w:rPr>
        <w:t>an issue that was directly before the Regional Court.</w:t>
      </w:r>
      <w:r w:rsidR="00C91B01" w:rsidRPr="00CD1FE1">
        <w:rPr>
          <w:rFonts w:ascii="Arial" w:hAnsi="Arial" w:cs="Arial"/>
          <w:sz w:val="24"/>
          <w:szCs w:val="24"/>
        </w:rPr>
        <w:t xml:space="preserve"> </w:t>
      </w:r>
      <w:r w:rsidR="00BE761A" w:rsidRPr="00CD1FE1">
        <w:rPr>
          <w:rFonts w:ascii="Arial" w:hAnsi="Arial" w:cs="Arial"/>
          <w:sz w:val="24"/>
          <w:szCs w:val="24"/>
        </w:rPr>
        <w:t>In the present matter</w:t>
      </w:r>
      <w:r w:rsidR="007E46F3" w:rsidRPr="00CD1FE1">
        <w:rPr>
          <w:rFonts w:ascii="Arial" w:hAnsi="Arial" w:cs="Arial"/>
          <w:sz w:val="24"/>
          <w:szCs w:val="24"/>
        </w:rPr>
        <w:t>, the applicant seeks</w:t>
      </w:r>
      <w:r w:rsidR="004A092D" w:rsidRPr="00CD1FE1">
        <w:rPr>
          <w:rFonts w:ascii="Arial" w:hAnsi="Arial" w:cs="Arial"/>
          <w:sz w:val="24"/>
          <w:szCs w:val="24"/>
        </w:rPr>
        <w:t xml:space="preserve">, against the first respondent, a decree of </w:t>
      </w:r>
      <w:r w:rsidR="00802B58" w:rsidRPr="00CD1FE1">
        <w:rPr>
          <w:rFonts w:ascii="Arial" w:hAnsi="Arial" w:cs="Arial"/>
          <w:sz w:val="24"/>
          <w:szCs w:val="24"/>
        </w:rPr>
        <w:t>divorce and spousal maintenance. Furthermore, she seeks, against the first to fourth respondents,</w:t>
      </w:r>
      <w:r w:rsidR="007E46F3" w:rsidRPr="00CD1FE1">
        <w:rPr>
          <w:rFonts w:ascii="Arial" w:hAnsi="Arial" w:cs="Arial"/>
          <w:sz w:val="24"/>
          <w:szCs w:val="24"/>
        </w:rPr>
        <w:t xml:space="preserve"> </w:t>
      </w:r>
      <w:proofErr w:type="spellStart"/>
      <w:r w:rsidR="00A62AE6" w:rsidRPr="00CD1FE1">
        <w:rPr>
          <w:rFonts w:ascii="Arial" w:hAnsi="Arial" w:cs="Arial"/>
          <w:sz w:val="24"/>
          <w:szCs w:val="24"/>
        </w:rPr>
        <w:t>declarators</w:t>
      </w:r>
      <w:proofErr w:type="spellEnd"/>
      <w:r w:rsidR="00122393" w:rsidRPr="00CD1FE1">
        <w:rPr>
          <w:rFonts w:ascii="Arial" w:hAnsi="Arial" w:cs="Arial"/>
          <w:sz w:val="24"/>
          <w:szCs w:val="24"/>
        </w:rPr>
        <w:t xml:space="preserve"> to the effect that </w:t>
      </w:r>
      <w:r w:rsidR="00475024" w:rsidRPr="00CD1FE1">
        <w:rPr>
          <w:rFonts w:ascii="Arial" w:hAnsi="Arial" w:cs="Arial"/>
          <w:sz w:val="24"/>
          <w:szCs w:val="24"/>
        </w:rPr>
        <w:t>the assets acquired by the trusts are owned by the first respondent in his personal capacity</w:t>
      </w:r>
      <w:r w:rsidR="00610C26" w:rsidRPr="00CD1FE1">
        <w:rPr>
          <w:rFonts w:ascii="Arial" w:hAnsi="Arial" w:cs="Arial"/>
          <w:sz w:val="24"/>
          <w:szCs w:val="24"/>
        </w:rPr>
        <w:t xml:space="preserve"> and </w:t>
      </w:r>
      <w:r w:rsidR="00123E4A" w:rsidRPr="00CD1FE1">
        <w:rPr>
          <w:rFonts w:ascii="Arial" w:hAnsi="Arial" w:cs="Arial"/>
          <w:sz w:val="24"/>
          <w:szCs w:val="24"/>
        </w:rPr>
        <w:t>th</w:t>
      </w:r>
      <w:r w:rsidR="001F30F2" w:rsidRPr="00CD1FE1">
        <w:rPr>
          <w:rFonts w:ascii="Arial" w:hAnsi="Arial" w:cs="Arial"/>
          <w:sz w:val="24"/>
          <w:szCs w:val="24"/>
        </w:rPr>
        <w:t>at th</w:t>
      </w:r>
      <w:r w:rsidR="00123E4A" w:rsidRPr="00CD1FE1">
        <w:rPr>
          <w:rFonts w:ascii="Arial" w:hAnsi="Arial" w:cs="Arial"/>
          <w:sz w:val="24"/>
          <w:szCs w:val="24"/>
        </w:rPr>
        <w:t xml:space="preserve">e net value </w:t>
      </w:r>
      <w:r w:rsidR="001F30F2" w:rsidRPr="00CD1FE1">
        <w:rPr>
          <w:rFonts w:ascii="Arial" w:hAnsi="Arial" w:cs="Arial"/>
          <w:sz w:val="24"/>
          <w:szCs w:val="24"/>
        </w:rPr>
        <w:t>there</w:t>
      </w:r>
      <w:r w:rsidR="00123E4A" w:rsidRPr="00CD1FE1">
        <w:rPr>
          <w:rFonts w:ascii="Arial" w:hAnsi="Arial" w:cs="Arial"/>
          <w:sz w:val="24"/>
          <w:szCs w:val="24"/>
        </w:rPr>
        <w:t xml:space="preserve">of be </w:t>
      </w:r>
      <w:r w:rsidR="00867955" w:rsidRPr="00CD1FE1">
        <w:rPr>
          <w:rFonts w:ascii="Arial" w:hAnsi="Arial" w:cs="Arial"/>
          <w:sz w:val="24"/>
          <w:szCs w:val="24"/>
        </w:rPr>
        <w:t>considered</w:t>
      </w:r>
      <w:r w:rsidR="00123E4A" w:rsidRPr="00CD1FE1">
        <w:rPr>
          <w:rFonts w:ascii="Arial" w:hAnsi="Arial" w:cs="Arial"/>
          <w:sz w:val="24"/>
          <w:szCs w:val="24"/>
        </w:rPr>
        <w:t xml:space="preserve"> when calculating accrual. She seeks</w:t>
      </w:r>
      <w:r w:rsidR="00610C26" w:rsidRPr="00CD1FE1">
        <w:rPr>
          <w:rFonts w:ascii="Arial" w:hAnsi="Arial" w:cs="Arial"/>
          <w:sz w:val="24"/>
          <w:szCs w:val="24"/>
        </w:rPr>
        <w:t>, too,</w:t>
      </w:r>
      <w:r w:rsidR="00123E4A" w:rsidRPr="00CD1FE1">
        <w:rPr>
          <w:rFonts w:ascii="Arial" w:hAnsi="Arial" w:cs="Arial"/>
          <w:sz w:val="24"/>
          <w:szCs w:val="24"/>
        </w:rPr>
        <w:t xml:space="preserve"> an order </w:t>
      </w:r>
      <w:r w:rsidR="00867955" w:rsidRPr="00CD1FE1">
        <w:rPr>
          <w:rFonts w:ascii="Arial" w:hAnsi="Arial" w:cs="Arial"/>
          <w:sz w:val="24"/>
          <w:szCs w:val="24"/>
        </w:rPr>
        <w:t xml:space="preserve">for </w:t>
      </w:r>
      <w:r w:rsidR="00720561" w:rsidRPr="00CD1FE1">
        <w:rPr>
          <w:rFonts w:ascii="Arial" w:hAnsi="Arial" w:cs="Arial"/>
          <w:sz w:val="24"/>
          <w:szCs w:val="24"/>
        </w:rPr>
        <w:t>payment of accrual.</w:t>
      </w:r>
      <w:r w:rsidR="00123E4A" w:rsidRPr="00CD1FE1">
        <w:rPr>
          <w:rFonts w:ascii="Arial" w:hAnsi="Arial" w:cs="Arial"/>
          <w:sz w:val="24"/>
          <w:szCs w:val="24"/>
        </w:rPr>
        <w:t xml:space="preserve"> She seeks, </w:t>
      </w:r>
      <w:r w:rsidR="00A12178" w:rsidRPr="00CD1FE1">
        <w:rPr>
          <w:rFonts w:ascii="Arial" w:hAnsi="Arial" w:cs="Arial"/>
          <w:sz w:val="24"/>
          <w:szCs w:val="24"/>
        </w:rPr>
        <w:t>finally</w:t>
      </w:r>
      <w:r w:rsidR="00123E4A" w:rsidRPr="00CD1FE1">
        <w:rPr>
          <w:rFonts w:ascii="Arial" w:hAnsi="Arial" w:cs="Arial"/>
          <w:sz w:val="24"/>
          <w:szCs w:val="24"/>
        </w:rPr>
        <w:t xml:space="preserve">, an order directing the second to fourth respondents to transfer the assets to the first respondent in his personal </w:t>
      </w:r>
      <w:r w:rsidR="00123E4A" w:rsidRPr="00CD1FE1">
        <w:rPr>
          <w:rFonts w:ascii="Arial" w:hAnsi="Arial" w:cs="Arial"/>
          <w:sz w:val="24"/>
          <w:szCs w:val="24"/>
        </w:rPr>
        <w:lastRenderedPageBreak/>
        <w:t>capacity</w:t>
      </w:r>
      <w:r w:rsidR="007B4FFF" w:rsidRPr="00CD1FE1">
        <w:rPr>
          <w:rFonts w:ascii="Arial" w:hAnsi="Arial" w:cs="Arial"/>
          <w:sz w:val="24"/>
          <w:szCs w:val="24"/>
        </w:rPr>
        <w:t xml:space="preserve"> if</w:t>
      </w:r>
      <w:r w:rsidR="00123E4A" w:rsidRPr="00CD1FE1">
        <w:rPr>
          <w:rFonts w:ascii="Arial" w:hAnsi="Arial" w:cs="Arial"/>
          <w:sz w:val="24"/>
          <w:szCs w:val="24"/>
        </w:rPr>
        <w:t xml:space="preserve"> he </w:t>
      </w:r>
      <w:r w:rsidR="00A12178" w:rsidRPr="00CD1FE1">
        <w:rPr>
          <w:rFonts w:ascii="Arial" w:hAnsi="Arial" w:cs="Arial"/>
          <w:sz w:val="24"/>
          <w:szCs w:val="24"/>
        </w:rPr>
        <w:t xml:space="preserve">cannot </w:t>
      </w:r>
      <w:r w:rsidR="00123E4A" w:rsidRPr="00CD1FE1">
        <w:rPr>
          <w:rFonts w:ascii="Arial" w:hAnsi="Arial" w:cs="Arial"/>
          <w:sz w:val="24"/>
          <w:szCs w:val="24"/>
        </w:rPr>
        <w:t>satisfy the applicant’s accrual claim.</w:t>
      </w:r>
      <w:r w:rsidR="00355A10" w:rsidRPr="00CD1FE1">
        <w:rPr>
          <w:rFonts w:ascii="Arial" w:hAnsi="Arial" w:cs="Arial"/>
          <w:sz w:val="24"/>
          <w:szCs w:val="24"/>
        </w:rPr>
        <w:t xml:space="preserve"> </w:t>
      </w:r>
      <w:r w:rsidR="00BE761A" w:rsidRPr="00CD1FE1">
        <w:rPr>
          <w:rFonts w:ascii="Arial" w:hAnsi="Arial" w:cs="Arial"/>
          <w:sz w:val="24"/>
          <w:szCs w:val="24"/>
        </w:rPr>
        <w:t xml:space="preserve">The situation is somewhat different from that which confronted the Regional Court in </w:t>
      </w:r>
      <w:r w:rsidR="00BE761A" w:rsidRPr="00CD1FE1">
        <w:rPr>
          <w:rFonts w:ascii="Arial" w:hAnsi="Arial" w:cs="Arial"/>
          <w:i/>
          <w:iCs/>
          <w:sz w:val="24"/>
          <w:szCs w:val="24"/>
        </w:rPr>
        <w:t>PJ v HJ</w:t>
      </w:r>
      <w:r w:rsidR="00BE761A" w:rsidRPr="00CD1FE1">
        <w:rPr>
          <w:rFonts w:ascii="Arial" w:hAnsi="Arial" w:cs="Arial"/>
          <w:sz w:val="24"/>
          <w:szCs w:val="24"/>
        </w:rPr>
        <w:t>.</w:t>
      </w:r>
    </w:p>
    <w:p w14:paraId="352203C6" w14:textId="77777777" w:rsidR="00CD1FE1" w:rsidRDefault="00CD1FE1" w:rsidP="00CD1FE1">
      <w:pPr>
        <w:pStyle w:val="ListParagraph"/>
        <w:spacing w:line="360" w:lineRule="auto"/>
        <w:ind w:left="0"/>
        <w:jc w:val="both"/>
        <w:rPr>
          <w:rFonts w:ascii="Arial" w:hAnsi="Arial" w:cs="Arial"/>
          <w:sz w:val="24"/>
          <w:szCs w:val="24"/>
        </w:rPr>
      </w:pPr>
    </w:p>
    <w:p w14:paraId="6A95EAA3" w14:textId="77777777" w:rsidR="00CD1FE1" w:rsidRDefault="006718BD"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That the </w:t>
      </w:r>
      <w:r w:rsidR="00814652" w:rsidRPr="00CD1FE1">
        <w:rPr>
          <w:rFonts w:ascii="Arial" w:hAnsi="Arial" w:cs="Arial"/>
          <w:sz w:val="24"/>
          <w:szCs w:val="24"/>
        </w:rPr>
        <w:t xml:space="preserve">applicant’s accrual claim is contingent upon the court’s granting of a decree of divorce </w:t>
      </w:r>
      <w:r w:rsidR="00BE761A" w:rsidRPr="00CD1FE1">
        <w:rPr>
          <w:rFonts w:ascii="Arial" w:hAnsi="Arial" w:cs="Arial"/>
          <w:sz w:val="24"/>
          <w:szCs w:val="24"/>
        </w:rPr>
        <w:t>is a principle that must be accepted on the strength of the legislation and the case law</w:t>
      </w:r>
      <w:r w:rsidR="00814652" w:rsidRPr="00CD1FE1">
        <w:rPr>
          <w:rFonts w:ascii="Arial" w:hAnsi="Arial" w:cs="Arial"/>
          <w:sz w:val="24"/>
          <w:szCs w:val="24"/>
        </w:rPr>
        <w:t xml:space="preserve">. So, too, </w:t>
      </w:r>
      <w:r w:rsidR="00620F39" w:rsidRPr="00CD1FE1">
        <w:rPr>
          <w:rFonts w:ascii="Arial" w:hAnsi="Arial" w:cs="Arial"/>
          <w:sz w:val="24"/>
          <w:szCs w:val="24"/>
        </w:rPr>
        <w:t xml:space="preserve">is the principle that the determination of </w:t>
      </w:r>
      <w:r w:rsidR="001E6B49" w:rsidRPr="00CD1FE1">
        <w:rPr>
          <w:rFonts w:ascii="Arial" w:hAnsi="Arial" w:cs="Arial"/>
          <w:sz w:val="24"/>
          <w:szCs w:val="24"/>
        </w:rPr>
        <w:t xml:space="preserve">the net value of accrual in relation to the respondent’s estate can only be made upon the dissolution of the marriage. There is, however, no reason why the </w:t>
      </w:r>
      <w:r w:rsidR="005909C6" w:rsidRPr="00CD1FE1">
        <w:rPr>
          <w:rFonts w:ascii="Arial" w:hAnsi="Arial" w:cs="Arial"/>
          <w:sz w:val="24"/>
          <w:szCs w:val="24"/>
        </w:rPr>
        <w:t xml:space="preserve">applicant cannot </w:t>
      </w:r>
      <w:r w:rsidR="00A801C0" w:rsidRPr="00CD1FE1">
        <w:rPr>
          <w:rFonts w:ascii="Arial" w:hAnsi="Arial" w:cs="Arial"/>
          <w:sz w:val="24"/>
          <w:szCs w:val="24"/>
        </w:rPr>
        <w:t xml:space="preserve">seek a decree of divorce and the determination and payment of accrual </w:t>
      </w:r>
      <w:r w:rsidR="00E0015E" w:rsidRPr="00CD1FE1">
        <w:rPr>
          <w:rFonts w:ascii="Arial" w:hAnsi="Arial" w:cs="Arial"/>
          <w:sz w:val="24"/>
          <w:szCs w:val="24"/>
        </w:rPr>
        <w:t>in terms of</w:t>
      </w:r>
      <w:r w:rsidR="0054198C" w:rsidRPr="00CD1FE1">
        <w:rPr>
          <w:rFonts w:ascii="Arial" w:hAnsi="Arial" w:cs="Arial"/>
          <w:sz w:val="24"/>
          <w:szCs w:val="24"/>
        </w:rPr>
        <w:t xml:space="preserve"> </w:t>
      </w:r>
      <w:r w:rsidR="00E0015E" w:rsidRPr="00CD1FE1">
        <w:rPr>
          <w:rFonts w:ascii="Arial" w:hAnsi="Arial" w:cs="Arial"/>
          <w:sz w:val="24"/>
          <w:szCs w:val="24"/>
        </w:rPr>
        <w:t>the same</w:t>
      </w:r>
      <w:r w:rsidR="0054198C" w:rsidRPr="00CD1FE1">
        <w:rPr>
          <w:rFonts w:ascii="Arial" w:hAnsi="Arial" w:cs="Arial"/>
          <w:sz w:val="24"/>
          <w:szCs w:val="24"/>
        </w:rPr>
        <w:t xml:space="preserve"> action.</w:t>
      </w:r>
    </w:p>
    <w:p w14:paraId="145765D4" w14:textId="77777777" w:rsidR="00CD1FE1" w:rsidRPr="00CD1FE1" w:rsidRDefault="00CD1FE1" w:rsidP="00CD1FE1">
      <w:pPr>
        <w:pStyle w:val="ListParagraph"/>
        <w:rPr>
          <w:rFonts w:ascii="Arial" w:hAnsi="Arial" w:cs="Arial"/>
          <w:sz w:val="24"/>
          <w:szCs w:val="24"/>
        </w:rPr>
      </w:pPr>
    </w:p>
    <w:p w14:paraId="25FBE7A9" w14:textId="10BE2B75" w:rsidR="006F0F5E" w:rsidRPr="00CD1FE1" w:rsidRDefault="006F0F5E" w:rsidP="006413B5">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The applicant referred to the decision in </w:t>
      </w:r>
      <w:r w:rsidRPr="00CD1FE1">
        <w:rPr>
          <w:rFonts w:ascii="Arial" w:hAnsi="Arial" w:cs="Arial"/>
          <w:i/>
          <w:iCs/>
          <w:sz w:val="24"/>
          <w:szCs w:val="24"/>
        </w:rPr>
        <w:t>JA v DA</w:t>
      </w:r>
      <w:r w:rsidR="00F278AF" w:rsidRPr="00CD1FE1">
        <w:rPr>
          <w:rFonts w:ascii="Arial" w:hAnsi="Arial" w:cs="Arial"/>
          <w:sz w:val="24"/>
          <w:szCs w:val="24"/>
        </w:rPr>
        <w:t>,</w:t>
      </w:r>
      <w:r w:rsidR="00F278AF">
        <w:rPr>
          <w:rStyle w:val="FootnoteReference"/>
          <w:rFonts w:ascii="Arial" w:hAnsi="Arial" w:cs="Arial"/>
          <w:sz w:val="24"/>
          <w:szCs w:val="24"/>
        </w:rPr>
        <w:footnoteReference w:id="17"/>
      </w:r>
      <w:r w:rsidR="001539D2" w:rsidRPr="00CD1FE1">
        <w:rPr>
          <w:rFonts w:ascii="Arial" w:hAnsi="Arial" w:cs="Arial"/>
          <w:sz w:val="24"/>
          <w:szCs w:val="24"/>
        </w:rPr>
        <w:t xml:space="preserve"> where Sutherland J </w:t>
      </w:r>
      <w:r w:rsidR="00E0015E" w:rsidRPr="00CD1FE1">
        <w:rPr>
          <w:rFonts w:ascii="Arial" w:hAnsi="Arial" w:cs="Arial"/>
          <w:sz w:val="24"/>
          <w:szCs w:val="24"/>
        </w:rPr>
        <w:t>remark</w:t>
      </w:r>
      <w:r w:rsidR="001539D2" w:rsidRPr="00CD1FE1">
        <w:rPr>
          <w:rFonts w:ascii="Arial" w:hAnsi="Arial" w:cs="Arial"/>
          <w:sz w:val="24"/>
          <w:szCs w:val="24"/>
        </w:rPr>
        <w:t>ed that:</w:t>
      </w:r>
    </w:p>
    <w:p w14:paraId="51600947" w14:textId="0AB711C3" w:rsidR="001539D2" w:rsidRPr="00BE761A" w:rsidRDefault="001539D2" w:rsidP="00CD1FE1">
      <w:pPr>
        <w:spacing w:line="360" w:lineRule="auto"/>
        <w:ind w:left="720"/>
        <w:jc w:val="both"/>
        <w:rPr>
          <w:rFonts w:ascii="Arial" w:hAnsi="Arial" w:cs="Arial"/>
          <w:sz w:val="20"/>
          <w:szCs w:val="20"/>
        </w:rPr>
      </w:pPr>
      <w:r w:rsidRPr="00BE761A">
        <w:rPr>
          <w:rFonts w:ascii="Arial" w:hAnsi="Arial" w:cs="Arial"/>
          <w:sz w:val="20"/>
          <w:szCs w:val="20"/>
        </w:rPr>
        <w:t>‘</w:t>
      </w:r>
      <w:r w:rsidR="00F30FC5" w:rsidRPr="00BE761A">
        <w:rPr>
          <w:rFonts w:ascii="Arial" w:hAnsi="Arial" w:cs="Arial"/>
          <w:sz w:val="20"/>
          <w:szCs w:val="20"/>
        </w:rPr>
        <w:t>…Without challenging the correctness of the finding that</w:t>
      </w:r>
      <w:r w:rsidR="00F41263" w:rsidRPr="00BE761A">
        <w:rPr>
          <w:rFonts w:ascii="Arial" w:hAnsi="Arial" w:cs="Arial"/>
          <w:sz w:val="20"/>
          <w:szCs w:val="20"/>
        </w:rPr>
        <w:t xml:space="preserve"> enforceability must await the date of dissolution, it does not seem to me</w:t>
      </w:r>
      <w:r w:rsidR="006B2B3E" w:rsidRPr="00BE761A">
        <w:rPr>
          <w:rFonts w:ascii="Arial" w:hAnsi="Arial" w:cs="Arial"/>
          <w:sz w:val="20"/>
          <w:szCs w:val="20"/>
        </w:rPr>
        <w:t xml:space="preserve"> inappropriate to sue for both a divorce and an order pursuant to s 3 of the MPA</w:t>
      </w:r>
      <w:r w:rsidR="00A57AD8" w:rsidRPr="00BE761A">
        <w:rPr>
          <w:rFonts w:ascii="Arial" w:hAnsi="Arial" w:cs="Arial"/>
          <w:sz w:val="20"/>
          <w:szCs w:val="20"/>
        </w:rPr>
        <w:t xml:space="preserve"> in a single action, in which the accrual order is made dependent upon the granting</w:t>
      </w:r>
      <w:r w:rsidR="00B150CF" w:rsidRPr="00BE761A">
        <w:rPr>
          <w:rFonts w:ascii="Arial" w:hAnsi="Arial" w:cs="Arial"/>
          <w:sz w:val="20"/>
          <w:szCs w:val="20"/>
        </w:rPr>
        <w:t xml:space="preserve"> of a divorce order. For policy reasons, if no other, and the obvious saving of costs</w:t>
      </w:r>
      <w:r w:rsidR="00347858" w:rsidRPr="00BE761A">
        <w:rPr>
          <w:rFonts w:ascii="Arial" w:hAnsi="Arial" w:cs="Arial"/>
          <w:sz w:val="20"/>
          <w:szCs w:val="20"/>
        </w:rPr>
        <w:t xml:space="preserve"> and avoidance of delay, the double-barrelled approach is preferable</w:t>
      </w:r>
      <w:r w:rsidR="00D54949" w:rsidRPr="00BE761A">
        <w:rPr>
          <w:rFonts w:ascii="Arial" w:hAnsi="Arial" w:cs="Arial"/>
          <w:sz w:val="20"/>
          <w:szCs w:val="20"/>
        </w:rPr>
        <w:t>, a view shared by Olivier J but which he reluctantly disavowed</w:t>
      </w:r>
      <w:r w:rsidR="00D455AB" w:rsidRPr="00BE761A">
        <w:rPr>
          <w:rFonts w:ascii="Arial" w:hAnsi="Arial" w:cs="Arial"/>
          <w:sz w:val="20"/>
          <w:szCs w:val="20"/>
        </w:rPr>
        <w:t xml:space="preserve"> because of what, in his view, would be infidelity to</w:t>
      </w:r>
      <w:r w:rsidR="00C376C8" w:rsidRPr="00BE761A">
        <w:rPr>
          <w:rFonts w:ascii="Arial" w:hAnsi="Arial" w:cs="Arial"/>
          <w:sz w:val="20"/>
          <w:szCs w:val="20"/>
        </w:rPr>
        <w:t xml:space="preserve"> could probably overcome that danger of infidelity</w:t>
      </w:r>
      <w:r w:rsidR="00E0015E" w:rsidRPr="00BE761A">
        <w:rPr>
          <w:rFonts w:ascii="Arial" w:hAnsi="Arial" w:cs="Arial"/>
          <w:sz w:val="20"/>
          <w:szCs w:val="20"/>
        </w:rPr>
        <w:t>. Practical factors alone ought to determine whether any post-dissolution revisions to provisional calculations become necessary. However, it is plain that there cannot be any basis to calculate the value of the estates at a moment earlier than the dissolution.’</w:t>
      </w:r>
      <w:r w:rsidR="00E0015E" w:rsidRPr="00BE761A">
        <w:rPr>
          <w:rStyle w:val="FootnoteReference"/>
          <w:rFonts w:ascii="Arial" w:hAnsi="Arial" w:cs="Arial"/>
          <w:sz w:val="20"/>
          <w:szCs w:val="20"/>
        </w:rPr>
        <w:footnoteReference w:id="18"/>
      </w:r>
    </w:p>
    <w:p w14:paraId="4B9A518D" w14:textId="7A3765BC" w:rsidR="00E0015E" w:rsidRDefault="00E0015E" w:rsidP="006413B5">
      <w:pPr>
        <w:spacing w:line="360" w:lineRule="auto"/>
        <w:rPr>
          <w:rFonts w:ascii="Arial" w:hAnsi="Arial" w:cs="Arial"/>
          <w:sz w:val="24"/>
          <w:szCs w:val="24"/>
        </w:rPr>
      </w:pPr>
    </w:p>
    <w:p w14:paraId="66046796" w14:textId="4A46943F" w:rsidR="007C74E9" w:rsidRPr="00CD1FE1" w:rsidRDefault="00E0015E" w:rsidP="00CD1FE1">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As </w:t>
      </w:r>
      <w:r w:rsidR="00BE761A" w:rsidRPr="00CD1FE1">
        <w:rPr>
          <w:rFonts w:ascii="Arial" w:hAnsi="Arial" w:cs="Arial"/>
          <w:sz w:val="24"/>
          <w:szCs w:val="24"/>
        </w:rPr>
        <w:t>point</w:t>
      </w:r>
      <w:r w:rsidRPr="00CD1FE1">
        <w:rPr>
          <w:rFonts w:ascii="Arial" w:hAnsi="Arial" w:cs="Arial"/>
          <w:sz w:val="24"/>
          <w:szCs w:val="24"/>
        </w:rPr>
        <w:t xml:space="preserve">ed </w:t>
      </w:r>
      <w:r w:rsidR="00BE761A" w:rsidRPr="00CD1FE1">
        <w:rPr>
          <w:rFonts w:ascii="Arial" w:hAnsi="Arial" w:cs="Arial"/>
          <w:sz w:val="24"/>
          <w:szCs w:val="24"/>
        </w:rPr>
        <w:t xml:space="preserve">out </w:t>
      </w:r>
      <w:r w:rsidRPr="00CD1FE1">
        <w:rPr>
          <w:rFonts w:ascii="Arial" w:hAnsi="Arial" w:cs="Arial"/>
          <w:sz w:val="24"/>
          <w:szCs w:val="24"/>
        </w:rPr>
        <w:t>by the applicant, the above approach was approved (</w:t>
      </w:r>
      <w:r w:rsidRPr="00CD1FE1">
        <w:rPr>
          <w:rFonts w:ascii="Arial" w:hAnsi="Arial" w:cs="Arial"/>
          <w:i/>
          <w:iCs/>
          <w:sz w:val="24"/>
          <w:szCs w:val="24"/>
        </w:rPr>
        <w:t>obiter</w:t>
      </w:r>
      <w:r w:rsidRPr="00CD1FE1">
        <w:rPr>
          <w:rFonts w:ascii="Arial" w:hAnsi="Arial" w:cs="Arial"/>
          <w:sz w:val="24"/>
          <w:szCs w:val="24"/>
        </w:rPr>
        <w:t xml:space="preserve">) by </w:t>
      </w:r>
      <w:proofErr w:type="spellStart"/>
      <w:r w:rsidRPr="00CD1FE1">
        <w:rPr>
          <w:rFonts w:ascii="Arial" w:hAnsi="Arial" w:cs="Arial"/>
          <w:sz w:val="24"/>
          <w:szCs w:val="24"/>
        </w:rPr>
        <w:t>Tsoka</w:t>
      </w:r>
      <w:proofErr w:type="spellEnd"/>
      <w:r w:rsidRPr="00CD1FE1">
        <w:rPr>
          <w:rFonts w:ascii="Arial" w:hAnsi="Arial" w:cs="Arial"/>
          <w:sz w:val="24"/>
          <w:szCs w:val="24"/>
        </w:rPr>
        <w:t xml:space="preserve"> AJA in </w:t>
      </w:r>
      <w:r w:rsidRPr="00CD1FE1">
        <w:rPr>
          <w:rFonts w:ascii="Arial" w:hAnsi="Arial" w:cs="Arial"/>
          <w:i/>
          <w:iCs/>
          <w:sz w:val="24"/>
          <w:szCs w:val="24"/>
        </w:rPr>
        <w:t>AB v JB</w:t>
      </w:r>
      <w:r w:rsidRPr="00CD1FE1">
        <w:rPr>
          <w:rFonts w:ascii="Arial" w:hAnsi="Arial" w:cs="Arial"/>
          <w:sz w:val="24"/>
          <w:szCs w:val="24"/>
        </w:rPr>
        <w:t>,</w:t>
      </w:r>
      <w:r>
        <w:rPr>
          <w:rStyle w:val="FootnoteReference"/>
          <w:rFonts w:ascii="Arial" w:hAnsi="Arial" w:cs="Arial"/>
          <w:sz w:val="24"/>
          <w:szCs w:val="24"/>
        </w:rPr>
        <w:footnoteReference w:id="19"/>
      </w:r>
      <w:r w:rsidRPr="00CD1FE1">
        <w:rPr>
          <w:rFonts w:ascii="Arial" w:hAnsi="Arial" w:cs="Arial"/>
          <w:sz w:val="24"/>
          <w:szCs w:val="24"/>
        </w:rPr>
        <w:t xml:space="preserve"> </w:t>
      </w:r>
      <w:r w:rsidR="007C74E9" w:rsidRPr="00CD1FE1">
        <w:rPr>
          <w:rFonts w:ascii="Arial" w:hAnsi="Arial" w:cs="Arial"/>
          <w:sz w:val="24"/>
          <w:szCs w:val="24"/>
        </w:rPr>
        <w:t xml:space="preserve">and followed </w:t>
      </w:r>
      <w:r w:rsidRPr="00CD1FE1">
        <w:rPr>
          <w:rFonts w:ascii="Arial" w:hAnsi="Arial" w:cs="Arial"/>
          <w:sz w:val="24"/>
          <w:szCs w:val="24"/>
        </w:rPr>
        <w:t xml:space="preserve">by </w:t>
      </w:r>
      <w:proofErr w:type="spellStart"/>
      <w:r w:rsidRPr="00CD1FE1">
        <w:rPr>
          <w:rFonts w:ascii="Arial" w:hAnsi="Arial" w:cs="Arial"/>
          <w:sz w:val="24"/>
          <w:szCs w:val="24"/>
        </w:rPr>
        <w:t>Binns</w:t>
      </w:r>
      <w:proofErr w:type="spellEnd"/>
      <w:r w:rsidRPr="00CD1FE1">
        <w:rPr>
          <w:rFonts w:ascii="Arial" w:hAnsi="Arial" w:cs="Arial"/>
          <w:sz w:val="24"/>
          <w:szCs w:val="24"/>
        </w:rPr>
        <w:t xml:space="preserve">-Ward J in </w:t>
      </w:r>
      <w:r w:rsidRPr="00CD1FE1">
        <w:rPr>
          <w:rFonts w:ascii="Arial" w:hAnsi="Arial" w:cs="Arial"/>
          <w:i/>
          <w:iCs/>
          <w:sz w:val="24"/>
          <w:szCs w:val="24"/>
        </w:rPr>
        <w:t>TN v NN and others</w:t>
      </w:r>
      <w:r w:rsidR="007C74E9" w:rsidRPr="00CD1FE1">
        <w:rPr>
          <w:rFonts w:ascii="Arial" w:hAnsi="Arial" w:cs="Arial"/>
          <w:sz w:val="24"/>
          <w:szCs w:val="24"/>
        </w:rPr>
        <w:t>.</w:t>
      </w:r>
      <w:r>
        <w:rPr>
          <w:rStyle w:val="FootnoteReference"/>
          <w:rFonts w:ascii="Arial" w:hAnsi="Arial" w:cs="Arial"/>
          <w:sz w:val="24"/>
          <w:szCs w:val="24"/>
        </w:rPr>
        <w:footnoteReference w:id="20"/>
      </w:r>
      <w:r w:rsidR="007C74E9" w:rsidRPr="00CD1FE1">
        <w:rPr>
          <w:rFonts w:ascii="Arial" w:hAnsi="Arial" w:cs="Arial"/>
          <w:sz w:val="24"/>
          <w:szCs w:val="24"/>
        </w:rPr>
        <w:t xml:space="preserve"> Furthermore, in </w:t>
      </w:r>
      <w:r w:rsidR="007C74E9" w:rsidRPr="00CD1FE1">
        <w:rPr>
          <w:rFonts w:ascii="Arial" w:hAnsi="Arial" w:cs="Arial"/>
          <w:i/>
          <w:iCs/>
          <w:sz w:val="24"/>
          <w:szCs w:val="24"/>
        </w:rPr>
        <w:t>LD v JD</w:t>
      </w:r>
      <w:r w:rsidR="007C74E9" w:rsidRPr="00CD1FE1">
        <w:rPr>
          <w:rFonts w:ascii="Arial" w:hAnsi="Arial" w:cs="Arial"/>
          <w:sz w:val="24"/>
          <w:szCs w:val="24"/>
        </w:rPr>
        <w:t>,</w:t>
      </w:r>
      <w:r w:rsidR="007C74E9">
        <w:rPr>
          <w:rStyle w:val="FootnoteReference"/>
          <w:rFonts w:ascii="Arial" w:hAnsi="Arial" w:cs="Arial"/>
          <w:sz w:val="24"/>
          <w:szCs w:val="24"/>
        </w:rPr>
        <w:footnoteReference w:id="21"/>
      </w:r>
      <w:r w:rsidR="007C74E9" w:rsidRPr="00CD1FE1">
        <w:rPr>
          <w:rFonts w:ascii="Arial" w:hAnsi="Arial" w:cs="Arial"/>
          <w:sz w:val="24"/>
          <w:szCs w:val="24"/>
        </w:rPr>
        <w:t xml:space="preserve"> Gilbert AJ observed that:</w:t>
      </w:r>
    </w:p>
    <w:p w14:paraId="22C6146E" w14:textId="20DC106B" w:rsidR="007C74E9" w:rsidRDefault="007C74E9" w:rsidP="00CD1FE1">
      <w:pPr>
        <w:spacing w:line="360" w:lineRule="auto"/>
        <w:ind w:left="720"/>
        <w:jc w:val="both"/>
        <w:rPr>
          <w:rFonts w:ascii="Arial" w:hAnsi="Arial" w:cs="Arial"/>
          <w:sz w:val="20"/>
          <w:szCs w:val="20"/>
        </w:rPr>
      </w:pPr>
      <w:r w:rsidRPr="00355A10">
        <w:rPr>
          <w:rFonts w:ascii="Arial" w:hAnsi="Arial" w:cs="Arial"/>
          <w:sz w:val="20"/>
          <w:szCs w:val="20"/>
        </w:rPr>
        <w:t xml:space="preserve">‘…Although the accrual claim only arises or vests upon the dissolution of the marriage in terms of section 3(1) [of the MPA] and therefore is only capable of being valued after it has arisen, the parties </w:t>
      </w:r>
      <w:r w:rsidRPr="00355A10">
        <w:rPr>
          <w:rFonts w:ascii="Arial" w:hAnsi="Arial" w:cs="Arial"/>
          <w:sz w:val="20"/>
          <w:szCs w:val="20"/>
        </w:rPr>
        <w:lastRenderedPageBreak/>
        <w:t>during the divorce proceedings can lead evidence to establish the value of the accrual claim and so enable the court to award a quantified monetary judgment in respect of the accrual claim contemporaneously upon granting the divorce. This has the advantage of avoiding a more costly and delayed</w:t>
      </w:r>
      <w:r w:rsidR="00355A10" w:rsidRPr="00355A10">
        <w:rPr>
          <w:rFonts w:ascii="Arial" w:hAnsi="Arial" w:cs="Arial"/>
          <w:sz w:val="20"/>
          <w:szCs w:val="20"/>
        </w:rPr>
        <w:t xml:space="preserve"> two-stage process to the litigation, where in the first stage the divorce is granted with the resultant dissolution of the marriage giving rise to the accrual claim, and then a second stage in which the value of the accrual claim itself is determined.’</w:t>
      </w:r>
      <w:r w:rsidR="00355A10" w:rsidRPr="00355A10">
        <w:rPr>
          <w:rStyle w:val="FootnoteReference"/>
          <w:rFonts w:ascii="Arial" w:hAnsi="Arial" w:cs="Arial"/>
          <w:sz w:val="20"/>
          <w:szCs w:val="20"/>
        </w:rPr>
        <w:footnoteReference w:id="22"/>
      </w:r>
    </w:p>
    <w:p w14:paraId="0CFF84C3" w14:textId="76D1331C" w:rsidR="00CD1FE1" w:rsidRDefault="00355A10" w:rsidP="00355A10">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The above approach </w:t>
      </w:r>
      <w:r w:rsidR="00847030" w:rsidRPr="00CD1FE1">
        <w:rPr>
          <w:rFonts w:ascii="Arial" w:hAnsi="Arial" w:cs="Arial"/>
          <w:sz w:val="24"/>
          <w:szCs w:val="24"/>
        </w:rPr>
        <w:t xml:space="preserve">is a pragmatic and sensible response to the costs, delays (and trauma) of divorce proceedings. At the same time, it is in alignment with the provisions of sections 3 and 4 of the MPA and remains consistent with the principles indicated in </w:t>
      </w:r>
      <w:r w:rsidR="00847030" w:rsidRPr="00CD1FE1">
        <w:rPr>
          <w:rFonts w:ascii="Arial" w:hAnsi="Arial" w:cs="Arial"/>
          <w:i/>
          <w:iCs/>
          <w:sz w:val="24"/>
          <w:szCs w:val="24"/>
        </w:rPr>
        <w:t>AB v JB</w:t>
      </w:r>
      <w:r w:rsidR="00847030" w:rsidRPr="00CD1FE1">
        <w:rPr>
          <w:rFonts w:ascii="Arial" w:hAnsi="Arial" w:cs="Arial"/>
          <w:sz w:val="24"/>
          <w:szCs w:val="24"/>
        </w:rPr>
        <w:t>.</w:t>
      </w:r>
      <w:r w:rsidR="00847030">
        <w:rPr>
          <w:rStyle w:val="FootnoteReference"/>
          <w:rFonts w:ascii="Arial" w:hAnsi="Arial" w:cs="Arial"/>
          <w:sz w:val="24"/>
          <w:szCs w:val="24"/>
        </w:rPr>
        <w:footnoteReference w:id="23"/>
      </w:r>
    </w:p>
    <w:p w14:paraId="06C1DCDC" w14:textId="77777777" w:rsidR="00CD1FE1" w:rsidRDefault="00CD1FE1" w:rsidP="00CD1FE1">
      <w:pPr>
        <w:pStyle w:val="ListParagraph"/>
        <w:spacing w:line="360" w:lineRule="auto"/>
        <w:ind w:left="0"/>
        <w:jc w:val="both"/>
        <w:rPr>
          <w:rFonts w:ascii="Arial" w:hAnsi="Arial" w:cs="Arial"/>
          <w:sz w:val="24"/>
          <w:szCs w:val="24"/>
        </w:rPr>
      </w:pPr>
    </w:p>
    <w:p w14:paraId="7DFBA2E4" w14:textId="77777777" w:rsidR="00CD1FE1" w:rsidRDefault="00847030" w:rsidP="00355A10">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Returning to the request for trial particulars under rule 21(2), </w:t>
      </w:r>
      <w:r w:rsidR="00EE691F" w:rsidRPr="00CD1FE1">
        <w:rPr>
          <w:rFonts w:ascii="Arial" w:hAnsi="Arial" w:cs="Arial"/>
          <w:sz w:val="24"/>
          <w:szCs w:val="24"/>
        </w:rPr>
        <w:t>regard must be had to the pleadings to decide whether the</w:t>
      </w:r>
      <w:r w:rsidR="007B4FFF" w:rsidRPr="00CD1FE1">
        <w:rPr>
          <w:rFonts w:ascii="Arial" w:hAnsi="Arial" w:cs="Arial"/>
          <w:sz w:val="24"/>
          <w:szCs w:val="24"/>
        </w:rPr>
        <w:t xml:space="preserve"> particulars </w:t>
      </w:r>
      <w:r w:rsidR="00EE691F" w:rsidRPr="00CD1FE1">
        <w:rPr>
          <w:rFonts w:ascii="Arial" w:hAnsi="Arial" w:cs="Arial"/>
          <w:sz w:val="24"/>
          <w:szCs w:val="24"/>
        </w:rPr>
        <w:t>are strictly necessary</w:t>
      </w:r>
      <w:r w:rsidR="007B4FFF" w:rsidRPr="00CD1FE1">
        <w:rPr>
          <w:rFonts w:ascii="Arial" w:hAnsi="Arial" w:cs="Arial"/>
          <w:sz w:val="24"/>
          <w:szCs w:val="24"/>
        </w:rPr>
        <w:t xml:space="preserve"> for trial preparation.</w:t>
      </w:r>
      <w:r w:rsidR="00735369">
        <w:rPr>
          <w:rStyle w:val="FootnoteReference"/>
          <w:rFonts w:ascii="Arial" w:hAnsi="Arial" w:cs="Arial"/>
          <w:sz w:val="24"/>
          <w:szCs w:val="24"/>
        </w:rPr>
        <w:footnoteReference w:id="24"/>
      </w:r>
      <w:r w:rsidR="00735369" w:rsidRPr="00CD1FE1">
        <w:rPr>
          <w:rFonts w:ascii="Arial" w:hAnsi="Arial" w:cs="Arial"/>
          <w:sz w:val="24"/>
          <w:szCs w:val="24"/>
        </w:rPr>
        <w:t xml:space="preserve"> </w:t>
      </w:r>
      <w:r w:rsidR="007B4FFF" w:rsidRPr="00CD1FE1">
        <w:rPr>
          <w:rFonts w:ascii="Arial" w:hAnsi="Arial" w:cs="Arial"/>
          <w:sz w:val="24"/>
          <w:szCs w:val="24"/>
        </w:rPr>
        <w:t xml:space="preserve">The applicant </w:t>
      </w:r>
      <w:r w:rsidR="00376910" w:rsidRPr="00CD1FE1">
        <w:rPr>
          <w:rFonts w:ascii="Arial" w:hAnsi="Arial" w:cs="Arial"/>
          <w:sz w:val="24"/>
          <w:szCs w:val="24"/>
        </w:rPr>
        <w:t xml:space="preserve">raises </w:t>
      </w:r>
      <w:r w:rsidR="007B4FFF" w:rsidRPr="00CD1FE1">
        <w:rPr>
          <w:rFonts w:ascii="Arial" w:hAnsi="Arial" w:cs="Arial"/>
          <w:sz w:val="24"/>
          <w:szCs w:val="24"/>
        </w:rPr>
        <w:t xml:space="preserve">squarely, in her </w:t>
      </w:r>
      <w:r w:rsidR="00756F9B" w:rsidRPr="00CD1FE1">
        <w:rPr>
          <w:rFonts w:ascii="Arial" w:hAnsi="Arial" w:cs="Arial"/>
          <w:sz w:val="24"/>
          <w:szCs w:val="24"/>
        </w:rPr>
        <w:t>particulars of claim</w:t>
      </w:r>
      <w:r w:rsidR="007B4FFF" w:rsidRPr="00CD1FE1">
        <w:rPr>
          <w:rFonts w:ascii="Arial" w:hAnsi="Arial" w:cs="Arial"/>
          <w:sz w:val="24"/>
          <w:szCs w:val="24"/>
        </w:rPr>
        <w:t xml:space="preserve">, the determination of the ownership of the trust assets, the net value thereof, </w:t>
      </w:r>
      <w:r w:rsidR="00376910" w:rsidRPr="00CD1FE1">
        <w:rPr>
          <w:rFonts w:ascii="Arial" w:hAnsi="Arial" w:cs="Arial"/>
          <w:sz w:val="24"/>
          <w:szCs w:val="24"/>
        </w:rPr>
        <w:t>the transfer thereof to the first respondent in his personal capacity, and t</w:t>
      </w:r>
      <w:r w:rsidR="007B4FFF" w:rsidRPr="00CD1FE1">
        <w:rPr>
          <w:rFonts w:ascii="Arial" w:hAnsi="Arial" w:cs="Arial"/>
          <w:sz w:val="24"/>
          <w:szCs w:val="24"/>
        </w:rPr>
        <w:t>he calculation and payment of accrual</w:t>
      </w:r>
      <w:r w:rsidR="00376910" w:rsidRPr="00CD1FE1">
        <w:rPr>
          <w:rFonts w:ascii="Arial" w:hAnsi="Arial" w:cs="Arial"/>
          <w:sz w:val="24"/>
          <w:szCs w:val="24"/>
        </w:rPr>
        <w:t xml:space="preserve"> overall.</w:t>
      </w:r>
      <w:r w:rsidR="007B4FFF" w:rsidRPr="00CD1FE1">
        <w:rPr>
          <w:rFonts w:ascii="Arial" w:hAnsi="Arial" w:cs="Arial"/>
          <w:sz w:val="24"/>
          <w:szCs w:val="24"/>
        </w:rPr>
        <w:t xml:space="preserve"> </w:t>
      </w:r>
      <w:r w:rsidR="00C470DC" w:rsidRPr="00CD1FE1">
        <w:rPr>
          <w:rFonts w:ascii="Arial" w:hAnsi="Arial" w:cs="Arial"/>
          <w:sz w:val="24"/>
          <w:szCs w:val="24"/>
        </w:rPr>
        <w:t>No order has been made, at this stage, for the separation of issues.</w:t>
      </w:r>
      <w:r w:rsidR="00C470DC">
        <w:rPr>
          <w:rStyle w:val="FootnoteReference"/>
          <w:rFonts w:ascii="Arial" w:hAnsi="Arial" w:cs="Arial"/>
          <w:sz w:val="24"/>
          <w:szCs w:val="24"/>
        </w:rPr>
        <w:footnoteReference w:id="25"/>
      </w:r>
    </w:p>
    <w:p w14:paraId="39A4FA64" w14:textId="77777777" w:rsidR="00CD1FE1" w:rsidRPr="00CD1FE1" w:rsidRDefault="00CD1FE1" w:rsidP="00CD1FE1">
      <w:pPr>
        <w:pStyle w:val="ListParagraph"/>
        <w:rPr>
          <w:rFonts w:ascii="Arial" w:hAnsi="Arial" w:cs="Arial"/>
          <w:sz w:val="24"/>
          <w:szCs w:val="24"/>
        </w:rPr>
      </w:pPr>
    </w:p>
    <w:p w14:paraId="42846768" w14:textId="77777777" w:rsidR="00CD1FE1" w:rsidRDefault="00376910" w:rsidP="00355A10">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Particulars pertaining to the respondent’s financial affairs, as well as trust assets and liabilities, are </w:t>
      </w:r>
      <w:r w:rsidR="00756F9B" w:rsidRPr="00CD1FE1">
        <w:rPr>
          <w:rFonts w:ascii="Arial" w:hAnsi="Arial" w:cs="Arial"/>
          <w:sz w:val="24"/>
          <w:szCs w:val="24"/>
        </w:rPr>
        <w:t>entirely</w:t>
      </w:r>
      <w:r w:rsidRPr="00CD1FE1">
        <w:rPr>
          <w:rFonts w:ascii="Arial" w:hAnsi="Arial" w:cs="Arial"/>
          <w:sz w:val="24"/>
          <w:szCs w:val="24"/>
        </w:rPr>
        <w:t xml:space="preserve"> relevant </w:t>
      </w:r>
      <w:r w:rsidR="00756F9B" w:rsidRPr="00CD1FE1">
        <w:rPr>
          <w:rFonts w:ascii="Arial" w:hAnsi="Arial" w:cs="Arial"/>
          <w:sz w:val="24"/>
          <w:szCs w:val="24"/>
        </w:rPr>
        <w:t>to the applicant’s claim. She cannot prepare properly for trial without the information sought.</w:t>
      </w:r>
    </w:p>
    <w:p w14:paraId="6C7FDD04" w14:textId="77777777" w:rsidR="00CD1FE1" w:rsidRPr="00CD1FE1" w:rsidRDefault="00CD1FE1" w:rsidP="00CD1FE1">
      <w:pPr>
        <w:pStyle w:val="ListParagraph"/>
        <w:rPr>
          <w:rFonts w:ascii="Arial" w:hAnsi="Arial" w:cs="Arial"/>
          <w:sz w:val="24"/>
          <w:szCs w:val="24"/>
        </w:rPr>
      </w:pPr>
    </w:p>
    <w:p w14:paraId="20C29411" w14:textId="482B5C65" w:rsidR="00DE5FF1" w:rsidRPr="00CD1FE1" w:rsidRDefault="00DE5FF1" w:rsidP="00355A10">
      <w:pPr>
        <w:pStyle w:val="ListParagraph"/>
        <w:numPr>
          <w:ilvl w:val="0"/>
          <w:numId w:val="2"/>
        </w:numPr>
        <w:spacing w:line="360" w:lineRule="auto"/>
        <w:ind w:left="0" w:firstLine="0"/>
        <w:jc w:val="both"/>
        <w:rPr>
          <w:rFonts w:ascii="Arial" w:hAnsi="Arial" w:cs="Arial"/>
          <w:sz w:val="24"/>
          <w:szCs w:val="24"/>
        </w:rPr>
      </w:pPr>
      <w:r w:rsidRPr="00CD1FE1">
        <w:rPr>
          <w:rFonts w:ascii="Arial" w:hAnsi="Arial" w:cs="Arial"/>
          <w:sz w:val="24"/>
          <w:szCs w:val="24"/>
        </w:rPr>
        <w:t xml:space="preserve">In passing, it would not be inappropriate to reiterate the principle expressed by the SCA in </w:t>
      </w:r>
      <w:r w:rsidRPr="00CD1FE1">
        <w:rPr>
          <w:rFonts w:ascii="Arial" w:hAnsi="Arial" w:cs="Arial"/>
          <w:i/>
          <w:iCs/>
          <w:sz w:val="24"/>
          <w:szCs w:val="24"/>
        </w:rPr>
        <w:t>ST v CT</w:t>
      </w:r>
      <w:r w:rsidRPr="00CD1FE1">
        <w:rPr>
          <w:rFonts w:ascii="Arial" w:hAnsi="Arial" w:cs="Arial"/>
          <w:sz w:val="24"/>
          <w:szCs w:val="24"/>
        </w:rPr>
        <w:t>.</w:t>
      </w:r>
      <w:r>
        <w:rPr>
          <w:rStyle w:val="FootnoteReference"/>
          <w:rFonts w:ascii="Arial" w:hAnsi="Arial" w:cs="Arial"/>
          <w:sz w:val="24"/>
          <w:szCs w:val="24"/>
        </w:rPr>
        <w:footnoteReference w:id="26"/>
      </w:r>
      <w:r w:rsidRPr="00CD1FE1">
        <w:rPr>
          <w:rFonts w:ascii="Arial" w:hAnsi="Arial" w:cs="Arial"/>
          <w:sz w:val="24"/>
          <w:szCs w:val="24"/>
        </w:rPr>
        <w:t xml:space="preserve"> A spouse must make full and frank disclosure of the value of his or her estate</w:t>
      </w:r>
      <w:r w:rsidR="008C4660" w:rsidRPr="00CD1FE1">
        <w:rPr>
          <w:rFonts w:ascii="Arial" w:hAnsi="Arial" w:cs="Arial"/>
          <w:sz w:val="24"/>
          <w:szCs w:val="24"/>
        </w:rPr>
        <w:t>. Whereas the context thereof was</w:t>
      </w:r>
      <w:r w:rsidRPr="00CD1FE1">
        <w:rPr>
          <w:rFonts w:ascii="Arial" w:hAnsi="Arial" w:cs="Arial"/>
          <w:sz w:val="24"/>
          <w:szCs w:val="24"/>
        </w:rPr>
        <w:t xml:space="preserve"> section 7 of the MPA</w:t>
      </w:r>
      <w:r w:rsidR="008C4660" w:rsidRPr="00CD1FE1">
        <w:rPr>
          <w:rFonts w:ascii="Arial" w:hAnsi="Arial" w:cs="Arial"/>
          <w:sz w:val="24"/>
          <w:szCs w:val="24"/>
        </w:rPr>
        <w:t>, it is the respectful view of this court that the principle applies in equal measure when a spouse relies on the</w:t>
      </w:r>
      <w:r w:rsidRPr="00CD1FE1">
        <w:rPr>
          <w:rFonts w:ascii="Arial" w:hAnsi="Arial" w:cs="Arial"/>
          <w:sz w:val="24"/>
          <w:szCs w:val="24"/>
        </w:rPr>
        <w:t xml:space="preserve"> provisions of rule 21 to request further particulars </w:t>
      </w:r>
      <w:r w:rsidR="008C4660" w:rsidRPr="00CD1FE1">
        <w:rPr>
          <w:rFonts w:ascii="Arial" w:hAnsi="Arial" w:cs="Arial"/>
          <w:sz w:val="24"/>
          <w:szCs w:val="24"/>
        </w:rPr>
        <w:t xml:space="preserve">in circumstances </w:t>
      </w:r>
      <w:r w:rsidRPr="00CD1FE1">
        <w:rPr>
          <w:rFonts w:ascii="Arial" w:hAnsi="Arial" w:cs="Arial"/>
          <w:sz w:val="24"/>
          <w:szCs w:val="24"/>
        </w:rPr>
        <w:t xml:space="preserve">where inadequate </w:t>
      </w:r>
      <w:r w:rsidR="008C4660" w:rsidRPr="00CD1FE1">
        <w:rPr>
          <w:rFonts w:ascii="Arial" w:hAnsi="Arial" w:cs="Arial"/>
          <w:sz w:val="24"/>
          <w:szCs w:val="24"/>
        </w:rPr>
        <w:lastRenderedPageBreak/>
        <w:t xml:space="preserve">information </w:t>
      </w:r>
      <w:r w:rsidRPr="00CD1FE1">
        <w:rPr>
          <w:rFonts w:ascii="Arial" w:hAnsi="Arial" w:cs="Arial"/>
          <w:sz w:val="24"/>
          <w:szCs w:val="24"/>
        </w:rPr>
        <w:t xml:space="preserve">has been </w:t>
      </w:r>
      <w:r w:rsidR="008C4660" w:rsidRPr="00CD1FE1">
        <w:rPr>
          <w:rFonts w:ascii="Arial" w:hAnsi="Arial" w:cs="Arial"/>
          <w:sz w:val="24"/>
          <w:szCs w:val="24"/>
        </w:rPr>
        <w:t xml:space="preserve">furnished. </w:t>
      </w:r>
      <w:r w:rsidR="00941CCE" w:rsidRPr="00CD1FE1">
        <w:rPr>
          <w:rFonts w:ascii="Arial" w:hAnsi="Arial" w:cs="Arial"/>
          <w:sz w:val="24"/>
          <w:szCs w:val="24"/>
        </w:rPr>
        <w:t xml:space="preserve">The applicant drew the attention of the court to </w:t>
      </w:r>
      <w:r w:rsidR="00941CCE" w:rsidRPr="00CD1FE1">
        <w:rPr>
          <w:rFonts w:ascii="Arial" w:hAnsi="Arial" w:cs="Arial"/>
          <w:i/>
          <w:iCs/>
          <w:sz w:val="24"/>
          <w:szCs w:val="24"/>
        </w:rPr>
        <w:t>DEB v MGB</w:t>
      </w:r>
      <w:r w:rsidR="00941CCE" w:rsidRPr="00CD1FE1">
        <w:rPr>
          <w:rFonts w:ascii="Arial" w:hAnsi="Arial" w:cs="Arial"/>
          <w:sz w:val="24"/>
          <w:szCs w:val="24"/>
        </w:rPr>
        <w:t>,</w:t>
      </w:r>
      <w:r w:rsidR="00941CCE">
        <w:rPr>
          <w:rStyle w:val="FootnoteReference"/>
          <w:rFonts w:ascii="Arial" w:hAnsi="Arial" w:cs="Arial"/>
          <w:sz w:val="24"/>
          <w:szCs w:val="24"/>
        </w:rPr>
        <w:footnoteReference w:id="27"/>
      </w:r>
      <w:r w:rsidR="00941CCE" w:rsidRPr="00CD1FE1">
        <w:rPr>
          <w:rFonts w:ascii="Arial" w:hAnsi="Arial" w:cs="Arial"/>
          <w:sz w:val="24"/>
          <w:szCs w:val="24"/>
        </w:rPr>
        <w:t xml:space="preserve"> where </w:t>
      </w:r>
      <w:proofErr w:type="spellStart"/>
      <w:r w:rsidR="00941CCE" w:rsidRPr="00CD1FE1">
        <w:rPr>
          <w:rFonts w:ascii="Arial" w:hAnsi="Arial" w:cs="Arial"/>
          <w:sz w:val="24"/>
          <w:szCs w:val="24"/>
        </w:rPr>
        <w:t>Gorven</w:t>
      </w:r>
      <w:proofErr w:type="spellEnd"/>
      <w:r w:rsidR="00941CCE" w:rsidRPr="00CD1FE1">
        <w:rPr>
          <w:rFonts w:ascii="Arial" w:hAnsi="Arial" w:cs="Arial"/>
          <w:sz w:val="24"/>
          <w:szCs w:val="24"/>
        </w:rPr>
        <w:t xml:space="preserve"> AJA remarked that:</w:t>
      </w:r>
    </w:p>
    <w:p w14:paraId="597B3B37" w14:textId="57B1F3E1" w:rsidR="00676C05" w:rsidRPr="00676C05" w:rsidRDefault="00941CCE" w:rsidP="00A00134">
      <w:pPr>
        <w:spacing w:line="360" w:lineRule="auto"/>
        <w:ind w:left="720"/>
        <w:jc w:val="both"/>
        <w:rPr>
          <w:rFonts w:ascii="Arial" w:hAnsi="Arial" w:cs="Arial"/>
          <w:sz w:val="20"/>
          <w:szCs w:val="20"/>
        </w:rPr>
      </w:pPr>
      <w:r w:rsidRPr="00676C05">
        <w:rPr>
          <w:rFonts w:ascii="Arial" w:hAnsi="Arial" w:cs="Arial"/>
          <w:sz w:val="20"/>
          <w:szCs w:val="20"/>
        </w:rPr>
        <w:t>‘…The attitude of many divorce parties, particularly in relation to money claims where they control the money, can be characterised as “catch me if you can”. These parties set themselves up as immovable objects in the hope that they will wear down the other party. They use every means to do so. They fail to discover properly, fail to provide any particulars of assets</w:t>
      </w:r>
      <w:r w:rsidR="00676C05" w:rsidRPr="00676C05">
        <w:rPr>
          <w:rFonts w:ascii="Arial" w:hAnsi="Arial" w:cs="Arial"/>
          <w:sz w:val="20"/>
          <w:szCs w:val="20"/>
        </w:rPr>
        <w:t xml:space="preserve"> within their peculiar knowledge and generally delay and obfuscate in the hope that they will not be “caught” and have to disgorge what is in law due to the other party.’</w:t>
      </w:r>
      <w:r w:rsidR="00676C05" w:rsidRPr="00676C05">
        <w:rPr>
          <w:rStyle w:val="FootnoteReference"/>
          <w:rFonts w:ascii="Arial" w:hAnsi="Arial" w:cs="Arial"/>
          <w:sz w:val="20"/>
          <w:szCs w:val="20"/>
        </w:rPr>
        <w:footnoteReference w:id="28"/>
      </w:r>
    </w:p>
    <w:p w14:paraId="60E5D940" w14:textId="6CCC5645" w:rsidR="00676C05" w:rsidRDefault="00676C05" w:rsidP="00676C05">
      <w:pPr>
        <w:spacing w:line="360" w:lineRule="auto"/>
        <w:rPr>
          <w:rFonts w:ascii="Arial" w:hAnsi="Arial" w:cs="Arial"/>
          <w:sz w:val="24"/>
          <w:szCs w:val="24"/>
        </w:rPr>
      </w:pPr>
    </w:p>
    <w:p w14:paraId="3D43563E" w14:textId="5B50606A" w:rsidR="00A00134" w:rsidRDefault="00676C05" w:rsidP="00676C05">
      <w:pPr>
        <w:pStyle w:val="ListParagraph"/>
        <w:numPr>
          <w:ilvl w:val="0"/>
          <w:numId w:val="2"/>
        </w:numPr>
        <w:spacing w:line="360" w:lineRule="auto"/>
        <w:ind w:left="0" w:firstLine="0"/>
        <w:jc w:val="both"/>
        <w:rPr>
          <w:rFonts w:ascii="Arial" w:hAnsi="Arial" w:cs="Arial"/>
          <w:sz w:val="24"/>
          <w:szCs w:val="24"/>
        </w:rPr>
      </w:pPr>
      <w:r w:rsidRPr="00A00134">
        <w:rPr>
          <w:rFonts w:ascii="Arial" w:hAnsi="Arial" w:cs="Arial"/>
          <w:sz w:val="24"/>
          <w:szCs w:val="24"/>
        </w:rPr>
        <w:t xml:space="preserve">The provisions of rule 21 are </w:t>
      </w:r>
      <w:r w:rsidR="005D5028" w:rsidRPr="00A00134">
        <w:rPr>
          <w:rFonts w:ascii="Arial" w:hAnsi="Arial" w:cs="Arial"/>
          <w:sz w:val="24"/>
          <w:szCs w:val="24"/>
        </w:rPr>
        <w:t xml:space="preserve">indeed </w:t>
      </w:r>
      <w:r w:rsidRPr="00A00134">
        <w:rPr>
          <w:rFonts w:ascii="Arial" w:hAnsi="Arial" w:cs="Arial"/>
          <w:sz w:val="24"/>
          <w:szCs w:val="24"/>
        </w:rPr>
        <w:t xml:space="preserve">susceptible to abuse. The qualification that a party is only entitled to such particulars as are strictly necessary to enable him or her to prepare for trial was obviously intended to mitigate against such a risk. Nevertheless, to expect a party in divorce proceedings to obtain, </w:t>
      </w:r>
      <w:r w:rsidR="003B5C93" w:rsidRPr="00A00134">
        <w:rPr>
          <w:rFonts w:ascii="Arial" w:hAnsi="Arial" w:cs="Arial"/>
          <w:sz w:val="24"/>
          <w:szCs w:val="24"/>
        </w:rPr>
        <w:t>predominant</w:t>
      </w:r>
      <w:r w:rsidR="0052179B" w:rsidRPr="00A00134">
        <w:rPr>
          <w:rFonts w:ascii="Arial" w:hAnsi="Arial" w:cs="Arial"/>
          <w:sz w:val="24"/>
          <w:szCs w:val="24"/>
        </w:rPr>
        <w:t>ly through</w:t>
      </w:r>
      <w:r w:rsidR="003B5C93" w:rsidRPr="00A00134">
        <w:rPr>
          <w:rFonts w:ascii="Arial" w:hAnsi="Arial" w:cs="Arial"/>
          <w:sz w:val="24"/>
          <w:szCs w:val="24"/>
        </w:rPr>
        <w:t xml:space="preserve"> </w:t>
      </w:r>
      <w:r w:rsidR="0052179B" w:rsidRPr="00A00134">
        <w:rPr>
          <w:rFonts w:ascii="Arial" w:hAnsi="Arial" w:cs="Arial"/>
          <w:sz w:val="24"/>
          <w:szCs w:val="24"/>
        </w:rPr>
        <w:t>cross-examination,</w:t>
      </w:r>
      <w:r w:rsidR="005D5028" w:rsidRPr="00A00134">
        <w:rPr>
          <w:rFonts w:ascii="Arial" w:hAnsi="Arial" w:cs="Arial"/>
          <w:sz w:val="24"/>
          <w:szCs w:val="24"/>
        </w:rPr>
        <w:t xml:space="preserve"> sufficient evidence to </w:t>
      </w:r>
      <w:r w:rsidR="003B5C93" w:rsidRPr="00A00134">
        <w:rPr>
          <w:rFonts w:ascii="Arial" w:hAnsi="Arial" w:cs="Arial"/>
          <w:sz w:val="24"/>
          <w:szCs w:val="24"/>
        </w:rPr>
        <w:t>produce</w:t>
      </w:r>
      <w:r w:rsidRPr="00A00134">
        <w:rPr>
          <w:rFonts w:ascii="Arial" w:hAnsi="Arial" w:cs="Arial"/>
          <w:sz w:val="24"/>
          <w:szCs w:val="24"/>
        </w:rPr>
        <w:t xml:space="preserve"> a clear </w:t>
      </w:r>
      <w:r w:rsidR="005D5028" w:rsidRPr="00A00134">
        <w:rPr>
          <w:rFonts w:ascii="Arial" w:hAnsi="Arial" w:cs="Arial"/>
          <w:sz w:val="24"/>
          <w:szCs w:val="24"/>
        </w:rPr>
        <w:t xml:space="preserve">enough </w:t>
      </w:r>
      <w:r w:rsidRPr="00A00134">
        <w:rPr>
          <w:rFonts w:ascii="Arial" w:hAnsi="Arial" w:cs="Arial"/>
          <w:sz w:val="24"/>
          <w:szCs w:val="24"/>
        </w:rPr>
        <w:t xml:space="preserve">picture of the other party’s financial affairs when </w:t>
      </w:r>
      <w:r w:rsidR="0052179B" w:rsidRPr="00A00134">
        <w:rPr>
          <w:rFonts w:ascii="Arial" w:hAnsi="Arial" w:cs="Arial"/>
          <w:sz w:val="24"/>
          <w:szCs w:val="24"/>
        </w:rPr>
        <w:t xml:space="preserve">a substantial amount of </w:t>
      </w:r>
      <w:r w:rsidRPr="00A00134">
        <w:rPr>
          <w:rFonts w:ascii="Arial" w:hAnsi="Arial" w:cs="Arial"/>
          <w:sz w:val="24"/>
          <w:szCs w:val="24"/>
        </w:rPr>
        <w:t>complex</w:t>
      </w:r>
      <w:r w:rsidR="0052179B" w:rsidRPr="00A00134">
        <w:rPr>
          <w:rFonts w:ascii="Arial" w:hAnsi="Arial" w:cs="Arial"/>
          <w:sz w:val="24"/>
          <w:szCs w:val="24"/>
        </w:rPr>
        <w:t xml:space="preserve"> and specialised information is involved </w:t>
      </w:r>
      <w:r w:rsidRPr="00A00134">
        <w:rPr>
          <w:rFonts w:ascii="Arial" w:hAnsi="Arial" w:cs="Arial"/>
          <w:sz w:val="24"/>
          <w:szCs w:val="24"/>
        </w:rPr>
        <w:t xml:space="preserve">would appear to </w:t>
      </w:r>
      <w:r w:rsidR="0052179B" w:rsidRPr="00A00134">
        <w:rPr>
          <w:rFonts w:ascii="Arial" w:hAnsi="Arial" w:cs="Arial"/>
          <w:sz w:val="24"/>
          <w:szCs w:val="24"/>
        </w:rPr>
        <w:t>run contrary to the openness and transparency encouraged by the SCA in the decisions mentioned earlier. A responsible and mature response to a timely request for further particulars to allow for proper trial preparation, including the possible involvement of experts</w:t>
      </w:r>
      <w:r w:rsidR="005D5028" w:rsidRPr="00A00134">
        <w:rPr>
          <w:rFonts w:ascii="Arial" w:hAnsi="Arial" w:cs="Arial"/>
          <w:sz w:val="24"/>
          <w:szCs w:val="24"/>
        </w:rPr>
        <w:t xml:space="preserve"> </w:t>
      </w:r>
      <w:r w:rsidR="0052179B" w:rsidRPr="00A00134">
        <w:rPr>
          <w:rFonts w:ascii="Arial" w:hAnsi="Arial" w:cs="Arial"/>
          <w:sz w:val="24"/>
          <w:szCs w:val="24"/>
        </w:rPr>
        <w:t>as the present matter suggests, would seem to support the pragmatic and sensible approach espoused by Sutherland</w:t>
      </w:r>
      <w:r w:rsidR="005D5028" w:rsidRPr="00A00134">
        <w:rPr>
          <w:rFonts w:ascii="Arial" w:hAnsi="Arial" w:cs="Arial"/>
          <w:sz w:val="24"/>
          <w:szCs w:val="24"/>
        </w:rPr>
        <w:t xml:space="preserve"> J</w:t>
      </w:r>
      <w:r w:rsidR="0052179B" w:rsidRPr="00A00134">
        <w:rPr>
          <w:rFonts w:ascii="Arial" w:hAnsi="Arial" w:cs="Arial"/>
          <w:sz w:val="24"/>
          <w:szCs w:val="24"/>
        </w:rPr>
        <w:t xml:space="preserve"> in </w:t>
      </w:r>
      <w:r w:rsidR="0052179B" w:rsidRPr="00A00134">
        <w:rPr>
          <w:rFonts w:ascii="Arial" w:hAnsi="Arial" w:cs="Arial"/>
          <w:i/>
          <w:iCs/>
          <w:sz w:val="24"/>
          <w:szCs w:val="24"/>
        </w:rPr>
        <w:t>JA v DA</w:t>
      </w:r>
      <w:r w:rsidR="0052179B" w:rsidRPr="00A00134">
        <w:rPr>
          <w:rFonts w:ascii="Arial" w:hAnsi="Arial" w:cs="Arial"/>
          <w:sz w:val="24"/>
          <w:szCs w:val="24"/>
        </w:rPr>
        <w:t xml:space="preserve">. </w:t>
      </w:r>
    </w:p>
    <w:p w14:paraId="358F9ED2" w14:textId="77777777" w:rsidR="00A00134" w:rsidRDefault="00A00134" w:rsidP="00A00134">
      <w:pPr>
        <w:pStyle w:val="ListParagraph"/>
        <w:spacing w:line="360" w:lineRule="auto"/>
        <w:ind w:left="0"/>
        <w:jc w:val="both"/>
        <w:rPr>
          <w:rFonts w:ascii="Arial" w:hAnsi="Arial" w:cs="Arial"/>
          <w:sz w:val="24"/>
          <w:szCs w:val="24"/>
        </w:rPr>
      </w:pPr>
    </w:p>
    <w:p w14:paraId="76169617" w14:textId="69AA170E" w:rsidR="00676C05" w:rsidRPr="00A00134" w:rsidRDefault="0052179B" w:rsidP="00676C05">
      <w:pPr>
        <w:pStyle w:val="ListParagraph"/>
        <w:numPr>
          <w:ilvl w:val="0"/>
          <w:numId w:val="2"/>
        </w:numPr>
        <w:spacing w:line="360" w:lineRule="auto"/>
        <w:ind w:left="0" w:firstLine="0"/>
        <w:jc w:val="both"/>
        <w:rPr>
          <w:rFonts w:ascii="Arial" w:hAnsi="Arial" w:cs="Arial"/>
          <w:sz w:val="24"/>
          <w:szCs w:val="24"/>
        </w:rPr>
      </w:pPr>
      <w:r w:rsidRPr="00A00134">
        <w:rPr>
          <w:rFonts w:ascii="Arial" w:hAnsi="Arial" w:cs="Arial"/>
          <w:sz w:val="24"/>
          <w:szCs w:val="24"/>
        </w:rPr>
        <w:t xml:space="preserve">Trial proceedings, especially matrimonial matters, should not be akin to tooth extraction. </w:t>
      </w:r>
      <w:r w:rsidR="005D5028" w:rsidRPr="00A00134">
        <w:rPr>
          <w:rFonts w:ascii="Arial" w:hAnsi="Arial" w:cs="Arial"/>
          <w:sz w:val="24"/>
          <w:szCs w:val="24"/>
        </w:rPr>
        <w:t>If</w:t>
      </w:r>
      <w:r w:rsidRPr="00A00134">
        <w:rPr>
          <w:rFonts w:ascii="Arial" w:hAnsi="Arial" w:cs="Arial"/>
          <w:sz w:val="24"/>
          <w:szCs w:val="24"/>
        </w:rPr>
        <w:t xml:space="preserve"> the rules </w:t>
      </w:r>
      <w:r w:rsidR="005D5028" w:rsidRPr="00A00134">
        <w:rPr>
          <w:rFonts w:ascii="Arial" w:hAnsi="Arial" w:cs="Arial"/>
          <w:sz w:val="24"/>
          <w:szCs w:val="24"/>
        </w:rPr>
        <w:t xml:space="preserve">permit the fair and necessary disclosure of particulars to streamline and expedite the dissolution of a marriage, inevitably a distressing experience for the spouses and families involved, then effect ought to be given thereto. </w:t>
      </w:r>
    </w:p>
    <w:p w14:paraId="3BF1028E" w14:textId="77777777" w:rsidR="00756F9B" w:rsidRDefault="00756F9B" w:rsidP="00355A10">
      <w:pPr>
        <w:spacing w:line="360" w:lineRule="auto"/>
        <w:rPr>
          <w:rFonts w:ascii="Arial" w:hAnsi="Arial" w:cs="Arial"/>
          <w:sz w:val="24"/>
          <w:szCs w:val="24"/>
        </w:rPr>
      </w:pPr>
    </w:p>
    <w:p w14:paraId="09C9AD9C" w14:textId="77777777" w:rsidR="00756F9B" w:rsidRPr="00756F9B" w:rsidRDefault="00756F9B" w:rsidP="00355A10">
      <w:pPr>
        <w:spacing w:line="360" w:lineRule="auto"/>
        <w:rPr>
          <w:rFonts w:ascii="Arial" w:hAnsi="Arial" w:cs="Arial"/>
          <w:b/>
          <w:bCs/>
          <w:sz w:val="24"/>
          <w:szCs w:val="24"/>
        </w:rPr>
      </w:pPr>
      <w:r w:rsidRPr="00756F9B">
        <w:rPr>
          <w:rFonts w:ascii="Arial" w:hAnsi="Arial" w:cs="Arial"/>
          <w:b/>
          <w:bCs/>
          <w:sz w:val="24"/>
          <w:szCs w:val="24"/>
        </w:rPr>
        <w:t>Relief and order</w:t>
      </w:r>
    </w:p>
    <w:p w14:paraId="7823A8E4" w14:textId="77777777" w:rsidR="00756F9B" w:rsidRDefault="00756F9B" w:rsidP="00355A10">
      <w:pPr>
        <w:spacing w:line="360" w:lineRule="auto"/>
        <w:rPr>
          <w:rFonts w:ascii="Arial" w:hAnsi="Arial" w:cs="Arial"/>
          <w:sz w:val="24"/>
          <w:szCs w:val="24"/>
        </w:rPr>
      </w:pPr>
    </w:p>
    <w:p w14:paraId="6142028F" w14:textId="3C6918A4" w:rsidR="00A00134" w:rsidRDefault="00756F9B" w:rsidP="00355A10">
      <w:pPr>
        <w:pStyle w:val="ListParagraph"/>
        <w:numPr>
          <w:ilvl w:val="0"/>
          <w:numId w:val="2"/>
        </w:numPr>
        <w:spacing w:line="360" w:lineRule="auto"/>
        <w:ind w:left="0" w:firstLine="0"/>
        <w:jc w:val="both"/>
        <w:rPr>
          <w:rFonts w:ascii="Arial" w:hAnsi="Arial" w:cs="Arial"/>
          <w:sz w:val="24"/>
          <w:szCs w:val="24"/>
        </w:rPr>
      </w:pPr>
      <w:r w:rsidRPr="00A00134">
        <w:rPr>
          <w:rFonts w:ascii="Arial" w:hAnsi="Arial" w:cs="Arial"/>
          <w:sz w:val="24"/>
          <w:szCs w:val="24"/>
        </w:rPr>
        <w:t>Insofar as the respondent conten</w:t>
      </w:r>
      <w:r w:rsidR="00A422D3" w:rsidRPr="00A00134">
        <w:rPr>
          <w:rFonts w:ascii="Arial" w:hAnsi="Arial" w:cs="Arial"/>
          <w:sz w:val="24"/>
          <w:szCs w:val="24"/>
        </w:rPr>
        <w:t>ds</w:t>
      </w:r>
      <w:r w:rsidRPr="00A00134">
        <w:rPr>
          <w:rFonts w:ascii="Arial" w:hAnsi="Arial" w:cs="Arial"/>
          <w:sz w:val="24"/>
          <w:szCs w:val="24"/>
        </w:rPr>
        <w:t xml:space="preserve"> that </w:t>
      </w:r>
      <w:r w:rsidR="00A422D3" w:rsidRPr="00A00134">
        <w:rPr>
          <w:rFonts w:ascii="Arial" w:hAnsi="Arial" w:cs="Arial"/>
          <w:sz w:val="24"/>
          <w:szCs w:val="24"/>
        </w:rPr>
        <w:t>the particulars sought by the applicant are irrelevant until a</w:t>
      </w:r>
      <w:r w:rsidR="00CB3F01" w:rsidRPr="00A00134">
        <w:rPr>
          <w:rFonts w:ascii="Arial" w:hAnsi="Arial" w:cs="Arial"/>
          <w:sz w:val="24"/>
          <w:szCs w:val="24"/>
        </w:rPr>
        <w:t xml:space="preserve"> decree of</w:t>
      </w:r>
      <w:r w:rsidR="00A422D3" w:rsidRPr="00A00134">
        <w:rPr>
          <w:rFonts w:ascii="Arial" w:hAnsi="Arial" w:cs="Arial"/>
          <w:sz w:val="24"/>
          <w:szCs w:val="24"/>
        </w:rPr>
        <w:t xml:space="preserve"> divorce has been granted</w:t>
      </w:r>
      <w:r w:rsidR="00CB3F01" w:rsidRPr="00A00134">
        <w:rPr>
          <w:rFonts w:ascii="Arial" w:hAnsi="Arial" w:cs="Arial"/>
          <w:sz w:val="24"/>
          <w:szCs w:val="24"/>
        </w:rPr>
        <w:t>, the case law seems to indicate otherwise. The vesting of the applicant’s accrual claim and the determination of accrual regarding the first respondent’s estate can only occur upon the dissolution of the marriage</w:t>
      </w:r>
      <w:r w:rsidR="00C470DC" w:rsidRPr="00A00134">
        <w:rPr>
          <w:rFonts w:ascii="Arial" w:hAnsi="Arial" w:cs="Arial"/>
          <w:sz w:val="24"/>
          <w:szCs w:val="24"/>
        </w:rPr>
        <w:t>. Nevertheless,</w:t>
      </w:r>
      <w:r w:rsidR="00CB3F01" w:rsidRPr="00A00134">
        <w:rPr>
          <w:rFonts w:ascii="Arial" w:hAnsi="Arial" w:cs="Arial"/>
          <w:sz w:val="24"/>
          <w:szCs w:val="24"/>
        </w:rPr>
        <w:t xml:space="preserve"> the applicant is not prevented from seeking a decree of divorce, </w:t>
      </w:r>
      <w:proofErr w:type="spellStart"/>
      <w:r w:rsidR="00CB3F01" w:rsidRPr="00A00134">
        <w:rPr>
          <w:rFonts w:ascii="Arial" w:hAnsi="Arial" w:cs="Arial"/>
          <w:sz w:val="24"/>
          <w:szCs w:val="24"/>
        </w:rPr>
        <w:t>declarators</w:t>
      </w:r>
      <w:proofErr w:type="spellEnd"/>
      <w:r w:rsidR="00CB3F01" w:rsidRPr="00A00134">
        <w:rPr>
          <w:rFonts w:ascii="Arial" w:hAnsi="Arial" w:cs="Arial"/>
          <w:sz w:val="24"/>
          <w:szCs w:val="24"/>
        </w:rPr>
        <w:t xml:space="preserve"> in relation to the </w:t>
      </w:r>
      <w:r w:rsidR="00C470DC" w:rsidRPr="00A00134">
        <w:rPr>
          <w:rFonts w:ascii="Arial" w:hAnsi="Arial" w:cs="Arial"/>
          <w:sz w:val="24"/>
          <w:szCs w:val="24"/>
        </w:rPr>
        <w:t xml:space="preserve">trust </w:t>
      </w:r>
      <w:r w:rsidR="00CB3F01" w:rsidRPr="00A00134">
        <w:rPr>
          <w:rFonts w:ascii="Arial" w:hAnsi="Arial" w:cs="Arial"/>
          <w:sz w:val="24"/>
          <w:szCs w:val="24"/>
        </w:rPr>
        <w:t xml:space="preserve">assets, and orders pertaining to the calculation and payment of accrual, </w:t>
      </w:r>
      <w:r w:rsidR="00C470DC" w:rsidRPr="00A00134">
        <w:rPr>
          <w:rFonts w:ascii="Arial" w:hAnsi="Arial" w:cs="Arial"/>
          <w:sz w:val="24"/>
          <w:szCs w:val="24"/>
        </w:rPr>
        <w:t>in terms of the same action.</w:t>
      </w:r>
      <w:r w:rsidR="00CB3F01" w:rsidRPr="00A00134">
        <w:rPr>
          <w:rFonts w:ascii="Arial" w:hAnsi="Arial" w:cs="Arial"/>
          <w:sz w:val="24"/>
          <w:szCs w:val="24"/>
        </w:rPr>
        <w:t xml:space="preserve"> </w:t>
      </w:r>
      <w:r w:rsidR="00C470DC" w:rsidRPr="00A00134">
        <w:rPr>
          <w:rFonts w:ascii="Arial" w:hAnsi="Arial" w:cs="Arial"/>
          <w:sz w:val="24"/>
          <w:szCs w:val="24"/>
        </w:rPr>
        <w:t>The further particulars sought by the applicant are relevant to the above issues and are necessary for proper trial preparation.</w:t>
      </w:r>
    </w:p>
    <w:p w14:paraId="26E32C9D" w14:textId="77777777" w:rsidR="00A00134" w:rsidRDefault="00A00134" w:rsidP="00A00134">
      <w:pPr>
        <w:pStyle w:val="ListParagraph"/>
        <w:spacing w:line="360" w:lineRule="auto"/>
        <w:ind w:left="0"/>
        <w:jc w:val="both"/>
        <w:rPr>
          <w:rFonts w:ascii="Arial" w:hAnsi="Arial" w:cs="Arial"/>
          <w:sz w:val="24"/>
          <w:szCs w:val="24"/>
        </w:rPr>
      </w:pPr>
    </w:p>
    <w:p w14:paraId="3DFFD29F" w14:textId="77777777" w:rsidR="00A00134" w:rsidRDefault="00C470DC" w:rsidP="00355A10">
      <w:pPr>
        <w:pStyle w:val="ListParagraph"/>
        <w:numPr>
          <w:ilvl w:val="0"/>
          <w:numId w:val="2"/>
        </w:numPr>
        <w:spacing w:line="360" w:lineRule="auto"/>
        <w:ind w:left="0" w:firstLine="0"/>
        <w:jc w:val="both"/>
        <w:rPr>
          <w:rFonts w:ascii="Arial" w:hAnsi="Arial" w:cs="Arial"/>
          <w:sz w:val="24"/>
          <w:szCs w:val="24"/>
        </w:rPr>
      </w:pPr>
      <w:r w:rsidRPr="00A00134">
        <w:rPr>
          <w:rFonts w:ascii="Arial" w:hAnsi="Arial" w:cs="Arial"/>
          <w:sz w:val="24"/>
          <w:szCs w:val="24"/>
        </w:rPr>
        <w:t>It is not the intention of this court to decide precisely what the respondent is still required to provide. The applicant has merely sought further and better particulars. Where necessary, she can return to court on the same papers, amplified where required, to seek further relief.</w:t>
      </w:r>
    </w:p>
    <w:p w14:paraId="1A400265" w14:textId="77777777" w:rsidR="00A00134" w:rsidRPr="00A00134" w:rsidRDefault="00A00134" w:rsidP="00A00134">
      <w:pPr>
        <w:pStyle w:val="ListParagraph"/>
        <w:rPr>
          <w:rFonts w:ascii="Arial" w:hAnsi="Arial" w:cs="Arial"/>
          <w:sz w:val="24"/>
          <w:szCs w:val="24"/>
        </w:rPr>
      </w:pPr>
    </w:p>
    <w:p w14:paraId="4B1BF8A5" w14:textId="77777777" w:rsidR="00A00134" w:rsidRDefault="00C470DC" w:rsidP="00355A10">
      <w:pPr>
        <w:pStyle w:val="ListParagraph"/>
        <w:numPr>
          <w:ilvl w:val="0"/>
          <w:numId w:val="2"/>
        </w:numPr>
        <w:spacing w:line="360" w:lineRule="auto"/>
        <w:ind w:left="0" w:firstLine="0"/>
        <w:jc w:val="both"/>
        <w:rPr>
          <w:rFonts w:ascii="Arial" w:hAnsi="Arial" w:cs="Arial"/>
          <w:sz w:val="24"/>
          <w:szCs w:val="24"/>
        </w:rPr>
      </w:pPr>
      <w:r w:rsidRPr="00A00134">
        <w:rPr>
          <w:rFonts w:ascii="Arial" w:hAnsi="Arial" w:cs="Arial"/>
          <w:sz w:val="24"/>
          <w:szCs w:val="24"/>
        </w:rPr>
        <w:t xml:space="preserve">The only question remaining is that of costs. </w:t>
      </w:r>
      <w:r w:rsidR="00EA32AB" w:rsidRPr="00A00134">
        <w:rPr>
          <w:rFonts w:ascii="Arial" w:hAnsi="Arial" w:cs="Arial"/>
          <w:sz w:val="24"/>
          <w:szCs w:val="24"/>
        </w:rPr>
        <w:t xml:space="preserve">The court enjoys a wide discretion in that regard and sees no reason why the successful party is not entitled to her costs. </w:t>
      </w:r>
      <w:r w:rsidRPr="00A00134">
        <w:rPr>
          <w:rFonts w:ascii="Arial" w:hAnsi="Arial" w:cs="Arial"/>
          <w:sz w:val="24"/>
          <w:szCs w:val="24"/>
        </w:rPr>
        <w:t>The applicant argued for the costs of two counsel</w:t>
      </w:r>
      <w:r w:rsidR="00EA32AB" w:rsidRPr="00A00134">
        <w:rPr>
          <w:rFonts w:ascii="Arial" w:hAnsi="Arial" w:cs="Arial"/>
          <w:sz w:val="24"/>
          <w:szCs w:val="24"/>
        </w:rPr>
        <w:t xml:space="preserve">, but not with much conviction. The determination of the issues raised by the pleadings may, in due course, warrant the involvement of two counsel but not for purposes of the present proceedings. </w:t>
      </w:r>
    </w:p>
    <w:p w14:paraId="0B1EB97F" w14:textId="77777777" w:rsidR="00A00134" w:rsidRPr="00A00134" w:rsidRDefault="00A00134" w:rsidP="00A00134">
      <w:pPr>
        <w:pStyle w:val="ListParagraph"/>
        <w:rPr>
          <w:rFonts w:ascii="Arial" w:hAnsi="Arial" w:cs="Arial"/>
          <w:sz w:val="24"/>
          <w:szCs w:val="24"/>
        </w:rPr>
      </w:pPr>
    </w:p>
    <w:p w14:paraId="0C6049AD" w14:textId="04F521BD" w:rsidR="00EA32AB" w:rsidRPr="00A00134" w:rsidRDefault="00EA32AB" w:rsidP="00355A10">
      <w:pPr>
        <w:pStyle w:val="ListParagraph"/>
        <w:numPr>
          <w:ilvl w:val="0"/>
          <w:numId w:val="2"/>
        </w:numPr>
        <w:spacing w:line="360" w:lineRule="auto"/>
        <w:ind w:left="0" w:firstLine="0"/>
        <w:jc w:val="both"/>
        <w:rPr>
          <w:rFonts w:ascii="Arial" w:hAnsi="Arial" w:cs="Arial"/>
          <w:sz w:val="24"/>
          <w:szCs w:val="24"/>
        </w:rPr>
      </w:pPr>
      <w:r w:rsidRPr="00A00134">
        <w:rPr>
          <w:rFonts w:ascii="Arial" w:hAnsi="Arial" w:cs="Arial"/>
          <w:sz w:val="24"/>
          <w:szCs w:val="24"/>
        </w:rPr>
        <w:t>In the circumstances, the following order is made:</w:t>
      </w:r>
    </w:p>
    <w:p w14:paraId="6CD833F2" w14:textId="77777777" w:rsidR="000E1A69" w:rsidRDefault="000E1A69" w:rsidP="000E1A69">
      <w:pPr>
        <w:pStyle w:val="ListParagraph"/>
        <w:spacing w:line="360" w:lineRule="auto"/>
        <w:ind w:left="1080"/>
        <w:rPr>
          <w:rFonts w:ascii="Arial" w:hAnsi="Arial" w:cs="Arial"/>
          <w:sz w:val="24"/>
          <w:szCs w:val="24"/>
        </w:rPr>
      </w:pPr>
    </w:p>
    <w:p w14:paraId="67E5DB93" w14:textId="7EE6870F" w:rsidR="00EA32AB" w:rsidRDefault="000E1A69" w:rsidP="00A00134">
      <w:pPr>
        <w:pStyle w:val="ListParagraph"/>
        <w:numPr>
          <w:ilvl w:val="0"/>
          <w:numId w:val="1"/>
        </w:numPr>
        <w:spacing w:line="360" w:lineRule="auto"/>
        <w:ind w:left="1418" w:hanging="698"/>
        <w:jc w:val="both"/>
        <w:rPr>
          <w:rFonts w:ascii="Arial" w:hAnsi="Arial" w:cs="Arial"/>
          <w:sz w:val="24"/>
          <w:szCs w:val="24"/>
        </w:rPr>
      </w:pPr>
      <w:r>
        <w:rPr>
          <w:rFonts w:ascii="Arial" w:hAnsi="Arial" w:cs="Arial"/>
          <w:sz w:val="24"/>
          <w:szCs w:val="24"/>
        </w:rPr>
        <w:t>t</w:t>
      </w:r>
      <w:r w:rsidR="00EA32AB">
        <w:rPr>
          <w:rFonts w:ascii="Arial" w:hAnsi="Arial" w:cs="Arial"/>
          <w:sz w:val="24"/>
          <w:szCs w:val="24"/>
        </w:rPr>
        <w:t>he first to fourth respondents are directed to provide further and better particulars in relation to paragraphs 2.2, 2.3, 2.5, 2.7, 6 (including paragraphs 6.1 to 6.10)</w:t>
      </w:r>
      <w:r>
        <w:rPr>
          <w:rFonts w:ascii="Arial" w:hAnsi="Arial" w:cs="Arial"/>
          <w:sz w:val="24"/>
          <w:szCs w:val="24"/>
        </w:rPr>
        <w:t>, 7.1, 8, 9, 12 to 14.12, and 15 to 19.9, of the applicant’s Request for Trial Particulars, dated 10 June 2022; and</w:t>
      </w:r>
    </w:p>
    <w:p w14:paraId="6B062032" w14:textId="77777777" w:rsidR="000E1A69" w:rsidRDefault="000E1A69" w:rsidP="00A00134">
      <w:pPr>
        <w:pStyle w:val="ListParagraph"/>
        <w:spacing w:line="360" w:lineRule="auto"/>
        <w:ind w:left="1080"/>
        <w:jc w:val="both"/>
        <w:rPr>
          <w:rFonts w:ascii="Arial" w:hAnsi="Arial" w:cs="Arial"/>
          <w:sz w:val="24"/>
          <w:szCs w:val="24"/>
        </w:rPr>
      </w:pPr>
    </w:p>
    <w:p w14:paraId="2AC226BE" w14:textId="6939F345" w:rsidR="000E1A69" w:rsidRDefault="000E1A69" w:rsidP="00A00134">
      <w:pPr>
        <w:pStyle w:val="ListParagraph"/>
        <w:numPr>
          <w:ilvl w:val="0"/>
          <w:numId w:val="1"/>
        </w:numPr>
        <w:spacing w:line="360" w:lineRule="auto"/>
        <w:ind w:left="1418" w:hanging="698"/>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first to fourth respondents are directed to pay the costs of the application jointly and severally, in the event of one paying the others being absolved.</w:t>
      </w:r>
    </w:p>
    <w:p w14:paraId="579D1479" w14:textId="6F3694E6" w:rsidR="000E1A69" w:rsidRDefault="000E1A69" w:rsidP="000E1A69">
      <w:pPr>
        <w:spacing w:line="360" w:lineRule="auto"/>
        <w:rPr>
          <w:rFonts w:ascii="Arial" w:hAnsi="Arial" w:cs="Arial"/>
          <w:sz w:val="24"/>
          <w:szCs w:val="24"/>
        </w:rPr>
      </w:pPr>
    </w:p>
    <w:p w14:paraId="10E5DBF7" w14:textId="3DC6E46F" w:rsidR="000E1A69" w:rsidRDefault="000E1A69" w:rsidP="00A00134">
      <w:pPr>
        <w:spacing w:line="240" w:lineRule="auto"/>
        <w:rPr>
          <w:rFonts w:ascii="Arial" w:hAnsi="Arial" w:cs="Arial"/>
          <w:sz w:val="24"/>
          <w:szCs w:val="24"/>
        </w:rPr>
      </w:pPr>
      <w:r>
        <w:rPr>
          <w:rFonts w:ascii="Arial" w:hAnsi="Arial" w:cs="Arial"/>
          <w:sz w:val="24"/>
          <w:szCs w:val="24"/>
        </w:rPr>
        <w:lastRenderedPageBreak/>
        <w:t>_________________________</w:t>
      </w:r>
    </w:p>
    <w:p w14:paraId="12364035" w14:textId="2B8A096B" w:rsidR="000E1A69" w:rsidRPr="000E1A69" w:rsidRDefault="000E1A69" w:rsidP="00A00134">
      <w:pPr>
        <w:spacing w:line="240" w:lineRule="auto"/>
        <w:rPr>
          <w:rFonts w:ascii="Arial" w:hAnsi="Arial" w:cs="Arial"/>
          <w:b/>
          <w:bCs/>
          <w:sz w:val="24"/>
          <w:szCs w:val="24"/>
        </w:rPr>
      </w:pPr>
      <w:r w:rsidRPr="000E1A69">
        <w:rPr>
          <w:rFonts w:ascii="Arial" w:hAnsi="Arial" w:cs="Arial"/>
          <w:b/>
          <w:bCs/>
          <w:sz w:val="24"/>
          <w:szCs w:val="24"/>
        </w:rPr>
        <w:t>JGA LAING</w:t>
      </w:r>
    </w:p>
    <w:p w14:paraId="699808FD" w14:textId="3C05A050" w:rsidR="001539D2" w:rsidRDefault="000E1A69" w:rsidP="00A00134">
      <w:pPr>
        <w:spacing w:line="240" w:lineRule="auto"/>
        <w:rPr>
          <w:rFonts w:ascii="Arial" w:hAnsi="Arial" w:cs="Arial"/>
          <w:b/>
          <w:bCs/>
          <w:sz w:val="24"/>
          <w:szCs w:val="24"/>
        </w:rPr>
      </w:pPr>
      <w:r w:rsidRPr="000E1A69">
        <w:rPr>
          <w:rFonts w:ascii="Arial" w:hAnsi="Arial" w:cs="Arial"/>
          <w:b/>
          <w:bCs/>
          <w:sz w:val="24"/>
          <w:szCs w:val="24"/>
        </w:rPr>
        <w:t>JUDGE OF THE HIGH COURT</w:t>
      </w:r>
    </w:p>
    <w:p w14:paraId="3EE3DF26" w14:textId="5CFA5D76" w:rsidR="00E13F9E" w:rsidRDefault="00E13F9E" w:rsidP="00A00134">
      <w:pPr>
        <w:spacing w:line="240" w:lineRule="auto"/>
        <w:rPr>
          <w:rFonts w:ascii="Arial" w:hAnsi="Arial" w:cs="Arial"/>
          <w:b/>
          <w:bCs/>
          <w:sz w:val="24"/>
          <w:szCs w:val="24"/>
        </w:rPr>
      </w:pPr>
      <w:r>
        <w:rPr>
          <w:rFonts w:ascii="Arial" w:hAnsi="Arial" w:cs="Arial"/>
          <w:b/>
          <w:bCs/>
          <w:sz w:val="24"/>
          <w:szCs w:val="24"/>
        </w:rPr>
        <w:t xml:space="preserve">APPEARANCE </w:t>
      </w:r>
    </w:p>
    <w:p w14:paraId="0BE067F7" w14:textId="55417BAC" w:rsidR="00E13F9E" w:rsidRPr="00E13F9E" w:rsidRDefault="00E13F9E" w:rsidP="00E13F9E">
      <w:pPr>
        <w:spacing w:line="240" w:lineRule="auto"/>
        <w:ind w:left="3600" w:hanging="3600"/>
        <w:rPr>
          <w:rFonts w:ascii="Arial" w:hAnsi="Arial" w:cs="Arial"/>
          <w:bCs/>
          <w:sz w:val="24"/>
          <w:szCs w:val="24"/>
        </w:rPr>
      </w:pPr>
      <w:r w:rsidRPr="00E13F9E">
        <w:rPr>
          <w:rFonts w:ascii="Arial" w:hAnsi="Arial" w:cs="Arial"/>
          <w:bCs/>
          <w:sz w:val="24"/>
          <w:szCs w:val="24"/>
        </w:rPr>
        <w:t>For the plaintiff:</w:t>
      </w:r>
      <w:r w:rsidRPr="00E13F9E">
        <w:rPr>
          <w:rFonts w:ascii="Arial" w:hAnsi="Arial" w:cs="Arial"/>
          <w:bCs/>
          <w:sz w:val="24"/>
          <w:szCs w:val="24"/>
        </w:rPr>
        <w:tab/>
      </w:r>
      <w:proofErr w:type="spellStart"/>
      <w:r w:rsidRPr="00E13F9E">
        <w:rPr>
          <w:rFonts w:ascii="Arial" w:hAnsi="Arial" w:cs="Arial"/>
          <w:bCs/>
          <w:sz w:val="24"/>
          <w:szCs w:val="24"/>
        </w:rPr>
        <w:t>Adv</w:t>
      </w:r>
      <w:proofErr w:type="spellEnd"/>
      <w:r w:rsidRPr="00E13F9E">
        <w:rPr>
          <w:rFonts w:ascii="Arial" w:hAnsi="Arial" w:cs="Arial"/>
          <w:bCs/>
          <w:sz w:val="24"/>
          <w:szCs w:val="24"/>
        </w:rPr>
        <w:t xml:space="preserve"> </w:t>
      </w:r>
      <w:proofErr w:type="spellStart"/>
      <w:r w:rsidRPr="00E13F9E">
        <w:rPr>
          <w:rFonts w:ascii="Arial" w:hAnsi="Arial" w:cs="Arial"/>
          <w:bCs/>
          <w:sz w:val="24"/>
          <w:szCs w:val="24"/>
        </w:rPr>
        <w:t>Nepgen</w:t>
      </w:r>
      <w:proofErr w:type="spellEnd"/>
      <w:r w:rsidRPr="00E13F9E">
        <w:rPr>
          <w:rFonts w:ascii="Arial" w:hAnsi="Arial" w:cs="Arial"/>
          <w:bCs/>
          <w:sz w:val="24"/>
          <w:szCs w:val="24"/>
        </w:rPr>
        <w:t xml:space="preserve"> with </w:t>
      </w:r>
      <w:proofErr w:type="spellStart"/>
      <w:r w:rsidRPr="00E13F9E">
        <w:rPr>
          <w:rFonts w:ascii="Arial" w:hAnsi="Arial" w:cs="Arial"/>
          <w:bCs/>
          <w:sz w:val="24"/>
          <w:szCs w:val="24"/>
        </w:rPr>
        <w:t>Adv</w:t>
      </w:r>
      <w:proofErr w:type="spellEnd"/>
      <w:r w:rsidRPr="00E13F9E">
        <w:rPr>
          <w:rFonts w:ascii="Arial" w:hAnsi="Arial" w:cs="Arial"/>
          <w:bCs/>
          <w:sz w:val="24"/>
          <w:szCs w:val="24"/>
        </w:rPr>
        <w:t xml:space="preserve"> Williams, instructed by Neville </w:t>
      </w:r>
      <w:proofErr w:type="spellStart"/>
      <w:r w:rsidRPr="00E13F9E">
        <w:rPr>
          <w:rFonts w:ascii="Arial" w:hAnsi="Arial" w:cs="Arial"/>
          <w:bCs/>
          <w:sz w:val="24"/>
          <w:szCs w:val="24"/>
        </w:rPr>
        <w:t>Borman</w:t>
      </w:r>
      <w:proofErr w:type="spellEnd"/>
      <w:r w:rsidRPr="00E13F9E">
        <w:rPr>
          <w:rFonts w:ascii="Arial" w:hAnsi="Arial" w:cs="Arial"/>
          <w:bCs/>
          <w:sz w:val="24"/>
          <w:szCs w:val="24"/>
        </w:rPr>
        <w:t xml:space="preserve"> &amp; Botha Attorneys, </w:t>
      </w:r>
      <w:proofErr w:type="spellStart"/>
      <w:r w:rsidRPr="00E13F9E">
        <w:rPr>
          <w:rFonts w:ascii="Arial" w:hAnsi="Arial" w:cs="Arial"/>
          <w:bCs/>
          <w:sz w:val="24"/>
          <w:szCs w:val="24"/>
        </w:rPr>
        <w:t>Makhanda</w:t>
      </w:r>
      <w:proofErr w:type="spellEnd"/>
      <w:r w:rsidRPr="00E13F9E">
        <w:rPr>
          <w:rFonts w:ascii="Arial" w:hAnsi="Arial" w:cs="Arial"/>
          <w:bCs/>
          <w:sz w:val="24"/>
          <w:szCs w:val="24"/>
        </w:rPr>
        <w:t xml:space="preserve">. </w:t>
      </w:r>
    </w:p>
    <w:p w14:paraId="240F1F0E" w14:textId="5FB1C893" w:rsidR="00E13F9E" w:rsidRPr="00E13F9E" w:rsidRDefault="00E13F9E" w:rsidP="00A00134">
      <w:pPr>
        <w:spacing w:line="240" w:lineRule="auto"/>
        <w:rPr>
          <w:rFonts w:ascii="Arial" w:hAnsi="Arial" w:cs="Arial"/>
          <w:bCs/>
          <w:sz w:val="24"/>
          <w:szCs w:val="24"/>
        </w:rPr>
      </w:pPr>
    </w:p>
    <w:p w14:paraId="4268AB42" w14:textId="1ED84874" w:rsidR="00E13F9E" w:rsidRDefault="00E13F9E" w:rsidP="00E13F9E">
      <w:pPr>
        <w:spacing w:line="240" w:lineRule="auto"/>
        <w:ind w:left="3600" w:hanging="3600"/>
        <w:rPr>
          <w:rFonts w:ascii="Arial" w:hAnsi="Arial" w:cs="Arial"/>
          <w:bCs/>
          <w:sz w:val="24"/>
          <w:szCs w:val="24"/>
        </w:rPr>
      </w:pPr>
      <w:r w:rsidRPr="00E13F9E">
        <w:rPr>
          <w:rFonts w:ascii="Arial" w:hAnsi="Arial" w:cs="Arial"/>
          <w:bCs/>
          <w:sz w:val="24"/>
          <w:szCs w:val="24"/>
        </w:rPr>
        <w:t>For the 1</w:t>
      </w:r>
      <w:r w:rsidRPr="00E13F9E">
        <w:rPr>
          <w:rFonts w:ascii="Arial" w:hAnsi="Arial" w:cs="Arial"/>
          <w:bCs/>
          <w:sz w:val="24"/>
          <w:szCs w:val="24"/>
          <w:vertAlign w:val="superscript"/>
        </w:rPr>
        <w:t>st</w:t>
      </w:r>
      <w:r w:rsidRPr="00E13F9E">
        <w:rPr>
          <w:rFonts w:ascii="Arial" w:hAnsi="Arial" w:cs="Arial"/>
          <w:bCs/>
          <w:sz w:val="24"/>
          <w:szCs w:val="24"/>
        </w:rPr>
        <w:t xml:space="preserve"> to 4</w:t>
      </w:r>
      <w:r w:rsidRPr="00E13F9E">
        <w:rPr>
          <w:rFonts w:ascii="Arial" w:hAnsi="Arial" w:cs="Arial"/>
          <w:bCs/>
          <w:sz w:val="24"/>
          <w:szCs w:val="24"/>
          <w:vertAlign w:val="superscript"/>
        </w:rPr>
        <w:t>th</w:t>
      </w:r>
      <w:r w:rsidRPr="00E13F9E">
        <w:rPr>
          <w:rFonts w:ascii="Arial" w:hAnsi="Arial" w:cs="Arial"/>
          <w:bCs/>
          <w:sz w:val="24"/>
          <w:szCs w:val="24"/>
        </w:rPr>
        <w:t xml:space="preserve"> defendants:</w:t>
      </w:r>
      <w:r w:rsidRPr="00E13F9E">
        <w:rPr>
          <w:rFonts w:ascii="Arial" w:hAnsi="Arial" w:cs="Arial"/>
          <w:bCs/>
          <w:sz w:val="24"/>
          <w:szCs w:val="24"/>
        </w:rPr>
        <w:tab/>
      </w:r>
      <w:proofErr w:type="spellStart"/>
      <w:r w:rsidRPr="00E13F9E">
        <w:rPr>
          <w:rFonts w:ascii="Arial" w:hAnsi="Arial" w:cs="Arial"/>
          <w:bCs/>
          <w:sz w:val="24"/>
          <w:szCs w:val="24"/>
        </w:rPr>
        <w:t>Adv</w:t>
      </w:r>
      <w:proofErr w:type="spellEnd"/>
      <w:r w:rsidRPr="00E13F9E">
        <w:rPr>
          <w:rFonts w:ascii="Arial" w:hAnsi="Arial" w:cs="Arial"/>
          <w:bCs/>
          <w:sz w:val="24"/>
          <w:szCs w:val="24"/>
        </w:rPr>
        <w:t xml:space="preserve"> </w:t>
      </w:r>
      <w:proofErr w:type="spellStart"/>
      <w:r w:rsidRPr="00E13F9E">
        <w:rPr>
          <w:rFonts w:ascii="Arial" w:hAnsi="Arial" w:cs="Arial"/>
          <w:bCs/>
          <w:sz w:val="24"/>
          <w:szCs w:val="24"/>
        </w:rPr>
        <w:t>Reinders</w:t>
      </w:r>
      <w:proofErr w:type="spellEnd"/>
      <w:r w:rsidRPr="00E13F9E">
        <w:rPr>
          <w:rFonts w:ascii="Arial" w:hAnsi="Arial" w:cs="Arial"/>
          <w:bCs/>
          <w:sz w:val="24"/>
          <w:szCs w:val="24"/>
        </w:rPr>
        <w:t xml:space="preserve">, instructed by </w:t>
      </w:r>
      <w:proofErr w:type="spellStart"/>
      <w:r w:rsidRPr="00E13F9E">
        <w:rPr>
          <w:rFonts w:ascii="Arial" w:hAnsi="Arial" w:cs="Arial"/>
          <w:bCs/>
          <w:sz w:val="24"/>
          <w:szCs w:val="24"/>
        </w:rPr>
        <w:t>Netteltons</w:t>
      </w:r>
      <w:proofErr w:type="spellEnd"/>
      <w:r w:rsidRPr="00E13F9E">
        <w:rPr>
          <w:rFonts w:ascii="Arial" w:hAnsi="Arial" w:cs="Arial"/>
          <w:bCs/>
          <w:sz w:val="24"/>
          <w:szCs w:val="24"/>
        </w:rPr>
        <w:t xml:space="preserve"> Attorneys, </w:t>
      </w:r>
      <w:proofErr w:type="spellStart"/>
      <w:r w:rsidRPr="00E13F9E">
        <w:rPr>
          <w:rFonts w:ascii="Arial" w:hAnsi="Arial" w:cs="Arial"/>
          <w:bCs/>
          <w:sz w:val="24"/>
          <w:szCs w:val="24"/>
        </w:rPr>
        <w:t>M</w:t>
      </w:r>
      <w:r>
        <w:rPr>
          <w:rFonts w:ascii="Arial" w:hAnsi="Arial" w:cs="Arial"/>
          <w:bCs/>
          <w:sz w:val="24"/>
          <w:szCs w:val="24"/>
        </w:rPr>
        <w:t>akhanda</w:t>
      </w:r>
      <w:proofErr w:type="spellEnd"/>
      <w:r>
        <w:rPr>
          <w:rFonts w:ascii="Arial" w:hAnsi="Arial" w:cs="Arial"/>
          <w:bCs/>
          <w:sz w:val="24"/>
          <w:szCs w:val="24"/>
        </w:rPr>
        <w:t>.</w:t>
      </w:r>
      <w:r w:rsidRPr="00E13F9E">
        <w:rPr>
          <w:rFonts w:ascii="Arial" w:hAnsi="Arial" w:cs="Arial"/>
          <w:bCs/>
          <w:sz w:val="24"/>
          <w:szCs w:val="24"/>
        </w:rPr>
        <w:t xml:space="preserve"> </w:t>
      </w:r>
    </w:p>
    <w:p w14:paraId="7A6CE25A" w14:textId="77777777" w:rsidR="00E13F9E" w:rsidRPr="00E13F9E" w:rsidRDefault="00E13F9E" w:rsidP="00E13F9E">
      <w:pPr>
        <w:spacing w:line="240" w:lineRule="auto"/>
        <w:ind w:left="3600" w:hanging="3600"/>
        <w:rPr>
          <w:rFonts w:ascii="Arial" w:hAnsi="Arial" w:cs="Arial"/>
          <w:bCs/>
          <w:sz w:val="24"/>
          <w:szCs w:val="24"/>
        </w:rPr>
      </w:pPr>
    </w:p>
    <w:p w14:paraId="10631C55" w14:textId="7ADE22DA" w:rsidR="00E13F9E" w:rsidRPr="00E13F9E" w:rsidRDefault="00E13F9E" w:rsidP="00A00134">
      <w:pPr>
        <w:spacing w:line="240" w:lineRule="auto"/>
        <w:rPr>
          <w:rFonts w:ascii="Arial" w:hAnsi="Arial" w:cs="Arial"/>
          <w:bCs/>
          <w:sz w:val="24"/>
          <w:szCs w:val="24"/>
        </w:rPr>
      </w:pPr>
      <w:r w:rsidRPr="00E13F9E">
        <w:rPr>
          <w:rFonts w:ascii="Arial" w:hAnsi="Arial" w:cs="Arial"/>
          <w:bCs/>
          <w:sz w:val="24"/>
          <w:szCs w:val="24"/>
        </w:rPr>
        <w:t>Date of hearing:</w:t>
      </w:r>
      <w:r w:rsidRPr="00E13F9E">
        <w:rPr>
          <w:rFonts w:ascii="Arial" w:hAnsi="Arial" w:cs="Arial"/>
          <w:bCs/>
          <w:sz w:val="24"/>
          <w:szCs w:val="24"/>
        </w:rPr>
        <w:tab/>
      </w:r>
      <w:r w:rsidRPr="00E13F9E">
        <w:rPr>
          <w:rFonts w:ascii="Arial" w:hAnsi="Arial" w:cs="Arial"/>
          <w:bCs/>
          <w:sz w:val="24"/>
          <w:szCs w:val="24"/>
        </w:rPr>
        <w:tab/>
      </w:r>
      <w:r w:rsidRPr="00E13F9E">
        <w:rPr>
          <w:rFonts w:ascii="Arial" w:hAnsi="Arial" w:cs="Arial"/>
          <w:bCs/>
          <w:sz w:val="24"/>
          <w:szCs w:val="24"/>
        </w:rPr>
        <w:tab/>
        <w:t>28 November 2022.</w:t>
      </w:r>
    </w:p>
    <w:p w14:paraId="36EC00E7" w14:textId="6F7CB878" w:rsidR="00E13F9E" w:rsidRPr="00E13F9E" w:rsidRDefault="00E13F9E" w:rsidP="00A00134">
      <w:pPr>
        <w:spacing w:line="240" w:lineRule="auto"/>
        <w:rPr>
          <w:rFonts w:ascii="Arial" w:hAnsi="Arial" w:cs="Arial"/>
          <w:sz w:val="24"/>
          <w:szCs w:val="24"/>
        </w:rPr>
      </w:pPr>
      <w:r w:rsidRPr="00E13F9E">
        <w:rPr>
          <w:rFonts w:ascii="Arial" w:hAnsi="Arial" w:cs="Arial"/>
          <w:bCs/>
          <w:sz w:val="24"/>
          <w:szCs w:val="24"/>
        </w:rPr>
        <w:t>Date of delivery of judgment:</w:t>
      </w:r>
      <w:r w:rsidRPr="00E13F9E">
        <w:rPr>
          <w:rFonts w:ascii="Arial" w:hAnsi="Arial" w:cs="Arial"/>
          <w:bCs/>
          <w:sz w:val="24"/>
          <w:szCs w:val="24"/>
        </w:rPr>
        <w:tab/>
        <w:t>28 February 2023.</w:t>
      </w:r>
    </w:p>
    <w:sectPr w:rsidR="00E13F9E" w:rsidRPr="00E13F9E" w:rsidSect="00A0013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B68A3" w14:textId="77777777" w:rsidR="00B833A1" w:rsidRDefault="00B833A1">
      <w:pPr>
        <w:spacing w:after="0" w:line="240" w:lineRule="auto"/>
      </w:pPr>
      <w:r>
        <w:separator/>
      </w:r>
    </w:p>
  </w:endnote>
  <w:endnote w:type="continuationSeparator" w:id="0">
    <w:p w14:paraId="324C2E1C" w14:textId="77777777" w:rsidR="00B833A1" w:rsidRDefault="00B833A1">
      <w:pPr>
        <w:spacing w:after="0" w:line="240" w:lineRule="auto"/>
      </w:pPr>
      <w:r>
        <w:continuationSeparator/>
      </w:r>
    </w:p>
  </w:endnote>
  <w:endnote w:type="continuationNotice" w:id="1">
    <w:p w14:paraId="05BE5F6A" w14:textId="77777777" w:rsidR="00B833A1" w:rsidRDefault="00B83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792CE" w14:textId="77777777" w:rsidR="00B833A1" w:rsidRDefault="00B833A1">
      <w:pPr>
        <w:spacing w:after="0" w:line="240" w:lineRule="auto"/>
      </w:pPr>
      <w:r>
        <w:separator/>
      </w:r>
    </w:p>
  </w:footnote>
  <w:footnote w:type="continuationSeparator" w:id="0">
    <w:p w14:paraId="70E80097" w14:textId="77777777" w:rsidR="00B833A1" w:rsidRDefault="00B833A1">
      <w:pPr>
        <w:spacing w:after="0" w:line="240" w:lineRule="auto"/>
      </w:pPr>
      <w:r>
        <w:continuationSeparator/>
      </w:r>
    </w:p>
  </w:footnote>
  <w:footnote w:type="continuationNotice" w:id="1">
    <w:p w14:paraId="2FB826A4" w14:textId="77777777" w:rsidR="00B833A1" w:rsidRDefault="00B833A1">
      <w:pPr>
        <w:spacing w:after="0" w:line="240" w:lineRule="auto"/>
      </w:pPr>
    </w:p>
  </w:footnote>
  <w:footnote w:id="2">
    <w:p w14:paraId="34F1FA77" w14:textId="1748D9AD" w:rsidR="002B189B" w:rsidRPr="002B189B" w:rsidRDefault="002B189B" w:rsidP="00CD1FE1">
      <w:pPr>
        <w:pStyle w:val="FootnoteText"/>
        <w:jc w:val="both"/>
        <w:rPr>
          <w:lang w:val="en-US"/>
        </w:rPr>
      </w:pPr>
      <w:r>
        <w:rPr>
          <w:rStyle w:val="FootnoteReference"/>
        </w:rPr>
        <w:footnoteRef/>
      </w:r>
      <w:r>
        <w:t xml:space="preserve"> </w:t>
      </w:r>
      <w:r w:rsidRPr="002B189B">
        <w:rPr>
          <w:i/>
          <w:iCs/>
          <w:lang w:val="en-US"/>
        </w:rPr>
        <w:t>Van der Walt v Van der Walt</w:t>
      </w:r>
      <w:r>
        <w:rPr>
          <w:lang w:val="en-US"/>
        </w:rPr>
        <w:t xml:space="preserve"> 2000 (4) SA 147 (E), at 150E-F; </w:t>
      </w:r>
      <w:r w:rsidRPr="002B189B">
        <w:rPr>
          <w:i/>
          <w:iCs/>
          <w:lang w:val="en-US"/>
        </w:rPr>
        <w:t>Bester NO v Target Brand Orchards (Pty) Ltd</w:t>
      </w:r>
      <w:r>
        <w:rPr>
          <w:lang w:val="en-US"/>
        </w:rPr>
        <w:t xml:space="preserve"> (unreported, WCC case no 22593/2019, dated 21 December 2020), at paragraph [46].</w:t>
      </w:r>
    </w:p>
  </w:footnote>
  <w:footnote w:id="3">
    <w:p w14:paraId="4DC40A05" w14:textId="23571460" w:rsidR="00CD4076" w:rsidRPr="00CD4076" w:rsidRDefault="00CD4076" w:rsidP="00CD1FE1">
      <w:pPr>
        <w:pStyle w:val="FootnoteText"/>
        <w:jc w:val="both"/>
        <w:rPr>
          <w:lang w:val="en-US"/>
        </w:rPr>
      </w:pPr>
      <w:r>
        <w:rPr>
          <w:rStyle w:val="FootnoteReference"/>
        </w:rPr>
        <w:footnoteRef/>
      </w:r>
      <w:r>
        <w:t xml:space="preserve"> </w:t>
      </w:r>
      <w:r w:rsidRPr="002E0B47">
        <w:rPr>
          <w:i/>
          <w:iCs/>
          <w:lang w:val="en-US"/>
        </w:rPr>
        <w:t>Samuels v William Dunn &amp; Company South Africa (Pty) Ltd</w:t>
      </w:r>
      <w:r>
        <w:rPr>
          <w:lang w:val="en-US"/>
        </w:rPr>
        <w:t xml:space="preserve"> 1949 (1) SA 1149 (T), at 1158. The principles have been adopted consistently in subsequent cases, e.g. </w:t>
      </w:r>
      <w:r w:rsidR="002E0B47" w:rsidRPr="002E0B47">
        <w:rPr>
          <w:i/>
          <w:iCs/>
          <w:lang w:val="en-US"/>
        </w:rPr>
        <w:t>Thompson v Barclays Bank DCO</w:t>
      </w:r>
      <w:r w:rsidR="002E0B47">
        <w:rPr>
          <w:lang w:val="en-US"/>
        </w:rPr>
        <w:t xml:space="preserve"> 1969 (2) SA 160 (W), at 165; </w:t>
      </w:r>
      <w:r w:rsidR="002E0B47" w:rsidRPr="002E0B47">
        <w:rPr>
          <w:i/>
          <w:iCs/>
          <w:lang w:val="en-US"/>
        </w:rPr>
        <w:t xml:space="preserve">Schmidt Plant Hire (Pty) Ltd v </w:t>
      </w:r>
      <w:proofErr w:type="spellStart"/>
      <w:r w:rsidR="002E0B47" w:rsidRPr="002E0B47">
        <w:rPr>
          <w:i/>
          <w:iCs/>
          <w:lang w:val="en-US"/>
        </w:rPr>
        <w:t>Pedrelli</w:t>
      </w:r>
      <w:proofErr w:type="spellEnd"/>
      <w:r w:rsidR="002E0B47">
        <w:rPr>
          <w:lang w:val="en-US"/>
        </w:rPr>
        <w:t xml:space="preserve"> 1990 (1) SA 398 (D), at 402; and </w:t>
      </w:r>
      <w:r w:rsidR="002E0B47" w:rsidRPr="002E0B47">
        <w:rPr>
          <w:i/>
          <w:iCs/>
          <w:lang w:val="en-US"/>
        </w:rPr>
        <w:t xml:space="preserve">EH </w:t>
      </w:r>
      <w:proofErr w:type="spellStart"/>
      <w:r w:rsidR="002E0B47" w:rsidRPr="002E0B47">
        <w:rPr>
          <w:i/>
          <w:iCs/>
          <w:lang w:val="en-US"/>
        </w:rPr>
        <w:t>Hassim</w:t>
      </w:r>
      <w:proofErr w:type="spellEnd"/>
      <w:r w:rsidR="002E0B47" w:rsidRPr="002E0B47">
        <w:rPr>
          <w:i/>
          <w:iCs/>
          <w:lang w:val="en-US"/>
        </w:rPr>
        <w:t xml:space="preserve"> Hardware (Pty) Ltd v </w:t>
      </w:r>
      <w:proofErr w:type="spellStart"/>
      <w:r w:rsidR="002E0B47" w:rsidRPr="002E0B47">
        <w:rPr>
          <w:i/>
          <w:iCs/>
          <w:lang w:val="en-US"/>
        </w:rPr>
        <w:t>Segabokeng</w:t>
      </w:r>
      <w:proofErr w:type="spellEnd"/>
      <w:r w:rsidR="002E0B47" w:rsidRPr="002E0B47">
        <w:rPr>
          <w:i/>
          <w:iCs/>
          <w:lang w:val="en-US"/>
        </w:rPr>
        <w:t xml:space="preserve"> Building Construction CC</w:t>
      </w:r>
      <w:r w:rsidR="002E0B47">
        <w:rPr>
          <w:lang w:val="en-US"/>
        </w:rPr>
        <w:t xml:space="preserve"> (unreported, GP case no 69167/2017, dated 27 September 2021), at paragraph [16].</w:t>
      </w:r>
    </w:p>
  </w:footnote>
  <w:footnote w:id="4">
    <w:p w14:paraId="70094F36" w14:textId="0496FFB1" w:rsidR="002E40CD" w:rsidRPr="002E40CD" w:rsidRDefault="002E40CD" w:rsidP="00CD1FE1">
      <w:pPr>
        <w:pStyle w:val="FootnoteText"/>
        <w:jc w:val="both"/>
        <w:rPr>
          <w:lang w:val="en-US"/>
        </w:rPr>
      </w:pPr>
      <w:r>
        <w:rPr>
          <w:rStyle w:val="FootnoteReference"/>
        </w:rPr>
        <w:footnoteRef/>
      </w:r>
      <w:r>
        <w:t xml:space="preserve"> </w:t>
      </w:r>
      <w:r w:rsidRPr="002E40CD">
        <w:rPr>
          <w:i/>
          <w:iCs/>
        </w:rPr>
        <w:t>Annandale v Bates</w:t>
      </w:r>
      <w:r>
        <w:t xml:space="preserve"> 1956 (3) SA 549 (W), at 551; </w:t>
      </w:r>
      <w:r w:rsidRPr="002E40CD">
        <w:rPr>
          <w:i/>
          <w:iCs/>
          <w:lang w:val="en-US"/>
        </w:rPr>
        <w:t>Von Gordon v Von Gordon</w:t>
      </w:r>
      <w:r>
        <w:rPr>
          <w:lang w:val="en-US"/>
        </w:rPr>
        <w:t xml:space="preserve"> 1961 (4) SA 211 (T), at 213; and </w:t>
      </w:r>
      <w:proofErr w:type="spellStart"/>
      <w:r w:rsidRPr="002E40CD">
        <w:rPr>
          <w:i/>
          <w:iCs/>
          <w:lang w:val="en-US"/>
        </w:rPr>
        <w:t>Lotzoff</w:t>
      </w:r>
      <w:proofErr w:type="spellEnd"/>
      <w:r w:rsidRPr="002E40CD">
        <w:rPr>
          <w:i/>
          <w:iCs/>
          <w:lang w:val="en-US"/>
        </w:rPr>
        <w:t xml:space="preserve"> v </w:t>
      </w:r>
      <w:proofErr w:type="spellStart"/>
      <w:r w:rsidRPr="002E40CD">
        <w:rPr>
          <w:i/>
          <w:iCs/>
          <w:lang w:val="en-US"/>
        </w:rPr>
        <w:t>Connel</w:t>
      </w:r>
      <w:proofErr w:type="spellEnd"/>
      <w:r>
        <w:rPr>
          <w:lang w:val="en-US"/>
        </w:rPr>
        <w:t xml:space="preserve"> 1968 (2) SA 127 (W), at 129.</w:t>
      </w:r>
    </w:p>
  </w:footnote>
  <w:footnote w:id="5">
    <w:p w14:paraId="299F4CED" w14:textId="0F847B57" w:rsidR="00D304C8" w:rsidRPr="00D304C8" w:rsidRDefault="00D304C8">
      <w:pPr>
        <w:pStyle w:val="FootnoteText"/>
        <w:rPr>
          <w:lang w:val="en-US"/>
        </w:rPr>
      </w:pPr>
      <w:r>
        <w:rPr>
          <w:rStyle w:val="FootnoteReference"/>
        </w:rPr>
        <w:footnoteRef/>
      </w:r>
      <w:r>
        <w:t xml:space="preserve"> </w:t>
      </w:r>
      <w:r w:rsidRPr="00D304C8">
        <w:t>2016 (5) SA 211 (SCA)</w:t>
      </w:r>
      <w:r>
        <w:t>.</w:t>
      </w:r>
    </w:p>
  </w:footnote>
  <w:footnote w:id="6">
    <w:p w14:paraId="136600D0" w14:textId="13C14992" w:rsidR="003B608D" w:rsidRPr="003B608D" w:rsidRDefault="003B608D" w:rsidP="00CD1FE1">
      <w:pPr>
        <w:pStyle w:val="FootnoteText"/>
        <w:jc w:val="both"/>
        <w:rPr>
          <w:lang w:val="en-US"/>
        </w:rPr>
      </w:pPr>
      <w:r>
        <w:rPr>
          <w:rStyle w:val="FootnoteReference"/>
        </w:rPr>
        <w:footnoteRef/>
      </w:r>
      <w:r>
        <w:t xml:space="preserve"> </w:t>
      </w:r>
      <w:r>
        <w:rPr>
          <w:lang w:val="en-US"/>
        </w:rPr>
        <w:t>At paragraph [16].</w:t>
      </w:r>
    </w:p>
  </w:footnote>
  <w:footnote w:id="7">
    <w:p w14:paraId="263087B4" w14:textId="2D5702EB" w:rsidR="00BD102C" w:rsidRPr="00BD102C" w:rsidRDefault="00BD102C" w:rsidP="00CD1FE1">
      <w:pPr>
        <w:pStyle w:val="FootnoteText"/>
        <w:jc w:val="both"/>
        <w:rPr>
          <w:lang w:val="en-US"/>
        </w:rPr>
      </w:pPr>
      <w:r>
        <w:rPr>
          <w:rStyle w:val="FootnoteReference"/>
        </w:rPr>
        <w:footnoteRef/>
      </w:r>
      <w:r>
        <w:t xml:space="preserve"> </w:t>
      </w:r>
      <w:r>
        <w:rPr>
          <w:lang w:val="en-US"/>
        </w:rPr>
        <w:t>[2021] 1 All SA 909 (GJ).</w:t>
      </w:r>
    </w:p>
  </w:footnote>
  <w:footnote w:id="8">
    <w:p w14:paraId="5539DB81" w14:textId="6634BF6F" w:rsidR="009A70EF" w:rsidRPr="009A70EF" w:rsidRDefault="009A70EF" w:rsidP="00CD1FE1">
      <w:pPr>
        <w:pStyle w:val="FootnoteText"/>
        <w:jc w:val="both"/>
        <w:rPr>
          <w:lang w:val="en-US"/>
        </w:rPr>
      </w:pPr>
      <w:r>
        <w:rPr>
          <w:rStyle w:val="FootnoteReference"/>
        </w:rPr>
        <w:footnoteRef/>
      </w:r>
      <w:r>
        <w:t xml:space="preserve"> </w:t>
      </w:r>
      <w:r>
        <w:rPr>
          <w:lang w:val="en-US"/>
        </w:rPr>
        <w:t xml:space="preserve">At paragraph [14]. The court pointed out that </w:t>
      </w:r>
      <w:r w:rsidR="0093309B">
        <w:rPr>
          <w:lang w:val="en-US"/>
        </w:rPr>
        <w:t xml:space="preserve">the accrual claim could vest earlier </w:t>
      </w:r>
      <w:r w:rsidR="00F87643">
        <w:rPr>
          <w:lang w:val="en-US"/>
        </w:rPr>
        <w:t>if</w:t>
      </w:r>
      <w:r w:rsidR="0093309B">
        <w:rPr>
          <w:lang w:val="en-US"/>
        </w:rPr>
        <w:t xml:space="preserve"> an immediate division of the accrual was granted</w:t>
      </w:r>
      <w:r w:rsidR="00D17C5B">
        <w:rPr>
          <w:lang w:val="en-US"/>
        </w:rPr>
        <w:t xml:space="preserve"> in terms of section 8(1) of the MPA.</w:t>
      </w:r>
    </w:p>
  </w:footnote>
  <w:footnote w:id="9">
    <w:p w14:paraId="16A025EE" w14:textId="142B4761" w:rsidR="00E539DD" w:rsidRPr="00E539DD" w:rsidRDefault="00E539DD" w:rsidP="00CD1FE1">
      <w:pPr>
        <w:pStyle w:val="FootnoteText"/>
        <w:jc w:val="both"/>
        <w:rPr>
          <w:lang w:val="en-US"/>
        </w:rPr>
      </w:pPr>
      <w:r>
        <w:rPr>
          <w:rStyle w:val="FootnoteReference"/>
        </w:rPr>
        <w:footnoteRef/>
      </w:r>
      <w:r>
        <w:t xml:space="preserve"> </w:t>
      </w:r>
      <w:r>
        <w:rPr>
          <w:lang w:val="en-US"/>
        </w:rPr>
        <w:t>2022 JDR 3356</w:t>
      </w:r>
      <w:r w:rsidR="00A877F9">
        <w:rPr>
          <w:lang w:val="en-US"/>
        </w:rPr>
        <w:t xml:space="preserve"> (FB).</w:t>
      </w:r>
    </w:p>
  </w:footnote>
  <w:footnote w:id="10">
    <w:p w14:paraId="6B654310" w14:textId="61C62150" w:rsidR="00F011A3" w:rsidRPr="00F011A3" w:rsidRDefault="00F011A3" w:rsidP="00CD1FE1">
      <w:pPr>
        <w:pStyle w:val="FootnoteText"/>
        <w:jc w:val="both"/>
        <w:rPr>
          <w:lang w:val="en-US"/>
        </w:rPr>
      </w:pPr>
      <w:r>
        <w:rPr>
          <w:rStyle w:val="FootnoteReference"/>
        </w:rPr>
        <w:footnoteRef/>
      </w:r>
      <w:r>
        <w:t xml:space="preserve"> </w:t>
      </w:r>
      <w:r>
        <w:rPr>
          <w:lang w:val="en-US"/>
        </w:rPr>
        <w:t xml:space="preserve">At paragraphs </w:t>
      </w:r>
      <w:r w:rsidR="00035724">
        <w:rPr>
          <w:lang w:val="en-US"/>
        </w:rPr>
        <w:t>[13] and [14]. The footnotes have been omitted.</w:t>
      </w:r>
    </w:p>
  </w:footnote>
  <w:footnote w:id="11">
    <w:p w14:paraId="505610C3" w14:textId="40C5CC66" w:rsidR="003B4BD9" w:rsidRPr="003B4BD9" w:rsidRDefault="003B4BD9" w:rsidP="00CD1FE1">
      <w:pPr>
        <w:pStyle w:val="FootnoteText"/>
        <w:jc w:val="both"/>
        <w:rPr>
          <w:lang w:val="en-US"/>
        </w:rPr>
      </w:pPr>
      <w:r>
        <w:rPr>
          <w:rStyle w:val="FootnoteReference"/>
        </w:rPr>
        <w:footnoteRef/>
      </w:r>
      <w:r>
        <w:t xml:space="preserve"> </w:t>
      </w:r>
      <w:r>
        <w:rPr>
          <w:lang w:val="en-US"/>
        </w:rPr>
        <w:t xml:space="preserve">In </w:t>
      </w:r>
      <w:r w:rsidR="004D3D86" w:rsidRPr="00A069F7">
        <w:rPr>
          <w:i/>
          <w:iCs/>
          <w:lang w:val="en-US"/>
        </w:rPr>
        <w:t xml:space="preserve">LD v </w:t>
      </w:r>
      <w:r w:rsidR="00A069F7" w:rsidRPr="00A069F7">
        <w:rPr>
          <w:i/>
          <w:iCs/>
          <w:lang w:val="en-US"/>
        </w:rPr>
        <w:t>JD</w:t>
      </w:r>
      <w:r w:rsidR="00AC2981">
        <w:rPr>
          <w:i/>
          <w:iCs/>
          <w:lang w:val="en-US"/>
        </w:rPr>
        <w:t xml:space="preserve"> </w:t>
      </w:r>
      <w:r w:rsidR="00AC2981">
        <w:rPr>
          <w:lang w:val="en-US"/>
        </w:rPr>
        <w:t>(n 6, supra)</w:t>
      </w:r>
      <w:r w:rsidR="00A069F7">
        <w:rPr>
          <w:lang w:val="en-US"/>
        </w:rPr>
        <w:t>, Gilbert AJ described it as a deferred equalization claim, at paragraph [13].</w:t>
      </w:r>
    </w:p>
  </w:footnote>
  <w:footnote w:id="12">
    <w:p w14:paraId="6C444A16" w14:textId="2597ADA1" w:rsidR="00941A00" w:rsidRPr="00941A00" w:rsidRDefault="00941A00" w:rsidP="00CD1FE1">
      <w:pPr>
        <w:pStyle w:val="FootnoteText"/>
        <w:jc w:val="both"/>
        <w:rPr>
          <w:lang w:val="en-US"/>
        </w:rPr>
      </w:pPr>
      <w:r>
        <w:rPr>
          <w:rStyle w:val="FootnoteReference"/>
        </w:rPr>
        <w:footnoteRef/>
      </w:r>
      <w:r>
        <w:t xml:space="preserve"> </w:t>
      </w:r>
      <w:r>
        <w:rPr>
          <w:lang w:val="en-US"/>
        </w:rPr>
        <w:t>2018 (5) SA 479 (SCA).</w:t>
      </w:r>
    </w:p>
  </w:footnote>
  <w:footnote w:id="13">
    <w:p w14:paraId="62090D85" w14:textId="3F3BE061" w:rsidR="00E226D4" w:rsidRPr="00E226D4" w:rsidRDefault="00E226D4" w:rsidP="00CD1FE1">
      <w:pPr>
        <w:pStyle w:val="FootnoteText"/>
        <w:jc w:val="both"/>
        <w:rPr>
          <w:lang w:val="en-US"/>
        </w:rPr>
      </w:pPr>
      <w:r>
        <w:rPr>
          <w:rStyle w:val="FootnoteReference"/>
        </w:rPr>
        <w:footnoteRef/>
      </w:r>
      <w:r>
        <w:t xml:space="preserve"> </w:t>
      </w:r>
      <w:r>
        <w:rPr>
          <w:lang w:val="en-US"/>
        </w:rPr>
        <w:t xml:space="preserve">At paragraphs </w:t>
      </w:r>
      <w:r w:rsidR="00C86BA8">
        <w:rPr>
          <w:lang w:val="en-US"/>
        </w:rPr>
        <w:t>[33] to [36].</w:t>
      </w:r>
    </w:p>
  </w:footnote>
  <w:footnote w:id="14">
    <w:p w14:paraId="229A9797" w14:textId="4741BD45" w:rsidR="001D6D46" w:rsidRPr="001D6D46" w:rsidRDefault="001D6D46" w:rsidP="00CD1FE1">
      <w:pPr>
        <w:pStyle w:val="FootnoteText"/>
        <w:jc w:val="both"/>
        <w:rPr>
          <w:lang w:val="en-US"/>
        </w:rPr>
      </w:pPr>
      <w:r>
        <w:rPr>
          <w:rStyle w:val="FootnoteReference"/>
        </w:rPr>
        <w:footnoteRef/>
      </w:r>
      <w:r>
        <w:t xml:space="preserve"> </w:t>
      </w:r>
      <w:r>
        <w:rPr>
          <w:lang w:val="en-US"/>
        </w:rPr>
        <w:t xml:space="preserve">See </w:t>
      </w:r>
      <w:proofErr w:type="spellStart"/>
      <w:r>
        <w:rPr>
          <w:lang w:val="en-US"/>
        </w:rPr>
        <w:t>n</w:t>
      </w:r>
      <w:proofErr w:type="spellEnd"/>
      <w:r>
        <w:rPr>
          <w:lang w:val="en-US"/>
        </w:rPr>
        <w:t xml:space="preserve"> </w:t>
      </w:r>
      <w:r w:rsidR="00300942">
        <w:rPr>
          <w:lang w:val="en-US"/>
        </w:rPr>
        <w:t>9, supra.</w:t>
      </w:r>
    </w:p>
  </w:footnote>
  <w:footnote w:id="15">
    <w:p w14:paraId="7352EC68" w14:textId="2DE63F34" w:rsidR="00AA314A" w:rsidRPr="00AA314A" w:rsidRDefault="00AA314A" w:rsidP="00CD1FE1">
      <w:pPr>
        <w:pStyle w:val="FootnoteText"/>
        <w:jc w:val="both"/>
        <w:rPr>
          <w:lang w:val="en-US"/>
        </w:rPr>
      </w:pPr>
      <w:r>
        <w:rPr>
          <w:rStyle w:val="FootnoteReference"/>
        </w:rPr>
        <w:footnoteRef/>
      </w:r>
      <w:r>
        <w:t xml:space="preserve"> </w:t>
      </w:r>
      <w:r w:rsidR="00257DE2">
        <w:rPr>
          <w:lang w:val="en-US"/>
        </w:rPr>
        <w:t>Unreported</w:t>
      </w:r>
      <w:r w:rsidR="00397B9C">
        <w:rPr>
          <w:lang w:val="en-US"/>
        </w:rPr>
        <w:t>, F</w:t>
      </w:r>
      <w:r w:rsidR="003E60DF">
        <w:rPr>
          <w:lang w:val="en-US"/>
        </w:rPr>
        <w:t xml:space="preserve">S case no </w:t>
      </w:r>
      <w:r w:rsidR="006339FD">
        <w:rPr>
          <w:lang w:val="en-US"/>
        </w:rPr>
        <w:t>2369/2009.</w:t>
      </w:r>
    </w:p>
  </w:footnote>
  <w:footnote w:id="16">
    <w:p w14:paraId="3A883E45" w14:textId="33C1D3E1" w:rsidR="007117A8" w:rsidRPr="007117A8" w:rsidRDefault="007117A8" w:rsidP="00CD1FE1">
      <w:pPr>
        <w:pStyle w:val="FootnoteText"/>
        <w:jc w:val="both"/>
        <w:rPr>
          <w:lang w:val="en-US"/>
        </w:rPr>
      </w:pPr>
      <w:r>
        <w:rPr>
          <w:rStyle w:val="FootnoteReference"/>
        </w:rPr>
        <w:footnoteRef/>
      </w:r>
      <w:r>
        <w:t xml:space="preserve"> </w:t>
      </w:r>
      <w:r>
        <w:rPr>
          <w:lang w:val="en-US"/>
        </w:rPr>
        <w:t xml:space="preserve">The court also referred to </w:t>
      </w:r>
      <w:r w:rsidRPr="008C1576">
        <w:rPr>
          <w:i/>
          <w:iCs/>
          <w:lang w:val="en-US"/>
        </w:rPr>
        <w:t>Carte v Carte</w:t>
      </w:r>
      <w:r>
        <w:rPr>
          <w:lang w:val="en-US"/>
        </w:rPr>
        <w:t xml:space="preserve"> 1982 (2) SA 318 (D) and </w:t>
      </w:r>
      <w:r w:rsidR="008C1576" w:rsidRPr="008C1576">
        <w:rPr>
          <w:i/>
          <w:iCs/>
          <w:lang w:val="en-US"/>
        </w:rPr>
        <w:t>Von Gordon v Von Gordon</w:t>
      </w:r>
      <w:r w:rsidR="008C1576">
        <w:rPr>
          <w:lang w:val="en-US"/>
        </w:rPr>
        <w:t xml:space="preserve"> 1961 (4) SA 211 (T).</w:t>
      </w:r>
    </w:p>
  </w:footnote>
  <w:footnote w:id="17">
    <w:p w14:paraId="47E47DEA" w14:textId="638FA97C" w:rsidR="00F278AF" w:rsidRPr="00F278AF" w:rsidRDefault="00F278AF" w:rsidP="00CD1FE1">
      <w:pPr>
        <w:pStyle w:val="FootnoteText"/>
        <w:jc w:val="both"/>
        <w:rPr>
          <w:lang w:val="en-US"/>
        </w:rPr>
      </w:pPr>
      <w:r>
        <w:rPr>
          <w:rStyle w:val="FootnoteReference"/>
        </w:rPr>
        <w:footnoteRef/>
      </w:r>
      <w:r>
        <w:t xml:space="preserve"> </w:t>
      </w:r>
      <w:r w:rsidR="00590792">
        <w:rPr>
          <w:lang w:val="en-US"/>
        </w:rPr>
        <w:t xml:space="preserve">2014 (6) </w:t>
      </w:r>
      <w:r w:rsidR="007D5033">
        <w:rPr>
          <w:lang w:val="en-US"/>
        </w:rPr>
        <w:t>SA 233 (GJ).</w:t>
      </w:r>
    </w:p>
  </w:footnote>
  <w:footnote w:id="18">
    <w:p w14:paraId="400CDFA9" w14:textId="00AE73EF" w:rsidR="00E0015E" w:rsidRPr="00E0015E" w:rsidRDefault="00E0015E" w:rsidP="00CD1FE1">
      <w:pPr>
        <w:pStyle w:val="FootnoteText"/>
        <w:jc w:val="both"/>
        <w:rPr>
          <w:lang w:val="en-US"/>
        </w:rPr>
      </w:pPr>
      <w:r>
        <w:rPr>
          <w:rStyle w:val="FootnoteReference"/>
        </w:rPr>
        <w:footnoteRef/>
      </w:r>
      <w:r>
        <w:t xml:space="preserve"> </w:t>
      </w:r>
      <w:r>
        <w:rPr>
          <w:lang w:val="en-US"/>
        </w:rPr>
        <w:t>At paragraph [20].</w:t>
      </w:r>
    </w:p>
  </w:footnote>
  <w:footnote w:id="19">
    <w:p w14:paraId="2C0A4B42" w14:textId="610169F2" w:rsidR="00E0015E" w:rsidRPr="00E0015E" w:rsidRDefault="00E0015E" w:rsidP="00CD1FE1">
      <w:pPr>
        <w:pStyle w:val="FootnoteText"/>
        <w:jc w:val="both"/>
        <w:rPr>
          <w:lang w:val="en-US"/>
        </w:rPr>
      </w:pPr>
      <w:r>
        <w:rPr>
          <w:rStyle w:val="FootnoteReference"/>
        </w:rPr>
        <w:footnoteRef/>
      </w:r>
      <w:r>
        <w:t xml:space="preserve"> </w:t>
      </w:r>
      <w:r>
        <w:rPr>
          <w:lang w:val="en-US"/>
        </w:rPr>
        <w:t xml:space="preserve">See </w:t>
      </w:r>
      <w:proofErr w:type="spellStart"/>
      <w:r>
        <w:rPr>
          <w:lang w:val="en-US"/>
        </w:rPr>
        <w:t>n</w:t>
      </w:r>
      <w:proofErr w:type="spellEnd"/>
      <w:r>
        <w:rPr>
          <w:lang w:val="en-US"/>
        </w:rPr>
        <w:t xml:space="preserve"> 4, supra</w:t>
      </w:r>
      <w:r w:rsidR="007C74E9">
        <w:rPr>
          <w:lang w:val="en-US"/>
        </w:rPr>
        <w:t>, a</w:t>
      </w:r>
      <w:r>
        <w:rPr>
          <w:lang w:val="en-US"/>
        </w:rPr>
        <w:t>t paragraph [19].</w:t>
      </w:r>
    </w:p>
  </w:footnote>
  <w:footnote w:id="20">
    <w:p w14:paraId="638400A1" w14:textId="37B937ED" w:rsidR="00E0015E" w:rsidRPr="00E0015E" w:rsidRDefault="00E0015E" w:rsidP="00CD1FE1">
      <w:pPr>
        <w:pStyle w:val="FootnoteText"/>
        <w:jc w:val="both"/>
        <w:rPr>
          <w:lang w:val="en-US"/>
        </w:rPr>
      </w:pPr>
      <w:r>
        <w:rPr>
          <w:rStyle w:val="FootnoteReference"/>
        </w:rPr>
        <w:footnoteRef/>
      </w:r>
      <w:r>
        <w:t xml:space="preserve"> </w:t>
      </w:r>
      <w:r w:rsidR="007C74E9">
        <w:t>2018 (4) SA 316 (WCC), at paragraph [29}.</w:t>
      </w:r>
    </w:p>
  </w:footnote>
  <w:footnote w:id="21">
    <w:p w14:paraId="74A7570B" w14:textId="77372700" w:rsidR="007C74E9" w:rsidRPr="007C74E9" w:rsidRDefault="007C74E9" w:rsidP="00CD1FE1">
      <w:pPr>
        <w:pStyle w:val="FootnoteText"/>
        <w:jc w:val="both"/>
        <w:rPr>
          <w:lang w:val="en-US"/>
        </w:rPr>
      </w:pPr>
      <w:r>
        <w:rPr>
          <w:rStyle w:val="FootnoteReference"/>
        </w:rPr>
        <w:footnoteRef/>
      </w:r>
      <w:r>
        <w:t xml:space="preserve"> </w:t>
      </w:r>
      <w:r>
        <w:rPr>
          <w:lang w:val="en-US"/>
        </w:rPr>
        <w:t xml:space="preserve">See </w:t>
      </w:r>
      <w:proofErr w:type="spellStart"/>
      <w:r>
        <w:rPr>
          <w:lang w:val="en-US"/>
        </w:rPr>
        <w:t>n</w:t>
      </w:r>
      <w:proofErr w:type="spellEnd"/>
      <w:r>
        <w:rPr>
          <w:lang w:val="en-US"/>
        </w:rPr>
        <w:t xml:space="preserve"> 6, supra.</w:t>
      </w:r>
    </w:p>
  </w:footnote>
  <w:footnote w:id="22">
    <w:p w14:paraId="6E2A12EF" w14:textId="6DB38B57" w:rsidR="00355A10" w:rsidRPr="00355A10" w:rsidRDefault="00355A10" w:rsidP="00CD1FE1">
      <w:pPr>
        <w:pStyle w:val="FootnoteText"/>
        <w:jc w:val="both"/>
        <w:rPr>
          <w:lang w:val="en-US"/>
        </w:rPr>
      </w:pPr>
      <w:r>
        <w:rPr>
          <w:rStyle w:val="FootnoteReference"/>
        </w:rPr>
        <w:footnoteRef/>
      </w:r>
      <w:r>
        <w:t xml:space="preserve"> </w:t>
      </w:r>
      <w:r>
        <w:rPr>
          <w:lang w:val="en-US"/>
        </w:rPr>
        <w:t>At paragraph [17].</w:t>
      </w:r>
    </w:p>
  </w:footnote>
  <w:footnote w:id="23">
    <w:p w14:paraId="3A605C80" w14:textId="0B8B1F46" w:rsidR="00847030" w:rsidRPr="00847030" w:rsidRDefault="00847030" w:rsidP="00A00134">
      <w:pPr>
        <w:pStyle w:val="FootnoteText"/>
        <w:jc w:val="both"/>
        <w:rPr>
          <w:lang w:val="en-US"/>
        </w:rPr>
      </w:pPr>
      <w:r>
        <w:rPr>
          <w:rStyle w:val="FootnoteReference"/>
        </w:rPr>
        <w:footnoteRef/>
      </w:r>
      <w:r>
        <w:t xml:space="preserve"> </w:t>
      </w:r>
      <w:r>
        <w:rPr>
          <w:lang w:val="en-US"/>
        </w:rPr>
        <w:t xml:space="preserve">See </w:t>
      </w:r>
      <w:proofErr w:type="spellStart"/>
      <w:r>
        <w:rPr>
          <w:lang w:val="en-US"/>
        </w:rPr>
        <w:t>n</w:t>
      </w:r>
      <w:proofErr w:type="spellEnd"/>
      <w:r>
        <w:rPr>
          <w:lang w:val="en-US"/>
        </w:rPr>
        <w:t xml:space="preserve"> 4, supra.</w:t>
      </w:r>
    </w:p>
  </w:footnote>
  <w:footnote w:id="24">
    <w:p w14:paraId="4AF7FC31" w14:textId="65FCE703" w:rsidR="00735369" w:rsidRPr="00735369" w:rsidRDefault="00735369" w:rsidP="00A00134">
      <w:pPr>
        <w:pStyle w:val="FootnoteText"/>
        <w:jc w:val="both"/>
        <w:rPr>
          <w:lang w:val="en-US"/>
        </w:rPr>
      </w:pPr>
      <w:r>
        <w:rPr>
          <w:rStyle w:val="FootnoteReference"/>
        </w:rPr>
        <w:footnoteRef/>
      </w:r>
      <w:r>
        <w:t xml:space="preserve"> </w:t>
      </w:r>
      <w:r w:rsidRPr="00735369">
        <w:rPr>
          <w:i/>
          <w:iCs/>
          <w:lang w:val="en-US"/>
        </w:rPr>
        <w:t>Hardy v Hardy</w:t>
      </w:r>
      <w:r>
        <w:rPr>
          <w:lang w:val="en-US"/>
        </w:rPr>
        <w:t xml:space="preserve"> 1961 (1) SA 643 (W), at 646; </w:t>
      </w:r>
      <w:r w:rsidRPr="00735369">
        <w:rPr>
          <w:i/>
          <w:iCs/>
          <w:lang w:val="en-US"/>
        </w:rPr>
        <w:t>Swart v De Beer</w:t>
      </w:r>
      <w:r>
        <w:rPr>
          <w:lang w:val="en-US"/>
        </w:rPr>
        <w:t xml:space="preserve"> 1989 (3) SA 622 (E); </w:t>
      </w:r>
      <w:r w:rsidRPr="00735369">
        <w:rPr>
          <w:i/>
          <w:iCs/>
          <w:lang w:val="en-US"/>
        </w:rPr>
        <w:t>DFPT Finance NPC v Vintage Distributors (Pty) Ltd</w:t>
      </w:r>
      <w:r>
        <w:rPr>
          <w:lang w:val="en-US"/>
        </w:rPr>
        <w:t xml:space="preserve"> (unreported, WCC case no 9095/18, dated 23 November 2021).</w:t>
      </w:r>
    </w:p>
  </w:footnote>
  <w:footnote w:id="25">
    <w:p w14:paraId="403C442B" w14:textId="6D0FA3A2" w:rsidR="00C470DC" w:rsidRPr="00C470DC" w:rsidRDefault="00C470DC" w:rsidP="00A00134">
      <w:pPr>
        <w:pStyle w:val="FootnoteText"/>
        <w:jc w:val="both"/>
        <w:rPr>
          <w:lang w:val="en-US"/>
        </w:rPr>
      </w:pPr>
      <w:r>
        <w:rPr>
          <w:rStyle w:val="FootnoteReference"/>
        </w:rPr>
        <w:footnoteRef/>
      </w:r>
      <w:r>
        <w:t xml:space="preserve"> </w:t>
      </w:r>
      <w:r>
        <w:rPr>
          <w:lang w:val="en-US"/>
        </w:rPr>
        <w:t>Either of the parties may yet apply for the separation of issues, e.g. the determination of the divorce claim, under rule 33(4).</w:t>
      </w:r>
    </w:p>
  </w:footnote>
  <w:footnote w:id="26">
    <w:p w14:paraId="45462ECC" w14:textId="74A4F745" w:rsidR="00DE5FF1" w:rsidRPr="00DE5FF1" w:rsidRDefault="00DE5FF1" w:rsidP="00A00134">
      <w:pPr>
        <w:pStyle w:val="FootnoteText"/>
        <w:jc w:val="both"/>
        <w:rPr>
          <w:lang w:val="en-US"/>
        </w:rPr>
      </w:pPr>
      <w:r>
        <w:rPr>
          <w:rStyle w:val="FootnoteReference"/>
        </w:rPr>
        <w:footnoteRef/>
      </w:r>
      <w:r>
        <w:t xml:space="preserve"> </w:t>
      </w:r>
      <w:r>
        <w:rPr>
          <w:lang w:val="en-US"/>
        </w:rPr>
        <w:t xml:space="preserve">See </w:t>
      </w:r>
      <w:proofErr w:type="spellStart"/>
      <w:r>
        <w:rPr>
          <w:lang w:val="en-US"/>
        </w:rPr>
        <w:t>n</w:t>
      </w:r>
      <w:proofErr w:type="spellEnd"/>
      <w:r>
        <w:rPr>
          <w:lang w:val="en-US"/>
        </w:rPr>
        <w:t xml:space="preserve"> 11, supra.</w:t>
      </w:r>
    </w:p>
  </w:footnote>
  <w:footnote w:id="27">
    <w:p w14:paraId="573F3830" w14:textId="750D1F66" w:rsidR="00941CCE" w:rsidRPr="00941CCE" w:rsidRDefault="00941CCE" w:rsidP="00A00134">
      <w:pPr>
        <w:pStyle w:val="FootnoteText"/>
        <w:jc w:val="both"/>
        <w:rPr>
          <w:lang w:val="en-US"/>
        </w:rPr>
      </w:pPr>
      <w:r>
        <w:rPr>
          <w:rStyle w:val="FootnoteReference"/>
        </w:rPr>
        <w:footnoteRef/>
      </w:r>
      <w:r>
        <w:t xml:space="preserve"> </w:t>
      </w:r>
      <w:r>
        <w:rPr>
          <w:lang w:val="en-US"/>
        </w:rPr>
        <w:t>[2014] JOL 32339 (SCA).</w:t>
      </w:r>
    </w:p>
  </w:footnote>
  <w:footnote w:id="28">
    <w:p w14:paraId="03EFD7BF" w14:textId="696CE1B9" w:rsidR="00676C05" w:rsidRPr="00676C05" w:rsidRDefault="00676C05" w:rsidP="00A00134">
      <w:pPr>
        <w:pStyle w:val="FootnoteText"/>
        <w:jc w:val="both"/>
        <w:rPr>
          <w:lang w:val="en-US"/>
        </w:rPr>
      </w:pPr>
      <w:r>
        <w:rPr>
          <w:rStyle w:val="FootnoteReference"/>
        </w:rPr>
        <w:footnoteRef/>
      </w:r>
      <w:r>
        <w:t xml:space="preserve"> </w:t>
      </w:r>
      <w:r>
        <w:rPr>
          <w:lang w:val="en-US"/>
        </w:rPr>
        <w:t>At paragraph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60354"/>
      <w:docPartObj>
        <w:docPartGallery w:val="Page Numbers (Top of Page)"/>
        <w:docPartUnique/>
      </w:docPartObj>
    </w:sdtPr>
    <w:sdtEndPr>
      <w:rPr>
        <w:noProof/>
      </w:rPr>
    </w:sdtEndPr>
    <w:sdtContent>
      <w:p w14:paraId="26EF1794" w14:textId="3BB64F4B" w:rsidR="00A00134" w:rsidRDefault="00A00134">
        <w:pPr>
          <w:pStyle w:val="Header"/>
          <w:jc w:val="center"/>
        </w:pPr>
        <w:r>
          <w:fldChar w:fldCharType="begin"/>
        </w:r>
        <w:r>
          <w:instrText xml:space="preserve"> PAGE   \* MERGEFORMAT </w:instrText>
        </w:r>
        <w:r>
          <w:fldChar w:fldCharType="separate"/>
        </w:r>
        <w:r w:rsidR="00572F0D">
          <w:rPr>
            <w:noProof/>
          </w:rPr>
          <w:t>2</w:t>
        </w:r>
        <w:r>
          <w:rPr>
            <w:noProof/>
          </w:rPr>
          <w:fldChar w:fldCharType="end"/>
        </w:r>
      </w:p>
    </w:sdtContent>
  </w:sdt>
  <w:p w14:paraId="3EFE0E2C" w14:textId="77777777" w:rsidR="00A00134" w:rsidRDefault="00A00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C2A87"/>
    <w:multiLevelType w:val="hybridMultilevel"/>
    <w:tmpl w:val="C39608FC"/>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BDA26E3"/>
    <w:multiLevelType w:val="hybridMultilevel"/>
    <w:tmpl w:val="1BC24C46"/>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C7104E8"/>
    <w:multiLevelType w:val="hybridMultilevel"/>
    <w:tmpl w:val="E1528CDC"/>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DCB5A81"/>
    <w:multiLevelType w:val="hybridMultilevel"/>
    <w:tmpl w:val="6AD6FBE2"/>
    <w:lvl w:ilvl="0" w:tplc="66B82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AC5B14"/>
    <w:multiLevelType w:val="hybridMultilevel"/>
    <w:tmpl w:val="A1A012C8"/>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F2F11F4"/>
    <w:multiLevelType w:val="hybridMultilevel"/>
    <w:tmpl w:val="EA4CFFA2"/>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BEB125B"/>
    <w:multiLevelType w:val="hybridMultilevel"/>
    <w:tmpl w:val="9B825F18"/>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B5"/>
    <w:rsid w:val="00000B7C"/>
    <w:rsid w:val="000258CE"/>
    <w:rsid w:val="00035724"/>
    <w:rsid w:val="00057BA5"/>
    <w:rsid w:val="0007393A"/>
    <w:rsid w:val="000A08D3"/>
    <w:rsid w:val="000B2564"/>
    <w:rsid w:val="000C3166"/>
    <w:rsid w:val="000C463C"/>
    <w:rsid w:val="000D0EB7"/>
    <w:rsid w:val="000E0DEF"/>
    <w:rsid w:val="000E1A69"/>
    <w:rsid w:val="000E3362"/>
    <w:rsid w:val="000F3ED8"/>
    <w:rsid w:val="000F7F61"/>
    <w:rsid w:val="00113612"/>
    <w:rsid w:val="00122393"/>
    <w:rsid w:val="00123E4A"/>
    <w:rsid w:val="001308B2"/>
    <w:rsid w:val="001379C7"/>
    <w:rsid w:val="00147F69"/>
    <w:rsid w:val="001539D2"/>
    <w:rsid w:val="00155BC1"/>
    <w:rsid w:val="001677DF"/>
    <w:rsid w:val="001A101C"/>
    <w:rsid w:val="001D6D46"/>
    <w:rsid w:val="001E6B49"/>
    <w:rsid w:val="001F20EF"/>
    <w:rsid w:val="001F30F2"/>
    <w:rsid w:val="001F3704"/>
    <w:rsid w:val="001F4928"/>
    <w:rsid w:val="002221ED"/>
    <w:rsid w:val="00232A2A"/>
    <w:rsid w:val="00257DE2"/>
    <w:rsid w:val="00280E69"/>
    <w:rsid w:val="00290F82"/>
    <w:rsid w:val="002B189B"/>
    <w:rsid w:val="002B283A"/>
    <w:rsid w:val="002C514E"/>
    <w:rsid w:val="002D7C29"/>
    <w:rsid w:val="002E0B47"/>
    <w:rsid w:val="002E40CD"/>
    <w:rsid w:val="002F36E2"/>
    <w:rsid w:val="00300768"/>
    <w:rsid w:val="00300942"/>
    <w:rsid w:val="003014F0"/>
    <w:rsid w:val="00303266"/>
    <w:rsid w:val="00314FE8"/>
    <w:rsid w:val="00322A9D"/>
    <w:rsid w:val="0032644B"/>
    <w:rsid w:val="00326DE6"/>
    <w:rsid w:val="00342B65"/>
    <w:rsid w:val="00347858"/>
    <w:rsid w:val="00355A10"/>
    <w:rsid w:val="0037212E"/>
    <w:rsid w:val="00372330"/>
    <w:rsid w:val="00376910"/>
    <w:rsid w:val="003818ED"/>
    <w:rsid w:val="00386EEE"/>
    <w:rsid w:val="00393BE3"/>
    <w:rsid w:val="00397B9C"/>
    <w:rsid w:val="003B4BD9"/>
    <w:rsid w:val="003B5C93"/>
    <w:rsid w:val="003B608D"/>
    <w:rsid w:val="003C01F2"/>
    <w:rsid w:val="003C2AC4"/>
    <w:rsid w:val="003C6335"/>
    <w:rsid w:val="003C6FEC"/>
    <w:rsid w:val="003D2B3D"/>
    <w:rsid w:val="003E60DF"/>
    <w:rsid w:val="003F2DC3"/>
    <w:rsid w:val="003F36E8"/>
    <w:rsid w:val="003F60F0"/>
    <w:rsid w:val="003F7712"/>
    <w:rsid w:val="00400A08"/>
    <w:rsid w:val="00423683"/>
    <w:rsid w:val="00435093"/>
    <w:rsid w:val="00441EC3"/>
    <w:rsid w:val="0046285F"/>
    <w:rsid w:val="004657B6"/>
    <w:rsid w:val="00475024"/>
    <w:rsid w:val="004A092D"/>
    <w:rsid w:val="004C7443"/>
    <w:rsid w:val="004D3D86"/>
    <w:rsid w:val="004E5773"/>
    <w:rsid w:val="004F0D8D"/>
    <w:rsid w:val="004F7947"/>
    <w:rsid w:val="00507042"/>
    <w:rsid w:val="005146C9"/>
    <w:rsid w:val="00514FE5"/>
    <w:rsid w:val="0052179B"/>
    <w:rsid w:val="00527F73"/>
    <w:rsid w:val="0054198C"/>
    <w:rsid w:val="005419B3"/>
    <w:rsid w:val="00544A10"/>
    <w:rsid w:val="0057071E"/>
    <w:rsid w:val="00572F0D"/>
    <w:rsid w:val="0058518F"/>
    <w:rsid w:val="00590792"/>
    <w:rsid w:val="005909C6"/>
    <w:rsid w:val="00592B08"/>
    <w:rsid w:val="005969A4"/>
    <w:rsid w:val="00597BA0"/>
    <w:rsid w:val="005A72C5"/>
    <w:rsid w:val="005C60A6"/>
    <w:rsid w:val="005D2E44"/>
    <w:rsid w:val="005D5028"/>
    <w:rsid w:val="00604F69"/>
    <w:rsid w:val="00610C26"/>
    <w:rsid w:val="0061105E"/>
    <w:rsid w:val="00611E42"/>
    <w:rsid w:val="0061770C"/>
    <w:rsid w:val="00620F39"/>
    <w:rsid w:val="00622C77"/>
    <w:rsid w:val="0062642A"/>
    <w:rsid w:val="006339FD"/>
    <w:rsid w:val="006413B5"/>
    <w:rsid w:val="00642359"/>
    <w:rsid w:val="00652425"/>
    <w:rsid w:val="00652637"/>
    <w:rsid w:val="00655E8F"/>
    <w:rsid w:val="00667483"/>
    <w:rsid w:val="0067102C"/>
    <w:rsid w:val="00671042"/>
    <w:rsid w:val="006718BD"/>
    <w:rsid w:val="00676C05"/>
    <w:rsid w:val="00690AFC"/>
    <w:rsid w:val="006A080F"/>
    <w:rsid w:val="006B2B3E"/>
    <w:rsid w:val="006D2C80"/>
    <w:rsid w:val="006D6A90"/>
    <w:rsid w:val="006F0F5E"/>
    <w:rsid w:val="006F4139"/>
    <w:rsid w:val="007108CA"/>
    <w:rsid w:val="007117A8"/>
    <w:rsid w:val="0071541B"/>
    <w:rsid w:val="00720561"/>
    <w:rsid w:val="00735369"/>
    <w:rsid w:val="00740126"/>
    <w:rsid w:val="007447B4"/>
    <w:rsid w:val="00752DB8"/>
    <w:rsid w:val="00756753"/>
    <w:rsid w:val="00756F9B"/>
    <w:rsid w:val="007672A0"/>
    <w:rsid w:val="00772EE4"/>
    <w:rsid w:val="007771F3"/>
    <w:rsid w:val="0079099A"/>
    <w:rsid w:val="007976FD"/>
    <w:rsid w:val="007A0160"/>
    <w:rsid w:val="007A4D7F"/>
    <w:rsid w:val="007B330E"/>
    <w:rsid w:val="007B46B3"/>
    <w:rsid w:val="007B4ED1"/>
    <w:rsid w:val="007B4FFF"/>
    <w:rsid w:val="007C05FF"/>
    <w:rsid w:val="007C516B"/>
    <w:rsid w:val="007C74E9"/>
    <w:rsid w:val="007D5033"/>
    <w:rsid w:val="007E46F3"/>
    <w:rsid w:val="00800077"/>
    <w:rsid w:val="00802B58"/>
    <w:rsid w:val="00814652"/>
    <w:rsid w:val="008156B2"/>
    <w:rsid w:val="00816573"/>
    <w:rsid w:val="008433E0"/>
    <w:rsid w:val="00847030"/>
    <w:rsid w:val="00857913"/>
    <w:rsid w:val="00867955"/>
    <w:rsid w:val="00880713"/>
    <w:rsid w:val="008C1576"/>
    <w:rsid w:val="008C4660"/>
    <w:rsid w:val="008C59E4"/>
    <w:rsid w:val="008E2A7A"/>
    <w:rsid w:val="009033E6"/>
    <w:rsid w:val="009147FE"/>
    <w:rsid w:val="00917287"/>
    <w:rsid w:val="0093309B"/>
    <w:rsid w:val="00936DB3"/>
    <w:rsid w:val="009374A9"/>
    <w:rsid w:val="00937C0D"/>
    <w:rsid w:val="00941A00"/>
    <w:rsid w:val="00941CCE"/>
    <w:rsid w:val="0094783C"/>
    <w:rsid w:val="00965107"/>
    <w:rsid w:val="00971909"/>
    <w:rsid w:val="0097301E"/>
    <w:rsid w:val="0097741E"/>
    <w:rsid w:val="009A70EF"/>
    <w:rsid w:val="009B2F2C"/>
    <w:rsid w:val="009C5D74"/>
    <w:rsid w:val="009C6D0D"/>
    <w:rsid w:val="00A00134"/>
    <w:rsid w:val="00A069F7"/>
    <w:rsid w:val="00A12178"/>
    <w:rsid w:val="00A20745"/>
    <w:rsid w:val="00A422D3"/>
    <w:rsid w:val="00A53B0F"/>
    <w:rsid w:val="00A57AD8"/>
    <w:rsid w:val="00A62AE6"/>
    <w:rsid w:val="00A776D2"/>
    <w:rsid w:val="00A801C0"/>
    <w:rsid w:val="00A82A5C"/>
    <w:rsid w:val="00A877F9"/>
    <w:rsid w:val="00A93D54"/>
    <w:rsid w:val="00A95F96"/>
    <w:rsid w:val="00AA314A"/>
    <w:rsid w:val="00AA64A3"/>
    <w:rsid w:val="00AB0C6A"/>
    <w:rsid w:val="00AC2981"/>
    <w:rsid w:val="00AC30E2"/>
    <w:rsid w:val="00AC549E"/>
    <w:rsid w:val="00AE6D11"/>
    <w:rsid w:val="00B0022F"/>
    <w:rsid w:val="00B150CF"/>
    <w:rsid w:val="00B271C3"/>
    <w:rsid w:val="00B36EEC"/>
    <w:rsid w:val="00B43F47"/>
    <w:rsid w:val="00B501F9"/>
    <w:rsid w:val="00B52BF6"/>
    <w:rsid w:val="00B66D3C"/>
    <w:rsid w:val="00B75ED5"/>
    <w:rsid w:val="00B833A1"/>
    <w:rsid w:val="00B97501"/>
    <w:rsid w:val="00BA4CE2"/>
    <w:rsid w:val="00BC5724"/>
    <w:rsid w:val="00BD102C"/>
    <w:rsid w:val="00BD1CBF"/>
    <w:rsid w:val="00BD375B"/>
    <w:rsid w:val="00BD3CE5"/>
    <w:rsid w:val="00BD4959"/>
    <w:rsid w:val="00BE761A"/>
    <w:rsid w:val="00C00856"/>
    <w:rsid w:val="00C2333D"/>
    <w:rsid w:val="00C263A4"/>
    <w:rsid w:val="00C33F15"/>
    <w:rsid w:val="00C376C8"/>
    <w:rsid w:val="00C4431F"/>
    <w:rsid w:val="00C470DC"/>
    <w:rsid w:val="00C47FF6"/>
    <w:rsid w:val="00C7164A"/>
    <w:rsid w:val="00C76633"/>
    <w:rsid w:val="00C77B09"/>
    <w:rsid w:val="00C86BA8"/>
    <w:rsid w:val="00C91B01"/>
    <w:rsid w:val="00C95B1B"/>
    <w:rsid w:val="00CA08F4"/>
    <w:rsid w:val="00CA487F"/>
    <w:rsid w:val="00CA6DC2"/>
    <w:rsid w:val="00CB3F01"/>
    <w:rsid w:val="00CC192B"/>
    <w:rsid w:val="00CD1FE1"/>
    <w:rsid w:val="00CD4076"/>
    <w:rsid w:val="00CE4AFC"/>
    <w:rsid w:val="00CF3921"/>
    <w:rsid w:val="00D015AA"/>
    <w:rsid w:val="00D16E62"/>
    <w:rsid w:val="00D17C5B"/>
    <w:rsid w:val="00D2464F"/>
    <w:rsid w:val="00D304C8"/>
    <w:rsid w:val="00D37C4B"/>
    <w:rsid w:val="00D37DD7"/>
    <w:rsid w:val="00D455AB"/>
    <w:rsid w:val="00D54949"/>
    <w:rsid w:val="00D70909"/>
    <w:rsid w:val="00D75CB3"/>
    <w:rsid w:val="00D87BF2"/>
    <w:rsid w:val="00D912C0"/>
    <w:rsid w:val="00DA2B40"/>
    <w:rsid w:val="00DB63E0"/>
    <w:rsid w:val="00DE5FF1"/>
    <w:rsid w:val="00DE6C97"/>
    <w:rsid w:val="00DF0607"/>
    <w:rsid w:val="00E0015E"/>
    <w:rsid w:val="00E13F9E"/>
    <w:rsid w:val="00E15AC8"/>
    <w:rsid w:val="00E226D4"/>
    <w:rsid w:val="00E36606"/>
    <w:rsid w:val="00E41090"/>
    <w:rsid w:val="00E46020"/>
    <w:rsid w:val="00E539DD"/>
    <w:rsid w:val="00E716F6"/>
    <w:rsid w:val="00E976AD"/>
    <w:rsid w:val="00EA2498"/>
    <w:rsid w:val="00EA2FF3"/>
    <w:rsid w:val="00EA32AB"/>
    <w:rsid w:val="00EB18FC"/>
    <w:rsid w:val="00EC436D"/>
    <w:rsid w:val="00ED5FCB"/>
    <w:rsid w:val="00EE691F"/>
    <w:rsid w:val="00EF2488"/>
    <w:rsid w:val="00F011A3"/>
    <w:rsid w:val="00F052B6"/>
    <w:rsid w:val="00F06664"/>
    <w:rsid w:val="00F102AA"/>
    <w:rsid w:val="00F14C29"/>
    <w:rsid w:val="00F2574A"/>
    <w:rsid w:val="00F278AF"/>
    <w:rsid w:val="00F30FC5"/>
    <w:rsid w:val="00F41263"/>
    <w:rsid w:val="00F750C3"/>
    <w:rsid w:val="00F87643"/>
    <w:rsid w:val="00F94A8F"/>
    <w:rsid w:val="00FA219B"/>
    <w:rsid w:val="00FA2CF0"/>
    <w:rsid w:val="00FB787F"/>
    <w:rsid w:val="00FC2E99"/>
    <w:rsid w:val="00FE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5552"/>
  <w15:chartTrackingRefBased/>
  <w15:docId w15:val="{EEA91EB1-E084-4442-8C5D-B462A4B2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1C3"/>
    <w:rPr>
      <w:lang w:val="en-ZA"/>
    </w:rPr>
  </w:style>
  <w:style w:type="paragraph" w:styleId="Footer">
    <w:name w:val="footer"/>
    <w:basedOn w:val="Normal"/>
    <w:link w:val="FooterChar"/>
    <w:uiPriority w:val="99"/>
    <w:unhideWhenUsed/>
    <w:rsid w:val="00B27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1C3"/>
    <w:rPr>
      <w:lang w:val="en-ZA"/>
    </w:rPr>
  </w:style>
  <w:style w:type="paragraph" w:styleId="Revision">
    <w:name w:val="Revision"/>
    <w:hidden/>
    <w:uiPriority w:val="99"/>
    <w:semiHidden/>
    <w:rsid w:val="00B271C3"/>
    <w:pPr>
      <w:spacing w:after="0" w:line="240" w:lineRule="auto"/>
    </w:pPr>
    <w:rPr>
      <w:lang w:val="en-ZA"/>
    </w:rPr>
  </w:style>
  <w:style w:type="paragraph" w:styleId="FootnoteText">
    <w:name w:val="footnote text"/>
    <w:basedOn w:val="Normal"/>
    <w:link w:val="FootnoteTextChar"/>
    <w:uiPriority w:val="99"/>
    <w:semiHidden/>
    <w:unhideWhenUsed/>
    <w:rsid w:val="00B27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1C3"/>
    <w:rPr>
      <w:sz w:val="20"/>
      <w:szCs w:val="20"/>
      <w:lang w:val="en-ZA"/>
    </w:rPr>
  </w:style>
  <w:style w:type="character" w:styleId="FootnoteReference">
    <w:name w:val="footnote reference"/>
    <w:basedOn w:val="DefaultParagraphFont"/>
    <w:uiPriority w:val="99"/>
    <w:semiHidden/>
    <w:unhideWhenUsed/>
    <w:rsid w:val="00B271C3"/>
    <w:rPr>
      <w:vertAlign w:val="superscript"/>
    </w:rPr>
  </w:style>
  <w:style w:type="paragraph" w:styleId="ListParagraph">
    <w:name w:val="List Paragraph"/>
    <w:basedOn w:val="Normal"/>
    <w:uiPriority w:val="34"/>
    <w:qFormat/>
    <w:rsid w:val="00314FE8"/>
    <w:pPr>
      <w:ind w:left="720"/>
      <w:contextualSpacing/>
    </w:pPr>
  </w:style>
  <w:style w:type="paragraph" w:styleId="BalloonText">
    <w:name w:val="Balloon Text"/>
    <w:basedOn w:val="Normal"/>
    <w:link w:val="BalloonTextChar"/>
    <w:uiPriority w:val="99"/>
    <w:semiHidden/>
    <w:unhideWhenUsed/>
    <w:rsid w:val="00CD1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FE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Mokone</cp:lastModifiedBy>
  <cp:revision>2</cp:revision>
  <cp:lastPrinted>2023-02-27T09:35:00Z</cp:lastPrinted>
  <dcterms:created xsi:type="dcterms:W3CDTF">2023-03-31T12:28:00Z</dcterms:created>
  <dcterms:modified xsi:type="dcterms:W3CDTF">2023-03-31T12:28:00Z</dcterms:modified>
</cp:coreProperties>
</file>