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DBA12" w14:textId="77777777" w:rsidR="007E3CD2" w:rsidRPr="003304AD" w:rsidRDefault="007E3CD2" w:rsidP="007E3CD2">
      <w:pPr>
        <w:widowControl w:val="0"/>
        <w:spacing w:after="0" w:line="360" w:lineRule="auto"/>
        <w:jc w:val="center"/>
        <w:rPr>
          <w:rFonts w:ascii="Arial" w:eastAsia="Times New Roman" w:hAnsi="Arial" w:cs="Arial"/>
          <w:sz w:val="24"/>
          <w:szCs w:val="24"/>
        </w:rPr>
      </w:pPr>
      <w:r w:rsidRPr="003304AD">
        <w:rPr>
          <w:rFonts w:ascii="Arial" w:eastAsia="Times New Roman" w:hAnsi="Arial" w:cs="Arial"/>
          <w:noProof/>
          <w:sz w:val="24"/>
          <w:szCs w:val="24"/>
          <w:lang w:val="en-US"/>
        </w:rPr>
        <w:drawing>
          <wp:inline distT="0" distB="0" distL="0" distR="0" wp14:anchorId="6FEB12A9" wp14:editId="2837C7CB">
            <wp:extent cx="987425" cy="987425"/>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7425" cy="987425"/>
                    </a:xfrm>
                    <a:prstGeom prst="rect">
                      <a:avLst/>
                    </a:prstGeom>
                    <a:noFill/>
                  </pic:spPr>
                </pic:pic>
              </a:graphicData>
            </a:graphic>
          </wp:inline>
        </w:drawing>
      </w:r>
    </w:p>
    <w:p w14:paraId="20081DEE" w14:textId="77777777" w:rsidR="007E3CD2" w:rsidRPr="003304AD" w:rsidRDefault="007E3CD2" w:rsidP="007E3CD2">
      <w:pPr>
        <w:widowControl w:val="0"/>
        <w:spacing w:after="0" w:line="360" w:lineRule="auto"/>
        <w:jc w:val="center"/>
        <w:rPr>
          <w:rFonts w:ascii="Arial" w:eastAsia="Times New Roman" w:hAnsi="Arial" w:cs="Arial"/>
          <w:b/>
          <w:sz w:val="24"/>
          <w:szCs w:val="24"/>
        </w:rPr>
      </w:pPr>
      <w:r w:rsidRPr="003304AD">
        <w:rPr>
          <w:rFonts w:ascii="Arial" w:eastAsia="Times New Roman" w:hAnsi="Arial" w:cs="Arial"/>
          <w:b/>
          <w:sz w:val="24"/>
          <w:szCs w:val="24"/>
        </w:rPr>
        <w:t>IN THE HIGH COURT OF SOUTH AFRICA</w:t>
      </w:r>
    </w:p>
    <w:p w14:paraId="727101AF" w14:textId="3A959710" w:rsidR="007E3CD2" w:rsidRPr="003304AD" w:rsidRDefault="007E3CD2" w:rsidP="007E3CD2">
      <w:pPr>
        <w:widowControl w:val="0"/>
        <w:tabs>
          <w:tab w:val="right" w:pos="9213"/>
        </w:tabs>
        <w:spacing w:line="720" w:lineRule="auto"/>
        <w:jc w:val="center"/>
        <w:rPr>
          <w:rFonts w:ascii="Arial" w:hAnsi="Arial" w:cs="Arial"/>
          <w:sz w:val="24"/>
          <w:szCs w:val="24"/>
        </w:rPr>
      </w:pPr>
      <w:r>
        <w:rPr>
          <w:rFonts w:ascii="Arial" w:hAnsi="Arial" w:cs="Arial"/>
          <w:b/>
          <w:sz w:val="24"/>
          <w:szCs w:val="24"/>
        </w:rPr>
        <w:t>(EASTERN CAPE DIVISION, MAKHANDA)</w:t>
      </w:r>
    </w:p>
    <w:p w14:paraId="503ABA5A" w14:textId="303A5BDB" w:rsidR="007E3CD2" w:rsidRDefault="007E3CD2" w:rsidP="007E3CD2">
      <w:pPr>
        <w:widowControl w:val="0"/>
        <w:tabs>
          <w:tab w:val="right" w:pos="9213"/>
        </w:tabs>
        <w:spacing w:line="240" w:lineRule="auto"/>
        <w:rPr>
          <w:rFonts w:ascii="Arial" w:hAnsi="Arial" w:cs="Arial"/>
          <w:sz w:val="24"/>
          <w:szCs w:val="24"/>
        </w:rPr>
      </w:pPr>
      <w:r w:rsidRPr="003304AD">
        <w:rPr>
          <w:rFonts w:ascii="Arial" w:hAnsi="Arial" w:cs="Arial"/>
          <w:sz w:val="24"/>
          <w:szCs w:val="24"/>
        </w:rPr>
        <w:tab/>
        <w:t xml:space="preserve">CASE NO. </w:t>
      </w:r>
      <w:r>
        <w:rPr>
          <w:rFonts w:ascii="Arial" w:hAnsi="Arial" w:cs="Arial"/>
          <w:sz w:val="24"/>
          <w:szCs w:val="24"/>
        </w:rPr>
        <w:t>3411/2021</w:t>
      </w:r>
    </w:p>
    <w:p w14:paraId="780BF69E" w14:textId="77777777" w:rsidR="007E3CD2" w:rsidRDefault="007E3CD2" w:rsidP="007E3CD2">
      <w:pPr>
        <w:widowControl w:val="0"/>
        <w:tabs>
          <w:tab w:val="right" w:pos="9213"/>
        </w:tabs>
        <w:spacing w:line="360" w:lineRule="auto"/>
        <w:rPr>
          <w:rFonts w:ascii="Arial" w:hAnsi="Arial" w:cs="Arial"/>
          <w:sz w:val="24"/>
          <w:szCs w:val="24"/>
        </w:rPr>
      </w:pPr>
      <w:r>
        <w:rPr>
          <w:rFonts w:ascii="Arial" w:hAnsi="Arial" w:cs="Arial"/>
          <w:sz w:val="24"/>
          <w:szCs w:val="24"/>
        </w:rPr>
        <w:t>In the matter between:</w:t>
      </w:r>
    </w:p>
    <w:p w14:paraId="7E010920" w14:textId="2602E89F" w:rsidR="007E3CD2" w:rsidRDefault="007E3CD2" w:rsidP="007E3CD2">
      <w:pPr>
        <w:widowControl w:val="0"/>
        <w:tabs>
          <w:tab w:val="right" w:pos="9213"/>
        </w:tabs>
        <w:spacing w:line="240" w:lineRule="auto"/>
        <w:rPr>
          <w:rFonts w:ascii="Arial" w:hAnsi="Arial" w:cs="Arial"/>
          <w:b/>
          <w:sz w:val="24"/>
          <w:szCs w:val="24"/>
        </w:rPr>
      </w:pPr>
      <w:r>
        <w:rPr>
          <w:rFonts w:ascii="Arial" w:hAnsi="Arial" w:cs="Arial"/>
          <w:b/>
          <w:sz w:val="24"/>
          <w:szCs w:val="24"/>
        </w:rPr>
        <w:t>P</w:t>
      </w:r>
      <w:r w:rsidR="00462BDB">
        <w:rPr>
          <w:rFonts w:ascii="Arial" w:hAnsi="Arial" w:cs="Arial"/>
          <w:b/>
          <w:sz w:val="24"/>
          <w:szCs w:val="24"/>
        </w:rPr>
        <w:t>H</w:t>
      </w:r>
      <w:r>
        <w:rPr>
          <w:rFonts w:ascii="Arial" w:hAnsi="Arial" w:cs="Arial"/>
          <w:b/>
          <w:sz w:val="24"/>
          <w:szCs w:val="24"/>
        </w:rPr>
        <w:t>AKAMISA MADINGANA</w:t>
      </w:r>
      <w:r w:rsidRPr="003304AD">
        <w:rPr>
          <w:rFonts w:ascii="Arial" w:hAnsi="Arial" w:cs="Arial"/>
          <w:b/>
          <w:sz w:val="24"/>
          <w:szCs w:val="24"/>
        </w:rPr>
        <w:tab/>
      </w:r>
      <w:r>
        <w:rPr>
          <w:rFonts w:ascii="Arial" w:hAnsi="Arial" w:cs="Arial"/>
          <w:b/>
          <w:sz w:val="24"/>
          <w:szCs w:val="24"/>
        </w:rPr>
        <w:t>Plaintiff</w:t>
      </w:r>
    </w:p>
    <w:p w14:paraId="7D0F7435" w14:textId="77777777" w:rsidR="007E3CD2" w:rsidRDefault="007E3CD2" w:rsidP="007E3CD2">
      <w:pPr>
        <w:widowControl w:val="0"/>
        <w:tabs>
          <w:tab w:val="right" w:pos="9213"/>
        </w:tabs>
        <w:spacing w:line="240" w:lineRule="auto"/>
        <w:rPr>
          <w:rFonts w:ascii="Arial" w:hAnsi="Arial" w:cs="Arial"/>
          <w:b/>
          <w:sz w:val="24"/>
          <w:szCs w:val="24"/>
        </w:rPr>
      </w:pPr>
    </w:p>
    <w:p w14:paraId="54EA2291" w14:textId="77777777" w:rsidR="007E3CD2" w:rsidRDefault="007E3CD2" w:rsidP="007E3CD2">
      <w:pPr>
        <w:widowControl w:val="0"/>
        <w:tabs>
          <w:tab w:val="right" w:pos="9213"/>
        </w:tabs>
        <w:spacing w:line="240" w:lineRule="auto"/>
        <w:rPr>
          <w:rFonts w:ascii="Arial" w:hAnsi="Arial" w:cs="Arial"/>
          <w:sz w:val="24"/>
          <w:szCs w:val="24"/>
        </w:rPr>
      </w:pPr>
      <w:r>
        <w:rPr>
          <w:rFonts w:ascii="Arial" w:hAnsi="Arial" w:cs="Arial"/>
          <w:sz w:val="24"/>
          <w:szCs w:val="24"/>
        </w:rPr>
        <w:t>and</w:t>
      </w:r>
    </w:p>
    <w:p w14:paraId="353D04B2" w14:textId="77777777" w:rsidR="007E3CD2" w:rsidRDefault="007E3CD2" w:rsidP="007E3CD2">
      <w:pPr>
        <w:widowControl w:val="0"/>
        <w:tabs>
          <w:tab w:val="right" w:pos="9213"/>
        </w:tabs>
        <w:spacing w:line="240" w:lineRule="auto"/>
        <w:rPr>
          <w:rFonts w:ascii="Arial" w:hAnsi="Arial" w:cs="Arial"/>
          <w:sz w:val="24"/>
          <w:szCs w:val="24"/>
        </w:rPr>
      </w:pPr>
    </w:p>
    <w:p w14:paraId="00E9E959" w14:textId="77777777" w:rsidR="007E3CD2" w:rsidRPr="00E80AB7" w:rsidRDefault="007E3CD2" w:rsidP="007E3CD2">
      <w:pPr>
        <w:widowControl w:val="0"/>
        <w:tabs>
          <w:tab w:val="right" w:pos="9213"/>
        </w:tabs>
        <w:spacing w:line="240" w:lineRule="auto"/>
        <w:rPr>
          <w:rFonts w:ascii="Arial" w:hAnsi="Arial" w:cs="Arial"/>
          <w:b/>
          <w:sz w:val="24"/>
          <w:szCs w:val="24"/>
          <w:lang w:val="en-GB"/>
        </w:rPr>
      </w:pPr>
      <w:r>
        <w:rPr>
          <w:rFonts w:ascii="Arial" w:hAnsi="Arial" w:cs="Arial"/>
          <w:b/>
          <w:sz w:val="24"/>
          <w:szCs w:val="24"/>
        </w:rPr>
        <w:t>MINISTER OF POLICE</w:t>
      </w:r>
      <w:r w:rsidRPr="003304AD">
        <w:rPr>
          <w:rFonts w:ascii="Arial" w:hAnsi="Arial" w:cs="Arial"/>
          <w:b/>
          <w:sz w:val="24"/>
          <w:szCs w:val="24"/>
        </w:rPr>
        <w:tab/>
      </w:r>
      <w:r>
        <w:rPr>
          <w:rFonts w:ascii="Arial" w:hAnsi="Arial" w:cs="Arial"/>
          <w:b/>
          <w:sz w:val="24"/>
          <w:szCs w:val="24"/>
        </w:rPr>
        <w:t>Defendant</w:t>
      </w:r>
    </w:p>
    <w:p w14:paraId="28A9B627" w14:textId="77777777" w:rsidR="007E3CD2" w:rsidRPr="00E80AB7" w:rsidRDefault="007E3CD2" w:rsidP="007E3CD2">
      <w:pPr>
        <w:spacing w:line="360" w:lineRule="auto"/>
        <w:rPr>
          <w:rFonts w:ascii="Arial" w:hAnsi="Arial" w:cs="Arial"/>
          <w:sz w:val="24"/>
          <w:szCs w:val="24"/>
          <w:lang w:val="en-GB"/>
        </w:rPr>
      </w:pPr>
      <w:r w:rsidRPr="00E80AB7">
        <w:rPr>
          <w:rFonts w:ascii="Arial" w:hAnsi="Arial" w:cs="Arial"/>
          <w:sz w:val="24"/>
          <w:szCs w:val="24"/>
          <w:lang w:val="en-GB"/>
        </w:rPr>
        <w:t>___________________________________________________</w:t>
      </w:r>
      <w:r>
        <w:rPr>
          <w:rFonts w:ascii="Arial" w:hAnsi="Arial" w:cs="Arial"/>
          <w:sz w:val="24"/>
          <w:szCs w:val="24"/>
          <w:lang w:val="en-GB"/>
        </w:rPr>
        <w:t>___________________</w:t>
      </w:r>
    </w:p>
    <w:p w14:paraId="11BDC034" w14:textId="77777777" w:rsidR="007E3CD2" w:rsidRPr="00E80AB7" w:rsidRDefault="007E3CD2" w:rsidP="007E3CD2">
      <w:pPr>
        <w:spacing w:line="360" w:lineRule="auto"/>
        <w:jc w:val="center"/>
        <w:rPr>
          <w:rFonts w:ascii="Arial" w:hAnsi="Arial" w:cs="Arial"/>
          <w:b/>
          <w:sz w:val="24"/>
          <w:szCs w:val="24"/>
          <w:lang w:val="en-GB"/>
        </w:rPr>
      </w:pPr>
      <w:r w:rsidRPr="00E80AB7">
        <w:rPr>
          <w:rFonts w:ascii="Arial" w:hAnsi="Arial" w:cs="Arial"/>
          <w:b/>
          <w:sz w:val="24"/>
          <w:szCs w:val="24"/>
          <w:lang w:val="en-GB"/>
        </w:rPr>
        <w:t>JUDGMENT</w:t>
      </w:r>
    </w:p>
    <w:p w14:paraId="37833530" w14:textId="77777777" w:rsidR="007E3CD2" w:rsidRDefault="007E3CD2" w:rsidP="007E3CD2">
      <w:pPr>
        <w:spacing w:line="360" w:lineRule="auto"/>
        <w:rPr>
          <w:rFonts w:ascii="Arial" w:hAnsi="Arial" w:cs="Arial"/>
          <w:sz w:val="24"/>
          <w:szCs w:val="24"/>
          <w:lang w:val="en-GB"/>
        </w:rPr>
      </w:pPr>
      <w:r w:rsidRPr="00E80AB7">
        <w:rPr>
          <w:rFonts w:ascii="Arial" w:hAnsi="Arial" w:cs="Arial"/>
          <w:sz w:val="24"/>
          <w:szCs w:val="24"/>
          <w:lang w:val="en-GB"/>
        </w:rPr>
        <w:t>__________________________________________________________________</w:t>
      </w:r>
      <w:r>
        <w:rPr>
          <w:rFonts w:ascii="Arial" w:hAnsi="Arial" w:cs="Arial"/>
          <w:sz w:val="24"/>
          <w:szCs w:val="24"/>
          <w:lang w:val="en-GB"/>
        </w:rPr>
        <w:t>____</w:t>
      </w:r>
    </w:p>
    <w:p w14:paraId="3F9C4DAA" w14:textId="77777777" w:rsidR="007E3CD2" w:rsidRDefault="007E3CD2" w:rsidP="007E3CD2">
      <w:pPr>
        <w:spacing w:line="360" w:lineRule="auto"/>
        <w:jc w:val="both"/>
        <w:rPr>
          <w:rFonts w:ascii="Arial" w:hAnsi="Arial" w:cs="Arial"/>
          <w:b/>
          <w:sz w:val="24"/>
          <w:szCs w:val="24"/>
          <w:lang w:val="en-GB"/>
        </w:rPr>
      </w:pPr>
      <w:r w:rsidRPr="00E80AB7">
        <w:rPr>
          <w:rFonts w:ascii="Arial" w:hAnsi="Arial" w:cs="Arial"/>
          <w:b/>
          <w:sz w:val="24"/>
          <w:szCs w:val="24"/>
          <w:lang w:val="en-GB"/>
        </w:rPr>
        <w:t>LAING J</w:t>
      </w:r>
    </w:p>
    <w:p w14:paraId="1A94270A" w14:textId="77777777" w:rsidR="007E3CD2" w:rsidRDefault="007E3CD2" w:rsidP="00EC0D2D">
      <w:pPr>
        <w:spacing w:line="360" w:lineRule="auto"/>
        <w:rPr>
          <w:rFonts w:ascii="Arial" w:hAnsi="Arial" w:cs="Arial"/>
          <w:sz w:val="24"/>
          <w:szCs w:val="24"/>
        </w:rPr>
      </w:pPr>
    </w:p>
    <w:p w14:paraId="6DAF895A" w14:textId="5A4D7D13" w:rsidR="007E3CD2" w:rsidRPr="00C232A6" w:rsidRDefault="00C232A6" w:rsidP="00C232A6">
      <w:pPr>
        <w:spacing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00EC0D2D" w:rsidRPr="00C232A6">
        <w:rPr>
          <w:rFonts w:ascii="Arial" w:hAnsi="Arial" w:cs="Arial"/>
          <w:sz w:val="24"/>
          <w:szCs w:val="24"/>
        </w:rPr>
        <w:t>This is a claim for damages arising from the arrest and detention of the plaintiff. Only the quantum of damages to be awarded was placed in dispute.</w:t>
      </w:r>
    </w:p>
    <w:p w14:paraId="4C767108" w14:textId="77777777" w:rsidR="007E3CD2" w:rsidRDefault="007E3CD2" w:rsidP="007E3CD2">
      <w:pPr>
        <w:pStyle w:val="ListParagraph"/>
        <w:spacing w:line="360" w:lineRule="auto"/>
        <w:ind w:left="0"/>
        <w:jc w:val="both"/>
        <w:rPr>
          <w:rFonts w:ascii="Arial" w:hAnsi="Arial" w:cs="Arial"/>
          <w:sz w:val="24"/>
          <w:szCs w:val="24"/>
        </w:rPr>
      </w:pPr>
    </w:p>
    <w:p w14:paraId="519998FB" w14:textId="77777777" w:rsidR="007E3CD2" w:rsidRDefault="007E3CD2" w:rsidP="007E3CD2">
      <w:pPr>
        <w:pStyle w:val="ListParagraph"/>
        <w:spacing w:line="360" w:lineRule="auto"/>
        <w:ind w:left="0"/>
        <w:jc w:val="both"/>
        <w:rPr>
          <w:rFonts w:ascii="Arial" w:hAnsi="Arial" w:cs="Arial"/>
          <w:sz w:val="24"/>
          <w:szCs w:val="24"/>
        </w:rPr>
      </w:pPr>
    </w:p>
    <w:p w14:paraId="774DE55B" w14:textId="77777777" w:rsidR="007E3CD2" w:rsidRPr="007E3CD2" w:rsidRDefault="00EC0D2D" w:rsidP="007E3CD2">
      <w:pPr>
        <w:pStyle w:val="ListParagraph"/>
        <w:spacing w:line="360" w:lineRule="auto"/>
        <w:ind w:left="0"/>
        <w:jc w:val="both"/>
        <w:rPr>
          <w:rFonts w:ascii="Arial" w:hAnsi="Arial" w:cs="Arial"/>
          <w:sz w:val="24"/>
          <w:szCs w:val="24"/>
        </w:rPr>
      </w:pPr>
      <w:r w:rsidRPr="007E3CD2">
        <w:rPr>
          <w:rFonts w:ascii="Arial" w:hAnsi="Arial" w:cs="Arial"/>
          <w:b/>
          <w:bCs/>
          <w:sz w:val="24"/>
          <w:szCs w:val="24"/>
        </w:rPr>
        <w:t>The plaintiff’s case</w:t>
      </w:r>
    </w:p>
    <w:p w14:paraId="71639DC2" w14:textId="77777777" w:rsidR="007E3CD2" w:rsidRPr="007E3CD2" w:rsidRDefault="007E3CD2" w:rsidP="007E3CD2">
      <w:pPr>
        <w:pStyle w:val="ListParagraph"/>
        <w:spacing w:line="360" w:lineRule="auto"/>
        <w:ind w:left="0"/>
        <w:jc w:val="both"/>
        <w:rPr>
          <w:rFonts w:ascii="Arial" w:hAnsi="Arial" w:cs="Arial"/>
          <w:sz w:val="24"/>
          <w:szCs w:val="24"/>
        </w:rPr>
      </w:pPr>
      <w:bookmarkStart w:id="0" w:name="_GoBack"/>
      <w:bookmarkEnd w:id="0"/>
    </w:p>
    <w:p w14:paraId="68D6DD86" w14:textId="77777777" w:rsidR="007E3CD2" w:rsidRPr="007E3CD2" w:rsidRDefault="007E3CD2" w:rsidP="007E3CD2">
      <w:pPr>
        <w:pStyle w:val="ListParagraph"/>
        <w:spacing w:line="360" w:lineRule="auto"/>
        <w:ind w:left="0"/>
        <w:jc w:val="both"/>
        <w:rPr>
          <w:rFonts w:ascii="Arial" w:hAnsi="Arial" w:cs="Arial"/>
          <w:sz w:val="24"/>
          <w:szCs w:val="24"/>
        </w:rPr>
      </w:pPr>
    </w:p>
    <w:p w14:paraId="6731E03A" w14:textId="489F09D4" w:rsidR="007E3CD2" w:rsidRPr="00C232A6" w:rsidRDefault="00C232A6" w:rsidP="00C232A6">
      <w:pPr>
        <w:spacing w:line="360" w:lineRule="auto"/>
        <w:jc w:val="both"/>
        <w:rPr>
          <w:rFonts w:ascii="Arial" w:hAnsi="Arial" w:cs="Arial"/>
          <w:sz w:val="24"/>
          <w:szCs w:val="24"/>
        </w:rPr>
      </w:pPr>
      <w:r>
        <w:rPr>
          <w:rFonts w:ascii="Arial" w:hAnsi="Arial" w:cs="Arial"/>
          <w:sz w:val="24"/>
          <w:szCs w:val="24"/>
        </w:rPr>
        <w:lastRenderedPageBreak/>
        <w:t>[2]</w:t>
      </w:r>
      <w:r>
        <w:rPr>
          <w:rFonts w:ascii="Arial" w:hAnsi="Arial" w:cs="Arial"/>
          <w:sz w:val="24"/>
          <w:szCs w:val="24"/>
        </w:rPr>
        <w:tab/>
      </w:r>
      <w:r w:rsidR="00EC0D2D" w:rsidRPr="00C232A6">
        <w:rPr>
          <w:rFonts w:ascii="Arial" w:hAnsi="Arial" w:cs="Arial"/>
          <w:sz w:val="24"/>
          <w:szCs w:val="24"/>
        </w:rPr>
        <w:t xml:space="preserve">In his particulars, the plaintiff pleaded that </w:t>
      </w:r>
      <w:r w:rsidR="00336B04" w:rsidRPr="00C232A6">
        <w:rPr>
          <w:rFonts w:ascii="Arial" w:hAnsi="Arial" w:cs="Arial"/>
          <w:sz w:val="24"/>
          <w:szCs w:val="24"/>
        </w:rPr>
        <w:t xml:space="preserve">two police officers arrived at his residence in the Willowvale district, Eastern Cape, </w:t>
      </w:r>
      <w:r w:rsidR="00496BBD" w:rsidRPr="00C232A6">
        <w:rPr>
          <w:rFonts w:ascii="Arial" w:hAnsi="Arial" w:cs="Arial"/>
          <w:sz w:val="24"/>
          <w:szCs w:val="24"/>
        </w:rPr>
        <w:t xml:space="preserve">on </w:t>
      </w:r>
      <w:r w:rsidR="00336B04" w:rsidRPr="00C232A6">
        <w:rPr>
          <w:rFonts w:ascii="Arial" w:hAnsi="Arial" w:cs="Arial"/>
          <w:sz w:val="24"/>
          <w:szCs w:val="24"/>
        </w:rPr>
        <w:t>18 May 2020. They arrested him on a charge of having breached a domestic violence interdict, handcuffed him, and transported him to the Fleet Street police station in East London, where he was placed in custody. The officers implemented the arrest without a warrant. They confiscated his mobile phone, too, as evidence to be used against him.</w:t>
      </w:r>
    </w:p>
    <w:p w14:paraId="203DD955" w14:textId="77777777" w:rsidR="007E3CD2" w:rsidRDefault="007E3CD2" w:rsidP="007E3CD2">
      <w:pPr>
        <w:pStyle w:val="ListParagraph"/>
        <w:spacing w:line="360" w:lineRule="auto"/>
        <w:ind w:left="0"/>
        <w:jc w:val="both"/>
        <w:rPr>
          <w:rFonts w:ascii="Arial" w:hAnsi="Arial" w:cs="Arial"/>
          <w:sz w:val="24"/>
          <w:szCs w:val="24"/>
        </w:rPr>
      </w:pPr>
    </w:p>
    <w:p w14:paraId="7608BF77" w14:textId="0C2514CD" w:rsidR="007E3CD2" w:rsidRPr="00C232A6" w:rsidRDefault="00C232A6" w:rsidP="00C232A6">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336B04" w:rsidRPr="00C232A6">
        <w:rPr>
          <w:rFonts w:ascii="Arial" w:hAnsi="Arial" w:cs="Arial"/>
          <w:sz w:val="24"/>
          <w:szCs w:val="24"/>
        </w:rPr>
        <w:t xml:space="preserve">On the following day, 19 May 2021, the plaintiff appeared before a magistrate. He was granted bail and released.  </w:t>
      </w:r>
    </w:p>
    <w:p w14:paraId="48A6349C" w14:textId="77777777" w:rsidR="007E3CD2" w:rsidRPr="007E3CD2" w:rsidRDefault="007E3CD2" w:rsidP="007E3CD2">
      <w:pPr>
        <w:pStyle w:val="ListParagraph"/>
        <w:rPr>
          <w:rFonts w:ascii="Arial" w:hAnsi="Arial" w:cs="Arial"/>
          <w:sz w:val="24"/>
          <w:szCs w:val="24"/>
        </w:rPr>
      </w:pPr>
    </w:p>
    <w:p w14:paraId="136C32A8" w14:textId="66F0D0D4" w:rsidR="007E3CD2" w:rsidRPr="00C232A6" w:rsidRDefault="00C232A6" w:rsidP="00C232A6">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336B04" w:rsidRPr="00C232A6">
        <w:rPr>
          <w:rFonts w:ascii="Arial" w:hAnsi="Arial" w:cs="Arial"/>
          <w:sz w:val="24"/>
          <w:szCs w:val="24"/>
        </w:rPr>
        <w:t xml:space="preserve">The plaintiff alleged that the officers acted maliciously in carrying out the arrest and detention. </w:t>
      </w:r>
      <w:r w:rsidR="005318FA" w:rsidRPr="00C232A6">
        <w:rPr>
          <w:rFonts w:ascii="Arial" w:hAnsi="Arial" w:cs="Arial"/>
          <w:sz w:val="24"/>
          <w:szCs w:val="24"/>
        </w:rPr>
        <w:t>To that effect, h</w:t>
      </w:r>
      <w:r w:rsidR="00336B04" w:rsidRPr="00C232A6">
        <w:rPr>
          <w:rFonts w:ascii="Arial" w:hAnsi="Arial" w:cs="Arial"/>
          <w:sz w:val="24"/>
          <w:szCs w:val="24"/>
        </w:rPr>
        <w:t xml:space="preserve">e pleaded that: there was no reason for his arrest; the officers were from Gauteng and had no authority to carry out the arrest in the Eastern Cape; his mobile phone had never been returned to him; </w:t>
      </w:r>
      <w:r w:rsidR="005318FA" w:rsidRPr="00C232A6">
        <w:rPr>
          <w:rFonts w:ascii="Arial" w:hAnsi="Arial" w:cs="Arial"/>
          <w:sz w:val="24"/>
          <w:szCs w:val="24"/>
        </w:rPr>
        <w:t>the police failed to exercise their discretion in relation to his detention; the officers knew or ought to have known that they lacked authority and that their conduct would lead to harm, yet proceeded with his arrest and detention; and the officers never believed, before and during his arrest, that the plaintiff was answerable to the charge brought against him.</w:t>
      </w:r>
    </w:p>
    <w:p w14:paraId="38E015D2" w14:textId="77777777" w:rsidR="007E3CD2" w:rsidRPr="007E3CD2" w:rsidRDefault="007E3CD2" w:rsidP="007E3CD2">
      <w:pPr>
        <w:pStyle w:val="ListParagraph"/>
        <w:rPr>
          <w:rFonts w:ascii="Arial" w:hAnsi="Arial" w:cs="Arial"/>
          <w:sz w:val="24"/>
          <w:szCs w:val="24"/>
        </w:rPr>
      </w:pPr>
    </w:p>
    <w:p w14:paraId="18773A9B" w14:textId="6C6057AC" w:rsidR="005318FA" w:rsidRPr="00C232A6" w:rsidRDefault="00C232A6" w:rsidP="00C232A6">
      <w:pPr>
        <w:spacing w:line="360" w:lineRule="auto"/>
        <w:jc w:val="both"/>
        <w:rPr>
          <w:rFonts w:ascii="Arial" w:hAnsi="Arial" w:cs="Arial"/>
          <w:sz w:val="24"/>
          <w:szCs w:val="24"/>
        </w:rPr>
      </w:pPr>
      <w:r w:rsidRPr="007E3CD2">
        <w:rPr>
          <w:rFonts w:ascii="Arial" w:hAnsi="Arial" w:cs="Arial"/>
          <w:sz w:val="24"/>
          <w:szCs w:val="24"/>
        </w:rPr>
        <w:t>[5]</w:t>
      </w:r>
      <w:r w:rsidRPr="007E3CD2">
        <w:rPr>
          <w:rFonts w:ascii="Arial" w:hAnsi="Arial" w:cs="Arial"/>
          <w:sz w:val="24"/>
          <w:szCs w:val="24"/>
        </w:rPr>
        <w:tab/>
      </w:r>
      <w:r w:rsidR="005318FA" w:rsidRPr="00C232A6">
        <w:rPr>
          <w:rFonts w:ascii="Arial" w:hAnsi="Arial" w:cs="Arial"/>
          <w:sz w:val="24"/>
          <w:szCs w:val="24"/>
        </w:rPr>
        <w:t>Consequently, the plaintiff claimed damages for the loss of his mobile phone, legal costs, and general damages. He held the defendant liable in the amount of R 500,000.</w:t>
      </w:r>
    </w:p>
    <w:p w14:paraId="446A4D27" w14:textId="3D1EBB31" w:rsidR="005318FA" w:rsidRDefault="005318FA" w:rsidP="00EC0D2D">
      <w:pPr>
        <w:spacing w:line="360" w:lineRule="auto"/>
        <w:rPr>
          <w:rFonts w:ascii="Arial" w:hAnsi="Arial" w:cs="Arial"/>
          <w:sz w:val="24"/>
          <w:szCs w:val="24"/>
        </w:rPr>
      </w:pPr>
    </w:p>
    <w:p w14:paraId="5F002176" w14:textId="3E3756DD" w:rsidR="005318FA" w:rsidRPr="005318FA" w:rsidRDefault="005318FA" w:rsidP="00EC0D2D">
      <w:pPr>
        <w:spacing w:line="360" w:lineRule="auto"/>
        <w:rPr>
          <w:rFonts w:ascii="Arial" w:hAnsi="Arial" w:cs="Arial"/>
          <w:b/>
          <w:bCs/>
          <w:sz w:val="24"/>
          <w:szCs w:val="24"/>
        </w:rPr>
      </w:pPr>
      <w:r w:rsidRPr="005318FA">
        <w:rPr>
          <w:rFonts w:ascii="Arial" w:hAnsi="Arial" w:cs="Arial"/>
          <w:b/>
          <w:bCs/>
          <w:sz w:val="24"/>
          <w:szCs w:val="24"/>
        </w:rPr>
        <w:t>Defendant’s case</w:t>
      </w:r>
    </w:p>
    <w:p w14:paraId="6C0C38E5" w14:textId="2BEF9683" w:rsidR="005318FA" w:rsidRDefault="005318FA" w:rsidP="00EC0D2D">
      <w:pPr>
        <w:spacing w:line="360" w:lineRule="auto"/>
        <w:rPr>
          <w:rFonts w:ascii="Arial" w:hAnsi="Arial" w:cs="Arial"/>
          <w:sz w:val="24"/>
          <w:szCs w:val="24"/>
        </w:rPr>
      </w:pPr>
    </w:p>
    <w:p w14:paraId="4AAECF7D" w14:textId="390E10B2" w:rsidR="007E3CD2" w:rsidRPr="00C232A6" w:rsidRDefault="00C232A6" w:rsidP="00C232A6">
      <w:pPr>
        <w:spacing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005318FA" w:rsidRPr="00C232A6">
        <w:rPr>
          <w:rFonts w:ascii="Arial" w:hAnsi="Arial" w:cs="Arial"/>
          <w:sz w:val="24"/>
          <w:szCs w:val="24"/>
        </w:rPr>
        <w:t>The defendant raised two special pleas, based on non-compliance with section 2(2) of the State Liability Act 20 of 1957, and section 3 of the Institution of Legal Proceedings Against Certain Organs of State Act 40 of 2002. These were no longer in issue by the time that trial commenced.</w:t>
      </w:r>
    </w:p>
    <w:p w14:paraId="4770C00E" w14:textId="77777777" w:rsidR="007E3CD2" w:rsidRDefault="007E3CD2" w:rsidP="007E3CD2">
      <w:pPr>
        <w:pStyle w:val="ListParagraph"/>
        <w:spacing w:line="360" w:lineRule="auto"/>
        <w:ind w:left="0"/>
        <w:jc w:val="both"/>
        <w:rPr>
          <w:rFonts w:ascii="Arial" w:hAnsi="Arial" w:cs="Arial"/>
          <w:sz w:val="24"/>
          <w:szCs w:val="24"/>
        </w:rPr>
      </w:pPr>
    </w:p>
    <w:p w14:paraId="19C1AED4" w14:textId="7D7E9803" w:rsidR="005318FA" w:rsidRPr="00C232A6" w:rsidRDefault="00C232A6" w:rsidP="00C232A6">
      <w:pPr>
        <w:spacing w:line="360" w:lineRule="auto"/>
        <w:jc w:val="both"/>
        <w:rPr>
          <w:rFonts w:ascii="Arial" w:hAnsi="Arial" w:cs="Arial"/>
          <w:sz w:val="24"/>
          <w:szCs w:val="24"/>
        </w:rPr>
      </w:pPr>
      <w:r w:rsidRPr="007E3CD2">
        <w:rPr>
          <w:rFonts w:ascii="Arial" w:hAnsi="Arial" w:cs="Arial"/>
          <w:sz w:val="24"/>
          <w:szCs w:val="24"/>
        </w:rPr>
        <w:t>[7]</w:t>
      </w:r>
      <w:r w:rsidRPr="007E3CD2">
        <w:rPr>
          <w:rFonts w:ascii="Arial" w:hAnsi="Arial" w:cs="Arial"/>
          <w:sz w:val="24"/>
          <w:szCs w:val="24"/>
        </w:rPr>
        <w:tab/>
      </w:r>
      <w:r w:rsidR="005318FA" w:rsidRPr="00C232A6">
        <w:rPr>
          <w:rFonts w:ascii="Arial" w:hAnsi="Arial" w:cs="Arial"/>
          <w:sz w:val="24"/>
          <w:szCs w:val="24"/>
        </w:rPr>
        <w:t xml:space="preserve">In his plea, the defendant </w:t>
      </w:r>
      <w:r w:rsidR="00811842" w:rsidRPr="00C232A6">
        <w:rPr>
          <w:rFonts w:ascii="Arial" w:hAnsi="Arial" w:cs="Arial"/>
          <w:sz w:val="24"/>
          <w:szCs w:val="24"/>
        </w:rPr>
        <w:t>merely denied knowledge of the allegations. He further pleaded that if it was found that the plaintiff had suffered damages, then the defendant’s employees were not the cause thereof.</w:t>
      </w:r>
    </w:p>
    <w:p w14:paraId="30DB8729" w14:textId="4BAB52DA" w:rsidR="00811842" w:rsidRPr="00811842" w:rsidRDefault="00811842" w:rsidP="00EC0D2D">
      <w:pPr>
        <w:spacing w:line="360" w:lineRule="auto"/>
        <w:rPr>
          <w:rFonts w:ascii="Arial" w:hAnsi="Arial" w:cs="Arial"/>
          <w:b/>
          <w:bCs/>
          <w:sz w:val="24"/>
          <w:szCs w:val="24"/>
        </w:rPr>
      </w:pPr>
      <w:r w:rsidRPr="00811842">
        <w:rPr>
          <w:rFonts w:ascii="Arial" w:hAnsi="Arial" w:cs="Arial"/>
          <w:b/>
          <w:bCs/>
          <w:sz w:val="24"/>
          <w:szCs w:val="24"/>
        </w:rPr>
        <w:t>Issues to be decided</w:t>
      </w:r>
    </w:p>
    <w:p w14:paraId="069650E9" w14:textId="47BAA3D8" w:rsidR="00811842" w:rsidRDefault="00811842" w:rsidP="00EC0D2D">
      <w:pPr>
        <w:spacing w:line="360" w:lineRule="auto"/>
        <w:rPr>
          <w:rFonts w:ascii="Arial" w:hAnsi="Arial" w:cs="Arial"/>
          <w:sz w:val="24"/>
          <w:szCs w:val="24"/>
        </w:rPr>
      </w:pPr>
    </w:p>
    <w:p w14:paraId="2709B06D" w14:textId="61ADAB0F" w:rsidR="007E3CD2" w:rsidRPr="00C232A6" w:rsidRDefault="00C232A6" w:rsidP="00C232A6">
      <w:pPr>
        <w:spacing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r>
      <w:r w:rsidR="00811842" w:rsidRPr="00C232A6">
        <w:rPr>
          <w:rFonts w:ascii="Arial" w:hAnsi="Arial" w:cs="Arial"/>
          <w:sz w:val="24"/>
          <w:szCs w:val="24"/>
        </w:rPr>
        <w:t>At the start of proceedings, the defendant admitted the facts pertaining to the circumstances of the plaintiff’s arrest and detention. He conceded that</w:t>
      </w:r>
      <w:r w:rsidR="00D473FE" w:rsidRPr="00C232A6">
        <w:rPr>
          <w:rFonts w:ascii="Arial" w:hAnsi="Arial" w:cs="Arial"/>
          <w:sz w:val="24"/>
          <w:szCs w:val="24"/>
        </w:rPr>
        <w:t>, in the absence of a proper warrant,</w:t>
      </w:r>
      <w:r w:rsidR="00811842" w:rsidRPr="00C232A6">
        <w:rPr>
          <w:rFonts w:ascii="Arial" w:hAnsi="Arial" w:cs="Arial"/>
          <w:sz w:val="24"/>
          <w:szCs w:val="24"/>
        </w:rPr>
        <w:t xml:space="preserve"> the arrest and detention had been unlawful</w:t>
      </w:r>
      <w:r w:rsidR="00D473FE" w:rsidRPr="00C232A6">
        <w:rPr>
          <w:rFonts w:ascii="Arial" w:hAnsi="Arial" w:cs="Arial"/>
          <w:sz w:val="24"/>
          <w:szCs w:val="24"/>
        </w:rPr>
        <w:t>. Notwithstanding, he persisted in his denial that the officers in question had acted with malice.</w:t>
      </w:r>
    </w:p>
    <w:p w14:paraId="61BF3C99" w14:textId="77777777" w:rsidR="007E3CD2" w:rsidRDefault="007E3CD2" w:rsidP="007E3CD2">
      <w:pPr>
        <w:pStyle w:val="ListParagraph"/>
        <w:spacing w:line="360" w:lineRule="auto"/>
        <w:ind w:left="0"/>
        <w:jc w:val="both"/>
        <w:rPr>
          <w:rFonts w:ascii="Arial" w:hAnsi="Arial" w:cs="Arial"/>
          <w:sz w:val="24"/>
          <w:szCs w:val="24"/>
        </w:rPr>
      </w:pPr>
    </w:p>
    <w:p w14:paraId="3808BB70" w14:textId="12C36922" w:rsidR="007E3CD2" w:rsidRPr="00C232A6" w:rsidRDefault="00C232A6" w:rsidP="00C232A6">
      <w:pPr>
        <w:spacing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r>
      <w:r w:rsidR="00D473FE" w:rsidRPr="00C232A6">
        <w:rPr>
          <w:rFonts w:ascii="Arial" w:hAnsi="Arial" w:cs="Arial"/>
          <w:sz w:val="24"/>
          <w:szCs w:val="24"/>
        </w:rPr>
        <w:t>Regarding quantum, the defendant offered payment of R 7,999 for the plaintiff’s loss of his mobile phone. This was accepted. The only issues to be decided were the amount to be awarded in relation to: (a) legal costs allegedly incurred by the plaintiff to defend the charge brought against him; and (b) general damages.</w:t>
      </w:r>
    </w:p>
    <w:p w14:paraId="420B920D" w14:textId="77777777" w:rsidR="007E3CD2" w:rsidRPr="007E3CD2" w:rsidRDefault="007E3CD2" w:rsidP="007E3CD2">
      <w:pPr>
        <w:pStyle w:val="ListParagraph"/>
        <w:rPr>
          <w:rFonts w:ascii="Arial" w:hAnsi="Arial" w:cs="Arial"/>
          <w:sz w:val="24"/>
          <w:szCs w:val="24"/>
        </w:rPr>
      </w:pPr>
    </w:p>
    <w:p w14:paraId="2572964F" w14:textId="4D43CF23" w:rsidR="00D473FE" w:rsidRPr="00C232A6" w:rsidRDefault="00C232A6" w:rsidP="00C232A6">
      <w:pPr>
        <w:spacing w:line="360" w:lineRule="auto"/>
        <w:jc w:val="both"/>
        <w:rPr>
          <w:rFonts w:ascii="Arial" w:hAnsi="Arial" w:cs="Arial"/>
          <w:sz w:val="24"/>
          <w:szCs w:val="24"/>
        </w:rPr>
      </w:pPr>
      <w:r w:rsidRPr="007E3CD2">
        <w:rPr>
          <w:rFonts w:ascii="Arial" w:hAnsi="Arial" w:cs="Arial"/>
          <w:sz w:val="24"/>
          <w:szCs w:val="24"/>
        </w:rPr>
        <w:t>[10]</w:t>
      </w:r>
      <w:r w:rsidRPr="007E3CD2">
        <w:rPr>
          <w:rFonts w:ascii="Arial" w:hAnsi="Arial" w:cs="Arial"/>
          <w:sz w:val="24"/>
          <w:szCs w:val="24"/>
        </w:rPr>
        <w:tab/>
      </w:r>
      <w:r w:rsidR="00D473FE" w:rsidRPr="00C232A6">
        <w:rPr>
          <w:rFonts w:ascii="Arial" w:hAnsi="Arial" w:cs="Arial"/>
          <w:sz w:val="24"/>
          <w:szCs w:val="24"/>
        </w:rPr>
        <w:t>It is necessary to deal, briefly, with the plaintiff’s testimony.</w:t>
      </w:r>
    </w:p>
    <w:p w14:paraId="6C46D9BC" w14:textId="751BF74E" w:rsidR="00D473FE" w:rsidRDefault="00D473FE" w:rsidP="00EC0D2D">
      <w:pPr>
        <w:spacing w:line="360" w:lineRule="auto"/>
        <w:rPr>
          <w:rFonts w:ascii="Arial" w:hAnsi="Arial" w:cs="Arial"/>
          <w:sz w:val="24"/>
          <w:szCs w:val="24"/>
        </w:rPr>
      </w:pPr>
    </w:p>
    <w:p w14:paraId="4CEB6ED6" w14:textId="4CCEE78A" w:rsidR="00D473FE" w:rsidRPr="00D473FE" w:rsidRDefault="00D473FE" w:rsidP="00EC0D2D">
      <w:pPr>
        <w:spacing w:line="360" w:lineRule="auto"/>
        <w:rPr>
          <w:rFonts w:ascii="Arial" w:hAnsi="Arial" w:cs="Arial"/>
          <w:b/>
          <w:bCs/>
          <w:sz w:val="24"/>
          <w:szCs w:val="24"/>
        </w:rPr>
      </w:pPr>
      <w:r w:rsidRPr="00D473FE">
        <w:rPr>
          <w:rFonts w:ascii="Arial" w:hAnsi="Arial" w:cs="Arial"/>
          <w:b/>
          <w:bCs/>
          <w:sz w:val="24"/>
          <w:szCs w:val="24"/>
        </w:rPr>
        <w:t>Evidence of the plaintiff</w:t>
      </w:r>
    </w:p>
    <w:p w14:paraId="38957EF6" w14:textId="5A34776F" w:rsidR="00D473FE" w:rsidRDefault="00D473FE" w:rsidP="00EC0D2D">
      <w:pPr>
        <w:spacing w:line="360" w:lineRule="auto"/>
        <w:rPr>
          <w:rFonts w:ascii="Arial" w:hAnsi="Arial" w:cs="Arial"/>
          <w:sz w:val="24"/>
          <w:szCs w:val="24"/>
        </w:rPr>
      </w:pPr>
    </w:p>
    <w:p w14:paraId="287DC1D3" w14:textId="09E3799C" w:rsidR="007E3CD2" w:rsidRPr="00C232A6" w:rsidRDefault="00C232A6" w:rsidP="00C232A6">
      <w:pPr>
        <w:spacing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r>
      <w:r w:rsidR="00D473FE" w:rsidRPr="00C232A6">
        <w:rPr>
          <w:rFonts w:ascii="Arial" w:hAnsi="Arial" w:cs="Arial"/>
          <w:sz w:val="24"/>
          <w:szCs w:val="24"/>
        </w:rPr>
        <w:t xml:space="preserve">The plaintiff testified </w:t>
      </w:r>
      <w:r w:rsidR="00893E38" w:rsidRPr="00C232A6">
        <w:rPr>
          <w:rFonts w:ascii="Arial" w:hAnsi="Arial" w:cs="Arial"/>
          <w:sz w:val="24"/>
          <w:szCs w:val="24"/>
        </w:rPr>
        <w:t xml:space="preserve">on his own behalf. </w:t>
      </w:r>
      <w:r w:rsidR="00433E1B" w:rsidRPr="00C232A6">
        <w:rPr>
          <w:rFonts w:ascii="Arial" w:hAnsi="Arial" w:cs="Arial"/>
          <w:sz w:val="24"/>
          <w:szCs w:val="24"/>
        </w:rPr>
        <w:t xml:space="preserve">He said that </w:t>
      </w:r>
      <w:r w:rsidR="0051096A" w:rsidRPr="00C232A6">
        <w:rPr>
          <w:rFonts w:ascii="Arial" w:hAnsi="Arial" w:cs="Arial"/>
          <w:sz w:val="24"/>
          <w:szCs w:val="24"/>
        </w:rPr>
        <w:t xml:space="preserve">officers had </w:t>
      </w:r>
      <w:r w:rsidR="00CE0D28" w:rsidRPr="00C232A6">
        <w:rPr>
          <w:rFonts w:ascii="Arial" w:hAnsi="Arial" w:cs="Arial"/>
          <w:sz w:val="24"/>
          <w:szCs w:val="24"/>
        </w:rPr>
        <w:t>visited him at his home in the Willowvale district</w:t>
      </w:r>
      <w:r w:rsidR="009C0B98" w:rsidRPr="00C232A6">
        <w:rPr>
          <w:rFonts w:ascii="Arial" w:hAnsi="Arial" w:cs="Arial"/>
          <w:sz w:val="24"/>
          <w:szCs w:val="24"/>
        </w:rPr>
        <w:t xml:space="preserve"> </w:t>
      </w:r>
      <w:r w:rsidR="00856D38" w:rsidRPr="00C232A6">
        <w:rPr>
          <w:rFonts w:ascii="Arial" w:hAnsi="Arial" w:cs="Arial"/>
          <w:sz w:val="24"/>
          <w:szCs w:val="24"/>
        </w:rPr>
        <w:t xml:space="preserve">on </w:t>
      </w:r>
      <w:r w:rsidR="0016397F" w:rsidRPr="00C232A6">
        <w:rPr>
          <w:rFonts w:ascii="Arial" w:hAnsi="Arial" w:cs="Arial"/>
          <w:sz w:val="24"/>
          <w:szCs w:val="24"/>
        </w:rPr>
        <w:t>the</w:t>
      </w:r>
      <w:r w:rsidR="00856D38" w:rsidRPr="00C232A6">
        <w:rPr>
          <w:rFonts w:ascii="Arial" w:hAnsi="Arial" w:cs="Arial"/>
          <w:sz w:val="24"/>
          <w:szCs w:val="24"/>
        </w:rPr>
        <w:t xml:space="preserve"> Sunday afternoon </w:t>
      </w:r>
      <w:r w:rsidR="0016397F" w:rsidRPr="00C232A6">
        <w:rPr>
          <w:rFonts w:ascii="Arial" w:hAnsi="Arial" w:cs="Arial"/>
          <w:sz w:val="24"/>
          <w:szCs w:val="24"/>
        </w:rPr>
        <w:t xml:space="preserve">of 18 May 2020 </w:t>
      </w:r>
      <w:r w:rsidR="009C0B98" w:rsidRPr="00C232A6">
        <w:rPr>
          <w:rFonts w:ascii="Arial" w:hAnsi="Arial" w:cs="Arial"/>
          <w:sz w:val="24"/>
          <w:szCs w:val="24"/>
        </w:rPr>
        <w:t xml:space="preserve">and had accused him of violating the conditions of </w:t>
      </w:r>
      <w:r w:rsidR="00934231" w:rsidRPr="00C232A6">
        <w:rPr>
          <w:rFonts w:ascii="Arial" w:hAnsi="Arial" w:cs="Arial"/>
          <w:sz w:val="24"/>
          <w:szCs w:val="24"/>
        </w:rPr>
        <w:t xml:space="preserve">a protection order. They alleged that he had </w:t>
      </w:r>
      <w:r w:rsidR="00813B20" w:rsidRPr="00C232A6">
        <w:rPr>
          <w:rFonts w:ascii="Arial" w:hAnsi="Arial" w:cs="Arial"/>
          <w:sz w:val="24"/>
          <w:szCs w:val="24"/>
        </w:rPr>
        <w:t>contacted his ex-wife, insulted her, and taken her motor vehicle</w:t>
      </w:r>
      <w:r w:rsidR="00856D38" w:rsidRPr="00C232A6">
        <w:rPr>
          <w:rFonts w:ascii="Arial" w:hAnsi="Arial" w:cs="Arial"/>
          <w:sz w:val="24"/>
          <w:szCs w:val="24"/>
        </w:rPr>
        <w:t xml:space="preserve">. They </w:t>
      </w:r>
      <w:r w:rsidR="00647397" w:rsidRPr="00C232A6">
        <w:rPr>
          <w:rFonts w:ascii="Arial" w:hAnsi="Arial" w:cs="Arial"/>
          <w:sz w:val="24"/>
          <w:szCs w:val="24"/>
        </w:rPr>
        <w:t>subsequently</w:t>
      </w:r>
      <w:r w:rsidR="00322E54" w:rsidRPr="00C232A6">
        <w:rPr>
          <w:rFonts w:ascii="Arial" w:hAnsi="Arial" w:cs="Arial"/>
          <w:sz w:val="24"/>
          <w:szCs w:val="24"/>
        </w:rPr>
        <w:t xml:space="preserve"> arrested him</w:t>
      </w:r>
      <w:r w:rsidR="00647397" w:rsidRPr="00C232A6">
        <w:rPr>
          <w:rFonts w:ascii="Arial" w:hAnsi="Arial" w:cs="Arial"/>
          <w:sz w:val="24"/>
          <w:szCs w:val="24"/>
        </w:rPr>
        <w:t>, which was done</w:t>
      </w:r>
      <w:r w:rsidR="00322E54" w:rsidRPr="00C232A6">
        <w:rPr>
          <w:rFonts w:ascii="Arial" w:hAnsi="Arial" w:cs="Arial"/>
          <w:sz w:val="24"/>
          <w:szCs w:val="24"/>
        </w:rPr>
        <w:t xml:space="preserve"> in front of</w:t>
      </w:r>
      <w:r w:rsidR="001B2644" w:rsidRPr="00C232A6">
        <w:rPr>
          <w:rFonts w:ascii="Arial" w:hAnsi="Arial" w:cs="Arial"/>
          <w:sz w:val="24"/>
          <w:szCs w:val="24"/>
        </w:rPr>
        <w:t xml:space="preserve"> </w:t>
      </w:r>
      <w:r w:rsidR="00322E54" w:rsidRPr="00C232A6">
        <w:rPr>
          <w:rFonts w:ascii="Arial" w:hAnsi="Arial" w:cs="Arial"/>
          <w:sz w:val="24"/>
          <w:szCs w:val="24"/>
        </w:rPr>
        <w:t xml:space="preserve">members of </w:t>
      </w:r>
      <w:r w:rsidR="001B2644" w:rsidRPr="00C232A6">
        <w:rPr>
          <w:rFonts w:ascii="Arial" w:hAnsi="Arial" w:cs="Arial"/>
          <w:sz w:val="24"/>
          <w:szCs w:val="24"/>
        </w:rPr>
        <w:t>the local community.</w:t>
      </w:r>
      <w:r w:rsidR="009109EE" w:rsidRPr="00C232A6">
        <w:rPr>
          <w:rFonts w:ascii="Arial" w:hAnsi="Arial" w:cs="Arial"/>
          <w:sz w:val="24"/>
          <w:szCs w:val="24"/>
        </w:rPr>
        <w:t xml:space="preserve"> </w:t>
      </w:r>
    </w:p>
    <w:p w14:paraId="33B2E712" w14:textId="77777777" w:rsidR="007E3CD2" w:rsidRDefault="007E3CD2" w:rsidP="007E3CD2">
      <w:pPr>
        <w:pStyle w:val="ListParagraph"/>
        <w:spacing w:line="360" w:lineRule="auto"/>
        <w:ind w:left="0"/>
        <w:jc w:val="both"/>
        <w:rPr>
          <w:rFonts w:ascii="Arial" w:hAnsi="Arial" w:cs="Arial"/>
          <w:sz w:val="24"/>
          <w:szCs w:val="24"/>
        </w:rPr>
      </w:pPr>
    </w:p>
    <w:p w14:paraId="01C31F47" w14:textId="37B3627A" w:rsidR="007E3CD2" w:rsidRPr="00C232A6" w:rsidRDefault="00C232A6" w:rsidP="00C232A6">
      <w:pPr>
        <w:spacing w:line="360" w:lineRule="auto"/>
        <w:jc w:val="both"/>
        <w:rPr>
          <w:rFonts w:ascii="Arial" w:hAnsi="Arial" w:cs="Arial"/>
          <w:sz w:val="24"/>
          <w:szCs w:val="24"/>
        </w:rPr>
      </w:pPr>
      <w:r>
        <w:rPr>
          <w:rFonts w:ascii="Arial" w:hAnsi="Arial" w:cs="Arial"/>
          <w:sz w:val="24"/>
          <w:szCs w:val="24"/>
        </w:rPr>
        <w:lastRenderedPageBreak/>
        <w:t>[12]</w:t>
      </w:r>
      <w:r>
        <w:rPr>
          <w:rFonts w:ascii="Arial" w:hAnsi="Arial" w:cs="Arial"/>
          <w:sz w:val="24"/>
          <w:szCs w:val="24"/>
        </w:rPr>
        <w:tab/>
      </w:r>
      <w:r w:rsidR="009109EE" w:rsidRPr="00C232A6">
        <w:rPr>
          <w:rFonts w:ascii="Arial" w:hAnsi="Arial" w:cs="Arial"/>
          <w:sz w:val="24"/>
          <w:szCs w:val="24"/>
        </w:rPr>
        <w:t xml:space="preserve">Inside the police vehicle, the plaintiff </w:t>
      </w:r>
      <w:r w:rsidR="00E03F4E" w:rsidRPr="00C232A6">
        <w:rPr>
          <w:rFonts w:ascii="Arial" w:hAnsi="Arial" w:cs="Arial"/>
          <w:sz w:val="24"/>
          <w:szCs w:val="24"/>
        </w:rPr>
        <w:t xml:space="preserve">requested a copy of the protection order and discovered that it was incorrect. </w:t>
      </w:r>
      <w:r w:rsidR="009F6251" w:rsidRPr="00C232A6">
        <w:rPr>
          <w:rFonts w:ascii="Arial" w:hAnsi="Arial" w:cs="Arial"/>
          <w:sz w:val="24"/>
          <w:szCs w:val="24"/>
        </w:rPr>
        <w:t xml:space="preserve">He had previously applied successfully for the </w:t>
      </w:r>
      <w:r w:rsidR="00135214" w:rsidRPr="00C232A6">
        <w:rPr>
          <w:rFonts w:ascii="Arial" w:hAnsi="Arial" w:cs="Arial"/>
          <w:sz w:val="24"/>
          <w:szCs w:val="24"/>
        </w:rPr>
        <w:t xml:space="preserve">amendment </w:t>
      </w:r>
      <w:r w:rsidR="009B512A" w:rsidRPr="00C232A6">
        <w:rPr>
          <w:rFonts w:ascii="Arial" w:hAnsi="Arial" w:cs="Arial"/>
          <w:sz w:val="24"/>
          <w:szCs w:val="24"/>
        </w:rPr>
        <w:t>thereof</w:t>
      </w:r>
      <w:r w:rsidR="002B0815" w:rsidRPr="00C232A6">
        <w:rPr>
          <w:rFonts w:ascii="Arial" w:hAnsi="Arial" w:cs="Arial"/>
          <w:sz w:val="24"/>
          <w:szCs w:val="24"/>
        </w:rPr>
        <w:t xml:space="preserve">. Consequently, the warrant of arrest was based on the </w:t>
      </w:r>
      <w:r w:rsidR="0034037E" w:rsidRPr="00C232A6">
        <w:rPr>
          <w:rFonts w:ascii="Arial" w:hAnsi="Arial" w:cs="Arial"/>
          <w:sz w:val="24"/>
          <w:szCs w:val="24"/>
        </w:rPr>
        <w:t>earlier, instead of the later (amended), order</w:t>
      </w:r>
      <w:r w:rsidR="009B512A" w:rsidRPr="00C232A6">
        <w:rPr>
          <w:rFonts w:ascii="Arial" w:hAnsi="Arial" w:cs="Arial"/>
          <w:sz w:val="24"/>
          <w:szCs w:val="24"/>
        </w:rPr>
        <w:t>. When he</w:t>
      </w:r>
      <w:r w:rsidR="00E7415B" w:rsidRPr="00C232A6">
        <w:rPr>
          <w:rFonts w:ascii="Arial" w:hAnsi="Arial" w:cs="Arial"/>
          <w:sz w:val="24"/>
          <w:szCs w:val="24"/>
        </w:rPr>
        <w:t xml:space="preserve"> </w:t>
      </w:r>
      <w:r w:rsidR="009B512A" w:rsidRPr="00C232A6">
        <w:rPr>
          <w:rFonts w:ascii="Arial" w:hAnsi="Arial" w:cs="Arial"/>
          <w:sz w:val="24"/>
          <w:szCs w:val="24"/>
        </w:rPr>
        <w:t>attempte</w:t>
      </w:r>
      <w:r w:rsidR="00E7415B" w:rsidRPr="00C232A6">
        <w:rPr>
          <w:rFonts w:ascii="Arial" w:hAnsi="Arial" w:cs="Arial"/>
          <w:sz w:val="24"/>
          <w:szCs w:val="24"/>
        </w:rPr>
        <w:t>d to explain this to the officers</w:t>
      </w:r>
      <w:r w:rsidR="00D9063C" w:rsidRPr="00C232A6">
        <w:rPr>
          <w:rFonts w:ascii="Arial" w:hAnsi="Arial" w:cs="Arial"/>
          <w:sz w:val="24"/>
          <w:szCs w:val="24"/>
        </w:rPr>
        <w:t>, they ignored him.</w:t>
      </w:r>
      <w:r w:rsidR="00567668" w:rsidRPr="00C232A6">
        <w:rPr>
          <w:rFonts w:ascii="Arial" w:hAnsi="Arial" w:cs="Arial"/>
          <w:sz w:val="24"/>
          <w:szCs w:val="24"/>
        </w:rPr>
        <w:t xml:space="preserve"> </w:t>
      </w:r>
    </w:p>
    <w:p w14:paraId="3593A37C" w14:textId="77777777" w:rsidR="007E3CD2" w:rsidRPr="007E3CD2" w:rsidRDefault="007E3CD2" w:rsidP="007E3CD2">
      <w:pPr>
        <w:pStyle w:val="ListParagraph"/>
        <w:rPr>
          <w:rFonts w:ascii="Arial" w:hAnsi="Arial" w:cs="Arial"/>
          <w:sz w:val="24"/>
          <w:szCs w:val="24"/>
        </w:rPr>
      </w:pPr>
    </w:p>
    <w:p w14:paraId="21AB1104" w14:textId="72CBDE94" w:rsidR="007E3CD2" w:rsidRPr="00C232A6" w:rsidRDefault="00C232A6" w:rsidP="00C232A6">
      <w:pPr>
        <w:spacing w:line="36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r>
      <w:r w:rsidR="00D11766" w:rsidRPr="00C232A6">
        <w:rPr>
          <w:rFonts w:ascii="Arial" w:hAnsi="Arial" w:cs="Arial"/>
          <w:sz w:val="24"/>
          <w:szCs w:val="24"/>
        </w:rPr>
        <w:t xml:space="preserve">At the police station in East London, </w:t>
      </w:r>
      <w:r w:rsidR="00336B1D" w:rsidRPr="00C232A6">
        <w:rPr>
          <w:rFonts w:ascii="Arial" w:hAnsi="Arial" w:cs="Arial"/>
          <w:sz w:val="24"/>
          <w:szCs w:val="24"/>
        </w:rPr>
        <w:t>the officers charged him, obtained his fingerprints, confiscated his belongings</w:t>
      </w:r>
      <w:r w:rsidR="00721BA0" w:rsidRPr="00C232A6">
        <w:rPr>
          <w:rFonts w:ascii="Arial" w:hAnsi="Arial" w:cs="Arial"/>
          <w:sz w:val="24"/>
          <w:szCs w:val="24"/>
        </w:rPr>
        <w:t>, and placed him inside a holding cell with nine other detaine</w:t>
      </w:r>
      <w:r w:rsidR="00A35B82" w:rsidRPr="00C232A6">
        <w:rPr>
          <w:rFonts w:ascii="Arial" w:hAnsi="Arial" w:cs="Arial"/>
          <w:sz w:val="24"/>
          <w:szCs w:val="24"/>
        </w:rPr>
        <w:t xml:space="preserve">es. The plaintiff described how, upon his arrival inside the cell, he </w:t>
      </w:r>
      <w:r w:rsidR="00E321A0" w:rsidRPr="00C232A6">
        <w:rPr>
          <w:rFonts w:ascii="Arial" w:hAnsi="Arial" w:cs="Arial"/>
          <w:sz w:val="24"/>
          <w:szCs w:val="24"/>
        </w:rPr>
        <w:t xml:space="preserve">was insulted by the detainees, who searched him and </w:t>
      </w:r>
      <w:r w:rsidR="00AC2924" w:rsidRPr="00C232A6">
        <w:rPr>
          <w:rFonts w:ascii="Arial" w:hAnsi="Arial" w:cs="Arial"/>
          <w:sz w:val="24"/>
          <w:szCs w:val="24"/>
        </w:rPr>
        <w:t>touched his genitals</w:t>
      </w:r>
      <w:r w:rsidR="00D15C3A" w:rsidRPr="00C232A6">
        <w:rPr>
          <w:rFonts w:ascii="Arial" w:hAnsi="Arial" w:cs="Arial"/>
          <w:sz w:val="24"/>
          <w:szCs w:val="24"/>
        </w:rPr>
        <w:t xml:space="preserve">. One of the detainees made sexual advances towards him. </w:t>
      </w:r>
      <w:r w:rsidR="00686B7A" w:rsidRPr="00C232A6">
        <w:rPr>
          <w:rFonts w:ascii="Arial" w:hAnsi="Arial" w:cs="Arial"/>
          <w:sz w:val="24"/>
          <w:szCs w:val="24"/>
        </w:rPr>
        <w:t>Another removed his mattress and blanket.</w:t>
      </w:r>
      <w:r w:rsidR="000461BD" w:rsidRPr="00C232A6">
        <w:rPr>
          <w:rFonts w:ascii="Arial" w:hAnsi="Arial" w:cs="Arial"/>
          <w:sz w:val="24"/>
          <w:szCs w:val="24"/>
        </w:rPr>
        <w:t xml:space="preserve"> He was made to squat next to the toilet and instructed not to sleep</w:t>
      </w:r>
      <w:r w:rsidR="00F551D4" w:rsidRPr="00C232A6">
        <w:rPr>
          <w:rFonts w:ascii="Arial" w:hAnsi="Arial" w:cs="Arial"/>
          <w:sz w:val="24"/>
          <w:szCs w:val="24"/>
        </w:rPr>
        <w:t xml:space="preserve">. He </w:t>
      </w:r>
      <w:r w:rsidR="00AB694E" w:rsidRPr="00C232A6">
        <w:rPr>
          <w:rFonts w:ascii="Arial" w:hAnsi="Arial" w:cs="Arial"/>
          <w:sz w:val="24"/>
          <w:szCs w:val="24"/>
        </w:rPr>
        <w:t xml:space="preserve">stated that the condition of the cell was </w:t>
      </w:r>
      <w:r w:rsidR="000E4B97" w:rsidRPr="00C232A6">
        <w:rPr>
          <w:rFonts w:ascii="Arial" w:hAnsi="Arial" w:cs="Arial"/>
          <w:sz w:val="24"/>
          <w:szCs w:val="24"/>
        </w:rPr>
        <w:t>un</w:t>
      </w:r>
      <w:r w:rsidR="00AB694E" w:rsidRPr="00C232A6">
        <w:rPr>
          <w:rFonts w:ascii="Arial" w:hAnsi="Arial" w:cs="Arial"/>
          <w:sz w:val="24"/>
          <w:szCs w:val="24"/>
        </w:rPr>
        <w:t>fit for a human being.</w:t>
      </w:r>
    </w:p>
    <w:p w14:paraId="3AB890DC" w14:textId="77777777" w:rsidR="007E3CD2" w:rsidRPr="007E3CD2" w:rsidRDefault="007E3CD2" w:rsidP="007E3CD2">
      <w:pPr>
        <w:pStyle w:val="ListParagraph"/>
        <w:rPr>
          <w:rFonts w:ascii="Arial" w:hAnsi="Arial" w:cs="Arial"/>
          <w:sz w:val="24"/>
          <w:szCs w:val="24"/>
        </w:rPr>
      </w:pPr>
    </w:p>
    <w:p w14:paraId="609B7DA9" w14:textId="5889E9A4" w:rsidR="007E3CD2" w:rsidRPr="00C232A6" w:rsidRDefault="00C232A6" w:rsidP="00C232A6">
      <w:pPr>
        <w:spacing w:line="360" w:lineRule="auto"/>
        <w:jc w:val="both"/>
        <w:rPr>
          <w:rFonts w:ascii="Arial" w:hAnsi="Arial" w:cs="Arial"/>
          <w:sz w:val="24"/>
          <w:szCs w:val="24"/>
        </w:rPr>
      </w:pPr>
      <w:r>
        <w:rPr>
          <w:rFonts w:ascii="Arial" w:hAnsi="Arial" w:cs="Arial"/>
          <w:sz w:val="24"/>
          <w:szCs w:val="24"/>
        </w:rPr>
        <w:t>[14]</w:t>
      </w:r>
      <w:r>
        <w:rPr>
          <w:rFonts w:ascii="Arial" w:hAnsi="Arial" w:cs="Arial"/>
          <w:sz w:val="24"/>
          <w:szCs w:val="24"/>
        </w:rPr>
        <w:tab/>
      </w:r>
      <w:r w:rsidR="00AB694E" w:rsidRPr="00C232A6">
        <w:rPr>
          <w:rFonts w:ascii="Arial" w:hAnsi="Arial" w:cs="Arial"/>
          <w:sz w:val="24"/>
          <w:szCs w:val="24"/>
        </w:rPr>
        <w:t xml:space="preserve">On the following day, </w:t>
      </w:r>
      <w:r w:rsidR="00337BE7" w:rsidRPr="00C232A6">
        <w:rPr>
          <w:rFonts w:ascii="Arial" w:hAnsi="Arial" w:cs="Arial"/>
          <w:sz w:val="24"/>
          <w:szCs w:val="24"/>
        </w:rPr>
        <w:t xml:space="preserve">said the plaintiff, he was taken to </w:t>
      </w:r>
      <w:r w:rsidR="00AD361E" w:rsidRPr="00C232A6">
        <w:rPr>
          <w:rFonts w:ascii="Arial" w:hAnsi="Arial" w:cs="Arial"/>
          <w:sz w:val="24"/>
          <w:szCs w:val="24"/>
        </w:rPr>
        <w:t xml:space="preserve">court where the magistrate granted bail of R 300. One of the arresting officers </w:t>
      </w:r>
      <w:r w:rsidR="003C7231" w:rsidRPr="00C232A6">
        <w:rPr>
          <w:rFonts w:ascii="Arial" w:hAnsi="Arial" w:cs="Arial"/>
          <w:sz w:val="24"/>
          <w:szCs w:val="24"/>
        </w:rPr>
        <w:t>paid the amount because the plaintiff had no cash with him.</w:t>
      </w:r>
      <w:r w:rsidR="00856D33" w:rsidRPr="00C232A6">
        <w:rPr>
          <w:rFonts w:ascii="Arial" w:hAnsi="Arial" w:cs="Arial"/>
          <w:sz w:val="24"/>
          <w:szCs w:val="24"/>
        </w:rPr>
        <w:t xml:space="preserve"> The plaintiff subsequently instructed attorneys to represent him in the criminal proceedings</w:t>
      </w:r>
      <w:r w:rsidR="009A0E68" w:rsidRPr="00C232A6">
        <w:rPr>
          <w:rFonts w:ascii="Arial" w:hAnsi="Arial" w:cs="Arial"/>
          <w:sz w:val="24"/>
          <w:szCs w:val="24"/>
        </w:rPr>
        <w:t>, both in East London and Pretoria</w:t>
      </w:r>
      <w:r w:rsidR="0046201B" w:rsidRPr="00C232A6">
        <w:rPr>
          <w:rFonts w:ascii="Arial" w:hAnsi="Arial" w:cs="Arial"/>
          <w:sz w:val="24"/>
          <w:szCs w:val="24"/>
        </w:rPr>
        <w:t xml:space="preserve">, after the case had been transferred to Gauteng. </w:t>
      </w:r>
      <w:r w:rsidR="004258E0" w:rsidRPr="00C232A6">
        <w:rPr>
          <w:rFonts w:ascii="Arial" w:hAnsi="Arial" w:cs="Arial"/>
          <w:sz w:val="24"/>
          <w:szCs w:val="24"/>
        </w:rPr>
        <w:t>The officers failed to attend proceedings and the case was eventually struck off the roll.</w:t>
      </w:r>
    </w:p>
    <w:p w14:paraId="48309C4D" w14:textId="77777777" w:rsidR="007E3CD2" w:rsidRPr="007E3CD2" w:rsidRDefault="007E3CD2" w:rsidP="007E3CD2">
      <w:pPr>
        <w:pStyle w:val="ListParagraph"/>
        <w:rPr>
          <w:rFonts w:ascii="Arial" w:hAnsi="Arial" w:cs="Arial"/>
          <w:sz w:val="24"/>
          <w:szCs w:val="24"/>
        </w:rPr>
      </w:pPr>
    </w:p>
    <w:p w14:paraId="7D44E78D" w14:textId="21E2C992" w:rsidR="007E3CD2" w:rsidRPr="00C232A6" w:rsidRDefault="00C232A6" w:rsidP="00C232A6">
      <w:pPr>
        <w:spacing w:line="360" w:lineRule="auto"/>
        <w:jc w:val="both"/>
        <w:rPr>
          <w:rFonts w:ascii="Arial" w:hAnsi="Arial" w:cs="Arial"/>
          <w:sz w:val="24"/>
          <w:szCs w:val="24"/>
        </w:rPr>
      </w:pPr>
      <w:r>
        <w:rPr>
          <w:rFonts w:ascii="Arial" w:hAnsi="Arial" w:cs="Arial"/>
          <w:sz w:val="24"/>
          <w:szCs w:val="24"/>
        </w:rPr>
        <w:t>[15]</w:t>
      </w:r>
      <w:r>
        <w:rPr>
          <w:rFonts w:ascii="Arial" w:hAnsi="Arial" w:cs="Arial"/>
          <w:sz w:val="24"/>
          <w:szCs w:val="24"/>
        </w:rPr>
        <w:tab/>
      </w:r>
      <w:r w:rsidR="00AB2F60" w:rsidRPr="00C232A6">
        <w:rPr>
          <w:rFonts w:ascii="Arial" w:hAnsi="Arial" w:cs="Arial"/>
          <w:sz w:val="24"/>
          <w:szCs w:val="24"/>
        </w:rPr>
        <w:t xml:space="preserve">The plaintiff </w:t>
      </w:r>
      <w:r w:rsidR="00074BE7" w:rsidRPr="00C232A6">
        <w:rPr>
          <w:rFonts w:ascii="Arial" w:hAnsi="Arial" w:cs="Arial"/>
          <w:sz w:val="24"/>
          <w:szCs w:val="24"/>
        </w:rPr>
        <w:t>testified that his attorneys had billed him for services provided</w:t>
      </w:r>
      <w:r w:rsidR="002D16F8" w:rsidRPr="00C232A6">
        <w:rPr>
          <w:rFonts w:ascii="Arial" w:hAnsi="Arial" w:cs="Arial"/>
          <w:sz w:val="24"/>
          <w:szCs w:val="24"/>
        </w:rPr>
        <w:t xml:space="preserve">. He stated that he owed </w:t>
      </w:r>
      <w:r w:rsidR="009B6914" w:rsidRPr="00C232A6">
        <w:rPr>
          <w:rFonts w:ascii="Arial" w:hAnsi="Arial" w:cs="Arial"/>
          <w:sz w:val="24"/>
          <w:szCs w:val="24"/>
        </w:rPr>
        <w:t xml:space="preserve">Shapiro &amp; Ledwaba Inc the sum </w:t>
      </w:r>
      <w:r w:rsidR="00923056" w:rsidRPr="00C232A6">
        <w:rPr>
          <w:rFonts w:ascii="Arial" w:hAnsi="Arial" w:cs="Arial"/>
          <w:sz w:val="24"/>
          <w:szCs w:val="24"/>
        </w:rPr>
        <w:t>of R 2</w:t>
      </w:r>
      <w:r w:rsidR="00D602C0" w:rsidRPr="00C232A6">
        <w:rPr>
          <w:rFonts w:ascii="Arial" w:hAnsi="Arial" w:cs="Arial"/>
          <w:sz w:val="24"/>
          <w:szCs w:val="24"/>
        </w:rPr>
        <w:t xml:space="preserve">6,998 and owed </w:t>
      </w:r>
      <w:r w:rsidR="002970FD" w:rsidRPr="00C232A6">
        <w:rPr>
          <w:rFonts w:ascii="Arial" w:hAnsi="Arial" w:cs="Arial"/>
          <w:sz w:val="24"/>
          <w:szCs w:val="24"/>
        </w:rPr>
        <w:t xml:space="preserve">Sipunzi Attorneys </w:t>
      </w:r>
      <w:r w:rsidR="00D602C0" w:rsidRPr="00C232A6">
        <w:rPr>
          <w:rFonts w:ascii="Arial" w:hAnsi="Arial" w:cs="Arial"/>
          <w:sz w:val="24"/>
          <w:szCs w:val="24"/>
        </w:rPr>
        <w:t>an amount of R 9,450</w:t>
      </w:r>
      <w:r w:rsidR="00FF2A6C" w:rsidRPr="00C232A6">
        <w:rPr>
          <w:rFonts w:ascii="Arial" w:hAnsi="Arial" w:cs="Arial"/>
          <w:sz w:val="24"/>
          <w:szCs w:val="24"/>
        </w:rPr>
        <w:t>.</w:t>
      </w:r>
    </w:p>
    <w:p w14:paraId="5773F63F" w14:textId="77777777" w:rsidR="007E3CD2" w:rsidRPr="007E3CD2" w:rsidRDefault="007E3CD2" w:rsidP="007E3CD2">
      <w:pPr>
        <w:pStyle w:val="ListParagraph"/>
        <w:rPr>
          <w:rFonts w:ascii="Arial" w:hAnsi="Arial" w:cs="Arial"/>
          <w:sz w:val="24"/>
          <w:szCs w:val="24"/>
        </w:rPr>
      </w:pPr>
    </w:p>
    <w:p w14:paraId="0E1B31EA" w14:textId="775B4853" w:rsidR="007E3CD2" w:rsidRPr="00C232A6" w:rsidRDefault="00C232A6" w:rsidP="00C232A6">
      <w:pPr>
        <w:spacing w:line="360" w:lineRule="auto"/>
        <w:jc w:val="both"/>
        <w:rPr>
          <w:rFonts w:ascii="Arial" w:hAnsi="Arial" w:cs="Arial"/>
          <w:sz w:val="24"/>
          <w:szCs w:val="24"/>
        </w:rPr>
      </w:pPr>
      <w:r>
        <w:rPr>
          <w:rFonts w:ascii="Arial" w:hAnsi="Arial" w:cs="Arial"/>
          <w:sz w:val="24"/>
          <w:szCs w:val="24"/>
        </w:rPr>
        <w:t>[16]</w:t>
      </w:r>
      <w:r>
        <w:rPr>
          <w:rFonts w:ascii="Arial" w:hAnsi="Arial" w:cs="Arial"/>
          <w:sz w:val="24"/>
          <w:szCs w:val="24"/>
        </w:rPr>
        <w:tab/>
      </w:r>
      <w:r w:rsidR="004D08E1" w:rsidRPr="00C232A6">
        <w:rPr>
          <w:rFonts w:ascii="Arial" w:hAnsi="Arial" w:cs="Arial"/>
          <w:sz w:val="24"/>
          <w:szCs w:val="24"/>
        </w:rPr>
        <w:t xml:space="preserve">Regarding the effect that the arrest and detention had had on him, the </w:t>
      </w:r>
      <w:r w:rsidR="00602434" w:rsidRPr="00C232A6">
        <w:rPr>
          <w:rFonts w:ascii="Arial" w:hAnsi="Arial" w:cs="Arial"/>
          <w:sz w:val="24"/>
          <w:szCs w:val="24"/>
        </w:rPr>
        <w:t xml:space="preserve">plaintiff indicated </w:t>
      </w:r>
      <w:r w:rsidR="005D3DF9" w:rsidRPr="00C232A6">
        <w:rPr>
          <w:rFonts w:ascii="Arial" w:hAnsi="Arial" w:cs="Arial"/>
          <w:sz w:val="24"/>
          <w:szCs w:val="24"/>
        </w:rPr>
        <w:t xml:space="preserve">that his reputation had been </w:t>
      </w:r>
      <w:r w:rsidR="002325BF" w:rsidRPr="00C232A6">
        <w:rPr>
          <w:rFonts w:ascii="Arial" w:hAnsi="Arial" w:cs="Arial"/>
          <w:sz w:val="24"/>
          <w:szCs w:val="24"/>
        </w:rPr>
        <w:t xml:space="preserve">severely damaged. </w:t>
      </w:r>
      <w:r w:rsidR="002176DF" w:rsidRPr="00C232A6">
        <w:rPr>
          <w:rFonts w:ascii="Arial" w:hAnsi="Arial" w:cs="Arial"/>
          <w:sz w:val="24"/>
          <w:szCs w:val="24"/>
        </w:rPr>
        <w:t>He</w:t>
      </w:r>
      <w:r w:rsidR="009315B8" w:rsidRPr="00C232A6">
        <w:rPr>
          <w:rFonts w:ascii="Arial" w:hAnsi="Arial" w:cs="Arial"/>
          <w:sz w:val="24"/>
          <w:szCs w:val="24"/>
        </w:rPr>
        <w:t xml:space="preserve"> had previously occupied the pos</w:t>
      </w:r>
      <w:r w:rsidR="00614451" w:rsidRPr="00C232A6">
        <w:rPr>
          <w:rFonts w:ascii="Arial" w:hAnsi="Arial" w:cs="Arial"/>
          <w:sz w:val="24"/>
          <w:szCs w:val="24"/>
        </w:rPr>
        <w:t xml:space="preserve">ition of </w:t>
      </w:r>
      <w:r w:rsidR="002176DF" w:rsidRPr="00C232A6">
        <w:rPr>
          <w:rFonts w:ascii="Arial" w:hAnsi="Arial" w:cs="Arial"/>
          <w:sz w:val="24"/>
          <w:szCs w:val="24"/>
        </w:rPr>
        <w:t>speaker at the Mbhashe Local Municipality</w:t>
      </w:r>
      <w:r w:rsidR="000E4587" w:rsidRPr="00C232A6">
        <w:rPr>
          <w:rFonts w:ascii="Arial" w:hAnsi="Arial" w:cs="Arial"/>
          <w:sz w:val="24"/>
          <w:szCs w:val="24"/>
        </w:rPr>
        <w:t xml:space="preserve">, </w:t>
      </w:r>
      <w:r w:rsidR="00614451" w:rsidRPr="00C232A6">
        <w:rPr>
          <w:rFonts w:ascii="Arial" w:hAnsi="Arial" w:cs="Arial"/>
          <w:sz w:val="24"/>
          <w:szCs w:val="24"/>
        </w:rPr>
        <w:t xml:space="preserve">he was </w:t>
      </w:r>
      <w:r w:rsidR="000E4587" w:rsidRPr="00C232A6">
        <w:rPr>
          <w:rFonts w:ascii="Arial" w:hAnsi="Arial" w:cs="Arial"/>
          <w:sz w:val="24"/>
          <w:szCs w:val="24"/>
        </w:rPr>
        <w:t>a leader in the African National Congress</w:t>
      </w:r>
      <w:r w:rsidR="006F6769" w:rsidRPr="00C232A6">
        <w:rPr>
          <w:rFonts w:ascii="Arial" w:hAnsi="Arial" w:cs="Arial"/>
          <w:sz w:val="24"/>
          <w:szCs w:val="24"/>
        </w:rPr>
        <w:t xml:space="preserve"> (‘ANC’)</w:t>
      </w:r>
      <w:r w:rsidR="000E4587" w:rsidRPr="00C232A6">
        <w:rPr>
          <w:rFonts w:ascii="Arial" w:hAnsi="Arial" w:cs="Arial"/>
          <w:sz w:val="24"/>
          <w:szCs w:val="24"/>
        </w:rPr>
        <w:t xml:space="preserve">, </w:t>
      </w:r>
      <w:r w:rsidR="00614451" w:rsidRPr="00C232A6">
        <w:rPr>
          <w:rFonts w:ascii="Arial" w:hAnsi="Arial" w:cs="Arial"/>
          <w:sz w:val="24"/>
          <w:szCs w:val="24"/>
        </w:rPr>
        <w:t xml:space="preserve">a leader in his church, an advisor </w:t>
      </w:r>
      <w:r w:rsidR="00DE66DF" w:rsidRPr="00C232A6">
        <w:rPr>
          <w:rFonts w:ascii="Arial" w:hAnsi="Arial" w:cs="Arial"/>
          <w:sz w:val="24"/>
          <w:szCs w:val="24"/>
        </w:rPr>
        <w:t xml:space="preserve">to traditional leaders, and </w:t>
      </w:r>
      <w:r w:rsidR="00DE66DF" w:rsidRPr="00C232A6">
        <w:rPr>
          <w:rFonts w:ascii="Arial" w:hAnsi="Arial" w:cs="Arial"/>
          <w:sz w:val="24"/>
          <w:szCs w:val="24"/>
        </w:rPr>
        <w:lastRenderedPageBreak/>
        <w:t>involved in the campaign to end violence against women and children.</w:t>
      </w:r>
      <w:r w:rsidR="00243589" w:rsidRPr="00C232A6">
        <w:rPr>
          <w:rFonts w:ascii="Arial" w:hAnsi="Arial" w:cs="Arial"/>
          <w:sz w:val="24"/>
          <w:szCs w:val="24"/>
        </w:rPr>
        <w:t xml:space="preserve"> </w:t>
      </w:r>
      <w:r w:rsidR="009001ED" w:rsidRPr="00C232A6">
        <w:rPr>
          <w:rFonts w:ascii="Arial" w:hAnsi="Arial" w:cs="Arial"/>
          <w:sz w:val="24"/>
          <w:szCs w:val="24"/>
        </w:rPr>
        <w:t>After</w:t>
      </w:r>
      <w:r w:rsidR="00243589" w:rsidRPr="00C232A6">
        <w:rPr>
          <w:rFonts w:ascii="Arial" w:hAnsi="Arial" w:cs="Arial"/>
          <w:sz w:val="24"/>
          <w:szCs w:val="24"/>
        </w:rPr>
        <w:t xml:space="preserve"> his arrest and detention, </w:t>
      </w:r>
      <w:r w:rsidR="001E6ED5" w:rsidRPr="00C232A6">
        <w:rPr>
          <w:rFonts w:ascii="Arial" w:hAnsi="Arial" w:cs="Arial"/>
          <w:sz w:val="24"/>
          <w:szCs w:val="24"/>
        </w:rPr>
        <w:t>he had lost out on various political deployment opportunities</w:t>
      </w:r>
      <w:r w:rsidR="000A47FC" w:rsidRPr="00C232A6">
        <w:rPr>
          <w:rFonts w:ascii="Arial" w:hAnsi="Arial" w:cs="Arial"/>
          <w:sz w:val="24"/>
          <w:szCs w:val="24"/>
        </w:rPr>
        <w:t xml:space="preserve"> and had </w:t>
      </w:r>
      <w:r w:rsidR="00E71429" w:rsidRPr="00C232A6">
        <w:rPr>
          <w:rFonts w:ascii="Arial" w:hAnsi="Arial" w:cs="Arial"/>
          <w:sz w:val="24"/>
          <w:szCs w:val="24"/>
        </w:rPr>
        <w:t>lost the trust of</w:t>
      </w:r>
      <w:r w:rsidR="00805072" w:rsidRPr="00C232A6">
        <w:rPr>
          <w:rFonts w:ascii="Arial" w:hAnsi="Arial" w:cs="Arial"/>
          <w:sz w:val="24"/>
          <w:szCs w:val="24"/>
        </w:rPr>
        <w:t xml:space="preserve"> members of his church and the community in general. He was </w:t>
      </w:r>
      <w:r w:rsidR="00AB156D" w:rsidRPr="00C232A6">
        <w:rPr>
          <w:rFonts w:ascii="Arial" w:hAnsi="Arial" w:cs="Arial"/>
          <w:sz w:val="24"/>
          <w:szCs w:val="24"/>
        </w:rPr>
        <w:t xml:space="preserve">perceived as a criminal. </w:t>
      </w:r>
      <w:r w:rsidR="00A778CA" w:rsidRPr="00C232A6">
        <w:rPr>
          <w:rFonts w:ascii="Arial" w:hAnsi="Arial" w:cs="Arial"/>
          <w:sz w:val="24"/>
          <w:szCs w:val="24"/>
        </w:rPr>
        <w:t xml:space="preserve">Consequently, he had experienced </w:t>
      </w:r>
      <w:r w:rsidR="00DD09F3" w:rsidRPr="00C232A6">
        <w:rPr>
          <w:rFonts w:ascii="Arial" w:hAnsi="Arial" w:cs="Arial"/>
          <w:sz w:val="24"/>
          <w:szCs w:val="24"/>
        </w:rPr>
        <w:t xml:space="preserve">embarrassment, a lowering of his dignity, and </w:t>
      </w:r>
      <w:r w:rsidR="00A778CA" w:rsidRPr="00C232A6">
        <w:rPr>
          <w:rFonts w:ascii="Arial" w:hAnsi="Arial" w:cs="Arial"/>
          <w:sz w:val="24"/>
          <w:szCs w:val="24"/>
        </w:rPr>
        <w:t>a loss of self-esteem</w:t>
      </w:r>
      <w:r w:rsidR="00F52EFA" w:rsidRPr="00C232A6">
        <w:rPr>
          <w:rFonts w:ascii="Arial" w:hAnsi="Arial" w:cs="Arial"/>
          <w:sz w:val="24"/>
          <w:szCs w:val="24"/>
        </w:rPr>
        <w:t>.</w:t>
      </w:r>
    </w:p>
    <w:p w14:paraId="44568CC3" w14:textId="77777777" w:rsidR="007E3CD2" w:rsidRPr="007E3CD2" w:rsidRDefault="007E3CD2" w:rsidP="007E3CD2">
      <w:pPr>
        <w:pStyle w:val="ListParagraph"/>
        <w:rPr>
          <w:rFonts w:ascii="Arial" w:hAnsi="Arial" w:cs="Arial"/>
          <w:sz w:val="24"/>
          <w:szCs w:val="24"/>
        </w:rPr>
      </w:pPr>
    </w:p>
    <w:p w14:paraId="58EEC553" w14:textId="311BCB95" w:rsidR="007E3CD2" w:rsidRPr="00C232A6" w:rsidRDefault="00C232A6" w:rsidP="00C232A6">
      <w:pPr>
        <w:spacing w:line="360" w:lineRule="auto"/>
        <w:jc w:val="both"/>
        <w:rPr>
          <w:rFonts w:ascii="Arial" w:hAnsi="Arial" w:cs="Arial"/>
          <w:sz w:val="24"/>
          <w:szCs w:val="24"/>
        </w:rPr>
      </w:pPr>
      <w:r>
        <w:rPr>
          <w:rFonts w:ascii="Arial" w:hAnsi="Arial" w:cs="Arial"/>
          <w:sz w:val="24"/>
          <w:szCs w:val="24"/>
        </w:rPr>
        <w:t>[17]</w:t>
      </w:r>
      <w:r>
        <w:rPr>
          <w:rFonts w:ascii="Arial" w:hAnsi="Arial" w:cs="Arial"/>
          <w:sz w:val="24"/>
          <w:szCs w:val="24"/>
        </w:rPr>
        <w:tab/>
      </w:r>
      <w:r w:rsidR="00614D00" w:rsidRPr="00C232A6">
        <w:rPr>
          <w:rFonts w:ascii="Arial" w:hAnsi="Arial" w:cs="Arial"/>
          <w:sz w:val="24"/>
          <w:szCs w:val="24"/>
        </w:rPr>
        <w:t xml:space="preserve">Under cross-examination, the plaintiff </w:t>
      </w:r>
      <w:r w:rsidR="008D4542" w:rsidRPr="00C232A6">
        <w:rPr>
          <w:rFonts w:ascii="Arial" w:hAnsi="Arial" w:cs="Arial"/>
          <w:sz w:val="24"/>
          <w:szCs w:val="24"/>
        </w:rPr>
        <w:t>admitted that</w:t>
      </w:r>
      <w:r w:rsidR="009327F2" w:rsidRPr="00C232A6">
        <w:rPr>
          <w:rFonts w:ascii="Arial" w:hAnsi="Arial" w:cs="Arial"/>
          <w:sz w:val="24"/>
          <w:szCs w:val="24"/>
        </w:rPr>
        <w:t xml:space="preserve"> the amended order prevented him from </w:t>
      </w:r>
      <w:r w:rsidR="00393865" w:rsidRPr="00C232A6">
        <w:rPr>
          <w:rFonts w:ascii="Arial" w:hAnsi="Arial" w:cs="Arial"/>
          <w:sz w:val="24"/>
          <w:szCs w:val="24"/>
        </w:rPr>
        <w:t xml:space="preserve">inflicting physical and emotional abuse on his </w:t>
      </w:r>
      <w:r w:rsidR="008072E6" w:rsidRPr="00C232A6">
        <w:rPr>
          <w:rFonts w:ascii="Arial" w:hAnsi="Arial" w:cs="Arial"/>
          <w:sz w:val="24"/>
          <w:szCs w:val="24"/>
        </w:rPr>
        <w:t>ex-wife.</w:t>
      </w:r>
      <w:r w:rsidR="00C03D02" w:rsidRPr="00C232A6">
        <w:rPr>
          <w:rFonts w:ascii="Arial" w:hAnsi="Arial" w:cs="Arial"/>
          <w:sz w:val="24"/>
          <w:szCs w:val="24"/>
        </w:rPr>
        <w:t xml:space="preserve"> He denied that he had violated the order but conceded that his ex-wife had </w:t>
      </w:r>
      <w:r w:rsidR="00AD77DF" w:rsidRPr="00C232A6">
        <w:rPr>
          <w:rFonts w:ascii="Arial" w:hAnsi="Arial" w:cs="Arial"/>
          <w:sz w:val="24"/>
          <w:szCs w:val="24"/>
        </w:rPr>
        <w:t xml:space="preserve">laid a complaint against him and </w:t>
      </w:r>
      <w:r w:rsidR="002F7F71" w:rsidRPr="00C232A6">
        <w:rPr>
          <w:rFonts w:ascii="Arial" w:hAnsi="Arial" w:cs="Arial"/>
          <w:sz w:val="24"/>
          <w:szCs w:val="24"/>
        </w:rPr>
        <w:t xml:space="preserve">had </w:t>
      </w:r>
      <w:r w:rsidR="00AD77DF" w:rsidRPr="00C232A6">
        <w:rPr>
          <w:rFonts w:ascii="Arial" w:hAnsi="Arial" w:cs="Arial"/>
          <w:sz w:val="24"/>
          <w:szCs w:val="24"/>
        </w:rPr>
        <w:t xml:space="preserve">made </w:t>
      </w:r>
      <w:r w:rsidR="00444566" w:rsidRPr="00C232A6">
        <w:rPr>
          <w:rFonts w:ascii="Arial" w:hAnsi="Arial" w:cs="Arial"/>
          <w:sz w:val="24"/>
          <w:szCs w:val="24"/>
        </w:rPr>
        <w:t>allegation</w:t>
      </w:r>
      <w:r w:rsidR="002F7F71" w:rsidRPr="00C232A6">
        <w:rPr>
          <w:rFonts w:ascii="Arial" w:hAnsi="Arial" w:cs="Arial"/>
          <w:sz w:val="24"/>
          <w:szCs w:val="24"/>
        </w:rPr>
        <w:t>s</w:t>
      </w:r>
      <w:r w:rsidR="00444566" w:rsidRPr="00C232A6">
        <w:rPr>
          <w:rFonts w:ascii="Arial" w:hAnsi="Arial" w:cs="Arial"/>
          <w:sz w:val="24"/>
          <w:szCs w:val="24"/>
        </w:rPr>
        <w:t>.</w:t>
      </w:r>
      <w:r w:rsidR="003E582D" w:rsidRPr="00C232A6">
        <w:rPr>
          <w:rFonts w:ascii="Arial" w:hAnsi="Arial" w:cs="Arial"/>
          <w:sz w:val="24"/>
          <w:szCs w:val="24"/>
        </w:rPr>
        <w:t xml:space="preserve"> He also conceded that she had </w:t>
      </w:r>
      <w:r w:rsidR="00B62DB7" w:rsidRPr="00C232A6">
        <w:rPr>
          <w:rFonts w:ascii="Arial" w:hAnsi="Arial" w:cs="Arial"/>
          <w:sz w:val="24"/>
          <w:szCs w:val="24"/>
        </w:rPr>
        <w:t xml:space="preserve">applied for orders </w:t>
      </w:r>
      <w:r w:rsidR="00D6770C" w:rsidRPr="00C232A6">
        <w:rPr>
          <w:rFonts w:ascii="Arial" w:hAnsi="Arial" w:cs="Arial"/>
          <w:sz w:val="24"/>
          <w:szCs w:val="24"/>
        </w:rPr>
        <w:t xml:space="preserve">against him </w:t>
      </w:r>
      <w:r w:rsidR="00B62DB7" w:rsidRPr="00C232A6">
        <w:rPr>
          <w:rFonts w:ascii="Arial" w:hAnsi="Arial" w:cs="Arial"/>
          <w:sz w:val="24"/>
          <w:szCs w:val="24"/>
        </w:rPr>
        <w:t>in both East London and Pretoria.</w:t>
      </w:r>
    </w:p>
    <w:p w14:paraId="5B14DD03" w14:textId="77777777" w:rsidR="007E3CD2" w:rsidRPr="007E3CD2" w:rsidRDefault="007E3CD2" w:rsidP="007E3CD2">
      <w:pPr>
        <w:pStyle w:val="ListParagraph"/>
        <w:rPr>
          <w:rFonts w:ascii="Arial" w:hAnsi="Arial" w:cs="Arial"/>
          <w:sz w:val="24"/>
          <w:szCs w:val="24"/>
        </w:rPr>
      </w:pPr>
    </w:p>
    <w:p w14:paraId="5C5354CE" w14:textId="674CF130" w:rsidR="007E3CD2" w:rsidRPr="00C232A6" w:rsidRDefault="00C232A6" w:rsidP="00C232A6">
      <w:pPr>
        <w:spacing w:line="360" w:lineRule="auto"/>
        <w:jc w:val="both"/>
        <w:rPr>
          <w:rFonts w:ascii="Arial" w:hAnsi="Arial" w:cs="Arial"/>
          <w:sz w:val="24"/>
          <w:szCs w:val="24"/>
        </w:rPr>
      </w:pPr>
      <w:r>
        <w:rPr>
          <w:rFonts w:ascii="Arial" w:hAnsi="Arial" w:cs="Arial"/>
          <w:sz w:val="24"/>
          <w:szCs w:val="24"/>
        </w:rPr>
        <w:t>[18]</w:t>
      </w:r>
      <w:r>
        <w:rPr>
          <w:rFonts w:ascii="Arial" w:hAnsi="Arial" w:cs="Arial"/>
          <w:sz w:val="24"/>
          <w:szCs w:val="24"/>
        </w:rPr>
        <w:tab/>
      </w:r>
      <w:r w:rsidR="00A87BFD" w:rsidRPr="00C232A6">
        <w:rPr>
          <w:rFonts w:ascii="Arial" w:hAnsi="Arial" w:cs="Arial"/>
          <w:sz w:val="24"/>
          <w:szCs w:val="24"/>
        </w:rPr>
        <w:t xml:space="preserve">In relation to </w:t>
      </w:r>
      <w:r w:rsidR="00692282" w:rsidRPr="00C232A6">
        <w:rPr>
          <w:rFonts w:ascii="Arial" w:hAnsi="Arial" w:cs="Arial"/>
          <w:sz w:val="24"/>
          <w:szCs w:val="24"/>
        </w:rPr>
        <w:t xml:space="preserve">his divorce proceedings, the plaintiff </w:t>
      </w:r>
      <w:r w:rsidR="00EA023E" w:rsidRPr="00C232A6">
        <w:rPr>
          <w:rFonts w:ascii="Arial" w:hAnsi="Arial" w:cs="Arial"/>
          <w:sz w:val="24"/>
          <w:szCs w:val="24"/>
        </w:rPr>
        <w:t>averred that his ex-wife was using the orders to exclude him from his share of the joint estate.</w:t>
      </w:r>
      <w:r w:rsidR="003C397C" w:rsidRPr="00C232A6">
        <w:rPr>
          <w:rFonts w:ascii="Arial" w:hAnsi="Arial" w:cs="Arial"/>
          <w:sz w:val="24"/>
          <w:szCs w:val="24"/>
        </w:rPr>
        <w:t xml:space="preserve"> He stated that she had pressed</w:t>
      </w:r>
      <w:r w:rsidR="00BD5330" w:rsidRPr="00C232A6">
        <w:rPr>
          <w:rFonts w:ascii="Arial" w:hAnsi="Arial" w:cs="Arial"/>
          <w:sz w:val="24"/>
          <w:szCs w:val="24"/>
        </w:rPr>
        <w:t xml:space="preserve"> a charge of theft against him</w:t>
      </w:r>
      <w:r w:rsidR="003D1822" w:rsidRPr="00C232A6">
        <w:rPr>
          <w:rFonts w:ascii="Arial" w:hAnsi="Arial" w:cs="Arial"/>
          <w:sz w:val="24"/>
          <w:szCs w:val="24"/>
        </w:rPr>
        <w:t xml:space="preserve">, alleging theft of the motor vehicle. He admitted that </w:t>
      </w:r>
      <w:r w:rsidR="00EB7F3D" w:rsidRPr="00C232A6">
        <w:rPr>
          <w:rFonts w:ascii="Arial" w:hAnsi="Arial" w:cs="Arial"/>
          <w:sz w:val="24"/>
          <w:szCs w:val="24"/>
        </w:rPr>
        <w:t>his ex-wife had also pressed a charge of rape.</w:t>
      </w:r>
      <w:r w:rsidR="00607C28" w:rsidRPr="00C232A6">
        <w:rPr>
          <w:rFonts w:ascii="Arial" w:hAnsi="Arial" w:cs="Arial"/>
          <w:sz w:val="24"/>
          <w:szCs w:val="24"/>
        </w:rPr>
        <w:t xml:space="preserve"> The </w:t>
      </w:r>
      <w:r w:rsidR="007C025D" w:rsidRPr="00C232A6">
        <w:rPr>
          <w:rFonts w:ascii="Arial" w:hAnsi="Arial" w:cs="Arial"/>
          <w:sz w:val="24"/>
          <w:szCs w:val="24"/>
        </w:rPr>
        <w:t xml:space="preserve">resulting </w:t>
      </w:r>
      <w:r w:rsidR="00291228" w:rsidRPr="00C232A6">
        <w:rPr>
          <w:rFonts w:ascii="Arial" w:hAnsi="Arial" w:cs="Arial"/>
          <w:sz w:val="24"/>
          <w:szCs w:val="24"/>
        </w:rPr>
        <w:t xml:space="preserve">criminal proceedings </w:t>
      </w:r>
      <w:r w:rsidR="00607C28" w:rsidRPr="00C232A6">
        <w:rPr>
          <w:rFonts w:ascii="Arial" w:hAnsi="Arial" w:cs="Arial"/>
          <w:sz w:val="24"/>
          <w:szCs w:val="24"/>
        </w:rPr>
        <w:t xml:space="preserve">had, however, </w:t>
      </w:r>
      <w:r w:rsidR="00291228" w:rsidRPr="00C232A6">
        <w:rPr>
          <w:rFonts w:ascii="Arial" w:hAnsi="Arial" w:cs="Arial"/>
          <w:sz w:val="24"/>
          <w:szCs w:val="24"/>
        </w:rPr>
        <w:t>come to nothing</w:t>
      </w:r>
      <w:r w:rsidR="007C025D" w:rsidRPr="00C232A6">
        <w:rPr>
          <w:rFonts w:ascii="Arial" w:hAnsi="Arial" w:cs="Arial"/>
          <w:sz w:val="24"/>
          <w:szCs w:val="24"/>
        </w:rPr>
        <w:t>.</w:t>
      </w:r>
      <w:r w:rsidR="00272D2D" w:rsidRPr="00C232A6">
        <w:rPr>
          <w:rFonts w:ascii="Arial" w:hAnsi="Arial" w:cs="Arial"/>
          <w:sz w:val="24"/>
          <w:szCs w:val="24"/>
        </w:rPr>
        <w:t xml:space="preserve"> </w:t>
      </w:r>
    </w:p>
    <w:p w14:paraId="03E94A77" w14:textId="77777777" w:rsidR="007E3CD2" w:rsidRPr="007E3CD2" w:rsidRDefault="007E3CD2" w:rsidP="007E3CD2">
      <w:pPr>
        <w:pStyle w:val="ListParagraph"/>
        <w:rPr>
          <w:rFonts w:ascii="Arial" w:hAnsi="Arial" w:cs="Arial"/>
          <w:sz w:val="24"/>
          <w:szCs w:val="24"/>
        </w:rPr>
      </w:pPr>
    </w:p>
    <w:p w14:paraId="002E8200" w14:textId="500BF88A" w:rsidR="005419F5" w:rsidRPr="00C232A6" w:rsidRDefault="00C232A6" w:rsidP="00C232A6">
      <w:pPr>
        <w:spacing w:line="360" w:lineRule="auto"/>
        <w:jc w:val="both"/>
        <w:rPr>
          <w:rFonts w:ascii="Arial" w:hAnsi="Arial" w:cs="Arial"/>
          <w:sz w:val="24"/>
          <w:szCs w:val="24"/>
        </w:rPr>
      </w:pPr>
      <w:r w:rsidRPr="007E3CD2">
        <w:rPr>
          <w:rFonts w:ascii="Arial" w:hAnsi="Arial" w:cs="Arial"/>
          <w:sz w:val="24"/>
          <w:szCs w:val="24"/>
        </w:rPr>
        <w:t>[19]</w:t>
      </w:r>
      <w:r w:rsidRPr="007E3CD2">
        <w:rPr>
          <w:rFonts w:ascii="Arial" w:hAnsi="Arial" w:cs="Arial"/>
          <w:sz w:val="24"/>
          <w:szCs w:val="24"/>
        </w:rPr>
        <w:tab/>
      </w:r>
      <w:r w:rsidR="00170CDB" w:rsidRPr="00C232A6">
        <w:rPr>
          <w:rFonts w:ascii="Arial" w:hAnsi="Arial" w:cs="Arial"/>
          <w:sz w:val="24"/>
          <w:szCs w:val="24"/>
        </w:rPr>
        <w:t xml:space="preserve">Still under cross-examination, the plaintiff admitted that he had been unemployed. </w:t>
      </w:r>
      <w:r w:rsidR="006F6769" w:rsidRPr="00C232A6">
        <w:rPr>
          <w:rFonts w:ascii="Arial" w:hAnsi="Arial" w:cs="Arial"/>
          <w:sz w:val="24"/>
          <w:szCs w:val="24"/>
        </w:rPr>
        <w:t>The ANC had</w:t>
      </w:r>
      <w:r w:rsidR="009A4B0D" w:rsidRPr="00C232A6">
        <w:rPr>
          <w:rFonts w:ascii="Arial" w:hAnsi="Arial" w:cs="Arial"/>
          <w:sz w:val="24"/>
          <w:szCs w:val="24"/>
        </w:rPr>
        <w:t>, nevertheless, looked after him</w:t>
      </w:r>
      <w:r w:rsidR="005E4454" w:rsidRPr="00C232A6">
        <w:rPr>
          <w:rFonts w:ascii="Arial" w:hAnsi="Arial" w:cs="Arial"/>
          <w:sz w:val="24"/>
          <w:szCs w:val="24"/>
        </w:rPr>
        <w:t>.</w:t>
      </w:r>
      <w:r w:rsidR="0051639E" w:rsidRPr="00C232A6">
        <w:rPr>
          <w:rFonts w:ascii="Arial" w:hAnsi="Arial" w:cs="Arial"/>
          <w:sz w:val="24"/>
          <w:szCs w:val="24"/>
        </w:rPr>
        <w:t xml:space="preserve"> </w:t>
      </w:r>
      <w:r w:rsidR="00A81DE3" w:rsidRPr="00C232A6">
        <w:rPr>
          <w:rFonts w:ascii="Arial" w:hAnsi="Arial" w:cs="Arial"/>
          <w:sz w:val="24"/>
          <w:szCs w:val="24"/>
        </w:rPr>
        <w:t xml:space="preserve">Its assistance had come to an end after </w:t>
      </w:r>
      <w:r w:rsidR="0025276C" w:rsidRPr="00C232A6">
        <w:rPr>
          <w:rFonts w:ascii="Arial" w:hAnsi="Arial" w:cs="Arial"/>
          <w:sz w:val="24"/>
          <w:szCs w:val="24"/>
        </w:rPr>
        <w:t>his arrest and detention</w:t>
      </w:r>
      <w:r w:rsidR="00CD0BDB" w:rsidRPr="00C232A6">
        <w:rPr>
          <w:rFonts w:ascii="Arial" w:hAnsi="Arial" w:cs="Arial"/>
          <w:sz w:val="24"/>
          <w:szCs w:val="24"/>
        </w:rPr>
        <w:t>.</w:t>
      </w:r>
      <w:r w:rsidR="00572C0E" w:rsidRPr="00C232A6">
        <w:rPr>
          <w:rFonts w:ascii="Arial" w:hAnsi="Arial" w:cs="Arial"/>
          <w:sz w:val="24"/>
          <w:szCs w:val="24"/>
        </w:rPr>
        <w:t xml:space="preserve"> He </w:t>
      </w:r>
      <w:r w:rsidR="00D66187" w:rsidRPr="00C232A6">
        <w:rPr>
          <w:rFonts w:ascii="Arial" w:hAnsi="Arial" w:cs="Arial"/>
          <w:sz w:val="24"/>
          <w:szCs w:val="24"/>
        </w:rPr>
        <w:t>did not dispute that he had been in custody for less than 24 hours</w:t>
      </w:r>
      <w:r w:rsidR="003442F5" w:rsidRPr="00C232A6">
        <w:rPr>
          <w:rFonts w:ascii="Arial" w:hAnsi="Arial" w:cs="Arial"/>
          <w:sz w:val="24"/>
          <w:szCs w:val="24"/>
        </w:rPr>
        <w:t xml:space="preserve"> </w:t>
      </w:r>
      <w:r w:rsidR="00417CB8" w:rsidRPr="00C232A6">
        <w:rPr>
          <w:rFonts w:ascii="Arial" w:hAnsi="Arial" w:cs="Arial"/>
          <w:sz w:val="24"/>
          <w:szCs w:val="24"/>
        </w:rPr>
        <w:t xml:space="preserve">and agreed </w:t>
      </w:r>
      <w:r w:rsidR="001A0075" w:rsidRPr="00C232A6">
        <w:rPr>
          <w:rFonts w:ascii="Arial" w:hAnsi="Arial" w:cs="Arial"/>
          <w:sz w:val="24"/>
          <w:szCs w:val="24"/>
        </w:rPr>
        <w:t xml:space="preserve">that the reason for the officers having proceeded against </w:t>
      </w:r>
      <w:r w:rsidR="00417CB8" w:rsidRPr="00C232A6">
        <w:rPr>
          <w:rFonts w:ascii="Arial" w:hAnsi="Arial" w:cs="Arial"/>
          <w:sz w:val="24"/>
          <w:szCs w:val="24"/>
        </w:rPr>
        <w:t>was his ex-wife’s complaint</w:t>
      </w:r>
      <w:r w:rsidR="003442F5" w:rsidRPr="00C232A6">
        <w:rPr>
          <w:rFonts w:ascii="Arial" w:hAnsi="Arial" w:cs="Arial"/>
          <w:sz w:val="24"/>
          <w:szCs w:val="24"/>
        </w:rPr>
        <w:t xml:space="preserve">, which stemmed from the tumultuous </w:t>
      </w:r>
      <w:r w:rsidR="00FE7744" w:rsidRPr="00C232A6">
        <w:rPr>
          <w:rFonts w:ascii="Arial" w:hAnsi="Arial" w:cs="Arial"/>
          <w:sz w:val="24"/>
          <w:szCs w:val="24"/>
        </w:rPr>
        <w:t>relationship that he had with her.</w:t>
      </w:r>
      <w:r w:rsidR="003442F5" w:rsidRPr="00C232A6">
        <w:rPr>
          <w:rFonts w:ascii="Arial" w:hAnsi="Arial" w:cs="Arial"/>
          <w:sz w:val="24"/>
          <w:szCs w:val="24"/>
        </w:rPr>
        <w:t xml:space="preserve"> </w:t>
      </w:r>
      <w:r w:rsidR="005419F5" w:rsidRPr="00C232A6">
        <w:rPr>
          <w:rFonts w:ascii="Arial" w:hAnsi="Arial" w:cs="Arial"/>
          <w:sz w:val="24"/>
          <w:szCs w:val="24"/>
        </w:rPr>
        <w:t>The plaintiff conceded that he had not yet settled his attorneys’ outstanding fees but said that they had permitted him an opportunity to do so in due course.</w:t>
      </w:r>
    </w:p>
    <w:p w14:paraId="746C8531" w14:textId="77777777" w:rsidR="00426EDB" w:rsidRDefault="00426EDB" w:rsidP="00EC0D2D">
      <w:pPr>
        <w:spacing w:line="360" w:lineRule="auto"/>
        <w:rPr>
          <w:rFonts w:ascii="Arial" w:hAnsi="Arial" w:cs="Arial"/>
          <w:sz w:val="24"/>
          <w:szCs w:val="24"/>
        </w:rPr>
      </w:pPr>
    </w:p>
    <w:p w14:paraId="596A2671" w14:textId="6A1A1BA6" w:rsidR="000C6E80" w:rsidRPr="005D0426" w:rsidRDefault="000C6E80" w:rsidP="00EC0D2D">
      <w:pPr>
        <w:spacing w:line="360" w:lineRule="auto"/>
        <w:rPr>
          <w:rFonts w:ascii="Arial" w:hAnsi="Arial" w:cs="Arial"/>
          <w:b/>
          <w:bCs/>
          <w:sz w:val="24"/>
          <w:szCs w:val="24"/>
        </w:rPr>
      </w:pPr>
      <w:r w:rsidRPr="005D0426">
        <w:rPr>
          <w:rFonts w:ascii="Arial" w:hAnsi="Arial" w:cs="Arial"/>
          <w:b/>
          <w:bCs/>
          <w:sz w:val="24"/>
          <w:szCs w:val="24"/>
        </w:rPr>
        <w:t>Legal framework</w:t>
      </w:r>
    </w:p>
    <w:p w14:paraId="509F3F40" w14:textId="77777777" w:rsidR="000C6E80" w:rsidRDefault="000C6E80" w:rsidP="00EC0D2D">
      <w:pPr>
        <w:spacing w:line="360" w:lineRule="auto"/>
        <w:rPr>
          <w:rFonts w:ascii="Arial" w:hAnsi="Arial" w:cs="Arial"/>
          <w:sz w:val="24"/>
          <w:szCs w:val="24"/>
        </w:rPr>
      </w:pPr>
    </w:p>
    <w:p w14:paraId="4A13B0E8" w14:textId="5CC5D9C2" w:rsidR="007E3CD2" w:rsidRPr="00C232A6" w:rsidRDefault="00C232A6" w:rsidP="00C232A6">
      <w:pPr>
        <w:spacing w:line="360" w:lineRule="auto"/>
        <w:jc w:val="both"/>
        <w:rPr>
          <w:rFonts w:ascii="Arial" w:hAnsi="Arial" w:cs="Arial"/>
          <w:sz w:val="24"/>
          <w:szCs w:val="24"/>
        </w:rPr>
      </w:pPr>
      <w:r>
        <w:rPr>
          <w:rFonts w:ascii="Arial" w:hAnsi="Arial" w:cs="Arial"/>
          <w:sz w:val="24"/>
          <w:szCs w:val="24"/>
        </w:rPr>
        <w:lastRenderedPageBreak/>
        <w:t>[20]</w:t>
      </w:r>
      <w:r>
        <w:rPr>
          <w:rFonts w:ascii="Arial" w:hAnsi="Arial" w:cs="Arial"/>
          <w:sz w:val="24"/>
          <w:szCs w:val="24"/>
        </w:rPr>
        <w:tab/>
      </w:r>
      <w:r w:rsidR="000C6E80" w:rsidRPr="00C232A6">
        <w:rPr>
          <w:rFonts w:ascii="Arial" w:hAnsi="Arial" w:cs="Arial"/>
          <w:sz w:val="24"/>
          <w:szCs w:val="24"/>
        </w:rPr>
        <w:t>The principles that are relevant to the matter will be discussed</w:t>
      </w:r>
      <w:r w:rsidR="005D0426" w:rsidRPr="00C232A6">
        <w:rPr>
          <w:rFonts w:ascii="Arial" w:hAnsi="Arial" w:cs="Arial"/>
          <w:sz w:val="24"/>
          <w:szCs w:val="24"/>
        </w:rPr>
        <w:t xml:space="preserve"> in the paragraphs that follow.</w:t>
      </w:r>
    </w:p>
    <w:p w14:paraId="0D70E15F" w14:textId="77777777" w:rsidR="007E3CD2" w:rsidRDefault="007E3CD2" w:rsidP="007E3CD2">
      <w:pPr>
        <w:pStyle w:val="ListParagraph"/>
        <w:spacing w:line="360" w:lineRule="auto"/>
        <w:ind w:left="0"/>
        <w:jc w:val="both"/>
        <w:rPr>
          <w:rFonts w:ascii="Arial" w:hAnsi="Arial" w:cs="Arial"/>
          <w:sz w:val="24"/>
          <w:szCs w:val="24"/>
        </w:rPr>
      </w:pPr>
    </w:p>
    <w:p w14:paraId="3789F722" w14:textId="6BC6D214" w:rsidR="00736F06" w:rsidRPr="00C232A6" w:rsidRDefault="00C232A6" w:rsidP="00C232A6">
      <w:pPr>
        <w:spacing w:line="360" w:lineRule="auto"/>
        <w:jc w:val="both"/>
        <w:rPr>
          <w:rFonts w:ascii="Arial" w:hAnsi="Arial" w:cs="Arial"/>
          <w:sz w:val="24"/>
          <w:szCs w:val="24"/>
        </w:rPr>
      </w:pPr>
      <w:r w:rsidRPr="007E3CD2">
        <w:rPr>
          <w:rFonts w:ascii="Arial" w:hAnsi="Arial" w:cs="Arial"/>
          <w:sz w:val="24"/>
          <w:szCs w:val="24"/>
        </w:rPr>
        <w:t>[21]</w:t>
      </w:r>
      <w:r w:rsidRPr="007E3CD2">
        <w:rPr>
          <w:rFonts w:ascii="Arial" w:hAnsi="Arial" w:cs="Arial"/>
          <w:sz w:val="24"/>
          <w:szCs w:val="24"/>
        </w:rPr>
        <w:tab/>
      </w:r>
      <w:r w:rsidR="00736F06" w:rsidRPr="00C232A6">
        <w:rPr>
          <w:rFonts w:ascii="Arial" w:hAnsi="Arial" w:cs="Arial"/>
          <w:sz w:val="24"/>
          <w:szCs w:val="24"/>
        </w:rPr>
        <w:t xml:space="preserve">As a starting point, it is helpful to refer to </w:t>
      </w:r>
      <w:r w:rsidR="00793F0C" w:rsidRPr="00C232A6">
        <w:rPr>
          <w:rFonts w:ascii="Arial" w:hAnsi="Arial" w:cs="Arial"/>
          <w:sz w:val="24"/>
          <w:szCs w:val="24"/>
        </w:rPr>
        <w:t xml:space="preserve">the </w:t>
      </w:r>
      <w:r w:rsidR="001F39D4" w:rsidRPr="00C232A6">
        <w:rPr>
          <w:rFonts w:ascii="Arial" w:hAnsi="Arial" w:cs="Arial"/>
          <w:sz w:val="24"/>
          <w:szCs w:val="24"/>
        </w:rPr>
        <w:t>observations made by Potgieter (et al):</w:t>
      </w:r>
      <w:r w:rsidR="001F39D4">
        <w:rPr>
          <w:rStyle w:val="FootnoteReference"/>
          <w:rFonts w:ascii="Arial" w:hAnsi="Arial" w:cs="Arial"/>
          <w:sz w:val="24"/>
          <w:szCs w:val="24"/>
        </w:rPr>
        <w:footnoteReference w:id="1"/>
      </w:r>
    </w:p>
    <w:p w14:paraId="4AECC7E3" w14:textId="087DE8C8" w:rsidR="003C05A7" w:rsidRPr="00DD3E96" w:rsidRDefault="00FE08A4" w:rsidP="007E3CD2">
      <w:pPr>
        <w:spacing w:line="360" w:lineRule="auto"/>
        <w:ind w:left="720"/>
        <w:jc w:val="both"/>
        <w:rPr>
          <w:rFonts w:ascii="Arial" w:hAnsi="Arial" w:cs="Arial"/>
          <w:sz w:val="20"/>
          <w:szCs w:val="20"/>
        </w:rPr>
      </w:pPr>
      <w:r w:rsidRPr="00DD3E96">
        <w:rPr>
          <w:rFonts w:ascii="Arial" w:hAnsi="Arial" w:cs="Arial"/>
          <w:sz w:val="20"/>
          <w:szCs w:val="20"/>
        </w:rPr>
        <w:t>‘</w:t>
      </w:r>
      <w:r w:rsidR="00E816AE" w:rsidRPr="00DD3E96">
        <w:rPr>
          <w:rFonts w:ascii="Arial" w:hAnsi="Arial" w:cs="Arial"/>
          <w:sz w:val="20"/>
          <w:szCs w:val="20"/>
        </w:rPr>
        <w:t xml:space="preserve">In deprivation of </w:t>
      </w:r>
      <w:r w:rsidR="002A4DDF" w:rsidRPr="00DD3E96">
        <w:rPr>
          <w:rFonts w:ascii="Arial" w:hAnsi="Arial" w:cs="Arial"/>
          <w:sz w:val="20"/>
          <w:szCs w:val="20"/>
        </w:rPr>
        <w:t xml:space="preserve">liberty the amount of satisfaction is in the discretion of the court and calculated </w:t>
      </w:r>
      <w:r w:rsidR="002A4DDF" w:rsidRPr="00DD3E96">
        <w:rPr>
          <w:rFonts w:ascii="Arial" w:hAnsi="Arial" w:cs="Arial"/>
          <w:i/>
          <w:iCs/>
          <w:sz w:val="20"/>
          <w:szCs w:val="20"/>
        </w:rPr>
        <w:t>ex ae</w:t>
      </w:r>
      <w:r w:rsidR="00A61A35" w:rsidRPr="00DD3E96">
        <w:rPr>
          <w:rFonts w:ascii="Arial" w:hAnsi="Arial" w:cs="Arial"/>
          <w:i/>
          <w:iCs/>
          <w:sz w:val="20"/>
          <w:szCs w:val="20"/>
        </w:rPr>
        <w:t>quo et bono</w:t>
      </w:r>
      <w:r w:rsidR="00A61A35" w:rsidRPr="00DD3E96">
        <w:rPr>
          <w:rFonts w:ascii="Arial" w:hAnsi="Arial" w:cs="Arial"/>
          <w:sz w:val="20"/>
          <w:szCs w:val="20"/>
        </w:rPr>
        <w:t>. Factors which can play a role are the circumstances under which the deprivation of liberty took place</w:t>
      </w:r>
      <w:r w:rsidR="00FA0A0D" w:rsidRPr="00DD3E96">
        <w:rPr>
          <w:rFonts w:ascii="Arial" w:hAnsi="Arial" w:cs="Arial"/>
          <w:sz w:val="20"/>
          <w:szCs w:val="20"/>
        </w:rPr>
        <w:t>; the presence or absence of improper motive or “malice” on the part of the defendant</w:t>
      </w:r>
      <w:r w:rsidR="000B6394" w:rsidRPr="00DD3E96">
        <w:rPr>
          <w:rFonts w:ascii="Arial" w:hAnsi="Arial" w:cs="Arial"/>
          <w:sz w:val="20"/>
          <w:szCs w:val="20"/>
        </w:rPr>
        <w:t xml:space="preserve">; the harsh conduct of the defendants; </w:t>
      </w:r>
      <w:r w:rsidR="00A06509" w:rsidRPr="00DD3E96">
        <w:rPr>
          <w:rFonts w:ascii="Arial" w:hAnsi="Arial" w:cs="Arial"/>
          <w:sz w:val="20"/>
          <w:szCs w:val="20"/>
        </w:rPr>
        <w:t>the duration and nature (e.g. solitary confinement or humiliating nature</w:t>
      </w:r>
      <w:r w:rsidR="000A485F" w:rsidRPr="00DD3E96">
        <w:rPr>
          <w:rFonts w:ascii="Arial" w:hAnsi="Arial" w:cs="Arial"/>
          <w:sz w:val="20"/>
          <w:szCs w:val="20"/>
        </w:rPr>
        <w:t>) of the deprivation of liberty; the status, standing, age, health and disability of the plaintiff</w:t>
      </w:r>
      <w:r w:rsidR="00CC5D35" w:rsidRPr="00DD3E96">
        <w:rPr>
          <w:rFonts w:ascii="Arial" w:hAnsi="Arial" w:cs="Arial"/>
          <w:sz w:val="20"/>
          <w:szCs w:val="20"/>
        </w:rPr>
        <w:t xml:space="preserve">; the extent of the publicity given to the deprivation of liberty; the presence or </w:t>
      </w:r>
      <w:r w:rsidR="00643003" w:rsidRPr="00DD3E96">
        <w:rPr>
          <w:rFonts w:ascii="Arial" w:hAnsi="Arial" w:cs="Arial"/>
          <w:sz w:val="20"/>
          <w:szCs w:val="20"/>
        </w:rPr>
        <w:t>absence of an apology or satisfactory explanation of the events by the defendant; awards in previous comparable cases</w:t>
      </w:r>
      <w:r w:rsidR="00491046" w:rsidRPr="00DD3E96">
        <w:rPr>
          <w:rFonts w:ascii="Arial" w:hAnsi="Arial" w:cs="Arial"/>
          <w:sz w:val="20"/>
          <w:szCs w:val="20"/>
        </w:rPr>
        <w:t xml:space="preserve">; the fact that in addition to physical freedom, other personality interests such as honour </w:t>
      </w:r>
      <w:r w:rsidR="00F814EE" w:rsidRPr="00DD3E96">
        <w:rPr>
          <w:rFonts w:ascii="Arial" w:hAnsi="Arial" w:cs="Arial"/>
          <w:sz w:val="20"/>
          <w:szCs w:val="20"/>
        </w:rPr>
        <w:t xml:space="preserve">and good name as well as constitutionally protected fundamental rights have been infringed; </w:t>
      </w:r>
      <w:r w:rsidR="00FD64CD" w:rsidRPr="00DD3E96">
        <w:rPr>
          <w:rFonts w:ascii="Arial" w:hAnsi="Arial" w:cs="Arial"/>
          <w:sz w:val="20"/>
          <w:szCs w:val="20"/>
        </w:rPr>
        <w:t xml:space="preserve">the high value of the right to physical liberty; the effects of inflation; </w:t>
      </w:r>
      <w:r w:rsidR="00CF3403" w:rsidRPr="00DD3E96">
        <w:rPr>
          <w:rFonts w:ascii="Arial" w:hAnsi="Arial" w:cs="Arial"/>
          <w:sz w:val="20"/>
          <w:szCs w:val="20"/>
        </w:rPr>
        <w:t xml:space="preserve">the fact that the plaintiff contributed to his or her misfortune; the effect an award </w:t>
      </w:r>
      <w:r w:rsidR="005E26EE" w:rsidRPr="00DD3E96">
        <w:rPr>
          <w:rFonts w:ascii="Arial" w:hAnsi="Arial" w:cs="Arial"/>
          <w:sz w:val="20"/>
          <w:szCs w:val="20"/>
        </w:rPr>
        <w:t xml:space="preserve">may have on the public purse; and, according to some, the view that the </w:t>
      </w:r>
      <w:r w:rsidR="005E26EE" w:rsidRPr="00DD3E96">
        <w:rPr>
          <w:rFonts w:ascii="Arial" w:hAnsi="Arial" w:cs="Arial"/>
          <w:i/>
          <w:iCs/>
          <w:sz w:val="20"/>
          <w:szCs w:val="20"/>
        </w:rPr>
        <w:t>actio</w:t>
      </w:r>
      <w:r w:rsidR="0020081F" w:rsidRPr="00DD3E96">
        <w:rPr>
          <w:rFonts w:ascii="Arial" w:hAnsi="Arial" w:cs="Arial"/>
          <w:i/>
          <w:iCs/>
          <w:sz w:val="20"/>
          <w:szCs w:val="20"/>
        </w:rPr>
        <w:t xml:space="preserve"> iniuriarum</w:t>
      </w:r>
      <w:r w:rsidR="0020081F" w:rsidRPr="00DD3E96">
        <w:rPr>
          <w:rFonts w:ascii="Arial" w:hAnsi="Arial" w:cs="Arial"/>
          <w:sz w:val="20"/>
          <w:szCs w:val="20"/>
        </w:rPr>
        <w:t xml:space="preserve"> also has a punitive function.</w:t>
      </w:r>
      <w:r w:rsidR="00AA687C" w:rsidRPr="00DD3E96">
        <w:rPr>
          <w:rFonts w:ascii="Arial" w:hAnsi="Arial" w:cs="Arial"/>
          <w:sz w:val="20"/>
          <w:szCs w:val="20"/>
        </w:rPr>
        <w:t>’</w:t>
      </w:r>
      <w:r w:rsidR="00AA687C" w:rsidRPr="00DD3E96">
        <w:rPr>
          <w:rStyle w:val="FootnoteReference"/>
          <w:rFonts w:ascii="Arial" w:hAnsi="Arial" w:cs="Arial"/>
          <w:sz w:val="20"/>
          <w:szCs w:val="20"/>
        </w:rPr>
        <w:footnoteReference w:id="2"/>
      </w:r>
    </w:p>
    <w:p w14:paraId="0B9FDD99" w14:textId="77777777" w:rsidR="003C05A7" w:rsidRDefault="003C05A7" w:rsidP="00EC0D2D">
      <w:pPr>
        <w:spacing w:line="360" w:lineRule="auto"/>
        <w:rPr>
          <w:rFonts w:ascii="Arial" w:hAnsi="Arial" w:cs="Arial"/>
          <w:sz w:val="24"/>
          <w:szCs w:val="24"/>
        </w:rPr>
      </w:pPr>
    </w:p>
    <w:p w14:paraId="1EF7CCC6" w14:textId="4CE0E1A3" w:rsidR="007E3CD2" w:rsidRPr="00C232A6" w:rsidRDefault="00C232A6" w:rsidP="00C232A6">
      <w:pPr>
        <w:spacing w:line="360" w:lineRule="auto"/>
        <w:jc w:val="both"/>
        <w:rPr>
          <w:rFonts w:ascii="Arial" w:hAnsi="Arial" w:cs="Arial"/>
          <w:sz w:val="24"/>
          <w:szCs w:val="24"/>
        </w:rPr>
      </w:pPr>
      <w:r>
        <w:rPr>
          <w:rFonts w:ascii="Arial" w:hAnsi="Arial" w:cs="Arial"/>
          <w:sz w:val="24"/>
          <w:szCs w:val="24"/>
        </w:rPr>
        <w:t>[22]</w:t>
      </w:r>
      <w:r>
        <w:rPr>
          <w:rFonts w:ascii="Arial" w:hAnsi="Arial" w:cs="Arial"/>
          <w:sz w:val="24"/>
          <w:szCs w:val="24"/>
        </w:rPr>
        <w:tab/>
      </w:r>
      <w:r w:rsidR="00DD3E96" w:rsidRPr="00C232A6">
        <w:rPr>
          <w:rFonts w:ascii="Arial" w:hAnsi="Arial" w:cs="Arial"/>
          <w:sz w:val="24"/>
          <w:szCs w:val="24"/>
        </w:rPr>
        <w:t xml:space="preserve">The </w:t>
      </w:r>
      <w:r w:rsidR="00690226" w:rsidRPr="00C232A6">
        <w:rPr>
          <w:rFonts w:ascii="Arial" w:hAnsi="Arial" w:cs="Arial"/>
          <w:sz w:val="24"/>
          <w:szCs w:val="24"/>
        </w:rPr>
        <w:t xml:space="preserve">context of an </w:t>
      </w:r>
      <w:r w:rsidR="00DD3E96" w:rsidRPr="00C232A6">
        <w:rPr>
          <w:rFonts w:ascii="Arial" w:hAnsi="Arial" w:cs="Arial"/>
          <w:sz w:val="24"/>
          <w:szCs w:val="24"/>
        </w:rPr>
        <w:t>award</w:t>
      </w:r>
      <w:r w:rsidR="00792273" w:rsidRPr="00C232A6">
        <w:rPr>
          <w:rFonts w:ascii="Arial" w:hAnsi="Arial" w:cs="Arial"/>
          <w:sz w:val="24"/>
          <w:szCs w:val="24"/>
        </w:rPr>
        <w:t xml:space="preserve"> of </w:t>
      </w:r>
      <w:r w:rsidR="007A4B3C" w:rsidRPr="00C232A6">
        <w:rPr>
          <w:rFonts w:ascii="Arial" w:hAnsi="Arial" w:cs="Arial"/>
          <w:sz w:val="24"/>
          <w:szCs w:val="24"/>
        </w:rPr>
        <w:t xml:space="preserve">damages for </w:t>
      </w:r>
      <w:r w:rsidR="003058B0" w:rsidRPr="00C232A6">
        <w:rPr>
          <w:rFonts w:ascii="Arial" w:hAnsi="Arial" w:cs="Arial"/>
          <w:sz w:val="24"/>
          <w:szCs w:val="24"/>
        </w:rPr>
        <w:t xml:space="preserve">unlawful arrest and detention must always be informed by the </w:t>
      </w:r>
      <w:r w:rsidR="009A2B32" w:rsidRPr="00C232A6">
        <w:rPr>
          <w:rFonts w:ascii="Arial" w:hAnsi="Arial" w:cs="Arial"/>
          <w:sz w:val="24"/>
          <w:szCs w:val="24"/>
        </w:rPr>
        <w:t xml:space="preserve">constitutional </w:t>
      </w:r>
      <w:r w:rsidR="0085794A" w:rsidRPr="00C232A6">
        <w:rPr>
          <w:rFonts w:ascii="Arial" w:hAnsi="Arial" w:cs="Arial"/>
          <w:sz w:val="24"/>
          <w:szCs w:val="24"/>
        </w:rPr>
        <w:t xml:space="preserve">right </w:t>
      </w:r>
      <w:r w:rsidR="009F7A84" w:rsidRPr="00C232A6">
        <w:rPr>
          <w:rFonts w:ascii="Arial" w:hAnsi="Arial" w:cs="Arial"/>
          <w:sz w:val="24"/>
          <w:szCs w:val="24"/>
        </w:rPr>
        <w:t xml:space="preserve">to freedom and security of </w:t>
      </w:r>
      <w:r w:rsidR="00C23387" w:rsidRPr="00C232A6">
        <w:rPr>
          <w:rFonts w:ascii="Arial" w:hAnsi="Arial" w:cs="Arial"/>
          <w:sz w:val="24"/>
          <w:szCs w:val="24"/>
        </w:rPr>
        <w:t>the person.</w:t>
      </w:r>
      <w:r w:rsidR="006A721C" w:rsidRPr="00C232A6">
        <w:rPr>
          <w:rFonts w:ascii="Arial" w:hAnsi="Arial" w:cs="Arial"/>
          <w:sz w:val="24"/>
          <w:szCs w:val="24"/>
        </w:rPr>
        <w:t xml:space="preserve"> This includes the right not to be deprived of freedom arbitrarily </w:t>
      </w:r>
      <w:r w:rsidR="005F39D6" w:rsidRPr="00C232A6">
        <w:rPr>
          <w:rFonts w:ascii="Arial" w:hAnsi="Arial" w:cs="Arial"/>
          <w:sz w:val="24"/>
          <w:szCs w:val="24"/>
        </w:rPr>
        <w:t xml:space="preserve">or </w:t>
      </w:r>
      <w:r w:rsidR="006A721C" w:rsidRPr="00C232A6">
        <w:rPr>
          <w:rFonts w:ascii="Arial" w:hAnsi="Arial" w:cs="Arial"/>
          <w:sz w:val="24"/>
          <w:szCs w:val="24"/>
        </w:rPr>
        <w:t>without just cause.</w:t>
      </w:r>
      <w:r w:rsidR="00C23387">
        <w:rPr>
          <w:rStyle w:val="FootnoteReference"/>
          <w:rFonts w:ascii="Arial" w:hAnsi="Arial" w:cs="Arial"/>
          <w:sz w:val="24"/>
          <w:szCs w:val="24"/>
        </w:rPr>
        <w:footnoteReference w:id="3"/>
      </w:r>
      <w:r w:rsidR="00304FAF" w:rsidRPr="00C232A6">
        <w:rPr>
          <w:rFonts w:ascii="Arial" w:hAnsi="Arial" w:cs="Arial"/>
          <w:sz w:val="24"/>
          <w:szCs w:val="24"/>
        </w:rPr>
        <w:t xml:space="preserve"> </w:t>
      </w:r>
      <w:r w:rsidR="00552E33" w:rsidRPr="00C232A6">
        <w:rPr>
          <w:rFonts w:ascii="Arial" w:hAnsi="Arial" w:cs="Arial"/>
          <w:sz w:val="24"/>
          <w:szCs w:val="24"/>
        </w:rPr>
        <w:t>Th</w:t>
      </w:r>
      <w:r w:rsidR="005670E6" w:rsidRPr="00C232A6">
        <w:rPr>
          <w:rFonts w:ascii="Arial" w:hAnsi="Arial" w:cs="Arial"/>
          <w:sz w:val="24"/>
          <w:szCs w:val="24"/>
        </w:rPr>
        <w:t xml:space="preserve">e rights in question lie at the </w:t>
      </w:r>
      <w:r w:rsidR="009065F5" w:rsidRPr="00C232A6">
        <w:rPr>
          <w:rFonts w:ascii="Arial" w:hAnsi="Arial" w:cs="Arial"/>
          <w:sz w:val="24"/>
          <w:szCs w:val="24"/>
        </w:rPr>
        <w:t xml:space="preserve">very </w:t>
      </w:r>
      <w:r w:rsidR="005670E6" w:rsidRPr="00C232A6">
        <w:rPr>
          <w:rFonts w:ascii="Arial" w:hAnsi="Arial" w:cs="Arial"/>
          <w:sz w:val="24"/>
          <w:szCs w:val="24"/>
        </w:rPr>
        <w:t xml:space="preserve">heart of our constitutional </w:t>
      </w:r>
      <w:r w:rsidR="00D605CB" w:rsidRPr="00C232A6">
        <w:rPr>
          <w:rFonts w:ascii="Arial" w:hAnsi="Arial" w:cs="Arial"/>
          <w:sz w:val="24"/>
          <w:szCs w:val="24"/>
        </w:rPr>
        <w:t xml:space="preserve">dispensation and are a response to the </w:t>
      </w:r>
      <w:r w:rsidR="00EC6F40" w:rsidRPr="00C232A6">
        <w:rPr>
          <w:rFonts w:ascii="Arial" w:hAnsi="Arial" w:cs="Arial"/>
          <w:sz w:val="24"/>
          <w:szCs w:val="24"/>
        </w:rPr>
        <w:t xml:space="preserve">rampant </w:t>
      </w:r>
      <w:r w:rsidR="00D605CB" w:rsidRPr="00C232A6">
        <w:rPr>
          <w:rFonts w:ascii="Arial" w:hAnsi="Arial" w:cs="Arial"/>
          <w:sz w:val="24"/>
          <w:szCs w:val="24"/>
        </w:rPr>
        <w:t>abuse of</w:t>
      </w:r>
      <w:r w:rsidR="003156A6" w:rsidRPr="00C232A6">
        <w:rPr>
          <w:rFonts w:ascii="Arial" w:hAnsi="Arial" w:cs="Arial"/>
          <w:sz w:val="24"/>
          <w:szCs w:val="24"/>
        </w:rPr>
        <w:t xml:space="preserve"> individual freedom and security </w:t>
      </w:r>
      <w:r w:rsidR="00EC6F40" w:rsidRPr="00C232A6">
        <w:rPr>
          <w:rFonts w:ascii="Arial" w:hAnsi="Arial" w:cs="Arial"/>
          <w:sz w:val="24"/>
          <w:szCs w:val="24"/>
        </w:rPr>
        <w:t xml:space="preserve">that occurred </w:t>
      </w:r>
      <w:r w:rsidR="009065F5" w:rsidRPr="00C232A6">
        <w:rPr>
          <w:rFonts w:ascii="Arial" w:hAnsi="Arial" w:cs="Arial"/>
          <w:sz w:val="24"/>
          <w:szCs w:val="24"/>
        </w:rPr>
        <w:t xml:space="preserve">in our past. Consequently, a balance must be struck between </w:t>
      </w:r>
      <w:r w:rsidR="0012601B" w:rsidRPr="00C232A6">
        <w:rPr>
          <w:rFonts w:ascii="Arial" w:hAnsi="Arial" w:cs="Arial"/>
          <w:sz w:val="24"/>
          <w:szCs w:val="24"/>
        </w:rPr>
        <w:t xml:space="preserve">upholding and enforcing such </w:t>
      </w:r>
      <w:r w:rsidR="00C94D8A" w:rsidRPr="00C232A6">
        <w:rPr>
          <w:rFonts w:ascii="Arial" w:hAnsi="Arial" w:cs="Arial"/>
          <w:sz w:val="24"/>
          <w:szCs w:val="24"/>
        </w:rPr>
        <w:t>rights and</w:t>
      </w:r>
      <w:r w:rsidR="0012601B" w:rsidRPr="00C232A6">
        <w:rPr>
          <w:rFonts w:ascii="Arial" w:hAnsi="Arial" w:cs="Arial"/>
          <w:sz w:val="24"/>
          <w:szCs w:val="24"/>
        </w:rPr>
        <w:t xml:space="preserve"> ensuring that </w:t>
      </w:r>
      <w:r w:rsidR="009D16D8" w:rsidRPr="00C232A6">
        <w:rPr>
          <w:rFonts w:ascii="Arial" w:hAnsi="Arial" w:cs="Arial"/>
          <w:sz w:val="24"/>
          <w:szCs w:val="24"/>
        </w:rPr>
        <w:t xml:space="preserve">the award </w:t>
      </w:r>
      <w:r w:rsidR="006662A3" w:rsidRPr="00C232A6">
        <w:rPr>
          <w:rFonts w:ascii="Arial" w:hAnsi="Arial" w:cs="Arial"/>
          <w:sz w:val="24"/>
          <w:szCs w:val="24"/>
        </w:rPr>
        <w:t xml:space="preserve">corresponds </w:t>
      </w:r>
      <w:r w:rsidR="00022827" w:rsidRPr="00C232A6">
        <w:rPr>
          <w:rFonts w:ascii="Arial" w:hAnsi="Arial" w:cs="Arial"/>
          <w:sz w:val="24"/>
          <w:szCs w:val="24"/>
        </w:rPr>
        <w:t xml:space="preserve">accurately </w:t>
      </w:r>
      <w:r w:rsidR="006662A3" w:rsidRPr="00C232A6">
        <w:rPr>
          <w:rFonts w:ascii="Arial" w:hAnsi="Arial" w:cs="Arial"/>
          <w:sz w:val="24"/>
          <w:szCs w:val="24"/>
        </w:rPr>
        <w:t xml:space="preserve">to the </w:t>
      </w:r>
      <w:r w:rsidR="00022827" w:rsidRPr="00C232A6">
        <w:rPr>
          <w:rFonts w:ascii="Arial" w:hAnsi="Arial" w:cs="Arial"/>
          <w:sz w:val="24"/>
          <w:szCs w:val="24"/>
        </w:rPr>
        <w:t xml:space="preserve">circumstances </w:t>
      </w:r>
      <w:r w:rsidR="0034587F" w:rsidRPr="00C232A6">
        <w:rPr>
          <w:rFonts w:ascii="Arial" w:hAnsi="Arial" w:cs="Arial"/>
          <w:sz w:val="24"/>
          <w:szCs w:val="24"/>
        </w:rPr>
        <w:t xml:space="preserve">of the matter </w:t>
      </w:r>
      <w:r w:rsidR="00022827" w:rsidRPr="00C232A6">
        <w:rPr>
          <w:rFonts w:ascii="Arial" w:hAnsi="Arial" w:cs="Arial"/>
          <w:sz w:val="24"/>
          <w:szCs w:val="24"/>
        </w:rPr>
        <w:t>and does not amount to the over-compensation of the plaintiff.</w:t>
      </w:r>
    </w:p>
    <w:p w14:paraId="3E5DC18F" w14:textId="77777777" w:rsidR="007E3CD2" w:rsidRDefault="007E3CD2" w:rsidP="007E3CD2">
      <w:pPr>
        <w:pStyle w:val="ListParagraph"/>
        <w:spacing w:line="360" w:lineRule="auto"/>
        <w:ind w:left="0"/>
        <w:jc w:val="both"/>
        <w:rPr>
          <w:rFonts w:ascii="Arial" w:hAnsi="Arial" w:cs="Arial"/>
          <w:sz w:val="24"/>
          <w:szCs w:val="24"/>
        </w:rPr>
      </w:pPr>
    </w:p>
    <w:p w14:paraId="2BCC5475" w14:textId="21DCFAE1" w:rsidR="007E3CD2" w:rsidRPr="00C232A6" w:rsidRDefault="00C232A6" w:rsidP="00C232A6">
      <w:pPr>
        <w:spacing w:line="360" w:lineRule="auto"/>
        <w:jc w:val="both"/>
        <w:rPr>
          <w:rFonts w:ascii="Arial" w:hAnsi="Arial" w:cs="Arial"/>
          <w:sz w:val="24"/>
          <w:szCs w:val="24"/>
        </w:rPr>
      </w:pPr>
      <w:r>
        <w:rPr>
          <w:rFonts w:ascii="Arial" w:hAnsi="Arial" w:cs="Arial"/>
          <w:sz w:val="24"/>
          <w:szCs w:val="24"/>
        </w:rPr>
        <w:lastRenderedPageBreak/>
        <w:t>[23]</w:t>
      </w:r>
      <w:r>
        <w:rPr>
          <w:rFonts w:ascii="Arial" w:hAnsi="Arial" w:cs="Arial"/>
          <w:sz w:val="24"/>
          <w:szCs w:val="24"/>
        </w:rPr>
        <w:tab/>
      </w:r>
      <w:r w:rsidR="00C94D8A" w:rsidRPr="00C232A6">
        <w:rPr>
          <w:rFonts w:ascii="Arial" w:hAnsi="Arial" w:cs="Arial"/>
          <w:sz w:val="24"/>
          <w:szCs w:val="24"/>
        </w:rPr>
        <w:t xml:space="preserve">The </w:t>
      </w:r>
      <w:r w:rsidR="007835EA" w:rsidRPr="00C232A6">
        <w:rPr>
          <w:rFonts w:ascii="Arial" w:hAnsi="Arial" w:cs="Arial"/>
          <w:sz w:val="24"/>
          <w:szCs w:val="24"/>
        </w:rPr>
        <w:t xml:space="preserve">balance was evident in </w:t>
      </w:r>
      <w:r w:rsidR="000314BC" w:rsidRPr="00C232A6">
        <w:rPr>
          <w:rFonts w:ascii="Arial" w:hAnsi="Arial" w:cs="Arial"/>
          <w:i/>
          <w:iCs/>
          <w:sz w:val="24"/>
          <w:szCs w:val="24"/>
        </w:rPr>
        <w:t>Olgar v Minister of Safety and Security</w:t>
      </w:r>
      <w:r w:rsidR="000314BC" w:rsidRPr="00C232A6">
        <w:rPr>
          <w:rFonts w:ascii="Arial" w:hAnsi="Arial" w:cs="Arial"/>
          <w:sz w:val="24"/>
          <w:szCs w:val="24"/>
        </w:rPr>
        <w:t>,</w:t>
      </w:r>
      <w:r w:rsidR="000314BC">
        <w:rPr>
          <w:rStyle w:val="FootnoteReference"/>
          <w:rFonts w:ascii="Arial" w:hAnsi="Arial" w:cs="Arial"/>
          <w:sz w:val="24"/>
          <w:szCs w:val="24"/>
        </w:rPr>
        <w:footnoteReference w:id="4"/>
      </w:r>
      <w:r w:rsidR="00A26CB3" w:rsidRPr="00C232A6">
        <w:rPr>
          <w:rFonts w:ascii="Arial" w:hAnsi="Arial" w:cs="Arial"/>
          <w:sz w:val="24"/>
          <w:szCs w:val="24"/>
        </w:rPr>
        <w:t xml:space="preserve"> where Jones J </w:t>
      </w:r>
      <w:r w:rsidR="00DA5B25" w:rsidRPr="00C232A6">
        <w:rPr>
          <w:rFonts w:ascii="Arial" w:hAnsi="Arial" w:cs="Arial"/>
          <w:sz w:val="24"/>
          <w:szCs w:val="24"/>
        </w:rPr>
        <w:t>observed that a just award of damages should express the importance of the constitutional right to individual freedom</w:t>
      </w:r>
      <w:r w:rsidR="00E16B3C" w:rsidRPr="00C232A6">
        <w:rPr>
          <w:rFonts w:ascii="Arial" w:hAnsi="Arial" w:cs="Arial"/>
          <w:sz w:val="24"/>
          <w:szCs w:val="24"/>
        </w:rPr>
        <w:t xml:space="preserve">. </w:t>
      </w:r>
      <w:r w:rsidR="00D41129" w:rsidRPr="00C232A6">
        <w:rPr>
          <w:rFonts w:ascii="Arial" w:hAnsi="Arial" w:cs="Arial"/>
          <w:sz w:val="24"/>
          <w:szCs w:val="24"/>
        </w:rPr>
        <w:t xml:space="preserve">At the same time, </w:t>
      </w:r>
      <w:r w:rsidR="00294E45" w:rsidRPr="00C232A6">
        <w:rPr>
          <w:rFonts w:ascii="Arial" w:hAnsi="Arial" w:cs="Arial"/>
          <w:sz w:val="24"/>
          <w:szCs w:val="24"/>
        </w:rPr>
        <w:t xml:space="preserve">the award should properly </w:t>
      </w:r>
      <w:r w:rsidR="00B81BCD" w:rsidRPr="00C232A6">
        <w:rPr>
          <w:rFonts w:ascii="Arial" w:hAnsi="Arial" w:cs="Arial"/>
          <w:sz w:val="24"/>
          <w:szCs w:val="24"/>
        </w:rPr>
        <w:t>consider</w:t>
      </w:r>
      <w:r w:rsidR="00294E45" w:rsidRPr="00C232A6">
        <w:rPr>
          <w:rFonts w:ascii="Arial" w:hAnsi="Arial" w:cs="Arial"/>
          <w:sz w:val="24"/>
          <w:szCs w:val="24"/>
        </w:rPr>
        <w:t xml:space="preserve"> the facts</w:t>
      </w:r>
      <w:r w:rsidR="001B3C48" w:rsidRPr="00C232A6">
        <w:rPr>
          <w:rFonts w:ascii="Arial" w:hAnsi="Arial" w:cs="Arial"/>
          <w:sz w:val="24"/>
          <w:szCs w:val="24"/>
        </w:rPr>
        <w:t xml:space="preserve"> of the case, the personal circumstances of the </w:t>
      </w:r>
      <w:r w:rsidR="008C2727" w:rsidRPr="00C232A6">
        <w:rPr>
          <w:rFonts w:ascii="Arial" w:hAnsi="Arial" w:cs="Arial"/>
          <w:sz w:val="24"/>
          <w:szCs w:val="24"/>
        </w:rPr>
        <w:t>victim, and the nature, extent, and degree of the affront to his or her dignity</w:t>
      </w:r>
      <w:r w:rsidR="00B81BCD" w:rsidRPr="00C232A6">
        <w:rPr>
          <w:rFonts w:ascii="Arial" w:hAnsi="Arial" w:cs="Arial"/>
          <w:sz w:val="24"/>
          <w:szCs w:val="24"/>
        </w:rPr>
        <w:t xml:space="preserve"> and sense of personal worth.</w:t>
      </w:r>
      <w:r w:rsidR="00926AFF">
        <w:rPr>
          <w:rStyle w:val="FootnoteReference"/>
          <w:rFonts w:ascii="Arial" w:hAnsi="Arial" w:cs="Arial"/>
          <w:sz w:val="24"/>
          <w:szCs w:val="24"/>
        </w:rPr>
        <w:footnoteReference w:id="5"/>
      </w:r>
    </w:p>
    <w:p w14:paraId="58D0C633" w14:textId="77777777" w:rsidR="007E3CD2" w:rsidRPr="007E3CD2" w:rsidRDefault="007E3CD2" w:rsidP="007E3CD2">
      <w:pPr>
        <w:pStyle w:val="ListParagraph"/>
        <w:rPr>
          <w:rFonts w:ascii="Arial" w:hAnsi="Arial" w:cs="Arial"/>
          <w:sz w:val="24"/>
          <w:szCs w:val="24"/>
        </w:rPr>
      </w:pPr>
    </w:p>
    <w:p w14:paraId="6A60FD01" w14:textId="16FF83BB" w:rsidR="002730D0" w:rsidRPr="00C232A6" w:rsidRDefault="00C232A6" w:rsidP="00C232A6">
      <w:pPr>
        <w:spacing w:line="360" w:lineRule="auto"/>
        <w:jc w:val="both"/>
        <w:rPr>
          <w:rFonts w:ascii="Arial" w:hAnsi="Arial" w:cs="Arial"/>
          <w:sz w:val="24"/>
          <w:szCs w:val="24"/>
        </w:rPr>
      </w:pPr>
      <w:r w:rsidRPr="007E3CD2">
        <w:rPr>
          <w:rFonts w:ascii="Arial" w:hAnsi="Arial" w:cs="Arial"/>
          <w:sz w:val="24"/>
          <w:szCs w:val="24"/>
        </w:rPr>
        <w:t>[24]</w:t>
      </w:r>
      <w:r w:rsidRPr="007E3CD2">
        <w:rPr>
          <w:rFonts w:ascii="Arial" w:hAnsi="Arial" w:cs="Arial"/>
          <w:sz w:val="24"/>
          <w:szCs w:val="24"/>
        </w:rPr>
        <w:tab/>
      </w:r>
      <w:r w:rsidR="00942DA0" w:rsidRPr="00C232A6">
        <w:rPr>
          <w:rFonts w:ascii="Arial" w:hAnsi="Arial" w:cs="Arial"/>
          <w:sz w:val="24"/>
          <w:szCs w:val="24"/>
        </w:rPr>
        <w:t xml:space="preserve">In </w:t>
      </w:r>
      <w:r w:rsidR="00942DA0" w:rsidRPr="00C232A6">
        <w:rPr>
          <w:rFonts w:ascii="Arial" w:hAnsi="Arial" w:cs="Arial"/>
          <w:i/>
          <w:iCs/>
          <w:sz w:val="24"/>
          <w:szCs w:val="24"/>
        </w:rPr>
        <w:t xml:space="preserve">Minister of Safety and </w:t>
      </w:r>
      <w:r w:rsidR="00EE481D" w:rsidRPr="00C232A6">
        <w:rPr>
          <w:rFonts w:ascii="Arial" w:hAnsi="Arial" w:cs="Arial"/>
          <w:i/>
          <w:iCs/>
          <w:sz w:val="24"/>
          <w:szCs w:val="24"/>
        </w:rPr>
        <w:t>Security v Tyulu</w:t>
      </w:r>
      <w:r w:rsidR="00EE481D" w:rsidRPr="00C232A6">
        <w:rPr>
          <w:rFonts w:ascii="Arial" w:hAnsi="Arial" w:cs="Arial"/>
          <w:sz w:val="24"/>
          <w:szCs w:val="24"/>
        </w:rPr>
        <w:t>,</w:t>
      </w:r>
      <w:r w:rsidR="00EE481D">
        <w:rPr>
          <w:rStyle w:val="FootnoteReference"/>
          <w:rFonts w:ascii="Arial" w:hAnsi="Arial" w:cs="Arial"/>
          <w:sz w:val="24"/>
          <w:szCs w:val="24"/>
        </w:rPr>
        <w:footnoteReference w:id="6"/>
      </w:r>
      <w:r w:rsidR="00EE481D" w:rsidRPr="00C232A6">
        <w:rPr>
          <w:rFonts w:ascii="Arial" w:hAnsi="Arial" w:cs="Arial"/>
          <w:sz w:val="24"/>
          <w:szCs w:val="24"/>
        </w:rPr>
        <w:t xml:space="preserve"> </w:t>
      </w:r>
      <w:r w:rsidR="00151A68" w:rsidRPr="00C232A6">
        <w:rPr>
          <w:rFonts w:ascii="Arial" w:hAnsi="Arial" w:cs="Arial"/>
          <w:sz w:val="24"/>
          <w:szCs w:val="24"/>
        </w:rPr>
        <w:t xml:space="preserve">Bosielo </w:t>
      </w:r>
      <w:r w:rsidR="00E810CC" w:rsidRPr="00C232A6">
        <w:rPr>
          <w:rFonts w:ascii="Arial" w:hAnsi="Arial" w:cs="Arial"/>
          <w:sz w:val="24"/>
          <w:szCs w:val="24"/>
        </w:rPr>
        <w:t>AJA held that:</w:t>
      </w:r>
    </w:p>
    <w:p w14:paraId="6193B308" w14:textId="2C05E6A6" w:rsidR="00E810CC" w:rsidRPr="00CA5152" w:rsidRDefault="00E810CC" w:rsidP="001C79E7">
      <w:pPr>
        <w:spacing w:line="360" w:lineRule="auto"/>
        <w:ind w:left="720"/>
        <w:jc w:val="both"/>
        <w:rPr>
          <w:rFonts w:ascii="Arial" w:hAnsi="Arial" w:cs="Arial"/>
          <w:sz w:val="20"/>
          <w:szCs w:val="20"/>
        </w:rPr>
      </w:pPr>
      <w:r w:rsidRPr="00CA5152">
        <w:rPr>
          <w:rFonts w:ascii="Arial" w:hAnsi="Arial" w:cs="Arial"/>
          <w:sz w:val="20"/>
          <w:szCs w:val="20"/>
        </w:rPr>
        <w:t>‘</w:t>
      </w:r>
      <w:r w:rsidR="0007695A" w:rsidRPr="00CA5152">
        <w:rPr>
          <w:rFonts w:ascii="Arial" w:hAnsi="Arial" w:cs="Arial"/>
          <w:sz w:val="20"/>
          <w:szCs w:val="20"/>
        </w:rPr>
        <w:t xml:space="preserve">…In the assessment of damages for unlawful arrest and detention, it is important to </w:t>
      </w:r>
      <w:r w:rsidR="00B24CC6" w:rsidRPr="00CA5152">
        <w:rPr>
          <w:rFonts w:ascii="Arial" w:hAnsi="Arial" w:cs="Arial"/>
          <w:sz w:val="20"/>
          <w:szCs w:val="20"/>
        </w:rPr>
        <w:t>bear in mind that the primary</w:t>
      </w:r>
      <w:r w:rsidR="000A3D3D" w:rsidRPr="00CA5152">
        <w:rPr>
          <w:rFonts w:ascii="Arial" w:hAnsi="Arial" w:cs="Arial"/>
          <w:sz w:val="20"/>
          <w:szCs w:val="20"/>
        </w:rPr>
        <w:t xml:space="preserve"> </w:t>
      </w:r>
      <w:r w:rsidR="00E440DA" w:rsidRPr="00CA5152">
        <w:rPr>
          <w:rFonts w:ascii="Arial" w:hAnsi="Arial" w:cs="Arial"/>
          <w:sz w:val="20"/>
          <w:szCs w:val="20"/>
        </w:rPr>
        <w:t xml:space="preserve">purpose is not to enrich the aggrieved party but to offer him or her some much-needed </w:t>
      </w:r>
      <w:r w:rsidR="00E440DA" w:rsidRPr="00CA5152">
        <w:rPr>
          <w:rFonts w:ascii="Arial" w:hAnsi="Arial" w:cs="Arial"/>
          <w:i/>
          <w:iCs/>
          <w:sz w:val="20"/>
          <w:szCs w:val="20"/>
        </w:rPr>
        <w:t>solatium</w:t>
      </w:r>
      <w:r w:rsidR="00E440DA" w:rsidRPr="00CA5152">
        <w:rPr>
          <w:rFonts w:ascii="Arial" w:hAnsi="Arial" w:cs="Arial"/>
          <w:sz w:val="20"/>
          <w:szCs w:val="20"/>
        </w:rPr>
        <w:t xml:space="preserve"> </w:t>
      </w:r>
      <w:r w:rsidR="006A5E4C" w:rsidRPr="00CA5152">
        <w:rPr>
          <w:rFonts w:ascii="Arial" w:hAnsi="Arial" w:cs="Arial"/>
          <w:sz w:val="20"/>
          <w:szCs w:val="20"/>
        </w:rPr>
        <w:t xml:space="preserve">for his or her </w:t>
      </w:r>
      <w:r w:rsidR="00206612" w:rsidRPr="00CA5152">
        <w:rPr>
          <w:rFonts w:ascii="Arial" w:hAnsi="Arial" w:cs="Arial"/>
          <w:sz w:val="20"/>
          <w:szCs w:val="20"/>
        </w:rPr>
        <w:t xml:space="preserve">injured feelings. It is therefore crucial that serious attempts be made to ensure that the damages awarded are commensurate </w:t>
      </w:r>
      <w:r w:rsidR="000403CF" w:rsidRPr="00CA5152">
        <w:rPr>
          <w:rFonts w:ascii="Arial" w:hAnsi="Arial" w:cs="Arial"/>
          <w:sz w:val="20"/>
          <w:szCs w:val="20"/>
        </w:rPr>
        <w:t>with the injury inflicted. However, our courts should be astute to ensure that the awards they</w:t>
      </w:r>
      <w:r w:rsidR="001B4DE5" w:rsidRPr="00CA5152">
        <w:rPr>
          <w:rFonts w:ascii="Arial" w:hAnsi="Arial" w:cs="Arial"/>
          <w:sz w:val="20"/>
          <w:szCs w:val="20"/>
        </w:rPr>
        <w:t xml:space="preserve"> make</w:t>
      </w:r>
      <w:r w:rsidR="00C642A4" w:rsidRPr="00CA5152">
        <w:rPr>
          <w:rFonts w:ascii="Arial" w:hAnsi="Arial" w:cs="Arial"/>
          <w:sz w:val="20"/>
          <w:szCs w:val="20"/>
        </w:rPr>
        <w:t xml:space="preserve"> for such infractions reflect the importance of the right to personal liberty</w:t>
      </w:r>
      <w:r w:rsidR="001C0CA3" w:rsidRPr="00CA5152">
        <w:rPr>
          <w:rFonts w:ascii="Arial" w:hAnsi="Arial" w:cs="Arial"/>
          <w:sz w:val="20"/>
          <w:szCs w:val="20"/>
        </w:rPr>
        <w:t xml:space="preserve"> and the seriousness with which any arbitrary deprivation of personal liberty </w:t>
      </w:r>
      <w:r w:rsidR="00390C5D" w:rsidRPr="00CA5152">
        <w:rPr>
          <w:rFonts w:ascii="Arial" w:hAnsi="Arial" w:cs="Arial"/>
          <w:sz w:val="20"/>
          <w:szCs w:val="20"/>
        </w:rPr>
        <w:t xml:space="preserve">is viewed in our law. I readily concede that it is </w:t>
      </w:r>
      <w:r w:rsidR="00AE06D1" w:rsidRPr="00CA5152">
        <w:rPr>
          <w:rFonts w:ascii="Arial" w:hAnsi="Arial" w:cs="Arial"/>
          <w:sz w:val="20"/>
          <w:szCs w:val="20"/>
        </w:rPr>
        <w:t xml:space="preserve">impossible to determine an award of damages for this kind of </w:t>
      </w:r>
      <w:r w:rsidR="00AE06D1" w:rsidRPr="00CA5152">
        <w:rPr>
          <w:rFonts w:ascii="Arial" w:hAnsi="Arial" w:cs="Arial"/>
          <w:i/>
          <w:iCs/>
          <w:sz w:val="20"/>
          <w:szCs w:val="20"/>
        </w:rPr>
        <w:t>iniuria</w:t>
      </w:r>
      <w:r w:rsidR="00AE06D1" w:rsidRPr="00CA5152">
        <w:rPr>
          <w:rFonts w:ascii="Arial" w:hAnsi="Arial" w:cs="Arial"/>
          <w:sz w:val="20"/>
          <w:szCs w:val="20"/>
        </w:rPr>
        <w:t xml:space="preserve"> with any kind of mathematical </w:t>
      </w:r>
      <w:r w:rsidR="00B955C5" w:rsidRPr="00CA5152">
        <w:rPr>
          <w:rFonts w:ascii="Arial" w:hAnsi="Arial" w:cs="Arial"/>
          <w:sz w:val="20"/>
          <w:szCs w:val="20"/>
        </w:rPr>
        <w:t>accuracy. Although it is always helpful to have regard to awards made in previous cases</w:t>
      </w:r>
      <w:r w:rsidR="00DC15BF" w:rsidRPr="00CA5152">
        <w:rPr>
          <w:rFonts w:ascii="Arial" w:hAnsi="Arial" w:cs="Arial"/>
          <w:sz w:val="20"/>
          <w:szCs w:val="20"/>
        </w:rPr>
        <w:t xml:space="preserve"> to serve as a guide, such an approach if slavishly followed can prove to be treacherous</w:t>
      </w:r>
      <w:r w:rsidR="0013477D" w:rsidRPr="00CA5152">
        <w:rPr>
          <w:rFonts w:ascii="Arial" w:hAnsi="Arial" w:cs="Arial"/>
          <w:sz w:val="20"/>
          <w:szCs w:val="20"/>
        </w:rPr>
        <w:t>. The correct approach is to have regard to all the facts of the particular case</w:t>
      </w:r>
      <w:r w:rsidR="00513BD2" w:rsidRPr="00CA5152">
        <w:rPr>
          <w:rFonts w:ascii="Arial" w:hAnsi="Arial" w:cs="Arial"/>
          <w:sz w:val="20"/>
          <w:szCs w:val="20"/>
        </w:rPr>
        <w:t xml:space="preserve"> and to determine the quantum of damages on such facts.’</w:t>
      </w:r>
      <w:r w:rsidR="00513BD2" w:rsidRPr="00CA5152">
        <w:rPr>
          <w:rStyle w:val="FootnoteReference"/>
          <w:rFonts w:ascii="Arial" w:hAnsi="Arial" w:cs="Arial"/>
          <w:sz w:val="20"/>
          <w:szCs w:val="20"/>
        </w:rPr>
        <w:footnoteReference w:id="7"/>
      </w:r>
    </w:p>
    <w:p w14:paraId="4F3E5CC8" w14:textId="77777777" w:rsidR="00782783" w:rsidRDefault="00782783" w:rsidP="00EC0D2D">
      <w:pPr>
        <w:spacing w:line="360" w:lineRule="auto"/>
        <w:rPr>
          <w:rFonts w:ascii="Arial" w:hAnsi="Arial" w:cs="Arial"/>
          <w:sz w:val="24"/>
          <w:szCs w:val="24"/>
        </w:rPr>
      </w:pPr>
    </w:p>
    <w:p w14:paraId="2CB2259A" w14:textId="55C1578C" w:rsidR="00E23B16" w:rsidRPr="00C232A6" w:rsidRDefault="00C232A6" w:rsidP="00C232A6">
      <w:pPr>
        <w:spacing w:line="360" w:lineRule="auto"/>
        <w:jc w:val="both"/>
        <w:rPr>
          <w:rFonts w:ascii="Arial" w:hAnsi="Arial" w:cs="Arial"/>
          <w:sz w:val="24"/>
          <w:szCs w:val="24"/>
        </w:rPr>
      </w:pPr>
      <w:r w:rsidRPr="001C79E7">
        <w:rPr>
          <w:rFonts w:ascii="Arial" w:hAnsi="Arial" w:cs="Arial"/>
          <w:sz w:val="24"/>
          <w:szCs w:val="24"/>
        </w:rPr>
        <w:t>[25]</w:t>
      </w:r>
      <w:r w:rsidRPr="001C79E7">
        <w:rPr>
          <w:rFonts w:ascii="Arial" w:hAnsi="Arial" w:cs="Arial"/>
          <w:sz w:val="24"/>
          <w:szCs w:val="24"/>
        </w:rPr>
        <w:tab/>
      </w:r>
      <w:r w:rsidR="00E23B16" w:rsidRPr="00C232A6">
        <w:rPr>
          <w:rFonts w:ascii="Arial" w:hAnsi="Arial" w:cs="Arial"/>
          <w:sz w:val="24"/>
          <w:szCs w:val="24"/>
        </w:rPr>
        <w:t xml:space="preserve">The </w:t>
      </w:r>
      <w:r w:rsidR="00CA5152" w:rsidRPr="00C232A6">
        <w:rPr>
          <w:rFonts w:ascii="Arial" w:hAnsi="Arial" w:cs="Arial"/>
          <w:sz w:val="24"/>
          <w:szCs w:val="24"/>
        </w:rPr>
        <w:t xml:space="preserve">above </w:t>
      </w:r>
      <w:r w:rsidR="001E2548" w:rsidRPr="00C232A6">
        <w:rPr>
          <w:rFonts w:ascii="Arial" w:hAnsi="Arial" w:cs="Arial"/>
          <w:sz w:val="24"/>
          <w:szCs w:val="24"/>
        </w:rPr>
        <w:t xml:space="preserve">principles </w:t>
      </w:r>
      <w:r w:rsidR="00CA5152" w:rsidRPr="00C232A6">
        <w:rPr>
          <w:rFonts w:ascii="Arial" w:hAnsi="Arial" w:cs="Arial"/>
          <w:sz w:val="24"/>
          <w:szCs w:val="24"/>
        </w:rPr>
        <w:t xml:space="preserve">provide a </w:t>
      </w:r>
      <w:r w:rsidR="00CF1155" w:rsidRPr="00C232A6">
        <w:rPr>
          <w:rFonts w:ascii="Arial" w:hAnsi="Arial" w:cs="Arial"/>
          <w:sz w:val="24"/>
          <w:szCs w:val="24"/>
        </w:rPr>
        <w:t>basic</w:t>
      </w:r>
      <w:r w:rsidR="00B702E2" w:rsidRPr="00C232A6">
        <w:rPr>
          <w:rFonts w:ascii="Arial" w:hAnsi="Arial" w:cs="Arial"/>
          <w:sz w:val="24"/>
          <w:szCs w:val="24"/>
        </w:rPr>
        <w:t xml:space="preserve"> framework for an assessment of the plaintiff’s claim.</w:t>
      </w:r>
      <w:r w:rsidR="00523396" w:rsidRPr="00C232A6">
        <w:rPr>
          <w:rFonts w:ascii="Arial" w:hAnsi="Arial" w:cs="Arial"/>
          <w:sz w:val="24"/>
          <w:szCs w:val="24"/>
        </w:rPr>
        <w:t xml:space="preserve"> </w:t>
      </w:r>
      <w:r w:rsidR="00577EA2" w:rsidRPr="00C232A6">
        <w:rPr>
          <w:rFonts w:ascii="Arial" w:hAnsi="Arial" w:cs="Arial"/>
          <w:sz w:val="24"/>
          <w:szCs w:val="24"/>
        </w:rPr>
        <w:t xml:space="preserve">We </w:t>
      </w:r>
      <w:r w:rsidR="00523396" w:rsidRPr="00C232A6">
        <w:rPr>
          <w:rFonts w:ascii="Arial" w:hAnsi="Arial" w:cs="Arial"/>
          <w:sz w:val="24"/>
          <w:szCs w:val="24"/>
        </w:rPr>
        <w:t>proceed</w:t>
      </w:r>
      <w:r w:rsidR="001E2548" w:rsidRPr="00C232A6">
        <w:rPr>
          <w:rFonts w:ascii="Arial" w:hAnsi="Arial" w:cs="Arial"/>
          <w:sz w:val="24"/>
          <w:szCs w:val="24"/>
        </w:rPr>
        <w:t xml:space="preserve">, at this stage, to </w:t>
      </w:r>
      <w:r w:rsidR="00577EA2" w:rsidRPr="00C232A6">
        <w:rPr>
          <w:rFonts w:ascii="Arial" w:hAnsi="Arial" w:cs="Arial"/>
          <w:sz w:val="24"/>
          <w:szCs w:val="24"/>
        </w:rPr>
        <w:t xml:space="preserve">deal with </w:t>
      </w:r>
      <w:r w:rsidR="00567AF9" w:rsidRPr="00C232A6">
        <w:rPr>
          <w:rFonts w:ascii="Arial" w:hAnsi="Arial" w:cs="Arial"/>
          <w:sz w:val="24"/>
          <w:szCs w:val="24"/>
        </w:rPr>
        <w:t>the issue of</w:t>
      </w:r>
      <w:r w:rsidR="00577EA2" w:rsidRPr="00C232A6">
        <w:rPr>
          <w:rFonts w:ascii="Arial" w:hAnsi="Arial" w:cs="Arial"/>
          <w:sz w:val="24"/>
          <w:szCs w:val="24"/>
        </w:rPr>
        <w:t xml:space="preserve"> legal costs, after which </w:t>
      </w:r>
      <w:r w:rsidR="00311BD2" w:rsidRPr="00C232A6">
        <w:rPr>
          <w:rFonts w:ascii="Arial" w:hAnsi="Arial" w:cs="Arial"/>
          <w:sz w:val="24"/>
          <w:szCs w:val="24"/>
        </w:rPr>
        <w:t xml:space="preserve">the court will consider </w:t>
      </w:r>
      <w:r w:rsidR="00567AF9" w:rsidRPr="00C232A6">
        <w:rPr>
          <w:rFonts w:ascii="Arial" w:hAnsi="Arial" w:cs="Arial"/>
          <w:sz w:val="24"/>
          <w:szCs w:val="24"/>
        </w:rPr>
        <w:t xml:space="preserve">the issue of </w:t>
      </w:r>
      <w:r w:rsidR="00311BD2" w:rsidRPr="00C232A6">
        <w:rPr>
          <w:rFonts w:ascii="Arial" w:hAnsi="Arial" w:cs="Arial"/>
          <w:sz w:val="24"/>
          <w:szCs w:val="24"/>
        </w:rPr>
        <w:t>general damages.</w:t>
      </w:r>
    </w:p>
    <w:p w14:paraId="45951F55" w14:textId="77777777" w:rsidR="00311BD2" w:rsidRDefault="00311BD2" w:rsidP="00EC0D2D">
      <w:pPr>
        <w:spacing w:line="360" w:lineRule="auto"/>
        <w:rPr>
          <w:rFonts w:ascii="Arial" w:hAnsi="Arial" w:cs="Arial"/>
          <w:sz w:val="24"/>
          <w:szCs w:val="24"/>
        </w:rPr>
      </w:pPr>
    </w:p>
    <w:p w14:paraId="1C9BC367" w14:textId="47B01638" w:rsidR="00311BD2" w:rsidRPr="00707D31" w:rsidRDefault="00311BD2" w:rsidP="00EC0D2D">
      <w:pPr>
        <w:spacing w:line="360" w:lineRule="auto"/>
        <w:rPr>
          <w:rFonts w:ascii="Arial" w:hAnsi="Arial" w:cs="Arial"/>
          <w:b/>
          <w:bCs/>
          <w:sz w:val="24"/>
          <w:szCs w:val="24"/>
        </w:rPr>
      </w:pPr>
      <w:r w:rsidRPr="00707D31">
        <w:rPr>
          <w:rFonts w:ascii="Arial" w:hAnsi="Arial" w:cs="Arial"/>
          <w:b/>
          <w:bCs/>
          <w:sz w:val="24"/>
          <w:szCs w:val="24"/>
        </w:rPr>
        <w:t>Discussion</w:t>
      </w:r>
    </w:p>
    <w:p w14:paraId="1AB62E92" w14:textId="77777777" w:rsidR="00673A82" w:rsidRDefault="00673A82" w:rsidP="00EC0D2D">
      <w:pPr>
        <w:spacing w:line="360" w:lineRule="auto"/>
        <w:rPr>
          <w:rFonts w:ascii="Arial" w:hAnsi="Arial" w:cs="Arial"/>
          <w:sz w:val="24"/>
          <w:szCs w:val="24"/>
        </w:rPr>
      </w:pPr>
    </w:p>
    <w:p w14:paraId="66885A84" w14:textId="5E8B1BB7" w:rsidR="00673A82" w:rsidRPr="00C232A6" w:rsidRDefault="00C232A6" w:rsidP="00C232A6">
      <w:pPr>
        <w:spacing w:line="360" w:lineRule="auto"/>
        <w:jc w:val="both"/>
        <w:rPr>
          <w:rFonts w:ascii="Arial" w:hAnsi="Arial" w:cs="Arial"/>
          <w:sz w:val="24"/>
          <w:szCs w:val="24"/>
        </w:rPr>
      </w:pPr>
      <w:r w:rsidRPr="001C79E7">
        <w:rPr>
          <w:rFonts w:ascii="Arial" w:hAnsi="Arial" w:cs="Arial"/>
          <w:sz w:val="24"/>
          <w:szCs w:val="24"/>
        </w:rPr>
        <w:lastRenderedPageBreak/>
        <w:t>[26]</w:t>
      </w:r>
      <w:r w:rsidRPr="001C79E7">
        <w:rPr>
          <w:rFonts w:ascii="Arial" w:hAnsi="Arial" w:cs="Arial"/>
          <w:sz w:val="24"/>
          <w:szCs w:val="24"/>
        </w:rPr>
        <w:tab/>
      </w:r>
      <w:r w:rsidR="00673A82" w:rsidRPr="00C232A6">
        <w:rPr>
          <w:rFonts w:ascii="Arial" w:hAnsi="Arial" w:cs="Arial"/>
          <w:sz w:val="24"/>
          <w:szCs w:val="24"/>
        </w:rPr>
        <w:t>For the sake of convenience, the issues will be treated separately, under their respective headings.</w:t>
      </w:r>
    </w:p>
    <w:p w14:paraId="1DF846E0" w14:textId="77777777" w:rsidR="00707D31" w:rsidRDefault="00707D31" w:rsidP="00EC0D2D">
      <w:pPr>
        <w:spacing w:line="360" w:lineRule="auto"/>
        <w:rPr>
          <w:rFonts w:ascii="Arial" w:hAnsi="Arial" w:cs="Arial"/>
          <w:sz w:val="24"/>
          <w:szCs w:val="24"/>
        </w:rPr>
      </w:pPr>
    </w:p>
    <w:p w14:paraId="66A88741" w14:textId="1DCD8760" w:rsidR="00707D31" w:rsidRPr="00707D31" w:rsidRDefault="00707D31" w:rsidP="00EC0D2D">
      <w:pPr>
        <w:spacing w:line="360" w:lineRule="auto"/>
        <w:rPr>
          <w:rFonts w:ascii="Arial" w:hAnsi="Arial" w:cs="Arial"/>
          <w:i/>
          <w:iCs/>
          <w:sz w:val="24"/>
          <w:szCs w:val="24"/>
        </w:rPr>
      </w:pPr>
      <w:r w:rsidRPr="00707D31">
        <w:rPr>
          <w:rFonts w:ascii="Arial" w:hAnsi="Arial" w:cs="Arial"/>
          <w:i/>
          <w:iCs/>
          <w:sz w:val="24"/>
          <w:szCs w:val="24"/>
        </w:rPr>
        <w:t>Legal costs</w:t>
      </w:r>
    </w:p>
    <w:p w14:paraId="596C9B42" w14:textId="77777777" w:rsidR="00707D31" w:rsidRDefault="00707D31" w:rsidP="00EC0D2D">
      <w:pPr>
        <w:spacing w:line="360" w:lineRule="auto"/>
        <w:rPr>
          <w:rFonts w:ascii="Arial" w:hAnsi="Arial" w:cs="Arial"/>
          <w:sz w:val="24"/>
          <w:szCs w:val="24"/>
        </w:rPr>
      </w:pPr>
    </w:p>
    <w:p w14:paraId="30DA9E30" w14:textId="24722260" w:rsidR="001C79E7" w:rsidRPr="00C232A6" w:rsidRDefault="00C232A6" w:rsidP="00C232A6">
      <w:pPr>
        <w:spacing w:line="360" w:lineRule="auto"/>
        <w:jc w:val="both"/>
        <w:rPr>
          <w:rFonts w:ascii="Arial" w:hAnsi="Arial" w:cs="Arial"/>
          <w:sz w:val="24"/>
          <w:szCs w:val="24"/>
        </w:rPr>
      </w:pPr>
      <w:r>
        <w:rPr>
          <w:rFonts w:ascii="Arial" w:hAnsi="Arial" w:cs="Arial"/>
          <w:sz w:val="24"/>
          <w:szCs w:val="24"/>
        </w:rPr>
        <w:t>[27]</w:t>
      </w:r>
      <w:r>
        <w:rPr>
          <w:rFonts w:ascii="Arial" w:hAnsi="Arial" w:cs="Arial"/>
          <w:sz w:val="24"/>
          <w:szCs w:val="24"/>
        </w:rPr>
        <w:tab/>
      </w:r>
      <w:r w:rsidR="00707D31" w:rsidRPr="00C232A6">
        <w:rPr>
          <w:rFonts w:ascii="Arial" w:hAnsi="Arial" w:cs="Arial"/>
          <w:sz w:val="24"/>
          <w:szCs w:val="24"/>
        </w:rPr>
        <w:t xml:space="preserve">The plaintiff </w:t>
      </w:r>
      <w:r w:rsidR="00CB5A9F" w:rsidRPr="00C232A6">
        <w:rPr>
          <w:rFonts w:ascii="Arial" w:hAnsi="Arial" w:cs="Arial"/>
          <w:sz w:val="24"/>
          <w:szCs w:val="24"/>
        </w:rPr>
        <w:t xml:space="preserve">has </w:t>
      </w:r>
      <w:r w:rsidR="00707D31" w:rsidRPr="00C232A6">
        <w:rPr>
          <w:rFonts w:ascii="Arial" w:hAnsi="Arial" w:cs="Arial"/>
          <w:sz w:val="24"/>
          <w:szCs w:val="24"/>
        </w:rPr>
        <w:t xml:space="preserve">claimed </w:t>
      </w:r>
      <w:r w:rsidR="00AE5524" w:rsidRPr="00C232A6">
        <w:rPr>
          <w:rFonts w:ascii="Arial" w:hAnsi="Arial" w:cs="Arial"/>
          <w:sz w:val="24"/>
          <w:szCs w:val="24"/>
        </w:rPr>
        <w:t>payment of the legal costs</w:t>
      </w:r>
      <w:r w:rsidR="00062710" w:rsidRPr="00C232A6">
        <w:rPr>
          <w:rFonts w:ascii="Arial" w:hAnsi="Arial" w:cs="Arial"/>
          <w:sz w:val="24"/>
          <w:szCs w:val="24"/>
        </w:rPr>
        <w:t xml:space="preserve"> associated with </w:t>
      </w:r>
      <w:r w:rsidR="00AB4EE8" w:rsidRPr="00C232A6">
        <w:rPr>
          <w:rFonts w:ascii="Arial" w:hAnsi="Arial" w:cs="Arial"/>
          <w:sz w:val="24"/>
          <w:szCs w:val="24"/>
        </w:rPr>
        <w:t xml:space="preserve">his defence of </w:t>
      </w:r>
      <w:r w:rsidR="00062710" w:rsidRPr="00C232A6">
        <w:rPr>
          <w:rFonts w:ascii="Arial" w:hAnsi="Arial" w:cs="Arial"/>
          <w:sz w:val="24"/>
          <w:szCs w:val="24"/>
        </w:rPr>
        <w:t xml:space="preserve">the charge pertaining to his violation of the </w:t>
      </w:r>
      <w:r w:rsidR="00BF1CD7" w:rsidRPr="00C232A6">
        <w:rPr>
          <w:rFonts w:ascii="Arial" w:hAnsi="Arial" w:cs="Arial"/>
          <w:sz w:val="24"/>
          <w:szCs w:val="24"/>
        </w:rPr>
        <w:t xml:space="preserve">order. </w:t>
      </w:r>
      <w:r w:rsidR="00AF6554" w:rsidRPr="00C232A6">
        <w:rPr>
          <w:rFonts w:ascii="Arial" w:hAnsi="Arial" w:cs="Arial"/>
          <w:sz w:val="24"/>
          <w:szCs w:val="24"/>
        </w:rPr>
        <w:t xml:space="preserve">He admitted under cross-examination that his </w:t>
      </w:r>
      <w:r w:rsidR="00FC393C" w:rsidRPr="00C232A6">
        <w:rPr>
          <w:rFonts w:ascii="Arial" w:hAnsi="Arial" w:cs="Arial"/>
          <w:sz w:val="24"/>
          <w:szCs w:val="24"/>
        </w:rPr>
        <w:t xml:space="preserve">wife had </w:t>
      </w:r>
      <w:r w:rsidR="00765CD3" w:rsidRPr="00C232A6">
        <w:rPr>
          <w:rFonts w:ascii="Arial" w:hAnsi="Arial" w:cs="Arial"/>
          <w:sz w:val="24"/>
          <w:szCs w:val="24"/>
        </w:rPr>
        <w:t xml:space="preserve">laid </w:t>
      </w:r>
      <w:r w:rsidR="00E3685E" w:rsidRPr="00C232A6">
        <w:rPr>
          <w:rFonts w:ascii="Arial" w:hAnsi="Arial" w:cs="Arial"/>
          <w:sz w:val="24"/>
          <w:szCs w:val="24"/>
        </w:rPr>
        <w:t>the</w:t>
      </w:r>
      <w:r w:rsidR="00765CD3" w:rsidRPr="00C232A6">
        <w:rPr>
          <w:rFonts w:ascii="Arial" w:hAnsi="Arial" w:cs="Arial"/>
          <w:sz w:val="24"/>
          <w:szCs w:val="24"/>
        </w:rPr>
        <w:t xml:space="preserve"> complaint that had </w:t>
      </w:r>
      <w:r w:rsidR="00C369F9" w:rsidRPr="00C232A6">
        <w:rPr>
          <w:rFonts w:ascii="Arial" w:hAnsi="Arial" w:cs="Arial"/>
          <w:sz w:val="24"/>
          <w:szCs w:val="24"/>
        </w:rPr>
        <w:t xml:space="preserve">led to the </w:t>
      </w:r>
      <w:r w:rsidR="00ED5721" w:rsidRPr="00C232A6">
        <w:rPr>
          <w:rFonts w:ascii="Arial" w:hAnsi="Arial" w:cs="Arial"/>
          <w:sz w:val="24"/>
          <w:szCs w:val="24"/>
        </w:rPr>
        <w:t xml:space="preserve">subsequent </w:t>
      </w:r>
      <w:r w:rsidR="00B863F4" w:rsidRPr="00C232A6">
        <w:rPr>
          <w:rFonts w:ascii="Arial" w:hAnsi="Arial" w:cs="Arial"/>
          <w:sz w:val="24"/>
          <w:szCs w:val="24"/>
        </w:rPr>
        <w:t>proceedings in the Magistrates’ Court in East London</w:t>
      </w:r>
      <w:r w:rsidR="00E12A6F" w:rsidRPr="00C232A6">
        <w:rPr>
          <w:rFonts w:ascii="Arial" w:hAnsi="Arial" w:cs="Arial"/>
          <w:sz w:val="24"/>
          <w:szCs w:val="24"/>
        </w:rPr>
        <w:t xml:space="preserve"> and later Pretoria, after the case </w:t>
      </w:r>
      <w:r w:rsidR="00E3685E" w:rsidRPr="00C232A6">
        <w:rPr>
          <w:rFonts w:ascii="Arial" w:hAnsi="Arial" w:cs="Arial"/>
          <w:sz w:val="24"/>
          <w:szCs w:val="24"/>
        </w:rPr>
        <w:t xml:space="preserve">had been </w:t>
      </w:r>
      <w:r w:rsidR="00E12A6F" w:rsidRPr="00C232A6">
        <w:rPr>
          <w:rFonts w:ascii="Arial" w:hAnsi="Arial" w:cs="Arial"/>
          <w:sz w:val="24"/>
          <w:szCs w:val="24"/>
        </w:rPr>
        <w:t>transferred.</w:t>
      </w:r>
      <w:r w:rsidR="00AF6554" w:rsidRPr="00C232A6">
        <w:rPr>
          <w:rFonts w:ascii="Arial" w:hAnsi="Arial" w:cs="Arial"/>
          <w:sz w:val="24"/>
          <w:szCs w:val="24"/>
        </w:rPr>
        <w:t xml:space="preserve"> </w:t>
      </w:r>
    </w:p>
    <w:p w14:paraId="104A7716" w14:textId="77777777" w:rsidR="001C79E7" w:rsidRDefault="001C79E7" w:rsidP="001C79E7">
      <w:pPr>
        <w:pStyle w:val="ListParagraph"/>
        <w:spacing w:line="360" w:lineRule="auto"/>
        <w:ind w:left="0"/>
        <w:jc w:val="both"/>
        <w:rPr>
          <w:rFonts w:ascii="Arial" w:hAnsi="Arial" w:cs="Arial"/>
          <w:sz w:val="24"/>
          <w:szCs w:val="24"/>
        </w:rPr>
      </w:pPr>
    </w:p>
    <w:p w14:paraId="74136D3C" w14:textId="6762B016" w:rsidR="001C79E7" w:rsidRPr="00C232A6" w:rsidRDefault="00C232A6" w:rsidP="00C232A6">
      <w:pPr>
        <w:spacing w:line="360" w:lineRule="auto"/>
        <w:jc w:val="both"/>
        <w:rPr>
          <w:rFonts w:ascii="Arial" w:hAnsi="Arial" w:cs="Arial"/>
          <w:sz w:val="24"/>
          <w:szCs w:val="24"/>
        </w:rPr>
      </w:pPr>
      <w:r>
        <w:rPr>
          <w:rFonts w:ascii="Arial" w:hAnsi="Arial" w:cs="Arial"/>
          <w:sz w:val="24"/>
          <w:szCs w:val="24"/>
        </w:rPr>
        <w:t>[28]</w:t>
      </w:r>
      <w:r>
        <w:rPr>
          <w:rFonts w:ascii="Arial" w:hAnsi="Arial" w:cs="Arial"/>
          <w:sz w:val="24"/>
          <w:szCs w:val="24"/>
        </w:rPr>
        <w:tab/>
      </w:r>
      <w:r w:rsidR="008D5B2E" w:rsidRPr="00C232A6">
        <w:rPr>
          <w:rFonts w:ascii="Arial" w:hAnsi="Arial" w:cs="Arial"/>
          <w:sz w:val="24"/>
          <w:szCs w:val="24"/>
        </w:rPr>
        <w:t xml:space="preserve">The </w:t>
      </w:r>
      <w:r w:rsidR="00D603FC" w:rsidRPr="00C232A6">
        <w:rPr>
          <w:rFonts w:ascii="Arial" w:hAnsi="Arial" w:cs="Arial"/>
          <w:sz w:val="24"/>
          <w:szCs w:val="24"/>
        </w:rPr>
        <w:t xml:space="preserve">above </w:t>
      </w:r>
      <w:r w:rsidR="008D5B2E" w:rsidRPr="00C232A6">
        <w:rPr>
          <w:rFonts w:ascii="Arial" w:hAnsi="Arial" w:cs="Arial"/>
          <w:sz w:val="24"/>
          <w:szCs w:val="24"/>
        </w:rPr>
        <w:t xml:space="preserve">admission </w:t>
      </w:r>
      <w:r w:rsidR="00D603FC" w:rsidRPr="00C232A6">
        <w:rPr>
          <w:rFonts w:ascii="Arial" w:hAnsi="Arial" w:cs="Arial"/>
          <w:sz w:val="24"/>
          <w:szCs w:val="24"/>
        </w:rPr>
        <w:t xml:space="preserve">effectively </w:t>
      </w:r>
      <w:r w:rsidR="008D5B2E" w:rsidRPr="00C232A6">
        <w:rPr>
          <w:rFonts w:ascii="Arial" w:hAnsi="Arial" w:cs="Arial"/>
          <w:sz w:val="24"/>
          <w:szCs w:val="24"/>
        </w:rPr>
        <w:t xml:space="preserve">put an end to </w:t>
      </w:r>
      <w:r w:rsidR="00D603FC" w:rsidRPr="00C232A6">
        <w:rPr>
          <w:rFonts w:ascii="Arial" w:hAnsi="Arial" w:cs="Arial"/>
          <w:sz w:val="24"/>
          <w:szCs w:val="24"/>
        </w:rPr>
        <w:t>the plaintiff’s</w:t>
      </w:r>
      <w:r w:rsidR="008D5B2E" w:rsidRPr="00C232A6">
        <w:rPr>
          <w:rFonts w:ascii="Arial" w:hAnsi="Arial" w:cs="Arial"/>
          <w:sz w:val="24"/>
          <w:szCs w:val="24"/>
        </w:rPr>
        <w:t xml:space="preserve"> claim. He </w:t>
      </w:r>
      <w:r w:rsidR="005F618D" w:rsidRPr="00C232A6">
        <w:rPr>
          <w:rFonts w:ascii="Arial" w:hAnsi="Arial" w:cs="Arial"/>
          <w:sz w:val="24"/>
          <w:szCs w:val="24"/>
        </w:rPr>
        <w:t xml:space="preserve">did not incur </w:t>
      </w:r>
      <w:r w:rsidR="001125D5" w:rsidRPr="00C232A6">
        <w:rPr>
          <w:rFonts w:ascii="Arial" w:hAnsi="Arial" w:cs="Arial"/>
          <w:sz w:val="24"/>
          <w:szCs w:val="24"/>
        </w:rPr>
        <w:t xml:space="preserve">any </w:t>
      </w:r>
      <w:r w:rsidR="00195644" w:rsidRPr="00C232A6">
        <w:rPr>
          <w:rFonts w:ascii="Arial" w:hAnsi="Arial" w:cs="Arial"/>
          <w:sz w:val="24"/>
          <w:szCs w:val="24"/>
        </w:rPr>
        <w:t xml:space="preserve">legal </w:t>
      </w:r>
      <w:r w:rsidR="001125D5" w:rsidRPr="00C232A6">
        <w:rPr>
          <w:rFonts w:ascii="Arial" w:hAnsi="Arial" w:cs="Arial"/>
          <w:sz w:val="24"/>
          <w:szCs w:val="24"/>
        </w:rPr>
        <w:t xml:space="preserve">costs </w:t>
      </w:r>
      <w:r w:rsidR="00311D99" w:rsidRPr="00C232A6">
        <w:rPr>
          <w:rFonts w:ascii="Arial" w:hAnsi="Arial" w:cs="Arial"/>
          <w:sz w:val="24"/>
          <w:szCs w:val="24"/>
        </w:rPr>
        <w:t xml:space="preserve">in attempting to secure his release. </w:t>
      </w:r>
      <w:r w:rsidR="000D74DF" w:rsidRPr="00C232A6">
        <w:rPr>
          <w:rFonts w:ascii="Arial" w:hAnsi="Arial" w:cs="Arial"/>
          <w:sz w:val="24"/>
          <w:szCs w:val="24"/>
        </w:rPr>
        <w:t xml:space="preserve">He was released at his first appearance on the day </w:t>
      </w:r>
      <w:r w:rsidR="0072330A" w:rsidRPr="00C232A6">
        <w:rPr>
          <w:rFonts w:ascii="Arial" w:hAnsi="Arial" w:cs="Arial"/>
          <w:sz w:val="24"/>
          <w:szCs w:val="24"/>
        </w:rPr>
        <w:t>after</w:t>
      </w:r>
      <w:r w:rsidR="000D74DF" w:rsidRPr="00C232A6">
        <w:rPr>
          <w:rFonts w:ascii="Arial" w:hAnsi="Arial" w:cs="Arial"/>
          <w:sz w:val="24"/>
          <w:szCs w:val="24"/>
        </w:rPr>
        <w:t xml:space="preserve"> his arrest </w:t>
      </w:r>
      <w:r w:rsidR="00D228D4" w:rsidRPr="00C232A6">
        <w:rPr>
          <w:rFonts w:ascii="Arial" w:hAnsi="Arial" w:cs="Arial"/>
          <w:sz w:val="24"/>
          <w:szCs w:val="24"/>
        </w:rPr>
        <w:t>once</w:t>
      </w:r>
      <w:r w:rsidR="000D74DF" w:rsidRPr="00C232A6">
        <w:rPr>
          <w:rFonts w:ascii="Arial" w:hAnsi="Arial" w:cs="Arial"/>
          <w:sz w:val="24"/>
          <w:szCs w:val="24"/>
        </w:rPr>
        <w:t xml:space="preserve"> </w:t>
      </w:r>
      <w:r w:rsidR="001D39D3" w:rsidRPr="00C232A6">
        <w:rPr>
          <w:rFonts w:ascii="Arial" w:hAnsi="Arial" w:cs="Arial"/>
          <w:sz w:val="24"/>
          <w:szCs w:val="24"/>
        </w:rPr>
        <w:t xml:space="preserve">he had been granted bail, which was, interestingly, paid by one of the officers involved. Whether </w:t>
      </w:r>
      <w:r w:rsidR="00D847D3" w:rsidRPr="00C232A6">
        <w:rPr>
          <w:rFonts w:ascii="Arial" w:hAnsi="Arial" w:cs="Arial"/>
          <w:sz w:val="24"/>
          <w:szCs w:val="24"/>
        </w:rPr>
        <w:t xml:space="preserve">he had been </w:t>
      </w:r>
      <w:r w:rsidR="00AF76EA" w:rsidRPr="00C232A6">
        <w:rPr>
          <w:rFonts w:ascii="Arial" w:hAnsi="Arial" w:cs="Arial"/>
          <w:sz w:val="24"/>
          <w:szCs w:val="24"/>
        </w:rPr>
        <w:t xml:space="preserve">arrested or not, he would still have had to contend with the </w:t>
      </w:r>
      <w:r w:rsidR="007F2F53" w:rsidRPr="00C232A6">
        <w:rPr>
          <w:rFonts w:ascii="Arial" w:hAnsi="Arial" w:cs="Arial"/>
          <w:sz w:val="24"/>
          <w:szCs w:val="24"/>
        </w:rPr>
        <w:t xml:space="preserve">proceedings that had been instigated or </w:t>
      </w:r>
      <w:r w:rsidR="00D3122A" w:rsidRPr="00C232A6">
        <w:rPr>
          <w:rFonts w:ascii="Arial" w:hAnsi="Arial" w:cs="Arial"/>
          <w:sz w:val="24"/>
          <w:szCs w:val="24"/>
        </w:rPr>
        <w:t xml:space="preserve">instituted </w:t>
      </w:r>
      <w:r w:rsidR="007F2F53" w:rsidRPr="00C232A6">
        <w:rPr>
          <w:rFonts w:ascii="Arial" w:hAnsi="Arial" w:cs="Arial"/>
          <w:sz w:val="24"/>
          <w:szCs w:val="24"/>
        </w:rPr>
        <w:t>by his ex-wife.</w:t>
      </w:r>
      <w:r w:rsidR="00622F2A" w:rsidRPr="00C232A6">
        <w:rPr>
          <w:rFonts w:ascii="Arial" w:hAnsi="Arial" w:cs="Arial"/>
          <w:sz w:val="24"/>
          <w:szCs w:val="24"/>
        </w:rPr>
        <w:t xml:space="preserve"> The costs </w:t>
      </w:r>
      <w:r w:rsidR="007164FA" w:rsidRPr="00C232A6">
        <w:rPr>
          <w:rFonts w:ascii="Arial" w:hAnsi="Arial" w:cs="Arial"/>
          <w:sz w:val="24"/>
          <w:szCs w:val="24"/>
        </w:rPr>
        <w:t xml:space="preserve">incurred in </w:t>
      </w:r>
      <w:r w:rsidR="00622F2A" w:rsidRPr="00C232A6">
        <w:rPr>
          <w:rFonts w:ascii="Arial" w:hAnsi="Arial" w:cs="Arial"/>
          <w:sz w:val="24"/>
          <w:szCs w:val="24"/>
        </w:rPr>
        <w:t xml:space="preserve">instructing attorneys to defend him in </w:t>
      </w:r>
      <w:r w:rsidR="00A67186" w:rsidRPr="00C232A6">
        <w:rPr>
          <w:rFonts w:ascii="Arial" w:hAnsi="Arial" w:cs="Arial"/>
          <w:sz w:val="24"/>
          <w:szCs w:val="24"/>
        </w:rPr>
        <w:t xml:space="preserve">such proceedings had nothing to do with his unlawful arrest and detention. </w:t>
      </w:r>
      <w:r w:rsidR="00C37FC1" w:rsidRPr="00C232A6">
        <w:rPr>
          <w:rFonts w:ascii="Arial" w:hAnsi="Arial" w:cs="Arial"/>
          <w:sz w:val="24"/>
          <w:szCs w:val="24"/>
        </w:rPr>
        <w:t xml:space="preserve">The claim for payment </w:t>
      </w:r>
      <w:r w:rsidR="007164FA" w:rsidRPr="00C232A6">
        <w:rPr>
          <w:rFonts w:ascii="Arial" w:hAnsi="Arial" w:cs="Arial"/>
          <w:sz w:val="24"/>
          <w:szCs w:val="24"/>
        </w:rPr>
        <w:t>there</w:t>
      </w:r>
      <w:r w:rsidR="00C37FC1" w:rsidRPr="00C232A6">
        <w:rPr>
          <w:rFonts w:ascii="Arial" w:hAnsi="Arial" w:cs="Arial"/>
          <w:sz w:val="24"/>
          <w:szCs w:val="24"/>
        </w:rPr>
        <w:t xml:space="preserve">of </w:t>
      </w:r>
      <w:r w:rsidR="007164FA" w:rsidRPr="00C232A6">
        <w:rPr>
          <w:rFonts w:ascii="Arial" w:hAnsi="Arial" w:cs="Arial"/>
          <w:sz w:val="24"/>
          <w:szCs w:val="24"/>
        </w:rPr>
        <w:t xml:space="preserve">is </w:t>
      </w:r>
      <w:r w:rsidR="00A67186" w:rsidRPr="00C232A6">
        <w:rPr>
          <w:rFonts w:ascii="Arial" w:hAnsi="Arial" w:cs="Arial"/>
          <w:sz w:val="24"/>
          <w:szCs w:val="24"/>
        </w:rPr>
        <w:t xml:space="preserve">a delictual claim, </w:t>
      </w:r>
      <w:r w:rsidR="007164FA" w:rsidRPr="00C232A6">
        <w:rPr>
          <w:rFonts w:ascii="Arial" w:hAnsi="Arial" w:cs="Arial"/>
          <w:sz w:val="24"/>
          <w:szCs w:val="24"/>
        </w:rPr>
        <w:t>but the</w:t>
      </w:r>
      <w:r w:rsidR="00CA78D9" w:rsidRPr="00C232A6">
        <w:rPr>
          <w:rFonts w:ascii="Arial" w:hAnsi="Arial" w:cs="Arial"/>
          <w:sz w:val="24"/>
          <w:szCs w:val="24"/>
        </w:rPr>
        <w:t>re is simply no causal link</w:t>
      </w:r>
      <w:r w:rsidR="007F497F" w:rsidRPr="00C232A6">
        <w:rPr>
          <w:rFonts w:ascii="Arial" w:hAnsi="Arial" w:cs="Arial"/>
          <w:sz w:val="24"/>
          <w:szCs w:val="24"/>
        </w:rPr>
        <w:t>.</w:t>
      </w:r>
    </w:p>
    <w:p w14:paraId="28528159" w14:textId="77777777" w:rsidR="001C79E7" w:rsidRPr="001C79E7" w:rsidRDefault="001C79E7" w:rsidP="001C79E7">
      <w:pPr>
        <w:pStyle w:val="ListParagraph"/>
        <w:rPr>
          <w:rFonts w:ascii="Arial" w:hAnsi="Arial" w:cs="Arial"/>
          <w:sz w:val="24"/>
          <w:szCs w:val="24"/>
        </w:rPr>
      </w:pPr>
    </w:p>
    <w:p w14:paraId="4AF76584" w14:textId="64FAADA9" w:rsidR="001C79E7" w:rsidRPr="00C232A6" w:rsidRDefault="00C232A6" w:rsidP="00C232A6">
      <w:pPr>
        <w:spacing w:line="360" w:lineRule="auto"/>
        <w:jc w:val="both"/>
        <w:rPr>
          <w:rFonts w:ascii="Arial" w:hAnsi="Arial" w:cs="Arial"/>
          <w:sz w:val="24"/>
          <w:szCs w:val="24"/>
        </w:rPr>
      </w:pPr>
      <w:r>
        <w:rPr>
          <w:rFonts w:ascii="Arial" w:hAnsi="Arial" w:cs="Arial"/>
          <w:sz w:val="24"/>
          <w:szCs w:val="24"/>
        </w:rPr>
        <w:t>[29]</w:t>
      </w:r>
      <w:r>
        <w:rPr>
          <w:rFonts w:ascii="Arial" w:hAnsi="Arial" w:cs="Arial"/>
          <w:sz w:val="24"/>
          <w:szCs w:val="24"/>
        </w:rPr>
        <w:tab/>
      </w:r>
      <w:r w:rsidR="00814D12" w:rsidRPr="00C232A6">
        <w:rPr>
          <w:rFonts w:ascii="Arial" w:hAnsi="Arial" w:cs="Arial"/>
          <w:sz w:val="24"/>
          <w:szCs w:val="24"/>
        </w:rPr>
        <w:t xml:space="preserve">To the extent that the </w:t>
      </w:r>
      <w:r w:rsidR="004E4277" w:rsidRPr="00C232A6">
        <w:rPr>
          <w:rFonts w:ascii="Arial" w:hAnsi="Arial" w:cs="Arial"/>
          <w:sz w:val="24"/>
          <w:szCs w:val="24"/>
        </w:rPr>
        <w:t xml:space="preserve">defendant, in argument, </w:t>
      </w:r>
      <w:r w:rsidR="00EA37BE" w:rsidRPr="00C232A6">
        <w:rPr>
          <w:rFonts w:ascii="Arial" w:hAnsi="Arial" w:cs="Arial"/>
          <w:sz w:val="24"/>
          <w:szCs w:val="24"/>
        </w:rPr>
        <w:t xml:space="preserve">suggested that the plaintiff </w:t>
      </w:r>
      <w:r w:rsidR="00814D12" w:rsidRPr="00C232A6">
        <w:rPr>
          <w:rFonts w:ascii="Arial" w:hAnsi="Arial" w:cs="Arial"/>
          <w:sz w:val="24"/>
          <w:szCs w:val="24"/>
        </w:rPr>
        <w:t xml:space="preserve">has relied on </w:t>
      </w:r>
      <w:r w:rsidR="00613D54" w:rsidRPr="00C232A6">
        <w:rPr>
          <w:rFonts w:ascii="Arial" w:hAnsi="Arial" w:cs="Arial"/>
          <w:sz w:val="24"/>
          <w:szCs w:val="24"/>
        </w:rPr>
        <w:t xml:space="preserve">a claim </w:t>
      </w:r>
      <w:r w:rsidR="00ED0662" w:rsidRPr="00C232A6">
        <w:rPr>
          <w:rFonts w:ascii="Arial" w:hAnsi="Arial" w:cs="Arial"/>
          <w:sz w:val="24"/>
          <w:szCs w:val="24"/>
        </w:rPr>
        <w:t xml:space="preserve">for </w:t>
      </w:r>
      <w:r w:rsidR="00613D54" w:rsidRPr="00C232A6">
        <w:rPr>
          <w:rFonts w:ascii="Arial" w:hAnsi="Arial" w:cs="Arial"/>
          <w:sz w:val="24"/>
          <w:szCs w:val="24"/>
        </w:rPr>
        <w:t>malicious proceedings</w:t>
      </w:r>
      <w:r w:rsidR="00437E18" w:rsidRPr="00C232A6">
        <w:rPr>
          <w:rFonts w:ascii="Arial" w:hAnsi="Arial" w:cs="Arial"/>
          <w:sz w:val="24"/>
          <w:szCs w:val="24"/>
        </w:rPr>
        <w:t xml:space="preserve">, </w:t>
      </w:r>
      <w:r w:rsidR="00EA37BE" w:rsidRPr="00C232A6">
        <w:rPr>
          <w:rFonts w:ascii="Arial" w:hAnsi="Arial" w:cs="Arial"/>
          <w:sz w:val="24"/>
          <w:szCs w:val="24"/>
        </w:rPr>
        <w:t>the court does not interpret the particulars</w:t>
      </w:r>
      <w:r w:rsidR="0078575A" w:rsidRPr="00C232A6">
        <w:rPr>
          <w:rFonts w:ascii="Arial" w:hAnsi="Arial" w:cs="Arial"/>
          <w:sz w:val="24"/>
          <w:szCs w:val="24"/>
        </w:rPr>
        <w:t xml:space="preserve"> as disclosing a cause of action to that effect. T</w:t>
      </w:r>
      <w:r w:rsidR="00437E18" w:rsidRPr="00C232A6">
        <w:rPr>
          <w:rFonts w:ascii="Arial" w:hAnsi="Arial" w:cs="Arial"/>
          <w:sz w:val="24"/>
          <w:szCs w:val="24"/>
        </w:rPr>
        <w:t>here is</w:t>
      </w:r>
      <w:r w:rsidR="0078575A" w:rsidRPr="00C232A6">
        <w:rPr>
          <w:rFonts w:ascii="Arial" w:hAnsi="Arial" w:cs="Arial"/>
          <w:sz w:val="24"/>
          <w:szCs w:val="24"/>
        </w:rPr>
        <w:t>, in any event,</w:t>
      </w:r>
      <w:r w:rsidR="00437E18" w:rsidRPr="00C232A6">
        <w:rPr>
          <w:rFonts w:ascii="Arial" w:hAnsi="Arial" w:cs="Arial"/>
          <w:sz w:val="24"/>
          <w:szCs w:val="24"/>
        </w:rPr>
        <w:t xml:space="preserve"> no evidence of malice.</w:t>
      </w:r>
      <w:r w:rsidR="0078575A" w:rsidRPr="00C232A6">
        <w:rPr>
          <w:rFonts w:ascii="Arial" w:hAnsi="Arial" w:cs="Arial"/>
          <w:sz w:val="24"/>
          <w:szCs w:val="24"/>
        </w:rPr>
        <w:t xml:space="preserve"> This will be discussed </w:t>
      </w:r>
      <w:r w:rsidR="008851AC" w:rsidRPr="00C232A6">
        <w:rPr>
          <w:rFonts w:ascii="Arial" w:hAnsi="Arial" w:cs="Arial"/>
          <w:sz w:val="24"/>
          <w:szCs w:val="24"/>
        </w:rPr>
        <w:t>further in the paragraphs that follow.</w:t>
      </w:r>
      <w:r w:rsidR="00ED2BB5" w:rsidRPr="00C232A6">
        <w:rPr>
          <w:rFonts w:ascii="Arial" w:hAnsi="Arial" w:cs="Arial"/>
          <w:sz w:val="24"/>
          <w:szCs w:val="24"/>
        </w:rPr>
        <w:t xml:space="preserve"> </w:t>
      </w:r>
    </w:p>
    <w:p w14:paraId="0FFE59D7" w14:textId="77777777" w:rsidR="001C79E7" w:rsidRPr="001C79E7" w:rsidRDefault="001C79E7" w:rsidP="001C79E7">
      <w:pPr>
        <w:pStyle w:val="ListParagraph"/>
        <w:rPr>
          <w:rFonts w:ascii="Arial" w:hAnsi="Arial" w:cs="Arial"/>
          <w:sz w:val="24"/>
          <w:szCs w:val="24"/>
        </w:rPr>
      </w:pPr>
    </w:p>
    <w:p w14:paraId="60E49A97" w14:textId="450E87AA" w:rsidR="007F497F" w:rsidRPr="00C232A6" w:rsidRDefault="00C232A6" w:rsidP="00C232A6">
      <w:pPr>
        <w:spacing w:line="360" w:lineRule="auto"/>
        <w:jc w:val="both"/>
        <w:rPr>
          <w:rFonts w:ascii="Arial" w:hAnsi="Arial" w:cs="Arial"/>
          <w:sz w:val="24"/>
          <w:szCs w:val="24"/>
        </w:rPr>
      </w:pPr>
      <w:r w:rsidRPr="001C79E7">
        <w:rPr>
          <w:rFonts w:ascii="Arial" w:hAnsi="Arial" w:cs="Arial"/>
          <w:sz w:val="24"/>
          <w:szCs w:val="24"/>
        </w:rPr>
        <w:lastRenderedPageBreak/>
        <w:t>[30]</w:t>
      </w:r>
      <w:r w:rsidRPr="001C79E7">
        <w:rPr>
          <w:rFonts w:ascii="Arial" w:hAnsi="Arial" w:cs="Arial"/>
          <w:sz w:val="24"/>
          <w:szCs w:val="24"/>
        </w:rPr>
        <w:tab/>
      </w:r>
      <w:r w:rsidR="008851AC" w:rsidRPr="00C232A6">
        <w:rPr>
          <w:rFonts w:ascii="Arial" w:hAnsi="Arial" w:cs="Arial"/>
          <w:sz w:val="24"/>
          <w:szCs w:val="24"/>
        </w:rPr>
        <w:t>U</w:t>
      </w:r>
      <w:r w:rsidR="007F497F" w:rsidRPr="00C232A6">
        <w:rPr>
          <w:rFonts w:ascii="Arial" w:hAnsi="Arial" w:cs="Arial"/>
          <w:sz w:val="24"/>
          <w:szCs w:val="24"/>
        </w:rPr>
        <w:t xml:space="preserve">ltimately, </w:t>
      </w:r>
      <w:r w:rsidR="008851AC" w:rsidRPr="00C232A6">
        <w:rPr>
          <w:rFonts w:ascii="Arial" w:hAnsi="Arial" w:cs="Arial"/>
          <w:sz w:val="24"/>
          <w:szCs w:val="24"/>
        </w:rPr>
        <w:t xml:space="preserve">the plaintiff seems not to have pursued his claim </w:t>
      </w:r>
      <w:r w:rsidR="00AA34A4" w:rsidRPr="00C232A6">
        <w:rPr>
          <w:rFonts w:ascii="Arial" w:hAnsi="Arial" w:cs="Arial"/>
          <w:sz w:val="24"/>
          <w:szCs w:val="24"/>
        </w:rPr>
        <w:t xml:space="preserve">for legal costs in relation to the </w:t>
      </w:r>
      <w:r w:rsidR="00AE67CC" w:rsidRPr="00C232A6">
        <w:rPr>
          <w:rFonts w:ascii="Arial" w:hAnsi="Arial" w:cs="Arial"/>
          <w:sz w:val="24"/>
          <w:szCs w:val="24"/>
        </w:rPr>
        <w:t>proceedings set in motion by his ex-wife.</w:t>
      </w:r>
      <w:r w:rsidR="00AE67CC">
        <w:rPr>
          <w:rStyle w:val="FootnoteReference"/>
          <w:rFonts w:ascii="Arial" w:hAnsi="Arial" w:cs="Arial"/>
          <w:sz w:val="24"/>
          <w:szCs w:val="24"/>
        </w:rPr>
        <w:footnoteReference w:id="8"/>
      </w:r>
      <w:r w:rsidR="00821762" w:rsidRPr="00C232A6">
        <w:rPr>
          <w:rFonts w:ascii="Arial" w:hAnsi="Arial" w:cs="Arial"/>
          <w:sz w:val="24"/>
          <w:szCs w:val="24"/>
        </w:rPr>
        <w:t xml:space="preserve"> </w:t>
      </w:r>
      <w:r w:rsidR="00C11ECC" w:rsidRPr="00C232A6">
        <w:rPr>
          <w:rFonts w:ascii="Arial" w:hAnsi="Arial" w:cs="Arial"/>
          <w:sz w:val="24"/>
          <w:szCs w:val="24"/>
        </w:rPr>
        <w:t>If indeed so, then t</w:t>
      </w:r>
      <w:r w:rsidR="00821762" w:rsidRPr="00C232A6">
        <w:rPr>
          <w:rFonts w:ascii="Arial" w:hAnsi="Arial" w:cs="Arial"/>
          <w:sz w:val="24"/>
          <w:szCs w:val="24"/>
        </w:rPr>
        <w:t>his was a prudent decision.</w:t>
      </w:r>
    </w:p>
    <w:p w14:paraId="3C3FFF6F" w14:textId="77777777" w:rsidR="00821762" w:rsidRDefault="00821762" w:rsidP="00EC0D2D">
      <w:pPr>
        <w:spacing w:line="360" w:lineRule="auto"/>
        <w:rPr>
          <w:rFonts w:ascii="Arial" w:hAnsi="Arial" w:cs="Arial"/>
          <w:sz w:val="24"/>
          <w:szCs w:val="24"/>
        </w:rPr>
      </w:pPr>
    </w:p>
    <w:p w14:paraId="25AA694D" w14:textId="270C2F79" w:rsidR="00821762" w:rsidRPr="002B2B90" w:rsidRDefault="00821762" w:rsidP="00EC0D2D">
      <w:pPr>
        <w:spacing w:line="360" w:lineRule="auto"/>
        <w:rPr>
          <w:rFonts w:ascii="Arial" w:hAnsi="Arial" w:cs="Arial"/>
          <w:i/>
          <w:iCs/>
          <w:sz w:val="24"/>
          <w:szCs w:val="24"/>
        </w:rPr>
      </w:pPr>
      <w:r w:rsidRPr="002B2B90">
        <w:rPr>
          <w:rFonts w:ascii="Arial" w:hAnsi="Arial" w:cs="Arial"/>
          <w:i/>
          <w:iCs/>
          <w:sz w:val="24"/>
          <w:szCs w:val="24"/>
        </w:rPr>
        <w:t>General damages</w:t>
      </w:r>
    </w:p>
    <w:p w14:paraId="45462D0D" w14:textId="77777777" w:rsidR="00821762" w:rsidRDefault="00821762" w:rsidP="00EC0D2D">
      <w:pPr>
        <w:spacing w:line="360" w:lineRule="auto"/>
        <w:rPr>
          <w:rFonts w:ascii="Arial" w:hAnsi="Arial" w:cs="Arial"/>
          <w:sz w:val="24"/>
          <w:szCs w:val="24"/>
        </w:rPr>
      </w:pPr>
    </w:p>
    <w:p w14:paraId="76B80F63" w14:textId="27EA9003" w:rsidR="001C79E7" w:rsidRPr="00C232A6" w:rsidRDefault="00C232A6" w:rsidP="00C232A6">
      <w:pPr>
        <w:spacing w:line="360" w:lineRule="auto"/>
        <w:jc w:val="both"/>
        <w:rPr>
          <w:rFonts w:ascii="Arial" w:hAnsi="Arial" w:cs="Arial"/>
          <w:sz w:val="24"/>
          <w:szCs w:val="24"/>
        </w:rPr>
      </w:pPr>
      <w:r>
        <w:rPr>
          <w:rFonts w:ascii="Arial" w:hAnsi="Arial" w:cs="Arial"/>
          <w:sz w:val="24"/>
          <w:szCs w:val="24"/>
        </w:rPr>
        <w:t>[31]</w:t>
      </w:r>
      <w:r>
        <w:rPr>
          <w:rFonts w:ascii="Arial" w:hAnsi="Arial" w:cs="Arial"/>
          <w:sz w:val="24"/>
          <w:szCs w:val="24"/>
        </w:rPr>
        <w:tab/>
      </w:r>
      <w:r w:rsidR="00821762" w:rsidRPr="00C232A6">
        <w:rPr>
          <w:rFonts w:ascii="Arial" w:hAnsi="Arial" w:cs="Arial"/>
          <w:sz w:val="24"/>
          <w:szCs w:val="24"/>
        </w:rPr>
        <w:t xml:space="preserve">The </w:t>
      </w:r>
      <w:r w:rsidR="00461F5B" w:rsidRPr="00C232A6">
        <w:rPr>
          <w:rFonts w:ascii="Arial" w:hAnsi="Arial" w:cs="Arial"/>
          <w:sz w:val="24"/>
          <w:szCs w:val="24"/>
        </w:rPr>
        <w:t xml:space="preserve">extent of the </w:t>
      </w:r>
      <w:r w:rsidR="007E057A" w:rsidRPr="00C232A6">
        <w:rPr>
          <w:rFonts w:ascii="Arial" w:hAnsi="Arial" w:cs="Arial"/>
          <w:sz w:val="24"/>
          <w:szCs w:val="24"/>
        </w:rPr>
        <w:t xml:space="preserve">award </w:t>
      </w:r>
      <w:r w:rsidR="00461F5B" w:rsidRPr="00C232A6">
        <w:rPr>
          <w:rFonts w:ascii="Arial" w:hAnsi="Arial" w:cs="Arial"/>
          <w:sz w:val="24"/>
          <w:szCs w:val="24"/>
        </w:rPr>
        <w:t>for general damages lies entirely within the discretion of the court.</w:t>
      </w:r>
      <w:r w:rsidR="00461F5B">
        <w:rPr>
          <w:rStyle w:val="FootnoteReference"/>
          <w:rFonts w:ascii="Arial" w:hAnsi="Arial" w:cs="Arial"/>
          <w:sz w:val="24"/>
          <w:szCs w:val="24"/>
        </w:rPr>
        <w:footnoteReference w:id="9"/>
      </w:r>
      <w:r w:rsidR="00474E16" w:rsidRPr="00C232A6">
        <w:rPr>
          <w:rFonts w:ascii="Arial" w:hAnsi="Arial" w:cs="Arial"/>
          <w:sz w:val="24"/>
          <w:szCs w:val="24"/>
        </w:rPr>
        <w:t xml:space="preserve"> </w:t>
      </w:r>
      <w:r w:rsidR="008338E9" w:rsidRPr="00C232A6">
        <w:rPr>
          <w:rFonts w:ascii="Arial" w:hAnsi="Arial" w:cs="Arial"/>
          <w:sz w:val="24"/>
          <w:szCs w:val="24"/>
        </w:rPr>
        <w:t>Th</w:t>
      </w:r>
      <w:r w:rsidR="00AC29E4" w:rsidRPr="00C232A6">
        <w:rPr>
          <w:rFonts w:ascii="Arial" w:hAnsi="Arial" w:cs="Arial"/>
          <w:sz w:val="24"/>
          <w:szCs w:val="24"/>
        </w:rPr>
        <w:t xml:space="preserve">is </w:t>
      </w:r>
      <w:r w:rsidR="008338E9" w:rsidRPr="00C232A6">
        <w:rPr>
          <w:rFonts w:ascii="Arial" w:hAnsi="Arial" w:cs="Arial"/>
          <w:sz w:val="24"/>
          <w:szCs w:val="24"/>
        </w:rPr>
        <w:t xml:space="preserve">depends on the </w:t>
      </w:r>
      <w:r w:rsidR="00A94AC1" w:rsidRPr="00C232A6">
        <w:rPr>
          <w:rFonts w:ascii="Arial" w:hAnsi="Arial" w:cs="Arial"/>
          <w:sz w:val="24"/>
          <w:szCs w:val="24"/>
        </w:rPr>
        <w:t>circumstances of the matter.</w:t>
      </w:r>
      <w:r w:rsidR="0015171C" w:rsidRPr="00C232A6">
        <w:rPr>
          <w:rFonts w:ascii="Arial" w:hAnsi="Arial" w:cs="Arial"/>
          <w:sz w:val="24"/>
          <w:szCs w:val="24"/>
        </w:rPr>
        <w:t xml:space="preserve"> </w:t>
      </w:r>
    </w:p>
    <w:p w14:paraId="6087E892" w14:textId="77777777" w:rsidR="001C79E7" w:rsidRDefault="001C79E7" w:rsidP="001C79E7">
      <w:pPr>
        <w:pStyle w:val="ListParagraph"/>
        <w:spacing w:line="360" w:lineRule="auto"/>
        <w:ind w:left="0"/>
        <w:jc w:val="both"/>
        <w:rPr>
          <w:rFonts w:ascii="Arial" w:hAnsi="Arial" w:cs="Arial"/>
          <w:sz w:val="24"/>
          <w:szCs w:val="24"/>
        </w:rPr>
      </w:pPr>
    </w:p>
    <w:p w14:paraId="49EDB6BC" w14:textId="596E00D0" w:rsidR="001C79E7" w:rsidRPr="00C232A6" w:rsidRDefault="00C232A6" w:rsidP="00C232A6">
      <w:pPr>
        <w:spacing w:line="360" w:lineRule="auto"/>
        <w:jc w:val="both"/>
        <w:rPr>
          <w:rFonts w:ascii="Arial" w:hAnsi="Arial" w:cs="Arial"/>
          <w:sz w:val="24"/>
          <w:szCs w:val="24"/>
        </w:rPr>
      </w:pPr>
      <w:r>
        <w:rPr>
          <w:rFonts w:ascii="Arial" w:hAnsi="Arial" w:cs="Arial"/>
          <w:sz w:val="24"/>
          <w:szCs w:val="24"/>
        </w:rPr>
        <w:t>[32]</w:t>
      </w:r>
      <w:r>
        <w:rPr>
          <w:rFonts w:ascii="Arial" w:hAnsi="Arial" w:cs="Arial"/>
          <w:sz w:val="24"/>
          <w:szCs w:val="24"/>
        </w:rPr>
        <w:tab/>
      </w:r>
      <w:r w:rsidR="0015171C" w:rsidRPr="00C232A6">
        <w:rPr>
          <w:rFonts w:ascii="Arial" w:hAnsi="Arial" w:cs="Arial"/>
          <w:sz w:val="24"/>
          <w:szCs w:val="24"/>
        </w:rPr>
        <w:t xml:space="preserve">In his particulars, the plaintiff alleged that </w:t>
      </w:r>
      <w:r w:rsidR="006347E7" w:rsidRPr="00C232A6">
        <w:rPr>
          <w:rFonts w:ascii="Arial" w:hAnsi="Arial" w:cs="Arial"/>
          <w:sz w:val="24"/>
          <w:szCs w:val="24"/>
        </w:rPr>
        <w:t xml:space="preserve">his arrest and detention were accompanied </w:t>
      </w:r>
      <w:r w:rsidR="00AF4FA6" w:rsidRPr="00C232A6">
        <w:rPr>
          <w:rFonts w:ascii="Arial" w:hAnsi="Arial" w:cs="Arial"/>
          <w:sz w:val="24"/>
          <w:szCs w:val="24"/>
        </w:rPr>
        <w:t xml:space="preserve">by malice. He listed </w:t>
      </w:r>
      <w:r w:rsidR="004A5A51" w:rsidRPr="00C232A6">
        <w:rPr>
          <w:rFonts w:ascii="Arial" w:hAnsi="Arial" w:cs="Arial"/>
          <w:sz w:val="24"/>
          <w:szCs w:val="24"/>
        </w:rPr>
        <w:t>several</w:t>
      </w:r>
      <w:r w:rsidR="00AF4FA6" w:rsidRPr="00C232A6">
        <w:rPr>
          <w:rFonts w:ascii="Arial" w:hAnsi="Arial" w:cs="Arial"/>
          <w:sz w:val="24"/>
          <w:szCs w:val="24"/>
        </w:rPr>
        <w:t xml:space="preserve"> grounds to that effect.</w:t>
      </w:r>
      <w:r w:rsidR="004A5A51" w:rsidRPr="00C232A6">
        <w:rPr>
          <w:rFonts w:ascii="Arial" w:hAnsi="Arial" w:cs="Arial"/>
          <w:sz w:val="24"/>
          <w:szCs w:val="24"/>
        </w:rPr>
        <w:t xml:space="preserve"> These can be reduced to the following</w:t>
      </w:r>
      <w:r w:rsidR="009E42A9" w:rsidRPr="00C232A6">
        <w:rPr>
          <w:rFonts w:ascii="Arial" w:hAnsi="Arial" w:cs="Arial"/>
          <w:sz w:val="24"/>
          <w:szCs w:val="24"/>
        </w:rPr>
        <w:t>: there was no reason for his arrest and detention</w:t>
      </w:r>
      <w:r w:rsidR="00CA1428" w:rsidRPr="00C232A6">
        <w:rPr>
          <w:rFonts w:ascii="Arial" w:hAnsi="Arial" w:cs="Arial"/>
          <w:sz w:val="24"/>
          <w:szCs w:val="24"/>
        </w:rPr>
        <w:t xml:space="preserve">, the officers </w:t>
      </w:r>
      <w:r w:rsidR="004A0D1A" w:rsidRPr="00C232A6">
        <w:rPr>
          <w:rFonts w:ascii="Arial" w:hAnsi="Arial" w:cs="Arial"/>
          <w:sz w:val="24"/>
          <w:szCs w:val="24"/>
        </w:rPr>
        <w:t>lacked an honest belief that the proceedings were justified</w:t>
      </w:r>
      <w:r w:rsidR="00EC69B9" w:rsidRPr="00C232A6">
        <w:rPr>
          <w:rFonts w:ascii="Arial" w:hAnsi="Arial" w:cs="Arial"/>
          <w:sz w:val="24"/>
          <w:szCs w:val="24"/>
        </w:rPr>
        <w:t xml:space="preserve">, they had no </w:t>
      </w:r>
      <w:r w:rsidR="00480D06" w:rsidRPr="00C232A6">
        <w:rPr>
          <w:rFonts w:ascii="Arial" w:hAnsi="Arial" w:cs="Arial"/>
          <w:sz w:val="24"/>
          <w:szCs w:val="24"/>
        </w:rPr>
        <w:t xml:space="preserve">jurisdictional </w:t>
      </w:r>
      <w:r w:rsidR="00EC69B9" w:rsidRPr="00C232A6">
        <w:rPr>
          <w:rFonts w:ascii="Arial" w:hAnsi="Arial" w:cs="Arial"/>
          <w:sz w:val="24"/>
          <w:szCs w:val="24"/>
        </w:rPr>
        <w:t>authority to carry out the arrest and detention</w:t>
      </w:r>
      <w:r w:rsidR="00480D06" w:rsidRPr="00C232A6">
        <w:rPr>
          <w:rFonts w:ascii="Arial" w:hAnsi="Arial" w:cs="Arial"/>
          <w:sz w:val="24"/>
          <w:szCs w:val="24"/>
        </w:rPr>
        <w:t xml:space="preserve">, and the plaintiff’s </w:t>
      </w:r>
      <w:r w:rsidR="002E7B5F" w:rsidRPr="00C232A6">
        <w:rPr>
          <w:rFonts w:ascii="Arial" w:hAnsi="Arial" w:cs="Arial"/>
          <w:sz w:val="24"/>
          <w:szCs w:val="24"/>
        </w:rPr>
        <w:t>mobile phone has never been returned to him.</w:t>
      </w:r>
      <w:r w:rsidR="00C51212" w:rsidRPr="00C232A6">
        <w:rPr>
          <w:rFonts w:ascii="Arial" w:hAnsi="Arial" w:cs="Arial"/>
          <w:sz w:val="24"/>
          <w:szCs w:val="24"/>
        </w:rPr>
        <w:t xml:space="preserve"> </w:t>
      </w:r>
    </w:p>
    <w:p w14:paraId="3F8821AA" w14:textId="77777777" w:rsidR="001C79E7" w:rsidRPr="001C79E7" w:rsidRDefault="001C79E7" w:rsidP="001C79E7">
      <w:pPr>
        <w:pStyle w:val="ListParagraph"/>
        <w:rPr>
          <w:rFonts w:ascii="Arial" w:hAnsi="Arial" w:cs="Arial"/>
          <w:sz w:val="24"/>
          <w:szCs w:val="24"/>
        </w:rPr>
      </w:pPr>
    </w:p>
    <w:p w14:paraId="7B63B63E" w14:textId="7E292754" w:rsidR="001C79E7" w:rsidRPr="00C232A6" w:rsidRDefault="00C232A6" w:rsidP="00C232A6">
      <w:pPr>
        <w:spacing w:line="360" w:lineRule="auto"/>
        <w:jc w:val="both"/>
        <w:rPr>
          <w:rFonts w:ascii="Arial" w:hAnsi="Arial" w:cs="Arial"/>
          <w:sz w:val="24"/>
          <w:szCs w:val="24"/>
        </w:rPr>
      </w:pPr>
      <w:r>
        <w:rPr>
          <w:rFonts w:ascii="Arial" w:hAnsi="Arial" w:cs="Arial"/>
          <w:sz w:val="24"/>
          <w:szCs w:val="24"/>
        </w:rPr>
        <w:t>[33]</w:t>
      </w:r>
      <w:r>
        <w:rPr>
          <w:rFonts w:ascii="Arial" w:hAnsi="Arial" w:cs="Arial"/>
          <w:sz w:val="24"/>
          <w:szCs w:val="24"/>
        </w:rPr>
        <w:tab/>
      </w:r>
      <w:r w:rsidR="00C8477A" w:rsidRPr="00C232A6">
        <w:rPr>
          <w:rFonts w:ascii="Arial" w:hAnsi="Arial" w:cs="Arial"/>
          <w:sz w:val="24"/>
          <w:szCs w:val="24"/>
        </w:rPr>
        <w:t xml:space="preserve">The arrest of a person without a warrant is allowed under section 40(1)(q) of the Criminal Procedure Act 51 of 1977 (‘the CPA’) when he or she is suspected of having committed an act of domestic violence. In </w:t>
      </w:r>
      <w:r w:rsidR="00C8477A" w:rsidRPr="00C232A6">
        <w:rPr>
          <w:rFonts w:ascii="Arial" w:hAnsi="Arial" w:cs="Arial"/>
          <w:i/>
          <w:iCs/>
          <w:sz w:val="24"/>
          <w:szCs w:val="24"/>
        </w:rPr>
        <w:t>Minister of Safety and Security v Mondile</w:t>
      </w:r>
      <w:r w:rsidR="00C8477A" w:rsidRPr="00C232A6">
        <w:rPr>
          <w:rFonts w:ascii="Arial" w:hAnsi="Arial" w:cs="Arial"/>
          <w:sz w:val="24"/>
          <w:szCs w:val="24"/>
        </w:rPr>
        <w:t>,</w:t>
      </w:r>
      <w:r w:rsidR="00C21025" w:rsidRPr="00C21025">
        <w:rPr>
          <w:vertAlign w:val="superscript"/>
        </w:rPr>
        <w:footnoteReference w:id="10"/>
      </w:r>
      <w:r w:rsidR="00C21025" w:rsidRPr="00C232A6">
        <w:rPr>
          <w:rFonts w:ascii="Arial" w:hAnsi="Arial" w:cs="Arial"/>
          <w:sz w:val="24"/>
          <w:szCs w:val="24"/>
        </w:rPr>
        <w:t xml:space="preserve"> </w:t>
      </w:r>
      <w:r w:rsidR="00C8477A" w:rsidRPr="00C232A6">
        <w:rPr>
          <w:rFonts w:ascii="Arial" w:hAnsi="Arial" w:cs="Arial"/>
          <w:sz w:val="24"/>
          <w:szCs w:val="24"/>
        </w:rPr>
        <w:t xml:space="preserve"> however, </w:t>
      </w:r>
      <w:r w:rsidR="00136216" w:rsidRPr="00C232A6">
        <w:rPr>
          <w:rFonts w:ascii="Arial" w:hAnsi="Arial" w:cs="Arial"/>
          <w:sz w:val="24"/>
          <w:szCs w:val="24"/>
        </w:rPr>
        <w:t xml:space="preserve">Roberson J held that </w:t>
      </w:r>
      <w:r w:rsidR="00C8477A" w:rsidRPr="00C232A6">
        <w:rPr>
          <w:rFonts w:ascii="Arial" w:hAnsi="Arial" w:cs="Arial"/>
          <w:sz w:val="24"/>
          <w:szCs w:val="24"/>
        </w:rPr>
        <w:t>such act be of a physical or sexual nature, accompanied by violence, as opposed to emotional abuse.</w:t>
      </w:r>
      <w:r w:rsidR="00136216">
        <w:rPr>
          <w:rStyle w:val="FootnoteReference"/>
          <w:rFonts w:ascii="Arial" w:hAnsi="Arial" w:cs="Arial"/>
          <w:sz w:val="24"/>
          <w:szCs w:val="24"/>
        </w:rPr>
        <w:footnoteReference w:id="11"/>
      </w:r>
      <w:r w:rsidR="00C21025" w:rsidRPr="00C232A6">
        <w:rPr>
          <w:rFonts w:ascii="Arial" w:hAnsi="Arial" w:cs="Arial"/>
          <w:sz w:val="24"/>
          <w:szCs w:val="24"/>
        </w:rPr>
        <w:t xml:space="preserve"> </w:t>
      </w:r>
      <w:r w:rsidR="00371F88" w:rsidRPr="00C232A6">
        <w:rPr>
          <w:rFonts w:ascii="Arial" w:hAnsi="Arial" w:cs="Arial"/>
          <w:sz w:val="24"/>
          <w:szCs w:val="24"/>
        </w:rPr>
        <w:t xml:space="preserve">It was on this basis that the defendant </w:t>
      </w:r>
      <w:r w:rsidR="00A31852" w:rsidRPr="00C232A6">
        <w:rPr>
          <w:rFonts w:ascii="Arial" w:hAnsi="Arial" w:cs="Arial"/>
          <w:sz w:val="24"/>
          <w:szCs w:val="24"/>
        </w:rPr>
        <w:t xml:space="preserve">correctly </w:t>
      </w:r>
      <w:r w:rsidR="00371F88" w:rsidRPr="00C232A6">
        <w:rPr>
          <w:rFonts w:ascii="Arial" w:hAnsi="Arial" w:cs="Arial"/>
          <w:sz w:val="24"/>
          <w:szCs w:val="24"/>
        </w:rPr>
        <w:t>conceded that the arrest and detention of the plaintiff</w:t>
      </w:r>
      <w:r w:rsidR="00D64F59" w:rsidRPr="00C232A6">
        <w:rPr>
          <w:rFonts w:ascii="Arial" w:hAnsi="Arial" w:cs="Arial"/>
          <w:sz w:val="24"/>
          <w:szCs w:val="24"/>
        </w:rPr>
        <w:t xml:space="preserve"> had been unlawful.</w:t>
      </w:r>
      <w:r w:rsidR="00A31852" w:rsidRPr="00C232A6">
        <w:rPr>
          <w:rFonts w:ascii="Arial" w:hAnsi="Arial" w:cs="Arial"/>
          <w:sz w:val="24"/>
          <w:szCs w:val="24"/>
        </w:rPr>
        <w:t xml:space="preserve"> </w:t>
      </w:r>
      <w:r w:rsidR="001E6543" w:rsidRPr="00C232A6">
        <w:rPr>
          <w:rFonts w:ascii="Arial" w:hAnsi="Arial" w:cs="Arial"/>
          <w:sz w:val="24"/>
          <w:szCs w:val="24"/>
        </w:rPr>
        <w:t xml:space="preserve">Crucially, </w:t>
      </w:r>
      <w:r w:rsidR="00A31852" w:rsidRPr="00C232A6">
        <w:rPr>
          <w:rFonts w:ascii="Arial" w:hAnsi="Arial" w:cs="Arial"/>
          <w:sz w:val="24"/>
          <w:szCs w:val="24"/>
        </w:rPr>
        <w:t xml:space="preserve">however, </w:t>
      </w:r>
      <w:r w:rsidR="001E6543" w:rsidRPr="00C232A6">
        <w:rPr>
          <w:rFonts w:ascii="Arial" w:hAnsi="Arial" w:cs="Arial"/>
          <w:sz w:val="24"/>
          <w:szCs w:val="24"/>
        </w:rPr>
        <w:t xml:space="preserve">the plaintiff </w:t>
      </w:r>
      <w:r w:rsidR="00A31852" w:rsidRPr="00C232A6">
        <w:rPr>
          <w:rFonts w:ascii="Arial" w:hAnsi="Arial" w:cs="Arial"/>
          <w:sz w:val="24"/>
          <w:szCs w:val="24"/>
        </w:rPr>
        <w:t xml:space="preserve">admitted </w:t>
      </w:r>
      <w:r w:rsidR="00A23D4F" w:rsidRPr="00C232A6">
        <w:rPr>
          <w:rFonts w:ascii="Arial" w:hAnsi="Arial" w:cs="Arial"/>
          <w:sz w:val="24"/>
          <w:szCs w:val="24"/>
        </w:rPr>
        <w:t xml:space="preserve">that his ex-wife’s complaint had led to the </w:t>
      </w:r>
      <w:r w:rsidR="00BE741C" w:rsidRPr="00C232A6">
        <w:rPr>
          <w:rFonts w:ascii="Arial" w:hAnsi="Arial" w:cs="Arial"/>
          <w:sz w:val="24"/>
          <w:szCs w:val="24"/>
        </w:rPr>
        <w:t>proceedings against him.</w:t>
      </w:r>
      <w:r w:rsidR="00C85676" w:rsidRPr="00C232A6">
        <w:rPr>
          <w:rFonts w:ascii="Arial" w:hAnsi="Arial" w:cs="Arial"/>
          <w:sz w:val="24"/>
          <w:szCs w:val="24"/>
        </w:rPr>
        <w:t xml:space="preserve"> </w:t>
      </w:r>
      <w:r w:rsidR="00E429AD" w:rsidRPr="00C232A6">
        <w:rPr>
          <w:rFonts w:ascii="Arial" w:hAnsi="Arial" w:cs="Arial"/>
          <w:sz w:val="24"/>
          <w:szCs w:val="24"/>
        </w:rPr>
        <w:t>H</w:t>
      </w:r>
      <w:r w:rsidR="00857E79" w:rsidRPr="00C232A6">
        <w:rPr>
          <w:rFonts w:ascii="Arial" w:hAnsi="Arial" w:cs="Arial"/>
          <w:sz w:val="24"/>
          <w:szCs w:val="24"/>
        </w:rPr>
        <w:t xml:space="preserve">is </w:t>
      </w:r>
      <w:r w:rsidR="006938A0" w:rsidRPr="00C232A6">
        <w:rPr>
          <w:rFonts w:ascii="Arial" w:hAnsi="Arial" w:cs="Arial"/>
          <w:sz w:val="24"/>
          <w:szCs w:val="24"/>
        </w:rPr>
        <w:t xml:space="preserve">testimony </w:t>
      </w:r>
      <w:r w:rsidR="00857E79" w:rsidRPr="00C232A6">
        <w:rPr>
          <w:rFonts w:ascii="Arial" w:hAnsi="Arial" w:cs="Arial"/>
          <w:sz w:val="24"/>
          <w:szCs w:val="24"/>
        </w:rPr>
        <w:t xml:space="preserve">was that </w:t>
      </w:r>
      <w:r w:rsidR="00B97B52" w:rsidRPr="00C232A6">
        <w:rPr>
          <w:rFonts w:ascii="Arial" w:hAnsi="Arial" w:cs="Arial"/>
          <w:sz w:val="24"/>
          <w:szCs w:val="24"/>
        </w:rPr>
        <w:t xml:space="preserve">the officers </w:t>
      </w:r>
      <w:r w:rsidR="00735EDE" w:rsidRPr="00C232A6">
        <w:rPr>
          <w:rFonts w:ascii="Arial" w:hAnsi="Arial" w:cs="Arial"/>
          <w:sz w:val="24"/>
          <w:szCs w:val="24"/>
        </w:rPr>
        <w:t xml:space="preserve">had relied on </w:t>
      </w:r>
      <w:r w:rsidR="007527A3" w:rsidRPr="00C232A6">
        <w:rPr>
          <w:rFonts w:ascii="Arial" w:hAnsi="Arial" w:cs="Arial"/>
          <w:sz w:val="24"/>
          <w:szCs w:val="24"/>
        </w:rPr>
        <w:t xml:space="preserve">her </w:t>
      </w:r>
      <w:r w:rsidR="00F10A64" w:rsidRPr="00C232A6">
        <w:rPr>
          <w:rFonts w:ascii="Arial" w:hAnsi="Arial" w:cs="Arial"/>
          <w:sz w:val="24"/>
          <w:szCs w:val="24"/>
        </w:rPr>
        <w:t>alleg</w:t>
      </w:r>
      <w:r w:rsidR="00735EDE" w:rsidRPr="00C232A6">
        <w:rPr>
          <w:rFonts w:ascii="Arial" w:hAnsi="Arial" w:cs="Arial"/>
          <w:sz w:val="24"/>
          <w:szCs w:val="24"/>
        </w:rPr>
        <w:t xml:space="preserve">ation </w:t>
      </w:r>
      <w:r w:rsidR="007527A3" w:rsidRPr="00C232A6">
        <w:rPr>
          <w:rFonts w:ascii="Arial" w:hAnsi="Arial" w:cs="Arial"/>
          <w:sz w:val="24"/>
          <w:szCs w:val="24"/>
        </w:rPr>
        <w:t xml:space="preserve">that he had </w:t>
      </w:r>
      <w:r w:rsidR="00735EDE" w:rsidRPr="00C232A6">
        <w:rPr>
          <w:rFonts w:ascii="Arial" w:hAnsi="Arial" w:cs="Arial"/>
          <w:sz w:val="24"/>
          <w:szCs w:val="24"/>
        </w:rPr>
        <w:t>violat</w:t>
      </w:r>
      <w:r w:rsidR="007527A3" w:rsidRPr="00C232A6">
        <w:rPr>
          <w:rFonts w:ascii="Arial" w:hAnsi="Arial" w:cs="Arial"/>
          <w:sz w:val="24"/>
          <w:szCs w:val="24"/>
        </w:rPr>
        <w:t>ed</w:t>
      </w:r>
      <w:r w:rsidR="00735EDE" w:rsidRPr="00C232A6">
        <w:rPr>
          <w:rFonts w:ascii="Arial" w:hAnsi="Arial" w:cs="Arial"/>
          <w:sz w:val="24"/>
          <w:szCs w:val="24"/>
        </w:rPr>
        <w:t xml:space="preserve"> </w:t>
      </w:r>
      <w:r w:rsidR="00C04FBC" w:rsidRPr="00C232A6">
        <w:rPr>
          <w:rFonts w:ascii="Arial" w:hAnsi="Arial" w:cs="Arial"/>
          <w:sz w:val="24"/>
          <w:szCs w:val="24"/>
        </w:rPr>
        <w:t>a protection order</w:t>
      </w:r>
      <w:r w:rsidR="00F10A64" w:rsidRPr="00C232A6">
        <w:rPr>
          <w:rFonts w:ascii="Arial" w:hAnsi="Arial" w:cs="Arial"/>
          <w:sz w:val="24"/>
          <w:szCs w:val="24"/>
        </w:rPr>
        <w:t xml:space="preserve">, which they showed to him at his request, as the </w:t>
      </w:r>
      <w:r w:rsidR="00F10A64" w:rsidRPr="00C232A6">
        <w:rPr>
          <w:rFonts w:ascii="Arial" w:hAnsi="Arial" w:cs="Arial"/>
          <w:sz w:val="24"/>
          <w:szCs w:val="24"/>
        </w:rPr>
        <w:lastRenderedPageBreak/>
        <w:t xml:space="preserve">basis upon which to </w:t>
      </w:r>
      <w:r w:rsidR="00E752B2" w:rsidRPr="00C232A6">
        <w:rPr>
          <w:rFonts w:ascii="Arial" w:hAnsi="Arial" w:cs="Arial"/>
          <w:sz w:val="24"/>
          <w:szCs w:val="24"/>
        </w:rPr>
        <w:t>arrest and detain him. The</w:t>
      </w:r>
      <w:r w:rsidR="009E49C6" w:rsidRPr="00C232A6">
        <w:rPr>
          <w:rFonts w:ascii="Arial" w:hAnsi="Arial" w:cs="Arial"/>
          <w:sz w:val="24"/>
          <w:szCs w:val="24"/>
        </w:rPr>
        <w:t xml:space="preserve">re was no evidence </w:t>
      </w:r>
      <w:r w:rsidR="00D77C21" w:rsidRPr="00C232A6">
        <w:rPr>
          <w:rFonts w:ascii="Arial" w:hAnsi="Arial" w:cs="Arial"/>
          <w:sz w:val="24"/>
          <w:szCs w:val="24"/>
        </w:rPr>
        <w:t xml:space="preserve">to demonstrate </w:t>
      </w:r>
      <w:r w:rsidR="002E7E81" w:rsidRPr="00C232A6">
        <w:rPr>
          <w:rFonts w:ascii="Arial" w:hAnsi="Arial" w:cs="Arial"/>
          <w:sz w:val="24"/>
          <w:szCs w:val="24"/>
        </w:rPr>
        <w:t>that they</w:t>
      </w:r>
      <w:r w:rsidR="00EF316A" w:rsidRPr="00C232A6">
        <w:rPr>
          <w:rFonts w:ascii="Arial" w:hAnsi="Arial" w:cs="Arial"/>
          <w:sz w:val="24"/>
          <w:szCs w:val="24"/>
        </w:rPr>
        <w:t xml:space="preserve"> had </w:t>
      </w:r>
      <w:r w:rsidR="003C523C" w:rsidRPr="00C232A6">
        <w:rPr>
          <w:rFonts w:ascii="Arial" w:hAnsi="Arial" w:cs="Arial"/>
          <w:sz w:val="24"/>
          <w:szCs w:val="24"/>
        </w:rPr>
        <w:t xml:space="preserve">lacked an honest belief, based on reasonable grounds, that his arrest </w:t>
      </w:r>
      <w:r w:rsidR="00D77C21" w:rsidRPr="00C232A6">
        <w:rPr>
          <w:rFonts w:ascii="Arial" w:hAnsi="Arial" w:cs="Arial"/>
          <w:sz w:val="24"/>
          <w:szCs w:val="24"/>
        </w:rPr>
        <w:t>and detention were justified.</w:t>
      </w:r>
      <w:r w:rsidR="00D77C21">
        <w:rPr>
          <w:rStyle w:val="FootnoteReference"/>
          <w:rFonts w:ascii="Arial" w:hAnsi="Arial" w:cs="Arial"/>
          <w:sz w:val="24"/>
          <w:szCs w:val="24"/>
        </w:rPr>
        <w:footnoteReference w:id="12"/>
      </w:r>
      <w:r w:rsidR="002E7E81" w:rsidRPr="00C232A6">
        <w:rPr>
          <w:rFonts w:ascii="Arial" w:hAnsi="Arial" w:cs="Arial"/>
          <w:sz w:val="24"/>
          <w:szCs w:val="24"/>
        </w:rPr>
        <w:t xml:space="preserve"> </w:t>
      </w:r>
    </w:p>
    <w:p w14:paraId="3B53698D" w14:textId="77777777" w:rsidR="001C79E7" w:rsidRPr="001C79E7" w:rsidRDefault="001C79E7" w:rsidP="001C79E7">
      <w:pPr>
        <w:pStyle w:val="ListParagraph"/>
        <w:rPr>
          <w:rFonts w:ascii="Arial" w:hAnsi="Arial" w:cs="Arial"/>
          <w:sz w:val="24"/>
          <w:szCs w:val="24"/>
        </w:rPr>
      </w:pPr>
    </w:p>
    <w:p w14:paraId="02875DF5" w14:textId="7F46F8CF" w:rsidR="001C79E7" w:rsidRPr="00C232A6" w:rsidRDefault="00C232A6" w:rsidP="00C232A6">
      <w:pPr>
        <w:spacing w:line="360" w:lineRule="auto"/>
        <w:jc w:val="both"/>
        <w:rPr>
          <w:rFonts w:ascii="Arial" w:hAnsi="Arial" w:cs="Arial"/>
          <w:sz w:val="24"/>
          <w:szCs w:val="24"/>
        </w:rPr>
      </w:pPr>
      <w:r>
        <w:rPr>
          <w:rFonts w:ascii="Arial" w:hAnsi="Arial" w:cs="Arial"/>
          <w:sz w:val="24"/>
          <w:szCs w:val="24"/>
        </w:rPr>
        <w:t>[34]</w:t>
      </w:r>
      <w:r>
        <w:rPr>
          <w:rFonts w:ascii="Arial" w:hAnsi="Arial" w:cs="Arial"/>
          <w:sz w:val="24"/>
          <w:szCs w:val="24"/>
        </w:rPr>
        <w:tab/>
      </w:r>
      <w:r w:rsidR="00EE17FB" w:rsidRPr="00C232A6">
        <w:rPr>
          <w:rFonts w:ascii="Arial" w:hAnsi="Arial" w:cs="Arial"/>
          <w:sz w:val="24"/>
          <w:szCs w:val="24"/>
        </w:rPr>
        <w:t xml:space="preserve">Regarding the remaining grounds, counsel for the plaintiff did not refer to any </w:t>
      </w:r>
      <w:r w:rsidR="00693F54" w:rsidRPr="00C232A6">
        <w:rPr>
          <w:rFonts w:ascii="Arial" w:hAnsi="Arial" w:cs="Arial"/>
          <w:sz w:val="24"/>
          <w:szCs w:val="24"/>
        </w:rPr>
        <w:t xml:space="preserve">legislative or common law </w:t>
      </w:r>
      <w:r w:rsidR="00DE6969" w:rsidRPr="00C232A6">
        <w:rPr>
          <w:rFonts w:ascii="Arial" w:hAnsi="Arial" w:cs="Arial"/>
          <w:sz w:val="24"/>
          <w:szCs w:val="24"/>
        </w:rPr>
        <w:t xml:space="preserve">source for the argument that the officers had lacked jurisdictional </w:t>
      </w:r>
      <w:r w:rsidR="00EE17FB" w:rsidRPr="00C232A6">
        <w:rPr>
          <w:rFonts w:ascii="Arial" w:hAnsi="Arial" w:cs="Arial"/>
          <w:sz w:val="24"/>
          <w:szCs w:val="24"/>
        </w:rPr>
        <w:t>authority</w:t>
      </w:r>
      <w:r w:rsidR="00DE6969" w:rsidRPr="00C232A6">
        <w:rPr>
          <w:rFonts w:ascii="Arial" w:hAnsi="Arial" w:cs="Arial"/>
          <w:sz w:val="24"/>
          <w:szCs w:val="24"/>
        </w:rPr>
        <w:t xml:space="preserve"> to arrest and detain the plaintiff. </w:t>
      </w:r>
      <w:r w:rsidR="001C49F5" w:rsidRPr="00C232A6">
        <w:rPr>
          <w:rFonts w:ascii="Arial" w:hAnsi="Arial" w:cs="Arial"/>
          <w:sz w:val="24"/>
          <w:szCs w:val="24"/>
        </w:rPr>
        <w:t xml:space="preserve">The plaintiff, in any event, admitted that </w:t>
      </w:r>
      <w:r w:rsidR="007453A7" w:rsidRPr="00C232A6">
        <w:rPr>
          <w:rFonts w:ascii="Arial" w:hAnsi="Arial" w:cs="Arial"/>
          <w:sz w:val="24"/>
          <w:szCs w:val="24"/>
        </w:rPr>
        <w:t xml:space="preserve">his ex-wife had obtained the order and subsequently made </w:t>
      </w:r>
      <w:r w:rsidR="00925EB1" w:rsidRPr="00C232A6">
        <w:rPr>
          <w:rFonts w:ascii="Arial" w:hAnsi="Arial" w:cs="Arial"/>
          <w:sz w:val="24"/>
          <w:szCs w:val="24"/>
        </w:rPr>
        <w:t xml:space="preserve">a </w:t>
      </w:r>
      <w:r w:rsidR="007453A7" w:rsidRPr="00C232A6">
        <w:rPr>
          <w:rFonts w:ascii="Arial" w:hAnsi="Arial" w:cs="Arial"/>
          <w:sz w:val="24"/>
          <w:szCs w:val="24"/>
        </w:rPr>
        <w:t>complaint in Gauteng</w:t>
      </w:r>
      <w:r w:rsidR="00925EB1" w:rsidRPr="00C232A6">
        <w:rPr>
          <w:rFonts w:ascii="Arial" w:hAnsi="Arial" w:cs="Arial"/>
          <w:sz w:val="24"/>
          <w:szCs w:val="24"/>
        </w:rPr>
        <w:t xml:space="preserve">, which was acted upon by </w:t>
      </w:r>
      <w:r w:rsidR="007A745A" w:rsidRPr="00C232A6">
        <w:rPr>
          <w:rFonts w:ascii="Arial" w:hAnsi="Arial" w:cs="Arial"/>
          <w:sz w:val="24"/>
          <w:szCs w:val="24"/>
        </w:rPr>
        <w:t>the officers in question</w:t>
      </w:r>
      <w:r w:rsidR="007453A7" w:rsidRPr="00C232A6">
        <w:rPr>
          <w:rFonts w:ascii="Arial" w:hAnsi="Arial" w:cs="Arial"/>
          <w:sz w:val="24"/>
          <w:szCs w:val="24"/>
        </w:rPr>
        <w:t>.</w:t>
      </w:r>
      <w:r w:rsidR="007A745A" w:rsidRPr="00C232A6">
        <w:rPr>
          <w:rFonts w:ascii="Arial" w:hAnsi="Arial" w:cs="Arial"/>
          <w:sz w:val="24"/>
          <w:szCs w:val="24"/>
        </w:rPr>
        <w:t xml:space="preserve"> The court is not convinced that anything turns on the point. At the least, it </w:t>
      </w:r>
      <w:r w:rsidR="00946A64" w:rsidRPr="00C232A6">
        <w:rPr>
          <w:rFonts w:ascii="Arial" w:hAnsi="Arial" w:cs="Arial"/>
          <w:sz w:val="24"/>
          <w:szCs w:val="24"/>
        </w:rPr>
        <w:t>can hardly be contended that it demonstrates malice.</w:t>
      </w:r>
      <w:r w:rsidR="005636DA" w:rsidRPr="00C232A6">
        <w:rPr>
          <w:rFonts w:ascii="Arial" w:hAnsi="Arial" w:cs="Arial"/>
          <w:sz w:val="24"/>
          <w:szCs w:val="24"/>
        </w:rPr>
        <w:t xml:space="preserve"> </w:t>
      </w:r>
    </w:p>
    <w:p w14:paraId="1E2C1EBA" w14:textId="77777777" w:rsidR="001C79E7" w:rsidRPr="001C79E7" w:rsidRDefault="001C79E7" w:rsidP="001C79E7">
      <w:pPr>
        <w:pStyle w:val="ListParagraph"/>
        <w:rPr>
          <w:rFonts w:ascii="Arial" w:hAnsi="Arial" w:cs="Arial"/>
          <w:sz w:val="24"/>
          <w:szCs w:val="24"/>
        </w:rPr>
      </w:pPr>
    </w:p>
    <w:p w14:paraId="5690275D" w14:textId="134B0BBF" w:rsidR="001C79E7" w:rsidRPr="00C232A6" w:rsidRDefault="00C232A6" w:rsidP="00C232A6">
      <w:pPr>
        <w:spacing w:line="360" w:lineRule="auto"/>
        <w:jc w:val="both"/>
        <w:rPr>
          <w:rFonts w:ascii="Arial" w:hAnsi="Arial" w:cs="Arial"/>
          <w:sz w:val="24"/>
          <w:szCs w:val="24"/>
        </w:rPr>
      </w:pPr>
      <w:r>
        <w:rPr>
          <w:rFonts w:ascii="Arial" w:hAnsi="Arial" w:cs="Arial"/>
          <w:sz w:val="24"/>
          <w:szCs w:val="24"/>
        </w:rPr>
        <w:t>[35]</w:t>
      </w:r>
      <w:r>
        <w:rPr>
          <w:rFonts w:ascii="Arial" w:hAnsi="Arial" w:cs="Arial"/>
          <w:sz w:val="24"/>
          <w:szCs w:val="24"/>
        </w:rPr>
        <w:tab/>
      </w:r>
      <w:r w:rsidR="00FB0572" w:rsidRPr="00C232A6">
        <w:rPr>
          <w:rFonts w:ascii="Arial" w:hAnsi="Arial" w:cs="Arial"/>
          <w:sz w:val="24"/>
          <w:szCs w:val="24"/>
        </w:rPr>
        <w:t xml:space="preserve">The plaintiff </w:t>
      </w:r>
      <w:r w:rsidR="00B40399" w:rsidRPr="00C232A6">
        <w:rPr>
          <w:rFonts w:ascii="Arial" w:hAnsi="Arial" w:cs="Arial"/>
          <w:sz w:val="24"/>
          <w:szCs w:val="24"/>
        </w:rPr>
        <w:t xml:space="preserve">also admitted, under cross-examination, that </w:t>
      </w:r>
      <w:r w:rsidR="0082101F" w:rsidRPr="00C232A6">
        <w:rPr>
          <w:rFonts w:ascii="Arial" w:hAnsi="Arial" w:cs="Arial"/>
          <w:sz w:val="24"/>
          <w:szCs w:val="24"/>
        </w:rPr>
        <w:t xml:space="preserve">his ex-wife had alleged that he had violated the order by sending threatening </w:t>
      </w:r>
      <w:r w:rsidR="00471E4B" w:rsidRPr="00C232A6">
        <w:rPr>
          <w:rFonts w:ascii="Arial" w:hAnsi="Arial" w:cs="Arial"/>
          <w:sz w:val="24"/>
          <w:szCs w:val="24"/>
        </w:rPr>
        <w:t xml:space="preserve">messages to her from his mobile phone. He conceded that </w:t>
      </w:r>
      <w:r w:rsidR="00004241" w:rsidRPr="00C232A6">
        <w:rPr>
          <w:rFonts w:ascii="Arial" w:hAnsi="Arial" w:cs="Arial"/>
          <w:sz w:val="24"/>
          <w:szCs w:val="24"/>
        </w:rPr>
        <w:t>it had been confiscated by the police for further investigation.</w:t>
      </w:r>
      <w:r w:rsidR="008E4909" w:rsidRPr="00C232A6">
        <w:rPr>
          <w:rFonts w:ascii="Arial" w:hAnsi="Arial" w:cs="Arial"/>
          <w:sz w:val="24"/>
          <w:szCs w:val="24"/>
        </w:rPr>
        <w:t xml:space="preserve"> </w:t>
      </w:r>
      <w:r w:rsidR="004A40AA" w:rsidRPr="00C232A6">
        <w:rPr>
          <w:rFonts w:ascii="Arial" w:hAnsi="Arial" w:cs="Arial"/>
          <w:sz w:val="24"/>
          <w:szCs w:val="24"/>
        </w:rPr>
        <w:t>Again, this is no indication of malice</w:t>
      </w:r>
      <w:r w:rsidR="00060417" w:rsidRPr="00C232A6">
        <w:rPr>
          <w:rFonts w:ascii="Arial" w:hAnsi="Arial" w:cs="Arial"/>
          <w:sz w:val="24"/>
          <w:szCs w:val="24"/>
        </w:rPr>
        <w:t>.</w:t>
      </w:r>
    </w:p>
    <w:p w14:paraId="7343003C" w14:textId="77777777" w:rsidR="001C79E7" w:rsidRPr="001C79E7" w:rsidRDefault="001C79E7" w:rsidP="001C79E7">
      <w:pPr>
        <w:pStyle w:val="ListParagraph"/>
        <w:rPr>
          <w:rFonts w:ascii="Arial" w:hAnsi="Arial" w:cs="Arial"/>
          <w:sz w:val="24"/>
          <w:szCs w:val="24"/>
        </w:rPr>
      </w:pPr>
    </w:p>
    <w:p w14:paraId="4B3875C9" w14:textId="67CEA5CE" w:rsidR="00060417" w:rsidRPr="00C232A6" w:rsidRDefault="00C232A6" w:rsidP="00C232A6">
      <w:pPr>
        <w:spacing w:line="360" w:lineRule="auto"/>
        <w:jc w:val="both"/>
        <w:rPr>
          <w:rFonts w:ascii="Arial" w:hAnsi="Arial" w:cs="Arial"/>
          <w:sz w:val="24"/>
          <w:szCs w:val="24"/>
        </w:rPr>
      </w:pPr>
      <w:r w:rsidRPr="001C79E7">
        <w:rPr>
          <w:rFonts w:ascii="Arial" w:hAnsi="Arial" w:cs="Arial"/>
          <w:sz w:val="24"/>
          <w:szCs w:val="24"/>
        </w:rPr>
        <w:t>[36]</w:t>
      </w:r>
      <w:r w:rsidRPr="001C79E7">
        <w:rPr>
          <w:rFonts w:ascii="Arial" w:hAnsi="Arial" w:cs="Arial"/>
          <w:sz w:val="24"/>
          <w:szCs w:val="24"/>
        </w:rPr>
        <w:tab/>
      </w:r>
      <w:r w:rsidR="00060417" w:rsidRPr="00C232A6">
        <w:rPr>
          <w:rFonts w:ascii="Arial" w:hAnsi="Arial" w:cs="Arial"/>
          <w:sz w:val="24"/>
          <w:szCs w:val="24"/>
        </w:rPr>
        <w:t xml:space="preserve">Turning to the </w:t>
      </w:r>
      <w:r w:rsidR="00B168F6" w:rsidRPr="00C232A6">
        <w:rPr>
          <w:rFonts w:ascii="Arial" w:hAnsi="Arial" w:cs="Arial"/>
          <w:sz w:val="24"/>
          <w:szCs w:val="24"/>
        </w:rPr>
        <w:t>c</w:t>
      </w:r>
      <w:r w:rsidR="00593628" w:rsidRPr="00C232A6">
        <w:rPr>
          <w:rFonts w:ascii="Arial" w:hAnsi="Arial" w:cs="Arial"/>
          <w:sz w:val="24"/>
          <w:szCs w:val="24"/>
        </w:rPr>
        <w:t xml:space="preserve">ircumstances of </w:t>
      </w:r>
      <w:r w:rsidR="0072578F" w:rsidRPr="00C232A6">
        <w:rPr>
          <w:rFonts w:ascii="Arial" w:hAnsi="Arial" w:cs="Arial"/>
          <w:sz w:val="24"/>
          <w:szCs w:val="24"/>
        </w:rPr>
        <w:t xml:space="preserve">the arrest and detention, </w:t>
      </w:r>
      <w:r w:rsidR="00360A21" w:rsidRPr="00C232A6">
        <w:rPr>
          <w:rFonts w:ascii="Arial" w:hAnsi="Arial" w:cs="Arial"/>
          <w:sz w:val="24"/>
          <w:szCs w:val="24"/>
        </w:rPr>
        <w:t xml:space="preserve">counsel for the defendant argued that </w:t>
      </w:r>
      <w:r w:rsidR="003D72D9" w:rsidRPr="00C232A6">
        <w:rPr>
          <w:rFonts w:ascii="Arial" w:hAnsi="Arial" w:cs="Arial"/>
          <w:sz w:val="24"/>
          <w:szCs w:val="24"/>
        </w:rPr>
        <w:t xml:space="preserve">the plaintiff </w:t>
      </w:r>
      <w:r w:rsidR="003B0A9D" w:rsidRPr="00C232A6">
        <w:rPr>
          <w:rFonts w:ascii="Arial" w:hAnsi="Arial" w:cs="Arial"/>
          <w:sz w:val="24"/>
          <w:szCs w:val="24"/>
        </w:rPr>
        <w:t xml:space="preserve">advanced evidence that was extraneous to </w:t>
      </w:r>
      <w:r w:rsidR="004444FE" w:rsidRPr="00C232A6">
        <w:rPr>
          <w:rFonts w:ascii="Arial" w:hAnsi="Arial" w:cs="Arial"/>
          <w:sz w:val="24"/>
          <w:szCs w:val="24"/>
        </w:rPr>
        <w:t xml:space="preserve">the pleaded facts. In his particulars, the plaintiff </w:t>
      </w:r>
      <w:r w:rsidR="00375B45" w:rsidRPr="00C232A6">
        <w:rPr>
          <w:rFonts w:ascii="Arial" w:hAnsi="Arial" w:cs="Arial"/>
          <w:sz w:val="24"/>
          <w:szCs w:val="24"/>
        </w:rPr>
        <w:t>had alleged the following:</w:t>
      </w:r>
    </w:p>
    <w:p w14:paraId="04888CEB" w14:textId="5A7131A8" w:rsidR="00375B45" w:rsidRPr="008B5CBF" w:rsidRDefault="00375B45" w:rsidP="001C79E7">
      <w:pPr>
        <w:spacing w:line="360" w:lineRule="auto"/>
        <w:ind w:left="720"/>
        <w:jc w:val="both"/>
        <w:rPr>
          <w:rFonts w:ascii="Arial" w:hAnsi="Arial" w:cs="Arial"/>
          <w:sz w:val="20"/>
          <w:szCs w:val="20"/>
        </w:rPr>
      </w:pPr>
      <w:r w:rsidRPr="008B5CBF">
        <w:rPr>
          <w:rFonts w:ascii="Arial" w:hAnsi="Arial" w:cs="Arial"/>
          <w:sz w:val="20"/>
          <w:szCs w:val="20"/>
        </w:rPr>
        <w:t>‘…On or about 18</w:t>
      </w:r>
      <w:r w:rsidRPr="008B5CBF">
        <w:rPr>
          <w:rFonts w:ascii="Arial" w:hAnsi="Arial" w:cs="Arial"/>
          <w:sz w:val="20"/>
          <w:szCs w:val="20"/>
          <w:vertAlign w:val="superscript"/>
        </w:rPr>
        <w:t>th</w:t>
      </w:r>
      <w:r w:rsidRPr="008B5CBF">
        <w:rPr>
          <w:rFonts w:ascii="Arial" w:hAnsi="Arial" w:cs="Arial"/>
          <w:sz w:val="20"/>
          <w:szCs w:val="20"/>
        </w:rPr>
        <w:t xml:space="preserve"> of May 2020 approximately at 15h00 and at the Plaintiff’s residence, there arrived two police officers who introduced themselves to the Plaintiff as Sergeant </w:t>
      </w:r>
      <w:r w:rsidR="00545623" w:rsidRPr="008B5CBF">
        <w:rPr>
          <w:rFonts w:ascii="Arial" w:hAnsi="Arial" w:cs="Arial"/>
          <w:sz w:val="20"/>
          <w:szCs w:val="20"/>
        </w:rPr>
        <w:t xml:space="preserve">Momale (male) and Mabatho (female), from Garsfontein Police Station, Pretoria, Gauteng </w:t>
      </w:r>
      <w:r w:rsidR="00D13C69" w:rsidRPr="008B5CBF">
        <w:rPr>
          <w:rFonts w:ascii="Arial" w:hAnsi="Arial" w:cs="Arial"/>
          <w:sz w:val="20"/>
          <w:szCs w:val="20"/>
        </w:rPr>
        <w:t>Province, whose full and further particulars are unknown to the Plaintiff</w:t>
      </w:r>
      <w:r w:rsidR="002076B3" w:rsidRPr="008B5CBF">
        <w:rPr>
          <w:rFonts w:ascii="Arial" w:hAnsi="Arial" w:cs="Arial"/>
          <w:sz w:val="20"/>
          <w:szCs w:val="20"/>
        </w:rPr>
        <w:t xml:space="preserve">, and did wrongfully and unlawfully arrest the Plaintiff without a warrant </w:t>
      </w:r>
      <w:r w:rsidR="00B55E2A" w:rsidRPr="008B5CBF">
        <w:rPr>
          <w:rFonts w:ascii="Arial" w:hAnsi="Arial" w:cs="Arial"/>
          <w:sz w:val="20"/>
          <w:szCs w:val="20"/>
        </w:rPr>
        <w:t>or justifiable cause.</w:t>
      </w:r>
    </w:p>
    <w:p w14:paraId="60E3012A" w14:textId="68A831DC" w:rsidR="00B55E2A" w:rsidRPr="008B5CBF" w:rsidRDefault="00B55E2A" w:rsidP="001C79E7">
      <w:pPr>
        <w:spacing w:line="360" w:lineRule="auto"/>
        <w:ind w:left="720"/>
        <w:jc w:val="both"/>
        <w:rPr>
          <w:rFonts w:ascii="Arial" w:hAnsi="Arial" w:cs="Arial"/>
          <w:sz w:val="20"/>
          <w:szCs w:val="20"/>
        </w:rPr>
      </w:pPr>
      <w:r w:rsidRPr="008B5CBF">
        <w:rPr>
          <w:rFonts w:ascii="Arial" w:hAnsi="Arial" w:cs="Arial"/>
          <w:sz w:val="20"/>
          <w:szCs w:val="20"/>
        </w:rPr>
        <w:t xml:space="preserve">…The said members informed the Plaintiff that he was </w:t>
      </w:r>
      <w:r w:rsidR="006C1A0E" w:rsidRPr="008B5CBF">
        <w:rPr>
          <w:rFonts w:ascii="Arial" w:hAnsi="Arial" w:cs="Arial"/>
          <w:sz w:val="20"/>
          <w:szCs w:val="20"/>
        </w:rPr>
        <w:t xml:space="preserve">arrested on a domestic violence act count, and thereafter handcuffed him and further ferried </w:t>
      </w:r>
      <w:r w:rsidR="00125D7D" w:rsidRPr="008B5CBF">
        <w:rPr>
          <w:rFonts w:ascii="Arial" w:hAnsi="Arial" w:cs="Arial"/>
          <w:sz w:val="20"/>
          <w:szCs w:val="20"/>
        </w:rPr>
        <w:t>him to Fleet Street Police Station, East London, which is more than 300 km from scene of arrest</w:t>
      </w:r>
      <w:r w:rsidR="00B72ED9" w:rsidRPr="008B5CBF">
        <w:rPr>
          <w:rFonts w:ascii="Arial" w:hAnsi="Arial" w:cs="Arial"/>
          <w:sz w:val="20"/>
          <w:szCs w:val="20"/>
        </w:rPr>
        <w:t>.</w:t>
      </w:r>
    </w:p>
    <w:p w14:paraId="2FF3864C" w14:textId="2B34E67B" w:rsidR="00B72ED9" w:rsidRPr="008B5CBF" w:rsidRDefault="00B72ED9" w:rsidP="001C79E7">
      <w:pPr>
        <w:spacing w:line="360" w:lineRule="auto"/>
        <w:ind w:left="720"/>
        <w:jc w:val="both"/>
        <w:rPr>
          <w:rFonts w:ascii="Arial" w:hAnsi="Arial" w:cs="Arial"/>
          <w:sz w:val="20"/>
          <w:szCs w:val="20"/>
        </w:rPr>
      </w:pPr>
      <w:r w:rsidRPr="008B5CBF">
        <w:rPr>
          <w:rFonts w:ascii="Arial" w:hAnsi="Arial" w:cs="Arial"/>
          <w:sz w:val="20"/>
          <w:szCs w:val="20"/>
        </w:rPr>
        <w:lastRenderedPageBreak/>
        <w:t>…On arrival at the station, the Plaintiff was charged for breach of domestic violence interdict and further detained in custody</w:t>
      </w:r>
      <w:r w:rsidR="002A4ED9" w:rsidRPr="008B5CBF">
        <w:rPr>
          <w:rFonts w:ascii="Arial" w:hAnsi="Arial" w:cs="Arial"/>
          <w:sz w:val="20"/>
          <w:szCs w:val="20"/>
        </w:rPr>
        <w:t>.</w:t>
      </w:r>
    </w:p>
    <w:p w14:paraId="2A1AF72E" w14:textId="6945E153" w:rsidR="002A4ED9" w:rsidRPr="008B5CBF" w:rsidRDefault="002A4ED9" w:rsidP="001C79E7">
      <w:pPr>
        <w:spacing w:line="360" w:lineRule="auto"/>
        <w:ind w:firstLine="720"/>
        <w:jc w:val="both"/>
        <w:rPr>
          <w:rFonts w:ascii="Arial" w:hAnsi="Arial" w:cs="Arial"/>
          <w:sz w:val="20"/>
          <w:szCs w:val="20"/>
        </w:rPr>
      </w:pPr>
      <w:r w:rsidRPr="008B5CBF">
        <w:rPr>
          <w:rFonts w:ascii="Arial" w:hAnsi="Arial" w:cs="Arial"/>
          <w:sz w:val="20"/>
          <w:szCs w:val="20"/>
        </w:rPr>
        <w:t xml:space="preserve">…Before detention, the said members confiscated Plaintiff’s iPhone 5 and booked </w:t>
      </w:r>
      <w:r w:rsidR="00694652" w:rsidRPr="008B5CBF">
        <w:rPr>
          <w:rFonts w:ascii="Arial" w:hAnsi="Arial" w:cs="Arial"/>
          <w:sz w:val="20"/>
          <w:szCs w:val="20"/>
        </w:rPr>
        <w:t>it for evidence.</w:t>
      </w:r>
    </w:p>
    <w:p w14:paraId="41BBE58C" w14:textId="1A8B09FB" w:rsidR="00CB4C7B" w:rsidRPr="008B5CBF" w:rsidRDefault="00694652" w:rsidP="001C79E7">
      <w:pPr>
        <w:spacing w:line="360" w:lineRule="auto"/>
        <w:ind w:left="720"/>
        <w:jc w:val="both"/>
        <w:rPr>
          <w:rFonts w:ascii="Arial" w:hAnsi="Arial" w:cs="Arial"/>
          <w:sz w:val="20"/>
          <w:szCs w:val="20"/>
        </w:rPr>
      </w:pPr>
      <w:r w:rsidRPr="008B5CBF">
        <w:rPr>
          <w:rFonts w:ascii="Arial" w:hAnsi="Arial" w:cs="Arial"/>
          <w:sz w:val="20"/>
          <w:szCs w:val="20"/>
        </w:rPr>
        <w:t>…The next day, on the 19</w:t>
      </w:r>
      <w:r w:rsidRPr="008B5CBF">
        <w:rPr>
          <w:rFonts w:ascii="Arial" w:hAnsi="Arial" w:cs="Arial"/>
          <w:sz w:val="20"/>
          <w:szCs w:val="20"/>
          <w:vertAlign w:val="superscript"/>
        </w:rPr>
        <w:t>th</w:t>
      </w:r>
      <w:r w:rsidRPr="008B5CBF">
        <w:rPr>
          <w:rFonts w:ascii="Arial" w:hAnsi="Arial" w:cs="Arial"/>
          <w:sz w:val="20"/>
          <w:szCs w:val="20"/>
        </w:rPr>
        <w:t xml:space="preserve"> of May 2021, Plaintiff appeared before </w:t>
      </w:r>
      <w:r w:rsidR="002066BB" w:rsidRPr="008B5CBF">
        <w:rPr>
          <w:rFonts w:ascii="Arial" w:hAnsi="Arial" w:cs="Arial"/>
          <w:sz w:val="20"/>
          <w:szCs w:val="20"/>
        </w:rPr>
        <w:t>court and was admitted on bail for R 300, without objection.’</w:t>
      </w:r>
      <w:r w:rsidR="008B5CBF" w:rsidRPr="008B5CBF">
        <w:rPr>
          <w:rStyle w:val="FootnoteReference"/>
          <w:rFonts w:ascii="Arial" w:hAnsi="Arial" w:cs="Arial"/>
          <w:sz w:val="20"/>
          <w:szCs w:val="20"/>
        </w:rPr>
        <w:footnoteReference w:id="13"/>
      </w:r>
    </w:p>
    <w:p w14:paraId="7C523DC1" w14:textId="77777777" w:rsidR="00CB4C7B" w:rsidRDefault="00CB4C7B" w:rsidP="00EC0D2D">
      <w:pPr>
        <w:spacing w:line="360" w:lineRule="auto"/>
        <w:rPr>
          <w:rFonts w:ascii="Arial" w:hAnsi="Arial" w:cs="Arial"/>
          <w:sz w:val="24"/>
          <w:szCs w:val="24"/>
        </w:rPr>
      </w:pPr>
    </w:p>
    <w:p w14:paraId="09F932E4" w14:textId="4E15D80D" w:rsidR="001C79E7" w:rsidRPr="00C232A6" w:rsidRDefault="00C232A6" w:rsidP="00C232A6">
      <w:pPr>
        <w:spacing w:line="360" w:lineRule="auto"/>
        <w:jc w:val="both"/>
        <w:rPr>
          <w:rFonts w:ascii="Arial" w:hAnsi="Arial" w:cs="Arial"/>
          <w:sz w:val="24"/>
          <w:szCs w:val="24"/>
        </w:rPr>
      </w:pPr>
      <w:r>
        <w:rPr>
          <w:rFonts w:ascii="Arial" w:hAnsi="Arial" w:cs="Arial"/>
          <w:sz w:val="24"/>
          <w:szCs w:val="24"/>
        </w:rPr>
        <w:t>[37]</w:t>
      </w:r>
      <w:r>
        <w:rPr>
          <w:rFonts w:ascii="Arial" w:hAnsi="Arial" w:cs="Arial"/>
          <w:sz w:val="24"/>
          <w:szCs w:val="24"/>
        </w:rPr>
        <w:tab/>
      </w:r>
      <w:r w:rsidR="00CB4C7B" w:rsidRPr="00C232A6">
        <w:rPr>
          <w:rFonts w:ascii="Arial" w:hAnsi="Arial" w:cs="Arial"/>
          <w:sz w:val="24"/>
          <w:szCs w:val="24"/>
        </w:rPr>
        <w:t>The above paragraphs were admitted by the defendant in his plea. During his testimony</w:t>
      </w:r>
      <w:r w:rsidR="001E241F" w:rsidRPr="00C232A6">
        <w:rPr>
          <w:rFonts w:ascii="Arial" w:hAnsi="Arial" w:cs="Arial"/>
          <w:sz w:val="24"/>
          <w:szCs w:val="24"/>
        </w:rPr>
        <w:t xml:space="preserve">, however, the plaintiff described in detail the conditions </w:t>
      </w:r>
      <w:r w:rsidR="00D00AE5" w:rsidRPr="00C232A6">
        <w:rPr>
          <w:rFonts w:ascii="Arial" w:hAnsi="Arial" w:cs="Arial"/>
          <w:sz w:val="24"/>
          <w:szCs w:val="24"/>
        </w:rPr>
        <w:t>of his detention</w:t>
      </w:r>
      <w:r w:rsidR="000E75CC" w:rsidRPr="00C232A6">
        <w:rPr>
          <w:rFonts w:ascii="Arial" w:hAnsi="Arial" w:cs="Arial"/>
          <w:sz w:val="24"/>
          <w:szCs w:val="24"/>
        </w:rPr>
        <w:t xml:space="preserve">, including the sexual molestation and humiliation that he had experienced </w:t>
      </w:r>
      <w:r w:rsidR="00644316" w:rsidRPr="00C232A6">
        <w:rPr>
          <w:rFonts w:ascii="Arial" w:hAnsi="Arial" w:cs="Arial"/>
          <w:sz w:val="24"/>
          <w:szCs w:val="24"/>
        </w:rPr>
        <w:t>at the hands of the other detainees.</w:t>
      </w:r>
      <w:r w:rsidR="00EF3591" w:rsidRPr="00C232A6">
        <w:rPr>
          <w:rFonts w:ascii="Arial" w:hAnsi="Arial" w:cs="Arial"/>
          <w:sz w:val="24"/>
          <w:szCs w:val="24"/>
        </w:rPr>
        <w:t xml:space="preserve"> </w:t>
      </w:r>
    </w:p>
    <w:p w14:paraId="0BD95332" w14:textId="77777777" w:rsidR="001C79E7" w:rsidRDefault="001C79E7" w:rsidP="001C79E7">
      <w:pPr>
        <w:pStyle w:val="ListParagraph"/>
        <w:spacing w:line="360" w:lineRule="auto"/>
        <w:ind w:left="0"/>
        <w:jc w:val="both"/>
        <w:rPr>
          <w:rFonts w:ascii="Arial" w:hAnsi="Arial" w:cs="Arial"/>
          <w:sz w:val="24"/>
          <w:szCs w:val="24"/>
        </w:rPr>
      </w:pPr>
    </w:p>
    <w:p w14:paraId="4F366B6A" w14:textId="5DE1F895" w:rsidR="001E3B19" w:rsidRPr="00C232A6" w:rsidRDefault="00C232A6" w:rsidP="00C232A6">
      <w:pPr>
        <w:spacing w:line="360" w:lineRule="auto"/>
        <w:jc w:val="both"/>
        <w:rPr>
          <w:rFonts w:ascii="Arial" w:hAnsi="Arial" w:cs="Arial"/>
          <w:sz w:val="24"/>
          <w:szCs w:val="24"/>
        </w:rPr>
      </w:pPr>
      <w:r w:rsidRPr="001C79E7">
        <w:rPr>
          <w:rFonts w:ascii="Arial" w:hAnsi="Arial" w:cs="Arial"/>
          <w:sz w:val="24"/>
          <w:szCs w:val="24"/>
        </w:rPr>
        <w:t>[38]</w:t>
      </w:r>
      <w:r w:rsidRPr="001C79E7">
        <w:rPr>
          <w:rFonts w:ascii="Arial" w:hAnsi="Arial" w:cs="Arial"/>
          <w:sz w:val="24"/>
          <w:szCs w:val="24"/>
        </w:rPr>
        <w:tab/>
      </w:r>
      <w:r w:rsidR="00E41C2F" w:rsidRPr="00C232A6">
        <w:rPr>
          <w:rFonts w:ascii="Arial" w:hAnsi="Arial" w:cs="Arial"/>
          <w:sz w:val="24"/>
          <w:szCs w:val="24"/>
        </w:rPr>
        <w:t xml:space="preserve">Counsel for the defendant argued that the above evidence was inadmissible </w:t>
      </w:r>
      <w:r w:rsidR="00AD2903" w:rsidRPr="00C232A6">
        <w:rPr>
          <w:rFonts w:ascii="Arial" w:hAnsi="Arial" w:cs="Arial"/>
          <w:sz w:val="24"/>
          <w:szCs w:val="24"/>
        </w:rPr>
        <w:t>since</w:t>
      </w:r>
      <w:r w:rsidR="00237C11" w:rsidRPr="00C232A6">
        <w:rPr>
          <w:rFonts w:ascii="Arial" w:hAnsi="Arial" w:cs="Arial"/>
          <w:sz w:val="24"/>
          <w:szCs w:val="24"/>
        </w:rPr>
        <w:t xml:space="preserve"> it ha</w:t>
      </w:r>
      <w:r w:rsidR="006D5E1C" w:rsidRPr="00C232A6">
        <w:rPr>
          <w:rFonts w:ascii="Arial" w:hAnsi="Arial" w:cs="Arial"/>
          <w:sz w:val="24"/>
          <w:szCs w:val="24"/>
        </w:rPr>
        <w:t>d no</w:t>
      </w:r>
      <w:r w:rsidR="00237C11" w:rsidRPr="00C232A6">
        <w:rPr>
          <w:rFonts w:ascii="Arial" w:hAnsi="Arial" w:cs="Arial"/>
          <w:sz w:val="24"/>
          <w:szCs w:val="24"/>
        </w:rPr>
        <w:t xml:space="preserve">t been pleaded. Reference was made to </w:t>
      </w:r>
      <w:r w:rsidR="001916FC" w:rsidRPr="00C232A6">
        <w:rPr>
          <w:rFonts w:ascii="Arial" w:hAnsi="Arial" w:cs="Arial"/>
          <w:i/>
          <w:iCs/>
          <w:sz w:val="24"/>
          <w:szCs w:val="24"/>
        </w:rPr>
        <w:t>Hillman B</w:t>
      </w:r>
      <w:r w:rsidR="00D7241B" w:rsidRPr="00C232A6">
        <w:rPr>
          <w:rFonts w:ascii="Arial" w:hAnsi="Arial" w:cs="Arial"/>
          <w:i/>
          <w:iCs/>
          <w:sz w:val="24"/>
          <w:szCs w:val="24"/>
        </w:rPr>
        <w:t>ro</w:t>
      </w:r>
      <w:r w:rsidR="001916FC" w:rsidRPr="00C232A6">
        <w:rPr>
          <w:rFonts w:ascii="Arial" w:hAnsi="Arial" w:cs="Arial"/>
          <w:i/>
          <w:iCs/>
          <w:sz w:val="24"/>
          <w:szCs w:val="24"/>
        </w:rPr>
        <w:t xml:space="preserve">thers </w:t>
      </w:r>
      <w:r w:rsidR="00E31A53" w:rsidRPr="00C232A6">
        <w:rPr>
          <w:rFonts w:ascii="Arial" w:hAnsi="Arial" w:cs="Arial"/>
          <w:i/>
          <w:iCs/>
          <w:sz w:val="24"/>
          <w:szCs w:val="24"/>
        </w:rPr>
        <w:t>Ltd v Kelly &amp; Hingle</w:t>
      </w:r>
      <w:r w:rsidR="00E31A53" w:rsidRPr="00C232A6">
        <w:rPr>
          <w:rFonts w:ascii="Arial" w:hAnsi="Arial" w:cs="Arial"/>
          <w:sz w:val="24"/>
          <w:szCs w:val="24"/>
        </w:rPr>
        <w:t>,</w:t>
      </w:r>
      <w:r w:rsidR="00E31A53">
        <w:rPr>
          <w:rStyle w:val="FootnoteReference"/>
          <w:rFonts w:ascii="Arial" w:hAnsi="Arial" w:cs="Arial"/>
          <w:sz w:val="24"/>
          <w:szCs w:val="24"/>
        </w:rPr>
        <w:footnoteReference w:id="14"/>
      </w:r>
      <w:r w:rsidR="00291517" w:rsidRPr="00C232A6">
        <w:rPr>
          <w:rFonts w:ascii="Arial" w:hAnsi="Arial" w:cs="Arial"/>
          <w:sz w:val="24"/>
          <w:szCs w:val="24"/>
        </w:rPr>
        <w:t xml:space="preserve"> where </w:t>
      </w:r>
      <w:r w:rsidR="0007072D" w:rsidRPr="00C232A6">
        <w:rPr>
          <w:rFonts w:ascii="Arial" w:hAnsi="Arial" w:cs="Arial"/>
          <w:sz w:val="24"/>
          <w:szCs w:val="24"/>
        </w:rPr>
        <w:t xml:space="preserve">Krause J </w:t>
      </w:r>
      <w:r w:rsidR="0023431E" w:rsidRPr="00C232A6">
        <w:rPr>
          <w:rFonts w:ascii="Arial" w:hAnsi="Arial" w:cs="Arial"/>
          <w:sz w:val="24"/>
          <w:szCs w:val="24"/>
        </w:rPr>
        <w:t xml:space="preserve">remarked that the object of all pleadings was </w:t>
      </w:r>
      <w:r w:rsidR="009560C2" w:rsidRPr="00C232A6">
        <w:rPr>
          <w:rFonts w:ascii="Arial" w:hAnsi="Arial" w:cs="Arial"/>
          <w:sz w:val="24"/>
          <w:szCs w:val="24"/>
        </w:rPr>
        <w:t>to inform an opponent of the case that he or she had to meet.</w:t>
      </w:r>
      <w:r w:rsidR="009560C2">
        <w:rPr>
          <w:rStyle w:val="FootnoteReference"/>
          <w:rFonts w:ascii="Arial" w:hAnsi="Arial" w:cs="Arial"/>
          <w:sz w:val="24"/>
          <w:szCs w:val="24"/>
        </w:rPr>
        <w:footnoteReference w:id="15"/>
      </w:r>
      <w:r w:rsidR="009560C2" w:rsidRPr="00C232A6">
        <w:rPr>
          <w:rFonts w:ascii="Arial" w:hAnsi="Arial" w:cs="Arial"/>
          <w:sz w:val="24"/>
          <w:szCs w:val="24"/>
        </w:rPr>
        <w:t xml:space="preserve"> Similarly, in </w:t>
      </w:r>
      <w:r w:rsidR="001E3B19" w:rsidRPr="00C232A6">
        <w:rPr>
          <w:rFonts w:ascii="Arial" w:hAnsi="Arial" w:cs="Arial"/>
          <w:i/>
          <w:iCs/>
          <w:sz w:val="24"/>
          <w:szCs w:val="24"/>
        </w:rPr>
        <w:t>Minister of Safety and Security v Slabbert</w:t>
      </w:r>
      <w:r w:rsidR="001E3B19" w:rsidRPr="00C232A6">
        <w:rPr>
          <w:rFonts w:ascii="Arial" w:hAnsi="Arial" w:cs="Arial"/>
          <w:sz w:val="24"/>
          <w:szCs w:val="24"/>
        </w:rPr>
        <w:t>,</w:t>
      </w:r>
      <w:r w:rsidR="001E3B19" w:rsidRPr="001E3B19">
        <w:rPr>
          <w:vertAlign w:val="superscript"/>
        </w:rPr>
        <w:footnoteReference w:id="16"/>
      </w:r>
      <w:r w:rsidR="001E3B19" w:rsidRPr="00C232A6">
        <w:rPr>
          <w:rFonts w:ascii="Arial" w:hAnsi="Arial" w:cs="Arial"/>
          <w:sz w:val="24"/>
          <w:szCs w:val="24"/>
        </w:rPr>
        <w:t xml:space="preserve"> Mhlantla JA observed that:</w:t>
      </w:r>
    </w:p>
    <w:p w14:paraId="75C3913B" w14:textId="77777777" w:rsidR="001E3B19" w:rsidRPr="001E3B19" w:rsidRDefault="001E3B19" w:rsidP="001C79E7">
      <w:pPr>
        <w:spacing w:line="360" w:lineRule="auto"/>
        <w:ind w:left="720"/>
        <w:jc w:val="both"/>
        <w:rPr>
          <w:rFonts w:ascii="Arial" w:hAnsi="Arial" w:cs="Arial"/>
          <w:sz w:val="20"/>
          <w:szCs w:val="20"/>
        </w:rPr>
      </w:pPr>
      <w:r w:rsidRPr="001E3B19">
        <w:rPr>
          <w:rFonts w:ascii="Arial" w:hAnsi="Arial" w:cs="Arial"/>
          <w:sz w:val="20"/>
          <w:szCs w:val="20"/>
        </w:rPr>
        <w:t>‘…The purpose of the pleadings is to define the issues for the other party and the court. A party has a duty to allege in the pleadings the material facts upon which it relies. It is impermissible for a plaintiff to plead a particular case and seek to establish a different case at the trial. It is equally not permissible for the trial court to have recourse to issues falling outside the pleadings when deciding a case.</w:t>
      </w:r>
    </w:p>
    <w:p w14:paraId="6AA76876" w14:textId="77777777" w:rsidR="001E3B19" w:rsidRPr="00FF67BE" w:rsidRDefault="001E3B19" w:rsidP="001C79E7">
      <w:pPr>
        <w:spacing w:line="360" w:lineRule="auto"/>
        <w:ind w:left="720"/>
        <w:jc w:val="both"/>
        <w:rPr>
          <w:rFonts w:ascii="Arial" w:hAnsi="Arial" w:cs="Arial"/>
          <w:sz w:val="20"/>
          <w:szCs w:val="20"/>
        </w:rPr>
      </w:pPr>
      <w:r w:rsidRPr="001E3B19">
        <w:rPr>
          <w:rFonts w:ascii="Arial" w:hAnsi="Arial" w:cs="Arial"/>
          <w:sz w:val="20"/>
          <w:szCs w:val="20"/>
        </w:rPr>
        <w:t>…There are, however, circumstances in which a party may be allowed to rely on an issue which was not covered by the pleadings. This occurs where the issue in question was canvassed fully by both sides at the trial.’</w:t>
      </w:r>
      <w:r w:rsidRPr="001E3B19">
        <w:rPr>
          <w:rFonts w:ascii="Arial" w:hAnsi="Arial" w:cs="Arial"/>
          <w:sz w:val="20"/>
          <w:szCs w:val="20"/>
          <w:vertAlign w:val="superscript"/>
        </w:rPr>
        <w:footnoteReference w:id="17"/>
      </w:r>
    </w:p>
    <w:p w14:paraId="7276E2FF" w14:textId="77777777" w:rsidR="00B612A7" w:rsidRDefault="00B612A7" w:rsidP="00B612A7">
      <w:pPr>
        <w:spacing w:line="360" w:lineRule="auto"/>
        <w:rPr>
          <w:rFonts w:ascii="Arial" w:hAnsi="Arial" w:cs="Arial"/>
          <w:sz w:val="24"/>
          <w:szCs w:val="24"/>
        </w:rPr>
      </w:pPr>
    </w:p>
    <w:p w14:paraId="5D2484F3" w14:textId="392D2F37" w:rsidR="001C79E7" w:rsidRPr="00C232A6" w:rsidRDefault="00C232A6" w:rsidP="00C232A6">
      <w:pPr>
        <w:spacing w:line="360" w:lineRule="auto"/>
        <w:jc w:val="both"/>
        <w:rPr>
          <w:rFonts w:ascii="Arial" w:hAnsi="Arial" w:cs="Arial"/>
          <w:sz w:val="24"/>
          <w:szCs w:val="24"/>
        </w:rPr>
      </w:pPr>
      <w:r>
        <w:rPr>
          <w:rFonts w:ascii="Arial" w:hAnsi="Arial" w:cs="Arial"/>
          <w:sz w:val="24"/>
          <w:szCs w:val="24"/>
        </w:rPr>
        <w:lastRenderedPageBreak/>
        <w:t>[39]</w:t>
      </w:r>
      <w:r>
        <w:rPr>
          <w:rFonts w:ascii="Arial" w:hAnsi="Arial" w:cs="Arial"/>
          <w:sz w:val="24"/>
          <w:szCs w:val="24"/>
        </w:rPr>
        <w:tab/>
      </w:r>
      <w:r w:rsidR="00FF67BE" w:rsidRPr="00C232A6">
        <w:rPr>
          <w:rFonts w:ascii="Arial" w:hAnsi="Arial" w:cs="Arial"/>
          <w:sz w:val="24"/>
          <w:szCs w:val="24"/>
        </w:rPr>
        <w:t>Consequently, argued counsel for the defendant,</w:t>
      </w:r>
      <w:r w:rsidR="00576236" w:rsidRPr="00C232A6">
        <w:rPr>
          <w:rFonts w:ascii="Arial" w:hAnsi="Arial" w:cs="Arial"/>
          <w:sz w:val="24"/>
          <w:szCs w:val="24"/>
        </w:rPr>
        <w:t xml:space="preserve"> if the plaintiff had intended to rely on the </w:t>
      </w:r>
      <w:r w:rsidR="00EC3CD3" w:rsidRPr="00C232A6">
        <w:rPr>
          <w:rFonts w:ascii="Arial" w:hAnsi="Arial" w:cs="Arial"/>
          <w:sz w:val="24"/>
          <w:szCs w:val="24"/>
        </w:rPr>
        <w:t xml:space="preserve">facts pertaining to the conditions of his detention, then he ought </w:t>
      </w:r>
      <w:r w:rsidR="00AD2903" w:rsidRPr="00C232A6">
        <w:rPr>
          <w:rFonts w:ascii="Arial" w:hAnsi="Arial" w:cs="Arial"/>
          <w:sz w:val="24"/>
          <w:szCs w:val="24"/>
        </w:rPr>
        <w:t xml:space="preserve">to have pleaded these in his particulars. </w:t>
      </w:r>
      <w:r w:rsidR="003B3BAF" w:rsidRPr="00C232A6">
        <w:rPr>
          <w:rFonts w:ascii="Arial" w:hAnsi="Arial" w:cs="Arial"/>
          <w:sz w:val="24"/>
          <w:szCs w:val="24"/>
        </w:rPr>
        <w:t xml:space="preserve">He </w:t>
      </w:r>
      <w:r w:rsidR="00B10A49" w:rsidRPr="00C232A6">
        <w:rPr>
          <w:rFonts w:ascii="Arial" w:hAnsi="Arial" w:cs="Arial"/>
          <w:sz w:val="24"/>
          <w:szCs w:val="24"/>
        </w:rPr>
        <w:t xml:space="preserve">cannot present a case that is different </w:t>
      </w:r>
      <w:r w:rsidR="00FE49F5" w:rsidRPr="00C232A6">
        <w:rPr>
          <w:rFonts w:ascii="Arial" w:hAnsi="Arial" w:cs="Arial"/>
          <w:sz w:val="24"/>
          <w:szCs w:val="24"/>
        </w:rPr>
        <w:t xml:space="preserve">to the case pleaded. He </w:t>
      </w:r>
      <w:r w:rsidR="003B3BAF" w:rsidRPr="00C232A6">
        <w:rPr>
          <w:rFonts w:ascii="Arial" w:hAnsi="Arial" w:cs="Arial"/>
          <w:sz w:val="24"/>
          <w:szCs w:val="24"/>
        </w:rPr>
        <w:t xml:space="preserve">ought to have alerted the defendant to </w:t>
      </w:r>
      <w:r w:rsidR="00FE49F5" w:rsidRPr="00C232A6">
        <w:rPr>
          <w:rFonts w:ascii="Arial" w:hAnsi="Arial" w:cs="Arial"/>
          <w:sz w:val="24"/>
          <w:szCs w:val="24"/>
        </w:rPr>
        <w:t xml:space="preserve">the </w:t>
      </w:r>
      <w:r w:rsidR="003752E7" w:rsidRPr="00C232A6">
        <w:rPr>
          <w:rFonts w:ascii="Arial" w:hAnsi="Arial" w:cs="Arial"/>
          <w:sz w:val="24"/>
          <w:szCs w:val="24"/>
        </w:rPr>
        <w:t>facts</w:t>
      </w:r>
      <w:r w:rsidR="00FE49F5" w:rsidRPr="00C232A6">
        <w:rPr>
          <w:rFonts w:ascii="Arial" w:hAnsi="Arial" w:cs="Arial"/>
          <w:sz w:val="24"/>
          <w:szCs w:val="24"/>
        </w:rPr>
        <w:t xml:space="preserve"> in question.</w:t>
      </w:r>
    </w:p>
    <w:p w14:paraId="6181ADCC" w14:textId="77777777" w:rsidR="001C79E7" w:rsidRDefault="001C79E7" w:rsidP="001C79E7">
      <w:pPr>
        <w:pStyle w:val="ListParagraph"/>
        <w:spacing w:line="360" w:lineRule="auto"/>
        <w:ind w:left="0"/>
        <w:jc w:val="both"/>
        <w:rPr>
          <w:rFonts w:ascii="Arial" w:hAnsi="Arial" w:cs="Arial"/>
          <w:sz w:val="24"/>
          <w:szCs w:val="24"/>
        </w:rPr>
      </w:pPr>
    </w:p>
    <w:p w14:paraId="5208AD00" w14:textId="0B391A72" w:rsidR="001C79E7" w:rsidRPr="00C232A6" w:rsidRDefault="00C232A6" w:rsidP="00C232A6">
      <w:pPr>
        <w:spacing w:line="360" w:lineRule="auto"/>
        <w:jc w:val="both"/>
        <w:rPr>
          <w:rFonts w:ascii="Arial" w:hAnsi="Arial" w:cs="Arial"/>
          <w:sz w:val="24"/>
          <w:szCs w:val="24"/>
        </w:rPr>
      </w:pPr>
      <w:r>
        <w:rPr>
          <w:rFonts w:ascii="Arial" w:hAnsi="Arial" w:cs="Arial"/>
          <w:sz w:val="24"/>
          <w:szCs w:val="24"/>
        </w:rPr>
        <w:t>[40]</w:t>
      </w:r>
      <w:r>
        <w:rPr>
          <w:rFonts w:ascii="Arial" w:hAnsi="Arial" w:cs="Arial"/>
          <w:sz w:val="24"/>
          <w:szCs w:val="24"/>
        </w:rPr>
        <w:tab/>
      </w:r>
      <w:r w:rsidR="008B26E2" w:rsidRPr="00C232A6">
        <w:rPr>
          <w:rFonts w:ascii="Arial" w:hAnsi="Arial" w:cs="Arial"/>
          <w:sz w:val="24"/>
          <w:szCs w:val="24"/>
        </w:rPr>
        <w:t xml:space="preserve">The plaintiff’s cause of action, however, is the </w:t>
      </w:r>
      <w:r w:rsidR="008B26E2" w:rsidRPr="00C232A6">
        <w:rPr>
          <w:rFonts w:ascii="Arial" w:hAnsi="Arial" w:cs="Arial"/>
          <w:i/>
          <w:iCs/>
          <w:sz w:val="24"/>
          <w:szCs w:val="24"/>
        </w:rPr>
        <w:t>actio iniuriarum</w:t>
      </w:r>
      <w:r w:rsidR="008B26E2" w:rsidRPr="00C232A6">
        <w:rPr>
          <w:rFonts w:ascii="Arial" w:hAnsi="Arial" w:cs="Arial"/>
          <w:sz w:val="24"/>
          <w:szCs w:val="24"/>
        </w:rPr>
        <w:t xml:space="preserve">. </w:t>
      </w:r>
      <w:r w:rsidR="00963EB6" w:rsidRPr="00C232A6">
        <w:rPr>
          <w:rFonts w:ascii="Arial" w:hAnsi="Arial" w:cs="Arial"/>
          <w:sz w:val="24"/>
          <w:szCs w:val="24"/>
        </w:rPr>
        <w:t xml:space="preserve">The </w:t>
      </w:r>
      <w:r w:rsidR="00F727AD" w:rsidRPr="00C232A6">
        <w:rPr>
          <w:rFonts w:ascii="Arial" w:hAnsi="Arial" w:cs="Arial"/>
          <w:sz w:val="24"/>
          <w:szCs w:val="24"/>
        </w:rPr>
        <w:t xml:space="preserve">arrest and detention </w:t>
      </w:r>
      <w:r w:rsidR="00963EB6" w:rsidRPr="00C232A6">
        <w:rPr>
          <w:rFonts w:ascii="Arial" w:hAnsi="Arial" w:cs="Arial"/>
          <w:sz w:val="24"/>
          <w:szCs w:val="24"/>
        </w:rPr>
        <w:t xml:space="preserve">of </w:t>
      </w:r>
      <w:r w:rsidR="00D36348" w:rsidRPr="00C232A6">
        <w:rPr>
          <w:rFonts w:ascii="Arial" w:hAnsi="Arial" w:cs="Arial"/>
          <w:sz w:val="24"/>
          <w:szCs w:val="24"/>
        </w:rPr>
        <w:t xml:space="preserve">a claimant is </w:t>
      </w:r>
      <w:r w:rsidR="00D36348" w:rsidRPr="00C232A6">
        <w:rPr>
          <w:rFonts w:ascii="Arial" w:hAnsi="Arial" w:cs="Arial"/>
          <w:i/>
          <w:iCs/>
          <w:sz w:val="24"/>
          <w:szCs w:val="24"/>
        </w:rPr>
        <w:t>prima facie</w:t>
      </w:r>
      <w:r w:rsidR="00D36348" w:rsidRPr="00C232A6">
        <w:rPr>
          <w:rFonts w:ascii="Arial" w:hAnsi="Arial" w:cs="Arial"/>
          <w:sz w:val="24"/>
          <w:szCs w:val="24"/>
        </w:rPr>
        <w:t xml:space="preserve"> wrongful</w:t>
      </w:r>
      <w:r w:rsidR="006A212A" w:rsidRPr="00C232A6">
        <w:rPr>
          <w:rFonts w:ascii="Arial" w:hAnsi="Arial" w:cs="Arial"/>
          <w:sz w:val="24"/>
          <w:szCs w:val="24"/>
        </w:rPr>
        <w:t xml:space="preserve"> because it </w:t>
      </w:r>
      <w:r w:rsidR="00C4776D" w:rsidRPr="00C232A6">
        <w:rPr>
          <w:rFonts w:ascii="Arial" w:hAnsi="Arial" w:cs="Arial"/>
          <w:sz w:val="24"/>
          <w:szCs w:val="24"/>
        </w:rPr>
        <w:t xml:space="preserve">consists of </w:t>
      </w:r>
      <w:r w:rsidR="006029ED" w:rsidRPr="00C232A6">
        <w:rPr>
          <w:rFonts w:ascii="Arial" w:hAnsi="Arial" w:cs="Arial"/>
          <w:sz w:val="24"/>
          <w:szCs w:val="24"/>
        </w:rPr>
        <w:t xml:space="preserve">the deprivation of </w:t>
      </w:r>
      <w:r w:rsidR="009B251C" w:rsidRPr="00C232A6">
        <w:rPr>
          <w:rFonts w:ascii="Arial" w:hAnsi="Arial" w:cs="Arial"/>
          <w:sz w:val="24"/>
          <w:szCs w:val="24"/>
        </w:rPr>
        <w:t xml:space="preserve">his </w:t>
      </w:r>
      <w:r w:rsidR="00C4776D" w:rsidRPr="00C232A6">
        <w:rPr>
          <w:rFonts w:ascii="Arial" w:hAnsi="Arial" w:cs="Arial"/>
          <w:sz w:val="24"/>
          <w:szCs w:val="24"/>
        </w:rPr>
        <w:t xml:space="preserve">or her </w:t>
      </w:r>
      <w:r w:rsidR="009B251C" w:rsidRPr="00C232A6">
        <w:rPr>
          <w:rFonts w:ascii="Arial" w:hAnsi="Arial" w:cs="Arial"/>
          <w:sz w:val="24"/>
          <w:szCs w:val="24"/>
        </w:rPr>
        <w:t>liberty.</w:t>
      </w:r>
      <w:r w:rsidR="001838D5" w:rsidRPr="00C232A6">
        <w:rPr>
          <w:rFonts w:ascii="Arial" w:hAnsi="Arial" w:cs="Arial"/>
          <w:sz w:val="24"/>
          <w:szCs w:val="24"/>
        </w:rPr>
        <w:t xml:space="preserve"> Strict liability </w:t>
      </w:r>
      <w:r w:rsidR="007D2B21" w:rsidRPr="00C232A6">
        <w:rPr>
          <w:rFonts w:ascii="Arial" w:hAnsi="Arial" w:cs="Arial"/>
          <w:sz w:val="24"/>
          <w:szCs w:val="24"/>
        </w:rPr>
        <w:t xml:space="preserve">attaches to such </w:t>
      </w:r>
      <w:r w:rsidR="009375DA" w:rsidRPr="00C232A6">
        <w:rPr>
          <w:rFonts w:ascii="Arial" w:hAnsi="Arial" w:cs="Arial"/>
          <w:sz w:val="24"/>
          <w:szCs w:val="24"/>
        </w:rPr>
        <w:t>conduct,</w:t>
      </w:r>
      <w:r w:rsidR="008132CF" w:rsidRPr="00C232A6">
        <w:rPr>
          <w:rFonts w:ascii="Arial" w:hAnsi="Arial" w:cs="Arial"/>
          <w:sz w:val="24"/>
          <w:szCs w:val="24"/>
        </w:rPr>
        <w:t xml:space="preserve"> and</w:t>
      </w:r>
      <w:r w:rsidR="007D2B21" w:rsidRPr="00C232A6">
        <w:rPr>
          <w:rFonts w:ascii="Arial" w:hAnsi="Arial" w:cs="Arial"/>
          <w:sz w:val="24"/>
          <w:szCs w:val="24"/>
        </w:rPr>
        <w:t xml:space="preserve"> it is </w:t>
      </w:r>
      <w:r w:rsidR="000D7C80" w:rsidRPr="00C232A6">
        <w:rPr>
          <w:rFonts w:ascii="Arial" w:hAnsi="Arial" w:cs="Arial"/>
          <w:sz w:val="24"/>
          <w:szCs w:val="24"/>
        </w:rPr>
        <w:t>un</w:t>
      </w:r>
      <w:r w:rsidR="007D2B21" w:rsidRPr="00C232A6">
        <w:rPr>
          <w:rFonts w:ascii="Arial" w:hAnsi="Arial" w:cs="Arial"/>
          <w:sz w:val="24"/>
          <w:szCs w:val="24"/>
        </w:rPr>
        <w:t xml:space="preserve">necessary for the plaintiff to </w:t>
      </w:r>
      <w:r w:rsidR="00D64EF3" w:rsidRPr="00C232A6">
        <w:rPr>
          <w:rFonts w:ascii="Arial" w:hAnsi="Arial" w:cs="Arial"/>
          <w:sz w:val="24"/>
          <w:szCs w:val="24"/>
        </w:rPr>
        <w:t xml:space="preserve">allege and </w:t>
      </w:r>
      <w:r w:rsidR="007D2B21" w:rsidRPr="00C232A6">
        <w:rPr>
          <w:rFonts w:ascii="Arial" w:hAnsi="Arial" w:cs="Arial"/>
          <w:sz w:val="24"/>
          <w:szCs w:val="24"/>
        </w:rPr>
        <w:t>prove fault</w:t>
      </w:r>
      <w:r w:rsidR="00784906" w:rsidRPr="00C232A6">
        <w:rPr>
          <w:rFonts w:ascii="Arial" w:hAnsi="Arial" w:cs="Arial"/>
          <w:sz w:val="24"/>
          <w:szCs w:val="24"/>
        </w:rPr>
        <w:t>, an intention to injure</w:t>
      </w:r>
      <w:r w:rsidR="00CD1E04" w:rsidRPr="00C232A6">
        <w:rPr>
          <w:rFonts w:ascii="Arial" w:hAnsi="Arial" w:cs="Arial"/>
          <w:sz w:val="24"/>
          <w:szCs w:val="24"/>
        </w:rPr>
        <w:t xml:space="preserve"> </w:t>
      </w:r>
      <w:r w:rsidR="00784906" w:rsidRPr="00C232A6">
        <w:rPr>
          <w:rFonts w:ascii="Arial" w:hAnsi="Arial" w:cs="Arial"/>
          <w:sz w:val="24"/>
          <w:szCs w:val="24"/>
        </w:rPr>
        <w:t xml:space="preserve">or </w:t>
      </w:r>
      <w:r w:rsidR="007D2B21" w:rsidRPr="00C232A6">
        <w:rPr>
          <w:rFonts w:ascii="Arial" w:hAnsi="Arial" w:cs="Arial"/>
          <w:sz w:val="24"/>
          <w:szCs w:val="24"/>
        </w:rPr>
        <w:t>knowledge of wrongfulness on the part of the defendant.</w:t>
      </w:r>
      <w:r w:rsidR="001F0B22">
        <w:rPr>
          <w:rStyle w:val="FootnoteReference"/>
          <w:rFonts w:ascii="Arial" w:hAnsi="Arial" w:cs="Arial"/>
          <w:sz w:val="24"/>
          <w:szCs w:val="24"/>
        </w:rPr>
        <w:footnoteReference w:id="18"/>
      </w:r>
      <w:r w:rsidR="00A36213" w:rsidRPr="00C232A6">
        <w:rPr>
          <w:rFonts w:ascii="Arial" w:hAnsi="Arial" w:cs="Arial"/>
          <w:sz w:val="24"/>
          <w:szCs w:val="24"/>
        </w:rPr>
        <w:t xml:space="preserve"> </w:t>
      </w:r>
      <w:r w:rsidR="009375DA" w:rsidRPr="00C232A6">
        <w:rPr>
          <w:rFonts w:ascii="Arial" w:hAnsi="Arial" w:cs="Arial"/>
          <w:sz w:val="24"/>
          <w:szCs w:val="24"/>
        </w:rPr>
        <w:t xml:space="preserve">An onus rests on the </w:t>
      </w:r>
      <w:r w:rsidR="00D27443" w:rsidRPr="00C232A6">
        <w:rPr>
          <w:rFonts w:ascii="Arial" w:hAnsi="Arial" w:cs="Arial"/>
          <w:sz w:val="24"/>
          <w:szCs w:val="24"/>
        </w:rPr>
        <w:t>defendant to prove the lawfulness of the arrest and detention.</w:t>
      </w:r>
      <w:r w:rsidR="00D27443">
        <w:rPr>
          <w:rStyle w:val="FootnoteReference"/>
          <w:rFonts w:ascii="Arial" w:hAnsi="Arial" w:cs="Arial"/>
          <w:sz w:val="24"/>
          <w:szCs w:val="24"/>
        </w:rPr>
        <w:footnoteReference w:id="19"/>
      </w:r>
      <w:r w:rsidR="0015790F" w:rsidRPr="00C232A6">
        <w:rPr>
          <w:rFonts w:ascii="Arial" w:hAnsi="Arial" w:cs="Arial"/>
          <w:sz w:val="24"/>
          <w:szCs w:val="24"/>
        </w:rPr>
        <w:t xml:space="preserve"> </w:t>
      </w:r>
    </w:p>
    <w:p w14:paraId="31E1A919" w14:textId="77777777" w:rsidR="001C79E7" w:rsidRPr="001C79E7" w:rsidRDefault="001C79E7" w:rsidP="001C79E7">
      <w:pPr>
        <w:pStyle w:val="ListParagraph"/>
        <w:rPr>
          <w:rFonts w:ascii="Arial" w:hAnsi="Arial" w:cs="Arial"/>
          <w:sz w:val="24"/>
          <w:szCs w:val="24"/>
        </w:rPr>
      </w:pPr>
    </w:p>
    <w:p w14:paraId="1F2D6C77" w14:textId="5EBCE876" w:rsidR="001C79E7" w:rsidRPr="00C232A6" w:rsidRDefault="00C232A6" w:rsidP="00C232A6">
      <w:pPr>
        <w:spacing w:line="360" w:lineRule="auto"/>
        <w:jc w:val="both"/>
        <w:rPr>
          <w:rFonts w:ascii="Arial" w:hAnsi="Arial" w:cs="Arial"/>
          <w:sz w:val="24"/>
          <w:szCs w:val="24"/>
        </w:rPr>
      </w:pPr>
      <w:r>
        <w:rPr>
          <w:rFonts w:ascii="Arial" w:hAnsi="Arial" w:cs="Arial"/>
          <w:sz w:val="24"/>
          <w:szCs w:val="24"/>
        </w:rPr>
        <w:t>[41]</w:t>
      </w:r>
      <w:r>
        <w:rPr>
          <w:rFonts w:ascii="Arial" w:hAnsi="Arial" w:cs="Arial"/>
          <w:sz w:val="24"/>
          <w:szCs w:val="24"/>
        </w:rPr>
        <w:tab/>
      </w:r>
      <w:r w:rsidR="007E55DB" w:rsidRPr="00C232A6">
        <w:rPr>
          <w:rFonts w:ascii="Arial" w:hAnsi="Arial" w:cs="Arial"/>
          <w:sz w:val="24"/>
          <w:szCs w:val="24"/>
        </w:rPr>
        <w:t>A</w:t>
      </w:r>
      <w:r w:rsidR="003A7EDA" w:rsidRPr="00C232A6">
        <w:rPr>
          <w:rFonts w:ascii="Arial" w:hAnsi="Arial" w:cs="Arial"/>
          <w:sz w:val="24"/>
          <w:szCs w:val="24"/>
        </w:rPr>
        <w:t xml:space="preserve">ccordingly, </w:t>
      </w:r>
      <w:r w:rsidR="007E55DB" w:rsidRPr="00C232A6">
        <w:rPr>
          <w:rFonts w:ascii="Arial" w:hAnsi="Arial" w:cs="Arial"/>
          <w:sz w:val="24"/>
          <w:szCs w:val="24"/>
        </w:rPr>
        <w:t xml:space="preserve">it was </w:t>
      </w:r>
      <w:r w:rsidR="003A7EDA" w:rsidRPr="00C232A6">
        <w:rPr>
          <w:rFonts w:ascii="Arial" w:hAnsi="Arial" w:cs="Arial"/>
          <w:sz w:val="24"/>
          <w:szCs w:val="24"/>
        </w:rPr>
        <w:t xml:space="preserve">unnecessary for the plaintiff to </w:t>
      </w:r>
      <w:r w:rsidR="007E55DB" w:rsidRPr="00C232A6">
        <w:rPr>
          <w:rFonts w:ascii="Arial" w:hAnsi="Arial" w:cs="Arial"/>
          <w:sz w:val="24"/>
          <w:szCs w:val="24"/>
        </w:rPr>
        <w:t xml:space="preserve">have </w:t>
      </w:r>
      <w:r w:rsidR="003A7EDA" w:rsidRPr="00C232A6">
        <w:rPr>
          <w:rFonts w:ascii="Arial" w:hAnsi="Arial" w:cs="Arial"/>
          <w:sz w:val="24"/>
          <w:szCs w:val="24"/>
        </w:rPr>
        <w:t>allege</w:t>
      </w:r>
      <w:r w:rsidR="007E55DB" w:rsidRPr="00C232A6">
        <w:rPr>
          <w:rFonts w:ascii="Arial" w:hAnsi="Arial" w:cs="Arial"/>
          <w:sz w:val="24"/>
          <w:szCs w:val="24"/>
        </w:rPr>
        <w:t>d</w:t>
      </w:r>
      <w:r w:rsidR="003A7EDA" w:rsidRPr="00C232A6">
        <w:rPr>
          <w:rFonts w:ascii="Arial" w:hAnsi="Arial" w:cs="Arial"/>
          <w:sz w:val="24"/>
          <w:szCs w:val="24"/>
        </w:rPr>
        <w:t xml:space="preserve"> </w:t>
      </w:r>
      <w:r w:rsidR="007E55DB" w:rsidRPr="00C232A6">
        <w:rPr>
          <w:rFonts w:ascii="Arial" w:hAnsi="Arial" w:cs="Arial"/>
          <w:sz w:val="24"/>
          <w:szCs w:val="24"/>
        </w:rPr>
        <w:t>in his particulars</w:t>
      </w:r>
      <w:r w:rsidR="00A261E9" w:rsidRPr="00C232A6">
        <w:rPr>
          <w:rFonts w:ascii="Arial" w:hAnsi="Arial" w:cs="Arial"/>
          <w:sz w:val="24"/>
          <w:szCs w:val="24"/>
        </w:rPr>
        <w:t xml:space="preserve"> the facts pertaining to the conditions of his detention. Counsel for the plaintiff </w:t>
      </w:r>
      <w:r w:rsidR="00C42579" w:rsidRPr="00C232A6">
        <w:rPr>
          <w:rFonts w:ascii="Arial" w:hAnsi="Arial" w:cs="Arial"/>
          <w:sz w:val="24"/>
          <w:szCs w:val="24"/>
        </w:rPr>
        <w:t>point</w:t>
      </w:r>
      <w:r w:rsidR="00D503FC" w:rsidRPr="00C232A6">
        <w:rPr>
          <w:rFonts w:ascii="Arial" w:hAnsi="Arial" w:cs="Arial"/>
          <w:sz w:val="24"/>
          <w:szCs w:val="24"/>
        </w:rPr>
        <w:t>ed</w:t>
      </w:r>
      <w:r w:rsidR="00C42579" w:rsidRPr="00C232A6">
        <w:rPr>
          <w:rFonts w:ascii="Arial" w:hAnsi="Arial" w:cs="Arial"/>
          <w:sz w:val="24"/>
          <w:szCs w:val="24"/>
        </w:rPr>
        <w:t xml:space="preserve"> out that </w:t>
      </w:r>
      <w:r w:rsidR="00D503FC" w:rsidRPr="00C232A6">
        <w:rPr>
          <w:rFonts w:ascii="Arial" w:hAnsi="Arial" w:cs="Arial"/>
          <w:sz w:val="24"/>
          <w:szCs w:val="24"/>
        </w:rPr>
        <w:t xml:space="preserve">rule 18(4) of the </w:t>
      </w:r>
      <w:r w:rsidR="002418EF" w:rsidRPr="00C232A6">
        <w:rPr>
          <w:rFonts w:ascii="Arial" w:hAnsi="Arial" w:cs="Arial"/>
          <w:sz w:val="24"/>
          <w:szCs w:val="24"/>
        </w:rPr>
        <w:t xml:space="preserve">Uniform Rules of Court (‘URC’) requires </w:t>
      </w:r>
      <w:r w:rsidR="001211B3" w:rsidRPr="00C232A6">
        <w:rPr>
          <w:rFonts w:ascii="Arial" w:hAnsi="Arial" w:cs="Arial"/>
          <w:sz w:val="24"/>
          <w:szCs w:val="24"/>
        </w:rPr>
        <w:t xml:space="preserve">a litigant to plead only the material facts upon which a litigant relies. </w:t>
      </w:r>
      <w:r w:rsidR="00E21754" w:rsidRPr="00C232A6">
        <w:rPr>
          <w:rFonts w:ascii="Arial" w:hAnsi="Arial" w:cs="Arial"/>
          <w:sz w:val="24"/>
          <w:szCs w:val="24"/>
        </w:rPr>
        <w:t>Van Loggerenberg (</w:t>
      </w:r>
      <w:r w:rsidR="00E21754" w:rsidRPr="00C232A6">
        <w:rPr>
          <w:rFonts w:ascii="Arial" w:hAnsi="Arial" w:cs="Arial"/>
          <w:i/>
          <w:iCs/>
          <w:sz w:val="24"/>
          <w:szCs w:val="24"/>
        </w:rPr>
        <w:t>et al</w:t>
      </w:r>
      <w:r w:rsidR="00E21754" w:rsidRPr="00C232A6">
        <w:rPr>
          <w:rFonts w:ascii="Arial" w:hAnsi="Arial" w:cs="Arial"/>
          <w:sz w:val="24"/>
          <w:szCs w:val="24"/>
        </w:rPr>
        <w:t>)</w:t>
      </w:r>
      <w:r w:rsidR="008F1841" w:rsidRPr="00C232A6">
        <w:rPr>
          <w:rFonts w:ascii="Arial" w:hAnsi="Arial" w:cs="Arial"/>
          <w:sz w:val="24"/>
          <w:szCs w:val="24"/>
        </w:rPr>
        <w:t xml:space="preserve"> </w:t>
      </w:r>
      <w:r w:rsidR="00E1192E" w:rsidRPr="00C232A6">
        <w:rPr>
          <w:rFonts w:ascii="Arial" w:hAnsi="Arial" w:cs="Arial"/>
          <w:sz w:val="24"/>
          <w:szCs w:val="24"/>
        </w:rPr>
        <w:t xml:space="preserve">observes that </w:t>
      </w:r>
      <w:r w:rsidR="00430FCA" w:rsidRPr="00C232A6">
        <w:rPr>
          <w:rFonts w:ascii="Arial" w:hAnsi="Arial" w:cs="Arial"/>
          <w:sz w:val="24"/>
          <w:szCs w:val="24"/>
        </w:rPr>
        <w:t xml:space="preserve">material </w:t>
      </w:r>
      <w:r w:rsidR="00E1192E" w:rsidRPr="00C232A6">
        <w:rPr>
          <w:rFonts w:ascii="Arial" w:hAnsi="Arial" w:cs="Arial"/>
          <w:sz w:val="24"/>
          <w:szCs w:val="24"/>
        </w:rPr>
        <w:t>facts, not evidence, must be pleaded.</w:t>
      </w:r>
      <w:r w:rsidR="0029045B" w:rsidRPr="00C232A6">
        <w:rPr>
          <w:rFonts w:ascii="Arial" w:hAnsi="Arial" w:cs="Arial"/>
          <w:sz w:val="24"/>
          <w:szCs w:val="24"/>
        </w:rPr>
        <w:t xml:space="preserve"> It is important, too, to distinguish between </w:t>
      </w:r>
      <w:r w:rsidR="0029045B" w:rsidRPr="00C232A6">
        <w:rPr>
          <w:rFonts w:ascii="Arial" w:hAnsi="Arial" w:cs="Arial"/>
          <w:i/>
          <w:iCs/>
          <w:sz w:val="24"/>
          <w:szCs w:val="24"/>
        </w:rPr>
        <w:t>facta probanda</w:t>
      </w:r>
      <w:r w:rsidR="005428BC" w:rsidRPr="00C232A6">
        <w:rPr>
          <w:rFonts w:ascii="Arial" w:hAnsi="Arial" w:cs="Arial"/>
          <w:sz w:val="24"/>
          <w:szCs w:val="24"/>
        </w:rPr>
        <w:t xml:space="preserve"> (the facts that </w:t>
      </w:r>
      <w:r w:rsidR="001D6C21" w:rsidRPr="00C232A6">
        <w:rPr>
          <w:rFonts w:ascii="Arial" w:hAnsi="Arial" w:cs="Arial"/>
          <w:sz w:val="24"/>
          <w:szCs w:val="24"/>
        </w:rPr>
        <w:t>must</w:t>
      </w:r>
      <w:r w:rsidR="005428BC" w:rsidRPr="00C232A6">
        <w:rPr>
          <w:rFonts w:ascii="Arial" w:hAnsi="Arial" w:cs="Arial"/>
          <w:sz w:val="24"/>
          <w:szCs w:val="24"/>
        </w:rPr>
        <w:t xml:space="preserve"> be proved) and </w:t>
      </w:r>
      <w:r w:rsidR="005428BC" w:rsidRPr="00C232A6">
        <w:rPr>
          <w:rFonts w:ascii="Arial" w:hAnsi="Arial" w:cs="Arial"/>
          <w:i/>
          <w:iCs/>
          <w:sz w:val="24"/>
          <w:szCs w:val="24"/>
        </w:rPr>
        <w:t>facta probantia</w:t>
      </w:r>
      <w:r w:rsidR="005428BC" w:rsidRPr="00C232A6">
        <w:rPr>
          <w:rFonts w:ascii="Arial" w:hAnsi="Arial" w:cs="Arial"/>
          <w:sz w:val="24"/>
          <w:szCs w:val="24"/>
        </w:rPr>
        <w:t xml:space="preserve"> (the facts </w:t>
      </w:r>
      <w:r w:rsidR="00B95E6C" w:rsidRPr="00C232A6">
        <w:rPr>
          <w:rFonts w:ascii="Arial" w:hAnsi="Arial" w:cs="Arial"/>
          <w:sz w:val="24"/>
          <w:szCs w:val="24"/>
        </w:rPr>
        <w:t>that would prove those facts).</w:t>
      </w:r>
      <w:r w:rsidR="00B95E6C">
        <w:rPr>
          <w:rStyle w:val="FootnoteReference"/>
          <w:rFonts w:ascii="Arial" w:hAnsi="Arial" w:cs="Arial"/>
          <w:sz w:val="24"/>
          <w:szCs w:val="24"/>
        </w:rPr>
        <w:footnoteReference w:id="20"/>
      </w:r>
    </w:p>
    <w:p w14:paraId="2CA6E3E1" w14:textId="77777777" w:rsidR="001C79E7" w:rsidRPr="001C79E7" w:rsidRDefault="001C79E7" w:rsidP="001C79E7">
      <w:pPr>
        <w:pStyle w:val="ListParagraph"/>
        <w:rPr>
          <w:rFonts w:ascii="Arial" w:hAnsi="Arial" w:cs="Arial"/>
          <w:sz w:val="24"/>
          <w:szCs w:val="24"/>
        </w:rPr>
      </w:pPr>
    </w:p>
    <w:p w14:paraId="324E60E3" w14:textId="6BF9AB75" w:rsidR="003856B8" w:rsidRPr="00C232A6" w:rsidRDefault="00C232A6" w:rsidP="00C232A6">
      <w:pPr>
        <w:spacing w:line="360" w:lineRule="auto"/>
        <w:jc w:val="both"/>
        <w:rPr>
          <w:rFonts w:ascii="Arial" w:hAnsi="Arial" w:cs="Arial"/>
          <w:sz w:val="24"/>
          <w:szCs w:val="24"/>
        </w:rPr>
      </w:pPr>
      <w:r w:rsidRPr="001C79E7">
        <w:rPr>
          <w:rFonts w:ascii="Arial" w:hAnsi="Arial" w:cs="Arial"/>
          <w:sz w:val="24"/>
          <w:szCs w:val="24"/>
        </w:rPr>
        <w:t>[42]</w:t>
      </w:r>
      <w:r w:rsidRPr="001C79E7">
        <w:rPr>
          <w:rFonts w:ascii="Arial" w:hAnsi="Arial" w:cs="Arial"/>
          <w:sz w:val="24"/>
          <w:szCs w:val="24"/>
        </w:rPr>
        <w:tab/>
      </w:r>
      <w:r w:rsidR="003856B8" w:rsidRPr="00C232A6">
        <w:rPr>
          <w:rFonts w:ascii="Arial" w:hAnsi="Arial" w:cs="Arial"/>
          <w:sz w:val="24"/>
          <w:szCs w:val="24"/>
        </w:rPr>
        <w:t>There is</w:t>
      </w:r>
      <w:r w:rsidR="009A2FA7" w:rsidRPr="00C232A6">
        <w:rPr>
          <w:rFonts w:ascii="Arial" w:hAnsi="Arial" w:cs="Arial"/>
          <w:sz w:val="24"/>
          <w:szCs w:val="24"/>
        </w:rPr>
        <w:t xml:space="preserve">, therefore, no basis for the argument advanced by counsel for the defendant. The plaintiff’s testimony regarding the </w:t>
      </w:r>
      <w:r w:rsidR="006C36D7" w:rsidRPr="00C232A6">
        <w:rPr>
          <w:rFonts w:ascii="Arial" w:hAnsi="Arial" w:cs="Arial"/>
          <w:sz w:val="24"/>
          <w:szCs w:val="24"/>
        </w:rPr>
        <w:t>conditions of his detention was indeed admissible</w:t>
      </w:r>
      <w:r w:rsidR="00F172E6" w:rsidRPr="00C232A6">
        <w:rPr>
          <w:rFonts w:ascii="Arial" w:hAnsi="Arial" w:cs="Arial"/>
          <w:sz w:val="24"/>
          <w:szCs w:val="24"/>
        </w:rPr>
        <w:t xml:space="preserve"> and can be considered for purposes of deciding the extent of general damages to be awarded.</w:t>
      </w:r>
    </w:p>
    <w:p w14:paraId="633F69E4" w14:textId="77777777" w:rsidR="00E00BEF" w:rsidRDefault="00E00BEF" w:rsidP="00B612A7">
      <w:pPr>
        <w:spacing w:line="360" w:lineRule="auto"/>
        <w:rPr>
          <w:rFonts w:ascii="Arial" w:hAnsi="Arial" w:cs="Arial"/>
          <w:sz w:val="24"/>
          <w:szCs w:val="24"/>
        </w:rPr>
      </w:pPr>
    </w:p>
    <w:p w14:paraId="0DC4ACE5" w14:textId="44DAC177" w:rsidR="00E00BEF" w:rsidRPr="00AA0952" w:rsidRDefault="00E00BEF" w:rsidP="00B612A7">
      <w:pPr>
        <w:spacing w:line="360" w:lineRule="auto"/>
        <w:rPr>
          <w:rFonts w:ascii="Arial" w:hAnsi="Arial" w:cs="Arial"/>
          <w:b/>
          <w:bCs/>
          <w:sz w:val="24"/>
          <w:szCs w:val="24"/>
        </w:rPr>
      </w:pPr>
      <w:r w:rsidRPr="00AA0952">
        <w:rPr>
          <w:rFonts w:ascii="Arial" w:hAnsi="Arial" w:cs="Arial"/>
          <w:b/>
          <w:bCs/>
          <w:sz w:val="24"/>
          <w:szCs w:val="24"/>
        </w:rPr>
        <w:t>Relief and order</w:t>
      </w:r>
    </w:p>
    <w:p w14:paraId="129B9E25" w14:textId="77777777" w:rsidR="00E00BEF" w:rsidRDefault="00E00BEF" w:rsidP="00B612A7">
      <w:pPr>
        <w:spacing w:line="360" w:lineRule="auto"/>
        <w:rPr>
          <w:rFonts w:ascii="Arial" w:hAnsi="Arial" w:cs="Arial"/>
          <w:sz w:val="24"/>
          <w:szCs w:val="24"/>
        </w:rPr>
      </w:pPr>
    </w:p>
    <w:p w14:paraId="675E4595" w14:textId="609CB39B" w:rsidR="00693894" w:rsidRPr="00C232A6" w:rsidRDefault="00C232A6" w:rsidP="00C232A6">
      <w:pPr>
        <w:spacing w:line="360" w:lineRule="auto"/>
        <w:jc w:val="both"/>
        <w:rPr>
          <w:rFonts w:ascii="Arial" w:hAnsi="Arial" w:cs="Arial"/>
          <w:sz w:val="24"/>
          <w:szCs w:val="24"/>
        </w:rPr>
      </w:pPr>
      <w:r w:rsidRPr="001C79E7">
        <w:rPr>
          <w:rFonts w:ascii="Arial" w:hAnsi="Arial" w:cs="Arial"/>
          <w:sz w:val="24"/>
          <w:szCs w:val="24"/>
        </w:rPr>
        <w:t>[43]</w:t>
      </w:r>
      <w:r w:rsidRPr="001C79E7">
        <w:rPr>
          <w:rFonts w:ascii="Arial" w:hAnsi="Arial" w:cs="Arial"/>
          <w:sz w:val="24"/>
          <w:szCs w:val="24"/>
        </w:rPr>
        <w:tab/>
      </w:r>
      <w:r w:rsidR="008F2486" w:rsidRPr="00C232A6">
        <w:rPr>
          <w:rFonts w:ascii="Arial" w:hAnsi="Arial" w:cs="Arial"/>
          <w:sz w:val="24"/>
          <w:szCs w:val="24"/>
        </w:rPr>
        <w:t xml:space="preserve">The court was referred to several decisions </w:t>
      </w:r>
      <w:r w:rsidR="00596F4D" w:rsidRPr="00C232A6">
        <w:rPr>
          <w:rFonts w:ascii="Arial" w:hAnsi="Arial" w:cs="Arial"/>
          <w:sz w:val="24"/>
          <w:szCs w:val="24"/>
        </w:rPr>
        <w:t xml:space="preserve">for purposes of deciding the quantum to be awarded. From these and additional </w:t>
      </w:r>
      <w:r w:rsidR="00B40481" w:rsidRPr="00C232A6">
        <w:rPr>
          <w:rFonts w:ascii="Arial" w:hAnsi="Arial" w:cs="Arial"/>
          <w:sz w:val="24"/>
          <w:szCs w:val="24"/>
        </w:rPr>
        <w:t xml:space="preserve">authorities considered, it </w:t>
      </w:r>
      <w:r w:rsidR="006B0CC0" w:rsidRPr="00C232A6">
        <w:rPr>
          <w:rFonts w:ascii="Arial" w:hAnsi="Arial" w:cs="Arial"/>
          <w:sz w:val="24"/>
          <w:szCs w:val="24"/>
        </w:rPr>
        <w:t xml:space="preserve">has </w:t>
      </w:r>
      <w:r w:rsidR="005D5001" w:rsidRPr="00C232A6">
        <w:rPr>
          <w:rFonts w:ascii="Arial" w:hAnsi="Arial" w:cs="Arial"/>
          <w:sz w:val="24"/>
          <w:szCs w:val="24"/>
        </w:rPr>
        <w:t>been almost</w:t>
      </w:r>
      <w:r w:rsidR="00BA7DCA" w:rsidRPr="00C232A6">
        <w:rPr>
          <w:rFonts w:ascii="Arial" w:hAnsi="Arial" w:cs="Arial"/>
          <w:sz w:val="24"/>
          <w:szCs w:val="24"/>
        </w:rPr>
        <w:t xml:space="preserve"> </w:t>
      </w:r>
      <w:r w:rsidR="00B40481" w:rsidRPr="00C232A6">
        <w:rPr>
          <w:rFonts w:ascii="Arial" w:hAnsi="Arial" w:cs="Arial"/>
          <w:sz w:val="24"/>
          <w:szCs w:val="24"/>
        </w:rPr>
        <w:t xml:space="preserve">impossible to </w:t>
      </w:r>
      <w:r w:rsidR="00BA7DCA" w:rsidRPr="00C232A6">
        <w:rPr>
          <w:rFonts w:ascii="Arial" w:hAnsi="Arial" w:cs="Arial"/>
          <w:sz w:val="24"/>
          <w:szCs w:val="24"/>
        </w:rPr>
        <w:t xml:space="preserve">discern a clear </w:t>
      </w:r>
      <w:r w:rsidR="002A1D97" w:rsidRPr="00C232A6">
        <w:rPr>
          <w:rFonts w:ascii="Arial" w:hAnsi="Arial" w:cs="Arial"/>
          <w:sz w:val="24"/>
          <w:szCs w:val="24"/>
        </w:rPr>
        <w:t>methodology</w:t>
      </w:r>
      <w:r w:rsidR="000306A2" w:rsidRPr="00C232A6">
        <w:rPr>
          <w:rFonts w:ascii="Arial" w:hAnsi="Arial" w:cs="Arial"/>
          <w:sz w:val="24"/>
          <w:szCs w:val="24"/>
        </w:rPr>
        <w:t xml:space="preserve">. In </w:t>
      </w:r>
      <w:r w:rsidR="00BC33EC" w:rsidRPr="00C232A6">
        <w:rPr>
          <w:rFonts w:ascii="Arial" w:hAnsi="Arial" w:cs="Arial"/>
          <w:i/>
          <w:iCs/>
          <w:sz w:val="24"/>
          <w:szCs w:val="24"/>
        </w:rPr>
        <w:t>Madze v Minister of Police</w:t>
      </w:r>
      <w:r w:rsidR="00BC33EC" w:rsidRPr="00C232A6">
        <w:rPr>
          <w:rFonts w:ascii="Arial" w:hAnsi="Arial" w:cs="Arial"/>
          <w:sz w:val="24"/>
          <w:szCs w:val="24"/>
        </w:rPr>
        <w:t>,</w:t>
      </w:r>
      <w:r w:rsidR="00BC33EC">
        <w:rPr>
          <w:rStyle w:val="FootnoteReference"/>
          <w:rFonts w:ascii="Arial" w:hAnsi="Arial" w:cs="Arial"/>
          <w:sz w:val="24"/>
          <w:szCs w:val="24"/>
        </w:rPr>
        <w:footnoteReference w:id="21"/>
      </w:r>
      <w:r w:rsidR="004368A4" w:rsidRPr="00C232A6">
        <w:rPr>
          <w:rFonts w:ascii="Arial" w:hAnsi="Arial" w:cs="Arial"/>
          <w:sz w:val="24"/>
          <w:szCs w:val="24"/>
        </w:rPr>
        <w:t xml:space="preserve"> Plasket J aptly remarked that:</w:t>
      </w:r>
    </w:p>
    <w:p w14:paraId="780AFAFF" w14:textId="13A6A8FB" w:rsidR="005B1846" w:rsidRPr="005E5A79" w:rsidRDefault="005B1846" w:rsidP="001C79E7">
      <w:pPr>
        <w:spacing w:line="360" w:lineRule="auto"/>
        <w:ind w:left="720"/>
        <w:jc w:val="both"/>
        <w:rPr>
          <w:rFonts w:ascii="Arial" w:hAnsi="Arial" w:cs="Arial"/>
          <w:sz w:val="20"/>
          <w:szCs w:val="20"/>
        </w:rPr>
      </w:pPr>
      <w:r w:rsidRPr="005E5A79">
        <w:rPr>
          <w:rFonts w:ascii="Arial" w:hAnsi="Arial" w:cs="Arial"/>
          <w:sz w:val="20"/>
          <w:szCs w:val="20"/>
        </w:rPr>
        <w:t>‘…I have given consideration to comparable cases</w:t>
      </w:r>
      <w:r w:rsidR="00E32D01" w:rsidRPr="005E5A79">
        <w:rPr>
          <w:rFonts w:ascii="Arial" w:hAnsi="Arial" w:cs="Arial"/>
          <w:sz w:val="20"/>
          <w:szCs w:val="20"/>
        </w:rPr>
        <w:t xml:space="preserve"> but they are very much dependant on their own facts and usually are influenced </w:t>
      </w:r>
      <w:r w:rsidR="00732CDD" w:rsidRPr="005E5A79">
        <w:rPr>
          <w:rFonts w:ascii="Arial" w:hAnsi="Arial" w:cs="Arial"/>
          <w:sz w:val="20"/>
          <w:szCs w:val="20"/>
        </w:rPr>
        <w:t>by the conditions that the detainee experienced and their effects on him or her.</w:t>
      </w:r>
      <w:r w:rsidR="00AE0DB1" w:rsidRPr="005E5A79">
        <w:rPr>
          <w:rFonts w:ascii="Arial" w:hAnsi="Arial" w:cs="Arial"/>
          <w:sz w:val="20"/>
          <w:szCs w:val="20"/>
        </w:rPr>
        <w:t xml:space="preserve"> Even so, the cases vary from awards that appear on the generous side</w:t>
      </w:r>
      <w:r w:rsidR="001B5BA4" w:rsidRPr="005E5A79">
        <w:rPr>
          <w:rFonts w:ascii="Arial" w:hAnsi="Arial" w:cs="Arial"/>
          <w:sz w:val="20"/>
          <w:szCs w:val="20"/>
        </w:rPr>
        <w:t xml:space="preserve"> to those that appear to be parsimonious.’</w:t>
      </w:r>
      <w:r w:rsidR="001B5BA4" w:rsidRPr="005E5A79">
        <w:rPr>
          <w:rStyle w:val="FootnoteReference"/>
          <w:rFonts w:ascii="Arial" w:hAnsi="Arial" w:cs="Arial"/>
          <w:sz w:val="20"/>
          <w:szCs w:val="20"/>
        </w:rPr>
        <w:footnoteReference w:id="22"/>
      </w:r>
    </w:p>
    <w:p w14:paraId="307375C9" w14:textId="77777777" w:rsidR="001B5BA4" w:rsidRDefault="001B5BA4" w:rsidP="00B612A7">
      <w:pPr>
        <w:spacing w:line="360" w:lineRule="auto"/>
        <w:rPr>
          <w:rFonts w:ascii="Arial" w:hAnsi="Arial" w:cs="Arial"/>
          <w:sz w:val="24"/>
          <w:szCs w:val="24"/>
        </w:rPr>
      </w:pPr>
    </w:p>
    <w:p w14:paraId="69AB0C3E" w14:textId="422DBFF0" w:rsidR="001B5BA4" w:rsidRPr="00C232A6" w:rsidRDefault="00C232A6" w:rsidP="00C232A6">
      <w:pPr>
        <w:spacing w:line="360" w:lineRule="auto"/>
        <w:jc w:val="both"/>
        <w:rPr>
          <w:rFonts w:ascii="Arial" w:hAnsi="Arial" w:cs="Arial"/>
          <w:sz w:val="24"/>
          <w:szCs w:val="24"/>
        </w:rPr>
      </w:pPr>
      <w:r w:rsidRPr="001C79E7">
        <w:rPr>
          <w:rFonts w:ascii="Arial" w:hAnsi="Arial" w:cs="Arial"/>
          <w:sz w:val="24"/>
          <w:szCs w:val="24"/>
        </w:rPr>
        <w:t>[44]</w:t>
      </w:r>
      <w:r w:rsidRPr="001C79E7">
        <w:rPr>
          <w:rFonts w:ascii="Arial" w:hAnsi="Arial" w:cs="Arial"/>
          <w:sz w:val="24"/>
          <w:szCs w:val="24"/>
        </w:rPr>
        <w:tab/>
      </w:r>
      <w:r w:rsidR="005E5A79" w:rsidRPr="00C232A6">
        <w:rPr>
          <w:rFonts w:ascii="Arial" w:hAnsi="Arial" w:cs="Arial"/>
          <w:sz w:val="24"/>
          <w:szCs w:val="24"/>
        </w:rPr>
        <w:t>There are two recent</w:t>
      </w:r>
      <w:r w:rsidR="00603D9C" w:rsidRPr="00C232A6">
        <w:rPr>
          <w:rFonts w:ascii="Arial" w:hAnsi="Arial" w:cs="Arial"/>
          <w:sz w:val="24"/>
          <w:szCs w:val="24"/>
        </w:rPr>
        <w:t xml:space="preserve"> decisions in the Supreme Court of Appeal that are of some assistance. In </w:t>
      </w:r>
      <w:r w:rsidR="00690703" w:rsidRPr="00C232A6">
        <w:rPr>
          <w:rFonts w:ascii="Arial" w:hAnsi="Arial" w:cs="Arial"/>
          <w:i/>
          <w:iCs/>
          <w:sz w:val="24"/>
          <w:szCs w:val="24"/>
        </w:rPr>
        <w:t>Brits v Minister of Police and another</w:t>
      </w:r>
      <w:r w:rsidR="00690703" w:rsidRPr="00C232A6">
        <w:rPr>
          <w:rFonts w:ascii="Arial" w:hAnsi="Arial" w:cs="Arial"/>
          <w:sz w:val="24"/>
          <w:szCs w:val="24"/>
        </w:rPr>
        <w:t>,</w:t>
      </w:r>
      <w:r w:rsidR="00690703">
        <w:rPr>
          <w:rStyle w:val="FootnoteReference"/>
          <w:rFonts w:ascii="Arial" w:hAnsi="Arial" w:cs="Arial"/>
          <w:sz w:val="24"/>
          <w:szCs w:val="24"/>
        </w:rPr>
        <w:footnoteReference w:id="23"/>
      </w:r>
      <w:r w:rsidR="008531BA" w:rsidRPr="00C232A6">
        <w:rPr>
          <w:rFonts w:ascii="Arial" w:hAnsi="Arial" w:cs="Arial"/>
          <w:sz w:val="24"/>
          <w:szCs w:val="24"/>
        </w:rPr>
        <w:t xml:space="preserve"> the appellant was the owner of a dealership in second-hand goods and scrap metal</w:t>
      </w:r>
      <w:r w:rsidR="006034E8" w:rsidRPr="00C232A6">
        <w:rPr>
          <w:rFonts w:ascii="Arial" w:hAnsi="Arial" w:cs="Arial"/>
          <w:sz w:val="24"/>
          <w:szCs w:val="24"/>
        </w:rPr>
        <w:t xml:space="preserve"> and had been</w:t>
      </w:r>
      <w:r w:rsidR="00B826D1" w:rsidRPr="00C232A6">
        <w:rPr>
          <w:rFonts w:ascii="Arial" w:hAnsi="Arial" w:cs="Arial"/>
          <w:sz w:val="24"/>
          <w:szCs w:val="24"/>
        </w:rPr>
        <w:t xml:space="preserve"> arrested and detained for approximately one day on a charge of having been complicit in the </w:t>
      </w:r>
      <w:r w:rsidR="00643B73" w:rsidRPr="00C232A6">
        <w:rPr>
          <w:rFonts w:ascii="Arial" w:hAnsi="Arial" w:cs="Arial"/>
          <w:sz w:val="24"/>
          <w:szCs w:val="24"/>
        </w:rPr>
        <w:t>offence of possession of stolen property.</w:t>
      </w:r>
      <w:r w:rsidR="00845B7A" w:rsidRPr="00C232A6">
        <w:rPr>
          <w:rFonts w:ascii="Arial" w:hAnsi="Arial" w:cs="Arial"/>
          <w:sz w:val="24"/>
          <w:szCs w:val="24"/>
        </w:rPr>
        <w:t xml:space="preserve"> The court awarded</w:t>
      </w:r>
      <w:r w:rsidR="005A3142" w:rsidRPr="00C232A6">
        <w:rPr>
          <w:rFonts w:ascii="Arial" w:hAnsi="Arial" w:cs="Arial"/>
          <w:sz w:val="24"/>
          <w:szCs w:val="24"/>
        </w:rPr>
        <w:t xml:space="preserve"> damages of R 70,000 for unlawful arrest and detention. </w:t>
      </w:r>
      <w:r w:rsidR="008643C0" w:rsidRPr="00C232A6">
        <w:rPr>
          <w:rFonts w:ascii="Arial" w:hAnsi="Arial" w:cs="Arial"/>
          <w:sz w:val="24"/>
          <w:szCs w:val="24"/>
        </w:rPr>
        <w:t>Several months</w:t>
      </w:r>
      <w:r w:rsidR="003D56A0" w:rsidRPr="00C232A6">
        <w:rPr>
          <w:rFonts w:ascii="Arial" w:hAnsi="Arial" w:cs="Arial"/>
          <w:sz w:val="24"/>
          <w:szCs w:val="24"/>
        </w:rPr>
        <w:t xml:space="preserve"> later, </w:t>
      </w:r>
      <w:r w:rsidR="005A3142" w:rsidRPr="00C232A6">
        <w:rPr>
          <w:rFonts w:ascii="Arial" w:hAnsi="Arial" w:cs="Arial"/>
          <w:sz w:val="24"/>
          <w:szCs w:val="24"/>
        </w:rPr>
        <w:t xml:space="preserve">in </w:t>
      </w:r>
      <w:r w:rsidR="003D56A0" w:rsidRPr="00C232A6">
        <w:rPr>
          <w:rFonts w:ascii="Arial" w:hAnsi="Arial" w:cs="Arial"/>
          <w:i/>
          <w:iCs/>
          <w:sz w:val="24"/>
          <w:szCs w:val="24"/>
        </w:rPr>
        <w:t>Diljan v Minister of Police</w:t>
      </w:r>
      <w:r w:rsidR="000F2BD2" w:rsidRPr="00C232A6">
        <w:rPr>
          <w:rFonts w:ascii="Arial" w:hAnsi="Arial" w:cs="Arial"/>
          <w:sz w:val="24"/>
          <w:szCs w:val="24"/>
        </w:rPr>
        <w:t>,</w:t>
      </w:r>
      <w:r w:rsidR="00E24902">
        <w:rPr>
          <w:rStyle w:val="FootnoteReference"/>
          <w:rFonts w:ascii="Arial" w:hAnsi="Arial" w:cs="Arial"/>
          <w:sz w:val="24"/>
          <w:szCs w:val="24"/>
        </w:rPr>
        <w:footnoteReference w:id="24"/>
      </w:r>
      <w:r w:rsidR="000F2BD2" w:rsidRPr="00C232A6">
        <w:rPr>
          <w:rFonts w:ascii="Arial" w:hAnsi="Arial" w:cs="Arial"/>
          <w:sz w:val="24"/>
          <w:szCs w:val="24"/>
        </w:rPr>
        <w:t xml:space="preserve"> the court dealt with a claim for damages for unlawful arrest and detention brought by</w:t>
      </w:r>
      <w:r w:rsidR="007220AD" w:rsidRPr="00C232A6">
        <w:rPr>
          <w:rFonts w:ascii="Arial" w:hAnsi="Arial" w:cs="Arial"/>
          <w:sz w:val="24"/>
          <w:szCs w:val="24"/>
        </w:rPr>
        <w:t xml:space="preserve"> </w:t>
      </w:r>
      <w:r w:rsidR="00E53A2C" w:rsidRPr="00C232A6">
        <w:rPr>
          <w:rFonts w:ascii="Arial" w:hAnsi="Arial" w:cs="Arial"/>
          <w:sz w:val="24"/>
          <w:szCs w:val="24"/>
        </w:rPr>
        <w:t>a grandmother and community caregiver</w:t>
      </w:r>
      <w:r w:rsidR="00495BC9" w:rsidRPr="00C232A6">
        <w:rPr>
          <w:rFonts w:ascii="Arial" w:hAnsi="Arial" w:cs="Arial"/>
          <w:sz w:val="24"/>
          <w:szCs w:val="24"/>
        </w:rPr>
        <w:t>. She had been kept in custody for just short of three days in appalling conditions. The court awarded dama</w:t>
      </w:r>
      <w:r w:rsidR="00FE18D9" w:rsidRPr="00C232A6">
        <w:rPr>
          <w:rFonts w:ascii="Arial" w:hAnsi="Arial" w:cs="Arial"/>
          <w:sz w:val="24"/>
          <w:szCs w:val="24"/>
        </w:rPr>
        <w:t>ges of R 120,000 and had this to say:</w:t>
      </w:r>
    </w:p>
    <w:p w14:paraId="5EAF9252" w14:textId="1B445171" w:rsidR="00FE18D9" w:rsidRPr="00126BD6" w:rsidRDefault="00FE18D9" w:rsidP="001C79E7">
      <w:pPr>
        <w:spacing w:line="360" w:lineRule="auto"/>
        <w:ind w:left="720"/>
        <w:jc w:val="both"/>
        <w:rPr>
          <w:rFonts w:ascii="Arial" w:hAnsi="Arial" w:cs="Arial"/>
          <w:sz w:val="20"/>
          <w:szCs w:val="20"/>
        </w:rPr>
      </w:pPr>
      <w:r w:rsidRPr="00126BD6">
        <w:rPr>
          <w:rFonts w:ascii="Arial" w:hAnsi="Arial" w:cs="Arial"/>
          <w:sz w:val="20"/>
          <w:szCs w:val="20"/>
        </w:rPr>
        <w:t>‘…A word has to be said about the progressively exorbitant amounts</w:t>
      </w:r>
      <w:r w:rsidR="00997FBE" w:rsidRPr="00126BD6">
        <w:rPr>
          <w:rFonts w:ascii="Arial" w:hAnsi="Arial" w:cs="Arial"/>
          <w:sz w:val="20"/>
          <w:szCs w:val="20"/>
        </w:rPr>
        <w:t xml:space="preserve"> that are claimed by litigants lately in comparable cases and sometimes </w:t>
      </w:r>
      <w:r w:rsidR="002B287F" w:rsidRPr="00126BD6">
        <w:rPr>
          <w:rFonts w:ascii="Arial" w:hAnsi="Arial" w:cs="Arial"/>
          <w:sz w:val="20"/>
          <w:szCs w:val="20"/>
        </w:rPr>
        <w:t xml:space="preserve">awarded lavishly by our courts. Legal practitioners should exercise caution </w:t>
      </w:r>
      <w:r w:rsidR="006F5D0A" w:rsidRPr="00126BD6">
        <w:rPr>
          <w:rFonts w:ascii="Arial" w:hAnsi="Arial" w:cs="Arial"/>
          <w:sz w:val="20"/>
          <w:szCs w:val="20"/>
        </w:rPr>
        <w:t xml:space="preserve">not to lend credence to the incredible practice of claiming unsubstantiated and excessive </w:t>
      </w:r>
      <w:r w:rsidR="00657E65" w:rsidRPr="00126BD6">
        <w:rPr>
          <w:rFonts w:ascii="Arial" w:hAnsi="Arial" w:cs="Arial"/>
          <w:sz w:val="20"/>
          <w:szCs w:val="20"/>
        </w:rPr>
        <w:t xml:space="preserve">amounts in the particulars of claim. Amounts in monetary claims in the particulars of claim should not be </w:t>
      </w:r>
      <w:r w:rsidR="00F66B78" w:rsidRPr="00126BD6">
        <w:rPr>
          <w:rFonts w:ascii="Arial" w:hAnsi="Arial" w:cs="Arial"/>
          <w:sz w:val="20"/>
          <w:szCs w:val="20"/>
        </w:rPr>
        <w:t>“thumb-sucked” without due regard to the facts and circumstances of each case.</w:t>
      </w:r>
      <w:r w:rsidR="0099172A" w:rsidRPr="00126BD6">
        <w:rPr>
          <w:rFonts w:ascii="Arial" w:hAnsi="Arial" w:cs="Arial"/>
          <w:sz w:val="20"/>
          <w:szCs w:val="20"/>
        </w:rPr>
        <w:t xml:space="preserve"> Practitioners ought to know the reasonable measure of previous awards</w:t>
      </w:r>
      <w:r w:rsidR="003D2F97" w:rsidRPr="00126BD6">
        <w:rPr>
          <w:rFonts w:ascii="Arial" w:hAnsi="Arial" w:cs="Arial"/>
          <w:sz w:val="20"/>
          <w:szCs w:val="20"/>
        </w:rPr>
        <w:t xml:space="preserve">, which serve as a </w:t>
      </w:r>
      <w:r w:rsidR="003D2F97" w:rsidRPr="00126BD6">
        <w:rPr>
          <w:rFonts w:ascii="Arial" w:hAnsi="Arial" w:cs="Arial"/>
          <w:sz w:val="20"/>
          <w:szCs w:val="20"/>
        </w:rPr>
        <w:lastRenderedPageBreak/>
        <w:t>barometer in quantifying their clients’ claims even at the stage of the issue of summons.</w:t>
      </w:r>
      <w:r w:rsidR="00F21BD3" w:rsidRPr="00126BD6">
        <w:rPr>
          <w:rFonts w:ascii="Arial" w:hAnsi="Arial" w:cs="Arial"/>
          <w:sz w:val="20"/>
          <w:szCs w:val="20"/>
        </w:rPr>
        <w:t xml:space="preserve"> They are aware, or ought to be, of what can reasonably be claimed based on the principles enunciated above.’</w:t>
      </w:r>
      <w:r w:rsidR="00F21BD3" w:rsidRPr="00126BD6">
        <w:rPr>
          <w:rStyle w:val="FootnoteReference"/>
          <w:rFonts w:ascii="Arial" w:hAnsi="Arial" w:cs="Arial"/>
          <w:sz w:val="20"/>
          <w:szCs w:val="20"/>
        </w:rPr>
        <w:footnoteReference w:id="25"/>
      </w:r>
    </w:p>
    <w:p w14:paraId="3A4775AC" w14:textId="77777777" w:rsidR="004368A4" w:rsidRDefault="004368A4" w:rsidP="00B612A7">
      <w:pPr>
        <w:spacing w:line="360" w:lineRule="auto"/>
        <w:rPr>
          <w:rFonts w:ascii="Arial" w:hAnsi="Arial" w:cs="Arial"/>
          <w:sz w:val="24"/>
          <w:szCs w:val="24"/>
        </w:rPr>
      </w:pPr>
    </w:p>
    <w:p w14:paraId="6C1FA51C" w14:textId="45F7DFF0" w:rsidR="001C79E7" w:rsidRPr="00C232A6" w:rsidRDefault="00C232A6" w:rsidP="00C232A6">
      <w:pPr>
        <w:spacing w:line="360" w:lineRule="auto"/>
        <w:jc w:val="both"/>
        <w:rPr>
          <w:rFonts w:ascii="Arial" w:hAnsi="Arial" w:cs="Arial"/>
          <w:sz w:val="24"/>
          <w:szCs w:val="24"/>
        </w:rPr>
      </w:pPr>
      <w:r>
        <w:rPr>
          <w:rFonts w:ascii="Arial" w:hAnsi="Arial" w:cs="Arial"/>
          <w:sz w:val="24"/>
          <w:szCs w:val="24"/>
        </w:rPr>
        <w:t>[45]</w:t>
      </w:r>
      <w:r>
        <w:rPr>
          <w:rFonts w:ascii="Arial" w:hAnsi="Arial" w:cs="Arial"/>
          <w:sz w:val="24"/>
          <w:szCs w:val="24"/>
        </w:rPr>
        <w:tab/>
      </w:r>
      <w:r w:rsidR="00B44673" w:rsidRPr="00C232A6">
        <w:rPr>
          <w:rFonts w:ascii="Arial" w:hAnsi="Arial" w:cs="Arial"/>
          <w:sz w:val="24"/>
          <w:szCs w:val="24"/>
        </w:rPr>
        <w:t xml:space="preserve">The plaintiff in the present matter has claimed </w:t>
      </w:r>
      <w:r w:rsidR="001B090F" w:rsidRPr="00C232A6">
        <w:rPr>
          <w:rFonts w:ascii="Arial" w:hAnsi="Arial" w:cs="Arial"/>
          <w:sz w:val="24"/>
          <w:szCs w:val="24"/>
        </w:rPr>
        <w:t xml:space="preserve">general </w:t>
      </w:r>
      <w:r w:rsidR="00B44673" w:rsidRPr="00C232A6">
        <w:rPr>
          <w:rFonts w:ascii="Arial" w:hAnsi="Arial" w:cs="Arial"/>
          <w:sz w:val="24"/>
          <w:szCs w:val="24"/>
        </w:rPr>
        <w:t xml:space="preserve">damages in the amount of </w:t>
      </w:r>
      <w:r w:rsidR="001B090F" w:rsidRPr="00C232A6">
        <w:rPr>
          <w:rFonts w:ascii="Arial" w:hAnsi="Arial" w:cs="Arial"/>
          <w:sz w:val="24"/>
          <w:szCs w:val="24"/>
        </w:rPr>
        <w:t xml:space="preserve">R 400,000 for </w:t>
      </w:r>
      <w:r w:rsidR="00FA6A3A" w:rsidRPr="00C232A6">
        <w:rPr>
          <w:rFonts w:ascii="Arial" w:hAnsi="Arial" w:cs="Arial"/>
          <w:sz w:val="24"/>
          <w:szCs w:val="24"/>
        </w:rPr>
        <w:t xml:space="preserve">having been kept in custody for less than 24 hours. </w:t>
      </w:r>
      <w:r w:rsidR="00126BD6" w:rsidRPr="00C232A6">
        <w:rPr>
          <w:rFonts w:ascii="Arial" w:hAnsi="Arial" w:cs="Arial"/>
          <w:sz w:val="24"/>
          <w:szCs w:val="24"/>
        </w:rPr>
        <w:t>Considering</w:t>
      </w:r>
      <w:r w:rsidR="00FA6A3A" w:rsidRPr="00C232A6">
        <w:rPr>
          <w:rFonts w:ascii="Arial" w:hAnsi="Arial" w:cs="Arial"/>
          <w:sz w:val="24"/>
          <w:szCs w:val="24"/>
        </w:rPr>
        <w:t xml:space="preserve"> the above awards, this </w:t>
      </w:r>
      <w:r w:rsidR="00126BD6" w:rsidRPr="00C232A6">
        <w:rPr>
          <w:rFonts w:ascii="Arial" w:hAnsi="Arial" w:cs="Arial"/>
          <w:sz w:val="24"/>
          <w:szCs w:val="24"/>
        </w:rPr>
        <w:t>is simply exorbitant.</w:t>
      </w:r>
    </w:p>
    <w:p w14:paraId="574DEFA1" w14:textId="77777777" w:rsidR="001C79E7" w:rsidRDefault="001C79E7" w:rsidP="001C79E7">
      <w:pPr>
        <w:pStyle w:val="ListParagraph"/>
        <w:spacing w:line="360" w:lineRule="auto"/>
        <w:ind w:left="0"/>
        <w:jc w:val="both"/>
        <w:rPr>
          <w:rFonts w:ascii="Arial" w:hAnsi="Arial" w:cs="Arial"/>
          <w:sz w:val="24"/>
          <w:szCs w:val="24"/>
        </w:rPr>
      </w:pPr>
    </w:p>
    <w:p w14:paraId="41545664" w14:textId="1372DD52" w:rsidR="001C79E7" w:rsidRPr="00C232A6" w:rsidRDefault="00C232A6" w:rsidP="00C232A6">
      <w:pPr>
        <w:spacing w:line="360" w:lineRule="auto"/>
        <w:jc w:val="both"/>
        <w:rPr>
          <w:rFonts w:ascii="Arial" w:hAnsi="Arial" w:cs="Arial"/>
          <w:sz w:val="24"/>
          <w:szCs w:val="24"/>
        </w:rPr>
      </w:pPr>
      <w:r>
        <w:rPr>
          <w:rFonts w:ascii="Arial" w:hAnsi="Arial" w:cs="Arial"/>
          <w:sz w:val="24"/>
          <w:szCs w:val="24"/>
        </w:rPr>
        <w:t>[46]</w:t>
      </w:r>
      <w:r>
        <w:rPr>
          <w:rFonts w:ascii="Arial" w:hAnsi="Arial" w:cs="Arial"/>
          <w:sz w:val="24"/>
          <w:szCs w:val="24"/>
        </w:rPr>
        <w:tab/>
      </w:r>
      <w:r w:rsidR="001D204B" w:rsidRPr="00C232A6">
        <w:rPr>
          <w:rFonts w:ascii="Arial" w:hAnsi="Arial" w:cs="Arial"/>
          <w:sz w:val="24"/>
          <w:szCs w:val="24"/>
        </w:rPr>
        <w:t xml:space="preserve">There are </w:t>
      </w:r>
      <w:r w:rsidR="008902CA" w:rsidRPr="00C232A6">
        <w:rPr>
          <w:rFonts w:ascii="Arial" w:hAnsi="Arial" w:cs="Arial"/>
          <w:sz w:val="24"/>
          <w:szCs w:val="24"/>
        </w:rPr>
        <w:t>a few</w:t>
      </w:r>
      <w:r w:rsidR="00A54A7C" w:rsidRPr="00C232A6">
        <w:rPr>
          <w:rFonts w:ascii="Arial" w:hAnsi="Arial" w:cs="Arial"/>
          <w:sz w:val="24"/>
          <w:szCs w:val="24"/>
        </w:rPr>
        <w:t xml:space="preserve"> recent judgments</w:t>
      </w:r>
      <w:r w:rsidR="001D204B" w:rsidRPr="00C232A6">
        <w:rPr>
          <w:rFonts w:ascii="Arial" w:hAnsi="Arial" w:cs="Arial"/>
          <w:sz w:val="24"/>
          <w:szCs w:val="24"/>
        </w:rPr>
        <w:t xml:space="preserve"> </w:t>
      </w:r>
      <w:r w:rsidR="00E05B06" w:rsidRPr="00C232A6">
        <w:rPr>
          <w:rFonts w:ascii="Arial" w:hAnsi="Arial" w:cs="Arial"/>
          <w:sz w:val="24"/>
          <w:szCs w:val="24"/>
        </w:rPr>
        <w:t>from this division that</w:t>
      </w:r>
      <w:r w:rsidR="00A54A7C" w:rsidRPr="00C232A6">
        <w:rPr>
          <w:rFonts w:ascii="Arial" w:hAnsi="Arial" w:cs="Arial"/>
          <w:sz w:val="24"/>
          <w:szCs w:val="24"/>
        </w:rPr>
        <w:t xml:space="preserve"> must be mentioned.</w:t>
      </w:r>
      <w:r w:rsidR="00E05B06" w:rsidRPr="00C232A6">
        <w:rPr>
          <w:rFonts w:ascii="Arial" w:hAnsi="Arial" w:cs="Arial"/>
          <w:sz w:val="24"/>
          <w:szCs w:val="24"/>
        </w:rPr>
        <w:t xml:space="preserve"> In </w:t>
      </w:r>
      <w:r w:rsidR="001629C0" w:rsidRPr="00C232A6">
        <w:rPr>
          <w:rFonts w:ascii="Arial" w:hAnsi="Arial" w:cs="Arial"/>
          <w:i/>
          <w:iCs/>
          <w:sz w:val="24"/>
          <w:szCs w:val="24"/>
        </w:rPr>
        <w:t>Minister of Police v Page</w:t>
      </w:r>
      <w:r w:rsidR="001629C0" w:rsidRPr="00C232A6">
        <w:rPr>
          <w:rFonts w:ascii="Arial" w:hAnsi="Arial" w:cs="Arial"/>
          <w:sz w:val="24"/>
          <w:szCs w:val="24"/>
        </w:rPr>
        <w:t>,</w:t>
      </w:r>
      <w:r w:rsidR="00036108">
        <w:rPr>
          <w:rStyle w:val="FootnoteReference"/>
          <w:rFonts w:ascii="Arial" w:hAnsi="Arial" w:cs="Arial"/>
          <w:sz w:val="24"/>
          <w:szCs w:val="24"/>
        </w:rPr>
        <w:footnoteReference w:id="26"/>
      </w:r>
      <w:r w:rsidR="00B6544A" w:rsidRPr="00C232A6">
        <w:rPr>
          <w:rFonts w:ascii="Arial" w:hAnsi="Arial" w:cs="Arial"/>
          <w:sz w:val="24"/>
          <w:szCs w:val="24"/>
        </w:rPr>
        <w:t xml:space="preserve"> a full bench awarded damages of </w:t>
      </w:r>
      <w:r w:rsidR="00481428" w:rsidRPr="00C232A6">
        <w:rPr>
          <w:rFonts w:ascii="Arial" w:hAnsi="Arial" w:cs="Arial"/>
          <w:sz w:val="24"/>
          <w:szCs w:val="24"/>
        </w:rPr>
        <w:t xml:space="preserve">R 30,000 to the claimant, who had been arrested on a charge of arson </w:t>
      </w:r>
      <w:r w:rsidR="00634EE7" w:rsidRPr="00C232A6">
        <w:rPr>
          <w:rFonts w:ascii="Arial" w:hAnsi="Arial" w:cs="Arial"/>
          <w:sz w:val="24"/>
          <w:szCs w:val="24"/>
        </w:rPr>
        <w:t>and detained for</w:t>
      </w:r>
      <w:r w:rsidR="009E59A7" w:rsidRPr="00C232A6">
        <w:rPr>
          <w:rFonts w:ascii="Arial" w:hAnsi="Arial" w:cs="Arial"/>
          <w:sz w:val="24"/>
          <w:szCs w:val="24"/>
        </w:rPr>
        <w:t xml:space="preserve"> </w:t>
      </w:r>
      <w:r w:rsidR="00634EE7" w:rsidRPr="00C232A6">
        <w:rPr>
          <w:rFonts w:ascii="Arial" w:hAnsi="Arial" w:cs="Arial"/>
          <w:sz w:val="24"/>
          <w:szCs w:val="24"/>
        </w:rPr>
        <w:t>one day.</w:t>
      </w:r>
      <w:r w:rsidR="005672E3" w:rsidRPr="00C232A6">
        <w:rPr>
          <w:rFonts w:ascii="Arial" w:hAnsi="Arial" w:cs="Arial"/>
          <w:sz w:val="24"/>
          <w:szCs w:val="24"/>
        </w:rPr>
        <w:t xml:space="preserve"> </w:t>
      </w:r>
      <w:r w:rsidR="00494579" w:rsidRPr="00C232A6">
        <w:rPr>
          <w:rFonts w:ascii="Arial" w:hAnsi="Arial" w:cs="Arial"/>
          <w:sz w:val="24"/>
          <w:szCs w:val="24"/>
        </w:rPr>
        <w:t xml:space="preserve">A year later in </w:t>
      </w:r>
      <w:r w:rsidR="00494579" w:rsidRPr="00C232A6">
        <w:rPr>
          <w:rFonts w:ascii="Arial" w:hAnsi="Arial" w:cs="Arial"/>
          <w:i/>
          <w:iCs/>
          <w:sz w:val="24"/>
          <w:szCs w:val="24"/>
        </w:rPr>
        <w:t>Shode v Minister of Police</w:t>
      </w:r>
      <w:r w:rsidR="00BA45E7" w:rsidRPr="00C232A6">
        <w:rPr>
          <w:rFonts w:ascii="Arial" w:hAnsi="Arial" w:cs="Arial"/>
          <w:sz w:val="24"/>
          <w:szCs w:val="24"/>
        </w:rPr>
        <w:t>,</w:t>
      </w:r>
      <w:r w:rsidR="00BA45E7">
        <w:rPr>
          <w:rStyle w:val="FootnoteReference"/>
          <w:rFonts w:ascii="Arial" w:hAnsi="Arial" w:cs="Arial"/>
          <w:sz w:val="24"/>
          <w:szCs w:val="24"/>
        </w:rPr>
        <w:footnoteReference w:id="27"/>
      </w:r>
      <w:r w:rsidR="00BA45E7" w:rsidRPr="00C232A6">
        <w:rPr>
          <w:rFonts w:ascii="Arial" w:hAnsi="Arial" w:cs="Arial"/>
          <w:sz w:val="24"/>
          <w:szCs w:val="24"/>
        </w:rPr>
        <w:t xml:space="preserve"> a full bench awarded </w:t>
      </w:r>
      <w:r w:rsidR="00EE24D6" w:rsidRPr="00C232A6">
        <w:rPr>
          <w:rFonts w:ascii="Arial" w:hAnsi="Arial" w:cs="Arial"/>
          <w:sz w:val="24"/>
          <w:szCs w:val="24"/>
        </w:rPr>
        <w:t xml:space="preserve">damages of R </w:t>
      </w:r>
      <w:r w:rsidR="00BA09D5" w:rsidRPr="00C232A6">
        <w:rPr>
          <w:rFonts w:ascii="Arial" w:hAnsi="Arial" w:cs="Arial"/>
          <w:sz w:val="24"/>
          <w:szCs w:val="24"/>
        </w:rPr>
        <w:t xml:space="preserve">40,000 </w:t>
      </w:r>
      <w:r w:rsidR="00C83CBE" w:rsidRPr="00C232A6">
        <w:rPr>
          <w:rFonts w:ascii="Arial" w:hAnsi="Arial" w:cs="Arial"/>
          <w:sz w:val="24"/>
          <w:szCs w:val="24"/>
        </w:rPr>
        <w:t xml:space="preserve">to </w:t>
      </w:r>
      <w:r w:rsidR="00A151C1" w:rsidRPr="00C232A6">
        <w:rPr>
          <w:rFonts w:ascii="Arial" w:hAnsi="Arial" w:cs="Arial"/>
          <w:sz w:val="24"/>
          <w:szCs w:val="24"/>
        </w:rPr>
        <w:t>the</w:t>
      </w:r>
      <w:r w:rsidR="00C83CBE" w:rsidRPr="00C232A6">
        <w:rPr>
          <w:rFonts w:ascii="Arial" w:hAnsi="Arial" w:cs="Arial"/>
          <w:sz w:val="24"/>
          <w:szCs w:val="24"/>
        </w:rPr>
        <w:t xml:space="preserve"> claimant, who had been arrested on a charge of domestic violence and detained for </w:t>
      </w:r>
      <w:r w:rsidR="005545F9" w:rsidRPr="00C232A6">
        <w:rPr>
          <w:rFonts w:ascii="Arial" w:hAnsi="Arial" w:cs="Arial"/>
          <w:sz w:val="24"/>
          <w:szCs w:val="24"/>
        </w:rPr>
        <w:t>22 hours</w:t>
      </w:r>
      <w:r w:rsidR="009E59A7" w:rsidRPr="00C232A6">
        <w:rPr>
          <w:rFonts w:ascii="Arial" w:hAnsi="Arial" w:cs="Arial"/>
          <w:sz w:val="24"/>
          <w:szCs w:val="24"/>
        </w:rPr>
        <w:t>.</w:t>
      </w:r>
      <w:r w:rsidR="005D4B9F" w:rsidRPr="00C232A6">
        <w:rPr>
          <w:rFonts w:ascii="Arial" w:hAnsi="Arial" w:cs="Arial"/>
          <w:sz w:val="24"/>
          <w:szCs w:val="24"/>
        </w:rPr>
        <w:t xml:space="preserve"> A few weeks </w:t>
      </w:r>
      <w:r w:rsidR="00D519CB" w:rsidRPr="00C232A6">
        <w:rPr>
          <w:rFonts w:ascii="Arial" w:hAnsi="Arial" w:cs="Arial"/>
          <w:sz w:val="24"/>
          <w:szCs w:val="24"/>
        </w:rPr>
        <w:t>after that</w:t>
      </w:r>
      <w:r w:rsidR="005D4B9F" w:rsidRPr="00C232A6">
        <w:rPr>
          <w:rFonts w:ascii="Arial" w:hAnsi="Arial" w:cs="Arial"/>
          <w:sz w:val="24"/>
          <w:szCs w:val="24"/>
        </w:rPr>
        <w:t xml:space="preserve">, in the unreported decision of </w:t>
      </w:r>
      <w:r w:rsidR="003B6E9F" w:rsidRPr="00C232A6">
        <w:rPr>
          <w:rFonts w:ascii="Arial" w:hAnsi="Arial" w:cs="Arial"/>
          <w:i/>
          <w:iCs/>
          <w:sz w:val="24"/>
          <w:szCs w:val="24"/>
        </w:rPr>
        <w:t>Antonie v Minister of Police</w:t>
      </w:r>
      <w:r w:rsidR="003B6E9F" w:rsidRPr="00C232A6">
        <w:rPr>
          <w:rFonts w:ascii="Arial" w:hAnsi="Arial" w:cs="Arial"/>
          <w:sz w:val="24"/>
          <w:szCs w:val="24"/>
        </w:rPr>
        <w:t>,</w:t>
      </w:r>
      <w:r w:rsidR="003B6E9F">
        <w:rPr>
          <w:rStyle w:val="FootnoteReference"/>
          <w:rFonts w:ascii="Arial" w:hAnsi="Arial" w:cs="Arial"/>
          <w:sz w:val="24"/>
          <w:szCs w:val="24"/>
        </w:rPr>
        <w:footnoteReference w:id="28"/>
      </w:r>
      <w:r w:rsidR="00D519CB" w:rsidRPr="00C232A6">
        <w:rPr>
          <w:rFonts w:ascii="Arial" w:hAnsi="Arial" w:cs="Arial"/>
          <w:sz w:val="24"/>
          <w:szCs w:val="24"/>
        </w:rPr>
        <w:t xml:space="preserve"> a full bench awarded damages of </w:t>
      </w:r>
      <w:r w:rsidR="0082601F" w:rsidRPr="00C232A6">
        <w:rPr>
          <w:rFonts w:ascii="Arial" w:hAnsi="Arial" w:cs="Arial"/>
          <w:sz w:val="24"/>
          <w:szCs w:val="24"/>
        </w:rPr>
        <w:t>R 50,000</w:t>
      </w:r>
      <w:r w:rsidR="002F3073" w:rsidRPr="00C232A6">
        <w:rPr>
          <w:rFonts w:ascii="Arial" w:hAnsi="Arial" w:cs="Arial"/>
          <w:sz w:val="24"/>
          <w:szCs w:val="24"/>
        </w:rPr>
        <w:t xml:space="preserve"> to the claimant, who had been arrested on a charge of domestic violence and detained for a period of </w:t>
      </w:r>
      <w:r w:rsidR="009C161C" w:rsidRPr="00C232A6">
        <w:rPr>
          <w:rFonts w:ascii="Arial" w:hAnsi="Arial" w:cs="Arial"/>
          <w:sz w:val="24"/>
          <w:szCs w:val="24"/>
        </w:rPr>
        <w:t>38 hours.</w:t>
      </w:r>
    </w:p>
    <w:p w14:paraId="5B8300E9" w14:textId="77777777" w:rsidR="001C79E7" w:rsidRPr="001C79E7" w:rsidRDefault="001C79E7" w:rsidP="001C79E7">
      <w:pPr>
        <w:pStyle w:val="ListParagraph"/>
        <w:rPr>
          <w:rFonts w:ascii="Arial" w:hAnsi="Arial" w:cs="Arial"/>
          <w:sz w:val="24"/>
          <w:szCs w:val="24"/>
        </w:rPr>
      </w:pPr>
    </w:p>
    <w:p w14:paraId="62AE46C1" w14:textId="7412EE0B" w:rsidR="001C79E7" w:rsidRPr="00C232A6" w:rsidRDefault="00C232A6" w:rsidP="00C232A6">
      <w:pPr>
        <w:spacing w:line="360" w:lineRule="auto"/>
        <w:jc w:val="both"/>
        <w:rPr>
          <w:rFonts w:ascii="Arial" w:hAnsi="Arial" w:cs="Arial"/>
          <w:sz w:val="24"/>
          <w:szCs w:val="24"/>
        </w:rPr>
      </w:pPr>
      <w:r>
        <w:rPr>
          <w:rFonts w:ascii="Arial" w:hAnsi="Arial" w:cs="Arial"/>
          <w:sz w:val="24"/>
          <w:szCs w:val="24"/>
        </w:rPr>
        <w:t>[47]</w:t>
      </w:r>
      <w:r>
        <w:rPr>
          <w:rFonts w:ascii="Arial" w:hAnsi="Arial" w:cs="Arial"/>
          <w:sz w:val="24"/>
          <w:szCs w:val="24"/>
        </w:rPr>
        <w:tab/>
      </w:r>
      <w:r w:rsidR="002F4AC2" w:rsidRPr="00C232A6">
        <w:rPr>
          <w:rFonts w:ascii="Arial" w:hAnsi="Arial" w:cs="Arial"/>
          <w:sz w:val="24"/>
          <w:szCs w:val="24"/>
        </w:rPr>
        <w:t>The</w:t>
      </w:r>
      <w:r w:rsidR="0010187B" w:rsidRPr="00C232A6">
        <w:rPr>
          <w:rFonts w:ascii="Arial" w:hAnsi="Arial" w:cs="Arial"/>
          <w:sz w:val="24"/>
          <w:szCs w:val="24"/>
        </w:rPr>
        <w:t xml:space="preserve">re is no indication, in the present matter, that the </w:t>
      </w:r>
      <w:r w:rsidR="00F01C19" w:rsidRPr="00C232A6">
        <w:rPr>
          <w:rFonts w:ascii="Arial" w:hAnsi="Arial" w:cs="Arial"/>
          <w:sz w:val="24"/>
          <w:szCs w:val="24"/>
        </w:rPr>
        <w:t xml:space="preserve">conduct of the officers who carried out the arrest and detention of the </w:t>
      </w:r>
      <w:r w:rsidR="002F4AC2" w:rsidRPr="00C232A6">
        <w:rPr>
          <w:rFonts w:ascii="Arial" w:hAnsi="Arial" w:cs="Arial"/>
          <w:sz w:val="24"/>
          <w:szCs w:val="24"/>
        </w:rPr>
        <w:t>plaintiff</w:t>
      </w:r>
      <w:r w:rsidR="00F01C19" w:rsidRPr="00C232A6">
        <w:rPr>
          <w:rFonts w:ascii="Arial" w:hAnsi="Arial" w:cs="Arial"/>
          <w:sz w:val="24"/>
          <w:szCs w:val="24"/>
        </w:rPr>
        <w:t xml:space="preserve"> was harsh or </w:t>
      </w:r>
      <w:r w:rsidR="00F800C5" w:rsidRPr="00C232A6">
        <w:rPr>
          <w:rFonts w:ascii="Arial" w:hAnsi="Arial" w:cs="Arial"/>
          <w:sz w:val="24"/>
          <w:szCs w:val="24"/>
        </w:rPr>
        <w:t xml:space="preserve">degrading. </w:t>
      </w:r>
      <w:r w:rsidR="00464CAC" w:rsidRPr="00C232A6">
        <w:rPr>
          <w:rFonts w:ascii="Arial" w:hAnsi="Arial" w:cs="Arial"/>
          <w:sz w:val="24"/>
          <w:szCs w:val="24"/>
        </w:rPr>
        <w:t xml:space="preserve">Nevertheless, the plaintiff’s </w:t>
      </w:r>
      <w:r w:rsidR="002F4AC2" w:rsidRPr="00C232A6">
        <w:rPr>
          <w:rFonts w:ascii="Arial" w:hAnsi="Arial" w:cs="Arial"/>
          <w:sz w:val="24"/>
          <w:szCs w:val="24"/>
        </w:rPr>
        <w:t>evidence</w:t>
      </w:r>
      <w:r w:rsidR="00FC61D1" w:rsidRPr="00C232A6">
        <w:rPr>
          <w:rFonts w:ascii="Arial" w:hAnsi="Arial" w:cs="Arial"/>
          <w:sz w:val="24"/>
          <w:szCs w:val="24"/>
        </w:rPr>
        <w:t xml:space="preserve"> </w:t>
      </w:r>
      <w:r w:rsidR="002F4AC2" w:rsidRPr="00C232A6">
        <w:rPr>
          <w:rFonts w:ascii="Arial" w:hAnsi="Arial" w:cs="Arial"/>
          <w:sz w:val="24"/>
          <w:szCs w:val="24"/>
        </w:rPr>
        <w:t xml:space="preserve">that he had been arrested in front of members of </w:t>
      </w:r>
      <w:r w:rsidR="005A2671" w:rsidRPr="00C232A6">
        <w:rPr>
          <w:rFonts w:ascii="Arial" w:hAnsi="Arial" w:cs="Arial"/>
          <w:sz w:val="24"/>
          <w:szCs w:val="24"/>
        </w:rPr>
        <w:t>the community</w:t>
      </w:r>
      <w:r w:rsidR="001E224E" w:rsidRPr="00C232A6">
        <w:rPr>
          <w:rFonts w:ascii="Arial" w:hAnsi="Arial" w:cs="Arial"/>
          <w:sz w:val="24"/>
          <w:szCs w:val="24"/>
        </w:rPr>
        <w:t xml:space="preserve"> was undisputed. This would undoubtedly have been an embarrassing experience. Moreover, it was not disputed that he had held a position of high political office and that he was a leader in the ANC, his church, and his community. </w:t>
      </w:r>
      <w:r w:rsidR="00622ED0" w:rsidRPr="00C232A6">
        <w:rPr>
          <w:rFonts w:ascii="Arial" w:hAnsi="Arial" w:cs="Arial"/>
          <w:sz w:val="24"/>
          <w:szCs w:val="24"/>
        </w:rPr>
        <w:t xml:space="preserve">The arrest and detention would have </w:t>
      </w:r>
      <w:r w:rsidR="00202AD6" w:rsidRPr="00C232A6">
        <w:rPr>
          <w:rFonts w:ascii="Arial" w:hAnsi="Arial" w:cs="Arial"/>
          <w:sz w:val="24"/>
          <w:szCs w:val="24"/>
        </w:rPr>
        <w:t>attracted adverse publicity</w:t>
      </w:r>
      <w:r w:rsidR="00622ED0" w:rsidRPr="00C232A6">
        <w:rPr>
          <w:rFonts w:ascii="Arial" w:hAnsi="Arial" w:cs="Arial"/>
          <w:sz w:val="24"/>
          <w:szCs w:val="24"/>
        </w:rPr>
        <w:t xml:space="preserve"> and would </w:t>
      </w:r>
      <w:r w:rsidR="002C4BE2" w:rsidRPr="00C232A6">
        <w:rPr>
          <w:rFonts w:ascii="Arial" w:hAnsi="Arial" w:cs="Arial"/>
          <w:sz w:val="24"/>
          <w:szCs w:val="24"/>
        </w:rPr>
        <w:t xml:space="preserve">have </w:t>
      </w:r>
      <w:r w:rsidR="00622ED0" w:rsidRPr="00C232A6">
        <w:rPr>
          <w:rFonts w:ascii="Arial" w:hAnsi="Arial" w:cs="Arial"/>
          <w:sz w:val="24"/>
          <w:szCs w:val="24"/>
        </w:rPr>
        <w:t xml:space="preserve">certainly </w:t>
      </w:r>
      <w:r w:rsidR="002C4BE2" w:rsidRPr="00C232A6">
        <w:rPr>
          <w:rFonts w:ascii="Arial" w:hAnsi="Arial" w:cs="Arial"/>
          <w:sz w:val="24"/>
          <w:szCs w:val="24"/>
        </w:rPr>
        <w:t xml:space="preserve">undermined </w:t>
      </w:r>
      <w:r w:rsidR="00622ED0" w:rsidRPr="00C232A6">
        <w:rPr>
          <w:rFonts w:ascii="Arial" w:hAnsi="Arial" w:cs="Arial"/>
          <w:sz w:val="24"/>
          <w:szCs w:val="24"/>
        </w:rPr>
        <w:t>his reputatio</w:t>
      </w:r>
      <w:r w:rsidR="002C4BE2" w:rsidRPr="00C232A6">
        <w:rPr>
          <w:rFonts w:ascii="Arial" w:hAnsi="Arial" w:cs="Arial"/>
          <w:sz w:val="24"/>
          <w:szCs w:val="24"/>
        </w:rPr>
        <w:t>n</w:t>
      </w:r>
      <w:r w:rsidR="00622ED0" w:rsidRPr="00C232A6">
        <w:rPr>
          <w:rFonts w:ascii="Arial" w:hAnsi="Arial" w:cs="Arial"/>
          <w:sz w:val="24"/>
          <w:szCs w:val="24"/>
        </w:rPr>
        <w:t xml:space="preserve">. </w:t>
      </w:r>
      <w:r w:rsidR="00202AD6" w:rsidRPr="00C232A6">
        <w:rPr>
          <w:rFonts w:ascii="Arial" w:hAnsi="Arial" w:cs="Arial"/>
          <w:sz w:val="24"/>
          <w:szCs w:val="24"/>
        </w:rPr>
        <w:t xml:space="preserve">It was, furthermore, not disputed that he had undergone </w:t>
      </w:r>
      <w:r w:rsidR="00D228D4" w:rsidRPr="00C232A6">
        <w:rPr>
          <w:rFonts w:ascii="Arial" w:hAnsi="Arial" w:cs="Arial"/>
          <w:sz w:val="24"/>
          <w:szCs w:val="24"/>
        </w:rPr>
        <w:t>a</w:t>
      </w:r>
      <w:r w:rsidR="002C4BE2" w:rsidRPr="00C232A6">
        <w:rPr>
          <w:rFonts w:ascii="Arial" w:hAnsi="Arial" w:cs="Arial"/>
          <w:sz w:val="24"/>
          <w:szCs w:val="24"/>
        </w:rPr>
        <w:t xml:space="preserve"> </w:t>
      </w:r>
      <w:r w:rsidR="00B22CA2" w:rsidRPr="00C232A6">
        <w:rPr>
          <w:rFonts w:ascii="Arial" w:hAnsi="Arial" w:cs="Arial"/>
          <w:sz w:val="24"/>
          <w:szCs w:val="24"/>
        </w:rPr>
        <w:t>humiliating and traumatic 24 hours inside the police holding cell.</w:t>
      </w:r>
    </w:p>
    <w:p w14:paraId="52DD3D2B" w14:textId="77777777" w:rsidR="001C79E7" w:rsidRPr="001C79E7" w:rsidRDefault="001C79E7" w:rsidP="001C79E7">
      <w:pPr>
        <w:pStyle w:val="ListParagraph"/>
        <w:rPr>
          <w:rFonts w:ascii="Arial" w:hAnsi="Arial" w:cs="Arial"/>
          <w:sz w:val="24"/>
          <w:szCs w:val="24"/>
        </w:rPr>
      </w:pPr>
    </w:p>
    <w:p w14:paraId="36DA06D1" w14:textId="5D6E09EA" w:rsidR="001C79E7" w:rsidRPr="00C232A6" w:rsidRDefault="00C232A6" w:rsidP="00C232A6">
      <w:pPr>
        <w:spacing w:line="360" w:lineRule="auto"/>
        <w:jc w:val="both"/>
        <w:rPr>
          <w:rFonts w:ascii="Arial" w:hAnsi="Arial" w:cs="Arial"/>
          <w:sz w:val="24"/>
          <w:szCs w:val="24"/>
        </w:rPr>
      </w:pPr>
      <w:r>
        <w:rPr>
          <w:rFonts w:ascii="Arial" w:hAnsi="Arial" w:cs="Arial"/>
          <w:sz w:val="24"/>
          <w:szCs w:val="24"/>
        </w:rPr>
        <w:t>[48]</w:t>
      </w:r>
      <w:r>
        <w:rPr>
          <w:rFonts w:ascii="Arial" w:hAnsi="Arial" w:cs="Arial"/>
          <w:sz w:val="24"/>
          <w:szCs w:val="24"/>
        </w:rPr>
        <w:tab/>
      </w:r>
      <w:r w:rsidR="00B374AC" w:rsidRPr="00C232A6">
        <w:rPr>
          <w:rFonts w:ascii="Arial" w:hAnsi="Arial" w:cs="Arial"/>
          <w:sz w:val="24"/>
          <w:szCs w:val="24"/>
        </w:rPr>
        <w:t xml:space="preserve">In the circumstances, an award of R </w:t>
      </w:r>
      <w:r w:rsidR="002079D8" w:rsidRPr="00C232A6">
        <w:rPr>
          <w:rFonts w:ascii="Arial" w:hAnsi="Arial" w:cs="Arial"/>
          <w:sz w:val="24"/>
          <w:szCs w:val="24"/>
        </w:rPr>
        <w:t>8</w:t>
      </w:r>
      <w:r w:rsidR="00C06B3A" w:rsidRPr="00C232A6">
        <w:rPr>
          <w:rFonts w:ascii="Arial" w:hAnsi="Arial" w:cs="Arial"/>
          <w:sz w:val="24"/>
          <w:szCs w:val="24"/>
        </w:rPr>
        <w:t>0,000 would seem to be fair and reasonable</w:t>
      </w:r>
      <w:r w:rsidR="004C783B" w:rsidRPr="00C232A6">
        <w:rPr>
          <w:rFonts w:ascii="Arial" w:hAnsi="Arial" w:cs="Arial"/>
          <w:sz w:val="24"/>
          <w:szCs w:val="24"/>
        </w:rPr>
        <w:t>.</w:t>
      </w:r>
      <w:r w:rsidR="00B074DA" w:rsidRPr="00C232A6">
        <w:rPr>
          <w:rFonts w:ascii="Arial" w:hAnsi="Arial" w:cs="Arial"/>
          <w:sz w:val="24"/>
          <w:szCs w:val="24"/>
        </w:rPr>
        <w:t xml:space="preserve"> Ultimately, the court cannot fail to recognise that the </w:t>
      </w:r>
      <w:r w:rsidR="005E766A" w:rsidRPr="00C232A6">
        <w:rPr>
          <w:rFonts w:ascii="Arial" w:hAnsi="Arial" w:cs="Arial"/>
          <w:sz w:val="24"/>
          <w:szCs w:val="24"/>
        </w:rPr>
        <w:t xml:space="preserve">plaintiff’s </w:t>
      </w:r>
      <w:r w:rsidR="00B074DA" w:rsidRPr="00C232A6">
        <w:rPr>
          <w:rFonts w:ascii="Arial" w:hAnsi="Arial" w:cs="Arial"/>
          <w:sz w:val="24"/>
          <w:szCs w:val="24"/>
        </w:rPr>
        <w:t>constitutional right</w:t>
      </w:r>
      <w:r w:rsidR="005E766A" w:rsidRPr="00C232A6">
        <w:rPr>
          <w:rFonts w:ascii="Arial" w:hAnsi="Arial" w:cs="Arial"/>
          <w:sz w:val="24"/>
          <w:szCs w:val="24"/>
        </w:rPr>
        <w:t xml:space="preserve"> to</w:t>
      </w:r>
      <w:r w:rsidR="00B074DA" w:rsidRPr="00C232A6">
        <w:rPr>
          <w:rFonts w:ascii="Arial" w:hAnsi="Arial" w:cs="Arial"/>
          <w:sz w:val="24"/>
          <w:szCs w:val="24"/>
        </w:rPr>
        <w:t xml:space="preserve"> liberty and security of </w:t>
      </w:r>
      <w:r w:rsidR="005E766A" w:rsidRPr="00C232A6">
        <w:rPr>
          <w:rFonts w:ascii="Arial" w:hAnsi="Arial" w:cs="Arial"/>
          <w:sz w:val="24"/>
          <w:szCs w:val="24"/>
        </w:rPr>
        <w:t>his person w</w:t>
      </w:r>
      <w:r w:rsidR="0057053F" w:rsidRPr="00C232A6">
        <w:rPr>
          <w:rFonts w:ascii="Arial" w:hAnsi="Arial" w:cs="Arial"/>
          <w:sz w:val="24"/>
          <w:szCs w:val="24"/>
        </w:rPr>
        <w:t>as</w:t>
      </w:r>
      <w:r w:rsidR="005E766A" w:rsidRPr="00C232A6">
        <w:rPr>
          <w:rFonts w:ascii="Arial" w:hAnsi="Arial" w:cs="Arial"/>
          <w:sz w:val="24"/>
          <w:szCs w:val="24"/>
        </w:rPr>
        <w:t xml:space="preserve"> infringed.</w:t>
      </w:r>
    </w:p>
    <w:p w14:paraId="65445365" w14:textId="77777777" w:rsidR="001C79E7" w:rsidRPr="001C79E7" w:rsidRDefault="001C79E7" w:rsidP="001C79E7">
      <w:pPr>
        <w:pStyle w:val="ListParagraph"/>
        <w:rPr>
          <w:rFonts w:ascii="Arial" w:hAnsi="Arial" w:cs="Arial"/>
          <w:sz w:val="24"/>
          <w:szCs w:val="24"/>
        </w:rPr>
      </w:pPr>
    </w:p>
    <w:p w14:paraId="0937FB7B" w14:textId="5C401B5F" w:rsidR="001C79E7" w:rsidRPr="00C232A6" w:rsidRDefault="00C232A6" w:rsidP="00C232A6">
      <w:pPr>
        <w:spacing w:line="360" w:lineRule="auto"/>
        <w:jc w:val="both"/>
        <w:rPr>
          <w:rFonts w:ascii="Arial" w:hAnsi="Arial" w:cs="Arial"/>
          <w:sz w:val="24"/>
          <w:szCs w:val="24"/>
        </w:rPr>
      </w:pPr>
      <w:r>
        <w:rPr>
          <w:rFonts w:ascii="Arial" w:hAnsi="Arial" w:cs="Arial"/>
          <w:sz w:val="24"/>
          <w:szCs w:val="24"/>
        </w:rPr>
        <w:t>[49]</w:t>
      </w:r>
      <w:r>
        <w:rPr>
          <w:rFonts w:ascii="Arial" w:hAnsi="Arial" w:cs="Arial"/>
          <w:sz w:val="24"/>
          <w:szCs w:val="24"/>
        </w:rPr>
        <w:tab/>
      </w:r>
      <w:r w:rsidR="009E52CD" w:rsidRPr="00C232A6">
        <w:rPr>
          <w:rFonts w:ascii="Arial" w:hAnsi="Arial" w:cs="Arial"/>
          <w:sz w:val="24"/>
          <w:szCs w:val="24"/>
        </w:rPr>
        <w:t xml:space="preserve">Regarding costs, counsel for the defendant argued </w:t>
      </w:r>
      <w:r w:rsidR="00D55E92" w:rsidRPr="00C232A6">
        <w:rPr>
          <w:rFonts w:ascii="Arial" w:hAnsi="Arial" w:cs="Arial"/>
          <w:sz w:val="24"/>
          <w:szCs w:val="24"/>
        </w:rPr>
        <w:t xml:space="preserve">for the application of the Magistrates’ Court scale. Mindful of the seriousness of the </w:t>
      </w:r>
      <w:r w:rsidR="00A07313" w:rsidRPr="00C232A6">
        <w:rPr>
          <w:rFonts w:ascii="Arial" w:hAnsi="Arial" w:cs="Arial"/>
          <w:sz w:val="24"/>
          <w:szCs w:val="24"/>
        </w:rPr>
        <w:t xml:space="preserve">matter and having had regard to </w:t>
      </w:r>
      <w:r w:rsidR="00985F31" w:rsidRPr="00C232A6">
        <w:rPr>
          <w:rFonts w:ascii="Arial" w:hAnsi="Arial" w:cs="Arial"/>
          <w:sz w:val="24"/>
          <w:szCs w:val="24"/>
        </w:rPr>
        <w:t>the case law to which the court was referred,</w:t>
      </w:r>
      <w:r w:rsidR="00985F31">
        <w:rPr>
          <w:rStyle w:val="FootnoteReference"/>
          <w:rFonts w:ascii="Arial" w:hAnsi="Arial" w:cs="Arial"/>
          <w:sz w:val="24"/>
          <w:szCs w:val="24"/>
        </w:rPr>
        <w:footnoteReference w:id="29"/>
      </w:r>
      <w:r w:rsidR="00B074DA" w:rsidRPr="00C232A6">
        <w:rPr>
          <w:rFonts w:ascii="Arial" w:hAnsi="Arial" w:cs="Arial"/>
          <w:sz w:val="24"/>
          <w:szCs w:val="24"/>
        </w:rPr>
        <w:t xml:space="preserve"> </w:t>
      </w:r>
      <w:r w:rsidR="0057053F" w:rsidRPr="00C232A6">
        <w:rPr>
          <w:rFonts w:ascii="Arial" w:hAnsi="Arial" w:cs="Arial"/>
          <w:sz w:val="24"/>
          <w:szCs w:val="24"/>
        </w:rPr>
        <w:t xml:space="preserve">the court is of the view that </w:t>
      </w:r>
      <w:r w:rsidR="00000724" w:rsidRPr="00C232A6">
        <w:rPr>
          <w:rFonts w:ascii="Arial" w:hAnsi="Arial" w:cs="Arial"/>
          <w:sz w:val="24"/>
          <w:szCs w:val="24"/>
        </w:rPr>
        <w:t>the High Court scale is appropriate.</w:t>
      </w:r>
      <w:r w:rsidR="00D228D4" w:rsidRPr="00C232A6">
        <w:rPr>
          <w:rFonts w:ascii="Arial" w:hAnsi="Arial" w:cs="Arial"/>
          <w:sz w:val="24"/>
          <w:szCs w:val="24"/>
        </w:rPr>
        <w:t xml:space="preserve"> Nevertheless, the plaintiff was not successful in his claim for legal costs in relation to the charge brought against him</w:t>
      </w:r>
      <w:r w:rsidR="009C061F" w:rsidRPr="00C232A6">
        <w:rPr>
          <w:rFonts w:ascii="Arial" w:hAnsi="Arial" w:cs="Arial"/>
          <w:sz w:val="24"/>
          <w:szCs w:val="24"/>
        </w:rPr>
        <w:t xml:space="preserve">. His claim for general damages was, moreover, exorbitant. He is not entitled to his full costs. </w:t>
      </w:r>
    </w:p>
    <w:p w14:paraId="43B75E1F" w14:textId="77777777" w:rsidR="001C79E7" w:rsidRPr="001C79E7" w:rsidRDefault="001C79E7" w:rsidP="001C79E7">
      <w:pPr>
        <w:pStyle w:val="ListParagraph"/>
        <w:rPr>
          <w:rFonts w:ascii="Arial" w:hAnsi="Arial" w:cs="Arial"/>
          <w:sz w:val="24"/>
          <w:szCs w:val="24"/>
        </w:rPr>
      </w:pPr>
    </w:p>
    <w:p w14:paraId="1B14C993" w14:textId="2591A764" w:rsidR="00000724" w:rsidRPr="00C232A6" w:rsidRDefault="00C232A6" w:rsidP="00C232A6">
      <w:pPr>
        <w:spacing w:line="360" w:lineRule="auto"/>
        <w:jc w:val="both"/>
        <w:rPr>
          <w:rFonts w:ascii="Arial" w:hAnsi="Arial" w:cs="Arial"/>
          <w:sz w:val="24"/>
          <w:szCs w:val="24"/>
        </w:rPr>
      </w:pPr>
      <w:r w:rsidRPr="001C79E7">
        <w:rPr>
          <w:rFonts w:ascii="Arial" w:hAnsi="Arial" w:cs="Arial"/>
          <w:sz w:val="24"/>
          <w:szCs w:val="24"/>
        </w:rPr>
        <w:t>[50]</w:t>
      </w:r>
      <w:r w:rsidRPr="001C79E7">
        <w:rPr>
          <w:rFonts w:ascii="Arial" w:hAnsi="Arial" w:cs="Arial"/>
          <w:sz w:val="24"/>
          <w:szCs w:val="24"/>
        </w:rPr>
        <w:tab/>
      </w:r>
      <w:r w:rsidR="00000724" w:rsidRPr="00C232A6">
        <w:rPr>
          <w:rFonts w:ascii="Arial" w:hAnsi="Arial" w:cs="Arial"/>
          <w:sz w:val="24"/>
          <w:szCs w:val="24"/>
        </w:rPr>
        <w:t>Consequently, the following order is made:</w:t>
      </w:r>
    </w:p>
    <w:p w14:paraId="31C6622F" w14:textId="77777777" w:rsidR="009462C7" w:rsidRDefault="009462C7" w:rsidP="009462C7">
      <w:pPr>
        <w:pStyle w:val="ListParagraph"/>
        <w:spacing w:line="360" w:lineRule="auto"/>
        <w:rPr>
          <w:rFonts w:ascii="Arial" w:hAnsi="Arial" w:cs="Arial"/>
          <w:sz w:val="24"/>
          <w:szCs w:val="24"/>
        </w:rPr>
      </w:pPr>
    </w:p>
    <w:p w14:paraId="0FC62866" w14:textId="09FE331D" w:rsidR="00000724" w:rsidRPr="00C232A6" w:rsidRDefault="00C232A6" w:rsidP="00C232A6">
      <w:pPr>
        <w:spacing w:line="360" w:lineRule="auto"/>
        <w:ind w:left="1560" w:hanging="840"/>
        <w:rPr>
          <w:rFonts w:ascii="Arial" w:hAnsi="Arial" w:cs="Arial"/>
          <w:sz w:val="24"/>
          <w:szCs w:val="24"/>
        </w:rPr>
      </w:pPr>
      <w:r>
        <w:rPr>
          <w:rFonts w:ascii="Arial" w:hAnsi="Arial" w:cs="Arial"/>
          <w:sz w:val="24"/>
          <w:szCs w:val="24"/>
        </w:rPr>
        <w:t>(a)</w:t>
      </w:r>
      <w:r>
        <w:rPr>
          <w:rFonts w:ascii="Arial" w:hAnsi="Arial" w:cs="Arial"/>
          <w:sz w:val="24"/>
          <w:szCs w:val="24"/>
        </w:rPr>
        <w:tab/>
      </w:r>
      <w:r w:rsidR="009462C7" w:rsidRPr="00C232A6">
        <w:rPr>
          <w:rFonts w:ascii="Arial" w:hAnsi="Arial" w:cs="Arial"/>
          <w:sz w:val="24"/>
          <w:szCs w:val="24"/>
        </w:rPr>
        <w:t>t</w:t>
      </w:r>
      <w:r w:rsidR="00000724" w:rsidRPr="00C232A6">
        <w:rPr>
          <w:rFonts w:ascii="Arial" w:hAnsi="Arial" w:cs="Arial"/>
          <w:sz w:val="24"/>
          <w:szCs w:val="24"/>
        </w:rPr>
        <w:t xml:space="preserve">he </w:t>
      </w:r>
      <w:r w:rsidR="009C60A3" w:rsidRPr="00C232A6">
        <w:rPr>
          <w:rFonts w:ascii="Arial" w:hAnsi="Arial" w:cs="Arial"/>
          <w:sz w:val="24"/>
          <w:szCs w:val="24"/>
        </w:rPr>
        <w:t xml:space="preserve">defendant is </w:t>
      </w:r>
      <w:r w:rsidR="002A2178" w:rsidRPr="00C232A6">
        <w:rPr>
          <w:rFonts w:ascii="Arial" w:hAnsi="Arial" w:cs="Arial"/>
          <w:sz w:val="24"/>
          <w:szCs w:val="24"/>
        </w:rPr>
        <w:t>order</w:t>
      </w:r>
      <w:r w:rsidR="009C60A3" w:rsidRPr="00C232A6">
        <w:rPr>
          <w:rFonts w:ascii="Arial" w:hAnsi="Arial" w:cs="Arial"/>
          <w:sz w:val="24"/>
          <w:szCs w:val="24"/>
        </w:rPr>
        <w:t>ed to pay the plaintiff the amount of R 80,000 for damages;</w:t>
      </w:r>
    </w:p>
    <w:p w14:paraId="188BFF50" w14:textId="77777777" w:rsidR="001C79E7" w:rsidRDefault="001C79E7" w:rsidP="001C79E7">
      <w:pPr>
        <w:pStyle w:val="ListParagraph"/>
        <w:spacing w:line="360" w:lineRule="auto"/>
        <w:ind w:left="1560"/>
        <w:rPr>
          <w:rFonts w:ascii="Arial" w:hAnsi="Arial" w:cs="Arial"/>
          <w:sz w:val="24"/>
          <w:szCs w:val="24"/>
        </w:rPr>
      </w:pPr>
    </w:p>
    <w:p w14:paraId="2CC511CF" w14:textId="602F97D6" w:rsidR="009C60A3" w:rsidRPr="00C232A6" w:rsidRDefault="00C232A6" w:rsidP="00C232A6">
      <w:pPr>
        <w:spacing w:line="360" w:lineRule="auto"/>
        <w:ind w:left="1560" w:hanging="840"/>
        <w:rPr>
          <w:rFonts w:ascii="Arial" w:hAnsi="Arial" w:cs="Arial"/>
          <w:sz w:val="24"/>
          <w:szCs w:val="24"/>
        </w:rPr>
      </w:pPr>
      <w:r>
        <w:rPr>
          <w:rFonts w:ascii="Arial" w:hAnsi="Arial" w:cs="Arial"/>
          <w:sz w:val="24"/>
          <w:szCs w:val="24"/>
        </w:rPr>
        <w:t>(b)</w:t>
      </w:r>
      <w:r>
        <w:rPr>
          <w:rFonts w:ascii="Arial" w:hAnsi="Arial" w:cs="Arial"/>
          <w:sz w:val="24"/>
          <w:szCs w:val="24"/>
        </w:rPr>
        <w:tab/>
      </w:r>
      <w:r w:rsidR="009462C7" w:rsidRPr="00C232A6">
        <w:rPr>
          <w:rFonts w:ascii="Arial" w:hAnsi="Arial" w:cs="Arial"/>
          <w:sz w:val="24"/>
          <w:szCs w:val="24"/>
        </w:rPr>
        <w:t>i</w:t>
      </w:r>
      <w:r w:rsidR="00091C1C" w:rsidRPr="00C232A6">
        <w:rPr>
          <w:rFonts w:ascii="Arial" w:hAnsi="Arial" w:cs="Arial"/>
          <w:sz w:val="24"/>
          <w:szCs w:val="24"/>
        </w:rPr>
        <w:t xml:space="preserve">nterest thereon will be incurred at the prescribed </w:t>
      </w:r>
      <w:r w:rsidR="002A2178" w:rsidRPr="00C232A6">
        <w:rPr>
          <w:rFonts w:ascii="Arial" w:hAnsi="Arial" w:cs="Arial"/>
          <w:sz w:val="24"/>
          <w:szCs w:val="24"/>
        </w:rPr>
        <w:t xml:space="preserve">legal </w:t>
      </w:r>
      <w:r w:rsidR="00091C1C" w:rsidRPr="00C232A6">
        <w:rPr>
          <w:rFonts w:ascii="Arial" w:hAnsi="Arial" w:cs="Arial"/>
          <w:sz w:val="24"/>
          <w:szCs w:val="24"/>
        </w:rPr>
        <w:t xml:space="preserve">rate, from the </w:t>
      </w:r>
      <w:r w:rsidR="00F11593" w:rsidRPr="00C232A6">
        <w:rPr>
          <w:rFonts w:ascii="Arial" w:hAnsi="Arial" w:cs="Arial"/>
          <w:sz w:val="24"/>
          <w:szCs w:val="24"/>
        </w:rPr>
        <w:t>date of receipt of demand until the date of payment; and</w:t>
      </w:r>
    </w:p>
    <w:p w14:paraId="4CFD18D4" w14:textId="77777777" w:rsidR="001C79E7" w:rsidRPr="001C79E7" w:rsidRDefault="001C79E7" w:rsidP="001C79E7">
      <w:pPr>
        <w:pStyle w:val="ListParagraph"/>
        <w:rPr>
          <w:rFonts w:ascii="Arial" w:hAnsi="Arial" w:cs="Arial"/>
          <w:sz w:val="24"/>
          <w:szCs w:val="24"/>
        </w:rPr>
      </w:pPr>
    </w:p>
    <w:p w14:paraId="3C065994" w14:textId="4878E870" w:rsidR="00F11593" w:rsidRPr="00C232A6" w:rsidRDefault="00C232A6" w:rsidP="00C232A6">
      <w:pPr>
        <w:spacing w:line="360" w:lineRule="auto"/>
        <w:ind w:left="1560" w:hanging="840"/>
        <w:rPr>
          <w:rFonts w:ascii="Arial" w:hAnsi="Arial" w:cs="Arial"/>
          <w:sz w:val="24"/>
          <w:szCs w:val="24"/>
        </w:rPr>
      </w:pPr>
      <w:r w:rsidRPr="001C79E7">
        <w:rPr>
          <w:rFonts w:ascii="Arial" w:hAnsi="Arial" w:cs="Arial"/>
          <w:sz w:val="24"/>
          <w:szCs w:val="24"/>
        </w:rPr>
        <w:t>(c)</w:t>
      </w:r>
      <w:r w:rsidRPr="001C79E7">
        <w:rPr>
          <w:rFonts w:ascii="Arial" w:hAnsi="Arial" w:cs="Arial"/>
          <w:sz w:val="24"/>
          <w:szCs w:val="24"/>
        </w:rPr>
        <w:tab/>
      </w:r>
      <w:r w:rsidR="009462C7" w:rsidRPr="00C232A6">
        <w:rPr>
          <w:rFonts w:ascii="Arial" w:hAnsi="Arial" w:cs="Arial"/>
          <w:sz w:val="24"/>
          <w:szCs w:val="24"/>
        </w:rPr>
        <w:t>t</w:t>
      </w:r>
      <w:r w:rsidR="00F11593" w:rsidRPr="00C232A6">
        <w:rPr>
          <w:rFonts w:ascii="Arial" w:hAnsi="Arial" w:cs="Arial"/>
          <w:sz w:val="24"/>
          <w:szCs w:val="24"/>
        </w:rPr>
        <w:t xml:space="preserve">he </w:t>
      </w:r>
      <w:r w:rsidR="00E91525" w:rsidRPr="00C232A6">
        <w:rPr>
          <w:rFonts w:ascii="Arial" w:hAnsi="Arial" w:cs="Arial"/>
          <w:sz w:val="24"/>
          <w:szCs w:val="24"/>
        </w:rPr>
        <w:t xml:space="preserve">defendant is </w:t>
      </w:r>
      <w:r w:rsidR="002A2178" w:rsidRPr="00C232A6">
        <w:rPr>
          <w:rFonts w:ascii="Arial" w:hAnsi="Arial" w:cs="Arial"/>
          <w:sz w:val="24"/>
          <w:szCs w:val="24"/>
        </w:rPr>
        <w:t>direct</w:t>
      </w:r>
      <w:r w:rsidR="00E91525" w:rsidRPr="00C232A6">
        <w:rPr>
          <w:rFonts w:ascii="Arial" w:hAnsi="Arial" w:cs="Arial"/>
          <w:sz w:val="24"/>
          <w:szCs w:val="24"/>
        </w:rPr>
        <w:t xml:space="preserve">ed to pay </w:t>
      </w:r>
      <w:r w:rsidR="009C061F" w:rsidRPr="00C232A6">
        <w:rPr>
          <w:rFonts w:ascii="Arial" w:hAnsi="Arial" w:cs="Arial"/>
          <w:sz w:val="24"/>
          <w:szCs w:val="24"/>
        </w:rPr>
        <w:t xml:space="preserve">80% of </w:t>
      </w:r>
      <w:r w:rsidR="00E91525" w:rsidRPr="00C232A6">
        <w:rPr>
          <w:rFonts w:ascii="Arial" w:hAnsi="Arial" w:cs="Arial"/>
          <w:sz w:val="24"/>
          <w:szCs w:val="24"/>
        </w:rPr>
        <w:t>the plaintiff’s costs, on a High Court scale.</w:t>
      </w:r>
    </w:p>
    <w:p w14:paraId="2E854B09" w14:textId="77777777" w:rsidR="00BE22E4" w:rsidRDefault="00BE22E4" w:rsidP="00BE22E4">
      <w:pPr>
        <w:spacing w:line="360" w:lineRule="auto"/>
        <w:rPr>
          <w:rFonts w:ascii="Arial" w:hAnsi="Arial" w:cs="Arial"/>
          <w:sz w:val="24"/>
          <w:szCs w:val="24"/>
        </w:rPr>
      </w:pPr>
    </w:p>
    <w:p w14:paraId="70953F54" w14:textId="77777777" w:rsidR="00BE22E4" w:rsidRDefault="00BE22E4" w:rsidP="001C79E7">
      <w:pPr>
        <w:spacing w:line="240" w:lineRule="auto"/>
        <w:jc w:val="both"/>
        <w:rPr>
          <w:rFonts w:ascii="Arial" w:hAnsi="Arial" w:cs="Arial"/>
          <w:sz w:val="24"/>
          <w:szCs w:val="24"/>
        </w:rPr>
      </w:pPr>
    </w:p>
    <w:p w14:paraId="5238FE51" w14:textId="10A1FE8F" w:rsidR="00BE22E4" w:rsidRDefault="001C79E7" w:rsidP="001C79E7">
      <w:pPr>
        <w:spacing w:line="240" w:lineRule="auto"/>
        <w:jc w:val="both"/>
        <w:rPr>
          <w:rFonts w:ascii="Arial" w:hAnsi="Arial" w:cs="Arial"/>
          <w:sz w:val="24"/>
          <w:szCs w:val="24"/>
        </w:rPr>
      </w:pPr>
      <w:r>
        <w:rPr>
          <w:rFonts w:ascii="Arial" w:hAnsi="Arial" w:cs="Arial"/>
          <w:sz w:val="24"/>
          <w:szCs w:val="24"/>
        </w:rPr>
        <w:t>____________________________</w:t>
      </w:r>
    </w:p>
    <w:p w14:paraId="48DBCC88" w14:textId="40DCA1CA" w:rsidR="00BE22E4" w:rsidRPr="00BE22E4" w:rsidRDefault="00BE22E4" w:rsidP="001C79E7">
      <w:pPr>
        <w:spacing w:line="240" w:lineRule="auto"/>
        <w:jc w:val="both"/>
        <w:rPr>
          <w:rFonts w:ascii="Arial" w:hAnsi="Arial" w:cs="Arial"/>
          <w:b/>
          <w:bCs/>
          <w:sz w:val="24"/>
          <w:szCs w:val="24"/>
        </w:rPr>
      </w:pPr>
      <w:r w:rsidRPr="00BE22E4">
        <w:rPr>
          <w:rFonts w:ascii="Arial" w:hAnsi="Arial" w:cs="Arial"/>
          <w:b/>
          <w:bCs/>
          <w:sz w:val="24"/>
          <w:szCs w:val="24"/>
        </w:rPr>
        <w:t>JGA LAING</w:t>
      </w:r>
    </w:p>
    <w:p w14:paraId="4F27BBA3" w14:textId="13AC3F6F" w:rsidR="00BE22E4" w:rsidRDefault="00BE22E4" w:rsidP="001C79E7">
      <w:pPr>
        <w:spacing w:line="240" w:lineRule="auto"/>
        <w:jc w:val="both"/>
        <w:rPr>
          <w:rFonts w:ascii="Arial" w:hAnsi="Arial" w:cs="Arial"/>
          <w:b/>
          <w:bCs/>
          <w:sz w:val="24"/>
          <w:szCs w:val="24"/>
        </w:rPr>
      </w:pPr>
      <w:r w:rsidRPr="00BE22E4">
        <w:rPr>
          <w:rFonts w:ascii="Arial" w:hAnsi="Arial" w:cs="Arial"/>
          <w:b/>
          <w:bCs/>
          <w:sz w:val="24"/>
          <w:szCs w:val="24"/>
        </w:rPr>
        <w:lastRenderedPageBreak/>
        <w:t>JUDGE OF THE HIGH COURT</w:t>
      </w:r>
    </w:p>
    <w:p w14:paraId="55EDF82E" w14:textId="77777777" w:rsidR="00D61DCB" w:rsidRDefault="00D61DCB" w:rsidP="001C79E7">
      <w:pPr>
        <w:spacing w:line="240" w:lineRule="auto"/>
        <w:jc w:val="both"/>
        <w:rPr>
          <w:rFonts w:ascii="Arial" w:hAnsi="Arial" w:cs="Arial"/>
          <w:b/>
          <w:bCs/>
          <w:sz w:val="24"/>
          <w:szCs w:val="24"/>
        </w:rPr>
      </w:pPr>
    </w:p>
    <w:p w14:paraId="0EF33697" w14:textId="10259BCE" w:rsidR="00D61DCB" w:rsidRDefault="00D61DCB" w:rsidP="001C79E7">
      <w:pPr>
        <w:spacing w:line="240" w:lineRule="auto"/>
        <w:jc w:val="both"/>
        <w:rPr>
          <w:rFonts w:ascii="Arial" w:hAnsi="Arial" w:cs="Arial"/>
          <w:sz w:val="24"/>
          <w:szCs w:val="24"/>
        </w:rPr>
      </w:pPr>
      <w:r w:rsidRPr="00D61DCB">
        <w:rPr>
          <w:rFonts w:ascii="Arial" w:hAnsi="Arial" w:cs="Arial"/>
          <w:sz w:val="24"/>
          <w:szCs w:val="24"/>
        </w:rPr>
        <w:t>APPEARANCES</w:t>
      </w:r>
    </w:p>
    <w:p w14:paraId="0B010409" w14:textId="77777777" w:rsidR="00D61DCB" w:rsidRDefault="00D61DCB" w:rsidP="001C79E7">
      <w:pPr>
        <w:spacing w:line="240" w:lineRule="auto"/>
        <w:jc w:val="both"/>
        <w:rPr>
          <w:rFonts w:ascii="Arial" w:hAnsi="Arial" w:cs="Arial"/>
          <w:sz w:val="24"/>
          <w:szCs w:val="24"/>
        </w:rPr>
      </w:pPr>
    </w:p>
    <w:p w14:paraId="64DA5069" w14:textId="4F971E70" w:rsidR="00D61DCB" w:rsidRDefault="00D61DCB" w:rsidP="001C79E7">
      <w:pPr>
        <w:spacing w:line="240" w:lineRule="auto"/>
        <w:jc w:val="both"/>
        <w:rPr>
          <w:rFonts w:ascii="Arial" w:hAnsi="Arial" w:cs="Arial"/>
          <w:sz w:val="24"/>
          <w:szCs w:val="24"/>
        </w:rPr>
      </w:pPr>
      <w:r>
        <w:rPr>
          <w:rFonts w:ascii="Arial" w:hAnsi="Arial" w:cs="Arial"/>
          <w:sz w:val="24"/>
          <w:szCs w:val="24"/>
        </w:rPr>
        <w:t>For the plaintiff:</w:t>
      </w:r>
      <w:r>
        <w:rPr>
          <w:rFonts w:ascii="Arial" w:hAnsi="Arial" w:cs="Arial"/>
          <w:sz w:val="24"/>
          <w:szCs w:val="24"/>
        </w:rPr>
        <w:tab/>
      </w:r>
      <w:r w:rsidR="00474709">
        <w:rPr>
          <w:rFonts w:ascii="Arial" w:hAnsi="Arial" w:cs="Arial"/>
          <w:sz w:val="24"/>
          <w:szCs w:val="24"/>
        </w:rPr>
        <w:tab/>
      </w:r>
      <w:r w:rsidR="00B4076A">
        <w:rPr>
          <w:rFonts w:ascii="Arial" w:hAnsi="Arial" w:cs="Arial"/>
          <w:sz w:val="24"/>
          <w:szCs w:val="24"/>
        </w:rPr>
        <w:t xml:space="preserve">Adv Nzuzo, instructed by </w:t>
      </w:r>
      <w:r w:rsidR="006C1313">
        <w:rPr>
          <w:rFonts w:ascii="Arial" w:hAnsi="Arial" w:cs="Arial"/>
          <w:sz w:val="24"/>
          <w:szCs w:val="24"/>
        </w:rPr>
        <w:t>Yokwana Attorneys</w:t>
      </w:r>
      <w:r w:rsidR="00474709">
        <w:rPr>
          <w:rFonts w:ascii="Arial" w:hAnsi="Arial" w:cs="Arial"/>
          <w:sz w:val="24"/>
          <w:szCs w:val="24"/>
        </w:rPr>
        <w:t>, Makhanda</w:t>
      </w:r>
    </w:p>
    <w:p w14:paraId="4CB4A998" w14:textId="460EE05C" w:rsidR="00474709" w:rsidRDefault="00161BE1" w:rsidP="001C79E7">
      <w:pPr>
        <w:spacing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11083255" w14:textId="4012BD0E" w:rsidR="00474709" w:rsidRDefault="00474709" w:rsidP="001C79E7">
      <w:pPr>
        <w:spacing w:line="240" w:lineRule="auto"/>
        <w:jc w:val="both"/>
        <w:rPr>
          <w:rFonts w:ascii="Arial" w:hAnsi="Arial" w:cs="Arial"/>
          <w:sz w:val="24"/>
          <w:szCs w:val="24"/>
        </w:rPr>
      </w:pPr>
      <w:r>
        <w:rPr>
          <w:rFonts w:ascii="Arial" w:hAnsi="Arial" w:cs="Arial"/>
          <w:sz w:val="24"/>
          <w:szCs w:val="24"/>
        </w:rPr>
        <w:t>For the defendant:</w:t>
      </w:r>
      <w:r>
        <w:rPr>
          <w:rFonts w:ascii="Arial" w:hAnsi="Arial" w:cs="Arial"/>
          <w:sz w:val="24"/>
          <w:szCs w:val="24"/>
        </w:rPr>
        <w:tab/>
      </w:r>
      <w:r>
        <w:rPr>
          <w:rFonts w:ascii="Arial" w:hAnsi="Arial" w:cs="Arial"/>
          <w:sz w:val="24"/>
          <w:szCs w:val="24"/>
        </w:rPr>
        <w:tab/>
        <w:t xml:space="preserve">Adv </w:t>
      </w:r>
      <w:r w:rsidR="007D1EB9">
        <w:rPr>
          <w:rFonts w:ascii="Arial" w:hAnsi="Arial" w:cs="Arial"/>
          <w:sz w:val="24"/>
          <w:szCs w:val="24"/>
        </w:rPr>
        <w:t>Appels</w:t>
      </w:r>
      <w:r w:rsidR="001C062D">
        <w:rPr>
          <w:rFonts w:ascii="Arial" w:hAnsi="Arial" w:cs="Arial"/>
          <w:sz w:val="24"/>
          <w:szCs w:val="24"/>
        </w:rPr>
        <w:t xml:space="preserve">, instructed by Lulama Prince Inc, </w:t>
      </w:r>
      <w:r w:rsidR="0051736C">
        <w:rPr>
          <w:rFonts w:ascii="Arial" w:hAnsi="Arial" w:cs="Arial"/>
          <w:sz w:val="24"/>
          <w:szCs w:val="24"/>
        </w:rPr>
        <w:t>Makhanda</w:t>
      </w:r>
    </w:p>
    <w:p w14:paraId="03C56BC3" w14:textId="77777777" w:rsidR="007C53D2" w:rsidRDefault="007C53D2" w:rsidP="001C79E7">
      <w:pPr>
        <w:spacing w:line="240" w:lineRule="auto"/>
        <w:jc w:val="both"/>
        <w:rPr>
          <w:rFonts w:ascii="Arial" w:hAnsi="Arial" w:cs="Arial"/>
          <w:sz w:val="24"/>
          <w:szCs w:val="24"/>
        </w:rPr>
      </w:pPr>
    </w:p>
    <w:p w14:paraId="3DE5ADE4" w14:textId="29EA41A7" w:rsidR="007C53D2" w:rsidRDefault="007C53D2" w:rsidP="001C79E7">
      <w:pPr>
        <w:spacing w:line="240" w:lineRule="auto"/>
        <w:jc w:val="both"/>
        <w:rPr>
          <w:rFonts w:ascii="Arial" w:hAnsi="Arial" w:cs="Arial"/>
          <w:sz w:val="24"/>
          <w:szCs w:val="24"/>
        </w:rPr>
      </w:pPr>
      <w:r>
        <w:rPr>
          <w:rFonts w:ascii="Arial" w:hAnsi="Arial" w:cs="Arial"/>
          <w:sz w:val="24"/>
          <w:szCs w:val="24"/>
        </w:rPr>
        <w:t>Last date for submission of written argument:</w:t>
      </w:r>
      <w:r>
        <w:rPr>
          <w:rFonts w:ascii="Arial" w:hAnsi="Arial" w:cs="Arial"/>
          <w:sz w:val="24"/>
          <w:szCs w:val="24"/>
        </w:rPr>
        <w:tab/>
      </w:r>
      <w:r>
        <w:rPr>
          <w:rFonts w:ascii="Arial" w:hAnsi="Arial" w:cs="Arial"/>
          <w:sz w:val="24"/>
          <w:szCs w:val="24"/>
        </w:rPr>
        <w:tab/>
      </w:r>
      <w:r w:rsidR="00635B92">
        <w:rPr>
          <w:rFonts w:ascii="Arial" w:hAnsi="Arial" w:cs="Arial"/>
          <w:sz w:val="24"/>
          <w:szCs w:val="24"/>
        </w:rPr>
        <w:t>13 December 2022</w:t>
      </w:r>
    </w:p>
    <w:p w14:paraId="0EA38AFC" w14:textId="77777777" w:rsidR="00635B92" w:rsidRDefault="00635B92" w:rsidP="001C79E7">
      <w:pPr>
        <w:spacing w:line="240" w:lineRule="auto"/>
        <w:jc w:val="both"/>
        <w:rPr>
          <w:rFonts w:ascii="Arial" w:hAnsi="Arial" w:cs="Arial"/>
          <w:sz w:val="24"/>
          <w:szCs w:val="24"/>
        </w:rPr>
      </w:pPr>
    </w:p>
    <w:p w14:paraId="6D1BC34A" w14:textId="26CB3A31" w:rsidR="00635B92" w:rsidRPr="00D61DCB" w:rsidRDefault="00635B92" w:rsidP="001C79E7">
      <w:pPr>
        <w:spacing w:line="240" w:lineRule="auto"/>
        <w:jc w:val="both"/>
        <w:rPr>
          <w:rFonts w:ascii="Arial" w:hAnsi="Arial" w:cs="Arial"/>
          <w:sz w:val="24"/>
          <w:szCs w:val="24"/>
        </w:rPr>
      </w:pPr>
      <w:r>
        <w:rPr>
          <w:rFonts w:ascii="Arial" w:hAnsi="Arial" w:cs="Arial"/>
          <w:sz w:val="24"/>
          <w:szCs w:val="24"/>
        </w:rPr>
        <w:t xml:space="preserve">Date of delivery </w:t>
      </w:r>
      <w:r w:rsidR="00803ADB">
        <w:rPr>
          <w:rFonts w:ascii="Arial" w:hAnsi="Arial" w:cs="Arial"/>
          <w:sz w:val="24"/>
          <w:szCs w:val="24"/>
        </w:rPr>
        <w:t>of judgment:</w:t>
      </w:r>
      <w:r w:rsidR="00803ADB">
        <w:rPr>
          <w:rFonts w:ascii="Arial" w:hAnsi="Arial" w:cs="Arial"/>
          <w:sz w:val="24"/>
          <w:szCs w:val="24"/>
        </w:rPr>
        <w:tab/>
      </w:r>
      <w:r w:rsidR="00803ADB">
        <w:rPr>
          <w:rFonts w:ascii="Arial" w:hAnsi="Arial" w:cs="Arial"/>
          <w:sz w:val="24"/>
          <w:szCs w:val="24"/>
        </w:rPr>
        <w:tab/>
      </w:r>
      <w:r w:rsidR="00803ADB">
        <w:rPr>
          <w:rFonts w:ascii="Arial" w:hAnsi="Arial" w:cs="Arial"/>
          <w:sz w:val="24"/>
          <w:szCs w:val="24"/>
        </w:rPr>
        <w:tab/>
      </w:r>
      <w:r w:rsidR="00803ADB">
        <w:rPr>
          <w:rFonts w:ascii="Arial" w:hAnsi="Arial" w:cs="Arial"/>
          <w:sz w:val="24"/>
          <w:szCs w:val="24"/>
        </w:rPr>
        <w:tab/>
        <w:t>4 April 2022</w:t>
      </w:r>
    </w:p>
    <w:p w14:paraId="0558FFD2" w14:textId="5A0988A4" w:rsidR="00CB4C7B" w:rsidRPr="00EC0D2D" w:rsidRDefault="00CB4C7B" w:rsidP="00EC0D2D">
      <w:pPr>
        <w:spacing w:line="360" w:lineRule="auto"/>
        <w:rPr>
          <w:rFonts w:ascii="Arial" w:hAnsi="Arial" w:cs="Arial"/>
          <w:sz w:val="24"/>
          <w:szCs w:val="24"/>
        </w:rPr>
      </w:pPr>
    </w:p>
    <w:sectPr w:rsidR="00CB4C7B" w:rsidRPr="00EC0D2D" w:rsidSect="00177A41">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E5230A" w14:textId="77777777" w:rsidR="00CD00A2" w:rsidRDefault="00CD00A2" w:rsidP="001F39D4">
      <w:pPr>
        <w:spacing w:after="0" w:line="240" w:lineRule="auto"/>
      </w:pPr>
      <w:r>
        <w:separator/>
      </w:r>
    </w:p>
  </w:endnote>
  <w:endnote w:type="continuationSeparator" w:id="0">
    <w:p w14:paraId="4C0E6658" w14:textId="77777777" w:rsidR="00CD00A2" w:rsidRDefault="00CD00A2" w:rsidP="001F3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411BF2" w14:textId="77777777" w:rsidR="00CD00A2" w:rsidRDefault="00CD00A2" w:rsidP="001F39D4">
      <w:pPr>
        <w:spacing w:after="0" w:line="240" w:lineRule="auto"/>
      </w:pPr>
      <w:r>
        <w:separator/>
      </w:r>
    </w:p>
  </w:footnote>
  <w:footnote w:type="continuationSeparator" w:id="0">
    <w:p w14:paraId="6C7BCCCE" w14:textId="77777777" w:rsidR="00CD00A2" w:rsidRDefault="00CD00A2" w:rsidP="001F39D4">
      <w:pPr>
        <w:spacing w:after="0" w:line="240" w:lineRule="auto"/>
      </w:pPr>
      <w:r>
        <w:continuationSeparator/>
      </w:r>
    </w:p>
  </w:footnote>
  <w:footnote w:id="1">
    <w:p w14:paraId="48755913" w14:textId="05B4B26D" w:rsidR="001F39D4" w:rsidRPr="001F39D4" w:rsidRDefault="001F39D4" w:rsidP="007E3CD2">
      <w:pPr>
        <w:pStyle w:val="FootnoteText"/>
        <w:jc w:val="both"/>
        <w:rPr>
          <w:lang w:val="en-US"/>
        </w:rPr>
      </w:pPr>
      <w:r>
        <w:rPr>
          <w:rStyle w:val="FootnoteReference"/>
        </w:rPr>
        <w:footnoteRef/>
      </w:r>
      <w:r>
        <w:t xml:space="preserve"> </w:t>
      </w:r>
      <w:r w:rsidR="001B520A">
        <w:rPr>
          <w:lang w:val="en-US"/>
        </w:rPr>
        <w:t xml:space="preserve">Potgieter (et al), </w:t>
      </w:r>
      <w:r w:rsidR="001B520A" w:rsidRPr="00FE08A4">
        <w:rPr>
          <w:i/>
          <w:iCs/>
          <w:lang w:val="en-US"/>
        </w:rPr>
        <w:t>Visser &amp; Potgieter: Law of Damages</w:t>
      </w:r>
      <w:r w:rsidR="001B520A">
        <w:rPr>
          <w:lang w:val="en-US"/>
        </w:rPr>
        <w:t xml:space="preserve"> (Juta, 3ed, </w:t>
      </w:r>
      <w:r w:rsidR="00FE08A4">
        <w:rPr>
          <w:lang w:val="en-US"/>
        </w:rPr>
        <w:t>2012).</w:t>
      </w:r>
    </w:p>
  </w:footnote>
  <w:footnote w:id="2">
    <w:p w14:paraId="68E2F6A7" w14:textId="12D68A2F" w:rsidR="00AA687C" w:rsidRPr="00AA687C" w:rsidRDefault="00AA687C" w:rsidP="001C79E7">
      <w:pPr>
        <w:pStyle w:val="FootnoteText"/>
        <w:jc w:val="both"/>
        <w:rPr>
          <w:lang w:val="en-US"/>
        </w:rPr>
      </w:pPr>
      <w:r>
        <w:rPr>
          <w:rStyle w:val="FootnoteReference"/>
        </w:rPr>
        <w:footnoteRef/>
      </w:r>
      <w:r>
        <w:t xml:space="preserve"> </w:t>
      </w:r>
      <w:r>
        <w:rPr>
          <w:lang w:val="en-US"/>
        </w:rPr>
        <w:t>At para</w:t>
      </w:r>
      <w:r w:rsidR="00E6595B">
        <w:rPr>
          <w:lang w:val="en-US"/>
        </w:rPr>
        <w:t>graph</w:t>
      </w:r>
      <w:r>
        <w:rPr>
          <w:lang w:val="en-US"/>
        </w:rPr>
        <w:t xml:space="preserve"> 15.3.9, </w:t>
      </w:r>
      <w:r w:rsidR="00E6595B">
        <w:rPr>
          <w:lang w:val="en-US"/>
        </w:rPr>
        <w:t xml:space="preserve">545-8, footnotes </w:t>
      </w:r>
      <w:r w:rsidR="003B013B">
        <w:rPr>
          <w:lang w:val="en-US"/>
        </w:rPr>
        <w:t>omitt</w:t>
      </w:r>
      <w:r w:rsidR="00E6595B">
        <w:rPr>
          <w:lang w:val="en-US"/>
        </w:rPr>
        <w:t>ed.</w:t>
      </w:r>
    </w:p>
  </w:footnote>
  <w:footnote w:id="3">
    <w:p w14:paraId="30CA1710" w14:textId="6AB8AA86" w:rsidR="00C23387" w:rsidRPr="00C23387" w:rsidRDefault="00C23387" w:rsidP="001C79E7">
      <w:pPr>
        <w:pStyle w:val="FootnoteText"/>
        <w:jc w:val="both"/>
        <w:rPr>
          <w:lang w:val="en-US"/>
        </w:rPr>
      </w:pPr>
      <w:r>
        <w:rPr>
          <w:rStyle w:val="FootnoteReference"/>
        </w:rPr>
        <w:footnoteRef/>
      </w:r>
      <w:r>
        <w:t xml:space="preserve"> </w:t>
      </w:r>
      <w:r>
        <w:rPr>
          <w:lang w:val="en-US"/>
        </w:rPr>
        <w:t>Sectio</w:t>
      </w:r>
      <w:r w:rsidR="006A721C">
        <w:rPr>
          <w:lang w:val="en-US"/>
        </w:rPr>
        <w:t>n</w:t>
      </w:r>
      <w:r w:rsidR="005F39D6">
        <w:rPr>
          <w:lang w:val="en-US"/>
        </w:rPr>
        <w:t xml:space="preserve"> 12(1)(a) of the Constitution of the Republic of South Africa</w:t>
      </w:r>
      <w:r w:rsidR="00304FAF">
        <w:rPr>
          <w:lang w:val="en-US"/>
        </w:rPr>
        <w:t>, 1996.</w:t>
      </w:r>
    </w:p>
  </w:footnote>
  <w:footnote w:id="4">
    <w:p w14:paraId="4288F55F" w14:textId="22E852EE" w:rsidR="000314BC" w:rsidRPr="000314BC" w:rsidRDefault="000314BC" w:rsidP="001C79E7">
      <w:pPr>
        <w:pStyle w:val="FootnoteText"/>
        <w:jc w:val="both"/>
        <w:rPr>
          <w:lang w:val="en-US"/>
        </w:rPr>
      </w:pPr>
      <w:r>
        <w:rPr>
          <w:rStyle w:val="FootnoteReference"/>
        </w:rPr>
        <w:footnoteRef/>
      </w:r>
      <w:r>
        <w:t xml:space="preserve"> </w:t>
      </w:r>
      <w:r w:rsidR="00A26CB3">
        <w:rPr>
          <w:lang w:val="en-US"/>
        </w:rPr>
        <w:t>2008 JDR 1582 (E).</w:t>
      </w:r>
    </w:p>
  </w:footnote>
  <w:footnote w:id="5">
    <w:p w14:paraId="3F365026" w14:textId="18C027CC" w:rsidR="00926AFF" w:rsidRPr="00926AFF" w:rsidRDefault="00926AFF" w:rsidP="001C79E7">
      <w:pPr>
        <w:pStyle w:val="FootnoteText"/>
        <w:jc w:val="both"/>
        <w:rPr>
          <w:lang w:val="en-US"/>
        </w:rPr>
      </w:pPr>
      <w:r>
        <w:rPr>
          <w:rStyle w:val="FootnoteReference"/>
        </w:rPr>
        <w:footnoteRef/>
      </w:r>
      <w:r>
        <w:t xml:space="preserve"> </w:t>
      </w:r>
      <w:r>
        <w:rPr>
          <w:lang w:val="en-US"/>
        </w:rPr>
        <w:t>At paragraph [16].</w:t>
      </w:r>
    </w:p>
  </w:footnote>
  <w:footnote w:id="6">
    <w:p w14:paraId="35F34BFF" w14:textId="68210C3E" w:rsidR="00EE481D" w:rsidRPr="00EE481D" w:rsidRDefault="00EE481D" w:rsidP="001C79E7">
      <w:pPr>
        <w:pStyle w:val="FootnoteText"/>
        <w:jc w:val="both"/>
        <w:rPr>
          <w:lang w:val="en-US"/>
        </w:rPr>
      </w:pPr>
      <w:r>
        <w:rPr>
          <w:rStyle w:val="FootnoteReference"/>
        </w:rPr>
        <w:footnoteRef/>
      </w:r>
      <w:r>
        <w:t xml:space="preserve"> </w:t>
      </w:r>
      <w:r>
        <w:rPr>
          <w:lang w:val="en-US"/>
        </w:rPr>
        <w:t>2009 (5) SA 85 (SCA).</w:t>
      </w:r>
    </w:p>
  </w:footnote>
  <w:footnote w:id="7">
    <w:p w14:paraId="00CAA6AE" w14:textId="79AAAAD9" w:rsidR="00513BD2" w:rsidRPr="00513BD2" w:rsidRDefault="00513BD2" w:rsidP="001C79E7">
      <w:pPr>
        <w:pStyle w:val="FootnoteText"/>
        <w:jc w:val="both"/>
        <w:rPr>
          <w:lang w:val="en-US"/>
        </w:rPr>
      </w:pPr>
      <w:r>
        <w:rPr>
          <w:rStyle w:val="FootnoteReference"/>
        </w:rPr>
        <w:footnoteRef/>
      </w:r>
      <w:r>
        <w:t xml:space="preserve"> </w:t>
      </w:r>
      <w:r>
        <w:rPr>
          <w:lang w:val="en-US"/>
        </w:rPr>
        <w:t xml:space="preserve">At paragraph </w:t>
      </w:r>
      <w:r w:rsidR="003B013B">
        <w:rPr>
          <w:lang w:val="en-US"/>
        </w:rPr>
        <w:t>[26], footnotes omitted.</w:t>
      </w:r>
    </w:p>
  </w:footnote>
  <w:footnote w:id="8">
    <w:p w14:paraId="1A9DCA49" w14:textId="0AD47795" w:rsidR="00AE67CC" w:rsidRPr="00AE67CC" w:rsidRDefault="00AE67CC" w:rsidP="001C79E7">
      <w:pPr>
        <w:pStyle w:val="FootnoteText"/>
        <w:jc w:val="both"/>
        <w:rPr>
          <w:lang w:val="en-US"/>
        </w:rPr>
      </w:pPr>
      <w:r>
        <w:rPr>
          <w:rStyle w:val="FootnoteReference"/>
        </w:rPr>
        <w:footnoteRef/>
      </w:r>
      <w:r>
        <w:t xml:space="preserve"> </w:t>
      </w:r>
      <w:r>
        <w:rPr>
          <w:lang w:val="en-US"/>
        </w:rPr>
        <w:t xml:space="preserve">The claim for legal costs </w:t>
      </w:r>
      <w:r w:rsidR="00744687">
        <w:rPr>
          <w:lang w:val="en-US"/>
        </w:rPr>
        <w:t>was omitted from the draft order that the plaintiff proposed.</w:t>
      </w:r>
    </w:p>
  </w:footnote>
  <w:footnote w:id="9">
    <w:p w14:paraId="5C8A7E87" w14:textId="31A9E294" w:rsidR="00461F5B" w:rsidRPr="00461F5B" w:rsidRDefault="00461F5B" w:rsidP="001C79E7">
      <w:pPr>
        <w:pStyle w:val="FootnoteText"/>
        <w:jc w:val="both"/>
        <w:rPr>
          <w:lang w:val="en-US"/>
        </w:rPr>
      </w:pPr>
      <w:r>
        <w:rPr>
          <w:rStyle w:val="FootnoteReference"/>
        </w:rPr>
        <w:footnoteRef/>
      </w:r>
      <w:r>
        <w:t xml:space="preserve"> </w:t>
      </w:r>
      <w:r w:rsidR="00AC3582">
        <w:rPr>
          <w:lang w:val="en-US"/>
        </w:rPr>
        <w:t>See Potgieter (</w:t>
      </w:r>
      <w:r w:rsidR="00AC3582" w:rsidRPr="00474E16">
        <w:rPr>
          <w:i/>
          <w:iCs/>
          <w:lang w:val="en-US"/>
        </w:rPr>
        <w:t>et al</w:t>
      </w:r>
      <w:r w:rsidR="00AC3582">
        <w:rPr>
          <w:lang w:val="en-US"/>
        </w:rPr>
        <w:t xml:space="preserve">), n </w:t>
      </w:r>
      <w:r w:rsidR="00474E16">
        <w:rPr>
          <w:lang w:val="en-US"/>
        </w:rPr>
        <w:t xml:space="preserve">1, </w:t>
      </w:r>
      <w:r w:rsidR="00474E16" w:rsidRPr="00474E16">
        <w:rPr>
          <w:i/>
          <w:iCs/>
          <w:lang w:val="en-US"/>
        </w:rPr>
        <w:t>supra</w:t>
      </w:r>
      <w:r w:rsidR="00474E16">
        <w:rPr>
          <w:lang w:val="en-US"/>
        </w:rPr>
        <w:t>.</w:t>
      </w:r>
    </w:p>
  </w:footnote>
  <w:footnote w:id="10">
    <w:p w14:paraId="0A48AC94" w14:textId="6233417E" w:rsidR="00C21025" w:rsidRPr="0093109C" w:rsidRDefault="00C21025" w:rsidP="001C79E7">
      <w:pPr>
        <w:pStyle w:val="FootnoteText"/>
        <w:jc w:val="both"/>
        <w:rPr>
          <w:lang w:val="en-US"/>
        </w:rPr>
      </w:pPr>
      <w:r>
        <w:rPr>
          <w:rStyle w:val="FootnoteReference"/>
        </w:rPr>
        <w:footnoteRef/>
      </w:r>
      <w:r>
        <w:t xml:space="preserve"> </w:t>
      </w:r>
      <w:r>
        <w:rPr>
          <w:lang w:val="en-US"/>
        </w:rPr>
        <w:t>2014 JDR 1498 (ECG).</w:t>
      </w:r>
    </w:p>
  </w:footnote>
  <w:footnote w:id="11">
    <w:p w14:paraId="71F341A9" w14:textId="026306AF" w:rsidR="00136216" w:rsidRPr="00136216" w:rsidRDefault="00136216" w:rsidP="001C79E7">
      <w:pPr>
        <w:pStyle w:val="FootnoteText"/>
        <w:jc w:val="both"/>
        <w:rPr>
          <w:lang w:val="en-US"/>
        </w:rPr>
      </w:pPr>
      <w:r>
        <w:rPr>
          <w:rStyle w:val="FootnoteReference"/>
        </w:rPr>
        <w:footnoteRef/>
      </w:r>
      <w:r>
        <w:t xml:space="preserve"> </w:t>
      </w:r>
      <w:r>
        <w:rPr>
          <w:lang w:val="en-US"/>
        </w:rPr>
        <w:t>At paragraph [24].</w:t>
      </w:r>
    </w:p>
  </w:footnote>
  <w:footnote w:id="12">
    <w:p w14:paraId="7DDCBE5A" w14:textId="087054C9" w:rsidR="00D77C21" w:rsidRPr="00D77C21" w:rsidRDefault="00D77C21" w:rsidP="001C79E7">
      <w:pPr>
        <w:pStyle w:val="FootnoteText"/>
        <w:jc w:val="both"/>
        <w:rPr>
          <w:lang w:val="en-US"/>
        </w:rPr>
      </w:pPr>
      <w:r>
        <w:rPr>
          <w:rStyle w:val="FootnoteReference"/>
        </w:rPr>
        <w:footnoteRef/>
      </w:r>
      <w:r>
        <w:t xml:space="preserve"> </w:t>
      </w:r>
      <w:r>
        <w:rPr>
          <w:lang w:val="en-US"/>
        </w:rPr>
        <w:t xml:space="preserve">See the </w:t>
      </w:r>
      <w:r w:rsidR="008F3225">
        <w:rPr>
          <w:lang w:val="en-US"/>
        </w:rPr>
        <w:t xml:space="preserve">requirements for </w:t>
      </w:r>
      <w:r w:rsidR="004A3DA3">
        <w:rPr>
          <w:lang w:val="en-US"/>
        </w:rPr>
        <w:t xml:space="preserve">proving </w:t>
      </w:r>
      <w:r w:rsidR="004B71D1">
        <w:rPr>
          <w:lang w:val="en-US"/>
        </w:rPr>
        <w:t>lack of reasonable and probable cause</w:t>
      </w:r>
      <w:r w:rsidR="002B6D5B">
        <w:rPr>
          <w:lang w:val="en-US"/>
        </w:rPr>
        <w:t xml:space="preserve"> in </w:t>
      </w:r>
      <w:r w:rsidR="00A04DFD" w:rsidRPr="004B71D1">
        <w:rPr>
          <w:i/>
          <w:iCs/>
          <w:lang w:val="en-US"/>
        </w:rPr>
        <w:t>Prinsloo v Newman</w:t>
      </w:r>
      <w:r w:rsidR="00A04DFD">
        <w:rPr>
          <w:lang w:val="en-US"/>
        </w:rPr>
        <w:t xml:space="preserve"> [1975] 2 All SA </w:t>
      </w:r>
      <w:r w:rsidR="009A4747">
        <w:rPr>
          <w:lang w:val="en-US"/>
        </w:rPr>
        <w:t xml:space="preserve">89 (A). Furthermore, see the </w:t>
      </w:r>
      <w:r>
        <w:rPr>
          <w:lang w:val="en-US"/>
        </w:rPr>
        <w:t xml:space="preserve">discussion of the </w:t>
      </w:r>
      <w:r w:rsidR="009A4747">
        <w:rPr>
          <w:lang w:val="en-US"/>
        </w:rPr>
        <w:t xml:space="preserve">elements </w:t>
      </w:r>
      <w:r w:rsidR="004B71D1">
        <w:rPr>
          <w:lang w:val="en-US"/>
        </w:rPr>
        <w:t xml:space="preserve">of a claim for malicious proceedings in </w:t>
      </w:r>
      <w:r w:rsidR="0009595A">
        <w:rPr>
          <w:lang w:val="en-US"/>
        </w:rPr>
        <w:t xml:space="preserve">Harms, </w:t>
      </w:r>
      <w:r w:rsidR="0009595A" w:rsidRPr="00CF5258">
        <w:rPr>
          <w:i/>
          <w:iCs/>
          <w:lang w:val="en-US"/>
        </w:rPr>
        <w:t>Amler’s Precedents of Pleadings</w:t>
      </w:r>
      <w:r w:rsidR="0009595A">
        <w:rPr>
          <w:lang w:val="en-US"/>
        </w:rPr>
        <w:t xml:space="preserve"> (</w:t>
      </w:r>
      <w:r w:rsidR="000F5D19">
        <w:rPr>
          <w:lang w:val="en-US"/>
        </w:rPr>
        <w:t xml:space="preserve">LexisNexis, </w:t>
      </w:r>
      <w:r w:rsidR="00CF5258">
        <w:rPr>
          <w:lang w:val="en-US"/>
        </w:rPr>
        <w:t>9ed, 2018).</w:t>
      </w:r>
    </w:p>
  </w:footnote>
  <w:footnote w:id="13">
    <w:p w14:paraId="630A9C40" w14:textId="2D66E337" w:rsidR="008B5CBF" w:rsidRPr="008B5CBF" w:rsidRDefault="008B5CBF">
      <w:pPr>
        <w:pStyle w:val="FootnoteText"/>
        <w:rPr>
          <w:lang w:val="en-US"/>
        </w:rPr>
      </w:pPr>
      <w:r>
        <w:rPr>
          <w:rStyle w:val="FootnoteReference"/>
        </w:rPr>
        <w:footnoteRef/>
      </w:r>
      <w:r>
        <w:t xml:space="preserve"> </w:t>
      </w:r>
      <w:r>
        <w:rPr>
          <w:lang w:val="en-US"/>
        </w:rPr>
        <w:t>Sic.</w:t>
      </w:r>
    </w:p>
  </w:footnote>
  <w:footnote w:id="14">
    <w:p w14:paraId="25C9F35F" w14:textId="1B5800F0" w:rsidR="00E31A53" w:rsidRPr="00E31A53" w:rsidRDefault="00E31A53">
      <w:pPr>
        <w:pStyle w:val="FootnoteText"/>
        <w:rPr>
          <w:lang w:val="en-US"/>
        </w:rPr>
      </w:pPr>
      <w:r>
        <w:rPr>
          <w:rStyle w:val="FootnoteReference"/>
        </w:rPr>
        <w:footnoteRef/>
      </w:r>
      <w:r>
        <w:t xml:space="preserve"> 1926 WLD</w:t>
      </w:r>
      <w:r w:rsidR="00291517">
        <w:t xml:space="preserve"> 153.</w:t>
      </w:r>
    </w:p>
  </w:footnote>
  <w:footnote w:id="15">
    <w:p w14:paraId="06CC9089" w14:textId="471B1E0D" w:rsidR="009560C2" w:rsidRPr="009560C2" w:rsidRDefault="009560C2">
      <w:pPr>
        <w:pStyle w:val="FootnoteText"/>
        <w:rPr>
          <w:lang w:val="en-US"/>
        </w:rPr>
      </w:pPr>
      <w:r>
        <w:rPr>
          <w:rStyle w:val="FootnoteReference"/>
        </w:rPr>
        <w:footnoteRef/>
      </w:r>
      <w:r>
        <w:t xml:space="preserve"> </w:t>
      </w:r>
      <w:r>
        <w:rPr>
          <w:lang w:val="en-US"/>
        </w:rPr>
        <w:t>At 154.</w:t>
      </w:r>
    </w:p>
  </w:footnote>
  <w:footnote w:id="16">
    <w:p w14:paraId="6D7C60D5" w14:textId="77777777" w:rsidR="001E3B19" w:rsidRPr="004A03CD" w:rsidRDefault="001E3B19" w:rsidP="001E3B19">
      <w:pPr>
        <w:pStyle w:val="FootnoteText"/>
        <w:rPr>
          <w:lang w:val="en-US"/>
        </w:rPr>
      </w:pPr>
      <w:r>
        <w:rPr>
          <w:rStyle w:val="FootnoteReference"/>
        </w:rPr>
        <w:footnoteRef/>
      </w:r>
      <w:r>
        <w:t xml:space="preserve"> [</w:t>
      </w:r>
      <w:r>
        <w:rPr>
          <w:lang w:val="en-US"/>
        </w:rPr>
        <w:t>2010] 2 All SA 474 (SCA).</w:t>
      </w:r>
    </w:p>
  </w:footnote>
  <w:footnote w:id="17">
    <w:p w14:paraId="579BC86F" w14:textId="77777777" w:rsidR="001E3B19" w:rsidRPr="00D479A7" w:rsidRDefault="001E3B19" w:rsidP="001C79E7">
      <w:pPr>
        <w:pStyle w:val="FootnoteText"/>
        <w:jc w:val="both"/>
        <w:rPr>
          <w:lang w:val="en-US"/>
        </w:rPr>
      </w:pPr>
      <w:r>
        <w:rPr>
          <w:rStyle w:val="FootnoteReference"/>
        </w:rPr>
        <w:footnoteRef/>
      </w:r>
      <w:r>
        <w:t xml:space="preserve"> </w:t>
      </w:r>
      <w:r>
        <w:rPr>
          <w:lang w:val="en-US"/>
        </w:rPr>
        <w:t>At paragraphs [11] to [12].</w:t>
      </w:r>
    </w:p>
  </w:footnote>
  <w:footnote w:id="18">
    <w:p w14:paraId="47801C18" w14:textId="4D7CD2F8" w:rsidR="001F0B22" w:rsidRPr="001F0B22" w:rsidRDefault="001F0B22" w:rsidP="001C79E7">
      <w:pPr>
        <w:pStyle w:val="FootnoteText"/>
        <w:jc w:val="both"/>
        <w:rPr>
          <w:lang w:val="en-US"/>
        </w:rPr>
      </w:pPr>
      <w:r>
        <w:rPr>
          <w:rStyle w:val="FootnoteReference"/>
        </w:rPr>
        <w:footnoteRef/>
      </w:r>
      <w:r>
        <w:t xml:space="preserve"> </w:t>
      </w:r>
      <w:r w:rsidRPr="00245BC9">
        <w:rPr>
          <w:i/>
          <w:iCs/>
          <w:lang w:val="en-US"/>
        </w:rPr>
        <w:t>Minister of Justice v Hofmeyr</w:t>
      </w:r>
      <w:r w:rsidR="00685BEF">
        <w:rPr>
          <w:lang w:val="en-US"/>
        </w:rPr>
        <w:t xml:space="preserve"> [1993] 2 All SA 232 (A); </w:t>
      </w:r>
      <w:r w:rsidR="00883A1D" w:rsidRPr="00245BC9">
        <w:rPr>
          <w:i/>
          <w:iCs/>
          <w:lang w:val="en-US"/>
        </w:rPr>
        <w:t xml:space="preserve">Relyant Trading (Pty) Ltd </w:t>
      </w:r>
      <w:r w:rsidR="00245BC9" w:rsidRPr="00245BC9">
        <w:rPr>
          <w:i/>
          <w:iCs/>
          <w:lang w:val="en-US"/>
        </w:rPr>
        <w:t>v Shongwe and another</w:t>
      </w:r>
      <w:r w:rsidR="00245BC9">
        <w:rPr>
          <w:lang w:val="en-US"/>
        </w:rPr>
        <w:t xml:space="preserve"> [2007] 1 All SA 375 (SCA).</w:t>
      </w:r>
    </w:p>
  </w:footnote>
  <w:footnote w:id="19">
    <w:p w14:paraId="7844ACDD" w14:textId="53688564" w:rsidR="00D27443" w:rsidRPr="00D27443" w:rsidRDefault="00D27443" w:rsidP="001C79E7">
      <w:pPr>
        <w:pStyle w:val="FootnoteText"/>
        <w:jc w:val="both"/>
        <w:rPr>
          <w:lang w:val="en-US"/>
        </w:rPr>
      </w:pPr>
      <w:r>
        <w:rPr>
          <w:rStyle w:val="FootnoteReference"/>
        </w:rPr>
        <w:footnoteRef/>
      </w:r>
      <w:r>
        <w:t xml:space="preserve"> </w:t>
      </w:r>
      <w:r w:rsidR="00137217" w:rsidRPr="00560301">
        <w:rPr>
          <w:i/>
          <w:iCs/>
          <w:lang w:val="en-US"/>
        </w:rPr>
        <w:t>Minister of Law and Order v Hurley</w:t>
      </w:r>
      <w:r w:rsidR="00137217">
        <w:rPr>
          <w:lang w:val="en-US"/>
        </w:rPr>
        <w:t xml:space="preserve"> [1986] 2 All SA </w:t>
      </w:r>
      <w:r w:rsidR="000A43F2">
        <w:rPr>
          <w:lang w:val="en-US"/>
        </w:rPr>
        <w:t xml:space="preserve">428 (A); </w:t>
      </w:r>
      <w:r w:rsidR="00072257" w:rsidRPr="00727957">
        <w:rPr>
          <w:i/>
          <w:iCs/>
          <w:lang w:val="en-US"/>
        </w:rPr>
        <w:t>T</w:t>
      </w:r>
      <w:r w:rsidR="00072257" w:rsidRPr="00727957">
        <w:rPr>
          <w:rFonts w:cstheme="minorHAnsi"/>
          <w:i/>
          <w:iCs/>
          <w:lang w:val="en-US"/>
        </w:rPr>
        <w:t>ö</w:t>
      </w:r>
      <w:r w:rsidR="00CE7712" w:rsidRPr="00727957">
        <w:rPr>
          <w:i/>
          <w:iCs/>
          <w:lang w:val="en-US"/>
        </w:rPr>
        <w:t>dt v Ipser</w:t>
      </w:r>
      <w:r w:rsidR="00CE7712">
        <w:rPr>
          <w:lang w:val="en-US"/>
        </w:rPr>
        <w:t xml:space="preserve"> [1993] 2 All SA 296 (A); </w:t>
      </w:r>
      <w:r w:rsidR="000A43F2" w:rsidRPr="00560301">
        <w:rPr>
          <w:i/>
          <w:iCs/>
          <w:lang w:val="en-US"/>
        </w:rPr>
        <w:t>Lombo v African National Congress</w:t>
      </w:r>
      <w:r w:rsidR="00560301">
        <w:rPr>
          <w:lang w:val="en-US"/>
        </w:rPr>
        <w:t xml:space="preserve"> [2002] 3 All SA 517 (SCA).</w:t>
      </w:r>
      <w:r w:rsidR="00C95CDA">
        <w:rPr>
          <w:lang w:val="en-US"/>
        </w:rPr>
        <w:t xml:space="preserve"> In general, see the discussion</w:t>
      </w:r>
      <w:r w:rsidR="00727957">
        <w:rPr>
          <w:lang w:val="en-US"/>
        </w:rPr>
        <w:t xml:space="preserve"> of arrest and detention</w:t>
      </w:r>
      <w:r w:rsidR="00C95CDA">
        <w:rPr>
          <w:lang w:val="en-US"/>
        </w:rPr>
        <w:t xml:space="preserve"> in Harms</w:t>
      </w:r>
      <w:r w:rsidR="00727957">
        <w:rPr>
          <w:lang w:val="en-US"/>
        </w:rPr>
        <w:t xml:space="preserve">, n 12, </w:t>
      </w:r>
      <w:r w:rsidR="00727957" w:rsidRPr="00727957">
        <w:rPr>
          <w:i/>
          <w:iCs/>
          <w:lang w:val="en-US"/>
        </w:rPr>
        <w:t>supra</w:t>
      </w:r>
      <w:r w:rsidR="00727957">
        <w:rPr>
          <w:lang w:val="en-US"/>
        </w:rPr>
        <w:t>.</w:t>
      </w:r>
    </w:p>
  </w:footnote>
  <w:footnote w:id="20">
    <w:p w14:paraId="73DA4C59" w14:textId="281F86F8" w:rsidR="00B95E6C" w:rsidRPr="00B95E6C" w:rsidRDefault="00B95E6C" w:rsidP="001C79E7">
      <w:pPr>
        <w:pStyle w:val="FootnoteText"/>
        <w:jc w:val="both"/>
        <w:rPr>
          <w:lang w:val="en-US"/>
        </w:rPr>
      </w:pPr>
      <w:r>
        <w:rPr>
          <w:rStyle w:val="FootnoteReference"/>
        </w:rPr>
        <w:footnoteRef/>
      </w:r>
      <w:r>
        <w:t xml:space="preserve"> </w:t>
      </w:r>
      <w:r>
        <w:rPr>
          <w:lang w:val="en-US"/>
        </w:rPr>
        <w:t>Van Loggerenberg (</w:t>
      </w:r>
      <w:r w:rsidRPr="002D699E">
        <w:rPr>
          <w:i/>
          <w:iCs/>
          <w:lang w:val="en-US"/>
        </w:rPr>
        <w:t>et al</w:t>
      </w:r>
      <w:r>
        <w:rPr>
          <w:lang w:val="en-US"/>
        </w:rPr>
        <w:t xml:space="preserve">), </w:t>
      </w:r>
      <w:r w:rsidRPr="002D699E">
        <w:rPr>
          <w:i/>
          <w:iCs/>
          <w:lang w:val="en-US"/>
        </w:rPr>
        <w:t>Erasmus: Superior Court Practice</w:t>
      </w:r>
      <w:r w:rsidR="004A0A18">
        <w:rPr>
          <w:lang w:val="en-US"/>
        </w:rPr>
        <w:t xml:space="preserve"> (Jutastat e</w:t>
      </w:r>
      <w:r w:rsidR="00F33595">
        <w:rPr>
          <w:lang w:val="en-US"/>
        </w:rPr>
        <w:t xml:space="preserve">-publications, </w:t>
      </w:r>
      <w:r w:rsidR="00B6477B">
        <w:rPr>
          <w:lang w:val="en-US"/>
        </w:rPr>
        <w:t>RS 20, 2022)</w:t>
      </w:r>
      <w:r w:rsidR="002D699E">
        <w:rPr>
          <w:lang w:val="en-US"/>
        </w:rPr>
        <w:t>, at D1-232A to D1-232B.</w:t>
      </w:r>
    </w:p>
  </w:footnote>
  <w:footnote w:id="21">
    <w:p w14:paraId="144F477D" w14:textId="351130BA" w:rsidR="00BC33EC" w:rsidRPr="00BC33EC" w:rsidRDefault="00BC33EC" w:rsidP="001C79E7">
      <w:pPr>
        <w:pStyle w:val="FootnoteText"/>
        <w:jc w:val="both"/>
        <w:rPr>
          <w:lang w:val="en-US"/>
        </w:rPr>
      </w:pPr>
      <w:r>
        <w:rPr>
          <w:rStyle w:val="FootnoteReference"/>
        </w:rPr>
        <w:footnoteRef/>
      </w:r>
      <w:r>
        <w:t xml:space="preserve"> </w:t>
      </w:r>
      <w:r w:rsidR="004368A4">
        <w:rPr>
          <w:lang w:val="en-US"/>
        </w:rPr>
        <w:t>2015 JDR 2680 (ECG).</w:t>
      </w:r>
    </w:p>
  </w:footnote>
  <w:footnote w:id="22">
    <w:p w14:paraId="38CF4310" w14:textId="3D7D78AE" w:rsidR="001B5BA4" w:rsidRPr="001B5BA4" w:rsidRDefault="001B5BA4" w:rsidP="001C79E7">
      <w:pPr>
        <w:pStyle w:val="FootnoteText"/>
        <w:jc w:val="both"/>
        <w:rPr>
          <w:lang w:val="en-US"/>
        </w:rPr>
      </w:pPr>
      <w:r>
        <w:rPr>
          <w:rStyle w:val="FootnoteReference"/>
        </w:rPr>
        <w:footnoteRef/>
      </w:r>
      <w:r>
        <w:t xml:space="preserve"> </w:t>
      </w:r>
      <w:r>
        <w:rPr>
          <w:lang w:val="en-US"/>
        </w:rPr>
        <w:t>At paragraph [16].</w:t>
      </w:r>
    </w:p>
  </w:footnote>
  <w:footnote w:id="23">
    <w:p w14:paraId="28FCF95A" w14:textId="1BC19E77" w:rsidR="00690703" w:rsidRPr="00690703" w:rsidRDefault="00690703" w:rsidP="001C79E7">
      <w:pPr>
        <w:pStyle w:val="FootnoteText"/>
        <w:jc w:val="both"/>
        <w:rPr>
          <w:lang w:val="en-US"/>
        </w:rPr>
      </w:pPr>
      <w:r>
        <w:rPr>
          <w:rStyle w:val="FootnoteReference"/>
        </w:rPr>
        <w:footnoteRef/>
      </w:r>
      <w:r>
        <w:t xml:space="preserve"> </w:t>
      </w:r>
      <w:r w:rsidR="001A4C39">
        <w:rPr>
          <w:lang w:val="en-US"/>
        </w:rPr>
        <w:t xml:space="preserve">(759/2020) [2021] ZASCA </w:t>
      </w:r>
      <w:r w:rsidR="009B2C6C">
        <w:rPr>
          <w:lang w:val="en-US"/>
        </w:rPr>
        <w:t>161 (23 November 2021).</w:t>
      </w:r>
    </w:p>
  </w:footnote>
  <w:footnote w:id="24">
    <w:p w14:paraId="110DE588" w14:textId="7BAED570" w:rsidR="00E24902" w:rsidRPr="00E24902" w:rsidRDefault="00E24902" w:rsidP="001C79E7">
      <w:pPr>
        <w:pStyle w:val="FootnoteText"/>
        <w:jc w:val="both"/>
        <w:rPr>
          <w:lang w:val="en-US"/>
        </w:rPr>
      </w:pPr>
      <w:r>
        <w:rPr>
          <w:rStyle w:val="FootnoteReference"/>
        </w:rPr>
        <w:footnoteRef/>
      </w:r>
      <w:r>
        <w:t xml:space="preserve"> </w:t>
      </w:r>
      <w:r>
        <w:rPr>
          <w:lang w:val="en-US"/>
        </w:rPr>
        <w:t>(746/2021) [2022] ZASCA</w:t>
      </w:r>
      <w:r w:rsidR="008643C0">
        <w:rPr>
          <w:lang w:val="en-US"/>
        </w:rPr>
        <w:t xml:space="preserve"> 103 (24 June 2022)</w:t>
      </w:r>
    </w:p>
  </w:footnote>
  <w:footnote w:id="25">
    <w:p w14:paraId="22FAFBFD" w14:textId="1F5A7019" w:rsidR="00F21BD3" w:rsidRPr="00F21BD3" w:rsidRDefault="00F21BD3" w:rsidP="001C79E7">
      <w:pPr>
        <w:pStyle w:val="FootnoteText"/>
        <w:jc w:val="both"/>
        <w:rPr>
          <w:lang w:val="en-US"/>
        </w:rPr>
      </w:pPr>
      <w:r>
        <w:rPr>
          <w:rStyle w:val="FootnoteReference"/>
        </w:rPr>
        <w:footnoteRef/>
      </w:r>
      <w:r>
        <w:t xml:space="preserve"> </w:t>
      </w:r>
      <w:r w:rsidR="00B44673">
        <w:rPr>
          <w:lang w:val="en-US"/>
        </w:rPr>
        <w:t>At paragraph [20].</w:t>
      </w:r>
    </w:p>
  </w:footnote>
  <w:footnote w:id="26">
    <w:p w14:paraId="145732E6" w14:textId="7F064407" w:rsidR="00036108" w:rsidRPr="00036108" w:rsidRDefault="00036108" w:rsidP="001C79E7">
      <w:pPr>
        <w:pStyle w:val="FootnoteText"/>
        <w:jc w:val="both"/>
        <w:rPr>
          <w:lang w:val="en-US"/>
        </w:rPr>
      </w:pPr>
      <w:r>
        <w:rPr>
          <w:rStyle w:val="FootnoteReference"/>
        </w:rPr>
        <w:footnoteRef/>
      </w:r>
      <w:r>
        <w:t xml:space="preserve"> </w:t>
      </w:r>
      <w:r>
        <w:rPr>
          <w:lang w:val="en-US"/>
        </w:rPr>
        <w:t xml:space="preserve">2021 JDR 0757 </w:t>
      </w:r>
      <w:r w:rsidR="00274EB2">
        <w:rPr>
          <w:lang w:val="en-US"/>
        </w:rPr>
        <w:t>(ECGEL).</w:t>
      </w:r>
    </w:p>
  </w:footnote>
  <w:footnote w:id="27">
    <w:p w14:paraId="48B743BF" w14:textId="7DAF3651" w:rsidR="00BA45E7" w:rsidRPr="00BA45E7" w:rsidRDefault="00BA45E7" w:rsidP="001C79E7">
      <w:pPr>
        <w:pStyle w:val="FootnoteText"/>
        <w:jc w:val="both"/>
        <w:rPr>
          <w:lang w:val="en-US"/>
        </w:rPr>
      </w:pPr>
      <w:r>
        <w:rPr>
          <w:rStyle w:val="FootnoteReference"/>
        </w:rPr>
        <w:footnoteRef/>
      </w:r>
      <w:r>
        <w:t xml:space="preserve"> </w:t>
      </w:r>
      <w:r>
        <w:rPr>
          <w:lang w:val="en-US"/>
        </w:rPr>
        <w:t>2022 JDR 1226 (ECM).</w:t>
      </w:r>
    </w:p>
  </w:footnote>
  <w:footnote w:id="28">
    <w:p w14:paraId="0E94E009" w14:textId="200EA953" w:rsidR="003B6E9F" w:rsidRPr="003B6E9F" w:rsidRDefault="003B6E9F" w:rsidP="001C79E7">
      <w:pPr>
        <w:pStyle w:val="FootnoteText"/>
        <w:jc w:val="both"/>
        <w:rPr>
          <w:lang w:val="en-US"/>
        </w:rPr>
      </w:pPr>
      <w:r>
        <w:rPr>
          <w:rStyle w:val="FootnoteReference"/>
        </w:rPr>
        <w:footnoteRef/>
      </w:r>
      <w:r>
        <w:t xml:space="preserve"> </w:t>
      </w:r>
      <w:r>
        <w:rPr>
          <w:lang w:val="en-US"/>
        </w:rPr>
        <w:t xml:space="preserve">Unreported, </w:t>
      </w:r>
      <w:r w:rsidR="00EC74F0">
        <w:rPr>
          <w:lang w:val="en-US"/>
        </w:rPr>
        <w:t>Case no. CA 105/2021, Eastern Cape Division, Makhanda</w:t>
      </w:r>
      <w:r w:rsidR="008902CA">
        <w:rPr>
          <w:lang w:val="en-US"/>
        </w:rPr>
        <w:t>.</w:t>
      </w:r>
    </w:p>
  </w:footnote>
  <w:footnote w:id="29">
    <w:p w14:paraId="55CF9B87" w14:textId="1F826192" w:rsidR="00985F31" w:rsidRPr="00985F31" w:rsidRDefault="00985F31" w:rsidP="001C79E7">
      <w:pPr>
        <w:pStyle w:val="FootnoteText"/>
        <w:jc w:val="both"/>
        <w:rPr>
          <w:lang w:val="en-US"/>
        </w:rPr>
      </w:pPr>
      <w:r>
        <w:rPr>
          <w:rStyle w:val="FootnoteReference"/>
        </w:rPr>
        <w:footnoteRef/>
      </w:r>
      <w:r>
        <w:t xml:space="preserve"> </w:t>
      </w:r>
      <w:r>
        <w:rPr>
          <w:lang w:val="en-US"/>
        </w:rPr>
        <w:t>See</w:t>
      </w:r>
      <w:r w:rsidR="001136C4">
        <w:rPr>
          <w:lang w:val="en-US"/>
        </w:rPr>
        <w:t xml:space="preserve"> </w:t>
      </w:r>
      <w:r w:rsidR="007A44A7" w:rsidRPr="00601930">
        <w:rPr>
          <w:i/>
          <w:iCs/>
          <w:lang w:val="en-US"/>
        </w:rPr>
        <w:t>Rahim and others v Minister of Home Affairs</w:t>
      </w:r>
      <w:r w:rsidR="007A44A7">
        <w:rPr>
          <w:lang w:val="en-US"/>
        </w:rPr>
        <w:t xml:space="preserve"> </w:t>
      </w:r>
      <w:r w:rsidR="008C5332">
        <w:rPr>
          <w:lang w:val="en-US"/>
        </w:rPr>
        <w:t>2015 (4) SA 433 (SCA)</w:t>
      </w:r>
      <w:r w:rsidR="00BA63F4">
        <w:rPr>
          <w:lang w:val="en-US"/>
        </w:rPr>
        <w:t xml:space="preserve">. Also see </w:t>
      </w:r>
      <w:r w:rsidR="00BA63F4" w:rsidRPr="00601930">
        <w:rPr>
          <w:i/>
          <w:iCs/>
          <w:lang w:val="en-US"/>
        </w:rPr>
        <w:t>Madze</w:t>
      </w:r>
      <w:r w:rsidR="00601930">
        <w:rPr>
          <w:lang w:val="en-US"/>
        </w:rPr>
        <w:t xml:space="preserve">, n 21, </w:t>
      </w:r>
      <w:r w:rsidR="00601930" w:rsidRPr="00601930">
        <w:rPr>
          <w:i/>
          <w:iCs/>
          <w:lang w:val="en-US"/>
        </w:rPr>
        <w:t>supra</w:t>
      </w:r>
      <w:r w:rsidR="00601930">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899612"/>
      <w:docPartObj>
        <w:docPartGallery w:val="Page Numbers (Top of Page)"/>
        <w:docPartUnique/>
      </w:docPartObj>
    </w:sdtPr>
    <w:sdtEndPr>
      <w:rPr>
        <w:noProof/>
      </w:rPr>
    </w:sdtEndPr>
    <w:sdtContent>
      <w:p w14:paraId="4B4F08BF" w14:textId="33766F66" w:rsidR="00177A41" w:rsidRDefault="00177A41">
        <w:pPr>
          <w:pStyle w:val="Header"/>
          <w:jc w:val="center"/>
        </w:pPr>
        <w:r>
          <w:fldChar w:fldCharType="begin"/>
        </w:r>
        <w:r>
          <w:instrText xml:space="preserve"> PAGE   \* MERGEFORMAT </w:instrText>
        </w:r>
        <w:r>
          <w:fldChar w:fldCharType="separate"/>
        </w:r>
        <w:r w:rsidR="00C232A6">
          <w:rPr>
            <w:noProof/>
          </w:rPr>
          <w:t>2</w:t>
        </w:r>
        <w:r>
          <w:rPr>
            <w:noProof/>
          </w:rPr>
          <w:fldChar w:fldCharType="end"/>
        </w:r>
      </w:p>
    </w:sdtContent>
  </w:sdt>
  <w:p w14:paraId="6A0DF152" w14:textId="77777777" w:rsidR="00177A41" w:rsidRDefault="00177A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86F68"/>
    <w:multiLevelType w:val="hybridMultilevel"/>
    <w:tmpl w:val="B3EABBC8"/>
    <w:lvl w:ilvl="0" w:tplc="0CBE509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225978F9"/>
    <w:multiLevelType w:val="hybridMultilevel"/>
    <w:tmpl w:val="542C9BBC"/>
    <w:lvl w:ilvl="0" w:tplc="2D44E9C2">
      <w:start w:val="1"/>
      <w:numFmt w:val="lowerLetter"/>
      <w:lvlText w:val="(%1)"/>
      <w:lvlJc w:val="left"/>
      <w:pPr>
        <w:ind w:left="731" w:hanging="360"/>
      </w:pPr>
      <w:rPr>
        <w:rFonts w:hint="default"/>
      </w:rPr>
    </w:lvl>
    <w:lvl w:ilvl="1" w:tplc="04090019" w:tentative="1">
      <w:start w:val="1"/>
      <w:numFmt w:val="lowerLetter"/>
      <w:lvlText w:val="%2."/>
      <w:lvlJc w:val="left"/>
      <w:pPr>
        <w:ind w:left="1451" w:hanging="360"/>
      </w:pPr>
    </w:lvl>
    <w:lvl w:ilvl="2" w:tplc="0409001B" w:tentative="1">
      <w:start w:val="1"/>
      <w:numFmt w:val="lowerRoman"/>
      <w:lvlText w:val="%3."/>
      <w:lvlJc w:val="right"/>
      <w:pPr>
        <w:ind w:left="2171" w:hanging="180"/>
      </w:pPr>
    </w:lvl>
    <w:lvl w:ilvl="3" w:tplc="0409000F" w:tentative="1">
      <w:start w:val="1"/>
      <w:numFmt w:val="decimal"/>
      <w:lvlText w:val="%4."/>
      <w:lvlJc w:val="left"/>
      <w:pPr>
        <w:ind w:left="2891" w:hanging="360"/>
      </w:pPr>
    </w:lvl>
    <w:lvl w:ilvl="4" w:tplc="04090019" w:tentative="1">
      <w:start w:val="1"/>
      <w:numFmt w:val="lowerLetter"/>
      <w:lvlText w:val="%5."/>
      <w:lvlJc w:val="left"/>
      <w:pPr>
        <w:ind w:left="3611" w:hanging="360"/>
      </w:pPr>
    </w:lvl>
    <w:lvl w:ilvl="5" w:tplc="0409001B" w:tentative="1">
      <w:start w:val="1"/>
      <w:numFmt w:val="lowerRoman"/>
      <w:lvlText w:val="%6."/>
      <w:lvlJc w:val="right"/>
      <w:pPr>
        <w:ind w:left="4331" w:hanging="180"/>
      </w:pPr>
    </w:lvl>
    <w:lvl w:ilvl="6" w:tplc="0409000F" w:tentative="1">
      <w:start w:val="1"/>
      <w:numFmt w:val="decimal"/>
      <w:lvlText w:val="%7."/>
      <w:lvlJc w:val="left"/>
      <w:pPr>
        <w:ind w:left="5051" w:hanging="360"/>
      </w:pPr>
    </w:lvl>
    <w:lvl w:ilvl="7" w:tplc="04090019" w:tentative="1">
      <w:start w:val="1"/>
      <w:numFmt w:val="lowerLetter"/>
      <w:lvlText w:val="%8."/>
      <w:lvlJc w:val="left"/>
      <w:pPr>
        <w:ind w:left="5771" w:hanging="360"/>
      </w:pPr>
    </w:lvl>
    <w:lvl w:ilvl="8" w:tplc="0409001B" w:tentative="1">
      <w:start w:val="1"/>
      <w:numFmt w:val="lowerRoman"/>
      <w:lvlText w:val="%9."/>
      <w:lvlJc w:val="right"/>
      <w:pPr>
        <w:ind w:left="6491" w:hanging="180"/>
      </w:pPr>
    </w:lvl>
  </w:abstractNum>
  <w:abstractNum w:abstractNumId="2">
    <w:nsid w:val="2B581B73"/>
    <w:multiLevelType w:val="hybridMultilevel"/>
    <w:tmpl w:val="9F30633A"/>
    <w:lvl w:ilvl="0" w:tplc="0CBE509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3E8235F9"/>
    <w:multiLevelType w:val="hybridMultilevel"/>
    <w:tmpl w:val="90CEA8E0"/>
    <w:lvl w:ilvl="0" w:tplc="0CBE509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5EF762E0"/>
    <w:multiLevelType w:val="hybridMultilevel"/>
    <w:tmpl w:val="E13AFC26"/>
    <w:lvl w:ilvl="0" w:tplc="0CBE509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7ABB2970"/>
    <w:multiLevelType w:val="hybridMultilevel"/>
    <w:tmpl w:val="B5E46872"/>
    <w:lvl w:ilvl="0" w:tplc="0CBE509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D2D"/>
    <w:rsid w:val="00000724"/>
    <w:rsid w:val="00004241"/>
    <w:rsid w:val="00022827"/>
    <w:rsid w:val="000306A2"/>
    <w:rsid w:val="000314BC"/>
    <w:rsid w:val="00035DF1"/>
    <w:rsid w:val="00036108"/>
    <w:rsid w:val="000403CF"/>
    <w:rsid w:val="00042F10"/>
    <w:rsid w:val="000461BD"/>
    <w:rsid w:val="00060417"/>
    <w:rsid w:val="00062710"/>
    <w:rsid w:val="00067528"/>
    <w:rsid w:val="0007072D"/>
    <w:rsid w:val="00072257"/>
    <w:rsid w:val="00074BE7"/>
    <w:rsid w:val="0007695A"/>
    <w:rsid w:val="00085F24"/>
    <w:rsid w:val="00091C1C"/>
    <w:rsid w:val="0009595A"/>
    <w:rsid w:val="000A3D3D"/>
    <w:rsid w:val="000A43F2"/>
    <w:rsid w:val="000A47FC"/>
    <w:rsid w:val="000A485F"/>
    <w:rsid w:val="000B6394"/>
    <w:rsid w:val="000C6E80"/>
    <w:rsid w:val="000D74DF"/>
    <w:rsid w:val="000D7C80"/>
    <w:rsid w:val="000E4587"/>
    <w:rsid w:val="000E4B97"/>
    <w:rsid w:val="000E75CC"/>
    <w:rsid w:val="000E7742"/>
    <w:rsid w:val="000F2BD2"/>
    <w:rsid w:val="000F4015"/>
    <w:rsid w:val="000F5D19"/>
    <w:rsid w:val="0010187B"/>
    <w:rsid w:val="001125D5"/>
    <w:rsid w:val="001136C4"/>
    <w:rsid w:val="001211B3"/>
    <w:rsid w:val="00125D7D"/>
    <w:rsid w:val="0012601B"/>
    <w:rsid w:val="00126BD6"/>
    <w:rsid w:val="0013477D"/>
    <w:rsid w:val="00135214"/>
    <w:rsid w:val="00136216"/>
    <w:rsid w:val="00137217"/>
    <w:rsid w:val="0015171C"/>
    <w:rsid w:val="00151A68"/>
    <w:rsid w:val="0015790F"/>
    <w:rsid w:val="00160F5C"/>
    <w:rsid w:val="00161BE1"/>
    <w:rsid w:val="001629C0"/>
    <w:rsid w:val="0016397F"/>
    <w:rsid w:val="00170CDB"/>
    <w:rsid w:val="00177A41"/>
    <w:rsid w:val="001838D5"/>
    <w:rsid w:val="001916FC"/>
    <w:rsid w:val="00195644"/>
    <w:rsid w:val="001A0075"/>
    <w:rsid w:val="001A4C39"/>
    <w:rsid w:val="001B090F"/>
    <w:rsid w:val="001B2644"/>
    <w:rsid w:val="001B3C48"/>
    <w:rsid w:val="001B4DE5"/>
    <w:rsid w:val="001B520A"/>
    <w:rsid w:val="001B5BA4"/>
    <w:rsid w:val="001C062D"/>
    <w:rsid w:val="001C0CA3"/>
    <w:rsid w:val="001C49F5"/>
    <w:rsid w:val="001C79E7"/>
    <w:rsid w:val="001D204B"/>
    <w:rsid w:val="001D39D3"/>
    <w:rsid w:val="001D6C21"/>
    <w:rsid w:val="001D7C9E"/>
    <w:rsid w:val="001E224E"/>
    <w:rsid w:val="001E241F"/>
    <w:rsid w:val="001E2548"/>
    <w:rsid w:val="001E3B19"/>
    <w:rsid w:val="001E6543"/>
    <w:rsid w:val="001E6A9D"/>
    <w:rsid w:val="001E6ED5"/>
    <w:rsid w:val="001F0B22"/>
    <w:rsid w:val="001F0FCB"/>
    <w:rsid w:val="001F39D4"/>
    <w:rsid w:val="001F44BD"/>
    <w:rsid w:val="0020081F"/>
    <w:rsid w:val="0020222B"/>
    <w:rsid w:val="00202AD6"/>
    <w:rsid w:val="00206612"/>
    <w:rsid w:val="002066BB"/>
    <w:rsid w:val="002076B3"/>
    <w:rsid w:val="002079D8"/>
    <w:rsid w:val="002176DF"/>
    <w:rsid w:val="002325BF"/>
    <w:rsid w:val="0023431E"/>
    <w:rsid w:val="00237C11"/>
    <w:rsid w:val="002403C5"/>
    <w:rsid w:val="002418EF"/>
    <w:rsid w:val="00243589"/>
    <w:rsid w:val="00245BC9"/>
    <w:rsid w:val="0025276C"/>
    <w:rsid w:val="00272D2D"/>
    <w:rsid w:val="002730D0"/>
    <w:rsid w:val="00274EB2"/>
    <w:rsid w:val="0029045B"/>
    <w:rsid w:val="00291228"/>
    <w:rsid w:val="00291517"/>
    <w:rsid w:val="00294E45"/>
    <w:rsid w:val="002970FD"/>
    <w:rsid w:val="002A1D97"/>
    <w:rsid w:val="002A2178"/>
    <w:rsid w:val="002A4DDF"/>
    <w:rsid w:val="002A4ED9"/>
    <w:rsid w:val="002B0815"/>
    <w:rsid w:val="002B287F"/>
    <w:rsid w:val="002B2B90"/>
    <w:rsid w:val="002B6D5B"/>
    <w:rsid w:val="002C4BE2"/>
    <w:rsid w:val="002C4FC7"/>
    <w:rsid w:val="002C7D6F"/>
    <w:rsid w:val="002D16F8"/>
    <w:rsid w:val="002D699E"/>
    <w:rsid w:val="002E7B5F"/>
    <w:rsid w:val="002E7E81"/>
    <w:rsid w:val="002F3073"/>
    <w:rsid w:val="002F4AC2"/>
    <w:rsid w:val="002F7F71"/>
    <w:rsid w:val="00302F0D"/>
    <w:rsid w:val="00304FAF"/>
    <w:rsid w:val="003058B0"/>
    <w:rsid w:val="00311BD2"/>
    <w:rsid w:val="00311D99"/>
    <w:rsid w:val="003156A6"/>
    <w:rsid w:val="00322083"/>
    <w:rsid w:val="00322E54"/>
    <w:rsid w:val="00326402"/>
    <w:rsid w:val="00334EF2"/>
    <w:rsid w:val="00336B04"/>
    <w:rsid w:val="00336B1D"/>
    <w:rsid w:val="00337BE7"/>
    <w:rsid w:val="0034037E"/>
    <w:rsid w:val="003442F5"/>
    <w:rsid w:val="0034587F"/>
    <w:rsid w:val="00360A21"/>
    <w:rsid w:val="00371F88"/>
    <w:rsid w:val="003752E7"/>
    <w:rsid w:val="00375B45"/>
    <w:rsid w:val="003849E4"/>
    <w:rsid w:val="003856B8"/>
    <w:rsid w:val="00390C5D"/>
    <w:rsid w:val="00393865"/>
    <w:rsid w:val="003A7EDA"/>
    <w:rsid w:val="003B013B"/>
    <w:rsid w:val="003B0A9D"/>
    <w:rsid w:val="003B3BAF"/>
    <w:rsid w:val="003B6E9F"/>
    <w:rsid w:val="003C05A7"/>
    <w:rsid w:val="003C397C"/>
    <w:rsid w:val="003C3C42"/>
    <w:rsid w:val="003C4477"/>
    <w:rsid w:val="003C523C"/>
    <w:rsid w:val="003C7231"/>
    <w:rsid w:val="003D1822"/>
    <w:rsid w:val="003D2F97"/>
    <w:rsid w:val="003D56A0"/>
    <w:rsid w:val="003D72D9"/>
    <w:rsid w:val="003E0E60"/>
    <w:rsid w:val="003E582D"/>
    <w:rsid w:val="00400A48"/>
    <w:rsid w:val="00417CB8"/>
    <w:rsid w:val="004258E0"/>
    <w:rsid w:val="00426EDB"/>
    <w:rsid w:val="00430FCA"/>
    <w:rsid w:val="00433E1B"/>
    <w:rsid w:val="004368A4"/>
    <w:rsid w:val="00437E18"/>
    <w:rsid w:val="004444FE"/>
    <w:rsid w:val="00444566"/>
    <w:rsid w:val="00461F5B"/>
    <w:rsid w:val="0046201B"/>
    <w:rsid w:val="00462201"/>
    <w:rsid w:val="00462BDB"/>
    <w:rsid w:val="00464CAC"/>
    <w:rsid w:val="00471E4B"/>
    <w:rsid w:val="00474709"/>
    <w:rsid w:val="00474E16"/>
    <w:rsid w:val="00480D06"/>
    <w:rsid w:val="00481428"/>
    <w:rsid w:val="00491046"/>
    <w:rsid w:val="00494579"/>
    <w:rsid w:val="00495BC9"/>
    <w:rsid w:val="00496BBD"/>
    <w:rsid w:val="004A0A18"/>
    <w:rsid w:val="004A0D1A"/>
    <w:rsid w:val="004A3DA3"/>
    <w:rsid w:val="004A40AA"/>
    <w:rsid w:val="004A5A51"/>
    <w:rsid w:val="004A62CA"/>
    <w:rsid w:val="004B1548"/>
    <w:rsid w:val="004B71D1"/>
    <w:rsid w:val="004C783B"/>
    <w:rsid w:val="004D08E1"/>
    <w:rsid w:val="004D3DB7"/>
    <w:rsid w:val="004E4277"/>
    <w:rsid w:val="00501C58"/>
    <w:rsid w:val="0051096A"/>
    <w:rsid w:val="00513BD2"/>
    <w:rsid w:val="0051639E"/>
    <w:rsid w:val="005167CC"/>
    <w:rsid w:val="0051736C"/>
    <w:rsid w:val="00523396"/>
    <w:rsid w:val="005318FA"/>
    <w:rsid w:val="005419F5"/>
    <w:rsid w:val="005428BC"/>
    <w:rsid w:val="00545623"/>
    <w:rsid w:val="00546528"/>
    <w:rsid w:val="00552E33"/>
    <w:rsid w:val="005545F9"/>
    <w:rsid w:val="00560301"/>
    <w:rsid w:val="005636DA"/>
    <w:rsid w:val="00566F9D"/>
    <w:rsid w:val="005670E6"/>
    <w:rsid w:val="005672E3"/>
    <w:rsid w:val="00567668"/>
    <w:rsid w:val="00567AF9"/>
    <w:rsid w:val="0057053F"/>
    <w:rsid w:val="00572C0E"/>
    <w:rsid w:val="00576236"/>
    <w:rsid w:val="00577EA2"/>
    <w:rsid w:val="00581057"/>
    <w:rsid w:val="00593628"/>
    <w:rsid w:val="00596F4D"/>
    <w:rsid w:val="005A2671"/>
    <w:rsid w:val="005A3142"/>
    <w:rsid w:val="005B0B37"/>
    <w:rsid w:val="005B1846"/>
    <w:rsid w:val="005B4879"/>
    <w:rsid w:val="005D0426"/>
    <w:rsid w:val="005D3DF9"/>
    <w:rsid w:val="005D4B9F"/>
    <w:rsid w:val="005D5001"/>
    <w:rsid w:val="005E26EE"/>
    <w:rsid w:val="005E4454"/>
    <w:rsid w:val="005E5A79"/>
    <w:rsid w:val="005E766A"/>
    <w:rsid w:val="005F39D6"/>
    <w:rsid w:val="005F618D"/>
    <w:rsid w:val="00601930"/>
    <w:rsid w:val="00601C91"/>
    <w:rsid w:val="00602375"/>
    <w:rsid w:val="00602434"/>
    <w:rsid w:val="006029ED"/>
    <w:rsid w:val="006034E8"/>
    <w:rsid w:val="00603D9C"/>
    <w:rsid w:val="00607C28"/>
    <w:rsid w:val="00613D54"/>
    <w:rsid w:val="00614451"/>
    <w:rsid w:val="00614D00"/>
    <w:rsid w:val="00622ED0"/>
    <w:rsid w:val="00622F2A"/>
    <w:rsid w:val="006230AA"/>
    <w:rsid w:val="006347E7"/>
    <w:rsid w:val="00634EE7"/>
    <w:rsid w:val="00635192"/>
    <w:rsid w:val="00635B92"/>
    <w:rsid w:val="00643003"/>
    <w:rsid w:val="00643B73"/>
    <w:rsid w:val="00644316"/>
    <w:rsid w:val="00647397"/>
    <w:rsid w:val="00652C7E"/>
    <w:rsid w:val="00655425"/>
    <w:rsid w:val="00657E65"/>
    <w:rsid w:val="006662A3"/>
    <w:rsid w:val="00673A82"/>
    <w:rsid w:val="00685BEF"/>
    <w:rsid w:val="00686B7A"/>
    <w:rsid w:val="00690226"/>
    <w:rsid w:val="00690703"/>
    <w:rsid w:val="00692282"/>
    <w:rsid w:val="00693894"/>
    <w:rsid w:val="006938A0"/>
    <w:rsid w:val="00693F54"/>
    <w:rsid w:val="00694652"/>
    <w:rsid w:val="006A212A"/>
    <w:rsid w:val="006A5E4C"/>
    <w:rsid w:val="006A721C"/>
    <w:rsid w:val="006B0CC0"/>
    <w:rsid w:val="006C1313"/>
    <w:rsid w:val="006C1A0E"/>
    <w:rsid w:val="006C36D7"/>
    <w:rsid w:val="006D5E1C"/>
    <w:rsid w:val="006F5D0A"/>
    <w:rsid w:val="006F6769"/>
    <w:rsid w:val="0070126C"/>
    <w:rsid w:val="00707D31"/>
    <w:rsid w:val="007164FA"/>
    <w:rsid w:val="00721BA0"/>
    <w:rsid w:val="007220AD"/>
    <w:rsid w:val="0072330A"/>
    <w:rsid w:val="0072578F"/>
    <w:rsid w:val="00727957"/>
    <w:rsid w:val="00732CDD"/>
    <w:rsid w:val="00735EDE"/>
    <w:rsid w:val="00736F06"/>
    <w:rsid w:val="00744687"/>
    <w:rsid w:val="007453A7"/>
    <w:rsid w:val="007527A3"/>
    <w:rsid w:val="00765CD3"/>
    <w:rsid w:val="00770F4F"/>
    <w:rsid w:val="00776463"/>
    <w:rsid w:val="00782783"/>
    <w:rsid w:val="007835EA"/>
    <w:rsid w:val="00784906"/>
    <w:rsid w:val="0078575A"/>
    <w:rsid w:val="00792273"/>
    <w:rsid w:val="00793F0C"/>
    <w:rsid w:val="007A3743"/>
    <w:rsid w:val="007A44A7"/>
    <w:rsid w:val="007A4B3C"/>
    <w:rsid w:val="007A745A"/>
    <w:rsid w:val="007B2F63"/>
    <w:rsid w:val="007C025D"/>
    <w:rsid w:val="007C53D2"/>
    <w:rsid w:val="007D1EB9"/>
    <w:rsid w:val="007D2B21"/>
    <w:rsid w:val="007E057A"/>
    <w:rsid w:val="007E3CD2"/>
    <w:rsid w:val="007E55DB"/>
    <w:rsid w:val="007F2F53"/>
    <w:rsid w:val="007F36A9"/>
    <w:rsid w:val="007F497F"/>
    <w:rsid w:val="00803ADB"/>
    <w:rsid w:val="00805072"/>
    <w:rsid w:val="00805965"/>
    <w:rsid w:val="008072E6"/>
    <w:rsid w:val="00811842"/>
    <w:rsid w:val="008132CF"/>
    <w:rsid w:val="00813B20"/>
    <w:rsid w:val="00814D12"/>
    <w:rsid w:val="00816347"/>
    <w:rsid w:val="0082101F"/>
    <w:rsid w:val="00821762"/>
    <w:rsid w:val="0082601F"/>
    <w:rsid w:val="008338E9"/>
    <w:rsid w:val="00845B7A"/>
    <w:rsid w:val="008531BA"/>
    <w:rsid w:val="00856D33"/>
    <w:rsid w:val="00856D38"/>
    <w:rsid w:val="0085794A"/>
    <w:rsid w:val="00857E79"/>
    <w:rsid w:val="008643C0"/>
    <w:rsid w:val="00883A1D"/>
    <w:rsid w:val="00885117"/>
    <w:rsid w:val="008851AC"/>
    <w:rsid w:val="008902CA"/>
    <w:rsid w:val="00893E38"/>
    <w:rsid w:val="008B26E2"/>
    <w:rsid w:val="008B4FD7"/>
    <w:rsid w:val="008B5CBF"/>
    <w:rsid w:val="008C2727"/>
    <w:rsid w:val="008C5332"/>
    <w:rsid w:val="008D4542"/>
    <w:rsid w:val="008D5B2E"/>
    <w:rsid w:val="008E4909"/>
    <w:rsid w:val="008F1841"/>
    <w:rsid w:val="008F2486"/>
    <w:rsid w:val="008F3225"/>
    <w:rsid w:val="009001ED"/>
    <w:rsid w:val="009065F5"/>
    <w:rsid w:val="009109EE"/>
    <w:rsid w:val="00923056"/>
    <w:rsid w:val="00925EB1"/>
    <w:rsid w:val="00926AFF"/>
    <w:rsid w:val="0093109C"/>
    <w:rsid w:val="009315B8"/>
    <w:rsid w:val="009327F2"/>
    <w:rsid w:val="00934231"/>
    <w:rsid w:val="009375DA"/>
    <w:rsid w:val="00941448"/>
    <w:rsid w:val="00942DA0"/>
    <w:rsid w:val="00945DCF"/>
    <w:rsid w:val="009462C7"/>
    <w:rsid w:val="00946A64"/>
    <w:rsid w:val="009560C2"/>
    <w:rsid w:val="00963EB6"/>
    <w:rsid w:val="00985F31"/>
    <w:rsid w:val="00986A06"/>
    <w:rsid w:val="0099172A"/>
    <w:rsid w:val="00997FBE"/>
    <w:rsid w:val="009A0BD8"/>
    <w:rsid w:val="009A0E68"/>
    <w:rsid w:val="009A2B32"/>
    <w:rsid w:val="009A2FA7"/>
    <w:rsid w:val="009A4747"/>
    <w:rsid w:val="009A4B0D"/>
    <w:rsid w:val="009B251C"/>
    <w:rsid w:val="009B2C6C"/>
    <w:rsid w:val="009B512A"/>
    <w:rsid w:val="009B6914"/>
    <w:rsid w:val="009C061F"/>
    <w:rsid w:val="009C0B98"/>
    <w:rsid w:val="009C161C"/>
    <w:rsid w:val="009C60A3"/>
    <w:rsid w:val="009C7316"/>
    <w:rsid w:val="009D16D8"/>
    <w:rsid w:val="009E42A9"/>
    <w:rsid w:val="009E49C6"/>
    <w:rsid w:val="009E52CD"/>
    <w:rsid w:val="009E59A7"/>
    <w:rsid w:val="009F6251"/>
    <w:rsid w:val="009F7A84"/>
    <w:rsid w:val="00A04DFD"/>
    <w:rsid w:val="00A06509"/>
    <w:rsid w:val="00A07313"/>
    <w:rsid w:val="00A151C1"/>
    <w:rsid w:val="00A23D4F"/>
    <w:rsid w:val="00A261E9"/>
    <w:rsid w:val="00A26CB3"/>
    <w:rsid w:val="00A31852"/>
    <w:rsid w:val="00A35B82"/>
    <w:rsid w:val="00A36213"/>
    <w:rsid w:val="00A54A7C"/>
    <w:rsid w:val="00A61A35"/>
    <w:rsid w:val="00A61EEE"/>
    <w:rsid w:val="00A67186"/>
    <w:rsid w:val="00A778CA"/>
    <w:rsid w:val="00A77A8E"/>
    <w:rsid w:val="00A81DE3"/>
    <w:rsid w:val="00A87AA9"/>
    <w:rsid w:val="00A87BFD"/>
    <w:rsid w:val="00A94AC1"/>
    <w:rsid w:val="00AA0952"/>
    <w:rsid w:val="00AA34A4"/>
    <w:rsid w:val="00AA687C"/>
    <w:rsid w:val="00AB156D"/>
    <w:rsid w:val="00AB2F60"/>
    <w:rsid w:val="00AB4EE8"/>
    <w:rsid w:val="00AB694E"/>
    <w:rsid w:val="00AC2924"/>
    <w:rsid w:val="00AC29E4"/>
    <w:rsid w:val="00AC3582"/>
    <w:rsid w:val="00AD2903"/>
    <w:rsid w:val="00AD361E"/>
    <w:rsid w:val="00AD77DF"/>
    <w:rsid w:val="00AE06D1"/>
    <w:rsid w:val="00AE0DB1"/>
    <w:rsid w:val="00AE5524"/>
    <w:rsid w:val="00AE67CC"/>
    <w:rsid w:val="00AF4B08"/>
    <w:rsid w:val="00AF4FA6"/>
    <w:rsid w:val="00AF6554"/>
    <w:rsid w:val="00AF76EA"/>
    <w:rsid w:val="00B074DA"/>
    <w:rsid w:val="00B10A49"/>
    <w:rsid w:val="00B168F6"/>
    <w:rsid w:val="00B22CA2"/>
    <w:rsid w:val="00B24CC6"/>
    <w:rsid w:val="00B330B6"/>
    <w:rsid w:val="00B374AC"/>
    <w:rsid w:val="00B40399"/>
    <w:rsid w:val="00B40481"/>
    <w:rsid w:val="00B4076A"/>
    <w:rsid w:val="00B44673"/>
    <w:rsid w:val="00B55E2A"/>
    <w:rsid w:val="00B57E92"/>
    <w:rsid w:val="00B612A7"/>
    <w:rsid w:val="00B62DB7"/>
    <w:rsid w:val="00B6477B"/>
    <w:rsid w:val="00B6544A"/>
    <w:rsid w:val="00B702E2"/>
    <w:rsid w:val="00B70A86"/>
    <w:rsid w:val="00B72ED9"/>
    <w:rsid w:val="00B81BCD"/>
    <w:rsid w:val="00B826D1"/>
    <w:rsid w:val="00B863F4"/>
    <w:rsid w:val="00B955C5"/>
    <w:rsid w:val="00B95E6C"/>
    <w:rsid w:val="00B97B52"/>
    <w:rsid w:val="00BA09D5"/>
    <w:rsid w:val="00BA45E7"/>
    <w:rsid w:val="00BA63F4"/>
    <w:rsid w:val="00BA7DCA"/>
    <w:rsid w:val="00BC33EC"/>
    <w:rsid w:val="00BD05FE"/>
    <w:rsid w:val="00BD5330"/>
    <w:rsid w:val="00BE22E4"/>
    <w:rsid w:val="00BE741C"/>
    <w:rsid w:val="00BF1CD7"/>
    <w:rsid w:val="00C03D02"/>
    <w:rsid w:val="00C04FBC"/>
    <w:rsid w:val="00C06B3A"/>
    <w:rsid w:val="00C11ECC"/>
    <w:rsid w:val="00C21025"/>
    <w:rsid w:val="00C232A6"/>
    <w:rsid w:val="00C23387"/>
    <w:rsid w:val="00C369F9"/>
    <w:rsid w:val="00C37FC1"/>
    <w:rsid w:val="00C42579"/>
    <w:rsid w:val="00C4431F"/>
    <w:rsid w:val="00C4776D"/>
    <w:rsid w:val="00C51212"/>
    <w:rsid w:val="00C642A4"/>
    <w:rsid w:val="00C83CBE"/>
    <w:rsid w:val="00C8477A"/>
    <w:rsid w:val="00C85676"/>
    <w:rsid w:val="00C94D8A"/>
    <w:rsid w:val="00C95CDA"/>
    <w:rsid w:val="00CA1428"/>
    <w:rsid w:val="00CA5152"/>
    <w:rsid w:val="00CA78D9"/>
    <w:rsid w:val="00CA7AE8"/>
    <w:rsid w:val="00CB1435"/>
    <w:rsid w:val="00CB4C7B"/>
    <w:rsid w:val="00CB5A9F"/>
    <w:rsid w:val="00CC5D35"/>
    <w:rsid w:val="00CD00A2"/>
    <w:rsid w:val="00CD0BDB"/>
    <w:rsid w:val="00CD1E04"/>
    <w:rsid w:val="00CE0D28"/>
    <w:rsid w:val="00CE7712"/>
    <w:rsid w:val="00CF1155"/>
    <w:rsid w:val="00CF3403"/>
    <w:rsid w:val="00CF5258"/>
    <w:rsid w:val="00D00AE5"/>
    <w:rsid w:val="00D11766"/>
    <w:rsid w:val="00D13C69"/>
    <w:rsid w:val="00D15C3A"/>
    <w:rsid w:val="00D228D4"/>
    <w:rsid w:val="00D27443"/>
    <w:rsid w:val="00D3122A"/>
    <w:rsid w:val="00D36348"/>
    <w:rsid w:val="00D41129"/>
    <w:rsid w:val="00D473FE"/>
    <w:rsid w:val="00D503FC"/>
    <w:rsid w:val="00D519CB"/>
    <w:rsid w:val="00D55E92"/>
    <w:rsid w:val="00D602C0"/>
    <w:rsid w:val="00D603FC"/>
    <w:rsid w:val="00D605CB"/>
    <w:rsid w:val="00D612C3"/>
    <w:rsid w:val="00D61DCB"/>
    <w:rsid w:val="00D64EF3"/>
    <w:rsid w:val="00D64F59"/>
    <w:rsid w:val="00D66187"/>
    <w:rsid w:val="00D6770C"/>
    <w:rsid w:val="00D7241B"/>
    <w:rsid w:val="00D750A1"/>
    <w:rsid w:val="00D77C21"/>
    <w:rsid w:val="00D847D3"/>
    <w:rsid w:val="00D9063C"/>
    <w:rsid w:val="00D96A3C"/>
    <w:rsid w:val="00DA4D15"/>
    <w:rsid w:val="00DA5B25"/>
    <w:rsid w:val="00DC15BF"/>
    <w:rsid w:val="00DD09F3"/>
    <w:rsid w:val="00DD3E96"/>
    <w:rsid w:val="00DE3182"/>
    <w:rsid w:val="00DE66DF"/>
    <w:rsid w:val="00DE6969"/>
    <w:rsid w:val="00E00BEF"/>
    <w:rsid w:val="00E03F4E"/>
    <w:rsid w:val="00E05B06"/>
    <w:rsid w:val="00E1192E"/>
    <w:rsid w:val="00E12A6F"/>
    <w:rsid w:val="00E16B3C"/>
    <w:rsid w:val="00E21754"/>
    <w:rsid w:val="00E23B16"/>
    <w:rsid w:val="00E24902"/>
    <w:rsid w:val="00E31A53"/>
    <w:rsid w:val="00E321A0"/>
    <w:rsid w:val="00E32D01"/>
    <w:rsid w:val="00E3685E"/>
    <w:rsid w:val="00E41C2F"/>
    <w:rsid w:val="00E429AD"/>
    <w:rsid w:val="00E440DA"/>
    <w:rsid w:val="00E53A2C"/>
    <w:rsid w:val="00E6595B"/>
    <w:rsid w:val="00E71429"/>
    <w:rsid w:val="00E7415B"/>
    <w:rsid w:val="00E752B2"/>
    <w:rsid w:val="00E810CC"/>
    <w:rsid w:val="00E816AE"/>
    <w:rsid w:val="00E83CF4"/>
    <w:rsid w:val="00E91525"/>
    <w:rsid w:val="00EA023E"/>
    <w:rsid w:val="00EA298B"/>
    <w:rsid w:val="00EA37BE"/>
    <w:rsid w:val="00EB7F3D"/>
    <w:rsid w:val="00EC0D2D"/>
    <w:rsid w:val="00EC3CD3"/>
    <w:rsid w:val="00EC69B9"/>
    <w:rsid w:val="00EC6F40"/>
    <w:rsid w:val="00EC74F0"/>
    <w:rsid w:val="00ED0662"/>
    <w:rsid w:val="00ED2BB5"/>
    <w:rsid w:val="00ED5721"/>
    <w:rsid w:val="00EE17FB"/>
    <w:rsid w:val="00EE24D6"/>
    <w:rsid w:val="00EE481D"/>
    <w:rsid w:val="00EE560F"/>
    <w:rsid w:val="00EF316A"/>
    <w:rsid w:val="00EF3591"/>
    <w:rsid w:val="00F01C19"/>
    <w:rsid w:val="00F10A64"/>
    <w:rsid w:val="00F11593"/>
    <w:rsid w:val="00F14205"/>
    <w:rsid w:val="00F172E6"/>
    <w:rsid w:val="00F21BD3"/>
    <w:rsid w:val="00F271CE"/>
    <w:rsid w:val="00F33595"/>
    <w:rsid w:val="00F40571"/>
    <w:rsid w:val="00F52EFA"/>
    <w:rsid w:val="00F551D4"/>
    <w:rsid w:val="00F66B78"/>
    <w:rsid w:val="00F727AD"/>
    <w:rsid w:val="00F800C5"/>
    <w:rsid w:val="00F814EE"/>
    <w:rsid w:val="00FA0A0D"/>
    <w:rsid w:val="00FA6A3A"/>
    <w:rsid w:val="00FB0572"/>
    <w:rsid w:val="00FC393C"/>
    <w:rsid w:val="00FC61D1"/>
    <w:rsid w:val="00FC6518"/>
    <w:rsid w:val="00FD64CD"/>
    <w:rsid w:val="00FE08A4"/>
    <w:rsid w:val="00FE18D9"/>
    <w:rsid w:val="00FE49F5"/>
    <w:rsid w:val="00FE7744"/>
    <w:rsid w:val="00FF2A6C"/>
    <w:rsid w:val="00FF6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FBF95"/>
  <w15:chartTrackingRefBased/>
  <w15:docId w15:val="{14D835ED-1F1A-4B1B-A5D2-FC07AFB49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F39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39D4"/>
    <w:rPr>
      <w:sz w:val="20"/>
      <w:szCs w:val="20"/>
      <w:lang w:val="en-ZA"/>
    </w:rPr>
  </w:style>
  <w:style w:type="character" w:styleId="FootnoteReference">
    <w:name w:val="footnote reference"/>
    <w:basedOn w:val="DefaultParagraphFont"/>
    <w:uiPriority w:val="99"/>
    <w:semiHidden/>
    <w:unhideWhenUsed/>
    <w:rsid w:val="001F39D4"/>
    <w:rPr>
      <w:vertAlign w:val="superscript"/>
    </w:rPr>
  </w:style>
  <w:style w:type="paragraph" w:styleId="ListParagraph">
    <w:name w:val="List Paragraph"/>
    <w:basedOn w:val="Normal"/>
    <w:uiPriority w:val="34"/>
    <w:qFormat/>
    <w:rsid w:val="00000724"/>
    <w:pPr>
      <w:ind w:left="720"/>
      <w:contextualSpacing/>
    </w:pPr>
  </w:style>
  <w:style w:type="paragraph" w:styleId="Header">
    <w:name w:val="header"/>
    <w:basedOn w:val="Normal"/>
    <w:link w:val="HeaderChar"/>
    <w:uiPriority w:val="99"/>
    <w:unhideWhenUsed/>
    <w:rsid w:val="00177A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7A41"/>
    <w:rPr>
      <w:lang w:val="en-ZA"/>
    </w:rPr>
  </w:style>
  <w:style w:type="paragraph" w:styleId="Footer">
    <w:name w:val="footer"/>
    <w:basedOn w:val="Normal"/>
    <w:link w:val="FooterChar"/>
    <w:uiPriority w:val="99"/>
    <w:unhideWhenUsed/>
    <w:rsid w:val="00177A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7A41"/>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3704</Words>
  <Characters>21119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 Justin Laing</dc:creator>
  <cp:keywords/>
  <dc:description/>
  <cp:lastModifiedBy>Mokone</cp:lastModifiedBy>
  <cp:revision>3</cp:revision>
  <dcterms:created xsi:type="dcterms:W3CDTF">2023-04-06T08:01:00Z</dcterms:created>
  <dcterms:modified xsi:type="dcterms:W3CDTF">2023-04-06T08:02:00Z</dcterms:modified>
</cp:coreProperties>
</file>