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val="en-US"/>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14B7039C" w:rsidR="00D450B5" w:rsidRPr="00044B50" w:rsidRDefault="00D450B5" w:rsidP="00772E4B">
      <w:pPr>
        <w:jc w:val="center"/>
        <w:rPr>
          <w:b/>
          <w:bCs/>
          <w:lang w:val="en-GB"/>
        </w:rPr>
      </w:pPr>
      <w:r w:rsidRPr="00044B50">
        <w:rPr>
          <w:b/>
          <w:bCs/>
          <w:lang w:val="en-GB"/>
        </w:rPr>
        <w:t xml:space="preserve">(EASTERN CAPE DIVISION, </w:t>
      </w:r>
      <w:r w:rsidR="00CA0129">
        <w:rPr>
          <w:b/>
          <w:bCs/>
          <w:lang w:val="en-GB"/>
        </w:rPr>
        <w:t>MAKHANDA</w:t>
      </w:r>
      <w:r w:rsidRPr="00044B50">
        <w:rPr>
          <w:b/>
          <w:bCs/>
          <w:lang w:val="en-GB"/>
        </w:rPr>
        <w:t>)</w:t>
      </w:r>
    </w:p>
    <w:p w14:paraId="260381A7" w14:textId="77777777" w:rsidR="00D450B5" w:rsidRPr="00044B50" w:rsidRDefault="00D450B5" w:rsidP="00772E4B">
      <w:pPr>
        <w:widowControl w:val="0"/>
        <w:jc w:val="both"/>
        <w:rPr>
          <w:spacing w:val="14"/>
          <w:kern w:val="2"/>
          <w:u w:val="single"/>
          <w:lang w:val="en-GB"/>
        </w:rPr>
      </w:pPr>
    </w:p>
    <w:p w14:paraId="434E4AD9" w14:textId="77777777" w:rsidR="00D450B5" w:rsidRPr="00044B50" w:rsidRDefault="00D450B5" w:rsidP="00772E4B">
      <w:pPr>
        <w:ind w:right="-52"/>
        <w:jc w:val="center"/>
        <w:rPr>
          <w:b/>
          <w:bCs/>
          <w:lang w:val="en-GB"/>
        </w:rPr>
      </w:pPr>
      <w:r w:rsidRPr="00044B50">
        <w:rPr>
          <w:lang w:val="en-GB"/>
        </w:rPr>
        <w:t xml:space="preserve">                                                                                           </w:t>
      </w:r>
      <w:r w:rsidRPr="00044B50">
        <w:rPr>
          <w:b/>
          <w:bCs/>
          <w:lang w:val="en-GB"/>
        </w:rPr>
        <w:t xml:space="preserve">NOT REPORTABLE                                     </w:t>
      </w:r>
    </w:p>
    <w:p w14:paraId="4934DB4B" w14:textId="4D40FF04" w:rsidR="00E44987" w:rsidRPr="00044B50" w:rsidRDefault="00E44987" w:rsidP="0046744C">
      <w:pPr>
        <w:jc w:val="center"/>
        <w:rPr>
          <w:lang w:val="en-GB"/>
        </w:rPr>
      </w:pPr>
      <w:r w:rsidRPr="00044B50">
        <w:rPr>
          <w:lang w:val="en-GB"/>
        </w:rPr>
        <w:t xml:space="preserve">    </w:t>
      </w:r>
      <w:r w:rsidR="0046744C">
        <w:rPr>
          <w:lang w:val="en-GB"/>
        </w:rPr>
        <w:t xml:space="preserve">                        </w:t>
      </w:r>
      <w:r w:rsidRPr="00044B50">
        <w:rPr>
          <w:lang w:val="en-GB"/>
        </w:rPr>
        <w:t xml:space="preserve">                                                   </w:t>
      </w:r>
      <w:r w:rsidR="0046744C">
        <w:rPr>
          <w:lang w:val="en-GB"/>
        </w:rPr>
        <w:t xml:space="preserve">                  </w:t>
      </w:r>
      <w:r w:rsidRPr="00044B50">
        <w:rPr>
          <w:lang w:val="en-GB"/>
        </w:rPr>
        <w:t xml:space="preserve">Case no: </w:t>
      </w:r>
      <w:r w:rsidR="000C0C59">
        <w:rPr>
          <w:lang w:val="en-GB"/>
        </w:rPr>
        <w:t>2</w:t>
      </w:r>
      <w:r w:rsidR="0046744C">
        <w:rPr>
          <w:lang w:val="en-GB"/>
        </w:rPr>
        <w:t>2/202</w:t>
      </w:r>
      <w:r w:rsidR="000C0C59">
        <w:rPr>
          <w:lang w:val="en-GB"/>
        </w:rPr>
        <w:t>2</w:t>
      </w:r>
    </w:p>
    <w:p w14:paraId="13EEBE4B" w14:textId="77777777" w:rsidR="00D450B5" w:rsidRPr="00044B50" w:rsidRDefault="00D450B5" w:rsidP="00772E4B">
      <w:pPr>
        <w:widowControl w:val="0"/>
        <w:jc w:val="right"/>
        <w:rPr>
          <w:spacing w:val="14"/>
          <w:kern w:val="2"/>
          <w:lang w:val="en-GB"/>
        </w:rPr>
      </w:pPr>
    </w:p>
    <w:p w14:paraId="49070A0E" w14:textId="7BFD49B7" w:rsidR="00D450B5"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3F01E505" w14:textId="77777777" w:rsidR="0046744C" w:rsidRPr="00044B50" w:rsidRDefault="0046744C" w:rsidP="00772E4B">
      <w:pPr>
        <w:widowControl w:val="0"/>
        <w:jc w:val="both"/>
        <w:rPr>
          <w:spacing w:val="14"/>
          <w:kern w:val="2"/>
          <w:lang w:val="en-GB"/>
        </w:rPr>
      </w:pPr>
    </w:p>
    <w:p w14:paraId="35E0EA30" w14:textId="77777777" w:rsidR="0046744C" w:rsidRPr="00705579" w:rsidRDefault="0046744C" w:rsidP="0046744C">
      <w:pPr>
        <w:widowControl w:val="0"/>
        <w:tabs>
          <w:tab w:val="right" w:pos="8198"/>
        </w:tabs>
        <w:jc w:val="both"/>
        <w:rPr>
          <w:b/>
          <w:spacing w:val="14"/>
          <w:kern w:val="2"/>
          <w:lang w:val="en-GB"/>
        </w:rPr>
      </w:pPr>
      <w:r w:rsidRPr="00705579">
        <w:rPr>
          <w:b/>
          <w:spacing w:val="14"/>
          <w:kern w:val="2"/>
          <w:lang w:val="en-GB"/>
        </w:rPr>
        <w:t xml:space="preserve">THE STATE </w:t>
      </w:r>
    </w:p>
    <w:p w14:paraId="108504F6" w14:textId="77777777" w:rsidR="0046744C" w:rsidRPr="00705579" w:rsidRDefault="0046744C" w:rsidP="0046744C">
      <w:pPr>
        <w:tabs>
          <w:tab w:val="right" w:pos="9072"/>
        </w:tabs>
        <w:suppressAutoHyphens/>
        <w:jc w:val="both"/>
        <w:rPr>
          <w:b/>
          <w:lang w:val="en-GB"/>
        </w:rPr>
      </w:pPr>
    </w:p>
    <w:p w14:paraId="5A1C1CD2" w14:textId="77777777" w:rsidR="0046744C" w:rsidRDefault="0046744C" w:rsidP="0046744C">
      <w:pPr>
        <w:jc w:val="both"/>
        <w:rPr>
          <w:lang w:val="en-GB"/>
        </w:rPr>
      </w:pPr>
      <w:r w:rsidRPr="00705579">
        <w:rPr>
          <w:lang w:val="en-GB"/>
        </w:rPr>
        <w:t>And</w:t>
      </w:r>
    </w:p>
    <w:p w14:paraId="038A7AC3" w14:textId="77777777" w:rsidR="0046744C" w:rsidRPr="00705579" w:rsidRDefault="0046744C" w:rsidP="0046744C">
      <w:pPr>
        <w:jc w:val="both"/>
        <w:rPr>
          <w:lang w:val="en-GB"/>
        </w:rPr>
      </w:pPr>
    </w:p>
    <w:p w14:paraId="72942F7A" w14:textId="2FE12770" w:rsidR="0046744C" w:rsidRPr="00044B50" w:rsidRDefault="000C0C59" w:rsidP="0046744C">
      <w:pPr>
        <w:tabs>
          <w:tab w:val="left" w:pos="7655"/>
          <w:tab w:val="left" w:pos="8222"/>
        </w:tabs>
        <w:jc w:val="both"/>
        <w:rPr>
          <w:lang w:val="en-GB"/>
        </w:rPr>
      </w:pPr>
      <w:r>
        <w:rPr>
          <w:b/>
          <w:lang w:val="en-GB"/>
        </w:rPr>
        <w:t>PHILANI AIDEN BOTHA</w:t>
      </w:r>
      <w:r w:rsidR="0046744C" w:rsidRPr="00705579">
        <w:rPr>
          <w:b/>
          <w:lang w:val="en-GB"/>
        </w:rPr>
        <w:t xml:space="preserve"> </w:t>
      </w:r>
      <w:r w:rsidR="0046744C" w:rsidRPr="00705579">
        <w:rPr>
          <w:b/>
          <w:lang w:val="en-GB"/>
        </w:rPr>
        <w:tab/>
      </w:r>
      <w:r w:rsidR="0046744C">
        <w:rPr>
          <w:b/>
          <w:lang w:val="en-GB"/>
        </w:rPr>
        <w:t>ACCUSED</w:t>
      </w:r>
    </w:p>
    <w:p w14:paraId="2AFBFC12" w14:textId="77777777" w:rsidR="0046744C" w:rsidRPr="00044B50" w:rsidRDefault="0046744C" w:rsidP="0046744C">
      <w:pPr>
        <w:jc w:val="both"/>
        <w:rPr>
          <w:lang w:val="en-GB"/>
        </w:rPr>
      </w:pPr>
      <w:r w:rsidRPr="00044B50">
        <w:rPr>
          <w:lang w:val="en-GB"/>
        </w:rPr>
        <w:t>__________________________________________________________________</w:t>
      </w:r>
      <w:r>
        <w:rPr>
          <w:lang w:val="en-GB"/>
        </w:rPr>
        <w:t>_</w:t>
      </w:r>
    </w:p>
    <w:p w14:paraId="2001FDB5" w14:textId="77777777" w:rsidR="0046744C" w:rsidRPr="00044B50" w:rsidRDefault="0046744C" w:rsidP="0046744C">
      <w:pPr>
        <w:jc w:val="center"/>
        <w:rPr>
          <w:lang w:val="en-GB"/>
        </w:rPr>
      </w:pPr>
    </w:p>
    <w:p w14:paraId="076EC0F4" w14:textId="05E2652A" w:rsidR="0046744C" w:rsidRPr="00044B50" w:rsidRDefault="0046744C" w:rsidP="0046744C">
      <w:pPr>
        <w:jc w:val="center"/>
        <w:rPr>
          <w:b/>
          <w:bCs/>
          <w:lang w:val="en-GB"/>
        </w:rPr>
      </w:pPr>
      <w:r w:rsidRPr="00044B50">
        <w:rPr>
          <w:b/>
          <w:bCs/>
          <w:lang w:val="en-GB"/>
        </w:rPr>
        <w:t xml:space="preserve">JUDGMENT </w:t>
      </w:r>
      <w:r w:rsidR="00E079A8">
        <w:rPr>
          <w:b/>
          <w:bCs/>
          <w:lang w:val="en-GB"/>
        </w:rPr>
        <w:t>ON SENTENCE</w:t>
      </w:r>
    </w:p>
    <w:p w14:paraId="3EED0CF5" w14:textId="77777777" w:rsidR="0046744C" w:rsidRPr="00044B50" w:rsidRDefault="0046744C" w:rsidP="0046744C">
      <w:pPr>
        <w:jc w:val="both"/>
        <w:rPr>
          <w:lang w:val="en-GB"/>
        </w:rPr>
      </w:pPr>
      <w:r w:rsidRPr="00044B50">
        <w:rPr>
          <w:lang w:val="en-GB"/>
        </w:rPr>
        <w:t>___________________________________________________________________</w:t>
      </w:r>
    </w:p>
    <w:p w14:paraId="7C4F1B04" w14:textId="25864082"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5132AB61" w14:textId="77777777" w:rsidR="00D450B5" w:rsidRPr="00044B50" w:rsidRDefault="00D450B5" w:rsidP="00682CE5">
      <w:pPr>
        <w:jc w:val="both"/>
        <w:rPr>
          <w:lang w:val="en-GB"/>
        </w:rPr>
      </w:pPr>
    </w:p>
    <w:p w14:paraId="34F7781B" w14:textId="094BE808" w:rsidR="00D468AF" w:rsidRDefault="00230374" w:rsidP="00682CE5">
      <w:pPr>
        <w:autoSpaceDE w:val="0"/>
        <w:autoSpaceDN w:val="0"/>
        <w:adjustRightInd w:val="0"/>
        <w:jc w:val="both"/>
        <w:rPr>
          <w:b/>
          <w:bCs/>
          <w:lang w:val="en-GB"/>
        </w:rPr>
      </w:pPr>
      <w:r>
        <w:rPr>
          <w:b/>
          <w:bCs/>
          <w:lang w:val="en-GB"/>
        </w:rPr>
        <w:t>Background</w:t>
      </w:r>
    </w:p>
    <w:p w14:paraId="40113BCB" w14:textId="77777777" w:rsidR="00230374" w:rsidRPr="00230374" w:rsidRDefault="00230374" w:rsidP="00682CE5">
      <w:pPr>
        <w:autoSpaceDE w:val="0"/>
        <w:autoSpaceDN w:val="0"/>
        <w:adjustRightInd w:val="0"/>
        <w:jc w:val="both"/>
        <w:rPr>
          <w:b/>
          <w:bCs/>
          <w:lang w:val="en-GB"/>
        </w:rPr>
      </w:pPr>
    </w:p>
    <w:p w14:paraId="5A33CD6A" w14:textId="3D69B27C" w:rsidR="00E922BE" w:rsidRPr="007F62D5" w:rsidRDefault="007F62D5" w:rsidP="007F62D5">
      <w:pPr>
        <w:autoSpaceDE w:val="0"/>
        <w:autoSpaceDN w:val="0"/>
        <w:adjustRightInd w:val="0"/>
        <w:ind w:left="142" w:hanging="142"/>
        <w:jc w:val="both"/>
        <w:rPr>
          <w:lang w:val="en-GB"/>
        </w:rPr>
      </w:pPr>
      <w:r>
        <w:rPr>
          <w:lang w:val="en-GB"/>
        </w:rPr>
        <w:t>[</w:t>
      </w:r>
      <w:bookmarkStart w:id="0" w:name="_GoBack"/>
      <w:bookmarkEnd w:id="0"/>
      <w:r>
        <w:rPr>
          <w:lang w:val="en-GB"/>
        </w:rPr>
        <w:t>1]</w:t>
      </w:r>
      <w:r>
        <w:rPr>
          <w:lang w:val="en-GB"/>
        </w:rPr>
        <w:tab/>
      </w:r>
      <w:r w:rsidR="00834E4D" w:rsidRPr="007F62D5">
        <w:rPr>
          <w:lang w:val="en-GB"/>
        </w:rPr>
        <w:t xml:space="preserve">Mr </w:t>
      </w:r>
      <w:r w:rsidR="000448F7" w:rsidRPr="007F62D5">
        <w:rPr>
          <w:lang w:val="en-GB"/>
        </w:rPr>
        <w:t>Botha</w:t>
      </w:r>
      <w:r w:rsidR="00834E4D" w:rsidRPr="007F62D5">
        <w:rPr>
          <w:lang w:val="en-GB"/>
        </w:rPr>
        <w:t xml:space="preserve"> was convicted of a charge of rape. He unlawfully and intentionally committed an act of sexual penetration with </w:t>
      </w:r>
      <w:r w:rsidR="00FF3FBB" w:rsidRPr="007F62D5">
        <w:rPr>
          <w:lang w:val="en-GB"/>
        </w:rPr>
        <w:t>a</w:t>
      </w:r>
      <w:r w:rsidR="00834E4D" w:rsidRPr="007F62D5">
        <w:rPr>
          <w:lang w:val="en-GB"/>
        </w:rPr>
        <w:t xml:space="preserve"> </w:t>
      </w:r>
      <w:r w:rsidR="000448F7" w:rsidRPr="007F62D5">
        <w:rPr>
          <w:lang w:val="en-GB"/>
        </w:rPr>
        <w:t>seven</w:t>
      </w:r>
      <w:r w:rsidR="00834E4D" w:rsidRPr="007F62D5">
        <w:rPr>
          <w:lang w:val="en-GB"/>
        </w:rPr>
        <w:t xml:space="preserve">-year-old female complainant by inserting his penis into her </w:t>
      </w:r>
      <w:r w:rsidR="0081752E" w:rsidRPr="007F62D5">
        <w:rPr>
          <w:lang w:val="en-GB"/>
        </w:rPr>
        <w:t>vagina</w:t>
      </w:r>
      <w:r w:rsidR="00834E4D" w:rsidRPr="007F62D5">
        <w:rPr>
          <w:lang w:val="en-GB"/>
        </w:rPr>
        <w:t xml:space="preserve"> without </w:t>
      </w:r>
      <w:r w:rsidR="00FE5A83" w:rsidRPr="007F62D5">
        <w:rPr>
          <w:lang w:val="en-GB"/>
        </w:rPr>
        <w:t xml:space="preserve">her </w:t>
      </w:r>
      <w:r w:rsidR="00834E4D" w:rsidRPr="007F62D5">
        <w:rPr>
          <w:lang w:val="en-GB"/>
        </w:rPr>
        <w:t>consent</w:t>
      </w:r>
      <w:r w:rsidR="00FE5A83" w:rsidRPr="007F62D5">
        <w:rPr>
          <w:lang w:val="en-GB"/>
        </w:rPr>
        <w:t xml:space="preserve"> during 2020</w:t>
      </w:r>
      <w:r w:rsidR="00834E4D" w:rsidRPr="007F62D5">
        <w:rPr>
          <w:lang w:val="en-GB"/>
        </w:rPr>
        <w:t>.</w:t>
      </w:r>
    </w:p>
    <w:p w14:paraId="44E27AE1" w14:textId="77777777" w:rsidR="0046744C" w:rsidRPr="00044B50" w:rsidRDefault="0046744C" w:rsidP="0046744C">
      <w:pPr>
        <w:pStyle w:val="ListParagraph"/>
        <w:autoSpaceDE w:val="0"/>
        <w:autoSpaceDN w:val="0"/>
        <w:adjustRightInd w:val="0"/>
        <w:ind w:left="142"/>
        <w:jc w:val="both"/>
        <w:rPr>
          <w:lang w:val="en-GB"/>
        </w:rPr>
      </w:pPr>
    </w:p>
    <w:p w14:paraId="3701A344" w14:textId="32BCC629" w:rsidR="00231367" w:rsidRPr="007F62D5" w:rsidRDefault="007F62D5" w:rsidP="007F62D5">
      <w:pPr>
        <w:autoSpaceDE w:val="0"/>
        <w:autoSpaceDN w:val="0"/>
        <w:adjustRightInd w:val="0"/>
        <w:ind w:left="142" w:hanging="142"/>
        <w:jc w:val="both"/>
        <w:rPr>
          <w:lang w:val="en-GB"/>
        </w:rPr>
      </w:pPr>
      <w:r>
        <w:rPr>
          <w:lang w:val="en-GB"/>
        </w:rPr>
        <w:lastRenderedPageBreak/>
        <w:t>[2]</w:t>
      </w:r>
      <w:r>
        <w:rPr>
          <w:lang w:val="en-GB"/>
        </w:rPr>
        <w:tab/>
      </w:r>
      <w:r w:rsidR="000760E9" w:rsidRPr="007F62D5">
        <w:rPr>
          <w:lang w:val="en-GB"/>
        </w:rPr>
        <w:t>As the victim was under the age of 16, t</w:t>
      </w:r>
      <w:r w:rsidR="00791A3A" w:rsidRPr="007F62D5">
        <w:rPr>
          <w:lang w:val="en-GB"/>
        </w:rPr>
        <w:t>he offence falls within Part I of Schedule 2 of the Criminal Law Amendment Act, 1997</w:t>
      </w:r>
      <w:r w:rsidR="000760E9" w:rsidRPr="007F62D5">
        <w:rPr>
          <w:lang w:val="en-GB"/>
        </w:rPr>
        <w:t>,</w:t>
      </w:r>
      <w:r w:rsidR="00791A3A">
        <w:rPr>
          <w:rStyle w:val="FootnoteReference"/>
          <w:lang w:val="en-GB"/>
        </w:rPr>
        <w:footnoteReference w:id="1"/>
      </w:r>
      <w:r w:rsidR="000760E9" w:rsidRPr="007F62D5">
        <w:rPr>
          <w:lang w:val="en-GB"/>
        </w:rPr>
        <w:t xml:space="preserve"> attracting a minimum </w:t>
      </w:r>
      <w:r w:rsidR="004F0260" w:rsidRPr="007F62D5">
        <w:rPr>
          <w:lang w:val="en-GB"/>
        </w:rPr>
        <w:t xml:space="preserve">sentence of </w:t>
      </w:r>
      <w:r w:rsidR="000760E9" w:rsidRPr="007F62D5">
        <w:rPr>
          <w:lang w:val="en-GB"/>
        </w:rPr>
        <w:t xml:space="preserve">life </w:t>
      </w:r>
      <w:r w:rsidR="004F0260" w:rsidRPr="007F62D5">
        <w:rPr>
          <w:lang w:val="en-GB"/>
        </w:rPr>
        <w:t>imprisonment</w:t>
      </w:r>
      <w:r w:rsidR="001D7921" w:rsidRPr="007F62D5">
        <w:rPr>
          <w:lang w:val="en-GB"/>
        </w:rPr>
        <w:t xml:space="preserve"> unless substantial and compelling circumstances exist</w:t>
      </w:r>
      <w:r w:rsidR="00C72845" w:rsidRPr="007F62D5">
        <w:rPr>
          <w:lang w:val="en-GB"/>
        </w:rPr>
        <w:t xml:space="preserve"> to justify the imposition of a lesser sentence.</w:t>
      </w:r>
    </w:p>
    <w:p w14:paraId="5C2089EC" w14:textId="77777777" w:rsidR="00AD07AA" w:rsidRPr="00AD07AA" w:rsidRDefault="00AD07AA" w:rsidP="00AD07AA">
      <w:pPr>
        <w:pStyle w:val="ListParagraph"/>
        <w:rPr>
          <w:lang w:val="en-GB"/>
        </w:rPr>
      </w:pPr>
    </w:p>
    <w:p w14:paraId="7B5B68B4" w14:textId="6422E4CA" w:rsidR="00AD07AA" w:rsidRPr="007F62D5" w:rsidRDefault="007F62D5" w:rsidP="007F62D5">
      <w:pPr>
        <w:autoSpaceDE w:val="0"/>
        <w:autoSpaceDN w:val="0"/>
        <w:adjustRightInd w:val="0"/>
        <w:ind w:left="142" w:hanging="142"/>
        <w:jc w:val="both"/>
        <w:rPr>
          <w:lang w:val="en-GB"/>
        </w:rPr>
      </w:pPr>
      <w:r>
        <w:rPr>
          <w:lang w:val="en-GB"/>
        </w:rPr>
        <w:t>[3]</w:t>
      </w:r>
      <w:r>
        <w:rPr>
          <w:lang w:val="en-GB"/>
        </w:rPr>
        <w:tab/>
      </w:r>
      <w:r w:rsidR="00AD07AA" w:rsidRPr="007F62D5">
        <w:rPr>
          <w:lang w:val="en-GB"/>
        </w:rPr>
        <w:t xml:space="preserve">Section 276 of the </w:t>
      </w:r>
      <w:r w:rsidR="00AD07AA" w:rsidRPr="007F62D5">
        <w:rPr>
          <w:bCs/>
          <w:lang w:val="en-GB"/>
        </w:rPr>
        <w:t>Criminal Procedure Act,</w:t>
      </w:r>
      <w:r w:rsidR="00AD07AA" w:rsidRPr="007F62D5">
        <w:rPr>
          <w:lang w:val="en-GB"/>
        </w:rPr>
        <w:t xml:space="preserve"> 1977</w:t>
      </w:r>
      <w:r w:rsidR="00AD07AA" w:rsidRPr="00430469">
        <w:rPr>
          <w:rStyle w:val="FootnoteReference"/>
          <w:lang w:val="en-GB"/>
        </w:rPr>
        <w:footnoteReference w:id="2"/>
      </w:r>
      <w:r w:rsidR="00AD07AA" w:rsidRPr="007F62D5">
        <w:rPr>
          <w:lang w:val="en-GB"/>
        </w:rPr>
        <w:t xml:space="preserve"> provides for the sentences which courts can impose. The imposition of sentence is pre-eminently a matter for the discretion of the trial court, which is free to impose whatever sentence it deems appropriate provided it exercises its discretion judicially and properly. The general purpose of imposing a sentence is fourfold: retributive, preventative, rehabilitative (reformative) and to act as a general deterrent.</w:t>
      </w:r>
      <w:r w:rsidR="00AD07AA" w:rsidRPr="00430469">
        <w:rPr>
          <w:rStyle w:val="FootnoteReference"/>
          <w:lang w:val="en-GB"/>
        </w:rPr>
        <w:footnoteReference w:id="3"/>
      </w:r>
      <w:r w:rsidR="00AD07AA" w:rsidRPr="007F62D5">
        <w:rPr>
          <w:lang w:val="en-GB"/>
        </w:rPr>
        <w:t xml:space="preserve"> While the retributive aspect tends to dominate, courts are enjoined to temper the punishment with a measure of mercy.</w:t>
      </w:r>
      <w:r w:rsidR="00AD07AA" w:rsidRPr="00430469">
        <w:rPr>
          <w:rStyle w:val="FootnoteReference"/>
          <w:lang w:val="en-GB"/>
        </w:rPr>
        <w:footnoteReference w:id="4"/>
      </w:r>
    </w:p>
    <w:p w14:paraId="0A30484D" w14:textId="77777777" w:rsidR="00420D53" w:rsidRPr="00420D53" w:rsidRDefault="00420D53" w:rsidP="00420D53">
      <w:pPr>
        <w:pStyle w:val="ListParagraph"/>
        <w:rPr>
          <w:lang w:val="en-GB"/>
        </w:rPr>
      </w:pPr>
    </w:p>
    <w:p w14:paraId="5503A336" w14:textId="2865D454" w:rsidR="00AD07AA" w:rsidRPr="007F62D5" w:rsidRDefault="007F62D5" w:rsidP="007F62D5">
      <w:pPr>
        <w:autoSpaceDE w:val="0"/>
        <w:autoSpaceDN w:val="0"/>
        <w:adjustRightInd w:val="0"/>
        <w:ind w:left="142" w:hanging="142"/>
        <w:jc w:val="both"/>
        <w:rPr>
          <w:lang w:val="en-GB"/>
        </w:rPr>
      </w:pPr>
      <w:r>
        <w:rPr>
          <w:lang w:val="en-GB"/>
        </w:rPr>
        <w:t>[4]</w:t>
      </w:r>
      <w:r>
        <w:rPr>
          <w:lang w:val="en-GB"/>
        </w:rPr>
        <w:tab/>
      </w:r>
      <w:r w:rsidR="00FF3FBB" w:rsidRPr="007F62D5">
        <w:rPr>
          <w:lang w:val="en-GB"/>
        </w:rPr>
        <w:t>T</w:t>
      </w:r>
      <w:r w:rsidR="00AD07AA" w:rsidRPr="007F62D5">
        <w:rPr>
          <w:lang w:val="en-GB"/>
        </w:rPr>
        <w:t>he sentencing court must attempt to achieve a balance in its sentence, and not approach its task in a spirit of anger, but in one of equity. Hastiness, the striving after severity and misplaced pity are out of place, as are so-called exemplary sentences designed to use the crime to set an example for others in society.</w:t>
      </w:r>
      <w:r w:rsidR="00AD07AA" w:rsidRPr="00430469">
        <w:rPr>
          <w:rStyle w:val="FootnoteReference"/>
          <w:lang w:val="en-GB"/>
        </w:rPr>
        <w:footnoteReference w:id="5"/>
      </w:r>
      <w:r w:rsidR="00AD07AA" w:rsidRPr="007F62D5">
        <w:rPr>
          <w:lang w:val="en-GB"/>
        </w:rPr>
        <w:t xml:space="preserve"> Still, more serious cases clearly require severity, with a certain moderation of generosity, for the appropriate balance to be struck. The object of sentencing is not to satisfy public opinion, but to serve the public interest.</w:t>
      </w:r>
      <w:r w:rsidR="00AD07AA" w:rsidRPr="00430469">
        <w:rPr>
          <w:rStyle w:val="FootnoteReference"/>
          <w:lang w:val="en-GB"/>
        </w:rPr>
        <w:footnoteReference w:id="6"/>
      </w:r>
    </w:p>
    <w:p w14:paraId="34C22C22" w14:textId="77777777" w:rsidR="00063C5E" w:rsidRPr="00063C5E" w:rsidRDefault="00063C5E" w:rsidP="00063C5E">
      <w:pPr>
        <w:pStyle w:val="ListParagraph"/>
        <w:rPr>
          <w:lang w:val="en-GB"/>
        </w:rPr>
      </w:pPr>
    </w:p>
    <w:p w14:paraId="2E203ABB" w14:textId="07BB53A6" w:rsidR="00FC4DD7" w:rsidRPr="007F62D5" w:rsidRDefault="007F62D5" w:rsidP="007F62D5">
      <w:pPr>
        <w:autoSpaceDE w:val="0"/>
        <w:autoSpaceDN w:val="0"/>
        <w:adjustRightInd w:val="0"/>
        <w:ind w:left="142" w:hanging="142"/>
        <w:jc w:val="both"/>
        <w:rPr>
          <w:lang w:val="en-GB"/>
        </w:rPr>
      </w:pPr>
      <w:r w:rsidRPr="00FC4DD7">
        <w:rPr>
          <w:lang w:val="en-GB"/>
        </w:rPr>
        <w:t>[5]</w:t>
      </w:r>
      <w:r w:rsidRPr="00FC4DD7">
        <w:rPr>
          <w:lang w:val="en-GB"/>
        </w:rPr>
        <w:tab/>
      </w:r>
      <w:r w:rsidR="00AD07AA" w:rsidRPr="007F62D5">
        <w:rPr>
          <w:lang w:val="en-GB"/>
        </w:rPr>
        <w:t>In the final analysis, the well-known triad of factors to be considered consists of the crime, the offender and the interests of society,</w:t>
      </w:r>
      <w:r w:rsidR="00AD07AA" w:rsidRPr="00430469">
        <w:rPr>
          <w:rStyle w:val="FootnoteReference"/>
          <w:lang w:val="en-GB"/>
        </w:rPr>
        <w:footnoteReference w:id="7"/>
      </w:r>
      <w:r w:rsidR="00AD07AA" w:rsidRPr="007F62D5">
        <w:rPr>
          <w:lang w:val="en-GB"/>
        </w:rPr>
        <w:t xml:space="preserve"> and these factors must be applied, in accordance with </w:t>
      </w:r>
      <w:r w:rsidR="00AD07AA" w:rsidRPr="007F62D5">
        <w:rPr>
          <w:bCs/>
          <w:i/>
          <w:iCs/>
          <w:lang w:val="en-GB"/>
        </w:rPr>
        <w:t>S v Malgas</w:t>
      </w:r>
      <w:r w:rsidR="00AD07AA" w:rsidRPr="007F62D5">
        <w:rPr>
          <w:bCs/>
          <w:lang w:val="en-GB"/>
        </w:rPr>
        <w:t>,</w:t>
      </w:r>
      <w:r w:rsidR="00AD07AA" w:rsidRPr="00430469">
        <w:rPr>
          <w:rStyle w:val="FootnoteReference"/>
          <w:lang w:val="en-GB"/>
        </w:rPr>
        <w:footnoteReference w:id="8"/>
      </w:r>
      <w:r w:rsidR="00AD07AA" w:rsidRPr="007F62D5">
        <w:rPr>
          <w:lang w:val="en-GB"/>
        </w:rPr>
        <w:t xml:space="preserve"> to consider whether substantial and compelling circumstances exist to deviate from any prescribed minimum sentence.</w:t>
      </w:r>
      <w:r w:rsidR="00AD07AA" w:rsidRPr="00430469">
        <w:rPr>
          <w:rStyle w:val="FootnoteReference"/>
          <w:lang w:val="en-GB"/>
        </w:rPr>
        <w:footnoteReference w:id="9"/>
      </w:r>
      <w:r w:rsidR="00AD07AA" w:rsidRPr="007F62D5">
        <w:rPr>
          <w:lang w:val="en-GB"/>
        </w:rPr>
        <w:t xml:space="preserve"> In </w:t>
      </w:r>
      <w:r w:rsidR="00AD07AA" w:rsidRPr="007F62D5">
        <w:rPr>
          <w:bCs/>
          <w:i/>
          <w:iCs/>
          <w:lang w:val="en-GB"/>
        </w:rPr>
        <w:t>S v Matyityi</w:t>
      </w:r>
      <w:r w:rsidR="00AD07AA" w:rsidRPr="007F62D5">
        <w:rPr>
          <w:bCs/>
          <w:lang w:val="en-GB"/>
        </w:rPr>
        <w:t>,</w:t>
      </w:r>
      <w:r w:rsidR="00AD07AA" w:rsidRPr="00430469">
        <w:rPr>
          <w:rStyle w:val="FootnoteReference"/>
          <w:lang w:val="en-GB"/>
        </w:rPr>
        <w:footnoteReference w:id="10"/>
      </w:r>
      <w:r w:rsidR="00AD07AA" w:rsidRPr="007F62D5">
        <w:rPr>
          <w:lang w:val="en-GB"/>
        </w:rPr>
        <w:t xml:space="preserve"> Ponnan JA held that Parliament:</w:t>
      </w:r>
    </w:p>
    <w:p w14:paraId="3A7C2F9F" w14:textId="77777777" w:rsidR="00FC4DD7" w:rsidRPr="0072544F" w:rsidRDefault="00FC4DD7" w:rsidP="00FC4DD7">
      <w:pPr>
        <w:pStyle w:val="ListParagraph"/>
        <w:ind w:left="142" w:right="-52"/>
        <w:jc w:val="both"/>
        <w:rPr>
          <w:sz w:val="22"/>
          <w:szCs w:val="22"/>
          <w:lang w:val="en-GB"/>
        </w:rPr>
      </w:pPr>
      <w:r w:rsidRPr="00430469">
        <w:rPr>
          <w:sz w:val="22"/>
          <w:szCs w:val="22"/>
          <w:lang w:val="en-GB"/>
        </w:rPr>
        <w:lastRenderedPageBreak/>
        <w:t>‘…has ordained minimum sentences for certain specified offences. Courts are obliged to impose those sentences unless there are truly convincing reasons for departing from them. Courts are not free to subvert the will of the legislature by resort to vague, ill-defined concepts…and ill-founded hypotheses that appear to fit the particular sentencing officer’s personal notion of fairness. Predictable outcomes, not outcomes based on the whim of an individual judicial officer, [are] foundational to the rule of law which lies at the heart of our constitutional order’.</w:t>
      </w:r>
    </w:p>
    <w:p w14:paraId="493BCCD0" w14:textId="77777777" w:rsidR="00FC4DD7" w:rsidRPr="00430469" w:rsidRDefault="00FC4DD7" w:rsidP="00FC4DD7">
      <w:pPr>
        <w:ind w:right="89"/>
        <w:jc w:val="both"/>
        <w:rPr>
          <w:lang w:val="en-GB"/>
        </w:rPr>
      </w:pPr>
    </w:p>
    <w:p w14:paraId="162D308A" w14:textId="77777777" w:rsidR="00FC4DD7" w:rsidRPr="00D74CDF" w:rsidRDefault="00FC4DD7" w:rsidP="00FC4DD7">
      <w:pPr>
        <w:autoSpaceDE w:val="0"/>
        <w:autoSpaceDN w:val="0"/>
        <w:adjustRightInd w:val="0"/>
        <w:jc w:val="both"/>
        <w:rPr>
          <w:lang w:val="en-GB"/>
        </w:rPr>
      </w:pPr>
      <w:r w:rsidRPr="00430469">
        <w:rPr>
          <w:b/>
          <w:bCs/>
          <w:lang w:val="en-GB"/>
        </w:rPr>
        <w:t>Nature of the crime and surrounding circumstances</w:t>
      </w:r>
    </w:p>
    <w:p w14:paraId="6E9F1778" w14:textId="77777777" w:rsidR="00FC4DD7" w:rsidRPr="00FC4DD7" w:rsidRDefault="00FC4DD7" w:rsidP="00FC4DD7">
      <w:pPr>
        <w:rPr>
          <w:lang w:val="en-GB"/>
        </w:rPr>
      </w:pPr>
    </w:p>
    <w:p w14:paraId="5CABE95E" w14:textId="2DFC7205" w:rsidR="007E25A8" w:rsidRPr="007F62D5" w:rsidRDefault="007F62D5" w:rsidP="007F62D5">
      <w:pPr>
        <w:autoSpaceDE w:val="0"/>
        <w:autoSpaceDN w:val="0"/>
        <w:adjustRightInd w:val="0"/>
        <w:ind w:left="142" w:hanging="142"/>
        <w:jc w:val="both"/>
        <w:rPr>
          <w:lang w:val="en-GB"/>
        </w:rPr>
      </w:pPr>
      <w:r>
        <w:rPr>
          <w:lang w:val="en-GB"/>
        </w:rPr>
        <w:t>[6]</w:t>
      </w:r>
      <w:r>
        <w:rPr>
          <w:lang w:val="en-GB"/>
        </w:rPr>
        <w:tab/>
      </w:r>
      <w:r w:rsidR="00F837F8" w:rsidRPr="007F62D5">
        <w:rPr>
          <w:lang w:val="en-GB"/>
        </w:rPr>
        <w:t xml:space="preserve">The complainant </w:t>
      </w:r>
      <w:r w:rsidR="00EA426F" w:rsidRPr="007F62D5">
        <w:rPr>
          <w:lang w:val="en-GB"/>
        </w:rPr>
        <w:t xml:space="preserve">was </w:t>
      </w:r>
      <w:r w:rsidR="00351709" w:rsidRPr="007F62D5">
        <w:rPr>
          <w:lang w:val="en-GB"/>
        </w:rPr>
        <w:t>raped by Mr Botha</w:t>
      </w:r>
      <w:r w:rsidR="00704739" w:rsidRPr="007F62D5">
        <w:rPr>
          <w:lang w:val="en-GB"/>
        </w:rPr>
        <w:t>, a relative,</w:t>
      </w:r>
      <w:r w:rsidR="00351709" w:rsidRPr="007F62D5">
        <w:rPr>
          <w:lang w:val="en-GB"/>
        </w:rPr>
        <w:t xml:space="preserve"> after she had been sent by her grandmother to him to repair a phone. </w:t>
      </w:r>
      <w:r w:rsidR="00D85B86" w:rsidRPr="007F62D5">
        <w:rPr>
          <w:lang w:val="en-GB"/>
        </w:rPr>
        <w:t xml:space="preserve">The rape was painful, causing the complainant to cry. Mr Botha </w:t>
      </w:r>
      <w:r w:rsidR="00282220" w:rsidRPr="007F62D5">
        <w:rPr>
          <w:lang w:val="en-GB"/>
        </w:rPr>
        <w:t xml:space="preserve">had placed a hand over her mouth and covered her eyes during the incident, and threatened to kill her if she spoke about her ordeal. </w:t>
      </w:r>
    </w:p>
    <w:p w14:paraId="06EF8FBD" w14:textId="77777777" w:rsidR="00282220" w:rsidRPr="00282220" w:rsidRDefault="00282220" w:rsidP="00282220">
      <w:pPr>
        <w:pStyle w:val="ListParagraph"/>
        <w:autoSpaceDE w:val="0"/>
        <w:autoSpaceDN w:val="0"/>
        <w:adjustRightInd w:val="0"/>
        <w:ind w:left="142"/>
        <w:jc w:val="both"/>
        <w:rPr>
          <w:lang w:val="en-GB"/>
        </w:rPr>
      </w:pPr>
    </w:p>
    <w:p w14:paraId="2C7FFD48" w14:textId="1C03E7D6" w:rsidR="00A314C5" w:rsidRPr="007F62D5" w:rsidRDefault="007F62D5" w:rsidP="007F62D5">
      <w:pPr>
        <w:autoSpaceDE w:val="0"/>
        <w:autoSpaceDN w:val="0"/>
        <w:adjustRightInd w:val="0"/>
        <w:ind w:left="142" w:hanging="142"/>
        <w:jc w:val="both"/>
        <w:rPr>
          <w:lang w:val="en-GB"/>
        </w:rPr>
      </w:pPr>
      <w:r>
        <w:rPr>
          <w:lang w:val="en-GB"/>
        </w:rPr>
        <w:t>[7]</w:t>
      </w:r>
      <w:r>
        <w:rPr>
          <w:lang w:val="en-GB"/>
        </w:rPr>
        <w:tab/>
      </w:r>
      <w:r w:rsidR="00EF5A62" w:rsidRPr="007F62D5">
        <w:rPr>
          <w:lang w:val="en-GB"/>
        </w:rPr>
        <w:t>It</w:t>
      </w:r>
      <w:r w:rsidR="00F9666D" w:rsidRPr="007F62D5">
        <w:rPr>
          <w:lang w:val="en-GB"/>
        </w:rPr>
        <w:t xml:space="preserve"> is also important to consider the effect of the crimes on the victim, particularly in cases of gender-based violence.</w:t>
      </w:r>
      <w:r w:rsidR="00F9666D">
        <w:rPr>
          <w:rStyle w:val="FootnoteReference"/>
          <w:lang w:val="en-GB"/>
        </w:rPr>
        <w:footnoteReference w:id="11"/>
      </w:r>
      <w:r w:rsidR="00F9666D" w:rsidRPr="007F62D5">
        <w:rPr>
          <w:lang w:val="en-GB"/>
        </w:rPr>
        <w:t xml:space="preserve"> </w:t>
      </w:r>
      <w:r w:rsidR="00434BAB" w:rsidRPr="007F62D5">
        <w:rPr>
          <w:lang w:val="en-GB"/>
        </w:rPr>
        <w:t>T</w:t>
      </w:r>
      <w:r w:rsidR="003A43A6" w:rsidRPr="007F62D5">
        <w:rPr>
          <w:lang w:val="en-GB"/>
        </w:rPr>
        <w:t>he child was extremely young at the time she was raped</w:t>
      </w:r>
      <w:r w:rsidR="007966E1" w:rsidRPr="007F62D5">
        <w:rPr>
          <w:lang w:val="en-GB"/>
        </w:rPr>
        <w:t xml:space="preserve">, and was </w:t>
      </w:r>
      <w:r w:rsidR="005B3D7C" w:rsidRPr="007F62D5">
        <w:rPr>
          <w:lang w:val="en-GB"/>
        </w:rPr>
        <w:t>compelled</w:t>
      </w:r>
      <w:r w:rsidR="007966E1" w:rsidRPr="007F62D5">
        <w:rPr>
          <w:lang w:val="en-GB"/>
        </w:rPr>
        <w:t xml:space="preserve"> to experience something completely unfitting for a child her age. </w:t>
      </w:r>
      <w:r w:rsidR="00BB4F2D" w:rsidRPr="007F62D5">
        <w:rPr>
          <w:lang w:val="en-GB"/>
        </w:rPr>
        <w:t xml:space="preserve">Her innocence has been </w:t>
      </w:r>
      <w:r w:rsidR="00E825C2" w:rsidRPr="007F62D5">
        <w:rPr>
          <w:lang w:val="en-GB"/>
        </w:rPr>
        <w:t>stolen</w:t>
      </w:r>
      <w:r w:rsidR="00BB4F2D" w:rsidRPr="007F62D5">
        <w:rPr>
          <w:lang w:val="en-GB"/>
        </w:rPr>
        <w:t xml:space="preserve">. </w:t>
      </w:r>
      <w:r w:rsidR="00F1229F" w:rsidRPr="007F62D5">
        <w:rPr>
          <w:lang w:val="en-GB"/>
        </w:rPr>
        <w:t>I</w:t>
      </w:r>
      <w:r w:rsidR="00D13638" w:rsidRPr="007F62D5">
        <w:rPr>
          <w:lang w:val="en-GB"/>
        </w:rPr>
        <w:t xml:space="preserve"> accept</w:t>
      </w:r>
      <w:r w:rsidR="00F1229F" w:rsidRPr="007F62D5">
        <w:rPr>
          <w:lang w:val="en-GB"/>
        </w:rPr>
        <w:t xml:space="preserve"> the argument</w:t>
      </w:r>
      <w:r w:rsidR="002C1B71" w:rsidRPr="007F62D5">
        <w:rPr>
          <w:lang w:val="en-GB"/>
        </w:rPr>
        <w:t xml:space="preserve"> advanced</w:t>
      </w:r>
      <w:r w:rsidR="001B5851" w:rsidRPr="007F62D5">
        <w:rPr>
          <w:lang w:val="en-GB"/>
        </w:rPr>
        <w:t xml:space="preserve"> by the state</w:t>
      </w:r>
      <w:r w:rsidR="00D13638" w:rsidRPr="007F62D5">
        <w:rPr>
          <w:lang w:val="en-GB"/>
        </w:rPr>
        <w:t xml:space="preserve"> that it is extremely difficult for anybody, including a presiding judge, to fully comprehend </w:t>
      </w:r>
      <w:r w:rsidR="000230C1" w:rsidRPr="007F62D5">
        <w:rPr>
          <w:lang w:val="en-GB"/>
        </w:rPr>
        <w:t xml:space="preserve">and appreciate the likely effect of the rape on the rest of her life. </w:t>
      </w:r>
      <w:r w:rsidR="006D7CB9" w:rsidRPr="007F62D5">
        <w:rPr>
          <w:lang w:val="en-GB"/>
        </w:rPr>
        <w:t xml:space="preserve">A </w:t>
      </w:r>
      <w:r w:rsidR="004D3A90" w:rsidRPr="007F62D5">
        <w:rPr>
          <w:lang w:val="en-GB"/>
        </w:rPr>
        <w:t>clinical psychologist</w:t>
      </w:r>
      <w:r w:rsidR="006D7CB9" w:rsidRPr="007F62D5">
        <w:rPr>
          <w:lang w:val="en-GB"/>
        </w:rPr>
        <w:t xml:space="preserve"> report, accepted into evidence by consent, confirms the </w:t>
      </w:r>
      <w:r w:rsidR="00DF0B7F" w:rsidRPr="007F62D5">
        <w:rPr>
          <w:lang w:val="en-GB"/>
        </w:rPr>
        <w:t>significant changes</w:t>
      </w:r>
      <w:r w:rsidR="006D7CB9" w:rsidRPr="007F62D5">
        <w:rPr>
          <w:lang w:val="en-GB"/>
        </w:rPr>
        <w:t xml:space="preserve"> </w:t>
      </w:r>
      <w:r w:rsidR="00EA28E8" w:rsidRPr="007F62D5">
        <w:rPr>
          <w:lang w:val="en-GB"/>
        </w:rPr>
        <w:t>that have been observed in respect of the behaviour of the</w:t>
      </w:r>
      <w:r w:rsidR="006D7CB9" w:rsidRPr="007F62D5">
        <w:rPr>
          <w:lang w:val="en-GB"/>
        </w:rPr>
        <w:t xml:space="preserve"> complainant as a result of her rape. </w:t>
      </w:r>
      <w:r w:rsidR="00E03786" w:rsidRPr="007F62D5">
        <w:rPr>
          <w:lang w:val="en-GB"/>
        </w:rPr>
        <w:t xml:space="preserve">She has become withdrawn and frequently displays a sad mood, expressing feelings of </w:t>
      </w:r>
      <w:r w:rsidR="009F7348" w:rsidRPr="007F62D5">
        <w:rPr>
          <w:lang w:val="en-GB"/>
        </w:rPr>
        <w:t xml:space="preserve">isolation, </w:t>
      </w:r>
      <w:r w:rsidR="00E03786" w:rsidRPr="007F62D5">
        <w:rPr>
          <w:lang w:val="en-GB"/>
        </w:rPr>
        <w:t>helplessness, shame and lack of trust</w:t>
      </w:r>
      <w:r w:rsidR="00360B55" w:rsidRPr="007F62D5">
        <w:rPr>
          <w:lang w:val="en-GB"/>
        </w:rPr>
        <w:t xml:space="preserve">. She is now wary of male figures and experiences sleep disturbance and nightmares. </w:t>
      </w:r>
      <w:r w:rsidR="000C06AF" w:rsidRPr="007F62D5">
        <w:rPr>
          <w:lang w:val="en-GB"/>
        </w:rPr>
        <w:t>She is also absent-minded, mentally drifting off and dwelling on the incident.</w:t>
      </w:r>
      <w:r w:rsidR="00C13B07" w:rsidRPr="007F62D5">
        <w:rPr>
          <w:lang w:val="en-GB"/>
        </w:rPr>
        <w:t xml:space="preserve"> </w:t>
      </w:r>
      <w:r w:rsidR="00B167D1" w:rsidRPr="007F62D5">
        <w:rPr>
          <w:lang w:val="en-GB"/>
        </w:rPr>
        <w:t xml:space="preserve">The clinical psychologist report concludes that </w:t>
      </w:r>
      <w:r w:rsidR="001619CE" w:rsidRPr="007F62D5">
        <w:rPr>
          <w:lang w:val="en-GB"/>
        </w:rPr>
        <w:t xml:space="preserve">the child has suffered significantly from the rape, which has impacted her life negatively. Psychotherapy </w:t>
      </w:r>
      <w:r w:rsidR="002E4CAE" w:rsidRPr="007F62D5">
        <w:rPr>
          <w:lang w:val="en-GB"/>
        </w:rPr>
        <w:t>has been strongly recommended to assist her to come to terms with what happened to her</w:t>
      </w:r>
      <w:r w:rsidR="00D65CBC" w:rsidRPr="007F62D5">
        <w:rPr>
          <w:lang w:val="en-GB"/>
        </w:rPr>
        <w:t>.</w:t>
      </w:r>
    </w:p>
    <w:p w14:paraId="45248461" w14:textId="77777777" w:rsidR="00A314C5" w:rsidRPr="00A314C5" w:rsidRDefault="00A314C5" w:rsidP="00A314C5">
      <w:pPr>
        <w:pStyle w:val="ListParagraph"/>
        <w:rPr>
          <w:lang w:val="en-GB"/>
        </w:rPr>
      </w:pPr>
    </w:p>
    <w:p w14:paraId="6027A0BA" w14:textId="2A39B8C6" w:rsidR="004A0497" w:rsidRPr="007F62D5" w:rsidRDefault="007F62D5" w:rsidP="007F62D5">
      <w:pPr>
        <w:autoSpaceDE w:val="0"/>
        <w:autoSpaceDN w:val="0"/>
        <w:adjustRightInd w:val="0"/>
        <w:ind w:left="142" w:hanging="142"/>
        <w:jc w:val="both"/>
        <w:rPr>
          <w:lang w:val="en-GB"/>
        </w:rPr>
      </w:pPr>
      <w:r w:rsidRPr="00CC584D">
        <w:rPr>
          <w:lang w:val="en-GB"/>
        </w:rPr>
        <w:t>[8]</w:t>
      </w:r>
      <w:r w:rsidRPr="00CC584D">
        <w:rPr>
          <w:lang w:val="en-GB"/>
        </w:rPr>
        <w:tab/>
      </w:r>
      <w:r w:rsidR="00596B3B" w:rsidRPr="007F62D5">
        <w:rPr>
          <w:lang w:val="en-GB"/>
        </w:rPr>
        <w:t>It must be noted</w:t>
      </w:r>
      <w:r w:rsidR="004A0497" w:rsidRPr="007F62D5">
        <w:rPr>
          <w:lang w:val="en-GB"/>
        </w:rPr>
        <w:t xml:space="preserve"> </w:t>
      </w:r>
      <w:r w:rsidR="00596B3B" w:rsidRPr="007F62D5">
        <w:rPr>
          <w:lang w:val="en-GB"/>
        </w:rPr>
        <w:t xml:space="preserve">that the complainant </w:t>
      </w:r>
      <w:r w:rsidR="004A0497" w:rsidRPr="007F62D5">
        <w:rPr>
          <w:lang w:val="en-GB"/>
        </w:rPr>
        <w:t>was made to relive her ordeal in court. According to the SCA, this factor should not be overlooked.</w:t>
      </w:r>
      <w:r w:rsidR="004A0497">
        <w:rPr>
          <w:rStyle w:val="FootnoteReference"/>
          <w:lang w:val="en-GB"/>
        </w:rPr>
        <w:footnoteReference w:id="12"/>
      </w:r>
    </w:p>
    <w:p w14:paraId="475C9626" w14:textId="6F300FA7" w:rsidR="00796226" w:rsidRDefault="00796226" w:rsidP="00796226">
      <w:pPr>
        <w:rPr>
          <w:lang w:val="en-GB"/>
        </w:rPr>
      </w:pPr>
    </w:p>
    <w:p w14:paraId="21D57C6C" w14:textId="7A800A92" w:rsidR="00796226" w:rsidRDefault="00796226" w:rsidP="00796226">
      <w:pPr>
        <w:rPr>
          <w:b/>
          <w:bCs/>
          <w:lang w:val="en-GB"/>
        </w:rPr>
      </w:pPr>
      <w:r>
        <w:rPr>
          <w:b/>
          <w:bCs/>
          <w:lang w:val="en-GB"/>
        </w:rPr>
        <w:t xml:space="preserve">Mr </w:t>
      </w:r>
      <w:r w:rsidR="002F6A45">
        <w:rPr>
          <w:b/>
          <w:bCs/>
          <w:lang w:val="en-GB"/>
        </w:rPr>
        <w:t>Botha’s</w:t>
      </w:r>
      <w:r>
        <w:rPr>
          <w:b/>
          <w:bCs/>
          <w:lang w:val="en-GB"/>
        </w:rPr>
        <w:t xml:space="preserve"> circumstanc</w:t>
      </w:r>
      <w:r w:rsidR="00026BE5">
        <w:rPr>
          <w:b/>
          <w:bCs/>
          <w:lang w:val="en-GB"/>
        </w:rPr>
        <w:t>e</w:t>
      </w:r>
      <w:r>
        <w:rPr>
          <w:b/>
          <w:bCs/>
          <w:lang w:val="en-GB"/>
        </w:rPr>
        <w:t>s and interests</w:t>
      </w:r>
    </w:p>
    <w:p w14:paraId="3D06E4E6" w14:textId="77777777" w:rsidR="00026BE5" w:rsidRPr="00B46ED1" w:rsidRDefault="00026BE5" w:rsidP="00B46ED1">
      <w:pPr>
        <w:autoSpaceDE w:val="0"/>
        <w:autoSpaceDN w:val="0"/>
        <w:adjustRightInd w:val="0"/>
        <w:jc w:val="both"/>
        <w:rPr>
          <w:lang w:val="en-GB"/>
        </w:rPr>
      </w:pPr>
    </w:p>
    <w:p w14:paraId="2CB92E98" w14:textId="01D02A03" w:rsidR="0031613B" w:rsidRPr="007F62D5" w:rsidRDefault="007F62D5" w:rsidP="007F62D5">
      <w:pPr>
        <w:autoSpaceDE w:val="0"/>
        <w:autoSpaceDN w:val="0"/>
        <w:adjustRightInd w:val="0"/>
        <w:ind w:left="142" w:hanging="142"/>
        <w:jc w:val="both"/>
        <w:rPr>
          <w:lang w:val="en-GB"/>
        </w:rPr>
      </w:pPr>
      <w:r w:rsidRPr="003A78A2">
        <w:rPr>
          <w:lang w:val="en-GB"/>
        </w:rPr>
        <w:t>[9]</w:t>
      </w:r>
      <w:r w:rsidRPr="003A78A2">
        <w:rPr>
          <w:lang w:val="en-GB"/>
        </w:rPr>
        <w:tab/>
      </w:r>
      <w:r w:rsidR="00026BE5" w:rsidRPr="007F62D5">
        <w:rPr>
          <w:i/>
          <w:iCs/>
          <w:lang w:val="en-GB"/>
        </w:rPr>
        <w:t xml:space="preserve">Mr </w:t>
      </w:r>
      <w:r w:rsidR="00B46ED1" w:rsidRPr="007F62D5">
        <w:rPr>
          <w:i/>
          <w:iCs/>
          <w:lang w:val="en-GB"/>
        </w:rPr>
        <w:t>Mgangatho</w:t>
      </w:r>
      <w:r w:rsidR="00524B87" w:rsidRPr="007F62D5">
        <w:rPr>
          <w:lang w:val="en-GB"/>
        </w:rPr>
        <w:t xml:space="preserve"> </w:t>
      </w:r>
      <w:r w:rsidR="00026BE5" w:rsidRPr="007F62D5">
        <w:rPr>
          <w:lang w:val="en-GB"/>
        </w:rPr>
        <w:t xml:space="preserve">placed </w:t>
      </w:r>
      <w:r w:rsidR="00524B87" w:rsidRPr="007F62D5">
        <w:rPr>
          <w:lang w:val="en-GB"/>
        </w:rPr>
        <w:t>Mr Botha’s</w:t>
      </w:r>
      <w:r w:rsidR="00026BE5" w:rsidRPr="007F62D5">
        <w:rPr>
          <w:lang w:val="en-GB"/>
        </w:rPr>
        <w:t xml:space="preserve"> personal circumstances before court. </w:t>
      </w:r>
      <w:r w:rsidR="00696A93" w:rsidRPr="007F62D5">
        <w:rPr>
          <w:lang w:val="en-GB"/>
        </w:rPr>
        <w:t xml:space="preserve">He </w:t>
      </w:r>
      <w:r w:rsidR="005B3550" w:rsidRPr="007F62D5">
        <w:rPr>
          <w:lang w:val="en-GB"/>
        </w:rPr>
        <w:t xml:space="preserve">would have been </w:t>
      </w:r>
      <w:r w:rsidR="005947B8" w:rsidRPr="007F62D5">
        <w:rPr>
          <w:lang w:val="en-GB"/>
        </w:rPr>
        <w:t xml:space="preserve">approximately </w:t>
      </w:r>
      <w:r w:rsidR="005B3550" w:rsidRPr="007F62D5">
        <w:rPr>
          <w:lang w:val="en-GB"/>
        </w:rPr>
        <w:t>20 years of age at the time of the incident</w:t>
      </w:r>
      <w:r w:rsidR="00C2262F" w:rsidRPr="007F62D5">
        <w:rPr>
          <w:lang w:val="en-GB"/>
        </w:rPr>
        <w:t xml:space="preserve"> and is a first offender</w:t>
      </w:r>
      <w:r w:rsidR="006A41FC" w:rsidRPr="007F62D5">
        <w:rPr>
          <w:lang w:val="en-GB"/>
        </w:rPr>
        <w:t>, with no other cases pending</w:t>
      </w:r>
      <w:r w:rsidR="00C2262F" w:rsidRPr="007F62D5">
        <w:rPr>
          <w:lang w:val="en-GB"/>
        </w:rPr>
        <w:t xml:space="preserve">. </w:t>
      </w:r>
      <w:r w:rsidR="00E50617" w:rsidRPr="007F62D5">
        <w:rPr>
          <w:lang w:val="en-GB"/>
        </w:rPr>
        <w:t xml:space="preserve">His level of education is grade 11. </w:t>
      </w:r>
      <w:r w:rsidR="00BA09DA" w:rsidRPr="007F62D5">
        <w:rPr>
          <w:lang w:val="en-GB"/>
        </w:rPr>
        <w:t>He is unmarried and was previously employed as a general worker earning R3800 per month. He supported his only child, who was born during August last year</w:t>
      </w:r>
      <w:r w:rsidR="003A78A2" w:rsidRPr="007F62D5">
        <w:rPr>
          <w:lang w:val="en-GB"/>
        </w:rPr>
        <w:t xml:space="preserve"> and did not reside with him</w:t>
      </w:r>
      <w:r w:rsidR="00BA09DA" w:rsidRPr="007F62D5">
        <w:rPr>
          <w:lang w:val="en-GB"/>
        </w:rPr>
        <w:t>, with R700 per month, and also contributed R600 to the household where he resided. Mr Botha lived with his father, step-mother and two cousins</w:t>
      </w:r>
      <w:r w:rsidR="00A15BEB" w:rsidRPr="007F62D5">
        <w:rPr>
          <w:lang w:val="en-GB"/>
        </w:rPr>
        <w:t>, and was raised by his father</w:t>
      </w:r>
      <w:r w:rsidR="0031613B" w:rsidRPr="007F62D5">
        <w:rPr>
          <w:lang w:val="en-GB"/>
        </w:rPr>
        <w:t xml:space="preserve"> once his maternal great-grandmother passed away</w:t>
      </w:r>
      <w:r w:rsidR="00A15BEB" w:rsidRPr="007F62D5">
        <w:rPr>
          <w:lang w:val="en-GB"/>
        </w:rPr>
        <w:t xml:space="preserve">. </w:t>
      </w:r>
      <w:r w:rsidR="00E92948" w:rsidRPr="007F62D5">
        <w:rPr>
          <w:lang w:val="en-GB"/>
        </w:rPr>
        <w:t>He has no relationship with his mother, who lives in Gauteng.</w:t>
      </w:r>
      <w:r w:rsidR="00325371" w:rsidRPr="007F62D5">
        <w:rPr>
          <w:lang w:val="en-GB"/>
        </w:rPr>
        <w:t xml:space="preserve"> </w:t>
      </w:r>
      <w:r w:rsidR="007439D3" w:rsidRPr="007F62D5">
        <w:rPr>
          <w:lang w:val="en-GB"/>
        </w:rPr>
        <w:t xml:space="preserve">A pre-sentence psychological report accepted into the record confirms that Mr Botha </w:t>
      </w:r>
      <w:r w:rsidR="0051005C" w:rsidRPr="007F62D5">
        <w:rPr>
          <w:lang w:val="en-GB"/>
        </w:rPr>
        <w:t xml:space="preserve">does not accept any responsibility for the rape. </w:t>
      </w:r>
    </w:p>
    <w:p w14:paraId="51894F45" w14:textId="64E078E9" w:rsidR="00F9666D" w:rsidRDefault="00F9666D" w:rsidP="00796226">
      <w:pPr>
        <w:rPr>
          <w:lang w:val="en-GB"/>
        </w:rPr>
      </w:pPr>
    </w:p>
    <w:p w14:paraId="128B6E3F" w14:textId="18F736EA" w:rsidR="00796226" w:rsidRDefault="00796226" w:rsidP="00796226">
      <w:pPr>
        <w:rPr>
          <w:b/>
          <w:bCs/>
          <w:lang w:val="en-GB"/>
        </w:rPr>
      </w:pPr>
      <w:r>
        <w:rPr>
          <w:b/>
          <w:bCs/>
          <w:lang w:val="en-GB"/>
        </w:rPr>
        <w:t>The interests of society</w:t>
      </w:r>
    </w:p>
    <w:p w14:paraId="5F026C39" w14:textId="77777777" w:rsidR="00796226" w:rsidRPr="00796226" w:rsidRDefault="00796226" w:rsidP="00796226">
      <w:pPr>
        <w:rPr>
          <w:b/>
          <w:bCs/>
          <w:lang w:val="en-GB"/>
        </w:rPr>
      </w:pPr>
    </w:p>
    <w:p w14:paraId="6D36EA57" w14:textId="27F8581A" w:rsidR="008A0676" w:rsidRPr="007F62D5" w:rsidRDefault="007F62D5" w:rsidP="007F62D5">
      <w:pPr>
        <w:autoSpaceDE w:val="0"/>
        <w:autoSpaceDN w:val="0"/>
        <w:adjustRightInd w:val="0"/>
        <w:ind w:left="142" w:hanging="142"/>
        <w:jc w:val="both"/>
        <w:rPr>
          <w:lang w:val="en-GB"/>
        </w:rPr>
      </w:pPr>
      <w:r>
        <w:rPr>
          <w:lang w:val="en-GB"/>
        </w:rPr>
        <w:t>[10]</w:t>
      </w:r>
      <w:r>
        <w:rPr>
          <w:lang w:val="en-GB"/>
        </w:rPr>
        <w:tab/>
      </w:r>
      <w:r w:rsidR="008A0676" w:rsidRPr="007F62D5">
        <w:rPr>
          <w:lang w:val="en-GB"/>
        </w:rPr>
        <w:t>Courts have repeatedly reflected on the horrific nature of the offence of rape, given that it constitutes a humiliating, degrading and brutal invasion of the privacy, dignity and person of the victim. As such, it has been accepted that the crime deserves severe punishment.</w:t>
      </w:r>
      <w:r w:rsidR="008A0676" w:rsidRPr="00430469">
        <w:rPr>
          <w:rStyle w:val="FootnoteReference"/>
          <w:lang w:val="en-GB"/>
        </w:rPr>
        <w:footnoteReference w:id="13"/>
      </w:r>
      <w:r w:rsidR="008A0676" w:rsidRPr="007F62D5">
        <w:rPr>
          <w:lang w:val="en-GB"/>
        </w:rPr>
        <w:t xml:space="preserve"> As the court held in </w:t>
      </w:r>
      <w:r w:rsidR="008A0676" w:rsidRPr="007F62D5">
        <w:rPr>
          <w:i/>
          <w:iCs/>
          <w:lang w:val="en-GB"/>
        </w:rPr>
        <w:t>S v Ncheche</w:t>
      </w:r>
      <w:r w:rsidR="008A0676" w:rsidRPr="007F62D5">
        <w:rPr>
          <w:lang w:val="en-GB"/>
        </w:rPr>
        <w:t>:</w:t>
      </w:r>
      <w:r w:rsidR="008A0676" w:rsidRPr="00430469">
        <w:rPr>
          <w:rStyle w:val="FootnoteReference"/>
          <w:lang w:val="en-GB"/>
        </w:rPr>
        <w:footnoteReference w:id="14"/>
      </w:r>
    </w:p>
    <w:p w14:paraId="0AE3A4A4" w14:textId="77777777" w:rsidR="009C77AE" w:rsidRPr="009C77AE" w:rsidRDefault="009C77AE" w:rsidP="009C77AE">
      <w:pPr>
        <w:ind w:left="142"/>
        <w:jc w:val="both"/>
        <w:rPr>
          <w:sz w:val="22"/>
          <w:szCs w:val="22"/>
          <w:lang w:val="en-GB"/>
        </w:rPr>
      </w:pPr>
      <w:r w:rsidRPr="009C77AE">
        <w:rPr>
          <w:sz w:val="22"/>
          <w:szCs w:val="22"/>
          <w:lang w:val="en-GB"/>
        </w:rPr>
        <w:t>‘A woman’s body is sacrosanct and anyone who violates it does so at his peril and our Legislature, and the community at large, correctly expects of our courts to punish rapists severely.’</w:t>
      </w:r>
    </w:p>
    <w:p w14:paraId="0C9DC3EE" w14:textId="77777777" w:rsidR="009C77AE" w:rsidRDefault="009C77AE" w:rsidP="009C77AE">
      <w:pPr>
        <w:pStyle w:val="ListParagraph"/>
        <w:autoSpaceDE w:val="0"/>
        <w:autoSpaceDN w:val="0"/>
        <w:adjustRightInd w:val="0"/>
        <w:ind w:left="142"/>
        <w:jc w:val="both"/>
        <w:rPr>
          <w:lang w:val="en-GB"/>
        </w:rPr>
      </w:pPr>
    </w:p>
    <w:p w14:paraId="674C75DA" w14:textId="3C80A345" w:rsidR="008A0676" w:rsidRPr="007F62D5" w:rsidRDefault="007F62D5" w:rsidP="007F62D5">
      <w:pPr>
        <w:autoSpaceDE w:val="0"/>
        <w:autoSpaceDN w:val="0"/>
        <w:adjustRightInd w:val="0"/>
        <w:ind w:left="142" w:hanging="142"/>
        <w:jc w:val="both"/>
        <w:rPr>
          <w:lang w:val="en-GB"/>
        </w:rPr>
      </w:pPr>
      <w:r>
        <w:rPr>
          <w:lang w:val="en-GB"/>
        </w:rPr>
        <w:t>[11]</w:t>
      </w:r>
      <w:r>
        <w:rPr>
          <w:lang w:val="en-GB"/>
        </w:rPr>
        <w:tab/>
      </w:r>
      <w:r w:rsidR="008A0676" w:rsidRPr="007F62D5">
        <w:rPr>
          <w:lang w:val="en-GB"/>
        </w:rPr>
        <w:t xml:space="preserve">In </w:t>
      </w:r>
      <w:r w:rsidR="008A0676" w:rsidRPr="007F62D5">
        <w:rPr>
          <w:i/>
          <w:iCs/>
          <w:lang w:val="en-GB"/>
        </w:rPr>
        <w:t>S v Vilakazi</w:t>
      </w:r>
      <w:r w:rsidR="008A0676" w:rsidRPr="007F62D5">
        <w:rPr>
          <w:lang w:val="en-GB"/>
        </w:rPr>
        <w:t>,</w:t>
      </w:r>
      <w:r w:rsidR="008A0676" w:rsidRPr="00430469">
        <w:rPr>
          <w:rStyle w:val="FootnoteReference"/>
          <w:lang w:val="en-GB"/>
        </w:rPr>
        <w:footnoteReference w:id="15"/>
      </w:r>
      <w:r w:rsidR="008A0676" w:rsidRPr="007F62D5">
        <w:rPr>
          <w:lang w:val="en-GB"/>
        </w:rPr>
        <w:t xml:space="preserve"> the </w:t>
      </w:r>
      <w:r w:rsidR="00E47654" w:rsidRPr="007F62D5">
        <w:rPr>
          <w:lang w:val="en-GB"/>
        </w:rPr>
        <w:t>SCA</w:t>
      </w:r>
      <w:r w:rsidR="008A0676" w:rsidRPr="007F62D5">
        <w:rPr>
          <w:lang w:val="en-GB"/>
        </w:rPr>
        <w:t xml:space="preserve"> confirmed that rape is a repulsive crime. Society expects that the scourge of gender-based violence must be addressed and must cease. In addition, children’s rights are constitutionally protected, and rape of a child, particularly one as young as </w:t>
      </w:r>
      <w:r w:rsidR="00A00E8B" w:rsidRPr="007F62D5">
        <w:rPr>
          <w:lang w:val="en-GB"/>
        </w:rPr>
        <w:t>seven</w:t>
      </w:r>
      <w:r w:rsidR="008A0676" w:rsidRPr="007F62D5">
        <w:rPr>
          <w:lang w:val="en-GB"/>
        </w:rPr>
        <w:t xml:space="preserve"> years of age, is by its nature one of the worst kinds of offences imaginable. </w:t>
      </w:r>
      <w:r w:rsidR="00E47654" w:rsidRPr="007F62D5">
        <w:rPr>
          <w:lang w:val="en-GB"/>
        </w:rPr>
        <w:t>The SCA has recently stated that courts cannot ignore the reality that South Africa is facing a pandemic of sexual violence against women and children.</w:t>
      </w:r>
      <w:r w:rsidR="00E47654">
        <w:rPr>
          <w:rStyle w:val="FootnoteReference"/>
          <w:lang w:val="en-GB"/>
        </w:rPr>
        <w:footnoteReference w:id="16"/>
      </w:r>
    </w:p>
    <w:p w14:paraId="36B67BAD" w14:textId="77777777" w:rsidR="00A11FA8" w:rsidRDefault="00A11FA8" w:rsidP="00A11FA8">
      <w:pPr>
        <w:pStyle w:val="ListParagraph"/>
        <w:autoSpaceDE w:val="0"/>
        <w:autoSpaceDN w:val="0"/>
        <w:adjustRightInd w:val="0"/>
        <w:ind w:left="142"/>
        <w:jc w:val="both"/>
        <w:rPr>
          <w:lang w:val="en-GB"/>
        </w:rPr>
      </w:pPr>
    </w:p>
    <w:p w14:paraId="76DA6789" w14:textId="50E61B9F" w:rsidR="00255D9B" w:rsidRPr="007F62D5" w:rsidRDefault="007F62D5" w:rsidP="007F62D5">
      <w:pPr>
        <w:autoSpaceDE w:val="0"/>
        <w:autoSpaceDN w:val="0"/>
        <w:adjustRightInd w:val="0"/>
        <w:ind w:left="142" w:hanging="142"/>
        <w:jc w:val="both"/>
        <w:rPr>
          <w:lang w:val="en-GB"/>
        </w:rPr>
      </w:pPr>
      <w:r>
        <w:rPr>
          <w:lang w:val="en-GB"/>
        </w:rPr>
        <w:t>[12]</w:t>
      </w:r>
      <w:r>
        <w:rPr>
          <w:lang w:val="en-GB"/>
        </w:rPr>
        <w:tab/>
      </w:r>
      <w:r w:rsidR="008A0676" w:rsidRPr="007F62D5">
        <w:rPr>
          <w:lang w:val="en-GB"/>
        </w:rPr>
        <w:t>Society’s opprobrium has translated into the Minimum Sentences Act, which by way of a prescribed, albeit discretionary minimum sentence regime, has drastically impacted upon the exercise of a court’s discretion in imposing a sentence.</w:t>
      </w:r>
      <w:r w:rsidR="008A0676" w:rsidRPr="00430469">
        <w:rPr>
          <w:rStyle w:val="FootnoteReference"/>
          <w:lang w:val="en-GB"/>
        </w:rPr>
        <w:footnoteReference w:id="17"/>
      </w:r>
      <w:r w:rsidR="008A0676" w:rsidRPr="007F62D5">
        <w:rPr>
          <w:lang w:val="en-GB"/>
        </w:rPr>
        <w:t xml:space="preserve"> </w:t>
      </w:r>
      <w:r w:rsidR="00A10A75" w:rsidRPr="007F62D5">
        <w:rPr>
          <w:lang w:val="en-GB"/>
        </w:rPr>
        <w:t xml:space="preserve">Regrettably, that legislation seems to have achieved little in respect of stemming the shocking number of child rape cases that are </w:t>
      </w:r>
      <w:r w:rsidR="00147B4A" w:rsidRPr="007F62D5">
        <w:rPr>
          <w:lang w:val="en-GB"/>
        </w:rPr>
        <w:t>set down for hearing</w:t>
      </w:r>
      <w:r w:rsidR="00A10A75" w:rsidRPr="007F62D5">
        <w:rPr>
          <w:lang w:val="en-GB"/>
        </w:rPr>
        <w:t xml:space="preserve"> by this court each year. </w:t>
      </w:r>
      <w:r w:rsidR="00DE32AB" w:rsidRPr="007F62D5">
        <w:rPr>
          <w:lang w:val="en-GB"/>
        </w:rPr>
        <w:t>Society’s patience, understandably, is wearing thin</w:t>
      </w:r>
      <w:r w:rsidR="004F791D" w:rsidRPr="007F62D5">
        <w:rPr>
          <w:lang w:val="en-GB"/>
        </w:rPr>
        <w:t>, and sentences imposed</w:t>
      </w:r>
      <w:r w:rsidR="001376DD" w:rsidRPr="007F62D5">
        <w:rPr>
          <w:lang w:val="en-GB"/>
        </w:rPr>
        <w:t xml:space="preserve"> </w:t>
      </w:r>
      <w:r w:rsidR="00CF64F3" w:rsidRPr="007F62D5">
        <w:rPr>
          <w:lang w:val="en-GB"/>
        </w:rPr>
        <w:t>in</w:t>
      </w:r>
      <w:r w:rsidR="001376DD" w:rsidRPr="007F62D5">
        <w:rPr>
          <w:lang w:val="en-GB"/>
        </w:rPr>
        <w:t xml:space="preserve"> child rape cases</w:t>
      </w:r>
      <w:r w:rsidR="004F791D" w:rsidRPr="007F62D5">
        <w:rPr>
          <w:lang w:val="en-GB"/>
        </w:rPr>
        <w:t xml:space="preserve"> are </w:t>
      </w:r>
      <w:r w:rsidR="000071F2" w:rsidRPr="007F62D5">
        <w:rPr>
          <w:lang w:val="en-GB"/>
        </w:rPr>
        <w:t>rightly scrutinised</w:t>
      </w:r>
      <w:r w:rsidR="00DE32AB" w:rsidRPr="007F62D5">
        <w:rPr>
          <w:lang w:val="en-GB"/>
        </w:rPr>
        <w:t xml:space="preserve">. </w:t>
      </w:r>
    </w:p>
    <w:p w14:paraId="33C2F0CD" w14:textId="77777777" w:rsidR="00255D9B" w:rsidRPr="00255D9B" w:rsidRDefault="00255D9B" w:rsidP="00255D9B">
      <w:pPr>
        <w:pStyle w:val="ListParagraph"/>
        <w:rPr>
          <w:lang w:val="en-GB"/>
        </w:rPr>
      </w:pPr>
    </w:p>
    <w:p w14:paraId="17565B12" w14:textId="36C3D939" w:rsidR="008A0676" w:rsidRPr="007F62D5" w:rsidRDefault="007F62D5" w:rsidP="007F62D5">
      <w:pPr>
        <w:autoSpaceDE w:val="0"/>
        <w:autoSpaceDN w:val="0"/>
        <w:adjustRightInd w:val="0"/>
        <w:ind w:left="142" w:hanging="142"/>
        <w:jc w:val="both"/>
        <w:rPr>
          <w:lang w:val="en-GB"/>
        </w:rPr>
      </w:pPr>
      <w:r>
        <w:rPr>
          <w:lang w:val="en-GB"/>
        </w:rPr>
        <w:t>[13]</w:t>
      </w:r>
      <w:r>
        <w:rPr>
          <w:lang w:val="en-GB"/>
        </w:rPr>
        <w:tab/>
      </w:r>
      <w:r w:rsidR="008F222C" w:rsidRPr="007F62D5">
        <w:rPr>
          <w:lang w:val="en-GB"/>
        </w:rPr>
        <w:t xml:space="preserve">Mr </w:t>
      </w:r>
      <w:r w:rsidR="00945C7B" w:rsidRPr="007F62D5">
        <w:rPr>
          <w:lang w:val="en-GB"/>
        </w:rPr>
        <w:t>Botha’s</w:t>
      </w:r>
      <w:r w:rsidR="008A0676" w:rsidRPr="007F62D5">
        <w:rPr>
          <w:lang w:val="en-GB"/>
        </w:rPr>
        <w:t xml:space="preserve"> conduct has been found to fall within the purview of this Act. A court should not for ‘flimsy reasons’ and ‘speculative hypotheses favourable to the offender’ deviate from the minimum sentence prescribed, or apply their personal notion of fairness.</w:t>
      </w:r>
      <w:r w:rsidR="008A0676" w:rsidRPr="00430469">
        <w:rPr>
          <w:rStyle w:val="FootnoteReference"/>
          <w:lang w:val="en-GB"/>
        </w:rPr>
        <w:footnoteReference w:id="18"/>
      </w:r>
      <w:r w:rsidR="008A0676" w:rsidRPr="007F62D5">
        <w:rPr>
          <w:lang w:val="en-GB"/>
        </w:rPr>
        <w:t xml:space="preserve"> </w:t>
      </w:r>
      <w:r w:rsidR="00454355" w:rsidRPr="007F62D5">
        <w:rPr>
          <w:lang w:val="en-GB"/>
        </w:rPr>
        <w:t xml:space="preserve">The fact that Mr Botha is a first offender does not, on its own, necessarily warrant a lesser sentence. </w:t>
      </w:r>
      <w:r w:rsidR="008A0676" w:rsidRPr="007F62D5">
        <w:rPr>
          <w:lang w:val="en-GB"/>
        </w:rPr>
        <w:t>The question remains whether there are substantial and compelling reasons</w:t>
      </w:r>
      <w:r w:rsidR="00454355" w:rsidRPr="007F62D5">
        <w:rPr>
          <w:lang w:val="en-GB"/>
        </w:rPr>
        <w:t>, on the whole,</w:t>
      </w:r>
      <w:r w:rsidR="008A0676" w:rsidRPr="007F62D5">
        <w:rPr>
          <w:lang w:val="en-GB"/>
        </w:rPr>
        <w:t xml:space="preserve"> to justify a lesser sentence than the minimum sentence prescribed.</w:t>
      </w:r>
    </w:p>
    <w:p w14:paraId="05F20DA6" w14:textId="77777777" w:rsidR="008F219A" w:rsidRDefault="008F219A" w:rsidP="004F226F">
      <w:pPr>
        <w:rPr>
          <w:b/>
          <w:bCs/>
          <w:lang w:val="en-GB"/>
        </w:rPr>
      </w:pPr>
    </w:p>
    <w:p w14:paraId="7B0CDC25" w14:textId="5B69D3E0" w:rsidR="004F226F" w:rsidRDefault="004F226F" w:rsidP="004F226F">
      <w:pPr>
        <w:rPr>
          <w:b/>
          <w:bCs/>
          <w:lang w:val="en-GB"/>
        </w:rPr>
      </w:pPr>
      <w:r>
        <w:rPr>
          <w:b/>
          <w:bCs/>
          <w:lang w:val="en-GB"/>
        </w:rPr>
        <w:t>Analysis</w:t>
      </w:r>
    </w:p>
    <w:p w14:paraId="2CE03FD1" w14:textId="77777777" w:rsidR="00336330" w:rsidRPr="004F226F" w:rsidRDefault="00336330" w:rsidP="004F226F">
      <w:pPr>
        <w:rPr>
          <w:b/>
          <w:bCs/>
          <w:lang w:val="en-GB"/>
        </w:rPr>
      </w:pPr>
    </w:p>
    <w:p w14:paraId="18C9CCCD" w14:textId="0F0F9EAB" w:rsidR="008A0676" w:rsidRPr="007F62D5" w:rsidRDefault="007F62D5" w:rsidP="007F62D5">
      <w:pPr>
        <w:autoSpaceDE w:val="0"/>
        <w:autoSpaceDN w:val="0"/>
        <w:adjustRightInd w:val="0"/>
        <w:ind w:left="142" w:hanging="142"/>
        <w:jc w:val="both"/>
        <w:rPr>
          <w:lang w:val="en-GB"/>
        </w:rPr>
      </w:pPr>
      <w:r>
        <w:rPr>
          <w:lang w:val="en-GB"/>
        </w:rPr>
        <w:t>[14]</w:t>
      </w:r>
      <w:r>
        <w:rPr>
          <w:lang w:val="en-GB"/>
        </w:rPr>
        <w:tab/>
      </w:r>
      <w:r w:rsidR="008A0676" w:rsidRPr="007F62D5">
        <w:rPr>
          <w:lang w:val="en-GB"/>
        </w:rPr>
        <w:t xml:space="preserve">This court is duty bound to consider </w:t>
      </w:r>
      <w:r w:rsidR="00336330" w:rsidRPr="007F62D5">
        <w:rPr>
          <w:lang w:val="en-GB"/>
        </w:rPr>
        <w:t xml:space="preserve">Mr </w:t>
      </w:r>
      <w:r w:rsidR="003B3628" w:rsidRPr="007F62D5">
        <w:rPr>
          <w:lang w:val="en-GB"/>
        </w:rPr>
        <w:t>Botha’s</w:t>
      </w:r>
      <w:r w:rsidR="008A0676" w:rsidRPr="007F62D5">
        <w:rPr>
          <w:lang w:val="en-GB"/>
        </w:rPr>
        <w:t xml:space="preserve"> personal circumstances, as well as that of the young complainant. The nature of the crime must also be considered, together with the interests of society, seasoned with a measure of mercy and bearing </w:t>
      </w:r>
      <w:r w:rsidR="008A0676" w:rsidRPr="007F62D5">
        <w:rPr>
          <w:lang w:val="en-GB"/>
        </w:rPr>
        <w:lastRenderedPageBreak/>
        <w:t>in mind the various purposes of punishment, including prevention, retribution, rehabilitation and deterrence.</w:t>
      </w:r>
      <w:r w:rsidR="008A0676" w:rsidRPr="00430469">
        <w:rPr>
          <w:rStyle w:val="FootnoteReference"/>
          <w:lang w:val="en-GB"/>
        </w:rPr>
        <w:footnoteReference w:id="19"/>
      </w:r>
      <w:r w:rsidR="008A0676" w:rsidRPr="007F62D5">
        <w:rPr>
          <w:lang w:val="en-GB"/>
        </w:rPr>
        <w:t xml:space="preserve"> All the circumstances of the case must be considered to determine whether the imposition of a minimum </w:t>
      </w:r>
      <w:r w:rsidR="002634A2" w:rsidRPr="007F62D5">
        <w:rPr>
          <w:lang w:val="en-GB"/>
        </w:rPr>
        <w:t xml:space="preserve">life </w:t>
      </w:r>
      <w:r w:rsidR="008A0676" w:rsidRPr="007F62D5">
        <w:rPr>
          <w:lang w:val="en-GB"/>
        </w:rPr>
        <w:t>sentence is proportionate to the particular offence.</w:t>
      </w:r>
      <w:r w:rsidR="008A0676">
        <w:rPr>
          <w:rStyle w:val="FootnoteReference"/>
          <w:lang w:val="en-GB"/>
        </w:rPr>
        <w:footnoteReference w:id="20"/>
      </w:r>
    </w:p>
    <w:p w14:paraId="21019F2C" w14:textId="77777777" w:rsidR="0098710A" w:rsidRPr="0072301B" w:rsidRDefault="0098710A" w:rsidP="0072301B">
      <w:pPr>
        <w:rPr>
          <w:lang w:val="en-GB"/>
        </w:rPr>
      </w:pPr>
    </w:p>
    <w:p w14:paraId="20722E77" w14:textId="1BDC5246" w:rsidR="00FE417A" w:rsidRPr="007F62D5" w:rsidRDefault="007F62D5" w:rsidP="007F62D5">
      <w:pPr>
        <w:autoSpaceDE w:val="0"/>
        <w:autoSpaceDN w:val="0"/>
        <w:adjustRightInd w:val="0"/>
        <w:ind w:left="142" w:hanging="142"/>
        <w:jc w:val="both"/>
        <w:rPr>
          <w:lang w:val="en-GB"/>
        </w:rPr>
      </w:pPr>
      <w:r>
        <w:rPr>
          <w:lang w:val="en-GB"/>
        </w:rPr>
        <w:t>[15]</w:t>
      </w:r>
      <w:r>
        <w:rPr>
          <w:lang w:val="en-GB"/>
        </w:rPr>
        <w:tab/>
      </w:r>
      <w:r w:rsidR="00FE417A" w:rsidRPr="007F62D5">
        <w:rPr>
          <w:lang w:val="en-GB"/>
        </w:rPr>
        <w:t xml:space="preserve">The aggravating features of the matter are undeniably severe.  The rape of vulnerable victims, such as extremely young children, have always been an aggravating feature of rape. </w:t>
      </w:r>
      <w:r w:rsidR="00666E0D" w:rsidRPr="007F62D5">
        <w:rPr>
          <w:lang w:val="en-GB"/>
        </w:rPr>
        <w:t xml:space="preserve">As </w:t>
      </w:r>
      <w:r w:rsidR="00666E0D" w:rsidRPr="007F62D5">
        <w:rPr>
          <w:i/>
          <w:iCs/>
          <w:lang w:val="en-GB"/>
        </w:rPr>
        <w:t xml:space="preserve">Ms Van Rooyen </w:t>
      </w:r>
      <w:r w:rsidR="00666E0D" w:rsidRPr="007F62D5">
        <w:rPr>
          <w:lang w:val="en-GB"/>
        </w:rPr>
        <w:t>argued, e</w:t>
      </w:r>
      <w:r w:rsidR="00FE417A" w:rsidRPr="007F62D5">
        <w:rPr>
          <w:lang w:val="en-GB"/>
        </w:rPr>
        <w:t>very child is meant to enjoy the constitutional rights to be protected from maltreatment, abuse and degradation, to freedom and security, which includes the right to be free from all forms of violence and to have their privacy and dignity respected and protected.</w:t>
      </w:r>
      <w:r w:rsidR="00FE417A">
        <w:rPr>
          <w:rStyle w:val="FootnoteReference"/>
          <w:lang w:val="en-GB"/>
        </w:rPr>
        <w:footnoteReference w:id="21"/>
      </w:r>
      <w:r w:rsidR="00FE417A" w:rsidRPr="007F62D5">
        <w:rPr>
          <w:lang w:val="en-GB"/>
        </w:rPr>
        <w:t xml:space="preserve"> The effect on the complainant has already been described. In </w:t>
      </w:r>
      <w:r w:rsidR="00FE417A" w:rsidRPr="007F62D5">
        <w:rPr>
          <w:i/>
          <w:iCs/>
          <w:lang w:val="en-GB"/>
        </w:rPr>
        <w:t>S v Zitha</w:t>
      </w:r>
      <w:r w:rsidR="00FE417A" w:rsidRPr="007F62D5">
        <w:rPr>
          <w:lang w:val="en-GB"/>
        </w:rPr>
        <w:t xml:space="preserve">, Goldstein J commented on the need to punish perpetrators of child rape as heavily and severely as the law allowed in the absence of substantial and compelling circumstances dictating otherwise. </w:t>
      </w:r>
      <w:r w:rsidR="00AA60AF" w:rsidRPr="007F62D5">
        <w:rPr>
          <w:lang w:val="en-GB"/>
        </w:rPr>
        <w:t>This court has previously noted that it</w:t>
      </w:r>
      <w:r w:rsidR="00FE417A" w:rsidRPr="007F62D5">
        <w:rPr>
          <w:lang w:val="en-GB"/>
        </w:rPr>
        <w:t xml:space="preserve"> will not shirk this responsibility, however agonising it may be to do so.</w:t>
      </w:r>
      <w:r w:rsidR="00FE417A">
        <w:rPr>
          <w:rStyle w:val="FootnoteReference"/>
          <w:lang w:val="en-GB"/>
        </w:rPr>
        <w:footnoteReference w:id="22"/>
      </w:r>
      <w:r w:rsidR="00FE417A" w:rsidRPr="007F62D5">
        <w:rPr>
          <w:lang w:val="en-GB"/>
        </w:rPr>
        <w:t xml:space="preserve"> </w:t>
      </w:r>
    </w:p>
    <w:p w14:paraId="576D5CE7" w14:textId="77777777" w:rsidR="00FE417A" w:rsidRPr="00B42569" w:rsidRDefault="00FE417A" w:rsidP="00FE417A">
      <w:pPr>
        <w:pStyle w:val="ListParagraph"/>
        <w:rPr>
          <w:lang w:val="en-GB"/>
        </w:rPr>
      </w:pPr>
    </w:p>
    <w:p w14:paraId="76D34049" w14:textId="26E2C80B" w:rsidR="008A0676" w:rsidRPr="007F62D5" w:rsidRDefault="007F62D5" w:rsidP="007F62D5">
      <w:pPr>
        <w:autoSpaceDE w:val="0"/>
        <w:autoSpaceDN w:val="0"/>
        <w:adjustRightInd w:val="0"/>
        <w:ind w:left="142" w:hanging="142"/>
        <w:jc w:val="both"/>
        <w:rPr>
          <w:lang w:val="en-GB"/>
        </w:rPr>
      </w:pPr>
      <w:r>
        <w:rPr>
          <w:lang w:val="en-GB"/>
        </w:rPr>
        <w:t>[16]</w:t>
      </w:r>
      <w:r>
        <w:rPr>
          <w:lang w:val="en-GB"/>
        </w:rPr>
        <w:tab/>
      </w:r>
      <w:r w:rsidR="00841B35" w:rsidRPr="007F62D5">
        <w:rPr>
          <w:lang w:val="en-GB"/>
        </w:rPr>
        <w:t>I</w:t>
      </w:r>
      <w:r w:rsidR="0052517D" w:rsidRPr="007F62D5">
        <w:rPr>
          <w:lang w:val="en-GB"/>
        </w:rPr>
        <w:t xml:space="preserve">t is important to consider the various circumstances cumulatively, and with specific focus on Mr </w:t>
      </w:r>
      <w:r w:rsidR="00841B35" w:rsidRPr="007F62D5">
        <w:rPr>
          <w:lang w:val="en-GB"/>
        </w:rPr>
        <w:t>Botha’s</w:t>
      </w:r>
      <w:r w:rsidR="0052517D" w:rsidRPr="007F62D5">
        <w:rPr>
          <w:lang w:val="en-GB"/>
        </w:rPr>
        <w:t xml:space="preserve"> clean record and </w:t>
      </w:r>
      <w:r w:rsidR="00D51176" w:rsidRPr="007F62D5">
        <w:rPr>
          <w:lang w:val="en-GB"/>
        </w:rPr>
        <w:t>relative youthfulness at the time</w:t>
      </w:r>
      <w:r w:rsidR="0052517D" w:rsidRPr="007F62D5">
        <w:rPr>
          <w:lang w:val="en-GB"/>
        </w:rPr>
        <w:t xml:space="preserve">. </w:t>
      </w:r>
      <w:r w:rsidR="008A0676" w:rsidRPr="007F62D5">
        <w:rPr>
          <w:lang w:val="en-GB"/>
        </w:rPr>
        <w:t>I am also cognisant that a finding of an absence of substantial and compelling circumstances will result in the gravest of sentences being passed and that the consequences of this are profound, effectively removing an individual from society.</w:t>
      </w:r>
      <w:r w:rsidR="008A0676" w:rsidRPr="00430469">
        <w:rPr>
          <w:rStyle w:val="FootnoteReference"/>
          <w:lang w:val="en-GB"/>
        </w:rPr>
        <w:footnoteReference w:id="23"/>
      </w:r>
      <w:r w:rsidR="008A0676" w:rsidRPr="007F62D5">
        <w:rPr>
          <w:lang w:val="en-GB"/>
        </w:rPr>
        <w:t xml:space="preserve"> It </w:t>
      </w:r>
      <w:r w:rsidR="00EB3E8B" w:rsidRPr="007F62D5">
        <w:rPr>
          <w:lang w:val="en-GB"/>
        </w:rPr>
        <w:t xml:space="preserve">has been noted previously that this </w:t>
      </w:r>
      <w:r w:rsidR="008A0676" w:rsidRPr="007F62D5">
        <w:rPr>
          <w:lang w:val="en-GB"/>
        </w:rPr>
        <w:t>requires a meticulous weighing of all relevant factors before a decision to impose it can be justified.</w:t>
      </w:r>
      <w:r w:rsidR="008A0676" w:rsidRPr="00430469">
        <w:rPr>
          <w:rStyle w:val="FootnoteReference"/>
          <w:lang w:val="en-GB"/>
        </w:rPr>
        <w:footnoteReference w:id="24"/>
      </w:r>
    </w:p>
    <w:p w14:paraId="5CB3A8EE" w14:textId="77777777" w:rsidR="00F51D54" w:rsidRPr="00F51D54" w:rsidRDefault="00F51D54" w:rsidP="00F51D54">
      <w:pPr>
        <w:pStyle w:val="ListParagraph"/>
        <w:rPr>
          <w:lang w:val="en-GB"/>
        </w:rPr>
      </w:pPr>
    </w:p>
    <w:p w14:paraId="2C698EAB" w14:textId="070B3E50" w:rsidR="005212BB" w:rsidRPr="007F62D5" w:rsidRDefault="007F62D5" w:rsidP="007F62D5">
      <w:pPr>
        <w:autoSpaceDE w:val="0"/>
        <w:autoSpaceDN w:val="0"/>
        <w:adjustRightInd w:val="0"/>
        <w:ind w:left="142" w:hanging="142"/>
        <w:jc w:val="both"/>
        <w:rPr>
          <w:lang w:val="en-GB"/>
        </w:rPr>
      </w:pPr>
      <w:r>
        <w:rPr>
          <w:lang w:val="en-GB"/>
        </w:rPr>
        <w:t>[17]</w:t>
      </w:r>
      <w:r>
        <w:rPr>
          <w:lang w:val="en-GB"/>
        </w:rPr>
        <w:tab/>
      </w:r>
      <w:r w:rsidR="0072301B" w:rsidRPr="007F62D5">
        <w:rPr>
          <w:lang w:val="en-GB"/>
        </w:rPr>
        <w:t xml:space="preserve">The factors relied upon by Mr </w:t>
      </w:r>
      <w:r w:rsidR="006C46DD" w:rsidRPr="007F62D5">
        <w:rPr>
          <w:lang w:val="en-GB"/>
        </w:rPr>
        <w:t>Botha</w:t>
      </w:r>
      <w:r w:rsidR="0072301B" w:rsidRPr="007F62D5">
        <w:rPr>
          <w:lang w:val="en-GB"/>
        </w:rPr>
        <w:t xml:space="preserve"> as substantial and compelling have been considered in their totality. The main factors in his favour are that he is a </w:t>
      </w:r>
      <w:r w:rsidR="003B369F" w:rsidRPr="007F62D5">
        <w:rPr>
          <w:lang w:val="en-GB"/>
        </w:rPr>
        <w:t xml:space="preserve">youthful </w:t>
      </w:r>
      <w:r w:rsidR="0072301B" w:rsidRPr="007F62D5">
        <w:rPr>
          <w:lang w:val="en-GB"/>
        </w:rPr>
        <w:t xml:space="preserve">first offender. </w:t>
      </w:r>
      <w:r w:rsidR="00063C37" w:rsidRPr="007F62D5">
        <w:rPr>
          <w:lang w:val="en-GB"/>
        </w:rPr>
        <w:t>O</w:t>
      </w:r>
      <w:r w:rsidR="0072301B" w:rsidRPr="007F62D5">
        <w:rPr>
          <w:lang w:val="en-GB"/>
        </w:rPr>
        <w:t>ther factors</w:t>
      </w:r>
      <w:r w:rsidR="00E77C48" w:rsidRPr="007F62D5">
        <w:rPr>
          <w:lang w:val="en-GB"/>
        </w:rPr>
        <w:t>, including that the rape was carried out seemingly spontaneously and opportunistically on a single occasion,</w:t>
      </w:r>
      <w:r w:rsidR="0072301B" w:rsidRPr="007F62D5">
        <w:rPr>
          <w:lang w:val="en-GB"/>
        </w:rPr>
        <w:t xml:space="preserve"> carry less weight when </w:t>
      </w:r>
      <w:r w:rsidR="0072301B" w:rsidRPr="007F62D5">
        <w:rPr>
          <w:lang w:val="en-GB"/>
        </w:rPr>
        <w:lastRenderedPageBreak/>
        <w:t>given proper consideration. His level of education</w:t>
      </w:r>
      <w:r w:rsidR="00D340E2" w:rsidRPr="007F62D5">
        <w:rPr>
          <w:lang w:val="en-GB"/>
        </w:rPr>
        <w:t>, although low,</w:t>
      </w:r>
      <w:r w:rsidR="0072301B" w:rsidRPr="007F62D5">
        <w:rPr>
          <w:lang w:val="en-GB"/>
        </w:rPr>
        <w:t xml:space="preserve"> is </w:t>
      </w:r>
      <w:r w:rsidR="003D36F0" w:rsidRPr="007F62D5">
        <w:rPr>
          <w:lang w:val="en-GB"/>
        </w:rPr>
        <w:t>not unusual</w:t>
      </w:r>
      <w:r w:rsidR="0072301B" w:rsidRPr="007F62D5">
        <w:rPr>
          <w:lang w:val="en-GB"/>
        </w:rPr>
        <w:t xml:space="preserve"> and</w:t>
      </w:r>
      <w:r w:rsidR="0035603F" w:rsidRPr="007F62D5">
        <w:rPr>
          <w:lang w:val="en-GB"/>
        </w:rPr>
        <w:t xml:space="preserve"> there is no basis for suggesting any remorse</w:t>
      </w:r>
      <w:r w:rsidR="0072301B" w:rsidRPr="007F62D5">
        <w:rPr>
          <w:lang w:val="en-GB"/>
        </w:rPr>
        <w:t xml:space="preserve">. </w:t>
      </w:r>
      <w:r w:rsidR="00C95041" w:rsidRPr="007F62D5">
        <w:rPr>
          <w:lang w:val="en-GB"/>
        </w:rPr>
        <w:t>On the whole,</w:t>
      </w:r>
      <w:r w:rsidR="00E93E74" w:rsidRPr="007F62D5">
        <w:rPr>
          <w:lang w:val="en-GB"/>
        </w:rPr>
        <w:t xml:space="preserve"> however,</w:t>
      </w:r>
      <w:r w:rsidR="00C95041" w:rsidRPr="007F62D5">
        <w:rPr>
          <w:lang w:val="en-GB"/>
        </w:rPr>
        <w:t xml:space="preserve"> </w:t>
      </w:r>
      <w:r w:rsidR="00B42569" w:rsidRPr="007F62D5">
        <w:rPr>
          <w:lang w:val="en-GB"/>
        </w:rPr>
        <w:t xml:space="preserve">I consider the circumstances to be weighty enough so as to warrant departure from the prescribed minimum. </w:t>
      </w:r>
      <w:r w:rsidR="00C8491A" w:rsidRPr="007F62D5">
        <w:rPr>
          <w:lang w:val="en-GB"/>
        </w:rPr>
        <w:t>The fact that a prescribed sentence is considered disproportionate is itself a basis to find that there are substantial and compelling circumstances to warrant a departure from a prescribed sentence.</w:t>
      </w:r>
      <w:r w:rsidR="00C8491A">
        <w:rPr>
          <w:rStyle w:val="FootnoteReference"/>
          <w:lang w:val="en-GB"/>
        </w:rPr>
        <w:footnoteReference w:id="25"/>
      </w:r>
      <w:r w:rsidR="00C8491A" w:rsidRPr="007F62D5">
        <w:rPr>
          <w:lang w:val="en-GB"/>
        </w:rPr>
        <w:t xml:space="preserve"> </w:t>
      </w:r>
      <w:r w:rsidR="005212BB" w:rsidRPr="007F62D5">
        <w:rPr>
          <w:lang w:val="en-GB"/>
        </w:rPr>
        <w:t xml:space="preserve">As Goosen J, as he then was, held in </w:t>
      </w:r>
      <w:r w:rsidR="005212BB" w:rsidRPr="007F62D5">
        <w:rPr>
          <w:i/>
          <w:iCs/>
          <w:lang w:val="en-GB"/>
        </w:rPr>
        <w:t>S v Weideman</w:t>
      </w:r>
      <w:r w:rsidR="005212BB" w:rsidRPr="007F62D5">
        <w:rPr>
          <w:lang w:val="en-GB"/>
        </w:rPr>
        <w:t>:</w:t>
      </w:r>
      <w:r w:rsidR="005E20E4">
        <w:rPr>
          <w:rStyle w:val="FootnoteReference"/>
          <w:lang w:val="en-GB"/>
        </w:rPr>
        <w:footnoteReference w:id="26"/>
      </w:r>
    </w:p>
    <w:p w14:paraId="2CAD044E" w14:textId="70BA8688" w:rsidR="005212BB" w:rsidRPr="005212BB" w:rsidRDefault="005212BB" w:rsidP="005212BB">
      <w:pPr>
        <w:autoSpaceDE w:val="0"/>
        <w:autoSpaceDN w:val="0"/>
        <w:adjustRightInd w:val="0"/>
        <w:ind w:left="142"/>
        <w:jc w:val="both"/>
        <w:rPr>
          <w:sz w:val="22"/>
          <w:szCs w:val="22"/>
          <w:lang w:val="en-GB"/>
        </w:rPr>
      </w:pPr>
      <w:r>
        <w:rPr>
          <w:sz w:val="22"/>
          <w:szCs w:val="22"/>
          <w:lang w:val="en-GB"/>
        </w:rPr>
        <w:t>‘Life imprisonment is the most severe sentence that can be imposed by a court. For this reason it is, generally speaking, reserved for the most serious and egregious criminal acts. It is also reserved for those instances where the criminal poses a clear and present danger to the society and where there is little or no prospect of rehabilitation of the criminal and reintegration of that individual into society. This does not however mean that a court should keep something in reserve on the basis that some more serious manifestation of the crime can be imagined. It means only that the sentence of life imprisonment must be proportionate to the nature of crime for which it is imposed.’</w:t>
      </w:r>
    </w:p>
    <w:p w14:paraId="6892EE8A" w14:textId="77777777" w:rsidR="005212BB" w:rsidRPr="005212BB" w:rsidRDefault="005212BB" w:rsidP="005212BB">
      <w:pPr>
        <w:pStyle w:val="ListParagraph"/>
        <w:rPr>
          <w:lang w:val="en-GB"/>
        </w:rPr>
      </w:pPr>
    </w:p>
    <w:p w14:paraId="4B7856C8" w14:textId="06EA607D" w:rsidR="005F1CFF" w:rsidRPr="007F62D5" w:rsidRDefault="007F62D5" w:rsidP="007F62D5">
      <w:pPr>
        <w:autoSpaceDE w:val="0"/>
        <w:autoSpaceDN w:val="0"/>
        <w:adjustRightInd w:val="0"/>
        <w:ind w:left="142" w:hanging="142"/>
        <w:jc w:val="both"/>
        <w:rPr>
          <w:lang w:val="en-GB"/>
        </w:rPr>
      </w:pPr>
      <w:r w:rsidRPr="00C95041">
        <w:rPr>
          <w:lang w:val="en-GB"/>
        </w:rPr>
        <w:t>[18]</w:t>
      </w:r>
      <w:r w:rsidRPr="00C95041">
        <w:rPr>
          <w:lang w:val="en-GB"/>
        </w:rPr>
        <w:tab/>
      </w:r>
      <w:r w:rsidR="001F58F4" w:rsidRPr="007F62D5">
        <w:rPr>
          <w:lang w:val="en-GB"/>
        </w:rPr>
        <w:t xml:space="preserve">Life sentences are undoubtedly appropriate sentences, in general terms, to impose upon criminals who rape children. The question remains whether it is the appropriate sentence in this instance. </w:t>
      </w:r>
      <w:r w:rsidR="00B42569" w:rsidRPr="007F62D5">
        <w:rPr>
          <w:lang w:val="en-GB"/>
        </w:rPr>
        <w:t xml:space="preserve">It would, in my view, be unjust and disproportionate to impose a life sentence on Mr </w:t>
      </w:r>
      <w:r w:rsidR="00D6349D" w:rsidRPr="007F62D5">
        <w:rPr>
          <w:lang w:val="en-GB"/>
        </w:rPr>
        <w:t>Botha</w:t>
      </w:r>
      <w:r w:rsidR="00B42569" w:rsidRPr="007F62D5">
        <w:rPr>
          <w:lang w:val="en-GB"/>
        </w:rPr>
        <w:t xml:space="preserve"> given his clean record and </w:t>
      </w:r>
      <w:r w:rsidR="0028077A" w:rsidRPr="007F62D5">
        <w:rPr>
          <w:lang w:val="en-GB"/>
        </w:rPr>
        <w:t>age</w:t>
      </w:r>
      <w:r w:rsidR="008B6023" w:rsidRPr="007F62D5">
        <w:rPr>
          <w:lang w:val="en-GB"/>
        </w:rPr>
        <w:t>, and these circumstances are entered into the record as substantial and compelling on the facts of this case</w:t>
      </w:r>
      <w:r w:rsidR="00B42569" w:rsidRPr="007F62D5">
        <w:rPr>
          <w:lang w:val="en-GB"/>
        </w:rPr>
        <w:t>.</w:t>
      </w:r>
      <w:r w:rsidR="001D60FB">
        <w:rPr>
          <w:rStyle w:val="FootnoteReference"/>
          <w:lang w:val="en-GB"/>
        </w:rPr>
        <w:footnoteReference w:id="27"/>
      </w:r>
      <w:r w:rsidR="00B42569" w:rsidRPr="007F62D5">
        <w:rPr>
          <w:lang w:val="en-GB"/>
        </w:rPr>
        <w:t xml:space="preserve"> </w:t>
      </w:r>
    </w:p>
    <w:p w14:paraId="1876989F" w14:textId="77777777" w:rsidR="008A0676" w:rsidRPr="00AD07AA" w:rsidRDefault="008A0676" w:rsidP="00AD07AA">
      <w:pPr>
        <w:autoSpaceDE w:val="0"/>
        <w:autoSpaceDN w:val="0"/>
        <w:adjustRightInd w:val="0"/>
        <w:jc w:val="both"/>
        <w:rPr>
          <w:b/>
          <w:bCs/>
          <w:lang w:val="en-GB"/>
        </w:rPr>
      </w:pPr>
    </w:p>
    <w:p w14:paraId="64C5ADD7" w14:textId="15C82DFA" w:rsidR="00CD2CAD" w:rsidRPr="007F62D5" w:rsidRDefault="007F62D5" w:rsidP="007F62D5">
      <w:pPr>
        <w:autoSpaceDE w:val="0"/>
        <w:autoSpaceDN w:val="0"/>
        <w:adjustRightInd w:val="0"/>
        <w:ind w:left="142" w:hanging="142"/>
        <w:jc w:val="both"/>
        <w:rPr>
          <w:lang w:val="en-GB"/>
        </w:rPr>
      </w:pPr>
      <w:r w:rsidRPr="00BD7A75">
        <w:rPr>
          <w:lang w:val="en-GB"/>
        </w:rPr>
        <w:t>[19]</w:t>
      </w:r>
      <w:r w:rsidRPr="00BD7A75">
        <w:rPr>
          <w:lang w:val="en-GB"/>
        </w:rPr>
        <w:tab/>
      </w:r>
      <w:r w:rsidR="00590C78" w:rsidRPr="007F62D5">
        <w:rPr>
          <w:lang w:val="en-GB"/>
        </w:rPr>
        <w:t>T</w:t>
      </w:r>
      <w:r w:rsidR="00231367" w:rsidRPr="007F62D5">
        <w:rPr>
          <w:lang w:val="en-US"/>
        </w:rPr>
        <w:t xml:space="preserve">he court is </w:t>
      </w:r>
      <w:r w:rsidR="00590C78" w:rsidRPr="007F62D5">
        <w:rPr>
          <w:lang w:val="en-US"/>
        </w:rPr>
        <w:t>now</w:t>
      </w:r>
      <w:r w:rsidR="00231367" w:rsidRPr="007F62D5">
        <w:rPr>
          <w:lang w:val="en-US"/>
        </w:rPr>
        <w:t xml:space="preserve"> enjoined to consider an appropriate sentence</w:t>
      </w:r>
      <w:r w:rsidR="00D74CDF" w:rsidRPr="007F62D5">
        <w:rPr>
          <w:lang w:val="en-US"/>
        </w:rPr>
        <w:t xml:space="preserve"> </w:t>
      </w:r>
      <w:r w:rsidR="00231367" w:rsidRPr="007F62D5">
        <w:rPr>
          <w:lang w:val="en-US"/>
        </w:rPr>
        <w:t xml:space="preserve">and must exercise a reasoned discretion in </w:t>
      </w:r>
      <w:r w:rsidR="00B67243" w:rsidRPr="007F62D5">
        <w:rPr>
          <w:lang w:val="en-US"/>
        </w:rPr>
        <w:t>evaluating the various relevant factors</w:t>
      </w:r>
      <w:r w:rsidR="007D367A" w:rsidRPr="007F62D5">
        <w:rPr>
          <w:lang w:val="en-US"/>
        </w:rPr>
        <w:t xml:space="preserve"> highlighted above in order to arrive at a proportionate outcome.</w:t>
      </w:r>
      <w:r w:rsidR="00BD7A75" w:rsidRPr="007F62D5">
        <w:rPr>
          <w:lang w:val="en-US"/>
        </w:rPr>
        <w:t xml:space="preserve"> </w:t>
      </w:r>
      <w:r w:rsidR="003E4F79" w:rsidRPr="007F62D5">
        <w:rPr>
          <w:lang w:val="en-US"/>
        </w:rPr>
        <w:t xml:space="preserve"> </w:t>
      </w:r>
      <w:r w:rsidR="00A54565" w:rsidRPr="007F62D5">
        <w:rPr>
          <w:lang w:val="en-US"/>
        </w:rPr>
        <w:t>It goes without saying that the task is a complex and onerous one</w:t>
      </w:r>
      <w:r w:rsidR="00DD0615" w:rsidRPr="007F62D5">
        <w:rPr>
          <w:lang w:val="en-US"/>
        </w:rPr>
        <w:t>, involving various competing considerations</w:t>
      </w:r>
      <w:r w:rsidR="00A54565" w:rsidRPr="007F62D5">
        <w:rPr>
          <w:lang w:val="en-US"/>
        </w:rPr>
        <w:t xml:space="preserve">. </w:t>
      </w:r>
      <w:r w:rsidR="003E4F79" w:rsidRPr="007F62D5">
        <w:rPr>
          <w:lang w:val="en-US"/>
        </w:rPr>
        <w:t xml:space="preserve">The requirement of proportionality applies equally in relation to </w:t>
      </w:r>
      <w:r w:rsidR="00901166" w:rsidRPr="007F62D5">
        <w:rPr>
          <w:lang w:val="en-US"/>
        </w:rPr>
        <w:t xml:space="preserve">cases where </w:t>
      </w:r>
      <w:r w:rsidR="003E4F79" w:rsidRPr="007F62D5">
        <w:rPr>
          <w:lang w:val="en-US"/>
        </w:rPr>
        <w:t xml:space="preserve">sentences </w:t>
      </w:r>
      <w:r w:rsidR="00901166" w:rsidRPr="007F62D5">
        <w:rPr>
          <w:lang w:val="en-US"/>
        </w:rPr>
        <w:t xml:space="preserve">have been </w:t>
      </w:r>
      <w:r w:rsidR="003E4F79" w:rsidRPr="007F62D5">
        <w:rPr>
          <w:lang w:val="en-US"/>
        </w:rPr>
        <w:t>prescribed by legislation.</w:t>
      </w:r>
      <w:r w:rsidR="005B4AE5">
        <w:rPr>
          <w:rStyle w:val="FootnoteReference"/>
          <w:lang w:val="en-US"/>
        </w:rPr>
        <w:footnoteReference w:id="28"/>
      </w:r>
      <w:r w:rsidR="003E4F79" w:rsidRPr="007F62D5">
        <w:rPr>
          <w:lang w:val="en-US"/>
        </w:rPr>
        <w:t xml:space="preserve"> </w:t>
      </w:r>
      <w:r w:rsidR="00DC12A9" w:rsidRPr="007F62D5">
        <w:rPr>
          <w:lang w:val="en-GB"/>
        </w:rPr>
        <w:t>It cannot be ignored that g</w:t>
      </w:r>
      <w:r w:rsidR="00834E4D" w:rsidRPr="007F62D5">
        <w:rPr>
          <w:lang w:val="en-GB"/>
        </w:rPr>
        <w:t>ender-based violence</w:t>
      </w:r>
      <w:r w:rsidR="007B5893" w:rsidRPr="007F62D5">
        <w:rPr>
          <w:lang w:val="en-GB"/>
        </w:rPr>
        <w:t xml:space="preserve">, including child rape, continues to </w:t>
      </w:r>
      <w:r w:rsidR="00ED76FB" w:rsidRPr="007F62D5">
        <w:rPr>
          <w:lang w:val="en-GB"/>
        </w:rPr>
        <w:t>devastate lives and negatively impact upon families and communities</w:t>
      </w:r>
      <w:r w:rsidR="00834E4D" w:rsidRPr="007F62D5">
        <w:rPr>
          <w:lang w:val="en-GB"/>
        </w:rPr>
        <w:t xml:space="preserve">. Sadly, many women, including children, live in </w:t>
      </w:r>
      <w:r w:rsidR="00834E4D" w:rsidRPr="007F62D5">
        <w:rPr>
          <w:lang w:val="en-GB"/>
        </w:rPr>
        <w:lastRenderedPageBreak/>
        <w:t>constant fear of precisely this type of occurrence</w:t>
      </w:r>
      <w:r w:rsidR="00B70EE3" w:rsidRPr="007F62D5">
        <w:rPr>
          <w:lang w:val="en-GB"/>
        </w:rPr>
        <w:t>.</w:t>
      </w:r>
      <w:r w:rsidR="00B66432" w:rsidRPr="007F62D5">
        <w:rPr>
          <w:lang w:val="en-GB"/>
        </w:rPr>
        <w:t xml:space="preserve"> </w:t>
      </w:r>
      <w:r w:rsidR="00CD2CAD" w:rsidRPr="007F62D5">
        <w:rPr>
          <w:lang w:val="en-GB"/>
        </w:rPr>
        <w:t xml:space="preserve">The remarks of the court in </w:t>
      </w:r>
      <w:r w:rsidR="00CD2CAD" w:rsidRPr="007F62D5">
        <w:rPr>
          <w:i/>
          <w:iCs/>
          <w:lang w:val="en-GB"/>
        </w:rPr>
        <w:t>S v Ro and Another</w:t>
      </w:r>
      <w:r w:rsidR="00CD2CAD">
        <w:rPr>
          <w:rStyle w:val="FootnoteReference"/>
          <w:lang w:val="en-GB"/>
        </w:rPr>
        <w:footnoteReference w:id="29"/>
      </w:r>
      <w:r w:rsidR="00CD2CAD" w:rsidRPr="007F62D5">
        <w:rPr>
          <w:i/>
          <w:iCs/>
          <w:lang w:val="en-GB"/>
        </w:rPr>
        <w:t xml:space="preserve"> </w:t>
      </w:r>
      <w:r w:rsidR="00CD2CAD" w:rsidRPr="007F62D5">
        <w:rPr>
          <w:lang w:val="en-GB"/>
        </w:rPr>
        <w:t xml:space="preserve">are apposite: </w:t>
      </w:r>
    </w:p>
    <w:p w14:paraId="0EAB021A" w14:textId="5A82F473" w:rsidR="00CD2CAD" w:rsidRDefault="00CD2CAD" w:rsidP="00CD2CAD">
      <w:pPr>
        <w:pStyle w:val="ListParagraph"/>
        <w:autoSpaceDE w:val="0"/>
        <w:autoSpaceDN w:val="0"/>
        <w:adjustRightInd w:val="0"/>
        <w:ind w:left="142"/>
        <w:jc w:val="both"/>
        <w:rPr>
          <w:sz w:val="22"/>
          <w:szCs w:val="22"/>
          <w:lang w:val="en-GB"/>
        </w:rPr>
      </w:pPr>
      <w:r>
        <w:rPr>
          <w:sz w:val="22"/>
          <w:szCs w:val="22"/>
          <w:lang w:val="en-GB"/>
        </w:rPr>
        <w:t xml:space="preserve">‘The moral reprehensibility of rape and society’s abhorrence of this rampant scourge are unquestioned. The most cursory scrutiny of our law reports bears testimony to the fact that our courts have, rightly so, visited this offence with severe penalties. This reprehensibility and abhorrence are so much more pronounced in the instances of the rape of very young children, as is the case here. … </w:t>
      </w:r>
      <w:r w:rsidR="00D72CDB">
        <w:rPr>
          <w:sz w:val="22"/>
          <w:szCs w:val="22"/>
          <w:lang w:val="en-GB"/>
        </w:rPr>
        <w:t>[T]</w:t>
      </w:r>
      <w:r>
        <w:rPr>
          <w:sz w:val="22"/>
          <w:szCs w:val="22"/>
          <w:lang w:val="en-GB"/>
        </w:rPr>
        <w:t xml:space="preserve">he complainant was an innocent, defenceless and vulnerable victim.’ </w:t>
      </w:r>
    </w:p>
    <w:p w14:paraId="4CDE95B8" w14:textId="77777777" w:rsidR="00CD2CAD" w:rsidRDefault="00CD2CAD" w:rsidP="00CD2CAD">
      <w:pPr>
        <w:pStyle w:val="ListParagraph"/>
        <w:autoSpaceDE w:val="0"/>
        <w:autoSpaceDN w:val="0"/>
        <w:adjustRightInd w:val="0"/>
        <w:ind w:left="142"/>
        <w:jc w:val="both"/>
        <w:rPr>
          <w:sz w:val="22"/>
          <w:szCs w:val="22"/>
          <w:lang w:val="en-GB"/>
        </w:rPr>
      </w:pPr>
    </w:p>
    <w:p w14:paraId="4BCAD1FC" w14:textId="5DA4EB01" w:rsidR="00F6573A" w:rsidRPr="007F62D5" w:rsidRDefault="007F62D5" w:rsidP="007F62D5">
      <w:pPr>
        <w:autoSpaceDE w:val="0"/>
        <w:autoSpaceDN w:val="0"/>
        <w:adjustRightInd w:val="0"/>
        <w:ind w:left="142" w:hanging="142"/>
        <w:jc w:val="both"/>
        <w:rPr>
          <w:lang w:val="en-GB"/>
        </w:rPr>
      </w:pPr>
      <w:r>
        <w:rPr>
          <w:lang w:val="en-GB"/>
        </w:rPr>
        <w:t>[20]</w:t>
      </w:r>
      <w:r>
        <w:rPr>
          <w:lang w:val="en-GB"/>
        </w:rPr>
        <w:tab/>
      </w:r>
      <w:r w:rsidR="00834E4D" w:rsidRPr="007F62D5">
        <w:rPr>
          <w:lang w:val="en-GB"/>
        </w:rPr>
        <w:t xml:space="preserve">Given the circumstances, a </w:t>
      </w:r>
      <w:r w:rsidR="00D4768C" w:rsidRPr="007F62D5">
        <w:rPr>
          <w:lang w:val="en-GB"/>
        </w:rPr>
        <w:t xml:space="preserve">lengthy </w:t>
      </w:r>
      <w:r w:rsidR="00834E4D" w:rsidRPr="007F62D5">
        <w:rPr>
          <w:lang w:val="en-GB"/>
        </w:rPr>
        <w:t>sentence of direct imprisonment is unquestionably warranted.</w:t>
      </w:r>
      <w:r w:rsidR="00834E4D">
        <w:rPr>
          <w:rStyle w:val="FootnoteReference"/>
          <w:lang w:val="en-GB"/>
        </w:rPr>
        <w:footnoteReference w:id="30"/>
      </w:r>
      <w:r w:rsidR="00834E4D" w:rsidRPr="007F62D5">
        <w:rPr>
          <w:lang w:val="en-GB"/>
        </w:rPr>
        <w:t xml:space="preserve"> </w:t>
      </w:r>
      <w:r w:rsidR="0067007D" w:rsidRPr="007F62D5">
        <w:rPr>
          <w:lang w:val="en-GB"/>
        </w:rPr>
        <w:t xml:space="preserve">But each situation is different and the nuances of the various considerations must be weighed. </w:t>
      </w:r>
      <w:r w:rsidR="003C55F4" w:rsidRPr="007F62D5">
        <w:rPr>
          <w:lang w:val="en-GB"/>
        </w:rPr>
        <w:t>In coming to a decision, I have accepted, based on the pre-sentencing psychological assessment report received, that Mr Botha is a normal young man who committed a despicable single act</w:t>
      </w:r>
      <w:r w:rsidR="00165D1A" w:rsidRPr="007F62D5">
        <w:rPr>
          <w:lang w:val="en-GB"/>
        </w:rPr>
        <w:t xml:space="preserve">, for which he has </w:t>
      </w:r>
      <w:r w:rsidR="00A26913" w:rsidRPr="007F62D5">
        <w:rPr>
          <w:lang w:val="en-GB"/>
        </w:rPr>
        <w:t>expressed</w:t>
      </w:r>
      <w:r w:rsidR="00165D1A" w:rsidRPr="007F62D5">
        <w:rPr>
          <w:lang w:val="en-GB"/>
        </w:rPr>
        <w:t xml:space="preserve"> no remorse</w:t>
      </w:r>
      <w:r w:rsidR="003C55F4" w:rsidRPr="007F62D5">
        <w:rPr>
          <w:lang w:val="en-GB"/>
        </w:rPr>
        <w:t>.</w:t>
      </w:r>
      <w:r w:rsidR="003C55F4">
        <w:rPr>
          <w:rStyle w:val="FootnoteReference"/>
          <w:lang w:val="en-GB"/>
        </w:rPr>
        <w:footnoteReference w:id="31"/>
      </w:r>
      <w:r w:rsidR="003C55F4" w:rsidRPr="007F62D5">
        <w:rPr>
          <w:lang w:val="en-GB"/>
        </w:rPr>
        <w:t xml:space="preserve"> </w:t>
      </w:r>
      <w:r w:rsidR="00AF42BD" w:rsidRPr="007F62D5">
        <w:rPr>
          <w:lang w:val="en-GB"/>
        </w:rPr>
        <w:t xml:space="preserve">He has never previously fallen foul of the law. </w:t>
      </w:r>
      <w:r w:rsidR="003C55F4" w:rsidRPr="007F62D5">
        <w:rPr>
          <w:lang w:val="en-GB"/>
        </w:rPr>
        <w:t>T</w:t>
      </w:r>
      <w:r w:rsidR="00161052" w:rsidRPr="007F62D5">
        <w:rPr>
          <w:lang w:val="en-GB"/>
        </w:rPr>
        <w:t xml:space="preserve">he offence </w:t>
      </w:r>
      <w:r w:rsidR="006B1222" w:rsidRPr="007F62D5">
        <w:rPr>
          <w:lang w:val="en-GB"/>
        </w:rPr>
        <w:t xml:space="preserve">he committed </w:t>
      </w:r>
      <w:r w:rsidR="00161052" w:rsidRPr="007F62D5">
        <w:rPr>
          <w:lang w:val="en-GB"/>
        </w:rPr>
        <w:t>is by its nature</w:t>
      </w:r>
      <w:r w:rsidR="00B832B4" w:rsidRPr="007F62D5">
        <w:rPr>
          <w:lang w:val="en-GB"/>
        </w:rPr>
        <w:t xml:space="preserve"> </w:t>
      </w:r>
      <w:r w:rsidR="0030324F" w:rsidRPr="007F62D5">
        <w:rPr>
          <w:lang w:val="en-GB"/>
        </w:rPr>
        <w:t xml:space="preserve">extremely </w:t>
      </w:r>
      <w:r w:rsidR="00B832B4" w:rsidRPr="007F62D5">
        <w:rPr>
          <w:lang w:val="en-GB"/>
        </w:rPr>
        <w:t>serious and involved gender-based violence</w:t>
      </w:r>
      <w:r w:rsidR="00161052" w:rsidRPr="007F62D5">
        <w:rPr>
          <w:lang w:val="en-GB"/>
        </w:rPr>
        <w:t>.</w:t>
      </w:r>
      <w:r w:rsidR="006660BC" w:rsidRPr="007F62D5">
        <w:rPr>
          <w:lang w:val="en-GB"/>
        </w:rPr>
        <w:t xml:space="preserve"> While Mr Botha was a family relative, it cannot be said that he held a position of trust similar to cases that have considered this as an aggravating feature.</w:t>
      </w:r>
      <w:r w:rsidR="006660BC">
        <w:rPr>
          <w:rStyle w:val="FootnoteReference"/>
          <w:lang w:val="en-GB"/>
        </w:rPr>
        <w:footnoteReference w:id="32"/>
      </w:r>
      <w:r w:rsidR="006660BC" w:rsidRPr="007F62D5">
        <w:rPr>
          <w:lang w:val="en-GB"/>
        </w:rPr>
        <w:t xml:space="preserve"> </w:t>
      </w:r>
      <w:r w:rsidR="0058213C" w:rsidRPr="007F62D5">
        <w:rPr>
          <w:lang w:val="en-GB"/>
        </w:rPr>
        <w:t xml:space="preserve">I have also considered that the incident occurred away from the child’s home. </w:t>
      </w:r>
      <w:r w:rsidR="00B8195F" w:rsidRPr="007F62D5">
        <w:rPr>
          <w:lang w:val="en-GB"/>
        </w:rPr>
        <w:t>Leaving aside the physical injuries,</w:t>
      </w:r>
      <w:r w:rsidR="006707AE" w:rsidRPr="007F62D5">
        <w:rPr>
          <w:lang w:val="en-GB"/>
        </w:rPr>
        <w:t xml:space="preserve"> the psychological impact is likely to be long-lasting.</w:t>
      </w:r>
      <w:r w:rsidR="00B862B9" w:rsidRPr="007F62D5">
        <w:rPr>
          <w:lang w:val="en-GB"/>
        </w:rPr>
        <w:t xml:space="preserve"> </w:t>
      </w:r>
      <w:r w:rsidR="001E36E6" w:rsidRPr="007F62D5">
        <w:rPr>
          <w:lang w:val="en-GB"/>
        </w:rPr>
        <w:t xml:space="preserve">Regrettably, no imposition of punishment on the offender will restore the childhood that has been stripped from the victim. </w:t>
      </w:r>
      <w:r w:rsidR="004B2E41" w:rsidRPr="007F62D5">
        <w:rPr>
          <w:lang w:val="en-GB"/>
        </w:rPr>
        <w:t xml:space="preserve">I have noted that one of the consequences of the rape has been a reported family breakdown. </w:t>
      </w:r>
      <w:r w:rsidR="000E0235" w:rsidRPr="007F62D5">
        <w:rPr>
          <w:lang w:val="en-GB"/>
        </w:rPr>
        <w:t xml:space="preserve">It is to be hoped that the damage to family relations brought about by Mr Botha’s criminal conduct may, over time, be repaired. </w:t>
      </w:r>
    </w:p>
    <w:p w14:paraId="2EC1F958" w14:textId="77777777" w:rsidR="00F6573A" w:rsidRDefault="00F6573A" w:rsidP="00F6573A">
      <w:pPr>
        <w:pStyle w:val="ListParagraph"/>
        <w:autoSpaceDE w:val="0"/>
        <w:autoSpaceDN w:val="0"/>
        <w:adjustRightInd w:val="0"/>
        <w:ind w:left="142"/>
        <w:jc w:val="both"/>
        <w:rPr>
          <w:lang w:val="en-GB"/>
        </w:rPr>
      </w:pPr>
    </w:p>
    <w:p w14:paraId="2409A67B" w14:textId="55F59CCC" w:rsidR="00590C78" w:rsidRPr="007F62D5" w:rsidRDefault="007F62D5" w:rsidP="007F62D5">
      <w:pPr>
        <w:autoSpaceDE w:val="0"/>
        <w:autoSpaceDN w:val="0"/>
        <w:adjustRightInd w:val="0"/>
        <w:ind w:left="142" w:hanging="142"/>
        <w:jc w:val="both"/>
        <w:rPr>
          <w:lang w:val="en-GB"/>
        </w:rPr>
      </w:pPr>
      <w:r w:rsidRPr="002C40E6">
        <w:rPr>
          <w:lang w:val="en-GB"/>
        </w:rPr>
        <w:t>[21]</w:t>
      </w:r>
      <w:r w:rsidRPr="002C40E6">
        <w:rPr>
          <w:lang w:val="en-GB"/>
        </w:rPr>
        <w:tab/>
      </w:r>
      <w:r w:rsidR="005A7BE7" w:rsidRPr="007F62D5">
        <w:rPr>
          <w:lang w:val="en-GB"/>
        </w:rPr>
        <w:t>Balancing the various considerations in the light of</w:t>
      </w:r>
      <w:r w:rsidR="005A3BBA" w:rsidRPr="007F62D5">
        <w:rPr>
          <w:lang w:val="en-GB"/>
        </w:rPr>
        <w:t xml:space="preserve"> all the circumstances, I consider a sentence of </w:t>
      </w:r>
      <w:r w:rsidR="003F127A" w:rsidRPr="007F62D5">
        <w:rPr>
          <w:lang w:val="en-GB"/>
        </w:rPr>
        <w:t>1</w:t>
      </w:r>
      <w:r w:rsidR="00B8719E" w:rsidRPr="007F62D5">
        <w:rPr>
          <w:lang w:val="en-GB"/>
        </w:rPr>
        <w:t>8</w:t>
      </w:r>
      <w:r w:rsidR="005A3BBA" w:rsidRPr="007F62D5">
        <w:rPr>
          <w:lang w:val="en-GB"/>
        </w:rPr>
        <w:t xml:space="preserve"> years’ imprisonment to be appropriate</w:t>
      </w:r>
      <w:r w:rsidR="00613BAA" w:rsidRPr="007F62D5">
        <w:rPr>
          <w:lang w:val="en-GB"/>
        </w:rPr>
        <w:t xml:space="preserve">, giving Mr </w:t>
      </w:r>
      <w:r w:rsidR="00C3441D" w:rsidRPr="007F62D5">
        <w:rPr>
          <w:lang w:val="en-GB"/>
        </w:rPr>
        <w:t>Botha</w:t>
      </w:r>
      <w:r w:rsidR="00613BAA" w:rsidRPr="007F62D5">
        <w:rPr>
          <w:lang w:val="en-GB"/>
        </w:rPr>
        <w:t xml:space="preserve"> </w:t>
      </w:r>
      <w:r w:rsidR="003F127A" w:rsidRPr="007F62D5">
        <w:rPr>
          <w:lang w:val="en-GB"/>
        </w:rPr>
        <w:t>some</w:t>
      </w:r>
      <w:r w:rsidR="00613BAA" w:rsidRPr="007F62D5">
        <w:rPr>
          <w:lang w:val="en-GB"/>
        </w:rPr>
        <w:t xml:space="preserve"> opportunity to rehabilitate</w:t>
      </w:r>
      <w:r w:rsidR="004D7FB6" w:rsidRPr="007F62D5">
        <w:rPr>
          <w:lang w:val="en-GB"/>
        </w:rPr>
        <w:t xml:space="preserve"> while punishing him heavily for his conduct</w:t>
      </w:r>
      <w:r w:rsidR="00BD3CC4" w:rsidRPr="007F62D5">
        <w:rPr>
          <w:lang w:val="en-GB"/>
        </w:rPr>
        <w:t xml:space="preserve"> and the harm he has caused to his victim and to society</w:t>
      </w:r>
      <w:r w:rsidR="005A3BBA" w:rsidRPr="007F62D5">
        <w:rPr>
          <w:lang w:val="en-GB"/>
        </w:rPr>
        <w:t>.</w:t>
      </w:r>
      <w:r w:rsidR="002C40E6" w:rsidRPr="007F62D5">
        <w:rPr>
          <w:lang w:val="en-GB"/>
        </w:rPr>
        <w:t xml:space="preserve"> </w:t>
      </w:r>
      <w:r w:rsidR="00590C78" w:rsidRPr="007F62D5">
        <w:rPr>
          <w:lang w:val="en-GB"/>
        </w:rPr>
        <w:t xml:space="preserve">Given the nature of the offence, </w:t>
      </w:r>
      <w:r w:rsidR="00590C78" w:rsidRPr="007F62D5">
        <w:rPr>
          <w:lang w:val="en-GB"/>
        </w:rPr>
        <w:lastRenderedPageBreak/>
        <w:t>various other consequences emanating from legislation follow. These have been included as part of the order.</w:t>
      </w:r>
    </w:p>
    <w:p w14:paraId="34A7A7D9" w14:textId="77777777" w:rsidR="00BA0086" w:rsidRPr="00D30CEE" w:rsidRDefault="00BA0086" w:rsidP="00D30CEE">
      <w:pPr>
        <w:autoSpaceDE w:val="0"/>
        <w:autoSpaceDN w:val="0"/>
        <w:adjustRightInd w:val="0"/>
        <w:jc w:val="both"/>
        <w:rPr>
          <w:lang w:val="en-GB"/>
        </w:rPr>
      </w:pPr>
    </w:p>
    <w:p w14:paraId="12832ED3" w14:textId="77777777" w:rsidR="008A0676" w:rsidRDefault="008A0676" w:rsidP="008A0676">
      <w:pPr>
        <w:jc w:val="both"/>
        <w:rPr>
          <w:b/>
          <w:bCs/>
          <w:lang w:val="en-GB"/>
        </w:rPr>
      </w:pPr>
      <w:r>
        <w:rPr>
          <w:b/>
          <w:bCs/>
          <w:lang w:val="en-GB"/>
        </w:rPr>
        <w:t>Order</w:t>
      </w:r>
    </w:p>
    <w:p w14:paraId="4DA805F4" w14:textId="77777777" w:rsidR="008A0676" w:rsidRDefault="008A0676" w:rsidP="008A0676">
      <w:pPr>
        <w:jc w:val="both"/>
        <w:rPr>
          <w:b/>
          <w:bCs/>
          <w:lang w:val="en-GB"/>
        </w:rPr>
      </w:pPr>
    </w:p>
    <w:p w14:paraId="41F94F69" w14:textId="3093993D" w:rsidR="008A0676" w:rsidRPr="00C93528" w:rsidRDefault="00C93528" w:rsidP="00C93528">
      <w:pPr>
        <w:jc w:val="both"/>
        <w:rPr>
          <w:lang w:val="en-GB"/>
        </w:rPr>
      </w:pPr>
      <w:r>
        <w:rPr>
          <w:lang w:val="en-GB"/>
        </w:rPr>
        <w:t xml:space="preserve">[20] </w:t>
      </w:r>
      <w:r>
        <w:rPr>
          <w:lang w:val="en-GB"/>
        </w:rPr>
        <w:tab/>
      </w:r>
      <w:r w:rsidR="008A0676" w:rsidRPr="00C93528">
        <w:rPr>
          <w:lang w:val="en-GB"/>
        </w:rPr>
        <w:t>The following sentence is imposed:</w:t>
      </w:r>
    </w:p>
    <w:p w14:paraId="14684CF5" w14:textId="77777777" w:rsidR="008A0676" w:rsidRDefault="008A0676" w:rsidP="008A0676">
      <w:pPr>
        <w:pStyle w:val="ListParagraph"/>
        <w:jc w:val="both"/>
        <w:rPr>
          <w:lang w:val="en-GB"/>
        </w:rPr>
      </w:pPr>
    </w:p>
    <w:p w14:paraId="005D165E" w14:textId="46F67CF0" w:rsidR="008A0676" w:rsidRPr="007F62D5" w:rsidRDefault="007F62D5" w:rsidP="007F62D5">
      <w:pPr>
        <w:ind w:left="1276" w:hanging="567"/>
        <w:jc w:val="both"/>
        <w:rPr>
          <w:lang w:val="en-GB"/>
        </w:rPr>
      </w:pPr>
      <w:r>
        <w:rPr>
          <w:lang w:val="en-GB"/>
        </w:rPr>
        <w:t>1.</w:t>
      </w:r>
      <w:r>
        <w:rPr>
          <w:lang w:val="en-GB"/>
        </w:rPr>
        <w:tab/>
      </w:r>
      <w:r w:rsidR="008A0676" w:rsidRPr="007F62D5">
        <w:rPr>
          <w:lang w:val="en-GB"/>
        </w:rPr>
        <w:t xml:space="preserve">The accused, </w:t>
      </w:r>
      <w:r w:rsidR="00406CDD" w:rsidRPr="007F62D5">
        <w:rPr>
          <w:lang w:val="en-GB"/>
        </w:rPr>
        <w:t>Philani Aiden Botha</w:t>
      </w:r>
      <w:r w:rsidR="008A0676" w:rsidRPr="007F62D5">
        <w:rPr>
          <w:lang w:val="en-GB"/>
        </w:rPr>
        <w:t xml:space="preserve">, is sentenced to </w:t>
      </w:r>
      <w:r w:rsidR="00BD7A75" w:rsidRPr="007F62D5">
        <w:rPr>
          <w:lang w:val="en-GB"/>
        </w:rPr>
        <w:t>1</w:t>
      </w:r>
      <w:r w:rsidR="00B8719E" w:rsidRPr="007F62D5">
        <w:rPr>
          <w:lang w:val="en-GB"/>
        </w:rPr>
        <w:t>8</w:t>
      </w:r>
      <w:r w:rsidR="00BD7A75" w:rsidRPr="007F62D5">
        <w:rPr>
          <w:lang w:val="en-GB"/>
        </w:rPr>
        <w:t xml:space="preserve"> years’</w:t>
      </w:r>
      <w:r w:rsidR="008A0676" w:rsidRPr="007F62D5">
        <w:rPr>
          <w:lang w:val="en-GB"/>
        </w:rPr>
        <w:t xml:space="preserve"> imprisonment in respect of the conviction of rape involving a </w:t>
      </w:r>
      <w:r w:rsidR="00873414" w:rsidRPr="007F62D5">
        <w:rPr>
          <w:lang w:val="en-GB"/>
        </w:rPr>
        <w:t>seven</w:t>
      </w:r>
      <w:r w:rsidR="008A0676" w:rsidRPr="007F62D5">
        <w:rPr>
          <w:lang w:val="en-GB"/>
        </w:rPr>
        <w:t>-year-old child.</w:t>
      </w:r>
    </w:p>
    <w:p w14:paraId="0E2FD2F1" w14:textId="51C92FD4" w:rsidR="008A0676" w:rsidRPr="007F62D5" w:rsidRDefault="007F62D5" w:rsidP="007F62D5">
      <w:pPr>
        <w:ind w:left="1276" w:hanging="567"/>
        <w:jc w:val="both"/>
        <w:rPr>
          <w:lang w:val="en-GB"/>
        </w:rPr>
      </w:pPr>
      <w:r>
        <w:rPr>
          <w:lang w:val="en-GB"/>
        </w:rPr>
        <w:t>2.</w:t>
      </w:r>
      <w:r>
        <w:rPr>
          <w:lang w:val="en-GB"/>
        </w:rPr>
        <w:tab/>
      </w:r>
      <w:r w:rsidR="008A0676" w:rsidRPr="007F62D5">
        <w:rPr>
          <w:lang w:val="en-GB"/>
        </w:rPr>
        <w:t>In terms of section 50(2) of the Criminal Law (Sexual Offences and Related Matters) Amendment Act 32 of 2007, the particulars of the accused, as a convicted sexual offender, must be included in the National Register for Sex Offenders.</w:t>
      </w:r>
    </w:p>
    <w:p w14:paraId="5BBC2345" w14:textId="195CCC13" w:rsidR="008A0676" w:rsidRPr="007F62D5" w:rsidRDefault="007F62D5" w:rsidP="007F62D5">
      <w:pPr>
        <w:ind w:left="1276" w:hanging="567"/>
        <w:jc w:val="both"/>
        <w:rPr>
          <w:lang w:val="en-GB"/>
        </w:rPr>
      </w:pPr>
      <w:r>
        <w:rPr>
          <w:lang w:val="en-GB"/>
        </w:rPr>
        <w:t>3.</w:t>
      </w:r>
      <w:r>
        <w:rPr>
          <w:lang w:val="en-GB"/>
        </w:rPr>
        <w:tab/>
      </w:r>
      <w:r w:rsidR="008A0676" w:rsidRPr="007F62D5">
        <w:rPr>
          <w:lang w:val="en-GB"/>
        </w:rPr>
        <w:t>In terms of section 120(4) of the Children’s Act 38 of 2005 and section 41 of the Criminal Law (Sexual Offences and Related Matters) Amendment Act 32 of 2007, the accused is declared to be unsuitable to work with children, and it is directed that his particulars be entered in Part B of the National Child Protection Register.</w:t>
      </w:r>
    </w:p>
    <w:p w14:paraId="5BA1ED5B" w14:textId="69E9651C" w:rsidR="008A0676" w:rsidRPr="007F62D5" w:rsidRDefault="007F62D5" w:rsidP="007F62D5">
      <w:pPr>
        <w:ind w:left="1276" w:hanging="567"/>
        <w:jc w:val="both"/>
        <w:rPr>
          <w:lang w:val="en-GB"/>
        </w:rPr>
      </w:pPr>
      <w:r w:rsidRPr="00C93528">
        <w:rPr>
          <w:lang w:val="en-GB"/>
        </w:rPr>
        <w:t>4.</w:t>
      </w:r>
      <w:r w:rsidRPr="00C93528">
        <w:rPr>
          <w:lang w:val="en-GB"/>
        </w:rPr>
        <w:tab/>
      </w:r>
      <w:r w:rsidR="008A0676" w:rsidRPr="007F62D5">
        <w:rPr>
          <w:lang w:val="en-GB"/>
        </w:rPr>
        <w:t>In terms of section 103(1) of the Firearms Control Act 60 of 2000, the accused is declared unfit to possess a firearm.</w:t>
      </w:r>
    </w:p>
    <w:p w14:paraId="6E1B9F90" w14:textId="77777777" w:rsidR="008A0676" w:rsidRDefault="008A0676" w:rsidP="008A0676">
      <w:pPr>
        <w:rPr>
          <w:lang w:val="en-GB"/>
        </w:rPr>
      </w:pPr>
    </w:p>
    <w:p w14:paraId="34C5398B" w14:textId="77777777" w:rsidR="008A0676" w:rsidRDefault="008A0676" w:rsidP="008A0676">
      <w:pPr>
        <w:rPr>
          <w:lang w:val="en-GB"/>
        </w:rPr>
      </w:pPr>
    </w:p>
    <w:p w14:paraId="407ED9ED" w14:textId="77777777" w:rsidR="00F136B0" w:rsidRDefault="00F136B0" w:rsidP="00F136B0">
      <w:pPr>
        <w:rPr>
          <w:lang w:val="en-US"/>
        </w:rPr>
      </w:pPr>
    </w:p>
    <w:p w14:paraId="3117877B" w14:textId="77777777" w:rsidR="003C3BC6" w:rsidRPr="00044B50" w:rsidRDefault="003C3BC6" w:rsidP="00AF6DF0">
      <w:pPr>
        <w:autoSpaceDE w:val="0"/>
        <w:autoSpaceDN w:val="0"/>
        <w:adjustRightInd w:val="0"/>
        <w:jc w:val="both"/>
        <w:rPr>
          <w:lang w:val="en-GB"/>
        </w:rPr>
      </w:pPr>
    </w:p>
    <w:p w14:paraId="38FC7F46" w14:textId="77777777" w:rsidR="003C3BC6" w:rsidRPr="00044B50" w:rsidRDefault="003C3BC6" w:rsidP="00682CE5">
      <w:pPr>
        <w:autoSpaceDE w:val="0"/>
        <w:autoSpaceDN w:val="0"/>
        <w:adjustRightInd w:val="0"/>
        <w:jc w:val="both"/>
        <w:rPr>
          <w:lang w:val="en-GB"/>
        </w:rPr>
      </w:pPr>
    </w:p>
    <w:p w14:paraId="363DCE68" w14:textId="3C4454A8" w:rsidR="00D450B5" w:rsidRPr="00044B50" w:rsidRDefault="00D450B5" w:rsidP="00D133F0">
      <w:pPr>
        <w:ind w:left="4320" w:firstLine="720"/>
        <w:jc w:val="both"/>
        <w:rPr>
          <w:lang w:val="en-GB"/>
        </w:rPr>
      </w:pPr>
      <w:r w:rsidRPr="00044B50">
        <w:rPr>
          <w:lang w:val="en-GB"/>
        </w:rPr>
        <w:t>_______________</w:t>
      </w:r>
      <w:r w:rsidR="00276100" w:rsidRPr="00044B50">
        <w:rPr>
          <w:lang w:val="en-GB"/>
        </w:rPr>
        <w:t>__________</w:t>
      </w:r>
      <w:r w:rsidRPr="00044B50">
        <w:rPr>
          <w:lang w:val="en-GB"/>
        </w:rPr>
        <w:t xml:space="preserve"> </w:t>
      </w:r>
    </w:p>
    <w:p w14:paraId="7C243A9A" w14:textId="77777777" w:rsidR="00D450B5" w:rsidRPr="00044B50" w:rsidRDefault="00D450B5" w:rsidP="004A5151">
      <w:pPr>
        <w:ind w:left="4320" w:firstLine="720"/>
        <w:jc w:val="both"/>
        <w:rPr>
          <w:b/>
          <w:bCs/>
          <w:lang w:val="en-GB"/>
        </w:rPr>
      </w:pPr>
      <w:r w:rsidRPr="00044B50">
        <w:rPr>
          <w:b/>
          <w:bCs/>
          <w:lang w:val="en-GB"/>
        </w:rPr>
        <w:t xml:space="preserve">A. GOVINDJEE                                                                                                                                                       </w:t>
      </w:r>
    </w:p>
    <w:p w14:paraId="14E92973" w14:textId="77777777" w:rsidR="00D450B5" w:rsidRPr="00044B50" w:rsidRDefault="00D450B5" w:rsidP="004A5151">
      <w:pPr>
        <w:ind w:left="4320" w:firstLine="720"/>
        <w:jc w:val="both"/>
        <w:rPr>
          <w:b/>
          <w:bCs/>
          <w:lang w:val="en-GB"/>
        </w:rPr>
      </w:pPr>
      <w:r w:rsidRPr="00044B50">
        <w:rPr>
          <w:b/>
          <w:bCs/>
          <w:lang w:val="en-GB"/>
        </w:rPr>
        <w:t>JUDGE OF THE HIGH COURT</w:t>
      </w:r>
    </w:p>
    <w:p w14:paraId="56442A86" w14:textId="4A1F9AD4" w:rsidR="00AA32DA" w:rsidRDefault="00AA32DA" w:rsidP="004A5151">
      <w:pPr>
        <w:autoSpaceDE w:val="0"/>
        <w:autoSpaceDN w:val="0"/>
        <w:adjustRightInd w:val="0"/>
        <w:jc w:val="both"/>
        <w:rPr>
          <w:lang w:val="en-GB"/>
        </w:rPr>
      </w:pPr>
    </w:p>
    <w:p w14:paraId="4E913372" w14:textId="77777777" w:rsidR="008A75F3" w:rsidRDefault="008A75F3" w:rsidP="008A75F3">
      <w:pPr>
        <w:widowControl w:val="0"/>
        <w:jc w:val="center"/>
        <w:rPr>
          <w:spacing w:val="14"/>
          <w:kern w:val="2"/>
          <w:lang w:val="en-GB"/>
        </w:rPr>
      </w:pPr>
    </w:p>
    <w:p w14:paraId="04EEEF0A" w14:textId="5AAA8285" w:rsidR="007A7BBE" w:rsidRDefault="007A7BBE" w:rsidP="008A75F3">
      <w:pPr>
        <w:widowControl w:val="0"/>
        <w:ind w:left="4320" w:firstLine="720"/>
        <w:rPr>
          <w:spacing w:val="14"/>
          <w:kern w:val="2"/>
          <w:lang w:val="en-GB"/>
        </w:rPr>
      </w:pPr>
      <w:r w:rsidRPr="0046744C">
        <w:rPr>
          <w:b/>
          <w:spacing w:val="14"/>
          <w:kern w:val="2"/>
          <w:lang w:val="en-GB"/>
        </w:rPr>
        <w:t>Heard</w:t>
      </w:r>
      <w:r w:rsidRPr="00A87D38">
        <w:rPr>
          <w:spacing w:val="14"/>
          <w:kern w:val="2"/>
          <w:lang w:val="en-GB"/>
        </w:rPr>
        <w:t>:</w:t>
      </w:r>
      <w:r w:rsidR="00DC4FD2">
        <w:rPr>
          <w:spacing w:val="14"/>
          <w:kern w:val="2"/>
          <w:lang w:val="en-GB"/>
        </w:rPr>
        <w:t>13-16,17 June 2022</w:t>
      </w:r>
      <w:r w:rsidR="003C0D4D">
        <w:rPr>
          <w:spacing w:val="14"/>
          <w:kern w:val="2"/>
          <w:lang w:val="en-GB"/>
        </w:rPr>
        <w:t xml:space="preserve"> and</w:t>
      </w:r>
    </w:p>
    <w:p w14:paraId="5A5E1D6E" w14:textId="3EB22FE5" w:rsidR="003C0D4D" w:rsidRDefault="003C0D4D" w:rsidP="008A75F3">
      <w:pPr>
        <w:widowControl w:val="0"/>
        <w:ind w:left="4320" w:firstLine="720"/>
        <w:rPr>
          <w:spacing w:val="14"/>
          <w:kern w:val="2"/>
          <w:lang w:val="en-GB"/>
        </w:rPr>
      </w:pPr>
      <w:r w:rsidRPr="003C0D4D">
        <w:rPr>
          <w:spacing w:val="14"/>
          <w:kern w:val="2"/>
          <w:lang w:val="en-GB"/>
        </w:rPr>
        <w:t>17</w:t>
      </w:r>
      <w:r>
        <w:rPr>
          <w:spacing w:val="14"/>
          <w:kern w:val="2"/>
          <w:lang w:val="en-GB"/>
        </w:rPr>
        <w:t>-18,21 October 2022 and</w:t>
      </w:r>
    </w:p>
    <w:p w14:paraId="54E427DA" w14:textId="18045B28" w:rsidR="003C0D4D" w:rsidRPr="003C0D4D" w:rsidRDefault="003C0D4D" w:rsidP="008A75F3">
      <w:pPr>
        <w:widowControl w:val="0"/>
        <w:ind w:left="4320" w:firstLine="720"/>
        <w:rPr>
          <w:spacing w:val="14"/>
          <w:kern w:val="2"/>
          <w:lang w:val="en-GB"/>
        </w:rPr>
      </w:pPr>
      <w:r>
        <w:rPr>
          <w:spacing w:val="14"/>
          <w:kern w:val="2"/>
          <w:lang w:val="en-GB"/>
        </w:rPr>
        <w:t>April 2023</w:t>
      </w:r>
    </w:p>
    <w:p w14:paraId="5D550954" w14:textId="317CCF38" w:rsidR="007A7BBE" w:rsidRPr="00A87D38" w:rsidRDefault="007A7BBE" w:rsidP="008A75F3">
      <w:pPr>
        <w:widowControl w:val="0"/>
        <w:ind w:left="4320" w:firstLine="720"/>
        <w:rPr>
          <w:spacing w:val="14"/>
          <w:kern w:val="2"/>
          <w:lang w:val="en-GB"/>
        </w:rPr>
      </w:pPr>
      <w:r w:rsidRPr="0046744C">
        <w:rPr>
          <w:b/>
          <w:spacing w:val="14"/>
          <w:kern w:val="2"/>
          <w:lang w:val="en-GB"/>
        </w:rPr>
        <w:t>Delivered</w:t>
      </w:r>
      <w:r w:rsidRPr="00A87D38">
        <w:rPr>
          <w:spacing w:val="14"/>
          <w:kern w:val="2"/>
          <w:lang w:val="en-GB"/>
        </w:rPr>
        <w:t>:</w:t>
      </w:r>
      <w:r w:rsidR="0046744C">
        <w:rPr>
          <w:spacing w:val="14"/>
          <w:kern w:val="2"/>
          <w:lang w:val="en-GB"/>
        </w:rPr>
        <w:t>2</w:t>
      </w:r>
      <w:r w:rsidR="00DF1EE7">
        <w:rPr>
          <w:spacing w:val="14"/>
          <w:kern w:val="2"/>
          <w:lang w:val="en-GB"/>
        </w:rPr>
        <w:t>8</w:t>
      </w:r>
      <w:r w:rsidR="0046744C">
        <w:rPr>
          <w:spacing w:val="14"/>
          <w:kern w:val="2"/>
          <w:lang w:val="en-GB"/>
        </w:rPr>
        <w:t xml:space="preserve"> </w:t>
      </w:r>
      <w:r w:rsidR="00DF1EE7">
        <w:rPr>
          <w:spacing w:val="14"/>
          <w:kern w:val="2"/>
          <w:lang w:val="en-GB"/>
        </w:rPr>
        <w:t>April</w:t>
      </w:r>
      <w:r w:rsidR="0046744C">
        <w:rPr>
          <w:spacing w:val="14"/>
          <w:kern w:val="2"/>
          <w:lang w:val="en-GB"/>
        </w:rPr>
        <w:t xml:space="preserve"> 202</w:t>
      </w:r>
      <w:r w:rsidR="00DF1EE7">
        <w:rPr>
          <w:spacing w:val="14"/>
          <w:kern w:val="2"/>
          <w:lang w:val="en-GB"/>
        </w:rPr>
        <w:t>3</w:t>
      </w:r>
    </w:p>
    <w:p w14:paraId="398380BF" w14:textId="341025AE" w:rsidR="007A7BBE" w:rsidRDefault="007A7BBE" w:rsidP="004A5151">
      <w:pPr>
        <w:autoSpaceDE w:val="0"/>
        <w:autoSpaceDN w:val="0"/>
        <w:adjustRightInd w:val="0"/>
        <w:jc w:val="both"/>
        <w:rPr>
          <w:lang w:val="en-GB"/>
        </w:rPr>
      </w:pPr>
    </w:p>
    <w:p w14:paraId="6A826577" w14:textId="7437C6DB" w:rsidR="0046744C" w:rsidRDefault="0046744C" w:rsidP="004A5151">
      <w:pPr>
        <w:autoSpaceDE w:val="0"/>
        <w:autoSpaceDN w:val="0"/>
        <w:adjustRightInd w:val="0"/>
        <w:jc w:val="both"/>
        <w:rPr>
          <w:lang w:val="en-GB"/>
        </w:rPr>
      </w:pPr>
    </w:p>
    <w:p w14:paraId="1AD4C096" w14:textId="0E28B29B" w:rsidR="0046744C" w:rsidRDefault="0046744C" w:rsidP="004A5151">
      <w:pPr>
        <w:autoSpaceDE w:val="0"/>
        <w:autoSpaceDN w:val="0"/>
        <w:adjustRightInd w:val="0"/>
        <w:jc w:val="both"/>
        <w:rPr>
          <w:lang w:val="en-GB"/>
        </w:rPr>
      </w:pPr>
    </w:p>
    <w:p w14:paraId="4A58A57F" w14:textId="77777777" w:rsidR="0046744C" w:rsidRPr="00044B50" w:rsidRDefault="0046744C" w:rsidP="004A5151">
      <w:pPr>
        <w:autoSpaceDE w:val="0"/>
        <w:autoSpaceDN w:val="0"/>
        <w:adjustRightInd w:val="0"/>
        <w:jc w:val="both"/>
        <w:rPr>
          <w:lang w:val="en-GB"/>
        </w:rPr>
      </w:pPr>
    </w:p>
    <w:p w14:paraId="053417A3" w14:textId="77777777" w:rsidR="0046744C" w:rsidRPr="002340AB" w:rsidRDefault="0046744C" w:rsidP="0046744C">
      <w:pPr>
        <w:widowControl w:val="0"/>
        <w:rPr>
          <w:b/>
          <w:spacing w:val="14"/>
          <w:kern w:val="2"/>
          <w:lang w:val="en-GB"/>
        </w:rPr>
      </w:pPr>
      <w:r w:rsidRPr="00044B50">
        <w:rPr>
          <w:lang w:val="en-GB"/>
        </w:rPr>
        <w:t>Appearances:</w:t>
      </w:r>
    </w:p>
    <w:p w14:paraId="3A7B8402" w14:textId="77777777" w:rsidR="0046744C" w:rsidRPr="00044B50" w:rsidRDefault="0046744C" w:rsidP="0046744C">
      <w:pPr>
        <w:jc w:val="both"/>
        <w:rPr>
          <w:lang w:val="en-GB"/>
        </w:rPr>
      </w:pPr>
    </w:p>
    <w:p w14:paraId="2F84189E" w14:textId="64ACE1FC" w:rsidR="0046744C" w:rsidRPr="00705579" w:rsidRDefault="0046744C" w:rsidP="0046744C">
      <w:pPr>
        <w:tabs>
          <w:tab w:val="left" w:pos="3261"/>
          <w:tab w:val="center" w:pos="4003"/>
          <w:tab w:val="left" w:pos="8789"/>
        </w:tabs>
        <w:ind w:hanging="142"/>
        <w:jc w:val="both"/>
        <w:rPr>
          <w:color w:val="auto"/>
        </w:rPr>
      </w:pPr>
      <w:r>
        <w:rPr>
          <w:color w:val="auto"/>
        </w:rPr>
        <w:tab/>
      </w:r>
      <w:r w:rsidRPr="00705579">
        <w:rPr>
          <w:color w:val="auto"/>
        </w:rPr>
        <w:t>Counsel for the State:</w:t>
      </w:r>
      <w:r w:rsidR="00DC4FD2">
        <w:rPr>
          <w:color w:val="auto"/>
        </w:rPr>
        <w:tab/>
        <w:t>Adv M van Rooyen</w:t>
      </w:r>
      <w:r w:rsidRPr="00705579">
        <w:rPr>
          <w:color w:val="auto"/>
        </w:rPr>
        <w:tab/>
      </w:r>
    </w:p>
    <w:p w14:paraId="79B141B5" w14:textId="15A4FAF0" w:rsidR="0046744C" w:rsidRDefault="0046744C" w:rsidP="0046744C">
      <w:pPr>
        <w:tabs>
          <w:tab w:val="left" w:pos="3261"/>
          <w:tab w:val="left" w:pos="3544"/>
        </w:tabs>
        <w:jc w:val="both"/>
        <w:rPr>
          <w:color w:val="auto"/>
        </w:rPr>
      </w:pPr>
      <w:r w:rsidRPr="00705579">
        <w:rPr>
          <w:color w:val="auto"/>
        </w:rPr>
        <w:t xml:space="preserve">                                                 Director of Public Prosecutions</w:t>
      </w:r>
    </w:p>
    <w:p w14:paraId="753B89C6" w14:textId="5C748C50" w:rsidR="00DC4FD2" w:rsidRDefault="00DC4FD2" w:rsidP="0046744C">
      <w:pPr>
        <w:tabs>
          <w:tab w:val="left" w:pos="3261"/>
          <w:tab w:val="left" w:pos="3544"/>
        </w:tabs>
        <w:jc w:val="both"/>
        <w:rPr>
          <w:color w:val="auto"/>
        </w:rPr>
      </w:pPr>
      <w:r>
        <w:rPr>
          <w:color w:val="auto"/>
        </w:rPr>
        <w:tab/>
        <w:t>Makhanda</w:t>
      </w:r>
    </w:p>
    <w:p w14:paraId="7E37CD33" w14:textId="1DB50807" w:rsidR="00DC4FD2" w:rsidRDefault="00DC4FD2" w:rsidP="0046744C">
      <w:pPr>
        <w:tabs>
          <w:tab w:val="left" w:pos="3261"/>
          <w:tab w:val="left" w:pos="3544"/>
        </w:tabs>
        <w:jc w:val="both"/>
        <w:rPr>
          <w:color w:val="auto"/>
        </w:rPr>
      </w:pPr>
      <w:r>
        <w:rPr>
          <w:color w:val="auto"/>
        </w:rPr>
        <w:tab/>
        <w:t>046 602 3000</w:t>
      </w:r>
    </w:p>
    <w:p w14:paraId="5445E33C" w14:textId="3DFD6F92" w:rsidR="0046744C" w:rsidRPr="00705579" w:rsidRDefault="0046744C" w:rsidP="00032BB8">
      <w:pPr>
        <w:tabs>
          <w:tab w:val="left" w:pos="3261"/>
          <w:tab w:val="left" w:pos="3544"/>
        </w:tabs>
        <w:jc w:val="both"/>
        <w:rPr>
          <w:color w:val="auto"/>
        </w:rPr>
      </w:pPr>
      <w:r>
        <w:rPr>
          <w:color w:val="auto"/>
        </w:rPr>
        <w:tab/>
      </w:r>
    </w:p>
    <w:p w14:paraId="182B565B" w14:textId="77777777" w:rsidR="0046744C" w:rsidRPr="00705579" w:rsidRDefault="0046744C" w:rsidP="0046744C">
      <w:pPr>
        <w:tabs>
          <w:tab w:val="left" w:pos="3261"/>
          <w:tab w:val="left" w:pos="3402"/>
          <w:tab w:val="left" w:pos="3686"/>
          <w:tab w:val="center" w:pos="4003"/>
        </w:tabs>
        <w:jc w:val="both"/>
        <w:rPr>
          <w:color w:val="auto"/>
        </w:rPr>
      </w:pPr>
      <w:r w:rsidRPr="00705579">
        <w:rPr>
          <w:color w:val="auto"/>
        </w:rPr>
        <w:t xml:space="preserve">                 </w:t>
      </w:r>
      <w:r>
        <w:rPr>
          <w:color w:val="auto"/>
        </w:rPr>
        <w:t xml:space="preserve">                         </w:t>
      </w:r>
    </w:p>
    <w:p w14:paraId="30F00840" w14:textId="77777777" w:rsidR="00DC4FD2" w:rsidRDefault="0046744C" w:rsidP="00032BB8">
      <w:pPr>
        <w:tabs>
          <w:tab w:val="left" w:pos="3261"/>
          <w:tab w:val="center" w:pos="3989"/>
        </w:tabs>
        <w:ind w:hanging="142"/>
        <w:rPr>
          <w:color w:val="auto"/>
        </w:rPr>
      </w:pPr>
      <w:r w:rsidRPr="00705579">
        <w:rPr>
          <w:color w:val="auto"/>
        </w:rPr>
        <w:t xml:space="preserve">Attorney for the Accused:    </w:t>
      </w:r>
      <w:r w:rsidR="00DC4FD2">
        <w:rPr>
          <w:color w:val="auto"/>
        </w:rPr>
        <w:tab/>
        <w:t>Mr Mgangatho</w:t>
      </w:r>
    </w:p>
    <w:p w14:paraId="32E53628" w14:textId="77777777" w:rsidR="00DC4FD2" w:rsidRDefault="00DC4FD2" w:rsidP="00032BB8">
      <w:pPr>
        <w:tabs>
          <w:tab w:val="left" w:pos="3261"/>
          <w:tab w:val="center" w:pos="3989"/>
        </w:tabs>
        <w:ind w:hanging="142"/>
        <w:rPr>
          <w:color w:val="auto"/>
        </w:rPr>
      </w:pPr>
      <w:r>
        <w:rPr>
          <w:color w:val="auto"/>
        </w:rPr>
        <w:tab/>
      </w:r>
      <w:r>
        <w:rPr>
          <w:color w:val="auto"/>
        </w:rPr>
        <w:tab/>
        <w:t>Mgangatho Attorneys</w:t>
      </w:r>
    </w:p>
    <w:p w14:paraId="46760500" w14:textId="57159A24" w:rsidR="00DC4FD2" w:rsidRDefault="00DC4FD2" w:rsidP="00DC4FD2">
      <w:pPr>
        <w:tabs>
          <w:tab w:val="left" w:pos="3261"/>
          <w:tab w:val="center" w:pos="3989"/>
        </w:tabs>
        <w:ind w:hanging="142"/>
        <w:rPr>
          <w:color w:val="auto"/>
        </w:rPr>
      </w:pPr>
      <w:r>
        <w:rPr>
          <w:color w:val="auto"/>
        </w:rPr>
        <w:tab/>
      </w:r>
      <w:r>
        <w:rPr>
          <w:color w:val="auto"/>
        </w:rPr>
        <w:tab/>
        <w:t>100 High Street</w:t>
      </w:r>
    </w:p>
    <w:p w14:paraId="76556749" w14:textId="1279930A" w:rsidR="00DC4FD2" w:rsidRDefault="00DC4FD2" w:rsidP="00032BB8">
      <w:pPr>
        <w:tabs>
          <w:tab w:val="left" w:pos="3261"/>
          <w:tab w:val="center" w:pos="3989"/>
        </w:tabs>
        <w:ind w:hanging="142"/>
        <w:rPr>
          <w:color w:val="auto"/>
        </w:rPr>
      </w:pPr>
      <w:r>
        <w:rPr>
          <w:color w:val="auto"/>
        </w:rPr>
        <w:tab/>
      </w:r>
      <w:r>
        <w:rPr>
          <w:color w:val="auto"/>
        </w:rPr>
        <w:tab/>
        <w:t>Makhanda</w:t>
      </w:r>
    </w:p>
    <w:p w14:paraId="60E9BDC7" w14:textId="3610F46E" w:rsidR="0046744C" w:rsidRPr="00705579" w:rsidRDefault="00DC4FD2" w:rsidP="00DC4FD2">
      <w:pPr>
        <w:tabs>
          <w:tab w:val="left" w:pos="3261"/>
          <w:tab w:val="center" w:pos="3989"/>
        </w:tabs>
        <w:ind w:hanging="142"/>
        <w:rPr>
          <w:color w:val="auto"/>
        </w:rPr>
      </w:pPr>
      <w:r>
        <w:rPr>
          <w:color w:val="auto"/>
        </w:rPr>
        <w:tab/>
      </w:r>
      <w:r>
        <w:rPr>
          <w:color w:val="auto"/>
        </w:rPr>
        <w:tab/>
        <w:t>046 622 3062</w:t>
      </w:r>
      <w:r w:rsidR="0046744C" w:rsidRPr="00705579">
        <w:rPr>
          <w:color w:val="auto"/>
        </w:rPr>
        <w:t xml:space="preserve">      </w:t>
      </w:r>
      <w:r w:rsidR="0046744C" w:rsidRPr="00705579">
        <w:rPr>
          <w:color w:val="auto"/>
        </w:rPr>
        <w:tab/>
      </w:r>
    </w:p>
    <w:p w14:paraId="0222785A" w14:textId="77777777" w:rsidR="0046744C" w:rsidRPr="00044B50" w:rsidRDefault="0046744C" w:rsidP="0046744C">
      <w:pPr>
        <w:tabs>
          <w:tab w:val="left" w:pos="3402"/>
          <w:tab w:val="center" w:pos="3989"/>
        </w:tabs>
        <w:rPr>
          <w:lang w:val="en-GB"/>
        </w:rPr>
      </w:pPr>
      <w:r w:rsidRPr="00705579">
        <w:rPr>
          <w:color w:val="auto"/>
        </w:rPr>
        <w:t xml:space="preserve">                                                 </w:t>
      </w:r>
      <w:r w:rsidRPr="00044B50">
        <w:rPr>
          <w:lang w:val="en-GB"/>
        </w:rPr>
        <w:tab/>
      </w:r>
    </w:p>
    <w:p w14:paraId="2E5260E3" w14:textId="77777777" w:rsidR="00C038B8" w:rsidRPr="00044B50" w:rsidRDefault="00C038B8" w:rsidP="00772E4B">
      <w:pPr>
        <w:tabs>
          <w:tab w:val="left" w:pos="3402"/>
          <w:tab w:val="center" w:pos="4003"/>
        </w:tabs>
        <w:ind w:hanging="142"/>
        <w:jc w:val="both"/>
        <w:rPr>
          <w:lang w:val="en-GB"/>
        </w:rPr>
      </w:pPr>
    </w:p>
    <w:p w14:paraId="23C9F21C" w14:textId="1E6E19FC" w:rsidR="007C247A" w:rsidRPr="00044B50" w:rsidRDefault="007C247A" w:rsidP="00772E4B">
      <w:pPr>
        <w:tabs>
          <w:tab w:val="left" w:pos="3261"/>
          <w:tab w:val="left" w:pos="3544"/>
        </w:tabs>
        <w:jc w:val="both"/>
        <w:rPr>
          <w:lang w:val="en-GB"/>
        </w:rPr>
      </w:pPr>
      <w:r w:rsidRPr="00044B50">
        <w:rPr>
          <w:lang w:val="en-GB"/>
        </w:rPr>
        <w:t xml:space="preserve">                           </w:t>
      </w:r>
    </w:p>
    <w:sectPr w:rsidR="007C247A" w:rsidRPr="00044B50" w:rsidSect="00146BA3">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73A1" w14:textId="77777777" w:rsidR="00F0590E" w:rsidRDefault="00F0590E" w:rsidP="00005691">
      <w:r>
        <w:separator/>
      </w:r>
    </w:p>
  </w:endnote>
  <w:endnote w:type="continuationSeparator" w:id="0">
    <w:p w14:paraId="30FB3AC6" w14:textId="77777777" w:rsidR="00F0590E" w:rsidRDefault="00F0590E"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BCDBB" w14:textId="77777777" w:rsidR="00F0590E" w:rsidRDefault="00F0590E" w:rsidP="00005691">
      <w:r>
        <w:separator/>
      </w:r>
    </w:p>
  </w:footnote>
  <w:footnote w:type="continuationSeparator" w:id="0">
    <w:p w14:paraId="4196EDD8" w14:textId="77777777" w:rsidR="00F0590E" w:rsidRDefault="00F0590E" w:rsidP="00005691">
      <w:r>
        <w:continuationSeparator/>
      </w:r>
    </w:p>
  </w:footnote>
  <w:footnote w:id="1">
    <w:p w14:paraId="06A5CCD1" w14:textId="4C036B98" w:rsidR="00791A3A" w:rsidRPr="00791A3A" w:rsidRDefault="00791A3A" w:rsidP="00BA0086">
      <w:pPr>
        <w:pStyle w:val="FootnoteText"/>
        <w:spacing w:line="240" w:lineRule="auto"/>
        <w:jc w:val="both"/>
        <w:rPr>
          <w:lang w:val="en-US"/>
        </w:rPr>
      </w:pPr>
      <w:r>
        <w:rPr>
          <w:rStyle w:val="FootnoteReference"/>
        </w:rPr>
        <w:footnoteRef/>
      </w:r>
      <w:r>
        <w:t xml:space="preserve"> </w:t>
      </w:r>
      <w:r>
        <w:rPr>
          <w:lang w:val="en-US"/>
        </w:rPr>
        <w:t>Act 105 of 1997 (‘the Minimum Sentences Act’).</w:t>
      </w:r>
    </w:p>
  </w:footnote>
  <w:footnote w:id="2">
    <w:p w14:paraId="7F91A6B3" w14:textId="77777777" w:rsidR="00AD07AA" w:rsidRPr="00683BF6" w:rsidRDefault="00AD07AA" w:rsidP="00BA0086">
      <w:pPr>
        <w:pStyle w:val="FootnoteText"/>
        <w:spacing w:line="240" w:lineRule="auto"/>
        <w:jc w:val="both"/>
        <w:rPr>
          <w:lang w:val="en-GB"/>
        </w:rPr>
      </w:pPr>
      <w:r w:rsidRPr="00683BF6">
        <w:rPr>
          <w:rStyle w:val="FootnoteReference"/>
          <w:lang w:val="en-GB"/>
        </w:rPr>
        <w:footnoteRef/>
      </w:r>
      <w:r w:rsidRPr="00683BF6">
        <w:rPr>
          <w:lang w:val="en-GB"/>
        </w:rPr>
        <w:t xml:space="preserve"> Act 51 of 1977 (‘the CPA’).</w:t>
      </w:r>
    </w:p>
  </w:footnote>
  <w:footnote w:id="3">
    <w:p w14:paraId="11B51026" w14:textId="77777777" w:rsidR="00AD07AA" w:rsidRPr="00683BF6" w:rsidRDefault="00AD07AA" w:rsidP="00BA0086">
      <w:pPr>
        <w:pStyle w:val="FootnoteText"/>
        <w:spacing w:line="240" w:lineRule="auto"/>
        <w:jc w:val="both"/>
        <w:rPr>
          <w:lang w:val="en-GB"/>
        </w:rPr>
      </w:pPr>
      <w:r w:rsidRPr="00683BF6">
        <w:rPr>
          <w:rStyle w:val="FootnoteReference"/>
          <w:lang w:val="en-GB"/>
        </w:rPr>
        <w:footnoteRef/>
      </w:r>
      <w:r w:rsidRPr="00683BF6">
        <w:rPr>
          <w:lang w:val="en-GB"/>
        </w:rPr>
        <w:t xml:space="preserve"> </w:t>
      </w:r>
      <w:r w:rsidRPr="00683BF6">
        <w:rPr>
          <w:i/>
          <w:iCs/>
          <w:lang w:val="en-GB"/>
        </w:rPr>
        <w:t>S v Rabie</w:t>
      </w:r>
      <w:r w:rsidRPr="00683BF6">
        <w:rPr>
          <w:lang w:val="en-GB"/>
        </w:rPr>
        <w:t xml:space="preserve"> 1975 (4) SA 855 (A).</w:t>
      </w:r>
    </w:p>
  </w:footnote>
  <w:footnote w:id="4">
    <w:p w14:paraId="6A3943AA" w14:textId="77777777" w:rsidR="00AD07AA" w:rsidRPr="00683BF6" w:rsidRDefault="00AD07AA" w:rsidP="00BA0086">
      <w:pPr>
        <w:pStyle w:val="FootnoteText"/>
        <w:spacing w:line="240" w:lineRule="auto"/>
        <w:jc w:val="both"/>
        <w:rPr>
          <w:lang w:val="en-GB"/>
        </w:rPr>
      </w:pPr>
      <w:r w:rsidRPr="00683BF6">
        <w:rPr>
          <w:rStyle w:val="FootnoteReference"/>
          <w:lang w:val="en-GB"/>
        </w:rPr>
        <w:footnoteRef/>
      </w:r>
      <w:r w:rsidRPr="00683BF6">
        <w:rPr>
          <w:lang w:val="en-GB"/>
        </w:rPr>
        <w:t xml:space="preserve"> </w:t>
      </w:r>
      <w:r w:rsidRPr="00683BF6">
        <w:rPr>
          <w:i/>
          <w:iCs/>
          <w:lang w:val="en-GB"/>
        </w:rPr>
        <w:t>Rabie</w:t>
      </w:r>
      <w:r w:rsidRPr="00683BF6">
        <w:rPr>
          <w:lang w:val="en-GB"/>
        </w:rPr>
        <w:t xml:space="preserve"> at 862G-H.</w:t>
      </w:r>
    </w:p>
  </w:footnote>
  <w:footnote w:id="5">
    <w:p w14:paraId="31E5C400" w14:textId="77777777" w:rsidR="00AD07AA" w:rsidRPr="00683BF6" w:rsidRDefault="00AD07AA" w:rsidP="00BA0086">
      <w:pPr>
        <w:pStyle w:val="FootnoteText"/>
        <w:spacing w:line="240" w:lineRule="auto"/>
        <w:jc w:val="both"/>
        <w:rPr>
          <w:lang w:val="en-GB"/>
        </w:rPr>
      </w:pPr>
      <w:r w:rsidRPr="00683BF6">
        <w:rPr>
          <w:rStyle w:val="FootnoteReference"/>
          <w:lang w:val="en-GB"/>
        </w:rPr>
        <w:footnoteRef/>
      </w:r>
      <w:r w:rsidRPr="00683BF6">
        <w:rPr>
          <w:lang w:val="en-GB"/>
        </w:rPr>
        <w:t xml:space="preserve"> See </w:t>
      </w:r>
      <w:r w:rsidRPr="00683BF6">
        <w:rPr>
          <w:i/>
          <w:iCs/>
          <w:lang w:val="en-GB"/>
        </w:rPr>
        <w:t>S v Khulu</w:t>
      </w:r>
      <w:r w:rsidRPr="00683BF6">
        <w:rPr>
          <w:lang w:val="en-GB"/>
        </w:rPr>
        <w:t xml:space="preserve"> 1975 (2) SA 518 (N) 521-522.</w:t>
      </w:r>
    </w:p>
  </w:footnote>
  <w:footnote w:id="6">
    <w:p w14:paraId="569CF569" w14:textId="77777777" w:rsidR="00AD07AA" w:rsidRPr="00683BF6" w:rsidRDefault="00AD07AA" w:rsidP="00BA0086">
      <w:pPr>
        <w:pStyle w:val="FootnoteText"/>
        <w:spacing w:line="240" w:lineRule="auto"/>
        <w:jc w:val="both"/>
        <w:rPr>
          <w:lang w:val="en-GB"/>
        </w:rPr>
      </w:pPr>
      <w:r w:rsidRPr="00683BF6">
        <w:rPr>
          <w:rStyle w:val="FootnoteReference"/>
          <w:lang w:val="en-GB"/>
        </w:rPr>
        <w:footnoteRef/>
      </w:r>
      <w:r w:rsidRPr="00683BF6">
        <w:rPr>
          <w:lang w:val="en-GB"/>
        </w:rPr>
        <w:t xml:space="preserve"> </w:t>
      </w:r>
      <w:r w:rsidRPr="00683BF6">
        <w:rPr>
          <w:i/>
          <w:iCs/>
          <w:lang w:val="en-GB"/>
        </w:rPr>
        <w:t>S v Mhlakhaza and Another</w:t>
      </w:r>
      <w:r w:rsidRPr="00683BF6">
        <w:rPr>
          <w:lang w:val="en-GB"/>
        </w:rPr>
        <w:t xml:space="preserve"> [1997] 2 All SA 185 (A) at 189. Also see </w:t>
      </w:r>
      <w:r w:rsidRPr="00683BF6">
        <w:rPr>
          <w:i/>
          <w:iCs/>
          <w:lang w:val="en-GB"/>
        </w:rPr>
        <w:t xml:space="preserve">S v M </w:t>
      </w:r>
      <w:r w:rsidRPr="00683BF6">
        <w:rPr>
          <w:lang w:val="en-GB"/>
        </w:rPr>
        <w:t xml:space="preserve">(Centre for Child Law as </w:t>
      </w:r>
      <w:r w:rsidRPr="00683BF6">
        <w:rPr>
          <w:i/>
          <w:iCs/>
          <w:lang w:val="en-GB"/>
        </w:rPr>
        <w:t>amicus curiae</w:t>
      </w:r>
      <w:r w:rsidRPr="00683BF6">
        <w:rPr>
          <w:lang w:val="en-GB"/>
        </w:rPr>
        <w:t>) 2007 (2) SACR 539 (CC).</w:t>
      </w:r>
    </w:p>
  </w:footnote>
  <w:footnote w:id="7">
    <w:p w14:paraId="5E7FACF0" w14:textId="77777777" w:rsidR="00AD07AA" w:rsidRPr="00683BF6" w:rsidRDefault="00AD07AA" w:rsidP="00BA0086">
      <w:pPr>
        <w:pStyle w:val="FootnoteText"/>
        <w:spacing w:line="240" w:lineRule="auto"/>
        <w:jc w:val="both"/>
        <w:rPr>
          <w:lang w:val="en-GB"/>
        </w:rPr>
      </w:pPr>
      <w:r w:rsidRPr="00683BF6">
        <w:rPr>
          <w:rStyle w:val="FootnoteReference"/>
          <w:lang w:val="en-GB"/>
        </w:rPr>
        <w:footnoteRef/>
      </w:r>
      <w:r w:rsidRPr="00683BF6">
        <w:rPr>
          <w:lang w:val="en-GB"/>
        </w:rPr>
        <w:t xml:space="preserve"> </w:t>
      </w:r>
      <w:r w:rsidRPr="00683BF6">
        <w:rPr>
          <w:i/>
          <w:iCs/>
          <w:lang w:val="en-GB"/>
        </w:rPr>
        <w:t>S v Zinn</w:t>
      </w:r>
      <w:r w:rsidRPr="00683BF6">
        <w:rPr>
          <w:lang w:val="en-GB"/>
        </w:rPr>
        <w:t xml:space="preserve"> [1969] 3 All SA 57 (A) at 540G-H.</w:t>
      </w:r>
    </w:p>
  </w:footnote>
  <w:footnote w:id="8">
    <w:p w14:paraId="631A4D53" w14:textId="77777777" w:rsidR="00AD07AA" w:rsidRPr="00683BF6" w:rsidRDefault="00AD07AA" w:rsidP="00BA0086">
      <w:pPr>
        <w:pStyle w:val="FootnoteText"/>
        <w:spacing w:line="240" w:lineRule="auto"/>
        <w:jc w:val="both"/>
        <w:rPr>
          <w:lang w:val="en-GB"/>
        </w:rPr>
      </w:pPr>
      <w:r w:rsidRPr="00683BF6">
        <w:rPr>
          <w:rStyle w:val="FootnoteReference"/>
          <w:lang w:val="en-GB"/>
        </w:rPr>
        <w:footnoteRef/>
      </w:r>
      <w:r w:rsidRPr="00683BF6">
        <w:rPr>
          <w:lang w:val="en-GB"/>
        </w:rPr>
        <w:t xml:space="preserve"> 2001 (1) SACR 469 (SCA).</w:t>
      </w:r>
    </w:p>
  </w:footnote>
  <w:footnote w:id="9">
    <w:p w14:paraId="031556B4" w14:textId="77777777" w:rsidR="00AD07AA" w:rsidRPr="00683BF6" w:rsidRDefault="00AD07AA" w:rsidP="00BA0086">
      <w:pPr>
        <w:pStyle w:val="FootnoteText"/>
        <w:spacing w:line="240" w:lineRule="auto"/>
        <w:jc w:val="both"/>
        <w:rPr>
          <w:lang w:val="en-GB"/>
        </w:rPr>
      </w:pPr>
      <w:r w:rsidRPr="00683BF6">
        <w:rPr>
          <w:rStyle w:val="FootnoteReference"/>
          <w:lang w:val="en-GB"/>
        </w:rPr>
        <w:footnoteRef/>
      </w:r>
      <w:r w:rsidRPr="00683BF6">
        <w:rPr>
          <w:lang w:val="en-GB"/>
        </w:rPr>
        <w:t xml:space="preserve"> See </w:t>
      </w:r>
      <w:r w:rsidRPr="00683BF6">
        <w:rPr>
          <w:i/>
          <w:iCs/>
          <w:lang w:val="en-GB"/>
        </w:rPr>
        <w:t>Radebe v The State</w:t>
      </w:r>
      <w:r w:rsidRPr="00683BF6">
        <w:rPr>
          <w:lang w:val="en-GB"/>
        </w:rPr>
        <w:t xml:space="preserve"> [2019] ZAGPPHC 406 at para 12. </w:t>
      </w:r>
    </w:p>
  </w:footnote>
  <w:footnote w:id="10">
    <w:p w14:paraId="64ABD9EE" w14:textId="77777777" w:rsidR="00AD07AA" w:rsidRPr="00683BF6" w:rsidRDefault="00AD07AA" w:rsidP="00BA0086">
      <w:pPr>
        <w:pStyle w:val="FootnoteText"/>
        <w:spacing w:line="240" w:lineRule="auto"/>
        <w:jc w:val="both"/>
        <w:rPr>
          <w:lang w:val="en-GB"/>
        </w:rPr>
      </w:pPr>
      <w:r w:rsidRPr="00683BF6">
        <w:rPr>
          <w:rStyle w:val="FootnoteReference"/>
          <w:lang w:val="en-GB"/>
        </w:rPr>
        <w:footnoteRef/>
      </w:r>
      <w:r w:rsidRPr="00683BF6">
        <w:rPr>
          <w:lang w:val="en-GB"/>
        </w:rPr>
        <w:t xml:space="preserve"> 2011 (1) SACR 40 (SCA) at para 23. Also see </w:t>
      </w:r>
      <w:r w:rsidRPr="00683BF6">
        <w:rPr>
          <w:i/>
          <w:iCs/>
          <w:lang w:val="en-GB"/>
        </w:rPr>
        <w:t>Malgas</w:t>
      </w:r>
      <w:r w:rsidRPr="00683BF6">
        <w:rPr>
          <w:lang w:val="en-GB"/>
        </w:rPr>
        <w:t xml:space="preserve"> </w:t>
      </w:r>
      <w:r w:rsidRPr="00683BF6">
        <w:rPr>
          <w:i/>
          <w:iCs/>
          <w:lang w:val="en-GB"/>
        </w:rPr>
        <w:t>supra</w:t>
      </w:r>
      <w:r w:rsidRPr="00683BF6">
        <w:rPr>
          <w:lang w:val="en-GB"/>
        </w:rPr>
        <w:t>, in respect of the prescribed period of imprisonment in the Minimum Sentences Act ordinarily</w:t>
      </w:r>
      <w:r w:rsidRPr="00683BF6">
        <w:rPr>
          <w:i/>
          <w:iCs/>
          <w:lang w:val="en-GB"/>
        </w:rPr>
        <w:t xml:space="preserve"> </w:t>
      </w:r>
      <w:r w:rsidRPr="00683BF6">
        <w:rPr>
          <w:lang w:val="en-GB"/>
        </w:rPr>
        <w:t xml:space="preserve">being imposed for the commission of the listed crimes in the specified circumstances, in the absence of weighty justification, as quoted in </w:t>
      </w:r>
      <w:r w:rsidRPr="00683BF6">
        <w:rPr>
          <w:i/>
          <w:iCs/>
          <w:lang w:val="en-GB"/>
        </w:rPr>
        <w:t xml:space="preserve">Otto v S </w:t>
      </w:r>
      <w:r w:rsidRPr="00683BF6">
        <w:rPr>
          <w:lang w:val="en-GB"/>
        </w:rPr>
        <w:t>[2017] ZASCA 114 at para 21.</w:t>
      </w:r>
    </w:p>
  </w:footnote>
  <w:footnote w:id="11">
    <w:p w14:paraId="2EFE1E68" w14:textId="77777777" w:rsidR="00F9666D" w:rsidRPr="00683BF6" w:rsidRDefault="00F9666D" w:rsidP="00BA0086">
      <w:pPr>
        <w:pStyle w:val="FootnoteText"/>
        <w:spacing w:line="240" w:lineRule="auto"/>
        <w:jc w:val="both"/>
        <w:rPr>
          <w:lang w:val="en-US"/>
        </w:rPr>
      </w:pPr>
      <w:r w:rsidRPr="00683BF6">
        <w:rPr>
          <w:rStyle w:val="FootnoteReference"/>
        </w:rPr>
        <w:footnoteRef/>
      </w:r>
      <w:r w:rsidRPr="00683BF6">
        <w:t xml:space="preserve"> </w:t>
      </w:r>
      <w:r w:rsidRPr="00683BF6">
        <w:rPr>
          <w:lang w:val="en-US"/>
        </w:rPr>
        <w:t xml:space="preserve">See A Spies ‘The judicial relevance and impact of victim impact statements in the sentencing of rape offenders’ (2018) </w:t>
      </w:r>
      <w:r w:rsidRPr="00683BF6">
        <w:rPr>
          <w:i/>
          <w:iCs/>
          <w:lang w:val="en-US"/>
        </w:rPr>
        <w:t>SACJ</w:t>
      </w:r>
      <w:r w:rsidRPr="00683BF6">
        <w:rPr>
          <w:lang w:val="en-US"/>
        </w:rPr>
        <w:t xml:space="preserve"> 212 at 231 as cited in </w:t>
      </w:r>
      <w:r w:rsidRPr="00683BF6">
        <w:rPr>
          <w:i/>
          <w:iCs/>
          <w:lang w:val="en-US"/>
        </w:rPr>
        <w:t>S v Dyonase</w:t>
      </w:r>
      <w:r w:rsidRPr="00683BF6">
        <w:rPr>
          <w:lang w:val="en-US"/>
        </w:rPr>
        <w:t xml:space="preserve"> [2020] ZAWCHC 137 para 21.</w:t>
      </w:r>
    </w:p>
  </w:footnote>
  <w:footnote w:id="12">
    <w:p w14:paraId="4E784E95" w14:textId="77777777" w:rsidR="004A0497" w:rsidRPr="009D7EAC" w:rsidRDefault="004A0497" w:rsidP="00BA0086">
      <w:pPr>
        <w:pStyle w:val="FootnoteText"/>
        <w:spacing w:line="240" w:lineRule="auto"/>
        <w:jc w:val="both"/>
        <w:rPr>
          <w:lang w:val="en-US"/>
        </w:rPr>
      </w:pPr>
      <w:r>
        <w:rPr>
          <w:rStyle w:val="FootnoteReference"/>
        </w:rPr>
        <w:footnoteRef/>
      </w:r>
      <w:r>
        <w:t xml:space="preserve"> </w:t>
      </w:r>
      <w:r>
        <w:rPr>
          <w:i/>
          <w:iCs/>
          <w:lang w:val="en-US"/>
        </w:rPr>
        <w:t xml:space="preserve">MDT v S </w:t>
      </w:r>
      <w:r>
        <w:rPr>
          <w:lang w:val="en-US"/>
        </w:rPr>
        <w:t>[2014] ZASCA 15; 2014 (2) SACR 630 (SCA) para 2.</w:t>
      </w:r>
    </w:p>
  </w:footnote>
  <w:footnote w:id="13">
    <w:p w14:paraId="55C19B2C" w14:textId="77777777" w:rsidR="008A0676" w:rsidRPr="00683BF6" w:rsidRDefault="008A0676" w:rsidP="00BA0086">
      <w:pPr>
        <w:pStyle w:val="FootnoteText"/>
        <w:spacing w:line="240" w:lineRule="auto"/>
        <w:jc w:val="both"/>
        <w:rPr>
          <w:lang w:val="en-GB"/>
        </w:rPr>
      </w:pPr>
      <w:r w:rsidRPr="00683BF6">
        <w:rPr>
          <w:rStyle w:val="FootnoteReference"/>
          <w:lang w:val="en-GB"/>
        </w:rPr>
        <w:footnoteRef/>
      </w:r>
      <w:r w:rsidRPr="00683BF6">
        <w:rPr>
          <w:lang w:val="en-GB"/>
        </w:rPr>
        <w:t xml:space="preserve"> </w:t>
      </w:r>
      <w:r w:rsidRPr="00683BF6">
        <w:rPr>
          <w:i/>
          <w:iCs/>
          <w:lang w:val="en-GB"/>
        </w:rPr>
        <w:t>S v Chapman</w:t>
      </w:r>
      <w:r w:rsidRPr="00683BF6">
        <w:rPr>
          <w:lang w:val="en-GB"/>
        </w:rPr>
        <w:t xml:space="preserve"> 1997 (2) SACR 3 (SCA) at 5B. When imposing a sentence in respect of the offence of rape, an apparent lack of physical injury to the complainant and any relationship between the complainant and accused prior to the offence being committed are not, on their own, considered to be substantial and compelling circumstances justifying the imposition of a lesser sentence: section 51(3)(</w:t>
      </w:r>
      <w:r w:rsidRPr="00683BF6">
        <w:rPr>
          <w:i/>
          <w:iCs/>
          <w:lang w:val="en-GB"/>
        </w:rPr>
        <w:t>a</w:t>
      </w:r>
      <w:r w:rsidRPr="00683BF6">
        <w:rPr>
          <w:lang w:val="en-GB"/>
        </w:rPr>
        <w:t xml:space="preserve">A) of the Minimum Sentences Act. </w:t>
      </w:r>
      <w:r w:rsidRPr="00683BF6">
        <w:rPr>
          <w:i/>
          <w:iCs/>
          <w:lang w:val="en-GB"/>
        </w:rPr>
        <w:t>Radebe</w:t>
      </w:r>
      <w:r w:rsidRPr="00683BF6">
        <w:rPr>
          <w:lang w:val="en-GB"/>
        </w:rPr>
        <w:t xml:space="preserve"> </w:t>
      </w:r>
      <w:r w:rsidRPr="00683BF6">
        <w:rPr>
          <w:i/>
          <w:iCs/>
          <w:lang w:val="en-GB"/>
        </w:rPr>
        <w:t>supra</w:t>
      </w:r>
      <w:r w:rsidRPr="00683BF6">
        <w:rPr>
          <w:lang w:val="en-GB"/>
        </w:rPr>
        <w:t xml:space="preserve"> para 34. In </w:t>
      </w:r>
      <w:r w:rsidRPr="00771866">
        <w:rPr>
          <w:i/>
          <w:lang w:val="en-GB"/>
        </w:rPr>
        <w:t xml:space="preserve">S v </w:t>
      </w:r>
      <w:r w:rsidRPr="00771866">
        <w:rPr>
          <w:i/>
          <w:iCs/>
          <w:lang w:val="en-GB"/>
        </w:rPr>
        <w:t xml:space="preserve">Vilakazi </w:t>
      </w:r>
      <w:r w:rsidRPr="00C21E2D">
        <w:rPr>
          <w:iCs/>
          <w:lang w:val="en-GB"/>
        </w:rPr>
        <w:t>[2008] ZASCA 87</w:t>
      </w:r>
      <w:r w:rsidRPr="00C21E2D">
        <w:rPr>
          <w:lang w:val="en-GB"/>
        </w:rPr>
        <w:t xml:space="preserve"> para</w:t>
      </w:r>
      <w:r w:rsidRPr="00771866">
        <w:rPr>
          <w:i/>
          <w:lang w:val="en-GB"/>
        </w:rPr>
        <w:t xml:space="preserve"> </w:t>
      </w:r>
      <w:r w:rsidRPr="00C21E2D">
        <w:rPr>
          <w:lang w:val="en-GB"/>
        </w:rPr>
        <w:t>54</w:t>
      </w:r>
      <w:r w:rsidRPr="00771866">
        <w:rPr>
          <w:i/>
          <w:lang w:val="en-GB"/>
        </w:rPr>
        <w:t>,</w:t>
      </w:r>
      <w:r w:rsidRPr="00683BF6">
        <w:rPr>
          <w:lang w:val="en-GB"/>
        </w:rPr>
        <w:t xml:space="preserve"> Nugent JA noted that ‘there comes a stage at which the maximum sentence is proportionate to an offence and the fact that the same sentence will be attracted by an even greater horror means only that the law can offer nothing more.’</w:t>
      </w:r>
    </w:p>
  </w:footnote>
  <w:footnote w:id="14">
    <w:p w14:paraId="7F6AD6EC" w14:textId="77777777" w:rsidR="008A0676" w:rsidRPr="00683BF6" w:rsidRDefault="008A0676" w:rsidP="00BA0086">
      <w:pPr>
        <w:pStyle w:val="FootnoteText"/>
        <w:spacing w:line="240" w:lineRule="auto"/>
        <w:jc w:val="both"/>
        <w:rPr>
          <w:lang w:val="en-GB"/>
        </w:rPr>
      </w:pPr>
      <w:r w:rsidRPr="00683BF6">
        <w:rPr>
          <w:rStyle w:val="FootnoteReference"/>
          <w:lang w:val="en-GB"/>
        </w:rPr>
        <w:footnoteRef/>
      </w:r>
      <w:r w:rsidRPr="00683BF6">
        <w:rPr>
          <w:lang w:val="en-GB"/>
        </w:rPr>
        <w:t xml:space="preserve"> 2005 (2) SACR 386 (WLD) para 35.</w:t>
      </w:r>
    </w:p>
  </w:footnote>
  <w:footnote w:id="15">
    <w:p w14:paraId="40C42A2C" w14:textId="77777777" w:rsidR="008A0676" w:rsidRPr="00683BF6" w:rsidRDefault="008A0676" w:rsidP="00BA0086">
      <w:pPr>
        <w:pStyle w:val="FootnoteText"/>
        <w:spacing w:line="240" w:lineRule="auto"/>
        <w:jc w:val="both"/>
        <w:rPr>
          <w:lang w:val="en-GB"/>
        </w:rPr>
      </w:pPr>
      <w:r w:rsidRPr="00683BF6">
        <w:rPr>
          <w:rStyle w:val="FootnoteReference"/>
          <w:lang w:val="en-GB"/>
        </w:rPr>
        <w:footnoteRef/>
      </w:r>
      <w:r w:rsidRPr="00683BF6">
        <w:rPr>
          <w:lang w:val="en-GB"/>
        </w:rPr>
        <w:t xml:space="preserve"> 2009 (1) SACR 552 (SCA) at 555h.</w:t>
      </w:r>
    </w:p>
  </w:footnote>
  <w:footnote w:id="16">
    <w:p w14:paraId="1C68AA70" w14:textId="7F0583CB" w:rsidR="00E47654" w:rsidRPr="00E47654" w:rsidRDefault="00E47654" w:rsidP="00BA0086">
      <w:pPr>
        <w:pStyle w:val="FootnoteText"/>
        <w:spacing w:line="240" w:lineRule="auto"/>
        <w:jc w:val="both"/>
        <w:rPr>
          <w:lang w:val="en-US"/>
        </w:rPr>
      </w:pPr>
      <w:r>
        <w:rPr>
          <w:rStyle w:val="FootnoteReference"/>
        </w:rPr>
        <w:footnoteRef/>
      </w:r>
      <w:r>
        <w:t xml:space="preserve"> </w:t>
      </w:r>
      <w:r w:rsidR="00AE015B">
        <w:rPr>
          <w:i/>
          <w:iCs/>
          <w:lang w:val="en-US"/>
        </w:rPr>
        <w:t>The Director of Public Prosecutions, Grahamstown v T M</w:t>
      </w:r>
      <w:r w:rsidR="00AE015B">
        <w:rPr>
          <w:lang w:val="en-US"/>
        </w:rPr>
        <w:t xml:space="preserve"> 2020 JDR 0652 (SCA) para 15.</w:t>
      </w:r>
    </w:p>
  </w:footnote>
  <w:footnote w:id="17">
    <w:p w14:paraId="4092BF5D" w14:textId="77777777" w:rsidR="008A0676" w:rsidRPr="00683BF6" w:rsidRDefault="008A0676" w:rsidP="00BA0086">
      <w:pPr>
        <w:pStyle w:val="FootnoteText"/>
        <w:spacing w:line="240" w:lineRule="auto"/>
        <w:jc w:val="both"/>
        <w:rPr>
          <w:lang w:val="en-GB"/>
        </w:rPr>
      </w:pPr>
      <w:r w:rsidRPr="00683BF6">
        <w:rPr>
          <w:rStyle w:val="FootnoteReference"/>
          <w:lang w:val="en-GB"/>
        </w:rPr>
        <w:footnoteRef/>
      </w:r>
      <w:r w:rsidRPr="00683BF6">
        <w:rPr>
          <w:lang w:val="en-GB"/>
        </w:rPr>
        <w:t xml:space="preserve"> </w:t>
      </w:r>
      <w:r w:rsidRPr="00683BF6">
        <w:rPr>
          <w:i/>
          <w:iCs/>
          <w:lang w:val="en-GB"/>
        </w:rPr>
        <w:t>S v September</w:t>
      </w:r>
      <w:r w:rsidRPr="00683BF6">
        <w:rPr>
          <w:lang w:val="en-GB"/>
        </w:rPr>
        <w:t xml:space="preserve"> [2014] ZAECGHC 38 para 8.</w:t>
      </w:r>
    </w:p>
  </w:footnote>
  <w:footnote w:id="18">
    <w:p w14:paraId="58C42368" w14:textId="77777777" w:rsidR="008A0676" w:rsidRPr="00683BF6" w:rsidRDefault="008A0676" w:rsidP="00BA0086">
      <w:pPr>
        <w:pStyle w:val="FootnoteText"/>
        <w:spacing w:line="240" w:lineRule="auto"/>
        <w:jc w:val="both"/>
        <w:rPr>
          <w:lang w:val="en-GB"/>
        </w:rPr>
      </w:pPr>
      <w:r w:rsidRPr="00683BF6">
        <w:rPr>
          <w:rStyle w:val="FootnoteReference"/>
          <w:lang w:val="en-GB"/>
        </w:rPr>
        <w:footnoteRef/>
      </w:r>
      <w:r w:rsidRPr="00683BF6">
        <w:rPr>
          <w:lang w:val="en-GB"/>
        </w:rPr>
        <w:t xml:space="preserve"> </w:t>
      </w:r>
      <w:r w:rsidRPr="00683BF6">
        <w:rPr>
          <w:i/>
          <w:iCs/>
          <w:lang w:val="en-GB"/>
        </w:rPr>
        <w:t xml:space="preserve">S v PB </w:t>
      </w:r>
      <w:r w:rsidRPr="00683BF6">
        <w:rPr>
          <w:lang w:val="en-GB"/>
        </w:rPr>
        <w:t xml:space="preserve">2011 (1) SACR 448 (SCA) para 21; </w:t>
      </w:r>
      <w:r w:rsidRPr="00683BF6">
        <w:rPr>
          <w:i/>
          <w:iCs/>
          <w:lang w:val="en-GB"/>
        </w:rPr>
        <w:t>Matyityi supra</w:t>
      </w:r>
      <w:r w:rsidRPr="00683BF6">
        <w:rPr>
          <w:lang w:val="en-GB"/>
        </w:rPr>
        <w:t xml:space="preserve"> para 23.</w:t>
      </w:r>
    </w:p>
  </w:footnote>
  <w:footnote w:id="19">
    <w:p w14:paraId="2A458F75" w14:textId="77777777" w:rsidR="008A0676" w:rsidRPr="00683BF6" w:rsidRDefault="008A0676" w:rsidP="00BA0086">
      <w:pPr>
        <w:pStyle w:val="FootnoteText"/>
        <w:spacing w:line="240" w:lineRule="auto"/>
        <w:jc w:val="both"/>
        <w:rPr>
          <w:lang w:val="en-GB"/>
        </w:rPr>
      </w:pPr>
      <w:r w:rsidRPr="00683BF6">
        <w:rPr>
          <w:rStyle w:val="FootnoteReference"/>
          <w:lang w:val="en-GB"/>
        </w:rPr>
        <w:footnoteRef/>
      </w:r>
      <w:r w:rsidRPr="00683BF6">
        <w:rPr>
          <w:lang w:val="en-GB"/>
        </w:rPr>
        <w:t xml:space="preserve"> </w:t>
      </w:r>
      <w:r w:rsidRPr="00683BF6">
        <w:rPr>
          <w:i/>
          <w:iCs/>
          <w:lang w:val="en-GB"/>
        </w:rPr>
        <w:t>S v Genever and Others</w:t>
      </w:r>
      <w:r w:rsidRPr="00683BF6">
        <w:rPr>
          <w:lang w:val="en-GB"/>
        </w:rPr>
        <w:t xml:space="preserve"> 2008 (2) SACR 117 (C) at 122</w:t>
      </w:r>
      <w:r w:rsidRPr="00683BF6">
        <w:rPr>
          <w:i/>
          <w:iCs/>
          <w:lang w:val="en-GB"/>
        </w:rPr>
        <w:t>c-d</w:t>
      </w:r>
      <w:r w:rsidRPr="00683BF6">
        <w:rPr>
          <w:lang w:val="en-GB"/>
        </w:rPr>
        <w:t>.</w:t>
      </w:r>
    </w:p>
  </w:footnote>
  <w:footnote w:id="20">
    <w:p w14:paraId="499D3B1E" w14:textId="77777777" w:rsidR="008A0676" w:rsidRPr="00683BF6" w:rsidRDefault="008A0676" w:rsidP="00BA0086">
      <w:pPr>
        <w:pStyle w:val="FootnoteText"/>
        <w:spacing w:line="240" w:lineRule="auto"/>
        <w:jc w:val="both"/>
        <w:rPr>
          <w:lang w:val="en-US"/>
        </w:rPr>
      </w:pPr>
      <w:r w:rsidRPr="00683BF6">
        <w:rPr>
          <w:rStyle w:val="FootnoteReference"/>
        </w:rPr>
        <w:footnoteRef/>
      </w:r>
      <w:r w:rsidRPr="00683BF6">
        <w:t xml:space="preserve"> </w:t>
      </w:r>
      <w:r w:rsidRPr="00683BF6">
        <w:rPr>
          <w:i/>
          <w:iCs/>
        </w:rPr>
        <w:t>Vilakazi supra</w:t>
      </w:r>
      <w:r w:rsidRPr="00683BF6">
        <w:t xml:space="preserve"> para 15.</w:t>
      </w:r>
    </w:p>
  </w:footnote>
  <w:footnote w:id="21">
    <w:p w14:paraId="1991E34F" w14:textId="77777777" w:rsidR="00FE417A" w:rsidRPr="00683BF6" w:rsidRDefault="00FE417A" w:rsidP="00BA0086">
      <w:pPr>
        <w:pStyle w:val="FootnoteText"/>
        <w:spacing w:line="240" w:lineRule="auto"/>
        <w:jc w:val="both"/>
        <w:rPr>
          <w:lang w:val="en-US"/>
        </w:rPr>
      </w:pPr>
      <w:r w:rsidRPr="00683BF6">
        <w:rPr>
          <w:rStyle w:val="FootnoteReference"/>
        </w:rPr>
        <w:footnoteRef/>
      </w:r>
      <w:r w:rsidRPr="00683BF6">
        <w:t xml:space="preserve"> </w:t>
      </w:r>
      <w:r w:rsidRPr="00683BF6">
        <w:rPr>
          <w:lang w:val="en-US"/>
        </w:rPr>
        <w:t>Ss 28(1)(</w:t>
      </w:r>
      <w:r w:rsidRPr="00683BF6">
        <w:rPr>
          <w:i/>
          <w:iCs/>
          <w:lang w:val="en-US"/>
        </w:rPr>
        <w:t>d</w:t>
      </w:r>
      <w:r w:rsidRPr="00683BF6">
        <w:rPr>
          <w:lang w:val="en-US"/>
        </w:rPr>
        <w:t>), 12(1)(</w:t>
      </w:r>
      <w:r w:rsidRPr="00683BF6">
        <w:rPr>
          <w:i/>
          <w:iCs/>
          <w:lang w:val="en-US"/>
        </w:rPr>
        <w:t>c</w:t>
      </w:r>
      <w:r w:rsidRPr="00683BF6">
        <w:rPr>
          <w:lang w:val="en-US"/>
        </w:rPr>
        <w:t xml:space="preserve">) </w:t>
      </w:r>
      <w:r>
        <w:rPr>
          <w:lang w:val="en-US"/>
        </w:rPr>
        <w:t xml:space="preserve">14 </w:t>
      </w:r>
      <w:r w:rsidRPr="00683BF6">
        <w:rPr>
          <w:lang w:val="en-US"/>
        </w:rPr>
        <w:t>and 10 of the Constitution of the Republic of South Africa, 1996.</w:t>
      </w:r>
    </w:p>
  </w:footnote>
  <w:footnote w:id="22">
    <w:p w14:paraId="0CCA1BEE" w14:textId="4B5E91DD" w:rsidR="00FE417A" w:rsidRPr="00B16169" w:rsidRDefault="00FE417A" w:rsidP="00BA0086">
      <w:pPr>
        <w:pStyle w:val="FootnoteText"/>
        <w:spacing w:line="240" w:lineRule="auto"/>
        <w:jc w:val="both"/>
        <w:rPr>
          <w:lang w:val="en-US"/>
        </w:rPr>
      </w:pPr>
      <w:r w:rsidRPr="00683BF6">
        <w:rPr>
          <w:rStyle w:val="FootnoteReference"/>
        </w:rPr>
        <w:footnoteRef/>
      </w:r>
      <w:r w:rsidRPr="00683BF6">
        <w:t xml:space="preserve"> </w:t>
      </w:r>
      <w:r w:rsidR="001C52ED">
        <w:rPr>
          <w:i/>
          <w:iCs/>
        </w:rPr>
        <w:t xml:space="preserve">S v </w:t>
      </w:r>
      <w:r w:rsidRPr="00683BF6">
        <w:rPr>
          <w:i/>
          <w:iCs/>
          <w:lang w:val="en-US"/>
        </w:rPr>
        <w:t xml:space="preserve">Zitha </w:t>
      </w:r>
      <w:r w:rsidR="001C52ED">
        <w:rPr>
          <w:lang w:val="en-US"/>
        </w:rPr>
        <w:t>1999 (2) SACR 404 (WLD)</w:t>
      </w:r>
      <w:r w:rsidRPr="00683BF6">
        <w:rPr>
          <w:lang w:val="en-US"/>
        </w:rPr>
        <w:t xml:space="preserve"> at 418</w:t>
      </w:r>
      <w:r w:rsidRPr="00683BF6">
        <w:rPr>
          <w:i/>
          <w:iCs/>
          <w:lang w:val="en-US"/>
        </w:rPr>
        <w:t>h-</w:t>
      </w:r>
      <w:r w:rsidR="00B16169">
        <w:rPr>
          <w:i/>
          <w:iCs/>
          <w:lang w:val="en-US"/>
        </w:rPr>
        <w:t>I</w:t>
      </w:r>
      <w:r w:rsidR="00B16169">
        <w:rPr>
          <w:lang w:val="en-US"/>
        </w:rPr>
        <w:t xml:space="preserve">, as quoted in </w:t>
      </w:r>
      <w:r w:rsidR="00B16169">
        <w:rPr>
          <w:i/>
          <w:iCs/>
          <w:lang w:val="en-US"/>
        </w:rPr>
        <w:t>S v B</w:t>
      </w:r>
      <w:r w:rsidR="00B16169">
        <w:rPr>
          <w:lang w:val="en-US"/>
        </w:rPr>
        <w:t xml:space="preserve"> [2022] ZAECGHC 12 para 18.</w:t>
      </w:r>
    </w:p>
  </w:footnote>
  <w:footnote w:id="23">
    <w:p w14:paraId="6AC1C13C" w14:textId="77777777" w:rsidR="008A0676" w:rsidRPr="00683BF6" w:rsidRDefault="008A0676" w:rsidP="00BA0086">
      <w:pPr>
        <w:pStyle w:val="FootnoteText"/>
        <w:spacing w:line="240" w:lineRule="auto"/>
        <w:jc w:val="both"/>
        <w:rPr>
          <w:lang w:val="en-GB"/>
        </w:rPr>
      </w:pPr>
      <w:r w:rsidRPr="00683BF6">
        <w:rPr>
          <w:rStyle w:val="FootnoteReference"/>
        </w:rPr>
        <w:footnoteRef/>
      </w:r>
      <w:r w:rsidRPr="00683BF6">
        <w:t xml:space="preserve"> </w:t>
      </w:r>
      <w:r w:rsidRPr="00683BF6">
        <w:rPr>
          <w:i/>
          <w:iCs/>
          <w:lang w:val="en-GB"/>
        </w:rPr>
        <w:t>S v Bull</w:t>
      </w:r>
      <w:r w:rsidRPr="00683BF6">
        <w:rPr>
          <w:lang w:val="en-GB"/>
        </w:rPr>
        <w:t xml:space="preserve"> 2001 (2) SACR 681 (SCA) para 21.</w:t>
      </w:r>
    </w:p>
  </w:footnote>
  <w:footnote w:id="24">
    <w:p w14:paraId="261EFF5A" w14:textId="77777777" w:rsidR="008A0676" w:rsidRPr="00683BF6" w:rsidRDefault="008A0676" w:rsidP="00BA0086">
      <w:pPr>
        <w:pStyle w:val="FootnoteText"/>
        <w:spacing w:line="240" w:lineRule="auto"/>
        <w:jc w:val="both"/>
        <w:rPr>
          <w:lang w:val="en-GB"/>
        </w:rPr>
      </w:pPr>
      <w:r w:rsidRPr="00683BF6">
        <w:rPr>
          <w:rStyle w:val="FootnoteReference"/>
          <w:lang w:val="en-GB"/>
        </w:rPr>
        <w:footnoteRef/>
      </w:r>
      <w:r w:rsidRPr="00683BF6">
        <w:rPr>
          <w:lang w:val="en-GB"/>
        </w:rPr>
        <w:t xml:space="preserve"> </w:t>
      </w:r>
      <w:r w:rsidRPr="00683BF6">
        <w:rPr>
          <w:i/>
          <w:iCs/>
          <w:lang w:val="en-GB"/>
        </w:rPr>
        <w:t>S v Dodo</w:t>
      </w:r>
      <w:r w:rsidRPr="00683BF6">
        <w:rPr>
          <w:lang w:val="en-GB"/>
        </w:rPr>
        <w:t xml:space="preserve"> 2001 (1) SACR 301 (E).</w:t>
      </w:r>
    </w:p>
  </w:footnote>
  <w:footnote w:id="25">
    <w:p w14:paraId="3E126071" w14:textId="39740565" w:rsidR="00C8491A" w:rsidRPr="00C8491A" w:rsidRDefault="00C8491A" w:rsidP="00BA0086">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S v Weideman </w:t>
      </w:r>
      <w:r>
        <w:rPr>
          <w:lang w:val="en-US"/>
        </w:rPr>
        <w:t>[2014] ZAECPEHC 62</w:t>
      </w:r>
      <w:r w:rsidR="005344C4">
        <w:rPr>
          <w:lang w:val="en-US"/>
        </w:rPr>
        <w:t xml:space="preserve"> para 7.</w:t>
      </w:r>
      <w:r>
        <w:rPr>
          <w:lang w:val="en-US"/>
        </w:rPr>
        <w:t xml:space="preserve"> </w:t>
      </w:r>
    </w:p>
  </w:footnote>
  <w:footnote w:id="26">
    <w:p w14:paraId="79502BDF" w14:textId="7ABE23FD" w:rsidR="005E20E4" w:rsidRPr="005E20E4" w:rsidRDefault="005E20E4" w:rsidP="00BA0086">
      <w:pPr>
        <w:pStyle w:val="FootnoteText"/>
        <w:spacing w:line="240" w:lineRule="auto"/>
        <w:jc w:val="both"/>
        <w:rPr>
          <w:lang w:val="en-US"/>
        </w:rPr>
      </w:pPr>
      <w:r>
        <w:rPr>
          <w:rStyle w:val="FootnoteReference"/>
        </w:rPr>
        <w:footnoteRef/>
      </w:r>
      <w:r>
        <w:t xml:space="preserve"> </w:t>
      </w:r>
      <w:r>
        <w:rPr>
          <w:lang w:val="en-US"/>
        </w:rPr>
        <w:t>Ibid para 14.</w:t>
      </w:r>
    </w:p>
  </w:footnote>
  <w:footnote w:id="27">
    <w:p w14:paraId="1E18A642" w14:textId="64756471" w:rsidR="001D60FB" w:rsidRPr="001D60FB" w:rsidRDefault="001D60FB" w:rsidP="00BA0086">
      <w:pPr>
        <w:pStyle w:val="FootnoteText"/>
        <w:spacing w:line="240" w:lineRule="auto"/>
        <w:jc w:val="both"/>
        <w:rPr>
          <w:lang w:val="en-US"/>
        </w:rPr>
      </w:pPr>
      <w:r>
        <w:rPr>
          <w:rStyle w:val="FootnoteReference"/>
        </w:rPr>
        <w:footnoteRef/>
      </w:r>
      <w:r>
        <w:t xml:space="preserve"> </w:t>
      </w:r>
      <w:r>
        <w:rPr>
          <w:i/>
          <w:iCs/>
          <w:lang w:val="en-US"/>
        </w:rPr>
        <w:t xml:space="preserve">Cf </w:t>
      </w:r>
      <w:r w:rsidR="00E47654">
        <w:rPr>
          <w:i/>
          <w:iCs/>
          <w:lang w:val="en-US"/>
        </w:rPr>
        <w:t xml:space="preserve">TM </w:t>
      </w:r>
      <w:r w:rsidR="00E47654">
        <w:rPr>
          <w:lang w:val="en-US"/>
        </w:rPr>
        <w:t xml:space="preserve">op cit fn </w:t>
      </w:r>
      <w:r>
        <w:rPr>
          <w:lang w:val="en-US"/>
        </w:rPr>
        <w:t>para 12.</w:t>
      </w:r>
    </w:p>
  </w:footnote>
  <w:footnote w:id="28">
    <w:p w14:paraId="2BAAFB5E" w14:textId="3D98181F" w:rsidR="005B4AE5" w:rsidRPr="005B4AE5" w:rsidRDefault="005B4AE5" w:rsidP="00BA0086">
      <w:pPr>
        <w:pStyle w:val="FootnoteText"/>
        <w:spacing w:line="240" w:lineRule="auto"/>
        <w:jc w:val="both"/>
        <w:rPr>
          <w:lang w:val="en-US"/>
        </w:rPr>
      </w:pPr>
      <w:r>
        <w:rPr>
          <w:rStyle w:val="FootnoteReference"/>
        </w:rPr>
        <w:footnoteRef/>
      </w:r>
      <w:r>
        <w:t xml:space="preserve"> </w:t>
      </w:r>
      <w:r>
        <w:rPr>
          <w:i/>
          <w:iCs/>
          <w:lang w:val="en-US"/>
        </w:rPr>
        <w:t>S v Fatyi</w:t>
      </w:r>
      <w:r>
        <w:rPr>
          <w:lang w:val="en-US"/>
        </w:rPr>
        <w:t xml:space="preserve"> 2001 (1) SACR 485 (SCA) at 488</w:t>
      </w:r>
      <w:r>
        <w:rPr>
          <w:i/>
          <w:iCs/>
          <w:lang w:val="en-US"/>
        </w:rPr>
        <w:t>f-g</w:t>
      </w:r>
      <w:r>
        <w:rPr>
          <w:lang w:val="en-US"/>
        </w:rPr>
        <w:t>.</w:t>
      </w:r>
    </w:p>
  </w:footnote>
  <w:footnote w:id="29">
    <w:p w14:paraId="29077F19" w14:textId="77777777" w:rsidR="00CD2CAD" w:rsidRPr="006119A4" w:rsidRDefault="00CD2CAD" w:rsidP="00BA0086">
      <w:pPr>
        <w:pStyle w:val="FootnoteText"/>
        <w:spacing w:line="240" w:lineRule="auto"/>
        <w:jc w:val="both"/>
        <w:rPr>
          <w:lang w:val="en-US"/>
        </w:rPr>
      </w:pPr>
      <w:r>
        <w:rPr>
          <w:rStyle w:val="FootnoteReference"/>
        </w:rPr>
        <w:footnoteRef/>
      </w:r>
      <w:r>
        <w:t xml:space="preserve"> </w:t>
      </w:r>
      <w:r>
        <w:rPr>
          <w:i/>
          <w:iCs/>
          <w:lang w:val="en-US"/>
        </w:rPr>
        <w:t xml:space="preserve">S v Ro and Another </w:t>
      </w:r>
      <w:r>
        <w:rPr>
          <w:lang w:val="en-US"/>
        </w:rPr>
        <w:t>2010 (2) SACR 248 (SCA) para 15.</w:t>
      </w:r>
    </w:p>
  </w:footnote>
  <w:footnote w:id="30">
    <w:p w14:paraId="21CCB721" w14:textId="77777777" w:rsidR="00834E4D" w:rsidRPr="002A25A6" w:rsidRDefault="00834E4D" w:rsidP="00BA0086">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Seedat v S </w:t>
      </w:r>
      <w:r>
        <w:rPr>
          <w:lang w:val="en-US"/>
        </w:rPr>
        <w:t xml:space="preserve">[2016] ZASCA 153 para 38 </w:t>
      </w:r>
      <w:r>
        <w:rPr>
          <w:i/>
          <w:iCs/>
          <w:lang w:val="en-US"/>
        </w:rPr>
        <w:t>et seq</w:t>
      </w:r>
      <w:r>
        <w:rPr>
          <w:lang w:val="en-US"/>
        </w:rPr>
        <w:t>, on the efficacy of restorative justice as an inappropriate sentencing option in cases involving serious offences.</w:t>
      </w:r>
    </w:p>
  </w:footnote>
  <w:footnote w:id="31">
    <w:p w14:paraId="2B7B5F5B" w14:textId="4E11C3A3" w:rsidR="003C55F4" w:rsidRPr="001E7B10" w:rsidRDefault="003C55F4" w:rsidP="00BA0086">
      <w:pPr>
        <w:pStyle w:val="FootnoteText"/>
        <w:spacing w:line="240" w:lineRule="auto"/>
        <w:jc w:val="both"/>
        <w:rPr>
          <w:lang w:val="en-US"/>
        </w:rPr>
      </w:pPr>
      <w:r>
        <w:rPr>
          <w:rStyle w:val="FootnoteReference"/>
        </w:rPr>
        <w:footnoteRef/>
      </w:r>
      <w:r>
        <w:t xml:space="preserve"> </w:t>
      </w:r>
      <w:r>
        <w:rPr>
          <w:lang w:val="en-US"/>
        </w:rPr>
        <w:t xml:space="preserve">See </w:t>
      </w:r>
      <w:r w:rsidR="001E7B10">
        <w:rPr>
          <w:i/>
          <w:iCs/>
          <w:lang w:val="en-US"/>
        </w:rPr>
        <w:t>Weideman</w:t>
      </w:r>
      <w:r w:rsidR="001E7B10">
        <w:rPr>
          <w:lang w:val="en-US"/>
        </w:rPr>
        <w:t xml:space="preserve"> op cit para 13.</w:t>
      </w:r>
    </w:p>
  </w:footnote>
  <w:footnote w:id="32">
    <w:p w14:paraId="4201D70B" w14:textId="4345FEEB" w:rsidR="006660BC" w:rsidRPr="006660BC" w:rsidRDefault="006660BC" w:rsidP="00BA0086">
      <w:pPr>
        <w:pStyle w:val="FootnoteText"/>
        <w:spacing w:line="240" w:lineRule="auto"/>
        <w:jc w:val="both"/>
        <w:rPr>
          <w:lang w:val="en-US"/>
        </w:rPr>
      </w:pPr>
      <w:r>
        <w:rPr>
          <w:rStyle w:val="FootnoteReference"/>
        </w:rPr>
        <w:footnoteRef/>
      </w:r>
      <w:r>
        <w:t xml:space="preserve"> </w:t>
      </w:r>
      <w:r>
        <w:rPr>
          <w:i/>
          <w:iCs/>
        </w:rPr>
        <w:t>M v The State</w:t>
      </w:r>
      <w:r>
        <w:t xml:space="preserve"> [2022] ZASCA 3 para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14796027"/>
      <w:docPartObj>
        <w:docPartGallery w:val="Page Numbers (Top of Page)"/>
        <w:docPartUnique/>
      </w:docPartObj>
    </w:sdtPr>
    <w:sdtEndPr>
      <w:rPr>
        <w:rStyle w:val="PageNumber"/>
      </w:rPr>
    </w:sdtEndPr>
    <w:sdtContent>
      <w:p w14:paraId="35370323" w14:textId="70444D23"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62D5">
          <w:rPr>
            <w:rStyle w:val="PageNumber"/>
            <w:noProof/>
          </w:rPr>
          <w:t>10</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8607B5"/>
    <w:multiLevelType w:val="hybridMultilevel"/>
    <w:tmpl w:val="CDACDB74"/>
    <w:lvl w:ilvl="0" w:tplc="B69E61C6">
      <w:start w:val="1"/>
      <w:numFmt w:val="decimal"/>
      <w:lvlText w:val="[%1]"/>
      <w:lvlJc w:val="left"/>
      <w:pPr>
        <w:ind w:left="720" w:hanging="360"/>
      </w:pPr>
      <w:rPr>
        <w:rFonts w:hint="default"/>
      </w:rPr>
    </w:lvl>
    <w:lvl w:ilvl="1" w:tplc="A376641E">
      <w:start w:val="1"/>
      <w:numFmt w:val="decimal"/>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8"/>
  </w:num>
  <w:num w:numId="6">
    <w:abstractNumId w:val="6"/>
  </w:num>
  <w:num w:numId="7">
    <w:abstractNumId w:val="10"/>
  </w:num>
  <w:num w:numId="8">
    <w:abstractNumId w:val="1"/>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0FBD"/>
    <w:rsid w:val="0000217A"/>
    <w:rsid w:val="00004E1E"/>
    <w:rsid w:val="00005691"/>
    <w:rsid w:val="00005ABB"/>
    <w:rsid w:val="00005BC2"/>
    <w:rsid w:val="0000642E"/>
    <w:rsid w:val="00006EF3"/>
    <w:rsid w:val="00007087"/>
    <w:rsid w:val="000071F2"/>
    <w:rsid w:val="00007904"/>
    <w:rsid w:val="000109B4"/>
    <w:rsid w:val="00012A2F"/>
    <w:rsid w:val="00014437"/>
    <w:rsid w:val="00014770"/>
    <w:rsid w:val="00016FDA"/>
    <w:rsid w:val="000220C3"/>
    <w:rsid w:val="00022804"/>
    <w:rsid w:val="000230C1"/>
    <w:rsid w:val="00026BE5"/>
    <w:rsid w:val="00027DA3"/>
    <w:rsid w:val="00030A25"/>
    <w:rsid w:val="000323B0"/>
    <w:rsid w:val="000326EA"/>
    <w:rsid w:val="00032BB8"/>
    <w:rsid w:val="000341AF"/>
    <w:rsid w:val="00034B32"/>
    <w:rsid w:val="0003553E"/>
    <w:rsid w:val="0004040E"/>
    <w:rsid w:val="00040F79"/>
    <w:rsid w:val="000422CD"/>
    <w:rsid w:val="0004347D"/>
    <w:rsid w:val="0004373B"/>
    <w:rsid w:val="000448F7"/>
    <w:rsid w:val="00044B50"/>
    <w:rsid w:val="00044BD6"/>
    <w:rsid w:val="000451D0"/>
    <w:rsid w:val="000454E0"/>
    <w:rsid w:val="00047035"/>
    <w:rsid w:val="000478E8"/>
    <w:rsid w:val="0005061D"/>
    <w:rsid w:val="00051F6C"/>
    <w:rsid w:val="000536DD"/>
    <w:rsid w:val="00053D81"/>
    <w:rsid w:val="00054DEC"/>
    <w:rsid w:val="00055561"/>
    <w:rsid w:val="00056042"/>
    <w:rsid w:val="00056FBA"/>
    <w:rsid w:val="000574BF"/>
    <w:rsid w:val="00061410"/>
    <w:rsid w:val="00063188"/>
    <w:rsid w:val="00063C37"/>
    <w:rsid w:val="00063C5E"/>
    <w:rsid w:val="00063C6E"/>
    <w:rsid w:val="00063D5A"/>
    <w:rsid w:val="0007007D"/>
    <w:rsid w:val="0007050F"/>
    <w:rsid w:val="0007234C"/>
    <w:rsid w:val="00073EFC"/>
    <w:rsid w:val="000760E9"/>
    <w:rsid w:val="000778A4"/>
    <w:rsid w:val="00080D4E"/>
    <w:rsid w:val="000815F5"/>
    <w:rsid w:val="00083322"/>
    <w:rsid w:val="00083386"/>
    <w:rsid w:val="000833DB"/>
    <w:rsid w:val="00084C6F"/>
    <w:rsid w:val="00086278"/>
    <w:rsid w:val="00086A06"/>
    <w:rsid w:val="0009015D"/>
    <w:rsid w:val="000910CD"/>
    <w:rsid w:val="00091F8C"/>
    <w:rsid w:val="0009497C"/>
    <w:rsid w:val="00096BC1"/>
    <w:rsid w:val="000976CA"/>
    <w:rsid w:val="000A59DC"/>
    <w:rsid w:val="000B0946"/>
    <w:rsid w:val="000B0DC8"/>
    <w:rsid w:val="000B26AE"/>
    <w:rsid w:val="000B26CF"/>
    <w:rsid w:val="000B5790"/>
    <w:rsid w:val="000B5FBC"/>
    <w:rsid w:val="000B6309"/>
    <w:rsid w:val="000B643B"/>
    <w:rsid w:val="000B78EC"/>
    <w:rsid w:val="000C06AF"/>
    <w:rsid w:val="000C0C59"/>
    <w:rsid w:val="000C2D21"/>
    <w:rsid w:val="000C3531"/>
    <w:rsid w:val="000C3620"/>
    <w:rsid w:val="000C39A5"/>
    <w:rsid w:val="000C450C"/>
    <w:rsid w:val="000C7746"/>
    <w:rsid w:val="000C7A27"/>
    <w:rsid w:val="000D02BE"/>
    <w:rsid w:val="000D085B"/>
    <w:rsid w:val="000D0D78"/>
    <w:rsid w:val="000D22FB"/>
    <w:rsid w:val="000D487F"/>
    <w:rsid w:val="000D4BFA"/>
    <w:rsid w:val="000D667A"/>
    <w:rsid w:val="000E0235"/>
    <w:rsid w:val="000E1C45"/>
    <w:rsid w:val="000E2444"/>
    <w:rsid w:val="000E3E15"/>
    <w:rsid w:val="000E4F0D"/>
    <w:rsid w:val="000E5100"/>
    <w:rsid w:val="000E7ECD"/>
    <w:rsid w:val="000F05E0"/>
    <w:rsid w:val="000F1A95"/>
    <w:rsid w:val="000F6BFE"/>
    <w:rsid w:val="000F7DF4"/>
    <w:rsid w:val="0010068E"/>
    <w:rsid w:val="00100F9A"/>
    <w:rsid w:val="0010218C"/>
    <w:rsid w:val="00102D5B"/>
    <w:rsid w:val="0010340B"/>
    <w:rsid w:val="001044DB"/>
    <w:rsid w:val="00105EB6"/>
    <w:rsid w:val="0010622C"/>
    <w:rsid w:val="001078B5"/>
    <w:rsid w:val="00107A5F"/>
    <w:rsid w:val="0011026A"/>
    <w:rsid w:val="00110EF0"/>
    <w:rsid w:val="001124A5"/>
    <w:rsid w:val="00115C91"/>
    <w:rsid w:val="00116EB9"/>
    <w:rsid w:val="00120E93"/>
    <w:rsid w:val="001226DE"/>
    <w:rsid w:val="00123296"/>
    <w:rsid w:val="0012621C"/>
    <w:rsid w:val="00130228"/>
    <w:rsid w:val="00131984"/>
    <w:rsid w:val="00131A28"/>
    <w:rsid w:val="001337CC"/>
    <w:rsid w:val="00134C11"/>
    <w:rsid w:val="00135C81"/>
    <w:rsid w:val="001376DD"/>
    <w:rsid w:val="00137E08"/>
    <w:rsid w:val="00142F79"/>
    <w:rsid w:val="001435EB"/>
    <w:rsid w:val="00144974"/>
    <w:rsid w:val="00146BA3"/>
    <w:rsid w:val="00147B4A"/>
    <w:rsid w:val="001517E0"/>
    <w:rsid w:val="00157785"/>
    <w:rsid w:val="00157898"/>
    <w:rsid w:val="00157C19"/>
    <w:rsid w:val="00160EBC"/>
    <w:rsid w:val="00160F58"/>
    <w:rsid w:val="00161052"/>
    <w:rsid w:val="001619CE"/>
    <w:rsid w:val="00163A58"/>
    <w:rsid w:val="00165D1A"/>
    <w:rsid w:val="00172B5C"/>
    <w:rsid w:val="00173547"/>
    <w:rsid w:val="00174B6D"/>
    <w:rsid w:val="0017614D"/>
    <w:rsid w:val="0018006A"/>
    <w:rsid w:val="00180F4E"/>
    <w:rsid w:val="00181923"/>
    <w:rsid w:val="00181E7E"/>
    <w:rsid w:val="00182175"/>
    <w:rsid w:val="00184625"/>
    <w:rsid w:val="00186769"/>
    <w:rsid w:val="001870AF"/>
    <w:rsid w:val="00191768"/>
    <w:rsid w:val="00192869"/>
    <w:rsid w:val="001936F1"/>
    <w:rsid w:val="001943D2"/>
    <w:rsid w:val="001954F0"/>
    <w:rsid w:val="00195571"/>
    <w:rsid w:val="001955AB"/>
    <w:rsid w:val="00196742"/>
    <w:rsid w:val="001A4F33"/>
    <w:rsid w:val="001A60E1"/>
    <w:rsid w:val="001B0D01"/>
    <w:rsid w:val="001B2578"/>
    <w:rsid w:val="001B2FE4"/>
    <w:rsid w:val="001B505F"/>
    <w:rsid w:val="001B5851"/>
    <w:rsid w:val="001B69E3"/>
    <w:rsid w:val="001C04BC"/>
    <w:rsid w:val="001C2DD7"/>
    <w:rsid w:val="001C48A5"/>
    <w:rsid w:val="001C52ED"/>
    <w:rsid w:val="001C7061"/>
    <w:rsid w:val="001D0962"/>
    <w:rsid w:val="001D214B"/>
    <w:rsid w:val="001D5A9D"/>
    <w:rsid w:val="001D5F83"/>
    <w:rsid w:val="001D60FB"/>
    <w:rsid w:val="001D61C8"/>
    <w:rsid w:val="001D7921"/>
    <w:rsid w:val="001E0F36"/>
    <w:rsid w:val="001E1834"/>
    <w:rsid w:val="001E1B07"/>
    <w:rsid w:val="001E24E0"/>
    <w:rsid w:val="001E36E6"/>
    <w:rsid w:val="001E4824"/>
    <w:rsid w:val="001E640A"/>
    <w:rsid w:val="001E6A6E"/>
    <w:rsid w:val="001E701F"/>
    <w:rsid w:val="001E7844"/>
    <w:rsid w:val="001E78D5"/>
    <w:rsid w:val="001E7B10"/>
    <w:rsid w:val="001E7C8F"/>
    <w:rsid w:val="001F2276"/>
    <w:rsid w:val="001F335C"/>
    <w:rsid w:val="001F3A41"/>
    <w:rsid w:val="001F58F4"/>
    <w:rsid w:val="001F59AB"/>
    <w:rsid w:val="00201DC6"/>
    <w:rsid w:val="00201F12"/>
    <w:rsid w:val="00206D6C"/>
    <w:rsid w:val="00207573"/>
    <w:rsid w:val="002115FE"/>
    <w:rsid w:val="0021430F"/>
    <w:rsid w:val="00215EBC"/>
    <w:rsid w:val="0021730A"/>
    <w:rsid w:val="00217399"/>
    <w:rsid w:val="002203EC"/>
    <w:rsid w:val="00222854"/>
    <w:rsid w:val="00224363"/>
    <w:rsid w:val="0022594E"/>
    <w:rsid w:val="00226444"/>
    <w:rsid w:val="00226ADA"/>
    <w:rsid w:val="00227379"/>
    <w:rsid w:val="00230374"/>
    <w:rsid w:val="00231325"/>
    <w:rsid w:val="00231367"/>
    <w:rsid w:val="0023410F"/>
    <w:rsid w:val="0023677B"/>
    <w:rsid w:val="00236B9D"/>
    <w:rsid w:val="0023768E"/>
    <w:rsid w:val="002402F6"/>
    <w:rsid w:val="00245504"/>
    <w:rsid w:val="00245BEB"/>
    <w:rsid w:val="00247551"/>
    <w:rsid w:val="00250530"/>
    <w:rsid w:val="0025056A"/>
    <w:rsid w:val="00250F2C"/>
    <w:rsid w:val="00252FC1"/>
    <w:rsid w:val="00253273"/>
    <w:rsid w:val="00255D9B"/>
    <w:rsid w:val="00256208"/>
    <w:rsid w:val="00256FCC"/>
    <w:rsid w:val="00257A15"/>
    <w:rsid w:val="0026060E"/>
    <w:rsid w:val="002606D8"/>
    <w:rsid w:val="00260A94"/>
    <w:rsid w:val="00260B67"/>
    <w:rsid w:val="002612A5"/>
    <w:rsid w:val="00261583"/>
    <w:rsid w:val="0026158F"/>
    <w:rsid w:val="00262D2A"/>
    <w:rsid w:val="002634A2"/>
    <w:rsid w:val="002635B7"/>
    <w:rsid w:val="00263B8D"/>
    <w:rsid w:val="0026495C"/>
    <w:rsid w:val="00265010"/>
    <w:rsid w:val="00265180"/>
    <w:rsid w:val="00265AEB"/>
    <w:rsid w:val="0026634E"/>
    <w:rsid w:val="0026645C"/>
    <w:rsid w:val="002705E9"/>
    <w:rsid w:val="00273903"/>
    <w:rsid w:val="00274C64"/>
    <w:rsid w:val="00275410"/>
    <w:rsid w:val="00276100"/>
    <w:rsid w:val="00277EB6"/>
    <w:rsid w:val="0028077A"/>
    <w:rsid w:val="00282220"/>
    <w:rsid w:val="00283F58"/>
    <w:rsid w:val="002852C4"/>
    <w:rsid w:val="00285664"/>
    <w:rsid w:val="00286D5A"/>
    <w:rsid w:val="00287A18"/>
    <w:rsid w:val="00287A26"/>
    <w:rsid w:val="00290DC6"/>
    <w:rsid w:val="00290E92"/>
    <w:rsid w:val="0029395B"/>
    <w:rsid w:val="00294129"/>
    <w:rsid w:val="00294313"/>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31B7"/>
    <w:rsid w:val="002B3FE3"/>
    <w:rsid w:val="002B54B7"/>
    <w:rsid w:val="002B6730"/>
    <w:rsid w:val="002B7874"/>
    <w:rsid w:val="002C1B71"/>
    <w:rsid w:val="002C1ECF"/>
    <w:rsid w:val="002C3A0D"/>
    <w:rsid w:val="002C40E6"/>
    <w:rsid w:val="002C45D8"/>
    <w:rsid w:val="002C6D53"/>
    <w:rsid w:val="002C7128"/>
    <w:rsid w:val="002D4CBC"/>
    <w:rsid w:val="002D6194"/>
    <w:rsid w:val="002D6D70"/>
    <w:rsid w:val="002E0CCA"/>
    <w:rsid w:val="002E141A"/>
    <w:rsid w:val="002E1B95"/>
    <w:rsid w:val="002E3EC7"/>
    <w:rsid w:val="002E4808"/>
    <w:rsid w:val="002E483E"/>
    <w:rsid w:val="002E4CAE"/>
    <w:rsid w:val="002E7045"/>
    <w:rsid w:val="002E7199"/>
    <w:rsid w:val="002F012F"/>
    <w:rsid w:val="002F0513"/>
    <w:rsid w:val="002F0990"/>
    <w:rsid w:val="002F0C58"/>
    <w:rsid w:val="002F13D1"/>
    <w:rsid w:val="002F37F8"/>
    <w:rsid w:val="002F4EDB"/>
    <w:rsid w:val="002F60D3"/>
    <w:rsid w:val="002F6A45"/>
    <w:rsid w:val="002F7574"/>
    <w:rsid w:val="00300A59"/>
    <w:rsid w:val="0030214A"/>
    <w:rsid w:val="00302E78"/>
    <w:rsid w:val="0030324F"/>
    <w:rsid w:val="00306288"/>
    <w:rsid w:val="003140F9"/>
    <w:rsid w:val="003148EA"/>
    <w:rsid w:val="003150CA"/>
    <w:rsid w:val="00315CB8"/>
    <w:rsid w:val="00315D8D"/>
    <w:rsid w:val="0031613B"/>
    <w:rsid w:val="003168ED"/>
    <w:rsid w:val="003172EB"/>
    <w:rsid w:val="00317AB4"/>
    <w:rsid w:val="00321E11"/>
    <w:rsid w:val="00321F8D"/>
    <w:rsid w:val="003228A7"/>
    <w:rsid w:val="00324CE8"/>
    <w:rsid w:val="00325371"/>
    <w:rsid w:val="00325BD4"/>
    <w:rsid w:val="00326A33"/>
    <w:rsid w:val="0032785C"/>
    <w:rsid w:val="00327E36"/>
    <w:rsid w:val="00330795"/>
    <w:rsid w:val="00330E85"/>
    <w:rsid w:val="0033219D"/>
    <w:rsid w:val="00334624"/>
    <w:rsid w:val="00335693"/>
    <w:rsid w:val="00335897"/>
    <w:rsid w:val="00336330"/>
    <w:rsid w:val="0033634C"/>
    <w:rsid w:val="0033669D"/>
    <w:rsid w:val="003367DD"/>
    <w:rsid w:val="00341C86"/>
    <w:rsid w:val="00343E5D"/>
    <w:rsid w:val="0034439B"/>
    <w:rsid w:val="003455A7"/>
    <w:rsid w:val="003458F6"/>
    <w:rsid w:val="003469BB"/>
    <w:rsid w:val="00350743"/>
    <w:rsid w:val="00350A47"/>
    <w:rsid w:val="003513CA"/>
    <w:rsid w:val="00351709"/>
    <w:rsid w:val="00351FAC"/>
    <w:rsid w:val="003529AF"/>
    <w:rsid w:val="00353652"/>
    <w:rsid w:val="0035603F"/>
    <w:rsid w:val="003564CA"/>
    <w:rsid w:val="0035756C"/>
    <w:rsid w:val="00357751"/>
    <w:rsid w:val="003601F1"/>
    <w:rsid w:val="00360B55"/>
    <w:rsid w:val="00360BFC"/>
    <w:rsid w:val="0036153E"/>
    <w:rsid w:val="00362A40"/>
    <w:rsid w:val="00363BF3"/>
    <w:rsid w:val="003649E8"/>
    <w:rsid w:val="00366631"/>
    <w:rsid w:val="003679D5"/>
    <w:rsid w:val="00367B79"/>
    <w:rsid w:val="003700BB"/>
    <w:rsid w:val="0037015D"/>
    <w:rsid w:val="0037217E"/>
    <w:rsid w:val="00373BB6"/>
    <w:rsid w:val="003743E8"/>
    <w:rsid w:val="00374F02"/>
    <w:rsid w:val="00375614"/>
    <w:rsid w:val="00380E60"/>
    <w:rsid w:val="00381483"/>
    <w:rsid w:val="00381C36"/>
    <w:rsid w:val="00381D62"/>
    <w:rsid w:val="003869D5"/>
    <w:rsid w:val="003905B9"/>
    <w:rsid w:val="0039206E"/>
    <w:rsid w:val="00392A4B"/>
    <w:rsid w:val="00392AA2"/>
    <w:rsid w:val="00393BA3"/>
    <w:rsid w:val="0039527F"/>
    <w:rsid w:val="00395A71"/>
    <w:rsid w:val="0039682A"/>
    <w:rsid w:val="003A08CD"/>
    <w:rsid w:val="003A37F4"/>
    <w:rsid w:val="003A43A6"/>
    <w:rsid w:val="003A4F1D"/>
    <w:rsid w:val="003A4F95"/>
    <w:rsid w:val="003A6F71"/>
    <w:rsid w:val="003A745C"/>
    <w:rsid w:val="003A78A2"/>
    <w:rsid w:val="003A7AA6"/>
    <w:rsid w:val="003B01D4"/>
    <w:rsid w:val="003B10EC"/>
    <w:rsid w:val="003B1570"/>
    <w:rsid w:val="003B3628"/>
    <w:rsid w:val="003B369F"/>
    <w:rsid w:val="003B3C31"/>
    <w:rsid w:val="003B43B8"/>
    <w:rsid w:val="003B5FEE"/>
    <w:rsid w:val="003B76D9"/>
    <w:rsid w:val="003C0CEB"/>
    <w:rsid w:val="003C0D4D"/>
    <w:rsid w:val="003C351A"/>
    <w:rsid w:val="003C3BC6"/>
    <w:rsid w:val="003C55F4"/>
    <w:rsid w:val="003C5934"/>
    <w:rsid w:val="003C7080"/>
    <w:rsid w:val="003D11D0"/>
    <w:rsid w:val="003D239A"/>
    <w:rsid w:val="003D2401"/>
    <w:rsid w:val="003D2C74"/>
    <w:rsid w:val="003D36F0"/>
    <w:rsid w:val="003D5245"/>
    <w:rsid w:val="003D5507"/>
    <w:rsid w:val="003D5A10"/>
    <w:rsid w:val="003D5E6D"/>
    <w:rsid w:val="003D7CB9"/>
    <w:rsid w:val="003E0F7C"/>
    <w:rsid w:val="003E2B73"/>
    <w:rsid w:val="003E2F03"/>
    <w:rsid w:val="003E3BBF"/>
    <w:rsid w:val="003E424A"/>
    <w:rsid w:val="003E4F79"/>
    <w:rsid w:val="003E5C83"/>
    <w:rsid w:val="003E75F3"/>
    <w:rsid w:val="003F0D9E"/>
    <w:rsid w:val="003F127A"/>
    <w:rsid w:val="003F1974"/>
    <w:rsid w:val="003F2109"/>
    <w:rsid w:val="003F50FF"/>
    <w:rsid w:val="003F5900"/>
    <w:rsid w:val="003F6355"/>
    <w:rsid w:val="00400266"/>
    <w:rsid w:val="00401A9A"/>
    <w:rsid w:val="00402EEA"/>
    <w:rsid w:val="00405CEF"/>
    <w:rsid w:val="00406337"/>
    <w:rsid w:val="00406A00"/>
    <w:rsid w:val="00406CDD"/>
    <w:rsid w:val="004074B3"/>
    <w:rsid w:val="004075EA"/>
    <w:rsid w:val="00410C82"/>
    <w:rsid w:val="0041108E"/>
    <w:rsid w:val="00412DF2"/>
    <w:rsid w:val="00413773"/>
    <w:rsid w:val="004138F5"/>
    <w:rsid w:val="00413D22"/>
    <w:rsid w:val="00414C90"/>
    <w:rsid w:val="004165B0"/>
    <w:rsid w:val="004165D6"/>
    <w:rsid w:val="00420D53"/>
    <w:rsid w:val="0042163E"/>
    <w:rsid w:val="00423163"/>
    <w:rsid w:val="004244A5"/>
    <w:rsid w:val="00427318"/>
    <w:rsid w:val="004276CD"/>
    <w:rsid w:val="0042778E"/>
    <w:rsid w:val="00427843"/>
    <w:rsid w:val="004302B6"/>
    <w:rsid w:val="0043230A"/>
    <w:rsid w:val="00434BAB"/>
    <w:rsid w:val="0043511C"/>
    <w:rsid w:val="00435538"/>
    <w:rsid w:val="00437E88"/>
    <w:rsid w:val="00440672"/>
    <w:rsid w:val="00441E70"/>
    <w:rsid w:val="00442D33"/>
    <w:rsid w:val="00443779"/>
    <w:rsid w:val="00443CCC"/>
    <w:rsid w:val="004441E4"/>
    <w:rsid w:val="004448E8"/>
    <w:rsid w:val="004474FB"/>
    <w:rsid w:val="004528CC"/>
    <w:rsid w:val="004529C3"/>
    <w:rsid w:val="00454355"/>
    <w:rsid w:val="0045608B"/>
    <w:rsid w:val="004652FD"/>
    <w:rsid w:val="004657F4"/>
    <w:rsid w:val="00466979"/>
    <w:rsid w:val="00466D17"/>
    <w:rsid w:val="0046744C"/>
    <w:rsid w:val="00467E20"/>
    <w:rsid w:val="00472A4C"/>
    <w:rsid w:val="00472B05"/>
    <w:rsid w:val="00472E85"/>
    <w:rsid w:val="00473068"/>
    <w:rsid w:val="00473353"/>
    <w:rsid w:val="004735D5"/>
    <w:rsid w:val="0047556B"/>
    <w:rsid w:val="00475C2D"/>
    <w:rsid w:val="00477226"/>
    <w:rsid w:val="0048028D"/>
    <w:rsid w:val="004813E8"/>
    <w:rsid w:val="004827F3"/>
    <w:rsid w:val="00486114"/>
    <w:rsid w:val="004863E4"/>
    <w:rsid w:val="00487264"/>
    <w:rsid w:val="00490D2A"/>
    <w:rsid w:val="0049105D"/>
    <w:rsid w:val="004918C4"/>
    <w:rsid w:val="004932A2"/>
    <w:rsid w:val="00496E8C"/>
    <w:rsid w:val="00496EAA"/>
    <w:rsid w:val="004A00B9"/>
    <w:rsid w:val="004A0497"/>
    <w:rsid w:val="004A08D7"/>
    <w:rsid w:val="004A5151"/>
    <w:rsid w:val="004A5DB1"/>
    <w:rsid w:val="004A687F"/>
    <w:rsid w:val="004A7359"/>
    <w:rsid w:val="004B2E41"/>
    <w:rsid w:val="004B3161"/>
    <w:rsid w:val="004B5BAF"/>
    <w:rsid w:val="004B5CB4"/>
    <w:rsid w:val="004B632A"/>
    <w:rsid w:val="004B7E82"/>
    <w:rsid w:val="004C06AD"/>
    <w:rsid w:val="004C0946"/>
    <w:rsid w:val="004C0C08"/>
    <w:rsid w:val="004C13CF"/>
    <w:rsid w:val="004C7EB2"/>
    <w:rsid w:val="004D0163"/>
    <w:rsid w:val="004D0AC5"/>
    <w:rsid w:val="004D19EB"/>
    <w:rsid w:val="004D35C6"/>
    <w:rsid w:val="004D3A90"/>
    <w:rsid w:val="004D7FB6"/>
    <w:rsid w:val="004E06B4"/>
    <w:rsid w:val="004E189A"/>
    <w:rsid w:val="004E1A28"/>
    <w:rsid w:val="004E2076"/>
    <w:rsid w:val="004E318F"/>
    <w:rsid w:val="004E3B81"/>
    <w:rsid w:val="004E5A0A"/>
    <w:rsid w:val="004E6694"/>
    <w:rsid w:val="004E6764"/>
    <w:rsid w:val="004E791F"/>
    <w:rsid w:val="004F021C"/>
    <w:rsid w:val="004F0260"/>
    <w:rsid w:val="004F1757"/>
    <w:rsid w:val="004F1D20"/>
    <w:rsid w:val="004F226F"/>
    <w:rsid w:val="004F326C"/>
    <w:rsid w:val="004F38A6"/>
    <w:rsid w:val="004F444A"/>
    <w:rsid w:val="004F5575"/>
    <w:rsid w:val="004F791D"/>
    <w:rsid w:val="004F79D9"/>
    <w:rsid w:val="005014BC"/>
    <w:rsid w:val="00501617"/>
    <w:rsid w:val="00502229"/>
    <w:rsid w:val="005030DE"/>
    <w:rsid w:val="0050634D"/>
    <w:rsid w:val="005078B2"/>
    <w:rsid w:val="005079C1"/>
    <w:rsid w:val="00507BBF"/>
    <w:rsid w:val="0051005C"/>
    <w:rsid w:val="00511260"/>
    <w:rsid w:val="00511565"/>
    <w:rsid w:val="005115FC"/>
    <w:rsid w:val="0051172C"/>
    <w:rsid w:val="0051380C"/>
    <w:rsid w:val="00514878"/>
    <w:rsid w:val="0051706E"/>
    <w:rsid w:val="0052034D"/>
    <w:rsid w:val="00520E7F"/>
    <w:rsid w:val="005212BB"/>
    <w:rsid w:val="00523DBC"/>
    <w:rsid w:val="005244E9"/>
    <w:rsid w:val="00524B87"/>
    <w:rsid w:val="0052517D"/>
    <w:rsid w:val="00527E04"/>
    <w:rsid w:val="00530509"/>
    <w:rsid w:val="00532080"/>
    <w:rsid w:val="005344C4"/>
    <w:rsid w:val="00545009"/>
    <w:rsid w:val="00545140"/>
    <w:rsid w:val="00545668"/>
    <w:rsid w:val="00547877"/>
    <w:rsid w:val="0055098F"/>
    <w:rsid w:val="005517B9"/>
    <w:rsid w:val="00553E7D"/>
    <w:rsid w:val="005542BD"/>
    <w:rsid w:val="00556489"/>
    <w:rsid w:val="00556EDA"/>
    <w:rsid w:val="00556FC7"/>
    <w:rsid w:val="005573D6"/>
    <w:rsid w:val="0056029F"/>
    <w:rsid w:val="0056509F"/>
    <w:rsid w:val="00565326"/>
    <w:rsid w:val="00570A0D"/>
    <w:rsid w:val="005754FC"/>
    <w:rsid w:val="00575F9C"/>
    <w:rsid w:val="00576979"/>
    <w:rsid w:val="00577AC4"/>
    <w:rsid w:val="00577D50"/>
    <w:rsid w:val="00580D85"/>
    <w:rsid w:val="005813AC"/>
    <w:rsid w:val="0058213C"/>
    <w:rsid w:val="0058354A"/>
    <w:rsid w:val="00584BA7"/>
    <w:rsid w:val="00586CFB"/>
    <w:rsid w:val="00587D29"/>
    <w:rsid w:val="00590C78"/>
    <w:rsid w:val="00591072"/>
    <w:rsid w:val="005934B8"/>
    <w:rsid w:val="005947B8"/>
    <w:rsid w:val="00594C9D"/>
    <w:rsid w:val="00595C65"/>
    <w:rsid w:val="005964E5"/>
    <w:rsid w:val="005969E2"/>
    <w:rsid w:val="00596B3B"/>
    <w:rsid w:val="00597705"/>
    <w:rsid w:val="005A1271"/>
    <w:rsid w:val="005A2449"/>
    <w:rsid w:val="005A2C73"/>
    <w:rsid w:val="005A3BBA"/>
    <w:rsid w:val="005A3E4D"/>
    <w:rsid w:val="005A4FC0"/>
    <w:rsid w:val="005A63B7"/>
    <w:rsid w:val="005A71F7"/>
    <w:rsid w:val="005A7BE7"/>
    <w:rsid w:val="005B1333"/>
    <w:rsid w:val="005B1872"/>
    <w:rsid w:val="005B3550"/>
    <w:rsid w:val="005B3D7C"/>
    <w:rsid w:val="005B4AE5"/>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D7A5C"/>
    <w:rsid w:val="005E20E4"/>
    <w:rsid w:val="005E2F30"/>
    <w:rsid w:val="005E3541"/>
    <w:rsid w:val="005E560B"/>
    <w:rsid w:val="005E601A"/>
    <w:rsid w:val="005F03D5"/>
    <w:rsid w:val="005F04A5"/>
    <w:rsid w:val="005F158C"/>
    <w:rsid w:val="005F1CFF"/>
    <w:rsid w:val="005F236B"/>
    <w:rsid w:val="005F6D85"/>
    <w:rsid w:val="005F77BC"/>
    <w:rsid w:val="00600269"/>
    <w:rsid w:val="0060138F"/>
    <w:rsid w:val="0060391E"/>
    <w:rsid w:val="0060443D"/>
    <w:rsid w:val="0060486E"/>
    <w:rsid w:val="006062FB"/>
    <w:rsid w:val="00606867"/>
    <w:rsid w:val="00607419"/>
    <w:rsid w:val="006101AF"/>
    <w:rsid w:val="00612393"/>
    <w:rsid w:val="00612ACF"/>
    <w:rsid w:val="00613BAA"/>
    <w:rsid w:val="00613E36"/>
    <w:rsid w:val="00614A7A"/>
    <w:rsid w:val="00616B35"/>
    <w:rsid w:val="00617A30"/>
    <w:rsid w:val="00617F99"/>
    <w:rsid w:val="006212C6"/>
    <w:rsid w:val="006215E6"/>
    <w:rsid w:val="00621A16"/>
    <w:rsid w:val="00621B4B"/>
    <w:rsid w:val="006232F1"/>
    <w:rsid w:val="00623DDE"/>
    <w:rsid w:val="00624695"/>
    <w:rsid w:val="00625D2D"/>
    <w:rsid w:val="006271A4"/>
    <w:rsid w:val="00630138"/>
    <w:rsid w:val="006313FC"/>
    <w:rsid w:val="006332F2"/>
    <w:rsid w:val="006345AC"/>
    <w:rsid w:val="00634B17"/>
    <w:rsid w:val="00637A17"/>
    <w:rsid w:val="00641035"/>
    <w:rsid w:val="00641661"/>
    <w:rsid w:val="00644B62"/>
    <w:rsid w:val="00644FB0"/>
    <w:rsid w:val="006476E6"/>
    <w:rsid w:val="00650EE2"/>
    <w:rsid w:val="006511A4"/>
    <w:rsid w:val="006513E2"/>
    <w:rsid w:val="00651916"/>
    <w:rsid w:val="00651DE7"/>
    <w:rsid w:val="006531C9"/>
    <w:rsid w:val="006535E1"/>
    <w:rsid w:val="0066025E"/>
    <w:rsid w:val="00661D64"/>
    <w:rsid w:val="00662682"/>
    <w:rsid w:val="006639A0"/>
    <w:rsid w:val="00663D7F"/>
    <w:rsid w:val="00664CD0"/>
    <w:rsid w:val="00665D94"/>
    <w:rsid w:val="006660BC"/>
    <w:rsid w:val="006668FE"/>
    <w:rsid w:val="00666E0D"/>
    <w:rsid w:val="00666E5D"/>
    <w:rsid w:val="00667591"/>
    <w:rsid w:val="00667F9F"/>
    <w:rsid w:val="0067007D"/>
    <w:rsid w:val="006707AE"/>
    <w:rsid w:val="006710E7"/>
    <w:rsid w:val="00671A0B"/>
    <w:rsid w:val="0067210D"/>
    <w:rsid w:val="00675C81"/>
    <w:rsid w:val="0068034D"/>
    <w:rsid w:val="00681152"/>
    <w:rsid w:val="00682987"/>
    <w:rsid w:val="00682CE5"/>
    <w:rsid w:val="006841DC"/>
    <w:rsid w:val="0068468E"/>
    <w:rsid w:val="00685DAD"/>
    <w:rsid w:val="0068615D"/>
    <w:rsid w:val="0068675A"/>
    <w:rsid w:val="0069106B"/>
    <w:rsid w:val="00691AF2"/>
    <w:rsid w:val="00691CB2"/>
    <w:rsid w:val="00694527"/>
    <w:rsid w:val="0069550C"/>
    <w:rsid w:val="00696A93"/>
    <w:rsid w:val="00697465"/>
    <w:rsid w:val="00697EB1"/>
    <w:rsid w:val="006A2310"/>
    <w:rsid w:val="006A2706"/>
    <w:rsid w:val="006A41FC"/>
    <w:rsid w:val="006A498B"/>
    <w:rsid w:val="006B1222"/>
    <w:rsid w:val="006B150C"/>
    <w:rsid w:val="006B1DCE"/>
    <w:rsid w:val="006B42B2"/>
    <w:rsid w:val="006B6180"/>
    <w:rsid w:val="006B692B"/>
    <w:rsid w:val="006C177A"/>
    <w:rsid w:val="006C1B13"/>
    <w:rsid w:val="006C32C4"/>
    <w:rsid w:val="006C46DD"/>
    <w:rsid w:val="006D067F"/>
    <w:rsid w:val="006D07FB"/>
    <w:rsid w:val="006D5A67"/>
    <w:rsid w:val="006D609B"/>
    <w:rsid w:val="006D762E"/>
    <w:rsid w:val="006D7CB9"/>
    <w:rsid w:val="006D7DFD"/>
    <w:rsid w:val="006E16D1"/>
    <w:rsid w:val="006E2B6D"/>
    <w:rsid w:val="006E3C88"/>
    <w:rsid w:val="006E4C1C"/>
    <w:rsid w:val="006F09D8"/>
    <w:rsid w:val="006F1624"/>
    <w:rsid w:val="006F3052"/>
    <w:rsid w:val="006F31BD"/>
    <w:rsid w:val="006F3259"/>
    <w:rsid w:val="006F3C00"/>
    <w:rsid w:val="006F78DB"/>
    <w:rsid w:val="00702C42"/>
    <w:rsid w:val="00704739"/>
    <w:rsid w:val="00704A2E"/>
    <w:rsid w:val="007057AB"/>
    <w:rsid w:val="00706464"/>
    <w:rsid w:val="00707343"/>
    <w:rsid w:val="007073FB"/>
    <w:rsid w:val="00710C28"/>
    <w:rsid w:val="00711C08"/>
    <w:rsid w:val="00711CC1"/>
    <w:rsid w:val="00712ED3"/>
    <w:rsid w:val="00714697"/>
    <w:rsid w:val="00714C9E"/>
    <w:rsid w:val="00715651"/>
    <w:rsid w:val="00717903"/>
    <w:rsid w:val="00717B10"/>
    <w:rsid w:val="0072301B"/>
    <w:rsid w:val="00724B29"/>
    <w:rsid w:val="00727A78"/>
    <w:rsid w:val="00730A5A"/>
    <w:rsid w:val="00731207"/>
    <w:rsid w:val="00734430"/>
    <w:rsid w:val="0074053C"/>
    <w:rsid w:val="007439D3"/>
    <w:rsid w:val="00743D4D"/>
    <w:rsid w:val="00743EB1"/>
    <w:rsid w:val="0074485F"/>
    <w:rsid w:val="007451A8"/>
    <w:rsid w:val="00745BF2"/>
    <w:rsid w:val="00745E2B"/>
    <w:rsid w:val="00746757"/>
    <w:rsid w:val="00751ADD"/>
    <w:rsid w:val="007520F6"/>
    <w:rsid w:val="007532C0"/>
    <w:rsid w:val="00756020"/>
    <w:rsid w:val="00756098"/>
    <w:rsid w:val="00757F3C"/>
    <w:rsid w:val="0076079E"/>
    <w:rsid w:val="007631E0"/>
    <w:rsid w:val="00763628"/>
    <w:rsid w:val="00763BF3"/>
    <w:rsid w:val="00764F87"/>
    <w:rsid w:val="00767A6B"/>
    <w:rsid w:val="00771094"/>
    <w:rsid w:val="00771421"/>
    <w:rsid w:val="00772E4B"/>
    <w:rsid w:val="007744D5"/>
    <w:rsid w:val="0077459E"/>
    <w:rsid w:val="00775448"/>
    <w:rsid w:val="0077676B"/>
    <w:rsid w:val="00780070"/>
    <w:rsid w:val="0078073B"/>
    <w:rsid w:val="00782782"/>
    <w:rsid w:val="007841E0"/>
    <w:rsid w:val="007863FC"/>
    <w:rsid w:val="007866DC"/>
    <w:rsid w:val="00791465"/>
    <w:rsid w:val="00791A3A"/>
    <w:rsid w:val="0079276A"/>
    <w:rsid w:val="00794AA8"/>
    <w:rsid w:val="00796226"/>
    <w:rsid w:val="007966E1"/>
    <w:rsid w:val="00796986"/>
    <w:rsid w:val="00796DDD"/>
    <w:rsid w:val="00796F39"/>
    <w:rsid w:val="00796F7A"/>
    <w:rsid w:val="00797A49"/>
    <w:rsid w:val="007A1488"/>
    <w:rsid w:val="007A1A81"/>
    <w:rsid w:val="007A2884"/>
    <w:rsid w:val="007A3705"/>
    <w:rsid w:val="007A39B0"/>
    <w:rsid w:val="007A7BBE"/>
    <w:rsid w:val="007B196E"/>
    <w:rsid w:val="007B1F09"/>
    <w:rsid w:val="007B566C"/>
    <w:rsid w:val="007B5893"/>
    <w:rsid w:val="007B686F"/>
    <w:rsid w:val="007B6CEF"/>
    <w:rsid w:val="007C17AD"/>
    <w:rsid w:val="007C2182"/>
    <w:rsid w:val="007C247A"/>
    <w:rsid w:val="007C4731"/>
    <w:rsid w:val="007C546A"/>
    <w:rsid w:val="007D0644"/>
    <w:rsid w:val="007D0A2D"/>
    <w:rsid w:val="007D367A"/>
    <w:rsid w:val="007D3ACE"/>
    <w:rsid w:val="007D64EC"/>
    <w:rsid w:val="007E05A2"/>
    <w:rsid w:val="007E1089"/>
    <w:rsid w:val="007E1B26"/>
    <w:rsid w:val="007E1F8D"/>
    <w:rsid w:val="007E25A8"/>
    <w:rsid w:val="007E5E24"/>
    <w:rsid w:val="007F11C8"/>
    <w:rsid w:val="007F1E72"/>
    <w:rsid w:val="007F2C37"/>
    <w:rsid w:val="007F4798"/>
    <w:rsid w:val="007F62D5"/>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1752E"/>
    <w:rsid w:val="00817E4B"/>
    <w:rsid w:val="00821B14"/>
    <w:rsid w:val="00821D82"/>
    <w:rsid w:val="008230F2"/>
    <w:rsid w:val="00823442"/>
    <w:rsid w:val="008242ED"/>
    <w:rsid w:val="008276BB"/>
    <w:rsid w:val="00830F6A"/>
    <w:rsid w:val="00832EA6"/>
    <w:rsid w:val="00832FD6"/>
    <w:rsid w:val="0083336E"/>
    <w:rsid w:val="00834066"/>
    <w:rsid w:val="008343B4"/>
    <w:rsid w:val="00834E4D"/>
    <w:rsid w:val="00837B9A"/>
    <w:rsid w:val="00837E1F"/>
    <w:rsid w:val="008405CE"/>
    <w:rsid w:val="008405CF"/>
    <w:rsid w:val="00840F18"/>
    <w:rsid w:val="00841726"/>
    <w:rsid w:val="00841B35"/>
    <w:rsid w:val="008426AA"/>
    <w:rsid w:val="0084295A"/>
    <w:rsid w:val="0084393F"/>
    <w:rsid w:val="00846269"/>
    <w:rsid w:val="00847F84"/>
    <w:rsid w:val="00851511"/>
    <w:rsid w:val="008536CA"/>
    <w:rsid w:val="008547C2"/>
    <w:rsid w:val="00854A89"/>
    <w:rsid w:val="00855355"/>
    <w:rsid w:val="008557C2"/>
    <w:rsid w:val="00855F97"/>
    <w:rsid w:val="008601B9"/>
    <w:rsid w:val="0086080D"/>
    <w:rsid w:val="008634DE"/>
    <w:rsid w:val="008647BD"/>
    <w:rsid w:val="008665C4"/>
    <w:rsid w:val="0086751C"/>
    <w:rsid w:val="008677E3"/>
    <w:rsid w:val="00870B41"/>
    <w:rsid w:val="0087195C"/>
    <w:rsid w:val="00873414"/>
    <w:rsid w:val="00873C6E"/>
    <w:rsid w:val="00873EB9"/>
    <w:rsid w:val="00875D5A"/>
    <w:rsid w:val="00875F1E"/>
    <w:rsid w:val="00880351"/>
    <w:rsid w:val="0088086C"/>
    <w:rsid w:val="00882735"/>
    <w:rsid w:val="00882EFE"/>
    <w:rsid w:val="00885C05"/>
    <w:rsid w:val="00885F6F"/>
    <w:rsid w:val="00890F28"/>
    <w:rsid w:val="00892541"/>
    <w:rsid w:val="0089372D"/>
    <w:rsid w:val="00893E14"/>
    <w:rsid w:val="0089533C"/>
    <w:rsid w:val="00895554"/>
    <w:rsid w:val="008957A8"/>
    <w:rsid w:val="00895A54"/>
    <w:rsid w:val="0089643A"/>
    <w:rsid w:val="00896B6A"/>
    <w:rsid w:val="008A0454"/>
    <w:rsid w:val="008A0676"/>
    <w:rsid w:val="008A1381"/>
    <w:rsid w:val="008A1A60"/>
    <w:rsid w:val="008A3B56"/>
    <w:rsid w:val="008A4281"/>
    <w:rsid w:val="008A537D"/>
    <w:rsid w:val="008A7240"/>
    <w:rsid w:val="008A75F3"/>
    <w:rsid w:val="008A7BFC"/>
    <w:rsid w:val="008A7CF7"/>
    <w:rsid w:val="008A7FAD"/>
    <w:rsid w:val="008B100F"/>
    <w:rsid w:val="008B1DA6"/>
    <w:rsid w:val="008B3660"/>
    <w:rsid w:val="008B6023"/>
    <w:rsid w:val="008C0313"/>
    <w:rsid w:val="008C210D"/>
    <w:rsid w:val="008C3E59"/>
    <w:rsid w:val="008C480D"/>
    <w:rsid w:val="008C4C45"/>
    <w:rsid w:val="008C651B"/>
    <w:rsid w:val="008C7138"/>
    <w:rsid w:val="008D2564"/>
    <w:rsid w:val="008D3C26"/>
    <w:rsid w:val="008D4FF7"/>
    <w:rsid w:val="008D68B6"/>
    <w:rsid w:val="008E1626"/>
    <w:rsid w:val="008E270C"/>
    <w:rsid w:val="008E51D4"/>
    <w:rsid w:val="008E66F8"/>
    <w:rsid w:val="008E74EF"/>
    <w:rsid w:val="008E7904"/>
    <w:rsid w:val="008E7EFA"/>
    <w:rsid w:val="008F051D"/>
    <w:rsid w:val="008F0FC5"/>
    <w:rsid w:val="008F0FD2"/>
    <w:rsid w:val="008F17A3"/>
    <w:rsid w:val="008F219A"/>
    <w:rsid w:val="008F222C"/>
    <w:rsid w:val="008F4376"/>
    <w:rsid w:val="008F59AF"/>
    <w:rsid w:val="008F5B07"/>
    <w:rsid w:val="008F61FC"/>
    <w:rsid w:val="008F74A5"/>
    <w:rsid w:val="0090113D"/>
    <w:rsid w:val="00901166"/>
    <w:rsid w:val="00901474"/>
    <w:rsid w:val="009014FD"/>
    <w:rsid w:val="00902AA7"/>
    <w:rsid w:val="00903496"/>
    <w:rsid w:val="00903A37"/>
    <w:rsid w:val="009041F8"/>
    <w:rsid w:val="00904D53"/>
    <w:rsid w:val="00905C49"/>
    <w:rsid w:val="00906C53"/>
    <w:rsid w:val="0090737A"/>
    <w:rsid w:val="0091491D"/>
    <w:rsid w:val="0091517B"/>
    <w:rsid w:val="00921597"/>
    <w:rsid w:val="00921696"/>
    <w:rsid w:val="0092525C"/>
    <w:rsid w:val="009257EE"/>
    <w:rsid w:val="009262E3"/>
    <w:rsid w:val="00927E7F"/>
    <w:rsid w:val="009300E6"/>
    <w:rsid w:val="00931856"/>
    <w:rsid w:val="00931957"/>
    <w:rsid w:val="00932259"/>
    <w:rsid w:val="00937B2D"/>
    <w:rsid w:val="00937F6E"/>
    <w:rsid w:val="00940225"/>
    <w:rsid w:val="009429D4"/>
    <w:rsid w:val="00943D4D"/>
    <w:rsid w:val="00944464"/>
    <w:rsid w:val="00945BC4"/>
    <w:rsid w:val="00945C7B"/>
    <w:rsid w:val="009503FE"/>
    <w:rsid w:val="0095291D"/>
    <w:rsid w:val="00954778"/>
    <w:rsid w:val="00954A0D"/>
    <w:rsid w:val="00955FFD"/>
    <w:rsid w:val="0095687B"/>
    <w:rsid w:val="00957730"/>
    <w:rsid w:val="00960CDB"/>
    <w:rsid w:val="00962E0E"/>
    <w:rsid w:val="00964882"/>
    <w:rsid w:val="009648F1"/>
    <w:rsid w:val="00964C44"/>
    <w:rsid w:val="00964DFA"/>
    <w:rsid w:val="0096634B"/>
    <w:rsid w:val="009709DD"/>
    <w:rsid w:val="0097136D"/>
    <w:rsid w:val="009737E6"/>
    <w:rsid w:val="0097492C"/>
    <w:rsid w:val="00974E2D"/>
    <w:rsid w:val="00975DB5"/>
    <w:rsid w:val="00976DCD"/>
    <w:rsid w:val="00976F0D"/>
    <w:rsid w:val="0098066C"/>
    <w:rsid w:val="009812F2"/>
    <w:rsid w:val="009814B0"/>
    <w:rsid w:val="00981871"/>
    <w:rsid w:val="00984181"/>
    <w:rsid w:val="0098571F"/>
    <w:rsid w:val="0098710A"/>
    <w:rsid w:val="00987780"/>
    <w:rsid w:val="0099005D"/>
    <w:rsid w:val="00992B0D"/>
    <w:rsid w:val="009969E0"/>
    <w:rsid w:val="00996B5C"/>
    <w:rsid w:val="009A0545"/>
    <w:rsid w:val="009A0B4E"/>
    <w:rsid w:val="009A1EC2"/>
    <w:rsid w:val="009A36AF"/>
    <w:rsid w:val="009A3E97"/>
    <w:rsid w:val="009A591E"/>
    <w:rsid w:val="009A77E7"/>
    <w:rsid w:val="009B1B5C"/>
    <w:rsid w:val="009B306D"/>
    <w:rsid w:val="009B5983"/>
    <w:rsid w:val="009B7B65"/>
    <w:rsid w:val="009C052D"/>
    <w:rsid w:val="009C09A0"/>
    <w:rsid w:val="009C2135"/>
    <w:rsid w:val="009C323D"/>
    <w:rsid w:val="009C36F1"/>
    <w:rsid w:val="009C3E3C"/>
    <w:rsid w:val="009C4F54"/>
    <w:rsid w:val="009C5271"/>
    <w:rsid w:val="009C63A4"/>
    <w:rsid w:val="009C63D5"/>
    <w:rsid w:val="009C6B5F"/>
    <w:rsid w:val="009C77AE"/>
    <w:rsid w:val="009C787C"/>
    <w:rsid w:val="009C7FC6"/>
    <w:rsid w:val="009D161A"/>
    <w:rsid w:val="009D1693"/>
    <w:rsid w:val="009D1BCC"/>
    <w:rsid w:val="009D4AB7"/>
    <w:rsid w:val="009D5302"/>
    <w:rsid w:val="009D62F3"/>
    <w:rsid w:val="009D754F"/>
    <w:rsid w:val="009E1896"/>
    <w:rsid w:val="009E1980"/>
    <w:rsid w:val="009E1ACC"/>
    <w:rsid w:val="009E2833"/>
    <w:rsid w:val="009E2BB3"/>
    <w:rsid w:val="009E325E"/>
    <w:rsid w:val="009E3484"/>
    <w:rsid w:val="009E569F"/>
    <w:rsid w:val="009E5FDA"/>
    <w:rsid w:val="009E646F"/>
    <w:rsid w:val="009E776E"/>
    <w:rsid w:val="009F1760"/>
    <w:rsid w:val="009F4396"/>
    <w:rsid w:val="009F5D93"/>
    <w:rsid w:val="009F6F14"/>
    <w:rsid w:val="009F7348"/>
    <w:rsid w:val="009F7433"/>
    <w:rsid w:val="00A00E8B"/>
    <w:rsid w:val="00A00F3C"/>
    <w:rsid w:val="00A0144A"/>
    <w:rsid w:val="00A01F40"/>
    <w:rsid w:val="00A02844"/>
    <w:rsid w:val="00A034F2"/>
    <w:rsid w:val="00A042CC"/>
    <w:rsid w:val="00A06BF5"/>
    <w:rsid w:val="00A076B8"/>
    <w:rsid w:val="00A07E9C"/>
    <w:rsid w:val="00A10A75"/>
    <w:rsid w:val="00A11066"/>
    <w:rsid w:val="00A1196D"/>
    <w:rsid w:val="00A11A36"/>
    <w:rsid w:val="00A11FA8"/>
    <w:rsid w:val="00A122F8"/>
    <w:rsid w:val="00A12914"/>
    <w:rsid w:val="00A12DA0"/>
    <w:rsid w:val="00A12EEB"/>
    <w:rsid w:val="00A14173"/>
    <w:rsid w:val="00A15BEB"/>
    <w:rsid w:val="00A167B8"/>
    <w:rsid w:val="00A17060"/>
    <w:rsid w:val="00A17ED7"/>
    <w:rsid w:val="00A20492"/>
    <w:rsid w:val="00A2185E"/>
    <w:rsid w:val="00A21919"/>
    <w:rsid w:val="00A26381"/>
    <w:rsid w:val="00A26913"/>
    <w:rsid w:val="00A314C5"/>
    <w:rsid w:val="00A31C08"/>
    <w:rsid w:val="00A32889"/>
    <w:rsid w:val="00A331C2"/>
    <w:rsid w:val="00A36A40"/>
    <w:rsid w:val="00A36D42"/>
    <w:rsid w:val="00A414A1"/>
    <w:rsid w:val="00A41BC0"/>
    <w:rsid w:val="00A42893"/>
    <w:rsid w:val="00A42906"/>
    <w:rsid w:val="00A43E5D"/>
    <w:rsid w:val="00A45490"/>
    <w:rsid w:val="00A4723D"/>
    <w:rsid w:val="00A47250"/>
    <w:rsid w:val="00A5180C"/>
    <w:rsid w:val="00A521EE"/>
    <w:rsid w:val="00A5427C"/>
    <w:rsid w:val="00A54565"/>
    <w:rsid w:val="00A603C3"/>
    <w:rsid w:val="00A61267"/>
    <w:rsid w:val="00A63829"/>
    <w:rsid w:val="00A64250"/>
    <w:rsid w:val="00A64FD8"/>
    <w:rsid w:val="00A6550F"/>
    <w:rsid w:val="00A67C97"/>
    <w:rsid w:val="00A711F9"/>
    <w:rsid w:val="00A71783"/>
    <w:rsid w:val="00A719FE"/>
    <w:rsid w:val="00A74937"/>
    <w:rsid w:val="00A75B8E"/>
    <w:rsid w:val="00A80111"/>
    <w:rsid w:val="00A81DF8"/>
    <w:rsid w:val="00A82B55"/>
    <w:rsid w:val="00A83F39"/>
    <w:rsid w:val="00A84210"/>
    <w:rsid w:val="00A85465"/>
    <w:rsid w:val="00A866AE"/>
    <w:rsid w:val="00A878A5"/>
    <w:rsid w:val="00A87D38"/>
    <w:rsid w:val="00A92225"/>
    <w:rsid w:val="00A9381F"/>
    <w:rsid w:val="00A958D5"/>
    <w:rsid w:val="00A95B9A"/>
    <w:rsid w:val="00A95CB4"/>
    <w:rsid w:val="00A96EEA"/>
    <w:rsid w:val="00A976E6"/>
    <w:rsid w:val="00AA00D8"/>
    <w:rsid w:val="00AA1788"/>
    <w:rsid w:val="00AA32DA"/>
    <w:rsid w:val="00AA45A4"/>
    <w:rsid w:val="00AA4712"/>
    <w:rsid w:val="00AA4FAB"/>
    <w:rsid w:val="00AA60AF"/>
    <w:rsid w:val="00AA65F4"/>
    <w:rsid w:val="00AA7A71"/>
    <w:rsid w:val="00AB01B3"/>
    <w:rsid w:val="00AB1B2B"/>
    <w:rsid w:val="00AB3967"/>
    <w:rsid w:val="00AB43EE"/>
    <w:rsid w:val="00AB4F07"/>
    <w:rsid w:val="00AB5121"/>
    <w:rsid w:val="00AB51EA"/>
    <w:rsid w:val="00AB690B"/>
    <w:rsid w:val="00AB6F0C"/>
    <w:rsid w:val="00AC1EC5"/>
    <w:rsid w:val="00AC4AC4"/>
    <w:rsid w:val="00AC7F40"/>
    <w:rsid w:val="00AC7FDF"/>
    <w:rsid w:val="00AD0544"/>
    <w:rsid w:val="00AD061A"/>
    <w:rsid w:val="00AD07AA"/>
    <w:rsid w:val="00AD1251"/>
    <w:rsid w:val="00AD1C15"/>
    <w:rsid w:val="00AD2F2E"/>
    <w:rsid w:val="00AE015B"/>
    <w:rsid w:val="00AE099A"/>
    <w:rsid w:val="00AE154F"/>
    <w:rsid w:val="00AE18E1"/>
    <w:rsid w:val="00AE1EE1"/>
    <w:rsid w:val="00AE207E"/>
    <w:rsid w:val="00AE2782"/>
    <w:rsid w:val="00AE2C20"/>
    <w:rsid w:val="00AE3DAE"/>
    <w:rsid w:val="00AE412E"/>
    <w:rsid w:val="00AE5E46"/>
    <w:rsid w:val="00AF05EC"/>
    <w:rsid w:val="00AF2AE0"/>
    <w:rsid w:val="00AF399D"/>
    <w:rsid w:val="00AF3D6B"/>
    <w:rsid w:val="00AF42BD"/>
    <w:rsid w:val="00AF4917"/>
    <w:rsid w:val="00AF4DC9"/>
    <w:rsid w:val="00AF6292"/>
    <w:rsid w:val="00AF680F"/>
    <w:rsid w:val="00AF6DF0"/>
    <w:rsid w:val="00B00514"/>
    <w:rsid w:val="00B00C04"/>
    <w:rsid w:val="00B01C2D"/>
    <w:rsid w:val="00B01FAF"/>
    <w:rsid w:val="00B04260"/>
    <w:rsid w:val="00B04A4E"/>
    <w:rsid w:val="00B0511A"/>
    <w:rsid w:val="00B05D39"/>
    <w:rsid w:val="00B100BE"/>
    <w:rsid w:val="00B11284"/>
    <w:rsid w:val="00B11F80"/>
    <w:rsid w:val="00B13A6B"/>
    <w:rsid w:val="00B13ABF"/>
    <w:rsid w:val="00B14FF9"/>
    <w:rsid w:val="00B15D9A"/>
    <w:rsid w:val="00B160F4"/>
    <w:rsid w:val="00B16169"/>
    <w:rsid w:val="00B167D1"/>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ECD"/>
    <w:rsid w:val="00B36696"/>
    <w:rsid w:val="00B418D6"/>
    <w:rsid w:val="00B42569"/>
    <w:rsid w:val="00B446F9"/>
    <w:rsid w:val="00B46ED1"/>
    <w:rsid w:val="00B50382"/>
    <w:rsid w:val="00B512A3"/>
    <w:rsid w:val="00B51F04"/>
    <w:rsid w:val="00B53331"/>
    <w:rsid w:val="00B559B1"/>
    <w:rsid w:val="00B559B2"/>
    <w:rsid w:val="00B565D4"/>
    <w:rsid w:val="00B56BAF"/>
    <w:rsid w:val="00B56D2F"/>
    <w:rsid w:val="00B56DA8"/>
    <w:rsid w:val="00B57BF8"/>
    <w:rsid w:val="00B60E51"/>
    <w:rsid w:val="00B63F7F"/>
    <w:rsid w:val="00B6537F"/>
    <w:rsid w:val="00B65433"/>
    <w:rsid w:val="00B65D0C"/>
    <w:rsid w:val="00B65DEE"/>
    <w:rsid w:val="00B66432"/>
    <w:rsid w:val="00B67243"/>
    <w:rsid w:val="00B673D7"/>
    <w:rsid w:val="00B70EE3"/>
    <w:rsid w:val="00B71571"/>
    <w:rsid w:val="00B715B1"/>
    <w:rsid w:val="00B7619E"/>
    <w:rsid w:val="00B77677"/>
    <w:rsid w:val="00B77BF3"/>
    <w:rsid w:val="00B8195F"/>
    <w:rsid w:val="00B83257"/>
    <w:rsid w:val="00B832B4"/>
    <w:rsid w:val="00B8381D"/>
    <w:rsid w:val="00B84964"/>
    <w:rsid w:val="00B849F3"/>
    <w:rsid w:val="00B85208"/>
    <w:rsid w:val="00B85F87"/>
    <w:rsid w:val="00B862B9"/>
    <w:rsid w:val="00B8719E"/>
    <w:rsid w:val="00B9092D"/>
    <w:rsid w:val="00B91527"/>
    <w:rsid w:val="00B92470"/>
    <w:rsid w:val="00B929D1"/>
    <w:rsid w:val="00B93AC6"/>
    <w:rsid w:val="00B95349"/>
    <w:rsid w:val="00B955C0"/>
    <w:rsid w:val="00B95B9C"/>
    <w:rsid w:val="00B961E2"/>
    <w:rsid w:val="00BA0067"/>
    <w:rsid w:val="00BA0086"/>
    <w:rsid w:val="00BA09DA"/>
    <w:rsid w:val="00BA0F9A"/>
    <w:rsid w:val="00BA2179"/>
    <w:rsid w:val="00BA36F2"/>
    <w:rsid w:val="00BA65AC"/>
    <w:rsid w:val="00BB2985"/>
    <w:rsid w:val="00BB4F2D"/>
    <w:rsid w:val="00BC01BA"/>
    <w:rsid w:val="00BC0A20"/>
    <w:rsid w:val="00BC21A0"/>
    <w:rsid w:val="00BC4EF3"/>
    <w:rsid w:val="00BC77C0"/>
    <w:rsid w:val="00BD0B25"/>
    <w:rsid w:val="00BD234D"/>
    <w:rsid w:val="00BD2561"/>
    <w:rsid w:val="00BD3CC4"/>
    <w:rsid w:val="00BD588C"/>
    <w:rsid w:val="00BD5DCD"/>
    <w:rsid w:val="00BD616D"/>
    <w:rsid w:val="00BD6C4D"/>
    <w:rsid w:val="00BD7A75"/>
    <w:rsid w:val="00BE0997"/>
    <w:rsid w:val="00BE1907"/>
    <w:rsid w:val="00BE1A97"/>
    <w:rsid w:val="00BE3AF3"/>
    <w:rsid w:val="00BE485B"/>
    <w:rsid w:val="00BE646B"/>
    <w:rsid w:val="00BE6A74"/>
    <w:rsid w:val="00BE7D08"/>
    <w:rsid w:val="00BF0840"/>
    <w:rsid w:val="00BF0DFF"/>
    <w:rsid w:val="00BF22B8"/>
    <w:rsid w:val="00BF2603"/>
    <w:rsid w:val="00BF51CE"/>
    <w:rsid w:val="00BF5996"/>
    <w:rsid w:val="00BF6541"/>
    <w:rsid w:val="00C01A0D"/>
    <w:rsid w:val="00C028D9"/>
    <w:rsid w:val="00C036E4"/>
    <w:rsid w:val="00C038B8"/>
    <w:rsid w:val="00C03B35"/>
    <w:rsid w:val="00C06574"/>
    <w:rsid w:val="00C06F31"/>
    <w:rsid w:val="00C11EE9"/>
    <w:rsid w:val="00C1217A"/>
    <w:rsid w:val="00C12B8C"/>
    <w:rsid w:val="00C13B07"/>
    <w:rsid w:val="00C155D9"/>
    <w:rsid w:val="00C2211D"/>
    <w:rsid w:val="00C2262F"/>
    <w:rsid w:val="00C2344F"/>
    <w:rsid w:val="00C246F2"/>
    <w:rsid w:val="00C26707"/>
    <w:rsid w:val="00C27719"/>
    <w:rsid w:val="00C31BCD"/>
    <w:rsid w:val="00C320EB"/>
    <w:rsid w:val="00C32F7B"/>
    <w:rsid w:val="00C3441D"/>
    <w:rsid w:val="00C3513F"/>
    <w:rsid w:val="00C355AA"/>
    <w:rsid w:val="00C36223"/>
    <w:rsid w:val="00C40725"/>
    <w:rsid w:val="00C4207E"/>
    <w:rsid w:val="00C451A3"/>
    <w:rsid w:val="00C4577E"/>
    <w:rsid w:val="00C50C8F"/>
    <w:rsid w:val="00C51156"/>
    <w:rsid w:val="00C53FD7"/>
    <w:rsid w:val="00C55C61"/>
    <w:rsid w:val="00C57047"/>
    <w:rsid w:val="00C64F44"/>
    <w:rsid w:val="00C650ED"/>
    <w:rsid w:val="00C65132"/>
    <w:rsid w:val="00C65F6A"/>
    <w:rsid w:val="00C67F3E"/>
    <w:rsid w:val="00C70CD5"/>
    <w:rsid w:val="00C7216F"/>
    <w:rsid w:val="00C72845"/>
    <w:rsid w:val="00C730E4"/>
    <w:rsid w:val="00C73BB8"/>
    <w:rsid w:val="00C74CC5"/>
    <w:rsid w:val="00C76B48"/>
    <w:rsid w:val="00C76CC4"/>
    <w:rsid w:val="00C77815"/>
    <w:rsid w:val="00C823C5"/>
    <w:rsid w:val="00C82D42"/>
    <w:rsid w:val="00C8322A"/>
    <w:rsid w:val="00C83583"/>
    <w:rsid w:val="00C8491A"/>
    <w:rsid w:val="00C84B12"/>
    <w:rsid w:val="00C869BC"/>
    <w:rsid w:val="00C8737E"/>
    <w:rsid w:val="00C90444"/>
    <w:rsid w:val="00C9243B"/>
    <w:rsid w:val="00C93528"/>
    <w:rsid w:val="00C95041"/>
    <w:rsid w:val="00C953C0"/>
    <w:rsid w:val="00C96E5A"/>
    <w:rsid w:val="00C97ACC"/>
    <w:rsid w:val="00CA0129"/>
    <w:rsid w:val="00CA181F"/>
    <w:rsid w:val="00CA2A54"/>
    <w:rsid w:val="00CA3219"/>
    <w:rsid w:val="00CB01EB"/>
    <w:rsid w:val="00CB0DFA"/>
    <w:rsid w:val="00CB250C"/>
    <w:rsid w:val="00CB34D5"/>
    <w:rsid w:val="00CB6CB0"/>
    <w:rsid w:val="00CC134C"/>
    <w:rsid w:val="00CC1A6F"/>
    <w:rsid w:val="00CC36F9"/>
    <w:rsid w:val="00CC3E8F"/>
    <w:rsid w:val="00CC584D"/>
    <w:rsid w:val="00CD050B"/>
    <w:rsid w:val="00CD0BA2"/>
    <w:rsid w:val="00CD18DE"/>
    <w:rsid w:val="00CD2CAD"/>
    <w:rsid w:val="00CD2FA1"/>
    <w:rsid w:val="00CD643B"/>
    <w:rsid w:val="00CE0D42"/>
    <w:rsid w:val="00CE19D1"/>
    <w:rsid w:val="00CE23EF"/>
    <w:rsid w:val="00CE6197"/>
    <w:rsid w:val="00CE648A"/>
    <w:rsid w:val="00CE6490"/>
    <w:rsid w:val="00CE6BEE"/>
    <w:rsid w:val="00CE702E"/>
    <w:rsid w:val="00CE7723"/>
    <w:rsid w:val="00CF088A"/>
    <w:rsid w:val="00CF1AEC"/>
    <w:rsid w:val="00CF38F2"/>
    <w:rsid w:val="00CF5CD7"/>
    <w:rsid w:val="00CF64F3"/>
    <w:rsid w:val="00CF79DF"/>
    <w:rsid w:val="00D00702"/>
    <w:rsid w:val="00D01E61"/>
    <w:rsid w:val="00D02296"/>
    <w:rsid w:val="00D02B99"/>
    <w:rsid w:val="00D0306C"/>
    <w:rsid w:val="00D034FA"/>
    <w:rsid w:val="00D06027"/>
    <w:rsid w:val="00D0751A"/>
    <w:rsid w:val="00D078F8"/>
    <w:rsid w:val="00D07D25"/>
    <w:rsid w:val="00D110F0"/>
    <w:rsid w:val="00D116BA"/>
    <w:rsid w:val="00D11AAD"/>
    <w:rsid w:val="00D12852"/>
    <w:rsid w:val="00D13010"/>
    <w:rsid w:val="00D133F0"/>
    <w:rsid w:val="00D13638"/>
    <w:rsid w:val="00D13897"/>
    <w:rsid w:val="00D143ED"/>
    <w:rsid w:val="00D16C5A"/>
    <w:rsid w:val="00D16DAA"/>
    <w:rsid w:val="00D17592"/>
    <w:rsid w:val="00D17E12"/>
    <w:rsid w:val="00D21B84"/>
    <w:rsid w:val="00D223C9"/>
    <w:rsid w:val="00D22983"/>
    <w:rsid w:val="00D2427B"/>
    <w:rsid w:val="00D25359"/>
    <w:rsid w:val="00D2541A"/>
    <w:rsid w:val="00D25E7D"/>
    <w:rsid w:val="00D261EA"/>
    <w:rsid w:val="00D26D6A"/>
    <w:rsid w:val="00D27842"/>
    <w:rsid w:val="00D30628"/>
    <w:rsid w:val="00D30CEE"/>
    <w:rsid w:val="00D31D6C"/>
    <w:rsid w:val="00D32B3D"/>
    <w:rsid w:val="00D33C8D"/>
    <w:rsid w:val="00D340E2"/>
    <w:rsid w:val="00D37148"/>
    <w:rsid w:val="00D37A00"/>
    <w:rsid w:val="00D40860"/>
    <w:rsid w:val="00D4280D"/>
    <w:rsid w:val="00D42B76"/>
    <w:rsid w:val="00D43787"/>
    <w:rsid w:val="00D443D9"/>
    <w:rsid w:val="00D447D8"/>
    <w:rsid w:val="00D450B5"/>
    <w:rsid w:val="00D45623"/>
    <w:rsid w:val="00D45942"/>
    <w:rsid w:val="00D45968"/>
    <w:rsid w:val="00D468AF"/>
    <w:rsid w:val="00D470FA"/>
    <w:rsid w:val="00D4768C"/>
    <w:rsid w:val="00D47F57"/>
    <w:rsid w:val="00D50983"/>
    <w:rsid w:val="00D51176"/>
    <w:rsid w:val="00D53B35"/>
    <w:rsid w:val="00D542B6"/>
    <w:rsid w:val="00D5648F"/>
    <w:rsid w:val="00D56E3B"/>
    <w:rsid w:val="00D57CC2"/>
    <w:rsid w:val="00D616EC"/>
    <w:rsid w:val="00D6349D"/>
    <w:rsid w:val="00D648BA"/>
    <w:rsid w:val="00D65CBC"/>
    <w:rsid w:val="00D66A4D"/>
    <w:rsid w:val="00D724E1"/>
    <w:rsid w:val="00D72CDB"/>
    <w:rsid w:val="00D74CDF"/>
    <w:rsid w:val="00D76A95"/>
    <w:rsid w:val="00D801E1"/>
    <w:rsid w:val="00D82515"/>
    <w:rsid w:val="00D82682"/>
    <w:rsid w:val="00D82E21"/>
    <w:rsid w:val="00D840E2"/>
    <w:rsid w:val="00D846FE"/>
    <w:rsid w:val="00D85B86"/>
    <w:rsid w:val="00D860CB"/>
    <w:rsid w:val="00D87C68"/>
    <w:rsid w:val="00D92783"/>
    <w:rsid w:val="00D92B70"/>
    <w:rsid w:val="00D92D3B"/>
    <w:rsid w:val="00D9456A"/>
    <w:rsid w:val="00D94B4E"/>
    <w:rsid w:val="00D94DBD"/>
    <w:rsid w:val="00DA00BB"/>
    <w:rsid w:val="00DA38F9"/>
    <w:rsid w:val="00DA5CCE"/>
    <w:rsid w:val="00DA776D"/>
    <w:rsid w:val="00DA7AAB"/>
    <w:rsid w:val="00DB0815"/>
    <w:rsid w:val="00DB1859"/>
    <w:rsid w:val="00DB6676"/>
    <w:rsid w:val="00DB6F2F"/>
    <w:rsid w:val="00DC0950"/>
    <w:rsid w:val="00DC12A9"/>
    <w:rsid w:val="00DC1CAB"/>
    <w:rsid w:val="00DC2ABE"/>
    <w:rsid w:val="00DC4FD2"/>
    <w:rsid w:val="00DC59DE"/>
    <w:rsid w:val="00DC7217"/>
    <w:rsid w:val="00DC79BB"/>
    <w:rsid w:val="00DD0615"/>
    <w:rsid w:val="00DD11EB"/>
    <w:rsid w:val="00DD1B8B"/>
    <w:rsid w:val="00DD1F32"/>
    <w:rsid w:val="00DD23D6"/>
    <w:rsid w:val="00DD4855"/>
    <w:rsid w:val="00DD75C4"/>
    <w:rsid w:val="00DE1FBA"/>
    <w:rsid w:val="00DE32AB"/>
    <w:rsid w:val="00DE4550"/>
    <w:rsid w:val="00DE55DE"/>
    <w:rsid w:val="00DE5968"/>
    <w:rsid w:val="00DE6A2A"/>
    <w:rsid w:val="00DF0B7F"/>
    <w:rsid w:val="00DF1227"/>
    <w:rsid w:val="00DF131F"/>
    <w:rsid w:val="00DF1EE7"/>
    <w:rsid w:val="00DF2C98"/>
    <w:rsid w:val="00DF679A"/>
    <w:rsid w:val="00DF77FD"/>
    <w:rsid w:val="00DF7AB6"/>
    <w:rsid w:val="00E00DCA"/>
    <w:rsid w:val="00E033B7"/>
    <w:rsid w:val="00E03786"/>
    <w:rsid w:val="00E038DB"/>
    <w:rsid w:val="00E04FFB"/>
    <w:rsid w:val="00E05EEE"/>
    <w:rsid w:val="00E065DD"/>
    <w:rsid w:val="00E075A8"/>
    <w:rsid w:val="00E079A8"/>
    <w:rsid w:val="00E07D5A"/>
    <w:rsid w:val="00E105EE"/>
    <w:rsid w:val="00E10D91"/>
    <w:rsid w:val="00E134FC"/>
    <w:rsid w:val="00E1436B"/>
    <w:rsid w:val="00E14F22"/>
    <w:rsid w:val="00E151BD"/>
    <w:rsid w:val="00E170FA"/>
    <w:rsid w:val="00E2020E"/>
    <w:rsid w:val="00E20D15"/>
    <w:rsid w:val="00E25A13"/>
    <w:rsid w:val="00E26F75"/>
    <w:rsid w:val="00E3064C"/>
    <w:rsid w:val="00E33007"/>
    <w:rsid w:val="00E34483"/>
    <w:rsid w:val="00E3456D"/>
    <w:rsid w:val="00E406B2"/>
    <w:rsid w:val="00E4190D"/>
    <w:rsid w:val="00E44987"/>
    <w:rsid w:val="00E44F34"/>
    <w:rsid w:val="00E4544C"/>
    <w:rsid w:val="00E45859"/>
    <w:rsid w:val="00E47654"/>
    <w:rsid w:val="00E47666"/>
    <w:rsid w:val="00E47C2B"/>
    <w:rsid w:val="00E504E9"/>
    <w:rsid w:val="00E50617"/>
    <w:rsid w:val="00E507A9"/>
    <w:rsid w:val="00E50A92"/>
    <w:rsid w:val="00E5253D"/>
    <w:rsid w:val="00E5253E"/>
    <w:rsid w:val="00E53860"/>
    <w:rsid w:val="00E554E7"/>
    <w:rsid w:val="00E5688C"/>
    <w:rsid w:val="00E57C72"/>
    <w:rsid w:val="00E60AEE"/>
    <w:rsid w:val="00E6547E"/>
    <w:rsid w:val="00E65E36"/>
    <w:rsid w:val="00E669A1"/>
    <w:rsid w:val="00E67625"/>
    <w:rsid w:val="00E700D9"/>
    <w:rsid w:val="00E75FF6"/>
    <w:rsid w:val="00E77A6F"/>
    <w:rsid w:val="00E77C48"/>
    <w:rsid w:val="00E825C2"/>
    <w:rsid w:val="00E8390A"/>
    <w:rsid w:val="00E83A3B"/>
    <w:rsid w:val="00E901D7"/>
    <w:rsid w:val="00E9172D"/>
    <w:rsid w:val="00E91BD8"/>
    <w:rsid w:val="00E922BE"/>
    <w:rsid w:val="00E9258D"/>
    <w:rsid w:val="00E9268E"/>
    <w:rsid w:val="00E92948"/>
    <w:rsid w:val="00E92B00"/>
    <w:rsid w:val="00E9368B"/>
    <w:rsid w:val="00E93E74"/>
    <w:rsid w:val="00E94D9A"/>
    <w:rsid w:val="00E953FA"/>
    <w:rsid w:val="00E97E28"/>
    <w:rsid w:val="00EA14DA"/>
    <w:rsid w:val="00EA28E8"/>
    <w:rsid w:val="00EA2AD4"/>
    <w:rsid w:val="00EA426F"/>
    <w:rsid w:val="00EA484D"/>
    <w:rsid w:val="00EA4A96"/>
    <w:rsid w:val="00EB1A14"/>
    <w:rsid w:val="00EB3B0A"/>
    <w:rsid w:val="00EB3DAC"/>
    <w:rsid w:val="00EB3E8B"/>
    <w:rsid w:val="00EB4093"/>
    <w:rsid w:val="00EB46F3"/>
    <w:rsid w:val="00EB4958"/>
    <w:rsid w:val="00EC1371"/>
    <w:rsid w:val="00EC2445"/>
    <w:rsid w:val="00EC33B2"/>
    <w:rsid w:val="00EC3796"/>
    <w:rsid w:val="00EC41A4"/>
    <w:rsid w:val="00EC5D78"/>
    <w:rsid w:val="00EC6563"/>
    <w:rsid w:val="00EC6BAB"/>
    <w:rsid w:val="00EC7294"/>
    <w:rsid w:val="00EC7555"/>
    <w:rsid w:val="00EC7728"/>
    <w:rsid w:val="00ED0109"/>
    <w:rsid w:val="00ED0680"/>
    <w:rsid w:val="00ED10A6"/>
    <w:rsid w:val="00ED27B9"/>
    <w:rsid w:val="00ED2905"/>
    <w:rsid w:val="00ED3D65"/>
    <w:rsid w:val="00ED740B"/>
    <w:rsid w:val="00ED76FB"/>
    <w:rsid w:val="00ED7E7A"/>
    <w:rsid w:val="00EE0D8C"/>
    <w:rsid w:val="00EE149D"/>
    <w:rsid w:val="00EE172B"/>
    <w:rsid w:val="00EE2C77"/>
    <w:rsid w:val="00EE3F56"/>
    <w:rsid w:val="00EE4BB2"/>
    <w:rsid w:val="00EE560A"/>
    <w:rsid w:val="00EE6B47"/>
    <w:rsid w:val="00EE733B"/>
    <w:rsid w:val="00EE7413"/>
    <w:rsid w:val="00EE7B6D"/>
    <w:rsid w:val="00EF13A5"/>
    <w:rsid w:val="00EF1724"/>
    <w:rsid w:val="00EF1AA9"/>
    <w:rsid w:val="00EF1B4E"/>
    <w:rsid w:val="00EF1CC2"/>
    <w:rsid w:val="00EF5079"/>
    <w:rsid w:val="00EF5A62"/>
    <w:rsid w:val="00EF7A77"/>
    <w:rsid w:val="00EF7DE3"/>
    <w:rsid w:val="00F006C9"/>
    <w:rsid w:val="00F01AD8"/>
    <w:rsid w:val="00F02F54"/>
    <w:rsid w:val="00F03638"/>
    <w:rsid w:val="00F039ED"/>
    <w:rsid w:val="00F03F16"/>
    <w:rsid w:val="00F0590E"/>
    <w:rsid w:val="00F0620D"/>
    <w:rsid w:val="00F07ECC"/>
    <w:rsid w:val="00F10116"/>
    <w:rsid w:val="00F11B23"/>
    <w:rsid w:val="00F1229F"/>
    <w:rsid w:val="00F1344F"/>
    <w:rsid w:val="00F136B0"/>
    <w:rsid w:val="00F13850"/>
    <w:rsid w:val="00F13A34"/>
    <w:rsid w:val="00F146CB"/>
    <w:rsid w:val="00F14B1E"/>
    <w:rsid w:val="00F15D92"/>
    <w:rsid w:val="00F161D8"/>
    <w:rsid w:val="00F220EF"/>
    <w:rsid w:val="00F2298C"/>
    <w:rsid w:val="00F24CF2"/>
    <w:rsid w:val="00F25235"/>
    <w:rsid w:val="00F254F6"/>
    <w:rsid w:val="00F3022D"/>
    <w:rsid w:val="00F30708"/>
    <w:rsid w:val="00F31B3B"/>
    <w:rsid w:val="00F31E35"/>
    <w:rsid w:val="00F3228A"/>
    <w:rsid w:val="00F3395E"/>
    <w:rsid w:val="00F33A72"/>
    <w:rsid w:val="00F3415D"/>
    <w:rsid w:val="00F363F1"/>
    <w:rsid w:val="00F37256"/>
    <w:rsid w:val="00F43DFC"/>
    <w:rsid w:val="00F45E5A"/>
    <w:rsid w:val="00F51D54"/>
    <w:rsid w:val="00F5396A"/>
    <w:rsid w:val="00F54740"/>
    <w:rsid w:val="00F57A3E"/>
    <w:rsid w:val="00F62899"/>
    <w:rsid w:val="00F637A9"/>
    <w:rsid w:val="00F63A4A"/>
    <w:rsid w:val="00F63E31"/>
    <w:rsid w:val="00F645AE"/>
    <w:rsid w:val="00F6573A"/>
    <w:rsid w:val="00F67D00"/>
    <w:rsid w:val="00F67D2C"/>
    <w:rsid w:val="00F70011"/>
    <w:rsid w:val="00F71119"/>
    <w:rsid w:val="00F720FA"/>
    <w:rsid w:val="00F733B2"/>
    <w:rsid w:val="00F75DF6"/>
    <w:rsid w:val="00F772EA"/>
    <w:rsid w:val="00F77698"/>
    <w:rsid w:val="00F837F8"/>
    <w:rsid w:val="00F83BC2"/>
    <w:rsid w:val="00F84ED2"/>
    <w:rsid w:val="00F87825"/>
    <w:rsid w:val="00F90290"/>
    <w:rsid w:val="00F915B8"/>
    <w:rsid w:val="00F91B3B"/>
    <w:rsid w:val="00F94EC0"/>
    <w:rsid w:val="00F9666D"/>
    <w:rsid w:val="00F976C6"/>
    <w:rsid w:val="00FA0C52"/>
    <w:rsid w:val="00FA215D"/>
    <w:rsid w:val="00FA2451"/>
    <w:rsid w:val="00FA457D"/>
    <w:rsid w:val="00FA6E33"/>
    <w:rsid w:val="00FA72B1"/>
    <w:rsid w:val="00FB156D"/>
    <w:rsid w:val="00FB1AA9"/>
    <w:rsid w:val="00FC479C"/>
    <w:rsid w:val="00FC4DD7"/>
    <w:rsid w:val="00FC6E57"/>
    <w:rsid w:val="00FC7151"/>
    <w:rsid w:val="00FD0C02"/>
    <w:rsid w:val="00FD1823"/>
    <w:rsid w:val="00FD1FCF"/>
    <w:rsid w:val="00FD282F"/>
    <w:rsid w:val="00FD6EAA"/>
    <w:rsid w:val="00FE0ABB"/>
    <w:rsid w:val="00FE141F"/>
    <w:rsid w:val="00FE20F0"/>
    <w:rsid w:val="00FE417A"/>
    <w:rsid w:val="00FE4295"/>
    <w:rsid w:val="00FE5A83"/>
    <w:rsid w:val="00FE7911"/>
    <w:rsid w:val="00FF1735"/>
    <w:rsid w:val="00FF31C9"/>
    <w:rsid w:val="00FF3D51"/>
    <w:rsid w:val="00FF3FBB"/>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32D6B-1081-46B8-BD80-70D6B2CC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Mokone</cp:lastModifiedBy>
  <cp:revision>3</cp:revision>
  <dcterms:created xsi:type="dcterms:W3CDTF">2023-05-03T11:52:00Z</dcterms:created>
  <dcterms:modified xsi:type="dcterms:W3CDTF">2023-05-03T11:54:00Z</dcterms:modified>
</cp:coreProperties>
</file>