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830B5" w14:textId="77777777" w:rsidR="00A80B93" w:rsidRPr="00DB2A06" w:rsidRDefault="00A80B93" w:rsidP="00A80B9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0B9888C" w14:textId="77777777" w:rsidR="00A80B93" w:rsidRDefault="00A80B93" w:rsidP="002B64D5">
      <w:pPr>
        <w:jc w:val="center"/>
        <w:rPr>
          <w:noProof/>
          <w:lang w:val="en-US" w:eastAsia="en-US"/>
        </w:rPr>
      </w:pPr>
    </w:p>
    <w:p w14:paraId="2D318565" w14:textId="77777777" w:rsidR="00A80B93" w:rsidRDefault="00A80B93" w:rsidP="002B64D5">
      <w:pPr>
        <w:jc w:val="center"/>
        <w:rPr>
          <w:noProof/>
          <w:lang w:val="en-US" w:eastAsia="en-US"/>
        </w:rPr>
      </w:pPr>
    </w:p>
    <w:p w14:paraId="15544259" w14:textId="68BB9884" w:rsidR="002B64D5" w:rsidRDefault="002B64D5" w:rsidP="002B64D5">
      <w:pPr>
        <w:jc w:val="center"/>
        <w:rPr>
          <w:rFonts w:ascii="Arial" w:hAnsi="Arial" w:cs="Arial"/>
          <w:b/>
          <w:sz w:val="26"/>
          <w:szCs w:val="26"/>
        </w:rPr>
      </w:pPr>
      <w:r>
        <w:rPr>
          <w:noProof/>
          <w:lang w:val="en-US" w:eastAsia="en-US"/>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374F944" w:rsidR="00AF7575" w:rsidRPr="00A13945" w:rsidRDefault="00702F03" w:rsidP="002B64D5">
      <w:pPr>
        <w:jc w:val="center"/>
        <w:rPr>
          <w:rFonts w:ascii="Arial" w:hAnsi="Arial" w:cs="Arial"/>
          <w:b/>
          <w:sz w:val="26"/>
          <w:szCs w:val="26"/>
        </w:rPr>
      </w:pPr>
      <w:r>
        <w:rPr>
          <w:rFonts w:ascii="Arial" w:hAnsi="Arial" w:cs="Arial"/>
          <w:b/>
          <w:sz w:val="26"/>
          <w:szCs w:val="26"/>
        </w:rPr>
        <w:t>(EASTERN CAPE</w:t>
      </w:r>
      <w:r w:rsidR="00EB4A38">
        <w:rPr>
          <w:rFonts w:ascii="Arial" w:hAnsi="Arial" w:cs="Arial"/>
          <w:b/>
          <w:sz w:val="26"/>
          <w:szCs w:val="26"/>
        </w:rPr>
        <w:t xml:space="preserve"> </w:t>
      </w:r>
      <w:r w:rsidR="001D4B84" w:rsidRPr="00A13945">
        <w:rPr>
          <w:rFonts w:ascii="Arial" w:hAnsi="Arial" w:cs="Arial"/>
          <w:b/>
          <w:sz w:val="26"/>
          <w:szCs w:val="26"/>
        </w:rPr>
        <w:t xml:space="preserve">DIVISION, </w:t>
      </w:r>
      <w:r>
        <w:rPr>
          <w:rFonts w:ascii="Arial" w:hAnsi="Arial" w:cs="Arial"/>
          <w:b/>
          <w:sz w:val="26"/>
          <w:szCs w:val="26"/>
        </w:rPr>
        <w:t>MAKHANDA</w:t>
      </w:r>
      <w:r w:rsidR="0057684C"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390AD676" w:rsidR="00824B71" w:rsidRPr="00A13945" w:rsidRDefault="00635ED3" w:rsidP="002B64D5">
      <w:pPr>
        <w:ind w:left="5760" w:firstLine="720"/>
        <w:jc w:val="both"/>
        <w:rPr>
          <w:rFonts w:ascii="Arial" w:hAnsi="Arial" w:cs="Arial"/>
          <w:sz w:val="26"/>
          <w:szCs w:val="26"/>
          <w:lang w:val="en-ZA"/>
        </w:rPr>
      </w:pPr>
      <w:r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Pr="00A13945">
        <w:rPr>
          <w:rFonts w:ascii="Arial" w:hAnsi="Arial" w:cs="Arial"/>
          <w:b/>
          <w:sz w:val="26"/>
          <w:szCs w:val="26"/>
          <w:lang w:val="en-ZA"/>
        </w:rPr>
        <w:t xml:space="preserve"> </w:t>
      </w:r>
      <w:r w:rsidR="00171F58">
        <w:rPr>
          <w:rFonts w:ascii="Arial" w:hAnsi="Arial" w:cs="Arial"/>
          <w:b/>
          <w:sz w:val="26"/>
          <w:szCs w:val="26"/>
          <w:lang w:val="en-ZA"/>
        </w:rPr>
        <w:t>CA62</w:t>
      </w:r>
      <w:r w:rsidR="00A90FED">
        <w:rPr>
          <w:rFonts w:ascii="Arial" w:hAnsi="Arial" w:cs="Arial"/>
          <w:b/>
          <w:sz w:val="26"/>
          <w:szCs w:val="26"/>
          <w:lang w:val="en-ZA"/>
        </w:rPr>
        <w:t>/20</w:t>
      </w:r>
      <w:r w:rsidR="00790E8A">
        <w:rPr>
          <w:rFonts w:ascii="Arial" w:hAnsi="Arial" w:cs="Arial"/>
          <w:b/>
          <w:sz w:val="26"/>
          <w:szCs w:val="26"/>
          <w:lang w:val="en-ZA"/>
        </w:rPr>
        <w:t>2</w:t>
      </w:r>
      <w:r w:rsidR="00171F58">
        <w:rPr>
          <w:rFonts w:ascii="Arial" w:hAnsi="Arial" w:cs="Arial"/>
          <w:b/>
          <w:sz w:val="26"/>
          <w:szCs w:val="26"/>
          <w:lang w:val="en-ZA"/>
        </w:rPr>
        <w:t>2</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2B145443" w14:textId="413FC9B0" w:rsidR="00BA3504" w:rsidRDefault="00A80B93" w:rsidP="00BB28F4">
      <w:pPr>
        <w:jc w:val="both"/>
        <w:rPr>
          <w:rFonts w:ascii="Arial" w:hAnsi="Arial" w:cs="Arial"/>
          <w:b/>
          <w:sz w:val="26"/>
          <w:szCs w:val="26"/>
          <w:lang w:val="en-ZA"/>
        </w:rPr>
      </w:pPr>
      <w:r>
        <w:rPr>
          <w:rFonts w:ascii="Arial" w:hAnsi="Arial" w:cs="Arial"/>
          <w:b/>
          <w:sz w:val="26"/>
          <w:szCs w:val="26"/>
          <w:lang w:val="en-ZA"/>
        </w:rPr>
        <w:t>D B</w:t>
      </w:r>
      <w:r w:rsidR="00205D81">
        <w:rPr>
          <w:rFonts w:ascii="Arial" w:hAnsi="Arial" w:cs="Arial"/>
          <w:b/>
          <w:sz w:val="26"/>
          <w:szCs w:val="26"/>
          <w:lang w:val="en-ZA"/>
        </w:rPr>
        <w:tab/>
      </w:r>
      <w:r w:rsidR="00205D81">
        <w:rPr>
          <w:rFonts w:ascii="Arial" w:hAnsi="Arial" w:cs="Arial"/>
          <w:b/>
          <w:sz w:val="26"/>
          <w:szCs w:val="26"/>
          <w:lang w:val="en-ZA"/>
        </w:rPr>
        <w:tab/>
      </w:r>
      <w:r w:rsidR="00205D81">
        <w:rPr>
          <w:rFonts w:ascii="Arial" w:hAnsi="Arial" w:cs="Arial"/>
          <w:b/>
          <w:sz w:val="26"/>
          <w:szCs w:val="26"/>
          <w:lang w:val="en-ZA"/>
        </w:rPr>
        <w:tab/>
      </w:r>
      <w:r w:rsidR="00790E8A">
        <w:rPr>
          <w:rFonts w:ascii="Arial" w:hAnsi="Arial" w:cs="Arial"/>
          <w:b/>
          <w:sz w:val="26"/>
          <w:szCs w:val="26"/>
          <w:lang w:val="en-ZA"/>
        </w:rPr>
        <w:tab/>
        <w:t xml:space="preserve">        </w:t>
      </w:r>
      <w:r w:rsidR="00D65DB0">
        <w:rPr>
          <w:rFonts w:ascii="Arial" w:hAnsi="Arial" w:cs="Arial"/>
          <w:b/>
          <w:sz w:val="26"/>
          <w:szCs w:val="26"/>
          <w:lang w:val="en-ZA"/>
        </w:rPr>
        <w:tab/>
      </w:r>
      <w:r w:rsidR="00D65DB0">
        <w:rPr>
          <w:rFonts w:ascii="Arial" w:hAnsi="Arial" w:cs="Arial"/>
          <w:b/>
          <w:sz w:val="26"/>
          <w:szCs w:val="26"/>
          <w:lang w:val="en-ZA"/>
        </w:rPr>
        <w:tab/>
      </w:r>
      <w:r w:rsidR="00D65DB0">
        <w:rPr>
          <w:rFonts w:ascii="Arial" w:hAnsi="Arial" w:cs="Arial"/>
          <w:b/>
          <w:sz w:val="26"/>
          <w:szCs w:val="26"/>
          <w:lang w:val="en-ZA"/>
        </w:rPr>
        <w:tab/>
        <w:t xml:space="preserve">        Appellant</w:t>
      </w:r>
      <w:r w:rsidR="006E758A">
        <w:rPr>
          <w:rFonts w:ascii="Arial" w:hAnsi="Arial" w:cs="Arial"/>
          <w:b/>
          <w:sz w:val="26"/>
          <w:szCs w:val="26"/>
          <w:lang w:val="en-ZA"/>
        </w:rPr>
        <w:t xml:space="preserve"> </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BA508EB" w14:textId="77AF7402" w:rsidR="00790E8A" w:rsidRDefault="00A80B93" w:rsidP="00BB28F4">
      <w:pPr>
        <w:jc w:val="both"/>
        <w:rPr>
          <w:rFonts w:ascii="Arial" w:hAnsi="Arial" w:cs="Arial"/>
          <w:b/>
          <w:sz w:val="26"/>
          <w:szCs w:val="26"/>
          <w:lang w:val="en-ZA"/>
        </w:rPr>
      </w:pPr>
      <w:r>
        <w:rPr>
          <w:rFonts w:ascii="Arial" w:hAnsi="Arial" w:cs="Arial"/>
          <w:b/>
          <w:sz w:val="26"/>
          <w:szCs w:val="26"/>
          <w:lang w:val="en-ZA"/>
        </w:rPr>
        <w:t>N B</w:t>
      </w:r>
      <w:r w:rsidR="00790E8A">
        <w:rPr>
          <w:rFonts w:ascii="Arial" w:hAnsi="Arial" w:cs="Arial"/>
          <w:b/>
          <w:sz w:val="26"/>
          <w:szCs w:val="26"/>
          <w:lang w:val="en-ZA"/>
        </w:rPr>
        <w:t xml:space="preserve"> </w:t>
      </w:r>
      <w:r w:rsidR="00D65DB0">
        <w:rPr>
          <w:rFonts w:ascii="Arial" w:hAnsi="Arial" w:cs="Arial"/>
          <w:b/>
          <w:sz w:val="26"/>
          <w:szCs w:val="26"/>
          <w:lang w:val="en-ZA"/>
        </w:rPr>
        <w:tab/>
      </w:r>
      <w:r w:rsidR="00D65DB0">
        <w:rPr>
          <w:rFonts w:ascii="Arial" w:hAnsi="Arial" w:cs="Arial"/>
          <w:b/>
          <w:sz w:val="26"/>
          <w:szCs w:val="26"/>
          <w:lang w:val="en-ZA"/>
        </w:rPr>
        <w:tab/>
      </w:r>
      <w:r w:rsidR="00D65DB0">
        <w:rPr>
          <w:rFonts w:ascii="Arial" w:hAnsi="Arial" w:cs="Arial"/>
          <w:b/>
          <w:sz w:val="26"/>
          <w:szCs w:val="26"/>
          <w:lang w:val="en-ZA"/>
        </w:rPr>
        <w:tab/>
      </w:r>
      <w:r w:rsidR="00D65DB0">
        <w:rPr>
          <w:rFonts w:ascii="Arial" w:hAnsi="Arial" w:cs="Arial"/>
          <w:b/>
          <w:sz w:val="26"/>
          <w:szCs w:val="26"/>
          <w:lang w:val="en-ZA"/>
        </w:rPr>
        <w:tab/>
      </w:r>
      <w:r w:rsidR="00D65DB0">
        <w:rPr>
          <w:rFonts w:ascii="Arial" w:hAnsi="Arial" w:cs="Arial"/>
          <w:b/>
          <w:sz w:val="26"/>
          <w:szCs w:val="26"/>
          <w:lang w:val="en-ZA"/>
        </w:rPr>
        <w:tab/>
      </w:r>
      <w:r w:rsidR="00D65DB0">
        <w:rPr>
          <w:rFonts w:ascii="Arial" w:hAnsi="Arial" w:cs="Arial"/>
          <w:b/>
          <w:sz w:val="26"/>
          <w:szCs w:val="26"/>
          <w:lang w:val="en-ZA"/>
        </w:rPr>
        <w:tab/>
      </w:r>
      <w:r w:rsidR="00D65DB0">
        <w:rPr>
          <w:rFonts w:ascii="Arial" w:hAnsi="Arial" w:cs="Arial"/>
          <w:b/>
          <w:sz w:val="26"/>
          <w:szCs w:val="26"/>
          <w:lang w:val="en-ZA"/>
        </w:rPr>
        <w:tab/>
        <w:t xml:space="preserve">    </w:t>
      </w:r>
      <w:r w:rsidR="00790E8A">
        <w:rPr>
          <w:rFonts w:ascii="Arial" w:hAnsi="Arial" w:cs="Arial"/>
          <w:b/>
          <w:sz w:val="26"/>
          <w:szCs w:val="26"/>
          <w:lang w:val="en-ZA"/>
        </w:rPr>
        <w:t>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154052A4" w:rsidR="00062BE1" w:rsidRPr="00A13945" w:rsidRDefault="00F50D78" w:rsidP="00BB28F4">
      <w:pPr>
        <w:jc w:val="both"/>
        <w:rPr>
          <w:rFonts w:ascii="Arial" w:hAnsi="Arial" w:cs="Arial"/>
          <w:b/>
          <w:sz w:val="26"/>
          <w:szCs w:val="26"/>
          <w:lang w:val="en-ZA"/>
        </w:rPr>
      </w:pPr>
      <w:r>
        <w:rPr>
          <w:rFonts w:ascii="Arial" w:hAnsi="Arial" w:cs="Arial"/>
          <w:b/>
          <w:sz w:val="26"/>
          <w:szCs w:val="26"/>
          <w:lang w:val="en-ZA"/>
        </w:rPr>
        <w:t xml:space="preserve"> </w:t>
      </w:r>
    </w:p>
    <w:p w14:paraId="132AC180" w14:textId="1D86F0E5" w:rsidR="001E63F9" w:rsidRPr="00A13945" w:rsidRDefault="00790E8A"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70A2DB93" w14:textId="1088FCA2" w:rsidR="00165024" w:rsidRPr="00395BD4" w:rsidRDefault="00AB42B4" w:rsidP="00205D81">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395BD4">
        <w:rPr>
          <w:rFonts w:ascii="Arial" w:hAnsi="Arial" w:cs="Arial"/>
          <w:sz w:val="26"/>
          <w:szCs w:val="26"/>
          <w:lang w:val="en-ZA"/>
        </w:rPr>
        <w:t xml:space="preserve">The appellant, who was the plaintiff in the court </w:t>
      </w:r>
      <w:r w:rsidR="00395BD4">
        <w:rPr>
          <w:rFonts w:ascii="Arial" w:hAnsi="Arial" w:cs="Arial"/>
          <w:i/>
          <w:sz w:val="26"/>
          <w:szCs w:val="26"/>
          <w:lang w:val="en-ZA"/>
        </w:rPr>
        <w:t>a quo</w:t>
      </w:r>
      <w:r w:rsidR="00395BD4">
        <w:rPr>
          <w:rFonts w:ascii="Arial" w:hAnsi="Arial" w:cs="Arial"/>
          <w:sz w:val="26"/>
          <w:szCs w:val="26"/>
          <w:lang w:val="en-ZA"/>
        </w:rPr>
        <w:t>, sued the respondent out of the East London Magistrates Court for the return of a motor vehicle</w:t>
      </w:r>
      <w:r w:rsidR="00BE2447">
        <w:rPr>
          <w:rFonts w:ascii="Arial" w:hAnsi="Arial" w:cs="Arial"/>
          <w:sz w:val="26"/>
          <w:szCs w:val="26"/>
          <w:lang w:val="en-ZA"/>
        </w:rPr>
        <w:t xml:space="preserve"> (</w:t>
      </w:r>
      <w:r w:rsidR="00BE2447">
        <w:rPr>
          <w:rFonts w:ascii="Arial" w:hAnsi="Arial" w:cs="Arial"/>
          <w:i/>
          <w:sz w:val="26"/>
          <w:szCs w:val="26"/>
          <w:lang w:val="en-ZA"/>
        </w:rPr>
        <w:t>rei vindi</w:t>
      </w:r>
      <w:r w:rsidR="007173E4">
        <w:rPr>
          <w:rFonts w:ascii="Arial" w:hAnsi="Arial" w:cs="Arial"/>
          <w:i/>
          <w:sz w:val="26"/>
          <w:szCs w:val="26"/>
          <w:lang w:val="en-ZA"/>
        </w:rPr>
        <w:t>ca</w:t>
      </w:r>
      <w:r w:rsidR="00BE2447">
        <w:rPr>
          <w:rFonts w:ascii="Arial" w:hAnsi="Arial" w:cs="Arial"/>
          <w:i/>
          <w:sz w:val="26"/>
          <w:szCs w:val="26"/>
          <w:lang w:val="en-ZA"/>
        </w:rPr>
        <w:t>tio</w:t>
      </w:r>
      <w:r w:rsidR="00BE2447">
        <w:rPr>
          <w:rFonts w:ascii="Arial" w:hAnsi="Arial" w:cs="Arial"/>
          <w:sz w:val="26"/>
          <w:szCs w:val="26"/>
          <w:lang w:val="en-ZA"/>
        </w:rPr>
        <w:t>)</w:t>
      </w:r>
      <w:r w:rsidR="00395BD4">
        <w:rPr>
          <w:rFonts w:ascii="Arial" w:hAnsi="Arial" w:cs="Arial"/>
          <w:sz w:val="26"/>
          <w:szCs w:val="26"/>
          <w:lang w:val="en-ZA"/>
        </w:rPr>
        <w:t xml:space="preserve">. In response thereto, the respondent raised a special plea of </w:t>
      </w:r>
      <w:r w:rsidR="00395BD4">
        <w:rPr>
          <w:rFonts w:ascii="Arial" w:hAnsi="Arial" w:cs="Arial"/>
          <w:i/>
          <w:sz w:val="26"/>
          <w:szCs w:val="26"/>
          <w:lang w:val="en-ZA"/>
        </w:rPr>
        <w:t>lis alibi pendens</w:t>
      </w:r>
      <w:r w:rsidR="00395BD4">
        <w:rPr>
          <w:rFonts w:ascii="Arial" w:hAnsi="Arial" w:cs="Arial"/>
          <w:sz w:val="26"/>
          <w:szCs w:val="26"/>
          <w:lang w:val="en-ZA"/>
        </w:rPr>
        <w:t xml:space="preserve"> which was </w:t>
      </w:r>
      <w:r w:rsidR="00CF65EB">
        <w:rPr>
          <w:rFonts w:ascii="Arial" w:hAnsi="Arial" w:cs="Arial"/>
          <w:sz w:val="26"/>
          <w:szCs w:val="26"/>
          <w:lang w:val="en-ZA"/>
        </w:rPr>
        <w:t>upheld</w:t>
      </w:r>
      <w:r w:rsidR="00395BD4">
        <w:rPr>
          <w:rFonts w:ascii="Arial" w:hAnsi="Arial" w:cs="Arial"/>
          <w:sz w:val="26"/>
          <w:szCs w:val="26"/>
          <w:lang w:val="en-ZA"/>
        </w:rPr>
        <w:t xml:space="preserve"> by the court </w:t>
      </w:r>
      <w:r w:rsidR="00395BD4">
        <w:rPr>
          <w:rFonts w:ascii="Arial" w:hAnsi="Arial" w:cs="Arial"/>
          <w:i/>
          <w:sz w:val="26"/>
          <w:szCs w:val="26"/>
          <w:lang w:val="en-ZA"/>
        </w:rPr>
        <w:t>a quo</w:t>
      </w:r>
      <w:r w:rsidR="00395BD4">
        <w:rPr>
          <w:rFonts w:ascii="Arial" w:hAnsi="Arial" w:cs="Arial"/>
          <w:sz w:val="26"/>
          <w:szCs w:val="26"/>
          <w:lang w:val="en-ZA"/>
        </w:rPr>
        <w:t xml:space="preserve">. </w:t>
      </w:r>
      <w:r w:rsidR="00171F58">
        <w:rPr>
          <w:rFonts w:ascii="Arial" w:hAnsi="Arial" w:cs="Arial"/>
          <w:sz w:val="26"/>
          <w:szCs w:val="26"/>
          <w:lang w:val="en-ZA"/>
        </w:rPr>
        <w:t>This is an</w:t>
      </w:r>
      <w:r w:rsidR="00395BD4">
        <w:rPr>
          <w:rFonts w:ascii="Arial" w:hAnsi="Arial" w:cs="Arial"/>
          <w:sz w:val="26"/>
          <w:szCs w:val="26"/>
          <w:lang w:val="en-ZA"/>
        </w:rPr>
        <w:t xml:space="preserve"> appeal against that decision</w:t>
      </w:r>
      <w:r w:rsidR="00171F58">
        <w:rPr>
          <w:rFonts w:ascii="Arial" w:hAnsi="Arial" w:cs="Arial"/>
          <w:sz w:val="26"/>
          <w:szCs w:val="26"/>
          <w:lang w:val="en-ZA"/>
        </w:rPr>
        <w:t xml:space="preserve"> which is not opposed</w:t>
      </w:r>
      <w:r w:rsidR="00395BD4">
        <w:rPr>
          <w:rFonts w:ascii="Arial" w:hAnsi="Arial" w:cs="Arial"/>
          <w:sz w:val="26"/>
          <w:szCs w:val="26"/>
          <w:lang w:val="en-ZA"/>
        </w:rPr>
        <w:t xml:space="preserve">.   </w:t>
      </w:r>
    </w:p>
    <w:p w14:paraId="04F4EB0F" w14:textId="77777777" w:rsidR="00395BD4" w:rsidRDefault="008C325E"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395BD4">
        <w:rPr>
          <w:rFonts w:ascii="Arial" w:hAnsi="Arial" w:cs="Arial"/>
          <w:sz w:val="26"/>
          <w:szCs w:val="26"/>
          <w:lang w:val="en-ZA"/>
        </w:rPr>
        <w:t>The following facts were common cause as would appear from the pleadings:</w:t>
      </w:r>
    </w:p>
    <w:p w14:paraId="39545AFD" w14:textId="0061055F" w:rsidR="00395BD4" w:rsidRDefault="00395BD4"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The parties have been married to each other out of community of property but subject to the accrual system since 27 March 2010. On 14 April 2010 appellant </w:t>
      </w:r>
      <w:r>
        <w:rPr>
          <w:rFonts w:ascii="Arial" w:hAnsi="Arial" w:cs="Arial"/>
          <w:sz w:val="26"/>
          <w:szCs w:val="26"/>
          <w:lang w:val="en-ZA"/>
        </w:rPr>
        <w:lastRenderedPageBreak/>
        <w:t xml:space="preserve">purchased the motor vehicle </w:t>
      </w:r>
      <w:r w:rsidR="00BE2447">
        <w:rPr>
          <w:rFonts w:ascii="Arial" w:hAnsi="Arial" w:cs="Arial"/>
          <w:sz w:val="26"/>
          <w:szCs w:val="26"/>
          <w:lang w:val="en-ZA"/>
        </w:rPr>
        <w:t xml:space="preserve">that was the subject of the proceedings in the court </w:t>
      </w:r>
      <w:r w:rsidR="00BE2447">
        <w:rPr>
          <w:rFonts w:ascii="Arial" w:hAnsi="Arial" w:cs="Arial"/>
          <w:i/>
          <w:sz w:val="26"/>
          <w:szCs w:val="26"/>
          <w:lang w:val="en-ZA"/>
        </w:rPr>
        <w:t>a quo</w:t>
      </w:r>
      <w:r>
        <w:rPr>
          <w:rFonts w:ascii="Arial" w:hAnsi="Arial" w:cs="Arial"/>
          <w:sz w:val="26"/>
          <w:szCs w:val="26"/>
          <w:lang w:val="en-ZA"/>
        </w:rPr>
        <w:t>, a Ford Fiesta with registratio</w:t>
      </w:r>
      <w:r w:rsidR="00A80B93">
        <w:rPr>
          <w:rFonts w:ascii="Arial" w:hAnsi="Arial" w:cs="Arial"/>
          <w:sz w:val="26"/>
          <w:szCs w:val="26"/>
          <w:lang w:val="en-ZA"/>
        </w:rPr>
        <w:t>n numbers and letters […]</w:t>
      </w:r>
      <w:r>
        <w:rPr>
          <w:rFonts w:ascii="Arial" w:hAnsi="Arial" w:cs="Arial"/>
          <w:sz w:val="26"/>
          <w:szCs w:val="26"/>
          <w:lang w:val="en-ZA"/>
        </w:rPr>
        <w:t xml:space="preserve">. </w:t>
      </w:r>
    </w:p>
    <w:p w14:paraId="7D2BBA86" w14:textId="77777777" w:rsidR="00395BD4" w:rsidRDefault="00395BD4" w:rsidP="00702F03">
      <w:pPr>
        <w:spacing w:before="240" w:line="360" w:lineRule="auto"/>
        <w:jc w:val="both"/>
        <w:rPr>
          <w:rFonts w:ascii="Arial" w:hAnsi="Arial" w:cs="Arial"/>
          <w:sz w:val="26"/>
          <w:szCs w:val="26"/>
          <w:lang w:val="en-ZA"/>
        </w:rPr>
      </w:pPr>
      <w:r>
        <w:rPr>
          <w:rFonts w:ascii="Arial" w:hAnsi="Arial" w:cs="Arial"/>
          <w:sz w:val="26"/>
          <w:szCs w:val="26"/>
          <w:lang w:val="en-ZA"/>
        </w:rPr>
        <w:t>Respondent has been using the said motor vehicle since 2010.</w:t>
      </w:r>
    </w:p>
    <w:p w14:paraId="2C647E1B" w14:textId="77777777" w:rsidR="00395BD4" w:rsidRDefault="00395BD4"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During 2020, respondent instituted divorce proceedings against the appellant which proceedings are still pending before the Regional Court, East London. </w:t>
      </w:r>
    </w:p>
    <w:p w14:paraId="310FAE2F" w14:textId="4450D6CC" w:rsidR="0059795F" w:rsidRDefault="00395BD4"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Respondent took the motor vehicle </w:t>
      </w:r>
      <w:r w:rsidR="0059795F">
        <w:rPr>
          <w:rFonts w:ascii="Arial" w:hAnsi="Arial" w:cs="Arial"/>
          <w:sz w:val="26"/>
          <w:szCs w:val="26"/>
          <w:lang w:val="en-ZA"/>
        </w:rPr>
        <w:t>with her upon moving out of the</w:t>
      </w:r>
      <w:r w:rsidR="00BE2447">
        <w:rPr>
          <w:rFonts w:ascii="Arial" w:hAnsi="Arial" w:cs="Arial"/>
          <w:sz w:val="26"/>
          <w:szCs w:val="26"/>
          <w:lang w:val="en-ZA"/>
        </w:rPr>
        <w:t xml:space="preserve"> parties’</w:t>
      </w:r>
      <w:r w:rsidR="0059795F">
        <w:rPr>
          <w:rFonts w:ascii="Arial" w:hAnsi="Arial" w:cs="Arial"/>
          <w:sz w:val="26"/>
          <w:szCs w:val="26"/>
          <w:lang w:val="en-ZA"/>
        </w:rPr>
        <w:t xml:space="preserve"> marital home.</w:t>
      </w:r>
    </w:p>
    <w:p w14:paraId="2200B73A" w14:textId="4047FF11" w:rsidR="00C85A71" w:rsidRDefault="0059795F" w:rsidP="00702F03">
      <w:pPr>
        <w:spacing w:before="240" w:line="360" w:lineRule="auto"/>
        <w:jc w:val="both"/>
        <w:rPr>
          <w:rFonts w:ascii="Arial" w:hAnsi="Arial" w:cs="Arial"/>
          <w:sz w:val="26"/>
          <w:szCs w:val="26"/>
          <w:lang w:val="en-ZA"/>
        </w:rPr>
      </w:pPr>
      <w:r>
        <w:rPr>
          <w:rFonts w:ascii="Arial" w:hAnsi="Arial" w:cs="Arial"/>
          <w:sz w:val="26"/>
          <w:szCs w:val="26"/>
          <w:lang w:val="en-ZA"/>
        </w:rPr>
        <w:t>The motor vehicle is registered under appellant’s name.</w:t>
      </w:r>
      <w:r w:rsidR="00790E8A">
        <w:rPr>
          <w:rFonts w:ascii="Arial" w:hAnsi="Arial" w:cs="Arial"/>
          <w:sz w:val="26"/>
          <w:szCs w:val="26"/>
          <w:lang w:val="en-ZA"/>
        </w:rPr>
        <w:t xml:space="preserve"> </w:t>
      </w:r>
    </w:p>
    <w:p w14:paraId="2B0E8385" w14:textId="3C5E7606" w:rsidR="000110DD" w:rsidRPr="00CF65EB" w:rsidRDefault="00C85A71" w:rsidP="006C548A">
      <w:pPr>
        <w:spacing w:before="240" w:line="360" w:lineRule="auto"/>
        <w:jc w:val="both"/>
        <w:rPr>
          <w:rFonts w:ascii="Arial" w:hAnsi="Arial" w:cs="Arial"/>
          <w:sz w:val="26"/>
          <w:szCs w:val="26"/>
          <w:lang w:val="en-ZA"/>
        </w:rPr>
      </w:pPr>
      <w:r>
        <w:rPr>
          <w:rFonts w:ascii="Arial" w:hAnsi="Arial" w:cs="Arial"/>
          <w:sz w:val="26"/>
          <w:szCs w:val="26"/>
          <w:lang w:val="en-ZA"/>
        </w:rPr>
        <w:t xml:space="preserve">[3] </w:t>
      </w:r>
      <w:r>
        <w:rPr>
          <w:rFonts w:ascii="Arial" w:hAnsi="Arial" w:cs="Arial"/>
          <w:sz w:val="26"/>
          <w:szCs w:val="26"/>
          <w:lang w:val="en-ZA"/>
        </w:rPr>
        <w:tab/>
      </w:r>
      <w:r w:rsidR="0059795F">
        <w:rPr>
          <w:rFonts w:ascii="Arial" w:hAnsi="Arial" w:cs="Arial"/>
          <w:sz w:val="26"/>
          <w:szCs w:val="26"/>
          <w:lang w:val="en-ZA"/>
        </w:rPr>
        <w:t xml:space="preserve">Respondent, </w:t>
      </w:r>
      <w:r w:rsidR="00BE2447">
        <w:rPr>
          <w:rFonts w:ascii="Arial" w:hAnsi="Arial" w:cs="Arial"/>
          <w:sz w:val="26"/>
          <w:szCs w:val="26"/>
          <w:lang w:val="en-ZA"/>
        </w:rPr>
        <w:t>(</w:t>
      </w:r>
      <w:r w:rsidR="0059795F">
        <w:rPr>
          <w:rFonts w:ascii="Arial" w:hAnsi="Arial" w:cs="Arial"/>
          <w:sz w:val="26"/>
          <w:szCs w:val="26"/>
          <w:lang w:val="en-ZA"/>
        </w:rPr>
        <w:t>as defendant</w:t>
      </w:r>
      <w:r w:rsidR="00BE2447">
        <w:rPr>
          <w:rFonts w:ascii="Arial" w:hAnsi="Arial" w:cs="Arial"/>
          <w:sz w:val="26"/>
          <w:szCs w:val="26"/>
          <w:lang w:val="en-ZA"/>
        </w:rPr>
        <w:t>)</w:t>
      </w:r>
      <w:r w:rsidR="0059795F">
        <w:rPr>
          <w:rFonts w:ascii="Arial" w:hAnsi="Arial" w:cs="Arial"/>
          <w:sz w:val="26"/>
          <w:szCs w:val="26"/>
          <w:lang w:val="en-ZA"/>
        </w:rPr>
        <w:t xml:space="preserve"> pleaded that the appellant purchased the motor vehicle as a gift for her. This is denied by the appellant. </w:t>
      </w:r>
      <w:r w:rsidR="00DD3A8F">
        <w:rPr>
          <w:rFonts w:ascii="Arial" w:hAnsi="Arial" w:cs="Arial"/>
          <w:sz w:val="26"/>
          <w:szCs w:val="26"/>
          <w:lang w:val="en-ZA"/>
        </w:rPr>
        <w:t>Respondent</w:t>
      </w:r>
      <w:r w:rsidR="0059795F">
        <w:rPr>
          <w:rFonts w:ascii="Arial" w:hAnsi="Arial" w:cs="Arial"/>
          <w:sz w:val="26"/>
          <w:szCs w:val="26"/>
          <w:lang w:val="en-ZA"/>
        </w:rPr>
        <w:t xml:space="preserve"> also raised a special plea of </w:t>
      </w:r>
      <w:r w:rsidR="0059795F">
        <w:rPr>
          <w:rFonts w:ascii="Arial" w:hAnsi="Arial" w:cs="Arial"/>
          <w:i/>
          <w:sz w:val="26"/>
          <w:szCs w:val="26"/>
          <w:lang w:val="en-ZA"/>
        </w:rPr>
        <w:t>lis alibi pendens</w:t>
      </w:r>
      <w:r w:rsidR="00DD3A8F">
        <w:rPr>
          <w:rFonts w:ascii="Arial" w:hAnsi="Arial" w:cs="Arial"/>
          <w:sz w:val="26"/>
          <w:szCs w:val="26"/>
          <w:lang w:val="en-ZA"/>
        </w:rPr>
        <w:t xml:space="preserve"> on the basis that</w:t>
      </w:r>
      <w:r w:rsidR="0059795F">
        <w:rPr>
          <w:rFonts w:ascii="Arial" w:hAnsi="Arial" w:cs="Arial"/>
          <w:sz w:val="26"/>
          <w:szCs w:val="26"/>
          <w:lang w:val="en-ZA"/>
        </w:rPr>
        <w:t xml:space="preserve"> the motor vehicle in question forms part of the</w:t>
      </w:r>
      <w:r w:rsidR="00DD3A8F">
        <w:rPr>
          <w:rFonts w:ascii="Arial" w:hAnsi="Arial" w:cs="Arial"/>
          <w:sz w:val="26"/>
          <w:szCs w:val="26"/>
          <w:lang w:val="en-ZA"/>
        </w:rPr>
        <w:t xml:space="preserve"> accrual</w:t>
      </w:r>
      <w:r w:rsidR="00BE2447">
        <w:rPr>
          <w:rFonts w:ascii="Arial" w:hAnsi="Arial" w:cs="Arial"/>
          <w:sz w:val="26"/>
          <w:szCs w:val="26"/>
          <w:lang w:val="en-ZA"/>
        </w:rPr>
        <w:t xml:space="preserve"> of the</w:t>
      </w:r>
      <w:r w:rsidR="0059795F">
        <w:rPr>
          <w:rFonts w:ascii="Arial" w:hAnsi="Arial" w:cs="Arial"/>
          <w:sz w:val="26"/>
          <w:szCs w:val="26"/>
          <w:lang w:val="en-ZA"/>
        </w:rPr>
        <w:t xml:space="preserve"> estate</w:t>
      </w:r>
      <w:r w:rsidR="00DD3A8F">
        <w:rPr>
          <w:rFonts w:ascii="Arial" w:hAnsi="Arial" w:cs="Arial"/>
          <w:sz w:val="26"/>
          <w:szCs w:val="26"/>
          <w:lang w:val="en-ZA"/>
        </w:rPr>
        <w:t>s</w:t>
      </w:r>
      <w:r w:rsidR="0059795F">
        <w:rPr>
          <w:rFonts w:ascii="Arial" w:hAnsi="Arial" w:cs="Arial"/>
          <w:sz w:val="26"/>
          <w:szCs w:val="26"/>
          <w:lang w:val="en-ZA"/>
        </w:rPr>
        <w:t xml:space="preserve"> of the parties </w:t>
      </w:r>
      <w:r w:rsidR="007F2191">
        <w:rPr>
          <w:rFonts w:ascii="Arial" w:hAnsi="Arial" w:cs="Arial"/>
          <w:sz w:val="26"/>
          <w:szCs w:val="26"/>
          <w:lang w:val="en-ZA"/>
        </w:rPr>
        <w:t>that</w:t>
      </w:r>
      <w:r w:rsidR="0059795F">
        <w:rPr>
          <w:rFonts w:ascii="Arial" w:hAnsi="Arial" w:cs="Arial"/>
          <w:sz w:val="26"/>
          <w:szCs w:val="26"/>
          <w:lang w:val="en-ZA"/>
        </w:rPr>
        <w:t xml:space="preserve"> is still to be determined during the</w:t>
      </w:r>
      <w:r w:rsidR="00100C66">
        <w:rPr>
          <w:rFonts w:ascii="Arial" w:hAnsi="Arial" w:cs="Arial"/>
          <w:sz w:val="26"/>
          <w:szCs w:val="26"/>
          <w:lang w:val="en-ZA"/>
        </w:rPr>
        <w:t xml:space="preserve"> pending</w:t>
      </w:r>
      <w:r w:rsidR="0059795F">
        <w:rPr>
          <w:rFonts w:ascii="Arial" w:hAnsi="Arial" w:cs="Arial"/>
          <w:sz w:val="26"/>
          <w:szCs w:val="26"/>
          <w:lang w:val="en-ZA"/>
        </w:rPr>
        <w:t xml:space="preserve"> divorce action</w:t>
      </w:r>
      <w:r w:rsidR="00100C66">
        <w:rPr>
          <w:rFonts w:ascii="Arial" w:hAnsi="Arial" w:cs="Arial"/>
          <w:sz w:val="26"/>
          <w:szCs w:val="26"/>
          <w:lang w:val="en-ZA"/>
        </w:rPr>
        <w:t>.</w:t>
      </w:r>
      <w:r w:rsidR="0059795F">
        <w:rPr>
          <w:rFonts w:ascii="Arial" w:hAnsi="Arial" w:cs="Arial"/>
          <w:sz w:val="26"/>
          <w:szCs w:val="26"/>
          <w:lang w:val="en-ZA"/>
        </w:rPr>
        <w:t xml:space="preserve"> </w:t>
      </w:r>
      <w:r w:rsidR="00CF65EB">
        <w:rPr>
          <w:rFonts w:ascii="Arial" w:hAnsi="Arial" w:cs="Arial"/>
          <w:sz w:val="26"/>
          <w:szCs w:val="26"/>
          <w:lang w:val="en-ZA"/>
        </w:rPr>
        <w:t>In other words, the extent of the accrual, if any, in respect of the parties</w:t>
      </w:r>
      <w:r w:rsidR="00DD3A8F">
        <w:rPr>
          <w:rFonts w:ascii="Arial" w:hAnsi="Arial" w:cs="Arial"/>
          <w:sz w:val="26"/>
          <w:szCs w:val="26"/>
          <w:lang w:val="en-ZA"/>
        </w:rPr>
        <w:t>’ estates</w:t>
      </w:r>
      <w:r w:rsidR="00CF65EB">
        <w:rPr>
          <w:rFonts w:ascii="Arial" w:hAnsi="Arial" w:cs="Arial"/>
          <w:sz w:val="26"/>
          <w:szCs w:val="26"/>
          <w:lang w:val="en-ZA"/>
        </w:rPr>
        <w:t xml:space="preserve"> is still to be determined by the divorce court. The Magistrate held that the respondent had met the requirement</w:t>
      </w:r>
      <w:r w:rsidR="00DD3A8F">
        <w:rPr>
          <w:rFonts w:ascii="Arial" w:hAnsi="Arial" w:cs="Arial"/>
          <w:sz w:val="26"/>
          <w:szCs w:val="26"/>
          <w:lang w:val="en-ZA"/>
        </w:rPr>
        <w:t>s</w:t>
      </w:r>
      <w:r w:rsidR="00CF65EB">
        <w:rPr>
          <w:rFonts w:ascii="Arial" w:hAnsi="Arial" w:cs="Arial"/>
          <w:sz w:val="26"/>
          <w:szCs w:val="26"/>
          <w:lang w:val="en-ZA"/>
        </w:rPr>
        <w:t xml:space="preserve"> for a successful </w:t>
      </w:r>
      <w:r w:rsidR="00CF65EB">
        <w:rPr>
          <w:rFonts w:ascii="Arial" w:hAnsi="Arial" w:cs="Arial"/>
          <w:i/>
          <w:sz w:val="26"/>
          <w:szCs w:val="26"/>
          <w:lang w:val="en-ZA"/>
        </w:rPr>
        <w:t>les alibi pendens</w:t>
      </w:r>
      <w:r w:rsidR="00CF65EB">
        <w:rPr>
          <w:rFonts w:ascii="Arial" w:hAnsi="Arial" w:cs="Arial"/>
          <w:sz w:val="26"/>
          <w:szCs w:val="26"/>
          <w:lang w:val="en-ZA"/>
        </w:rPr>
        <w:t xml:space="preserve"> defence and effectively upheld the special plea. </w:t>
      </w:r>
    </w:p>
    <w:p w14:paraId="3F74734F" w14:textId="7A6A7440" w:rsidR="00DD3A8F" w:rsidRDefault="00C85A71"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CF65EB">
        <w:rPr>
          <w:rFonts w:ascii="Arial" w:hAnsi="Arial" w:cs="Arial"/>
          <w:sz w:val="26"/>
          <w:szCs w:val="26"/>
          <w:lang w:val="en-ZA"/>
        </w:rPr>
        <w:t xml:space="preserve">The appeal is premised on the ground that the court </w:t>
      </w:r>
      <w:r w:rsidR="00CF65EB">
        <w:rPr>
          <w:rFonts w:ascii="Arial" w:hAnsi="Arial" w:cs="Arial"/>
          <w:i/>
          <w:sz w:val="26"/>
          <w:szCs w:val="26"/>
          <w:lang w:val="en-ZA"/>
        </w:rPr>
        <w:t>a quo</w:t>
      </w:r>
      <w:r w:rsidR="00CF65EB">
        <w:rPr>
          <w:rFonts w:ascii="Arial" w:hAnsi="Arial" w:cs="Arial"/>
          <w:sz w:val="26"/>
          <w:szCs w:val="26"/>
          <w:lang w:val="en-ZA"/>
        </w:rPr>
        <w:t xml:space="preserve"> erred in effectively ruling that the ownership of the motor vehicle in question is a matter that is serving before the divorce court. Further</w:t>
      </w:r>
      <w:r w:rsidR="00BE2447">
        <w:rPr>
          <w:rFonts w:ascii="Arial" w:hAnsi="Arial" w:cs="Arial"/>
          <w:sz w:val="26"/>
          <w:szCs w:val="26"/>
          <w:lang w:val="en-ZA"/>
        </w:rPr>
        <w:t>, it being submitted</w:t>
      </w:r>
      <w:r w:rsidR="00CF65EB">
        <w:rPr>
          <w:rFonts w:ascii="Arial" w:hAnsi="Arial" w:cs="Arial"/>
          <w:sz w:val="26"/>
          <w:szCs w:val="26"/>
          <w:lang w:val="en-ZA"/>
        </w:rPr>
        <w:t xml:space="preserve"> that the cause of action in the divorce action is entirely different from the dispute as to the ownership of the vehicle concerned. Consequently, the requirement</w:t>
      </w:r>
      <w:r w:rsidR="00DD3A8F">
        <w:rPr>
          <w:rFonts w:ascii="Arial" w:hAnsi="Arial" w:cs="Arial"/>
          <w:sz w:val="26"/>
          <w:szCs w:val="26"/>
          <w:lang w:val="en-ZA"/>
        </w:rPr>
        <w:t>s</w:t>
      </w:r>
      <w:r w:rsidR="00CF65EB">
        <w:rPr>
          <w:rFonts w:ascii="Arial" w:hAnsi="Arial" w:cs="Arial"/>
          <w:sz w:val="26"/>
          <w:szCs w:val="26"/>
          <w:lang w:val="en-ZA"/>
        </w:rPr>
        <w:t xml:space="preserve"> of the special plea of </w:t>
      </w:r>
      <w:r w:rsidR="00CF65EB">
        <w:rPr>
          <w:rFonts w:ascii="Arial" w:hAnsi="Arial" w:cs="Arial"/>
          <w:i/>
          <w:sz w:val="26"/>
          <w:szCs w:val="26"/>
          <w:lang w:val="en-ZA"/>
        </w:rPr>
        <w:t>lis alibi pendens</w:t>
      </w:r>
      <w:r w:rsidR="00CF65EB">
        <w:rPr>
          <w:rFonts w:ascii="Arial" w:hAnsi="Arial" w:cs="Arial"/>
          <w:sz w:val="26"/>
          <w:szCs w:val="26"/>
          <w:lang w:val="en-ZA"/>
        </w:rPr>
        <w:t xml:space="preserve"> were not met by the respondent.</w:t>
      </w:r>
    </w:p>
    <w:p w14:paraId="5FA65CC8" w14:textId="708F2B13" w:rsidR="00BD0DBE" w:rsidRPr="00F90DD6" w:rsidRDefault="00F90DD6" w:rsidP="00DD3A8F">
      <w:pPr>
        <w:spacing w:before="240"/>
        <w:jc w:val="both"/>
        <w:rPr>
          <w:rFonts w:ascii="Arial" w:hAnsi="Arial" w:cs="Arial"/>
          <w:sz w:val="22"/>
          <w:szCs w:val="22"/>
          <w:lang w:val="en-ZA"/>
        </w:rPr>
      </w:pPr>
      <w:r>
        <w:rPr>
          <w:rFonts w:ascii="Arial" w:hAnsi="Arial" w:cs="Arial"/>
          <w:sz w:val="26"/>
          <w:szCs w:val="26"/>
          <w:lang w:val="en-ZA"/>
        </w:rPr>
        <w:t xml:space="preserve"> </w:t>
      </w:r>
    </w:p>
    <w:p w14:paraId="2DB00F14" w14:textId="71621ED8" w:rsidR="00BE2447" w:rsidRDefault="003F3EEA" w:rsidP="00CF65EB">
      <w:pPr>
        <w:spacing w:line="360" w:lineRule="auto"/>
        <w:jc w:val="both"/>
        <w:rPr>
          <w:rFonts w:ascii="Arial" w:hAnsi="Arial" w:cs="Arial"/>
          <w:sz w:val="26"/>
          <w:szCs w:val="26"/>
          <w:lang w:val="en-ZA"/>
        </w:rPr>
      </w:pPr>
      <w:r>
        <w:rPr>
          <w:rFonts w:ascii="Arial" w:hAnsi="Arial" w:cs="Arial"/>
          <w:sz w:val="26"/>
          <w:szCs w:val="26"/>
          <w:lang w:val="en-ZA"/>
        </w:rPr>
        <w:t>[</w:t>
      </w:r>
      <w:r w:rsidR="00C85A71">
        <w:rPr>
          <w:rFonts w:ascii="Arial" w:hAnsi="Arial" w:cs="Arial"/>
          <w:sz w:val="26"/>
          <w:szCs w:val="26"/>
          <w:lang w:val="en-ZA"/>
        </w:rPr>
        <w:t>5</w:t>
      </w:r>
      <w:r>
        <w:rPr>
          <w:rFonts w:ascii="Arial" w:hAnsi="Arial" w:cs="Arial"/>
          <w:sz w:val="26"/>
          <w:szCs w:val="26"/>
          <w:lang w:val="en-ZA"/>
        </w:rPr>
        <w:t xml:space="preserve">] </w:t>
      </w:r>
      <w:r w:rsidR="00B71A90">
        <w:rPr>
          <w:rFonts w:ascii="Arial" w:hAnsi="Arial" w:cs="Arial"/>
          <w:sz w:val="26"/>
          <w:szCs w:val="26"/>
          <w:lang w:val="en-ZA"/>
        </w:rPr>
        <w:tab/>
      </w:r>
      <w:r w:rsidR="00BE2447">
        <w:rPr>
          <w:rFonts w:ascii="Arial" w:hAnsi="Arial" w:cs="Arial"/>
          <w:sz w:val="26"/>
          <w:szCs w:val="26"/>
          <w:lang w:val="en-ZA"/>
        </w:rPr>
        <w:t xml:space="preserve">The Magistrate in the court </w:t>
      </w:r>
      <w:r w:rsidR="00BE2447">
        <w:rPr>
          <w:rFonts w:ascii="Arial" w:hAnsi="Arial" w:cs="Arial"/>
          <w:i/>
          <w:sz w:val="26"/>
          <w:szCs w:val="26"/>
          <w:lang w:val="en-ZA"/>
        </w:rPr>
        <w:t>a quo</w:t>
      </w:r>
      <w:r w:rsidR="00BE2447">
        <w:rPr>
          <w:rFonts w:ascii="Arial" w:hAnsi="Arial" w:cs="Arial"/>
          <w:sz w:val="26"/>
          <w:szCs w:val="26"/>
          <w:lang w:val="en-ZA"/>
        </w:rPr>
        <w:t xml:space="preserve"> did not, in so many words pronounce herself on whether the requirement that the cause of action must be </w:t>
      </w:r>
      <w:r w:rsidR="005843F8">
        <w:rPr>
          <w:rFonts w:ascii="Arial" w:hAnsi="Arial" w:cs="Arial"/>
          <w:sz w:val="26"/>
          <w:szCs w:val="26"/>
          <w:lang w:val="en-ZA"/>
        </w:rPr>
        <w:t xml:space="preserve">the </w:t>
      </w:r>
      <w:r w:rsidR="00BE2447">
        <w:rPr>
          <w:rFonts w:ascii="Arial" w:hAnsi="Arial" w:cs="Arial"/>
          <w:sz w:val="26"/>
          <w:szCs w:val="26"/>
          <w:lang w:val="en-ZA"/>
        </w:rPr>
        <w:t>same in both proceedings</w:t>
      </w:r>
      <w:r w:rsidR="005843F8">
        <w:rPr>
          <w:rFonts w:ascii="Arial" w:hAnsi="Arial" w:cs="Arial"/>
          <w:sz w:val="26"/>
          <w:szCs w:val="26"/>
          <w:lang w:val="en-ZA"/>
        </w:rPr>
        <w:t xml:space="preserve"> has been met. </w:t>
      </w:r>
      <w:r w:rsidR="00100C66">
        <w:rPr>
          <w:rFonts w:ascii="Arial" w:hAnsi="Arial" w:cs="Arial"/>
          <w:sz w:val="26"/>
          <w:szCs w:val="26"/>
          <w:lang w:val="en-ZA"/>
        </w:rPr>
        <w:t>Nor did she express</w:t>
      </w:r>
      <w:r w:rsidR="005843F8">
        <w:rPr>
          <w:rFonts w:ascii="Arial" w:hAnsi="Arial" w:cs="Arial"/>
          <w:sz w:val="26"/>
          <w:szCs w:val="26"/>
          <w:lang w:val="en-ZA"/>
        </w:rPr>
        <w:t xml:space="preserve"> why she was of the </w:t>
      </w:r>
      <w:r w:rsidR="005843F8">
        <w:rPr>
          <w:rFonts w:ascii="Arial" w:hAnsi="Arial" w:cs="Arial"/>
          <w:sz w:val="26"/>
          <w:szCs w:val="26"/>
          <w:lang w:val="en-ZA"/>
        </w:rPr>
        <w:lastRenderedPageBreak/>
        <w:t xml:space="preserve">view that all the requirements for a </w:t>
      </w:r>
      <w:r w:rsidR="005843F8">
        <w:rPr>
          <w:rFonts w:ascii="Arial" w:hAnsi="Arial" w:cs="Arial"/>
          <w:i/>
          <w:sz w:val="26"/>
          <w:szCs w:val="26"/>
          <w:lang w:val="en-ZA"/>
        </w:rPr>
        <w:t>lis pendens</w:t>
      </w:r>
      <w:r w:rsidR="005843F8">
        <w:rPr>
          <w:rFonts w:ascii="Arial" w:hAnsi="Arial" w:cs="Arial"/>
          <w:sz w:val="26"/>
          <w:szCs w:val="26"/>
          <w:lang w:val="en-ZA"/>
        </w:rPr>
        <w:t xml:space="preserve"> plea to be successful have been met, including one relating to the same cause of action. The Magistrate expressed the view that the motor vehicle in question forms part of the accrual system</w:t>
      </w:r>
      <w:r w:rsidR="00100C66">
        <w:rPr>
          <w:rFonts w:ascii="Arial" w:hAnsi="Arial" w:cs="Arial"/>
          <w:sz w:val="26"/>
          <w:szCs w:val="26"/>
          <w:lang w:val="en-ZA"/>
        </w:rPr>
        <w:t>,</w:t>
      </w:r>
      <w:r w:rsidR="005843F8">
        <w:rPr>
          <w:rFonts w:ascii="Arial" w:hAnsi="Arial" w:cs="Arial"/>
          <w:sz w:val="26"/>
          <w:szCs w:val="26"/>
          <w:lang w:val="en-ZA"/>
        </w:rPr>
        <w:t xml:space="preserve"> </w:t>
      </w:r>
      <w:r w:rsidR="00100C66">
        <w:rPr>
          <w:rFonts w:ascii="Arial" w:hAnsi="Arial" w:cs="Arial"/>
          <w:sz w:val="26"/>
          <w:szCs w:val="26"/>
          <w:lang w:val="en-ZA"/>
        </w:rPr>
        <w:t>a</w:t>
      </w:r>
      <w:r w:rsidR="005843F8">
        <w:rPr>
          <w:rFonts w:ascii="Arial" w:hAnsi="Arial" w:cs="Arial"/>
          <w:sz w:val="26"/>
          <w:szCs w:val="26"/>
          <w:lang w:val="en-ZA"/>
        </w:rPr>
        <w:t>nd that the divorce court is better placed when calculating the accrual of the parties’ estates to determine which party owns the vehicle. In doing so,</w:t>
      </w:r>
      <w:r w:rsidR="00100C66">
        <w:rPr>
          <w:rFonts w:ascii="Arial" w:hAnsi="Arial" w:cs="Arial"/>
          <w:sz w:val="26"/>
          <w:szCs w:val="26"/>
          <w:lang w:val="en-ZA"/>
        </w:rPr>
        <w:t xml:space="preserve"> that court</w:t>
      </w:r>
      <w:r w:rsidR="005843F8">
        <w:rPr>
          <w:rFonts w:ascii="Arial" w:hAnsi="Arial" w:cs="Arial"/>
          <w:sz w:val="26"/>
          <w:szCs w:val="26"/>
          <w:lang w:val="en-ZA"/>
        </w:rPr>
        <w:t xml:space="preserve"> will consider the parties’ respective claims regarding ownership of the motor vehicle. </w:t>
      </w:r>
    </w:p>
    <w:p w14:paraId="40E7CFE7" w14:textId="77777777" w:rsidR="005843F8" w:rsidRPr="005843F8" w:rsidRDefault="005843F8" w:rsidP="00CF65EB">
      <w:pPr>
        <w:spacing w:line="360" w:lineRule="auto"/>
        <w:jc w:val="both"/>
        <w:rPr>
          <w:rFonts w:ascii="Arial" w:hAnsi="Arial" w:cs="Arial"/>
          <w:sz w:val="26"/>
          <w:szCs w:val="26"/>
          <w:lang w:val="en-ZA"/>
        </w:rPr>
      </w:pPr>
    </w:p>
    <w:p w14:paraId="6B7E4D20" w14:textId="09C846C5" w:rsidR="00702F03" w:rsidRPr="00062D27" w:rsidRDefault="00BE2447" w:rsidP="00CF65EB">
      <w:pPr>
        <w:spacing w:line="360" w:lineRule="auto"/>
        <w:jc w:val="both"/>
        <w:rPr>
          <w:rFonts w:ascii="Arial" w:hAnsi="Arial" w:cs="Arial"/>
          <w:sz w:val="26"/>
          <w:szCs w:val="26"/>
          <w:lang w:val="en-ZA"/>
        </w:rPr>
      </w:pPr>
      <w:r>
        <w:rPr>
          <w:rFonts w:ascii="Arial" w:hAnsi="Arial" w:cs="Arial"/>
          <w:sz w:val="26"/>
          <w:szCs w:val="26"/>
          <w:lang w:val="en-ZA"/>
        </w:rPr>
        <w:t xml:space="preserve">[6] </w:t>
      </w:r>
      <w:r>
        <w:rPr>
          <w:rFonts w:ascii="Arial" w:hAnsi="Arial" w:cs="Arial"/>
          <w:sz w:val="26"/>
          <w:szCs w:val="26"/>
          <w:lang w:val="en-ZA"/>
        </w:rPr>
        <w:tab/>
      </w:r>
      <w:r w:rsidR="00CF65EB">
        <w:rPr>
          <w:rFonts w:ascii="Arial" w:hAnsi="Arial" w:cs="Arial"/>
          <w:sz w:val="26"/>
          <w:szCs w:val="26"/>
          <w:lang w:val="en-ZA"/>
        </w:rPr>
        <w:t>It is trite that it is inappropriate for a dispute (</w:t>
      </w:r>
      <w:r w:rsidR="00CF65EB">
        <w:rPr>
          <w:rFonts w:ascii="Arial" w:hAnsi="Arial" w:cs="Arial"/>
          <w:i/>
          <w:sz w:val="26"/>
          <w:szCs w:val="26"/>
          <w:lang w:val="en-ZA"/>
        </w:rPr>
        <w:t>lis</w:t>
      </w:r>
      <w:r w:rsidR="00CF65EB">
        <w:rPr>
          <w:rFonts w:ascii="Arial" w:hAnsi="Arial" w:cs="Arial"/>
          <w:sz w:val="26"/>
          <w:szCs w:val="26"/>
          <w:lang w:val="en-ZA"/>
        </w:rPr>
        <w:t>)</w:t>
      </w:r>
      <w:r w:rsidR="00D64B4D">
        <w:rPr>
          <w:rFonts w:ascii="Arial" w:hAnsi="Arial" w:cs="Arial"/>
          <w:sz w:val="26"/>
          <w:szCs w:val="26"/>
          <w:lang w:val="en-ZA"/>
        </w:rPr>
        <w:t xml:space="preserve"> between the par</w:t>
      </w:r>
      <w:r w:rsidR="00CF65EB">
        <w:rPr>
          <w:rFonts w:ascii="Arial" w:hAnsi="Arial" w:cs="Arial"/>
          <w:sz w:val="26"/>
          <w:szCs w:val="26"/>
          <w:lang w:val="en-ZA"/>
        </w:rPr>
        <w:t>t</w:t>
      </w:r>
      <w:r w:rsidR="00D64B4D">
        <w:rPr>
          <w:rFonts w:ascii="Arial" w:hAnsi="Arial" w:cs="Arial"/>
          <w:sz w:val="26"/>
          <w:szCs w:val="26"/>
          <w:lang w:val="en-ZA"/>
        </w:rPr>
        <w:t>i</w:t>
      </w:r>
      <w:r w:rsidR="00CF65EB">
        <w:rPr>
          <w:rFonts w:ascii="Arial" w:hAnsi="Arial" w:cs="Arial"/>
          <w:sz w:val="26"/>
          <w:szCs w:val="26"/>
          <w:lang w:val="en-ZA"/>
        </w:rPr>
        <w:t>es</w:t>
      </w:r>
      <w:r w:rsidR="00D64B4D">
        <w:rPr>
          <w:rFonts w:ascii="Arial" w:hAnsi="Arial" w:cs="Arial"/>
          <w:sz w:val="26"/>
          <w:szCs w:val="26"/>
          <w:lang w:val="en-ZA"/>
        </w:rPr>
        <w:t xml:space="preserve"> </w:t>
      </w:r>
      <w:r w:rsidR="00CF65EB">
        <w:rPr>
          <w:rFonts w:ascii="Arial" w:hAnsi="Arial" w:cs="Arial"/>
          <w:sz w:val="26"/>
          <w:szCs w:val="26"/>
          <w:lang w:val="en-ZA"/>
        </w:rPr>
        <w:t>to be litigated in two different courts. Put differently, if there is pending litigation between the parties in respect of the same</w:t>
      </w:r>
      <w:r w:rsidR="00D64B4D">
        <w:rPr>
          <w:rFonts w:ascii="Arial" w:hAnsi="Arial" w:cs="Arial"/>
          <w:sz w:val="26"/>
          <w:szCs w:val="26"/>
          <w:lang w:val="en-ZA"/>
        </w:rPr>
        <w:t xml:space="preserve"> subject matter in one jurisdiction, the defendant / respondent may raise the plea of </w:t>
      </w:r>
      <w:r w:rsidR="00D64B4D">
        <w:rPr>
          <w:rFonts w:ascii="Arial" w:hAnsi="Arial" w:cs="Arial"/>
          <w:i/>
          <w:sz w:val="26"/>
          <w:szCs w:val="26"/>
          <w:lang w:val="en-ZA"/>
        </w:rPr>
        <w:t>lis pendens</w:t>
      </w:r>
      <w:r w:rsidR="00D64B4D">
        <w:rPr>
          <w:rFonts w:ascii="Arial" w:hAnsi="Arial" w:cs="Arial"/>
          <w:sz w:val="26"/>
          <w:szCs w:val="26"/>
          <w:lang w:val="en-ZA"/>
        </w:rPr>
        <w:t xml:space="preserve"> in </w:t>
      </w:r>
      <w:r w:rsidR="005843F8">
        <w:rPr>
          <w:rFonts w:ascii="Arial" w:hAnsi="Arial" w:cs="Arial"/>
          <w:sz w:val="26"/>
          <w:szCs w:val="26"/>
          <w:lang w:val="en-ZA"/>
        </w:rPr>
        <w:t xml:space="preserve">the </w:t>
      </w:r>
      <w:r w:rsidR="00D64B4D">
        <w:rPr>
          <w:rFonts w:ascii="Arial" w:hAnsi="Arial" w:cs="Arial"/>
          <w:sz w:val="26"/>
          <w:szCs w:val="26"/>
          <w:lang w:val="en-ZA"/>
        </w:rPr>
        <w:t xml:space="preserve">other jurisdiction where the matter is instituted, entitling him to a stay of the latter proceedings. </w:t>
      </w:r>
      <w:r w:rsidR="00CF65EB">
        <w:rPr>
          <w:rFonts w:ascii="Arial" w:hAnsi="Arial" w:cs="Arial"/>
          <w:sz w:val="26"/>
          <w:szCs w:val="26"/>
          <w:lang w:val="en-ZA"/>
        </w:rPr>
        <w:t xml:space="preserve"> </w:t>
      </w:r>
      <w:r w:rsidR="00F5785E">
        <w:rPr>
          <w:rFonts w:ascii="Arial" w:hAnsi="Arial" w:cs="Arial"/>
          <w:sz w:val="26"/>
          <w:szCs w:val="26"/>
          <w:lang w:val="en-ZA"/>
        </w:rPr>
        <w:t xml:space="preserve">  </w:t>
      </w:r>
      <w:r w:rsidR="00A90E2A">
        <w:rPr>
          <w:rFonts w:ascii="Arial" w:hAnsi="Arial" w:cs="Arial"/>
          <w:sz w:val="26"/>
          <w:szCs w:val="26"/>
          <w:lang w:val="en-ZA"/>
        </w:rPr>
        <w:t xml:space="preserve"> </w:t>
      </w:r>
    </w:p>
    <w:p w14:paraId="0206CE51" w14:textId="784F4C2E" w:rsidR="00D64B4D" w:rsidRDefault="00027193" w:rsidP="00D16656">
      <w:pPr>
        <w:spacing w:before="240" w:line="360" w:lineRule="auto"/>
        <w:jc w:val="both"/>
        <w:rPr>
          <w:rFonts w:ascii="Arial" w:hAnsi="Arial" w:cs="Arial"/>
          <w:sz w:val="26"/>
          <w:szCs w:val="26"/>
          <w:lang w:val="en-ZA"/>
        </w:rPr>
      </w:pPr>
      <w:r>
        <w:rPr>
          <w:rFonts w:ascii="Arial" w:hAnsi="Arial" w:cs="Arial"/>
          <w:sz w:val="26"/>
          <w:szCs w:val="26"/>
          <w:lang w:val="en-ZA"/>
        </w:rPr>
        <w:t>[</w:t>
      </w:r>
      <w:r w:rsidR="005843F8">
        <w:rPr>
          <w:rFonts w:ascii="Arial" w:hAnsi="Arial" w:cs="Arial"/>
          <w:sz w:val="26"/>
          <w:szCs w:val="26"/>
          <w:lang w:val="en-ZA"/>
        </w:rPr>
        <w:t>7</w:t>
      </w:r>
      <w:r>
        <w:rPr>
          <w:rFonts w:ascii="Arial" w:hAnsi="Arial" w:cs="Arial"/>
          <w:sz w:val="26"/>
          <w:szCs w:val="26"/>
          <w:lang w:val="en-ZA"/>
        </w:rPr>
        <w:t xml:space="preserve">] </w:t>
      </w:r>
      <w:r>
        <w:rPr>
          <w:rFonts w:ascii="Arial" w:hAnsi="Arial" w:cs="Arial"/>
          <w:sz w:val="26"/>
          <w:szCs w:val="26"/>
          <w:lang w:val="en-ZA"/>
        </w:rPr>
        <w:tab/>
      </w:r>
      <w:r w:rsidR="00D64B4D">
        <w:rPr>
          <w:rFonts w:ascii="Arial" w:hAnsi="Arial" w:cs="Arial"/>
          <w:sz w:val="26"/>
          <w:szCs w:val="26"/>
          <w:lang w:val="en-ZA"/>
        </w:rPr>
        <w:t xml:space="preserve">For a plea of </w:t>
      </w:r>
      <w:r w:rsidR="00D64B4D">
        <w:rPr>
          <w:rFonts w:ascii="Arial" w:hAnsi="Arial" w:cs="Arial"/>
          <w:i/>
          <w:sz w:val="26"/>
          <w:szCs w:val="26"/>
          <w:lang w:val="en-ZA"/>
        </w:rPr>
        <w:t>lis alibi pendens</w:t>
      </w:r>
      <w:r w:rsidR="00D64B4D">
        <w:rPr>
          <w:rFonts w:ascii="Arial" w:hAnsi="Arial" w:cs="Arial"/>
          <w:sz w:val="26"/>
          <w:szCs w:val="26"/>
          <w:lang w:val="en-ZA"/>
        </w:rPr>
        <w:t xml:space="preserve"> to be </w:t>
      </w:r>
      <w:r w:rsidR="00DD3A8F">
        <w:rPr>
          <w:rFonts w:ascii="Arial" w:hAnsi="Arial" w:cs="Arial"/>
          <w:sz w:val="26"/>
          <w:szCs w:val="26"/>
          <w:lang w:val="en-ZA"/>
        </w:rPr>
        <w:t>successful</w:t>
      </w:r>
      <w:r w:rsidR="00D64B4D">
        <w:rPr>
          <w:rFonts w:ascii="Arial" w:hAnsi="Arial" w:cs="Arial"/>
          <w:sz w:val="26"/>
          <w:szCs w:val="26"/>
          <w:lang w:val="en-ZA"/>
        </w:rPr>
        <w:t>, the following requirements must be met:</w:t>
      </w:r>
    </w:p>
    <w:p w14:paraId="259A3EDD" w14:textId="66190600" w:rsidR="00DD3A8F" w:rsidRPr="00171F58" w:rsidRDefault="007F2191" w:rsidP="00D16656">
      <w:pPr>
        <w:spacing w:before="240" w:line="360" w:lineRule="auto"/>
        <w:jc w:val="both"/>
        <w:rPr>
          <w:rFonts w:ascii="Arial" w:hAnsi="Arial" w:cs="Arial"/>
          <w:i/>
          <w:sz w:val="26"/>
          <w:szCs w:val="26"/>
          <w:lang w:val="en-ZA"/>
        </w:rPr>
      </w:pPr>
      <w:r>
        <w:rPr>
          <w:rFonts w:ascii="Arial" w:hAnsi="Arial" w:cs="Arial"/>
          <w:i/>
          <w:sz w:val="26"/>
          <w:szCs w:val="26"/>
          <w:lang w:val="en-ZA"/>
        </w:rPr>
        <w:t>(i) There must be</w:t>
      </w:r>
      <w:r w:rsidR="00DD3A8F" w:rsidRPr="00171F58">
        <w:rPr>
          <w:rFonts w:ascii="Arial" w:hAnsi="Arial" w:cs="Arial"/>
          <w:i/>
          <w:sz w:val="26"/>
          <w:szCs w:val="26"/>
          <w:lang w:val="en-ZA"/>
        </w:rPr>
        <w:t xml:space="preserve"> pending litigation;</w:t>
      </w:r>
    </w:p>
    <w:p w14:paraId="614CF458" w14:textId="457B5F7B" w:rsidR="00D64B4D" w:rsidRPr="00171F58" w:rsidRDefault="00DD3A8F" w:rsidP="00D16656">
      <w:pPr>
        <w:spacing w:before="240" w:line="360" w:lineRule="auto"/>
        <w:jc w:val="both"/>
        <w:rPr>
          <w:rFonts w:ascii="Arial" w:hAnsi="Arial" w:cs="Arial"/>
          <w:i/>
          <w:sz w:val="26"/>
          <w:szCs w:val="26"/>
          <w:lang w:val="en-ZA"/>
        </w:rPr>
      </w:pPr>
      <w:r w:rsidRPr="00171F58">
        <w:rPr>
          <w:rFonts w:ascii="Arial" w:hAnsi="Arial" w:cs="Arial"/>
          <w:i/>
          <w:sz w:val="26"/>
          <w:szCs w:val="26"/>
          <w:lang w:val="en-ZA"/>
        </w:rPr>
        <w:t xml:space="preserve">(ii) between </w:t>
      </w:r>
      <w:r w:rsidR="00D64B4D" w:rsidRPr="00171F58">
        <w:rPr>
          <w:rFonts w:ascii="Arial" w:hAnsi="Arial" w:cs="Arial"/>
          <w:i/>
          <w:sz w:val="26"/>
          <w:szCs w:val="26"/>
          <w:lang w:val="en-ZA"/>
        </w:rPr>
        <w:t>the same parties;</w:t>
      </w:r>
    </w:p>
    <w:p w14:paraId="0B6D01A4" w14:textId="260E8332" w:rsidR="00D64B4D" w:rsidRPr="00171F58" w:rsidRDefault="00DD3A8F" w:rsidP="00D16656">
      <w:pPr>
        <w:spacing w:before="240" w:line="360" w:lineRule="auto"/>
        <w:jc w:val="both"/>
        <w:rPr>
          <w:rFonts w:ascii="Arial" w:hAnsi="Arial" w:cs="Arial"/>
          <w:i/>
          <w:sz w:val="26"/>
          <w:szCs w:val="26"/>
          <w:lang w:val="en-ZA"/>
        </w:rPr>
      </w:pPr>
      <w:r w:rsidRPr="00171F58">
        <w:rPr>
          <w:rFonts w:ascii="Arial" w:hAnsi="Arial" w:cs="Arial"/>
          <w:i/>
          <w:sz w:val="26"/>
          <w:szCs w:val="26"/>
          <w:lang w:val="en-ZA"/>
        </w:rPr>
        <w:t>(iii) based on the same</w:t>
      </w:r>
      <w:r w:rsidR="00D64B4D" w:rsidRPr="00171F58">
        <w:rPr>
          <w:rFonts w:ascii="Arial" w:hAnsi="Arial" w:cs="Arial"/>
          <w:i/>
          <w:sz w:val="26"/>
          <w:szCs w:val="26"/>
          <w:lang w:val="en-ZA"/>
        </w:rPr>
        <w:t xml:space="preserve"> cause of action; </w:t>
      </w:r>
    </w:p>
    <w:p w14:paraId="15CBE1D2" w14:textId="6573F647" w:rsidR="00DD3A8F" w:rsidRPr="00171F58" w:rsidRDefault="00DD3A8F" w:rsidP="00D16656">
      <w:pPr>
        <w:spacing w:before="240" w:line="360" w:lineRule="auto"/>
        <w:jc w:val="both"/>
        <w:rPr>
          <w:rFonts w:ascii="Arial" w:hAnsi="Arial" w:cs="Arial"/>
          <w:i/>
          <w:sz w:val="26"/>
          <w:szCs w:val="26"/>
          <w:lang w:val="en-ZA"/>
        </w:rPr>
      </w:pPr>
      <w:r w:rsidRPr="00171F58">
        <w:rPr>
          <w:rFonts w:ascii="Arial" w:hAnsi="Arial" w:cs="Arial"/>
          <w:i/>
          <w:sz w:val="26"/>
          <w:szCs w:val="26"/>
          <w:lang w:val="en-ZA"/>
        </w:rPr>
        <w:t>(iv) in respect of the same subject matter.</w:t>
      </w:r>
      <w:r w:rsidRPr="00171F58">
        <w:rPr>
          <w:rStyle w:val="FootnoteReference"/>
          <w:rFonts w:ascii="Arial" w:hAnsi="Arial" w:cs="Arial"/>
          <w:i/>
          <w:sz w:val="26"/>
          <w:szCs w:val="26"/>
          <w:lang w:val="en-ZA"/>
        </w:rPr>
        <w:footnoteReference w:id="1"/>
      </w:r>
    </w:p>
    <w:p w14:paraId="7E5EE38D" w14:textId="493ED459" w:rsidR="00CB5342" w:rsidRDefault="00D64B4D" w:rsidP="00D16656">
      <w:pPr>
        <w:spacing w:before="240" w:line="360" w:lineRule="auto"/>
        <w:jc w:val="both"/>
        <w:rPr>
          <w:rFonts w:ascii="Arial" w:hAnsi="Arial" w:cs="Arial"/>
          <w:sz w:val="26"/>
          <w:szCs w:val="26"/>
          <w:lang w:val="en-ZA"/>
        </w:rPr>
      </w:pPr>
      <w:r>
        <w:rPr>
          <w:rFonts w:ascii="Arial" w:hAnsi="Arial" w:cs="Arial"/>
          <w:sz w:val="26"/>
          <w:szCs w:val="26"/>
          <w:lang w:val="en-ZA"/>
        </w:rPr>
        <w:t xml:space="preserve">It is common cause that the </w:t>
      </w:r>
      <w:r w:rsidR="005843F8">
        <w:rPr>
          <w:rFonts w:ascii="Arial" w:hAnsi="Arial" w:cs="Arial"/>
          <w:sz w:val="26"/>
          <w:szCs w:val="26"/>
          <w:lang w:val="en-ZA"/>
        </w:rPr>
        <w:t xml:space="preserve">pending </w:t>
      </w:r>
      <w:r>
        <w:rPr>
          <w:rFonts w:ascii="Arial" w:hAnsi="Arial" w:cs="Arial"/>
          <w:sz w:val="26"/>
          <w:szCs w:val="26"/>
          <w:lang w:val="en-ZA"/>
        </w:rPr>
        <w:t>divorce action is between the same parties as in the proceedings under consideration.</w:t>
      </w:r>
      <w:r w:rsidR="00F5785E">
        <w:rPr>
          <w:rFonts w:ascii="Arial" w:hAnsi="Arial" w:cs="Arial"/>
          <w:sz w:val="26"/>
          <w:szCs w:val="26"/>
          <w:lang w:val="en-ZA"/>
        </w:rPr>
        <w:t xml:space="preserve"> </w:t>
      </w:r>
      <w:r w:rsidR="00F7693B">
        <w:rPr>
          <w:rFonts w:ascii="Arial" w:hAnsi="Arial" w:cs="Arial"/>
          <w:sz w:val="26"/>
          <w:szCs w:val="26"/>
          <w:lang w:val="en-ZA"/>
        </w:rPr>
        <w:t xml:space="preserve"> </w:t>
      </w:r>
    </w:p>
    <w:p w14:paraId="3997B84C" w14:textId="1859F8F2" w:rsidR="005E7024" w:rsidRDefault="00C85A71" w:rsidP="00D16656">
      <w:pPr>
        <w:spacing w:before="240" w:line="360" w:lineRule="auto"/>
        <w:jc w:val="both"/>
        <w:rPr>
          <w:rFonts w:ascii="Arial" w:hAnsi="Arial" w:cs="Arial"/>
          <w:sz w:val="26"/>
          <w:szCs w:val="26"/>
          <w:lang w:val="en-ZA"/>
        </w:rPr>
      </w:pPr>
      <w:r>
        <w:rPr>
          <w:rFonts w:ascii="Arial" w:hAnsi="Arial" w:cs="Arial"/>
          <w:sz w:val="26"/>
          <w:szCs w:val="26"/>
          <w:lang w:val="en-ZA"/>
        </w:rPr>
        <w:t>[</w:t>
      </w:r>
      <w:r w:rsidR="005843F8">
        <w:rPr>
          <w:rFonts w:ascii="Arial" w:hAnsi="Arial" w:cs="Arial"/>
          <w:sz w:val="26"/>
          <w:szCs w:val="26"/>
          <w:lang w:val="en-ZA"/>
        </w:rPr>
        <w:t>8</w:t>
      </w:r>
      <w:r w:rsidR="00F7693B">
        <w:rPr>
          <w:rFonts w:ascii="Arial" w:hAnsi="Arial" w:cs="Arial"/>
          <w:sz w:val="26"/>
          <w:szCs w:val="26"/>
          <w:lang w:val="en-ZA"/>
        </w:rPr>
        <w:t xml:space="preserve">] </w:t>
      </w:r>
      <w:r w:rsidR="00F7693B">
        <w:rPr>
          <w:rFonts w:ascii="Arial" w:hAnsi="Arial" w:cs="Arial"/>
          <w:sz w:val="26"/>
          <w:szCs w:val="26"/>
          <w:lang w:val="en-ZA"/>
        </w:rPr>
        <w:tab/>
      </w:r>
      <w:r w:rsidR="00D64B4D">
        <w:rPr>
          <w:rFonts w:ascii="Arial" w:hAnsi="Arial" w:cs="Arial"/>
          <w:sz w:val="26"/>
          <w:szCs w:val="26"/>
          <w:lang w:val="en-ZA"/>
        </w:rPr>
        <w:t xml:space="preserve">Appellant asserts that the proceedings before the court </w:t>
      </w:r>
      <w:r w:rsidR="00D64B4D">
        <w:rPr>
          <w:rFonts w:ascii="Arial" w:hAnsi="Arial" w:cs="Arial"/>
          <w:i/>
          <w:sz w:val="26"/>
          <w:szCs w:val="26"/>
          <w:lang w:val="en-ZA"/>
        </w:rPr>
        <w:t>a quo</w:t>
      </w:r>
      <w:r w:rsidR="00D64B4D">
        <w:rPr>
          <w:rFonts w:ascii="Arial" w:hAnsi="Arial" w:cs="Arial"/>
          <w:sz w:val="26"/>
          <w:szCs w:val="26"/>
          <w:lang w:val="en-ZA"/>
        </w:rPr>
        <w:t xml:space="preserve"> were not in connection with a divorce action but were concerned with ownership of a motor vehicle and not the division of the parties’ estate</w:t>
      </w:r>
      <w:r w:rsidR="00DD3A8F">
        <w:rPr>
          <w:rFonts w:ascii="Arial" w:hAnsi="Arial" w:cs="Arial"/>
          <w:sz w:val="26"/>
          <w:szCs w:val="26"/>
          <w:lang w:val="en-ZA"/>
        </w:rPr>
        <w:t>s</w:t>
      </w:r>
      <w:r w:rsidR="00D64B4D">
        <w:rPr>
          <w:rFonts w:ascii="Arial" w:hAnsi="Arial" w:cs="Arial"/>
          <w:sz w:val="26"/>
          <w:szCs w:val="26"/>
          <w:lang w:val="en-ZA"/>
        </w:rPr>
        <w:t xml:space="preserve">. It may well be so, but the </w:t>
      </w:r>
      <w:r w:rsidR="00D64B4D">
        <w:rPr>
          <w:rFonts w:ascii="Arial" w:hAnsi="Arial" w:cs="Arial"/>
          <w:sz w:val="26"/>
          <w:szCs w:val="26"/>
          <w:lang w:val="en-ZA"/>
        </w:rPr>
        <w:lastRenderedPageBreak/>
        <w:t>appellant in his heads of argument seems to acknowledge that should the motor vehicle in dispute form part of the accrual system</w:t>
      </w:r>
      <w:r w:rsidR="006B64AF">
        <w:rPr>
          <w:rFonts w:ascii="Arial" w:hAnsi="Arial" w:cs="Arial"/>
          <w:sz w:val="26"/>
          <w:szCs w:val="26"/>
          <w:lang w:val="en-ZA"/>
        </w:rPr>
        <w:t>, the respondent will only have a claim in respect thereof when the marriage between the parties is dissolved.</w:t>
      </w:r>
      <w:r w:rsidR="005843F8">
        <w:rPr>
          <w:rFonts w:ascii="Arial" w:hAnsi="Arial" w:cs="Arial"/>
          <w:sz w:val="26"/>
          <w:szCs w:val="26"/>
          <w:lang w:val="en-ZA"/>
        </w:rPr>
        <w:t xml:space="preserve"> Appellant acknowledges that the motor vehicle forms part of the assets that will</w:t>
      </w:r>
      <w:r w:rsidR="007F2191">
        <w:rPr>
          <w:rFonts w:ascii="Arial" w:hAnsi="Arial" w:cs="Arial"/>
          <w:sz w:val="26"/>
          <w:szCs w:val="26"/>
          <w:lang w:val="en-ZA"/>
        </w:rPr>
        <w:t xml:space="preserve"> be considered</w:t>
      </w:r>
      <w:r w:rsidR="005843F8">
        <w:rPr>
          <w:rFonts w:ascii="Arial" w:hAnsi="Arial" w:cs="Arial"/>
          <w:sz w:val="26"/>
          <w:szCs w:val="26"/>
          <w:lang w:val="en-ZA"/>
        </w:rPr>
        <w:t xml:space="preserve"> </w:t>
      </w:r>
      <w:r w:rsidR="00243114">
        <w:rPr>
          <w:rFonts w:ascii="Arial" w:hAnsi="Arial" w:cs="Arial"/>
          <w:sz w:val="26"/>
          <w:szCs w:val="26"/>
          <w:lang w:val="en-ZA"/>
        </w:rPr>
        <w:t>for purposes of calculating accrual, but that the divorce</w:t>
      </w:r>
      <w:r w:rsidR="00100C66">
        <w:rPr>
          <w:rFonts w:ascii="Arial" w:hAnsi="Arial" w:cs="Arial"/>
          <w:sz w:val="26"/>
          <w:szCs w:val="26"/>
          <w:lang w:val="en-ZA"/>
        </w:rPr>
        <w:t xml:space="preserve"> cou</w:t>
      </w:r>
      <w:r w:rsidR="007F2191">
        <w:rPr>
          <w:rFonts w:ascii="Arial" w:hAnsi="Arial" w:cs="Arial"/>
          <w:sz w:val="26"/>
          <w:szCs w:val="26"/>
          <w:lang w:val="en-ZA"/>
        </w:rPr>
        <w:t>rt</w:t>
      </w:r>
      <w:r w:rsidR="00243114">
        <w:rPr>
          <w:rFonts w:ascii="Arial" w:hAnsi="Arial" w:cs="Arial"/>
          <w:sz w:val="26"/>
          <w:szCs w:val="26"/>
          <w:lang w:val="en-ZA"/>
        </w:rPr>
        <w:t xml:space="preserve"> will not likely determine who the owner is and whether it should be returned to the appellant.</w:t>
      </w:r>
      <w:r w:rsidR="00243114">
        <w:rPr>
          <w:rStyle w:val="FootnoteReference"/>
          <w:rFonts w:ascii="Arial" w:hAnsi="Arial" w:cs="Arial"/>
          <w:sz w:val="26"/>
          <w:szCs w:val="26"/>
          <w:lang w:val="en-ZA"/>
        </w:rPr>
        <w:footnoteReference w:id="2"/>
      </w:r>
      <w:r w:rsidR="006B64AF">
        <w:rPr>
          <w:rFonts w:ascii="Arial" w:hAnsi="Arial" w:cs="Arial"/>
          <w:sz w:val="26"/>
          <w:szCs w:val="26"/>
          <w:lang w:val="en-ZA"/>
        </w:rPr>
        <w:t xml:space="preserve"> </w:t>
      </w:r>
      <w:r w:rsidR="00807FF8">
        <w:rPr>
          <w:rFonts w:ascii="Arial" w:hAnsi="Arial" w:cs="Arial"/>
          <w:sz w:val="26"/>
          <w:szCs w:val="26"/>
          <w:lang w:val="en-ZA"/>
        </w:rPr>
        <w:t xml:space="preserve">This talks to the requirement that the cause of action must be </w:t>
      </w:r>
      <w:r w:rsidR="00100C66">
        <w:rPr>
          <w:rFonts w:ascii="Arial" w:hAnsi="Arial" w:cs="Arial"/>
          <w:sz w:val="26"/>
          <w:szCs w:val="26"/>
          <w:lang w:val="en-ZA"/>
        </w:rPr>
        <w:t xml:space="preserve">the </w:t>
      </w:r>
      <w:r w:rsidR="00807FF8">
        <w:rPr>
          <w:rFonts w:ascii="Arial" w:hAnsi="Arial" w:cs="Arial"/>
          <w:sz w:val="26"/>
          <w:szCs w:val="26"/>
          <w:lang w:val="en-ZA"/>
        </w:rPr>
        <w:t xml:space="preserve">same in both actions. In </w:t>
      </w:r>
      <w:r w:rsidR="00807FF8">
        <w:rPr>
          <w:rFonts w:ascii="Arial" w:hAnsi="Arial" w:cs="Arial"/>
          <w:b/>
          <w:i/>
          <w:sz w:val="26"/>
          <w:szCs w:val="26"/>
          <w:lang w:val="en-ZA"/>
        </w:rPr>
        <w:t>Hassan and Another v Berrange N.O.</w:t>
      </w:r>
      <w:r w:rsidR="00807FF8">
        <w:rPr>
          <w:rStyle w:val="FootnoteReference"/>
          <w:rFonts w:ascii="Arial" w:hAnsi="Arial" w:cs="Arial"/>
          <w:b/>
          <w:i/>
          <w:sz w:val="26"/>
          <w:szCs w:val="26"/>
          <w:lang w:val="en-ZA"/>
        </w:rPr>
        <w:footnoteReference w:id="3"/>
      </w:r>
      <w:r w:rsidR="00807FF8">
        <w:rPr>
          <w:rFonts w:ascii="Arial" w:hAnsi="Arial" w:cs="Arial"/>
          <w:b/>
          <w:i/>
          <w:sz w:val="26"/>
          <w:szCs w:val="26"/>
          <w:lang w:val="en-ZA"/>
        </w:rPr>
        <w:t xml:space="preserve"> </w:t>
      </w:r>
      <w:r w:rsidR="00807FF8">
        <w:rPr>
          <w:rFonts w:ascii="Arial" w:hAnsi="Arial" w:cs="Arial"/>
          <w:sz w:val="26"/>
          <w:szCs w:val="26"/>
          <w:lang w:val="en-ZA"/>
        </w:rPr>
        <w:t xml:space="preserve">the </w:t>
      </w:r>
      <w:r w:rsidR="00807FF8">
        <w:rPr>
          <w:rFonts w:ascii="Arial" w:hAnsi="Arial" w:cs="Arial"/>
          <w:i/>
          <w:sz w:val="26"/>
          <w:szCs w:val="26"/>
          <w:lang w:val="en-ZA"/>
        </w:rPr>
        <w:t>lis pendens</w:t>
      </w:r>
      <w:r w:rsidR="00807FF8">
        <w:rPr>
          <w:rFonts w:ascii="Arial" w:hAnsi="Arial" w:cs="Arial"/>
          <w:sz w:val="26"/>
          <w:szCs w:val="26"/>
          <w:lang w:val="en-ZA"/>
        </w:rPr>
        <w:t xml:space="preserve"> plea </w:t>
      </w:r>
      <w:r w:rsidR="007F2191">
        <w:rPr>
          <w:rFonts w:ascii="Arial" w:hAnsi="Arial" w:cs="Arial"/>
          <w:sz w:val="26"/>
          <w:szCs w:val="26"/>
          <w:lang w:val="en-ZA"/>
        </w:rPr>
        <w:t>was described as follows</w:t>
      </w:r>
      <w:r w:rsidR="00807FF8">
        <w:rPr>
          <w:rFonts w:ascii="Arial" w:hAnsi="Arial" w:cs="Arial"/>
          <w:sz w:val="26"/>
          <w:szCs w:val="26"/>
          <w:lang w:val="en-ZA"/>
        </w:rPr>
        <w:t>: “</w:t>
      </w:r>
      <w:r w:rsidR="00807FF8" w:rsidRPr="007C3CE0">
        <w:rPr>
          <w:rFonts w:ascii="Arial" w:hAnsi="Arial" w:cs="Arial"/>
          <w:sz w:val="22"/>
          <w:szCs w:val="22"/>
          <w:lang w:val="en-ZA"/>
        </w:rPr>
        <w:t xml:space="preserve">Fundamental to the plea of </w:t>
      </w:r>
      <w:r w:rsidR="00807FF8" w:rsidRPr="007C3CE0">
        <w:rPr>
          <w:rFonts w:ascii="Arial" w:hAnsi="Arial" w:cs="Arial"/>
          <w:i/>
          <w:sz w:val="22"/>
          <w:szCs w:val="22"/>
          <w:lang w:val="en-ZA"/>
        </w:rPr>
        <w:t>lis pendens</w:t>
      </w:r>
      <w:r w:rsidR="00807FF8" w:rsidRPr="007C3CE0">
        <w:rPr>
          <w:rFonts w:ascii="Arial" w:hAnsi="Arial" w:cs="Arial"/>
          <w:sz w:val="22"/>
          <w:szCs w:val="22"/>
          <w:lang w:val="en-ZA"/>
        </w:rPr>
        <w:t xml:space="preserve"> is the requirement that the same plaintiff has instituted action against the defendant for the same thing arising out of the same action</w:t>
      </w:r>
      <w:r w:rsidR="00807FF8">
        <w:rPr>
          <w:rFonts w:ascii="Arial" w:hAnsi="Arial" w:cs="Arial"/>
          <w:sz w:val="26"/>
          <w:szCs w:val="26"/>
          <w:lang w:val="en-ZA"/>
        </w:rPr>
        <w:t xml:space="preserve">.” In </w:t>
      </w:r>
      <w:r w:rsidR="00807FF8">
        <w:rPr>
          <w:rFonts w:ascii="Arial" w:hAnsi="Arial" w:cs="Arial"/>
          <w:b/>
          <w:i/>
          <w:sz w:val="26"/>
          <w:szCs w:val="26"/>
          <w:lang w:val="en-ZA"/>
        </w:rPr>
        <w:t>Cook and Others v Muller</w:t>
      </w:r>
      <w:r w:rsidR="007C3CE0">
        <w:rPr>
          <w:rFonts w:ascii="Arial" w:hAnsi="Arial" w:cs="Arial"/>
          <w:i/>
          <w:sz w:val="26"/>
          <w:szCs w:val="26"/>
          <w:lang w:val="en-ZA"/>
        </w:rPr>
        <w:t>,</w:t>
      </w:r>
      <w:r w:rsidR="00807FF8" w:rsidRPr="007C3CE0">
        <w:rPr>
          <w:rStyle w:val="FootnoteReference"/>
          <w:rFonts w:ascii="Arial" w:hAnsi="Arial" w:cs="Arial"/>
          <w:sz w:val="26"/>
          <w:szCs w:val="26"/>
          <w:lang w:val="en-ZA"/>
        </w:rPr>
        <w:footnoteReference w:id="4"/>
      </w:r>
      <w:r w:rsidR="007C3CE0">
        <w:rPr>
          <w:rFonts w:ascii="Arial" w:hAnsi="Arial" w:cs="Arial"/>
          <w:i/>
          <w:sz w:val="26"/>
          <w:szCs w:val="26"/>
          <w:lang w:val="en-ZA"/>
        </w:rPr>
        <w:t xml:space="preserve"> </w:t>
      </w:r>
      <w:r w:rsidR="007C3CE0" w:rsidRPr="007C3CE0">
        <w:rPr>
          <w:rFonts w:ascii="Arial" w:hAnsi="Arial" w:cs="Arial"/>
          <w:sz w:val="26"/>
          <w:szCs w:val="26"/>
          <w:lang w:val="en-ZA"/>
        </w:rPr>
        <w:t>it was stated that</w:t>
      </w:r>
      <w:r w:rsidR="00807FF8">
        <w:rPr>
          <w:rFonts w:ascii="Arial" w:hAnsi="Arial" w:cs="Arial"/>
          <w:b/>
          <w:i/>
          <w:sz w:val="26"/>
          <w:szCs w:val="26"/>
          <w:lang w:val="en-ZA"/>
        </w:rPr>
        <w:t xml:space="preserve"> </w:t>
      </w:r>
      <w:r w:rsidR="007C3CE0">
        <w:rPr>
          <w:rFonts w:ascii="Arial" w:hAnsi="Arial" w:cs="Arial"/>
          <w:sz w:val="26"/>
          <w:szCs w:val="26"/>
          <w:lang w:val="en-ZA"/>
        </w:rPr>
        <w:t>it is not necessary in order to raise</w:t>
      </w:r>
      <w:r w:rsidR="007F2191">
        <w:rPr>
          <w:rFonts w:ascii="Arial" w:hAnsi="Arial" w:cs="Arial"/>
          <w:sz w:val="26"/>
          <w:szCs w:val="26"/>
          <w:lang w:val="en-ZA"/>
        </w:rPr>
        <w:t xml:space="preserve"> the plea,</w:t>
      </w:r>
      <w:r w:rsidR="007C3CE0">
        <w:rPr>
          <w:rFonts w:ascii="Arial" w:hAnsi="Arial" w:cs="Arial"/>
          <w:sz w:val="26"/>
          <w:szCs w:val="26"/>
          <w:lang w:val="en-ZA"/>
        </w:rPr>
        <w:t xml:space="preserve"> that the person raising it should have been the defendant in the other proceedings. In </w:t>
      </w:r>
      <w:r w:rsidR="007C3CE0">
        <w:rPr>
          <w:rFonts w:ascii="Arial" w:hAnsi="Arial" w:cs="Arial"/>
          <w:b/>
          <w:i/>
          <w:sz w:val="26"/>
          <w:szCs w:val="26"/>
          <w:lang w:val="en-ZA"/>
        </w:rPr>
        <w:t>Caesarstone Sdot-Yam v World of Marble and Granite</w:t>
      </w:r>
      <w:r w:rsidR="007C3CE0" w:rsidRPr="007C3CE0">
        <w:rPr>
          <w:rFonts w:ascii="Arial" w:hAnsi="Arial" w:cs="Arial"/>
          <w:sz w:val="26"/>
          <w:szCs w:val="26"/>
          <w:lang w:val="en-ZA"/>
        </w:rPr>
        <w:t>,</w:t>
      </w:r>
      <w:r w:rsidR="007C3CE0" w:rsidRPr="007C3CE0">
        <w:rPr>
          <w:rStyle w:val="FootnoteReference"/>
          <w:rFonts w:ascii="Arial" w:hAnsi="Arial" w:cs="Arial"/>
          <w:sz w:val="26"/>
          <w:szCs w:val="26"/>
          <w:lang w:val="en-ZA"/>
        </w:rPr>
        <w:footnoteReference w:id="5"/>
      </w:r>
      <w:r w:rsidR="007C3CE0">
        <w:rPr>
          <w:rFonts w:ascii="Arial" w:hAnsi="Arial" w:cs="Arial"/>
          <w:b/>
          <w:i/>
          <w:sz w:val="26"/>
          <w:szCs w:val="26"/>
          <w:lang w:val="en-ZA"/>
        </w:rPr>
        <w:t xml:space="preserve"> </w:t>
      </w:r>
      <w:r w:rsidR="007C3CE0">
        <w:rPr>
          <w:rFonts w:ascii="Arial" w:hAnsi="Arial" w:cs="Arial"/>
          <w:sz w:val="26"/>
          <w:szCs w:val="26"/>
          <w:lang w:val="en-ZA"/>
        </w:rPr>
        <w:t>the court warned against a strict application of three requirements of the special plea as this would generate a negative response. The court went on to say:</w:t>
      </w:r>
      <w:r w:rsidR="005E7024">
        <w:rPr>
          <w:rStyle w:val="FootnoteReference"/>
          <w:rFonts w:ascii="Arial" w:hAnsi="Arial" w:cs="Arial"/>
          <w:sz w:val="26"/>
          <w:szCs w:val="26"/>
          <w:lang w:val="en-ZA"/>
        </w:rPr>
        <w:footnoteReference w:id="6"/>
      </w:r>
      <w:r w:rsidR="007C3CE0">
        <w:rPr>
          <w:rFonts w:ascii="Arial" w:hAnsi="Arial" w:cs="Arial"/>
          <w:sz w:val="26"/>
          <w:szCs w:val="26"/>
          <w:lang w:val="en-ZA"/>
        </w:rPr>
        <w:t xml:space="preserve"> </w:t>
      </w:r>
    </w:p>
    <w:p w14:paraId="7FB6642A" w14:textId="2AA7E5D1" w:rsidR="005843F8" w:rsidRPr="005C2F88" w:rsidRDefault="005E7024" w:rsidP="00D16656">
      <w:pPr>
        <w:spacing w:before="240" w:line="360" w:lineRule="auto"/>
        <w:jc w:val="both"/>
        <w:rPr>
          <w:rFonts w:ascii="Arial" w:hAnsi="Arial" w:cs="Arial"/>
          <w:b/>
          <w:i/>
          <w:sz w:val="22"/>
          <w:szCs w:val="22"/>
          <w:lang w:val="en-ZA"/>
        </w:rPr>
      </w:pPr>
      <w:r w:rsidRPr="005C2F88">
        <w:rPr>
          <w:rFonts w:ascii="Arial" w:hAnsi="Arial" w:cs="Arial"/>
          <w:sz w:val="22"/>
          <w:szCs w:val="22"/>
          <w:lang w:val="en-ZA"/>
        </w:rPr>
        <w:t>“</w:t>
      </w:r>
      <w:r w:rsidR="00D57973" w:rsidRPr="005C2F88">
        <w:rPr>
          <w:rFonts w:ascii="Arial" w:hAnsi="Arial" w:cs="Arial"/>
          <w:sz w:val="22"/>
          <w:szCs w:val="22"/>
          <w:lang w:val="en-ZA"/>
        </w:rPr>
        <w:t xml:space="preserve">[21] On this basis the requirement of the same cause of action is satisfied if the other proceedings involve the determination of a question that is necessary for the determination of the case in which the plea is raised and substantially determinative of the outcome of that latter case. </w:t>
      </w:r>
      <w:r w:rsidR="00D57973" w:rsidRPr="005C2F88">
        <w:rPr>
          <w:rFonts w:ascii="Arial" w:hAnsi="Arial" w:cs="Arial"/>
          <w:i/>
          <w:sz w:val="22"/>
          <w:szCs w:val="22"/>
          <w:lang w:val="en-ZA"/>
        </w:rPr>
        <w:t xml:space="preserve">Boshoff </w:t>
      </w:r>
      <w:r w:rsidR="00D57973" w:rsidRPr="005C2F88">
        <w:rPr>
          <w:rFonts w:ascii="Arial" w:hAnsi="Arial" w:cs="Arial"/>
          <w:sz w:val="22"/>
          <w:szCs w:val="22"/>
          <w:lang w:val="en-ZA"/>
        </w:rPr>
        <w:t xml:space="preserve">was followed in a number of cases in provincial courts, but was regarded as controversial because it was thought to import in South African law the English principles of issue estopel. It is necessary to explore </w:t>
      </w:r>
      <w:r w:rsidR="005C2F88" w:rsidRPr="005C2F88">
        <w:rPr>
          <w:rFonts w:ascii="Arial" w:hAnsi="Arial" w:cs="Arial"/>
          <w:sz w:val="22"/>
          <w:szCs w:val="22"/>
          <w:lang w:val="en-ZA"/>
        </w:rPr>
        <w:t xml:space="preserve">that controversy because this court laid it to rest in </w:t>
      </w:r>
      <w:r w:rsidR="005C2F88" w:rsidRPr="005C2F88">
        <w:rPr>
          <w:rFonts w:ascii="Arial" w:hAnsi="Arial" w:cs="Arial"/>
          <w:i/>
          <w:sz w:val="22"/>
          <w:szCs w:val="22"/>
          <w:lang w:val="en-ZA"/>
        </w:rPr>
        <w:t>Kommissaris van Binnelandse Inkomste v Absa Bank Bpk</w:t>
      </w:r>
      <w:r w:rsidR="005C2F88" w:rsidRPr="005C2F88">
        <w:rPr>
          <w:rFonts w:ascii="Arial" w:hAnsi="Arial" w:cs="Arial"/>
          <w:sz w:val="22"/>
          <w:szCs w:val="22"/>
          <w:lang w:val="en-ZA"/>
        </w:rPr>
        <w:t xml:space="preserve">. There Botha JA held that </w:t>
      </w:r>
      <w:r w:rsidR="005C2F88" w:rsidRPr="005C2F88">
        <w:rPr>
          <w:rFonts w:ascii="Arial" w:hAnsi="Arial" w:cs="Arial"/>
          <w:i/>
          <w:sz w:val="22"/>
          <w:szCs w:val="22"/>
          <w:lang w:val="en-ZA"/>
        </w:rPr>
        <w:t>Boshoff</w:t>
      </w:r>
      <w:r w:rsidR="005C2F88" w:rsidRPr="005C2F88">
        <w:rPr>
          <w:rFonts w:ascii="Arial" w:hAnsi="Arial" w:cs="Arial"/>
          <w:sz w:val="22"/>
          <w:szCs w:val="22"/>
          <w:lang w:val="en-ZA"/>
        </w:rPr>
        <w:t xml:space="preserve"> was based on the principles of </w:t>
      </w:r>
      <w:r w:rsidR="00100C66">
        <w:rPr>
          <w:rFonts w:ascii="Arial" w:hAnsi="Arial" w:cs="Arial"/>
          <w:sz w:val="22"/>
          <w:szCs w:val="22"/>
          <w:lang w:val="en-ZA"/>
        </w:rPr>
        <w:t>our law. He said that its ratio</w:t>
      </w:r>
      <w:r w:rsidR="005C2F88" w:rsidRPr="005C2F88">
        <w:rPr>
          <w:rFonts w:ascii="Arial" w:hAnsi="Arial" w:cs="Arial"/>
          <w:sz w:val="22"/>
          <w:szCs w:val="22"/>
          <w:lang w:val="en-ZA"/>
        </w:rPr>
        <w:t xml:space="preserve"> that the strict requirements for a plea of res judicata of the same cause of action and that the same thing be claimed, must not be understood in a literal sense and as immutable rules. There is room for their adaptation and extension based on the underlying requirement that the same thing is in issue as well as the reason for the existence of the plea.</w:t>
      </w:r>
      <w:r w:rsidRPr="005C2F88">
        <w:rPr>
          <w:rFonts w:ascii="Arial" w:hAnsi="Arial" w:cs="Arial"/>
          <w:sz w:val="22"/>
          <w:szCs w:val="22"/>
          <w:lang w:val="en-ZA"/>
        </w:rPr>
        <w:t xml:space="preserve">” </w:t>
      </w:r>
      <w:r w:rsidR="007C3CE0" w:rsidRPr="005C2F88">
        <w:rPr>
          <w:rFonts w:ascii="Arial" w:hAnsi="Arial" w:cs="Arial"/>
          <w:sz w:val="22"/>
          <w:szCs w:val="22"/>
          <w:lang w:val="en-ZA"/>
        </w:rPr>
        <w:t xml:space="preserve"> </w:t>
      </w:r>
      <w:r w:rsidR="007C3CE0" w:rsidRPr="005C2F88">
        <w:rPr>
          <w:rFonts w:ascii="Arial" w:hAnsi="Arial" w:cs="Arial"/>
          <w:b/>
          <w:i/>
          <w:sz w:val="22"/>
          <w:szCs w:val="22"/>
          <w:lang w:val="en-ZA"/>
        </w:rPr>
        <w:t xml:space="preserve"> </w:t>
      </w:r>
    </w:p>
    <w:p w14:paraId="18292E0C" w14:textId="6E32F25F" w:rsidR="005E7024" w:rsidRPr="005E7024" w:rsidRDefault="005843F8" w:rsidP="00D16656">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[9] </w:t>
      </w:r>
      <w:r>
        <w:rPr>
          <w:rFonts w:ascii="Arial" w:hAnsi="Arial" w:cs="Arial"/>
          <w:sz w:val="26"/>
          <w:szCs w:val="26"/>
          <w:lang w:val="en-ZA"/>
        </w:rPr>
        <w:tab/>
      </w:r>
      <w:r w:rsidR="005E7024">
        <w:rPr>
          <w:rFonts w:ascii="Arial" w:hAnsi="Arial" w:cs="Arial"/>
          <w:sz w:val="26"/>
          <w:szCs w:val="26"/>
          <w:lang w:val="en-ZA"/>
        </w:rPr>
        <w:t xml:space="preserve">In light of what was stated in the </w:t>
      </w:r>
      <w:r w:rsidR="005E7024">
        <w:rPr>
          <w:rFonts w:ascii="Arial" w:hAnsi="Arial" w:cs="Arial"/>
          <w:b/>
          <w:i/>
          <w:sz w:val="26"/>
          <w:szCs w:val="26"/>
          <w:lang w:val="en-ZA"/>
        </w:rPr>
        <w:t>Caesarstone</w:t>
      </w:r>
      <w:r w:rsidR="005E7024">
        <w:rPr>
          <w:rFonts w:ascii="Arial" w:hAnsi="Arial" w:cs="Arial"/>
          <w:sz w:val="26"/>
          <w:szCs w:val="26"/>
          <w:lang w:val="en-ZA"/>
        </w:rPr>
        <w:t xml:space="preserve"> matter hereinabove, can it be said that the Magistrate </w:t>
      </w:r>
      <w:r w:rsidR="005E7024">
        <w:rPr>
          <w:rFonts w:ascii="Arial" w:hAnsi="Arial" w:cs="Arial"/>
          <w:i/>
          <w:sz w:val="26"/>
          <w:szCs w:val="26"/>
          <w:lang w:val="en-ZA"/>
        </w:rPr>
        <w:t>a quo</w:t>
      </w:r>
      <w:r w:rsidR="005E7024">
        <w:rPr>
          <w:rFonts w:ascii="Arial" w:hAnsi="Arial" w:cs="Arial"/>
          <w:sz w:val="26"/>
          <w:szCs w:val="26"/>
          <w:lang w:val="en-ZA"/>
        </w:rPr>
        <w:t xml:space="preserve"> misdirected herself in making the finding </w:t>
      </w:r>
      <w:r w:rsidR="00100C66">
        <w:rPr>
          <w:rFonts w:ascii="Arial" w:hAnsi="Arial" w:cs="Arial"/>
          <w:sz w:val="26"/>
          <w:szCs w:val="26"/>
          <w:lang w:val="en-ZA"/>
        </w:rPr>
        <w:t>she made in this regard,</w:t>
      </w:r>
      <w:r w:rsidR="007F2191">
        <w:rPr>
          <w:rFonts w:ascii="Arial" w:hAnsi="Arial" w:cs="Arial"/>
          <w:sz w:val="26"/>
          <w:szCs w:val="26"/>
          <w:lang w:val="en-ZA"/>
        </w:rPr>
        <w:t xml:space="preserve"> </w:t>
      </w:r>
      <w:r w:rsidR="00100C66">
        <w:rPr>
          <w:rFonts w:ascii="Arial" w:hAnsi="Arial" w:cs="Arial"/>
          <w:sz w:val="26"/>
          <w:szCs w:val="26"/>
          <w:lang w:val="en-ZA"/>
        </w:rPr>
        <w:t>n</w:t>
      </w:r>
      <w:r w:rsidR="007F2191">
        <w:rPr>
          <w:rFonts w:ascii="Arial" w:hAnsi="Arial" w:cs="Arial"/>
          <w:sz w:val="26"/>
          <w:szCs w:val="26"/>
          <w:lang w:val="en-ZA"/>
        </w:rPr>
        <w:t xml:space="preserve">amely that the requirements of a </w:t>
      </w:r>
      <w:r w:rsidR="007F2191">
        <w:rPr>
          <w:rFonts w:ascii="Arial" w:hAnsi="Arial" w:cs="Arial"/>
          <w:i/>
          <w:sz w:val="26"/>
          <w:szCs w:val="26"/>
          <w:lang w:val="en-ZA"/>
        </w:rPr>
        <w:t>lis pendens</w:t>
      </w:r>
      <w:r w:rsidR="00100C66">
        <w:rPr>
          <w:rFonts w:ascii="Arial" w:hAnsi="Arial" w:cs="Arial"/>
          <w:sz w:val="26"/>
          <w:szCs w:val="26"/>
          <w:lang w:val="en-ZA"/>
        </w:rPr>
        <w:t xml:space="preserve"> plea have been met?</w:t>
      </w:r>
      <w:r w:rsidR="005E7024">
        <w:rPr>
          <w:rFonts w:ascii="Arial" w:hAnsi="Arial" w:cs="Arial"/>
          <w:sz w:val="26"/>
          <w:szCs w:val="26"/>
          <w:lang w:val="en-ZA"/>
        </w:rPr>
        <w:t xml:space="preserve"> </w:t>
      </w:r>
    </w:p>
    <w:p w14:paraId="6D38FAD3" w14:textId="422DA46A" w:rsidR="007E47EC" w:rsidRPr="00353EF0" w:rsidRDefault="005E7024" w:rsidP="00D16656">
      <w:pPr>
        <w:spacing w:before="240" w:line="360" w:lineRule="auto"/>
        <w:jc w:val="both"/>
        <w:rPr>
          <w:rFonts w:ascii="Arial" w:hAnsi="Arial" w:cs="Arial"/>
          <w:sz w:val="26"/>
          <w:szCs w:val="26"/>
          <w:lang w:val="en-ZA"/>
        </w:rPr>
      </w:pPr>
      <w:r>
        <w:rPr>
          <w:rFonts w:ascii="Arial" w:hAnsi="Arial" w:cs="Arial"/>
          <w:sz w:val="26"/>
          <w:szCs w:val="26"/>
          <w:lang w:val="en-ZA"/>
        </w:rPr>
        <w:t>[10</w:t>
      </w:r>
      <w:r w:rsidR="007E47EC">
        <w:rPr>
          <w:rFonts w:ascii="Arial" w:hAnsi="Arial" w:cs="Arial"/>
          <w:sz w:val="26"/>
          <w:szCs w:val="26"/>
          <w:lang w:val="en-ZA"/>
        </w:rPr>
        <w:t xml:space="preserve">] </w:t>
      </w:r>
      <w:r w:rsidR="007E47EC">
        <w:rPr>
          <w:rFonts w:ascii="Arial" w:hAnsi="Arial" w:cs="Arial"/>
          <w:sz w:val="26"/>
          <w:szCs w:val="26"/>
          <w:lang w:val="en-ZA"/>
        </w:rPr>
        <w:tab/>
      </w:r>
      <w:r w:rsidR="008C0C5E">
        <w:rPr>
          <w:rFonts w:ascii="Arial" w:hAnsi="Arial" w:cs="Arial"/>
          <w:sz w:val="26"/>
          <w:szCs w:val="26"/>
          <w:lang w:val="en-ZA"/>
        </w:rPr>
        <w:t xml:space="preserve">It is also trite that the two actions need not be identical in form. The requirement of “the same cause of action” is satisfied if the other case involves the determination </w:t>
      </w:r>
      <w:r w:rsidR="0037579B">
        <w:rPr>
          <w:rFonts w:ascii="Arial" w:hAnsi="Arial" w:cs="Arial"/>
          <w:sz w:val="26"/>
          <w:szCs w:val="26"/>
          <w:lang w:val="en-ZA"/>
        </w:rPr>
        <w:t xml:space="preserve">of some point of law which will be </w:t>
      </w:r>
      <w:r w:rsidR="0037579B">
        <w:rPr>
          <w:rFonts w:ascii="Arial" w:hAnsi="Arial" w:cs="Arial"/>
          <w:i/>
          <w:sz w:val="26"/>
          <w:szCs w:val="26"/>
          <w:lang w:val="en-ZA"/>
        </w:rPr>
        <w:t>res judicata</w:t>
      </w:r>
      <w:r w:rsidR="0037579B">
        <w:rPr>
          <w:rFonts w:ascii="Arial" w:hAnsi="Arial" w:cs="Arial"/>
          <w:sz w:val="26"/>
          <w:szCs w:val="26"/>
          <w:lang w:val="en-ZA"/>
        </w:rPr>
        <w:t xml:space="preserve"> in the action sought to be stayed or objected to.</w:t>
      </w:r>
      <w:r w:rsidR="0037579B">
        <w:rPr>
          <w:rStyle w:val="FootnoteReference"/>
          <w:rFonts w:ascii="Arial" w:hAnsi="Arial" w:cs="Arial"/>
          <w:sz w:val="26"/>
          <w:szCs w:val="26"/>
          <w:lang w:val="en-ZA"/>
        </w:rPr>
        <w:footnoteReference w:id="7"/>
      </w:r>
      <w:r w:rsidR="0037579B">
        <w:rPr>
          <w:rFonts w:ascii="Arial" w:hAnsi="Arial" w:cs="Arial"/>
          <w:sz w:val="26"/>
          <w:szCs w:val="26"/>
          <w:lang w:val="en-ZA"/>
        </w:rPr>
        <w:t xml:space="preserve"> </w:t>
      </w:r>
      <w:r w:rsidR="008C0C5E">
        <w:rPr>
          <w:rFonts w:ascii="Arial" w:hAnsi="Arial" w:cs="Arial"/>
          <w:sz w:val="26"/>
          <w:szCs w:val="26"/>
          <w:lang w:val="en-ZA"/>
        </w:rPr>
        <w:t xml:space="preserve"> </w:t>
      </w:r>
      <w:r w:rsidR="00353EF0">
        <w:rPr>
          <w:rFonts w:ascii="Arial" w:hAnsi="Arial" w:cs="Arial"/>
          <w:sz w:val="26"/>
          <w:szCs w:val="26"/>
          <w:lang w:val="en-US"/>
        </w:rPr>
        <w:t xml:space="preserve">   </w:t>
      </w:r>
    </w:p>
    <w:p w14:paraId="4194DE6B" w14:textId="37138159" w:rsidR="00610ABA" w:rsidRPr="00353EF0" w:rsidRDefault="005E7024" w:rsidP="002646AD">
      <w:pPr>
        <w:spacing w:before="240" w:line="360" w:lineRule="auto"/>
        <w:jc w:val="both"/>
        <w:rPr>
          <w:rFonts w:ascii="Arial" w:hAnsi="Arial" w:cs="Arial"/>
          <w:sz w:val="26"/>
          <w:szCs w:val="26"/>
          <w:lang w:val="en-ZA"/>
        </w:rPr>
      </w:pPr>
      <w:r>
        <w:rPr>
          <w:rFonts w:ascii="Arial" w:hAnsi="Arial" w:cs="Arial"/>
          <w:sz w:val="26"/>
          <w:szCs w:val="26"/>
          <w:lang w:val="en-ZA"/>
        </w:rPr>
        <w:t>[11</w:t>
      </w:r>
      <w:r w:rsidR="00DA122E">
        <w:rPr>
          <w:rFonts w:ascii="Arial" w:hAnsi="Arial" w:cs="Arial"/>
          <w:sz w:val="26"/>
          <w:szCs w:val="26"/>
          <w:lang w:val="en-ZA"/>
        </w:rPr>
        <w:t xml:space="preserve">] </w:t>
      </w:r>
      <w:r w:rsidR="00610ABA">
        <w:rPr>
          <w:rFonts w:ascii="Arial" w:hAnsi="Arial" w:cs="Arial"/>
          <w:sz w:val="26"/>
          <w:szCs w:val="26"/>
          <w:lang w:val="en-ZA"/>
        </w:rPr>
        <w:tab/>
      </w:r>
      <w:r w:rsidR="0037579B">
        <w:rPr>
          <w:rFonts w:ascii="Arial" w:hAnsi="Arial" w:cs="Arial"/>
          <w:sz w:val="26"/>
          <w:szCs w:val="26"/>
          <w:lang w:val="en-ZA"/>
        </w:rPr>
        <w:t>A court has a discretion whether</w:t>
      </w:r>
      <w:r w:rsidR="00DD3A8F">
        <w:rPr>
          <w:rFonts w:ascii="Arial" w:hAnsi="Arial" w:cs="Arial"/>
          <w:sz w:val="26"/>
          <w:szCs w:val="26"/>
          <w:lang w:val="en-ZA"/>
        </w:rPr>
        <w:t xml:space="preserve"> or not</w:t>
      </w:r>
      <w:r w:rsidR="0037579B">
        <w:rPr>
          <w:rFonts w:ascii="Arial" w:hAnsi="Arial" w:cs="Arial"/>
          <w:sz w:val="26"/>
          <w:szCs w:val="26"/>
          <w:lang w:val="en-ZA"/>
        </w:rPr>
        <w:t xml:space="preserve"> to order stay of proceedings</w:t>
      </w:r>
      <w:r w:rsidR="00F735A6">
        <w:rPr>
          <w:rFonts w:ascii="Arial" w:hAnsi="Arial" w:cs="Arial"/>
          <w:sz w:val="26"/>
          <w:szCs w:val="26"/>
          <w:lang w:val="en-ZA"/>
        </w:rPr>
        <w:t xml:space="preserve"> on the basis of the plea of </w:t>
      </w:r>
      <w:r w:rsidR="00F735A6">
        <w:rPr>
          <w:rFonts w:ascii="Arial" w:hAnsi="Arial" w:cs="Arial"/>
          <w:i/>
          <w:sz w:val="26"/>
          <w:szCs w:val="26"/>
          <w:lang w:val="en-ZA"/>
        </w:rPr>
        <w:t>lis pendens</w:t>
      </w:r>
      <w:r w:rsidR="00F735A6">
        <w:rPr>
          <w:rFonts w:ascii="Arial" w:hAnsi="Arial" w:cs="Arial"/>
          <w:sz w:val="26"/>
          <w:szCs w:val="26"/>
          <w:lang w:val="en-ZA"/>
        </w:rPr>
        <w:t>.</w:t>
      </w:r>
      <w:r w:rsidR="0037579B">
        <w:rPr>
          <w:rFonts w:ascii="Arial" w:hAnsi="Arial" w:cs="Arial"/>
          <w:sz w:val="26"/>
          <w:szCs w:val="26"/>
          <w:lang w:val="en-ZA"/>
        </w:rPr>
        <w:t xml:space="preserve"> The Magistrate in the court </w:t>
      </w:r>
      <w:r w:rsidR="0037579B">
        <w:rPr>
          <w:rFonts w:ascii="Arial" w:hAnsi="Arial" w:cs="Arial"/>
          <w:i/>
          <w:sz w:val="26"/>
          <w:szCs w:val="26"/>
          <w:lang w:val="en-ZA"/>
        </w:rPr>
        <w:t>a quo</w:t>
      </w:r>
      <w:r w:rsidR="0037579B">
        <w:rPr>
          <w:rFonts w:ascii="Arial" w:hAnsi="Arial" w:cs="Arial"/>
          <w:sz w:val="26"/>
          <w:szCs w:val="26"/>
          <w:lang w:val="en-ZA"/>
        </w:rPr>
        <w:t xml:space="preserve"> exercised her discretion in favour of the respondent by upholding the special plea. </w:t>
      </w:r>
      <w:r w:rsidR="00353EF0">
        <w:rPr>
          <w:rFonts w:ascii="Arial" w:hAnsi="Arial" w:cs="Arial"/>
          <w:sz w:val="26"/>
          <w:szCs w:val="26"/>
          <w:lang w:val="en-ZA"/>
        </w:rPr>
        <w:t xml:space="preserve"> </w:t>
      </w:r>
    </w:p>
    <w:p w14:paraId="7927844C" w14:textId="260917ED" w:rsidR="00C20D61" w:rsidRDefault="005E7024" w:rsidP="0037579B">
      <w:pPr>
        <w:spacing w:before="240" w:line="360" w:lineRule="auto"/>
        <w:jc w:val="both"/>
        <w:rPr>
          <w:rFonts w:ascii="Arial" w:hAnsi="Arial" w:cs="Arial"/>
          <w:sz w:val="26"/>
          <w:szCs w:val="26"/>
          <w:lang w:val="en-ZA"/>
        </w:rPr>
      </w:pPr>
      <w:r>
        <w:rPr>
          <w:rFonts w:ascii="Arial" w:hAnsi="Arial" w:cs="Arial"/>
          <w:sz w:val="26"/>
          <w:szCs w:val="26"/>
          <w:lang w:val="en-ZA"/>
        </w:rPr>
        <w:t>[12</w:t>
      </w:r>
      <w:r w:rsidR="00610ABA">
        <w:rPr>
          <w:rFonts w:ascii="Arial" w:hAnsi="Arial" w:cs="Arial"/>
          <w:sz w:val="26"/>
          <w:szCs w:val="26"/>
          <w:lang w:val="en-ZA"/>
        </w:rPr>
        <w:t xml:space="preserve">] </w:t>
      </w:r>
      <w:r w:rsidR="00610ABA">
        <w:rPr>
          <w:rFonts w:ascii="Arial" w:hAnsi="Arial" w:cs="Arial"/>
          <w:sz w:val="26"/>
          <w:szCs w:val="26"/>
          <w:lang w:val="en-ZA"/>
        </w:rPr>
        <w:tab/>
      </w:r>
      <w:r w:rsidR="00F735A6">
        <w:rPr>
          <w:rFonts w:ascii="Arial" w:hAnsi="Arial" w:cs="Arial"/>
          <w:sz w:val="26"/>
          <w:szCs w:val="26"/>
          <w:lang w:val="en-ZA"/>
        </w:rPr>
        <w:t>The court i</w:t>
      </w:r>
      <w:r w:rsidR="0037579B">
        <w:rPr>
          <w:rFonts w:ascii="Arial" w:hAnsi="Arial" w:cs="Arial"/>
          <w:sz w:val="26"/>
          <w:szCs w:val="26"/>
          <w:lang w:val="en-ZA"/>
        </w:rPr>
        <w:t xml:space="preserve">n </w:t>
      </w:r>
      <w:r w:rsidR="0037579B">
        <w:rPr>
          <w:rFonts w:ascii="Arial" w:hAnsi="Arial" w:cs="Arial"/>
          <w:b/>
          <w:i/>
          <w:sz w:val="26"/>
          <w:szCs w:val="26"/>
          <w:lang w:val="en-ZA"/>
        </w:rPr>
        <w:t>Loader v Dursot Bro</w:t>
      </w:r>
      <w:r w:rsidR="00100C66">
        <w:rPr>
          <w:rFonts w:ascii="Arial" w:hAnsi="Arial" w:cs="Arial"/>
          <w:b/>
          <w:i/>
          <w:sz w:val="26"/>
          <w:szCs w:val="26"/>
          <w:lang w:val="en-ZA"/>
        </w:rPr>
        <w:t>s</w:t>
      </w:r>
      <w:r w:rsidR="0037579B">
        <w:rPr>
          <w:rFonts w:ascii="Arial" w:hAnsi="Arial" w:cs="Arial"/>
          <w:b/>
          <w:i/>
          <w:sz w:val="26"/>
          <w:szCs w:val="26"/>
          <w:lang w:val="en-ZA"/>
        </w:rPr>
        <w:t xml:space="preserve"> (Pty) Ltd</w:t>
      </w:r>
      <w:r w:rsidR="0037579B" w:rsidRPr="00F735A6">
        <w:rPr>
          <w:rStyle w:val="FootnoteReference"/>
          <w:rFonts w:ascii="Arial" w:hAnsi="Arial" w:cs="Arial"/>
          <w:sz w:val="26"/>
          <w:szCs w:val="26"/>
          <w:lang w:val="en-ZA"/>
        </w:rPr>
        <w:footnoteReference w:id="8"/>
      </w:r>
      <w:r w:rsidR="0037579B">
        <w:rPr>
          <w:rFonts w:ascii="Arial" w:hAnsi="Arial" w:cs="Arial"/>
          <w:sz w:val="26"/>
          <w:szCs w:val="26"/>
          <w:lang w:val="en-ZA"/>
        </w:rPr>
        <w:t xml:space="preserve"> with respect to the discretion to stay proceedings or hear the matter despite earlier pending proceedings had this to say:</w:t>
      </w:r>
    </w:p>
    <w:p w14:paraId="6326A5BE" w14:textId="1BBC76CC" w:rsidR="00FB6A97" w:rsidRPr="00FB6A97" w:rsidRDefault="0037579B" w:rsidP="00AE0218">
      <w:pPr>
        <w:spacing w:before="240" w:line="360" w:lineRule="auto"/>
        <w:jc w:val="both"/>
        <w:rPr>
          <w:rFonts w:ascii="Arial" w:hAnsi="Arial" w:cs="Arial"/>
          <w:sz w:val="22"/>
          <w:szCs w:val="22"/>
          <w:lang w:val="en-ZA"/>
        </w:rPr>
      </w:pPr>
      <w:r w:rsidRPr="00FB6A97">
        <w:rPr>
          <w:rFonts w:ascii="Arial" w:hAnsi="Arial" w:cs="Arial"/>
          <w:sz w:val="22"/>
          <w:szCs w:val="22"/>
          <w:lang w:val="en-ZA"/>
        </w:rPr>
        <w:t xml:space="preserve">“It is clear on the authorities that a plea of </w:t>
      </w:r>
      <w:r w:rsidRPr="00FB6A97">
        <w:rPr>
          <w:rFonts w:ascii="Arial" w:hAnsi="Arial" w:cs="Arial"/>
          <w:i/>
          <w:sz w:val="22"/>
          <w:szCs w:val="22"/>
          <w:lang w:val="en-ZA"/>
        </w:rPr>
        <w:t xml:space="preserve">lis alibi pendens </w:t>
      </w:r>
      <w:r w:rsidRPr="00FB6A97">
        <w:rPr>
          <w:rFonts w:ascii="Arial" w:hAnsi="Arial" w:cs="Arial"/>
          <w:sz w:val="22"/>
          <w:szCs w:val="22"/>
          <w:lang w:val="en-ZA"/>
        </w:rPr>
        <w:t xml:space="preserve">does not have the effect of </w:t>
      </w:r>
      <w:r w:rsidR="00FB6A97" w:rsidRPr="00FB6A97">
        <w:rPr>
          <w:rFonts w:ascii="Arial" w:hAnsi="Arial" w:cs="Arial"/>
          <w:sz w:val="22"/>
          <w:szCs w:val="22"/>
          <w:lang w:val="en-ZA"/>
        </w:rPr>
        <w:t>an absolute bar to the proceedings in which the defence is raised. The Court intervenes to s</w:t>
      </w:r>
      <w:r w:rsidR="00243114">
        <w:rPr>
          <w:rFonts w:ascii="Arial" w:hAnsi="Arial" w:cs="Arial"/>
          <w:sz w:val="22"/>
          <w:szCs w:val="22"/>
          <w:lang w:val="en-ZA"/>
        </w:rPr>
        <w:t>t</w:t>
      </w:r>
      <w:r w:rsidR="00FB6A97" w:rsidRPr="00FB6A97">
        <w:rPr>
          <w:rFonts w:ascii="Arial" w:hAnsi="Arial" w:cs="Arial"/>
          <w:sz w:val="22"/>
          <w:szCs w:val="22"/>
          <w:lang w:val="en-ZA"/>
        </w:rPr>
        <w:t xml:space="preserve">ay one or other of the proceedings, because it is </w:t>
      </w:r>
      <w:r w:rsidR="00FB6A97" w:rsidRPr="00FB6A97">
        <w:rPr>
          <w:rFonts w:ascii="Arial" w:hAnsi="Arial" w:cs="Arial"/>
          <w:i/>
          <w:sz w:val="22"/>
          <w:szCs w:val="22"/>
          <w:lang w:val="en-ZA"/>
        </w:rPr>
        <w:t>prima facie</w:t>
      </w:r>
      <w:r w:rsidR="00FB6A97" w:rsidRPr="00FB6A97">
        <w:rPr>
          <w:rFonts w:ascii="Arial" w:hAnsi="Arial" w:cs="Arial"/>
          <w:sz w:val="22"/>
          <w:szCs w:val="22"/>
          <w:lang w:val="en-ZA"/>
        </w:rPr>
        <w:t xml:space="preserve"> vexatious to bring two actions in respect of the same subject-matter. The Court has a discretion which it will exercise in a proper case, but it is not bound to exercise it in every case in which a </w:t>
      </w:r>
      <w:r w:rsidR="00FB6A97" w:rsidRPr="00FB6A97">
        <w:rPr>
          <w:rFonts w:ascii="Arial" w:hAnsi="Arial" w:cs="Arial"/>
          <w:i/>
          <w:sz w:val="22"/>
          <w:szCs w:val="22"/>
          <w:lang w:val="en-ZA"/>
        </w:rPr>
        <w:t>lis alibi pendens</w:t>
      </w:r>
      <w:r w:rsidR="00FB6A97" w:rsidRPr="00FB6A97">
        <w:rPr>
          <w:rFonts w:ascii="Arial" w:hAnsi="Arial" w:cs="Arial"/>
          <w:sz w:val="22"/>
          <w:szCs w:val="22"/>
          <w:lang w:val="en-ZA"/>
        </w:rPr>
        <w:t xml:space="preserve"> is proved to exist . . . .”</w:t>
      </w:r>
    </w:p>
    <w:p w14:paraId="53E6409B" w14:textId="1D32FE2B" w:rsidR="00F62D81" w:rsidRDefault="006072BE" w:rsidP="00AE0218">
      <w:pPr>
        <w:spacing w:before="240" w:line="360" w:lineRule="auto"/>
        <w:jc w:val="both"/>
        <w:rPr>
          <w:rFonts w:ascii="Arial" w:hAnsi="Arial" w:cs="Arial"/>
          <w:sz w:val="26"/>
          <w:szCs w:val="26"/>
          <w:lang w:val="en-ZA"/>
        </w:rPr>
      </w:pPr>
      <w:r>
        <w:rPr>
          <w:rFonts w:ascii="Arial" w:hAnsi="Arial" w:cs="Arial"/>
          <w:sz w:val="26"/>
          <w:szCs w:val="26"/>
          <w:lang w:val="en-ZA"/>
        </w:rPr>
        <w:t>[</w:t>
      </w:r>
      <w:r w:rsidR="005E7024">
        <w:rPr>
          <w:rFonts w:ascii="Arial" w:hAnsi="Arial" w:cs="Arial"/>
          <w:sz w:val="26"/>
          <w:szCs w:val="26"/>
          <w:lang w:val="en-ZA"/>
        </w:rPr>
        <w:t>13</w:t>
      </w:r>
      <w:r>
        <w:rPr>
          <w:rFonts w:ascii="Arial" w:hAnsi="Arial" w:cs="Arial"/>
          <w:sz w:val="26"/>
          <w:szCs w:val="26"/>
          <w:lang w:val="en-ZA"/>
        </w:rPr>
        <w:t xml:space="preserve">] </w:t>
      </w:r>
      <w:r>
        <w:rPr>
          <w:rFonts w:ascii="Arial" w:hAnsi="Arial" w:cs="Arial"/>
          <w:sz w:val="26"/>
          <w:szCs w:val="26"/>
          <w:lang w:val="en-ZA"/>
        </w:rPr>
        <w:tab/>
      </w:r>
      <w:r w:rsidR="00FB6A97">
        <w:rPr>
          <w:rFonts w:ascii="Arial" w:hAnsi="Arial" w:cs="Arial"/>
          <w:sz w:val="26"/>
          <w:szCs w:val="26"/>
          <w:lang w:val="en-ZA"/>
        </w:rPr>
        <w:t xml:space="preserve">This leads to the question whether interference with the court </w:t>
      </w:r>
      <w:r w:rsidR="00FB6A97">
        <w:rPr>
          <w:rFonts w:ascii="Arial" w:hAnsi="Arial" w:cs="Arial"/>
          <w:i/>
          <w:sz w:val="26"/>
          <w:szCs w:val="26"/>
          <w:lang w:val="en-ZA"/>
        </w:rPr>
        <w:t>a quo’s</w:t>
      </w:r>
      <w:r w:rsidR="00FB6A97">
        <w:rPr>
          <w:rFonts w:ascii="Arial" w:hAnsi="Arial" w:cs="Arial"/>
          <w:sz w:val="26"/>
          <w:szCs w:val="26"/>
          <w:lang w:val="en-ZA"/>
        </w:rPr>
        <w:t xml:space="preserve"> exercise of discreti</w:t>
      </w:r>
      <w:r w:rsidR="00243114">
        <w:rPr>
          <w:rFonts w:ascii="Arial" w:hAnsi="Arial" w:cs="Arial"/>
          <w:sz w:val="26"/>
          <w:szCs w:val="26"/>
          <w:lang w:val="en-ZA"/>
        </w:rPr>
        <w:t>on in this regard is warranted or</w:t>
      </w:r>
      <w:r w:rsidR="00FB6A97">
        <w:rPr>
          <w:rFonts w:ascii="Arial" w:hAnsi="Arial" w:cs="Arial"/>
          <w:sz w:val="26"/>
          <w:szCs w:val="26"/>
          <w:lang w:val="en-ZA"/>
        </w:rPr>
        <w:t xml:space="preserve"> justified. In </w:t>
      </w:r>
      <w:r w:rsidR="00FB6A97">
        <w:rPr>
          <w:rFonts w:ascii="Arial" w:hAnsi="Arial" w:cs="Arial"/>
          <w:b/>
          <w:i/>
          <w:sz w:val="26"/>
          <w:szCs w:val="26"/>
          <w:lang w:val="en-ZA"/>
        </w:rPr>
        <w:t>Trencon Construction v Industrial Development Corporation</w:t>
      </w:r>
      <w:r w:rsidR="00FB6A97" w:rsidRPr="00F735A6">
        <w:rPr>
          <w:rStyle w:val="FootnoteReference"/>
          <w:rFonts w:ascii="Arial" w:hAnsi="Arial" w:cs="Arial"/>
          <w:sz w:val="26"/>
          <w:szCs w:val="26"/>
          <w:lang w:val="en-ZA"/>
        </w:rPr>
        <w:footnoteReference w:id="9"/>
      </w:r>
      <w:r w:rsidR="00FB6A97">
        <w:rPr>
          <w:rFonts w:ascii="Arial" w:hAnsi="Arial" w:cs="Arial"/>
          <w:b/>
          <w:i/>
          <w:sz w:val="26"/>
          <w:szCs w:val="26"/>
          <w:lang w:val="en-ZA"/>
        </w:rPr>
        <w:t xml:space="preserve"> </w:t>
      </w:r>
      <w:r w:rsidR="00FB6A97">
        <w:rPr>
          <w:rFonts w:ascii="Arial" w:hAnsi="Arial" w:cs="Arial"/>
          <w:sz w:val="26"/>
          <w:szCs w:val="26"/>
          <w:lang w:val="en-ZA"/>
        </w:rPr>
        <w:t>the Constitutional Court</w:t>
      </w:r>
      <w:r w:rsidR="00F62D81">
        <w:rPr>
          <w:rFonts w:ascii="Arial" w:hAnsi="Arial" w:cs="Arial"/>
          <w:sz w:val="26"/>
          <w:szCs w:val="26"/>
          <w:lang w:val="en-ZA"/>
        </w:rPr>
        <w:t xml:space="preserve"> had this to say:</w:t>
      </w:r>
    </w:p>
    <w:p w14:paraId="45FE7426" w14:textId="3F940024" w:rsidR="00382D33" w:rsidRPr="00382D33" w:rsidRDefault="00F62D81" w:rsidP="00382D33">
      <w:pPr>
        <w:spacing w:line="360" w:lineRule="auto"/>
        <w:jc w:val="both"/>
        <w:rPr>
          <w:rFonts w:ascii="Arial" w:hAnsi="Arial" w:cs="Arial"/>
          <w:sz w:val="22"/>
          <w:szCs w:val="22"/>
        </w:rPr>
      </w:pPr>
      <w:r w:rsidRPr="00382D33">
        <w:rPr>
          <w:rFonts w:ascii="Arial" w:hAnsi="Arial" w:cs="Arial"/>
          <w:sz w:val="22"/>
          <w:szCs w:val="22"/>
        </w:rPr>
        <w:t>“</w:t>
      </w:r>
      <w:r w:rsidR="00382D33" w:rsidRPr="00382D33">
        <w:rPr>
          <w:rFonts w:ascii="Arial" w:hAnsi="Arial" w:cs="Arial"/>
          <w:color w:val="000000"/>
          <w:sz w:val="22"/>
          <w:szCs w:val="22"/>
        </w:rPr>
        <w:t>[87] </w:t>
      </w:r>
      <w:r w:rsidR="00382D33" w:rsidRPr="00382D33">
        <w:rPr>
          <w:rFonts w:ascii="Arial" w:hAnsi="Arial" w:cs="Arial"/>
          <w:sz w:val="22"/>
          <w:szCs w:val="22"/>
        </w:rPr>
        <w:t>This Court has, on many occasions, accepted and applied the principles enunciated in </w:t>
      </w:r>
      <w:r w:rsidR="00382D33" w:rsidRPr="00382D33">
        <w:rPr>
          <w:rFonts w:ascii="Arial" w:hAnsi="Arial" w:cs="Arial"/>
          <w:i/>
          <w:iCs/>
          <w:sz w:val="22"/>
          <w:szCs w:val="22"/>
        </w:rPr>
        <w:t>Knox </w:t>
      </w:r>
      <w:r w:rsidR="00382D33" w:rsidRPr="00382D33">
        <w:rPr>
          <w:rFonts w:ascii="Arial" w:hAnsi="Arial" w:cs="Arial"/>
          <w:sz w:val="22"/>
          <w:szCs w:val="22"/>
        </w:rPr>
        <w:t>and </w:t>
      </w:r>
      <w:r w:rsidR="00382D33" w:rsidRPr="00382D33">
        <w:rPr>
          <w:rFonts w:ascii="Arial" w:hAnsi="Arial" w:cs="Arial"/>
          <w:i/>
          <w:iCs/>
          <w:sz w:val="22"/>
          <w:szCs w:val="22"/>
        </w:rPr>
        <w:t>Media Workers Association</w:t>
      </w:r>
      <w:r w:rsidR="00382D33" w:rsidRPr="00382D33">
        <w:rPr>
          <w:rFonts w:ascii="Arial" w:hAnsi="Arial" w:cs="Arial"/>
          <w:sz w:val="22"/>
          <w:szCs w:val="22"/>
        </w:rPr>
        <w:t xml:space="preserve">. An appellate court must heed the standard of interference applicable to either of the discretions. In the instance of a discretion in the loose </w:t>
      </w:r>
      <w:r w:rsidR="00382D33" w:rsidRPr="00382D33">
        <w:rPr>
          <w:rFonts w:ascii="Arial" w:hAnsi="Arial" w:cs="Arial"/>
          <w:sz w:val="22"/>
          <w:szCs w:val="22"/>
        </w:rPr>
        <w:lastRenderedPageBreak/>
        <w:t>sense, an appellate court is equally capable of determining the matter in the same manner as the court of first instance and can therefore substitute its own exercise of the discretion without first having to find that the court of first instance did not act judicially. However, even where a discretion in the loose sense is conferred on a lower court, an appellate court’s power to interfere may be curtailed by broader policy considerations. Therefore, whenever an appellate court interferes with a discretion in the loose sense, it must be guarded.</w:t>
      </w:r>
    </w:p>
    <w:p w14:paraId="4DBAB4BD" w14:textId="77777777" w:rsidR="00382D33" w:rsidRPr="00382D33" w:rsidRDefault="00382D33" w:rsidP="00382D33">
      <w:pPr>
        <w:spacing w:line="360" w:lineRule="auto"/>
        <w:jc w:val="both"/>
        <w:rPr>
          <w:rFonts w:ascii="Arial" w:hAnsi="Arial" w:cs="Arial"/>
          <w:sz w:val="22"/>
          <w:szCs w:val="22"/>
        </w:rPr>
      </w:pPr>
      <w:r w:rsidRPr="00382D33">
        <w:rPr>
          <w:rFonts w:ascii="Arial" w:hAnsi="Arial" w:cs="Arial"/>
          <w:color w:val="000000"/>
          <w:sz w:val="22"/>
          <w:szCs w:val="22"/>
        </w:rPr>
        <w:t>[88] </w:t>
      </w:r>
      <w:r w:rsidRPr="00382D33">
        <w:rPr>
          <w:rFonts w:ascii="Arial" w:hAnsi="Arial" w:cs="Arial"/>
          <w:sz w:val="22"/>
          <w:szCs w:val="22"/>
        </w:rPr>
        <w:t>When a lower court exercises a discretion in the true sense, it would ordinarily be inappropriate for an appellate court to interfere unless it is satisfied that this discretion was not exercised—</w:t>
      </w:r>
    </w:p>
    <w:p w14:paraId="0EB495D3" w14:textId="0132B07C" w:rsidR="00382D33" w:rsidRPr="00382D33" w:rsidRDefault="00382D33" w:rsidP="00382D33">
      <w:pPr>
        <w:spacing w:line="360" w:lineRule="auto"/>
        <w:ind w:left="720"/>
        <w:jc w:val="both"/>
        <w:rPr>
          <w:rFonts w:ascii="Arial" w:hAnsi="Arial" w:cs="Arial"/>
          <w:sz w:val="22"/>
          <w:szCs w:val="22"/>
        </w:rPr>
      </w:pPr>
      <w:r>
        <w:rPr>
          <w:rFonts w:ascii="Arial" w:hAnsi="Arial" w:cs="Arial"/>
          <w:sz w:val="22"/>
          <w:szCs w:val="22"/>
        </w:rPr>
        <w:t>‘</w:t>
      </w:r>
      <w:r w:rsidRPr="00382D33">
        <w:rPr>
          <w:rFonts w:ascii="Arial" w:hAnsi="Arial" w:cs="Arial"/>
          <w:sz w:val="22"/>
          <w:szCs w:val="22"/>
        </w:rPr>
        <w:t>judicially, or that it had been influenced by wrong principles or a misdirection on the facts, or that it had reached a decision which in the result could not reasonably have been made by a court properly directing itself to all the</w:t>
      </w:r>
      <w:bookmarkStart w:id="0" w:name="_ftnref74"/>
      <w:r>
        <w:rPr>
          <w:rFonts w:ascii="Arial" w:hAnsi="Arial" w:cs="Arial"/>
          <w:sz w:val="22"/>
          <w:szCs w:val="22"/>
        </w:rPr>
        <w:t xml:space="preserve"> relevant facts and principles.</w:t>
      </w:r>
      <w:bookmarkEnd w:id="0"/>
      <w:r>
        <w:rPr>
          <w:rFonts w:ascii="Arial" w:hAnsi="Arial" w:cs="Arial"/>
          <w:sz w:val="22"/>
          <w:szCs w:val="22"/>
        </w:rPr>
        <w:t>’</w:t>
      </w:r>
    </w:p>
    <w:p w14:paraId="3E0BD3EE" w14:textId="18138CCE" w:rsidR="00F62D81" w:rsidRPr="00382D33" w:rsidRDefault="00382D33" w:rsidP="00382D33">
      <w:pPr>
        <w:spacing w:line="360" w:lineRule="auto"/>
        <w:jc w:val="both"/>
        <w:rPr>
          <w:rFonts w:ascii="Arial" w:hAnsi="Arial" w:cs="Arial"/>
          <w:sz w:val="22"/>
          <w:szCs w:val="22"/>
        </w:rPr>
      </w:pPr>
      <w:r w:rsidRPr="00382D33">
        <w:rPr>
          <w:rFonts w:ascii="Arial" w:hAnsi="Arial" w:cs="Arial"/>
          <w:sz w:val="22"/>
          <w:szCs w:val="22"/>
        </w:rPr>
        <w:t>An appellate court ought to be slow to substitute its own decision solely because it does not agree with the permissible option chosen by the lower court.</w:t>
      </w:r>
      <w:r w:rsidR="00F62D81" w:rsidRPr="00382D33">
        <w:rPr>
          <w:rFonts w:ascii="Arial" w:hAnsi="Arial" w:cs="Arial"/>
          <w:sz w:val="22"/>
          <w:szCs w:val="22"/>
        </w:rPr>
        <w:t>”</w:t>
      </w:r>
    </w:p>
    <w:p w14:paraId="393E31D4" w14:textId="7CE40A8B" w:rsidR="005E7024" w:rsidRPr="00353EF0" w:rsidRDefault="005E7024" w:rsidP="005E7024">
      <w:pPr>
        <w:spacing w:before="240" w:line="360" w:lineRule="auto"/>
        <w:jc w:val="both"/>
        <w:rPr>
          <w:rFonts w:ascii="Arial" w:hAnsi="Arial" w:cs="Arial"/>
          <w:sz w:val="26"/>
          <w:szCs w:val="26"/>
          <w:lang w:val="en-ZA"/>
        </w:rPr>
      </w:pPr>
      <w:r>
        <w:rPr>
          <w:rFonts w:ascii="Arial" w:hAnsi="Arial" w:cs="Arial"/>
          <w:sz w:val="26"/>
          <w:szCs w:val="26"/>
          <w:lang w:val="en-ZA"/>
        </w:rPr>
        <w:t xml:space="preserve">[14] </w:t>
      </w:r>
      <w:r>
        <w:rPr>
          <w:rFonts w:ascii="Arial" w:hAnsi="Arial" w:cs="Arial"/>
          <w:sz w:val="26"/>
          <w:szCs w:val="26"/>
          <w:lang w:val="en-ZA"/>
        </w:rPr>
        <w:tab/>
        <w:t xml:space="preserve">In my view, the issue of ownership of the motor vehicle will still be a live one during the divorce proceedings, when the marriage is ultimately dissolved. This is in view of the fact that respondent also claims ownership of the vehicle on the basis that it was given to her by the </w:t>
      </w:r>
      <w:r w:rsidR="008069D4">
        <w:rPr>
          <w:rFonts w:ascii="Arial" w:hAnsi="Arial" w:cs="Arial"/>
          <w:sz w:val="26"/>
          <w:szCs w:val="26"/>
          <w:lang w:val="en-ZA"/>
        </w:rPr>
        <w:t>appellant</w:t>
      </w:r>
      <w:r>
        <w:rPr>
          <w:rFonts w:ascii="Arial" w:hAnsi="Arial" w:cs="Arial"/>
          <w:sz w:val="26"/>
          <w:szCs w:val="26"/>
          <w:lang w:val="en-ZA"/>
        </w:rPr>
        <w:t xml:space="preserve"> as a gift. Should this be the case, the provisions of </w:t>
      </w:r>
      <w:r>
        <w:rPr>
          <w:rFonts w:ascii="Arial" w:hAnsi="Arial" w:cs="Arial"/>
          <w:i/>
          <w:sz w:val="26"/>
          <w:szCs w:val="26"/>
          <w:lang w:val="en-ZA"/>
        </w:rPr>
        <w:t xml:space="preserve">Section 5 (2) </w:t>
      </w:r>
      <w:r>
        <w:rPr>
          <w:rFonts w:ascii="Arial" w:hAnsi="Arial" w:cs="Arial"/>
          <w:sz w:val="26"/>
          <w:szCs w:val="26"/>
          <w:lang w:val="en-ZA"/>
        </w:rPr>
        <w:t xml:space="preserve">of the </w:t>
      </w:r>
      <w:r>
        <w:rPr>
          <w:rFonts w:ascii="Arial" w:hAnsi="Arial" w:cs="Arial"/>
          <w:i/>
          <w:sz w:val="26"/>
          <w:szCs w:val="26"/>
          <w:lang w:val="en-ZA"/>
        </w:rPr>
        <w:t>Matrimonial Property Act</w:t>
      </w:r>
      <w:r w:rsidRPr="008C0C5E">
        <w:rPr>
          <w:rStyle w:val="FootnoteReference"/>
          <w:rFonts w:ascii="Arial" w:hAnsi="Arial" w:cs="Arial"/>
          <w:sz w:val="26"/>
          <w:szCs w:val="26"/>
          <w:lang w:val="en-ZA"/>
        </w:rPr>
        <w:footnoteReference w:id="10"/>
      </w:r>
      <w:r>
        <w:rPr>
          <w:rFonts w:ascii="Arial" w:hAnsi="Arial" w:cs="Arial"/>
          <w:sz w:val="26"/>
          <w:szCs w:val="26"/>
          <w:lang w:val="en-ZA"/>
        </w:rPr>
        <w:t xml:space="preserve"> apply, namely that: In the determination of the accrual of the estate of a spouse a donation between spouses, other than a donation </w:t>
      </w:r>
      <w:r>
        <w:rPr>
          <w:rFonts w:ascii="Arial" w:hAnsi="Arial" w:cs="Arial"/>
          <w:i/>
          <w:sz w:val="26"/>
          <w:szCs w:val="26"/>
          <w:lang w:val="en-ZA"/>
        </w:rPr>
        <w:t>mortis causa</w:t>
      </w:r>
      <w:r>
        <w:rPr>
          <w:rFonts w:ascii="Arial" w:hAnsi="Arial" w:cs="Arial"/>
          <w:sz w:val="26"/>
          <w:szCs w:val="26"/>
          <w:lang w:val="en-ZA"/>
        </w:rPr>
        <w:t xml:space="preserve">, is not taken into account either as part of the estate of the donor or a part of the estate of the donee.   </w:t>
      </w:r>
    </w:p>
    <w:p w14:paraId="479EE94F" w14:textId="781BF783" w:rsidR="00F62D81" w:rsidRDefault="00C463B0" w:rsidP="00F45C84">
      <w:pPr>
        <w:spacing w:before="240" w:line="360" w:lineRule="auto"/>
        <w:jc w:val="both"/>
        <w:rPr>
          <w:rFonts w:ascii="Arial" w:hAnsi="Arial" w:cs="Arial"/>
          <w:sz w:val="26"/>
          <w:szCs w:val="26"/>
          <w:lang w:val="en-ZA"/>
        </w:rPr>
      </w:pPr>
      <w:r w:rsidRPr="00C222DC">
        <w:rPr>
          <w:rFonts w:ascii="Arial" w:hAnsi="Arial" w:cs="Arial"/>
          <w:sz w:val="26"/>
          <w:szCs w:val="26"/>
          <w:lang w:val="en-ZA"/>
        </w:rPr>
        <w:t>[</w:t>
      </w:r>
      <w:r w:rsidR="005E7024">
        <w:rPr>
          <w:rFonts w:ascii="Arial" w:hAnsi="Arial" w:cs="Arial"/>
          <w:sz w:val="26"/>
          <w:szCs w:val="26"/>
          <w:lang w:val="en-ZA"/>
        </w:rPr>
        <w:t>15</w:t>
      </w:r>
      <w:r w:rsidRPr="00C222DC">
        <w:rPr>
          <w:rFonts w:ascii="Arial" w:hAnsi="Arial" w:cs="Arial"/>
          <w:sz w:val="26"/>
          <w:szCs w:val="26"/>
          <w:lang w:val="en-ZA"/>
        </w:rPr>
        <w:t xml:space="preserve">] </w:t>
      </w:r>
      <w:r w:rsidRPr="00C222DC">
        <w:rPr>
          <w:rFonts w:ascii="Arial" w:hAnsi="Arial" w:cs="Arial"/>
          <w:sz w:val="26"/>
          <w:szCs w:val="26"/>
          <w:lang w:val="en-ZA"/>
        </w:rPr>
        <w:tab/>
      </w:r>
      <w:r w:rsidR="00F62D81">
        <w:rPr>
          <w:rFonts w:ascii="Arial" w:hAnsi="Arial" w:cs="Arial"/>
          <w:sz w:val="26"/>
          <w:szCs w:val="26"/>
          <w:lang w:val="en-ZA"/>
        </w:rPr>
        <w:t>In light of what has bee</w:t>
      </w:r>
      <w:r w:rsidR="00F735A6">
        <w:rPr>
          <w:rFonts w:ascii="Arial" w:hAnsi="Arial" w:cs="Arial"/>
          <w:sz w:val="26"/>
          <w:szCs w:val="26"/>
          <w:lang w:val="en-ZA"/>
        </w:rPr>
        <w:t>n said earlier in this judgment and the authorities cited</w:t>
      </w:r>
      <w:r w:rsidR="00171F58">
        <w:rPr>
          <w:rFonts w:ascii="Arial" w:hAnsi="Arial" w:cs="Arial"/>
          <w:sz w:val="26"/>
          <w:szCs w:val="26"/>
          <w:lang w:val="en-ZA"/>
        </w:rPr>
        <w:t xml:space="preserve"> herein</w:t>
      </w:r>
      <w:r w:rsidR="00F735A6">
        <w:rPr>
          <w:rFonts w:ascii="Arial" w:hAnsi="Arial" w:cs="Arial"/>
          <w:sz w:val="26"/>
          <w:szCs w:val="26"/>
          <w:lang w:val="en-ZA"/>
        </w:rPr>
        <w:t>,</w:t>
      </w:r>
      <w:r w:rsidR="00F62D81">
        <w:rPr>
          <w:rFonts w:ascii="Arial" w:hAnsi="Arial" w:cs="Arial"/>
          <w:sz w:val="26"/>
          <w:szCs w:val="26"/>
          <w:lang w:val="en-ZA"/>
        </w:rPr>
        <w:t xml:space="preserve"> I am unable to say that the Magistrate in the court </w:t>
      </w:r>
      <w:r w:rsidR="00F62D81">
        <w:rPr>
          <w:rFonts w:ascii="Arial" w:hAnsi="Arial" w:cs="Arial"/>
          <w:i/>
          <w:sz w:val="26"/>
          <w:szCs w:val="26"/>
          <w:lang w:val="en-ZA"/>
        </w:rPr>
        <w:t>a quo</w:t>
      </w:r>
      <w:r w:rsidR="00F62D81">
        <w:rPr>
          <w:rFonts w:ascii="Arial" w:hAnsi="Arial" w:cs="Arial"/>
          <w:sz w:val="26"/>
          <w:szCs w:val="26"/>
          <w:lang w:val="en-ZA"/>
        </w:rPr>
        <w:t xml:space="preserve"> did not exercise the discretion vested in her judicially or that it had been influenced by a misdirection.   </w:t>
      </w:r>
      <w:r w:rsidR="00F62D81" w:rsidRPr="00AE53E8">
        <w:rPr>
          <w:rFonts w:ascii="Arial" w:hAnsi="Arial" w:cs="Arial"/>
          <w:sz w:val="26"/>
          <w:szCs w:val="26"/>
          <w:lang w:val="en-ZA"/>
        </w:rPr>
        <w:t xml:space="preserve"> </w:t>
      </w:r>
    </w:p>
    <w:p w14:paraId="0F4FFDA6" w14:textId="348DDC23" w:rsidR="00225EDB" w:rsidRPr="00F62D81" w:rsidRDefault="003705F6" w:rsidP="00F62D81">
      <w:pPr>
        <w:spacing w:before="240" w:line="360" w:lineRule="auto"/>
        <w:jc w:val="both"/>
        <w:rPr>
          <w:rFonts w:ascii="Arial" w:hAnsi="Arial" w:cs="Arial"/>
          <w:b/>
          <w:sz w:val="26"/>
          <w:szCs w:val="26"/>
          <w:lang w:val="en-ZA"/>
        </w:rPr>
      </w:pPr>
      <w:r w:rsidRPr="00F62D81">
        <w:rPr>
          <w:rFonts w:ascii="Arial" w:hAnsi="Arial" w:cs="Arial"/>
          <w:b/>
          <w:sz w:val="26"/>
          <w:szCs w:val="26"/>
          <w:lang w:val="en-ZA"/>
        </w:rPr>
        <w:t>[1</w:t>
      </w:r>
      <w:r w:rsidR="005E7024">
        <w:rPr>
          <w:rFonts w:ascii="Arial" w:hAnsi="Arial" w:cs="Arial"/>
          <w:b/>
          <w:sz w:val="26"/>
          <w:szCs w:val="26"/>
          <w:lang w:val="en-ZA"/>
        </w:rPr>
        <w:t>6</w:t>
      </w:r>
      <w:r w:rsidR="00225EDB" w:rsidRPr="00F62D81">
        <w:rPr>
          <w:rFonts w:ascii="Arial" w:hAnsi="Arial" w:cs="Arial"/>
          <w:b/>
          <w:sz w:val="26"/>
          <w:szCs w:val="26"/>
          <w:lang w:val="en-ZA"/>
        </w:rPr>
        <w:t xml:space="preserve">] </w:t>
      </w:r>
      <w:r w:rsidR="00225EDB" w:rsidRPr="00F62D81">
        <w:rPr>
          <w:rFonts w:ascii="Arial" w:hAnsi="Arial" w:cs="Arial"/>
          <w:b/>
          <w:sz w:val="26"/>
          <w:szCs w:val="26"/>
          <w:lang w:val="en-ZA"/>
        </w:rPr>
        <w:tab/>
      </w:r>
      <w:r w:rsidR="00F62D81" w:rsidRPr="00F62D81">
        <w:rPr>
          <w:rFonts w:ascii="Arial" w:hAnsi="Arial" w:cs="Arial"/>
          <w:b/>
          <w:sz w:val="26"/>
          <w:szCs w:val="26"/>
          <w:lang w:val="en-ZA"/>
        </w:rPr>
        <w:t>Accordingly, the appeal is dismissed with costs.</w:t>
      </w:r>
    </w:p>
    <w:p w14:paraId="15884299" w14:textId="44C8D673" w:rsidR="00C463B0" w:rsidRDefault="00C463B0" w:rsidP="00915CAF">
      <w:pPr>
        <w:jc w:val="both"/>
        <w:rPr>
          <w:rFonts w:ascii="Arial" w:hAnsi="Arial" w:cs="Arial"/>
          <w:b/>
          <w:sz w:val="26"/>
          <w:szCs w:val="26"/>
        </w:rPr>
      </w:pPr>
    </w:p>
    <w:p w14:paraId="27F12284" w14:textId="664A1B2E" w:rsidR="00171F58" w:rsidRDefault="00171F58" w:rsidP="007B2E1B">
      <w:pPr>
        <w:jc w:val="both"/>
        <w:rPr>
          <w:rFonts w:ascii="Arial" w:hAnsi="Arial" w:cs="Arial"/>
          <w:b/>
          <w:sz w:val="26"/>
          <w:szCs w:val="26"/>
        </w:rPr>
      </w:pPr>
      <w:r>
        <w:rPr>
          <w:rFonts w:ascii="Arial" w:hAnsi="Arial" w:cs="Arial"/>
          <w:b/>
          <w:sz w:val="26"/>
          <w:szCs w:val="26"/>
        </w:rPr>
        <w:t>_______________</w:t>
      </w:r>
    </w:p>
    <w:p w14:paraId="025FF6FB" w14:textId="20FD13E6" w:rsidR="0057684C" w:rsidRPr="00171F58" w:rsidRDefault="00370E10" w:rsidP="007B2E1B">
      <w:pPr>
        <w:jc w:val="both"/>
        <w:rPr>
          <w:rFonts w:ascii="Arial" w:hAnsi="Arial" w:cs="Arial"/>
          <w:b/>
          <w:sz w:val="26"/>
          <w:szCs w:val="26"/>
        </w:rPr>
      </w:pPr>
      <w:r w:rsidRPr="00171F58">
        <w:rPr>
          <w:rFonts w:ascii="Arial" w:hAnsi="Arial" w:cs="Arial"/>
          <w:b/>
          <w:sz w:val="26"/>
          <w:szCs w:val="26"/>
        </w:rPr>
        <w:lastRenderedPageBreak/>
        <w:t>N</w:t>
      </w:r>
      <w:r w:rsidR="005C1704" w:rsidRPr="00171F58">
        <w:rPr>
          <w:rFonts w:ascii="Arial" w:hAnsi="Arial" w:cs="Arial"/>
          <w:b/>
          <w:sz w:val="26"/>
          <w:szCs w:val="26"/>
        </w:rPr>
        <w:t xml:space="preserve"> </w:t>
      </w:r>
      <w:r w:rsidR="0057684C" w:rsidRPr="00171F58">
        <w:rPr>
          <w:rFonts w:ascii="Arial" w:hAnsi="Arial" w:cs="Arial"/>
          <w:b/>
          <w:sz w:val="26"/>
          <w:szCs w:val="26"/>
        </w:rPr>
        <w:t>G BESHE</w:t>
      </w:r>
    </w:p>
    <w:p w14:paraId="36929DBA" w14:textId="77777777" w:rsidR="00355F8B" w:rsidRPr="00171F58" w:rsidRDefault="0057684C" w:rsidP="007B2E1B">
      <w:pPr>
        <w:jc w:val="both"/>
        <w:rPr>
          <w:rFonts w:ascii="Arial" w:hAnsi="Arial" w:cs="Arial"/>
          <w:b/>
          <w:sz w:val="26"/>
          <w:szCs w:val="26"/>
        </w:rPr>
      </w:pPr>
      <w:r w:rsidRPr="00171F58">
        <w:rPr>
          <w:rFonts w:ascii="Arial" w:hAnsi="Arial" w:cs="Arial"/>
          <w:b/>
          <w:sz w:val="26"/>
          <w:szCs w:val="26"/>
        </w:rPr>
        <w:t>JUDGE OF THE HIGH COURT</w:t>
      </w:r>
    </w:p>
    <w:p w14:paraId="31E401E3" w14:textId="15254382" w:rsidR="004A5AB4" w:rsidRPr="00171F58" w:rsidRDefault="00171F58" w:rsidP="00B4275B">
      <w:pPr>
        <w:jc w:val="both"/>
        <w:rPr>
          <w:rFonts w:ascii="Arial" w:hAnsi="Arial" w:cs="Arial"/>
          <w:b/>
          <w:sz w:val="26"/>
          <w:szCs w:val="26"/>
          <w:lang w:val="en-ZA"/>
        </w:rPr>
      </w:pPr>
      <w:r w:rsidRPr="00171F58">
        <w:rPr>
          <w:rFonts w:ascii="Arial" w:hAnsi="Arial" w:cs="Arial"/>
          <w:b/>
          <w:sz w:val="26"/>
          <w:szCs w:val="26"/>
          <w:lang w:val="en-ZA"/>
        </w:rPr>
        <w:t>Rugunanan</w:t>
      </w:r>
      <w:r w:rsidR="001C45ED" w:rsidRPr="00171F58">
        <w:rPr>
          <w:rFonts w:ascii="Arial" w:hAnsi="Arial" w:cs="Arial"/>
          <w:b/>
          <w:sz w:val="26"/>
          <w:szCs w:val="26"/>
          <w:lang w:val="en-ZA"/>
        </w:rPr>
        <w:t xml:space="preserve"> J</w:t>
      </w:r>
    </w:p>
    <w:p w14:paraId="5DBD22F8" w14:textId="6A29D95C" w:rsidR="00171F58" w:rsidRPr="00171F58" w:rsidRDefault="00171F58" w:rsidP="00B4275B">
      <w:pPr>
        <w:jc w:val="both"/>
        <w:rPr>
          <w:rFonts w:ascii="Arial" w:hAnsi="Arial" w:cs="Arial"/>
          <w:b/>
          <w:sz w:val="26"/>
          <w:szCs w:val="26"/>
          <w:lang w:val="en-ZA"/>
        </w:rPr>
      </w:pPr>
    </w:p>
    <w:p w14:paraId="628487F5" w14:textId="657C1F6A" w:rsidR="00171F58" w:rsidRPr="00171F58" w:rsidRDefault="00171F58" w:rsidP="00B4275B">
      <w:pPr>
        <w:jc w:val="both"/>
        <w:rPr>
          <w:rFonts w:ascii="Arial" w:hAnsi="Arial" w:cs="Arial"/>
          <w:b/>
          <w:sz w:val="26"/>
          <w:szCs w:val="26"/>
          <w:lang w:val="en-ZA"/>
        </w:rPr>
      </w:pPr>
    </w:p>
    <w:p w14:paraId="65CE07D0" w14:textId="46629D3F" w:rsidR="00171F58" w:rsidRPr="00171F58" w:rsidRDefault="00171F58" w:rsidP="00B4275B">
      <w:pPr>
        <w:jc w:val="both"/>
        <w:rPr>
          <w:rFonts w:ascii="Arial" w:hAnsi="Arial" w:cs="Arial"/>
          <w:b/>
          <w:sz w:val="26"/>
          <w:szCs w:val="26"/>
          <w:lang w:val="en-ZA"/>
        </w:rPr>
      </w:pPr>
    </w:p>
    <w:p w14:paraId="50375825" w14:textId="2E93276F" w:rsidR="00171F58" w:rsidRPr="00171F58" w:rsidRDefault="00171F58" w:rsidP="00B4275B">
      <w:pPr>
        <w:jc w:val="both"/>
        <w:rPr>
          <w:rFonts w:ascii="Arial" w:hAnsi="Arial" w:cs="Arial"/>
          <w:b/>
          <w:sz w:val="26"/>
          <w:szCs w:val="26"/>
          <w:lang w:val="en-ZA"/>
        </w:rPr>
      </w:pPr>
      <w:r w:rsidRPr="00171F58">
        <w:rPr>
          <w:rFonts w:ascii="Arial" w:hAnsi="Arial" w:cs="Arial"/>
          <w:b/>
          <w:sz w:val="26"/>
          <w:szCs w:val="26"/>
          <w:lang w:val="en-ZA"/>
        </w:rPr>
        <w:t>I agree.</w:t>
      </w:r>
    </w:p>
    <w:p w14:paraId="5E5C950F" w14:textId="3BE63FFD" w:rsidR="00171F58" w:rsidRPr="00171F58" w:rsidRDefault="00171F58" w:rsidP="00B4275B">
      <w:pPr>
        <w:jc w:val="both"/>
        <w:rPr>
          <w:rFonts w:ascii="Arial" w:hAnsi="Arial" w:cs="Arial"/>
          <w:b/>
          <w:sz w:val="26"/>
          <w:szCs w:val="26"/>
          <w:lang w:val="en-ZA"/>
        </w:rPr>
      </w:pPr>
    </w:p>
    <w:p w14:paraId="0B31A674" w14:textId="278CAFFF" w:rsidR="00171F58" w:rsidRDefault="00171F58" w:rsidP="00B4275B">
      <w:pPr>
        <w:jc w:val="both"/>
        <w:rPr>
          <w:rFonts w:ascii="Arial" w:hAnsi="Arial" w:cs="Arial"/>
          <w:b/>
          <w:sz w:val="26"/>
          <w:szCs w:val="26"/>
          <w:u w:val="single"/>
          <w:lang w:val="en-ZA"/>
        </w:rPr>
      </w:pPr>
    </w:p>
    <w:p w14:paraId="5B4893BD" w14:textId="77777777" w:rsidR="00171F58" w:rsidRPr="00171F58" w:rsidRDefault="00171F58" w:rsidP="00B4275B">
      <w:pPr>
        <w:jc w:val="both"/>
        <w:rPr>
          <w:rFonts w:ascii="Arial" w:hAnsi="Arial" w:cs="Arial"/>
          <w:b/>
          <w:sz w:val="26"/>
          <w:szCs w:val="26"/>
          <w:u w:val="single"/>
          <w:lang w:val="en-ZA"/>
        </w:rPr>
      </w:pPr>
    </w:p>
    <w:p w14:paraId="73C5AEF9" w14:textId="4981D6B7" w:rsidR="00171F58" w:rsidRPr="00171F58" w:rsidRDefault="00171F58" w:rsidP="00B4275B">
      <w:pPr>
        <w:jc w:val="both"/>
        <w:rPr>
          <w:rFonts w:ascii="Arial" w:hAnsi="Arial" w:cs="Arial"/>
          <w:b/>
          <w:sz w:val="26"/>
          <w:szCs w:val="26"/>
          <w:u w:val="single"/>
          <w:lang w:val="en-ZA"/>
        </w:rPr>
      </w:pPr>
      <w:r>
        <w:rPr>
          <w:rFonts w:ascii="Arial" w:hAnsi="Arial" w:cs="Arial"/>
          <w:b/>
          <w:sz w:val="26"/>
          <w:szCs w:val="26"/>
          <w:u w:val="single"/>
          <w:lang w:val="en-ZA"/>
        </w:rPr>
        <w:softHyphen/>
      </w:r>
      <w:r>
        <w:rPr>
          <w:rFonts w:ascii="Arial" w:hAnsi="Arial" w:cs="Arial"/>
          <w:b/>
          <w:sz w:val="26"/>
          <w:szCs w:val="26"/>
          <w:u w:val="single"/>
          <w:lang w:val="en-ZA"/>
        </w:rPr>
        <w:softHyphen/>
      </w:r>
      <w:r>
        <w:rPr>
          <w:rFonts w:ascii="Arial" w:hAnsi="Arial" w:cs="Arial"/>
          <w:b/>
          <w:sz w:val="26"/>
          <w:szCs w:val="26"/>
          <w:u w:val="single"/>
          <w:lang w:val="en-ZA"/>
        </w:rPr>
        <w:softHyphen/>
        <w:t>_______________</w:t>
      </w:r>
    </w:p>
    <w:p w14:paraId="53C6F0E2" w14:textId="7D3BC54C" w:rsidR="00171F58" w:rsidRPr="00171F58" w:rsidRDefault="001C45ED" w:rsidP="00B4275B">
      <w:pPr>
        <w:jc w:val="both"/>
        <w:rPr>
          <w:rFonts w:ascii="Arial" w:hAnsi="Arial" w:cs="Arial"/>
          <w:b/>
          <w:sz w:val="26"/>
          <w:szCs w:val="26"/>
          <w:lang w:val="en-ZA"/>
        </w:rPr>
      </w:pPr>
      <w:r>
        <w:rPr>
          <w:rFonts w:ascii="Arial" w:hAnsi="Arial" w:cs="Arial"/>
          <w:b/>
          <w:sz w:val="26"/>
          <w:szCs w:val="26"/>
          <w:lang w:val="en-ZA"/>
        </w:rPr>
        <w:t xml:space="preserve">M </w:t>
      </w:r>
      <w:r w:rsidR="00171F58" w:rsidRPr="00171F58">
        <w:rPr>
          <w:rFonts w:ascii="Arial" w:hAnsi="Arial" w:cs="Arial"/>
          <w:b/>
          <w:sz w:val="26"/>
          <w:szCs w:val="26"/>
          <w:lang w:val="en-ZA"/>
        </w:rPr>
        <w:t>S RUGUNANAN</w:t>
      </w:r>
    </w:p>
    <w:p w14:paraId="6D49CC25" w14:textId="21F5AA9C" w:rsidR="004A5AB4" w:rsidRDefault="00171F58" w:rsidP="00B4275B">
      <w:pPr>
        <w:jc w:val="both"/>
        <w:rPr>
          <w:rFonts w:ascii="Arial" w:hAnsi="Arial" w:cs="Arial"/>
          <w:b/>
          <w:sz w:val="26"/>
          <w:szCs w:val="26"/>
          <w:lang w:val="en-ZA"/>
        </w:rPr>
      </w:pPr>
      <w:r w:rsidRPr="00171F58">
        <w:rPr>
          <w:rFonts w:ascii="Arial" w:hAnsi="Arial" w:cs="Arial"/>
          <w:b/>
          <w:sz w:val="26"/>
          <w:szCs w:val="26"/>
          <w:lang w:val="en-ZA"/>
        </w:rPr>
        <w:t>JUDGE OF THE HIGH COURT</w:t>
      </w:r>
    </w:p>
    <w:p w14:paraId="689EDAF1" w14:textId="77777777" w:rsidR="00171F58" w:rsidRDefault="00171F58" w:rsidP="00B4275B">
      <w:pPr>
        <w:jc w:val="both"/>
        <w:rPr>
          <w:b/>
          <w:sz w:val="22"/>
          <w:szCs w:val="22"/>
          <w:u w:val="single"/>
          <w:lang w:val="en-ZA"/>
        </w:rPr>
      </w:pPr>
    </w:p>
    <w:p w14:paraId="6970901E" w14:textId="77777777" w:rsidR="004A5AB4" w:rsidRDefault="004A5AB4" w:rsidP="00B4275B">
      <w:pPr>
        <w:jc w:val="both"/>
        <w:rPr>
          <w:b/>
          <w:sz w:val="22"/>
          <w:szCs w:val="22"/>
          <w:u w:val="single"/>
          <w:lang w:val="en-ZA"/>
        </w:rPr>
      </w:pPr>
    </w:p>
    <w:p w14:paraId="0DD5FB82" w14:textId="77777777" w:rsidR="004A5AB4" w:rsidRDefault="004A5AB4" w:rsidP="00B4275B">
      <w:pPr>
        <w:jc w:val="both"/>
        <w:rPr>
          <w:b/>
          <w:sz w:val="22"/>
          <w:szCs w:val="22"/>
          <w:u w:val="single"/>
          <w:lang w:val="en-ZA"/>
        </w:rPr>
      </w:pPr>
    </w:p>
    <w:p w14:paraId="12299B75" w14:textId="77777777" w:rsidR="004A5AB4" w:rsidRDefault="004A5AB4" w:rsidP="00B4275B">
      <w:pPr>
        <w:jc w:val="both"/>
        <w:rPr>
          <w:b/>
          <w:sz w:val="22"/>
          <w:szCs w:val="22"/>
          <w:u w:val="single"/>
          <w:lang w:val="en-ZA"/>
        </w:rPr>
      </w:pPr>
    </w:p>
    <w:p w14:paraId="2C527DBC" w14:textId="77777777" w:rsidR="00100C66" w:rsidRDefault="00100C66" w:rsidP="00B4275B">
      <w:pPr>
        <w:jc w:val="both"/>
        <w:rPr>
          <w:b/>
          <w:sz w:val="22"/>
          <w:szCs w:val="22"/>
          <w:u w:val="single"/>
          <w:lang w:val="en-ZA"/>
        </w:rPr>
      </w:pPr>
      <w:bookmarkStart w:id="1" w:name="_GoBack"/>
      <w:bookmarkEnd w:id="1"/>
    </w:p>
    <w:p w14:paraId="43A68942" w14:textId="77777777" w:rsidR="00100C66" w:rsidRDefault="00100C66" w:rsidP="00B4275B">
      <w:pPr>
        <w:jc w:val="both"/>
        <w:rPr>
          <w:b/>
          <w:sz w:val="22"/>
          <w:szCs w:val="22"/>
          <w:u w:val="single"/>
          <w:lang w:val="en-ZA"/>
        </w:rPr>
      </w:pPr>
    </w:p>
    <w:p w14:paraId="673354E5" w14:textId="58A16B84" w:rsidR="00B4275B" w:rsidRPr="00B4275B" w:rsidRDefault="00B4275B" w:rsidP="00B4275B">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B4275B">
      <w:pPr>
        <w:spacing w:line="360" w:lineRule="auto"/>
        <w:jc w:val="both"/>
        <w:rPr>
          <w:sz w:val="22"/>
          <w:szCs w:val="22"/>
          <w:lang w:val="en-ZA"/>
        </w:rPr>
      </w:pPr>
    </w:p>
    <w:p w14:paraId="1889A20A" w14:textId="40CC23D6"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292024">
        <w:rPr>
          <w:sz w:val="22"/>
          <w:szCs w:val="22"/>
          <w:lang w:val="en-ZA"/>
        </w:rPr>
        <w:t>Appellant</w:t>
      </w:r>
      <w:r w:rsidR="00470CD7">
        <w:rPr>
          <w:sz w:val="22"/>
          <w:szCs w:val="22"/>
          <w:lang w:val="en-ZA"/>
        </w:rPr>
        <w:t xml:space="preserve"> </w:t>
      </w:r>
      <w:r w:rsidR="00F45C84">
        <w:rPr>
          <w:sz w:val="22"/>
          <w:szCs w:val="22"/>
          <w:lang w:val="en-ZA"/>
        </w:rPr>
        <w:tab/>
      </w:r>
      <w:r w:rsidRPr="00B4275B">
        <w:rPr>
          <w:sz w:val="22"/>
          <w:szCs w:val="22"/>
          <w:lang w:val="en-ZA"/>
        </w:rPr>
        <w:t xml:space="preserve">: </w:t>
      </w:r>
      <w:r w:rsidR="00D64129">
        <w:rPr>
          <w:sz w:val="22"/>
          <w:szCs w:val="22"/>
          <w:lang w:val="en-ZA"/>
        </w:rPr>
        <w:tab/>
      </w:r>
      <w:r w:rsidR="001A2EC1">
        <w:rPr>
          <w:sz w:val="22"/>
          <w:szCs w:val="22"/>
          <w:lang w:val="en-ZA"/>
        </w:rPr>
        <w:t>Adv: Madukuda</w:t>
      </w:r>
      <w:r w:rsidR="000C560F">
        <w:rPr>
          <w:sz w:val="22"/>
          <w:szCs w:val="22"/>
          <w:lang w:val="en-ZA"/>
        </w:rPr>
        <w:t xml:space="preserve"> </w:t>
      </w:r>
    </w:p>
    <w:p w14:paraId="7E3B9535" w14:textId="79E376F9" w:rsidR="00CF26AD" w:rsidRDefault="00B4275B" w:rsidP="00CF26AD">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00470CD7">
        <w:rPr>
          <w:sz w:val="22"/>
          <w:szCs w:val="22"/>
          <w:lang w:val="en-ZA"/>
        </w:rPr>
        <w:tab/>
      </w:r>
      <w:r w:rsidRPr="00B4275B">
        <w:rPr>
          <w:sz w:val="22"/>
          <w:szCs w:val="22"/>
          <w:lang w:val="en-ZA"/>
        </w:rPr>
        <w:t>:</w:t>
      </w:r>
      <w:r w:rsidRPr="00B4275B">
        <w:rPr>
          <w:sz w:val="22"/>
          <w:szCs w:val="22"/>
          <w:lang w:val="en-ZA"/>
        </w:rPr>
        <w:tab/>
      </w:r>
      <w:r w:rsidR="00292024">
        <w:rPr>
          <w:sz w:val="22"/>
          <w:szCs w:val="22"/>
          <w:lang w:val="en-ZA"/>
        </w:rPr>
        <w:t>S J SKOSANA</w:t>
      </w:r>
      <w:r w:rsidR="00026917">
        <w:rPr>
          <w:sz w:val="22"/>
          <w:szCs w:val="22"/>
          <w:lang w:val="en-ZA"/>
        </w:rPr>
        <w:t xml:space="preserve"> ATT</w:t>
      </w:r>
      <w:r w:rsidR="00E94A34">
        <w:rPr>
          <w:sz w:val="22"/>
          <w:szCs w:val="22"/>
          <w:lang w:val="en-ZA"/>
        </w:rPr>
        <w:t>O</w:t>
      </w:r>
      <w:r w:rsidR="00026917">
        <w:rPr>
          <w:sz w:val="22"/>
          <w:szCs w:val="22"/>
          <w:lang w:val="en-ZA"/>
        </w:rPr>
        <w:t>RNEYS</w:t>
      </w:r>
    </w:p>
    <w:p w14:paraId="2130032F" w14:textId="59DA7A1C" w:rsidR="005C2563" w:rsidRPr="00F958F1" w:rsidRDefault="00CF26AD" w:rsidP="00CF26AD">
      <w:pPr>
        <w:spacing w:line="360" w:lineRule="auto"/>
        <w:ind w:left="2160" w:firstLine="720"/>
        <w:jc w:val="both"/>
        <w:rPr>
          <w:sz w:val="22"/>
          <w:szCs w:val="22"/>
          <w:lang w:val="en-ZA"/>
        </w:rPr>
      </w:pPr>
      <w:r>
        <w:rPr>
          <w:sz w:val="22"/>
          <w:szCs w:val="22"/>
          <w:lang w:val="en-ZA"/>
        </w:rPr>
        <w:t xml:space="preserve">C/o </w:t>
      </w:r>
      <w:r w:rsidR="00026917">
        <w:rPr>
          <w:sz w:val="22"/>
          <w:szCs w:val="22"/>
          <w:lang w:val="en-ZA"/>
        </w:rPr>
        <w:t>MGANGATHO</w:t>
      </w:r>
      <w:r>
        <w:rPr>
          <w:sz w:val="22"/>
          <w:szCs w:val="22"/>
          <w:lang w:val="en-ZA"/>
        </w:rPr>
        <w:t xml:space="preserve"> ATTORNEYS</w:t>
      </w:r>
    </w:p>
    <w:p w14:paraId="7C90A893" w14:textId="1B4414BD" w:rsidR="008C325E" w:rsidRDefault="00026917" w:rsidP="00CF26AD">
      <w:pPr>
        <w:spacing w:line="360" w:lineRule="auto"/>
        <w:ind w:left="2160" w:firstLine="720"/>
        <w:jc w:val="both"/>
        <w:rPr>
          <w:sz w:val="22"/>
          <w:szCs w:val="22"/>
          <w:lang w:val="en-ZA"/>
        </w:rPr>
      </w:pPr>
      <w:r>
        <w:rPr>
          <w:sz w:val="22"/>
          <w:szCs w:val="22"/>
          <w:lang w:val="en-ZA"/>
        </w:rPr>
        <w:t>7 Somerset Street</w:t>
      </w:r>
    </w:p>
    <w:p w14:paraId="071ABFC0" w14:textId="7AA370F6" w:rsidR="00B43D11"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E758A">
        <w:rPr>
          <w:sz w:val="22"/>
          <w:szCs w:val="22"/>
          <w:lang w:val="en-ZA"/>
        </w:rPr>
        <w:t>MAKHANDA</w:t>
      </w:r>
    </w:p>
    <w:p w14:paraId="283ACC0B" w14:textId="52236D3E"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CF26AD">
        <w:rPr>
          <w:sz w:val="22"/>
          <w:szCs w:val="22"/>
          <w:lang w:val="en-ZA"/>
        </w:rPr>
        <w:t xml:space="preserve">Mr. </w:t>
      </w:r>
      <w:r w:rsidR="00026917">
        <w:rPr>
          <w:sz w:val="22"/>
          <w:szCs w:val="22"/>
          <w:lang w:val="en-ZA"/>
        </w:rPr>
        <w:t xml:space="preserve">Mgangatho </w:t>
      </w:r>
    </w:p>
    <w:p w14:paraId="72B28AAC" w14:textId="3275C5E8"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sidR="00CF26AD">
        <w:rPr>
          <w:sz w:val="22"/>
          <w:szCs w:val="22"/>
          <w:lang w:val="en-ZA"/>
        </w:rPr>
        <w:tab/>
      </w:r>
      <w:r>
        <w:rPr>
          <w:sz w:val="22"/>
          <w:szCs w:val="22"/>
          <w:lang w:val="en-ZA"/>
        </w:rPr>
        <w:t xml:space="preserve">Tel.: </w:t>
      </w:r>
      <w:r w:rsidR="00071D1B">
        <w:rPr>
          <w:sz w:val="22"/>
          <w:szCs w:val="22"/>
          <w:lang w:val="en-ZA"/>
        </w:rPr>
        <w:t>073 761 77</w:t>
      </w:r>
      <w:r w:rsidR="00026917">
        <w:rPr>
          <w:sz w:val="22"/>
          <w:szCs w:val="22"/>
          <w:lang w:val="en-ZA"/>
        </w:rPr>
        <w:t>51</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28C5E9C4" w14:textId="51D855FD" w:rsidR="00CF26AD" w:rsidRDefault="000C560F" w:rsidP="009E2E37">
      <w:pPr>
        <w:spacing w:line="360" w:lineRule="auto"/>
        <w:jc w:val="both"/>
        <w:rPr>
          <w:sz w:val="22"/>
          <w:szCs w:val="22"/>
          <w:lang w:val="en-ZA"/>
        </w:rPr>
      </w:pPr>
      <w:r>
        <w:rPr>
          <w:sz w:val="22"/>
          <w:szCs w:val="22"/>
          <w:lang w:val="en-ZA"/>
        </w:rPr>
        <w:t>For the</w:t>
      </w:r>
      <w:r w:rsidR="009C2B95">
        <w:rPr>
          <w:sz w:val="22"/>
          <w:szCs w:val="22"/>
          <w:lang w:val="en-ZA"/>
        </w:rPr>
        <w:t xml:space="preserve"> </w:t>
      </w:r>
      <w:r w:rsidR="006E758A">
        <w:rPr>
          <w:sz w:val="22"/>
          <w:szCs w:val="22"/>
          <w:lang w:val="en-ZA"/>
        </w:rPr>
        <w:t>Respondent</w:t>
      </w:r>
      <w:r w:rsidR="00370E10">
        <w:rPr>
          <w:sz w:val="22"/>
          <w:szCs w:val="22"/>
          <w:lang w:val="en-ZA"/>
        </w:rPr>
        <w:tab/>
        <w:t>:</w:t>
      </w:r>
      <w:r w:rsidR="00370E10">
        <w:rPr>
          <w:sz w:val="22"/>
          <w:szCs w:val="22"/>
          <w:lang w:val="en-ZA"/>
        </w:rPr>
        <w:tab/>
      </w:r>
      <w:r w:rsidR="00026917">
        <w:rPr>
          <w:sz w:val="22"/>
          <w:szCs w:val="22"/>
          <w:lang w:val="en-ZA"/>
        </w:rPr>
        <w:t xml:space="preserve"> </w:t>
      </w:r>
      <w:r w:rsidR="001A2EC1">
        <w:rPr>
          <w:sz w:val="22"/>
          <w:szCs w:val="22"/>
          <w:lang w:val="en-ZA"/>
        </w:rPr>
        <w:t>No Appearaces.</w:t>
      </w:r>
    </w:p>
    <w:p w14:paraId="58404966" w14:textId="2A9D0AED" w:rsidR="00B43D11" w:rsidRDefault="00D64129" w:rsidP="00CF26AD">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F735A6">
        <w:rPr>
          <w:sz w:val="22"/>
          <w:szCs w:val="22"/>
          <w:lang w:val="en-ZA"/>
        </w:rPr>
        <w:t>NIEHAUS McMAHON INC.</w:t>
      </w:r>
    </w:p>
    <w:p w14:paraId="24A5496C" w14:textId="1E2BA8FB" w:rsidR="008C0B69" w:rsidRDefault="00B43D11" w:rsidP="00F45C84">
      <w:pPr>
        <w:spacing w:line="360" w:lineRule="auto"/>
        <w:jc w:val="both"/>
        <w:rPr>
          <w:sz w:val="22"/>
          <w:szCs w:val="22"/>
          <w:lang w:val="en-ZA"/>
        </w:rPr>
      </w:pPr>
      <w:r>
        <w:rPr>
          <w:sz w:val="22"/>
          <w:szCs w:val="22"/>
          <w:lang w:val="en-ZA"/>
        </w:rPr>
        <w:tab/>
      </w:r>
      <w:r>
        <w:rPr>
          <w:sz w:val="22"/>
          <w:szCs w:val="22"/>
          <w:lang w:val="en-ZA"/>
        </w:rPr>
        <w:tab/>
      </w:r>
      <w:r w:rsidR="006E758A">
        <w:rPr>
          <w:sz w:val="22"/>
          <w:szCs w:val="22"/>
          <w:lang w:val="en-ZA"/>
        </w:rPr>
        <w:tab/>
      </w:r>
      <w:r>
        <w:rPr>
          <w:sz w:val="22"/>
          <w:szCs w:val="22"/>
          <w:lang w:val="en-ZA"/>
        </w:rPr>
        <w:tab/>
      </w:r>
      <w:r w:rsidR="00026917">
        <w:rPr>
          <w:sz w:val="22"/>
          <w:szCs w:val="22"/>
          <w:lang w:val="en-ZA"/>
        </w:rPr>
        <w:t>C/o YOKWANA ATTORNEYS</w:t>
      </w:r>
    </w:p>
    <w:p w14:paraId="5ACE96F9" w14:textId="735BF2DA" w:rsidR="00B43D11" w:rsidRDefault="00026917" w:rsidP="008C0B69">
      <w:pPr>
        <w:spacing w:line="360" w:lineRule="auto"/>
        <w:ind w:left="2160" w:firstLine="720"/>
        <w:jc w:val="both"/>
        <w:rPr>
          <w:sz w:val="22"/>
          <w:szCs w:val="22"/>
          <w:lang w:val="en-ZA"/>
        </w:rPr>
      </w:pPr>
      <w:r>
        <w:rPr>
          <w:sz w:val="22"/>
          <w:szCs w:val="22"/>
          <w:lang w:val="en-ZA"/>
        </w:rPr>
        <w:t>10 New Street</w:t>
      </w:r>
    </w:p>
    <w:p w14:paraId="2959DEF7" w14:textId="1A139610" w:rsidR="00B43D11" w:rsidRDefault="006E758A" w:rsidP="00B43D11">
      <w:pPr>
        <w:spacing w:line="360" w:lineRule="auto"/>
        <w:jc w:val="both"/>
        <w:rPr>
          <w:sz w:val="22"/>
          <w:szCs w:val="22"/>
          <w:lang w:val="en-ZA"/>
        </w:rPr>
      </w:pPr>
      <w:r>
        <w:rPr>
          <w:sz w:val="22"/>
          <w:szCs w:val="22"/>
          <w:lang w:val="en-ZA"/>
        </w:rPr>
        <w:tab/>
      </w:r>
      <w:r>
        <w:rPr>
          <w:sz w:val="22"/>
          <w:szCs w:val="22"/>
          <w:lang w:val="en-ZA"/>
        </w:rPr>
        <w:tab/>
      </w:r>
      <w:r w:rsidR="00B43D11">
        <w:rPr>
          <w:sz w:val="22"/>
          <w:szCs w:val="22"/>
          <w:lang w:val="en-ZA"/>
        </w:rPr>
        <w:tab/>
      </w:r>
      <w:r w:rsidR="00B43D11">
        <w:rPr>
          <w:sz w:val="22"/>
          <w:szCs w:val="22"/>
          <w:lang w:val="en-ZA"/>
        </w:rPr>
        <w:tab/>
      </w:r>
      <w:r w:rsidR="00026917">
        <w:rPr>
          <w:sz w:val="22"/>
          <w:szCs w:val="22"/>
          <w:lang w:val="en-ZA"/>
        </w:rPr>
        <w:t>MAKHANDA</w:t>
      </w:r>
    </w:p>
    <w:p w14:paraId="77CB6BF7" w14:textId="2CE4BD44"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6E758A">
        <w:rPr>
          <w:sz w:val="22"/>
          <w:szCs w:val="22"/>
          <w:lang w:val="en-ZA"/>
        </w:rPr>
        <w:tab/>
      </w:r>
      <w:r>
        <w:rPr>
          <w:sz w:val="22"/>
          <w:szCs w:val="22"/>
          <w:lang w:val="en-ZA"/>
        </w:rPr>
        <w:t xml:space="preserve">Ref: </w:t>
      </w:r>
      <w:r w:rsidR="00026917">
        <w:rPr>
          <w:sz w:val="22"/>
          <w:szCs w:val="22"/>
          <w:lang w:val="en-ZA"/>
        </w:rPr>
        <w:t>Mr Yokwana</w:t>
      </w:r>
    </w:p>
    <w:p w14:paraId="6EC65514" w14:textId="7FCD18E0"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026917">
        <w:rPr>
          <w:sz w:val="22"/>
          <w:szCs w:val="22"/>
          <w:lang w:val="en-ZA"/>
        </w:rPr>
        <w:t>046 – 622 9928</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6979B521" w:rsidR="00B4275B" w:rsidRPr="00B4275B" w:rsidRDefault="00B4275B" w:rsidP="00B4275B">
      <w:pPr>
        <w:spacing w:line="360" w:lineRule="auto"/>
        <w:jc w:val="both"/>
        <w:rPr>
          <w:sz w:val="22"/>
          <w:szCs w:val="22"/>
          <w:lang w:val="en-ZA"/>
        </w:rPr>
      </w:pPr>
      <w:r w:rsidRPr="00B4275B">
        <w:rPr>
          <w:sz w:val="22"/>
          <w:szCs w:val="22"/>
          <w:lang w:val="en-ZA"/>
        </w:rPr>
        <w:t>Date Heard</w:t>
      </w:r>
      <w:r w:rsidR="006E758A">
        <w:rPr>
          <w:sz w:val="22"/>
          <w:szCs w:val="22"/>
          <w:lang w:val="en-ZA"/>
        </w:rPr>
        <w:tab/>
      </w:r>
      <w:r w:rsidR="006E758A">
        <w:rPr>
          <w:sz w:val="22"/>
          <w:szCs w:val="22"/>
          <w:lang w:val="en-ZA"/>
        </w:rPr>
        <w:tab/>
      </w:r>
      <w:r w:rsidRPr="00B4275B">
        <w:rPr>
          <w:sz w:val="22"/>
          <w:szCs w:val="22"/>
          <w:lang w:val="en-ZA"/>
        </w:rPr>
        <w:t>:</w:t>
      </w:r>
      <w:r w:rsidR="00D64129">
        <w:rPr>
          <w:sz w:val="22"/>
          <w:szCs w:val="22"/>
          <w:lang w:val="en-ZA"/>
        </w:rPr>
        <w:tab/>
      </w:r>
      <w:r w:rsidR="001A2EC1">
        <w:rPr>
          <w:sz w:val="22"/>
          <w:szCs w:val="22"/>
          <w:lang w:val="en-ZA"/>
        </w:rPr>
        <w:t>3 March 2023</w:t>
      </w:r>
    </w:p>
    <w:p w14:paraId="577576AC" w14:textId="38B6B4C0"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1A2EC1">
        <w:rPr>
          <w:sz w:val="22"/>
          <w:szCs w:val="22"/>
          <w:lang w:val="en-ZA"/>
        </w:rPr>
        <w:t>3 March 2023</w:t>
      </w:r>
    </w:p>
    <w:p w14:paraId="241326FA" w14:textId="5AEFB2D2" w:rsidR="00B4275B" w:rsidRDefault="00B4275B" w:rsidP="00C64BA1">
      <w:pPr>
        <w:spacing w:line="360" w:lineRule="auto"/>
        <w:jc w:val="both"/>
        <w:rPr>
          <w:bCs/>
          <w:sz w:val="22"/>
          <w:szCs w:val="22"/>
          <w:lang w:val="en-ZA"/>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1A2EC1">
        <w:rPr>
          <w:bCs/>
          <w:sz w:val="22"/>
          <w:szCs w:val="22"/>
          <w:lang w:val="en-ZA"/>
        </w:rPr>
        <w:t>22 March 2023</w:t>
      </w:r>
      <w:r w:rsidR="00D64129" w:rsidRPr="004A3DC7">
        <w:rPr>
          <w:bCs/>
          <w:sz w:val="22"/>
          <w:szCs w:val="22"/>
          <w:lang w:val="en-ZA"/>
        </w:rPr>
        <w:t xml:space="preserve"> </w:t>
      </w:r>
    </w:p>
    <w:p w14:paraId="18927691" w14:textId="0B9831EF" w:rsidR="003A1577" w:rsidRDefault="003A1577" w:rsidP="00C64BA1">
      <w:pPr>
        <w:spacing w:line="360" w:lineRule="auto"/>
        <w:jc w:val="both"/>
        <w:rPr>
          <w:bCs/>
          <w:sz w:val="22"/>
          <w:szCs w:val="22"/>
          <w:lang w:val="en-ZA"/>
        </w:rPr>
      </w:pPr>
    </w:p>
    <w:p w14:paraId="68C0447C" w14:textId="3A45031B" w:rsidR="003A1577" w:rsidRDefault="003A1577" w:rsidP="00C64BA1">
      <w:pPr>
        <w:spacing w:line="360" w:lineRule="auto"/>
        <w:jc w:val="both"/>
        <w:rPr>
          <w:bCs/>
          <w:sz w:val="22"/>
          <w:szCs w:val="22"/>
          <w:lang w:val="en-ZA"/>
        </w:rPr>
      </w:pPr>
    </w:p>
    <w:p w14:paraId="04950651" w14:textId="0813EFC0" w:rsidR="003A1577" w:rsidRDefault="003A1577" w:rsidP="00C64BA1">
      <w:pPr>
        <w:spacing w:line="360" w:lineRule="auto"/>
        <w:jc w:val="both"/>
        <w:rPr>
          <w:bCs/>
          <w:sz w:val="22"/>
          <w:szCs w:val="22"/>
          <w:lang w:val="en-ZA"/>
        </w:rPr>
      </w:pPr>
    </w:p>
    <w:p w14:paraId="2784A125" w14:textId="045BC18A" w:rsidR="003A1577" w:rsidRPr="006D61CF" w:rsidRDefault="003A1577" w:rsidP="003A1577">
      <w:pPr>
        <w:spacing w:line="360" w:lineRule="auto"/>
        <w:jc w:val="both"/>
        <w:rPr>
          <w:rFonts w:ascii="Arial" w:hAnsi="Arial" w:cs="Arial"/>
          <w:b/>
          <w:sz w:val="28"/>
          <w:szCs w:val="28"/>
        </w:rPr>
      </w:pPr>
      <w:r>
        <w:rPr>
          <w:b/>
          <w:bCs/>
          <w:sz w:val="28"/>
          <w:szCs w:val="28"/>
          <w:lang w:val="en-ZA"/>
        </w:rPr>
        <w:t xml:space="preserve"> </w:t>
      </w:r>
    </w:p>
    <w:p w14:paraId="7FE15909" w14:textId="77777777" w:rsidR="003A1577" w:rsidRPr="004A3DC7" w:rsidRDefault="003A1577" w:rsidP="00C64BA1">
      <w:pPr>
        <w:spacing w:line="360" w:lineRule="auto"/>
        <w:jc w:val="both"/>
        <w:rPr>
          <w:rFonts w:ascii="Arial" w:hAnsi="Arial" w:cs="Arial"/>
          <w:b/>
          <w:sz w:val="22"/>
          <w:szCs w:val="22"/>
        </w:rPr>
      </w:pPr>
    </w:p>
    <w:sectPr w:rsidR="003A1577"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7F73B" w14:textId="77777777" w:rsidR="006605E5" w:rsidRDefault="006605E5" w:rsidP="000710A7">
      <w:r>
        <w:separator/>
      </w:r>
    </w:p>
  </w:endnote>
  <w:endnote w:type="continuationSeparator" w:id="0">
    <w:p w14:paraId="61D9BDDA" w14:textId="77777777" w:rsidR="006605E5" w:rsidRDefault="006605E5"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5091" w14:textId="77777777" w:rsidR="006605E5" w:rsidRDefault="006605E5" w:rsidP="000710A7">
      <w:r>
        <w:separator/>
      </w:r>
    </w:p>
  </w:footnote>
  <w:footnote w:type="continuationSeparator" w:id="0">
    <w:p w14:paraId="79F0BEB1" w14:textId="77777777" w:rsidR="006605E5" w:rsidRDefault="006605E5" w:rsidP="000710A7">
      <w:r>
        <w:continuationSeparator/>
      </w:r>
    </w:p>
  </w:footnote>
  <w:footnote w:id="1">
    <w:p w14:paraId="2CBBF0B0" w14:textId="04A0C33B" w:rsidR="00DD3A8F" w:rsidRPr="00DD3A8F" w:rsidRDefault="00DD3A8F">
      <w:pPr>
        <w:pStyle w:val="FootnoteText"/>
        <w:rPr>
          <w:lang w:val="en-US"/>
        </w:rPr>
      </w:pPr>
      <w:r>
        <w:rPr>
          <w:rStyle w:val="FootnoteReference"/>
        </w:rPr>
        <w:footnoteRef/>
      </w:r>
      <w:r>
        <w:t xml:space="preserve"> </w:t>
      </w:r>
      <w:r>
        <w:rPr>
          <w:lang w:val="en-US"/>
        </w:rPr>
        <w:t>Keyter v Van Der Meulen 2014 (5) SA 215 ECG at 217 paragraph [10].</w:t>
      </w:r>
    </w:p>
  </w:footnote>
  <w:footnote w:id="2">
    <w:p w14:paraId="2A22AF27" w14:textId="6C45A6FA" w:rsidR="00243114" w:rsidRDefault="00243114">
      <w:pPr>
        <w:pStyle w:val="FootnoteText"/>
      </w:pPr>
      <w:r>
        <w:rPr>
          <w:rStyle w:val="FootnoteReference"/>
        </w:rPr>
        <w:footnoteRef/>
      </w:r>
      <w:r>
        <w:t xml:space="preserve"> Paragraph 43 of appellant’s heads of argument.</w:t>
      </w:r>
    </w:p>
  </w:footnote>
  <w:footnote w:id="3">
    <w:p w14:paraId="749720F4" w14:textId="7A99966F" w:rsidR="00807FF8" w:rsidRDefault="00807FF8">
      <w:pPr>
        <w:pStyle w:val="FootnoteText"/>
      </w:pPr>
      <w:r>
        <w:rPr>
          <w:rStyle w:val="FootnoteReference"/>
        </w:rPr>
        <w:footnoteRef/>
      </w:r>
      <w:r>
        <w:t xml:space="preserve"> 2012 (6) SA 329 SCA at paragraph 19 F.</w:t>
      </w:r>
    </w:p>
  </w:footnote>
  <w:footnote w:id="4">
    <w:p w14:paraId="502F69AF" w14:textId="2EC3F60F" w:rsidR="00807FF8" w:rsidRDefault="00807FF8">
      <w:pPr>
        <w:pStyle w:val="FootnoteText"/>
      </w:pPr>
      <w:r>
        <w:rPr>
          <w:rStyle w:val="FootnoteReference"/>
        </w:rPr>
        <w:footnoteRef/>
      </w:r>
      <w:r>
        <w:t xml:space="preserve"> 1973 (2) SA 240 SCA at 245 E-F.</w:t>
      </w:r>
    </w:p>
  </w:footnote>
  <w:footnote w:id="5">
    <w:p w14:paraId="68B399A7" w14:textId="32121F54" w:rsidR="007C3CE0" w:rsidRDefault="007C3CE0">
      <w:pPr>
        <w:pStyle w:val="FootnoteText"/>
      </w:pPr>
      <w:r>
        <w:rPr>
          <w:rStyle w:val="FootnoteReference"/>
        </w:rPr>
        <w:footnoteRef/>
      </w:r>
      <w:r>
        <w:t xml:space="preserve"> 2013 (6) SA 499 SCA at 507 [19].</w:t>
      </w:r>
    </w:p>
  </w:footnote>
  <w:footnote w:id="6">
    <w:p w14:paraId="246993E5" w14:textId="7C57328D" w:rsidR="005E7024" w:rsidRPr="005E7024" w:rsidRDefault="005E7024">
      <w:pPr>
        <w:pStyle w:val="FootnoteText"/>
      </w:pPr>
      <w:r>
        <w:rPr>
          <w:rStyle w:val="FootnoteReference"/>
        </w:rPr>
        <w:footnoteRef/>
      </w:r>
      <w:r>
        <w:t xml:space="preserve"> Caesarstone </w:t>
      </w:r>
      <w:r>
        <w:rPr>
          <w:i/>
        </w:rPr>
        <w:t>supra</w:t>
      </w:r>
      <w:r>
        <w:t xml:space="preserve"> at paragraph [21].</w:t>
      </w:r>
    </w:p>
  </w:footnote>
  <w:footnote w:id="7">
    <w:p w14:paraId="55C6EFAF" w14:textId="0866E3D6" w:rsidR="0037579B" w:rsidRDefault="0037579B">
      <w:pPr>
        <w:pStyle w:val="FootnoteText"/>
      </w:pPr>
      <w:r>
        <w:rPr>
          <w:rStyle w:val="FootnoteReference"/>
        </w:rPr>
        <w:footnoteRef/>
      </w:r>
      <w:r>
        <w:t xml:space="preserve"> Erasmus Superior Court Practice 2</w:t>
      </w:r>
      <w:r w:rsidRPr="0037579B">
        <w:rPr>
          <w:vertAlign w:val="superscript"/>
        </w:rPr>
        <w:t>nd</w:t>
      </w:r>
      <w:r>
        <w:t xml:space="preserve"> Edition, Van Loggerenberg, Volume 2 D1-280.</w:t>
      </w:r>
    </w:p>
  </w:footnote>
  <w:footnote w:id="8">
    <w:p w14:paraId="3D7F6641" w14:textId="213E3015" w:rsidR="0037579B" w:rsidRDefault="0037579B">
      <w:pPr>
        <w:pStyle w:val="FootnoteText"/>
      </w:pPr>
      <w:r>
        <w:rPr>
          <w:rStyle w:val="FootnoteReference"/>
        </w:rPr>
        <w:footnoteRef/>
      </w:r>
      <w:r>
        <w:t xml:space="preserve"> 1948 (3) SA 136 (T) at 138.</w:t>
      </w:r>
    </w:p>
  </w:footnote>
  <w:footnote w:id="9">
    <w:p w14:paraId="1EA11AE0" w14:textId="6A7B8DC7" w:rsidR="00FB6A97" w:rsidRDefault="00FB6A97">
      <w:pPr>
        <w:pStyle w:val="FootnoteText"/>
      </w:pPr>
      <w:r>
        <w:rPr>
          <w:rStyle w:val="FootnoteReference"/>
        </w:rPr>
        <w:footnoteRef/>
      </w:r>
      <w:r>
        <w:t xml:space="preserve"> 2015 (5) SA</w:t>
      </w:r>
      <w:r w:rsidR="00382D33">
        <w:t xml:space="preserve"> 245 at 269-70 paragraphs [87] and [88].</w:t>
      </w:r>
      <w:r>
        <w:t xml:space="preserve"> </w:t>
      </w:r>
    </w:p>
  </w:footnote>
  <w:footnote w:id="10">
    <w:p w14:paraId="220A5D52" w14:textId="77777777" w:rsidR="005E7024" w:rsidRDefault="005E7024" w:rsidP="005E7024">
      <w:pPr>
        <w:pStyle w:val="FootnoteText"/>
      </w:pPr>
      <w:r>
        <w:rPr>
          <w:rStyle w:val="FootnoteReference"/>
        </w:rPr>
        <w:footnoteRef/>
      </w:r>
      <w:r>
        <w:t xml:space="preserve"> Act 88 of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7958CA" w:rsidRDefault="007958CA">
    <w:pPr>
      <w:pStyle w:val="Header"/>
    </w:pPr>
  </w:p>
  <w:p w14:paraId="6C4AD895" w14:textId="77777777" w:rsidR="007958CA" w:rsidRDefault="007958CA"/>
  <w:p w14:paraId="0E63C6DD" w14:textId="77777777" w:rsidR="007958CA" w:rsidRDefault="007958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2788036A"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B93">
      <w:rPr>
        <w:rStyle w:val="PageNumber"/>
        <w:noProof/>
      </w:rPr>
      <w:t>7</w:t>
    </w:r>
    <w:r>
      <w:rPr>
        <w:rStyle w:val="PageNumber"/>
      </w:rPr>
      <w:fldChar w:fldCharType="end"/>
    </w:r>
  </w:p>
  <w:p w14:paraId="679B963D" w14:textId="77777777" w:rsidR="007958CA" w:rsidRPr="004D0E6E" w:rsidRDefault="007958CA">
    <w:pPr>
      <w:pStyle w:val="Header"/>
      <w:jc w:val="right"/>
      <w:rPr>
        <w:rFonts w:ascii="Arial" w:hAnsi="Arial" w:cs="Arial"/>
        <w:sz w:val="16"/>
        <w:szCs w:val="16"/>
      </w:rPr>
    </w:pPr>
  </w:p>
  <w:p w14:paraId="56DF89A3" w14:textId="77777777" w:rsidR="007958CA" w:rsidRDefault="007958CA">
    <w:pPr>
      <w:pStyle w:val="Header"/>
    </w:pPr>
  </w:p>
  <w:p w14:paraId="58B00622" w14:textId="77777777" w:rsidR="007958CA" w:rsidRDefault="007958CA"/>
  <w:p w14:paraId="73E830F9" w14:textId="77777777" w:rsidR="007958CA" w:rsidRDefault="007958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7F1762A"/>
    <w:multiLevelType w:val="hybridMultilevel"/>
    <w:tmpl w:val="F15AC05A"/>
    <w:lvl w:ilvl="0" w:tplc="E1BA5D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370E0B"/>
    <w:multiLevelType w:val="hybridMultilevel"/>
    <w:tmpl w:val="6E2E33AC"/>
    <w:lvl w:ilvl="0" w:tplc="E8C43BD2">
      <w:start w:val="1"/>
      <w:numFmt w:val="lowerLetter"/>
      <w:lvlText w:val="(%1)"/>
      <w:lvlJc w:val="left"/>
      <w:pPr>
        <w:ind w:left="1140" w:hanging="360"/>
      </w:pPr>
      <w:rPr>
        <w:rFonts w:hint="default"/>
        <w:sz w:val="26"/>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1">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1">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7A4BA0"/>
    <w:multiLevelType w:val="hybridMultilevel"/>
    <w:tmpl w:val="104A5202"/>
    <w:lvl w:ilvl="0" w:tplc="FF8AFC2E">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4">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8">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num>
  <w:num w:numId="4">
    <w:abstractNumId w:val="24"/>
  </w:num>
  <w:num w:numId="5">
    <w:abstractNumId w:val="38"/>
  </w:num>
  <w:num w:numId="6">
    <w:abstractNumId w:val="0"/>
  </w:num>
  <w:num w:numId="7">
    <w:abstractNumId w:val="35"/>
  </w:num>
  <w:num w:numId="8">
    <w:abstractNumId w:val="34"/>
  </w:num>
  <w:num w:numId="9">
    <w:abstractNumId w:val="9"/>
  </w:num>
  <w:num w:numId="10">
    <w:abstractNumId w:val="33"/>
  </w:num>
  <w:num w:numId="11">
    <w:abstractNumId w:val="30"/>
  </w:num>
  <w:num w:numId="12">
    <w:abstractNumId w:val="32"/>
  </w:num>
  <w:num w:numId="13">
    <w:abstractNumId w:val="16"/>
  </w:num>
  <w:num w:numId="14">
    <w:abstractNumId w:val="31"/>
  </w:num>
  <w:num w:numId="15">
    <w:abstractNumId w:val="40"/>
  </w:num>
  <w:num w:numId="16">
    <w:abstractNumId w:val="15"/>
  </w:num>
  <w:num w:numId="17">
    <w:abstractNumId w:val="13"/>
  </w:num>
  <w:num w:numId="18">
    <w:abstractNumId w:val="3"/>
  </w:num>
  <w:num w:numId="19">
    <w:abstractNumId w:val="26"/>
  </w:num>
  <w:num w:numId="20">
    <w:abstractNumId w:val="22"/>
  </w:num>
  <w:num w:numId="21">
    <w:abstractNumId w:val="37"/>
  </w:num>
  <w:num w:numId="22">
    <w:abstractNumId w:val="39"/>
  </w:num>
  <w:num w:numId="23">
    <w:abstractNumId w:val="17"/>
  </w:num>
  <w:num w:numId="24">
    <w:abstractNumId w:val="42"/>
  </w:num>
  <w:num w:numId="25">
    <w:abstractNumId w:val="11"/>
  </w:num>
  <w:num w:numId="26">
    <w:abstractNumId w:val="5"/>
  </w:num>
  <w:num w:numId="27">
    <w:abstractNumId w:val="20"/>
  </w:num>
  <w:num w:numId="28">
    <w:abstractNumId w:val="14"/>
  </w:num>
  <w:num w:numId="29">
    <w:abstractNumId w:val="7"/>
  </w:num>
  <w:num w:numId="30">
    <w:abstractNumId w:val="41"/>
  </w:num>
  <w:num w:numId="31">
    <w:abstractNumId w:val="23"/>
  </w:num>
  <w:num w:numId="32">
    <w:abstractNumId w:val="12"/>
  </w:num>
  <w:num w:numId="33">
    <w:abstractNumId w:val="19"/>
  </w:num>
  <w:num w:numId="34">
    <w:abstractNumId w:val="6"/>
  </w:num>
  <w:num w:numId="35">
    <w:abstractNumId w:val="18"/>
  </w:num>
  <w:num w:numId="36">
    <w:abstractNumId w:val="4"/>
  </w:num>
  <w:num w:numId="37">
    <w:abstractNumId w:val="2"/>
  </w:num>
  <w:num w:numId="38">
    <w:abstractNumId w:val="25"/>
  </w:num>
  <w:num w:numId="39">
    <w:abstractNumId w:val="1"/>
  </w:num>
  <w:num w:numId="40">
    <w:abstractNumId w:val="21"/>
  </w:num>
  <w:num w:numId="41">
    <w:abstractNumId w:val="8"/>
  </w:num>
  <w:num w:numId="42">
    <w:abstractNumId w:val="2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0DD"/>
    <w:rsid w:val="00011B73"/>
    <w:rsid w:val="00014416"/>
    <w:rsid w:val="000150E0"/>
    <w:rsid w:val="00017B06"/>
    <w:rsid w:val="00021289"/>
    <w:rsid w:val="000212D0"/>
    <w:rsid w:val="00022DFC"/>
    <w:rsid w:val="00023EA9"/>
    <w:rsid w:val="00023F0C"/>
    <w:rsid w:val="00026917"/>
    <w:rsid w:val="00026972"/>
    <w:rsid w:val="00027193"/>
    <w:rsid w:val="000277DB"/>
    <w:rsid w:val="0002784F"/>
    <w:rsid w:val="00035C12"/>
    <w:rsid w:val="00036291"/>
    <w:rsid w:val="000426C2"/>
    <w:rsid w:val="00042988"/>
    <w:rsid w:val="0004308F"/>
    <w:rsid w:val="000430A2"/>
    <w:rsid w:val="00043463"/>
    <w:rsid w:val="00044831"/>
    <w:rsid w:val="000457E7"/>
    <w:rsid w:val="00046741"/>
    <w:rsid w:val="000467EA"/>
    <w:rsid w:val="00046E4C"/>
    <w:rsid w:val="0004769E"/>
    <w:rsid w:val="00047D55"/>
    <w:rsid w:val="000503D2"/>
    <w:rsid w:val="00051108"/>
    <w:rsid w:val="000512EA"/>
    <w:rsid w:val="00051BBD"/>
    <w:rsid w:val="00054F63"/>
    <w:rsid w:val="00056398"/>
    <w:rsid w:val="000573E0"/>
    <w:rsid w:val="000576A5"/>
    <w:rsid w:val="000577B6"/>
    <w:rsid w:val="00057899"/>
    <w:rsid w:val="00057EAB"/>
    <w:rsid w:val="00062BE1"/>
    <w:rsid w:val="00062D27"/>
    <w:rsid w:val="000710A7"/>
    <w:rsid w:val="00071262"/>
    <w:rsid w:val="00071D1B"/>
    <w:rsid w:val="00071EC2"/>
    <w:rsid w:val="00072103"/>
    <w:rsid w:val="00072B69"/>
    <w:rsid w:val="00072B6F"/>
    <w:rsid w:val="0007554C"/>
    <w:rsid w:val="00076026"/>
    <w:rsid w:val="000765D8"/>
    <w:rsid w:val="00077DA2"/>
    <w:rsid w:val="00080E2E"/>
    <w:rsid w:val="00081E73"/>
    <w:rsid w:val="00083B88"/>
    <w:rsid w:val="00085108"/>
    <w:rsid w:val="00085138"/>
    <w:rsid w:val="0008604D"/>
    <w:rsid w:val="00086137"/>
    <w:rsid w:val="000923C6"/>
    <w:rsid w:val="000936FD"/>
    <w:rsid w:val="00095CED"/>
    <w:rsid w:val="00095E56"/>
    <w:rsid w:val="00095E9F"/>
    <w:rsid w:val="0009718D"/>
    <w:rsid w:val="00097ACA"/>
    <w:rsid w:val="000A01CD"/>
    <w:rsid w:val="000A1EFE"/>
    <w:rsid w:val="000A2A02"/>
    <w:rsid w:val="000A3987"/>
    <w:rsid w:val="000A4BE1"/>
    <w:rsid w:val="000A4CE5"/>
    <w:rsid w:val="000A6457"/>
    <w:rsid w:val="000B0674"/>
    <w:rsid w:val="000B0BF3"/>
    <w:rsid w:val="000B0DE0"/>
    <w:rsid w:val="000B347E"/>
    <w:rsid w:val="000B4C36"/>
    <w:rsid w:val="000B4CA0"/>
    <w:rsid w:val="000B5154"/>
    <w:rsid w:val="000C41F1"/>
    <w:rsid w:val="000C560F"/>
    <w:rsid w:val="000C681B"/>
    <w:rsid w:val="000C7E36"/>
    <w:rsid w:val="000C7E37"/>
    <w:rsid w:val="000C7EE8"/>
    <w:rsid w:val="000D0A2D"/>
    <w:rsid w:val="000D11A9"/>
    <w:rsid w:val="000D15AB"/>
    <w:rsid w:val="000D2152"/>
    <w:rsid w:val="000D2166"/>
    <w:rsid w:val="000D2BC5"/>
    <w:rsid w:val="000D59DD"/>
    <w:rsid w:val="000D6339"/>
    <w:rsid w:val="000D7622"/>
    <w:rsid w:val="000E0E6F"/>
    <w:rsid w:val="000E182C"/>
    <w:rsid w:val="000E30CA"/>
    <w:rsid w:val="000E42BA"/>
    <w:rsid w:val="000E4A1C"/>
    <w:rsid w:val="000E4C23"/>
    <w:rsid w:val="000E624D"/>
    <w:rsid w:val="000E78A7"/>
    <w:rsid w:val="000F1C4D"/>
    <w:rsid w:val="000F3B21"/>
    <w:rsid w:val="000F490C"/>
    <w:rsid w:val="000F6431"/>
    <w:rsid w:val="000F6715"/>
    <w:rsid w:val="000F6D6C"/>
    <w:rsid w:val="00100C66"/>
    <w:rsid w:val="0010348F"/>
    <w:rsid w:val="0010661C"/>
    <w:rsid w:val="00106977"/>
    <w:rsid w:val="001102A0"/>
    <w:rsid w:val="00110D97"/>
    <w:rsid w:val="001111DD"/>
    <w:rsid w:val="001143AD"/>
    <w:rsid w:val="001147E6"/>
    <w:rsid w:val="0011606B"/>
    <w:rsid w:val="001174C9"/>
    <w:rsid w:val="00120051"/>
    <w:rsid w:val="00121DDC"/>
    <w:rsid w:val="00124933"/>
    <w:rsid w:val="001267BA"/>
    <w:rsid w:val="00132F75"/>
    <w:rsid w:val="00134A59"/>
    <w:rsid w:val="00135617"/>
    <w:rsid w:val="001364F2"/>
    <w:rsid w:val="00137020"/>
    <w:rsid w:val="001412E9"/>
    <w:rsid w:val="001414C8"/>
    <w:rsid w:val="0014238D"/>
    <w:rsid w:val="0014382B"/>
    <w:rsid w:val="00143CEC"/>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5024"/>
    <w:rsid w:val="00166C4E"/>
    <w:rsid w:val="00170E1A"/>
    <w:rsid w:val="0017185D"/>
    <w:rsid w:val="00171F58"/>
    <w:rsid w:val="00172032"/>
    <w:rsid w:val="0017262C"/>
    <w:rsid w:val="001727B1"/>
    <w:rsid w:val="00174DA5"/>
    <w:rsid w:val="00174EAD"/>
    <w:rsid w:val="001754B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2EC1"/>
    <w:rsid w:val="001A362F"/>
    <w:rsid w:val="001A5086"/>
    <w:rsid w:val="001A5D6B"/>
    <w:rsid w:val="001B2247"/>
    <w:rsid w:val="001B356D"/>
    <w:rsid w:val="001B3784"/>
    <w:rsid w:val="001B4A46"/>
    <w:rsid w:val="001B6694"/>
    <w:rsid w:val="001C0B0C"/>
    <w:rsid w:val="001C12F8"/>
    <w:rsid w:val="001C28FF"/>
    <w:rsid w:val="001C37E0"/>
    <w:rsid w:val="001C45ED"/>
    <w:rsid w:val="001C5310"/>
    <w:rsid w:val="001C6802"/>
    <w:rsid w:val="001C6A0B"/>
    <w:rsid w:val="001C7E9F"/>
    <w:rsid w:val="001C7FA3"/>
    <w:rsid w:val="001D1231"/>
    <w:rsid w:val="001D4826"/>
    <w:rsid w:val="001D4B84"/>
    <w:rsid w:val="001D72C6"/>
    <w:rsid w:val="001E050E"/>
    <w:rsid w:val="001E1322"/>
    <w:rsid w:val="001E1E5E"/>
    <w:rsid w:val="001E223E"/>
    <w:rsid w:val="001E247E"/>
    <w:rsid w:val="001E55FD"/>
    <w:rsid w:val="001E5F49"/>
    <w:rsid w:val="001E63F9"/>
    <w:rsid w:val="001E6A79"/>
    <w:rsid w:val="001E7651"/>
    <w:rsid w:val="001F122A"/>
    <w:rsid w:val="001F198F"/>
    <w:rsid w:val="001F2C0A"/>
    <w:rsid w:val="001F3D0F"/>
    <w:rsid w:val="001F4E45"/>
    <w:rsid w:val="001F62C7"/>
    <w:rsid w:val="0020058E"/>
    <w:rsid w:val="00201778"/>
    <w:rsid w:val="00202215"/>
    <w:rsid w:val="002028E2"/>
    <w:rsid w:val="00203397"/>
    <w:rsid w:val="00203826"/>
    <w:rsid w:val="00205D81"/>
    <w:rsid w:val="00206B84"/>
    <w:rsid w:val="00206FA4"/>
    <w:rsid w:val="00207C7A"/>
    <w:rsid w:val="002101B8"/>
    <w:rsid w:val="002150CA"/>
    <w:rsid w:val="00216A57"/>
    <w:rsid w:val="002172BA"/>
    <w:rsid w:val="00217D16"/>
    <w:rsid w:val="0022141F"/>
    <w:rsid w:val="002226D4"/>
    <w:rsid w:val="00224CFC"/>
    <w:rsid w:val="00225EDB"/>
    <w:rsid w:val="00225F6D"/>
    <w:rsid w:val="00226292"/>
    <w:rsid w:val="00226381"/>
    <w:rsid w:val="00230934"/>
    <w:rsid w:val="00232554"/>
    <w:rsid w:val="00232CE2"/>
    <w:rsid w:val="002355D0"/>
    <w:rsid w:val="00235A8B"/>
    <w:rsid w:val="002369E8"/>
    <w:rsid w:val="00237784"/>
    <w:rsid w:val="00237CC8"/>
    <w:rsid w:val="00243114"/>
    <w:rsid w:val="00244435"/>
    <w:rsid w:val="00245751"/>
    <w:rsid w:val="002459DB"/>
    <w:rsid w:val="00247A5B"/>
    <w:rsid w:val="00247EEF"/>
    <w:rsid w:val="0025071E"/>
    <w:rsid w:val="00255C54"/>
    <w:rsid w:val="00257881"/>
    <w:rsid w:val="00261DD3"/>
    <w:rsid w:val="00263BA9"/>
    <w:rsid w:val="002646AD"/>
    <w:rsid w:val="002664F2"/>
    <w:rsid w:val="00266831"/>
    <w:rsid w:val="00266D31"/>
    <w:rsid w:val="00267F8E"/>
    <w:rsid w:val="00270551"/>
    <w:rsid w:val="00270D38"/>
    <w:rsid w:val="002753F4"/>
    <w:rsid w:val="00276381"/>
    <w:rsid w:val="0028039F"/>
    <w:rsid w:val="00280E32"/>
    <w:rsid w:val="0028203B"/>
    <w:rsid w:val="0028407F"/>
    <w:rsid w:val="00284AC2"/>
    <w:rsid w:val="00285BEF"/>
    <w:rsid w:val="0028741F"/>
    <w:rsid w:val="00287558"/>
    <w:rsid w:val="00291099"/>
    <w:rsid w:val="00291EBE"/>
    <w:rsid w:val="00292024"/>
    <w:rsid w:val="002920D3"/>
    <w:rsid w:val="0029438A"/>
    <w:rsid w:val="0029526B"/>
    <w:rsid w:val="0029574E"/>
    <w:rsid w:val="002958A6"/>
    <w:rsid w:val="00295942"/>
    <w:rsid w:val="00295B10"/>
    <w:rsid w:val="00296972"/>
    <w:rsid w:val="002971E1"/>
    <w:rsid w:val="002A0727"/>
    <w:rsid w:val="002A07A3"/>
    <w:rsid w:val="002A1818"/>
    <w:rsid w:val="002A18E9"/>
    <w:rsid w:val="002A2A75"/>
    <w:rsid w:val="002A4782"/>
    <w:rsid w:val="002A501C"/>
    <w:rsid w:val="002A5278"/>
    <w:rsid w:val="002A7FD4"/>
    <w:rsid w:val="002B0CC4"/>
    <w:rsid w:val="002B0E7A"/>
    <w:rsid w:val="002B10C2"/>
    <w:rsid w:val="002B2232"/>
    <w:rsid w:val="002B418A"/>
    <w:rsid w:val="002B47AA"/>
    <w:rsid w:val="002B4BF3"/>
    <w:rsid w:val="002B553B"/>
    <w:rsid w:val="002B64A2"/>
    <w:rsid w:val="002B64D5"/>
    <w:rsid w:val="002C5683"/>
    <w:rsid w:val="002C6C0A"/>
    <w:rsid w:val="002C7971"/>
    <w:rsid w:val="002D03A0"/>
    <w:rsid w:val="002D0522"/>
    <w:rsid w:val="002D51CE"/>
    <w:rsid w:val="002D53F2"/>
    <w:rsid w:val="002D73F4"/>
    <w:rsid w:val="002D78B1"/>
    <w:rsid w:val="002E0526"/>
    <w:rsid w:val="002E12F5"/>
    <w:rsid w:val="002E413C"/>
    <w:rsid w:val="002E48B5"/>
    <w:rsid w:val="002E5737"/>
    <w:rsid w:val="002E5A5B"/>
    <w:rsid w:val="002F307A"/>
    <w:rsid w:val="002F44D7"/>
    <w:rsid w:val="002F6411"/>
    <w:rsid w:val="002F70ED"/>
    <w:rsid w:val="002F73E7"/>
    <w:rsid w:val="0030157D"/>
    <w:rsid w:val="00303668"/>
    <w:rsid w:val="00303CF1"/>
    <w:rsid w:val="003043D2"/>
    <w:rsid w:val="00310156"/>
    <w:rsid w:val="00310D18"/>
    <w:rsid w:val="00311395"/>
    <w:rsid w:val="00312F7D"/>
    <w:rsid w:val="0031391D"/>
    <w:rsid w:val="003143D4"/>
    <w:rsid w:val="00314F0E"/>
    <w:rsid w:val="00315F55"/>
    <w:rsid w:val="00317280"/>
    <w:rsid w:val="003204F3"/>
    <w:rsid w:val="00322C93"/>
    <w:rsid w:val="00322EC3"/>
    <w:rsid w:val="0032469D"/>
    <w:rsid w:val="00324B04"/>
    <w:rsid w:val="00325E97"/>
    <w:rsid w:val="00325F21"/>
    <w:rsid w:val="00327634"/>
    <w:rsid w:val="00331CC1"/>
    <w:rsid w:val="00333642"/>
    <w:rsid w:val="00333D8F"/>
    <w:rsid w:val="00334FD9"/>
    <w:rsid w:val="00336EB6"/>
    <w:rsid w:val="0034410E"/>
    <w:rsid w:val="00346282"/>
    <w:rsid w:val="0034768B"/>
    <w:rsid w:val="00347A55"/>
    <w:rsid w:val="00351F18"/>
    <w:rsid w:val="00353333"/>
    <w:rsid w:val="00353EF0"/>
    <w:rsid w:val="00355F8B"/>
    <w:rsid w:val="00360BD8"/>
    <w:rsid w:val="00360F93"/>
    <w:rsid w:val="0036289E"/>
    <w:rsid w:val="00366B3B"/>
    <w:rsid w:val="00366F64"/>
    <w:rsid w:val="00367A09"/>
    <w:rsid w:val="003705F6"/>
    <w:rsid w:val="00370E10"/>
    <w:rsid w:val="003723A0"/>
    <w:rsid w:val="003725AF"/>
    <w:rsid w:val="00372BC5"/>
    <w:rsid w:val="00373195"/>
    <w:rsid w:val="0037396B"/>
    <w:rsid w:val="0037579B"/>
    <w:rsid w:val="00375836"/>
    <w:rsid w:val="00375B67"/>
    <w:rsid w:val="00377E7B"/>
    <w:rsid w:val="00382D33"/>
    <w:rsid w:val="00382D82"/>
    <w:rsid w:val="0038374C"/>
    <w:rsid w:val="00384160"/>
    <w:rsid w:val="003843C3"/>
    <w:rsid w:val="003867A3"/>
    <w:rsid w:val="00386939"/>
    <w:rsid w:val="003925A8"/>
    <w:rsid w:val="00393D77"/>
    <w:rsid w:val="00394691"/>
    <w:rsid w:val="003948A7"/>
    <w:rsid w:val="00394C4A"/>
    <w:rsid w:val="00395BD4"/>
    <w:rsid w:val="003A000D"/>
    <w:rsid w:val="003A0FD0"/>
    <w:rsid w:val="003A0FD9"/>
    <w:rsid w:val="003A1577"/>
    <w:rsid w:val="003A19A6"/>
    <w:rsid w:val="003A1CE3"/>
    <w:rsid w:val="003A21B1"/>
    <w:rsid w:val="003A3755"/>
    <w:rsid w:val="003A37FE"/>
    <w:rsid w:val="003A4397"/>
    <w:rsid w:val="003A7272"/>
    <w:rsid w:val="003B0C53"/>
    <w:rsid w:val="003B0EC0"/>
    <w:rsid w:val="003B37F0"/>
    <w:rsid w:val="003B5082"/>
    <w:rsid w:val="003B50C0"/>
    <w:rsid w:val="003B55B4"/>
    <w:rsid w:val="003B6AD3"/>
    <w:rsid w:val="003C1BC7"/>
    <w:rsid w:val="003C355A"/>
    <w:rsid w:val="003C493B"/>
    <w:rsid w:val="003C5CFD"/>
    <w:rsid w:val="003C7A52"/>
    <w:rsid w:val="003D00C8"/>
    <w:rsid w:val="003D0B04"/>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6AFD"/>
    <w:rsid w:val="003E73B4"/>
    <w:rsid w:val="003F193B"/>
    <w:rsid w:val="003F3EEA"/>
    <w:rsid w:val="003F584F"/>
    <w:rsid w:val="003F6EFA"/>
    <w:rsid w:val="003F78F1"/>
    <w:rsid w:val="00400D2C"/>
    <w:rsid w:val="00401C01"/>
    <w:rsid w:val="00403390"/>
    <w:rsid w:val="00403770"/>
    <w:rsid w:val="00403EDA"/>
    <w:rsid w:val="00404A63"/>
    <w:rsid w:val="0040710F"/>
    <w:rsid w:val="004074F5"/>
    <w:rsid w:val="00410082"/>
    <w:rsid w:val="00410B5A"/>
    <w:rsid w:val="00410CDE"/>
    <w:rsid w:val="004120A9"/>
    <w:rsid w:val="00412B42"/>
    <w:rsid w:val="00415C10"/>
    <w:rsid w:val="00416EFD"/>
    <w:rsid w:val="00416F65"/>
    <w:rsid w:val="0042082F"/>
    <w:rsid w:val="004211B8"/>
    <w:rsid w:val="00421F62"/>
    <w:rsid w:val="004227F7"/>
    <w:rsid w:val="00422E4A"/>
    <w:rsid w:val="004230AF"/>
    <w:rsid w:val="00423770"/>
    <w:rsid w:val="004248C4"/>
    <w:rsid w:val="00424B44"/>
    <w:rsid w:val="004258A9"/>
    <w:rsid w:val="00426FCC"/>
    <w:rsid w:val="00427595"/>
    <w:rsid w:val="00434534"/>
    <w:rsid w:val="00436272"/>
    <w:rsid w:val="00436F81"/>
    <w:rsid w:val="0043779A"/>
    <w:rsid w:val="00437FE2"/>
    <w:rsid w:val="00440607"/>
    <w:rsid w:val="00440E01"/>
    <w:rsid w:val="004443D1"/>
    <w:rsid w:val="00444DA8"/>
    <w:rsid w:val="00445644"/>
    <w:rsid w:val="0044618E"/>
    <w:rsid w:val="00450174"/>
    <w:rsid w:val="004507AA"/>
    <w:rsid w:val="00450CCB"/>
    <w:rsid w:val="0045291A"/>
    <w:rsid w:val="00453741"/>
    <w:rsid w:val="00455147"/>
    <w:rsid w:val="00455D9A"/>
    <w:rsid w:val="004578E1"/>
    <w:rsid w:val="00461463"/>
    <w:rsid w:val="00461ABC"/>
    <w:rsid w:val="00461C77"/>
    <w:rsid w:val="00462A48"/>
    <w:rsid w:val="004659DA"/>
    <w:rsid w:val="00466253"/>
    <w:rsid w:val="004677FC"/>
    <w:rsid w:val="00470512"/>
    <w:rsid w:val="00470CD7"/>
    <w:rsid w:val="00470EE1"/>
    <w:rsid w:val="00471BF5"/>
    <w:rsid w:val="00472794"/>
    <w:rsid w:val="004732EE"/>
    <w:rsid w:val="00474A85"/>
    <w:rsid w:val="00475A6C"/>
    <w:rsid w:val="0047785F"/>
    <w:rsid w:val="00480FB8"/>
    <w:rsid w:val="00481131"/>
    <w:rsid w:val="00481A2F"/>
    <w:rsid w:val="00482627"/>
    <w:rsid w:val="00483D28"/>
    <w:rsid w:val="00483F9A"/>
    <w:rsid w:val="00484A69"/>
    <w:rsid w:val="004851D6"/>
    <w:rsid w:val="00486AFF"/>
    <w:rsid w:val="004872C5"/>
    <w:rsid w:val="00487AC9"/>
    <w:rsid w:val="004924FA"/>
    <w:rsid w:val="00492854"/>
    <w:rsid w:val="00494307"/>
    <w:rsid w:val="00495BC4"/>
    <w:rsid w:val="00495BE3"/>
    <w:rsid w:val="004971D3"/>
    <w:rsid w:val="004A3677"/>
    <w:rsid w:val="004A3DC7"/>
    <w:rsid w:val="004A4911"/>
    <w:rsid w:val="004A4F6B"/>
    <w:rsid w:val="004A5891"/>
    <w:rsid w:val="004A5AB4"/>
    <w:rsid w:val="004A68FA"/>
    <w:rsid w:val="004A707F"/>
    <w:rsid w:val="004A7CFE"/>
    <w:rsid w:val="004B0A9B"/>
    <w:rsid w:val="004B3A8C"/>
    <w:rsid w:val="004B4C3D"/>
    <w:rsid w:val="004B534D"/>
    <w:rsid w:val="004B7BF4"/>
    <w:rsid w:val="004C0B52"/>
    <w:rsid w:val="004C0D85"/>
    <w:rsid w:val="004C34B3"/>
    <w:rsid w:val="004C4034"/>
    <w:rsid w:val="004C56F0"/>
    <w:rsid w:val="004C6A7C"/>
    <w:rsid w:val="004D19A8"/>
    <w:rsid w:val="004D2D83"/>
    <w:rsid w:val="004D2E2A"/>
    <w:rsid w:val="004D3C78"/>
    <w:rsid w:val="004D4DA9"/>
    <w:rsid w:val="004E05A9"/>
    <w:rsid w:val="004E07BD"/>
    <w:rsid w:val="004E0DF7"/>
    <w:rsid w:val="004E1E58"/>
    <w:rsid w:val="004E29BB"/>
    <w:rsid w:val="004E3E11"/>
    <w:rsid w:val="004E4316"/>
    <w:rsid w:val="004E52C8"/>
    <w:rsid w:val="004E5429"/>
    <w:rsid w:val="004E62A9"/>
    <w:rsid w:val="004E7FFE"/>
    <w:rsid w:val="004F0E56"/>
    <w:rsid w:val="004F40D8"/>
    <w:rsid w:val="004F4F29"/>
    <w:rsid w:val="004F6ADA"/>
    <w:rsid w:val="00500257"/>
    <w:rsid w:val="005005FB"/>
    <w:rsid w:val="0050320E"/>
    <w:rsid w:val="00504175"/>
    <w:rsid w:val="0050425C"/>
    <w:rsid w:val="0051068C"/>
    <w:rsid w:val="005136F5"/>
    <w:rsid w:val="005154A5"/>
    <w:rsid w:val="00515ED8"/>
    <w:rsid w:val="00515F39"/>
    <w:rsid w:val="00517A78"/>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AB9"/>
    <w:rsid w:val="00535D45"/>
    <w:rsid w:val="00536A91"/>
    <w:rsid w:val="00537CBD"/>
    <w:rsid w:val="00540532"/>
    <w:rsid w:val="0054131B"/>
    <w:rsid w:val="00542CC3"/>
    <w:rsid w:val="00542FCA"/>
    <w:rsid w:val="0054368E"/>
    <w:rsid w:val="00545DF8"/>
    <w:rsid w:val="00547DCD"/>
    <w:rsid w:val="00550433"/>
    <w:rsid w:val="00550F65"/>
    <w:rsid w:val="00553980"/>
    <w:rsid w:val="0055482E"/>
    <w:rsid w:val="00554C27"/>
    <w:rsid w:val="005568B7"/>
    <w:rsid w:val="00557324"/>
    <w:rsid w:val="00560334"/>
    <w:rsid w:val="00562691"/>
    <w:rsid w:val="00564730"/>
    <w:rsid w:val="00564DF1"/>
    <w:rsid w:val="00565004"/>
    <w:rsid w:val="00565C66"/>
    <w:rsid w:val="00566A6A"/>
    <w:rsid w:val="005706A2"/>
    <w:rsid w:val="005716D4"/>
    <w:rsid w:val="00572B91"/>
    <w:rsid w:val="00574DD2"/>
    <w:rsid w:val="00576499"/>
    <w:rsid w:val="0057684C"/>
    <w:rsid w:val="005769FE"/>
    <w:rsid w:val="00576C5D"/>
    <w:rsid w:val="00580A4B"/>
    <w:rsid w:val="005814ED"/>
    <w:rsid w:val="0058166E"/>
    <w:rsid w:val="00582901"/>
    <w:rsid w:val="005836A7"/>
    <w:rsid w:val="0058411F"/>
    <w:rsid w:val="005843F8"/>
    <w:rsid w:val="00586382"/>
    <w:rsid w:val="00586DF5"/>
    <w:rsid w:val="00590098"/>
    <w:rsid w:val="00591201"/>
    <w:rsid w:val="00593202"/>
    <w:rsid w:val="0059332E"/>
    <w:rsid w:val="0059749B"/>
    <w:rsid w:val="005976C9"/>
    <w:rsid w:val="00597710"/>
    <w:rsid w:val="0059795F"/>
    <w:rsid w:val="005A244E"/>
    <w:rsid w:val="005A31F0"/>
    <w:rsid w:val="005A38A3"/>
    <w:rsid w:val="005A49A8"/>
    <w:rsid w:val="005A4E7D"/>
    <w:rsid w:val="005B05EA"/>
    <w:rsid w:val="005B1A6C"/>
    <w:rsid w:val="005B260F"/>
    <w:rsid w:val="005B2E74"/>
    <w:rsid w:val="005B3AA4"/>
    <w:rsid w:val="005B4034"/>
    <w:rsid w:val="005B4F90"/>
    <w:rsid w:val="005B5B0B"/>
    <w:rsid w:val="005B5C35"/>
    <w:rsid w:val="005B6720"/>
    <w:rsid w:val="005B6787"/>
    <w:rsid w:val="005C0408"/>
    <w:rsid w:val="005C04EB"/>
    <w:rsid w:val="005C098B"/>
    <w:rsid w:val="005C1704"/>
    <w:rsid w:val="005C1C4E"/>
    <w:rsid w:val="005C1CFE"/>
    <w:rsid w:val="005C242B"/>
    <w:rsid w:val="005C2563"/>
    <w:rsid w:val="005C2F88"/>
    <w:rsid w:val="005C3934"/>
    <w:rsid w:val="005C7684"/>
    <w:rsid w:val="005C76AC"/>
    <w:rsid w:val="005C7B2F"/>
    <w:rsid w:val="005D032A"/>
    <w:rsid w:val="005D0C9E"/>
    <w:rsid w:val="005D0F23"/>
    <w:rsid w:val="005D1120"/>
    <w:rsid w:val="005D1509"/>
    <w:rsid w:val="005D1A34"/>
    <w:rsid w:val="005D428F"/>
    <w:rsid w:val="005D4706"/>
    <w:rsid w:val="005D48ED"/>
    <w:rsid w:val="005D505E"/>
    <w:rsid w:val="005D6CDB"/>
    <w:rsid w:val="005D7449"/>
    <w:rsid w:val="005E0502"/>
    <w:rsid w:val="005E0D03"/>
    <w:rsid w:val="005E17B7"/>
    <w:rsid w:val="005E1A35"/>
    <w:rsid w:val="005E4705"/>
    <w:rsid w:val="005E488E"/>
    <w:rsid w:val="005E66F3"/>
    <w:rsid w:val="005E7024"/>
    <w:rsid w:val="005E73FA"/>
    <w:rsid w:val="005F077D"/>
    <w:rsid w:val="005F16AE"/>
    <w:rsid w:val="005F2532"/>
    <w:rsid w:val="005F40E9"/>
    <w:rsid w:val="005F5865"/>
    <w:rsid w:val="005F6303"/>
    <w:rsid w:val="0060000E"/>
    <w:rsid w:val="00600462"/>
    <w:rsid w:val="00601B30"/>
    <w:rsid w:val="00602ABB"/>
    <w:rsid w:val="00604297"/>
    <w:rsid w:val="006072BE"/>
    <w:rsid w:val="00607B6F"/>
    <w:rsid w:val="00610790"/>
    <w:rsid w:val="00610ABA"/>
    <w:rsid w:val="00611557"/>
    <w:rsid w:val="00611B3E"/>
    <w:rsid w:val="00612B94"/>
    <w:rsid w:val="006146D7"/>
    <w:rsid w:val="00614786"/>
    <w:rsid w:val="006174C2"/>
    <w:rsid w:val="00621A0F"/>
    <w:rsid w:val="00621E95"/>
    <w:rsid w:val="00624B78"/>
    <w:rsid w:val="00624BCD"/>
    <w:rsid w:val="00625174"/>
    <w:rsid w:val="00625DA8"/>
    <w:rsid w:val="00625FDB"/>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081"/>
    <w:rsid w:val="00642438"/>
    <w:rsid w:val="006435AF"/>
    <w:rsid w:val="00650DB6"/>
    <w:rsid w:val="00650F22"/>
    <w:rsid w:val="0065160C"/>
    <w:rsid w:val="00653BBB"/>
    <w:rsid w:val="0065442C"/>
    <w:rsid w:val="0065566E"/>
    <w:rsid w:val="006562C9"/>
    <w:rsid w:val="006605E5"/>
    <w:rsid w:val="00662924"/>
    <w:rsid w:val="00663B74"/>
    <w:rsid w:val="00664B44"/>
    <w:rsid w:val="006701C8"/>
    <w:rsid w:val="00670F2F"/>
    <w:rsid w:val="006711D1"/>
    <w:rsid w:val="00671670"/>
    <w:rsid w:val="00673BB8"/>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B"/>
    <w:rsid w:val="006A679D"/>
    <w:rsid w:val="006A6EE5"/>
    <w:rsid w:val="006B3EF6"/>
    <w:rsid w:val="006B41E6"/>
    <w:rsid w:val="006B47D7"/>
    <w:rsid w:val="006B60BA"/>
    <w:rsid w:val="006B60FE"/>
    <w:rsid w:val="006B64AF"/>
    <w:rsid w:val="006B6B18"/>
    <w:rsid w:val="006B7D06"/>
    <w:rsid w:val="006C01C0"/>
    <w:rsid w:val="006C548A"/>
    <w:rsid w:val="006C5AFE"/>
    <w:rsid w:val="006D0877"/>
    <w:rsid w:val="006D0FE8"/>
    <w:rsid w:val="006D201D"/>
    <w:rsid w:val="006D38C5"/>
    <w:rsid w:val="006D42BF"/>
    <w:rsid w:val="006D47CD"/>
    <w:rsid w:val="006D4DA0"/>
    <w:rsid w:val="006D7A00"/>
    <w:rsid w:val="006D7F81"/>
    <w:rsid w:val="006E560C"/>
    <w:rsid w:val="006E59C9"/>
    <w:rsid w:val="006E758A"/>
    <w:rsid w:val="006F100C"/>
    <w:rsid w:val="006F1BC1"/>
    <w:rsid w:val="006F435B"/>
    <w:rsid w:val="006F645F"/>
    <w:rsid w:val="007006FB"/>
    <w:rsid w:val="007008CA"/>
    <w:rsid w:val="00701268"/>
    <w:rsid w:val="007023D9"/>
    <w:rsid w:val="00702F03"/>
    <w:rsid w:val="00702F87"/>
    <w:rsid w:val="00704C44"/>
    <w:rsid w:val="0070706B"/>
    <w:rsid w:val="00707D7B"/>
    <w:rsid w:val="007104D8"/>
    <w:rsid w:val="0071211A"/>
    <w:rsid w:val="00712346"/>
    <w:rsid w:val="007139A4"/>
    <w:rsid w:val="00713D43"/>
    <w:rsid w:val="00714D3D"/>
    <w:rsid w:val="007167F5"/>
    <w:rsid w:val="007173E4"/>
    <w:rsid w:val="0072085D"/>
    <w:rsid w:val="00720CC5"/>
    <w:rsid w:val="00721BCE"/>
    <w:rsid w:val="0072290C"/>
    <w:rsid w:val="00724902"/>
    <w:rsid w:val="00725062"/>
    <w:rsid w:val="00726157"/>
    <w:rsid w:val="00727A22"/>
    <w:rsid w:val="007304F5"/>
    <w:rsid w:val="0073132F"/>
    <w:rsid w:val="0073180B"/>
    <w:rsid w:val="0073280B"/>
    <w:rsid w:val="00735A91"/>
    <w:rsid w:val="00740EFC"/>
    <w:rsid w:val="007456CB"/>
    <w:rsid w:val="007475AB"/>
    <w:rsid w:val="00747883"/>
    <w:rsid w:val="00750426"/>
    <w:rsid w:val="0075100A"/>
    <w:rsid w:val="00753416"/>
    <w:rsid w:val="00754C65"/>
    <w:rsid w:val="007562F7"/>
    <w:rsid w:val="0076083E"/>
    <w:rsid w:val="00761D98"/>
    <w:rsid w:val="0076360E"/>
    <w:rsid w:val="00763CA8"/>
    <w:rsid w:val="00763E85"/>
    <w:rsid w:val="00765692"/>
    <w:rsid w:val="00766368"/>
    <w:rsid w:val="00767F8B"/>
    <w:rsid w:val="00770B07"/>
    <w:rsid w:val="00771810"/>
    <w:rsid w:val="00771C64"/>
    <w:rsid w:val="00772E29"/>
    <w:rsid w:val="00773050"/>
    <w:rsid w:val="00775235"/>
    <w:rsid w:val="00776241"/>
    <w:rsid w:val="0077686B"/>
    <w:rsid w:val="00776AB9"/>
    <w:rsid w:val="0077701B"/>
    <w:rsid w:val="0077707F"/>
    <w:rsid w:val="00777E26"/>
    <w:rsid w:val="007822B8"/>
    <w:rsid w:val="007826FF"/>
    <w:rsid w:val="007827AC"/>
    <w:rsid w:val="007858B5"/>
    <w:rsid w:val="007859F2"/>
    <w:rsid w:val="00786079"/>
    <w:rsid w:val="0078625E"/>
    <w:rsid w:val="00790E8A"/>
    <w:rsid w:val="007918FD"/>
    <w:rsid w:val="0079287F"/>
    <w:rsid w:val="0079387D"/>
    <w:rsid w:val="00794136"/>
    <w:rsid w:val="0079426E"/>
    <w:rsid w:val="00794C98"/>
    <w:rsid w:val="007958CA"/>
    <w:rsid w:val="00796486"/>
    <w:rsid w:val="00797255"/>
    <w:rsid w:val="0079745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3CE0"/>
    <w:rsid w:val="007C40E7"/>
    <w:rsid w:val="007D175D"/>
    <w:rsid w:val="007D2796"/>
    <w:rsid w:val="007D2A94"/>
    <w:rsid w:val="007D6DF4"/>
    <w:rsid w:val="007E02EC"/>
    <w:rsid w:val="007E127D"/>
    <w:rsid w:val="007E2676"/>
    <w:rsid w:val="007E47EC"/>
    <w:rsid w:val="007E4A9E"/>
    <w:rsid w:val="007F03AB"/>
    <w:rsid w:val="007F2191"/>
    <w:rsid w:val="007F42AE"/>
    <w:rsid w:val="007F45D4"/>
    <w:rsid w:val="007F46F6"/>
    <w:rsid w:val="007F4BD8"/>
    <w:rsid w:val="007F571D"/>
    <w:rsid w:val="007F7D5A"/>
    <w:rsid w:val="0080128A"/>
    <w:rsid w:val="00802697"/>
    <w:rsid w:val="00802EBA"/>
    <w:rsid w:val="008038E5"/>
    <w:rsid w:val="00803BCD"/>
    <w:rsid w:val="00805B29"/>
    <w:rsid w:val="00805D0F"/>
    <w:rsid w:val="008069D4"/>
    <w:rsid w:val="00807FF8"/>
    <w:rsid w:val="00810069"/>
    <w:rsid w:val="00810DBB"/>
    <w:rsid w:val="00811845"/>
    <w:rsid w:val="008141D4"/>
    <w:rsid w:val="00815953"/>
    <w:rsid w:val="0081630D"/>
    <w:rsid w:val="0081758E"/>
    <w:rsid w:val="00817DFC"/>
    <w:rsid w:val="0082455A"/>
    <w:rsid w:val="00824B71"/>
    <w:rsid w:val="0082519A"/>
    <w:rsid w:val="00825354"/>
    <w:rsid w:val="00826155"/>
    <w:rsid w:val="008268D5"/>
    <w:rsid w:val="008269D8"/>
    <w:rsid w:val="00827973"/>
    <w:rsid w:val="008303AF"/>
    <w:rsid w:val="00830D6A"/>
    <w:rsid w:val="00830F5C"/>
    <w:rsid w:val="00833234"/>
    <w:rsid w:val="008370C0"/>
    <w:rsid w:val="008379F1"/>
    <w:rsid w:val="008409E2"/>
    <w:rsid w:val="008414C2"/>
    <w:rsid w:val="00842350"/>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703B5"/>
    <w:rsid w:val="00870856"/>
    <w:rsid w:val="00872267"/>
    <w:rsid w:val="0087328E"/>
    <w:rsid w:val="008743E5"/>
    <w:rsid w:val="00874FC6"/>
    <w:rsid w:val="0087563B"/>
    <w:rsid w:val="00875A05"/>
    <w:rsid w:val="008767FA"/>
    <w:rsid w:val="0087780A"/>
    <w:rsid w:val="00880F81"/>
    <w:rsid w:val="008824BF"/>
    <w:rsid w:val="00882ECF"/>
    <w:rsid w:val="008857AC"/>
    <w:rsid w:val="00885901"/>
    <w:rsid w:val="00887274"/>
    <w:rsid w:val="008908D3"/>
    <w:rsid w:val="00893009"/>
    <w:rsid w:val="00895E1D"/>
    <w:rsid w:val="008960CF"/>
    <w:rsid w:val="008961A0"/>
    <w:rsid w:val="008972FB"/>
    <w:rsid w:val="0089730B"/>
    <w:rsid w:val="00897A02"/>
    <w:rsid w:val="008A3984"/>
    <w:rsid w:val="008A39C4"/>
    <w:rsid w:val="008A3D71"/>
    <w:rsid w:val="008A603D"/>
    <w:rsid w:val="008A64EC"/>
    <w:rsid w:val="008A747A"/>
    <w:rsid w:val="008B11BE"/>
    <w:rsid w:val="008B179A"/>
    <w:rsid w:val="008B48E5"/>
    <w:rsid w:val="008B7EDD"/>
    <w:rsid w:val="008C093E"/>
    <w:rsid w:val="008C0B69"/>
    <w:rsid w:val="008C0C5E"/>
    <w:rsid w:val="008C208D"/>
    <w:rsid w:val="008C325E"/>
    <w:rsid w:val="008C4081"/>
    <w:rsid w:val="008C47F2"/>
    <w:rsid w:val="008C69F3"/>
    <w:rsid w:val="008D1A6D"/>
    <w:rsid w:val="008D221A"/>
    <w:rsid w:val="008D24DB"/>
    <w:rsid w:val="008D2868"/>
    <w:rsid w:val="008D2C33"/>
    <w:rsid w:val="008D2DE8"/>
    <w:rsid w:val="008D3CC2"/>
    <w:rsid w:val="008D7137"/>
    <w:rsid w:val="008E0001"/>
    <w:rsid w:val="008E3773"/>
    <w:rsid w:val="008E45C5"/>
    <w:rsid w:val="008E7AA2"/>
    <w:rsid w:val="008F01A9"/>
    <w:rsid w:val="008F42D9"/>
    <w:rsid w:val="008F4476"/>
    <w:rsid w:val="008F4B77"/>
    <w:rsid w:val="008F7AD0"/>
    <w:rsid w:val="009008BA"/>
    <w:rsid w:val="00901CEA"/>
    <w:rsid w:val="00902A03"/>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793"/>
    <w:rsid w:val="009236A8"/>
    <w:rsid w:val="00923FF8"/>
    <w:rsid w:val="00924FC4"/>
    <w:rsid w:val="009252CC"/>
    <w:rsid w:val="009273C3"/>
    <w:rsid w:val="00927D8A"/>
    <w:rsid w:val="009319E7"/>
    <w:rsid w:val="00932015"/>
    <w:rsid w:val="00934714"/>
    <w:rsid w:val="00940545"/>
    <w:rsid w:val="009412A9"/>
    <w:rsid w:val="00941A71"/>
    <w:rsid w:val="00942689"/>
    <w:rsid w:val="009440E1"/>
    <w:rsid w:val="0094416A"/>
    <w:rsid w:val="009449BD"/>
    <w:rsid w:val="00946AEE"/>
    <w:rsid w:val="00947D33"/>
    <w:rsid w:val="009503D2"/>
    <w:rsid w:val="009505F5"/>
    <w:rsid w:val="00951A05"/>
    <w:rsid w:val="009525C7"/>
    <w:rsid w:val="009529A2"/>
    <w:rsid w:val="00953793"/>
    <w:rsid w:val="00954C7D"/>
    <w:rsid w:val="00955F78"/>
    <w:rsid w:val="00961E2E"/>
    <w:rsid w:val="00962CDB"/>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345C"/>
    <w:rsid w:val="0098596E"/>
    <w:rsid w:val="00986B3E"/>
    <w:rsid w:val="00990E25"/>
    <w:rsid w:val="00992A09"/>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2F3A"/>
    <w:rsid w:val="009B4B42"/>
    <w:rsid w:val="009B53CB"/>
    <w:rsid w:val="009B5EBF"/>
    <w:rsid w:val="009B6E5A"/>
    <w:rsid w:val="009B7127"/>
    <w:rsid w:val="009B7478"/>
    <w:rsid w:val="009B7E46"/>
    <w:rsid w:val="009C024A"/>
    <w:rsid w:val="009C281C"/>
    <w:rsid w:val="009C29AD"/>
    <w:rsid w:val="009C2B95"/>
    <w:rsid w:val="009C2C0A"/>
    <w:rsid w:val="009C2F03"/>
    <w:rsid w:val="009C3478"/>
    <w:rsid w:val="009C36E7"/>
    <w:rsid w:val="009C5538"/>
    <w:rsid w:val="009C58AD"/>
    <w:rsid w:val="009C69FD"/>
    <w:rsid w:val="009C6D77"/>
    <w:rsid w:val="009C6D7D"/>
    <w:rsid w:val="009C75F5"/>
    <w:rsid w:val="009D0D7F"/>
    <w:rsid w:val="009D10B3"/>
    <w:rsid w:val="009D398C"/>
    <w:rsid w:val="009D40CD"/>
    <w:rsid w:val="009D4B7C"/>
    <w:rsid w:val="009D77C9"/>
    <w:rsid w:val="009D790F"/>
    <w:rsid w:val="009E0FED"/>
    <w:rsid w:val="009E2E37"/>
    <w:rsid w:val="009E3B47"/>
    <w:rsid w:val="009E4829"/>
    <w:rsid w:val="009E4898"/>
    <w:rsid w:val="009E5B76"/>
    <w:rsid w:val="009E62B9"/>
    <w:rsid w:val="009E772B"/>
    <w:rsid w:val="009E7788"/>
    <w:rsid w:val="009F1653"/>
    <w:rsid w:val="009F3B87"/>
    <w:rsid w:val="00A02734"/>
    <w:rsid w:val="00A02981"/>
    <w:rsid w:val="00A02D47"/>
    <w:rsid w:val="00A05E81"/>
    <w:rsid w:val="00A06364"/>
    <w:rsid w:val="00A065B1"/>
    <w:rsid w:val="00A06CD4"/>
    <w:rsid w:val="00A07D4A"/>
    <w:rsid w:val="00A10474"/>
    <w:rsid w:val="00A11AA0"/>
    <w:rsid w:val="00A12D89"/>
    <w:rsid w:val="00A1317C"/>
    <w:rsid w:val="00A13945"/>
    <w:rsid w:val="00A13BFD"/>
    <w:rsid w:val="00A14BBE"/>
    <w:rsid w:val="00A15021"/>
    <w:rsid w:val="00A169AD"/>
    <w:rsid w:val="00A210ED"/>
    <w:rsid w:val="00A212BF"/>
    <w:rsid w:val="00A220C9"/>
    <w:rsid w:val="00A223DA"/>
    <w:rsid w:val="00A22816"/>
    <w:rsid w:val="00A23BF1"/>
    <w:rsid w:val="00A2452A"/>
    <w:rsid w:val="00A24D0C"/>
    <w:rsid w:val="00A2667D"/>
    <w:rsid w:val="00A26D04"/>
    <w:rsid w:val="00A32DA5"/>
    <w:rsid w:val="00A3329D"/>
    <w:rsid w:val="00A347ED"/>
    <w:rsid w:val="00A3588F"/>
    <w:rsid w:val="00A36900"/>
    <w:rsid w:val="00A3724E"/>
    <w:rsid w:val="00A3797B"/>
    <w:rsid w:val="00A41034"/>
    <w:rsid w:val="00A447D0"/>
    <w:rsid w:val="00A463D9"/>
    <w:rsid w:val="00A46429"/>
    <w:rsid w:val="00A47BE3"/>
    <w:rsid w:val="00A52434"/>
    <w:rsid w:val="00A52533"/>
    <w:rsid w:val="00A56601"/>
    <w:rsid w:val="00A57533"/>
    <w:rsid w:val="00A61FD8"/>
    <w:rsid w:val="00A620F1"/>
    <w:rsid w:val="00A6263B"/>
    <w:rsid w:val="00A6672B"/>
    <w:rsid w:val="00A70623"/>
    <w:rsid w:val="00A719C9"/>
    <w:rsid w:val="00A72AF9"/>
    <w:rsid w:val="00A768DA"/>
    <w:rsid w:val="00A77A94"/>
    <w:rsid w:val="00A80B93"/>
    <w:rsid w:val="00A81526"/>
    <w:rsid w:val="00A82AD5"/>
    <w:rsid w:val="00A83A48"/>
    <w:rsid w:val="00A84398"/>
    <w:rsid w:val="00A8597D"/>
    <w:rsid w:val="00A86046"/>
    <w:rsid w:val="00A861AF"/>
    <w:rsid w:val="00A864DD"/>
    <w:rsid w:val="00A86734"/>
    <w:rsid w:val="00A87A07"/>
    <w:rsid w:val="00A90B91"/>
    <w:rsid w:val="00A90E2A"/>
    <w:rsid w:val="00A90E90"/>
    <w:rsid w:val="00A90FED"/>
    <w:rsid w:val="00A921C7"/>
    <w:rsid w:val="00A93662"/>
    <w:rsid w:val="00A94000"/>
    <w:rsid w:val="00A970D7"/>
    <w:rsid w:val="00A976E9"/>
    <w:rsid w:val="00A9777E"/>
    <w:rsid w:val="00AA2524"/>
    <w:rsid w:val="00AA2C49"/>
    <w:rsid w:val="00AA3430"/>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058"/>
    <w:rsid w:val="00AD0189"/>
    <w:rsid w:val="00AD309C"/>
    <w:rsid w:val="00AD6678"/>
    <w:rsid w:val="00AD7130"/>
    <w:rsid w:val="00AE0218"/>
    <w:rsid w:val="00AE164A"/>
    <w:rsid w:val="00AE35E9"/>
    <w:rsid w:val="00AE467F"/>
    <w:rsid w:val="00AE46DC"/>
    <w:rsid w:val="00AE49FC"/>
    <w:rsid w:val="00AE4AF2"/>
    <w:rsid w:val="00AE53E8"/>
    <w:rsid w:val="00AE7267"/>
    <w:rsid w:val="00AF12D2"/>
    <w:rsid w:val="00AF297B"/>
    <w:rsid w:val="00AF337D"/>
    <w:rsid w:val="00AF4208"/>
    <w:rsid w:val="00AF4C4D"/>
    <w:rsid w:val="00AF5931"/>
    <w:rsid w:val="00AF5C03"/>
    <w:rsid w:val="00AF65C0"/>
    <w:rsid w:val="00AF7264"/>
    <w:rsid w:val="00AF7575"/>
    <w:rsid w:val="00B00086"/>
    <w:rsid w:val="00B00330"/>
    <w:rsid w:val="00B00EEF"/>
    <w:rsid w:val="00B049DB"/>
    <w:rsid w:val="00B04B8B"/>
    <w:rsid w:val="00B04F3C"/>
    <w:rsid w:val="00B04FCA"/>
    <w:rsid w:val="00B05510"/>
    <w:rsid w:val="00B0740B"/>
    <w:rsid w:val="00B078B3"/>
    <w:rsid w:val="00B1039A"/>
    <w:rsid w:val="00B11685"/>
    <w:rsid w:val="00B11DE6"/>
    <w:rsid w:val="00B142F7"/>
    <w:rsid w:val="00B172E7"/>
    <w:rsid w:val="00B20E88"/>
    <w:rsid w:val="00B216F8"/>
    <w:rsid w:val="00B25948"/>
    <w:rsid w:val="00B2627E"/>
    <w:rsid w:val="00B26E18"/>
    <w:rsid w:val="00B27289"/>
    <w:rsid w:val="00B30FDF"/>
    <w:rsid w:val="00B3248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73BC"/>
    <w:rsid w:val="00B57818"/>
    <w:rsid w:val="00B6358D"/>
    <w:rsid w:val="00B64F71"/>
    <w:rsid w:val="00B66E82"/>
    <w:rsid w:val="00B70939"/>
    <w:rsid w:val="00B711DA"/>
    <w:rsid w:val="00B71547"/>
    <w:rsid w:val="00B7154C"/>
    <w:rsid w:val="00B71A90"/>
    <w:rsid w:val="00B74803"/>
    <w:rsid w:val="00B75201"/>
    <w:rsid w:val="00B7559F"/>
    <w:rsid w:val="00B763D5"/>
    <w:rsid w:val="00B8046C"/>
    <w:rsid w:val="00B81514"/>
    <w:rsid w:val="00B81CA5"/>
    <w:rsid w:val="00B83981"/>
    <w:rsid w:val="00B8494B"/>
    <w:rsid w:val="00B859B8"/>
    <w:rsid w:val="00B876E2"/>
    <w:rsid w:val="00B90B9D"/>
    <w:rsid w:val="00B915D5"/>
    <w:rsid w:val="00B91D3C"/>
    <w:rsid w:val="00B9259C"/>
    <w:rsid w:val="00B96268"/>
    <w:rsid w:val="00B976D5"/>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0AC9"/>
    <w:rsid w:val="00BC2C4D"/>
    <w:rsid w:val="00BC4C69"/>
    <w:rsid w:val="00BD0DBE"/>
    <w:rsid w:val="00BD189F"/>
    <w:rsid w:val="00BD1A2F"/>
    <w:rsid w:val="00BD2D5F"/>
    <w:rsid w:val="00BD4719"/>
    <w:rsid w:val="00BD4E6F"/>
    <w:rsid w:val="00BD5538"/>
    <w:rsid w:val="00BD6177"/>
    <w:rsid w:val="00BD757C"/>
    <w:rsid w:val="00BE11B8"/>
    <w:rsid w:val="00BE13FD"/>
    <w:rsid w:val="00BE2447"/>
    <w:rsid w:val="00BE4299"/>
    <w:rsid w:val="00BE465B"/>
    <w:rsid w:val="00BE56B5"/>
    <w:rsid w:val="00BE67F4"/>
    <w:rsid w:val="00BE71FC"/>
    <w:rsid w:val="00BE7F07"/>
    <w:rsid w:val="00BF0402"/>
    <w:rsid w:val="00BF156A"/>
    <w:rsid w:val="00BF2AB7"/>
    <w:rsid w:val="00BF4B08"/>
    <w:rsid w:val="00BF5EEE"/>
    <w:rsid w:val="00BF671B"/>
    <w:rsid w:val="00C03378"/>
    <w:rsid w:val="00C037DE"/>
    <w:rsid w:val="00C04DD3"/>
    <w:rsid w:val="00C051CC"/>
    <w:rsid w:val="00C06228"/>
    <w:rsid w:val="00C06356"/>
    <w:rsid w:val="00C0697A"/>
    <w:rsid w:val="00C06BA3"/>
    <w:rsid w:val="00C06BAC"/>
    <w:rsid w:val="00C1054E"/>
    <w:rsid w:val="00C12DD1"/>
    <w:rsid w:val="00C1375C"/>
    <w:rsid w:val="00C208E0"/>
    <w:rsid w:val="00C20D61"/>
    <w:rsid w:val="00C222DC"/>
    <w:rsid w:val="00C2245B"/>
    <w:rsid w:val="00C23E3B"/>
    <w:rsid w:val="00C26C72"/>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3B0"/>
    <w:rsid w:val="00C464AB"/>
    <w:rsid w:val="00C46BBC"/>
    <w:rsid w:val="00C472A6"/>
    <w:rsid w:val="00C47FA6"/>
    <w:rsid w:val="00C51108"/>
    <w:rsid w:val="00C55588"/>
    <w:rsid w:val="00C559FF"/>
    <w:rsid w:val="00C603B7"/>
    <w:rsid w:val="00C61526"/>
    <w:rsid w:val="00C626FB"/>
    <w:rsid w:val="00C62EA4"/>
    <w:rsid w:val="00C64864"/>
    <w:rsid w:val="00C64884"/>
    <w:rsid w:val="00C64B57"/>
    <w:rsid w:val="00C64BA1"/>
    <w:rsid w:val="00C663D6"/>
    <w:rsid w:val="00C70EC6"/>
    <w:rsid w:val="00C7142B"/>
    <w:rsid w:val="00C715A5"/>
    <w:rsid w:val="00C74D60"/>
    <w:rsid w:val="00C76031"/>
    <w:rsid w:val="00C767FF"/>
    <w:rsid w:val="00C8064C"/>
    <w:rsid w:val="00C857A4"/>
    <w:rsid w:val="00C85A71"/>
    <w:rsid w:val="00C87D4F"/>
    <w:rsid w:val="00C87EEC"/>
    <w:rsid w:val="00C90C16"/>
    <w:rsid w:val="00C90EFF"/>
    <w:rsid w:val="00C9138A"/>
    <w:rsid w:val="00C940C7"/>
    <w:rsid w:val="00C95EB3"/>
    <w:rsid w:val="00C97AFD"/>
    <w:rsid w:val="00C97C21"/>
    <w:rsid w:val="00CA0D1C"/>
    <w:rsid w:val="00CA159F"/>
    <w:rsid w:val="00CA166B"/>
    <w:rsid w:val="00CA17CF"/>
    <w:rsid w:val="00CA238B"/>
    <w:rsid w:val="00CA6C47"/>
    <w:rsid w:val="00CB01B6"/>
    <w:rsid w:val="00CB0711"/>
    <w:rsid w:val="00CB0E66"/>
    <w:rsid w:val="00CB12CC"/>
    <w:rsid w:val="00CB1835"/>
    <w:rsid w:val="00CB1CF4"/>
    <w:rsid w:val="00CB1F58"/>
    <w:rsid w:val="00CB3D28"/>
    <w:rsid w:val="00CB5235"/>
    <w:rsid w:val="00CB5342"/>
    <w:rsid w:val="00CB5943"/>
    <w:rsid w:val="00CB69F6"/>
    <w:rsid w:val="00CB7655"/>
    <w:rsid w:val="00CC03AF"/>
    <w:rsid w:val="00CC0652"/>
    <w:rsid w:val="00CC0C19"/>
    <w:rsid w:val="00CC23C0"/>
    <w:rsid w:val="00CC48B3"/>
    <w:rsid w:val="00CC5C38"/>
    <w:rsid w:val="00CC5D47"/>
    <w:rsid w:val="00CC6D45"/>
    <w:rsid w:val="00CC70BC"/>
    <w:rsid w:val="00CD141F"/>
    <w:rsid w:val="00CD2705"/>
    <w:rsid w:val="00CD34D7"/>
    <w:rsid w:val="00CD49B3"/>
    <w:rsid w:val="00CD5472"/>
    <w:rsid w:val="00CD6793"/>
    <w:rsid w:val="00CD6A02"/>
    <w:rsid w:val="00CD6E2E"/>
    <w:rsid w:val="00CD70C4"/>
    <w:rsid w:val="00CD7172"/>
    <w:rsid w:val="00CD7509"/>
    <w:rsid w:val="00CD7C8A"/>
    <w:rsid w:val="00CE0EC0"/>
    <w:rsid w:val="00CE1E70"/>
    <w:rsid w:val="00CE229B"/>
    <w:rsid w:val="00CE520B"/>
    <w:rsid w:val="00CE5BD8"/>
    <w:rsid w:val="00CE7545"/>
    <w:rsid w:val="00CF0C6E"/>
    <w:rsid w:val="00CF26AD"/>
    <w:rsid w:val="00CF2EA9"/>
    <w:rsid w:val="00CF3F33"/>
    <w:rsid w:val="00CF41D1"/>
    <w:rsid w:val="00CF5D3B"/>
    <w:rsid w:val="00CF643C"/>
    <w:rsid w:val="00CF6496"/>
    <w:rsid w:val="00CF65EB"/>
    <w:rsid w:val="00CF7C2B"/>
    <w:rsid w:val="00D00E8D"/>
    <w:rsid w:val="00D01528"/>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4C6D"/>
    <w:rsid w:val="00D1659D"/>
    <w:rsid w:val="00D16656"/>
    <w:rsid w:val="00D16B36"/>
    <w:rsid w:val="00D17554"/>
    <w:rsid w:val="00D175F5"/>
    <w:rsid w:val="00D21748"/>
    <w:rsid w:val="00D21E27"/>
    <w:rsid w:val="00D23D2D"/>
    <w:rsid w:val="00D241CD"/>
    <w:rsid w:val="00D25085"/>
    <w:rsid w:val="00D2646F"/>
    <w:rsid w:val="00D267D6"/>
    <w:rsid w:val="00D2718C"/>
    <w:rsid w:val="00D30753"/>
    <w:rsid w:val="00D3182B"/>
    <w:rsid w:val="00D33A36"/>
    <w:rsid w:val="00D34AFA"/>
    <w:rsid w:val="00D3565D"/>
    <w:rsid w:val="00D35A9E"/>
    <w:rsid w:val="00D37F82"/>
    <w:rsid w:val="00D414C8"/>
    <w:rsid w:val="00D42841"/>
    <w:rsid w:val="00D4302B"/>
    <w:rsid w:val="00D43D79"/>
    <w:rsid w:val="00D447A2"/>
    <w:rsid w:val="00D4528C"/>
    <w:rsid w:val="00D452B6"/>
    <w:rsid w:val="00D4544A"/>
    <w:rsid w:val="00D53C1D"/>
    <w:rsid w:val="00D53E23"/>
    <w:rsid w:val="00D548C4"/>
    <w:rsid w:val="00D54B86"/>
    <w:rsid w:val="00D54D5C"/>
    <w:rsid w:val="00D5698E"/>
    <w:rsid w:val="00D570F3"/>
    <w:rsid w:val="00D57973"/>
    <w:rsid w:val="00D60A39"/>
    <w:rsid w:val="00D61753"/>
    <w:rsid w:val="00D62556"/>
    <w:rsid w:val="00D64129"/>
    <w:rsid w:val="00D64B4D"/>
    <w:rsid w:val="00D65DB0"/>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370F"/>
    <w:rsid w:val="00DB410A"/>
    <w:rsid w:val="00DB4AEB"/>
    <w:rsid w:val="00DB4BD4"/>
    <w:rsid w:val="00DB5E7A"/>
    <w:rsid w:val="00DB6EF2"/>
    <w:rsid w:val="00DB7084"/>
    <w:rsid w:val="00DB70F5"/>
    <w:rsid w:val="00DB769F"/>
    <w:rsid w:val="00DC0203"/>
    <w:rsid w:val="00DC1285"/>
    <w:rsid w:val="00DC3A23"/>
    <w:rsid w:val="00DC4238"/>
    <w:rsid w:val="00DC43AF"/>
    <w:rsid w:val="00DC7AE2"/>
    <w:rsid w:val="00DD04CC"/>
    <w:rsid w:val="00DD3A8F"/>
    <w:rsid w:val="00DD4ABB"/>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E0251E"/>
    <w:rsid w:val="00E0256C"/>
    <w:rsid w:val="00E03285"/>
    <w:rsid w:val="00E06B34"/>
    <w:rsid w:val="00E106EF"/>
    <w:rsid w:val="00E1143D"/>
    <w:rsid w:val="00E13904"/>
    <w:rsid w:val="00E14D11"/>
    <w:rsid w:val="00E15477"/>
    <w:rsid w:val="00E17F80"/>
    <w:rsid w:val="00E2105A"/>
    <w:rsid w:val="00E21452"/>
    <w:rsid w:val="00E22649"/>
    <w:rsid w:val="00E22A7B"/>
    <w:rsid w:val="00E2523B"/>
    <w:rsid w:val="00E27689"/>
    <w:rsid w:val="00E27D42"/>
    <w:rsid w:val="00E304CD"/>
    <w:rsid w:val="00E30A92"/>
    <w:rsid w:val="00E30C7C"/>
    <w:rsid w:val="00E31C30"/>
    <w:rsid w:val="00E320F6"/>
    <w:rsid w:val="00E33C7C"/>
    <w:rsid w:val="00E34AB6"/>
    <w:rsid w:val="00E41256"/>
    <w:rsid w:val="00E4301A"/>
    <w:rsid w:val="00E43ADC"/>
    <w:rsid w:val="00E45E83"/>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886"/>
    <w:rsid w:val="00E7211C"/>
    <w:rsid w:val="00E72D8F"/>
    <w:rsid w:val="00E734D4"/>
    <w:rsid w:val="00E74529"/>
    <w:rsid w:val="00E757A9"/>
    <w:rsid w:val="00E76876"/>
    <w:rsid w:val="00E76EFD"/>
    <w:rsid w:val="00E804F7"/>
    <w:rsid w:val="00E8328B"/>
    <w:rsid w:val="00E844C5"/>
    <w:rsid w:val="00E85017"/>
    <w:rsid w:val="00E856F2"/>
    <w:rsid w:val="00E910FD"/>
    <w:rsid w:val="00E91EF9"/>
    <w:rsid w:val="00E924F9"/>
    <w:rsid w:val="00E927A9"/>
    <w:rsid w:val="00E94A34"/>
    <w:rsid w:val="00E95A7F"/>
    <w:rsid w:val="00E96D2B"/>
    <w:rsid w:val="00E976E5"/>
    <w:rsid w:val="00E97A5E"/>
    <w:rsid w:val="00E97ACD"/>
    <w:rsid w:val="00EA17D9"/>
    <w:rsid w:val="00EA1953"/>
    <w:rsid w:val="00EA20BE"/>
    <w:rsid w:val="00EA2471"/>
    <w:rsid w:val="00EA300C"/>
    <w:rsid w:val="00EA37D0"/>
    <w:rsid w:val="00EA528F"/>
    <w:rsid w:val="00EA55DF"/>
    <w:rsid w:val="00EB1959"/>
    <w:rsid w:val="00EB2019"/>
    <w:rsid w:val="00EB252A"/>
    <w:rsid w:val="00EB2773"/>
    <w:rsid w:val="00EB2CA1"/>
    <w:rsid w:val="00EB32EE"/>
    <w:rsid w:val="00EB4A38"/>
    <w:rsid w:val="00EB4D35"/>
    <w:rsid w:val="00EB4D92"/>
    <w:rsid w:val="00EB6EFB"/>
    <w:rsid w:val="00EB70B5"/>
    <w:rsid w:val="00EC0FB6"/>
    <w:rsid w:val="00EC178C"/>
    <w:rsid w:val="00EC1A6B"/>
    <w:rsid w:val="00EC2304"/>
    <w:rsid w:val="00EC301C"/>
    <w:rsid w:val="00EC374F"/>
    <w:rsid w:val="00EC5B24"/>
    <w:rsid w:val="00EC76C1"/>
    <w:rsid w:val="00EC77A5"/>
    <w:rsid w:val="00ED036B"/>
    <w:rsid w:val="00ED04AB"/>
    <w:rsid w:val="00ED200C"/>
    <w:rsid w:val="00ED3969"/>
    <w:rsid w:val="00ED4174"/>
    <w:rsid w:val="00ED4459"/>
    <w:rsid w:val="00ED5AE7"/>
    <w:rsid w:val="00ED5C2A"/>
    <w:rsid w:val="00ED66CC"/>
    <w:rsid w:val="00ED67BE"/>
    <w:rsid w:val="00ED67F7"/>
    <w:rsid w:val="00ED6F9F"/>
    <w:rsid w:val="00EE0466"/>
    <w:rsid w:val="00EE0A69"/>
    <w:rsid w:val="00EE2786"/>
    <w:rsid w:val="00EE43EF"/>
    <w:rsid w:val="00EE5BF8"/>
    <w:rsid w:val="00EE6A94"/>
    <w:rsid w:val="00EE7E03"/>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1BB6"/>
    <w:rsid w:val="00F12BEB"/>
    <w:rsid w:val="00F12CD6"/>
    <w:rsid w:val="00F1442D"/>
    <w:rsid w:val="00F14AC1"/>
    <w:rsid w:val="00F14BEC"/>
    <w:rsid w:val="00F1571F"/>
    <w:rsid w:val="00F17D16"/>
    <w:rsid w:val="00F26214"/>
    <w:rsid w:val="00F26806"/>
    <w:rsid w:val="00F27339"/>
    <w:rsid w:val="00F275BD"/>
    <w:rsid w:val="00F34A3B"/>
    <w:rsid w:val="00F35707"/>
    <w:rsid w:val="00F42243"/>
    <w:rsid w:val="00F44066"/>
    <w:rsid w:val="00F457E6"/>
    <w:rsid w:val="00F45C84"/>
    <w:rsid w:val="00F4626A"/>
    <w:rsid w:val="00F47FC6"/>
    <w:rsid w:val="00F50D78"/>
    <w:rsid w:val="00F51758"/>
    <w:rsid w:val="00F55FBF"/>
    <w:rsid w:val="00F5785E"/>
    <w:rsid w:val="00F6111C"/>
    <w:rsid w:val="00F618FF"/>
    <w:rsid w:val="00F62D81"/>
    <w:rsid w:val="00F6497B"/>
    <w:rsid w:val="00F650EC"/>
    <w:rsid w:val="00F67722"/>
    <w:rsid w:val="00F71162"/>
    <w:rsid w:val="00F7184D"/>
    <w:rsid w:val="00F71A58"/>
    <w:rsid w:val="00F71B46"/>
    <w:rsid w:val="00F72F0A"/>
    <w:rsid w:val="00F73477"/>
    <w:rsid w:val="00F735A6"/>
    <w:rsid w:val="00F73770"/>
    <w:rsid w:val="00F7382A"/>
    <w:rsid w:val="00F74B79"/>
    <w:rsid w:val="00F74D1E"/>
    <w:rsid w:val="00F74EDA"/>
    <w:rsid w:val="00F75969"/>
    <w:rsid w:val="00F75B84"/>
    <w:rsid w:val="00F76461"/>
    <w:rsid w:val="00F76927"/>
    <w:rsid w:val="00F7693B"/>
    <w:rsid w:val="00F77248"/>
    <w:rsid w:val="00F77B85"/>
    <w:rsid w:val="00F77C10"/>
    <w:rsid w:val="00F8093E"/>
    <w:rsid w:val="00F80D7E"/>
    <w:rsid w:val="00F81648"/>
    <w:rsid w:val="00F81E25"/>
    <w:rsid w:val="00F82850"/>
    <w:rsid w:val="00F83052"/>
    <w:rsid w:val="00F8463D"/>
    <w:rsid w:val="00F850D6"/>
    <w:rsid w:val="00F85533"/>
    <w:rsid w:val="00F86925"/>
    <w:rsid w:val="00F86C1F"/>
    <w:rsid w:val="00F86D1D"/>
    <w:rsid w:val="00F87279"/>
    <w:rsid w:val="00F90768"/>
    <w:rsid w:val="00F9080C"/>
    <w:rsid w:val="00F90DD6"/>
    <w:rsid w:val="00F9389D"/>
    <w:rsid w:val="00F947FD"/>
    <w:rsid w:val="00F958F1"/>
    <w:rsid w:val="00F96845"/>
    <w:rsid w:val="00FA1682"/>
    <w:rsid w:val="00FA16AB"/>
    <w:rsid w:val="00FA195A"/>
    <w:rsid w:val="00FA1B12"/>
    <w:rsid w:val="00FA1B37"/>
    <w:rsid w:val="00FA1B7F"/>
    <w:rsid w:val="00FA2F92"/>
    <w:rsid w:val="00FA40C4"/>
    <w:rsid w:val="00FA6447"/>
    <w:rsid w:val="00FA6D98"/>
    <w:rsid w:val="00FA73FC"/>
    <w:rsid w:val="00FA75CE"/>
    <w:rsid w:val="00FA782F"/>
    <w:rsid w:val="00FB0CAA"/>
    <w:rsid w:val="00FB1AA3"/>
    <w:rsid w:val="00FB259B"/>
    <w:rsid w:val="00FB4452"/>
    <w:rsid w:val="00FB6216"/>
    <w:rsid w:val="00FB6A97"/>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4A0"/>
    <w:rsid w:val="00FE3877"/>
    <w:rsid w:val="00FE3CC5"/>
    <w:rsid w:val="00FE576A"/>
    <w:rsid w:val="00FE6E42"/>
    <w:rsid w:val="00FF0184"/>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aliases w:val="Char Char"/>
    <w:basedOn w:val="Normal"/>
    <w:link w:val="FootnoteTextChar"/>
    <w:uiPriority w:val="99"/>
    <w:semiHidden/>
    <w:unhideWhenUsed/>
    <w:rsid w:val="008454FA"/>
    <w:rPr>
      <w:sz w:val="20"/>
      <w:szCs w:val="20"/>
    </w:rPr>
  </w:style>
  <w:style w:type="character" w:customStyle="1" w:styleId="FootnoteTextChar">
    <w:name w:val="Footnote Text Char"/>
    <w:aliases w:val="Char Char Char"/>
    <w:basedOn w:val="DefaultParagraphFont"/>
    <w:link w:val="FootnoteText"/>
    <w:uiPriority w:val="99"/>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843059370">
      <w:bodyDiv w:val="1"/>
      <w:marLeft w:val="0"/>
      <w:marRight w:val="0"/>
      <w:marTop w:val="0"/>
      <w:marBottom w:val="0"/>
      <w:divBdr>
        <w:top w:val="none" w:sz="0" w:space="0" w:color="auto"/>
        <w:left w:val="none" w:sz="0" w:space="0" w:color="auto"/>
        <w:bottom w:val="none" w:sz="0" w:space="0" w:color="auto"/>
        <w:right w:val="none" w:sz="0" w:space="0" w:color="auto"/>
      </w:divBdr>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53A1-34A1-4EEB-A2CB-EB4403E4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Mokone</cp:lastModifiedBy>
  <cp:revision>2</cp:revision>
  <cp:lastPrinted>2023-03-17T12:49:00Z</cp:lastPrinted>
  <dcterms:created xsi:type="dcterms:W3CDTF">2023-05-04T07:36:00Z</dcterms:created>
  <dcterms:modified xsi:type="dcterms:W3CDTF">2023-05-04T07:36:00Z</dcterms:modified>
</cp:coreProperties>
</file>