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5C901" w14:textId="77777777" w:rsidR="005C7D79" w:rsidRPr="000160FF" w:rsidRDefault="005C7D79" w:rsidP="005C7D79">
      <w:pPr>
        <w:spacing w:line="480" w:lineRule="auto"/>
        <w:ind w:right="85"/>
        <w:rPr>
          <w:rFonts w:cs="Tahoma"/>
          <w:snapToGrid w:val="0"/>
          <w:szCs w:val="24"/>
        </w:rPr>
      </w:pPr>
      <w:r w:rsidRPr="000160FF">
        <w:rPr>
          <w:rFonts w:cs="Tahoma"/>
          <w:snapToGrid w:val="0"/>
          <w:szCs w:val="24"/>
        </w:rPr>
        <w:t>IN THE HIGH COURT OF SOUTH AFRICA</w:t>
      </w:r>
    </w:p>
    <w:p w14:paraId="047CDE18" w14:textId="5A334E09" w:rsidR="005C7D79" w:rsidRPr="000160FF" w:rsidRDefault="005C7D79" w:rsidP="005C7D79">
      <w:pPr>
        <w:spacing w:line="480" w:lineRule="auto"/>
        <w:ind w:right="85"/>
        <w:rPr>
          <w:rFonts w:cs="Tahoma"/>
          <w:snapToGrid w:val="0"/>
          <w:szCs w:val="24"/>
        </w:rPr>
      </w:pPr>
      <w:r w:rsidRPr="000160FF">
        <w:rPr>
          <w:rFonts w:cs="Tahoma"/>
          <w:snapToGrid w:val="0"/>
          <w:szCs w:val="24"/>
        </w:rPr>
        <w:t>EASTERN CAPE</w:t>
      </w:r>
      <w:r w:rsidR="00CC32B3">
        <w:rPr>
          <w:rFonts w:cs="Tahoma"/>
          <w:snapToGrid w:val="0"/>
          <w:szCs w:val="24"/>
        </w:rPr>
        <w:t xml:space="preserve"> </w:t>
      </w:r>
      <w:r w:rsidRPr="000160FF">
        <w:rPr>
          <w:rFonts w:cs="Tahoma"/>
          <w:snapToGrid w:val="0"/>
          <w:szCs w:val="24"/>
        </w:rPr>
        <w:t xml:space="preserve">DIVISION, </w:t>
      </w:r>
      <w:r w:rsidR="00D13BBD">
        <w:rPr>
          <w:rFonts w:cs="Tahoma"/>
          <w:snapToGrid w:val="0"/>
          <w:szCs w:val="24"/>
        </w:rPr>
        <w:t>MAKHANDA</w:t>
      </w:r>
    </w:p>
    <w:p w14:paraId="4560F112" w14:textId="20B58D84" w:rsidR="005C7D79" w:rsidRPr="000160FF" w:rsidRDefault="005C7D79" w:rsidP="005C7D79">
      <w:pPr>
        <w:spacing w:line="480" w:lineRule="auto"/>
        <w:ind w:left="4320"/>
        <w:rPr>
          <w:rFonts w:eastAsia="Times New Roman" w:cs="Tahoma"/>
          <w:bCs/>
          <w:noProof/>
          <w:szCs w:val="24"/>
        </w:rPr>
      </w:pPr>
      <w:r w:rsidRPr="000160FF">
        <w:rPr>
          <w:rFonts w:eastAsia="Times New Roman" w:cs="Tahoma"/>
          <w:bCs/>
          <w:noProof/>
          <w:szCs w:val="24"/>
        </w:rPr>
        <w:tab/>
      </w:r>
      <w:r w:rsidRPr="000160FF">
        <w:rPr>
          <w:rFonts w:eastAsia="Times New Roman" w:cs="Tahoma"/>
          <w:bCs/>
          <w:noProof/>
          <w:szCs w:val="24"/>
        </w:rPr>
        <w:tab/>
        <w:t xml:space="preserve">Case No.: </w:t>
      </w:r>
      <w:r w:rsidR="00D834EE">
        <w:rPr>
          <w:rFonts w:eastAsia="Times New Roman" w:cs="Tahoma"/>
          <w:bCs/>
          <w:noProof/>
          <w:szCs w:val="24"/>
        </w:rPr>
        <w:t>CA&amp;</w:t>
      </w:r>
      <w:r w:rsidR="00D13BBD">
        <w:rPr>
          <w:rFonts w:eastAsia="Times New Roman" w:cs="Tahoma"/>
          <w:bCs/>
          <w:noProof/>
          <w:szCs w:val="24"/>
        </w:rPr>
        <w:t>R 214/</w:t>
      </w:r>
      <w:r w:rsidR="00D834EE">
        <w:rPr>
          <w:rFonts w:eastAsia="Times New Roman" w:cs="Tahoma"/>
          <w:bCs/>
          <w:noProof/>
          <w:szCs w:val="24"/>
        </w:rPr>
        <w:t>20</w:t>
      </w:r>
      <w:r w:rsidR="00D13BBD">
        <w:rPr>
          <w:rFonts w:eastAsia="Times New Roman" w:cs="Tahoma"/>
          <w:bCs/>
          <w:noProof/>
          <w:szCs w:val="24"/>
        </w:rPr>
        <w:t>22</w:t>
      </w:r>
    </w:p>
    <w:p w14:paraId="2DAA2DC1" w14:textId="0BAAAE4C" w:rsidR="005C7D79" w:rsidRPr="000160FF" w:rsidRDefault="005C7D79" w:rsidP="005C7D79">
      <w:pPr>
        <w:spacing w:line="480" w:lineRule="auto"/>
        <w:ind w:left="4320"/>
        <w:rPr>
          <w:rFonts w:eastAsia="Times New Roman" w:cs="Tahoma"/>
          <w:noProof/>
          <w:szCs w:val="24"/>
        </w:rPr>
      </w:pPr>
      <w:r w:rsidRPr="000160FF">
        <w:rPr>
          <w:rFonts w:eastAsia="Times New Roman" w:cs="Tahoma"/>
          <w:bCs/>
          <w:noProof/>
          <w:szCs w:val="24"/>
        </w:rPr>
        <w:tab/>
      </w:r>
      <w:r w:rsidRPr="000160FF">
        <w:rPr>
          <w:rFonts w:eastAsia="Times New Roman" w:cs="Tahoma"/>
          <w:bCs/>
          <w:noProof/>
          <w:szCs w:val="24"/>
        </w:rPr>
        <w:tab/>
        <w:t xml:space="preserve">Date Heard:  </w:t>
      </w:r>
      <w:r w:rsidR="00D13BBD">
        <w:rPr>
          <w:rFonts w:eastAsia="Times New Roman" w:cs="Tahoma"/>
          <w:bCs/>
          <w:noProof/>
          <w:szCs w:val="24"/>
        </w:rPr>
        <w:t>3 May 2023</w:t>
      </w:r>
    </w:p>
    <w:p w14:paraId="39B7F340" w14:textId="6B493751" w:rsidR="005C7D79" w:rsidRPr="000160FF" w:rsidRDefault="005C7D79" w:rsidP="005C7D79">
      <w:pPr>
        <w:spacing w:line="480" w:lineRule="auto"/>
        <w:ind w:left="4320"/>
        <w:rPr>
          <w:rFonts w:eastAsia="Times New Roman" w:cs="Tahoma"/>
          <w:noProof/>
          <w:szCs w:val="24"/>
        </w:rPr>
      </w:pPr>
      <w:r w:rsidRPr="000160FF">
        <w:rPr>
          <w:rFonts w:eastAsia="Times New Roman" w:cs="Tahoma"/>
          <w:noProof/>
          <w:szCs w:val="24"/>
        </w:rPr>
        <w:tab/>
      </w:r>
      <w:r w:rsidRPr="000160FF">
        <w:rPr>
          <w:rFonts w:eastAsia="Times New Roman" w:cs="Tahoma"/>
          <w:noProof/>
          <w:szCs w:val="24"/>
        </w:rPr>
        <w:tab/>
        <w:t>Date Delivered:</w:t>
      </w:r>
      <w:r w:rsidR="002358C5">
        <w:rPr>
          <w:rFonts w:eastAsia="Times New Roman" w:cs="Tahoma"/>
          <w:noProof/>
          <w:szCs w:val="24"/>
        </w:rPr>
        <w:t xml:space="preserve"> 4 May 2023</w:t>
      </w:r>
      <w:r w:rsidRPr="000160FF">
        <w:rPr>
          <w:rFonts w:eastAsia="Times New Roman" w:cs="Tahoma"/>
          <w:noProof/>
          <w:szCs w:val="24"/>
        </w:rPr>
        <w:t xml:space="preserve">  </w:t>
      </w:r>
    </w:p>
    <w:p w14:paraId="330D2746" w14:textId="77777777" w:rsidR="005C7D79" w:rsidRPr="000160FF" w:rsidRDefault="005C7D79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  <w:r w:rsidRPr="000160FF">
        <w:rPr>
          <w:rFonts w:eastAsia="Times New Roman" w:cs="Tahoma"/>
          <w:noProof/>
          <w:szCs w:val="24"/>
        </w:rPr>
        <w:t>In the matter between:</w:t>
      </w:r>
    </w:p>
    <w:p w14:paraId="1AA879F4" w14:textId="77777777" w:rsidR="005C7D79" w:rsidRPr="000160FF" w:rsidRDefault="005C7D79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</w:p>
    <w:p w14:paraId="4C5B5118" w14:textId="02710F55" w:rsidR="005C7D79" w:rsidRPr="000160FF" w:rsidRDefault="00D13BBD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  <w:r>
        <w:rPr>
          <w:rFonts w:eastAsia="Times New Roman" w:cs="Tahoma"/>
          <w:noProof/>
          <w:szCs w:val="24"/>
        </w:rPr>
        <w:t>LEE ROY ARIN MAPOE</w:t>
      </w:r>
      <w:r w:rsidR="00330EB0" w:rsidRPr="000160FF">
        <w:rPr>
          <w:rFonts w:eastAsia="Times New Roman" w:cs="Tahoma"/>
          <w:b/>
          <w:bCs/>
          <w:noProof/>
          <w:szCs w:val="24"/>
        </w:rPr>
        <w:t xml:space="preserve">    </w:t>
      </w:r>
      <w:r>
        <w:rPr>
          <w:rFonts w:eastAsia="Times New Roman" w:cs="Tahoma"/>
          <w:b/>
          <w:bCs/>
          <w:noProof/>
          <w:szCs w:val="24"/>
        </w:rPr>
        <w:t xml:space="preserve">                                                                                         </w:t>
      </w:r>
      <w:r w:rsidR="005C7D79" w:rsidRPr="000160FF">
        <w:rPr>
          <w:rFonts w:eastAsia="Times New Roman" w:cs="Tahoma"/>
          <w:noProof/>
          <w:szCs w:val="24"/>
        </w:rPr>
        <w:t>Ap</w:t>
      </w:r>
      <w:r w:rsidR="00CC32B3">
        <w:rPr>
          <w:rFonts w:eastAsia="Times New Roman" w:cs="Tahoma"/>
          <w:noProof/>
          <w:szCs w:val="24"/>
        </w:rPr>
        <w:t>p</w:t>
      </w:r>
      <w:r>
        <w:rPr>
          <w:rFonts w:eastAsia="Times New Roman" w:cs="Tahoma"/>
          <w:noProof/>
          <w:szCs w:val="24"/>
        </w:rPr>
        <w:t>ell</w:t>
      </w:r>
      <w:r w:rsidR="005C7D79" w:rsidRPr="000160FF">
        <w:rPr>
          <w:rFonts w:eastAsia="Times New Roman" w:cs="Tahoma"/>
          <w:noProof/>
          <w:szCs w:val="24"/>
        </w:rPr>
        <w:t xml:space="preserve">ant </w:t>
      </w:r>
    </w:p>
    <w:p w14:paraId="4C1AFF64" w14:textId="77777777" w:rsidR="00D13BBD" w:rsidRDefault="00D13BBD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</w:p>
    <w:p w14:paraId="2E05E871" w14:textId="4665D7F7" w:rsidR="005C7D79" w:rsidRPr="000160FF" w:rsidRDefault="005C7D79" w:rsidP="005C7D79">
      <w:pPr>
        <w:spacing w:line="480" w:lineRule="auto"/>
        <w:jc w:val="both"/>
        <w:rPr>
          <w:rFonts w:eastAsia="Times New Roman" w:cs="Tahoma"/>
          <w:noProof/>
          <w:szCs w:val="24"/>
        </w:rPr>
      </w:pPr>
      <w:r w:rsidRPr="000160FF">
        <w:rPr>
          <w:rFonts w:eastAsia="Times New Roman" w:cs="Tahoma"/>
          <w:noProof/>
          <w:szCs w:val="24"/>
        </w:rPr>
        <w:t>and</w:t>
      </w:r>
    </w:p>
    <w:p w14:paraId="05ED9DDC" w14:textId="77777777" w:rsidR="00D13BBD" w:rsidRDefault="00D13BBD" w:rsidP="005C7D79">
      <w:pPr>
        <w:tabs>
          <w:tab w:val="left" w:pos="638"/>
          <w:tab w:val="center" w:pos="4513"/>
        </w:tabs>
        <w:spacing w:line="360" w:lineRule="auto"/>
        <w:rPr>
          <w:rFonts w:eastAsia="Times New Roman" w:cs="Tahoma"/>
          <w:b/>
          <w:bCs/>
          <w:noProof/>
          <w:szCs w:val="24"/>
        </w:rPr>
      </w:pPr>
    </w:p>
    <w:p w14:paraId="76963844" w14:textId="2ED496D3" w:rsidR="005C7D79" w:rsidRPr="000160FF" w:rsidRDefault="00D13BBD" w:rsidP="005C7D79">
      <w:pPr>
        <w:tabs>
          <w:tab w:val="left" w:pos="638"/>
          <w:tab w:val="center" w:pos="4513"/>
        </w:tabs>
        <w:spacing w:line="360" w:lineRule="auto"/>
        <w:rPr>
          <w:rFonts w:cs="Tahoma"/>
          <w:b/>
          <w:szCs w:val="24"/>
        </w:rPr>
      </w:pPr>
      <w:r>
        <w:rPr>
          <w:rFonts w:eastAsia="Times New Roman" w:cs="Tahoma"/>
          <w:noProof/>
          <w:szCs w:val="24"/>
        </w:rPr>
        <w:t>THE STATE</w:t>
      </w:r>
      <w:r w:rsidR="00330EB0" w:rsidRPr="000160FF">
        <w:rPr>
          <w:rFonts w:eastAsia="Times New Roman" w:cs="Tahoma"/>
          <w:b/>
          <w:bCs/>
          <w:noProof/>
          <w:szCs w:val="24"/>
        </w:rPr>
        <w:t xml:space="preserve"> </w:t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 w:rsidR="005C7D79" w:rsidRPr="000160FF">
        <w:rPr>
          <w:rFonts w:eastAsia="Times New Roman" w:cs="Tahoma"/>
          <w:b/>
          <w:bCs/>
          <w:noProof/>
          <w:szCs w:val="24"/>
        </w:rPr>
        <w:tab/>
      </w:r>
      <w:r>
        <w:rPr>
          <w:rFonts w:eastAsia="Times New Roman" w:cs="Tahoma"/>
          <w:b/>
          <w:bCs/>
          <w:noProof/>
          <w:szCs w:val="24"/>
        </w:rPr>
        <w:t xml:space="preserve">                  </w:t>
      </w:r>
      <w:r w:rsidR="005C7D79" w:rsidRPr="000160FF">
        <w:rPr>
          <w:rFonts w:eastAsia="Times New Roman" w:cs="Tahoma"/>
          <w:bCs/>
          <w:noProof/>
          <w:szCs w:val="24"/>
        </w:rPr>
        <w:t>Respondent</w:t>
      </w:r>
    </w:p>
    <w:p w14:paraId="3E597A04" w14:textId="77777777" w:rsidR="00C157B7" w:rsidRPr="000160FF" w:rsidRDefault="00C157B7" w:rsidP="005C7D79">
      <w:pPr>
        <w:jc w:val="both"/>
        <w:rPr>
          <w:rFonts w:cs="Tahoma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81B48" w:rsidRPr="000160FF" w14:paraId="794B29CD" w14:textId="77777777" w:rsidTr="009C5CB3">
        <w:trPr>
          <w:cantSplit/>
          <w:trHeight w:val="1134"/>
        </w:trPr>
        <w:tc>
          <w:tcPr>
            <w:tcW w:w="9026" w:type="dxa"/>
            <w:shd w:val="clear" w:color="auto" w:fill="auto"/>
            <w:vAlign w:val="center"/>
          </w:tcPr>
          <w:p w14:paraId="09AAD21C" w14:textId="2890719A" w:rsidR="00B3408B" w:rsidRPr="000160FF" w:rsidRDefault="00C6369A" w:rsidP="005C7D79">
            <w:pPr>
              <w:pStyle w:val="Names"/>
              <w:spacing w:before="240" w:line="240" w:lineRule="auto"/>
              <w:jc w:val="center"/>
              <w:rPr>
                <w:rFonts w:cs="Tahoma"/>
                <w:szCs w:val="24"/>
              </w:rPr>
            </w:pPr>
            <w:r w:rsidRPr="000160FF">
              <w:rPr>
                <w:rFonts w:cs="Tahoma"/>
                <w:szCs w:val="24"/>
              </w:rPr>
              <w:t>judgment</w:t>
            </w:r>
            <w:r w:rsidR="00D13BBD">
              <w:rPr>
                <w:rFonts w:cs="Tahoma"/>
                <w:szCs w:val="24"/>
              </w:rPr>
              <w:t xml:space="preserve"> on appeal</w:t>
            </w:r>
          </w:p>
        </w:tc>
      </w:tr>
    </w:tbl>
    <w:p w14:paraId="165EB78E" w14:textId="77777777" w:rsidR="005C7D79" w:rsidRPr="000160FF" w:rsidRDefault="005C7D79" w:rsidP="005C7D79">
      <w:pPr>
        <w:pStyle w:val="H1"/>
        <w:numPr>
          <w:ilvl w:val="0"/>
          <w:numId w:val="0"/>
        </w:numPr>
        <w:spacing w:line="240" w:lineRule="auto"/>
        <w:ind w:left="567" w:hanging="567"/>
        <w:rPr>
          <w:rFonts w:cs="Tahoma"/>
          <w:b/>
          <w:szCs w:val="24"/>
          <w:u w:val="single"/>
        </w:rPr>
      </w:pPr>
    </w:p>
    <w:p w14:paraId="74CC353B" w14:textId="1CD1099B" w:rsidR="00DD655F" w:rsidRPr="00D13BBD" w:rsidRDefault="005C7D79" w:rsidP="005C7D79">
      <w:pPr>
        <w:pStyle w:val="H1"/>
        <w:numPr>
          <w:ilvl w:val="0"/>
          <w:numId w:val="0"/>
        </w:numPr>
        <w:spacing w:line="240" w:lineRule="auto"/>
        <w:ind w:left="567" w:hanging="567"/>
        <w:rPr>
          <w:rFonts w:cs="Tahoma"/>
          <w:bCs/>
          <w:szCs w:val="24"/>
        </w:rPr>
      </w:pPr>
      <w:r w:rsidRPr="00D13BBD">
        <w:rPr>
          <w:rFonts w:cs="Tahoma"/>
          <w:bCs/>
          <w:szCs w:val="24"/>
        </w:rPr>
        <w:t>RONAASEN AJ:</w:t>
      </w:r>
    </w:p>
    <w:p w14:paraId="4AB488DE" w14:textId="77777777" w:rsidR="005C7D79" w:rsidRPr="000160FF" w:rsidRDefault="005C7D79" w:rsidP="005C7D79">
      <w:pPr>
        <w:pStyle w:val="H1"/>
        <w:numPr>
          <w:ilvl w:val="0"/>
          <w:numId w:val="0"/>
        </w:numPr>
        <w:spacing w:line="240" w:lineRule="auto"/>
        <w:ind w:left="567" w:hanging="567"/>
        <w:rPr>
          <w:rFonts w:cs="Tahoma"/>
          <w:b/>
          <w:szCs w:val="24"/>
          <w:u w:val="single"/>
        </w:rPr>
      </w:pPr>
    </w:p>
    <w:p w14:paraId="75849662" w14:textId="43CF431F" w:rsidR="00565437" w:rsidRPr="000160FF" w:rsidRDefault="00565437" w:rsidP="00C41D47">
      <w:pPr>
        <w:pStyle w:val="H1"/>
        <w:numPr>
          <w:ilvl w:val="0"/>
          <w:numId w:val="0"/>
        </w:numPr>
        <w:ind w:left="567" w:hanging="567"/>
        <w:rPr>
          <w:rFonts w:cs="Tahoma"/>
          <w:b/>
          <w:bCs/>
          <w:szCs w:val="24"/>
          <w:u w:val="single"/>
        </w:rPr>
      </w:pPr>
      <w:r w:rsidRPr="000160FF">
        <w:rPr>
          <w:rFonts w:cs="Tahoma"/>
          <w:b/>
          <w:bCs/>
          <w:szCs w:val="24"/>
          <w:u w:val="single"/>
        </w:rPr>
        <w:t>Introduction</w:t>
      </w:r>
    </w:p>
    <w:p w14:paraId="014EE5FD" w14:textId="2D80E587" w:rsidR="00330EB0" w:rsidRDefault="00466CE2" w:rsidP="00466CE2">
      <w:pPr>
        <w:pStyle w:val="H1"/>
        <w:numPr>
          <w:ilvl w:val="0"/>
          <w:numId w:val="0"/>
        </w:numPr>
        <w:ind w:left="567" w:hanging="567"/>
        <w:rPr>
          <w:rFonts w:cs="Tahoma"/>
          <w:szCs w:val="24"/>
        </w:rPr>
      </w:pPr>
      <w:r>
        <w:rPr>
          <w:rFonts w:cs="Tahoma"/>
          <w:szCs w:val="24"/>
        </w:rPr>
        <w:t>[1]</w:t>
      </w:r>
      <w:r>
        <w:rPr>
          <w:rFonts w:cs="Tahoma"/>
          <w:szCs w:val="24"/>
        </w:rPr>
        <w:tab/>
      </w:r>
      <w:r w:rsidR="002F5538">
        <w:rPr>
          <w:rFonts w:cs="Tahoma"/>
          <w:szCs w:val="24"/>
        </w:rPr>
        <w:t>On 26 August 2022</w:t>
      </w:r>
      <w:r w:rsidR="00065FD8">
        <w:rPr>
          <w:rFonts w:cs="Tahoma"/>
          <w:szCs w:val="24"/>
        </w:rPr>
        <w:t>,</w:t>
      </w:r>
      <w:r w:rsidR="001841B2">
        <w:rPr>
          <w:rFonts w:cs="Tahoma"/>
          <w:szCs w:val="24"/>
        </w:rPr>
        <w:t xml:space="preserve"> in</w:t>
      </w:r>
      <w:r w:rsidR="007D48B8">
        <w:rPr>
          <w:rFonts w:cs="Tahoma"/>
          <w:szCs w:val="24"/>
        </w:rPr>
        <w:t xml:space="preserve"> the Regional Court, Gqeberha</w:t>
      </w:r>
      <w:r w:rsidR="001841B2">
        <w:rPr>
          <w:rFonts w:cs="Tahoma"/>
          <w:szCs w:val="24"/>
        </w:rPr>
        <w:t>, the appellant was convicted</w:t>
      </w:r>
      <w:r w:rsidR="007C0B42">
        <w:rPr>
          <w:rFonts w:cs="Tahoma"/>
          <w:szCs w:val="24"/>
        </w:rPr>
        <w:t xml:space="preserve"> of the following offences</w:t>
      </w:r>
      <w:r w:rsidR="001F1599">
        <w:rPr>
          <w:rFonts w:cs="Tahoma"/>
          <w:szCs w:val="24"/>
        </w:rPr>
        <w:t>:</w:t>
      </w:r>
    </w:p>
    <w:p w14:paraId="6511EE19" w14:textId="3DEC4E34" w:rsidR="00D3535A" w:rsidRDefault="00466CE2" w:rsidP="00466CE2">
      <w:pPr>
        <w:pStyle w:val="H2"/>
        <w:numPr>
          <w:ilvl w:val="0"/>
          <w:numId w:val="0"/>
        </w:numPr>
        <w:ind w:left="1418" w:hanging="851"/>
      </w:pPr>
      <w:r>
        <w:t>1.1.</w:t>
      </w:r>
      <w:r>
        <w:tab/>
      </w:r>
      <w:r w:rsidR="00D3535A">
        <w:t>Count 1 - murder, for which he was sentenced</w:t>
      </w:r>
      <w:r w:rsidR="00A82324">
        <w:t xml:space="preserve"> to imprisonment for 15 years;</w:t>
      </w:r>
    </w:p>
    <w:p w14:paraId="491CB689" w14:textId="4D89E393" w:rsidR="00A82324" w:rsidRDefault="00466CE2" w:rsidP="00466CE2">
      <w:pPr>
        <w:pStyle w:val="H2"/>
        <w:numPr>
          <w:ilvl w:val="0"/>
          <w:numId w:val="0"/>
        </w:numPr>
        <w:ind w:left="1418" w:hanging="851"/>
      </w:pPr>
      <w:r>
        <w:lastRenderedPageBreak/>
        <w:t>1.2.</w:t>
      </w:r>
      <w:r>
        <w:tab/>
      </w:r>
      <w:r w:rsidR="00A82324">
        <w:t>Count 2 -</w:t>
      </w:r>
      <w:r w:rsidR="00FA72A9">
        <w:t xml:space="preserve"> the unlawful possession of a firearm, for which he was sentenced to imprisonment</w:t>
      </w:r>
      <w:r w:rsidR="00317319">
        <w:t xml:space="preserve"> for 5 years; and</w:t>
      </w:r>
    </w:p>
    <w:p w14:paraId="0501BC5F" w14:textId="56351595" w:rsidR="00DE016F" w:rsidRDefault="00466CE2" w:rsidP="00466CE2">
      <w:pPr>
        <w:pStyle w:val="H2"/>
        <w:numPr>
          <w:ilvl w:val="0"/>
          <w:numId w:val="0"/>
        </w:numPr>
        <w:ind w:left="1418" w:hanging="851"/>
      </w:pPr>
      <w:r>
        <w:t>1.3.</w:t>
      </w:r>
      <w:r>
        <w:tab/>
      </w:r>
      <w:r w:rsidR="00DE016F">
        <w:t>Count 3 - the unlawful possession of ammunition, for which he received a sentence</w:t>
      </w:r>
      <w:r w:rsidR="00A8502B">
        <w:t xml:space="preserve"> of imprisonment for 3 years.</w:t>
      </w:r>
    </w:p>
    <w:p w14:paraId="04325B78" w14:textId="33FB994E" w:rsidR="00A8502B" w:rsidRDefault="00466CE2" w:rsidP="00466CE2">
      <w:pPr>
        <w:pStyle w:val="H1"/>
        <w:numPr>
          <w:ilvl w:val="0"/>
          <w:numId w:val="0"/>
        </w:numPr>
        <w:ind w:left="567" w:hanging="567"/>
      </w:pPr>
      <w:r>
        <w:t>[2]</w:t>
      </w:r>
      <w:r>
        <w:tab/>
      </w:r>
      <w:r w:rsidR="00A8502B">
        <w:t xml:space="preserve">The </w:t>
      </w:r>
      <w:r w:rsidR="008F7690">
        <w:t>Regional Court directed that the sentences in respect of</w:t>
      </w:r>
      <w:r w:rsidR="00BB3914">
        <w:t xml:space="preserve"> counts 2 and 3, would run concurrently with</w:t>
      </w:r>
      <w:r w:rsidR="00381E19">
        <w:t xml:space="preserve"> the sentence in respect of</w:t>
      </w:r>
      <w:r w:rsidR="00653969">
        <w:t xml:space="preserve"> count</w:t>
      </w:r>
      <w:r w:rsidR="00381E19">
        <w:t xml:space="preserve"> 1.</w:t>
      </w:r>
    </w:p>
    <w:p w14:paraId="7302C089" w14:textId="71ED3448" w:rsidR="00381E19" w:rsidRDefault="00466CE2" w:rsidP="00466CE2">
      <w:pPr>
        <w:pStyle w:val="H1"/>
        <w:numPr>
          <w:ilvl w:val="0"/>
          <w:numId w:val="0"/>
        </w:numPr>
        <w:ind w:left="567" w:hanging="567"/>
      </w:pPr>
      <w:r>
        <w:t>[</w:t>
      </w:r>
      <w:bookmarkStart w:id="0" w:name="_GoBack"/>
      <w:bookmarkEnd w:id="0"/>
      <w:r>
        <w:t>3]</w:t>
      </w:r>
      <w:r>
        <w:tab/>
      </w:r>
      <w:r w:rsidR="00381E19">
        <w:t>This appeal</w:t>
      </w:r>
      <w:r w:rsidR="00E759EC">
        <w:t>, however,</w:t>
      </w:r>
      <w:r w:rsidR="00381E19">
        <w:t xml:space="preserve"> proceeds</w:t>
      </w:r>
      <w:r w:rsidR="00212C94">
        <w:t xml:space="preserve"> solely on the question of the conviction of the appellant</w:t>
      </w:r>
      <w:r w:rsidR="009D3FDC">
        <w:t xml:space="preserve"> on the three counts mentioned</w:t>
      </w:r>
      <w:r w:rsidR="00821A3B">
        <w:t>, with the leave of the Regional Court.</w:t>
      </w:r>
    </w:p>
    <w:p w14:paraId="70DEE73F" w14:textId="4128EE85" w:rsidR="00423C97" w:rsidRDefault="006D3D2C" w:rsidP="00423C97">
      <w:pPr>
        <w:pStyle w:val="H1"/>
        <w:numPr>
          <w:ilvl w:val="0"/>
          <w:numId w:val="0"/>
        </w:numPr>
        <w:rPr>
          <w:b/>
          <w:bCs/>
          <w:u w:val="single"/>
        </w:rPr>
      </w:pPr>
      <w:r>
        <w:rPr>
          <w:b/>
          <w:bCs/>
          <w:u w:val="single"/>
        </w:rPr>
        <w:t>The evidence adduced by the State at the trial</w:t>
      </w:r>
    </w:p>
    <w:p w14:paraId="4147D8C2" w14:textId="26CF188A" w:rsidR="006D5FD7" w:rsidRDefault="00466CE2" w:rsidP="00466CE2">
      <w:pPr>
        <w:pStyle w:val="H1"/>
        <w:numPr>
          <w:ilvl w:val="0"/>
          <w:numId w:val="0"/>
        </w:numPr>
        <w:ind w:left="567" w:hanging="567"/>
      </w:pPr>
      <w:r>
        <w:t>[4]</w:t>
      </w:r>
      <w:r>
        <w:tab/>
      </w:r>
      <w:r w:rsidR="00326E28">
        <w:t>At the trial the State presented the evidence of three witnesses</w:t>
      </w:r>
      <w:r w:rsidR="001535E8">
        <w:t xml:space="preserve"> whose evidence I summarise, below.</w:t>
      </w:r>
    </w:p>
    <w:p w14:paraId="1255B99A" w14:textId="517DB549" w:rsidR="001535E8" w:rsidRDefault="00302EFB" w:rsidP="001535E8">
      <w:pPr>
        <w:pStyle w:val="H1"/>
        <w:numPr>
          <w:ilvl w:val="0"/>
          <w:numId w:val="0"/>
        </w:numPr>
        <w:rPr>
          <w:i/>
          <w:iCs/>
          <w:u w:val="single"/>
        </w:rPr>
      </w:pPr>
      <w:r>
        <w:rPr>
          <w:i/>
          <w:iCs/>
          <w:u w:val="single"/>
        </w:rPr>
        <w:t>Aubrey Jantjies</w:t>
      </w:r>
    </w:p>
    <w:p w14:paraId="52EEF8FC" w14:textId="7D7C5B7F" w:rsidR="00302EFB" w:rsidRDefault="00466CE2" w:rsidP="00466CE2">
      <w:pPr>
        <w:pStyle w:val="H1"/>
        <w:numPr>
          <w:ilvl w:val="0"/>
          <w:numId w:val="0"/>
        </w:numPr>
        <w:ind w:left="567" w:hanging="567"/>
      </w:pPr>
      <w:r>
        <w:t>[5]</w:t>
      </w:r>
      <w:r>
        <w:tab/>
      </w:r>
      <w:r w:rsidR="00042DB5">
        <w:t>On the evening of 23 April 2017</w:t>
      </w:r>
      <w:r w:rsidR="00D14B14">
        <w:t xml:space="preserve"> at approximately</w:t>
      </w:r>
      <w:r w:rsidR="00844688">
        <w:t xml:space="preserve"> 21:00</w:t>
      </w:r>
      <w:r w:rsidR="00D14B14">
        <w:t>,</w:t>
      </w:r>
      <w:r w:rsidR="000464D2">
        <w:t xml:space="preserve"> he was at his home</w:t>
      </w:r>
      <w:r w:rsidR="00441E91">
        <w:t xml:space="preserve"> in Chamois Street, </w:t>
      </w:r>
      <w:r w:rsidR="001F292C">
        <w:t>Gelvendale, Gqeberha</w:t>
      </w:r>
      <w:r w:rsidR="00844688">
        <w:t>.</w:t>
      </w:r>
    </w:p>
    <w:p w14:paraId="5209C6ED" w14:textId="63A9A06D" w:rsidR="00844688" w:rsidRDefault="00466CE2" w:rsidP="00466CE2">
      <w:pPr>
        <w:pStyle w:val="H1"/>
        <w:numPr>
          <w:ilvl w:val="0"/>
          <w:numId w:val="0"/>
        </w:numPr>
        <w:ind w:left="567" w:hanging="567"/>
      </w:pPr>
      <w:r>
        <w:t>[6]</w:t>
      </w:r>
      <w:r>
        <w:tab/>
      </w:r>
      <w:r w:rsidR="00844688">
        <w:t>He saw the appellant walking in the street in the company of one</w:t>
      </w:r>
      <w:r w:rsidR="00E20021">
        <w:t xml:space="preserve"> Cadwin Campher, the third witness for the State</w:t>
      </w:r>
      <w:r w:rsidR="004D65CB">
        <w:t>.  The appellant had a firearm in his possession which was visibly displayed by him.</w:t>
      </w:r>
      <w:r w:rsidR="002B5F9A">
        <w:t xml:space="preserve">  </w:t>
      </w:r>
    </w:p>
    <w:p w14:paraId="76A40415" w14:textId="178BA79B" w:rsidR="004D65CB" w:rsidRDefault="00466CE2" w:rsidP="00466CE2">
      <w:pPr>
        <w:pStyle w:val="H1"/>
        <w:numPr>
          <w:ilvl w:val="0"/>
          <w:numId w:val="0"/>
        </w:numPr>
        <w:ind w:left="567" w:hanging="567"/>
      </w:pPr>
      <w:r>
        <w:lastRenderedPageBreak/>
        <w:t>[7]</w:t>
      </w:r>
      <w:r>
        <w:tab/>
      </w:r>
      <w:r w:rsidR="005F0B7D">
        <w:t>He later heard</w:t>
      </w:r>
      <w:r w:rsidR="0080001A">
        <w:t xml:space="preserve"> one gunshot being fired and thereafter the sound of multiple gunshots.</w:t>
      </w:r>
      <w:r w:rsidR="00590992">
        <w:t xml:space="preserve">  He</w:t>
      </w:r>
      <w:r w:rsidR="000D25B1">
        <w:t xml:space="preserve"> later</w:t>
      </w:r>
      <w:r w:rsidR="00590992">
        <w:t xml:space="preserve"> saw the appellant running and discharging a firearm</w:t>
      </w:r>
      <w:r w:rsidR="000D25B1">
        <w:t>, shooting in the air.</w:t>
      </w:r>
      <w:r w:rsidR="005E2DC9">
        <w:t xml:space="preserve">  He told his wife to call the police.</w:t>
      </w:r>
    </w:p>
    <w:p w14:paraId="23CB74F0" w14:textId="29F0D798" w:rsidR="005E2DC9" w:rsidRDefault="00466CE2" w:rsidP="00466CE2">
      <w:pPr>
        <w:pStyle w:val="H1"/>
        <w:numPr>
          <w:ilvl w:val="0"/>
          <w:numId w:val="0"/>
        </w:numPr>
        <w:ind w:left="567" w:hanging="567"/>
      </w:pPr>
      <w:r>
        <w:t>[8]</w:t>
      </w:r>
      <w:r>
        <w:tab/>
      </w:r>
      <w:r w:rsidR="000D75B6">
        <w:t>He</w:t>
      </w:r>
      <w:r w:rsidR="00136370">
        <w:t xml:space="preserve"> responded to cries from</w:t>
      </w:r>
      <w:r w:rsidR="001C21E6">
        <w:t xml:space="preserve"> Jadine Jansen, the second witness for the State that his son</w:t>
      </w:r>
      <w:r w:rsidR="005270E6">
        <w:t xml:space="preserve"> had been shot and</w:t>
      </w:r>
      <w:r w:rsidR="000D75B6">
        <w:t xml:space="preserve"> went to a house in the same street, where he encountered</w:t>
      </w:r>
      <w:r w:rsidR="00E92CE3">
        <w:t xml:space="preserve"> </w:t>
      </w:r>
      <w:r w:rsidR="005270E6">
        <w:t>his</w:t>
      </w:r>
      <w:r w:rsidR="00E92CE3">
        <w:t xml:space="preserve"> son, the deceased, lying on the ground</w:t>
      </w:r>
      <w:r w:rsidR="00024FED">
        <w:t>.  He had clearly been shot.</w:t>
      </w:r>
    </w:p>
    <w:p w14:paraId="3365663B" w14:textId="25041D9D" w:rsidR="00196A95" w:rsidRDefault="00466CE2" w:rsidP="00466CE2">
      <w:pPr>
        <w:pStyle w:val="H1"/>
        <w:numPr>
          <w:ilvl w:val="0"/>
          <w:numId w:val="0"/>
        </w:numPr>
        <w:ind w:left="567" w:hanging="567"/>
      </w:pPr>
      <w:r>
        <w:t>[9]</w:t>
      </w:r>
      <w:r>
        <w:tab/>
      </w:r>
      <w:r w:rsidR="0057299D">
        <w:t>The witness confirmed that he knew the appellant</w:t>
      </w:r>
      <w:r w:rsidR="00BC5F99">
        <w:t xml:space="preserve"> well</w:t>
      </w:r>
      <w:r w:rsidR="00266C48">
        <w:t xml:space="preserve"> -</w:t>
      </w:r>
      <w:r w:rsidR="0057299D">
        <w:t xml:space="preserve"> h</w:t>
      </w:r>
      <w:r w:rsidR="00266C48">
        <w:t>e</w:t>
      </w:r>
      <w:r w:rsidR="0057299D">
        <w:t xml:space="preserve"> had grown up in front of him in the area in which he </w:t>
      </w:r>
      <w:r w:rsidR="00BC5F99">
        <w:t>lived</w:t>
      </w:r>
      <w:r w:rsidR="00266C48">
        <w:t>.</w:t>
      </w:r>
    </w:p>
    <w:p w14:paraId="455CF9F6" w14:textId="4ABE9D51" w:rsidR="005270E6" w:rsidRDefault="00B61640" w:rsidP="00B61640">
      <w:pPr>
        <w:pStyle w:val="H1"/>
        <w:numPr>
          <w:ilvl w:val="0"/>
          <w:numId w:val="0"/>
        </w:numPr>
        <w:rPr>
          <w:i/>
          <w:iCs/>
          <w:u w:val="single"/>
        </w:rPr>
      </w:pPr>
      <w:r>
        <w:rPr>
          <w:i/>
          <w:iCs/>
          <w:u w:val="single"/>
        </w:rPr>
        <w:t>Jadine</w:t>
      </w:r>
      <w:r w:rsidR="00196A95">
        <w:rPr>
          <w:i/>
          <w:iCs/>
          <w:u w:val="single"/>
        </w:rPr>
        <w:t xml:space="preserve"> Jansen</w:t>
      </w:r>
    </w:p>
    <w:p w14:paraId="2E17765C" w14:textId="370DBC78" w:rsidR="00983E84" w:rsidRDefault="00466CE2" w:rsidP="00466CE2">
      <w:pPr>
        <w:pStyle w:val="H1"/>
        <w:numPr>
          <w:ilvl w:val="0"/>
          <w:numId w:val="0"/>
        </w:numPr>
        <w:ind w:left="567" w:hanging="567"/>
      </w:pPr>
      <w:r>
        <w:t>[10]</w:t>
      </w:r>
      <w:r>
        <w:tab/>
      </w:r>
      <w:r w:rsidR="00983E84">
        <w:t>This witness</w:t>
      </w:r>
      <w:r w:rsidR="001B27ED">
        <w:t xml:space="preserve"> testified that she was the girlfriend of the deceased.  On the evening in question she was walking in Chamois</w:t>
      </w:r>
      <w:r w:rsidR="00017743">
        <w:t xml:space="preserve"> Street with the appellant.</w:t>
      </w:r>
      <w:r w:rsidR="00245F7C">
        <w:t xml:space="preserve">  She also knew the appellant well as they had gro</w:t>
      </w:r>
      <w:r w:rsidR="00E759EC">
        <w:t>wn up together in the vicinity.  They were going together to buy “tik”.</w:t>
      </w:r>
      <w:r w:rsidR="00245F7C">
        <w:t xml:space="preserve"> As they </w:t>
      </w:r>
      <w:r w:rsidR="003E1BA4">
        <w:t>walked,</w:t>
      </w:r>
      <w:r w:rsidR="00245F7C">
        <w:t xml:space="preserve"> they were joined by</w:t>
      </w:r>
      <w:r w:rsidR="007D09DD">
        <w:t xml:space="preserve"> Campher, the third witness for the State.</w:t>
      </w:r>
    </w:p>
    <w:p w14:paraId="1C588AC5" w14:textId="6A7F7739" w:rsidR="007D09DD" w:rsidRDefault="00466CE2" w:rsidP="00466CE2">
      <w:pPr>
        <w:pStyle w:val="H1"/>
        <w:numPr>
          <w:ilvl w:val="0"/>
          <w:numId w:val="0"/>
        </w:numPr>
        <w:ind w:left="567" w:hanging="567"/>
      </w:pPr>
      <w:r>
        <w:t>[11]</w:t>
      </w:r>
      <w:r>
        <w:tab/>
      </w:r>
      <w:r w:rsidR="007D09DD">
        <w:t>While they were walking</w:t>
      </w:r>
      <w:r w:rsidR="00801D31">
        <w:t xml:space="preserve"> the deceased approached from the opposite direction and started chasing the witness, whereupon she ran into</w:t>
      </w:r>
      <w:r w:rsidR="003A4A35">
        <w:t xml:space="preserve"> the nearby home of her aunt</w:t>
      </w:r>
      <w:r w:rsidR="00BB406C">
        <w:t>, closely followed by the deceased.  She ran through the house into the backyard</w:t>
      </w:r>
      <w:r w:rsidR="005811D7">
        <w:t>, followed by the deceased and the appellant.</w:t>
      </w:r>
    </w:p>
    <w:p w14:paraId="5D663548" w14:textId="6E9F25F1" w:rsidR="005811D7" w:rsidRDefault="00466CE2" w:rsidP="00466CE2">
      <w:pPr>
        <w:pStyle w:val="H1"/>
        <w:numPr>
          <w:ilvl w:val="0"/>
          <w:numId w:val="0"/>
        </w:numPr>
        <w:ind w:left="567" w:hanging="567"/>
      </w:pPr>
      <w:r>
        <w:t>[12]</w:t>
      </w:r>
      <w:r>
        <w:tab/>
      </w:r>
      <w:r w:rsidR="00B03E28">
        <w:t xml:space="preserve">In the </w:t>
      </w:r>
      <w:r w:rsidR="00E759EC">
        <w:t>backyard of her aunt’s home the</w:t>
      </w:r>
      <w:r w:rsidR="00B03E28">
        <w:t xml:space="preserve"> deceased started to assault her.  Whilst he was in the process of doing so</w:t>
      </w:r>
      <w:r w:rsidR="00E3575A">
        <w:t xml:space="preserve"> the appellant brandished the firearm in his </w:t>
      </w:r>
      <w:r w:rsidR="00E3575A">
        <w:lastRenderedPageBreak/>
        <w:t>possession</w:t>
      </w:r>
      <w:r w:rsidR="002C6FB6">
        <w:t xml:space="preserve"> and told the deceased to stop assaulting her and that if he did not cease doing </w:t>
      </w:r>
      <w:r w:rsidR="00E164D0">
        <w:t>so,</w:t>
      </w:r>
      <w:r w:rsidR="002C6FB6">
        <w:t xml:space="preserve"> he would shoot the deceased.  The witness remembered the deceased throwing</w:t>
      </w:r>
      <w:r w:rsidR="008110F1">
        <w:t xml:space="preserve"> a stone at her, which h</w:t>
      </w:r>
      <w:r w:rsidR="005B6870">
        <w:t>it her</w:t>
      </w:r>
      <w:r w:rsidR="008110F1">
        <w:t xml:space="preserve"> in the stomach causing her to double over.  While she was doubled </w:t>
      </w:r>
      <w:r w:rsidR="00EB05A7">
        <w:t>over,</w:t>
      </w:r>
      <w:r w:rsidR="008110F1">
        <w:t xml:space="preserve"> she heard a shot being fired</w:t>
      </w:r>
      <w:r w:rsidR="00402A07">
        <w:t xml:space="preserve"> and saw the deceased </w:t>
      </w:r>
      <w:r w:rsidR="005B6870">
        <w:t>falling</w:t>
      </w:r>
      <w:r w:rsidR="00DC6966">
        <w:t>.  She also saw the appellant</w:t>
      </w:r>
      <w:r w:rsidR="00CE42F7">
        <w:t xml:space="preserve"> holding a firearm.</w:t>
      </w:r>
      <w:r w:rsidR="008A0B73">
        <w:t xml:space="preserve">  From her observations it appeared that the deceased had been shot in the head</w:t>
      </w:r>
      <w:r w:rsidR="005B0EC5">
        <w:t>.</w:t>
      </w:r>
    </w:p>
    <w:p w14:paraId="3E3363C7" w14:textId="42DB3578" w:rsidR="008A0B73" w:rsidRDefault="00466CE2" w:rsidP="00466CE2">
      <w:pPr>
        <w:pStyle w:val="H1"/>
        <w:numPr>
          <w:ilvl w:val="0"/>
          <w:numId w:val="0"/>
        </w:numPr>
        <w:ind w:left="567" w:hanging="567"/>
      </w:pPr>
      <w:r>
        <w:t>[13]</w:t>
      </w:r>
      <w:r>
        <w:tab/>
      </w:r>
      <w:r w:rsidR="008A0B73">
        <w:t>The witness tried to grab the firearm from the appellant</w:t>
      </w:r>
      <w:r w:rsidR="005B0EC5">
        <w:t>, but he resisted.</w:t>
      </w:r>
      <w:r w:rsidR="00B37028">
        <w:t xml:space="preserve">  He again shot at the deceased.  She was uncertain as to the number of shots which had been fired.</w:t>
      </w:r>
    </w:p>
    <w:p w14:paraId="2A0571E9" w14:textId="60DE1512" w:rsidR="00A43EDB" w:rsidRDefault="00466CE2" w:rsidP="00466CE2">
      <w:pPr>
        <w:pStyle w:val="H1"/>
        <w:numPr>
          <w:ilvl w:val="0"/>
          <w:numId w:val="0"/>
        </w:numPr>
        <w:ind w:left="567" w:hanging="567"/>
      </w:pPr>
      <w:r>
        <w:t>[14]</w:t>
      </w:r>
      <w:r>
        <w:tab/>
      </w:r>
      <w:r w:rsidR="00B82B69">
        <w:t>She ran out of the house</w:t>
      </w:r>
      <w:r w:rsidR="008018EC">
        <w:t xml:space="preserve"> shouting </w:t>
      </w:r>
      <w:r w:rsidR="00997B36">
        <w:t>and encountered the first State witness, the deceased’s father coming in the opposite direction towards the house where the shots had been fired.</w:t>
      </w:r>
      <w:r w:rsidR="008018EC">
        <w:t xml:space="preserve">  She also saw the appellant ru</w:t>
      </w:r>
      <w:r w:rsidR="0085074F">
        <w:t>n away in the opposite direction to which she had run.</w:t>
      </w:r>
    </w:p>
    <w:p w14:paraId="42ADD26D" w14:textId="15710ABD" w:rsidR="0085074F" w:rsidRDefault="007A3E48" w:rsidP="007A3E48">
      <w:pPr>
        <w:pStyle w:val="H1"/>
        <w:numPr>
          <w:ilvl w:val="0"/>
          <w:numId w:val="0"/>
        </w:numPr>
        <w:rPr>
          <w:i/>
          <w:iCs/>
          <w:u w:val="single"/>
        </w:rPr>
      </w:pPr>
      <w:r>
        <w:rPr>
          <w:i/>
          <w:iCs/>
          <w:u w:val="single"/>
        </w:rPr>
        <w:t>Cadwin Edwin Campher</w:t>
      </w:r>
    </w:p>
    <w:p w14:paraId="537F0955" w14:textId="447BEA73" w:rsidR="00024FED" w:rsidRDefault="00466CE2" w:rsidP="00466CE2">
      <w:pPr>
        <w:pStyle w:val="H1"/>
        <w:numPr>
          <w:ilvl w:val="0"/>
          <w:numId w:val="0"/>
        </w:numPr>
        <w:ind w:left="567" w:hanging="567"/>
      </w:pPr>
      <w:r>
        <w:t>[15]</w:t>
      </w:r>
      <w:r>
        <w:tab/>
      </w:r>
      <w:r w:rsidR="00576005">
        <w:t>The witness confirmed having seen</w:t>
      </w:r>
      <w:r w:rsidR="003311FD">
        <w:t xml:space="preserve"> the appellant enter the house of Jansen’s</w:t>
      </w:r>
      <w:r w:rsidR="001E0E76">
        <w:t xml:space="preserve">, </w:t>
      </w:r>
      <w:r w:rsidR="006C5E09">
        <w:t xml:space="preserve">aunt, </w:t>
      </w:r>
      <w:r w:rsidR="0056319E">
        <w:t>following the deceased and Jansen</w:t>
      </w:r>
      <w:r w:rsidR="00576216">
        <w:t>.</w:t>
      </w:r>
    </w:p>
    <w:p w14:paraId="788DCE65" w14:textId="03072750" w:rsidR="006C5E09" w:rsidRDefault="00466CE2" w:rsidP="00466CE2">
      <w:pPr>
        <w:pStyle w:val="H1"/>
        <w:numPr>
          <w:ilvl w:val="0"/>
          <w:numId w:val="0"/>
        </w:numPr>
        <w:ind w:left="567" w:hanging="567"/>
      </w:pPr>
      <w:r>
        <w:t>[16]</w:t>
      </w:r>
      <w:r>
        <w:tab/>
      </w:r>
      <w:r w:rsidR="006C5E09">
        <w:t>He confirmed that</w:t>
      </w:r>
      <w:r w:rsidR="002D3C1B">
        <w:t xml:space="preserve"> the appellant had a firearm with him.  He also knew the appellant, who had grown up with him in the area</w:t>
      </w:r>
      <w:r w:rsidR="00D97F37">
        <w:t>.</w:t>
      </w:r>
    </w:p>
    <w:p w14:paraId="62A901AB" w14:textId="645A9B5D" w:rsidR="00FD5AF9" w:rsidRDefault="00466CE2" w:rsidP="00466CE2">
      <w:pPr>
        <w:pStyle w:val="H1"/>
        <w:numPr>
          <w:ilvl w:val="0"/>
          <w:numId w:val="0"/>
        </w:numPr>
        <w:ind w:left="567" w:hanging="567"/>
      </w:pPr>
      <w:r>
        <w:t>[17]</w:t>
      </w:r>
      <w:r>
        <w:tab/>
      </w:r>
      <w:r w:rsidR="00C40C28">
        <w:t>He heard shots being fired, after the appellant, the deceased and Jansen</w:t>
      </w:r>
      <w:r w:rsidR="002D7120">
        <w:t xml:space="preserve"> ha</w:t>
      </w:r>
      <w:r w:rsidR="00D33069">
        <w:t>d entered the house of Jansen’s</w:t>
      </w:r>
      <w:r w:rsidR="00196988">
        <w:t xml:space="preserve"> aunt.</w:t>
      </w:r>
    </w:p>
    <w:p w14:paraId="286A48A4" w14:textId="77777777" w:rsidR="00196988" w:rsidRDefault="00196988" w:rsidP="004C0C4C">
      <w:pPr>
        <w:pStyle w:val="H1"/>
        <w:numPr>
          <w:ilvl w:val="0"/>
          <w:numId w:val="0"/>
        </w:numPr>
        <w:rPr>
          <w:b/>
          <w:bCs/>
          <w:u w:val="single"/>
        </w:rPr>
      </w:pPr>
    </w:p>
    <w:p w14:paraId="1E17CDAC" w14:textId="6CE0652F" w:rsidR="004C0C4C" w:rsidRDefault="00924502" w:rsidP="004C0C4C">
      <w:pPr>
        <w:pStyle w:val="H1"/>
        <w:numPr>
          <w:ilvl w:val="0"/>
          <w:numId w:val="0"/>
        </w:numPr>
        <w:rPr>
          <w:b/>
          <w:bCs/>
          <w:u w:val="single"/>
        </w:rPr>
      </w:pPr>
      <w:r>
        <w:rPr>
          <w:b/>
          <w:bCs/>
          <w:u w:val="single"/>
        </w:rPr>
        <w:t>The evidence adduced by the appellant at the trial</w:t>
      </w:r>
    </w:p>
    <w:p w14:paraId="53605BDA" w14:textId="3538EFF7" w:rsidR="00470622" w:rsidRDefault="00466CE2" w:rsidP="00466CE2">
      <w:pPr>
        <w:pStyle w:val="H1"/>
        <w:numPr>
          <w:ilvl w:val="0"/>
          <w:numId w:val="0"/>
        </w:numPr>
        <w:ind w:left="567" w:hanging="567"/>
      </w:pPr>
      <w:r>
        <w:t>[18]</w:t>
      </w:r>
      <w:r>
        <w:tab/>
      </w:r>
      <w:r w:rsidR="00470622">
        <w:t>The appellant gave evidence in his</w:t>
      </w:r>
      <w:r w:rsidR="00CD18C7">
        <w:t xml:space="preserve"> defence but did not call any other witnesses to give evidence.</w:t>
      </w:r>
    </w:p>
    <w:p w14:paraId="4E320D43" w14:textId="06E90A33" w:rsidR="00A01C8F" w:rsidRDefault="00466CE2" w:rsidP="00466CE2">
      <w:pPr>
        <w:pStyle w:val="H1"/>
        <w:numPr>
          <w:ilvl w:val="0"/>
          <w:numId w:val="0"/>
        </w:numPr>
        <w:ind w:left="567" w:hanging="567"/>
      </w:pPr>
      <w:r>
        <w:t>[19]</w:t>
      </w:r>
      <w:r>
        <w:tab/>
      </w:r>
      <w:r w:rsidR="00A01C8F">
        <w:t>The appellant’s defence was one of an alibi.</w:t>
      </w:r>
      <w:r w:rsidR="00C275A2">
        <w:t xml:space="preserve">  In his evidence</w:t>
      </w:r>
      <w:r w:rsidR="00B8143E">
        <w:t xml:space="preserve"> he confirmed the plea explanation made on his behalf by his defence counsel</w:t>
      </w:r>
      <w:r w:rsidR="005E2B56">
        <w:t xml:space="preserve"> at the commencement of the trial,</w:t>
      </w:r>
      <w:r w:rsidR="00B8143E">
        <w:t xml:space="preserve"> in which he had </w:t>
      </w:r>
      <w:r w:rsidR="005E2B56">
        <w:t>admitted</w:t>
      </w:r>
      <w:r w:rsidR="00B8143E">
        <w:t xml:space="preserve"> knowing the deceased</w:t>
      </w:r>
      <w:r w:rsidR="0001740C">
        <w:t>.</w:t>
      </w:r>
      <w:r w:rsidR="00311CA7">
        <w:t xml:space="preserve">  He denied having killed the deceased or that he had been in possession of a firearm on the night in question.</w:t>
      </w:r>
      <w:r w:rsidR="008018EC">
        <w:t xml:space="preserve">  He was not in Gelvandale when the deceased was killed.  He stated</w:t>
      </w:r>
      <w:r w:rsidR="00311CA7">
        <w:t xml:space="preserve"> that he had previously resided in Gelvandale</w:t>
      </w:r>
      <w:r w:rsidR="006E76DA">
        <w:t>, but that he had moved away from</w:t>
      </w:r>
      <w:r w:rsidR="00BD3B9C">
        <w:t xml:space="preserve"> there </w:t>
      </w:r>
      <w:r w:rsidR="00015635">
        <w:t xml:space="preserve">in 2015, when he went </w:t>
      </w:r>
      <w:r w:rsidR="006E76DA">
        <w:t>to live with his father in Kuyga</w:t>
      </w:r>
      <w:r w:rsidR="00D20DD6">
        <w:t xml:space="preserve">, where he was on the night that the deceased </w:t>
      </w:r>
      <w:r w:rsidR="00015635">
        <w:t>was</w:t>
      </w:r>
      <w:r w:rsidR="00D20DD6">
        <w:t xml:space="preserve"> killed</w:t>
      </w:r>
      <w:r w:rsidR="00545885">
        <w:t>.</w:t>
      </w:r>
    </w:p>
    <w:p w14:paraId="0B74F4DE" w14:textId="1FDE7A5E" w:rsidR="00554617" w:rsidRDefault="00851A46" w:rsidP="00851A46">
      <w:pPr>
        <w:pStyle w:val="H1"/>
        <w:numPr>
          <w:ilvl w:val="0"/>
          <w:numId w:val="0"/>
        </w:numPr>
        <w:rPr>
          <w:b/>
          <w:bCs/>
          <w:u w:val="single"/>
        </w:rPr>
      </w:pPr>
      <w:r>
        <w:rPr>
          <w:b/>
          <w:bCs/>
          <w:u w:val="single"/>
        </w:rPr>
        <w:t>Common cause facts</w:t>
      </w:r>
    </w:p>
    <w:p w14:paraId="4E0EA472" w14:textId="615B4EC0" w:rsidR="00851A46" w:rsidRDefault="00466CE2" w:rsidP="00466CE2">
      <w:pPr>
        <w:pStyle w:val="H1"/>
        <w:numPr>
          <w:ilvl w:val="0"/>
          <w:numId w:val="0"/>
        </w:numPr>
        <w:ind w:left="567" w:hanging="567"/>
      </w:pPr>
      <w:r>
        <w:t>[20]</w:t>
      </w:r>
      <w:r>
        <w:tab/>
      </w:r>
      <w:r w:rsidR="00E95FEA">
        <w:t>At the commencement of the trial</w:t>
      </w:r>
      <w:r w:rsidR="00BB0E77">
        <w:t xml:space="preserve"> the appellant made certain admissions in terms of section 220</w:t>
      </w:r>
      <w:r w:rsidR="008018EC">
        <w:t xml:space="preserve"> of the Criminal Procedure Act</w:t>
      </w:r>
      <w:r w:rsidR="00BB0E77">
        <w:t>, 51 of 1977</w:t>
      </w:r>
      <w:r w:rsidR="004B6AE1">
        <w:t>, including that:</w:t>
      </w:r>
    </w:p>
    <w:p w14:paraId="4148EA9D" w14:textId="0EB56E76" w:rsidR="004B6AE1" w:rsidRDefault="00466CE2" w:rsidP="00466CE2">
      <w:pPr>
        <w:pStyle w:val="H2"/>
        <w:numPr>
          <w:ilvl w:val="0"/>
          <w:numId w:val="0"/>
        </w:numPr>
        <w:ind w:left="1418" w:hanging="851"/>
      </w:pPr>
      <w:r>
        <w:t>20.1.</w:t>
      </w:r>
      <w:r>
        <w:tab/>
      </w:r>
      <w:r w:rsidR="004B6AE1">
        <w:t>the deceased died on 23 April 2017 as a result</w:t>
      </w:r>
      <w:r w:rsidR="000D23FC">
        <w:t xml:space="preserve"> of a head injury caused by a gunshot;</w:t>
      </w:r>
    </w:p>
    <w:p w14:paraId="6C52A7CE" w14:textId="56016611" w:rsidR="001D2299" w:rsidRDefault="00466CE2" w:rsidP="00466CE2">
      <w:pPr>
        <w:pStyle w:val="H2"/>
        <w:numPr>
          <w:ilvl w:val="0"/>
          <w:numId w:val="0"/>
        </w:numPr>
        <w:ind w:left="1418" w:hanging="851"/>
      </w:pPr>
      <w:r>
        <w:t>20.2.</w:t>
      </w:r>
      <w:r>
        <w:tab/>
      </w:r>
      <w:r w:rsidR="000058A8">
        <w:t>the post-mortem report conducted in respect of the deceased</w:t>
      </w:r>
      <w:r w:rsidR="002D31D8">
        <w:t xml:space="preserve"> was accurate and could go in as evidence without any further proof.  This </w:t>
      </w:r>
      <w:r w:rsidR="002D31D8">
        <w:lastRenderedPageBreak/>
        <w:t>report confirmed</w:t>
      </w:r>
      <w:r w:rsidR="005F35B1">
        <w:t xml:space="preserve"> the existence of two gunshot wounds to the head of the deceased</w:t>
      </w:r>
      <w:r w:rsidR="008018EC">
        <w:t>, one of which would have caused his death</w:t>
      </w:r>
      <w:r w:rsidR="005F35B1">
        <w:t>.</w:t>
      </w:r>
    </w:p>
    <w:p w14:paraId="2E6A2EAD" w14:textId="5AAE01B1" w:rsidR="005F35B1" w:rsidRDefault="00702C6A" w:rsidP="00702C6A">
      <w:pPr>
        <w:pStyle w:val="H2"/>
        <w:numPr>
          <w:ilvl w:val="0"/>
          <w:numId w:val="0"/>
        </w:numPr>
        <w:rPr>
          <w:b/>
          <w:bCs/>
          <w:u w:val="single"/>
        </w:rPr>
      </w:pPr>
      <w:r w:rsidRPr="00702C6A">
        <w:rPr>
          <w:b/>
          <w:bCs/>
          <w:u w:val="single"/>
        </w:rPr>
        <w:t>Legal principles</w:t>
      </w:r>
    </w:p>
    <w:p w14:paraId="7D2312B7" w14:textId="055982F3" w:rsidR="00702C6A" w:rsidRPr="00E57864" w:rsidRDefault="00466CE2" w:rsidP="00466CE2">
      <w:pPr>
        <w:pStyle w:val="H1"/>
        <w:numPr>
          <w:ilvl w:val="0"/>
          <w:numId w:val="0"/>
        </w:numPr>
        <w:ind w:left="567" w:hanging="567"/>
      </w:pPr>
      <w:r w:rsidRPr="00E57864">
        <w:t>[21]</w:t>
      </w:r>
      <w:r w:rsidRPr="00E57864">
        <w:tab/>
      </w:r>
      <w:r w:rsidR="005B6C4A">
        <w:t xml:space="preserve">The following principles emerge from the judgment of the Supreme Court of Appeal in </w:t>
      </w:r>
      <w:r w:rsidR="005B6C4A">
        <w:rPr>
          <w:i/>
          <w:iCs/>
        </w:rPr>
        <w:t>T</w:t>
      </w:r>
      <w:r w:rsidR="003B0025">
        <w:rPr>
          <w:i/>
          <w:iCs/>
        </w:rPr>
        <w:t>shiki v The State</w:t>
      </w:r>
      <w:r w:rsidR="00FD6D49">
        <w:rPr>
          <w:iCs/>
        </w:rPr>
        <w:t xml:space="preserve"> [2020] ZASCA</w:t>
      </w:r>
      <w:r w:rsidR="00E57864">
        <w:rPr>
          <w:iCs/>
        </w:rPr>
        <w:t xml:space="preserve"> (18 August 2020) at [13]</w:t>
      </w:r>
    </w:p>
    <w:p w14:paraId="6A7BAAA4" w14:textId="003B7DE6" w:rsidR="00E57864" w:rsidRDefault="00466CE2" w:rsidP="00466CE2">
      <w:pPr>
        <w:pStyle w:val="H2"/>
        <w:numPr>
          <w:ilvl w:val="0"/>
          <w:numId w:val="0"/>
        </w:numPr>
        <w:ind w:left="1418" w:hanging="851"/>
      </w:pPr>
      <w:r>
        <w:t>21.1.</w:t>
      </w:r>
      <w:r>
        <w:tab/>
      </w:r>
      <w:r w:rsidR="00E57864">
        <w:t>in criminal proceedings the State</w:t>
      </w:r>
      <w:r w:rsidR="00026250">
        <w:t xml:space="preserve"> throughout has the onus to prove an accused’s guilt beyond a reasonable doubt;</w:t>
      </w:r>
    </w:p>
    <w:p w14:paraId="233F2868" w14:textId="7B12184F" w:rsidR="00026250" w:rsidRDefault="00466CE2" w:rsidP="00466CE2">
      <w:pPr>
        <w:pStyle w:val="H2"/>
        <w:numPr>
          <w:ilvl w:val="0"/>
          <w:numId w:val="0"/>
        </w:numPr>
        <w:ind w:left="1418" w:hanging="851"/>
      </w:pPr>
      <w:r>
        <w:t>21.2.</w:t>
      </w:r>
      <w:r>
        <w:tab/>
      </w:r>
      <w:r w:rsidR="00026250">
        <w:t>an accused’s version cannot be rejected only on the basis that it is</w:t>
      </w:r>
      <w:r w:rsidR="002341F6">
        <w:t xml:space="preserve"> </w:t>
      </w:r>
      <w:r w:rsidR="0018563D">
        <w:t>im</w:t>
      </w:r>
      <w:r w:rsidR="002341F6">
        <w:t xml:space="preserve">probable, but only once the trial court </w:t>
      </w:r>
      <w:r w:rsidR="0018563D">
        <w:t>ha</w:t>
      </w:r>
      <w:r w:rsidR="002341F6">
        <w:t>s found, on credible evidence, that the explanation is false beyond a reasonable doubt;</w:t>
      </w:r>
    </w:p>
    <w:p w14:paraId="4BED9D1D" w14:textId="59F730A5" w:rsidR="007A436D" w:rsidRDefault="00466CE2" w:rsidP="00466CE2">
      <w:pPr>
        <w:pStyle w:val="H2"/>
        <w:numPr>
          <w:ilvl w:val="0"/>
          <w:numId w:val="0"/>
        </w:numPr>
        <w:ind w:left="1418" w:hanging="851"/>
      </w:pPr>
      <w:r>
        <w:t>21.3.</w:t>
      </w:r>
      <w:r>
        <w:tab/>
      </w:r>
      <w:r w:rsidR="001A57B2">
        <w:t>thus, if the accused’s version is reasonably possibly true, he/she would be entitled to an acquittal: and</w:t>
      </w:r>
    </w:p>
    <w:p w14:paraId="31ED3430" w14:textId="34025EAF" w:rsidR="001A57B2" w:rsidRDefault="00466CE2" w:rsidP="00466CE2">
      <w:pPr>
        <w:pStyle w:val="H2"/>
        <w:numPr>
          <w:ilvl w:val="0"/>
          <w:numId w:val="0"/>
        </w:numPr>
        <w:ind w:left="1418" w:hanging="851"/>
      </w:pPr>
      <w:r>
        <w:t>21.4.</w:t>
      </w:r>
      <w:r>
        <w:tab/>
      </w:r>
      <w:r w:rsidR="00781781">
        <w:t>the conviction of an accused can accordingly only be sustained if, after the consideration of all the evidence, he/version of events is found to be false</w:t>
      </w:r>
      <w:r w:rsidR="00F945C4">
        <w:t>.</w:t>
      </w:r>
    </w:p>
    <w:p w14:paraId="46868784" w14:textId="7DEC6E36" w:rsidR="00B46DA0" w:rsidRDefault="00746050" w:rsidP="00B46DA0">
      <w:pPr>
        <w:pStyle w:val="H2"/>
        <w:numPr>
          <w:ilvl w:val="0"/>
          <w:numId w:val="0"/>
        </w:numPr>
        <w:rPr>
          <w:b/>
          <w:bCs/>
          <w:u w:val="single"/>
        </w:rPr>
      </w:pPr>
      <w:r>
        <w:rPr>
          <w:b/>
          <w:bCs/>
          <w:u w:val="single"/>
        </w:rPr>
        <w:t>Discussion</w:t>
      </w:r>
    </w:p>
    <w:p w14:paraId="259290A8" w14:textId="072F1341" w:rsidR="003A15AB" w:rsidRDefault="00466CE2" w:rsidP="00466CE2">
      <w:pPr>
        <w:pStyle w:val="H1"/>
        <w:numPr>
          <w:ilvl w:val="0"/>
          <w:numId w:val="0"/>
        </w:numPr>
        <w:ind w:left="567" w:hanging="567"/>
      </w:pPr>
      <w:r>
        <w:t>[22]</w:t>
      </w:r>
      <w:r>
        <w:tab/>
      </w:r>
      <w:r w:rsidR="00EA2DD6">
        <w:t>The evidence of the witnesses</w:t>
      </w:r>
      <w:r w:rsidR="004A4440">
        <w:t xml:space="preserve"> Jantjies and Campher</w:t>
      </w:r>
      <w:r w:rsidR="004B17D4">
        <w:t xml:space="preserve"> was not </w:t>
      </w:r>
      <w:r w:rsidR="005B0884">
        <w:t>upset i</w:t>
      </w:r>
      <w:r w:rsidR="008018EC">
        <w:t>n cross-examination to any material</w:t>
      </w:r>
      <w:r w:rsidR="005B0884">
        <w:t xml:space="preserve"> extent</w:t>
      </w:r>
      <w:r w:rsidR="00CC7FC7">
        <w:t xml:space="preserve"> and can be accepted as being credible.  Crucially the</w:t>
      </w:r>
      <w:r w:rsidR="000B5451">
        <w:t>ir</w:t>
      </w:r>
      <w:r w:rsidR="00CC7FC7">
        <w:t xml:space="preserve"> evidence</w:t>
      </w:r>
      <w:r w:rsidR="000D5924">
        <w:t xml:space="preserve"> corroborates that of Jansen</w:t>
      </w:r>
      <w:r w:rsidR="001F1ED9">
        <w:t xml:space="preserve"> in the following material respects:</w:t>
      </w:r>
    </w:p>
    <w:p w14:paraId="5203C9D2" w14:textId="74B60D74" w:rsidR="000B5451" w:rsidRDefault="00466CE2" w:rsidP="00466CE2">
      <w:pPr>
        <w:pStyle w:val="H2"/>
        <w:numPr>
          <w:ilvl w:val="0"/>
          <w:numId w:val="0"/>
        </w:numPr>
        <w:ind w:left="1418" w:hanging="851"/>
      </w:pPr>
      <w:r>
        <w:lastRenderedPageBreak/>
        <w:t>22.1.</w:t>
      </w:r>
      <w:r>
        <w:tab/>
      </w:r>
      <w:r w:rsidR="00362BF7">
        <w:t>they knew the appellant well;</w:t>
      </w:r>
    </w:p>
    <w:p w14:paraId="758A70C0" w14:textId="785BCC35" w:rsidR="001F1ED9" w:rsidRDefault="00466CE2" w:rsidP="00466CE2">
      <w:pPr>
        <w:pStyle w:val="H2"/>
        <w:numPr>
          <w:ilvl w:val="0"/>
          <w:numId w:val="0"/>
        </w:numPr>
        <w:ind w:left="1418" w:hanging="851"/>
      </w:pPr>
      <w:r>
        <w:t>22.2.</w:t>
      </w:r>
      <w:r>
        <w:tab/>
      </w:r>
      <w:r w:rsidR="00175452">
        <w:t>the appellant was present</w:t>
      </w:r>
      <w:r w:rsidR="008018EC">
        <w:t xml:space="preserve"> at or</w:t>
      </w:r>
      <w:r w:rsidR="00175452">
        <w:t xml:space="preserve"> </w:t>
      </w:r>
      <w:r w:rsidR="00C7027B">
        <w:t xml:space="preserve">in the vicinity of the </w:t>
      </w:r>
      <w:r w:rsidR="00172F7D">
        <w:t>location where the deceased was shot; and</w:t>
      </w:r>
    </w:p>
    <w:p w14:paraId="0186EF51" w14:textId="3F248DAC" w:rsidR="00172F7D" w:rsidRDefault="00466CE2" w:rsidP="00466CE2">
      <w:pPr>
        <w:pStyle w:val="H2"/>
        <w:numPr>
          <w:ilvl w:val="0"/>
          <w:numId w:val="0"/>
        </w:numPr>
        <w:ind w:left="1418" w:hanging="851"/>
      </w:pPr>
      <w:r>
        <w:t>22.3.</w:t>
      </w:r>
      <w:r>
        <w:tab/>
      </w:r>
      <w:r w:rsidR="00F82182">
        <w:t>the appellant was</w:t>
      </w:r>
      <w:r w:rsidR="0096179A">
        <w:t xml:space="preserve"> visibly</w:t>
      </w:r>
      <w:r w:rsidR="00F82182">
        <w:t xml:space="preserve"> </w:t>
      </w:r>
      <w:r w:rsidR="00172F7D">
        <w:t>in possession of a firearm at the time</w:t>
      </w:r>
      <w:r w:rsidR="009953EA">
        <w:t>; and</w:t>
      </w:r>
    </w:p>
    <w:p w14:paraId="4D398B63" w14:textId="0D52DE3D" w:rsidR="009953EA" w:rsidRDefault="00466CE2" w:rsidP="00466CE2">
      <w:pPr>
        <w:pStyle w:val="H2"/>
        <w:numPr>
          <w:ilvl w:val="0"/>
          <w:numId w:val="0"/>
        </w:numPr>
        <w:ind w:left="1418" w:hanging="851"/>
      </w:pPr>
      <w:r>
        <w:t>22.4.</w:t>
      </w:r>
      <w:r>
        <w:tab/>
      </w:r>
      <w:r w:rsidR="001D5677">
        <w:t>they heard shots being fired from the</w:t>
      </w:r>
      <w:r w:rsidR="006D3DF0">
        <w:t xml:space="preserve"> vicinity of the location where the deceased was shot.</w:t>
      </w:r>
    </w:p>
    <w:p w14:paraId="25D642F3" w14:textId="487D632F" w:rsidR="006D3DF0" w:rsidRDefault="00466CE2" w:rsidP="00466CE2">
      <w:pPr>
        <w:pStyle w:val="H1"/>
        <w:numPr>
          <w:ilvl w:val="0"/>
          <w:numId w:val="0"/>
        </w:numPr>
        <w:ind w:left="567" w:hanging="567"/>
      </w:pPr>
      <w:r>
        <w:t>[23]</w:t>
      </w:r>
      <w:r>
        <w:tab/>
      </w:r>
      <w:r w:rsidR="006D3DF0">
        <w:t>Camp</w:t>
      </w:r>
      <w:r w:rsidR="00C76E6E">
        <w:t>her, further</w:t>
      </w:r>
      <w:r w:rsidR="00082396">
        <w:t>, adds</w:t>
      </w:r>
      <w:r w:rsidR="00C76E6E">
        <w:t xml:space="preserve"> credibility to the version of Jansen</w:t>
      </w:r>
      <w:r w:rsidR="000D3750">
        <w:t xml:space="preserve"> by testifying that he saw Jansen running to the house of her aunt, followed by the deceased and the appellant</w:t>
      </w:r>
      <w:r w:rsidR="002A2235">
        <w:t xml:space="preserve"> and thereafter hearing shots being fired from that vicinity.</w:t>
      </w:r>
    </w:p>
    <w:p w14:paraId="6A8CE982" w14:textId="1C8C2BEA" w:rsidR="002A2235" w:rsidRDefault="00466CE2" w:rsidP="00466CE2">
      <w:pPr>
        <w:pStyle w:val="H1"/>
        <w:numPr>
          <w:ilvl w:val="0"/>
          <w:numId w:val="0"/>
        </w:numPr>
        <w:ind w:left="567" w:hanging="567"/>
      </w:pPr>
      <w:r>
        <w:t>[24]</w:t>
      </w:r>
      <w:r>
        <w:tab/>
      </w:r>
      <w:r w:rsidR="0028080F">
        <w:t>Jansen’s version as to how the deceased was shot is corroborated by</w:t>
      </w:r>
      <w:r w:rsidR="00535179">
        <w:t xml:space="preserve"> the post-mortem report.  Generally, </w:t>
      </w:r>
      <w:r w:rsidR="00E54682">
        <w:t xml:space="preserve">her </w:t>
      </w:r>
      <w:r w:rsidR="00535179">
        <w:t>evidence cannot be faulted</w:t>
      </w:r>
      <w:r w:rsidR="00CE5BC0">
        <w:t xml:space="preserve"> and was not materially challenged in cross-examination.</w:t>
      </w:r>
      <w:r w:rsidR="000C750E">
        <w:t xml:space="preserve">  She knew the appellant well and it is </w:t>
      </w:r>
      <w:r w:rsidR="00591F9B">
        <w:t>improbable, given the corroborative evidence referred to above</w:t>
      </w:r>
      <w:r w:rsidR="00C30E63">
        <w:t>,</w:t>
      </w:r>
      <w:r w:rsidR="000C750E">
        <w:t xml:space="preserve"> that she was mistaken as to the identity</w:t>
      </w:r>
      <w:r w:rsidR="002854FD">
        <w:t xml:space="preserve"> of the person who caused the death of the deceased.</w:t>
      </w:r>
      <w:r w:rsidR="007A0DC4">
        <w:t xml:space="preserve">  </w:t>
      </w:r>
    </w:p>
    <w:p w14:paraId="055D658F" w14:textId="76650560" w:rsidR="000F6B28" w:rsidRDefault="00466CE2" w:rsidP="00466CE2">
      <w:pPr>
        <w:pStyle w:val="H1"/>
        <w:numPr>
          <w:ilvl w:val="0"/>
          <w:numId w:val="0"/>
        </w:numPr>
        <w:ind w:left="567" w:hanging="567"/>
      </w:pPr>
      <w:r>
        <w:t>[25]</w:t>
      </w:r>
      <w:r>
        <w:tab/>
      </w:r>
      <w:r w:rsidR="000F6B28">
        <w:t>On a consideration of all the evidence adduced at the trial I am satisfied that:</w:t>
      </w:r>
    </w:p>
    <w:p w14:paraId="213D6FA3" w14:textId="0B41CD13" w:rsidR="000F6B28" w:rsidRDefault="00466CE2" w:rsidP="00466CE2">
      <w:pPr>
        <w:pStyle w:val="H2"/>
        <w:numPr>
          <w:ilvl w:val="0"/>
          <w:numId w:val="0"/>
        </w:numPr>
        <w:ind w:left="1418" w:hanging="851"/>
      </w:pPr>
      <w:r>
        <w:t>25.1.</w:t>
      </w:r>
      <w:r>
        <w:tab/>
      </w:r>
      <w:r w:rsidR="006070DF">
        <w:t>the appellant’s version</w:t>
      </w:r>
      <w:r w:rsidR="000C0CB8">
        <w:t xml:space="preserve"> presented at the trial was not reasonably possibly true;</w:t>
      </w:r>
    </w:p>
    <w:p w14:paraId="4AE80561" w14:textId="795D4C37" w:rsidR="000C0CB8" w:rsidRDefault="00466CE2" w:rsidP="00466CE2">
      <w:pPr>
        <w:pStyle w:val="H2"/>
        <w:numPr>
          <w:ilvl w:val="0"/>
          <w:numId w:val="0"/>
        </w:numPr>
        <w:ind w:left="1418" w:hanging="851"/>
      </w:pPr>
      <w:r>
        <w:t>25.2.</w:t>
      </w:r>
      <w:r>
        <w:tab/>
      </w:r>
      <w:r w:rsidR="00780178">
        <w:t>the version of the appellant, in fact, was false, beyond a reasonable doubt;</w:t>
      </w:r>
    </w:p>
    <w:p w14:paraId="4567E766" w14:textId="1F2C1639" w:rsidR="00E70CAB" w:rsidRDefault="00466CE2" w:rsidP="00466CE2">
      <w:pPr>
        <w:pStyle w:val="H2"/>
        <w:numPr>
          <w:ilvl w:val="0"/>
          <w:numId w:val="0"/>
        </w:numPr>
        <w:ind w:left="1418" w:hanging="851"/>
      </w:pPr>
      <w:r>
        <w:lastRenderedPageBreak/>
        <w:t>25.3.</w:t>
      </w:r>
      <w:r>
        <w:tab/>
      </w:r>
      <w:r w:rsidR="004B4EDA">
        <w:t xml:space="preserve">the State, at the trial, </w:t>
      </w:r>
      <w:r w:rsidR="00E13217">
        <w:t>had</w:t>
      </w:r>
      <w:r w:rsidR="004B4EDA">
        <w:t xml:space="preserve"> establish</w:t>
      </w:r>
      <w:r w:rsidR="00E13217">
        <w:t>ed</w:t>
      </w:r>
      <w:r w:rsidR="004B4EDA">
        <w:t xml:space="preserve"> the guilt of the appellant, on all counts</w:t>
      </w:r>
      <w:r w:rsidR="001154D9">
        <w:t>, beyond a reasonable doubt.</w:t>
      </w:r>
    </w:p>
    <w:p w14:paraId="22676F63" w14:textId="47CA62C9" w:rsidR="00F851F2" w:rsidRDefault="006F1917" w:rsidP="006F1917">
      <w:pPr>
        <w:pStyle w:val="H2"/>
        <w:numPr>
          <w:ilvl w:val="0"/>
          <w:numId w:val="0"/>
        </w:numPr>
        <w:rPr>
          <w:b/>
          <w:bCs/>
          <w:u w:val="single"/>
        </w:rPr>
      </w:pPr>
      <w:r>
        <w:rPr>
          <w:b/>
          <w:bCs/>
          <w:u w:val="single"/>
        </w:rPr>
        <w:t>Conclusion</w:t>
      </w:r>
      <w:r w:rsidR="00E16FE4">
        <w:rPr>
          <w:b/>
          <w:bCs/>
          <w:u w:val="single"/>
        </w:rPr>
        <w:t xml:space="preserve"> and order</w:t>
      </w:r>
    </w:p>
    <w:p w14:paraId="72748D74" w14:textId="4B30835B" w:rsidR="006F1917" w:rsidRDefault="00466CE2" w:rsidP="00466CE2">
      <w:pPr>
        <w:pStyle w:val="H1"/>
        <w:numPr>
          <w:ilvl w:val="0"/>
          <w:numId w:val="0"/>
        </w:numPr>
        <w:ind w:left="567" w:hanging="567"/>
      </w:pPr>
      <w:r>
        <w:t>[26]</w:t>
      </w:r>
      <w:r>
        <w:tab/>
      </w:r>
      <w:r w:rsidR="004C6D73">
        <w:t>Th</w:t>
      </w:r>
      <w:r w:rsidR="008C1473">
        <w:t xml:space="preserve">us, </w:t>
      </w:r>
      <w:r w:rsidR="008B7AAB">
        <w:t>no grounds exist on which the</w:t>
      </w:r>
      <w:r w:rsidR="00125480">
        <w:t xml:space="preserve"> conviction of the appellant on the three counts concerned</w:t>
      </w:r>
      <w:r w:rsidR="00673A8C">
        <w:t xml:space="preserve"> can be disturbed.  I accordingly make the following order:</w:t>
      </w:r>
    </w:p>
    <w:p w14:paraId="3E851174" w14:textId="2D9570EF" w:rsidR="00673A8C" w:rsidRDefault="004C6D73" w:rsidP="00673A8C">
      <w:pPr>
        <w:pStyle w:val="H1"/>
        <w:numPr>
          <w:ilvl w:val="0"/>
          <w:numId w:val="0"/>
        </w:numPr>
        <w:ind w:left="567"/>
        <w:rPr>
          <w:i/>
          <w:iCs/>
        </w:rPr>
      </w:pPr>
      <w:r>
        <w:rPr>
          <w:i/>
          <w:iCs/>
        </w:rPr>
        <w:t>The appeal is dismissed.</w:t>
      </w:r>
    </w:p>
    <w:p w14:paraId="591A5A10" w14:textId="16DB69F2" w:rsidR="00D834EE" w:rsidRDefault="00D834EE" w:rsidP="00673A8C">
      <w:pPr>
        <w:pStyle w:val="H1"/>
        <w:numPr>
          <w:ilvl w:val="0"/>
          <w:numId w:val="0"/>
        </w:numPr>
        <w:ind w:left="567"/>
        <w:rPr>
          <w:i/>
          <w:iCs/>
        </w:rPr>
      </w:pPr>
    </w:p>
    <w:p w14:paraId="7A7C363D" w14:textId="77777777" w:rsidR="00D834EE" w:rsidRPr="00673A8C" w:rsidRDefault="00D834EE" w:rsidP="00673A8C">
      <w:pPr>
        <w:pStyle w:val="H1"/>
        <w:numPr>
          <w:ilvl w:val="0"/>
          <w:numId w:val="0"/>
        </w:numPr>
        <w:ind w:left="567"/>
        <w:rPr>
          <w:i/>
          <w:iCs/>
        </w:rPr>
      </w:pPr>
    </w:p>
    <w:p w14:paraId="759CCE38" w14:textId="525581B1" w:rsidR="00D834EE" w:rsidRPr="000160FF" w:rsidRDefault="00D834EE" w:rsidP="00D834EE">
      <w:pPr>
        <w:ind w:right="567"/>
        <w:jc w:val="both"/>
        <w:rPr>
          <w:rFonts w:cs="Tahoma"/>
          <w:szCs w:val="24"/>
        </w:rPr>
      </w:pPr>
      <w:r>
        <w:t>___________________________</w:t>
      </w:r>
    </w:p>
    <w:p w14:paraId="1D1DC6BA" w14:textId="13207906" w:rsidR="005C7D79" w:rsidRPr="000160FF" w:rsidRDefault="005C7D79" w:rsidP="00D834EE">
      <w:pPr>
        <w:ind w:right="567"/>
        <w:rPr>
          <w:rFonts w:cs="Tahoma"/>
          <w:b/>
          <w:szCs w:val="24"/>
        </w:rPr>
      </w:pPr>
      <w:r w:rsidRPr="000160FF">
        <w:rPr>
          <w:rFonts w:cs="Tahoma"/>
          <w:b/>
          <w:szCs w:val="24"/>
        </w:rPr>
        <w:t>O H RONAASEN</w:t>
      </w:r>
    </w:p>
    <w:p w14:paraId="6761CD1D" w14:textId="0BEA979F" w:rsidR="005C7D79" w:rsidRDefault="005C7D79" w:rsidP="00D834EE">
      <w:pPr>
        <w:ind w:right="567"/>
        <w:rPr>
          <w:rFonts w:cs="Tahoma"/>
          <w:b/>
          <w:szCs w:val="24"/>
        </w:rPr>
      </w:pPr>
      <w:r w:rsidRPr="000160FF">
        <w:rPr>
          <w:rFonts w:cs="Tahoma"/>
          <w:b/>
          <w:szCs w:val="24"/>
        </w:rPr>
        <w:t>ACTING JUDGE OF THE HIGH COURT</w:t>
      </w:r>
    </w:p>
    <w:p w14:paraId="41C763E3" w14:textId="1F2CB7EF" w:rsidR="00D834EE" w:rsidRDefault="00D834EE" w:rsidP="00D834EE">
      <w:pPr>
        <w:ind w:right="567"/>
        <w:rPr>
          <w:rFonts w:cs="Tahoma"/>
          <w:b/>
          <w:szCs w:val="24"/>
        </w:rPr>
      </w:pPr>
    </w:p>
    <w:p w14:paraId="11990D9D" w14:textId="7E77E608" w:rsidR="00D834EE" w:rsidRDefault="00D834EE" w:rsidP="00D834EE">
      <w:pPr>
        <w:ind w:right="567"/>
        <w:rPr>
          <w:rFonts w:cs="Tahoma"/>
          <w:b/>
          <w:szCs w:val="24"/>
        </w:rPr>
      </w:pPr>
    </w:p>
    <w:p w14:paraId="58C0BF3C" w14:textId="675B66BB" w:rsidR="00D834EE" w:rsidRDefault="00D834EE" w:rsidP="00D834EE">
      <w:pPr>
        <w:ind w:right="567"/>
        <w:rPr>
          <w:rFonts w:cs="Tahoma"/>
          <w:b/>
          <w:szCs w:val="24"/>
        </w:rPr>
      </w:pPr>
    </w:p>
    <w:p w14:paraId="645CC42B" w14:textId="77777777" w:rsidR="00D834EE" w:rsidRDefault="00D834EE" w:rsidP="00D834EE">
      <w:pPr>
        <w:ind w:right="567"/>
        <w:rPr>
          <w:rFonts w:cs="Tahoma"/>
          <w:b/>
          <w:szCs w:val="24"/>
        </w:rPr>
      </w:pPr>
    </w:p>
    <w:p w14:paraId="0F5DE88D" w14:textId="77777777" w:rsidR="00D834EE" w:rsidRDefault="00D834EE" w:rsidP="00D834EE">
      <w:pPr>
        <w:ind w:right="567"/>
        <w:rPr>
          <w:rFonts w:cs="Tahoma"/>
          <w:b/>
          <w:szCs w:val="24"/>
        </w:rPr>
      </w:pPr>
    </w:p>
    <w:p w14:paraId="38810CDE" w14:textId="6D0C63CF" w:rsidR="00D834EE" w:rsidRDefault="00D834EE" w:rsidP="00D834EE">
      <w:pPr>
        <w:ind w:right="567"/>
        <w:rPr>
          <w:rFonts w:cs="Tahoma"/>
          <w:b/>
          <w:szCs w:val="24"/>
        </w:rPr>
      </w:pPr>
      <w:r>
        <w:rPr>
          <w:rFonts w:cs="Tahoma"/>
          <w:b/>
          <w:szCs w:val="24"/>
        </w:rPr>
        <w:t>Lowe J:</w:t>
      </w:r>
      <w:r>
        <w:rPr>
          <w:rFonts w:cs="Tahoma"/>
          <w:b/>
          <w:szCs w:val="24"/>
        </w:rPr>
        <w:tab/>
        <w:t>I agree</w:t>
      </w:r>
    </w:p>
    <w:p w14:paraId="60CB5CF0" w14:textId="34473B4B" w:rsidR="00D834EE" w:rsidRDefault="00D834EE" w:rsidP="00D834EE">
      <w:pPr>
        <w:ind w:right="567"/>
        <w:rPr>
          <w:rFonts w:cs="Tahoma"/>
          <w:b/>
          <w:szCs w:val="24"/>
        </w:rPr>
      </w:pPr>
    </w:p>
    <w:p w14:paraId="2BBA8257" w14:textId="678E310E" w:rsidR="00D834EE" w:rsidRDefault="00D834EE" w:rsidP="00D834EE">
      <w:pPr>
        <w:ind w:right="567"/>
        <w:rPr>
          <w:rFonts w:cs="Tahoma"/>
          <w:b/>
          <w:szCs w:val="24"/>
        </w:rPr>
      </w:pPr>
    </w:p>
    <w:p w14:paraId="54FCC65E" w14:textId="1D24E699" w:rsidR="00D834EE" w:rsidRDefault="00D834EE" w:rsidP="00D834EE">
      <w:pPr>
        <w:ind w:right="567"/>
        <w:rPr>
          <w:rFonts w:cs="Tahoma"/>
          <w:b/>
          <w:szCs w:val="24"/>
        </w:rPr>
      </w:pPr>
    </w:p>
    <w:p w14:paraId="2BAF4889" w14:textId="24C72BDD" w:rsidR="00D834EE" w:rsidRDefault="00D834EE" w:rsidP="00D834EE">
      <w:pPr>
        <w:ind w:right="567"/>
        <w:rPr>
          <w:rFonts w:cs="Tahoma"/>
          <w:b/>
          <w:szCs w:val="24"/>
        </w:rPr>
      </w:pPr>
    </w:p>
    <w:p w14:paraId="07EA7B08" w14:textId="4801BF95" w:rsidR="00D834EE" w:rsidRDefault="00D834EE" w:rsidP="00D834EE">
      <w:pPr>
        <w:ind w:right="567"/>
        <w:rPr>
          <w:rFonts w:cs="Tahoma"/>
          <w:b/>
          <w:szCs w:val="24"/>
        </w:rPr>
      </w:pPr>
    </w:p>
    <w:p w14:paraId="5A70AED1" w14:textId="275D1A87" w:rsidR="00D834EE" w:rsidRPr="00D834EE" w:rsidRDefault="00D834EE" w:rsidP="00D834EE">
      <w:pPr>
        <w:ind w:right="567"/>
        <w:rPr>
          <w:rFonts w:cs="Tahoma"/>
          <w:szCs w:val="24"/>
        </w:rPr>
      </w:pPr>
      <w:r>
        <w:rPr>
          <w:rFonts w:cs="Tahoma"/>
          <w:szCs w:val="24"/>
        </w:rPr>
        <w:t>______________________________</w:t>
      </w:r>
    </w:p>
    <w:p w14:paraId="24A5B519" w14:textId="08AE3ECE" w:rsidR="00D834EE" w:rsidRDefault="009D7325" w:rsidP="00D834EE">
      <w:pPr>
        <w:ind w:right="567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M J </w:t>
      </w:r>
      <w:r w:rsidR="00D834EE">
        <w:rPr>
          <w:rFonts w:cs="Tahoma"/>
          <w:b/>
          <w:szCs w:val="24"/>
        </w:rPr>
        <w:t>LOWE</w:t>
      </w:r>
    </w:p>
    <w:p w14:paraId="06597442" w14:textId="606688E0" w:rsidR="00D834EE" w:rsidRDefault="00D834EE" w:rsidP="00D834EE">
      <w:pPr>
        <w:ind w:right="567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JUDGE OF THE HIGH COURT </w:t>
      </w:r>
    </w:p>
    <w:p w14:paraId="2EC7A537" w14:textId="77777777" w:rsidR="00D834EE" w:rsidRPr="000160FF" w:rsidRDefault="00D834EE" w:rsidP="00330EB0">
      <w:pPr>
        <w:spacing w:line="360" w:lineRule="auto"/>
        <w:ind w:right="567"/>
        <w:rPr>
          <w:rFonts w:cs="Tahoma"/>
          <w:b/>
          <w:szCs w:val="24"/>
        </w:rPr>
      </w:pPr>
    </w:p>
    <w:p w14:paraId="67CF819B" w14:textId="587A3721" w:rsidR="00E36A73" w:rsidRDefault="00E36A73" w:rsidP="00E82DCD">
      <w:pPr>
        <w:spacing w:line="360" w:lineRule="auto"/>
        <w:ind w:right="567"/>
        <w:rPr>
          <w:rFonts w:cs="Tahoma"/>
          <w:szCs w:val="24"/>
        </w:rPr>
      </w:pPr>
    </w:p>
    <w:p w14:paraId="63A1D25D" w14:textId="607087C0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</w:p>
    <w:p w14:paraId="44CCAABF" w14:textId="77777777" w:rsidR="009D7325" w:rsidRDefault="009D7325" w:rsidP="00E82DCD">
      <w:pPr>
        <w:spacing w:line="360" w:lineRule="auto"/>
        <w:ind w:right="567"/>
        <w:rPr>
          <w:rFonts w:cs="Tahoma"/>
          <w:szCs w:val="24"/>
        </w:rPr>
      </w:pPr>
    </w:p>
    <w:p w14:paraId="5814C2CA" w14:textId="5342CD59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Appearances:</w:t>
      </w:r>
    </w:p>
    <w:p w14:paraId="648E009B" w14:textId="5365F758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</w:p>
    <w:p w14:paraId="09CEDB11" w14:textId="4375FB4C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For the Appellant: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Adv H Charles</w:t>
      </w:r>
    </w:p>
    <w:p w14:paraId="20366F13" w14:textId="6EB73C88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Instructed by: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Grahamstown Justice Centre</w:t>
      </w:r>
    </w:p>
    <w:p w14:paraId="069A133D" w14:textId="21DAC612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</w:p>
    <w:p w14:paraId="60ED71FC" w14:textId="4627E395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For the Respondent: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Adv H Obermeyer</w:t>
      </w:r>
    </w:p>
    <w:p w14:paraId="0352923D" w14:textId="578A04A1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Instructed by: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Director of Public Prosecutions</w:t>
      </w:r>
    </w:p>
    <w:p w14:paraId="64E0713F" w14:textId="1B1BD37C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="009D7325">
        <w:rPr>
          <w:rFonts w:cs="Tahoma"/>
          <w:szCs w:val="24"/>
        </w:rPr>
        <w:t>Grahamstown</w:t>
      </w:r>
    </w:p>
    <w:p w14:paraId="158D003C" w14:textId="51AEFCBD" w:rsidR="009D7325" w:rsidRDefault="009D7325" w:rsidP="00E82DCD">
      <w:pPr>
        <w:spacing w:line="360" w:lineRule="auto"/>
        <w:ind w:right="567"/>
        <w:rPr>
          <w:rFonts w:cs="Tahoma"/>
          <w:szCs w:val="24"/>
        </w:rPr>
      </w:pPr>
    </w:p>
    <w:p w14:paraId="4122B368" w14:textId="4D5332ED" w:rsidR="009D7325" w:rsidRDefault="009D7325" w:rsidP="00E82DCD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Date heard: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3 May 2023</w:t>
      </w:r>
    </w:p>
    <w:p w14:paraId="70E7E386" w14:textId="059D3D79" w:rsidR="009D7325" w:rsidRDefault="009D7325" w:rsidP="00E82DCD">
      <w:pPr>
        <w:spacing w:line="360" w:lineRule="auto"/>
        <w:ind w:right="567"/>
        <w:rPr>
          <w:rFonts w:cs="Tahoma"/>
          <w:szCs w:val="24"/>
        </w:rPr>
      </w:pPr>
    </w:p>
    <w:p w14:paraId="7C4C04A6" w14:textId="25E326EF" w:rsidR="009D7325" w:rsidRDefault="009D7325" w:rsidP="00E82DCD">
      <w:pPr>
        <w:spacing w:line="360" w:lineRule="auto"/>
        <w:ind w:right="567"/>
        <w:rPr>
          <w:rFonts w:cs="Tahoma"/>
          <w:szCs w:val="24"/>
        </w:rPr>
      </w:pPr>
      <w:r>
        <w:rPr>
          <w:rFonts w:cs="Tahoma"/>
          <w:szCs w:val="24"/>
        </w:rPr>
        <w:t>Date delivered: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4 May 2023</w:t>
      </w:r>
      <w:r>
        <w:rPr>
          <w:rFonts w:cs="Tahoma"/>
          <w:szCs w:val="24"/>
        </w:rPr>
        <w:tab/>
      </w:r>
    </w:p>
    <w:p w14:paraId="032B06CD" w14:textId="77777777" w:rsidR="00D834EE" w:rsidRDefault="00D834EE" w:rsidP="00E82DCD">
      <w:pPr>
        <w:spacing w:line="360" w:lineRule="auto"/>
        <w:ind w:right="567"/>
        <w:rPr>
          <w:rFonts w:cs="Tahoma"/>
          <w:szCs w:val="24"/>
        </w:rPr>
      </w:pPr>
    </w:p>
    <w:p w14:paraId="56CFE59C" w14:textId="77777777" w:rsidR="00D834EE" w:rsidRPr="000160FF" w:rsidRDefault="00D834EE" w:rsidP="00E82DCD">
      <w:pPr>
        <w:spacing w:line="360" w:lineRule="auto"/>
        <w:ind w:right="567"/>
        <w:rPr>
          <w:rFonts w:cs="Tahoma"/>
          <w:szCs w:val="24"/>
        </w:rPr>
      </w:pPr>
    </w:p>
    <w:sectPr w:rsidR="00D834EE" w:rsidRPr="000160FF" w:rsidSect="000B191D">
      <w:headerReference w:type="default" r:id="rId7"/>
      <w:pgSz w:w="11906" w:h="16838" w:code="9"/>
      <w:pgMar w:top="1701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1784" w14:textId="77777777" w:rsidR="00F32059" w:rsidRDefault="00F32059" w:rsidP="000B191D">
      <w:r>
        <w:separator/>
      </w:r>
    </w:p>
  </w:endnote>
  <w:endnote w:type="continuationSeparator" w:id="0">
    <w:p w14:paraId="36E67DB9" w14:textId="77777777" w:rsidR="00F32059" w:rsidRDefault="00F32059" w:rsidP="000B191D">
      <w:r>
        <w:continuationSeparator/>
      </w:r>
    </w:p>
  </w:endnote>
  <w:endnote w:type="continuationNotice" w:id="1">
    <w:p w14:paraId="060793BC" w14:textId="77777777" w:rsidR="00F32059" w:rsidRDefault="00F32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04A82" w14:textId="77777777" w:rsidR="00F32059" w:rsidRDefault="00F32059" w:rsidP="000B191D">
      <w:r>
        <w:separator/>
      </w:r>
    </w:p>
  </w:footnote>
  <w:footnote w:type="continuationSeparator" w:id="0">
    <w:p w14:paraId="4C45BF71" w14:textId="77777777" w:rsidR="00F32059" w:rsidRDefault="00F32059" w:rsidP="000B191D">
      <w:r>
        <w:continuationSeparator/>
      </w:r>
    </w:p>
  </w:footnote>
  <w:footnote w:type="continuationNotice" w:id="1">
    <w:p w14:paraId="45259C97" w14:textId="77777777" w:rsidR="00F32059" w:rsidRDefault="00F320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4046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0D38B9" w14:textId="08C04DED" w:rsidR="005C7D79" w:rsidRDefault="005C7D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B444A" w14:textId="77777777" w:rsidR="003C2BF4" w:rsidRDefault="003C2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B3D3C"/>
    <w:multiLevelType w:val="multilevel"/>
    <w:tmpl w:val="5BB827CA"/>
    <w:lvl w:ilvl="0">
      <w:start w:val="1"/>
      <w:numFmt w:val="decimal"/>
      <w:pStyle w:val="H1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268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D5"/>
    <w:rsid w:val="000010DD"/>
    <w:rsid w:val="000051E9"/>
    <w:rsid w:val="000058A8"/>
    <w:rsid w:val="00005F9F"/>
    <w:rsid w:val="00006738"/>
    <w:rsid w:val="00010DA1"/>
    <w:rsid w:val="00013518"/>
    <w:rsid w:val="00015635"/>
    <w:rsid w:val="0001597A"/>
    <w:rsid w:val="000160FF"/>
    <w:rsid w:val="000170ED"/>
    <w:rsid w:val="0001740C"/>
    <w:rsid w:val="00017743"/>
    <w:rsid w:val="000233EB"/>
    <w:rsid w:val="00024FED"/>
    <w:rsid w:val="00026250"/>
    <w:rsid w:val="000315FC"/>
    <w:rsid w:val="00034E5D"/>
    <w:rsid w:val="0003513F"/>
    <w:rsid w:val="00042DB5"/>
    <w:rsid w:val="000464D2"/>
    <w:rsid w:val="00047517"/>
    <w:rsid w:val="00047BFB"/>
    <w:rsid w:val="00050FE8"/>
    <w:rsid w:val="00054C34"/>
    <w:rsid w:val="0005512D"/>
    <w:rsid w:val="00065FD8"/>
    <w:rsid w:val="00071845"/>
    <w:rsid w:val="00077E8E"/>
    <w:rsid w:val="000820B4"/>
    <w:rsid w:val="00082396"/>
    <w:rsid w:val="00084A86"/>
    <w:rsid w:val="00085872"/>
    <w:rsid w:val="000918AC"/>
    <w:rsid w:val="000930EE"/>
    <w:rsid w:val="000A04BB"/>
    <w:rsid w:val="000A1432"/>
    <w:rsid w:val="000A3833"/>
    <w:rsid w:val="000B191D"/>
    <w:rsid w:val="000B2AD7"/>
    <w:rsid w:val="000B5451"/>
    <w:rsid w:val="000C00CD"/>
    <w:rsid w:val="000C0CB8"/>
    <w:rsid w:val="000C1F0C"/>
    <w:rsid w:val="000C2800"/>
    <w:rsid w:val="000C750E"/>
    <w:rsid w:val="000D028F"/>
    <w:rsid w:val="000D23FC"/>
    <w:rsid w:val="000D25B1"/>
    <w:rsid w:val="000D282E"/>
    <w:rsid w:val="000D3750"/>
    <w:rsid w:val="000D5349"/>
    <w:rsid w:val="000D5924"/>
    <w:rsid w:val="000D6188"/>
    <w:rsid w:val="000D75B6"/>
    <w:rsid w:val="000D779A"/>
    <w:rsid w:val="000E2204"/>
    <w:rsid w:val="000E385D"/>
    <w:rsid w:val="000E7485"/>
    <w:rsid w:val="000F36E9"/>
    <w:rsid w:val="000F6B28"/>
    <w:rsid w:val="00105594"/>
    <w:rsid w:val="00105F1D"/>
    <w:rsid w:val="001154D9"/>
    <w:rsid w:val="00125480"/>
    <w:rsid w:val="00125982"/>
    <w:rsid w:val="00135E5E"/>
    <w:rsid w:val="00136370"/>
    <w:rsid w:val="00140B21"/>
    <w:rsid w:val="0014667E"/>
    <w:rsid w:val="00146C47"/>
    <w:rsid w:val="00151030"/>
    <w:rsid w:val="001535E8"/>
    <w:rsid w:val="00154C19"/>
    <w:rsid w:val="00157553"/>
    <w:rsid w:val="00162EE4"/>
    <w:rsid w:val="001658A3"/>
    <w:rsid w:val="0017002C"/>
    <w:rsid w:val="00172F7D"/>
    <w:rsid w:val="00175452"/>
    <w:rsid w:val="00176E75"/>
    <w:rsid w:val="001802B3"/>
    <w:rsid w:val="001810D2"/>
    <w:rsid w:val="00181A20"/>
    <w:rsid w:val="00181B48"/>
    <w:rsid w:val="001841B2"/>
    <w:rsid w:val="0018563D"/>
    <w:rsid w:val="0018572C"/>
    <w:rsid w:val="001867FC"/>
    <w:rsid w:val="00195C2B"/>
    <w:rsid w:val="00196988"/>
    <w:rsid w:val="00196A95"/>
    <w:rsid w:val="00197E1C"/>
    <w:rsid w:val="001A1FE9"/>
    <w:rsid w:val="001A57B2"/>
    <w:rsid w:val="001A6054"/>
    <w:rsid w:val="001A7364"/>
    <w:rsid w:val="001B0777"/>
    <w:rsid w:val="001B27ED"/>
    <w:rsid w:val="001B625B"/>
    <w:rsid w:val="001B6D53"/>
    <w:rsid w:val="001C21E6"/>
    <w:rsid w:val="001C5866"/>
    <w:rsid w:val="001C74C6"/>
    <w:rsid w:val="001D1909"/>
    <w:rsid w:val="001D2299"/>
    <w:rsid w:val="001D2DC1"/>
    <w:rsid w:val="001D5677"/>
    <w:rsid w:val="001D56FC"/>
    <w:rsid w:val="001E0E76"/>
    <w:rsid w:val="001F0B09"/>
    <w:rsid w:val="001F1599"/>
    <w:rsid w:val="001F1EC8"/>
    <w:rsid w:val="001F1ED9"/>
    <w:rsid w:val="001F292C"/>
    <w:rsid w:val="001F5B6F"/>
    <w:rsid w:val="00200441"/>
    <w:rsid w:val="00200840"/>
    <w:rsid w:val="002018BB"/>
    <w:rsid w:val="0020784D"/>
    <w:rsid w:val="00207C93"/>
    <w:rsid w:val="00212C94"/>
    <w:rsid w:val="00213D19"/>
    <w:rsid w:val="00215195"/>
    <w:rsid w:val="0022013A"/>
    <w:rsid w:val="00223735"/>
    <w:rsid w:val="00224771"/>
    <w:rsid w:val="00231F74"/>
    <w:rsid w:val="002341F6"/>
    <w:rsid w:val="002358C5"/>
    <w:rsid w:val="00236A95"/>
    <w:rsid w:val="00243371"/>
    <w:rsid w:val="00245F7C"/>
    <w:rsid w:val="00252206"/>
    <w:rsid w:val="0025577A"/>
    <w:rsid w:val="0025604B"/>
    <w:rsid w:val="00260A10"/>
    <w:rsid w:val="00263273"/>
    <w:rsid w:val="0026454A"/>
    <w:rsid w:val="00266C48"/>
    <w:rsid w:val="00266CDB"/>
    <w:rsid w:val="002711A6"/>
    <w:rsid w:val="00273090"/>
    <w:rsid w:val="002758BE"/>
    <w:rsid w:val="00277E48"/>
    <w:rsid w:val="0028080F"/>
    <w:rsid w:val="002854FD"/>
    <w:rsid w:val="00296C34"/>
    <w:rsid w:val="002A2235"/>
    <w:rsid w:val="002A27FD"/>
    <w:rsid w:val="002A3B17"/>
    <w:rsid w:val="002A4CD0"/>
    <w:rsid w:val="002A6BF7"/>
    <w:rsid w:val="002A78A4"/>
    <w:rsid w:val="002B2488"/>
    <w:rsid w:val="002B3080"/>
    <w:rsid w:val="002B5F9A"/>
    <w:rsid w:val="002C0832"/>
    <w:rsid w:val="002C10B1"/>
    <w:rsid w:val="002C135B"/>
    <w:rsid w:val="002C2848"/>
    <w:rsid w:val="002C6FB6"/>
    <w:rsid w:val="002D0571"/>
    <w:rsid w:val="002D31D8"/>
    <w:rsid w:val="002D3C1B"/>
    <w:rsid w:val="002D3DB3"/>
    <w:rsid w:val="002D7120"/>
    <w:rsid w:val="002E0B93"/>
    <w:rsid w:val="002E381B"/>
    <w:rsid w:val="002E5648"/>
    <w:rsid w:val="002E5F58"/>
    <w:rsid w:val="002E69EB"/>
    <w:rsid w:val="002F1004"/>
    <w:rsid w:val="002F1253"/>
    <w:rsid w:val="002F294F"/>
    <w:rsid w:val="002F5538"/>
    <w:rsid w:val="002F66A1"/>
    <w:rsid w:val="002F70AF"/>
    <w:rsid w:val="003014A2"/>
    <w:rsid w:val="00302EFB"/>
    <w:rsid w:val="0030460F"/>
    <w:rsid w:val="003054F7"/>
    <w:rsid w:val="00306FC9"/>
    <w:rsid w:val="00307A50"/>
    <w:rsid w:val="00310993"/>
    <w:rsid w:val="00311CA7"/>
    <w:rsid w:val="00314D6F"/>
    <w:rsid w:val="003151EE"/>
    <w:rsid w:val="0031650B"/>
    <w:rsid w:val="00317319"/>
    <w:rsid w:val="003214F5"/>
    <w:rsid w:val="00321E72"/>
    <w:rsid w:val="00322FA3"/>
    <w:rsid w:val="00323F77"/>
    <w:rsid w:val="00324CF7"/>
    <w:rsid w:val="00325C16"/>
    <w:rsid w:val="00326CBA"/>
    <w:rsid w:val="00326E28"/>
    <w:rsid w:val="00330EB0"/>
    <w:rsid w:val="003311FD"/>
    <w:rsid w:val="00333417"/>
    <w:rsid w:val="0033357E"/>
    <w:rsid w:val="003372CD"/>
    <w:rsid w:val="00342D37"/>
    <w:rsid w:val="00347537"/>
    <w:rsid w:val="00353C06"/>
    <w:rsid w:val="0035713B"/>
    <w:rsid w:val="00361CA4"/>
    <w:rsid w:val="00362BF7"/>
    <w:rsid w:val="00363A3F"/>
    <w:rsid w:val="003652C1"/>
    <w:rsid w:val="00366887"/>
    <w:rsid w:val="003728E6"/>
    <w:rsid w:val="00381E19"/>
    <w:rsid w:val="003846B9"/>
    <w:rsid w:val="003868AC"/>
    <w:rsid w:val="00390D52"/>
    <w:rsid w:val="00391739"/>
    <w:rsid w:val="003A15AB"/>
    <w:rsid w:val="003A3D4F"/>
    <w:rsid w:val="003A4A35"/>
    <w:rsid w:val="003A6482"/>
    <w:rsid w:val="003B0025"/>
    <w:rsid w:val="003B6A2C"/>
    <w:rsid w:val="003C206D"/>
    <w:rsid w:val="003C295B"/>
    <w:rsid w:val="003C2BF4"/>
    <w:rsid w:val="003D40AB"/>
    <w:rsid w:val="003D61F0"/>
    <w:rsid w:val="003E090C"/>
    <w:rsid w:val="003E1BA4"/>
    <w:rsid w:val="003E2458"/>
    <w:rsid w:val="003E68C6"/>
    <w:rsid w:val="003F0B6E"/>
    <w:rsid w:val="00401B1A"/>
    <w:rsid w:val="00401CB6"/>
    <w:rsid w:val="00402A07"/>
    <w:rsid w:val="00402E7B"/>
    <w:rsid w:val="0040688A"/>
    <w:rsid w:val="00407361"/>
    <w:rsid w:val="00407D59"/>
    <w:rsid w:val="0041179C"/>
    <w:rsid w:val="00412902"/>
    <w:rsid w:val="004148FB"/>
    <w:rsid w:val="00414D41"/>
    <w:rsid w:val="00415DA1"/>
    <w:rsid w:val="0042251D"/>
    <w:rsid w:val="00423C97"/>
    <w:rsid w:val="004277AE"/>
    <w:rsid w:val="004309D0"/>
    <w:rsid w:val="00435BE3"/>
    <w:rsid w:val="0044106D"/>
    <w:rsid w:val="00441E91"/>
    <w:rsid w:val="0044271B"/>
    <w:rsid w:val="004457FF"/>
    <w:rsid w:val="0045223B"/>
    <w:rsid w:val="00452869"/>
    <w:rsid w:val="004534E2"/>
    <w:rsid w:val="00456507"/>
    <w:rsid w:val="004627F5"/>
    <w:rsid w:val="00464CC6"/>
    <w:rsid w:val="00466CE2"/>
    <w:rsid w:val="00470622"/>
    <w:rsid w:val="00471604"/>
    <w:rsid w:val="004725B9"/>
    <w:rsid w:val="00481D95"/>
    <w:rsid w:val="00486CDA"/>
    <w:rsid w:val="004910FE"/>
    <w:rsid w:val="004A0339"/>
    <w:rsid w:val="004A0761"/>
    <w:rsid w:val="004A1298"/>
    <w:rsid w:val="004A3A8E"/>
    <w:rsid w:val="004A4205"/>
    <w:rsid w:val="004A426B"/>
    <w:rsid w:val="004A4440"/>
    <w:rsid w:val="004B10BE"/>
    <w:rsid w:val="004B1110"/>
    <w:rsid w:val="004B16DF"/>
    <w:rsid w:val="004B17D4"/>
    <w:rsid w:val="004B4EDA"/>
    <w:rsid w:val="004B691C"/>
    <w:rsid w:val="004B6AE1"/>
    <w:rsid w:val="004C0C4C"/>
    <w:rsid w:val="004C3D91"/>
    <w:rsid w:val="004C651D"/>
    <w:rsid w:val="004C6D73"/>
    <w:rsid w:val="004D65CB"/>
    <w:rsid w:val="004E1709"/>
    <w:rsid w:val="004E2EEE"/>
    <w:rsid w:val="004E508B"/>
    <w:rsid w:val="004F5561"/>
    <w:rsid w:val="004F6F08"/>
    <w:rsid w:val="004F6F2D"/>
    <w:rsid w:val="005034A4"/>
    <w:rsid w:val="00504282"/>
    <w:rsid w:val="00505B04"/>
    <w:rsid w:val="00517AA4"/>
    <w:rsid w:val="0052282D"/>
    <w:rsid w:val="005270E6"/>
    <w:rsid w:val="00534388"/>
    <w:rsid w:val="00535179"/>
    <w:rsid w:val="0053721A"/>
    <w:rsid w:val="005429FF"/>
    <w:rsid w:val="00544706"/>
    <w:rsid w:val="00545885"/>
    <w:rsid w:val="00547CBE"/>
    <w:rsid w:val="005502A7"/>
    <w:rsid w:val="005509F4"/>
    <w:rsid w:val="00554617"/>
    <w:rsid w:val="0056217A"/>
    <w:rsid w:val="0056319E"/>
    <w:rsid w:val="00563D6C"/>
    <w:rsid w:val="005645DD"/>
    <w:rsid w:val="00565437"/>
    <w:rsid w:val="005671CE"/>
    <w:rsid w:val="0057299D"/>
    <w:rsid w:val="00573E7C"/>
    <w:rsid w:val="00576005"/>
    <w:rsid w:val="00576216"/>
    <w:rsid w:val="005811D7"/>
    <w:rsid w:val="005824AE"/>
    <w:rsid w:val="00586DC5"/>
    <w:rsid w:val="00590992"/>
    <w:rsid w:val="00591F9B"/>
    <w:rsid w:val="00592BAB"/>
    <w:rsid w:val="00593FDB"/>
    <w:rsid w:val="005A17A7"/>
    <w:rsid w:val="005A19AD"/>
    <w:rsid w:val="005A633B"/>
    <w:rsid w:val="005B0884"/>
    <w:rsid w:val="005B0EC5"/>
    <w:rsid w:val="005B27EC"/>
    <w:rsid w:val="005B3017"/>
    <w:rsid w:val="005B6870"/>
    <w:rsid w:val="005B6C4A"/>
    <w:rsid w:val="005B748A"/>
    <w:rsid w:val="005C06CE"/>
    <w:rsid w:val="005C175E"/>
    <w:rsid w:val="005C1BF6"/>
    <w:rsid w:val="005C34CC"/>
    <w:rsid w:val="005C45A4"/>
    <w:rsid w:val="005C49E6"/>
    <w:rsid w:val="005C5871"/>
    <w:rsid w:val="005C7D79"/>
    <w:rsid w:val="005D04A1"/>
    <w:rsid w:val="005D47DA"/>
    <w:rsid w:val="005D5179"/>
    <w:rsid w:val="005D5650"/>
    <w:rsid w:val="005E226F"/>
    <w:rsid w:val="005E2B56"/>
    <w:rsid w:val="005E2DC9"/>
    <w:rsid w:val="005E5479"/>
    <w:rsid w:val="005E5C98"/>
    <w:rsid w:val="005E6B58"/>
    <w:rsid w:val="005F0609"/>
    <w:rsid w:val="005F0B7D"/>
    <w:rsid w:val="005F1080"/>
    <w:rsid w:val="005F35B1"/>
    <w:rsid w:val="00605101"/>
    <w:rsid w:val="006070DF"/>
    <w:rsid w:val="006201E3"/>
    <w:rsid w:val="006256DD"/>
    <w:rsid w:val="006410C0"/>
    <w:rsid w:val="00641958"/>
    <w:rsid w:val="0064295F"/>
    <w:rsid w:val="00643983"/>
    <w:rsid w:val="00643C05"/>
    <w:rsid w:val="006465C2"/>
    <w:rsid w:val="00653969"/>
    <w:rsid w:val="006567EB"/>
    <w:rsid w:val="006614B8"/>
    <w:rsid w:val="00663D11"/>
    <w:rsid w:val="00665E32"/>
    <w:rsid w:val="00666844"/>
    <w:rsid w:val="006704ED"/>
    <w:rsid w:val="0067266C"/>
    <w:rsid w:val="00673A8C"/>
    <w:rsid w:val="0067754D"/>
    <w:rsid w:val="00683D00"/>
    <w:rsid w:val="006853F6"/>
    <w:rsid w:val="00686A27"/>
    <w:rsid w:val="00687CED"/>
    <w:rsid w:val="00693C94"/>
    <w:rsid w:val="006952C3"/>
    <w:rsid w:val="006977C6"/>
    <w:rsid w:val="00697EB6"/>
    <w:rsid w:val="006A14C4"/>
    <w:rsid w:val="006A282A"/>
    <w:rsid w:val="006A73F1"/>
    <w:rsid w:val="006B0556"/>
    <w:rsid w:val="006B3437"/>
    <w:rsid w:val="006B3C10"/>
    <w:rsid w:val="006C13AC"/>
    <w:rsid w:val="006C4FE0"/>
    <w:rsid w:val="006C5E09"/>
    <w:rsid w:val="006C605E"/>
    <w:rsid w:val="006D345A"/>
    <w:rsid w:val="006D367E"/>
    <w:rsid w:val="006D3D2C"/>
    <w:rsid w:val="006D3DF0"/>
    <w:rsid w:val="006D4D9F"/>
    <w:rsid w:val="006D5FD7"/>
    <w:rsid w:val="006D7037"/>
    <w:rsid w:val="006E1B7E"/>
    <w:rsid w:val="006E347D"/>
    <w:rsid w:val="006E70E6"/>
    <w:rsid w:val="006E76DA"/>
    <w:rsid w:val="006F1917"/>
    <w:rsid w:val="006F61BF"/>
    <w:rsid w:val="00702C6A"/>
    <w:rsid w:val="00702D49"/>
    <w:rsid w:val="007032A6"/>
    <w:rsid w:val="0070351E"/>
    <w:rsid w:val="00704B33"/>
    <w:rsid w:val="00704BC7"/>
    <w:rsid w:val="00707D61"/>
    <w:rsid w:val="0071613A"/>
    <w:rsid w:val="007162DB"/>
    <w:rsid w:val="0072170E"/>
    <w:rsid w:val="0072393D"/>
    <w:rsid w:val="007319F5"/>
    <w:rsid w:val="00732EFE"/>
    <w:rsid w:val="00734DD1"/>
    <w:rsid w:val="0074195D"/>
    <w:rsid w:val="0074377F"/>
    <w:rsid w:val="00745C1E"/>
    <w:rsid w:val="00745D77"/>
    <w:rsid w:val="00745F8F"/>
    <w:rsid w:val="00746050"/>
    <w:rsid w:val="00753996"/>
    <w:rsid w:val="00754CD6"/>
    <w:rsid w:val="007552A7"/>
    <w:rsid w:val="00763CF1"/>
    <w:rsid w:val="00765734"/>
    <w:rsid w:val="0077742D"/>
    <w:rsid w:val="00780178"/>
    <w:rsid w:val="00780551"/>
    <w:rsid w:val="00781781"/>
    <w:rsid w:val="00784E80"/>
    <w:rsid w:val="00787374"/>
    <w:rsid w:val="0079506A"/>
    <w:rsid w:val="007A0DC4"/>
    <w:rsid w:val="007A3E48"/>
    <w:rsid w:val="007A436D"/>
    <w:rsid w:val="007A74FF"/>
    <w:rsid w:val="007C0B42"/>
    <w:rsid w:val="007C65F1"/>
    <w:rsid w:val="007C7DF0"/>
    <w:rsid w:val="007D09DD"/>
    <w:rsid w:val="007D48B8"/>
    <w:rsid w:val="007E148C"/>
    <w:rsid w:val="007E2BF2"/>
    <w:rsid w:val="007E7F08"/>
    <w:rsid w:val="007F301D"/>
    <w:rsid w:val="007F5F05"/>
    <w:rsid w:val="0080001A"/>
    <w:rsid w:val="00801345"/>
    <w:rsid w:val="008018EC"/>
    <w:rsid w:val="00801D31"/>
    <w:rsid w:val="00803D5D"/>
    <w:rsid w:val="00805C91"/>
    <w:rsid w:val="0080705F"/>
    <w:rsid w:val="008110F1"/>
    <w:rsid w:val="00813288"/>
    <w:rsid w:val="008134F2"/>
    <w:rsid w:val="00817AC8"/>
    <w:rsid w:val="00817EC0"/>
    <w:rsid w:val="00821A3B"/>
    <w:rsid w:val="0082423C"/>
    <w:rsid w:val="00824A8D"/>
    <w:rsid w:val="00844688"/>
    <w:rsid w:val="0084482B"/>
    <w:rsid w:val="0084601A"/>
    <w:rsid w:val="00847513"/>
    <w:rsid w:val="00847D7F"/>
    <w:rsid w:val="0085074F"/>
    <w:rsid w:val="00850929"/>
    <w:rsid w:val="00851A46"/>
    <w:rsid w:val="008526D5"/>
    <w:rsid w:val="008617B9"/>
    <w:rsid w:val="00874688"/>
    <w:rsid w:val="00875768"/>
    <w:rsid w:val="00876712"/>
    <w:rsid w:val="008769D6"/>
    <w:rsid w:val="0088376C"/>
    <w:rsid w:val="00884224"/>
    <w:rsid w:val="0089098A"/>
    <w:rsid w:val="0089235C"/>
    <w:rsid w:val="008934C3"/>
    <w:rsid w:val="0089599E"/>
    <w:rsid w:val="00897BF6"/>
    <w:rsid w:val="008A0B73"/>
    <w:rsid w:val="008B074D"/>
    <w:rsid w:val="008B1010"/>
    <w:rsid w:val="008B3FDC"/>
    <w:rsid w:val="008B7AAB"/>
    <w:rsid w:val="008C02A2"/>
    <w:rsid w:val="008C1473"/>
    <w:rsid w:val="008C180A"/>
    <w:rsid w:val="008C1CD6"/>
    <w:rsid w:val="008C2A51"/>
    <w:rsid w:val="008C6B4F"/>
    <w:rsid w:val="008D0743"/>
    <w:rsid w:val="008D4C4B"/>
    <w:rsid w:val="008D5B7B"/>
    <w:rsid w:val="008E3007"/>
    <w:rsid w:val="008E3180"/>
    <w:rsid w:val="008F1A02"/>
    <w:rsid w:val="008F23C5"/>
    <w:rsid w:val="008F7690"/>
    <w:rsid w:val="008F7714"/>
    <w:rsid w:val="009001AF"/>
    <w:rsid w:val="00901E0D"/>
    <w:rsid w:val="00902C82"/>
    <w:rsid w:val="00902CAC"/>
    <w:rsid w:val="00904DC1"/>
    <w:rsid w:val="009102A4"/>
    <w:rsid w:val="00915D7E"/>
    <w:rsid w:val="009244C1"/>
    <w:rsid w:val="00924502"/>
    <w:rsid w:val="0092624F"/>
    <w:rsid w:val="00926A7B"/>
    <w:rsid w:val="009323D5"/>
    <w:rsid w:val="0093358B"/>
    <w:rsid w:val="00934CF5"/>
    <w:rsid w:val="009418E7"/>
    <w:rsid w:val="00944F8E"/>
    <w:rsid w:val="00947CAB"/>
    <w:rsid w:val="009502E5"/>
    <w:rsid w:val="0095044D"/>
    <w:rsid w:val="00952ABC"/>
    <w:rsid w:val="009562FE"/>
    <w:rsid w:val="0096179A"/>
    <w:rsid w:val="00964F56"/>
    <w:rsid w:val="00965186"/>
    <w:rsid w:val="00966662"/>
    <w:rsid w:val="00972EEA"/>
    <w:rsid w:val="00976CCB"/>
    <w:rsid w:val="00983E84"/>
    <w:rsid w:val="009859EB"/>
    <w:rsid w:val="00985B64"/>
    <w:rsid w:val="009918AD"/>
    <w:rsid w:val="00993420"/>
    <w:rsid w:val="00993B03"/>
    <w:rsid w:val="009953EA"/>
    <w:rsid w:val="00997B36"/>
    <w:rsid w:val="009A069C"/>
    <w:rsid w:val="009A692A"/>
    <w:rsid w:val="009A7386"/>
    <w:rsid w:val="009B11B4"/>
    <w:rsid w:val="009B208B"/>
    <w:rsid w:val="009B3C0E"/>
    <w:rsid w:val="009B4370"/>
    <w:rsid w:val="009B7BDB"/>
    <w:rsid w:val="009C06F8"/>
    <w:rsid w:val="009C14BA"/>
    <w:rsid w:val="009C5CB3"/>
    <w:rsid w:val="009D3565"/>
    <w:rsid w:val="009D3FDC"/>
    <w:rsid w:val="009D50A8"/>
    <w:rsid w:val="009D582B"/>
    <w:rsid w:val="009D5A62"/>
    <w:rsid w:val="009D7325"/>
    <w:rsid w:val="009E5C6A"/>
    <w:rsid w:val="009F024B"/>
    <w:rsid w:val="009F1A62"/>
    <w:rsid w:val="009F4BF7"/>
    <w:rsid w:val="009F6B2F"/>
    <w:rsid w:val="00A00A5F"/>
    <w:rsid w:val="00A01C8F"/>
    <w:rsid w:val="00A01CCC"/>
    <w:rsid w:val="00A0348A"/>
    <w:rsid w:val="00A050C9"/>
    <w:rsid w:val="00A12574"/>
    <w:rsid w:val="00A21AEE"/>
    <w:rsid w:val="00A25218"/>
    <w:rsid w:val="00A3163F"/>
    <w:rsid w:val="00A348FD"/>
    <w:rsid w:val="00A40638"/>
    <w:rsid w:val="00A43EDB"/>
    <w:rsid w:val="00A44C0C"/>
    <w:rsid w:val="00A52520"/>
    <w:rsid w:val="00A569F9"/>
    <w:rsid w:val="00A63AB0"/>
    <w:rsid w:val="00A73D9D"/>
    <w:rsid w:val="00A77C4B"/>
    <w:rsid w:val="00A82324"/>
    <w:rsid w:val="00A8502B"/>
    <w:rsid w:val="00A8637C"/>
    <w:rsid w:val="00A93AC5"/>
    <w:rsid w:val="00A95988"/>
    <w:rsid w:val="00AA04C5"/>
    <w:rsid w:val="00AA7172"/>
    <w:rsid w:val="00AB1369"/>
    <w:rsid w:val="00AB5B0B"/>
    <w:rsid w:val="00AC5704"/>
    <w:rsid w:val="00AC67EE"/>
    <w:rsid w:val="00AD2BE7"/>
    <w:rsid w:val="00AD411B"/>
    <w:rsid w:val="00AD6CCF"/>
    <w:rsid w:val="00AF750D"/>
    <w:rsid w:val="00AF7A10"/>
    <w:rsid w:val="00B03318"/>
    <w:rsid w:val="00B036E5"/>
    <w:rsid w:val="00B03E28"/>
    <w:rsid w:val="00B049E1"/>
    <w:rsid w:val="00B079D8"/>
    <w:rsid w:val="00B10A5A"/>
    <w:rsid w:val="00B13621"/>
    <w:rsid w:val="00B17A10"/>
    <w:rsid w:val="00B202B1"/>
    <w:rsid w:val="00B21C64"/>
    <w:rsid w:val="00B23DBC"/>
    <w:rsid w:val="00B26343"/>
    <w:rsid w:val="00B26E93"/>
    <w:rsid w:val="00B3133F"/>
    <w:rsid w:val="00B31E53"/>
    <w:rsid w:val="00B328B3"/>
    <w:rsid w:val="00B3408B"/>
    <w:rsid w:val="00B3443B"/>
    <w:rsid w:val="00B3496B"/>
    <w:rsid w:val="00B34A49"/>
    <w:rsid w:val="00B34A93"/>
    <w:rsid w:val="00B35EF5"/>
    <w:rsid w:val="00B37028"/>
    <w:rsid w:val="00B374A0"/>
    <w:rsid w:val="00B43EF0"/>
    <w:rsid w:val="00B46DA0"/>
    <w:rsid w:val="00B502C1"/>
    <w:rsid w:val="00B52173"/>
    <w:rsid w:val="00B529FD"/>
    <w:rsid w:val="00B61640"/>
    <w:rsid w:val="00B67624"/>
    <w:rsid w:val="00B71BC6"/>
    <w:rsid w:val="00B73A8B"/>
    <w:rsid w:val="00B74596"/>
    <w:rsid w:val="00B77B72"/>
    <w:rsid w:val="00B8143E"/>
    <w:rsid w:val="00B82AED"/>
    <w:rsid w:val="00B82B69"/>
    <w:rsid w:val="00B92F3C"/>
    <w:rsid w:val="00B95BFC"/>
    <w:rsid w:val="00B963EF"/>
    <w:rsid w:val="00B96C70"/>
    <w:rsid w:val="00B97053"/>
    <w:rsid w:val="00BA7630"/>
    <w:rsid w:val="00BB0E77"/>
    <w:rsid w:val="00BB188C"/>
    <w:rsid w:val="00BB3914"/>
    <w:rsid w:val="00BB406C"/>
    <w:rsid w:val="00BB7CF4"/>
    <w:rsid w:val="00BC222B"/>
    <w:rsid w:val="00BC2DCF"/>
    <w:rsid w:val="00BC3FD4"/>
    <w:rsid w:val="00BC526E"/>
    <w:rsid w:val="00BC5F99"/>
    <w:rsid w:val="00BD0506"/>
    <w:rsid w:val="00BD1CF1"/>
    <w:rsid w:val="00BD27A4"/>
    <w:rsid w:val="00BD3B9C"/>
    <w:rsid w:val="00BE1F3F"/>
    <w:rsid w:val="00BE414B"/>
    <w:rsid w:val="00BF3C70"/>
    <w:rsid w:val="00C00760"/>
    <w:rsid w:val="00C0080A"/>
    <w:rsid w:val="00C155F2"/>
    <w:rsid w:val="00C15749"/>
    <w:rsid w:val="00C157B7"/>
    <w:rsid w:val="00C20E83"/>
    <w:rsid w:val="00C222D3"/>
    <w:rsid w:val="00C2359A"/>
    <w:rsid w:val="00C275A2"/>
    <w:rsid w:val="00C30E63"/>
    <w:rsid w:val="00C33221"/>
    <w:rsid w:val="00C33716"/>
    <w:rsid w:val="00C375D3"/>
    <w:rsid w:val="00C40C28"/>
    <w:rsid w:val="00C41D47"/>
    <w:rsid w:val="00C475FF"/>
    <w:rsid w:val="00C56C7A"/>
    <w:rsid w:val="00C56E2A"/>
    <w:rsid w:val="00C6369A"/>
    <w:rsid w:val="00C641C8"/>
    <w:rsid w:val="00C67CA2"/>
    <w:rsid w:val="00C7027B"/>
    <w:rsid w:val="00C76E6E"/>
    <w:rsid w:val="00C82D3C"/>
    <w:rsid w:val="00C87462"/>
    <w:rsid w:val="00C95F52"/>
    <w:rsid w:val="00C96888"/>
    <w:rsid w:val="00CA24AD"/>
    <w:rsid w:val="00CA2975"/>
    <w:rsid w:val="00CB461C"/>
    <w:rsid w:val="00CB5597"/>
    <w:rsid w:val="00CB5E46"/>
    <w:rsid w:val="00CB7F0D"/>
    <w:rsid w:val="00CC32B3"/>
    <w:rsid w:val="00CC682F"/>
    <w:rsid w:val="00CC709E"/>
    <w:rsid w:val="00CC7FC7"/>
    <w:rsid w:val="00CD18C7"/>
    <w:rsid w:val="00CD55BD"/>
    <w:rsid w:val="00CD5D98"/>
    <w:rsid w:val="00CE42F7"/>
    <w:rsid w:val="00CE5BC0"/>
    <w:rsid w:val="00CF3EF1"/>
    <w:rsid w:val="00CF7073"/>
    <w:rsid w:val="00D13BBD"/>
    <w:rsid w:val="00D14B14"/>
    <w:rsid w:val="00D15394"/>
    <w:rsid w:val="00D16785"/>
    <w:rsid w:val="00D202E4"/>
    <w:rsid w:val="00D206EA"/>
    <w:rsid w:val="00D208B8"/>
    <w:rsid w:val="00D20DD6"/>
    <w:rsid w:val="00D22FEB"/>
    <w:rsid w:val="00D2384E"/>
    <w:rsid w:val="00D33069"/>
    <w:rsid w:val="00D3483E"/>
    <w:rsid w:val="00D3535A"/>
    <w:rsid w:val="00D3602C"/>
    <w:rsid w:val="00D44429"/>
    <w:rsid w:val="00D45195"/>
    <w:rsid w:val="00D46181"/>
    <w:rsid w:val="00D4674C"/>
    <w:rsid w:val="00D5131A"/>
    <w:rsid w:val="00D520A4"/>
    <w:rsid w:val="00D5570B"/>
    <w:rsid w:val="00D61373"/>
    <w:rsid w:val="00D638AD"/>
    <w:rsid w:val="00D7023B"/>
    <w:rsid w:val="00D834EE"/>
    <w:rsid w:val="00D841D8"/>
    <w:rsid w:val="00D84F34"/>
    <w:rsid w:val="00D856AC"/>
    <w:rsid w:val="00D8605F"/>
    <w:rsid w:val="00D96345"/>
    <w:rsid w:val="00D97F37"/>
    <w:rsid w:val="00DA4C92"/>
    <w:rsid w:val="00DB72DF"/>
    <w:rsid w:val="00DC4360"/>
    <w:rsid w:val="00DC6966"/>
    <w:rsid w:val="00DD2DD3"/>
    <w:rsid w:val="00DD40CB"/>
    <w:rsid w:val="00DD655F"/>
    <w:rsid w:val="00DE016F"/>
    <w:rsid w:val="00DE127F"/>
    <w:rsid w:val="00DE262C"/>
    <w:rsid w:val="00DE485D"/>
    <w:rsid w:val="00DE6B40"/>
    <w:rsid w:val="00DF6D19"/>
    <w:rsid w:val="00E02FDA"/>
    <w:rsid w:val="00E13217"/>
    <w:rsid w:val="00E1505F"/>
    <w:rsid w:val="00E164D0"/>
    <w:rsid w:val="00E16630"/>
    <w:rsid w:val="00E16FE4"/>
    <w:rsid w:val="00E17EC6"/>
    <w:rsid w:val="00E20021"/>
    <w:rsid w:val="00E21A2B"/>
    <w:rsid w:val="00E230EB"/>
    <w:rsid w:val="00E30117"/>
    <w:rsid w:val="00E3575A"/>
    <w:rsid w:val="00E36A73"/>
    <w:rsid w:val="00E4147F"/>
    <w:rsid w:val="00E41486"/>
    <w:rsid w:val="00E419F8"/>
    <w:rsid w:val="00E42BBC"/>
    <w:rsid w:val="00E43546"/>
    <w:rsid w:val="00E475C4"/>
    <w:rsid w:val="00E54682"/>
    <w:rsid w:val="00E5579C"/>
    <w:rsid w:val="00E55C37"/>
    <w:rsid w:val="00E56313"/>
    <w:rsid w:val="00E57864"/>
    <w:rsid w:val="00E57A1F"/>
    <w:rsid w:val="00E6129C"/>
    <w:rsid w:val="00E67EC3"/>
    <w:rsid w:val="00E70CAB"/>
    <w:rsid w:val="00E70F50"/>
    <w:rsid w:val="00E727D1"/>
    <w:rsid w:val="00E759EC"/>
    <w:rsid w:val="00E808B4"/>
    <w:rsid w:val="00E82DCD"/>
    <w:rsid w:val="00E85D76"/>
    <w:rsid w:val="00E87734"/>
    <w:rsid w:val="00E90D86"/>
    <w:rsid w:val="00E90DB2"/>
    <w:rsid w:val="00E92CE3"/>
    <w:rsid w:val="00E95FEA"/>
    <w:rsid w:val="00E960F1"/>
    <w:rsid w:val="00EA1A2C"/>
    <w:rsid w:val="00EA2779"/>
    <w:rsid w:val="00EA2DD6"/>
    <w:rsid w:val="00EA347D"/>
    <w:rsid w:val="00EA4E66"/>
    <w:rsid w:val="00EA5A30"/>
    <w:rsid w:val="00EA703A"/>
    <w:rsid w:val="00EB05A7"/>
    <w:rsid w:val="00EB1091"/>
    <w:rsid w:val="00EB2A3F"/>
    <w:rsid w:val="00EB379A"/>
    <w:rsid w:val="00EB4D6F"/>
    <w:rsid w:val="00EB4E10"/>
    <w:rsid w:val="00EB6099"/>
    <w:rsid w:val="00EC0192"/>
    <w:rsid w:val="00EC2784"/>
    <w:rsid w:val="00EC2B5F"/>
    <w:rsid w:val="00EC338F"/>
    <w:rsid w:val="00EC666C"/>
    <w:rsid w:val="00EC6DD7"/>
    <w:rsid w:val="00ED1BC2"/>
    <w:rsid w:val="00ED4968"/>
    <w:rsid w:val="00EE3F78"/>
    <w:rsid w:val="00EF078A"/>
    <w:rsid w:val="00EF64FA"/>
    <w:rsid w:val="00F01F3E"/>
    <w:rsid w:val="00F05EFB"/>
    <w:rsid w:val="00F10225"/>
    <w:rsid w:val="00F13101"/>
    <w:rsid w:val="00F13BB7"/>
    <w:rsid w:val="00F243AA"/>
    <w:rsid w:val="00F265AA"/>
    <w:rsid w:val="00F3155A"/>
    <w:rsid w:val="00F32059"/>
    <w:rsid w:val="00F41662"/>
    <w:rsid w:val="00F41899"/>
    <w:rsid w:val="00F43D55"/>
    <w:rsid w:val="00F50769"/>
    <w:rsid w:val="00F50BA8"/>
    <w:rsid w:val="00F51DBA"/>
    <w:rsid w:val="00F53B51"/>
    <w:rsid w:val="00F55547"/>
    <w:rsid w:val="00F56504"/>
    <w:rsid w:val="00F63FF1"/>
    <w:rsid w:val="00F6564B"/>
    <w:rsid w:val="00F743D7"/>
    <w:rsid w:val="00F744F7"/>
    <w:rsid w:val="00F74B21"/>
    <w:rsid w:val="00F82182"/>
    <w:rsid w:val="00F8315D"/>
    <w:rsid w:val="00F851F2"/>
    <w:rsid w:val="00F85BD3"/>
    <w:rsid w:val="00F912AF"/>
    <w:rsid w:val="00F91544"/>
    <w:rsid w:val="00F945C4"/>
    <w:rsid w:val="00F96DC9"/>
    <w:rsid w:val="00FA0DC6"/>
    <w:rsid w:val="00FA4798"/>
    <w:rsid w:val="00FA72A9"/>
    <w:rsid w:val="00FB39F1"/>
    <w:rsid w:val="00FB6B88"/>
    <w:rsid w:val="00FC243F"/>
    <w:rsid w:val="00FC2862"/>
    <w:rsid w:val="00FC2C29"/>
    <w:rsid w:val="00FC2E5F"/>
    <w:rsid w:val="00FC3397"/>
    <w:rsid w:val="00FD4E39"/>
    <w:rsid w:val="00FD5442"/>
    <w:rsid w:val="00FD5AF9"/>
    <w:rsid w:val="00FD6D49"/>
    <w:rsid w:val="00FE4B62"/>
    <w:rsid w:val="00FE52C9"/>
    <w:rsid w:val="00FE5F6A"/>
    <w:rsid w:val="00FE6EB1"/>
    <w:rsid w:val="00FF03FC"/>
    <w:rsid w:val="00FF0747"/>
    <w:rsid w:val="00FF211A"/>
    <w:rsid w:val="00FF2EED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44E"/>
  <w15:docId w15:val="{ACD35523-FAE0-4E6B-A458-671E8E3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link w:val="H1Char"/>
    <w:qFormat/>
    <w:rsid w:val="006C13AC"/>
    <w:pPr>
      <w:numPr>
        <w:numId w:val="1"/>
      </w:numPr>
      <w:tabs>
        <w:tab w:val="left" w:pos="567"/>
        <w:tab w:val="right" w:pos="8931"/>
      </w:tabs>
      <w:spacing w:after="240" w:line="480" w:lineRule="auto"/>
      <w:jc w:val="both"/>
    </w:pPr>
  </w:style>
  <w:style w:type="paragraph" w:customStyle="1" w:styleId="H2">
    <w:name w:val="H2"/>
    <w:basedOn w:val="Normal"/>
    <w:link w:val="H2Char"/>
    <w:qFormat/>
    <w:rsid w:val="006C13AC"/>
    <w:pPr>
      <w:numPr>
        <w:ilvl w:val="1"/>
        <w:numId w:val="1"/>
      </w:numPr>
      <w:tabs>
        <w:tab w:val="left" w:pos="1418"/>
        <w:tab w:val="right" w:pos="8931"/>
      </w:tabs>
      <w:spacing w:after="240" w:line="480" w:lineRule="auto"/>
      <w:jc w:val="both"/>
    </w:pPr>
  </w:style>
  <w:style w:type="character" w:customStyle="1" w:styleId="H1Char">
    <w:name w:val="H1 Char"/>
    <w:basedOn w:val="DefaultParagraphFont"/>
    <w:link w:val="H1"/>
    <w:rsid w:val="006C13AC"/>
    <w:rPr>
      <w:sz w:val="24"/>
      <w:szCs w:val="22"/>
      <w:lang w:val="en-GB" w:eastAsia="en-GB"/>
    </w:rPr>
  </w:style>
  <w:style w:type="paragraph" w:customStyle="1" w:styleId="H3">
    <w:name w:val="H3"/>
    <w:basedOn w:val="Normal"/>
    <w:link w:val="H3Char"/>
    <w:qFormat/>
    <w:rsid w:val="006C13AC"/>
    <w:pPr>
      <w:numPr>
        <w:ilvl w:val="2"/>
        <w:numId w:val="1"/>
      </w:numPr>
      <w:tabs>
        <w:tab w:val="clear" w:pos="1418"/>
        <w:tab w:val="num" w:pos="2268"/>
        <w:tab w:val="right" w:pos="8931"/>
      </w:tabs>
      <w:spacing w:after="240" w:line="480" w:lineRule="auto"/>
      <w:jc w:val="both"/>
    </w:pPr>
  </w:style>
  <w:style w:type="character" w:customStyle="1" w:styleId="H2Char">
    <w:name w:val="H2 Char"/>
    <w:basedOn w:val="DefaultParagraphFont"/>
    <w:link w:val="H2"/>
    <w:rsid w:val="006C13AC"/>
  </w:style>
  <w:style w:type="paragraph" w:customStyle="1" w:styleId="H4">
    <w:name w:val="H4"/>
    <w:basedOn w:val="Normal"/>
    <w:link w:val="H4Char"/>
    <w:qFormat/>
    <w:rsid w:val="000E7485"/>
    <w:pPr>
      <w:numPr>
        <w:ilvl w:val="3"/>
        <w:numId w:val="1"/>
      </w:numPr>
      <w:spacing w:after="240" w:line="480" w:lineRule="auto"/>
      <w:ind w:left="3402" w:hanging="1134"/>
      <w:jc w:val="both"/>
    </w:pPr>
  </w:style>
  <w:style w:type="character" w:customStyle="1" w:styleId="H3Char">
    <w:name w:val="H3 Char"/>
    <w:basedOn w:val="DefaultParagraphFont"/>
    <w:link w:val="H3"/>
    <w:rsid w:val="006C13AC"/>
  </w:style>
  <w:style w:type="paragraph" w:customStyle="1" w:styleId="B1">
    <w:name w:val="B1"/>
    <w:basedOn w:val="H1"/>
    <w:link w:val="B1Char"/>
    <w:qFormat/>
    <w:rsid w:val="006C13AC"/>
    <w:pPr>
      <w:numPr>
        <w:numId w:val="0"/>
      </w:numPr>
      <w:ind w:left="567"/>
    </w:pPr>
  </w:style>
  <w:style w:type="character" w:customStyle="1" w:styleId="H4Char">
    <w:name w:val="H4 Char"/>
    <w:basedOn w:val="DefaultParagraphFont"/>
    <w:link w:val="H4"/>
    <w:rsid w:val="000E7485"/>
  </w:style>
  <w:style w:type="paragraph" w:customStyle="1" w:styleId="B2">
    <w:name w:val="B2"/>
    <w:basedOn w:val="H2"/>
    <w:link w:val="B2Char"/>
    <w:qFormat/>
    <w:rsid w:val="000E7485"/>
    <w:pPr>
      <w:numPr>
        <w:ilvl w:val="0"/>
        <w:numId w:val="0"/>
      </w:numPr>
      <w:ind w:left="1418"/>
    </w:pPr>
  </w:style>
  <w:style w:type="character" w:customStyle="1" w:styleId="B1Char">
    <w:name w:val="B1 Char"/>
    <w:basedOn w:val="H1Char"/>
    <w:link w:val="B1"/>
    <w:rsid w:val="006C13AC"/>
    <w:rPr>
      <w:sz w:val="24"/>
      <w:szCs w:val="22"/>
      <w:lang w:val="en-GB" w:eastAsia="en-GB"/>
    </w:rPr>
  </w:style>
  <w:style w:type="paragraph" w:customStyle="1" w:styleId="B3">
    <w:name w:val="B3"/>
    <w:basedOn w:val="H3"/>
    <w:link w:val="B3Char"/>
    <w:qFormat/>
    <w:rsid w:val="000E7485"/>
    <w:pPr>
      <w:numPr>
        <w:ilvl w:val="0"/>
        <w:numId w:val="0"/>
      </w:numPr>
      <w:ind w:left="2268"/>
    </w:pPr>
  </w:style>
  <w:style w:type="character" w:customStyle="1" w:styleId="B2Char">
    <w:name w:val="B2 Char"/>
    <w:basedOn w:val="H2Char"/>
    <w:link w:val="B2"/>
    <w:rsid w:val="000E7485"/>
  </w:style>
  <w:style w:type="paragraph" w:customStyle="1" w:styleId="B4">
    <w:name w:val="B4"/>
    <w:basedOn w:val="H4"/>
    <w:link w:val="B4Char"/>
    <w:qFormat/>
    <w:rsid w:val="000E7485"/>
    <w:pPr>
      <w:numPr>
        <w:ilvl w:val="0"/>
        <w:numId w:val="0"/>
      </w:numPr>
      <w:ind w:left="3402"/>
    </w:pPr>
  </w:style>
  <w:style w:type="character" w:customStyle="1" w:styleId="B3Char">
    <w:name w:val="B3 Char"/>
    <w:basedOn w:val="H3Char"/>
    <w:link w:val="B3"/>
    <w:rsid w:val="000E7485"/>
  </w:style>
  <w:style w:type="paragraph" w:customStyle="1" w:styleId="Names">
    <w:name w:val="Names"/>
    <w:basedOn w:val="Normal"/>
    <w:link w:val="NamesChar"/>
    <w:qFormat/>
    <w:rsid w:val="008C02A2"/>
    <w:pPr>
      <w:spacing w:line="480" w:lineRule="auto"/>
      <w:jc w:val="both"/>
    </w:pPr>
    <w:rPr>
      <w:b/>
      <w:caps/>
    </w:rPr>
  </w:style>
  <w:style w:type="character" w:customStyle="1" w:styleId="B4Char">
    <w:name w:val="B4 Char"/>
    <w:basedOn w:val="H4Char"/>
    <w:link w:val="B4"/>
    <w:rsid w:val="000E7485"/>
  </w:style>
  <w:style w:type="character" w:customStyle="1" w:styleId="NamesChar">
    <w:name w:val="Names Char"/>
    <w:link w:val="Names"/>
    <w:rsid w:val="008C02A2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0B19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191D"/>
    <w:rPr>
      <w:sz w:val="24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19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191D"/>
    <w:rPr>
      <w:sz w:val="24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12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\Desktop\Documents\Templates\Templates\Affidav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</Template>
  <TotalTime>1</TotalTime>
  <Pages>9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Mokone</cp:lastModifiedBy>
  <cp:revision>3</cp:revision>
  <dcterms:created xsi:type="dcterms:W3CDTF">2023-05-05T15:15:00Z</dcterms:created>
  <dcterms:modified xsi:type="dcterms:W3CDTF">2023-05-05T15:15:00Z</dcterms:modified>
</cp:coreProperties>
</file>