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BEB4" w14:textId="128E3AE4" w:rsidR="00752B01" w:rsidRPr="00951523" w:rsidRDefault="00752B01" w:rsidP="00752B01">
      <w:pPr>
        <w:ind w:right="95"/>
        <w:jc w:val="center"/>
        <w:rPr>
          <w:rFonts w:ascii="Arial" w:hAnsi="Arial" w:cs="Arial"/>
          <w:b/>
          <w:sz w:val="24"/>
          <w:szCs w:val="24"/>
        </w:rPr>
      </w:pPr>
      <w:r w:rsidRPr="00951523">
        <w:rPr>
          <w:rFonts w:ascii="Arial" w:hAnsi="Arial" w:cs="Arial"/>
          <w:b/>
          <w:noProof/>
          <w:sz w:val="24"/>
          <w:szCs w:val="24"/>
          <w:lang w:eastAsia="en-ZA"/>
        </w:rPr>
        <w:drawing>
          <wp:inline distT="0" distB="0" distL="0" distR="0" wp14:anchorId="7B69F2F4" wp14:editId="2A9A85A2">
            <wp:extent cx="1987550" cy="165227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p>
    <w:p w14:paraId="12F7AE26" w14:textId="77777777" w:rsidR="00752B01" w:rsidRPr="00951523" w:rsidRDefault="00752B01" w:rsidP="00752B01">
      <w:pPr>
        <w:ind w:right="-613"/>
        <w:rPr>
          <w:rFonts w:ascii="Arial" w:hAnsi="Arial" w:cs="Arial"/>
          <w:b/>
          <w:sz w:val="24"/>
          <w:szCs w:val="24"/>
        </w:rPr>
      </w:pPr>
    </w:p>
    <w:p w14:paraId="42E0A878" w14:textId="77777777" w:rsidR="00752B01" w:rsidRPr="002322FF" w:rsidRDefault="00752B01" w:rsidP="00752B01">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 xml:space="preserve">IN THE HIGH COURT OF SOUTH </w:t>
      </w:r>
      <w:r>
        <w:rPr>
          <w:rFonts w:ascii="Arial" w:hAnsi="Arial" w:cs="Arial"/>
          <w:b/>
          <w:sz w:val="24"/>
          <w:szCs w:val="24"/>
        </w:rPr>
        <w:t>AFRICA</w:t>
      </w:r>
    </w:p>
    <w:p w14:paraId="3FABD411" w14:textId="77777777" w:rsidR="00752B01" w:rsidRPr="00951523" w:rsidRDefault="00752B01" w:rsidP="00752B01">
      <w:pPr>
        <w:spacing w:line="600" w:lineRule="auto"/>
        <w:ind w:right="95"/>
        <w:jc w:val="center"/>
        <w:rPr>
          <w:rFonts w:ascii="Arial" w:hAnsi="Arial" w:cs="Arial"/>
          <w:b/>
          <w:sz w:val="24"/>
          <w:szCs w:val="24"/>
        </w:rPr>
      </w:pPr>
      <w:r w:rsidRPr="00951523">
        <w:rPr>
          <w:rFonts w:ascii="Arial" w:hAnsi="Arial" w:cs="Arial"/>
          <w:b/>
          <w:sz w:val="24"/>
          <w:szCs w:val="24"/>
        </w:rPr>
        <w:t xml:space="preserve">(EASTERN CAPE DIVISION, </w:t>
      </w:r>
      <w:r>
        <w:rPr>
          <w:rFonts w:ascii="Arial" w:hAnsi="Arial" w:cs="Arial"/>
          <w:b/>
          <w:sz w:val="24"/>
          <w:szCs w:val="24"/>
        </w:rPr>
        <w:t>MAKHANDA</w:t>
      </w:r>
      <w:r w:rsidRPr="00951523">
        <w:rPr>
          <w:rFonts w:ascii="Arial" w:hAnsi="Arial" w:cs="Arial"/>
          <w:b/>
          <w:sz w:val="24"/>
          <w:szCs w:val="24"/>
        </w:rPr>
        <w:t>)</w:t>
      </w:r>
    </w:p>
    <w:p w14:paraId="3DF36D2A" w14:textId="77777777" w:rsidR="00752B01" w:rsidRDefault="00752B01" w:rsidP="00752B01">
      <w:pPr>
        <w:jc w:val="right"/>
        <w:rPr>
          <w:rFonts w:ascii="Arial" w:hAnsi="Arial" w:cs="Arial"/>
          <w:b/>
          <w:sz w:val="24"/>
          <w:szCs w:val="24"/>
        </w:rPr>
      </w:pPr>
    </w:p>
    <w:p w14:paraId="3EAFA7B2" w14:textId="77777777" w:rsidR="00752B01" w:rsidRDefault="00752B01" w:rsidP="00752B01">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CA&amp;R: 138/2022</w:t>
      </w:r>
    </w:p>
    <w:p w14:paraId="73C11D6B" w14:textId="77777777" w:rsidR="00752B01" w:rsidRDefault="00752B01" w:rsidP="00752B01">
      <w:pPr>
        <w:spacing w:after="0" w:line="360" w:lineRule="auto"/>
        <w:jc w:val="both"/>
        <w:rPr>
          <w:rFonts w:ascii="Arial" w:hAnsi="Arial" w:cs="Arial"/>
          <w:b/>
          <w:bCs/>
          <w:sz w:val="24"/>
          <w:szCs w:val="24"/>
        </w:rPr>
      </w:pPr>
    </w:p>
    <w:p w14:paraId="52929632" w14:textId="77777777" w:rsidR="00752B01" w:rsidRDefault="00752B01" w:rsidP="00752B01">
      <w:pPr>
        <w:spacing w:after="0" w:line="360" w:lineRule="auto"/>
        <w:jc w:val="both"/>
        <w:rPr>
          <w:rFonts w:ascii="Arial" w:hAnsi="Arial" w:cs="Arial"/>
          <w:sz w:val="24"/>
          <w:szCs w:val="24"/>
        </w:rPr>
      </w:pPr>
      <w:r>
        <w:rPr>
          <w:rFonts w:ascii="Arial" w:hAnsi="Arial" w:cs="Arial"/>
          <w:b/>
          <w:bCs/>
          <w:sz w:val="24"/>
          <w:szCs w:val="24"/>
        </w:rPr>
        <w:t>MAYIBONGWE CETWAYO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2D7419">
        <w:rPr>
          <w:rFonts w:ascii="Arial" w:hAnsi="Arial" w:cs="Arial"/>
          <w:sz w:val="24"/>
          <w:szCs w:val="24"/>
        </w:rPr>
        <w:t>App</w:t>
      </w:r>
      <w:r>
        <w:rPr>
          <w:rFonts w:ascii="Arial" w:hAnsi="Arial" w:cs="Arial"/>
          <w:sz w:val="24"/>
          <w:szCs w:val="24"/>
        </w:rPr>
        <w:t>ellant</w:t>
      </w:r>
    </w:p>
    <w:p w14:paraId="5C98CD9C" w14:textId="77777777" w:rsidR="00752B01" w:rsidRDefault="00752B01" w:rsidP="00752B01">
      <w:pPr>
        <w:spacing w:after="0" w:line="360" w:lineRule="auto"/>
        <w:jc w:val="both"/>
        <w:rPr>
          <w:rFonts w:ascii="Arial" w:hAnsi="Arial" w:cs="Arial"/>
          <w:sz w:val="24"/>
          <w:szCs w:val="24"/>
        </w:rPr>
      </w:pPr>
    </w:p>
    <w:p w14:paraId="6D14C484" w14:textId="77777777" w:rsidR="00752B01" w:rsidRDefault="00752B01" w:rsidP="00752B01">
      <w:pPr>
        <w:spacing w:after="0" w:line="360" w:lineRule="auto"/>
        <w:jc w:val="both"/>
        <w:rPr>
          <w:rFonts w:ascii="Arial" w:hAnsi="Arial" w:cs="Arial"/>
          <w:sz w:val="24"/>
          <w:szCs w:val="24"/>
        </w:rPr>
      </w:pPr>
      <w:r>
        <w:rPr>
          <w:rFonts w:ascii="Arial" w:hAnsi="Arial" w:cs="Arial"/>
          <w:sz w:val="24"/>
          <w:szCs w:val="24"/>
        </w:rPr>
        <w:t>and</w:t>
      </w:r>
    </w:p>
    <w:p w14:paraId="50C3FCE7" w14:textId="77777777" w:rsidR="00752B01" w:rsidRDefault="00752B01" w:rsidP="00752B01">
      <w:pPr>
        <w:spacing w:after="0" w:line="360" w:lineRule="auto"/>
        <w:jc w:val="both"/>
        <w:rPr>
          <w:rFonts w:ascii="Arial" w:hAnsi="Arial" w:cs="Arial"/>
          <w:b/>
          <w:bCs/>
          <w:sz w:val="24"/>
          <w:szCs w:val="24"/>
        </w:rPr>
      </w:pPr>
    </w:p>
    <w:p w14:paraId="09CA1AFD" w14:textId="77777777" w:rsidR="00752B01" w:rsidRDefault="00752B01" w:rsidP="00752B01">
      <w:pPr>
        <w:spacing w:after="0" w:line="360" w:lineRule="auto"/>
        <w:jc w:val="both"/>
        <w:rPr>
          <w:rFonts w:ascii="Arial" w:hAnsi="Arial" w:cs="Arial"/>
          <w:sz w:val="24"/>
          <w:szCs w:val="24"/>
        </w:rPr>
      </w:pPr>
      <w:r>
        <w:rPr>
          <w:rFonts w:ascii="Arial" w:hAnsi="Arial" w:cs="Arial"/>
          <w:b/>
          <w:bCs/>
          <w:sz w:val="24"/>
          <w:szCs w:val="24"/>
        </w:rPr>
        <w:t>THE STATE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Respondent</w:t>
      </w:r>
    </w:p>
    <w:p w14:paraId="297A130F" w14:textId="77777777" w:rsidR="00752B01" w:rsidRPr="00951523" w:rsidRDefault="00752B01" w:rsidP="00752B01">
      <w:pPr>
        <w:pStyle w:val="GW13"/>
        <w:tabs>
          <w:tab w:val="clear" w:pos="8640"/>
          <w:tab w:val="right" w:pos="9072"/>
        </w:tabs>
        <w:spacing w:line="240" w:lineRule="auto"/>
        <w:ind w:right="-45"/>
        <w:rPr>
          <w:rFonts w:ascii="Arial" w:hAnsi="Arial" w:cs="Arial"/>
          <w:b/>
          <w:szCs w:val="24"/>
        </w:rPr>
      </w:pPr>
      <w:r w:rsidRPr="00951523">
        <w:rPr>
          <w:rFonts w:ascii="Arial" w:hAnsi="Arial" w:cs="Arial"/>
          <w:b/>
          <w:szCs w:val="24"/>
        </w:rPr>
        <w:t>___________________________________________________________________</w:t>
      </w:r>
    </w:p>
    <w:p w14:paraId="4B39F44D" w14:textId="77777777" w:rsidR="00752B01" w:rsidRPr="00951523" w:rsidRDefault="00752B01" w:rsidP="00752B01">
      <w:pPr>
        <w:pStyle w:val="GW13"/>
        <w:tabs>
          <w:tab w:val="clear" w:pos="8640"/>
        </w:tabs>
        <w:spacing w:line="240" w:lineRule="auto"/>
        <w:ind w:right="-45"/>
        <w:jc w:val="center"/>
        <w:rPr>
          <w:rFonts w:ascii="Arial" w:hAnsi="Arial" w:cs="Arial"/>
          <w:b/>
          <w:szCs w:val="24"/>
        </w:rPr>
      </w:pPr>
    </w:p>
    <w:p w14:paraId="095DFD40" w14:textId="77777777" w:rsidR="00752B01" w:rsidRPr="00951523" w:rsidRDefault="00752B01" w:rsidP="00752B01">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 xml:space="preserve">APPEAL </w:t>
      </w:r>
      <w:r w:rsidRPr="00951523">
        <w:rPr>
          <w:rFonts w:ascii="Arial" w:hAnsi="Arial" w:cs="Arial"/>
          <w:b/>
          <w:szCs w:val="24"/>
        </w:rPr>
        <w:t>JUDGMENT</w:t>
      </w:r>
    </w:p>
    <w:p w14:paraId="75C93A77" w14:textId="77777777" w:rsidR="00752B01" w:rsidRPr="00951523" w:rsidRDefault="00752B01" w:rsidP="00752B01">
      <w:pPr>
        <w:pStyle w:val="GW13"/>
        <w:tabs>
          <w:tab w:val="clear" w:pos="8640"/>
          <w:tab w:val="right" w:pos="9072"/>
        </w:tabs>
        <w:spacing w:line="240" w:lineRule="auto"/>
        <w:ind w:right="-45"/>
        <w:jc w:val="center"/>
        <w:rPr>
          <w:rFonts w:ascii="Arial" w:hAnsi="Arial" w:cs="Arial"/>
          <w:b/>
          <w:szCs w:val="24"/>
        </w:rPr>
      </w:pPr>
      <w:r w:rsidRPr="00951523">
        <w:rPr>
          <w:rFonts w:ascii="Arial" w:hAnsi="Arial" w:cs="Arial"/>
          <w:b/>
          <w:szCs w:val="24"/>
        </w:rPr>
        <w:t>___________________________________________________________________</w:t>
      </w:r>
    </w:p>
    <w:p w14:paraId="43D4EC9A" w14:textId="77777777" w:rsidR="00752B01" w:rsidRPr="00951523" w:rsidRDefault="00752B01" w:rsidP="00752B01">
      <w:pPr>
        <w:pStyle w:val="GW13"/>
        <w:tabs>
          <w:tab w:val="clear" w:pos="8640"/>
          <w:tab w:val="right" w:pos="9072"/>
        </w:tabs>
        <w:spacing w:line="480" w:lineRule="auto"/>
        <w:ind w:right="-46"/>
        <w:rPr>
          <w:rFonts w:ascii="Arial" w:hAnsi="Arial" w:cs="Arial"/>
          <w:b/>
          <w:szCs w:val="24"/>
        </w:rPr>
      </w:pPr>
    </w:p>
    <w:p w14:paraId="5A85B612" w14:textId="77777777" w:rsidR="00752B01" w:rsidRPr="00951523" w:rsidRDefault="00752B01" w:rsidP="00752B01">
      <w:pPr>
        <w:pStyle w:val="GW13"/>
        <w:tabs>
          <w:tab w:val="clear" w:pos="8640"/>
          <w:tab w:val="right" w:pos="9072"/>
        </w:tabs>
        <w:spacing w:line="480" w:lineRule="auto"/>
        <w:ind w:right="-46"/>
        <w:rPr>
          <w:rFonts w:ascii="Arial" w:hAnsi="Arial" w:cs="Arial"/>
          <w:b/>
          <w:szCs w:val="24"/>
          <w:u w:val="single"/>
        </w:rPr>
      </w:pPr>
      <w:r w:rsidRPr="00951523">
        <w:rPr>
          <w:rFonts w:ascii="Arial" w:hAnsi="Arial" w:cs="Arial"/>
          <w:b/>
          <w:szCs w:val="24"/>
          <w:u w:val="single"/>
        </w:rPr>
        <w:t>BANDS AJ:</w:t>
      </w:r>
    </w:p>
    <w:p w14:paraId="56A6C07B" w14:textId="77777777" w:rsidR="00752B01" w:rsidRDefault="00752B01" w:rsidP="00752B01">
      <w:pPr>
        <w:spacing w:after="0" w:line="480" w:lineRule="auto"/>
        <w:jc w:val="both"/>
        <w:rPr>
          <w:rFonts w:ascii="Arial" w:hAnsi="Arial" w:cs="Arial"/>
          <w:sz w:val="24"/>
          <w:szCs w:val="24"/>
        </w:rPr>
      </w:pPr>
    </w:p>
    <w:p w14:paraId="563316C2" w14:textId="5C4CF6AB" w:rsidR="00216C8F"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w:t>
      </w:r>
      <w:r>
        <w:rPr>
          <w:rFonts w:ascii="Arial" w:hAnsi="Arial" w:cs="Arial"/>
        </w:rPr>
        <w:tab/>
      </w:r>
      <w:r w:rsidR="001A3D28">
        <w:rPr>
          <w:rFonts w:ascii="Arial" w:hAnsi="Arial" w:cs="Arial"/>
        </w:rPr>
        <w:t>In accordance with the provisions of section 112(2) of the Criminal Procedure Act 51 of 1977, t</w:t>
      </w:r>
      <w:r w:rsidR="001A3D28" w:rsidRPr="001A3D28">
        <w:rPr>
          <w:rFonts w:ascii="Arial" w:hAnsi="Arial" w:cs="Arial"/>
        </w:rPr>
        <w:t>he appellant</w:t>
      </w:r>
      <w:r w:rsidR="001A3D28">
        <w:rPr>
          <w:rFonts w:ascii="Arial" w:hAnsi="Arial" w:cs="Arial"/>
        </w:rPr>
        <w:t xml:space="preserve">, when appearing in the Regional Court, East London, </w:t>
      </w:r>
      <w:r w:rsidR="001A3D28" w:rsidRPr="001A3D28">
        <w:rPr>
          <w:rFonts w:ascii="Arial" w:hAnsi="Arial" w:cs="Arial"/>
        </w:rPr>
        <w:t>pleaded guilty to a charge</w:t>
      </w:r>
      <w:r w:rsidR="001A3D28">
        <w:rPr>
          <w:rFonts w:ascii="Arial" w:hAnsi="Arial" w:cs="Arial"/>
        </w:rPr>
        <w:t xml:space="preserve"> </w:t>
      </w:r>
      <w:r w:rsidR="00175379">
        <w:rPr>
          <w:rFonts w:ascii="Arial" w:hAnsi="Arial" w:cs="Arial"/>
        </w:rPr>
        <w:t>of unlawfully and intentionally tampering with, damaging</w:t>
      </w:r>
      <w:r w:rsidR="00301681">
        <w:rPr>
          <w:rFonts w:ascii="Arial" w:hAnsi="Arial" w:cs="Arial"/>
        </w:rPr>
        <w:t>,</w:t>
      </w:r>
      <w:r w:rsidR="00175379">
        <w:rPr>
          <w:rFonts w:ascii="Arial" w:hAnsi="Arial" w:cs="Arial"/>
        </w:rPr>
        <w:t xml:space="preserve"> and destroying essential infrastructure in circumstances where he knew; alternatively, ought reasonably to have known</w:t>
      </w:r>
      <w:r w:rsidR="00301681">
        <w:rPr>
          <w:rFonts w:ascii="Arial" w:hAnsi="Arial" w:cs="Arial"/>
        </w:rPr>
        <w:t>,</w:t>
      </w:r>
      <w:r w:rsidR="00175379">
        <w:rPr>
          <w:rFonts w:ascii="Arial" w:hAnsi="Arial" w:cs="Arial"/>
        </w:rPr>
        <w:t xml:space="preserve"> that the property in question was essential infrastructure.</w:t>
      </w:r>
      <w:r w:rsidR="00301681">
        <w:rPr>
          <w:rFonts w:ascii="Arial" w:hAnsi="Arial" w:cs="Arial"/>
        </w:rPr>
        <w:t xml:space="preserve">  </w:t>
      </w:r>
    </w:p>
    <w:p w14:paraId="00FCF5C9" w14:textId="33443FB6" w:rsidR="00301681"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[2]</w:t>
      </w:r>
      <w:r>
        <w:rPr>
          <w:rFonts w:ascii="Arial" w:hAnsi="Arial" w:cs="Arial"/>
        </w:rPr>
        <w:tab/>
      </w:r>
      <w:r w:rsidR="00301681">
        <w:rPr>
          <w:rFonts w:ascii="Arial" w:hAnsi="Arial" w:cs="Arial"/>
        </w:rPr>
        <w:t xml:space="preserve">This constitutes an offence </w:t>
      </w:r>
      <w:r w:rsidR="001A3D28" w:rsidRPr="00301681">
        <w:rPr>
          <w:rFonts w:ascii="Arial" w:hAnsi="Arial" w:cs="Arial"/>
        </w:rPr>
        <w:t>in terms of section 3(1)</w:t>
      </w:r>
      <w:r w:rsidR="00175379" w:rsidRPr="00301681">
        <w:rPr>
          <w:rFonts w:ascii="Arial" w:hAnsi="Arial" w:cs="Arial"/>
        </w:rPr>
        <w:t>(a)</w:t>
      </w:r>
      <w:r w:rsidR="001A3D28" w:rsidRPr="00301681">
        <w:rPr>
          <w:rFonts w:ascii="Arial" w:hAnsi="Arial" w:cs="Arial"/>
        </w:rPr>
        <w:t>; read with sections 1; 3(2); and 6 of the Criminal Matters Amendment Act 18</w:t>
      </w:r>
      <w:r w:rsidR="0084179D" w:rsidRPr="00301681">
        <w:rPr>
          <w:rFonts w:ascii="Arial" w:hAnsi="Arial" w:cs="Arial"/>
        </w:rPr>
        <w:t xml:space="preserve"> </w:t>
      </w:r>
      <w:r w:rsidR="00CC1150" w:rsidRPr="00301681">
        <w:rPr>
          <w:rFonts w:ascii="Arial" w:hAnsi="Arial" w:cs="Arial"/>
        </w:rPr>
        <w:t>of 2015</w:t>
      </w:r>
      <w:r w:rsidR="00D23AFF">
        <w:rPr>
          <w:rFonts w:ascii="Arial" w:hAnsi="Arial" w:cs="Arial"/>
        </w:rPr>
        <w:t xml:space="preserve"> (“</w:t>
      </w:r>
      <w:r w:rsidR="00D23AFF" w:rsidRPr="00D23AFF">
        <w:rPr>
          <w:rFonts w:ascii="Arial" w:hAnsi="Arial" w:cs="Arial"/>
          <w:i/>
          <w:iCs/>
        </w:rPr>
        <w:t>Criminal Matters Amendment Act</w:t>
      </w:r>
      <w:r w:rsidR="00D23AFF">
        <w:rPr>
          <w:rFonts w:ascii="Arial" w:hAnsi="Arial" w:cs="Arial"/>
        </w:rPr>
        <w:t>”)</w:t>
      </w:r>
      <w:r w:rsidR="00175379" w:rsidRPr="00301681">
        <w:rPr>
          <w:rFonts w:ascii="Arial" w:hAnsi="Arial" w:cs="Arial"/>
        </w:rPr>
        <w:t xml:space="preserve">.  </w:t>
      </w:r>
      <w:r w:rsidR="00301681">
        <w:rPr>
          <w:rFonts w:ascii="Arial" w:hAnsi="Arial" w:cs="Arial"/>
        </w:rPr>
        <w:t xml:space="preserve">The appellant, having been convicted </w:t>
      </w:r>
      <w:proofErr w:type="gramStart"/>
      <w:r w:rsidR="00301681">
        <w:rPr>
          <w:rFonts w:ascii="Arial" w:hAnsi="Arial" w:cs="Arial"/>
        </w:rPr>
        <w:t>on the basis of</w:t>
      </w:r>
      <w:proofErr w:type="gramEnd"/>
      <w:r w:rsidR="00301681">
        <w:rPr>
          <w:rFonts w:ascii="Arial" w:hAnsi="Arial" w:cs="Arial"/>
        </w:rPr>
        <w:t xml:space="preserve"> his plea</w:t>
      </w:r>
      <w:r w:rsidR="00D06530">
        <w:rPr>
          <w:rFonts w:ascii="Arial" w:hAnsi="Arial" w:cs="Arial"/>
        </w:rPr>
        <w:t xml:space="preserve"> was sentenced to a period of 15 years.  It is this sentence that he appeals against</w:t>
      </w:r>
      <w:r w:rsidR="00301681">
        <w:rPr>
          <w:rFonts w:ascii="Arial" w:hAnsi="Arial" w:cs="Arial"/>
        </w:rPr>
        <w:t>.</w:t>
      </w:r>
    </w:p>
    <w:p w14:paraId="036DC351" w14:textId="77777777" w:rsidR="00D23AFF" w:rsidRDefault="00D23AFF" w:rsidP="00D23AFF">
      <w:pPr>
        <w:pStyle w:val="NormalWeb"/>
        <w:shd w:val="clear" w:color="auto" w:fill="FFFFFF"/>
        <w:spacing w:before="0" w:beforeAutospacing="0" w:after="0" w:afterAutospacing="0" w:line="480" w:lineRule="auto"/>
        <w:ind w:right="259"/>
        <w:jc w:val="both"/>
        <w:rPr>
          <w:rFonts w:ascii="Arial" w:hAnsi="Arial" w:cs="Arial"/>
        </w:rPr>
      </w:pPr>
    </w:p>
    <w:p w14:paraId="24EA9CBF" w14:textId="47F23E13" w:rsidR="00D05455"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[3]</w:t>
      </w:r>
      <w:r>
        <w:rPr>
          <w:rFonts w:ascii="Arial" w:hAnsi="Arial" w:cs="Arial"/>
        </w:rPr>
        <w:tab/>
      </w:r>
      <w:r w:rsidR="009A76E8">
        <w:rPr>
          <w:rFonts w:ascii="Arial" w:hAnsi="Arial" w:cs="Arial"/>
        </w:rPr>
        <w:t>It is perhaps apposite at this juncture to emphasise that o</w:t>
      </w:r>
      <w:r w:rsidR="00D23AFF">
        <w:rPr>
          <w:rFonts w:ascii="Arial" w:hAnsi="Arial" w:cs="Arial"/>
        </w:rPr>
        <w:t>ne of the purposes of the Criminal Matters Amendment Act, as reflected in the preamble thereto, was to amend the Criminal Law Amendment Act 105 of 1997</w:t>
      </w:r>
      <w:r w:rsidR="00C41057">
        <w:rPr>
          <w:rFonts w:ascii="Arial" w:hAnsi="Arial" w:cs="Arial"/>
        </w:rPr>
        <w:t xml:space="preserve"> (“</w:t>
      </w:r>
      <w:r w:rsidR="00C41057" w:rsidRPr="00C41057">
        <w:rPr>
          <w:rFonts w:ascii="Arial" w:hAnsi="Arial" w:cs="Arial"/>
          <w:i/>
          <w:iCs/>
        </w:rPr>
        <w:t>Criminal Law Amendment Act</w:t>
      </w:r>
      <w:r w:rsidR="00C41057">
        <w:rPr>
          <w:rFonts w:ascii="Arial" w:hAnsi="Arial" w:cs="Arial"/>
        </w:rPr>
        <w:t>”)</w:t>
      </w:r>
      <w:r w:rsidR="00D23AFF">
        <w:rPr>
          <w:rFonts w:ascii="Arial" w:hAnsi="Arial" w:cs="Arial"/>
        </w:rPr>
        <w:t>, to regulate the imposition of discretionary minimum sentences for essential infrastructure-related offences.  To this end</w:t>
      </w:r>
      <w:r w:rsidR="00D05455">
        <w:rPr>
          <w:rFonts w:ascii="Arial" w:hAnsi="Arial" w:cs="Arial"/>
        </w:rPr>
        <w:t xml:space="preserve">, Part II of Schedule 2 was amended by the addition of various offences, </w:t>
      </w:r>
      <w:r w:rsidR="002F1393">
        <w:rPr>
          <w:rFonts w:ascii="Arial" w:hAnsi="Arial" w:cs="Arial"/>
        </w:rPr>
        <w:t>inclusive of the following</w:t>
      </w:r>
      <w:r w:rsidR="00D05455">
        <w:rPr>
          <w:rFonts w:ascii="Arial" w:hAnsi="Arial" w:cs="Arial"/>
        </w:rPr>
        <w:t>:</w:t>
      </w:r>
    </w:p>
    <w:p w14:paraId="578C11B3" w14:textId="77777777" w:rsidR="00D05455" w:rsidRDefault="00D05455" w:rsidP="00D05455">
      <w:pPr>
        <w:pStyle w:val="ListParagraph"/>
        <w:rPr>
          <w:rFonts w:ascii="Arial" w:hAnsi="Arial" w:cs="Arial"/>
        </w:rPr>
      </w:pPr>
    </w:p>
    <w:p w14:paraId="338FF76D" w14:textId="77777777" w:rsidR="00D05455" w:rsidRPr="00D05455" w:rsidRDefault="00D05455" w:rsidP="00D05455">
      <w:pPr>
        <w:pStyle w:val="NormalWeb"/>
        <w:shd w:val="clear" w:color="auto" w:fill="FFFFFF"/>
        <w:spacing w:before="0" w:beforeAutospacing="0" w:after="0" w:afterAutospacing="0" w:line="360" w:lineRule="auto"/>
        <w:ind w:left="720" w:right="261"/>
        <w:jc w:val="both"/>
        <w:rPr>
          <w:rFonts w:ascii="Arial" w:hAnsi="Arial" w:cs="Arial"/>
          <w:i/>
          <w:iCs/>
          <w:sz w:val="22"/>
          <w:szCs w:val="22"/>
        </w:rPr>
      </w:pPr>
      <w:r w:rsidRPr="00D05455">
        <w:rPr>
          <w:rFonts w:ascii="Arial" w:hAnsi="Arial" w:cs="Arial"/>
          <w:sz w:val="22"/>
          <w:szCs w:val="22"/>
        </w:rPr>
        <w:t>“</w:t>
      </w:r>
      <w:r w:rsidRPr="00D05455">
        <w:rPr>
          <w:rFonts w:ascii="Arial" w:hAnsi="Arial" w:cs="Arial"/>
          <w:i/>
          <w:iCs/>
          <w:sz w:val="22"/>
          <w:szCs w:val="22"/>
        </w:rPr>
        <w:t>Theft of ferrous or non-ferrous metal which formed part of essential infrastructure, as defined in section 1 of the Criminal Matters Amendment Act, 2015 –</w:t>
      </w:r>
    </w:p>
    <w:p w14:paraId="3513E844" w14:textId="4AE4D5FE" w:rsidR="00D05455" w:rsidRPr="00D05455" w:rsidRDefault="007126C5" w:rsidP="007126C5">
      <w:pPr>
        <w:pStyle w:val="NormalWeb"/>
        <w:shd w:val="clear" w:color="auto" w:fill="FFFFFF"/>
        <w:spacing w:before="0" w:beforeAutospacing="0" w:after="0" w:afterAutospacing="0" w:line="360" w:lineRule="auto"/>
        <w:ind w:left="1418" w:right="261" w:hanging="698"/>
        <w:jc w:val="both"/>
        <w:rPr>
          <w:rFonts w:ascii="Arial" w:hAnsi="Arial" w:cs="Arial"/>
          <w:i/>
          <w:iCs/>
          <w:sz w:val="22"/>
          <w:szCs w:val="22"/>
        </w:rPr>
      </w:pPr>
      <w:r w:rsidRPr="00D05455">
        <w:rPr>
          <w:rFonts w:ascii="Arial" w:hAnsi="Arial" w:cs="Arial"/>
          <w:i/>
          <w:iCs/>
          <w:sz w:val="22"/>
          <w:szCs w:val="22"/>
        </w:rPr>
        <w:t>(a)</w:t>
      </w:r>
      <w:r w:rsidRPr="00D05455">
        <w:rPr>
          <w:rFonts w:ascii="Arial" w:hAnsi="Arial" w:cs="Arial"/>
          <w:i/>
          <w:iCs/>
          <w:sz w:val="22"/>
          <w:szCs w:val="22"/>
        </w:rPr>
        <w:tab/>
      </w:r>
      <w:r w:rsidR="00D05455" w:rsidRPr="00D05455">
        <w:rPr>
          <w:rFonts w:ascii="Arial" w:hAnsi="Arial" w:cs="Arial"/>
          <w:i/>
          <w:iCs/>
          <w:sz w:val="22"/>
          <w:szCs w:val="22"/>
        </w:rPr>
        <w:t>if it caused –</w:t>
      </w:r>
    </w:p>
    <w:p w14:paraId="57C2401C" w14:textId="70D8DEB6" w:rsidR="00D05455" w:rsidRPr="00D05455" w:rsidRDefault="007126C5" w:rsidP="007126C5">
      <w:pPr>
        <w:pStyle w:val="NormalWeb"/>
        <w:shd w:val="clear" w:color="auto" w:fill="FFFFFF"/>
        <w:spacing w:before="0" w:beforeAutospacing="0" w:after="0" w:afterAutospacing="0" w:line="360" w:lineRule="auto"/>
        <w:ind w:left="1985" w:right="261" w:hanging="567"/>
        <w:jc w:val="both"/>
        <w:rPr>
          <w:rFonts w:ascii="Arial" w:hAnsi="Arial" w:cs="Arial"/>
          <w:i/>
          <w:iCs/>
          <w:sz w:val="22"/>
          <w:szCs w:val="22"/>
        </w:rPr>
      </w:pPr>
      <w:r w:rsidRPr="00D05455">
        <w:rPr>
          <w:rFonts w:ascii="Arial" w:hAnsi="Arial" w:cs="Arial"/>
          <w:i/>
          <w:iCs/>
          <w:sz w:val="22"/>
          <w:szCs w:val="22"/>
        </w:rPr>
        <w:t>(ii)</w:t>
      </w:r>
      <w:r w:rsidRPr="00D05455">
        <w:rPr>
          <w:rFonts w:ascii="Arial" w:hAnsi="Arial" w:cs="Arial"/>
          <w:i/>
          <w:iCs/>
          <w:sz w:val="22"/>
          <w:szCs w:val="22"/>
        </w:rPr>
        <w:tab/>
      </w:r>
      <w:r w:rsidR="00D05455" w:rsidRPr="00D05455">
        <w:rPr>
          <w:rFonts w:ascii="Arial" w:hAnsi="Arial" w:cs="Arial"/>
          <w:i/>
          <w:iCs/>
          <w:sz w:val="22"/>
          <w:szCs w:val="22"/>
        </w:rPr>
        <w:t xml:space="preserve">interference with or disruption of any basic service, as defined in section 1 of the </w:t>
      </w:r>
      <w:proofErr w:type="gramStart"/>
      <w:r w:rsidR="00D05455" w:rsidRPr="00D05455">
        <w:rPr>
          <w:rFonts w:ascii="Arial" w:hAnsi="Arial" w:cs="Arial"/>
          <w:i/>
          <w:iCs/>
          <w:sz w:val="22"/>
          <w:szCs w:val="22"/>
        </w:rPr>
        <w:t>aforementioned Act</w:t>
      </w:r>
      <w:proofErr w:type="gramEnd"/>
      <w:r w:rsidR="00D05455" w:rsidRPr="00D05455">
        <w:rPr>
          <w:rFonts w:ascii="Arial" w:hAnsi="Arial" w:cs="Arial"/>
          <w:i/>
          <w:iCs/>
          <w:sz w:val="22"/>
          <w:szCs w:val="22"/>
        </w:rPr>
        <w:t>, to the public; or</w:t>
      </w:r>
    </w:p>
    <w:p w14:paraId="52224FFB" w14:textId="2F5F29F1" w:rsidR="00D23AFF" w:rsidRPr="00D05455" w:rsidRDefault="007126C5" w:rsidP="007126C5">
      <w:pPr>
        <w:pStyle w:val="NormalWeb"/>
        <w:shd w:val="clear" w:color="auto" w:fill="FFFFFF"/>
        <w:spacing w:before="0" w:beforeAutospacing="0" w:after="0" w:afterAutospacing="0" w:line="360" w:lineRule="auto"/>
        <w:ind w:left="1985" w:right="261" w:hanging="567"/>
        <w:jc w:val="both"/>
        <w:rPr>
          <w:rFonts w:ascii="Arial" w:hAnsi="Arial" w:cs="Arial"/>
          <w:i/>
          <w:iCs/>
          <w:sz w:val="22"/>
          <w:szCs w:val="22"/>
        </w:rPr>
      </w:pPr>
      <w:r w:rsidRPr="00D05455">
        <w:rPr>
          <w:rFonts w:ascii="Arial" w:hAnsi="Arial" w:cs="Arial"/>
          <w:i/>
          <w:iCs/>
          <w:sz w:val="22"/>
          <w:szCs w:val="22"/>
        </w:rPr>
        <w:t>(iii)</w:t>
      </w:r>
      <w:r w:rsidRPr="00D05455">
        <w:rPr>
          <w:rFonts w:ascii="Arial" w:hAnsi="Arial" w:cs="Arial"/>
          <w:i/>
          <w:iCs/>
          <w:sz w:val="22"/>
          <w:szCs w:val="22"/>
        </w:rPr>
        <w:tab/>
      </w:r>
      <w:r w:rsidR="00D05455" w:rsidRPr="00D05455">
        <w:rPr>
          <w:rFonts w:ascii="Arial" w:hAnsi="Arial" w:cs="Arial"/>
          <w:i/>
          <w:iCs/>
          <w:sz w:val="22"/>
          <w:szCs w:val="22"/>
        </w:rPr>
        <w:t>damage to such essential infrastructure.”</w:t>
      </w:r>
      <w:r w:rsidR="00D23AFF" w:rsidRPr="00D05455">
        <w:rPr>
          <w:rFonts w:ascii="Arial" w:hAnsi="Arial" w:cs="Arial"/>
          <w:i/>
          <w:iCs/>
          <w:sz w:val="22"/>
          <w:szCs w:val="22"/>
        </w:rPr>
        <w:t xml:space="preserve"> </w:t>
      </w:r>
    </w:p>
    <w:p w14:paraId="096339E9" w14:textId="77777777" w:rsidR="00D23AFF" w:rsidRDefault="00D23AFF" w:rsidP="00C41057">
      <w:pPr>
        <w:pStyle w:val="ListParagraph"/>
        <w:spacing w:after="0" w:line="480" w:lineRule="auto"/>
        <w:rPr>
          <w:rFonts w:ascii="Arial" w:hAnsi="Arial" w:cs="Arial"/>
        </w:rPr>
      </w:pPr>
    </w:p>
    <w:p w14:paraId="3EB15E6F" w14:textId="11B6DD94" w:rsidR="00D05455"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[4]</w:t>
      </w:r>
      <w:r>
        <w:rPr>
          <w:rFonts w:ascii="Arial" w:hAnsi="Arial" w:cs="Arial"/>
        </w:rPr>
        <w:tab/>
      </w:r>
      <w:r w:rsidR="001E1C44">
        <w:rPr>
          <w:rFonts w:ascii="Arial" w:hAnsi="Arial" w:cs="Arial"/>
        </w:rPr>
        <w:t>E</w:t>
      </w:r>
      <w:r w:rsidR="00C41057">
        <w:rPr>
          <w:rFonts w:ascii="Arial" w:hAnsi="Arial" w:cs="Arial"/>
        </w:rPr>
        <w:t>ssential infrastructure is defined in section 1 of the Criminal Matters Amendment Act as “</w:t>
      </w:r>
      <w:r w:rsidR="00C41057" w:rsidRPr="00C41057">
        <w:rPr>
          <w:rFonts w:ascii="Arial" w:hAnsi="Arial" w:cs="Arial"/>
          <w:i/>
          <w:iCs/>
        </w:rPr>
        <w:t>any installation, structure, facility or system, whether publicly or privately owned, the loss or damage of, or the tampering with, which may interfere with the provision or distribution of a basic service to the public…</w:t>
      </w:r>
      <w:r w:rsidR="00C41057">
        <w:rPr>
          <w:rFonts w:ascii="Arial" w:hAnsi="Arial" w:cs="Arial"/>
        </w:rPr>
        <w:t xml:space="preserve">” </w:t>
      </w:r>
    </w:p>
    <w:p w14:paraId="3580AA68" w14:textId="77777777" w:rsidR="00C41057" w:rsidRDefault="00C41057" w:rsidP="00C41057">
      <w:pPr>
        <w:pStyle w:val="NormalWeb"/>
        <w:shd w:val="clear" w:color="auto" w:fill="FFFFFF"/>
        <w:spacing w:before="0" w:beforeAutospacing="0" w:after="0" w:afterAutospacing="0" w:line="480" w:lineRule="auto"/>
        <w:ind w:right="259"/>
        <w:jc w:val="both"/>
        <w:rPr>
          <w:rFonts w:ascii="Arial" w:hAnsi="Arial" w:cs="Arial"/>
        </w:rPr>
      </w:pPr>
    </w:p>
    <w:p w14:paraId="241628B5" w14:textId="7E5EB0F0" w:rsidR="00C41057"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[5]</w:t>
      </w:r>
      <w:r>
        <w:rPr>
          <w:rFonts w:ascii="Arial" w:hAnsi="Arial" w:cs="Arial"/>
        </w:rPr>
        <w:tab/>
      </w:r>
      <w:r w:rsidR="0028463D">
        <w:rPr>
          <w:rFonts w:ascii="Arial" w:hAnsi="Arial" w:cs="Arial"/>
        </w:rPr>
        <w:t>In turn, a</w:t>
      </w:r>
      <w:r w:rsidR="009A76E8">
        <w:rPr>
          <w:rFonts w:ascii="Arial" w:hAnsi="Arial" w:cs="Arial"/>
        </w:rPr>
        <w:t xml:space="preserve"> basic service is defined as “</w:t>
      </w:r>
      <w:r w:rsidR="009A76E8" w:rsidRPr="009A76E8">
        <w:rPr>
          <w:rFonts w:ascii="Arial" w:hAnsi="Arial" w:cs="Arial"/>
          <w:i/>
          <w:iCs/>
        </w:rPr>
        <w:t xml:space="preserve">a service, provided by the public or private sector, relating to energy, transport, water, sanitation and communication, </w:t>
      </w:r>
      <w:r w:rsidR="009A76E8" w:rsidRPr="009A76E8">
        <w:rPr>
          <w:rFonts w:ascii="Arial" w:hAnsi="Arial" w:cs="Arial"/>
          <w:i/>
          <w:iCs/>
        </w:rPr>
        <w:lastRenderedPageBreak/>
        <w:t>the interference with which may prejudice the livelihood, well-being, daily operations or economic activity of the public…</w:t>
      </w:r>
      <w:r w:rsidR="009A76E8">
        <w:rPr>
          <w:rFonts w:ascii="Arial" w:hAnsi="Arial" w:cs="Arial"/>
        </w:rPr>
        <w:t>”</w:t>
      </w:r>
    </w:p>
    <w:p w14:paraId="012461D4" w14:textId="77777777" w:rsidR="009A76E8" w:rsidRDefault="009A76E8" w:rsidP="009A76E8">
      <w:pPr>
        <w:pStyle w:val="NormalWeb"/>
        <w:shd w:val="clear" w:color="auto" w:fill="FFFFFF"/>
        <w:spacing w:before="0" w:beforeAutospacing="0" w:after="0" w:afterAutospacing="0" w:line="480" w:lineRule="auto"/>
        <w:ind w:right="259"/>
        <w:jc w:val="both"/>
        <w:rPr>
          <w:rFonts w:ascii="Arial" w:hAnsi="Arial" w:cs="Arial"/>
        </w:rPr>
      </w:pPr>
    </w:p>
    <w:p w14:paraId="6BC9ACB9" w14:textId="2A439959" w:rsidR="004255B4"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[6]</w:t>
      </w:r>
      <w:r>
        <w:rPr>
          <w:rFonts w:ascii="Arial" w:hAnsi="Arial" w:cs="Arial"/>
        </w:rPr>
        <w:tab/>
      </w:r>
      <w:r w:rsidR="00D23AFF">
        <w:rPr>
          <w:rFonts w:ascii="Arial" w:hAnsi="Arial" w:cs="Arial"/>
        </w:rPr>
        <w:t xml:space="preserve">It was accordingly not in dispute that </w:t>
      </w:r>
      <w:r w:rsidR="001A3D28" w:rsidRPr="00D23AFF">
        <w:rPr>
          <w:rFonts w:ascii="Arial" w:hAnsi="Arial" w:cs="Arial"/>
        </w:rPr>
        <w:t>a minimum sentence of 15 years imprisonment, prescribed by </w:t>
      </w:r>
      <w:hyperlink r:id="rId9" w:anchor="s51" w:history="1">
        <w:r w:rsidR="001A3D28" w:rsidRPr="00D23AFF">
          <w:rPr>
            <w:rFonts w:ascii="Arial" w:hAnsi="Arial" w:cs="Arial"/>
          </w:rPr>
          <w:t>s 51(2)</w:t>
        </w:r>
      </w:hyperlink>
      <w:r w:rsidR="001A3D28" w:rsidRPr="00D23AFF">
        <w:rPr>
          <w:rFonts w:ascii="Arial" w:hAnsi="Arial" w:cs="Arial"/>
        </w:rPr>
        <w:t> of the </w:t>
      </w:r>
      <w:hyperlink r:id="rId10" w:history="1">
        <w:r w:rsidR="001A3D28" w:rsidRPr="00D23AFF">
          <w:rPr>
            <w:rFonts w:ascii="Arial" w:hAnsi="Arial" w:cs="Arial"/>
          </w:rPr>
          <w:t>Criminal Law Amendment Act 105 of 1997</w:t>
        </w:r>
      </w:hyperlink>
      <w:r w:rsidR="001A3D28" w:rsidRPr="00D23AFF">
        <w:rPr>
          <w:rFonts w:ascii="Arial" w:hAnsi="Arial" w:cs="Arial"/>
        </w:rPr>
        <w:t>, read with </w:t>
      </w:r>
      <w:hyperlink r:id="rId11" w:anchor="p2" w:history="1">
        <w:r w:rsidR="001A3D28" w:rsidRPr="00D23AFF">
          <w:rPr>
            <w:rFonts w:ascii="Arial" w:hAnsi="Arial" w:cs="Arial"/>
          </w:rPr>
          <w:t>Part II</w:t>
        </w:r>
      </w:hyperlink>
      <w:r w:rsidR="001A3D28" w:rsidRPr="00D23AFF">
        <w:rPr>
          <w:rFonts w:ascii="Arial" w:hAnsi="Arial" w:cs="Arial"/>
        </w:rPr>
        <w:t> of Schedule 2, applied.</w:t>
      </w:r>
      <w:r w:rsidR="008F160B">
        <w:rPr>
          <w:rFonts w:ascii="Arial" w:hAnsi="Arial" w:cs="Arial"/>
        </w:rPr>
        <w:t xml:space="preserve">  </w:t>
      </w:r>
      <w:r w:rsidR="008F160B" w:rsidRPr="008F160B">
        <w:rPr>
          <w:rFonts w:ascii="Arial" w:hAnsi="Arial" w:cs="Arial"/>
        </w:rPr>
        <w:t>In circumstances such as the present</w:t>
      </w:r>
      <w:r w:rsidR="008F160B">
        <w:rPr>
          <w:rFonts w:ascii="Arial" w:hAnsi="Arial" w:cs="Arial"/>
        </w:rPr>
        <w:t>, a court is required to impose the prescribed minimum sentence</w:t>
      </w:r>
      <w:r w:rsidR="008F160B" w:rsidRPr="008F160B">
        <w:rPr>
          <w:rFonts w:ascii="Arial" w:hAnsi="Arial" w:cs="Arial"/>
        </w:rPr>
        <w:t xml:space="preserve"> </w:t>
      </w:r>
      <w:r w:rsidR="00375FF8" w:rsidRPr="008F160B">
        <w:rPr>
          <w:rFonts w:ascii="Arial" w:hAnsi="Arial" w:cs="Arial"/>
        </w:rPr>
        <w:t xml:space="preserve">unless </w:t>
      </w:r>
      <w:r w:rsidR="008F160B">
        <w:rPr>
          <w:rFonts w:ascii="Arial" w:hAnsi="Arial" w:cs="Arial"/>
        </w:rPr>
        <w:t>it</w:t>
      </w:r>
      <w:r w:rsidR="00375FF8" w:rsidRPr="008F160B">
        <w:rPr>
          <w:rFonts w:ascii="Arial" w:hAnsi="Arial" w:cs="Arial"/>
        </w:rPr>
        <w:t xml:space="preserve"> is satisfied that there are substantial and compelling circumstances which militate against</w:t>
      </w:r>
      <w:r w:rsidR="008F160B">
        <w:rPr>
          <w:rFonts w:ascii="Arial" w:hAnsi="Arial" w:cs="Arial"/>
        </w:rPr>
        <w:t xml:space="preserve"> its imposition.</w:t>
      </w:r>
      <w:r w:rsidR="004255B4">
        <w:rPr>
          <w:rFonts w:ascii="Arial" w:hAnsi="Arial" w:cs="Arial"/>
        </w:rPr>
        <w:t xml:space="preserve">  Whilst such circumstances may be comprised of any of the factors which the courts traditionally </w:t>
      </w:r>
      <w:proofErr w:type="gramStart"/>
      <w:r w:rsidR="004255B4">
        <w:rPr>
          <w:rFonts w:ascii="Arial" w:hAnsi="Arial" w:cs="Arial"/>
        </w:rPr>
        <w:t>take into account</w:t>
      </w:r>
      <w:proofErr w:type="gramEnd"/>
      <w:r w:rsidR="004255B4">
        <w:rPr>
          <w:rFonts w:ascii="Arial" w:hAnsi="Arial" w:cs="Arial"/>
        </w:rPr>
        <w:t xml:space="preserve"> as mitigation and may be the cumulative effect of any number of such factors, if the imposition of the prescribed minimum sentence would be disproportionate to the crime and bring about an injustice, this on its own constitutes a substantial and compelling circumstance justifying the imposition of a lesser sentence.</w:t>
      </w:r>
      <w:r w:rsidR="004255B4" w:rsidRPr="000160F5">
        <w:rPr>
          <w:rFonts w:ascii="Arial" w:hAnsi="Arial" w:cs="Arial"/>
          <w:vertAlign w:val="superscript"/>
        </w:rPr>
        <w:footnoteReference w:id="1"/>
      </w:r>
      <w:r w:rsidR="004255B4">
        <w:rPr>
          <w:rFonts w:ascii="Arial" w:hAnsi="Arial" w:cs="Arial"/>
        </w:rPr>
        <w:t xml:space="preserve"> </w:t>
      </w:r>
      <w:r w:rsidR="008F160B">
        <w:rPr>
          <w:rFonts w:ascii="Arial" w:hAnsi="Arial" w:cs="Arial"/>
        </w:rPr>
        <w:t xml:space="preserve">  </w:t>
      </w:r>
      <w:r w:rsidR="00375FF8" w:rsidRPr="008F160B">
        <w:rPr>
          <w:rFonts w:ascii="Arial" w:hAnsi="Arial" w:cs="Arial"/>
        </w:rPr>
        <w:t xml:space="preserve"> </w:t>
      </w:r>
    </w:p>
    <w:p w14:paraId="32F42394" w14:textId="77777777" w:rsidR="004255B4" w:rsidRDefault="004255B4" w:rsidP="004255B4">
      <w:pPr>
        <w:pStyle w:val="ListParagraph"/>
        <w:rPr>
          <w:rFonts w:ascii="Arial" w:hAnsi="Arial" w:cs="Arial"/>
        </w:rPr>
      </w:pPr>
    </w:p>
    <w:p w14:paraId="5B05B935" w14:textId="2C99FB1F" w:rsidR="00EE590C"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[7]</w:t>
      </w:r>
      <w:r>
        <w:rPr>
          <w:rFonts w:ascii="Arial" w:hAnsi="Arial" w:cs="Arial"/>
        </w:rPr>
        <w:tab/>
      </w:r>
      <w:r w:rsidR="007A1A8C">
        <w:rPr>
          <w:rFonts w:ascii="Arial" w:hAnsi="Arial" w:cs="Arial"/>
        </w:rPr>
        <w:t xml:space="preserve">The Constitutional Court in </w:t>
      </w:r>
      <w:r w:rsidR="007A1A8C" w:rsidRPr="007A1A8C">
        <w:rPr>
          <w:rFonts w:ascii="Arial" w:hAnsi="Arial" w:cs="Arial"/>
          <w:i/>
          <w:iCs/>
        </w:rPr>
        <w:t>S v Dodo</w:t>
      </w:r>
      <w:r w:rsidR="007A1A8C">
        <w:rPr>
          <w:rStyle w:val="FootnoteReference"/>
          <w:rFonts w:ascii="Arial" w:hAnsi="Arial" w:cs="Arial"/>
        </w:rPr>
        <w:footnoteReference w:id="2"/>
      </w:r>
      <w:r w:rsidR="007A1A8C">
        <w:rPr>
          <w:rFonts w:ascii="Arial" w:hAnsi="Arial" w:cs="Arial"/>
          <w:i/>
          <w:iCs/>
        </w:rPr>
        <w:t xml:space="preserve"> </w:t>
      </w:r>
      <w:r w:rsidR="007A1A8C">
        <w:rPr>
          <w:rFonts w:ascii="Arial" w:hAnsi="Arial" w:cs="Arial"/>
        </w:rPr>
        <w:t xml:space="preserve">held, with reference to the aspect of proportionality, that what had to be considered in determining whether the length of a sentence was </w:t>
      </w:r>
      <w:r w:rsidR="00EE590C">
        <w:rPr>
          <w:rFonts w:ascii="Arial" w:hAnsi="Arial" w:cs="Arial"/>
        </w:rPr>
        <w:t>proportionate to the offence, was the offence in its broader context.  This</w:t>
      </w:r>
      <w:r w:rsidR="00390E59">
        <w:rPr>
          <w:rFonts w:ascii="Arial" w:hAnsi="Arial" w:cs="Arial"/>
        </w:rPr>
        <w:t>,</w:t>
      </w:r>
      <w:r w:rsidR="00EE590C">
        <w:rPr>
          <w:rFonts w:ascii="Arial" w:hAnsi="Arial" w:cs="Arial"/>
        </w:rPr>
        <w:t xml:space="preserve"> Ackermann J described </w:t>
      </w:r>
      <w:r w:rsidR="00390E59">
        <w:rPr>
          <w:rFonts w:ascii="Arial" w:hAnsi="Arial" w:cs="Arial"/>
        </w:rPr>
        <w:t xml:space="preserve">at paragraph [37] </w:t>
      </w:r>
      <w:r w:rsidR="00EE590C">
        <w:rPr>
          <w:rFonts w:ascii="Arial" w:hAnsi="Arial" w:cs="Arial"/>
        </w:rPr>
        <w:t>as consisting</w:t>
      </w:r>
      <w:r w:rsidR="00FA73C6">
        <w:rPr>
          <w:rFonts w:ascii="Arial" w:hAnsi="Arial" w:cs="Arial"/>
        </w:rPr>
        <w:t xml:space="preserve"> of</w:t>
      </w:r>
      <w:r w:rsidR="00EE590C">
        <w:rPr>
          <w:rFonts w:ascii="Arial" w:hAnsi="Arial" w:cs="Arial"/>
        </w:rPr>
        <w:t xml:space="preserve"> “</w:t>
      </w:r>
      <w:r w:rsidR="00EE590C" w:rsidRPr="00EE590C">
        <w:rPr>
          <w:rFonts w:ascii="Arial" w:hAnsi="Arial" w:cs="Arial"/>
          <w:i/>
          <w:iCs/>
        </w:rPr>
        <w:t>all factors relevant to the nature and seriousness of the criminal act itself, as well as all relevant personal and other circumstances relating to the offender which could have a bearing on the seriousness of the offence and the culpability of the offender</w:t>
      </w:r>
      <w:r w:rsidR="00EE590C">
        <w:rPr>
          <w:rFonts w:ascii="Arial" w:hAnsi="Arial" w:cs="Arial"/>
          <w:i/>
          <w:iCs/>
        </w:rPr>
        <w:t>.</w:t>
      </w:r>
      <w:r w:rsidR="00EE590C">
        <w:rPr>
          <w:rFonts w:ascii="Arial" w:hAnsi="Arial" w:cs="Arial"/>
        </w:rPr>
        <w:t>”</w:t>
      </w:r>
      <w:r w:rsidR="00213199">
        <w:rPr>
          <w:rFonts w:ascii="Arial" w:hAnsi="Arial" w:cs="Arial"/>
        </w:rPr>
        <w:t xml:space="preserve">  Ackermann J went on further to state at paragraph [38] that even when the </w:t>
      </w:r>
      <w:r w:rsidR="00213199">
        <w:rPr>
          <w:rFonts w:ascii="Arial" w:hAnsi="Arial" w:cs="Arial"/>
        </w:rPr>
        <w:lastRenderedPageBreak/>
        <w:t>legislature has prescribed the sentence ordinarily to be imposed in respect of an offence, the value of human dignity lies at the heart of the requirement that sentences must be proportionate to the offence.</w:t>
      </w:r>
      <w:r w:rsidR="00F70954">
        <w:rPr>
          <w:rFonts w:ascii="Arial" w:hAnsi="Arial" w:cs="Arial"/>
        </w:rPr>
        <w:t xml:space="preserve">  </w:t>
      </w:r>
    </w:p>
    <w:p w14:paraId="059F1B4C" w14:textId="77777777" w:rsidR="00545818" w:rsidRDefault="00545818" w:rsidP="00545818">
      <w:pPr>
        <w:pStyle w:val="ListParagraph"/>
        <w:rPr>
          <w:rFonts w:ascii="Arial" w:hAnsi="Arial" w:cs="Arial"/>
        </w:rPr>
      </w:pPr>
    </w:p>
    <w:p w14:paraId="43E6DB72" w14:textId="268DE514" w:rsidR="00A94D76"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[8]</w:t>
      </w:r>
      <w:r>
        <w:rPr>
          <w:rFonts w:ascii="Arial" w:hAnsi="Arial" w:cs="Arial"/>
        </w:rPr>
        <w:tab/>
      </w:r>
      <w:r w:rsidR="00F67E7E">
        <w:rPr>
          <w:rFonts w:ascii="Arial" w:hAnsi="Arial" w:cs="Arial"/>
        </w:rPr>
        <w:t xml:space="preserve">The appellant’s counsel submitted that </w:t>
      </w:r>
      <w:r w:rsidR="003F55DF">
        <w:rPr>
          <w:rFonts w:ascii="Arial" w:hAnsi="Arial" w:cs="Arial"/>
        </w:rPr>
        <w:t>the trial court erred in its finding that there were no substantial and compelling circumstances</w:t>
      </w:r>
      <w:r w:rsidR="00545818">
        <w:rPr>
          <w:rFonts w:ascii="Arial" w:hAnsi="Arial" w:cs="Arial"/>
        </w:rPr>
        <w:t xml:space="preserve"> </w:t>
      </w:r>
      <w:r w:rsidR="003F55DF">
        <w:rPr>
          <w:rFonts w:ascii="Arial" w:hAnsi="Arial" w:cs="Arial"/>
        </w:rPr>
        <w:t>justifying the imposition of a lesser sentence than th</w:t>
      </w:r>
      <w:r w:rsidR="00F67E7E">
        <w:rPr>
          <w:rFonts w:ascii="Arial" w:hAnsi="Arial" w:cs="Arial"/>
        </w:rPr>
        <w:t xml:space="preserve">at </w:t>
      </w:r>
      <w:r w:rsidR="003F55DF">
        <w:rPr>
          <w:rFonts w:ascii="Arial" w:hAnsi="Arial" w:cs="Arial"/>
        </w:rPr>
        <w:t>prescribed</w:t>
      </w:r>
      <w:r w:rsidR="00555000">
        <w:rPr>
          <w:rFonts w:ascii="Arial" w:hAnsi="Arial" w:cs="Arial"/>
        </w:rPr>
        <w:t xml:space="preserve"> and that the sentence was disproportionate.  In</w:t>
      </w:r>
      <w:r w:rsidR="00F67E7E">
        <w:rPr>
          <w:rFonts w:ascii="Arial" w:hAnsi="Arial" w:cs="Arial"/>
        </w:rPr>
        <w:t xml:space="preserve"> essence, </w:t>
      </w:r>
      <w:r w:rsidR="00555000">
        <w:rPr>
          <w:rFonts w:ascii="Arial" w:hAnsi="Arial" w:cs="Arial"/>
        </w:rPr>
        <w:t xml:space="preserve">appellant </w:t>
      </w:r>
      <w:r w:rsidR="00F67E7E">
        <w:rPr>
          <w:rFonts w:ascii="Arial" w:hAnsi="Arial" w:cs="Arial"/>
        </w:rPr>
        <w:t xml:space="preserve">sought an order that the </w:t>
      </w:r>
      <w:r w:rsidR="00F67E7E" w:rsidRPr="00F67E7E">
        <w:rPr>
          <w:rFonts w:ascii="Arial" w:hAnsi="Arial" w:cs="Arial"/>
        </w:rPr>
        <w:t xml:space="preserve">sentence of 15 years’ imprisonment imposed by the trial court </w:t>
      </w:r>
      <w:r w:rsidR="00F67E7E">
        <w:rPr>
          <w:rFonts w:ascii="Arial" w:hAnsi="Arial" w:cs="Arial"/>
        </w:rPr>
        <w:t xml:space="preserve">be set aside and replaced with a term of direct imprisonment for a period of 5 to 8 years; alternatively, that half of the sentence be suspended.  </w:t>
      </w:r>
      <w:r w:rsidR="00C053A1">
        <w:rPr>
          <w:rFonts w:ascii="Arial" w:hAnsi="Arial" w:cs="Arial"/>
        </w:rPr>
        <w:t>The state</w:t>
      </w:r>
      <w:r w:rsidR="00A94D76">
        <w:rPr>
          <w:rFonts w:ascii="Arial" w:hAnsi="Arial" w:cs="Arial"/>
        </w:rPr>
        <w:t xml:space="preserve"> </w:t>
      </w:r>
      <w:r w:rsidR="00C053A1">
        <w:rPr>
          <w:rFonts w:ascii="Arial" w:hAnsi="Arial" w:cs="Arial"/>
        </w:rPr>
        <w:t xml:space="preserve">aligned itself with the appellant, contending that the prescribed </w:t>
      </w:r>
      <w:r w:rsidR="00A94D76">
        <w:rPr>
          <w:rFonts w:ascii="Arial" w:hAnsi="Arial" w:cs="Arial"/>
        </w:rPr>
        <w:t xml:space="preserve">minimum </w:t>
      </w:r>
      <w:r w:rsidR="00C053A1">
        <w:rPr>
          <w:rFonts w:ascii="Arial" w:hAnsi="Arial" w:cs="Arial"/>
        </w:rPr>
        <w:t xml:space="preserve">sentence is disproportionate to such an extent that </w:t>
      </w:r>
      <w:r w:rsidR="00A94D76">
        <w:rPr>
          <w:rFonts w:ascii="Arial" w:hAnsi="Arial" w:cs="Arial"/>
        </w:rPr>
        <w:t>such disproportionality</w:t>
      </w:r>
      <w:r w:rsidR="00C053A1">
        <w:rPr>
          <w:rFonts w:ascii="Arial" w:hAnsi="Arial" w:cs="Arial"/>
        </w:rPr>
        <w:t xml:space="preserve"> constitutes a substantial and compelling circumstance warranting </w:t>
      </w:r>
      <w:r w:rsidR="00555000">
        <w:rPr>
          <w:rFonts w:ascii="Arial" w:hAnsi="Arial" w:cs="Arial"/>
        </w:rPr>
        <w:t>an</w:t>
      </w:r>
      <w:r w:rsidR="00C053A1">
        <w:rPr>
          <w:rFonts w:ascii="Arial" w:hAnsi="Arial" w:cs="Arial"/>
        </w:rPr>
        <w:t xml:space="preserve"> interference with the sentence imposed by the trial court.</w:t>
      </w:r>
      <w:r w:rsidR="00A94D76">
        <w:rPr>
          <w:rFonts w:ascii="Arial" w:hAnsi="Arial" w:cs="Arial"/>
        </w:rPr>
        <w:t xml:space="preserve">  Counsel for the state, in argument, postulated an appropriate sentence of between 8 to 10 years, with a portion thereof being suspended.</w:t>
      </w:r>
    </w:p>
    <w:p w14:paraId="0A7D7E08" w14:textId="77777777" w:rsidR="00A94D76" w:rsidRDefault="00A94D76" w:rsidP="00A94D76">
      <w:pPr>
        <w:pStyle w:val="ListParagraph"/>
        <w:rPr>
          <w:rFonts w:ascii="Arial" w:hAnsi="Arial" w:cs="Arial"/>
        </w:rPr>
      </w:pPr>
    </w:p>
    <w:p w14:paraId="0B58B5AD" w14:textId="677FA29A" w:rsidR="00E13F6A"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[9]</w:t>
      </w:r>
      <w:r>
        <w:rPr>
          <w:rFonts w:ascii="Arial" w:hAnsi="Arial" w:cs="Arial"/>
        </w:rPr>
        <w:tab/>
      </w:r>
      <w:r w:rsidR="00CF6A18">
        <w:rPr>
          <w:rFonts w:ascii="Arial" w:hAnsi="Arial" w:cs="Arial"/>
        </w:rPr>
        <w:t xml:space="preserve">Having said that, it is trite that the determination of the matter falls within the purview of the court’s power, which is in no manner </w:t>
      </w:r>
      <w:r w:rsidR="00E13F6A">
        <w:rPr>
          <w:rFonts w:ascii="Arial" w:hAnsi="Arial" w:cs="Arial"/>
        </w:rPr>
        <w:t>circumscribed</w:t>
      </w:r>
      <w:r w:rsidR="00CF6A18">
        <w:rPr>
          <w:rFonts w:ascii="Arial" w:hAnsi="Arial" w:cs="Arial"/>
        </w:rPr>
        <w:t xml:space="preserve"> by the</w:t>
      </w:r>
      <w:r w:rsidR="00E13F6A">
        <w:rPr>
          <w:rFonts w:ascii="Arial" w:hAnsi="Arial" w:cs="Arial"/>
        </w:rPr>
        <w:t xml:space="preserve"> state’s concession</w:t>
      </w:r>
      <w:r w:rsidR="00555000">
        <w:rPr>
          <w:rFonts w:ascii="Arial" w:hAnsi="Arial" w:cs="Arial"/>
        </w:rPr>
        <w:t xml:space="preserve"> in respect of sentence</w:t>
      </w:r>
      <w:r w:rsidR="00CF6A18">
        <w:rPr>
          <w:rFonts w:ascii="Arial" w:hAnsi="Arial" w:cs="Arial"/>
        </w:rPr>
        <w:t>.</w:t>
      </w:r>
    </w:p>
    <w:p w14:paraId="653E6D3C" w14:textId="77777777" w:rsidR="00E13F6A" w:rsidRDefault="00E13F6A" w:rsidP="00E13F6A">
      <w:pPr>
        <w:pStyle w:val="ListParagraph"/>
        <w:rPr>
          <w:rFonts w:ascii="Arial" w:hAnsi="Arial" w:cs="Arial"/>
        </w:rPr>
      </w:pPr>
    </w:p>
    <w:p w14:paraId="26F18A43" w14:textId="05D21516" w:rsidR="00E13F6A"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[10]</w:t>
      </w:r>
      <w:r>
        <w:rPr>
          <w:rFonts w:ascii="Arial" w:hAnsi="Arial" w:cs="Arial"/>
        </w:rPr>
        <w:tab/>
      </w:r>
      <w:r w:rsidR="00E13F6A">
        <w:rPr>
          <w:rFonts w:ascii="Arial" w:hAnsi="Arial" w:cs="Arial"/>
        </w:rPr>
        <w:t xml:space="preserve">Given the applicability of the </w:t>
      </w:r>
      <w:r w:rsidR="00E13F6A" w:rsidRPr="00301681">
        <w:rPr>
          <w:rFonts w:ascii="Arial" w:hAnsi="Arial" w:cs="Arial"/>
        </w:rPr>
        <w:t xml:space="preserve">Criminal </w:t>
      </w:r>
      <w:r w:rsidR="009E7594">
        <w:rPr>
          <w:rFonts w:ascii="Arial" w:hAnsi="Arial" w:cs="Arial"/>
        </w:rPr>
        <w:t>Law</w:t>
      </w:r>
      <w:r w:rsidR="00E13F6A" w:rsidRPr="00301681">
        <w:rPr>
          <w:rFonts w:ascii="Arial" w:hAnsi="Arial" w:cs="Arial"/>
        </w:rPr>
        <w:t xml:space="preserve"> Amendment Act</w:t>
      </w:r>
      <w:r w:rsidR="00E13F6A">
        <w:rPr>
          <w:rFonts w:ascii="Arial" w:hAnsi="Arial" w:cs="Arial"/>
        </w:rPr>
        <w:t xml:space="preserve">, the proper enquiry on appeal is whether the facts which were considered by the trial court were </w:t>
      </w:r>
      <w:r w:rsidR="00E13F6A">
        <w:rPr>
          <w:rFonts w:ascii="Arial" w:hAnsi="Arial" w:cs="Arial"/>
        </w:rPr>
        <w:lastRenderedPageBreak/>
        <w:t xml:space="preserve">substantial and compelling or not.  In this regard, </w:t>
      </w:r>
      <w:proofErr w:type="spellStart"/>
      <w:r w:rsidR="00E13F6A">
        <w:rPr>
          <w:rFonts w:ascii="Arial" w:hAnsi="Arial" w:cs="Arial"/>
        </w:rPr>
        <w:t>Bosielo</w:t>
      </w:r>
      <w:proofErr w:type="spellEnd"/>
      <w:r w:rsidR="00E13F6A">
        <w:rPr>
          <w:rFonts w:ascii="Arial" w:hAnsi="Arial" w:cs="Arial"/>
        </w:rPr>
        <w:t xml:space="preserve"> AJ, writing for the Supreme Court of Appeal in </w:t>
      </w:r>
      <w:r w:rsidR="00E13F6A" w:rsidRPr="00E13F6A">
        <w:rPr>
          <w:rFonts w:ascii="Arial" w:hAnsi="Arial" w:cs="Arial"/>
          <w:i/>
          <w:iCs/>
        </w:rPr>
        <w:t>S v PB</w:t>
      </w:r>
      <w:r w:rsidR="00E13F6A">
        <w:rPr>
          <w:rFonts w:ascii="Arial" w:hAnsi="Arial" w:cs="Arial"/>
        </w:rPr>
        <w:t>,</w:t>
      </w:r>
      <w:r w:rsidR="00E13F6A">
        <w:rPr>
          <w:rStyle w:val="FootnoteReference"/>
          <w:rFonts w:ascii="Arial" w:hAnsi="Arial" w:cs="Arial"/>
        </w:rPr>
        <w:footnoteReference w:id="3"/>
      </w:r>
      <w:r w:rsidR="00E13F6A">
        <w:rPr>
          <w:rFonts w:ascii="Arial" w:hAnsi="Arial" w:cs="Arial"/>
        </w:rPr>
        <w:t xml:space="preserve"> </w:t>
      </w:r>
      <w:r w:rsidR="00555000">
        <w:rPr>
          <w:rFonts w:ascii="Arial" w:hAnsi="Arial" w:cs="Arial"/>
        </w:rPr>
        <w:t>f</w:t>
      </w:r>
      <w:r w:rsidR="00E13F6A">
        <w:rPr>
          <w:rFonts w:ascii="Arial" w:hAnsi="Arial" w:cs="Arial"/>
        </w:rPr>
        <w:t>ormulated the approach as follows:</w:t>
      </w:r>
    </w:p>
    <w:p w14:paraId="1B5202A9" w14:textId="77777777" w:rsidR="00E13F6A" w:rsidRPr="00E13F6A" w:rsidRDefault="00E13F6A" w:rsidP="00E13F6A">
      <w:pPr>
        <w:pStyle w:val="NormalWeb"/>
        <w:shd w:val="clear" w:color="auto" w:fill="FFFFFF"/>
        <w:spacing w:before="0" w:beforeAutospacing="0" w:after="0" w:afterAutospacing="0" w:line="360" w:lineRule="auto"/>
        <w:ind w:left="720" w:right="261"/>
        <w:jc w:val="both"/>
        <w:rPr>
          <w:rFonts w:ascii="Arial" w:hAnsi="Arial" w:cs="Arial"/>
          <w:i/>
          <w:iCs/>
          <w:sz w:val="22"/>
          <w:szCs w:val="22"/>
        </w:rPr>
      </w:pPr>
      <w:r w:rsidRPr="00E13F6A">
        <w:rPr>
          <w:rFonts w:ascii="Arial" w:hAnsi="Arial" w:cs="Arial"/>
          <w:i/>
          <w:iCs/>
          <w:color w:val="242121"/>
          <w:sz w:val="22"/>
          <w:szCs w:val="22"/>
          <w:shd w:val="clear" w:color="auto" w:fill="FFFFFF"/>
        </w:rPr>
        <w:t>"[20] What then is the correct approach by a court on appeal against a sentence imposed in terms of the Act? Can the appellate court interfere with such a sentence imposed by the trial court's exercising its discretion properly, simply because it is not the sentence which it would have imposed or that it finds shocking?  The approach to an appeal on sentence imposed in terms of the Act should, in my view, be different to an approach to other sentences imposed under the ordinary sentencing regime. This, in my view, is so because the minimum sentences to be imposed are ordained by the Act. They cannot be departed from lightly or for flimsy reasons. It follows therefore that a proper enquiry on appeal is whether the facts which were considered by the sentencing court are substantial and compelling, or not."</w:t>
      </w:r>
    </w:p>
    <w:p w14:paraId="343CCA76" w14:textId="77777777" w:rsidR="00E13F6A" w:rsidRDefault="00E13F6A" w:rsidP="00555000">
      <w:pPr>
        <w:pStyle w:val="ListParagraph"/>
        <w:spacing w:after="0" w:line="480" w:lineRule="auto"/>
        <w:rPr>
          <w:rFonts w:ascii="Arial" w:hAnsi="Arial" w:cs="Arial"/>
        </w:rPr>
      </w:pPr>
    </w:p>
    <w:p w14:paraId="1B2FEC22" w14:textId="016B20B3" w:rsidR="00A80CB1"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[11]</w:t>
      </w:r>
      <w:r>
        <w:rPr>
          <w:rFonts w:ascii="Arial" w:hAnsi="Arial" w:cs="Arial"/>
        </w:rPr>
        <w:tab/>
      </w:r>
      <w:r w:rsidR="00A80CB1">
        <w:rPr>
          <w:rFonts w:ascii="Arial" w:hAnsi="Arial" w:cs="Arial"/>
        </w:rPr>
        <w:t xml:space="preserve">The aforesaid approach was also propounded upon by Rogers J (Gamble J concurring, </w:t>
      </w:r>
      <w:proofErr w:type="spellStart"/>
      <w:r w:rsidR="00A80CB1">
        <w:rPr>
          <w:rFonts w:ascii="Arial" w:hAnsi="Arial" w:cs="Arial"/>
        </w:rPr>
        <w:t>Matthee</w:t>
      </w:r>
      <w:proofErr w:type="spellEnd"/>
      <w:r w:rsidR="00A80CB1">
        <w:rPr>
          <w:rFonts w:ascii="Arial" w:hAnsi="Arial" w:cs="Arial"/>
        </w:rPr>
        <w:t xml:space="preserve"> AJ dissenting) in </w:t>
      </w:r>
      <w:r w:rsidR="00A80CB1" w:rsidRPr="00424C9C">
        <w:rPr>
          <w:rFonts w:ascii="Arial" w:hAnsi="Arial" w:cs="Arial"/>
          <w:i/>
          <w:iCs/>
        </w:rPr>
        <w:t>S v GK</w:t>
      </w:r>
      <w:r w:rsidR="00A80CB1">
        <w:rPr>
          <w:rStyle w:val="FootnoteReference"/>
          <w:rFonts w:ascii="Arial" w:hAnsi="Arial" w:cs="Arial"/>
        </w:rPr>
        <w:footnoteReference w:id="4"/>
      </w:r>
      <w:r w:rsidR="00E13F6A">
        <w:rPr>
          <w:rFonts w:ascii="Arial" w:hAnsi="Arial" w:cs="Arial"/>
        </w:rPr>
        <w:t xml:space="preserve"> </w:t>
      </w:r>
      <w:r w:rsidR="00A80CB1">
        <w:rPr>
          <w:rFonts w:ascii="Arial" w:hAnsi="Arial" w:cs="Arial"/>
        </w:rPr>
        <w:t>in the following terms: “</w:t>
      </w:r>
      <w:r w:rsidR="00A80CB1" w:rsidRPr="00A80CB1">
        <w:rPr>
          <w:rFonts w:ascii="Arial" w:hAnsi="Arial" w:cs="Arial"/>
          <w:i/>
          <w:iCs/>
        </w:rPr>
        <w:t>[t]he decision whether or not substantial and compelling circumstances are present involves the exercise of a value judgment; but a Court on appeal is entitled to substitute its own judgment on this issue if it is of the view that the lower court erred in its conclusion.</w:t>
      </w:r>
      <w:r w:rsidR="00A80CB1">
        <w:rPr>
          <w:rFonts w:ascii="Arial" w:hAnsi="Arial" w:cs="Arial"/>
        </w:rPr>
        <w:t>”</w:t>
      </w:r>
    </w:p>
    <w:p w14:paraId="188290F9" w14:textId="77777777" w:rsidR="00A80CB1" w:rsidRDefault="00A80CB1" w:rsidP="00A80CB1">
      <w:pPr>
        <w:pStyle w:val="NormalWeb"/>
        <w:shd w:val="clear" w:color="auto" w:fill="FFFFFF"/>
        <w:spacing w:before="0" w:beforeAutospacing="0" w:after="0" w:afterAutospacing="0" w:line="480" w:lineRule="auto"/>
        <w:ind w:right="259"/>
        <w:jc w:val="both"/>
        <w:rPr>
          <w:rFonts w:ascii="Arial" w:hAnsi="Arial" w:cs="Arial"/>
        </w:rPr>
      </w:pPr>
    </w:p>
    <w:p w14:paraId="640051E8" w14:textId="2C24234E" w:rsidR="00CD0D49"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[12]</w:t>
      </w:r>
      <w:r>
        <w:rPr>
          <w:rFonts w:ascii="Arial" w:hAnsi="Arial" w:cs="Arial"/>
        </w:rPr>
        <w:tab/>
      </w:r>
      <w:r w:rsidR="00424C9C">
        <w:rPr>
          <w:rFonts w:ascii="Arial" w:hAnsi="Arial" w:cs="Arial"/>
        </w:rPr>
        <w:t xml:space="preserve">It accordingly remains to be considered whether the trial court was </w:t>
      </w:r>
      <w:r w:rsidR="00547006">
        <w:rPr>
          <w:rFonts w:ascii="Arial" w:hAnsi="Arial" w:cs="Arial"/>
        </w:rPr>
        <w:t>correct</w:t>
      </w:r>
      <w:r w:rsidR="00424C9C">
        <w:rPr>
          <w:rFonts w:ascii="Arial" w:hAnsi="Arial" w:cs="Arial"/>
        </w:rPr>
        <w:t xml:space="preserve"> in finding that </w:t>
      </w:r>
      <w:r w:rsidR="00CD0D49">
        <w:rPr>
          <w:rFonts w:ascii="Arial" w:hAnsi="Arial" w:cs="Arial"/>
        </w:rPr>
        <w:t>there were no substantial and compelling circumstances which justified a departure from the prescribed minimum sentence.</w:t>
      </w:r>
      <w:r w:rsidR="00944ECA">
        <w:rPr>
          <w:rFonts w:ascii="Arial" w:hAnsi="Arial" w:cs="Arial"/>
        </w:rPr>
        <w:t xml:space="preserve">  </w:t>
      </w:r>
    </w:p>
    <w:p w14:paraId="7B532CFC" w14:textId="77777777" w:rsidR="00CD0D49" w:rsidRDefault="00CD0D49" w:rsidP="00CD0D49">
      <w:pPr>
        <w:pStyle w:val="ListParagraph"/>
        <w:rPr>
          <w:rFonts w:ascii="Arial" w:hAnsi="Arial" w:cs="Arial"/>
        </w:rPr>
      </w:pPr>
    </w:p>
    <w:p w14:paraId="40F1BB7B" w14:textId="09A222F7" w:rsidR="00007814"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[13]</w:t>
      </w:r>
      <w:r>
        <w:rPr>
          <w:rFonts w:ascii="Arial" w:hAnsi="Arial" w:cs="Arial"/>
        </w:rPr>
        <w:tab/>
      </w:r>
      <w:r w:rsidR="00944ECA">
        <w:rPr>
          <w:rFonts w:ascii="Arial" w:hAnsi="Arial" w:cs="Arial"/>
        </w:rPr>
        <w:t xml:space="preserve">The appellant pleaded guilty to removing water meters, which were the property of the Buffalo City Metropolitan Municipality, from their boxes to the value </w:t>
      </w:r>
      <w:r w:rsidR="00944ECA">
        <w:rPr>
          <w:rFonts w:ascii="Arial" w:hAnsi="Arial" w:cs="Arial"/>
        </w:rPr>
        <w:lastRenderedPageBreak/>
        <w:t xml:space="preserve">of R90,000.00, resulting in damage to waterpipes to the value of approximately R30,000.00 and the loss of water.  </w:t>
      </w:r>
      <w:r w:rsidR="00944ECA" w:rsidRPr="0027187D">
        <w:rPr>
          <w:rFonts w:ascii="Arial" w:hAnsi="Arial" w:cs="Arial"/>
        </w:rPr>
        <w:t xml:space="preserve">There was no evidence as to the volume of </w:t>
      </w:r>
      <w:r w:rsidR="0027187D" w:rsidRPr="0027187D">
        <w:rPr>
          <w:rFonts w:ascii="Arial" w:hAnsi="Arial" w:cs="Arial"/>
        </w:rPr>
        <w:t xml:space="preserve">the </w:t>
      </w:r>
      <w:r w:rsidR="00944ECA" w:rsidRPr="0027187D">
        <w:rPr>
          <w:rFonts w:ascii="Arial" w:hAnsi="Arial" w:cs="Arial"/>
        </w:rPr>
        <w:t>water loss</w:t>
      </w:r>
      <w:r w:rsidR="0027187D" w:rsidRPr="0027187D">
        <w:rPr>
          <w:rFonts w:ascii="Arial" w:hAnsi="Arial" w:cs="Arial"/>
        </w:rPr>
        <w:t xml:space="preserve"> and what impact, if any, the appellant’s conduct had on the interference with the provision or distribution of water to members of the public.</w:t>
      </w:r>
      <w:r w:rsidR="00007814">
        <w:rPr>
          <w:rFonts w:ascii="Arial" w:hAnsi="Arial" w:cs="Arial"/>
        </w:rPr>
        <w:t xml:space="preserve">  The water meters were recovered and returned to municipality.</w:t>
      </w:r>
      <w:r w:rsidR="000D6573">
        <w:rPr>
          <w:rFonts w:ascii="Arial" w:hAnsi="Arial" w:cs="Arial"/>
        </w:rPr>
        <w:t xml:space="preserve">  Whilst having pleaded guilty to the charge, the appellant </w:t>
      </w:r>
      <w:r w:rsidR="000D6573" w:rsidRPr="000D6573">
        <w:rPr>
          <w:rFonts w:ascii="Arial" w:hAnsi="Arial" w:cs="Arial"/>
        </w:rPr>
        <w:t xml:space="preserve">was caught during the commission of the offence.  </w:t>
      </w:r>
      <w:r w:rsidR="000D6573">
        <w:rPr>
          <w:rFonts w:ascii="Arial" w:hAnsi="Arial" w:cs="Arial"/>
        </w:rPr>
        <w:t xml:space="preserve">Accordingly, notwithstanding that he </w:t>
      </w:r>
      <w:r w:rsidR="000D6573" w:rsidRPr="000D6573">
        <w:rPr>
          <w:rFonts w:ascii="Arial" w:hAnsi="Arial" w:cs="Arial"/>
        </w:rPr>
        <w:t>shows a certain degree of remorse, which</w:t>
      </w:r>
      <w:r w:rsidR="000D6573">
        <w:rPr>
          <w:rFonts w:ascii="Arial" w:hAnsi="Arial" w:cs="Arial"/>
        </w:rPr>
        <w:t xml:space="preserve"> factor</w:t>
      </w:r>
      <w:r w:rsidR="000D6573" w:rsidRPr="000D6573">
        <w:rPr>
          <w:rFonts w:ascii="Arial" w:hAnsi="Arial" w:cs="Arial"/>
        </w:rPr>
        <w:t xml:space="preserve"> was </w:t>
      </w:r>
      <w:proofErr w:type="gramStart"/>
      <w:r w:rsidR="000D6573" w:rsidRPr="000D6573">
        <w:rPr>
          <w:rFonts w:ascii="Arial" w:hAnsi="Arial" w:cs="Arial"/>
        </w:rPr>
        <w:t>taken into account</w:t>
      </w:r>
      <w:proofErr w:type="gramEnd"/>
      <w:r w:rsidR="000D6573" w:rsidRPr="000D6573">
        <w:rPr>
          <w:rFonts w:ascii="Arial" w:hAnsi="Arial" w:cs="Arial"/>
        </w:rPr>
        <w:t xml:space="preserve"> by the trial court, </w:t>
      </w:r>
      <w:r w:rsidR="000D6573">
        <w:rPr>
          <w:rFonts w:ascii="Arial" w:hAnsi="Arial" w:cs="Arial"/>
        </w:rPr>
        <w:t>such</w:t>
      </w:r>
      <w:r w:rsidR="000D6573" w:rsidRPr="000D6573">
        <w:rPr>
          <w:rFonts w:ascii="Arial" w:hAnsi="Arial" w:cs="Arial"/>
        </w:rPr>
        <w:t xml:space="preserve"> factor </w:t>
      </w:r>
      <w:r w:rsidR="000D6573">
        <w:rPr>
          <w:rFonts w:ascii="Arial" w:hAnsi="Arial" w:cs="Arial"/>
        </w:rPr>
        <w:t xml:space="preserve">is </w:t>
      </w:r>
      <w:r w:rsidR="000D6573" w:rsidRPr="000D6573">
        <w:rPr>
          <w:rFonts w:ascii="Arial" w:hAnsi="Arial" w:cs="Arial"/>
        </w:rPr>
        <w:t>at best</w:t>
      </w:r>
      <w:r w:rsidR="000D6573">
        <w:rPr>
          <w:rFonts w:ascii="Arial" w:hAnsi="Arial" w:cs="Arial"/>
        </w:rPr>
        <w:t xml:space="preserve"> a</w:t>
      </w:r>
      <w:r w:rsidR="000D6573" w:rsidRPr="000D6573">
        <w:rPr>
          <w:rFonts w:ascii="Arial" w:hAnsi="Arial" w:cs="Arial"/>
        </w:rPr>
        <w:t xml:space="preserve"> little more than neutral, given the circumstances of the matter</w:t>
      </w:r>
      <w:r w:rsidR="000D6573">
        <w:rPr>
          <w:rFonts w:ascii="Arial" w:hAnsi="Arial" w:cs="Arial"/>
        </w:rPr>
        <w:t>.</w:t>
      </w:r>
      <w:r w:rsidR="0027187D" w:rsidRPr="0027187D">
        <w:rPr>
          <w:rFonts w:ascii="Arial" w:hAnsi="Arial" w:cs="Arial"/>
        </w:rPr>
        <w:t xml:space="preserve">  </w:t>
      </w:r>
    </w:p>
    <w:p w14:paraId="14B221F2" w14:textId="77777777" w:rsidR="00007814" w:rsidRDefault="00007814" w:rsidP="00007814">
      <w:pPr>
        <w:pStyle w:val="ListParagraph"/>
        <w:rPr>
          <w:rFonts w:ascii="Arial" w:hAnsi="Arial" w:cs="Arial"/>
        </w:rPr>
      </w:pPr>
    </w:p>
    <w:p w14:paraId="10CD069A" w14:textId="15842593" w:rsidR="00CB1095"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[14]</w:t>
      </w:r>
      <w:r>
        <w:rPr>
          <w:rFonts w:ascii="Arial" w:hAnsi="Arial" w:cs="Arial"/>
        </w:rPr>
        <w:tab/>
      </w:r>
      <w:r w:rsidR="0027187D" w:rsidRPr="008509E7">
        <w:rPr>
          <w:rFonts w:ascii="Arial" w:hAnsi="Arial" w:cs="Arial"/>
        </w:rPr>
        <w:t>At the time of the commission of the offence and at the date of trial, the appellant was 23 years of age and still resided with his mother.  He had no fixed employment, engaging in “</w:t>
      </w:r>
      <w:r w:rsidR="0027187D" w:rsidRPr="008509E7">
        <w:rPr>
          <w:rFonts w:ascii="Arial" w:hAnsi="Arial" w:cs="Arial"/>
          <w:i/>
          <w:iCs/>
        </w:rPr>
        <w:t>odd jobs</w:t>
      </w:r>
      <w:r w:rsidR="0027187D" w:rsidRPr="008509E7">
        <w:rPr>
          <w:rFonts w:ascii="Arial" w:hAnsi="Arial" w:cs="Arial"/>
        </w:rPr>
        <w:t xml:space="preserve">” to earn a living; was unmarried; and had no dependants.  </w:t>
      </w:r>
      <w:r w:rsidR="00007814" w:rsidRPr="008509E7">
        <w:rPr>
          <w:rFonts w:ascii="Arial" w:hAnsi="Arial" w:cs="Arial"/>
        </w:rPr>
        <w:t xml:space="preserve">Whilst not a first-time offender, having been convicted of two prior offences, the appellant had not previously committed an offence of this nature.  </w:t>
      </w:r>
      <w:r w:rsidR="000D6573" w:rsidRPr="008509E7">
        <w:rPr>
          <w:rFonts w:ascii="Arial" w:hAnsi="Arial" w:cs="Arial"/>
        </w:rPr>
        <w:t xml:space="preserve">Despite the trial court having noted that it was at pains that the appellant was still of a tender age, this factor does not appear to have weighed heavily in the court’s decision-making process.  </w:t>
      </w:r>
    </w:p>
    <w:p w14:paraId="2482F293" w14:textId="77777777" w:rsidR="00CB1095" w:rsidRDefault="00CB1095" w:rsidP="00CB1095">
      <w:pPr>
        <w:pStyle w:val="ListParagraph"/>
        <w:rPr>
          <w:rFonts w:ascii="Arial" w:hAnsi="Arial" w:cs="Arial"/>
        </w:rPr>
      </w:pPr>
    </w:p>
    <w:p w14:paraId="4EA0C6D2" w14:textId="01437FA2" w:rsidR="00A73A7F"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[15]</w:t>
      </w:r>
      <w:r>
        <w:rPr>
          <w:rFonts w:ascii="Arial" w:hAnsi="Arial" w:cs="Arial"/>
        </w:rPr>
        <w:tab/>
      </w:r>
      <w:r w:rsidR="000D6573" w:rsidRPr="008509E7">
        <w:rPr>
          <w:rFonts w:ascii="Arial" w:hAnsi="Arial" w:cs="Arial"/>
        </w:rPr>
        <w:t>I am of the view that the trial court misconstrued the essence of youthfulness as a mitigating factor</w:t>
      </w:r>
      <w:r w:rsidR="00DB1646">
        <w:rPr>
          <w:rFonts w:ascii="Arial" w:hAnsi="Arial" w:cs="Arial"/>
        </w:rPr>
        <w:t>.</w:t>
      </w:r>
      <w:r w:rsidR="000D6573">
        <w:rPr>
          <w:rStyle w:val="FootnoteReference"/>
          <w:rFonts w:ascii="Arial" w:hAnsi="Arial" w:cs="Arial"/>
        </w:rPr>
        <w:footnoteReference w:id="5"/>
      </w:r>
      <w:r w:rsidR="000D6573" w:rsidRPr="008509E7">
        <w:rPr>
          <w:rFonts w:ascii="Arial" w:hAnsi="Arial" w:cs="Arial"/>
        </w:rPr>
        <w:t xml:space="preserve"> </w:t>
      </w:r>
      <w:r w:rsidR="008509E7" w:rsidRPr="008509E7">
        <w:rPr>
          <w:rFonts w:ascii="Arial" w:hAnsi="Arial" w:cs="Arial"/>
        </w:rPr>
        <w:t xml:space="preserve"> </w:t>
      </w:r>
      <w:r w:rsidR="00A91676">
        <w:rPr>
          <w:rFonts w:ascii="Arial" w:hAnsi="Arial" w:cs="Arial"/>
        </w:rPr>
        <w:t>Moreover, t</w:t>
      </w:r>
      <w:r w:rsidR="008509E7" w:rsidRPr="008509E7">
        <w:rPr>
          <w:rFonts w:ascii="Arial" w:hAnsi="Arial" w:cs="Arial"/>
        </w:rPr>
        <w:t xml:space="preserve">he trial court failed to consider that the appellant is of a sufficiently young age to make rehabilitation a real prospect, even after serving a lengthy period of direct imprisonment. </w:t>
      </w:r>
    </w:p>
    <w:p w14:paraId="08F842D4" w14:textId="77777777" w:rsidR="008509E7" w:rsidRDefault="008509E7" w:rsidP="008509E7">
      <w:pPr>
        <w:pStyle w:val="ListParagraph"/>
        <w:rPr>
          <w:rFonts w:ascii="Arial" w:hAnsi="Arial" w:cs="Arial"/>
        </w:rPr>
      </w:pPr>
    </w:p>
    <w:p w14:paraId="37287F01" w14:textId="72F0CB71" w:rsidR="001F302D"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[16]</w:t>
      </w:r>
      <w:r>
        <w:rPr>
          <w:rFonts w:ascii="Arial" w:hAnsi="Arial" w:cs="Arial"/>
        </w:rPr>
        <w:tab/>
      </w:r>
      <w:proofErr w:type="gramStart"/>
      <w:r w:rsidR="008509E7">
        <w:rPr>
          <w:rFonts w:ascii="Arial" w:hAnsi="Arial" w:cs="Arial"/>
        </w:rPr>
        <w:t>Taking into account</w:t>
      </w:r>
      <w:proofErr w:type="gramEnd"/>
      <w:r w:rsidR="008509E7">
        <w:rPr>
          <w:rFonts w:ascii="Arial" w:hAnsi="Arial" w:cs="Arial"/>
        </w:rPr>
        <w:t xml:space="preserve"> all of the features specific to the present matter, and more particularly, the circumstances of the commission of the offence; the events thereafter; and the personal circumstances of the appellant, I am of the view that the trial court was incorrect in finding that substantial and compelling circumstances did not exist to depart from the minimum sentence.  As noted, the offence committed is sufficiently serious to attract a prescribed minimum sentence of 15 years imprisonment in the case of a first offender.  Whilst the seriousness of the offence must be reflected in the sentence imposed by the court, this cannot be viewed in isolation from the</w:t>
      </w:r>
      <w:r w:rsidR="001F302D">
        <w:rPr>
          <w:rFonts w:ascii="Arial" w:hAnsi="Arial" w:cs="Arial"/>
        </w:rPr>
        <w:t xml:space="preserve"> factors alluded to above, including the</w:t>
      </w:r>
      <w:r w:rsidR="008509E7">
        <w:rPr>
          <w:rFonts w:ascii="Arial" w:hAnsi="Arial" w:cs="Arial"/>
        </w:rPr>
        <w:t xml:space="preserve"> personal circumstances of the appellant and the value attached to human dignity, which lies at the heart of the requirement that sentences must be proportionate to the offence as set out in </w:t>
      </w:r>
      <w:r w:rsidR="008509E7" w:rsidRPr="000D6573">
        <w:rPr>
          <w:rFonts w:ascii="Arial" w:hAnsi="Arial" w:cs="Arial"/>
          <w:i/>
          <w:iCs/>
        </w:rPr>
        <w:t>S v Dodo</w:t>
      </w:r>
      <w:r w:rsidR="008509E7">
        <w:rPr>
          <w:rFonts w:ascii="Arial" w:hAnsi="Arial" w:cs="Arial"/>
        </w:rPr>
        <w:t xml:space="preserve">.  </w:t>
      </w:r>
      <w:r w:rsidR="008C31BD">
        <w:rPr>
          <w:rFonts w:ascii="Arial" w:hAnsi="Arial" w:cs="Arial"/>
        </w:rPr>
        <w:t>I am of the view that the trial court, in considering the sentence to be imposed, attached too much weight to the fact that the legislature has prescribed a minimum sentence to the offence, and in doing so, lost sight of the other important factors herein.</w:t>
      </w:r>
    </w:p>
    <w:p w14:paraId="279D27DA" w14:textId="77777777" w:rsidR="008C31BD" w:rsidRDefault="008C31BD" w:rsidP="008C31BD">
      <w:pPr>
        <w:pStyle w:val="ListParagraph"/>
        <w:rPr>
          <w:rFonts w:ascii="Arial" w:hAnsi="Arial" w:cs="Arial"/>
        </w:rPr>
      </w:pPr>
    </w:p>
    <w:p w14:paraId="530E8B8B" w14:textId="078ACD40" w:rsidR="000D6573" w:rsidRPr="001F302D" w:rsidRDefault="007126C5" w:rsidP="007126C5">
      <w:pPr>
        <w:pStyle w:val="NormalWeb"/>
        <w:shd w:val="clear" w:color="auto" w:fill="FFFFFF"/>
        <w:spacing w:before="0" w:beforeAutospacing="0" w:after="0" w:afterAutospacing="0" w:line="480" w:lineRule="auto"/>
        <w:ind w:right="259"/>
        <w:jc w:val="both"/>
        <w:rPr>
          <w:rFonts w:ascii="Arial" w:hAnsi="Arial" w:cs="Arial"/>
        </w:rPr>
      </w:pPr>
      <w:r w:rsidRPr="001F302D">
        <w:rPr>
          <w:rFonts w:ascii="Arial" w:hAnsi="Arial" w:cs="Arial"/>
        </w:rPr>
        <w:t>[17]</w:t>
      </w:r>
      <w:r w:rsidRPr="001F302D">
        <w:rPr>
          <w:rFonts w:ascii="Arial" w:hAnsi="Arial" w:cs="Arial"/>
        </w:rPr>
        <w:tab/>
      </w:r>
      <w:r w:rsidR="001F302D">
        <w:rPr>
          <w:rFonts w:ascii="Arial" w:hAnsi="Arial" w:cs="Arial"/>
        </w:rPr>
        <w:t>In the present matter, t</w:t>
      </w:r>
      <w:r w:rsidR="008509E7" w:rsidRPr="001F302D">
        <w:rPr>
          <w:rFonts w:ascii="Arial" w:hAnsi="Arial" w:cs="Arial"/>
        </w:rPr>
        <w:t xml:space="preserve">he imposition of the minimum sentence was manifestly disproportionate.  </w:t>
      </w:r>
      <w:r w:rsidR="001F302D" w:rsidRPr="001F302D">
        <w:rPr>
          <w:rFonts w:ascii="Arial" w:hAnsi="Arial" w:cs="Arial"/>
        </w:rPr>
        <w:t>I consider</w:t>
      </w:r>
      <w:r w:rsidR="001F302D">
        <w:rPr>
          <w:rFonts w:ascii="Arial" w:hAnsi="Arial" w:cs="Arial"/>
        </w:rPr>
        <w:t xml:space="preserve"> that a sentence of 10 years’ imprisonment, 3 ye</w:t>
      </w:r>
      <w:r w:rsidR="00670F9C">
        <w:rPr>
          <w:rFonts w:ascii="Arial" w:hAnsi="Arial" w:cs="Arial"/>
        </w:rPr>
        <w:t>ars of which are suspended for 5</w:t>
      </w:r>
      <w:r w:rsidR="001F302D">
        <w:rPr>
          <w:rFonts w:ascii="Arial" w:hAnsi="Arial" w:cs="Arial"/>
        </w:rPr>
        <w:t xml:space="preserve"> years, would be more appropriate in the circumstances.</w:t>
      </w:r>
    </w:p>
    <w:p w14:paraId="700C39EC" w14:textId="77777777" w:rsidR="000D6573" w:rsidRDefault="000D6573" w:rsidP="000D6573">
      <w:pPr>
        <w:pStyle w:val="ListParagraph"/>
        <w:rPr>
          <w:rFonts w:ascii="Arial" w:hAnsi="Arial" w:cs="Arial"/>
        </w:rPr>
      </w:pPr>
    </w:p>
    <w:p w14:paraId="2016F831" w14:textId="54CE406F" w:rsidR="00752B01" w:rsidRDefault="007126C5" w:rsidP="007126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[18]</w:t>
      </w:r>
      <w:r>
        <w:rPr>
          <w:rFonts w:ascii="Arial" w:hAnsi="Arial" w:cs="Arial"/>
        </w:rPr>
        <w:tab/>
      </w:r>
      <w:r w:rsidR="00752B01">
        <w:rPr>
          <w:rFonts w:ascii="Arial" w:hAnsi="Arial" w:cs="Arial"/>
        </w:rPr>
        <w:t>In the premises, the following order is issued:</w:t>
      </w:r>
    </w:p>
    <w:p w14:paraId="2C3C212E" w14:textId="77777777" w:rsidR="00752B01" w:rsidRDefault="00752B01" w:rsidP="001A3D28">
      <w:pPr>
        <w:pStyle w:val="ListParagraph"/>
        <w:spacing w:after="0" w:line="480" w:lineRule="auto"/>
        <w:rPr>
          <w:rFonts w:ascii="Arial" w:hAnsi="Arial" w:cs="Arial"/>
        </w:rPr>
      </w:pPr>
    </w:p>
    <w:p w14:paraId="19D1B017" w14:textId="7976920F" w:rsidR="00752B01" w:rsidRDefault="007126C5" w:rsidP="007126C5">
      <w:pPr>
        <w:pStyle w:val="NormalWeb"/>
        <w:shd w:val="clear" w:color="auto" w:fill="FFFFFF"/>
        <w:spacing w:before="0" w:beforeAutospacing="0" w:after="0" w:afterAutospacing="0" w:line="480" w:lineRule="auto"/>
        <w:ind w:left="1560" w:right="259" w:hanging="709"/>
        <w:jc w:val="both"/>
        <w:rPr>
          <w:rFonts w:ascii="Arial" w:hAnsi="Arial" w:cs="Arial"/>
        </w:rPr>
      </w:pPr>
      <w:r>
        <w:rPr>
          <w:rFonts w:ascii="Arial" w:hAnsi="Arial" w:cs="Arial"/>
        </w:rPr>
        <w:t>1.</w:t>
      </w:r>
      <w:r>
        <w:rPr>
          <w:rFonts w:ascii="Arial" w:hAnsi="Arial" w:cs="Arial"/>
        </w:rPr>
        <w:tab/>
      </w:r>
      <w:r w:rsidR="00752B01">
        <w:rPr>
          <w:rFonts w:ascii="Arial" w:hAnsi="Arial" w:cs="Arial"/>
        </w:rPr>
        <w:t>The appeal against sentence is upheld.</w:t>
      </w:r>
    </w:p>
    <w:p w14:paraId="1C5D15AF" w14:textId="77777777" w:rsidR="001F302D" w:rsidRDefault="001F302D" w:rsidP="001F302D">
      <w:pPr>
        <w:pStyle w:val="NormalWeb"/>
        <w:shd w:val="clear" w:color="auto" w:fill="FFFFFF"/>
        <w:spacing w:before="0" w:beforeAutospacing="0" w:after="0" w:afterAutospacing="0" w:line="480" w:lineRule="auto"/>
        <w:ind w:left="1560" w:right="259"/>
        <w:jc w:val="both"/>
        <w:rPr>
          <w:rFonts w:ascii="Arial" w:hAnsi="Arial" w:cs="Arial"/>
        </w:rPr>
      </w:pPr>
    </w:p>
    <w:p w14:paraId="3A159E4F" w14:textId="1804567C" w:rsidR="00752B01" w:rsidRDefault="007126C5" w:rsidP="007126C5">
      <w:pPr>
        <w:pStyle w:val="NormalWeb"/>
        <w:shd w:val="clear" w:color="auto" w:fill="FFFFFF"/>
        <w:spacing w:before="0" w:beforeAutospacing="0" w:after="0" w:afterAutospacing="0" w:line="480" w:lineRule="auto"/>
        <w:ind w:left="1560" w:right="259" w:hanging="709"/>
        <w:jc w:val="both"/>
        <w:rPr>
          <w:rFonts w:ascii="Arial" w:hAnsi="Arial" w:cs="Arial"/>
        </w:rPr>
      </w:pPr>
      <w:r>
        <w:rPr>
          <w:rFonts w:ascii="Arial" w:hAnsi="Arial" w:cs="Arial"/>
        </w:rPr>
        <w:lastRenderedPageBreak/>
        <w:t>2.</w:t>
      </w:r>
      <w:r>
        <w:rPr>
          <w:rFonts w:ascii="Arial" w:hAnsi="Arial" w:cs="Arial"/>
        </w:rPr>
        <w:tab/>
      </w:r>
      <w:r w:rsidR="00752B01" w:rsidRPr="00752B01">
        <w:rPr>
          <w:rFonts w:ascii="Arial" w:hAnsi="Arial" w:cs="Arial"/>
        </w:rPr>
        <w:t xml:space="preserve">The sentence of 15 years’ imprisonment imposed by the trial court on </w:t>
      </w:r>
      <w:r w:rsidR="00752B01">
        <w:rPr>
          <w:rFonts w:ascii="Arial" w:hAnsi="Arial" w:cs="Arial"/>
        </w:rPr>
        <w:t>21 October 2021</w:t>
      </w:r>
      <w:r w:rsidR="00752B01" w:rsidRPr="00752B01">
        <w:rPr>
          <w:rFonts w:ascii="Arial" w:hAnsi="Arial" w:cs="Arial"/>
        </w:rPr>
        <w:t xml:space="preserve"> is set aside and replaced by that set out in paragraphs 3 and 4, below.</w:t>
      </w:r>
    </w:p>
    <w:p w14:paraId="6A671E54" w14:textId="77777777" w:rsidR="00752B01" w:rsidRDefault="00752B01" w:rsidP="00541111">
      <w:pPr>
        <w:pStyle w:val="NormalWeb"/>
        <w:shd w:val="clear" w:color="auto" w:fill="FFFFFF"/>
        <w:spacing w:before="0" w:beforeAutospacing="0" w:after="0" w:afterAutospacing="0" w:line="480" w:lineRule="auto"/>
        <w:ind w:left="1560" w:right="259" w:hanging="709"/>
        <w:jc w:val="both"/>
        <w:rPr>
          <w:rFonts w:ascii="Arial" w:hAnsi="Arial" w:cs="Arial"/>
        </w:rPr>
      </w:pPr>
    </w:p>
    <w:p w14:paraId="1103705C" w14:textId="17AE6278" w:rsidR="00752B01" w:rsidRPr="00752B01" w:rsidRDefault="007126C5" w:rsidP="007126C5">
      <w:pPr>
        <w:pStyle w:val="NormalWeb"/>
        <w:shd w:val="clear" w:color="auto" w:fill="FFFFFF"/>
        <w:spacing w:before="0" w:beforeAutospacing="0" w:after="0" w:afterAutospacing="0" w:line="480" w:lineRule="auto"/>
        <w:ind w:left="1560" w:right="259" w:hanging="709"/>
        <w:jc w:val="both"/>
        <w:rPr>
          <w:rFonts w:ascii="Arial" w:hAnsi="Arial" w:cs="Arial"/>
        </w:rPr>
      </w:pPr>
      <w:r w:rsidRPr="00752B01">
        <w:rPr>
          <w:rFonts w:ascii="Arial" w:hAnsi="Arial" w:cs="Arial"/>
        </w:rPr>
        <w:t>3.</w:t>
      </w:r>
      <w:r w:rsidRPr="00752B01">
        <w:rPr>
          <w:rFonts w:ascii="Arial" w:hAnsi="Arial" w:cs="Arial"/>
        </w:rPr>
        <w:tab/>
      </w:r>
      <w:r w:rsidR="00752B01" w:rsidRPr="00752B01">
        <w:rPr>
          <w:rFonts w:ascii="Arial" w:hAnsi="Arial" w:cs="Arial"/>
        </w:rPr>
        <w:t xml:space="preserve">The appellant is sentenced to 10 years’ imprisonment, </w:t>
      </w:r>
      <w:r w:rsidR="001F302D">
        <w:rPr>
          <w:rFonts w:ascii="Arial" w:hAnsi="Arial" w:cs="Arial"/>
        </w:rPr>
        <w:t>3</w:t>
      </w:r>
      <w:r w:rsidR="00752B01" w:rsidRPr="00752B01">
        <w:rPr>
          <w:rFonts w:ascii="Arial" w:hAnsi="Arial" w:cs="Arial"/>
        </w:rPr>
        <w:t xml:space="preserve"> years of which are suspended for </w:t>
      </w:r>
      <w:r w:rsidR="00670F9C">
        <w:rPr>
          <w:rFonts w:ascii="Arial" w:hAnsi="Arial" w:cs="Arial"/>
        </w:rPr>
        <w:t>5</w:t>
      </w:r>
      <w:r w:rsidR="00752B01" w:rsidRPr="00752B01">
        <w:rPr>
          <w:rFonts w:ascii="Arial" w:hAnsi="Arial" w:cs="Arial"/>
        </w:rPr>
        <w:t xml:space="preserve"> years on condition that the accused is not convicted of an offence </w:t>
      </w:r>
      <w:r w:rsidR="001F302D">
        <w:rPr>
          <w:rFonts w:ascii="Arial" w:hAnsi="Arial" w:cs="Arial"/>
        </w:rPr>
        <w:t>provided for in the Criminal Matters Amendment Act</w:t>
      </w:r>
      <w:r w:rsidR="001F302D" w:rsidRPr="00752B01">
        <w:rPr>
          <w:rFonts w:ascii="Arial" w:hAnsi="Arial" w:cs="Arial"/>
        </w:rPr>
        <w:t xml:space="preserve"> </w:t>
      </w:r>
      <w:r w:rsidR="00752B01" w:rsidRPr="00752B01">
        <w:rPr>
          <w:rFonts w:ascii="Arial" w:hAnsi="Arial" w:cs="Arial"/>
        </w:rPr>
        <w:t>during the period of suspension for which a sentence of imprisonment without the option of a fine is imposed.</w:t>
      </w:r>
    </w:p>
    <w:p w14:paraId="4BFA25DB" w14:textId="77777777" w:rsidR="00541111" w:rsidRDefault="00541111" w:rsidP="00541111">
      <w:pPr>
        <w:pStyle w:val="NormalWeb"/>
        <w:shd w:val="clear" w:color="auto" w:fill="FFFFFF"/>
        <w:spacing w:before="0" w:beforeAutospacing="0" w:after="0" w:afterAutospacing="0" w:line="480" w:lineRule="auto"/>
        <w:ind w:left="1560" w:right="259"/>
        <w:jc w:val="both"/>
        <w:rPr>
          <w:rFonts w:ascii="Arial" w:hAnsi="Arial" w:cs="Arial"/>
        </w:rPr>
      </w:pPr>
    </w:p>
    <w:p w14:paraId="568B1162" w14:textId="3D58EDFA" w:rsidR="00752B01" w:rsidRPr="00752B01" w:rsidRDefault="007126C5" w:rsidP="007126C5">
      <w:pPr>
        <w:pStyle w:val="NormalWeb"/>
        <w:shd w:val="clear" w:color="auto" w:fill="FFFFFF"/>
        <w:spacing w:before="0" w:beforeAutospacing="0" w:after="0" w:afterAutospacing="0" w:line="480" w:lineRule="auto"/>
        <w:ind w:left="1560" w:right="259" w:hanging="709"/>
        <w:jc w:val="both"/>
        <w:rPr>
          <w:rFonts w:ascii="Arial" w:hAnsi="Arial" w:cs="Arial"/>
        </w:rPr>
      </w:pPr>
      <w:r w:rsidRPr="00752B01">
        <w:rPr>
          <w:rFonts w:ascii="Arial" w:hAnsi="Arial" w:cs="Arial"/>
        </w:rPr>
        <w:t>4.</w:t>
      </w:r>
      <w:r w:rsidRPr="00752B01">
        <w:rPr>
          <w:rFonts w:ascii="Arial" w:hAnsi="Arial" w:cs="Arial"/>
        </w:rPr>
        <w:tab/>
      </w:r>
      <w:r w:rsidR="00752B01" w:rsidRPr="00752B01">
        <w:rPr>
          <w:rFonts w:ascii="Arial" w:hAnsi="Arial" w:cs="Arial"/>
        </w:rPr>
        <w:t>The substituted sentence is antedated, in terms of </w:t>
      </w:r>
      <w:hyperlink r:id="rId12" w:anchor="s282" w:history="1">
        <w:r w:rsidR="00752B01" w:rsidRPr="00752B01">
          <w:rPr>
            <w:rFonts w:ascii="Arial" w:hAnsi="Arial" w:cs="Arial"/>
          </w:rPr>
          <w:t>s</w:t>
        </w:r>
        <w:r w:rsidR="00541111">
          <w:rPr>
            <w:rFonts w:ascii="Arial" w:hAnsi="Arial" w:cs="Arial"/>
          </w:rPr>
          <w:t>ection</w:t>
        </w:r>
        <w:r w:rsidR="00752B01" w:rsidRPr="00752B01">
          <w:rPr>
            <w:rFonts w:ascii="Arial" w:hAnsi="Arial" w:cs="Arial"/>
          </w:rPr>
          <w:t> 282</w:t>
        </w:r>
      </w:hyperlink>
      <w:r w:rsidR="00752B01" w:rsidRPr="00752B01">
        <w:rPr>
          <w:rFonts w:ascii="Arial" w:hAnsi="Arial" w:cs="Arial"/>
        </w:rPr>
        <w:t> of the </w:t>
      </w:r>
      <w:hyperlink r:id="rId13" w:history="1">
        <w:r w:rsidR="00752B01" w:rsidRPr="00752B01">
          <w:rPr>
            <w:rFonts w:ascii="Arial" w:hAnsi="Arial" w:cs="Arial"/>
          </w:rPr>
          <w:t>Criminal Procedure Act 51 of 1977</w:t>
        </w:r>
      </w:hyperlink>
      <w:r w:rsidR="00752B01" w:rsidRPr="00752B01">
        <w:rPr>
          <w:rFonts w:ascii="Arial" w:hAnsi="Arial" w:cs="Arial"/>
        </w:rPr>
        <w:t xml:space="preserve">, to </w:t>
      </w:r>
      <w:r w:rsidR="00541111">
        <w:rPr>
          <w:rFonts w:ascii="Arial" w:hAnsi="Arial" w:cs="Arial"/>
        </w:rPr>
        <w:t>21 October 2021</w:t>
      </w:r>
      <w:r w:rsidR="00752B01" w:rsidRPr="00752B01">
        <w:rPr>
          <w:rFonts w:ascii="Arial" w:hAnsi="Arial" w:cs="Arial"/>
        </w:rPr>
        <w:t>.</w:t>
      </w:r>
    </w:p>
    <w:p w14:paraId="58B05908" w14:textId="77777777" w:rsidR="00752B01" w:rsidRDefault="00752B01" w:rsidP="00752B01">
      <w:pPr>
        <w:tabs>
          <w:tab w:val="left" w:pos="7797"/>
        </w:tabs>
        <w:spacing w:after="0" w:line="480" w:lineRule="auto"/>
        <w:jc w:val="both"/>
        <w:rPr>
          <w:noProof/>
          <w:lang w:eastAsia="en-ZA"/>
        </w:rPr>
      </w:pPr>
    </w:p>
    <w:p w14:paraId="00546BCA" w14:textId="77777777" w:rsidR="00752B01" w:rsidRPr="000E306E" w:rsidRDefault="00752B01" w:rsidP="00752B01">
      <w:pPr>
        <w:tabs>
          <w:tab w:val="left" w:pos="7797"/>
        </w:tabs>
        <w:spacing w:after="0" w:line="480" w:lineRule="auto"/>
        <w:jc w:val="both"/>
        <w:rPr>
          <w:rStyle w:val="Hyperlink"/>
          <w:rFonts w:ascii="Arial" w:hAnsi="Arial" w:cs="Arial"/>
          <w:i/>
          <w:iCs/>
          <w:sz w:val="24"/>
          <w:szCs w:val="24"/>
        </w:rPr>
      </w:pPr>
    </w:p>
    <w:p w14:paraId="41B7DCBB" w14:textId="77777777" w:rsidR="00752B01" w:rsidRPr="00752B01" w:rsidRDefault="00752B01" w:rsidP="00752B01">
      <w:pPr>
        <w:spacing w:after="0" w:line="360" w:lineRule="auto"/>
        <w:jc w:val="both"/>
        <w:rPr>
          <w:rStyle w:val="Hyperlink"/>
          <w:rFonts w:ascii="Arial" w:hAnsi="Arial" w:cs="Arial"/>
          <w:i/>
          <w:iCs/>
          <w:color w:val="auto"/>
          <w:sz w:val="24"/>
          <w:szCs w:val="24"/>
        </w:rPr>
      </w:pPr>
      <w:r w:rsidRPr="00752B01">
        <w:rPr>
          <w:rStyle w:val="Hyperlink"/>
          <w:rFonts w:ascii="Arial" w:hAnsi="Arial" w:cs="Arial"/>
          <w:i/>
          <w:iCs/>
          <w:color w:val="auto"/>
          <w:sz w:val="24"/>
          <w:szCs w:val="24"/>
        </w:rPr>
        <w:t>________________________________</w:t>
      </w:r>
    </w:p>
    <w:p w14:paraId="459BBC30" w14:textId="77777777" w:rsidR="00752B01" w:rsidRPr="00752B01" w:rsidRDefault="00752B01" w:rsidP="00752B01">
      <w:pPr>
        <w:spacing w:after="0" w:line="360" w:lineRule="auto"/>
        <w:jc w:val="both"/>
        <w:rPr>
          <w:rFonts w:ascii="Arial" w:hAnsi="Arial" w:cs="Arial"/>
          <w:b/>
          <w:bCs/>
          <w:sz w:val="24"/>
          <w:szCs w:val="24"/>
        </w:rPr>
      </w:pPr>
      <w:r w:rsidRPr="00752B01">
        <w:rPr>
          <w:rFonts w:ascii="Arial" w:hAnsi="Arial" w:cs="Arial"/>
          <w:b/>
          <w:bCs/>
          <w:sz w:val="24"/>
          <w:szCs w:val="24"/>
        </w:rPr>
        <w:t xml:space="preserve">I BANDS </w:t>
      </w:r>
    </w:p>
    <w:p w14:paraId="028F65E4" w14:textId="77777777" w:rsidR="00752B01" w:rsidRDefault="00752B01" w:rsidP="00752B01">
      <w:pPr>
        <w:spacing w:after="0" w:line="480" w:lineRule="auto"/>
        <w:jc w:val="both"/>
        <w:rPr>
          <w:rFonts w:ascii="Arial" w:hAnsi="Arial" w:cs="Arial"/>
          <w:b/>
          <w:bCs/>
          <w:sz w:val="24"/>
          <w:szCs w:val="24"/>
        </w:rPr>
      </w:pPr>
      <w:r w:rsidRPr="00951523">
        <w:rPr>
          <w:rFonts w:ascii="Arial" w:hAnsi="Arial" w:cs="Arial"/>
          <w:b/>
          <w:bCs/>
          <w:sz w:val="24"/>
          <w:szCs w:val="24"/>
        </w:rPr>
        <w:t xml:space="preserve">ACTING JUDGE OF THE HIGH COURT </w:t>
      </w:r>
    </w:p>
    <w:p w14:paraId="5244973F" w14:textId="77777777" w:rsidR="00752B01" w:rsidRDefault="00752B01" w:rsidP="00752B01">
      <w:pPr>
        <w:spacing w:after="0" w:line="480" w:lineRule="auto"/>
        <w:jc w:val="both"/>
        <w:rPr>
          <w:rFonts w:ascii="Arial" w:hAnsi="Arial" w:cs="Arial"/>
          <w:b/>
          <w:bCs/>
          <w:sz w:val="24"/>
          <w:szCs w:val="24"/>
        </w:rPr>
      </w:pPr>
    </w:p>
    <w:p w14:paraId="4DE8D6EE" w14:textId="77777777" w:rsidR="002B30F5" w:rsidRDefault="002B30F5" w:rsidP="00752B01">
      <w:pPr>
        <w:spacing w:after="0" w:line="480" w:lineRule="auto"/>
        <w:jc w:val="both"/>
        <w:rPr>
          <w:rFonts w:ascii="Arial" w:hAnsi="Arial" w:cs="Arial"/>
          <w:b/>
          <w:bCs/>
          <w:sz w:val="24"/>
          <w:szCs w:val="24"/>
        </w:rPr>
      </w:pPr>
    </w:p>
    <w:p w14:paraId="788A4A8A" w14:textId="77777777" w:rsidR="00752B01" w:rsidRDefault="00752B01" w:rsidP="00752B01">
      <w:pPr>
        <w:spacing w:after="0" w:line="480" w:lineRule="auto"/>
        <w:jc w:val="both"/>
        <w:rPr>
          <w:rFonts w:ascii="Arial" w:hAnsi="Arial" w:cs="Arial"/>
          <w:sz w:val="24"/>
          <w:szCs w:val="24"/>
        </w:rPr>
      </w:pPr>
      <w:r>
        <w:rPr>
          <w:rFonts w:ascii="Arial" w:hAnsi="Arial" w:cs="Arial"/>
          <w:sz w:val="24"/>
          <w:szCs w:val="24"/>
        </w:rPr>
        <w:t>I agree.</w:t>
      </w:r>
    </w:p>
    <w:p w14:paraId="6C5A876B" w14:textId="77777777" w:rsidR="00752B01" w:rsidRDefault="00752B01" w:rsidP="00752B01">
      <w:pPr>
        <w:spacing w:after="0" w:line="480" w:lineRule="auto"/>
        <w:jc w:val="both"/>
        <w:rPr>
          <w:rFonts w:ascii="Arial" w:hAnsi="Arial" w:cs="Arial"/>
          <w:sz w:val="24"/>
          <w:szCs w:val="24"/>
        </w:rPr>
      </w:pPr>
    </w:p>
    <w:p w14:paraId="6809F44D" w14:textId="77777777" w:rsidR="00752B01" w:rsidRPr="00391E7E" w:rsidRDefault="002B30F5" w:rsidP="00752B01">
      <w:pPr>
        <w:spacing w:after="0" w:line="480" w:lineRule="auto"/>
        <w:jc w:val="both"/>
        <w:rPr>
          <w:rFonts w:ascii="Arial" w:hAnsi="Arial" w:cs="Arial"/>
          <w:sz w:val="24"/>
          <w:szCs w:val="24"/>
        </w:rPr>
      </w:pPr>
      <w:r>
        <w:rPr>
          <w:rFonts w:ascii="Arial" w:hAnsi="Arial" w:cs="Arial"/>
          <w:sz w:val="24"/>
          <w:szCs w:val="24"/>
        </w:rPr>
        <w:tab/>
      </w:r>
    </w:p>
    <w:p w14:paraId="0887A0EE" w14:textId="1D024188" w:rsidR="00FE5215" w:rsidRPr="00752B01" w:rsidRDefault="00FE5215" w:rsidP="00FE5215">
      <w:pPr>
        <w:spacing w:after="0" w:line="360" w:lineRule="auto"/>
        <w:jc w:val="both"/>
        <w:rPr>
          <w:rStyle w:val="Hyperlink"/>
          <w:rFonts w:ascii="Arial" w:hAnsi="Arial" w:cs="Arial"/>
          <w:i/>
          <w:iCs/>
          <w:color w:val="auto"/>
          <w:sz w:val="24"/>
          <w:szCs w:val="24"/>
        </w:rPr>
      </w:pPr>
      <w:r w:rsidRPr="00752B01">
        <w:rPr>
          <w:rStyle w:val="Hyperlink"/>
          <w:rFonts w:ascii="Arial" w:hAnsi="Arial" w:cs="Arial"/>
          <w:i/>
          <w:iCs/>
          <w:color w:val="auto"/>
          <w:sz w:val="24"/>
          <w:szCs w:val="24"/>
        </w:rPr>
        <w:t>_________________________</w:t>
      </w:r>
    </w:p>
    <w:p w14:paraId="2B20D506" w14:textId="77777777" w:rsidR="00752B01" w:rsidRPr="00752B01" w:rsidRDefault="002B30F5" w:rsidP="00752B01">
      <w:pPr>
        <w:spacing w:after="0" w:line="360" w:lineRule="auto"/>
        <w:jc w:val="both"/>
        <w:rPr>
          <w:rFonts w:ascii="Arial" w:hAnsi="Arial" w:cs="Arial"/>
          <w:b/>
          <w:bCs/>
          <w:sz w:val="24"/>
          <w:szCs w:val="24"/>
        </w:rPr>
      </w:pPr>
      <w:r>
        <w:rPr>
          <w:rFonts w:ascii="Arial" w:hAnsi="Arial" w:cs="Arial"/>
          <w:b/>
          <w:bCs/>
          <w:sz w:val="24"/>
          <w:szCs w:val="24"/>
        </w:rPr>
        <w:t xml:space="preserve">V P NONCEMBU </w:t>
      </w:r>
    </w:p>
    <w:p w14:paraId="25990BE4" w14:textId="1AB5D012" w:rsidR="00BB1D22" w:rsidRDefault="00752B01" w:rsidP="00370E09">
      <w:pPr>
        <w:spacing w:after="0" w:line="480" w:lineRule="auto"/>
        <w:jc w:val="both"/>
        <w:rPr>
          <w:rFonts w:ascii="Arial" w:hAnsi="Arial" w:cs="Arial"/>
          <w:b/>
          <w:bCs/>
          <w:sz w:val="24"/>
          <w:szCs w:val="24"/>
        </w:rPr>
      </w:pPr>
      <w:r w:rsidRPr="00752B01">
        <w:rPr>
          <w:rFonts w:ascii="Arial" w:hAnsi="Arial" w:cs="Arial"/>
          <w:b/>
          <w:bCs/>
          <w:sz w:val="24"/>
          <w:szCs w:val="24"/>
        </w:rPr>
        <w:t xml:space="preserve">JUDGE OF THE HIGH COURT </w:t>
      </w:r>
    </w:p>
    <w:p w14:paraId="4BFBF21E" w14:textId="3C553480" w:rsidR="007711DF" w:rsidRDefault="007711DF" w:rsidP="00370E09">
      <w:pPr>
        <w:spacing w:after="0" w:line="480" w:lineRule="auto"/>
        <w:jc w:val="both"/>
        <w:rPr>
          <w:rFonts w:ascii="Arial" w:hAnsi="Arial" w:cs="Arial"/>
          <w:b/>
          <w:bCs/>
          <w:sz w:val="24"/>
          <w:szCs w:val="24"/>
        </w:rPr>
      </w:pPr>
    </w:p>
    <w:p w14:paraId="2BCBD50A" w14:textId="345AB0CB" w:rsidR="007711DF" w:rsidRDefault="007711DF" w:rsidP="00370E09">
      <w:pPr>
        <w:spacing w:after="0" w:line="480" w:lineRule="auto"/>
        <w:jc w:val="both"/>
        <w:rPr>
          <w:rFonts w:ascii="Arial" w:hAnsi="Arial" w:cs="Arial"/>
          <w:b/>
          <w:bCs/>
          <w:sz w:val="24"/>
          <w:szCs w:val="24"/>
        </w:rPr>
      </w:pPr>
      <w:r>
        <w:rPr>
          <w:rFonts w:ascii="Arial" w:hAnsi="Arial" w:cs="Arial"/>
          <w:b/>
          <w:bCs/>
          <w:sz w:val="24"/>
          <w:szCs w:val="24"/>
        </w:rPr>
        <w:lastRenderedPageBreak/>
        <w:t>Appearances:</w:t>
      </w:r>
    </w:p>
    <w:p w14:paraId="163D30CB" w14:textId="72988511" w:rsidR="007711DF" w:rsidRDefault="007711DF" w:rsidP="00370E09">
      <w:pPr>
        <w:spacing w:after="0" w:line="480" w:lineRule="auto"/>
        <w:jc w:val="both"/>
        <w:rPr>
          <w:rFonts w:ascii="Arial" w:hAnsi="Arial" w:cs="Arial"/>
          <w:bCs/>
          <w:sz w:val="24"/>
          <w:szCs w:val="24"/>
        </w:rPr>
      </w:pPr>
      <w:r w:rsidRPr="007711DF">
        <w:rPr>
          <w:rFonts w:ascii="Arial" w:hAnsi="Arial" w:cs="Arial"/>
          <w:bCs/>
          <w:sz w:val="24"/>
          <w:szCs w:val="24"/>
        </w:rPr>
        <w:t xml:space="preserve">For the </w:t>
      </w:r>
      <w:r>
        <w:rPr>
          <w:rFonts w:ascii="Arial" w:hAnsi="Arial" w:cs="Arial"/>
          <w:bCs/>
          <w:sz w:val="24"/>
          <w:szCs w:val="24"/>
        </w:rPr>
        <w:t>appellant</w:t>
      </w:r>
      <w:r w:rsidRPr="007711DF">
        <w:rPr>
          <w:rFonts w:ascii="Arial" w:hAnsi="Arial" w:cs="Arial"/>
          <w:bCs/>
          <w:sz w:val="24"/>
          <w:szCs w:val="24"/>
        </w:rPr>
        <w:t>:</w:t>
      </w:r>
      <w:r w:rsidR="00933917">
        <w:rPr>
          <w:rFonts w:ascii="Arial" w:hAnsi="Arial" w:cs="Arial"/>
          <w:bCs/>
          <w:sz w:val="24"/>
          <w:szCs w:val="24"/>
        </w:rPr>
        <w:tab/>
      </w:r>
      <w:r w:rsidR="00933917">
        <w:rPr>
          <w:rFonts w:ascii="Arial" w:hAnsi="Arial" w:cs="Arial"/>
          <w:bCs/>
          <w:sz w:val="24"/>
          <w:szCs w:val="24"/>
        </w:rPr>
        <w:tab/>
        <w:t>M</w:t>
      </w:r>
      <w:r>
        <w:rPr>
          <w:rFonts w:ascii="Arial" w:hAnsi="Arial" w:cs="Arial"/>
          <w:bCs/>
          <w:sz w:val="24"/>
          <w:szCs w:val="24"/>
        </w:rPr>
        <w:t>s McCallum</w:t>
      </w:r>
    </w:p>
    <w:p w14:paraId="423ED76A" w14:textId="0C59383F" w:rsidR="007711DF" w:rsidRDefault="007711DF" w:rsidP="00370E09">
      <w:pPr>
        <w:spacing w:after="0"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t xml:space="preserve">Legal Aid South Africa, </w:t>
      </w:r>
      <w:proofErr w:type="spellStart"/>
      <w:r>
        <w:rPr>
          <w:rFonts w:ascii="Arial" w:hAnsi="Arial" w:cs="Arial"/>
          <w:bCs/>
          <w:sz w:val="24"/>
          <w:szCs w:val="24"/>
        </w:rPr>
        <w:t>Makhanda</w:t>
      </w:r>
      <w:proofErr w:type="spellEnd"/>
    </w:p>
    <w:p w14:paraId="55CF8C05" w14:textId="2D3434F5" w:rsidR="007711DF" w:rsidRDefault="007711DF" w:rsidP="00370E09">
      <w:pPr>
        <w:spacing w:after="0" w:line="480" w:lineRule="auto"/>
        <w:jc w:val="both"/>
        <w:rPr>
          <w:rFonts w:ascii="Arial" w:hAnsi="Arial" w:cs="Arial"/>
          <w:bCs/>
          <w:sz w:val="24"/>
          <w:szCs w:val="24"/>
        </w:rPr>
      </w:pPr>
    </w:p>
    <w:p w14:paraId="46E0535A" w14:textId="72DA64D9" w:rsidR="007711DF" w:rsidRDefault="007711DF" w:rsidP="00370E09">
      <w:pPr>
        <w:spacing w:after="0" w:line="480" w:lineRule="auto"/>
        <w:jc w:val="both"/>
        <w:rPr>
          <w:rFonts w:ascii="Arial" w:hAnsi="Arial" w:cs="Arial"/>
          <w:bCs/>
          <w:sz w:val="24"/>
          <w:szCs w:val="24"/>
        </w:rPr>
      </w:pPr>
      <w:r>
        <w:rPr>
          <w:rFonts w:ascii="Arial" w:hAnsi="Arial" w:cs="Arial"/>
          <w:bCs/>
          <w:sz w:val="24"/>
          <w:szCs w:val="24"/>
        </w:rPr>
        <w:t>For the respondent:</w:t>
      </w:r>
      <w:r>
        <w:rPr>
          <w:rFonts w:ascii="Arial" w:hAnsi="Arial" w:cs="Arial"/>
          <w:bCs/>
          <w:sz w:val="24"/>
          <w:szCs w:val="24"/>
        </w:rPr>
        <w:tab/>
      </w:r>
      <w:r>
        <w:rPr>
          <w:rFonts w:ascii="Arial" w:hAnsi="Arial" w:cs="Arial"/>
          <w:bCs/>
          <w:sz w:val="24"/>
          <w:szCs w:val="24"/>
        </w:rPr>
        <w:tab/>
        <w:t>Mr Govender</w:t>
      </w:r>
    </w:p>
    <w:p w14:paraId="3F5BDEBB" w14:textId="7DB6F24F" w:rsidR="007711DF" w:rsidRDefault="007711DF" w:rsidP="00370E09">
      <w:pPr>
        <w:spacing w:after="0"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t xml:space="preserve">National Director of Public Prosecutions, </w:t>
      </w:r>
      <w:proofErr w:type="spellStart"/>
      <w:r>
        <w:rPr>
          <w:rFonts w:ascii="Arial" w:hAnsi="Arial" w:cs="Arial"/>
          <w:bCs/>
          <w:sz w:val="24"/>
          <w:szCs w:val="24"/>
        </w:rPr>
        <w:t>Makhanda</w:t>
      </w:r>
      <w:proofErr w:type="spellEnd"/>
    </w:p>
    <w:p w14:paraId="6E7AB61C" w14:textId="2E207B14" w:rsidR="007711DF" w:rsidRDefault="007711DF" w:rsidP="00370E09">
      <w:pPr>
        <w:spacing w:after="0" w:line="480" w:lineRule="auto"/>
        <w:jc w:val="both"/>
        <w:rPr>
          <w:rFonts w:ascii="Arial" w:hAnsi="Arial" w:cs="Arial"/>
          <w:bCs/>
          <w:sz w:val="24"/>
          <w:szCs w:val="24"/>
        </w:rPr>
      </w:pPr>
    </w:p>
    <w:p w14:paraId="2F1E6AE2" w14:textId="6BC4ED0A" w:rsidR="007711DF" w:rsidRDefault="007711DF" w:rsidP="00370E09">
      <w:pPr>
        <w:spacing w:after="0" w:line="480" w:lineRule="auto"/>
        <w:jc w:val="both"/>
        <w:rPr>
          <w:rFonts w:ascii="Arial" w:hAnsi="Arial" w:cs="Arial"/>
          <w:bCs/>
          <w:sz w:val="24"/>
          <w:szCs w:val="24"/>
        </w:rPr>
      </w:pPr>
      <w:r>
        <w:rPr>
          <w:rFonts w:ascii="Arial" w:hAnsi="Arial" w:cs="Arial"/>
          <w:bCs/>
          <w:sz w:val="24"/>
          <w:szCs w:val="24"/>
        </w:rPr>
        <w:t>Heard: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8 February 2023 </w:t>
      </w:r>
    </w:p>
    <w:p w14:paraId="7CC67C49" w14:textId="11752173" w:rsidR="007711DF" w:rsidRDefault="007711DF" w:rsidP="00370E09">
      <w:pPr>
        <w:spacing w:after="0" w:line="480" w:lineRule="auto"/>
        <w:jc w:val="both"/>
        <w:rPr>
          <w:rFonts w:ascii="Arial" w:hAnsi="Arial" w:cs="Arial"/>
          <w:bCs/>
          <w:sz w:val="24"/>
          <w:szCs w:val="24"/>
        </w:rPr>
      </w:pPr>
    </w:p>
    <w:p w14:paraId="5590F3BF" w14:textId="5954F46C" w:rsidR="007711DF" w:rsidRPr="007711DF" w:rsidRDefault="007711DF" w:rsidP="00370E09">
      <w:pPr>
        <w:spacing w:after="0" w:line="480" w:lineRule="auto"/>
        <w:jc w:val="both"/>
      </w:pPr>
      <w:r>
        <w:rPr>
          <w:rFonts w:ascii="Arial" w:hAnsi="Arial" w:cs="Arial"/>
          <w:bCs/>
          <w:sz w:val="24"/>
          <w:szCs w:val="24"/>
        </w:rPr>
        <w:t>Delivered:</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25 May 2023 </w:t>
      </w:r>
    </w:p>
    <w:sectPr w:rsidR="007711DF" w:rsidRPr="007711DF" w:rsidSect="00752B01">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AE46" w14:textId="77777777" w:rsidR="0041617C" w:rsidRDefault="0041617C" w:rsidP="00752B01">
      <w:pPr>
        <w:spacing w:after="0" w:line="240" w:lineRule="auto"/>
      </w:pPr>
      <w:r>
        <w:separator/>
      </w:r>
    </w:p>
  </w:endnote>
  <w:endnote w:type="continuationSeparator" w:id="0">
    <w:p w14:paraId="5C56E138" w14:textId="77777777" w:rsidR="0041617C" w:rsidRDefault="0041617C" w:rsidP="007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879C" w14:textId="77777777" w:rsidR="0041617C" w:rsidRDefault="0041617C" w:rsidP="00752B01">
      <w:pPr>
        <w:spacing w:after="0" w:line="240" w:lineRule="auto"/>
      </w:pPr>
      <w:r>
        <w:separator/>
      </w:r>
    </w:p>
  </w:footnote>
  <w:footnote w:type="continuationSeparator" w:id="0">
    <w:p w14:paraId="29D7ADA6" w14:textId="77777777" w:rsidR="0041617C" w:rsidRDefault="0041617C" w:rsidP="00752B01">
      <w:pPr>
        <w:spacing w:after="0" w:line="240" w:lineRule="auto"/>
      </w:pPr>
      <w:r>
        <w:continuationSeparator/>
      </w:r>
    </w:p>
  </w:footnote>
  <w:footnote w:id="1">
    <w:p w14:paraId="747D0439" w14:textId="77777777" w:rsidR="004255B4" w:rsidRPr="006A4E84" w:rsidRDefault="004255B4" w:rsidP="004255B4">
      <w:pPr>
        <w:pStyle w:val="FootnoteText"/>
        <w:spacing w:line="360" w:lineRule="auto"/>
        <w:jc w:val="both"/>
        <w:rPr>
          <w:rFonts w:ascii="Arial" w:hAnsi="Arial" w:cs="Arial"/>
          <w:sz w:val="22"/>
          <w:szCs w:val="22"/>
          <w:shd w:val="clear" w:color="auto" w:fill="FFFFFF"/>
          <w:lang w:val="af-ZA"/>
        </w:rPr>
      </w:pPr>
      <w:r w:rsidRPr="006A4E84">
        <w:rPr>
          <w:rStyle w:val="FootnoteReference"/>
          <w:rFonts w:ascii="Arial" w:hAnsi="Arial" w:cs="Arial"/>
          <w:sz w:val="22"/>
          <w:szCs w:val="22"/>
        </w:rPr>
        <w:footnoteRef/>
      </w:r>
      <w:r w:rsidRPr="006A4E84">
        <w:rPr>
          <w:rFonts w:ascii="Arial" w:hAnsi="Arial" w:cs="Arial"/>
          <w:sz w:val="22"/>
          <w:szCs w:val="22"/>
        </w:rPr>
        <w:t xml:space="preserve"> </w:t>
      </w:r>
      <w:r w:rsidRPr="006A4E84">
        <w:rPr>
          <w:rFonts w:ascii="Arial" w:hAnsi="Arial" w:cs="Arial"/>
          <w:i/>
          <w:iCs/>
          <w:sz w:val="22"/>
          <w:szCs w:val="22"/>
          <w:shd w:val="clear" w:color="auto" w:fill="FFFFFF"/>
          <w:lang w:val="af-ZA"/>
        </w:rPr>
        <w:t>S v Malgas</w:t>
      </w:r>
      <w:r w:rsidRPr="006A4E84">
        <w:rPr>
          <w:rFonts w:ascii="Arial" w:hAnsi="Arial" w:cs="Arial"/>
          <w:sz w:val="22"/>
          <w:szCs w:val="22"/>
          <w:shd w:val="clear" w:color="auto" w:fill="FFFFFF"/>
          <w:lang w:val="af-ZA"/>
        </w:rPr>
        <w:t xml:space="preserve"> [2001] 3 All SA 220 (A);</w:t>
      </w:r>
      <w:r w:rsidRPr="006A4E84">
        <w:rPr>
          <w:rFonts w:ascii="Arial" w:hAnsi="Arial" w:cs="Arial"/>
          <w:i/>
          <w:iCs/>
          <w:sz w:val="22"/>
          <w:szCs w:val="22"/>
          <w:shd w:val="clear" w:color="auto" w:fill="FFFFFF"/>
          <w:lang w:val="af-ZA"/>
        </w:rPr>
        <w:t>S v Vilikazi</w:t>
      </w:r>
      <w:r w:rsidRPr="006A4E84">
        <w:rPr>
          <w:rFonts w:ascii="Arial" w:hAnsi="Arial" w:cs="Arial"/>
          <w:sz w:val="22"/>
          <w:szCs w:val="22"/>
          <w:shd w:val="clear" w:color="auto" w:fill="FFFFFF"/>
          <w:lang w:val="af-ZA"/>
        </w:rPr>
        <w:t xml:space="preserve"> 2009 (1) SACR 552 (SCA) at paras [14] and [15]</w:t>
      </w:r>
      <w:r w:rsidR="00C97FA0" w:rsidRPr="006A4E84">
        <w:rPr>
          <w:rFonts w:ascii="Arial" w:hAnsi="Arial" w:cs="Arial"/>
          <w:sz w:val="22"/>
          <w:szCs w:val="22"/>
          <w:shd w:val="clear" w:color="auto" w:fill="FFFFFF"/>
          <w:lang w:val="af-ZA"/>
        </w:rPr>
        <w:t xml:space="preserve">; and </w:t>
      </w:r>
      <w:r w:rsidR="007A1A8C" w:rsidRPr="006A4E84">
        <w:rPr>
          <w:rFonts w:ascii="Arial" w:hAnsi="Arial" w:cs="Arial"/>
          <w:i/>
          <w:iCs/>
          <w:sz w:val="22"/>
          <w:szCs w:val="22"/>
          <w:shd w:val="clear" w:color="auto" w:fill="FFFFFF"/>
          <w:lang w:val="af-ZA"/>
        </w:rPr>
        <w:t xml:space="preserve">Madikane v S </w:t>
      </w:r>
      <w:r w:rsidR="007A1A8C" w:rsidRPr="006A4E84">
        <w:rPr>
          <w:rFonts w:ascii="Arial" w:hAnsi="Arial" w:cs="Arial"/>
          <w:sz w:val="22"/>
          <w:szCs w:val="22"/>
          <w:shd w:val="clear" w:color="auto" w:fill="FFFFFF"/>
          <w:lang w:val="af-ZA"/>
        </w:rPr>
        <w:t>2011 (2) SACR 11 (ECG).</w:t>
      </w:r>
    </w:p>
  </w:footnote>
  <w:footnote w:id="2">
    <w:p w14:paraId="7B17F251" w14:textId="77777777" w:rsidR="007A1A8C" w:rsidRPr="006A4E84" w:rsidRDefault="007A1A8C" w:rsidP="007A1A8C">
      <w:pPr>
        <w:pStyle w:val="FootnoteText"/>
        <w:rPr>
          <w:rFonts w:ascii="Arial" w:hAnsi="Arial" w:cs="Arial"/>
          <w:sz w:val="22"/>
          <w:szCs w:val="22"/>
        </w:rPr>
      </w:pPr>
      <w:r w:rsidRPr="006A4E84">
        <w:rPr>
          <w:rStyle w:val="FootnoteReference"/>
          <w:rFonts w:ascii="Arial" w:hAnsi="Arial" w:cs="Arial"/>
          <w:sz w:val="22"/>
          <w:szCs w:val="22"/>
        </w:rPr>
        <w:footnoteRef/>
      </w:r>
      <w:r w:rsidRPr="006A4E84">
        <w:rPr>
          <w:rFonts w:ascii="Arial" w:hAnsi="Arial" w:cs="Arial"/>
          <w:sz w:val="22"/>
          <w:szCs w:val="22"/>
        </w:rPr>
        <w:t xml:space="preserve"> 2001 (3) SA 382 (CC)</w:t>
      </w:r>
    </w:p>
  </w:footnote>
  <w:footnote w:id="3">
    <w:p w14:paraId="60B8181E" w14:textId="77777777" w:rsidR="00E13F6A" w:rsidRPr="00ED1674" w:rsidRDefault="00E13F6A" w:rsidP="00ED1674">
      <w:pPr>
        <w:pStyle w:val="FootnoteText"/>
        <w:spacing w:line="360" w:lineRule="auto"/>
        <w:rPr>
          <w:rFonts w:ascii="Arial" w:hAnsi="Arial" w:cs="Arial"/>
          <w:sz w:val="22"/>
          <w:szCs w:val="22"/>
        </w:rPr>
      </w:pPr>
      <w:r w:rsidRPr="00ED1674">
        <w:rPr>
          <w:rStyle w:val="FootnoteReference"/>
          <w:rFonts w:ascii="Arial" w:hAnsi="Arial" w:cs="Arial"/>
          <w:sz w:val="22"/>
          <w:szCs w:val="22"/>
        </w:rPr>
        <w:footnoteRef/>
      </w:r>
      <w:r w:rsidRPr="00ED1674">
        <w:rPr>
          <w:rFonts w:ascii="Arial" w:hAnsi="Arial" w:cs="Arial"/>
          <w:sz w:val="22"/>
          <w:szCs w:val="22"/>
        </w:rPr>
        <w:t xml:space="preserve"> 2013 (2) SACR 533 (SCA) a</w:t>
      </w:r>
      <w:r w:rsidR="00ED1674">
        <w:rPr>
          <w:rFonts w:ascii="Arial" w:hAnsi="Arial" w:cs="Arial"/>
          <w:sz w:val="22"/>
          <w:szCs w:val="22"/>
        </w:rPr>
        <w:t>t</w:t>
      </w:r>
      <w:r w:rsidRPr="00ED1674">
        <w:rPr>
          <w:rFonts w:ascii="Arial" w:hAnsi="Arial" w:cs="Arial"/>
          <w:sz w:val="22"/>
          <w:szCs w:val="22"/>
        </w:rPr>
        <w:t xml:space="preserve"> para 20.</w:t>
      </w:r>
    </w:p>
  </w:footnote>
  <w:footnote w:id="4">
    <w:p w14:paraId="11821922" w14:textId="77777777" w:rsidR="00A80CB1" w:rsidRPr="00A73A7F" w:rsidRDefault="00A80CB1" w:rsidP="00ED1674">
      <w:pPr>
        <w:pStyle w:val="FootnoteText"/>
        <w:spacing w:line="360" w:lineRule="auto"/>
        <w:rPr>
          <w:rFonts w:ascii="Arial" w:hAnsi="Arial" w:cs="Arial"/>
          <w:sz w:val="22"/>
          <w:szCs w:val="22"/>
        </w:rPr>
      </w:pPr>
      <w:r w:rsidRPr="00A73A7F">
        <w:rPr>
          <w:rStyle w:val="FootnoteReference"/>
          <w:rFonts w:ascii="Arial" w:hAnsi="Arial" w:cs="Arial"/>
          <w:sz w:val="22"/>
          <w:szCs w:val="22"/>
        </w:rPr>
        <w:footnoteRef/>
      </w:r>
      <w:r w:rsidRPr="00A73A7F">
        <w:rPr>
          <w:rFonts w:ascii="Arial" w:hAnsi="Arial" w:cs="Arial"/>
          <w:sz w:val="22"/>
          <w:szCs w:val="22"/>
        </w:rPr>
        <w:t xml:space="preserve"> 2013 (2) SACR 505 (WCC).</w:t>
      </w:r>
    </w:p>
    <w:p w14:paraId="470AE5D9" w14:textId="77777777" w:rsidR="00424C9C" w:rsidRPr="00A73A7F" w:rsidRDefault="00424C9C" w:rsidP="00A73A7F">
      <w:pPr>
        <w:pStyle w:val="FootnoteText"/>
        <w:spacing w:line="360" w:lineRule="auto"/>
        <w:rPr>
          <w:rFonts w:ascii="Arial" w:hAnsi="Arial" w:cs="Arial"/>
          <w:sz w:val="22"/>
          <w:szCs w:val="22"/>
        </w:rPr>
      </w:pPr>
      <w:r w:rsidRPr="00A73A7F">
        <w:rPr>
          <w:rFonts w:ascii="Arial" w:hAnsi="Arial" w:cs="Arial"/>
          <w:sz w:val="22"/>
          <w:szCs w:val="22"/>
        </w:rPr>
        <w:t xml:space="preserve">See also: </w:t>
      </w:r>
      <w:r w:rsidRPr="00A73A7F">
        <w:rPr>
          <w:rFonts w:ascii="Arial" w:hAnsi="Arial" w:cs="Arial"/>
          <w:i/>
          <w:iCs/>
          <w:sz w:val="22"/>
          <w:szCs w:val="22"/>
        </w:rPr>
        <w:t>Tafeni v S</w:t>
      </w:r>
      <w:r w:rsidRPr="00A73A7F">
        <w:rPr>
          <w:rFonts w:ascii="Arial" w:hAnsi="Arial" w:cs="Arial"/>
          <w:sz w:val="22"/>
          <w:szCs w:val="22"/>
        </w:rPr>
        <w:t xml:space="preserve"> 2016 (2) SACR 720 (WCC)</w:t>
      </w:r>
      <w:r w:rsidR="00C036EC" w:rsidRPr="00A73A7F">
        <w:rPr>
          <w:rFonts w:ascii="Arial" w:hAnsi="Arial" w:cs="Arial"/>
          <w:sz w:val="22"/>
          <w:szCs w:val="22"/>
        </w:rPr>
        <w:t>.</w:t>
      </w:r>
      <w:r w:rsidRPr="00A73A7F">
        <w:rPr>
          <w:rFonts w:ascii="Arial" w:hAnsi="Arial" w:cs="Arial"/>
          <w:sz w:val="22"/>
          <w:szCs w:val="22"/>
        </w:rPr>
        <w:t xml:space="preserve"> </w:t>
      </w:r>
    </w:p>
    <w:p w14:paraId="08208E07" w14:textId="77777777" w:rsidR="00424C9C" w:rsidRPr="00A73A7F" w:rsidRDefault="00424C9C">
      <w:pPr>
        <w:pStyle w:val="FootnoteText"/>
        <w:rPr>
          <w:rFonts w:ascii="Arial" w:hAnsi="Arial" w:cs="Arial"/>
          <w:sz w:val="22"/>
          <w:szCs w:val="22"/>
        </w:rPr>
      </w:pPr>
    </w:p>
  </w:footnote>
  <w:footnote w:id="5">
    <w:p w14:paraId="63F54E00" w14:textId="77777777" w:rsidR="000D6573" w:rsidRPr="000D6573" w:rsidRDefault="000D6573" w:rsidP="000D6573">
      <w:pPr>
        <w:pStyle w:val="FootnoteText"/>
        <w:spacing w:line="360" w:lineRule="auto"/>
        <w:jc w:val="both"/>
        <w:rPr>
          <w:rFonts w:ascii="Arial" w:hAnsi="Arial" w:cs="Arial"/>
          <w:sz w:val="22"/>
          <w:szCs w:val="22"/>
        </w:rPr>
      </w:pPr>
      <w:r w:rsidRPr="000D6573">
        <w:rPr>
          <w:rStyle w:val="FootnoteReference"/>
          <w:rFonts w:ascii="Arial" w:hAnsi="Arial" w:cs="Arial"/>
          <w:sz w:val="22"/>
          <w:szCs w:val="22"/>
        </w:rPr>
        <w:footnoteRef/>
      </w:r>
      <w:r w:rsidRPr="000D6573">
        <w:rPr>
          <w:rFonts w:ascii="Arial" w:hAnsi="Arial" w:cs="Arial"/>
          <w:sz w:val="22"/>
          <w:szCs w:val="22"/>
        </w:rPr>
        <w:t xml:space="preserve"> </w:t>
      </w:r>
      <w:r w:rsidRPr="000D6573">
        <w:rPr>
          <w:rFonts w:ascii="Arial" w:hAnsi="Arial" w:cs="Arial"/>
          <w:i/>
          <w:iCs/>
          <w:sz w:val="22"/>
          <w:szCs w:val="22"/>
        </w:rPr>
        <w:t>Bistoni v State</w:t>
      </w:r>
      <w:r w:rsidRPr="000D6573">
        <w:rPr>
          <w:rFonts w:ascii="Arial" w:hAnsi="Arial" w:cs="Arial"/>
          <w:sz w:val="22"/>
          <w:szCs w:val="22"/>
        </w:rPr>
        <w:t xml:space="preserve"> (CA&amp;R 37/2022), unreported judgment of the Eastern Cape Di</w:t>
      </w:r>
      <w:r w:rsidR="00670F9C">
        <w:rPr>
          <w:rFonts w:ascii="Arial" w:hAnsi="Arial" w:cs="Arial"/>
          <w:sz w:val="22"/>
          <w:szCs w:val="22"/>
        </w:rPr>
        <w:t>vi</w:t>
      </w:r>
      <w:r w:rsidRPr="000D6573">
        <w:rPr>
          <w:rFonts w:ascii="Arial" w:hAnsi="Arial" w:cs="Arial"/>
          <w:sz w:val="22"/>
          <w:szCs w:val="22"/>
        </w:rPr>
        <w:t>sion, Makhanda.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55471335" w14:textId="25C721BB" w:rsidR="00752B01" w:rsidRDefault="00752B0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391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3917">
          <w:rPr>
            <w:b/>
            <w:bCs/>
            <w:noProof/>
          </w:rPr>
          <w:t>9</w:t>
        </w:r>
        <w:r>
          <w:rPr>
            <w:b/>
            <w:bCs/>
            <w:sz w:val="24"/>
            <w:szCs w:val="24"/>
          </w:rPr>
          <w:fldChar w:fldCharType="end"/>
        </w:r>
      </w:p>
    </w:sdtContent>
  </w:sdt>
  <w:p w14:paraId="22B8B9D0" w14:textId="77777777" w:rsidR="00752B01" w:rsidRDefault="0075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92B"/>
    <w:multiLevelType w:val="multilevel"/>
    <w:tmpl w:val="6F6E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0DB7"/>
    <w:multiLevelType w:val="hybridMultilevel"/>
    <w:tmpl w:val="6472D666"/>
    <w:lvl w:ilvl="0" w:tplc="89A60942">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52D2FFE"/>
    <w:multiLevelType w:val="singleLevel"/>
    <w:tmpl w:val="6736E2E0"/>
    <w:lvl w:ilvl="0">
      <w:start w:val="1"/>
      <w:numFmt w:val="decimal"/>
      <w:lvlText w:val="[%1]"/>
      <w:lvlJc w:val="left"/>
      <w:pPr>
        <w:ind w:left="360" w:hanging="360"/>
      </w:pPr>
      <w:rPr>
        <w:rFonts w:hint="default"/>
        <w:sz w:val="24"/>
      </w:rPr>
    </w:lvl>
  </w:abstractNum>
  <w:abstractNum w:abstractNumId="3" w15:restartNumberingAfterBreak="0">
    <w:nsid w:val="451C1706"/>
    <w:multiLevelType w:val="hybridMultilevel"/>
    <w:tmpl w:val="ADCAA5B0"/>
    <w:lvl w:ilvl="0" w:tplc="C7DA9D5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5E192687"/>
    <w:multiLevelType w:val="hybridMultilevel"/>
    <w:tmpl w:val="4516B48C"/>
    <w:lvl w:ilvl="0" w:tplc="F984F32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894387315">
    <w:abstractNumId w:val="2"/>
  </w:num>
  <w:num w:numId="2" w16cid:durableId="1463812160">
    <w:abstractNumId w:val="3"/>
  </w:num>
  <w:num w:numId="3" w16cid:durableId="1012074245">
    <w:abstractNumId w:val="0"/>
  </w:num>
  <w:num w:numId="4" w16cid:durableId="52703977">
    <w:abstractNumId w:val="4"/>
  </w:num>
  <w:num w:numId="5" w16cid:durableId="1395662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01"/>
    <w:rsid w:val="00007814"/>
    <w:rsid w:val="000160F5"/>
    <w:rsid w:val="000D6573"/>
    <w:rsid w:val="00175379"/>
    <w:rsid w:val="00195A0C"/>
    <w:rsid w:val="001A3D28"/>
    <w:rsid w:val="001E1C44"/>
    <w:rsid w:val="001F302D"/>
    <w:rsid w:val="00213199"/>
    <w:rsid w:val="00216C8F"/>
    <w:rsid w:val="00227C77"/>
    <w:rsid w:val="0027187D"/>
    <w:rsid w:val="0028463D"/>
    <w:rsid w:val="002A10FE"/>
    <w:rsid w:val="002B30F5"/>
    <w:rsid w:val="002F1393"/>
    <w:rsid w:val="00301681"/>
    <w:rsid w:val="00370E09"/>
    <w:rsid w:val="00375FF8"/>
    <w:rsid w:val="00390E59"/>
    <w:rsid w:val="003F55DF"/>
    <w:rsid w:val="0041617C"/>
    <w:rsid w:val="00424C9C"/>
    <w:rsid w:val="004255B4"/>
    <w:rsid w:val="004717DF"/>
    <w:rsid w:val="004878C0"/>
    <w:rsid w:val="004E2E32"/>
    <w:rsid w:val="00503578"/>
    <w:rsid w:val="00514858"/>
    <w:rsid w:val="00541111"/>
    <w:rsid w:val="00545818"/>
    <w:rsid w:val="00547006"/>
    <w:rsid w:val="00555000"/>
    <w:rsid w:val="005610FE"/>
    <w:rsid w:val="00670F9C"/>
    <w:rsid w:val="006A4E84"/>
    <w:rsid w:val="006F46A8"/>
    <w:rsid w:val="007126C5"/>
    <w:rsid w:val="00752B01"/>
    <w:rsid w:val="007711DF"/>
    <w:rsid w:val="00774E23"/>
    <w:rsid w:val="007A1A8C"/>
    <w:rsid w:val="0084179D"/>
    <w:rsid w:val="008509E7"/>
    <w:rsid w:val="008C31BD"/>
    <w:rsid w:val="008F160B"/>
    <w:rsid w:val="00933917"/>
    <w:rsid w:val="0093673A"/>
    <w:rsid w:val="00944ECA"/>
    <w:rsid w:val="009A76E8"/>
    <w:rsid w:val="009D7D6D"/>
    <w:rsid w:val="009E7594"/>
    <w:rsid w:val="00A73A7F"/>
    <w:rsid w:val="00A80CB1"/>
    <w:rsid w:val="00A91676"/>
    <w:rsid w:val="00A94D76"/>
    <w:rsid w:val="00AE6599"/>
    <w:rsid w:val="00AF60FA"/>
    <w:rsid w:val="00B4542F"/>
    <w:rsid w:val="00BB1D22"/>
    <w:rsid w:val="00BF1141"/>
    <w:rsid w:val="00C036EC"/>
    <w:rsid w:val="00C053A1"/>
    <w:rsid w:val="00C41057"/>
    <w:rsid w:val="00C97FA0"/>
    <w:rsid w:val="00CB1095"/>
    <w:rsid w:val="00CC1150"/>
    <w:rsid w:val="00CD0D49"/>
    <w:rsid w:val="00CE1508"/>
    <w:rsid w:val="00CF6A18"/>
    <w:rsid w:val="00D05455"/>
    <w:rsid w:val="00D06530"/>
    <w:rsid w:val="00D167FA"/>
    <w:rsid w:val="00D23AFF"/>
    <w:rsid w:val="00D7282D"/>
    <w:rsid w:val="00DA5337"/>
    <w:rsid w:val="00DB1646"/>
    <w:rsid w:val="00DE5A8D"/>
    <w:rsid w:val="00E13F6A"/>
    <w:rsid w:val="00E2310D"/>
    <w:rsid w:val="00ED1674"/>
    <w:rsid w:val="00EE590C"/>
    <w:rsid w:val="00F36521"/>
    <w:rsid w:val="00F67E7E"/>
    <w:rsid w:val="00F70954"/>
    <w:rsid w:val="00FA73C6"/>
    <w:rsid w:val="00FD6666"/>
    <w:rsid w:val="00FE5215"/>
    <w:rsid w:val="00FF0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4C01"/>
  <w15:chartTrackingRefBased/>
  <w15:docId w15:val="{F78F0E9F-0BF9-493D-AEDD-35CBE8CD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01"/>
  </w:style>
  <w:style w:type="paragraph" w:styleId="Heading1">
    <w:name w:val="heading 1"/>
    <w:basedOn w:val="Normal"/>
    <w:link w:val="Heading1Char"/>
    <w:uiPriority w:val="9"/>
    <w:qFormat/>
    <w:rsid w:val="001A3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1A3D2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13">
    <w:name w:val="GW1.3"/>
    <w:basedOn w:val="Normal"/>
    <w:rsid w:val="00752B01"/>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Header">
    <w:name w:val="header"/>
    <w:basedOn w:val="Normal"/>
    <w:link w:val="HeaderChar"/>
    <w:uiPriority w:val="99"/>
    <w:unhideWhenUsed/>
    <w:rsid w:val="0075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01"/>
  </w:style>
  <w:style w:type="paragraph" w:styleId="Footer">
    <w:name w:val="footer"/>
    <w:basedOn w:val="Normal"/>
    <w:link w:val="FooterChar"/>
    <w:uiPriority w:val="99"/>
    <w:unhideWhenUsed/>
    <w:rsid w:val="0075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01"/>
  </w:style>
  <w:style w:type="paragraph" w:styleId="ListParagraph">
    <w:name w:val="List Paragraph"/>
    <w:basedOn w:val="Normal"/>
    <w:link w:val="ListParagraphChar"/>
    <w:uiPriority w:val="34"/>
    <w:qFormat/>
    <w:rsid w:val="00752B01"/>
    <w:pPr>
      <w:ind w:left="720"/>
      <w:contextualSpacing/>
    </w:pPr>
  </w:style>
  <w:style w:type="character" w:customStyle="1" w:styleId="ListParagraphChar">
    <w:name w:val="List Paragraph Char"/>
    <w:link w:val="ListParagraph"/>
    <w:uiPriority w:val="34"/>
    <w:rsid w:val="00752B01"/>
  </w:style>
  <w:style w:type="character" w:styleId="Hyperlink">
    <w:name w:val="Hyperlink"/>
    <w:basedOn w:val="DefaultParagraphFont"/>
    <w:uiPriority w:val="99"/>
    <w:unhideWhenUsed/>
    <w:rsid w:val="00752B01"/>
    <w:rPr>
      <w:color w:val="0563C1" w:themeColor="hyperlink"/>
      <w:u w:val="single"/>
    </w:rPr>
  </w:style>
  <w:style w:type="paragraph" w:styleId="NormalWeb">
    <w:name w:val="Normal (Web)"/>
    <w:basedOn w:val="Normal"/>
    <w:uiPriority w:val="99"/>
    <w:unhideWhenUsed/>
    <w:rsid w:val="00752B0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1A3D2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1A3D28"/>
    <w:rPr>
      <w:rFonts w:ascii="Times New Roman" w:eastAsia="Times New Roman" w:hAnsi="Times New Roman" w:cs="Times New Roman"/>
      <w:b/>
      <w:bCs/>
      <w:sz w:val="36"/>
      <w:szCs w:val="36"/>
      <w:lang w:eastAsia="en-ZA"/>
    </w:rPr>
  </w:style>
  <w:style w:type="paragraph" w:customStyle="1" w:styleId="menu-201">
    <w:name w:val="menu-201"/>
    <w:basedOn w:val="Normal"/>
    <w:rsid w:val="001A3D2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enu-202">
    <w:name w:val="menu-202"/>
    <w:basedOn w:val="Normal"/>
    <w:rsid w:val="001A3D2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enu-307">
    <w:name w:val="menu-307"/>
    <w:basedOn w:val="Normal"/>
    <w:rsid w:val="001A3D2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enu-213">
    <w:name w:val="menu-213"/>
    <w:basedOn w:val="Normal"/>
    <w:rsid w:val="001A3D2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enu-214">
    <w:name w:val="menu-214"/>
    <w:basedOn w:val="Normal"/>
    <w:rsid w:val="001A3D2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1A3D2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375FF8"/>
    <w:pPr>
      <w:spacing w:after="0" w:line="240" w:lineRule="auto"/>
    </w:pPr>
    <w:rPr>
      <w:sz w:val="20"/>
      <w:szCs w:val="20"/>
    </w:rPr>
  </w:style>
  <w:style w:type="character" w:customStyle="1" w:styleId="FootnoteTextChar">
    <w:name w:val="Footnote Text Char"/>
    <w:basedOn w:val="DefaultParagraphFont"/>
    <w:link w:val="FootnoteText"/>
    <w:uiPriority w:val="99"/>
    <w:rsid w:val="00375FF8"/>
    <w:rPr>
      <w:sz w:val="20"/>
      <w:szCs w:val="20"/>
    </w:rPr>
  </w:style>
  <w:style w:type="character" w:styleId="FootnoteReference">
    <w:name w:val="footnote reference"/>
    <w:basedOn w:val="DefaultParagraphFont"/>
    <w:uiPriority w:val="99"/>
    <w:semiHidden/>
    <w:unhideWhenUsed/>
    <w:rsid w:val="00375FF8"/>
    <w:rPr>
      <w:vertAlign w:val="superscript"/>
    </w:rPr>
  </w:style>
  <w:style w:type="paragraph" w:styleId="BalloonText">
    <w:name w:val="Balloon Text"/>
    <w:basedOn w:val="Normal"/>
    <w:link w:val="BalloonTextChar"/>
    <w:uiPriority w:val="99"/>
    <w:semiHidden/>
    <w:unhideWhenUsed/>
    <w:rsid w:val="0077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5253">
      <w:bodyDiv w:val="1"/>
      <w:marLeft w:val="0"/>
      <w:marRight w:val="0"/>
      <w:marTop w:val="0"/>
      <w:marBottom w:val="0"/>
      <w:divBdr>
        <w:top w:val="none" w:sz="0" w:space="0" w:color="auto"/>
        <w:left w:val="none" w:sz="0" w:space="0" w:color="auto"/>
        <w:bottom w:val="none" w:sz="0" w:space="0" w:color="auto"/>
        <w:right w:val="none" w:sz="0" w:space="0" w:color="auto"/>
      </w:divBdr>
    </w:div>
    <w:div w:id="1664119899">
      <w:bodyDiv w:val="1"/>
      <w:marLeft w:val="0"/>
      <w:marRight w:val="0"/>
      <w:marTop w:val="0"/>
      <w:marBottom w:val="0"/>
      <w:divBdr>
        <w:top w:val="none" w:sz="0" w:space="0" w:color="auto"/>
        <w:left w:val="none" w:sz="0" w:space="0" w:color="auto"/>
        <w:bottom w:val="none" w:sz="0" w:space="0" w:color="auto"/>
        <w:right w:val="none" w:sz="0" w:space="0" w:color="auto"/>
      </w:divBdr>
    </w:div>
    <w:div w:id="1953631377">
      <w:bodyDiv w:val="1"/>
      <w:marLeft w:val="0"/>
      <w:marRight w:val="0"/>
      <w:marTop w:val="0"/>
      <w:marBottom w:val="0"/>
      <w:divBdr>
        <w:top w:val="none" w:sz="0" w:space="0" w:color="auto"/>
        <w:left w:val="none" w:sz="0" w:space="0" w:color="auto"/>
        <w:bottom w:val="none" w:sz="0" w:space="0" w:color="auto"/>
        <w:right w:val="none" w:sz="0" w:space="0" w:color="auto"/>
      </w:divBdr>
      <w:divsChild>
        <w:div w:id="1218669390">
          <w:marLeft w:val="0"/>
          <w:marRight w:val="0"/>
          <w:marTop w:val="0"/>
          <w:marBottom w:val="225"/>
          <w:divBdr>
            <w:top w:val="single" w:sz="24" w:space="0" w:color="auto"/>
            <w:left w:val="single" w:sz="24" w:space="0" w:color="auto"/>
            <w:bottom w:val="single" w:sz="36" w:space="0" w:color="003300"/>
            <w:right w:val="single" w:sz="24" w:space="0" w:color="auto"/>
          </w:divBdr>
          <w:divsChild>
            <w:div w:id="17240706">
              <w:marLeft w:val="0"/>
              <w:marRight w:val="0"/>
              <w:marTop w:val="0"/>
              <w:marBottom w:val="0"/>
              <w:divBdr>
                <w:top w:val="none" w:sz="0" w:space="0" w:color="auto"/>
                <w:left w:val="none" w:sz="0" w:space="0" w:color="auto"/>
                <w:bottom w:val="none" w:sz="0" w:space="0" w:color="auto"/>
                <w:right w:val="none" w:sz="0" w:space="0" w:color="auto"/>
              </w:divBdr>
            </w:div>
          </w:divsChild>
        </w:div>
        <w:div w:id="2036271081">
          <w:marLeft w:val="0"/>
          <w:marRight w:val="0"/>
          <w:marTop w:val="0"/>
          <w:marBottom w:val="0"/>
          <w:divBdr>
            <w:top w:val="none" w:sz="0" w:space="0" w:color="auto"/>
            <w:left w:val="none" w:sz="0" w:space="0" w:color="auto"/>
            <w:bottom w:val="none" w:sz="0" w:space="0" w:color="auto"/>
            <w:right w:val="none" w:sz="0" w:space="0" w:color="auto"/>
          </w:divBdr>
          <w:divsChild>
            <w:div w:id="289480602">
              <w:marLeft w:val="0"/>
              <w:marRight w:val="0"/>
              <w:marTop w:val="0"/>
              <w:marBottom w:val="0"/>
              <w:divBdr>
                <w:top w:val="none" w:sz="0" w:space="0" w:color="auto"/>
                <w:left w:val="none" w:sz="0" w:space="0" w:color="auto"/>
                <w:bottom w:val="none" w:sz="0" w:space="0" w:color="auto"/>
                <w:right w:val="none" w:sz="0" w:space="0" w:color="auto"/>
              </w:divBdr>
              <w:divsChild>
                <w:div w:id="1371421801">
                  <w:marLeft w:val="0"/>
                  <w:marRight w:val="0"/>
                  <w:marTop w:val="0"/>
                  <w:marBottom w:val="0"/>
                  <w:divBdr>
                    <w:top w:val="none" w:sz="0" w:space="0" w:color="auto"/>
                    <w:left w:val="none" w:sz="0" w:space="0" w:color="auto"/>
                    <w:bottom w:val="none" w:sz="0" w:space="0" w:color="auto"/>
                    <w:right w:val="none" w:sz="0" w:space="0" w:color="auto"/>
                  </w:divBdr>
                  <w:divsChild>
                    <w:div w:id="15628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cpa1977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cpa1977188/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claa1997205/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num_act/claa1997205/" TargetMode="External"/><Relationship Id="rId4" Type="http://schemas.openxmlformats.org/officeDocument/2006/relationships/settings" Target="settings.xml"/><Relationship Id="rId9" Type="http://schemas.openxmlformats.org/officeDocument/2006/relationships/hyperlink" Target="http://www.saflii.org/za/legis/num_act/claa1997205/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85FF-2160-4458-8032-7101C790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10125</Characters>
  <Application>Microsoft Office Word</Application>
  <DocSecurity>0</DocSecurity>
  <Lines>562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Mariana Anguelov</cp:lastModifiedBy>
  <cp:revision>3</cp:revision>
  <cp:lastPrinted>2023-05-25T13:13:00Z</cp:lastPrinted>
  <dcterms:created xsi:type="dcterms:W3CDTF">2023-05-26T06:55:00Z</dcterms:created>
  <dcterms:modified xsi:type="dcterms:W3CDTF">2023-05-28T11:23:00Z</dcterms:modified>
</cp:coreProperties>
</file>