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C973" w14:textId="77777777" w:rsidR="00A22C45" w:rsidRDefault="00A22C45" w:rsidP="00611EA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6EE106" w14:textId="77777777" w:rsidR="00A22C45" w:rsidRPr="003304AD" w:rsidRDefault="00A22C45" w:rsidP="00A22C45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04AD">
        <w:rPr>
          <w:rFonts w:ascii="Arial" w:eastAsia="Times New Roman" w:hAnsi="Arial" w:cs="Arial"/>
          <w:noProof/>
          <w:sz w:val="24"/>
          <w:szCs w:val="24"/>
          <w:lang w:eastAsia="en-ZA"/>
        </w:rPr>
        <w:drawing>
          <wp:inline distT="0" distB="0" distL="0" distR="0" wp14:anchorId="60FB5508" wp14:editId="24FA0FEA">
            <wp:extent cx="987425" cy="9874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B723B" w14:textId="77777777" w:rsidR="00A22C45" w:rsidRPr="003304AD" w:rsidRDefault="00A22C45" w:rsidP="00A22C4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AD">
        <w:rPr>
          <w:rFonts w:ascii="Arial" w:eastAsia="Times New Roman" w:hAnsi="Arial" w:cs="Arial"/>
          <w:b/>
          <w:sz w:val="24"/>
          <w:szCs w:val="24"/>
        </w:rPr>
        <w:t>IN THE HIGH COURT OF SOUTH AFRICA</w:t>
      </w:r>
    </w:p>
    <w:p w14:paraId="5C1A0D1C" w14:textId="63766197" w:rsidR="00A22C45" w:rsidRPr="003304AD" w:rsidRDefault="00A22C45" w:rsidP="00A22C45">
      <w:pPr>
        <w:widowControl w:val="0"/>
        <w:tabs>
          <w:tab w:val="right" w:pos="9213"/>
        </w:tabs>
        <w:spacing w:line="72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3304AD">
        <w:rPr>
          <w:rFonts w:ascii="Arial" w:hAnsi="Arial" w:cs="Arial"/>
          <w:b/>
          <w:sz w:val="24"/>
          <w:szCs w:val="24"/>
        </w:rPr>
        <w:t xml:space="preserve">EASTERN CAPE DIVISION, </w:t>
      </w:r>
      <w:r>
        <w:rPr>
          <w:rFonts w:ascii="Arial" w:hAnsi="Arial" w:cs="Arial"/>
          <w:b/>
          <w:sz w:val="24"/>
          <w:szCs w:val="24"/>
        </w:rPr>
        <w:t>MAKHANDA)</w:t>
      </w:r>
    </w:p>
    <w:p w14:paraId="6E75D68B" w14:textId="77777777" w:rsidR="00A22C45" w:rsidRDefault="00A22C45" w:rsidP="00A22C45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sz w:val="24"/>
          <w:szCs w:val="24"/>
        </w:rPr>
      </w:pPr>
      <w:r w:rsidRPr="003304AD">
        <w:rPr>
          <w:rFonts w:ascii="Arial" w:hAnsi="Arial" w:cs="Arial"/>
          <w:sz w:val="24"/>
          <w:szCs w:val="24"/>
        </w:rPr>
        <w:tab/>
        <w:t xml:space="preserve">CASE NO. </w:t>
      </w:r>
      <w:r>
        <w:rPr>
          <w:rFonts w:ascii="Arial" w:hAnsi="Arial" w:cs="Arial"/>
          <w:sz w:val="24"/>
          <w:szCs w:val="24"/>
        </w:rPr>
        <w:t>1206/2022</w:t>
      </w:r>
    </w:p>
    <w:p w14:paraId="39B47780" w14:textId="77777777" w:rsidR="00A22C45" w:rsidRDefault="00A22C45" w:rsidP="00A22C45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 1511/2022</w:t>
      </w:r>
    </w:p>
    <w:p w14:paraId="5B593DA5" w14:textId="77777777" w:rsidR="00A22C45" w:rsidRDefault="00A22C45" w:rsidP="00A22C45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9EBC1C" w14:textId="77777777" w:rsidR="00A22C45" w:rsidRDefault="00A22C45" w:rsidP="00A22C45">
      <w:pPr>
        <w:widowControl w:val="0"/>
        <w:tabs>
          <w:tab w:val="right" w:pos="92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14:paraId="29A3377E" w14:textId="77777777" w:rsidR="00A22C45" w:rsidRDefault="00A22C45" w:rsidP="00A22C45">
      <w:pPr>
        <w:widowControl w:val="0"/>
        <w:tabs>
          <w:tab w:val="right" w:pos="9213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VELOCITY FINANCE (RF) LIMITED</w:t>
      </w:r>
      <w:r w:rsidRPr="003304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Plaintiff</w:t>
      </w:r>
    </w:p>
    <w:p w14:paraId="7594B4E3" w14:textId="77777777" w:rsidR="00A22C45" w:rsidRDefault="00A22C45" w:rsidP="00A22C45">
      <w:pPr>
        <w:widowControl w:val="0"/>
        <w:tabs>
          <w:tab w:val="right" w:pos="921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64EC59AE" w14:textId="77777777" w:rsidR="00A22C45" w:rsidRDefault="00A22C45" w:rsidP="00A22C45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DESERT FOX INVESTMENTS (PTY) LTD </w:t>
      </w:r>
    </w:p>
    <w:p w14:paraId="5A3953BB" w14:textId="77777777" w:rsidR="00A22C45" w:rsidRPr="00E80AB7" w:rsidRDefault="00A22C45" w:rsidP="00A22C45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t/a DESERT FOX INVESTMENTS</w:t>
      </w:r>
      <w:r w:rsidRPr="003304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Defendant</w:t>
      </w:r>
    </w:p>
    <w:p w14:paraId="644E1FDF" w14:textId="09454A01" w:rsidR="00A22C45" w:rsidRPr="00E80AB7" w:rsidRDefault="00A22C45" w:rsidP="00A22C4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E80AB7">
        <w:rPr>
          <w:rFonts w:ascii="Arial" w:hAnsi="Arial" w:cs="Arial"/>
          <w:sz w:val="24"/>
          <w:szCs w:val="24"/>
          <w:lang w:val="en-GB"/>
        </w:rPr>
        <w:t>___________________________________________________</w:t>
      </w:r>
      <w:r>
        <w:rPr>
          <w:rFonts w:ascii="Arial" w:hAnsi="Arial" w:cs="Arial"/>
          <w:sz w:val="24"/>
          <w:szCs w:val="24"/>
          <w:lang w:val="en-GB"/>
        </w:rPr>
        <w:t>________________</w:t>
      </w:r>
      <w:r w:rsidR="005E1701">
        <w:rPr>
          <w:rFonts w:ascii="Arial" w:hAnsi="Arial" w:cs="Arial"/>
          <w:sz w:val="24"/>
          <w:szCs w:val="24"/>
          <w:lang w:val="en-GB"/>
        </w:rPr>
        <w:t>___</w:t>
      </w:r>
    </w:p>
    <w:p w14:paraId="2429A048" w14:textId="77777777" w:rsidR="00A22C45" w:rsidRPr="00E80AB7" w:rsidRDefault="00A22C45" w:rsidP="00A22C4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80AB7">
        <w:rPr>
          <w:rFonts w:ascii="Arial" w:hAnsi="Arial" w:cs="Arial"/>
          <w:b/>
          <w:sz w:val="24"/>
          <w:szCs w:val="24"/>
          <w:lang w:val="en-GB"/>
        </w:rPr>
        <w:t>JUDGMENT</w:t>
      </w:r>
    </w:p>
    <w:p w14:paraId="6BF69DB4" w14:textId="31F13736" w:rsidR="00A22C45" w:rsidRDefault="00A22C45" w:rsidP="00A22C4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E80AB7">
        <w:rPr>
          <w:rFonts w:ascii="Arial" w:hAnsi="Arial" w:cs="Arial"/>
          <w:sz w:val="24"/>
          <w:szCs w:val="24"/>
          <w:lang w:val="en-GB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val="en-GB"/>
        </w:rPr>
        <w:t>_</w:t>
      </w:r>
      <w:r w:rsidR="005E1701">
        <w:rPr>
          <w:rFonts w:ascii="Arial" w:hAnsi="Arial" w:cs="Arial"/>
          <w:sz w:val="24"/>
          <w:szCs w:val="24"/>
          <w:lang w:val="en-GB"/>
        </w:rPr>
        <w:t>___</w:t>
      </w:r>
    </w:p>
    <w:p w14:paraId="6F0D0164" w14:textId="77777777" w:rsidR="00A22C45" w:rsidRDefault="00A22C45" w:rsidP="00A22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80AB7">
        <w:rPr>
          <w:rFonts w:ascii="Arial" w:hAnsi="Arial" w:cs="Arial"/>
          <w:b/>
          <w:sz w:val="24"/>
          <w:szCs w:val="24"/>
          <w:lang w:val="en-GB"/>
        </w:rPr>
        <w:t>LAING J</w:t>
      </w:r>
    </w:p>
    <w:p w14:paraId="40EECA6A" w14:textId="5419398C" w:rsidR="00CC43FB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C45">
        <w:rPr>
          <w:rFonts w:ascii="Arial" w:hAnsi="Arial" w:cs="Arial"/>
          <w:sz w:val="24"/>
          <w:szCs w:val="24"/>
        </w:rPr>
        <w:t>[1]</w:t>
      </w:r>
      <w:r w:rsidRPr="00A22C45">
        <w:rPr>
          <w:rFonts w:ascii="Arial" w:hAnsi="Arial" w:cs="Arial"/>
          <w:sz w:val="24"/>
          <w:szCs w:val="24"/>
        </w:rPr>
        <w:tab/>
      </w:r>
      <w:r w:rsidR="00611EAD" w:rsidRPr="00DF5198">
        <w:rPr>
          <w:rFonts w:ascii="Arial" w:hAnsi="Arial" w:cs="Arial"/>
          <w:sz w:val="24"/>
          <w:szCs w:val="24"/>
        </w:rPr>
        <w:t>This is a matter that</w:t>
      </w:r>
      <w:r w:rsidR="00D21204" w:rsidRPr="00DF5198">
        <w:rPr>
          <w:rFonts w:ascii="Arial" w:hAnsi="Arial" w:cs="Arial"/>
          <w:sz w:val="24"/>
          <w:szCs w:val="24"/>
        </w:rPr>
        <w:t xml:space="preserve"> involves </w:t>
      </w:r>
      <w:r w:rsidR="008F5182" w:rsidRPr="00DF5198">
        <w:rPr>
          <w:rFonts w:ascii="Arial" w:hAnsi="Arial" w:cs="Arial"/>
          <w:sz w:val="24"/>
          <w:szCs w:val="24"/>
        </w:rPr>
        <w:t>two</w:t>
      </w:r>
      <w:r w:rsidR="00766178" w:rsidRPr="00DF5198">
        <w:rPr>
          <w:rFonts w:ascii="Arial" w:hAnsi="Arial" w:cs="Arial"/>
          <w:sz w:val="24"/>
          <w:szCs w:val="24"/>
        </w:rPr>
        <w:t xml:space="preserve"> summary judgment application</w:t>
      </w:r>
      <w:r w:rsidR="008F5182" w:rsidRPr="00DF5198">
        <w:rPr>
          <w:rFonts w:ascii="Arial" w:hAnsi="Arial" w:cs="Arial"/>
          <w:sz w:val="24"/>
          <w:szCs w:val="24"/>
        </w:rPr>
        <w:t>s, involving the same parties and the same issues. The parties agreed</w:t>
      </w:r>
      <w:r w:rsidR="004C2429" w:rsidRPr="00DF5198">
        <w:rPr>
          <w:rFonts w:ascii="Arial" w:hAnsi="Arial" w:cs="Arial"/>
          <w:sz w:val="24"/>
          <w:szCs w:val="24"/>
        </w:rPr>
        <w:t xml:space="preserve"> </w:t>
      </w:r>
      <w:r w:rsidR="00AC3D4E" w:rsidRPr="00DF5198">
        <w:rPr>
          <w:rFonts w:ascii="Arial" w:hAnsi="Arial" w:cs="Arial"/>
          <w:sz w:val="24"/>
          <w:szCs w:val="24"/>
        </w:rPr>
        <w:t xml:space="preserve">that </w:t>
      </w:r>
      <w:r w:rsidR="00A20983" w:rsidRPr="00DF5198">
        <w:rPr>
          <w:rFonts w:ascii="Arial" w:hAnsi="Arial" w:cs="Arial"/>
          <w:sz w:val="24"/>
          <w:szCs w:val="24"/>
        </w:rPr>
        <w:t xml:space="preserve">the matters </w:t>
      </w:r>
      <w:r w:rsidR="00B76BEB" w:rsidRPr="00DF5198">
        <w:rPr>
          <w:rFonts w:ascii="Arial" w:hAnsi="Arial" w:cs="Arial"/>
          <w:sz w:val="24"/>
          <w:szCs w:val="24"/>
        </w:rPr>
        <w:t xml:space="preserve">could be dealt with </w:t>
      </w:r>
      <w:r w:rsidR="00833A95" w:rsidRPr="00DF5198">
        <w:rPr>
          <w:rFonts w:ascii="Arial" w:hAnsi="Arial" w:cs="Arial"/>
          <w:sz w:val="24"/>
          <w:szCs w:val="24"/>
        </w:rPr>
        <w:t xml:space="preserve">under </w:t>
      </w:r>
      <w:r w:rsidR="00B76BEB" w:rsidRPr="00DF5198">
        <w:rPr>
          <w:rFonts w:ascii="Arial" w:hAnsi="Arial" w:cs="Arial"/>
          <w:sz w:val="24"/>
          <w:szCs w:val="24"/>
        </w:rPr>
        <w:t xml:space="preserve">a single </w:t>
      </w:r>
      <w:r w:rsidR="00570F8A" w:rsidRPr="00DF5198">
        <w:rPr>
          <w:rFonts w:ascii="Arial" w:hAnsi="Arial" w:cs="Arial"/>
          <w:sz w:val="24"/>
          <w:szCs w:val="24"/>
        </w:rPr>
        <w:t>judgment</w:t>
      </w:r>
      <w:r w:rsidR="00B76BEB" w:rsidRPr="00DF5198">
        <w:rPr>
          <w:rFonts w:ascii="Arial" w:hAnsi="Arial" w:cs="Arial"/>
          <w:sz w:val="24"/>
          <w:szCs w:val="24"/>
        </w:rPr>
        <w:t>.</w:t>
      </w:r>
      <w:r w:rsidR="006C1B6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D4157C" w:rsidRPr="00DF5198">
        <w:rPr>
          <w:rFonts w:ascii="Arial" w:hAnsi="Arial" w:cs="Arial"/>
          <w:sz w:val="24"/>
          <w:szCs w:val="24"/>
        </w:rPr>
        <w:t xml:space="preserve"> </w:t>
      </w:r>
    </w:p>
    <w:p w14:paraId="415CF18A" w14:textId="77777777" w:rsidR="000443B9" w:rsidRDefault="000443B9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3113B1D3" w14:textId="4F656B80" w:rsidR="000443B9" w:rsidRPr="000443B9" w:rsidRDefault="00C4359A" w:rsidP="00611E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Background</w:t>
      </w:r>
    </w:p>
    <w:p w14:paraId="6A279B8C" w14:textId="77777777" w:rsidR="000443B9" w:rsidRDefault="000443B9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415B056F" w14:textId="19986857" w:rsidR="00107485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0443B9" w:rsidRPr="00DF5198">
        <w:rPr>
          <w:rFonts w:ascii="Arial" w:hAnsi="Arial" w:cs="Arial"/>
          <w:sz w:val="24"/>
          <w:szCs w:val="24"/>
        </w:rPr>
        <w:t xml:space="preserve">The </w:t>
      </w:r>
      <w:r w:rsidR="00B048C3" w:rsidRPr="00DF5198">
        <w:rPr>
          <w:rFonts w:ascii="Arial" w:hAnsi="Arial" w:cs="Arial"/>
          <w:sz w:val="24"/>
          <w:szCs w:val="24"/>
        </w:rPr>
        <w:t>plaintiff alleges that</w:t>
      </w:r>
      <w:r w:rsidR="00995257" w:rsidRPr="00DF5198">
        <w:rPr>
          <w:rFonts w:ascii="Arial" w:hAnsi="Arial" w:cs="Arial"/>
          <w:sz w:val="24"/>
          <w:szCs w:val="24"/>
        </w:rPr>
        <w:t>, on 23 December 2020,</w:t>
      </w:r>
      <w:r w:rsidR="00B048C3" w:rsidRPr="00DF5198">
        <w:rPr>
          <w:rFonts w:ascii="Arial" w:hAnsi="Arial" w:cs="Arial"/>
          <w:sz w:val="24"/>
          <w:szCs w:val="24"/>
        </w:rPr>
        <w:t xml:space="preserve"> the defendant concluded an instalment sale agreement </w:t>
      </w:r>
      <w:r w:rsidR="00FC0B81" w:rsidRPr="00DF5198">
        <w:rPr>
          <w:rFonts w:ascii="Arial" w:hAnsi="Arial" w:cs="Arial"/>
          <w:sz w:val="24"/>
          <w:szCs w:val="24"/>
        </w:rPr>
        <w:t>(</w:t>
      </w:r>
      <w:r w:rsidR="00F51BDD" w:rsidRPr="00DF5198">
        <w:rPr>
          <w:rFonts w:ascii="Arial" w:hAnsi="Arial" w:cs="Arial"/>
          <w:sz w:val="24"/>
          <w:szCs w:val="24"/>
        </w:rPr>
        <w:t xml:space="preserve">‘ISA’) </w:t>
      </w:r>
      <w:r w:rsidR="00995257" w:rsidRPr="00DF5198">
        <w:rPr>
          <w:rFonts w:ascii="Arial" w:hAnsi="Arial" w:cs="Arial"/>
          <w:sz w:val="24"/>
          <w:szCs w:val="24"/>
        </w:rPr>
        <w:t>with Volkswagen</w:t>
      </w:r>
      <w:r w:rsidR="00476381" w:rsidRPr="00DF5198">
        <w:rPr>
          <w:rFonts w:ascii="Arial" w:hAnsi="Arial" w:cs="Arial"/>
          <w:sz w:val="24"/>
          <w:szCs w:val="24"/>
        </w:rPr>
        <w:t xml:space="preserve"> Financial Services SA (Pty) Ltd </w:t>
      </w:r>
      <w:r w:rsidR="00446910" w:rsidRPr="00DF5198">
        <w:rPr>
          <w:rFonts w:ascii="Arial" w:hAnsi="Arial" w:cs="Arial"/>
          <w:sz w:val="24"/>
          <w:szCs w:val="24"/>
        </w:rPr>
        <w:t xml:space="preserve">(‘VFS’) </w:t>
      </w:r>
      <w:r w:rsidR="00476381" w:rsidRPr="00DF5198">
        <w:rPr>
          <w:rFonts w:ascii="Arial" w:hAnsi="Arial" w:cs="Arial"/>
          <w:sz w:val="24"/>
          <w:szCs w:val="24"/>
        </w:rPr>
        <w:t>for the purchase of</w:t>
      </w:r>
      <w:r w:rsidR="00CE60FA" w:rsidRPr="00DF5198">
        <w:rPr>
          <w:rFonts w:ascii="Arial" w:hAnsi="Arial" w:cs="Arial"/>
          <w:sz w:val="24"/>
          <w:szCs w:val="24"/>
        </w:rPr>
        <w:t xml:space="preserve"> a motor vehicle</w:t>
      </w:r>
      <w:r w:rsidR="00C70AB5" w:rsidRPr="00DF5198">
        <w:rPr>
          <w:rFonts w:ascii="Arial" w:hAnsi="Arial" w:cs="Arial"/>
          <w:sz w:val="24"/>
          <w:szCs w:val="24"/>
        </w:rPr>
        <w:t>.</w:t>
      </w:r>
      <w:r w:rsidR="003A4D25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C70AB5" w:rsidRPr="00DF5198">
        <w:rPr>
          <w:rFonts w:ascii="Arial" w:hAnsi="Arial" w:cs="Arial"/>
          <w:sz w:val="24"/>
          <w:szCs w:val="24"/>
        </w:rPr>
        <w:t xml:space="preserve"> The material terms thereof are not </w:t>
      </w:r>
      <w:r w:rsidR="000274AE" w:rsidRPr="00DF5198">
        <w:rPr>
          <w:rFonts w:ascii="Arial" w:hAnsi="Arial" w:cs="Arial"/>
          <w:sz w:val="24"/>
          <w:szCs w:val="24"/>
        </w:rPr>
        <w:t xml:space="preserve">immediately relevant, save to say that they </w:t>
      </w:r>
      <w:r w:rsidR="005825DC" w:rsidRPr="00DF5198">
        <w:rPr>
          <w:rFonts w:ascii="Arial" w:hAnsi="Arial" w:cs="Arial"/>
          <w:sz w:val="24"/>
          <w:szCs w:val="24"/>
        </w:rPr>
        <w:t xml:space="preserve">were </w:t>
      </w:r>
      <w:r w:rsidR="00355FC9" w:rsidRPr="00DF5198">
        <w:rPr>
          <w:rFonts w:ascii="Arial" w:hAnsi="Arial" w:cs="Arial"/>
          <w:sz w:val="24"/>
          <w:szCs w:val="24"/>
        </w:rPr>
        <w:t>typical of an agreement of such nature.</w:t>
      </w:r>
    </w:p>
    <w:p w14:paraId="11A9E955" w14:textId="77777777" w:rsidR="00107485" w:rsidRDefault="00107485" w:rsidP="00107485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D522DF" w14:textId="73193AB5" w:rsidR="00107485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A3295A" w:rsidRPr="00DF5198">
        <w:rPr>
          <w:rFonts w:ascii="Arial" w:hAnsi="Arial" w:cs="Arial"/>
          <w:sz w:val="24"/>
          <w:szCs w:val="24"/>
        </w:rPr>
        <w:t xml:space="preserve">The defendant, it is alleged, </w:t>
      </w:r>
      <w:r w:rsidR="000830CD" w:rsidRPr="00DF5198">
        <w:rPr>
          <w:rFonts w:ascii="Arial" w:hAnsi="Arial" w:cs="Arial"/>
          <w:sz w:val="24"/>
          <w:szCs w:val="24"/>
        </w:rPr>
        <w:t xml:space="preserve">took delivery of the vehicle but subsequently failed to </w:t>
      </w:r>
      <w:r w:rsidR="004F23B7" w:rsidRPr="00DF5198">
        <w:rPr>
          <w:rFonts w:ascii="Arial" w:hAnsi="Arial" w:cs="Arial"/>
          <w:sz w:val="24"/>
          <w:szCs w:val="24"/>
        </w:rPr>
        <w:t>keep up with the payment of instalments.</w:t>
      </w:r>
      <w:r w:rsidR="00643B08" w:rsidRPr="00DF5198">
        <w:rPr>
          <w:rFonts w:ascii="Arial" w:hAnsi="Arial" w:cs="Arial"/>
          <w:sz w:val="24"/>
          <w:szCs w:val="24"/>
        </w:rPr>
        <w:t xml:space="preserve"> </w:t>
      </w:r>
      <w:r w:rsidR="00D40CCC" w:rsidRPr="00DF5198">
        <w:rPr>
          <w:rFonts w:ascii="Arial" w:hAnsi="Arial" w:cs="Arial"/>
          <w:sz w:val="24"/>
          <w:szCs w:val="24"/>
        </w:rPr>
        <w:t xml:space="preserve">At some stage, </w:t>
      </w:r>
      <w:r w:rsidR="00446910" w:rsidRPr="00DF5198">
        <w:rPr>
          <w:rFonts w:ascii="Arial" w:hAnsi="Arial" w:cs="Arial"/>
          <w:sz w:val="24"/>
          <w:szCs w:val="24"/>
        </w:rPr>
        <w:t xml:space="preserve">VFS </w:t>
      </w:r>
      <w:r w:rsidR="00205997" w:rsidRPr="00DF5198">
        <w:rPr>
          <w:rFonts w:ascii="Arial" w:hAnsi="Arial" w:cs="Arial"/>
          <w:sz w:val="24"/>
          <w:szCs w:val="24"/>
        </w:rPr>
        <w:t xml:space="preserve">transferred its rights and duties to the plaintiff, who in turn cancelled the </w:t>
      </w:r>
      <w:r w:rsidR="00ED1BC4" w:rsidRPr="00DF5198">
        <w:rPr>
          <w:rFonts w:ascii="Arial" w:hAnsi="Arial" w:cs="Arial"/>
          <w:sz w:val="24"/>
          <w:szCs w:val="24"/>
        </w:rPr>
        <w:t xml:space="preserve">instalment sale agreement </w:t>
      </w:r>
      <w:r w:rsidR="002F0EB1" w:rsidRPr="00DF5198">
        <w:rPr>
          <w:rFonts w:ascii="Arial" w:hAnsi="Arial" w:cs="Arial"/>
          <w:sz w:val="24"/>
          <w:szCs w:val="24"/>
        </w:rPr>
        <w:t xml:space="preserve">and instituted action against the defendant. The </w:t>
      </w:r>
      <w:r w:rsidR="00042027" w:rsidRPr="00DF5198">
        <w:rPr>
          <w:rFonts w:ascii="Arial" w:hAnsi="Arial" w:cs="Arial"/>
          <w:sz w:val="24"/>
          <w:szCs w:val="24"/>
        </w:rPr>
        <w:t>plaintiff claims</w:t>
      </w:r>
      <w:r w:rsidR="007A5843" w:rsidRPr="00DF5198">
        <w:rPr>
          <w:rFonts w:ascii="Arial" w:hAnsi="Arial" w:cs="Arial"/>
          <w:sz w:val="24"/>
          <w:szCs w:val="24"/>
        </w:rPr>
        <w:t xml:space="preserve"> </w:t>
      </w:r>
      <w:r w:rsidR="00042027" w:rsidRPr="00DF5198">
        <w:rPr>
          <w:rFonts w:ascii="Arial" w:hAnsi="Arial" w:cs="Arial"/>
          <w:sz w:val="24"/>
          <w:szCs w:val="24"/>
        </w:rPr>
        <w:t>the return of the vehicle and damages</w:t>
      </w:r>
      <w:r w:rsidR="00FF5ACC" w:rsidRPr="00DF5198">
        <w:rPr>
          <w:rFonts w:ascii="Arial" w:hAnsi="Arial" w:cs="Arial"/>
          <w:sz w:val="24"/>
          <w:szCs w:val="24"/>
        </w:rPr>
        <w:t>.</w:t>
      </w:r>
      <w:r w:rsidR="001807E0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3CA7A824" w14:textId="77777777" w:rsidR="00107485" w:rsidRPr="00107485" w:rsidRDefault="00107485" w:rsidP="00107485">
      <w:pPr>
        <w:pStyle w:val="ListParagraph"/>
        <w:rPr>
          <w:rFonts w:ascii="Arial" w:hAnsi="Arial" w:cs="Arial"/>
          <w:sz w:val="24"/>
          <w:szCs w:val="24"/>
        </w:rPr>
      </w:pPr>
    </w:p>
    <w:p w14:paraId="659CD8CF" w14:textId="467DDF25" w:rsidR="00107485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371B41" w:rsidRPr="00DF5198">
        <w:rPr>
          <w:rFonts w:ascii="Arial" w:hAnsi="Arial" w:cs="Arial"/>
          <w:sz w:val="24"/>
          <w:szCs w:val="24"/>
        </w:rPr>
        <w:t xml:space="preserve">In its </w:t>
      </w:r>
      <w:r w:rsidR="00871C5E" w:rsidRPr="00DF5198">
        <w:rPr>
          <w:rFonts w:ascii="Arial" w:hAnsi="Arial" w:cs="Arial"/>
          <w:sz w:val="24"/>
          <w:szCs w:val="24"/>
        </w:rPr>
        <w:t xml:space="preserve">plea, the defendant contends, </w:t>
      </w:r>
      <w:r w:rsidR="00871C5E" w:rsidRPr="00DF5198">
        <w:rPr>
          <w:rFonts w:ascii="Arial" w:hAnsi="Arial" w:cs="Arial"/>
          <w:i/>
          <w:iCs/>
          <w:sz w:val="24"/>
          <w:szCs w:val="24"/>
        </w:rPr>
        <w:t>inter alia</w:t>
      </w:r>
      <w:r w:rsidR="00871C5E" w:rsidRPr="00DF5198">
        <w:rPr>
          <w:rFonts w:ascii="Arial" w:hAnsi="Arial" w:cs="Arial"/>
          <w:sz w:val="24"/>
          <w:szCs w:val="24"/>
        </w:rPr>
        <w:t xml:space="preserve">, that the plaintiff </w:t>
      </w:r>
      <w:r w:rsidR="00E73DCB" w:rsidRPr="00DF5198">
        <w:rPr>
          <w:rFonts w:ascii="Arial" w:hAnsi="Arial" w:cs="Arial"/>
          <w:sz w:val="24"/>
          <w:szCs w:val="24"/>
        </w:rPr>
        <w:t xml:space="preserve">lacks </w:t>
      </w:r>
      <w:r w:rsidR="00E73DCB" w:rsidRPr="00DF5198">
        <w:rPr>
          <w:rFonts w:ascii="Arial" w:hAnsi="Arial" w:cs="Arial"/>
          <w:i/>
          <w:iCs/>
          <w:sz w:val="24"/>
          <w:szCs w:val="24"/>
        </w:rPr>
        <w:t>locus standi</w:t>
      </w:r>
      <w:r w:rsidR="00C65251" w:rsidRPr="00DF5198">
        <w:rPr>
          <w:rFonts w:ascii="Arial" w:hAnsi="Arial" w:cs="Arial"/>
          <w:sz w:val="24"/>
          <w:szCs w:val="24"/>
        </w:rPr>
        <w:t xml:space="preserve"> because </w:t>
      </w:r>
      <w:r w:rsidR="007F45BF" w:rsidRPr="00DF5198">
        <w:rPr>
          <w:rFonts w:ascii="Arial" w:hAnsi="Arial" w:cs="Arial"/>
          <w:sz w:val="24"/>
          <w:szCs w:val="24"/>
        </w:rPr>
        <w:t xml:space="preserve">it failed to </w:t>
      </w:r>
      <w:r w:rsidR="00760BBF" w:rsidRPr="00DF5198">
        <w:rPr>
          <w:rFonts w:ascii="Arial" w:hAnsi="Arial" w:cs="Arial"/>
          <w:sz w:val="24"/>
          <w:szCs w:val="24"/>
        </w:rPr>
        <w:t xml:space="preserve">properly </w:t>
      </w:r>
      <w:r w:rsidR="007F45BF" w:rsidRPr="00DF5198">
        <w:rPr>
          <w:rFonts w:ascii="Arial" w:hAnsi="Arial" w:cs="Arial"/>
          <w:sz w:val="24"/>
          <w:szCs w:val="24"/>
        </w:rPr>
        <w:t>plead</w:t>
      </w:r>
      <w:r w:rsidR="00760BBF" w:rsidRPr="00DF5198">
        <w:rPr>
          <w:rFonts w:ascii="Arial" w:hAnsi="Arial" w:cs="Arial"/>
          <w:sz w:val="24"/>
          <w:szCs w:val="24"/>
        </w:rPr>
        <w:t xml:space="preserve"> </w:t>
      </w:r>
      <w:r w:rsidR="007D5C84" w:rsidRPr="00DF5198">
        <w:rPr>
          <w:rFonts w:ascii="Arial" w:hAnsi="Arial" w:cs="Arial"/>
          <w:sz w:val="24"/>
          <w:szCs w:val="24"/>
        </w:rPr>
        <w:t xml:space="preserve">the transfer of </w:t>
      </w:r>
      <w:r w:rsidR="00446910" w:rsidRPr="00DF5198">
        <w:rPr>
          <w:rFonts w:ascii="Arial" w:hAnsi="Arial" w:cs="Arial"/>
          <w:sz w:val="24"/>
          <w:szCs w:val="24"/>
        </w:rPr>
        <w:t>rights and duties</w:t>
      </w:r>
      <w:r w:rsidR="007D5C84" w:rsidRPr="00DF5198">
        <w:rPr>
          <w:rFonts w:ascii="Arial" w:hAnsi="Arial" w:cs="Arial"/>
          <w:sz w:val="24"/>
          <w:szCs w:val="24"/>
        </w:rPr>
        <w:t xml:space="preserve"> from VFS</w:t>
      </w:r>
      <w:r w:rsidR="00C65251" w:rsidRPr="00DF5198">
        <w:rPr>
          <w:rFonts w:ascii="Arial" w:hAnsi="Arial" w:cs="Arial"/>
          <w:sz w:val="24"/>
          <w:szCs w:val="24"/>
        </w:rPr>
        <w:t xml:space="preserve">. It also alleges </w:t>
      </w:r>
      <w:r w:rsidR="00D72D5F" w:rsidRPr="00DF5198">
        <w:rPr>
          <w:rFonts w:ascii="Arial" w:hAnsi="Arial" w:cs="Arial"/>
          <w:sz w:val="24"/>
          <w:szCs w:val="24"/>
        </w:rPr>
        <w:t>that the</w:t>
      </w:r>
      <w:r w:rsidR="00907529" w:rsidRPr="00DF5198">
        <w:rPr>
          <w:rFonts w:ascii="Arial" w:hAnsi="Arial" w:cs="Arial"/>
          <w:sz w:val="24"/>
          <w:szCs w:val="24"/>
        </w:rPr>
        <w:t xml:space="preserve"> plaintiff </w:t>
      </w:r>
      <w:r w:rsidR="000A3460" w:rsidRPr="00DF5198">
        <w:rPr>
          <w:rFonts w:ascii="Arial" w:hAnsi="Arial" w:cs="Arial"/>
          <w:sz w:val="24"/>
          <w:szCs w:val="24"/>
        </w:rPr>
        <w:t xml:space="preserve">made </w:t>
      </w:r>
      <w:r w:rsidR="00907529" w:rsidRPr="00DF5198">
        <w:rPr>
          <w:rFonts w:ascii="Arial" w:hAnsi="Arial" w:cs="Arial"/>
          <w:sz w:val="24"/>
          <w:szCs w:val="24"/>
        </w:rPr>
        <w:t xml:space="preserve">a contractual undertaking not </w:t>
      </w:r>
      <w:r w:rsidR="000A3460" w:rsidRPr="00DF5198">
        <w:rPr>
          <w:rFonts w:ascii="Arial" w:hAnsi="Arial" w:cs="Arial"/>
          <w:sz w:val="24"/>
          <w:szCs w:val="24"/>
        </w:rPr>
        <w:t xml:space="preserve">to </w:t>
      </w:r>
      <w:r w:rsidR="00786402" w:rsidRPr="00DF5198">
        <w:rPr>
          <w:rFonts w:ascii="Arial" w:hAnsi="Arial" w:cs="Arial"/>
          <w:sz w:val="24"/>
          <w:szCs w:val="24"/>
        </w:rPr>
        <w:t xml:space="preserve">proceed against the defendant, pending approval of the proposed restructuring of </w:t>
      </w:r>
      <w:r w:rsidR="009D7838" w:rsidRPr="00DF5198">
        <w:rPr>
          <w:rFonts w:ascii="Arial" w:hAnsi="Arial" w:cs="Arial"/>
          <w:sz w:val="24"/>
          <w:szCs w:val="24"/>
        </w:rPr>
        <w:t>the defendant’s payment of arrears.</w:t>
      </w:r>
      <w:r w:rsidR="00142EE1" w:rsidRPr="00DF5198">
        <w:rPr>
          <w:rFonts w:ascii="Arial" w:hAnsi="Arial" w:cs="Arial"/>
          <w:sz w:val="24"/>
          <w:szCs w:val="24"/>
        </w:rPr>
        <w:t xml:space="preserve"> The remainder of its </w:t>
      </w:r>
      <w:r w:rsidR="00EB4D5F" w:rsidRPr="00DF5198">
        <w:rPr>
          <w:rFonts w:ascii="Arial" w:hAnsi="Arial" w:cs="Arial"/>
          <w:sz w:val="24"/>
          <w:szCs w:val="24"/>
        </w:rPr>
        <w:t xml:space="preserve">plea </w:t>
      </w:r>
      <w:r w:rsidR="00912E64" w:rsidRPr="00DF5198">
        <w:rPr>
          <w:rFonts w:ascii="Arial" w:hAnsi="Arial" w:cs="Arial"/>
          <w:sz w:val="24"/>
          <w:szCs w:val="24"/>
        </w:rPr>
        <w:t>i</w:t>
      </w:r>
      <w:r w:rsidR="00EB4D5F" w:rsidRPr="00DF5198">
        <w:rPr>
          <w:rFonts w:ascii="Arial" w:hAnsi="Arial" w:cs="Arial"/>
          <w:sz w:val="24"/>
          <w:szCs w:val="24"/>
        </w:rPr>
        <w:t>s a bare denial of the plaintiff’s claim.</w:t>
      </w:r>
    </w:p>
    <w:p w14:paraId="4D367CA7" w14:textId="77777777" w:rsidR="00107485" w:rsidRPr="00107485" w:rsidRDefault="00107485" w:rsidP="00107485">
      <w:pPr>
        <w:pStyle w:val="ListParagraph"/>
        <w:rPr>
          <w:rFonts w:ascii="Arial" w:hAnsi="Arial" w:cs="Arial"/>
          <w:sz w:val="24"/>
          <w:szCs w:val="24"/>
        </w:rPr>
      </w:pPr>
    </w:p>
    <w:p w14:paraId="00D06EF8" w14:textId="5065E1F4" w:rsidR="00417634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485">
        <w:rPr>
          <w:rFonts w:ascii="Arial" w:hAnsi="Arial" w:cs="Arial"/>
          <w:sz w:val="24"/>
          <w:szCs w:val="24"/>
        </w:rPr>
        <w:t>[5]</w:t>
      </w:r>
      <w:r w:rsidRPr="00107485">
        <w:rPr>
          <w:rFonts w:ascii="Arial" w:hAnsi="Arial" w:cs="Arial"/>
          <w:sz w:val="24"/>
          <w:szCs w:val="24"/>
        </w:rPr>
        <w:tab/>
      </w:r>
      <w:r w:rsidR="00962ACB" w:rsidRPr="00DF5198">
        <w:rPr>
          <w:rFonts w:ascii="Arial" w:hAnsi="Arial" w:cs="Arial"/>
          <w:sz w:val="24"/>
          <w:szCs w:val="24"/>
        </w:rPr>
        <w:t>The plaintiff then made application for sum</w:t>
      </w:r>
      <w:r w:rsidR="00A45962" w:rsidRPr="00DF5198">
        <w:rPr>
          <w:rFonts w:ascii="Arial" w:hAnsi="Arial" w:cs="Arial"/>
          <w:sz w:val="24"/>
          <w:szCs w:val="24"/>
        </w:rPr>
        <w:t>mary judgment, which will be discussed in the paragraphs that follow.</w:t>
      </w:r>
    </w:p>
    <w:p w14:paraId="07927225" w14:textId="77777777" w:rsidR="005E0DF5" w:rsidRDefault="005E0DF5" w:rsidP="00611E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4B40AD6" w14:textId="28D0E1A4" w:rsidR="005E0DF5" w:rsidRPr="00A45962" w:rsidRDefault="005E0DF5" w:rsidP="0010748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5962">
        <w:rPr>
          <w:rFonts w:ascii="Arial" w:hAnsi="Arial" w:cs="Arial"/>
          <w:b/>
          <w:bCs/>
          <w:sz w:val="24"/>
          <w:szCs w:val="24"/>
        </w:rPr>
        <w:t xml:space="preserve">Plaintiff’s </w:t>
      </w:r>
      <w:r w:rsidR="009F6C79">
        <w:rPr>
          <w:rFonts w:ascii="Arial" w:hAnsi="Arial" w:cs="Arial"/>
          <w:b/>
          <w:bCs/>
          <w:sz w:val="24"/>
          <w:szCs w:val="24"/>
        </w:rPr>
        <w:t>case</w:t>
      </w:r>
    </w:p>
    <w:p w14:paraId="43468D92" w14:textId="77777777" w:rsidR="00417634" w:rsidRDefault="00417634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7301D5FD" w14:textId="35121531" w:rsidR="00266677" w:rsidRPr="00DF5198" w:rsidRDefault="00DF5198" w:rsidP="00DF5198">
      <w:pPr>
        <w:spacing w:line="360" w:lineRule="auto"/>
        <w:rPr>
          <w:rFonts w:ascii="Arial" w:hAnsi="Arial" w:cs="Arial"/>
          <w:sz w:val="24"/>
          <w:szCs w:val="24"/>
        </w:rPr>
      </w:pPr>
      <w:r w:rsidRPr="00107485">
        <w:rPr>
          <w:rFonts w:ascii="Arial" w:hAnsi="Arial" w:cs="Arial"/>
          <w:sz w:val="24"/>
          <w:szCs w:val="24"/>
        </w:rPr>
        <w:lastRenderedPageBreak/>
        <w:t>[6]</w:t>
      </w:r>
      <w:r w:rsidRPr="00107485">
        <w:rPr>
          <w:rFonts w:ascii="Arial" w:hAnsi="Arial" w:cs="Arial"/>
          <w:sz w:val="24"/>
          <w:szCs w:val="24"/>
        </w:rPr>
        <w:tab/>
      </w:r>
      <w:r w:rsidR="00417634" w:rsidRPr="00DF5198">
        <w:rPr>
          <w:rFonts w:ascii="Arial" w:hAnsi="Arial" w:cs="Arial"/>
          <w:sz w:val="24"/>
          <w:szCs w:val="24"/>
        </w:rPr>
        <w:t>The plaintiff</w:t>
      </w:r>
      <w:r w:rsidR="00B90871" w:rsidRPr="00DF5198">
        <w:rPr>
          <w:rFonts w:ascii="Arial" w:hAnsi="Arial" w:cs="Arial"/>
          <w:sz w:val="24"/>
          <w:szCs w:val="24"/>
        </w:rPr>
        <w:t xml:space="preserve"> </w:t>
      </w:r>
      <w:r w:rsidR="009F6C79" w:rsidRPr="00DF5198">
        <w:rPr>
          <w:rFonts w:ascii="Arial" w:hAnsi="Arial" w:cs="Arial"/>
          <w:sz w:val="24"/>
          <w:szCs w:val="24"/>
        </w:rPr>
        <w:t>‘s a</w:t>
      </w:r>
      <w:r w:rsidR="00AA003F" w:rsidRPr="00DF5198">
        <w:rPr>
          <w:rFonts w:ascii="Arial" w:hAnsi="Arial" w:cs="Arial"/>
          <w:sz w:val="24"/>
          <w:szCs w:val="24"/>
        </w:rPr>
        <w:t>pplication for summary judgment</w:t>
      </w:r>
      <w:r w:rsidR="009F6C79" w:rsidRPr="00DF5198">
        <w:rPr>
          <w:rFonts w:ascii="Arial" w:hAnsi="Arial" w:cs="Arial"/>
          <w:sz w:val="24"/>
          <w:szCs w:val="24"/>
        </w:rPr>
        <w:t xml:space="preserve"> was supported </w:t>
      </w:r>
      <w:r w:rsidR="00D84738" w:rsidRPr="00DF5198">
        <w:rPr>
          <w:rFonts w:ascii="Arial" w:hAnsi="Arial" w:cs="Arial"/>
          <w:sz w:val="24"/>
          <w:szCs w:val="24"/>
        </w:rPr>
        <w:t>by the affidavit of a</w:t>
      </w:r>
      <w:r w:rsidR="005C12A0" w:rsidRPr="00DF5198">
        <w:rPr>
          <w:rFonts w:ascii="Arial" w:hAnsi="Arial" w:cs="Arial"/>
          <w:sz w:val="24"/>
          <w:szCs w:val="24"/>
        </w:rPr>
        <w:t xml:space="preserve"> manager in the </w:t>
      </w:r>
      <w:r w:rsidR="00CA7BD5" w:rsidRPr="00DF5198">
        <w:rPr>
          <w:rFonts w:ascii="Arial" w:hAnsi="Arial" w:cs="Arial"/>
          <w:sz w:val="24"/>
          <w:szCs w:val="24"/>
        </w:rPr>
        <w:t xml:space="preserve">plaintiff’s </w:t>
      </w:r>
      <w:r w:rsidR="005C12A0" w:rsidRPr="00DF5198">
        <w:rPr>
          <w:rFonts w:ascii="Arial" w:hAnsi="Arial" w:cs="Arial"/>
          <w:sz w:val="24"/>
          <w:szCs w:val="24"/>
        </w:rPr>
        <w:t xml:space="preserve">Specialised Collections Department, Ms </w:t>
      </w:r>
      <w:proofErr w:type="spellStart"/>
      <w:r w:rsidR="005C12A0" w:rsidRPr="00DF5198">
        <w:rPr>
          <w:rFonts w:ascii="Arial" w:hAnsi="Arial" w:cs="Arial"/>
          <w:sz w:val="24"/>
          <w:szCs w:val="24"/>
        </w:rPr>
        <w:t>Aphiwe</w:t>
      </w:r>
      <w:proofErr w:type="spellEnd"/>
      <w:r w:rsidR="005C12A0" w:rsidRPr="00DF5198">
        <w:rPr>
          <w:rFonts w:ascii="Arial" w:hAnsi="Arial" w:cs="Arial"/>
          <w:sz w:val="24"/>
          <w:szCs w:val="24"/>
        </w:rPr>
        <w:t xml:space="preserve"> Mayola</w:t>
      </w:r>
      <w:r w:rsidR="00E5186D" w:rsidRPr="00DF5198">
        <w:rPr>
          <w:rFonts w:ascii="Arial" w:hAnsi="Arial" w:cs="Arial"/>
          <w:sz w:val="24"/>
          <w:szCs w:val="24"/>
        </w:rPr>
        <w:t xml:space="preserve">. </w:t>
      </w:r>
    </w:p>
    <w:p w14:paraId="7977EA37" w14:textId="77777777" w:rsidR="00FA5D98" w:rsidRDefault="00FA5D98" w:rsidP="00FA5D9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93FB351" w14:textId="00CD2915" w:rsidR="009D1F91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E5186D" w:rsidRPr="00DF5198">
        <w:rPr>
          <w:rFonts w:ascii="Arial" w:hAnsi="Arial" w:cs="Arial"/>
          <w:sz w:val="24"/>
          <w:szCs w:val="24"/>
        </w:rPr>
        <w:t>She a</w:t>
      </w:r>
      <w:r w:rsidR="00D63DD0" w:rsidRPr="00DF5198">
        <w:rPr>
          <w:rFonts w:ascii="Arial" w:hAnsi="Arial" w:cs="Arial"/>
          <w:sz w:val="24"/>
          <w:szCs w:val="24"/>
        </w:rPr>
        <w:t xml:space="preserve">sserted, in relation to the </w:t>
      </w:r>
      <w:r w:rsidR="00FC0B81" w:rsidRPr="00DF5198">
        <w:rPr>
          <w:rFonts w:ascii="Arial" w:hAnsi="Arial" w:cs="Arial"/>
          <w:sz w:val="24"/>
          <w:szCs w:val="24"/>
        </w:rPr>
        <w:t xml:space="preserve">defendant’s </w:t>
      </w:r>
      <w:r w:rsidR="004722E1" w:rsidRPr="00DF5198">
        <w:rPr>
          <w:rFonts w:ascii="Arial" w:hAnsi="Arial" w:cs="Arial"/>
          <w:sz w:val="24"/>
          <w:szCs w:val="24"/>
        </w:rPr>
        <w:t>plea</w:t>
      </w:r>
      <w:r w:rsidR="00FC0B81" w:rsidRPr="00DF5198">
        <w:rPr>
          <w:rFonts w:ascii="Arial" w:hAnsi="Arial" w:cs="Arial"/>
          <w:sz w:val="24"/>
          <w:szCs w:val="24"/>
        </w:rPr>
        <w:t xml:space="preserve">, that </w:t>
      </w:r>
      <w:r w:rsidR="00F51BDD" w:rsidRPr="00DF5198">
        <w:rPr>
          <w:rFonts w:ascii="Arial" w:hAnsi="Arial" w:cs="Arial"/>
          <w:sz w:val="24"/>
          <w:szCs w:val="24"/>
        </w:rPr>
        <w:t xml:space="preserve">the ISA </w:t>
      </w:r>
      <w:r w:rsidR="00154B3F" w:rsidRPr="00DF5198">
        <w:rPr>
          <w:rFonts w:ascii="Arial" w:hAnsi="Arial" w:cs="Arial"/>
          <w:sz w:val="24"/>
          <w:szCs w:val="24"/>
        </w:rPr>
        <w:t xml:space="preserve">expressly permitted </w:t>
      </w:r>
      <w:r w:rsidR="00A334B8" w:rsidRPr="00DF5198">
        <w:rPr>
          <w:rFonts w:ascii="Arial" w:hAnsi="Arial" w:cs="Arial"/>
          <w:sz w:val="24"/>
          <w:szCs w:val="24"/>
        </w:rPr>
        <w:t>VFS</w:t>
      </w:r>
      <w:r w:rsidR="00154B3F" w:rsidRPr="00DF5198">
        <w:rPr>
          <w:rFonts w:ascii="Arial" w:hAnsi="Arial" w:cs="Arial"/>
          <w:sz w:val="24"/>
          <w:szCs w:val="24"/>
        </w:rPr>
        <w:t xml:space="preserve"> to </w:t>
      </w:r>
      <w:r w:rsidR="00241F94" w:rsidRPr="00DF5198">
        <w:rPr>
          <w:rFonts w:ascii="Arial" w:hAnsi="Arial" w:cs="Arial"/>
          <w:sz w:val="24"/>
          <w:szCs w:val="24"/>
        </w:rPr>
        <w:t xml:space="preserve">transfer its rights and obligations </w:t>
      </w:r>
      <w:r w:rsidR="00A334B8" w:rsidRPr="00DF5198">
        <w:rPr>
          <w:rFonts w:ascii="Arial" w:hAnsi="Arial" w:cs="Arial"/>
          <w:sz w:val="24"/>
          <w:szCs w:val="24"/>
        </w:rPr>
        <w:t>to the plaintiff without notification to the defendant.</w:t>
      </w:r>
      <w:r w:rsidR="00A80F04" w:rsidRPr="00DF5198">
        <w:rPr>
          <w:rFonts w:ascii="Arial" w:hAnsi="Arial" w:cs="Arial"/>
          <w:sz w:val="24"/>
          <w:szCs w:val="24"/>
        </w:rPr>
        <w:t xml:space="preserve"> </w:t>
      </w:r>
      <w:r w:rsidR="006364F7" w:rsidRPr="00DF5198">
        <w:rPr>
          <w:rFonts w:ascii="Arial" w:hAnsi="Arial" w:cs="Arial"/>
          <w:sz w:val="24"/>
          <w:szCs w:val="24"/>
        </w:rPr>
        <w:t xml:space="preserve">She </w:t>
      </w:r>
      <w:r w:rsidR="00EE3811" w:rsidRPr="00DF5198">
        <w:rPr>
          <w:rFonts w:ascii="Arial" w:hAnsi="Arial" w:cs="Arial"/>
          <w:sz w:val="24"/>
          <w:szCs w:val="24"/>
        </w:rPr>
        <w:t xml:space="preserve">attached a copy of the cession agreement </w:t>
      </w:r>
      <w:r w:rsidR="00B668AD" w:rsidRPr="00DF5198">
        <w:rPr>
          <w:rFonts w:ascii="Arial" w:hAnsi="Arial" w:cs="Arial"/>
          <w:sz w:val="24"/>
          <w:szCs w:val="24"/>
        </w:rPr>
        <w:t>to which VFS and the plaintiff were parties.</w:t>
      </w:r>
    </w:p>
    <w:p w14:paraId="7BCF13D9" w14:textId="77777777" w:rsidR="009D1F91" w:rsidRPr="009D1F91" w:rsidRDefault="009D1F91" w:rsidP="009D1F91">
      <w:pPr>
        <w:pStyle w:val="ListParagraph"/>
        <w:rPr>
          <w:rFonts w:ascii="Arial" w:hAnsi="Arial" w:cs="Arial"/>
          <w:sz w:val="24"/>
          <w:szCs w:val="24"/>
        </w:rPr>
      </w:pPr>
    </w:p>
    <w:p w14:paraId="11A4FCB2" w14:textId="30A6BD72" w:rsidR="009D1F91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B668AD" w:rsidRPr="00DF5198">
        <w:rPr>
          <w:rFonts w:ascii="Arial" w:hAnsi="Arial" w:cs="Arial"/>
          <w:sz w:val="24"/>
          <w:szCs w:val="24"/>
        </w:rPr>
        <w:t>Furthermore, Ms Mayola</w:t>
      </w:r>
      <w:r w:rsidR="00F41083" w:rsidRPr="00DF5198">
        <w:rPr>
          <w:rFonts w:ascii="Arial" w:hAnsi="Arial" w:cs="Arial"/>
          <w:sz w:val="24"/>
          <w:szCs w:val="24"/>
        </w:rPr>
        <w:t xml:space="preserve"> </w:t>
      </w:r>
      <w:r w:rsidR="00B400F3" w:rsidRPr="00DF5198">
        <w:rPr>
          <w:rFonts w:ascii="Arial" w:hAnsi="Arial" w:cs="Arial"/>
          <w:sz w:val="24"/>
          <w:szCs w:val="24"/>
        </w:rPr>
        <w:t xml:space="preserve">indicated that the </w:t>
      </w:r>
      <w:r w:rsidR="004234CD" w:rsidRPr="00DF5198">
        <w:rPr>
          <w:rFonts w:ascii="Arial" w:hAnsi="Arial" w:cs="Arial"/>
          <w:sz w:val="24"/>
          <w:szCs w:val="24"/>
        </w:rPr>
        <w:t xml:space="preserve">defendant had been obliged to make </w:t>
      </w:r>
      <w:r w:rsidR="00B563E6" w:rsidRPr="00DF5198">
        <w:rPr>
          <w:rFonts w:ascii="Arial" w:hAnsi="Arial" w:cs="Arial"/>
          <w:sz w:val="24"/>
          <w:szCs w:val="24"/>
        </w:rPr>
        <w:t xml:space="preserve">an initial payment by </w:t>
      </w:r>
      <w:r w:rsidR="00BE7313" w:rsidRPr="00DF5198">
        <w:rPr>
          <w:rFonts w:ascii="Arial" w:hAnsi="Arial" w:cs="Arial"/>
          <w:sz w:val="24"/>
          <w:szCs w:val="24"/>
        </w:rPr>
        <w:t>25 March 2022 in accordance with the proposed restructuring</w:t>
      </w:r>
      <w:r w:rsidR="000C1CA0" w:rsidRPr="00DF5198">
        <w:rPr>
          <w:rFonts w:ascii="Arial" w:hAnsi="Arial" w:cs="Arial"/>
          <w:sz w:val="24"/>
          <w:szCs w:val="24"/>
        </w:rPr>
        <w:t xml:space="preserve">. </w:t>
      </w:r>
      <w:r w:rsidR="00820A47" w:rsidRPr="00DF5198">
        <w:rPr>
          <w:rFonts w:ascii="Arial" w:hAnsi="Arial" w:cs="Arial"/>
          <w:sz w:val="24"/>
          <w:szCs w:val="24"/>
        </w:rPr>
        <w:t>I</w:t>
      </w:r>
      <w:r w:rsidR="000C1CA0" w:rsidRPr="00DF5198">
        <w:rPr>
          <w:rFonts w:ascii="Arial" w:hAnsi="Arial" w:cs="Arial"/>
          <w:sz w:val="24"/>
          <w:szCs w:val="24"/>
        </w:rPr>
        <w:t xml:space="preserve">t had, however, failed to make </w:t>
      </w:r>
      <w:r w:rsidR="00720F7D" w:rsidRPr="00DF5198">
        <w:rPr>
          <w:rFonts w:ascii="Arial" w:hAnsi="Arial" w:cs="Arial"/>
          <w:sz w:val="24"/>
          <w:szCs w:val="24"/>
        </w:rPr>
        <w:t xml:space="preserve">such </w:t>
      </w:r>
      <w:r w:rsidR="0055341A" w:rsidRPr="00DF5198">
        <w:rPr>
          <w:rFonts w:ascii="Arial" w:hAnsi="Arial" w:cs="Arial"/>
          <w:sz w:val="24"/>
          <w:szCs w:val="24"/>
        </w:rPr>
        <w:t>payment</w:t>
      </w:r>
      <w:r w:rsidR="00720F7D" w:rsidRPr="00DF5198">
        <w:rPr>
          <w:rFonts w:ascii="Arial" w:hAnsi="Arial" w:cs="Arial"/>
          <w:sz w:val="24"/>
          <w:szCs w:val="24"/>
        </w:rPr>
        <w:t xml:space="preserve"> or any other</w:t>
      </w:r>
      <w:r w:rsidR="008D033B" w:rsidRPr="00DF5198">
        <w:rPr>
          <w:rFonts w:ascii="Arial" w:hAnsi="Arial" w:cs="Arial"/>
          <w:sz w:val="24"/>
          <w:szCs w:val="24"/>
        </w:rPr>
        <w:t xml:space="preserve">. </w:t>
      </w:r>
    </w:p>
    <w:p w14:paraId="017EE58D" w14:textId="77777777" w:rsidR="009D1F91" w:rsidRPr="009D1F91" w:rsidRDefault="009D1F91" w:rsidP="009D1F91">
      <w:pPr>
        <w:pStyle w:val="ListParagraph"/>
        <w:rPr>
          <w:rFonts w:ascii="Arial" w:hAnsi="Arial" w:cs="Arial"/>
          <w:sz w:val="24"/>
          <w:szCs w:val="24"/>
        </w:rPr>
      </w:pPr>
    </w:p>
    <w:p w14:paraId="229917DC" w14:textId="19279A7F" w:rsidR="00773B12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[9]</w:t>
      </w:r>
      <w:r w:rsidRPr="009D1F91">
        <w:rPr>
          <w:rFonts w:ascii="Arial" w:hAnsi="Arial" w:cs="Arial"/>
          <w:sz w:val="24"/>
          <w:szCs w:val="24"/>
        </w:rPr>
        <w:tab/>
      </w:r>
      <w:r w:rsidR="001C442A" w:rsidRPr="00DF5198">
        <w:rPr>
          <w:rFonts w:ascii="Arial" w:hAnsi="Arial" w:cs="Arial"/>
          <w:sz w:val="24"/>
          <w:szCs w:val="24"/>
        </w:rPr>
        <w:t xml:space="preserve">Ms Mayola contended </w:t>
      </w:r>
      <w:r w:rsidR="005B78D7" w:rsidRPr="00DF5198">
        <w:rPr>
          <w:rFonts w:ascii="Arial" w:hAnsi="Arial" w:cs="Arial"/>
          <w:sz w:val="24"/>
          <w:szCs w:val="24"/>
        </w:rPr>
        <w:t>that the defendant’s defence did not raise any issue for trial.</w:t>
      </w:r>
      <w:r w:rsidR="00E67E43" w:rsidRPr="00DF5198">
        <w:rPr>
          <w:rFonts w:ascii="Arial" w:hAnsi="Arial" w:cs="Arial"/>
          <w:sz w:val="24"/>
          <w:szCs w:val="24"/>
        </w:rPr>
        <w:t xml:space="preserve"> </w:t>
      </w:r>
    </w:p>
    <w:p w14:paraId="7A0ED362" w14:textId="77777777" w:rsidR="00773B12" w:rsidRDefault="00773B12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50B4B597" w14:textId="77777777" w:rsidR="00773B12" w:rsidRPr="00A574AD" w:rsidRDefault="00773B12" w:rsidP="009D1F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74AD">
        <w:rPr>
          <w:rFonts w:ascii="Arial" w:hAnsi="Arial" w:cs="Arial"/>
          <w:b/>
          <w:bCs/>
          <w:sz w:val="24"/>
          <w:szCs w:val="24"/>
        </w:rPr>
        <w:t>Defendant’s case</w:t>
      </w:r>
    </w:p>
    <w:p w14:paraId="109B0B75" w14:textId="77777777" w:rsidR="00773B12" w:rsidRDefault="00773B12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70F0A8CB" w14:textId="63EE801D" w:rsidR="009D1F91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DB0EFC" w:rsidRPr="00DF5198">
        <w:rPr>
          <w:rFonts w:ascii="Arial" w:hAnsi="Arial" w:cs="Arial"/>
          <w:sz w:val="24"/>
          <w:szCs w:val="24"/>
        </w:rPr>
        <w:t xml:space="preserve">The defendant </w:t>
      </w:r>
      <w:r w:rsidR="00A574AD" w:rsidRPr="00DF5198">
        <w:rPr>
          <w:rFonts w:ascii="Arial" w:hAnsi="Arial" w:cs="Arial"/>
          <w:sz w:val="24"/>
          <w:szCs w:val="24"/>
        </w:rPr>
        <w:t>advanced several arguments</w:t>
      </w:r>
      <w:r w:rsidR="00EA48D1" w:rsidRPr="00DF5198">
        <w:rPr>
          <w:rFonts w:ascii="Arial" w:hAnsi="Arial" w:cs="Arial"/>
          <w:sz w:val="24"/>
          <w:szCs w:val="24"/>
        </w:rPr>
        <w:t xml:space="preserve">, as apparent from the opposing affidavit of its </w:t>
      </w:r>
      <w:r w:rsidR="00E738F9" w:rsidRPr="00DF5198">
        <w:rPr>
          <w:rFonts w:ascii="Arial" w:hAnsi="Arial" w:cs="Arial"/>
          <w:sz w:val="24"/>
          <w:szCs w:val="24"/>
        </w:rPr>
        <w:t xml:space="preserve">sole director, Mr Mohammed </w:t>
      </w:r>
      <w:proofErr w:type="spellStart"/>
      <w:r w:rsidR="00E738F9" w:rsidRPr="00DF5198">
        <w:rPr>
          <w:rFonts w:ascii="Arial" w:hAnsi="Arial" w:cs="Arial"/>
          <w:sz w:val="24"/>
          <w:szCs w:val="24"/>
        </w:rPr>
        <w:t>Mayat</w:t>
      </w:r>
      <w:proofErr w:type="spellEnd"/>
      <w:r w:rsidR="009C2AC5" w:rsidRPr="00DF5198">
        <w:rPr>
          <w:rFonts w:ascii="Arial" w:hAnsi="Arial" w:cs="Arial"/>
          <w:sz w:val="24"/>
          <w:szCs w:val="24"/>
        </w:rPr>
        <w:t xml:space="preserve">. </w:t>
      </w:r>
      <w:r w:rsidR="009F0F7E" w:rsidRPr="00DF5198">
        <w:rPr>
          <w:rFonts w:ascii="Arial" w:hAnsi="Arial" w:cs="Arial"/>
          <w:sz w:val="24"/>
          <w:szCs w:val="24"/>
        </w:rPr>
        <w:t>Only th</w:t>
      </w:r>
      <w:r w:rsidR="00E738F9" w:rsidRPr="00DF5198">
        <w:rPr>
          <w:rFonts w:ascii="Arial" w:hAnsi="Arial" w:cs="Arial"/>
          <w:sz w:val="24"/>
          <w:szCs w:val="24"/>
        </w:rPr>
        <w:t>e arguments</w:t>
      </w:r>
      <w:r w:rsidR="009F0F7E" w:rsidRPr="00DF5198">
        <w:rPr>
          <w:rFonts w:ascii="Arial" w:hAnsi="Arial" w:cs="Arial"/>
          <w:sz w:val="24"/>
          <w:szCs w:val="24"/>
        </w:rPr>
        <w:t xml:space="preserve"> relevant to the matter are mentioned below.</w:t>
      </w:r>
      <w:r w:rsidR="009C2AC5" w:rsidRPr="00DF5198">
        <w:rPr>
          <w:rFonts w:ascii="Arial" w:hAnsi="Arial" w:cs="Arial"/>
          <w:sz w:val="24"/>
          <w:szCs w:val="24"/>
        </w:rPr>
        <w:t xml:space="preserve"> </w:t>
      </w:r>
    </w:p>
    <w:p w14:paraId="18E6F04A" w14:textId="77777777" w:rsidR="009D1F91" w:rsidRDefault="009D1F91" w:rsidP="009D1F9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22750B" w14:textId="77145860" w:rsidR="009D1F91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DD0943" w:rsidRPr="00DF5198">
        <w:rPr>
          <w:rFonts w:ascii="Arial" w:hAnsi="Arial" w:cs="Arial"/>
          <w:sz w:val="24"/>
          <w:szCs w:val="24"/>
        </w:rPr>
        <w:t xml:space="preserve">Mr </w:t>
      </w:r>
      <w:proofErr w:type="spellStart"/>
      <w:r w:rsidR="00DD0943" w:rsidRPr="00DF5198">
        <w:rPr>
          <w:rFonts w:ascii="Arial" w:hAnsi="Arial" w:cs="Arial"/>
          <w:sz w:val="24"/>
          <w:szCs w:val="24"/>
        </w:rPr>
        <w:t>Mayat</w:t>
      </w:r>
      <w:proofErr w:type="spellEnd"/>
      <w:r w:rsidR="00DD0943" w:rsidRPr="00DF5198">
        <w:rPr>
          <w:rFonts w:ascii="Arial" w:hAnsi="Arial" w:cs="Arial"/>
          <w:sz w:val="24"/>
          <w:szCs w:val="24"/>
        </w:rPr>
        <w:t xml:space="preserve"> </w:t>
      </w:r>
      <w:r w:rsidR="004D2B5D" w:rsidRPr="00DF5198">
        <w:rPr>
          <w:rFonts w:ascii="Arial" w:hAnsi="Arial" w:cs="Arial"/>
          <w:sz w:val="24"/>
          <w:szCs w:val="24"/>
        </w:rPr>
        <w:t xml:space="preserve">stated that Ms Mayola was not competent to </w:t>
      </w:r>
      <w:r w:rsidR="005C5C85" w:rsidRPr="00DF5198">
        <w:rPr>
          <w:rFonts w:ascii="Arial" w:hAnsi="Arial" w:cs="Arial"/>
          <w:sz w:val="24"/>
          <w:szCs w:val="24"/>
        </w:rPr>
        <w:t>depose to the plaintiff’s supporting affidavit. This was because</w:t>
      </w:r>
      <w:r w:rsidR="00D14FCD" w:rsidRPr="00DF5198">
        <w:rPr>
          <w:rFonts w:ascii="Arial" w:hAnsi="Arial" w:cs="Arial"/>
          <w:sz w:val="24"/>
          <w:szCs w:val="24"/>
        </w:rPr>
        <w:t xml:space="preserve"> she was not a party to the ISA, played no role in its </w:t>
      </w:r>
      <w:r w:rsidR="00394978" w:rsidRPr="00DF5198">
        <w:rPr>
          <w:rFonts w:ascii="Arial" w:hAnsi="Arial" w:cs="Arial"/>
          <w:sz w:val="24"/>
          <w:szCs w:val="24"/>
        </w:rPr>
        <w:t xml:space="preserve">implementation, </w:t>
      </w:r>
      <w:r w:rsidR="007D309B" w:rsidRPr="00DF5198">
        <w:rPr>
          <w:rFonts w:ascii="Arial" w:hAnsi="Arial" w:cs="Arial"/>
          <w:sz w:val="24"/>
          <w:szCs w:val="24"/>
        </w:rPr>
        <w:t xml:space="preserve">and </w:t>
      </w:r>
      <w:r w:rsidR="00D84218" w:rsidRPr="00DF5198">
        <w:rPr>
          <w:rFonts w:ascii="Arial" w:hAnsi="Arial" w:cs="Arial"/>
          <w:sz w:val="24"/>
          <w:szCs w:val="24"/>
        </w:rPr>
        <w:t xml:space="preserve">had nothing to do with the </w:t>
      </w:r>
      <w:r w:rsidR="00E31DF1" w:rsidRPr="00DF5198">
        <w:rPr>
          <w:rFonts w:ascii="Arial" w:hAnsi="Arial" w:cs="Arial"/>
          <w:sz w:val="24"/>
          <w:szCs w:val="24"/>
        </w:rPr>
        <w:t xml:space="preserve">proposed </w:t>
      </w:r>
      <w:r w:rsidR="00D84218" w:rsidRPr="00DF5198">
        <w:rPr>
          <w:rFonts w:ascii="Arial" w:hAnsi="Arial" w:cs="Arial"/>
          <w:sz w:val="24"/>
          <w:szCs w:val="24"/>
        </w:rPr>
        <w:t>restructuring</w:t>
      </w:r>
      <w:r w:rsidR="00E31DF1" w:rsidRPr="00DF5198">
        <w:rPr>
          <w:rFonts w:ascii="Arial" w:hAnsi="Arial" w:cs="Arial"/>
          <w:sz w:val="24"/>
          <w:szCs w:val="24"/>
        </w:rPr>
        <w:t xml:space="preserve">. </w:t>
      </w:r>
      <w:r w:rsidR="00567B01" w:rsidRPr="00DF5198">
        <w:rPr>
          <w:rFonts w:ascii="Arial" w:hAnsi="Arial" w:cs="Arial"/>
          <w:sz w:val="24"/>
          <w:szCs w:val="24"/>
        </w:rPr>
        <w:t>She lacked</w:t>
      </w:r>
      <w:r w:rsidR="007F7C47" w:rsidRPr="00DF5198">
        <w:rPr>
          <w:rFonts w:ascii="Arial" w:hAnsi="Arial" w:cs="Arial"/>
          <w:sz w:val="24"/>
          <w:szCs w:val="24"/>
        </w:rPr>
        <w:t xml:space="preserve"> personal knowledge of the matter and was not </w:t>
      </w:r>
      <w:r w:rsidR="00097592" w:rsidRPr="00DF5198">
        <w:rPr>
          <w:rFonts w:ascii="Arial" w:hAnsi="Arial" w:cs="Arial"/>
          <w:sz w:val="24"/>
          <w:szCs w:val="24"/>
        </w:rPr>
        <w:t>able</w:t>
      </w:r>
      <w:r w:rsidR="007F7C47" w:rsidRPr="00DF5198">
        <w:rPr>
          <w:rFonts w:ascii="Arial" w:hAnsi="Arial" w:cs="Arial"/>
          <w:sz w:val="24"/>
          <w:szCs w:val="24"/>
        </w:rPr>
        <w:t xml:space="preserve"> to swear positively to the facts thereof</w:t>
      </w:r>
      <w:r w:rsidR="005D2BA0" w:rsidRPr="00DF5198">
        <w:rPr>
          <w:rFonts w:ascii="Arial" w:hAnsi="Arial" w:cs="Arial"/>
          <w:sz w:val="24"/>
          <w:szCs w:val="24"/>
        </w:rPr>
        <w:t>.</w:t>
      </w:r>
    </w:p>
    <w:p w14:paraId="0EF10DBA" w14:textId="77777777" w:rsidR="009D1F91" w:rsidRPr="009D1F91" w:rsidRDefault="009D1F91" w:rsidP="009D1F91">
      <w:pPr>
        <w:pStyle w:val="ListParagraph"/>
        <w:rPr>
          <w:rFonts w:ascii="Arial" w:hAnsi="Arial" w:cs="Arial"/>
          <w:sz w:val="24"/>
          <w:szCs w:val="24"/>
        </w:rPr>
      </w:pPr>
    </w:p>
    <w:p w14:paraId="59090BF3" w14:textId="578F0AAA" w:rsidR="00E0597F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[12]</w:t>
      </w:r>
      <w:r w:rsidRPr="009D1F91">
        <w:rPr>
          <w:rFonts w:ascii="Arial" w:hAnsi="Arial" w:cs="Arial"/>
          <w:sz w:val="24"/>
          <w:szCs w:val="24"/>
        </w:rPr>
        <w:tab/>
      </w:r>
      <w:r w:rsidR="00E0597F" w:rsidRPr="00DF5198">
        <w:rPr>
          <w:rFonts w:ascii="Arial" w:hAnsi="Arial" w:cs="Arial"/>
          <w:sz w:val="24"/>
          <w:szCs w:val="24"/>
        </w:rPr>
        <w:t xml:space="preserve">Furthermore, </w:t>
      </w:r>
      <w:r w:rsidR="002D4833" w:rsidRPr="00DF5198">
        <w:rPr>
          <w:rFonts w:ascii="Arial" w:hAnsi="Arial" w:cs="Arial"/>
          <w:sz w:val="24"/>
          <w:szCs w:val="24"/>
        </w:rPr>
        <w:t xml:space="preserve">the </w:t>
      </w:r>
      <w:r w:rsidR="0033305D" w:rsidRPr="00DF5198">
        <w:rPr>
          <w:rFonts w:ascii="Arial" w:hAnsi="Arial" w:cs="Arial"/>
          <w:sz w:val="24"/>
          <w:szCs w:val="24"/>
        </w:rPr>
        <w:t xml:space="preserve">cession agreement attached to Ms Mayola’s affidavit </w:t>
      </w:r>
      <w:r w:rsidR="00551A73" w:rsidRPr="00DF5198">
        <w:rPr>
          <w:rFonts w:ascii="Arial" w:hAnsi="Arial" w:cs="Arial"/>
          <w:sz w:val="24"/>
          <w:szCs w:val="24"/>
        </w:rPr>
        <w:t>was dated 18 July 2017</w:t>
      </w:r>
      <w:r w:rsidR="00A765E7" w:rsidRPr="00DF5198">
        <w:rPr>
          <w:rFonts w:ascii="Arial" w:hAnsi="Arial" w:cs="Arial"/>
          <w:sz w:val="24"/>
          <w:szCs w:val="24"/>
        </w:rPr>
        <w:t xml:space="preserve">. </w:t>
      </w:r>
      <w:r w:rsidR="00441705" w:rsidRPr="00DF5198">
        <w:rPr>
          <w:rFonts w:ascii="Arial" w:hAnsi="Arial" w:cs="Arial"/>
          <w:sz w:val="24"/>
          <w:szCs w:val="24"/>
        </w:rPr>
        <w:t xml:space="preserve">It contemplated </w:t>
      </w:r>
      <w:r w:rsidR="005B67F6" w:rsidRPr="00DF5198">
        <w:rPr>
          <w:rFonts w:ascii="Arial" w:hAnsi="Arial" w:cs="Arial"/>
          <w:sz w:val="24"/>
          <w:szCs w:val="24"/>
        </w:rPr>
        <w:t xml:space="preserve">VFS’s </w:t>
      </w:r>
      <w:r w:rsidR="00441705" w:rsidRPr="00DF5198">
        <w:rPr>
          <w:rFonts w:ascii="Arial" w:hAnsi="Arial" w:cs="Arial"/>
          <w:sz w:val="24"/>
          <w:szCs w:val="24"/>
        </w:rPr>
        <w:t>sale of</w:t>
      </w:r>
      <w:r w:rsidR="005B67F6" w:rsidRPr="00DF5198">
        <w:rPr>
          <w:rFonts w:ascii="Arial" w:hAnsi="Arial" w:cs="Arial"/>
          <w:sz w:val="24"/>
          <w:szCs w:val="24"/>
        </w:rPr>
        <w:t xml:space="preserve"> ‘participating assets’, which </w:t>
      </w:r>
      <w:r w:rsidR="000A447F" w:rsidRPr="00DF5198">
        <w:rPr>
          <w:rFonts w:ascii="Arial" w:hAnsi="Arial" w:cs="Arial"/>
          <w:sz w:val="24"/>
          <w:szCs w:val="24"/>
        </w:rPr>
        <w:t xml:space="preserve">included ISAs </w:t>
      </w:r>
      <w:r w:rsidR="00F161C2" w:rsidRPr="00DF5198">
        <w:rPr>
          <w:rFonts w:ascii="Arial" w:hAnsi="Arial" w:cs="Arial"/>
          <w:sz w:val="24"/>
          <w:szCs w:val="24"/>
        </w:rPr>
        <w:t xml:space="preserve">of </w:t>
      </w:r>
      <w:r w:rsidR="00F161C2" w:rsidRPr="00DF5198">
        <w:rPr>
          <w:rFonts w:ascii="Arial" w:hAnsi="Arial" w:cs="Arial"/>
          <w:sz w:val="24"/>
          <w:szCs w:val="24"/>
        </w:rPr>
        <w:lastRenderedPageBreak/>
        <w:t xml:space="preserve">the type </w:t>
      </w:r>
      <w:r w:rsidR="000A447F" w:rsidRPr="00DF5198">
        <w:rPr>
          <w:rFonts w:ascii="Arial" w:hAnsi="Arial" w:cs="Arial"/>
          <w:sz w:val="24"/>
          <w:szCs w:val="24"/>
        </w:rPr>
        <w:t xml:space="preserve">that </w:t>
      </w:r>
      <w:r w:rsidR="005300BB" w:rsidRPr="00DF5198">
        <w:rPr>
          <w:rFonts w:ascii="Arial" w:hAnsi="Arial" w:cs="Arial"/>
          <w:sz w:val="24"/>
          <w:szCs w:val="24"/>
        </w:rPr>
        <w:t>forms the subject of the present matter.</w:t>
      </w:r>
      <w:r w:rsidR="007854AE" w:rsidRPr="00DF5198">
        <w:rPr>
          <w:rFonts w:ascii="Arial" w:hAnsi="Arial" w:cs="Arial"/>
          <w:sz w:val="24"/>
          <w:szCs w:val="24"/>
        </w:rPr>
        <w:t xml:space="preserve"> The cession also contemplated the sale of ‘subsequent participating assets’</w:t>
      </w:r>
      <w:r w:rsidR="003F713C" w:rsidRPr="00DF5198">
        <w:rPr>
          <w:rFonts w:ascii="Arial" w:hAnsi="Arial" w:cs="Arial"/>
          <w:sz w:val="24"/>
          <w:szCs w:val="24"/>
        </w:rPr>
        <w:t xml:space="preserve">, which </w:t>
      </w:r>
      <w:r w:rsidR="004F0396" w:rsidRPr="00DF5198">
        <w:rPr>
          <w:rFonts w:ascii="Arial" w:hAnsi="Arial" w:cs="Arial"/>
          <w:sz w:val="24"/>
          <w:szCs w:val="24"/>
        </w:rPr>
        <w:t xml:space="preserve">pertained </w:t>
      </w:r>
      <w:r w:rsidR="00D10213" w:rsidRPr="00DF5198">
        <w:rPr>
          <w:rFonts w:ascii="Arial" w:hAnsi="Arial" w:cs="Arial"/>
          <w:sz w:val="24"/>
          <w:szCs w:val="24"/>
        </w:rPr>
        <w:t xml:space="preserve">directly </w:t>
      </w:r>
      <w:r w:rsidR="004F0396" w:rsidRPr="00DF5198">
        <w:rPr>
          <w:rFonts w:ascii="Arial" w:hAnsi="Arial" w:cs="Arial"/>
          <w:sz w:val="24"/>
          <w:szCs w:val="24"/>
        </w:rPr>
        <w:t xml:space="preserve">to the </w:t>
      </w:r>
      <w:r w:rsidR="00C87E5B" w:rsidRPr="00DF5198">
        <w:rPr>
          <w:rFonts w:ascii="Arial" w:hAnsi="Arial" w:cs="Arial"/>
          <w:sz w:val="24"/>
          <w:szCs w:val="24"/>
        </w:rPr>
        <w:t xml:space="preserve">later </w:t>
      </w:r>
      <w:r w:rsidR="004F0396" w:rsidRPr="00DF5198">
        <w:rPr>
          <w:rFonts w:ascii="Arial" w:hAnsi="Arial" w:cs="Arial"/>
          <w:sz w:val="24"/>
          <w:szCs w:val="24"/>
        </w:rPr>
        <w:t xml:space="preserve">ISA concluded </w:t>
      </w:r>
      <w:r w:rsidR="00D10213" w:rsidRPr="00DF5198">
        <w:rPr>
          <w:rFonts w:ascii="Arial" w:hAnsi="Arial" w:cs="Arial"/>
          <w:sz w:val="24"/>
          <w:szCs w:val="24"/>
        </w:rPr>
        <w:t xml:space="preserve">by the plaintiff and defendant </w:t>
      </w:r>
      <w:r w:rsidR="00133DFA" w:rsidRPr="00DF5198">
        <w:rPr>
          <w:rFonts w:ascii="Arial" w:hAnsi="Arial" w:cs="Arial"/>
          <w:sz w:val="24"/>
          <w:szCs w:val="24"/>
        </w:rPr>
        <w:t xml:space="preserve">on </w:t>
      </w:r>
      <w:r w:rsidR="00926616" w:rsidRPr="00DF5198">
        <w:rPr>
          <w:rFonts w:ascii="Arial" w:hAnsi="Arial" w:cs="Arial"/>
          <w:sz w:val="24"/>
          <w:szCs w:val="24"/>
        </w:rPr>
        <w:t xml:space="preserve">23 December 2020. </w:t>
      </w:r>
      <w:r w:rsidR="0081425F" w:rsidRPr="00DF5198">
        <w:rPr>
          <w:rFonts w:ascii="Arial" w:hAnsi="Arial" w:cs="Arial"/>
          <w:sz w:val="24"/>
          <w:szCs w:val="24"/>
        </w:rPr>
        <w:t>Any such sale</w:t>
      </w:r>
      <w:r w:rsidR="008E7081" w:rsidRPr="00DF5198">
        <w:rPr>
          <w:rFonts w:ascii="Arial" w:hAnsi="Arial" w:cs="Arial"/>
          <w:sz w:val="24"/>
          <w:szCs w:val="24"/>
        </w:rPr>
        <w:t xml:space="preserve"> </w:t>
      </w:r>
      <w:r w:rsidR="00C72C55" w:rsidRPr="00DF5198">
        <w:rPr>
          <w:rFonts w:ascii="Arial" w:hAnsi="Arial" w:cs="Arial"/>
          <w:sz w:val="24"/>
          <w:szCs w:val="24"/>
        </w:rPr>
        <w:t xml:space="preserve">had to </w:t>
      </w:r>
      <w:r w:rsidR="0081425F" w:rsidRPr="00DF5198">
        <w:rPr>
          <w:rFonts w:ascii="Arial" w:hAnsi="Arial" w:cs="Arial"/>
          <w:sz w:val="24"/>
          <w:szCs w:val="24"/>
        </w:rPr>
        <w:t xml:space="preserve">comply with </w:t>
      </w:r>
      <w:r w:rsidR="00344A07" w:rsidRPr="00DF5198">
        <w:rPr>
          <w:rFonts w:ascii="Arial" w:hAnsi="Arial" w:cs="Arial"/>
          <w:sz w:val="24"/>
          <w:szCs w:val="24"/>
        </w:rPr>
        <w:t xml:space="preserve">the </w:t>
      </w:r>
      <w:r w:rsidR="002E1EC6" w:rsidRPr="00DF5198">
        <w:rPr>
          <w:rFonts w:ascii="Arial" w:hAnsi="Arial" w:cs="Arial"/>
          <w:sz w:val="24"/>
          <w:szCs w:val="24"/>
        </w:rPr>
        <w:t>stipulated</w:t>
      </w:r>
      <w:r w:rsidR="00990094" w:rsidRPr="00DF5198">
        <w:rPr>
          <w:rFonts w:ascii="Arial" w:hAnsi="Arial" w:cs="Arial"/>
          <w:sz w:val="24"/>
          <w:szCs w:val="24"/>
        </w:rPr>
        <w:t xml:space="preserve"> preconditions.</w:t>
      </w:r>
      <w:r w:rsidR="0081425F" w:rsidRPr="00DF5198">
        <w:rPr>
          <w:rFonts w:ascii="Arial" w:hAnsi="Arial" w:cs="Arial"/>
          <w:sz w:val="24"/>
          <w:szCs w:val="24"/>
        </w:rPr>
        <w:t xml:space="preserve"> The plaintiff, argued the defendant, had failed to </w:t>
      </w:r>
      <w:r w:rsidR="00E002C1" w:rsidRPr="00DF5198">
        <w:rPr>
          <w:rFonts w:ascii="Arial" w:hAnsi="Arial" w:cs="Arial"/>
          <w:sz w:val="24"/>
          <w:szCs w:val="24"/>
        </w:rPr>
        <w:t>indicate w</w:t>
      </w:r>
      <w:r w:rsidR="00234037" w:rsidRPr="00DF5198">
        <w:rPr>
          <w:rFonts w:ascii="Arial" w:hAnsi="Arial" w:cs="Arial"/>
          <w:sz w:val="24"/>
          <w:szCs w:val="24"/>
        </w:rPr>
        <w:t>he</w:t>
      </w:r>
      <w:r w:rsidR="00E002C1" w:rsidRPr="00DF5198">
        <w:rPr>
          <w:rFonts w:ascii="Arial" w:hAnsi="Arial" w:cs="Arial"/>
          <w:sz w:val="24"/>
          <w:szCs w:val="24"/>
        </w:rPr>
        <w:t>th</w:t>
      </w:r>
      <w:r w:rsidR="00234037" w:rsidRPr="00DF5198">
        <w:rPr>
          <w:rFonts w:ascii="Arial" w:hAnsi="Arial" w:cs="Arial"/>
          <w:sz w:val="24"/>
          <w:szCs w:val="24"/>
        </w:rPr>
        <w:t>er</w:t>
      </w:r>
      <w:r w:rsidR="00E002C1" w:rsidRPr="00DF5198">
        <w:rPr>
          <w:rFonts w:ascii="Arial" w:hAnsi="Arial" w:cs="Arial"/>
          <w:sz w:val="24"/>
          <w:szCs w:val="24"/>
        </w:rPr>
        <w:t xml:space="preserve"> it had indeed done so.</w:t>
      </w:r>
    </w:p>
    <w:p w14:paraId="6DD80DE5" w14:textId="77777777" w:rsidR="00D466FB" w:rsidRDefault="00D466FB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7511D07C" w14:textId="49B08D02" w:rsidR="00D466FB" w:rsidRPr="00014CFE" w:rsidRDefault="00D466FB" w:rsidP="00611E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14CFE">
        <w:rPr>
          <w:rFonts w:ascii="Arial" w:hAnsi="Arial" w:cs="Arial"/>
          <w:b/>
          <w:bCs/>
          <w:sz w:val="24"/>
          <w:szCs w:val="24"/>
        </w:rPr>
        <w:t>Issues to be decided</w:t>
      </w:r>
    </w:p>
    <w:p w14:paraId="4C83C9F9" w14:textId="77777777" w:rsidR="00D466FB" w:rsidRDefault="00D466FB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25FE8702" w14:textId="562CA941" w:rsidR="009D1F91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[13]</w:t>
      </w:r>
      <w:r>
        <w:rPr>
          <w:rFonts w:ascii="Arial" w:hAnsi="Arial" w:cs="Arial"/>
          <w:sz w:val="24"/>
          <w:szCs w:val="24"/>
        </w:rPr>
        <w:tab/>
      </w:r>
      <w:r w:rsidR="007A5E09" w:rsidRPr="00DF5198">
        <w:rPr>
          <w:rFonts w:ascii="Arial" w:hAnsi="Arial" w:cs="Arial"/>
          <w:sz w:val="24"/>
          <w:szCs w:val="24"/>
        </w:rPr>
        <w:t>The present matter is characterised by a swirl of defences raised by the respondent</w:t>
      </w:r>
      <w:r w:rsidR="001F6A20" w:rsidRPr="00DF5198">
        <w:rPr>
          <w:rFonts w:ascii="Arial" w:hAnsi="Arial" w:cs="Arial"/>
          <w:sz w:val="24"/>
          <w:szCs w:val="24"/>
        </w:rPr>
        <w:t>, mostly technical in nature.</w:t>
      </w:r>
      <w:r w:rsidR="00041F81" w:rsidRPr="00DF5198">
        <w:rPr>
          <w:rFonts w:ascii="Arial" w:hAnsi="Arial" w:cs="Arial"/>
          <w:sz w:val="24"/>
          <w:szCs w:val="24"/>
        </w:rPr>
        <w:t xml:space="preserve"> </w:t>
      </w:r>
      <w:r w:rsidR="0066076E" w:rsidRPr="00DF5198">
        <w:rPr>
          <w:rFonts w:ascii="Arial" w:hAnsi="Arial" w:cs="Arial"/>
          <w:sz w:val="24"/>
          <w:szCs w:val="24"/>
        </w:rPr>
        <w:t>The</w:t>
      </w:r>
      <w:r w:rsidR="00D946BF" w:rsidRPr="00DF5198">
        <w:rPr>
          <w:rFonts w:ascii="Arial" w:hAnsi="Arial" w:cs="Arial"/>
          <w:sz w:val="24"/>
          <w:szCs w:val="24"/>
        </w:rPr>
        <w:t xml:space="preserve">re </w:t>
      </w:r>
      <w:r w:rsidR="0066076E" w:rsidRPr="00DF5198">
        <w:rPr>
          <w:rFonts w:ascii="Arial" w:hAnsi="Arial" w:cs="Arial"/>
          <w:sz w:val="24"/>
          <w:szCs w:val="24"/>
        </w:rPr>
        <w:t xml:space="preserve">appear to have </w:t>
      </w:r>
      <w:r w:rsidR="00486411" w:rsidRPr="00DF5198">
        <w:rPr>
          <w:rFonts w:ascii="Arial" w:hAnsi="Arial" w:cs="Arial"/>
          <w:sz w:val="24"/>
          <w:szCs w:val="24"/>
        </w:rPr>
        <w:t xml:space="preserve">been subtle </w:t>
      </w:r>
      <w:r w:rsidR="0066076E" w:rsidRPr="00DF5198">
        <w:rPr>
          <w:rFonts w:ascii="Arial" w:hAnsi="Arial" w:cs="Arial"/>
          <w:sz w:val="24"/>
          <w:szCs w:val="24"/>
        </w:rPr>
        <w:t>change</w:t>
      </w:r>
      <w:r w:rsidR="00486411" w:rsidRPr="00DF5198">
        <w:rPr>
          <w:rFonts w:ascii="Arial" w:hAnsi="Arial" w:cs="Arial"/>
          <w:sz w:val="24"/>
          <w:szCs w:val="24"/>
        </w:rPr>
        <w:t xml:space="preserve">s in the colour and intensity of the defences </w:t>
      </w:r>
      <w:r w:rsidR="002D2039" w:rsidRPr="00DF5198">
        <w:rPr>
          <w:rFonts w:ascii="Arial" w:hAnsi="Arial" w:cs="Arial"/>
          <w:sz w:val="24"/>
          <w:szCs w:val="24"/>
        </w:rPr>
        <w:t>over time</w:t>
      </w:r>
      <w:r w:rsidR="00E11C7B" w:rsidRPr="00DF5198">
        <w:rPr>
          <w:rFonts w:ascii="Arial" w:hAnsi="Arial" w:cs="Arial"/>
          <w:sz w:val="24"/>
          <w:szCs w:val="24"/>
        </w:rPr>
        <w:t>.</w:t>
      </w:r>
      <w:r w:rsidR="0030373C" w:rsidRPr="00DF5198">
        <w:rPr>
          <w:rFonts w:ascii="Arial" w:hAnsi="Arial" w:cs="Arial"/>
          <w:sz w:val="24"/>
          <w:szCs w:val="24"/>
        </w:rPr>
        <w:t xml:space="preserve"> </w:t>
      </w:r>
    </w:p>
    <w:p w14:paraId="58A349C5" w14:textId="77777777" w:rsidR="009D1F91" w:rsidRDefault="009D1F91" w:rsidP="009D1F9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EB301A" w14:textId="1A3E4EFB" w:rsidR="009D1F91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EC2855" w:rsidRPr="00DF5198">
        <w:rPr>
          <w:rFonts w:ascii="Arial" w:hAnsi="Arial" w:cs="Arial"/>
          <w:sz w:val="24"/>
          <w:szCs w:val="24"/>
        </w:rPr>
        <w:t xml:space="preserve">When </w:t>
      </w:r>
      <w:r w:rsidR="00D466FB" w:rsidRPr="00DF5198">
        <w:rPr>
          <w:rFonts w:ascii="Arial" w:hAnsi="Arial" w:cs="Arial"/>
          <w:sz w:val="24"/>
          <w:szCs w:val="24"/>
        </w:rPr>
        <w:t xml:space="preserve">the matter was argued, </w:t>
      </w:r>
      <w:r w:rsidR="00E11C7B" w:rsidRPr="00DF5198">
        <w:rPr>
          <w:rFonts w:ascii="Arial" w:hAnsi="Arial" w:cs="Arial"/>
          <w:sz w:val="24"/>
          <w:szCs w:val="24"/>
        </w:rPr>
        <w:t xml:space="preserve">however, </w:t>
      </w:r>
      <w:r w:rsidR="00D466FB" w:rsidRPr="00DF5198">
        <w:rPr>
          <w:rFonts w:ascii="Arial" w:hAnsi="Arial" w:cs="Arial"/>
          <w:sz w:val="24"/>
          <w:szCs w:val="24"/>
        </w:rPr>
        <w:t xml:space="preserve">the parties had </w:t>
      </w:r>
      <w:r w:rsidR="00232F33" w:rsidRPr="00DF5198">
        <w:rPr>
          <w:rFonts w:ascii="Arial" w:hAnsi="Arial" w:cs="Arial"/>
          <w:sz w:val="24"/>
          <w:szCs w:val="24"/>
        </w:rPr>
        <w:t xml:space="preserve">crystallised </w:t>
      </w:r>
      <w:r w:rsidR="00D466FB" w:rsidRPr="00DF5198">
        <w:rPr>
          <w:rFonts w:ascii="Arial" w:hAnsi="Arial" w:cs="Arial"/>
          <w:sz w:val="24"/>
          <w:szCs w:val="24"/>
        </w:rPr>
        <w:t>the issues</w:t>
      </w:r>
      <w:r w:rsidR="00014CFE" w:rsidRPr="00DF5198">
        <w:rPr>
          <w:rFonts w:ascii="Arial" w:hAnsi="Arial" w:cs="Arial"/>
          <w:sz w:val="24"/>
          <w:szCs w:val="24"/>
        </w:rPr>
        <w:t xml:space="preserve"> to the following</w:t>
      </w:r>
      <w:r w:rsidR="00B7735E" w:rsidRPr="00DF5198">
        <w:rPr>
          <w:rFonts w:ascii="Arial" w:hAnsi="Arial" w:cs="Arial"/>
          <w:sz w:val="24"/>
          <w:szCs w:val="24"/>
        </w:rPr>
        <w:t>:</w:t>
      </w:r>
      <w:r w:rsidR="00D22ED8" w:rsidRPr="00DF5198">
        <w:rPr>
          <w:rFonts w:ascii="Arial" w:hAnsi="Arial" w:cs="Arial"/>
          <w:sz w:val="24"/>
          <w:szCs w:val="24"/>
        </w:rPr>
        <w:t xml:space="preserve"> (a) whether Ms </w:t>
      </w:r>
      <w:r w:rsidR="001467AE" w:rsidRPr="00DF5198">
        <w:rPr>
          <w:rFonts w:ascii="Arial" w:hAnsi="Arial" w:cs="Arial"/>
          <w:sz w:val="24"/>
          <w:szCs w:val="24"/>
        </w:rPr>
        <w:t xml:space="preserve">Mayola </w:t>
      </w:r>
      <w:r w:rsidR="00CF3DC7" w:rsidRPr="00DF5198">
        <w:rPr>
          <w:rFonts w:ascii="Arial" w:hAnsi="Arial" w:cs="Arial"/>
          <w:sz w:val="24"/>
          <w:szCs w:val="24"/>
        </w:rPr>
        <w:t xml:space="preserve">could swear positively to the facts, as envisaged under </w:t>
      </w:r>
      <w:r w:rsidR="00BC6A05" w:rsidRPr="00DF5198">
        <w:rPr>
          <w:rFonts w:ascii="Arial" w:hAnsi="Arial" w:cs="Arial"/>
          <w:sz w:val="24"/>
          <w:szCs w:val="24"/>
        </w:rPr>
        <w:t>rule 32(2)</w:t>
      </w:r>
      <w:r w:rsidR="004E5F1A" w:rsidRPr="00DF5198">
        <w:rPr>
          <w:rFonts w:ascii="Arial" w:hAnsi="Arial" w:cs="Arial"/>
          <w:sz w:val="24"/>
          <w:szCs w:val="24"/>
        </w:rPr>
        <w:t xml:space="preserve"> of the Uniform Rules of Court (‘URC’)</w:t>
      </w:r>
      <w:r w:rsidR="00BC6A05" w:rsidRPr="00DF5198">
        <w:rPr>
          <w:rFonts w:ascii="Arial" w:hAnsi="Arial" w:cs="Arial"/>
          <w:sz w:val="24"/>
          <w:szCs w:val="24"/>
        </w:rPr>
        <w:t xml:space="preserve">; and (b) </w:t>
      </w:r>
      <w:r w:rsidR="00DE283A" w:rsidRPr="00DF5198">
        <w:rPr>
          <w:rFonts w:ascii="Arial" w:hAnsi="Arial" w:cs="Arial"/>
          <w:sz w:val="24"/>
          <w:szCs w:val="24"/>
        </w:rPr>
        <w:t xml:space="preserve">the </w:t>
      </w:r>
      <w:r w:rsidR="003C67C1" w:rsidRPr="00DF5198">
        <w:rPr>
          <w:rFonts w:ascii="Arial" w:hAnsi="Arial" w:cs="Arial"/>
          <w:sz w:val="24"/>
          <w:szCs w:val="24"/>
        </w:rPr>
        <w:t xml:space="preserve">effect of the plaintiff’s alleged non-compliance with </w:t>
      </w:r>
      <w:r w:rsidR="00C5539F" w:rsidRPr="00DF5198">
        <w:rPr>
          <w:rFonts w:ascii="Arial" w:hAnsi="Arial" w:cs="Arial"/>
          <w:sz w:val="24"/>
          <w:szCs w:val="24"/>
        </w:rPr>
        <w:t>rule 18(6)</w:t>
      </w:r>
      <w:r w:rsidR="004E5F1A" w:rsidRPr="00DF5198">
        <w:rPr>
          <w:rFonts w:ascii="Arial" w:hAnsi="Arial" w:cs="Arial"/>
          <w:sz w:val="24"/>
          <w:szCs w:val="24"/>
        </w:rPr>
        <w:t>.</w:t>
      </w:r>
    </w:p>
    <w:p w14:paraId="62A11A87" w14:textId="77777777" w:rsidR="009D1F91" w:rsidRPr="009D1F91" w:rsidRDefault="009D1F91" w:rsidP="009D1F91">
      <w:pPr>
        <w:pStyle w:val="ListParagraph"/>
        <w:rPr>
          <w:rFonts w:ascii="Arial" w:hAnsi="Arial" w:cs="Arial"/>
          <w:sz w:val="24"/>
          <w:szCs w:val="24"/>
        </w:rPr>
      </w:pPr>
    </w:p>
    <w:p w14:paraId="3C069565" w14:textId="13468DA0" w:rsidR="006B41D6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[15]</w:t>
      </w:r>
      <w:r w:rsidRPr="009D1F91">
        <w:rPr>
          <w:rFonts w:ascii="Arial" w:hAnsi="Arial" w:cs="Arial"/>
          <w:sz w:val="24"/>
          <w:szCs w:val="24"/>
        </w:rPr>
        <w:tab/>
      </w:r>
      <w:r w:rsidR="00CB7902" w:rsidRPr="00DF5198">
        <w:rPr>
          <w:rFonts w:ascii="Arial" w:hAnsi="Arial" w:cs="Arial"/>
          <w:sz w:val="24"/>
          <w:szCs w:val="24"/>
        </w:rPr>
        <w:t>A brief consideration of the applicable legal framework follows.</w:t>
      </w:r>
    </w:p>
    <w:p w14:paraId="14DE6E00" w14:textId="77777777" w:rsidR="00CB7902" w:rsidRDefault="00CB7902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7E171441" w14:textId="6FCAC881" w:rsidR="00CB7902" w:rsidRPr="007A048E" w:rsidRDefault="00CB7902" w:rsidP="00611E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A048E">
        <w:rPr>
          <w:rFonts w:ascii="Arial" w:hAnsi="Arial" w:cs="Arial"/>
          <w:b/>
          <w:bCs/>
          <w:sz w:val="24"/>
          <w:szCs w:val="24"/>
        </w:rPr>
        <w:t>Legal framework</w:t>
      </w:r>
    </w:p>
    <w:p w14:paraId="7576907D" w14:textId="77777777" w:rsidR="00CB7902" w:rsidRDefault="00CB7902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2A03E036" w14:textId="5F7BF084" w:rsidR="009D1F91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</w:t>
      </w:r>
      <w:r>
        <w:rPr>
          <w:rFonts w:ascii="Arial" w:hAnsi="Arial" w:cs="Arial"/>
          <w:sz w:val="24"/>
          <w:szCs w:val="24"/>
        </w:rPr>
        <w:tab/>
      </w:r>
      <w:r w:rsidR="001F0CCC" w:rsidRPr="00DF5198">
        <w:rPr>
          <w:rFonts w:ascii="Arial" w:hAnsi="Arial" w:cs="Arial"/>
          <w:sz w:val="24"/>
          <w:szCs w:val="24"/>
        </w:rPr>
        <w:t>The</w:t>
      </w:r>
      <w:r w:rsidR="00CB7902" w:rsidRPr="00DF5198">
        <w:rPr>
          <w:rFonts w:ascii="Arial" w:hAnsi="Arial" w:cs="Arial"/>
          <w:sz w:val="24"/>
          <w:szCs w:val="24"/>
        </w:rPr>
        <w:t xml:space="preserve"> </w:t>
      </w:r>
      <w:r w:rsidR="007A048E" w:rsidRPr="00DF5198">
        <w:rPr>
          <w:rFonts w:ascii="Arial" w:hAnsi="Arial" w:cs="Arial"/>
          <w:sz w:val="24"/>
          <w:szCs w:val="24"/>
        </w:rPr>
        <w:t xml:space="preserve">summary judgment </w:t>
      </w:r>
      <w:r w:rsidR="001F0CCC" w:rsidRPr="00DF5198">
        <w:rPr>
          <w:rFonts w:ascii="Arial" w:hAnsi="Arial" w:cs="Arial"/>
          <w:sz w:val="24"/>
          <w:szCs w:val="24"/>
        </w:rPr>
        <w:t xml:space="preserve">procedure </w:t>
      </w:r>
      <w:r w:rsidR="00C30DE9" w:rsidRPr="00DF5198">
        <w:rPr>
          <w:rFonts w:ascii="Arial" w:hAnsi="Arial" w:cs="Arial"/>
          <w:sz w:val="24"/>
          <w:szCs w:val="24"/>
        </w:rPr>
        <w:t xml:space="preserve">contained in rule 32 was designed to prevent a plaintiff’s claim from being delayed </w:t>
      </w:r>
      <w:r w:rsidR="00285F0B" w:rsidRPr="00DF5198">
        <w:rPr>
          <w:rFonts w:ascii="Arial" w:hAnsi="Arial" w:cs="Arial"/>
          <w:sz w:val="24"/>
          <w:szCs w:val="24"/>
        </w:rPr>
        <w:t>by an abuse of court process.</w:t>
      </w:r>
      <w:r w:rsidR="005D2A56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A4610C" w:rsidRPr="00DF5198">
        <w:rPr>
          <w:rFonts w:ascii="Arial" w:hAnsi="Arial" w:cs="Arial"/>
          <w:sz w:val="24"/>
          <w:szCs w:val="24"/>
        </w:rPr>
        <w:t xml:space="preserve"> It </w:t>
      </w:r>
      <w:r w:rsidR="001F1677" w:rsidRPr="00DF5198">
        <w:rPr>
          <w:rFonts w:ascii="Arial" w:hAnsi="Arial" w:cs="Arial"/>
          <w:sz w:val="24"/>
          <w:szCs w:val="24"/>
        </w:rPr>
        <w:t>permit</w:t>
      </w:r>
      <w:r w:rsidR="00A4610C" w:rsidRPr="00DF5198">
        <w:rPr>
          <w:rFonts w:ascii="Arial" w:hAnsi="Arial" w:cs="Arial"/>
          <w:sz w:val="24"/>
          <w:szCs w:val="24"/>
        </w:rPr>
        <w:t xml:space="preserve">s the plaintiff to </w:t>
      </w:r>
      <w:r w:rsidR="001F1677" w:rsidRPr="00DF5198">
        <w:rPr>
          <w:rFonts w:ascii="Arial" w:hAnsi="Arial" w:cs="Arial"/>
          <w:sz w:val="24"/>
          <w:szCs w:val="24"/>
        </w:rPr>
        <w:t>approach the court</w:t>
      </w:r>
      <w:r w:rsidR="00E35E20" w:rsidRPr="00DF5198">
        <w:rPr>
          <w:rFonts w:ascii="Arial" w:hAnsi="Arial" w:cs="Arial"/>
          <w:sz w:val="24"/>
          <w:szCs w:val="24"/>
        </w:rPr>
        <w:t xml:space="preserve">, in </w:t>
      </w:r>
      <w:r w:rsidR="001F1677" w:rsidRPr="00DF5198">
        <w:rPr>
          <w:rFonts w:ascii="Arial" w:hAnsi="Arial" w:cs="Arial"/>
          <w:sz w:val="24"/>
          <w:szCs w:val="24"/>
        </w:rPr>
        <w:t>certain circumstances</w:t>
      </w:r>
      <w:r w:rsidR="00E35E20" w:rsidRPr="00DF5198">
        <w:rPr>
          <w:rFonts w:ascii="Arial" w:hAnsi="Arial" w:cs="Arial"/>
          <w:sz w:val="24"/>
          <w:szCs w:val="24"/>
        </w:rPr>
        <w:t xml:space="preserve">, for the granting of judgment in his or her favour </w:t>
      </w:r>
      <w:r w:rsidR="00B45479" w:rsidRPr="00DF5198">
        <w:rPr>
          <w:rFonts w:ascii="Arial" w:hAnsi="Arial" w:cs="Arial"/>
          <w:sz w:val="24"/>
          <w:szCs w:val="24"/>
        </w:rPr>
        <w:t xml:space="preserve">without </w:t>
      </w:r>
      <w:r w:rsidR="00C81815" w:rsidRPr="00DF5198">
        <w:rPr>
          <w:rFonts w:ascii="Arial" w:hAnsi="Arial" w:cs="Arial"/>
          <w:sz w:val="24"/>
          <w:szCs w:val="24"/>
        </w:rPr>
        <w:t xml:space="preserve">need for the delay and expense of proceeding to trial. Nevertheless, the procedure was not intended to </w:t>
      </w:r>
      <w:r w:rsidR="0036752B" w:rsidRPr="00DF5198">
        <w:rPr>
          <w:rFonts w:ascii="Arial" w:hAnsi="Arial" w:cs="Arial"/>
          <w:sz w:val="24"/>
          <w:szCs w:val="24"/>
        </w:rPr>
        <w:t xml:space="preserve">deny the defendant the </w:t>
      </w:r>
      <w:r w:rsidR="00E60A3D" w:rsidRPr="00DF5198">
        <w:rPr>
          <w:rFonts w:ascii="Arial" w:hAnsi="Arial" w:cs="Arial"/>
          <w:sz w:val="24"/>
          <w:szCs w:val="24"/>
        </w:rPr>
        <w:t>opportunity to present his or her defence to the court when there is indeed a triable issue.</w:t>
      </w:r>
      <w:r w:rsidR="00B66F21"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14:paraId="02365D5E" w14:textId="77777777" w:rsidR="009D1F91" w:rsidRDefault="009D1F91" w:rsidP="009D1F9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722119" w14:textId="70D781AB" w:rsidR="00C77F85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[17]</w:t>
      </w:r>
      <w:r w:rsidRPr="009D1F91">
        <w:rPr>
          <w:rFonts w:ascii="Arial" w:hAnsi="Arial" w:cs="Arial"/>
          <w:sz w:val="24"/>
          <w:szCs w:val="24"/>
        </w:rPr>
        <w:tab/>
      </w:r>
      <w:r w:rsidR="00C77F85" w:rsidRPr="00DF5198">
        <w:rPr>
          <w:rFonts w:ascii="Arial" w:hAnsi="Arial" w:cs="Arial"/>
          <w:sz w:val="24"/>
          <w:szCs w:val="24"/>
        </w:rPr>
        <w:t xml:space="preserve">The relevant portion of </w:t>
      </w:r>
      <w:r w:rsidR="005A678E" w:rsidRPr="00DF5198">
        <w:rPr>
          <w:rFonts w:ascii="Arial" w:hAnsi="Arial" w:cs="Arial"/>
          <w:sz w:val="24"/>
          <w:szCs w:val="24"/>
        </w:rPr>
        <w:t>rule 32 is set out below:</w:t>
      </w:r>
    </w:p>
    <w:p w14:paraId="6202089D" w14:textId="56871301" w:rsidR="005A678E" w:rsidRPr="00E10088" w:rsidRDefault="006F7C3D" w:rsidP="009D1F9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>‘(1)</w:t>
      </w:r>
      <w:r w:rsidRPr="00E10088">
        <w:rPr>
          <w:rFonts w:ascii="Arial" w:hAnsi="Arial" w:cs="Arial"/>
          <w:sz w:val="20"/>
          <w:szCs w:val="20"/>
        </w:rPr>
        <w:tab/>
        <w:t xml:space="preserve">The plaintiff may, after </w:t>
      </w:r>
      <w:r w:rsidR="00EC2063" w:rsidRPr="00E10088">
        <w:rPr>
          <w:rFonts w:ascii="Arial" w:hAnsi="Arial" w:cs="Arial"/>
          <w:sz w:val="20"/>
          <w:szCs w:val="20"/>
        </w:rPr>
        <w:t>the defendant has delivered a plea, apply to court for summary judgment on each of such claims in the summons</w:t>
      </w:r>
      <w:r w:rsidR="00E6294B" w:rsidRPr="00E10088">
        <w:rPr>
          <w:rFonts w:ascii="Arial" w:hAnsi="Arial" w:cs="Arial"/>
          <w:sz w:val="20"/>
          <w:szCs w:val="20"/>
        </w:rPr>
        <w:t xml:space="preserve"> as is only–</w:t>
      </w:r>
    </w:p>
    <w:p w14:paraId="475F6021" w14:textId="0B1DB189" w:rsidR="00E6294B" w:rsidRPr="00DF5198" w:rsidRDefault="00DF5198" w:rsidP="00DF5198">
      <w:pPr>
        <w:spacing w:line="360" w:lineRule="auto"/>
        <w:ind w:left="1800" w:hanging="36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lastRenderedPageBreak/>
        <w:t>(a)</w:t>
      </w:r>
      <w:r w:rsidRPr="00E10088">
        <w:rPr>
          <w:rFonts w:ascii="Arial" w:hAnsi="Arial" w:cs="Arial"/>
          <w:sz w:val="20"/>
          <w:szCs w:val="20"/>
        </w:rPr>
        <w:tab/>
      </w:r>
      <w:r w:rsidR="001F72BA" w:rsidRPr="00DF5198">
        <w:rPr>
          <w:rFonts w:ascii="Arial" w:hAnsi="Arial" w:cs="Arial"/>
          <w:sz w:val="20"/>
          <w:szCs w:val="20"/>
        </w:rPr>
        <w:t>…</w:t>
      </w:r>
    </w:p>
    <w:p w14:paraId="47930DB8" w14:textId="67824987" w:rsidR="00A34AC9" w:rsidRPr="00DF5198" w:rsidRDefault="00DF5198" w:rsidP="00DF5198">
      <w:pPr>
        <w:spacing w:line="360" w:lineRule="auto"/>
        <w:ind w:left="1800" w:hanging="36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>(b)</w:t>
      </w:r>
      <w:r w:rsidRPr="00E10088">
        <w:rPr>
          <w:rFonts w:ascii="Arial" w:hAnsi="Arial" w:cs="Arial"/>
          <w:sz w:val="20"/>
          <w:szCs w:val="20"/>
        </w:rPr>
        <w:tab/>
      </w:r>
      <w:r w:rsidR="00B4028A" w:rsidRPr="00DF5198">
        <w:rPr>
          <w:rFonts w:ascii="Arial" w:hAnsi="Arial" w:cs="Arial"/>
          <w:sz w:val="20"/>
          <w:szCs w:val="20"/>
        </w:rPr>
        <w:t>o</w:t>
      </w:r>
      <w:r w:rsidR="00A34AC9" w:rsidRPr="00DF5198">
        <w:rPr>
          <w:rFonts w:ascii="Arial" w:hAnsi="Arial" w:cs="Arial"/>
          <w:sz w:val="20"/>
          <w:szCs w:val="20"/>
        </w:rPr>
        <w:t>n a liquidated amount in money</w:t>
      </w:r>
      <w:r w:rsidR="00840B05" w:rsidRPr="00DF5198">
        <w:rPr>
          <w:rFonts w:ascii="Arial" w:hAnsi="Arial" w:cs="Arial"/>
          <w:sz w:val="20"/>
          <w:szCs w:val="20"/>
        </w:rPr>
        <w:t>;</w:t>
      </w:r>
    </w:p>
    <w:p w14:paraId="26B3E719" w14:textId="6B855176" w:rsidR="00840B05" w:rsidRPr="00DF5198" w:rsidRDefault="00DF5198" w:rsidP="00DF5198">
      <w:pPr>
        <w:spacing w:line="360" w:lineRule="auto"/>
        <w:ind w:left="1800" w:hanging="36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>(c)</w:t>
      </w:r>
      <w:r w:rsidRPr="00E10088">
        <w:rPr>
          <w:rFonts w:ascii="Arial" w:hAnsi="Arial" w:cs="Arial"/>
          <w:sz w:val="20"/>
          <w:szCs w:val="20"/>
        </w:rPr>
        <w:tab/>
      </w:r>
      <w:r w:rsidR="00840B05" w:rsidRPr="00DF5198">
        <w:rPr>
          <w:rFonts w:ascii="Arial" w:hAnsi="Arial" w:cs="Arial"/>
          <w:sz w:val="20"/>
          <w:szCs w:val="20"/>
        </w:rPr>
        <w:t>…</w:t>
      </w:r>
    </w:p>
    <w:p w14:paraId="7700DEFC" w14:textId="29D9825F" w:rsidR="00840B05" w:rsidRPr="00DF5198" w:rsidRDefault="00DF5198" w:rsidP="00DF5198">
      <w:pPr>
        <w:spacing w:line="360" w:lineRule="auto"/>
        <w:ind w:left="1800" w:hanging="36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>(d)</w:t>
      </w:r>
      <w:r w:rsidRPr="00E10088">
        <w:rPr>
          <w:rFonts w:ascii="Arial" w:hAnsi="Arial" w:cs="Arial"/>
          <w:sz w:val="20"/>
          <w:szCs w:val="20"/>
        </w:rPr>
        <w:tab/>
      </w:r>
      <w:r w:rsidR="00840B05" w:rsidRPr="00DF5198">
        <w:rPr>
          <w:rFonts w:ascii="Arial" w:hAnsi="Arial" w:cs="Arial"/>
          <w:sz w:val="20"/>
          <w:szCs w:val="20"/>
        </w:rPr>
        <w:t>…</w:t>
      </w:r>
    </w:p>
    <w:p w14:paraId="565A544A" w14:textId="47359B80" w:rsidR="00840B05" w:rsidRPr="00E10088" w:rsidRDefault="00B4028A" w:rsidP="009D1F9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>t</w:t>
      </w:r>
      <w:r w:rsidR="00840B05" w:rsidRPr="00E10088">
        <w:rPr>
          <w:rFonts w:ascii="Arial" w:hAnsi="Arial" w:cs="Arial"/>
          <w:sz w:val="20"/>
          <w:szCs w:val="20"/>
        </w:rPr>
        <w:t>ogether with</w:t>
      </w:r>
      <w:r w:rsidRPr="00E10088">
        <w:rPr>
          <w:rFonts w:ascii="Arial" w:hAnsi="Arial" w:cs="Arial"/>
          <w:sz w:val="20"/>
          <w:szCs w:val="20"/>
        </w:rPr>
        <w:t xml:space="preserve"> any claim for interest and costs.</w:t>
      </w:r>
    </w:p>
    <w:p w14:paraId="77F43692" w14:textId="571E6A24" w:rsidR="006D3979" w:rsidRPr="00E10088" w:rsidRDefault="006D3979" w:rsidP="009D1F91">
      <w:pPr>
        <w:spacing w:line="36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 xml:space="preserve">(2) </w:t>
      </w:r>
      <w:r w:rsidR="00936CE5" w:rsidRPr="00E10088">
        <w:rPr>
          <w:rFonts w:ascii="Arial" w:hAnsi="Arial" w:cs="Arial"/>
          <w:sz w:val="20"/>
          <w:szCs w:val="20"/>
        </w:rPr>
        <w:tab/>
      </w:r>
      <w:r w:rsidRPr="00E10088">
        <w:rPr>
          <w:rFonts w:ascii="Arial" w:hAnsi="Arial" w:cs="Arial"/>
          <w:sz w:val="20"/>
          <w:szCs w:val="20"/>
        </w:rPr>
        <w:t>(a)</w:t>
      </w:r>
      <w:r w:rsidRPr="00E10088">
        <w:rPr>
          <w:rFonts w:ascii="Arial" w:hAnsi="Arial" w:cs="Arial"/>
          <w:sz w:val="20"/>
          <w:szCs w:val="20"/>
        </w:rPr>
        <w:tab/>
        <w:t>Within 15 days after the date</w:t>
      </w:r>
      <w:r w:rsidR="00EF0FE4" w:rsidRPr="00E10088">
        <w:rPr>
          <w:rFonts w:ascii="Arial" w:hAnsi="Arial" w:cs="Arial"/>
          <w:sz w:val="20"/>
          <w:szCs w:val="20"/>
        </w:rPr>
        <w:t xml:space="preserve"> of delivery of the plea, the plaintiff shall deliver a notice of application for summary judgment, </w:t>
      </w:r>
      <w:r w:rsidR="006F608C" w:rsidRPr="00E10088">
        <w:rPr>
          <w:rFonts w:ascii="Arial" w:hAnsi="Arial" w:cs="Arial"/>
          <w:sz w:val="20"/>
          <w:szCs w:val="20"/>
        </w:rPr>
        <w:t>together with an affidavit made by the plaintiff or by any other person who can swear positively to the facts</w:t>
      </w:r>
      <w:r w:rsidR="00E14ACC" w:rsidRPr="00E10088">
        <w:rPr>
          <w:rFonts w:ascii="Arial" w:hAnsi="Arial" w:cs="Arial"/>
          <w:sz w:val="20"/>
          <w:szCs w:val="20"/>
        </w:rPr>
        <w:t>.</w:t>
      </w:r>
    </w:p>
    <w:p w14:paraId="782471A9" w14:textId="41FE90BC" w:rsidR="00E14ACC" w:rsidRPr="00E10088" w:rsidRDefault="00E14ACC" w:rsidP="009D1F91">
      <w:pPr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 xml:space="preserve">(b) The plaintiff shall, in the affidavit referred to in </w:t>
      </w:r>
      <w:r w:rsidR="006D6368" w:rsidRPr="00E10088">
        <w:rPr>
          <w:rFonts w:ascii="Arial" w:hAnsi="Arial" w:cs="Arial"/>
          <w:sz w:val="20"/>
          <w:szCs w:val="20"/>
        </w:rPr>
        <w:t>sub-rule (2)(a), verify the cause of action and the amount</w:t>
      </w:r>
      <w:r w:rsidR="00210C0C" w:rsidRPr="00E10088">
        <w:rPr>
          <w:rFonts w:ascii="Arial" w:hAnsi="Arial" w:cs="Arial"/>
          <w:sz w:val="20"/>
          <w:szCs w:val="20"/>
        </w:rPr>
        <w:t xml:space="preserve">, if any, claimed, and identify any point of law relied upon </w:t>
      </w:r>
      <w:r w:rsidR="00F0053D" w:rsidRPr="00E10088">
        <w:rPr>
          <w:rFonts w:ascii="Arial" w:hAnsi="Arial" w:cs="Arial"/>
          <w:sz w:val="20"/>
          <w:szCs w:val="20"/>
        </w:rPr>
        <w:t>and the facts upon which the plaintiff’s claim is based, and explain briefly why</w:t>
      </w:r>
      <w:r w:rsidR="00C07D55" w:rsidRPr="00E10088">
        <w:rPr>
          <w:rFonts w:ascii="Arial" w:hAnsi="Arial" w:cs="Arial"/>
          <w:sz w:val="20"/>
          <w:szCs w:val="20"/>
        </w:rPr>
        <w:t xml:space="preserve"> the defence as pleaded does not raise any issue for trial.</w:t>
      </w:r>
    </w:p>
    <w:p w14:paraId="371E4502" w14:textId="5482B217" w:rsidR="003F5018" w:rsidRPr="00E10088" w:rsidRDefault="003F5018" w:rsidP="009D1F91">
      <w:pPr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>(c) If the claim is founded on a liquid document</w:t>
      </w:r>
      <w:r w:rsidR="003B4553" w:rsidRPr="00E10088">
        <w:rPr>
          <w:rFonts w:ascii="Arial" w:hAnsi="Arial" w:cs="Arial"/>
          <w:sz w:val="20"/>
          <w:szCs w:val="20"/>
        </w:rPr>
        <w:t xml:space="preserve"> a copy of the document shall be annexed to such affidavit</w:t>
      </w:r>
      <w:r w:rsidR="00C42281" w:rsidRPr="00E10088">
        <w:rPr>
          <w:rFonts w:ascii="Arial" w:hAnsi="Arial" w:cs="Arial"/>
          <w:sz w:val="20"/>
          <w:szCs w:val="20"/>
        </w:rPr>
        <w:t>…</w:t>
      </w:r>
      <w:r w:rsidR="00B44049" w:rsidRPr="00E10088">
        <w:rPr>
          <w:rFonts w:ascii="Arial" w:hAnsi="Arial" w:cs="Arial"/>
          <w:sz w:val="20"/>
          <w:szCs w:val="20"/>
        </w:rPr>
        <w:t xml:space="preserve"> </w:t>
      </w:r>
    </w:p>
    <w:p w14:paraId="20BD70AE" w14:textId="7ADCC5BC" w:rsidR="00B51ABA" w:rsidRPr="00E10088" w:rsidRDefault="00B51ABA" w:rsidP="009D1F9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>(3) The defendant may</w:t>
      </w:r>
      <w:r w:rsidR="00936CE5" w:rsidRPr="00E10088">
        <w:rPr>
          <w:rFonts w:ascii="Arial" w:hAnsi="Arial" w:cs="Arial"/>
          <w:sz w:val="20"/>
          <w:szCs w:val="20"/>
        </w:rPr>
        <w:t>–</w:t>
      </w:r>
    </w:p>
    <w:p w14:paraId="4CD568E4" w14:textId="6CB9AAC0" w:rsidR="008A5BCC" w:rsidRPr="00E10088" w:rsidRDefault="008A5BCC" w:rsidP="009D1F9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ab/>
        <w:t>(a) …</w:t>
      </w:r>
    </w:p>
    <w:p w14:paraId="2E7C5000" w14:textId="77777777" w:rsidR="006144D0" w:rsidRDefault="008A5BCC" w:rsidP="009D1F9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10088">
        <w:rPr>
          <w:rFonts w:ascii="Arial" w:hAnsi="Arial" w:cs="Arial"/>
          <w:sz w:val="20"/>
          <w:szCs w:val="20"/>
        </w:rPr>
        <w:tab/>
        <w:t>(b) satisfy the court</w:t>
      </w:r>
      <w:r w:rsidR="006417B8" w:rsidRPr="00E10088">
        <w:rPr>
          <w:rFonts w:ascii="Arial" w:hAnsi="Arial" w:cs="Arial"/>
          <w:sz w:val="20"/>
          <w:szCs w:val="20"/>
        </w:rPr>
        <w:t xml:space="preserve"> by affidavit… </w:t>
      </w:r>
      <w:r w:rsidR="00966B38" w:rsidRPr="00E10088">
        <w:rPr>
          <w:rFonts w:ascii="Arial" w:hAnsi="Arial" w:cs="Arial"/>
          <w:sz w:val="20"/>
          <w:szCs w:val="20"/>
        </w:rPr>
        <w:t>that the defendant has a bona fide defence to the action</w:t>
      </w:r>
      <w:r w:rsidR="00734943" w:rsidRPr="00E10088">
        <w:rPr>
          <w:rFonts w:ascii="Arial" w:hAnsi="Arial" w:cs="Arial"/>
          <w:sz w:val="20"/>
          <w:szCs w:val="20"/>
        </w:rPr>
        <w:t xml:space="preserve">; such affidavit or evidence shall disclose fully </w:t>
      </w:r>
      <w:r w:rsidR="00146B6C" w:rsidRPr="00E10088">
        <w:rPr>
          <w:rFonts w:ascii="Arial" w:hAnsi="Arial" w:cs="Arial"/>
          <w:sz w:val="20"/>
          <w:szCs w:val="20"/>
        </w:rPr>
        <w:t>the nature and grounds of the defence and the material facts relied upon therefor</w:t>
      </w:r>
      <w:r w:rsidR="00E10088" w:rsidRPr="00E10088">
        <w:rPr>
          <w:rFonts w:ascii="Arial" w:hAnsi="Arial" w:cs="Arial"/>
          <w:sz w:val="20"/>
          <w:szCs w:val="20"/>
        </w:rPr>
        <w:t>…</w:t>
      </w:r>
    </w:p>
    <w:p w14:paraId="70FEA351" w14:textId="72F708F7" w:rsidR="008A5BCC" w:rsidRPr="00E10088" w:rsidRDefault="00C36268" w:rsidP="009D1F9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No evidence may be adduced by the plaintiff otherwise</w:t>
      </w:r>
      <w:r w:rsidR="00C6500E">
        <w:rPr>
          <w:rFonts w:ascii="Arial" w:hAnsi="Arial" w:cs="Arial"/>
          <w:sz w:val="20"/>
          <w:szCs w:val="20"/>
        </w:rPr>
        <w:t xml:space="preserve"> than by the affidavit referred to in sub-rule (2)</w:t>
      </w:r>
      <w:r w:rsidR="002D57E7">
        <w:rPr>
          <w:rFonts w:ascii="Arial" w:hAnsi="Arial" w:cs="Arial"/>
          <w:sz w:val="20"/>
          <w:szCs w:val="20"/>
        </w:rPr>
        <w:t>…</w:t>
      </w:r>
      <w:r w:rsidR="00E10088" w:rsidRPr="00E10088">
        <w:rPr>
          <w:rFonts w:ascii="Arial" w:hAnsi="Arial" w:cs="Arial"/>
          <w:sz w:val="20"/>
          <w:szCs w:val="20"/>
        </w:rPr>
        <w:t>’</w:t>
      </w:r>
    </w:p>
    <w:p w14:paraId="64EA70B4" w14:textId="77777777" w:rsidR="002F7867" w:rsidRDefault="002F7867" w:rsidP="00611EAD">
      <w:pPr>
        <w:spacing w:line="360" w:lineRule="auto"/>
        <w:rPr>
          <w:rFonts w:ascii="Arial" w:hAnsi="Arial" w:cs="Arial"/>
          <w:sz w:val="24"/>
          <w:szCs w:val="24"/>
        </w:rPr>
      </w:pPr>
    </w:p>
    <w:p w14:paraId="6CB64919" w14:textId="72CBDF40" w:rsidR="00B20BC6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[18]</w:t>
      </w:r>
      <w:r w:rsidRPr="009D1F91">
        <w:rPr>
          <w:rFonts w:ascii="Arial" w:hAnsi="Arial" w:cs="Arial"/>
          <w:sz w:val="24"/>
          <w:szCs w:val="24"/>
        </w:rPr>
        <w:tab/>
      </w:r>
      <w:r w:rsidR="000B203A" w:rsidRPr="00DF5198">
        <w:rPr>
          <w:rFonts w:ascii="Arial" w:hAnsi="Arial" w:cs="Arial"/>
          <w:sz w:val="24"/>
          <w:szCs w:val="24"/>
        </w:rPr>
        <w:t>The case law indicates that, in general, the courts have required strict compliance with t</w:t>
      </w:r>
      <w:r w:rsidR="00E90835" w:rsidRPr="00DF5198">
        <w:rPr>
          <w:rFonts w:ascii="Arial" w:hAnsi="Arial" w:cs="Arial"/>
          <w:sz w:val="24"/>
          <w:szCs w:val="24"/>
        </w:rPr>
        <w:t xml:space="preserve">he provisions of rule 32 but are, nevertheless, prepared to condone </w:t>
      </w:r>
      <w:r w:rsidR="00C7194D" w:rsidRPr="00DF5198">
        <w:rPr>
          <w:rFonts w:ascii="Arial" w:hAnsi="Arial" w:cs="Arial"/>
          <w:sz w:val="24"/>
          <w:szCs w:val="24"/>
        </w:rPr>
        <w:t xml:space="preserve">technical </w:t>
      </w:r>
      <w:r w:rsidR="00096309" w:rsidRPr="00DF5198">
        <w:rPr>
          <w:rFonts w:ascii="Arial" w:hAnsi="Arial" w:cs="Arial"/>
          <w:sz w:val="24"/>
          <w:szCs w:val="24"/>
        </w:rPr>
        <w:t>defects in the adoption of the procedure</w:t>
      </w:r>
      <w:r w:rsidR="00DE010A" w:rsidRPr="00DF5198">
        <w:rPr>
          <w:rFonts w:ascii="Arial" w:hAnsi="Arial" w:cs="Arial"/>
          <w:sz w:val="24"/>
          <w:szCs w:val="24"/>
        </w:rPr>
        <w:t xml:space="preserve">. Van </w:t>
      </w:r>
      <w:proofErr w:type="spellStart"/>
      <w:r w:rsidR="00DE010A" w:rsidRPr="00DF5198">
        <w:rPr>
          <w:rFonts w:ascii="Arial" w:hAnsi="Arial" w:cs="Arial"/>
          <w:sz w:val="24"/>
          <w:szCs w:val="24"/>
        </w:rPr>
        <w:t>Loggerenberg</w:t>
      </w:r>
      <w:proofErr w:type="spellEnd"/>
      <w:r w:rsidR="00DE010A" w:rsidRPr="00DF5198">
        <w:rPr>
          <w:rFonts w:ascii="Arial" w:hAnsi="Arial" w:cs="Arial"/>
          <w:sz w:val="24"/>
          <w:szCs w:val="24"/>
        </w:rPr>
        <w:t xml:space="preserve"> comments as follows:</w:t>
      </w:r>
      <w:r w:rsidR="00254451">
        <w:rPr>
          <w:rStyle w:val="FootnoteReference"/>
          <w:rFonts w:ascii="Arial" w:hAnsi="Arial" w:cs="Arial"/>
          <w:sz w:val="24"/>
          <w:szCs w:val="24"/>
        </w:rPr>
        <w:footnoteReference w:id="7"/>
      </w:r>
    </w:p>
    <w:p w14:paraId="2097A5D8" w14:textId="7B868D44" w:rsidR="00DE010A" w:rsidRPr="007C010B" w:rsidRDefault="00DE010A" w:rsidP="009D1F9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C010B">
        <w:rPr>
          <w:rFonts w:ascii="Arial" w:hAnsi="Arial" w:cs="Arial"/>
          <w:sz w:val="20"/>
          <w:szCs w:val="20"/>
        </w:rPr>
        <w:t>‘</w:t>
      </w:r>
      <w:r w:rsidR="00EB28C2" w:rsidRPr="007C010B">
        <w:rPr>
          <w:rFonts w:ascii="Arial" w:hAnsi="Arial" w:cs="Arial"/>
          <w:sz w:val="20"/>
          <w:szCs w:val="20"/>
        </w:rPr>
        <w:t xml:space="preserve">It has been pointed out by Van den Heever J in </w:t>
      </w:r>
      <w:r w:rsidR="00EB28C2" w:rsidRPr="007C010B">
        <w:rPr>
          <w:rFonts w:ascii="Arial" w:hAnsi="Arial" w:cs="Arial"/>
          <w:i/>
          <w:iCs/>
          <w:sz w:val="20"/>
          <w:szCs w:val="20"/>
        </w:rPr>
        <w:t>Edwards v Men</w:t>
      </w:r>
      <w:r w:rsidR="00254451" w:rsidRPr="007C010B">
        <w:rPr>
          <w:rFonts w:ascii="Arial" w:hAnsi="Arial" w:cs="Arial"/>
          <w:i/>
          <w:iCs/>
          <w:sz w:val="20"/>
          <w:szCs w:val="20"/>
        </w:rPr>
        <w:t>e</w:t>
      </w:r>
      <w:r w:rsidR="00EC041D" w:rsidRPr="007C010B">
        <w:rPr>
          <w:rFonts w:ascii="Arial" w:hAnsi="Arial" w:cs="Arial"/>
          <w:i/>
          <w:iCs/>
          <w:sz w:val="20"/>
          <w:szCs w:val="20"/>
        </w:rPr>
        <w:t>zes</w:t>
      </w:r>
      <w:r w:rsidR="001A3748" w:rsidRPr="007C010B">
        <w:rPr>
          <w:rStyle w:val="FootnoteReference"/>
          <w:rFonts w:ascii="Arial" w:hAnsi="Arial" w:cs="Arial"/>
          <w:sz w:val="20"/>
          <w:szCs w:val="20"/>
        </w:rPr>
        <w:footnoteReference w:id="8"/>
      </w:r>
      <w:r w:rsidR="00E351C1" w:rsidRPr="007C010B">
        <w:rPr>
          <w:rFonts w:ascii="Arial" w:hAnsi="Arial" w:cs="Arial"/>
          <w:sz w:val="20"/>
          <w:szCs w:val="20"/>
        </w:rPr>
        <w:t xml:space="preserve"> that the courts have approached rule 32 from diametrically opposite </w:t>
      </w:r>
      <w:r w:rsidR="00B35D25" w:rsidRPr="007C010B">
        <w:rPr>
          <w:rFonts w:ascii="Arial" w:hAnsi="Arial" w:cs="Arial"/>
          <w:sz w:val="20"/>
          <w:szCs w:val="20"/>
        </w:rPr>
        <w:t>points of view. On the one hand it has been stressed that the defe</w:t>
      </w:r>
      <w:r w:rsidR="00723FFE" w:rsidRPr="007C010B">
        <w:rPr>
          <w:rFonts w:ascii="Arial" w:hAnsi="Arial" w:cs="Arial"/>
          <w:sz w:val="20"/>
          <w:szCs w:val="20"/>
        </w:rPr>
        <w:t>ndant must show</w:t>
      </w:r>
      <w:r w:rsidR="00E53871" w:rsidRPr="007C010B">
        <w:rPr>
          <w:rFonts w:ascii="Arial" w:hAnsi="Arial" w:cs="Arial"/>
          <w:sz w:val="20"/>
          <w:szCs w:val="20"/>
        </w:rPr>
        <w:t xml:space="preserve">, not that he is </w:t>
      </w:r>
      <w:r w:rsidR="00E53871" w:rsidRPr="007C010B">
        <w:rPr>
          <w:rFonts w:ascii="Arial" w:hAnsi="Arial" w:cs="Arial"/>
          <w:i/>
          <w:iCs/>
          <w:sz w:val="20"/>
          <w:szCs w:val="20"/>
        </w:rPr>
        <w:t>bona fide</w:t>
      </w:r>
      <w:r w:rsidR="00E53871" w:rsidRPr="007C010B">
        <w:rPr>
          <w:rFonts w:ascii="Arial" w:hAnsi="Arial" w:cs="Arial"/>
          <w:sz w:val="20"/>
          <w:szCs w:val="20"/>
        </w:rPr>
        <w:t xml:space="preserve">, </w:t>
      </w:r>
      <w:r w:rsidR="00FF272D" w:rsidRPr="007C010B">
        <w:rPr>
          <w:rFonts w:ascii="Arial" w:hAnsi="Arial" w:cs="Arial"/>
          <w:sz w:val="20"/>
          <w:szCs w:val="20"/>
        </w:rPr>
        <w:t>but that he has a good defence</w:t>
      </w:r>
      <w:r w:rsidR="001563D5" w:rsidRPr="007C010B">
        <w:rPr>
          <w:rFonts w:ascii="Arial" w:hAnsi="Arial" w:cs="Arial"/>
          <w:sz w:val="20"/>
          <w:szCs w:val="20"/>
        </w:rPr>
        <w:t xml:space="preserve">: that the defendant must show a defence </w:t>
      </w:r>
      <w:r w:rsidR="00EB4B9B" w:rsidRPr="007C010B">
        <w:rPr>
          <w:rFonts w:ascii="Arial" w:hAnsi="Arial" w:cs="Arial"/>
          <w:sz w:val="20"/>
          <w:szCs w:val="20"/>
        </w:rPr>
        <w:t>which, assuming the alleged facts to be</w:t>
      </w:r>
      <w:r w:rsidR="004D1CFD" w:rsidRPr="007C010B">
        <w:rPr>
          <w:rFonts w:ascii="Arial" w:hAnsi="Arial" w:cs="Arial"/>
          <w:sz w:val="20"/>
          <w:szCs w:val="20"/>
        </w:rPr>
        <w:t xml:space="preserve"> true, is good in law; thus </w:t>
      </w:r>
      <w:r w:rsidR="004D1CFD" w:rsidRPr="007C010B">
        <w:rPr>
          <w:rFonts w:ascii="Arial" w:hAnsi="Arial" w:cs="Arial"/>
          <w:sz w:val="20"/>
          <w:szCs w:val="20"/>
        </w:rPr>
        <w:lastRenderedPageBreak/>
        <w:t>the defendant’s duty under rule 32(3)(b) has been emphasized.</w:t>
      </w:r>
      <w:r w:rsidR="00AA0C8B" w:rsidRPr="007C010B">
        <w:rPr>
          <w:rFonts w:ascii="Arial" w:hAnsi="Arial" w:cs="Arial"/>
          <w:sz w:val="20"/>
          <w:szCs w:val="20"/>
        </w:rPr>
        <w:t xml:space="preserve"> On the other hand it has been stressed that it is only where the court</w:t>
      </w:r>
      <w:r w:rsidR="00310A3D" w:rsidRPr="007C010B">
        <w:rPr>
          <w:rFonts w:ascii="Arial" w:hAnsi="Arial" w:cs="Arial"/>
          <w:sz w:val="20"/>
          <w:szCs w:val="20"/>
        </w:rPr>
        <w:t xml:space="preserve"> has no reasonable doubt that the plaintiff is entitled to judgment as prayed</w:t>
      </w:r>
      <w:r w:rsidR="00A20218" w:rsidRPr="007C010B">
        <w:rPr>
          <w:rFonts w:ascii="Arial" w:hAnsi="Arial" w:cs="Arial"/>
          <w:sz w:val="20"/>
          <w:szCs w:val="20"/>
        </w:rPr>
        <w:t>, that the plaintiff has an unanswerable case, that summary judgment will be granted</w:t>
      </w:r>
      <w:r w:rsidR="00BE18DA" w:rsidRPr="007C010B">
        <w:rPr>
          <w:rFonts w:ascii="Arial" w:hAnsi="Arial" w:cs="Arial"/>
          <w:sz w:val="20"/>
          <w:szCs w:val="20"/>
        </w:rPr>
        <w:t xml:space="preserve">. Van den Heever J has expressed, with good reasons therefor, </w:t>
      </w:r>
      <w:r w:rsidR="009E050A" w:rsidRPr="007C010B">
        <w:rPr>
          <w:rFonts w:ascii="Arial" w:hAnsi="Arial" w:cs="Arial"/>
          <w:sz w:val="20"/>
          <w:szCs w:val="20"/>
        </w:rPr>
        <w:t>a preference for the latter approach.</w:t>
      </w:r>
      <w:r w:rsidR="009E050A" w:rsidRPr="007C010B">
        <w:rPr>
          <w:rStyle w:val="FootnoteReference"/>
          <w:rFonts w:ascii="Arial" w:hAnsi="Arial" w:cs="Arial"/>
          <w:sz w:val="20"/>
          <w:szCs w:val="20"/>
        </w:rPr>
        <w:footnoteReference w:id="9"/>
      </w:r>
      <w:r w:rsidR="009E050A" w:rsidRPr="007C010B">
        <w:rPr>
          <w:rFonts w:ascii="Arial" w:hAnsi="Arial" w:cs="Arial"/>
          <w:sz w:val="20"/>
          <w:szCs w:val="20"/>
        </w:rPr>
        <w:t xml:space="preserve"> The author is in respectful agreement with this view.’</w:t>
      </w:r>
      <w:r w:rsidR="009E050A" w:rsidRPr="007C010B">
        <w:rPr>
          <w:rStyle w:val="FootnoteReference"/>
          <w:rFonts w:ascii="Arial" w:hAnsi="Arial" w:cs="Arial"/>
          <w:sz w:val="20"/>
          <w:szCs w:val="20"/>
        </w:rPr>
        <w:footnoteReference w:id="10"/>
      </w:r>
    </w:p>
    <w:p w14:paraId="6ACE126E" w14:textId="77777777" w:rsidR="00DE25D2" w:rsidRDefault="00DE25D2" w:rsidP="005770DC">
      <w:pPr>
        <w:spacing w:line="360" w:lineRule="auto"/>
        <w:rPr>
          <w:rFonts w:ascii="Arial" w:hAnsi="Arial" w:cs="Arial"/>
          <w:sz w:val="24"/>
          <w:szCs w:val="24"/>
        </w:rPr>
      </w:pPr>
    </w:p>
    <w:p w14:paraId="39E11D36" w14:textId="07EF966F" w:rsidR="009D1F91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[19]</w:t>
      </w:r>
      <w:r>
        <w:rPr>
          <w:rFonts w:ascii="Arial" w:hAnsi="Arial" w:cs="Arial"/>
          <w:sz w:val="24"/>
          <w:szCs w:val="24"/>
        </w:rPr>
        <w:tab/>
      </w:r>
      <w:r w:rsidR="00DE25D2" w:rsidRPr="00DF5198">
        <w:rPr>
          <w:rFonts w:ascii="Arial" w:hAnsi="Arial" w:cs="Arial"/>
          <w:sz w:val="24"/>
          <w:szCs w:val="24"/>
        </w:rPr>
        <w:t xml:space="preserve">From the above, it could well be said that </w:t>
      </w:r>
      <w:r w:rsidR="003029E6" w:rsidRPr="00DF5198">
        <w:rPr>
          <w:rFonts w:ascii="Arial" w:hAnsi="Arial" w:cs="Arial"/>
          <w:sz w:val="24"/>
          <w:szCs w:val="24"/>
        </w:rPr>
        <w:t>where</w:t>
      </w:r>
      <w:r w:rsidR="00B91502" w:rsidRPr="00DF5198">
        <w:rPr>
          <w:rFonts w:ascii="Arial" w:hAnsi="Arial" w:cs="Arial"/>
          <w:sz w:val="24"/>
          <w:szCs w:val="24"/>
        </w:rPr>
        <w:t>ver</w:t>
      </w:r>
      <w:r w:rsidR="003029E6" w:rsidRPr="00DF5198">
        <w:rPr>
          <w:rFonts w:ascii="Arial" w:hAnsi="Arial" w:cs="Arial"/>
          <w:sz w:val="24"/>
          <w:szCs w:val="24"/>
        </w:rPr>
        <w:t xml:space="preserve"> a court </w:t>
      </w:r>
      <w:r w:rsidR="00A468CC" w:rsidRPr="00DF5198">
        <w:rPr>
          <w:rFonts w:ascii="Arial" w:hAnsi="Arial" w:cs="Arial"/>
          <w:sz w:val="24"/>
          <w:szCs w:val="24"/>
        </w:rPr>
        <w:t>focuses its enquiry</w:t>
      </w:r>
      <w:r w:rsidR="003029E6" w:rsidRPr="00DF5198">
        <w:rPr>
          <w:rFonts w:ascii="Arial" w:hAnsi="Arial" w:cs="Arial"/>
          <w:sz w:val="24"/>
          <w:szCs w:val="24"/>
        </w:rPr>
        <w:t xml:space="preserve">, be it on either the </w:t>
      </w:r>
      <w:r w:rsidR="00977581" w:rsidRPr="00DF5198">
        <w:rPr>
          <w:rFonts w:ascii="Arial" w:hAnsi="Arial" w:cs="Arial"/>
          <w:sz w:val="24"/>
          <w:szCs w:val="24"/>
        </w:rPr>
        <w:t xml:space="preserve">plaintiff’s case or the </w:t>
      </w:r>
      <w:r w:rsidR="00671C81" w:rsidRPr="00DF5198">
        <w:rPr>
          <w:rFonts w:ascii="Arial" w:hAnsi="Arial" w:cs="Arial"/>
          <w:sz w:val="24"/>
          <w:szCs w:val="24"/>
        </w:rPr>
        <w:t xml:space="preserve">defendant’s defence, </w:t>
      </w:r>
      <w:r w:rsidR="0046228B" w:rsidRPr="00DF5198">
        <w:rPr>
          <w:rFonts w:ascii="Arial" w:hAnsi="Arial" w:cs="Arial"/>
          <w:sz w:val="24"/>
          <w:szCs w:val="24"/>
        </w:rPr>
        <w:t xml:space="preserve">there is no reason to exclude the basic principle that </w:t>
      </w:r>
      <w:r w:rsidR="00A1544B" w:rsidRPr="00DF5198">
        <w:rPr>
          <w:rFonts w:ascii="Arial" w:hAnsi="Arial" w:cs="Arial"/>
          <w:sz w:val="24"/>
          <w:szCs w:val="24"/>
        </w:rPr>
        <w:t>the plaintiff</w:t>
      </w:r>
      <w:r w:rsidR="00577A04" w:rsidRPr="00DF5198">
        <w:rPr>
          <w:rFonts w:ascii="Arial" w:hAnsi="Arial" w:cs="Arial"/>
          <w:sz w:val="24"/>
          <w:szCs w:val="24"/>
        </w:rPr>
        <w:t xml:space="preserve">’s case must properly </w:t>
      </w:r>
      <w:r w:rsidR="00E45135" w:rsidRPr="00DF5198">
        <w:rPr>
          <w:rFonts w:ascii="Arial" w:hAnsi="Arial" w:cs="Arial"/>
          <w:sz w:val="24"/>
          <w:szCs w:val="24"/>
        </w:rPr>
        <w:t>disclose a cause of action.</w:t>
      </w:r>
      <w:r w:rsidR="00092DF0" w:rsidRPr="00DF5198">
        <w:rPr>
          <w:rFonts w:ascii="Arial" w:hAnsi="Arial" w:cs="Arial"/>
          <w:sz w:val="24"/>
          <w:szCs w:val="24"/>
        </w:rPr>
        <w:t xml:space="preserve"> His or her pleadings cannot be </w:t>
      </w:r>
      <w:proofErr w:type="spellStart"/>
      <w:r w:rsidR="00092DF0" w:rsidRPr="00DF5198">
        <w:rPr>
          <w:rFonts w:ascii="Arial" w:hAnsi="Arial" w:cs="Arial"/>
          <w:sz w:val="24"/>
          <w:szCs w:val="24"/>
        </w:rPr>
        <w:t>excipiable</w:t>
      </w:r>
      <w:proofErr w:type="spellEnd"/>
      <w:r w:rsidR="00092DF0" w:rsidRPr="00DF5198">
        <w:rPr>
          <w:rFonts w:ascii="Arial" w:hAnsi="Arial" w:cs="Arial"/>
          <w:sz w:val="24"/>
          <w:szCs w:val="24"/>
        </w:rPr>
        <w:t>.</w:t>
      </w:r>
      <w:r w:rsidR="00F72687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43611B" w:rsidRPr="00DF5198">
        <w:rPr>
          <w:rFonts w:ascii="Arial" w:hAnsi="Arial" w:cs="Arial"/>
          <w:sz w:val="24"/>
          <w:szCs w:val="24"/>
        </w:rPr>
        <w:t xml:space="preserve"> This </w:t>
      </w:r>
      <w:r w:rsidR="008F5A70" w:rsidRPr="00DF5198">
        <w:rPr>
          <w:rFonts w:ascii="Arial" w:hAnsi="Arial" w:cs="Arial"/>
          <w:sz w:val="24"/>
          <w:szCs w:val="24"/>
        </w:rPr>
        <w:t>assumes</w:t>
      </w:r>
      <w:r w:rsidR="0043611B" w:rsidRPr="00DF5198">
        <w:rPr>
          <w:rFonts w:ascii="Arial" w:hAnsi="Arial" w:cs="Arial"/>
          <w:sz w:val="24"/>
          <w:szCs w:val="24"/>
        </w:rPr>
        <w:t xml:space="preserve"> </w:t>
      </w:r>
      <w:r w:rsidR="00C57015" w:rsidRPr="00DF5198">
        <w:rPr>
          <w:rFonts w:ascii="Arial" w:hAnsi="Arial" w:cs="Arial"/>
          <w:sz w:val="24"/>
          <w:szCs w:val="24"/>
        </w:rPr>
        <w:t>even more</w:t>
      </w:r>
      <w:r w:rsidR="0043611B" w:rsidRPr="00DF5198">
        <w:rPr>
          <w:rFonts w:ascii="Arial" w:hAnsi="Arial" w:cs="Arial"/>
          <w:sz w:val="24"/>
          <w:szCs w:val="24"/>
        </w:rPr>
        <w:t xml:space="preserve"> </w:t>
      </w:r>
      <w:r w:rsidR="008F5A70" w:rsidRPr="00DF5198">
        <w:rPr>
          <w:rFonts w:ascii="Arial" w:hAnsi="Arial" w:cs="Arial"/>
          <w:sz w:val="24"/>
          <w:szCs w:val="24"/>
        </w:rPr>
        <w:t xml:space="preserve">importance </w:t>
      </w:r>
      <w:r w:rsidR="001B7BD3" w:rsidRPr="00DF5198">
        <w:rPr>
          <w:rFonts w:ascii="Arial" w:hAnsi="Arial" w:cs="Arial"/>
          <w:sz w:val="24"/>
          <w:szCs w:val="24"/>
        </w:rPr>
        <w:t xml:space="preserve">within the context of a procedure that does not allow </w:t>
      </w:r>
      <w:r w:rsidR="00FD0F83" w:rsidRPr="00DF5198">
        <w:rPr>
          <w:rFonts w:ascii="Arial" w:hAnsi="Arial" w:cs="Arial"/>
          <w:sz w:val="24"/>
          <w:szCs w:val="24"/>
        </w:rPr>
        <w:t xml:space="preserve">the benefit of </w:t>
      </w:r>
      <w:r w:rsidR="007C31EC" w:rsidRPr="00DF5198">
        <w:rPr>
          <w:rFonts w:ascii="Arial" w:hAnsi="Arial" w:cs="Arial"/>
          <w:sz w:val="24"/>
          <w:szCs w:val="24"/>
        </w:rPr>
        <w:t xml:space="preserve">a reply or </w:t>
      </w:r>
      <w:r w:rsidR="00FD0F83" w:rsidRPr="00DF5198">
        <w:rPr>
          <w:rFonts w:ascii="Arial" w:hAnsi="Arial" w:cs="Arial"/>
          <w:sz w:val="24"/>
          <w:szCs w:val="24"/>
        </w:rPr>
        <w:t xml:space="preserve">the </w:t>
      </w:r>
      <w:r w:rsidR="00B34F2A" w:rsidRPr="00DF5198">
        <w:rPr>
          <w:rFonts w:ascii="Arial" w:hAnsi="Arial" w:cs="Arial"/>
          <w:sz w:val="24"/>
          <w:szCs w:val="24"/>
        </w:rPr>
        <w:t>advant</w:t>
      </w:r>
      <w:r w:rsidR="007C31EC" w:rsidRPr="00DF5198">
        <w:rPr>
          <w:rFonts w:ascii="Arial" w:hAnsi="Arial" w:cs="Arial"/>
          <w:sz w:val="24"/>
          <w:szCs w:val="24"/>
        </w:rPr>
        <w:t>a</w:t>
      </w:r>
      <w:r w:rsidR="00B34F2A" w:rsidRPr="00DF5198">
        <w:rPr>
          <w:rFonts w:ascii="Arial" w:hAnsi="Arial" w:cs="Arial"/>
          <w:sz w:val="24"/>
          <w:szCs w:val="24"/>
        </w:rPr>
        <w:t>ges of cross-examination</w:t>
      </w:r>
      <w:r w:rsidR="00C57015" w:rsidRPr="00DF5198">
        <w:rPr>
          <w:rFonts w:ascii="Arial" w:hAnsi="Arial" w:cs="Arial"/>
          <w:sz w:val="24"/>
          <w:szCs w:val="24"/>
        </w:rPr>
        <w:t>.</w:t>
      </w:r>
    </w:p>
    <w:p w14:paraId="55C81F3E" w14:textId="77777777" w:rsidR="009D1F91" w:rsidRDefault="009D1F91" w:rsidP="009D1F9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7AA032" w14:textId="6EE33817" w:rsidR="00FD63BA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[20]</w:t>
      </w:r>
      <w:r w:rsidRPr="009D1F91">
        <w:rPr>
          <w:rFonts w:ascii="Arial" w:hAnsi="Arial" w:cs="Arial"/>
          <w:sz w:val="24"/>
          <w:szCs w:val="24"/>
        </w:rPr>
        <w:tab/>
      </w:r>
      <w:r w:rsidR="00C57015" w:rsidRPr="00DF5198">
        <w:rPr>
          <w:rFonts w:ascii="Arial" w:hAnsi="Arial" w:cs="Arial"/>
          <w:sz w:val="24"/>
          <w:szCs w:val="24"/>
        </w:rPr>
        <w:t xml:space="preserve">The above principles </w:t>
      </w:r>
      <w:r w:rsidR="00FD63BA" w:rsidRPr="00DF5198">
        <w:rPr>
          <w:rFonts w:ascii="Arial" w:hAnsi="Arial" w:cs="Arial"/>
          <w:sz w:val="24"/>
          <w:szCs w:val="24"/>
        </w:rPr>
        <w:t>constitute the framework for the assessment of the facts and argument that inform the matter.</w:t>
      </w:r>
    </w:p>
    <w:p w14:paraId="25A33C1F" w14:textId="77777777" w:rsidR="00FD63BA" w:rsidRDefault="00FD63BA" w:rsidP="005770DC">
      <w:pPr>
        <w:spacing w:line="360" w:lineRule="auto"/>
        <w:rPr>
          <w:rFonts w:ascii="Arial" w:hAnsi="Arial" w:cs="Arial"/>
          <w:sz w:val="24"/>
          <w:szCs w:val="24"/>
        </w:rPr>
      </w:pPr>
    </w:p>
    <w:p w14:paraId="5382636D" w14:textId="77777777" w:rsidR="00FD63BA" w:rsidRPr="00D20A6C" w:rsidRDefault="00FD63BA" w:rsidP="009D1F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A6C">
        <w:rPr>
          <w:rFonts w:ascii="Arial" w:hAnsi="Arial" w:cs="Arial"/>
          <w:b/>
          <w:bCs/>
          <w:sz w:val="24"/>
          <w:szCs w:val="24"/>
        </w:rPr>
        <w:t>Application to the facts</w:t>
      </w:r>
    </w:p>
    <w:p w14:paraId="0AB73F86" w14:textId="77777777" w:rsidR="00D20A6C" w:rsidRDefault="00D20A6C" w:rsidP="005770DC">
      <w:pPr>
        <w:spacing w:line="360" w:lineRule="auto"/>
        <w:rPr>
          <w:rFonts w:ascii="Arial" w:hAnsi="Arial" w:cs="Arial"/>
          <w:sz w:val="24"/>
          <w:szCs w:val="24"/>
        </w:rPr>
      </w:pPr>
    </w:p>
    <w:p w14:paraId="34D0E0AE" w14:textId="19B6E9F5" w:rsidR="00D20A6C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[21]</w:t>
      </w:r>
      <w:r w:rsidRPr="009D1F91">
        <w:rPr>
          <w:rFonts w:ascii="Arial" w:hAnsi="Arial" w:cs="Arial"/>
          <w:sz w:val="24"/>
          <w:szCs w:val="24"/>
        </w:rPr>
        <w:tab/>
      </w:r>
      <w:r w:rsidR="00D20A6C" w:rsidRPr="00DF5198">
        <w:rPr>
          <w:rFonts w:ascii="Arial" w:hAnsi="Arial" w:cs="Arial"/>
          <w:sz w:val="24"/>
          <w:szCs w:val="24"/>
        </w:rPr>
        <w:t>The issues, as identified earlier, will be addressed in sequence.</w:t>
      </w:r>
    </w:p>
    <w:p w14:paraId="0B53ADD3" w14:textId="77777777" w:rsidR="00D20A6C" w:rsidRDefault="00D20A6C" w:rsidP="005770DC">
      <w:pPr>
        <w:spacing w:line="360" w:lineRule="auto"/>
        <w:rPr>
          <w:rFonts w:ascii="Arial" w:hAnsi="Arial" w:cs="Arial"/>
          <w:sz w:val="24"/>
          <w:szCs w:val="24"/>
        </w:rPr>
      </w:pPr>
    </w:p>
    <w:p w14:paraId="4AA41B1A" w14:textId="66BB9B89" w:rsidR="00D20A6C" w:rsidRPr="004749E7" w:rsidRDefault="004749E7" w:rsidP="009D1F9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749E7">
        <w:rPr>
          <w:rFonts w:ascii="Arial" w:hAnsi="Arial" w:cs="Arial"/>
          <w:i/>
          <w:iCs/>
          <w:sz w:val="24"/>
          <w:szCs w:val="24"/>
        </w:rPr>
        <w:t>Competency of Ms Mayola to swear positively to the facts</w:t>
      </w:r>
    </w:p>
    <w:p w14:paraId="3EB8D08E" w14:textId="77777777" w:rsidR="004749E7" w:rsidRDefault="004749E7" w:rsidP="005770DC">
      <w:pPr>
        <w:spacing w:line="360" w:lineRule="auto"/>
        <w:rPr>
          <w:rFonts w:ascii="Arial" w:hAnsi="Arial" w:cs="Arial"/>
          <w:sz w:val="24"/>
          <w:szCs w:val="24"/>
        </w:rPr>
      </w:pPr>
    </w:p>
    <w:p w14:paraId="709517FC" w14:textId="1EF085DE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</w:t>
      </w:r>
      <w:r>
        <w:rPr>
          <w:rFonts w:ascii="Arial" w:hAnsi="Arial" w:cs="Arial"/>
          <w:sz w:val="24"/>
          <w:szCs w:val="24"/>
        </w:rPr>
        <w:tab/>
      </w:r>
      <w:r w:rsidR="004749E7" w:rsidRPr="00DF5198">
        <w:rPr>
          <w:rFonts w:ascii="Arial" w:hAnsi="Arial" w:cs="Arial"/>
          <w:sz w:val="24"/>
          <w:szCs w:val="24"/>
        </w:rPr>
        <w:t>The respondent contends that</w:t>
      </w:r>
      <w:r w:rsidR="00CC2F5D" w:rsidRPr="00DF5198">
        <w:rPr>
          <w:rFonts w:ascii="Arial" w:hAnsi="Arial" w:cs="Arial"/>
          <w:sz w:val="24"/>
          <w:szCs w:val="24"/>
        </w:rPr>
        <w:t xml:space="preserve"> </w:t>
      </w:r>
      <w:r w:rsidR="00D30C65" w:rsidRPr="00DF5198">
        <w:rPr>
          <w:rFonts w:ascii="Arial" w:hAnsi="Arial" w:cs="Arial"/>
          <w:sz w:val="24"/>
          <w:szCs w:val="24"/>
        </w:rPr>
        <w:t>M</w:t>
      </w:r>
      <w:r w:rsidR="000479E4" w:rsidRPr="00DF5198">
        <w:rPr>
          <w:rFonts w:ascii="Arial" w:hAnsi="Arial" w:cs="Arial"/>
          <w:sz w:val="24"/>
          <w:szCs w:val="24"/>
        </w:rPr>
        <w:t xml:space="preserve">s </w:t>
      </w:r>
      <w:r w:rsidR="00D30C65" w:rsidRPr="00DF5198">
        <w:rPr>
          <w:rFonts w:ascii="Arial" w:hAnsi="Arial" w:cs="Arial"/>
          <w:sz w:val="24"/>
          <w:szCs w:val="24"/>
        </w:rPr>
        <w:t xml:space="preserve">Mayola </w:t>
      </w:r>
      <w:r w:rsidR="00731E13" w:rsidRPr="00DF5198">
        <w:rPr>
          <w:rFonts w:ascii="Arial" w:hAnsi="Arial" w:cs="Arial"/>
          <w:sz w:val="24"/>
          <w:szCs w:val="24"/>
        </w:rPr>
        <w:t xml:space="preserve">has no direct knowledge of the matter. </w:t>
      </w:r>
      <w:r w:rsidR="002C7B0B" w:rsidRPr="00DF5198">
        <w:rPr>
          <w:rFonts w:ascii="Arial" w:hAnsi="Arial" w:cs="Arial"/>
          <w:sz w:val="24"/>
          <w:szCs w:val="24"/>
        </w:rPr>
        <w:t>S</w:t>
      </w:r>
      <w:r w:rsidR="00731E13" w:rsidRPr="00DF5198">
        <w:rPr>
          <w:rFonts w:ascii="Arial" w:hAnsi="Arial" w:cs="Arial"/>
          <w:sz w:val="24"/>
          <w:szCs w:val="24"/>
        </w:rPr>
        <w:t>he</w:t>
      </w:r>
      <w:r w:rsidR="002C7B0B" w:rsidRPr="00DF5198">
        <w:rPr>
          <w:rFonts w:ascii="Arial" w:hAnsi="Arial" w:cs="Arial"/>
          <w:sz w:val="24"/>
          <w:szCs w:val="24"/>
        </w:rPr>
        <w:t xml:space="preserve"> states that she</w:t>
      </w:r>
      <w:r w:rsidR="00731E13" w:rsidRPr="00DF5198">
        <w:rPr>
          <w:rFonts w:ascii="Arial" w:hAnsi="Arial" w:cs="Arial"/>
          <w:sz w:val="24"/>
          <w:szCs w:val="24"/>
        </w:rPr>
        <w:t xml:space="preserve"> has relied on the </w:t>
      </w:r>
      <w:r w:rsidR="00E144A0" w:rsidRPr="00DF5198">
        <w:rPr>
          <w:rFonts w:ascii="Arial" w:hAnsi="Arial" w:cs="Arial"/>
          <w:sz w:val="24"/>
          <w:szCs w:val="24"/>
        </w:rPr>
        <w:t xml:space="preserve">records of the plaintiff, </w:t>
      </w:r>
      <w:r w:rsidR="002C7B0B" w:rsidRPr="00DF5198">
        <w:rPr>
          <w:rFonts w:ascii="Arial" w:hAnsi="Arial" w:cs="Arial"/>
          <w:sz w:val="24"/>
          <w:szCs w:val="24"/>
        </w:rPr>
        <w:t xml:space="preserve">but </w:t>
      </w:r>
      <w:r w:rsidR="00124712" w:rsidRPr="00DF5198">
        <w:rPr>
          <w:rFonts w:ascii="Arial" w:hAnsi="Arial" w:cs="Arial"/>
          <w:sz w:val="24"/>
          <w:szCs w:val="24"/>
        </w:rPr>
        <w:t>has not specified these</w:t>
      </w:r>
      <w:r w:rsidR="00F41FCA" w:rsidRPr="00DF5198">
        <w:rPr>
          <w:rFonts w:ascii="Arial" w:hAnsi="Arial" w:cs="Arial"/>
          <w:sz w:val="24"/>
          <w:szCs w:val="24"/>
        </w:rPr>
        <w:t xml:space="preserve">, </w:t>
      </w:r>
      <w:r w:rsidR="00F41FCA" w:rsidRPr="00DF5198">
        <w:rPr>
          <w:rFonts w:ascii="Arial" w:hAnsi="Arial" w:cs="Arial"/>
          <w:sz w:val="24"/>
          <w:szCs w:val="24"/>
        </w:rPr>
        <w:lastRenderedPageBreak/>
        <w:t xml:space="preserve">making it impossible for the court to ascertain </w:t>
      </w:r>
      <w:r w:rsidR="00BC254A" w:rsidRPr="00DF5198">
        <w:rPr>
          <w:rFonts w:ascii="Arial" w:hAnsi="Arial" w:cs="Arial"/>
          <w:sz w:val="24"/>
          <w:szCs w:val="24"/>
        </w:rPr>
        <w:t>whether she can indeed swear positively to the facts.</w:t>
      </w:r>
      <w:r w:rsidR="000479E4" w:rsidRPr="00DF5198">
        <w:rPr>
          <w:rFonts w:ascii="Arial" w:hAnsi="Arial" w:cs="Arial"/>
          <w:sz w:val="24"/>
          <w:szCs w:val="24"/>
        </w:rPr>
        <w:t xml:space="preserve"> </w:t>
      </w:r>
    </w:p>
    <w:p w14:paraId="2645D589" w14:textId="77777777" w:rsidR="00904849" w:rsidRDefault="00904849" w:rsidP="0090484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EAFD5F" w14:textId="2100B3BD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>
        <w:rPr>
          <w:rFonts w:ascii="Arial" w:hAnsi="Arial" w:cs="Arial"/>
          <w:sz w:val="24"/>
          <w:szCs w:val="24"/>
        </w:rPr>
        <w:tab/>
      </w:r>
      <w:r w:rsidR="000479E4" w:rsidRPr="00DF5198">
        <w:rPr>
          <w:rFonts w:ascii="Arial" w:hAnsi="Arial" w:cs="Arial"/>
          <w:sz w:val="24"/>
          <w:szCs w:val="24"/>
        </w:rPr>
        <w:t xml:space="preserve">Furthermore, </w:t>
      </w:r>
      <w:r w:rsidR="002C22EE" w:rsidRPr="00DF5198">
        <w:rPr>
          <w:rFonts w:ascii="Arial" w:hAnsi="Arial" w:cs="Arial"/>
          <w:sz w:val="24"/>
          <w:szCs w:val="24"/>
        </w:rPr>
        <w:t xml:space="preserve">asserts the respondent, </w:t>
      </w:r>
      <w:r w:rsidR="00843E54" w:rsidRPr="00DF5198">
        <w:rPr>
          <w:rFonts w:ascii="Arial" w:hAnsi="Arial" w:cs="Arial"/>
          <w:sz w:val="24"/>
          <w:szCs w:val="24"/>
        </w:rPr>
        <w:t xml:space="preserve">to the extent that </w:t>
      </w:r>
      <w:r w:rsidR="002C22EE" w:rsidRPr="00DF5198">
        <w:rPr>
          <w:rFonts w:ascii="Arial" w:hAnsi="Arial" w:cs="Arial"/>
          <w:sz w:val="24"/>
          <w:szCs w:val="24"/>
        </w:rPr>
        <w:t>Ms Mayola</w:t>
      </w:r>
      <w:r w:rsidR="00DB3D31" w:rsidRPr="00DF5198">
        <w:rPr>
          <w:rFonts w:ascii="Arial" w:hAnsi="Arial" w:cs="Arial"/>
          <w:sz w:val="24"/>
          <w:szCs w:val="24"/>
        </w:rPr>
        <w:t xml:space="preserve"> has </w:t>
      </w:r>
      <w:r w:rsidR="00843E54" w:rsidRPr="00DF5198">
        <w:rPr>
          <w:rFonts w:ascii="Arial" w:hAnsi="Arial" w:cs="Arial"/>
          <w:sz w:val="24"/>
          <w:szCs w:val="24"/>
        </w:rPr>
        <w:t>relied on electr</w:t>
      </w:r>
      <w:r w:rsidR="00813294" w:rsidRPr="00DF5198">
        <w:rPr>
          <w:rFonts w:ascii="Arial" w:hAnsi="Arial" w:cs="Arial"/>
          <w:sz w:val="24"/>
          <w:szCs w:val="24"/>
        </w:rPr>
        <w:t xml:space="preserve">onic records, </w:t>
      </w:r>
      <w:r w:rsidR="00B2123D" w:rsidRPr="00DF5198">
        <w:rPr>
          <w:rFonts w:ascii="Arial" w:hAnsi="Arial" w:cs="Arial"/>
          <w:sz w:val="24"/>
          <w:szCs w:val="24"/>
        </w:rPr>
        <w:t xml:space="preserve">these are inadmissible </w:t>
      </w:r>
      <w:r w:rsidR="00E06539" w:rsidRPr="00DF5198">
        <w:rPr>
          <w:rFonts w:ascii="Arial" w:hAnsi="Arial" w:cs="Arial"/>
          <w:sz w:val="24"/>
          <w:szCs w:val="24"/>
        </w:rPr>
        <w:t>by nature, constituting hearsay</w:t>
      </w:r>
      <w:r w:rsidR="00B2123D" w:rsidRPr="00DF5198">
        <w:rPr>
          <w:rFonts w:ascii="Arial" w:hAnsi="Arial" w:cs="Arial"/>
          <w:sz w:val="24"/>
          <w:szCs w:val="24"/>
        </w:rPr>
        <w:t xml:space="preserve"> evidence</w:t>
      </w:r>
      <w:r w:rsidR="00E06539" w:rsidRPr="00DF5198">
        <w:rPr>
          <w:rFonts w:ascii="Arial" w:hAnsi="Arial" w:cs="Arial"/>
          <w:sz w:val="24"/>
          <w:szCs w:val="24"/>
        </w:rPr>
        <w:t>.</w:t>
      </w:r>
      <w:r w:rsidR="00790592" w:rsidRPr="00DF5198">
        <w:rPr>
          <w:rFonts w:ascii="Arial" w:hAnsi="Arial" w:cs="Arial"/>
          <w:sz w:val="24"/>
          <w:szCs w:val="24"/>
        </w:rPr>
        <w:t xml:space="preserve"> The </w:t>
      </w:r>
      <w:r w:rsidR="008D2FFE" w:rsidRPr="00DF5198">
        <w:rPr>
          <w:rFonts w:ascii="Arial" w:hAnsi="Arial" w:cs="Arial"/>
          <w:sz w:val="24"/>
          <w:szCs w:val="24"/>
        </w:rPr>
        <w:t xml:space="preserve">respondent asserts that </w:t>
      </w:r>
      <w:r w:rsidR="00DE1A8C" w:rsidRPr="00DF5198">
        <w:rPr>
          <w:rFonts w:ascii="Arial" w:hAnsi="Arial" w:cs="Arial"/>
          <w:sz w:val="24"/>
          <w:szCs w:val="24"/>
        </w:rPr>
        <w:t>she</w:t>
      </w:r>
      <w:r w:rsidR="008D2FFE" w:rsidRPr="00DF5198">
        <w:rPr>
          <w:rFonts w:ascii="Arial" w:hAnsi="Arial" w:cs="Arial"/>
          <w:sz w:val="24"/>
          <w:szCs w:val="24"/>
        </w:rPr>
        <w:t xml:space="preserve"> </w:t>
      </w:r>
      <w:r w:rsidR="00740754" w:rsidRPr="00DF5198">
        <w:rPr>
          <w:rFonts w:ascii="Arial" w:hAnsi="Arial" w:cs="Arial"/>
          <w:sz w:val="24"/>
          <w:szCs w:val="24"/>
        </w:rPr>
        <w:t xml:space="preserve">has </w:t>
      </w:r>
      <w:r w:rsidR="008D2FFE" w:rsidRPr="00DF5198">
        <w:rPr>
          <w:rFonts w:ascii="Arial" w:hAnsi="Arial" w:cs="Arial"/>
          <w:sz w:val="24"/>
          <w:szCs w:val="24"/>
        </w:rPr>
        <w:t xml:space="preserve">failed to </w:t>
      </w:r>
      <w:r w:rsidR="00F51684" w:rsidRPr="00DF5198">
        <w:rPr>
          <w:rFonts w:ascii="Arial" w:hAnsi="Arial" w:cs="Arial"/>
          <w:sz w:val="24"/>
          <w:szCs w:val="24"/>
        </w:rPr>
        <w:t>meet the requirements of section</w:t>
      </w:r>
      <w:r w:rsidR="00B6551D" w:rsidRPr="00DF5198">
        <w:rPr>
          <w:rFonts w:ascii="Arial" w:hAnsi="Arial" w:cs="Arial"/>
          <w:sz w:val="24"/>
          <w:szCs w:val="24"/>
        </w:rPr>
        <w:t xml:space="preserve"> 15(3) </w:t>
      </w:r>
      <w:r w:rsidR="00005504" w:rsidRPr="00DF5198">
        <w:rPr>
          <w:rFonts w:ascii="Arial" w:hAnsi="Arial" w:cs="Arial"/>
          <w:sz w:val="24"/>
          <w:szCs w:val="24"/>
        </w:rPr>
        <w:t>of the Ele</w:t>
      </w:r>
      <w:r w:rsidR="005F0962" w:rsidRPr="00DF5198">
        <w:rPr>
          <w:rFonts w:ascii="Arial" w:hAnsi="Arial" w:cs="Arial"/>
          <w:sz w:val="24"/>
          <w:szCs w:val="24"/>
        </w:rPr>
        <w:t>ctronic Communications and Transactions Act</w:t>
      </w:r>
      <w:r w:rsidR="00FD7589" w:rsidRPr="00DF5198">
        <w:rPr>
          <w:rFonts w:ascii="Arial" w:hAnsi="Arial" w:cs="Arial"/>
          <w:sz w:val="24"/>
          <w:szCs w:val="24"/>
        </w:rPr>
        <w:t xml:space="preserve"> 25 of 2002 (‘ECTA’), </w:t>
      </w:r>
      <w:r w:rsidR="00FE5B19" w:rsidRPr="00DF5198">
        <w:rPr>
          <w:rFonts w:ascii="Arial" w:hAnsi="Arial" w:cs="Arial"/>
          <w:sz w:val="24"/>
          <w:szCs w:val="24"/>
        </w:rPr>
        <w:t xml:space="preserve">which would otherwise enable </w:t>
      </w:r>
      <w:r w:rsidR="00BE18B7" w:rsidRPr="00DF5198">
        <w:rPr>
          <w:rFonts w:ascii="Arial" w:hAnsi="Arial" w:cs="Arial"/>
          <w:sz w:val="24"/>
          <w:szCs w:val="24"/>
        </w:rPr>
        <w:t xml:space="preserve">the court to attach the appropriate evidential weight to the </w:t>
      </w:r>
      <w:r w:rsidR="00513A10" w:rsidRPr="00DF5198">
        <w:rPr>
          <w:rFonts w:ascii="Arial" w:hAnsi="Arial" w:cs="Arial"/>
          <w:sz w:val="24"/>
          <w:szCs w:val="24"/>
        </w:rPr>
        <w:t xml:space="preserve">records in question. </w:t>
      </w:r>
      <w:r w:rsidR="00810DB7" w:rsidRPr="00DF5198">
        <w:rPr>
          <w:rFonts w:ascii="Arial" w:hAnsi="Arial" w:cs="Arial"/>
          <w:sz w:val="24"/>
          <w:szCs w:val="24"/>
        </w:rPr>
        <w:t>She has also failed to supply</w:t>
      </w:r>
      <w:r w:rsidR="00D63F5D" w:rsidRPr="00DF5198">
        <w:rPr>
          <w:rFonts w:ascii="Arial" w:hAnsi="Arial" w:cs="Arial"/>
          <w:sz w:val="24"/>
          <w:szCs w:val="24"/>
        </w:rPr>
        <w:t>, properly,</w:t>
      </w:r>
      <w:r w:rsidR="00810DB7" w:rsidRPr="00DF5198">
        <w:rPr>
          <w:rFonts w:ascii="Arial" w:hAnsi="Arial" w:cs="Arial"/>
          <w:sz w:val="24"/>
          <w:szCs w:val="24"/>
        </w:rPr>
        <w:t xml:space="preserve"> the certi</w:t>
      </w:r>
      <w:r w:rsidR="00E43A01" w:rsidRPr="00DF5198">
        <w:rPr>
          <w:rFonts w:ascii="Arial" w:hAnsi="Arial" w:cs="Arial"/>
          <w:sz w:val="24"/>
          <w:szCs w:val="24"/>
        </w:rPr>
        <w:t xml:space="preserve">fication </w:t>
      </w:r>
      <w:r w:rsidR="00670D1C" w:rsidRPr="00DF5198">
        <w:rPr>
          <w:rFonts w:ascii="Arial" w:hAnsi="Arial" w:cs="Arial"/>
          <w:sz w:val="24"/>
          <w:szCs w:val="24"/>
        </w:rPr>
        <w:t xml:space="preserve">envisaged under section 15(4), necessary to </w:t>
      </w:r>
      <w:r w:rsidR="0003394F" w:rsidRPr="00DF5198">
        <w:rPr>
          <w:rFonts w:ascii="Arial" w:hAnsi="Arial" w:cs="Arial"/>
          <w:sz w:val="24"/>
          <w:szCs w:val="24"/>
        </w:rPr>
        <w:t xml:space="preserve">render the records admissible on the </w:t>
      </w:r>
      <w:r w:rsidR="00E71EA2" w:rsidRPr="00DF5198">
        <w:rPr>
          <w:rFonts w:ascii="Arial" w:hAnsi="Arial" w:cs="Arial"/>
          <w:sz w:val="24"/>
          <w:szCs w:val="24"/>
        </w:rPr>
        <w:t xml:space="preserve">mere </w:t>
      </w:r>
      <w:r w:rsidR="0003394F" w:rsidRPr="00DF5198">
        <w:rPr>
          <w:rFonts w:ascii="Arial" w:hAnsi="Arial" w:cs="Arial"/>
          <w:sz w:val="24"/>
          <w:szCs w:val="24"/>
        </w:rPr>
        <w:t>production thereof.</w:t>
      </w:r>
      <w:r w:rsidR="00ED0E2E" w:rsidRPr="00DF5198">
        <w:rPr>
          <w:rFonts w:ascii="Arial" w:hAnsi="Arial" w:cs="Arial"/>
          <w:sz w:val="24"/>
          <w:szCs w:val="24"/>
        </w:rPr>
        <w:t xml:space="preserve"> Insofar as the respondent has </w:t>
      </w:r>
      <w:r w:rsidR="00D95D35" w:rsidRPr="00DF5198">
        <w:rPr>
          <w:rFonts w:ascii="Arial" w:hAnsi="Arial" w:cs="Arial"/>
          <w:sz w:val="24"/>
          <w:szCs w:val="24"/>
        </w:rPr>
        <w:t xml:space="preserve">purported to have done so, the certification is not that of Ms Mayola but </w:t>
      </w:r>
      <w:r w:rsidR="00C17F6F" w:rsidRPr="00DF5198">
        <w:rPr>
          <w:rFonts w:ascii="Arial" w:hAnsi="Arial" w:cs="Arial"/>
          <w:sz w:val="24"/>
          <w:szCs w:val="24"/>
        </w:rPr>
        <w:t>someone else</w:t>
      </w:r>
      <w:r w:rsidR="007C6352" w:rsidRPr="00DF5198">
        <w:rPr>
          <w:rFonts w:ascii="Arial" w:hAnsi="Arial" w:cs="Arial"/>
          <w:sz w:val="24"/>
          <w:szCs w:val="24"/>
        </w:rPr>
        <w:t>,</w:t>
      </w:r>
      <w:r w:rsidR="0009284C">
        <w:rPr>
          <w:rStyle w:val="FootnoteReference"/>
          <w:rFonts w:ascii="Arial" w:hAnsi="Arial" w:cs="Arial"/>
          <w:sz w:val="24"/>
          <w:szCs w:val="24"/>
        </w:rPr>
        <w:footnoteReference w:id="12"/>
      </w:r>
      <w:r w:rsidR="007C6352" w:rsidRPr="00DF5198">
        <w:rPr>
          <w:rFonts w:ascii="Arial" w:hAnsi="Arial" w:cs="Arial"/>
          <w:sz w:val="24"/>
          <w:szCs w:val="24"/>
        </w:rPr>
        <w:t xml:space="preserve"> and pertains only to the ISA and not</w:t>
      </w:r>
      <w:r w:rsidR="00CB5B1A" w:rsidRPr="00DF5198">
        <w:rPr>
          <w:rFonts w:ascii="Arial" w:hAnsi="Arial" w:cs="Arial"/>
          <w:sz w:val="24"/>
          <w:szCs w:val="24"/>
        </w:rPr>
        <w:t xml:space="preserve"> to the </w:t>
      </w:r>
      <w:r w:rsidR="00B06C45" w:rsidRPr="00DF5198">
        <w:rPr>
          <w:rFonts w:ascii="Arial" w:hAnsi="Arial" w:cs="Arial"/>
          <w:sz w:val="24"/>
          <w:szCs w:val="24"/>
        </w:rPr>
        <w:t>cession agreement or anyt</w:t>
      </w:r>
      <w:r w:rsidR="007C6352" w:rsidRPr="00DF5198">
        <w:rPr>
          <w:rFonts w:ascii="Arial" w:hAnsi="Arial" w:cs="Arial"/>
          <w:sz w:val="24"/>
          <w:szCs w:val="24"/>
        </w:rPr>
        <w:t>hing else.</w:t>
      </w:r>
    </w:p>
    <w:p w14:paraId="6806D431" w14:textId="77777777" w:rsidR="00904849" w:rsidRPr="00904849" w:rsidRDefault="00904849" w:rsidP="00904849">
      <w:pPr>
        <w:pStyle w:val="ListParagraph"/>
        <w:rPr>
          <w:rFonts w:ascii="Arial" w:hAnsi="Arial" w:cs="Arial"/>
          <w:sz w:val="24"/>
          <w:szCs w:val="24"/>
        </w:rPr>
      </w:pPr>
    </w:p>
    <w:p w14:paraId="27BD937D" w14:textId="03FB1646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[24]</w:t>
      </w:r>
      <w:r>
        <w:rPr>
          <w:rFonts w:ascii="Arial" w:hAnsi="Arial" w:cs="Arial"/>
          <w:sz w:val="24"/>
          <w:szCs w:val="24"/>
        </w:rPr>
        <w:tab/>
      </w:r>
      <w:r w:rsidR="00456E48" w:rsidRPr="00DF5198">
        <w:rPr>
          <w:rFonts w:ascii="Arial" w:hAnsi="Arial" w:cs="Arial"/>
          <w:sz w:val="24"/>
          <w:szCs w:val="24"/>
        </w:rPr>
        <w:t xml:space="preserve">The respondent argues that, by reason of the above, Ms Mayola </w:t>
      </w:r>
      <w:r w:rsidR="00B22D16" w:rsidRPr="00DF5198">
        <w:rPr>
          <w:rFonts w:ascii="Arial" w:hAnsi="Arial" w:cs="Arial"/>
          <w:sz w:val="24"/>
          <w:szCs w:val="24"/>
        </w:rPr>
        <w:t xml:space="preserve">cannot be said to have </w:t>
      </w:r>
      <w:r w:rsidR="00BA3ADE" w:rsidRPr="00DF5198">
        <w:rPr>
          <w:rFonts w:ascii="Arial" w:hAnsi="Arial" w:cs="Arial"/>
          <w:sz w:val="24"/>
          <w:szCs w:val="24"/>
        </w:rPr>
        <w:t xml:space="preserve">been </w:t>
      </w:r>
      <w:r w:rsidR="00277440" w:rsidRPr="00DF5198">
        <w:rPr>
          <w:rFonts w:ascii="Arial" w:hAnsi="Arial" w:cs="Arial"/>
          <w:sz w:val="24"/>
          <w:szCs w:val="24"/>
        </w:rPr>
        <w:t>able</w:t>
      </w:r>
      <w:r w:rsidR="00BA3ADE" w:rsidRPr="00DF5198">
        <w:rPr>
          <w:rFonts w:ascii="Arial" w:hAnsi="Arial" w:cs="Arial"/>
          <w:sz w:val="24"/>
          <w:szCs w:val="24"/>
        </w:rPr>
        <w:t xml:space="preserve"> to have sworn positively to the facts or to have been able to have verified the applicant’s cause of action.</w:t>
      </w:r>
    </w:p>
    <w:p w14:paraId="2ECFED91" w14:textId="77777777" w:rsidR="00904849" w:rsidRPr="00904849" w:rsidRDefault="00904849" w:rsidP="00904849">
      <w:pPr>
        <w:pStyle w:val="ListParagraph"/>
        <w:rPr>
          <w:rFonts w:ascii="Arial" w:hAnsi="Arial" w:cs="Arial"/>
          <w:sz w:val="24"/>
          <w:szCs w:val="24"/>
        </w:rPr>
      </w:pPr>
    </w:p>
    <w:p w14:paraId="6A412EC1" w14:textId="08C43BF5" w:rsidR="00277440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849">
        <w:rPr>
          <w:rFonts w:ascii="Arial" w:hAnsi="Arial" w:cs="Arial"/>
          <w:sz w:val="24"/>
          <w:szCs w:val="24"/>
        </w:rPr>
        <w:t>[25]</w:t>
      </w:r>
      <w:r w:rsidRPr="00904849">
        <w:rPr>
          <w:rFonts w:ascii="Arial" w:hAnsi="Arial" w:cs="Arial"/>
          <w:sz w:val="24"/>
          <w:szCs w:val="24"/>
        </w:rPr>
        <w:tab/>
      </w:r>
      <w:r w:rsidR="001F60B5" w:rsidRPr="00DF5198">
        <w:rPr>
          <w:rFonts w:ascii="Arial" w:hAnsi="Arial" w:cs="Arial"/>
          <w:sz w:val="24"/>
          <w:szCs w:val="24"/>
        </w:rPr>
        <w:t xml:space="preserve">The applicant </w:t>
      </w:r>
      <w:r w:rsidR="00CF3E4E" w:rsidRPr="00DF5198">
        <w:rPr>
          <w:rFonts w:ascii="Arial" w:hAnsi="Arial" w:cs="Arial"/>
          <w:sz w:val="24"/>
          <w:szCs w:val="24"/>
        </w:rPr>
        <w:t xml:space="preserve">has </w:t>
      </w:r>
      <w:r w:rsidR="001F60B5" w:rsidRPr="00DF5198">
        <w:rPr>
          <w:rFonts w:ascii="Arial" w:hAnsi="Arial" w:cs="Arial"/>
          <w:sz w:val="24"/>
          <w:szCs w:val="24"/>
        </w:rPr>
        <w:t xml:space="preserve">referred to three authorities </w:t>
      </w:r>
      <w:r w:rsidR="00293291" w:rsidRPr="00DF5198">
        <w:rPr>
          <w:rFonts w:ascii="Arial" w:hAnsi="Arial" w:cs="Arial"/>
          <w:sz w:val="24"/>
          <w:szCs w:val="24"/>
        </w:rPr>
        <w:t xml:space="preserve">in this regard. In the matter of </w:t>
      </w:r>
      <w:r w:rsidR="001819BC" w:rsidRPr="00DF5198">
        <w:rPr>
          <w:rFonts w:ascii="Arial" w:hAnsi="Arial" w:cs="Arial"/>
          <w:i/>
          <w:iCs/>
          <w:sz w:val="24"/>
          <w:szCs w:val="24"/>
        </w:rPr>
        <w:t>Stamford Sales &amp; Distribution</w:t>
      </w:r>
      <w:r w:rsidR="00BC56FB" w:rsidRPr="00DF5198">
        <w:rPr>
          <w:rFonts w:ascii="Arial" w:hAnsi="Arial" w:cs="Arial"/>
          <w:i/>
          <w:iCs/>
          <w:sz w:val="24"/>
          <w:szCs w:val="24"/>
        </w:rPr>
        <w:t xml:space="preserve"> v Metraclark</w:t>
      </w:r>
      <w:r w:rsidR="001819BC" w:rsidRPr="00DF5198">
        <w:rPr>
          <w:rFonts w:ascii="Arial" w:hAnsi="Arial" w:cs="Arial"/>
          <w:sz w:val="24"/>
          <w:szCs w:val="24"/>
        </w:rPr>
        <w:t>,</w:t>
      </w:r>
      <w:r w:rsidR="001819BC">
        <w:rPr>
          <w:rStyle w:val="FootnoteReference"/>
          <w:rFonts w:ascii="Arial" w:hAnsi="Arial" w:cs="Arial"/>
          <w:sz w:val="24"/>
          <w:szCs w:val="24"/>
        </w:rPr>
        <w:footnoteReference w:id="13"/>
      </w:r>
      <w:r w:rsidR="00CF3E4E" w:rsidRPr="00DF5198">
        <w:rPr>
          <w:rFonts w:ascii="Arial" w:hAnsi="Arial" w:cs="Arial"/>
          <w:sz w:val="24"/>
          <w:szCs w:val="24"/>
        </w:rPr>
        <w:t xml:space="preserve"> </w:t>
      </w:r>
      <w:r w:rsidR="007A691F" w:rsidRPr="00DF5198">
        <w:rPr>
          <w:rFonts w:ascii="Arial" w:hAnsi="Arial" w:cs="Arial"/>
          <w:sz w:val="24"/>
          <w:szCs w:val="24"/>
        </w:rPr>
        <w:t xml:space="preserve">Swain AJA </w:t>
      </w:r>
      <w:r w:rsidR="00623ED2" w:rsidRPr="00DF5198">
        <w:rPr>
          <w:rFonts w:ascii="Arial" w:hAnsi="Arial" w:cs="Arial"/>
          <w:sz w:val="24"/>
          <w:szCs w:val="24"/>
        </w:rPr>
        <w:t>observed that:</w:t>
      </w:r>
    </w:p>
    <w:p w14:paraId="09A75953" w14:textId="66D27838" w:rsidR="00623ED2" w:rsidRPr="00625766" w:rsidRDefault="00623ED2" w:rsidP="0090484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5766">
        <w:rPr>
          <w:rFonts w:ascii="Arial" w:hAnsi="Arial" w:cs="Arial"/>
          <w:sz w:val="20"/>
          <w:szCs w:val="20"/>
        </w:rPr>
        <w:t>‘</w:t>
      </w:r>
      <w:r w:rsidR="00F15FED" w:rsidRPr="00625766">
        <w:rPr>
          <w:rFonts w:ascii="Arial" w:hAnsi="Arial" w:cs="Arial"/>
          <w:sz w:val="20"/>
          <w:szCs w:val="20"/>
        </w:rPr>
        <w:t xml:space="preserve">…This court in </w:t>
      </w:r>
      <w:r w:rsidR="00F15FED" w:rsidRPr="00625766">
        <w:rPr>
          <w:rFonts w:ascii="Arial" w:hAnsi="Arial" w:cs="Arial"/>
          <w:i/>
          <w:iCs/>
          <w:sz w:val="20"/>
          <w:szCs w:val="20"/>
        </w:rPr>
        <w:t>Dean Gillian Rees v Investec Bank Limited</w:t>
      </w:r>
      <w:r w:rsidR="00F15FED" w:rsidRPr="00625766">
        <w:rPr>
          <w:rFonts w:ascii="Arial" w:hAnsi="Arial" w:cs="Arial"/>
          <w:sz w:val="20"/>
          <w:szCs w:val="20"/>
        </w:rPr>
        <w:t xml:space="preserve"> (330/13) [2014] ZASCA 38 (28 March 2014), in dealing with the issue of whether personal knowledge</w:t>
      </w:r>
      <w:r w:rsidR="00E60C48" w:rsidRPr="00625766">
        <w:rPr>
          <w:rFonts w:ascii="Arial" w:hAnsi="Arial" w:cs="Arial"/>
          <w:sz w:val="20"/>
          <w:szCs w:val="20"/>
        </w:rPr>
        <w:t xml:space="preserve"> of all of the facts forming the basis for the cause of action, had to be possessed by the deponent </w:t>
      </w:r>
      <w:r w:rsidR="00841ADF" w:rsidRPr="00625766">
        <w:rPr>
          <w:rFonts w:ascii="Arial" w:hAnsi="Arial" w:cs="Arial"/>
          <w:sz w:val="20"/>
          <w:szCs w:val="20"/>
        </w:rPr>
        <w:t>to the verifying affidavit, said the following in para 15:</w:t>
      </w:r>
    </w:p>
    <w:p w14:paraId="51485C8B" w14:textId="00AF704A" w:rsidR="00136627" w:rsidRPr="00625766" w:rsidRDefault="00136627" w:rsidP="00904849">
      <w:pPr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25766">
        <w:rPr>
          <w:rFonts w:ascii="Arial" w:hAnsi="Arial" w:cs="Arial"/>
          <w:sz w:val="20"/>
          <w:szCs w:val="20"/>
        </w:rPr>
        <w:t xml:space="preserve">“As stated in </w:t>
      </w:r>
      <w:r w:rsidRPr="00625766">
        <w:rPr>
          <w:rFonts w:ascii="Arial" w:hAnsi="Arial" w:cs="Arial"/>
          <w:i/>
          <w:iCs/>
          <w:sz w:val="20"/>
          <w:szCs w:val="20"/>
        </w:rPr>
        <w:t>Maharaj</w:t>
      </w:r>
      <w:r w:rsidR="00A35DD6" w:rsidRPr="00625766">
        <w:rPr>
          <w:rFonts w:ascii="Arial" w:hAnsi="Arial" w:cs="Arial"/>
          <w:sz w:val="20"/>
          <w:szCs w:val="20"/>
        </w:rPr>
        <w:t>,</w:t>
      </w:r>
      <w:r w:rsidR="00A35DD6" w:rsidRPr="00625766">
        <w:rPr>
          <w:rStyle w:val="FootnoteReference"/>
          <w:rFonts w:ascii="Arial" w:hAnsi="Arial" w:cs="Arial"/>
          <w:sz w:val="20"/>
          <w:szCs w:val="20"/>
        </w:rPr>
        <w:footnoteReference w:id="14"/>
      </w:r>
      <w:r w:rsidR="00A35DD6" w:rsidRPr="00625766">
        <w:rPr>
          <w:rFonts w:ascii="Arial" w:hAnsi="Arial" w:cs="Arial"/>
          <w:sz w:val="20"/>
          <w:szCs w:val="20"/>
        </w:rPr>
        <w:t xml:space="preserve"> </w:t>
      </w:r>
      <w:r w:rsidR="00227BC3" w:rsidRPr="00625766">
        <w:rPr>
          <w:rFonts w:ascii="Arial" w:hAnsi="Arial" w:cs="Arial"/>
          <w:sz w:val="20"/>
          <w:szCs w:val="20"/>
        </w:rPr>
        <w:t>‘undue formalism in procedural matters is always to be eschewed</w:t>
      </w:r>
      <w:r w:rsidR="007F747F" w:rsidRPr="00625766">
        <w:rPr>
          <w:rFonts w:ascii="Arial" w:hAnsi="Arial" w:cs="Arial"/>
          <w:sz w:val="20"/>
          <w:szCs w:val="20"/>
        </w:rPr>
        <w:t>’ and must give way to commercial pragmatism. At the end of the day</w:t>
      </w:r>
      <w:r w:rsidR="003C6890" w:rsidRPr="00625766">
        <w:rPr>
          <w:rFonts w:ascii="Arial" w:hAnsi="Arial" w:cs="Arial"/>
          <w:sz w:val="20"/>
          <w:szCs w:val="20"/>
        </w:rPr>
        <w:t xml:space="preserve">, whether or not to grant summary judgment is a </w:t>
      </w:r>
      <w:r w:rsidR="003C6890" w:rsidRPr="00625766">
        <w:rPr>
          <w:rFonts w:ascii="Arial" w:hAnsi="Arial" w:cs="Arial"/>
          <w:i/>
          <w:iCs/>
          <w:sz w:val="20"/>
          <w:szCs w:val="20"/>
        </w:rPr>
        <w:t>fact-based enquiry</w:t>
      </w:r>
      <w:r w:rsidR="003C6890" w:rsidRPr="00625766">
        <w:rPr>
          <w:rFonts w:ascii="Arial" w:hAnsi="Arial" w:cs="Arial"/>
          <w:sz w:val="20"/>
          <w:szCs w:val="20"/>
        </w:rPr>
        <w:t>. M</w:t>
      </w:r>
      <w:r w:rsidR="00122900" w:rsidRPr="00625766">
        <w:rPr>
          <w:rFonts w:ascii="Arial" w:hAnsi="Arial" w:cs="Arial"/>
          <w:sz w:val="20"/>
          <w:szCs w:val="20"/>
        </w:rPr>
        <w:t>any summary judgment applications are brought by financial institutions a</w:t>
      </w:r>
      <w:r w:rsidR="00B551CA" w:rsidRPr="00625766">
        <w:rPr>
          <w:rFonts w:ascii="Arial" w:hAnsi="Arial" w:cs="Arial"/>
          <w:sz w:val="20"/>
          <w:szCs w:val="20"/>
        </w:rPr>
        <w:t>nd large corporations. First-hand knowledge of every fact cannot and should not be required</w:t>
      </w:r>
      <w:r w:rsidR="007B09DF" w:rsidRPr="00625766">
        <w:rPr>
          <w:rFonts w:ascii="Arial" w:hAnsi="Arial" w:cs="Arial"/>
          <w:sz w:val="20"/>
          <w:szCs w:val="20"/>
        </w:rPr>
        <w:t xml:space="preserve"> of the official who deposes to the affidavit on behalf </w:t>
      </w:r>
      <w:r w:rsidR="007B09DF" w:rsidRPr="00625766">
        <w:rPr>
          <w:rFonts w:ascii="Arial" w:hAnsi="Arial" w:cs="Arial"/>
          <w:sz w:val="20"/>
          <w:szCs w:val="20"/>
        </w:rPr>
        <w:lastRenderedPageBreak/>
        <w:t xml:space="preserve">of such financial institutions and </w:t>
      </w:r>
      <w:r w:rsidR="00617CE4" w:rsidRPr="00625766">
        <w:rPr>
          <w:rFonts w:ascii="Arial" w:hAnsi="Arial" w:cs="Arial"/>
          <w:sz w:val="20"/>
          <w:szCs w:val="20"/>
        </w:rPr>
        <w:t xml:space="preserve">large corporations. To insist on first-hand knowledge is not consistent with the principles espoused in </w:t>
      </w:r>
      <w:r w:rsidR="00617CE4" w:rsidRPr="003C2A28">
        <w:rPr>
          <w:rFonts w:ascii="Arial" w:hAnsi="Arial" w:cs="Arial"/>
          <w:i/>
          <w:iCs/>
          <w:sz w:val="20"/>
          <w:szCs w:val="20"/>
        </w:rPr>
        <w:t>Maharaj</w:t>
      </w:r>
      <w:r w:rsidR="005305F2" w:rsidRPr="00625766">
        <w:rPr>
          <w:rFonts w:ascii="Arial" w:hAnsi="Arial" w:cs="Arial"/>
          <w:sz w:val="20"/>
          <w:szCs w:val="20"/>
        </w:rPr>
        <w:t>.” (My emphasis.)</w:t>
      </w:r>
    </w:p>
    <w:p w14:paraId="7B812B23" w14:textId="26EB2DA6" w:rsidR="005305F2" w:rsidRPr="00625766" w:rsidRDefault="005305F2" w:rsidP="0090484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5766">
        <w:rPr>
          <w:rFonts w:ascii="Arial" w:hAnsi="Arial" w:cs="Arial"/>
          <w:sz w:val="20"/>
          <w:szCs w:val="20"/>
        </w:rPr>
        <w:t xml:space="preserve">In my view, </w:t>
      </w:r>
      <w:r w:rsidR="00815A16" w:rsidRPr="00625766">
        <w:rPr>
          <w:rFonts w:ascii="Arial" w:hAnsi="Arial" w:cs="Arial"/>
          <w:sz w:val="20"/>
          <w:szCs w:val="20"/>
        </w:rPr>
        <w:t xml:space="preserve">as long as there </w:t>
      </w:r>
      <w:r w:rsidR="00174882" w:rsidRPr="00625766">
        <w:rPr>
          <w:rFonts w:ascii="Arial" w:hAnsi="Arial" w:cs="Arial"/>
          <w:sz w:val="20"/>
          <w:szCs w:val="20"/>
        </w:rPr>
        <w:t xml:space="preserve">is direct knowledge of the material facts underlying the cause of action, which may be gained by a person who has possession of all </w:t>
      </w:r>
      <w:r w:rsidR="00AB3AC7" w:rsidRPr="00625766">
        <w:rPr>
          <w:rFonts w:ascii="Arial" w:hAnsi="Arial" w:cs="Arial"/>
          <w:sz w:val="20"/>
          <w:szCs w:val="20"/>
        </w:rPr>
        <w:t>of the documentation, that is sufficient.</w:t>
      </w:r>
    </w:p>
    <w:p w14:paraId="50374729" w14:textId="2C040F0F" w:rsidR="00AB3AC7" w:rsidRPr="00625766" w:rsidRDefault="00AB3AC7" w:rsidP="0090484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5766">
        <w:rPr>
          <w:rFonts w:ascii="Arial" w:hAnsi="Arial" w:cs="Arial"/>
          <w:sz w:val="20"/>
          <w:szCs w:val="20"/>
        </w:rPr>
        <w:t>…The enquiry, which is fact-based, considers the contents</w:t>
      </w:r>
      <w:r w:rsidR="00AD41F8" w:rsidRPr="00625766">
        <w:rPr>
          <w:rFonts w:ascii="Arial" w:hAnsi="Arial" w:cs="Arial"/>
          <w:sz w:val="20"/>
          <w:szCs w:val="20"/>
        </w:rPr>
        <w:t xml:space="preserve"> of the verifying </w:t>
      </w:r>
      <w:r w:rsidR="00784552" w:rsidRPr="00625766">
        <w:rPr>
          <w:rFonts w:ascii="Arial" w:hAnsi="Arial" w:cs="Arial"/>
          <w:sz w:val="20"/>
          <w:szCs w:val="20"/>
        </w:rPr>
        <w:t xml:space="preserve">affidavit together with the </w:t>
      </w:r>
      <w:r w:rsidR="008F723B" w:rsidRPr="00625766">
        <w:rPr>
          <w:rFonts w:ascii="Arial" w:hAnsi="Arial" w:cs="Arial"/>
          <w:sz w:val="20"/>
          <w:szCs w:val="20"/>
        </w:rPr>
        <w:t xml:space="preserve">other documents properly before the court. The object is to decide whether the positive affirmation of the </w:t>
      </w:r>
      <w:r w:rsidR="00731795" w:rsidRPr="00625766">
        <w:rPr>
          <w:rFonts w:ascii="Arial" w:hAnsi="Arial" w:cs="Arial"/>
          <w:sz w:val="20"/>
          <w:szCs w:val="20"/>
        </w:rPr>
        <w:t>facts forming the basis for the cause of action, by the deponent to the verifying affid</w:t>
      </w:r>
      <w:r w:rsidR="005D23D0" w:rsidRPr="00625766">
        <w:rPr>
          <w:rFonts w:ascii="Arial" w:hAnsi="Arial" w:cs="Arial"/>
          <w:sz w:val="20"/>
          <w:szCs w:val="20"/>
        </w:rPr>
        <w:t>avit, is sufficiently reliable to justify the grant of summary judgment</w:t>
      </w:r>
      <w:r w:rsidR="00737E93" w:rsidRPr="00625766">
        <w:rPr>
          <w:rFonts w:ascii="Arial" w:hAnsi="Arial" w:cs="Arial"/>
          <w:sz w:val="20"/>
          <w:szCs w:val="20"/>
        </w:rPr>
        <w:t xml:space="preserve">. Those high court decisions which have required personal knowledge of all of the </w:t>
      </w:r>
      <w:r w:rsidR="004045BD" w:rsidRPr="00625766">
        <w:rPr>
          <w:rFonts w:ascii="Arial" w:hAnsi="Arial" w:cs="Arial"/>
          <w:sz w:val="20"/>
          <w:szCs w:val="20"/>
        </w:rPr>
        <w:t xml:space="preserve">material facts on the part of the deponent to the verifying affidavit are accordingly not in accordance with the principles </w:t>
      </w:r>
      <w:r w:rsidR="0010433D" w:rsidRPr="00625766">
        <w:rPr>
          <w:rFonts w:ascii="Arial" w:hAnsi="Arial" w:cs="Arial"/>
          <w:sz w:val="20"/>
          <w:szCs w:val="20"/>
        </w:rPr>
        <w:t xml:space="preserve">laid down by this court in </w:t>
      </w:r>
      <w:r w:rsidR="0010433D" w:rsidRPr="00B90202">
        <w:rPr>
          <w:rFonts w:ascii="Arial" w:hAnsi="Arial" w:cs="Arial"/>
          <w:i/>
          <w:iCs/>
          <w:sz w:val="20"/>
          <w:szCs w:val="20"/>
        </w:rPr>
        <w:t>Maharaj</w:t>
      </w:r>
      <w:r w:rsidR="0010433D" w:rsidRPr="00625766">
        <w:rPr>
          <w:rFonts w:ascii="Arial" w:hAnsi="Arial" w:cs="Arial"/>
          <w:sz w:val="20"/>
          <w:szCs w:val="20"/>
        </w:rPr>
        <w:t>.</w:t>
      </w:r>
    </w:p>
    <w:p w14:paraId="6B8CF010" w14:textId="1F546057" w:rsidR="0010433D" w:rsidRPr="00625766" w:rsidRDefault="0010433D" w:rsidP="0090484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5766">
        <w:rPr>
          <w:rFonts w:ascii="Arial" w:hAnsi="Arial" w:cs="Arial"/>
          <w:sz w:val="20"/>
          <w:szCs w:val="20"/>
        </w:rPr>
        <w:t xml:space="preserve">…An insistence upon personal knowledge </w:t>
      </w:r>
      <w:r w:rsidR="006640F6" w:rsidRPr="00625766">
        <w:rPr>
          <w:rFonts w:ascii="Arial" w:hAnsi="Arial" w:cs="Arial"/>
          <w:sz w:val="20"/>
          <w:szCs w:val="20"/>
        </w:rPr>
        <w:t>by a deponent to a verifying affidavit of all the material facts forming the basis for the cause of action</w:t>
      </w:r>
      <w:r w:rsidR="001C7D24" w:rsidRPr="00625766">
        <w:rPr>
          <w:rFonts w:ascii="Arial" w:hAnsi="Arial" w:cs="Arial"/>
          <w:sz w:val="20"/>
          <w:szCs w:val="20"/>
        </w:rPr>
        <w:t>, where the cessionary of a claim seeks summary judgment against the debtor, in most cases would effectively preclude the grant of summary judgment</w:t>
      </w:r>
      <w:r w:rsidR="006413D6" w:rsidRPr="00625766">
        <w:rPr>
          <w:rFonts w:ascii="Arial" w:hAnsi="Arial" w:cs="Arial"/>
          <w:sz w:val="20"/>
          <w:szCs w:val="20"/>
        </w:rPr>
        <w:t>. The consequences of this narrow approach is illustrated</w:t>
      </w:r>
      <w:r w:rsidR="006A6662" w:rsidRPr="00625766">
        <w:rPr>
          <w:rFonts w:ascii="Arial" w:hAnsi="Arial" w:cs="Arial"/>
          <w:sz w:val="20"/>
          <w:szCs w:val="20"/>
        </w:rPr>
        <w:t xml:space="preserve"> by the decision in </w:t>
      </w:r>
      <w:r w:rsidR="006A6662" w:rsidRPr="00B90202">
        <w:rPr>
          <w:rFonts w:ascii="Arial" w:hAnsi="Arial" w:cs="Arial"/>
          <w:i/>
          <w:iCs/>
          <w:sz w:val="20"/>
          <w:szCs w:val="20"/>
        </w:rPr>
        <w:t>Trekker Investments (Pty) Ltd v Wimpy Bar</w:t>
      </w:r>
      <w:r w:rsidR="006A6662" w:rsidRPr="00625766">
        <w:rPr>
          <w:rFonts w:ascii="Arial" w:hAnsi="Arial" w:cs="Arial"/>
          <w:sz w:val="20"/>
          <w:szCs w:val="20"/>
        </w:rPr>
        <w:t xml:space="preserve"> 1977 (3) SA 447 (W). </w:t>
      </w:r>
      <w:r w:rsidR="003840CD" w:rsidRPr="00625766">
        <w:rPr>
          <w:rFonts w:ascii="Arial" w:hAnsi="Arial" w:cs="Arial"/>
          <w:sz w:val="20"/>
          <w:szCs w:val="20"/>
        </w:rPr>
        <w:t>It was held that it had to appear from the verifying affidavit that the facts relating to the claim</w:t>
      </w:r>
      <w:r w:rsidR="00134728" w:rsidRPr="00625766">
        <w:rPr>
          <w:rFonts w:ascii="Arial" w:hAnsi="Arial" w:cs="Arial"/>
          <w:sz w:val="20"/>
          <w:szCs w:val="20"/>
        </w:rPr>
        <w:t xml:space="preserve"> of the cedent against the debtor were within the knowledge of the deponent who was able to </w:t>
      </w:r>
      <w:r w:rsidR="00756B35" w:rsidRPr="00625766">
        <w:rPr>
          <w:rFonts w:ascii="Arial" w:hAnsi="Arial" w:cs="Arial"/>
          <w:sz w:val="20"/>
          <w:szCs w:val="20"/>
        </w:rPr>
        <w:t xml:space="preserve">swear positively thereto. The deponent in such a case was </w:t>
      </w:r>
      <w:r w:rsidR="00756B35" w:rsidRPr="00625766">
        <w:rPr>
          <w:rFonts w:ascii="Arial" w:hAnsi="Arial" w:cs="Arial"/>
          <w:i/>
          <w:iCs/>
          <w:sz w:val="20"/>
          <w:szCs w:val="20"/>
        </w:rPr>
        <w:t>prima facie</w:t>
      </w:r>
      <w:r w:rsidR="00756B35" w:rsidRPr="00625766">
        <w:rPr>
          <w:rFonts w:ascii="Arial" w:hAnsi="Arial" w:cs="Arial"/>
          <w:sz w:val="20"/>
          <w:szCs w:val="20"/>
        </w:rPr>
        <w:t xml:space="preserve"> making the affidavit</w:t>
      </w:r>
      <w:r w:rsidR="000B5C57" w:rsidRPr="00625766">
        <w:rPr>
          <w:rFonts w:ascii="Arial" w:hAnsi="Arial" w:cs="Arial"/>
          <w:sz w:val="20"/>
          <w:szCs w:val="20"/>
        </w:rPr>
        <w:t xml:space="preserve"> on behalf of a cessionary and there was nothing in the affidavit to indicate that </w:t>
      </w:r>
      <w:r w:rsidR="00927F64" w:rsidRPr="00625766">
        <w:rPr>
          <w:rFonts w:ascii="Arial" w:hAnsi="Arial" w:cs="Arial"/>
          <w:sz w:val="20"/>
          <w:szCs w:val="20"/>
        </w:rPr>
        <w:t xml:space="preserve">the deponent had any connection with the cedent, which presumably would have enabled </w:t>
      </w:r>
      <w:r w:rsidR="00B04643" w:rsidRPr="00625766">
        <w:rPr>
          <w:rFonts w:ascii="Arial" w:hAnsi="Arial" w:cs="Arial"/>
          <w:sz w:val="20"/>
          <w:szCs w:val="20"/>
        </w:rPr>
        <w:t xml:space="preserve">him to acquire this knowledge. To insist on personal knowledge by the deponent to the verifying affidavit </w:t>
      </w:r>
      <w:r w:rsidR="002B4E6A" w:rsidRPr="00625766">
        <w:rPr>
          <w:rFonts w:ascii="Arial" w:hAnsi="Arial" w:cs="Arial"/>
          <w:sz w:val="20"/>
          <w:szCs w:val="20"/>
        </w:rPr>
        <w:t>on behalf of the cessionary of all the material facts of the claim</w:t>
      </w:r>
      <w:r w:rsidR="002523A1" w:rsidRPr="00625766">
        <w:rPr>
          <w:rFonts w:ascii="Arial" w:hAnsi="Arial" w:cs="Arial"/>
          <w:sz w:val="20"/>
          <w:szCs w:val="20"/>
        </w:rPr>
        <w:t xml:space="preserve"> of the cedent against the debtor, emphasises formalism in procedural matters at the expense of commercial pragmatism.’</w:t>
      </w:r>
      <w:r w:rsidR="001D6F82" w:rsidRPr="00625766">
        <w:rPr>
          <w:rStyle w:val="FootnoteReference"/>
          <w:rFonts w:ascii="Arial" w:hAnsi="Arial" w:cs="Arial"/>
          <w:sz w:val="20"/>
          <w:szCs w:val="20"/>
        </w:rPr>
        <w:footnoteReference w:id="15"/>
      </w:r>
    </w:p>
    <w:p w14:paraId="51F5E351" w14:textId="611E69EC" w:rsidR="00841ADF" w:rsidRDefault="00841ADF" w:rsidP="005770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E0E8F5" w14:textId="1795B3BA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[26]</w:t>
      </w:r>
      <w:r>
        <w:rPr>
          <w:rFonts w:ascii="Arial" w:hAnsi="Arial" w:cs="Arial"/>
          <w:sz w:val="24"/>
          <w:szCs w:val="24"/>
        </w:rPr>
        <w:tab/>
      </w:r>
      <w:r w:rsidR="009806BC" w:rsidRPr="00DF5198">
        <w:rPr>
          <w:rFonts w:ascii="Arial" w:hAnsi="Arial" w:cs="Arial"/>
          <w:sz w:val="24"/>
          <w:szCs w:val="24"/>
        </w:rPr>
        <w:t xml:space="preserve">The </w:t>
      </w:r>
      <w:r w:rsidR="002C0B4F" w:rsidRPr="00DF5198">
        <w:rPr>
          <w:rFonts w:ascii="Arial" w:hAnsi="Arial" w:cs="Arial"/>
          <w:sz w:val="24"/>
          <w:szCs w:val="24"/>
        </w:rPr>
        <w:t xml:space="preserve">above passage was quoted in </w:t>
      </w:r>
      <w:r w:rsidR="00F02145" w:rsidRPr="00DF5198">
        <w:rPr>
          <w:rFonts w:ascii="Arial" w:hAnsi="Arial" w:cs="Arial"/>
          <w:i/>
          <w:iCs/>
          <w:sz w:val="24"/>
          <w:szCs w:val="24"/>
        </w:rPr>
        <w:t>South African Securitisation Programme</w:t>
      </w:r>
      <w:r w:rsidR="006174A4" w:rsidRPr="00DF5198">
        <w:rPr>
          <w:rFonts w:ascii="Arial" w:hAnsi="Arial" w:cs="Arial"/>
          <w:i/>
          <w:iCs/>
          <w:sz w:val="24"/>
          <w:szCs w:val="24"/>
        </w:rPr>
        <w:t xml:space="preserve"> (RF) Ltd v </w:t>
      </w:r>
      <w:proofErr w:type="spellStart"/>
      <w:r w:rsidR="006174A4" w:rsidRPr="00DF5198">
        <w:rPr>
          <w:rFonts w:ascii="Arial" w:hAnsi="Arial" w:cs="Arial"/>
          <w:i/>
          <w:iCs/>
          <w:sz w:val="24"/>
          <w:szCs w:val="24"/>
        </w:rPr>
        <w:t>Full</w:t>
      </w:r>
      <w:r w:rsidR="00A4764B" w:rsidRPr="00DF5198">
        <w:rPr>
          <w:rFonts w:ascii="Arial" w:hAnsi="Arial" w:cs="Arial"/>
          <w:i/>
          <w:iCs/>
          <w:sz w:val="24"/>
          <w:szCs w:val="24"/>
        </w:rPr>
        <w:t>imput</w:t>
      </w:r>
      <w:proofErr w:type="spellEnd"/>
      <w:r w:rsidR="00A4764B" w:rsidRPr="00DF5198">
        <w:rPr>
          <w:rFonts w:ascii="Arial" w:hAnsi="Arial" w:cs="Arial"/>
          <w:i/>
          <w:iCs/>
          <w:sz w:val="24"/>
          <w:szCs w:val="24"/>
        </w:rPr>
        <w:t xml:space="preserve"> 11 (Pty) Ltd and another</w:t>
      </w:r>
      <w:r w:rsidR="00A4764B" w:rsidRPr="00DF5198">
        <w:rPr>
          <w:rFonts w:ascii="Arial" w:hAnsi="Arial" w:cs="Arial"/>
          <w:sz w:val="24"/>
          <w:szCs w:val="24"/>
        </w:rPr>
        <w:t>,</w:t>
      </w:r>
      <w:r w:rsidR="00A4764B">
        <w:rPr>
          <w:rStyle w:val="FootnoteReference"/>
          <w:rFonts w:ascii="Arial" w:hAnsi="Arial" w:cs="Arial"/>
          <w:sz w:val="24"/>
          <w:szCs w:val="24"/>
        </w:rPr>
        <w:footnoteReference w:id="16"/>
      </w:r>
      <w:r w:rsidR="00FD144F" w:rsidRPr="00DF5198">
        <w:rPr>
          <w:rFonts w:ascii="Arial" w:hAnsi="Arial" w:cs="Arial"/>
          <w:sz w:val="24"/>
          <w:szCs w:val="24"/>
        </w:rPr>
        <w:t xml:space="preserve"> where </w:t>
      </w:r>
      <w:proofErr w:type="spellStart"/>
      <w:r w:rsidR="000A44B8" w:rsidRPr="00DF5198">
        <w:rPr>
          <w:rFonts w:ascii="Arial" w:hAnsi="Arial" w:cs="Arial"/>
          <w:sz w:val="24"/>
          <w:szCs w:val="24"/>
        </w:rPr>
        <w:t>Binns</w:t>
      </w:r>
      <w:proofErr w:type="spellEnd"/>
      <w:r w:rsidR="000A44B8" w:rsidRPr="00DF5198">
        <w:rPr>
          <w:rFonts w:ascii="Arial" w:hAnsi="Arial" w:cs="Arial"/>
          <w:sz w:val="24"/>
          <w:szCs w:val="24"/>
        </w:rPr>
        <w:t xml:space="preserve">-Ward J remarked that </w:t>
      </w:r>
      <w:r w:rsidR="00F13041" w:rsidRPr="00DF5198">
        <w:rPr>
          <w:rFonts w:ascii="Arial" w:hAnsi="Arial" w:cs="Arial"/>
          <w:sz w:val="24"/>
          <w:szCs w:val="24"/>
        </w:rPr>
        <w:t xml:space="preserve">an apparent lack of first-hand knowledge of the facts </w:t>
      </w:r>
      <w:r w:rsidR="00233EB7" w:rsidRPr="00DF5198">
        <w:rPr>
          <w:rFonts w:ascii="Arial" w:hAnsi="Arial" w:cs="Arial"/>
          <w:sz w:val="24"/>
          <w:szCs w:val="24"/>
        </w:rPr>
        <w:t xml:space="preserve">could, depending on the circumstances, be remedied by reference </w:t>
      </w:r>
      <w:r w:rsidR="004C5442" w:rsidRPr="00DF5198">
        <w:rPr>
          <w:rFonts w:ascii="Arial" w:hAnsi="Arial" w:cs="Arial"/>
          <w:sz w:val="24"/>
          <w:szCs w:val="24"/>
        </w:rPr>
        <w:t>to the papers. The court</w:t>
      </w:r>
      <w:r w:rsidR="00E7131D" w:rsidRPr="00DF5198">
        <w:rPr>
          <w:rFonts w:ascii="Arial" w:hAnsi="Arial" w:cs="Arial"/>
          <w:sz w:val="24"/>
          <w:szCs w:val="24"/>
        </w:rPr>
        <w:t xml:space="preserve"> ‘looks at the matter “at the end of the day”</w:t>
      </w:r>
      <w:r w:rsidR="00381AA8" w:rsidRPr="00DF5198">
        <w:rPr>
          <w:rFonts w:ascii="Arial" w:hAnsi="Arial" w:cs="Arial"/>
          <w:sz w:val="24"/>
          <w:szCs w:val="24"/>
        </w:rPr>
        <w:t xml:space="preserve"> on the basis of all the material that is properly before it’.</w:t>
      </w:r>
      <w:r w:rsidR="00381AA8">
        <w:rPr>
          <w:rStyle w:val="FootnoteReference"/>
          <w:rFonts w:ascii="Arial" w:hAnsi="Arial" w:cs="Arial"/>
          <w:sz w:val="24"/>
          <w:szCs w:val="24"/>
        </w:rPr>
        <w:footnoteReference w:id="17"/>
      </w:r>
    </w:p>
    <w:p w14:paraId="720D55C4" w14:textId="41374FE4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[27]</w:t>
      </w:r>
      <w:r>
        <w:rPr>
          <w:rFonts w:ascii="Arial" w:hAnsi="Arial" w:cs="Arial"/>
          <w:sz w:val="24"/>
          <w:szCs w:val="24"/>
        </w:rPr>
        <w:tab/>
      </w:r>
      <w:r w:rsidR="00B749CA" w:rsidRPr="00DF5198">
        <w:rPr>
          <w:rFonts w:ascii="Arial" w:hAnsi="Arial" w:cs="Arial"/>
          <w:sz w:val="24"/>
          <w:szCs w:val="24"/>
        </w:rPr>
        <w:t xml:space="preserve">The additional case to which the </w:t>
      </w:r>
      <w:r w:rsidR="007D3914" w:rsidRPr="00DF5198">
        <w:rPr>
          <w:rFonts w:ascii="Arial" w:hAnsi="Arial" w:cs="Arial"/>
          <w:sz w:val="24"/>
          <w:szCs w:val="24"/>
        </w:rPr>
        <w:t>applica</w:t>
      </w:r>
      <w:r w:rsidR="00B749CA" w:rsidRPr="00DF5198">
        <w:rPr>
          <w:rFonts w:ascii="Arial" w:hAnsi="Arial" w:cs="Arial"/>
          <w:sz w:val="24"/>
          <w:szCs w:val="24"/>
        </w:rPr>
        <w:t xml:space="preserve">nt </w:t>
      </w:r>
      <w:r w:rsidR="007D3914" w:rsidRPr="00DF5198">
        <w:rPr>
          <w:rFonts w:ascii="Arial" w:hAnsi="Arial" w:cs="Arial"/>
          <w:sz w:val="24"/>
          <w:szCs w:val="24"/>
        </w:rPr>
        <w:t xml:space="preserve">referred was </w:t>
      </w:r>
      <w:proofErr w:type="spellStart"/>
      <w:r w:rsidR="00985D1C" w:rsidRPr="00DF5198">
        <w:rPr>
          <w:rFonts w:ascii="Arial" w:hAnsi="Arial" w:cs="Arial"/>
          <w:i/>
          <w:iCs/>
          <w:sz w:val="24"/>
          <w:szCs w:val="24"/>
        </w:rPr>
        <w:t>Firstrand</w:t>
      </w:r>
      <w:proofErr w:type="spellEnd"/>
      <w:r w:rsidR="00985D1C" w:rsidRPr="00DF5198">
        <w:rPr>
          <w:rFonts w:ascii="Arial" w:hAnsi="Arial" w:cs="Arial"/>
          <w:i/>
          <w:iCs/>
          <w:sz w:val="24"/>
          <w:szCs w:val="24"/>
        </w:rPr>
        <w:t xml:space="preserve"> </w:t>
      </w:r>
      <w:r w:rsidR="009C702B" w:rsidRPr="00DF5198">
        <w:rPr>
          <w:rFonts w:ascii="Arial" w:hAnsi="Arial" w:cs="Arial"/>
          <w:i/>
          <w:iCs/>
          <w:sz w:val="24"/>
          <w:szCs w:val="24"/>
        </w:rPr>
        <w:t>Bank</w:t>
      </w:r>
      <w:r w:rsidR="00345C18" w:rsidRPr="00DF5198">
        <w:rPr>
          <w:rFonts w:ascii="Arial" w:hAnsi="Arial" w:cs="Arial"/>
          <w:i/>
          <w:iCs/>
          <w:sz w:val="24"/>
          <w:szCs w:val="24"/>
        </w:rPr>
        <w:t xml:space="preserve"> Ltd v Desert Fox Investments (Pty) Ltd</w:t>
      </w:r>
      <w:r w:rsidR="00345C18" w:rsidRPr="00DF5198">
        <w:rPr>
          <w:rFonts w:ascii="Arial" w:hAnsi="Arial" w:cs="Arial"/>
          <w:sz w:val="24"/>
          <w:szCs w:val="24"/>
        </w:rPr>
        <w:t>,</w:t>
      </w:r>
      <w:r w:rsidR="00345C18">
        <w:rPr>
          <w:rStyle w:val="FootnoteReference"/>
          <w:rFonts w:ascii="Arial" w:hAnsi="Arial" w:cs="Arial"/>
          <w:sz w:val="24"/>
          <w:szCs w:val="24"/>
        </w:rPr>
        <w:footnoteReference w:id="18"/>
      </w:r>
      <w:r w:rsidR="001F1663" w:rsidRPr="00DF5198">
        <w:rPr>
          <w:rFonts w:ascii="Arial" w:hAnsi="Arial" w:cs="Arial"/>
          <w:sz w:val="24"/>
          <w:szCs w:val="24"/>
        </w:rPr>
        <w:t xml:space="preserve"> where </w:t>
      </w:r>
      <w:r w:rsidR="00F614A9" w:rsidRPr="00DF5198">
        <w:rPr>
          <w:rFonts w:ascii="Arial" w:hAnsi="Arial" w:cs="Arial"/>
          <w:sz w:val="24"/>
          <w:szCs w:val="24"/>
        </w:rPr>
        <w:t xml:space="preserve">Collett AJ </w:t>
      </w:r>
      <w:r w:rsidR="00A018C8" w:rsidRPr="00DF5198">
        <w:rPr>
          <w:rFonts w:ascii="Arial" w:hAnsi="Arial" w:cs="Arial"/>
          <w:sz w:val="24"/>
          <w:szCs w:val="24"/>
        </w:rPr>
        <w:t>af</w:t>
      </w:r>
      <w:r w:rsidR="00F614A9" w:rsidRPr="00DF5198">
        <w:rPr>
          <w:rFonts w:ascii="Arial" w:hAnsi="Arial" w:cs="Arial"/>
          <w:sz w:val="24"/>
          <w:szCs w:val="24"/>
        </w:rPr>
        <w:t xml:space="preserve">firmed </w:t>
      </w:r>
      <w:r w:rsidR="00A018C8" w:rsidRPr="00DF5198">
        <w:rPr>
          <w:rFonts w:ascii="Arial" w:hAnsi="Arial" w:cs="Arial"/>
          <w:sz w:val="24"/>
          <w:szCs w:val="24"/>
        </w:rPr>
        <w:t xml:space="preserve">the principles espoused in </w:t>
      </w:r>
      <w:r w:rsidR="00675571" w:rsidRPr="00DF5198">
        <w:rPr>
          <w:rFonts w:ascii="Arial" w:hAnsi="Arial" w:cs="Arial"/>
          <w:i/>
          <w:iCs/>
          <w:sz w:val="24"/>
          <w:szCs w:val="24"/>
        </w:rPr>
        <w:t xml:space="preserve">Stamford </w:t>
      </w:r>
      <w:r w:rsidR="00AD34E9" w:rsidRPr="00DF5198">
        <w:rPr>
          <w:rFonts w:ascii="Arial" w:hAnsi="Arial" w:cs="Arial"/>
          <w:i/>
          <w:iCs/>
          <w:sz w:val="24"/>
          <w:szCs w:val="24"/>
        </w:rPr>
        <w:t>S</w:t>
      </w:r>
      <w:r w:rsidR="00675571" w:rsidRPr="00DF5198">
        <w:rPr>
          <w:rFonts w:ascii="Arial" w:hAnsi="Arial" w:cs="Arial"/>
          <w:i/>
          <w:iCs/>
          <w:sz w:val="24"/>
          <w:szCs w:val="24"/>
        </w:rPr>
        <w:t>ales &amp; Distribution</w:t>
      </w:r>
      <w:r w:rsidR="00D22559" w:rsidRPr="00DF5198">
        <w:rPr>
          <w:rFonts w:ascii="Arial" w:hAnsi="Arial" w:cs="Arial"/>
          <w:sz w:val="24"/>
          <w:szCs w:val="24"/>
        </w:rPr>
        <w:t>, saying that ‘[d]</w:t>
      </w:r>
      <w:proofErr w:type="spellStart"/>
      <w:r w:rsidR="00D22559" w:rsidRPr="00DF5198">
        <w:rPr>
          <w:rFonts w:ascii="Arial" w:hAnsi="Arial" w:cs="Arial"/>
          <w:sz w:val="24"/>
          <w:szCs w:val="24"/>
        </w:rPr>
        <w:t>irect</w:t>
      </w:r>
      <w:proofErr w:type="spellEnd"/>
      <w:r w:rsidR="00D22559" w:rsidRPr="00DF5198">
        <w:rPr>
          <w:rFonts w:ascii="Arial" w:hAnsi="Arial" w:cs="Arial"/>
          <w:sz w:val="24"/>
          <w:szCs w:val="24"/>
        </w:rPr>
        <w:t xml:space="preserve"> knowledge of the material </w:t>
      </w:r>
      <w:r w:rsidR="00373D3E" w:rsidRPr="00DF5198">
        <w:rPr>
          <w:rFonts w:ascii="Arial" w:hAnsi="Arial" w:cs="Arial"/>
          <w:sz w:val="24"/>
          <w:szCs w:val="24"/>
        </w:rPr>
        <w:t>facts underlying the cause of action gleaned by a person who may be in possession of the documentation has been regarded as suffic</w:t>
      </w:r>
      <w:r w:rsidR="00AD34E9" w:rsidRPr="00DF5198">
        <w:rPr>
          <w:rFonts w:ascii="Arial" w:hAnsi="Arial" w:cs="Arial"/>
          <w:sz w:val="24"/>
          <w:szCs w:val="24"/>
        </w:rPr>
        <w:t>i</w:t>
      </w:r>
      <w:r w:rsidR="00373D3E" w:rsidRPr="00DF5198">
        <w:rPr>
          <w:rFonts w:ascii="Arial" w:hAnsi="Arial" w:cs="Arial"/>
          <w:sz w:val="24"/>
          <w:szCs w:val="24"/>
        </w:rPr>
        <w:t>ent</w:t>
      </w:r>
      <w:r w:rsidR="00AD34E9" w:rsidRPr="00DF5198">
        <w:rPr>
          <w:rFonts w:ascii="Arial" w:hAnsi="Arial" w:cs="Arial"/>
          <w:sz w:val="24"/>
          <w:szCs w:val="24"/>
        </w:rPr>
        <w:t>’</w:t>
      </w:r>
      <w:r w:rsidR="00120674" w:rsidRPr="00DF5198">
        <w:rPr>
          <w:rFonts w:ascii="Arial" w:hAnsi="Arial" w:cs="Arial"/>
          <w:sz w:val="24"/>
          <w:szCs w:val="24"/>
        </w:rPr>
        <w:t>.</w:t>
      </w:r>
      <w:r w:rsidR="00801B77">
        <w:rPr>
          <w:rStyle w:val="FootnoteReference"/>
          <w:rFonts w:ascii="Arial" w:hAnsi="Arial" w:cs="Arial"/>
          <w:sz w:val="24"/>
          <w:szCs w:val="24"/>
        </w:rPr>
        <w:footnoteReference w:id="19"/>
      </w:r>
      <w:r w:rsidR="00120674" w:rsidRPr="00DF5198">
        <w:rPr>
          <w:rFonts w:ascii="Arial" w:hAnsi="Arial" w:cs="Arial"/>
          <w:sz w:val="24"/>
          <w:szCs w:val="24"/>
        </w:rPr>
        <w:t xml:space="preserve"> The court also </w:t>
      </w:r>
      <w:r w:rsidR="001B55A0" w:rsidRPr="00DF5198">
        <w:rPr>
          <w:rFonts w:ascii="Arial" w:hAnsi="Arial" w:cs="Arial"/>
          <w:sz w:val="24"/>
          <w:szCs w:val="24"/>
        </w:rPr>
        <w:t xml:space="preserve">cited </w:t>
      </w:r>
      <w:r w:rsidR="001B55A0" w:rsidRPr="00DF5198">
        <w:rPr>
          <w:rFonts w:ascii="Arial" w:hAnsi="Arial" w:cs="Arial"/>
          <w:i/>
          <w:iCs/>
          <w:sz w:val="24"/>
          <w:szCs w:val="24"/>
        </w:rPr>
        <w:t>Maharaj</w:t>
      </w:r>
      <w:r w:rsidR="001B55A0" w:rsidRPr="00DF5198">
        <w:rPr>
          <w:rFonts w:ascii="Arial" w:hAnsi="Arial" w:cs="Arial"/>
          <w:sz w:val="24"/>
          <w:szCs w:val="24"/>
        </w:rPr>
        <w:t xml:space="preserve"> as the basis for the principle</w:t>
      </w:r>
      <w:r w:rsidR="008D09FB" w:rsidRPr="00DF5198">
        <w:rPr>
          <w:rFonts w:ascii="Arial" w:hAnsi="Arial" w:cs="Arial"/>
          <w:sz w:val="24"/>
          <w:szCs w:val="24"/>
        </w:rPr>
        <w:t xml:space="preserve"> that </w:t>
      </w:r>
      <w:r w:rsidR="00940CEB" w:rsidRPr="00DF5198">
        <w:rPr>
          <w:rFonts w:ascii="Arial" w:hAnsi="Arial" w:cs="Arial"/>
          <w:sz w:val="24"/>
          <w:szCs w:val="24"/>
        </w:rPr>
        <w:t>‘[e]</w:t>
      </w:r>
      <w:proofErr w:type="spellStart"/>
      <w:r w:rsidR="00940CEB" w:rsidRPr="00DF5198">
        <w:rPr>
          <w:rFonts w:ascii="Arial" w:hAnsi="Arial" w:cs="Arial"/>
          <w:sz w:val="24"/>
          <w:szCs w:val="24"/>
        </w:rPr>
        <w:t>ven</w:t>
      </w:r>
      <w:proofErr w:type="spellEnd"/>
      <w:r w:rsidR="00940CEB" w:rsidRPr="00DF5198">
        <w:rPr>
          <w:rFonts w:ascii="Arial" w:hAnsi="Arial" w:cs="Arial"/>
          <w:sz w:val="24"/>
          <w:szCs w:val="24"/>
        </w:rPr>
        <w:t xml:space="preserve"> if an affidavit fails to measure up to all the requirements, at the end of the day, refere</w:t>
      </w:r>
      <w:r w:rsidR="002A2D44" w:rsidRPr="00DF5198">
        <w:rPr>
          <w:rFonts w:ascii="Arial" w:hAnsi="Arial" w:cs="Arial"/>
          <w:sz w:val="24"/>
          <w:szCs w:val="24"/>
        </w:rPr>
        <w:t>nce may be had to other documents properly before the court in the proceedings</w:t>
      </w:r>
      <w:r w:rsidR="008D09FB" w:rsidRPr="00DF5198">
        <w:rPr>
          <w:rFonts w:ascii="Arial" w:hAnsi="Arial" w:cs="Arial"/>
          <w:sz w:val="24"/>
          <w:szCs w:val="24"/>
        </w:rPr>
        <w:t>’.</w:t>
      </w:r>
      <w:r w:rsidR="00AD34E9">
        <w:rPr>
          <w:rStyle w:val="FootnoteReference"/>
          <w:rFonts w:ascii="Arial" w:hAnsi="Arial" w:cs="Arial"/>
          <w:sz w:val="24"/>
          <w:szCs w:val="24"/>
        </w:rPr>
        <w:footnoteReference w:id="20"/>
      </w:r>
    </w:p>
    <w:p w14:paraId="1094C165" w14:textId="77777777" w:rsidR="00904849" w:rsidRDefault="00904849" w:rsidP="0090484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4581F4" w14:textId="65D3F042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[28]</w:t>
      </w:r>
      <w:r>
        <w:rPr>
          <w:rFonts w:ascii="Arial" w:hAnsi="Arial" w:cs="Arial"/>
          <w:sz w:val="24"/>
          <w:szCs w:val="24"/>
        </w:rPr>
        <w:tab/>
      </w:r>
      <w:r w:rsidR="00595169" w:rsidRPr="00DF5198">
        <w:rPr>
          <w:rFonts w:ascii="Arial" w:hAnsi="Arial" w:cs="Arial"/>
          <w:sz w:val="24"/>
          <w:szCs w:val="24"/>
        </w:rPr>
        <w:t xml:space="preserve">Mindful of the above authorities, this court </w:t>
      </w:r>
      <w:r w:rsidR="001537C1" w:rsidRPr="00DF5198">
        <w:rPr>
          <w:rFonts w:ascii="Arial" w:hAnsi="Arial" w:cs="Arial"/>
          <w:sz w:val="24"/>
          <w:szCs w:val="24"/>
        </w:rPr>
        <w:t xml:space="preserve">is </w:t>
      </w:r>
      <w:r w:rsidR="00D36351" w:rsidRPr="00DF5198">
        <w:rPr>
          <w:rFonts w:ascii="Arial" w:hAnsi="Arial" w:cs="Arial"/>
          <w:sz w:val="24"/>
          <w:szCs w:val="24"/>
        </w:rPr>
        <w:t xml:space="preserve">satisfied that an overly </w:t>
      </w:r>
      <w:r w:rsidR="002A227B" w:rsidRPr="00DF5198">
        <w:rPr>
          <w:rFonts w:ascii="Arial" w:hAnsi="Arial" w:cs="Arial"/>
          <w:sz w:val="24"/>
          <w:szCs w:val="24"/>
        </w:rPr>
        <w:t>formalistic approach to the requirements of rule 32</w:t>
      </w:r>
      <w:r w:rsidR="005C0177" w:rsidRPr="00DF5198">
        <w:rPr>
          <w:rFonts w:ascii="Arial" w:hAnsi="Arial" w:cs="Arial"/>
          <w:sz w:val="24"/>
          <w:szCs w:val="24"/>
        </w:rPr>
        <w:t xml:space="preserve">(2) </w:t>
      </w:r>
      <w:r w:rsidR="00C1593E" w:rsidRPr="00DF5198">
        <w:rPr>
          <w:rFonts w:ascii="Arial" w:hAnsi="Arial" w:cs="Arial"/>
          <w:sz w:val="24"/>
          <w:szCs w:val="24"/>
        </w:rPr>
        <w:t xml:space="preserve">would not </w:t>
      </w:r>
      <w:r w:rsidR="005E46D8" w:rsidRPr="00DF5198">
        <w:rPr>
          <w:rFonts w:ascii="Arial" w:hAnsi="Arial" w:cs="Arial"/>
          <w:sz w:val="24"/>
          <w:szCs w:val="24"/>
        </w:rPr>
        <w:t xml:space="preserve">advance the </w:t>
      </w:r>
      <w:r w:rsidR="00D64495" w:rsidRPr="00DF5198">
        <w:rPr>
          <w:rFonts w:ascii="Arial" w:hAnsi="Arial" w:cs="Arial"/>
          <w:sz w:val="24"/>
          <w:szCs w:val="24"/>
        </w:rPr>
        <w:t>respondent</w:t>
      </w:r>
      <w:r w:rsidR="005E46D8" w:rsidRPr="00DF5198">
        <w:rPr>
          <w:rFonts w:ascii="Arial" w:hAnsi="Arial" w:cs="Arial"/>
          <w:sz w:val="24"/>
          <w:szCs w:val="24"/>
        </w:rPr>
        <w:t>’s opposition</w:t>
      </w:r>
      <w:r w:rsidR="00D64495" w:rsidRPr="00DF5198">
        <w:rPr>
          <w:rFonts w:ascii="Arial" w:hAnsi="Arial" w:cs="Arial"/>
          <w:sz w:val="24"/>
          <w:szCs w:val="24"/>
        </w:rPr>
        <w:t xml:space="preserve">. </w:t>
      </w:r>
      <w:r w:rsidR="007C4972" w:rsidRPr="00DF5198">
        <w:rPr>
          <w:rFonts w:ascii="Arial" w:hAnsi="Arial" w:cs="Arial"/>
          <w:sz w:val="24"/>
          <w:szCs w:val="24"/>
        </w:rPr>
        <w:t xml:space="preserve">The deponent to the </w:t>
      </w:r>
      <w:r w:rsidR="00F01D00" w:rsidRPr="00DF5198">
        <w:rPr>
          <w:rFonts w:ascii="Arial" w:hAnsi="Arial" w:cs="Arial"/>
          <w:sz w:val="24"/>
          <w:szCs w:val="24"/>
        </w:rPr>
        <w:t xml:space="preserve">affidavit in support of the application, </w:t>
      </w:r>
      <w:r w:rsidR="00870073" w:rsidRPr="00DF5198">
        <w:rPr>
          <w:rFonts w:ascii="Arial" w:hAnsi="Arial" w:cs="Arial"/>
          <w:sz w:val="24"/>
          <w:szCs w:val="24"/>
        </w:rPr>
        <w:t>Ms Mayola</w:t>
      </w:r>
      <w:r w:rsidR="002973B1" w:rsidRPr="00DF5198">
        <w:rPr>
          <w:rFonts w:ascii="Arial" w:hAnsi="Arial" w:cs="Arial"/>
          <w:sz w:val="24"/>
          <w:szCs w:val="24"/>
        </w:rPr>
        <w:t>,</w:t>
      </w:r>
      <w:r w:rsidR="00870073" w:rsidRPr="00DF5198">
        <w:rPr>
          <w:rFonts w:ascii="Arial" w:hAnsi="Arial" w:cs="Arial"/>
          <w:sz w:val="24"/>
          <w:szCs w:val="24"/>
        </w:rPr>
        <w:t xml:space="preserve"> may not have been </w:t>
      </w:r>
      <w:r w:rsidR="00194C37" w:rsidRPr="00DF5198">
        <w:rPr>
          <w:rFonts w:ascii="Arial" w:hAnsi="Arial" w:cs="Arial"/>
          <w:sz w:val="24"/>
          <w:szCs w:val="24"/>
        </w:rPr>
        <w:t>a party to the ISA</w:t>
      </w:r>
      <w:r w:rsidR="00870073" w:rsidRPr="00DF5198">
        <w:rPr>
          <w:rFonts w:ascii="Arial" w:hAnsi="Arial" w:cs="Arial"/>
          <w:sz w:val="24"/>
          <w:szCs w:val="24"/>
        </w:rPr>
        <w:t xml:space="preserve"> or played any</w:t>
      </w:r>
      <w:r w:rsidR="00194C37" w:rsidRPr="00DF5198">
        <w:rPr>
          <w:rFonts w:ascii="Arial" w:hAnsi="Arial" w:cs="Arial"/>
          <w:sz w:val="24"/>
          <w:szCs w:val="24"/>
        </w:rPr>
        <w:t xml:space="preserve"> role in its </w:t>
      </w:r>
      <w:r w:rsidR="009026F5" w:rsidRPr="00DF5198">
        <w:rPr>
          <w:rFonts w:ascii="Arial" w:hAnsi="Arial" w:cs="Arial"/>
          <w:sz w:val="24"/>
          <w:szCs w:val="24"/>
        </w:rPr>
        <w:t>implementation and</w:t>
      </w:r>
      <w:r w:rsidR="00194C37" w:rsidRPr="00DF5198">
        <w:rPr>
          <w:rFonts w:ascii="Arial" w:hAnsi="Arial" w:cs="Arial"/>
          <w:sz w:val="24"/>
          <w:szCs w:val="24"/>
        </w:rPr>
        <w:t xml:space="preserve"> </w:t>
      </w:r>
      <w:r w:rsidR="00870C85" w:rsidRPr="00DF5198">
        <w:rPr>
          <w:rFonts w:ascii="Arial" w:hAnsi="Arial" w:cs="Arial"/>
          <w:sz w:val="24"/>
          <w:szCs w:val="24"/>
        </w:rPr>
        <w:t xml:space="preserve">may not have </w:t>
      </w:r>
      <w:r w:rsidR="00194C37" w:rsidRPr="00DF5198">
        <w:rPr>
          <w:rFonts w:ascii="Arial" w:hAnsi="Arial" w:cs="Arial"/>
          <w:sz w:val="24"/>
          <w:szCs w:val="24"/>
        </w:rPr>
        <w:t xml:space="preserve">had </w:t>
      </w:r>
      <w:r w:rsidR="00870C85" w:rsidRPr="00DF5198">
        <w:rPr>
          <w:rFonts w:ascii="Arial" w:hAnsi="Arial" w:cs="Arial"/>
          <w:sz w:val="24"/>
          <w:szCs w:val="24"/>
        </w:rPr>
        <w:t>any</w:t>
      </w:r>
      <w:r w:rsidR="00194C37" w:rsidRPr="00DF5198">
        <w:rPr>
          <w:rFonts w:ascii="Arial" w:hAnsi="Arial" w:cs="Arial"/>
          <w:sz w:val="24"/>
          <w:szCs w:val="24"/>
        </w:rPr>
        <w:t>thing to do with the proposed restructuring</w:t>
      </w:r>
      <w:r w:rsidR="00A01C1B" w:rsidRPr="00DF5198">
        <w:rPr>
          <w:rFonts w:ascii="Arial" w:hAnsi="Arial" w:cs="Arial"/>
          <w:sz w:val="24"/>
          <w:szCs w:val="24"/>
        </w:rPr>
        <w:t xml:space="preserve"> of the respondent’s arrears</w:t>
      </w:r>
      <w:r w:rsidR="00C55AE2" w:rsidRPr="00DF5198">
        <w:rPr>
          <w:rFonts w:ascii="Arial" w:hAnsi="Arial" w:cs="Arial"/>
          <w:sz w:val="24"/>
          <w:szCs w:val="24"/>
        </w:rPr>
        <w:t>, yet</w:t>
      </w:r>
      <w:r w:rsidR="009026F5" w:rsidRPr="00DF5198">
        <w:rPr>
          <w:rFonts w:ascii="Arial" w:hAnsi="Arial" w:cs="Arial"/>
          <w:sz w:val="24"/>
          <w:szCs w:val="24"/>
        </w:rPr>
        <w:t xml:space="preserve"> </w:t>
      </w:r>
      <w:r w:rsidR="00C55AE2" w:rsidRPr="00DF5198">
        <w:rPr>
          <w:rFonts w:ascii="Arial" w:hAnsi="Arial" w:cs="Arial"/>
          <w:sz w:val="24"/>
          <w:szCs w:val="24"/>
        </w:rPr>
        <w:t>h</w:t>
      </w:r>
      <w:r w:rsidR="00C20A50" w:rsidRPr="00DF5198">
        <w:rPr>
          <w:rFonts w:ascii="Arial" w:hAnsi="Arial" w:cs="Arial"/>
          <w:sz w:val="24"/>
          <w:szCs w:val="24"/>
        </w:rPr>
        <w:t xml:space="preserve">er </w:t>
      </w:r>
      <w:r w:rsidR="00504AD2" w:rsidRPr="00DF5198">
        <w:rPr>
          <w:rFonts w:ascii="Arial" w:hAnsi="Arial" w:cs="Arial"/>
          <w:sz w:val="24"/>
          <w:szCs w:val="24"/>
        </w:rPr>
        <w:t xml:space="preserve">statement that she </w:t>
      </w:r>
      <w:r w:rsidR="005C4E06" w:rsidRPr="00DF5198">
        <w:rPr>
          <w:rFonts w:ascii="Arial" w:hAnsi="Arial" w:cs="Arial"/>
          <w:sz w:val="24"/>
          <w:szCs w:val="24"/>
        </w:rPr>
        <w:t xml:space="preserve">has control and access to all of the records </w:t>
      </w:r>
      <w:r w:rsidR="003B0117" w:rsidRPr="00DF5198">
        <w:rPr>
          <w:rFonts w:ascii="Arial" w:hAnsi="Arial" w:cs="Arial"/>
          <w:sz w:val="24"/>
          <w:szCs w:val="24"/>
        </w:rPr>
        <w:t xml:space="preserve">that pertain </w:t>
      </w:r>
      <w:r w:rsidR="002B4BE4" w:rsidRPr="00DF5198">
        <w:rPr>
          <w:rFonts w:ascii="Arial" w:hAnsi="Arial" w:cs="Arial"/>
          <w:sz w:val="24"/>
          <w:szCs w:val="24"/>
        </w:rPr>
        <w:t xml:space="preserve">to </w:t>
      </w:r>
      <w:r w:rsidR="006B1F5C" w:rsidRPr="00DF5198">
        <w:rPr>
          <w:rFonts w:ascii="Arial" w:hAnsi="Arial" w:cs="Arial"/>
          <w:sz w:val="24"/>
          <w:szCs w:val="24"/>
        </w:rPr>
        <w:t xml:space="preserve">this matter and her assertion that she has acquainted herself </w:t>
      </w:r>
      <w:r w:rsidR="002B4BE4" w:rsidRPr="00DF5198">
        <w:rPr>
          <w:rFonts w:ascii="Arial" w:hAnsi="Arial" w:cs="Arial"/>
          <w:sz w:val="24"/>
          <w:szCs w:val="24"/>
        </w:rPr>
        <w:t>there</w:t>
      </w:r>
      <w:r w:rsidR="006B1F5C" w:rsidRPr="00DF5198">
        <w:rPr>
          <w:rFonts w:ascii="Arial" w:hAnsi="Arial" w:cs="Arial"/>
          <w:sz w:val="24"/>
          <w:szCs w:val="24"/>
        </w:rPr>
        <w:t xml:space="preserve">with </w:t>
      </w:r>
      <w:r w:rsidR="00650D88" w:rsidRPr="00DF5198">
        <w:rPr>
          <w:rFonts w:ascii="Arial" w:hAnsi="Arial" w:cs="Arial"/>
          <w:sz w:val="24"/>
          <w:szCs w:val="24"/>
        </w:rPr>
        <w:t xml:space="preserve">may </w:t>
      </w:r>
      <w:r w:rsidR="004E7571" w:rsidRPr="00DF5198">
        <w:rPr>
          <w:rFonts w:ascii="Arial" w:hAnsi="Arial" w:cs="Arial"/>
          <w:sz w:val="24"/>
          <w:szCs w:val="24"/>
        </w:rPr>
        <w:t xml:space="preserve">well </w:t>
      </w:r>
      <w:r w:rsidR="00650D88" w:rsidRPr="00DF5198">
        <w:rPr>
          <w:rFonts w:ascii="Arial" w:hAnsi="Arial" w:cs="Arial"/>
          <w:sz w:val="24"/>
          <w:szCs w:val="24"/>
        </w:rPr>
        <w:t>be</w:t>
      </w:r>
      <w:r w:rsidR="002B4BE4" w:rsidRPr="00DF5198">
        <w:rPr>
          <w:rFonts w:ascii="Arial" w:hAnsi="Arial" w:cs="Arial"/>
          <w:sz w:val="24"/>
          <w:szCs w:val="24"/>
        </w:rPr>
        <w:t xml:space="preserve"> sufficient </w:t>
      </w:r>
      <w:r w:rsidR="00212023" w:rsidRPr="00DF5198">
        <w:rPr>
          <w:rFonts w:ascii="Arial" w:hAnsi="Arial" w:cs="Arial"/>
          <w:sz w:val="24"/>
          <w:szCs w:val="24"/>
        </w:rPr>
        <w:t>when</w:t>
      </w:r>
      <w:r w:rsidR="00C55AE2" w:rsidRPr="00DF5198">
        <w:rPr>
          <w:rFonts w:ascii="Arial" w:hAnsi="Arial" w:cs="Arial"/>
          <w:sz w:val="24"/>
          <w:szCs w:val="24"/>
        </w:rPr>
        <w:t xml:space="preserve"> considered with the </w:t>
      </w:r>
      <w:r w:rsidR="00C23174" w:rsidRPr="00DF5198">
        <w:rPr>
          <w:rFonts w:ascii="Arial" w:hAnsi="Arial" w:cs="Arial"/>
          <w:sz w:val="24"/>
          <w:szCs w:val="24"/>
        </w:rPr>
        <w:t xml:space="preserve">documents </w:t>
      </w:r>
      <w:r w:rsidR="00DA2E87" w:rsidRPr="00DF5198">
        <w:rPr>
          <w:rFonts w:ascii="Arial" w:hAnsi="Arial" w:cs="Arial"/>
          <w:sz w:val="24"/>
          <w:szCs w:val="24"/>
        </w:rPr>
        <w:t xml:space="preserve">properly </w:t>
      </w:r>
      <w:r w:rsidR="007D5041" w:rsidRPr="00DF5198">
        <w:rPr>
          <w:rFonts w:ascii="Arial" w:hAnsi="Arial" w:cs="Arial"/>
          <w:sz w:val="24"/>
          <w:szCs w:val="24"/>
        </w:rPr>
        <w:t xml:space="preserve">presented. </w:t>
      </w:r>
    </w:p>
    <w:p w14:paraId="7F975124" w14:textId="77777777" w:rsidR="00904849" w:rsidRPr="00904849" w:rsidRDefault="00904849" w:rsidP="00904849">
      <w:pPr>
        <w:pStyle w:val="ListParagraph"/>
        <w:rPr>
          <w:rFonts w:ascii="Arial" w:hAnsi="Arial" w:cs="Arial"/>
          <w:sz w:val="24"/>
          <w:szCs w:val="24"/>
        </w:rPr>
      </w:pPr>
    </w:p>
    <w:p w14:paraId="46930590" w14:textId="5962682F" w:rsidR="00855108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849">
        <w:rPr>
          <w:rFonts w:ascii="Arial" w:hAnsi="Arial" w:cs="Arial"/>
          <w:sz w:val="24"/>
          <w:szCs w:val="24"/>
        </w:rPr>
        <w:t>[29]</w:t>
      </w:r>
      <w:r w:rsidRPr="00904849">
        <w:rPr>
          <w:rFonts w:ascii="Arial" w:hAnsi="Arial" w:cs="Arial"/>
          <w:sz w:val="24"/>
          <w:szCs w:val="24"/>
        </w:rPr>
        <w:tab/>
      </w:r>
      <w:r w:rsidR="004D6F85" w:rsidRPr="00DF5198">
        <w:rPr>
          <w:rFonts w:ascii="Arial" w:hAnsi="Arial" w:cs="Arial"/>
          <w:sz w:val="24"/>
          <w:szCs w:val="24"/>
        </w:rPr>
        <w:t>T</w:t>
      </w:r>
      <w:r w:rsidR="00B64797" w:rsidRPr="00DF5198">
        <w:rPr>
          <w:rFonts w:ascii="Arial" w:hAnsi="Arial" w:cs="Arial"/>
          <w:sz w:val="24"/>
          <w:szCs w:val="24"/>
        </w:rPr>
        <w:t>he court</w:t>
      </w:r>
      <w:r w:rsidR="004D6F85" w:rsidRPr="00DF5198">
        <w:rPr>
          <w:rFonts w:ascii="Arial" w:hAnsi="Arial" w:cs="Arial"/>
          <w:sz w:val="24"/>
          <w:szCs w:val="24"/>
        </w:rPr>
        <w:t xml:space="preserve">, </w:t>
      </w:r>
      <w:r w:rsidR="00641B20" w:rsidRPr="00DF5198">
        <w:rPr>
          <w:rFonts w:ascii="Arial" w:hAnsi="Arial" w:cs="Arial"/>
          <w:sz w:val="24"/>
          <w:szCs w:val="24"/>
        </w:rPr>
        <w:t>however</w:t>
      </w:r>
      <w:r w:rsidR="004D6F85" w:rsidRPr="00DF5198">
        <w:rPr>
          <w:rFonts w:ascii="Arial" w:hAnsi="Arial" w:cs="Arial"/>
          <w:sz w:val="24"/>
          <w:szCs w:val="24"/>
        </w:rPr>
        <w:t>,</w:t>
      </w:r>
      <w:r w:rsidR="00B64797" w:rsidRPr="00DF5198">
        <w:rPr>
          <w:rFonts w:ascii="Arial" w:hAnsi="Arial" w:cs="Arial"/>
          <w:sz w:val="24"/>
          <w:szCs w:val="24"/>
        </w:rPr>
        <w:t xml:space="preserve"> remains to be persuaded </w:t>
      </w:r>
      <w:r w:rsidR="00883253" w:rsidRPr="00DF5198">
        <w:rPr>
          <w:rFonts w:ascii="Arial" w:hAnsi="Arial" w:cs="Arial"/>
          <w:sz w:val="24"/>
          <w:szCs w:val="24"/>
        </w:rPr>
        <w:t>that the applicant has made out a case for summary judgment. This will be e</w:t>
      </w:r>
      <w:r w:rsidR="00E876CC" w:rsidRPr="00DF5198">
        <w:rPr>
          <w:rFonts w:ascii="Arial" w:hAnsi="Arial" w:cs="Arial"/>
          <w:sz w:val="24"/>
          <w:szCs w:val="24"/>
        </w:rPr>
        <w:t>xplain</w:t>
      </w:r>
      <w:r w:rsidR="00276474" w:rsidRPr="00DF5198">
        <w:rPr>
          <w:rFonts w:ascii="Arial" w:hAnsi="Arial" w:cs="Arial"/>
          <w:sz w:val="24"/>
          <w:szCs w:val="24"/>
        </w:rPr>
        <w:t>ed further</w:t>
      </w:r>
      <w:r w:rsidR="00855108" w:rsidRPr="00DF5198">
        <w:rPr>
          <w:rFonts w:ascii="Arial" w:hAnsi="Arial" w:cs="Arial"/>
          <w:sz w:val="24"/>
          <w:szCs w:val="24"/>
        </w:rPr>
        <w:t xml:space="preserve">, below, </w:t>
      </w:r>
      <w:r w:rsidR="00276474" w:rsidRPr="00DF5198">
        <w:rPr>
          <w:rFonts w:ascii="Arial" w:hAnsi="Arial" w:cs="Arial"/>
          <w:sz w:val="24"/>
          <w:szCs w:val="24"/>
        </w:rPr>
        <w:t xml:space="preserve">in relation </w:t>
      </w:r>
      <w:r w:rsidR="00B64797" w:rsidRPr="00DF5198">
        <w:rPr>
          <w:rFonts w:ascii="Arial" w:hAnsi="Arial" w:cs="Arial"/>
          <w:sz w:val="24"/>
          <w:szCs w:val="24"/>
        </w:rPr>
        <w:t xml:space="preserve">to </w:t>
      </w:r>
      <w:r w:rsidR="00855108" w:rsidRPr="00DF5198">
        <w:rPr>
          <w:rFonts w:ascii="Arial" w:hAnsi="Arial" w:cs="Arial"/>
          <w:sz w:val="24"/>
          <w:szCs w:val="24"/>
        </w:rPr>
        <w:t xml:space="preserve">the </w:t>
      </w:r>
      <w:r w:rsidR="00BB7372" w:rsidRPr="00DF5198">
        <w:rPr>
          <w:rFonts w:ascii="Arial" w:hAnsi="Arial" w:cs="Arial"/>
          <w:sz w:val="24"/>
          <w:szCs w:val="24"/>
        </w:rPr>
        <w:t xml:space="preserve">other </w:t>
      </w:r>
      <w:r w:rsidR="00855108" w:rsidRPr="00DF5198">
        <w:rPr>
          <w:rFonts w:ascii="Arial" w:hAnsi="Arial" w:cs="Arial"/>
          <w:sz w:val="24"/>
          <w:szCs w:val="24"/>
        </w:rPr>
        <w:t>issue raised by the respondent.</w:t>
      </w:r>
    </w:p>
    <w:p w14:paraId="589FB547" w14:textId="77777777" w:rsidR="00855108" w:rsidRDefault="00855108" w:rsidP="005770DC">
      <w:pPr>
        <w:spacing w:line="360" w:lineRule="auto"/>
        <w:rPr>
          <w:rFonts w:ascii="Arial" w:hAnsi="Arial" w:cs="Arial"/>
          <w:sz w:val="24"/>
          <w:szCs w:val="24"/>
        </w:rPr>
      </w:pPr>
    </w:p>
    <w:p w14:paraId="7C5DAF30" w14:textId="70DC902E" w:rsidR="00855108" w:rsidRPr="00743F96" w:rsidRDefault="00743F96" w:rsidP="00904849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43F96">
        <w:rPr>
          <w:rFonts w:ascii="Arial" w:hAnsi="Arial" w:cs="Arial"/>
          <w:i/>
          <w:iCs/>
          <w:sz w:val="24"/>
          <w:szCs w:val="24"/>
        </w:rPr>
        <w:t>Compliance with rule 18(6)</w:t>
      </w:r>
    </w:p>
    <w:p w14:paraId="47D8D11A" w14:textId="77777777" w:rsidR="00743F96" w:rsidRDefault="00743F96" w:rsidP="005770DC">
      <w:pPr>
        <w:spacing w:line="360" w:lineRule="auto"/>
        <w:rPr>
          <w:rFonts w:ascii="Arial" w:hAnsi="Arial" w:cs="Arial"/>
          <w:sz w:val="24"/>
          <w:szCs w:val="24"/>
        </w:rPr>
      </w:pPr>
    </w:p>
    <w:p w14:paraId="7928B267" w14:textId="1BEFDC44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[30]</w:t>
      </w:r>
      <w:r>
        <w:rPr>
          <w:rFonts w:ascii="Arial" w:hAnsi="Arial" w:cs="Arial"/>
          <w:sz w:val="24"/>
          <w:szCs w:val="24"/>
        </w:rPr>
        <w:tab/>
      </w:r>
      <w:r w:rsidR="00743F96" w:rsidRPr="00DF5198">
        <w:rPr>
          <w:rFonts w:ascii="Arial" w:hAnsi="Arial" w:cs="Arial"/>
          <w:sz w:val="24"/>
          <w:szCs w:val="24"/>
        </w:rPr>
        <w:t>The respondent</w:t>
      </w:r>
      <w:r w:rsidR="00EE3C64" w:rsidRPr="00DF5198">
        <w:rPr>
          <w:rFonts w:ascii="Arial" w:hAnsi="Arial" w:cs="Arial"/>
          <w:sz w:val="24"/>
          <w:szCs w:val="24"/>
        </w:rPr>
        <w:t xml:space="preserve"> argue</w:t>
      </w:r>
      <w:r w:rsidR="009C0E5C" w:rsidRPr="00DF5198">
        <w:rPr>
          <w:rFonts w:ascii="Arial" w:hAnsi="Arial" w:cs="Arial"/>
          <w:sz w:val="24"/>
          <w:szCs w:val="24"/>
        </w:rPr>
        <w:t>s</w:t>
      </w:r>
      <w:r w:rsidR="00EE3C64" w:rsidRPr="00DF5198">
        <w:rPr>
          <w:rFonts w:ascii="Arial" w:hAnsi="Arial" w:cs="Arial"/>
          <w:sz w:val="24"/>
          <w:szCs w:val="24"/>
        </w:rPr>
        <w:t xml:space="preserve"> that the applicant has </w:t>
      </w:r>
      <w:r w:rsidR="00402324" w:rsidRPr="00DF5198">
        <w:rPr>
          <w:rFonts w:ascii="Arial" w:hAnsi="Arial" w:cs="Arial"/>
          <w:sz w:val="24"/>
          <w:szCs w:val="24"/>
        </w:rPr>
        <w:t>relied on the cession agreement</w:t>
      </w:r>
      <w:r w:rsidR="000479E6" w:rsidRPr="00DF5198">
        <w:rPr>
          <w:rFonts w:ascii="Arial" w:hAnsi="Arial" w:cs="Arial"/>
          <w:sz w:val="24"/>
          <w:szCs w:val="24"/>
        </w:rPr>
        <w:t xml:space="preserve"> but has </w:t>
      </w:r>
      <w:r w:rsidR="00EE3C64" w:rsidRPr="00DF5198">
        <w:rPr>
          <w:rFonts w:ascii="Arial" w:hAnsi="Arial" w:cs="Arial"/>
          <w:sz w:val="24"/>
          <w:szCs w:val="24"/>
        </w:rPr>
        <w:t xml:space="preserve">not </w:t>
      </w:r>
      <w:r w:rsidR="000F5F31" w:rsidRPr="00DF5198">
        <w:rPr>
          <w:rFonts w:ascii="Arial" w:hAnsi="Arial" w:cs="Arial"/>
          <w:sz w:val="24"/>
          <w:szCs w:val="24"/>
        </w:rPr>
        <w:t xml:space="preserve">complied with the provisions of rule </w:t>
      </w:r>
      <w:r w:rsidR="00EE5214" w:rsidRPr="00DF5198">
        <w:rPr>
          <w:rFonts w:ascii="Arial" w:hAnsi="Arial" w:cs="Arial"/>
          <w:sz w:val="24"/>
          <w:szCs w:val="24"/>
        </w:rPr>
        <w:t>18(6)</w:t>
      </w:r>
      <w:r w:rsidR="00E05416" w:rsidRPr="00DF5198">
        <w:rPr>
          <w:rFonts w:ascii="Arial" w:hAnsi="Arial" w:cs="Arial"/>
          <w:sz w:val="24"/>
          <w:szCs w:val="24"/>
        </w:rPr>
        <w:t xml:space="preserve">. To that effect, the applicant has failed to plead whether the </w:t>
      </w:r>
      <w:r w:rsidR="008F04A1" w:rsidRPr="00DF5198">
        <w:rPr>
          <w:rFonts w:ascii="Arial" w:hAnsi="Arial" w:cs="Arial"/>
          <w:sz w:val="24"/>
          <w:szCs w:val="24"/>
        </w:rPr>
        <w:t xml:space="preserve">cession agreement was written or oral and when, where and by </w:t>
      </w:r>
      <w:r w:rsidR="008F04A1" w:rsidRPr="00DF5198">
        <w:rPr>
          <w:rFonts w:ascii="Arial" w:hAnsi="Arial" w:cs="Arial"/>
          <w:sz w:val="24"/>
          <w:szCs w:val="24"/>
        </w:rPr>
        <w:lastRenderedPageBreak/>
        <w:t xml:space="preserve">whom it was </w:t>
      </w:r>
      <w:r w:rsidR="003C06FB" w:rsidRPr="00DF5198">
        <w:rPr>
          <w:rFonts w:ascii="Arial" w:hAnsi="Arial" w:cs="Arial"/>
          <w:sz w:val="24"/>
          <w:szCs w:val="24"/>
        </w:rPr>
        <w:t>concluded. It has also failed to attach a copy or part thereof to its particulars of claim.</w:t>
      </w:r>
    </w:p>
    <w:p w14:paraId="253CF283" w14:textId="77777777" w:rsidR="00904849" w:rsidRDefault="00904849" w:rsidP="0090484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729B33" w14:textId="26CC6BDD" w:rsidR="00A44C55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849">
        <w:rPr>
          <w:rFonts w:ascii="Arial" w:hAnsi="Arial" w:cs="Arial"/>
          <w:sz w:val="24"/>
          <w:szCs w:val="24"/>
        </w:rPr>
        <w:t>[31]</w:t>
      </w:r>
      <w:r w:rsidRPr="00904849">
        <w:rPr>
          <w:rFonts w:ascii="Arial" w:hAnsi="Arial" w:cs="Arial"/>
          <w:sz w:val="24"/>
          <w:szCs w:val="24"/>
        </w:rPr>
        <w:tab/>
      </w:r>
      <w:r w:rsidR="00A44C55" w:rsidRPr="00DF5198">
        <w:rPr>
          <w:rFonts w:ascii="Arial" w:hAnsi="Arial" w:cs="Arial"/>
          <w:sz w:val="24"/>
          <w:szCs w:val="24"/>
        </w:rPr>
        <w:t xml:space="preserve">The starting point is the date of the cession agreement, viz. </w:t>
      </w:r>
      <w:r w:rsidR="00A27034" w:rsidRPr="00DF5198">
        <w:rPr>
          <w:rFonts w:ascii="Arial" w:hAnsi="Arial" w:cs="Arial"/>
          <w:sz w:val="24"/>
          <w:szCs w:val="24"/>
        </w:rPr>
        <w:t xml:space="preserve">18 July 2017. </w:t>
      </w:r>
      <w:r w:rsidR="00941A92" w:rsidRPr="00DF5198">
        <w:rPr>
          <w:rFonts w:ascii="Arial" w:hAnsi="Arial" w:cs="Arial"/>
          <w:sz w:val="24"/>
          <w:szCs w:val="24"/>
        </w:rPr>
        <w:t xml:space="preserve">At that time, the ISA between the </w:t>
      </w:r>
      <w:r w:rsidR="00FF38E7" w:rsidRPr="00DF5198">
        <w:rPr>
          <w:rFonts w:ascii="Arial" w:hAnsi="Arial" w:cs="Arial"/>
          <w:sz w:val="24"/>
          <w:szCs w:val="24"/>
        </w:rPr>
        <w:t>applicant and the respondent had not</w:t>
      </w:r>
      <w:r w:rsidR="0094595A" w:rsidRPr="00DF5198">
        <w:rPr>
          <w:rFonts w:ascii="Arial" w:hAnsi="Arial" w:cs="Arial"/>
          <w:sz w:val="24"/>
          <w:szCs w:val="24"/>
        </w:rPr>
        <w:t xml:space="preserve"> yet</w:t>
      </w:r>
      <w:r w:rsidR="00FF38E7" w:rsidRPr="00DF5198">
        <w:rPr>
          <w:rFonts w:ascii="Arial" w:hAnsi="Arial" w:cs="Arial"/>
          <w:sz w:val="24"/>
          <w:szCs w:val="24"/>
        </w:rPr>
        <w:t xml:space="preserve"> been concluded.</w:t>
      </w:r>
      <w:r w:rsidR="004250C4">
        <w:rPr>
          <w:rStyle w:val="FootnoteReference"/>
          <w:rFonts w:ascii="Arial" w:hAnsi="Arial" w:cs="Arial"/>
          <w:sz w:val="24"/>
          <w:szCs w:val="24"/>
        </w:rPr>
        <w:footnoteReference w:id="21"/>
      </w:r>
      <w:r w:rsidR="00FF38E7" w:rsidRPr="00DF5198">
        <w:rPr>
          <w:rFonts w:ascii="Arial" w:hAnsi="Arial" w:cs="Arial"/>
          <w:sz w:val="24"/>
          <w:szCs w:val="24"/>
        </w:rPr>
        <w:t xml:space="preserve"> It was not a ‘</w:t>
      </w:r>
      <w:r w:rsidR="00DE6052" w:rsidRPr="00DF5198">
        <w:rPr>
          <w:rFonts w:ascii="Arial" w:hAnsi="Arial" w:cs="Arial"/>
          <w:sz w:val="24"/>
          <w:szCs w:val="24"/>
        </w:rPr>
        <w:t>p</w:t>
      </w:r>
      <w:r w:rsidR="00FF38E7" w:rsidRPr="00DF5198">
        <w:rPr>
          <w:rFonts w:ascii="Arial" w:hAnsi="Arial" w:cs="Arial"/>
          <w:sz w:val="24"/>
          <w:szCs w:val="24"/>
        </w:rPr>
        <w:t xml:space="preserve">articipating </w:t>
      </w:r>
      <w:r w:rsidR="00DE6052" w:rsidRPr="00DF5198">
        <w:rPr>
          <w:rFonts w:ascii="Arial" w:hAnsi="Arial" w:cs="Arial"/>
          <w:sz w:val="24"/>
          <w:szCs w:val="24"/>
        </w:rPr>
        <w:t>a</w:t>
      </w:r>
      <w:r w:rsidR="00FF38E7" w:rsidRPr="00DF5198">
        <w:rPr>
          <w:rFonts w:ascii="Arial" w:hAnsi="Arial" w:cs="Arial"/>
          <w:sz w:val="24"/>
          <w:szCs w:val="24"/>
        </w:rPr>
        <w:t>sset’ that formed the subject of the cession agreement</w:t>
      </w:r>
      <w:r w:rsidR="003F0BBD" w:rsidRPr="00DF5198">
        <w:rPr>
          <w:rFonts w:ascii="Arial" w:hAnsi="Arial" w:cs="Arial"/>
          <w:sz w:val="24"/>
          <w:szCs w:val="24"/>
        </w:rPr>
        <w:t>, argues the respondent</w:t>
      </w:r>
      <w:r w:rsidR="00FF38E7" w:rsidRPr="00DF5198">
        <w:rPr>
          <w:rFonts w:ascii="Arial" w:hAnsi="Arial" w:cs="Arial"/>
          <w:sz w:val="24"/>
          <w:szCs w:val="24"/>
        </w:rPr>
        <w:t>.</w:t>
      </w:r>
      <w:r w:rsidR="00795274" w:rsidRPr="00DF5198">
        <w:rPr>
          <w:rFonts w:ascii="Arial" w:hAnsi="Arial" w:cs="Arial"/>
          <w:sz w:val="24"/>
          <w:szCs w:val="24"/>
        </w:rPr>
        <w:t xml:space="preserve"> The </w:t>
      </w:r>
      <w:r w:rsidR="00634167" w:rsidRPr="00DF5198">
        <w:rPr>
          <w:rFonts w:ascii="Arial" w:hAnsi="Arial" w:cs="Arial"/>
          <w:sz w:val="24"/>
          <w:szCs w:val="24"/>
        </w:rPr>
        <w:t>parties thereto had, however, made provision for the sale of ‘</w:t>
      </w:r>
      <w:r w:rsidR="009C22C4" w:rsidRPr="00DF5198">
        <w:rPr>
          <w:rFonts w:ascii="Arial" w:hAnsi="Arial" w:cs="Arial"/>
          <w:sz w:val="24"/>
          <w:szCs w:val="24"/>
        </w:rPr>
        <w:t>s</w:t>
      </w:r>
      <w:r w:rsidR="00634167" w:rsidRPr="00DF5198">
        <w:rPr>
          <w:rFonts w:ascii="Arial" w:hAnsi="Arial" w:cs="Arial"/>
          <w:sz w:val="24"/>
          <w:szCs w:val="24"/>
        </w:rPr>
        <w:t xml:space="preserve">ubsequent </w:t>
      </w:r>
      <w:r w:rsidR="009C22C4" w:rsidRPr="00DF5198">
        <w:rPr>
          <w:rFonts w:ascii="Arial" w:hAnsi="Arial" w:cs="Arial"/>
          <w:sz w:val="24"/>
          <w:szCs w:val="24"/>
        </w:rPr>
        <w:t>p</w:t>
      </w:r>
      <w:r w:rsidR="00634167" w:rsidRPr="00DF5198">
        <w:rPr>
          <w:rFonts w:ascii="Arial" w:hAnsi="Arial" w:cs="Arial"/>
          <w:sz w:val="24"/>
          <w:szCs w:val="24"/>
        </w:rPr>
        <w:t xml:space="preserve">articipating </w:t>
      </w:r>
      <w:r w:rsidR="009C22C4" w:rsidRPr="00DF5198">
        <w:rPr>
          <w:rFonts w:ascii="Arial" w:hAnsi="Arial" w:cs="Arial"/>
          <w:sz w:val="24"/>
          <w:szCs w:val="24"/>
        </w:rPr>
        <w:t>a</w:t>
      </w:r>
      <w:r w:rsidR="00634167" w:rsidRPr="00DF5198">
        <w:rPr>
          <w:rFonts w:ascii="Arial" w:hAnsi="Arial" w:cs="Arial"/>
          <w:sz w:val="24"/>
          <w:szCs w:val="24"/>
        </w:rPr>
        <w:t>ssets’</w:t>
      </w:r>
      <w:r w:rsidR="0094595A" w:rsidRPr="00DF5198">
        <w:rPr>
          <w:rFonts w:ascii="Arial" w:hAnsi="Arial" w:cs="Arial"/>
          <w:sz w:val="24"/>
          <w:szCs w:val="24"/>
        </w:rPr>
        <w:t xml:space="preserve"> at a future date</w:t>
      </w:r>
      <w:r w:rsidR="00A02CBF" w:rsidRPr="00DF5198">
        <w:rPr>
          <w:rFonts w:ascii="Arial" w:hAnsi="Arial" w:cs="Arial"/>
          <w:sz w:val="24"/>
          <w:szCs w:val="24"/>
        </w:rPr>
        <w:t xml:space="preserve">, such as the ISA in question. </w:t>
      </w:r>
      <w:r w:rsidR="00221557" w:rsidRPr="00DF5198">
        <w:rPr>
          <w:rFonts w:ascii="Arial" w:hAnsi="Arial" w:cs="Arial"/>
          <w:sz w:val="24"/>
          <w:szCs w:val="24"/>
        </w:rPr>
        <w:t xml:space="preserve">To that effect, </w:t>
      </w:r>
      <w:r w:rsidR="008E574D" w:rsidRPr="00DF5198">
        <w:rPr>
          <w:rFonts w:ascii="Arial" w:hAnsi="Arial" w:cs="Arial"/>
          <w:sz w:val="24"/>
          <w:szCs w:val="24"/>
        </w:rPr>
        <w:t xml:space="preserve">the relevant portions of </w:t>
      </w:r>
      <w:r w:rsidR="00221557" w:rsidRPr="00DF5198">
        <w:rPr>
          <w:rFonts w:ascii="Arial" w:hAnsi="Arial" w:cs="Arial"/>
          <w:sz w:val="24"/>
          <w:szCs w:val="24"/>
        </w:rPr>
        <w:t xml:space="preserve">clause </w:t>
      </w:r>
      <w:r w:rsidR="00FF0AAE" w:rsidRPr="00DF5198">
        <w:rPr>
          <w:rFonts w:ascii="Arial" w:hAnsi="Arial" w:cs="Arial"/>
          <w:sz w:val="24"/>
          <w:szCs w:val="24"/>
        </w:rPr>
        <w:t>5.3 of the cession agreement state as follows:</w:t>
      </w:r>
    </w:p>
    <w:p w14:paraId="14FADBC6" w14:textId="77777777" w:rsidR="00980F5C" w:rsidRDefault="00980F5C" w:rsidP="00043071">
      <w:pPr>
        <w:spacing w:line="360" w:lineRule="auto"/>
        <w:ind w:left="1440" w:hanging="720"/>
        <w:rPr>
          <w:rFonts w:ascii="Arial" w:hAnsi="Arial" w:cs="Arial"/>
          <w:sz w:val="20"/>
          <w:szCs w:val="20"/>
        </w:rPr>
      </w:pPr>
    </w:p>
    <w:p w14:paraId="65ED66B2" w14:textId="1C200F62" w:rsidR="00FF0AAE" w:rsidRPr="00980F5C" w:rsidRDefault="006D19A9" w:rsidP="00904849">
      <w:pPr>
        <w:spacing w:line="36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 w:rsidRPr="00980F5C">
        <w:rPr>
          <w:rFonts w:ascii="Arial" w:hAnsi="Arial" w:cs="Arial"/>
          <w:sz w:val="20"/>
          <w:szCs w:val="20"/>
        </w:rPr>
        <w:t>‘5.3.1</w:t>
      </w:r>
      <w:r w:rsidRPr="00980F5C">
        <w:rPr>
          <w:rFonts w:ascii="Arial" w:hAnsi="Arial" w:cs="Arial"/>
          <w:sz w:val="20"/>
          <w:szCs w:val="20"/>
        </w:rPr>
        <w:tab/>
        <w:t xml:space="preserve">The </w:t>
      </w:r>
      <w:r w:rsidR="00A12A96" w:rsidRPr="00980F5C">
        <w:rPr>
          <w:rFonts w:ascii="Arial" w:hAnsi="Arial" w:cs="Arial"/>
          <w:sz w:val="20"/>
          <w:szCs w:val="20"/>
        </w:rPr>
        <w:t xml:space="preserve">Seller </w:t>
      </w:r>
      <w:r w:rsidR="006221B5" w:rsidRPr="00980F5C">
        <w:rPr>
          <w:rFonts w:ascii="Arial" w:hAnsi="Arial" w:cs="Arial"/>
          <w:sz w:val="20"/>
          <w:szCs w:val="20"/>
        </w:rPr>
        <w:t xml:space="preserve">[VFS] </w:t>
      </w:r>
      <w:r w:rsidR="00A12A96" w:rsidRPr="00980F5C">
        <w:rPr>
          <w:rFonts w:ascii="Arial" w:hAnsi="Arial" w:cs="Arial"/>
          <w:sz w:val="20"/>
          <w:szCs w:val="20"/>
        </w:rPr>
        <w:t>shall be entitled</w:t>
      </w:r>
      <w:r w:rsidR="003F06F8" w:rsidRPr="00980F5C">
        <w:rPr>
          <w:rFonts w:ascii="Arial" w:hAnsi="Arial" w:cs="Arial"/>
          <w:sz w:val="20"/>
          <w:szCs w:val="20"/>
        </w:rPr>
        <w:t>… in relation to a pool of proposed Subsequent Participating Assets</w:t>
      </w:r>
      <w:r w:rsidR="00BB3F27" w:rsidRPr="00980F5C">
        <w:rPr>
          <w:rFonts w:ascii="Arial" w:hAnsi="Arial" w:cs="Arial"/>
          <w:sz w:val="20"/>
          <w:szCs w:val="20"/>
        </w:rPr>
        <w:t xml:space="preserve">… to deliver to the </w:t>
      </w:r>
      <w:r w:rsidR="00D92FEA" w:rsidRPr="00980F5C">
        <w:rPr>
          <w:rFonts w:ascii="Arial" w:hAnsi="Arial" w:cs="Arial"/>
          <w:sz w:val="20"/>
          <w:szCs w:val="20"/>
        </w:rPr>
        <w:t>I</w:t>
      </w:r>
      <w:r w:rsidR="000F27EA" w:rsidRPr="00980F5C">
        <w:rPr>
          <w:rFonts w:ascii="Arial" w:hAnsi="Arial" w:cs="Arial"/>
          <w:sz w:val="20"/>
          <w:szCs w:val="20"/>
        </w:rPr>
        <w:t xml:space="preserve">ssuer </w:t>
      </w:r>
      <w:r w:rsidR="004363C9" w:rsidRPr="00980F5C">
        <w:rPr>
          <w:rFonts w:ascii="Arial" w:hAnsi="Arial" w:cs="Arial"/>
          <w:sz w:val="20"/>
          <w:szCs w:val="20"/>
        </w:rPr>
        <w:t>[the applicant], a list containing, inter alia</w:t>
      </w:r>
      <w:r w:rsidR="008311E3" w:rsidRPr="00980F5C">
        <w:rPr>
          <w:rFonts w:ascii="Arial" w:hAnsi="Arial" w:cs="Arial"/>
          <w:sz w:val="20"/>
          <w:szCs w:val="20"/>
        </w:rPr>
        <w:t>:</w:t>
      </w:r>
    </w:p>
    <w:p w14:paraId="42110409" w14:textId="77777777" w:rsidR="00C06EA8" w:rsidRPr="00980F5C" w:rsidRDefault="00C06EA8" w:rsidP="00904849">
      <w:pPr>
        <w:pStyle w:val="ListParagraph"/>
        <w:spacing w:line="360" w:lineRule="auto"/>
        <w:ind w:left="1800"/>
        <w:jc w:val="both"/>
        <w:rPr>
          <w:rFonts w:ascii="Arial" w:hAnsi="Arial" w:cs="Arial"/>
          <w:sz w:val="20"/>
          <w:szCs w:val="20"/>
        </w:rPr>
      </w:pPr>
    </w:p>
    <w:p w14:paraId="1645EA63" w14:textId="763300C5" w:rsidR="008311E3" w:rsidRPr="00DF5198" w:rsidRDefault="00DF5198" w:rsidP="00DF5198">
      <w:pPr>
        <w:spacing w:line="360" w:lineRule="auto"/>
        <w:ind w:left="2070" w:hanging="720"/>
        <w:jc w:val="both"/>
        <w:rPr>
          <w:rFonts w:ascii="Arial" w:hAnsi="Arial" w:cs="Arial"/>
          <w:sz w:val="20"/>
          <w:szCs w:val="20"/>
        </w:rPr>
      </w:pPr>
      <w:r w:rsidRPr="00980F5C">
        <w:rPr>
          <w:rFonts w:ascii="Arial" w:hAnsi="Arial" w:cs="Arial"/>
          <w:sz w:val="20"/>
          <w:szCs w:val="20"/>
        </w:rPr>
        <w:t>(a)</w:t>
      </w:r>
      <w:r w:rsidRPr="00980F5C">
        <w:rPr>
          <w:rFonts w:ascii="Arial" w:hAnsi="Arial" w:cs="Arial"/>
          <w:sz w:val="20"/>
          <w:szCs w:val="20"/>
        </w:rPr>
        <w:tab/>
      </w:r>
      <w:r w:rsidR="009E16E7" w:rsidRPr="00DF5198">
        <w:rPr>
          <w:rFonts w:ascii="Arial" w:hAnsi="Arial" w:cs="Arial"/>
          <w:sz w:val="20"/>
          <w:szCs w:val="20"/>
        </w:rPr>
        <w:t>d</w:t>
      </w:r>
      <w:r w:rsidR="008311E3" w:rsidRPr="00DF5198">
        <w:rPr>
          <w:rFonts w:ascii="Arial" w:hAnsi="Arial" w:cs="Arial"/>
          <w:sz w:val="20"/>
          <w:szCs w:val="20"/>
        </w:rPr>
        <w:t>etails of all proposed Subsequent Participating Assets</w:t>
      </w:r>
      <w:r w:rsidR="00A00A78" w:rsidRPr="00DF5198">
        <w:rPr>
          <w:rFonts w:ascii="Arial" w:hAnsi="Arial" w:cs="Arial"/>
          <w:sz w:val="20"/>
          <w:szCs w:val="20"/>
        </w:rPr>
        <w:t xml:space="preserve">… that the Seller wishes to sell, cede, delegate and assign to the </w:t>
      </w:r>
      <w:r w:rsidR="00D92FEA" w:rsidRPr="00DF5198">
        <w:rPr>
          <w:rFonts w:ascii="Arial" w:hAnsi="Arial" w:cs="Arial"/>
          <w:sz w:val="20"/>
          <w:szCs w:val="20"/>
        </w:rPr>
        <w:t>Issuer in accordance with the provisions of th</w:t>
      </w:r>
      <w:r w:rsidR="009E16E7" w:rsidRPr="00DF5198">
        <w:rPr>
          <w:rFonts w:ascii="Arial" w:hAnsi="Arial" w:cs="Arial"/>
          <w:sz w:val="20"/>
          <w:szCs w:val="20"/>
        </w:rPr>
        <w:t>is Agreement;</w:t>
      </w:r>
    </w:p>
    <w:p w14:paraId="12DE49CA" w14:textId="77777777" w:rsidR="00C06EA8" w:rsidRPr="00980F5C" w:rsidRDefault="00C06EA8" w:rsidP="00904849">
      <w:pPr>
        <w:pStyle w:val="ListParagraph"/>
        <w:spacing w:line="360" w:lineRule="auto"/>
        <w:ind w:left="1800"/>
        <w:jc w:val="both"/>
        <w:rPr>
          <w:rFonts w:ascii="Arial" w:hAnsi="Arial" w:cs="Arial"/>
          <w:sz w:val="20"/>
          <w:szCs w:val="20"/>
        </w:rPr>
      </w:pPr>
    </w:p>
    <w:p w14:paraId="4ED29CED" w14:textId="7170750D" w:rsidR="009E16E7" w:rsidRPr="00DF5198" w:rsidRDefault="00DF5198" w:rsidP="00DF5198">
      <w:pPr>
        <w:spacing w:line="360" w:lineRule="auto"/>
        <w:ind w:left="2070" w:hanging="720"/>
        <w:jc w:val="both"/>
        <w:rPr>
          <w:rFonts w:ascii="Arial" w:hAnsi="Arial" w:cs="Arial"/>
          <w:sz w:val="20"/>
          <w:szCs w:val="20"/>
        </w:rPr>
      </w:pPr>
      <w:r w:rsidRPr="00980F5C">
        <w:rPr>
          <w:rFonts w:ascii="Arial" w:hAnsi="Arial" w:cs="Arial"/>
          <w:sz w:val="20"/>
          <w:szCs w:val="20"/>
        </w:rPr>
        <w:t>(b)</w:t>
      </w:r>
      <w:r w:rsidRPr="00980F5C">
        <w:rPr>
          <w:rFonts w:ascii="Arial" w:hAnsi="Arial" w:cs="Arial"/>
          <w:sz w:val="20"/>
          <w:szCs w:val="20"/>
        </w:rPr>
        <w:tab/>
      </w:r>
      <w:r w:rsidR="00C06EA8" w:rsidRPr="00DF5198">
        <w:rPr>
          <w:rFonts w:ascii="Arial" w:hAnsi="Arial" w:cs="Arial"/>
          <w:sz w:val="20"/>
          <w:szCs w:val="20"/>
        </w:rPr>
        <w:t>t</w:t>
      </w:r>
      <w:r w:rsidR="009E16E7" w:rsidRPr="00DF5198">
        <w:rPr>
          <w:rFonts w:ascii="Arial" w:hAnsi="Arial" w:cs="Arial"/>
          <w:sz w:val="20"/>
          <w:szCs w:val="20"/>
        </w:rPr>
        <w:t>he book value of such Subsequent Participating Assets</w:t>
      </w:r>
      <w:r w:rsidR="00E73C1F" w:rsidRPr="00DF5198">
        <w:rPr>
          <w:rFonts w:ascii="Arial" w:hAnsi="Arial" w:cs="Arial"/>
          <w:sz w:val="20"/>
          <w:szCs w:val="20"/>
        </w:rPr>
        <w:t>…</w:t>
      </w:r>
    </w:p>
    <w:p w14:paraId="77F319A2" w14:textId="77777777" w:rsidR="00C06EA8" w:rsidRPr="00980F5C" w:rsidRDefault="00C06EA8" w:rsidP="00904849">
      <w:pPr>
        <w:pStyle w:val="ListParagraph"/>
        <w:spacing w:line="360" w:lineRule="auto"/>
        <w:ind w:left="1800"/>
        <w:jc w:val="both"/>
        <w:rPr>
          <w:rFonts w:ascii="Arial" w:hAnsi="Arial" w:cs="Arial"/>
          <w:sz w:val="20"/>
          <w:szCs w:val="20"/>
        </w:rPr>
      </w:pPr>
    </w:p>
    <w:p w14:paraId="45C5CC7B" w14:textId="50CC31B9" w:rsidR="00E73C1F" w:rsidRPr="00DF5198" w:rsidRDefault="00DF5198" w:rsidP="00DF5198">
      <w:pPr>
        <w:spacing w:line="360" w:lineRule="auto"/>
        <w:ind w:left="2160" w:hanging="720"/>
        <w:jc w:val="both"/>
        <w:rPr>
          <w:rFonts w:ascii="Arial" w:hAnsi="Arial" w:cs="Arial"/>
          <w:sz w:val="20"/>
          <w:szCs w:val="20"/>
        </w:rPr>
      </w:pPr>
      <w:r w:rsidRPr="00980F5C">
        <w:rPr>
          <w:rFonts w:ascii="Arial" w:hAnsi="Arial" w:cs="Arial"/>
          <w:sz w:val="20"/>
          <w:szCs w:val="20"/>
        </w:rPr>
        <w:t>(c)</w:t>
      </w:r>
      <w:r w:rsidRPr="00980F5C">
        <w:rPr>
          <w:rFonts w:ascii="Arial" w:hAnsi="Arial" w:cs="Arial"/>
          <w:sz w:val="20"/>
          <w:szCs w:val="20"/>
        </w:rPr>
        <w:tab/>
      </w:r>
      <w:r w:rsidR="00C06EA8" w:rsidRPr="00DF5198">
        <w:rPr>
          <w:rFonts w:ascii="Arial" w:hAnsi="Arial" w:cs="Arial"/>
          <w:sz w:val="20"/>
          <w:szCs w:val="20"/>
        </w:rPr>
        <w:t>t</w:t>
      </w:r>
      <w:r w:rsidR="00E73C1F" w:rsidRPr="00DF5198">
        <w:rPr>
          <w:rFonts w:ascii="Arial" w:hAnsi="Arial" w:cs="Arial"/>
          <w:sz w:val="20"/>
          <w:szCs w:val="20"/>
        </w:rPr>
        <w:t xml:space="preserve">he Relevant Transfer Date with effect </w:t>
      </w:r>
      <w:r w:rsidR="003C4CF5" w:rsidRPr="00DF5198">
        <w:rPr>
          <w:rFonts w:ascii="Arial" w:hAnsi="Arial" w:cs="Arial"/>
          <w:sz w:val="20"/>
          <w:szCs w:val="20"/>
        </w:rPr>
        <w:t xml:space="preserve">from which the Seller wishes to sell, cede, delegate and assign </w:t>
      </w:r>
      <w:r w:rsidR="00057DE3" w:rsidRPr="00DF5198">
        <w:rPr>
          <w:rFonts w:ascii="Arial" w:hAnsi="Arial" w:cs="Arial"/>
          <w:sz w:val="20"/>
          <w:szCs w:val="20"/>
        </w:rPr>
        <w:t>such proposed Subsequent Participating Assets…</w:t>
      </w:r>
    </w:p>
    <w:p w14:paraId="6190FB14" w14:textId="77777777" w:rsidR="00BF269E" w:rsidRPr="00980F5C" w:rsidRDefault="00BF269E" w:rsidP="00904849">
      <w:pPr>
        <w:spacing w:line="360" w:lineRule="auto"/>
        <w:ind w:left="1440" w:hanging="720"/>
        <w:jc w:val="both"/>
        <w:rPr>
          <w:rFonts w:ascii="Arial" w:hAnsi="Arial" w:cs="Arial"/>
          <w:sz w:val="20"/>
          <w:szCs w:val="20"/>
        </w:rPr>
      </w:pPr>
    </w:p>
    <w:p w14:paraId="1805BDF9" w14:textId="76818324" w:rsidR="00057DE3" w:rsidRPr="00980F5C" w:rsidRDefault="00057DE3" w:rsidP="00904849">
      <w:pPr>
        <w:spacing w:line="36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 w:rsidRPr="00980F5C">
        <w:rPr>
          <w:rFonts w:ascii="Arial" w:hAnsi="Arial" w:cs="Arial"/>
          <w:sz w:val="20"/>
          <w:szCs w:val="20"/>
        </w:rPr>
        <w:t>5.3.2</w:t>
      </w:r>
      <w:r w:rsidRPr="00980F5C">
        <w:rPr>
          <w:rFonts w:ascii="Arial" w:hAnsi="Arial" w:cs="Arial"/>
          <w:sz w:val="20"/>
          <w:szCs w:val="20"/>
        </w:rPr>
        <w:tab/>
        <w:t xml:space="preserve">The Issuer </w:t>
      </w:r>
      <w:r w:rsidR="00462B76" w:rsidRPr="00980F5C">
        <w:rPr>
          <w:rFonts w:ascii="Arial" w:hAnsi="Arial" w:cs="Arial"/>
          <w:sz w:val="20"/>
          <w:szCs w:val="20"/>
        </w:rPr>
        <w:t>shall be obliged to purchase all proposed Subsequent Participating Assets</w:t>
      </w:r>
      <w:r w:rsidR="00E0339F" w:rsidRPr="00980F5C">
        <w:rPr>
          <w:rFonts w:ascii="Arial" w:hAnsi="Arial" w:cs="Arial"/>
          <w:sz w:val="20"/>
          <w:szCs w:val="20"/>
        </w:rPr>
        <w:t>… provided that, as at the Relevant Transfer Date:</w:t>
      </w:r>
    </w:p>
    <w:p w14:paraId="38400B07" w14:textId="77777777" w:rsidR="00BF269E" w:rsidRPr="00980F5C" w:rsidRDefault="00BF269E" w:rsidP="00904849">
      <w:pPr>
        <w:spacing w:line="360" w:lineRule="auto"/>
        <w:ind w:left="2160" w:hanging="630"/>
        <w:jc w:val="both"/>
        <w:rPr>
          <w:rFonts w:ascii="Arial" w:hAnsi="Arial" w:cs="Arial"/>
          <w:sz w:val="20"/>
          <w:szCs w:val="20"/>
        </w:rPr>
      </w:pPr>
    </w:p>
    <w:p w14:paraId="63853CF3" w14:textId="11FD29FA" w:rsidR="00E0339F" w:rsidRPr="00980F5C" w:rsidRDefault="00E0339F" w:rsidP="00904849">
      <w:pPr>
        <w:spacing w:line="360" w:lineRule="auto"/>
        <w:ind w:left="2160" w:hanging="630"/>
        <w:jc w:val="both"/>
        <w:rPr>
          <w:rFonts w:ascii="Arial" w:hAnsi="Arial" w:cs="Arial"/>
          <w:sz w:val="20"/>
          <w:szCs w:val="20"/>
        </w:rPr>
      </w:pPr>
      <w:r w:rsidRPr="00980F5C">
        <w:rPr>
          <w:rFonts w:ascii="Arial" w:hAnsi="Arial" w:cs="Arial"/>
          <w:sz w:val="20"/>
          <w:szCs w:val="20"/>
        </w:rPr>
        <w:t xml:space="preserve">(a) </w:t>
      </w:r>
      <w:r w:rsidR="001A2E17" w:rsidRPr="00980F5C">
        <w:rPr>
          <w:rFonts w:ascii="Arial" w:hAnsi="Arial" w:cs="Arial"/>
          <w:sz w:val="20"/>
          <w:szCs w:val="20"/>
        </w:rPr>
        <w:tab/>
      </w:r>
      <w:r w:rsidRPr="00980F5C">
        <w:rPr>
          <w:rFonts w:ascii="Arial" w:hAnsi="Arial" w:cs="Arial"/>
          <w:sz w:val="20"/>
          <w:szCs w:val="20"/>
        </w:rPr>
        <w:t>a Sale Supplement</w:t>
      </w:r>
      <w:r w:rsidR="0089213F" w:rsidRPr="00980F5C">
        <w:rPr>
          <w:rFonts w:ascii="Arial" w:hAnsi="Arial" w:cs="Arial"/>
          <w:sz w:val="20"/>
          <w:szCs w:val="20"/>
        </w:rPr>
        <w:t>… in respect of those Subsequent Participating Assets</w:t>
      </w:r>
      <w:r w:rsidR="006D4011" w:rsidRPr="00980F5C">
        <w:rPr>
          <w:rFonts w:ascii="Arial" w:hAnsi="Arial" w:cs="Arial"/>
          <w:sz w:val="20"/>
          <w:szCs w:val="20"/>
        </w:rPr>
        <w:t>… has been completed and signed by the Seller and the Issuer</w:t>
      </w:r>
      <w:r w:rsidR="00C06EA8" w:rsidRPr="00980F5C">
        <w:rPr>
          <w:rFonts w:ascii="Arial" w:hAnsi="Arial" w:cs="Arial"/>
          <w:sz w:val="20"/>
          <w:szCs w:val="20"/>
        </w:rPr>
        <w:t xml:space="preserve">… The Seller </w:t>
      </w:r>
      <w:r w:rsidR="009D6F67" w:rsidRPr="00980F5C">
        <w:rPr>
          <w:rFonts w:ascii="Arial" w:hAnsi="Arial" w:cs="Arial"/>
          <w:sz w:val="20"/>
          <w:szCs w:val="20"/>
        </w:rPr>
        <w:t>shall deliver a copy of the signed Sale Supplement to the Administrator</w:t>
      </w:r>
      <w:r w:rsidR="00567BFC" w:rsidRPr="00980F5C">
        <w:rPr>
          <w:rFonts w:ascii="Arial" w:hAnsi="Arial" w:cs="Arial"/>
          <w:sz w:val="20"/>
          <w:szCs w:val="20"/>
        </w:rPr>
        <w:t>, for delivery to WesBank, a division of FirstRand</w:t>
      </w:r>
      <w:r w:rsidR="002247E3" w:rsidRPr="00980F5C">
        <w:rPr>
          <w:rFonts w:ascii="Arial" w:hAnsi="Arial" w:cs="Arial"/>
          <w:sz w:val="20"/>
          <w:szCs w:val="20"/>
        </w:rPr>
        <w:t>;</w:t>
      </w:r>
    </w:p>
    <w:p w14:paraId="237217C8" w14:textId="77777777" w:rsidR="00BF269E" w:rsidRPr="00980F5C" w:rsidRDefault="00BF269E" w:rsidP="00904849">
      <w:pPr>
        <w:spacing w:line="360" w:lineRule="auto"/>
        <w:ind w:left="2160" w:hanging="630"/>
        <w:jc w:val="both"/>
        <w:rPr>
          <w:rFonts w:ascii="Arial" w:hAnsi="Arial" w:cs="Arial"/>
          <w:sz w:val="20"/>
          <w:szCs w:val="20"/>
        </w:rPr>
      </w:pPr>
    </w:p>
    <w:p w14:paraId="1A555F02" w14:textId="0BF3CFA8" w:rsidR="002247E3" w:rsidRPr="00980F5C" w:rsidRDefault="00F52148" w:rsidP="00904849">
      <w:pPr>
        <w:spacing w:line="360" w:lineRule="auto"/>
        <w:ind w:left="2160" w:hanging="630"/>
        <w:jc w:val="both"/>
        <w:rPr>
          <w:rFonts w:ascii="Arial" w:hAnsi="Arial" w:cs="Arial"/>
          <w:sz w:val="20"/>
          <w:szCs w:val="20"/>
        </w:rPr>
      </w:pPr>
      <w:r w:rsidRPr="00980F5C">
        <w:rPr>
          <w:rFonts w:ascii="Arial" w:hAnsi="Arial" w:cs="Arial"/>
          <w:sz w:val="20"/>
          <w:szCs w:val="20"/>
        </w:rPr>
        <w:lastRenderedPageBreak/>
        <w:t>[etc]</w:t>
      </w:r>
      <w:r w:rsidR="0096305F" w:rsidRPr="00980F5C">
        <w:rPr>
          <w:rFonts w:ascii="Arial" w:hAnsi="Arial" w:cs="Arial"/>
          <w:sz w:val="20"/>
          <w:szCs w:val="20"/>
        </w:rPr>
        <w:t>’</w:t>
      </w:r>
    </w:p>
    <w:p w14:paraId="20C2FCB7" w14:textId="77777777" w:rsidR="00374C5C" w:rsidRDefault="00374C5C" w:rsidP="00374C5C">
      <w:pPr>
        <w:spacing w:line="360" w:lineRule="auto"/>
        <w:rPr>
          <w:rFonts w:ascii="Arial" w:hAnsi="Arial" w:cs="Arial"/>
          <w:sz w:val="24"/>
          <w:szCs w:val="24"/>
        </w:rPr>
      </w:pPr>
    </w:p>
    <w:p w14:paraId="4D8770B3" w14:textId="649400DC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[32]</w:t>
      </w:r>
      <w:r>
        <w:rPr>
          <w:rFonts w:ascii="Arial" w:hAnsi="Arial" w:cs="Arial"/>
          <w:sz w:val="24"/>
          <w:szCs w:val="24"/>
        </w:rPr>
        <w:tab/>
      </w:r>
      <w:r w:rsidR="00374C5C" w:rsidRPr="00DF5198">
        <w:rPr>
          <w:rFonts w:ascii="Arial" w:hAnsi="Arial" w:cs="Arial"/>
          <w:sz w:val="24"/>
          <w:szCs w:val="24"/>
        </w:rPr>
        <w:t>The</w:t>
      </w:r>
      <w:r w:rsidR="00980F5C" w:rsidRPr="00DF5198">
        <w:rPr>
          <w:rFonts w:ascii="Arial" w:hAnsi="Arial" w:cs="Arial"/>
          <w:sz w:val="24"/>
          <w:szCs w:val="24"/>
        </w:rPr>
        <w:t xml:space="preserve"> </w:t>
      </w:r>
      <w:r w:rsidR="002F2932" w:rsidRPr="00DF5198">
        <w:rPr>
          <w:rFonts w:ascii="Arial" w:hAnsi="Arial" w:cs="Arial"/>
          <w:sz w:val="24"/>
          <w:szCs w:val="24"/>
        </w:rPr>
        <w:t xml:space="preserve">completion of a </w:t>
      </w:r>
      <w:r w:rsidR="009C22C4" w:rsidRPr="00DF5198">
        <w:rPr>
          <w:rFonts w:ascii="Arial" w:hAnsi="Arial" w:cs="Arial"/>
          <w:sz w:val="24"/>
          <w:szCs w:val="24"/>
        </w:rPr>
        <w:t>‘s</w:t>
      </w:r>
      <w:r w:rsidR="002F2932" w:rsidRPr="00DF5198">
        <w:rPr>
          <w:rFonts w:ascii="Arial" w:hAnsi="Arial" w:cs="Arial"/>
          <w:sz w:val="24"/>
          <w:szCs w:val="24"/>
        </w:rPr>
        <w:t xml:space="preserve">ale </w:t>
      </w:r>
      <w:r w:rsidR="009C22C4" w:rsidRPr="00DF5198">
        <w:rPr>
          <w:rFonts w:ascii="Arial" w:hAnsi="Arial" w:cs="Arial"/>
          <w:sz w:val="24"/>
          <w:szCs w:val="24"/>
        </w:rPr>
        <w:t>s</w:t>
      </w:r>
      <w:r w:rsidR="002F2932" w:rsidRPr="00DF5198">
        <w:rPr>
          <w:rFonts w:ascii="Arial" w:hAnsi="Arial" w:cs="Arial"/>
          <w:sz w:val="24"/>
          <w:szCs w:val="24"/>
        </w:rPr>
        <w:t>upplement</w:t>
      </w:r>
      <w:r w:rsidR="009C22C4" w:rsidRPr="00DF5198">
        <w:rPr>
          <w:rFonts w:ascii="Arial" w:hAnsi="Arial" w:cs="Arial"/>
          <w:sz w:val="24"/>
          <w:szCs w:val="24"/>
        </w:rPr>
        <w:t>’</w:t>
      </w:r>
      <w:r w:rsidR="002F2932" w:rsidRPr="00DF5198">
        <w:rPr>
          <w:rFonts w:ascii="Arial" w:hAnsi="Arial" w:cs="Arial"/>
          <w:sz w:val="24"/>
          <w:szCs w:val="24"/>
        </w:rPr>
        <w:t xml:space="preserve"> was just one of </w:t>
      </w:r>
      <w:r w:rsidR="009C1968" w:rsidRPr="00DF5198">
        <w:rPr>
          <w:rFonts w:ascii="Arial" w:hAnsi="Arial" w:cs="Arial"/>
          <w:sz w:val="24"/>
          <w:szCs w:val="24"/>
        </w:rPr>
        <w:t xml:space="preserve">11 conditions that had to be fulfilled </w:t>
      </w:r>
      <w:r w:rsidR="001B6D23" w:rsidRPr="00DF5198">
        <w:rPr>
          <w:rFonts w:ascii="Arial" w:hAnsi="Arial" w:cs="Arial"/>
          <w:sz w:val="24"/>
          <w:szCs w:val="24"/>
        </w:rPr>
        <w:t>before</w:t>
      </w:r>
      <w:r w:rsidR="00383932" w:rsidRPr="00DF5198">
        <w:rPr>
          <w:rFonts w:ascii="Arial" w:hAnsi="Arial" w:cs="Arial"/>
          <w:sz w:val="24"/>
          <w:szCs w:val="24"/>
        </w:rPr>
        <w:t xml:space="preserve"> the applicant could </w:t>
      </w:r>
      <w:r w:rsidR="001E3A5C" w:rsidRPr="00DF5198">
        <w:rPr>
          <w:rFonts w:ascii="Arial" w:hAnsi="Arial" w:cs="Arial"/>
          <w:sz w:val="24"/>
          <w:szCs w:val="24"/>
        </w:rPr>
        <w:t>purchase the ‘</w:t>
      </w:r>
      <w:r w:rsidR="00467816" w:rsidRPr="00DF5198">
        <w:rPr>
          <w:rFonts w:ascii="Arial" w:hAnsi="Arial" w:cs="Arial"/>
          <w:sz w:val="24"/>
          <w:szCs w:val="24"/>
        </w:rPr>
        <w:t>s</w:t>
      </w:r>
      <w:r w:rsidR="001E3A5C" w:rsidRPr="00DF5198">
        <w:rPr>
          <w:rFonts w:ascii="Arial" w:hAnsi="Arial" w:cs="Arial"/>
          <w:sz w:val="24"/>
          <w:szCs w:val="24"/>
        </w:rPr>
        <w:t xml:space="preserve">ubsequent </w:t>
      </w:r>
      <w:r w:rsidR="00467816" w:rsidRPr="00DF5198">
        <w:rPr>
          <w:rFonts w:ascii="Arial" w:hAnsi="Arial" w:cs="Arial"/>
          <w:sz w:val="24"/>
          <w:szCs w:val="24"/>
        </w:rPr>
        <w:t>p</w:t>
      </w:r>
      <w:r w:rsidR="001E3A5C" w:rsidRPr="00DF5198">
        <w:rPr>
          <w:rFonts w:ascii="Arial" w:hAnsi="Arial" w:cs="Arial"/>
          <w:sz w:val="24"/>
          <w:szCs w:val="24"/>
        </w:rPr>
        <w:t xml:space="preserve">articipating </w:t>
      </w:r>
      <w:r w:rsidR="00467816" w:rsidRPr="00DF5198">
        <w:rPr>
          <w:rFonts w:ascii="Arial" w:hAnsi="Arial" w:cs="Arial"/>
          <w:sz w:val="24"/>
          <w:szCs w:val="24"/>
        </w:rPr>
        <w:t>a</w:t>
      </w:r>
      <w:r w:rsidR="001E3A5C" w:rsidRPr="00DF5198">
        <w:rPr>
          <w:rFonts w:ascii="Arial" w:hAnsi="Arial" w:cs="Arial"/>
          <w:sz w:val="24"/>
          <w:szCs w:val="24"/>
        </w:rPr>
        <w:t xml:space="preserve">ssets’. </w:t>
      </w:r>
      <w:r w:rsidR="00B21CC3" w:rsidRPr="00DF5198">
        <w:rPr>
          <w:rFonts w:ascii="Arial" w:hAnsi="Arial" w:cs="Arial"/>
          <w:sz w:val="24"/>
          <w:szCs w:val="24"/>
        </w:rPr>
        <w:t xml:space="preserve">The applicant, argues the respondent, has failed to </w:t>
      </w:r>
      <w:r w:rsidR="004250C4" w:rsidRPr="00DF5198">
        <w:rPr>
          <w:rFonts w:ascii="Arial" w:hAnsi="Arial" w:cs="Arial"/>
          <w:sz w:val="24"/>
          <w:szCs w:val="24"/>
        </w:rPr>
        <w:t xml:space="preserve">plead </w:t>
      </w:r>
      <w:r w:rsidR="005E46D8" w:rsidRPr="00DF5198">
        <w:rPr>
          <w:rFonts w:ascii="Arial" w:hAnsi="Arial" w:cs="Arial"/>
          <w:sz w:val="24"/>
          <w:szCs w:val="24"/>
        </w:rPr>
        <w:t xml:space="preserve">the </w:t>
      </w:r>
      <w:r w:rsidR="004250C4" w:rsidRPr="00DF5198">
        <w:rPr>
          <w:rFonts w:ascii="Arial" w:hAnsi="Arial" w:cs="Arial"/>
          <w:sz w:val="24"/>
          <w:szCs w:val="24"/>
        </w:rPr>
        <w:t xml:space="preserve">fulfilment of the above conditions, and has failed to </w:t>
      </w:r>
      <w:r w:rsidR="008E7A57" w:rsidRPr="00DF5198">
        <w:rPr>
          <w:rFonts w:ascii="Arial" w:hAnsi="Arial" w:cs="Arial"/>
          <w:sz w:val="24"/>
          <w:szCs w:val="24"/>
        </w:rPr>
        <w:t xml:space="preserve">attach the </w:t>
      </w:r>
      <w:r w:rsidR="00467816" w:rsidRPr="00DF5198">
        <w:rPr>
          <w:rFonts w:ascii="Arial" w:hAnsi="Arial" w:cs="Arial"/>
          <w:sz w:val="24"/>
          <w:szCs w:val="24"/>
        </w:rPr>
        <w:t>‘s</w:t>
      </w:r>
      <w:r w:rsidR="008E7A57" w:rsidRPr="00DF5198">
        <w:rPr>
          <w:rFonts w:ascii="Arial" w:hAnsi="Arial" w:cs="Arial"/>
          <w:sz w:val="24"/>
          <w:szCs w:val="24"/>
        </w:rPr>
        <w:t xml:space="preserve">ale </w:t>
      </w:r>
      <w:r w:rsidR="00467816" w:rsidRPr="00DF5198">
        <w:rPr>
          <w:rFonts w:ascii="Arial" w:hAnsi="Arial" w:cs="Arial"/>
          <w:sz w:val="24"/>
          <w:szCs w:val="24"/>
        </w:rPr>
        <w:t>s</w:t>
      </w:r>
      <w:r w:rsidR="008E7A57" w:rsidRPr="00DF5198">
        <w:rPr>
          <w:rFonts w:ascii="Arial" w:hAnsi="Arial" w:cs="Arial"/>
          <w:sz w:val="24"/>
          <w:szCs w:val="24"/>
        </w:rPr>
        <w:t>upplement</w:t>
      </w:r>
      <w:r w:rsidR="00467816" w:rsidRPr="00DF5198">
        <w:rPr>
          <w:rFonts w:ascii="Arial" w:hAnsi="Arial" w:cs="Arial"/>
          <w:sz w:val="24"/>
          <w:szCs w:val="24"/>
        </w:rPr>
        <w:t>’</w:t>
      </w:r>
      <w:r w:rsidR="008E7A57" w:rsidRPr="00DF5198">
        <w:rPr>
          <w:rFonts w:ascii="Arial" w:hAnsi="Arial" w:cs="Arial"/>
          <w:sz w:val="24"/>
          <w:szCs w:val="24"/>
        </w:rPr>
        <w:t xml:space="preserve"> to its papers,</w:t>
      </w:r>
      <w:r w:rsidR="00FE11D4" w:rsidRPr="00DF5198">
        <w:rPr>
          <w:rFonts w:ascii="Arial" w:hAnsi="Arial" w:cs="Arial"/>
          <w:sz w:val="24"/>
          <w:szCs w:val="24"/>
        </w:rPr>
        <w:t xml:space="preserve"> which would have indicated whether </w:t>
      </w:r>
      <w:r w:rsidR="005462C2" w:rsidRPr="00DF5198">
        <w:rPr>
          <w:rFonts w:ascii="Arial" w:hAnsi="Arial" w:cs="Arial"/>
          <w:sz w:val="24"/>
          <w:szCs w:val="24"/>
        </w:rPr>
        <w:t xml:space="preserve">VFS’s rights and duties were indeed transferred to the applicant </w:t>
      </w:r>
      <w:r w:rsidR="0013668A" w:rsidRPr="00DF5198">
        <w:rPr>
          <w:rFonts w:ascii="Arial" w:hAnsi="Arial" w:cs="Arial"/>
          <w:sz w:val="24"/>
          <w:szCs w:val="24"/>
        </w:rPr>
        <w:t xml:space="preserve">in relation to the </w:t>
      </w:r>
      <w:r w:rsidR="00FE11D4" w:rsidRPr="00DF5198">
        <w:rPr>
          <w:rFonts w:ascii="Arial" w:hAnsi="Arial" w:cs="Arial"/>
          <w:sz w:val="24"/>
          <w:szCs w:val="24"/>
        </w:rPr>
        <w:t xml:space="preserve">ISA </w:t>
      </w:r>
      <w:r w:rsidR="0013668A" w:rsidRPr="00DF5198">
        <w:rPr>
          <w:rFonts w:ascii="Arial" w:hAnsi="Arial" w:cs="Arial"/>
          <w:sz w:val="24"/>
          <w:szCs w:val="24"/>
        </w:rPr>
        <w:t>that forms the basis of this application.</w:t>
      </w:r>
      <w:r w:rsidR="004250C4" w:rsidRPr="00DF5198">
        <w:rPr>
          <w:rFonts w:ascii="Arial" w:hAnsi="Arial" w:cs="Arial"/>
          <w:sz w:val="24"/>
          <w:szCs w:val="24"/>
        </w:rPr>
        <w:t xml:space="preserve"> Consequently,</w:t>
      </w:r>
      <w:r w:rsidR="00D8738E" w:rsidRPr="00DF5198">
        <w:rPr>
          <w:rFonts w:ascii="Arial" w:hAnsi="Arial" w:cs="Arial"/>
          <w:sz w:val="24"/>
          <w:szCs w:val="24"/>
        </w:rPr>
        <w:t xml:space="preserve"> </w:t>
      </w:r>
      <w:r w:rsidR="00661ACA" w:rsidRPr="00DF5198">
        <w:rPr>
          <w:rFonts w:ascii="Arial" w:hAnsi="Arial" w:cs="Arial"/>
          <w:sz w:val="24"/>
          <w:szCs w:val="24"/>
        </w:rPr>
        <w:t xml:space="preserve">contends </w:t>
      </w:r>
      <w:r w:rsidR="00D8738E" w:rsidRPr="00DF5198">
        <w:rPr>
          <w:rFonts w:ascii="Arial" w:hAnsi="Arial" w:cs="Arial"/>
          <w:sz w:val="24"/>
          <w:szCs w:val="24"/>
        </w:rPr>
        <w:t xml:space="preserve">the respondent, </w:t>
      </w:r>
      <w:r w:rsidR="004250C4" w:rsidRPr="00DF5198">
        <w:rPr>
          <w:rFonts w:ascii="Arial" w:hAnsi="Arial" w:cs="Arial"/>
          <w:sz w:val="24"/>
          <w:szCs w:val="24"/>
        </w:rPr>
        <w:t xml:space="preserve">the applicant has failed to demonstrate that it has the necessary </w:t>
      </w:r>
      <w:r w:rsidR="004250C4" w:rsidRPr="00DF5198">
        <w:rPr>
          <w:rFonts w:ascii="Arial" w:hAnsi="Arial" w:cs="Arial"/>
          <w:i/>
          <w:iCs/>
          <w:sz w:val="24"/>
          <w:szCs w:val="24"/>
        </w:rPr>
        <w:t>locus standi</w:t>
      </w:r>
      <w:r w:rsidR="004250C4" w:rsidRPr="00DF5198">
        <w:rPr>
          <w:rFonts w:ascii="Arial" w:hAnsi="Arial" w:cs="Arial"/>
          <w:sz w:val="24"/>
          <w:szCs w:val="24"/>
        </w:rPr>
        <w:t xml:space="preserve"> in the action proceedings.</w:t>
      </w:r>
    </w:p>
    <w:p w14:paraId="493201CE" w14:textId="77777777" w:rsidR="00904849" w:rsidRDefault="00904849" w:rsidP="0090484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19FD37" w14:textId="25120AC2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[33]</w:t>
      </w:r>
      <w:r>
        <w:rPr>
          <w:rFonts w:ascii="Arial" w:hAnsi="Arial" w:cs="Arial"/>
          <w:sz w:val="24"/>
          <w:szCs w:val="24"/>
        </w:rPr>
        <w:tab/>
      </w:r>
      <w:r w:rsidR="004250C4" w:rsidRPr="00DF5198">
        <w:rPr>
          <w:rFonts w:ascii="Arial" w:hAnsi="Arial" w:cs="Arial"/>
          <w:sz w:val="24"/>
          <w:szCs w:val="24"/>
        </w:rPr>
        <w:t xml:space="preserve">To this, the applicant merely </w:t>
      </w:r>
      <w:r w:rsidR="00661ACA" w:rsidRPr="00DF5198">
        <w:rPr>
          <w:rFonts w:ascii="Arial" w:hAnsi="Arial" w:cs="Arial"/>
          <w:sz w:val="24"/>
          <w:szCs w:val="24"/>
        </w:rPr>
        <w:t>assert</w:t>
      </w:r>
      <w:r w:rsidR="004250C4" w:rsidRPr="00DF5198">
        <w:rPr>
          <w:rFonts w:ascii="Arial" w:hAnsi="Arial" w:cs="Arial"/>
          <w:sz w:val="24"/>
          <w:szCs w:val="24"/>
        </w:rPr>
        <w:t xml:space="preserve">ed in argument that it had indeed pleaded that VFS </w:t>
      </w:r>
      <w:r w:rsidR="00366810" w:rsidRPr="00DF5198">
        <w:rPr>
          <w:rFonts w:ascii="Arial" w:hAnsi="Arial" w:cs="Arial"/>
          <w:sz w:val="24"/>
          <w:szCs w:val="24"/>
        </w:rPr>
        <w:t xml:space="preserve">had </w:t>
      </w:r>
      <w:r w:rsidR="004250C4" w:rsidRPr="00DF5198">
        <w:rPr>
          <w:rFonts w:ascii="Arial" w:hAnsi="Arial" w:cs="Arial"/>
          <w:sz w:val="24"/>
          <w:szCs w:val="24"/>
        </w:rPr>
        <w:t xml:space="preserve">transferred its rights and duties. This </w:t>
      </w:r>
      <w:r w:rsidR="00247414" w:rsidRPr="00DF5198">
        <w:rPr>
          <w:rFonts w:ascii="Arial" w:hAnsi="Arial" w:cs="Arial"/>
          <w:sz w:val="24"/>
          <w:szCs w:val="24"/>
        </w:rPr>
        <w:t xml:space="preserve">had been </w:t>
      </w:r>
      <w:r w:rsidR="004250C4" w:rsidRPr="00DF5198">
        <w:rPr>
          <w:rFonts w:ascii="Arial" w:hAnsi="Arial" w:cs="Arial"/>
          <w:sz w:val="24"/>
          <w:szCs w:val="24"/>
        </w:rPr>
        <w:t>done in accordance with the cession agreement.</w:t>
      </w:r>
    </w:p>
    <w:p w14:paraId="3913DE21" w14:textId="77777777" w:rsidR="00904849" w:rsidRPr="00904849" w:rsidRDefault="00904849" w:rsidP="00904849">
      <w:pPr>
        <w:pStyle w:val="ListParagraph"/>
        <w:rPr>
          <w:rFonts w:ascii="Arial" w:hAnsi="Arial" w:cs="Arial"/>
          <w:sz w:val="24"/>
          <w:szCs w:val="24"/>
        </w:rPr>
      </w:pPr>
    </w:p>
    <w:p w14:paraId="33A60C36" w14:textId="5251315E" w:rsidR="004250C4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849">
        <w:rPr>
          <w:rFonts w:ascii="Arial" w:hAnsi="Arial" w:cs="Arial"/>
          <w:sz w:val="24"/>
          <w:szCs w:val="24"/>
        </w:rPr>
        <w:t>[34]</w:t>
      </w:r>
      <w:r w:rsidRPr="00904849">
        <w:rPr>
          <w:rFonts w:ascii="Arial" w:hAnsi="Arial" w:cs="Arial"/>
          <w:sz w:val="24"/>
          <w:szCs w:val="24"/>
        </w:rPr>
        <w:tab/>
      </w:r>
      <w:r w:rsidR="00CA33E1" w:rsidRPr="00DF5198">
        <w:rPr>
          <w:rFonts w:ascii="Arial" w:hAnsi="Arial" w:cs="Arial"/>
          <w:sz w:val="24"/>
          <w:szCs w:val="24"/>
        </w:rPr>
        <w:t>The provisions of rule 32(2)(b) require a plaintiff to verify the cause of action and the amount</w:t>
      </w:r>
      <w:r w:rsidR="00E85ACB" w:rsidRPr="00DF5198">
        <w:rPr>
          <w:rFonts w:ascii="Arial" w:hAnsi="Arial" w:cs="Arial"/>
          <w:sz w:val="24"/>
          <w:szCs w:val="24"/>
        </w:rPr>
        <w:t xml:space="preserve"> </w:t>
      </w:r>
      <w:r w:rsidR="00CA33E1" w:rsidRPr="00DF5198">
        <w:rPr>
          <w:rFonts w:ascii="Arial" w:hAnsi="Arial" w:cs="Arial"/>
          <w:sz w:val="24"/>
          <w:szCs w:val="24"/>
        </w:rPr>
        <w:t xml:space="preserve">claimed, and </w:t>
      </w:r>
      <w:r w:rsidR="00EA5A50" w:rsidRPr="00DF5198">
        <w:rPr>
          <w:rFonts w:ascii="Arial" w:hAnsi="Arial" w:cs="Arial"/>
          <w:sz w:val="24"/>
          <w:szCs w:val="24"/>
        </w:rPr>
        <w:t xml:space="preserve">to </w:t>
      </w:r>
      <w:r w:rsidR="00CA33E1" w:rsidRPr="00DF5198">
        <w:rPr>
          <w:rFonts w:ascii="Arial" w:hAnsi="Arial" w:cs="Arial"/>
          <w:sz w:val="24"/>
          <w:szCs w:val="24"/>
        </w:rPr>
        <w:t>identify any point of law relied upon and the facts upon which the claim is based</w:t>
      </w:r>
      <w:r w:rsidR="00EA5A50" w:rsidRPr="00DF5198">
        <w:rPr>
          <w:rFonts w:ascii="Arial" w:hAnsi="Arial" w:cs="Arial"/>
          <w:sz w:val="24"/>
          <w:szCs w:val="24"/>
        </w:rPr>
        <w:t xml:space="preserve">. The classic </w:t>
      </w:r>
      <w:r w:rsidR="001B1007" w:rsidRPr="00DF5198">
        <w:rPr>
          <w:rFonts w:ascii="Arial" w:hAnsi="Arial" w:cs="Arial"/>
          <w:sz w:val="24"/>
          <w:szCs w:val="24"/>
        </w:rPr>
        <w:t xml:space="preserve">definition of a </w:t>
      </w:r>
      <w:r w:rsidR="004250C4" w:rsidRPr="00DF5198">
        <w:rPr>
          <w:rFonts w:ascii="Arial" w:hAnsi="Arial" w:cs="Arial"/>
          <w:sz w:val="24"/>
          <w:szCs w:val="24"/>
        </w:rPr>
        <w:t>cause of action</w:t>
      </w:r>
      <w:r w:rsidR="001B1007" w:rsidRPr="00DF5198">
        <w:rPr>
          <w:rFonts w:ascii="Arial" w:hAnsi="Arial" w:cs="Arial"/>
          <w:sz w:val="24"/>
          <w:szCs w:val="24"/>
        </w:rPr>
        <w:t xml:space="preserve">, made by Lord Esher MR in </w:t>
      </w:r>
      <w:r w:rsidR="001B1007" w:rsidRPr="00DF5198">
        <w:rPr>
          <w:rFonts w:ascii="Arial" w:hAnsi="Arial" w:cs="Arial"/>
          <w:i/>
          <w:iCs/>
          <w:sz w:val="24"/>
          <w:szCs w:val="24"/>
        </w:rPr>
        <w:t>Read v Brown</w:t>
      </w:r>
      <w:r w:rsidR="00482C7A" w:rsidRPr="00DF5198">
        <w:rPr>
          <w:rFonts w:ascii="Arial" w:hAnsi="Arial" w:cs="Arial"/>
          <w:sz w:val="24"/>
          <w:szCs w:val="24"/>
        </w:rPr>
        <w:t>,</w:t>
      </w:r>
      <w:r w:rsidR="00482C7A">
        <w:rPr>
          <w:rStyle w:val="FootnoteReference"/>
          <w:rFonts w:ascii="Arial" w:hAnsi="Arial" w:cs="Arial"/>
          <w:sz w:val="24"/>
          <w:szCs w:val="24"/>
        </w:rPr>
        <w:footnoteReference w:id="22"/>
      </w:r>
      <w:r w:rsidR="00482C7A" w:rsidRPr="00DF5198">
        <w:rPr>
          <w:rFonts w:ascii="Arial" w:hAnsi="Arial" w:cs="Arial"/>
          <w:sz w:val="24"/>
          <w:szCs w:val="24"/>
        </w:rPr>
        <w:t xml:space="preserve"> is the following:</w:t>
      </w:r>
    </w:p>
    <w:p w14:paraId="0EEA29A8" w14:textId="0FAE250D" w:rsidR="00482C7A" w:rsidRPr="00426C46" w:rsidRDefault="00482C7A" w:rsidP="0090484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26C46">
        <w:rPr>
          <w:rFonts w:ascii="Arial" w:hAnsi="Arial" w:cs="Arial"/>
          <w:sz w:val="20"/>
          <w:szCs w:val="20"/>
        </w:rPr>
        <w:t>‘</w:t>
      </w:r>
      <w:r w:rsidR="00042103" w:rsidRPr="00426C46">
        <w:rPr>
          <w:rFonts w:ascii="Arial" w:hAnsi="Arial" w:cs="Arial"/>
          <w:sz w:val="20"/>
          <w:szCs w:val="20"/>
        </w:rPr>
        <w:t xml:space="preserve">every fact which it would be </w:t>
      </w:r>
      <w:r w:rsidR="002C5333" w:rsidRPr="00426C46">
        <w:rPr>
          <w:rFonts w:ascii="Arial" w:hAnsi="Arial" w:cs="Arial"/>
          <w:sz w:val="20"/>
          <w:szCs w:val="20"/>
        </w:rPr>
        <w:t>necessary for the plaintiff to prove if traversed, in order to support his right</w:t>
      </w:r>
      <w:r w:rsidR="009B5012" w:rsidRPr="00426C46">
        <w:rPr>
          <w:rFonts w:ascii="Arial" w:hAnsi="Arial" w:cs="Arial"/>
          <w:sz w:val="20"/>
          <w:szCs w:val="20"/>
        </w:rPr>
        <w:t xml:space="preserve"> to the judgment of the court. It does not comprise every piece of evidence</w:t>
      </w:r>
      <w:r w:rsidR="0002674F" w:rsidRPr="00426C46">
        <w:rPr>
          <w:rFonts w:ascii="Arial" w:hAnsi="Arial" w:cs="Arial"/>
          <w:sz w:val="20"/>
          <w:szCs w:val="20"/>
        </w:rPr>
        <w:t xml:space="preserve"> which is necessary to prove each fact, but every fact which is necessary to be proved.’</w:t>
      </w:r>
      <w:r w:rsidR="00016DD7" w:rsidRPr="00426C46">
        <w:rPr>
          <w:rStyle w:val="FootnoteReference"/>
          <w:rFonts w:ascii="Arial" w:hAnsi="Arial" w:cs="Arial"/>
          <w:sz w:val="20"/>
          <w:szCs w:val="20"/>
        </w:rPr>
        <w:footnoteReference w:id="23"/>
      </w:r>
    </w:p>
    <w:p w14:paraId="2979AE28" w14:textId="77777777" w:rsidR="00426C46" w:rsidRDefault="00426C46" w:rsidP="00426C46">
      <w:pPr>
        <w:spacing w:line="360" w:lineRule="auto"/>
        <w:rPr>
          <w:rFonts w:ascii="Arial" w:hAnsi="Arial" w:cs="Arial"/>
          <w:sz w:val="24"/>
          <w:szCs w:val="24"/>
        </w:rPr>
      </w:pPr>
    </w:p>
    <w:p w14:paraId="180E36D2" w14:textId="4C33DD3A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[35]</w:t>
      </w:r>
      <w:r>
        <w:rPr>
          <w:rFonts w:ascii="Arial" w:hAnsi="Arial" w:cs="Arial"/>
          <w:sz w:val="24"/>
          <w:szCs w:val="24"/>
        </w:rPr>
        <w:tab/>
      </w:r>
      <w:r w:rsidR="00426C46" w:rsidRPr="00DF5198">
        <w:rPr>
          <w:rFonts w:ascii="Arial" w:hAnsi="Arial" w:cs="Arial"/>
          <w:sz w:val="24"/>
          <w:szCs w:val="24"/>
        </w:rPr>
        <w:t>In the present matter,</w:t>
      </w:r>
      <w:r w:rsidR="003E00C2" w:rsidRPr="00DF5198">
        <w:rPr>
          <w:rFonts w:ascii="Arial" w:hAnsi="Arial" w:cs="Arial"/>
          <w:sz w:val="24"/>
          <w:szCs w:val="24"/>
        </w:rPr>
        <w:t xml:space="preserve"> the </w:t>
      </w:r>
      <w:r w:rsidR="00DC4C78" w:rsidRPr="00DF5198">
        <w:rPr>
          <w:rFonts w:ascii="Arial" w:hAnsi="Arial" w:cs="Arial"/>
          <w:sz w:val="24"/>
          <w:szCs w:val="24"/>
        </w:rPr>
        <w:t>applicant</w:t>
      </w:r>
      <w:r w:rsidR="003E00C2" w:rsidRPr="00DF5198">
        <w:rPr>
          <w:rFonts w:ascii="Arial" w:hAnsi="Arial" w:cs="Arial"/>
          <w:sz w:val="24"/>
          <w:szCs w:val="24"/>
        </w:rPr>
        <w:t xml:space="preserve"> </w:t>
      </w:r>
      <w:r w:rsidR="00ED04F2" w:rsidRPr="00DF5198">
        <w:rPr>
          <w:rFonts w:ascii="Arial" w:hAnsi="Arial" w:cs="Arial"/>
          <w:sz w:val="24"/>
          <w:szCs w:val="24"/>
        </w:rPr>
        <w:t>relies</w:t>
      </w:r>
      <w:r w:rsidR="002922E0" w:rsidRPr="00DF5198">
        <w:rPr>
          <w:rFonts w:ascii="Arial" w:hAnsi="Arial" w:cs="Arial"/>
          <w:sz w:val="24"/>
          <w:szCs w:val="24"/>
        </w:rPr>
        <w:t xml:space="preserve"> on </w:t>
      </w:r>
      <w:r w:rsidR="00DC3D99" w:rsidRPr="00DF5198">
        <w:rPr>
          <w:rFonts w:ascii="Arial" w:hAnsi="Arial" w:cs="Arial"/>
          <w:sz w:val="24"/>
          <w:szCs w:val="24"/>
        </w:rPr>
        <w:t xml:space="preserve">VFS’s </w:t>
      </w:r>
      <w:r w:rsidR="00FD2B4C" w:rsidRPr="00DF5198">
        <w:rPr>
          <w:rFonts w:ascii="Arial" w:hAnsi="Arial" w:cs="Arial"/>
          <w:sz w:val="24"/>
          <w:szCs w:val="24"/>
        </w:rPr>
        <w:t xml:space="preserve">transfer of its </w:t>
      </w:r>
      <w:r w:rsidR="00971138" w:rsidRPr="00DF5198">
        <w:rPr>
          <w:rFonts w:ascii="Arial" w:hAnsi="Arial" w:cs="Arial"/>
          <w:sz w:val="24"/>
          <w:szCs w:val="24"/>
        </w:rPr>
        <w:t xml:space="preserve">rights and duties under </w:t>
      </w:r>
      <w:r w:rsidR="00660BF3" w:rsidRPr="00DF5198">
        <w:rPr>
          <w:rFonts w:ascii="Arial" w:hAnsi="Arial" w:cs="Arial"/>
          <w:sz w:val="24"/>
          <w:szCs w:val="24"/>
        </w:rPr>
        <w:t xml:space="preserve">the </w:t>
      </w:r>
      <w:r w:rsidR="008D5079" w:rsidRPr="00DF5198">
        <w:rPr>
          <w:rFonts w:ascii="Arial" w:hAnsi="Arial" w:cs="Arial"/>
          <w:sz w:val="24"/>
          <w:szCs w:val="24"/>
        </w:rPr>
        <w:t xml:space="preserve">ISA. </w:t>
      </w:r>
      <w:r w:rsidR="006512D5" w:rsidRPr="00DF5198">
        <w:rPr>
          <w:rFonts w:ascii="Arial" w:hAnsi="Arial" w:cs="Arial"/>
          <w:sz w:val="24"/>
          <w:szCs w:val="24"/>
        </w:rPr>
        <w:t xml:space="preserve">The applicant </w:t>
      </w:r>
      <w:r w:rsidR="00A2721B" w:rsidRPr="00DF5198">
        <w:rPr>
          <w:rFonts w:ascii="Arial" w:hAnsi="Arial" w:cs="Arial"/>
          <w:sz w:val="24"/>
          <w:szCs w:val="24"/>
        </w:rPr>
        <w:t>was not</w:t>
      </w:r>
      <w:r w:rsidR="008540CF" w:rsidRPr="00DF5198">
        <w:rPr>
          <w:rFonts w:ascii="Arial" w:hAnsi="Arial" w:cs="Arial"/>
          <w:sz w:val="24"/>
          <w:szCs w:val="24"/>
        </w:rPr>
        <w:t xml:space="preserve"> </w:t>
      </w:r>
      <w:r w:rsidR="00A2721B" w:rsidRPr="00DF5198">
        <w:rPr>
          <w:rFonts w:ascii="Arial" w:hAnsi="Arial" w:cs="Arial"/>
          <w:sz w:val="24"/>
          <w:szCs w:val="24"/>
        </w:rPr>
        <w:t>a</w:t>
      </w:r>
      <w:r w:rsidR="00713933" w:rsidRPr="00DF5198">
        <w:rPr>
          <w:rFonts w:ascii="Arial" w:hAnsi="Arial" w:cs="Arial"/>
          <w:sz w:val="24"/>
          <w:szCs w:val="24"/>
        </w:rPr>
        <w:t>n original</w:t>
      </w:r>
      <w:r w:rsidR="00A2721B" w:rsidRPr="00DF5198">
        <w:rPr>
          <w:rFonts w:ascii="Arial" w:hAnsi="Arial" w:cs="Arial"/>
          <w:sz w:val="24"/>
          <w:szCs w:val="24"/>
        </w:rPr>
        <w:t xml:space="preserve"> party </w:t>
      </w:r>
      <w:r w:rsidR="00713933" w:rsidRPr="00DF5198">
        <w:rPr>
          <w:rFonts w:ascii="Arial" w:hAnsi="Arial" w:cs="Arial"/>
          <w:sz w:val="24"/>
          <w:szCs w:val="24"/>
        </w:rPr>
        <w:t>there</w:t>
      </w:r>
      <w:r w:rsidR="00A2721B" w:rsidRPr="00DF5198">
        <w:rPr>
          <w:rFonts w:ascii="Arial" w:hAnsi="Arial" w:cs="Arial"/>
          <w:sz w:val="24"/>
          <w:szCs w:val="24"/>
        </w:rPr>
        <w:t>to</w:t>
      </w:r>
      <w:r w:rsidR="006512D5" w:rsidRPr="00DF5198">
        <w:rPr>
          <w:rFonts w:ascii="Arial" w:hAnsi="Arial" w:cs="Arial"/>
          <w:sz w:val="24"/>
          <w:szCs w:val="24"/>
        </w:rPr>
        <w:t xml:space="preserve">. </w:t>
      </w:r>
      <w:r w:rsidR="00660BF3" w:rsidRPr="00DF5198">
        <w:rPr>
          <w:rFonts w:ascii="Arial" w:hAnsi="Arial" w:cs="Arial"/>
          <w:sz w:val="24"/>
          <w:szCs w:val="24"/>
        </w:rPr>
        <w:t xml:space="preserve">Whereas </w:t>
      </w:r>
      <w:r w:rsidR="00162032" w:rsidRPr="00DF5198">
        <w:rPr>
          <w:rFonts w:ascii="Arial" w:hAnsi="Arial" w:cs="Arial"/>
          <w:sz w:val="24"/>
          <w:szCs w:val="24"/>
        </w:rPr>
        <w:t>the applicant attached a copy of the ISA</w:t>
      </w:r>
      <w:r w:rsidR="0064306A" w:rsidRPr="00DF5198">
        <w:rPr>
          <w:rFonts w:ascii="Arial" w:hAnsi="Arial" w:cs="Arial"/>
          <w:sz w:val="24"/>
          <w:szCs w:val="24"/>
        </w:rPr>
        <w:t xml:space="preserve">, in compliance with rule 18(6) </w:t>
      </w:r>
      <w:r w:rsidR="00C8090E" w:rsidRPr="00DF5198">
        <w:rPr>
          <w:rFonts w:ascii="Arial" w:hAnsi="Arial" w:cs="Arial"/>
          <w:sz w:val="24"/>
          <w:szCs w:val="24"/>
        </w:rPr>
        <w:t xml:space="preserve">of the URC, it failed to </w:t>
      </w:r>
      <w:r w:rsidR="007B6829" w:rsidRPr="00DF5198">
        <w:rPr>
          <w:rFonts w:ascii="Arial" w:hAnsi="Arial" w:cs="Arial"/>
          <w:sz w:val="24"/>
          <w:szCs w:val="24"/>
        </w:rPr>
        <w:t xml:space="preserve">attach a copy of the cession agreement. This only emerged </w:t>
      </w:r>
      <w:r w:rsidR="00715FB0" w:rsidRPr="00DF5198">
        <w:rPr>
          <w:rFonts w:ascii="Arial" w:hAnsi="Arial" w:cs="Arial"/>
          <w:sz w:val="24"/>
          <w:szCs w:val="24"/>
        </w:rPr>
        <w:t xml:space="preserve">when </w:t>
      </w:r>
      <w:r w:rsidR="00001AEC" w:rsidRPr="00DF5198">
        <w:rPr>
          <w:rFonts w:ascii="Arial" w:hAnsi="Arial" w:cs="Arial"/>
          <w:sz w:val="24"/>
          <w:szCs w:val="24"/>
        </w:rPr>
        <w:t>the applicant</w:t>
      </w:r>
      <w:r w:rsidR="003264F1" w:rsidRPr="00DF5198">
        <w:rPr>
          <w:rFonts w:ascii="Arial" w:hAnsi="Arial" w:cs="Arial"/>
          <w:sz w:val="24"/>
          <w:szCs w:val="24"/>
        </w:rPr>
        <w:t xml:space="preserve"> brought its </w:t>
      </w:r>
      <w:r w:rsidR="00715FB0" w:rsidRPr="00DF5198">
        <w:rPr>
          <w:rFonts w:ascii="Arial" w:hAnsi="Arial" w:cs="Arial"/>
          <w:sz w:val="24"/>
          <w:szCs w:val="24"/>
        </w:rPr>
        <w:t xml:space="preserve">application for summary judgment. </w:t>
      </w:r>
      <w:r w:rsidR="003264F1" w:rsidRPr="00DF5198">
        <w:rPr>
          <w:rFonts w:ascii="Arial" w:hAnsi="Arial" w:cs="Arial"/>
          <w:sz w:val="24"/>
          <w:szCs w:val="24"/>
        </w:rPr>
        <w:t xml:space="preserve">From the </w:t>
      </w:r>
      <w:r w:rsidR="00EA66A9" w:rsidRPr="00DF5198">
        <w:rPr>
          <w:rFonts w:ascii="Arial" w:hAnsi="Arial" w:cs="Arial"/>
          <w:sz w:val="24"/>
          <w:szCs w:val="24"/>
        </w:rPr>
        <w:t>cession agreement</w:t>
      </w:r>
      <w:r w:rsidR="00162032" w:rsidRPr="00DF5198">
        <w:rPr>
          <w:rFonts w:ascii="Arial" w:hAnsi="Arial" w:cs="Arial"/>
          <w:sz w:val="24"/>
          <w:szCs w:val="24"/>
        </w:rPr>
        <w:t xml:space="preserve"> </w:t>
      </w:r>
      <w:r w:rsidR="003264F1" w:rsidRPr="00DF5198">
        <w:rPr>
          <w:rFonts w:ascii="Arial" w:hAnsi="Arial" w:cs="Arial"/>
          <w:sz w:val="24"/>
          <w:szCs w:val="24"/>
        </w:rPr>
        <w:t xml:space="preserve">itself, it is </w:t>
      </w:r>
      <w:r w:rsidR="00422B5D" w:rsidRPr="00DF5198">
        <w:rPr>
          <w:rFonts w:ascii="Arial" w:hAnsi="Arial" w:cs="Arial"/>
          <w:sz w:val="24"/>
          <w:szCs w:val="24"/>
        </w:rPr>
        <w:t>apparent</w:t>
      </w:r>
      <w:r w:rsidR="00BE25BB" w:rsidRPr="00DF5198">
        <w:rPr>
          <w:rFonts w:ascii="Arial" w:hAnsi="Arial" w:cs="Arial"/>
          <w:sz w:val="24"/>
          <w:szCs w:val="24"/>
        </w:rPr>
        <w:t xml:space="preserve">, on </w:t>
      </w:r>
      <w:r w:rsidR="00BE25BB" w:rsidRPr="00DF5198">
        <w:rPr>
          <w:rFonts w:ascii="Arial" w:hAnsi="Arial" w:cs="Arial"/>
          <w:sz w:val="24"/>
          <w:szCs w:val="24"/>
        </w:rPr>
        <w:lastRenderedPageBreak/>
        <w:t>the face</w:t>
      </w:r>
      <w:r w:rsidR="00C578B8" w:rsidRPr="00DF5198">
        <w:rPr>
          <w:rFonts w:ascii="Arial" w:hAnsi="Arial" w:cs="Arial"/>
          <w:sz w:val="24"/>
          <w:szCs w:val="24"/>
        </w:rPr>
        <w:t xml:space="preserve"> of it,</w:t>
      </w:r>
      <w:r w:rsidR="00422B5D" w:rsidRPr="00DF5198">
        <w:rPr>
          <w:rFonts w:ascii="Arial" w:hAnsi="Arial" w:cs="Arial"/>
          <w:sz w:val="24"/>
          <w:szCs w:val="24"/>
        </w:rPr>
        <w:t xml:space="preserve"> that the ISA is a </w:t>
      </w:r>
      <w:r w:rsidR="00F541D9" w:rsidRPr="00DF5198">
        <w:rPr>
          <w:rFonts w:ascii="Arial" w:hAnsi="Arial" w:cs="Arial"/>
          <w:sz w:val="24"/>
          <w:szCs w:val="24"/>
        </w:rPr>
        <w:t>‘s</w:t>
      </w:r>
      <w:r w:rsidR="00422B5D" w:rsidRPr="00DF5198">
        <w:rPr>
          <w:rFonts w:ascii="Arial" w:hAnsi="Arial" w:cs="Arial"/>
          <w:sz w:val="24"/>
          <w:szCs w:val="24"/>
        </w:rPr>
        <w:t xml:space="preserve">ubsequent </w:t>
      </w:r>
      <w:r w:rsidR="00F541D9" w:rsidRPr="00DF5198">
        <w:rPr>
          <w:rFonts w:ascii="Arial" w:hAnsi="Arial" w:cs="Arial"/>
          <w:sz w:val="24"/>
          <w:szCs w:val="24"/>
        </w:rPr>
        <w:t>p</w:t>
      </w:r>
      <w:r w:rsidR="00BE25BB" w:rsidRPr="00DF5198">
        <w:rPr>
          <w:rFonts w:ascii="Arial" w:hAnsi="Arial" w:cs="Arial"/>
          <w:sz w:val="24"/>
          <w:szCs w:val="24"/>
        </w:rPr>
        <w:t xml:space="preserve">articipating </w:t>
      </w:r>
      <w:r w:rsidR="00F541D9" w:rsidRPr="00DF5198">
        <w:rPr>
          <w:rFonts w:ascii="Arial" w:hAnsi="Arial" w:cs="Arial"/>
          <w:sz w:val="24"/>
          <w:szCs w:val="24"/>
        </w:rPr>
        <w:t>a</w:t>
      </w:r>
      <w:r w:rsidR="00BE25BB" w:rsidRPr="00DF5198">
        <w:rPr>
          <w:rFonts w:ascii="Arial" w:hAnsi="Arial" w:cs="Arial"/>
          <w:sz w:val="24"/>
          <w:szCs w:val="24"/>
        </w:rPr>
        <w:t xml:space="preserve">sset’ </w:t>
      </w:r>
      <w:r w:rsidR="00C578B8" w:rsidRPr="00DF5198">
        <w:rPr>
          <w:rFonts w:ascii="Arial" w:hAnsi="Arial" w:cs="Arial"/>
          <w:sz w:val="24"/>
          <w:szCs w:val="24"/>
        </w:rPr>
        <w:t xml:space="preserve">and that </w:t>
      </w:r>
      <w:r w:rsidR="00EA66A9" w:rsidRPr="00DF5198">
        <w:rPr>
          <w:rFonts w:ascii="Arial" w:hAnsi="Arial" w:cs="Arial"/>
          <w:sz w:val="24"/>
          <w:szCs w:val="24"/>
        </w:rPr>
        <w:t xml:space="preserve">certain conditions had to be fulfilled </w:t>
      </w:r>
      <w:r w:rsidR="00001AEC" w:rsidRPr="00DF5198">
        <w:rPr>
          <w:rFonts w:ascii="Arial" w:hAnsi="Arial" w:cs="Arial"/>
          <w:sz w:val="24"/>
          <w:szCs w:val="24"/>
        </w:rPr>
        <w:t xml:space="preserve">before </w:t>
      </w:r>
      <w:r w:rsidR="00255CCB" w:rsidRPr="00DF5198">
        <w:rPr>
          <w:rFonts w:ascii="Arial" w:hAnsi="Arial" w:cs="Arial"/>
          <w:sz w:val="24"/>
          <w:szCs w:val="24"/>
        </w:rPr>
        <w:t xml:space="preserve">the applicant could </w:t>
      </w:r>
      <w:r w:rsidR="00887050" w:rsidRPr="00DF5198">
        <w:rPr>
          <w:rFonts w:ascii="Arial" w:hAnsi="Arial" w:cs="Arial"/>
          <w:sz w:val="24"/>
          <w:szCs w:val="24"/>
        </w:rPr>
        <w:t xml:space="preserve">purchase </w:t>
      </w:r>
      <w:r w:rsidR="00725D28" w:rsidRPr="00DF5198">
        <w:rPr>
          <w:rFonts w:ascii="Arial" w:hAnsi="Arial" w:cs="Arial"/>
          <w:sz w:val="24"/>
          <w:szCs w:val="24"/>
        </w:rPr>
        <w:t xml:space="preserve">and accept transfer of the </w:t>
      </w:r>
      <w:r w:rsidR="00887050" w:rsidRPr="00DF5198">
        <w:rPr>
          <w:rFonts w:ascii="Arial" w:hAnsi="Arial" w:cs="Arial"/>
          <w:sz w:val="24"/>
          <w:szCs w:val="24"/>
        </w:rPr>
        <w:t>VFS’s rights and duties</w:t>
      </w:r>
      <w:r w:rsidR="00725D28" w:rsidRPr="00DF5198">
        <w:rPr>
          <w:rFonts w:ascii="Arial" w:hAnsi="Arial" w:cs="Arial"/>
          <w:sz w:val="24"/>
          <w:szCs w:val="24"/>
        </w:rPr>
        <w:t xml:space="preserve">. </w:t>
      </w:r>
    </w:p>
    <w:p w14:paraId="33CC33CF" w14:textId="77777777" w:rsidR="00904849" w:rsidRDefault="00904849" w:rsidP="0090484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83ABFE0" w14:textId="4790E5E2" w:rsidR="00904849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[36]</w:t>
      </w:r>
      <w:r>
        <w:rPr>
          <w:rFonts w:ascii="Arial" w:hAnsi="Arial" w:cs="Arial"/>
          <w:sz w:val="24"/>
          <w:szCs w:val="24"/>
        </w:rPr>
        <w:tab/>
      </w:r>
      <w:r w:rsidR="00D91924" w:rsidRPr="00DF5198">
        <w:rPr>
          <w:rFonts w:ascii="Arial" w:hAnsi="Arial" w:cs="Arial"/>
          <w:sz w:val="24"/>
          <w:szCs w:val="24"/>
        </w:rPr>
        <w:t xml:space="preserve">The provisions of rule 32(4) make it clear that the </w:t>
      </w:r>
      <w:r w:rsidR="00A62174" w:rsidRPr="00DF5198">
        <w:rPr>
          <w:rFonts w:ascii="Arial" w:hAnsi="Arial" w:cs="Arial"/>
          <w:sz w:val="24"/>
          <w:szCs w:val="24"/>
        </w:rPr>
        <w:t xml:space="preserve">only evidence that the </w:t>
      </w:r>
      <w:r w:rsidR="00D91924" w:rsidRPr="00DF5198">
        <w:rPr>
          <w:rFonts w:ascii="Arial" w:hAnsi="Arial" w:cs="Arial"/>
          <w:sz w:val="24"/>
          <w:szCs w:val="24"/>
        </w:rPr>
        <w:t>applicant</w:t>
      </w:r>
      <w:r w:rsidR="00586EAE" w:rsidRPr="00DF5198">
        <w:rPr>
          <w:rFonts w:ascii="Arial" w:hAnsi="Arial" w:cs="Arial"/>
          <w:sz w:val="24"/>
          <w:szCs w:val="24"/>
        </w:rPr>
        <w:t xml:space="preserve"> may present for purposes of its application for summary judgment is </w:t>
      </w:r>
      <w:r w:rsidR="00E4000F" w:rsidRPr="00DF5198">
        <w:rPr>
          <w:rFonts w:ascii="Arial" w:hAnsi="Arial" w:cs="Arial"/>
          <w:sz w:val="24"/>
          <w:szCs w:val="24"/>
        </w:rPr>
        <w:t>its supporting affidavit.</w:t>
      </w:r>
      <w:r w:rsidR="007E3EE7" w:rsidRPr="00DF5198">
        <w:rPr>
          <w:rFonts w:ascii="Arial" w:hAnsi="Arial" w:cs="Arial"/>
          <w:sz w:val="24"/>
          <w:szCs w:val="24"/>
        </w:rPr>
        <w:t xml:space="preserve"> </w:t>
      </w:r>
      <w:r w:rsidR="004B713A" w:rsidRPr="00DF5198">
        <w:rPr>
          <w:rFonts w:ascii="Arial" w:hAnsi="Arial" w:cs="Arial"/>
          <w:sz w:val="24"/>
          <w:szCs w:val="24"/>
        </w:rPr>
        <w:t>A court is required to ignore any additional evidence</w:t>
      </w:r>
      <w:r w:rsidR="0088493D" w:rsidRPr="00DF5198">
        <w:rPr>
          <w:rFonts w:ascii="Arial" w:hAnsi="Arial" w:cs="Arial"/>
          <w:sz w:val="24"/>
          <w:szCs w:val="24"/>
        </w:rPr>
        <w:t>, such as the cession agreement.</w:t>
      </w:r>
      <w:r w:rsidR="00B00D84">
        <w:rPr>
          <w:rStyle w:val="FootnoteReference"/>
          <w:rFonts w:ascii="Arial" w:hAnsi="Arial" w:cs="Arial"/>
          <w:sz w:val="24"/>
          <w:szCs w:val="24"/>
        </w:rPr>
        <w:footnoteReference w:id="24"/>
      </w:r>
      <w:r w:rsidR="00D91924" w:rsidRPr="00DF5198">
        <w:rPr>
          <w:rFonts w:ascii="Arial" w:hAnsi="Arial" w:cs="Arial"/>
          <w:sz w:val="24"/>
          <w:szCs w:val="24"/>
        </w:rPr>
        <w:t xml:space="preserve"> </w:t>
      </w:r>
      <w:r w:rsidR="0078572B" w:rsidRPr="00DF5198">
        <w:rPr>
          <w:rFonts w:ascii="Arial" w:hAnsi="Arial" w:cs="Arial"/>
          <w:sz w:val="24"/>
          <w:szCs w:val="24"/>
        </w:rPr>
        <w:t xml:space="preserve">Here, not only has the </w:t>
      </w:r>
      <w:r w:rsidR="001F32AB" w:rsidRPr="00DF5198">
        <w:rPr>
          <w:rFonts w:ascii="Arial" w:hAnsi="Arial" w:cs="Arial"/>
          <w:sz w:val="24"/>
          <w:szCs w:val="24"/>
        </w:rPr>
        <w:t xml:space="preserve">applicant failed to attach </w:t>
      </w:r>
      <w:r w:rsidR="002D0353" w:rsidRPr="00DF5198">
        <w:rPr>
          <w:rFonts w:ascii="Arial" w:hAnsi="Arial" w:cs="Arial"/>
          <w:sz w:val="24"/>
          <w:szCs w:val="24"/>
        </w:rPr>
        <w:t>the cession agreement to its particulars of claim</w:t>
      </w:r>
      <w:r w:rsidR="006158B0" w:rsidRPr="00DF5198">
        <w:rPr>
          <w:rFonts w:ascii="Arial" w:hAnsi="Arial" w:cs="Arial"/>
          <w:sz w:val="24"/>
          <w:szCs w:val="24"/>
        </w:rPr>
        <w:t xml:space="preserve"> and </w:t>
      </w:r>
      <w:r w:rsidR="002D0353" w:rsidRPr="00DF5198">
        <w:rPr>
          <w:rFonts w:ascii="Arial" w:hAnsi="Arial" w:cs="Arial"/>
          <w:sz w:val="24"/>
          <w:szCs w:val="24"/>
        </w:rPr>
        <w:t xml:space="preserve">to plead </w:t>
      </w:r>
      <w:r w:rsidR="008D5C9B" w:rsidRPr="00DF5198">
        <w:rPr>
          <w:rFonts w:ascii="Arial" w:hAnsi="Arial" w:cs="Arial"/>
          <w:sz w:val="24"/>
          <w:szCs w:val="24"/>
        </w:rPr>
        <w:t>the details thereof</w:t>
      </w:r>
      <w:r w:rsidR="006158B0" w:rsidRPr="00DF5198">
        <w:rPr>
          <w:rFonts w:ascii="Arial" w:hAnsi="Arial" w:cs="Arial"/>
          <w:sz w:val="24"/>
          <w:szCs w:val="24"/>
        </w:rPr>
        <w:t>,</w:t>
      </w:r>
      <w:r w:rsidR="008D5C9B" w:rsidRPr="00DF5198">
        <w:rPr>
          <w:rFonts w:ascii="Arial" w:hAnsi="Arial" w:cs="Arial"/>
          <w:sz w:val="24"/>
          <w:szCs w:val="24"/>
        </w:rPr>
        <w:t xml:space="preserve"> as required by rule 18(6),</w:t>
      </w:r>
      <w:r w:rsidR="006158B0" w:rsidRPr="00DF5198">
        <w:rPr>
          <w:rFonts w:ascii="Arial" w:hAnsi="Arial" w:cs="Arial"/>
          <w:sz w:val="24"/>
          <w:szCs w:val="24"/>
        </w:rPr>
        <w:t xml:space="preserve"> but it has also failed to plead fulfilment of the </w:t>
      </w:r>
      <w:r w:rsidR="00B919AF" w:rsidRPr="00DF5198">
        <w:rPr>
          <w:rFonts w:ascii="Arial" w:hAnsi="Arial" w:cs="Arial"/>
          <w:sz w:val="24"/>
          <w:szCs w:val="24"/>
        </w:rPr>
        <w:t xml:space="preserve">conditions. Such averments constitute </w:t>
      </w:r>
      <w:r w:rsidR="00A71142" w:rsidRPr="00DF5198">
        <w:rPr>
          <w:rFonts w:ascii="Arial" w:hAnsi="Arial" w:cs="Arial"/>
          <w:sz w:val="24"/>
          <w:szCs w:val="24"/>
        </w:rPr>
        <w:t xml:space="preserve">the </w:t>
      </w:r>
      <w:r w:rsidR="00B919AF" w:rsidRPr="00DF5198">
        <w:rPr>
          <w:rFonts w:ascii="Arial" w:hAnsi="Arial" w:cs="Arial"/>
          <w:sz w:val="24"/>
          <w:szCs w:val="24"/>
        </w:rPr>
        <w:t>facts necessary for the applicant to prove</w:t>
      </w:r>
      <w:r w:rsidR="0044272F" w:rsidRPr="00DF5198">
        <w:rPr>
          <w:rFonts w:ascii="Arial" w:hAnsi="Arial" w:cs="Arial"/>
          <w:sz w:val="24"/>
          <w:szCs w:val="24"/>
        </w:rPr>
        <w:t xml:space="preserve"> </w:t>
      </w:r>
      <w:r w:rsidR="00FF5F03" w:rsidRPr="00DF5198">
        <w:rPr>
          <w:rFonts w:ascii="Arial" w:hAnsi="Arial" w:cs="Arial"/>
          <w:sz w:val="24"/>
          <w:szCs w:val="24"/>
        </w:rPr>
        <w:t>be</w:t>
      </w:r>
      <w:r w:rsidR="0044272F" w:rsidRPr="00DF5198">
        <w:rPr>
          <w:rFonts w:ascii="Arial" w:hAnsi="Arial" w:cs="Arial"/>
          <w:sz w:val="24"/>
          <w:szCs w:val="24"/>
        </w:rPr>
        <w:t>for</w:t>
      </w:r>
      <w:r w:rsidR="00FF5F03" w:rsidRPr="00DF5198">
        <w:rPr>
          <w:rFonts w:ascii="Arial" w:hAnsi="Arial" w:cs="Arial"/>
          <w:sz w:val="24"/>
          <w:szCs w:val="24"/>
        </w:rPr>
        <w:t>e</w:t>
      </w:r>
      <w:r w:rsidR="0044272F" w:rsidRPr="00DF5198">
        <w:rPr>
          <w:rFonts w:ascii="Arial" w:hAnsi="Arial" w:cs="Arial"/>
          <w:sz w:val="24"/>
          <w:szCs w:val="24"/>
        </w:rPr>
        <w:t xml:space="preserve"> judgment </w:t>
      </w:r>
      <w:r w:rsidR="00115C8B" w:rsidRPr="00DF5198">
        <w:rPr>
          <w:rFonts w:ascii="Arial" w:hAnsi="Arial" w:cs="Arial"/>
          <w:sz w:val="24"/>
          <w:szCs w:val="24"/>
        </w:rPr>
        <w:t>can</w:t>
      </w:r>
      <w:r w:rsidR="0044272F" w:rsidRPr="00DF5198">
        <w:rPr>
          <w:rFonts w:ascii="Arial" w:hAnsi="Arial" w:cs="Arial"/>
          <w:sz w:val="24"/>
          <w:szCs w:val="24"/>
        </w:rPr>
        <w:t xml:space="preserve"> be granted in its favour. They constitute </w:t>
      </w:r>
      <w:r w:rsidR="008A6CF6" w:rsidRPr="00DF5198">
        <w:rPr>
          <w:rFonts w:ascii="Arial" w:hAnsi="Arial" w:cs="Arial"/>
          <w:sz w:val="24"/>
          <w:szCs w:val="24"/>
        </w:rPr>
        <w:t xml:space="preserve">an integral </w:t>
      </w:r>
      <w:r w:rsidR="003E2A2A" w:rsidRPr="00DF5198">
        <w:rPr>
          <w:rFonts w:ascii="Arial" w:hAnsi="Arial" w:cs="Arial"/>
          <w:sz w:val="24"/>
          <w:szCs w:val="24"/>
        </w:rPr>
        <w:t>component</w:t>
      </w:r>
      <w:r w:rsidR="0044272F" w:rsidRPr="00DF5198">
        <w:rPr>
          <w:rFonts w:ascii="Arial" w:hAnsi="Arial" w:cs="Arial"/>
          <w:sz w:val="24"/>
          <w:szCs w:val="24"/>
        </w:rPr>
        <w:t xml:space="preserve"> of the applicant’s cause of action.</w:t>
      </w:r>
    </w:p>
    <w:p w14:paraId="10DFC0BB" w14:textId="77777777" w:rsidR="00904849" w:rsidRPr="00904849" w:rsidRDefault="00904849" w:rsidP="00904849">
      <w:pPr>
        <w:pStyle w:val="ListParagraph"/>
        <w:rPr>
          <w:rFonts w:ascii="Arial" w:hAnsi="Arial" w:cs="Arial"/>
          <w:sz w:val="24"/>
          <w:szCs w:val="24"/>
        </w:rPr>
      </w:pPr>
    </w:p>
    <w:p w14:paraId="291407F2" w14:textId="4A5C8A0B" w:rsidR="00273922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849">
        <w:rPr>
          <w:rFonts w:ascii="Arial" w:hAnsi="Arial" w:cs="Arial"/>
          <w:sz w:val="24"/>
          <w:szCs w:val="24"/>
        </w:rPr>
        <w:t>[37]</w:t>
      </w:r>
      <w:r w:rsidRPr="00904849">
        <w:rPr>
          <w:rFonts w:ascii="Arial" w:hAnsi="Arial" w:cs="Arial"/>
          <w:sz w:val="24"/>
          <w:szCs w:val="24"/>
        </w:rPr>
        <w:tab/>
      </w:r>
      <w:r w:rsidR="002F6032" w:rsidRPr="00DF5198">
        <w:rPr>
          <w:rFonts w:ascii="Arial" w:hAnsi="Arial" w:cs="Arial"/>
          <w:sz w:val="24"/>
          <w:szCs w:val="24"/>
        </w:rPr>
        <w:t xml:space="preserve">The courts have previously held that where </w:t>
      </w:r>
      <w:r w:rsidR="000820F5" w:rsidRPr="00DF5198">
        <w:rPr>
          <w:rFonts w:ascii="Arial" w:hAnsi="Arial" w:cs="Arial"/>
          <w:sz w:val="24"/>
          <w:szCs w:val="24"/>
        </w:rPr>
        <w:t xml:space="preserve">a plaintiff fails to verify his or her cause </w:t>
      </w:r>
      <w:r w:rsidR="00C05095" w:rsidRPr="00DF5198">
        <w:rPr>
          <w:rFonts w:ascii="Arial" w:hAnsi="Arial" w:cs="Arial"/>
          <w:sz w:val="24"/>
          <w:szCs w:val="24"/>
        </w:rPr>
        <w:t>o</w:t>
      </w:r>
      <w:r w:rsidR="000820F5" w:rsidRPr="00DF5198">
        <w:rPr>
          <w:rFonts w:ascii="Arial" w:hAnsi="Arial" w:cs="Arial"/>
          <w:sz w:val="24"/>
          <w:szCs w:val="24"/>
        </w:rPr>
        <w:t>f action</w:t>
      </w:r>
      <w:r w:rsidR="00C05095" w:rsidRPr="00DF5198">
        <w:rPr>
          <w:rFonts w:ascii="Arial" w:hAnsi="Arial" w:cs="Arial"/>
          <w:sz w:val="24"/>
          <w:szCs w:val="24"/>
        </w:rPr>
        <w:t xml:space="preserve"> with clarity and exactitude, </w:t>
      </w:r>
      <w:r w:rsidR="000A1478" w:rsidRPr="00DF5198">
        <w:rPr>
          <w:rFonts w:ascii="Arial" w:hAnsi="Arial" w:cs="Arial"/>
          <w:sz w:val="24"/>
          <w:szCs w:val="24"/>
        </w:rPr>
        <w:t xml:space="preserve">it is defective and </w:t>
      </w:r>
      <w:r w:rsidR="00423CAD" w:rsidRPr="00DF5198">
        <w:rPr>
          <w:rFonts w:ascii="Arial" w:hAnsi="Arial" w:cs="Arial"/>
          <w:sz w:val="24"/>
          <w:szCs w:val="24"/>
        </w:rPr>
        <w:t>his or her claim must fail.</w:t>
      </w:r>
      <w:r w:rsidR="00423CAD">
        <w:rPr>
          <w:rStyle w:val="FootnoteReference"/>
          <w:rFonts w:ascii="Arial" w:hAnsi="Arial" w:cs="Arial"/>
          <w:sz w:val="24"/>
          <w:szCs w:val="24"/>
        </w:rPr>
        <w:footnoteReference w:id="25"/>
      </w:r>
      <w:r w:rsidR="0021735F" w:rsidRPr="00DF5198">
        <w:rPr>
          <w:rFonts w:ascii="Arial" w:hAnsi="Arial" w:cs="Arial"/>
          <w:sz w:val="24"/>
          <w:szCs w:val="24"/>
        </w:rPr>
        <w:t xml:space="preserve"> </w:t>
      </w:r>
      <w:r w:rsidR="003D2FF0" w:rsidRPr="00DF5198">
        <w:rPr>
          <w:rFonts w:ascii="Arial" w:hAnsi="Arial" w:cs="Arial"/>
          <w:sz w:val="24"/>
          <w:szCs w:val="24"/>
        </w:rPr>
        <w:t xml:space="preserve">In the present matter, </w:t>
      </w:r>
      <w:r w:rsidR="007A1E03" w:rsidRPr="00DF5198">
        <w:rPr>
          <w:rFonts w:ascii="Arial" w:hAnsi="Arial" w:cs="Arial"/>
          <w:sz w:val="24"/>
          <w:szCs w:val="24"/>
        </w:rPr>
        <w:t xml:space="preserve">the respondent has argued that </w:t>
      </w:r>
      <w:r w:rsidR="004D72CD" w:rsidRPr="00DF5198">
        <w:rPr>
          <w:rFonts w:ascii="Arial" w:hAnsi="Arial" w:cs="Arial"/>
          <w:sz w:val="24"/>
          <w:szCs w:val="24"/>
        </w:rPr>
        <w:t xml:space="preserve">the applicant’s </w:t>
      </w:r>
      <w:r w:rsidR="00BB2437" w:rsidRPr="00DF5198">
        <w:rPr>
          <w:rFonts w:ascii="Arial" w:hAnsi="Arial" w:cs="Arial"/>
          <w:sz w:val="24"/>
          <w:szCs w:val="24"/>
        </w:rPr>
        <w:t xml:space="preserve">particulars of claim are </w:t>
      </w:r>
      <w:proofErr w:type="spellStart"/>
      <w:r w:rsidR="00BB2437" w:rsidRPr="00DF5198">
        <w:rPr>
          <w:rFonts w:ascii="Arial" w:hAnsi="Arial" w:cs="Arial"/>
          <w:sz w:val="24"/>
          <w:szCs w:val="24"/>
        </w:rPr>
        <w:t>excipiable</w:t>
      </w:r>
      <w:proofErr w:type="spellEnd"/>
      <w:r w:rsidR="00BB2437" w:rsidRPr="00DF5198">
        <w:rPr>
          <w:rFonts w:ascii="Arial" w:hAnsi="Arial" w:cs="Arial"/>
          <w:sz w:val="24"/>
          <w:szCs w:val="24"/>
        </w:rPr>
        <w:t>.</w:t>
      </w:r>
      <w:r w:rsidR="00BE5BCA" w:rsidRPr="00DF5198">
        <w:rPr>
          <w:rFonts w:ascii="Arial" w:hAnsi="Arial" w:cs="Arial"/>
          <w:sz w:val="24"/>
          <w:szCs w:val="24"/>
        </w:rPr>
        <w:t xml:space="preserve"> </w:t>
      </w:r>
      <w:r w:rsidR="006709E2" w:rsidRPr="00DF5198">
        <w:rPr>
          <w:rFonts w:ascii="Arial" w:hAnsi="Arial" w:cs="Arial"/>
          <w:sz w:val="24"/>
          <w:szCs w:val="24"/>
        </w:rPr>
        <w:t>The court is inclined to agree.</w:t>
      </w:r>
      <w:r w:rsidR="00126F77" w:rsidRPr="00DF5198">
        <w:rPr>
          <w:rFonts w:ascii="Arial" w:hAnsi="Arial" w:cs="Arial"/>
          <w:sz w:val="24"/>
          <w:szCs w:val="24"/>
        </w:rPr>
        <w:t xml:space="preserve"> </w:t>
      </w:r>
      <w:r w:rsidR="009E4C6D" w:rsidRPr="00DF5198">
        <w:rPr>
          <w:rFonts w:ascii="Arial" w:hAnsi="Arial" w:cs="Arial"/>
          <w:sz w:val="24"/>
          <w:szCs w:val="24"/>
        </w:rPr>
        <w:t>The shortcomings in the applicant’s claim</w:t>
      </w:r>
      <w:r w:rsidR="00476564" w:rsidRPr="00DF5198">
        <w:rPr>
          <w:rFonts w:ascii="Arial" w:hAnsi="Arial" w:cs="Arial"/>
          <w:sz w:val="24"/>
          <w:szCs w:val="24"/>
        </w:rPr>
        <w:t xml:space="preserve">, as identified by the respondent, </w:t>
      </w:r>
      <w:r w:rsidR="00CE2855" w:rsidRPr="00DF5198">
        <w:rPr>
          <w:rFonts w:ascii="Arial" w:hAnsi="Arial" w:cs="Arial"/>
          <w:sz w:val="24"/>
          <w:szCs w:val="24"/>
        </w:rPr>
        <w:t xml:space="preserve">give rise to the question of whether the applicant has the necessary </w:t>
      </w:r>
      <w:r w:rsidR="00CE2855" w:rsidRPr="00DF5198">
        <w:rPr>
          <w:rFonts w:ascii="Arial" w:hAnsi="Arial" w:cs="Arial"/>
          <w:i/>
          <w:iCs/>
          <w:sz w:val="24"/>
          <w:szCs w:val="24"/>
        </w:rPr>
        <w:t>locus standi</w:t>
      </w:r>
      <w:r w:rsidR="00CE2855" w:rsidRPr="00DF5198">
        <w:rPr>
          <w:rFonts w:ascii="Arial" w:hAnsi="Arial" w:cs="Arial"/>
          <w:sz w:val="24"/>
          <w:szCs w:val="24"/>
        </w:rPr>
        <w:t xml:space="preserve"> to pursue the claim set out in its particulars. This is a triable issue</w:t>
      </w:r>
      <w:r w:rsidR="008D16B3" w:rsidRPr="00DF5198">
        <w:rPr>
          <w:rFonts w:ascii="Arial" w:hAnsi="Arial" w:cs="Arial"/>
          <w:sz w:val="24"/>
          <w:szCs w:val="24"/>
        </w:rPr>
        <w:t>.</w:t>
      </w:r>
    </w:p>
    <w:p w14:paraId="5625BD3F" w14:textId="77777777" w:rsidR="008D16B3" w:rsidRDefault="008D16B3" w:rsidP="00426C46">
      <w:pPr>
        <w:spacing w:line="360" w:lineRule="auto"/>
        <w:rPr>
          <w:rFonts w:ascii="Arial" w:hAnsi="Arial" w:cs="Arial"/>
          <w:sz w:val="24"/>
          <w:szCs w:val="24"/>
        </w:rPr>
      </w:pPr>
    </w:p>
    <w:p w14:paraId="44149BFE" w14:textId="7F096D16" w:rsidR="008D16B3" w:rsidRPr="008D16B3" w:rsidRDefault="008D16B3" w:rsidP="00904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16B3">
        <w:rPr>
          <w:rFonts w:ascii="Arial" w:hAnsi="Arial" w:cs="Arial"/>
          <w:b/>
          <w:bCs/>
          <w:sz w:val="24"/>
          <w:szCs w:val="24"/>
        </w:rPr>
        <w:t>Relief and order</w:t>
      </w:r>
    </w:p>
    <w:p w14:paraId="6318F60C" w14:textId="77777777" w:rsidR="008D16B3" w:rsidRDefault="008D16B3" w:rsidP="00426C46">
      <w:pPr>
        <w:spacing w:line="360" w:lineRule="auto"/>
        <w:rPr>
          <w:rFonts w:ascii="Arial" w:hAnsi="Arial" w:cs="Arial"/>
          <w:sz w:val="24"/>
          <w:szCs w:val="24"/>
        </w:rPr>
      </w:pPr>
    </w:p>
    <w:p w14:paraId="2166F608" w14:textId="4F47B7CA" w:rsidR="00A40C9F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[38]</w:t>
      </w:r>
      <w:r>
        <w:rPr>
          <w:rFonts w:ascii="Arial" w:hAnsi="Arial" w:cs="Arial"/>
          <w:sz w:val="24"/>
          <w:szCs w:val="24"/>
        </w:rPr>
        <w:tab/>
      </w:r>
      <w:r w:rsidR="008D16B3" w:rsidRPr="00DF5198">
        <w:rPr>
          <w:rFonts w:ascii="Arial" w:hAnsi="Arial" w:cs="Arial"/>
          <w:sz w:val="24"/>
          <w:szCs w:val="24"/>
        </w:rPr>
        <w:t xml:space="preserve">The court is satisfied that </w:t>
      </w:r>
      <w:r w:rsidR="00E8715F" w:rsidRPr="00DF5198">
        <w:rPr>
          <w:rFonts w:ascii="Arial" w:hAnsi="Arial" w:cs="Arial"/>
          <w:sz w:val="24"/>
          <w:szCs w:val="24"/>
        </w:rPr>
        <w:t xml:space="preserve">the applicant’s failure to have </w:t>
      </w:r>
      <w:r w:rsidR="00A67D3A" w:rsidRPr="00DF5198">
        <w:rPr>
          <w:rFonts w:ascii="Arial" w:hAnsi="Arial" w:cs="Arial"/>
          <w:sz w:val="24"/>
          <w:szCs w:val="24"/>
        </w:rPr>
        <w:t xml:space="preserve">attached the cession agreement to its particulars of claim and its failure to have </w:t>
      </w:r>
      <w:r w:rsidR="00E8715F" w:rsidRPr="00DF5198">
        <w:rPr>
          <w:rFonts w:ascii="Arial" w:hAnsi="Arial" w:cs="Arial"/>
          <w:sz w:val="24"/>
          <w:szCs w:val="24"/>
        </w:rPr>
        <w:t xml:space="preserve">pleaded </w:t>
      </w:r>
      <w:r w:rsidR="00A67D3A" w:rsidRPr="00DF5198">
        <w:rPr>
          <w:rFonts w:ascii="Arial" w:hAnsi="Arial" w:cs="Arial"/>
          <w:sz w:val="24"/>
          <w:szCs w:val="24"/>
        </w:rPr>
        <w:t xml:space="preserve">the details thereof, as well the fulfilment of the relevant conditions, </w:t>
      </w:r>
      <w:r w:rsidR="00ED64BE" w:rsidRPr="00DF5198">
        <w:rPr>
          <w:rFonts w:ascii="Arial" w:hAnsi="Arial" w:cs="Arial"/>
          <w:sz w:val="24"/>
          <w:szCs w:val="24"/>
        </w:rPr>
        <w:t xml:space="preserve">amounts to fatal non-compliance with the provisions of rule 18(6) </w:t>
      </w:r>
      <w:r w:rsidR="004050BC" w:rsidRPr="00DF5198">
        <w:rPr>
          <w:rFonts w:ascii="Arial" w:hAnsi="Arial" w:cs="Arial"/>
          <w:sz w:val="24"/>
          <w:szCs w:val="24"/>
        </w:rPr>
        <w:t xml:space="preserve">and renders its particulars </w:t>
      </w:r>
      <w:proofErr w:type="spellStart"/>
      <w:r w:rsidR="004050BC" w:rsidRPr="00DF5198">
        <w:rPr>
          <w:rFonts w:ascii="Arial" w:hAnsi="Arial" w:cs="Arial"/>
          <w:sz w:val="24"/>
          <w:szCs w:val="24"/>
        </w:rPr>
        <w:t>excipiable</w:t>
      </w:r>
      <w:proofErr w:type="spellEnd"/>
      <w:r w:rsidR="004050BC" w:rsidRPr="00DF5198">
        <w:rPr>
          <w:rFonts w:ascii="Arial" w:hAnsi="Arial" w:cs="Arial"/>
          <w:sz w:val="24"/>
          <w:szCs w:val="24"/>
        </w:rPr>
        <w:t xml:space="preserve">. </w:t>
      </w:r>
      <w:r w:rsidR="00133EBA" w:rsidRPr="00DF5198">
        <w:rPr>
          <w:rFonts w:ascii="Arial" w:hAnsi="Arial" w:cs="Arial"/>
          <w:sz w:val="24"/>
          <w:szCs w:val="24"/>
        </w:rPr>
        <w:t>It cannot be said that t</w:t>
      </w:r>
      <w:r w:rsidR="004050BC" w:rsidRPr="00DF5198">
        <w:rPr>
          <w:rFonts w:ascii="Arial" w:hAnsi="Arial" w:cs="Arial"/>
          <w:sz w:val="24"/>
          <w:szCs w:val="24"/>
        </w:rPr>
        <w:t xml:space="preserve">he applicant </w:t>
      </w:r>
      <w:r w:rsidR="00133EBA" w:rsidRPr="00DF5198">
        <w:rPr>
          <w:rFonts w:ascii="Arial" w:hAnsi="Arial" w:cs="Arial"/>
          <w:sz w:val="24"/>
          <w:szCs w:val="24"/>
        </w:rPr>
        <w:t xml:space="preserve">has </w:t>
      </w:r>
      <w:r w:rsidR="000A7D55" w:rsidRPr="00DF5198">
        <w:rPr>
          <w:rFonts w:ascii="Arial" w:hAnsi="Arial" w:cs="Arial"/>
          <w:sz w:val="24"/>
          <w:szCs w:val="24"/>
        </w:rPr>
        <w:t>an unanswerable case</w:t>
      </w:r>
      <w:r w:rsidR="00DE2963" w:rsidRPr="00DF5198">
        <w:rPr>
          <w:rFonts w:ascii="Arial" w:hAnsi="Arial" w:cs="Arial"/>
          <w:sz w:val="24"/>
          <w:szCs w:val="24"/>
        </w:rPr>
        <w:t>.</w:t>
      </w:r>
    </w:p>
    <w:p w14:paraId="445E44FE" w14:textId="0944989D" w:rsidR="00A40C9F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[39]</w:t>
      </w:r>
      <w:r>
        <w:rPr>
          <w:rFonts w:ascii="Arial" w:hAnsi="Arial" w:cs="Arial"/>
          <w:sz w:val="24"/>
          <w:szCs w:val="24"/>
        </w:rPr>
        <w:tab/>
      </w:r>
      <w:r w:rsidR="00DE2963" w:rsidRPr="00DF5198">
        <w:rPr>
          <w:rFonts w:ascii="Arial" w:hAnsi="Arial" w:cs="Arial"/>
          <w:sz w:val="24"/>
          <w:szCs w:val="24"/>
        </w:rPr>
        <w:t xml:space="preserve">Consequently, the court is satisfied that the respondent has a </w:t>
      </w:r>
      <w:r w:rsidR="00DE2963" w:rsidRPr="00DF5198">
        <w:rPr>
          <w:rFonts w:ascii="Arial" w:hAnsi="Arial" w:cs="Arial"/>
          <w:i/>
          <w:iCs/>
          <w:sz w:val="24"/>
          <w:szCs w:val="24"/>
        </w:rPr>
        <w:t>bona fide</w:t>
      </w:r>
      <w:r w:rsidR="00DE2963" w:rsidRPr="00DF5198">
        <w:rPr>
          <w:rFonts w:ascii="Arial" w:hAnsi="Arial" w:cs="Arial"/>
          <w:sz w:val="24"/>
          <w:szCs w:val="24"/>
        </w:rPr>
        <w:t xml:space="preserve"> defence.</w:t>
      </w:r>
      <w:r w:rsidR="00CA5DB8" w:rsidRPr="00DF5198">
        <w:rPr>
          <w:rFonts w:ascii="Arial" w:hAnsi="Arial" w:cs="Arial"/>
          <w:sz w:val="24"/>
          <w:szCs w:val="24"/>
        </w:rPr>
        <w:t xml:space="preserve"> The court cannot grant judgment in favour of the applicant when there is doubt about its </w:t>
      </w:r>
      <w:r w:rsidR="00CA5DB8" w:rsidRPr="00DF5198">
        <w:rPr>
          <w:rFonts w:ascii="Arial" w:hAnsi="Arial" w:cs="Arial"/>
          <w:i/>
          <w:iCs/>
          <w:sz w:val="24"/>
          <w:szCs w:val="24"/>
        </w:rPr>
        <w:t>locus standi</w:t>
      </w:r>
      <w:r w:rsidR="0093228E" w:rsidRPr="00DF5198">
        <w:rPr>
          <w:rFonts w:ascii="Arial" w:hAnsi="Arial" w:cs="Arial"/>
          <w:sz w:val="24"/>
          <w:szCs w:val="24"/>
        </w:rPr>
        <w:t xml:space="preserve">. </w:t>
      </w:r>
      <w:r w:rsidR="00FD0B50" w:rsidRPr="00DF5198">
        <w:rPr>
          <w:rFonts w:ascii="Arial" w:hAnsi="Arial" w:cs="Arial"/>
          <w:sz w:val="24"/>
          <w:szCs w:val="24"/>
        </w:rPr>
        <w:t>The</w:t>
      </w:r>
      <w:r w:rsidR="0093228E" w:rsidRPr="00DF5198">
        <w:rPr>
          <w:rFonts w:ascii="Arial" w:hAnsi="Arial" w:cs="Arial"/>
          <w:sz w:val="24"/>
          <w:szCs w:val="24"/>
        </w:rPr>
        <w:t xml:space="preserve"> application must be refused.</w:t>
      </w:r>
    </w:p>
    <w:p w14:paraId="0BDA235A" w14:textId="77777777" w:rsidR="00A40C9F" w:rsidRDefault="00A40C9F" w:rsidP="00A40C9F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3DE453" w14:textId="2C0374ED" w:rsidR="00A40C9F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[40]</w:t>
      </w:r>
      <w:r>
        <w:rPr>
          <w:rFonts w:ascii="Arial" w:hAnsi="Arial" w:cs="Arial"/>
          <w:sz w:val="24"/>
          <w:szCs w:val="24"/>
        </w:rPr>
        <w:tab/>
      </w:r>
      <w:r w:rsidR="0093228E" w:rsidRPr="00DF5198">
        <w:rPr>
          <w:rFonts w:ascii="Arial" w:hAnsi="Arial" w:cs="Arial"/>
          <w:sz w:val="24"/>
          <w:szCs w:val="24"/>
        </w:rPr>
        <w:t xml:space="preserve">The </w:t>
      </w:r>
      <w:r w:rsidR="008D1F23" w:rsidRPr="00DF5198">
        <w:rPr>
          <w:rFonts w:ascii="Arial" w:hAnsi="Arial" w:cs="Arial"/>
          <w:sz w:val="24"/>
          <w:szCs w:val="24"/>
        </w:rPr>
        <w:t xml:space="preserve">costs must still be decided. If the </w:t>
      </w:r>
      <w:r w:rsidR="00BC3462" w:rsidRPr="00DF5198">
        <w:rPr>
          <w:rFonts w:ascii="Arial" w:hAnsi="Arial" w:cs="Arial"/>
          <w:sz w:val="24"/>
          <w:szCs w:val="24"/>
        </w:rPr>
        <w:t xml:space="preserve">court was not prepared to grant the application, </w:t>
      </w:r>
      <w:r w:rsidR="00954289" w:rsidRPr="00DF5198">
        <w:rPr>
          <w:rFonts w:ascii="Arial" w:hAnsi="Arial" w:cs="Arial"/>
          <w:sz w:val="24"/>
          <w:szCs w:val="24"/>
        </w:rPr>
        <w:t>then the applicant argued that costs should be made in the cause.</w:t>
      </w:r>
      <w:r w:rsidR="003356AD" w:rsidRPr="00DF5198">
        <w:rPr>
          <w:rFonts w:ascii="Arial" w:hAnsi="Arial" w:cs="Arial"/>
          <w:sz w:val="24"/>
          <w:szCs w:val="24"/>
        </w:rPr>
        <w:t xml:space="preserve"> This was especially so where </w:t>
      </w:r>
      <w:r w:rsidR="00AB5858" w:rsidRPr="00DF5198">
        <w:rPr>
          <w:rFonts w:ascii="Arial" w:hAnsi="Arial" w:cs="Arial"/>
          <w:sz w:val="24"/>
          <w:szCs w:val="24"/>
        </w:rPr>
        <w:t>the procedure did not allow for a reply.</w:t>
      </w:r>
      <w:r w:rsidR="00954289" w:rsidRPr="00DF5198">
        <w:rPr>
          <w:rFonts w:ascii="Arial" w:hAnsi="Arial" w:cs="Arial"/>
          <w:sz w:val="24"/>
          <w:szCs w:val="24"/>
        </w:rPr>
        <w:t xml:space="preserve"> The respondent, in contrast, argued that</w:t>
      </w:r>
      <w:r w:rsidR="00AB5858" w:rsidRPr="00DF5198">
        <w:rPr>
          <w:rFonts w:ascii="Arial" w:hAnsi="Arial" w:cs="Arial"/>
          <w:sz w:val="24"/>
          <w:szCs w:val="24"/>
        </w:rPr>
        <w:t xml:space="preserve"> it was entitled to its costs </w:t>
      </w:r>
      <w:r w:rsidR="003356AD" w:rsidRPr="00DF5198">
        <w:rPr>
          <w:rFonts w:ascii="Arial" w:hAnsi="Arial" w:cs="Arial"/>
          <w:sz w:val="24"/>
          <w:szCs w:val="24"/>
        </w:rPr>
        <w:t xml:space="preserve">by reason of the applicant’s </w:t>
      </w:r>
      <w:r w:rsidR="00186DED" w:rsidRPr="00DF5198">
        <w:rPr>
          <w:rFonts w:ascii="Arial" w:hAnsi="Arial" w:cs="Arial"/>
          <w:sz w:val="24"/>
          <w:szCs w:val="24"/>
        </w:rPr>
        <w:t xml:space="preserve">disregard for the provisions of rule 18(6) and the </w:t>
      </w:r>
      <w:r w:rsidR="008E11F6" w:rsidRPr="00DF5198">
        <w:rPr>
          <w:rFonts w:ascii="Arial" w:hAnsi="Arial" w:cs="Arial"/>
          <w:sz w:val="24"/>
          <w:szCs w:val="24"/>
        </w:rPr>
        <w:t>irregular nature of the application.</w:t>
      </w:r>
    </w:p>
    <w:p w14:paraId="606D026B" w14:textId="77777777" w:rsidR="00A40C9F" w:rsidRPr="00A40C9F" w:rsidRDefault="00A40C9F" w:rsidP="00A40C9F">
      <w:pPr>
        <w:pStyle w:val="ListParagraph"/>
        <w:rPr>
          <w:rFonts w:ascii="Arial" w:hAnsi="Arial" w:cs="Arial"/>
          <w:sz w:val="24"/>
          <w:szCs w:val="24"/>
        </w:rPr>
      </w:pPr>
    </w:p>
    <w:p w14:paraId="2FBDBB4B" w14:textId="3E262B0B" w:rsidR="00A40C9F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[41]</w:t>
      </w:r>
      <w:r>
        <w:rPr>
          <w:rFonts w:ascii="Arial" w:hAnsi="Arial" w:cs="Arial"/>
          <w:sz w:val="24"/>
          <w:szCs w:val="24"/>
        </w:rPr>
        <w:tab/>
      </w:r>
      <w:r w:rsidR="00C179B6" w:rsidRPr="00DF5198">
        <w:rPr>
          <w:rFonts w:ascii="Arial" w:hAnsi="Arial" w:cs="Arial"/>
          <w:sz w:val="24"/>
          <w:szCs w:val="24"/>
        </w:rPr>
        <w:t>T</w:t>
      </w:r>
      <w:r w:rsidR="005436EA" w:rsidRPr="00DF5198">
        <w:rPr>
          <w:rFonts w:ascii="Arial" w:hAnsi="Arial" w:cs="Arial"/>
          <w:sz w:val="24"/>
          <w:szCs w:val="24"/>
        </w:rPr>
        <w:t xml:space="preserve">he court </w:t>
      </w:r>
      <w:r w:rsidR="00C179B6" w:rsidRPr="00DF5198">
        <w:rPr>
          <w:rFonts w:ascii="Arial" w:hAnsi="Arial" w:cs="Arial"/>
          <w:sz w:val="24"/>
          <w:szCs w:val="24"/>
        </w:rPr>
        <w:t xml:space="preserve">is of the view </w:t>
      </w:r>
      <w:r w:rsidR="005436EA" w:rsidRPr="00DF5198">
        <w:rPr>
          <w:rFonts w:ascii="Arial" w:hAnsi="Arial" w:cs="Arial"/>
          <w:sz w:val="24"/>
          <w:szCs w:val="24"/>
        </w:rPr>
        <w:t xml:space="preserve">that there is merit in the respondent’s argument. </w:t>
      </w:r>
      <w:r w:rsidR="00E91544" w:rsidRPr="00DF5198">
        <w:rPr>
          <w:rFonts w:ascii="Arial" w:hAnsi="Arial" w:cs="Arial"/>
          <w:sz w:val="24"/>
          <w:szCs w:val="24"/>
        </w:rPr>
        <w:t>Considering</w:t>
      </w:r>
      <w:r w:rsidR="00C179B6" w:rsidRPr="00DF5198">
        <w:rPr>
          <w:rFonts w:ascii="Arial" w:hAnsi="Arial" w:cs="Arial"/>
          <w:sz w:val="24"/>
          <w:szCs w:val="24"/>
        </w:rPr>
        <w:t xml:space="preserve"> the </w:t>
      </w:r>
      <w:r w:rsidR="00D224CE" w:rsidRPr="00DF5198">
        <w:rPr>
          <w:rFonts w:ascii="Arial" w:hAnsi="Arial" w:cs="Arial"/>
          <w:sz w:val="24"/>
          <w:szCs w:val="24"/>
        </w:rPr>
        <w:t xml:space="preserve">shortcomings in the </w:t>
      </w:r>
      <w:r w:rsidR="00B4151C" w:rsidRPr="00DF5198">
        <w:rPr>
          <w:rFonts w:ascii="Arial" w:hAnsi="Arial" w:cs="Arial"/>
          <w:sz w:val="24"/>
          <w:szCs w:val="24"/>
        </w:rPr>
        <w:t>applicant</w:t>
      </w:r>
      <w:r w:rsidR="00C179B6" w:rsidRPr="00DF5198">
        <w:rPr>
          <w:rFonts w:ascii="Arial" w:hAnsi="Arial" w:cs="Arial"/>
          <w:sz w:val="24"/>
          <w:szCs w:val="24"/>
        </w:rPr>
        <w:t>’s</w:t>
      </w:r>
      <w:r w:rsidR="00D224CE" w:rsidRPr="00DF5198">
        <w:rPr>
          <w:rFonts w:ascii="Arial" w:hAnsi="Arial" w:cs="Arial"/>
          <w:sz w:val="24"/>
          <w:szCs w:val="24"/>
        </w:rPr>
        <w:t xml:space="preserve"> pleadings, such that it </w:t>
      </w:r>
      <w:r w:rsidR="00B4151C" w:rsidRPr="00DF5198">
        <w:rPr>
          <w:rFonts w:ascii="Arial" w:hAnsi="Arial" w:cs="Arial"/>
          <w:sz w:val="24"/>
          <w:szCs w:val="24"/>
        </w:rPr>
        <w:t>failed to</w:t>
      </w:r>
      <w:r w:rsidR="00D224CE" w:rsidRPr="00DF5198">
        <w:rPr>
          <w:rFonts w:ascii="Arial" w:hAnsi="Arial" w:cs="Arial"/>
          <w:sz w:val="24"/>
          <w:szCs w:val="24"/>
        </w:rPr>
        <w:t xml:space="preserve"> properly disclose a cause of action,</w:t>
      </w:r>
      <w:r w:rsidR="00B4151C" w:rsidRPr="00DF5198">
        <w:rPr>
          <w:rFonts w:ascii="Arial" w:hAnsi="Arial" w:cs="Arial"/>
          <w:sz w:val="24"/>
          <w:szCs w:val="24"/>
        </w:rPr>
        <w:t xml:space="preserve"> </w:t>
      </w:r>
      <w:r w:rsidR="00C57BB3" w:rsidRPr="00DF5198">
        <w:rPr>
          <w:rFonts w:ascii="Arial" w:hAnsi="Arial" w:cs="Arial"/>
          <w:sz w:val="24"/>
          <w:szCs w:val="24"/>
        </w:rPr>
        <w:t>the</w:t>
      </w:r>
      <w:r w:rsidR="008931E1" w:rsidRPr="00DF5198">
        <w:rPr>
          <w:rFonts w:ascii="Arial" w:hAnsi="Arial" w:cs="Arial"/>
          <w:sz w:val="24"/>
          <w:szCs w:val="24"/>
        </w:rPr>
        <w:t xml:space="preserve">re was simply no </w:t>
      </w:r>
      <w:r w:rsidR="004F6DD2" w:rsidRPr="00DF5198">
        <w:rPr>
          <w:rFonts w:ascii="Arial" w:hAnsi="Arial" w:cs="Arial"/>
          <w:sz w:val="24"/>
          <w:szCs w:val="24"/>
        </w:rPr>
        <w:t xml:space="preserve">basis upon which it could have </w:t>
      </w:r>
      <w:r w:rsidR="00733FF9" w:rsidRPr="00DF5198">
        <w:rPr>
          <w:rFonts w:ascii="Arial" w:hAnsi="Arial" w:cs="Arial"/>
          <w:sz w:val="24"/>
          <w:szCs w:val="24"/>
        </w:rPr>
        <w:t xml:space="preserve">launched </w:t>
      </w:r>
      <w:r w:rsidR="004F6DD2" w:rsidRPr="00DF5198">
        <w:rPr>
          <w:rFonts w:ascii="Arial" w:hAnsi="Arial" w:cs="Arial"/>
          <w:sz w:val="24"/>
          <w:szCs w:val="24"/>
        </w:rPr>
        <w:t>the present</w:t>
      </w:r>
      <w:r w:rsidR="00C57BB3" w:rsidRPr="00DF5198">
        <w:rPr>
          <w:rFonts w:ascii="Arial" w:hAnsi="Arial" w:cs="Arial"/>
          <w:sz w:val="24"/>
          <w:szCs w:val="24"/>
        </w:rPr>
        <w:t xml:space="preserve"> application</w:t>
      </w:r>
      <w:r w:rsidR="008931E1" w:rsidRPr="00DF5198">
        <w:rPr>
          <w:rFonts w:ascii="Arial" w:hAnsi="Arial" w:cs="Arial"/>
          <w:sz w:val="24"/>
          <w:szCs w:val="24"/>
        </w:rPr>
        <w:t>.</w:t>
      </w:r>
    </w:p>
    <w:p w14:paraId="1CC6F228" w14:textId="77777777" w:rsidR="00A40C9F" w:rsidRPr="00A40C9F" w:rsidRDefault="00A40C9F" w:rsidP="00A40C9F">
      <w:pPr>
        <w:pStyle w:val="ListParagraph"/>
        <w:rPr>
          <w:rFonts w:ascii="Arial" w:hAnsi="Arial" w:cs="Arial"/>
          <w:sz w:val="24"/>
          <w:szCs w:val="24"/>
        </w:rPr>
      </w:pPr>
    </w:p>
    <w:p w14:paraId="506B9021" w14:textId="3CF4455C" w:rsidR="004F6DD2" w:rsidRPr="00DF5198" w:rsidRDefault="00DF5198" w:rsidP="00DF5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C9F">
        <w:rPr>
          <w:rFonts w:ascii="Arial" w:hAnsi="Arial" w:cs="Arial"/>
          <w:sz w:val="24"/>
          <w:szCs w:val="24"/>
        </w:rPr>
        <w:t>[42]</w:t>
      </w:r>
      <w:r w:rsidRPr="00A40C9F">
        <w:rPr>
          <w:rFonts w:ascii="Arial" w:hAnsi="Arial" w:cs="Arial"/>
          <w:sz w:val="24"/>
          <w:szCs w:val="24"/>
        </w:rPr>
        <w:tab/>
      </w:r>
      <w:r w:rsidR="004F6DD2" w:rsidRPr="00DF5198">
        <w:rPr>
          <w:rFonts w:ascii="Arial" w:hAnsi="Arial" w:cs="Arial"/>
          <w:sz w:val="24"/>
          <w:szCs w:val="24"/>
        </w:rPr>
        <w:t>Consequently, the following order is made:</w:t>
      </w:r>
    </w:p>
    <w:p w14:paraId="0FC0A162" w14:textId="77777777" w:rsidR="001119BF" w:rsidRDefault="001119BF" w:rsidP="001119B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5A3F676" w14:textId="5F999A18" w:rsidR="00A40C9F" w:rsidRPr="00DF5198" w:rsidRDefault="00DF5198" w:rsidP="00DF5198">
      <w:p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0B3BBB" w:rsidRPr="00DF5198">
        <w:rPr>
          <w:rFonts w:ascii="Arial" w:hAnsi="Arial" w:cs="Arial"/>
          <w:sz w:val="24"/>
          <w:szCs w:val="24"/>
        </w:rPr>
        <w:t>the application</w:t>
      </w:r>
      <w:r w:rsidR="00733FF9" w:rsidRPr="00DF5198">
        <w:rPr>
          <w:rFonts w:ascii="Arial" w:hAnsi="Arial" w:cs="Arial"/>
          <w:sz w:val="24"/>
          <w:szCs w:val="24"/>
        </w:rPr>
        <w:t>s</w:t>
      </w:r>
      <w:r w:rsidR="000B3BBB" w:rsidRPr="00DF5198">
        <w:rPr>
          <w:rFonts w:ascii="Arial" w:hAnsi="Arial" w:cs="Arial"/>
          <w:sz w:val="24"/>
          <w:szCs w:val="24"/>
        </w:rPr>
        <w:t xml:space="preserve"> for summary </w:t>
      </w:r>
      <w:r w:rsidR="00056C53" w:rsidRPr="00DF5198">
        <w:rPr>
          <w:rFonts w:ascii="Arial" w:hAnsi="Arial" w:cs="Arial"/>
          <w:sz w:val="24"/>
          <w:szCs w:val="24"/>
        </w:rPr>
        <w:t xml:space="preserve">judgment, </w:t>
      </w:r>
      <w:r w:rsidR="001119BF" w:rsidRPr="00DF5198">
        <w:rPr>
          <w:rFonts w:ascii="Arial" w:hAnsi="Arial" w:cs="Arial"/>
          <w:sz w:val="24"/>
          <w:szCs w:val="24"/>
        </w:rPr>
        <w:t xml:space="preserve">brought </w:t>
      </w:r>
      <w:r w:rsidR="00056C53" w:rsidRPr="00DF5198">
        <w:rPr>
          <w:rFonts w:ascii="Arial" w:hAnsi="Arial" w:cs="Arial"/>
          <w:sz w:val="24"/>
          <w:szCs w:val="24"/>
        </w:rPr>
        <w:t>in terms of case n</w:t>
      </w:r>
      <w:r w:rsidR="00F031B5" w:rsidRPr="00DF5198">
        <w:rPr>
          <w:rFonts w:ascii="Arial" w:hAnsi="Arial" w:cs="Arial"/>
          <w:sz w:val="24"/>
          <w:szCs w:val="24"/>
        </w:rPr>
        <w:t xml:space="preserve">umber 1206/2022 and </w:t>
      </w:r>
      <w:r w:rsidR="001119BF" w:rsidRPr="00DF5198">
        <w:rPr>
          <w:rFonts w:ascii="Arial" w:hAnsi="Arial" w:cs="Arial"/>
          <w:sz w:val="24"/>
          <w:szCs w:val="24"/>
        </w:rPr>
        <w:t xml:space="preserve">case number </w:t>
      </w:r>
      <w:r w:rsidR="00F031B5" w:rsidRPr="00DF5198">
        <w:rPr>
          <w:rFonts w:ascii="Arial" w:hAnsi="Arial" w:cs="Arial"/>
          <w:sz w:val="24"/>
          <w:szCs w:val="24"/>
        </w:rPr>
        <w:t xml:space="preserve">1511/2022, </w:t>
      </w:r>
      <w:r w:rsidR="001119BF" w:rsidRPr="00DF5198">
        <w:rPr>
          <w:rFonts w:ascii="Arial" w:hAnsi="Arial" w:cs="Arial"/>
          <w:sz w:val="24"/>
          <w:szCs w:val="24"/>
        </w:rPr>
        <w:t xml:space="preserve">respectively, </w:t>
      </w:r>
      <w:r w:rsidR="00BC02F8" w:rsidRPr="00DF5198">
        <w:rPr>
          <w:rFonts w:ascii="Arial" w:hAnsi="Arial" w:cs="Arial"/>
          <w:sz w:val="24"/>
          <w:szCs w:val="24"/>
        </w:rPr>
        <w:t>are</w:t>
      </w:r>
      <w:r w:rsidR="00F031B5" w:rsidRPr="00DF5198">
        <w:rPr>
          <w:rFonts w:ascii="Arial" w:hAnsi="Arial" w:cs="Arial"/>
          <w:sz w:val="24"/>
          <w:szCs w:val="24"/>
        </w:rPr>
        <w:t xml:space="preserve"> dismissed</w:t>
      </w:r>
      <w:r w:rsidR="00BC02F8" w:rsidRPr="00DF5198">
        <w:rPr>
          <w:rFonts w:ascii="Arial" w:hAnsi="Arial" w:cs="Arial"/>
          <w:sz w:val="24"/>
          <w:szCs w:val="24"/>
        </w:rPr>
        <w:t>; and</w:t>
      </w:r>
    </w:p>
    <w:p w14:paraId="32CF13A9" w14:textId="77777777" w:rsidR="00A40C9F" w:rsidRDefault="00A40C9F" w:rsidP="00A40C9F">
      <w:pPr>
        <w:pStyle w:val="ListParagraph"/>
        <w:spacing w:line="360" w:lineRule="auto"/>
        <w:ind w:left="1276"/>
        <w:rPr>
          <w:rFonts w:ascii="Arial" w:hAnsi="Arial" w:cs="Arial"/>
          <w:sz w:val="24"/>
          <w:szCs w:val="24"/>
        </w:rPr>
      </w:pPr>
    </w:p>
    <w:p w14:paraId="429D1119" w14:textId="75E42AD2" w:rsidR="008D16B3" w:rsidRPr="00DF5198" w:rsidRDefault="00DF5198" w:rsidP="00DF5198">
      <w:pPr>
        <w:spacing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A40C9F">
        <w:rPr>
          <w:rFonts w:ascii="Arial" w:hAnsi="Arial" w:cs="Arial"/>
          <w:sz w:val="24"/>
          <w:szCs w:val="24"/>
        </w:rPr>
        <w:t>(b)</w:t>
      </w:r>
      <w:r w:rsidRPr="00A40C9F">
        <w:rPr>
          <w:rFonts w:ascii="Arial" w:hAnsi="Arial" w:cs="Arial"/>
          <w:sz w:val="24"/>
          <w:szCs w:val="24"/>
        </w:rPr>
        <w:tab/>
      </w:r>
      <w:r w:rsidR="00BC02F8" w:rsidRPr="00DF5198">
        <w:rPr>
          <w:rFonts w:ascii="Arial" w:hAnsi="Arial" w:cs="Arial"/>
          <w:sz w:val="24"/>
          <w:szCs w:val="24"/>
        </w:rPr>
        <w:t>the applicant is directed to pay the respondent’s costs in relation thereto.</w:t>
      </w:r>
    </w:p>
    <w:p w14:paraId="18ADDECD" w14:textId="77777777" w:rsidR="00802DE0" w:rsidRPr="004A2BB5" w:rsidRDefault="00802DE0" w:rsidP="004A2BB5">
      <w:pPr>
        <w:rPr>
          <w:rFonts w:ascii="Arial" w:hAnsi="Arial" w:cs="Arial"/>
          <w:sz w:val="24"/>
          <w:szCs w:val="24"/>
        </w:rPr>
      </w:pPr>
    </w:p>
    <w:p w14:paraId="7F152247" w14:textId="77777777" w:rsidR="00802DE0" w:rsidRDefault="00802DE0" w:rsidP="00802DE0">
      <w:pPr>
        <w:spacing w:line="360" w:lineRule="auto"/>
        <w:rPr>
          <w:rFonts w:ascii="Arial" w:hAnsi="Arial" w:cs="Arial"/>
          <w:sz w:val="24"/>
          <w:szCs w:val="24"/>
        </w:rPr>
      </w:pPr>
    </w:p>
    <w:p w14:paraId="063D1AA2" w14:textId="45168F87" w:rsidR="00802DE0" w:rsidRDefault="00802DE0" w:rsidP="00A40C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73D958C6" w14:textId="7E172F47" w:rsidR="00802DE0" w:rsidRPr="00802DE0" w:rsidRDefault="00802DE0" w:rsidP="00A40C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02DE0">
        <w:rPr>
          <w:rFonts w:ascii="Arial" w:hAnsi="Arial" w:cs="Arial"/>
          <w:b/>
          <w:bCs/>
          <w:sz w:val="24"/>
          <w:szCs w:val="24"/>
        </w:rPr>
        <w:t>JGA LAING</w:t>
      </w:r>
    </w:p>
    <w:p w14:paraId="2152C3DF" w14:textId="30382284" w:rsidR="00802DE0" w:rsidRDefault="00802DE0" w:rsidP="00A40C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02DE0">
        <w:rPr>
          <w:rFonts w:ascii="Arial" w:hAnsi="Arial" w:cs="Arial"/>
          <w:b/>
          <w:bCs/>
          <w:sz w:val="24"/>
          <w:szCs w:val="24"/>
        </w:rPr>
        <w:t>JUDGE OF THE HIGH COURT</w:t>
      </w:r>
    </w:p>
    <w:p w14:paraId="4DAF6B53" w14:textId="77777777" w:rsidR="00A40C9F" w:rsidRDefault="00A40C9F" w:rsidP="00A40C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E392530" w14:textId="77777777" w:rsidR="00A40C9F" w:rsidRDefault="00A40C9F" w:rsidP="00A40C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241A2D2" w14:textId="77777777" w:rsidR="00A40C9F" w:rsidRDefault="00A40C9F" w:rsidP="00A40C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FD12C5A" w14:textId="77777777" w:rsidR="00A40C9F" w:rsidRDefault="00A40C9F" w:rsidP="00A40C9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861D23D" w14:textId="7BCB2A53" w:rsidR="00A40C9F" w:rsidRPr="00A40C9F" w:rsidRDefault="00A40C9F" w:rsidP="00A40C9F">
      <w:pPr>
        <w:spacing w:line="240" w:lineRule="auto"/>
        <w:rPr>
          <w:rFonts w:ascii="Arial" w:hAnsi="Arial" w:cs="Arial"/>
          <w:sz w:val="24"/>
          <w:szCs w:val="24"/>
        </w:rPr>
      </w:pPr>
      <w:r w:rsidRPr="00A40C9F">
        <w:rPr>
          <w:rFonts w:ascii="Arial" w:hAnsi="Arial" w:cs="Arial"/>
          <w:sz w:val="24"/>
          <w:szCs w:val="24"/>
        </w:rPr>
        <w:lastRenderedPageBreak/>
        <w:t>APPEARANCE</w:t>
      </w:r>
    </w:p>
    <w:p w14:paraId="036E843E" w14:textId="125663A5" w:rsidR="00A40C9F" w:rsidRDefault="00A40C9F" w:rsidP="00A40C9F">
      <w:pPr>
        <w:spacing w:line="240" w:lineRule="auto"/>
        <w:rPr>
          <w:rFonts w:ascii="Arial" w:hAnsi="Arial" w:cs="Arial"/>
          <w:sz w:val="24"/>
          <w:szCs w:val="24"/>
        </w:rPr>
      </w:pPr>
      <w:r w:rsidRPr="00A40C9F">
        <w:rPr>
          <w:rFonts w:ascii="Arial" w:hAnsi="Arial" w:cs="Arial"/>
          <w:sz w:val="24"/>
          <w:szCs w:val="24"/>
        </w:rPr>
        <w:t>For the plaintiff:</w:t>
      </w:r>
      <w:r w:rsidRPr="00A40C9F">
        <w:rPr>
          <w:rFonts w:ascii="Arial" w:hAnsi="Arial" w:cs="Arial"/>
          <w:sz w:val="24"/>
          <w:szCs w:val="24"/>
        </w:rPr>
        <w:tab/>
      </w:r>
      <w:r w:rsidRPr="00A40C9F">
        <w:rPr>
          <w:rFonts w:ascii="Arial" w:hAnsi="Arial" w:cs="Arial"/>
          <w:sz w:val="24"/>
          <w:szCs w:val="24"/>
        </w:rPr>
        <w:tab/>
        <w:t xml:space="preserve">Adv </w:t>
      </w:r>
      <w:proofErr w:type="spellStart"/>
      <w:r w:rsidRPr="00A40C9F">
        <w:rPr>
          <w:rFonts w:ascii="Arial" w:hAnsi="Arial" w:cs="Arial"/>
          <w:sz w:val="24"/>
          <w:szCs w:val="24"/>
        </w:rPr>
        <w:t>Sephton</w:t>
      </w:r>
      <w:proofErr w:type="spellEnd"/>
      <w:r w:rsidRPr="00A40C9F">
        <w:rPr>
          <w:rFonts w:ascii="Arial" w:hAnsi="Arial" w:cs="Arial"/>
          <w:sz w:val="24"/>
          <w:szCs w:val="24"/>
        </w:rPr>
        <w:t xml:space="preserve">, instructed by Huxtable Attorneys, </w:t>
      </w:r>
      <w:proofErr w:type="spellStart"/>
      <w:r w:rsidRPr="00A40C9F">
        <w:rPr>
          <w:rFonts w:ascii="Arial" w:hAnsi="Arial" w:cs="Arial"/>
          <w:sz w:val="24"/>
          <w:szCs w:val="24"/>
        </w:rPr>
        <w:t>Makhanda</w:t>
      </w:r>
      <w:proofErr w:type="spellEnd"/>
      <w:r w:rsidRPr="00A40C9F">
        <w:rPr>
          <w:rFonts w:ascii="Arial" w:hAnsi="Arial" w:cs="Arial"/>
          <w:sz w:val="24"/>
          <w:szCs w:val="24"/>
        </w:rPr>
        <w:t xml:space="preserve">. </w:t>
      </w:r>
    </w:p>
    <w:p w14:paraId="60AA3DB9" w14:textId="77777777" w:rsidR="00A40C9F" w:rsidRPr="00A40C9F" w:rsidRDefault="00A40C9F" w:rsidP="00A40C9F">
      <w:pPr>
        <w:spacing w:line="240" w:lineRule="auto"/>
        <w:rPr>
          <w:rFonts w:ascii="Arial" w:hAnsi="Arial" w:cs="Arial"/>
          <w:sz w:val="24"/>
          <w:szCs w:val="24"/>
        </w:rPr>
      </w:pPr>
    </w:p>
    <w:p w14:paraId="0E611EF8" w14:textId="0812867A" w:rsidR="00A40C9F" w:rsidRPr="00A40C9F" w:rsidRDefault="00A40C9F" w:rsidP="00A40C9F">
      <w:pPr>
        <w:spacing w:line="240" w:lineRule="auto"/>
        <w:rPr>
          <w:rFonts w:ascii="Arial" w:hAnsi="Arial" w:cs="Arial"/>
          <w:sz w:val="24"/>
          <w:szCs w:val="24"/>
        </w:rPr>
      </w:pPr>
      <w:r w:rsidRPr="00A40C9F">
        <w:rPr>
          <w:rFonts w:ascii="Arial" w:hAnsi="Arial" w:cs="Arial"/>
          <w:sz w:val="24"/>
          <w:szCs w:val="24"/>
        </w:rPr>
        <w:t>For the defendant:</w:t>
      </w:r>
      <w:r w:rsidRPr="00A40C9F">
        <w:rPr>
          <w:rFonts w:ascii="Arial" w:hAnsi="Arial" w:cs="Arial"/>
          <w:sz w:val="24"/>
          <w:szCs w:val="24"/>
        </w:rPr>
        <w:tab/>
      </w:r>
      <w:r w:rsidRPr="00A40C9F">
        <w:rPr>
          <w:rFonts w:ascii="Arial" w:hAnsi="Arial" w:cs="Arial"/>
          <w:sz w:val="24"/>
          <w:szCs w:val="24"/>
        </w:rPr>
        <w:tab/>
        <w:t xml:space="preserve">Adv Knott, instructed by Cloete &amp; Co., </w:t>
      </w:r>
      <w:proofErr w:type="spellStart"/>
      <w:r w:rsidRPr="00A40C9F">
        <w:rPr>
          <w:rFonts w:ascii="Arial" w:hAnsi="Arial" w:cs="Arial"/>
          <w:sz w:val="24"/>
          <w:szCs w:val="24"/>
        </w:rPr>
        <w:t>Makhanda</w:t>
      </w:r>
      <w:proofErr w:type="spellEnd"/>
      <w:r w:rsidRPr="00A40C9F">
        <w:rPr>
          <w:rFonts w:ascii="Arial" w:hAnsi="Arial" w:cs="Arial"/>
          <w:sz w:val="24"/>
          <w:szCs w:val="24"/>
        </w:rPr>
        <w:t xml:space="preserve">. </w:t>
      </w:r>
    </w:p>
    <w:p w14:paraId="0D21DD89" w14:textId="77777777" w:rsidR="00A40C9F" w:rsidRPr="00A40C9F" w:rsidRDefault="00A40C9F" w:rsidP="00A40C9F">
      <w:pPr>
        <w:spacing w:line="240" w:lineRule="auto"/>
        <w:rPr>
          <w:rFonts w:ascii="Arial" w:hAnsi="Arial" w:cs="Arial"/>
          <w:sz w:val="24"/>
          <w:szCs w:val="24"/>
        </w:rPr>
      </w:pPr>
    </w:p>
    <w:p w14:paraId="159C2E3A" w14:textId="528F4CC6" w:rsidR="00A40C9F" w:rsidRPr="00A40C9F" w:rsidRDefault="00A40C9F" w:rsidP="00A40C9F">
      <w:pPr>
        <w:spacing w:line="240" w:lineRule="auto"/>
        <w:rPr>
          <w:rFonts w:ascii="Arial" w:hAnsi="Arial" w:cs="Arial"/>
          <w:sz w:val="24"/>
          <w:szCs w:val="24"/>
        </w:rPr>
      </w:pPr>
      <w:r w:rsidRPr="00A40C9F">
        <w:rPr>
          <w:rFonts w:ascii="Arial" w:hAnsi="Arial" w:cs="Arial"/>
          <w:sz w:val="24"/>
          <w:szCs w:val="24"/>
        </w:rPr>
        <w:t>Date of hearing:</w:t>
      </w:r>
      <w:r w:rsidRPr="00A40C9F">
        <w:rPr>
          <w:rFonts w:ascii="Arial" w:hAnsi="Arial" w:cs="Arial"/>
          <w:sz w:val="24"/>
          <w:szCs w:val="24"/>
        </w:rPr>
        <w:tab/>
      </w:r>
      <w:r w:rsidRPr="00A40C9F">
        <w:rPr>
          <w:rFonts w:ascii="Arial" w:hAnsi="Arial" w:cs="Arial"/>
          <w:sz w:val="24"/>
          <w:szCs w:val="24"/>
        </w:rPr>
        <w:tab/>
      </w:r>
      <w:r w:rsidRPr="00A40C9F">
        <w:rPr>
          <w:rFonts w:ascii="Arial" w:hAnsi="Arial" w:cs="Arial"/>
          <w:sz w:val="24"/>
          <w:szCs w:val="24"/>
        </w:rPr>
        <w:tab/>
        <w:t>02 March 2023.</w:t>
      </w:r>
    </w:p>
    <w:p w14:paraId="62E8C968" w14:textId="0EE6F624" w:rsidR="00A40C9F" w:rsidRPr="00A40C9F" w:rsidRDefault="00A40C9F" w:rsidP="00A40C9F">
      <w:pPr>
        <w:spacing w:line="240" w:lineRule="auto"/>
        <w:rPr>
          <w:rFonts w:ascii="Arial" w:hAnsi="Arial" w:cs="Arial"/>
          <w:sz w:val="24"/>
          <w:szCs w:val="24"/>
        </w:rPr>
      </w:pPr>
      <w:r w:rsidRPr="00A40C9F">
        <w:rPr>
          <w:rFonts w:ascii="Arial" w:hAnsi="Arial" w:cs="Arial"/>
          <w:sz w:val="24"/>
          <w:szCs w:val="24"/>
        </w:rPr>
        <w:t>Date of delivery of judgment:</w:t>
      </w:r>
      <w:r w:rsidRPr="00A40C9F">
        <w:rPr>
          <w:rFonts w:ascii="Arial" w:hAnsi="Arial" w:cs="Arial"/>
          <w:sz w:val="24"/>
          <w:szCs w:val="24"/>
        </w:rPr>
        <w:tab/>
        <w:t>23 May 2023.</w:t>
      </w:r>
    </w:p>
    <w:sectPr w:rsidR="00A40C9F" w:rsidRPr="00A40C9F" w:rsidSect="00A22C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BD99" w14:textId="77777777" w:rsidR="00284E6C" w:rsidRDefault="00284E6C" w:rsidP="006C1B60">
      <w:pPr>
        <w:spacing w:after="0" w:line="240" w:lineRule="auto"/>
      </w:pPr>
      <w:r>
        <w:separator/>
      </w:r>
    </w:p>
  </w:endnote>
  <w:endnote w:type="continuationSeparator" w:id="0">
    <w:p w14:paraId="65D2729A" w14:textId="77777777" w:rsidR="00284E6C" w:rsidRDefault="00284E6C" w:rsidP="006C1B60">
      <w:pPr>
        <w:spacing w:after="0" w:line="240" w:lineRule="auto"/>
      </w:pPr>
      <w:r>
        <w:continuationSeparator/>
      </w:r>
    </w:p>
  </w:endnote>
  <w:endnote w:type="continuationNotice" w:id="1">
    <w:p w14:paraId="2E01A6B5" w14:textId="77777777" w:rsidR="00284E6C" w:rsidRDefault="00284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F1C9" w14:textId="77777777" w:rsidR="00284E6C" w:rsidRDefault="00284E6C" w:rsidP="006C1B60">
      <w:pPr>
        <w:spacing w:after="0" w:line="240" w:lineRule="auto"/>
      </w:pPr>
      <w:r>
        <w:separator/>
      </w:r>
    </w:p>
  </w:footnote>
  <w:footnote w:type="continuationSeparator" w:id="0">
    <w:p w14:paraId="4BE1684D" w14:textId="77777777" w:rsidR="00284E6C" w:rsidRDefault="00284E6C" w:rsidP="006C1B60">
      <w:pPr>
        <w:spacing w:after="0" w:line="240" w:lineRule="auto"/>
      </w:pPr>
      <w:r>
        <w:continuationSeparator/>
      </w:r>
    </w:p>
  </w:footnote>
  <w:footnote w:type="continuationNotice" w:id="1">
    <w:p w14:paraId="29A48368" w14:textId="77777777" w:rsidR="00284E6C" w:rsidRDefault="00284E6C">
      <w:pPr>
        <w:spacing w:after="0" w:line="240" w:lineRule="auto"/>
      </w:pPr>
    </w:p>
  </w:footnote>
  <w:footnote w:id="2">
    <w:p w14:paraId="2E09DCEF" w14:textId="6DC93549" w:rsidR="006C1B60" w:rsidRPr="006C1B60" w:rsidRDefault="006C1B60" w:rsidP="00A22C45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</w:t>
      </w:r>
      <w:r w:rsidR="00AF5AB5">
        <w:rPr>
          <w:lang w:val="en-US"/>
        </w:rPr>
        <w:t xml:space="preserve">he </w:t>
      </w:r>
      <w:r w:rsidR="00981AB9">
        <w:rPr>
          <w:lang w:val="en-US"/>
        </w:rPr>
        <w:t xml:space="preserve">material facts for purposes of the judgment are essentially the same. </w:t>
      </w:r>
      <w:r w:rsidR="004B4E00">
        <w:rPr>
          <w:lang w:val="en-US"/>
        </w:rPr>
        <w:t>Insofar as there may be minor differences</w:t>
      </w:r>
      <w:r w:rsidR="007F3736">
        <w:rPr>
          <w:lang w:val="en-US"/>
        </w:rPr>
        <w:t>, these will be indicated.</w:t>
      </w:r>
      <w:r w:rsidR="00AF5AB5">
        <w:rPr>
          <w:lang w:val="en-US"/>
        </w:rPr>
        <w:t xml:space="preserve"> </w:t>
      </w:r>
    </w:p>
  </w:footnote>
  <w:footnote w:id="3">
    <w:p w14:paraId="5BF461E5" w14:textId="00C0937D" w:rsidR="003A4D25" w:rsidRPr="003A4D25" w:rsidRDefault="003A4D25" w:rsidP="00FA5D9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B4116">
        <w:rPr>
          <w:lang w:val="en-US"/>
        </w:rPr>
        <w:t xml:space="preserve">The subject of the sale was a 2020 Volkswagen Amarok 2.0 </w:t>
      </w:r>
      <w:r w:rsidR="002C7F4C">
        <w:rPr>
          <w:lang w:val="en-US"/>
        </w:rPr>
        <w:t>BITDI Highline under case number 1206</w:t>
      </w:r>
      <w:r w:rsidR="001F47B5">
        <w:rPr>
          <w:lang w:val="en-US"/>
        </w:rPr>
        <w:t xml:space="preserve"> </w:t>
      </w:r>
      <w:r w:rsidR="002C7F4C">
        <w:rPr>
          <w:lang w:val="en-US"/>
        </w:rPr>
        <w:t>/</w:t>
      </w:r>
      <w:r w:rsidR="001F47B5">
        <w:rPr>
          <w:lang w:val="en-US"/>
        </w:rPr>
        <w:t xml:space="preserve"> </w:t>
      </w:r>
      <w:r w:rsidR="002C7F4C">
        <w:rPr>
          <w:lang w:val="en-US"/>
        </w:rPr>
        <w:t xml:space="preserve">2022, and a </w:t>
      </w:r>
      <w:r w:rsidR="001F47B5">
        <w:rPr>
          <w:lang w:val="en-US"/>
        </w:rPr>
        <w:t>2017 BMW X5 XD</w:t>
      </w:r>
      <w:r w:rsidR="00BF5A16">
        <w:rPr>
          <w:lang w:val="en-US"/>
        </w:rPr>
        <w:t xml:space="preserve">rive30D M-Sport under case number </w:t>
      </w:r>
      <w:r w:rsidR="005D1EB1">
        <w:rPr>
          <w:lang w:val="en-US"/>
        </w:rPr>
        <w:t>1511 / 2022.</w:t>
      </w:r>
    </w:p>
  </w:footnote>
  <w:footnote w:id="4">
    <w:p w14:paraId="5694006E" w14:textId="12AD632F" w:rsidR="001807E0" w:rsidRPr="001807E0" w:rsidRDefault="001807E0" w:rsidP="00FA5D9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plaintiff claimed an amount of R 927,056 </w:t>
      </w:r>
      <w:r w:rsidR="00F50702">
        <w:rPr>
          <w:lang w:val="en-US"/>
        </w:rPr>
        <w:t xml:space="preserve">and </w:t>
      </w:r>
      <w:r w:rsidR="00667F34">
        <w:rPr>
          <w:lang w:val="en-US"/>
        </w:rPr>
        <w:t xml:space="preserve">R </w:t>
      </w:r>
      <w:r w:rsidR="00547A94">
        <w:rPr>
          <w:lang w:val="en-US"/>
        </w:rPr>
        <w:t xml:space="preserve">785,102 under </w:t>
      </w:r>
      <w:r w:rsidR="00F50702">
        <w:rPr>
          <w:lang w:val="en-US"/>
        </w:rPr>
        <w:t xml:space="preserve">the respective </w:t>
      </w:r>
      <w:r w:rsidR="00547A94">
        <w:rPr>
          <w:lang w:val="en-US"/>
        </w:rPr>
        <w:t>case number</w:t>
      </w:r>
      <w:r w:rsidR="00F50702">
        <w:rPr>
          <w:lang w:val="en-US"/>
        </w:rPr>
        <w:t xml:space="preserve">s, </w:t>
      </w:r>
      <w:r w:rsidR="00F50702" w:rsidRPr="00F50702">
        <w:rPr>
          <w:i/>
          <w:iCs/>
          <w:lang w:val="en-US"/>
        </w:rPr>
        <w:t>supra</w:t>
      </w:r>
      <w:r w:rsidR="00892956">
        <w:rPr>
          <w:i/>
          <w:iCs/>
          <w:lang w:val="en-US"/>
        </w:rPr>
        <w:t xml:space="preserve"> </w:t>
      </w:r>
      <w:r w:rsidR="00E116B4">
        <w:rPr>
          <w:lang w:val="en-US"/>
        </w:rPr>
        <w:t>n 2</w:t>
      </w:r>
      <w:r w:rsidR="00F50702">
        <w:rPr>
          <w:lang w:val="en-US"/>
        </w:rPr>
        <w:t>.</w:t>
      </w:r>
    </w:p>
  </w:footnote>
  <w:footnote w:id="5">
    <w:p w14:paraId="6C62B0A3" w14:textId="5F44FFFD" w:rsidR="005D2A56" w:rsidRPr="005D2A56" w:rsidRDefault="005D2A56" w:rsidP="009D1F9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22990">
        <w:t xml:space="preserve">See </w:t>
      </w:r>
      <w:r w:rsidRPr="00622990">
        <w:rPr>
          <w:i/>
          <w:iCs/>
          <w:lang w:val="en-US"/>
        </w:rPr>
        <w:t>Meek v Kruger</w:t>
      </w:r>
      <w:r>
        <w:rPr>
          <w:lang w:val="en-US"/>
        </w:rPr>
        <w:t xml:space="preserve"> 1958</w:t>
      </w:r>
      <w:r w:rsidR="005D06C4">
        <w:rPr>
          <w:lang w:val="en-US"/>
        </w:rPr>
        <w:t xml:space="preserve"> (3) SA 154 (T), at 159-60; </w:t>
      </w:r>
      <w:r w:rsidR="00622990">
        <w:rPr>
          <w:lang w:val="en-US"/>
        </w:rPr>
        <w:t xml:space="preserve">and, more recently, </w:t>
      </w:r>
      <w:proofErr w:type="spellStart"/>
      <w:r w:rsidR="009E768C" w:rsidRPr="00622990">
        <w:rPr>
          <w:i/>
          <w:iCs/>
          <w:lang w:val="en-US"/>
        </w:rPr>
        <w:t>Joob</w:t>
      </w:r>
      <w:proofErr w:type="spellEnd"/>
      <w:r w:rsidR="009E768C" w:rsidRPr="00622990">
        <w:rPr>
          <w:i/>
          <w:iCs/>
          <w:lang w:val="en-US"/>
        </w:rPr>
        <w:t xml:space="preserve"> </w:t>
      </w:r>
      <w:proofErr w:type="spellStart"/>
      <w:r w:rsidR="009E768C" w:rsidRPr="00622990">
        <w:rPr>
          <w:i/>
          <w:iCs/>
          <w:lang w:val="en-US"/>
        </w:rPr>
        <w:t>Joob</w:t>
      </w:r>
      <w:proofErr w:type="spellEnd"/>
      <w:r w:rsidR="009E768C" w:rsidRPr="00622990">
        <w:rPr>
          <w:i/>
          <w:iCs/>
          <w:lang w:val="en-US"/>
        </w:rPr>
        <w:t xml:space="preserve"> Investments (Pty) Ltd</w:t>
      </w:r>
      <w:r w:rsidR="00C85E87" w:rsidRPr="00622990">
        <w:rPr>
          <w:i/>
          <w:iCs/>
          <w:lang w:val="en-US"/>
        </w:rPr>
        <w:t xml:space="preserve"> v Stocks </w:t>
      </w:r>
      <w:proofErr w:type="spellStart"/>
      <w:r w:rsidR="00C85E87" w:rsidRPr="00622990">
        <w:rPr>
          <w:i/>
          <w:iCs/>
          <w:lang w:val="en-US"/>
        </w:rPr>
        <w:t>Mavundla</w:t>
      </w:r>
      <w:proofErr w:type="spellEnd"/>
      <w:r w:rsidR="00C85E87" w:rsidRPr="00622990">
        <w:rPr>
          <w:i/>
          <w:iCs/>
          <w:lang w:val="en-US"/>
        </w:rPr>
        <w:t xml:space="preserve"> Zek Joint Venture</w:t>
      </w:r>
      <w:r w:rsidR="00C85E87">
        <w:rPr>
          <w:lang w:val="en-US"/>
        </w:rPr>
        <w:t xml:space="preserve"> 2009 (5) </w:t>
      </w:r>
      <w:r w:rsidR="0090095A">
        <w:rPr>
          <w:lang w:val="en-US"/>
        </w:rPr>
        <w:t>SA 1 (SCA), at 11C-G.</w:t>
      </w:r>
    </w:p>
  </w:footnote>
  <w:footnote w:id="6">
    <w:p w14:paraId="1D8AF97D" w14:textId="59160430" w:rsidR="00B66F21" w:rsidRPr="00B66F21" w:rsidRDefault="00B66F21" w:rsidP="009D1F9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</w:t>
      </w:r>
      <w:r w:rsidR="00651033">
        <w:rPr>
          <w:lang w:val="en-US"/>
        </w:rPr>
        <w:t xml:space="preserve">the English authority of </w:t>
      </w:r>
      <w:r w:rsidRPr="00651033">
        <w:rPr>
          <w:i/>
          <w:iCs/>
          <w:lang w:val="en-US"/>
        </w:rPr>
        <w:t>Jacobs v Booth</w:t>
      </w:r>
      <w:r w:rsidR="00E85CC8" w:rsidRPr="00651033">
        <w:rPr>
          <w:i/>
          <w:iCs/>
          <w:lang w:val="en-US"/>
        </w:rPr>
        <w:t>’</w:t>
      </w:r>
      <w:r w:rsidRPr="00651033">
        <w:rPr>
          <w:i/>
          <w:iCs/>
          <w:lang w:val="en-US"/>
        </w:rPr>
        <w:t>s Distillery</w:t>
      </w:r>
      <w:r w:rsidR="00E85CC8" w:rsidRPr="00651033">
        <w:rPr>
          <w:i/>
          <w:iCs/>
          <w:lang w:val="en-US"/>
        </w:rPr>
        <w:t xml:space="preserve"> Co</w:t>
      </w:r>
      <w:r w:rsidR="00E85CC8">
        <w:rPr>
          <w:lang w:val="en-US"/>
        </w:rPr>
        <w:t xml:space="preserve"> 85 LT</w:t>
      </w:r>
      <w:r w:rsidR="00651033">
        <w:rPr>
          <w:lang w:val="en-US"/>
        </w:rPr>
        <w:t xml:space="preserve"> 262 (HL); and, most recently in South African case law, </w:t>
      </w:r>
      <w:r w:rsidR="001468F9" w:rsidRPr="00AC1859">
        <w:rPr>
          <w:i/>
          <w:iCs/>
          <w:lang w:val="en-US"/>
        </w:rPr>
        <w:t xml:space="preserve">FirstRand Bank Ltd t/a </w:t>
      </w:r>
      <w:proofErr w:type="spellStart"/>
      <w:r w:rsidR="001468F9" w:rsidRPr="00AC1859">
        <w:rPr>
          <w:i/>
          <w:iCs/>
          <w:lang w:val="en-US"/>
        </w:rPr>
        <w:t>Wesbank</w:t>
      </w:r>
      <w:proofErr w:type="spellEnd"/>
      <w:r w:rsidR="001468F9" w:rsidRPr="00AC1859">
        <w:rPr>
          <w:i/>
          <w:iCs/>
          <w:lang w:val="en-US"/>
        </w:rPr>
        <w:t xml:space="preserve"> v </w:t>
      </w:r>
      <w:proofErr w:type="spellStart"/>
      <w:r w:rsidR="00BC35A7" w:rsidRPr="00AC1859">
        <w:rPr>
          <w:i/>
          <w:iCs/>
          <w:lang w:val="en-US"/>
        </w:rPr>
        <w:t>Maenetja</w:t>
      </w:r>
      <w:proofErr w:type="spellEnd"/>
      <w:r w:rsidR="00BC35A7" w:rsidRPr="00AC1859">
        <w:rPr>
          <w:i/>
          <w:iCs/>
          <w:lang w:val="en-US"/>
        </w:rPr>
        <w:t xml:space="preserve"> Attorneys</w:t>
      </w:r>
      <w:r w:rsidR="00BC35A7">
        <w:rPr>
          <w:lang w:val="en-US"/>
        </w:rPr>
        <w:t xml:space="preserve"> (unreported, GP case</w:t>
      </w:r>
      <w:r w:rsidR="00AC1859">
        <w:rPr>
          <w:lang w:val="en-US"/>
        </w:rPr>
        <w:t xml:space="preserve"> no 8557/2021, dated 17 September 2021), at paragraph [2].</w:t>
      </w:r>
    </w:p>
  </w:footnote>
  <w:footnote w:id="7">
    <w:p w14:paraId="50F19894" w14:textId="1689CE22" w:rsidR="00254451" w:rsidRPr="00254451" w:rsidRDefault="00254451" w:rsidP="009D1F9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DE van </w:t>
      </w:r>
      <w:proofErr w:type="spellStart"/>
      <w:r>
        <w:rPr>
          <w:lang w:val="en-US"/>
        </w:rPr>
        <w:t>Loggerenberg</w:t>
      </w:r>
      <w:proofErr w:type="spellEnd"/>
      <w:r>
        <w:rPr>
          <w:lang w:val="en-US"/>
        </w:rPr>
        <w:t xml:space="preserve">, </w:t>
      </w:r>
      <w:r w:rsidRPr="00687D16">
        <w:rPr>
          <w:i/>
          <w:iCs/>
          <w:lang w:val="en-US"/>
        </w:rPr>
        <w:t>Erasmus: Superior Court Practice</w:t>
      </w:r>
      <w:r w:rsidR="008F688D">
        <w:rPr>
          <w:lang w:val="en-US"/>
        </w:rPr>
        <w:t xml:space="preserve"> (</w:t>
      </w:r>
      <w:proofErr w:type="spellStart"/>
      <w:r w:rsidR="008F688D">
        <w:rPr>
          <w:lang w:val="en-US"/>
        </w:rPr>
        <w:t>Jutastat</w:t>
      </w:r>
      <w:proofErr w:type="spellEnd"/>
      <w:r w:rsidR="008F688D">
        <w:rPr>
          <w:lang w:val="en-US"/>
        </w:rPr>
        <w:t xml:space="preserve"> e-publications, </w:t>
      </w:r>
      <w:r w:rsidR="00687D16">
        <w:rPr>
          <w:lang w:val="en-US"/>
        </w:rPr>
        <w:t>RS 17, 2021)</w:t>
      </w:r>
      <w:r w:rsidR="00F84681">
        <w:rPr>
          <w:lang w:val="en-US"/>
        </w:rPr>
        <w:t>.</w:t>
      </w:r>
    </w:p>
  </w:footnote>
  <w:footnote w:id="8">
    <w:p w14:paraId="3FCCC630" w14:textId="531317A0" w:rsidR="001A3748" w:rsidRPr="001A3748" w:rsidRDefault="001A3748" w:rsidP="009D1F91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1973 (1) SA 299 (NC), at 304-5.</w:t>
      </w:r>
    </w:p>
  </w:footnote>
  <w:footnote w:id="9">
    <w:p w14:paraId="0C4FE0DA" w14:textId="6C235454" w:rsidR="009E050A" w:rsidRPr="009E050A" w:rsidRDefault="009E050A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Ibid.</w:t>
      </w:r>
    </w:p>
  </w:footnote>
  <w:footnote w:id="10">
    <w:p w14:paraId="73E667E1" w14:textId="78189B4C" w:rsidR="009E050A" w:rsidRPr="009E050A" w:rsidRDefault="009E050A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DE van </w:t>
      </w:r>
      <w:proofErr w:type="spellStart"/>
      <w:r>
        <w:rPr>
          <w:lang w:val="en-US"/>
        </w:rPr>
        <w:t>Loggerenberg</w:t>
      </w:r>
      <w:proofErr w:type="spellEnd"/>
      <w:r w:rsidR="00864288">
        <w:rPr>
          <w:lang w:val="en-US"/>
        </w:rPr>
        <w:t xml:space="preserve">, </w:t>
      </w:r>
      <w:r w:rsidR="00864288" w:rsidRPr="00864288">
        <w:rPr>
          <w:i/>
          <w:iCs/>
          <w:lang w:val="en-US"/>
        </w:rPr>
        <w:t xml:space="preserve">op </w:t>
      </w:r>
      <w:proofErr w:type="spellStart"/>
      <w:r w:rsidR="00864288" w:rsidRPr="00864288">
        <w:rPr>
          <w:i/>
          <w:iCs/>
          <w:lang w:val="en-US"/>
        </w:rPr>
        <w:t>cit</w:t>
      </w:r>
      <w:proofErr w:type="spellEnd"/>
      <w:r w:rsidR="00864288">
        <w:rPr>
          <w:lang w:val="en-US"/>
        </w:rPr>
        <w:t>, D1-383 to D1-384.</w:t>
      </w:r>
    </w:p>
  </w:footnote>
  <w:footnote w:id="11">
    <w:p w14:paraId="599D42BC" w14:textId="00ACB4F4" w:rsidR="00F72687" w:rsidRPr="00F72687" w:rsidRDefault="00F72687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22B6E">
        <w:t>See</w:t>
      </w:r>
      <w:r w:rsidR="003B660B">
        <w:t xml:space="preserve"> </w:t>
      </w:r>
      <w:r w:rsidR="003C7BD0" w:rsidRPr="00FF57D4">
        <w:rPr>
          <w:i/>
          <w:iCs/>
          <w:lang w:val="en-US"/>
        </w:rPr>
        <w:t>Dowson &amp; Dobson Industrial Ltd</w:t>
      </w:r>
      <w:r w:rsidR="00FF57D4" w:rsidRPr="00FF57D4">
        <w:rPr>
          <w:i/>
          <w:iCs/>
          <w:lang w:val="en-US"/>
        </w:rPr>
        <w:t xml:space="preserve"> v Van der Werf and others</w:t>
      </w:r>
      <w:r w:rsidR="00FF57D4">
        <w:rPr>
          <w:lang w:val="en-US"/>
        </w:rPr>
        <w:t xml:space="preserve"> 1981 (4) SA 417 (C).</w:t>
      </w:r>
    </w:p>
  </w:footnote>
  <w:footnote w:id="12">
    <w:p w14:paraId="51C2BE0D" w14:textId="2F0DAF90" w:rsidR="0009284C" w:rsidRPr="0009284C" w:rsidRDefault="0009284C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B4999">
        <w:t>The certification was provided</w:t>
      </w:r>
      <w:r w:rsidR="00E52C20">
        <w:rPr>
          <w:lang w:val="en-US"/>
        </w:rPr>
        <w:t xml:space="preserve"> by </w:t>
      </w:r>
      <w:r w:rsidR="00CE3A96">
        <w:rPr>
          <w:lang w:val="en-US"/>
        </w:rPr>
        <w:t xml:space="preserve">a </w:t>
      </w:r>
      <w:proofErr w:type="spellStart"/>
      <w:r w:rsidR="00CF04A3">
        <w:rPr>
          <w:lang w:val="en-US"/>
        </w:rPr>
        <w:t>Ms</w:t>
      </w:r>
      <w:proofErr w:type="spellEnd"/>
      <w:r w:rsidR="00CF04A3">
        <w:rPr>
          <w:lang w:val="en-US"/>
        </w:rPr>
        <w:t xml:space="preserve"> </w:t>
      </w:r>
      <w:r w:rsidR="00E52C20">
        <w:rPr>
          <w:lang w:val="en-US"/>
        </w:rPr>
        <w:t xml:space="preserve">Leanne </w:t>
      </w:r>
      <w:proofErr w:type="spellStart"/>
      <w:r w:rsidR="00E52C20">
        <w:rPr>
          <w:lang w:val="en-US"/>
        </w:rPr>
        <w:t>Jaliel</w:t>
      </w:r>
      <w:proofErr w:type="spellEnd"/>
      <w:r w:rsidR="00E52C20">
        <w:rPr>
          <w:lang w:val="en-US"/>
        </w:rPr>
        <w:t xml:space="preserve"> under case number 1206</w:t>
      </w:r>
      <w:r w:rsidR="007C0C7E">
        <w:rPr>
          <w:lang w:val="en-US"/>
        </w:rPr>
        <w:t xml:space="preserve"> </w:t>
      </w:r>
      <w:r w:rsidR="00E52C20">
        <w:rPr>
          <w:lang w:val="en-US"/>
        </w:rPr>
        <w:t>/</w:t>
      </w:r>
      <w:r w:rsidR="007C0C7E">
        <w:rPr>
          <w:lang w:val="en-US"/>
        </w:rPr>
        <w:t xml:space="preserve"> </w:t>
      </w:r>
      <w:r w:rsidR="00E52C20">
        <w:rPr>
          <w:lang w:val="en-US"/>
        </w:rPr>
        <w:t>2022</w:t>
      </w:r>
      <w:r w:rsidR="007C0C7E">
        <w:rPr>
          <w:lang w:val="en-US"/>
        </w:rPr>
        <w:t>, and by</w:t>
      </w:r>
      <w:r w:rsidR="00CE3A96">
        <w:rPr>
          <w:lang w:val="en-US"/>
        </w:rPr>
        <w:t xml:space="preserve"> a</w:t>
      </w:r>
      <w:r w:rsidR="007C0C7E">
        <w:rPr>
          <w:lang w:val="en-US"/>
        </w:rPr>
        <w:t xml:space="preserve"> </w:t>
      </w:r>
      <w:proofErr w:type="spellStart"/>
      <w:r w:rsidR="007C0C7E">
        <w:rPr>
          <w:lang w:val="en-US"/>
        </w:rPr>
        <w:t>Ms</w:t>
      </w:r>
      <w:proofErr w:type="spellEnd"/>
      <w:r w:rsidR="007C0C7E">
        <w:rPr>
          <w:lang w:val="en-US"/>
        </w:rPr>
        <w:t xml:space="preserve"> Melinda </w:t>
      </w:r>
      <w:proofErr w:type="spellStart"/>
      <w:r w:rsidR="007C0C7E">
        <w:rPr>
          <w:lang w:val="en-US"/>
        </w:rPr>
        <w:t>Heneke</w:t>
      </w:r>
      <w:proofErr w:type="spellEnd"/>
      <w:r w:rsidR="007C0C7E">
        <w:rPr>
          <w:lang w:val="en-US"/>
        </w:rPr>
        <w:t xml:space="preserve"> under case number 1511 / 2022.</w:t>
      </w:r>
    </w:p>
  </w:footnote>
  <w:footnote w:id="13">
    <w:p w14:paraId="06DA22A1" w14:textId="2DDE9D31" w:rsidR="001819BC" w:rsidRPr="001819BC" w:rsidRDefault="001819BC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C47DD">
        <w:t>(676/2013) [2014</w:t>
      </w:r>
      <w:r w:rsidR="00827E57">
        <w:t xml:space="preserve">] </w:t>
      </w:r>
      <w:r w:rsidR="00CF3E4E">
        <w:t>ZASCA 79 (29 May 2014).</w:t>
      </w:r>
    </w:p>
  </w:footnote>
  <w:footnote w:id="14">
    <w:p w14:paraId="1EFC79E6" w14:textId="5A68A9F8" w:rsidR="00A35DD6" w:rsidRPr="00A35DD6" w:rsidRDefault="00A35DD6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35DD6">
        <w:rPr>
          <w:i/>
          <w:iCs/>
          <w:lang w:val="en-US"/>
        </w:rPr>
        <w:t>Maharaj v Barclays National Bank Ltd</w:t>
      </w:r>
      <w:r>
        <w:rPr>
          <w:lang w:val="en-US"/>
        </w:rPr>
        <w:t xml:space="preserve"> 1976 (1) SA 418 (A).</w:t>
      </w:r>
    </w:p>
  </w:footnote>
  <w:footnote w:id="15">
    <w:p w14:paraId="03009DD6" w14:textId="12A347B8" w:rsidR="001D6F82" w:rsidRPr="001D6F82" w:rsidRDefault="001D6F82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8640B" w:rsidRPr="00625766">
        <w:rPr>
          <w:i/>
          <w:iCs/>
        </w:rPr>
        <w:t>Stamford Sales &amp; Distribution</w:t>
      </w:r>
      <w:r w:rsidR="0008640B">
        <w:t xml:space="preserve">, n </w:t>
      </w:r>
      <w:r w:rsidR="00625766">
        <w:t xml:space="preserve">10, </w:t>
      </w:r>
      <w:r w:rsidR="00625766" w:rsidRPr="00625766">
        <w:rPr>
          <w:i/>
          <w:iCs/>
        </w:rPr>
        <w:t>supra</w:t>
      </w:r>
      <w:r w:rsidR="00625766">
        <w:t>, at paragraphs [10] to [12].</w:t>
      </w:r>
    </w:p>
  </w:footnote>
  <w:footnote w:id="16">
    <w:p w14:paraId="43954544" w14:textId="7D018482" w:rsidR="00A4764B" w:rsidRPr="00A4764B" w:rsidRDefault="00A4764B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32525">
        <w:t xml:space="preserve">2021 JDR 1571 </w:t>
      </w:r>
      <w:r w:rsidR="00B749CA">
        <w:t>(WCC).</w:t>
      </w:r>
    </w:p>
  </w:footnote>
  <w:footnote w:id="17">
    <w:p w14:paraId="60015EC3" w14:textId="4F25FA71" w:rsidR="00381AA8" w:rsidRPr="00381AA8" w:rsidRDefault="00381AA8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At paragraph </w:t>
      </w:r>
      <w:r w:rsidR="00F31B04">
        <w:rPr>
          <w:lang w:val="en-US"/>
        </w:rPr>
        <w:t>[15].</w:t>
      </w:r>
    </w:p>
  </w:footnote>
  <w:footnote w:id="18">
    <w:p w14:paraId="3066B6C9" w14:textId="78615750" w:rsidR="00345C18" w:rsidRPr="00345C18" w:rsidRDefault="00345C18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(</w:t>
      </w:r>
      <w:r w:rsidR="009546AF">
        <w:rPr>
          <w:lang w:val="en-US"/>
        </w:rPr>
        <w:t xml:space="preserve">Unreported, </w:t>
      </w:r>
      <w:r w:rsidR="0097219D">
        <w:rPr>
          <w:lang w:val="en-US"/>
        </w:rPr>
        <w:t xml:space="preserve">ECD case no </w:t>
      </w:r>
      <w:r>
        <w:rPr>
          <w:lang w:val="en-US"/>
        </w:rPr>
        <w:t>2214/2022</w:t>
      </w:r>
      <w:r w:rsidR="0097219D">
        <w:rPr>
          <w:lang w:val="en-US"/>
        </w:rPr>
        <w:t xml:space="preserve">, dated 30 November </w:t>
      </w:r>
      <w:r w:rsidR="00FB3DD8">
        <w:rPr>
          <w:lang w:val="en-US"/>
        </w:rPr>
        <w:t>2022</w:t>
      </w:r>
      <w:r w:rsidR="00466DED">
        <w:rPr>
          <w:lang w:val="en-US"/>
        </w:rPr>
        <w:t>.)</w:t>
      </w:r>
    </w:p>
  </w:footnote>
  <w:footnote w:id="19">
    <w:p w14:paraId="3DF8CCD6" w14:textId="440D1FCD" w:rsidR="00801B77" w:rsidRPr="00801B77" w:rsidRDefault="00801B77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paragraph [13]</w:t>
      </w:r>
      <w:r w:rsidR="008D09FB">
        <w:rPr>
          <w:lang w:val="en-US"/>
        </w:rPr>
        <w:t>.</w:t>
      </w:r>
    </w:p>
  </w:footnote>
  <w:footnote w:id="20">
    <w:p w14:paraId="5F4310B5" w14:textId="649405BF" w:rsidR="00AD34E9" w:rsidRPr="00AD34E9" w:rsidRDefault="00AD34E9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</w:t>
      </w:r>
      <w:r w:rsidR="008D09FB">
        <w:rPr>
          <w:lang w:val="en-US"/>
        </w:rPr>
        <w:t xml:space="preserve"> paragraph [14</w:t>
      </w:r>
      <w:r w:rsidR="002475AD">
        <w:rPr>
          <w:lang w:val="en-US"/>
        </w:rPr>
        <w:t>].</w:t>
      </w:r>
    </w:p>
  </w:footnote>
  <w:footnote w:id="21">
    <w:p w14:paraId="1F710ECC" w14:textId="55062A10" w:rsidR="004250C4" w:rsidRPr="004250C4" w:rsidRDefault="004250C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applicant pleaded that it was only concluded on 23 December 2020.</w:t>
      </w:r>
    </w:p>
  </w:footnote>
  <w:footnote w:id="22">
    <w:p w14:paraId="12DE2750" w14:textId="25106334" w:rsidR="00482C7A" w:rsidRPr="00482C7A" w:rsidRDefault="00482C7A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22 QBD 131.</w:t>
      </w:r>
    </w:p>
  </w:footnote>
  <w:footnote w:id="23">
    <w:p w14:paraId="0887C48A" w14:textId="4E9C000C" w:rsidR="00016DD7" w:rsidRPr="00016DD7" w:rsidRDefault="00016DD7" w:rsidP="0090484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A75F2">
        <w:rPr>
          <w:lang w:val="en-US"/>
        </w:rPr>
        <w:t>Ci</w:t>
      </w:r>
      <w:r w:rsidR="00E24F7D">
        <w:rPr>
          <w:lang w:val="en-US"/>
        </w:rPr>
        <w:t xml:space="preserve">ted in RC Claassen, </w:t>
      </w:r>
      <w:r w:rsidR="00E24F7D" w:rsidRPr="002E3AAF">
        <w:rPr>
          <w:i/>
          <w:iCs/>
          <w:lang w:val="en-US"/>
        </w:rPr>
        <w:t>Claassen’s Dictionary of Legal Words and Phrases</w:t>
      </w:r>
      <w:r w:rsidR="000E5F23">
        <w:rPr>
          <w:lang w:val="en-US"/>
        </w:rPr>
        <w:t xml:space="preserve"> (LexisNexis, July 2022, SI 25)</w:t>
      </w:r>
      <w:r w:rsidR="002E3AAF">
        <w:rPr>
          <w:lang w:val="en-US"/>
        </w:rPr>
        <w:t>.</w:t>
      </w:r>
    </w:p>
  </w:footnote>
  <w:footnote w:id="24">
    <w:p w14:paraId="65AFF155" w14:textId="3BD719D9" w:rsidR="00B00D84" w:rsidRPr="00B00D84" w:rsidRDefault="00B00D84" w:rsidP="00A40C9F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42653" w:rsidRPr="00494516">
        <w:rPr>
          <w:i/>
          <w:iCs/>
        </w:rPr>
        <w:t>Venter v Kruger</w:t>
      </w:r>
      <w:r w:rsidR="00942653">
        <w:t xml:space="preserve"> 1971</w:t>
      </w:r>
      <w:r w:rsidR="000948E2">
        <w:t xml:space="preserve"> (3) SA 848 (N); </w:t>
      </w:r>
      <w:r w:rsidR="007B07DA" w:rsidRPr="00494516">
        <w:rPr>
          <w:i/>
          <w:iCs/>
        </w:rPr>
        <w:t>AE Motors (Pty) Ltd v Levitt</w:t>
      </w:r>
      <w:r w:rsidR="007B07DA">
        <w:t xml:space="preserve"> 1972 (3) SA 658 (T)</w:t>
      </w:r>
      <w:r w:rsidR="0014768F">
        <w:t xml:space="preserve">; </w:t>
      </w:r>
      <w:r w:rsidR="0014768F" w:rsidRPr="00494516">
        <w:rPr>
          <w:i/>
          <w:iCs/>
        </w:rPr>
        <w:t>Rossouw v FirstRand Bank Ltd</w:t>
      </w:r>
      <w:r w:rsidR="0014768F">
        <w:t xml:space="preserve"> 2010 (6) SA </w:t>
      </w:r>
      <w:r w:rsidR="005D10CD">
        <w:t xml:space="preserve">439 (SCA), at 453 I-J. See, too, the discussion in </w:t>
      </w:r>
      <w:r w:rsidR="00942653">
        <w:rPr>
          <w:lang w:val="en-US"/>
        </w:rPr>
        <w:t xml:space="preserve">DE van </w:t>
      </w:r>
      <w:proofErr w:type="spellStart"/>
      <w:r w:rsidR="005D10CD">
        <w:rPr>
          <w:lang w:val="en-US"/>
        </w:rPr>
        <w:t>Loggerenberg</w:t>
      </w:r>
      <w:proofErr w:type="spellEnd"/>
      <w:r w:rsidR="005D10CD">
        <w:rPr>
          <w:lang w:val="en-US"/>
        </w:rPr>
        <w:t xml:space="preserve">, </w:t>
      </w:r>
      <w:r w:rsidR="005D10CD" w:rsidRPr="00494516">
        <w:rPr>
          <w:i/>
          <w:iCs/>
          <w:lang w:val="en-US"/>
        </w:rPr>
        <w:t xml:space="preserve">op </w:t>
      </w:r>
      <w:proofErr w:type="spellStart"/>
      <w:r w:rsidR="005D10CD" w:rsidRPr="00494516">
        <w:rPr>
          <w:i/>
          <w:iCs/>
          <w:lang w:val="en-US"/>
        </w:rPr>
        <w:t>cit</w:t>
      </w:r>
      <w:proofErr w:type="spellEnd"/>
      <w:r w:rsidR="005D10CD">
        <w:rPr>
          <w:lang w:val="en-US"/>
        </w:rPr>
        <w:t xml:space="preserve">, </w:t>
      </w:r>
      <w:r w:rsidR="00494516">
        <w:rPr>
          <w:lang w:val="en-US"/>
        </w:rPr>
        <w:t>at D1-406.</w:t>
      </w:r>
    </w:p>
  </w:footnote>
  <w:footnote w:id="25">
    <w:p w14:paraId="788B40A6" w14:textId="6C41CC9A" w:rsidR="00423CAD" w:rsidRPr="00423CAD" w:rsidRDefault="00423CAD" w:rsidP="00A40C9F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45F26">
        <w:rPr>
          <w:i/>
          <w:iCs/>
          <w:lang w:val="en-US"/>
        </w:rPr>
        <w:t>Visser v De la Ray</w:t>
      </w:r>
      <w:r>
        <w:rPr>
          <w:lang w:val="en-US"/>
        </w:rPr>
        <w:t xml:space="preserve"> </w:t>
      </w:r>
      <w:r w:rsidR="007129E4">
        <w:rPr>
          <w:lang w:val="en-US"/>
        </w:rPr>
        <w:t>1980 (3) SA 147 (T), at 150.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355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4B6E1" w14:textId="588969C9" w:rsidR="00A22C45" w:rsidRDefault="00A22C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6ED84" w14:textId="77777777" w:rsidR="00A22C45" w:rsidRDefault="00A22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7F6"/>
    <w:multiLevelType w:val="hybridMultilevel"/>
    <w:tmpl w:val="C6BC9E4E"/>
    <w:lvl w:ilvl="0" w:tplc="99E0B4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DD460B"/>
    <w:multiLevelType w:val="hybridMultilevel"/>
    <w:tmpl w:val="A1663D78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7634"/>
    <w:multiLevelType w:val="hybridMultilevel"/>
    <w:tmpl w:val="561E15D4"/>
    <w:lvl w:ilvl="0" w:tplc="3FF86F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6B38ED"/>
    <w:multiLevelType w:val="hybridMultilevel"/>
    <w:tmpl w:val="49A489F2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43B16"/>
    <w:multiLevelType w:val="hybridMultilevel"/>
    <w:tmpl w:val="D020FE68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986"/>
    <w:multiLevelType w:val="hybridMultilevel"/>
    <w:tmpl w:val="DA5A3402"/>
    <w:lvl w:ilvl="0" w:tplc="E73A5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511E2"/>
    <w:multiLevelType w:val="hybridMultilevel"/>
    <w:tmpl w:val="855232B2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41A9C"/>
    <w:multiLevelType w:val="hybridMultilevel"/>
    <w:tmpl w:val="1A8CE4BE"/>
    <w:lvl w:ilvl="0" w:tplc="A56469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68983">
    <w:abstractNumId w:val="2"/>
  </w:num>
  <w:num w:numId="2" w16cid:durableId="1875800219">
    <w:abstractNumId w:val="0"/>
  </w:num>
  <w:num w:numId="3" w16cid:durableId="884834238">
    <w:abstractNumId w:val="5"/>
  </w:num>
  <w:num w:numId="4" w16cid:durableId="1783958329">
    <w:abstractNumId w:val="4"/>
  </w:num>
  <w:num w:numId="5" w16cid:durableId="1012878206">
    <w:abstractNumId w:val="6"/>
  </w:num>
  <w:num w:numId="6" w16cid:durableId="662049235">
    <w:abstractNumId w:val="7"/>
  </w:num>
  <w:num w:numId="7" w16cid:durableId="1769547102">
    <w:abstractNumId w:val="3"/>
  </w:num>
  <w:num w:numId="8" w16cid:durableId="1802116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AD"/>
    <w:rsid w:val="00001AEC"/>
    <w:rsid w:val="00002254"/>
    <w:rsid w:val="00005504"/>
    <w:rsid w:val="00010FE4"/>
    <w:rsid w:val="0001386C"/>
    <w:rsid w:val="00014CFE"/>
    <w:rsid w:val="00015B5C"/>
    <w:rsid w:val="00016DD7"/>
    <w:rsid w:val="0002674F"/>
    <w:rsid w:val="000274AE"/>
    <w:rsid w:val="0003394F"/>
    <w:rsid w:val="0003407A"/>
    <w:rsid w:val="00041F81"/>
    <w:rsid w:val="00042027"/>
    <w:rsid w:val="00042103"/>
    <w:rsid w:val="00043071"/>
    <w:rsid w:val="000443B9"/>
    <w:rsid w:val="000479E4"/>
    <w:rsid w:val="000479E6"/>
    <w:rsid w:val="0005472C"/>
    <w:rsid w:val="00056C53"/>
    <w:rsid w:val="000579B1"/>
    <w:rsid w:val="00057DE3"/>
    <w:rsid w:val="000820F5"/>
    <w:rsid w:val="000830CD"/>
    <w:rsid w:val="0008640B"/>
    <w:rsid w:val="0009284C"/>
    <w:rsid w:val="00092DF0"/>
    <w:rsid w:val="000948E2"/>
    <w:rsid w:val="00096309"/>
    <w:rsid w:val="00097592"/>
    <w:rsid w:val="000A1478"/>
    <w:rsid w:val="000A3460"/>
    <w:rsid w:val="000A447F"/>
    <w:rsid w:val="000A44B8"/>
    <w:rsid w:val="000A5E64"/>
    <w:rsid w:val="000A7D55"/>
    <w:rsid w:val="000B203A"/>
    <w:rsid w:val="000B3BBB"/>
    <w:rsid w:val="000B5C57"/>
    <w:rsid w:val="000C1CA0"/>
    <w:rsid w:val="000C2B0A"/>
    <w:rsid w:val="000E5F23"/>
    <w:rsid w:val="000F27EA"/>
    <w:rsid w:val="000F3A24"/>
    <w:rsid w:val="000F5F31"/>
    <w:rsid w:val="000F753F"/>
    <w:rsid w:val="001036EC"/>
    <w:rsid w:val="0010433D"/>
    <w:rsid w:val="00107485"/>
    <w:rsid w:val="001119BF"/>
    <w:rsid w:val="00115C8B"/>
    <w:rsid w:val="00120674"/>
    <w:rsid w:val="00122900"/>
    <w:rsid w:val="00124712"/>
    <w:rsid w:val="00126DCF"/>
    <w:rsid w:val="00126F77"/>
    <w:rsid w:val="00133DFA"/>
    <w:rsid w:val="00133EBA"/>
    <w:rsid w:val="00134728"/>
    <w:rsid w:val="00136627"/>
    <w:rsid w:val="0013668A"/>
    <w:rsid w:val="00142EE1"/>
    <w:rsid w:val="001467AE"/>
    <w:rsid w:val="001468F9"/>
    <w:rsid w:val="00146B6C"/>
    <w:rsid w:val="0014768F"/>
    <w:rsid w:val="001537C1"/>
    <w:rsid w:val="00154B3F"/>
    <w:rsid w:val="001563D5"/>
    <w:rsid w:val="00162032"/>
    <w:rsid w:val="00164BC2"/>
    <w:rsid w:val="00174882"/>
    <w:rsid w:val="001807E0"/>
    <w:rsid w:val="001819BC"/>
    <w:rsid w:val="00186DED"/>
    <w:rsid w:val="00194C37"/>
    <w:rsid w:val="00195F4E"/>
    <w:rsid w:val="001A2E17"/>
    <w:rsid w:val="001A3748"/>
    <w:rsid w:val="001B1007"/>
    <w:rsid w:val="001B55A0"/>
    <w:rsid w:val="001B6D23"/>
    <w:rsid w:val="001B7BD3"/>
    <w:rsid w:val="001C442A"/>
    <w:rsid w:val="001C7D24"/>
    <w:rsid w:val="001D6F82"/>
    <w:rsid w:val="001E3A5C"/>
    <w:rsid w:val="001E4D5E"/>
    <w:rsid w:val="001F0CCC"/>
    <w:rsid w:val="001F1663"/>
    <w:rsid w:val="001F1677"/>
    <w:rsid w:val="001F32AB"/>
    <w:rsid w:val="001F47B5"/>
    <w:rsid w:val="001F60B5"/>
    <w:rsid w:val="001F6A20"/>
    <w:rsid w:val="001F72BA"/>
    <w:rsid w:val="00205997"/>
    <w:rsid w:val="00206309"/>
    <w:rsid w:val="00210AAB"/>
    <w:rsid w:val="00210C0C"/>
    <w:rsid w:val="00212023"/>
    <w:rsid w:val="0021340F"/>
    <w:rsid w:val="0021735F"/>
    <w:rsid w:val="00221557"/>
    <w:rsid w:val="002247E3"/>
    <w:rsid w:val="00226EC0"/>
    <w:rsid w:val="00227BC3"/>
    <w:rsid w:val="00232F33"/>
    <w:rsid w:val="00233EB7"/>
    <w:rsid w:val="00234037"/>
    <w:rsid w:val="0023717A"/>
    <w:rsid w:val="00241F94"/>
    <w:rsid w:val="00247414"/>
    <w:rsid w:val="002475AD"/>
    <w:rsid w:val="002512C4"/>
    <w:rsid w:val="002523A1"/>
    <w:rsid w:val="00254451"/>
    <w:rsid w:val="00255CCB"/>
    <w:rsid w:val="00266677"/>
    <w:rsid w:val="00273922"/>
    <w:rsid w:val="00276474"/>
    <w:rsid w:val="00277440"/>
    <w:rsid w:val="00284908"/>
    <w:rsid w:val="00284E6C"/>
    <w:rsid w:val="00285F0B"/>
    <w:rsid w:val="002922E0"/>
    <w:rsid w:val="00293291"/>
    <w:rsid w:val="00295176"/>
    <w:rsid w:val="002973B1"/>
    <w:rsid w:val="002A227B"/>
    <w:rsid w:val="002A2D44"/>
    <w:rsid w:val="002B0817"/>
    <w:rsid w:val="002B4BE4"/>
    <w:rsid w:val="002B4E6A"/>
    <w:rsid w:val="002C0B4F"/>
    <w:rsid w:val="002C22EE"/>
    <w:rsid w:val="002C5333"/>
    <w:rsid w:val="002C7B0B"/>
    <w:rsid w:val="002C7F4C"/>
    <w:rsid w:val="002D0353"/>
    <w:rsid w:val="002D2039"/>
    <w:rsid w:val="002D4833"/>
    <w:rsid w:val="002D57E7"/>
    <w:rsid w:val="002E1EC6"/>
    <w:rsid w:val="002E3AAF"/>
    <w:rsid w:val="002F0EB1"/>
    <w:rsid w:val="002F2932"/>
    <w:rsid w:val="002F6032"/>
    <w:rsid w:val="002F7867"/>
    <w:rsid w:val="003029E6"/>
    <w:rsid w:val="0030373C"/>
    <w:rsid w:val="00310A3D"/>
    <w:rsid w:val="00315B66"/>
    <w:rsid w:val="003264F1"/>
    <w:rsid w:val="00327E51"/>
    <w:rsid w:val="0033118A"/>
    <w:rsid w:val="00331744"/>
    <w:rsid w:val="0033305D"/>
    <w:rsid w:val="003356AD"/>
    <w:rsid w:val="00344A07"/>
    <w:rsid w:val="00345C18"/>
    <w:rsid w:val="00352D90"/>
    <w:rsid w:val="0035316D"/>
    <w:rsid w:val="00355FC9"/>
    <w:rsid w:val="00366810"/>
    <w:rsid w:val="0036752B"/>
    <w:rsid w:val="00371B41"/>
    <w:rsid w:val="00373D3E"/>
    <w:rsid w:val="00374C5C"/>
    <w:rsid w:val="00380CFD"/>
    <w:rsid w:val="00381AA8"/>
    <w:rsid w:val="00383932"/>
    <w:rsid w:val="003840CD"/>
    <w:rsid w:val="00394978"/>
    <w:rsid w:val="003A2C24"/>
    <w:rsid w:val="003A4D25"/>
    <w:rsid w:val="003A75F2"/>
    <w:rsid w:val="003B0117"/>
    <w:rsid w:val="003B11C5"/>
    <w:rsid w:val="003B1ACC"/>
    <w:rsid w:val="003B4553"/>
    <w:rsid w:val="003B660B"/>
    <w:rsid w:val="003C06FB"/>
    <w:rsid w:val="003C0C2D"/>
    <w:rsid w:val="003C2A28"/>
    <w:rsid w:val="003C2F70"/>
    <w:rsid w:val="003C4CF5"/>
    <w:rsid w:val="003C67C1"/>
    <w:rsid w:val="003C6890"/>
    <w:rsid w:val="003C7BD0"/>
    <w:rsid w:val="003D2FF0"/>
    <w:rsid w:val="003E00C2"/>
    <w:rsid w:val="003E2A2A"/>
    <w:rsid w:val="003E7CB4"/>
    <w:rsid w:val="003F06F8"/>
    <w:rsid w:val="003F0BBD"/>
    <w:rsid w:val="003F5018"/>
    <w:rsid w:val="003F713C"/>
    <w:rsid w:val="00402324"/>
    <w:rsid w:val="004045BD"/>
    <w:rsid w:val="004050BC"/>
    <w:rsid w:val="00415B19"/>
    <w:rsid w:val="00417634"/>
    <w:rsid w:val="00422B5D"/>
    <w:rsid w:val="004234CD"/>
    <w:rsid w:val="00423CAD"/>
    <w:rsid w:val="004250C4"/>
    <w:rsid w:val="00426C46"/>
    <w:rsid w:val="0043611B"/>
    <w:rsid w:val="004363C9"/>
    <w:rsid w:val="00441705"/>
    <w:rsid w:val="0044272F"/>
    <w:rsid w:val="00442E0A"/>
    <w:rsid w:val="00446910"/>
    <w:rsid w:val="004565FF"/>
    <w:rsid w:val="00456E48"/>
    <w:rsid w:val="00461CD2"/>
    <w:rsid w:val="0046228B"/>
    <w:rsid w:val="00462B76"/>
    <w:rsid w:val="00462E82"/>
    <w:rsid w:val="00466DED"/>
    <w:rsid w:val="00467816"/>
    <w:rsid w:val="004722E1"/>
    <w:rsid w:val="004749E7"/>
    <w:rsid w:val="00476381"/>
    <w:rsid w:val="00476564"/>
    <w:rsid w:val="0047795B"/>
    <w:rsid w:val="00482C7A"/>
    <w:rsid w:val="00486411"/>
    <w:rsid w:val="00494516"/>
    <w:rsid w:val="004A2BB5"/>
    <w:rsid w:val="004B4E00"/>
    <w:rsid w:val="004B713A"/>
    <w:rsid w:val="004C11A1"/>
    <w:rsid w:val="004C2429"/>
    <w:rsid w:val="004C5442"/>
    <w:rsid w:val="004D131B"/>
    <w:rsid w:val="004D1CFD"/>
    <w:rsid w:val="004D2B5D"/>
    <w:rsid w:val="004D3823"/>
    <w:rsid w:val="004D6F85"/>
    <w:rsid w:val="004D72CD"/>
    <w:rsid w:val="004E5F1A"/>
    <w:rsid w:val="004E7571"/>
    <w:rsid w:val="004F0396"/>
    <w:rsid w:val="004F23B7"/>
    <w:rsid w:val="004F6DD2"/>
    <w:rsid w:val="00504AD2"/>
    <w:rsid w:val="00505A02"/>
    <w:rsid w:val="00513A10"/>
    <w:rsid w:val="005300BB"/>
    <w:rsid w:val="005305F2"/>
    <w:rsid w:val="00540706"/>
    <w:rsid w:val="0054354D"/>
    <w:rsid w:val="005436EA"/>
    <w:rsid w:val="00545F26"/>
    <w:rsid w:val="005462C2"/>
    <w:rsid w:val="00547A94"/>
    <w:rsid w:val="00551A73"/>
    <w:rsid w:val="0055341A"/>
    <w:rsid w:val="00554003"/>
    <w:rsid w:val="00567B01"/>
    <w:rsid w:val="00567BFC"/>
    <w:rsid w:val="00570F8A"/>
    <w:rsid w:val="005770DC"/>
    <w:rsid w:val="00577A04"/>
    <w:rsid w:val="005825DC"/>
    <w:rsid w:val="00586EAE"/>
    <w:rsid w:val="00595169"/>
    <w:rsid w:val="005A2B3A"/>
    <w:rsid w:val="005A65E2"/>
    <w:rsid w:val="005A678E"/>
    <w:rsid w:val="005B67F6"/>
    <w:rsid w:val="005B78D7"/>
    <w:rsid w:val="005C0177"/>
    <w:rsid w:val="005C12A0"/>
    <w:rsid w:val="005C4E06"/>
    <w:rsid w:val="005C5C85"/>
    <w:rsid w:val="005D06C4"/>
    <w:rsid w:val="005D10CD"/>
    <w:rsid w:val="005D1EB1"/>
    <w:rsid w:val="005D23D0"/>
    <w:rsid w:val="005D2A56"/>
    <w:rsid w:val="005D2BA0"/>
    <w:rsid w:val="005D2FD2"/>
    <w:rsid w:val="005E0DF5"/>
    <w:rsid w:val="005E1701"/>
    <w:rsid w:val="005E46D8"/>
    <w:rsid w:val="005F0962"/>
    <w:rsid w:val="005F221F"/>
    <w:rsid w:val="006026D9"/>
    <w:rsid w:val="00611EAD"/>
    <w:rsid w:val="006144D0"/>
    <w:rsid w:val="006158B0"/>
    <w:rsid w:val="006174A4"/>
    <w:rsid w:val="00617CE4"/>
    <w:rsid w:val="006221B5"/>
    <w:rsid w:val="00622990"/>
    <w:rsid w:val="00622B6E"/>
    <w:rsid w:val="00623ED2"/>
    <w:rsid w:val="00625766"/>
    <w:rsid w:val="006318CD"/>
    <w:rsid w:val="00632525"/>
    <w:rsid w:val="00634167"/>
    <w:rsid w:val="006364F7"/>
    <w:rsid w:val="006413D6"/>
    <w:rsid w:val="006417B8"/>
    <w:rsid w:val="00641B20"/>
    <w:rsid w:val="0064306A"/>
    <w:rsid w:val="00643B08"/>
    <w:rsid w:val="00650D88"/>
    <w:rsid w:val="00651033"/>
    <w:rsid w:val="006512D5"/>
    <w:rsid w:val="0066076E"/>
    <w:rsid w:val="00660BF3"/>
    <w:rsid w:val="00661ACA"/>
    <w:rsid w:val="006640F6"/>
    <w:rsid w:val="00667F34"/>
    <w:rsid w:val="006709E2"/>
    <w:rsid w:val="00670D1C"/>
    <w:rsid w:val="00671C81"/>
    <w:rsid w:val="00674915"/>
    <w:rsid w:val="00675571"/>
    <w:rsid w:val="00676D92"/>
    <w:rsid w:val="00687D16"/>
    <w:rsid w:val="00695E8F"/>
    <w:rsid w:val="006A6662"/>
    <w:rsid w:val="006B1F5C"/>
    <w:rsid w:val="006B41D6"/>
    <w:rsid w:val="006B4D16"/>
    <w:rsid w:val="006C1B60"/>
    <w:rsid w:val="006C4F5D"/>
    <w:rsid w:val="006D19A9"/>
    <w:rsid w:val="006D3979"/>
    <w:rsid w:val="006D4011"/>
    <w:rsid w:val="006D51E0"/>
    <w:rsid w:val="006D6318"/>
    <w:rsid w:val="006D6368"/>
    <w:rsid w:val="006E3C72"/>
    <w:rsid w:val="006F608C"/>
    <w:rsid w:val="006F7C3D"/>
    <w:rsid w:val="00710539"/>
    <w:rsid w:val="007129E4"/>
    <w:rsid w:val="00713933"/>
    <w:rsid w:val="007141B3"/>
    <w:rsid w:val="00715FB0"/>
    <w:rsid w:val="00720C75"/>
    <w:rsid w:val="00720F7D"/>
    <w:rsid w:val="00723FFE"/>
    <w:rsid w:val="00725D28"/>
    <w:rsid w:val="00731795"/>
    <w:rsid w:val="00731E13"/>
    <w:rsid w:val="00733FF9"/>
    <w:rsid w:val="0073422B"/>
    <w:rsid w:val="00734943"/>
    <w:rsid w:val="00734DF7"/>
    <w:rsid w:val="00737446"/>
    <w:rsid w:val="00737E93"/>
    <w:rsid w:val="00740754"/>
    <w:rsid w:val="00743F96"/>
    <w:rsid w:val="00754DB5"/>
    <w:rsid w:val="00756B35"/>
    <w:rsid w:val="00760BBF"/>
    <w:rsid w:val="00766178"/>
    <w:rsid w:val="0077263C"/>
    <w:rsid w:val="00773B12"/>
    <w:rsid w:val="00784552"/>
    <w:rsid w:val="007854AE"/>
    <w:rsid w:val="0078572B"/>
    <w:rsid w:val="00786402"/>
    <w:rsid w:val="00790592"/>
    <w:rsid w:val="00795274"/>
    <w:rsid w:val="007A048E"/>
    <w:rsid w:val="007A1E03"/>
    <w:rsid w:val="007A3597"/>
    <w:rsid w:val="007A5843"/>
    <w:rsid w:val="007A5E09"/>
    <w:rsid w:val="007A691F"/>
    <w:rsid w:val="007B07DA"/>
    <w:rsid w:val="007B09DF"/>
    <w:rsid w:val="007B6829"/>
    <w:rsid w:val="007C010B"/>
    <w:rsid w:val="007C0C7E"/>
    <w:rsid w:val="007C149F"/>
    <w:rsid w:val="007C31EC"/>
    <w:rsid w:val="007C334A"/>
    <w:rsid w:val="007C4972"/>
    <w:rsid w:val="007C6352"/>
    <w:rsid w:val="007D309B"/>
    <w:rsid w:val="007D3914"/>
    <w:rsid w:val="007D5041"/>
    <w:rsid w:val="007D5C84"/>
    <w:rsid w:val="007E3EE7"/>
    <w:rsid w:val="007F3736"/>
    <w:rsid w:val="007F45BF"/>
    <w:rsid w:val="007F747F"/>
    <w:rsid w:val="007F7C47"/>
    <w:rsid w:val="00801B77"/>
    <w:rsid w:val="00802DE0"/>
    <w:rsid w:val="00810DB7"/>
    <w:rsid w:val="00813294"/>
    <w:rsid w:val="0081425F"/>
    <w:rsid w:val="00815A16"/>
    <w:rsid w:val="00820A47"/>
    <w:rsid w:val="00827E57"/>
    <w:rsid w:val="008311E3"/>
    <w:rsid w:val="00833A95"/>
    <w:rsid w:val="00840B05"/>
    <w:rsid w:val="00841ADF"/>
    <w:rsid w:val="00843E54"/>
    <w:rsid w:val="00850A3F"/>
    <w:rsid w:val="008540CF"/>
    <w:rsid w:val="00855108"/>
    <w:rsid w:val="00857178"/>
    <w:rsid w:val="00864288"/>
    <w:rsid w:val="00870073"/>
    <w:rsid w:val="00870C85"/>
    <w:rsid w:val="00871C5E"/>
    <w:rsid w:val="00883253"/>
    <w:rsid w:val="0088493D"/>
    <w:rsid w:val="00887050"/>
    <w:rsid w:val="0089213F"/>
    <w:rsid w:val="00892956"/>
    <w:rsid w:val="008931E1"/>
    <w:rsid w:val="008A5BCC"/>
    <w:rsid w:val="008A6CF6"/>
    <w:rsid w:val="008B4116"/>
    <w:rsid w:val="008B4999"/>
    <w:rsid w:val="008C6358"/>
    <w:rsid w:val="008D033B"/>
    <w:rsid w:val="008D09FB"/>
    <w:rsid w:val="008D16B3"/>
    <w:rsid w:val="008D1F23"/>
    <w:rsid w:val="008D2FFE"/>
    <w:rsid w:val="008D5079"/>
    <w:rsid w:val="008D5C9B"/>
    <w:rsid w:val="008E11F6"/>
    <w:rsid w:val="008E574D"/>
    <w:rsid w:val="008E7081"/>
    <w:rsid w:val="008E7A57"/>
    <w:rsid w:val="008F04A1"/>
    <w:rsid w:val="008F5182"/>
    <w:rsid w:val="008F5A70"/>
    <w:rsid w:val="008F688D"/>
    <w:rsid w:val="008F723B"/>
    <w:rsid w:val="0090095A"/>
    <w:rsid w:val="009026F5"/>
    <w:rsid w:val="00904849"/>
    <w:rsid w:val="0090738F"/>
    <w:rsid w:val="00907529"/>
    <w:rsid w:val="00912E64"/>
    <w:rsid w:val="00926616"/>
    <w:rsid w:val="00927F64"/>
    <w:rsid w:val="0093228E"/>
    <w:rsid w:val="00936CE5"/>
    <w:rsid w:val="00940CEB"/>
    <w:rsid w:val="00941A92"/>
    <w:rsid w:val="00942653"/>
    <w:rsid w:val="00942E85"/>
    <w:rsid w:val="0094595A"/>
    <w:rsid w:val="009469B3"/>
    <w:rsid w:val="00950FAD"/>
    <w:rsid w:val="00954289"/>
    <w:rsid w:val="009546AF"/>
    <w:rsid w:val="00961F56"/>
    <w:rsid w:val="00962ACB"/>
    <w:rsid w:val="0096305F"/>
    <w:rsid w:val="00966B38"/>
    <w:rsid w:val="00971138"/>
    <w:rsid w:val="00971740"/>
    <w:rsid w:val="0097219D"/>
    <w:rsid w:val="00977581"/>
    <w:rsid w:val="009806BC"/>
    <w:rsid w:val="00980F5C"/>
    <w:rsid w:val="00981AB9"/>
    <w:rsid w:val="00985D1C"/>
    <w:rsid w:val="00990094"/>
    <w:rsid w:val="00995257"/>
    <w:rsid w:val="00995CAE"/>
    <w:rsid w:val="009B5012"/>
    <w:rsid w:val="009B5179"/>
    <w:rsid w:val="009C0E5C"/>
    <w:rsid w:val="009C1968"/>
    <w:rsid w:val="009C1D49"/>
    <w:rsid w:val="009C22C4"/>
    <w:rsid w:val="009C2AC5"/>
    <w:rsid w:val="009C702B"/>
    <w:rsid w:val="009D1F91"/>
    <w:rsid w:val="009D6F67"/>
    <w:rsid w:val="009D7838"/>
    <w:rsid w:val="009E050A"/>
    <w:rsid w:val="009E16E7"/>
    <w:rsid w:val="009E4C6D"/>
    <w:rsid w:val="009E768C"/>
    <w:rsid w:val="009F0F7E"/>
    <w:rsid w:val="009F6C79"/>
    <w:rsid w:val="00A00A78"/>
    <w:rsid w:val="00A018C8"/>
    <w:rsid w:val="00A01C1B"/>
    <w:rsid w:val="00A02CBF"/>
    <w:rsid w:val="00A12A96"/>
    <w:rsid w:val="00A1544B"/>
    <w:rsid w:val="00A20218"/>
    <w:rsid w:val="00A20983"/>
    <w:rsid w:val="00A22C45"/>
    <w:rsid w:val="00A27034"/>
    <w:rsid w:val="00A2721B"/>
    <w:rsid w:val="00A3295A"/>
    <w:rsid w:val="00A334B8"/>
    <w:rsid w:val="00A34AC9"/>
    <w:rsid w:val="00A35DD6"/>
    <w:rsid w:val="00A40C9F"/>
    <w:rsid w:val="00A44C55"/>
    <w:rsid w:val="00A45962"/>
    <w:rsid w:val="00A4610C"/>
    <w:rsid w:val="00A468CC"/>
    <w:rsid w:val="00A4764B"/>
    <w:rsid w:val="00A574AD"/>
    <w:rsid w:val="00A62174"/>
    <w:rsid w:val="00A67D3A"/>
    <w:rsid w:val="00A71142"/>
    <w:rsid w:val="00A71D6F"/>
    <w:rsid w:val="00A754B1"/>
    <w:rsid w:val="00A765E7"/>
    <w:rsid w:val="00A80F04"/>
    <w:rsid w:val="00AA003F"/>
    <w:rsid w:val="00AA0C8B"/>
    <w:rsid w:val="00AB3AC7"/>
    <w:rsid w:val="00AB5858"/>
    <w:rsid w:val="00AC1859"/>
    <w:rsid w:val="00AC3D4E"/>
    <w:rsid w:val="00AD34E9"/>
    <w:rsid w:val="00AD41F8"/>
    <w:rsid w:val="00AF5AB5"/>
    <w:rsid w:val="00B00D84"/>
    <w:rsid w:val="00B04643"/>
    <w:rsid w:val="00B048C3"/>
    <w:rsid w:val="00B06C45"/>
    <w:rsid w:val="00B20BC6"/>
    <w:rsid w:val="00B2123D"/>
    <w:rsid w:val="00B21CC3"/>
    <w:rsid w:val="00B22D16"/>
    <w:rsid w:val="00B3121D"/>
    <w:rsid w:val="00B34F2A"/>
    <w:rsid w:val="00B35D25"/>
    <w:rsid w:val="00B400F3"/>
    <w:rsid w:val="00B4028A"/>
    <w:rsid w:val="00B4151C"/>
    <w:rsid w:val="00B43156"/>
    <w:rsid w:val="00B44049"/>
    <w:rsid w:val="00B45479"/>
    <w:rsid w:val="00B45760"/>
    <w:rsid w:val="00B46E15"/>
    <w:rsid w:val="00B51ABA"/>
    <w:rsid w:val="00B551CA"/>
    <w:rsid w:val="00B563B8"/>
    <w:rsid w:val="00B563E6"/>
    <w:rsid w:val="00B64797"/>
    <w:rsid w:val="00B6551D"/>
    <w:rsid w:val="00B668AD"/>
    <w:rsid w:val="00B66F21"/>
    <w:rsid w:val="00B73BAF"/>
    <w:rsid w:val="00B749CA"/>
    <w:rsid w:val="00B75F00"/>
    <w:rsid w:val="00B76BEB"/>
    <w:rsid w:val="00B7735E"/>
    <w:rsid w:val="00B90202"/>
    <w:rsid w:val="00B90871"/>
    <w:rsid w:val="00B91502"/>
    <w:rsid w:val="00B919AF"/>
    <w:rsid w:val="00BA2412"/>
    <w:rsid w:val="00BA3ADE"/>
    <w:rsid w:val="00BA6108"/>
    <w:rsid w:val="00BB2437"/>
    <w:rsid w:val="00BB3F27"/>
    <w:rsid w:val="00BB7372"/>
    <w:rsid w:val="00BC02F8"/>
    <w:rsid w:val="00BC254A"/>
    <w:rsid w:val="00BC3462"/>
    <w:rsid w:val="00BC35A7"/>
    <w:rsid w:val="00BC56FB"/>
    <w:rsid w:val="00BC6A05"/>
    <w:rsid w:val="00BE18B7"/>
    <w:rsid w:val="00BE18DA"/>
    <w:rsid w:val="00BE25BB"/>
    <w:rsid w:val="00BE33D6"/>
    <w:rsid w:val="00BE5BCA"/>
    <w:rsid w:val="00BE7313"/>
    <w:rsid w:val="00BF0E93"/>
    <w:rsid w:val="00BF269E"/>
    <w:rsid w:val="00BF540F"/>
    <w:rsid w:val="00BF5A16"/>
    <w:rsid w:val="00C05095"/>
    <w:rsid w:val="00C06EA8"/>
    <w:rsid w:val="00C07D55"/>
    <w:rsid w:val="00C12C84"/>
    <w:rsid w:val="00C1593E"/>
    <w:rsid w:val="00C179B6"/>
    <w:rsid w:val="00C17F6F"/>
    <w:rsid w:val="00C20A50"/>
    <w:rsid w:val="00C23174"/>
    <w:rsid w:val="00C27F33"/>
    <w:rsid w:val="00C30DE9"/>
    <w:rsid w:val="00C36268"/>
    <w:rsid w:val="00C41B25"/>
    <w:rsid w:val="00C42281"/>
    <w:rsid w:val="00C4359A"/>
    <w:rsid w:val="00C4431F"/>
    <w:rsid w:val="00C51E00"/>
    <w:rsid w:val="00C5539F"/>
    <w:rsid w:val="00C55AE2"/>
    <w:rsid w:val="00C57015"/>
    <w:rsid w:val="00C578B8"/>
    <w:rsid w:val="00C57BB3"/>
    <w:rsid w:val="00C64E34"/>
    <w:rsid w:val="00C6500E"/>
    <w:rsid w:val="00C65251"/>
    <w:rsid w:val="00C660BB"/>
    <w:rsid w:val="00C70AB5"/>
    <w:rsid w:val="00C7194D"/>
    <w:rsid w:val="00C72C55"/>
    <w:rsid w:val="00C77F85"/>
    <w:rsid w:val="00C8090E"/>
    <w:rsid w:val="00C81815"/>
    <w:rsid w:val="00C85E87"/>
    <w:rsid w:val="00C87E5B"/>
    <w:rsid w:val="00CA33E1"/>
    <w:rsid w:val="00CA4401"/>
    <w:rsid w:val="00CA5DB8"/>
    <w:rsid w:val="00CA7BD5"/>
    <w:rsid w:val="00CB3113"/>
    <w:rsid w:val="00CB5B1A"/>
    <w:rsid w:val="00CB7902"/>
    <w:rsid w:val="00CC2F5D"/>
    <w:rsid w:val="00CC43FB"/>
    <w:rsid w:val="00CC47DD"/>
    <w:rsid w:val="00CD1E0F"/>
    <w:rsid w:val="00CE2855"/>
    <w:rsid w:val="00CE3A96"/>
    <w:rsid w:val="00CE60FA"/>
    <w:rsid w:val="00CF04A3"/>
    <w:rsid w:val="00CF1AEE"/>
    <w:rsid w:val="00CF3DC7"/>
    <w:rsid w:val="00CF3E4E"/>
    <w:rsid w:val="00CF4E1E"/>
    <w:rsid w:val="00CF602C"/>
    <w:rsid w:val="00D10213"/>
    <w:rsid w:val="00D14FCD"/>
    <w:rsid w:val="00D20A6C"/>
    <w:rsid w:val="00D21204"/>
    <w:rsid w:val="00D224CE"/>
    <w:rsid w:val="00D22559"/>
    <w:rsid w:val="00D22ED8"/>
    <w:rsid w:val="00D30C65"/>
    <w:rsid w:val="00D32074"/>
    <w:rsid w:val="00D36351"/>
    <w:rsid w:val="00D40CCC"/>
    <w:rsid w:val="00D4157C"/>
    <w:rsid w:val="00D4497C"/>
    <w:rsid w:val="00D466FB"/>
    <w:rsid w:val="00D63DD0"/>
    <w:rsid w:val="00D63F5D"/>
    <w:rsid w:val="00D64495"/>
    <w:rsid w:val="00D72D5F"/>
    <w:rsid w:val="00D84218"/>
    <w:rsid w:val="00D84738"/>
    <w:rsid w:val="00D8738E"/>
    <w:rsid w:val="00D91924"/>
    <w:rsid w:val="00D92FEA"/>
    <w:rsid w:val="00D946BF"/>
    <w:rsid w:val="00D95D35"/>
    <w:rsid w:val="00DA2E87"/>
    <w:rsid w:val="00DB0EFC"/>
    <w:rsid w:val="00DB3D31"/>
    <w:rsid w:val="00DB78DA"/>
    <w:rsid w:val="00DC0152"/>
    <w:rsid w:val="00DC362D"/>
    <w:rsid w:val="00DC371A"/>
    <w:rsid w:val="00DC3D99"/>
    <w:rsid w:val="00DC4C78"/>
    <w:rsid w:val="00DD0943"/>
    <w:rsid w:val="00DD6FE2"/>
    <w:rsid w:val="00DE010A"/>
    <w:rsid w:val="00DE1A8C"/>
    <w:rsid w:val="00DE25D2"/>
    <w:rsid w:val="00DE283A"/>
    <w:rsid w:val="00DE2963"/>
    <w:rsid w:val="00DE6052"/>
    <w:rsid w:val="00DF22EC"/>
    <w:rsid w:val="00DF5198"/>
    <w:rsid w:val="00E002C1"/>
    <w:rsid w:val="00E0339F"/>
    <w:rsid w:val="00E05416"/>
    <w:rsid w:val="00E0597F"/>
    <w:rsid w:val="00E06539"/>
    <w:rsid w:val="00E10088"/>
    <w:rsid w:val="00E116B4"/>
    <w:rsid w:val="00E11C7B"/>
    <w:rsid w:val="00E144A0"/>
    <w:rsid w:val="00E14ACC"/>
    <w:rsid w:val="00E23892"/>
    <w:rsid w:val="00E24F7D"/>
    <w:rsid w:val="00E2587A"/>
    <w:rsid w:val="00E31DF1"/>
    <w:rsid w:val="00E351C1"/>
    <w:rsid w:val="00E35E20"/>
    <w:rsid w:val="00E4000F"/>
    <w:rsid w:val="00E43A01"/>
    <w:rsid w:val="00E45135"/>
    <w:rsid w:val="00E5186D"/>
    <w:rsid w:val="00E52C20"/>
    <w:rsid w:val="00E53871"/>
    <w:rsid w:val="00E60A3D"/>
    <w:rsid w:val="00E60C48"/>
    <w:rsid w:val="00E6294B"/>
    <w:rsid w:val="00E67E43"/>
    <w:rsid w:val="00E7131D"/>
    <w:rsid w:val="00E716ED"/>
    <w:rsid w:val="00E71EA2"/>
    <w:rsid w:val="00E738F9"/>
    <w:rsid w:val="00E73C1F"/>
    <w:rsid w:val="00E73DCB"/>
    <w:rsid w:val="00E85ACB"/>
    <w:rsid w:val="00E85CC8"/>
    <w:rsid w:val="00E8715F"/>
    <w:rsid w:val="00E876CC"/>
    <w:rsid w:val="00E90835"/>
    <w:rsid w:val="00E91544"/>
    <w:rsid w:val="00EA48D1"/>
    <w:rsid w:val="00EA5A50"/>
    <w:rsid w:val="00EA66A9"/>
    <w:rsid w:val="00EB28C2"/>
    <w:rsid w:val="00EB4B9B"/>
    <w:rsid w:val="00EB4D5F"/>
    <w:rsid w:val="00EB7E11"/>
    <w:rsid w:val="00EC041D"/>
    <w:rsid w:val="00EC1880"/>
    <w:rsid w:val="00EC2063"/>
    <w:rsid w:val="00EC2855"/>
    <w:rsid w:val="00ED04F2"/>
    <w:rsid w:val="00ED0E2E"/>
    <w:rsid w:val="00ED1BC4"/>
    <w:rsid w:val="00ED64BE"/>
    <w:rsid w:val="00ED775F"/>
    <w:rsid w:val="00EE3811"/>
    <w:rsid w:val="00EE3C64"/>
    <w:rsid w:val="00EE5214"/>
    <w:rsid w:val="00EF0FE4"/>
    <w:rsid w:val="00EF486C"/>
    <w:rsid w:val="00F0053D"/>
    <w:rsid w:val="00F01D00"/>
    <w:rsid w:val="00F02145"/>
    <w:rsid w:val="00F031B5"/>
    <w:rsid w:val="00F050A2"/>
    <w:rsid w:val="00F13041"/>
    <w:rsid w:val="00F15FED"/>
    <w:rsid w:val="00F161C2"/>
    <w:rsid w:val="00F25F4E"/>
    <w:rsid w:val="00F31B04"/>
    <w:rsid w:val="00F37D9E"/>
    <w:rsid w:val="00F40F70"/>
    <w:rsid w:val="00F41083"/>
    <w:rsid w:val="00F41FCA"/>
    <w:rsid w:val="00F44DF1"/>
    <w:rsid w:val="00F4644F"/>
    <w:rsid w:val="00F50702"/>
    <w:rsid w:val="00F5148E"/>
    <w:rsid w:val="00F51684"/>
    <w:rsid w:val="00F51BDD"/>
    <w:rsid w:val="00F52148"/>
    <w:rsid w:val="00F540DD"/>
    <w:rsid w:val="00F541D9"/>
    <w:rsid w:val="00F614A9"/>
    <w:rsid w:val="00F715E2"/>
    <w:rsid w:val="00F72687"/>
    <w:rsid w:val="00F84681"/>
    <w:rsid w:val="00F8527A"/>
    <w:rsid w:val="00F92476"/>
    <w:rsid w:val="00F95205"/>
    <w:rsid w:val="00FA5D98"/>
    <w:rsid w:val="00FB0023"/>
    <w:rsid w:val="00FB3DD8"/>
    <w:rsid w:val="00FC0B81"/>
    <w:rsid w:val="00FC6058"/>
    <w:rsid w:val="00FD0B50"/>
    <w:rsid w:val="00FD0F83"/>
    <w:rsid w:val="00FD144F"/>
    <w:rsid w:val="00FD2B4C"/>
    <w:rsid w:val="00FD63BA"/>
    <w:rsid w:val="00FD7589"/>
    <w:rsid w:val="00FE11D4"/>
    <w:rsid w:val="00FE5B19"/>
    <w:rsid w:val="00FF08DC"/>
    <w:rsid w:val="00FF0AAE"/>
    <w:rsid w:val="00FF272D"/>
    <w:rsid w:val="00FF38E7"/>
    <w:rsid w:val="00FF572F"/>
    <w:rsid w:val="00FF57D4"/>
    <w:rsid w:val="00FF5ACC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DAC85"/>
  <w15:chartTrackingRefBased/>
  <w15:docId w15:val="{562E8D66-B6BE-4DF9-BD0E-A212E1D7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1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B60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C1B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3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7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3C"/>
    <w:rPr>
      <w:lang w:val="en-ZA"/>
    </w:rPr>
  </w:style>
  <w:style w:type="paragraph" w:styleId="ListParagraph">
    <w:name w:val="List Paragraph"/>
    <w:basedOn w:val="Normal"/>
    <w:uiPriority w:val="34"/>
    <w:qFormat/>
    <w:rsid w:val="00A3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3346</Words>
  <Characters>18170</Characters>
  <Application>Microsoft Office Word</Application>
  <DocSecurity>0</DocSecurity>
  <Lines>1009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Justin Laing</dc:creator>
  <cp:keywords/>
  <dc:description/>
  <cp:lastModifiedBy>Mariana Anguelov</cp:lastModifiedBy>
  <cp:revision>3</cp:revision>
  <dcterms:created xsi:type="dcterms:W3CDTF">2023-05-25T09:53:00Z</dcterms:created>
  <dcterms:modified xsi:type="dcterms:W3CDTF">2023-05-28T11:31:00Z</dcterms:modified>
</cp:coreProperties>
</file>