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0BB0" w14:textId="77777777" w:rsidR="00AC2344" w:rsidRDefault="00AC2344" w:rsidP="00AC2344">
      <w:pPr>
        <w:pStyle w:val="Subtitle"/>
        <w:spacing w:after="0" w:line="240" w:lineRule="auto"/>
        <w:jc w:val="center"/>
      </w:pPr>
      <w:r>
        <w:rPr>
          <w:noProof/>
          <w:lang w:val="en-US"/>
        </w:rPr>
        <w:drawing>
          <wp:anchor distT="0" distB="0" distL="114300" distR="114300" simplePos="0" relativeHeight="251658240" behindDoc="0" locked="0" layoutInCell="1" allowOverlap="1" wp14:anchorId="57A50685" wp14:editId="70F7F7CD">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0BC456FA" w14:textId="77777777" w:rsidR="004D75A6" w:rsidRDefault="004D75A6" w:rsidP="00AC2344">
      <w:pPr>
        <w:pStyle w:val="Subtitle"/>
        <w:spacing w:after="0" w:line="240" w:lineRule="auto"/>
        <w:jc w:val="center"/>
      </w:pPr>
    </w:p>
    <w:p w14:paraId="06496800" w14:textId="77777777" w:rsidR="00AC2344" w:rsidRDefault="00AC2344" w:rsidP="00AC2344">
      <w:pPr>
        <w:pStyle w:val="Header"/>
        <w:widowControl w:val="0"/>
        <w:tabs>
          <w:tab w:val="clear" w:pos="4320"/>
          <w:tab w:val="clear" w:pos="8640"/>
        </w:tabs>
        <w:spacing w:line="360" w:lineRule="auto"/>
        <w:jc w:val="center"/>
        <w:rPr>
          <w:rFonts w:cs="Arial"/>
          <w:b/>
          <w:szCs w:val="24"/>
        </w:rPr>
      </w:pPr>
    </w:p>
    <w:p w14:paraId="49277DCC" w14:textId="77777777" w:rsidR="00AC2344" w:rsidRDefault="00AC2344" w:rsidP="00AC2344">
      <w:pPr>
        <w:pStyle w:val="Header"/>
        <w:widowControl w:val="0"/>
        <w:tabs>
          <w:tab w:val="clear" w:pos="4320"/>
          <w:tab w:val="clear" w:pos="8640"/>
        </w:tabs>
        <w:spacing w:line="360" w:lineRule="auto"/>
        <w:jc w:val="center"/>
        <w:rPr>
          <w:rFonts w:cs="Arial"/>
          <w:b/>
          <w:szCs w:val="24"/>
        </w:rPr>
      </w:pPr>
    </w:p>
    <w:p w14:paraId="0B11E4FD" w14:textId="77777777" w:rsidR="004D75A6" w:rsidRPr="004D75A6" w:rsidRDefault="004D75A6" w:rsidP="00AC2344">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14:paraId="488A6446" w14:textId="77777777" w:rsidR="004D75A6" w:rsidRPr="004D75A6" w:rsidRDefault="004D75A6" w:rsidP="00AC2344">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sidR="00387CA9">
        <w:rPr>
          <w:rFonts w:ascii="Arial" w:hAnsi="Arial" w:cs="Arial"/>
          <w:b/>
          <w:sz w:val="24"/>
          <w:szCs w:val="24"/>
        </w:rPr>
        <w:t>MAKHANDA</w:t>
      </w:r>
    </w:p>
    <w:p w14:paraId="0035AB46" w14:textId="77777777" w:rsidR="007A1247" w:rsidRDefault="007A1247" w:rsidP="00AC2344">
      <w:pPr>
        <w:widowControl w:val="0"/>
        <w:tabs>
          <w:tab w:val="right" w:pos="9213"/>
        </w:tabs>
        <w:spacing w:after="0" w:line="240" w:lineRule="auto"/>
        <w:rPr>
          <w:rFonts w:ascii="Arial" w:hAnsi="Arial" w:cs="Arial"/>
          <w:b/>
          <w:sz w:val="24"/>
          <w:szCs w:val="24"/>
        </w:rPr>
      </w:pPr>
    </w:p>
    <w:p w14:paraId="25F847BD" w14:textId="77777777" w:rsidR="009B6CE0" w:rsidRDefault="00333CA5" w:rsidP="009B6CE0">
      <w:pPr>
        <w:widowControl w:val="0"/>
        <w:tabs>
          <w:tab w:val="right" w:pos="9213"/>
        </w:tabs>
        <w:spacing w:after="0" w:line="240" w:lineRule="auto"/>
        <w:rPr>
          <w:rFonts w:ascii="Arial" w:hAnsi="Arial" w:cs="Arial"/>
          <w:b/>
          <w:sz w:val="24"/>
          <w:szCs w:val="24"/>
        </w:rPr>
      </w:pPr>
      <w:r>
        <w:rPr>
          <w:rFonts w:ascii="Arial" w:hAnsi="Arial" w:cs="Arial"/>
          <w:b/>
          <w:sz w:val="24"/>
          <w:szCs w:val="24"/>
        </w:rPr>
        <w:tab/>
      </w:r>
      <w:r w:rsidR="009B6CE0">
        <w:rPr>
          <w:rFonts w:ascii="Arial" w:hAnsi="Arial" w:cs="Arial"/>
          <w:b/>
          <w:sz w:val="24"/>
          <w:szCs w:val="24"/>
        </w:rPr>
        <w:t xml:space="preserve">CASE NO: 624/2020  </w:t>
      </w:r>
    </w:p>
    <w:p w14:paraId="40E4F70D" w14:textId="77777777" w:rsidR="009B6CE0" w:rsidRDefault="009B6CE0" w:rsidP="009B6CE0">
      <w:pPr>
        <w:widowControl w:val="0"/>
        <w:tabs>
          <w:tab w:val="right" w:pos="9213"/>
        </w:tabs>
        <w:spacing w:after="0" w:line="240" w:lineRule="auto"/>
        <w:rPr>
          <w:rFonts w:ascii="Arial" w:hAnsi="Arial" w:cs="Arial"/>
          <w:b/>
          <w:sz w:val="24"/>
          <w:szCs w:val="24"/>
        </w:rPr>
      </w:pPr>
    </w:p>
    <w:p w14:paraId="2AE68A56" w14:textId="77777777" w:rsidR="009B6CE0" w:rsidRDefault="009B6CE0" w:rsidP="009B6CE0">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14:paraId="6955CC32" w14:textId="77777777" w:rsidR="009B6CE0" w:rsidRDefault="009B6CE0" w:rsidP="009B6CE0">
      <w:pPr>
        <w:widowControl w:val="0"/>
        <w:tabs>
          <w:tab w:val="right" w:pos="9213"/>
        </w:tabs>
        <w:spacing w:after="0" w:line="240" w:lineRule="auto"/>
        <w:rPr>
          <w:rFonts w:ascii="Arial" w:hAnsi="Arial" w:cs="Arial"/>
          <w:sz w:val="24"/>
          <w:szCs w:val="24"/>
        </w:rPr>
      </w:pPr>
    </w:p>
    <w:p w14:paraId="1B879AE5" w14:textId="77777777" w:rsidR="009B6CE0" w:rsidRDefault="009B6CE0" w:rsidP="009B6CE0">
      <w:pPr>
        <w:widowControl w:val="0"/>
        <w:tabs>
          <w:tab w:val="right" w:pos="8931"/>
        </w:tabs>
        <w:spacing w:after="0" w:line="240" w:lineRule="auto"/>
        <w:rPr>
          <w:rFonts w:ascii="Arial" w:hAnsi="Arial" w:cs="Arial"/>
          <w:b/>
          <w:sz w:val="24"/>
          <w:szCs w:val="24"/>
        </w:rPr>
      </w:pPr>
      <w:r>
        <w:rPr>
          <w:rFonts w:ascii="Arial" w:hAnsi="Arial" w:cs="Arial"/>
          <w:b/>
          <w:sz w:val="24"/>
          <w:szCs w:val="24"/>
        </w:rPr>
        <w:t>LONG BEACH OWNERS ASSOCIATION</w:t>
      </w:r>
      <w:r>
        <w:rPr>
          <w:rFonts w:ascii="Arial" w:hAnsi="Arial" w:cs="Arial"/>
          <w:b/>
          <w:sz w:val="24"/>
          <w:szCs w:val="24"/>
        </w:rPr>
        <w:tab/>
      </w:r>
      <w:r w:rsidR="00FA1178">
        <w:rPr>
          <w:rFonts w:ascii="Arial" w:hAnsi="Arial" w:cs="Arial"/>
          <w:b/>
          <w:sz w:val="24"/>
          <w:szCs w:val="24"/>
        </w:rPr>
        <w:t>Plaintiff</w:t>
      </w:r>
    </w:p>
    <w:p w14:paraId="3C4DF8EA" w14:textId="77777777" w:rsidR="009B6CE0" w:rsidRDefault="009B6CE0" w:rsidP="009B6CE0">
      <w:pPr>
        <w:widowControl w:val="0"/>
        <w:tabs>
          <w:tab w:val="right" w:pos="8931"/>
        </w:tabs>
        <w:spacing w:after="0" w:line="240" w:lineRule="auto"/>
        <w:rPr>
          <w:rFonts w:ascii="Arial" w:hAnsi="Arial" w:cs="Arial"/>
          <w:b/>
          <w:sz w:val="24"/>
          <w:szCs w:val="24"/>
        </w:rPr>
      </w:pPr>
    </w:p>
    <w:p w14:paraId="16530BEB" w14:textId="77777777" w:rsidR="009B6CE0" w:rsidRDefault="009B6CE0" w:rsidP="009B6CE0">
      <w:pPr>
        <w:widowControl w:val="0"/>
        <w:tabs>
          <w:tab w:val="right" w:pos="8931"/>
        </w:tabs>
        <w:spacing w:after="0" w:line="240" w:lineRule="auto"/>
        <w:rPr>
          <w:rFonts w:ascii="Arial" w:hAnsi="Arial" w:cs="Arial"/>
          <w:sz w:val="24"/>
          <w:szCs w:val="24"/>
        </w:rPr>
      </w:pPr>
      <w:r>
        <w:rPr>
          <w:rFonts w:ascii="Arial" w:hAnsi="Arial" w:cs="Arial"/>
          <w:sz w:val="24"/>
          <w:szCs w:val="24"/>
        </w:rPr>
        <w:t>and</w:t>
      </w:r>
    </w:p>
    <w:p w14:paraId="0AFCE0DC" w14:textId="77777777" w:rsidR="009B6CE0" w:rsidRDefault="009B6CE0" w:rsidP="009B6CE0">
      <w:pPr>
        <w:widowControl w:val="0"/>
        <w:tabs>
          <w:tab w:val="right" w:pos="8931"/>
        </w:tabs>
        <w:spacing w:after="0" w:line="240" w:lineRule="auto"/>
        <w:rPr>
          <w:rFonts w:ascii="Arial" w:hAnsi="Arial" w:cs="Arial"/>
          <w:b/>
          <w:sz w:val="24"/>
          <w:szCs w:val="24"/>
        </w:rPr>
      </w:pPr>
      <w:r>
        <w:rPr>
          <w:rFonts w:ascii="Arial" w:hAnsi="Arial" w:cs="Arial"/>
          <w:b/>
          <w:sz w:val="24"/>
          <w:szCs w:val="24"/>
        </w:rPr>
        <w:tab/>
      </w:r>
    </w:p>
    <w:p w14:paraId="224B0B06" w14:textId="2F6B142E" w:rsidR="009B6CE0" w:rsidRDefault="009B6CE0" w:rsidP="009B6CE0">
      <w:pPr>
        <w:widowControl w:val="0"/>
        <w:tabs>
          <w:tab w:val="right" w:pos="8931"/>
        </w:tabs>
        <w:spacing w:after="0" w:line="240" w:lineRule="auto"/>
        <w:rPr>
          <w:rFonts w:ascii="Arial" w:hAnsi="Arial" w:cs="Arial"/>
          <w:b/>
          <w:sz w:val="24"/>
          <w:szCs w:val="24"/>
        </w:rPr>
      </w:pPr>
      <w:r>
        <w:rPr>
          <w:rFonts w:ascii="Arial" w:hAnsi="Arial" w:cs="Arial"/>
          <w:b/>
          <w:sz w:val="24"/>
          <w:szCs w:val="24"/>
        </w:rPr>
        <w:t>QUI</w:t>
      </w:r>
      <w:r w:rsidR="007715B2">
        <w:rPr>
          <w:rFonts w:ascii="Arial" w:hAnsi="Arial" w:cs="Arial"/>
          <w:b/>
          <w:sz w:val="24"/>
          <w:szCs w:val="24"/>
        </w:rPr>
        <w:t>N</w:t>
      </w:r>
      <w:r>
        <w:rPr>
          <w:rFonts w:ascii="Arial" w:hAnsi="Arial" w:cs="Arial"/>
          <w:b/>
          <w:sz w:val="24"/>
          <w:szCs w:val="24"/>
        </w:rPr>
        <w:t>TON MILES N.O.</w:t>
      </w:r>
      <w:r w:rsidR="00FA1178">
        <w:rPr>
          <w:rFonts w:ascii="Arial" w:hAnsi="Arial" w:cs="Arial"/>
          <w:b/>
          <w:sz w:val="24"/>
          <w:szCs w:val="24"/>
        </w:rPr>
        <w:tab/>
        <w:t>Defendant</w:t>
      </w:r>
    </w:p>
    <w:p w14:paraId="33F2BA60" w14:textId="77777777" w:rsidR="009B6CE0" w:rsidRDefault="009B6CE0" w:rsidP="009B6CE0">
      <w:pPr>
        <w:widowControl w:val="0"/>
        <w:tabs>
          <w:tab w:val="right" w:pos="8931"/>
        </w:tabs>
        <w:spacing w:after="0" w:line="240" w:lineRule="auto"/>
        <w:rPr>
          <w:rFonts w:ascii="Arial" w:hAnsi="Arial" w:cs="Arial"/>
          <w:b/>
          <w:sz w:val="24"/>
          <w:szCs w:val="24"/>
        </w:rPr>
      </w:pPr>
      <w:r>
        <w:rPr>
          <w:rFonts w:ascii="Arial" w:hAnsi="Arial" w:cs="Arial"/>
          <w:b/>
          <w:sz w:val="24"/>
          <w:szCs w:val="24"/>
        </w:rPr>
        <w:t>(in his capacity as Trustee for the time-being of the Haven</w:t>
      </w:r>
    </w:p>
    <w:p w14:paraId="01E4BC83" w14:textId="77777777" w:rsidR="009B6CE0" w:rsidRDefault="009B6CE0" w:rsidP="009B6CE0">
      <w:pPr>
        <w:widowControl w:val="0"/>
        <w:tabs>
          <w:tab w:val="right" w:pos="8931"/>
        </w:tabs>
        <w:spacing w:after="0" w:line="240" w:lineRule="auto"/>
        <w:rPr>
          <w:rFonts w:ascii="Arial" w:hAnsi="Arial" w:cs="Arial"/>
          <w:b/>
          <w:sz w:val="24"/>
          <w:szCs w:val="24"/>
        </w:rPr>
      </w:pPr>
      <w:r>
        <w:rPr>
          <w:rFonts w:ascii="Arial" w:hAnsi="Arial" w:cs="Arial"/>
          <w:b/>
          <w:sz w:val="24"/>
          <w:szCs w:val="24"/>
        </w:rPr>
        <w:t>Trust (IT1559/02)</w:t>
      </w:r>
    </w:p>
    <w:p w14:paraId="3F209394" w14:textId="77777777" w:rsidR="009B6CE0" w:rsidRPr="00AC2344" w:rsidRDefault="009B6CE0" w:rsidP="009B6CE0">
      <w:pPr>
        <w:widowControl w:val="0"/>
        <w:tabs>
          <w:tab w:val="right" w:pos="8931"/>
        </w:tabs>
        <w:spacing w:after="0" w:line="240" w:lineRule="auto"/>
        <w:rPr>
          <w:rFonts w:ascii="Arial" w:hAnsi="Arial" w:cs="Arial"/>
          <w:b/>
          <w:sz w:val="24"/>
          <w:szCs w:val="24"/>
        </w:rPr>
      </w:pPr>
    </w:p>
    <w:p w14:paraId="5FCA7221" w14:textId="77777777" w:rsidR="009B6CE0" w:rsidRPr="00AC2344" w:rsidRDefault="009B6CE0" w:rsidP="009B6CE0">
      <w:pPr>
        <w:spacing w:after="0" w:line="240" w:lineRule="auto"/>
        <w:rPr>
          <w:rFonts w:ascii="Arial" w:hAnsi="Arial" w:cs="Arial"/>
          <w:b/>
          <w:sz w:val="24"/>
          <w:szCs w:val="24"/>
        </w:rPr>
      </w:pPr>
      <w:r w:rsidRPr="00AC2344">
        <w:rPr>
          <w:rFonts w:ascii="Arial" w:hAnsi="Arial" w:cs="Arial"/>
          <w:b/>
          <w:sz w:val="24"/>
          <w:szCs w:val="24"/>
        </w:rPr>
        <w:t>___________________________________________________________________</w:t>
      </w:r>
    </w:p>
    <w:p w14:paraId="748932E7" w14:textId="77777777" w:rsidR="009B6CE0" w:rsidRDefault="009B6CE0" w:rsidP="009B6CE0">
      <w:pPr>
        <w:pBdr>
          <w:bottom w:val="single" w:sz="12" w:space="1" w:color="auto"/>
        </w:pBdr>
        <w:spacing w:after="0" w:line="240" w:lineRule="auto"/>
        <w:jc w:val="center"/>
        <w:rPr>
          <w:rFonts w:ascii="Arial" w:hAnsi="Arial" w:cs="Arial"/>
          <w:b/>
          <w:bCs/>
          <w:sz w:val="24"/>
          <w:szCs w:val="24"/>
        </w:rPr>
      </w:pPr>
    </w:p>
    <w:p w14:paraId="4E72BCBB" w14:textId="77777777" w:rsidR="009B6CE0" w:rsidRDefault="009B6CE0" w:rsidP="009B6CE0">
      <w:pPr>
        <w:pBdr>
          <w:bottom w:val="single" w:sz="12" w:space="1" w:color="auto"/>
        </w:pBdr>
        <w:spacing w:after="0" w:line="240" w:lineRule="auto"/>
        <w:jc w:val="center"/>
        <w:rPr>
          <w:rFonts w:ascii="Arial" w:hAnsi="Arial" w:cs="Arial"/>
          <w:b/>
          <w:bCs/>
          <w:sz w:val="24"/>
          <w:szCs w:val="24"/>
        </w:rPr>
      </w:pPr>
      <w:r w:rsidRPr="00667CFC">
        <w:rPr>
          <w:rFonts w:ascii="Arial" w:hAnsi="Arial" w:cs="Arial"/>
          <w:b/>
          <w:bCs/>
          <w:sz w:val="24"/>
          <w:szCs w:val="24"/>
        </w:rPr>
        <w:t>JUDGMENT</w:t>
      </w:r>
      <w:r>
        <w:rPr>
          <w:rFonts w:ascii="Arial" w:hAnsi="Arial" w:cs="Arial"/>
          <w:b/>
          <w:bCs/>
          <w:sz w:val="24"/>
          <w:szCs w:val="24"/>
        </w:rPr>
        <w:t xml:space="preserve">: TRIAL </w:t>
      </w:r>
    </w:p>
    <w:p w14:paraId="22BF32AB" w14:textId="77777777" w:rsidR="009B6CE0" w:rsidRPr="00667CFC" w:rsidRDefault="009B6CE0" w:rsidP="009B6CE0">
      <w:pPr>
        <w:pBdr>
          <w:bottom w:val="single" w:sz="12" w:space="1" w:color="auto"/>
        </w:pBdr>
        <w:spacing w:after="0" w:line="240" w:lineRule="auto"/>
        <w:jc w:val="center"/>
        <w:rPr>
          <w:rFonts w:ascii="Arial" w:hAnsi="Arial" w:cs="Arial"/>
          <w:b/>
          <w:bCs/>
          <w:sz w:val="24"/>
          <w:szCs w:val="24"/>
        </w:rPr>
      </w:pPr>
    </w:p>
    <w:p w14:paraId="1C0790B5" w14:textId="77777777" w:rsidR="009B6CE0" w:rsidRDefault="009B6CE0" w:rsidP="009B6CE0">
      <w:pPr>
        <w:spacing w:after="0" w:line="240" w:lineRule="auto"/>
        <w:rPr>
          <w:rFonts w:ascii="Arial" w:hAnsi="Arial" w:cs="Arial"/>
          <w:sz w:val="24"/>
          <w:szCs w:val="24"/>
        </w:rPr>
      </w:pPr>
    </w:p>
    <w:p w14:paraId="69472746" w14:textId="77777777" w:rsidR="009B6CE0" w:rsidRPr="00AC2344" w:rsidRDefault="009B6CE0" w:rsidP="009B6CE0">
      <w:pPr>
        <w:spacing w:after="0" w:line="480" w:lineRule="auto"/>
        <w:jc w:val="both"/>
        <w:rPr>
          <w:rFonts w:ascii="Arial" w:hAnsi="Arial" w:cs="Arial"/>
          <w:b/>
          <w:sz w:val="24"/>
          <w:szCs w:val="24"/>
          <w:u w:val="single"/>
        </w:rPr>
      </w:pPr>
      <w:r>
        <w:rPr>
          <w:rFonts w:ascii="Arial" w:hAnsi="Arial" w:cs="Arial"/>
          <w:b/>
          <w:sz w:val="24"/>
          <w:szCs w:val="24"/>
          <w:u w:val="single"/>
        </w:rPr>
        <w:t>LOWE</w:t>
      </w:r>
      <w:r w:rsidRPr="00AC2344">
        <w:rPr>
          <w:rFonts w:ascii="Arial" w:hAnsi="Arial" w:cs="Arial"/>
          <w:b/>
          <w:sz w:val="24"/>
          <w:szCs w:val="24"/>
          <w:u w:val="single"/>
        </w:rPr>
        <w:t xml:space="preserve"> J</w:t>
      </w:r>
      <w:r>
        <w:rPr>
          <w:rFonts w:ascii="Arial" w:hAnsi="Arial" w:cs="Arial"/>
          <w:b/>
          <w:sz w:val="24"/>
          <w:szCs w:val="24"/>
          <w:u w:val="single"/>
        </w:rPr>
        <w:t>:</w:t>
      </w:r>
    </w:p>
    <w:p w14:paraId="69BA991F" w14:textId="77777777" w:rsidR="009B6CE0" w:rsidRDefault="009B6CE0" w:rsidP="009B6CE0">
      <w:pPr>
        <w:spacing w:after="0" w:line="240" w:lineRule="auto"/>
        <w:rPr>
          <w:rFonts w:ascii="Arial" w:hAnsi="Arial" w:cs="Arial"/>
          <w:sz w:val="24"/>
          <w:szCs w:val="24"/>
        </w:rPr>
      </w:pPr>
    </w:p>
    <w:p w14:paraId="36911B4B" w14:textId="77777777" w:rsidR="009B6CE0" w:rsidRPr="007A5703" w:rsidRDefault="009B6CE0" w:rsidP="009B6CE0">
      <w:pPr>
        <w:spacing w:after="0" w:line="240" w:lineRule="auto"/>
        <w:rPr>
          <w:rFonts w:ascii="Arial" w:hAnsi="Arial" w:cs="Arial"/>
          <w:b/>
          <w:sz w:val="24"/>
          <w:szCs w:val="24"/>
          <w:u w:val="single"/>
        </w:rPr>
      </w:pPr>
      <w:r w:rsidRPr="007A5703">
        <w:rPr>
          <w:rFonts w:ascii="Arial" w:hAnsi="Arial" w:cs="Arial"/>
          <w:b/>
          <w:sz w:val="24"/>
          <w:szCs w:val="24"/>
          <w:u w:val="single"/>
        </w:rPr>
        <w:t>INTRODUCTION</w:t>
      </w:r>
    </w:p>
    <w:p w14:paraId="77D0EEB3" w14:textId="77777777" w:rsidR="009B6CE0" w:rsidRDefault="009B6CE0" w:rsidP="009B6CE0">
      <w:pPr>
        <w:spacing w:after="0" w:line="240" w:lineRule="auto"/>
        <w:rPr>
          <w:rFonts w:ascii="Arial" w:hAnsi="Arial" w:cs="Arial"/>
          <w:sz w:val="24"/>
          <w:szCs w:val="24"/>
          <w:u w:val="single"/>
        </w:rPr>
      </w:pPr>
    </w:p>
    <w:p w14:paraId="25623CCB" w14:textId="77777777" w:rsidR="009B6CE0" w:rsidRDefault="009B6CE0" w:rsidP="009B6CE0">
      <w:pPr>
        <w:spacing w:after="0" w:line="240" w:lineRule="auto"/>
        <w:rPr>
          <w:rFonts w:ascii="Arial" w:hAnsi="Arial" w:cs="Arial"/>
          <w:sz w:val="24"/>
          <w:szCs w:val="24"/>
          <w:u w:val="single"/>
        </w:rPr>
      </w:pPr>
    </w:p>
    <w:p w14:paraId="44C303A6" w14:textId="7FE38164" w:rsidR="009B6CE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B6CE0" w:rsidRPr="00596801">
        <w:rPr>
          <w:rFonts w:ascii="Arial" w:hAnsi="Arial" w:cs="Arial"/>
          <w:sz w:val="24"/>
          <w:szCs w:val="24"/>
        </w:rPr>
        <w:t xml:space="preserve">In this matter I shall refer to the </w:t>
      </w:r>
      <w:r w:rsidR="007006EA" w:rsidRPr="00596801">
        <w:rPr>
          <w:rFonts w:ascii="Arial" w:hAnsi="Arial" w:cs="Arial"/>
          <w:sz w:val="24"/>
          <w:szCs w:val="24"/>
        </w:rPr>
        <w:t>plaintiff</w:t>
      </w:r>
      <w:r w:rsidR="009B6CE0" w:rsidRPr="00596801">
        <w:rPr>
          <w:rFonts w:ascii="Arial" w:hAnsi="Arial" w:cs="Arial"/>
          <w:sz w:val="24"/>
          <w:szCs w:val="24"/>
        </w:rPr>
        <w:t xml:space="preserve"> as plaintiff </w:t>
      </w:r>
      <w:r w:rsidR="007006EA" w:rsidRPr="00596801">
        <w:rPr>
          <w:rFonts w:ascii="Arial" w:hAnsi="Arial" w:cs="Arial"/>
          <w:sz w:val="24"/>
          <w:szCs w:val="24"/>
        </w:rPr>
        <w:t xml:space="preserve">or the Association </w:t>
      </w:r>
      <w:r w:rsidR="009B6CE0" w:rsidRPr="00596801">
        <w:rPr>
          <w:rFonts w:ascii="Arial" w:hAnsi="Arial" w:cs="Arial"/>
          <w:sz w:val="24"/>
          <w:szCs w:val="24"/>
        </w:rPr>
        <w:t xml:space="preserve">and the defendant </w:t>
      </w:r>
      <w:r w:rsidR="007006EA" w:rsidRPr="00596801">
        <w:rPr>
          <w:rFonts w:ascii="Arial" w:hAnsi="Arial" w:cs="Arial"/>
          <w:sz w:val="24"/>
          <w:szCs w:val="24"/>
        </w:rPr>
        <w:t xml:space="preserve">as such </w:t>
      </w:r>
      <w:r w:rsidR="009B6CE0" w:rsidRPr="00596801">
        <w:rPr>
          <w:rFonts w:ascii="Arial" w:hAnsi="Arial" w:cs="Arial"/>
          <w:sz w:val="24"/>
          <w:szCs w:val="24"/>
        </w:rPr>
        <w:t xml:space="preserve">for convenience.  </w:t>
      </w:r>
    </w:p>
    <w:p w14:paraId="086FD139" w14:textId="77777777" w:rsidR="009B6CE0" w:rsidRDefault="009B6CE0" w:rsidP="009B6CE0">
      <w:pPr>
        <w:pStyle w:val="ListParagraph"/>
        <w:spacing w:after="0" w:line="480" w:lineRule="auto"/>
        <w:jc w:val="both"/>
        <w:rPr>
          <w:rFonts w:ascii="Arial" w:hAnsi="Arial" w:cs="Arial"/>
          <w:sz w:val="24"/>
          <w:szCs w:val="24"/>
        </w:rPr>
      </w:pPr>
    </w:p>
    <w:p w14:paraId="44BA29FC" w14:textId="43698440" w:rsidR="009B6CE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B6CE0" w:rsidRPr="00596801">
        <w:rPr>
          <w:rFonts w:ascii="Arial" w:hAnsi="Arial" w:cs="Arial"/>
          <w:sz w:val="24"/>
          <w:szCs w:val="24"/>
        </w:rPr>
        <w:t>In March 2020 plaintiff brought an action against defendant claiming payment of the sum of R</w:t>
      </w:r>
      <w:bookmarkStart w:id="0" w:name="_GoBack"/>
      <w:bookmarkEnd w:id="0"/>
      <w:r w:rsidR="009B6CE0" w:rsidRPr="00596801">
        <w:rPr>
          <w:rFonts w:ascii="Arial" w:hAnsi="Arial" w:cs="Arial"/>
          <w:sz w:val="24"/>
          <w:szCs w:val="24"/>
        </w:rPr>
        <w:t xml:space="preserve">600 216,15 together with interest thereon.  Put simply, the cause of action is one in which plaintiff alleges that as a home owners’ association and having regard to its resolutions and constitution, it legitimately incurred legal expenses </w:t>
      </w:r>
      <w:r w:rsidR="009B6CE0" w:rsidRPr="00596801">
        <w:rPr>
          <w:rFonts w:ascii="Arial" w:hAnsi="Arial" w:cs="Arial"/>
          <w:i/>
          <w:sz w:val="24"/>
          <w:szCs w:val="24"/>
        </w:rPr>
        <w:t>inter alia</w:t>
      </w:r>
      <w:r w:rsidR="009B6CE0" w:rsidRPr="00596801">
        <w:rPr>
          <w:rFonts w:ascii="Arial" w:hAnsi="Arial" w:cs="Arial"/>
          <w:sz w:val="24"/>
          <w:szCs w:val="24"/>
        </w:rPr>
        <w:t xml:space="preserve"> as “</w:t>
      </w:r>
      <w:r w:rsidR="009B6CE0" w:rsidRPr="00596801">
        <w:rPr>
          <w:rFonts w:ascii="Arial" w:hAnsi="Arial" w:cs="Arial"/>
          <w:i/>
          <w:sz w:val="24"/>
          <w:szCs w:val="24"/>
        </w:rPr>
        <w:t>extraordinary expenses”</w:t>
      </w:r>
      <w:r w:rsidR="009B6CE0" w:rsidRPr="00596801">
        <w:rPr>
          <w:rFonts w:ascii="Arial" w:hAnsi="Arial" w:cs="Arial"/>
          <w:sz w:val="24"/>
          <w:szCs w:val="24"/>
        </w:rPr>
        <w:t xml:space="preserve"> in pursuing litigation against the DEDEAT and the DAFF, including the Minister of the DAFF, on behalf of plaintiff, the home owners’ association incurring legal expenditure in </w:t>
      </w:r>
      <w:r w:rsidR="009B6CE0" w:rsidRPr="00596801">
        <w:rPr>
          <w:rFonts w:ascii="Arial" w:hAnsi="Arial" w:cs="Arial"/>
          <w:sz w:val="24"/>
          <w:szCs w:val="24"/>
        </w:rPr>
        <w:lastRenderedPageBreak/>
        <w:t>an amount of R4 201 513,03.  Plaintiff alleges that either on the basis of its first claim A and its alternative claim B defendant in his capacity as trustee for the time being of the Haven Trust N.O.</w:t>
      </w:r>
      <w:r w:rsidR="007715B2" w:rsidRPr="00596801">
        <w:rPr>
          <w:rFonts w:ascii="Arial" w:hAnsi="Arial" w:cs="Arial"/>
          <w:sz w:val="24"/>
          <w:szCs w:val="24"/>
        </w:rPr>
        <w:t>,</w:t>
      </w:r>
      <w:r w:rsidR="009B6CE0" w:rsidRPr="00596801">
        <w:rPr>
          <w:rFonts w:ascii="Arial" w:hAnsi="Arial" w:cs="Arial"/>
          <w:sz w:val="24"/>
          <w:szCs w:val="24"/>
        </w:rPr>
        <w:t xml:space="preserve"> is liable to plaintiff in the sum of R600 216,15 being its share</w:t>
      </w:r>
      <w:r w:rsidR="00D87697" w:rsidRPr="00596801">
        <w:rPr>
          <w:rFonts w:ascii="Arial" w:hAnsi="Arial" w:cs="Arial"/>
          <w:sz w:val="24"/>
          <w:szCs w:val="24"/>
        </w:rPr>
        <w:t>,</w:t>
      </w:r>
      <w:r w:rsidR="009B6CE0" w:rsidRPr="00596801">
        <w:rPr>
          <w:rFonts w:ascii="Arial" w:hAnsi="Arial" w:cs="Arial"/>
          <w:sz w:val="24"/>
          <w:szCs w:val="24"/>
        </w:rPr>
        <w:t xml:space="preserve"> as a member of the plaintiff</w:t>
      </w:r>
      <w:r w:rsidR="00D87697" w:rsidRPr="00596801">
        <w:rPr>
          <w:rFonts w:ascii="Arial" w:hAnsi="Arial" w:cs="Arial"/>
          <w:sz w:val="24"/>
          <w:szCs w:val="24"/>
        </w:rPr>
        <w:t>,</w:t>
      </w:r>
      <w:r w:rsidR="009B6CE0" w:rsidRPr="00596801">
        <w:rPr>
          <w:rFonts w:ascii="Arial" w:hAnsi="Arial" w:cs="Arial"/>
          <w:sz w:val="24"/>
          <w:szCs w:val="24"/>
        </w:rPr>
        <w:t xml:space="preserve"> of the said legal costs duly and legitimately incurred in one or other of the manners set out in the particulars of claim.</w:t>
      </w:r>
    </w:p>
    <w:p w14:paraId="34E97DD1" w14:textId="77777777" w:rsidR="009B6CE0" w:rsidRPr="00D348B4" w:rsidRDefault="009B6CE0" w:rsidP="009B6CE0">
      <w:pPr>
        <w:pStyle w:val="ListParagraph"/>
        <w:rPr>
          <w:rFonts w:ascii="Arial" w:hAnsi="Arial" w:cs="Arial"/>
          <w:sz w:val="24"/>
          <w:szCs w:val="24"/>
        </w:rPr>
      </w:pPr>
    </w:p>
    <w:p w14:paraId="7C8C8986" w14:textId="5D69D303" w:rsidR="009B6CE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9B6CE0" w:rsidRPr="00596801">
        <w:rPr>
          <w:rFonts w:ascii="Arial" w:hAnsi="Arial" w:cs="Arial"/>
          <w:sz w:val="24"/>
          <w:szCs w:val="24"/>
        </w:rPr>
        <w:t xml:space="preserve">In response, at least initially, the defendant denied all liability herefore on a number of different bases relying inter alia on clause 5 of the Home Owners’ Constitution of the plaintiff.   </w:t>
      </w:r>
    </w:p>
    <w:p w14:paraId="3684C846" w14:textId="77777777" w:rsidR="009B6CE0" w:rsidRPr="00C53C75" w:rsidRDefault="009B6CE0" w:rsidP="009B6CE0">
      <w:pPr>
        <w:pStyle w:val="ListParagraph"/>
        <w:rPr>
          <w:rFonts w:ascii="Arial" w:hAnsi="Arial" w:cs="Arial"/>
          <w:sz w:val="24"/>
          <w:szCs w:val="24"/>
        </w:rPr>
      </w:pPr>
    </w:p>
    <w:p w14:paraId="1F04032B" w14:textId="34A60523" w:rsidR="009B6CE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B6CE0" w:rsidRPr="00596801">
        <w:rPr>
          <w:rFonts w:ascii="Arial" w:hAnsi="Arial" w:cs="Arial"/>
          <w:sz w:val="24"/>
          <w:szCs w:val="24"/>
        </w:rPr>
        <w:t>Later on, and after the matter had in fact been set down for trial and on 1</w:t>
      </w:r>
      <w:r w:rsidR="00C6758E" w:rsidRPr="00596801">
        <w:rPr>
          <w:rFonts w:ascii="Arial" w:hAnsi="Arial" w:cs="Arial"/>
          <w:sz w:val="24"/>
          <w:szCs w:val="24"/>
        </w:rPr>
        <w:t> </w:t>
      </w:r>
      <w:r w:rsidR="009B6CE0" w:rsidRPr="00596801">
        <w:rPr>
          <w:rFonts w:ascii="Arial" w:hAnsi="Arial" w:cs="Arial"/>
          <w:sz w:val="24"/>
          <w:szCs w:val="24"/>
        </w:rPr>
        <w:t xml:space="preserve">December 2022 defendant amended its plea to raise a special plea of prescription.  </w:t>
      </w:r>
    </w:p>
    <w:p w14:paraId="77FA4503" w14:textId="77777777" w:rsidR="009B6CE0" w:rsidRPr="00C53C75" w:rsidRDefault="009B6CE0" w:rsidP="009B6CE0">
      <w:pPr>
        <w:pStyle w:val="ListParagraph"/>
        <w:rPr>
          <w:rFonts w:ascii="Arial" w:hAnsi="Arial" w:cs="Arial"/>
          <w:sz w:val="24"/>
          <w:szCs w:val="24"/>
        </w:rPr>
      </w:pPr>
    </w:p>
    <w:p w14:paraId="57366D5D" w14:textId="13CD5A89" w:rsidR="009B6CE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B6CE0" w:rsidRPr="00596801">
        <w:rPr>
          <w:rFonts w:ascii="Arial" w:hAnsi="Arial" w:cs="Arial"/>
          <w:sz w:val="24"/>
          <w:szCs w:val="24"/>
        </w:rPr>
        <w:t xml:space="preserve">That plea of prescription followed its discovery that the debt upon which plaintiff sued had at least allegedly arisen on 25 April 2016, of which defendant became aware, so it is alleged much later, at least some time between 2 July 2021 and the discovery of the judgment which defendant </w:t>
      </w:r>
      <w:r w:rsidR="00D87697" w:rsidRPr="00596801">
        <w:rPr>
          <w:rFonts w:ascii="Arial" w:hAnsi="Arial" w:cs="Arial"/>
          <w:sz w:val="24"/>
          <w:szCs w:val="24"/>
        </w:rPr>
        <w:t>(</w:t>
      </w:r>
      <w:r w:rsidR="009B6CE0" w:rsidRPr="00596801">
        <w:rPr>
          <w:rFonts w:ascii="Arial" w:hAnsi="Arial" w:cs="Arial"/>
          <w:sz w:val="24"/>
          <w:szCs w:val="24"/>
        </w:rPr>
        <w:t>in argument</w:t>
      </w:r>
      <w:r w:rsidR="00D87697" w:rsidRPr="00596801">
        <w:rPr>
          <w:rFonts w:ascii="Arial" w:hAnsi="Arial" w:cs="Arial"/>
          <w:sz w:val="24"/>
          <w:szCs w:val="24"/>
        </w:rPr>
        <w:t>)</w:t>
      </w:r>
      <w:r w:rsidR="009B6CE0" w:rsidRPr="00596801">
        <w:rPr>
          <w:rFonts w:ascii="Arial" w:hAnsi="Arial" w:cs="Arial"/>
          <w:sz w:val="24"/>
          <w:szCs w:val="24"/>
        </w:rPr>
        <w:t xml:space="preserve"> says it became aware </w:t>
      </w:r>
      <w:r w:rsidR="00D87697" w:rsidRPr="00596801">
        <w:rPr>
          <w:rFonts w:ascii="Arial" w:hAnsi="Arial" w:cs="Arial"/>
          <w:sz w:val="24"/>
          <w:szCs w:val="24"/>
        </w:rPr>
        <w:t xml:space="preserve">of </w:t>
      </w:r>
      <w:r w:rsidR="009B6CE0" w:rsidRPr="00596801">
        <w:rPr>
          <w:rFonts w:ascii="Arial" w:hAnsi="Arial" w:cs="Arial"/>
          <w:sz w:val="24"/>
          <w:szCs w:val="24"/>
        </w:rPr>
        <w:t>much later and closer to the date of its filing of its special plea upon discovery of the judgment relevant.</w:t>
      </w:r>
    </w:p>
    <w:p w14:paraId="5E0E6A91" w14:textId="77777777" w:rsidR="009B6CE0" w:rsidRPr="00C53C75" w:rsidRDefault="009B6CE0" w:rsidP="009B6CE0">
      <w:pPr>
        <w:pStyle w:val="ListParagraph"/>
        <w:rPr>
          <w:rFonts w:ascii="Arial" w:hAnsi="Arial" w:cs="Arial"/>
          <w:sz w:val="24"/>
          <w:szCs w:val="24"/>
        </w:rPr>
      </w:pPr>
    </w:p>
    <w:p w14:paraId="6A1B1816" w14:textId="26FEA6EB" w:rsidR="00FA1178"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D87697" w:rsidRPr="00596801">
        <w:rPr>
          <w:rFonts w:ascii="Arial" w:hAnsi="Arial" w:cs="Arial"/>
          <w:sz w:val="24"/>
          <w:szCs w:val="24"/>
        </w:rPr>
        <w:t>U</w:t>
      </w:r>
      <w:r w:rsidR="009B6CE0" w:rsidRPr="00596801">
        <w:rPr>
          <w:rFonts w:ascii="Arial" w:hAnsi="Arial" w:cs="Arial"/>
          <w:sz w:val="24"/>
          <w:szCs w:val="24"/>
        </w:rPr>
        <w:t>nfortunately, the application to separate was launched very late on 6 March 2023, just before trial, the parties having been unable to agree on that separation.</w:t>
      </w:r>
    </w:p>
    <w:p w14:paraId="2C77F4E9" w14:textId="77777777" w:rsidR="00FA1178" w:rsidRPr="00FA1178" w:rsidRDefault="00FA1178" w:rsidP="00FA1178">
      <w:pPr>
        <w:pStyle w:val="ListParagraph"/>
        <w:rPr>
          <w:rFonts w:ascii="Arial" w:hAnsi="Arial" w:cs="Arial"/>
          <w:sz w:val="24"/>
          <w:szCs w:val="24"/>
        </w:rPr>
      </w:pPr>
    </w:p>
    <w:p w14:paraId="10FB5E39" w14:textId="03BD70AE" w:rsidR="00B02A8C"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FA1178" w:rsidRPr="00596801">
        <w:rPr>
          <w:rFonts w:ascii="Arial" w:hAnsi="Arial" w:cs="Arial"/>
          <w:sz w:val="24"/>
          <w:szCs w:val="24"/>
        </w:rPr>
        <w:t>At the commencement of the trial it became apparent that plaintiff alleged that the special plea, if successful, would be dispositive of all the issues between the parties as it would defeat its claim and that in this context it should be heard first and separately</w:t>
      </w:r>
      <w:r w:rsidR="00B02A8C" w:rsidRPr="00596801">
        <w:rPr>
          <w:rFonts w:ascii="Arial" w:hAnsi="Arial" w:cs="Arial"/>
          <w:sz w:val="24"/>
          <w:szCs w:val="24"/>
        </w:rPr>
        <w:t xml:space="preserve">.  The defendant resisted this separation application.  </w:t>
      </w:r>
    </w:p>
    <w:p w14:paraId="165A6070" w14:textId="77777777" w:rsidR="00B02A8C" w:rsidRPr="00B02A8C" w:rsidRDefault="00B02A8C" w:rsidP="00B02A8C">
      <w:pPr>
        <w:pStyle w:val="ListParagraph"/>
        <w:rPr>
          <w:rFonts w:ascii="Arial" w:hAnsi="Arial" w:cs="Arial"/>
          <w:sz w:val="24"/>
          <w:szCs w:val="24"/>
        </w:rPr>
      </w:pPr>
    </w:p>
    <w:p w14:paraId="24327737" w14:textId="0A925E9B" w:rsidR="00B02A8C"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B02A8C" w:rsidRPr="00596801">
        <w:rPr>
          <w:rFonts w:ascii="Arial" w:hAnsi="Arial" w:cs="Arial"/>
          <w:sz w:val="24"/>
          <w:szCs w:val="24"/>
        </w:rPr>
        <w:t>I hea</w:t>
      </w:r>
      <w:r w:rsidR="007715B2" w:rsidRPr="00596801">
        <w:rPr>
          <w:rFonts w:ascii="Arial" w:hAnsi="Arial" w:cs="Arial"/>
          <w:sz w:val="24"/>
          <w:szCs w:val="24"/>
        </w:rPr>
        <w:t>r</w:t>
      </w:r>
      <w:r w:rsidR="00B02A8C" w:rsidRPr="00596801">
        <w:rPr>
          <w:rFonts w:ascii="Arial" w:hAnsi="Arial" w:cs="Arial"/>
          <w:sz w:val="24"/>
          <w:szCs w:val="24"/>
        </w:rPr>
        <w:t xml:space="preserve">d argument on the separation application at the commencement of the trial and in a full ex tempore judgment concluded that a good basis had been set out for separation and that the application must succeed ordering accordingly that </w:t>
      </w:r>
      <w:r w:rsidR="00B02A8C" w:rsidRPr="00596801">
        <w:rPr>
          <w:rFonts w:ascii="Arial" w:hAnsi="Arial" w:cs="Arial"/>
          <w:i/>
          <w:sz w:val="24"/>
          <w:szCs w:val="24"/>
        </w:rPr>
        <w:t>“(b) The issues raised in the defendant’s special plea relevant to the prescription of plaintiff’s claim, are separated from the remaining issues between the parties, to be heard separately and first, merits and quantum to stand over for later determination if relevant</w:t>
      </w:r>
      <w:r w:rsidR="00B02A8C" w:rsidRPr="00596801">
        <w:rPr>
          <w:rFonts w:ascii="Arial" w:hAnsi="Arial" w:cs="Arial"/>
          <w:sz w:val="24"/>
          <w:szCs w:val="24"/>
        </w:rPr>
        <w:t>.”</w:t>
      </w:r>
    </w:p>
    <w:p w14:paraId="3F143A3E" w14:textId="77777777" w:rsidR="00B02A8C" w:rsidRPr="00B02A8C" w:rsidRDefault="00B02A8C" w:rsidP="00B02A8C">
      <w:pPr>
        <w:pStyle w:val="ListParagraph"/>
        <w:rPr>
          <w:rFonts w:ascii="Arial" w:hAnsi="Arial" w:cs="Arial"/>
          <w:sz w:val="24"/>
          <w:szCs w:val="24"/>
        </w:rPr>
      </w:pPr>
    </w:p>
    <w:p w14:paraId="060B3E62" w14:textId="18FA335C" w:rsidR="00B02A8C"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B02A8C" w:rsidRPr="00596801">
        <w:rPr>
          <w:rFonts w:ascii="Arial" w:hAnsi="Arial" w:cs="Arial"/>
          <w:sz w:val="24"/>
          <w:szCs w:val="24"/>
        </w:rPr>
        <w:t xml:space="preserve">I ordered that the </w:t>
      </w:r>
      <w:r w:rsidR="003270F6" w:rsidRPr="00596801">
        <w:rPr>
          <w:rFonts w:ascii="Arial" w:hAnsi="Arial" w:cs="Arial"/>
          <w:sz w:val="24"/>
          <w:szCs w:val="24"/>
        </w:rPr>
        <w:t>costs</w:t>
      </w:r>
      <w:r w:rsidR="00B02A8C" w:rsidRPr="00596801">
        <w:rPr>
          <w:rFonts w:ascii="Arial" w:hAnsi="Arial" w:cs="Arial"/>
          <w:sz w:val="24"/>
          <w:szCs w:val="24"/>
        </w:rPr>
        <w:t xml:space="preserve"> of this separation application were to be costs in the cause.  </w:t>
      </w:r>
    </w:p>
    <w:p w14:paraId="7864F19E" w14:textId="77777777" w:rsidR="00B02A8C" w:rsidRPr="00B02A8C" w:rsidRDefault="00B02A8C" w:rsidP="00B02A8C">
      <w:pPr>
        <w:pStyle w:val="ListParagraph"/>
        <w:rPr>
          <w:rFonts w:ascii="Arial" w:hAnsi="Arial" w:cs="Arial"/>
          <w:sz w:val="24"/>
          <w:szCs w:val="24"/>
        </w:rPr>
      </w:pPr>
    </w:p>
    <w:p w14:paraId="53962732" w14:textId="76786996" w:rsidR="00B02A8C"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02A8C" w:rsidRPr="00596801">
        <w:rPr>
          <w:rFonts w:ascii="Arial" w:hAnsi="Arial" w:cs="Arial"/>
          <w:sz w:val="24"/>
          <w:szCs w:val="24"/>
        </w:rPr>
        <w:t xml:space="preserve">Having so separated the </w:t>
      </w:r>
      <w:r w:rsidR="00D87697" w:rsidRPr="00596801">
        <w:rPr>
          <w:rFonts w:ascii="Arial" w:hAnsi="Arial" w:cs="Arial"/>
          <w:sz w:val="24"/>
          <w:szCs w:val="24"/>
        </w:rPr>
        <w:t>issues</w:t>
      </w:r>
      <w:r w:rsidR="00B02A8C" w:rsidRPr="00596801">
        <w:rPr>
          <w:rFonts w:ascii="Arial" w:hAnsi="Arial" w:cs="Arial"/>
          <w:sz w:val="24"/>
          <w:szCs w:val="24"/>
        </w:rPr>
        <w:t xml:space="preserve"> the trial proceeded.  </w:t>
      </w:r>
    </w:p>
    <w:p w14:paraId="426A791D" w14:textId="77777777" w:rsidR="00B02A8C" w:rsidRPr="00B02A8C" w:rsidRDefault="00B02A8C" w:rsidP="00B02A8C">
      <w:pPr>
        <w:pStyle w:val="ListParagraph"/>
        <w:rPr>
          <w:rFonts w:ascii="Arial" w:hAnsi="Arial" w:cs="Arial"/>
          <w:sz w:val="24"/>
          <w:szCs w:val="24"/>
        </w:rPr>
      </w:pPr>
    </w:p>
    <w:p w14:paraId="09B5201C" w14:textId="73A532D6" w:rsidR="00B02A8C"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02A8C" w:rsidRPr="00596801">
        <w:rPr>
          <w:rFonts w:ascii="Arial" w:hAnsi="Arial" w:cs="Arial"/>
          <w:sz w:val="24"/>
          <w:szCs w:val="24"/>
        </w:rPr>
        <w:t xml:space="preserve">It should be said that in the separation application argument both applicant and respondent set out that no evidence would be required, but at the commencement of the trial on the separated issue, defendant indicated that it would in fact lead a witness.  </w:t>
      </w:r>
    </w:p>
    <w:p w14:paraId="049D8C18" w14:textId="77777777" w:rsidR="002E163D" w:rsidRDefault="002E163D" w:rsidP="003270F6">
      <w:pPr>
        <w:pStyle w:val="ListParagraph"/>
        <w:ind w:left="0"/>
        <w:rPr>
          <w:rFonts w:ascii="Arial" w:hAnsi="Arial" w:cs="Arial"/>
          <w:b/>
          <w:sz w:val="24"/>
          <w:szCs w:val="24"/>
          <w:u w:val="single"/>
        </w:rPr>
      </w:pPr>
    </w:p>
    <w:p w14:paraId="2B1437DB" w14:textId="77777777" w:rsidR="00B02A8C" w:rsidRDefault="003270F6" w:rsidP="003270F6">
      <w:pPr>
        <w:pStyle w:val="ListParagraph"/>
        <w:ind w:left="0"/>
        <w:rPr>
          <w:rFonts w:ascii="Arial" w:hAnsi="Arial" w:cs="Arial"/>
          <w:b/>
          <w:sz w:val="24"/>
          <w:szCs w:val="24"/>
          <w:u w:val="single"/>
        </w:rPr>
      </w:pPr>
      <w:r w:rsidRPr="003270F6">
        <w:rPr>
          <w:rFonts w:ascii="Arial" w:hAnsi="Arial" w:cs="Arial"/>
          <w:b/>
          <w:sz w:val="24"/>
          <w:szCs w:val="24"/>
          <w:u w:val="single"/>
        </w:rPr>
        <w:t>SEPARATED TRIAL</w:t>
      </w:r>
    </w:p>
    <w:p w14:paraId="41AF9CCF" w14:textId="77777777" w:rsidR="003270F6" w:rsidRPr="003270F6" w:rsidRDefault="003270F6" w:rsidP="003270F6">
      <w:pPr>
        <w:pStyle w:val="ListParagraph"/>
        <w:ind w:left="0"/>
        <w:rPr>
          <w:rFonts w:ascii="Arial" w:hAnsi="Arial" w:cs="Arial"/>
          <w:b/>
          <w:sz w:val="24"/>
          <w:szCs w:val="24"/>
          <w:u w:val="single"/>
        </w:rPr>
      </w:pPr>
    </w:p>
    <w:p w14:paraId="091F7949" w14:textId="77777777" w:rsidR="00B02A8C" w:rsidRPr="00B02A8C" w:rsidRDefault="00B02A8C" w:rsidP="00B02A8C">
      <w:pPr>
        <w:pStyle w:val="ListParagraph"/>
        <w:rPr>
          <w:rFonts w:ascii="Arial" w:hAnsi="Arial" w:cs="Arial"/>
          <w:sz w:val="24"/>
          <w:szCs w:val="24"/>
        </w:rPr>
      </w:pPr>
    </w:p>
    <w:p w14:paraId="177C8EF5" w14:textId="5F9B6AC1" w:rsidR="002E163D"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E163D" w:rsidRPr="00596801">
        <w:rPr>
          <w:rFonts w:ascii="Arial" w:hAnsi="Arial" w:cs="Arial"/>
          <w:sz w:val="24"/>
          <w:szCs w:val="24"/>
        </w:rPr>
        <w:t xml:space="preserve">To understand the issues to be decided I should again refer briefly to the pleadings.  </w:t>
      </w:r>
    </w:p>
    <w:p w14:paraId="208511A4" w14:textId="77777777" w:rsidR="002E163D" w:rsidRDefault="002E163D" w:rsidP="002E163D">
      <w:pPr>
        <w:pStyle w:val="ListParagraph"/>
        <w:spacing w:after="0" w:line="480" w:lineRule="auto"/>
        <w:jc w:val="both"/>
        <w:rPr>
          <w:rFonts w:ascii="Arial" w:hAnsi="Arial" w:cs="Arial"/>
          <w:sz w:val="24"/>
          <w:szCs w:val="24"/>
        </w:rPr>
      </w:pPr>
    </w:p>
    <w:p w14:paraId="2C0282BE" w14:textId="79E88462" w:rsidR="002E163D"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E163D" w:rsidRPr="00596801">
        <w:rPr>
          <w:rFonts w:ascii="Arial" w:hAnsi="Arial" w:cs="Arial"/>
          <w:sz w:val="24"/>
          <w:szCs w:val="24"/>
        </w:rPr>
        <w:t>I have already set out the cause of action above in sufficient detail, it being the special plea to which I must give attention.</w:t>
      </w:r>
    </w:p>
    <w:p w14:paraId="775E7568" w14:textId="77777777" w:rsidR="002E163D" w:rsidRPr="002E163D" w:rsidRDefault="002E163D" w:rsidP="002E163D">
      <w:pPr>
        <w:pStyle w:val="ListParagraph"/>
        <w:rPr>
          <w:rFonts w:ascii="Arial" w:hAnsi="Arial" w:cs="Arial"/>
          <w:sz w:val="24"/>
          <w:szCs w:val="24"/>
        </w:rPr>
      </w:pPr>
    </w:p>
    <w:p w14:paraId="7DCB146F" w14:textId="582A1CD9" w:rsidR="002E163D"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E163D" w:rsidRPr="00596801">
        <w:rPr>
          <w:rFonts w:ascii="Arial" w:hAnsi="Arial" w:cs="Arial"/>
          <w:sz w:val="24"/>
          <w:szCs w:val="24"/>
        </w:rPr>
        <w:t>A further Rule 37 conference</w:t>
      </w:r>
      <w:r w:rsidR="00D87697" w:rsidRPr="00596801">
        <w:rPr>
          <w:rFonts w:ascii="Arial" w:hAnsi="Arial" w:cs="Arial"/>
          <w:sz w:val="24"/>
          <w:szCs w:val="24"/>
        </w:rPr>
        <w:t>,</w:t>
      </w:r>
      <w:r w:rsidR="002E163D" w:rsidRPr="00596801">
        <w:rPr>
          <w:rFonts w:ascii="Arial" w:hAnsi="Arial" w:cs="Arial"/>
          <w:sz w:val="24"/>
          <w:szCs w:val="24"/>
        </w:rPr>
        <w:t xml:space="preserve"> held at my insistence, on 7 March 2023 set out the issues to be determined in the entire trial.  </w:t>
      </w:r>
    </w:p>
    <w:p w14:paraId="72DBD7B0" w14:textId="77777777" w:rsidR="002E163D" w:rsidRPr="002E163D" w:rsidRDefault="002E163D" w:rsidP="002E163D">
      <w:pPr>
        <w:pStyle w:val="ListParagraph"/>
        <w:rPr>
          <w:rFonts w:ascii="Arial" w:hAnsi="Arial" w:cs="Arial"/>
          <w:sz w:val="24"/>
          <w:szCs w:val="24"/>
        </w:rPr>
      </w:pPr>
    </w:p>
    <w:p w14:paraId="76EE7465" w14:textId="0E6D6C81" w:rsidR="002E163D"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E163D" w:rsidRPr="00596801">
        <w:rPr>
          <w:rFonts w:ascii="Arial" w:hAnsi="Arial" w:cs="Arial"/>
          <w:sz w:val="24"/>
          <w:szCs w:val="24"/>
        </w:rPr>
        <w:t>It was the first issue (one of eight) which was required to be addressed in the separated trial, being “</w:t>
      </w:r>
      <w:r w:rsidR="002E163D" w:rsidRPr="00596801">
        <w:rPr>
          <w:rFonts w:ascii="Arial" w:hAnsi="Arial" w:cs="Arial"/>
          <w:i/>
          <w:sz w:val="24"/>
          <w:szCs w:val="24"/>
        </w:rPr>
        <w:t>whether or not the plaintiff’s claim has prescribed”</w:t>
      </w:r>
      <w:r w:rsidR="002E163D" w:rsidRPr="00596801">
        <w:rPr>
          <w:rFonts w:ascii="Arial" w:hAnsi="Arial" w:cs="Arial"/>
          <w:sz w:val="24"/>
          <w:szCs w:val="24"/>
        </w:rPr>
        <w:t>.  The parties then agreed in the minute that the prescription issue could be argued on the pleadings as they stand “</w:t>
      </w:r>
      <w:r w:rsidR="002E163D" w:rsidRPr="00596801">
        <w:rPr>
          <w:rFonts w:ascii="Arial" w:hAnsi="Arial" w:cs="Arial"/>
          <w:i/>
          <w:sz w:val="24"/>
          <w:szCs w:val="24"/>
        </w:rPr>
        <w:t>… with the application in the Gauteng High Court under case number 624/2020 having commenced in April 2014 … and judgment was handed down on 26 April 2016 … and tha</w:t>
      </w:r>
      <w:r w:rsidR="008073A7" w:rsidRPr="00596801">
        <w:rPr>
          <w:rFonts w:ascii="Arial" w:hAnsi="Arial" w:cs="Arial"/>
          <w:i/>
          <w:sz w:val="24"/>
          <w:szCs w:val="24"/>
        </w:rPr>
        <w:t>t</w:t>
      </w:r>
      <w:r w:rsidR="002E163D" w:rsidRPr="00596801">
        <w:rPr>
          <w:rFonts w:ascii="Arial" w:hAnsi="Arial" w:cs="Arial"/>
          <w:i/>
          <w:sz w:val="24"/>
          <w:szCs w:val="24"/>
        </w:rPr>
        <w:t xml:space="preserve"> the present action commenced on 5 March 2020, and the defendant was during this period and still remains a member of the plaintiff.</w:t>
      </w:r>
      <w:r w:rsidR="002E163D" w:rsidRPr="00596801">
        <w:rPr>
          <w:rFonts w:ascii="Arial" w:hAnsi="Arial" w:cs="Arial"/>
          <w:sz w:val="24"/>
          <w:szCs w:val="24"/>
        </w:rPr>
        <w:t>”</w:t>
      </w:r>
    </w:p>
    <w:p w14:paraId="34F43177" w14:textId="77777777" w:rsidR="002E163D" w:rsidRPr="002E163D" w:rsidRDefault="002E163D" w:rsidP="002E163D">
      <w:pPr>
        <w:pStyle w:val="ListParagraph"/>
        <w:rPr>
          <w:rFonts w:ascii="Arial" w:hAnsi="Arial" w:cs="Arial"/>
          <w:i/>
          <w:sz w:val="24"/>
          <w:szCs w:val="24"/>
        </w:rPr>
      </w:pPr>
    </w:p>
    <w:p w14:paraId="171A75EE" w14:textId="0E1B6276" w:rsidR="002E163D"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E163D" w:rsidRPr="00596801">
        <w:rPr>
          <w:rFonts w:ascii="Arial" w:hAnsi="Arial" w:cs="Arial"/>
          <w:sz w:val="24"/>
          <w:szCs w:val="24"/>
        </w:rPr>
        <w:t>It was apparent from the minute that plaintiff would argue that the provisions of section 13 of the Prescription Act</w:t>
      </w:r>
      <w:r w:rsidR="00D87697" w:rsidRPr="00596801">
        <w:rPr>
          <w:rFonts w:ascii="Arial" w:hAnsi="Arial" w:cs="Arial"/>
          <w:sz w:val="24"/>
          <w:szCs w:val="24"/>
        </w:rPr>
        <w:t xml:space="preserve"> 68 of 1969 (The Prescription Act) </w:t>
      </w:r>
      <w:r w:rsidR="002E163D" w:rsidRPr="00596801">
        <w:rPr>
          <w:rFonts w:ascii="Arial" w:hAnsi="Arial" w:cs="Arial"/>
          <w:sz w:val="24"/>
          <w:szCs w:val="24"/>
        </w:rPr>
        <w:t>apply</w:t>
      </w:r>
      <w:r w:rsidR="007715B2" w:rsidRPr="00596801">
        <w:rPr>
          <w:rFonts w:ascii="Arial" w:hAnsi="Arial" w:cs="Arial"/>
          <w:sz w:val="24"/>
          <w:szCs w:val="24"/>
        </w:rPr>
        <w:t>,</w:t>
      </w:r>
      <w:r w:rsidR="002E163D" w:rsidRPr="00596801">
        <w:rPr>
          <w:rFonts w:ascii="Arial" w:hAnsi="Arial" w:cs="Arial"/>
          <w:sz w:val="24"/>
          <w:szCs w:val="24"/>
        </w:rPr>
        <w:t xml:space="preserve"> and interrupted prescription as the defendant was at all relevant times a member of the plaintiff, while defendant would argue that the provisions of section 10, as read with 11 and 12 of the Prescription Act apply such that plaintiff’s claim has prescribed.</w:t>
      </w:r>
    </w:p>
    <w:p w14:paraId="6D2ADAD0" w14:textId="77777777" w:rsidR="002E163D" w:rsidRPr="002E163D" w:rsidRDefault="002E163D" w:rsidP="002E163D">
      <w:pPr>
        <w:pStyle w:val="ListParagraph"/>
        <w:rPr>
          <w:rFonts w:ascii="Arial" w:hAnsi="Arial" w:cs="Arial"/>
          <w:i/>
          <w:sz w:val="24"/>
          <w:szCs w:val="24"/>
        </w:rPr>
      </w:pPr>
    </w:p>
    <w:p w14:paraId="201955F9" w14:textId="6EBB8CE9" w:rsidR="002E163D"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E163D" w:rsidRPr="00596801">
        <w:rPr>
          <w:rFonts w:ascii="Arial" w:hAnsi="Arial" w:cs="Arial"/>
          <w:sz w:val="24"/>
          <w:szCs w:val="24"/>
        </w:rPr>
        <w:t>On the special plea itself defendant pleaded that:</w:t>
      </w:r>
    </w:p>
    <w:p w14:paraId="07040767" w14:textId="77777777" w:rsidR="002E163D" w:rsidRPr="002E163D" w:rsidRDefault="002E163D" w:rsidP="002E163D">
      <w:pPr>
        <w:pStyle w:val="ListParagraph"/>
        <w:rPr>
          <w:rFonts w:ascii="Arial" w:hAnsi="Arial" w:cs="Arial"/>
          <w:i/>
          <w:sz w:val="24"/>
          <w:szCs w:val="24"/>
        </w:rPr>
      </w:pPr>
    </w:p>
    <w:p w14:paraId="409CBB02" w14:textId="32767DD2" w:rsidR="00F92A70"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2E163D" w:rsidRPr="00596801">
        <w:rPr>
          <w:rFonts w:ascii="Arial" w:hAnsi="Arial" w:cs="Arial"/>
          <w:sz w:val="24"/>
          <w:szCs w:val="24"/>
        </w:rPr>
        <w:t>Plaintiff’s claim is premised upon a claim o</w:t>
      </w:r>
      <w:r w:rsidR="007006EA" w:rsidRPr="00596801">
        <w:rPr>
          <w:rFonts w:ascii="Arial" w:hAnsi="Arial" w:cs="Arial"/>
          <w:sz w:val="24"/>
          <w:szCs w:val="24"/>
        </w:rPr>
        <w:t>r</w:t>
      </w:r>
      <w:r w:rsidR="002E163D" w:rsidRPr="00596801">
        <w:rPr>
          <w:rFonts w:ascii="Arial" w:hAnsi="Arial" w:cs="Arial"/>
          <w:sz w:val="24"/>
          <w:szCs w:val="24"/>
        </w:rPr>
        <w:t xml:space="preserve"> obligation by defendant arising from a resolution purportedly taken by the members of plaintiff </w:t>
      </w:r>
      <w:r w:rsidR="002E163D" w:rsidRPr="00596801">
        <w:rPr>
          <w:rFonts w:ascii="Arial" w:hAnsi="Arial" w:cs="Arial"/>
          <w:sz w:val="24"/>
          <w:szCs w:val="24"/>
        </w:rPr>
        <w:lastRenderedPageBreak/>
        <w:t xml:space="preserve">during December 2014 to pay a proportionate share of plaintiff’s </w:t>
      </w:r>
      <w:r w:rsidR="00F92A70" w:rsidRPr="00596801">
        <w:rPr>
          <w:rFonts w:ascii="Arial" w:hAnsi="Arial" w:cs="Arial"/>
          <w:sz w:val="24"/>
          <w:szCs w:val="24"/>
        </w:rPr>
        <w:t>expenditure upon the legal costs already referred to above incurred in the Gauteng High court under case number 624/2020;</w:t>
      </w:r>
    </w:p>
    <w:p w14:paraId="57BF053B" w14:textId="39D6A221" w:rsidR="00F92A70"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r>
      <w:r w:rsidR="00F92A70" w:rsidRPr="00596801">
        <w:rPr>
          <w:rFonts w:ascii="Arial" w:hAnsi="Arial" w:cs="Arial"/>
          <w:sz w:val="24"/>
          <w:szCs w:val="24"/>
        </w:rPr>
        <w:t>It is pleaded further that the plaintiff’s application in the Gauteng High Court was determined by a judgment of that court delivered on 25 April 2016;</w:t>
      </w:r>
    </w:p>
    <w:p w14:paraId="5638898A" w14:textId="71DEFA9B" w:rsidR="00F92A70"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r>
      <w:r w:rsidR="00F92A70" w:rsidRPr="00596801">
        <w:rPr>
          <w:rFonts w:ascii="Arial" w:hAnsi="Arial" w:cs="Arial"/>
          <w:sz w:val="24"/>
          <w:szCs w:val="24"/>
        </w:rPr>
        <w:t xml:space="preserve">Accordingly, the debt claimed from defendant </w:t>
      </w:r>
      <w:r w:rsidR="007006EA" w:rsidRPr="00596801">
        <w:rPr>
          <w:rFonts w:ascii="Arial" w:hAnsi="Arial" w:cs="Arial"/>
          <w:sz w:val="24"/>
          <w:szCs w:val="24"/>
        </w:rPr>
        <w:t>was</w:t>
      </w:r>
      <w:r w:rsidR="00F92A70" w:rsidRPr="00596801">
        <w:rPr>
          <w:rFonts w:ascii="Arial" w:hAnsi="Arial" w:cs="Arial"/>
          <w:sz w:val="24"/>
          <w:szCs w:val="24"/>
        </w:rPr>
        <w:t xml:space="preserve"> due, in terms of section 12 of the Prescription Act, at the latest, on 25 April 2016 and plaintiff’s claim had prescribed in terms of section 10 as read with section 11 of the Prescription Act on 26 April 2019;</w:t>
      </w:r>
    </w:p>
    <w:p w14:paraId="52015C8E" w14:textId="215A2CEE" w:rsidR="00F92A70"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17.4</w:t>
      </w:r>
      <w:r>
        <w:rPr>
          <w:rFonts w:ascii="Arial" w:hAnsi="Arial" w:cs="Arial"/>
          <w:sz w:val="24"/>
          <w:szCs w:val="24"/>
        </w:rPr>
        <w:tab/>
      </w:r>
      <w:r w:rsidR="00F92A70" w:rsidRPr="00596801">
        <w:rPr>
          <w:rFonts w:ascii="Arial" w:hAnsi="Arial" w:cs="Arial"/>
          <w:sz w:val="24"/>
          <w:szCs w:val="24"/>
        </w:rPr>
        <w:t>Plaintiff’s action against defendant having been issued on 5 March 2020</w:t>
      </w:r>
      <w:r w:rsidR="007006EA" w:rsidRPr="00596801">
        <w:rPr>
          <w:rFonts w:ascii="Arial" w:hAnsi="Arial" w:cs="Arial"/>
          <w:sz w:val="24"/>
          <w:szCs w:val="24"/>
        </w:rPr>
        <w:t xml:space="preserve"> </w:t>
      </w:r>
      <w:r w:rsidR="00F92A70" w:rsidRPr="00596801">
        <w:rPr>
          <w:rFonts w:ascii="Arial" w:hAnsi="Arial" w:cs="Arial"/>
          <w:sz w:val="24"/>
          <w:szCs w:val="24"/>
        </w:rPr>
        <w:t xml:space="preserve">had by then prescribed, this accordingly unenforceable.  </w:t>
      </w:r>
    </w:p>
    <w:p w14:paraId="1948A33B" w14:textId="77777777" w:rsidR="002E163D" w:rsidRPr="002E163D" w:rsidRDefault="00F92A70" w:rsidP="00F92A70">
      <w:pPr>
        <w:pStyle w:val="ListParagraph"/>
        <w:spacing w:after="0" w:line="480" w:lineRule="auto"/>
        <w:ind w:left="1440"/>
        <w:jc w:val="both"/>
        <w:rPr>
          <w:rFonts w:ascii="Arial" w:hAnsi="Arial" w:cs="Arial"/>
          <w:sz w:val="24"/>
          <w:szCs w:val="24"/>
        </w:rPr>
      </w:pPr>
      <w:r>
        <w:rPr>
          <w:rFonts w:ascii="Arial" w:hAnsi="Arial" w:cs="Arial"/>
          <w:sz w:val="24"/>
          <w:szCs w:val="24"/>
        </w:rPr>
        <w:t xml:space="preserve"> </w:t>
      </w:r>
      <w:r w:rsidR="002E163D" w:rsidRPr="002E163D">
        <w:rPr>
          <w:rFonts w:ascii="Arial" w:hAnsi="Arial" w:cs="Arial"/>
          <w:i/>
          <w:sz w:val="24"/>
          <w:szCs w:val="24"/>
        </w:rPr>
        <w:t xml:space="preserve">  </w:t>
      </w:r>
    </w:p>
    <w:p w14:paraId="12AADAA4" w14:textId="7D82C0E3" w:rsidR="008073A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92A70" w:rsidRPr="00596801">
        <w:rPr>
          <w:rFonts w:ascii="Arial" w:hAnsi="Arial" w:cs="Arial"/>
          <w:sz w:val="24"/>
          <w:szCs w:val="24"/>
        </w:rPr>
        <w:t>There was no replication, and effectively the relevant factual basis underlying the special plea was common cause, but not the consequential</w:t>
      </w:r>
      <w:r w:rsidR="008073A7" w:rsidRPr="00596801">
        <w:rPr>
          <w:rFonts w:ascii="Arial" w:hAnsi="Arial" w:cs="Arial"/>
          <w:sz w:val="24"/>
          <w:szCs w:val="24"/>
        </w:rPr>
        <w:t xml:space="preserve"> result relevant to prescription.  </w:t>
      </w:r>
    </w:p>
    <w:p w14:paraId="3F926EA4" w14:textId="77777777" w:rsidR="008073A7" w:rsidRDefault="008073A7" w:rsidP="008073A7">
      <w:pPr>
        <w:pStyle w:val="ListParagraph"/>
        <w:spacing w:after="0" w:line="480" w:lineRule="auto"/>
        <w:jc w:val="both"/>
        <w:rPr>
          <w:rFonts w:ascii="Arial" w:hAnsi="Arial" w:cs="Arial"/>
          <w:sz w:val="24"/>
          <w:szCs w:val="24"/>
        </w:rPr>
      </w:pPr>
    </w:p>
    <w:p w14:paraId="6FAB51BB" w14:textId="5494894A" w:rsidR="008073A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073A7" w:rsidRPr="00596801">
        <w:rPr>
          <w:rFonts w:ascii="Arial" w:hAnsi="Arial" w:cs="Arial"/>
          <w:sz w:val="24"/>
          <w:szCs w:val="24"/>
        </w:rPr>
        <w:t>The evidence of Mr. Qui</w:t>
      </w:r>
      <w:r w:rsidR="007715B2" w:rsidRPr="00596801">
        <w:rPr>
          <w:rFonts w:ascii="Arial" w:hAnsi="Arial" w:cs="Arial"/>
          <w:sz w:val="24"/>
          <w:szCs w:val="24"/>
        </w:rPr>
        <w:t>n</w:t>
      </w:r>
      <w:r w:rsidR="008073A7" w:rsidRPr="00596801">
        <w:rPr>
          <w:rFonts w:ascii="Arial" w:hAnsi="Arial" w:cs="Arial"/>
          <w:sz w:val="24"/>
          <w:szCs w:val="24"/>
        </w:rPr>
        <w:t>ton Miles was led shortly, he being cited in his capacity as a trustee for the time being of the defendant trust (the Haven Trust).</w:t>
      </w:r>
    </w:p>
    <w:p w14:paraId="1A6B7011" w14:textId="77777777" w:rsidR="008073A7" w:rsidRPr="008073A7" w:rsidRDefault="008073A7" w:rsidP="008073A7">
      <w:pPr>
        <w:pStyle w:val="ListParagraph"/>
        <w:rPr>
          <w:rFonts w:ascii="Arial" w:hAnsi="Arial" w:cs="Arial"/>
          <w:sz w:val="24"/>
          <w:szCs w:val="24"/>
        </w:rPr>
      </w:pPr>
    </w:p>
    <w:p w14:paraId="26B6FCD7" w14:textId="12608166" w:rsidR="00FB3BF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073A7" w:rsidRPr="00596801">
        <w:rPr>
          <w:rFonts w:ascii="Arial" w:hAnsi="Arial" w:cs="Arial"/>
          <w:sz w:val="24"/>
          <w:szCs w:val="24"/>
        </w:rPr>
        <w:t xml:space="preserve">I will only refer to his evidence briefly as, in my view, </w:t>
      </w:r>
      <w:r w:rsidR="00837ABE" w:rsidRPr="00596801">
        <w:rPr>
          <w:rFonts w:ascii="Arial" w:hAnsi="Arial" w:cs="Arial"/>
          <w:sz w:val="24"/>
          <w:szCs w:val="24"/>
        </w:rPr>
        <w:t xml:space="preserve">nor </w:t>
      </w:r>
      <w:r w:rsidR="008073A7" w:rsidRPr="00596801">
        <w:rPr>
          <w:rFonts w:ascii="Arial" w:hAnsi="Arial" w:cs="Arial"/>
          <w:sz w:val="24"/>
          <w:szCs w:val="24"/>
        </w:rPr>
        <w:t xml:space="preserve">was </w:t>
      </w:r>
      <w:r w:rsidR="00837ABE" w:rsidRPr="00596801">
        <w:rPr>
          <w:rFonts w:ascii="Arial" w:hAnsi="Arial" w:cs="Arial"/>
          <w:sz w:val="24"/>
          <w:szCs w:val="24"/>
        </w:rPr>
        <w:t xml:space="preserve">it </w:t>
      </w:r>
      <w:r w:rsidR="008073A7" w:rsidRPr="00596801">
        <w:rPr>
          <w:rFonts w:ascii="Arial" w:hAnsi="Arial" w:cs="Arial"/>
          <w:sz w:val="24"/>
          <w:szCs w:val="24"/>
        </w:rPr>
        <w:t>contended otherwise,</w:t>
      </w:r>
      <w:r w:rsidR="00FB3BF0" w:rsidRPr="00596801">
        <w:rPr>
          <w:rFonts w:ascii="Arial" w:hAnsi="Arial" w:cs="Arial"/>
          <w:sz w:val="24"/>
          <w:szCs w:val="24"/>
        </w:rPr>
        <w:t xml:space="preserve"> </w:t>
      </w:r>
      <w:r w:rsidR="00D87697" w:rsidRPr="00596801">
        <w:rPr>
          <w:rFonts w:ascii="Arial" w:hAnsi="Arial" w:cs="Arial"/>
          <w:sz w:val="24"/>
          <w:szCs w:val="24"/>
        </w:rPr>
        <w:t xml:space="preserve">that </w:t>
      </w:r>
      <w:r w:rsidR="00FB3BF0" w:rsidRPr="00596801">
        <w:rPr>
          <w:rFonts w:ascii="Arial" w:hAnsi="Arial" w:cs="Arial"/>
          <w:sz w:val="24"/>
          <w:szCs w:val="24"/>
        </w:rPr>
        <w:t>at the end of the day it took the agreed facts and the issues to be decided no further.</w:t>
      </w:r>
    </w:p>
    <w:p w14:paraId="550E9494" w14:textId="77777777" w:rsidR="00FB3BF0" w:rsidRPr="00FB3BF0" w:rsidRDefault="00FB3BF0" w:rsidP="00FB3BF0">
      <w:pPr>
        <w:pStyle w:val="ListParagraph"/>
        <w:rPr>
          <w:rFonts w:ascii="Arial" w:hAnsi="Arial" w:cs="Arial"/>
          <w:sz w:val="24"/>
          <w:szCs w:val="24"/>
        </w:rPr>
      </w:pPr>
    </w:p>
    <w:p w14:paraId="2B66CEC1" w14:textId="27732030" w:rsidR="005315D8"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13C41" w:rsidRPr="00596801">
        <w:rPr>
          <w:rFonts w:ascii="Arial" w:hAnsi="Arial" w:cs="Arial"/>
          <w:sz w:val="24"/>
          <w:szCs w:val="24"/>
        </w:rPr>
        <w:t xml:space="preserve">Mr. Miles is indeed a trustee of the Haven Trust which owns two erven in the Long Beach development of which plaintiff is </w:t>
      </w:r>
      <w:r w:rsidR="007006EA" w:rsidRPr="00596801">
        <w:rPr>
          <w:rFonts w:ascii="Arial" w:hAnsi="Arial" w:cs="Arial"/>
          <w:sz w:val="24"/>
          <w:szCs w:val="24"/>
        </w:rPr>
        <w:t xml:space="preserve">purportedly </w:t>
      </w:r>
      <w:r w:rsidR="00313C41" w:rsidRPr="00596801">
        <w:rPr>
          <w:rFonts w:ascii="Arial" w:hAnsi="Arial" w:cs="Arial"/>
          <w:sz w:val="24"/>
          <w:szCs w:val="24"/>
        </w:rPr>
        <w:t xml:space="preserve">the home owners’ </w:t>
      </w:r>
      <w:r w:rsidR="00313C41" w:rsidRPr="00596801">
        <w:rPr>
          <w:rFonts w:ascii="Arial" w:hAnsi="Arial" w:cs="Arial"/>
          <w:sz w:val="24"/>
          <w:szCs w:val="24"/>
        </w:rPr>
        <w:lastRenderedPageBreak/>
        <w:t xml:space="preserve">association.  In short he contended that he at </w:t>
      </w:r>
      <w:r w:rsidR="00D87697" w:rsidRPr="00596801">
        <w:rPr>
          <w:rFonts w:ascii="Arial" w:hAnsi="Arial" w:cs="Arial"/>
          <w:sz w:val="24"/>
          <w:szCs w:val="24"/>
        </w:rPr>
        <w:t xml:space="preserve">no </w:t>
      </w:r>
      <w:r w:rsidR="00313C41" w:rsidRPr="00596801">
        <w:rPr>
          <w:rFonts w:ascii="Arial" w:hAnsi="Arial" w:cs="Arial"/>
          <w:sz w:val="24"/>
          <w:szCs w:val="24"/>
        </w:rPr>
        <w:t xml:space="preserve">time ever received any invitation to any meeting of the home owners’ association nor had he ever attended such meeting.  He referred to the judgment of Kollapen J in the Gauteng litigation, being a review of two decisions taken by the MEC: Economic Development Environmental Affairs and Tourism, this being to uphold an appeal against the granting of an </w:t>
      </w:r>
      <w:r w:rsidR="005315D8" w:rsidRPr="00596801">
        <w:rPr>
          <w:rFonts w:ascii="Arial" w:hAnsi="Arial" w:cs="Arial"/>
          <w:sz w:val="24"/>
          <w:szCs w:val="24"/>
        </w:rPr>
        <w:t>application</w:t>
      </w:r>
      <w:r w:rsidR="00313C41" w:rsidRPr="00596801">
        <w:rPr>
          <w:rFonts w:ascii="Arial" w:hAnsi="Arial" w:cs="Arial"/>
          <w:sz w:val="24"/>
          <w:szCs w:val="24"/>
        </w:rPr>
        <w:t xml:space="preserve"> for environmental approval granted by the Department of </w:t>
      </w:r>
      <w:r w:rsidR="005315D8" w:rsidRPr="00596801">
        <w:rPr>
          <w:rFonts w:ascii="Arial" w:hAnsi="Arial" w:cs="Arial"/>
          <w:sz w:val="24"/>
          <w:szCs w:val="24"/>
        </w:rPr>
        <w:t>Economic</w:t>
      </w:r>
      <w:r w:rsidR="00313C41" w:rsidRPr="00596801">
        <w:rPr>
          <w:rFonts w:ascii="Arial" w:hAnsi="Arial" w:cs="Arial"/>
          <w:sz w:val="24"/>
          <w:szCs w:val="24"/>
        </w:rPr>
        <w:t xml:space="preserve"> </w:t>
      </w:r>
      <w:r w:rsidR="005315D8" w:rsidRPr="00596801">
        <w:rPr>
          <w:rFonts w:ascii="Arial" w:hAnsi="Arial" w:cs="Arial"/>
          <w:sz w:val="24"/>
          <w:szCs w:val="24"/>
        </w:rPr>
        <w:t>D</w:t>
      </w:r>
      <w:r w:rsidR="00313C41" w:rsidRPr="00596801">
        <w:rPr>
          <w:rFonts w:ascii="Arial" w:hAnsi="Arial" w:cs="Arial"/>
          <w:sz w:val="24"/>
          <w:szCs w:val="24"/>
        </w:rPr>
        <w:t xml:space="preserve">evelopment, </w:t>
      </w:r>
      <w:r w:rsidR="005315D8" w:rsidRPr="00596801">
        <w:rPr>
          <w:rFonts w:ascii="Arial" w:hAnsi="Arial" w:cs="Arial"/>
          <w:sz w:val="24"/>
          <w:szCs w:val="24"/>
        </w:rPr>
        <w:t>E</w:t>
      </w:r>
      <w:r w:rsidR="00313C41" w:rsidRPr="00596801">
        <w:rPr>
          <w:rFonts w:ascii="Arial" w:hAnsi="Arial" w:cs="Arial"/>
          <w:sz w:val="24"/>
          <w:szCs w:val="24"/>
        </w:rPr>
        <w:t xml:space="preserve">nvironmental </w:t>
      </w:r>
      <w:r w:rsidR="005315D8" w:rsidRPr="00596801">
        <w:rPr>
          <w:rFonts w:ascii="Arial" w:hAnsi="Arial" w:cs="Arial"/>
          <w:sz w:val="24"/>
          <w:szCs w:val="24"/>
        </w:rPr>
        <w:t>A</w:t>
      </w:r>
      <w:r w:rsidR="00313C41" w:rsidRPr="00596801">
        <w:rPr>
          <w:rFonts w:ascii="Arial" w:hAnsi="Arial" w:cs="Arial"/>
          <w:sz w:val="24"/>
          <w:szCs w:val="24"/>
        </w:rPr>
        <w:t xml:space="preserve">ffairs and </w:t>
      </w:r>
      <w:r w:rsidR="005315D8" w:rsidRPr="00596801">
        <w:rPr>
          <w:rFonts w:ascii="Arial" w:hAnsi="Arial" w:cs="Arial"/>
          <w:sz w:val="24"/>
          <w:szCs w:val="24"/>
        </w:rPr>
        <w:t>T</w:t>
      </w:r>
      <w:r w:rsidR="00313C41" w:rsidRPr="00596801">
        <w:rPr>
          <w:rFonts w:ascii="Arial" w:hAnsi="Arial" w:cs="Arial"/>
          <w:sz w:val="24"/>
          <w:szCs w:val="24"/>
        </w:rPr>
        <w:t>ourism</w:t>
      </w:r>
      <w:r w:rsidR="005315D8" w:rsidRPr="00596801">
        <w:rPr>
          <w:rFonts w:ascii="Arial" w:hAnsi="Arial" w:cs="Arial"/>
          <w:sz w:val="24"/>
          <w:szCs w:val="24"/>
        </w:rPr>
        <w:t xml:space="preserve"> and in so doing </w:t>
      </w:r>
      <w:r w:rsidR="007715B2" w:rsidRPr="00596801">
        <w:rPr>
          <w:rFonts w:ascii="Arial" w:hAnsi="Arial" w:cs="Arial"/>
          <w:sz w:val="24"/>
          <w:szCs w:val="24"/>
        </w:rPr>
        <w:t>e</w:t>
      </w:r>
      <w:r w:rsidR="005315D8" w:rsidRPr="00596801">
        <w:rPr>
          <w:rFonts w:ascii="Arial" w:hAnsi="Arial" w:cs="Arial"/>
          <w:sz w:val="24"/>
          <w:szCs w:val="24"/>
        </w:rPr>
        <w:t xml:space="preserve">ffectively denied the applicant an environmental authorisation relevant to the home owners’ association and erven.  The second decision related to the refusal to grant two forestry licences.  Mr. Miles said he did not know of this in any way at all.  He said he did not know of the appeal against the judgment of Kollapen J, in the Supreme Court of Appeal in any way at all (this relating to the forestry licences).  </w:t>
      </w:r>
    </w:p>
    <w:p w14:paraId="2216858D" w14:textId="77777777" w:rsidR="005315D8" w:rsidRPr="005315D8" w:rsidRDefault="005315D8" w:rsidP="005315D8">
      <w:pPr>
        <w:pStyle w:val="ListParagraph"/>
        <w:rPr>
          <w:rFonts w:ascii="Arial" w:hAnsi="Arial" w:cs="Arial"/>
          <w:sz w:val="24"/>
          <w:szCs w:val="24"/>
        </w:rPr>
      </w:pPr>
    </w:p>
    <w:p w14:paraId="550E37FB" w14:textId="61A66710" w:rsidR="005315D8"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315D8" w:rsidRPr="00596801">
        <w:rPr>
          <w:rFonts w:ascii="Arial" w:hAnsi="Arial" w:cs="Arial"/>
          <w:sz w:val="24"/>
          <w:szCs w:val="24"/>
        </w:rPr>
        <w:t xml:space="preserve">He said he had no knowledge of a resolution purportedly taken by plaintiff on 16 December 2014 relevant to this litigation, the members of the association again purportedly authorising the bringing thereof.  </w:t>
      </w:r>
      <w:r w:rsidR="007006EA" w:rsidRPr="00596801">
        <w:rPr>
          <w:rFonts w:ascii="Arial" w:hAnsi="Arial" w:cs="Arial"/>
          <w:sz w:val="24"/>
          <w:szCs w:val="24"/>
        </w:rPr>
        <w:t>H</w:t>
      </w:r>
      <w:r w:rsidR="005315D8" w:rsidRPr="00596801">
        <w:rPr>
          <w:rFonts w:ascii="Arial" w:hAnsi="Arial" w:cs="Arial"/>
          <w:sz w:val="24"/>
          <w:szCs w:val="24"/>
        </w:rPr>
        <w:t xml:space="preserve">e said that </w:t>
      </w:r>
      <w:r w:rsidR="007006EA" w:rsidRPr="00596801">
        <w:rPr>
          <w:rFonts w:ascii="Arial" w:hAnsi="Arial" w:cs="Arial"/>
          <w:sz w:val="24"/>
          <w:szCs w:val="24"/>
        </w:rPr>
        <w:t xml:space="preserve">the Trust acquired </w:t>
      </w:r>
      <w:r w:rsidR="005315D8" w:rsidRPr="00596801">
        <w:rPr>
          <w:rFonts w:ascii="Arial" w:hAnsi="Arial" w:cs="Arial"/>
          <w:sz w:val="24"/>
          <w:szCs w:val="24"/>
        </w:rPr>
        <w:t xml:space="preserve">his erven directly from a certain Mr. Crawford who had since passed away.  He said that he did not even know who the purported chairman of the plaintiff’s association was then or at any time, he having met that purported chair, or seen him, on the day of the trial.  That chair was said to be Rick Tudhope, who was not himself an owner of any erf in the development.  In my view the cross-examination which was limited, took the matter relevant to prescription no further at all.  </w:t>
      </w:r>
    </w:p>
    <w:p w14:paraId="1D867625" w14:textId="77777777" w:rsidR="005315D8" w:rsidRDefault="005315D8" w:rsidP="005315D8">
      <w:pPr>
        <w:pStyle w:val="ListParagraph"/>
        <w:rPr>
          <w:rFonts w:ascii="Arial" w:hAnsi="Arial" w:cs="Arial"/>
          <w:sz w:val="24"/>
          <w:szCs w:val="24"/>
        </w:rPr>
      </w:pPr>
    </w:p>
    <w:p w14:paraId="3FF9B4E5" w14:textId="77777777" w:rsidR="007715B2" w:rsidRDefault="007715B2" w:rsidP="005315D8">
      <w:pPr>
        <w:pStyle w:val="ListParagraph"/>
        <w:ind w:left="0"/>
        <w:rPr>
          <w:rFonts w:ascii="Arial" w:hAnsi="Arial" w:cs="Arial"/>
          <w:b/>
          <w:sz w:val="24"/>
          <w:szCs w:val="24"/>
          <w:u w:val="single"/>
        </w:rPr>
      </w:pPr>
    </w:p>
    <w:p w14:paraId="4A6F3ABD" w14:textId="5D2E4B3E" w:rsidR="005315D8" w:rsidRDefault="005315D8" w:rsidP="005315D8">
      <w:pPr>
        <w:pStyle w:val="ListParagraph"/>
        <w:ind w:left="0"/>
        <w:rPr>
          <w:rFonts w:ascii="Arial" w:hAnsi="Arial" w:cs="Arial"/>
          <w:b/>
          <w:sz w:val="24"/>
          <w:szCs w:val="24"/>
          <w:u w:val="single"/>
        </w:rPr>
      </w:pPr>
      <w:r w:rsidRPr="00266A82">
        <w:rPr>
          <w:rFonts w:ascii="Arial" w:hAnsi="Arial" w:cs="Arial"/>
          <w:b/>
          <w:sz w:val="24"/>
          <w:szCs w:val="24"/>
          <w:u w:val="single"/>
        </w:rPr>
        <w:t>THE PRESCRIPTION ISSUE</w:t>
      </w:r>
    </w:p>
    <w:p w14:paraId="282D4193" w14:textId="77777777" w:rsidR="00266A82" w:rsidRPr="00266A82" w:rsidRDefault="00266A82" w:rsidP="005315D8">
      <w:pPr>
        <w:pStyle w:val="ListParagraph"/>
        <w:ind w:left="0"/>
        <w:rPr>
          <w:rFonts w:ascii="Arial" w:hAnsi="Arial" w:cs="Arial"/>
          <w:b/>
          <w:sz w:val="24"/>
          <w:szCs w:val="24"/>
          <w:u w:val="single"/>
        </w:rPr>
      </w:pPr>
    </w:p>
    <w:p w14:paraId="6B3960DE" w14:textId="77777777" w:rsidR="005315D8" w:rsidRPr="005315D8" w:rsidRDefault="005315D8" w:rsidP="005315D8">
      <w:pPr>
        <w:pStyle w:val="ListParagraph"/>
        <w:rPr>
          <w:rFonts w:ascii="Arial" w:hAnsi="Arial" w:cs="Arial"/>
          <w:sz w:val="24"/>
          <w:szCs w:val="24"/>
        </w:rPr>
      </w:pPr>
    </w:p>
    <w:p w14:paraId="134614E5" w14:textId="1E925F7D" w:rsidR="005315D8"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315D8" w:rsidRPr="00596801">
        <w:rPr>
          <w:rFonts w:ascii="Arial" w:hAnsi="Arial" w:cs="Arial"/>
          <w:sz w:val="24"/>
          <w:szCs w:val="24"/>
        </w:rPr>
        <w:t>Generally, chapter III of the Prescription Act</w:t>
      </w:r>
      <w:r w:rsidR="00D87697" w:rsidRPr="00596801">
        <w:rPr>
          <w:rFonts w:ascii="Arial" w:hAnsi="Arial" w:cs="Arial"/>
          <w:sz w:val="24"/>
          <w:szCs w:val="24"/>
        </w:rPr>
        <w:t xml:space="preserve"> </w:t>
      </w:r>
      <w:r w:rsidR="005315D8" w:rsidRPr="00596801">
        <w:rPr>
          <w:rFonts w:ascii="Arial" w:hAnsi="Arial" w:cs="Arial"/>
          <w:sz w:val="24"/>
          <w:szCs w:val="24"/>
        </w:rPr>
        <w:t xml:space="preserve">provides for the </w:t>
      </w:r>
      <w:r w:rsidR="009E1830" w:rsidRPr="00596801">
        <w:rPr>
          <w:rFonts w:ascii="Arial" w:hAnsi="Arial" w:cs="Arial"/>
          <w:sz w:val="24"/>
          <w:szCs w:val="24"/>
        </w:rPr>
        <w:t>extinction</w:t>
      </w:r>
      <w:r w:rsidR="005315D8" w:rsidRPr="00596801">
        <w:rPr>
          <w:rFonts w:ascii="Arial" w:hAnsi="Arial" w:cs="Arial"/>
          <w:sz w:val="24"/>
          <w:szCs w:val="24"/>
        </w:rPr>
        <w:t xml:space="preserve"> of debt </w:t>
      </w:r>
      <w:r w:rsidR="007006EA" w:rsidRPr="00596801">
        <w:rPr>
          <w:rFonts w:ascii="Arial" w:hAnsi="Arial" w:cs="Arial"/>
          <w:sz w:val="24"/>
          <w:szCs w:val="24"/>
        </w:rPr>
        <w:t>by</w:t>
      </w:r>
      <w:r w:rsidR="005315D8" w:rsidRPr="00596801">
        <w:rPr>
          <w:rFonts w:ascii="Arial" w:hAnsi="Arial" w:cs="Arial"/>
          <w:sz w:val="24"/>
          <w:szCs w:val="24"/>
        </w:rPr>
        <w:t xml:space="preserve"> prescription.  Obviously the effect of prescription is to </w:t>
      </w:r>
      <w:r w:rsidR="009E1830" w:rsidRPr="00596801">
        <w:rPr>
          <w:rFonts w:ascii="Arial" w:hAnsi="Arial" w:cs="Arial"/>
          <w:sz w:val="24"/>
          <w:szCs w:val="24"/>
        </w:rPr>
        <w:t>extinguish</w:t>
      </w:r>
      <w:r w:rsidR="005315D8" w:rsidRPr="00596801">
        <w:rPr>
          <w:rFonts w:ascii="Arial" w:hAnsi="Arial" w:cs="Arial"/>
          <w:sz w:val="24"/>
          <w:szCs w:val="24"/>
        </w:rPr>
        <w:t xml:space="preserve"> the debt after the lapse of the prescriptive period applied to that debt by the Act.  The claim in this matter is indeed a “</w:t>
      </w:r>
      <w:r w:rsidR="005315D8" w:rsidRPr="00596801">
        <w:rPr>
          <w:rFonts w:ascii="Arial" w:hAnsi="Arial" w:cs="Arial"/>
          <w:i/>
          <w:sz w:val="24"/>
          <w:szCs w:val="24"/>
        </w:rPr>
        <w:t>debt</w:t>
      </w:r>
      <w:r w:rsidR="005315D8" w:rsidRPr="00596801">
        <w:rPr>
          <w:rFonts w:ascii="Arial" w:hAnsi="Arial" w:cs="Arial"/>
          <w:sz w:val="24"/>
          <w:szCs w:val="24"/>
        </w:rPr>
        <w:t xml:space="preserve">” as such relevant to the </w:t>
      </w:r>
      <w:r w:rsidR="007006EA" w:rsidRPr="00596801">
        <w:rPr>
          <w:rFonts w:ascii="Arial" w:hAnsi="Arial" w:cs="Arial"/>
          <w:sz w:val="24"/>
          <w:szCs w:val="24"/>
        </w:rPr>
        <w:t>P</w:t>
      </w:r>
      <w:r w:rsidR="005315D8" w:rsidRPr="00596801">
        <w:rPr>
          <w:rFonts w:ascii="Arial" w:hAnsi="Arial" w:cs="Arial"/>
          <w:sz w:val="24"/>
          <w:szCs w:val="24"/>
        </w:rPr>
        <w:t xml:space="preserve">rescription Act.          </w:t>
      </w:r>
    </w:p>
    <w:p w14:paraId="41321311" w14:textId="1760F894" w:rsidR="005315D8"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315D8" w:rsidRPr="00596801">
        <w:rPr>
          <w:rFonts w:ascii="Arial" w:hAnsi="Arial" w:cs="Arial"/>
          <w:sz w:val="24"/>
          <w:szCs w:val="24"/>
        </w:rPr>
        <w:t xml:space="preserve">The litigant </w:t>
      </w:r>
      <w:r w:rsidR="00EB759C" w:rsidRPr="00596801">
        <w:rPr>
          <w:rFonts w:ascii="Arial" w:hAnsi="Arial" w:cs="Arial"/>
          <w:sz w:val="24"/>
          <w:szCs w:val="24"/>
        </w:rPr>
        <w:t>pleading prescription and alleging same has the onus of proving the date of the inception of the period of prescription</w:t>
      </w:r>
      <w:r w:rsidR="009E1830">
        <w:rPr>
          <w:rStyle w:val="FootnoteReference"/>
          <w:rFonts w:ascii="Arial" w:hAnsi="Arial" w:cs="Arial"/>
          <w:sz w:val="24"/>
          <w:szCs w:val="24"/>
        </w:rPr>
        <w:footnoteReference w:id="1"/>
      </w:r>
      <w:r w:rsidR="00EB759C" w:rsidRPr="00596801">
        <w:rPr>
          <w:rFonts w:ascii="Arial" w:hAnsi="Arial" w:cs="Arial"/>
          <w:sz w:val="24"/>
          <w:szCs w:val="24"/>
        </w:rPr>
        <w:t>.</w:t>
      </w:r>
      <w:r w:rsidR="0038632E" w:rsidRPr="00596801">
        <w:rPr>
          <w:rFonts w:ascii="Arial" w:hAnsi="Arial" w:cs="Arial"/>
          <w:sz w:val="24"/>
          <w:szCs w:val="24"/>
        </w:rPr>
        <w:t xml:space="preserve">  For the purposes of this matter prescription runs as soon as the debt is due, in terms of section 12(1) of the Prescription Act</w:t>
      </w:r>
      <w:r w:rsidR="0038632E">
        <w:rPr>
          <w:rStyle w:val="FootnoteReference"/>
          <w:rFonts w:ascii="Arial" w:hAnsi="Arial" w:cs="Arial"/>
          <w:sz w:val="24"/>
          <w:szCs w:val="24"/>
        </w:rPr>
        <w:footnoteReference w:id="2"/>
      </w:r>
      <w:r w:rsidR="0038632E" w:rsidRPr="00596801">
        <w:rPr>
          <w:rFonts w:ascii="Arial" w:hAnsi="Arial" w:cs="Arial"/>
          <w:sz w:val="24"/>
          <w:szCs w:val="24"/>
        </w:rPr>
        <w:t>.  This too is not contentious in this matter.</w:t>
      </w:r>
    </w:p>
    <w:p w14:paraId="4FD962E2" w14:textId="77777777" w:rsidR="0038632E" w:rsidRPr="0038632E" w:rsidRDefault="0038632E" w:rsidP="0038632E">
      <w:pPr>
        <w:pStyle w:val="ListParagraph"/>
        <w:rPr>
          <w:rFonts w:ascii="Arial" w:hAnsi="Arial" w:cs="Arial"/>
          <w:sz w:val="24"/>
          <w:szCs w:val="24"/>
        </w:rPr>
      </w:pPr>
    </w:p>
    <w:p w14:paraId="61B3474D" w14:textId="2A8ABD90" w:rsidR="0038632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8632E" w:rsidRPr="00596801">
        <w:rPr>
          <w:rFonts w:ascii="Arial" w:hAnsi="Arial" w:cs="Arial"/>
          <w:sz w:val="24"/>
          <w:szCs w:val="24"/>
        </w:rPr>
        <w:t xml:space="preserve">For this matter the debt prescribed after three years in terms of the Act.  </w:t>
      </w:r>
    </w:p>
    <w:p w14:paraId="35C32E96" w14:textId="77777777" w:rsidR="0038632E" w:rsidRPr="0038632E" w:rsidRDefault="0038632E" w:rsidP="0038632E">
      <w:pPr>
        <w:pStyle w:val="ListParagraph"/>
        <w:rPr>
          <w:rFonts w:ascii="Arial" w:hAnsi="Arial" w:cs="Arial"/>
          <w:sz w:val="24"/>
          <w:szCs w:val="24"/>
        </w:rPr>
      </w:pPr>
    </w:p>
    <w:p w14:paraId="1BDF13A0" w14:textId="0F11869B" w:rsidR="0038632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8632E" w:rsidRPr="00596801">
        <w:rPr>
          <w:rFonts w:ascii="Arial" w:hAnsi="Arial" w:cs="Arial"/>
          <w:sz w:val="24"/>
          <w:szCs w:val="24"/>
        </w:rPr>
        <w:t xml:space="preserve">The real issue is whether or not there was a delay of completion of prescription, the onus on the creditor </w:t>
      </w:r>
      <w:r w:rsidR="007006EA" w:rsidRPr="00596801">
        <w:rPr>
          <w:rFonts w:ascii="Arial" w:hAnsi="Arial" w:cs="Arial"/>
          <w:sz w:val="24"/>
          <w:szCs w:val="24"/>
        </w:rPr>
        <w:t xml:space="preserve">(plaintiff) </w:t>
      </w:r>
      <w:r w:rsidR="0038632E" w:rsidRPr="00596801">
        <w:rPr>
          <w:rFonts w:ascii="Arial" w:hAnsi="Arial" w:cs="Arial"/>
          <w:sz w:val="24"/>
          <w:szCs w:val="24"/>
        </w:rPr>
        <w:t xml:space="preserve">to allege and prove that the </w:t>
      </w:r>
      <w:r w:rsidR="00266A82" w:rsidRPr="00596801">
        <w:rPr>
          <w:rFonts w:ascii="Arial" w:hAnsi="Arial" w:cs="Arial"/>
          <w:sz w:val="24"/>
          <w:szCs w:val="24"/>
        </w:rPr>
        <w:t>completion</w:t>
      </w:r>
      <w:r w:rsidR="0038632E" w:rsidRPr="00596801">
        <w:rPr>
          <w:rFonts w:ascii="Arial" w:hAnsi="Arial" w:cs="Arial"/>
          <w:sz w:val="24"/>
          <w:szCs w:val="24"/>
        </w:rPr>
        <w:t xml:space="preserve"> of prescription was </w:t>
      </w:r>
      <w:r w:rsidR="00266A82" w:rsidRPr="00596801">
        <w:rPr>
          <w:rFonts w:ascii="Arial" w:hAnsi="Arial" w:cs="Arial"/>
          <w:sz w:val="24"/>
          <w:szCs w:val="24"/>
        </w:rPr>
        <w:t>delayed</w:t>
      </w:r>
      <w:r w:rsidR="0038632E" w:rsidRPr="00596801">
        <w:rPr>
          <w:rFonts w:ascii="Arial" w:hAnsi="Arial" w:cs="Arial"/>
          <w:sz w:val="24"/>
          <w:szCs w:val="24"/>
        </w:rPr>
        <w:t xml:space="preserve"> under the </w:t>
      </w:r>
      <w:r w:rsidR="00266A82" w:rsidRPr="00596801">
        <w:rPr>
          <w:rFonts w:ascii="Arial" w:hAnsi="Arial" w:cs="Arial"/>
          <w:sz w:val="24"/>
          <w:szCs w:val="24"/>
        </w:rPr>
        <w:t>circumstances</w:t>
      </w:r>
      <w:r w:rsidR="0038632E" w:rsidRPr="00596801">
        <w:rPr>
          <w:rFonts w:ascii="Arial" w:hAnsi="Arial" w:cs="Arial"/>
          <w:sz w:val="24"/>
          <w:szCs w:val="24"/>
        </w:rPr>
        <w:t xml:space="preserve"> set out in section 13 of the Prescription Act</w:t>
      </w:r>
      <w:r w:rsidR="0038632E">
        <w:rPr>
          <w:rStyle w:val="FootnoteReference"/>
          <w:rFonts w:ascii="Arial" w:hAnsi="Arial" w:cs="Arial"/>
          <w:sz w:val="24"/>
          <w:szCs w:val="24"/>
        </w:rPr>
        <w:footnoteReference w:id="3"/>
      </w:r>
      <w:r w:rsidR="0038632E" w:rsidRPr="00596801">
        <w:rPr>
          <w:rFonts w:ascii="Arial" w:hAnsi="Arial" w:cs="Arial"/>
          <w:sz w:val="24"/>
          <w:szCs w:val="24"/>
        </w:rPr>
        <w:t>.</w:t>
      </w:r>
    </w:p>
    <w:p w14:paraId="2B1AB50E" w14:textId="77777777" w:rsidR="005315D8" w:rsidRPr="005315D8" w:rsidRDefault="005315D8" w:rsidP="005315D8">
      <w:pPr>
        <w:pStyle w:val="ListParagraph"/>
        <w:rPr>
          <w:rFonts w:ascii="Arial" w:hAnsi="Arial" w:cs="Arial"/>
          <w:sz w:val="24"/>
          <w:szCs w:val="24"/>
        </w:rPr>
      </w:pPr>
    </w:p>
    <w:p w14:paraId="3AA0B067" w14:textId="65E89862" w:rsidR="0038632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8632E" w:rsidRPr="00596801">
        <w:rPr>
          <w:rFonts w:ascii="Arial" w:hAnsi="Arial" w:cs="Arial"/>
          <w:sz w:val="24"/>
          <w:szCs w:val="24"/>
        </w:rPr>
        <w:t xml:space="preserve">Section 13 of the </w:t>
      </w:r>
      <w:r w:rsidR="00266A82" w:rsidRPr="00596801">
        <w:rPr>
          <w:rFonts w:ascii="Arial" w:hAnsi="Arial" w:cs="Arial"/>
          <w:sz w:val="24"/>
          <w:szCs w:val="24"/>
        </w:rPr>
        <w:t>Prescription</w:t>
      </w:r>
      <w:r w:rsidR="0038632E" w:rsidRPr="00596801">
        <w:rPr>
          <w:rFonts w:ascii="Arial" w:hAnsi="Arial" w:cs="Arial"/>
          <w:sz w:val="24"/>
          <w:szCs w:val="24"/>
        </w:rPr>
        <w:t xml:space="preserve"> Act, relevant to this matter, as to its relevant parts provides that:</w:t>
      </w:r>
    </w:p>
    <w:p w14:paraId="419C42D9" w14:textId="77777777" w:rsidR="0038632E" w:rsidRPr="0038632E" w:rsidRDefault="0038632E" w:rsidP="0038632E">
      <w:pPr>
        <w:pStyle w:val="ListParagraph"/>
        <w:rPr>
          <w:rFonts w:ascii="Arial" w:hAnsi="Arial" w:cs="Arial"/>
          <w:sz w:val="24"/>
          <w:szCs w:val="24"/>
        </w:rPr>
      </w:pPr>
    </w:p>
    <w:p w14:paraId="22BD5A19" w14:textId="77777777" w:rsidR="0038632E" w:rsidRPr="00266A82" w:rsidRDefault="0038632E" w:rsidP="00266A82">
      <w:pPr>
        <w:pStyle w:val="ListParagraph"/>
        <w:spacing w:after="0" w:line="360" w:lineRule="auto"/>
        <w:jc w:val="both"/>
        <w:rPr>
          <w:rFonts w:ascii="Arial" w:hAnsi="Arial" w:cs="Arial"/>
          <w:i/>
        </w:rPr>
      </w:pPr>
      <w:r>
        <w:rPr>
          <w:rFonts w:ascii="Arial" w:hAnsi="Arial" w:cs="Arial"/>
          <w:sz w:val="24"/>
          <w:szCs w:val="24"/>
        </w:rPr>
        <w:tab/>
      </w:r>
      <w:r w:rsidRPr="00266A82">
        <w:rPr>
          <w:rFonts w:ascii="Arial" w:hAnsi="Arial" w:cs="Arial"/>
        </w:rPr>
        <w:t>“</w:t>
      </w:r>
      <w:r w:rsidRPr="00266A82">
        <w:rPr>
          <w:rFonts w:ascii="Arial" w:hAnsi="Arial" w:cs="Arial"/>
          <w:i/>
        </w:rPr>
        <w:t>13(1)</w:t>
      </w:r>
      <w:r w:rsidRPr="00266A82">
        <w:rPr>
          <w:rFonts w:ascii="Arial" w:hAnsi="Arial" w:cs="Arial"/>
          <w:i/>
        </w:rPr>
        <w:tab/>
        <w:t xml:space="preserve">if – </w:t>
      </w:r>
    </w:p>
    <w:p w14:paraId="55362DB3" w14:textId="44C9E5D9"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(a)</w:t>
      </w:r>
      <w:r w:rsidRPr="00266A82">
        <w:rPr>
          <w:rFonts w:ascii="Arial" w:hAnsi="Arial" w:cs="Arial"/>
          <w:i/>
        </w:rPr>
        <w:tab/>
      </w:r>
      <w:r w:rsidR="0038632E" w:rsidRPr="00596801">
        <w:rPr>
          <w:rFonts w:ascii="Arial" w:hAnsi="Arial" w:cs="Arial"/>
          <w:i/>
        </w:rPr>
        <w:t>…</w:t>
      </w:r>
    </w:p>
    <w:p w14:paraId="1A8403D9" w14:textId="2D198A4F"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(b)</w:t>
      </w:r>
      <w:r w:rsidRPr="00266A82">
        <w:rPr>
          <w:rFonts w:ascii="Arial" w:hAnsi="Arial" w:cs="Arial"/>
          <w:i/>
        </w:rPr>
        <w:tab/>
      </w:r>
      <w:r w:rsidR="0038632E" w:rsidRPr="00596801">
        <w:rPr>
          <w:rFonts w:ascii="Arial" w:hAnsi="Arial" w:cs="Arial"/>
          <w:i/>
        </w:rPr>
        <w:t>…</w:t>
      </w:r>
    </w:p>
    <w:p w14:paraId="55944AD0" w14:textId="3023F627"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(c)</w:t>
      </w:r>
      <w:r w:rsidRPr="00266A82">
        <w:rPr>
          <w:rFonts w:ascii="Arial" w:hAnsi="Arial" w:cs="Arial"/>
          <w:i/>
        </w:rPr>
        <w:tab/>
      </w:r>
      <w:r w:rsidR="0038632E" w:rsidRPr="00596801">
        <w:rPr>
          <w:rFonts w:ascii="Arial" w:hAnsi="Arial" w:cs="Arial"/>
          <w:i/>
        </w:rPr>
        <w:t>…</w:t>
      </w:r>
    </w:p>
    <w:p w14:paraId="3506E322" w14:textId="42529D4B"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(d)</w:t>
      </w:r>
      <w:r w:rsidRPr="00266A82">
        <w:rPr>
          <w:rFonts w:ascii="Arial" w:hAnsi="Arial" w:cs="Arial"/>
          <w:i/>
        </w:rPr>
        <w:tab/>
      </w:r>
      <w:r w:rsidR="0038632E" w:rsidRPr="00596801">
        <w:rPr>
          <w:rFonts w:ascii="Arial" w:hAnsi="Arial" w:cs="Arial"/>
          <w:i/>
        </w:rPr>
        <w:t>…</w:t>
      </w:r>
    </w:p>
    <w:p w14:paraId="64445376" w14:textId="42F2C9D6"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lastRenderedPageBreak/>
        <w:t>(e)</w:t>
      </w:r>
      <w:r w:rsidRPr="00266A82">
        <w:rPr>
          <w:rFonts w:ascii="Arial" w:hAnsi="Arial" w:cs="Arial"/>
          <w:i/>
        </w:rPr>
        <w:tab/>
      </w:r>
      <w:r w:rsidR="0038632E" w:rsidRPr="00596801">
        <w:rPr>
          <w:rFonts w:ascii="Arial" w:hAnsi="Arial" w:cs="Arial"/>
          <w:i/>
        </w:rPr>
        <w:t>The creditor is a juristic person and the debtor is a member of the governing body of such juristic person; …</w:t>
      </w:r>
    </w:p>
    <w:p w14:paraId="2C42B3FB" w14:textId="40168CBC"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(f)</w:t>
      </w:r>
      <w:r w:rsidRPr="00266A82">
        <w:rPr>
          <w:rFonts w:ascii="Arial" w:hAnsi="Arial" w:cs="Arial"/>
          <w:i/>
        </w:rPr>
        <w:tab/>
      </w:r>
      <w:r w:rsidR="0038632E" w:rsidRPr="00596801">
        <w:rPr>
          <w:rFonts w:ascii="Arial" w:hAnsi="Arial" w:cs="Arial"/>
          <w:i/>
        </w:rPr>
        <w:t>…</w:t>
      </w:r>
    </w:p>
    <w:p w14:paraId="15FF5D0F" w14:textId="2A8CC379"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(g)</w:t>
      </w:r>
      <w:r w:rsidRPr="00266A82">
        <w:rPr>
          <w:rFonts w:ascii="Arial" w:hAnsi="Arial" w:cs="Arial"/>
          <w:i/>
        </w:rPr>
        <w:tab/>
      </w:r>
      <w:r w:rsidR="0038632E" w:rsidRPr="00596801">
        <w:rPr>
          <w:rFonts w:ascii="Arial" w:hAnsi="Arial" w:cs="Arial"/>
          <w:i/>
        </w:rPr>
        <w:t>…</w:t>
      </w:r>
    </w:p>
    <w:p w14:paraId="00A1B6C2" w14:textId="13170816"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(h)</w:t>
      </w:r>
      <w:r w:rsidRPr="00266A82">
        <w:rPr>
          <w:rFonts w:ascii="Arial" w:hAnsi="Arial" w:cs="Arial"/>
          <w:i/>
        </w:rPr>
        <w:tab/>
      </w:r>
      <w:r w:rsidR="0038632E" w:rsidRPr="00596801">
        <w:rPr>
          <w:rFonts w:ascii="Arial" w:hAnsi="Arial" w:cs="Arial"/>
          <w:i/>
        </w:rPr>
        <w:t>…</w:t>
      </w:r>
    </w:p>
    <w:p w14:paraId="56ECEDB1" w14:textId="0336C392" w:rsidR="0038632E" w:rsidRPr="00596801" w:rsidRDefault="00596801" w:rsidP="00596801">
      <w:pPr>
        <w:spacing w:after="0" w:line="360" w:lineRule="auto"/>
        <w:ind w:left="1800" w:hanging="360"/>
        <w:jc w:val="both"/>
        <w:rPr>
          <w:rFonts w:ascii="Arial" w:hAnsi="Arial" w:cs="Arial"/>
          <w:i/>
        </w:rPr>
      </w:pPr>
      <w:r w:rsidRPr="00266A82">
        <w:rPr>
          <w:rFonts w:ascii="Arial" w:hAnsi="Arial" w:cs="Arial"/>
          <w:i/>
        </w:rPr>
        <w:t>(i)</w:t>
      </w:r>
      <w:r w:rsidRPr="00266A82">
        <w:rPr>
          <w:rFonts w:ascii="Arial" w:hAnsi="Arial" w:cs="Arial"/>
          <w:i/>
        </w:rPr>
        <w:tab/>
      </w:r>
      <w:r w:rsidR="0038632E" w:rsidRPr="00596801">
        <w:rPr>
          <w:rFonts w:ascii="Arial" w:hAnsi="Arial" w:cs="Arial"/>
          <w:i/>
        </w:rPr>
        <w:t>…</w:t>
      </w:r>
    </w:p>
    <w:p w14:paraId="5A678880" w14:textId="47032B7A" w:rsidR="0038632E" w:rsidRPr="00266A82" w:rsidRDefault="0038632E" w:rsidP="00266A82">
      <w:pPr>
        <w:pStyle w:val="ListParagraph"/>
        <w:spacing w:after="0" w:line="360" w:lineRule="auto"/>
        <w:ind w:left="1440"/>
        <w:jc w:val="both"/>
        <w:rPr>
          <w:rFonts w:ascii="Arial" w:hAnsi="Arial" w:cs="Arial"/>
          <w:i/>
        </w:rPr>
      </w:pPr>
      <w:r w:rsidRPr="00266A82">
        <w:rPr>
          <w:rFonts w:ascii="Arial" w:hAnsi="Arial" w:cs="Arial"/>
          <w:i/>
        </w:rPr>
        <w:t xml:space="preserve">The period of prescription shall not be completed before </w:t>
      </w:r>
      <w:r w:rsidR="007715B2">
        <w:rPr>
          <w:rFonts w:ascii="Arial" w:hAnsi="Arial" w:cs="Arial"/>
          <w:i/>
        </w:rPr>
        <w:t xml:space="preserve">a </w:t>
      </w:r>
      <w:r w:rsidRPr="00266A82">
        <w:rPr>
          <w:rFonts w:ascii="Arial" w:hAnsi="Arial" w:cs="Arial"/>
          <w:i/>
        </w:rPr>
        <w:t xml:space="preserve">year has elapsed after the day referred to in paragraph (i).  </w:t>
      </w:r>
      <w:r w:rsidRPr="00266A82">
        <w:rPr>
          <w:rFonts w:ascii="Arial" w:hAnsi="Arial" w:cs="Arial"/>
          <w:i/>
        </w:rPr>
        <w:tab/>
      </w:r>
    </w:p>
    <w:p w14:paraId="50EC7CB4" w14:textId="77777777" w:rsidR="0038632E" w:rsidRPr="0038632E" w:rsidRDefault="0038632E" w:rsidP="0038632E">
      <w:pPr>
        <w:pStyle w:val="ListParagraph"/>
        <w:rPr>
          <w:rFonts w:ascii="Arial" w:hAnsi="Arial" w:cs="Arial"/>
          <w:sz w:val="24"/>
          <w:szCs w:val="24"/>
        </w:rPr>
      </w:pPr>
    </w:p>
    <w:p w14:paraId="1B78D5F1" w14:textId="7DA8E6B6" w:rsidR="0038632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8632E" w:rsidRPr="00596801">
        <w:rPr>
          <w:rFonts w:ascii="Arial" w:hAnsi="Arial" w:cs="Arial"/>
          <w:sz w:val="24"/>
          <w:szCs w:val="24"/>
        </w:rPr>
        <w:t xml:space="preserve">The only issue relevant to the argument and decision in this matter is section 13(1)(e).  </w:t>
      </w:r>
    </w:p>
    <w:p w14:paraId="05B43C25" w14:textId="77777777" w:rsidR="0038632E" w:rsidRDefault="0038632E" w:rsidP="0038632E">
      <w:pPr>
        <w:pStyle w:val="ListParagraph"/>
        <w:spacing w:after="0" w:line="480" w:lineRule="auto"/>
        <w:jc w:val="both"/>
        <w:rPr>
          <w:rFonts w:ascii="Arial" w:hAnsi="Arial" w:cs="Arial"/>
          <w:sz w:val="24"/>
          <w:szCs w:val="24"/>
        </w:rPr>
      </w:pPr>
    </w:p>
    <w:p w14:paraId="6E7416C1" w14:textId="2122470A" w:rsidR="0038632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8632E" w:rsidRPr="00596801">
        <w:rPr>
          <w:rFonts w:ascii="Arial" w:hAnsi="Arial" w:cs="Arial"/>
          <w:sz w:val="24"/>
          <w:szCs w:val="24"/>
        </w:rPr>
        <w:t xml:space="preserve">The claim is based upon the plaintiff’s constitution which provides in summary that the plaintiff may raise levies to meet expenses associated with the maintenance, repair, improvement and keeping </w:t>
      </w:r>
      <w:r w:rsidR="00EF4387" w:rsidRPr="00596801">
        <w:rPr>
          <w:rFonts w:ascii="Arial" w:hAnsi="Arial" w:cs="Arial"/>
          <w:sz w:val="24"/>
          <w:szCs w:val="24"/>
        </w:rPr>
        <w:t xml:space="preserve">in </w:t>
      </w:r>
      <w:r w:rsidR="007006EA" w:rsidRPr="00596801">
        <w:rPr>
          <w:rFonts w:ascii="Arial" w:hAnsi="Arial" w:cs="Arial"/>
          <w:sz w:val="24"/>
          <w:szCs w:val="24"/>
        </w:rPr>
        <w:t xml:space="preserve">proper </w:t>
      </w:r>
      <w:r w:rsidR="00EF4387" w:rsidRPr="00596801">
        <w:rPr>
          <w:rFonts w:ascii="Arial" w:hAnsi="Arial" w:cs="Arial"/>
          <w:sz w:val="24"/>
          <w:szCs w:val="24"/>
        </w:rPr>
        <w:t xml:space="preserve">order and condition of the property, and for the payment of rates and charges in respect of </w:t>
      </w:r>
      <w:r w:rsidR="007006EA" w:rsidRPr="00596801">
        <w:rPr>
          <w:rFonts w:ascii="Arial" w:hAnsi="Arial" w:cs="Arial"/>
          <w:sz w:val="24"/>
          <w:szCs w:val="24"/>
        </w:rPr>
        <w:t xml:space="preserve">the </w:t>
      </w:r>
      <w:r w:rsidR="00EF4387" w:rsidRPr="00596801">
        <w:rPr>
          <w:rFonts w:ascii="Arial" w:hAnsi="Arial" w:cs="Arial"/>
          <w:sz w:val="24"/>
          <w:szCs w:val="24"/>
        </w:rPr>
        <w:t>common area</w:t>
      </w:r>
      <w:r w:rsidR="007006EA" w:rsidRPr="00596801">
        <w:rPr>
          <w:rFonts w:ascii="Arial" w:hAnsi="Arial" w:cs="Arial"/>
          <w:sz w:val="24"/>
          <w:szCs w:val="24"/>
        </w:rPr>
        <w:t xml:space="preserve">s </w:t>
      </w:r>
      <w:r w:rsidR="00EF4387" w:rsidRPr="00596801">
        <w:rPr>
          <w:rFonts w:ascii="Arial" w:hAnsi="Arial" w:cs="Arial"/>
          <w:sz w:val="24"/>
          <w:szCs w:val="24"/>
        </w:rPr>
        <w:t xml:space="preserve"> </w:t>
      </w:r>
      <w:r w:rsidR="007006EA" w:rsidRPr="00596801">
        <w:rPr>
          <w:rFonts w:ascii="Arial" w:hAnsi="Arial" w:cs="Arial"/>
          <w:sz w:val="24"/>
          <w:szCs w:val="24"/>
        </w:rPr>
        <w:t>and</w:t>
      </w:r>
      <w:r w:rsidR="00EF4387" w:rsidRPr="00596801">
        <w:rPr>
          <w:rFonts w:ascii="Arial" w:hAnsi="Arial" w:cs="Arial"/>
          <w:sz w:val="24"/>
          <w:szCs w:val="24"/>
        </w:rPr>
        <w:t xml:space="preserve"> services rendered to it</w:t>
      </w:r>
      <w:r w:rsidR="007006EA" w:rsidRPr="00596801">
        <w:rPr>
          <w:rFonts w:ascii="Arial" w:hAnsi="Arial" w:cs="Arial"/>
          <w:sz w:val="24"/>
          <w:szCs w:val="24"/>
        </w:rPr>
        <w:t>,</w:t>
      </w:r>
      <w:r w:rsidR="00EF4387" w:rsidRPr="00596801">
        <w:rPr>
          <w:rFonts w:ascii="Arial" w:hAnsi="Arial" w:cs="Arial"/>
          <w:sz w:val="24"/>
          <w:szCs w:val="24"/>
        </w:rPr>
        <w:t xml:space="preserve"> and for the payment of expenses necessarily or reasonably incurred in connection with the management of the plaintiff.</w:t>
      </w:r>
    </w:p>
    <w:p w14:paraId="7699D69B" w14:textId="77777777" w:rsidR="00EF4387" w:rsidRPr="00EF4387" w:rsidRDefault="00EF4387" w:rsidP="00EF4387">
      <w:pPr>
        <w:pStyle w:val="ListParagraph"/>
        <w:rPr>
          <w:rFonts w:ascii="Arial" w:hAnsi="Arial" w:cs="Arial"/>
          <w:sz w:val="24"/>
          <w:szCs w:val="24"/>
        </w:rPr>
      </w:pPr>
    </w:p>
    <w:p w14:paraId="06CAF91D" w14:textId="53EFC37C" w:rsidR="00EF438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F4387" w:rsidRPr="00596801">
        <w:rPr>
          <w:rFonts w:ascii="Arial" w:hAnsi="Arial" w:cs="Arial"/>
          <w:sz w:val="24"/>
          <w:szCs w:val="24"/>
        </w:rPr>
        <w:t xml:space="preserve">It provides </w:t>
      </w:r>
      <w:r w:rsidR="007006EA" w:rsidRPr="00596801">
        <w:rPr>
          <w:rFonts w:ascii="Arial" w:hAnsi="Arial" w:cs="Arial"/>
          <w:sz w:val="24"/>
          <w:szCs w:val="24"/>
        </w:rPr>
        <w:t>i</w:t>
      </w:r>
      <w:r w:rsidR="00EF4387" w:rsidRPr="00596801">
        <w:rPr>
          <w:rFonts w:ascii="Arial" w:hAnsi="Arial" w:cs="Arial"/>
          <w:sz w:val="24"/>
          <w:szCs w:val="24"/>
        </w:rPr>
        <w:t>n addition that the plaintiff may require members to pay an additional levy to cover “</w:t>
      </w:r>
      <w:r w:rsidR="00EF4387" w:rsidRPr="00596801">
        <w:rPr>
          <w:rFonts w:ascii="Arial" w:hAnsi="Arial" w:cs="Arial"/>
          <w:i/>
          <w:sz w:val="24"/>
          <w:szCs w:val="24"/>
        </w:rPr>
        <w:t>extraordinary expenses</w:t>
      </w:r>
      <w:r w:rsidR="00EF4387" w:rsidRPr="00596801">
        <w:rPr>
          <w:rFonts w:ascii="Arial" w:hAnsi="Arial" w:cs="Arial"/>
          <w:sz w:val="24"/>
          <w:szCs w:val="24"/>
        </w:rPr>
        <w:t xml:space="preserve">” necessarily incurred.  </w:t>
      </w:r>
    </w:p>
    <w:p w14:paraId="33C38A4E" w14:textId="77777777" w:rsidR="00EF4387" w:rsidRPr="00EF4387" w:rsidRDefault="00EF4387" w:rsidP="00EF4387">
      <w:pPr>
        <w:pStyle w:val="ListParagraph"/>
        <w:rPr>
          <w:rFonts w:ascii="Arial" w:hAnsi="Arial" w:cs="Arial"/>
          <w:sz w:val="24"/>
          <w:szCs w:val="24"/>
        </w:rPr>
      </w:pPr>
    </w:p>
    <w:p w14:paraId="6F9D91B9" w14:textId="6F52586F" w:rsidR="00EF438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F4387" w:rsidRPr="00596801">
        <w:rPr>
          <w:rFonts w:ascii="Arial" w:hAnsi="Arial" w:cs="Arial"/>
          <w:sz w:val="24"/>
          <w:szCs w:val="24"/>
        </w:rPr>
        <w:t>The constitution provides that the plaintiff is “</w:t>
      </w:r>
      <w:r w:rsidR="00EF4387" w:rsidRPr="00596801">
        <w:rPr>
          <w:rFonts w:ascii="Arial" w:hAnsi="Arial" w:cs="Arial"/>
          <w:i/>
          <w:sz w:val="24"/>
          <w:szCs w:val="24"/>
        </w:rPr>
        <w:t>its own legal persona, quite separate and distinct from its members</w:t>
      </w:r>
      <w:r w:rsidR="00EF4387" w:rsidRPr="00596801">
        <w:rPr>
          <w:rFonts w:ascii="Arial" w:hAnsi="Arial" w:cs="Arial"/>
          <w:sz w:val="24"/>
          <w:szCs w:val="24"/>
        </w:rPr>
        <w:t>”.  It is entitled to institute action for all and any of the obligations and duties imposed on the members in terms of the constitution.  For the purposes of this proceeding it must be assumed that the debt claimed is one in terms of the constitution, its prescription being the issue relevant.</w:t>
      </w:r>
    </w:p>
    <w:p w14:paraId="0AEC59AD" w14:textId="77777777" w:rsidR="00EF4387" w:rsidRPr="00EF4387" w:rsidRDefault="00EF4387" w:rsidP="00EF4387">
      <w:pPr>
        <w:pStyle w:val="ListParagraph"/>
        <w:rPr>
          <w:rFonts w:ascii="Arial" w:hAnsi="Arial" w:cs="Arial"/>
          <w:sz w:val="24"/>
          <w:szCs w:val="24"/>
        </w:rPr>
      </w:pPr>
    </w:p>
    <w:p w14:paraId="2838F1E1" w14:textId="25FFFE0F" w:rsidR="00EF438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F4387" w:rsidRPr="00596801">
        <w:rPr>
          <w:rFonts w:ascii="Arial" w:hAnsi="Arial" w:cs="Arial"/>
          <w:sz w:val="24"/>
          <w:szCs w:val="24"/>
        </w:rPr>
        <w:t>The claim refers to section 29(2)(b) of the Land Use Planning Ordinance 15 of 1985 (“LUPO”).  Section 29(2)(b) providing</w:t>
      </w:r>
      <w:r w:rsidR="000F45A7" w:rsidRPr="00596801">
        <w:rPr>
          <w:rFonts w:ascii="Arial" w:hAnsi="Arial" w:cs="Arial"/>
          <w:sz w:val="24"/>
          <w:szCs w:val="24"/>
        </w:rPr>
        <w:t xml:space="preserve"> that plaintiff shall have a constitution for various purposes, and section 29(2)(c) that the </w:t>
      </w:r>
      <w:r w:rsidR="007006EA" w:rsidRPr="00596801">
        <w:rPr>
          <w:rFonts w:ascii="Arial" w:hAnsi="Arial" w:cs="Arial"/>
          <w:sz w:val="24"/>
          <w:szCs w:val="24"/>
        </w:rPr>
        <w:t>owners</w:t>
      </w:r>
      <w:r w:rsidR="000F45A7" w:rsidRPr="00596801">
        <w:rPr>
          <w:rFonts w:ascii="Arial" w:hAnsi="Arial" w:cs="Arial"/>
          <w:sz w:val="24"/>
          <w:szCs w:val="24"/>
        </w:rPr>
        <w:t xml:space="preserve"> of land units arising from the sub-division of property shall be members of the home owners’ association and shall be “</w:t>
      </w:r>
      <w:r w:rsidR="000F45A7" w:rsidRPr="00596801">
        <w:rPr>
          <w:rFonts w:ascii="Arial" w:hAnsi="Arial" w:cs="Arial"/>
          <w:i/>
          <w:sz w:val="24"/>
          <w:szCs w:val="24"/>
        </w:rPr>
        <w:t>jointly liable for the plaintiff’s expenditure”</w:t>
      </w:r>
      <w:r w:rsidR="000F45A7" w:rsidRPr="00596801">
        <w:rPr>
          <w:rFonts w:ascii="Arial" w:hAnsi="Arial" w:cs="Arial"/>
          <w:sz w:val="24"/>
          <w:szCs w:val="24"/>
        </w:rPr>
        <w:t xml:space="preserve">.  </w:t>
      </w:r>
    </w:p>
    <w:p w14:paraId="2BA408C6" w14:textId="77777777" w:rsidR="000F45A7" w:rsidRPr="000F45A7" w:rsidRDefault="000F45A7" w:rsidP="000F45A7">
      <w:pPr>
        <w:pStyle w:val="ListParagraph"/>
        <w:rPr>
          <w:rFonts w:ascii="Arial" w:hAnsi="Arial" w:cs="Arial"/>
          <w:sz w:val="24"/>
          <w:szCs w:val="24"/>
        </w:rPr>
      </w:pPr>
    </w:p>
    <w:p w14:paraId="4EF16B12" w14:textId="39D18C84" w:rsidR="008E5D41"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F45A7" w:rsidRPr="00596801">
        <w:rPr>
          <w:rFonts w:ascii="Arial" w:hAnsi="Arial" w:cs="Arial"/>
          <w:sz w:val="24"/>
          <w:szCs w:val="24"/>
        </w:rPr>
        <w:t xml:space="preserve">The haven trust as I have said </w:t>
      </w:r>
      <w:r w:rsidR="007006EA" w:rsidRPr="00596801">
        <w:rPr>
          <w:rFonts w:ascii="Arial" w:hAnsi="Arial" w:cs="Arial"/>
          <w:sz w:val="24"/>
          <w:szCs w:val="24"/>
        </w:rPr>
        <w:t xml:space="preserve">is </w:t>
      </w:r>
      <w:r w:rsidR="000F45A7" w:rsidRPr="00596801">
        <w:rPr>
          <w:rFonts w:ascii="Arial" w:hAnsi="Arial" w:cs="Arial"/>
          <w:sz w:val="24"/>
          <w:szCs w:val="24"/>
        </w:rPr>
        <w:t xml:space="preserve">the owner of two subdivided portions of the </w:t>
      </w:r>
      <w:r w:rsidR="008E5D41" w:rsidRPr="00596801">
        <w:rPr>
          <w:rFonts w:ascii="Arial" w:hAnsi="Arial" w:cs="Arial"/>
          <w:sz w:val="24"/>
          <w:szCs w:val="24"/>
        </w:rPr>
        <w:t>property</w:t>
      </w:r>
      <w:r w:rsidR="000F45A7" w:rsidRPr="00596801">
        <w:rPr>
          <w:rFonts w:ascii="Arial" w:hAnsi="Arial" w:cs="Arial"/>
          <w:sz w:val="24"/>
          <w:szCs w:val="24"/>
        </w:rPr>
        <w:t xml:space="preserve"> relevant and it is alleged </w:t>
      </w:r>
      <w:r w:rsidR="007006EA" w:rsidRPr="00596801">
        <w:rPr>
          <w:rFonts w:ascii="Arial" w:hAnsi="Arial" w:cs="Arial"/>
          <w:sz w:val="24"/>
          <w:szCs w:val="24"/>
        </w:rPr>
        <w:t>that</w:t>
      </w:r>
      <w:r w:rsidR="000F45A7" w:rsidRPr="00596801">
        <w:rPr>
          <w:rFonts w:ascii="Arial" w:hAnsi="Arial" w:cs="Arial"/>
          <w:sz w:val="24"/>
          <w:szCs w:val="24"/>
        </w:rPr>
        <w:t xml:space="preserve"> in terms of LUPO that </w:t>
      </w:r>
      <w:r w:rsidR="008E5D41" w:rsidRPr="00596801">
        <w:rPr>
          <w:rFonts w:ascii="Arial" w:hAnsi="Arial" w:cs="Arial"/>
          <w:sz w:val="24"/>
          <w:szCs w:val="24"/>
        </w:rPr>
        <w:t>defendant is a member of plaintiff and jointly liable for the plaintiff’s expenditure accordingly.  It is further alleged that by the constitution and resolution</w:t>
      </w:r>
      <w:r w:rsidR="007006EA" w:rsidRPr="00596801">
        <w:rPr>
          <w:rFonts w:ascii="Arial" w:hAnsi="Arial" w:cs="Arial"/>
          <w:sz w:val="24"/>
          <w:szCs w:val="24"/>
        </w:rPr>
        <w:t>,</w:t>
      </w:r>
      <w:r w:rsidR="008E5D41" w:rsidRPr="00596801">
        <w:rPr>
          <w:rFonts w:ascii="Arial" w:hAnsi="Arial" w:cs="Arial"/>
          <w:sz w:val="24"/>
          <w:szCs w:val="24"/>
        </w:rPr>
        <w:t xml:space="preserve"> previously referred</w:t>
      </w:r>
      <w:r w:rsidR="007006EA" w:rsidRPr="00596801">
        <w:rPr>
          <w:rFonts w:ascii="Arial" w:hAnsi="Arial" w:cs="Arial"/>
          <w:sz w:val="24"/>
          <w:szCs w:val="24"/>
        </w:rPr>
        <w:t>,</w:t>
      </w:r>
      <w:r w:rsidR="008E5D41" w:rsidRPr="00596801">
        <w:rPr>
          <w:rFonts w:ascii="Arial" w:hAnsi="Arial" w:cs="Arial"/>
          <w:sz w:val="24"/>
          <w:szCs w:val="24"/>
        </w:rPr>
        <w:t xml:space="preserve"> the litigation commenced and </w:t>
      </w:r>
      <w:r w:rsidR="007715B2" w:rsidRPr="00596801">
        <w:rPr>
          <w:rFonts w:ascii="Arial" w:hAnsi="Arial" w:cs="Arial"/>
          <w:sz w:val="24"/>
          <w:szCs w:val="24"/>
        </w:rPr>
        <w:t xml:space="preserve">was </w:t>
      </w:r>
      <w:r w:rsidR="008E5D41" w:rsidRPr="00596801">
        <w:rPr>
          <w:rFonts w:ascii="Arial" w:hAnsi="Arial" w:cs="Arial"/>
          <w:sz w:val="24"/>
          <w:szCs w:val="24"/>
        </w:rPr>
        <w:t xml:space="preserve">approved by the members they becoming jointly liable via LUPO for plaintiff’s expenditure in a </w:t>
      </w:r>
      <w:r w:rsidR="007715B2" w:rsidRPr="00596801">
        <w:rPr>
          <w:rFonts w:ascii="Arial" w:hAnsi="Arial" w:cs="Arial"/>
          <w:sz w:val="24"/>
          <w:szCs w:val="24"/>
        </w:rPr>
        <w:t>proportionate</w:t>
      </w:r>
      <w:r w:rsidR="008E5D41" w:rsidRPr="00596801">
        <w:rPr>
          <w:rFonts w:ascii="Arial" w:hAnsi="Arial" w:cs="Arial"/>
          <w:sz w:val="24"/>
          <w:szCs w:val="24"/>
        </w:rPr>
        <w:t xml:space="preserve"> share.  The alternative claim relies simply on the resolution alleged.  </w:t>
      </w:r>
    </w:p>
    <w:p w14:paraId="1EA574E5" w14:textId="77777777" w:rsidR="008E5D41" w:rsidRPr="008E5D41" w:rsidRDefault="008E5D41" w:rsidP="008E5D41">
      <w:pPr>
        <w:pStyle w:val="ListParagraph"/>
        <w:rPr>
          <w:rFonts w:ascii="Arial" w:hAnsi="Arial" w:cs="Arial"/>
          <w:sz w:val="24"/>
          <w:szCs w:val="24"/>
        </w:rPr>
      </w:pPr>
    </w:p>
    <w:p w14:paraId="4C82497C" w14:textId="2BD436C9" w:rsidR="008E5D41"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E5D41" w:rsidRPr="00596801">
        <w:rPr>
          <w:rFonts w:ascii="Arial" w:hAnsi="Arial" w:cs="Arial"/>
          <w:sz w:val="24"/>
          <w:szCs w:val="24"/>
        </w:rPr>
        <w:t>As per the dates, and from the further minute already referred to above it is common cause that:</w:t>
      </w:r>
    </w:p>
    <w:p w14:paraId="3D4A0126" w14:textId="77777777" w:rsidR="008E5D41" w:rsidRPr="008E5D41" w:rsidRDefault="008E5D41" w:rsidP="008E5D41">
      <w:pPr>
        <w:pStyle w:val="ListParagraph"/>
        <w:rPr>
          <w:rFonts w:ascii="Arial" w:hAnsi="Arial" w:cs="Arial"/>
          <w:sz w:val="24"/>
          <w:szCs w:val="24"/>
        </w:rPr>
      </w:pPr>
    </w:p>
    <w:p w14:paraId="5B1AE63F" w14:textId="391DF64D" w:rsidR="008E5D41"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34.1</w:t>
      </w:r>
      <w:r>
        <w:rPr>
          <w:rFonts w:ascii="Arial" w:hAnsi="Arial" w:cs="Arial"/>
          <w:sz w:val="24"/>
          <w:szCs w:val="24"/>
        </w:rPr>
        <w:tab/>
      </w:r>
      <w:r w:rsidR="008E5D41" w:rsidRPr="00596801">
        <w:rPr>
          <w:rFonts w:ascii="Arial" w:hAnsi="Arial" w:cs="Arial"/>
          <w:sz w:val="24"/>
          <w:szCs w:val="24"/>
        </w:rPr>
        <w:t xml:space="preserve">The Gauteng litigation commenced in April 2014; </w:t>
      </w:r>
    </w:p>
    <w:p w14:paraId="31FFD7C1" w14:textId="00482946" w:rsidR="008E5D41"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34.2</w:t>
      </w:r>
      <w:r>
        <w:rPr>
          <w:rFonts w:ascii="Arial" w:hAnsi="Arial" w:cs="Arial"/>
          <w:sz w:val="24"/>
          <w:szCs w:val="24"/>
        </w:rPr>
        <w:tab/>
      </w:r>
      <w:r w:rsidR="007006EA" w:rsidRPr="00596801">
        <w:rPr>
          <w:rFonts w:ascii="Arial" w:hAnsi="Arial" w:cs="Arial"/>
          <w:sz w:val="24"/>
          <w:szCs w:val="24"/>
        </w:rPr>
        <w:t>The j</w:t>
      </w:r>
      <w:r w:rsidR="008E5D41" w:rsidRPr="00596801">
        <w:rPr>
          <w:rFonts w:ascii="Arial" w:hAnsi="Arial" w:cs="Arial"/>
          <w:sz w:val="24"/>
          <w:szCs w:val="24"/>
        </w:rPr>
        <w:t>udgment by Kollapen J was handed down on 26 April 2016 – the costs relevant thereto being the origin of the claim;</w:t>
      </w:r>
    </w:p>
    <w:p w14:paraId="3F04CAEC" w14:textId="06C2E3C0" w:rsidR="008E5D41"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34.3</w:t>
      </w:r>
      <w:r>
        <w:rPr>
          <w:rFonts w:ascii="Arial" w:hAnsi="Arial" w:cs="Arial"/>
          <w:sz w:val="24"/>
          <w:szCs w:val="24"/>
        </w:rPr>
        <w:tab/>
      </w:r>
      <w:r w:rsidR="008E5D41" w:rsidRPr="00596801">
        <w:rPr>
          <w:rFonts w:ascii="Arial" w:hAnsi="Arial" w:cs="Arial"/>
          <w:sz w:val="24"/>
          <w:szCs w:val="24"/>
        </w:rPr>
        <w:t>The present action commenced on 5 March 2020;</w:t>
      </w:r>
    </w:p>
    <w:p w14:paraId="35E9A856" w14:textId="44683676" w:rsidR="008E5D41"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34.4</w:t>
      </w:r>
      <w:r>
        <w:rPr>
          <w:rFonts w:ascii="Arial" w:hAnsi="Arial" w:cs="Arial"/>
          <w:sz w:val="24"/>
          <w:szCs w:val="24"/>
        </w:rPr>
        <w:tab/>
      </w:r>
      <w:r w:rsidR="007006EA" w:rsidRPr="00596801">
        <w:rPr>
          <w:rFonts w:ascii="Arial" w:hAnsi="Arial" w:cs="Arial"/>
          <w:sz w:val="24"/>
          <w:szCs w:val="24"/>
        </w:rPr>
        <w:t>D</w:t>
      </w:r>
      <w:r w:rsidR="008E5D41" w:rsidRPr="00596801">
        <w:rPr>
          <w:rFonts w:ascii="Arial" w:hAnsi="Arial" w:cs="Arial"/>
          <w:sz w:val="24"/>
          <w:szCs w:val="24"/>
        </w:rPr>
        <w:t>efendant was a member of plaintiff at all times relevant;</w:t>
      </w:r>
    </w:p>
    <w:p w14:paraId="5FEBB498" w14:textId="1B962C9C" w:rsidR="008E5D41"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34.5</w:t>
      </w:r>
      <w:r>
        <w:rPr>
          <w:rFonts w:ascii="Arial" w:hAnsi="Arial" w:cs="Arial"/>
          <w:sz w:val="24"/>
          <w:szCs w:val="24"/>
        </w:rPr>
        <w:tab/>
      </w:r>
      <w:r w:rsidR="008E5D41" w:rsidRPr="00596801">
        <w:rPr>
          <w:rFonts w:ascii="Arial" w:hAnsi="Arial" w:cs="Arial"/>
          <w:sz w:val="24"/>
          <w:szCs w:val="24"/>
        </w:rPr>
        <w:t>Effectively that prescription commenced to run on 25 April 2016 (which is common cause);</w:t>
      </w:r>
    </w:p>
    <w:p w14:paraId="707C24C0" w14:textId="580C8BC5" w:rsidR="008E5D41" w:rsidRPr="00596801" w:rsidRDefault="00596801" w:rsidP="00596801">
      <w:pPr>
        <w:spacing w:after="0" w:line="480" w:lineRule="auto"/>
        <w:ind w:left="1440" w:hanging="720"/>
        <w:jc w:val="both"/>
        <w:rPr>
          <w:rFonts w:ascii="Arial" w:hAnsi="Arial" w:cs="Arial"/>
          <w:sz w:val="24"/>
          <w:szCs w:val="24"/>
        </w:rPr>
      </w:pPr>
      <w:r w:rsidRPr="008E5D41">
        <w:rPr>
          <w:rFonts w:ascii="Arial" w:hAnsi="Arial" w:cs="Arial"/>
          <w:sz w:val="24"/>
          <w:szCs w:val="24"/>
        </w:rPr>
        <w:lastRenderedPageBreak/>
        <w:t>34.6</w:t>
      </w:r>
      <w:r w:rsidRPr="008E5D41">
        <w:rPr>
          <w:rFonts w:ascii="Arial" w:hAnsi="Arial" w:cs="Arial"/>
          <w:sz w:val="24"/>
          <w:szCs w:val="24"/>
        </w:rPr>
        <w:tab/>
      </w:r>
      <w:r w:rsidR="008E5D41" w:rsidRPr="00596801">
        <w:rPr>
          <w:rFonts w:ascii="Arial" w:hAnsi="Arial" w:cs="Arial"/>
          <w:sz w:val="24"/>
          <w:szCs w:val="24"/>
        </w:rPr>
        <w:t xml:space="preserve">That unless delayed, in terms of section 13 </w:t>
      </w:r>
      <w:r w:rsidR="00D87697" w:rsidRPr="00596801">
        <w:rPr>
          <w:rFonts w:ascii="Arial" w:hAnsi="Arial" w:cs="Arial"/>
          <w:sz w:val="24"/>
          <w:szCs w:val="24"/>
        </w:rPr>
        <w:t xml:space="preserve">of the Prescription Act </w:t>
      </w:r>
      <w:r w:rsidR="007006EA" w:rsidRPr="00596801">
        <w:rPr>
          <w:rFonts w:ascii="Arial" w:hAnsi="Arial" w:cs="Arial"/>
          <w:sz w:val="24"/>
          <w:szCs w:val="24"/>
        </w:rPr>
        <w:t>the claim</w:t>
      </w:r>
      <w:r w:rsidR="008E5D41" w:rsidRPr="00596801">
        <w:rPr>
          <w:rFonts w:ascii="Arial" w:hAnsi="Arial" w:cs="Arial"/>
          <w:sz w:val="24"/>
          <w:szCs w:val="24"/>
        </w:rPr>
        <w:t xml:space="preserve"> would long have expired and become prescribed by 5 March 2020 when the claim was issued.  </w:t>
      </w:r>
    </w:p>
    <w:p w14:paraId="659ACB6A" w14:textId="77777777" w:rsidR="008E5D41" w:rsidRPr="008E5D41" w:rsidRDefault="008E5D41" w:rsidP="008E5D41">
      <w:pPr>
        <w:pStyle w:val="ListParagraph"/>
        <w:rPr>
          <w:rFonts w:ascii="Arial" w:hAnsi="Arial" w:cs="Arial"/>
          <w:sz w:val="24"/>
          <w:szCs w:val="24"/>
        </w:rPr>
      </w:pPr>
    </w:p>
    <w:p w14:paraId="7E7A9079" w14:textId="7B775814" w:rsidR="000F45A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E5D41" w:rsidRPr="00596801">
        <w:rPr>
          <w:rFonts w:ascii="Arial" w:hAnsi="Arial" w:cs="Arial"/>
          <w:sz w:val="24"/>
          <w:szCs w:val="24"/>
        </w:rPr>
        <w:t xml:space="preserve"> It is not disputed that </w:t>
      </w:r>
      <w:r w:rsidR="00A62916" w:rsidRPr="00596801">
        <w:rPr>
          <w:rFonts w:ascii="Arial" w:hAnsi="Arial" w:cs="Arial"/>
          <w:sz w:val="24"/>
          <w:szCs w:val="24"/>
        </w:rPr>
        <w:t>plaintiff’s</w:t>
      </w:r>
      <w:r w:rsidR="008E5D41" w:rsidRPr="00596801">
        <w:rPr>
          <w:rFonts w:ascii="Arial" w:hAnsi="Arial" w:cs="Arial"/>
          <w:sz w:val="24"/>
          <w:szCs w:val="24"/>
        </w:rPr>
        <w:t xml:space="preserve"> claim is clearly a debt as contemplated by section 12 of the Prescription Act</w:t>
      </w:r>
      <w:r w:rsidR="008E5D41">
        <w:rPr>
          <w:rStyle w:val="FootnoteReference"/>
          <w:rFonts w:ascii="Arial" w:hAnsi="Arial" w:cs="Arial"/>
          <w:sz w:val="24"/>
          <w:szCs w:val="24"/>
        </w:rPr>
        <w:footnoteReference w:id="4"/>
      </w:r>
      <w:r w:rsidR="008E5D41" w:rsidRPr="00596801">
        <w:rPr>
          <w:rFonts w:ascii="Arial" w:hAnsi="Arial" w:cs="Arial"/>
          <w:sz w:val="24"/>
          <w:szCs w:val="24"/>
        </w:rPr>
        <w:t>.</w:t>
      </w:r>
    </w:p>
    <w:p w14:paraId="4F07BFEB" w14:textId="77777777" w:rsidR="008E5D41" w:rsidRDefault="008E5D41" w:rsidP="008E5D41">
      <w:pPr>
        <w:pStyle w:val="ListParagraph"/>
        <w:spacing w:after="0" w:line="480" w:lineRule="auto"/>
        <w:jc w:val="both"/>
        <w:rPr>
          <w:rFonts w:ascii="Arial" w:hAnsi="Arial" w:cs="Arial"/>
          <w:sz w:val="24"/>
          <w:szCs w:val="24"/>
        </w:rPr>
      </w:pPr>
    </w:p>
    <w:p w14:paraId="775A8584" w14:textId="343E5D3E" w:rsidR="008E5D41"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A62916" w:rsidRPr="00596801">
        <w:rPr>
          <w:rFonts w:ascii="Arial" w:hAnsi="Arial" w:cs="Arial"/>
          <w:sz w:val="24"/>
          <w:szCs w:val="24"/>
        </w:rPr>
        <w:t>It</w:t>
      </w:r>
      <w:r w:rsidR="007715B2" w:rsidRPr="00596801">
        <w:rPr>
          <w:rFonts w:ascii="Arial" w:hAnsi="Arial" w:cs="Arial"/>
          <w:sz w:val="24"/>
          <w:szCs w:val="24"/>
        </w:rPr>
        <w:t>’</w:t>
      </w:r>
      <w:r w:rsidR="00A62916" w:rsidRPr="00596801">
        <w:rPr>
          <w:rFonts w:ascii="Arial" w:hAnsi="Arial" w:cs="Arial"/>
          <w:sz w:val="24"/>
          <w:szCs w:val="24"/>
        </w:rPr>
        <w:t>s prescription period is three years.</w:t>
      </w:r>
    </w:p>
    <w:p w14:paraId="66C10F6A" w14:textId="77777777" w:rsidR="00A62916" w:rsidRPr="00A62916" w:rsidRDefault="00A62916" w:rsidP="00A62916">
      <w:pPr>
        <w:pStyle w:val="ListParagraph"/>
        <w:rPr>
          <w:rFonts w:ascii="Arial" w:hAnsi="Arial" w:cs="Arial"/>
          <w:sz w:val="24"/>
          <w:szCs w:val="24"/>
        </w:rPr>
      </w:pPr>
    </w:p>
    <w:p w14:paraId="17793618" w14:textId="0B54574B" w:rsidR="00A62916"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62916" w:rsidRPr="00596801">
        <w:rPr>
          <w:rFonts w:ascii="Arial" w:hAnsi="Arial" w:cs="Arial"/>
          <w:sz w:val="24"/>
          <w:szCs w:val="24"/>
        </w:rPr>
        <w:t xml:space="preserve">It is thus that the parties accept that the claim </w:t>
      </w:r>
      <w:r w:rsidR="007006EA" w:rsidRPr="00596801">
        <w:rPr>
          <w:rFonts w:ascii="Arial" w:hAnsi="Arial" w:cs="Arial"/>
          <w:sz w:val="24"/>
          <w:szCs w:val="24"/>
        </w:rPr>
        <w:t>has</w:t>
      </w:r>
      <w:r w:rsidR="00A62916" w:rsidRPr="00596801">
        <w:rPr>
          <w:rFonts w:ascii="Arial" w:hAnsi="Arial" w:cs="Arial"/>
          <w:sz w:val="24"/>
          <w:szCs w:val="24"/>
        </w:rPr>
        <w:t xml:space="preserve"> prescribed as a matter of law in terms of sections 10 and 11 of the Prescription Act</w:t>
      </w:r>
      <w:r w:rsidR="007006EA" w:rsidRPr="00596801">
        <w:rPr>
          <w:rFonts w:ascii="Arial" w:hAnsi="Arial" w:cs="Arial"/>
          <w:sz w:val="24"/>
          <w:szCs w:val="24"/>
        </w:rPr>
        <w:t>,</w:t>
      </w:r>
      <w:r w:rsidR="00A62916" w:rsidRPr="00596801">
        <w:rPr>
          <w:rFonts w:ascii="Arial" w:hAnsi="Arial" w:cs="Arial"/>
          <w:sz w:val="24"/>
          <w:szCs w:val="24"/>
        </w:rPr>
        <w:t xml:space="preserve"> but for the delay argument.</w:t>
      </w:r>
    </w:p>
    <w:p w14:paraId="201CEF5E" w14:textId="77777777" w:rsidR="00A62916" w:rsidRPr="00A62916" w:rsidRDefault="00A62916" w:rsidP="00A62916">
      <w:pPr>
        <w:pStyle w:val="ListParagraph"/>
        <w:rPr>
          <w:rFonts w:ascii="Arial" w:hAnsi="Arial" w:cs="Arial"/>
          <w:sz w:val="24"/>
          <w:szCs w:val="24"/>
        </w:rPr>
      </w:pPr>
    </w:p>
    <w:p w14:paraId="1117A8EA" w14:textId="586FB6B1" w:rsidR="00A62916"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A62916" w:rsidRPr="00596801">
        <w:rPr>
          <w:rFonts w:ascii="Arial" w:hAnsi="Arial" w:cs="Arial"/>
          <w:sz w:val="24"/>
          <w:szCs w:val="24"/>
        </w:rPr>
        <w:t>It comes down then to whether</w:t>
      </w:r>
      <w:r w:rsidR="007715B2" w:rsidRPr="00596801">
        <w:rPr>
          <w:rFonts w:ascii="Arial" w:hAnsi="Arial" w:cs="Arial"/>
          <w:sz w:val="24"/>
          <w:szCs w:val="24"/>
        </w:rPr>
        <w:t>,</w:t>
      </w:r>
      <w:r w:rsidR="00A62916" w:rsidRPr="00596801">
        <w:rPr>
          <w:rFonts w:ascii="Arial" w:hAnsi="Arial" w:cs="Arial"/>
          <w:sz w:val="24"/>
          <w:szCs w:val="24"/>
        </w:rPr>
        <w:t xml:space="preserve"> for the purposes of section 13(1)(e) of the Prescription Act</w:t>
      </w:r>
      <w:r w:rsidR="007715B2" w:rsidRPr="00596801">
        <w:rPr>
          <w:rFonts w:ascii="Arial" w:hAnsi="Arial" w:cs="Arial"/>
          <w:sz w:val="24"/>
          <w:szCs w:val="24"/>
        </w:rPr>
        <w:t>,</w:t>
      </w:r>
      <w:r w:rsidR="00570F00" w:rsidRPr="00596801">
        <w:rPr>
          <w:rFonts w:ascii="Arial" w:hAnsi="Arial" w:cs="Arial"/>
          <w:sz w:val="24"/>
          <w:szCs w:val="24"/>
        </w:rPr>
        <w:t xml:space="preserve"> plaintiff is </w:t>
      </w:r>
      <w:r w:rsidR="007715B2" w:rsidRPr="00596801">
        <w:rPr>
          <w:rFonts w:ascii="Arial" w:hAnsi="Arial" w:cs="Arial"/>
          <w:sz w:val="24"/>
          <w:szCs w:val="24"/>
        </w:rPr>
        <w:t xml:space="preserve">a </w:t>
      </w:r>
      <w:r w:rsidR="00570F00" w:rsidRPr="00596801">
        <w:rPr>
          <w:rFonts w:ascii="Arial" w:hAnsi="Arial" w:cs="Arial"/>
          <w:sz w:val="24"/>
          <w:szCs w:val="24"/>
        </w:rPr>
        <w:t xml:space="preserve">juristic person as contemplated in the Act and the defendant a member of its governing body.  </w:t>
      </w:r>
    </w:p>
    <w:p w14:paraId="53B7E296" w14:textId="77777777" w:rsidR="00570F00" w:rsidRDefault="00570F00" w:rsidP="00570F00">
      <w:pPr>
        <w:pStyle w:val="ListParagraph"/>
        <w:rPr>
          <w:rFonts w:ascii="Arial" w:hAnsi="Arial" w:cs="Arial"/>
          <w:sz w:val="24"/>
          <w:szCs w:val="24"/>
        </w:rPr>
      </w:pPr>
    </w:p>
    <w:p w14:paraId="507C7C91" w14:textId="18FEA7B0" w:rsidR="00570F00" w:rsidRDefault="00570F00" w:rsidP="00266A82">
      <w:pPr>
        <w:pStyle w:val="ListParagraph"/>
        <w:ind w:left="0"/>
        <w:rPr>
          <w:rFonts w:ascii="Arial" w:hAnsi="Arial" w:cs="Arial"/>
          <w:b/>
          <w:sz w:val="24"/>
          <w:szCs w:val="24"/>
          <w:u w:val="single"/>
        </w:rPr>
      </w:pPr>
      <w:r>
        <w:rPr>
          <w:rFonts w:ascii="Arial" w:hAnsi="Arial" w:cs="Arial"/>
          <w:b/>
          <w:sz w:val="24"/>
          <w:szCs w:val="24"/>
          <w:u w:val="single"/>
        </w:rPr>
        <w:t>IS THE PLAINTIFF A JURSITIC PERSON CONTEMPLATED IN SECTION 13(1)(E) OF THE PRESCRIPTION ACT</w:t>
      </w:r>
      <w:r w:rsidR="007715B2">
        <w:rPr>
          <w:rFonts w:ascii="Arial" w:hAnsi="Arial" w:cs="Arial"/>
          <w:b/>
          <w:sz w:val="24"/>
          <w:szCs w:val="24"/>
          <w:u w:val="single"/>
        </w:rPr>
        <w:t>?</w:t>
      </w:r>
    </w:p>
    <w:p w14:paraId="52C3ABFA" w14:textId="77777777" w:rsidR="00570F00" w:rsidRPr="00570F00" w:rsidRDefault="00570F00" w:rsidP="00570F00">
      <w:pPr>
        <w:pStyle w:val="ListParagraph"/>
        <w:rPr>
          <w:rFonts w:ascii="Arial" w:hAnsi="Arial" w:cs="Arial"/>
          <w:b/>
          <w:sz w:val="24"/>
          <w:szCs w:val="24"/>
          <w:u w:val="single"/>
        </w:rPr>
      </w:pPr>
    </w:p>
    <w:p w14:paraId="37A985D7" w14:textId="02C00D43" w:rsidR="00570F0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570F00" w:rsidRPr="00596801">
        <w:rPr>
          <w:rFonts w:ascii="Arial" w:hAnsi="Arial" w:cs="Arial"/>
          <w:sz w:val="24"/>
          <w:szCs w:val="24"/>
        </w:rPr>
        <w:t xml:space="preserve">In interpreting the </w:t>
      </w:r>
      <w:r w:rsidR="007006EA" w:rsidRPr="00596801">
        <w:rPr>
          <w:rFonts w:ascii="Arial" w:hAnsi="Arial" w:cs="Arial"/>
          <w:sz w:val="24"/>
          <w:szCs w:val="24"/>
        </w:rPr>
        <w:t xml:space="preserve">Prescription </w:t>
      </w:r>
      <w:r w:rsidR="00570F00" w:rsidRPr="00596801">
        <w:rPr>
          <w:rFonts w:ascii="Arial" w:hAnsi="Arial" w:cs="Arial"/>
          <w:sz w:val="24"/>
          <w:szCs w:val="24"/>
        </w:rPr>
        <w:t xml:space="preserve">Act, it is not disputed that the approach is as set out below.  </w:t>
      </w:r>
    </w:p>
    <w:p w14:paraId="7D8051C8" w14:textId="77777777" w:rsidR="00570F00" w:rsidRDefault="00570F00" w:rsidP="00570F00">
      <w:pPr>
        <w:pStyle w:val="ListParagraph"/>
        <w:spacing w:after="0" w:line="480" w:lineRule="auto"/>
        <w:jc w:val="both"/>
        <w:rPr>
          <w:rFonts w:ascii="Arial" w:hAnsi="Arial" w:cs="Arial"/>
          <w:sz w:val="24"/>
          <w:szCs w:val="24"/>
        </w:rPr>
      </w:pPr>
    </w:p>
    <w:p w14:paraId="3ECE6D34" w14:textId="01385EE7" w:rsidR="00570F00" w:rsidRPr="00596801" w:rsidRDefault="00596801" w:rsidP="00596801">
      <w:pPr>
        <w:spacing w:after="0" w:line="480" w:lineRule="auto"/>
        <w:ind w:left="720" w:hanging="720"/>
        <w:jc w:val="both"/>
        <w:rPr>
          <w:rFonts w:ascii="Arial" w:hAnsi="Arial" w:cs="Arial"/>
          <w:sz w:val="24"/>
          <w:szCs w:val="24"/>
        </w:rPr>
      </w:pPr>
      <w:r w:rsidRPr="00570F00">
        <w:rPr>
          <w:rFonts w:ascii="Arial" w:hAnsi="Arial" w:cs="Arial"/>
          <w:sz w:val="24"/>
          <w:szCs w:val="24"/>
        </w:rPr>
        <w:t>40.</w:t>
      </w:r>
      <w:r w:rsidRPr="00570F00">
        <w:rPr>
          <w:rFonts w:ascii="Arial" w:hAnsi="Arial" w:cs="Arial"/>
          <w:sz w:val="24"/>
          <w:szCs w:val="24"/>
        </w:rPr>
        <w:tab/>
      </w:r>
      <w:r w:rsidR="00570F00" w:rsidRPr="00596801">
        <w:rPr>
          <w:rFonts w:ascii="Arial" w:hAnsi="Arial" w:cs="Arial"/>
          <w:sz w:val="24"/>
          <w:szCs w:val="24"/>
        </w:rPr>
        <w:t xml:space="preserve">It must be emphasised, and always remembered, that in the current day, interpretation of a document, including a statute, requires careful regard to context.  When a court determines the nature of the party’s rights and obligations in a contract it is involved in an exercise of contractual interpretation.  </w:t>
      </w:r>
      <w:r w:rsidR="00570F00" w:rsidRPr="00596801">
        <w:rPr>
          <w:rFonts w:ascii="Arial" w:hAnsi="Arial" w:cs="Arial"/>
          <w:sz w:val="24"/>
          <w:szCs w:val="24"/>
        </w:rPr>
        <w:lastRenderedPageBreak/>
        <w:t>There is now a settled approach to the interpretation of contracts, documents and indeed statutes.</w:t>
      </w:r>
      <w:r w:rsidR="00570F00">
        <w:rPr>
          <w:rStyle w:val="FootnoteReference"/>
          <w:rFonts w:ascii="Arial" w:hAnsi="Arial" w:cs="Arial"/>
          <w:sz w:val="24"/>
          <w:szCs w:val="24"/>
        </w:rPr>
        <w:footnoteReference w:id="5"/>
      </w:r>
      <w:r w:rsidR="00570F00" w:rsidRPr="00596801">
        <w:rPr>
          <w:rFonts w:ascii="Arial" w:hAnsi="Arial" w:cs="Arial"/>
          <w:sz w:val="24"/>
          <w:szCs w:val="24"/>
        </w:rPr>
        <w:t xml:space="preserve">  In that matter the following was said:</w:t>
      </w:r>
    </w:p>
    <w:p w14:paraId="09315BC4" w14:textId="77777777" w:rsidR="00570F00" w:rsidRDefault="00570F00" w:rsidP="00570F00">
      <w:pPr>
        <w:pStyle w:val="ListParagraph"/>
        <w:spacing w:after="0" w:line="360" w:lineRule="auto"/>
        <w:jc w:val="both"/>
        <w:rPr>
          <w:rFonts w:ascii="Arial" w:hAnsi="Arial" w:cs="Arial"/>
          <w:sz w:val="24"/>
          <w:szCs w:val="24"/>
        </w:rPr>
      </w:pPr>
    </w:p>
    <w:p w14:paraId="459A36A9" w14:textId="77777777" w:rsidR="00570F00" w:rsidRDefault="00570F00" w:rsidP="00570F00">
      <w:pPr>
        <w:pStyle w:val="ListParagraph"/>
        <w:spacing w:after="0" w:line="360" w:lineRule="auto"/>
        <w:ind w:left="1440"/>
        <w:jc w:val="both"/>
        <w:rPr>
          <w:rFonts w:ascii="Arial" w:hAnsi="Arial" w:cs="Arial"/>
          <w:sz w:val="24"/>
          <w:szCs w:val="24"/>
        </w:rPr>
      </w:pPr>
      <w:r>
        <w:rPr>
          <w:rFonts w:ascii="Arial" w:hAnsi="Arial" w:cs="Arial"/>
          <w:sz w:val="24"/>
          <w:szCs w:val="24"/>
        </w:rPr>
        <w:t>“</w:t>
      </w:r>
      <w:r>
        <w:rPr>
          <w:rFonts w:ascii="Arial" w:hAnsi="Arial" w:cs="Arial"/>
          <w:color w:val="242121"/>
          <w:sz w:val="24"/>
          <w:szCs w:val="24"/>
          <w:shd w:val="clear" w:color="auto" w:fill="FFFFFF"/>
        </w:rPr>
        <w:t>[18] Over the last century there have been significant developments in the law relating to the interpretation of documents, both in this country and in others that follow similar rules to our own.  It is unnecessary to add unduly to the burden of annotations by trawling through the case law on the construction of documents in order to trace those developments. The relevant authorities are collected and summarised in </w:t>
      </w:r>
      <w:r>
        <w:rPr>
          <w:rFonts w:ascii="Arial" w:hAnsi="Arial" w:cs="Arial"/>
          <w:i/>
          <w:iCs/>
          <w:color w:val="242121"/>
          <w:sz w:val="24"/>
          <w:szCs w:val="24"/>
          <w:shd w:val="clear" w:color="auto" w:fill="FFFFFF"/>
        </w:rPr>
        <w:t>Bastian Financial Services (Pty) Ltd v General Hendrik Schoeman Primary School.</w:t>
      </w:r>
      <w:r>
        <w:rPr>
          <w:rFonts w:ascii="Arial" w:hAnsi="Arial" w:cs="Arial"/>
          <w:b/>
          <w:bCs/>
          <w:color w:val="242121"/>
          <w:sz w:val="24"/>
          <w:szCs w:val="24"/>
          <w:shd w:val="clear" w:color="auto" w:fill="FFFFFF"/>
          <w:vertAlign w:val="superscript"/>
        </w:rPr>
        <w:t xml:space="preserve"> </w:t>
      </w:r>
      <w:r>
        <w:rPr>
          <w:rFonts w:ascii="Arial" w:hAnsi="Arial" w:cs="Arial"/>
          <w:color w:val="242121"/>
          <w:sz w:val="24"/>
          <w:szCs w:val="24"/>
          <w:shd w:val="clear" w:color="auto" w:fill="FFFFFF"/>
        </w:rPr>
        <w:t xml:space="preserve">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1" w:name="sdfootnote15anc"/>
      <w:r>
        <w:rPr>
          <w:rFonts w:ascii="Arial" w:hAnsi="Arial" w:cs="Arial"/>
          <w:color w:val="242121"/>
          <w:sz w:val="24"/>
          <w:szCs w:val="24"/>
          <w:shd w:val="clear" w:color="auto" w:fill="FFFFFF"/>
        </w:rPr>
        <w:fldChar w:fldCharType="begin"/>
      </w:r>
      <w:r>
        <w:rPr>
          <w:rFonts w:ascii="Arial" w:hAnsi="Arial" w:cs="Arial"/>
          <w:color w:val="242121"/>
          <w:sz w:val="24"/>
          <w:szCs w:val="24"/>
          <w:shd w:val="clear" w:color="auto" w:fill="FFFFFF"/>
        </w:rPr>
        <w:instrText xml:space="preserve"> HYPERLINK "http://www.saflii.org/za/cases/ZASCA/2012/13.html" \l "sdfootnote15sym" </w:instrText>
      </w:r>
      <w:r>
        <w:rPr>
          <w:rFonts w:ascii="Arial" w:hAnsi="Arial" w:cs="Arial"/>
          <w:color w:val="242121"/>
          <w:sz w:val="24"/>
          <w:szCs w:val="24"/>
          <w:shd w:val="clear" w:color="auto" w:fill="FFFFFF"/>
        </w:rPr>
        <w:fldChar w:fldCharType="separate"/>
      </w:r>
      <w:r>
        <w:rPr>
          <w:rStyle w:val="Hyperlink"/>
          <w:rFonts w:ascii="Arial" w:hAnsi="Arial" w:cs="Arial"/>
          <w:b/>
          <w:bCs/>
          <w:color w:val="0B4B0B"/>
          <w:sz w:val="24"/>
          <w:szCs w:val="24"/>
          <w:shd w:val="clear" w:color="auto" w:fill="FFFFFF"/>
          <w:vertAlign w:val="superscript"/>
        </w:rPr>
        <w:t>15</w:t>
      </w:r>
      <w:r>
        <w:rPr>
          <w:rFonts w:ascii="Arial" w:hAnsi="Arial" w:cs="Arial"/>
          <w:color w:val="242121"/>
          <w:sz w:val="24"/>
          <w:szCs w:val="24"/>
          <w:shd w:val="clear" w:color="auto" w:fill="FFFFFF"/>
        </w:rPr>
        <w:fldChar w:fldCharType="end"/>
      </w:r>
      <w:bookmarkEnd w:id="1"/>
      <w:r>
        <w:rPr>
          <w:rFonts w:ascii="Arial" w:hAnsi="Arial" w:cs="Arial"/>
          <w:color w:val="242121"/>
          <w:sz w:val="24"/>
          <w:szCs w:val="24"/>
          <w:shd w:val="clear" w:color="auto" w:fill="FFFFFF"/>
        </w:rPr>
        <w:t>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bookmarkStart w:id="2" w:name="sdfootnote16anc"/>
      <w:r>
        <w:rPr>
          <w:rFonts w:ascii="Arial" w:hAnsi="Arial" w:cs="Arial"/>
          <w:color w:val="242121"/>
          <w:sz w:val="24"/>
          <w:szCs w:val="24"/>
          <w:shd w:val="clear" w:color="auto" w:fill="FFFFFF"/>
        </w:rPr>
        <w:fldChar w:fldCharType="begin"/>
      </w:r>
      <w:r>
        <w:rPr>
          <w:rFonts w:ascii="Arial" w:hAnsi="Arial" w:cs="Arial"/>
          <w:color w:val="242121"/>
          <w:sz w:val="24"/>
          <w:szCs w:val="24"/>
          <w:shd w:val="clear" w:color="auto" w:fill="FFFFFF"/>
        </w:rPr>
        <w:instrText xml:space="preserve"> HYPERLINK "http://www.saflii.org/za/cases/ZASCA/2012/13.html" \l "sdfootnote16sym" </w:instrText>
      </w:r>
      <w:r>
        <w:rPr>
          <w:rFonts w:ascii="Arial" w:hAnsi="Arial" w:cs="Arial"/>
          <w:color w:val="242121"/>
          <w:sz w:val="24"/>
          <w:szCs w:val="24"/>
          <w:shd w:val="clear" w:color="auto" w:fill="FFFFFF"/>
        </w:rPr>
        <w:fldChar w:fldCharType="separate"/>
      </w:r>
      <w:r>
        <w:rPr>
          <w:rStyle w:val="Hyperlink"/>
          <w:rFonts w:ascii="Arial" w:hAnsi="Arial" w:cs="Arial"/>
          <w:b/>
          <w:bCs/>
          <w:color w:val="0B4B0B"/>
          <w:sz w:val="24"/>
          <w:szCs w:val="24"/>
          <w:shd w:val="clear" w:color="auto" w:fill="FFFFFF"/>
          <w:vertAlign w:val="superscript"/>
        </w:rPr>
        <w:t>16</w:t>
      </w:r>
      <w:r>
        <w:rPr>
          <w:rFonts w:ascii="Arial" w:hAnsi="Arial" w:cs="Arial"/>
          <w:color w:val="242121"/>
          <w:sz w:val="24"/>
          <w:szCs w:val="24"/>
          <w:shd w:val="clear" w:color="auto" w:fill="FFFFFF"/>
        </w:rPr>
        <w:fldChar w:fldCharType="end"/>
      </w:r>
      <w:bookmarkEnd w:id="2"/>
      <w:r>
        <w:rPr>
          <w:rFonts w:ascii="Arial" w:hAnsi="Arial" w:cs="Arial"/>
          <w:color w:val="242121"/>
          <w:sz w:val="24"/>
          <w:szCs w:val="24"/>
          <w:shd w:val="clear" w:color="auto" w:fill="FFFFFF"/>
        </w:rPr>
        <w:t xml:space="preserve"> read in context and having </w:t>
      </w:r>
      <w:r>
        <w:rPr>
          <w:rFonts w:ascii="Arial" w:hAnsi="Arial" w:cs="Arial"/>
          <w:color w:val="242121"/>
          <w:sz w:val="24"/>
          <w:szCs w:val="24"/>
          <w:shd w:val="clear" w:color="auto" w:fill="FFFFFF"/>
        </w:rPr>
        <w:lastRenderedPageBreak/>
        <w:t>regard to the purpose of the provision and the background to the preparation and production of the document.”</w:t>
      </w:r>
      <w:r>
        <w:rPr>
          <w:rFonts w:ascii="Arial" w:hAnsi="Arial" w:cs="Arial"/>
          <w:sz w:val="24"/>
          <w:szCs w:val="24"/>
        </w:rPr>
        <w:t xml:space="preserve"> </w:t>
      </w:r>
    </w:p>
    <w:p w14:paraId="482FBDAC" w14:textId="77777777" w:rsidR="00570F00" w:rsidRDefault="00570F00" w:rsidP="00570F00">
      <w:pPr>
        <w:pStyle w:val="ListParagraph"/>
        <w:spacing w:after="0" w:line="480" w:lineRule="auto"/>
        <w:ind w:hanging="720"/>
        <w:rPr>
          <w:rFonts w:ascii="Arial" w:hAnsi="Arial" w:cs="Arial"/>
          <w:sz w:val="24"/>
          <w:szCs w:val="24"/>
          <w:u w:val="single"/>
        </w:rPr>
      </w:pPr>
    </w:p>
    <w:p w14:paraId="6A8C45E0" w14:textId="090A5EAE" w:rsidR="00570F00" w:rsidRPr="00596801" w:rsidRDefault="00596801" w:rsidP="00596801">
      <w:pPr>
        <w:spacing w:after="0" w:line="480" w:lineRule="auto"/>
        <w:ind w:left="720" w:hanging="720"/>
        <w:jc w:val="both"/>
        <w:rPr>
          <w:rFonts w:ascii="Arial" w:hAnsi="Arial" w:cs="Arial"/>
          <w:sz w:val="24"/>
          <w:szCs w:val="24"/>
          <w:u w:val="single"/>
        </w:rPr>
      </w:pPr>
      <w:r>
        <w:rPr>
          <w:rFonts w:ascii="Arial" w:hAnsi="Arial" w:cs="Arial"/>
          <w:sz w:val="24"/>
          <w:szCs w:val="24"/>
        </w:rPr>
        <w:t>41.</w:t>
      </w:r>
      <w:r>
        <w:rPr>
          <w:rFonts w:ascii="Arial" w:hAnsi="Arial" w:cs="Arial"/>
          <w:sz w:val="24"/>
          <w:szCs w:val="24"/>
        </w:rPr>
        <w:tab/>
      </w:r>
      <w:r w:rsidR="00570F00" w:rsidRPr="00596801">
        <w:rPr>
          <w:rFonts w:ascii="Arial" w:hAnsi="Arial" w:cs="Arial"/>
          <w:sz w:val="24"/>
          <w:szCs w:val="24"/>
        </w:rPr>
        <w:t xml:space="preserve">As was emphasised this approach to interpretation requires that from the outset one considers the context and language together, with neither predominating over the other.  </w:t>
      </w:r>
    </w:p>
    <w:p w14:paraId="22618CC6" w14:textId="77777777" w:rsidR="00570F00" w:rsidRDefault="00570F00" w:rsidP="00570F00">
      <w:pPr>
        <w:pStyle w:val="ListParagraph"/>
        <w:spacing w:after="0" w:line="480" w:lineRule="auto"/>
        <w:jc w:val="both"/>
        <w:rPr>
          <w:rFonts w:ascii="Arial" w:hAnsi="Arial" w:cs="Arial"/>
          <w:b/>
          <w:sz w:val="24"/>
          <w:szCs w:val="24"/>
          <w:u w:val="single"/>
        </w:rPr>
      </w:pPr>
    </w:p>
    <w:p w14:paraId="13625F13" w14:textId="602FE3D4" w:rsidR="00570F00" w:rsidRPr="00596801" w:rsidRDefault="00596801" w:rsidP="00596801">
      <w:pPr>
        <w:spacing w:after="0" w:line="480" w:lineRule="auto"/>
        <w:ind w:left="720" w:hanging="720"/>
        <w:jc w:val="both"/>
        <w:rPr>
          <w:rFonts w:ascii="Arial" w:hAnsi="Arial" w:cs="Arial"/>
          <w:sz w:val="24"/>
          <w:szCs w:val="24"/>
          <w:u w:val="single"/>
        </w:rPr>
      </w:pPr>
      <w:r>
        <w:rPr>
          <w:rFonts w:ascii="Arial" w:hAnsi="Arial" w:cs="Arial"/>
          <w:sz w:val="24"/>
          <w:szCs w:val="24"/>
        </w:rPr>
        <w:t>42.</w:t>
      </w:r>
      <w:r>
        <w:rPr>
          <w:rFonts w:ascii="Arial" w:hAnsi="Arial" w:cs="Arial"/>
          <w:sz w:val="24"/>
          <w:szCs w:val="24"/>
        </w:rPr>
        <w:tab/>
      </w:r>
      <w:r w:rsidR="00570F00" w:rsidRPr="00596801">
        <w:rPr>
          <w:rFonts w:ascii="Arial" w:hAnsi="Arial" w:cs="Arial"/>
          <w:sz w:val="24"/>
          <w:szCs w:val="24"/>
        </w:rPr>
        <w:t xml:space="preserve">In </w:t>
      </w:r>
      <w:r w:rsidR="00570F00" w:rsidRPr="00596801">
        <w:rPr>
          <w:rFonts w:ascii="Arial" w:hAnsi="Arial" w:cs="Arial"/>
          <w:b/>
          <w:sz w:val="24"/>
          <w:szCs w:val="24"/>
        </w:rPr>
        <w:t>Chisuse v Director -  General Director of Home Affairs</w:t>
      </w:r>
      <w:r w:rsidR="00570F00">
        <w:rPr>
          <w:rStyle w:val="FootnoteReference"/>
          <w:rFonts w:ascii="Arial" w:hAnsi="Arial" w:cs="Arial"/>
          <w:sz w:val="24"/>
          <w:szCs w:val="24"/>
        </w:rPr>
        <w:footnoteReference w:id="6"/>
      </w:r>
      <w:r w:rsidR="00570F00" w:rsidRPr="00596801">
        <w:rPr>
          <w:rFonts w:ascii="Arial" w:hAnsi="Arial" w:cs="Arial"/>
          <w:sz w:val="24"/>
          <w:szCs w:val="24"/>
        </w:rPr>
        <w:t xml:space="preserve"> (at paragraph 52) the Constitutional Court speaking in the context of statutory interpretation held that this “</w:t>
      </w:r>
      <w:r w:rsidR="00570F00" w:rsidRPr="00596801">
        <w:rPr>
          <w:rFonts w:ascii="Arial" w:hAnsi="Arial" w:cs="Arial"/>
          <w:i/>
          <w:sz w:val="24"/>
          <w:szCs w:val="24"/>
        </w:rPr>
        <w:t>now settled</w:t>
      </w:r>
      <w:r w:rsidR="00570F00" w:rsidRPr="00596801">
        <w:rPr>
          <w:rFonts w:ascii="Arial" w:hAnsi="Arial" w:cs="Arial"/>
          <w:sz w:val="24"/>
          <w:szCs w:val="24"/>
        </w:rPr>
        <w:t>” approach to interpretation, is a “</w:t>
      </w:r>
      <w:r w:rsidR="00570F00" w:rsidRPr="00596801">
        <w:rPr>
          <w:rFonts w:ascii="Arial" w:hAnsi="Arial" w:cs="Arial"/>
          <w:i/>
          <w:sz w:val="24"/>
          <w:szCs w:val="24"/>
        </w:rPr>
        <w:t>unitary</w:t>
      </w:r>
      <w:r w:rsidR="00570F00" w:rsidRPr="00596801">
        <w:rPr>
          <w:rFonts w:ascii="Arial" w:hAnsi="Arial" w:cs="Arial"/>
          <w:sz w:val="24"/>
          <w:szCs w:val="24"/>
        </w:rPr>
        <w:t xml:space="preserve">” exercise.  This means said the court in </w:t>
      </w:r>
      <w:r w:rsidR="00570F00" w:rsidRPr="00596801">
        <w:rPr>
          <w:rFonts w:ascii="Arial" w:hAnsi="Arial" w:cs="Arial"/>
          <w:b/>
          <w:sz w:val="24"/>
          <w:szCs w:val="24"/>
        </w:rPr>
        <w:t>University of Johannesburg v Auckland Park Theological Seminary and another</w:t>
      </w:r>
      <w:r w:rsidR="00570F00">
        <w:rPr>
          <w:rStyle w:val="FootnoteReference"/>
          <w:rFonts w:ascii="Arial" w:hAnsi="Arial" w:cs="Arial"/>
          <w:sz w:val="24"/>
          <w:szCs w:val="24"/>
        </w:rPr>
        <w:footnoteReference w:id="7"/>
      </w:r>
      <w:r w:rsidR="007715B2" w:rsidRPr="00596801">
        <w:rPr>
          <w:rFonts w:ascii="Arial" w:hAnsi="Arial" w:cs="Arial"/>
          <w:b/>
          <w:sz w:val="24"/>
          <w:szCs w:val="24"/>
        </w:rPr>
        <w:t>,</w:t>
      </w:r>
      <w:r w:rsidR="00570F00" w:rsidRPr="00596801">
        <w:rPr>
          <w:rFonts w:ascii="Arial" w:hAnsi="Arial" w:cs="Arial"/>
          <w:sz w:val="24"/>
          <w:szCs w:val="24"/>
        </w:rPr>
        <w:t xml:space="preserve"> that interpretation is to be approached holistically: simultaneously considering the text, context and purpose.  To make it clear, it has been explicitly pointed out in cases subsequent to Endumeni that context and purpose must be taken into account as a matter of course whether or not the words used in the contract (or statute) are ambiguous.</w:t>
      </w:r>
      <w:r w:rsidR="00570F00">
        <w:rPr>
          <w:rStyle w:val="FootnoteReference"/>
          <w:rFonts w:ascii="Arial" w:hAnsi="Arial" w:cs="Arial"/>
          <w:sz w:val="24"/>
          <w:szCs w:val="24"/>
        </w:rPr>
        <w:footnoteReference w:id="8"/>
      </w:r>
    </w:p>
    <w:p w14:paraId="2D7E1A3F" w14:textId="77777777" w:rsidR="00570F00" w:rsidRDefault="00570F00" w:rsidP="00570F00">
      <w:pPr>
        <w:pStyle w:val="ListParagraph"/>
        <w:spacing w:after="0"/>
        <w:rPr>
          <w:rFonts w:ascii="Arial" w:hAnsi="Arial" w:cs="Arial"/>
          <w:sz w:val="24"/>
          <w:szCs w:val="24"/>
          <w:u w:val="single"/>
        </w:rPr>
      </w:pPr>
    </w:p>
    <w:p w14:paraId="59C1BBD3" w14:textId="1DD07D2D" w:rsidR="00570F00" w:rsidRPr="00596801" w:rsidRDefault="00596801" w:rsidP="00596801">
      <w:pPr>
        <w:spacing w:after="0" w:line="480" w:lineRule="auto"/>
        <w:ind w:left="720" w:hanging="720"/>
        <w:jc w:val="both"/>
        <w:rPr>
          <w:rFonts w:ascii="Arial" w:hAnsi="Arial" w:cs="Arial"/>
          <w:sz w:val="24"/>
          <w:szCs w:val="24"/>
          <w:u w:val="single"/>
        </w:rPr>
      </w:pPr>
      <w:r>
        <w:rPr>
          <w:rFonts w:ascii="Arial" w:hAnsi="Arial" w:cs="Arial"/>
          <w:sz w:val="24"/>
          <w:szCs w:val="24"/>
        </w:rPr>
        <w:t>43.</w:t>
      </w:r>
      <w:r>
        <w:rPr>
          <w:rFonts w:ascii="Arial" w:hAnsi="Arial" w:cs="Arial"/>
          <w:sz w:val="24"/>
          <w:szCs w:val="24"/>
        </w:rPr>
        <w:tab/>
      </w:r>
      <w:r w:rsidR="00570F00" w:rsidRPr="00596801">
        <w:rPr>
          <w:rFonts w:ascii="Arial" w:hAnsi="Arial" w:cs="Arial"/>
          <w:sz w:val="24"/>
          <w:szCs w:val="24"/>
        </w:rPr>
        <w:t xml:space="preserve">In </w:t>
      </w:r>
      <w:r w:rsidR="00570F00" w:rsidRPr="00596801">
        <w:rPr>
          <w:rFonts w:ascii="Arial" w:hAnsi="Arial" w:cs="Arial"/>
          <w:b/>
          <w:sz w:val="24"/>
          <w:szCs w:val="24"/>
        </w:rPr>
        <w:t>Cool Ideas 1186 CC v Hubbard</w:t>
      </w:r>
      <w:r w:rsidR="00570F00">
        <w:rPr>
          <w:rStyle w:val="FootnoteReference"/>
          <w:rFonts w:ascii="Arial" w:hAnsi="Arial" w:cs="Arial"/>
          <w:sz w:val="24"/>
          <w:szCs w:val="24"/>
        </w:rPr>
        <w:footnoteReference w:id="9"/>
      </w:r>
      <w:r w:rsidR="00570F00" w:rsidRPr="00596801">
        <w:rPr>
          <w:rFonts w:ascii="Arial" w:hAnsi="Arial" w:cs="Arial"/>
          <w:sz w:val="24"/>
          <w:szCs w:val="24"/>
        </w:rPr>
        <w:t xml:space="preserve"> the court in dealing with the interpretation of statutes said the following:</w:t>
      </w:r>
    </w:p>
    <w:p w14:paraId="1CC0163A" w14:textId="77777777" w:rsidR="00570F00" w:rsidRDefault="00570F00" w:rsidP="00570F00">
      <w:pPr>
        <w:pStyle w:val="ListParagraph"/>
        <w:spacing w:after="0"/>
        <w:jc w:val="both"/>
        <w:rPr>
          <w:rFonts w:ascii="Arial" w:hAnsi="Arial" w:cs="Arial"/>
          <w:sz w:val="24"/>
          <w:szCs w:val="24"/>
          <w:u w:val="single"/>
        </w:rPr>
      </w:pPr>
    </w:p>
    <w:p w14:paraId="102178E1" w14:textId="77777777" w:rsidR="00570F00" w:rsidRDefault="00570F00" w:rsidP="00570F00">
      <w:pPr>
        <w:pStyle w:val="NormalWeb"/>
        <w:shd w:val="clear" w:color="auto" w:fill="FFFFFF"/>
        <w:spacing w:before="0" w:beforeAutospacing="0" w:after="0" w:afterAutospacing="0" w:line="360" w:lineRule="auto"/>
        <w:ind w:left="1440"/>
        <w:contextualSpacing/>
        <w:jc w:val="both"/>
        <w:rPr>
          <w:rFonts w:ascii="Arial" w:hAnsi="Arial" w:cs="Arial"/>
          <w:color w:val="242121"/>
          <w:sz w:val="22"/>
          <w:szCs w:val="22"/>
        </w:rPr>
      </w:pPr>
      <w:r>
        <w:rPr>
          <w:rFonts w:ascii="Arial" w:hAnsi="Arial" w:cs="Arial"/>
          <w:sz w:val="22"/>
          <w:szCs w:val="22"/>
        </w:rPr>
        <w:t>“</w:t>
      </w:r>
      <w:r>
        <w:rPr>
          <w:rFonts w:ascii="Arial" w:hAnsi="Arial" w:cs="Arial"/>
          <w:color w:val="242121"/>
          <w:sz w:val="22"/>
          <w:szCs w:val="22"/>
          <w:lang w:val="en-ZA"/>
        </w:rPr>
        <w:t>[28] A fundamental tenet of statutory interpretation is that the words in a statute must be given their ordinary grammatical meaning, unless to do so would result in an absurdity.</w:t>
      </w:r>
      <w:r>
        <w:rPr>
          <w:rFonts w:ascii="Arial" w:hAnsi="Arial" w:cs="Arial"/>
          <w:color w:val="242121"/>
          <w:sz w:val="22"/>
          <w:szCs w:val="22"/>
        </w:rPr>
        <w:t>  </w:t>
      </w:r>
      <w:r>
        <w:rPr>
          <w:rFonts w:ascii="Arial" w:hAnsi="Arial" w:cs="Arial"/>
          <w:color w:val="242121"/>
          <w:sz w:val="22"/>
          <w:szCs w:val="22"/>
          <w:lang w:val="en-ZA"/>
        </w:rPr>
        <w:t>There are three important interrelated riders to this general principle, namely:</w:t>
      </w:r>
    </w:p>
    <w:p w14:paraId="6F26FFFD" w14:textId="77777777" w:rsidR="00570F00" w:rsidRDefault="00570F00" w:rsidP="00570F00">
      <w:pPr>
        <w:pStyle w:val="NormalWeb"/>
        <w:shd w:val="clear" w:color="auto" w:fill="FFFFFF"/>
        <w:tabs>
          <w:tab w:val="left" w:pos="1530"/>
        </w:tabs>
        <w:spacing w:before="0" w:beforeAutospacing="0" w:after="0" w:afterAutospacing="0" w:line="360" w:lineRule="auto"/>
        <w:ind w:left="2160"/>
        <w:contextualSpacing/>
        <w:jc w:val="both"/>
        <w:rPr>
          <w:rFonts w:ascii="Arial" w:hAnsi="Arial" w:cs="Arial"/>
          <w:color w:val="242121"/>
          <w:sz w:val="22"/>
          <w:szCs w:val="22"/>
        </w:rPr>
      </w:pPr>
      <w:r>
        <w:rPr>
          <w:rFonts w:ascii="Arial" w:hAnsi="Arial" w:cs="Arial"/>
          <w:color w:val="242121"/>
          <w:sz w:val="22"/>
          <w:szCs w:val="22"/>
          <w:lang w:val="en-ZA"/>
        </w:rPr>
        <w:t>(a) that statutory provisions should always be interpreted purposively;</w:t>
      </w:r>
    </w:p>
    <w:p w14:paraId="46378C37" w14:textId="77777777" w:rsidR="00570F00" w:rsidRDefault="00570F00" w:rsidP="00570F00">
      <w:pPr>
        <w:pStyle w:val="NormalWeb"/>
        <w:shd w:val="clear" w:color="auto" w:fill="FFFFFF"/>
        <w:spacing w:before="0" w:beforeAutospacing="0" w:after="0" w:afterAutospacing="0" w:line="360" w:lineRule="auto"/>
        <w:ind w:left="2160"/>
        <w:contextualSpacing/>
        <w:jc w:val="both"/>
        <w:rPr>
          <w:rFonts w:ascii="Arial" w:hAnsi="Arial" w:cs="Arial"/>
          <w:color w:val="242121"/>
          <w:sz w:val="22"/>
          <w:szCs w:val="22"/>
        </w:rPr>
      </w:pPr>
      <w:r>
        <w:rPr>
          <w:rFonts w:ascii="Arial" w:hAnsi="Arial" w:cs="Arial"/>
          <w:color w:val="242121"/>
          <w:sz w:val="22"/>
          <w:szCs w:val="22"/>
          <w:lang w:val="en-ZA"/>
        </w:rPr>
        <w:t>(b) the relevant statutory provision must be properly contextualised;</w:t>
      </w:r>
      <w:r>
        <w:rPr>
          <w:rFonts w:ascii="Arial" w:hAnsi="Arial" w:cs="Arial"/>
          <w:bCs/>
          <w:color w:val="242121"/>
          <w:sz w:val="22"/>
          <w:szCs w:val="22"/>
          <w:lang w:val="en-ZA"/>
        </w:rPr>
        <w:t xml:space="preserve"> </w:t>
      </w:r>
      <w:r>
        <w:rPr>
          <w:rFonts w:ascii="Arial" w:hAnsi="Arial" w:cs="Arial"/>
          <w:color w:val="242121"/>
          <w:sz w:val="22"/>
          <w:szCs w:val="22"/>
          <w:lang w:val="en-ZA"/>
        </w:rPr>
        <w:t>and</w:t>
      </w:r>
    </w:p>
    <w:p w14:paraId="5C0AE4D5" w14:textId="77777777" w:rsidR="00570F00" w:rsidRDefault="00570F00" w:rsidP="00570F00">
      <w:pPr>
        <w:pStyle w:val="NormalWeb"/>
        <w:shd w:val="clear" w:color="auto" w:fill="FFFFFF"/>
        <w:spacing w:before="0" w:beforeAutospacing="0" w:after="0" w:afterAutospacing="0" w:line="360" w:lineRule="auto"/>
        <w:ind w:left="2160"/>
        <w:contextualSpacing/>
        <w:jc w:val="both"/>
        <w:rPr>
          <w:rFonts w:ascii="Arial" w:hAnsi="Arial" w:cs="Arial"/>
          <w:bCs/>
          <w:color w:val="242121"/>
          <w:sz w:val="22"/>
          <w:szCs w:val="22"/>
          <w:lang w:val="en-ZA"/>
        </w:rPr>
      </w:pPr>
      <w:r>
        <w:rPr>
          <w:rFonts w:ascii="Arial" w:hAnsi="Arial" w:cs="Arial"/>
          <w:color w:val="242121"/>
          <w:sz w:val="22"/>
          <w:szCs w:val="22"/>
          <w:lang w:val="en-ZA"/>
        </w:rPr>
        <w:lastRenderedPageBreak/>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Pr>
          <w:rFonts w:ascii="Arial" w:hAnsi="Arial" w:cs="Arial"/>
          <w:bCs/>
          <w:color w:val="242121"/>
          <w:sz w:val="22"/>
          <w:szCs w:val="22"/>
          <w:lang w:val="en-ZA"/>
        </w:rPr>
        <w:t>”</w:t>
      </w:r>
    </w:p>
    <w:p w14:paraId="28F9AAD4" w14:textId="77777777" w:rsidR="00570F00" w:rsidRDefault="00570F00" w:rsidP="00570F00">
      <w:pPr>
        <w:pStyle w:val="NormalWeb"/>
        <w:shd w:val="clear" w:color="auto" w:fill="FFFFFF"/>
        <w:spacing w:before="0" w:beforeAutospacing="0" w:after="0" w:afterAutospacing="0" w:line="360" w:lineRule="auto"/>
        <w:ind w:left="2160"/>
        <w:contextualSpacing/>
        <w:jc w:val="both"/>
        <w:rPr>
          <w:rFonts w:ascii="Arial" w:hAnsi="Arial" w:cs="Arial"/>
          <w:color w:val="242121"/>
          <w:sz w:val="22"/>
          <w:szCs w:val="22"/>
        </w:rPr>
      </w:pPr>
    </w:p>
    <w:p w14:paraId="0D1B4CA1" w14:textId="285E38F4" w:rsidR="00570F00"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73FDB" w:rsidRPr="00596801">
        <w:rPr>
          <w:rFonts w:ascii="Arial" w:hAnsi="Arial" w:cs="Arial"/>
          <w:sz w:val="24"/>
          <w:szCs w:val="24"/>
        </w:rPr>
        <w:t xml:space="preserve">In considering section 13(1)(e) it is relevant to note that as the Prescription Act was promulgated during 1969, at that time, the 1926 Companies Act was in operation.  Subsequently the 1973 Companies Act was promulgated neither giving a definition of a “juristic person”.  </w:t>
      </w:r>
    </w:p>
    <w:p w14:paraId="6B576625" w14:textId="77777777" w:rsidR="00673FDB" w:rsidRDefault="00673FDB" w:rsidP="00673FDB">
      <w:pPr>
        <w:pStyle w:val="ListParagraph"/>
        <w:spacing w:after="0" w:line="480" w:lineRule="auto"/>
        <w:jc w:val="both"/>
        <w:rPr>
          <w:rFonts w:ascii="Arial" w:hAnsi="Arial" w:cs="Arial"/>
          <w:sz w:val="24"/>
          <w:szCs w:val="24"/>
        </w:rPr>
      </w:pPr>
    </w:p>
    <w:p w14:paraId="12F69959" w14:textId="5F2ACD48" w:rsidR="00673FDB"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73FDB" w:rsidRPr="00596801">
        <w:rPr>
          <w:rFonts w:ascii="Arial" w:hAnsi="Arial" w:cs="Arial"/>
          <w:sz w:val="24"/>
          <w:szCs w:val="24"/>
        </w:rPr>
        <w:t>The new Companies Act of 2008 does have a definition of “juristic person” as follows:</w:t>
      </w:r>
    </w:p>
    <w:p w14:paraId="1965A135" w14:textId="77777777" w:rsidR="00673FDB" w:rsidRPr="004031B4" w:rsidRDefault="00673FDB" w:rsidP="004031B4">
      <w:pPr>
        <w:pStyle w:val="ListParagraph"/>
        <w:spacing w:line="360" w:lineRule="auto"/>
        <w:rPr>
          <w:rFonts w:ascii="Arial" w:hAnsi="Arial" w:cs="Arial"/>
        </w:rPr>
      </w:pPr>
    </w:p>
    <w:p w14:paraId="6AE638BB" w14:textId="77777777" w:rsidR="00673FDB" w:rsidRPr="004031B4" w:rsidRDefault="00673FDB" w:rsidP="004031B4">
      <w:pPr>
        <w:pStyle w:val="ListParagraph"/>
        <w:spacing w:after="0" w:line="360" w:lineRule="auto"/>
        <w:jc w:val="both"/>
        <w:rPr>
          <w:rFonts w:ascii="Arial" w:hAnsi="Arial" w:cs="Arial"/>
          <w:i/>
        </w:rPr>
      </w:pPr>
      <w:r w:rsidRPr="004031B4">
        <w:rPr>
          <w:rFonts w:ascii="Arial" w:hAnsi="Arial" w:cs="Arial"/>
        </w:rPr>
        <w:tab/>
        <w:t>“</w:t>
      </w:r>
      <w:r w:rsidRPr="004031B4">
        <w:rPr>
          <w:rFonts w:ascii="Arial" w:hAnsi="Arial" w:cs="Arial"/>
          <w:i/>
        </w:rPr>
        <w:t>Juristic person</w:t>
      </w:r>
      <w:r w:rsidR="008F6941" w:rsidRPr="004031B4">
        <w:rPr>
          <w:rFonts w:ascii="Arial" w:hAnsi="Arial" w:cs="Arial"/>
          <w:i/>
        </w:rPr>
        <w:t xml:space="preserve">” includes – </w:t>
      </w:r>
    </w:p>
    <w:p w14:paraId="1D1B4CE8" w14:textId="374B24B5" w:rsidR="008F6941" w:rsidRPr="00596801" w:rsidRDefault="00596801" w:rsidP="00596801">
      <w:pPr>
        <w:spacing w:after="0" w:line="360" w:lineRule="auto"/>
        <w:ind w:left="2160" w:hanging="720"/>
        <w:jc w:val="both"/>
        <w:rPr>
          <w:rFonts w:ascii="Arial" w:hAnsi="Arial" w:cs="Arial"/>
          <w:i/>
        </w:rPr>
      </w:pPr>
      <w:r w:rsidRPr="004031B4">
        <w:rPr>
          <w:rFonts w:ascii="Arial" w:hAnsi="Arial" w:cs="Arial"/>
          <w:i/>
        </w:rPr>
        <w:t>(a)</w:t>
      </w:r>
      <w:r w:rsidRPr="004031B4">
        <w:rPr>
          <w:rFonts w:ascii="Arial" w:hAnsi="Arial" w:cs="Arial"/>
          <w:i/>
        </w:rPr>
        <w:tab/>
      </w:r>
      <w:r w:rsidR="008F6941" w:rsidRPr="00596801">
        <w:rPr>
          <w:rFonts w:ascii="Arial" w:hAnsi="Arial" w:cs="Arial"/>
          <w:i/>
        </w:rPr>
        <w:t xml:space="preserve">A foreign company; and </w:t>
      </w:r>
    </w:p>
    <w:p w14:paraId="3B621435" w14:textId="57D0A4DC" w:rsidR="008F6941" w:rsidRPr="00596801" w:rsidRDefault="00596801" w:rsidP="00596801">
      <w:pPr>
        <w:spacing w:after="0" w:line="360" w:lineRule="auto"/>
        <w:ind w:left="2160" w:hanging="720"/>
        <w:jc w:val="both"/>
        <w:rPr>
          <w:rFonts w:ascii="Arial" w:hAnsi="Arial" w:cs="Arial"/>
          <w:i/>
        </w:rPr>
      </w:pPr>
      <w:r w:rsidRPr="004031B4">
        <w:rPr>
          <w:rFonts w:ascii="Arial" w:hAnsi="Arial" w:cs="Arial"/>
          <w:i/>
        </w:rPr>
        <w:t>(b)</w:t>
      </w:r>
      <w:r w:rsidRPr="004031B4">
        <w:rPr>
          <w:rFonts w:ascii="Arial" w:hAnsi="Arial" w:cs="Arial"/>
          <w:i/>
        </w:rPr>
        <w:tab/>
      </w:r>
      <w:r w:rsidR="008F6941" w:rsidRPr="00596801">
        <w:rPr>
          <w:rFonts w:ascii="Arial" w:hAnsi="Arial" w:cs="Arial"/>
          <w:i/>
        </w:rPr>
        <w:t xml:space="preserve">A Trust, irrespective of whether or not it was established within or outside the Republic.”  </w:t>
      </w:r>
    </w:p>
    <w:p w14:paraId="3CAE0A5F" w14:textId="77777777" w:rsidR="00673FDB" w:rsidRPr="00673FDB" w:rsidRDefault="00673FDB" w:rsidP="00673FDB">
      <w:pPr>
        <w:pStyle w:val="ListParagraph"/>
        <w:rPr>
          <w:rFonts w:ascii="Arial" w:hAnsi="Arial" w:cs="Arial"/>
          <w:sz w:val="24"/>
          <w:szCs w:val="24"/>
        </w:rPr>
      </w:pPr>
    </w:p>
    <w:p w14:paraId="7BD0C589" w14:textId="43B1E7BF" w:rsidR="00673FDB"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8F6941" w:rsidRPr="00596801">
        <w:rPr>
          <w:rFonts w:ascii="Arial" w:hAnsi="Arial" w:cs="Arial"/>
          <w:sz w:val="24"/>
          <w:szCs w:val="24"/>
        </w:rPr>
        <w:t xml:space="preserve">The Close Corporation Act 69 of 1984 simply defines a close corporation as a juristic person on its registration.  </w:t>
      </w:r>
    </w:p>
    <w:p w14:paraId="13370F9C" w14:textId="77777777" w:rsidR="008F6941" w:rsidRDefault="008F6941" w:rsidP="008F6941">
      <w:pPr>
        <w:pStyle w:val="ListParagraph"/>
        <w:spacing w:after="0" w:line="480" w:lineRule="auto"/>
        <w:jc w:val="both"/>
        <w:rPr>
          <w:rFonts w:ascii="Arial" w:hAnsi="Arial" w:cs="Arial"/>
          <w:sz w:val="24"/>
          <w:szCs w:val="24"/>
        </w:rPr>
      </w:pPr>
    </w:p>
    <w:p w14:paraId="425E8A72" w14:textId="154B7BDD" w:rsidR="008F6941"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F6941" w:rsidRPr="00596801">
        <w:rPr>
          <w:rFonts w:ascii="Arial" w:hAnsi="Arial" w:cs="Arial"/>
          <w:sz w:val="24"/>
          <w:szCs w:val="24"/>
        </w:rPr>
        <w:t>Defendant’s counsel, Mr. De la Harpe</w:t>
      </w:r>
      <w:r w:rsidR="00F174E6" w:rsidRPr="00596801">
        <w:rPr>
          <w:rFonts w:ascii="Arial" w:hAnsi="Arial" w:cs="Arial"/>
          <w:sz w:val="24"/>
          <w:szCs w:val="24"/>
        </w:rPr>
        <w:t>,</w:t>
      </w:r>
      <w:r w:rsidR="008F6941" w:rsidRPr="00596801">
        <w:rPr>
          <w:rFonts w:ascii="Arial" w:hAnsi="Arial" w:cs="Arial"/>
          <w:sz w:val="24"/>
          <w:szCs w:val="24"/>
        </w:rPr>
        <w:t xml:space="preserve"> argued that:</w:t>
      </w:r>
    </w:p>
    <w:p w14:paraId="3FF208C9" w14:textId="77777777" w:rsidR="008F6941" w:rsidRPr="008F6941" w:rsidRDefault="008F6941" w:rsidP="008F6941">
      <w:pPr>
        <w:pStyle w:val="ListParagraph"/>
        <w:rPr>
          <w:rFonts w:ascii="Arial" w:hAnsi="Arial" w:cs="Arial"/>
          <w:sz w:val="24"/>
          <w:szCs w:val="24"/>
        </w:rPr>
      </w:pPr>
    </w:p>
    <w:p w14:paraId="4347EAE6" w14:textId="77777777" w:rsidR="008F6941" w:rsidRPr="004031B4" w:rsidRDefault="008F6941" w:rsidP="004031B4">
      <w:pPr>
        <w:pStyle w:val="ListParagraph"/>
        <w:spacing w:after="0" w:line="360" w:lineRule="auto"/>
        <w:ind w:left="1440" w:hanging="720"/>
        <w:jc w:val="both"/>
        <w:rPr>
          <w:rFonts w:ascii="Arial" w:hAnsi="Arial" w:cs="Arial"/>
          <w:i/>
        </w:rPr>
      </w:pPr>
      <w:r>
        <w:rPr>
          <w:rFonts w:ascii="Arial" w:hAnsi="Arial" w:cs="Arial"/>
          <w:sz w:val="24"/>
          <w:szCs w:val="24"/>
        </w:rPr>
        <w:tab/>
      </w:r>
      <w:r w:rsidRPr="004031B4">
        <w:rPr>
          <w:rFonts w:ascii="Arial" w:hAnsi="Arial" w:cs="Arial"/>
        </w:rPr>
        <w:t>“</w:t>
      </w:r>
      <w:r w:rsidR="00F174E6" w:rsidRPr="004031B4">
        <w:rPr>
          <w:rFonts w:ascii="Arial" w:hAnsi="Arial" w:cs="Arial"/>
          <w:i/>
        </w:rPr>
        <w:t>What is relevant, it is submitted, is that no statutory provision was in effect when the prescription was promulgated which recognised or provided that a home owners’ association or any association of its nature, was a juristic person.</w:t>
      </w:r>
      <w:r w:rsidR="00F174E6" w:rsidRPr="004031B4">
        <w:rPr>
          <w:rFonts w:ascii="Arial" w:hAnsi="Arial" w:cs="Arial"/>
        </w:rPr>
        <w:t>”</w:t>
      </w:r>
      <w:r w:rsidR="00F174E6" w:rsidRPr="004031B4">
        <w:rPr>
          <w:rFonts w:ascii="Arial" w:hAnsi="Arial" w:cs="Arial"/>
          <w:i/>
        </w:rPr>
        <w:t xml:space="preserve">   </w:t>
      </w:r>
      <w:r w:rsidRPr="004031B4">
        <w:rPr>
          <w:rFonts w:ascii="Arial" w:hAnsi="Arial" w:cs="Arial"/>
          <w:i/>
        </w:rPr>
        <w:tab/>
      </w:r>
    </w:p>
    <w:p w14:paraId="390B5844" w14:textId="77777777" w:rsidR="008F6941" w:rsidRPr="008F6941" w:rsidRDefault="008F6941" w:rsidP="008F6941">
      <w:pPr>
        <w:pStyle w:val="ListParagraph"/>
        <w:rPr>
          <w:rFonts w:ascii="Arial" w:hAnsi="Arial" w:cs="Arial"/>
          <w:sz w:val="24"/>
          <w:szCs w:val="24"/>
        </w:rPr>
      </w:pPr>
    </w:p>
    <w:p w14:paraId="0345F2F6" w14:textId="57CBDD21" w:rsidR="008F6941"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174E6" w:rsidRPr="00596801">
        <w:rPr>
          <w:rFonts w:ascii="Arial" w:hAnsi="Arial" w:cs="Arial"/>
          <w:sz w:val="24"/>
          <w:szCs w:val="24"/>
        </w:rPr>
        <w:t>This is certinaly correct, or at least was not contested by plaintiff.</w:t>
      </w:r>
    </w:p>
    <w:p w14:paraId="2D867B12" w14:textId="77777777" w:rsidR="00F174E6" w:rsidRDefault="00F174E6" w:rsidP="00F174E6">
      <w:pPr>
        <w:pStyle w:val="ListParagraph"/>
        <w:spacing w:after="0" w:line="480" w:lineRule="auto"/>
        <w:jc w:val="both"/>
        <w:rPr>
          <w:rFonts w:ascii="Arial" w:hAnsi="Arial" w:cs="Arial"/>
          <w:sz w:val="24"/>
          <w:szCs w:val="24"/>
        </w:rPr>
      </w:pPr>
    </w:p>
    <w:p w14:paraId="1B2C21C2" w14:textId="3D08F5F9" w:rsidR="00F174E6"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lastRenderedPageBreak/>
        <w:t>49.</w:t>
      </w:r>
      <w:r>
        <w:rPr>
          <w:rFonts w:ascii="Arial" w:hAnsi="Arial" w:cs="Arial"/>
          <w:sz w:val="24"/>
          <w:szCs w:val="24"/>
        </w:rPr>
        <w:tab/>
      </w:r>
      <w:r w:rsidR="00F174E6" w:rsidRPr="00596801">
        <w:rPr>
          <w:rFonts w:ascii="Arial" w:hAnsi="Arial" w:cs="Arial"/>
          <w:sz w:val="24"/>
          <w:szCs w:val="24"/>
        </w:rPr>
        <w:t xml:space="preserve">As was pointed out in argument plaintiff was established </w:t>
      </w:r>
      <w:r w:rsidR="00D87697" w:rsidRPr="00596801">
        <w:rPr>
          <w:rFonts w:ascii="Arial" w:hAnsi="Arial" w:cs="Arial"/>
          <w:sz w:val="24"/>
          <w:szCs w:val="24"/>
        </w:rPr>
        <w:t xml:space="preserve">purportedly </w:t>
      </w:r>
      <w:r w:rsidR="00F174E6" w:rsidRPr="00596801">
        <w:rPr>
          <w:rFonts w:ascii="Arial" w:hAnsi="Arial" w:cs="Arial"/>
          <w:sz w:val="24"/>
          <w:szCs w:val="24"/>
        </w:rPr>
        <w:t xml:space="preserve">in terms of </w:t>
      </w:r>
      <w:r w:rsidR="007006EA" w:rsidRPr="00596801">
        <w:rPr>
          <w:rFonts w:ascii="Arial" w:hAnsi="Arial" w:cs="Arial"/>
          <w:sz w:val="24"/>
          <w:szCs w:val="24"/>
        </w:rPr>
        <w:t xml:space="preserve">section 29 of </w:t>
      </w:r>
      <w:r w:rsidR="00F174E6" w:rsidRPr="00596801">
        <w:rPr>
          <w:rFonts w:ascii="Arial" w:hAnsi="Arial" w:cs="Arial"/>
          <w:sz w:val="24"/>
          <w:szCs w:val="24"/>
        </w:rPr>
        <w:t>LUPO, which, as I have already set out above, provides that:</w:t>
      </w:r>
    </w:p>
    <w:p w14:paraId="0717CD25" w14:textId="77777777" w:rsidR="00F174E6" w:rsidRPr="00F174E6" w:rsidRDefault="00F174E6" w:rsidP="00F174E6">
      <w:pPr>
        <w:pStyle w:val="ListParagraph"/>
        <w:rPr>
          <w:rFonts w:ascii="Arial" w:hAnsi="Arial" w:cs="Arial"/>
          <w:sz w:val="24"/>
          <w:szCs w:val="24"/>
        </w:rPr>
      </w:pPr>
    </w:p>
    <w:p w14:paraId="3725CABA" w14:textId="77777777" w:rsidR="00F174E6" w:rsidRPr="004031B4" w:rsidRDefault="00F174E6" w:rsidP="004031B4">
      <w:pPr>
        <w:pStyle w:val="ListParagraph"/>
        <w:spacing w:after="0" w:line="360" w:lineRule="auto"/>
        <w:jc w:val="both"/>
        <w:rPr>
          <w:rFonts w:ascii="Arial" w:hAnsi="Arial" w:cs="Arial"/>
        </w:rPr>
      </w:pPr>
    </w:p>
    <w:p w14:paraId="3FDF0395" w14:textId="77777777" w:rsidR="00786274" w:rsidRPr="004031B4" w:rsidRDefault="00786274" w:rsidP="004031B4">
      <w:pPr>
        <w:pStyle w:val="ListParagraph"/>
        <w:spacing w:after="0" w:line="360" w:lineRule="auto"/>
        <w:jc w:val="both"/>
        <w:rPr>
          <w:rFonts w:ascii="Arial" w:hAnsi="Arial" w:cs="Arial"/>
        </w:rPr>
      </w:pPr>
      <w:r w:rsidRPr="004031B4">
        <w:rPr>
          <w:rFonts w:ascii="Arial" w:hAnsi="Arial" w:cs="Arial"/>
        </w:rPr>
        <w:tab/>
        <w:t>“29(2)</w:t>
      </w:r>
      <w:r w:rsidR="00591B69" w:rsidRPr="004031B4">
        <w:rPr>
          <w:rFonts w:ascii="Arial" w:hAnsi="Arial" w:cs="Arial"/>
        </w:rPr>
        <w:tab/>
      </w:r>
      <w:r w:rsidRPr="004031B4">
        <w:rPr>
          <w:rFonts w:ascii="Arial" w:hAnsi="Arial" w:cs="Arial"/>
        </w:rPr>
        <w:t xml:space="preserve">A home owners’ association coming into being by virtue of the </w:t>
      </w:r>
      <w:r w:rsidR="00591B69" w:rsidRPr="004031B4">
        <w:rPr>
          <w:rFonts w:ascii="Arial" w:hAnsi="Arial" w:cs="Arial"/>
        </w:rPr>
        <w:tab/>
      </w:r>
      <w:r w:rsidR="00591B69" w:rsidRPr="004031B4">
        <w:rPr>
          <w:rFonts w:ascii="Arial" w:hAnsi="Arial" w:cs="Arial"/>
        </w:rPr>
        <w:tab/>
      </w:r>
      <w:r w:rsidRPr="004031B4">
        <w:rPr>
          <w:rFonts w:ascii="Arial" w:hAnsi="Arial" w:cs="Arial"/>
        </w:rPr>
        <w:t xml:space="preserve">provisions of subsection (1) – </w:t>
      </w:r>
    </w:p>
    <w:p w14:paraId="699945F1" w14:textId="02B276F1" w:rsidR="00786274" w:rsidRPr="00596801" w:rsidRDefault="00596801" w:rsidP="00596801">
      <w:pPr>
        <w:spacing w:after="0" w:line="360" w:lineRule="auto"/>
        <w:ind w:left="2160"/>
        <w:jc w:val="both"/>
        <w:rPr>
          <w:rFonts w:ascii="Arial" w:hAnsi="Arial" w:cs="Arial"/>
        </w:rPr>
      </w:pPr>
      <w:r w:rsidRPr="004031B4">
        <w:rPr>
          <w:rFonts w:ascii="Arial" w:hAnsi="Arial" w:cs="Arial"/>
        </w:rPr>
        <w:t>(a)</w:t>
      </w:r>
      <w:r w:rsidRPr="004031B4">
        <w:rPr>
          <w:rFonts w:ascii="Arial" w:hAnsi="Arial" w:cs="Arial"/>
        </w:rPr>
        <w:tab/>
      </w:r>
      <w:r w:rsidR="00786274" w:rsidRPr="00596801">
        <w:rPr>
          <w:rFonts w:ascii="Arial" w:hAnsi="Arial" w:cs="Arial"/>
        </w:rPr>
        <w:t>Shall be a body corporate;</w:t>
      </w:r>
    </w:p>
    <w:p w14:paraId="381D0E16" w14:textId="599E7327" w:rsidR="00786274" w:rsidRPr="00596801" w:rsidRDefault="00596801" w:rsidP="00596801">
      <w:pPr>
        <w:spacing w:after="0" w:line="360" w:lineRule="auto"/>
        <w:ind w:left="2160"/>
        <w:jc w:val="both"/>
        <w:rPr>
          <w:rFonts w:ascii="Arial" w:hAnsi="Arial" w:cs="Arial"/>
        </w:rPr>
      </w:pPr>
      <w:r w:rsidRPr="004031B4">
        <w:rPr>
          <w:rFonts w:ascii="Arial" w:hAnsi="Arial" w:cs="Arial"/>
        </w:rPr>
        <w:t>(b)</w:t>
      </w:r>
      <w:r w:rsidRPr="004031B4">
        <w:rPr>
          <w:rFonts w:ascii="Arial" w:hAnsi="Arial" w:cs="Arial"/>
        </w:rPr>
        <w:tab/>
      </w:r>
      <w:r w:rsidR="00591B69" w:rsidRPr="00596801">
        <w:rPr>
          <w:rFonts w:ascii="Arial" w:hAnsi="Arial" w:cs="Arial"/>
        </w:rPr>
        <w:tab/>
      </w:r>
      <w:r w:rsidR="00786274" w:rsidRPr="00596801">
        <w:rPr>
          <w:rFonts w:ascii="Arial" w:hAnsi="Arial" w:cs="Arial"/>
        </w:rPr>
        <w:t>…”</w:t>
      </w:r>
    </w:p>
    <w:p w14:paraId="4DB22C2C" w14:textId="77777777" w:rsidR="00F174E6" w:rsidRPr="00F174E6" w:rsidRDefault="00F174E6" w:rsidP="00F174E6">
      <w:pPr>
        <w:pStyle w:val="ListParagraph"/>
        <w:rPr>
          <w:rFonts w:ascii="Arial" w:hAnsi="Arial" w:cs="Arial"/>
          <w:sz w:val="24"/>
          <w:szCs w:val="24"/>
        </w:rPr>
      </w:pPr>
    </w:p>
    <w:p w14:paraId="47556714" w14:textId="5A492CCC" w:rsidR="0078627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786274" w:rsidRPr="00596801">
        <w:rPr>
          <w:rFonts w:ascii="Arial" w:hAnsi="Arial" w:cs="Arial"/>
          <w:sz w:val="24"/>
          <w:szCs w:val="24"/>
        </w:rPr>
        <w:t xml:space="preserve">It goes on to provide at section 29(2)(c) that the home owners’ association shall have as its members the owners of the land units involved.  </w:t>
      </w:r>
    </w:p>
    <w:p w14:paraId="326054F7" w14:textId="77777777" w:rsidR="00786274" w:rsidRDefault="00786274" w:rsidP="00786274">
      <w:pPr>
        <w:pStyle w:val="ListParagraph"/>
        <w:spacing w:after="0" w:line="480" w:lineRule="auto"/>
        <w:jc w:val="both"/>
        <w:rPr>
          <w:rFonts w:ascii="Arial" w:hAnsi="Arial" w:cs="Arial"/>
          <w:sz w:val="24"/>
          <w:szCs w:val="24"/>
        </w:rPr>
      </w:pPr>
    </w:p>
    <w:p w14:paraId="34A85462" w14:textId="2133A506" w:rsidR="0078627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786274" w:rsidRPr="00596801">
        <w:rPr>
          <w:rFonts w:ascii="Arial" w:hAnsi="Arial" w:cs="Arial"/>
          <w:sz w:val="24"/>
          <w:szCs w:val="24"/>
        </w:rPr>
        <w:t>LUPO does not define the term “body corporate”.</w:t>
      </w:r>
    </w:p>
    <w:p w14:paraId="38BA0679" w14:textId="77777777" w:rsidR="00786274" w:rsidRPr="00786274" w:rsidRDefault="00786274" w:rsidP="00786274">
      <w:pPr>
        <w:pStyle w:val="ListParagraph"/>
        <w:rPr>
          <w:rFonts w:ascii="Arial" w:hAnsi="Arial" w:cs="Arial"/>
          <w:sz w:val="24"/>
          <w:szCs w:val="24"/>
        </w:rPr>
      </w:pPr>
    </w:p>
    <w:p w14:paraId="539725C0" w14:textId="2560525C" w:rsidR="004E72B1"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86274" w:rsidRPr="00596801">
        <w:rPr>
          <w:rFonts w:ascii="Arial" w:hAnsi="Arial" w:cs="Arial"/>
          <w:sz w:val="24"/>
          <w:szCs w:val="24"/>
        </w:rPr>
        <w:t>Counsel for plaintiff, Mr. Naidoo, did not suggest for a moment that the use of the words “</w:t>
      </w:r>
      <w:r w:rsidR="00786274" w:rsidRPr="00596801">
        <w:rPr>
          <w:rFonts w:ascii="Arial" w:hAnsi="Arial" w:cs="Arial"/>
          <w:i/>
          <w:sz w:val="24"/>
          <w:szCs w:val="24"/>
        </w:rPr>
        <w:t>shall be a body corporate”</w:t>
      </w:r>
      <w:r w:rsidR="00786274" w:rsidRPr="00596801">
        <w:rPr>
          <w:rFonts w:ascii="Arial" w:hAnsi="Arial" w:cs="Arial"/>
          <w:sz w:val="24"/>
          <w:szCs w:val="24"/>
        </w:rPr>
        <w:t xml:space="preserve"> in LUPO were such as to be a deeming provision establishing thereby the existence of a body corporate</w:t>
      </w:r>
      <w:r w:rsidR="004E72B1" w:rsidRPr="00596801">
        <w:rPr>
          <w:rFonts w:ascii="Arial" w:hAnsi="Arial" w:cs="Arial"/>
          <w:sz w:val="24"/>
          <w:szCs w:val="24"/>
        </w:rPr>
        <w:t xml:space="preserve"> in respect of a home owners’ association regardless of its origin or form factually present.  </w:t>
      </w:r>
    </w:p>
    <w:p w14:paraId="68900FC3" w14:textId="77777777" w:rsidR="004E72B1" w:rsidRPr="004E72B1" w:rsidRDefault="004E72B1" w:rsidP="004E72B1">
      <w:pPr>
        <w:pStyle w:val="ListParagraph"/>
        <w:rPr>
          <w:rFonts w:ascii="Arial" w:hAnsi="Arial" w:cs="Arial"/>
          <w:sz w:val="24"/>
          <w:szCs w:val="24"/>
        </w:rPr>
      </w:pPr>
    </w:p>
    <w:p w14:paraId="79B9A3F2" w14:textId="2B8E6E42" w:rsidR="00591B69"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E72B1" w:rsidRPr="00596801">
        <w:rPr>
          <w:rFonts w:ascii="Arial" w:hAnsi="Arial" w:cs="Arial"/>
          <w:sz w:val="24"/>
          <w:szCs w:val="24"/>
        </w:rPr>
        <w:t>In this matter factually, the plaintiff home owners’ association is most certainly not on the face of it</w:t>
      </w:r>
      <w:r w:rsidR="007006EA" w:rsidRPr="00596801">
        <w:rPr>
          <w:rFonts w:ascii="Arial" w:hAnsi="Arial" w:cs="Arial"/>
          <w:sz w:val="24"/>
          <w:szCs w:val="24"/>
        </w:rPr>
        <w:t>,</w:t>
      </w:r>
      <w:r w:rsidR="004E72B1" w:rsidRPr="00596801">
        <w:rPr>
          <w:rFonts w:ascii="Arial" w:hAnsi="Arial" w:cs="Arial"/>
          <w:sz w:val="24"/>
          <w:szCs w:val="24"/>
        </w:rPr>
        <w:t xml:space="preserve"> or on what is before me, in any form, an incorporated association</w:t>
      </w:r>
      <w:r w:rsidR="007715B2" w:rsidRPr="00596801">
        <w:rPr>
          <w:rFonts w:ascii="Arial" w:hAnsi="Arial" w:cs="Arial"/>
          <w:sz w:val="24"/>
          <w:szCs w:val="24"/>
        </w:rPr>
        <w:t>,</w:t>
      </w:r>
      <w:r w:rsidR="004E72B1" w:rsidRPr="00596801">
        <w:rPr>
          <w:rFonts w:ascii="Arial" w:hAnsi="Arial" w:cs="Arial"/>
          <w:sz w:val="24"/>
          <w:szCs w:val="24"/>
        </w:rPr>
        <w:t xml:space="preserve"> but simply one arising from an agreement between its members having a separate legal personality</w:t>
      </w:r>
      <w:r w:rsidR="00591B69" w:rsidRPr="00596801">
        <w:rPr>
          <w:rFonts w:ascii="Arial" w:hAnsi="Arial" w:cs="Arial"/>
          <w:sz w:val="24"/>
          <w:szCs w:val="24"/>
        </w:rPr>
        <w:t xml:space="preserve"> with perpetual succession, a “</w:t>
      </w:r>
      <w:r w:rsidR="00591B69" w:rsidRPr="00596801">
        <w:rPr>
          <w:rFonts w:ascii="Arial" w:hAnsi="Arial" w:cs="Arial"/>
          <w:i/>
          <w:sz w:val="24"/>
          <w:szCs w:val="24"/>
        </w:rPr>
        <w:t>universitas</w:t>
      </w:r>
      <w:r w:rsidR="00591B69" w:rsidRPr="00596801">
        <w:rPr>
          <w:rFonts w:ascii="Arial" w:hAnsi="Arial" w:cs="Arial"/>
          <w:sz w:val="24"/>
          <w:szCs w:val="24"/>
        </w:rPr>
        <w:t>” the ability to sue and be sued in its own name with the purpose of furthering the common interest of its members</w:t>
      </w:r>
      <w:r w:rsidR="00591B69">
        <w:rPr>
          <w:rStyle w:val="FootnoteReference"/>
          <w:rFonts w:ascii="Arial" w:hAnsi="Arial" w:cs="Arial"/>
          <w:sz w:val="24"/>
          <w:szCs w:val="24"/>
        </w:rPr>
        <w:footnoteReference w:id="10"/>
      </w:r>
      <w:r w:rsidR="00591B69" w:rsidRPr="00596801">
        <w:rPr>
          <w:rFonts w:ascii="Arial" w:hAnsi="Arial" w:cs="Arial"/>
          <w:sz w:val="24"/>
          <w:szCs w:val="24"/>
        </w:rPr>
        <w:t>.</w:t>
      </w:r>
    </w:p>
    <w:p w14:paraId="0A211479" w14:textId="77777777" w:rsidR="00591B69" w:rsidRPr="00591B69" w:rsidRDefault="00591B69" w:rsidP="00591B69">
      <w:pPr>
        <w:pStyle w:val="ListParagraph"/>
        <w:rPr>
          <w:rFonts w:ascii="Arial" w:hAnsi="Arial" w:cs="Arial"/>
          <w:sz w:val="24"/>
          <w:szCs w:val="24"/>
        </w:rPr>
      </w:pPr>
    </w:p>
    <w:p w14:paraId="321B19A9" w14:textId="5AE310CE" w:rsidR="00591B69"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591B69" w:rsidRPr="00596801">
        <w:rPr>
          <w:rFonts w:ascii="Arial" w:hAnsi="Arial" w:cs="Arial"/>
          <w:sz w:val="24"/>
          <w:szCs w:val="24"/>
        </w:rPr>
        <w:t xml:space="preserve">The question to be answered </w:t>
      </w:r>
      <w:r w:rsidR="00D87697" w:rsidRPr="00596801">
        <w:rPr>
          <w:rFonts w:ascii="Arial" w:hAnsi="Arial" w:cs="Arial"/>
          <w:sz w:val="24"/>
          <w:szCs w:val="24"/>
        </w:rPr>
        <w:t>i</w:t>
      </w:r>
      <w:r w:rsidR="00591B69" w:rsidRPr="00596801">
        <w:rPr>
          <w:rFonts w:ascii="Arial" w:hAnsi="Arial" w:cs="Arial"/>
          <w:sz w:val="24"/>
          <w:szCs w:val="24"/>
        </w:rPr>
        <w:t xml:space="preserve">s whether the home owners’ association </w:t>
      </w:r>
      <w:r w:rsidR="00D87697" w:rsidRPr="00596801">
        <w:rPr>
          <w:rFonts w:ascii="Arial" w:hAnsi="Arial" w:cs="Arial"/>
          <w:sz w:val="24"/>
          <w:szCs w:val="24"/>
        </w:rPr>
        <w:t>i</w:t>
      </w:r>
      <w:r w:rsidR="00591B69" w:rsidRPr="00596801">
        <w:rPr>
          <w:rFonts w:ascii="Arial" w:hAnsi="Arial" w:cs="Arial"/>
          <w:sz w:val="24"/>
          <w:szCs w:val="24"/>
        </w:rPr>
        <w:t xml:space="preserve">s </w:t>
      </w:r>
      <w:r w:rsidR="007006EA" w:rsidRPr="00596801">
        <w:rPr>
          <w:rFonts w:ascii="Arial" w:hAnsi="Arial" w:cs="Arial"/>
          <w:sz w:val="24"/>
          <w:szCs w:val="24"/>
        </w:rPr>
        <w:t xml:space="preserve">somehow however </w:t>
      </w:r>
      <w:r w:rsidR="00591B69" w:rsidRPr="00596801">
        <w:rPr>
          <w:rFonts w:ascii="Arial" w:hAnsi="Arial" w:cs="Arial"/>
          <w:sz w:val="24"/>
          <w:szCs w:val="24"/>
        </w:rPr>
        <w:t>a “</w:t>
      </w:r>
      <w:r w:rsidR="00591B69" w:rsidRPr="00596801">
        <w:rPr>
          <w:rFonts w:ascii="Arial" w:hAnsi="Arial" w:cs="Arial"/>
          <w:i/>
          <w:sz w:val="24"/>
          <w:szCs w:val="24"/>
        </w:rPr>
        <w:t>juristic person</w:t>
      </w:r>
      <w:r w:rsidR="00591B69" w:rsidRPr="00596801">
        <w:rPr>
          <w:rFonts w:ascii="Arial" w:hAnsi="Arial" w:cs="Arial"/>
          <w:sz w:val="24"/>
          <w:szCs w:val="24"/>
        </w:rPr>
        <w:t xml:space="preserve">” as envisaged in section 13 of the Prescription Act.  </w:t>
      </w:r>
    </w:p>
    <w:p w14:paraId="54B4289B" w14:textId="77777777" w:rsidR="00591B69" w:rsidRPr="00591B69" w:rsidRDefault="00591B69" w:rsidP="00591B69">
      <w:pPr>
        <w:pStyle w:val="ListParagraph"/>
        <w:rPr>
          <w:rFonts w:ascii="Arial" w:hAnsi="Arial" w:cs="Arial"/>
          <w:sz w:val="24"/>
          <w:szCs w:val="24"/>
        </w:rPr>
      </w:pPr>
    </w:p>
    <w:p w14:paraId="1E86B5B3" w14:textId="2C8295DC" w:rsidR="00591B69"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591B69" w:rsidRPr="00596801">
        <w:rPr>
          <w:rFonts w:ascii="Arial" w:hAnsi="Arial" w:cs="Arial"/>
          <w:sz w:val="24"/>
          <w:szCs w:val="24"/>
        </w:rPr>
        <w:t>Mr. Naidoo for plaintiff, advanced the argument that section 13(1)(e) of the Prescription Act was indeed relevant and applicable referring to both LUPO and the Sectional Title</w:t>
      </w:r>
      <w:r w:rsidR="007006EA" w:rsidRPr="00596801">
        <w:rPr>
          <w:rFonts w:ascii="Arial" w:hAnsi="Arial" w:cs="Arial"/>
          <w:sz w:val="24"/>
          <w:szCs w:val="24"/>
        </w:rPr>
        <w:t>s</w:t>
      </w:r>
      <w:r w:rsidR="00591B69" w:rsidRPr="00596801">
        <w:rPr>
          <w:rFonts w:ascii="Arial" w:hAnsi="Arial" w:cs="Arial"/>
          <w:sz w:val="24"/>
          <w:szCs w:val="24"/>
        </w:rPr>
        <w:t xml:space="preserve"> Act.  </w:t>
      </w:r>
    </w:p>
    <w:p w14:paraId="30F56361" w14:textId="77777777" w:rsidR="00591B69" w:rsidRPr="00591B69" w:rsidRDefault="00591B69" w:rsidP="00591B69">
      <w:pPr>
        <w:pStyle w:val="ListParagraph"/>
        <w:rPr>
          <w:rFonts w:ascii="Arial" w:hAnsi="Arial" w:cs="Arial"/>
          <w:sz w:val="24"/>
          <w:szCs w:val="24"/>
        </w:rPr>
      </w:pPr>
    </w:p>
    <w:p w14:paraId="50F2416D" w14:textId="1FCC07D3" w:rsidR="00591B69"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591B69" w:rsidRPr="00596801">
        <w:rPr>
          <w:rFonts w:ascii="Arial" w:hAnsi="Arial" w:cs="Arial"/>
          <w:sz w:val="24"/>
          <w:szCs w:val="24"/>
        </w:rPr>
        <w:t xml:space="preserve">He argued in essence that read with LUPO the provisions of </w:t>
      </w:r>
      <w:r w:rsidR="00921247" w:rsidRPr="00596801">
        <w:rPr>
          <w:rFonts w:ascii="Arial" w:hAnsi="Arial" w:cs="Arial"/>
          <w:sz w:val="24"/>
          <w:szCs w:val="24"/>
        </w:rPr>
        <w:t xml:space="preserve">clause </w:t>
      </w:r>
      <w:r w:rsidR="00591B69" w:rsidRPr="00596801">
        <w:rPr>
          <w:rFonts w:ascii="Arial" w:hAnsi="Arial" w:cs="Arial"/>
          <w:sz w:val="24"/>
          <w:szCs w:val="24"/>
        </w:rPr>
        <w:t xml:space="preserve">7 of the </w:t>
      </w:r>
      <w:r w:rsidR="00921247" w:rsidRPr="00596801">
        <w:rPr>
          <w:rFonts w:ascii="Arial" w:hAnsi="Arial" w:cs="Arial"/>
          <w:sz w:val="24"/>
          <w:szCs w:val="24"/>
        </w:rPr>
        <w:t>plaintiff’s c</w:t>
      </w:r>
      <w:r w:rsidR="00591B69" w:rsidRPr="00596801">
        <w:rPr>
          <w:rFonts w:ascii="Arial" w:hAnsi="Arial" w:cs="Arial"/>
          <w:sz w:val="24"/>
          <w:szCs w:val="24"/>
        </w:rPr>
        <w:t xml:space="preserve">onstitution </w:t>
      </w:r>
      <w:r w:rsidR="00921247" w:rsidRPr="00596801">
        <w:rPr>
          <w:rFonts w:ascii="Arial" w:hAnsi="Arial" w:cs="Arial"/>
          <w:sz w:val="24"/>
          <w:szCs w:val="24"/>
        </w:rPr>
        <w:t xml:space="preserve">provided clearly that it was a body corporate.  </w:t>
      </w:r>
    </w:p>
    <w:p w14:paraId="78C4CD7C" w14:textId="77777777" w:rsidR="00921247" w:rsidRPr="00921247" w:rsidRDefault="00921247" w:rsidP="00921247">
      <w:pPr>
        <w:pStyle w:val="ListParagraph"/>
        <w:rPr>
          <w:rFonts w:ascii="Arial" w:hAnsi="Arial" w:cs="Arial"/>
          <w:sz w:val="24"/>
          <w:szCs w:val="24"/>
        </w:rPr>
      </w:pPr>
    </w:p>
    <w:p w14:paraId="310BF48D" w14:textId="49D54C3C" w:rsidR="0092124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21247" w:rsidRPr="00596801">
        <w:rPr>
          <w:rFonts w:ascii="Arial" w:hAnsi="Arial" w:cs="Arial"/>
          <w:sz w:val="24"/>
          <w:szCs w:val="24"/>
        </w:rPr>
        <w:t>Clause 7 provides that:</w:t>
      </w:r>
    </w:p>
    <w:p w14:paraId="32B18B48" w14:textId="77777777" w:rsidR="00921247" w:rsidRPr="00921247" w:rsidRDefault="00921247" w:rsidP="00921247">
      <w:pPr>
        <w:pStyle w:val="ListParagraph"/>
        <w:rPr>
          <w:rFonts w:ascii="Arial" w:hAnsi="Arial" w:cs="Arial"/>
          <w:sz w:val="24"/>
          <w:szCs w:val="24"/>
        </w:rPr>
      </w:pPr>
    </w:p>
    <w:p w14:paraId="60391CA0" w14:textId="77777777" w:rsidR="00921247" w:rsidRPr="004031B4" w:rsidRDefault="00921247" w:rsidP="00573638">
      <w:pPr>
        <w:pStyle w:val="ListParagraph"/>
        <w:spacing w:after="0" w:line="360" w:lineRule="auto"/>
        <w:jc w:val="both"/>
        <w:rPr>
          <w:rFonts w:ascii="Arial" w:hAnsi="Arial" w:cs="Arial"/>
          <w:u w:val="single"/>
        </w:rPr>
      </w:pPr>
      <w:r w:rsidRPr="00921247">
        <w:rPr>
          <w:rFonts w:ascii="Arial" w:hAnsi="Arial" w:cs="Arial"/>
          <w:sz w:val="24"/>
          <w:szCs w:val="24"/>
        </w:rPr>
        <w:tab/>
      </w:r>
      <w:r w:rsidRPr="004031B4">
        <w:rPr>
          <w:rFonts w:ascii="Arial" w:hAnsi="Arial" w:cs="Arial"/>
        </w:rPr>
        <w:t>“7</w:t>
      </w:r>
      <w:r w:rsidRPr="004031B4">
        <w:rPr>
          <w:rFonts w:ascii="Arial" w:hAnsi="Arial" w:cs="Arial"/>
        </w:rPr>
        <w:tab/>
      </w:r>
      <w:r w:rsidRPr="004031B4">
        <w:rPr>
          <w:rFonts w:ascii="Arial" w:hAnsi="Arial" w:cs="Arial"/>
          <w:u w:val="single"/>
        </w:rPr>
        <w:t>LEGAL PERSONA AND INSTITUTION OF ACTION</w:t>
      </w:r>
    </w:p>
    <w:p w14:paraId="0A0C0D4E" w14:textId="77777777" w:rsidR="00921247" w:rsidRPr="004031B4" w:rsidRDefault="00921247" w:rsidP="004031B4">
      <w:pPr>
        <w:pStyle w:val="ListParagraph"/>
        <w:spacing w:after="0" w:line="360" w:lineRule="auto"/>
        <w:jc w:val="both"/>
        <w:rPr>
          <w:rFonts w:ascii="Arial" w:hAnsi="Arial" w:cs="Arial"/>
        </w:rPr>
      </w:pPr>
      <w:r w:rsidRPr="004031B4">
        <w:rPr>
          <w:rFonts w:ascii="Arial" w:hAnsi="Arial" w:cs="Arial"/>
        </w:rPr>
        <w:tab/>
        <w:t xml:space="preserve">It is recorded that this Association constitutes its own legal persona, </w:t>
      </w:r>
      <w:r w:rsidRPr="004031B4">
        <w:rPr>
          <w:rFonts w:ascii="Arial" w:hAnsi="Arial" w:cs="Arial"/>
        </w:rPr>
        <w:tab/>
        <w:t>quite separate and distinct from the members who constitute</w:t>
      </w:r>
      <w:r w:rsidR="004031B4">
        <w:rPr>
          <w:rFonts w:ascii="Arial" w:hAnsi="Arial" w:cs="Arial"/>
        </w:rPr>
        <w:t xml:space="preserve"> </w:t>
      </w:r>
      <w:r w:rsidRPr="004031B4">
        <w:rPr>
          <w:rFonts w:ascii="Arial" w:hAnsi="Arial" w:cs="Arial"/>
        </w:rPr>
        <w:t xml:space="preserve">the </w:t>
      </w:r>
      <w:r w:rsidRPr="004031B4">
        <w:rPr>
          <w:rFonts w:ascii="Arial" w:hAnsi="Arial" w:cs="Arial"/>
        </w:rPr>
        <w:tab/>
        <w:t xml:space="preserve">Association.  The Association shall be entitled to Institute action out of any </w:t>
      </w:r>
      <w:r w:rsidR="004031B4">
        <w:rPr>
          <w:rFonts w:ascii="Arial" w:hAnsi="Arial" w:cs="Arial"/>
        </w:rPr>
        <w:tab/>
      </w:r>
      <w:r w:rsidRPr="004031B4">
        <w:rPr>
          <w:rFonts w:ascii="Arial" w:hAnsi="Arial" w:cs="Arial"/>
        </w:rPr>
        <w:t xml:space="preserve">Court, having jurisdiction for all or any of the obligations and duties imposed </w:t>
      </w:r>
      <w:r w:rsidR="004031B4">
        <w:rPr>
          <w:rFonts w:ascii="Arial" w:hAnsi="Arial" w:cs="Arial"/>
        </w:rPr>
        <w:tab/>
      </w:r>
      <w:r w:rsidRPr="004031B4">
        <w:rPr>
          <w:rFonts w:ascii="Arial" w:hAnsi="Arial" w:cs="Arial"/>
        </w:rPr>
        <w:t xml:space="preserve">upon members in terms thereof.”  </w:t>
      </w:r>
    </w:p>
    <w:p w14:paraId="0B672163" w14:textId="77777777" w:rsidR="00921247" w:rsidRPr="00921247" w:rsidRDefault="00921247" w:rsidP="00921247">
      <w:pPr>
        <w:pStyle w:val="ListParagraph"/>
        <w:spacing w:after="0" w:line="480" w:lineRule="auto"/>
        <w:jc w:val="both"/>
        <w:rPr>
          <w:rFonts w:ascii="Arial" w:hAnsi="Arial" w:cs="Arial"/>
          <w:sz w:val="24"/>
          <w:szCs w:val="24"/>
          <w:u w:val="single"/>
        </w:rPr>
      </w:pPr>
    </w:p>
    <w:p w14:paraId="0E788159" w14:textId="41DBC0CD" w:rsidR="0092124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4F349E" w:rsidRPr="00596801">
        <w:rPr>
          <w:rFonts w:ascii="Arial" w:hAnsi="Arial" w:cs="Arial"/>
          <w:sz w:val="24"/>
          <w:szCs w:val="24"/>
        </w:rPr>
        <w:t>On a plain reading of this in context, it simply cannot, and does not</w:t>
      </w:r>
      <w:r w:rsidR="007715B2" w:rsidRPr="00596801">
        <w:rPr>
          <w:rFonts w:ascii="Arial" w:hAnsi="Arial" w:cs="Arial"/>
          <w:sz w:val="24"/>
          <w:szCs w:val="24"/>
        </w:rPr>
        <w:t>,</w:t>
      </w:r>
      <w:r w:rsidR="004F349E" w:rsidRPr="00596801">
        <w:rPr>
          <w:rFonts w:ascii="Arial" w:hAnsi="Arial" w:cs="Arial"/>
          <w:sz w:val="24"/>
          <w:szCs w:val="24"/>
        </w:rPr>
        <w:t xml:space="preserve"> have the effect contended for by Mr. Naidoo.  It, at the most, creates a </w:t>
      </w:r>
      <w:r w:rsidR="004F349E" w:rsidRPr="00596801">
        <w:rPr>
          <w:rFonts w:ascii="Arial" w:hAnsi="Arial" w:cs="Arial"/>
          <w:i/>
          <w:sz w:val="24"/>
          <w:szCs w:val="24"/>
        </w:rPr>
        <w:t>universitas</w:t>
      </w:r>
      <w:r w:rsidR="004F349E" w:rsidRPr="00596801">
        <w:rPr>
          <w:rFonts w:ascii="Arial" w:hAnsi="Arial" w:cs="Arial"/>
          <w:sz w:val="24"/>
          <w:szCs w:val="24"/>
        </w:rPr>
        <w:t xml:space="preserve">.  </w:t>
      </w:r>
    </w:p>
    <w:p w14:paraId="4006F784" w14:textId="77777777" w:rsidR="004F349E" w:rsidRDefault="004F349E" w:rsidP="004F349E">
      <w:pPr>
        <w:pStyle w:val="ListParagraph"/>
        <w:spacing w:after="0" w:line="480" w:lineRule="auto"/>
        <w:jc w:val="both"/>
        <w:rPr>
          <w:rFonts w:ascii="Arial" w:hAnsi="Arial" w:cs="Arial"/>
          <w:sz w:val="24"/>
          <w:szCs w:val="24"/>
        </w:rPr>
      </w:pPr>
    </w:p>
    <w:p w14:paraId="66526808" w14:textId="3183695A" w:rsidR="004F349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4F349E" w:rsidRPr="00596801">
        <w:rPr>
          <w:rFonts w:ascii="Arial" w:hAnsi="Arial" w:cs="Arial"/>
          <w:sz w:val="24"/>
          <w:szCs w:val="24"/>
        </w:rPr>
        <w:t xml:space="preserve">Mr. Naidoo conceded that this was a novel point for which there was no prior authority.  </w:t>
      </w:r>
    </w:p>
    <w:p w14:paraId="026DD606" w14:textId="77777777" w:rsidR="004F349E" w:rsidRPr="004F349E" w:rsidRDefault="004F349E" w:rsidP="004F349E">
      <w:pPr>
        <w:pStyle w:val="ListParagraph"/>
        <w:rPr>
          <w:rFonts w:ascii="Arial" w:hAnsi="Arial" w:cs="Arial"/>
          <w:sz w:val="24"/>
          <w:szCs w:val="24"/>
        </w:rPr>
      </w:pPr>
    </w:p>
    <w:p w14:paraId="4AB852DC" w14:textId="579B0E33" w:rsidR="004F349E"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4F349E" w:rsidRPr="00596801">
        <w:rPr>
          <w:rFonts w:ascii="Arial" w:hAnsi="Arial" w:cs="Arial"/>
          <w:sz w:val="24"/>
          <w:szCs w:val="24"/>
        </w:rPr>
        <w:t xml:space="preserve">He argued that the purpose of section 13(1)(e) was to prevent the abuse by members of a juristic person in claiming prescription of a debt in the context of </w:t>
      </w:r>
      <w:r w:rsidR="004F349E" w:rsidRPr="00596801">
        <w:rPr>
          <w:rFonts w:ascii="Arial" w:hAnsi="Arial" w:cs="Arial"/>
          <w:sz w:val="24"/>
          <w:szCs w:val="24"/>
        </w:rPr>
        <w:lastRenderedPageBreak/>
        <w:t>section 13(1)(e) of the Prescription Act.  He contended that the same principle applied to home owners’ association</w:t>
      </w:r>
      <w:r w:rsidR="00D87697" w:rsidRPr="00596801">
        <w:rPr>
          <w:rFonts w:ascii="Arial" w:hAnsi="Arial" w:cs="Arial"/>
          <w:sz w:val="24"/>
          <w:szCs w:val="24"/>
        </w:rPr>
        <w:t>s</w:t>
      </w:r>
      <w:r w:rsidR="00573638" w:rsidRPr="00596801">
        <w:rPr>
          <w:rFonts w:ascii="Arial" w:hAnsi="Arial" w:cs="Arial"/>
          <w:sz w:val="24"/>
          <w:szCs w:val="24"/>
        </w:rPr>
        <w:t>.</w:t>
      </w:r>
    </w:p>
    <w:p w14:paraId="1C4FA1FC" w14:textId="77777777" w:rsidR="00573638" w:rsidRPr="00573638" w:rsidRDefault="00573638" w:rsidP="00573638">
      <w:pPr>
        <w:pStyle w:val="ListParagraph"/>
        <w:rPr>
          <w:rFonts w:ascii="Arial" w:hAnsi="Arial" w:cs="Arial"/>
          <w:sz w:val="24"/>
          <w:szCs w:val="24"/>
        </w:rPr>
      </w:pPr>
    </w:p>
    <w:p w14:paraId="360605C8" w14:textId="5234AF2A" w:rsidR="00573638"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573638" w:rsidRPr="00596801">
        <w:rPr>
          <w:rFonts w:ascii="Arial" w:hAnsi="Arial" w:cs="Arial"/>
          <w:sz w:val="24"/>
          <w:szCs w:val="24"/>
        </w:rPr>
        <w:t>Again, I am unable to agree herewith either as to the premise of the argument, let alone the authorities upon which Mr. Naidoo relied to establish the basis thereof</w:t>
      </w:r>
      <w:r w:rsidR="007006EA" w:rsidRPr="00596801">
        <w:rPr>
          <w:rFonts w:ascii="Arial" w:hAnsi="Arial" w:cs="Arial"/>
          <w:sz w:val="24"/>
          <w:szCs w:val="24"/>
        </w:rPr>
        <w:t xml:space="preserve"> as to this matter</w:t>
      </w:r>
      <w:r w:rsidR="00573638" w:rsidRPr="00596801">
        <w:rPr>
          <w:rFonts w:ascii="Arial" w:hAnsi="Arial" w:cs="Arial"/>
          <w:sz w:val="24"/>
          <w:szCs w:val="24"/>
        </w:rPr>
        <w:t xml:space="preserve">.  </w:t>
      </w:r>
    </w:p>
    <w:p w14:paraId="20189D34" w14:textId="77777777" w:rsidR="00573638" w:rsidRPr="00573638" w:rsidRDefault="00573638" w:rsidP="00573638">
      <w:pPr>
        <w:pStyle w:val="ListParagraph"/>
        <w:rPr>
          <w:rFonts w:ascii="Arial" w:hAnsi="Arial" w:cs="Arial"/>
          <w:sz w:val="24"/>
          <w:szCs w:val="24"/>
        </w:rPr>
      </w:pPr>
    </w:p>
    <w:p w14:paraId="6B539BAB" w14:textId="65DAC174" w:rsidR="00573638" w:rsidRPr="00596801" w:rsidRDefault="00596801" w:rsidP="00596801">
      <w:pPr>
        <w:spacing w:after="0" w:line="480" w:lineRule="auto"/>
        <w:ind w:left="720" w:hanging="720"/>
        <w:jc w:val="both"/>
        <w:rPr>
          <w:rFonts w:ascii="Arial" w:hAnsi="Arial" w:cs="Arial"/>
          <w:sz w:val="24"/>
          <w:szCs w:val="24"/>
        </w:rPr>
      </w:pPr>
      <w:r w:rsidRPr="004F349E">
        <w:rPr>
          <w:rFonts w:ascii="Arial" w:hAnsi="Arial" w:cs="Arial"/>
          <w:sz w:val="24"/>
          <w:szCs w:val="24"/>
        </w:rPr>
        <w:t>62.</w:t>
      </w:r>
      <w:r w:rsidRPr="004F349E">
        <w:rPr>
          <w:rFonts w:ascii="Arial" w:hAnsi="Arial" w:cs="Arial"/>
          <w:sz w:val="24"/>
          <w:szCs w:val="24"/>
        </w:rPr>
        <w:tab/>
      </w:r>
      <w:r w:rsidR="00573638" w:rsidRPr="00596801">
        <w:rPr>
          <w:rFonts w:ascii="Arial" w:hAnsi="Arial" w:cs="Arial"/>
          <w:sz w:val="24"/>
          <w:szCs w:val="24"/>
        </w:rPr>
        <w:t>In short, section 13 provides for eight instances in which the completion of extinctive prescription is delayed referred to as “</w:t>
      </w:r>
      <w:r w:rsidR="00573638" w:rsidRPr="00596801">
        <w:rPr>
          <w:rFonts w:ascii="Arial" w:hAnsi="Arial" w:cs="Arial"/>
          <w:i/>
          <w:sz w:val="24"/>
          <w:szCs w:val="24"/>
        </w:rPr>
        <w:t>impediments</w:t>
      </w:r>
      <w:r w:rsidR="00573638" w:rsidRPr="00596801">
        <w:rPr>
          <w:rFonts w:ascii="Arial" w:hAnsi="Arial" w:cs="Arial"/>
          <w:sz w:val="24"/>
          <w:szCs w:val="24"/>
        </w:rPr>
        <w:t>” citing various legal or practical “</w:t>
      </w:r>
      <w:r w:rsidR="00573638" w:rsidRPr="00596801">
        <w:rPr>
          <w:rFonts w:ascii="Arial" w:hAnsi="Arial" w:cs="Arial"/>
          <w:i/>
          <w:sz w:val="24"/>
          <w:szCs w:val="24"/>
        </w:rPr>
        <w:t>hindrance</w:t>
      </w:r>
      <w:r w:rsidR="00573638" w:rsidRPr="00596801">
        <w:rPr>
          <w:rFonts w:ascii="Arial" w:hAnsi="Arial" w:cs="Arial"/>
          <w:sz w:val="24"/>
          <w:szCs w:val="24"/>
        </w:rPr>
        <w:t>” which makes it difficult for a creditor to institute proceedings for the enforcement of its claim against the debtor</w:t>
      </w:r>
      <w:r w:rsidR="00573638">
        <w:rPr>
          <w:rStyle w:val="FootnoteReference"/>
          <w:rFonts w:ascii="Arial" w:hAnsi="Arial" w:cs="Arial"/>
          <w:sz w:val="24"/>
          <w:szCs w:val="24"/>
        </w:rPr>
        <w:footnoteReference w:id="11"/>
      </w:r>
      <w:r w:rsidR="00573638" w:rsidRPr="00596801">
        <w:rPr>
          <w:rFonts w:ascii="Arial" w:hAnsi="Arial" w:cs="Arial"/>
          <w:sz w:val="24"/>
          <w:szCs w:val="24"/>
        </w:rPr>
        <w:t xml:space="preserve">.  </w:t>
      </w:r>
    </w:p>
    <w:p w14:paraId="5706541F" w14:textId="77777777" w:rsidR="00921247" w:rsidRPr="00921247" w:rsidRDefault="00921247" w:rsidP="00921247">
      <w:pPr>
        <w:pStyle w:val="ListParagraph"/>
        <w:rPr>
          <w:rFonts w:ascii="Arial" w:hAnsi="Arial" w:cs="Arial"/>
          <w:sz w:val="24"/>
          <w:szCs w:val="24"/>
        </w:rPr>
      </w:pPr>
    </w:p>
    <w:p w14:paraId="28D61742" w14:textId="2B71B05B" w:rsidR="00921247"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FA4B09" w:rsidRPr="00596801">
        <w:rPr>
          <w:rFonts w:ascii="Arial" w:hAnsi="Arial" w:cs="Arial"/>
          <w:sz w:val="24"/>
          <w:szCs w:val="24"/>
        </w:rPr>
        <w:t xml:space="preserve">In </w:t>
      </w:r>
      <w:r w:rsidR="00FA4B09" w:rsidRPr="00596801">
        <w:rPr>
          <w:rFonts w:ascii="Arial" w:hAnsi="Arial" w:cs="Arial"/>
          <w:b/>
          <w:sz w:val="24"/>
          <w:szCs w:val="24"/>
        </w:rPr>
        <w:t>Leipzig v Bankorp Ltd</w:t>
      </w:r>
      <w:r w:rsidR="00FA4B09">
        <w:rPr>
          <w:rStyle w:val="FootnoteReference"/>
          <w:rFonts w:ascii="Arial" w:hAnsi="Arial" w:cs="Arial"/>
          <w:sz w:val="24"/>
          <w:szCs w:val="24"/>
        </w:rPr>
        <w:footnoteReference w:id="12"/>
      </w:r>
      <w:r w:rsidR="00FA4B09" w:rsidRPr="00596801">
        <w:rPr>
          <w:rFonts w:ascii="Arial" w:hAnsi="Arial" w:cs="Arial"/>
          <w:sz w:val="24"/>
          <w:szCs w:val="24"/>
        </w:rPr>
        <w:t xml:space="preserve"> the then Appellate Division </w:t>
      </w:r>
      <w:r w:rsidR="007006EA" w:rsidRPr="00596801">
        <w:rPr>
          <w:rFonts w:ascii="Arial" w:hAnsi="Arial" w:cs="Arial"/>
          <w:sz w:val="24"/>
          <w:szCs w:val="24"/>
        </w:rPr>
        <w:t>des</w:t>
      </w:r>
      <w:r w:rsidR="00FA4B09" w:rsidRPr="00596801">
        <w:rPr>
          <w:rFonts w:ascii="Arial" w:hAnsi="Arial" w:cs="Arial"/>
          <w:sz w:val="24"/>
          <w:szCs w:val="24"/>
        </w:rPr>
        <w:t>cribed the section as follows:</w:t>
      </w:r>
    </w:p>
    <w:p w14:paraId="1A423F18" w14:textId="77777777" w:rsidR="00FA4B09" w:rsidRPr="00FA4B09" w:rsidRDefault="00FA4B09" w:rsidP="00FA4B09">
      <w:pPr>
        <w:pStyle w:val="ListParagraph"/>
        <w:rPr>
          <w:rFonts w:ascii="Arial" w:hAnsi="Arial" w:cs="Arial"/>
          <w:sz w:val="24"/>
          <w:szCs w:val="24"/>
        </w:rPr>
      </w:pPr>
    </w:p>
    <w:p w14:paraId="7A7B2AEC" w14:textId="77777777" w:rsidR="00FA4B09" w:rsidRPr="00C711B6" w:rsidRDefault="00FA4B09" w:rsidP="00C711B6">
      <w:pPr>
        <w:pStyle w:val="ListParagraph"/>
        <w:spacing w:after="0" w:line="360" w:lineRule="auto"/>
        <w:jc w:val="both"/>
        <w:rPr>
          <w:rFonts w:ascii="Arial" w:hAnsi="Arial" w:cs="Arial"/>
        </w:rPr>
      </w:pPr>
      <w:r>
        <w:rPr>
          <w:rFonts w:ascii="Arial" w:hAnsi="Arial" w:cs="Arial"/>
          <w:sz w:val="24"/>
          <w:szCs w:val="24"/>
        </w:rPr>
        <w:tab/>
      </w:r>
      <w:r w:rsidRPr="00C711B6">
        <w:rPr>
          <w:rFonts w:ascii="Arial" w:hAnsi="Arial" w:cs="Arial"/>
        </w:rPr>
        <w:t xml:space="preserve">“This inept section is by no means clear and presents obvious problems </w:t>
      </w:r>
      <w:r w:rsidR="00C711B6" w:rsidRPr="00C711B6">
        <w:rPr>
          <w:rFonts w:ascii="Arial" w:hAnsi="Arial" w:cs="Arial"/>
        </w:rPr>
        <w:tab/>
      </w:r>
      <w:r w:rsidRPr="00C711B6">
        <w:rPr>
          <w:rFonts w:ascii="Arial" w:hAnsi="Arial" w:cs="Arial"/>
        </w:rPr>
        <w:t xml:space="preserve">of </w:t>
      </w:r>
      <w:r w:rsidR="00C711B6">
        <w:rPr>
          <w:rFonts w:ascii="Arial" w:hAnsi="Arial" w:cs="Arial"/>
        </w:rPr>
        <w:tab/>
      </w:r>
      <w:r w:rsidRPr="00C711B6">
        <w:rPr>
          <w:rFonts w:ascii="Arial" w:hAnsi="Arial" w:cs="Arial"/>
        </w:rPr>
        <w:t>interpretation.”</w:t>
      </w:r>
    </w:p>
    <w:p w14:paraId="622A8A35" w14:textId="77777777" w:rsidR="00FA4B09" w:rsidRDefault="00FA4B09" w:rsidP="00FA4B09">
      <w:pPr>
        <w:pStyle w:val="ListParagraph"/>
        <w:spacing w:after="0" w:line="480" w:lineRule="auto"/>
        <w:jc w:val="both"/>
        <w:rPr>
          <w:rFonts w:ascii="Arial" w:hAnsi="Arial" w:cs="Arial"/>
          <w:sz w:val="24"/>
          <w:szCs w:val="24"/>
        </w:rPr>
      </w:pPr>
    </w:p>
    <w:p w14:paraId="1504F171" w14:textId="45D3E10C" w:rsidR="0078627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FA4B09" w:rsidRPr="00596801">
        <w:rPr>
          <w:rFonts w:ascii="Arial" w:hAnsi="Arial" w:cs="Arial"/>
          <w:sz w:val="24"/>
          <w:szCs w:val="24"/>
        </w:rPr>
        <w:t xml:space="preserve">A detailed interpretation however of section 13 was set out by the Supreme Court of Appeal in </w:t>
      </w:r>
      <w:r w:rsidR="00FA4B09" w:rsidRPr="00596801">
        <w:rPr>
          <w:rFonts w:ascii="Arial" w:hAnsi="Arial" w:cs="Arial"/>
          <w:b/>
          <w:sz w:val="24"/>
          <w:szCs w:val="24"/>
        </w:rPr>
        <w:t>ABP 4X4 Motor dealers (Pty) Ltd v Igi Insurance Company Ltd</w:t>
      </w:r>
      <w:r w:rsidR="00FA4B09">
        <w:rPr>
          <w:rStyle w:val="FootnoteReference"/>
          <w:rFonts w:ascii="Arial" w:hAnsi="Arial" w:cs="Arial"/>
          <w:sz w:val="24"/>
          <w:szCs w:val="24"/>
        </w:rPr>
        <w:footnoteReference w:id="13"/>
      </w:r>
      <w:r w:rsidR="00786274" w:rsidRPr="00596801">
        <w:rPr>
          <w:rFonts w:ascii="Arial" w:hAnsi="Arial" w:cs="Arial"/>
          <w:sz w:val="24"/>
          <w:szCs w:val="24"/>
        </w:rPr>
        <w:t xml:space="preserve"> </w:t>
      </w:r>
      <w:r w:rsidR="00FA4B09" w:rsidRPr="00596801">
        <w:rPr>
          <w:rFonts w:ascii="Arial" w:hAnsi="Arial" w:cs="Arial"/>
          <w:sz w:val="24"/>
          <w:szCs w:val="24"/>
        </w:rPr>
        <w:t>bringing clarity.  At paragraph [8] “…</w:t>
      </w:r>
      <w:r w:rsidR="00FA4B09" w:rsidRPr="00596801">
        <w:rPr>
          <w:rFonts w:ascii="Arial" w:hAnsi="Arial" w:cs="Arial"/>
          <w:i/>
          <w:sz w:val="24"/>
          <w:szCs w:val="24"/>
        </w:rPr>
        <w:t xml:space="preserve">it is a provision which provides for neither interruption nor the suspension of the running of prescription in the normally understood sense.  Yet, traces of the elements of interruption and suspension are not entirely absent from it.  They are present </w:t>
      </w:r>
      <w:r w:rsidR="00FA4B09" w:rsidRPr="00596801">
        <w:rPr>
          <w:rFonts w:ascii="Arial" w:hAnsi="Arial" w:cs="Arial"/>
          <w:i/>
          <w:sz w:val="24"/>
          <w:szCs w:val="24"/>
        </w:rPr>
        <w:lastRenderedPageBreak/>
        <w:t>to a greater or lesser degree as will be become apparent when some concrete examples of its field of application are considered.</w:t>
      </w:r>
      <w:r w:rsidR="00FA4B09" w:rsidRPr="00596801">
        <w:rPr>
          <w:rFonts w:ascii="Arial" w:hAnsi="Arial" w:cs="Arial"/>
          <w:sz w:val="24"/>
          <w:szCs w:val="24"/>
        </w:rPr>
        <w:t>”</w:t>
      </w:r>
    </w:p>
    <w:p w14:paraId="52996A60" w14:textId="77777777" w:rsidR="00FA4B09" w:rsidRDefault="00FA4B09" w:rsidP="00FA4B09">
      <w:pPr>
        <w:pStyle w:val="ListParagraph"/>
        <w:spacing w:after="0" w:line="480" w:lineRule="auto"/>
        <w:jc w:val="both"/>
        <w:rPr>
          <w:rFonts w:ascii="Arial" w:hAnsi="Arial" w:cs="Arial"/>
          <w:sz w:val="24"/>
          <w:szCs w:val="24"/>
        </w:rPr>
      </w:pPr>
    </w:p>
    <w:p w14:paraId="6292C8E7" w14:textId="51F3CC57" w:rsidR="00FA4B09"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FA4B09" w:rsidRPr="00596801">
        <w:rPr>
          <w:rFonts w:ascii="Arial" w:hAnsi="Arial" w:cs="Arial"/>
          <w:sz w:val="24"/>
          <w:szCs w:val="24"/>
        </w:rPr>
        <w:t>There is no direct authority on the point in question, either way, but it seems to me that a proper interpretation of the relevant subsection presents no difficulty, being simply whether in context</w:t>
      </w:r>
      <w:r w:rsidR="007006EA" w:rsidRPr="00596801">
        <w:rPr>
          <w:rFonts w:ascii="Arial" w:hAnsi="Arial" w:cs="Arial"/>
          <w:sz w:val="24"/>
          <w:szCs w:val="24"/>
        </w:rPr>
        <w:t>,</w:t>
      </w:r>
      <w:r w:rsidR="00FA4B09" w:rsidRPr="00596801">
        <w:rPr>
          <w:rFonts w:ascii="Arial" w:hAnsi="Arial" w:cs="Arial"/>
          <w:sz w:val="24"/>
          <w:szCs w:val="24"/>
        </w:rPr>
        <w:t xml:space="preserve"> and as described above</w:t>
      </w:r>
      <w:r w:rsidR="007006EA" w:rsidRPr="00596801">
        <w:rPr>
          <w:rFonts w:ascii="Arial" w:hAnsi="Arial" w:cs="Arial"/>
          <w:sz w:val="24"/>
          <w:szCs w:val="24"/>
        </w:rPr>
        <w:t>,</w:t>
      </w:r>
      <w:r w:rsidR="00FA4B09" w:rsidRPr="00596801">
        <w:rPr>
          <w:rFonts w:ascii="Arial" w:hAnsi="Arial" w:cs="Arial"/>
          <w:sz w:val="24"/>
          <w:szCs w:val="24"/>
        </w:rPr>
        <w:t xml:space="preserve"> properly interpreted plaintiff is a juristic person as envisaged in the Act.  </w:t>
      </w:r>
    </w:p>
    <w:p w14:paraId="34323291" w14:textId="77777777" w:rsidR="00FA4B09" w:rsidRPr="00FA4B09" w:rsidRDefault="00FA4B09" w:rsidP="00FA4B09">
      <w:pPr>
        <w:pStyle w:val="ListParagraph"/>
        <w:rPr>
          <w:rFonts w:ascii="Arial" w:hAnsi="Arial" w:cs="Arial"/>
          <w:sz w:val="24"/>
          <w:szCs w:val="24"/>
        </w:rPr>
      </w:pPr>
    </w:p>
    <w:p w14:paraId="04CAA6B1" w14:textId="063BE368" w:rsidR="00C711B6"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FA4B09" w:rsidRPr="00596801">
        <w:rPr>
          <w:rFonts w:ascii="Arial" w:hAnsi="Arial" w:cs="Arial"/>
          <w:sz w:val="24"/>
          <w:szCs w:val="24"/>
        </w:rPr>
        <w:t xml:space="preserve">It seems to me having carefully considered the arguments of both counsel, that fundamentally plaintiff in this matter is not a juristic person as contemplated in the Prescription Act, but a </w:t>
      </w:r>
      <w:r w:rsidR="00FA4B09" w:rsidRPr="00596801">
        <w:rPr>
          <w:rFonts w:ascii="Arial" w:hAnsi="Arial" w:cs="Arial"/>
          <w:i/>
          <w:sz w:val="24"/>
          <w:szCs w:val="24"/>
        </w:rPr>
        <w:t>universitas</w:t>
      </w:r>
      <w:r w:rsidR="00FA4B09" w:rsidRPr="00596801">
        <w:rPr>
          <w:rFonts w:ascii="Arial" w:hAnsi="Arial" w:cs="Arial"/>
          <w:sz w:val="24"/>
          <w:szCs w:val="24"/>
        </w:rPr>
        <w:t xml:space="preserve"> falling outside the provisions thereof, this unaffected by section 29</w:t>
      </w:r>
      <w:r w:rsidR="00C711B6" w:rsidRPr="00596801">
        <w:rPr>
          <w:rFonts w:ascii="Arial" w:hAnsi="Arial" w:cs="Arial"/>
          <w:sz w:val="24"/>
          <w:szCs w:val="24"/>
        </w:rPr>
        <w:t>(2)(a) of LUPO.</w:t>
      </w:r>
      <w:r w:rsidR="007006EA" w:rsidRPr="00596801">
        <w:rPr>
          <w:rFonts w:ascii="Arial" w:hAnsi="Arial" w:cs="Arial"/>
          <w:sz w:val="24"/>
          <w:szCs w:val="24"/>
        </w:rPr>
        <w:t xml:space="preserve">  This conclusion is dispositive of the issue.</w:t>
      </w:r>
      <w:r w:rsidR="00C711B6" w:rsidRPr="00596801">
        <w:rPr>
          <w:rFonts w:ascii="Arial" w:hAnsi="Arial" w:cs="Arial"/>
          <w:sz w:val="24"/>
          <w:szCs w:val="24"/>
        </w:rPr>
        <w:t xml:space="preserve">  </w:t>
      </w:r>
    </w:p>
    <w:p w14:paraId="6D6988C0" w14:textId="77777777" w:rsidR="00C711B6" w:rsidRPr="00C711B6" w:rsidRDefault="00C711B6" w:rsidP="00C711B6">
      <w:pPr>
        <w:pStyle w:val="ListParagraph"/>
        <w:rPr>
          <w:rFonts w:ascii="Arial" w:hAnsi="Arial" w:cs="Arial"/>
          <w:sz w:val="24"/>
          <w:szCs w:val="24"/>
        </w:rPr>
      </w:pPr>
    </w:p>
    <w:p w14:paraId="04B00D4A" w14:textId="60465DC9" w:rsidR="00C711B6"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C711B6" w:rsidRPr="00596801">
        <w:rPr>
          <w:rFonts w:ascii="Arial" w:hAnsi="Arial" w:cs="Arial"/>
          <w:sz w:val="24"/>
          <w:szCs w:val="24"/>
        </w:rPr>
        <w:t xml:space="preserve">Quite apart from the above, </w:t>
      </w:r>
      <w:r w:rsidR="007006EA" w:rsidRPr="00596801">
        <w:rPr>
          <w:rFonts w:ascii="Arial" w:hAnsi="Arial" w:cs="Arial"/>
          <w:sz w:val="24"/>
          <w:szCs w:val="24"/>
        </w:rPr>
        <w:t xml:space="preserve">another issue </w:t>
      </w:r>
      <w:r w:rsidR="00C711B6" w:rsidRPr="00596801">
        <w:rPr>
          <w:rFonts w:ascii="Arial" w:hAnsi="Arial" w:cs="Arial"/>
          <w:sz w:val="24"/>
          <w:szCs w:val="24"/>
        </w:rPr>
        <w:t>relates to the question as to</w:t>
      </w:r>
      <w:r w:rsidR="007E1E0C" w:rsidRPr="00596801">
        <w:rPr>
          <w:rFonts w:ascii="Arial" w:hAnsi="Arial" w:cs="Arial"/>
          <w:sz w:val="24"/>
          <w:szCs w:val="24"/>
        </w:rPr>
        <w:t xml:space="preserve"> what the association’s governing body</w:t>
      </w:r>
      <w:r w:rsidR="007715B2" w:rsidRPr="00596801">
        <w:rPr>
          <w:rFonts w:ascii="Arial" w:hAnsi="Arial" w:cs="Arial"/>
          <w:sz w:val="24"/>
          <w:szCs w:val="24"/>
        </w:rPr>
        <w:t xml:space="preserve"> is.</w:t>
      </w:r>
      <w:r w:rsidR="00C711B6" w:rsidRPr="00596801">
        <w:rPr>
          <w:rFonts w:ascii="Arial" w:hAnsi="Arial" w:cs="Arial"/>
          <w:sz w:val="24"/>
          <w:szCs w:val="24"/>
        </w:rPr>
        <w:t xml:space="preserve"> </w:t>
      </w:r>
    </w:p>
    <w:p w14:paraId="70FA73C5" w14:textId="77777777" w:rsidR="00C711B6" w:rsidRPr="00C711B6" w:rsidRDefault="00C711B6" w:rsidP="00C711B6">
      <w:pPr>
        <w:pStyle w:val="ListParagraph"/>
        <w:rPr>
          <w:rFonts w:ascii="Arial" w:hAnsi="Arial" w:cs="Arial"/>
          <w:sz w:val="24"/>
          <w:szCs w:val="24"/>
        </w:rPr>
      </w:pPr>
    </w:p>
    <w:p w14:paraId="53384CFE" w14:textId="396506DE" w:rsidR="00FA4B09"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C711B6" w:rsidRPr="00596801">
        <w:rPr>
          <w:rFonts w:ascii="Arial" w:hAnsi="Arial" w:cs="Arial"/>
          <w:sz w:val="24"/>
          <w:szCs w:val="24"/>
        </w:rPr>
        <w:t xml:space="preserve">Mr. de la Harpe argued with some justification that it had not been established by plaintiff, nor was it apparent from the documents or the constitution </w:t>
      </w:r>
      <w:r w:rsidR="004031B4" w:rsidRPr="00596801">
        <w:rPr>
          <w:rFonts w:ascii="Arial" w:hAnsi="Arial" w:cs="Arial"/>
          <w:sz w:val="24"/>
          <w:szCs w:val="24"/>
        </w:rPr>
        <w:t>that</w:t>
      </w:r>
      <w:r w:rsidR="00D87697" w:rsidRPr="00596801">
        <w:rPr>
          <w:rFonts w:ascii="Arial" w:hAnsi="Arial" w:cs="Arial"/>
          <w:sz w:val="24"/>
          <w:szCs w:val="24"/>
        </w:rPr>
        <w:t xml:space="preserve"> the resolution was by the actual governing body of plaintiff</w:t>
      </w:r>
      <w:r w:rsidR="004031B4" w:rsidRPr="00596801">
        <w:rPr>
          <w:rFonts w:ascii="Arial" w:hAnsi="Arial" w:cs="Arial"/>
          <w:sz w:val="24"/>
          <w:szCs w:val="24"/>
        </w:rPr>
        <w:t xml:space="preserve">.  He argued that all that was indicated from the documentation before me was that the purported resolution taken by the members of the Long Beach Home Owners’ Association on 16 December 2014 was that Mr. Tadhope </w:t>
      </w:r>
      <w:r w:rsidR="0044124A" w:rsidRPr="00596801">
        <w:rPr>
          <w:rFonts w:ascii="Arial" w:hAnsi="Arial" w:cs="Arial"/>
          <w:sz w:val="24"/>
          <w:szCs w:val="24"/>
        </w:rPr>
        <w:t>(</w:t>
      </w:r>
      <w:r w:rsidR="004031B4" w:rsidRPr="00596801">
        <w:rPr>
          <w:rFonts w:ascii="Arial" w:hAnsi="Arial" w:cs="Arial"/>
          <w:sz w:val="24"/>
          <w:szCs w:val="24"/>
        </w:rPr>
        <w:t>referred to in paragraph 1.2 thereof as its chairperson</w:t>
      </w:r>
      <w:r w:rsidR="0044124A" w:rsidRPr="00596801">
        <w:rPr>
          <w:rFonts w:ascii="Arial" w:hAnsi="Arial" w:cs="Arial"/>
          <w:sz w:val="24"/>
          <w:szCs w:val="24"/>
        </w:rPr>
        <w:t>)</w:t>
      </w:r>
      <w:r w:rsidR="004031B4" w:rsidRPr="00596801">
        <w:rPr>
          <w:rFonts w:ascii="Arial" w:hAnsi="Arial" w:cs="Arial"/>
          <w:sz w:val="24"/>
          <w:szCs w:val="24"/>
        </w:rPr>
        <w:t xml:space="preserve"> was not a member of the association </w:t>
      </w:r>
      <w:r w:rsidR="00070527" w:rsidRPr="00596801">
        <w:rPr>
          <w:rFonts w:ascii="Arial" w:hAnsi="Arial" w:cs="Arial"/>
          <w:sz w:val="24"/>
          <w:szCs w:val="24"/>
        </w:rPr>
        <w:t xml:space="preserve">and </w:t>
      </w:r>
      <w:r w:rsidR="004031B4" w:rsidRPr="00596801">
        <w:rPr>
          <w:rFonts w:ascii="Arial" w:hAnsi="Arial" w:cs="Arial"/>
          <w:sz w:val="24"/>
          <w:szCs w:val="24"/>
        </w:rPr>
        <w:t>not in any way that the so-called resolution was one taken by the association itself</w:t>
      </w:r>
      <w:r w:rsidR="00070527" w:rsidRPr="00596801">
        <w:rPr>
          <w:rFonts w:ascii="Arial" w:hAnsi="Arial" w:cs="Arial"/>
          <w:sz w:val="24"/>
          <w:szCs w:val="24"/>
        </w:rPr>
        <w:t>, that is by its governing body.</w:t>
      </w:r>
      <w:r w:rsidR="004031B4" w:rsidRPr="00596801">
        <w:rPr>
          <w:rFonts w:ascii="Arial" w:hAnsi="Arial" w:cs="Arial"/>
          <w:sz w:val="24"/>
          <w:szCs w:val="24"/>
        </w:rPr>
        <w:t xml:space="preserve">  </w:t>
      </w:r>
    </w:p>
    <w:p w14:paraId="31EE9300" w14:textId="77777777" w:rsidR="004031B4" w:rsidRPr="004031B4" w:rsidRDefault="004031B4" w:rsidP="004031B4">
      <w:pPr>
        <w:pStyle w:val="ListParagraph"/>
        <w:rPr>
          <w:rFonts w:ascii="Arial" w:hAnsi="Arial" w:cs="Arial"/>
          <w:sz w:val="24"/>
          <w:szCs w:val="24"/>
        </w:rPr>
      </w:pPr>
    </w:p>
    <w:p w14:paraId="288A41F7" w14:textId="1674EE13" w:rsidR="004031B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lastRenderedPageBreak/>
        <w:t>69.</w:t>
      </w:r>
      <w:r>
        <w:rPr>
          <w:rFonts w:ascii="Arial" w:hAnsi="Arial" w:cs="Arial"/>
          <w:sz w:val="24"/>
          <w:szCs w:val="24"/>
        </w:rPr>
        <w:tab/>
      </w:r>
      <w:r w:rsidR="004031B4" w:rsidRPr="00596801">
        <w:rPr>
          <w:rFonts w:ascii="Arial" w:hAnsi="Arial" w:cs="Arial"/>
          <w:sz w:val="24"/>
          <w:szCs w:val="24"/>
        </w:rPr>
        <w:t>The point made was that there is no evidence</w:t>
      </w:r>
      <w:r w:rsidR="00070527" w:rsidRPr="00596801">
        <w:rPr>
          <w:rFonts w:ascii="Arial" w:hAnsi="Arial" w:cs="Arial"/>
          <w:sz w:val="24"/>
          <w:szCs w:val="24"/>
        </w:rPr>
        <w:t>,</w:t>
      </w:r>
      <w:r w:rsidR="004031B4" w:rsidRPr="00596801">
        <w:rPr>
          <w:rFonts w:ascii="Arial" w:hAnsi="Arial" w:cs="Arial"/>
          <w:sz w:val="24"/>
          <w:szCs w:val="24"/>
        </w:rPr>
        <w:t xml:space="preserve"> documentary </w:t>
      </w:r>
      <w:r w:rsidR="007006EA" w:rsidRPr="00596801">
        <w:rPr>
          <w:rFonts w:ascii="Arial" w:hAnsi="Arial" w:cs="Arial"/>
          <w:sz w:val="24"/>
          <w:szCs w:val="24"/>
        </w:rPr>
        <w:t xml:space="preserve">or </w:t>
      </w:r>
      <w:r w:rsidR="004031B4" w:rsidRPr="00596801">
        <w:rPr>
          <w:rFonts w:ascii="Arial" w:hAnsi="Arial" w:cs="Arial"/>
          <w:sz w:val="24"/>
          <w:szCs w:val="24"/>
        </w:rPr>
        <w:t>otherwise</w:t>
      </w:r>
      <w:r w:rsidR="00070527" w:rsidRPr="00596801">
        <w:rPr>
          <w:rFonts w:ascii="Arial" w:hAnsi="Arial" w:cs="Arial"/>
          <w:sz w:val="24"/>
          <w:szCs w:val="24"/>
        </w:rPr>
        <w:t>,</w:t>
      </w:r>
      <w:r w:rsidR="004031B4" w:rsidRPr="00596801">
        <w:rPr>
          <w:rFonts w:ascii="Arial" w:hAnsi="Arial" w:cs="Arial"/>
          <w:sz w:val="24"/>
          <w:szCs w:val="24"/>
        </w:rPr>
        <w:t xml:space="preserve"> before me indicating that the </w:t>
      </w:r>
      <w:r w:rsidR="007E1E0C" w:rsidRPr="00596801">
        <w:rPr>
          <w:rFonts w:ascii="Arial" w:hAnsi="Arial" w:cs="Arial"/>
          <w:sz w:val="24"/>
          <w:szCs w:val="24"/>
        </w:rPr>
        <w:t xml:space="preserve">actual </w:t>
      </w:r>
      <w:r w:rsidR="004031B4" w:rsidRPr="00596801">
        <w:rPr>
          <w:rFonts w:ascii="Arial" w:hAnsi="Arial" w:cs="Arial"/>
          <w:sz w:val="24"/>
          <w:szCs w:val="24"/>
        </w:rPr>
        <w:t xml:space="preserve">governing body, the plaintiff home owners’ association, took the decision or resolution referred to, Mr. Tadhope, not being a member by virtue of being an erf owner, and the purported decision not </w:t>
      </w:r>
      <w:r w:rsidR="0078643F" w:rsidRPr="00596801">
        <w:rPr>
          <w:rFonts w:ascii="Arial" w:hAnsi="Arial" w:cs="Arial"/>
          <w:sz w:val="24"/>
          <w:szCs w:val="24"/>
        </w:rPr>
        <w:t xml:space="preserve">established as </w:t>
      </w:r>
      <w:r w:rsidR="004031B4" w:rsidRPr="00596801">
        <w:rPr>
          <w:rFonts w:ascii="Arial" w:hAnsi="Arial" w:cs="Arial"/>
          <w:sz w:val="24"/>
          <w:szCs w:val="24"/>
        </w:rPr>
        <w:t>that of the home owners’ association</w:t>
      </w:r>
      <w:r w:rsidR="00D87697" w:rsidRPr="00596801">
        <w:rPr>
          <w:rFonts w:ascii="Arial" w:hAnsi="Arial" w:cs="Arial"/>
          <w:sz w:val="24"/>
          <w:szCs w:val="24"/>
        </w:rPr>
        <w:t xml:space="preserve"> necessarily at all</w:t>
      </w:r>
      <w:r w:rsidR="004031B4" w:rsidRPr="00596801">
        <w:rPr>
          <w:rFonts w:ascii="Arial" w:hAnsi="Arial" w:cs="Arial"/>
          <w:sz w:val="24"/>
          <w:szCs w:val="24"/>
        </w:rPr>
        <w:t>.</w:t>
      </w:r>
      <w:r w:rsidR="00D87697" w:rsidRPr="00596801">
        <w:rPr>
          <w:rFonts w:ascii="Arial" w:hAnsi="Arial" w:cs="Arial"/>
          <w:sz w:val="24"/>
          <w:szCs w:val="24"/>
        </w:rPr>
        <w:t xml:space="preserve">  </w:t>
      </w:r>
      <w:r w:rsidR="004031B4" w:rsidRPr="00596801">
        <w:rPr>
          <w:rFonts w:ascii="Arial" w:hAnsi="Arial" w:cs="Arial"/>
          <w:sz w:val="24"/>
          <w:szCs w:val="24"/>
        </w:rPr>
        <w:t xml:space="preserve">  </w:t>
      </w:r>
    </w:p>
    <w:p w14:paraId="5B1167D6" w14:textId="77777777" w:rsidR="004031B4" w:rsidRPr="004031B4" w:rsidRDefault="004031B4" w:rsidP="004031B4">
      <w:pPr>
        <w:pStyle w:val="ListParagraph"/>
        <w:rPr>
          <w:rFonts w:ascii="Arial" w:hAnsi="Arial" w:cs="Arial"/>
          <w:sz w:val="24"/>
          <w:szCs w:val="24"/>
        </w:rPr>
      </w:pPr>
    </w:p>
    <w:p w14:paraId="45C9650B" w14:textId="16227BD5" w:rsidR="004031B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4031B4" w:rsidRPr="00596801">
        <w:rPr>
          <w:rFonts w:ascii="Arial" w:hAnsi="Arial" w:cs="Arial"/>
          <w:sz w:val="24"/>
          <w:szCs w:val="24"/>
        </w:rPr>
        <w:t xml:space="preserve">Indeed, if I am incorrect on the issue as to whether the home owners’ association is a juristic person, there is considerable merit in this alternative argument.  </w:t>
      </w:r>
    </w:p>
    <w:p w14:paraId="5A362AD7" w14:textId="77777777" w:rsidR="004031B4" w:rsidRPr="004031B4" w:rsidRDefault="004031B4" w:rsidP="004031B4">
      <w:pPr>
        <w:pStyle w:val="ListParagraph"/>
        <w:rPr>
          <w:rFonts w:ascii="Arial" w:hAnsi="Arial" w:cs="Arial"/>
          <w:sz w:val="24"/>
          <w:szCs w:val="24"/>
        </w:rPr>
      </w:pPr>
    </w:p>
    <w:p w14:paraId="6B165DC2" w14:textId="77777777" w:rsidR="004031B4" w:rsidRDefault="004031B4" w:rsidP="004031B4">
      <w:pPr>
        <w:pStyle w:val="ListParagraph"/>
        <w:ind w:left="0"/>
        <w:rPr>
          <w:rFonts w:ascii="Arial" w:hAnsi="Arial" w:cs="Arial"/>
          <w:b/>
          <w:sz w:val="24"/>
          <w:szCs w:val="24"/>
          <w:u w:val="single"/>
        </w:rPr>
      </w:pPr>
      <w:r w:rsidRPr="004031B4">
        <w:rPr>
          <w:rFonts w:ascii="Arial" w:hAnsi="Arial" w:cs="Arial"/>
          <w:b/>
          <w:sz w:val="24"/>
          <w:szCs w:val="24"/>
          <w:u w:val="single"/>
        </w:rPr>
        <w:t>CONCLUSON</w:t>
      </w:r>
    </w:p>
    <w:p w14:paraId="5417CBA5" w14:textId="77777777" w:rsidR="004031B4" w:rsidRPr="004031B4" w:rsidRDefault="004031B4" w:rsidP="004031B4">
      <w:pPr>
        <w:pStyle w:val="ListParagraph"/>
        <w:ind w:left="0"/>
        <w:rPr>
          <w:rFonts w:ascii="Arial" w:hAnsi="Arial" w:cs="Arial"/>
          <w:b/>
          <w:sz w:val="24"/>
          <w:szCs w:val="24"/>
          <w:u w:val="single"/>
        </w:rPr>
      </w:pPr>
    </w:p>
    <w:p w14:paraId="2FEC4FA2" w14:textId="77777777" w:rsidR="004031B4" w:rsidRPr="004031B4" w:rsidRDefault="004031B4" w:rsidP="004031B4">
      <w:pPr>
        <w:pStyle w:val="ListParagraph"/>
        <w:rPr>
          <w:rFonts w:ascii="Arial" w:hAnsi="Arial" w:cs="Arial"/>
          <w:sz w:val="24"/>
          <w:szCs w:val="24"/>
        </w:rPr>
      </w:pPr>
    </w:p>
    <w:p w14:paraId="17B7D9C3" w14:textId="656E41FC" w:rsidR="004031B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4031B4" w:rsidRPr="00596801">
        <w:rPr>
          <w:rFonts w:ascii="Arial" w:hAnsi="Arial" w:cs="Arial"/>
          <w:sz w:val="24"/>
          <w:szCs w:val="24"/>
        </w:rPr>
        <w:t>In the result, on what I have said above, it is clear</w:t>
      </w:r>
      <w:r w:rsidR="007006EA" w:rsidRPr="00596801">
        <w:rPr>
          <w:rFonts w:ascii="Arial" w:hAnsi="Arial" w:cs="Arial"/>
          <w:sz w:val="24"/>
          <w:szCs w:val="24"/>
        </w:rPr>
        <w:t>,</w:t>
      </w:r>
      <w:r w:rsidR="004031B4" w:rsidRPr="00596801">
        <w:rPr>
          <w:rFonts w:ascii="Arial" w:hAnsi="Arial" w:cs="Arial"/>
          <w:sz w:val="24"/>
          <w:szCs w:val="24"/>
        </w:rPr>
        <w:t xml:space="preserve"> on a proper interpretation</w:t>
      </w:r>
      <w:r w:rsidR="007006EA" w:rsidRPr="00596801">
        <w:rPr>
          <w:rFonts w:ascii="Arial" w:hAnsi="Arial" w:cs="Arial"/>
          <w:sz w:val="24"/>
          <w:szCs w:val="24"/>
        </w:rPr>
        <w:t>,</w:t>
      </w:r>
      <w:r w:rsidR="004031B4" w:rsidRPr="00596801">
        <w:rPr>
          <w:rFonts w:ascii="Arial" w:hAnsi="Arial" w:cs="Arial"/>
          <w:sz w:val="24"/>
          <w:szCs w:val="24"/>
        </w:rPr>
        <w:t xml:space="preserve"> that plaintiff in this matter, does not fall within the provisions of section 13(1)(e) of the Prescription Act, and prescription was not delayed accordingly.  </w:t>
      </w:r>
    </w:p>
    <w:p w14:paraId="0329D480" w14:textId="77777777" w:rsidR="004031B4" w:rsidRDefault="004031B4" w:rsidP="004031B4">
      <w:pPr>
        <w:pStyle w:val="ListParagraph"/>
        <w:spacing w:after="0" w:line="480" w:lineRule="auto"/>
        <w:jc w:val="both"/>
        <w:rPr>
          <w:rFonts w:ascii="Arial" w:hAnsi="Arial" w:cs="Arial"/>
          <w:sz w:val="24"/>
          <w:szCs w:val="24"/>
        </w:rPr>
      </w:pPr>
    </w:p>
    <w:p w14:paraId="76C9F0FD" w14:textId="2F6CDC94" w:rsidR="004031B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4031B4" w:rsidRPr="00596801">
        <w:rPr>
          <w:rFonts w:ascii="Arial" w:hAnsi="Arial" w:cs="Arial"/>
          <w:sz w:val="24"/>
          <w:szCs w:val="24"/>
        </w:rPr>
        <w:t xml:space="preserve">In the result, the special plea falls to be upheld, plaintiff’s claim having prescribed on the common cause dates.  </w:t>
      </w:r>
    </w:p>
    <w:p w14:paraId="3C2F067C" w14:textId="77777777" w:rsidR="007006EA" w:rsidRPr="007006EA" w:rsidRDefault="007006EA" w:rsidP="007006EA">
      <w:pPr>
        <w:pStyle w:val="ListParagraph"/>
        <w:rPr>
          <w:rFonts w:ascii="Arial" w:hAnsi="Arial" w:cs="Arial"/>
          <w:sz w:val="24"/>
          <w:szCs w:val="24"/>
        </w:rPr>
      </w:pPr>
    </w:p>
    <w:p w14:paraId="73189517" w14:textId="77777777" w:rsidR="007006EA" w:rsidRPr="007006EA" w:rsidRDefault="007006EA" w:rsidP="007006EA">
      <w:pPr>
        <w:pStyle w:val="ListParagraph"/>
        <w:spacing w:after="0" w:line="480" w:lineRule="auto"/>
        <w:jc w:val="both"/>
        <w:rPr>
          <w:rFonts w:ascii="Arial" w:hAnsi="Arial" w:cs="Arial"/>
          <w:sz w:val="24"/>
          <w:szCs w:val="24"/>
        </w:rPr>
      </w:pPr>
    </w:p>
    <w:p w14:paraId="111C8F97" w14:textId="20779672" w:rsidR="007006EA"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4031B4" w:rsidRPr="00596801">
        <w:rPr>
          <w:rFonts w:ascii="Arial" w:hAnsi="Arial" w:cs="Arial"/>
          <w:sz w:val="24"/>
          <w:szCs w:val="24"/>
        </w:rPr>
        <w:t>As to costs, the parties were not in dispute that should the special plea succeed defendant should have its costs.</w:t>
      </w:r>
      <w:r w:rsidR="007006EA" w:rsidRPr="00596801">
        <w:rPr>
          <w:rFonts w:ascii="Arial" w:hAnsi="Arial" w:cs="Arial"/>
          <w:sz w:val="24"/>
          <w:szCs w:val="24"/>
        </w:rPr>
        <w:t xml:space="preserve">  Those of the separation application are costs in the cause.</w:t>
      </w:r>
    </w:p>
    <w:p w14:paraId="0FBD4DA1" w14:textId="77777777" w:rsidR="004031B4" w:rsidRDefault="004031B4" w:rsidP="007006EA">
      <w:pPr>
        <w:pStyle w:val="ListParagraph"/>
        <w:spacing w:after="0" w:line="480" w:lineRule="auto"/>
        <w:jc w:val="both"/>
        <w:rPr>
          <w:rFonts w:ascii="Arial" w:hAnsi="Arial" w:cs="Arial"/>
          <w:sz w:val="24"/>
          <w:szCs w:val="24"/>
        </w:rPr>
      </w:pPr>
      <w:r>
        <w:rPr>
          <w:rFonts w:ascii="Arial" w:hAnsi="Arial" w:cs="Arial"/>
          <w:sz w:val="24"/>
          <w:szCs w:val="24"/>
        </w:rPr>
        <w:t xml:space="preserve">  </w:t>
      </w:r>
    </w:p>
    <w:p w14:paraId="6C57CEAF" w14:textId="77777777" w:rsidR="004031B4" w:rsidRDefault="004031B4" w:rsidP="004031B4">
      <w:pPr>
        <w:pStyle w:val="ListParagraph"/>
        <w:spacing w:after="0" w:line="480" w:lineRule="auto"/>
        <w:ind w:left="0"/>
        <w:jc w:val="both"/>
        <w:rPr>
          <w:rFonts w:ascii="Arial" w:hAnsi="Arial" w:cs="Arial"/>
          <w:sz w:val="24"/>
          <w:szCs w:val="24"/>
        </w:rPr>
      </w:pPr>
      <w:r w:rsidRPr="004031B4">
        <w:rPr>
          <w:rFonts w:ascii="Arial" w:hAnsi="Arial" w:cs="Arial"/>
          <w:b/>
          <w:sz w:val="24"/>
          <w:szCs w:val="24"/>
          <w:u w:val="single"/>
        </w:rPr>
        <w:t xml:space="preserve">ORDER </w:t>
      </w:r>
    </w:p>
    <w:p w14:paraId="7FA10E6D" w14:textId="77777777" w:rsidR="004031B4" w:rsidRDefault="004031B4" w:rsidP="004031B4">
      <w:pPr>
        <w:pStyle w:val="ListParagraph"/>
        <w:spacing w:after="0" w:line="480" w:lineRule="auto"/>
        <w:ind w:left="0"/>
        <w:jc w:val="both"/>
        <w:rPr>
          <w:rFonts w:ascii="Arial" w:hAnsi="Arial" w:cs="Arial"/>
          <w:sz w:val="24"/>
          <w:szCs w:val="24"/>
        </w:rPr>
      </w:pPr>
    </w:p>
    <w:p w14:paraId="60B3595E" w14:textId="58674BED" w:rsidR="004031B4" w:rsidRPr="00596801" w:rsidRDefault="00596801" w:rsidP="00596801">
      <w:pPr>
        <w:spacing w:after="0" w:line="48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4031B4" w:rsidRPr="00596801">
        <w:rPr>
          <w:rFonts w:ascii="Arial" w:hAnsi="Arial" w:cs="Arial"/>
          <w:sz w:val="24"/>
          <w:szCs w:val="24"/>
        </w:rPr>
        <w:t>The following order shall issue:</w:t>
      </w:r>
    </w:p>
    <w:p w14:paraId="5B784908" w14:textId="77777777" w:rsidR="004031B4" w:rsidRPr="004031B4" w:rsidRDefault="004031B4" w:rsidP="004031B4">
      <w:pPr>
        <w:pStyle w:val="ListParagraph"/>
        <w:spacing w:after="0" w:line="480" w:lineRule="auto"/>
        <w:jc w:val="both"/>
        <w:rPr>
          <w:rFonts w:ascii="Arial" w:hAnsi="Arial" w:cs="Arial"/>
          <w:sz w:val="24"/>
          <w:szCs w:val="24"/>
        </w:rPr>
      </w:pPr>
    </w:p>
    <w:p w14:paraId="3096A89A" w14:textId="2B4E7508" w:rsidR="00837ABE"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031B4" w:rsidRPr="00596801">
        <w:rPr>
          <w:rFonts w:ascii="Arial" w:hAnsi="Arial" w:cs="Arial"/>
          <w:sz w:val="24"/>
          <w:szCs w:val="24"/>
        </w:rPr>
        <w:t>Defendant’s special plea</w:t>
      </w:r>
      <w:r w:rsidR="007006EA" w:rsidRPr="00596801">
        <w:rPr>
          <w:rFonts w:ascii="Arial" w:hAnsi="Arial" w:cs="Arial"/>
          <w:sz w:val="24"/>
          <w:szCs w:val="24"/>
        </w:rPr>
        <w:t>,</w:t>
      </w:r>
      <w:r w:rsidR="004031B4" w:rsidRPr="00596801">
        <w:rPr>
          <w:rFonts w:ascii="Arial" w:hAnsi="Arial" w:cs="Arial"/>
          <w:sz w:val="24"/>
          <w:szCs w:val="24"/>
        </w:rPr>
        <w:t xml:space="preserve"> as to prescription of the debt claimed</w:t>
      </w:r>
      <w:r w:rsidR="007006EA" w:rsidRPr="00596801">
        <w:rPr>
          <w:rFonts w:ascii="Arial" w:hAnsi="Arial" w:cs="Arial"/>
          <w:sz w:val="24"/>
          <w:szCs w:val="24"/>
        </w:rPr>
        <w:t>,</w:t>
      </w:r>
      <w:r w:rsidR="004031B4" w:rsidRPr="00596801">
        <w:rPr>
          <w:rFonts w:ascii="Arial" w:hAnsi="Arial" w:cs="Arial"/>
          <w:sz w:val="24"/>
          <w:szCs w:val="24"/>
        </w:rPr>
        <w:t xml:space="preserve"> succeeds.</w:t>
      </w:r>
    </w:p>
    <w:p w14:paraId="1ECED69E" w14:textId="0F43EA62" w:rsidR="004031B4" w:rsidRPr="00596801" w:rsidRDefault="00596801" w:rsidP="00596801">
      <w:pPr>
        <w:spacing w:after="0"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031B4" w:rsidRPr="00596801">
        <w:rPr>
          <w:rFonts w:ascii="Arial" w:hAnsi="Arial" w:cs="Arial"/>
          <w:sz w:val="24"/>
          <w:szCs w:val="24"/>
        </w:rPr>
        <w:t>Plaintiff’s claim is dismissed with costs</w:t>
      </w:r>
      <w:r w:rsidR="00D87697" w:rsidRPr="00596801">
        <w:rPr>
          <w:rFonts w:ascii="Arial" w:hAnsi="Arial" w:cs="Arial"/>
          <w:sz w:val="24"/>
          <w:szCs w:val="24"/>
        </w:rPr>
        <w:t>, including the costs of the separation application</w:t>
      </w:r>
      <w:r w:rsidR="004031B4" w:rsidRPr="00596801">
        <w:rPr>
          <w:rFonts w:ascii="Arial" w:hAnsi="Arial" w:cs="Arial"/>
          <w:sz w:val="24"/>
          <w:szCs w:val="24"/>
        </w:rPr>
        <w:t>.</w:t>
      </w:r>
    </w:p>
    <w:p w14:paraId="000C277F" w14:textId="77777777" w:rsidR="007006EA" w:rsidRDefault="007006EA" w:rsidP="007006EA">
      <w:pPr>
        <w:pStyle w:val="ListParagraph"/>
        <w:spacing w:after="0" w:line="480" w:lineRule="auto"/>
        <w:ind w:left="0"/>
        <w:jc w:val="both"/>
        <w:rPr>
          <w:rFonts w:ascii="Arial" w:hAnsi="Arial" w:cs="Arial"/>
          <w:sz w:val="24"/>
          <w:szCs w:val="24"/>
        </w:rPr>
      </w:pPr>
    </w:p>
    <w:p w14:paraId="6D53DA2C" w14:textId="77777777" w:rsidR="007006EA" w:rsidRDefault="007006EA" w:rsidP="007006EA">
      <w:pPr>
        <w:pStyle w:val="ListParagraph"/>
        <w:spacing w:after="0" w:line="480" w:lineRule="auto"/>
        <w:ind w:left="0"/>
        <w:jc w:val="both"/>
        <w:rPr>
          <w:rFonts w:ascii="Arial" w:hAnsi="Arial" w:cs="Arial"/>
          <w:sz w:val="24"/>
          <w:szCs w:val="24"/>
        </w:rPr>
      </w:pPr>
    </w:p>
    <w:p w14:paraId="44E5BC2D" w14:textId="77777777" w:rsidR="007006EA" w:rsidRDefault="007006EA" w:rsidP="007006EA">
      <w:pPr>
        <w:pStyle w:val="ListParagraph"/>
        <w:spacing w:after="0" w:line="480" w:lineRule="auto"/>
        <w:ind w:left="0"/>
        <w:jc w:val="both"/>
        <w:rPr>
          <w:rFonts w:ascii="Arial" w:hAnsi="Arial" w:cs="Arial"/>
          <w:sz w:val="24"/>
          <w:szCs w:val="24"/>
        </w:rPr>
      </w:pPr>
    </w:p>
    <w:p w14:paraId="3C70EB15" w14:textId="77777777" w:rsidR="007006EA" w:rsidRDefault="007006EA" w:rsidP="007006EA">
      <w:pPr>
        <w:pStyle w:val="ListParagraph"/>
        <w:spacing w:after="0" w:line="240" w:lineRule="auto"/>
        <w:ind w:left="0"/>
        <w:jc w:val="both"/>
        <w:rPr>
          <w:rFonts w:ascii="Arial" w:hAnsi="Arial" w:cs="Arial"/>
          <w:sz w:val="24"/>
          <w:szCs w:val="24"/>
        </w:rPr>
      </w:pPr>
      <w:r>
        <w:rPr>
          <w:rFonts w:ascii="Arial" w:hAnsi="Arial" w:cs="Arial"/>
          <w:sz w:val="24"/>
          <w:szCs w:val="24"/>
        </w:rPr>
        <w:t xml:space="preserve">________________ </w:t>
      </w:r>
    </w:p>
    <w:p w14:paraId="52F74B36" w14:textId="77777777" w:rsidR="007006EA" w:rsidRDefault="007006EA" w:rsidP="007006EA">
      <w:pPr>
        <w:pStyle w:val="ListParagraph"/>
        <w:spacing w:after="0" w:line="240" w:lineRule="auto"/>
        <w:ind w:left="0"/>
        <w:jc w:val="both"/>
        <w:rPr>
          <w:rFonts w:ascii="Arial" w:hAnsi="Arial" w:cs="Arial"/>
          <w:b/>
          <w:sz w:val="24"/>
          <w:szCs w:val="24"/>
        </w:rPr>
      </w:pPr>
      <w:r>
        <w:rPr>
          <w:rFonts w:ascii="Arial" w:hAnsi="Arial" w:cs="Arial"/>
          <w:b/>
          <w:sz w:val="24"/>
          <w:szCs w:val="24"/>
        </w:rPr>
        <w:t>M.J. LOWE</w:t>
      </w:r>
    </w:p>
    <w:p w14:paraId="740D3480" w14:textId="77777777" w:rsidR="007006EA" w:rsidRDefault="007006EA" w:rsidP="007006EA">
      <w:pPr>
        <w:pStyle w:val="ListParagraph"/>
        <w:spacing w:after="0" w:line="240" w:lineRule="auto"/>
        <w:ind w:left="0"/>
        <w:jc w:val="both"/>
        <w:rPr>
          <w:rFonts w:ascii="Arial" w:hAnsi="Arial" w:cs="Arial"/>
          <w:b/>
          <w:sz w:val="24"/>
          <w:szCs w:val="24"/>
        </w:rPr>
      </w:pPr>
      <w:r>
        <w:rPr>
          <w:rFonts w:ascii="Arial" w:hAnsi="Arial" w:cs="Arial"/>
          <w:b/>
          <w:sz w:val="24"/>
          <w:szCs w:val="24"/>
        </w:rPr>
        <w:t>JUDGE OF THE HIGH COURT</w:t>
      </w:r>
    </w:p>
    <w:p w14:paraId="39A40331" w14:textId="77777777" w:rsidR="007006EA" w:rsidRDefault="007006EA" w:rsidP="007006EA">
      <w:pPr>
        <w:pStyle w:val="ListParagraph"/>
        <w:spacing w:after="0" w:line="240" w:lineRule="auto"/>
        <w:ind w:left="0"/>
        <w:jc w:val="both"/>
        <w:rPr>
          <w:rFonts w:ascii="Arial" w:hAnsi="Arial" w:cs="Arial"/>
          <w:b/>
          <w:sz w:val="24"/>
          <w:szCs w:val="24"/>
        </w:rPr>
      </w:pPr>
    </w:p>
    <w:p w14:paraId="641B4FD5" w14:textId="77777777" w:rsidR="007006EA" w:rsidRDefault="007006EA" w:rsidP="007006EA">
      <w:pPr>
        <w:pStyle w:val="ListParagraph"/>
        <w:spacing w:after="0" w:line="240" w:lineRule="auto"/>
        <w:ind w:left="0"/>
        <w:jc w:val="both"/>
        <w:rPr>
          <w:rFonts w:ascii="Arial" w:hAnsi="Arial" w:cs="Arial"/>
          <w:b/>
          <w:sz w:val="24"/>
          <w:szCs w:val="24"/>
        </w:rPr>
      </w:pPr>
    </w:p>
    <w:p w14:paraId="06D280D7" w14:textId="77777777" w:rsidR="007006EA" w:rsidRDefault="007006EA" w:rsidP="00A807A0">
      <w:pPr>
        <w:pStyle w:val="ListParagraph"/>
        <w:spacing w:after="0" w:line="240" w:lineRule="auto"/>
        <w:ind w:left="5040" w:hanging="5040"/>
        <w:jc w:val="both"/>
        <w:rPr>
          <w:rFonts w:ascii="Arial" w:hAnsi="Arial" w:cs="Arial"/>
          <w:sz w:val="24"/>
          <w:szCs w:val="24"/>
        </w:rPr>
      </w:pPr>
      <w:r>
        <w:rPr>
          <w:rFonts w:ascii="Arial" w:hAnsi="Arial" w:cs="Arial"/>
          <w:sz w:val="24"/>
          <w:szCs w:val="24"/>
        </w:rPr>
        <w:t>Appearing on behalf of Plaintiff:</w:t>
      </w:r>
      <w:r w:rsidR="00A807A0">
        <w:rPr>
          <w:rFonts w:ascii="Arial" w:hAnsi="Arial" w:cs="Arial"/>
          <w:sz w:val="24"/>
          <w:szCs w:val="24"/>
        </w:rPr>
        <w:tab/>
        <w:t>Mr. Naidoo, instructed by Neville Borman and Botha Attorneys, Mr. Powers.</w:t>
      </w:r>
    </w:p>
    <w:p w14:paraId="54A55F24" w14:textId="77777777" w:rsidR="007006EA" w:rsidRDefault="007006EA" w:rsidP="007006EA">
      <w:pPr>
        <w:pStyle w:val="ListParagraph"/>
        <w:spacing w:after="0" w:line="240" w:lineRule="auto"/>
        <w:ind w:left="0"/>
        <w:jc w:val="both"/>
        <w:rPr>
          <w:rFonts w:ascii="Arial" w:hAnsi="Arial" w:cs="Arial"/>
          <w:sz w:val="24"/>
          <w:szCs w:val="24"/>
        </w:rPr>
      </w:pPr>
    </w:p>
    <w:p w14:paraId="673FDA44" w14:textId="77777777" w:rsidR="007006EA" w:rsidRDefault="007006EA" w:rsidP="007006EA">
      <w:pPr>
        <w:pStyle w:val="ListParagraph"/>
        <w:spacing w:after="0" w:line="240" w:lineRule="auto"/>
        <w:ind w:left="0"/>
        <w:jc w:val="both"/>
        <w:rPr>
          <w:rFonts w:ascii="Arial" w:hAnsi="Arial" w:cs="Arial"/>
          <w:sz w:val="24"/>
          <w:szCs w:val="24"/>
        </w:rPr>
      </w:pPr>
    </w:p>
    <w:p w14:paraId="17A55C04" w14:textId="77777777" w:rsidR="007006EA" w:rsidRDefault="007006EA" w:rsidP="00A807A0">
      <w:pPr>
        <w:pStyle w:val="ListParagraph"/>
        <w:spacing w:after="0" w:line="240" w:lineRule="auto"/>
        <w:ind w:left="5040" w:hanging="5040"/>
        <w:jc w:val="both"/>
        <w:rPr>
          <w:rFonts w:ascii="Arial" w:hAnsi="Arial" w:cs="Arial"/>
          <w:sz w:val="24"/>
          <w:szCs w:val="24"/>
        </w:rPr>
      </w:pPr>
      <w:r>
        <w:rPr>
          <w:rFonts w:ascii="Arial" w:hAnsi="Arial" w:cs="Arial"/>
          <w:sz w:val="24"/>
          <w:szCs w:val="24"/>
        </w:rPr>
        <w:t>Appearing on behalf of Defendan</w:t>
      </w:r>
      <w:r w:rsidR="00A807A0">
        <w:rPr>
          <w:rFonts w:ascii="Arial" w:hAnsi="Arial" w:cs="Arial"/>
          <w:sz w:val="24"/>
          <w:szCs w:val="24"/>
        </w:rPr>
        <w:t>t</w:t>
      </w:r>
      <w:r>
        <w:rPr>
          <w:rFonts w:ascii="Arial" w:hAnsi="Arial" w:cs="Arial"/>
          <w:sz w:val="24"/>
          <w:szCs w:val="24"/>
        </w:rPr>
        <w:t>:</w:t>
      </w:r>
      <w:r w:rsidR="00A807A0">
        <w:rPr>
          <w:rFonts w:ascii="Arial" w:hAnsi="Arial" w:cs="Arial"/>
          <w:sz w:val="24"/>
          <w:szCs w:val="24"/>
        </w:rPr>
        <w:tab/>
        <w:t>Mr. De la Harpe S.C., instructed by Whitesides Attorneys, Mr. Barrow.</w:t>
      </w:r>
    </w:p>
    <w:p w14:paraId="3DC7BBDA" w14:textId="77777777" w:rsidR="007006EA" w:rsidRDefault="007006EA" w:rsidP="007006EA">
      <w:pPr>
        <w:pStyle w:val="ListParagraph"/>
        <w:spacing w:after="0" w:line="240" w:lineRule="auto"/>
        <w:ind w:left="0"/>
        <w:jc w:val="both"/>
        <w:rPr>
          <w:rFonts w:ascii="Arial" w:hAnsi="Arial" w:cs="Arial"/>
          <w:sz w:val="24"/>
          <w:szCs w:val="24"/>
        </w:rPr>
      </w:pPr>
    </w:p>
    <w:p w14:paraId="327E6F17" w14:textId="77777777" w:rsidR="007006EA" w:rsidRDefault="007006EA" w:rsidP="007006EA">
      <w:pPr>
        <w:pStyle w:val="ListParagraph"/>
        <w:spacing w:after="0" w:line="240" w:lineRule="auto"/>
        <w:ind w:left="0"/>
        <w:jc w:val="both"/>
        <w:rPr>
          <w:rFonts w:ascii="Arial" w:hAnsi="Arial" w:cs="Arial"/>
          <w:sz w:val="24"/>
          <w:szCs w:val="24"/>
        </w:rPr>
      </w:pPr>
    </w:p>
    <w:p w14:paraId="3778977A" w14:textId="77777777" w:rsidR="007006EA" w:rsidRDefault="007006EA" w:rsidP="00A807A0">
      <w:pPr>
        <w:pStyle w:val="ListParagraph"/>
        <w:spacing w:after="0" w:line="240" w:lineRule="auto"/>
        <w:ind w:left="5040" w:hanging="5040"/>
        <w:jc w:val="both"/>
        <w:rPr>
          <w:rFonts w:ascii="Arial" w:hAnsi="Arial" w:cs="Arial"/>
          <w:sz w:val="24"/>
          <w:szCs w:val="24"/>
        </w:rPr>
      </w:pPr>
      <w:r>
        <w:rPr>
          <w:rFonts w:ascii="Arial" w:hAnsi="Arial" w:cs="Arial"/>
          <w:sz w:val="24"/>
          <w:szCs w:val="24"/>
        </w:rPr>
        <w:t>Date heard:</w:t>
      </w:r>
      <w:r w:rsidR="00A807A0">
        <w:rPr>
          <w:rFonts w:ascii="Arial" w:hAnsi="Arial" w:cs="Arial"/>
          <w:sz w:val="24"/>
          <w:szCs w:val="24"/>
        </w:rPr>
        <w:tab/>
        <w:t>8 – 9 March 2023.</w:t>
      </w:r>
    </w:p>
    <w:p w14:paraId="28580029" w14:textId="77777777" w:rsidR="007006EA" w:rsidRDefault="007006EA" w:rsidP="007006EA">
      <w:pPr>
        <w:pStyle w:val="ListParagraph"/>
        <w:spacing w:after="0" w:line="240" w:lineRule="auto"/>
        <w:ind w:left="0"/>
        <w:jc w:val="both"/>
        <w:rPr>
          <w:rFonts w:ascii="Arial" w:hAnsi="Arial" w:cs="Arial"/>
          <w:sz w:val="24"/>
          <w:szCs w:val="24"/>
        </w:rPr>
      </w:pPr>
    </w:p>
    <w:p w14:paraId="530ADA64" w14:textId="1A7CCE31" w:rsidR="007006EA" w:rsidRPr="007006EA" w:rsidRDefault="007006EA" w:rsidP="007006EA">
      <w:pPr>
        <w:pStyle w:val="ListParagraph"/>
        <w:spacing w:after="0" w:line="240" w:lineRule="auto"/>
        <w:ind w:left="0"/>
        <w:jc w:val="both"/>
        <w:rPr>
          <w:rFonts w:ascii="Arial" w:hAnsi="Arial" w:cs="Arial"/>
          <w:sz w:val="24"/>
          <w:szCs w:val="24"/>
        </w:rPr>
      </w:pPr>
      <w:r>
        <w:rPr>
          <w:rFonts w:ascii="Arial" w:hAnsi="Arial" w:cs="Arial"/>
          <w:sz w:val="24"/>
          <w:szCs w:val="24"/>
        </w:rPr>
        <w:t>Date delivered:</w:t>
      </w:r>
      <w:r w:rsidR="00A807A0">
        <w:rPr>
          <w:rFonts w:ascii="Arial" w:hAnsi="Arial" w:cs="Arial"/>
          <w:sz w:val="24"/>
          <w:szCs w:val="24"/>
        </w:rPr>
        <w:tab/>
      </w:r>
      <w:r w:rsidR="00A807A0">
        <w:rPr>
          <w:rFonts w:ascii="Arial" w:hAnsi="Arial" w:cs="Arial"/>
          <w:sz w:val="24"/>
          <w:szCs w:val="24"/>
        </w:rPr>
        <w:tab/>
      </w:r>
      <w:r w:rsidR="00A807A0">
        <w:rPr>
          <w:rFonts w:ascii="Arial" w:hAnsi="Arial" w:cs="Arial"/>
          <w:sz w:val="24"/>
          <w:szCs w:val="24"/>
        </w:rPr>
        <w:tab/>
      </w:r>
      <w:r w:rsidR="00D87697">
        <w:rPr>
          <w:rFonts w:ascii="Arial" w:hAnsi="Arial" w:cs="Arial"/>
          <w:sz w:val="24"/>
          <w:szCs w:val="24"/>
        </w:rPr>
        <w:tab/>
      </w:r>
      <w:r w:rsidR="00D87697">
        <w:rPr>
          <w:rFonts w:ascii="Arial" w:hAnsi="Arial" w:cs="Arial"/>
          <w:sz w:val="24"/>
          <w:szCs w:val="24"/>
        </w:rPr>
        <w:tab/>
        <w:t xml:space="preserve">30 May 2023. </w:t>
      </w:r>
      <w:r w:rsidR="00A807A0">
        <w:rPr>
          <w:rFonts w:ascii="Arial" w:hAnsi="Arial" w:cs="Arial"/>
          <w:sz w:val="24"/>
          <w:szCs w:val="24"/>
        </w:rPr>
        <w:tab/>
      </w:r>
      <w:r w:rsidR="00A807A0">
        <w:rPr>
          <w:rFonts w:ascii="Arial" w:hAnsi="Arial" w:cs="Arial"/>
          <w:sz w:val="24"/>
          <w:szCs w:val="24"/>
        </w:rPr>
        <w:tab/>
      </w:r>
    </w:p>
    <w:sectPr w:rsidR="007006EA" w:rsidRPr="007006EA" w:rsidSect="007715B2">
      <w:headerReference w:type="default" r:id="rId8"/>
      <w:headerReference w:type="firs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A85A" w14:textId="77777777" w:rsidR="001E6202" w:rsidRDefault="001E6202" w:rsidP="00B356DF">
      <w:pPr>
        <w:spacing w:after="0" w:line="240" w:lineRule="auto"/>
      </w:pPr>
      <w:r>
        <w:separator/>
      </w:r>
    </w:p>
  </w:endnote>
  <w:endnote w:type="continuationSeparator" w:id="0">
    <w:p w14:paraId="22709B91" w14:textId="77777777" w:rsidR="001E6202" w:rsidRDefault="001E6202"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7FE3" w14:textId="77777777" w:rsidR="001E6202" w:rsidRDefault="001E6202" w:rsidP="00B356DF">
      <w:pPr>
        <w:spacing w:after="0" w:line="240" w:lineRule="auto"/>
      </w:pPr>
      <w:r>
        <w:separator/>
      </w:r>
    </w:p>
  </w:footnote>
  <w:footnote w:type="continuationSeparator" w:id="0">
    <w:p w14:paraId="1512B9A7" w14:textId="77777777" w:rsidR="001E6202" w:rsidRDefault="001E6202" w:rsidP="00B356DF">
      <w:pPr>
        <w:spacing w:after="0" w:line="240" w:lineRule="auto"/>
      </w:pPr>
      <w:r>
        <w:continuationSeparator/>
      </w:r>
    </w:p>
  </w:footnote>
  <w:footnote w:id="1">
    <w:p w14:paraId="7A60F040" w14:textId="77777777" w:rsidR="00573638" w:rsidRPr="009E1830" w:rsidRDefault="00573638">
      <w:pPr>
        <w:pStyle w:val="FootnoteText"/>
        <w:rPr>
          <w:lang w:val="en-US"/>
        </w:rPr>
      </w:pPr>
      <w:r>
        <w:rPr>
          <w:rStyle w:val="FootnoteReference"/>
        </w:rPr>
        <w:footnoteRef/>
      </w:r>
      <w:r>
        <w:t xml:space="preserve"> </w:t>
      </w:r>
      <w:r>
        <w:rPr>
          <w:lang w:val="en-US"/>
        </w:rPr>
        <w:t>Lancelot Stellenbosch Mountain Retreat (Pty) Ltd v Gore NO and Others [2015] ZASCA 37.</w:t>
      </w:r>
    </w:p>
  </w:footnote>
  <w:footnote w:id="2">
    <w:p w14:paraId="73EDBC83" w14:textId="77777777" w:rsidR="00573638" w:rsidRPr="0038632E" w:rsidRDefault="00573638">
      <w:pPr>
        <w:pStyle w:val="FootnoteText"/>
        <w:rPr>
          <w:lang w:val="en-US"/>
        </w:rPr>
      </w:pPr>
      <w:r>
        <w:rPr>
          <w:rStyle w:val="FootnoteReference"/>
        </w:rPr>
        <w:footnoteRef/>
      </w:r>
      <w:r>
        <w:t xml:space="preserve"> </w:t>
      </w:r>
      <w:r>
        <w:rPr>
          <w:lang w:val="en-US"/>
        </w:rPr>
        <w:t>Standard Bank of South Africa Ltd v Miracle Mile Investments 67 (Pty) Ltd and Another 2017 (1) SA 185 (SCA).</w:t>
      </w:r>
    </w:p>
  </w:footnote>
  <w:footnote w:id="3">
    <w:p w14:paraId="0265D1C6" w14:textId="77777777" w:rsidR="00573638" w:rsidRPr="0038632E" w:rsidRDefault="00573638">
      <w:pPr>
        <w:pStyle w:val="FootnoteText"/>
        <w:rPr>
          <w:lang w:val="en-US"/>
        </w:rPr>
      </w:pPr>
      <w:r>
        <w:rPr>
          <w:rStyle w:val="FootnoteReference"/>
        </w:rPr>
        <w:footnoteRef/>
      </w:r>
      <w:r>
        <w:t xml:space="preserve"> </w:t>
      </w:r>
      <w:r>
        <w:rPr>
          <w:lang w:val="en-US"/>
        </w:rPr>
        <w:t>Regering van die RSA v SA Eagle Versekeringsmaatskappy Bpk 1985 (2) SA 42 (O); Malcolm v Premier, Western Cape Governent NO 2014 (3) SA 177 (SCA); Silouette Investments Ltd v Virgin Hotels Group Ltd 2009 (4) SA 617 (SCA).</w:t>
      </w:r>
    </w:p>
  </w:footnote>
  <w:footnote w:id="4">
    <w:p w14:paraId="172D46DD" w14:textId="77777777" w:rsidR="00573638" w:rsidRPr="008E5D41" w:rsidRDefault="00573638">
      <w:pPr>
        <w:pStyle w:val="FootnoteText"/>
        <w:rPr>
          <w:lang w:val="en-US"/>
        </w:rPr>
      </w:pPr>
      <w:r>
        <w:rPr>
          <w:rStyle w:val="FootnoteReference"/>
        </w:rPr>
        <w:footnoteRef/>
      </w:r>
      <w:r>
        <w:t xml:space="preserve"> </w:t>
      </w:r>
      <w:r w:rsidRPr="008E5D41">
        <w:rPr>
          <w:b/>
        </w:rPr>
        <w:t>Duet and Magnum Financial Services (in liquidation) v Koster</w:t>
      </w:r>
      <w:r>
        <w:t xml:space="preserve"> 2010 (4) SA 499.</w:t>
      </w:r>
    </w:p>
  </w:footnote>
  <w:footnote w:id="5">
    <w:p w14:paraId="3F044D07" w14:textId="77777777" w:rsidR="00573638" w:rsidRDefault="00573638" w:rsidP="00570F00">
      <w:pPr>
        <w:pStyle w:val="FootnoteText"/>
        <w:rPr>
          <w:lang w:val="en-US"/>
        </w:rPr>
      </w:pPr>
      <w:r>
        <w:rPr>
          <w:rStyle w:val="FootnoteReference"/>
        </w:rPr>
        <w:footnoteRef/>
      </w:r>
      <w:r>
        <w:t xml:space="preserve"> </w:t>
      </w:r>
      <w:r>
        <w:rPr>
          <w:b/>
          <w:lang w:val="en-US"/>
        </w:rPr>
        <w:t>Natal Joint Municipal Pension Fund v Endumeni Municipality</w:t>
      </w:r>
      <w:r>
        <w:rPr>
          <w:lang w:val="en-US"/>
        </w:rPr>
        <w:t xml:space="preserve"> 2012 (4) SA 593 (SCA).</w:t>
      </w:r>
    </w:p>
  </w:footnote>
  <w:footnote w:id="6">
    <w:p w14:paraId="230BCDA0" w14:textId="77777777" w:rsidR="00573638" w:rsidRDefault="00573638" w:rsidP="00570F00">
      <w:pPr>
        <w:pStyle w:val="FootnoteText"/>
        <w:rPr>
          <w:lang w:val="en-US"/>
        </w:rPr>
      </w:pPr>
      <w:r>
        <w:rPr>
          <w:rStyle w:val="FootnoteReference"/>
        </w:rPr>
        <w:footnoteRef/>
      </w:r>
      <w:r>
        <w:t xml:space="preserve"> </w:t>
      </w:r>
      <w:r>
        <w:rPr>
          <w:lang w:val="en-US"/>
        </w:rPr>
        <w:t>2020 (6) SA 14 (CC).</w:t>
      </w:r>
    </w:p>
  </w:footnote>
  <w:footnote w:id="7">
    <w:p w14:paraId="16DC42ED" w14:textId="77777777" w:rsidR="00573638" w:rsidRDefault="00573638" w:rsidP="00570F00">
      <w:pPr>
        <w:pStyle w:val="FootnoteText"/>
        <w:rPr>
          <w:lang w:val="en-US"/>
        </w:rPr>
      </w:pPr>
      <w:r>
        <w:rPr>
          <w:rStyle w:val="FootnoteReference"/>
        </w:rPr>
        <w:footnoteRef/>
      </w:r>
      <w:r>
        <w:t xml:space="preserve"> </w:t>
      </w:r>
      <w:r>
        <w:rPr>
          <w:lang w:val="en-US"/>
        </w:rPr>
        <w:t>2021 ZACC 13 at [65].</w:t>
      </w:r>
    </w:p>
  </w:footnote>
  <w:footnote w:id="8">
    <w:p w14:paraId="1B0042BC" w14:textId="77777777" w:rsidR="00573638" w:rsidRDefault="00573638" w:rsidP="00570F00">
      <w:pPr>
        <w:pStyle w:val="FootnoteText"/>
        <w:rPr>
          <w:lang w:val="en-US"/>
        </w:rPr>
      </w:pPr>
      <w:r>
        <w:rPr>
          <w:rStyle w:val="FootnoteReference"/>
        </w:rPr>
        <w:footnoteRef/>
      </w:r>
      <w:r>
        <w:t xml:space="preserve"> </w:t>
      </w:r>
      <w:r>
        <w:rPr>
          <w:b/>
          <w:lang w:val="en-US"/>
        </w:rPr>
        <w:t>Novartis SA (Pty) Ltd v Maphil Trading (Pty) Ltd</w:t>
      </w:r>
      <w:r>
        <w:rPr>
          <w:lang w:val="en-US"/>
        </w:rPr>
        <w:t xml:space="preserve"> 2016 (1) SA 518 (SCA).</w:t>
      </w:r>
    </w:p>
  </w:footnote>
  <w:footnote w:id="9">
    <w:p w14:paraId="740CE875" w14:textId="77777777" w:rsidR="00573638" w:rsidRDefault="00573638" w:rsidP="00570F00">
      <w:pPr>
        <w:pStyle w:val="FootnoteText"/>
        <w:rPr>
          <w:lang w:val="en-US"/>
        </w:rPr>
      </w:pPr>
      <w:r>
        <w:rPr>
          <w:rStyle w:val="FootnoteReference"/>
        </w:rPr>
        <w:footnoteRef/>
      </w:r>
      <w:r>
        <w:t xml:space="preserve"> </w:t>
      </w:r>
      <w:r>
        <w:rPr>
          <w:lang w:val="en-US"/>
        </w:rPr>
        <w:t xml:space="preserve">2014 (4) SA 474 (CC). </w:t>
      </w:r>
    </w:p>
  </w:footnote>
  <w:footnote w:id="10">
    <w:p w14:paraId="2E3EB941" w14:textId="77777777" w:rsidR="00573638" w:rsidRPr="00591B69" w:rsidRDefault="00573638">
      <w:pPr>
        <w:pStyle w:val="FootnoteText"/>
        <w:rPr>
          <w:lang w:val="en-US"/>
        </w:rPr>
      </w:pPr>
      <w:r>
        <w:rPr>
          <w:rStyle w:val="FootnoteReference"/>
        </w:rPr>
        <w:footnoteRef/>
      </w:r>
      <w:r>
        <w:t xml:space="preserve"> </w:t>
      </w:r>
      <w:r>
        <w:rPr>
          <w:lang w:val="en-US"/>
        </w:rPr>
        <w:t>Nelson Mandela Metropolitan Municipality v Greyvenouw cc 2004 (2) SA 81 (SECLD) [58 – 60].</w:t>
      </w:r>
    </w:p>
  </w:footnote>
  <w:footnote w:id="11">
    <w:p w14:paraId="3755CA0E" w14:textId="77777777" w:rsidR="00573638" w:rsidRPr="00573638" w:rsidRDefault="00573638">
      <w:pPr>
        <w:pStyle w:val="FootnoteText"/>
        <w:rPr>
          <w:lang w:val="en-US"/>
        </w:rPr>
      </w:pPr>
      <w:r>
        <w:rPr>
          <w:rStyle w:val="FootnoteReference"/>
        </w:rPr>
        <w:footnoteRef/>
      </w:r>
      <w:r>
        <w:t xml:space="preserve"> </w:t>
      </w:r>
      <w:r>
        <w:rPr>
          <w:lang w:val="en-US"/>
        </w:rPr>
        <w:t>Extinctive Prescription 2</w:t>
      </w:r>
      <w:r w:rsidRPr="00573638">
        <w:rPr>
          <w:vertAlign w:val="superscript"/>
          <w:lang w:val="en-US"/>
        </w:rPr>
        <w:t>nd</w:t>
      </w:r>
      <w:r>
        <w:rPr>
          <w:lang w:val="en-US"/>
        </w:rPr>
        <w:t xml:space="preserve"> Ed Loubser Juta 198.</w:t>
      </w:r>
    </w:p>
  </w:footnote>
  <w:footnote w:id="12">
    <w:p w14:paraId="713553F3" w14:textId="77777777" w:rsidR="00FA4B09" w:rsidRPr="00FA4B09" w:rsidRDefault="00FA4B09">
      <w:pPr>
        <w:pStyle w:val="FootnoteText"/>
        <w:rPr>
          <w:lang w:val="en-US"/>
        </w:rPr>
      </w:pPr>
      <w:r>
        <w:rPr>
          <w:rStyle w:val="FootnoteReference"/>
        </w:rPr>
        <w:footnoteRef/>
      </w:r>
      <w:r>
        <w:t xml:space="preserve"> 1994 (2) SA 128 (A) at 133 F. </w:t>
      </w:r>
    </w:p>
  </w:footnote>
  <w:footnote w:id="13">
    <w:p w14:paraId="25E27B74" w14:textId="77777777" w:rsidR="00FA4B09" w:rsidRPr="00FA4B09" w:rsidRDefault="00FA4B09">
      <w:pPr>
        <w:pStyle w:val="FootnoteText"/>
        <w:rPr>
          <w:lang w:val="en-US"/>
        </w:rPr>
      </w:pPr>
      <w:r>
        <w:rPr>
          <w:rStyle w:val="FootnoteReference"/>
        </w:rPr>
        <w:footnoteRef/>
      </w:r>
      <w:r>
        <w:t xml:space="preserve"> </w:t>
      </w:r>
      <w:r>
        <w:rPr>
          <w:lang w:val="en-US"/>
        </w:rPr>
        <w:t>1999 (3) SA 924 (SCA) at 930D.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870633"/>
      <w:docPartObj>
        <w:docPartGallery w:val="Page Numbers (Top of Page)"/>
        <w:docPartUnique/>
      </w:docPartObj>
    </w:sdtPr>
    <w:sdtEndPr>
      <w:rPr>
        <w:noProof/>
      </w:rPr>
    </w:sdtEndPr>
    <w:sdtContent>
      <w:p w14:paraId="7CBC66A9" w14:textId="77777777" w:rsidR="00573638" w:rsidRDefault="00573638">
        <w:pPr>
          <w:pStyle w:val="Header"/>
          <w:jc w:val="right"/>
        </w:pPr>
        <w:r>
          <w:fldChar w:fldCharType="begin"/>
        </w:r>
        <w:r>
          <w:instrText xml:space="preserve"> PAGE   \* MERGEFORMAT </w:instrText>
        </w:r>
        <w:r>
          <w:fldChar w:fldCharType="separate"/>
        </w:r>
        <w:r w:rsidR="00596801">
          <w:rPr>
            <w:noProof/>
          </w:rPr>
          <w:t>2</w:t>
        </w:r>
        <w:r>
          <w:rPr>
            <w:noProof/>
          </w:rPr>
          <w:fldChar w:fldCharType="end"/>
        </w:r>
      </w:p>
    </w:sdtContent>
  </w:sdt>
  <w:p w14:paraId="62BB633E" w14:textId="77777777" w:rsidR="00573638" w:rsidRDefault="00573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1C77" w14:textId="77777777" w:rsidR="00573638" w:rsidRDefault="00573638">
    <w:pPr>
      <w:pStyle w:val="Header"/>
      <w:jc w:val="right"/>
    </w:pPr>
  </w:p>
  <w:p w14:paraId="7C05F9F0" w14:textId="77777777" w:rsidR="00573638" w:rsidRDefault="0057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82F"/>
    <w:multiLevelType w:val="hybridMultilevel"/>
    <w:tmpl w:val="9006B140"/>
    <w:lvl w:ilvl="0" w:tplc="C6A416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C16F6"/>
    <w:multiLevelType w:val="hybridMultilevel"/>
    <w:tmpl w:val="6B0C2EFA"/>
    <w:lvl w:ilvl="0" w:tplc="8174DC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443D12"/>
    <w:multiLevelType w:val="hybridMultilevel"/>
    <w:tmpl w:val="AB964CA6"/>
    <w:lvl w:ilvl="0" w:tplc="9FCAB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C80C60"/>
    <w:multiLevelType w:val="hybridMultilevel"/>
    <w:tmpl w:val="63C866F6"/>
    <w:lvl w:ilvl="0" w:tplc="2D127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B3BA6"/>
    <w:multiLevelType w:val="hybridMultilevel"/>
    <w:tmpl w:val="7122915A"/>
    <w:lvl w:ilvl="0" w:tplc="B5B695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F61BD1"/>
    <w:multiLevelType w:val="multilevel"/>
    <w:tmpl w:val="B1B60AA4"/>
    <w:lvl w:ilvl="0">
      <w:start w:val="3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68E55803"/>
    <w:multiLevelType w:val="hybridMultilevel"/>
    <w:tmpl w:val="1DDCD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1221C"/>
    <w:multiLevelType w:val="multilevel"/>
    <w:tmpl w:val="9006C924"/>
    <w:lvl w:ilvl="0">
      <w:start w:val="1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6"/>
  </w:num>
  <w:num w:numId="3">
    <w:abstractNumId w:val="4"/>
  </w:num>
  <w:num w:numId="4">
    <w:abstractNumId w:val="3"/>
  </w:num>
  <w:num w:numId="5">
    <w:abstractNumId w:val="10"/>
  </w:num>
  <w:num w:numId="6">
    <w:abstractNumId w:val="11"/>
  </w:num>
  <w:num w:numId="7">
    <w:abstractNumId w:val="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C"/>
    <w:rsid w:val="00007822"/>
    <w:rsid w:val="000105BE"/>
    <w:rsid w:val="00012D24"/>
    <w:rsid w:val="00014421"/>
    <w:rsid w:val="000154F8"/>
    <w:rsid w:val="00015DE2"/>
    <w:rsid w:val="0001760B"/>
    <w:rsid w:val="00017F86"/>
    <w:rsid w:val="000207FA"/>
    <w:rsid w:val="000232C6"/>
    <w:rsid w:val="00023695"/>
    <w:rsid w:val="000244EC"/>
    <w:rsid w:val="00026F76"/>
    <w:rsid w:val="00027360"/>
    <w:rsid w:val="00031BA2"/>
    <w:rsid w:val="00032871"/>
    <w:rsid w:val="0004018B"/>
    <w:rsid w:val="00040340"/>
    <w:rsid w:val="00041EA6"/>
    <w:rsid w:val="00042763"/>
    <w:rsid w:val="00042A22"/>
    <w:rsid w:val="00046DFB"/>
    <w:rsid w:val="00047ABF"/>
    <w:rsid w:val="00050688"/>
    <w:rsid w:val="000577BE"/>
    <w:rsid w:val="00057E9A"/>
    <w:rsid w:val="00061BFD"/>
    <w:rsid w:val="00063F3F"/>
    <w:rsid w:val="00064F75"/>
    <w:rsid w:val="000662E0"/>
    <w:rsid w:val="00066FA5"/>
    <w:rsid w:val="000674E8"/>
    <w:rsid w:val="00070270"/>
    <w:rsid w:val="00070527"/>
    <w:rsid w:val="000750DE"/>
    <w:rsid w:val="0008034B"/>
    <w:rsid w:val="00081C5F"/>
    <w:rsid w:val="00082A6F"/>
    <w:rsid w:val="00083AC3"/>
    <w:rsid w:val="00084C47"/>
    <w:rsid w:val="00085334"/>
    <w:rsid w:val="00085EBF"/>
    <w:rsid w:val="0008710A"/>
    <w:rsid w:val="00087251"/>
    <w:rsid w:val="00087B91"/>
    <w:rsid w:val="000935AD"/>
    <w:rsid w:val="00094CCA"/>
    <w:rsid w:val="0009501A"/>
    <w:rsid w:val="000953FD"/>
    <w:rsid w:val="00095E59"/>
    <w:rsid w:val="000970F2"/>
    <w:rsid w:val="000972F2"/>
    <w:rsid w:val="00097B59"/>
    <w:rsid w:val="000A146E"/>
    <w:rsid w:val="000A1E26"/>
    <w:rsid w:val="000A36F4"/>
    <w:rsid w:val="000A6461"/>
    <w:rsid w:val="000B109B"/>
    <w:rsid w:val="000B1CBA"/>
    <w:rsid w:val="000B3302"/>
    <w:rsid w:val="000C1CF9"/>
    <w:rsid w:val="000C25C0"/>
    <w:rsid w:val="000C3432"/>
    <w:rsid w:val="000C4FAD"/>
    <w:rsid w:val="000D34CD"/>
    <w:rsid w:val="000D53ED"/>
    <w:rsid w:val="000D6D12"/>
    <w:rsid w:val="000E16C4"/>
    <w:rsid w:val="000E17FD"/>
    <w:rsid w:val="000E254E"/>
    <w:rsid w:val="000E46C3"/>
    <w:rsid w:val="000E70A9"/>
    <w:rsid w:val="000F1069"/>
    <w:rsid w:val="000F11E5"/>
    <w:rsid w:val="000F1B76"/>
    <w:rsid w:val="000F1DAB"/>
    <w:rsid w:val="000F4095"/>
    <w:rsid w:val="000F45A7"/>
    <w:rsid w:val="000F4B8F"/>
    <w:rsid w:val="000F794D"/>
    <w:rsid w:val="0010121A"/>
    <w:rsid w:val="0010721E"/>
    <w:rsid w:val="00107640"/>
    <w:rsid w:val="00107668"/>
    <w:rsid w:val="001076DC"/>
    <w:rsid w:val="00111505"/>
    <w:rsid w:val="00111D21"/>
    <w:rsid w:val="001123E8"/>
    <w:rsid w:val="0011539A"/>
    <w:rsid w:val="0012023E"/>
    <w:rsid w:val="001206DA"/>
    <w:rsid w:val="00124A38"/>
    <w:rsid w:val="00124FC2"/>
    <w:rsid w:val="00125656"/>
    <w:rsid w:val="001308A8"/>
    <w:rsid w:val="001349D7"/>
    <w:rsid w:val="00134A40"/>
    <w:rsid w:val="00134B2E"/>
    <w:rsid w:val="00135F6D"/>
    <w:rsid w:val="001368D2"/>
    <w:rsid w:val="00136C5D"/>
    <w:rsid w:val="00137F28"/>
    <w:rsid w:val="00140293"/>
    <w:rsid w:val="00141C52"/>
    <w:rsid w:val="0014239E"/>
    <w:rsid w:val="00143188"/>
    <w:rsid w:val="00145690"/>
    <w:rsid w:val="00147081"/>
    <w:rsid w:val="00147B25"/>
    <w:rsid w:val="00150C40"/>
    <w:rsid w:val="00151ED1"/>
    <w:rsid w:val="001525AC"/>
    <w:rsid w:val="00154FC3"/>
    <w:rsid w:val="00155D15"/>
    <w:rsid w:val="0016257A"/>
    <w:rsid w:val="00162C0F"/>
    <w:rsid w:val="00163C91"/>
    <w:rsid w:val="00164D20"/>
    <w:rsid w:val="00166B6B"/>
    <w:rsid w:val="00167B33"/>
    <w:rsid w:val="00171451"/>
    <w:rsid w:val="00172EE3"/>
    <w:rsid w:val="00174458"/>
    <w:rsid w:val="00174682"/>
    <w:rsid w:val="001828E9"/>
    <w:rsid w:val="00184AC0"/>
    <w:rsid w:val="00185DC4"/>
    <w:rsid w:val="0018729A"/>
    <w:rsid w:val="00187839"/>
    <w:rsid w:val="00190F3C"/>
    <w:rsid w:val="001920F2"/>
    <w:rsid w:val="0019317A"/>
    <w:rsid w:val="00193C35"/>
    <w:rsid w:val="0019620E"/>
    <w:rsid w:val="001A0B22"/>
    <w:rsid w:val="001A3523"/>
    <w:rsid w:val="001A52E2"/>
    <w:rsid w:val="001B0686"/>
    <w:rsid w:val="001B20B2"/>
    <w:rsid w:val="001B4A7C"/>
    <w:rsid w:val="001C4A4F"/>
    <w:rsid w:val="001C62C3"/>
    <w:rsid w:val="001C643F"/>
    <w:rsid w:val="001C684A"/>
    <w:rsid w:val="001C7371"/>
    <w:rsid w:val="001D2014"/>
    <w:rsid w:val="001D4E58"/>
    <w:rsid w:val="001D5644"/>
    <w:rsid w:val="001D620A"/>
    <w:rsid w:val="001E12C8"/>
    <w:rsid w:val="001E21FB"/>
    <w:rsid w:val="001E232E"/>
    <w:rsid w:val="001E3E77"/>
    <w:rsid w:val="001E51CC"/>
    <w:rsid w:val="001E5E04"/>
    <w:rsid w:val="001E6202"/>
    <w:rsid w:val="001F3563"/>
    <w:rsid w:val="001F50EA"/>
    <w:rsid w:val="002011AF"/>
    <w:rsid w:val="0020245D"/>
    <w:rsid w:val="002044CC"/>
    <w:rsid w:val="002056DA"/>
    <w:rsid w:val="00205938"/>
    <w:rsid w:val="00205B14"/>
    <w:rsid w:val="00205C16"/>
    <w:rsid w:val="00205CF0"/>
    <w:rsid w:val="00206809"/>
    <w:rsid w:val="00207265"/>
    <w:rsid w:val="00207939"/>
    <w:rsid w:val="002101CE"/>
    <w:rsid w:val="00213740"/>
    <w:rsid w:val="002139B0"/>
    <w:rsid w:val="00221035"/>
    <w:rsid w:val="00223EFD"/>
    <w:rsid w:val="002257E4"/>
    <w:rsid w:val="00225CB3"/>
    <w:rsid w:val="00226FF4"/>
    <w:rsid w:val="00232543"/>
    <w:rsid w:val="00232C7A"/>
    <w:rsid w:val="00233B39"/>
    <w:rsid w:val="00234677"/>
    <w:rsid w:val="00234976"/>
    <w:rsid w:val="002349E4"/>
    <w:rsid w:val="0023672D"/>
    <w:rsid w:val="002400FD"/>
    <w:rsid w:val="002402F4"/>
    <w:rsid w:val="0024063B"/>
    <w:rsid w:val="002433C9"/>
    <w:rsid w:val="0024411C"/>
    <w:rsid w:val="00244AA8"/>
    <w:rsid w:val="00244CBE"/>
    <w:rsid w:val="00245193"/>
    <w:rsid w:val="002465B8"/>
    <w:rsid w:val="00247E06"/>
    <w:rsid w:val="002539F9"/>
    <w:rsid w:val="00253DAA"/>
    <w:rsid w:val="002571A6"/>
    <w:rsid w:val="00260928"/>
    <w:rsid w:val="00261942"/>
    <w:rsid w:val="00263C87"/>
    <w:rsid w:val="002650B2"/>
    <w:rsid w:val="00265C0E"/>
    <w:rsid w:val="002662A3"/>
    <w:rsid w:val="00266A82"/>
    <w:rsid w:val="00270148"/>
    <w:rsid w:val="002735BC"/>
    <w:rsid w:val="00273D7F"/>
    <w:rsid w:val="00274107"/>
    <w:rsid w:val="00274A10"/>
    <w:rsid w:val="00276923"/>
    <w:rsid w:val="00277443"/>
    <w:rsid w:val="00277BB6"/>
    <w:rsid w:val="00277BFA"/>
    <w:rsid w:val="00280513"/>
    <w:rsid w:val="0028171B"/>
    <w:rsid w:val="00281DF9"/>
    <w:rsid w:val="00283EBB"/>
    <w:rsid w:val="0028430D"/>
    <w:rsid w:val="00285A5E"/>
    <w:rsid w:val="0029069B"/>
    <w:rsid w:val="00291D43"/>
    <w:rsid w:val="00292735"/>
    <w:rsid w:val="002935DC"/>
    <w:rsid w:val="00293AD1"/>
    <w:rsid w:val="002A2CC0"/>
    <w:rsid w:val="002A39BA"/>
    <w:rsid w:val="002A3EBB"/>
    <w:rsid w:val="002A51D3"/>
    <w:rsid w:val="002A53ED"/>
    <w:rsid w:val="002A5682"/>
    <w:rsid w:val="002A7D46"/>
    <w:rsid w:val="002B06FA"/>
    <w:rsid w:val="002B1B07"/>
    <w:rsid w:val="002B62ED"/>
    <w:rsid w:val="002B686D"/>
    <w:rsid w:val="002C29B1"/>
    <w:rsid w:val="002C4391"/>
    <w:rsid w:val="002C4DCE"/>
    <w:rsid w:val="002C56AC"/>
    <w:rsid w:val="002C6535"/>
    <w:rsid w:val="002C7295"/>
    <w:rsid w:val="002D19F3"/>
    <w:rsid w:val="002D22CF"/>
    <w:rsid w:val="002D2CA4"/>
    <w:rsid w:val="002D3ACD"/>
    <w:rsid w:val="002D69A2"/>
    <w:rsid w:val="002D760B"/>
    <w:rsid w:val="002E13B6"/>
    <w:rsid w:val="002E163D"/>
    <w:rsid w:val="002E192D"/>
    <w:rsid w:val="002E1A2B"/>
    <w:rsid w:val="002E29E0"/>
    <w:rsid w:val="002E755A"/>
    <w:rsid w:val="002F0DA3"/>
    <w:rsid w:val="002F3779"/>
    <w:rsid w:val="002F3D42"/>
    <w:rsid w:val="002F4488"/>
    <w:rsid w:val="002F4558"/>
    <w:rsid w:val="002F575B"/>
    <w:rsid w:val="00301F65"/>
    <w:rsid w:val="003022CC"/>
    <w:rsid w:val="00302F48"/>
    <w:rsid w:val="00307437"/>
    <w:rsid w:val="00313C41"/>
    <w:rsid w:val="00314CA2"/>
    <w:rsid w:val="00316CAE"/>
    <w:rsid w:val="00317A59"/>
    <w:rsid w:val="00321694"/>
    <w:rsid w:val="00321CD9"/>
    <w:rsid w:val="00322BD5"/>
    <w:rsid w:val="00323E4C"/>
    <w:rsid w:val="00323F10"/>
    <w:rsid w:val="003270F6"/>
    <w:rsid w:val="003275EE"/>
    <w:rsid w:val="0033062B"/>
    <w:rsid w:val="00331B89"/>
    <w:rsid w:val="00331C01"/>
    <w:rsid w:val="0033279C"/>
    <w:rsid w:val="00333A13"/>
    <w:rsid w:val="00333CA5"/>
    <w:rsid w:val="00334262"/>
    <w:rsid w:val="00334AFA"/>
    <w:rsid w:val="00340742"/>
    <w:rsid w:val="003416F7"/>
    <w:rsid w:val="00343181"/>
    <w:rsid w:val="00344A01"/>
    <w:rsid w:val="003454A7"/>
    <w:rsid w:val="00353E81"/>
    <w:rsid w:val="003550F1"/>
    <w:rsid w:val="0035555A"/>
    <w:rsid w:val="00356054"/>
    <w:rsid w:val="003569E0"/>
    <w:rsid w:val="00357136"/>
    <w:rsid w:val="00357EBE"/>
    <w:rsid w:val="00371148"/>
    <w:rsid w:val="003739EB"/>
    <w:rsid w:val="0037669B"/>
    <w:rsid w:val="00381277"/>
    <w:rsid w:val="003817E2"/>
    <w:rsid w:val="003829CA"/>
    <w:rsid w:val="00382ED1"/>
    <w:rsid w:val="00383C76"/>
    <w:rsid w:val="003843E5"/>
    <w:rsid w:val="003849A2"/>
    <w:rsid w:val="00384E0B"/>
    <w:rsid w:val="00385357"/>
    <w:rsid w:val="00385D4F"/>
    <w:rsid w:val="0038632E"/>
    <w:rsid w:val="00387CA9"/>
    <w:rsid w:val="00390C55"/>
    <w:rsid w:val="00393AEB"/>
    <w:rsid w:val="003A0D81"/>
    <w:rsid w:val="003A5EE5"/>
    <w:rsid w:val="003A746E"/>
    <w:rsid w:val="003B13E0"/>
    <w:rsid w:val="003B31F5"/>
    <w:rsid w:val="003B38AF"/>
    <w:rsid w:val="003B4BCC"/>
    <w:rsid w:val="003B4DCC"/>
    <w:rsid w:val="003B537D"/>
    <w:rsid w:val="003B5CBF"/>
    <w:rsid w:val="003B5CE3"/>
    <w:rsid w:val="003B6A92"/>
    <w:rsid w:val="003B7434"/>
    <w:rsid w:val="003B794C"/>
    <w:rsid w:val="003C02BF"/>
    <w:rsid w:val="003D0697"/>
    <w:rsid w:val="003D2F56"/>
    <w:rsid w:val="003D3C5D"/>
    <w:rsid w:val="003D3EB6"/>
    <w:rsid w:val="003D4EC8"/>
    <w:rsid w:val="003D7363"/>
    <w:rsid w:val="003D7CFA"/>
    <w:rsid w:val="003E0282"/>
    <w:rsid w:val="003E1AB9"/>
    <w:rsid w:val="003E26E0"/>
    <w:rsid w:val="003E3971"/>
    <w:rsid w:val="003E4C2F"/>
    <w:rsid w:val="003E4FCE"/>
    <w:rsid w:val="003E5202"/>
    <w:rsid w:val="003E5C2A"/>
    <w:rsid w:val="003F145D"/>
    <w:rsid w:val="003F2552"/>
    <w:rsid w:val="003F422E"/>
    <w:rsid w:val="003F4B9E"/>
    <w:rsid w:val="003F5E4C"/>
    <w:rsid w:val="003F7878"/>
    <w:rsid w:val="00400480"/>
    <w:rsid w:val="00400829"/>
    <w:rsid w:val="00400DBD"/>
    <w:rsid w:val="004012A7"/>
    <w:rsid w:val="00402D0E"/>
    <w:rsid w:val="00402E6F"/>
    <w:rsid w:val="00402FA4"/>
    <w:rsid w:val="004031B4"/>
    <w:rsid w:val="00403843"/>
    <w:rsid w:val="00405FBF"/>
    <w:rsid w:val="00407A38"/>
    <w:rsid w:val="0041233A"/>
    <w:rsid w:val="00414E0F"/>
    <w:rsid w:val="0041569C"/>
    <w:rsid w:val="00416184"/>
    <w:rsid w:val="0041748C"/>
    <w:rsid w:val="004174A1"/>
    <w:rsid w:val="00417684"/>
    <w:rsid w:val="004209B9"/>
    <w:rsid w:val="00421AB4"/>
    <w:rsid w:val="00422844"/>
    <w:rsid w:val="00422D47"/>
    <w:rsid w:val="0043074C"/>
    <w:rsid w:val="00430DA8"/>
    <w:rsid w:val="00431E9E"/>
    <w:rsid w:val="00432E70"/>
    <w:rsid w:val="00433814"/>
    <w:rsid w:val="0043712A"/>
    <w:rsid w:val="0043715A"/>
    <w:rsid w:val="00437318"/>
    <w:rsid w:val="00440680"/>
    <w:rsid w:val="00440AD8"/>
    <w:rsid w:val="00440E87"/>
    <w:rsid w:val="0044124A"/>
    <w:rsid w:val="00443E46"/>
    <w:rsid w:val="0044548C"/>
    <w:rsid w:val="00445BD3"/>
    <w:rsid w:val="00446645"/>
    <w:rsid w:val="00446E43"/>
    <w:rsid w:val="00447ACD"/>
    <w:rsid w:val="00447EA5"/>
    <w:rsid w:val="00450E8F"/>
    <w:rsid w:val="00452BA6"/>
    <w:rsid w:val="004531AD"/>
    <w:rsid w:val="004563AE"/>
    <w:rsid w:val="00457557"/>
    <w:rsid w:val="004605B4"/>
    <w:rsid w:val="00460A64"/>
    <w:rsid w:val="00461940"/>
    <w:rsid w:val="00462A51"/>
    <w:rsid w:val="004645FD"/>
    <w:rsid w:val="00464FF8"/>
    <w:rsid w:val="00465238"/>
    <w:rsid w:val="0046555F"/>
    <w:rsid w:val="00465D70"/>
    <w:rsid w:val="00470327"/>
    <w:rsid w:val="004708B8"/>
    <w:rsid w:val="004756B1"/>
    <w:rsid w:val="00477AD5"/>
    <w:rsid w:val="004800B6"/>
    <w:rsid w:val="0048277C"/>
    <w:rsid w:val="00483B57"/>
    <w:rsid w:val="0048474B"/>
    <w:rsid w:val="004847F3"/>
    <w:rsid w:val="0049080E"/>
    <w:rsid w:val="00490C27"/>
    <w:rsid w:val="00493B42"/>
    <w:rsid w:val="00493CE7"/>
    <w:rsid w:val="0049713A"/>
    <w:rsid w:val="00497AEB"/>
    <w:rsid w:val="004A07E6"/>
    <w:rsid w:val="004A2B1B"/>
    <w:rsid w:val="004A2F95"/>
    <w:rsid w:val="004A32AB"/>
    <w:rsid w:val="004A46FA"/>
    <w:rsid w:val="004A7F3C"/>
    <w:rsid w:val="004B0673"/>
    <w:rsid w:val="004B098D"/>
    <w:rsid w:val="004B41F8"/>
    <w:rsid w:val="004B42A2"/>
    <w:rsid w:val="004C1785"/>
    <w:rsid w:val="004C1C54"/>
    <w:rsid w:val="004C3585"/>
    <w:rsid w:val="004C7861"/>
    <w:rsid w:val="004D0CE2"/>
    <w:rsid w:val="004D704C"/>
    <w:rsid w:val="004D75A6"/>
    <w:rsid w:val="004E4125"/>
    <w:rsid w:val="004E4C5E"/>
    <w:rsid w:val="004E527F"/>
    <w:rsid w:val="004E60AB"/>
    <w:rsid w:val="004E72B1"/>
    <w:rsid w:val="004E7E92"/>
    <w:rsid w:val="004E7E9E"/>
    <w:rsid w:val="004F215F"/>
    <w:rsid w:val="004F349E"/>
    <w:rsid w:val="00500266"/>
    <w:rsid w:val="00500582"/>
    <w:rsid w:val="00502987"/>
    <w:rsid w:val="00502A8B"/>
    <w:rsid w:val="005065C4"/>
    <w:rsid w:val="00506A00"/>
    <w:rsid w:val="00506F62"/>
    <w:rsid w:val="00507577"/>
    <w:rsid w:val="00507D8A"/>
    <w:rsid w:val="00510D52"/>
    <w:rsid w:val="0051311B"/>
    <w:rsid w:val="0051395E"/>
    <w:rsid w:val="00516730"/>
    <w:rsid w:val="005216C0"/>
    <w:rsid w:val="00521A01"/>
    <w:rsid w:val="00521E5B"/>
    <w:rsid w:val="005234A2"/>
    <w:rsid w:val="0052367C"/>
    <w:rsid w:val="00530889"/>
    <w:rsid w:val="005315D8"/>
    <w:rsid w:val="0053215B"/>
    <w:rsid w:val="00532F88"/>
    <w:rsid w:val="00534853"/>
    <w:rsid w:val="005354C4"/>
    <w:rsid w:val="005415F3"/>
    <w:rsid w:val="005434C6"/>
    <w:rsid w:val="00543EF1"/>
    <w:rsid w:val="00544EA7"/>
    <w:rsid w:val="00545413"/>
    <w:rsid w:val="0054564F"/>
    <w:rsid w:val="00545EF1"/>
    <w:rsid w:val="00546F06"/>
    <w:rsid w:val="00550DF0"/>
    <w:rsid w:val="00552ADB"/>
    <w:rsid w:val="00553EB8"/>
    <w:rsid w:val="00555CEC"/>
    <w:rsid w:val="00557D22"/>
    <w:rsid w:val="00560837"/>
    <w:rsid w:val="005619B0"/>
    <w:rsid w:val="00563840"/>
    <w:rsid w:val="0056695A"/>
    <w:rsid w:val="00570F00"/>
    <w:rsid w:val="005713D8"/>
    <w:rsid w:val="00573638"/>
    <w:rsid w:val="00573BD6"/>
    <w:rsid w:val="00576B50"/>
    <w:rsid w:val="00580E09"/>
    <w:rsid w:val="00582557"/>
    <w:rsid w:val="00584576"/>
    <w:rsid w:val="005857E3"/>
    <w:rsid w:val="0058727B"/>
    <w:rsid w:val="00587594"/>
    <w:rsid w:val="00591B69"/>
    <w:rsid w:val="005940F8"/>
    <w:rsid w:val="00594720"/>
    <w:rsid w:val="00594AB1"/>
    <w:rsid w:val="00596801"/>
    <w:rsid w:val="00597351"/>
    <w:rsid w:val="005A1E4E"/>
    <w:rsid w:val="005A517F"/>
    <w:rsid w:val="005A630C"/>
    <w:rsid w:val="005B069C"/>
    <w:rsid w:val="005B0800"/>
    <w:rsid w:val="005B11A1"/>
    <w:rsid w:val="005B1D7D"/>
    <w:rsid w:val="005B2047"/>
    <w:rsid w:val="005B4EC2"/>
    <w:rsid w:val="005B7676"/>
    <w:rsid w:val="005C04B6"/>
    <w:rsid w:val="005C399C"/>
    <w:rsid w:val="005C4946"/>
    <w:rsid w:val="005C524A"/>
    <w:rsid w:val="005C6502"/>
    <w:rsid w:val="005C703B"/>
    <w:rsid w:val="005C789D"/>
    <w:rsid w:val="005D6D2C"/>
    <w:rsid w:val="005D7B5A"/>
    <w:rsid w:val="005E035B"/>
    <w:rsid w:val="005E0688"/>
    <w:rsid w:val="005E2421"/>
    <w:rsid w:val="005E3EF9"/>
    <w:rsid w:val="005E595E"/>
    <w:rsid w:val="005E5D9B"/>
    <w:rsid w:val="005F24A2"/>
    <w:rsid w:val="005F2646"/>
    <w:rsid w:val="005F3CDD"/>
    <w:rsid w:val="005F3DF6"/>
    <w:rsid w:val="005F4F32"/>
    <w:rsid w:val="005F6615"/>
    <w:rsid w:val="005F6B81"/>
    <w:rsid w:val="00601562"/>
    <w:rsid w:val="006016A3"/>
    <w:rsid w:val="00601B4C"/>
    <w:rsid w:val="006021D4"/>
    <w:rsid w:val="0060426E"/>
    <w:rsid w:val="00604A26"/>
    <w:rsid w:val="0060530F"/>
    <w:rsid w:val="00605862"/>
    <w:rsid w:val="00607D75"/>
    <w:rsid w:val="00607DE5"/>
    <w:rsid w:val="006104FB"/>
    <w:rsid w:val="00610CCB"/>
    <w:rsid w:val="00611212"/>
    <w:rsid w:val="00612DFA"/>
    <w:rsid w:val="00613893"/>
    <w:rsid w:val="00613F98"/>
    <w:rsid w:val="00614267"/>
    <w:rsid w:val="00615732"/>
    <w:rsid w:val="00615B7B"/>
    <w:rsid w:val="00615E02"/>
    <w:rsid w:val="00616266"/>
    <w:rsid w:val="0061779D"/>
    <w:rsid w:val="006223C9"/>
    <w:rsid w:val="0062340A"/>
    <w:rsid w:val="00623F36"/>
    <w:rsid w:val="006253A5"/>
    <w:rsid w:val="00630B70"/>
    <w:rsid w:val="0063408B"/>
    <w:rsid w:val="0063458A"/>
    <w:rsid w:val="00636C25"/>
    <w:rsid w:val="00637822"/>
    <w:rsid w:val="006403A0"/>
    <w:rsid w:val="00640C79"/>
    <w:rsid w:val="00641AD2"/>
    <w:rsid w:val="00642E38"/>
    <w:rsid w:val="00643C79"/>
    <w:rsid w:val="00650492"/>
    <w:rsid w:val="006506DA"/>
    <w:rsid w:val="00652DFF"/>
    <w:rsid w:val="006540A9"/>
    <w:rsid w:val="006548CA"/>
    <w:rsid w:val="00654E5C"/>
    <w:rsid w:val="006555D3"/>
    <w:rsid w:val="00656ED8"/>
    <w:rsid w:val="00657272"/>
    <w:rsid w:val="0065774A"/>
    <w:rsid w:val="00661DD5"/>
    <w:rsid w:val="00667CFC"/>
    <w:rsid w:val="006701D4"/>
    <w:rsid w:val="006714E9"/>
    <w:rsid w:val="00671EEB"/>
    <w:rsid w:val="006734AE"/>
    <w:rsid w:val="0067351B"/>
    <w:rsid w:val="00673FDB"/>
    <w:rsid w:val="00674300"/>
    <w:rsid w:val="00674596"/>
    <w:rsid w:val="0067510C"/>
    <w:rsid w:val="00676E90"/>
    <w:rsid w:val="00677950"/>
    <w:rsid w:val="006807C0"/>
    <w:rsid w:val="006819B9"/>
    <w:rsid w:val="00681D07"/>
    <w:rsid w:val="00681D9D"/>
    <w:rsid w:val="00684B4D"/>
    <w:rsid w:val="00686411"/>
    <w:rsid w:val="006870F3"/>
    <w:rsid w:val="006871CD"/>
    <w:rsid w:val="00690DF6"/>
    <w:rsid w:val="00692980"/>
    <w:rsid w:val="00692BFF"/>
    <w:rsid w:val="00692D3B"/>
    <w:rsid w:val="00694714"/>
    <w:rsid w:val="00696EA8"/>
    <w:rsid w:val="006A0709"/>
    <w:rsid w:val="006A0918"/>
    <w:rsid w:val="006A56E5"/>
    <w:rsid w:val="006A6126"/>
    <w:rsid w:val="006A7BE5"/>
    <w:rsid w:val="006B0536"/>
    <w:rsid w:val="006B0588"/>
    <w:rsid w:val="006B1D6E"/>
    <w:rsid w:val="006B2AF0"/>
    <w:rsid w:val="006B5240"/>
    <w:rsid w:val="006B524C"/>
    <w:rsid w:val="006B59AD"/>
    <w:rsid w:val="006B5D64"/>
    <w:rsid w:val="006B6DF4"/>
    <w:rsid w:val="006B7C41"/>
    <w:rsid w:val="006B7C73"/>
    <w:rsid w:val="006C075C"/>
    <w:rsid w:val="006C3724"/>
    <w:rsid w:val="006C3B65"/>
    <w:rsid w:val="006C79DC"/>
    <w:rsid w:val="006D1FD4"/>
    <w:rsid w:val="006E12CA"/>
    <w:rsid w:val="006E15F0"/>
    <w:rsid w:val="006E177C"/>
    <w:rsid w:val="006E27E7"/>
    <w:rsid w:val="006E5ADC"/>
    <w:rsid w:val="006F201E"/>
    <w:rsid w:val="006F2177"/>
    <w:rsid w:val="006F21F2"/>
    <w:rsid w:val="006F2D92"/>
    <w:rsid w:val="006F5D48"/>
    <w:rsid w:val="006F6D2F"/>
    <w:rsid w:val="007006EA"/>
    <w:rsid w:val="00700DA8"/>
    <w:rsid w:val="00701AFC"/>
    <w:rsid w:val="00705DCC"/>
    <w:rsid w:val="00706A02"/>
    <w:rsid w:val="0070729A"/>
    <w:rsid w:val="00707DD9"/>
    <w:rsid w:val="0071073D"/>
    <w:rsid w:val="00711028"/>
    <w:rsid w:val="00711261"/>
    <w:rsid w:val="00711BDD"/>
    <w:rsid w:val="00712BE1"/>
    <w:rsid w:val="00716307"/>
    <w:rsid w:val="00722976"/>
    <w:rsid w:val="00724236"/>
    <w:rsid w:val="00730266"/>
    <w:rsid w:val="007306BB"/>
    <w:rsid w:val="00731CFE"/>
    <w:rsid w:val="00732A7E"/>
    <w:rsid w:val="00736946"/>
    <w:rsid w:val="00740044"/>
    <w:rsid w:val="00740F24"/>
    <w:rsid w:val="00742D19"/>
    <w:rsid w:val="00745C3B"/>
    <w:rsid w:val="007477EA"/>
    <w:rsid w:val="00753611"/>
    <w:rsid w:val="00754F67"/>
    <w:rsid w:val="007554C4"/>
    <w:rsid w:val="00755A0F"/>
    <w:rsid w:val="00756AFC"/>
    <w:rsid w:val="00760941"/>
    <w:rsid w:val="00763F37"/>
    <w:rsid w:val="00764AE0"/>
    <w:rsid w:val="0076656C"/>
    <w:rsid w:val="0077088E"/>
    <w:rsid w:val="00770CDF"/>
    <w:rsid w:val="00770D18"/>
    <w:rsid w:val="007715B2"/>
    <w:rsid w:val="00771D0B"/>
    <w:rsid w:val="007757D7"/>
    <w:rsid w:val="00777CEF"/>
    <w:rsid w:val="00782A4E"/>
    <w:rsid w:val="00782E8C"/>
    <w:rsid w:val="00786274"/>
    <w:rsid w:val="0078643F"/>
    <w:rsid w:val="00786A73"/>
    <w:rsid w:val="00787180"/>
    <w:rsid w:val="00790578"/>
    <w:rsid w:val="007911EF"/>
    <w:rsid w:val="007914E9"/>
    <w:rsid w:val="0079169F"/>
    <w:rsid w:val="007939DF"/>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A7B"/>
    <w:rsid w:val="007C4620"/>
    <w:rsid w:val="007C5A53"/>
    <w:rsid w:val="007C5BD8"/>
    <w:rsid w:val="007C5F0D"/>
    <w:rsid w:val="007C728B"/>
    <w:rsid w:val="007C77CA"/>
    <w:rsid w:val="007C7C8B"/>
    <w:rsid w:val="007D199C"/>
    <w:rsid w:val="007D1C2D"/>
    <w:rsid w:val="007D2D81"/>
    <w:rsid w:val="007D3E6F"/>
    <w:rsid w:val="007D5409"/>
    <w:rsid w:val="007D54E3"/>
    <w:rsid w:val="007D67C6"/>
    <w:rsid w:val="007E0990"/>
    <w:rsid w:val="007E1AF0"/>
    <w:rsid w:val="007E1E0C"/>
    <w:rsid w:val="007E55C9"/>
    <w:rsid w:val="007E6DA2"/>
    <w:rsid w:val="007F0A7B"/>
    <w:rsid w:val="007F0C03"/>
    <w:rsid w:val="007F29A9"/>
    <w:rsid w:val="007F5030"/>
    <w:rsid w:val="00801104"/>
    <w:rsid w:val="00802AD3"/>
    <w:rsid w:val="008048C4"/>
    <w:rsid w:val="00805372"/>
    <w:rsid w:val="0080668C"/>
    <w:rsid w:val="008073A7"/>
    <w:rsid w:val="00811203"/>
    <w:rsid w:val="00813552"/>
    <w:rsid w:val="00813FD3"/>
    <w:rsid w:val="00815301"/>
    <w:rsid w:val="00816D32"/>
    <w:rsid w:val="00822467"/>
    <w:rsid w:val="00824AD4"/>
    <w:rsid w:val="00825187"/>
    <w:rsid w:val="00830FFC"/>
    <w:rsid w:val="008311D9"/>
    <w:rsid w:val="00832B96"/>
    <w:rsid w:val="008331EA"/>
    <w:rsid w:val="008338A3"/>
    <w:rsid w:val="00834036"/>
    <w:rsid w:val="00835159"/>
    <w:rsid w:val="00835F1E"/>
    <w:rsid w:val="00837772"/>
    <w:rsid w:val="008377C6"/>
    <w:rsid w:val="008378FC"/>
    <w:rsid w:val="00837ABE"/>
    <w:rsid w:val="008416C0"/>
    <w:rsid w:val="00841913"/>
    <w:rsid w:val="00841914"/>
    <w:rsid w:val="00842743"/>
    <w:rsid w:val="0084482D"/>
    <w:rsid w:val="00844B37"/>
    <w:rsid w:val="0084609E"/>
    <w:rsid w:val="00846692"/>
    <w:rsid w:val="00846A6C"/>
    <w:rsid w:val="00847E9B"/>
    <w:rsid w:val="00852E76"/>
    <w:rsid w:val="00853A40"/>
    <w:rsid w:val="00857BEA"/>
    <w:rsid w:val="00860EB8"/>
    <w:rsid w:val="00861088"/>
    <w:rsid w:val="008624E8"/>
    <w:rsid w:val="00871EE7"/>
    <w:rsid w:val="00872148"/>
    <w:rsid w:val="008758A7"/>
    <w:rsid w:val="00881192"/>
    <w:rsid w:val="008836E3"/>
    <w:rsid w:val="0088416E"/>
    <w:rsid w:val="00886CF1"/>
    <w:rsid w:val="00887835"/>
    <w:rsid w:val="008879A5"/>
    <w:rsid w:val="00890156"/>
    <w:rsid w:val="0089180E"/>
    <w:rsid w:val="0089291A"/>
    <w:rsid w:val="0089390D"/>
    <w:rsid w:val="00896D17"/>
    <w:rsid w:val="008A0539"/>
    <w:rsid w:val="008A09EC"/>
    <w:rsid w:val="008A1084"/>
    <w:rsid w:val="008A2939"/>
    <w:rsid w:val="008A38C1"/>
    <w:rsid w:val="008A4BD9"/>
    <w:rsid w:val="008A6825"/>
    <w:rsid w:val="008A687D"/>
    <w:rsid w:val="008B00D9"/>
    <w:rsid w:val="008B0F17"/>
    <w:rsid w:val="008B1DA4"/>
    <w:rsid w:val="008B23C8"/>
    <w:rsid w:val="008C26EC"/>
    <w:rsid w:val="008C39BE"/>
    <w:rsid w:val="008C42C2"/>
    <w:rsid w:val="008C562B"/>
    <w:rsid w:val="008C70A7"/>
    <w:rsid w:val="008C7A83"/>
    <w:rsid w:val="008D53F9"/>
    <w:rsid w:val="008D6563"/>
    <w:rsid w:val="008D6E7E"/>
    <w:rsid w:val="008D7C79"/>
    <w:rsid w:val="008D7EF1"/>
    <w:rsid w:val="008E25B5"/>
    <w:rsid w:val="008E49A1"/>
    <w:rsid w:val="008E51CC"/>
    <w:rsid w:val="008E5D41"/>
    <w:rsid w:val="008E5D5D"/>
    <w:rsid w:val="008E70F1"/>
    <w:rsid w:val="008F2B6D"/>
    <w:rsid w:val="008F3516"/>
    <w:rsid w:val="008F4905"/>
    <w:rsid w:val="008F5396"/>
    <w:rsid w:val="008F6941"/>
    <w:rsid w:val="008F6BE2"/>
    <w:rsid w:val="008F6E77"/>
    <w:rsid w:val="008F7002"/>
    <w:rsid w:val="0090192D"/>
    <w:rsid w:val="00901DF3"/>
    <w:rsid w:val="00901E33"/>
    <w:rsid w:val="00905D7F"/>
    <w:rsid w:val="00905F2B"/>
    <w:rsid w:val="00910FAB"/>
    <w:rsid w:val="00912539"/>
    <w:rsid w:val="00912750"/>
    <w:rsid w:val="00921247"/>
    <w:rsid w:val="00923888"/>
    <w:rsid w:val="00924ADD"/>
    <w:rsid w:val="00925D76"/>
    <w:rsid w:val="009276C4"/>
    <w:rsid w:val="00927F6E"/>
    <w:rsid w:val="009314A8"/>
    <w:rsid w:val="009317F6"/>
    <w:rsid w:val="00932C6A"/>
    <w:rsid w:val="00933381"/>
    <w:rsid w:val="0094136F"/>
    <w:rsid w:val="00943109"/>
    <w:rsid w:val="00943F67"/>
    <w:rsid w:val="00944C3B"/>
    <w:rsid w:val="009464B3"/>
    <w:rsid w:val="009475C7"/>
    <w:rsid w:val="00951AAB"/>
    <w:rsid w:val="0095391C"/>
    <w:rsid w:val="00955792"/>
    <w:rsid w:val="009565DD"/>
    <w:rsid w:val="00956860"/>
    <w:rsid w:val="009573DA"/>
    <w:rsid w:val="00957C0C"/>
    <w:rsid w:val="0096003D"/>
    <w:rsid w:val="0096086E"/>
    <w:rsid w:val="009612DF"/>
    <w:rsid w:val="0096236F"/>
    <w:rsid w:val="009678CE"/>
    <w:rsid w:val="00970182"/>
    <w:rsid w:val="00971DCB"/>
    <w:rsid w:val="00975726"/>
    <w:rsid w:val="00980548"/>
    <w:rsid w:val="00980DB4"/>
    <w:rsid w:val="0098183D"/>
    <w:rsid w:val="009843EB"/>
    <w:rsid w:val="00984567"/>
    <w:rsid w:val="00985E53"/>
    <w:rsid w:val="009874A8"/>
    <w:rsid w:val="00992DC0"/>
    <w:rsid w:val="009935D0"/>
    <w:rsid w:val="00994139"/>
    <w:rsid w:val="00995441"/>
    <w:rsid w:val="00996465"/>
    <w:rsid w:val="00997323"/>
    <w:rsid w:val="0099734A"/>
    <w:rsid w:val="009A015F"/>
    <w:rsid w:val="009A1E3A"/>
    <w:rsid w:val="009A3FA6"/>
    <w:rsid w:val="009A6A11"/>
    <w:rsid w:val="009A6A60"/>
    <w:rsid w:val="009A6E15"/>
    <w:rsid w:val="009B1580"/>
    <w:rsid w:val="009B2576"/>
    <w:rsid w:val="009B32B9"/>
    <w:rsid w:val="009B45B9"/>
    <w:rsid w:val="009B5971"/>
    <w:rsid w:val="009B6CE0"/>
    <w:rsid w:val="009B77B8"/>
    <w:rsid w:val="009C1923"/>
    <w:rsid w:val="009C453A"/>
    <w:rsid w:val="009C6B6E"/>
    <w:rsid w:val="009D0302"/>
    <w:rsid w:val="009D0E20"/>
    <w:rsid w:val="009D2F2F"/>
    <w:rsid w:val="009D3B16"/>
    <w:rsid w:val="009D4091"/>
    <w:rsid w:val="009D431B"/>
    <w:rsid w:val="009E117C"/>
    <w:rsid w:val="009E1274"/>
    <w:rsid w:val="009E1830"/>
    <w:rsid w:val="009E26DC"/>
    <w:rsid w:val="009E2C2A"/>
    <w:rsid w:val="009E6DCA"/>
    <w:rsid w:val="009E6FCA"/>
    <w:rsid w:val="009E701E"/>
    <w:rsid w:val="009E70E9"/>
    <w:rsid w:val="009E71E4"/>
    <w:rsid w:val="009F243F"/>
    <w:rsid w:val="009F2BAF"/>
    <w:rsid w:val="009F2E18"/>
    <w:rsid w:val="009F4360"/>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3B41"/>
    <w:rsid w:val="00A35587"/>
    <w:rsid w:val="00A36001"/>
    <w:rsid w:val="00A36BDC"/>
    <w:rsid w:val="00A37B96"/>
    <w:rsid w:val="00A37E00"/>
    <w:rsid w:val="00A42B27"/>
    <w:rsid w:val="00A45757"/>
    <w:rsid w:val="00A46FE3"/>
    <w:rsid w:val="00A50475"/>
    <w:rsid w:val="00A5519D"/>
    <w:rsid w:val="00A55DA4"/>
    <w:rsid w:val="00A56B40"/>
    <w:rsid w:val="00A60DFB"/>
    <w:rsid w:val="00A6170C"/>
    <w:rsid w:val="00A62916"/>
    <w:rsid w:val="00A63F63"/>
    <w:rsid w:val="00A642F9"/>
    <w:rsid w:val="00A65DE3"/>
    <w:rsid w:val="00A6633C"/>
    <w:rsid w:val="00A6735E"/>
    <w:rsid w:val="00A7076B"/>
    <w:rsid w:val="00A70BF0"/>
    <w:rsid w:val="00A72D36"/>
    <w:rsid w:val="00A739D1"/>
    <w:rsid w:val="00A74039"/>
    <w:rsid w:val="00A7454B"/>
    <w:rsid w:val="00A74F88"/>
    <w:rsid w:val="00A802C6"/>
    <w:rsid w:val="00A805F7"/>
    <w:rsid w:val="00A807A0"/>
    <w:rsid w:val="00A80CA0"/>
    <w:rsid w:val="00A83E4E"/>
    <w:rsid w:val="00A8404C"/>
    <w:rsid w:val="00A8528B"/>
    <w:rsid w:val="00A86418"/>
    <w:rsid w:val="00A87F87"/>
    <w:rsid w:val="00A927F3"/>
    <w:rsid w:val="00A96FEE"/>
    <w:rsid w:val="00AA038E"/>
    <w:rsid w:val="00AA195D"/>
    <w:rsid w:val="00AA196E"/>
    <w:rsid w:val="00AA35B2"/>
    <w:rsid w:val="00AA35DB"/>
    <w:rsid w:val="00AA5BE0"/>
    <w:rsid w:val="00AB0CBB"/>
    <w:rsid w:val="00AB1AE6"/>
    <w:rsid w:val="00AB2083"/>
    <w:rsid w:val="00AB4FFE"/>
    <w:rsid w:val="00AB65CC"/>
    <w:rsid w:val="00AB7799"/>
    <w:rsid w:val="00AC071C"/>
    <w:rsid w:val="00AC1B67"/>
    <w:rsid w:val="00AC2044"/>
    <w:rsid w:val="00AC2344"/>
    <w:rsid w:val="00AC39C9"/>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351E"/>
    <w:rsid w:val="00AF3B1A"/>
    <w:rsid w:val="00AF760E"/>
    <w:rsid w:val="00B006C6"/>
    <w:rsid w:val="00B01B83"/>
    <w:rsid w:val="00B02A8C"/>
    <w:rsid w:val="00B038D6"/>
    <w:rsid w:val="00B04085"/>
    <w:rsid w:val="00B06879"/>
    <w:rsid w:val="00B10229"/>
    <w:rsid w:val="00B10462"/>
    <w:rsid w:val="00B14E3D"/>
    <w:rsid w:val="00B155DC"/>
    <w:rsid w:val="00B16E3B"/>
    <w:rsid w:val="00B16E7E"/>
    <w:rsid w:val="00B25B25"/>
    <w:rsid w:val="00B26468"/>
    <w:rsid w:val="00B2743D"/>
    <w:rsid w:val="00B27E06"/>
    <w:rsid w:val="00B30772"/>
    <w:rsid w:val="00B356DF"/>
    <w:rsid w:val="00B36253"/>
    <w:rsid w:val="00B36B37"/>
    <w:rsid w:val="00B413EA"/>
    <w:rsid w:val="00B42170"/>
    <w:rsid w:val="00B443FB"/>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C99"/>
    <w:rsid w:val="00B70493"/>
    <w:rsid w:val="00B739FE"/>
    <w:rsid w:val="00B751E5"/>
    <w:rsid w:val="00B758FA"/>
    <w:rsid w:val="00B75EE7"/>
    <w:rsid w:val="00B75FDB"/>
    <w:rsid w:val="00B77063"/>
    <w:rsid w:val="00B77EC4"/>
    <w:rsid w:val="00B81473"/>
    <w:rsid w:val="00B82342"/>
    <w:rsid w:val="00B83209"/>
    <w:rsid w:val="00B840B2"/>
    <w:rsid w:val="00B85233"/>
    <w:rsid w:val="00B85C20"/>
    <w:rsid w:val="00B8686B"/>
    <w:rsid w:val="00B94233"/>
    <w:rsid w:val="00B945D8"/>
    <w:rsid w:val="00B950A2"/>
    <w:rsid w:val="00B955B0"/>
    <w:rsid w:val="00B96A08"/>
    <w:rsid w:val="00B9736D"/>
    <w:rsid w:val="00BA0D86"/>
    <w:rsid w:val="00BA1B8E"/>
    <w:rsid w:val="00BA547E"/>
    <w:rsid w:val="00BA56C8"/>
    <w:rsid w:val="00BA58B1"/>
    <w:rsid w:val="00BA632B"/>
    <w:rsid w:val="00BA66AC"/>
    <w:rsid w:val="00BB2FB0"/>
    <w:rsid w:val="00BB3D2C"/>
    <w:rsid w:val="00BB4B11"/>
    <w:rsid w:val="00BB76F9"/>
    <w:rsid w:val="00BC07B0"/>
    <w:rsid w:val="00BC1211"/>
    <w:rsid w:val="00BC1F0A"/>
    <w:rsid w:val="00BC2541"/>
    <w:rsid w:val="00BC29CF"/>
    <w:rsid w:val="00BC2E50"/>
    <w:rsid w:val="00BC44B5"/>
    <w:rsid w:val="00BC6497"/>
    <w:rsid w:val="00BC77C2"/>
    <w:rsid w:val="00BD03E9"/>
    <w:rsid w:val="00BD53F3"/>
    <w:rsid w:val="00BD6703"/>
    <w:rsid w:val="00BD67BF"/>
    <w:rsid w:val="00BE0326"/>
    <w:rsid w:val="00BE23F0"/>
    <w:rsid w:val="00BE38A5"/>
    <w:rsid w:val="00BE4896"/>
    <w:rsid w:val="00BE6AD6"/>
    <w:rsid w:val="00BE7F3F"/>
    <w:rsid w:val="00BF04B2"/>
    <w:rsid w:val="00BF2382"/>
    <w:rsid w:val="00BF2FA5"/>
    <w:rsid w:val="00BF434F"/>
    <w:rsid w:val="00BF7A2B"/>
    <w:rsid w:val="00C01316"/>
    <w:rsid w:val="00C01691"/>
    <w:rsid w:val="00C035B0"/>
    <w:rsid w:val="00C0400C"/>
    <w:rsid w:val="00C05838"/>
    <w:rsid w:val="00C0657A"/>
    <w:rsid w:val="00C0681A"/>
    <w:rsid w:val="00C06CCC"/>
    <w:rsid w:val="00C1281F"/>
    <w:rsid w:val="00C13B68"/>
    <w:rsid w:val="00C153FD"/>
    <w:rsid w:val="00C15DF8"/>
    <w:rsid w:val="00C24754"/>
    <w:rsid w:val="00C248AE"/>
    <w:rsid w:val="00C26C72"/>
    <w:rsid w:val="00C3048B"/>
    <w:rsid w:val="00C32059"/>
    <w:rsid w:val="00C41C9B"/>
    <w:rsid w:val="00C42174"/>
    <w:rsid w:val="00C42D38"/>
    <w:rsid w:val="00C45BC3"/>
    <w:rsid w:val="00C47D7B"/>
    <w:rsid w:val="00C5035E"/>
    <w:rsid w:val="00C52B23"/>
    <w:rsid w:val="00C53837"/>
    <w:rsid w:val="00C575BC"/>
    <w:rsid w:val="00C576F7"/>
    <w:rsid w:val="00C66863"/>
    <w:rsid w:val="00C6758E"/>
    <w:rsid w:val="00C711B6"/>
    <w:rsid w:val="00C7352B"/>
    <w:rsid w:val="00C743C7"/>
    <w:rsid w:val="00C758D7"/>
    <w:rsid w:val="00C77A52"/>
    <w:rsid w:val="00C81B27"/>
    <w:rsid w:val="00C81E3A"/>
    <w:rsid w:val="00C825F4"/>
    <w:rsid w:val="00C82D9B"/>
    <w:rsid w:val="00C83872"/>
    <w:rsid w:val="00C83BF7"/>
    <w:rsid w:val="00C8630F"/>
    <w:rsid w:val="00C9246A"/>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A24"/>
    <w:rsid w:val="00CB39A5"/>
    <w:rsid w:val="00CB3C98"/>
    <w:rsid w:val="00CB579F"/>
    <w:rsid w:val="00CC0853"/>
    <w:rsid w:val="00CC166A"/>
    <w:rsid w:val="00CC1E84"/>
    <w:rsid w:val="00CC2D15"/>
    <w:rsid w:val="00CC4DDE"/>
    <w:rsid w:val="00CC7E8D"/>
    <w:rsid w:val="00CD0CEC"/>
    <w:rsid w:val="00CD3EA4"/>
    <w:rsid w:val="00CD5C6E"/>
    <w:rsid w:val="00CD72D2"/>
    <w:rsid w:val="00CE049A"/>
    <w:rsid w:val="00CE24D7"/>
    <w:rsid w:val="00CE3AED"/>
    <w:rsid w:val="00CE7473"/>
    <w:rsid w:val="00CF0522"/>
    <w:rsid w:val="00CF162C"/>
    <w:rsid w:val="00CF52DB"/>
    <w:rsid w:val="00CF5FDD"/>
    <w:rsid w:val="00CF62E8"/>
    <w:rsid w:val="00CF7CE9"/>
    <w:rsid w:val="00D02B34"/>
    <w:rsid w:val="00D03E82"/>
    <w:rsid w:val="00D07674"/>
    <w:rsid w:val="00D10199"/>
    <w:rsid w:val="00D11021"/>
    <w:rsid w:val="00D110FF"/>
    <w:rsid w:val="00D124CA"/>
    <w:rsid w:val="00D14450"/>
    <w:rsid w:val="00D14BA5"/>
    <w:rsid w:val="00D1581E"/>
    <w:rsid w:val="00D15D58"/>
    <w:rsid w:val="00D17530"/>
    <w:rsid w:val="00D20057"/>
    <w:rsid w:val="00D208DB"/>
    <w:rsid w:val="00D21366"/>
    <w:rsid w:val="00D22B00"/>
    <w:rsid w:val="00D232CC"/>
    <w:rsid w:val="00D262A5"/>
    <w:rsid w:val="00D274ED"/>
    <w:rsid w:val="00D300E4"/>
    <w:rsid w:val="00D3174D"/>
    <w:rsid w:val="00D31D63"/>
    <w:rsid w:val="00D33AF0"/>
    <w:rsid w:val="00D351BB"/>
    <w:rsid w:val="00D3623E"/>
    <w:rsid w:val="00D37A6B"/>
    <w:rsid w:val="00D37D3E"/>
    <w:rsid w:val="00D40782"/>
    <w:rsid w:val="00D41456"/>
    <w:rsid w:val="00D41946"/>
    <w:rsid w:val="00D43209"/>
    <w:rsid w:val="00D44D43"/>
    <w:rsid w:val="00D451C8"/>
    <w:rsid w:val="00D45669"/>
    <w:rsid w:val="00D47C70"/>
    <w:rsid w:val="00D51D75"/>
    <w:rsid w:val="00D54587"/>
    <w:rsid w:val="00D559E2"/>
    <w:rsid w:val="00D61B4D"/>
    <w:rsid w:val="00D624B5"/>
    <w:rsid w:val="00D663AE"/>
    <w:rsid w:val="00D6687A"/>
    <w:rsid w:val="00D674F1"/>
    <w:rsid w:val="00D70963"/>
    <w:rsid w:val="00D7243A"/>
    <w:rsid w:val="00D73BB1"/>
    <w:rsid w:val="00D742DF"/>
    <w:rsid w:val="00D747F8"/>
    <w:rsid w:val="00D74862"/>
    <w:rsid w:val="00D75ECD"/>
    <w:rsid w:val="00D775F1"/>
    <w:rsid w:val="00D81174"/>
    <w:rsid w:val="00D81C3C"/>
    <w:rsid w:val="00D832ED"/>
    <w:rsid w:val="00D83EC4"/>
    <w:rsid w:val="00D83F0B"/>
    <w:rsid w:val="00D84081"/>
    <w:rsid w:val="00D848B5"/>
    <w:rsid w:val="00D868DE"/>
    <w:rsid w:val="00D87697"/>
    <w:rsid w:val="00D91F87"/>
    <w:rsid w:val="00D925D4"/>
    <w:rsid w:val="00D92AB7"/>
    <w:rsid w:val="00D934AF"/>
    <w:rsid w:val="00D93554"/>
    <w:rsid w:val="00DA2A01"/>
    <w:rsid w:val="00DA338D"/>
    <w:rsid w:val="00DA49A3"/>
    <w:rsid w:val="00DA5578"/>
    <w:rsid w:val="00DB1A87"/>
    <w:rsid w:val="00DB1F86"/>
    <w:rsid w:val="00DB20C9"/>
    <w:rsid w:val="00DB2C37"/>
    <w:rsid w:val="00DB5A25"/>
    <w:rsid w:val="00DB6F26"/>
    <w:rsid w:val="00DC0194"/>
    <w:rsid w:val="00DC1CF0"/>
    <w:rsid w:val="00DC719B"/>
    <w:rsid w:val="00DC731F"/>
    <w:rsid w:val="00DD0BC2"/>
    <w:rsid w:val="00DD22B5"/>
    <w:rsid w:val="00DD2336"/>
    <w:rsid w:val="00DD33AA"/>
    <w:rsid w:val="00DD4A6F"/>
    <w:rsid w:val="00DD73FF"/>
    <w:rsid w:val="00DD7460"/>
    <w:rsid w:val="00DE3A3D"/>
    <w:rsid w:val="00DE42B9"/>
    <w:rsid w:val="00DE4D9D"/>
    <w:rsid w:val="00DE5A41"/>
    <w:rsid w:val="00DE76FC"/>
    <w:rsid w:val="00DF1E0B"/>
    <w:rsid w:val="00DF728E"/>
    <w:rsid w:val="00E00471"/>
    <w:rsid w:val="00E013ED"/>
    <w:rsid w:val="00E01935"/>
    <w:rsid w:val="00E0310E"/>
    <w:rsid w:val="00E063E0"/>
    <w:rsid w:val="00E06CB7"/>
    <w:rsid w:val="00E10682"/>
    <w:rsid w:val="00E106F7"/>
    <w:rsid w:val="00E1309F"/>
    <w:rsid w:val="00E149A0"/>
    <w:rsid w:val="00E14E17"/>
    <w:rsid w:val="00E15C61"/>
    <w:rsid w:val="00E16ABE"/>
    <w:rsid w:val="00E17A35"/>
    <w:rsid w:val="00E23A76"/>
    <w:rsid w:val="00E274EB"/>
    <w:rsid w:val="00E27C3A"/>
    <w:rsid w:val="00E41CE8"/>
    <w:rsid w:val="00E4434F"/>
    <w:rsid w:val="00E44456"/>
    <w:rsid w:val="00E449E8"/>
    <w:rsid w:val="00E47AD1"/>
    <w:rsid w:val="00E50589"/>
    <w:rsid w:val="00E522DB"/>
    <w:rsid w:val="00E53FDD"/>
    <w:rsid w:val="00E55E73"/>
    <w:rsid w:val="00E57B28"/>
    <w:rsid w:val="00E60C6E"/>
    <w:rsid w:val="00E65180"/>
    <w:rsid w:val="00E65FF4"/>
    <w:rsid w:val="00E66C60"/>
    <w:rsid w:val="00E7010B"/>
    <w:rsid w:val="00E72BA4"/>
    <w:rsid w:val="00E749F3"/>
    <w:rsid w:val="00E75784"/>
    <w:rsid w:val="00E82718"/>
    <w:rsid w:val="00E83E53"/>
    <w:rsid w:val="00E86DB4"/>
    <w:rsid w:val="00E8726C"/>
    <w:rsid w:val="00E9021C"/>
    <w:rsid w:val="00E91D15"/>
    <w:rsid w:val="00E93C0A"/>
    <w:rsid w:val="00E95B21"/>
    <w:rsid w:val="00E97EDA"/>
    <w:rsid w:val="00EA0425"/>
    <w:rsid w:val="00EA093B"/>
    <w:rsid w:val="00EA1D5A"/>
    <w:rsid w:val="00EA26D9"/>
    <w:rsid w:val="00EA3106"/>
    <w:rsid w:val="00EA49C0"/>
    <w:rsid w:val="00EA5491"/>
    <w:rsid w:val="00EA6BC8"/>
    <w:rsid w:val="00EA748E"/>
    <w:rsid w:val="00EA7B76"/>
    <w:rsid w:val="00EA7B82"/>
    <w:rsid w:val="00EB1A48"/>
    <w:rsid w:val="00EB5BB8"/>
    <w:rsid w:val="00EB759C"/>
    <w:rsid w:val="00EC07E6"/>
    <w:rsid w:val="00EC2C09"/>
    <w:rsid w:val="00EC2F97"/>
    <w:rsid w:val="00EC30C6"/>
    <w:rsid w:val="00EC6AD2"/>
    <w:rsid w:val="00EC7891"/>
    <w:rsid w:val="00EC7B32"/>
    <w:rsid w:val="00ED0D8E"/>
    <w:rsid w:val="00ED3747"/>
    <w:rsid w:val="00ED6942"/>
    <w:rsid w:val="00EE00ED"/>
    <w:rsid w:val="00EE4FCA"/>
    <w:rsid w:val="00EE7C89"/>
    <w:rsid w:val="00EF3A27"/>
    <w:rsid w:val="00EF4387"/>
    <w:rsid w:val="00EF4DDA"/>
    <w:rsid w:val="00EF4E60"/>
    <w:rsid w:val="00F00A5A"/>
    <w:rsid w:val="00F015B2"/>
    <w:rsid w:val="00F05BC6"/>
    <w:rsid w:val="00F0624D"/>
    <w:rsid w:val="00F064C9"/>
    <w:rsid w:val="00F11A30"/>
    <w:rsid w:val="00F15115"/>
    <w:rsid w:val="00F1533F"/>
    <w:rsid w:val="00F160D5"/>
    <w:rsid w:val="00F174E6"/>
    <w:rsid w:val="00F202A6"/>
    <w:rsid w:val="00F221D2"/>
    <w:rsid w:val="00F23AD9"/>
    <w:rsid w:val="00F25157"/>
    <w:rsid w:val="00F306E9"/>
    <w:rsid w:val="00F311FC"/>
    <w:rsid w:val="00F33480"/>
    <w:rsid w:val="00F34133"/>
    <w:rsid w:val="00F35065"/>
    <w:rsid w:val="00F35568"/>
    <w:rsid w:val="00F3787F"/>
    <w:rsid w:val="00F40684"/>
    <w:rsid w:val="00F4131C"/>
    <w:rsid w:val="00F47E2C"/>
    <w:rsid w:val="00F50FE6"/>
    <w:rsid w:val="00F51720"/>
    <w:rsid w:val="00F52306"/>
    <w:rsid w:val="00F548E5"/>
    <w:rsid w:val="00F5532C"/>
    <w:rsid w:val="00F553F4"/>
    <w:rsid w:val="00F56893"/>
    <w:rsid w:val="00F57988"/>
    <w:rsid w:val="00F57D38"/>
    <w:rsid w:val="00F60AED"/>
    <w:rsid w:val="00F630CE"/>
    <w:rsid w:val="00F636A9"/>
    <w:rsid w:val="00F70553"/>
    <w:rsid w:val="00F72AFC"/>
    <w:rsid w:val="00F73C99"/>
    <w:rsid w:val="00F74790"/>
    <w:rsid w:val="00F759FC"/>
    <w:rsid w:val="00F75F55"/>
    <w:rsid w:val="00F76441"/>
    <w:rsid w:val="00F8102E"/>
    <w:rsid w:val="00F854D2"/>
    <w:rsid w:val="00F860BC"/>
    <w:rsid w:val="00F878FF"/>
    <w:rsid w:val="00F909D8"/>
    <w:rsid w:val="00F9171D"/>
    <w:rsid w:val="00F920B3"/>
    <w:rsid w:val="00F92A70"/>
    <w:rsid w:val="00F95DA2"/>
    <w:rsid w:val="00F97DE4"/>
    <w:rsid w:val="00FA0FB9"/>
    <w:rsid w:val="00FA1178"/>
    <w:rsid w:val="00FA4B09"/>
    <w:rsid w:val="00FA4EF9"/>
    <w:rsid w:val="00FA50C0"/>
    <w:rsid w:val="00FA5BFD"/>
    <w:rsid w:val="00FA679A"/>
    <w:rsid w:val="00FA7C6E"/>
    <w:rsid w:val="00FB02A3"/>
    <w:rsid w:val="00FB3BF0"/>
    <w:rsid w:val="00FB42AF"/>
    <w:rsid w:val="00FB4AD8"/>
    <w:rsid w:val="00FB4C8E"/>
    <w:rsid w:val="00FB6B8C"/>
    <w:rsid w:val="00FB7B83"/>
    <w:rsid w:val="00FC04F1"/>
    <w:rsid w:val="00FC0DAC"/>
    <w:rsid w:val="00FC1BDC"/>
    <w:rsid w:val="00FC1E5F"/>
    <w:rsid w:val="00FC2ABE"/>
    <w:rsid w:val="00FC5A37"/>
    <w:rsid w:val="00FD3680"/>
    <w:rsid w:val="00FD4863"/>
    <w:rsid w:val="00FD492A"/>
    <w:rsid w:val="00FD4DDE"/>
    <w:rsid w:val="00FD558A"/>
    <w:rsid w:val="00FD5753"/>
    <w:rsid w:val="00FE2BCA"/>
    <w:rsid w:val="00FE2D40"/>
    <w:rsid w:val="00FE5D7D"/>
    <w:rsid w:val="00FE5EE4"/>
    <w:rsid w:val="00FE648C"/>
    <w:rsid w:val="00FE6FE1"/>
    <w:rsid w:val="00FE72C1"/>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2859"/>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ar"/>
    <w:basedOn w:val="Normal"/>
    <w:link w:val="FootnoteTextChar"/>
    <w:uiPriority w:val="99"/>
    <w:semiHidden/>
    <w:unhideWhenUsed/>
    <w:qFormat/>
    <w:rsid w:val="009E183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semiHidden/>
    <w:rsid w:val="009E1830"/>
    <w:rPr>
      <w:sz w:val="20"/>
      <w:szCs w:val="20"/>
      <w:lang w:val="en-GB"/>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Style 12,Heading 6 Char1"/>
    <w:basedOn w:val="DefaultParagraphFont"/>
    <w:uiPriority w:val="99"/>
    <w:semiHidden/>
    <w:unhideWhenUsed/>
    <w:qFormat/>
    <w:rsid w:val="009E1830"/>
    <w:rPr>
      <w:vertAlign w:val="superscript"/>
    </w:rPr>
  </w:style>
  <w:style w:type="character" w:styleId="Hyperlink">
    <w:name w:val="Hyperlink"/>
    <w:basedOn w:val="DefaultParagraphFont"/>
    <w:uiPriority w:val="99"/>
    <w:semiHidden/>
    <w:unhideWhenUsed/>
    <w:rsid w:val="00570F00"/>
    <w:rPr>
      <w:color w:val="0000FF"/>
      <w:u w:val="single"/>
    </w:rPr>
  </w:style>
  <w:style w:type="paragraph" w:styleId="NormalWeb">
    <w:name w:val="Normal (Web)"/>
    <w:basedOn w:val="Normal"/>
    <w:uiPriority w:val="99"/>
    <w:semiHidden/>
    <w:unhideWhenUsed/>
    <w:rsid w:val="00570F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Mokone</cp:lastModifiedBy>
  <cp:revision>3</cp:revision>
  <cp:lastPrinted>2023-05-29T08:24:00Z</cp:lastPrinted>
  <dcterms:created xsi:type="dcterms:W3CDTF">2023-06-02T06:49:00Z</dcterms:created>
  <dcterms:modified xsi:type="dcterms:W3CDTF">2023-06-02T06:50:00Z</dcterms:modified>
</cp:coreProperties>
</file>