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D20C" w14:textId="77777777" w:rsidR="00170075" w:rsidRPr="00CD6C14" w:rsidRDefault="00170075" w:rsidP="00CD6C14">
      <w:pPr>
        <w:spacing w:line="360" w:lineRule="auto"/>
        <w:jc w:val="center"/>
        <w:rPr>
          <w:rFonts w:ascii="Times New Roman" w:hAnsi="Times New Roman" w:cs="Times New Roman"/>
          <w:sz w:val="28"/>
          <w:szCs w:val="28"/>
        </w:rPr>
      </w:pPr>
      <w:r w:rsidRPr="00FC37AB">
        <w:rPr>
          <w:rFonts w:ascii="Times New Roman" w:hAnsi="Times New Roman" w:cs="Times New Roman"/>
          <w:noProof/>
          <w:sz w:val="28"/>
          <w:szCs w:val="28"/>
          <w:lang w:val="en-US"/>
        </w:rPr>
        <w:drawing>
          <wp:inline distT="0" distB="0" distL="0" distR="0" wp14:anchorId="225BD291" wp14:editId="225BD292">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225BD20D" w14:textId="77777777" w:rsidR="0053566B" w:rsidRPr="00CD6C14" w:rsidRDefault="0053566B" w:rsidP="00CD6C14">
      <w:pPr>
        <w:spacing w:line="360" w:lineRule="auto"/>
        <w:jc w:val="center"/>
        <w:rPr>
          <w:rFonts w:ascii="Times New Roman" w:hAnsi="Times New Roman" w:cs="Times New Roman"/>
          <w:sz w:val="28"/>
          <w:szCs w:val="28"/>
        </w:rPr>
      </w:pPr>
    </w:p>
    <w:p w14:paraId="225BD20E" w14:textId="77777777" w:rsidR="00170075" w:rsidRPr="00CD6C14" w:rsidRDefault="00170075" w:rsidP="00CD6C14">
      <w:pPr>
        <w:spacing w:line="360" w:lineRule="auto"/>
        <w:jc w:val="center"/>
        <w:rPr>
          <w:rFonts w:ascii="Times New Roman" w:hAnsi="Times New Roman" w:cs="Times New Roman"/>
          <w:b/>
          <w:sz w:val="28"/>
          <w:szCs w:val="28"/>
        </w:rPr>
      </w:pPr>
      <w:r w:rsidRPr="00CD6C14">
        <w:rPr>
          <w:rFonts w:ascii="Times New Roman" w:hAnsi="Times New Roman" w:cs="Times New Roman"/>
          <w:b/>
          <w:sz w:val="28"/>
          <w:szCs w:val="28"/>
        </w:rPr>
        <w:t>IN THE HIGH COURT OF SOUTH AFRICA</w:t>
      </w:r>
    </w:p>
    <w:p w14:paraId="225BD20F" w14:textId="77777777" w:rsidR="00170075" w:rsidRPr="00CD6C14" w:rsidRDefault="00170075" w:rsidP="00CD6C14">
      <w:pPr>
        <w:spacing w:line="360" w:lineRule="auto"/>
        <w:jc w:val="center"/>
        <w:rPr>
          <w:rFonts w:ascii="Times New Roman" w:hAnsi="Times New Roman" w:cs="Times New Roman"/>
          <w:b/>
          <w:sz w:val="28"/>
          <w:szCs w:val="28"/>
        </w:rPr>
      </w:pPr>
      <w:r w:rsidRPr="00CD6C14">
        <w:rPr>
          <w:rFonts w:ascii="Times New Roman" w:hAnsi="Times New Roman" w:cs="Times New Roman"/>
          <w:b/>
          <w:sz w:val="28"/>
          <w:szCs w:val="28"/>
        </w:rPr>
        <w:t>(EASTERN CAPE DIVISION, MAKHANDA)</w:t>
      </w:r>
    </w:p>
    <w:p w14:paraId="225BD210" w14:textId="77777777" w:rsidR="008C1786" w:rsidRPr="00CD6C14" w:rsidRDefault="008C1786" w:rsidP="00FC37AB">
      <w:pPr>
        <w:spacing w:line="360" w:lineRule="auto"/>
        <w:jc w:val="both"/>
        <w:rPr>
          <w:rFonts w:ascii="Times New Roman" w:hAnsi="Times New Roman" w:cs="Times New Roman"/>
          <w:b/>
          <w:sz w:val="28"/>
          <w:szCs w:val="28"/>
        </w:rPr>
      </w:pPr>
    </w:p>
    <w:p w14:paraId="225BD211" w14:textId="085572A0" w:rsidR="008C1786" w:rsidRPr="00FC37AB" w:rsidRDefault="008C1786" w:rsidP="00FC37AB">
      <w:pPr>
        <w:spacing w:line="360" w:lineRule="auto"/>
        <w:jc w:val="both"/>
        <w:rPr>
          <w:rFonts w:ascii="Times New Roman" w:hAnsi="Times New Roman" w:cs="Times New Roman"/>
          <w:bCs/>
          <w:caps/>
          <w:sz w:val="28"/>
          <w:szCs w:val="28"/>
        </w:rPr>
      </w:pP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00F606D2" w:rsidRPr="00CD6C14">
        <w:rPr>
          <w:rFonts w:ascii="Times New Roman" w:hAnsi="Times New Roman" w:cs="Times New Roman"/>
          <w:b/>
          <w:sz w:val="28"/>
          <w:szCs w:val="28"/>
        </w:rPr>
        <w:t xml:space="preserve">  </w:t>
      </w:r>
      <w:r w:rsidRPr="00CD6C14">
        <w:rPr>
          <w:rFonts w:ascii="Times New Roman" w:hAnsi="Times New Roman" w:cs="Times New Roman"/>
          <w:b/>
          <w:sz w:val="28"/>
          <w:szCs w:val="28"/>
        </w:rPr>
        <w:t xml:space="preserve">    </w:t>
      </w:r>
      <w:r w:rsidR="00F606D2" w:rsidRPr="00CD6C14">
        <w:rPr>
          <w:rFonts w:ascii="Times New Roman" w:hAnsi="Times New Roman" w:cs="Times New Roman"/>
          <w:b/>
          <w:sz w:val="28"/>
          <w:szCs w:val="28"/>
        </w:rPr>
        <w:t xml:space="preserve">    </w:t>
      </w:r>
      <w:r w:rsidRPr="00FC37AB">
        <w:rPr>
          <w:rFonts w:ascii="Times New Roman" w:hAnsi="Times New Roman" w:cs="Times New Roman"/>
          <w:bCs/>
          <w:caps/>
          <w:sz w:val="28"/>
          <w:szCs w:val="28"/>
        </w:rPr>
        <w:t>Reportable</w:t>
      </w:r>
    </w:p>
    <w:p w14:paraId="225BD212" w14:textId="0B16E551" w:rsidR="00170075" w:rsidRPr="00FC37AB" w:rsidRDefault="00170075" w:rsidP="00CD6C14">
      <w:pPr>
        <w:spacing w:line="360" w:lineRule="auto"/>
        <w:ind w:left="720" w:firstLine="720"/>
        <w:jc w:val="both"/>
        <w:rPr>
          <w:rFonts w:ascii="Times New Roman" w:hAnsi="Times New Roman" w:cs="Times New Roman"/>
          <w:bCs/>
          <w:sz w:val="28"/>
          <w:szCs w:val="28"/>
        </w:rPr>
      </w:pPr>
      <w:r w:rsidRPr="00FC37AB">
        <w:rPr>
          <w:rFonts w:ascii="Times New Roman" w:hAnsi="Times New Roman" w:cs="Times New Roman"/>
          <w:bCs/>
          <w:sz w:val="28"/>
          <w:szCs w:val="28"/>
        </w:rPr>
        <w:t xml:space="preserve"> </w:t>
      </w:r>
      <w:r w:rsidRPr="00FC37AB">
        <w:rPr>
          <w:rFonts w:ascii="Times New Roman" w:hAnsi="Times New Roman" w:cs="Times New Roman"/>
          <w:bCs/>
          <w:sz w:val="28"/>
          <w:szCs w:val="28"/>
        </w:rPr>
        <w:tab/>
      </w:r>
      <w:r w:rsidRPr="00FC37AB">
        <w:rPr>
          <w:rFonts w:ascii="Times New Roman" w:hAnsi="Times New Roman" w:cs="Times New Roman"/>
          <w:bCs/>
          <w:sz w:val="28"/>
          <w:szCs w:val="28"/>
        </w:rPr>
        <w:tab/>
      </w:r>
      <w:r w:rsidRPr="00FC37AB">
        <w:rPr>
          <w:rFonts w:ascii="Times New Roman" w:hAnsi="Times New Roman" w:cs="Times New Roman"/>
          <w:bCs/>
          <w:sz w:val="28"/>
          <w:szCs w:val="28"/>
        </w:rPr>
        <w:tab/>
      </w:r>
      <w:r w:rsidRPr="00FC37AB">
        <w:rPr>
          <w:rFonts w:ascii="Times New Roman" w:hAnsi="Times New Roman" w:cs="Times New Roman"/>
          <w:bCs/>
          <w:sz w:val="28"/>
          <w:szCs w:val="28"/>
        </w:rPr>
        <w:tab/>
      </w:r>
      <w:r w:rsidRPr="00FC37AB">
        <w:rPr>
          <w:rFonts w:ascii="Times New Roman" w:hAnsi="Times New Roman" w:cs="Times New Roman"/>
          <w:bCs/>
          <w:sz w:val="28"/>
          <w:szCs w:val="28"/>
        </w:rPr>
        <w:tab/>
        <w:t xml:space="preserve">        </w:t>
      </w:r>
      <w:r w:rsidR="005357AC" w:rsidRPr="00CD6C14">
        <w:rPr>
          <w:rFonts w:ascii="Times New Roman" w:hAnsi="Times New Roman" w:cs="Times New Roman"/>
          <w:bCs/>
          <w:sz w:val="28"/>
          <w:szCs w:val="28"/>
        </w:rPr>
        <w:t xml:space="preserve">      </w:t>
      </w:r>
      <w:r w:rsidR="00F606D2" w:rsidRPr="00CD6C14">
        <w:rPr>
          <w:rFonts w:ascii="Times New Roman" w:hAnsi="Times New Roman" w:cs="Times New Roman"/>
          <w:bCs/>
          <w:sz w:val="28"/>
          <w:szCs w:val="28"/>
        </w:rPr>
        <w:t xml:space="preserve"> </w:t>
      </w:r>
      <w:r w:rsidRPr="00FC37AB">
        <w:rPr>
          <w:rFonts w:ascii="Times New Roman" w:hAnsi="Times New Roman" w:cs="Times New Roman"/>
          <w:bCs/>
          <w:sz w:val="28"/>
          <w:szCs w:val="28"/>
        </w:rPr>
        <w:t xml:space="preserve"> C</w:t>
      </w:r>
      <w:r w:rsidR="00F606D2" w:rsidRPr="00CD6C14">
        <w:rPr>
          <w:rFonts w:ascii="Times New Roman" w:hAnsi="Times New Roman" w:cs="Times New Roman"/>
          <w:bCs/>
          <w:sz w:val="28"/>
          <w:szCs w:val="28"/>
        </w:rPr>
        <w:t>ase</w:t>
      </w:r>
      <w:r w:rsidRPr="00FC37AB">
        <w:rPr>
          <w:rFonts w:ascii="Times New Roman" w:hAnsi="Times New Roman" w:cs="Times New Roman"/>
          <w:bCs/>
          <w:sz w:val="28"/>
          <w:szCs w:val="28"/>
        </w:rPr>
        <w:t xml:space="preserve"> N</w:t>
      </w:r>
      <w:r w:rsidR="005357AC" w:rsidRPr="00CD6C14">
        <w:rPr>
          <w:rFonts w:ascii="Times New Roman" w:hAnsi="Times New Roman" w:cs="Times New Roman"/>
          <w:bCs/>
          <w:sz w:val="28"/>
          <w:szCs w:val="28"/>
        </w:rPr>
        <w:t>o:</w:t>
      </w:r>
      <w:r w:rsidRPr="00FC37AB">
        <w:rPr>
          <w:rFonts w:ascii="Times New Roman" w:hAnsi="Times New Roman" w:cs="Times New Roman"/>
          <w:bCs/>
          <w:sz w:val="28"/>
          <w:szCs w:val="28"/>
        </w:rPr>
        <w:t xml:space="preserve"> CA&amp;R 90/2022</w:t>
      </w:r>
    </w:p>
    <w:p w14:paraId="225BD213" w14:textId="77777777" w:rsidR="00170075" w:rsidRPr="00CD6C14" w:rsidRDefault="00170075" w:rsidP="00CD6C14">
      <w:pPr>
        <w:spacing w:line="360" w:lineRule="auto"/>
        <w:jc w:val="both"/>
        <w:rPr>
          <w:rFonts w:ascii="Times New Roman" w:hAnsi="Times New Roman" w:cs="Times New Roman"/>
          <w:sz w:val="28"/>
          <w:szCs w:val="28"/>
        </w:rPr>
      </w:pPr>
    </w:p>
    <w:p w14:paraId="225BD214" w14:textId="77777777" w:rsidR="00170075" w:rsidRPr="00CD6C14" w:rsidRDefault="00170075" w:rsidP="00CD6C14">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In the matter between:</w:t>
      </w:r>
    </w:p>
    <w:p w14:paraId="225BD215" w14:textId="77777777" w:rsidR="00170075" w:rsidRPr="00CD6C14" w:rsidRDefault="00170075" w:rsidP="00CD6C14">
      <w:pPr>
        <w:spacing w:line="360" w:lineRule="auto"/>
        <w:jc w:val="both"/>
        <w:rPr>
          <w:rFonts w:ascii="Times New Roman" w:hAnsi="Times New Roman" w:cs="Times New Roman"/>
          <w:sz w:val="28"/>
          <w:szCs w:val="28"/>
        </w:rPr>
      </w:pPr>
    </w:p>
    <w:p w14:paraId="225BD216" w14:textId="08681099" w:rsidR="00170075" w:rsidRPr="00CD6C14" w:rsidRDefault="00170075" w:rsidP="00CD6C14">
      <w:pPr>
        <w:spacing w:line="360" w:lineRule="auto"/>
        <w:jc w:val="both"/>
        <w:rPr>
          <w:rFonts w:ascii="Times New Roman" w:hAnsi="Times New Roman" w:cs="Times New Roman"/>
          <w:sz w:val="28"/>
          <w:szCs w:val="28"/>
        </w:rPr>
      </w:pPr>
      <w:r w:rsidRPr="00CD6C14">
        <w:rPr>
          <w:rFonts w:ascii="Times New Roman" w:hAnsi="Times New Roman" w:cs="Times New Roman"/>
          <w:b/>
          <w:sz w:val="28"/>
          <w:szCs w:val="28"/>
        </w:rPr>
        <w:t>ANNE JOHANNA MARIA SWANEPOEL</w:t>
      </w: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00157A67" w:rsidRPr="00CD6C14">
        <w:rPr>
          <w:rFonts w:ascii="Times New Roman" w:hAnsi="Times New Roman" w:cs="Times New Roman"/>
          <w:sz w:val="28"/>
          <w:szCs w:val="28"/>
        </w:rPr>
        <w:t xml:space="preserve"> </w:t>
      </w:r>
      <w:r w:rsidRPr="00FC37AB">
        <w:rPr>
          <w:rFonts w:ascii="Times New Roman" w:hAnsi="Times New Roman" w:cs="Times New Roman"/>
          <w:b/>
          <w:bCs/>
          <w:caps/>
          <w:sz w:val="28"/>
          <w:szCs w:val="28"/>
        </w:rPr>
        <w:t>Appellant</w:t>
      </w:r>
    </w:p>
    <w:p w14:paraId="225BD217" w14:textId="77777777" w:rsidR="00170075" w:rsidRPr="00CD6C14" w:rsidRDefault="00170075" w:rsidP="00CD6C14">
      <w:pPr>
        <w:spacing w:line="360" w:lineRule="auto"/>
        <w:jc w:val="both"/>
        <w:rPr>
          <w:rFonts w:ascii="Times New Roman" w:hAnsi="Times New Roman" w:cs="Times New Roman"/>
          <w:sz w:val="28"/>
          <w:szCs w:val="28"/>
        </w:rPr>
      </w:pPr>
    </w:p>
    <w:p w14:paraId="225BD218" w14:textId="77777777" w:rsidR="00170075" w:rsidRPr="00CD6C14" w:rsidRDefault="00170075" w:rsidP="00CD6C14">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and</w:t>
      </w:r>
    </w:p>
    <w:p w14:paraId="225BD219" w14:textId="77777777" w:rsidR="00170075" w:rsidRPr="00CD6C14" w:rsidRDefault="00170075" w:rsidP="00CD6C14">
      <w:pPr>
        <w:spacing w:line="360" w:lineRule="auto"/>
        <w:jc w:val="both"/>
        <w:rPr>
          <w:rFonts w:ascii="Times New Roman" w:hAnsi="Times New Roman" w:cs="Times New Roman"/>
          <w:sz w:val="28"/>
          <w:szCs w:val="28"/>
        </w:rPr>
      </w:pPr>
    </w:p>
    <w:p w14:paraId="225BD21A" w14:textId="1C5B32A3" w:rsidR="00170075" w:rsidRPr="00CD6C14" w:rsidRDefault="00170075" w:rsidP="00CD6C14">
      <w:pPr>
        <w:spacing w:line="360" w:lineRule="auto"/>
        <w:jc w:val="both"/>
        <w:rPr>
          <w:rFonts w:ascii="Times New Roman" w:hAnsi="Times New Roman" w:cs="Times New Roman"/>
          <w:sz w:val="28"/>
          <w:szCs w:val="28"/>
        </w:rPr>
      </w:pPr>
      <w:r w:rsidRPr="00CD6C14">
        <w:rPr>
          <w:rFonts w:ascii="Times New Roman" w:hAnsi="Times New Roman" w:cs="Times New Roman"/>
          <w:b/>
          <w:sz w:val="28"/>
          <w:szCs w:val="28"/>
        </w:rPr>
        <w:t>THE STATE</w:t>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b/>
          <w:sz w:val="28"/>
          <w:szCs w:val="28"/>
        </w:rPr>
        <w:tab/>
      </w:r>
      <w:r w:rsidRPr="00CD6C14">
        <w:rPr>
          <w:rFonts w:ascii="Times New Roman" w:hAnsi="Times New Roman" w:cs="Times New Roman"/>
          <w:sz w:val="28"/>
          <w:szCs w:val="28"/>
        </w:rPr>
        <w:t xml:space="preserve"> </w:t>
      </w: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t xml:space="preserve">         </w:t>
      </w:r>
      <w:r w:rsidRPr="00FC37AB">
        <w:rPr>
          <w:rFonts w:ascii="Times New Roman" w:hAnsi="Times New Roman" w:cs="Times New Roman"/>
          <w:b/>
          <w:bCs/>
          <w:caps/>
          <w:sz w:val="28"/>
          <w:szCs w:val="28"/>
        </w:rPr>
        <w:t>Respondent</w:t>
      </w:r>
    </w:p>
    <w:p w14:paraId="225BD21C" w14:textId="77777777" w:rsidR="00354A12" w:rsidRPr="00CD6C14" w:rsidRDefault="00354A12" w:rsidP="00FC37AB">
      <w:pPr>
        <w:pBdr>
          <w:bottom w:val="single" w:sz="12" w:space="1" w:color="auto"/>
        </w:pBdr>
        <w:spacing w:line="360" w:lineRule="auto"/>
        <w:jc w:val="both"/>
        <w:rPr>
          <w:rFonts w:ascii="Times New Roman" w:hAnsi="Times New Roman" w:cs="Times New Roman"/>
          <w:sz w:val="28"/>
          <w:szCs w:val="28"/>
        </w:rPr>
      </w:pPr>
    </w:p>
    <w:p w14:paraId="225BD21D" w14:textId="77777777" w:rsidR="00354A12" w:rsidRPr="00CD6C14" w:rsidRDefault="00354A12" w:rsidP="00FC37AB">
      <w:pPr>
        <w:spacing w:line="360" w:lineRule="auto"/>
        <w:jc w:val="both"/>
        <w:rPr>
          <w:rFonts w:ascii="Times New Roman" w:hAnsi="Times New Roman" w:cs="Times New Roman"/>
          <w:sz w:val="28"/>
          <w:szCs w:val="28"/>
        </w:rPr>
      </w:pPr>
    </w:p>
    <w:p w14:paraId="225BD21E" w14:textId="77777777" w:rsidR="00354A12" w:rsidRPr="00CD6C14" w:rsidRDefault="00354A12" w:rsidP="00FC37AB">
      <w:pPr>
        <w:pBdr>
          <w:bottom w:val="single" w:sz="12" w:space="1" w:color="auto"/>
        </w:pBdr>
        <w:spacing w:line="360" w:lineRule="auto"/>
        <w:jc w:val="center"/>
        <w:rPr>
          <w:rFonts w:ascii="Times New Roman" w:hAnsi="Times New Roman" w:cs="Times New Roman"/>
          <w:b/>
          <w:sz w:val="28"/>
          <w:szCs w:val="28"/>
        </w:rPr>
      </w:pPr>
      <w:r w:rsidRPr="00CD6C14">
        <w:rPr>
          <w:rFonts w:ascii="Times New Roman" w:hAnsi="Times New Roman" w:cs="Times New Roman"/>
          <w:b/>
          <w:sz w:val="28"/>
          <w:szCs w:val="28"/>
        </w:rPr>
        <w:t>JUDGMENT</w:t>
      </w:r>
      <w:r w:rsidR="00170075" w:rsidRPr="00CD6C14">
        <w:rPr>
          <w:rFonts w:ascii="Times New Roman" w:hAnsi="Times New Roman" w:cs="Times New Roman"/>
          <w:b/>
          <w:sz w:val="28"/>
          <w:szCs w:val="28"/>
        </w:rPr>
        <w:t xml:space="preserve"> ON APPEAL</w:t>
      </w:r>
    </w:p>
    <w:p w14:paraId="225BD21F" w14:textId="77777777" w:rsidR="00354A12" w:rsidRPr="00CD6C14" w:rsidRDefault="00354A12" w:rsidP="00FC37AB">
      <w:pPr>
        <w:pBdr>
          <w:bottom w:val="single" w:sz="12" w:space="1" w:color="auto"/>
        </w:pBdr>
        <w:spacing w:line="360" w:lineRule="auto"/>
        <w:jc w:val="both"/>
        <w:rPr>
          <w:rFonts w:ascii="Times New Roman" w:hAnsi="Times New Roman" w:cs="Times New Roman"/>
          <w:sz w:val="28"/>
          <w:szCs w:val="28"/>
        </w:rPr>
      </w:pPr>
    </w:p>
    <w:p w14:paraId="225BD220" w14:textId="77777777" w:rsidR="00354A12" w:rsidRPr="00CD6C14" w:rsidRDefault="00354A12" w:rsidP="00FC37AB">
      <w:pPr>
        <w:spacing w:line="360" w:lineRule="auto"/>
        <w:jc w:val="both"/>
        <w:rPr>
          <w:rFonts w:ascii="Times New Roman" w:hAnsi="Times New Roman" w:cs="Times New Roman"/>
          <w:sz w:val="28"/>
          <w:szCs w:val="28"/>
        </w:rPr>
      </w:pPr>
    </w:p>
    <w:p w14:paraId="225BD222" w14:textId="77777777" w:rsidR="00354A12" w:rsidRPr="00CD6C14" w:rsidRDefault="00B27EF5" w:rsidP="00CD6C14">
      <w:pPr>
        <w:spacing w:line="360" w:lineRule="auto"/>
        <w:jc w:val="both"/>
        <w:rPr>
          <w:rFonts w:ascii="Times New Roman" w:hAnsi="Times New Roman" w:cs="Times New Roman"/>
          <w:b/>
          <w:sz w:val="28"/>
          <w:szCs w:val="28"/>
        </w:rPr>
      </w:pPr>
      <w:r w:rsidRPr="00CD6C14">
        <w:rPr>
          <w:rFonts w:ascii="Times New Roman" w:hAnsi="Times New Roman" w:cs="Times New Roman"/>
          <w:b/>
          <w:sz w:val="28"/>
          <w:szCs w:val="28"/>
        </w:rPr>
        <w:t>R</w:t>
      </w:r>
      <w:r w:rsidR="008F22CA" w:rsidRPr="00CD6C14">
        <w:rPr>
          <w:rFonts w:ascii="Times New Roman" w:hAnsi="Times New Roman" w:cs="Times New Roman"/>
          <w:b/>
          <w:sz w:val="28"/>
          <w:szCs w:val="28"/>
        </w:rPr>
        <w:t xml:space="preserve">ugunanan </w:t>
      </w:r>
      <w:r w:rsidRPr="00CD6C14">
        <w:rPr>
          <w:rFonts w:ascii="Times New Roman" w:hAnsi="Times New Roman" w:cs="Times New Roman"/>
          <w:b/>
          <w:sz w:val="28"/>
          <w:szCs w:val="28"/>
        </w:rPr>
        <w:t>J</w:t>
      </w:r>
    </w:p>
    <w:p w14:paraId="225BD223" w14:textId="77777777" w:rsidR="00354A12" w:rsidRPr="00CD6C14" w:rsidRDefault="00354A12" w:rsidP="00CD6C14">
      <w:pPr>
        <w:spacing w:line="360" w:lineRule="auto"/>
        <w:jc w:val="both"/>
        <w:rPr>
          <w:rFonts w:ascii="Times New Roman" w:hAnsi="Times New Roman" w:cs="Times New Roman"/>
          <w:b/>
          <w:sz w:val="28"/>
          <w:szCs w:val="28"/>
        </w:rPr>
      </w:pPr>
    </w:p>
    <w:p w14:paraId="225BD224" w14:textId="63CEBD3D" w:rsidR="00440546"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783C36" w:rsidRPr="00CD6C14">
        <w:rPr>
          <w:rFonts w:ascii="Times New Roman" w:hAnsi="Times New Roman"/>
          <w:sz w:val="28"/>
          <w:szCs w:val="28"/>
        </w:rPr>
        <w:t>On 10 September 2021</w:t>
      </w:r>
      <w:r w:rsidR="00047D70" w:rsidRPr="00CD6C14">
        <w:rPr>
          <w:rFonts w:ascii="Times New Roman" w:hAnsi="Times New Roman"/>
          <w:sz w:val="28"/>
          <w:szCs w:val="28"/>
        </w:rPr>
        <w:t xml:space="preserve"> </w:t>
      </w:r>
      <w:r w:rsidR="00924860" w:rsidRPr="00CD6C14">
        <w:rPr>
          <w:rFonts w:ascii="Times New Roman" w:hAnsi="Times New Roman"/>
          <w:sz w:val="28"/>
          <w:szCs w:val="28"/>
        </w:rPr>
        <w:t>the appellant, a former practising attorney</w:t>
      </w:r>
      <w:r w:rsidR="00F645BF" w:rsidRPr="00CD6C14">
        <w:rPr>
          <w:rFonts w:ascii="Times New Roman" w:hAnsi="Times New Roman"/>
          <w:sz w:val="28"/>
          <w:szCs w:val="28"/>
        </w:rPr>
        <w:t xml:space="preserve"> aged 47</w:t>
      </w:r>
      <w:r w:rsidR="00924860" w:rsidRPr="00CD6C14">
        <w:rPr>
          <w:rFonts w:ascii="Times New Roman" w:hAnsi="Times New Roman"/>
          <w:sz w:val="28"/>
          <w:szCs w:val="28"/>
        </w:rPr>
        <w:t xml:space="preserve">, was convicted in </w:t>
      </w:r>
      <w:r w:rsidR="00E35EEC" w:rsidRPr="00CD6C14">
        <w:rPr>
          <w:rFonts w:ascii="Times New Roman" w:hAnsi="Times New Roman"/>
          <w:sz w:val="28"/>
          <w:szCs w:val="28"/>
        </w:rPr>
        <w:t>the Regional Court, Port Elizabeth (now Gqeberha)</w:t>
      </w:r>
      <w:r w:rsidR="00924860" w:rsidRPr="00CD6C14">
        <w:rPr>
          <w:rFonts w:ascii="Times New Roman" w:hAnsi="Times New Roman"/>
          <w:sz w:val="28"/>
          <w:szCs w:val="28"/>
        </w:rPr>
        <w:t xml:space="preserve"> </w:t>
      </w:r>
      <w:r w:rsidR="00E35EEC" w:rsidRPr="00CD6C14">
        <w:rPr>
          <w:rFonts w:ascii="Times New Roman" w:hAnsi="Times New Roman"/>
          <w:sz w:val="28"/>
          <w:szCs w:val="28"/>
        </w:rPr>
        <w:t xml:space="preserve">on </w:t>
      </w:r>
      <w:r w:rsidR="009B5989" w:rsidRPr="00CD6C14">
        <w:rPr>
          <w:rFonts w:ascii="Times New Roman" w:hAnsi="Times New Roman"/>
          <w:sz w:val="28"/>
          <w:szCs w:val="28"/>
        </w:rPr>
        <w:t xml:space="preserve">eleven </w:t>
      </w:r>
      <w:r w:rsidR="00F66B5C" w:rsidRPr="00CD6C14">
        <w:rPr>
          <w:rFonts w:ascii="Times New Roman" w:hAnsi="Times New Roman"/>
          <w:sz w:val="28"/>
          <w:szCs w:val="28"/>
        </w:rPr>
        <w:lastRenderedPageBreak/>
        <w:t xml:space="preserve">counts – five of them related to </w:t>
      </w:r>
      <w:r w:rsidR="00047D70" w:rsidRPr="00CD6C14">
        <w:rPr>
          <w:rFonts w:ascii="Times New Roman" w:hAnsi="Times New Roman"/>
          <w:sz w:val="28"/>
          <w:szCs w:val="28"/>
        </w:rPr>
        <w:t xml:space="preserve">fraud, </w:t>
      </w:r>
      <w:r w:rsidR="00F66B5C" w:rsidRPr="00CD6C14">
        <w:rPr>
          <w:rFonts w:ascii="Times New Roman" w:hAnsi="Times New Roman"/>
          <w:sz w:val="28"/>
          <w:szCs w:val="28"/>
        </w:rPr>
        <w:t xml:space="preserve">another </w:t>
      </w:r>
      <w:r w:rsidR="007B2286" w:rsidRPr="00CD6C14">
        <w:rPr>
          <w:rFonts w:ascii="Times New Roman" w:hAnsi="Times New Roman"/>
          <w:sz w:val="28"/>
          <w:szCs w:val="28"/>
        </w:rPr>
        <w:t>five</w:t>
      </w:r>
      <w:r w:rsidR="00047D70" w:rsidRPr="00CD6C14">
        <w:rPr>
          <w:rFonts w:ascii="Times New Roman" w:hAnsi="Times New Roman"/>
          <w:sz w:val="28"/>
          <w:szCs w:val="28"/>
        </w:rPr>
        <w:t xml:space="preserve"> </w:t>
      </w:r>
      <w:r w:rsidR="003C433D" w:rsidRPr="00CD6C14">
        <w:rPr>
          <w:rFonts w:ascii="Times New Roman" w:hAnsi="Times New Roman"/>
          <w:sz w:val="28"/>
          <w:szCs w:val="28"/>
        </w:rPr>
        <w:t xml:space="preserve">concerned </w:t>
      </w:r>
      <w:r w:rsidR="00047D70" w:rsidRPr="00CD6C14">
        <w:rPr>
          <w:rFonts w:ascii="Times New Roman" w:hAnsi="Times New Roman"/>
          <w:sz w:val="28"/>
          <w:szCs w:val="28"/>
        </w:rPr>
        <w:t xml:space="preserve">contempt of court and </w:t>
      </w:r>
      <w:r w:rsidR="00616B21" w:rsidRPr="00CD6C14">
        <w:rPr>
          <w:rFonts w:ascii="Times New Roman" w:hAnsi="Times New Roman"/>
          <w:sz w:val="28"/>
          <w:szCs w:val="28"/>
        </w:rPr>
        <w:t xml:space="preserve">last, </w:t>
      </w:r>
      <w:r w:rsidR="00875814" w:rsidRPr="00CD6C14">
        <w:rPr>
          <w:rFonts w:ascii="Times New Roman" w:hAnsi="Times New Roman"/>
          <w:sz w:val="28"/>
          <w:szCs w:val="28"/>
        </w:rPr>
        <w:t xml:space="preserve">a single </w:t>
      </w:r>
      <w:r w:rsidR="00047D70" w:rsidRPr="00CD6C14">
        <w:rPr>
          <w:rFonts w:ascii="Times New Roman" w:hAnsi="Times New Roman"/>
          <w:sz w:val="28"/>
          <w:szCs w:val="28"/>
        </w:rPr>
        <w:t xml:space="preserve">count </w:t>
      </w:r>
      <w:r w:rsidR="00875814" w:rsidRPr="00CD6C14">
        <w:rPr>
          <w:rFonts w:ascii="Times New Roman" w:hAnsi="Times New Roman"/>
          <w:sz w:val="28"/>
          <w:szCs w:val="28"/>
        </w:rPr>
        <w:t>of</w:t>
      </w:r>
      <w:r w:rsidR="00924860" w:rsidRPr="00CD6C14">
        <w:rPr>
          <w:rFonts w:ascii="Times New Roman" w:hAnsi="Times New Roman"/>
          <w:sz w:val="28"/>
          <w:szCs w:val="28"/>
        </w:rPr>
        <w:t xml:space="preserve"> </w:t>
      </w:r>
      <w:r w:rsidR="00047D70" w:rsidRPr="00CD6C14">
        <w:rPr>
          <w:rFonts w:ascii="Times New Roman" w:hAnsi="Times New Roman"/>
          <w:sz w:val="28"/>
          <w:szCs w:val="28"/>
        </w:rPr>
        <w:t>theft</w:t>
      </w:r>
      <w:r w:rsidR="00924860" w:rsidRPr="00CD6C14">
        <w:rPr>
          <w:rFonts w:ascii="Times New Roman" w:hAnsi="Times New Roman"/>
          <w:sz w:val="28"/>
          <w:szCs w:val="28"/>
        </w:rPr>
        <w:t>.</w:t>
      </w:r>
    </w:p>
    <w:p w14:paraId="42DCA645" w14:textId="77777777" w:rsidR="00FF1D0D" w:rsidRPr="00CD6C14" w:rsidRDefault="00FF1D0D" w:rsidP="00FC37AB">
      <w:pPr>
        <w:pStyle w:val="LegalList1"/>
        <w:spacing w:after="0" w:line="360" w:lineRule="auto"/>
        <w:rPr>
          <w:rFonts w:ascii="Times New Roman" w:hAnsi="Times New Roman"/>
          <w:sz w:val="28"/>
          <w:szCs w:val="28"/>
        </w:rPr>
      </w:pPr>
    </w:p>
    <w:p w14:paraId="225BD225" w14:textId="77777777" w:rsidR="00321C55" w:rsidRPr="00CD6C14" w:rsidRDefault="00321C55"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Overview</w:t>
      </w:r>
    </w:p>
    <w:p w14:paraId="225BD227" w14:textId="6BBA43FA" w:rsidR="00B27EF5"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C0B06" w:rsidRPr="00CD6C14">
        <w:rPr>
          <w:rFonts w:ascii="Times New Roman" w:hAnsi="Times New Roman"/>
          <w:sz w:val="28"/>
          <w:szCs w:val="28"/>
        </w:rPr>
        <w:t>The charges against the appellant emanated from</w:t>
      </w:r>
      <w:r w:rsidR="003E3AAF" w:rsidRPr="00CD6C14">
        <w:rPr>
          <w:rFonts w:ascii="Times New Roman" w:hAnsi="Times New Roman"/>
          <w:sz w:val="28"/>
          <w:szCs w:val="28"/>
        </w:rPr>
        <w:t xml:space="preserve"> several counts of fraud alternatively contraventions of the Attorneys Act 53 of 1979</w:t>
      </w:r>
      <w:r w:rsidR="006261BC" w:rsidRPr="00CD6C14">
        <w:rPr>
          <w:rFonts w:ascii="Times New Roman" w:hAnsi="Times New Roman"/>
          <w:sz w:val="28"/>
          <w:szCs w:val="28"/>
        </w:rPr>
        <w:t xml:space="preserve"> </w:t>
      </w:r>
      <w:r w:rsidR="00182BC3" w:rsidRPr="00CD6C14">
        <w:rPr>
          <w:rFonts w:ascii="Times New Roman" w:hAnsi="Times New Roman"/>
          <w:sz w:val="28"/>
          <w:szCs w:val="28"/>
        </w:rPr>
        <w:t xml:space="preserve">in </w:t>
      </w:r>
      <w:r w:rsidR="006261BC" w:rsidRPr="00CD6C14">
        <w:rPr>
          <w:rFonts w:ascii="Times New Roman" w:hAnsi="Times New Roman"/>
          <w:sz w:val="28"/>
          <w:szCs w:val="28"/>
        </w:rPr>
        <w:t>the period October</w:t>
      </w:r>
      <w:r w:rsidR="00D12011" w:rsidRPr="00CD6C14">
        <w:rPr>
          <w:rFonts w:ascii="Times New Roman" w:hAnsi="Times New Roman"/>
          <w:sz w:val="28"/>
          <w:szCs w:val="28"/>
        </w:rPr>
        <w:t> </w:t>
      </w:r>
      <w:r w:rsidR="006261BC" w:rsidRPr="00CD6C14">
        <w:rPr>
          <w:rFonts w:ascii="Times New Roman" w:hAnsi="Times New Roman"/>
          <w:sz w:val="28"/>
          <w:szCs w:val="28"/>
        </w:rPr>
        <w:t>2015 to March 2018</w:t>
      </w:r>
      <w:r w:rsidR="00182BC3" w:rsidRPr="00CD6C14">
        <w:rPr>
          <w:rFonts w:ascii="Times New Roman" w:hAnsi="Times New Roman"/>
          <w:sz w:val="28"/>
          <w:szCs w:val="28"/>
        </w:rPr>
        <w:t xml:space="preserve"> </w:t>
      </w:r>
      <w:r w:rsidR="00F53FEC" w:rsidRPr="00CD6C14">
        <w:rPr>
          <w:rFonts w:ascii="Times New Roman" w:hAnsi="Times New Roman"/>
          <w:sz w:val="28"/>
          <w:szCs w:val="28"/>
        </w:rPr>
        <w:t>when</w:t>
      </w:r>
      <w:r w:rsidR="00182BC3" w:rsidRPr="00CD6C14">
        <w:rPr>
          <w:rFonts w:ascii="Times New Roman" w:hAnsi="Times New Roman"/>
          <w:sz w:val="28"/>
          <w:szCs w:val="28"/>
        </w:rPr>
        <w:t xml:space="preserve"> the appellant receipted funds from various </w:t>
      </w:r>
      <w:r w:rsidR="00453409" w:rsidRPr="00CD6C14">
        <w:rPr>
          <w:rFonts w:ascii="Times New Roman" w:hAnsi="Times New Roman"/>
          <w:sz w:val="28"/>
          <w:szCs w:val="28"/>
        </w:rPr>
        <w:t>persons</w:t>
      </w:r>
      <w:r w:rsidR="005712EB" w:rsidRPr="00CD6C14">
        <w:rPr>
          <w:rFonts w:ascii="Times New Roman" w:hAnsi="Times New Roman"/>
          <w:sz w:val="28"/>
          <w:szCs w:val="28"/>
        </w:rPr>
        <w:t xml:space="preserve"> without disclosing that she had been struck off the </w:t>
      </w:r>
      <w:r w:rsidR="00F53FEC" w:rsidRPr="00CD6C14">
        <w:rPr>
          <w:rFonts w:ascii="Times New Roman" w:hAnsi="Times New Roman"/>
          <w:sz w:val="28"/>
          <w:szCs w:val="28"/>
        </w:rPr>
        <w:t>attorneys’ roll</w:t>
      </w:r>
      <w:r w:rsidR="00584754" w:rsidRPr="00CD6C14">
        <w:rPr>
          <w:rFonts w:ascii="Times New Roman" w:hAnsi="Times New Roman"/>
          <w:sz w:val="28"/>
          <w:szCs w:val="28"/>
        </w:rPr>
        <w:t>.</w:t>
      </w:r>
      <w:r w:rsidR="005712EB" w:rsidRPr="00CD6C14">
        <w:rPr>
          <w:rFonts w:ascii="Times New Roman" w:hAnsi="Times New Roman"/>
          <w:sz w:val="28"/>
          <w:szCs w:val="28"/>
        </w:rPr>
        <w:t xml:space="preserve"> </w:t>
      </w:r>
      <w:r w:rsidR="00AA69AC" w:rsidRPr="00CD6C14">
        <w:rPr>
          <w:rFonts w:ascii="Times New Roman" w:hAnsi="Times New Roman"/>
          <w:sz w:val="28"/>
          <w:szCs w:val="28"/>
        </w:rPr>
        <w:t>In the same period</w:t>
      </w:r>
      <w:r w:rsidR="00800F6D" w:rsidRPr="00CD6C14">
        <w:rPr>
          <w:rFonts w:ascii="Times New Roman" w:hAnsi="Times New Roman"/>
          <w:sz w:val="28"/>
          <w:szCs w:val="28"/>
        </w:rPr>
        <w:t xml:space="preserve"> the appel</w:t>
      </w:r>
      <w:r w:rsidR="00413061" w:rsidRPr="00CD6C14">
        <w:rPr>
          <w:rFonts w:ascii="Times New Roman" w:hAnsi="Times New Roman"/>
          <w:sz w:val="28"/>
          <w:szCs w:val="28"/>
        </w:rPr>
        <w:t xml:space="preserve">lant rendered herself guilty </w:t>
      </w:r>
      <w:r w:rsidR="00B0500D" w:rsidRPr="00CD6C14">
        <w:rPr>
          <w:rFonts w:ascii="Times New Roman" w:hAnsi="Times New Roman"/>
          <w:sz w:val="28"/>
          <w:szCs w:val="28"/>
        </w:rPr>
        <w:t>of theft of mon</w:t>
      </w:r>
      <w:r w:rsidR="00A20CF8" w:rsidRPr="00CD6C14">
        <w:rPr>
          <w:rFonts w:ascii="Times New Roman" w:hAnsi="Times New Roman"/>
          <w:sz w:val="28"/>
          <w:szCs w:val="28"/>
        </w:rPr>
        <w:t>ey</w:t>
      </w:r>
      <w:r w:rsidR="00B0500D" w:rsidRPr="00CD6C14">
        <w:rPr>
          <w:rFonts w:ascii="Times New Roman" w:hAnsi="Times New Roman"/>
          <w:sz w:val="28"/>
          <w:szCs w:val="28"/>
        </w:rPr>
        <w:t xml:space="preserve"> in the amount of R56</w:t>
      </w:r>
      <w:r w:rsidR="00616B21" w:rsidRPr="00CD6C14">
        <w:rPr>
          <w:rFonts w:ascii="Times New Roman" w:hAnsi="Times New Roman"/>
          <w:sz w:val="28"/>
          <w:szCs w:val="28"/>
        </w:rPr>
        <w:t> </w:t>
      </w:r>
      <w:r w:rsidR="00B0500D" w:rsidRPr="00CD6C14">
        <w:rPr>
          <w:rFonts w:ascii="Times New Roman" w:hAnsi="Times New Roman"/>
          <w:sz w:val="28"/>
          <w:szCs w:val="28"/>
        </w:rPr>
        <w:t>000</w:t>
      </w:r>
      <w:r w:rsidR="00616B21" w:rsidRPr="00CD6C14">
        <w:rPr>
          <w:rFonts w:ascii="Times New Roman" w:hAnsi="Times New Roman"/>
          <w:sz w:val="28"/>
          <w:szCs w:val="28"/>
        </w:rPr>
        <w:t xml:space="preserve"> </w:t>
      </w:r>
      <w:r w:rsidR="00B0500D" w:rsidRPr="00CD6C14">
        <w:rPr>
          <w:rFonts w:ascii="Times New Roman" w:hAnsi="Times New Roman"/>
          <w:sz w:val="28"/>
          <w:szCs w:val="28"/>
        </w:rPr>
        <w:t xml:space="preserve">and </w:t>
      </w:r>
      <w:r w:rsidR="00800F6D" w:rsidRPr="00CD6C14">
        <w:rPr>
          <w:rFonts w:ascii="Times New Roman" w:hAnsi="Times New Roman"/>
          <w:sz w:val="28"/>
          <w:szCs w:val="28"/>
        </w:rPr>
        <w:t xml:space="preserve">contempt of court when she </w:t>
      </w:r>
      <w:r w:rsidR="003018EA" w:rsidRPr="00CD6C14">
        <w:rPr>
          <w:rFonts w:ascii="Times New Roman" w:hAnsi="Times New Roman"/>
          <w:sz w:val="28"/>
          <w:szCs w:val="28"/>
        </w:rPr>
        <w:t xml:space="preserve">purported to represent various clients </w:t>
      </w:r>
      <w:r w:rsidR="00800F6D" w:rsidRPr="00CD6C14">
        <w:rPr>
          <w:rFonts w:ascii="Times New Roman" w:hAnsi="Times New Roman"/>
          <w:sz w:val="28"/>
          <w:szCs w:val="28"/>
        </w:rPr>
        <w:t xml:space="preserve">by unlawfully and intentionally </w:t>
      </w:r>
      <w:r w:rsidR="003018EA" w:rsidRPr="00CD6C14">
        <w:rPr>
          <w:rFonts w:ascii="Times New Roman" w:hAnsi="Times New Roman"/>
          <w:sz w:val="28"/>
          <w:szCs w:val="28"/>
        </w:rPr>
        <w:t xml:space="preserve">providing professional services as </w:t>
      </w:r>
      <w:r w:rsidR="006D60A6" w:rsidRPr="00CD6C14">
        <w:rPr>
          <w:rFonts w:ascii="Times New Roman" w:hAnsi="Times New Roman"/>
          <w:sz w:val="28"/>
          <w:szCs w:val="28"/>
        </w:rPr>
        <w:t xml:space="preserve">a </w:t>
      </w:r>
      <w:r w:rsidR="00800F6D" w:rsidRPr="00CD6C14">
        <w:rPr>
          <w:rFonts w:ascii="Times New Roman" w:hAnsi="Times New Roman"/>
          <w:sz w:val="28"/>
          <w:szCs w:val="28"/>
        </w:rPr>
        <w:t>practising attorney</w:t>
      </w:r>
      <w:r w:rsidR="003018EA" w:rsidRPr="00CD6C14">
        <w:rPr>
          <w:rFonts w:ascii="Times New Roman" w:hAnsi="Times New Roman"/>
          <w:sz w:val="28"/>
          <w:szCs w:val="28"/>
        </w:rPr>
        <w:t xml:space="preserve"> notwithstanding that she had previously </w:t>
      </w:r>
      <w:r w:rsidR="00F23BB6" w:rsidRPr="00CD6C14">
        <w:rPr>
          <w:rFonts w:ascii="Times New Roman" w:hAnsi="Times New Roman"/>
          <w:sz w:val="28"/>
          <w:szCs w:val="28"/>
        </w:rPr>
        <w:t xml:space="preserve">been </w:t>
      </w:r>
      <w:r w:rsidR="003018EA" w:rsidRPr="00CD6C14">
        <w:rPr>
          <w:rFonts w:ascii="Times New Roman" w:hAnsi="Times New Roman"/>
          <w:sz w:val="28"/>
          <w:szCs w:val="28"/>
        </w:rPr>
        <w:t>struck off the roll</w:t>
      </w:r>
      <w:r w:rsidR="006D60A6" w:rsidRPr="00CD6C14">
        <w:rPr>
          <w:rFonts w:ascii="Times New Roman" w:hAnsi="Times New Roman"/>
          <w:sz w:val="28"/>
          <w:szCs w:val="28"/>
        </w:rPr>
        <w:t xml:space="preserve"> and interdicted from legal practise.</w:t>
      </w:r>
    </w:p>
    <w:p w14:paraId="3D3DE64C" w14:textId="77777777" w:rsidR="00FF1D0D" w:rsidRPr="00CD6C14" w:rsidRDefault="00FF1D0D" w:rsidP="00FC37AB">
      <w:pPr>
        <w:pStyle w:val="LegalList1"/>
        <w:spacing w:after="0" w:line="360" w:lineRule="auto"/>
        <w:rPr>
          <w:rFonts w:ascii="Times New Roman" w:hAnsi="Times New Roman"/>
          <w:sz w:val="28"/>
          <w:szCs w:val="28"/>
        </w:rPr>
      </w:pPr>
    </w:p>
    <w:p w14:paraId="225BD228" w14:textId="14646D1A" w:rsidR="00F23BB6"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w:t>
      </w:r>
      <w:bookmarkStart w:id="0" w:name="_GoBack"/>
      <w:bookmarkEnd w:id="0"/>
      <w:r>
        <w:rPr>
          <w:rFonts w:ascii="Times New Roman" w:hAnsi="Times New Roman"/>
          <w:sz w:val="28"/>
          <w:szCs w:val="28"/>
        </w:rPr>
        <w:t>3]</w:t>
      </w:r>
      <w:r>
        <w:rPr>
          <w:rFonts w:ascii="Times New Roman" w:hAnsi="Times New Roman"/>
          <w:sz w:val="28"/>
          <w:szCs w:val="28"/>
        </w:rPr>
        <w:tab/>
      </w:r>
      <w:r w:rsidR="00453409" w:rsidRPr="00CD6C14">
        <w:rPr>
          <w:rFonts w:ascii="Times New Roman" w:hAnsi="Times New Roman"/>
          <w:sz w:val="28"/>
          <w:szCs w:val="28"/>
        </w:rPr>
        <w:t>With all counts taken together for the purpose of sentence, the appellant was sentenced to 15 years’ imprisonment, 5 years of which were suspended for 5</w:t>
      </w:r>
      <w:r w:rsidR="001642DF">
        <w:rPr>
          <w:rFonts w:ascii="Times New Roman" w:hAnsi="Times New Roman"/>
          <w:sz w:val="28"/>
          <w:szCs w:val="28"/>
        </w:rPr>
        <w:t> </w:t>
      </w:r>
      <w:r w:rsidR="00453409" w:rsidRPr="00CD6C14">
        <w:rPr>
          <w:rFonts w:ascii="Times New Roman" w:hAnsi="Times New Roman"/>
          <w:sz w:val="28"/>
          <w:szCs w:val="28"/>
        </w:rPr>
        <w:t>years on condition that she is not convicted of any offence involving theft, fraud, or contempt of court.</w:t>
      </w:r>
    </w:p>
    <w:p w14:paraId="0ACAA08C" w14:textId="77777777" w:rsidR="006819F8" w:rsidRPr="00CD6C14" w:rsidRDefault="006819F8" w:rsidP="00FC37AB">
      <w:pPr>
        <w:pStyle w:val="LegalList1"/>
        <w:spacing w:after="0" w:line="360" w:lineRule="auto"/>
        <w:rPr>
          <w:rFonts w:ascii="Times New Roman" w:hAnsi="Times New Roman"/>
          <w:sz w:val="28"/>
          <w:szCs w:val="28"/>
        </w:rPr>
      </w:pPr>
    </w:p>
    <w:p w14:paraId="225BD229" w14:textId="21494EE5" w:rsidR="00453409"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DF2BCD" w:rsidRPr="00CD6C14">
        <w:rPr>
          <w:rFonts w:ascii="Times New Roman" w:hAnsi="Times New Roman"/>
          <w:sz w:val="28"/>
          <w:szCs w:val="28"/>
        </w:rPr>
        <w:t>The effective term of imprisonment to be served by the appellant is therefore 10 years.</w:t>
      </w:r>
    </w:p>
    <w:p w14:paraId="06FF52DA" w14:textId="77777777" w:rsidR="006819F8" w:rsidRPr="00CD6C14" w:rsidRDefault="006819F8" w:rsidP="00FC37AB">
      <w:pPr>
        <w:pStyle w:val="LegalList1"/>
        <w:spacing w:after="0" w:line="360" w:lineRule="auto"/>
        <w:rPr>
          <w:rFonts w:ascii="Times New Roman" w:hAnsi="Times New Roman"/>
          <w:sz w:val="28"/>
          <w:szCs w:val="28"/>
        </w:rPr>
      </w:pPr>
    </w:p>
    <w:p w14:paraId="225BD22A" w14:textId="037E59D7" w:rsidR="00223387"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203666" w:rsidRPr="00CD6C14">
        <w:rPr>
          <w:rFonts w:ascii="Times New Roman" w:hAnsi="Times New Roman"/>
          <w:sz w:val="28"/>
          <w:szCs w:val="28"/>
        </w:rPr>
        <w:t>Leave to appeal against conviction on all counts and sentences imposed was refused by the trial court but on petition</w:t>
      </w:r>
      <w:r w:rsidR="00223387" w:rsidRPr="00CD6C14">
        <w:rPr>
          <w:rFonts w:ascii="Times New Roman" w:hAnsi="Times New Roman"/>
          <w:sz w:val="28"/>
          <w:szCs w:val="28"/>
        </w:rPr>
        <w:t xml:space="preserve"> </w:t>
      </w:r>
      <w:r w:rsidR="009C3804" w:rsidRPr="00CD6C14">
        <w:rPr>
          <w:rFonts w:ascii="Times New Roman" w:hAnsi="Times New Roman"/>
          <w:sz w:val="28"/>
          <w:szCs w:val="28"/>
        </w:rPr>
        <w:t>to this Court</w:t>
      </w:r>
      <w:r w:rsidR="00F23BB6" w:rsidRPr="00CD6C14">
        <w:rPr>
          <w:rFonts w:ascii="Times New Roman" w:hAnsi="Times New Roman"/>
          <w:sz w:val="28"/>
          <w:szCs w:val="28"/>
        </w:rPr>
        <w:t>,</w:t>
      </w:r>
      <w:r w:rsidR="009C3804" w:rsidRPr="00CD6C14">
        <w:rPr>
          <w:rFonts w:ascii="Times New Roman" w:hAnsi="Times New Roman"/>
          <w:sz w:val="28"/>
          <w:szCs w:val="28"/>
        </w:rPr>
        <w:t xml:space="preserve"> leave was granted </w:t>
      </w:r>
      <w:r w:rsidR="00EC5F23" w:rsidRPr="00CD6C14">
        <w:rPr>
          <w:rFonts w:ascii="Times New Roman" w:hAnsi="Times New Roman"/>
          <w:sz w:val="28"/>
          <w:szCs w:val="28"/>
        </w:rPr>
        <w:t xml:space="preserve">only </w:t>
      </w:r>
      <w:r w:rsidR="009C3804" w:rsidRPr="00CD6C14">
        <w:rPr>
          <w:rFonts w:ascii="Times New Roman" w:hAnsi="Times New Roman"/>
          <w:sz w:val="28"/>
          <w:szCs w:val="28"/>
        </w:rPr>
        <w:t xml:space="preserve">against sentence </w:t>
      </w:r>
      <w:r w:rsidR="00EC5F23" w:rsidRPr="00CD6C14">
        <w:rPr>
          <w:rFonts w:ascii="Times New Roman" w:hAnsi="Times New Roman"/>
          <w:sz w:val="28"/>
          <w:szCs w:val="28"/>
        </w:rPr>
        <w:t>on 5 August 2022</w:t>
      </w:r>
      <w:r w:rsidR="009C3804" w:rsidRPr="00CD6C14">
        <w:rPr>
          <w:rFonts w:ascii="Times New Roman" w:hAnsi="Times New Roman"/>
          <w:sz w:val="28"/>
          <w:szCs w:val="28"/>
        </w:rPr>
        <w:t>.</w:t>
      </w:r>
    </w:p>
    <w:p w14:paraId="1ED5FDA0" w14:textId="77777777" w:rsidR="00754B6A" w:rsidRPr="00CD6C14" w:rsidRDefault="00754B6A" w:rsidP="00FC37AB">
      <w:pPr>
        <w:pStyle w:val="LegalList1"/>
        <w:spacing w:after="0" w:line="360" w:lineRule="auto"/>
        <w:rPr>
          <w:rFonts w:ascii="Times New Roman" w:hAnsi="Times New Roman"/>
          <w:sz w:val="28"/>
          <w:szCs w:val="28"/>
        </w:rPr>
      </w:pPr>
    </w:p>
    <w:p w14:paraId="225BD22B" w14:textId="5163FA18" w:rsidR="00301202"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8C0CBE" w:rsidRPr="00CD6C14">
        <w:rPr>
          <w:rFonts w:ascii="Times New Roman" w:hAnsi="Times New Roman"/>
          <w:sz w:val="28"/>
          <w:szCs w:val="28"/>
        </w:rPr>
        <w:t>The background to the matter is that the appellant was a practising attorney of approximately 15 years</w:t>
      </w:r>
      <w:r w:rsidR="00F827CB" w:rsidRPr="00CD6C14">
        <w:rPr>
          <w:rFonts w:ascii="Times New Roman" w:hAnsi="Times New Roman"/>
          <w:sz w:val="28"/>
          <w:szCs w:val="28"/>
        </w:rPr>
        <w:t xml:space="preserve"> standing before she was struck off the roll on </w:t>
      </w:r>
      <w:r w:rsidR="00F827CB" w:rsidRPr="00CD6C14">
        <w:rPr>
          <w:rFonts w:ascii="Times New Roman" w:hAnsi="Times New Roman"/>
          <w:sz w:val="28"/>
          <w:szCs w:val="28"/>
        </w:rPr>
        <w:lastRenderedPageBreak/>
        <w:t>27</w:t>
      </w:r>
      <w:r w:rsidR="00754B6A">
        <w:rPr>
          <w:rFonts w:ascii="Times New Roman" w:hAnsi="Times New Roman"/>
          <w:sz w:val="28"/>
          <w:szCs w:val="28"/>
        </w:rPr>
        <w:t> </w:t>
      </w:r>
      <w:r w:rsidR="00F827CB" w:rsidRPr="00CD6C14">
        <w:rPr>
          <w:rFonts w:ascii="Times New Roman" w:hAnsi="Times New Roman"/>
          <w:sz w:val="28"/>
          <w:szCs w:val="28"/>
        </w:rPr>
        <w:t>August 2015</w:t>
      </w:r>
      <w:r w:rsidR="00FB3A82">
        <w:rPr>
          <w:rFonts w:ascii="Times New Roman" w:hAnsi="Times New Roman"/>
          <w:sz w:val="28"/>
          <w:szCs w:val="28"/>
        </w:rPr>
        <w:t>.</w:t>
      </w:r>
      <w:r w:rsidR="00F827CB" w:rsidRPr="00CD6C14">
        <w:rPr>
          <w:rStyle w:val="FootnoteReference"/>
          <w:rFonts w:ascii="Times New Roman" w:hAnsi="Times New Roman"/>
          <w:sz w:val="28"/>
          <w:szCs w:val="28"/>
        </w:rPr>
        <w:footnoteReference w:id="1"/>
      </w:r>
      <w:r w:rsidR="00F827CB" w:rsidRPr="00CD6C14">
        <w:rPr>
          <w:rFonts w:ascii="Times New Roman" w:hAnsi="Times New Roman"/>
          <w:sz w:val="28"/>
          <w:szCs w:val="28"/>
        </w:rPr>
        <w:t xml:space="preserve"> The striking off occurred consequent to her conviction in 2012</w:t>
      </w:r>
      <w:r w:rsidR="0052321E" w:rsidRPr="00CD6C14">
        <w:rPr>
          <w:rFonts w:ascii="Times New Roman" w:hAnsi="Times New Roman"/>
          <w:sz w:val="28"/>
          <w:szCs w:val="28"/>
        </w:rPr>
        <w:t xml:space="preserve"> for theft of trust funds and three counts for having contravened the Attorneys Act.</w:t>
      </w:r>
      <w:r w:rsidR="00234EDE" w:rsidRPr="00CD6C14">
        <w:rPr>
          <w:rFonts w:ascii="Times New Roman" w:hAnsi="Times New Roman"/>
          <w:sz w:val="28"/>
          <w:szCs w:val="28"/>
        </w:rPr>
        <w:t xml:space="preserve"> </w:t>
      </w:r>
      <w:r w:rsidR="000C1B94" w:rsidRPr="00CD6C14">
        <w:rPr>
          <w:rFonts w:ascii="Times New Roman" w:hAnsi="Times New Roman"/>
          <w:sz w:val="28"/>
          <w:szCs w:val="28"/>
        </w:rPr>
        <w:t xml:space="preserve">On the theft </w:t>
      </w:r>
      <w:r w:rsidR="00F23BB6" w:rsidRPr="00CD6C14">
        <w:rPr>
          <w:rFonts w:ascii="Times New Roman" w:hAnsi="Times New Roman"/>
          <w:sz w:val="28"/>
          <w:szCs w:val="28"/>
        </w:rPr>
        <w:t xml:space="preserve">count </w:t>
      </w:r>
      <w:r w:rsidR="000C1B94" w:rsidRPr="00CD6C14">
        <w:rPr>
          <w:rFonts w:ascii="Times New Roman" w:hAnsi="Times New Roman"/>
          <w:sz w:val="28"/>
          <w:szCs w:val="28"/>
        </w:rPr>
        <w:t>she was convicted on 7 July 2011 and on 2 February 2012 sentenced to 3 years’ imprisonment wholly suspended for 5 years on condition that she is not again convicted of the same offence committed during the period of suspension.</w:t>
      </w:r>
      <w:r w:rsidR="00BF36C5" w:rsidRPr="00CD6C14">
        <w:rPr>
          <w:rFonts w:ascii="Times New Roman" w:hAnsi="Times New Roman"/>
          <w:sz w:val="28"/>
          <w:szCs w:val="28"/>
        </w:rPr>
        <w:t xml:space="preserve"> The record indicates that there was an additional 3 year component of correctional supervision included in the sentence </w:t>
      </w:r>
      <w:r w:rsidR="00E161B1" w:rsidRPr="00CD6C14">
        <w:rPr>
          <w:rFonts w:ascii="Times New Roman" w:hAnsi="Times New Roman"/>
          <w:sz w:val="28"/>
          <w:szCs w:val="28"/>
        </w:rPr>
        <w:t xml:space="preserve">necessitating that </w:t>
      </w:r>
      <w:r w:rsidR="00343854" w:rsidRPr="00CD6C14">
        <w:rPr>
          <w:rFonts w:ascii="Times New Roman" w:hAnsi="Times New Roman"/>
          <w:sz w:val="28"/>
          <w:szCs w:val="28"/>
        </w:rPr>
        <w:t xml:space="preserve">the </w:t>
      </w:r>
      <w:r w:rsidR="00BF36C5" w:rsidRPr="00CD6C14">
        <w:rPr>
          <w:rFonts w:ascii="Times New Roman" w:hAnsi="Times New Roman"/>
          <w:sz w:val="28"/>
          <w:szCs w:val="28"/>
        </w:rPr>
        <w:t>appellant render</w:t>
      </w:r>
      <w:r w:rsidR="00E161B1" w:rsidRPr="00CD6C14">
        <w:rPr>
          <w:rFonts w:ascii="Times New Roman" w:hAnsi="Times New Roman"/>
          <w:sz w:val="28"/>
          <w:szCs w:val="28"/>
        </w:rPr>
        <w:t>s</w:t>
      </w:r>
      <w:r w:rsidR="00BF36C5" w:rsidRPr="00CD6C14">
        <w:rPr>
          <w:rFonts w:ascii="Times New Roman" w:hAnsi="Times New Roman"/>
          <w:sz w:val="28"/>
          <w:szCs w:val="28"/>
        </w:rPr>
        <w:t xml:space="preserve"> 16 hours community service for the first 12 months of the sentence.</w:t>
      </w:r>
    </w:p>
    <w:p w14:paraId="3000E624" w14:textId="77777777" w:rsidR="00295135" w:rsidRPr="00CD6C14" w:rsidRDefault="00295135" w:rsidP="00FC37AB">
      <w:pPr>
        <w:pStyle w:val="LegalList1"/>
        <w:spacing w:after="0" w:line="360" w:lineRule="auto"/>
        <w:rPr>
          <w:rFonts w:ascii="Times New Roman" w:hAnsi="Times New Roman"/>
          <w:sz w:val="28"/>
          <w:szCs w:val="28"/>
        </w:rPr>
      </w:pPr>
    </w:p>
    <w:p w14:paraId="225BD22C" w14:textId="1FBDDA14" w:rsidR="00385DA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0C1B94" w:rsidRPr="00CD6C14">
        <w:rPr>
          <w:rFonts w:ascii="Times New Roman" w:hAnsi="Times New Roman"/>
          <w:sz w:val="28"/>
          <w:szCs w:val="28"/>
        </w:rPr>
        <w:t xml:space="preserve">The theft of R56 000 for which </w:t>
      </w:r>
      <w:r w:rsidR="00301202" w:rsidRPr="00CD6C14">
        <w:rPr>
          <w:rFonts w:ascii="Times New Roman" w:hAnsi="Times New Roman"/>
          <w:sz w:val="28"/>
          <w:szCs w:val="28"/>
        </w:rPr>
        <w:t xml:space="preserve">the appellant </w:t>
      </w:r>
      <w:r w:rsidR="000C1B94" w:rsidRPr="00CD6C14">
        <w:rPr>
          <w:rFonts w:ascii="Times New Roman" w:hAnsi="Times New Roman"/>
          <w:sz w:val="28"/>
          <w:szCs w:val="28"/>
        </w:rPr>
        <w:t xml:space="preserve">was convicted in the </w:t>
      </w:r>
      <w:r w:rsidR="004D629B">
        <w:rPr>
          <w:rFonts w:ascii="Times New Roman" w:hAnsi="Times New Roman"/>
          <w:sz w:val="28"/>
          <w:szCs w:val="28"/>
        </w:rPr>
        <w:t>R</w:t>
      </w:r>
      <w:r w:rsidR="000C1B94" w:rsidRPr="00CD6C14">
        <w:rPr>
          <w:rFonts w:ascii="Times New Roman" w:hAnsi="Times New Roman"/>
          <w:sz w:val="28"/>
          <w:szCs w:val="28"/>
        </w:rPr>
        <w:t>egional</w:t>
      </w:r>
      <w:r w:rsidR="004D629B">
        <w:rPr>
          <w:rFonts w:ascii="Times New Roman" w:hAnsi="Times New Roman"/>
          <w:sz w:val="28"/>
          <w:szCs w:val="28"/>
        </w:rPr>
        <w:t> C</w:t>
      </w:r>
      <w:r w:rsidR="000C1B94" w:rsidRPr="00CD6C14">
        <w:rPr>
          <w:rFonts w:ascii="Times New Roman" w:hAnsi="Times New Roman"/>
          <w:sz w:val="28"/>
          <w:szCs w:val="28"/>
        </w:rPr>
        <w:t>ourt was committed during th</w:t>
      </w:r>
      <w:r w:rsidR="00385DAF" w:rsidRPr="00CD6C14">
        <w:rPr>
          <w:rFonts w:ascii="Times New Roman" w:hAnsi="Times New Roman"/>
          <w:sz w:val="28"/>
          <w:szCs w:val="28"/>
        </w:rPr>
        <w:t xml:space="preserve">e aforementioned </w:t>
      </w:r>
      <w:r w:rsidR="000C1B94" w:rsidRPr="00CD6C14">
        <w:rPr>
          <w:rFonts w:ascii="Times New Roman" w:hAnsi="Times New Roman"/>
          <w:sz w:val="28"/>
          <w:szCs w:val="28"/>
        </w:rPr>
        <w:t>period of suspension.</w:t>
      </w:r>
    </w:p>
    <w:p w14:paraId="40E5810C" w14:textId="77777777" w:rsidR="00984476" w:rsidRPr="00CD6C14" w:rsidRDefault="00984476" w:rsidP="00FC37AB">
      <w:pPr>
        <w:pStyle w:val="LegalList1"/>
        <w:spacing w:after="0" w:line="360" w:lineRule="auto"/>
        <w:rPr>
          <w:rFonts w:ascii="Times New Roman" w:hAnsi="Times New Roman"/>
          <w:sz w:val="28"/>
          <w:szCs w:val="28"/>
        </w:rPr>
      </w:pPr>
    </w:p>
    <w:p w14:paraId="225BD22D" w14:textId="11E1D53A" w:rsidR="008C0CBE"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AE1D07" w:rsidRPr="00CD6C14">
        <w:rPr>
          <w:rFonts w:ascii="Times New Roman" w:hAnsi="Times New Roman"/>
          <w:sz w:val="28"/>
          <w:szCs w:val="28"/>
        </w:rPr>
        <w:t>Within that period</w:t>
      </w:r>
      <w:r w:rsidR="00984476">
        <w:rPr>
          <w:rFonts w:ascii="Times New Roman" w:hAnsi="Times New Roman"/>
          <w:sz w:val="28"/>
          <w:szCs w:val="28"/>
        </w:rPr>
        <w:t>,</w:t>
      </w:r>
      <w:r w:rsidR="00385DAF" w:rsidRPr="00CD6C14">
        <w:rPr>
          <w:rFonts w:ascii="Times New Roman" w:hAnsi="Times New Roman"/>
          <w:sz w:val="28"/>
          <w:szCs w:val="28"/>
        </w:rPr>
        <w:t xml:space="preserve"> </w:t>
      </w:r>
      <w:r w:rsidR="00AE1D07" w:rsidRPr="00CD6C14">
        <w:rPr>
          <w:rFonts w:ascii="Times New Roman" w:hAnsi="Times New Roman"/>
          <w:sz w:val="28"/>
          <w:szCs w:val="28"/>
        </w:rPr>
        <w:t xml:space="preserve">the appellant </w:t>
      </w:r>
      <w:r w:rsidR="00301202" w:rsidRPr="00CD6C14">
        <w:rPr>
          <w:rFonts w:ascii="Times New Roman" w:hAnsi="Times New Roman"/>
          <w:sz w:val="28"/>
          <w:szCs w:val="28"/>
        </w:rPr>
        <w:t xml:space="preserve">did </w:t>
      </w:r>
      <w:r w:rsidR="00234EDE" w:rsidRPr="00CD6C14">
        <w:rPr>
          <w:rFonts w:ascii="Times New Roman" w:hAnsi="Times New Roman"/>
          <w:sz w:val="28"/>
          <w:szCs w:val="28"/>
        </w:rPr>
        <w:t>not cease practising and continued to render professional legal services to members of the public</w:t>
      </w:r>
      <w:r w:rsidR="00385DAF" w:rsidRPr="00CD6C14">
        <w:rPr>
          <w:rFonts w:ascii="Times New Roman" w:hAnsi="Times New Roman"/>
          <w:sz w:val="28"/>
          <w:szCs w:val="28"/>
        </w:rPr>
        <w:t>,</w:t>
      </w:r>
      <w:r w:rsidR="00CA7438" w:rsidRPr="00CD6C14">
        <w:rPr>
          <w:rFonts w:ascii="Times New Roman" w:hAnsi="Times New Roman"/>
          <w:sz w:val="28"/>
          <w:szCs w:val="28"/>
        </w:rPr>
        <w:t xml:space="preserve"> ostensibly as a legal advisor in return for a fee. </w:t>
      </w:r>
      <w:r w:rsidR="009254DC" w:rsidRPr="00CD6C14">
        <w:rPr>
          <w:rFonts w:ascii="Times New Roman" w:hAnsi="Times New Roman"/>
          <w:sz w:val="28"/>
          <w:szCs w:val="28"/>
        </w:rPr>
        <w:t xml:space="preserve">She solicited new clients by distributing business cards </w:t>
      </w:r>
      <w:r w:rsidR="00A2499F" w:rsidRPr="00CD6C14">
        <w:rPr>
          <w:rFonts w:ascii="Times New Roman" w:hAnsi="Times New Roman"/>
          <w:sz w:val="28"/>
          <w:szCs w:val="28"/>
        </w:rPr>
        <w:t xml:space="preserve">in her name </w:t>
      </w:r>
      <w:r w:rsidR="00D614C7" w:rsidRPr="00CD6C14">
        <w:rPr>
          <w:rFonts w:ascii="Times New Roman" w:hAnsi="Times New Roman"/>
          <w:sz w:val="28"/>
          <w:szCs w:val="28"/>
        </w:rPr>
        <w:t xml:space="preserve">bearing the designation </w:t>
      </w:r>
      <w:r w:rsidR="00A2499F" w:rsidRPr="00CD6C14">
        <w:rPr>
          <w:rFonts w:ascii="Times New Roman" w:hAnsi="Times New Roman"/>
          <w:sz w:val="28"/>
          <w:szCs w:val="28"/>
        </w:rPr>
        <w:t xml:space="preserve">‘legal advisor’ </w:t>
      </w:r>
      <w:r w:rsidR="009254DC" w:rsidRPr="00CD6C14">
        <w:rPr>
          <w:rFonts w:ascii="Times New Roman" w:hAnsi="Times New Roman"/>
          <w:sz w:val="28"/>
          <w:szCs w:val="28"/>
        </w:rPr>
        <w:t xml:space="preserve">and </w:t>
      </w:r>
      <w:r w:rsidR="00A2499F" w:rsidRPr="00CD6C14">
        <w:rPr>
          <w:rFonts w:ascii="Times New Roman" w:hAnsi="Times New Roman"/>
          <w:sz w:val="28"/>
          <w:szCs w:val="28"/>
        </w:rPr>
        <w:t xml:space="preserve">by </w:t>
      </w:r>
      <w:r w:rsidR="009254DC" w:rsidRPr="00CD6C14">
        <w:rPr>
          <w:rFonts w:ascii="Times New Roman" w:hAnsi="Times New Roman"/>
          <w:sz w:val="28"/>
          <w:szCs w:val="28"/>
        </w:rPr>
        <w:t xml:space="preserve">displaying </w:t>
      </w:r>
      <w:r w:rsidR="00D614C7" w:rsidRPr="00CD6C14">
        <w:rPr>
          <w:rFonts w:ascii="Times New Roman" w:hAnsi="Times New Roman"/>
          <w:sz w:val="28"/>
          <w:szCs w:val="28"/>
        </w:rPr>
        <w:t xml:space="preserve">similar </w:t>
      </w:r>
      <w:r w:rsidR="009254DC" w:rsidRPr="00CD6C14">
        <w:rPr>
          <w:rFonts w:ascii="Times New Roman" w:hAnsi="Times New Roman"/>
          <w:sz w:val="28"/>
          <w:szCs w:val="28"/>
        </w:rPr>
        <w:t>signage</w:t>
      </w:r>
      <w:r w:rsidR="00046843" w:rsidRPr="00CD6C14">
        <w:rPr>
          <w:rFonts w:ascii="Times New Roman" w:hAnsi="Times New Roman"/>
          <w:sz w:val="28"/>
          <w:szCs w:val="28"/>
        </w:rPr>
        <w:t xml:space="preserve"> outside business premises from which she operated</w:t>
      </w:r>
      <w:r w:rsidR="00A2499F" w:rsidRPr="00CD6C14">
        <w:rPr>
          <w:rFonts w:ascii="Times New Roman" w:hAnsi="Times New Roman"/>
          <w:sz w:val="28"/>
          <w:szCs w:val="28"/>
        </w:rPr>
        <w:t>.</w:t>
      </w:r>
      <w:r w:rsidR="003D11E7" w:rsidRPr="00CD6C14">
        <w:rPr>
          <w:rFonts w:ascii="Times New Roman" w:hAnsi="Times New Roman"/>
          <w:sz w:val="28"/>
          <w:szCs w:val="28"/>
        </w:rPr>
        <w:t xml:space="preserve"> She also maintained receipt books in her name albeit</w:t>
      </w:r>
      <w:r w:rsidR="001F22F3" w:rsidRPr="00CD6C14">
        <w:rPr>
          <w:rFonts w:ascii="Times New Roman" w:hAnsi="Times New Roman"/>
          <w:sz w:val="28"/>
          <w:szCs w:val="28"/>
        </w:rPr>
        <w:t xml:space="preserve"> </w:t>
      </w:r>
      <w:r w:rsidR="002B752C" w:rsidRPr="00CD6C14">
        <w:rPr>
          <w:rFonts w:ascii="Times New Roman" w:hAnsi="Times New Roman"/>
          <w:sz w:val="28"/>
          <w:szCs w:val="28"/>
        </w:rPr>
        <w:t xml:space="preserve">that </w:t>
      </w:r>
      <w:r w:rsidR="001F22F3" w:rsidRPr="00CD6C14">
        <w:rPr>
          <w:rFonts w:ascii="Times New Roman" w:hAnsi="Times New Roman"/>
          <w:sz w:val="28"/>
          <w:szCs w:val="28"/>
        </w:rPr>
        <w:t xml:space="preserve">the word ‘attorney’ </w:t>
      </w:r>
      <w:r w:rsidR="002B752C" w:rsidRPr="00CD6C14">
        <w:rPr>
          <w:rFonts w:ascii="Times New Roman" w:hAnsi="Times New Roman"/>
          <w:sz w:val="28"/>
          <w:szCs w:val="28"/>
        </w:rPr>
        <w:t xml:space="preserve">was </w:t>
      </w:r>
      <w:r w:rsidR="001F22F3" w:rsidRPr="00CD6C14">
        <w:rPr>
          <w:rFonts w:ascii="Times New Roman" w:hAnsi="Times New Roman"/>
          <w:sz w:val="28"/>
          <w:szCs w:val="28"/>
        </w:rPr>
        <w:t>effaced with correction fluid.</w:t>
      </w:r>
      <w:r w:rsidR="00D614C7" w:rsidRPr="00CD6C14">
        <w:rPr>
          <w:rFonts w:ascii="Times New Roman" w:hAnsi="Times New Roman"/>
          <w:sz w:val="28"/>
          <w:szCs w:val="28"/>
        </w:rPr>
        <w:t xml:space="preserve"> </w:t>
      </w:r>
      <w:r w:rsidR="00C45A11" w:rsidRPr="00CD6C14">
        <w:rPr>
          <w:rFonts w:ascii="Times New Roman" w:hAnsi="Times New Roman"/>
          <w:sz w:val="28"/>
          <w:szCs w:val="28"/>
        </w:rPr>
        <w:t>Regarding court appearances</w:t>
      </w:r>
      <w:r w:rsidR="003B3BFB" w:rsidRPr="00CD6C14">
        <w:rPr>
          <w:rFonts w:ascii="Times New Roman" w:hAnsi="Times New Roman"/>
          <w:sz w:val="28"/>
          <w:szCs w:val="28"/>
        </w:rPr>
        <w:t>,</w:t>
      </w:r>
      <w:r w:rsidR="00C45A11" w:rsidRPr="00CD6C14">
        <w:rPr>
          <w:rFonts w:ascii="Times New Roman" w:hAnsi="Times New Roman"/>
          <w:sz w:val="28"/>
          <w:szCs w:val="28"/>
        </w:rPr>
        <w:t xml:space="preserve"> she outsourced these </w:t>
      </w:r>
      <w:r w:rsidR="00D614C7" w:rsidRPr="00CD6C14">
        <w:rPr>
          <w:rFonts w:ascii="Times New Roman" w:hAnsi="Times New Roman"/>
          <w:sz w:val="28"/>
          <w:szCs w:val="28"/>
        </w:rPr>
        <w:t>to another legal firm while retaining her own client base.</w:t>
      </w:r>
      <w:r w:rsidR="00DD5F62" w:rsidRPr="00CD6C14">
        <w:rPr>
          <w:rFonts w:ascii="Times New Roman" w:hAnsi="Times New Roman"/>
          <w:sz w:val="28"/>
          <w:szCs w:val="28"/>
        </w:rPr>
        <w:t xml:space="preserve"> </w:t>
      </w:r>
      <w:r w:rsidR="00C45A11" w:rsidRPr="00CD6C14">
        <w:rPr>
          <w:rFonts w:ascii="Times New Roman" w:hAnsi="Times New Roman"/>
          <w:sz w:val="28"/>
          <w:szCs w:val="28"/>
        </w:rPr>
        <w:t xml:space="preserve">For purposes of sentence, the appellant’s </w:t>
      </w:r>
      <w:r w:rsidR="00C45A11" w:rsidRPr="00CD6C14">
        <w:rPr>
          <w:rFonts w:ascii="Times New Roman" w:hAnsi="Times New Roman"/>
          <w:i/>
          <w:sz w:val="28"/>
          <w:szCs w:val="28"/>
        </w:rPr>
        <w:t>modus operandi</w:t>
      </w:r>
      <w:r w:rsidR="00C45A11" w:rsidRPr="00CD6C14">
        <w:rPr>
          <w:rFonts w:ascii="Times New Roman" w:hAnsi="Times New Roman"/>
          <w:sz w:val="28"/>
          <w:szCs w:val="28"/>
        </w:rPr>
        <w:t xml:space="preserve"> is indicati</w:t>
      </w:r>
      <w:r w:rsidR="0025095B" w:rsidRPr="00CD6C14">
        <w:rPr>
          <w:rFonts w:ascii="Times New Roman" w:hAnsi="Times New Roman"/>
          <w:sz w:val="28"/>
          <w:szCs w:val="28"/>
        </w:rPr>
        <w:t>ve of a level of pre</w:t>
      </w:r>
      <w:r w:rsidR="003B3BFB" w:rsidRPr="00CD6C14">
        <w:rPr>
          <w:rFonts w:ascii="Times New Roman" w:hAnsi="Times New Roman"/>
          <w:sz w:val="28"/>
          <w:szCs w:val="28"/>
        </w:rPr>
        <w:t>meditation and deceit.</w:t>
      </w:r>
    </w:p>
    <w:p w14:paraId="0933BD60" w14:textId="77777777" w:rsidR="00DD5C25" w:rsidRPr="00CD6C14" w:rsidRDefault="00DD5C25" w:rsidP="00FC37AB">
      <w:pPr>
        <w:pStyle w:val="LegalList1"/>
        <w:spacing w:after="0" w:line="360" w:lineRule="auto"/>
        <w:rPr>
          <w:rFonts w:ascii="Times New Roman" w:hAnsi="Times New Roman"/>
          <w:sz w:val="28"/>
          <w:szCs w:val="28"/>
        </w:rPr>
      </w:pPr>
    </w:p>
    <w:p w14:paraId="225BD22E" w14:textId="69B9A452" w:rsidR="004003C0"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301202" w:rsidRPr="00CD6C14">
        <w:rPr>
          <w:rFonts w:ascii="Times New Roman" w:hAnsi="Times New Roman"/>
          <w:sz w:val="28"/>
          <w:szCs w:val="28"/>
        </w:rPr>
        <w:t>T</w:t>
      </w:r>
      <w:r w:rsidR="00810763" w:rsidRPr="00CD6C14">
        <w:rPr>
          <w:rFonts w:ascii="Times New Roman" w:hAnsi="Times New Roman"/>
          <w:sz w:val="28"/>
          <w:szCs w:val="28"/>
        </w:rPr>
        <w:t xml:space="preserve">he appellant </w:t>
      </w:r>
      <w:r w:rsidR="004003C0" w:rsidRPr="00CD6C14">
        <w:rPr>
          <w:rFonts w:ascii="Times New Roman" w:hAnsi="Times New Roman"/>
          <w:sz w:val="28"/>
          <w:szCs w:val="28"/>
        </w:rPr>
        <w:t xml:space="preserve">continued to operate in the manner </w:t>
      </w:r>
      <w:r w:rsidR="002B752C" w:rsidRPr="00CD6C14">
        <w:rPr>
          <w:rFonts w:ascii="Times New Roman" w:hAnsi="Times New Roman"/>
          <w:sz w:val="28"/>
          <w:szCs w:val="28"/>
        </w:rPr>
        <w:t xml:space="preserve">in </w:t>
      </w:r>
      <w:r w:rsidR="004003C0" w:rsidRPr="00CD6C14">
        <w:rPr>
          <w:rFonts w:ascii="Times New Roman" w:hAnsi="Times New Roman"/>
          <w:sz w:val="28"/>
          <w:szCs w:val="28"/>
        </w:rPr>
        <w:t>which she did until or about 2017. In August 2018 she appeared in court</w:t>
      </w:r>
      <w:r w:rsidR="00810763" w:rsidRPr="00CD6C14">
        <w:rPr>
          <w:rFonts w:ascii="Times New Roman" w:hAnsi="Times New Roman"/>
          <w:sz w:val="28"/>
          <w:szCs w:val="28"/>
        </w:rPr>
        <w:t xml:space="preserve"> on charges relating to the </w:t>
      </w:r>
      <w:r w:rsidR="009B5989" w:rsidRPr="00CD6C14">
        <w:rPr>
          <w:rFonts w:ascii="Times New Roman" w:hAnsi="Times New Roman"/>
          <w:sz w:val="28"/>
          <w:szCs w:val="28"/>
        </w:rPr>
        <w:t xml:space="preserve">eleven </w:t>
      </w:r>
      <w:r w:rsidR="00810763" w:rsidRPr="00CD6C14">
        <w:rPr>
          <w:rFonts w:ascii="Times New Roman" w:hAnsi="Times New Roman"/>
          <w:sz w:val="28"/>
          <w:szCs w:val="28"/>
        </w:rPr>
        <w:t>counts me</w:t>
      </w:r>
      <w:r w:rsidR="003C433D" w:rsidRPr="00CD6C14">
        <w:rPr>
          <w:rFonts w:ascii="Times New Roman" w:hAnsi="Times New Roman"/>
          <w:sz w:val="28"/>
          <w:szCs w:val="28"/>
        </w:rPr>
        <w:t xml:space="preserve">ntioned earlier. Bail was fixed subject to various conditions, the </w:t>
      </w:r>
      <w:r w:rsidR="003C433D" w:rsidRPr="00CD6C14">
        <w:rPr>
          <w:rFonts w:ascii="Times New Roman" w:hAnsi="Times New Roman"/>
          <w:sz w:val="28"/>
          <w:szCs w:val="28"/>
        </w:rPr>
        <w:lastRenderedPageBreak/>
        <w:t xml:space="preserve">most </w:t>
      </w:r>
      <w:r w:rsidR="006B7DF9" w:rsidRPr="00CD6C14">
        <w:rPr>
          <w:rFonts w:ascii="Times New Roman" w:hAnsi="Times New Roman"/>
          <w:sz w:val="28"/>
          <w:szCs w:val="28"/>
        </w:rPr>
        <w:t>significant of which included a condition that expressly prohibited her from rendering any legal services for a fee, gain or reward.</w:t>
      </w:r>
    </w:p>
    <w:p w14:paraId="299C9D8C" w14:textId="77777777" w:rsidR="00D72975" w:rsidRPr="00CD6C14" w:rsidRDefault="00D72975" w:rsidP="00FC37AB">
      <w:pPr>
        <w:pStyle w:val="LegalList1"/>
        <w:spacing w:after="0" w:line="360" w:lineRule="auto"/>
        <w:rPr>
          <w:rFonts w:ascii="Times New Roman" w:hAnsi="Times New Roman"/>
          <w:sz w:val="28"/>
          <w:szCs w:val="28"/>
        </w:rPr>
      </w:pPr>
    </w:p>
    <w:p w14:paraId="225BD22F" w14:textId="07D74D35" w:rsidR="004616C1"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2B752C" w:rsidRPr="00CD6C14">
        <w:rPr>
          <w:rFonts w:ascii="Times New Roman" w:hAnsi="Times New Roman"/>
          <w:sz w:val="28"/>
          <w:szCs w:val="28"/>
        </w:rPr>
        <w:t>On 9 December 2021</w:t>
      </w:r>
      <w:r w:rsidR="008036C6">
        <w:rPr>
          <w:rFonts w:ascii="Times New Roman" w:hAnsi="Times New Roman"/>
          <w:sz w:val="28"/>
          <w:szCs w:val="28"/>
        </w:rPr>
        <w:t>,</w:t>
      </w:r>
      <w:r w:rsidR="002B752C" w:rsidRPr="00CD6C14">
        <w:rPr>
          <w:rFonts w:ascii="Times New Roman" w:hAnsi="Times New Roman"/>
          <w:sz w:val="28"/>
          <w:szCs w:val="28"/>
        </w:rPr>
        <w:t xml:space="preserve"> </w:t>
      </w:r>
      <w:r w:rsidR="004616C1" w:rsidRPr="00CD6C14">
        <w:rPr>
          <w:rFonts w:ascii="Times New Roman" w:hAnsi="Times New Roman"/>
          <w:sz w:val="28"/>
          <w:szCs w:val="28"/>
        </w:rPr>
        <w:t>the regional magistrate before whom the appellant was sentenced cancelled the appellant’s bail for breach of the abovementioned condition. The appellant has since been in custody and is presently serving her sentence aforementioned.</w:t>
      </w:r>
    </w:p>
    <w:p w14:paraId="0F5BBE82" w14:textId="77777777" w:rsidR="008036C6" w:rsidRPr="00CD6C14" w:rsidRDefault="008036C6" w:rsidP="00FC37AB">
      <w:pPr>
        <w:pStyle w:val="LegalList1"/>
        <w:spacing w:after="0" w:line="360" w:lineRule="auto"/>
        <w:ind w:left="851"/>
        <w:rPr>
          <w:rFonts w:ascii="Times New Roman" w:hAnsi="Times New Roman"/>
          <w:sz w:val="28"/>
          <w:szCs w:val="28"/>
        </w:rPr>
      </w:pPr>
    </w:p>
    <w:p w14:paraId="225BD230" w14:textId="77777777" w:rsidR="00321C55" w:rsidRPr="00CD6C14" w:rsidRDefault="00321C55"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The procedural context for determination of the appeal</w:t>
      </w:r>
    </w:p>
    <w:p w14:paraId="225BD232" w14:textId="7E5B18E7" w:rsidR="00FF182A"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295D73" w:rsidRPr="00CD6C14">
        <w:rPr>
          <w:rFonts w:ascii="Times New Roman" w:hAnsi="Times New Roman"/>
          <w:sz w:val="28"/>
          <w:szCs w:val="28"/>
        </w:rPr>
        <w:t>The record on appeal comprises of 18 volumes with a total number of pages exceeding 4000</w:t>
      </w:r>
      <w:r w:rsidR="001C074A" w:rsidRPr="00CD6C14">
        <w:rPr>
          <w:rFonts w:ascii="Times New Roman" w:hAnsi="Times New Roman"/>
          <w:sz w:val="28"/>
          <w:szCs w:val="28"/>
        </w:rPr>
        <w:t xml:space="preserve">. </w:t>
      </w:r>
      <w:r w:rsidR="00FF7E3A">
        <w:rPr>
          <w:rFonts w:ascii="Times New Roman" w:hAnsi="Times New Roman"/>
          <w:sz w:val="28"/>
          <w:szCs w:val="28"/>
        </w:rPr>
        <w:t>An appeal does not</w:t>
      </w:r>
      <w:r w:rsidR="00037F82">
        <w:rPr>
          <w:rFonts w:ascii="Times New Roman" w:hAnsi="Times New Roman"/>
          <w:sz w:val="28"/>
          <w:szCs w:val="28"/>
        </w:rPr>
        <w:t xml:space="preserve"> </w:t>
      </w:r>
      <w:r w:rsidR="000B5C66">
        <w:rPr>
          <w:rFonts w:ascii="Times New Roman" w:hAnsi="Times New Roman"/>
          <w:sz w:val="28"/>
          <w:szCs w:val="28"/>
        </w:rPr>
        <w:t xml:space="preserve">necessarily require consideration of the record of the entire </w:t>
      </w:r>
      <w:r w:rsidR="003B03B0">
        <w:rPr>
          <w:rFonts w:ascii="Times New Roman" w:hAnsi="Times New Roman"/>
          <w:sz w:val="28"/>
          <w:szCs w:val="28"/>
        </w:rPr>
        <w:t xml:space="preserve">proceedings in the trial court, but merely such part thereof as may </w:t>
      </w:r>
      <w:r w:rsidR="00276D8F">
        <w:rPr>
          <w:rFonts w:ascii="Times New Roman" w:hAnsi="Times New Roman"/>
          <w:sz w:val="28"/>
          <w:szCs w:val="28"/>
        </w:rPr>
        <w:t xml:space="preserve">be required to enable the court of appeal to properly </w:t>
      </w:r>
      <w:r w:rsidR="009255C6">
        <w:rPr>
          <w:rFonts w:ascii="Times New Roman" w:hAnsi="Times New Roman"/>
          <w:sz w:val="28"/>
          <w:szCs w:val="28"/>
        </w:rPr>
        <w:t xml:space="preserve">consider the particular issue/s </w:t>
      </w:r>
      <w:r w:rsidR="00024182">
        <w:rPr>
          <w:rFonts w:ascii="Times New Roman" w:hAnsi="Times New Roman"/>
          <w:sz w:val="28"/>
          <w:szCs w:val="28"/>
        </w:rPr>
        <w:t>on appeal in the context of the trial proceedings.</w:t>
      </w:r>
      <w:r w:rsidR="00544FEC">
        <w:rPr>
          <w:rStyle w:val="FootnoteReference"/>
          <w:rFonts w:ascii="Times New Roman" w:hAnsi="Times New Roman"/>
          <w:sz w:val="28"/>
          <w:szCs w:val="28"/>
        </w:rPr>
        <w:footnoteReference w:id="2"/>
      </w:r>
      <w:r w:rsidR="00544FEC">
        <w:rPr>
          <w:rFonts w:ascii="Times New Roman" w:hAnsi="Times New Roman"/>
          <w:sz w:val="28"/>
          <w:szCs w:val="28"/>
        </w:rPr>
        <w:t xml:space="preserve"> </w:t>
      </w:r>
      <w:r w:rsidR="00D80AA7" w:rsidRPr="00CD6C14">
        <w:rPr>
          <w:rFonts w:ascii="Times New Roman" w:hAnsi="Times New Roman"/>
          <w:sz w:val="28"/>
          <w:szCs w:val="28"/>
        </w:rPr>
        <w:t xml:space="preserve">Given that the appeal </w:t>
      </w:r>
      <w:r w:rsidR="002350A7" w:rsidRPr="00CD6C14">
        <w:rPr>
          <w:rFonts w:ascii="Times New Roman" w:hAnsi="Times New Roman"/>
          <w:sz w:val="28"/>
          <w:szCs w:val="28"/>
        </w:rPr>
        <w:t xml:space="preserve">is </w:t>
      </w:r>
      <w:r w:rsidR="00D80AA7" w:rsidRPr="00CD6C14">
        <w:rPr>
          <w:rFonts w:ascii="Times New Roman" w:hAnsi="Times New Roman"/>
          <w:sz w:val="28"/>
          <w:szCs w:val="28"/>
        </w:rPr>
        <w:t>limited to sentence</w:t>
      </w:r>
      <w:r w:rsidR="00A971DC" w:rsidRPr="00CD6C14">
        <w:rPr>
          <w:rFonts w:ascii="Times New Roman" w:hAnsi="Times New Roman"/>
          <w:sz w:val="28"/>
          <w:szCs w:val="28"/>
        </w:rPr>
        <w:t>,</w:t>
      </w:r>
      <w:r w:rsidR="00D80AA7" w:rsidRPr="00CD6C14">
        <w:rPr>
          <w:rFonts w:ascii="Times New Roman" w:hAnsi="Times New Roman"/>
          <w:sz w:val="28"/>
          <w:szCs w:val="28"/>
        </w:rPr>
        <w:t xml:space="preserve"> this Court</w:t>
      </w:r>
      <w:r w:rsidR="00A86271" w:rsidRPr="00CD6C14">
        <w:rPr>
          <w:rFonts w:ascii="Times New Roman" w:hAnsi="Times New Roman"/>
          <w:sz w:val="28"/>
          <w:szCs w:val="28"/>
        </w:rPr>
        <w:t xml:space="preserve"> issued directives requiring counsel to submit written argument</w:t>
      </w:r>
      <w:r w:rsidR="00A86271" w:rsidRPr="00CD6C14">
        <w:rPr>
          <w:rStyle w:val="FootnoteReference"/>
          <w:rFonts w:ascii="Times New Roman" w:hAnsi="Times New Roman"/>
          <w:sz w:val="28"/>
          <w:szCs w:val="28"/>
        </w:rPr>
        <w:footnoteReference w:id="3"/>
      </w:r>
      <w:r w:rsidR="00A971DC" w:rsidRPr="00CD6C14">
        <w:rPr>
          <w:rFonts w:ascii="Times New Roman" w:hAnsi="Times New Roman"/>
          <w:sz w:val="28"/>
          <w:szCs w:val="28"/>
        </w:rPr>
        <w:t xml:space="preserve"> </w:t>
      </w:r>
      <w:r w:rsidR="00B40F45" w:rsidRPr="00CD6C14">
        <w:rPr>
          <w:rFonts w:ascii="Times New Roman" w:hAnsi="Times New Roman"/>
          <w:sz w:val="28"/>
          <w:szCs w:val="28"/>
        </w:rPr>
        <w:t>in</w:t>
      </w:r>
      <w:r w:rsidR="00EA6B90" w:rsidRPr="00CD6C14">
        <w:rPr>
          <w:rFonts w:ascii="Times New Roman" w:hAnsi="Times New Roman"/>
          <w:sz w:val="28"/>
          <w:szCs w:val="28"/>
        </w:rPr>
        <w:t>dicating the portions of the record which are necessary for the determination of the matter</w:t>
      </w:r>
      <w:r w:rsidR="00B40F45" w:rsidRPr="00CD6C14">
        <w:rPr>
          <w:rFonts w:ascii="Times New Roman" w:hAnsi="Times New Roman"/>
          <w:sz w:val="28"/>
          <w:szCs w:val="28"/>
        </w:rPr>
        <w:t xml:space="preserve"> </w:t>
      </w:r>
      <w:r w:rsidR="00FF182A" w:rsidRPr="00CD6C14">
        <w:rPr>
          <w:rFonts w:ascii="Times New Roman" w:hAnsi="Times New Roman"/>
          <w:sz w:val="28"/>
          <w:szCs w:val="28"/>
        </w:rPr>
        <w:t xml:space="preserve">with reference to </w:t>
      </w:r>
      <w:r w:rsidR="00B40F45" w:rsidRPr="00CD6C14">
        <w:rPr>
          <w:rFonts w:ascii="Times New Roman" w:hAnsi="Times New Roman"/>
          <w:sz w:val="28"/>
          <w:szCs w:val="28"/>
        </w:rPr>
        <w:t xml:space="preserve">the </w:t>
      </w:r>
      <w:r w:rsidR="00A971DC" w:rsidRPr="00CD6C14">
        <w:rPr>
          <w:rFonts w:ascii="Times New Roman" w:hAnsi="Times New Roman"/>
          <w:sz w:val="28"/>
          <w:szCs w:val="28"/>
        </w:rPr>
        <w:t>specific pages and paragraphs of relevance</w:t>
      </w:r>
      <w:r w:rsidR="00B40F45" w:rsidRPr="00CD6C14">
        <w:rPr>
          <w:rFonts w:ascii="Times New Roman" w:hAnsi="Times New Roman"/>
          <w:sz w:val="28"/>
          <w:szCs w:val="28"/>
        </w:rPr>
        <w:t xml:space="preserve"> </w:t>
      </w:r>
      <w:r w:rsidR="00FF182A" w:rsidRPr="00CD6C14">
        <w:rPr>
          <w:rFonts w:ascii="Times New Roman" w:hAnsi="Times New Roman"/>
          <w:sz w:val="28"/>
          <w:szCs w:val="28"/>
        </w:rPr>
        <w:t xml:space="preserve">where </w:t>
      </w:r>
      <w:r w:rsidR="00B40F45" w:rsidRPr="00CD6C14">
        <w:rPr>
          <w:rFonts w:ascii="Times New Roman" w:hAnsi="Times New Roman"/>
          <w:sz w:val="28"/>
          <w:szCs w:val="28"/>
        </w:rPr>
        <w:t>applicable.</w:t>
      </w:r>
    </w:p>
    <w:p w14:paraId="01A3DDD7" w14:textId="77777777" w:rsidR="00515A46" w:rsidRPr="00CD6C14" w:rsidRDefault="00515A46" w:rsidP="00FC37AB">
      <w:pPr>
        <w:pStyle w:val="LegalList1"/>
        <w:spacing w:after="0" w:line="360" w:lineRule="auto"/>
        <w:rPr>
          <w:rFonts w:ascii="Times New Roman" w:hAnsi="Times New Roman"/>
          <w:sz w:val="28"/>
          <w:szCs w:val="28"/>
        </w:rPr>
      </w:pPr>
    </w:p>
    <w:p w14:paraId="225BD233" w14:textId="27A19EF0" w:rsidR="00295D73"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B40F45" w:rsidRPr="00CD6C14">
        <w:rPr>
          <w:rFonts w:ascii="Times New Roman" w:hAnsi="Times New Roman"/>
          <w:sz w:val="28"/>
          <w:szCs w:val="28"/>
        </w:rPr>
        <w:t>We are grat</w:t>
      </w:r>
      <w:r w:rsidR="00FF182A" w:rsidRPr="00CD6C14">
        <w:rPr>
          <w:rFonts w:ascii="Times New Roman" w:hAnsi="Times New Roman"/>
          <w:sz w:val="28"/>
          <w:szCs w:val="28"/>
        </w:rPr>
        <w:t>eful to counsel for their considered efforts and assistance in this regard.</w:t>
      </w:r>
    </w:p>
    <w:p w14:paraId="0DD617CA" w14:textId="77777777" w:rsidR="007F1F24" w:rsidRPr="00CD6C14" w:rsidRDefault="007F1F24" w:rsidP="00FC37AB">
      <w:pPr>
        <w:pStyle w:val="LegalList1"/>
        <w:spacing w:after="0" w:line="360" w:lineRule="auto"/>
        <w:rPr>
          <w:rFonts w:ascii="Times New Roman" w:hAnsi="Times New Roman"/>
          <w:sz w:val="28"/>
          <w:szCs w:val="28"/>
        </w:rPr>
      </w:pPr>
    </w:p>
    <w:p w14:paraId="225BD234" w14:textId="6C558379" w:rsidR="005A71C3"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8601D9" w:rsidRPr="00CD6C14">
        <w:rPr>
          <w:rFonts w:ascii="Times New Roman" w:hAnsi="Times New Roman"/>
          <w:sz w:val="28"/>
          <w:szCs w:val="28"/>
        </w:rPr>
        <w:t>I</w:t>
      </w:r>
      <w:r w:rsidR="003A7F1D" w:rsidRPr="00CD6C14">
        <w:rPr>
          <w:rFonts w:ascii="Times New Roman" w:hAnsi="Times New Roman"/>
          <w:sz w:val="28"/>
          <w:szCs w:val="28"/>
        </w:rPr>
        <w:t xml:space="preserve">mmediately </w:t>
      </w:r>
      <w:r w:rsidR="005A71C3" w:rsidRPr="00CD6C14">
        <w:rPr>
          <w:rFonts w:ascii="Times New Roman" w:hAnsi="Times New Roman"/>
          <w:sz w:val="28"/>
          <w:szCs w:val="28"/>
        </w:rPr>
        <w:t>upon being sentenced</w:t>
      </w:r>
      <w:r w:rsidR="00684990">
        <w:rPr>
          <w:rFonts w:ascii="Times New Roman" w:hAnsi="Times New Roman"/>
          <w:sz w:val="28"/>
          <w:szCs w:val="28"/>
        </w:rPr>
        <w:t>,</w:t>
      </w:r>
      <w:r w:rsidR="00625CBF" w:rsidRPr="00CD6C14">
        <w:rPr>
          <w:rFonts w:ascii="Times New Roman" w:hAnsi="Times New Roman"/>
          <w:sz w:val="28"/>
          <w:szCs w:val="28"/>
        </w:rPr>
        <w:t xml:space="preserve"> </w:t>
      </w:r>
      <w:r w:rsidR="008601D9" w:rsidRPr="00CD6C14">
        <w:rPr>
          <w:rFonts w:ascii="Times New Roman" w:hAnsi="Times New Roman"/>
          <w:sz w:val="28"/>
          <w:szCs w:val="28"/>
        </w:rPr>
        <w:t xml:space="preserve">the record indicates that </w:t>
      </w:r>
      <w:r w:rsidR="005A71C3" w:rsidRPr="00CD6C14">
        <w:rPr>
          <w:rFonts w:ascii="Times New Roman" w:hAnsi="Times New Roman"/>
          <w:sz w:val="28"/>
          <w:szCs w:val="28"/>
        </w:rPr>
        <w:t xml:space="preserve">the appellant instructed her legal representative to move an application for leave to appeal. The magistrate </w:t>
      </w:r>
      <w:r w:rsidR="00F30447" w:rsidRPr="00CD6C14">
        <w:rPr>
          <w:rFonts w:ascii="Times New Roman" w:hAnsi="Times New Roman"/>
          <w:sz w:val="28"/>
          <w:szCs w:val="28"/>
        </w:rPr>
        <w:t xml:space="preserve">enquired from the </w:t>
      </w:r>
      <w:r w:rsidR="006E2DC8" w:rsidRPr="00CD6C14">
        <w:rPr>
          <w:rFonts w:ascii="Times New Roman" w:hAnsi="Times New Roman"/>
          <w:sz w:val="28"/>
          <w:szCs w:val="28"/>
        </w:rPr>
        <w:t>S</w:t>
      </w:r>
      <w:r w:rsidR="00D03DF7" w:rsidRPr="00CD6C14">
        <w:rPr>
          <w:rFonts w:ascii="Times New Roman" w:hAnsi="Times New Roman"/>
          <w:sz w:val="28"/>
          <w:szCs w:val="28"/>
        </w:rPr>
        <w:t xml:space="preserve">tate </w:t>
      </w:r>
      <w:r w:rsidR="00FA4268" w:rsidRPr="00CD6C14">
        <w:rPr>
          <w:rFonts w:ascii="Times New Roman" w:hAnsi="Times New Roman"/>
          <w:sz w:val="28"/>
          <w:szCs w:val="28"/>
        </w:rPr>
        <w:t>whether the operation of the suspended sentence ought to have been considered</w:t>
      </w:r>
      <w:r w:rsidR="006D231C" w:rsidRPr="00CD6C14">
        <w:rPr>
          <w:rFonts w:ascii="Times New Roman" w:hAnsi="Times New Roman"/>
          <w:sz w:val="28"/>
          <w:szCs w:val="28"/>
        </w:rPr>
        <w:t>.</w:t>
      </w:r>
      <w:r w:rsidR="003A7F1D" w:rsidRPr="00CD6C14">
        <w:rPr>
          <w:rFonts w:ascii="Times New Roman" w:hAnsi="Times New Roman"/>
          <w:sz w:val="28"/>
          <w:szCs w:val="28"/>
        </w:rPr>
        <w:t xml:space="preserve"> </w:t>
      </w:r>
      <w:r w:rsidR="001F7604" w:rsidRPr="00CD6C14">
        <w:rPr>
          <w:rFonts w:ascii="Times New Roman" w:hAnsi="Times New Roman"/>
          <w:sz w:val="28"/>
          <w:szCs w:val="28"/>
        </w:rPr>
        <w:t>T</w:t>
      </w:r>
      <w:r w:rsidR="003A7F1D" w:rsidRPr="00CD6C14">
        <w:rPr>
          <w:rFonts w:ascii="Times New Roman" w:hAnsi="Times New Roman"/>
          <w:sz w:val="28"/>
          <w:szCs w:val="28"/>
        </w:rPr>
        <w:t xml:space="preserve">he </w:t>
      </w:r>
      <w:r w:rsidR="00F74C93" w:rsidRPr="00CD6C14">
        <w:rPr>
          <w:rFonts w:ascii="Times New Roman" w:hAnsi="Times New Roman"/>
          <w:sz w:val="28"/>
          <w:szCs w:val="28"/>
        </w:rPr>
        <w:t>S</w:t>
      </w:r>
      <w:r w:rsidR="003A7F1D" w:rsidRPr="00CD6C14">
        <w:rPr>
          <w:rFonts w:ascii="Times New Roman" w:hAnsi="Times New Roman"/>
          <w:sz w:val="28"/>
          <w:szCs w:val="28"/>
        </w:rPr>
        <w:t xml:space="preserve">tate indicated that the inquiry for </w:t>
      </w:r>
      <w:r w:rsidR="003A7F1D" w:rsidRPr="00CD6C14">
        <w:rPr>
          <w:rFonts w:ascii="Times New Roman" w:hAnsi="Times New Roman"/>
          <w:sz w:val="28"/>
          <w:szCs w:val="28"/>
        </w:rPr>
        <w:lastRenderedPageBreak/>
        <w:t xml:space="preserve">putting into operation the suspended sentence </w:t>
      </w:r>
      <w:r w:rsidR="0072617C" w:rsidRPr="00CD6C14">
        <w:rPr>
          <w:rFonts w:ascii="Times New Roman" w:hAnsi="Times New Roman"/>
          <w:sz w:val="28"/>
          <w:szCs w:val="28"/>
        </w:rPr>
        <w:t>may</w:t>
      </w:r>
      <w:r w:rsidR="003A7F1D" w:rsidRPr="00CD6C14">
        <w:rPr>
          <w:rFonts w:ascii="Times New Roman" w:hAnsi="Times New Roman"/>
          <w:sz w:val="28"/>
          <w:szCs w:val="28"/>
        </w:rPr>
        <w:t xml:space="preserve"> only be proceeded with once the </w:t>
      </w:r>
      <w:r w:rsidR="00625CBF" w:rsidRPr="00CD6C14">
        <w:rPr>
          <w:rFonts w:ascii="Times New Roman" w:hAnsi="Times New Roman"/>
          <w:sz w:val="28"/>
          <w:szCs w:val="28"/>
        </w:rPr>
        <w:t>appellant has exhausted her appeal rights.</w:t>
      </w:r>
    </w:p>
    <w:p w14:paraId="47D0049E" w14:textId="77777777" w:rsidR="00AE51FB" w:rsidRPr="00CD6C14" w:rsidRDefault="00AE51FB" w:rsidP="00FC37AB">
      <w:pPr>
        <w:pStyle w:val="LegalList1"/>
        <w:spacing w:after="0" w:line="360" w:lineRule="auto"/>
        <w:rPr>
          <w:rFonts w:ascii="Times New Roman" w:hAnsi="Times New Roman"/>
          <w:sz w:val="28"/>
          <w:szCs w:val="28"/>
        </w:rPr>
      </w:pPr>
    </w:p>
    <w:p w14:paraId="225BD235" w14:textId="5BC33F05" w:rsidR="00256EB6"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D0737B" w:rsidRPr="00CD6C14">
        <w:rPr>
          <w:rFonts w:ascii="Times New Roman" w:hAnsi="Times New Roman"/>
          <w:sz w:val="28"/>
          <w:szCs w:val="28"/>
        </w:rPr>
        <w:t xml:space="preserve">Whether </w:t>
      </w:r>
      <w:r w:rsidR="00DF7924" w:rsidRPr="00CD6C14">
        <w:rPr>
          <w:rFonts w:ascii="Times New Roman" w:hAnsi="Times New Roman"/>
          <w:sz w:val="28"/>
          <w:szCs w:val="28"/>
        </w:rPr>
        <w:t xml:space="preserve">it was an irregularity or misdirection not to have </w:t>
      </w:r>
      <w:r w:rsidR="006D231C" w:rsidRPr="00CD6C14">
        <w:rPr>
          <w:rFonts w:ascii="Times New Roman" w:hAnsi="Times New Roman"/>
          <w:sz w:val="28"/>
          <w:szCs w:val="28"/>
        </w:rPr>
        <w:t xml:space="preserve">put into operation </w:t>
      </w:r>
      <w:r w:rsidR="00C50909" w:rsidRPr="00CD6C14">
        <w:rPr>
          <w:rFonts w:ascii="Times New Roman" w:hAnsi="Times New Roman"/>
          <w:sz w:val="28"/>
          <w:szCs w:val="28"/>
        </w:rPr>
        <w:t xml:space="preserve">the suspended sentence of 3 years </w:t>
      </w:r>
      <w:r w:rsidR="0066405E" w:rsidRPr="00CD6C14">
        <w:rPr>
          <w:rFonts w:ascii="Times New Roman" w:hAnsi="Times New Roman"/>
          <w:sz w:val="28"/>
          <w:szCs w:val="28"/>
        </w:rPr>
        <w:t xml:space="preserve">and whether its pending operation precluded the hearing of the appeal were issues </w:t>
      </w:r>
      <w:r w:rsidR="00AD4DFB" w:rsidRPr="00CD6C14">
        <w:rPr>
          <w:rFonts w:ascii="Times New Roman" w:hAnsi="Times New Roman"/>
          <w:sz w:val="28"/>
          <w:szCs w:val="28"/>
        </w:rPr>
        <w:t xml:space="preserve">preliminarily raised with both counsel prior to the commencement of </w:t>
      </w:r>
      <w:r w:rsidR="001C409C" w:rsidRPr="00CD6C14">
        <w:rPr>
          <w:rFonts w:ascii="Times New Roman" w:hAnsi="Times New Roman"/>
          <w:sz w:val="28"/>
          <w:szCs w:val="28"/>
        </w:rPr>
        <w:t xml:space="preserve">argument in </w:t>
      </w:r>
      <w:r w:rsidR="00AD4DFB" w:rsidRPr="00CD6C14">
        <w:rPr>
          <w:rFonts w:ascii="Times New Roman" w:hAnsi="Times New Roman"/>
          <w:sz w:val="28"/>
          <w:szCs w:val="28"/>
        </w:rPr>
        <w:t>th</w:t>
      </w:r>
      <w:r w:rsidR="00256EB6" w:rsidRPr="00CD6C14">
        <w:rPr>
          <w:rFonts w:ascii="Times New Roman" w:hAnsi="Times New Roman"/>
          <w:sz w:val="28"/>
          <w:szCs w:val="28"/>
        </w:rPr>
        <w:t>e</w:t>
      </w:r>
      <w:r w:rsidR="00AF51B7" w:rsidRPr="00CD6C14">
        <w:rPr>
          <w:rFonts w:ascii="Times New Roman" w:hAnsi="Times New Roman"/>
          <w:sz w:val="28"/>
          <w:szCs w:val="28"/>
        </w:rPr>
        <w:t xml:space="preserve"> appeal.</w:t>
      </w:r>
    </w:p>
    <w:p w14:paraId="6EC388B2" w14:textId="77777777" w:rsidR="00AE51FB" w:rsidRPr="00CD6C14" w:rsidRDefault="00AE51FB" w:rsidP="00FC37AB">
      <w:pPr>
        <w:pStyle w:val="LegalList1"/>
        <w:spacing w:after="0" w:line="360" w:lineRule="auto"/>
        <w:rPr>
          <w:rFonts w:ascii="Times New Roman" w:hAnsi="Times New Roman"/>
          <w:sz w:val="28"/>
          <w:szCs w:val="28"/>
        </w:rPr>
      </w:pPr>
    </w:p>
    <w:p w14:paraId="225BD236" w14:textId="3419C5BA" w:rsidR="00C417F3"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154AA" w:rsidRPr="00CD6C14">
        <w:rPr>
          <w:rFonts w:ascii="Times New Roman" w:hAnsi="Times New Roman"/>
          <w:sz w:val="28"/>
          <w:szCs w:val="28"/>
        </w:rPr>
        <w:t xml:space="preserve">The procedure for putting into operation </w:t>
      </w:r>
      <w:r w:rsidR="003214E1" w:rsidRPr="00CD6C14">
        <w:rPr>
          <w:rFonts w:ascii="Times New Roman" w:hAnsi="Times New Roman"/>
          <w:sz w:val="28"/>
          <w:szCs w:val="28"/>
        </w:rPr>
        <w:t xml:space="preserve">of a suspended sentence ordinarily commences with an application </w:t>
      </w:r>
      <w:r w:rsidR="00550287" w:rsidRPr="00CD6C14">
        <w:rPr>
          <w:rFonts w:ascii="Times New Roman" w:hAnsi="Times New Roman"/>
          <w:sz w:val="28"/>
          <w:szCs w:val="28"/>
        </w:rPr>
        <w:t xml:space="preserve">by the State. </w:t>
      </w:r>
      <w:r w:rsidR="001F7604" w:rsidRPr="00CD6C14">
        <w:rPr>
          <w:rFonts w:ascii="Times New Roman" w:hAnsi="Times New Roman"/>
          <w:sz w:val="28"/>
          <w:szCs w:val="28"/>
        </w:rPr>
        <w:t xml:space="preserve">This appears to be the case even where the trial court </w:t>
      </w:r>
      <w:r w:rsidR="00790814" w:rsidRPr="00CD6C14">
        <w:rPr>
          <w:rFonts w:ascii="Times New Roman" w:hAnsi="Times New Roman"/>
          <w:sz w:val="28"/>
          <w:szCs w:val="28"/>
        </w:rPr>
        <w:t xml:space="preserve">itself </w:t>
      </w:r>
      <w:r w:rsidR="001F7604" w:rsidRPr="00CD6C14">
        <w:rPr>
          <w:rFonts w:ascii="Times New Roman" w:hAnsi="Times New Roman"/>
          <w:i/>
          <w:sz w:val="28"/>
          <w:szCs w:val="28"/>
        </w:rPr>
        <w:t>mero motu</w:t>
      </w:r>
      <w:r w:rsidR="00790814" w:rsidRPr="00CD6C14">
        <w:rPr>
          <w:rFonts w:ascii="Times New Roman" w:hAnsi="Times New Roman"/>
          <w:sz w:val="28"/>
          <w:szCs w:val="28"/>
        </w:rPr>
        <w:t xml:space="preserve"> raises the question of implementing the operation of a suspended sentence</w:t>
      </w:r>
      <w:r w:rsidR="00F43424" w:rsidRPr="00CD6C14">
        <w:rPr>
          <w:rFonts w:ascii="Times New Roman" w:hAnsi="Times New Roman"/>
          <w:sz w:val="28"/>
          <w:szCs w:val="28"/>
        </w:rPr>
        <w:t xml:space="preserve"> </w:t>
      </w:r>
      <w:r w:rsidR="00632EB4" w:rsidRPr="00CD6C14">
        <w:rPr>
          <w:rFonts w:ascii="Times New Roman" w:hAnsi="Times New Roman"/>
          <w:sz w:val="28"/>
          <w:szCs w:val="28"/>
        </w:rPr>
        <w:t xml:space="preserve">provided that a pre-selected date is chosen </w:t>
      </w:r>
      <w:r w:rsidR="00A907BA" w:rsidRPr="00CD6C14">
        <w:rPr>
          <w:rFonts w:ascii="Times New Roman" w:hAnsi="Times New Roman"/>
          <w:sz w:val="28"/>
          <w:szCs w:val="28"/>
        </w:rPr>
        <w:t>to allow the prosecution to make the necessary application.</w:t>
      </w:r>
      <w:r w:rsidR="00790814" w:rsidRPr="00CD6C14">
        <w:rPr>
          <w:rStyle w:val="FootnoteReference"/>
          <w:rFonts w:ascii="Times New Roman" w:hAnsi="Times New Roman"/>
          <w:sz w:val="28"/>
          <w:szCs w:val="28"/>
        </w:rPr>
        <w:footnoteReference w:id="4"/>
      </w:r>
      <w:r w:rsidR="00790814" w:rsidRPr="00CD6C14">
        <w:rPr>
          <w:rFonts w:ascii="Times New Roman" w:hAnsi="Times New Roman"/>
          <w:sz w:val="28"/>
          <w:szCs w:val="28"/>
        </w:rPr>
        <w:t xml:space="preserve"> </w:t>
      </w:r>
      <w:r w:rsidR="000D1B52" w:rsidRPr="00CD6C14">
        <w:rPr>
          <w:rFonts w:ascii="Times New Roman" w:hAnsi="Times New Roman"/>
          <w:sz w:val="28"/>
          <w:szCs w:val="28"/>
        </w:rPr>
        <w:t>I</w:t>
      </w:r>
      <w:r w:rsidR="00550287" w:rsidRPr="00CD6C14">
        <w:rPr>
          <w:rFonts w:ascii="Times New Roman" w:hAnsi="Times New Roman"/>
          <w:sz w:val="28"/>
          <w:szCs w:val="28"/>
        </w:rPr>
        <w:t>n either instance</w:t>
      </w:r>
      <w:r w:rsidR="00356757" w:rsidRPr="00CD6C14">
        <w:rPr>
          <w:rFonts w:ascii="Times New Roman" w:hAnsi="Times New Roman"/>
          <w:sz w:val="28"/>
          <w:szCs w:val="28"/>
        </w:rPr>
        <w:t>,</w:t>
      </w:r>
      <w:r w:rsidR="00550287" w:rsidRPr="00CD6C14">
        <w:rPr>
          <w:rFonts w:ascii="Times New Roman" w:hAnsi="Times New Roman"/>
          <w:sz w:val="28"/>
          <w:szCs w:val="28"/>
        </w:rPr>
        <w:t xml:space="preserve"> the State must move the court to put the sentence into operation. </w:t>
      </w:r>
      <w:r w:rsidR="002C725B" w:rsidRPr="00CD6C14">
        <w:rPr>
          <w:rFonts w:ascii="Times New Roman" w:hAnsi="Times New Roman"/>
          <w:sz w:val="28"/>
          <w:szCs w:val="28"/>
        </w:rPr>
        <w:t>The rationale therefor appears to be that the accused</w:t>
      </w:r>
      <w:r w:rsidR="000A6EE2" w:rsidRPr="00CD6C14">
        <w:rPr>
          <w:rFonts w:ascii="Times New Roman" w:hAnsi="Times New Roman"/>
          <w:sz w:val="28"/>
          <w:szCs w:val="28"/>
        </w:rPr>
        <w:t xml:space="preserve"> </w:t>
      </w:r>
      <w:r w:rsidR="002C725B" w:rsidRPr="00CD6C14">
        <w:rPr>
          <w:rFonts w:ascii="Times New Roman" w:hAnsi="Times New Roman"/>
          <w:sz w:val="28"/>
          <w:szCs w:val="28"/>
        </w:rPr>
        <w:t xml:space="preserve">has to be appraised of his right to lead evidence and </w:t>
      </w:r>
      <w:r w:rsidR="00F36E62" w:rsidRPr="00CD6C14">
        <w:rPr>
          <w:rFonts w:ascii="Times New Roman" w:hAnsi="Times New Roman"/>
          <w:sz w:val="28"/>
          <w:szCs w:val="28"/>
        </w:rPr>
        <w:t xml:space="preserve">be given the opportunity </w:t>
      </w:r>
      <w:r w:rsidR="002C725B" w:rsidRPr="00CD6C14">
        <w:rPr>
          <w:rFonts w:ascii="Times New Roman" w:hAnsi="Times New Roman"/>
          <w:sz w:val="28"/>
          <w:szCs w:val="28"/>
        </w:rPr>
        <w:t xml:space="preserve">to advance argument with a view to resisting the </w:t>
      </w:r>
      <w:r w:rsidR="00BA5DCF" w:rsidRPr="00CD6C14">
        <w:rPr>
          <w:rFonts w:ascii="Times New Roman" w:hAnsi="Times New Roman"/>
          <w:sz w:val="28"/>
          <w:szCs w:val="28"/>
        </w:rPr>
        <w:t xml:space="preserve">implementation of the suspended sentence or to advance </w:t>
      </w:r>
      <w:r w:rsidR="000C36D0" w:rsidRPr="00CD6C14">
        <w:rPr>
          <w:rFonts w:ascii="Times New Roman" w:hAnsi="Times New Roman"/>
          <w:sz w:val="28"/>
          <w:szCs w:val="28"/>
        </w:rPr>
        <w:t xml:space="preserve">any other </w:t>
      </w:r>
      <w:r w:rsidR="00980FF8" w:rsidRPr="00CD6C14">
        <w:rPr>
          <w:rFonts w:ascii="Times New Roman" w:hAnsi="Times New Roman"/>
          <w:sz w:val="28"/>
          <w:szCs w:val="28"/>
        </w:rPr>
        <w:t>good and sufficient reason</w:t>
      </w:r>
      <w:r w:rsidR="00BA5DCF" w:rsidRPr="00CD6C14">
        <w:rPr>
          <w:rFonts w:ascii="Times New Roman" w:hAnsi="Times New Roman"/>
          <w:sz w:val="28"/>
          <w:szCs w:val="28"/>
        </w:rPr>
        <w:t xml:space="preserve"> for a further suspension thereof.</w:t>
      </w:r>
      <w:r w:rsidR="00BA5DCF" w:rsidRPr="00CD6C14">
        <w:rPr>
          <w:rStyle w:val="FootnoteReference"/>
          <w:rFonts w:ascii="Times New Roman" w:hAnsi="Times New Roman"/>
          <w:sz w:val="28"/>
          <w:szCs w:val="28"/>
        </w:rPr>
        <w:footnoteReference w:id="5"/>
      </w:r>
      <w:r w:rsidR="00BA5DCF" w:rsidRPr="00CD6C14">
        <w:rPr>
          <w:rFonts w:ascii="Times New Roman" w:hAnsi="Times New Roman"/>
          <w:sz w:val="28"/>
          <w:szCs w:val="28"/>
        </w:rPr>
        <w:t xml:space="preserve"> W</w:t>
      </w:r>
      <w:r w:rsidR="00AF64B2" w:rsidRPr="00CD6C14">
        <w:rPr>
          <w:rFonts w:ascii="Times New Roman" w:hAnsi="Times New Roman"/>
          <w:sz w:val="28"/>
          <w:szCs w:val="28"/>
        </w:rPr>
        <w:t>here such an application has not been forthcoming</w:t>
      </w:r>
      <w:r w:rsidR="00F36E62" w:rsidRPr="00CD6C14">
        <w:rPr>
          <w:rFonts w:ascii="Times New Roman" w:hAnsi="Times New Roman"/>
          <w:sz w:val="28"/>
          <w:szCs w:val="28"/>
        </w:rPr>
        <w:t xml:space="preserve"> – and by implication the accused not having been afforded opportunity</w:t>
      </w:r>
      <w:r w:rsidR="00356757" w:rsidRPr="00CD6C14">
        <w:rPr>
          <w:rFonts w:ascii="Times New Roman" w:hAnsi="Times New Roman"/>
          <w:sz w:val="28"/>
          <w:szCs w:val="28"/>
        </w:rPr>
        <w:t xml:space="preserve"> </w:t>
      </w:r>
      <w:r w:rsidR="00F36E62" w:rsidRPr="00CD6C14">
        <w:rPr>
          <w:rFonts w:ascii="Times New Roman" w:hAnsi="Times New Roman"/>
          <w:sz w:val="28"/>
          <w:szCs w:val="28"/>
        </w:rPr>
        <w:t xml:space="preserve">– it </w:t>
      </w:r>
      <w:r w:rsidR="00AF64B2" w:rsidRPr="00CD6C14">
        <w:rPr>
          <w:rFonts w:ascii="Times New Roman" w:hAnsi="Times New Roman"/>
          <w:sz w:val="28"/>
          <w:szCs w:val="28"/>
        </w:rPr>
        <w:t xml:space="preserve">would be prejudicial to the appellant </w:t>
      </w:r>
      <w:r w:rsidR="00B32B51" w:rsidRPr="00CD6C14">
        <w:rPr>
          <w:rFonts w:ascii="Times New Roman" w:hAnsi="Times New Roman"/>
          <w:sz w:val="28"/>
          <w:szCs w:val="28"/>
        </w:rPr>
        <w:t xml:space="preserve">if </w:t>
      </w:r>
      <w:r w:rsidR="006F44B3" w:rsidRPr="00CD6C14">
        <w:rPr>
          <w:rFonts w:ascii="Times New Roman" w:hAnsi="Times New Roman"/>
          <w:sz w:val="28"/>
          <w:szCs w:val="28"/>
        </w:rPr>
        <w:t xml:space="preserve">a court of appeal </w:t>
      </w:r>
      <w:r w:rsidR="00B32B51" w:rsidRPr="00CD6C14">
        <w:rPr>
          <w:rFonts w:ascii="Times New Roman" w:hAnsi="Times New Roman"/>
          <w:sz w:val="28"/>
          <w:szCs w:val="28"/>
        </w:rPr>
        <w:t xml:space="preserve">were </w:t>
      </w:r>
      <w:r w:rsidR="0003673D" w:rsidRPr="00CD6C14">
        <w:rPr>
          <w:rFonts w:ascii="Times New Roman" w:hAnsi="Times New Roman"/>
          <w:sz w:val="28"/>
          <w:szCs w:val="28"/>
        </w:rPr>
        <w:t xml:space="preserve">to </w:t>
      </w:r>
      <w:r w:rsidR="00E479B0" w:rsidRPr="00CD6C14">
        <w:rPr>
          <w:rFonts w:ascii="Times New Roman" w:hAnsi="Times New Roman"/>
          <w:sz w:val="28"/>
          <w:szCs w:val="28"/>
        </w:rPr>
        <w:t>raise</w:t>
      </w:r>
      <w:r w:rsidR="0003673D" w:rsidRPr="00CD6C14">
        <w:rPr>
          <w:rFonts w:ascii="Times New Roman" w:hAnsi="Times New Roman"/>
          <w:sz w:val="28"/>
          <w:szCs w:val="28"/>
        </w:rPr>
        <w:t xml:space="preserve"> the issue</w:t>
      </w:r>
      <w:r w:rsidR="003B3626" w:rsidRPr="00CD6C14">
        <w:rPr>
          <w:rStyle w:val="FootnoteReference"/>
          <w:rFonts w:ascii="Times New Roman" w:hAnsi="Times New Roman"/>
          <w:sz w:val="28"/>
          <w:szCs w:val="28"/>
        </w:rPr>
        <w:footnoteReference w:id="6"/>
      </w:r>
      <w:r w:rsidR="00E479B0" w:rsidRPr="00CD6C14">
        <w:rPr>
          <w:rFonts w:ascii="Times New Roman" w:hAnsi="Times New Roman"/>
          <w:sz w:val="28"/>
          <w:szCs w:val="28"/>
        </w:rPr>
        <w:t xml:space="preserve"> and decline to </w:t>
      </w:r>
      <w:r w:rsidR="009675D2" w:rsidRPr="00CD6C14">
        <w:rPr>
          <w:rFonts w:ascii="Times New Roman" w:hAnsi="Times New Roman"/>
          <w:sz w:val="28"/>
          <w:szCs w:val="28"/>
        </w:rPr>
        <w:t>deal with</w:t>
      </w:r>
      <w:r w:rsidR="00E479B0" w:rsidRPr="00CD6C14">
        <w:rPr>
          <w:rFonts w:ascii="Times New Roman" w:hAnsi="Times New Roman"/>
          <w:sz w:val="28"/>
          <w:szCs w:val="28"/>
        </w:rPr>
        <w:t xml:space="preserve"> the appeal.</w:t>
      </w:r>
      <w:r w:rsidR="00FF2B57" w:rsidRPr="00CD6C14">
        <w:rPr>
          <w:rFonts w:ascii="Times New Roman" w:hAnsi="Times New Roman"/>
          <w:sz w:val="28"/>
          <w:szCs w:val="28"/>
        </w:rPr>
        <w:t xml:space="preserve"> </w:t>
      </w:r>
      <w:r w:rsidR="00656750" w:rsidRPr="00CD6C14">
        <w:rPr>
          <w:rFonts w:ascii="Times New Roman" w:hAnsi="Times New Roman"/>
          <w:sz w:val="28"/>
          <w:szCs w:val="28"/>
        </w:rPr>
        <w:t xml:space="preserve">We were in any event informed </w:t>
      </w:r>
      <w:r w:rsidR="004F5BB8" w:rsidRPr="00CD6C14">
        <w:rPr>
          <w:rFonts w:ascii="Times New Roman" w:hAnsi="Times New Roman"/>
          <w:sz w:val="28"/>
          <w:szCs w:val="28"/>
        </w:rPr>
        <w:t xml:space="preserve">by the State </w:t>
      </w:r>
      <w:r w:rsidR="00656750" w:rsidRPr="00CD6C14">
        <w:rPr>
          <w:rFonts w:ascii="Times New Roman" w:hAnsi="Times New Roman"/>
          <w:sz w:val="28"/>
          <w:szCs w:val="28"/>
        </w:rPr>
        <w:t xml:space="preserve">that the proceedings for putting into operation the </w:t>
      </w:r>
      <w:r w:rsidR="00B000D8" w:rsidRPr="00CD6C14">
        <w:rPr>
          <w:rFonts w:ascii="Times New Roman" w:hAnsi="Times New Roman"/>
          <w:sz w:val="28"/>
          <w:szCs w:val="28"/>
        </w:rPr>
        <w:t xml:space="preserve">suspended sentence are </w:t>
      </w:r>
      <w:r w:rsidR="00F36E62" w:rsidRPr="00CD6C14">
        <w:rPr>
          <w:rFonts w:ascii="Times New Roman" w:hAnsi="Times New Roman"/>
          <w:sz w:val="28"/>
          <w:szCs w:val="28"/>
        </w:rPr>
        <w:t xml:space="preserve">expected to be </w:t>
      </w:r>
      <w:r w:rsidR="00E933C6" w:rsidRPr="00CD6C14">
        <w:rPr>
          <w:rFonts w:ascii="Times New Roman" w:hAnsi="Times New Roman"/>
          <w:sz w:val="28"/>
          <w:szCs w:val="28"/>
        </w:rPr>
        <w:t xml:space="preserve">initiated upon finalisation of the appeal. The upshot is that </w:t>
      </w:r>
      <w:r w:rsidR="00B000D8" w:rsidRPr="00CD6C14">
        <w:rPr>
          <w:rFonts w:ascii="Times New Roman" w:hAnsi="Times New Roman"/>
          <w:sz w:val="28"/>
          <w:szCs w:val="28"/>
        </w:rPr>
        <w:t>there was no misdir</w:t>
      </w:r>
      <w:r w:rsidR="006A7308" w:rsidRPr="00CD6C14">
        <w:rPr>
          <w:rFonts w:ascii="Times New Roman" w:hAnsi="Times New Roman"/>
          <w:sz w:val="28"/>
          <w:szCs w:val="28"/>
        </w:rPr>
        <w:t>ection by the sentencing court</w:t>
      </w:r>
      <w:r w:rsidR="009675D2" w:rsidRPr="00CD6C14">
        <w:rPr>
          <w:rFonts w:ascii="Times New Roman" w:hAnsi="Times New Roman"/>
          <w:sz w:val="28"/>
          <w:szCs w:val="28"/>
        </w:rPr>
        <w:t>,</w:t>
      </w:r>
      <w:r w:rsidR="006A7308" w:rsidRPr="00CD6C14">
        <w:rPr>
          <w:rFonts w:ascii="Times New Roman" w:hAnsi="Times New Roman"/>
          <w:sz w:val="28"/>
          <w:szCs w:val="28"/>
        </w:rPr>
        <w:t xml:space="preserve"> and no reason existed for precluding this Court </w:t>
      </w:r>
      <w:r w:rsidR="00D01C55" w:rsidRPr="00CD6C14">
        <w:rPr>
          <w:rFonts w:ascii="Times New Roman" w:hAnsi="Times New Roman"/>
          <w:sz w:val="28"/>
          <w:szCs w:val="28"/>
        </w:rPr>
        <w:t>from hearing the appeal</w:t>
      </w:r>
      <w:r w:rsidR="00853BA3" w:rsidRPr="00CD6C14">
        <w:rPr>
          <w:rFonts w:ascii="Times New Roman" w:hAnsi="Times New Roman"/>
          <w:sz w:val="28"/>
          <w:szCs w:val="28"/>
        </w:rPr>
        <w:t xml:space="preserve">. </w:t>
      </w:r>
      <w:r w:rsidR="00FF2B57" w:rsidRPr="00CD6C14">
        <w:rPr>
          <w:rFonts w:ascii="Times New Roman" w:hAnsi="Times New Roman"/>
          <w:sz w:val="28"/>
          <w:szCs w:val="28"/>
        </w:rPr>
        <w:t xml:space="preserve">We are </w:t>
      </w:r>
      <w:r w:rsidR="002459DB" w:rsidRPr="00CD6C14">
        <w:rPr>
          <w:rFonts w:ascii="Times New Roman" w:hAnsi="Times New Roman"/>
          <w:sz w:val="28"/>
          <w:szCs w:val="28"/>
        </w:rPr>
        <w:lastRenderedPageBreak/>
        <w:t xml:space="preserve">unreservedly in agreement </w:t>
      </w:r>
      <w:r w:rsidR="009675D2" w:rsidRPr="00CD6C14">
        <w:rPr>
          <w:rFonts w:ascii="Times New Roman" w:hAnsi="Times New Roman"/>
          <w:sz w:val="28"/>
          <w:szCs w:val="28"/>
        </w:rPr>
        <w:t xml:space="preserve">with this approach </w:t>
      </w:r>
      <w:r w:rsidR="002459DB" w:rsidRPr="00CD6C14">
        <w:rPr>
          <w:rFonts w:ascii="Times New Roman" w:hAnsi="Times New Roman"/>
          <w:sz w:val="28"/>
          <w:szCs w:val="28"/>
        </w:rPr>
        <w:t xml:space="preserve">and are </w:t>
      </w:r>
      <w:r w:rsidR="00FF2B57" w:rsidRPr="00CD6C14">
        <w:rPr>
          <w:rFonts w:ascii="Times New Roman" w:hAnsi="Times New Roman"/>
          <w:sz w:val="28"/>
          <w:szCs w:val="28"/>
        </w:rPr>
        <w:t>indeb</w:t>
      </w:r>
      <w:r w:rsidR="00973515" w:rsidRPr="00CD6C14">
        <w:rPr>
          <w:rFonts w:ascii="Times New Roman" w:hAnsi="Times New Roman"/>
          <w:sz w:val="28"/>
          <w:szCs w:val="28"/>
        </w:rPr>
        <w:t>ted to counsel for their assistance</w:t>
      </w:r>
      <w:r w:rsidR="002459DB" w:rsidRPr="00CD6C14">
        <w:rPr>
          <w:rFonts w:ascii="Times New Roman" w:hAnsi="Times New Roman"/>
          <w:sz w:val="28"/>
          <w:szCs w:val="28"/>
        </w:rPr>
        <w:t>.</w:t>
      </w:r>
    </w:p>
    <w:p w14:paraId="4E1C5D1D" w14:textId="77777777" w:rsidR="00075E46" w:rsidRPr="00CD6C14" w:rsidRDefault="00075E46" w:rsidP="00FC37AB">
      <w:pPr>
        <w:pStyle w:val="LegalList1"/>
        <w:spacing w:after="0" w:line="360" w:lineRule="auto"/>
        <w:rPr>
          <w:rFonts w:ascii="Times New Roman" w:hAnsi="Times New Roman"/>
          <w:sz w:val="28"/>
          <w:szCs w:val="28"/>
        </w:rPr>
      </w:pPr>
    </w:p>
    <w:p w14:paraId="225BD238" w14:textId="666B2AAA" w:rsidR="00FB5474" w:rsidRPr="00CD6C14" w:rsidRDefault="00570736"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The appropriate test and the appellant’s approach on appeal</w:t>
      </w:r>
      <w:r w:rsidR="0020648E" w:rsidRPr="00CD6C14">
        <w:rPr>
          <w:rFonts w:ascii="Times New Roman" w:hAnsi="Times New Roman"/>
          <w:b/>
          <w:sz w:val="28"/>
          <w:szCs w:val="28"/>
        </w:rPr>
        <w:t xml:space="preserve"> relevant to her status as primary caregiver and the interests of her minor child</w:t>
      </w:r>
    </w:p>
    <w:p w14:paraId="225BD239" w14:textId="24783F1B" w:rsidR="00BC5EEB" w:rsidRPr="00CD6C14" w:rsidRDefault="009C0671" w:rsidP="009C0671">
      <w:pPr>
        <w:pStyle w:val="LegalList1"/>
        <w:spacing w:after="0" w:line="360" w:lineRule="auto"/>
        <w:rPr>
          <w:rFonts w:ascii="Times New Roman" w:hAnsi="Times New Roman"/>
          <w:sz w:val="28"/>
          <w:szCs w:val="28"/>
        </w:rPr>
      </w:pPr>
      <w:r w:rsidRPr="00CD6C14">
        <w:rPr>
          <w:rFonts w:ascii="Times New Roman" w:hAnsi="Times New Roman"/>
          <w:sz w:val="28"/>
          <w:szCs w:val="28"/>
        </w:rPr>
        <w:t>[16]</w:t>
      </w:r>
      <w:r w:rsidRPr="00CD6C14">
        <w:rPr>
          <w:rFonts w:ascii="Times New Roman" w:hAnsi="Times New Roman"/>
          <w:sz w:val="28"/>
          <w:szCs w:val="28"/>
        </w:rPr>
        <w:tab/>
      </w:r>
      <w:r w:rsidR="00820F57" w:rsidRPr="00CD6C14">
        <w:rPr>
          <w:rFonts w:ascii="Times New Roman" w:hAnsi="Times New Roman"/>
          <w:sz w:val="28"/>
          <w:szCs w:val="28"/>
        </w:rPr>
        <w:t>Appellate jurisdiction to interfere with a sentence imposed by a trial court is not discretionary. On the contrary</w:t>
      </w:r>
      <w:r w:rsidR="00062821" w:rsidRPr="00CD6C14">
        <w:rPr>
          <w:rFonts w:ascii="Times New Roman" w:hAnsi="Times New Roman"/>
          <w:sz w:val="28"/>
          <w:szCs w:val="28"/>
        </w:rPr>
        <w:t>,</w:t>
      </w:r>
      <w:r w:rsidR="00820F57" w:rsidRPr="00CD6C14">
        <w:rPr>
          <w:rFonts w:ascii="Times New Roman" w:hAnsi="Times New Roman"/>
          <w:sz w:val="28"/>
          <w:szCs w:val="28"/>
        </w:rPr>
        <w:t xml:space="preserve"> it is limited by principle. </w:t>
      </w:r>
      <w:r w:rsidR="00941404" w:rsidRPr="00CD6C14">
        <w:rPr>
          <w:rFonts w:ascii="Times New Roman" w:hAnsi="Times New Roman"/>
          <w:sz w:val="28"/>
          <w:szCs w:val="28"/>
        </w:rPr>
        <w:t xml:space="preserve">Marais JA in </w:t>
      </w:r>
      <w:r w:rsidR="00941404" w:rsidRPr="00CD6C14">
        <w:rPr>
          <w:rFonts w:ascii="Times New Roman" w:hAnsi="Times New Roman"/>
          <w:i/>
          <w:sz w:val="28"/>
          <w:szCs w:val="28"/>
        </w:rPr>
        <w:t>S v Malgas</w:t>
      </w:r>
      <w:r w:rsidR="00941404" w:rsidRPr="00CD6C14">
        <w:rPr>
          <w:rStyle w:val="FootnoteReference"/>
          <w:rFonts w:ascii="Times New Roman" w:hAnsi="Times New Roman"/>
          <w:sz w:val="28"/>
          <w:szCs w:val="28"/>
        </w:rPr>
        <w:footnoteReference w:id="7"/>
      </w:r>
      <w:r w:rsidR="00BC5EEB" w:rsidRPr="00CD6C14">
        <w:rPr>
          <w:rFonts w:ascii="Times New Roman" w:hAnsi="Times New Roman"/>
          <w:sz w:val="28"/>
          <w:szCs w:val="28"/>
        </w:rPr>
        <w:t xml:space="preserve"> observed that:</w:t>
      </w:r>
    </w:p>
    <w:p w14:paraId="225BD23A" w14:textId="77777777" w:rsidR="00BC5EEB" w:rsidRPr="00FC37AB" w:rsidRDefault="00BC5EEB" w:rsidP="00056B5F">
      <w:pPr>
        <w:pStyle w:val="LegalList1"/>
        <w:spacing w:after="0" w:line="360" w:lineRule="auto"/>
        <w:rPr>
          <w:rFonts w:ascii="Times New Roman" w:hAnsi="Times New Roman"/>
        </w:rPr>
      </w:pPr>
      <w:r w:rsidRPr="004244CB">
        <w:rPr>
          <w:rFonts w:ascii="Times New Roman" w:hAnsi="Times New Roman"/>
        </w:rPr>
        <w:t>‘A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w:t>
      </w:r>
      <w:r w:rsidR="00DF422C" w:rsidRPr="004244CB">
        <w:rPr>
          <w:rFonts w:ascii="Times New Roman" w:hAnsi="Times New Roman"/>
        </w:rPr>
        <w:t xml:space="preserve">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w:t>
      </w:r>
      <w:r w:rsidR="0092310C" w:rsidRPr="004244CB">
        <w:rPr>
          <w:rFonts w:ascii="Times New Roman" w:hAnsi="Times New Roman"/>
        </w:rPr>
        <w:t xml:space="preserv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inappropriate”. It must be emphasised that in the latter situation the appellate court is not at large in the sense in which it is at large in the former. In the latter situation</w:t>
      </w:r>
      <w:r w:rsidR="00C13409" w:rsidRPr="004244CB">
        <w:rPr>
          <w:rFonts w:ascii="Times New Roman" w:hAnsi="Times New Roman"/>
        </w:rPr>
        <w:t xml:space="preserve">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p>
    <w:p w14:paraId="5AA8782C" w14:textId="77777777" w:rsidR="004244CB" w:rsidRPr="00FC37AB" w:rsidRDefault="004244CB" w:rsidP="00FC37AB">
      <w:pPr>
        <w:pStyle w:val="LegalList1"/>
        <w:spacing w:after="0" w:line="360" w:lineRule="auto"/>
        <w:rPr>
          <w:rFonts w:ascii="Times New Roman" w:hAnsi="Times New Roman"/>
          <w:sz w:val="28"/>
          <w:szCs w:val="28"/>
        </w:rPr>
      </w:pPr>
    </w:p>
    <w:p w14:paraId="225BD23B" w14:textId="646F7F6C" w:rsidR="00B27EF5"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682AC5" w:rsidRPr="00CD6C14">
        <w:rPr>
          <w:rFonts w:ascii="Times New Roman" w:hAnsi="Times New Roman"/>
          <w:sz w:val="28"/>
          <w:szCs w:val="28"/>
        </w:rPr>
        <w:t>These formulations, however crafted,</w:t>
      </w:r>
      <w:r w:rsidR="00AE6FEC" w:rsidRPr="00CD6C14">
        <w:rPr>
          <w:rFonts w:ascii="Times New Roman" w:hAnsi="Times New Roman"/>
          <w:sz w:val="28"/>
          <w:szCs w:val="28"/>
        </w:rPr>
        <w:t xml:space="preserve"> are aimed at determining the same thing; namely, whether there was a proper and reasonable exercise of discretion bestowed upon the court that imposed the sentence. </w:t>
      </w:r>
      <w:r w:rsidR="00C5568F" w:rsidRPr="00CD6C14">
        <w:rPr>
          <w:rFonts w:ascii="Times New Roman" w:hAnsi="Times New Roman"/>
          <w:sz w:val="28"/>
          <w:szCs w:val="28"/>
        </w:rPr>
        <w:t>T</w:t>
      </w:r>
      <w:r w:rsidR="00AE6FEC" w:rsidRPr="00CD6C14">
        <w:rPr>
          <w:rFonts w:ascii="Times New Roman" w:hAnsi="Times New Roman"/>
          <w:sz w:val="28"/>
          <w:szCs w:val="28"/>
        </w:rPr>
        <w:t xml:space="preserve">hat, in the ultimate analysis, </w:t>
      </w:r>
      <w:r w:rsidR="00AE6FEC" w:rsidRPr="00CD6C14">
        <w:rPr>
          <w:rFonts w:ascii="Times New Roman" w:hAnsi="Times New Roman"/>
          <w:sz w:val="28"/>
          <w:szCs w:val="28"/>
        </w:rPr>
        <w:lastRenderedPageBreak/>
        <w:t>is the true enquiry. Either the discretion was properly exercised or it was not</w:t>
      </w:r>
      <w:r w:rsidR="00C5568F" w:rsidRPr="00CD6C14">
        <w:rPr>
          <w:rFonts w:ascii="Times New Roman" w:hAnsi="Times New Roman"/>
          <w:sz w:val="28"/>
          <w:szCs w:val="28"/>
        </w:rPr>
        <w:t xml:space="preserve">. If it was, a court of appeal has no power to interfere – if it was not, it </w:t>
      </w:r>
      <w:r w:rsidR="009F7C1F" w:rsidRPr="00CD6C14">
        <w:rPr>
          <w:rFonts w:ascii="Times New Roman" w:hAnsi="Times New Roman"/>
          <w:sz w:val="28"/>
          <w:szCs w:val="28"/>
        </w:rPr>
        <w:t xml:space="preserve">may </w:t>
      </w:r>
      <w:r w:rsidR="00C5568F" w:rsidRPr="00CD6C14">
        <w:rPr>
          <w:rFonts w:ascii="Times New Roman" w:hAnsi="Times New Roman"/>
          <w:sz w:val="28"/>
          <w:szCs w:val="28"/>
        </w:rPr>
        <w:t>do so.</w:t>
      </w:r>
      <w:r w:rsidR="00C5568F" w:rsidRPr="00CD6C14">
        <w:rPr>
          <w:rStyle w:val="FootnoteReference"/>
          <w:rFonts w:ascii="Times New Roman" w:hAnsi="Times New Roman"/>
          <w:sz w:val="28"/>
          <w:szCs w:val="28"/>
        </w:rPr>
        <w:footnoteReference w:id="8"/>
      </w:r>
    </w:p>
    <w:p w14:paraId="7996F0BA" w14:textId="77777777" w:rsidR="00E36A2C" w:rsidRPr="00CD6C14" w:rsidRDefault="00E36A2C" w:rsidP="00FC37AB">
      <w:pPr>
        <w:pStyle w:val="LegalList1"/>
        <w:spacing w:after="0" w:line="360" w:lineRule="auto"/>
        <w:rPr>
          <w:rFonts w:ascii="Times New Roman" w:hAnsi="Times New Roman"/>
          <w:sz w:val="28"/>
          <w:szCs w:val="28"/>
        </w:rPr>
      </w:pPr>
    </w:p>
    <w:p w14:paraId="225BD23C" w14:textId="749DCA86" w:rsidR="0071435A"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585A47" w:rsidRPr="00CD6C14">
        <w:rPr>
          <w:rFonts w:ascii="Times New Roman" w:hAnsi="Times New Roman"/>
          <w:sz w:val="28"/>
          <w:szCs w:val="28"/>
        </w:rPr>
        <w:t>I</w:t>
      </w:r>
      <w:r w:rsidR="00557769" w:rsidRPr="00CD6C14">
        <w:rPr>
          <w:rFonts w:ascii="Times New Roman" w:hAnsi="Times New Roman"/>
          <w:sz w:val="28"/>
          <w:szCs w:val="28"/>
        </w:rPr>
        <w:t xml:space="preserve">n </w:t>
      </w:r>
      <w:r w:rsidR="00993DD9" w:rsidRPr="00CD6C14">
        <w:rPr>
          <w:rFonts w:ascii="Times New Roman" w:hAnsi="Times New Roman"/>
          <w:sz w:val="28"/>
          <w:szCs w:val="28"/>
        </w:rPr>
        <w:t>her written and oral submissions</w:t>
      </w:r>
      <w:r w:rsidR="00557769" w:rsidRPr="00CD6C14">
        <w:rPr>
          <w:rFonts w:ascii="Times New Roman" w:hAnsi="Times New Roman"/>
          <w:sz w:val="28"/>
          <w:szCs w:val="28"/>
        </w:rPr>
        <w:t xml:space="preserve">, the misdirection contended for by the appellant is that the </w:t>
      </w:r>
      <w:r w:rsidR="00247DB2" w:rsidRPr="00CD6C14">
        <w:rPr>
          <w:rFonts w:ascii="Times New Roman" w:hAnsi="Times New Roman"/>
          <w:sz w:val="28"/>
          <w:szCs w:val="28"/>
        </w:rPr>
        <w:t xml:space="preserve">sentencing court failed to establish </w:t>
      </w:r>
      <w:r w:rsidR="00682AC5" w:rsidRPr="00CD6C14">
        <w:rPr>
          <w:rFonts w:ascii="Times New Roman" w:hAnsi="Times New Roman"/>
          <w:sz w:val="28"/>
          <w:szCs w:val="28"/>
        </w:rPr>
        <w:t xml:space="preserve">that </w:t>
      </w:r>
      <w:r w:rsidR="00247DB2" w:rsidRPr="00CD6C14">
        <w:rPr>
          <w:rFonts w:ascii="Times New Roman" w:hAnsi="Times New Roman"/>
          <w:sz w:val="28"/>
          <w:szCs w:val="28"/>
        </w:rPr>
        <w:t xml:space="preserve">she </w:t>
      </w:r>
      <w:r w:rsidR="00440E8F" w:rsidRPr="00CD6C14">
        <w:rPr>
          <w:rFonts w:ascii="Times New Roman" w:hAnsi="Times New Roman"/>
          <w:sz w:val="28"/>
          <w:szCs w:val="28"/>
        </w:rPr>
        <w:t>is</w:t>
      </w:r>
      <w:r w:rsidR="00247DB2" w:rsidRPr="00CD6C14">
        <w:rPr>
          <w:rFonts w:ascii="Times New Roman" w:hAnsi="Times New Roman"/>
          <w:sz w:val="28"/>
          <w:szCs w:val="28"/>
        </w:rPr>
        <w:t xml:space="preserve"> a primary caregiver to he</w:t>
      </w:r>
      <w:r w:rsidR="00AA5C21" w:rsidRPr="00CD6C14">
        <w:rPr>
          <w:rFonts w:ascii="Times New Roman" w:hAnsi="Times New Roman"/>
          <w:sz w:val="28"/>
          <w:szCs w:val="28"/>
        </w:rPr>
        <w:t>r minor child</w:t>
      </w:r>
      <w:r w:rsidR="00247DB2" w:rsidRPr="00CD6C14">
        <w:rPr>
          <w:rFonts w:ascii="Times New Roman" w:hAnsi="Times New Roman"/>
          <w:sz w:val="28"/>
          <w:szCs w:val="28"/>
        </w:rPr>
        <w:t xml:space="preserve"> ‘RO’</w:t>
      </w:r>
      <w:r w:rsidR="00AA5C21" w:rsidRPr="00CD6C14">
        <w:rPr>
          <w:rFonts w:ascii="Times New Roman" w:hAnsi="Times New Roman"/>
          <w:sz w:val="28"/>
          <w:szCs w:val="28"/>
        </w:rPr>
        <w:t>,</w:t>
      </w:r>
      <w:r w:rsidR="00247DB2" w:rsidRPr="00CD6C14">
        <w:rPr>
          <w:rFonts w:ascii="Times New Roman" w:hAnsi="Times New Roman"/>
          <w:sz w:val="28"/>
          <w:szCs w:val="28"/>
        </w:rPr>
        <w:t xml:space="preserve"> an autistic boy aged 9, with the result that the sentence imposed paid insufficient regard</w:t>
      </w:r>
      <w:r w:rsidR="00423158" w:rsidRPr="00CD6C14">
        <w:rPr>
          <w:rFonts w:ascii="Times New Roman" w:hAnsi="Times New Roman"/>
          <w:sz w:val="28"/>
          <w:szCs w:val="28"/>
        </w:rPr>
        <w:t xml:space="preserve"> to his best interests as contemplated in section 28 of the Constitution.</w:t>
      </w:r>
    </w:p>
    <w:p w14:paraId="5CB6293D" w14:textId="77777777" w:rsidR="004216C7" w:rsidRPr="00CD6C14" w:rsidRDefault="004216C7" w:rsidP="00FC37AB">
      <w:pPr>
        <w:pStyle w:val="LegalList1"/>
        <w:spacing w:after="0" w:line="360" w:lineRule="auto"/>
        <w:rPr>
          <w:rFonts w:ascii="Times New Roman" w:hAnsi="Times New Roman"/>
          <w:sz w:val="28"/>
          <w:szCs w:val="28"/>
        </w:rPr>
      </w:pPr>
    </w:p>
    <w:p w14:paraId="225BD23D" w14:textId="13B7289D" w:rsidR="000F6A70"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71435A" w:rsidRPr="00CD6C14">
        <w:rPr>
          <w:rFonts w:ascii="Times New Roman" w:hAnsi="Times New Roman"/>
          <w:sz w:val="28"/>
          <w:szCs w:val="28"/>
        </w:rPr>
        <w:t>Tritely, where a person convicted of an offence is the primary caregiver of minor children their best interests are of paramount importance in every matter concerning them.</w:t>
      </w:r>
      <w:r w:rsidR="00A14A72" w:rsidRPr="00CD6C14">
        <w:rPr>
          <w:rFonts w:ascii="Times New Roman" w:hAnsi="Times New Roman"/>
          <w:sz w:val="28"/>
          <w:szCs w:val="28"/>
        </w:rPr>
        <w:t xml:space="preserve"> </w:t>
      </w:r>
      <w:r w:rsidR="00423158" w:rsidRPr="00CD6C14">
        <w:rPr>
          <w:rFonts w:ascii="Times New Roman" w:hAnsi="Times New Roman"/>
          <w:sz w:val="28"/>
          <w:szCs w:val="28"/>
        </w:rPr>
        <w:t xml:space="preserve">The measure of the best interests principle </w:t>
      </w:r>
      <w:r w:rsidR="00B84737" w:rsidRPr="00CD6C14">
        <w:rPr>
          <w:rFonts w:ascii="Times New Roman" w:hAnsi="Times New Roman"/>
          <w:sz w:val="28"/>
          <w:szCs w:val="28"/>
        </w:rPr>
        <w:t>has never been given definitive content but it is necessary that the standard be flexible as the circumstances of each case may determine</w:t>
      </w:r>
      <w:r w:rsidR="0007086C" w:rsidRPr="00CD6C14">
        <w:rPr>
          <w:rFonts w:ascii="Times New Roman" w:hAnsi="Times New Roman"/>
          <w:sz w:val="28"/>
          <w:szCs w:val="28"/>
        </w:rPr>
        <w:t>.</w:t>
      </w:r>
      <w:r w:rsidR="0007086C" w:rsidRPr="00CD6C14">
        <w:rPr>
          <w:rStyle w:val="FootnoteReference"/>
          <w:rFonts w:ascii="Times New Roman" w:hAnsi="Times New Roman"/>
          <w:sz w:val="28"/>
          <w:szCs w:val="28"/>
        </w:rPr>
        <w:footnoteReference w:id="9"/>
      </w:r>
      <w:r w:rsidR="00C1015D" w:rsidRPr="00CD6C14">
        <w:rPr>
          <w:rFonts w:ascii="Times New Roman" w:hAnsi="Times New Roman"/>
          <w:sz w:val="28"/>
          <w:szCs w:val="28"/>
        </w:rPr>
        <w:t xml:space="preserve"> In that regard it has been held that w</w:t>
      </w:r>
      <w:r w:rsidR="00A14A72" w:rsidRPr="00CD6C14">
        <w:rPr>
          <w:rFonts w:ascii="Times New Roman" w:hAnsi="Times New Roman"/>
          <w:sz w:val="28"/>
          <w:szCs w:val="28"/>
        </w:rPr>
        <w:t xml:space="preserve">hen considering the best interests of </w:t>
      </w:r>
      <w:r w:rsidR="00162DC7" w:rsidRPr="00CD6C14">
        <w:rPr>
          <w:rFonts w:ascii="Times New Roman" w:hAnsi="Times New Roman"/>
          <w:sz w:val="28"/>
          <w:szCs w:val="28"/>
        </w:rPr>
        <w:t>children a court must consider evidence as to their current position to determine what their best interests require</w:t>
      </w:r>
      <w:r w:rsidR="00162DC7" w:rsidRPr="00CD6C14">
        <w:rPr>
          <w:rStyle w:val="FootnoteReference"/>
          <w:rFonts w:ascii="Times New Roman" w:hAnsi="Times New Roman"/>
          <w:sz w:val="28"/>
          <w:szCs w:val="28"/>
        </w:rPr>
        <w:footnoteReference w:id="10"/>
      </w:r>
      <w:r w:rsidR="00FD370A" w:rsidRPr="00CD6C14">
        <w:rPr>
          <w:rFonts w:ascii="Times New Roman" w:hAnsi="Times New Roman"/>
          <w:sz w:val="28"/>
          <w:szCs w:val="28"/>
        </w:rPr>
        <w:t xml:space="preserve"> </w:t>
      </w:r>
      <w:r w:rsidR="00CC16AF" w:rsidRPr="00CD6C14">
        <w:rPr>
          <w:rFonts w:ascii="Times New Roman" w:hAnsi="Times New Roman"/>
          <w:sz w:val="28"/>
          <w:szCs w:val="28"/>
        </w:rPr>
        <w:t>including evidence on the quality of their care.</w:t>
      </w:r>
      <w:r w:rsidR="00CC16AF" w:rsidRPr="00CD6C14">
        <w:rPr>
          <w:rStyle w:val="FootnoteReference"/>
          <w:rFonts w:ascii="Times New Roman" w:hAnsi="Times New Roman"/>
          <w:sz w:val="28"/>
          <w:szCs w:val="28"/>
        </w:rPr>
        <w:footnoteReference w:id="11"/>
      </w:r>
      <w:r w:rsidR="009E0628" w:rsidRPr="00CD6C14">
        <w:rPr>
          <w:rFonts w:ascii="Times New Roman" w:hAnsi="Times New Roman"/>
          <w:sz w:val="28"/>
          <w:szCs w:val="28"/>
        </w:rPr>
        <w:t xml:space="preserve"> The paramountcy principle</w:t>
      </w:r>
      <w:r w:rsidR="00E4775C" w:rsidRPr="00CD6C14">
        <w:rPr>
          <w:rFonts w:ascii="Times New Roman" w:hAnsi="Times New Roman"/>
          <w:sz w:val="28"/>
          <w:szCs w:val="28"/>
        </w:rPr>
        <w:t xml:space="preserve"> does not lay down that in all cases the direct</w:t>
      </w:r>
      <w:r w:rsidR="0095480D" w:rsidRPr="00CD6C14">
        <w:rPr>
          <w:rFonts w:ascii="Times New Roman" w:hAnsi="Times New Roman"/>
          <w:sz w:val="28"/>
          <w:szCs w:val="28"/>
        </w:rPr>
        <w:t xml:space="preserve"> or indirect impact of a measure </w:t>
      </w:r>
      <w:r w:rsidR="0040650B" w:rsidRPr="00CD6C14">
        <w:rPr>
          <w:rFonts w:ascii="Times New Roman" w:hAnsi="Times New Roman"/>
          <w:sz w:val="28"/>
          <w:szCs w:val="28"/>
        </w:rPr>
        <w:t>or action on children must oust,</w:t>
      </w:r>
      <w:r w:rsidR="0095480D" w:rsidRPr="00CD6C14">
        <w:rPr>
          <w:rFonts w:ascii="Times New Roman" w:hAnsi="Times New Roman"/>
          <w:sz w:val="28"/>
          <w:szCs w:val="28"/>
        </w:rPr>
        <w:t xml:space="preserve"> override </w:t>
      </w:r>
      <w:r w:rsidR="0040650B" w:rsidRPr="00CD6C14">
        <w:rPr>
          <w:rFonts w:ascii="Times New Roman" w:hAnsi="Times New Roman"/>
          <w:sz w:val="28"/>
          <w:szCs w:val="28"/>
        </w:rPr>
        <w:t xml:space="preserve">or unrealistically trump </w:t>
      </w:r>
      <w:r w:rsidR="0095480D" w:rsidRPr="00CD6C14">
        <w:rPr>
          <w:rFonts w:ascii="Times New Roman" w:hAnsi="Times New Roman"/>
          <w:sz w:val="28"/>
          <w:szCs w:val="28"/>
        </w:rPr>
        <w:t>all other considerations.</w:t>
      </w:r>
      <w:r w:rsidR="0095480D" w:rsidRPr="00CD6C14">
        <w:rPr>
          <w:rStyle w:val="FootnoteReference"/>
          <w:rFonts w:ascii="Times New Roman" w:hAnsi="Times New Roman"/>
          <w:sz w:val="28"/>
          <w:szCs w:val="28"/>
        </w:rPr>
        <w:footnoteReference w:id="12"/>
      </w:r>
      <w:r w:rsidR="00760F5B" w:rsidRPr="00CD6C14">
        <w:rPr>
          <w:rFonts w:ascii="Times New Roman" w:hAnsi="Times New Roman"/>
          <w:sz w:val="28"/>
          <w:szCs w:val="28"/>
        </w:rPr>
        <w:t xml:space="preserve"> It simply requires that the interests of </w:t>
      </w:r>
      <w:r w:rsidR="00343854" w:rsidRPr="00CD6C14">
        <w:rPr>
          <w:rFonts w:ascii="Times New Roman" w:hAnsi="Times New Roman"/>
          <w:sz w:val="28"/>
          <w:szCs w:val="28"/>
        </w:rPr>
        <w:t xml:space="preserve">children </w:t>
      </w:r>
      <w:r w:rsidR="00760F5B" w:rsidRPr="00CD6C14">
        <w:rPr>
          <w:rFonts w:ascii="Times New Roman" w:hAnsi="Times New Roman"/>
          <w:sz w:val="28"/>
          <w:szCs w:val="28"/>
        </w:rPr>
        <w:t>who stand to be affected be given due consideration.</w:t>
      </w:r>
      <w:r w:rsidR="0077150B" w:rsidRPr="00CD6C14">
        <w:rPr>
          <w:rStyle w:val="FootnoteReference"/>
          <w:rFonts w:ascii="Times New Roman" w:hAnsi="Times New Roman"/>
          <w:sz w:val="28"/>
          <w:szCs w:val="28"/>
        </w:rPr>
        <w:footnoteReference w:id="13"/>
      </w:r>
    </w:p>
    <w:p w14:paraId="38A5CFE0" w14:textId="77777777" w:rsidR="00704897" w:rsidRPr="00CD6C14" w:rsidRDefault="00704897" w:rsidP="00FC37AB">
      <w:pPr>
        <w:pStyle w:val="LegalList1"/>
        <w:spacing w:after="0" w:line="360" w:lineRule="auto"/>
        <w:rPr>
          <w:rFonts w:ascii="Times New Roman" w:hAnsi="Times New Roman"/>
          <w:sz w:val="28"/>
          <w:szCs w:val="28"/>
        </w:rPr>
      </w:pPr>
    </w:p>
    <w:p w14:paraId="225BD23E" w14:textId="4685BD2C" w:rsidR="00090FAB" w:rsidRPr="00CD6C14" w:rsidRDefault="009C0671" w:rsidP="009C0671">
      <w:pPr>
        <w:pStyle w:val="LegalList1"/>
        <w:spacing w:after="0" w:line="360" w:lineRule="auto"/>
        <w:rPr>
          <w:rFonts w:ascii="Times New Roman" w:hAnsi="Times New Roman"/>
          <w:sz w:val="28"/>
          <w:szCs w:val="28"/>
        </w:rPr>
      </w:pPr>
      <w:r w:rsidRPr="00CD6C14">
        <w:rPr>
          <w:rFonts w:ascii="Times New Roman" w:hAnsi="Times New Roman"/>
          <w:sz w:val="28"/>
          <w:szCs w:val="28"/>
        </w:rPr>
        <w:t>[20]</w:t>
      </w:r>
      <w:r w:rsidRPr="00CD6C14">
        <w:rPr>
          <w:rFonts w:ascii="Times New Roman" w:hAnsi="Times New Roman"/>
          <w:sz w:val="28"/>
          <w:szCs w:val="28"/>
        </w:rPr>
        <w:tab/>
      </w:r>
      <w:r w:rsidR="00370C3A" w:rsidRPr="00CD6C14">
        <w:rPr>
          <w:rFonts w:ascii="Times New Roman" w:hAnsi="Times New Roman"/>
          <w:sz w:val="28"/>
          <w:szCs w:val="28"/>
        </w:rPr>
        <w:t>W</w:t>
      </w:r>
      <w:r w:rsidR="00090FAB" w:rsidRPr="00CD6C14">
        <w:rPr>
          <w:rFonts w:ascii="Times New Roman" w:hAnsi="Times New Roman"/>
          <w:sz w:val="28"/>
          <w:szCs w:val="28"/>
        </w:rPr>
        <w:t>hat constitutes a primary caregiver is the following:</w:t>
      </w:r>
    </w:p>
    <w:p w14:paraId="225BD23F" w14:textId="77777777" w:rsidR="00090FAB" w:rsidRDefault="00090FAB" w:rsidP="00B109B4">
      <w:pPr>
        <w:pStyle w:val="LegalList1"/>
        <w:spacing w:after="0" w:line="360" w:lineRule="auto"/>
        <w:rPr>
          <w:rFonts w:ascii="Times New Roman" w:hAnsi="Times New Roman"/>
        </w:rPr>
      </w:pPr>
      <w:r w:rsidRPr="00B109B4">
        <w:rPr>
          <w:rFonts w:ascii="Times New Roman" w:hAnsi="Times New Roman"/>
        </w:rPr>
        <w:t xml:space="preserve">‘Simply put, a primary caregiver is the person with whom the child lives and who performs everyday tasks like ensuring that the child is fed and looked after and that the child attends </w:t>
      </w:r>
      <w:r w:rsidRPr="00B109B4">
        <w:rPr>
          <w:rFonts w:ascii="Times New Roman" w:hAnsi="Times New Roman"/>
        </w:rPr>
        <w:lastRenderedPageBreak/>
        <w:t>school regularly. This is</w:t>
      </w:r>
      <w:r w:rsidR="00CB0E4F" w:rsidRPr="00B109B4">
        <w:rPr>
          <w:rFonts w:ascii="Times New Roman" w:hAnsi="Times New Roman"/>
        </w:rPr>
        <w:t xml:space="preserve"> consonant with the expressly protected right of a child to parental care under section 28(1)(</w:t>
      </w:r>
      <w:r w:rsidR="00CB0E4F" w:rsidRPr="00B109B4">
        <w:rPr>
          <w:rFonts w:ascii="Times New Roman" w:hAnsi="Times New Roman"/>
          <w:i/>
        </w:rPr>
        <w:t>b</w:t>
      </w:r>
      <w:r w:rsidR="00CB0E4F" w:rsidRPr="00B109B4">
        <w:rPr>
          <w:rFonts w:ascii="Times New Roman" w:hAnsi="Times New Roman"/>
        </w:rPr>
        <w:t>) [of the Constitution].’</w:t>
      </w:r>
      <w:r w:rsidR="001A4B44" w:rsidRPr="00B109B4">
        <w:rPr>
          <w:rStyle w:val="FootnoteReference"/>
          <w:rFonts w:ascii="Times New Roman" w:hAnsi="Times New Roman"/>
        </w:rPr>
        <w:footnoteReference w:id="14"/>
      </w:r>
    </w:p>
    <w:p w14:paraId="1A879CF8" w14:textId="77777777" w:rsidR="00155667" w:rsidRPr="00B109B4" w:rsidRDefault="00155667" w:rsidP="00FC37AB">
      <w:pPr>
        <w:pStyle w:val="LegalList1"/>
        <w:spacing w:after="0" w:line="360" w:lineRule="auto"/>
        <w:rPr>
          <w:rFonts w:ascii="Times New Roman" w:hAnsi="Times New Roman"/>
        </w:rPr>
      </w:pPr>
    </w:p>
    <w:p w14:paraId="225BD240" w14:textId="12A7B2DE" w:rsidR="00E1257A"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370C3A" w:rsidRPr="00CD6C14">
        <w:rPr>
          <w:rFonts w:ascii="Times New Roman" w:hAnsi="Times New Roman"/>
          <w:sz w:val="28"/>
          <w:szCs w:val="28"/>
        </w:rPr>
        <w:t xml:space="preserve">The </w:t>
      </w:r>
      <w:r w:rsidR="00F645BF" w:rsidRPr="00CD6C14">
        <w:rPr>
          <w:rFonts w:ascii="Times New Roman" w:hAnsi="Times New Roman"/>
          <w:sz w:val="28"/>
          <w:szCs w:val="28"/>
        </w:rPr>
        <w:t xml:space="preserve">operational thrust is that the </w:t>
      </w:r>
      <w:r w:rsidR="00E1257A" w:rsidRPr="00CD6C14">
        <w:rPr>
          <w:rFonts w:ascii="Times New Roman" w:hAnsi="Times New Roman"/>
          <w:sz w:val="28"/>
          <w:szCs w:val="28"/>
        </w:rPr>
        <w:t>caregiver must be</w:t>
      </w:r>
      <w:r w:rsidR="00E6395C" w:rsidRPr="00CD6C14">
        <w:rPr>
          <w:rFonts w:ascii="Times New Roman" w:hAnsi="Times New Roman"/>
          <w:sz w:val="28"/>
          <w:szCs w:val="28"/>
        </w:rPr>
        <w:t>,</w:t>
      </w:r>
      <w:r w:rsidR="00E1257A" w:rsidRPr="00CD6C14">
        <w:rPr>
          <w:rFonts w:ascii="Times New Roman" w:hAnsi="Times New Roman"/>
          <w:sz w:val="28"/>
          <w:szCs w:val="28"/>
        </w:rPr>
        <w:t xml:space="preserve"> ‘almost totally responsible’ for the care of the child.</w:t>
      </w:r>
      <w:r w:rsidR="00E1257A" w:rsidRPr="00CD6C14">
        <w:rPr>
          <w:rStyle w:val="FootnoteReference"/>
          <w:rFonts w:ascii="Times New Roman" w:hAnsi="Times New Roman"/>
          <w:sz w:val="28"/>
          <w:szCs w:val="28"/>
        </w:rPr>
        <w:footnoteReference w:id="15"/>
      </w:r>
    </w:p>
    <w:p w14:paraId="7CAF05C5" w14:textId="77777777" w:rsidR="003B59D2" w:rsidRPr="00CD6C14" w:rsidRDefault="003B59D2" w:rsidP="00FC37AB">
      <w:pPr>
        <w:pStyle w:val="LegalList1"/>
        <w:spacing w:after="0" w:line="360" w:lineRule="auto"/>
        <w:rPr>
          <w:rFonts w:ascii="Times New Roman" w:hAnsi="Times New Roman"/>
          <w:sz w:val="28"/>
          <w:szCs w:val="28"/>
        </w:rPr>
      </w:pPr>
    </w:p>
    <w:p w14:paraId="225BD241" w14:textId="63D2377D" w:rsidR="009151A0" w:rsidRPr="00CD6C14" w:rsidRDefault="009C0671" w:rsidP="009C0671">
      <w:pPr>
        <w:pStyle w:val="LegalList1"/>
        <w:spacing w:after="0" w:line="360" w:lineRule="auto"/>
        <w:rPr>
          <w:rFonts w:ascii="Times New Roman" w:hAnsi="Times New Roman"/>
          <w:sz w:val="28"/>
          <w:szCs w:val="28"/>
        </w:rPr>
      </w:pPr>
      <w:r w:rsidRPr="00CD6C14">
        <w:rPr>
          <w:rFonts w:ascii="Times New Roman" w:hAnsi="Times New Roman"/>
          <w:sz w:val="28"/>
          <w:szCs w:val="28"/>
        </w:rPr>
        <w:t>[22]</w:t>
      </w:r>
      <w:r w:rsidRPr="00CD6C14">
        <w:rPr>
          <w:rFonts w:ascii="Times New Roman" w:hAnsi="Times New Roman"/>
          <w:sz w:val="28"/>
          <w:szCs w:val="28"/>
        </w:rPr>
        <w:tab/>
      </w:r>
      <w:r w:rsidR="005936FD" w:rsidRPr="00CD6C14">
        <w:rPr>
          <w:rFonts w:ascii="Times New Roman" w:hAnsi="Times New Roman"/>
          <w:sz w:val="28"/>
          <w:szCs w:val="28"/>
        </w:rPr>
        <w:t>The guidelines to be adop</w:t>
      </w:r>
      <w:r w:rsidR="009151A0" w:rsidRPr="00CD6C14">
        <w:rPr>
          <w:rFonts w:ascii="Times New Roman" w:hAnsi="Times New Roman"/>
          <w:sz w:val="28"/>
          <w:szCs w:val="28"/>
        </w:rPr>
        <w:t xml:space="preserve">ted by a court when </w:t>
      </w:r>
      <w:r w:rsidR="005936FD" w:rsidRPr="00CD6C14">
        <w:rPr>
          <w:rFonts w:ascii="Times New Roman" w:hAnsi="Times New Roman"/>
          <w:sz w:val="28"/>
          <w:szCs w:val="28"/>
        </w:rPr>
        <w:t>sentenc</w:t>
      </w:r>
      <w:r w:rsidR="009151A0" w:rsidRPr="00CD6C14">
        <w:rPr>
          <w:rFonts w:ascii="Times New Roman" w:hAnsi="Times New Roman"/>
          <w:sz w:val="28"/>
          <w:szCs w:val="28"/>
        </w:rPr>
        <w:t xml:space="preserve">ing a primary caregiver are set out in </w:t>
      </w:r>
      <w:r w:rsidR="009151A0" w:rsidRPr="00CD6C14">
        <w:rPr>
          <w:rFonts w:ascii="Times New Roman" w:hAnsi="Times New Roman"/>
          <w:i/>
          <w:sz w:val="28"/>
          <w:szCs w:val="28"/>
        </w:rPr>
        <w:t>S v M</w:t>
      </w:r>
      <w:r w:rsidR="009151A0" w:rsidRPr="00CD6C14">
        <w:rPr>
          <w:rFonts w:ascii="Times New Roman" w:hAnsi="Times New Roman"/>
          <w:sz w:val="28"/>
          <w:szCs w:val="28"/>
        </w:rPr>
        <w:t xml:space="preserve"> as follows:</w:t>
      </w:r>
      <w:r w:rsidR="00A72AC6" w:rsidRPr="00CD6C14">
        <w:rPr>
          <w:rStyle w:val="FootnoteReference"/>
          <w:rFonts w:ascii="Times New Roman" w:hAnsi="Times New Roman"/>
          <w:sz w:val="28"/>
          <w:szCs w:val="28"/>
        </w:rPr>
        <w:footnoteReference w:id="16"/>
      </w:r>
    </w:p>
    <w:p w14:paraId="225BD243" w14:textId="77777777" w:rsidR="009151A0" w:rsidRPr="00EF629A" w:rsidRDefault="0002122F" w:rsidP="00FC37AB">
      <w:pPr>
        <w:pStyle w:val="LegalList1"/>
        <w:spacing w:after="0" w:line="360" w:lineRule="auto"/>
        <w:ind w:left="720" w:hanging="720"/>
        <w:rPr>
          <w:rFonts w:ascii="Times New Roman" w:hAnsi="Times New Roman"/>
        </w:rPr>
      </w:pPr>
      <w:r w:rsidRPr="00EF629A">
        <w:rPr>
          <w:rFonts w:ascii="Times New Roman" w:hAnsi="Times New Roman"/>
        </w:rPr>
        <w:t>‘(a)</w:t>
      </w:r>
      <w:r w:rsidRPr="00EF629A">
        <w:rPr>
          <w:rFonts w:ascii="Times New Roman" w:hAnsi="Times New Roman"/>
        </w:rPr>
        <w:tab/>
        <w:t>A sentencing court should find out whether a convicted person is a primary caregiver</w:t>
      </w:r>
      <w:r w:rsidR="00C64A32" w:rsidRPr="00EF629A">
        <w:rPr>
          <w:rFonts w:ascii="Times New Roman" w:hAnsi="Times New Roman"/>
        </w:rPr>
        <w:t xml:space="preserve"> whenever there are indications that this might be so.</w:t>
      </w:r>
    </w:p>
    <w:p w14:paraId="225BD244" w14:textId="4080DD02" w:rsidR="00C64A32" w:rsidRPr="00EF629A" w:rsidRDefault="00C64A32" w:rsidP="00FC37AB">
      <w:pPr>
        <w:pStyle w:val="LegalList1"/>
        <w:spacing w:after="0" w:line="360" w:lineRule="auto"/>
        <w:ind w:left="720" w:hanging="720"/>
        <w:rPr>
          <w:rFonts w:ascii="Times New Roman" w:hAnsi="Times New Roman"/>
        </w:rPr>
      </w:pPr>
      <w:r w:rsidRPr="00EF629A">
        <w:rPr>
          <w:rFonts w:ascii="Times New Roman" w:hAnsi="Times New Roman"/>
        </w:rPr>
        <w:t>(b)</w:t>
      </w:r>
      <w:r w:rsidR="00A72AC6" w:rsidRPr="00EF629A">
        <w:rPr>
          <w:rFonts w:ascii="Times New Roman" w:hAnsi="Times New Roman"/>
        </w:rPr>
        <w:tab/>
      </w:r>
      <w:r w:rsidR="00EB7266" w:rsidRPr="00FC37AB">
        <w:rPr>
          <w:rFonts w:ascii="Times New Roman" w:hAnsi="Times New Roman"/>
        </w:rPr>
        <w:t xml:space="preserve">. . . </w:t>
      </w:r>
      <w:r w:rsidRPr="00EF629A">
        <w:rPr>
          <w:rFonts w:ascii="Times New Roman" w:hAnsi="Times New Roman"/>
        </w:rPr>
        <w:t>The court should also ascertain the effect on the children of a custodial sentence if such a sentence is being considered.</w:t>
      </w:r>
    </w:p>
    <w:p w14:paraId="225BD245" w14:textId="77777777" w:rsidR="00C64A32" w:rsidRPr="00EF629A" w:rsidRDefault="00C64A32" w:rsidP="00FC37AB">
      <w:pPr>
        <w:pStyle w:val="LegalList1"/>
        <w:spacing w:after="0" w:line="360" w:lineRule="auto"/>
        <w:ind w:left="720" w:hanging="720"/>
        <w:rPr>
          <w:rFonts w:ascii="Times New Roman" w:hAnsi="Times New Roman"/>
        </w:rPr>
      </w:pPr>
      <w:r w:rsidRPr="00EF629A">
        <w:rPr>
          <w:rFonts w:ascii="Times New Roman" w:hAnsi="Times New Roman"/>
        </w:rPr>
        <w:t>(c)</w:t>
      </w:r>
      <w:r w:rsidRPr="00EF629A">
        <w:rPr>
          <w:rFonts w:ascii="Times New Roman" w:hAnsi="Times New Roman"/>
        </w:rPr>
        <w:tab/>
        <w:t xml:space="preserve">If on the </w:t>
      </w:r>
      <w:r w:rsidRPr="00EF629A">
        <w:rPr>
          <w:rFonts w:ascii="Times New Roman" w:hAnsi="Times New Roman"/>
          <w:i/>
        </w:rPr>
        <w:t>Zinn</w:t>
      </w:r>
      <w:r w:rsidRPr="00EF629A">
        <w:rPr>
          <w:rFonts w:ascii="Times New Roman" w:hAnsi="Times New Roman"/>
        </w:rPr>
        <w:t>-triad approach the appropriate sentence is clearly custodial and the convicted person is a primary caregiver, the court must apply its mind to whether it is necessary to take steps to ensure that the children will be adequately cared for while the caregiver is incarcerated.</w:t>
      </w:r>
    </w:p>
    <w:p w14:paraId="225BD246" w14:textId="77777777" w:rsidR="00C64A32" w:rsidRPr="00EF629A" w:rsidRDefault="00C64A32" w:rsidP="00FC37AB">
      <w:pPr>
        <w:pStyle w:val="LegalList1"/>
        <w:spacing w:after="0" w:line="360" w:lineRule="auto"/>
        <w:ind w:left="720" w:hanging="720"/>
        <w:rPr>
          <w:rFonts w:ascii="Times New Roman" w:hAnsi="Times New Roman"/>
        </w:rPr>
      </w:pPr>
      <w:r w:rsidRPr="00EF629A">
        <w:rPr>
          <w:rFonts w:ascii="Times New Roman" w:hAnsi="Times New Roman"/>
        </w:rPr>
        <w:t>(d)</w:t>
      </w:r>
      <w:r w:rsidRPr="00EF629A">
        <w:rPr>
          <w:rFonts w:ascii="Times New Roman" w:hAnsi="Times New Roman"/>
        </w:rPr>
        <w:tab/>
        <w:t>If</w:t>
      </w:r>
      <w:r w:rsidR="00DA4BD3" w:rsidRPr="00EF629A">
        <w:rPr>
          <w:rFonts w:ascii="Times New Roman" w:hAnsi="Times New Roman"/>
        </w:rPr>
        <w:t xml:space="preserve"> the appropriate sentence is clearly non-custodial, the court must determine the appropriate sentence, bearing in mind the interest</w:t>
      </w:r>
      <w:r w:rsidR="003C4A46" w:rsidRPr="00EF629A">
        <w:rPr>
          <w:rFonts w:ascii="Times New Roman" w:hAnsi="Times New Roman"/>
        </w:rPr>
        <w:t>s</w:t>
      </w:r>
      <w:r w:rsidR="00DA4BD3" w:rsidRPr="00EF629A">
        <w:rPr>
          <w:rFonts w:ascii="Times New Roman" w:hAnsi="Times New Roman"/>
        </w:rPr>
        <w:t xml:space="preserve"> of the children.</w:t>
      </w:r>
    </w:p>
    <w:p w14:paraId="225BD247" w14:textId="77777777" w:rsidR="00DA4BD3" w:rsidRPr="00FC37AB" w:rsidRDefault="00DA4BD3" w:rsidP="00DB0C4D">
      <w:pPr>
        <w:pStyle w:val="LegalList1"/>
        <w:spacing w:after="0" w:line="360" w:lineRule="auto"/>
        <w:ind w:left="720" w:hanging="720"/>
        <w:rPr>
          <w:rFonts w:ascii="Times New Roman" w:hAnsi="Times New Roman"/>
        </w:rPr>
      </w:pPr>
      <w:r w:rsidRPr="00EF629A">
        <w:rPr>
          <w:rFonts w:ascii="Times New Roman" w:hAnsi="Times New Roman"/>
        </w:rPr>
        <w:t>(e)</w:t>
      </w:r>
      <w:r w:rsidRPr="00EF629A">
        <w:rPr>
          <w:rFonts w:ascii="Times New Roman" w:hAnsi="Times New Roman"/>
        </w:rPr>
        <w:tab/>
        <w:t xml:space="preserve">Finally, if there is a range of appropriate sentences on the </w:t>
      </w:r>
      <w:r w:rsidRPr="00EF629A">
        <w:rPr>
          <w:rFonts w:ascii="Times New Roman" w:hAnsi="Times New Roman"/>
          <w:i/>
        </w:rPr>
        <w:t>Zinn</w:t>
      </w:r>
      <w:r w:rsidRPr="00EF629A">
        <w:rPr>
          <w:rFonts w:ascii="Times New Roman" w:hAnsi="Times New Roman"/>
        </w:rPr>
        <w:t xml:space="preserve"> approach, then the court must use the paramount</w:t>
      </w:r>
      <w:r w:rsidR="00A46DDF" w:rsidRPr="00EF629A">
        <w:rPr>
          <w:rFonts w:ascii="Times New Roman" w:hAnsi="Times New Roman"/>
        </w:rPr>
        <w:t>cy</w:t>
      </w:r>
      <w:r w:rsidRPr="00EF629A">
        <w:rPr>
          <w:rFonts w:ascii="Times New Roman" w:hAnsi="Times New Roman"/>
        </w:rPr>
        <w:t xml:space="preserve"> principle concerning the interests of the child </w:t>
      </w:r>
      <w:r w:rsidR="00A46DDF" w:rsidRPr="00EF629A">
        <w:rPr>
          <w:rFonts w:ascii="Times New Roman" w:hAnsi="Times New Roman"/>
        </w:rPr>
        <w:t>a</w:t>
      </w:r>
      <w:r w:rsidRPr="00EF629A">
        <w:rPr>
          <w:rFonts w:ascii="Times New Roman" w:hAnsi="Times New Roman"/>
        </w:rPr>
        <w:t>s an important guide in deciding which sentence to impose.’</w:t>
      </w:r>
    </w:p>
    <w:p w14:paraId="7FC0748A" w14:textId="77777777" w:rsidR="00EF629A" w:rsidRPr="00FC37AB" w:rsidRDefault="00EF629A" w:rsidP="00FC37AB">
      <w:pPr>
        <w:pStyle w:val="LegalList1"/>
        <w:spacing w:after="0" w:line="360" w:lineRule="auto"/>
        <w:ind w:left="720" w:hanging="720"/>
        <w:rPr>
          <w:rFonts w:ascii="Times New Roman" w:hAnsi="Times New Roman"/>
          <w:sz w:val="28"/>
          <w:szCs w:val="28"/>
        </w:rPr>
      </w:pPr>
    </w:p>
    <w:p w14:paraId="225BD248" w14:textId="730361F7" w:rsidR="00703CC3"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7A3461" w:rsidRPr="00CD6C14">
        <w:rPr>
          <w:rFonts w:ascii="Times New Roman" w:hAnsi="Times New Roman"/>
          <w:sz w:val="28"/>
          <w:szCs w:val="28"/>
        </w:rPr>
        <w:t xml:space="preserve">Relying on </w:t>
      </w:r>
      <w:r w:rsidR="007A3461" w:rsidRPr="00CD6C14">
        <w:rPr>
          <w:rFonts w:ascii="Times New Roman" w:hAnsi="Times New Roman"/>
          <w:i/>
          <w:sz w:val="28"/>
          <w:szCs w:val="28"/>
        </w:rPr>
        <w:t>S v M</w:t>
      </w:r>
      <w:r w:rsidR="00A64537" w:rsidRPr="00FC37AB">
        <w:rPr>
          <w:rFonts w:ascii="Times New Roman" w:hAnsi="Times New Roman"/>
          <w:iCs/>
          <w:sz w:val="28"/>
          <w:szCs w:val="28"/>
        </w:rPr>
        <w:t>,</w:t>
      </w:r>
      <w:r w:rsidR="00DA0CD8" w:rsidRPr="00FC37AB">
        <w:rPr>
          <w:rStyle w:val="FootnoteReference"/>
          <w:rFonts w:ascii="Times New Roman" w:hAnsi="Times New Roman"/>
          <w:iCs/>
          <w:sz w:val="28"/>
          <w:szCs w:val="28"/>
        </w:rPr>
        <w:footnoteReference w:id="17"/>
      </w:r>
      <w:r w:rsidR="007A3461" w:rsidRPr="00CD6C14">
        <w:rPr>
          <w:rFonts w:ascii="Times New Roman" w:hAnsi="Times New Roman"/>
          <w:sz w:val="28"/>
          <w:szCs w:val="28"/>
        </w:rPr>
        <w:t xml:space="preserve"> t</w:t>
      </w:r>
      <w:r w:rsidR="00916D98" w:rsidRPr="00CD6C14">
        <w:rPr>
          <w:rFonts w:ascii="Times New Roman" w:hAnsi="Times New Roman"/>
          <w:sz w:val="28"/>
          <w:szCs w:val="28"/>
        </w:rPr>
        <w:t xml:space="preserve">he appellant argues </w:t>
      </w:r>
      <w:r w:rsidR="00DA0CD8" w:rsidRPr="00CD6C14">
        <w:rPr>
          <w:rFonts w:ascii="Times New Roman" w:hAnsi="Times New Roman"/>
          <w:sz w:val="28"/>
          <w:szCs w:val="28"/>
        </w:rPr>
        <w:t xml:space="preserve">that she ought to have </w:t>
      </w:r>
      <w:r w:rsidR="003B6C74" w:rsidRPr="00CD6C14">
        <w:rPr>
          <w:rFonts w:ascii="Times New Roman" w:hAnsi="Times New Roman"/>
          <w:sz w:val="28"/>
          <w:szCs w:val="28"/>
        </w:rPr>
        <w:t xml:space="preserve">been </w:t>
      </w:r>
      <w:r w:rsidR="00DA0CD8" w:rsidRPr="00CD6C14">
        <w:rPr>
          <w:rFonts w:ascii="Times New Roman" w:hAnsi="Times New Roman"/>
          <w:sz w:val="28"/>
          <w:szCs w:val="28"/>
        </w:rPr>
        <w:t xml:space="preserve">spared a prison sentence, and </w:t>
      </w:r>
      <w:r w:rsidR="00FF29E1" w:rsidRPr="00CD6C14">
        <w:rPr>
          <w:rFonts w:ascii="Times New Roman" w:hAnsi="Times New Roman"/>
          <w:sz w:val="28"/>
          <w:szCs w:val="28"/>
        </w:rPr>
        <w:t xml:space="preserve">that </w:t>
      </w:r>
      <w:r w:rsidR="00FD2971" w:rsidRPr="00CD6C14">
        <w:rPr>
          <w:rFonts w:ascii="Times New Roman" w:hAnsi="Times New Roman"/>
          <w:sz w:val="28"/>
          <w:szCs w:val="28"/>
        </w:rPr>
        <w:t>interference on appeal would favour a sentence of c</w:t>
      </w:r>
      <w:r w:rsidR="00703CC3" w:rsidRPr="00CD6C14">
        <w:rPr>
          <w:rFonts w:ascii="Times New Roman" w:hAnsi="Times New Roman"/>
          <w:sz w:val="28"/>
          <w:szCs w:val="28"/>
        </w:rPr>
        <w:t>orrectional supervision in terms of section 276(1)</w:t>
      </w:r>
      <w:r w:rsidR="00703CC3" w:rsidRPr="00FC37AB">
        <w:rPr>
          <w:rFonts w:ascii="Times New Roman" w:hAnsi="Times New Roman"/>
          <w:i/>
          <w:iCs/>
          <w:sz w:val="28"/>
          <w:szCs w:val="28"/>
        </w:rPr>
        <w:t>(</w:t>
      </w:r>
      <w:r w:rsidR="00703CC3" w:rsidRPr="004112AE">
        <w:rPr>
          <w:rFonts w:ascii="Times New Roman" w:hAnsi="Times New Roman"/>
          <w:i/>
          <w:iCs/>
          <w:sz w:val="28"/>
          <w:szCs w:val="28"/>
        </w:rPr>
        <w:t>h</w:t>
      </w:r>
      <w:r w:rsidR="00703CC3" w:rsidRPr="00FC37AB">
        <w:rPr>
          <w:rFonts w:ascii="Times New Roman" w:hAnsi="Times New Roman"/>
          <w:i/>
          <w:iCs/>
          <w:sz w:val="28"/>
          <w:szCs w:val="28"/>
        </w:rPr>
        <w:t>)</w:t>
      </w:r>
      <w:r w:rsidR="00703CC3" w:rsidRPr="00CD6C14">
        <w:rPr>
          <w:rFonts w:ascii="Times New Roman" w:hAnsi="Times New Roman"/>
          <w:sz w:val="28"/>
          <w:szCs w:val="28"/>
        </w:rPr>
        <w:t xml:space="preserve"> </w:t>
      </w:r>
      <w:r w:rsidR="00DA0CD8" w:rsidRPr="00CD6C14">
        <w:rPr>
          <w:rFonts w:ascii="Times New Roman" w:hAnsi="Times New Roman"/>
          <w:sz w:val="28"/>
          <w:szCs w:val="28"/>
        </w:rPr>
        <w:t xml:space="preserve">alternatively </w:t>
      </w:r>
      <w:r w:rsidR="00703CC3" w:rsidRPr="00CD6C14">
        <w:rPr>
          <w:rFonts w:ascii="Times New Roman" w:hAnsi="Times New Roman"/>
          <w:sz w:val="28"/>
          <w:szCs w:val="28"/>
        </w:rPr>
        <w:t>section</w:t>
      </w:r>
      <w:r w:rsidR="0058461B">
        <w:rPr>
          <w:rFonts w:ascii="Times New Roman" w:hAnsi="Times New Roman"/>
          <w:sz w:val="28"/>
          <w:szCs w:val="28"/>
        </w:rPr>
        <w:t> </w:t>
      </w:r>
      <w:r w:rsidR="00703CC3" w:rsidRPr="00CD6C14">
        <w:rPr>
          <w:rFonts w:ascii="Times New Roman" w:hAnsi="Times New Roman"/>
          <w:sz w:val="28"/>
          <w:szCs w:val="28"/>
        </w:rPr>
        <w:t>276(1)</w:t>
      </w:r>
      <w:r w:rsidR="00703CC3" w:rsidRPr="00FC37AB">
        <w:rPr>
          <w:rFonts w:ascii="Times New Roman" w:hAnsi="Times New Roman"/>
          <w:i/>
          <w:iCs/>
          <w:sz w:val="28"/>
          <w:szCs w:val="28"/>
        </w:rPr>
        <w:t>(</w:t>
      </w:r>
      <w:r w:rsidR="00703CC3" w:rsidRPr="004112AE">
        <w:rPr>
          <w:rFonts w:ascii="Times New Roman" w:hAnsi="Times New Roman"/>
          <w:i/>
          <w:iCs/>
          <w:sz w:val="28"/>
          <w:szCs w:val="28"/>
        </w:rPr>
        <w:t>i</w:t>
      </w:r>
      <w:r w:rsidR="00703CC3" w:rsidRPr="00FC37AB">
        <w:rPr>
          <w:rFonts w:ascii="Times New Roman" w:hAnsi="Times New Roman"/>
          <w:i/>
          <w:iCs/>
          <w:sz w:val="28"/>
          <w:szCs w:val="28"/>
        </w:rPr>
        <w:t>)</w:t>
      </w:r>
      <w:r w:rsidR="00703CC3" w:rsidRPr="00CD6C14">
        <w:rPr>
          <w:rFonts w:ascii="Times New Roman" w:hAnsi="Times New Roman"/>
          <w:sz w:val="28"/>
          <w:szCs w:val="28"/>
        </w:rPr>
        <w:t xml:space="preserve"> of the Cr</w:t>
      </w:r>
      <w:r w:rsidR="001A72E0" w:rsidRPr="00CD6C14">
        <w:rPr>
          <w:rFonts w:ascii="Times New Roman" w:hAnsi="Times New Roman"/>
          <w:sz w:val="28"/>
          <w:szCs w:val="28"/>
        </w:rPr>
        <w:t xml:space="preserve">iminal Procedure Act 51 of 1977 in recognition of </w:t>
      </w:r>
      <w:r w:rsidR="000F6A70" w:rsidRPr="00CD6C14">
        <w:rPr>
          <w:rFonts w:ascii="Times New Roman" w:hAnsi="Times New Roman"/>
          <w:sz w:val="28"/>
          <w:szCs w:val="28"/>
        </w:rPr>
        <w:t xml:space="preserve">RO’s best interests where she is his </w:t>
      </w:r>
      <w:r w:rsidR="001A72E0" w:rsidRPr="00CD6C14">
        <w:rPr>
          <w:rFonts w:ascii="Times New Roman" w:hAnsi="Times New Roman"/>
          <w:sz w:val="28"/>
          <w:szCs w:val="28"/>
        </w:rPr>
        <w:t>primary caregiver</w:t>
      </w:r>
      <w:r w:rsidR="00D46290" w:rsidRPr="00CD6C14">
        <w:rPr>
          <w:rFonts w:ascii="Times New Roman" w:hAnsi="Times New Roman"/>
          <w:sz w:val="28"/>
          <w:szCs w:val="28"/>
        </w:rPr>
        <w:t>.</w:t>
      </w:r>
    </w:p>
    <w:p w14:paraId="342E4558" w14:textId="77777777" w:rsidR="00C04E6C" w:rsidRPr="00CD6C14" w:rsidRDefault="00C04E6C" w:rsidP="00FC37AB">
      <w:pPr>
        <w:pStyle w:val="LegalList1"/>
        <w:spacing w:after="0" w:line="360" w:lineRule="auto"/>
        <w:rPr>
          <w:rFonts w:ascii="Times New Roman" w:hAnsi="Times New Roman"/>
          <w:sz w:val="28"/>
          <w:szCs w:val="28"/>
        </w:rPr>
      </w:pPr>
    </w:p>
    <w:p w14:paraId="225BD249" w14:textId="04ACC4B7" w:rsidR="00B27EF5"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lastRenderedPageBreak/>
        <w:t>[24]</w:t>
      </w:r>
      <w:r>
        <w:rPr>
          <w:rFonts w:ascii="Times New Roman" w:hAnsi="Times New Roman"/>
          <w:sz w:val="28"/>
          <w:szCs w:val="28"/>
        </w:rPr>
        <w:tab/>
      </w:r>
      <w:r w:rsidR="00A93280" w:rsidRPr="00CD6C14">
        <w:rPr>
          <w:rFonts w:ascii="Times New Roman" w:hAnsi="Times New Roman"/>
          <w:sz w:val="28"/>
          <w:szCs w:val="28"/>
        </w:rPr>
        <w:t>T</w:t>
      </w:r>
      <w:r w:rsidR="00EC4B15" w:rsidRPr="00CD6C14">
        <w:rPr>
          <w:rFonts w:ascii="Times New Roman" w:hAnsi="Times New Roman"/>
          <w:sz w:val="28"/>
          <w:szCs w:val="28"/>
        </w:rPr>
        <w:t>he essential difference between the two sub-sections</w:t>
      </w:r>
      <w:r w:rsidR="00A93280" w:rsidRPr="00CD6C14">
        <w:rPr>
          <w:rFonts w:ascii="Times New Roman" w:hAnsi="Times New Roman"/>
          <w:sz w:val="28"/>
          <w:szCs w:val="28"/>
        </w:rPr>
        <w:t xml:space="preserve"> is that the former</w:t>
      </w:r>
      <w:r w:rsidR="005A6790" w:rsidRPr="00CD6C14">
        <w:rPr>
          <w:rFonts w:ascii="Times New Roman" w:hAnsi="Times New Roman"/>
          <w:sz w:val="28"/>
          <w:szCs w:val="28"/>
        </w:rPr>
        <w:t xml:space="preserve"> (</w:t>
      </w:r>
      <w:r w:rsidR="005A6790" w:rsidRPr="00FC37AB">
        <w:rPr>
          <w:rFonts w:ascii="Times New Roman" w:hAnsi="Times New Roman"/>
          <w:i/>
          <w:iCs/>
          <w:sz w:val="28"/>
          <w:szCs w:val="28"/>
        </w:rPr>
        <w:t>(</w:t>
      </w:r>
      <w:r w:rsidR="005A6790" w:rsidRPr="004112AE">
        <w:rPr>
          <w:rFonts w:ascii="Times New Roman" w:hAnsi="Times New Roman"/>
          <w:i/>
          <w:iCs/>
          <w:sz w:val="28"/>
          <w:szCs w:val="28"/>
        </w:rPr>
        <w:t>h</w:t>
      </w:r>
      <w:r w:rsidR="005A6790" w:rsidRPr="00FC37AB">
        <w:rPr>
          <w:rFonts w:ascii="Times New Roman" w:hAnsi="Times New Roman"/>
          <w:i/>
          <w:iCs/>
          <w:sz w:val="28"/>
          <w:szCs w:val="28"/>
        </w:rPr>
        <w:t>)</w:t>
      </w:r>
      <w:r w:rsidR="005A6790" w:rsidRPr="00CD6C14">
        <w:rPr>
          <w:rFonts w:ascii="Times New Roman" w:hAnsi="Times New Roman"/>
          <w:sz w:val="28"/>
          <w:szCs w:val="28"/>
        </w:rPr>
        <w:t>)</w:t>
      </w:r>
      <w:r w:rsidR="00A93280" w:rsidRPr="00CD6C14">
        <w:rPr>
          <w:rFonts w:ascii="Times New Roman" w:hAnsi="Times New Roman"/>
          <w:sz w:val="28"/>
          <w:szCs w:val="28"/>
        </w:rPr>
        <w:t xml:space="preserve"> </w:t>
      </w:r>
      <w:r w:rsidR="005A6790" w:rsidRPr="00CD6C14">
        <w:rPr>
          <w:rFonts w:ascii="Times New Roman" w:hAnsi="Times New Roman"/>
          <w:sz w:val="28"/>
          <w:szCs w:val="28"/>
        </w:rPr>
        <w:t>permits a court to impose a sentence of house arrest and community service</w:t>
      </w:r>
      <w:r w:rsidR="005176F7" w:rsidRPr="00CD6C14">
        <w:rPr>
          <w:rFonts w:ascii="Times New Roman" w:hAnsi="Times New Roman"/>
          <w:sz w:val="28"/>
          <w:szCs w:val="28"/>
        </w:rPr>
        <w:t xml:space="preserve"> once a report of a correctional official or probation officer has been placed before the court and for a fixed period of three years</w:t>
      </w:r>
      <w:r w:rsidR="00D85EF9" w:rsidRPr="00CD6C14">
        <w:rPr>
          <w:rFonts w:ascii="Times New Roman" w:hAnsi="Times New Roman"/>
          <w:sz w:val="28"/>
          <w:szCs w:val="28"/>
        </w:rPr>
        <w:t xml:space="preserve"> (section 276A(1))</w:t>
      </w:r>
      <w:r w:rsidR="005176F7" w:rsidRPr="00CD6C14">
        <w:rPr>
          <w:rFonts w:ascii="Times New Roman" w:hAnsi="Times New Roman"/>
          <w:sz w:val="28"/>
          <w:szCs w:val="28"/>
        </w:rPr>
        <w:t xml:space="preserve">. </w:t>
      </w:r>
      <w:r w:rsidR="00D06E89" w:rsidRPr="00CD6C14">
        <w:rPr>
          <w:rFonts w:ascii="Times New Roman" w:hAnsi="Times New Roman"/>
          <w:sz w:val="28"/>
          <w:szCs w:val="28"/>
        </w:rPr>
        <w:t>T</w:t>
      </w:r>
      <w:r w:rsidR="00A93280" w:rsidRPr="00CD6C14">
        <w:rPr>
          <w:rFonts w:ascii="Times New Roman" w:hAnsi="Times New Roman"/>
          <w:sz w:val="28"/>
          <w:szCs w:val="28"/>
        </w:rPr>
        <w:t xml:space="preserve">he latter </w:t>
      </w:r>
      <w:r w:rsidR="00D06E89" w:rsidRPr="00CD6C14">
        <w:rPr>
          <w:rFonts w:ascii="Times New Roman" w:hAnsi="Times New Roman"/>
          <w:sz w:val="28"/>
          <w:szCs w:val="28"/>
        </w:rPr>
        <w:t>(</w:t>
      </w:r>
      <w:r w:rsidR="00D06E89" w:rsidRPr="00FC37AB">
        <w:rPr>
          <w:rFonts w:ascii="Times New Roman" w:hAnsi="Times New Roman"/>
          <w:i/>
          <w:iCs/>
          <w:sz w:val="28"/>
          <w:szCs w:val="28"/>
        </w:rPr>
        <w:t>(</w:t>
      </w:r>
      <w:r w:rsidR="00D06E89" w:rsidRPr="004707F0">
        <w:rPr>
          <w:rFonts w:ascii="Times New Roman" w:hAnsi="Times New Roman"/>
          <w:i/>
          <w:iCs/>
          <w:sz w:val="28"/>
          <w:szCs w:val="28"/>
        </w:rPr>
        <w:t>i</w:t>
      </w:r>
      <w:r w:rsidR="00D06E89" w:rsidRPr="00FC37AB">
        <w:rPr>
          <w:rFonts w:ascii="Times New Roman" w:hAnsi="Times New Roman"/>
          <w:i/>
          <w:iCs/>
          <w:sz w:val="28"/>
          <w:szCs w:val="28"/>
        </w:rPr>
        <w:t>)</w:t>
      </w:r>
      <w:r w:rsidR="00D06E89" w:rsidRPr="00CD6C14">
        <w:rPr>
          <w:rFonts w:ascii="Times New Roman" w:hAnsi="Times New Roman"/>
          <w:sz w:val="28"/>
          <w:szCs w:val="28"/>
        </w:rPr>
        <w:t xml:space="preserve">) entails direct </w:t>
      </w:r>
      <w:r w:rsidR="004F0C64" w:rsidRPr="00CD6C14">
        <w:rPr>
          <w:rFonts w:ascii="Times New Roman" w:hAnsi="Times New Roman"/>
          <w:sz w:val="28"/>
          <w:szCs w:val="28"/>
        </w:rPr>
        <w:t xml:space="preserve">imprisonment, </w:t>
      </w:r>
      <w:r w:rsidR="008E5DA8" w:rsidRPr="00CD6C14">
        <w:rPr>
          <w:rFonts w:ascii="Times New Roman" w:hAnsi="Times New Roman"/>
          <w:sz w:val="28"/>
          <w:szCs w:val="28"/>
        </w:rPr>
        <w:t xml:space="preserve">a portion of which the offender may serve under correctional supervision in the discretion of </w:t>
      </w:r>
      <w:r w:rsidR="004F0C64" w:rsidRPr="00CD6C14">
        <w:rPr>
          <w:rFonts w:ascii="Times New Roman" w:hAnsi="Times New Roman"/>
          <w:sz w:val="28"/>
          <w:szCs w:val="28"/>
        </w:rPr>
        <w:t xml:space="preserve">a parole board or </w:t>
      </w:r>
      <w:r w:rsidR="008E5DA8" w:rsidRPr="00CD6C14">
        <w:rPr>
          <w:rFonts w:ascii="Times New Roman" w:hAnsi="Times New Roman"/>
          <w:sz w:val="28"/>
          <w:szCs w:val="28"/>
        </w:rPr>
        <w:t>the Commissioner of Correctional Services</w:t>
      </w:r>
      <w:r w:rsidR="00EB11A4" w:rsidRPr="00CD6C14">
        <w:rPr>
          <w:rFonts w:ascii="Times New Roman" w:hAnsi="Times New Roman"/>
          <w:sz w:val="28"/>
          <w:szCs w:val="28"/>
        </w:rPr>
        <w:t>, and may be for a period not exceeding five years</w:t>
      </w:r>
      <w:r w:rsidR="00D85EF9" w:rsidRPr="00CD6C14">
        <w:rPr>
          <w:rFonts w:ascii="Times New Roman" w:hAnsi="Times New Roman"/>
          <w:sz w:val="28"/>
          <w:szCs w:val="28"/>
        </w:rPr>
        <w:t xml:space="preserve"> (section 276A(2))</w:t>
      </w:r>
      <w:r w:rsidR="00EB11A4" w:rsidRPr="00CD6C14">
        <w:rPr>
          <w:rFonts w:ascii="Times New Roman" w:hAnsi="Times New Roman"/>
          <w:sz w:val="28"/>
          <w:szCs w:val="28"/>
        </w:rPr>
        <w:t>.</w:t>
      </w:r>
      <w:r w:rsidR="00F87118" w:rsidRPr="00CD6C14">
        <w:rPr>
          <w:rStyle w:val="FootnoteReference"/>
          <w:rFonts w:ascii="Times New Roman" w:hAnsi="Times New Roman"/>
          <w:sz w:val="28"/>
          <w:szCs w:val="28"/>
        </w:rPr>
        <w:footnoteReference w:id="18"/>
      </w:r>
    </w:p>
    <w:p w14:paraId="2FB284F6" w14:textId="77777777" w:rsidR="00C202F7" w:rsidRPr="00CD6C14" w:rsidRDefault="00C202F7" w:rsidP="00FC37AB">
      <w:pPr>
        <w:pStyle w:val="LegalList1"/>
        <w:spacing w:after="0" w:line="360" w:lineRule="auto"/>
        <w:rPr>
          <w:rFonts w:ascii="Times New Roman" w:hAnsi="Times New Roman"/>
          <w:sz w:val="28"/>
          <w:szCs w:val="28"/>
        </w:rPr>
      </w:pPr>
    </w:p>
    <w:p w14:paraId="225BD24A" w14:textId="074BDEBE" w:rsidR="00FB5474"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BA23F8" w:rsidRPr="00CD6C14">
        <w:rPr>
          <w:rFonts w:ascii="Times New Roman" w:hAnsi="Times New Roman"/>
          <w:sz w:val="28"/>
          <w:szCs w:val="28"/>
        </w:rPr>
        <w:t>The State opposes the appeal</w:t>
      </w:r>
      <w:r w:rsidR="00242EF2" w:rsidRPr="00CD6C14">
        <w:rPr>
          <w:rFonts w:ascii="Times New Roman" w:hAnsi="Times New Roman"/>
          <w:sz w:val="28"/>
          <w:szCs w:val="28"/>
        </w:rPr>
        <w:t>.</w:t>
      </w:r>
    </w:p>
    <w:p w14:paraId="1CA68540" w14:textId="77777777" w:rsidR="00E61E5B" w:rsidRPr="00CD6C14" w:rsidRDefault="00E61E5B" w:rsidP="00FC37AB">
      <w:pPr>
        <w:pStyle w:val="LegalList1"/>
        <w:spacing w:after="0" w:line="360" w:lineRule="auto"/>
        <w:ind w:left="851"/>
        <w:rPr>
          <w:rFonts w:ascii="Times New Roman" w:hAnsi="Times New Roman"/>
          <w:sz w:val="28"/>
          <w:szCs w:val="28"/>
        </w:rPr>
      </w:pPr>
    </w:p>
    <w:p w14:paraId="225BD24C" w14:textId="6F3CB72B" w:rsidR="00027E00" w:rsidRDefault="009C0671" w:rsidP="009C0671">
      <w:pPr>
        <w:pStyle w:val="LegalList1"/>
        <w:spacing w:after="0" w:line="360" w:lineRule="auto"/>
        <w:rPr>
          <w:rFonts w:ascii="Times New Roman" w:hAnsi="Times New Roman"/>
          <w:b/>
          <w:sz w:val="28"/>
          <w:szCs w:val="28"/>
        </w:rPr>
      </w:pPr>
      <w:r>
        <w:rPr>
          <w:rFonts w:ascii="Times New Roman" w:hAnsi="Times New Roman"/>
          <w:sz w:val="28"/>
          <w:szCs w:val="28"/>
        </w:rPr>
        <w:t>[26]</w:t>
      </w:r>
      <w:r>
        <w:rPr>
          <w:rFonts w:ascii="Times New Roman" w:hAnsi="Times New Roman"/>
          <w:sz w:val="28"/>
          <w:szCs w:val="28"/>
        </w:rPr>
        <w:tab/>
      </w:r>
      <w:r w:rsidR="00242EF2" w:rsidRPr="00B11ECC">
        <w:rPr>
          <w:rFonts w:ascii="Times New Roman" w:hAnsi="Times New Roman"/>
          <w:sz w:val="28"/>
          <w:szCs w:val="28"/>
        </w:rPr>
        <w:t xml:space="preserve">It </w:t>
      </w:r>
      <w:r w:rsidR="00BA23F8" w:rsidRPr="00B11ECC">
        <w:rPr>
          <w:rFonts w:ascii="Times New Roman" w:hAnsi="Times New Roman"/>
          <w:sz w:val="28"/>
          <w:szCs w:val="28"/>
        </w:rPr>
        <w:t xml:space="preserve">contends that the appellant is not the </w:t>
      </w:r>
      <w:r w:rsidR="0061493D" w:rsidRPr="00B11ECC">
        <w:rPr>
          <w:rFonts w:ascii="Times New Roman" w:hAnsi="Times New Roman"/>
          <w:sz w:val="28"/>
          <w:szCs w:val="28"/>
        </w:rPr>
        <w:t>sole</w:t>
      </w:r>
      <w:r w:rsidR="00BA23F8" w:rsidRPr="00B11ECC">
        <w:rPr>
          <w:rFonts w:ascii="Times New Roman" w:hAnsi="Times New Roman"/>
          <w:sz w:val="28"/>
          <w:szCs w:val="28"/>
        </w:rPr>
        <w:t xml:space="preserve"> caregiver of RO</w:t>
      </w:r>
      <w:r w:rsidR="001D28A7" w:rsidRPr="00B11ECC">
        <w:rPr>
          <w:rFonts w:ascii="Times New Roman" w:hAnsi="Times New Roman"/>
          <w:sz w:val="28"/>
          <w:szCs w:val="28"/>
        </w:rPr>
        <w:t>,</w:t>
      </w:r>
      <w:r w:rsidR="00CD7B3D" w:rsidRPr="00B11ECC">
        <w:rPr>
          <w:rFonts w:ascii="Times New Roman" w:hAnsi="Times New Roman"/>
          <w:sz w:val="28"/>
          <w:szCs w:val="28"/>
        </w:rPr>
        <w:t xml:space="preserve"> and that </w:t>
      </w:r>
      <w:r w:rsidR="000E5085" w:rsidRPr="00B11ECC">
        <w:rPr>
          <w:rFonts w:ascii="Times New Roman" w:hAnsi="Times New Roman"/>
          <w:sz w:val="28"/>
          <w:szCs w:val="28"/>
        </w:rPr>
        <w:t xml:space="preserve">the </w:t>
      </w:r>
      <w:r w:rsidR="004E27D4" w:rsidRPr="00B11ECC">
        <w:rPr>
          <w:rFonts w:ascii="Times New Roman" w:hAnsi="Times New Roman"/>
          <w:sz w:val="28"/>
          <w:szCs w:val="28"/>
        </w:rPr>
        <w:t xml:space="preserve">regional magistrate’s </w:t>
      </w:r>
      <w:r w:rsidR="007F2DE1" w:rsidRPr="00B11ECC">
        <w:rPr>
          <w:rFonts w:ascii="Times New Roman" w:hAnsi="Times New Roman"/>
          <w:sz w:val="28"/>
          <w:szCs w:val="28"/>
        </w:rPr>
        <w:t xml:space="preserve">carefully considered </w:t>
      </w:r>
      <w:r w:rsidR="00CD7B3D" w:rsidRPr="00B11ECC">
        <w:rPr>
          <w:rFonts w:ascii="Times New Roman" w:hAnsi="Times New Roman"/>
          <w:sz w:val="28"/>
          <w:szCs w:val="28"/>
        </w:rPr>
        <w:t>sentence</w:t>
      </w:r>
      <w:r w:rsidR="00890A8A" w:rsidRPr="00B11ECC">
        <w:rPr>
          <w:rFonts w:ascii="Times New Roman" w:hAnsi="Times New Roman"/>
          <w:sz w:val="28"/>
          <w:szCs w:val="28"/>
        </w:rPr>
        <w:t xml:space="preserve"> – on the facts – achieved </w:t>
      </w:r>
      <w:r w:rsidR="000E5085" w:rsidRPr="00B11ECC">
        <w:rPr>
          <w:rFonts w:ascii="Times New Roman" w:hAnsi="Times New Roman"/>
          <w:sz w:val="28"/>
          <w:szCs w:val="28"/>
        </w:rPr>
        <w:t xml:space="preserve">a judicious counterbalance </w:t>
      </w:r>
      <w:r w:rsidR="005E5E20" w:rsidRPr="00B11ECC">
        <w:rPr>
          <w:rFonts w:ascii="Times New Roman" w:hAnsi="Times New Roman"/>
          <w:sz w:val="28"/>
          <w:szCs w:val="28"/>
        </w:rPr>
        <w:t xml:space="preserve">between what is known as the </w:t>
      </w:r>
      <w:r w:rsidR="005E5E20" w:rsidRPr="00B11ECC">
        <w:rPr>
          <w:rFonts w:ascii="Times New Roman" w:hAnsi="Times New Roman"/>
          <w:i/>
          <w:sz w:val="28"/>
          <w:szCs w:val="28"/>
        </w:rPr>
        <w:t>Zinn</w:t>
      </w:r>
      <w:r w:rsidR="007E4028" w:rsidRPr="00CD6C14">
        <w:rPr>
          <w:rStyle w:val="FootnoteReference"/>
          <w:rFonts w:ascii="Times New Roman" w:hAnsi="Times New Roman"/>
          <w:sz w:val="28"/>
          <w:szCs w:val="28"/>
        </w:rPr>
        <w:footnoteReference w:id="19"/>
      </w:r>
      <w:r w:rsidR="007E4028" w:rsidRPr="00B11ECC">
        <w:rPr>
          <w:rFonts w:ascii="Times New Roman" w:hAnsi="Times New Roman"/>
          <w:sz w:val="28"/>
          <w:szCs w:val="28"/>
        </w:rPr>
        <w:t xml:space="preserve"> </w:t>
      </w:r>
      <w:r w:rsidR="005E5E20" w:rsidRPr="00B11ECC">
        <w:rPr>
          <w:rFonts w:ascii="Times New Roman" w:hAnsi="Times New Roman"/>
          <w:sz w:val="28"/>
          <w:szCs w:val="28"/>
        </w:rPr>
        <w:t xml:space="preserve">triad </w:t>
      </w:r>
      <w:r w:rsidR="00040476" w:rsidRPr="00B11ECC">
        <w:rPr>
          <w:rFonts w:ascii="Times New Roman" w:hAnsi="Times New Roman"/>
          <w:sz w:val="28"/>
          <w:szCs w:val="28"/>
        </w:rPr>
        <w:t xml:space="preserve">and </w:t>
      </w:r>
      <w:r w:rsidR="004A6FD8" w:rsidRPr="00B11ECC">
        <w:rPr>
          <w:rFonts w:ascii="Times New Roman" w:hAnsi="Times New Roman"/>
          <w:sz w:val="28"/>
          <w:szCs w:val="28"/>
        </w:rPr>
        <w:t>the interests of the minor child</w:t>
      </w:r>
      <w:r w:rsidR="004568A9" w:rsidRPr="00B11ECC">
        <w:rPr>
          <w:rFonts w:ascii="Times New Roman" w:hAnsi="Times New Roman"/>
          <w:sz w:val="28"/>
          <w:szCs w:val="28"/>
        </w:rPr>
        <w:t>, considered independently.</w:t>
      </w:r>
      <w:r w:rsidR="004568A9" w:rsidRPr="00CD6C14">
        <w:rPr>
          <w:rStyle w:val="FootnoteReference"/>
          <w:rFonts w:ascii="Times New Roman" w:hAnsi="Times New Roman"/>
          <w:sz w:val="28"/>
          <w:szCs w:val="28"/>
        </w:rPr>
        <w:footnoteReference w:id="20"/>
      </w:r>
    </w:p>
    <w:p w14:paraId="7060C0E0" w14:textId="77777777" w:rsidR="00B11ECC" w:rsidRPr="00B11ECC" w:rsidRDefault="00B11ECC" w:rsidP="00FC37AB">
      <w:pPr>
        <w:pStyle w:val="LegalList1"/>
        <w:spacing w:after="0" w:line="360" w:lineRule="auto"/>
        <w:rPr>
          <w:rFonts w:ascii="Times New Roman" w:hAnsi="Times New Roman"/>
          <w:b/>
          <w:sz w:val="28"/>
          <w:szCs w:val="28"/>
        </w:rPr>
      </w:pPr>
    </w:p>
    <w:p w14:paraId="225BD24E" w14:textId="2F779757" w:rsidR="00027E00" w:rsidRPr="00CD6C14" w:rsidRDefault="0020648E"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The evidence</w:t>
      </w:r>
      <w:r w:rsidR="00CC39BD" w:rsidRPr="00CD6C14">
        <w:rPr>
          <w:rFonts w:ascii="Times New Roman" w:hAnsi="Times New Roman"/>
          <w:b/>
          <w:sz w:val="28"/>
          <w:szCs w:val="28"/>
        </w:rPr>
        <w:t>,</w:t>
      </w:r>
      <w:r w:rsidRPr="00CD6C14">
        <w:rPr>
          <w:rFonts w:ascii="Times New Roman" w:hAnsi="Times New Roman"/>
          <w:b/>
          <w:sz w:val="28"/>
          <w:szCs w:val="28"/>
        </w:rPr>
        <w:t xml:space="preserve"> arguments</w:t>
      </w:r>
      <w:r w:rsidR="00CC39BD" w:rsidRPr="00CD6C14">
        <w:rPr>
          <w:rFonts w:ascii="Times New Roman" w:hAnsi="Times New Roman"/>
          <w:b/>
          <w:sz w:val="28"/>
          <w:szCs w:val="28"/>
        </w:rPr>
        <w:t xml:space="preserve"> and approach by the sentencing court</w:t>
      </w:r>
    </w:p>
    <w:p w14:paraId="225BD24F" w14:textId="20A4D99A"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BF735C" w:rsidRPr="00CD6C14">
        <w:rPr>
          <w:rFonts w:ascii="Times New Roman" w:hAnsi="Times New Roman"/>
          <w:sz w:val="28"/>
          <w:szCs w:val="28"/>
        </w:rPr>
        <w:t>Much of the evidence before the court in relation to sentencing concerned the personal circumstances of the appellant and her child RO, the appellant’s background and history, and generally her family circumstances prior to sentencing. In that regard the sentencing court had before it the evidence and pre</w:t>
      </w:r>
      <w:r w:rsidR="006B1C5E">
        <w:rPr>
          <w:rFonts w:ascii="Times New Roman" w:hAnsi="Times New Roman"/>
          <w:sz w:val="28"/>
          <w:szCs w:val="28"/>
        </w:rPr>
        <w:noBreakHyphen/>
      </w:r>
      <w:r w:rsidR="00BF735C" w:rsidRPr="00CD6C14">
        <w:rPr>
          <w:rFonts w:ascii="Times New Roman" w:hAnsi="Times New Roman"/>
          <w:sz w:val="28"/>
          <w:szCs w:val="28"/>
        </w:rPr>
        <w:t>senten</w:t>
      </w:r>
      <w:r w:rsidR="006F3F8C" w:rsidRPr="00CD6C14">
        <w:rPr>
          <w:rFonts w:ascii="Times New Roman" w:hAnsi="Times New Roman"/>
          <w:sz w:val="28"/>
          <w:szCs w:val="28"/>
        </w:rPr>
        <w:t>ce report of Ms Jolene Petersen</w:t>
      </w:r>
      <w:r w:rsidR="00504A1A">
        <w:rPr>
          <w:rFonts w:ascii="Times New Roman" w:hAnsi="Times New Roman"/>
          <w:sz w:val="28"/>
          <w:szCs w:val="28"/>
        </w:rPr>
        <w:t>,</w:t>
      </w:r>
      <w:r w:rsidR="00BF735C" w:rsidRPr="00CD6C14">
        <w:rPr>
          <w:rFonts w:ascii="Times New Roman" w:hAnsi="Times New Roman"/>
          <w:sz w:val="28"/>
          <w:szCs w:val="28"/>
        </w:rPr>
        <w:t xml:space="preserve"> a probation officer, Ms Sandra Dunston the manager of ‘Sinako’ – a centre for persons requiring special needs, and the appellant’s mother Mrs Francina Swanepoel.</w:t>
      </w:r>
    </w:p>
    <w:p w14:paraId="473C2B61" w14:textId="77777777" w:rsidR="000D2123" w:rsidRPr="00CD6C14" w:rsidRDefault="000D2123" w:rsidP="00FC37AB">
      <w:pPr>
        <w:pStyle w:val="LegalList1"/>
        <w:spacing w:after="0" w:line="360" w:lineRule="auto"/>
        <w:rPr>
          <w:rFonts w:ascii="Times New Roman" w:hAnsi="Times New Roman"/>
          <w:sz w:val="28"/>
          <w:szCs w:val="28"/>
        </w:rPr>
      </w:pPr>
    </w:p>
    <w:p w14:paraId="225BD250" w14:textId="441CD1AE"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lastRenderedPageBreak/>
        <w:t>[28]</w:t>
      </w:r>
      <w:r>
        <w:rPr>
          <w:rFonts w:ascii="Times New Roman" w:hAnsi="Times New Roman"/>
          <w:sz w:val="28"/>
          <w:szCs w:val="28"/>
        </w:rPr>
        <w:tab/>
      </w:r>
      <w:r w:rsidR="00BF735C" w:rsidRPr="00CD6C14">
        <w:rPr>
          <w:rFonts w:ascii="Times New Roman" w:hAnsi="Times New Roman"/>
          <w:sz w:val="28"/>
          <w:szCs w:val="28"/>
        </w:rPr>
        <w:t xml:space="preserve">The appellant did not testify, preferring instead that </w:t>
      </w:r>
      <w:r w:rsidR="00BF735C" w:rsidRPr="00FC37AB">
        <w:rPr>
          <w:rFonts w:ascii="Times New Roman" w:hAnsi="Times New Roman"/>
          <w:i/>
          <w:iCs/>
          <w:sz w:val="28"/>
          <w:szCs w:val="28"/>
        </w:rPr>
        <w:t>ex parte</w:t>
      </w:r>
      <w:r w:rsidR="00BF735C" w:rsidRPr="00CD6C14">
        <w:rPr>
          <w:rFonts w:ascii="Times New Roman" w:hAnsi="Times New Roman"/>
          <w:sz w:val="28"/>
          <w:szCs w:val="28"/>
        </w:rPr>
        <w:t xml:space="preserve"> statements </w:t>
      </w:r>
      <w:r w:rsidR="003344F5" w:rsidRPr="00CD6C14">
        <w:rPr>
          <w:rFonts w:ascii="Times New Roman" w:hAnsi="Times New Roman"/>
          <w:sz w:val="28"/>
          <w:szCs w:val="28"/>
        </w:rPr>
        <w:t xml:space="preserve">in mitigation </w:t>
      </w:r>
      <w:r w:rsidR="00BF735C" w:rsidRPr="00CD6C14">
        <w:rPr>
          <w:rFonts w:ascii="Times New Roman" w:hAnsi="Times New Roman"/>
          <w:sz w:val="28"/>
          <w:szCs w:val="28"/>
        </w:rPr>
        <w:t xml:space="preserve">be made from the bar by her legal representative. Without </w:t>
      </w:r>
      <w:r w:rsidR="008B5715" w:rsidRPr="00CD6C14">
        <w:rPr>
          <w:rFonts w:ascii="Times New Roman" w:hAnsi="Times New Roman"/>
          <w:sz w:val="28"/>
          <w:szCs w:val="28"/>
        </w:rPr>
        <w:t xml:space="preserve">intending </w:t>
      </w:r>
      <w:r w:rsidR="00BF735C" w:rsidRPr="00CD6C14">
        <w:rPr>
          <w:rFonts w:ascii="Times New Roman" w:hAnsi="Times New Roman"/>
          <w:sz w:val="28"/>
          <w:szCs w:val="28"/>
        </w:rPr>
        <w:t>criticism – that was her choice</w:t>
      </w:r>
      <w:r w:rsidR="00185A0A" w:rsidRPr="00CD6C14">
        <w:rPr>
          <w:rFonts w:ascii="Times New Roman" w:hAnsi="Times New Roman"/>
          <w:sz w:val="28"/>
          <w:szCs w:val="28"/>
        </w:rPr>
        <w:t>,</w:t>
      </w:r>
      <w:r w:rsidR="000C5ED7" w:rsidRPr="00CD6C14">
        <w:rPr>
          <w:rFonts w:ascii="Times New Roman" w:hAnsi="Times New Roman"/>
          <w:sz w:val="28"/>
          <w:szCs w:val="28"/>
        </w:rPr>
        <w:t xml:space="preserve"> but it is not without consequence</w:t>
      </w:r>
      <w:r w:rsidR="00BF735C" w:rsidRPr="00CD6C14">
        <w:rPr>
          <w:rFonts w:ascii="Times New Roman" w:hAnsi="Times New Roman"/>
          <w:sz w:val="28"/>
          <w:szCs w:val="28"/>
        </w:rPr>
        <w:t xml:space="preserve">. </w:t>
      </w:r>
      <w:r w:rsidR="00C977A4" w:rsidRPr="00CD6C14">
        <w:rPr>
          <w:rFonts w:ascii="Times New Roman" w:hAnsi="Times New Roman"/>
          <w:sz w:val="28"/>
          <w:szCs w:val="28"/>
        </w:rPr>
        <w:t>Statements from the bar are no substitute for evidence given under oath or affirmation.</w:t>
      </w:r>
      <w:r w:rsidR="00F6536B" w:rsidRPr="00CD6C14">
        <w:rPr>
          <w:rStyle w:val="FootnoteReference"/>
          <w:rFonts w:ascii="Times New Roman" w:hAnsi="Times New Roman"/>
          <w:sz w:val="28"/>
          <w:szCs w:val="28"/>
        </w:rPr>
        <w:footnoteReference w:id="21"/>
      </w:r>
      <w:r w:rsidR="00C977A4" w:rsidRPr="00CD6C14">
        <w:rPr>
          <w:rFonts w:ascii="Times New Roman" w:hAnsi="Times New Roman"/>
          <w:sz w:val="28"/>
          <w:szCs w:val="28"/>
        </w:rPr>
        <w:t xml:space="preserve"> </w:t>
      </w:r>
      <w:r w:rsidR="006F0EA4" w:rsidRPr="00CD6C14">
        <w:rPr>
          <w:rFonts w:ascii="Times New Roman" w:hAnsi="Times New Roman"/>
          <w:sz w:val="28"/>
          <w:szCs w:val="28"/>
        </w:rPr>
        <w:t>Evidence adduced in that manner carries more weight.</w:t>
      </w:r>
      <w:r w:rsidR="006F0EA4" w:rsidRPr="00CD6C14">
        <w:rPr>
          <w:rStyle w:val="FootnoteReference"/>
          <w:rFonts w:ascii="Times New Roman" w:hAnsi="Times New Roman"/>
          <w:sz w:val="28"/>
          <w:szCs w:val="28"/>
        </w:rPr>
        <w:footnoteReference w:id="22"/>
      </w:r>
      <w:r w:rsidR="008B5715" w:rsidRPr="00CD6C14">
        <w:rPr>
          <w:rFonts w:ascii="Times New Roman" w:hAnsi="Times New Roman"/>
          <w:sz w:val="28"/>
          <w:szCs w:val="28"/>
        </w:rPr>
        <w:t xml:space="preserve"> </w:t>
      </w:r>
      <w:r w:rsidR="00BF735C" w:rsidRPr="00CD6C14">
        <w:rPr>
          <w:rFonts w:ascii="Times New Roman" w:hAnsi="Times New Roman"/>
          <w:sz w:val="28"/>
          <w:szCs w:val="28"/>
        </w:rPr>
        <w:t xml:space="preserve">The general approach is that, though no more than argument, </w:t>
      </w:r>
      <w:r w:rsidR="00A91855" w:rsidRPr="00CD6C14">
        <w:rPr>
          <w:rFonts w:ascii="Times New Roman" w:hAnsi="Times New Roman"/>
          <w:sz w:val="28"/>
          <w:szCs w:val="28"/>
        </w:rPr>
        <w:t>to exclude them entirely from consideration would not attract a fair result.</w:t>
      </w:r>
      <w:r w:rsidR="00BF735C" w:rsidRPr="00CD6C14">
        <w:rPr>
          <w:rStyle w:val="FootnoteReference"/>
          <w:rFonts w:ascii="Times New Roman" w:hAnsi="Times New Roman"/>
          <w:sz w:val="28"/>
          <w:szCs w:val="28"/>
        </w:rPr>
        <w:footnoteReference w:id="23"/>
      </w:r>
    </w:p>
    <w:p w14:paraId="01C6C6A2" w14:textId="77777777" w:rsidR="00607803" w:rsidRPr="00CD6C14" w:rsidRDefault="00607803" w:rsidP="00FC37AB">
      <w:pPr>
        <w:pStyle w:val="LegalList1"/>
        <w:spacing w:after="0" w:line="360" w:lineRule="auto"/>
        <w:rPr>
          <w:rFonts w:ascii="Times New Roman" w:hAnsi="Times New Roman"/>
          <w:sz w:val="28"/>
          <w:szCs w:val="28"/>
        </w:rPr>
      </w:pPr>
    </w:p>
    <w:p w14:paraId="225BD251" w14:textId="4413BBEA"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BF735C" w:rsidRPr="00CD6C14">
        <w:rPr>
          <w:rFonts w:ascii="Times New Roman" w:hAnsi="Times New Roman"/>
          <w:sz w:val="28"/>
          <w:szCs w:val="28"/>
        </w:rPr>
        <w:t>Ms Petersen was requested by the presiding magistrate to prepare a report in order to determine the appellant’s family background, her general socio</w:t>
      </w:r>
      <w:r w:rsidR="00050A68">
        <w:rPr>
          <w:rFonts w:ascii="Times New Roman" w:hAnsi="Times New Roman"/>
          <w:sz w:val="28"/>
          <w:szCs w:val="28"/>
        </w:rPr>
        <w:noBreakHyphen/>
      </w:r>
      <w:r w:rsidR="00BF735C" w:rsidRPr="00CD6C14">
        <w:rPr>
          <w:rFonts w:ascii="Times New Roman" w:hAnsi="Times New Roman"/>
          <w:sz w:val="28"/>
          <w:szCs w:val="28"/>
        </w:rPr>
        <w:t>economic circumstances, the needs of the minor child, and possible sentencing options. Evidence as to the circumstances and needs of the child was similarly elicited from Ms Dunston and Mrs Swanepoel.</w:t>
      </w:r>
    </w:p>
    <w:p w14:paraId="360C5F72" w14:textId="77777777" w:rsidR="00050A68" w:rsidRPr="00CD6C14" w:rsidRDefault="00050A68" w:rsidP="00FC37AB">
      <w:pPr>
        <w:pStyle w:val="LegalList1"/>
        <w:spacing w:after="0" w:line="360" w:lineRule="auto"/>
        <w:rPr>
          <w:rFonts w:ascii="Times New Roman" w:hAnsi="Times New Roman"/>
          <w:sz w:val="28"/>
          <w:szCs w:val="28"/>
        </w:rPr>
      </w:pPr>
    </w:p>
    <w:p w14:paraId="225BD252" w14:textId="1073C330"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BF735C" w:rsidRPr="00CD6C14">
        <w:rPr>
          <w:rFonts w:ascii="Times New Roman" w:hAnsi="Times New Roman"/>
          <w:sz w:val="28"/>
          <w:szCs w:val="28"/>
        </w:rPr>
        <w:t>In the enquiry into whether the appellant is the primary caregiver, the evidence indicates that it is not the case. Ms Petersen i</w:t>
      </w:r>
      <w:r w:rsidR="00E25D0D" w:rsidRPr="00CD6C14">
        <w:rPr>
          <w:rFonts w:ascii="Times New Roman" w:hAnsi="Times New Roman"/>
          <w:sz w:val="28"/>
          <w:szCs w:val="28"/>
        </w:rPr>
        <w:t xml:space="preserve">s clearly of the view that </w:t>
      </w:r>
      <w:r w:rsidR="00BF735C" w:rsidRPr="00CD6C14">
        <w:rPr>
          <w:rFonts w:ascii="Times New Roman" w:hAnsi="Times New Roman"/>
          <w:sz w:val="28"/>
          <w:szCs w:val="28"/>
        </w:rPr>
        <w:t>there is no primary caregiver for the child – the appellant is a partial caregiver.</w:t>
      </w:r>
    </w:p>
    <w:p w14:paraId="0A7D7E95" w14:textId="77777777" w:rsidR="00410E80" w:rsidRPr="00CD6C14" w:rsidRDefault="00410E80" w:rsidP="00FC37AB">
      <w:pPr>
        <w:pStyle w:val="LegalList1"/>
        <w:spacing w:after="0" w:line="360" w:lineRule="auto"/>
        <w:rPr>
          <w:rFonts w:ascii="Times New Roman" w:hAnsi="Times New Roman"/>
          <w:sz w:val="28"/>
          <w:szCs w:val="28"/>
        </w:rPr>
      </w:pPr>
    </w:p>
    <w:p w14:paraId="225BD253" w14:textId="4A21DEF9"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BF735C" w:rsidRPr="00CD6C14">
        <w:rPr>
          <w:rFonts w:ascii="Times New Roman" w:hAnsi="Times New Roman"/>
          <w:sz w:val="28"/>
          <w:szCs w:val="28"/>
        </w:rPr>
        <w:t xml:space="preserve">There exists a family support structure pivotal to which are the appellant’s parents Mr and Mrs Swanepoel </w:t>
      </w:r>
      <w:r w:rsidR="00185A0A" w:rsidRPr="00CD6C14">
        <w:rPr>
          <w:rFonts w:ascii="Times New Roman" w:hAnsi="Times New Roman"/>
          <w:sz w:val="28"/>
          <w:szCs w:val="28"/>
        </w:rPr>
        <w:t xml:space="preserve">who are </w:t>
      </w:r>
      <w:r w:rsidR="00BF735C" w:rsidRPr="00CD6C14">
        <w:rPr>
          <w:rFonts w:ascii="Times New Roman" w:hAnsi="Times New Roman"/>
          <w:sz w:val="28"/>
          <w:szCs w:val="28"/>
        </w:rPr>
        <w:t>both elderly persons over 70 years of age. Since the birth of the child, the appellant and the child have been residing with them. Despite episodes of turbulence between Mr Swanepoel and the appellant due to her conduct and attitude, all indications from the testimony of Ms Petersen are that both grandparents, even though advanced in age</w:t>
      </w:r>
      <w:r w:rsidR="001E0556" w:rsidRPr="00CD6C14">
        <w:rPr>
          <w:rFonts w:ascii="Times New Roman" w:hAnsi="Times New Roman"/>
          <w:sz w:val="28"/>
          <w:szCs w:val="28"/>
        </w:rPr>
        <w:t xml:space="preserve"> and at times subjected to stress</w:t>
      </w:r>
      <w:r w:rsidR="00BF735C" w:rsidRPr="00CD6C14">
        <w:rPr>
          <w:rFonts w:ascii="Times New Roman" w:hAnsi="Times New Roman"/>
          <w:sz w:val="28"/>
          <w:szCs w:val="28"/>
        </w:rPr>
        <w:t xml:space="preserve">, are physically active and capable of looking after themselves and the child. Mrs Swanepoel, reportedly rises early each day. She prepares the </w:t>
      </w:r>
      <w:r w:rsidR="00BF735C" w:rsidRPr="00CD6C14">
        <w:rPr>
          <w:rFonts w:ascii="Times New Roman" w:hAnsi="Times New Roman"/>
          <w:sz w:val="28"/>
          <w:szCs w:val="28"/>
        </w:rPr>
        <w:lastRenderedPageBreak/>
        <w:t>child’s lunch and gets him ready for school. Mr Swanepoel is able to drive a motor vehicle. He transports the child to school and to hospitals for consulting with specialists and clinicians.</w:t>
      </w:r>
      <w:r w:rsidR="00F04F63" w:rsidRPr="00CD6C14">
        <w:rPr>
          <w:rFonts w:ascii="Times New Roman" w:hAnsi="Times New Roman"/>
          <w:sz w:val="28"/>
          <w:szCs w:val="28"/>
        </w:rPr>
        <w:t xml:space="preserve"> </w:t>
      </w:r>
      <w:r w:rsidR="00997A16" w:rsidRPr="00CD6C14">
        <w:rPr>
          <w:rFonts w:ascii="Times New Roman" w:hAnsi="Times New Roman"/>
          <w:sz w:val="28"/>
          <w:szCs w:val="28"/>
        </w:rPr>
        <w:t>I</w:t>
      </w:r>
      <w:r w:rsidR="00F04F63" w:rsidRPr="00CD6C14">
        <w:rPr>
          <w:rFonts w:ascii="Times New Roman" w:hAnsi="Times New Roman"/>
          <w:sz w:val="28"/>
          <w:szCs w:val="28"/>
        </w:rPr>
        <w:t>n heads of argument</w:t>
      </w:r>
      <w:r w:rsidR="001A51EE">
        <w:rPr>
          <w:rFonts w:ascii="Times New Roman" w:hAnsi="Times New Roman"/>
          <w:sz w:val="28"/>
          <w:szCs w:val="28"/>
        </w:rPr>
        <w:t>,</w:t>
      </w:r>
      <w:r w:rsidR="00F04F63" w:rsidRPr="00CD6C14">
        <w:rPr>
          <w:rFonts w:ascii="Times New Roman" w:hAnsi="Times New Roman"/>
          <w:sz w:val="28"/>
          <w:szCs w:val="28"/>
        </w:rPr>
        <w:t xml:space="preserve"> it is mentioned that the </w:t>
      </w:r>
      <w:r w:rsidR="00997A16" w:rsidRPr="00CD6C14">
        <w:rPr>
          <w:rFonts w:ascii="Times New Roman" w:hAnsi="Times New Roman"/>
          <w:sz w:val="28"/>
          <w:szCs w:val="28"/>
        </w:rPr>
        <w:t xml:space="preserve">appellant </w:t>
      </w:r>
      <w:r w:rsidR="00F04F63" w:rsidRPr="00CD6C14">
        <w:rPr>
          <w:rFonts w:ascii="Times New Roman" w:hAnsi="Times New Roman"/>
          <w:sz w:val="28"/>
          <w:szCs w:val="28"/>
        </w:rPr>
        <w:t>ta</w:t>
      </w:r>
      <w:r w:rsidR="00997A16" w:rsidRPr="00CD6C14">
        <w:rPr>
          <w:rFonts w:ascii="Times New Roman" w:hAnsi="Times New Roman"/>
          <w:sz w:val="28"/>
          <w:szCs w:val="28"/>
        </w:rPr>
        <w:t xml:space="preserve">kes the child to a neurologist – it is not clear if the appellant drives the child by herself. </w:t>
      </w:r>
      <w:r w:rsidR="00A23228" w:rsidRPr="00CD6C14">
        <w:rPr>
          <w:rFonts w:ascii="Times New Roman" w:hAnsi="Times New Roman"/>
          <w:sz w:val="28"/>
          <w:szCs w:val="28"/>
        </w:rPr>
        <w:t xml:space="preserve">Presumably, </w:t>
      </w:r>
      <w:r w:rsidR="00997A16" w:rsidRPr="00CD6C14">
        <w:rPr>
          <w:rFonts w:ascii="Times New Roman" w:hAnsi="Times New Roman"/>
          <w:sz w:val="28"/>
          <w:szCs w:val="28"/>
        </w:rPr>
        <w:t>Mr Swanepoel drives and she</w:t>
      </w:r>
      <w:r w:rsidR="00A23228" w:rsidRPr="00CD6C14">
        <w:rPr>
          <w:rFonts w:ascii="Times New Roman" w:hAnsi="Times New Roman"/>
          <w:sz w:val="28"/>
          <w:szCs w:val="28"/>
        </w:rPr>
        <w:t xml:space="preserve"> accompanies the child during sessions.</w:t>
      </w:r>
    </w:p>
    <w:p w14:paraId="632551F7" w14:textId="77777777" w:rsidR="00290BEB" w:rsidRPr="00CD6C14" w:rsidRDefault="00290BEB" w:rsidP="00FC37AB">
      <w:pPr>
        <w:pStyle w:val="LegalList1"/>
        <w:spacing w:after="0" w:line="360" w:lineRule="auto"/>
        <w:rPr>
          <w:rFonts w:ascii="Times New Roman" w:hAnsi="Times New Roman"/>
          <w:sz w:val="28"/>
          <w:szCs w:val="28"/>
        </w:rPr>
      </w:pPr>
    </w:p>
    <w:p w14:paraId="225BD254" w14:textId="2C9E25EE"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BF735C" w:rsidRPr="00CD6C14">
        <w:rPr>
          <w:rFonts w:ascii="Times New Roman" w:hAnsi="Times New Roman"/>
          <w:sz w:val="28"/>
          <w:szCs w:val="28"/>
        </w:rPr>
        <w:t>The appellant informed Ms Petersen that she feeds the chi</w:t>
      </w:r>
      <w:r w:rsidR="002B3E80" w:rsidRPr="00CD6C14">
        <w:rPr>
          <w:rFonts w:ascii="Times New Roman" w:hAnsi="Times New Roman"/>
          <w:sz w:val="28"/>
          <w:szCs w:val="28"/>
        </w:rPr>
        <w:t>ld, bathes him and assists him when</w:t>
      </w:r>
      <w:r w:rsidR="008510F3" w:rsidRPr="00CD6C14">
        <w:rPr>
          <w:rFonts w:ascii="Times New Roman" w:hAnsi="Times New Roman"/>
          <w:sz w:val="28"/>
          <w:szCs w:val="28"/>
        </w:rPr>
        <w:t xml:space="preserve"> he uses the toilet.</w:t>
      </w:r>
      <w:r w:rsidR="00BF735C" w:rsidRPr="00CD6C14">
        <w:rPr>
          <w:rFonts w:ascii="Times New Roman" w:hAnsi="Times New Roman"/>
          <w:sz w:val="28"/>
          <w:szCs w:val="28"/>
        </w:rPr>
        <w:t xml:space="preserve"> As for the latter, Ms Petersen commented that the child is able to perform his routine on his own considering that he does so at school. Ms Petersen testified that the appellant frequently absents herself from home over weekends and at times during the week to visit her boyfriend (Ms Dunston, who</w:t>
      </w:r>
      <w:r w:rsidR="004E057F" w:rsidRPr="00CD6C14">
        <w:rPr>
          <w:rFonts w:ascii="Times New Roman" w:hAnsi="Times New Roman"/>
          <w:sz w:val="28"/>
          <w:szCs w:val="28"/>
        </w:rPr>
        <w:t xml:space="preserve"> portrayed the appellant somewhat propitiously was unaware of this as also the appellant’s previous history)</w:t>
      </w:r>
      <w:r w:rsidR="00BF735C" w:rsidRPr="00CD6C14">
        <w:rPr>
          <w:rFonts w:ascii="Times New Roman" w:hAnsi="Times New Roman"/>
          <w:sz w:val="28"/>
          <w:szCs w:val="28"/>
        </w:rPr>
        <w:t>. On the occasions of the appellant’s absence, the child is left in the care of Mr and Mrs Swanepoel. The appellant’s absences from home were confirmed by Mrs Swanepoel from whom evidence was led by the State.</w:t>
      </w:r>
    </w:p>
    <w:p w14:paraId="794BB591" w14:textId="77777777" w:rsidR="00483C6D" w:rsidRPr="00CD6C14" w:rsidRDefault="00483C6D" w:rsidP="00FC37AB">
      <w:pPr>
        <w:pStyle w:val="LegalList1"/>
        <w:spacing w:after="0" w:line="360" w:lineRule="auto"/>
        <w:rPr>
          <w:rFonts w:ascii="Times New Roman" w:hAnsi="Times New Roman"/>
          <w:sz w:val="28"/>
          <w:szCs w:val="28"/>
        </w:rPr>
      </w:pPr>
    </w:p>
    <w:p w14:paraId="225BD255" w14:textId="7AD3DBA4"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BF735C" w:rsidRPr="00CD6C14">
        <w:rPr>
          <w:rFonts w:ascii="Times New Roman" w:hAnsi="Times New Roman"/>
          <w:sz w:val="28"/>
          <w:szCs w:val="28"/>
        </w:rPr>
        <w:t>Testifying as to their level of commitment and love for the child, Mrs</w:t>
      </w:r>
      <w:r w:rsidR="00074530">
        <w:rPr>
          <w:rFonts w:ascii="Times New Roman" w:hAnsi="Times New Roman"/>
          <w:sz w:val="28"/>
          <w:szCs w:val="28"/>
        </w:rPr>
        <w:t> </w:t>
      </w:r>
      <w:r w:rsidR="00BF735C" w:rsidRPr="00CD6C14">
        <w:rPr>
          <w:rFonts w:ascii="Times New Roman" w:hAnsi="Times New Roman"/>
          <w:sz w:val="28"/>
          <w:szCs w:val="28"/>
        </w:rPr>
        <w:t xml:space="preserve">Swanepoel stated that both she and her husband are fully capable of looking after their grandchild and have been doing so for the </w:t>
      </w:r>
      <w:r w:rsidR="00E74075" w:rsidRPr="00CD6C14">
        <w:rPr>
          <w:rFonts w:ascii="Times New Roman" w:hAnsi="Times New Roman"/>
          <w:sz w:val="28"/>
          <w:szCs w:val="28"/>
        </w:rPr>
        <w:t>p</w:t>
      </w:r>
      <w:r w:rsidR="00BF735C" w:rsidRPr="00CD6C14">
        <w:rPr>
          <w:rFonts w:ascii="Times New Roman" w:hAnsi="Times New Roman"/>
          <w:sz w:val="28"/>
          <w:szCs w:val="28"/>
        </w:rPr>
        <w:t xml:space="preserve">ast </w:t>
      </w:r>
      <w:r w:rsidR="001A14D5">
        <w:rPr>
          <w:rFonts w:ascii="Times New Roman" w:hAnsi="Times New Roman"/>
          <w:sz w:val="28"/>
          <w:szCs w:val="28"/>
        </w:rPr>
        <w:t xml:space="preserve">nine </w:t>
      </w:r>
      <w:r w:rsidR="00BF735C" w:rsidRPr="00CD6C14">
        <w:rPr>
          <w:rFonts w:ascii="Times New Roman" w:hAnsi="Times New Roman"/>
          <w:sz w:val="28"/>
          <w:szCs w:val="28"/>
        </w:rPr>
        <w:t>years.</w:t>
      </w:r>
    </w:p>
    <w:p w14:paraId="6848DE8F" w14:textId="77777777" w:rsidR="001A14D5" w:rsidRPr="00CD6C14" w:rsidRDefault="001A14D5" w:rsidP="00FC37AB">
      <w:pPr>
        <w:pStyle w:val="LegalList1"/>
        <w:spacing w:after="0" w:line="360" w:lineRule="auto"/>
        <w:rPr>
          <w:rFonts w:ascii="Times New Roman" w:hAnsi="Times New Roman"/>
          <w:sz w:val="28"/>
          <w:szCs w:val="28"/>
        </w:rPr>
      </w:pPr>
    </w:p>
    <w:p w14:paraId="225BD256" w14:textId="70A4BC2C"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BF735C" w:rsidRPr="00CD6C14">
        <w:rPr>
          <w:rFonts w:ascii="Times New Roman" w:hAnsi="Times New Roman"/>
          <w:sz w:val="28"/>
          <w:szCs w:val="28"/>
        </w:rPr>
        <w:t>Ms Dunstan testified on behalf of the appellant. Her testimony dealt with the child’s schooling, the cost of which is borne from a state funded disability grant which is paid directly into the school’s banking account.</w:t>
      </w:r>
    </w:p>
    <w:p w14:paraId="2BD26B58" w14:textId="77777777" w:rsidR="00FC7961" w:rsidRPr="00CD6C14" w:rsidRDefault="00FC7961" w:rsidP="00FC37AB">
      <w:pPr>
        <w:pStyle w:val="LegalList1"/>
        <w:spacing w:after="0" w:line="360" w:lineRule="auto"/>
        <w:rPr>
          <w:rFonts w:ascii="Times New Roman" w:hAnsi="Times New Roman"/>
          <w:sz w:val="28"/>
          <w:szCs w:val="28"/>
        </w:rPr>
      </w:pPr>
    </w:p>
    <w:p w14:paraId="225BD257" w14:textId="288425A4"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BF735C" w:rsidRPr="00CD6C14">
        <w:rPr>
          <w:rFonts w:ascii="Times New Roman" w:hAnsi="Times New Roman"/>
          <w:sz w:val="28"/>
          <w:szCs w:val="28"/>
        </w:rPr>
        <w:t xml:space="preserve">She observed on most occasions that the child would be brought to school by his grandparents accompanied by the appellant. He would sometimes throw a tantrum when the appellant is not present to usher him into the school premises. </w:t>
      </w:r>
      <w:r w:rsidR="00BF735C" w:rsidRPr="00CD6C14">
        <w:rPr>
          <w:rFonts w:ascii="Times New Roman" w:hAnsi="Times New Roman"/>
          <w:sz w:val="28"/>
          <w:szCs w:val="28"/>
        </w:rPr>
        <w:lastRenderedPageBreak/>
        <w:t xml:space="preserve">She believes that the child’s grandparents are not strict enough to discipline him. She described the appellant as a ‘disciplinarian’ who has better control over RO and whose role in the child’s life </w:t>
      </w:r>
      <w:r w:rsidR="008510F3" w:rsidRPr="00CD6C14">
        <w:rPr>
          <w:rFonts w:ascii="Times New Roman" w:hAnsi="Times New Roman"/>
          <w:sz w:val="28"/>
          <w:szCs w:val="28"/>
        </w:rPr>
        <w:t xml:space="preserve">is </w:t>
      </w:r>
      <w:r w:rsidR="00BF735C" w:rsidRPr="00CD6C14">
        <w:rPr>
          <w:rFonts w:ascii="Times New Roman" w:hAnsi="Times New Roman"/>
          <w:sz w:val="28"/>
          <w:szCs w:val="28"/>
        </w:rPr>
        <w:t>indispensable.</w:t>
      </w:r>
    </w:p>
    <w:p w14:paraId="37D89267" w14:textId="77777777" w:rsidR="003C60A5" w:rsidRPr="00CD6C14" w:rsidRDefault="003C60A5" w:rsidP="00FC37AB">
      <w:pPr>
        <w:pStyle w:val="LegalList1"/>
        <w:spacing w:after="0" w:line="360" w:lineRule="auto"/>
        <w:rPr>
          <w:rFonts w:ascii="Times New Roman" w:hAnsi="Times New Roman"/>
          <w:sz w:val="28"/>
          <w:szCs w:val="28"/>
        </w:rPr>
      </w:pPr>
    </w:p>
    <w:p w14:paraId="225BD258" w14:textId="28C4FF55"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BF735C" w:rsidRPr="00CD6C14">
        <w:rPr>
          <w:rFonts w:ascii="Times New Roman" w:hAnsi="Times New Roman"/>
          <w:sz w:val="28"/>
          <w:szCs w:val="28"/>
        </w:rPr>
        <w:t>She conceded however that she never met the grandparents and that the view she expressed about them was without having raised the issue of the child’s discipl</w:t>
      </w:r>
      <w:r w:rsidR="008510F3" w:rsidRPr="00CD6C14">
        <w:rPr>
          <w:rFonts w:ascii="Times New Roman" w:hAnsi="Times New Roman"/>
          <w:sz w:val="28"/>
          <w:szCs w:val="28"/>
        </w:rPr>
        <w:t>in</w:t>
      </w:r>
      <w:r w:rsidR="00BF735C" w:rsidRPr="00CD6C14">
        <w:rPr>
          <w:rFonts w:ascii="Times New Roman" w:hAnsi="Times New Roman"/>
          <w:sz w:val="28"/>
          <w:szCs w:val="28"/>
        </w:rPr>
        <w:t xml:space="preserve">e with them. Obvious from Ms Dunston’s testimony was that she had no contact with the child’s grandparents but that </w:t>
      </w:r>
      <w:r w:rsidR="00761EBB" w:rsidRPr="00CD6C14">
        <w:rPr>
          <w:rFonts w:ascii="Times New Roman" w:hAnsi="Times New Roman"/>
          <w:sz w:val="28"/>
          <w:szCs w:val="28"/>
        </w:rPr>
        <w:t xml:space="preserve">she </w:t>
      </w:r>
      <w:r w:rsidR="00BF735C" w:rsidRPr="00CD6C14">
        <w:rPr>
          <w:rFonts w:ascii="Times New Roman" w:hAnsi="Times New Roman"/>
          <w:sz w:val="28"/>
          <w:szCs w:val="28"/>
        </w:rPr>
        <w:t xml:space="preserve">interacted with the appellant and was a lot more familiar with her. It is </w:t>
      </w:r>
      <w:r w:rsidR="00D57794" w:rsidRPr="00CD6C14">
        <w:rPr>
          <w:rFonts w:ascii="Times New Roman" w:hAnsi="Times New Roman"/>
          <w:sz w:val="28"/>
          <w:szCs w:val="28"/>
        </w:rPr>
        <w:t xml:space="preserve">therefore </w:t>
      </w:r>
      <w:r w:rsidR="00BF735C" w:rsidRPr="00CD6C14">
        <w:rPr>
          <w:rFonts w:ascii="Times New Roman" w:hAnsi="Times New Roman"/>
          <w:sz w:val="28"/>
          <w:szCs w:val="28"/>
        </w:rPr>
        <w:t>not surprising that Ms</w:t>
      </w:r>
      <w:r w:rsidR="00F8626E">
        <w:rPr>
          <w:rFonts w:ascii="Times New Roman" w:hAnsi="Times New Roman"/>
          <w:sz w:val="28"/>
          <w:szCs w:val="28"/>
        </w:rPr>
        <w:t> </w:t>
      </w:r>
      <w:r w:rsidR="00BF735C" w:rsidRPr="00CD6C14">
        <w:rPr>
          <w:rFonts w:ascii="Times New Roman" w:hAnsi="Times New Roman"/>
          <w:sz w:val="28"/>
          <w:szCs w:val="28"/>
        </w:rPr>
        <w:t>Dunston, in general, portrayed the appellant in a positive light. She expressed the view that the child has a strong bond with the appellant and that it was reported to her that the appellant plays a major role in his life. Ms Dunston did not disclose the source of this information</w:t>
      </w:r>
      <w:r w:rsidR="00991CE0">
        <w:rPr>
          <w:rFonts w:ascii="Times New Roman" w:hAnsi="Times New Roman"/>
          <w:sz w:val="28"/>
          <w:szCs w:val="28"/>
        </w:rPr>
        <w:t>,</w:t>
      </w:r>
      <w:r w:rsidR="00BF735C" w:rsidRPr="00CD6C14">
        <w:rPr>
          <w:rFonts w:ascii="Times New Roman" w:hAnsi="Times New Roman"/>
          <w:sz w:val="28"/>
          <w:szCs w:val="28"/>
        </w:rPr>
        <w:t xml:space="preserve"> nor did she elaborate on what she meant </w:t>
      </w:r>
      <w:r w:rsidR="00761EBB" w:rsidRPr="00CD6C14">
        <w:rPr>
          <w:rFonts w:ascii="Times New Roman" w:hAnsi="Times New Roman"/>
          <w:sz w:val="28"/>
          <w:szCs w:val="28"/>
        </w:rPr>
        <w:t xml:space="preserve">by it </w:t>
      </w:r>
      <w:r w:rsidR="00BF735C" w:rsidRPr="00CD6C14">
        <w:rPr>
          <w:rFonts w:ascii="Times New Roman" w:hAnsi="Times New Roman"/>
          <w:sz w:val="28"/>
          <w:szCs w:val="28"/>
        </w:rPr>
        <w:t>except for stating that the child expresses excitement when the appellant fetches him from school. Whether the excitement is attributed to the presence of the appellant or perhaps the school day being over</w:t>
      </w:r>
      <w:r w:rsidR="00761EBB" w:rsidRPr="00CD6C14">
        <w:rPr>
          <w:rFonts w:ascii="Times New Roman" w:hAnsi="Times New Roman"/>
          <w:sz w:val="28"/>
          <w:szCs w:val="28"/>
        </w:rPr>
        <w:t>,</w:t>
      </w:r>
      <w:r w:rsidR="00BF735C" w:rsidRPr="00CD6C14">
        <w:rPr>
          <w:rFonts w:ascii="Times New Roman" w:hAnsi="Times New Roman"/>
          <w:sz w:val="28"/>
          <w:szCs w:val="28"/>
        </w:rPr>
        <w:t xml:space="preserve"> is unclear.</w:t>
      </w:r>
    </w:p>
    <w:p w14:paraId="5FB439C9" w14:textId="77777777" w:rsidR="00CF0F1D" w:rsidRPr="00CD6C14" w:rsidRDefault="00CF0F1D" w:rsidP="00FC37AB">
      <w:pPr>
        <w:pStyle w:val="LegalList1"/>
        <w:spacing w:after="0" w:line="360" w:lineRule="auto"/>
        <w:rPr>
          <w:rFonts w:ascii="Times New Roman" w:hAnsi="Times New Roman"/>
          <w:sz w:val="28"/>
          <w:szCs w:val="28"/>
        </w:rPr>
      </w:pPr>
    </w:p>
    <w:p w14:paraId="225BD259" w14:textId="104B0329"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BF735C" w:rsidRPr="00CD6C14">
        <w:rPr>
          <w:rFonts w:ascii="Times New Roman" w:hAnsi="Times New Roman"/>
          <w:sz w:val="28"/>
          <w:szCs w:val="28"/>
        </w:rPr>
        <w:t xml:space="preserve">When confronted in cross-examination about the appellant’s criminal history, it emerged that Ms Dunston had no knowledge thereof. It was also put to her in cross-examination that the appellant entertains </w:t>
      </w:r>
      <w:bookmarkStart w:id="1" w:name="position_304837_742"/>
      <w:bookmarkEnd w:id="1"/>
      <w:r w:rsidR="00BF735C" w:rsidRPr="00CD6C14">
        <w:rPr>
          <w:rFonts w:ascii="Times New Roman" w:hAnsi="Times New Roman"/>
          <w:sz w:val="28"/>
          <w:szCs w:val="28"/>
        </w:rPr>
        <w:t xml:space="preserve">suicidal </w:t>
      </w:r>
      <w:bookmarkStart w:id="2" w:name="position_305579_561"/>
      <w:bookmarkEnd w:id="2"/>
      <w:r w:rsidR="00BF735C" w:rsidRPr="00CD6C14">
        <w:rPr>
          <w:rFonts w:ascii="Times New Roman" w:hAnsi="Times New Roman"/>
          <w:sz w:val="28"/>
          <w:szCs w:val="28"/>
        </w:rPr>
        <w:t xml:space="preserve">thoughts </w:t>
      </w:r>
      <w:bookmarkStart w:id="3" w:name="position_306140_241"/>
      <w:bookmarkEnd w:id="3"/>
      <w:r w:rsidR="00BF735C" w:rsidRPr="00CD6C14">
        <w:rPr>
          <w:rFonts w:ascii="Times New Roman" w:hAnsi="Times New Roman"/>
          <w:sz w:val="28"/>
          <w:szCs w:val="28"/>
        </w:rPr>
        <w:t xml:space="preserve">and </w:t>
      </w:r>
      <w:bookmarkStart w:id="4" w:name="position_306381_140"/>
      <w:bookmarkEnd w:id="4"/>
      <w:r w:rsidR="00BF735C" w:rsidRPr="00CD6C14">
        <w:rPr>
          <w:rFonts w:ascii="Times New Roman" w:hAnsi="Times New Roman"/>
          <w:sz w:val="28"/>
          <w:szCs w:val="28"/>
        </w:rPr>
        <w:t xml:space="preserve">is </w:t>
      </w:r>
      <w:bookmarkStart w:id="5" w:name="position_306521_100"/>
      <w:bookmarkEnd w:id="5"/>
      <w:r w:rsidR="00BF735C" w:rsidRPr="00CD6C14">
        <w:rPr>
          <w:rFonts w:ascii="Times New Roman" w:hAnsi="Times New Roman"/>
          <w:sz w:val="28"/>
          <w:szCs w:val="28"/>
        </w:rPr>
        <w:t xml:space="preserve">on </w:t>
      </w:r>
      <w:bookmarkStart w:id="6" w:name="position_306621_802"/>
      <w:bookmarkEnd w:id="6"/>
      <w:r w:rsidR="00BF735C" w:rsidRPr="00CD6C14">
        <w:rPr>
          <w:rFonts w:ascii="Times New Roman" w:hAnsi="Times New Roman"/>
          <w:sz w:val="28"/>
          <w:szCs w:val="28"/>
        </w:rPr>
        <w:t xml:space="preserve">prescribed antidepressant </w:t>
      </w:r>
      <w:bookmarkStart w:id="7" w:name="position_307423_902"/>
      <w:bookmarkEnd w:id="7"/>
      <w:r w:rsidR="00BF735C" w:rsidRPr="00CD6C14">
        <w:rPr>
          <w:rFonts w:ascii="Times New Roman" w:hAnsi="Times New Roman"/>
          <w:sz w:val="28"/>
          <w:szCs w:val="28"/>
        </w:rPr>
        <w:t>medication. Her response was that she had never before seen the appellant in circumstances that would have led her to notice that the appellant was ‘high’ or ‘in a trance or under the influence of any substance’.</w:t>
      </w:r>
    </w:p>
    <w:p w14:paraId="69652089" w14:textId="77777777" w:rsidR="00121381" w:rsidRPr="00CD6C14" w:rsidRDefault="00121381" w:rsidP="00FC37AB">
      <w:pPr>
        <w:pStyle w:val="LegalList1"/>
        <w:spacing w:after="0" w:line="360" w:lineRule="auto"/>
        <w:rPr>
          <w:rFonts w:ascii="Times New Roman" w:hAnsi="Times New Roman"/>
          <w:sz w:val="28"/>
          <w:szCs w:val="28"/>
        </w:rPr>
      </w:pPr>
    </w:p>
    <w:p w14:paraId="225BD25A" w14:textId="2C1A841C"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BF735C" w:rsidRPr="00CD6C14">
        <w:rPr>
          <w:rFonts w:ascii="Times New Roman" w:hAnsi="Times New Roman"/>
          <w:sz w:val="28"/>
          <w:szCs w:val="28"/>
        </w:rPr>
        <w:t xml:space="preserve">Further aspects of Ms Dunston’s evidence dealt with </w:t>
      </w:r>
      <w:r w:rsidR="00761EBB" w:rsidRPr="00CD6C14">
        <w:rPr>
          <w:rFonts w:ascii="Times New Roman" w:hAnsi="Times New Roman"/>
          <w:sz w:val="28"/>
          <w:szCs w:val="28"/>
        </w:rPr>
        <w:t xml:space="preserve">describing </w:t>
      </w:r>
      <w:r w:rsidR="00BF735C" w:rsidRPr="00CD6C14">
        <w:rPr>
          <w:rFonts w:ascii="Times New Roman" w:hAnsi="Times New Roman"/>
          <w:sz w:val="28"/>
          <w:szCs w:val="28"/>
        </w:rPr>
        <w:t>RO as a ‘classic autist’ with signs of attention deficit hyperactivity disorder (ADHD) and Asperger syndrome. This information came to her from discussions with psychiatrists. In cross-examination she retracted reference to Asperger syndrome stating that she had as yet not received a medical report to that effect.</w:t>
      </w:r>
    </w:p>
    <w:p w14:paraId="350F297A" w14:textId="77777777" w:rsidR="00656DD3" w:rsidRPr="00CD6C14" w:rsidRDefault="00656DD3" w:rsidP="00FC37AB">
      <w:pPr>
        <w:pStyle w:val="LegalList1"/>
        <w:spacing w:after="0" w:line="360" w:lineRule="auto"/>
        <w:rPr>
          <w:rFonts w:ascii="Times New Roman" w:hAnsi="Times New Roman"/>
          <w:sz w:val="28"/>
          <w:szCs w:val="28"/>
        </w:rPr>
      </w:pPr>
    </w:p>
    <w:p w14:paraId="225BD25B" w14:textId="6173A1FE"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BF735C" w:rsidRPr="00CD6C14">
        <w:rPr>
          <w:rFonts w:ascii="Times New Roman" w:hAnsi="Times New Roman"/>
          <w:sz w:val="28"/>
          <w:szCs w:val="28"/>
        </w:rPr>
        <w:t xml:space="preserve">Her testimony indicates that the school is also aware of RO’s medication regime and the schedule for its administration. RO’s teacher monitors his homework and behaviour. There are what Ms Dunston described as ‘meltdowns’ – </w:t>
      </w:r>
      <w:r w:rsidR="00761EBB" w:rsidRPr="00CD6C14">
        <w:rPr>
          <w:rFonts w:ascii="Times New Roman" w:hAnsi="Times New Roman"/>
          <w:sz w:val="28"/>
          <w:szCs w:val="28"/>
        </w:rPr>
        <w:t xml:space="preserve">but </w:t>
      </w:r>
      <w:r w:rsidR="00BF735C" w:rsidRPr="00CD6C14">
        <w:rPr>
          <w:rFonts w:ascii="Times New Roman" w:hAnsi="Times New Roman"/>
          <w:sz w:val="28"/>
          <w:szCs w:val="28"/>
        </w:rPr>
        <w:t>these are not anything violent. She believes that he merely ‘acts out’ to seek attention.</w:t>
      </w:r>
    </w:p>
    <w:p w14:paraId="0D453E55" w14:textId="77777777" w:rsidR="003C49A2" w:rsidRPr="00CD6C14" w:rsidRDefault="003C49A2" w:rsidP="00FC37AB">
      <w:pPr>
        <w:pStyle w:val="LegalList1"/>
        <w:spacing w:after="0" w:line="360" w:lineRule="auto"/>
        <w:rPr>
          <w:rFonts w:ascii="Times New Roman" w:hAnsi="Times New Roman"/>
          <w:sz w:val="28"/>
          <w:szCs w:val="28"/>
        </w:rPr>
      </w:pPr>
    </w:p>
    <w:p w14:paraId="225BD25C" w14:textId="4BB10758"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BF735C" w:rsidRPr="00CD6C14">
        <w:rPr>
          <w:rFonts w:ascii="Times New Roman" w:hAnsi="Times New Roman"/>
          <w:sz w:val="28"/>
          <w:szCs w:val="28"/>
        </w:rPr>
        <w:t>On the whole, there is no indication that the school is unable to manage RO – he is able to communicate to a certain degree, and follow instructions. In this regard Ms Dunston gave the example of the children lining up to visit the toilet.</w:t>
      </w:r>
    </w:p>
    <w:p w14:paraId="5A00BD2A" w14:textId="77777777" w:rsidR="00316F14" w:rsidRPr="00CD6C14" w:rsidRDefault="00316F14" w:rsidP="00FC37AB">
      <w:pPr>
        <w:pStyle w:val="LegalList1"/>
        <w:spacing w:after="0" w:line="360" w:lineRule="auto"/>
        <w:rPr>
          <w:rFonts w:ascii="Times New Roman" w:hAnsi="Times New Roman"/>
          <w:sz w:val="28"/>
          <w:szCs w:val="28"/>
        </w:rPr>
      </w:pPr>
    </w:p>
    <w:p w14:paraId="225BD25D" w14:textId="792641A3" w:rsidR="00BF735C"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BF735C" w:rsidRPr="00CD6C14">
        <w:rPr>
          <w:rFonts w:ascii="Times New Roman" w:hAnsi="Times New Roman"/>
          <w:sz w:val="28"/>
          <w:szCs w:val="28"/>
        </w:rPr>
        <w:t>When asked about the relationship between the appellant and RO being severed, Ms Dunston stated that the child would regress. Whether this related to the child’s mental</w:t>
      </w:r>
      <w:r w:rsidR="004A1E77" w:rsidRPr="00CD6C14">
        <w:rPr>
          <w:rFonts w:ascii="Times New Roman" w:hAnsi="Times New Roman"/>
          <w:sz w:val="28"/>
          <w:szCs w:val="28"/>
        </w:rPr>
        <w:t>,</w:t>
      </w:r>
      <w:r w:rsidR="00BF735C" w:rsidRPr="00CD6C14">
        <w:rPr>
          <w:rFonts w:ascii="Times New Roman" w:hAnsi="Times New Roman"/>
          <w:sz w:val="28"/>
          <w:szCs w:val="28"/>
        </w:rPr>
        <w:t xml:space="preserve"> physical </w:t>
      </w:r>
      <w:r w:rsidR="004A1E77" w:rsidRPr="00CD6C14">
        <w:rPr>
          <w:rFonts w:ascii="Times New Roman" w:hAnsi="Times New Roman"/>
          <w:sz w:val="28"/>
          <w:szCs w:val="28"/>
        </w:rPr>
        <w:t xml:space="preserve">or developmental </w:t>
      </w:r>
      <w:r w:rsidR="00BF735C" w:rsidRPr="00CD6C14">
        <w:rPr>
          <w:rFonts w:ascii="Times New Roman" w:hAnsi="Times New Roman"/>
          <w:sz w:val="28"/>
          <w:szCs w:val="28"/>
        </w:rPr>
        <w:t>status is unclear, though she was candid enough to concede that she is not medically qualified to have expressed views on these aspects, save that she could only rely on her years’ of experience in having worked with children requiring special needs.</w:t>
      </w:r>
    </w:p>
    <w:p w14:paraId="3C23BADF" w14:textId="77777777" w:rsidR="002869F1" w:rsidRPr="00CD6C14" w:rsidRDefault="002869F1" w:rsidP="00FC37AB">
      <w:pPr>
        <w:pStyle w:val="LegalList1"/>
        <w:spacing w:after="0" w:line="360" w:lineRule="auto"/>
        <w:rPr>
          <w:rFonts w:ascii="Times New Roman" w:hAnsi="Times New Roman"/>
          <w:sz w:val="28"/>
          <w:szCs w:val="28"/>
        </w:rPr>
      </w:pPr>
    </w:p>
    <w:p w14:paraId="225BD25E" w14:textId="063D4FAD"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761EBB" w:rsidRPr="00CD6C14">
        <w:rPr>
          <w:rFonts w:ascii="Times New Roman" w:hAnsi="Times New Roman"/>
          <w:sz w:val="28"/>
          <w:szCs w:val="28"/>
        </w:rPr>
        <w:t xml:space="preserve">There are, in addition, </w:t>
      </w:r>
      <w:r w:rsidR="00122A4F" w:rsidRPr="00CD6C14">
        <w:rPr>
          <w:rFonts w:ascii="Times New Roman" w:hAnsi="Times New Roman"/>
          <w:sz w:val="28"/>
          <w:szCs w:val="28"/>
        </w:rPr>
        <w:t>several noteworthy aspects of the report by Ms</w:t>
      </w:r>
      <w:r w:rsidR="00A4379A">
        <w:rPr>
          <w:rFonts w:ascii="Times New Roman" w:hAnsi="Times New Roman"/>
          <w:sz w:val="28"/>
          <w:szCs w:val="28"/>
        </w:rPr>
        <w:t> </w:t>
      </w:r>
      <w:r w:rsidR="00122A4F" w:rsidRPr="00CD6C14">
        <w:rPr>
          <w:rFonts w:ascii="Times New Roman" w:hAnsi="Times New Roman"/>
          <w:sz w:val="28"/>
          <w:szCs w:val="28"/>
        </w:rPr>
        <w:t>Petersen which are worth recapitulating for purposes of the outcome of this appeal.</w:t>
      </w:r>
    </w:p>
    <w:p w14:paraId="482EE8F6" w14:textId="77777777" w:rsidR="005504AB" w:rsidRPr="00CD6C14" w:rsidRDefault="005504AB" w:rsidP="00FC37AB">
      <w:pPr>
        <w:pStyle w:val="LegalList1"/>
        <w:spacing w:after="0" w:line="360" w:lineRule="auto"/>
        <w:rPr>
          <w:rFonts w:ascii="Times New Roman" w:hAnsi="Times New Roman"/>
          <w:sz w:val="28"/>
          <w:szCs w:val="28"/>
        </w:rPr>
      </w:pPr>
    </w:p>
    <w:p w14:paraId="225BD25F" w14:textId="18801F4B"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122A4F" w:rsidRPr="00CD6C14">
        <w:rPr>
          <w:rFonts w:ascii="Times New Roman" w:hAnsi="Times New Roman"/>
          <w:sz w:val="28"/>
          <w:szCs w:val="28"/>
        </w:rPr>
        <w:t>Relevant to the appellant’s financial circumstances, Ms Petersen’s report indicates that the appellant is unemployed (though at the time of sentencing it was mentioned that the appellant earned a</w:t>
      </w:r>
      <w:r w:rsidR="00E85DE4" w:rsidRPr="00CD6C14">
        <w:rPr>
          <w:rFonts w:ascii="Times New Roman" w:hAnsi="Times New Roman"/>
          <w:sz w:val="28"/>
          <w:szCs w:val="28"/>
        </w:rPr>
        <w:t xml:space="preserve"> monthly</w:t>
      </w:r>
      <w:r w:rsidR="00122A4F" w:rsidRPr="00CD6C14">
        <w:rPr>
          <w:rFonts w:ascii="Times New Roman" w:hAnsi="Times New Roman"/>
          <w:sz w:val="28"/>
          <w:szCs w:val="28"/>
        </w:rPr>
        <w:t xml:space="preserve"> income </w:t>
      </w:r>
      <w:r w:rsidR="00E85DE4" w:rsidRPr="00CD6C14">
        <w:rPr>
          <w:rFonts w:ascii="Times New Roman" w:hAnsi="Times New Roman"/>
          <w:sz w:val="28"/>
          <w:szCs w:val="28"/>
        </w:rPr>
        <w:t xml:space="preserve">of R2 500 </w:t>
      </w:r>
      <w:r w:rsidR="00122A4F" w:rsidRPr="00CD6C14">
        <w:rPr>
          <w:rFonts w:ascii="Times New Roman" w:hAnsi="Times New Roman"/>
          <w:sz w:val="28"/>
          <w:szCs w:val="28"/>
        </w:rPr>
        <w:t xml:space="preserve">as a hawker and by running errands to fetch medication for elderly persons). </w:t>
      </w:r>
      <w:r w:rsidR="002D3523" w:rsidRPr="00CD6C14">
        <w:rPr>
          <w:rFonts w:ascii="Times New Roman" w:hAnsi="Times New Roman"/>
          <w:sz w:val="28"/>
          <w:szCs w:val="28"/>
        </w:rPr>
        <w:t>In either instance, she is not the sole breadwinner. Her</w:t>
      </w:r>
      <w:r w:rsidR="00122A4F" w:rsidRPr="00CD6C14">
        <w:rPr>
          <w:rFonts w:ascii="Times New Roman" w:hAnsi="Times New Roman"/>
          <w:sz w:val="28"/>
          <w:szCs w:val="28"/>
        </w:rPr>
        <w:t xml:space="preserve"> parents are pensioners. They </w:t>
      </w:r>
      <w:r w:rsidR="002746CA" w:rsidRPr="00CD6C14">
        <w:rPr>
          <w:rFonts w:ascii="Times New Roman" w:hAnsi="Times New Roman"/>
          <w:sz w:val="28"/>
          <w:szCs w:val="28"/>
        </w:rPr>
        <w:t xml:space="preserve">have a house of their own and </w:t>
      </w:r>
      <w:r w:rsidR="00122A4F" w:rsidRPr="00CD6C14">
        <w:rPr>
          <w:rFonts w:ascii="Times New Roman" w:hAnsi="Times New Roman"/>
          <w:sz w:val="28"/>
          <w:szCs w:val="28"/>
        </w:rPr>
        <w:t xml:space="preserve">provide a living space for </w:t>
      </w:r>
      <w:r w:rsidR="002746CA" w:rsidRPr="00CD6C14">
        <w:rPr>
          <w:rFonts w:ascii="Times New Roman" w:hAnsi="Times New Roman"/>
          <w:sz w:val="28"/>
          <w:szCs w:val="28"/>
        </w:rPr>
        <w:t xml:space="preserve">the appellant </w:t>
      </w:r>
      <w:r w:rsidR="00122A4F" w:rsidRPr="00CD6C14">
        <w:rPr>
          <w:rFonts w:ascii="Times New Roman" w:hAnsi="Times New Roman"/>
          <w:sz w:val="28"/>
          <w:szCs w:val="28"/>
        </w:rPr>
        <w:t xml:space="preserve">and food for her and the </w:t>
      </w:r>
      <w:r w:rsidR="00122A4F" w:rsidRPr="00CD6C14">
        <w:rPr>
          <w:rFonts w:ascii="Times New Roman" w:hAnsi="Times New Roman"/>
          <w:sz w:val="28"/>
          <w:szCs w:val="28"/>
        </w:rPr>
        <w:lastRenderedPageBreak/>
        <w:t xml:space="preserve">child. The report notes that the appellant receives R2 000 a month from a man </w:t>
      </w:r>
      <w:r w:rsidR="00761EBB" w:rsidRPr="00CD6C14">
        <w:rPr>
          <w:rFonts w:ascii="Times New Roman" w:hAnsi="Times New Roman"/>
          <w:sz w:val="28"/>
          <w:szCs w:val="28"/>
        </w:rPr>
        <w:t>‘R’</w:t>
      </w:r>
      <w:r w:rsidR="00122A4F" w:rsidRPr="00CD6C14">
        <w:rPr>
          <w:rFonts w:ascii="Times New Roman" w:hAnsi="Times New Roman"/>
          <w:sz w:val="28"/>
          <w:szCs w:val="28"/>
        </w:rPr>
        <w:t xml:space="preserve">, also believed to be the child’s father. This aspect of the evidence was not fully dealt with in the report nor ventilated during trial. According to the report the appellant informed Ms Petersen that her fiancé (whom the appellant </w:t>
      </w:r>
      <w:r w:rsidR="005F1FA1" w:rsidRPr="00CD6C14">
        <w:rPr>
          <w:rFonts w:ascii="Times New Roman" w:hAnsi="Times New Roman"/>
          <w:sz w:val="28"/>
          <w:szCs w:val="28"/>
        </w:rPr>
        <w:t xml:space="preserve">claims </w:t>
      </w:r>
      <w:r w:rsidR="00122A4F" w:rsidRPr="00CD6C14">
        <w:rPr>
          <w:rFonts w:ascii="Times New Roman" w:hAnsi="Times New Roman"/>
          <w:sz w:val="28"/>
          <w:szCs w:val="28"/>
        </w:rPr>
        <w:t>is the child’s father and whom she married before being sentenced but whose relationship with the child’s grandparents is obscure) assists w</w:t>
      </w:r>
      <w:r w:rsidR="00806D68" w:rsidRPr="00CD6C14">
        <w:rPr>
          <w:rFonts w:ascii="Times New Roman" w:hAnsi="Times New Roman"/>
          <w:sz w:val="28"/>
          <w:szCs w:val="28"/>
        </w:rPr>
        <w:t>h</w:t>
      </w:r>
      <w:r w:rsidR="00122A4F" w:rsidRPr="00CD6C14">
        <w:rPr>
          <w:rFonts w:ascii="Times New Roman" w:hAnsi="Times New Roman"/>
          <w:sz w:val="28"/>
          <w:szCs w:val="28"/>
        </w:rPr>
        <w:t xml:space="preserve">ere needed in taking the child on outings and in buying clothing for the child. The alleged outings with the child stands contrary to what emerged during </w:t>
      </w:r>
      <w:r w:rsidR="006B0CBF">
        <w:rPr>
          <w:rFonts w:ascii="Times New Roman" w:hAnsi="Times New Roman"/>
          <w:sz w:val="28"/>
          <w:szCs w:val="28"/>
        </w:rPr>
        <w:t>the testimony of Ms Petersen and Mrs Swanepoel.</w:t>
      </w:r>
    </w:p>
    <w:p w14:paraId="471EDDE9" w14:textId="77777777" w:rsidR="002551CB" w:rsidRPr="00CD6C14" w:rsidRDefault="002551CB" w:rsidP="00FC37AB">
      <w:pPr>
        <w:pStyle w:val="LegalList1"/>
        <w:spacing w:after="0" w:line="360" w:lineRule="auto"/>
        <w:rPr>
          <w:rFonts w:ascii="Times New Roman" w:hAnsi="Times New Roman"/>
          <w:sz w:val="28"/>
          <w:szCs w:val="28"/>
        </w:rPr>
      </w:pPr>
    </w:p>
    <w:p w14:paraId="225BD260" w14:textId="1A506003"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122A4F" w:rsidRPr="00CD6C14">
        <w:rPr>
          <w:rFonts w:ascii="Times New Roman" w:hAnsi="Times New Roman"/>
          <w:sz w:val="28"/>
          <w:szCs w:val="28"/>
        </w:rPr>
        <w:t>Indications in the report are that the appellant medicates and receives psychological treatment for anxiety and depression. On occasion she bec</w:t>
      </w:r>
      <w:r w:rsidR="00A81B4B" w:rsidRPr="00CD6C14">
        <w:rPr>
          <w:rFonts w:ascii="Times New Roman" w:hAnsi="Times New Roman"/>
          <w:sz w:val="28"/>
          <w:szCs w:val="28"/>
        </w:rPr>
        <w:t>omes</w:t>
      </w:r>
      <w:r w:rsidR="00122A4F" w:rsidRPr="00CD6C14">
        <w:rPr>
          <w:rFonts w:ascii="Times New Roman" w:hAnsi="Times New Roman"/>
          <w:sz w:val="28"/>
          <w:szCs w:val="28"/>
        </w:rPr>
        <w:t xml:space="preserve"> suicidal because of the impact of the criminal proceedings on her mental stability.</w:t>
      </w:r>
    </w:p>
    <w:p w14:paraId="7D24C9B8" w14:textId="77777777" w:rsidR="002551CB" w:rsidRPr="00CD6C14" w:rsidRDefault="002551CB" w:rsidP="00FC37AB">
      <w:pPr>
        <w:pStyle w:val="LegalList1"/>
        <w:spacing w:after="0" w:line="360" w:lineRule="auto"/>
        <w:rPr>
          <w:rFonts w:ascii="Times New Roman" w:hAnsi="Times New Roman"/>
          <w:sz w:val="28"/>
          <w:szCs w:val="28"/>
        </w:rPr>
      </w:pPr>
    </w:p>
    <w:p w14:paraId="225BD261" w14:textId="4029AFF7"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122A4F" w:rsidRPr="00CD6C14">
        <w:rPr>
          <w:rFonts w:ascii="Times New Roman" w:hAnsi="Times New Roman"/>
          <w:sz w:val="28"/>
          <w:szCs w:val="28"/>
        </w:rPr>
        <w:t>Ms Petersen noted that the appellant felt comfortable that her biological parents should take care of the child in the event that she was sentenced to prison.</w:t>
      </w:r>
      <w:r w:rsidR="00EB6520" w:rsidRPr="00CD6C14">
        <w:rPr>
          <w:rFonts w:ascii="Times New Roman" w:hAnsi="Times New Roman"/>
          <w:sz w:val="28"/>
          <w:szCs w:val="28"/>
        </w:rPr>
        <w:t xml:space="preserve"> T</w:t>
      </w:r>
      <w:r w:rsidR="00122A4F" w:rsidRPr="00CD6C14">
        <w:rPr>
          <w:rFonts w:ascii="Times New Roman" w:hAnsi="Times New Roman"/>
          <w:sz w:val="28"/>
          <w:szCs w:val="28"/>
        </w:rPr>
        <w:t xml:space="preserve">his disclosure </w:t>
      </w:r>
      <w:r w:rsidR="00EB6520" w:rsidRPr="00CD6C14">
        <w:rPr>
          <w:rFonts w:ascii="Times New Roman" w:hAnsi="Times New Roman"/>
          <w:sz w:val="28"/>
          <w:szCs w:val="28"/>
        </w:rPr>
        <w:t xml:space="preserve">undeniably </w:t>
      </w:r>
      <w:r w:rsidR="00122A4F" w:rsidRPr="00CD6C14">
        <w:rPr>
          <w:rFonts w:ascii="Times New Roman" w:hAnsi="Times New Roman"/>
          <w:sz w:val="28"/>
          <w:szCs w:val="28"/>
        </w:rPr>
        <w:t xml:space="preserve">assumes relevance in determining </w:t>
      </w:r>
      <w:r w:rsidR="005F1FA1" w:rsidRPr="00CD6C14">
        <w:rPr>
          <w:rFonts w:ascii="Times New Roman" w:hAnsi="Times New Roman"/>
          <w:sz w:val="28"/>
          <w:szCs w:val="28"/>
        </w:rPr>
        <w:t xml:space="preserve">the </w:t>
      </w:r>
      <w:r w:rsidR="00EB6520" w:rsidRPr="00CD6C14">
        <w:rPr>
          <w:rFonts w:ascii="Times New Roman" w:hAnsi="Times New Roman"/>
          <w:sz w:val="28"/>
          <w:szCs w:val="28"/>
        </w:rPr>
        <w:t xml:space="preserve">best interests </w:t>
      </w:r>
      <w:r w:rsidR="005F1FA1" w:rsidRPr="00CD6C14">
        <w:rPr>
          <w:rFonts w:ascii="Times New Roman" w:hAnsi="Times New Roman"/>
          <w:sz w:val="28"/>
          <w:szCs w:val="28"/>
        </w:rPr>
        <w:t>issue</w:t>
      </w:r>
      <w:r w:rsidR="00EB6520" w:rsidRPr="00CD6C14">
        <w:rPr>
          <w:rFonts w:ascii="Times New Roman" w:hAnsi="Times New Roman"/>
          <w:sz w:val="28"/>
          <w:szCs w:val="28"/>
        </w:rPr>
        <w:t>.</w:t>
      </w:r>
    </w:p>
    <w:p w14:paraId="2EE4BE47" w14:textId="77777777" w:rsidR="00687D8A" w:rsidRPr="00CD6C14" w:rsidRDefault="00687D8A" w:rsidP="00FC37AB">
      <w:pPr>
        <w:pStyle w:val="LegalList1"/>
        <w:spacing w:after="0" w:line="360" w:lineRule="auto"/>
        <w:rPr>
          <w:rFonts w:ascii="Times New Roman" w:hAnsi="Times New Roman"/>
          <w:sz w:val="28"/>
          <w:szCs w:val="28"/>
        </w:rPr>
      </w:pPr>
    </w:p>
    <w:p w14:paraId="225BD262" w14:textId="19392413"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122A4F" w:rsidRPr="00CD6C14">
        <w:rPr>
          <w:rFonts w:ascii="Times New Roman" w:hAnsi="Times New Roman"/>
          <w:sz w:val="28"/>
          <w:szCs w:val="28"/>
        </w:rPr>
        <w:t xml:space="preserve">The appellant has a brother Francisco who is self-employed. He indicated to Ms Petersen that he would </w:t>
      </w:r>
      <w:r w:rsidR="0048335A" w:rsidRPr="00CD6C14">
        <w:rPr>
          <w:rFonts w:ascii="Times New Roman" w:hAnsi="Times New Roman"/>
          <w:sz w:val="28"/>
          <w:szCs w:val="28"/>
        </w:rPr>
        <w:t xml:space="preserve">assist </w:t>
      </w:r>
      <w:r w:rsidR="00A81B4B" w:rsidRPr="00CD6C14">
        <w:rPr>
          <w:rFonts w:ascii="Times New Roman" w:hAnsi="Times New Roman"/>
          <w:sz w:val="28"/>
          <w:szCs w:val="28"/>
        </w:rPr>
        <w:t>with the driving of</w:t>
      </w:r>
      <w:r w:rsidR="0048335A" w:rsidRPr="00CD6C14">
        <w:rPr>
          <w:rFonts w:ascii="Times New Roman" w:hAnsi="Times New Roman"/>
          <w:sz w:val="28"/>
          <w:szCs w:val="28"/>
        </w:rPr>
        <w:t xml:space="preserve"> the child and </w:t>
      </w:r>
      <w:r w:rsidR="00A81B4B" w:rsidRPr="00CD6C14">
        <w:rPr>
          <w:rFonts w:ascii="Times New Roman" w:hAnsi="Times New Roman"/>
          <w:sz w:val="28"/>
          <w:szCs w:val="28"/>
        </w:rPr>
        <w:t xml:space="preserve">by </w:t>
      </w:r>
      <w:r w:rsidR="0048335A" w:rsidRPr="00CD6C14">
        <w:rPr>
          <w:rFonts w:ascii="Times New Roman" w:hAnsi="Times New Roman"/>
          <w:sz w:val="28"/>
          <w:szCs w:val="28"/>
        </w:rPr>
        <w:t>providing ca</w:t>
      </w:r>
      <w:r w:rsidR="00122A4F" w:rsidRPr="00CD6C14">
        <w:rPr>
          <w:rFonts w:ascii="Times New Roman" w:hAnsi="Times New Roman"/>
          <w:sz w:val="28"/>
          <w:szCs w:val="28"/>
        </w:rPr>
        <w:t>re when needed</w:t>
      </w:r>
      <w:r w:rsidR="00A81B4B" w:rsidRPr="00CD6C14">
        <w:rPr>
          <w:rFonts w:ascii="Times New Roman" w:hAnsi="Times New Roman"/>
          <w:sz w:val="28"/>
          <w:szCs w:val="28"/>
        </w:rPr>
        <w:t xml:space="preserve">. He stressed </w:t>
      </w:r>
      <w:r w:rsidR="00122A4F" w:rsidRPr="00CD6C14">
        <w:rPr>
          <w:rFonts w:ascii="Times New Roman" w:hAnsi="Times New Roman"/>
          <w:sz w:val="28"/>
          <w:szCs w:val="28"/>
        </w:rPr>
        <w:t xml:space="preserve">that the child should not be separated from the grandparents because it is the only environment that the child is familiar with. For this reason, he is not in a position to </w:t>
      </w:r>
      <w:r w:rsidR="006F5485" w:rsidRPr="00CD6C14">
        <w:rPr>
          <w:rFonts w:ascii="Times New Roman" w:hAnsi="Times New Roman"/>
          <w:sz w:val="28"/>
          <w:szCs w:val="28"/>
        </w:rPr>
        <w:t>assume custody of the child</w:t>
      </w:r>
      <w:r w:rsidR="00122A4F" w:rsidRPr="00CD6C14">
        <w:rPr>
          <w:rFonts w:ascii="Times New Roman" w:hAnsi="Times New Roman"/>
          <w:sz w:val="28"/>
          <w:szCs w:val="28"/>
        </w:rPr>
        <w:t>.</w:t>
      </w:r>
    </w:p>
    <w:p w14:paraId="6820A4FD" w14:textId="77777777" w:rsidR="00FC02A3" w:rsidRPr="00CD6C14" w:rsidRDefault="00FC02A3" w:rsidP="00FC37AB">
      <w:pPr>
        <w:pStyle w:val="LegalList1"/>
        <w:spacing w:after="0" w:line="360" w:lineRule="auto"/>
        <w:rPr>
          <w:rFonts w:ascii="Times New Roman" w:hAnsi="Times New Roman"/>
          <w:sz w:val="28"/>
          <w:szCs w:val="28"/>
        </w:rPr>
      </w:pPr>
    </w:p>
    <w:p w14:paraId="225BD263" w14:textId="66425163" w:rsidR="00D47B3D"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122A4F" w:rsidRPr="00CD6C14">
        <w:rPr>
          <w:rFonts w:ascii="Times New Roman" w:hAnsi="Times New Roman"/>
          <w:sz w:val="28"/>
          <w:szCs w:val="28"/>
        </w:rPr>
        <w:t>The report also documents a victim impact assessment. One of the victims indicated that she did not wish to open old wounds by discussing the appellant. Another victim indicat</w:t>
      </w:r>
      <w:r w:rsidR="0021214C" w:rsidRPr="00CD6C14">
        <w:rPr>
          <w:rFonts w:ascii="Times New Roman" w:hAnsi="Times New Roman"/>
          <w:sz w:val="28"/>
          <w:szCs w:val="28"/>
        </w:rPr>
        <w:t xml:space="preserve">ed that the appellant’s </w:t>
      </w:r>
      <w:r w:rsidR="007E3EF0" w:rsidRPr="00CD6C14">
        <w:rPr>
          <w:rFonts w:ascii="Times New Roman" w:hAnsi="Times New Roman"/>
          <w:sz w:val="28"/>
          <w:szCs w:val="28"/>
        </w:rPr>
        <w:t>conduct (</w:t>
      </w:r>
      <w:r w:rsidR="0021214C" w:rsidRPr="00CD6C14">
        <w:rPr>
          <w:rFonts w:ascii="Times New Roman" w:hAnsi="Times New Roman"/>
          <w:sz w:val="28"/>
          <w:szCs w:val="28"/>
        </w:rPr>
        <w:t xml:space="preserve">from which she suffered </w:t>
      </w:r>
      <w:r w:rsidR="00C50C19" w:rsidRPr="00CD6C14">
        <w:rPr>
          <w:rFonts w:ascii="Times New Roman" w:hAnsi="Times New Roman"/>
          <w:sz w:val="28"/>
          <w:szCs w:val="28"/>
        </w:rPr>
        <w:t xml:space="preserve">financial </w:t>
      </w:r>
      <w:r w:rsidR="0021214C" w:rsidRPr="00CD6C14">
        <w:rPr>
          <w:rFonts w:ascii="Times New Roman" w:hAnsi="Times New Roman"/>
          <w:sz w:val="28"/>
          <w:szCs w:val="28"/>
        </w:rPr>
        <w:t xml:space="preserve">loss of R56 000) </w:t>
      </w:r>
      <w:r w:rsidR="00122A4F" w:rsidRPr="00CD6C14">
        <w:rPr>
          <w:rFonts w:ascii="Times New Roman" w:hAnsi="Times New Roman"/>
          <w:sz w:val="28"/>
          <w:szCs w:val="28"/>
        </w:rPr>
        <w:t xml:space="preserve">destroyed her dreams in acquiring a house of </w:t>
      </w:r>
      <w:r w:rsidR="006F5485" w:rsidRPr="00CD6C14">
        <w:rPr>
          <w:rFonts w:ascii="Times New Roman" w:hAnsi="Times New Roman"/>
          <w:sz w:val="28"/>
          <w:szCs w:val="28"/>
        </w:rPr>
        <w:t xml:space="preserve">her </w:t>
      </w:r>
      <w:r w:rsidR="00122A4F" w:rsidRPr="00CD6C14">
        <w:rPr>
          <w:rFonts w:ascii="Times New Roman" w:hAnsi="Times New Roman"/>
          <w:sz w:val="28"/>
          <w:szCs w:val="28"/>
        </w:rPr>
        <w:t xml:space="preserve">own </w:t>
      </w:r>
      <w:r w:rsidR="006F5485" w:rsidRPr="00CD6C14">
        <w:rPr>
          <w:rFonts w:ascii="Times New Roman" w:hAnsi="Times New Roman"/>
          <w:sz w:val="28"/>
          <w:szCs w:val="28"/>
        </w:rPr>
        <w:lastRenderedPageBreak/>
        <w:t xml:space="preserve">– and </w:t>
      </w:r>
      <w:r w:rsidR="00D47B3D" w:rsidRPr="00CD6C14">
        <w:rPr>
          <w:rFonts w:ascii="Times New Roman" w:hAnsi="Times New Roman"/>
          <w:sz w:val="28"/>
          <w:szCs w:val="28"/>
        </w:rPr>
        <w:t xml:space="preserve">that </w:t>
      </w:r>
      <w:r w:rsidR="007E3EF0" w:rsidRPr="00CD6C14">
        <w:rPr>
          <w:rFonts w:ascii="Times New Roman" w:hAnsi="Times New Roman"/>
          <w:sz w:val="28"/>
          <w:szCs w:val="28"/>
        </w:rPr>
        <w:t xml:space="preserve">it is </w:t>
      </w:r>
      <w:r w:rsidR="00122A4F" w:rsidRPr="00CD6C14">
        <w:rPr>
          <w:rFonts w:ascii="Times New Roman" w:hAnsi="Times New Roman"/>
          <w:sz w:val="28"/>
          <w:szCs w:val="28"/>
        </w:rPr>
        <w:t>because of the appellant</w:t>
      </w:r>
      <w:r w:rsidR="007E3EF0" w:rsidRPr="00CD6C14">
        <w:rPr>
          <w:rFonts w:ascii="Times New Roman" w:hAnsi="Times New Roman"/>
          <w:sz w:val="28"/>
          <w:szCs w:val="28"/>
        </w:rPr>
        <w:t xml:space="preserve"> that </w:t>
      </w:r>
      <w:r w:rsidR="00122A4F" w:rsidRPr="00CD6C14">
        <w:rPr>
          <w:rFonts w:ascii="Times New Roman" w:hAnsi="Times New Roman"/>
          <w:sz w:val="28"/>
          <w:szCs w:val="28"/>
        </w:rPr>
        <w:t xml:space="preserve">she is still homeless. She </w:t>
      </w:r>
      <w:r w:rsidR="003C7B24" w:rsidRPr="00CD6C14">
        <w:rPr>
          <w:rFonts w:ascii="Times New Roman" w:hAnsi="Times New Roman"/>
          <w:sz w:val="28"/>
          <w:szCs w:val="28"/>
        </w:rPr>
        <w:t xml:space="preserve">is afflicted by </w:t>
      </w:r>
      <w:r w:rsidR="00122A4F" w:rsidRPr="00CD6C14">
        <w:rPr>
          <w:rFonts w:ascii="Times New Roman" w:hAnsi="Times New Roman"/>
          <w:sz w:val="28"/>
          <w:szCs w:val="28"/>
        </w:rPr>
        <w:t xml:space="preserve">anxiety and depression and </w:t>
      </w:r>
      <w:r w:rsidR="00D47B3D" w:rsidRPr="00CD6C14">
        <w:rPr>
          <w:rFonts w:ascii="Times New Roman" w:hAnsi="Times New Roman"/>
          <w:sz w:val="28"/>
          <w:szCs w:val="28"/>
        </w:rPr>
        <w:t>informed</w:t>
      </w:r>
      <w:r w:rsidR="00122A4F" w:rsidRPr="00CD6C14">
        <w:rPr>
          <w:rFonts w:ascii="Times New Roman" w:hAnsi="Times New Roman"/>
          <w:sz w:val="28"/>
          <w:szCs w:val="28"/>
        </w:rPr>
        <w:t xml:space="preserve"> Ms Petersen that she is unable to come to terms with what the appellant ha</w:t>
      </w:r>
      <w:r w:rsidR="00806D68" w:rsidRPr="00CD6C14">
        <w:rPr>
          <w:rFonts w:ascii="Times New Roman" w:hAnsi="Times New Roman"/>
          <w:sz w:val="28"/>
          <w:szCs w:val="28"/>
        </w:rPr>
        <w:t>d</w:t>
      </w:r>
      <w:r w:rsidR="00122A4F" w:rsidRPr="00CD6C14">
        <w:rPr>
          <w:rFonts w:ascii="Times New Roman" w:hAnsi="Times New Roman"/>
          <w:sz w:val="28"/>
          <w:szCs w:val="28"/>
        </w:rPr>
        <w:t xml:space="preserve"> done and h</w:t>
      </w:r>
      <w:r w:rsidR="00D47B3D" w:rsidRPr="00CD6C14">
        <w:rPr>
          <w:rFonts w:ascii="Times New Roman" w:hAnsi="Times New Roman"/>
          <w:sz w:val="28"/>
          <w:szCs w:val="28"/>
        </w:rPr>
        <w:t>opes that justice will prevail.</w:t>
      </w:r>
    </w:p>
    <w:p w14:paraId="1F0D11EC" w14:textId="77777777" w:rsidR="00CB775D" w:rsidRPr="00CD6C14" w:rsidRDefault="00CB775D" w:rsidP="00FC37AB">
      <w:pPr>
        <w:pStyle w:val="LegalList1"/>
        <w:spacing w:after="0" w:line="360" w:lineRule="auto"/>
        <w:rPr>
          <w:rFonts w:ascii="Times New Roman" w:hAnsi="Times New Roman"/>
          <w:sz w:val="28"/>
          <w:szCs w:val="28"/>
        </w:rPr>
      </w:pPr>
    </w:p>
    <w:p w14:paraId="225BD264" w14:textId="38DF36B3"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007E3EF0" w:rsidRPr="00CD6C14">
        <w:rPr>
          <w:rFonts w:ascii="Times New Roman" w:hAnsi="Times New Roman"/>
          <w:sz w:val="28"/>
          <w:szCs w:val="28"/>
        </w:rPr>
        <w:t xml:space="preserve">Where the appellant did not testify in mitigation the </w:t>
      </w:r>
      <w:r w:rsidR="00E54F89" w:rsidRPr="00CD6C14">
        <w:rPr>
          <w:rFonts w:ascii="Times New Roman" w:hAnsi="Times New Roman"/>
          <w:sz w:val="28"/>
          <w:szCs w:val="28"/>
        </w:rPr>
        <w:t xml:space="preserve">tart </w:t>
      </w:r>
      <w:r w:rsidR="007E3EF0" w:rsidRPr="00CD6C14">
        <w:rPr>
          <w:rFonts w:ascii="Times New Roman" w:hAnsi="Times New Roman"/>
          <w:sz w:val="28"/>
          <w:szCs w:val="28"/>
        </w:rPr>
        <w:t xml:space="preserve">assertion </w:t>
      </w:r>
      <w:r w:rsidR="00C50C19" w:rsidRPr="00CD6C14">
        <w:rPr>
          <w:rFonts w:ascii="Times New Roman" w:hAnsi="Times New Roman"/>
          <w:sz w:val="28"/>
          <w:szCs w:val="28"/>
        </w:rPr>
        <w:t>put to Ms</w:t>
      </w:r>
      <w:r w:rsidR="00E040F0">
        <w:rPr>
          <w:rFonts w:ascii="Times New Roman" w:hAnsi="Times New Roman"/>
          <w:sz w:val="28"/>
          <w:szCs w:val="28"/>
        </w:rPr>
        <w:t> </w:t>
      </w:r>
      <w:r w:rsidR="00C50C19" w:rsidRPr="00CD6C14">
        <w:rPr>
          <w:rFonts w:ascii="Times New Roman" w:hAnsi="Times New Roman"/>
          <w:sz w:val="28"/>
          <w:szCs w:val="28"/>
        </w:rPr>
        <w:t xml:space="preserve">Petersen in cross-examination by </w:t>
      </w:r>
      <w:r w:rsidR="007E3EF0" w:rsidRPr="00CD6C14">
        <w:rPr>
          <w:rFonts w:ascii="Times New Roman" w:hAnsi="Times New Roman"/>
          <w:sz w:val="28"/>
          <w:szCs w:val="28"/>
        </w:rPr>
        <w:t xml:space="preserve">her legal representative that the R56 000 </w:t>
      </w:r>
      <w:r w:rsidR="00C50C19" w:rsidRPr="00CD6C14">
        <w:rPr>
          <w:rFonts w:ascii="Times New Roman" w:hAnsi="Times New Roman"/>
          <w:sz w:val="28"/>
          <w:szCs w:val="28"/>
        </w:rPr>
        <w:t xml:space="preserve">will be repaid rings hollow. </w:t>
      </w:r>
      <w:r w:rsidR="00122A4F" w:rsidRPr="00CD6C14">
        <w:rPr>
          <w:rFonts w:ascii="Times New Roman" w:hAnsi="Times New Roman"/>
          <w:sz w:val="28"/>
          <w:szCs w:val="28"/>
        </w:rPr>
        <w:t>Ms Petersen comments that the victims put their trust in the appellant not being aware that she was not permitted to practice; that they came to the appellant innocently for assistance and were misled with no conclusion or finality to the</w:t>
      </w:r>
      <w:r w:rsidR="006F5485" w:rsidRPr="00CD6C14">
        <w:rPr>
          <w:rFonts w:ascii="Times New Roman" w:hAnsi="Times New Roman"/>
          <w:sz w:val="28"/>
          <w:szCs w:val="28"/>
        </w:rPr>
        <w:t>ir</w:t>
      </w:r>
      <w:r w:rsidR="00122A4F" w:rsidRPr="00CD6C14">
        <w:rPr>
          <w:rFonts w:ascii="Times New Roman" w:hAnsi="Times New Roman"/>
          <w:sz w:val="28"/>
          <w:szCs w:val="28"/>
        </w:rPr>
        <w:t xml:space="preserve"> cases. To this end the appellant violated the trust of innocent </w:t>
      </w:r>
      <w:r w:rsidR="00FF1464" w:rsidRPr="00CD6C14">
        <w:rPr>
          <w:rFonts w:ascii="Times New Roman" w:hAnsi="Times New Roman"/>
          <w:sz w:val="28"/>
          <w:szCs w:val="28"/>
        </w:rPr>
        <w:t xml:space="preserve">people </w:t>
      </w:r>
      <w:r w:rsidR="00122A4F" w:rsidRPr="00CD6C14">
        <w:rPr>
          <w:rFonts w:ascii="Times New Roman" w:hAnsi="Times New Roman"/>
          <w:sz w:val="28"/>
          <w:szCs w:val="28"/>
        </w:rPr>
        <w:t>and should be held accountable for her actions. Ms Petersen was unable to interview any of the other complainant victims who dealt with the appellant and who were affected by her conduct.</w:t>
      </w:r>
    </w:p>
    <w:p w14:paraId="5BE798E7" w14:textId="77777777" w:rsidR="002467DA" w:rsidRPr="00CD6C14" w:rsidRDefault="002467DA" w:rsidP="00FC37AB">
      <w:pPr>
        <w:pStyle w:val="LegalList1"/>
        <w:spacing w:after="0" w:line="360" w:lineRule="auto"/>
        <w:rPr>
          <w:rFonts w:ascii="Times New Roman" w:hAnsi="Times New Roman"/>
          <w:sz w:val="28"/>
          <w:szCs w:val="28"/>
        </w:rPr>
      </w:pPr>
    </w:p>
    <w:p w14:paraId="225BD265" w14:textId="01F54185"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r>
      <w:r w:rsidR="00122A4F" w:rsidRPr="00CD6C14">
        <w:rPr>
          <w:rFonts w:ascii="Times New Roman" w:hAnsi="Times New Roman"/>
          <w:sz w:val="28"/>
          <w:szCs w:val="28"/>
        </w:rPr>
        <w:t>The appellant’s disavowal of her conduct (insisting that she was assisting persons in need) was noted by Ms Petersen as a failure by the appellant to take responsibility for her criminal conduct</w:t>
      </w:r>
      <w:r w:rsidR="006F5485" w:rsidRPr="00CD6C14">
        <w:rPr>
          <w:rFonts w:ascii="Times New Roman" w:hAnsi="Times New Roman"/>
          <w:sz w:val="28"/>
          <w:szCs w:val="28"/>
        </w:rPr>
        <w:t xml:space="preserve"> and </w:t>
      </w:r>
      <w:r w:rsidR="00FF1464" w:rsidRPr="00CD6C14">
        <w:rPr>
          <w:rFonts w:ascii="Times New Roman" w:hAnsi="Times New Roman"/>
          <w:sz w:val="28"/>
          <w:szCs w:val="28"/>
        </w:rPr>
        <w:t xml:space="preserve">a failure to reconcile </w:t>
      </w:r>
      <w:r w:rsidR="006F5485" w:rsidRPr="00CD6C14">
        <w:rPr>
          <w:rFonts w:ascii="Times New Roman" w:hAnsi="Times New Roman"/>
          <w:sz w:val="28"/>
          <w:szCs w:val="28"/>
        </w:rPr>
        <w:t>herself with the outcome</w:t>
      </w:r>
      <w:r w:rsidR="00122A4F" w:rsidRPr="00CD6C14">
        <w:rPr>
          <w:rFonts w:ascii="Times New Roman" w:hAnsi="Times New Roman"/>
          <w:sz w:val="28"/>
          <w:szCs w:val="28"/>
        </w:rPr>
        <w:t>. The appellant is recorded as having denied the role that she played in some instances. This, in the opinion of Ms Petersen, indicates that she did not want to be held accountable for her conduct and raises doubt about her capability for being rehabilitated.</w:t>
      </w:r>
    </w:p>
    <w:p w14:paraId="1E8E52BC" w14:textId="77777777" w:rsidR="00444C51" w:rsidRPr="00CD6C14" w:rsidRDefault="00444C51" w:rsidP="00FC37AB">
      <w:pPr>
        <w:pStyle w:val="LegalList1"/>
        <w:spacing w:after="0" w:line="360" w:lineRule="auto"/>
        <w:rPr>
          <w:rFonts w:ascii="Times New Roman" w:hAnsi="Times New Roman"/>
          <w:sz w:val="28"/>
          <w:szCs w:val="28"/>
        </w:rPr>
      </w:pPr>
    </w:p>
    <w:p w14:paraId="225BD266" w14:textId="7722827F"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122A4F" w:rsidRPr="00CD6C14">
        <w:rPr>
          <w:rFonts w:ascii="Times New Roman" w:hAnsi="Times New Roman"/>
          <w:sz w:val="28"/>
          <w:szCs w:val="28"/>
        </w:rPr>
        <w:t xml:space="preserve">As for the minor child, there is no suggestion in Ms Petersen’s report that his care and fundamental needs are inadequate or that Mr and Mrs Swanepoel, despite their age, are incapable in any material respect, or that the child will be neglected in the event of the appellant’s incarceration. Ms Petersen acknowledges that it will not be easy for the child to adapt to change in the event that the appellant is separated from him. She considers this a normal stage in a child’s </w:t>
      </w:r>
      <w:r w:rsidR="00122A4F" w:rsidRPr="00CD6C14">
        <w:rPr>
          <w:rFonts w:ascii="Times New Roman" w:hAnsi="Times New Roman"/>
          <w:sz w:val="28"/>
          <w:szCs w:val="28"/>
        </w:rPr>
        <w:lastRenderedPageBreak/>
        <w:t>development that helps them to understand relationships and come to terms with their environment in changed circumstances.</w:t>
      </w:r>
    </w:p>
    <w:p w14:paraId="07BDAEB3" w14:textId="77777777" w:rsidR="002F4B69" w:rsidRPr="00CD6C14" w:rsidRDefault="002F4B69" w:rsidP="00FC37AB">
      <w:pPr>
        <w:pStyle w:val="LegalList1"/>
        <w:spacing w:after="0" w:line="360" w:lineRule="auto"/>
        <w:rPr>
          <w:rFonts w:ascii="Times New Roman" w:hAnsi="Times New Roman"/>
          <w:sz w:val="28"/>
          <w:szCs w:val="28"/>
        </w:rPr>
      </w:pPr>
    </w:p>
    <w:p w14:paraId="225BD267" w14:textId="50EB8A39" w:rsidR="0036647E"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122A4F" w:rsidRPr="00CD6C14">
        <w:rPr>
          <w:rFonts w:ascii="Times New Roman" w:hAnsi="Times New Roman"/>
          <w:sz w:val="28"/>
          <w:szCs w:val="28"/>
        </w:rPr>
        <w:t>As for possible sentenc</w:t>
      </w:r>
      <w:r w:rsidR="00D126F3" w:rsidRPr="00CD6C14">
        <w:rPr>
          <w:rFonts w:ascii="Times New Roman" w:hAnsi="Times New Roman"/>
          <w:sz w:val="28"/>
          <w:szCs w:val="28"/>
        </w:rPr>
        <w:t>ing</w:t>
      </w:r>
      <w:r w:rsidR="00122A4F" w:rsidRPr="00CD6C14">
        <w:rPr>
          <w:rFonts w:ascii="Times New Roman" w:hAnsi="Times New Roman"/>
          <w:sz w:val="28"/>
          <w:szCs w:val="28"/>
        </w:rPr>
        <w:t xml:space="preserve"> options, Ms Petersen made an assessment </w:t>
      </w:r>
      <w:r w:rsidR="00122A4F" w:rsidRPr="00CD6C14">
        <w:rPr>
          <w:rFonts w:ascii="Times New Roman" w:hAnsi="Times New Roman"/>
          <w:i/>
          <w:sz w:val="28"/>
          <w:szCs w:val="28"/>
        </w:rPr>
        <w:t>inter alia</w:t>
      </w:r>
      <w:r w:rsidR="00122A4F" w:rsidRPr="00CD6C14">
        <w:rPr>
          <w:rFonts w:ascii="Times New Roman" w:hAnsi="Times New Roman"/>
          <w:sz w:val="28"/>
          <w:szCs w:val="28"/>
        </w:rPr>
        <w:t xml:space="preserve"> of direct imprisonment</w:t>
      </w:r>
      <w:r w:rsidR="002D6AC7" w:rsidRPr="00CD6C14">
        <w:rPr>
          <w:rFonts w:ascii="Times New Roman" w:hAnsi="Times New Roman"/>
          <w:sz w:val="28"/>
          <w:szCs w:val="28"/>
        </w:rPr>
        <w:t xml:space="preserve"> on the one hand and</w:t>
      </w:r>
      <w:r w:rsidR="00122A4F" w:rsidRPr="00CD6C14">
        <w:rPr>
          <w:rFonts w:ascii="Times New Roman" w:hAnsi="Times New Roman"/>
          <w:sz w:val="28"/>
          <w:szCs w:val="28"/>
        </w:rPr>
        <w:t xml:space="preserve"> correctional supervision </w:t>
      </w:r>
      <w:r w:rsidR="002D6AC7" w:rsidRPr="00CD6C14">
        <w:rPr>
          <w:rFonts w:ascii="Times New Roman" w:hAnsi="Times New Roman"/>
          <w:sz w:val="28"/>
          <w:szCs w:val="28"/>
        </w:rPr>
        <w:t xml:space="preserve">on the other, </w:t>
      </w:r>
      <w:r w:rsidR="00122A4F" w:rsidRPr="00CD6C14">
        <w:rPr>
          <w:rFonts w:ascii="Times New Roman" w:hAnsi="Times New Roman"/>
          <w:sz w:val="28"/>
          <w:szCs w:val="28"/>
        </w:rPr>
        <w:t xml:space="preserve">but recommended that the sentence issue be left in the </w:t>
      </w:r>
      <w:r w:rsidR="002D6AC7" w:rsidRPr="00CD6C14">
        <w:rPr>
          <w:rFonts w:ascii="Times New Roman" w:hAnsi="Times New Roman"/>
          <w:sz w:val="28"/>
          <w:szCs w:val="28"/>
        </w:rPr>
        <w:t>discretion</w:t>
      </w:r>
      <w:r w:rsidR="00122A4F" w:rsidRPr="00CD6C14">
        <w:rPr>
          <w:rFonts w:ascii="Times New Roman" w:hAnsi="Times New Roman"/>
          <w:sz w:val="28"/>
          <w:szCs w:val="28"/>
        </w:rPr>
        <w:t xml:space="preserve"> of the sentencing court.</w:t>
      </w:r>
    </w:p>
    <w:p w14:paraId="63032350" w14:textId="77777777" w:rsidR="00C544F6" w:rsidRPr="00CD6C14" w:rsidRDefault="00C544F6" w:rsidP="00FC37AB">
      <w:pPr>
        <w:pStyle w:val="LegalList1"/>
        <w:spacing w:after="0" w:line="360" w:lineRule="auto"/>
        <w:rPr>
          <w:rFonts w:ascii="Times New Roman" w:hAnsi="Times New Roman"/>
          <w:sz w:val="28"/>
          <w:szCs w:val="28"/>
        </w:rPr>
      </w:pPr>
    </w:p>
    <w:p w14:paraId="225BD268" w14:textId="26882B22" w:rsidR="00C923BD"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FE3D9D" w:rsidRPr="00CD6C14">
        <w:rPr>
          <w:rFonts w:ascii="Times New Roman" w:hAnsi="Times New Roman"/>
          <w:sz w:val="28"/>
          <w:szCs w:val="28"/>
        </w:rPr>
        <w:t>In heads of argument</w:t>
      </w:r>
      <w:r w:rsidR="00C544F6">
        <w:rPr>
          <w:rFonts w:ascii="Times New Roman" w:hAnsi="Times New Roman"/>
          <w:sz w:val="28"/>
          <w:szCs w:val="28"/>
        </w:rPr>
        <w:t>,</w:t>
      </w:r>
      <w:r w:rsidR="0030468B" w:rsidRPr="00CD6C14">
        <w:rPr>
          <w:rFonts w:ascii="Times New Roman" w:hAnsi="Times New Roman"/>
          <w:sz w:val="28"/>
          <w:szCs w:val="28"/>
        </w:rPr>
        <w:t xml:space="preserve"> the appellant makes the submission that </w:t>
      </w:r>
      <w:r w:rsidR="00E85DE4" w:rsidRPr="00CD6C14">
        <w:rPr>
          <w:rFonts w:ascii="Times New Roman" w:hAnsi="Times New Roman"/>
          <w:sz w:val="28"/>
          <w:szCs w:val="28"/>
        </w:rPr>
        <w:t xml:space="preserve">the sentencing court disregarded the recommendation by </w:t>
      </w:r>
      <w:r w:rsidR="0030468B" w:rsidRPr="00CD6C14">
        <w:rPr>
          <w:rFonts w:ascii="Times New Roman" w:hAnsi="Times New Roman"/>
          <w:sz w:val="28"/>
          <w:szCs w:val="28"/>
        </w:rPr>
        <w:t xml:space="preserve">Ms Petersen </w:t>
      </w:r>
      <w:r w:rsidR="00E85DE4" w:rsidRPr="00CD6C14">
        <w:rPr>
          <w:rFonts w:ascii="Times New Roman" w:hAnsi="Times New Roman"/>
          <w:sz w:val="28"/>
          <w:szCs w:val="28"/>
        </w:rPr>
        <w:t xml:space="preserve">where she </w:t>
      </w:r>
      <w:r w:rsidR="0030468B" w:rsidRPr="00CD6C14">
        <w:rPr>
          <w:rFonts w:ascii="Times New Roman" w:hAnsi="Times New Roman"/>
          <w:sz w:val="28"/>
          <w:szCs w:val="28"/>
        </w:rPr>
        <w:t xml:space="preserve">conceded that </w:t>
      </w:r>
      <w:r w:rsidR="00E85DE4" w:rsidRPr="00CD6C14">
        <w:rPr>
          <w:rFonts w:ascii="Times New Roman" w:hAnsi="Times New Roman"/>
          <w:sz w:val="28"/>
          <w:szCs w:val="28"/>
        </w:rPr>
        <w:t xml:space="preserve">the appellant </w:t>
      </w:r>
      <w:r w:rsidR="0030468B" w:rsidRPr="00CD6C14">
        <w:rPr>
          <w:rFonts w:ascii="Times New Roman" w:hAnsi="Times New Roman"/>
          <w:sz w:val="28"/>
          <w:szCs w:val="28"/>
        </w:rPr>
        <w:t>is a suitable candidate for correctional supervision regard being had to her previous sentence in terms of which she complied with the stipulated conditions and processes.</w:t>
      </w:r>
      <w:r w:rsidR="00CE0471" w:rsidRPr="00CD6C14">
        <w:rPr>
          <w:rFonts w:ascii="Times New Roman" w:hAnsi="Times New Roman"/>
          <w:sz w:val="28"/>
          <w:szCs w:val="28"/>
        </w:rPr>
        <w:t xml:space="preserve"> Ms Petersen’s concession is not a standalone </w:t>
      </w:r>
      <w:r w:rsidR="00097C56" w:rsidRPr="00CD6C14">
        <w:rPr>
          <w:rFonts w:ascii="Times New Roman" w:hAnsi="Times New Roman"/>
          <w:sz w:val="28"/>
          <w:szCs w:val="28"/>
        </w:rPr>
        <w:t xml:space="preserve">viewpoint </w:t>
      </w:r>
      <w:r w:rsidR="00CE0471" w:rsidRPr="00CD6C14">
        <w:rPr>
          <w:rFonts w:ascii="Times New Roman" w:hAnsi="Times New Roman"/>
          <w:sz w:val="28"/>
          <w:szCs w:val="28"/>
        </w:rPr>
        <w:t xml:space="preserve">in the appellant’s favour and must be weighed in the context of her </w:t>
      </w:r>
      <w:r w:rsidR="00097C56" w:rsidRPr="00CD6C14">
        <w:rPr>
          <w:rFonts w:ascii="Times New Roman" w:hAnsi="Times New Roman"/>
          <w:sz w:val="28"/>
          <w:szCs w:val="28"/>
        </w:rPr>
        <w:t xml:space="preserve">explicitly </w:t>
      </w:r>
      <w:r w:rsidR="00CE0471" w:rsidRPr="00CD6C14">
        <w:rPr>
          <w:rFonts w:ascii="Times New Roman" w:hAnsi="Times New Roman"/>
          <w:sz w:val="28"/>
          <w:szCs w:val="28"/>
        </w:rPr>
        <w:t>leaving the sentence issue open for determination by the trial court.</w:t>
      </w:r>
    </w:p>
    <w:p w14:paraId="28AD5AEE" w14:textId="77777777" w:rsidR="00A81DDA" w:rsidRPr="00CD6C14" w:rsidRDefault="00A81DDA" w:rsidP="00FC37AB">
      <w:pPr>
        <w:pStyle w:val="LegalList1"/>
        <w:spacing w:after="0" w:line="360" w:lineRule="auto"/>
        <w:rPr>
          <w:rFonts w:ascii="Times New Roman" w:hAnsi="Times New Roman"/>
          <w:sz w:val="28"/>
          <w:szCs w:val="28"/>
        </w:rPr>
      </w:pPr>
    </w:p>
    <w:p w14:paraId="225BD269" w14:textId="68BC9AB6"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9D240F" w:rsidRPr="00CD6C14">
        <w:rPr>
          <w:rFonts w:ascii="Times New Roman" w:hAnsi="Times New Roman"/>
          <w:sz w:val="28"/>
          <w:szCs w:val="28"/>
        </w:rPr>
        <w:t>It is acknowledged that probation officers perform a valuable task of huge assistance to judicial officers</w:t>
      </w:r>
      <w:r w:rsidR="009D240F" w:rsidRPr="00CD6C14">
        <w:rPr>
          <w:rStyle w:val="FootnoteReference"/>
          <w:rFonts w:ascii="Times New Roman" w:hAnsi="Times New Roman"/>
          <w:sz w:val="28"/>
          <w:szCs w:val="28"/>
        </w:rPr>
        <w:footnoteReference w:id="24"/>
      </w:r>
      <w:r w:rsidR="003938EC" w:rsidRPr="00CD6C14">
        <w:rPr>
          <w:rFonts w:ascii="Times New Roman" w:hAnsi="Times New Roman"/>
          <w:sz w:val="28"/>
          <w:szCs w:val="28"/>
        </w:rPr>
        <w:t xml:space="preserve"> but it </w:t>
      </w:r>
      <w:r w:rsidR="009D240F" w:rsidRPr="00CD6C14">
        <w:rPr>
          <w:rFonts w:ascii="Times New Roman" w:hAnsi="Times New Roman"/>
          <w:sz w:val="28"/>
          <w:szCs w:val="28"/>
        </w:rPr>
        <w:t xml:space="preserve">must be stressed that </w:t>
      </w:r>
      <w:r w:rsidR="003938EC" w:rsidRPr="00CD6C14">
        <w:rPr>
          <w:rFonts w:ascii="Times New Roman" w:hAnsi="Times New Roman"/>
          <w:sz w:val="28"/>
          <w:szCs w:val="28"/>
        </w:rPr>
        <w:t>a court is not slavishly bound by a recommendation since sentence is a judicial function that cannot be abdicated to another authority and must be performed by the courts only</w:t>
      </w:r>
      <w:r w:rsidR="003F76E3">
        <w:rPr>
          <w:rFonts w:ascii="Times New Roman" w:hAnsi="Times New Roman"/>
          <w:sz w:val="28"/>
          <w:szCs w:val="28"/>
        </w:rPr>
        <w:t>.</w:t>
      </w:r>
      <w:r w:rsidR="0036647E" w:rsidRPr="00CD6C14">
        <w:rPr>
          <w:rStyle w:val="FootnoteReference"/>
          <w:rFonts w:ascii="Times New Roman" w:hAnsi="Times New Roman"/>
          <w:sz w:val="28"/>
          <w:szCs w:val="28"/>
        </w:rPr>
        <w:footnoteReference w:id="25"/>
      </w:r>
    </w:p>
    <w:p w14:paraId="0B247519" w14:textId="77777777" w:rsidR="003F76E3" w:rsidRPr="00CD6C14" w:rsidRDefault="003F76E3" w:rsidP="00FC37AB">
      <w:pPr>
        <w:pStyle w:val="LegalList1"/>
        <w:spacing w:after="0" w:line="360" w:lineRule="auto"/>
        <w:rPr>
          <w:rFonts w:ascii="Times New Roman" w:hAnsi="Times New Roman"/>
          <w:sz w:val="28"/>
          <w:szCs w:val="28"/>
        </w:rPr>
      </w:pPr>
    </w:p>
    <w:p w14:paraId="225BD26A" w14:textId="039AE7D5" w:rsidR="009219F5"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007F27CF" w:rsidRPr="00CD6C14">
        <w:rPr>
          <w:rFonts w:ascii="Times New Roman" w:hAnsi="Times New Roman"/>
          <w:sz w:val="28"/>
          <w:szCs w:val="28"/>
        </w:rPr>
        <w:t xml:space="preserve">Moreover, it is not sufficient to contend that correctional supervision </w:t>
      </w:r>
      <w:r w:rsidR="00B94ACE" w:rsidRPr="00CD6C14">
        <w:rPr>
          <w:rFonts w:ascii="Times New Roman" w:hAnsi="Times New Roman"/>
          <w:sz w:val="28"/>
          <w:szCs w:val="28"/>
        </w:rPr>
        <w:t xml:space="preserve">will assist in the appellant’s rehabilitation where she ostensibly assumes responsibility for one count (albeit unspecified) </w:t>
      </w:r>
      <w:r w:rsidR="00FF1CB6" w:rsidRPr="00CD6C14">
        <w:rPr>
          <w:rFonts w:ascii="Times New Roman" w:hAnsi="Times New Roman"/>
          <w:sz w:val="28"/>
          <w:szCs w:val="28"/>
        </w:rPr>
        <w:t>positing</w:t>
      </w:r>
      <w:r w:rsidR="00A57408" w:rsidRPr="00CD6C14">
        <w:rPr>
          <w:rFonts w:ascii="Times New Roman" w:hAnsi="Times New Roman"/>
          <w:sz w:val="28"/>
          <w:szCs w:val="28"/>
        </w:rPr>
        <w:t xml:space="preserve"> that </w:t>
      </w:r>
      <w:r w:rsidR="00B94ACE" w:rsidRPr="00CD6C14">
        <w:rPr>
          <w:rFonts w:ascii="Times New Roman" w:hAnsi="Times New Roman"/>
          <w:sz w:val="28"/>
          <w:szCs w:val="28"/>
        </w:rPr>
        <w:t>she was negligent</w:t>
      </w:r>
      <w:r w:rsidR="00DD5F62" w:rsidRPr="00CD6C14">
        <w:rPr>
          <w:rFonts w:ascii="Times New Roman" w:hAnsi="Times New Roman"/>
          <w:sz w:val="28"/>
          <w:szCs w:val="28"/>
        </w:rPr>
        <w:t xml:space="preserve"> in the commission of the offence</w:t>
      </w:r>
      <w:r w:rsidR="00B94ACE" w:rsidRPr="00CD6C14">
        <w:rPr>
          <w:rFonts w:ascii="Times New Roman" w:hAnsi="Times New Roman"/>
          <w:sz w:val="28"/>
          <w:szCs w:val="28"/>
        </w:rPr>
        <w:t xml:space="preserve">. </w:t>
      </w:r>
      <w:r w:rsidR="00F1280C" w:rsidRPr="00CD6C14">
        <w:rPr>
          <w:rFonts w:ascii="Times New Roman" w:hAnsi="Times New Roman"/>
          <w:sz w:val="28"/>
          <w:szCs w:val="28"/>
        </w:rPr>
        <w:t xml:space="preserve">Each of the offences relating to fraud </w:t>
      </w:r>
      <w:r w:rsidR="00DD5F62" w:rsidRPr="00CD6C14">
        <w:rPr>
          <w:rFonts w:ascii="Times New Roman" w:hAnsi="Times New Roman"/>
          <w:sz w:val="28"/>
          <w:szCs w:val="28"/>
        </w:rPr>
        <w:t xml:space="preserve">or contempt of court </w:t>
      </w:r>
      <w:r w:rsidR="00F1280C" w:rsidRPr="00CD6C14">
        <w:rPr>
          <w:rFonts w:ascii="Times New Roman" w:hAnsi="Times New Roman"/>
          <w:sz w:val="28"/>
          <w:szCs w:val="28"/>
        </w:rPr>
        <w:t>has an element attributed to a specific mental state</w:t>
      </w:r>
      <w:r w:rsidR="00043009" w:rsidRPr="00CD6C14">
        <w:rPr>
          <w:rFonts w:ascii="Times New Roman" w:hAnsi="Times New Roman"/>
          <w:sz w:val="28"/>
          <w:szCs w:val="28"/>
        </w:rPr>
        <w:t xml:space="preserve"> indicating that the </w:t>
      </w:r>
      <w:r w:rsidR="00043009" w:rsidRPr="00CD6C14">
        <w:rPr>
          <w:rFonts w:ascii="Times New Roman" w:hAnsi="Times New Roman"/>
          <w:sz w:val="28"/>
          <w:szCs w:val="28"/>
        </w:rPr>
        <w:lastRenderedPageBreak/>
        <w:t>offences were calculated and deliberate</w:t>
      </w:r>
      <w:r w:rsidR="00F1280C" w:rsidRPr="00CD6C14">
        <w:rPr>
          <w:rFonts w:ascii="Times New Roman" w:hAnsi="Times New Roman"/>
          <w:sz w:val="28"/>
          <w:szCs w:val="28"/>
        </w:rPr>
        <w:t>. To posit negligence for acknowledging responsibility is disingenuous</w:t>
      </w:r>
      <w:r w:rsidR="00A47012" w:rsidRPr="00CD6C14">
        <w:rPr>
          <w:rFonts w:ascii="Times New Roman" w:hAnsi="Times New Roman"/>
          <w:sz w:val="28"/>
          <w:szCs w:val="28"/>
        </w:rPr>
        <w:t xml:space="preserve">. It </w:t>
      </w:r>
      <w:r w:rsidR="00EF2281" w:rsidRPr="00CD6C14">
        <w:rPr>
          <w:rFonts w:ascii="Times New Roman" w:hAnsi="Times New Roman"/>
          <w:sz w:val="28"/>
          <w:szCs w:val="28"/>
        </w:rPr>
        <w:t>disguises</w:t>
      </w:r>
      <w:r w:rsidR="00A47012" w:rsidRPr="00CD6C14">
        <w:rPr>
          <w:rFonts w:ascii="Times New Roman" w:hAnsi="Times New Roman"/>
          <w:sz w:val="28"/>
          <w:szCs w:val="28"/>
        </w:rPr>
        <w:t xml:space="preserve"> the deception of people who trusted the appellant</w:t>
      </w:r>
      <w:r w:rsidR="00A57408" w:rsidRPr="00CD6C14">
        <w:rPr>
          <w:rFonts w:ascii="Times New Roman" w:hAnsi="Times New Roman"/>
          <w:sz w:val="28"/>
          <w:szCs w:val="28"/>
        </w:rPr>
        <w:t xml:space="preserve"> and either detracts from or significantly diminishes </w:t>
      </w:r>
      <w:r w:rsidR="00A47012" w:rsidRPr="00CD6C14">
        <w:rPr>
          <w:rFonts w:ascii="Times New Roman" w:hAnsi="Times New Roman"/>
          <w:sz w:val="28"/>
          <w:szCs w:val="28"/>
        </w:rPr>
        <w:t xml:space="preserve">her </w:t>
      </w:r>
      <w:r w:rsidR="00A57408" w:rsidRPr="00CD6C14">
        <w:rPr>
          <w:rFonts w:ascii="Times New Roman" w:hAnsi="Times New Roman"/>
          <w:sz w:val="28"/>
          <w:szCs w:val="28"/>
        </w:rPr>
        <w:t>capacity for rehabilitation.</w:t>
      </w:r>
    </w:p>
    <w:p w14:paraId="081E7311" w14:textId="77777777" w:rsidR="008E4D2B" w:rsidRPr="00CD6C14" w:rsidRDefault="008E4D2B" w:rsidP="00FC37AB">
      <w:pPr>
        <w:pStyle w:val="LegalList1"/>
        <w:spacing w:after="0" w:line="360" w:lineRule="auto"/>
        <w:rPr>
          <w:rFonts w:ascii="Times New Roman" w:hAnsi="Times New Roman"/>
          <w:sz w:val="28"/>
          <w:szCs w:val="28"/>
        </w:rPr>
      </w:pPr>
    </w:p>
    <w:p w14:paraId="225BD26B" w14:textId="651C23EB" w:rsidR="007115B7"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r w:rsidR="00A66E17" w:rsidRPr="00CD6C14">
        <w:rPr>
          <w:rFonts w:ascii="Times New Roman" w:hAnsi="Times New Roman"/>
          <w:sz w:val="28"/>
          <w:szCs w:val="28"/>
        </w:rPr>
        <w:t xml:space="preserve">In </w:t>
      </w:r>
      <w:r w:rsidR="007115B7" w:rsidRPr="00CD6C14">
        <w:rPr>
          <w:rFonts w:ascii="Times New Roman" w:hAnsi="Times New Roman"/>
          <w:i/>
          <w:sz w:val="28"/>
          <w:szCs w:val="28"/>
        </w:rPr>
        <w:t>S v Flanagan</w:t>
      </w:r>
      <w:r w:rsidR="007115B7" w:rsidRPr="00CD6C14">
        <w:rPr>
          <w:rStyle w:val="FootnoteReference"/>
          <w:rFonts w:ascii="Times New Roman" w:hAnsi="Times New Roman"/>
          <w:sz w:val="28"/>
          <w:szCs w:val="28"/>
        </w:rPr>
        <w:footnoteReference w:id="26"/>
      </w:r>
      <w:r w:rsidR="007115B7" w:rsidRPr="00CD6C14">
        <w:rPr>
          <w:rFonts w:ascii="Times New Roman" w:hAnsi="Times New Roman"/>
          <w:sz w:val="28"/>
          <w:szCs w:val="28"/>
        </w:rPr>
        <w:t xml:space="preserve"> </w:t>
      </w:r>
      <w:r w:rsidR="00A66E17" w:rsidRPr="00CD6C14">
        <w:rPr>
          <w:rFonts w:ascii="Times New Roman" w:hAnsi="Times New Roman"/>
          <w:sz w:val="28"/>
          <w:szCs w:val="28"/>
        </w:rPr>
        <w:t xml:space="preserve">a sentence of </w:t>
      </w:r>
      <w:r w:rsidR="00AF5ED4" w:rsidRPr="00CD6C14">
        <w:rPr>
          <w:rFonts w:ascii="Times New Roman" w:hAnsi="Times New Roman"/>
          <w:sz w:val="28"/>
          <w:szCs w:val="28"/>
        </w:rPr>
        <w:t xml:space="preserve">7 years’ </w:t>
      </w:r>
      <w:r w:rsidR="00A66E17" w:rsidRPr="00CD6C14">
        <w:rPr>
          <w:rFonts w:ascii="Times New Roman" w:hAnsi="Times New Roman"/>
          <w:sz w:val="28"/>
          <w:szCs w:val="28"/>
        </w:rPr>
        <w:t xml:space="preserve">imprisonment for fraud was </w:t>
      </w:r>
      <w:r w:rsidR="00AF5ED4" w:rsidRPr="00CD6C14">
        <w:rPr>
          <w:rFonts w:ascii="Times New Roman" w:hAnsi="Times New Roman"/>
          <w:sz w:val="28"/>
          <w:szCs w:val="28"/>
        </w:rPr>
        <w:t>reduced on appeal to 4 years’ imprisonment in terms of section 276(1)</w:t>
      </w:r>
      <w:r w:rsidR="00AF5ED4" w:rsidRPr="00FC37AB">
        <w:rPr>
          <w:rFonts w:ascii="Times New Roman" w:hAnsi="Times New Roman"/>
          <w:i/>
          <w:iCs/>
          <w:sz w:val="28"/>
          <w:szCs w:val="28"/>
        </w:rPr>
        <w:t>(</w:t>
      </w:r>
      <w:r w:rsidR="00AF5ED4" w:rsidRPr="00EB3F84">
        <w:rPr>
          <w:rFonts w:ascii="Times New Roman" w:hAnsi="Times New Roman"/>
          <w:i/>
          <w:iCs/>
          <w:sz w:val="28"/>
          <w:szCs w:val="28"/>
        </w:rPr>
        <w:t>i</w:t>
      </w:r>
      <w:r w:rsidR="00AF5ED4" w:rsidRPr="00FC37AB">
        <w:rPr>
          <w:rFonts w:ascii="Times New Roman" w:hAnsi="Times New Roman"/>
          <w:i/>
          <w:iCs/>
          <w:sz w:val="28"/>
          <w:szCs w:val="28"/>
        </w:rPr>
        <w:t>)</w:t>
      </w:r>
      <w:r w:rsidR="00AF5ED4" w:rsidRPr="00CD6C14">
        <w:rPr>
          <w:rFonts w:ascii="Times New Roman" w:hAnsi="Times New Roman"/>
          <w:sz w:val="28"/>
          <w:szCs w:val="28"/>
        </w:rPr>
        <w:t xml:space="preserve"> of the Criminal Procedure A</w:t>
      </w:r>
      <w:r w:rsidR="00755C6B" w:rsidRPr="00CD6C14">
        <w:rPr>
          <w:rFonts w:ascii="Times New Roman" w:hAnsi="Times New Roman"/>
          <w:sz w:val="28"/>
          <w:szCs w:val="28"/>
        </w:rPr>
        <w:t>ct in the case of an offender who had a previous conviction for theft. The appellant contends that she is not excluded from correctional supervision because of her previous conviction.</w:t>
      </w:r>
      <w:r w:rsidR="009F2E57" w:rsidRPr="00CD6C14">
        <w:rPr>
          <w:rFonts w:ascii="Times New Roman" w:hAnsi="Times New Roman"/>
          <w:sz w:val="28"/>
          <w:szCs w:val="28"/>
        </w:rPr>
        <w:t xml:space="preserve"> Flanagan was an employee in the banking sector. The offence for which she was convicted </w:t>
      </w:r>
      <w:r w:rsidR="003C41C5" w:rsidRPr="00CD6C14">
        <w:rPr>
          <w:rFonts w:ascii="Times New Roman" w:hAnsi="Times New Roman"/>
          <w:sz w:val="28"/>
          <w:szCs w:val="28"/>
        </w:rPr>
        <w:t>had been committed largely as a result of threats made by her husband</w:t>
      </w:r>
      <w:r w:rsidR="003C44E7" w:rsidRPr="00CD6C14">
        <w:rPr>
          <w:rFonts w:ascii="Times New Roman" w:hAnsi="Times New Roman"/>
          <w:sz w:val="28"/>
          <w:szCs w:val="28"/>
        </w:rPr>
        <w:t xml:space="preserve">. This </w:t>
      </w:r>
      <w:r w:rsidR="00113E1C" w:rsidRPr="00CD6C14">
        <w:rPr>
          <w:rFonts w:ascii="Times New Roman" w:hAnsi="Times New Roman"/>
          <w:sz w:val="28"/>
          <w:szCs w:val="28"/>
        </w:rPr>
        <w:t xml:space="preserve">is not the case here since the appellant’s </w:t>
      </w:r>
      <w:r w:rsidR="00113E1C" w:rsidRPr="00CD6C14">
        <w:rPr>
          <w:rFonts w:ascii="Times New Roman" w:hAnsi="Times New Roman"/>
          <w:i/>
          <w:sz w:val="28"/>
          <w:szCs w:val="28"/>
        </w:rPr>
        <w:t>modus operandi</w:t>
      </w:r>
      <w:r w:rsidR="00113E1C" w:rsidRPr="00CD6C14">
        <w:rPr>
          <w:rFonts w:ascii="Times New Roman" w:hAnsi="Times New Roman"/>
          <w:sz w:val="28"/>
          <w:szCs w:val="28"/>
        </w:rPr>
        <w:t xml:space="preserve"> speaks for itself.</w:t>
      </w:r>
    </w:p>
    <w:p w14:paraId="7E78CA90" w14:textId="77777777" w:rsidR="004446EC" w:rsidRPr="00CD6C14" w:rsidRDefault="004446EC" w:rsidP="00FC37AB">
      <w:pPr>
        <w:pStyle w:val="LegalList1"/>
        <w:spacing w:after="0" w:line="360" w:lineRule="auto"/>
        <w:rPr>
          <w:rFonts w:ascii="Times New Roman" w:hAnsi="Times New Roman"/>
          <w:sz w:val="28"/>
          <w:szCs w:val="28"/>
        </w:rPr>
      </w:pPr>
    </w:p>
    <w:p w14:paraId="225BD26C" w14:textId="1B27E8D6" w:rsidR="007F27C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r>
      <w:r w:rsidR="001E4D78" w:rsidRPr="00CD6C14">
        <w:rPr>
          <w:rFonts w:ascii="Times New Roman" w:hAnsi="Times New Roman"/>
          <w:sz w:val="28"/>
          <w:szCs w:val="28"/>
        </w:rPr>
        <w:t xml:space="preserve">The conclusion arrived at by the magistrate that the appellant’s previous exposure to correctional supervision had no rehabilitative impact </w:t>
      </w:r>
      <w:r w:rsidR="00084D17" w:rsidRPr="00CD6C14">
        <w:rPr>
          <w:rFonts w:ascii="Times New Roman" w:hAnsi="Times New Roman"/>
          <w:sz w:val="28"/>
          <w:szCs w:val="28"/>
        </w:rPr>
        <w:t>is not anything farfetched</w:t>
      </w:r>
      <w:r w:rsidR="009219F5" w:rsidRPr="00CD6C14">
        <w:rPr>
          <w:rFonts w:ascii="Times New Roman" w:hAnsi="Times New Roman"/>
          <w:sz w:val="28"/>
          <w:szCs w:val="28"/>
        </w:rPr>
        <w:t xml:space="preserve">. </w:t>
      </w:r>
      <w:r w:rsidR="00443279" w:rsidRPr="00CD6C14">
        <w:rPr>
          <w:rFonts w:ascii="Times New Roman" w:hAnsi="Times New Roman"/>
          <w:sz w:val="28"/>
          <w:szCs w:val="28"/>
        </w:rPr>
        <w:t>Community resources were expended</w:t>
      </w:r>
      <w:r w:rsidR="001F45B6" w:rsidRPr="00CD6C14">
        <w:rPr>
          <w:rFonts w:ascii="Times New Roman" w:hAnsi="Times New Roman"/>
          <w:sz w:val="28"/>
          <w:szCs w:val="28"/>
        </w:rPr>
        <w:t xml:space="preserve"> without moral success. </w:t>
      </w:r>
      <w:r w:rsidR="009219F5" w:rsidRPr="00CD6C14">
        <w:rPr>
          <w:rFonts w:ascii="Times New Roman" w:hAnsi="Times New Roman"/>
          <w:sz w:val="28"/>
          <w:szCs w:val="28"/>
        </w:rPr>
        <w:t>The brusque statement to the appellant that ‘you have learnt absolutely nothing from that sentence’</w:t>
      </w:r>
      <w:r w:rsidR="00084D17" w:rsidRPr="00CD6C14">
        <w:rPr>
          <w:rFonts w:ascii="Times New Roman" w:hAnsi="Times New Roman"/>
          <w:sz w:val="28"/>
          <w:szCs w:val="28"/>
        </w:rPr>
        <w:t xml:space="preserve"> cannot be faulted in the light of the appellant’s </w:t>
      </w:r>
      <w:r w:rsidR="00084D17" w:rsidRPr="00CD6C14">
        <w:rPr>
          <w:rFonts w:ascii="Times New Roman" w:hAnsi="Times New Roman"/>
          <w:i/>
          <w:sz w:val="28"/>
          <w:szCs w:val="28"/>
        </w:rPr>
        <w:t>modus operandi</w:t>
      </w:r>
      <w:r w:rsidR="00084D17" w:rsidRPr="00CD6C14">
        <w:rPr>
          <w:rFonts w:ascii="Times New Roman" w:hAnsi="Times New Roman"/>
          <w:sz w:val="28"/>
          <w:szCs w:val="28"/>
        </w:rPr>
        <w:t xml:space="preserve"> </w:t>
      </w:r>
      <w:r w:rsidR="00F20BBC" w:rsidRPr="00CD6C14">
        <w:rPr>
          <w:rFonts w:ascii="Times New Roman" w:hAnsi="Times New Roman"/>
          <w:sz w:val="28"/>
          <w:szCs w:val="28"/>
        </w:rPr>
        <w:t xml:space="preserve">doubtlessly in the full knowledge </w:t>
      </w:r>
      <w:r w:rsidR="00C7054F" w:rsidRPr="00CD6C14">
        <w:rPr>
          <w:rFonts w:ascii="Times New Roman" w:hAnsi="Times New Roman"/>
          <w:sz w:val="28"/>
          <w:szCs w:val="28"/>
        </w:rPr>
        <w:t xml:space="preserve">of the impact of </w:t>
      </w:r>
      <w:r w:rsidR="00F20BBC" w:rsidRPr="00CD6C14">
        <w:rPr>
          <w:rFonts w:ascii="Times New Roman" w:hAnsi="Times New Roman"/>
          <w:sz w:val="28"/>
          <w:szCs w:val="28"/>
        </w:rPr>
        <w:t xml:space="preserve">her supercilious </w:t>
      </w:r>
      <w:r w:rsidR="00C7054F" w:rsidRPr="00CD6C14">
        <w:rPr>
          <w:rFonts w:ascii="Times New Roman" w:hAnsi="Times New Roman"/>
          <w:sz w:val="28"/>
          <w:szCs w:val="28"/>
        </w:rPr>
        <w:t>and callous attitude upon her child.</w:t>
      </w:r>
    </w:p>
    <w:p w14:paraId="1DD75D9C" w14:textId="77777777" w:rsidR="00E90805" w:rsidRPr="00CD6C14" w:rsidRDefault="00E90805" w:rsidP="00FC37AB">
      <w:pPr>
        <w:pStyle w:val="LegalList1"/>
        <w:spacing w:after="0" w:line="360" w:lineRule="auto"/>
        <w:rPr>
          <w:rFonts w:ascii="Times New Roman" w:hAnsi="Times New Roman"/>
          <w:sz w:val="28"/>
          <w:szCs w:val="28"/>
        </w:rPr>
      </w:pPr>
    </w:p>
    <w:p w14:paraId="225BD26D" w14:textId="14945FB2"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r w:rsidR="00122A4F" w:rsidRPr="00CD6C14">
        <w:rPr>
          <w:rFonts w:ascii="Times New Roman" w:hAnsi="Times New Roman"/>
          <w:sz w:val="28"/>
          <w:szCs w:val="28"/>
        </w:rPr>
        <w:t xml:space="preserve">The high-water mark of the evidential matrix is that the appellant is not the primary caregiver of the minor child. She is not ‘almost totally responsible’ for his care. The current position is that child is cared for in a secure environment by adults, though elderly, whom it has not been shown are incapable of looking after him, nor </w:t>
      </w:r>
      <w:r w:rsidR="00100EAE" w:rsidRPr="00CD6C14">
        <w:rPr>
          <w:rFonts w:ascii="Times New Roman" w:hAnsi="Times New Roman"/>
          <w:sz w:val="28"/>
          <w:szCs w:val="28"/>
        </w:rPr>
        <w:t>are there indications</w:t>
      </w:r>
      <w:r w:rsidR="00122A4F" w:rsidRPr="00CD6C14">
        <w:rPr>
          <w:rFonts w:ascii="Times New Roman" w:hAnsi="Times New Roman"/>
          <w:sz w:val="28"/>
          <w:szCs w:val="28"/>
        </w:rPr>
        <w:t xml:space="preserve"> that the quality of their care is unsatisfactory</w:t>
      </w:r>
      <w:r w:rsidR="00FD370A" w:rsidRPr="00CD6C14">
        <w:rPr>
          <w:rFonts w:ascii="Times New Roman" w:hAnsi="Times New Roman"/>
          <w:sz w:val="28"/>
          <w:szCs w:val="28"/>
        </w:rPr>
        <w:t>,</w:t>
      </w:r>
      <w:r w:rsidR="00122A4F" w:rsidRPr="00CD6C14">
        <w:rPr>
          <w:rFonts w:ascii="Times New Roman" w:hAnsi="Times New Roman"/>
          <w:sz w:val="28"/>
          <w:szCs w:val="28"/>
        </w:rPr>
        <w:t xml:space="preserve"> or in </w:t>
      </w:r>
      <w:r w:rsidR="00122A4F" w:rsidRPr="00CD6C14">
        <w:rPr>
          <w:rFonts w:ascii="Times New Roman" w:hAnsi="Times New Roman"/>
          <w:sz w:val="28"/>
          <w:szCs w:val="28"/>
        </w:rPr>
        <w:lastRenderedPageBreak/>
        <w:t>some way harmful or detrimental to his best interests</w:t>
      </w:r>
      <w:r w:rsidR="00FD370A" w:rsidRPr="00CD6C14">
        <w:rPr>
          <w:rFonts w:ascii="Times New Roman" w:hAnsi="Times New Roman"/>
          <w:sz w:val="28"/>
          <w:szCs w:val="28"/>
        </w:rPr>
        <w:t>,</w:t>
      </w:r>
      <w:r w:rsidR="00122A4F" w:rsidRPr="00CD6C14">
        <w:rPr>
          <w:rFonts w:ascii="Times New Roman" w:hAnsi="Times New Roman"/>
          <w:sz w:val="28"/>
          <w:szCs w:val="28"/>
        </w:rPr>
        <w:t xml:space="preserve"> or that they are morally unfit. Although not articulated in these terms, the magistrate’s judgment on sentence indicates that the interests of the minor child were given independent consideration and weighed against the traditional factors in the </w:t>
      </w:r>
      <w:r w:rsidR="00122A4F" w:rsidRPr="00CD6C14">
        <w:rPr>
          <w:rFonts w:ascii="Times New Roman" w:hAnsi="Times New Roman"/>
          <w:i/>
          <w:sz w:val="28"/>
          <w:szCs w:val="28"/>
        </w:rPr>
        <w:t>Zinn</w:t>
      </w:r>
      <w:r w:rsidR="00122A4F" w:rsidRPr="00CD6C14">
        <w:rPr>
          <w:rFonts w:ascii="Times New Roman" w:hAnsi="Times New Roman"/>
          <w:sz w:val="28"/>
          <w:szCs w:val="28"/>
        </w:rPr>
        <w:t xml:space="preserve"> triad.</w:t>
      </w:r>
    </w:p>
    <w:p w14:paraId="1BE7594F" w14:textId="77777777" w:rsidR="00725290" w:rsidRPr="00CD6C14" w:rsidRDefault="00725290" w:rsidP="00FC37AB">
      <w:pPr>
        <w:pStyle w:val="LegalList1"/>
        <w:spacing w:after="0" w:line="360" w:lineRule="auto"/>
        <w:rPr>
          <w:rFonts w:ascii="Times New Roman" w:hAnsi="Times New Roman"/>
          <w:sz w:val="28"/>
          <w:szCs w:val="28"/>
        </w:rPr>
      </w:pPr>
    </w:p>
    <w:p w14:paraId="225BD26E" w14:textId="09296856"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122A4F" w:rsidRPr="00CD6C14">
        <w:rPr>
          <w:rFonts w:ascii="Times New Roman" w:hAnsi="Times New Roman"/>
          <w:sz w:val="28"/>
          <w:szCs w:val="28"/>
        </w:rPr>
        <w:t>The magistrate, in addition, had regard to the guidelines in</w:t>
      </w:r>
      <w:r w:rsidR="00122A4F" w:rsidRPr="00CD6C14">
        <w:rPr>
          <w:rFonts w:ascii="Times New Roman" w:hAnsi="Times New Roman"/>
          <w:i/>
          <w:sz w:val="28"/>
          <w:szCs w:val="28"/>
        </w:rPr>
        <w:t xml:space="preserve"> S v M</w:t>
      </w:r>
      <w:r w:rsidR="00122A4F" w:rsidRPr="00CD6C14">
        <w:rPr>
          <w:rFonts w:ascii="Times New Roman" w:hAnsi="Times New Roman"/>
          <w:sz w:val="28"/>
          <w:szCs w:val="28"/>
        </w:rPr>
        <w:t xml:space="preserve">. As to the effect of a custodial sentence on the child, she took cognisance of evidence indicating the appellant’s frequent absences from home. She acknowledged that the child would be affected by the appellant’s absence but at the same time drew on the fact that children ought to be raised in an environment that teaches them that immoral choices do not escape accountability in life. Having considered the child’s interests independently of the </w:t>
      </w:r>
      <w:r w:rsidR="00122A4F" w:rsidRPr="00CD6C14">
        <w:rPr>
          <w:rFonts w:ascii="Times New Roman" w:hAnsi="Times New Roman"/>
          <w:i/>
          <w:sz w:val="28"/>
          <w:szCs w:val="28"/>
        </w:rPr>
        <w:t>Zinn</w:t>
      </w:r>
      <w:r w:rsidR="00122A4F" w:rsidRPr="00CD6C14">
        <w:rPr>
          <w:rFonts w:ascii="Times New Roman" w:hAnsi="Times New Roman"/>
          <w:sz w:val="28"/>
          <w:szCs w:val="28"/>
        </w:rPr>
        <w:t xml:space="preserve"> formulation, all indications in the evidence are that the child is adequately cared for by his grandparents. This factor clearly pre-occupied the mind of the court when consideration was given to the imposition of a custodial sentence. Being of the view that there were no other sentencing options, the magistrate was fully cognisant of the fact that the interests of the child should not unreasonably permit the avoidance of an appropriate punishment for the appellant.</w:t>
      </w:r>
    </w:p>
    <w:p w14:paraId="2EB542C6" w14:textId="77777777" w:rsidR="00A9314A" w:rsidRPr="00CD6C14" w:rsidRDefault="00A9314A" w:rsidP="00FC37AB">
      <w:pPr>
        <w:pStyle w:val="LegalList1"/>
        <w:spacing w:after="0" w:line="360" w:lineRule="auto"/>
        <w:rPr>
          <w:rFonts w:ascii="Times New Roman" w:hAnsi="Times New Roman"/>
          <w:sz w:val="28"/>
          <w:szCs w:val="28"/>
        </w:rPr>
      </w:pPr>
    </w:p>
    <w:p w14:paraId="225BD26F" w14:textId="6111F679" w:rsidR="00122A4F"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r>
      <w:r w:rsidR="00122A4F" w:rsidRPr="00CD6C14">
        <w:rPr>
          <w:rFonts w:ascii="Times New Roman" w:hAnsi="Times New Roman"/>
          <w:sz w:val="28"/>
          <w:szCs w:val="28"/>
        </w:rPr>
        <w:t xml:space="preserve">The fraud committed by the appellant by misleading unsuspecting members of the public that she was in a position of trust is not anything to be taken lightly. </w:t>
      </w:r>
      <w:r w:rsidR="00C47BAA" w:rsidRPr="00CD6C14">
        <w:rPr>
          <w:rFonts w:ascii="Times New Roman" w:hAnsi="Times New Roman"/>
          <w:sz w:val="28"/>
          <w:szCs w:val="28"/>
        </w:rPr>
        <w:t xml:space="preserve">Sentencing courts </w:t>
      </w:r>
      <w:r w:rsidR="00881260" w:rsidRPr="00CD6C14">
        <w:rPr>
          <w:rFonts w:ascii="Times New Roman" w:hAnsi="Times New Roman"/>
          <w:sz w:val="28"/>
          <w:szCs w:val="28"/>
        </w:rPr>
        <w:t xml:space="preserve">have in </w:t>
      </w:r>
      <w:r w:rsidR="00FA540A" w:rsidRPr="00CD6C14">
        <w:rPr>
          <w:rFonts w:ascii="Times New Roman" w:hAnsi="Times New Roman"/>
          <w:sz w:val="28"/>
          <w:szCs w:val="28"/>
        </w:rPr>
        <w:t>several</w:t>
      </w:r>
      <w:r w:rsidR="00881260" w:rsidRPr="00CD6C14">
        <w:rPr>
          <w:rFonts w:ascii="Times New Roman" w:hAnsi="Times New Roman"/>
          <w:sz w:val="28"/>
          <w:szCs w:val="28"/>
        </w:rPr>
        <w:t xml:space="preserve"> cases taken judicial notice of the disturbing increase</w:t>
      </w:r>
      <w:r w:rsidR="00C47BAA" w:rsidRPr="00CD6C14">
        <w:rPr>
          <w:rFonts w:ascii="Times New Roman" w:hAnsi="Times New Roman"/>
          <w:sz w:val="28"/>
          <w:szCs w:val="28"/>
        </w:rPr>
        <w:t xml:space="preserve"> in the incidence of the type of white-collar crime such as fraud and theft committed by persons in a position of trust. </w:t>
      </w:r>
      <w:r w:rsidR="00F37A75" w:rsidRPr="00CD6C14">
        <w:rPr>
          <w:rFonts w:ascii="Times New Roman" w:hAnsi="Times New Roman"/>
          <w:sz w:val="28"/>
          <w:szCs w:val="28"/>
        </w:rPr>
        <w:t>It can admit of no doubt that these are serious offences.</w:t>
      </w:r>
      <w:r w:rsidR="00F37A75" w:rsidRPr="00CD6C14">
        <w:rPr>
          <w:rStyle w:val="FootnoteReference"/>
          <w:rFonts w:ascii="Times New Roman" w:hAnsi="Times New Roman"/>
          <w:sz w:val="28"/>
          <w:szCs w:val="28"/>
        </w:rPr>
        <w:footnoteReference w:id="27"/>
      </w:r>
      <w:r w:rsidR="00A56CED" w:rsidRPr="00CD6C14">
        <w:rPr>
          <w:rFonts w:ascii="Times New Roman" w:hAnsi="Times New Roman"/>
          <w:sz w:val="28"/>
          <w:szCs w:val="28"/>
        </w:rPr>
        <w:t xml:space="preserve"> The appellant’s </w:t>
      </w:r>
      <w:r w:rsidR="00122A4F" w:rsidRPr="00CD6C14">
        <w:rPr>
          <w:rFonts w:ascii="Times New Roman" w:hAnsi="Times New Roman"/>
          <w:sz w:val="28"/>
          <w:szCs w:val="28"/>
        </w:rPr>
        <w:t xml:space="preserve">previous brush with the law for convictions in February 2012 had not taught her a lesson and society must be </w:t>
      </w:r>
      <w:r w:rsidR="00122A4F" w:rsidRPr="00CD6C14">
        <w:rPr>
          <w:rFonts w:ascii="Times New Roman" w:hAnsi="Times New Roman"/>
          <w:sz w:val="28"/>
          <w:szCs w:val="28"/>
        </w:rPr>
        <w:lastRenderedPageBreak/>
        <w:t xml:space="preserve">assured that persons such as </w:t>
      </w:r>
      <w:r w:rsidR="00A56CED" w:rsidRPr="00CD6C14">
        <w:rPr>
          <w:rFonts w:ascii="Times New Roman" w:hAnsi="Times New Roman"/>
          <w:sz w:val="28"/>
          <w:szCs w:val="28"/>
        </w:rPr>
        <w:t xml:space="preserve">her </w:t>
      </w:r>
      <w:r w:rsidR="00122A4F" w:rsidRPr="00CD6C14">
        <w:rPr>
          <w:rFonts w:ascii="Times New Roman" w:hAnsi="Times New Roman"/>
          <w:sz w:val="28"/>
          <w:szCs w:val="28"/>
        </w:rPr>
        <w:t>will not profit from improper gains and be allowed to walk free.</w:t>
      </w:r>
    </w:p>
    <w:p w14:paraId="514743A9" w14:textId="77777777" w:rsidR="00FC4E5A" w:rsidRPr="00CD6C14" w:rsidRDefault="00FC4E5A" w:rsidP="00FC37AB">
      <w:pPr>
        <w:pStyle w:val="LegalList1"/>
        <w:spacing w:after="0" w:line="360" w:lineRule="auto"/>
        <w:rPr>
          <w:rFonts w:ascii="Times New Roman" w:hAnsi="Times New Roman"/>
          <w:sz w:val="28"/>
          <w:szCs w:val="28"/>
        </w:rPr>
      </w:pPr>
    </w:p>
    <w:p w14:paraId="225BD271" w14:textId="2B73A2ED" w:rsidR="00027E00" w:rsidRPr="00CD6C14" w:rsidRDefault="00295D73"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Conclusion and order</w:t>
      </w:r>
    </w:p>
    <w:p w14:paraId="225BD272" w14:textId="3BA26BE5" w:rsidR="00354EF1"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r>
      <w:r w:rsidR="00354EF1" w:rsidRPr="00CD6C14">
        <w:rPr>
          <w:rFonts w:ascii="Times New Roman" w:hAnsi="Times New Roman"/>
          <w:sz w:val="28"/>
          <w:szCs w:val="28"/>
        </w:rPr>
        <w:t xml:space="preserve">Regard being had to the testimony of the witnesses and the </w:t>
      </w:r>
      <w:r w:rsidR="00FF1CB6" w:rsidRPr="00CD6C14">
        <w:rPr>
          <w:rFonts w:ascii="Times New Roman" w:hAnsi="Times New Roman"/>
          <w:sz w:val="28"/>
          <w:szCs w:val="28"/>
        </w:rPr>
        <w:t xml:space="preserve">gamut </w:t>
      </w:r>
      <w:r w:rsidR="00354EF1" w:rsidRPr="00CD6C14">
        <w:rPr>
          <w:rFonts w:ascii="Times New Roman" w:hAnsi="Times New Roman"/>
          <w:sz w:val="28"/>
          <w:szCs w:val="28"/>
        </w:rPr>
        <w:t xml:space="preserve">of the evidence, the magistrate’s judgment on sentence was delivered </w:t>
      </w:r>
      <w:r w:rsidR="00354EF1" w:rsidRPr="006E79A3">
        <w:rPr>
          <w:rFonts w:ascii="Times New Roman" w:hAnsi="Times New Roman"/>
          <w:i/>
          <w:sz w:val="28"/>
          <w:szCs w:val="28"/>
        </w:rPr>
        <w:t>ex tempore</w:t>
      </w:r>
      <w:r w:rsidR="00354EF1" w:rsidRPr="00CD6C14">
        <w:rPr>
          <w:rFonts w:ascii="Times New Roman" w:hAnsi="Times New Roman"/>
          <w:sz w:val="28"/>
          <w:szCs w:val="28"/>
        </w:rPr>
        <w:t xml:space="preserve">. </w:t>
      </w:r>
      <w:r w:rsidR="008B6464" w:rsidRPr="00CD6C14">
        <w:rPr>
          <w:rFonts w:ascii="Times New Roman" w:hAnsi="Times New Roman"/>
          <w:sz w:val="28"/>
          <w:szCs w:val="28"/>
        </w:rPr>
        <w:t>Ordinarily, t</w:t>
      </w:r>
      <w:r w:rsidR="00354EF1" w:rsidRPr="00CD6C14">
        <w:rPr>
          <w:rFonts w:ascii="Times New Roman" w:hAnsi="Times New Roman"/>
          <w:sz w:val="28"/>
          <w:szCs w:val="28"/>
        </w:rPr>
        <w:t>he degree of emphasis of any relevant factor is a matter of judicial discretion</w:t>
      </w:r>
      <w:r w:rsidR="00354EF1" w:rsidRPr="00CD6C14">
        <w:rPr>
          <w:rStyle w:val="FootnoteReference"/>
          <w:rFonts w:ascii="Times New Roman" w:hAnsi="Times New Roman"/>
          <w:sz w:val="28"/>
          <w:szCs w:val="28"/>
        </w:rPr>
        <w:footnoteReference w:id="28"/>
      </w:r>
      <w:r w:rsidR="00354EF1" w:rsidRPr="00CD6C14">
        <w:rPr>
          <w:rFonts w:ascii="Times New Roman" w:hAnsi="Times New Roman"/>
          <w:sz w:val="28"/>
          <w:szCs w:val="28"/>
        </w:rPr>
        <w:t xml:space="preserve"> and it does not necessarily follow that </w:t>
      </w:r>
      <w:r w:rsidR="00F87512" w:rsidRPr="00CD6C14">
        <w:rPr>
          <w:rFonts w:ascii="Times New Roman" w:hAnsi="Times New Roman"/>
          <w:sz w:val="28"/>
          <w:szCs w:val="28"/>
        </w:rPr>
        <w:t>because something</w:t>
      </w:r>
      <w:r w:rsidR="00354EF1" w:rsidRPr="00CD6C14">
        <w:rPr>
          <w:rFonts w:ascii="Times New Roman" w:hAnsi="Times New Roman"/>
          <w:sz w:val="28"/>
          <w:szCs w:val="28"/>
        </w:rPr>
        <w:t xml:space="preserve"> has not been mentioned </w:t>
      </w:r>
      <w:r w:rsidR="00DB312B" w:rsidRPr="00CD6C14">
        <w:rPr>
          <w:rFonts w:ascii="Times New Roman" w:hAnsi="Times New Roman"/>
          <w:sz w:val="28"/>
          <w:szCs w:val="28"/>
        </w:rPr>
        <w:t xml:space="preserve">it </w:t>
      </w:r>
      <w:r w:rsidR="00354EF1" w:rsidRPr="00CD6C14">
        <w:rPr>
          <w:rFonts w:ascii="Times New Roman" w:hAnsi="Times New Roman"/>
          <w:sz w:val="28"/>
          <w:szCs w:val="28"/>
        </w:rPr>
        <w:t>has not been considered</w:t>
      </w:r>
      <w:r w:rsidR="007E3DB5">
        <w:rPr>
          <w:rFonts w:ascii="Times New Roman" w:hAnsi="Times New Roman"/>
          <w:sz w:val="28"/>
          <w:szCs w:val="28"/>
        </w:rPr>
        <w:t>.</w:t>
      </w:r>
      <w:r w:rsidR="00F87512" w:rsidRPr="00CD6C14">
        <w:rPr>
          <w:rStyle w:val="FootnoteReference"/>
          <w:rFonts w:ascii="Times New Roman" w:hAnsi="Times New Roman"/>
          <w:sz w:val="28"/>
          <w:szCs w:val="28"/>
        </w:rPr>
        <w:footnoteReference w:id="29"/>
      </w:r>
      <w:r w:rsidR="00354EF1" w:rsidRPr="00CD6C14">
        <w:rPr>
          <w:rFonts w:ascii="Times New Roman" w:hAnsi="Times New Roman"/>
          <w:sz w:val="28"/>
          <w:szCs w:val="28"/>
        </w:rPr>
        <w:t xml:space="preserve"> The detail in the judgment indicates throughout that the interests of the minor child were judiciously approache</w:t>
      </w:r>
      <w:r w:rsidR="00A3643C" w:rsidRPr="00CD6C14">
        <w:rPr>
          <w:rFonts w:ascii="Times New Roman" w:hAnsi="Times New Roman"/>
          <w:sz w:val="28"/>
          <w:szCs w:val="28"/>
        </w:rPr>
        <w:t xml:space="preserve">d with care and objectivity and so too were the appellant’s personal circumstances along with factors informing the interests of the community and the gravity of the offences. </w:t>
      </w:r>
      <w:r w:rsidR="00DD27A4" w:rsidRPr="00CD6C14">
        <w:rPr>
          <w:rFonts w:ascii="Times New Roman" w:hAnsi="Times New Roman"/>
          <w:sz w:val="28"/>
          <w:szCs w:val="28"/>
        </w:rPr>
        <w:t>T</w:t>
      </w:r>
      <w:r w:rsidR="0033772D" w:rsidRPr="00CD6C14">
        <w:rPr>
          <w:rFonts w:ascii="Times New Roman" w:hAnsi="Times New Roman"/>
          <w:sz w:val="28"/>
          <w:szCs w:val="28"/>
        </w:rPr>
        <w:t>he measure of leniency extended to the appellant is underpinned by the suspended component of the sentence which in our view g</w:t>
      </w:r>
      <w:r w:rsidR="008B6464" w:rsidRPr="00CD6C14">
        <w:rPr>
          <w:rFonts w:ascii="Times New Roman" w:hAnsi="Times New Roman"/>
          <w:sz w:val="28"/>
          <w:szCs w:val="28"/>
        </w:rPr>
        <w:t>ives</w:t>
      </w:r>
      <w:r w:rsidR="0033772D" w:rsidRPr="00CD6C14">
        <w:rPr>
          <w:rFonts w:ascii="Times New Roman" w:hAnsi="Times New Roman"/>
          <w:sz w:val="28"/>
          <w:szCs w:val="28"/>
        </w:rPr>
        <w:t xml:space="preserve"> adequate recognition to each of these considerations.</w:t>
      </w:r>
      <w:r w:rsidR="00706372" w:rsidRPr="00CD6C14">
        <w:rPr>
          <w:rFonts w:ascii="Times New Roman" w:hAnsi="Times New Roman"/>
          <w:sz w:val="28"/>
          <w:szCs w:val="28"/>
        </w:rPr>
        <w:t xml:space="preserve"> The effective sentence ensures that the appellant does not allow her child to be used as an excuse for escaping the consequences of her unlawful conduct.</w:t>
      </w:r>
      <w:r w:rsidR="0033772D" w:rsidRPr="00CD6C14">
        <w:rPr>
          <w:rFonts w:ascii="Times New Roman" w:hAnsi="Times New Roman"/>
          <w:sz w:val="28"/>
          <w:szCs w:val="28"/>
        </w:rPr>
        <w:t xml:space="preserve"> </w:t>
      </w:r>
      <w:r w:rsidR="00354EF1" w:rsidRPr="00CD6C14">
        <w:rPr>
          <w:rFonts w:ascii="Times New Roman" w:hAnsi="Times New Roman"/>
          <w:sz w:val="28"/>
          <w:szCs w:val="28"/>
        </w:rPr>
        <w:t xml:space="preserve">In </w:t>
      </w:r>
      <w:r w:rsidR="00DD27A4" w:rsidRPr="00CD6C14">
        <w:rPr>
          <w:rFonts w:ascii="Times New Roman" w:hAnsi="Times New Roman"/>
          <w:sz w:val="28"/>
          <w:szCs w:val="28"/>
        </w:rPr>
        <w:t xml:space="preserve">the result, </w:t>
      </w:r>
      <w:r w:rsidR="00354EF1" w:rsidRPr="00CD6C14">
        <w:rPr>
          <w:rFonts w:ascii="Times New Roman" w:hAnsi="Times New Roman"/>
          <w:sz w:val="28"/>
          <w:szCs w:val="28"/>
        </w:rPr>
        <w:t xml:space="preserve">there was no misdirection </w:t>
      </w:r>
      <w:r w:rsidR="00876364" w:rsidRPr="00CD6C14">
        <w:rPr>
          <w:rFonts w:ascii="Times New Roman" w:hAnsi="Times New Roman"/>
          <w:sz w:val="28"/>
          <w:szCs w:val="28"/>
        </w:rPr>
        <w:t xml:space="preserve">by </w:t>
      </w:r>
      <w:r w:rsidR="00354EF1" w:rsidRPr="00CD6C14">
        <w:rPr>
          <w:rFonts w:ascii="Times New Roman" w:hAnsi="Times New Roman"/>
          <w:sz w:val="28"/>
          <w:szCs w:val="28"/>
        </w:rPr>
        <w:t>the sentencing court</w:t>
      </w:r>
      <w:r w:rsidR="001F4F0B" w:rsidRPr="00CD6C14">
        <w:rPr>
          <w:rFonts w:ascii="Times New Roman" w:hAnsi="Times New Roman"/>
          <w:sz w:val="28"/>
          <w:szCs w:val="28"/>
        </w:rPr>
        <w:t xml:space="preserve"> in its factual findings</w:t>
      </w:r>
      <w:r w:rsidR="00354EF1" w:rsidRPr="00CD6C14">
        <w:rPr>
          <w:rFonts w:ascii="Times New Roman" w:hAnsi="Times New Roman"/>
          <w:sz w:val="28"/>
          <w:szCs w:val="28"/>
        </w:rPr>
        <w:t xml:space="preserve">, nor any misdirection in determining the length of the sentence – the consequence </w:t>
      </w:r>
      <w:r w:rsidR="008153EF">
        <w:rPr>
          <w:rFonts w:ascii="Times New Roman" w:hAnsi="Times New Roman"/>
          <w:sz w:val="28"/>
          <w:szCs w:val="28"/>
        </w:rPr>
        <w:t>in either instance</w:t>
      </w:r>
      <w:r w:rsidR="00354EF1" w:rsidRPr="00CD6C14">
        <w:rPr>
          <w:rFonts w:ascii="Times New Roman" w:hAnsi="Times New Roman"/>
          <w:sz w:val="28"/>
          <w:szCs w:val="28"/>
        </w:rPr>
        <w:t xml:space="preserve"> does not necessitate interference on appeal.</w:t>
      </w:r>
    </w:p>
    <w:p w14:paraId="71B4DF47" w14:textId="77777777" w:rsidR="004B3647" w:rsidRPr="00CD6C14" w:rsidRDefault="004B3647" w:rsidP="00FC37AB">
      <w:pPr>
        <w:pStyle w:val="LegalList1"/>
        <w:spacing w:after="0" w:line="360" w:lineRule="auto"/>
        <w:rPr>
          <w:rFonts w:ascii="Times New Roman" w:hAnsi="Times New Roman"/>
          <w:sz w:val="28"/>
          <w:szCs w:val="28"/>
        </w:rPr>
      </w:pPr>
    </w:p>
    <w:p w14:paraId="225BD273" w14:textId="55A1CF81" w:rsidR="008B6464" w:rsidRDefault="009C0671" w:rsidP="009C0671">
      <w:pPr>
        <w:pStyle w:val="LegalList1"/>
        <w:spacing w:after="0" w:line="360" w:lineRule="auto"/>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A56CED" w:rsidRPr="00CD6C14">
        <w:rPr>
          <w:rFonts w:ascii="Times New Roman" w:hAnsi="Times New Roman"/>
          <w:sz w:val="28"/>
          <w:szCs w:val="28"/>
        </w:rPr>
        <w:t>This case, without question, involved highly competitive interests.</w:t>
      </w:r>
      <w:r w:rsidR="00C2131F" w:rsidRPr="00CD6C14">
        <w:rPr>
          <w:rStyle w:val="FootnoteReference"/>
          <w:rFonts w:ascii="Times New Roman" w:hAnsi="Times New Roman"/>
          <w:sz w:val="28"/>
          <w:szCs w:val="28"/>
        </w:rPr>
        <w:footnoteReference w:id="30"/>
      </w:r>
      <w:r w:rsidR="00A56CED" w:rsidRPr="00CD6C14">
        <w:rPr>
          <w:rFonts w:ascii="Times New Roman" w:hAnsi="Times New Roman"/>
          <w:sz w:val="28"/>
          <w:szCs w:val="28"/>
        </w:rPr>
        <w:t xml:space="preserve"> </w:t>
      </w:r>
      <w:r w:rsidR="00EF6CE1" w:rsidRPr="00CD6C14">
        <w:rPr>
          <w:rFonts w:ascii="Times New Roman" w:hAnsi="Times New Roman"/>
          <w:sz w:val="28"/>
          <w:szCs w:val="28"/>
        </w:rPr>
        <w:t xml:space="preserve">In recognition of Mr and Mrs Swanepoel’s advanced ages and </w:t>
      </w:r>
      <w:r w:rsidR="003229DA" w:rsidRPr="00CD6C14">
        <w:rPr>
          <w:rFonts w:ascii="Times New Roman" w:hAnsi="Times New Roman"/>
          <w:sz w:val="28"/>
          <w:szCs w:val="28"/>
        </w:rPr>
        <w:t>t</w:t>
      </w:r>
      <w:r w:rsidR="007A51EA" w:rsidRPr="00CD6C14">
        <w:rPr>
          <w:rFonts w:ascii="Times New Roman" w:hAnsi="Times New Roman"/>
          <w:sz w:val="28"/>
          <w:szCs w:val="28"/>
        </w:rPr>
        <w:t xml:space="preserve">o moderate any negative impact </w:t>
      </w:r>
      <w:r w:rsidR="00673684" w:rsidRPr="00CD6C14">
        <w:rPr>
          <w:rFonts w:ascii="Times New Roman" w:hAnsi="Times New Roman"/>
          <w:sz w:val="28"/>
          <w:szCs w:val="28"/>
        </w:rPr>
        <w:t xml:space="preserve">or hardship </w:t>
      </w:r>
      <w:r w:rsidR="007A51EA" w:rsidRPr="00CD6C14">
        <w:rPr>
          <w:rFonts w:ascii="Times New Roman" w:hAnsi="Times New Roman"/>
          <w:sz w:val="28"/>
          <w:szCs w:val="28"/>
        </w:rPr>
        <w:t>on the minor child as much as possible</w:t>
      </w:r>
      <w:r w:rsidR="003229DA" w:rsidRPr="00CD6C14">
        <w:rPr>
          <w:rFonts w:ascii="Times New Roman" w:hAnsi="Times New Roman"/>
          <w:sz w:val="28"/>
          <w:szCs w:val="28"/>
        </w:rPr>
        <w:t xml:space="preserve"> during the appellant’s incarceration</w:t>
      </w:r>
      <w:r w:rsidR="00DA1C46">
        <w:rPr>
          <w:rFonts w:ascii="Times New Roman" w:hAnsi="Times New Roman"/>
          <w:sz w:val="28"/>
          <w:szCs w:val="28"/>
        </w:rPr>
        <w:t>,</w:t>
      </w:r>
      <w:r w:rsidR="007A51EA" w:rsidRPr="00CD6C14">
        <w:rPr>
          <w:rFonts w:ascii="Times New Roman" w:hAnsi="Times New Roman"/>
          <w:sz w:val="28"/>
          <w:szCs w:val="28"/>
        </w:rPr>
        <w:t xml:space="preserve"> this Court may permissibly resort to its inherent jurisdiction as upper guardian</w:t>
      </w:r>
      <w:r w:rsidR="007C52C7" w:rsidRPr="00CD6C14">
        <w:rPr>
          <w:rFonts w:ascii="Times New Roman" w:hAnsi="Times New Roman"/>
          <w:sz w:val="28"/>
          <w:szCs w:val="28"/>
        </w:rPr>
        <w:t xml:space="preserve"> to fulfil that duty through an appropriate order.</w:t>
      </w:r>
      <w:r w:rsidR="007C52C7" w:rsidRPr="00CD6C14">
        <w:rPr>
          <w:rStyle w:val="FootnoteReference"/>
          <w:rFonts w:ascii="Times New Roman" w:hAnsi="Times New Roman"/>
          <w:sz w:val="28"/>
          <w:szCs w:val="28"/>
        </w:rPr>
        <w:footnoteReference w:id="31"/>
      </w:r>
      <w:r w:rsidR="007A51EA" w:rsidRPr="00CD6C14">
        <w:rPr>
          <w:rFonts w:ascii="Times New Roman" w:hAnsi="Times New Roman"/>
          <w:sz w:val="28"/>
          <w:szCs w:val="28"/>
        </w:rPr>
        <w:t xml:space="preserve"> </w:t>
      </w:r>
      <w:r w:rsidR="00023B8B" w:rsidRPr="00CD6C14">
        <w:rPr>
          <w:rFonts w:ascii="Times New Roman" w:hAnsi="Times New Roman"/>
          <w:sz w:val="28"/>
          <w:szCs w:val="28"/>
        </w:rPr>
        <w:t>I</w:t>
      </w:r>
      <w:r w:rsidR="003229DA" w:rsidRPr="00CD6C14">
        <w:rPr>
          <w:rFonts w:ascii="Times New Roman" w:hAnsi="Times New Roman"/>
          <w:sz w:val="28"/>
          <w:szCs w:val="28"/>
        </w:rPr>
        <w:t xml:space="preserve">t </w:t>
      </w:r>
      <w:r w:rsidR="003229DA" w:rsidRPr="00CD6C14">
        <w:rPr>
          <w:rFonts w:ascii="Times New Roman" w:hAnsi="Times New Roman"/>
          <w:sz w:val="28"/>
          <w:szCs w:val="28"/>
        </w:rPr>
        <w:lastRenderedPageBreak/>
        <w:t>is considered pragmatic</w:t>
      </w:r>
      <w:r w:rsidR="00031EB0" w:rsidRPr="00CD6C14">
        <w:rPr>
          <w:rFonts w:ascii="Times New Roman" w:hAnsi="Times New Roman"/>
          <w:sz w:val="28"/>
          <w:szCs w:val="28"/>
        </w:rPr>
        <w:t xml:space="preserve">, as was done by Cameron J in </w:t>
      </w:r>
      <w:r w:rsidR="00031EB0" w:rsidRPr="00CD6C14">
        <w:rPr>
          <w:rFonts w:ascii="Times New Roman" w:hAnsi="Times New Roman"/>
          <w:i/>
          <w:sz w:val="28"/>
          <w:szCs w:val="28"/>
        </w:rPr>
        <w:t>MS v S</w:t>
      </w:r>
      <w:r w:rsidR="00C31183">
        <w:rPr>
          <w:rFonts w:ascii="Times New Roman" w:hAnsi="Times New Roman"/>
          <w:iCs/>
          <w:sz w:val="28"/>
          <w:szCs w:val="28"/>
        </w:rPr>
        <w:t>,</w:t>
      </w:r>
      <w:r w:rsidR="00031EB0" w:rsidRPr="00FC37AB">
        <w:rPr>
          <w:rStyle w:val="FootnoteReference"/>
          <w:rFonts w:ascii="Times New Roman" w:hAnsi="Times New Roman"/>
          <w:iCs/>
          <w:sz w:val="28"/>
          <w:szCs w:val="28"/>
        </w:rPr>
        <w:footnoteReference w:id="32"/>
      </w:r>
      <w:r w:rsidR="00031EB0" w:rsidRPr="00CD6C14">
        <w:rPr>
          <w:rFonts w:ascii="Times New Roman" w:hAnsi="Times New Roman"/>
          <w:sz w:val="28"/>
          <w:szCs w:val="28"/>
        </w:rPr>
        <w:t xml:space="preserve"> </w:t>
      </w:r>
      <w:r w:rsidR="008B6464" w:rsidRPr="00CD6C14">
        <w:rPr>
          <w:rFonts w:ascii="Times New Roman" w:hAnsi="Times New Roman"/>
          <w:sz w:val="28"/>
          <w:szCs w:val="28"/>
        </w:rPr>
        <w:t>to order the Department of Correctional Services to ensure visitation by a social worker and that he or she provides the department with reports on the child’s well-being during his mother’s absence.</w:t>
      </w:r>
    </w:p>
    <w:p w14:paraId="64B43CFF" w14:textId="77777777" w:rsidR="0083510F" w:rsidRPr="00CD6C14" w:rsidRDefault="0083510F" w:rsidP="00FC37AB">
      <w:pPr>
        <w:pStyle w:val="LegalList1"/>
        <w:spacing w:after="0" w:line="360" w:lineRule="auto"/>
        <w:rPr>
          <w:rFonts w:ascii="Times New Roman" w:hAnsi="Times New Roman"/>
          <w:sz w:val="28"/>
          <w:szCs w:val="28"/>
        </w:rPr>
      </w:pPr>
    </w:p>
    <w:p w14:paraId="225BD274" w14:textId="357E9CB7" w:rsidR="00B800F5" w:rsidRPr="00FC37AB" w:rsidRDefault="009C0671" w:rsidP="009C0671">
      <w:pPr>
        <w:pStyle w:val="LegalList1"/>
        <w:spacing w:after="0" w:line="360" w:lineRule="auto"/>
        <w:rPr>
          <w:rFonts w:ascii="Times New Roman" w:hAnsi="Times New Roman"/>
          <w:sz w:val="28"/>
          <w:szCs w:val="28"/>
        </w:rPr>
      </w:pPr>
      <w:r w:rsidRPr="00FC37AB">
        <w:rPr>
          <w:rFonts w:ascii="Times New Roman" w:hAnsi="Times New Roman"/>
          <w:sz w:val="28"/>
          <w:szCs w:val="28"/>
        </w:rPr>
        <w:t>[62]</w:t>
      </w:r>
      <w:r w:rsidRPr="00FC37AB">
        <w:rPr>
          <w:rFonts w:ascii="Times New Roman" w:hAnsi="Times New Roman"/>
          <w:sz w:val="28"/>
          <w:szCs w:val="28"/>
        </w:rPr>
        <w:tab/>
      </w:r>
      <w:r w:rsidR="00451F1B" w:rsidRPr="00CD6C14">
        <w:rPr>
          <w:rFonts w:ascii="Times New Roman" w:hAnsi="Times New Roman"/>
          <w:color w:val="000000"/>
          <w:sz w:val="28"/>
          <w:szCs w:val="28"/>
        </w:rPr>
        <w:t>For the above reasons the appeal must fail.</w:t>
      </w:r>
    </w:p>
    <w:p w14:paraId="46A67686" w14:textId="77777777" w:rsidR="00CE7CCD" w:rsidRPr="00CD6C14" w:rsidRDefault="00CE7CCD" w:rsidP="00FC37AB">
      <w:pPr>
        <w:pStyle w:val="LegalList1"/>
        <w:spacing w:after="0" w:line="360" w:lineRule="auto"/>
        <w:ind w:left="851"/>
        <w:rPr>
          <w:rFonts w:ascii="Times New Roman" w:hAnsi="Times New Roman"/>
          <w:sz w:val="28"/>
          <w:szCs w:val="28"/>
        </w:rPr>
      </w:pPr>
    </w:p>
    <w:p w14:paraId="225BD275" w14:textId="4EDDFEA3" w:rsidR="00451F1B" w:rsidRPr="00CD6C14" w:rsidRDefault="009C0671" w:rsidP="009C0671">
      <w:pPr>
        <w:pStyle w:val="LegalList1"/>
        <w:spacing w:after="0" w:line="360" w:lineRule="auto"/>
        <w:rPr>
          <w:rFonts w:ascii="Times New Roman" w:hAnsi="Times New Roman"/>
          <w:sz w:val="28"/>
          <w:szCs w:val="28"/>
        </w:rPr>
      </w:pPr>
      <w:r w:rsidRPr="00CD6C14">
        <w:rPr>
          <w:rFonts w:ascii="Times New Roman" w:hAnsi="Times New Roman"/>
          <w:sz w:val="28"/>
          <w:szCs w:val="28"/>
        </w:rPr>
        <w:t>[63]</w:t>
      </w:r>
      <w:r w:rsidRPr="00CD6C14">
        <w:rPr>
          <w:rFonts w:ascii="Times New Roman" w:hAnsi="Times New Roman"/>
          <w:sz w:val="28"/>
          <w:szCs w:val="28"/>
        </w:rPr>
        <w:tab/>
      </w:r>
      <w:r w:rsidR="00451F1B" w:rsidRPr="00CD6C14">
        <w:rPr>
          <w:rFonts w:ascii="Times New Roman" w:hAnsi="Times New Roman"/>
          <w:color w:val="000000"/>
          <w:sz w:val="28"/>
          <w:szCs w:val="28"/>
        </w:rPr>
        <w:t>The following order is made:</w:t>
      </w:r>
    </w:p>
    <w:p w14:paraId="225BD276" w14:textId="4D519C17" w:rsidR="00451F1B" w:rsidRPr="00CD6C14" w:rsidRDefault="009C0671" w:rsidP="009C0671">
      <w:pPr>
        <w:pStyle w:val="LegalList1"/>
        <w:spacing w:after="0" w:line="360" w:lineRule="auto"/>
        <w:ind w:firstLine="851"/>
        <w:rPr>
          <w:rFonts w:ascii="Times New Roman" w:hAnsi="Times New Roman"/>
          <w:sz w:val="28"/>
          <w:szCs w:val="28"/>
        </w:rPr>
      </w:pPr>
      <w:r w:rsidRPr="00CD6C14">
        <w:rPr>
          <w:rFonts w:ascii="Times New Roman" w:hAnsi="Times New Roman"/>
          <w:sz w:val="28"/>
          <w:szCs w:val="28"/>
        </w:rPr>
        <w:t>1.</w:t>
      </w:r>
      <w:r w:rsidRPr="00CD6C14">
        <w:rPr>
          <w:rFonts w:ascii="Times New Roman" w:hAnsi="Times New Roman"/>
          <w:sz w:val="28"/>
          <w:szCs w:val="28"/>
        </w:rPr>
        <w:tab/>
      </w:r>
      <w:r w:rsidR="008153EF">
        <w:rPr>
          <w:rFonts w:ascii="Times New Roman" w:hAnsi="Times New Roman"/>
          <w:sz w:val="28"/>
          <w:szCs w:val="28"/>
        </w:rPr>
        <w:t xml:space="preserve">  </w:t>
      </w:r>
      <w:r w:rsidR="00451F1B" w:rsidRPr="00CD6C14">
        <w:rPr>
          <w:rFonts w:ascii="Times New Roman" w:hAnsi="Times New Roman"/>
          <w:sz w:val="28"/>
          <w:szCs w:val="28"/>
        </w:rPr>
        <w:t>The appeal against sentence is dismissed.</w:t>
      </w:r>
    </w:p>
    <w:p w14:paraId="225BD277" w14:textId="3AB1AD49" w:rsidR="00100EAE" w:rsidRPr="00CD6C14" w:rsidRDefault="009C0671" w:rsidP="009C0671">
      <w:pPr>
        <w:pStyle w:val="LegalList1"/>
        <w:spacing w:after="0" w:line="360" w:lineRule="auto"/>
        <w:ind w:left="1571" w:hanging="720"/>
        <w:rPr>
          <w:rFonts w:ascii="Times New Roman" w:hAnsi="Times New Roman"/>
          <w:sz w:val="28"/>
          <w:szCs w:val="28"/>
        </w:rPr>
      </w:pPr>
      <w:r w:rsidRPr="00CD6C14">
        <w:rPr>
          <w:rFonts w:ascii="Times New Roman" w:hAnsi="Times New Roman"/>
          <w:sz w:val="28"/>
          <w:szCs w:val="28"/>
        </w:rPr>
        <w:t>2.</w:t>
      </w:r>
      <w:r w:rsidRPr="00CD6C14">
        <w:rPr>
          <w:rFonts w:ascii="Times New Roman" w:hAnsi="Times New Roman"/>
          <w:sz w:val="28"/>
          <w:szCs w:val="28"/>
        </w:rPr>
        <w:tab/>
      </w:r>
      <w:r w:rsidR="00EF79A8" w:rsidRPr="00CD6C14">
        <w:rPr>
          <w:rFonts w:ascii="Times New Roman" w:hAnsi="Times New Roman"/>
          <w:sz w:val="28"/>
          <w:szCs w:val="28"/>
        </w:rPr>
        <w:t>The National Commissioner for Correctional Services is directed to ensure that a social worker in the employ of the Department of Correctional Services visits</w:t>
      </w:r>
      <w:r w:rsidR="00C44A8F" w:rsidRPr="00CD6C14">
        <w:rPr>
          <w:rFonts w:ascii="Times New Roman" w:hAnsi="Times New Roman"/>
          <w:sz w:val="28"/>
          <w:szCs w:val="28"/>
        </w:rPr>
        <w:t xml:space="preserve"> the child of the appellant at least once every two months during her incarceration and submits a report to the office of the National Commissioner as to whether the child is in need of care and protection</w:t>
      </w:r>
      <w:r w:rsidR="00DE49C0" w:rsidRPr="00CD6C14">
        <w:rPr>
          <w:rFonts w:ascii="Times New Roman" w:hAnsi="Times New Roman"/>
          <w:sz w:val="28"/>
          <w:szCs w:val="28"/>
        </w:rPr>
        <w:t xml:space="preserve"> as envisaged in section 150 of the Children’s Act 38 of 2005 and, if so</w:t>
      </w:r>
      <w:r w:rsidR="00F64B9E" w:rsidRPr="00CD6C14">
        <w:rPr>
          <w:rFonts w:ascii="Times New Roman" w:hAnsi="Times New Roman"/>
          <w:sz w:val="28"/>
          <w:szCs w:val="28"/>
        </w:rPr>
        <w:t>,</w:t>
      </w:r>
      <w:r w:rsidR="00DE49C0" w:rsidRPr="00CD6C14">
        <w:rPr>
          <w:rFonts w:ascii="Times New Roman" w:hAnsi="Times New Roman"/>
          <w:sz w:val="28"/>
          <w:szCs w:val="28"/>
        </w:rPr>
        <w:t xml:space="preserve"> to take the steps required by that provision.</w:t>
      </w:r>
    </w:p>
    <w:p w14:paraId="225BD278" w14:textId="77777777" w:rsidR="00F97C22" w:rsidRPr="00FC37AB" w:rsidRDefault="00F97C22" w:rsidP="00FC37AB">
      <w:pPr>
        <w:spacing w:line="360" w:lineRule="auto"/>
        <w:jc w:val="both"/>
        <w:rPr>
          <w:rFonts w:ascii="Times New Roman" w:hAnsi="Times New Roman" w:cs="Times New Roman"/>
          <w:sz w:val="28"/>
          <w:szCs w:val="28"/>
        </w:rPr>
      </w:pPr>
    </w:p>
    <w:p w14:paraId="225BD279" w14:textId="77777777" w:rsidR="00127E0C" w:rsidRPr="00CD6C14" w:rsidRDefault="00127E0C" w:rsidP="00FC37AB">
      <w:pPr>
        <w:pStyle w:val="LegalList1"/>
        <w:spacing w:after="0" w:line="360" w:lineRule="auto"/>
        <w:ind w:left="851"/>
        <w:rPr>
          <w:rFonts w:ascii="Times New Roman" w:hAnsi="Times New Roman"/>
          <w:sz w:val="28"/>
          <w:szCs w:val="28"/>
        </w:rPr>
      </w:pPr>
    </w:p>
    <w:p w14:paraId="225BD27A" w14:textId="77777777" w:rsidR="00027E00" w:rsidRDefault="00027E00" w:rsidP="00FC37AB">
      <w:pPr>
        <w:pStyle w:val="LegalList1"/>
        <w:spacing w:after="0" w:line="360" w:lineRule="auto"/>
        <w:ind w:left="851"/>
        <w:rPr>
          <w:rFonts w:ascii="Times New Roman" w:hAnsi="Times New Roman"/>
          <w:sz w:val="28"/>
          <w:szCs w:val="28"/>
        </w:rPr>
      </w:pPr>
    </w:p>
    <w:p w14:paraId="75CAF49E" w14:textId="77777777" w:rsidR="00E6670E" w:rsidRDefault="00E6670E" w:rsidP="00FC37AB">
      <w:pPr>
        <w:pStyle w:val="LegalList1"/>
        <w:spacing w:after="0" w:line="360" w:lineRule="auto"/>
        <w:ind w:left="851"/>
        <w:rPr>
          <w:rFonts w:ascii="Times New Roman" w:hAnsi="Times New Roman"/>
          <w:sz w:val="28"/>
          <w:szCs w:val="28"/>
        </w:rPr>
      </w:pPr>
    </w:p>
    <w:p w14:paraId="06174C49" w14:textId="77777777" w:rsidR="00E6670E" w:rsidRDefault="00E6670E" w:rsidP="00FC37AB">
      <w:pPr>
        <w:pStyle w:val="LegalList1"/>
        <w:spacing w:after="0" w:line="360" w:lineRule="auto"/>
        <w:ind w:left="851"/>
        <w:rPr>
          <w:rFonts w:ascii="Times New Roman" w:hAnsi="Times New Roman"/>
          <w:sz w:val="28"/>
          <w:szCs w:val="28"/>
        </w:rPr>
      </w:pPr>
    </w:p>
    <w:p w14:paraId="46D63BCD" w14:textId="77777777" w:rsidR="00E6670E" w:rsidRPr="00CD6C14" w:rsidRDefault="00E6670E" w:rsidP="00FC37AB">
      <w:pPr>
        <w:pStyle w:val="LegalList1"/>
        <w:spacing w:after="0" w:line="360" w:lineRule="auto"/>
        <w:ind w:left="851"/>
        <w:rPr>
          <w:rFonts w:ascii="Times New Roman" w:hAnsi="Times New Roman"/>
          <w:sz w:val="28"/>
          <w:szCs w:val="28"/>
        </w:rPr>
      </w:pPr>
    </w:p>
    <w:p w14:paraId="225BD27B" w14:textId="77777777" w:rsidR="00267004" w:rsidRPr="00CD6C14" w:rsidRDefault="00267004" w:rsidP="00FC37AB">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225BD27C" w14:textId="77777777" w:rsidR="00267004" w:rsidRPr="00CD6C14" w:rsidRDefault="00267004"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M</w:t>
      </w:r>
      <w:r w:rsidR="002C7D16" w:rsidRPr="00CD6C14">
        <w:rPr>
          <w:rFonts w:ascii="Times New Roman" w:hAnsi="Times New Roman"/>
          <w:b/>
          <w:sz w:val="28"/>
          <w:szCs w:val="28"/>
        </w:rPr>
        <w:t xml:space="preserve"> S </w:t>
      </w:r>
      <w:r w:rsidRPr="00CD6C14">
        <w:rPr>
          <w:rFonts w:ascii="Times New Roman" w:hAnsi="Times New Roman"/>
          <w:b/>
          <w:sz w:val="28"/>
          <w:szCs w:val="28"/>
        </w:rPr>
        <w:t>RUGUNANAN</w:t>
      </w:r>
    </w:p>
    <w:p w14:paraId="225BD27D" w14:textId="77777777" w:rsidR="00267004" w:rsidRDefault="00267004" w:rsidP="00476B6B">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3BC56523" w14:textId="77777777" w:rsidR="00476B6B" w:rsidRPr="00CD6C14" w:rsidRDefault="00476B6B" w:rsidP="00FC37AB">
      <w:pPr>
        <w:pStyle w:val="LegalList1"/>
        <w:spacing w:after="0" w:line="360" w:lineRule="auto"/>
        <w:rPr>
          <w:rFonts w:ascii="Times New Roman" w:hAnsi="Times New Roman"/>
          <w:b/>
          <w:sz w:val="28"/>
          <w:szCs w:val="28"/>
        </w:rPr>
      </w:pPr>
    </w:p>
    <w:p w14:paraId="14D7283B" w14:textId="77777777" w:rsidR="00E6670E" w:rsidRDefault="00E6670E" w:rsidP="00FC37AB">
      <w:pPr>
        <w:pStyle w:val="LegalList1"/>
        <w:spacing w:after="0" w:line="360" w:lineRule="auto"/>
        <w:rPr>
          <w:rFonts w:ascii="Times New Roman" w:hAnsi="Times New Roman"/>
          <w:sz w:val="28"/>
          <w:szCs w:val="28"/>
        </w:rPr>
      </w:pPr>
    </w:p>
    <w:p w14:paraId="225BD27E" w14:textId="77777777" w:rsidR="00267004" w:rsidRPr="00CD6C14" w:rsidRDefault="00267004" w:rsidP="00FC37AB">
      <w:pPr>
        <w:pStyle w:val="LegalList1"/>
        <w:spacing w:after="0" w:line="360" w:lineRule="auto"/>
        <w:rPr>
          <w:rFonts w:ascii="Times New Roman" w:hAnsi="Times New Roman"/>
          <w:sz w:val="28"/>
          <w:szCs w:val="28"/>
        </w:rPr>
      </w:pPr>
      <w:r w:rsidRPr="00CD6C14">
        <w:rPr>
          <w:rFonts w:ascii="Times New Roman" w:hAnsi="Times New Roman"/>
          <w:sz w:val="28"/>
          <w:szCs w:val="28"/>
        </w:rPr>
        <w:t>I agree.</w:t>
      </w:r>
    </w:p>
    <w:p w14:paraId="225BD27F" w14:textId="77777777" w:rsidR="00267004" w:rsidRDefault="00267004" w:rsidP="00FC37AB">
      <w:pPr>
        <w:pStyle w:val="LegalList1"/>
        <w:spacing w:after="0" w:line="360" w:lineRule="auto"/>
        <w:ind w:left="851"/>
        <w:rPr>
          <w:rFonts w:ascii="Times New Roman" w:hAnsi="Times New Roman"/>
          <w:sz w:val="28"/>
          <w:szCs w:val="28"/>
        </w:rPr>
      </w:pPr>
    </w:p>
    <w:p w14:paraId="23C0F28E" w14:textId="77777777" w:rsidR="00E6670E" w:rsidRDefault="00E6670E" w:rsidP="00FC37AB">
      <w:pPr>
        <w:pStyle w:val="LegalList1"/>
        <w:spacing w:after="0" w:line="360" w:lineRule="auto"/>
        <w:ind w:left="851"/>
        <w:rPr>
          <w:rFonts w:ascii="Times New Roman" w:hAnsi="Times New Roman"/>
          <w:sz w:val="28"/>
          <w:szCs w:val="28"/>
        </w:rPr>
      </w:pPr>
    </w:p>
    <w:p w14:paraId="3C25E536" w14:textId="77777777" w:rsidR="00E6670E" w:rsidRDefault="00E6670E" w:rsidP="00FC37AB">
      <w:pPr>
        <w:pStyle w:val="LegalList1"/>
        <w:spacing w:after="0" w:line="360" w:lineRule="auto"/>
        <w:ind w:left="851"/>
        <w:rPr>
          <w:rFonts w:ascii="Times New Roman" w:hAnsi="Times New Roman"/>
          <w:sz w:val="28"/>
          <w:szCs w:val="28"/>
        </w:rPr>
      </w:pPr>
    </w:p>
    <w:p w14:paraId="3382749D" w14:textId="77777777" w:rsidR="00D57314" w:rsidRPr="00CD6C14" w:rsidRDefault="00D57314" w:rsidP="00FC37AB">
      <w:pPr>
        <w:pStyle w:val="LegalList1"/>
        <w:spacing w:after="0" w:line="360" w:lineRule="auto"/>
        <w:ind w:left="851"/>
        <w:rPr>
          <w:rFonts w:ascii="Times New Roman" w:hAnsi="Times New Roman"/>
          <w:sz w:val="28"/>
          <w:szCs w:val="28"/>
        </w:rPr>
      </w:pPr>
    </w:p>
    <w:p w14:paraId="225BD281" w14:textId="77777777" w:rsidR="00267004" w:rsidRPr="00CD6C14" w:rsidRDefault="00267004" w:rsidP="00FC37AB">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225BD282" w14:textId="77777777" w:rsidR="00267004" w:rsidRPr="00CD6C14" w:rsidRDefault="002C7D16" w:rsidP="00FC37AB">
      <w:pPr>
        <w:pStyle w:val="LegalList1"/>
        <w:spacing w:after="0" w:line="360" w:lineRule="auto"/>
        <w:rPr>
          <w:rFonts w:ascii="Times New Roman" w:hAnsi="Times New Roman"/>
          <w:b/>
          <w:sz w:val="28"/>
          <w:szCs w:val="28"/>
        </w:rPr>
      </w:pPr>
      <w:r w:rsidRPr="00CD6C14">
        <w:rPr>
          <w:rFonts w:ascii="Times New Roman" w:hAnsi="Times New Roman"/>
          <w:b/>
          <w:sz w:val="28"/>
          <w:szCs w:val="28"/>
        </w:rPr>
        <w:t>M J LOWE</w:t>
      </w:r>
    </w:p>
    <w:p w14:paraId="225BD283" w14:textId="379F17AB" w:rsidR="00476B6B" w:rsidRDefault="00267004" w:rsidP="00476B6B">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6D5BCA51" w14:textId="77777777" w:rsidR="00476B6B" w:rsidRDefault="00476B6B">
      <w:pPr>
        <w:spacing w:after="160" w:line="259" w:lineRule="auto"/>
        <w:rPr>
          <w:rFonts w:ascii="Times New Roman" w:eastAsia="Times New Roman" w:hAnsi="Times New Roman" w:cs="Times New Roman"/>
          <w:b/>
          <w:sz w:val="28"/>
          <w:szCs w:val="28"/>
          <w:lang w:val="en-GB" w:eastAsia="en-GB"/>
        </w:rPr>
      </w:pPr>
      <w:r>
        <w:rPr>
          <w:rFonts w:ascii="Times New Roman" w:hAnsi="Times New Roman"/>
          <w:b/>
          <w:sz w:val="28"/>
          <w:szCs w:val="28"/>
        </w:rPr>
        <w:br w:type="page"/>
      </w:r>
    </w:p>
    <w:p w14:paraId="225BD284" w14:textId="1DACC6A5" w:rsidR="00267004" w:rsidRDefault="00267004" w:rsidP="00476B6B">
      <w:pPr>
        <w:pStyle w:val="LegalList1"/>
        <w:spacing w:after="0" w:line="360" w:lineRule="auto"/>
        <w:rPr>
          <w:rFonts w:ascii="Times New Roman" w:hAnsi="Times New Roman"/>
          <w:sz w:val="28"/>
          <w:szCs w:val="28"/>
        </w:rPr>
      </w:pPr>
      <w:r w:rsidRPr="00CD6C14">
        <w:rPr>
          <w:rFonts w:ascii="Times New Roman" w:hAnsi="Times New Roman"/>
          <w:sz w:val="28"/>
          <w:szCs w:val="28"/>
        </w:rPr>
        <w:lastRenderedPageBreak/>
        <w:t>A</w:t>
      </w:r>
      <w:r w:rsidR="00B90DD8">
        <w:rPr>
          <w:rFonts w:ascii="Times New Roman" w:hAnsi="Times New Roman"/>
          <w:sz w:val="28"/>
          <w:szCs w:val="28"/>
        </w:rPr>
        <w:t>ppearances</w:t>
      </w:r>
    </w:p>
    <w:p w14:paraId="4BA936B1" w14:textId="77777777" w:rsidR="00B90DD8" w:rsidRPr="00CD6C14" w:rsidRDefault="00B90DD8" w:rsidP="00FC37AB">
      <w:pPr>
        <w:pStyle w:val="LegalList1"/>
        <w:spacing w:after="0" w:line="360" w:lineRule="auto"/>
        <w:rPr>
          <w:rFonts w:ascii="Times New Roman" w:hAnsi="Times New Roman"/>
          <w:sz w:val="28"/>
          <w:szCs w:val="28"/>
        </w:rPr>
      </w:pPr>
    </w:p>
    <w:p w14:paraId="4D28053B" w14:textId="677529B7" w:rsidR="00476B6B" w:rsidRPr="00CD6C14" w:rsidRDefault="00267004" w:rsidP="00FC37AB">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For the Appellant:</w:t>
      </w:r>
      <w:r w:rsidRPr="00CD6C14">
        <w:rPr>
          <w:rFonts w:ascii="Times New Roman" w:hAnsi="Times New Roman" w:cs="Times New Roman"/>
          <w:sz w:val="28"/>
          <w:szCs w:val="28"/>
        </w:rPr>
        <w:tab/>
      </w:r>
      <w:r w:rsidRPr="00CD6C14">
        <w:rPr>
          <w:rFonts w:ascii="Times New Roman" w:hAnsi="Times New Roman" w:cs="Times New Roman"/>
          <w:sz w:val="28"/>
          <w:szCs w:val="28"/>
        </w:rPr>
        <w:tab/>
      </w:r>
      <w:r w:rsidR="00C23DD9">
        <w:rPr>
          <w:rFonts w:ascii="Times New Roman" w:hAnsi="Times New Roman" w:cs="Times New Roman"/>
          <w:sz w:val="28"/>
          <w:szCs w:val="28"/>
        </w:rPr>
        <w:tab/>
      </w:r>
      <w:r w:rsidR="002C7D16" w:rsidRPr="00FC37AB">
        <w:rPr>
          <w:rFonts w:ascii="Times New Roman" w:hAnsi="Times New Roman" w:cs="Times New Roman"/>
          <w:i/>
          <w:iCs/>
          <w:sz w:val="28"/>
          <w:szCs w:val="28"/>
        </w:rPr>
        <w:t>T Solani</w:t>
      </w:r>
    </w:p>
    <w:p w14:paraId="225BD286" w14:textId="14CE4C67" w:rsidR="00267004" w:rsidRPr="00CD6C14" w:rsidRDefault="00267004" w:rsidP="00FC37AB">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00C23DD9">
        <w:rPr>
          <w:rFonts w:ascii="Times New Roman" w:hAnsi="Times New Roman" w:cs="Times New Roman"/>
          <w:sz w:val="28"/>
          <w:szCs w:val="28"/>
        </w:rPr>
        <w:tab/>
      </w:r>
      <w:r w:rsidRPr="00CD6C14">
        <w:rPr>
          <w:rFonts w:ascii="Times New Roman" w:hAnsi="Times New Roman" w:cs="Times New Roman"/>
          <w:sz w:val="28"/>
          <w:szCs w:val="28"/>
        </w:rPr>
        <w:t>Instructed by Legal Aid South Africa</w:t>
      </w:r>
    </w:p>
    <w:p w14:paraId="225BD287" w14:textId="4955D167" w:rsidR="00267004" w:rsidRPr="00CD6C14" w:rsidRDefault="00267004" w:rsidP="00FC37AB">
      <w:pPr>
        <w:spacing w:line="360" w:lineRule="auto"/>
        <w:ind w:left="851"/>
        <w:jc w:val="both"/>
        <w:rPr>
          <w:rFonts w:ascii="Times New Roman" w:hAnsi="Times New Roman" w:cs="Times New Roman"/>
          <w:sz w:val="28"/>
          <w:szCs w:val="28"/>
        </w:rPr>
      </w:pP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00C23DD9">
        <w:rPr>
          <w:rFonts w:ascii="Times New Roman" w:hAnsi="Times New Roman" w:cs="Times New Roman"/>
          <w:sz w:val="28"/>
          <w:szCs w:val="28"/>
        </w:rPr>
        <w:tab/>
      </w:r>
      <w:r w:rsidR="002C7D16" w:rsidRPr="00CD6C14">
        <w:rPr>
          <w:rFonts w:ascii="Times New Roman" w:hAnsi="Times New Roman" w:cs="Times New Roman"/>
          <w:sz w:val="28"/>
          <w:szCs w:val="28"/>
        </w:rPr>
        <w:t>Makhanda</w:t>
      </w:r>
    </w:p>
    <w:p w14:paraId="225BD288" w14:textId="7C4F28EB" w:rsidR="00D07017" w:rsidRPr="00CD6C14" w:rsidRDefault="00D07017" w:rsidP="00FC37AB">
      <w:pPr>
        <w:spacing w:line="360" w:lineRule="auto"/>
        <w:ind w:left="851"/>
        <w:jc w:val="both"/>
        <w:rPr>
          <w:rFonts w:ascii="Times New Roman" w:hAnsi="Times New Roman" w:cs="Times New Roman"/>
          <w:sz w:val="28"/>
          <w:szCs w:val="28"/>
        </w:rPr>
      </w:pPr>
      <w:r w:rsidRPr="00CD6C14">
        <w:rPr>
          <w:rFonts w:ascii="Times New Roman" w:hAnsi="Times New Roman" w:cs="Times New Roman"/>
          <w:sz w:val="28"/>
          <w:szCs w:val="28"/>
        </w:rPr>
        <w:tab/>
      </w:r>
      <w:r w:rsidRPr="00CD6C14">
        <w:rPr>
          <w:rFonts w:ascii="Times New Roman" w:hAnsi="Times New Roman" w:cs="Times New Roman"/>
          <w:sz w:val="28"/>
          <w:szCs w:val="28"/>
        </w:rPr>
        <w:tab/>
      </w:r>
      <w:r w:rsidRPr="00CD6C14">
        <w:rPr>
          <w:rFonts w:ascii="Times New Roman" w:hAnsi="Times New Roman" w:cs="Times New Roman"/>
          <w:sz w:val="28"/>
          <w:szCs w:val="28"/>
        </w:rPr>
        <w:tab/>
      </w:r>
      <w:r w:rsidR="00C23DD9">
        <w:rPr>
          <w:rFonts w:ascii="Times New Roman" w:hAnsi="Times New Roman" w:cs="Times New Roman"/>
          <w:sz w:val="28"/>
          <w:szCs w:val="28"/>
        </w:rPr>
        <w:tab/>
      </w:r>
      <w:r w:rsidRPr="00CD6C14">
        <w:rPr>
          <w:rFonts w:ascii="Times New Roman" w:hAnsi="Times New Roman" w:cs="Times New Roman"/>
          <w:sz w:val="28"/>
          <w:szCs w:val="28"/>
        </w:rPr>
        <w:t>Tel: 046-622 9350</w:t>
      </w:r>
    </w:p>
    <w:p w14:paraId="225BD289" w14:textId="77777777" w:rsidR="00267004" w:rsidRPr="00CD6C14" w:rsidRDefault="00267004" w:rsidP="00FC37AB">
      <w:pPr>
        <w:spacing w:line="360" w:lineRule="auto"/>
        <w:ind w:left="851"/>
        <w:jc w:val="both"/>
        <w:rPr>
          <w:rFonts w:ascii="Times New Roman" w:hAnsi="Times New Roman" w:cs="Times New Roman"/>
          <w:sz w:val="28"/>
          <w:szCs w:val="28"/>
        </w:rPr>
      </w:pPr>
    </w:p>
    <w:p w14:paraId="225BD28A" w14:textId="03E1AAAC" w:rsidR="00267004" w:rsidRPr="00CD6C14" w:rsidRDefault="00267004" w:rsidP="00FC37AB">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For the Respondent:</w:t>
      </w:r>
      <w:r w:rsidRPr="00CD6C14">
        <w:rPr>
          <w:rFonts w:ascii="Times New Roman" w:hAnsi="Times New Roman" w:cs="Times New Roman"/>
          <w:sz w:val="28"/>
          <w:szCs w:val="28"/>
        </w:rPr>
        <w:tab/>
      </w:r>
      <w:r w:rsidR="00C23DD9">
        <w:rPr>
          <w:rFonts w:ascii="Times New Roman" w:hAnsi="Times New Roman" w:cs="Times New Roman"/>
          <w:sz w:val="28"/>
          <w:szCs w:val="28"/>
        </w:rPr>
        <w:tab/>
      </w:r>
      <w:r w:rsidRPr="00FC37AB">
        <w:rPr>
          <w:rFonts w:ascii="Times New Roman" w:hAnsi="Times New Roman" w:cs="Times New Roman"/>
          <w:i/>
          <w:iCs/>
          <w:sz w:val="28"/>
          <w:szCs w:val="28"/>
        </w:rPr>
        <w:t xml:space="preserve">U </w:t>
      </w:r>
      <w:r w:rsidR="002C7D16" w:rsidRPr="00FC37AB">
        <w:rPr>
          <w:rFonts w:ascii="Times New Roman" w:hAnsi="Times New Roman" w:cs="Times New Roman"/>
          <w:i/>
          <w:iCs/>
          <w:sz w:val="28"/>
          <w:szCs w:val="28"/>
        </w:rPr>
        <w:t>de Klerk</w:t>
      </w:r>
    </w:p>
    <w:p w14:paraId="078637E7" w14:textId="77777777" w:rsidR="00476B6B" w:rsidRDefault="00267004" w:rsidP="00476B6B">
      <w:pPr>
        <w:spacing w:line="360" w:lineRule="auto"/>
        <w:ind w:left="2880" w:firstLine="720"/>
        <w:jc w:val="both"/>
        <w:rPr>
          <w:rFonts w:ascii="Times New Roman" w:hAnsi="Times New Roman" w:cs="Times New Roman"/>
          <w:sz w:val="28"/>
          <w:szCs w:val="28"/>
        </w:rPr>
      </w:pPr>
      <w:r w:rsidRPr="00CD6C14">
        <w:rPr>
          <w:rFonts w:ascii="Times New Roman" w:hAnsi="Times New Roman" w:cs="Times New Roman"/>
          <w:sz w:val="28"/>
          <w:szCs w:val="28"/>
        </w:rPr>
        <w:t xml:space="preserve">Instructed by The Office of </w:t>
      </w:r>
    </w:p>
    <w:p w14:paraId="225BD28B" w14:textId="5A04DC59" w:rsidR="00267004" w:rsidRPr="00CD6C14" w:rsidRDefault="00267004" w:rsidP="00FC37AB">
      <w:pPr>
        <w:spacing w:line="360" w:lineRule="auto"/>
        <w:ind w:left="2880" w:firstLine="720"/>
        <w:jc w:val="both"/>
        <w:rPr>
          <w:rFonts w:ascii="Times New Roman" w:hAnsi="Times New Roman" w:cs="Times New Roman"/>
          <w:sz w:val="28"/>
          <w:szCs w:val="28"/>
        </w:rPr>
      </w:pPr>
      <w:r w:rsidRPr="00CD6C14">
        <w:rPr>
          <w:rFonts w:ascii="Times New Roman" w:hAnsi="Times New Roman" w:cs="Times New Roman"/>
          <w:sz w:val="28"/>
          <w:szCs w:val="28"/>
        </w:rPr>
        <w:t>the Director of Public Prosecutions</w:t>
      </w:r>
    </w:p>
    <w:p w14:paraId="225BD28C" w14:textId="77777777" w:rsidR="00267004" w:rsidRPr="00CD6C14" w:rsidRDefault="002E29A5" w:rsidP="00FC37AB">
      <w:pPr>
        <w:spacing w:line="360" w:lineRule="auto"/>
        <w:ind w:left="2880" w:firstLine="720"/>
        <w:jc w:val="both"/>
        <w:rPr>
          <w:rFonts w:ascii="Times New Roman" w:hAnsi="Times New Roman" w:cs="Times New Roman"/>
          <w:sz w:val="28"/>
          <w:szCs w:val="28"/>
        </w:rPr>
      </w:pPr>
      <w:r w:rsidRPr="00CD6C14">
        <w:rPr>
          <w:rFonts w:ascii="Times New Roman" w:hAnsi="Times New Roman" w:cs="Times New Roman"/>
          <w:sz w:val="28"/>
          <w:szCs w:val="28"/>
        </w:rPr>
        <w:t>Makhanda</w:t>
      </w:r>
    </w:p>
    <w:p w14:paraId="225BD28D" w14:textId="77777777" w:rsidR="00267004" w:rsidRPr="00CD6C14" w:rsidRDefault="00267004" w:rsidP="00FC37AB">
      <w:pPr>
        <w:pStyle w:val="LegalList1"/>
        <w:spacing w:after="0" w:line="360" w:lineRule="auto"/>
        <w:rPr>
          <w:rFonts w:ascii="Times New Roman" w:hAnsi="Times New Roman"/>
          <w:sz w:val="28"/>
          <w:szCs w:val="28"/>
        </w:rPr>
      </w:pPr>
    </w:p>
    <w:p w14:paraId="225BD28E" w14:textId="2B7316CC" w:rsidR="00267004" w:rsidRPr="00CD6C14" w:rsidRDefault="00267004" w:rsidP="00FC37AB">
      <w:pPr>
        <w:pStyle w:val="LegalList1"/>
        <w:spacing w:after="0" w:line="360" w:lineRule="auto"/>
        <w:rPr>
          <w:rFonts w:ascii="Times New Roman" w:hAnsi="Times New Roman"/>
          <w:sz w:val="28"/>
          <w:szCs w:val="28"/>
        </w:rPr>
      </w:pPr>
      <w:r w:rsidRPr="00CD6C14">
        <w:rPr>
          <w:rFonts w:ascii="Times New Roman" w:hAnsi="Times New Roman"/>
          <w:sz w:val="28"/>
          <w:szCs w:val="28"/>
        </w:rPr>
        <w:t>Date heard:</w:t>
      </w:r>
      <w:r w:rsidRPr="00CD6C14">
        <w:rPr>
          <w:rFonts w:ascii="Times New Roman" w:hAnsi="Times New Roman"/>
          <w:sz w:val="28"/>
          <w:szCs w:val="28"/>
        </w:rPr>
        <w:tab/>
      </w:r>
      <w:r w:rsidRPr="00CD6C14">
        <w:rPr>
          <w:rFonts w:ascii="Times New Roman" w:hAnsi="Times New Roman"/>
          <w:sz w:val="28"/>
          <w:szCs w:val="28"/>
        </w:rPr>
        <w:tab/>
      </w:r>
      <w:r w:rsidRPr="00CD6C14">
        <w:rPr>
          <w:rFonts w:ascii="Times New Roman" w:hAnsi="Times New Roman"/>
          <w:sz w:val="28"/>
          <w:szCs w:val="28"/>
        </w:rPr>
        <w:tab/>
      </w:r>
      <w:r w:rsidR="00C90771">
        <w:rPr>
          <w:rFonts w:ascii="Times New Roman" w:hAnsi="Times New Roman"/>
          <w:sz w:val="28"/>
          <w:szCs w:val="28"/>
        </w:rPr>
        <w:tab/>
      </w:r>
      <w:r w:rsidR="002E29A5" w:rsidRPr="00CD6C14">
        <w:rPr>
          <w:rFonts w:ascii="Times New Roman" w:hAnsi="Times New Roman"/>
          <w:sz w:val="28"/>
          <w:szCs w:val="28"/>
        </w:rPr>
        <w:t>1 March 2023</w:t>
      </w:r>
    </w:p>
    <w:p w14:paraId="225BD28F" w14:textId="6A4B22C2" w:rsidR="00267004" w:rsidRPr="00FC37AB" w:rsidRDefault="00267004" w:rsidP="00FC37AB">
      <w:pPr>
        <w:spacing w:line="360" w:lineRule="auto"/>
        <w:jc w:val="both"/>
        <w:rPr>
          <w:rFonts w:ascii="Times New Roman" w:hAnsi="Times New Roman" w:cs="Times New Roman"/>
          <w:sz w:val="28"/>
          <w:szCs w:val="28"/>
        </w:rPr>
      </w:pPr>
      <w:r w:rsidRPr="00CD6C14">
        <w:rPr>
          <w:rFonts w:ascii="Times New Roman" w:hAnsi="Times New Roman" w:cs="Times New Roman"/>
          <w:sz w:val="28"/>
          <w:szCs w:val="28"/>
        </w:rPr>
        <w:t>Date delivered:</w:t>
      </w:r>
      <w:r w:rsidRPr="00CD6C14">
        <w:rPr>
          <w:rFonts w:ascii="Times New Roman" w:hAnsi="Times New Roman" w:cs="Times New Roman"/>
          <w:sz w:val="28"/>
          <w:szCs w:val="28"/>
        </w:rPr>
        <w:tab/>
      </w:r>
      <w:r w:rsidR="00C90771">
        <w:rPr>
          <w:rFonts w:ascii="Times New Roman" w:hAnsi="Times New Roman" w:cs="Times New Roman"/>
          <w:sz w:val="28"/>
          <w:szCs w:val="28"/>
        </w:rPr>
        <w:tab/>
      </w:r>
      <w:r w:rsidRPr="00CD6C14">
        <w:rPr>
          <w:rFonts w:ascii="Times New Roman" w:hAnsi="Times New Roman" w:cs="Times New Roman"/>
          <w:sz w:val="28"/>
          <w:szCs w:val="28"/>
        </w:rPr>
        <w:tab/>
      </w:r>
      <w:r w:rsidR="00237966" w:rsidRPr="00CD6C14">
        <w:rPr>
          <w:rFonts w:ascii="Times New Roman" w:hAnsi="Times New Roman" w:cs="Times New Roman"/>
          <w:sz w:val="28"/>
          <w:szCs w:val="28"/>
        </w:rPr>
        <w:t>2</w:t>
      </w:r>
      <w:r w:rsidR="00476B6B">
        <w:rPr>
          <w:rFonts w:ascii="Times New Roman" w:hAnsi="Times New Roman" w:cs="Times New Roman"/>
          <w:sz w:val="28"/>
          <w:szCs w:val="28"/>
        </w:rPr>
        <w:t>7</w:t>
      </w:r>
      <w:r w:rsidR="00237966" w:rsidRPr="00CD6C14">
        <w:rPr>
          <w:rFonts w:ascii="Times New Roman" w:hAnsi="Times New Roman" w:cs="Times New Roman"/>
          <w:sz w:val="28"/>
          <w:szCs w:val="28"/>
        </w:rPr>
        <w:t xml:space="preserve"> June 2023</w:t>
      </w:r>
    </w:p>
    <w:p w14:paraId="225BD290" w14:textId="77777777" w:rsidR="00267004" w:rsidRPr="00FC37AB" w:rsidRDefault="00267004" w:rsidP="00FC37AB">
      <w:pPr>
        <w:spacing w:line="360" w:lineRule="auto"/>
        <w:jc w:val="both"/>
        <w:rPr>
          <w:rFonts w:ascii="Times New Roman" w:hAnsi="Times New Roman" w:cs="Times New Roman"/>
          <w:sz w:val="28"/>
          <w:szCs w:val="28"/>
        </w:rPr>
      </w:pPr>
    </w:p>
    <w:sectPr w:rsidR="00267004" w:rsidRPr="00FC37AB"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DE27" w14:textId="77777777" w:rsidR="005659C5" w:rsidRDefault="005659C5" w:rsidP="00354A12">
      <w:pPr>
        <w:spacing w:line="240" w:lineRule="auto"/>
      </w:pPr>
      <w:r>
        <w:separator/>
      </w:r>
    </w:p>
  </w:endnote>
  <w:endnote w:type="continuationSeparator" w:id="0">
    <w:p w14:paraId="5598BA43" w14:textId="77777777" w:rsidR="005659C5" w:rsidRDefault="005659C5"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5F48" w14:textId="77777777" w:rsidR="005659C5" w:rsidRDefault="005659C5" w:rsidP="00354A12">
      <w:pPr>
        <w:spacing w:line="240" w:lineRule="auto"/>
      </w:pPr>
      <w:r>
        <w:separator/>
      </w:r>
    </w:p>
  </w:footnote>
  <w:footnote w:type="continuationSeparator" w:id="0">
    <w:p w14:paraId="213878EA" w14:textId="77777777" w:rsidR="005659C5" w:rsidRDefault="005659C5" w:rsidP="00354A12">
      <w:pPr>
        <w:spacing w:line="240" w:lineRule="auto"/>
      </w:pPr>
      <w:r>
        <w:continuationSeparator/>
      </w:r>
    </w:p>
  </w:footnote>
  <w:footnote w:id="1">
    <w:p w14:paraId="225BD299" w14:textId="77777777" w:rsidR="00F827CB" w:rsidRPr="0021662F" w:rsidRDefault="00F827CB"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 xml:space="preserve">Law Society of the Cape of Good Hope </w:t>
      </w:r>
      <w:r w:rsidR="008A73F5" w:rsidRPr="0021662F">
        <w:rPr>
          <w:rFonts w:ascii="Times New Roman" w:hAnsi="Times New Roman" w:cs="Times New Roman"/>
          <w:i/>
        </w:rPr>
        <w:t>v Swanepoel</w:t>
      </w:r>
      <w:r w:rsidR="008A73F5" w:rsidRPr="0021662F">
        <w:rPr>
          <w:rFonts w:ascii="Times New Roman" w:hAnsi="Times New Roman" w:cs="Times New Roman"/>
        </w:rPr>
        <w:t xml:space="preserve"> </w:t>
      </w:r>
      <w:r w:rsidRPr="0021662F">
        <w:rPr>
          <w:rFonts w:ascii="Times New Roman" w:hAnsi="Times New Roman" w:cs="Times New Roman"/>
        </w:rPr>
        <w:t>[2015] ZAECGHC 82.</w:t>
      </w:r>
    </w:p>
  </w:footnote>
  <w:footnote w:id="2">
    <w:p w14:paraId="4311EDA0" w14:textId="35D7FF37" w:rsidR="00544FEC" w:rsidRPr="00FC37AB" w:rsidRDefault="00544FEC" w:rsidP="00FC37AB">
      <w:pPr>
        <w:pStyle w:val="FootnoteText"/>
        <w:jc w:val="both"/>
        <w:rPr>
          <w:rFonts w:ascii="Times New Roman" w:hAnsi="Times New Roman" w:cs="Times New Roman"/>
          <w:lang w:val="en-US"/>
        </w:rPr>
      </w:pPr>
      <w:r w:rsidRPr="00FC37AB">
        <w:rPr>
          <w:rStyle w:val="FootnoteReference"/>
          <w:rFonts w:ascii="Times New Roman" w:hAnsi="Times New Roman" w:cs="Times New Roman"/>
        </w:rPr>
        <w:footnoteRef/>
      </w:r>
      <w:r w:rsidRPr="00FC37AB">
        <w:rPr>
          <w:rFonts w:ascii="Times New Roman" w:hAnsi="Times New Roman" w:cs="Times New Roman"/>
        </w:rPr>
        <w:t xml:space="preserve"> </w:t>
      </w:r>
      <w:r w:rsidR="00240B09" w:rsidRPr="00FC37AB">
        <w:rPr>
          <w:rFonts w:ascii="Times New Roman" w:hAnsi="Times New Roman" w:cs="Times New Roman"/>
          <w:i/>
          <w:iCs/>
        </w:rPr>
        <w:t>S v Zondi</w:t>
      </w:r>
      <w:r w:rsidR="00240B09">
        <w:rPr>
          <w:rFonts w:ascii="Times New Roman" w:hAnsi="Times New Roman" w:cs="Times New Roman"/>
        </w:rPr>
        <w:t xml:space="preserve"> 2003 (2) SACR 227 (W) para 9.</w:t>
      </w:r>
    </w:p>
  </w:footnote>
  <w:footnote w:id="3">
    <w:p w14:paraId="225BD29A" w14:textId="5BFDCBEB" w:rsidR="00A86271" w:rsidRPr="0021662F" w:rsidRDefault="00A86271" w:rsidP="0021662F">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As distinct from rule 8</w:t>
      </w:r>
      <w:r w:rsidRPr="00FC37AB">
        <w:rPr>
          <w:rFonts w:ascii="Times New Roman" w:hAnsi="Times New Roman" w:cs="Times New Roman"/>
          <w:i/>
          <w:iCs/>
        </w:rPr>
        <w:t>(d)</w:t>
      </w:r>
      <w:r w:rsidRPr="0021662F">
        <w:rPr>
          <w:rFonts w:ascii="Times New Roman" w:hAnsi="Times New Roman" w:cs="Times New Roman"/>
        </w:rPr>
        <w:t>(i) of the Joint Rules</w:t>
      </w:r>
      <w:r w:rsidR="002A6D9E" w:rsidRPr="0021662F">
        <w:rPr>
          <w:rFonts w:ascii="Times New Roman" w:hAnsi="Times New Roman" w:cs="Times New Roman"/>
        </w:rPr>
        <w:t xml:space="preserve"> of Practice for the Eastern Cape Division applicable to heads of argument, the directive was that written argument shall incorporate an</w:t>
      </w:r>
      <w:r w:rsidR="00A971DC" w:rsidRPr="0021662F">
        <w:rPr>
          <w:rFonts w:ascii="Times New Roman" w:hAnsi="Times New Roman" w:cs="Times New Roman"/>
        </w:rPr>
        <w:t xml:space="preserve"> elaboration of the necessary parts of the substantive issues raised in argument.</w:t>
      </w:r>
    </w:p>
  </w:footnote>
  <w:footnote w:id="4">
    <w:p w14:paraId="225BD29B" w14:textId="77777777" w:rsidR="00790814" w:rsidRPr="0021662F" w:rsidRDefault="00790814"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Hoffman</w:t>
      </w:r>
      <w:r w:rsidRPr="0021662F">
        <w:rPr>
          <w:rFonts w:ascii="Times New Roman" w:hAnsi="Times New Roman" w:cs="Times New Roman"/>
        </w:rPr>
        <w:t xml:space="preserve"> 1992 (2) SACR 56 (CPD) at 64</w:t>
      </w:r>
      <w:r w:rsidRPr="0021662F">
        <w:rPr>
          <w:rFonts w:ascii="Times New Roman" w:hAnsi="Times New Roman" w:cs="Times New Roman"/>
          <w:i/>
        </w:rPr>
        <w:t>f</w:t>
      </w:r>
      <w:r w:rsidRPr="0021662F">
        <w:rPr>
          <w:rFonts w:ascii="Times New Roman" w:hAnsi="Times New Roman" w:cs="Times New Roman"/>
        </w:rPr>
        <w:t>.</w:t>
      </w:r>
    </w:p>
  </w:footnote>
  <w:footnote w:id="5">
    <w:p w14:paraId="225BD29C" w14:textId="464F75F6" w:rsidR="00BA5DCF" w:rsidRPr="0021662F" w:rsidRDefault="00BA5DCF"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Hoffman</w:t>
      </w:r>
      <w:r w:rsidRPr="0021662F">
        <w:rPr>
          <w:rFonts w:ascii="Times New Roman" w:hAnsi="Times New Roman" w:cs="Times New Roman"/>
        </w:rPr>
        <w:t xml:space="preserve"> </w:t>
      </w:r>
      <w:r w:rsidR="00D53608" w:rsidRPr="0021662F">
        <w:rPr>
          <w:rFonts w:ascii="Times New Roman" w:hAnsi="Times New Roman" w:cs="Times New Roman"/>
          <w:i/>
        </w:rPr>
        <w:t>supra</w:t>
      </w:r>
      <w:r w:rsidRPr="0021662F">
        <w:rPr>
          <w:rFonts w:ascii="Times New Roman" w:hAnsi="Times New Roman" w:cs="Times New Roman"/>
        </w:rPr>
        <w:t xml:space="preserve"> at 6</w:t>
      </w:r>
      <w:r w:rsidR="00A97D6D" w:rsidRPr="0021662F">
        <w:rPr>
          <w:rFonts w:ascii="Times New Roman" w:hAnsi="Times New Roman" w:cs="Times New Roman"/>
        </w:rPr>
        <w:t>3</w:t>
      </w:r>
      <w:r w:rsidR="00A97D6D" w:rsidRPr="0021662F">
        <w:rPr>
          <w:rFonts w:ascii="Times New Roman" w:hAnsi="Times New Roman" w:cs="Times New Roman"/>
          <w:i/>
        </w:rPr>
        <w:t>b</w:t>
      </w:r>
      <w:r w:rsidR="00A97D6D" w:rsidRPr="0021662F">
        <w:rPr>
          <w:rFonts w:ascii="Times New Roman" w:hAnsi="Times New Roman" w:cs="Times New Roman"/>
        </w:rPr>
        <w:t>.</w:t>
      </w:r>
      <w:r w:rsidR="000C36D0" w:rsidRPr="0021662F">
        <w:rPr>
          <w:rFonts w:ascii="Times New Roman" w:hAnsi="Times New Roman" w:cs="Times New Roman"/>
        </w:rPr>
        <w:t xml:space="preserve"> </w:t>
      </w:r>
      <w:r w:rsidR="00323642">
        <w:rPr>
          <w:rFonts w:ascii="Times New Roman" w:hAnsi="Times New Roman" w:cs="Times New Roman"/>
        </w:rPr>
        <w:t>T</w:t>
      </w:r>
      <w:r w:rsidR="000C36D0" w:rsidRPr="0021662F">
        <w:rPr>
          <w:rFonts w:ascii="Times New Roman" w:hAnsi="Times New Roman" w:cs="Times New Roman"/>
        </w:rPr>
        <w:t xml:space="preserve">he </w:t>
      </w:r>
      <w:r w:rsidR="00975C86">
        <w:rPr>
          <w:rFonts w:ascii="Times New Roman" w:hAnsi="Times New Roman" w:cs="Times New Roman"/>
        </w:rPr>
        <w:t xml:space="preserve">prerogative </w:t>
      </w:r>
      <w:r w:rsidR="000C36D0" w:rsidRPr="0021662F">
        <w:rPr>
          <w:rFonts w:ascii="Times New Roman" w:hAnsi="Times New Roman" w:cs="Times New Roman"/>
        </w:rPr>
        <w:t xml:space="preserve">to </w:t>
      </w:r>
      <w:r w:rsidR="00980FF8" w:rsidRPr="0021662F">
        <w:rPr>
          <w:rFonts w:ascii="Times New Roman" w:hAnsi="Times New Roman" w:cs="Times New Roman"/>
        </w:rPr>
        <w:t>advance good and sufficient reason stems from a reading of section</w:t>
      </w:r>
      <w:r w:rsidR="00F26AB8">
        <w:rPr>
          <w:rFonts w:ascii="Times New Roman" w:hAnsi="Times New Roman" w:cs="Times New Roman"/>
        </w:rPr>
        <w:t> </w:t>
      </w:r>
      <w:r w:rsidR="00980FF8" w:rsidRPr="0021662F">
        <w:rPr>
          <w:rFonts w:ascii="Times New Roman" w:hAnsi="Times New Roman" w:cs="Times New Roman"/>
        </w:rPr>
        <w:t>297(7) of the Criminal Procedure Act 51 of 1977.</w:t>
      </w:r>
    </w:p>
  </w:footnote>
  <w:footnote w:id="6">
    <w:p w14:paraId="225BD29D" w14:textId="77777777" w:rsidR="003B3626" w:rsidRPr="0021662F" w:rsidRDefault="003B3626"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9675D2" w:rsidRPr="0021662F">
        <w:rPr>
          <w:rFonts w:ascii="Times New Roman" w:hAnsi="Times New Roman" w:cs="Times New Roman"/>
        </w:rPr>
        <w:t xml:space="preserve">Compare </w:t>
      </w:r>
      <w:r w:rsidRPr="0021662F">
        <w:rPr>
          <w:rFonts w:ascii="Times New Roman" w:hAnsi="Times New Roman" w:cs="Times New Roman"/>
          <w:i/>
        </w:rPr>
        <w:t>S v Hoffman</w:t>
      </w:r>
      <w:r w:rsidRPr="0021662F">
        <w:rPr>
          <w:rFonts w:ascii="Times New Roman" w:hAnsi="Times New Roman" w:cs="Times New Roman"/>
        </w:rPr>
        <w:t xml:space="preserve"> </w:t>
      </w:r>
      <w:r w:rsidR="00A97D6D" w:rsidRPr="0021662F">
        <w:rPr>
          <w:rFonts w:ascii="Times New Roman" w:hAnsi="Times New Roman" w:cs="Times New Roman"/>
          <w:i/>
        </w:rPr>
        <w:t>supra</w:t>
      </w:r>
      <w:r w:rsidR="00A97D6D" w:rsidRPr="0021662F">
        <w:rPr>
          <w:rFonts w:ascii="Times New Roman" w:hAnsi="Times New Roman" w:cs="Times New Roman"/>
        </w:rPr>
        <w:t xml:space="preserve"> at </w:t>
      </w:r>
      <w:r w:rsidR="0085694A" w:rsidRPr="0021662F">
        <w:rPr>
          <w:rFonts w:ascii="Times New Roman" w:hAnsi="Times New Roman" w:cs="Times New Roman"/>
        </w:rPr>
        <w:t>62</w:t>
      </w:r>
      <w:r w:rsidR="0085694A" w:rsidRPr="0021662F">
        <w:rPr>
          <w:rFonts w:ascii="Times New Roman" w:hAnsi="Times New Roman" w:cs="Times New Roman"/>
          <w:i/>
        </w:rPr>
        <w:t>h-j</w:t>
      </w:r>
      <w:r w:rsidR="00A97D6D" w:rsidRPr="0021662F">
        <w:rPr>
          <w:rFonts w:ascii="Times New Roman" w:hAnsi="Times New Roman" w:cs="Times New Roman"/>
          <w:i/>
        </w:rPr>
        <w:t xml:space="preserve"> </w:t>
      </w:r>
      <w:r w:rsidR="00A97D6D" w:rsidRPr="0021662F">
        <w:rPr>
          <w:rFonts w:ascii="Times New Roman" w:hAnsi="Times New Roman" w:cs="Times New Roman"/>
        </w:rPr>
        <w:t>and 63</w:t>
      </w:r>
      <w:r w:rsidR="00A97D6D" w:rsidRPr="0021662F">
        <w:rPr>
          <w:rFonts w:ascii="Times New Roman" w:hAnsi="Times New Roman" w:cs="Times New Roman"/>
          <w:i/>
        </w:rPr>
        <w:t>d</w:t>
      </w:r>
      <w:r w:rsidR="00551AC0" w:rsidRPr="0021662F">
        <w:rPr>
          <w:rFonts w:ascii="Times New Roman" w:hAnsi="Times New Roman" w:cs="Times New Roman"/>
        </w:rPr>
        <w:t xml:space="preserve">; </w:t>
      </w:r>
      <w:r w:rsidR="00551AC0" w:rsidRPr="0021662F">
        <w:rPr>
          <w:rFonts w:ascii="Times New Roman" w:hAnsi="Times New Roman" w:cs="Times New Roman"/>
          <w:i/>
        </w:rPr>
        <w:t>S v Kumede</w:t>
      </w:r>
      <w:r w:rsidR="00551AC0" w:rsidRPr="0021662F">
        <w:rPr>
          <w:rFonts w:ascii="Times New Roman" w:hAnsi="Times New Roman" w:cs="Times New Roman"/>
        </w:rPr>
        <w:t xml:space="preserve"> 1988 (4) SA</w:t>
      </w:r>
      <w:r w:rsidR="00FF2B57" w:rsidRPr="0021662F">
        <w:rPr>
          <w:rFonts w:ascii="Times New Roman" w:hAnsi="Times New Roman" w:cs="Times New Roman"/>
        </w:rPr>
        <w:t xml:space="preserve"> 553 (O).</w:t>
      </w:r>
    </w:p>
  </w:footnote>
  <w:footnote w:id="7">
    <w:p w14:paraId="225BD29E" w14:textId="77777777" w:rsidR="00941404" w:rsidRPr="0021662F" w:rsidRDefault="00941404"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Malgas</w:t>
      </w:r>
      <w:r w:rsidRPr="0021662F">
        <w:rPr>
          <w:rFonts w:ascii="Times New Roman" w:hAnsi="Times New Roman" w:cs="Times New Roman"/>
        </w:rPr>
        <w:t xml:space="preserve"> 2001 (1) SACR 469 (SCA) </w:t>
      </w:r>
      <w:r w:rsidR="00BA5388" w:rsidRPr="0021662F">
        <w:rPr>
          <w:rFonts w:ascii="Times New Roman" w:hAnsi="Times New Roman" w:cs="Times New Roman"/>
        </w:rPr>
        <w:t>para 12</w:t>
      </w:r>
      <w:r w:rsidR="00BA5388" w:rsidRPr="00FC37AB">
        <w:rPr>
          <w:rFonts w:ascii="Times New Roman" w:hAnsi="Times New Roman" w:cs="Times New Roman"/>
          <w:iCs/>
        </w:rPr>
        <w:t>;</w:t>
      </w:r>
      <w:r w:rsidR="00BA5388" w:rsidRPr="0021662F">
        <w:rPr>
          <w:rFonts w:ascii="Times New Roman" w:hAnsi="Times New Roman" w:cs="Times New Roman"/>
          <w:i/>
        </w:rPr>
        <w:t xml:space="preserve"> S v De Jager and Another</w:t>
      </w:r>
      <w:r w:rsidR="00BA5388" w:rsidRPr="0021662F">
        <w:rPr>
          <w:rFonts w:ascii="Times New Roman" w:hAnsi="Times New Roman" w:cs="Times New Roman"/>
        </w:rPr>
        <w:t xml:space="preserve"> 1</w:t>
      </w:r>
      <w:r w:rsidR="00602E88" w:rsidRPr="0021662F">
        <w:rPr>
          <w:rFonts w:ascii="Times New Roman" w:hAnsi="Times New Roman" w:cs="Times New Roman"/>
        </w:rPr>
        <w:t xml:space="preserve">965 (2) SA 616 (A) at 628H-629A; </w:t>
      </w:r>
      <w:r w:rsidR="00602E88" w:rsidRPr="0021662F">
        <w:rPr>
          <w:rFonts w:ascii="Times New Roman" w:hAnsi="Times New Roman" w:cs="Times New Roman"/>
          <w:i/>
        </w:rPr>
        <w:t>S v Packereysammy</w:t>
      </w:r>
      <w:r w:rsidR="00602E88" w:rsidRPr="0021662F">
        <w:rPr>
          <w:rFonts w:ascii="Times New Roman" w:hAnsi="Times New Roman" w:cs="Times New Roman"/>
        </w:rPr>
        <w:t xml:space="preserve"> 2004 (2) SACR 169 (SCA) para 7.</w:t>
      </w:r>
    </w:p>
  </w:footnote>
  <w:footnote w:id="8">
    <w:p w14:paraId="225BD29F" w14:textId="11733916" w:rsidR="00C5568F" w:rsidRPr="0013227D" w:rsidRDefault="00C5568F" w:rsidP="00FC37AB">
      <w:pPr>
        <w:pStyle w:val="FootnoteText"/>
        <w:jc w:val="both"/>
        <w:rPr>
          <w:rFonts w:ascii="Times New Roman" w:hAnsi="Times New Roman" w:cs="Times New Roman"/>
          <w:iCs/>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Kgosimore</w:t>
      </w:r>
      <w:r w:rsidRPr="0021662F">
        <w:rPr>
          <w:rFonts w:ascii="Times New Roman" w:hAnsi="Times New Roman" w:cs="Times New Roman"/>
        </w:rPr>
        <w:t xml:space="preserve"> 1999 (2) SACR 238 (SCA) at 241</w:t>
      </w:r>
      <w:r w:rsidRPr="0021662F">
        <w:rPr>
          <w:rFonts w:ascii="Times New Roman" w:hAnsi="Times New Roman" w:cs="Times New Roman"/>
          <w:i/>
        </w:rPr>
        <w:t>e-g</w:t>
      </w:r>
      <w:r w:rsidR="0013227D">
        <w:rPr>
          <w:rFonts w:ascii="Times New Roman" w:hAnsi="Times New Roman" w:cs="Times New Roman"/>
          <w:iCs/>
        </w:rPr>
        <w:t>.</w:t>
      </w:r>
    </w:p>
  </w:footnote>
  <w:footnote w:id="9">
    <w:p w14:paraId="225BD2A0" w14:textId="070C1E68" w:rsidR="0007086C" w:rsidRPr="00FC37AB" w:rsidRDefault="0007086C" w:rsidP="00FC37AB">
      <w:pPr>
        <w:pStyle w:val="FootnoteText"/>
        <w:jc w:val="both"/>
        <w:rPr>
          <w:rFonts w:ascii="Times New Roman" w:hAnsi="Times New Roman" w:cs="Times New Roman"/>
        </w:rPr>
      </w:pPr>
      <w:r w:rsidRPr="00FC37AB">
        <w:rPr>
          <w:rStyle w:val="FootnoteReference"/>
          <w:rFonts w:ascii="Times New Roman" w:hAnsi="Times New Roman" w:cs="Times New Roman"/>
        </w:rPr>
        <w:footnoteRef/>
      </w:r>
      <w:r w:rsidRPr="00FC37AB">
        <w:rPr>
          <w:rFonts w:ascii="Times New Roman" w:hAnsi="Times New Roman" w:cs="Times New Roman"/>
        </w:rPr>
        <w:t xml:space="preserve"> </w:t>
      </w:r>
      <w:r w:rsidRPr="0021662F">
        <w:rPr>
          <w:rFonts w:ascii="Times New Roman" w:hAnsi="Times New Roman" w:cs="Times New Roman"/>
          <w:i/>
        </w:rPr>
        <w:t>S v M (Centre for Child Law as Amicus Curiae)</w:t>
      </w:r>
      <w:r w:rsidRPr="0021662F">
        <w:rPr>
          <w:rFonts w:ascii="Times New Roman" w:hAnsi="Times New Roman" w:cs="Times New Roman"/>
        </w:rPr>
        <w:t xml:space="preserve"> </w:t>
      </w:r>
      <w:r w:rsidR="00903E6F" w:rsidRPr="00903E6F">
        <w:rPr>
          <w:rFonts w:ascii="Times New Roman" w:hAnsi="Times New Roman" w:cs="Times New Roman"/>
        </w:rPr>
        <w:t>[2007] ZACC 18</w:t>
      </w:r>
      <w:r w:rsidR="00903E6F">
        <w:rPr>
          <w:rFonts w:ascii="Times New Roman" w:hAnsi="Times New Roman" w:cs="Times New Roman"/>
        </w:rPr>
        <w:t xml:space="preserve">; </w:t>
      </w:r>
      <w:r w:rsidRPr="0021662F">
        <w:rPr>
          <w:rFonts w:ascii="Times New Roman" w:hAnsi="Times New Roman" w:cs="Times New Roman"/>
        </w:rPr>
        <w:t>2008 (</w:t>
      </w:r>
      <w:r w:rsidR="00E27337" w:rsidRPr="0021662F">
        <w:rPr>
          <w:rFonts w:ascii="Times New Roman" w:hAnsi="Times New Roman" w:cs="Times New Roman"/>
        </w:rPr>
        <w:t>3</w:t>
      </w:r>
      <w:r w:rsidRPr="0021662F">
        <w:rPr>
          <w:rFonts w:ascii="Times New Roman" w:hAnsi="Times New Roman" w:cs="Times New Roman"/>
        </w:rPr>
        <w:t xml:space="preserve">) SA </w:t>
      </w:r>
      <w:r w:rsidR="00E27337" w:rsidRPr="0021662F">
        <w:rPr>
          <w:rFonts w:ascii="Times New Roman" w:hAnsi="Times New Roman" w:cs="Times New Roman"/>
        </w:rPr>
        <w:t xml:space="preserve">232 </w:t>
      </w:r>
      <w:r w:rsidRPr="0021662F">
        <w:rPr>
          <w:rFonts w:ascii="Times New Roman" w:hAnsi="Times New Roman" w:cs="Times New Roman"/>
        </w:rPr>
        <w:t>(CC)</w:t>
      </w:r>
      <w:r w:rsidR="00E27337" w:rsidRPr="0021662F">
        <w:rPr>
          <w:rFonts w:ascii="Times New Roman" w:hAnsi="Times New Roman" w:cs="Times New Roman"/>
        </w:rPr>
        <w:t xml:space="preserve"> </w:t>
      </w:r>
      <w:r w:rsidR="00903E6F">
        <w:rPr>
          <w:rFonts w:ascii="Times New Roman" w:hAnsi="Times New Roman" w:cs="Times New Roman"/>
        </w:rPr>
        <w:t>at</w:t>
      </w:r>
      <w:r w:rsidR="00E713D2">
        <w:rPr>
          <w:rFonts w:ascii="Times New Roman" w:hAnsi="Times New Roman" w:cs="Times New Roman"/>
        </w:rPr>
        <w:t xml:space="preserve"> </w:t>
      </w:r>
      <w:r w:rsidR="00E27337" w:rsidRPr="0021662F">
        <w:rPr>
          <w:rFonts w:ascii="Times New Roman" w:hAnsi="Times New Roman" w:cs="Times New Roman"/>
        </w:rPr>
        <w:t>248F.</w:t>
      </w:r>
    </w:p>
  </w:footnote>
  <w:footnote w:id="10">
    <w:p w14:paraId="225BD2A1" w14:textId="5A8D4D96" w:rsidR="00162DC7" w:rsidRPr="0021662F" w:rsidRDefault="00162DC7"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NDV v S</w:t>
      </w:r>
      <w:r w:rsidRPr="0021662F">
        <w:rPr>
          <w:rFonts w:ascii="Times New Roman" w:hAnsi="Times New Roman" w:cs="Times New Roman"/>
        </w:rPr>
        <w:t xml:space="preserve"> [2015] JOL 33914 (SCA) para</w:t>
      </w:r>
      <w:r w:rsidR="001A72E0" w:rsidRPr="0021662F">
        <w:rPr>
          <w:rFonts w:ascii="Times New Roman" w:hAnsi="Times New Roman" w:cs="Times New Roman"/>
        </w:rPr>
        <w:t>s</w:t>
      </w:r>
      <w:r w:rsidRPr="0021662F">
        <w:rPr>
          <w:rFonts w:ascii="Times New Roman" w:hAnsi="Times New Roman" w:cs="Times New Roman"/>
        </w:rPr>
        <w:t xml:space="preserve"> </w:t>
      </w:r>
      <w:r w:rsidR="001A72E0" w:rsidRPr="0021662F">
        <w:rPr>
          <w:rFonts w:ascii="Times New Roman" w:hAnsi="Times New Roman" w:cs="Times New Roman"/>
        </w:rPr>
        <w:t xml:space="preserve">11 </w:t>
      </w:r>
      <w:r w:rsidR="003626AA">
        <w:rPr>
          <w:rFonts w:ascii="Times New Roman" w:hAnsi="Times New Roman" w:cs="Times New Roman"/>
        </w:rPr>
        <w:t>&amp;</w:t>
      </w:r>
      <w:r w:rsidR="001A72E0" w:rsidRPr="0021662F">
        <w:rPr>
          <w:rFonts w:ascii="Times New Roman" w:hAnsi="Times New Roman" w:cs="Times New Roman"/>
        </w:rPr>
        <w:t xml:space="preserve"> 27.</w:t>
      </w:r>
    </w:p>
  </w:footnote>
  <w:footnote w:id="11">
    <w:p w14:paraId="225BD2A2" w14:textId="77777777" w:rsidR="00CC16AF" w:rsidRPr="00FC37AB" w:rsidRDefault="00CC16AF"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MS v S</w:t>
      </w:r>
      <w:r w:rsidRPr="0021662F">
        <w:rPr>
          <w:rFonts w:ascii="Times New Roman" w:hAnsi="Times New Roman" w:cs="Times New Roman"/>
        </w:rPr>
        <w:t xml:space="preserve"> </w:t>
      </w:r>
      <w:r w:rsidRPr="0021662F">
        <w:rPr>
          <w:rFonts w:ascii="Times New Roman" w:hAnsi="Times New Roman" w:cs="Times New Roman"/>
          <w:i/>
        </w:rPr>
        <w:t xml:space="preserve">(Centre for Child Law as Amicus Curiae) </w:t>
      </w:r>
      <w:r w:rsidRPr="0021662F">
        <w:rPr>
          <w:rFonts w:ascii="Times New Roman" w:hAnsi="Times New Roman" w:cs="Times New Roman"/>
        </w:rPr>
        <w:t>2011 (2) SACR 88 (CC) at 96</w:t>
      </w:r>
      <w:r w:rsidRPr="0021662F">
        <w:rPr>
          <w:rFonts w:ascii="Times New Roman" w:hAnsi="Times New Roman" w:cs="Times New Roman"/>
          <w:i/>
        </w:rPr>
        <w:t>e</w:t>
      </w:r>
      <w:r w:rsidRPr="0021662F">
        <w:rPr>
          <w:rFonts w:ascii="Times New Roman" w:hAnsi="Times New Roman" w:cs="Times New Roman"/>
        </w:rPr>
        <w:t>.</w:t>
      </w:r>
    </w:p>
  </w:footnote>
  <w:footnote w:id="12">
    <w:p w14:paraId="225BD2A3" w14:textId="77777777" w:rsidR="0095480D" w:rsidRPr="00FC37AB" w:rsidRDefault="0095480D"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760F5B" w:rsidRPr="0021662F">
        <w:rPr>
          <w:rFonts w:ascii="Times New Roman" w:hAnsi="Times New Roman" w:cs="Times New Roman"/>
          <w:i/>
        </w:rPr>
        <w:t>S v M</w:t>
      </w:r>
      <w:r w:rsidRPr="0021662F">
        <w:rPr>
          <w:rFonts w:ascii="Times New Roman" w:hAnsi="Times New Roman" w:cs="Times New Roman"/>
          <w:i/>
        </w:rPr>
        <w:t xml:space="preserve"> supra </w:t>
      </w:r>
      <w:r w:rsidRPr="0021662F">
        <w:rPr>
          <w:rFonts w:ascii="Times New Roman" w:hAnsi="Times New Roman" w:cs="Times New Roman"/>
        </w:rPr>
        <w:t>at 249C</w:t>
      </w:r>
      <w:r w:rsidR="0040650B" w:rsidRPr="0021662F">
        <w:rPr>
          <w:rFonts w:ascii="Times New Roman" w:hAnsi="Times New Roman" w:cs="Times New Roman"/>
        </w:rPr>
        <w:t>-E.</w:t>
      </w:r>
    </w:p>
  </w:footnote>
  <w:footnote w:id="13">
    <w:p w14:paraId="225BD2A4" w14:textId="77777777" w:rsidR="0077150B" w:rsidRPr="00FC37AB" w:rsidRDefault="0077150B"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 xml:space="preserve">S v M supra </w:t>
      </w:r>
      <w:r w:rsidRPr="0021662F">
        <w:rPr>
          <w:rFonts w:ascii="Times New Roman" w:hAnsi="Times New Roman" w:cs="Times New Roman"/>
        </w:rPr>
        <w:t>at 255A.</w:t>
      </w:r>
    </w:p>
  </w:footnote>
  <w:footnote w:id="14">
    <w:p w14:paraId="225BD2A5" w14:textId="77777777" w:rsidR="001A4B44" w:rsidRPr="0021662F" w:rsidRDefault="001A4B44"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9A3A68" w:rsidRPr="0021662F">
        <w:rPr>
          <w:rFonts w:ascii="Times New Roman" w:hAnsi="Times New Roman" w:cs="Times New Roman"/>
          <w:i/>
        </w:rPr>
        <w:t xml:space="preserve">S v M supra </w:t>
      </w:r>
      <w:r w:rsidR="009A3A68" w:rsidRPr="0021662F">
        <w:rPr>
          <w:rFonts w:ascii="Times New Roman" w:hAnsi="Times New Roman" w:cs="Times New Roman"/>
        </w:rPr>
        <w:t>at 250D</w:t>
      </w:r>
      <w:r w:rsidRPr="0021662F">
        <w:rPr>
          <w:rFonts w:ascii="Times New Roman" w:hAnsi="Times New Roman" w:cs="Times New Roman"/>
        </w:rPr>
        <w:t>.</w:t>
      </w:r>
    </w:p>
  </w:footnote>
  <w:footnote w:id="15">
    <w:p w14:paraId="225BD2A6" w14:textId="77777777" w:rsidR="00E1257A" w:rsidRPr="0021662F" w:rsidRDefault="00E1257A"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MS v S</w:t>
      </w:r>
      <w:r w:rsidR="00E6395C" w:rsidRPr="0021662F">
        <w:rPr>
          <w:rFonts w:ascii="Times New Roman" w:hAnsi="Times New Roman" w:cs="Times New Roman"/>
        </w:rPr>
        <w:t xml:space="preserve"> </w:t>
      </w:r>
      <w:r w:rsidR="007E2A64" w:rsidRPr="0021662F">
        <w:rPr>
          <w:rFonts w:ascii="Times New Roman" w:hAnsi="Times New Roman" w:cs="Times New Roman"/>
          <w:i/>
        </w:rPr>
        <w:t>supra</w:t>
      </w:r>
      <w:r w:rsidR="007E2A64" w:rsidRPr="0021662F">
        <w:rPr>
          <w:rFonts w:ascii="Times New Roman" w:hAnsi="Times New Roman" w:cs="Times New Roman"/>
        </w:rPr>
        <w:t xml:space="preserve"> at</w:t>
      </w:r>
      <w:r w:rsidR="00E6395C" w:rsidRPr="0021662F">
        <w:rPr>
          <w:rFonts w:ascii="Times New Roman" w:hAnsi="Times New Roman" w:cs="Times New Roman"/>
        </w:rPr>
        <w:t xml:space="preserve"> 107</w:t>
      </w:r>
      <w:r w:rsidR="00E6395C" w:rsidRPr="0021662F">
        <w:rPr>
          <w:rFonts w:ascii="Times New Roman" w:hAnsi="Times New Roman" w:cs="Times New Roman"/>
          <w:i/>
        </w:rPr>
        <w:t>e</w:t>
      </w:r>
      <w:r w:rsidR="00E6395C" w:rsidRPr="0021662F">
        <w:rPr>
          <w:rFonts w:ascii="Times New Roman" w:hAnsi="Times New Roman" w:cs="Times New Roman"/>
        </w:rPr>
        <w:t>.</w:t>
      </w:r>
    </w:p>
  </w:footnote>
  <w:footnote w:id="16">
    <w:p w14:paraId="225BD2A7" w14:textId="77777777" w:rsidR="00A72AC6" w:rsidRPr="0021662F" w:rsidRDefault="00A72AC6"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D53608" w:rsidRPr="0021662F">
        <w:rPr>
          <w:rFonts w:ascii="Times New Roman" w:hAnsi="Times New Roman" w:cs="Times New Roman"/>
          <w:i/>
        </w:rPr>
        <w:t>S v M supra</w:t>
      </w:r>
      <w:r w:rsidRPr="0021662F">
        <w:rPr>
          <w:rFonts w:ascii="Times New Roman" w:hAnsi="Times New Roman" w:cs="Times New Roman"/>
        </w:rPr>
        <w:t xml:space="preserve"> para 36; also </w:t>
      </w:r>
      <w:r w:rsidR="003C4A46" w:rsidRPr="0021662F">
        <w:rPr>
          <w:rFonts w:ascii="Times New Roman" w:hAnsi="Times New Roman" w:cs="Times New Roman"/>
          <w:i/>
        </w:rPr>
        <w:t>MS v S</w:t>
      </w:r>
      <w:r w:rsidR="00D53608" w:rsidRPr="0021662F">
        <w:rPr>
          <w:rFonts w:ascii="Times New Roman" w:hAnsi="Times New Roman" w:cs="Times New Roman"/>
        </w:rPr>
        <w:t xml:space="preserve"> </w:t>
      </w:r>
      <w:r w:rsidR="00343854" w:rsidRPr="0021662F">
        <w:rPr>
          <w:rFonts w:ascii="Times New Roman" w:hAnsi="Times New Roman" w:cs="Times New Roman"/>
          <w:i/>
        </w:rPr>
        <w:t xml:space="preserve">supra </w:t>
      </w:r>
      <w:r w:rsidRPr="0021662F">
        <w:rPr>
          <w:rFonts w:ascii="Times New Roman" w:hAnsi="Times New Roman" w:cs="Times New Roman"/>
        </w:rPr>
        <w:t>para</w:t>
      </w:r>
      <w:r w:rsidR="00A46DDF" w:rsidRPr="0021662F">
        <w:rPr>
          <w:rFonts w:ascii="Times New Roman" w:hAnsi="Times New Roman" w:cs="Times New Roman"/>
        </w:rPr>
        <w:t xml:space="preserve"> 34.</w:t>
      </w:r>
    </w:p>
  </w:footnote>
  <w:footnote w:id="17">
    <w:p w14:paraId="225BD2A8" w14:textId="46E91144" w:rsidR="00DA0CD8" w:rsidRPr="0021662F" w:rsidRDefault="00DA0CD8"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AF3832" w:rsidRPr="0021662F">
        <w:rPr>
          <w:rFonts w:ascii="Times New Roman" w:hAnsi="Times New Roman" w:cs="Times New Roman"/>
        </w:rPr>
        <w:t xml:space="preserve">Full citation </w:t>
      </w:r>
      <w:r w:rsidR="0083619C">
        <w:rPr>
          <w:rFonts w:ascii="Times New Roman" w:hAnsi="Times New Roman" w:cs="Times New Roman"/>
        </w:rPr>
        <w:t>above</w:t>
      </w:r>
      <w:r w:rsidR="00AF3832" w:rsidRPr="0021662F">
        <w:rPr>
          <w:rFonts w:ascii="Times New Roman" w:hAnsi="Times New Roman" w:cs="Times New Roman"/>
        </w:rPr>
        <w:t xml:space="preserve"> n </w:t>
      </w:r>
      <w:r w:rsidR="0083619C">
        <w:rPr>
          <w:rFonts w:ascii="Times New Roman" w:hAnsi="Times New Roman" w:cs="Times New Roman"/>
        </w:rPr>
        <w:t>9</w:t>
      </w:r>
      <w:r w:rsidR="00AF3832" w:rsidRPr="0021662F">
        <w:rPr>
          <w:rFonts w:ascii="Times New Roman" w:hAnsi="Times New Roman" w:cs="Times New Roman"/>
        </w:rPr>
        <w:t>.</w:t>
      </w:r>
    </w:p>
  </w:footnote>
  <w:footnote w:id="18">
    <w:p w14:paraId="225BD2A9" w14:textId="76483810" w:rsidR="00F87118" w:rsidRPr="0021662F" w:rsidRDefault="00F87118"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NDV v S</w:t>
      </w:r>
      <w:r w:rsidRPr="0021662F">
        <w:rPr>
          <w:rFonts w:ascii="Times New Roman" w:hAnsi="Times New Roman" w:cs="Times New Roman"/>
        </w:rPr>
        <w:t xml:space="preserve"> </w:t>
      </w:r>
      <w:r w:rsidR="00C202F7" w:rsidRPr="00FC37AB">
        <w:rPr>
          <w:rFonts w:ascii="Times New Roman" w:hAnsi="Times New Roman" w:cs="Times New Roman"/>
          <w:i/>
          <w:iCs/>
        </w:rPr>
        <w:t xml:space="preserve">supra </w:t>
      </w:r>
      <w:r w:rsidRPr="0021662F">
        <w:rPr>
          <w:rFonts w:ascii="Times New Roman" w:hAnsi="Times New Roman" w:cs="Times New Roman"/>
        </w:rPr>
        <w:t>para 9.</w:t>
      </w:r>
    </w:p>
  </w:footnote>
  <w:footnote w:id="19">
    <w:p w14:paraId="225BD2AA" w14:textId="77777777" w:rsidR="007E4028" w:rsidRPr="0021662F" w:rsidRDefault="007E4028"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Zinn</w:t>
      </w:r>
      <w:r w:rsidRPr="0021662F">
        <w:rPr>
          <w:rFonts w:ascii="Times New Roman" w:hAnsi="Times New Roman" w:cs="Times New Roman"/>
        </w:rPr>
        <w:t xml:space="preserve"> 1969 (2) SA 537 (A) at 540G-H.</w:t>
      </w:r>
    </w:p>
  </w:footnote>
  <w:footnote w:id="20">
    <w:p w14:paraId="225BD2AB" w14:textId="73A4FA9A" w:rsidR="004568A9" w:rsidRPr="0021662F" w:rsidRDefault="004568A9"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4A431B" w:rsidRPr="0021662F">
        <w:rPr>
          <w:rFonts w:ascii="Times New Roman" w:hAnsi="Times New Roman" w:cs="Times New Roman"/>
          <w:i/>
        </w:rPr>
        <w:t>NDV v S supra</w:t>
      </w:r>
      <w:r w:rsidR="004A431B" w:rsidRPr="0021662F">
        <w:rPr>
          <w:rFonts w:ascii="Times New Roman" w:hAnsi="Times New Roman" w:cs="Times New Roman"/>
        </w:rPr>
        <w:t xml:space="preserve"> paras 28-32; </w:t>
      </w:r>
      <w:r w:rsidR="004A431B" w:rsidRPr="0021662F">
        <w:rPr>
          <w:rFonts w:ascii="Times New Roman" w:hAnsi="Times New Roman" w:cs="Times New Roman"/>
          <w:i/>
        </w:rPr>
        <w:t>MS v S</w:t>
      </w:r>
      <w:r w:rsidR="00E72ECE">
        <w:rPr>
          <w:rFonts w:ascii="Times New Roman" w:hAnsi="Times New Roman" w:cs="Times New Roman"/>
          <w:i/>
        </w:rPr>
        <w:t xml:space="preserve"> </w:t>
      </w:r>
      <w:r w:rsidR="00D610B4" w:rsidRPr="00FC37AB">
        <w:rPr>
          <w:rFonts w:ascii="Times New Roman" w:hAnsi="Times New Roman" w:cs="Times New Roman"/>
          <w:i/>
          <w:iCs/>
        </w:rPr>
        <w:t>supra</w:t>
      </w:r>
      <w:r w:rsidR="004A431B" w:rsidRPr="0021662F">
        <w:rPr>
          <w:rFonts w:ascii="Times New Roman" w:hAnsi="Times New Roman" w:cs="Times New Roman"/>
        </w:rPr>
        <w:t xml:space="preserve"> at 107</w:t>
      </w:r>
      <w:r w:rsidR="004A431B" w:rsidRPr="00FC37AB">
        <w:rPr>
          <w:rFonts w:ascii="Times New Roman" w:hAnsi="Times New Roman" w:cs="Times New Roman"/>
          <w:i/>
          <w:iCs/>
        </w:rPr>
        <w:t>c</w:t>
      </w:r>
      <w:r w:rsidR="004A431B" w:rsidRPr="0021662F">
        <w:rPr>
          <w:rFonts w:ascii="Times New Roman" w:hAnsi="Times New Roman" w:cs="Times New Roman"/>
        </w:rPr>
        <w:t>.</w:t>
      </w:r>
    </w:p>
  </w:footnote>
  <w:footnote w:id="21">
    <w:p w14:paraId="225BD2AC" w14:textId="3E463C00" w:rsidR="00F6536B" w:rsidRPr="0021662F" w:rsidRDefault="00F6536B"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S S Terblanche </w:t>
      </w:r>
      <w:r w:rsidRPr="00FC37AB">
        <w:rPr>
          <w:rFonts w:ascii="Times New Roman" w:hAnsi="Times New Roman" w:cs="Times New Roman"/>
          <w:i/>
          <w:iCs/>
        </w:rPr>
        <w:t>Guide to Sentencing</w:t>
      </w:r>
      <w:r w:rsidR="00C625F4" w:rsidRPr="00FC37AB">
        <w:rPr>
          <w:rFonts w:ascii="Times New Roman" w:hAnsi="Times New Roman" w:cs="Times New Roman"/>
          <w:i/>
          <w:iCs/>
        </w:rPr>
        <w:t xml:space="preserve"> in South Africa</w:t>
      </w:r>
      <w:r w:rsidRPr="0021662F">
        <w:rPr>
          <w:rFonts w:ascii="Times New Roman" w:hAnsi="Times New Roman" w:cs="Times New Roman"/>
        </w:rPr>
        <w:t xml:space="preserve"> 2 ed</w:t>
      </w:r>
      <w:r w:rsidR="003D4857">
        <w:rPr>
          <w:rFonts w:ascii="Times New Roman" w:hAnsi="Times New Roman" w:cs="Times New Roman"/>
        </w:rPr>
        <w:t xml:space="preserve"> (2007)</w:t>
      </w:r>
      <w:r w:rsidR="00DE2144">
        <w:rPr>
          <w:rFonts w:ascii="Times New Roman" w:hAnsi="Times New Roman" w:cs="Times New Roman"/>
        </w:rPr>
        <w:t xml:space="preserve"> at </w:t>
      </w:r>
      <w:r w:rsidRPr="0021662F">
        <w:rPr>
          <w:rFonts w:ascii="Times New Roman" w:hAnsi="Times New Roman" w:cs="Times New Roman"/>
        </w:rPr>
        <w:t>98, para</w:t>
      </w:r>
      <w:r w:rsidR="00A91855" w:rsidRPr="0021662F">
        <w:rPr>
          <w:rFonts w:ascii="Times New Roman" w:hAnsi="Times New Roman" w:cs="Times New Roman"/>
        </w:rPr>
        <w:t xml:space="preserve"> 4.3.4 </w:t>
      </w:r>
      <w:r w:rsidR="00DE2144">
        <w:rPr>
          <w:rFonts w:ascii="Times New Roman" w:hAnsi="Times New Roman" w:cs="Times New Roman"/>
        </w:rPr>
        <w:t>&amp;</w:t>
      </w:r>
      <w:r w:rsidRPr="0021662F">
        <w:rPr>
          <w:rFonts w:ascii="Times New Roman" w:hAnsi="Times New Roman" w:cs="Times New Roman"/>
        </w:rPr>
        <w:t xml:space="preserve"> 203-204 para 7.3.17</w:t>
      </w:r>
      <w:r w:rsidR="00A91855" w:rsidRPr="0021662F">
        <w:rPr>
          <w:rFonts w:ascii="Times New Roman" w:hAnsi="Times New Roman" w:cs="Times New Roman"/>
        </w:rPr>
        <w:t>.</w:t>
      </w:r>
    </w:p>
  </w:footnote>
  <w:footnote w:id="22">
    <w:p w14:paraId="225BD2AD" w14:textId="77777777" w:rsidR="006F0EA4" w:rsidRPr="0021662F" w:rsidRDefault="006F0EA4"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Khumalo</w:t>
      </w:r>
      <w:r w:rsidRPr="0021662F">
        <w:rPr>
          <w:rFonts w:ascii="Times New Roman" w:hAnsi="Times New Roman" w:cs="Times New Roman"/>
        </w:rPr>
        <w:t xml:space="preserve"> 2013 (1) SACR 96 (KZP) para 15.</w:t>
      </w:r>
    </w:p>
  </w:footnote>
  <w:footnote w:id="23">
    <w:p w14:paraId="225BD2AE" w14:textId="77777777" w:rsidR="00BF735C" w:rsidRPr="00FC37AB" w:rsidRDefault="00BF735C"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D255E4" w:rsidRPr="0021662F">
        <w:rPr>
          <w:rFonts w:ascii="Times New Roman" w:hAnsi="Times New Roman" w:cs="Times New Roman"/>
        </w:rPr>
        <w:t xml:space="preserve">They cannot simply be ignored – </w:t>
      </w:r>
      <w:r w:rsidRPr="0021662F">
        <w:rPr>
          <w:rFonts w:ascii="Times New Roman" w:hAnsi="Times New Roman" w:cs="Times New Roman"/>
          <w:i/>
        </w:rPr>
        <w:t>S v Piater</w:t>
      </w:r>
      <w:r w:rsidRPr="0021662F">
        <w:rPr>
          <w:rFonts w:ascii="Times New Roman" w:hAnsi="Times New Roman" w:cs="Times New Roman"/>
        </w:rPr>
        <w:t xml:space="preserve"> 2013 (2) SACR 254 (GNP) para 18.</w:t>
      </w:r>
    </w:p>
  </w:footnote>
  <w:footnote w:id="24">
    <w:p w14:paraId="225BD2AF" w14:textId="77777777" w:rsidR="009D240F" w:rsidRPr="0021662F" w:rsidRDefault="009D240F"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 xml:space="preserve">S v Trichart </w:t>
      </w:r>
      <w:r w:rsidRPr="0021662F">
        <w:rPr>
          <w:rFonts w:ascii="Times New Roman" w:hAnsi="Times New Roman" w:cs="Times New Roman"/>
        </w:rPr>
        <w:t>2014 (2) SACR 245 (GJ) para 10.</w:t>
      </w:r>
    </w:p>
  </w:footnote>
  <w:footnote w:id="25">
    <w:p w14:paraId="225BD2B0" w14:textId="2778B008" w:rsidR="0036647E" w:rsidRPr="0021662F" w:rsidRDefault="0036647E"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K.D</w:t>
      </w:r>
      <w:r w:rsidRPr="0021662F">
        <w:rPr>
          <w:rFonts w:ascii="Times New Roman" w:hAnsi="Times New Roman" w:cs="Times New Roman"/>
        </w:rPr>
        <w:t xml:space="preserve"> [2021] ZAWCHC 10; 2021 (1) SACR 675 (WCC) para 11.</w:t>
      </w:r>
    </w:p>
  </w:footnote>
  <w:footnote w:id="26">
    <w:p w14:paraId="225BD2B1" w14:textId="77777777" w:rsidR="007115B7" w:rsidRPr="0021662F" w:rsidRDefault="007115B7"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Flanagan</w:t>
      </w:r>
      <w:r w:rsidRPr="0021662F">
        <w:rPr>
          <w:rFonts w:ascii="Times New Roman" w:hAnsi="Times New Roman" w:cs="Times New Roman"/>
        </w:rPr>
        <w:t xml:space="preserve"> 1995 (1) SASV 13 (A).</w:t>
      </w:r>
    </w:p>
  </w:footnote>
  <w:footnote w:id="27">
    <w:p w14:paraId="225BD2B2" w14:textId="77777777" w:rsidR="00F37A75" w:rsidRPr="00FC37AB" w:rsidRDefault="00F37A75" w:rsidP="00FC37AB">
      <w:pPr>
        <w:pStyle w:val="FootnoteText"/>
        <w:jc w:val="both"/>
        <w:rPr>
          <w:rFonts w:ascii="Times New Roman" w:hAnsi="Times New Roman" w:cs="Times New Roman"/>
          <w:i/>
        </w:rPr>
      </w:pPr>
      <w:r w:rsidRPr="0021662F">
        <w:rPr>
          <w:rStyle w:val="FootnoteReference"/>
          <w:rFonts w:ascii="Times New Roman" w:hAnsi="Times New Roman" w:cs="Times New Roman"/>
        </w:rPr>
        <w:footnoteRef/>
      </w:r>
      <w:r w:rsidRPr="00FC37AB">
        <w:rPr>
          <w:rFonts w:ascii="Times New Roman" w:hAnsi="Times New Roman" w:cs="Times New Roman"/>
          <w:i/>
        </w:rPr>
        <w:t xml:space="preserve"> </w:t>
      </w:r>
      <w:r w:rsidRPr="0021662F">
        <w:rPr>
          <w:rFonts w:ascii="Times New Roman" w:hAnsi="Times New Roman" w:cs="Times New Roman"/>
          <w:i/>
        </w:rPr>
        <w:t xml:space="preserve">S v M supra at </w:t>
      </w:r>
      <w:r w:rsidRPr="0021662F">
        <w:rPr>
          <w:rFonts w:ascii="Times New Roman" w:hAnsi="Times New Roman" w:cs="Times New Roman"/>
        </w:rPr>
        <w:t>281A.</w:t>
      </w:r>
    </w:p>
  </w:footnote>
  <w:footnote w:id="28">
    <w:p w14:paraId="225BD2B3" w14:textId="03982CE7" w:rsidR="00354EF1" w:rsidRPr="00456C8E" w:rsidRDefault="00354EF1"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Rabie</w:t>
      </w:r>
      <w:r w:rsidRPr="0021662F">
        <w:rPr>
          <w:rFonts w:ascii="Times New Roman" w:hAnsi="Times New Roman" w:cs="Times New Roman"/>
        </w:rPr>
        <w:t xml:space="preserve"> 1975 (4) SA 855 (A) at 864F-G; </w:t>
      </w:r>
      <w:r w:rsidRPr="0021662F">
        <w:rPr>
          <w:rFonts w:ascii="Times New Roman" w:hAnsi="Times New Roman" w:cs="Times New Roman"/>
          <w:i/>
        </w:rPr>
        <w:t>S v Lister</w:t>
      </w:r>
      <w:r w:rsidRPr="0021662F">
        <w:rPr>
          <w:rFonts w:ascii="Times New Roman" w:hAnsi="Times New Roman" w:cs="Times New Roman"/>
        </w:rPr>
        <w:t xml:space="preserve"> 1993 (2) SACR 228 (A) at 232</w:t>
      </w:r>
      <w:r w:rsidRPr="00FC37AB">
        <w:rPr>
          <w:rFonts w:ascii="Times New Roman" w:hAnsi="Times New Roman" w:cs="Times New Roman"/>
          <w:i/>
          <w:iCs/>
        </w:rPr>
        <w:t>g-h</w:t>
      </w:r>
      <w:r w:rsidR="00456C8E">
        <w:rPr>
          <w:rFonts w:ascii="Times New Roman" w:hAnsi="Times New Roman" w:cs="Times New Roman"/>
        </w:rPr>
        <w:t>.</w:t>
      </w:r>
    </w:p>
  </w:footnote>
  <w:footnote w:id="29">
    <w:p w14:paraId="225BD2B4" w14:textId="5C05E930" w:rsidR="00F87512" w:rsidRPr="00FC37AB" w:rsidRDefault="00F87512" w:rsidP="0021662F">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R</w:t>
      </w:r>
      <w:r w:rsidR="00BC3183">
        <w:rPr>
          <w:rFonts w:ascii="Times New Roman" w:hAnsi="Times New Roman" w:cs="Times New Roman"/>
          <w:i/>
        </w:rPr>
        <w:t>ex</w:t>
      </w:r>
      <w:r w:rsidRPr="0021662F">
        <w:rPr>
          <w:rFonts w:ascii="Times New Roman" w:hAnsi="Times New Roman" w:cs="Times New Roman"/>
          <w:i/>
        </w:rPr>
        <w:t xml:space="preserve"> v Dhlumayo and Another </w:t>
      </w:r>
      <w:r w:rsidR="00102C47" w:rsidRPr="00FC37AB">
        <w:rPr>
          <w:rFonts w:ascii="Times New Roman" w:hAnsi="Times New Roman" w:cs="Times New Roman"/>
          <w:iCs/>
        </w:rPr>
        <w:t>1948 (2) SA 677 (A)</w:t>
      </w:r>
      <w:r w:rsidRPr="0021662F">
        <w:rPr>
          <w:rFonts w:ascii="Times New Roman" w:hAnsi="Times New Roman" w:cs="Times New Roman"/>
        </w:rPr>
        <w:t xml:space="preserve"> at 678.</w:t>
      </w:r>
    </w:p>
  </w:footnote>
  <w:footnote w:id="30">
    <w:p w14:paraId="225BD2B5" w14:textId="77777777" w:rsidR="00C2131F" w:rsidRPr="0021662F" w:rsidRDefault="00C2131F"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In the words of Madala J in </w:t>
      </w:r>
      <w:r w:rsidRPr="0021662F">
        <w:rPr>
          <w:rFonts w:ascii="Times New Roman" w:hAnsi="Times New Roman" w:cs="Times New Roman"/>
          <w:i/>
        </w:rPr>
        <w:t>S v M supra</w:t>
      </w:r>
      <w:r w:rsidRPr="0021662F">
        <w:rPr>
          <w:rFonts w:ascii="Times New Roman" w:hAnsi="Times New Roman" w:cs="Times New Roman"/>
        </w:rPr>
        <w:t xml:space="preserve"> at 282D.</w:t>
      </w:r>
    </w:p>
  </w:footnote>
  <w:footnote w:id="31">
    <w:p w14:paraId="225BD2B6" w14:textId="61D80C60" w:rsidR="007C52C7" w:rsidRPr="0021662F" w:rsidRDefault="007C52C7"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Pr="0021662F">
        <w:rPr>
          <w:rFonts w:ascii="Times New Roman" w:hAnsi="Times New Roman" w:cs="Times New Roman"/>
          <w:i/>
        </w:rPr>
        <w:t>S v M supra</w:t>
      </w:r>
      <w:r w:rsidRPr="0021662F">
        <w:rPr>
          <w:rFonts w:ascii="Times New Roman" w:hAnsi="Times New Roman" w:cs="Times New Roman"/>
        </w:rPr>
        <w:t xml:space="preserve"> at 257B; </w:t>
      </w:r>
      <w:r w:rsidRPr="00FC37AB">
        <w:rPr>
          <w:rFonts w:ascii="Times New Roman" w:hAnsi="Times New Roman" w:cs="Times New Roman"/>
          <w:i/>
          <w:iCs/>
        </w:rPr>
        <w:t>TC v SC</w:t>
      </w:r>
      <w:r w:rsidRPr="0021662F">
        <w:rPr>
          <w:rFonts w:ascii="Times New Roman" w:hAnsi="Times New Roman" w:cs="Times New Roman"/>
        </w:rPr>
        <w:t xml:space="preserve"> [2018] ZAWCHC 46; 2018 (4) SA 530 (WCC)</w:t>
      </w:r>
      <w:r w:rsidR="007E415C" w:rsidRPr="007E415C">
        <w:rPr>
          <w:rFonts w:ascii="Times New Roman" w:hAnsi="Times New Roman" w:cs="Times New Roman"/>
        </w:rPr>
        <w:t xml:space="preserve"> </w:t>
      </w:r>
      <w:r w:rsidR="007E415C" w:rsidRPr="0021662F">
        <w:rPr>
          <w:rFonts w:ascii="Times New Roman" w:hAnsi="Times New Roman" w:cs="Times New Roman"/>
        </w:rPr>
        <w:t>paras 44-45</w:t>
      </w:r>
      <w:r w:rsidR="007E415C">
        <w:rPr>
          <w:rFonts w:ascii="Times New Roman" w:hAnsi="Times New Roman" w:cs="Times New Roman"/>
        </w:rPr>
        <w:t>.</w:t>
      </w:r>
    </w:p>
  </w:footnote>
  <w:footnote w:id="32">
    <w:p w14:paraId="225BD2B7" w14:textId="385F9E69" w:rsidR="00031EB0" w:rsidRPr="0021662F" w:rsidRDefault="00031EB0" w:rsidP="00FC37AB">
      <w:pPr>
        <w:pStyle w:val="FootnoteText"/>
        <w:jc w:val="both"/>
        <w:rPr>
          <w:rFonts w:ascii="Times New Roman" w:hAnsi="Times New Roman" w:cs="Times New Roman"/>
        </w:rPr>
      </w:pPr>
      <w:r w:rsidRPr="0021662F">
        <w:rPr>
          <w:rStyle w:val="FootnoteReference"/>
          <w:rFonts w:ascii="Times New Roman" w:hAnsi="Times New Roman" w:cs="Times New Roman"/>
        </w:rPr>
        <w:footnoteRef/>
      </w:r>
      <w:r w:rsidRPr="0021662F">
        <w:rPr>
          <w:rFonts w:ascii="Times New Roman" w:hAnsi="Times New Roman" w:cs="Times New Roman"/>
        </w:rPr>
        <w:t xml:space="preserve"> </w:t>
      </w:r>
      <w:r w:rsidR="007C30D8" w:rsidRPr="00FC37AB">
        <w:rPr>
          <w:rFonts w:ascii="Times New Roman" w:hAnsi="Times New Roman" w:cs="Times New Roman"/>
          <w:i/>
          <w:iCs/>
        </w:rPr>
        <w:t>MS v S supra</w:t>
      </w:r>
      <w:r w:rsidRPr="0021662F">
        <w:rPr>
          <w:rFonts w:ascii="Times New Roman" w:hAnsi="Times New Roman" w:cs="Times New Roman"/>
        </w:rPr>
        <w:t xml:space="preserve"> para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64867"/>
      <w:docPartObj>
        <w:docPartGallery w:val="Page Numbers (Top of Page)"/>
        <w:docPartUnique/>
      </w:docPartObj>
    </w:sdtPr>
    <w:sdtEndPr>
      <w:rPr>
        <w:rFonts w:ascii="Times New Roman" w:hAnsi="Times New Roman" w:cs="Times New Roman"/>
        <w:noProof/>
      </w:rPr>
    </w:sdtEndPr>
    <w:sdtContent>
      <w:p w14:paraId="3EE75989" w14:textId="4F599A55" w:rsidR="00115BC4" w:rsidRPr="00FC37AB" w:rsidRDefault="00115BC4">
        <w:pPr>
          <w:pStyle w:val="Header"/>
          <w:jc w:val="right"/>
          <w:rPr>
            <w:rFonts w:ascii="Times New Roman" w:hAnsi="Times New Roman" w:cs="Times New Roman"/>
          </w:rPr>
        </w:pPr>
        <w:r w:rsidRPr="00FC37AB">
          <w:rPr>
            <w:rFonts w:ascii="Times New Roman" w:hAnsi="Times New Roman" w:cs="Times New Roman"/>
          </w:rPr>
          <w:fldChar w:fldCharType="begin"/>
        </w:r>
        <w:r w:rsidRPr="00FC37AB">
          <w:rPr>
            <w:rFonts w:ascii="Times New Roman" w:hAnsi="Times New Roman" w:cs="Times New Roman"/>
          </w:rPr>
          <w:instrText xml:space="preserve"> PAGE   \* MERGEFORMAT </w:instrText>
        </w:r>
        <w:r w:rsidRPr="00FC37AB">
          <w:rPr>
            <w:rFonts w:ascii="Times New Roman" w:hAnsi="Times New Roman" w:cs="Times New Roman"/>
          </w:rPr>
          <w:fldChar w:fldCharType="separate"/>
        </w:r>
        <w:r w:rsidR="009C0671">
          <w:rPr>
            <w:rFonts w:ascii="Times New Roman" w:hAnsi="Times New Roman" w:cs="Times New Roman"/>
            <w:noProof/>
          </w:rPr>
          <w:t>2</w:t>
        </w:r>
        <w:r w:rsidRPr="00FC37AB">
          <w:rPr>
            <w:rFonts w:ascii="Times New Roman" w:hAnsi="Times New Roman" w:cs="Times New Roman"/>
            <w:noProof/>
          </w:rPr>
          <w:fldChar w:fldCharType="end"/>
        </w:r>
      </w:p>
    </w:sdtContent>
  </w:sdt>
  <w:p w14:paraId="225BD298" w14:textId="77777777"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C5C"/>
    <w:multiLevelType w:val="hybridMultilevel"/>
    <w:tmpl w:val="4F58630E"/>
    <w:lvl w:ilvl="0" w:tplc="F4EA56D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84AAB0F-6F6E-4BD1-8DA5-4FCA5E94B33D}"/>
    <w:docVar w:name="dgnword-eventsink" w:val="181386672"/>
  </w:docVars>
  <w:rsids>
    <w:rsidRoot w:val="00354A12"/>
    <w:rsid w:val="000006AD"/>
    <w:rsid w:val="000116B2"/>
    <w:rsid w:val="0002122F"/>
    <w:rsid w:val="00023B8B"/>
    <w:rsid w:val="00024182"/>
    <w:rsid w:val="00027E00"/>
    <w:rsid w:val="00031EB0"/>
    <w:rsid w:val="00032E53"/>
    <w:rsid w:val="0003306D"/>
    <w:rsid w:val="000346D5"/>
    <w:rsid w:val="00036124"/>
    <w:rsid w:val="0003673D"/>
    <w:rsid w:val="00037F82"/>
    <w:rsid w:val="00040476"/>
    <w:rsid w:val="00043009"/>
    <w:rsid w:val="00046843"/>
    <w:rsid w:val="00047D70"/>
    <w:rsid w:val="00050A68"/>
    <w:rsid w:val="00051077"/>
    <w:rsid w:val="00056B5F"/>
    <w:rsid w:val="00062821"/>
    <w:rsid w:val="00065C16"/>
    <w:rsid w:val="00066F15"/>
    <w:rsid w:val="0007086C"/>
    <w:rsid w:val="00074530"/>
    <w:rsid w:val="00075E46"/>
    <w:rsid w:val="00084D17"/>
    <w:rsid w:val="00087C9F"/>
    <w:rsid w:val="00090FAB"/>
    <w:rsid w:val="00097C56"/>
    <w:rsid w:val="000A6EE2"/>
    <w:rsid w:val="000B219F"/>
    <w:rsid w:val="000B3056"/>
    <w:rsid w:val="000B3BA1"/>
    <w:rsid w:val="000B5C66"/>
    <w:rsid w:val="000B6557"/>
    <w:rsid w:val="000C1A8E"/>
    <w:rsid w:val="000C1B94"/>
    <w:rsid w:val="000C36D0"/>
    <w:rsid w:val="000C5ED7"/>
    <w:rsid w:val="000D05A5"/>
    <w:rsid w:val="000D1B52"/>
    <w:rsid w:val="000D1DCE"/>
    <w:rsid w:val="000D2123"/>
    <w:rsid w:val="000D22C1"/>
    <w:rsid w:val="000D23F9"/>
    <w:rsid w:val="000D4443"/>
    <w:rsid w:val="000D6DA7"/>
    <w:rsid w:val="000E054D"/>
    <w:rsid w:val="000E5085"/>
    <w:rsid w:val="000F209F"/>
    <w:rsid w:val="000F6A70"/>
    <w:rsid w:val="00100EAE"/>
    <w:rsid w:val="00102C47"/>
    <w:rsid w:val="001031EB"/>
    <w:rsid w:val="00113883"/>
    <w:rsid w:val="00113E1C"/>
    <w:rsid w:val="00115310"/>
    <w:rsid w:val="00115BC4"/>
    <w:rsid w:val="0011684E"/>
    <w:rsid w:val="00121381"/>
    <w:rsid w:val="00122A4F"/>
    <w:rsid w:val="00127E0C"/>
    <w:rsid w:val="00131176"/>
    <w:rsid w:val="0013227D"/>
    <w:rsid w:val="00155667"/>
    <w:rsid w:val="00157A67"/>
    <w:rsid w:val="00162DC7"/>
    <w:rsid w:val="001642DF"/>
    <w:rsid w:val="00166761"/>
    <w:rsid w:val="00167BDA"/>
    <w:rsid w:val="00170075"/>
    <w:rsid w:val="00176745"/>
    <w:rsid w:val="00182BC3"/>
    <w:rsid w:val="001831D0"/>
    <w:rsid w:val="00185A0A"/>
    <w:rsid w:val="00195B6D"/>
    <w:rsid w:val="001A14D5"/>
    <w:rsid w:val="001A4AF8"/>
    <w:rsid w:val="001A4B44"/>
    <w:rsid w:val="001A51EE"/>
    <w:rsid w:val="001A68D8"/>
    <w:rsid w:val="001A72E0"/>
    <w:rsid w:val="001B08A9"/>
    <w:rsid w:val="001B21C4"/>
    <w:rsid w:val="001B2FE7"/>
    <w:rsid w:val="001B3A9B"/>
    <w:rsid w:val="001C074A"/>
    <w:rsid w:val="001C409C"/>
    <w:rsid w:val="001D055A"/>
    <w:rsid w:val="001D28A7"/>
    <w:rsid w:val="001E0556"/>
    <w:rsid w:val="001E4D78"/>
    <w:rsid w:val="001F22F3"/>
    <w:rsid w:val="001F273B"/>
    <w:rsid w:val="001F45B6"/>
    <w:rsid w:val="001F4F0B"/>
    <w:rsid w:val="001F7604"/>
    <w:rsid w:val="0020185F"/>
    <w:rsid w:val="00203666"/>
    <w:rsid w:val="0020648E"/>
    <w:rsid w:val="0021214C"/>
    <w:rsid w:val="0021662F"/>
    <w:rsid w:val="00223387"/>
    <w:rsid w:val="00223B62"/>
    <w:rsid w:val="00234EDE"/>
    <w:rsid w:val="002350A7"/>
    <w:rsid w:val="00237966"/>
    <w:rsid w:val="00240B09"/>
    <w:rsid w:val="00242EF2"/>
    <w:rsid w:val="002459DB"/>
    <w:rsid w:val="002467DA"/>
    <w:rsid w:val="00247DB2"/>
    <w:rsid w:val="0025095B"/>
    <w:rsid w:val="00253CCF"/>
    <w:rsid w:val="002551CB"/>
    <w:rsid w:val="00256EB6"/>
    <w:rsid w:val="002604DF"/>
    <w:rsid w:val="0026680B"/>
    <w:rsid w:val="00267004"/>
    <w:rsid w:val="002746CA"/>
    <w:rsid w:val="00274F2D"/>
    <w:rsid w:val="00276D8F"/>
    <w:rsid w:val="0028257A"/>
    <w:rsid w:val="00283ECA"/>
    <w:rsid w:val="002869F1"/>
    <w:rsid w:val="00290BEB"/>
    <w:rsid w:val="00291A86"/>
    <w:rsid w:val="00295135"/>
    <w:rsid w:val="00295D73"/>
    <w:rsid w:val="002A21A5"/>
    <w:rsid w:val="002A6D9E"/>
    <w:rsid w:val="002B0B92"/>
    <w:rsid w:val="002B3E80"/>
    <w:rsid w:val="002B62A9"/>
    <w:rsid w:val="002B752C"/>
    <w:rsid w:val="002B7A11"/>
    <w:rsid w:val="002C0B06"/>
    <w:rsid w:val="002C725B"/>
    <w:rsid w:val="002C7D16"/>
    <w:rsid w:val="002D0830"/>
    <w:rsid w:val="002D0D47"/>
    <w:rsid w:val="002D1240"/>
    <w:rsid w:val="002D3523"/>
    <w:rsid w:val="002D391B"/>
    <w:rsid w:val="002D6AC7"/>
    <w:rsid w:val="002E29A5"/>
    <w:rsid w:val="002F4B69"/>
    <w:rsid w:val="00300F4D"/>
    <w:rsid w:val="00301202"/>
    <w:rsid w:val="003018EA"/>
    <w:rsid w:val="00302149"/>
    <w:rsid w:val="0030468B"/>
    <w:rsid w:val="00316F14"/>
    <w:rsid w:val="003214E1"/>
    <w:rsid w:val="00321C55"/>
    <w:rsid w:val="003229DA"/>
    <w:rsid w:val="00323642"/>
    <w:rsid w:val="00324991"/>
    <w:rsid w:val="00324B01"/>
    <w:rsid w:val="003250EC"/>
    <w:rsid w:val="003328A3"/>
    <w:rsid w:val="003344F5"/>
    <w:rsid w:val="0033772D"/>
    <w:rsid w:val="003432B8"/>
    <w:rsid w:val="00343854"/>
    <w:rsid w:val="00351027"/>
    <w:rsid w:val="00354A12"/>
    <w:rsid w:val="00354EF1"/>
    <w:rsid w:val="00356757"/>
    <w:rsid w:val="003626AA"/>
    <w:rsid w:val="0036647E"/>
    <w:rsid w:val="00370C3A"/>
    <w:rsid w:val="00373C35"/>
    <w:rsid w:val="00374006"/>
    <w:rsid w:val="00381633"/>
    <w:rsid w:val="00382452"/>
    <w:rsid w:val="00383166"/>
    <w:rsid w:val="00385DAF"/>
    <w:rsid w:val="0038713E"/>
    <w:rsid w:val="003938EC"/>
    <w:rsid w:val="003966FB"/>
    <w:rsid w:val="003A7F1D"/>
    <w:rsid w:val="003B03B0"/>
    <w:rsid w:val="003B091F"/>
    <w:rsid w:val="003B3626"/>
    <w:rsid w:val="003B3BFB"/>
    <w:rsid w:val="003B59D2"/>
    <w:rsid w:val="003B6C74"/>
    <w:rsid w:val="003C3BAD"/>
    <w:rsid w:val="003C41C5"/>
    <w:rsid w:val="003C433D"/>
    <w:rsid w:val="003C44E7"/>
    <w:rsid w:val="003C49A2"/>
    <w:rsid w:val="003C4A46"/>
    <w:rsid w:val="003C60A5"/>
    <w:rsid w:val="003C7B24"/>
    <w:rsid w:val="003D11E7"/>
    <w:rsid w:val="003D4857"/>
    <w:rsid w:val="003E02A1"/>
    <w:rsid w:val="003E02FC"/>
    <w:rsid w:val="003E3543"/>
    <w:rsid w:val="003E3AAF"/>
    <w:rsid w:val="003E6E31"/>
    <w:rsid w:val="003F1D75"/>
    <w:rsid w:val="003F76E3"/>
    <w:rsid w:val="004003C0"/>
    <w:rsid w:val="0040650B"/>
    <w:rsid w:val="00410E80"/>
    <w:rsid w:val="004112AE"/>
    <w:rsid w:val="00413061"/>
    <w:rsid w:val="004154AA"/>
    <w:rsid w:val="00415B76"/>
    <w:rsid w:val="00416485"/>
    <w:rsid w:val="004206C0"/>
    <w:rsid w:val="004216C7"/>
    <w:rsid w:val="00423158"/>
    <w:rsid w:val="004244CB"/>
    <w:rsid w:val="00427944"/>
    <w:rsid w:val="00440546"/>
    <w:rsid w:val="00440E8F"/>
    <w:rsid w:val="00443279"/>
    <w:rsid w:val="004446EC"/>
    <w:rsid w:val="00444C51"/>
    <w:rsid w:val="00451F1B"/>
    <w:rsid w:val="00453409"/>
    <w:rsid w:val="00456802"/>
    <w:rsid w:val="004568A9"/>
    <w:rsid w:val="00456C8E"/>
    <w:rsid w:val="004616C1"/>
    <w:rsid w:val="004707F0"/>
    <w:rsid w:val="0047490B"/>
    <w:rsid w:val="00476B6B"/>
    <w:rsid w:val="004804E0"/>
    <w:rsid w:val="0048335A"/>
    <w:rsid w:val="00483C6D"/>
    <w:rsid w:val="004969F9"/>
    <w:rsid w:val="004A1E77"/>
    <w:rsid w:val="004A431B"/>
    <w:rsid w:val="004A6FD8"/>
    <w:rsid w:val="004B3647"/>
    <w:rsid w:val="004D49B9"/>
    <w:rsid w:val="004D629B"/>
    <w:rsid w:val="004E057F"/>
    <w:rsid w:val="004E27D4"/>
    <w:rsid w:val="004F0C1C"/>
    <w:rsid w:val="004F0C64"/>
    <w:rsid w:val="004F5BB8"/>
    <w:rsid w:val="004F74AC"/>
    <w:rsid w:val="00500275"/>
    <w:rsid w:val="00504A1A"/>
    <w:rsid w:val="005056B1"/>
    <w:rsid w:val="005125C0"/>
    <w:rsid w:val="0051348F"/>
    <w:rsid w:val="00515A46"/>
    <w:rsid w:val="005176F7"/>
    <w:rsid w:val="005177DD"/>
    <w:rsid w:val="00522840"/>
    <w:rsid w:val="0052321E"/>
    <w:rsid w:val="00526139"/>
    <w:rsid w:val="0053566B"/>
    <w:rsid w:val="005357AC"/>
    <w:rsid w:val="0054255B"/>
    <w:rsid w:val="00542BBC"/>
    <w:rsid w:val="00544FEC"/>
    <w:rsid w:val="00550287"/>
    <w:rsid w:val="005504AB"/>
    <w:rsid w:val="00551AC0"/>
    <w:rsid w:val="00557769"/>
    <w:rsid w:val="005635D2"/>
    <w:rsid w:val="00563A15"/>
    <w:rsid w:val="005659C5"/>
    <w:rsid w:val="00570736"/>
    <w:rsid w:val="005712EB"/>
    <w:rsid w:val="00577392"/>
    <w:rsid w:val="0058461B"/>
    <w:rsid w:val="00584754"/>
    <w:rsid w:val="00585A47"/>
    <w:rsid w:val="0059037D"/>
    <w:rsid w:val="005936FD"/>
    <w:rsid w:val="005944BE"/>
    <w:rsid w:val="005A5715"/>
    <w:rsid w:val="005A6790"/>
    <w:rsid w:val="005A71C3"/>
    <w:rsid w:val="005B7B4F"/>
    <w:rsid w:val="005C1364"/>
    <w:rsid w:val="005C23DA"/>
    <w:rsid w:val="005E3F0D"/>
    <w:rsid w:val="005E5E20"/>
    <w:rsid w:val="005F1FA1"/>
    <w:rsid w:val="005F5562"/>
    <w:rsid w:val="005F76DD"/>
    <w:rsid w:val="0060026E"/>
    <w:rsid w:val="00601CF9"/>
    <w:rsid w:val="00602E88"/>
    <w:rsid w:val="00607803"/>
    <w:rsid w:val="00607E9F"/>
    <w:rsid w:val="00610062"/>
    <w:rsid w:val="006140A0"/>
    <w:rsid w:val="0061493D"/>
    <w:rsid w:val="00616B21"/>
    <w:rsid w:val="006211FC"/>
    <w:rsid w:val="00625CBF"/>
    <w:rsid w:val="006261BC"/>
    <w:rsid w:val="00632EB4"/>
    <w:rsid w:val="00633710"/>
    <w:rsid w:val="00656134"/>
    <w:rsid w:val="006563F8"/>
    <w:rsid w:val="00656750"/>
    <w:rsid w:val="00656DD3"/>
    <w:rsid w:val="0066405E"/>
    <w:rsid w:val="00670B4B"/>
    <w:rsid w:val="0067100F"/>
    <w:rsid w:val="00672019"/>
    <w:rsid w:val="00673684"/>
    <w:rsid w:val="006819F8"/>
    <w:rsid w:val="00681EC7"/>
    <w:rsid w:val="00682AC5"/>
    <w:rsid w:val="00684990"/>
    <w:rsid w:val="00687D8A"/>
    <w:rsid w:val="00693B77"/>
    <w:rsid w:val="00696ABB"/>
    <w:rsid w:val="006A7308"/>
    <w:rsid w:val="006B0CBF"/>
    <w:rsid w:val="006B17A5"/>
    <w:rsid w:val="006B1C5E"/>
    <w:rsid w:val="006B7DF9"/>
    <w:rsid w:val="006D231C"/>
    <w:rsid w:val="006D60A6"/>
    <w:rsid w:val="006E0214"/>
    <w:rsid w:val="006E2DC8"/>
    <w:rsid w:val="006E5501"/>
    <w:rsid w:val="006E79A3"/>
    <w:rsid w:val="006E7C69"/>
    <w:rsid w:val="006F0111"/>
    <w:rsid w:val="006F0EA4"/>
    <w:rsid w:val="006F1D8A"/>
    <w:rsid w:val="006F3F8C"/>
    <w:rsid w:val="006F44B3"/>
    <w:rsid w:val="006F5485"/>
    <w:rsid w:val="00701180"/>
    <w:rsid w:val="00703CC3"/>
    <w:rsid w:val="00704897"/>
    <w:rsid w:val="00706372"/>
    <w:rsid w:val="007115B7"/>
    <w:rsid w:val="0071435A"/>
    <w:rsid w:val="00725290"/>
    <w:rsid w:val="0072617C"/>
    <w:rsid w:val="00731F63"/>
    <w:rsid w:val="00747BAB"/>
    <w:rsid w:val="00754B43"/>
    <w:rsid w:val="00754B6A"/>
    <w:rsid w:val="00755C6B"/>
    <w:rsid w:val="007600EB"/>
    <w:rsid w:val="00760F5B"/>
    <w:rsid w:val="00761EBB"/>
    <w:rsid w:val="0076276E"/>
    <w:rsid w:val="0077150B"/>
    <w:rsid w:val="00772450"/>
    <w:rsid w:val="007816F3"/>
    <w:rsid w:val="00783C36"/>
    <w:rsid w:val="00790814"/>
    <w:rsid w:val="007A3461"/>
    <w:rsid w:val="007A51EA"/>
    <w:rsid w:val="007B18B1"/>
    <w:rsid w:val="007B2286"/>
    <w:rsid w:val="007C30D8"/>
    <w:rsid w:val="007C52C7"/>
    <w:rsid w:val="007E0494"/>
    <w:rsid w:val="007E2A64"/>
    <w:rsid w:val="007E3DB5"/>
    <w:rsid w:val="007E3EF0"/>
    <w:rsid w:val="007E4028"/>
    <w:rsid w:val="007E415C"/>
    <w:rsid w:val="007F1F24"/>
    <w:rsid w:val="007F27CF"/>
    <w:rsid w:val="007F2DE1"/>
    <w:rsid w:val="00800F6D"/>
    <w:rsid w:val="008036C6"/>
    <w:rsid w:val="008050DB"/>
    <w:rsid w:val="008062C7"/>
    <w:rsid w:val="00806D68"/>
    <w:rsid w:val="00810763"/>
    <w:rsid w:val="008153EF"/>
    <w:rsid w:val="00820F57"/>
    <w:rsid w:val="00831203"/>
    <w:rsid w:val="00834087"/>
    <w:rsid w:val="0083510F"/>
    <w:rsid w:val="0083619C"/>
    <w:rsid w:val="008428FA"/>
    <w:rsid w:val="008454E8"/>
    <w:rsid w:val="00845FE7"/>
    <w:rsid w:val="008510F3"/>
    <w:rsid w:val="00852B06"/>
    <w:rsid w:val="00853BA3"/>
    <w:rsid w:val="00855900"/>
    <w:rsid w:val="008567E6"/>
    <w:rsid w:val="0085694A"/>
    <w:rsid w:val="008601D9"/>
    <w:rsid w:val="008645AD"/>
    <w:rsid w:val="00874956"/>
    <w:rsid w:val="00875814"/>
    <w:rsid w:val="00876364"/>
    <w:rsid w:val="00881260"/>
    <w:rsid w:val="008861AF"/>
    <w:rsid w:val="008866E7"/>
    <w:rsid w:val="00890A8A"/>
    <w:rsid w:val="008978BB"/>
    <w:rsid w:val="008A15A5"/>
    <w:rsid w:val="008A2E7D"/>
    <w:rsid w:val="008A73F5"/>
    <w:rsid w:val="008B168B"/>
    <w:rsid w:val="008B5715"/>
    <w:rsid w:val="008B6464"/>
    <w:rsid w:val="008B72E1"/>
    <w:rsid w:val="008C0CBE"/>
    <w:rsid w:val="008C1786"/>
    <w:rsid w:val="008C5A86"/>
    <w:rsid w:val="008D19BC"/>
    <w:rsid w:val="008D7904"/>
    <w:rsid w:val="008E2ECD"/>
    <w:rsid w:val="008E4A0D"/>
    <w:rsid w:val="008E4D2B"/>
    <w:rsid w:val="008E5DA8"/>
    <w:rsid w:val="008F22CA"/>
    <w:rsid w:val="008F2723"/>
    <w:rsid w:val="00903E6F"/>
    <w:rsid w:val="00906DD1"/>
    <w:rsid w:val="00910716"/>
    <w:rsid w:val="00912ABB"/>
    <w:rsid w:val="00913061"/>
    <w:rsid w:val="009151A0"/>
    <w:rsid w:val="00916D98"/>
    <w:rsid w:val="009219F5"/>
    <w:rsid w:val="0092310C"/>
    <w:rsid w:val="00924860"/>
    <w:rsid w:val="009254DC"/>
    <w:rsid w:val="009255C6"/>
    <w:rsid w:val="00932C3F"/>
    <w:rsid w:val="00941404"/>
    <w:rsid w:val="00944B0A"/>
    <w:rsid w:val="00953A4E"/>
    <w:rsid w:val="009541A5"/>
    <w:rsid w:val="0095480D"/>
    <w:rsid w:val="009675D2"/>
    <w:rsid w:val="00973515"/>
    <w:rsid w:val="00975C86"/>
    <w:rsid w:val="00980272"/>
    <w:rsid w:val="00980FF8"/>
    <w:rsid w:val="00984476"/>
    <w:rsid w:val="00991CE0"/>
    <w:rsid w:val="00993DD9"/>
    <w:rsid w:val="00997A16"/>
    <w:rsid w:val="009A3A68"/>
    <w:rsid w:val="009A409E"/>
    <w:rsid w:val="009A6BF2"/>
    <w:rsid w:val="009B3281"/>
    <w:rsid w:val="009B5989"/>
    <w:rsid w:val="009C0671"/>
    <w:rsid w:val="009C3804"/>
    <w:rsid w:val="009D240F"/>
    <w:rsid w:val="009E0628"/>
    <w:rsid w:val="009F2E57"/>
    <w:rsid w:val="009F48A6"/>
    <w:rsid w:val="009F6AEA"/>
    <w:rsid w:val="009F7C1F"/>
    <w:rsid w:val="00A116C8"/>
    <w:rsid w:val="00A14A72"/>
    <w:rsid w:val="00A1655D"/>
    <w:rsid w:val="00A20CF8"/>
    <w:rsid w:val="00A23228"/>
    <w:rsid w:val="00A2499F"/>
    <w:rsid w:val="00A27D5A"/>
    <w:rsid w:val="00A3213A"/>
    <w:rsid w:val="00A3643C"/>
    <w:rsid w:val="00A3670A"/>
    <w:rsid w:val="00A4379A"/>
    <w:rsid w:val="00A45324"/>
    <w:rsid w:val="00A46DDF"/>
    <w:rsid w:val="00A47012"/>
    <w:rsid w:val="00A56CED"/>
    <w:rsid w:val="00A572D4"/>
    <w:rsid w:val="00A57408"/>
    <w:rsid w:val="00A604C0"/>
    <w:rsid w:val="00A62CE5"/>
    <w:rsid w:val="00A64537"/>
    <w:rsid w:val="00A65094"/>
    <w:rsid w:val="00A6598F"/>
    <w:rsid w:val="00A664FC"/>
    <w:rsid w:val="00A6660C"/>
    <w:rsid w:val="00A66E17"/>
    <w:rsid w:val="00A67213"/>
    <w:rsid w:val="00A72AC6"/>
    <w:rsid w:val="00A81B4B"/>
    <w:rsid w:val="00A81DDA"/>
    <w:rsid w:val="00A86271"/>
    <w:rsid w:val="00A907BA"/>
    <w:rsid w:val="00A91855"/>
    <w:rsid w:val="00A9314A"/>
    <w:rsid w:val="00A93280"/>
    <w:rsid w:val="00A941D3"/>
    <w:rsid w:val="00A9467A"/>
    <w:rsid w:val="00A971DC"/>
    <w:rsid w:val="00A97D6D"/>
    <w:rsid w:val="00AA5C21"/>
    <w:rsid w:val="00AA69AC"/>
    <w:rsid w:val="00AD4DFB"/>
    <w:rsid w:val="00AD4ECD"/>
    <w:rsid w:val="00AD6D5A"/>
    <w:rsid w:val="00AD7016"/>
    <w:rsid w:val="00AE1D07"/>
    <w:rsid w:val="00AE51FB"/>
    <w:rsid w:val="00AE6FEC"/>
    <w:rsid w:val="00AF0451"/>
    <w:rsid w:val="00AF3832"/>
    <w:rsid w:val="00AF51B7"/>
    <w:rsid w:val="00AF5ED4"/>
    <w:rsid w:val="00AF64B2"/>
    <w:rsid w:val="00B000D8"/>
    <w:rsid w:val="00B038CA"/>
    <w:rsid w:val="00B0500D"/>
    <w:rsid w:val="00B05C9E"/>
    <w:rsid w:val="00B07A99"/>
    <w:rsid w:val="00B109B4"/>
    <w:rsid w:val="00B11061"/>
    <w:rsid w:val="00B11ECC"/>
    <w:rsid w:val="00B14C07"/>
    <w:rsid w:val="00B27EF5"/>
    <w:rsid w:val="00B32B51"/>
    <w:rsid w:val="00B37BBB"/>
    <w:rsid w:val="00B40F45"/>
    <w:rsid w:val="00B43022"/>
    <w:rsid w:val="00B54F1A"/>
    <w:rsid w:val="00B55BAB"/>
    <w:rsid w:val="00B644C6"/>
    <w:rsid w:val="00B6756B"/>
    <w:rsid w:val="00B742F4"/>
    <w:rsid w:val="00B800F5"/>
    <w:rsid w:val="00B80180"/>
    <w:rsid w:val="00B82791"/>
    <w:rsid w:val="00B84737"/>
    <w:rsid w:val="00B85312"/>
    <w:rsid w:val="00B90DD8"/>
    <w:rsid w:val="00B94ACE"/>
    <w:rsid w:val="00B95CBC"/>
    <w:rsid w:val="00BA23F8"/>
    <w:rsid w:val="00BA5388"/>
    <w:rsid w:val="00BA5DCF"/>
    <w:rsid w:val="00BA7265"/>
    <w:rsid w:val="00BB42BD"/>
    <w:rsid w:val="00BC0127"/>
    <w:rsid w:val="00BC3183"/>
    <w:rsid w:val="00BC5E10"/>
    <w:rsid w:val="00BC5EEB"/>
    <w:rsid w:val="00BC675F"/>
    <w:rsid w:val="00BC707E"/>
    <w:rsid w:val="00BD28B5"/>
    <w:rsid w:val="00BD504F"/>
    <w:rsid w:val="00BE023B"/>
    <w:rsid w:val="00BE3D8A"/>
    <w:rsid w:val="00BE7DFA"/>
    <w:rsid w:val="00BF36C5"/>
    <w:rsid w:val="00BF735C"/>
    <w:rsid w:val="00C04E6C"/>
    <w:rsid w:val="00C1015D"/>
    <w:rsid w:val="00C13409"/>
    <w:rsid w:val="00C202F7"/>
    <w:rsid w:val="00C2131F"/>
    <w:rsid w:val="00C23DD9"/>
    <w:rsid w:val="00C31183"/>
    <w:rsid w:val="00C417F3"/>
    <w:rsid w:val="00C443B2"/>
    <w:rsid w:val="00C44A8F"/>
    <w:rsid w:val="00C45A11"/>
    <w:rsid w:val="00C47BAA"/>
    <w:rsid w:val="00C50909"/>
    <w:rsid w:val="00C50C19"/>
    <w:rsid w:val="00C544F6"/>
    <w:rsid w:val="00C5568F"/>
    <w:rsid w:val="00C6029C"/>
    <w:rsid w:val="00C625F4"/>
    <w:rsid w:val="00C64A32"/>
    <w:rsid w:val="00C7054F"/>
    <w:rsid w:val="00C73ADC"/>
    <w:rsid w:val="00C830E4"/>
    <w:rsid w:val="00C857D9"/>
    <w:rsid w:val="00C86446"/>
    <w:rsid w:val="00C90771"/>
    <w:rsid w:val="00C923BD"/>
    <w:rsid w:val="00C94CFA"/>
    <w:rsid w:val="00C94D50"/>
    <w:rsid w:val="00C977A4"/>
    <w:rsid w:val="00CA7438"/>
    <w:rsid w:val="00CB0E4F"/>
    <w:rsid w:val="00CB775D"/>
    <w:rsid w:val="00CC16AF"/>
    <w:rsid w:val="00CC2074"/>
    <w:rsid w:val="00CC39BD"/>
    <w:rsid w:val="00CC3C69"/>
    <w:rsid w:val="00CD6C14"/>
    <w:rsid w:val="00CD7B3D"/>
    <w:rsid w:val="00CE0471"/>
    <w:rsid w:val="00CE1F27"/>
    <w:rsid w:val="00CE5D86"/>
    <w:rsid w:val="00CE7CCD"/>
    <w:rsid w:val="00CF0F1D"/>
    <w:rsid w:val="00D00D8E"/>
    <w:rsid w:val="00D01C55"/>
    <w:rsid w:val="00D02D5F"/>
    <w:rsid w:val="00D03DF7"/>
    <w:rsid w:val="00D047CE"/>
    <w:rsid w:val="00D06E89"/>
    <w:rsid w:val="00D07017"/>
    <w:rsid w:val="00D0737B"/>
    <w:rsid w:val="00D10218"/>
    <w:rsid w:val="00D12011"/>
    <w:rsid w:val="00D126F3"/>
    <w:rsid w:val="00D155C6"/>
    <w:rsid w:val="00D21428"/>
    <w:rsid w:val="00D255E4"/>
    <w:rsid w:val="00D3333C"/>
    <w:rsid w:val="00D45647"/>
    <w:rsid w:val="00D46290"/>
    <w:rsid w:val="00D47B3D"/>
    <w:rsid w:val="00D51891"/>
    <w:rsid w:val="00D53608"/>
    <w:rsid w:val="00D53989"/>
    <w:rsid w:val="00D53DE1"/>
    <w:rsid w:val="00D53E91"/>
    <w:rsid w:val="00D57314"/>
    <w:rsid w:val="00D57794"/>
    <w:rsid w:val="00D602FA"/>
    <w:rsid w:val="00D610B4"/>
    <w:rsid w:val="00D614C7"/>
    <w:rsid w:val="00D72975"/>
    <w:rsid w:val="00D80AA7"/>
    <w:rsid w:val="00D81518"/>
    <w:rsid w:val="00D85EF9"/>
    <w:rsid w:val="00D9251B"/>
    <w:rsid w:val="00D93E51"/>
    <w:rsid w:val="00D9781A"/>
    <w:rsid w:val="00DA0CD8"/>
    <w:rsid w:val="00DA1C46"/>
    <w:rsid w:val="00DA4BD3"/>
    <w:rsid w:val="00DB0C4D"/>
    <w:rsid w:val="00DB312B"/>
    <w:rsid w:val="00DC3765"/>
    <w:rsid w:val="00DC7A3C"/>
    <w:rsid w:val="00DD12EC"/>
    <w:rsid w:val="00DD27A4"/>
    <w:rsid w:val="00DD38F4"/>
    <w:rsid w:val="00DD466B"/>
    <w:rsid w:val="00DD5C25"/>
    <w:rsid w:val="00DD5F62"/>
    <w:rsid w:val="00DD6118"/>
    <w:rsid w:val="00DE05C1"/>
    <w:rsid w:val="00DE2144"/>
    <w:rsid w:val="00DE3DAC"/>
    <w:rsid w:val="00DE49C0"/>
    <w:rsid w:val="00DF2BCD"/>
    <w:rsid w:val="00DF422C"/>
    <w:rsid w:val="00DF7924"/>
    <w:rsid w:val="00E040F0"/>
    <w:rsid w:val="00E11BB5"/>
    <w:rsid w:val="00E1257A"/>
    <w:rsid w:val="00E1430A"/>
    <w:rsid w:val="00E161B1"/>
    <w:rsid w:val="00E16C3E"/>
    <w:rsid w:val="00E16EEF"/>
    <w:rsid w:val="00E1754A"/>
    <w:rsid w:val="00E22E6D"/>
    <w:rsid w:val="00E25D0D"/>
    <w:rsid w:val="00E27337"/>
    <w:rsid w:val="00E35EEC"/>
    <w:rsid w:val="00E36A2C"/>
    <w:rsid w:val="00E41829"/>
    <w:rsid w:val="00E46BE1"/>
    <w:rsid w:val="00E4775C"/>
    <w:rsid w:val="00E479B0"/>
    <w:rsid w:val="00E54834"/>
    <w:rsid w:val="00E54F89"/>
    <w:rsid w:val="00E57D23"/>
    <w:rsid w:val="00E61E5B"/>
    <w:rsid w:val="00E6395C"/>
    <w:rsid w:val="00E6670E"/>
    <w:rsid w:val="00E713D2"/>
    <w:rsid w:val="00E72ECE"/>
    <w:rsid w:val="00E74075"/>
    <w:rsid w:val="00E82D21"/>
    <w:rsid w:val="00E85DE4"/>
    <w:rsid w:val="00E86330"/>
    <w:rsid w:val="00E90805"/>
    <w:rsid w:val="00E9248B"/>
    <w:rsid w:val="00E933C6"/>
    <w:rsid w:val="00E95379"/>
    <w:rsid w:val="00E95C8A"/>
    <w:rsid w:val="00E97441"/>
    <w:rsid w:val="00E97A79"/>
    <w:rsid w:val="00EA183C"/>
    <w:rsid w:val="00EA6B90"/>
    <w:rsid w:val="00EB11A4"/>
    <w:rsid w:val="00EB3F84"/>
    <w:rsid w:val="00EB6520"/>
    <w:rsid w:val="00EB7266"/>
    <w:rsid w:val="00EC0AF5"/>
    <w:rsid w:val="00EC21BC"/>
    <w:rsid w:val="00EC4B15"/>
    <w:rsid w:val="00EC5F23"/>
    <w:rsid w:val="00EE1E9E"/>
    <w:rsid w:val="00EE2E21"/>
    <w:rsid w:val="00EE5EC6"/>
    <w:rsid w:val="00EE6AFC"/>
    <w:rsid w:val="00EF2281"/>
    <w:rsid w:val="00EF30C0"/>
    <w:rsid w:val="00EF629A"/>
    <w:rsid w:val="00EF65CC"/>
    <w:rsid w:val="00EF6CE1"/>
    <w:rsid w:val="00EF79A8"/>
    <w:rsid w:val="00F00363"/>
    <w:rsid w:val="00F04F63"/>
    <w:rsid w:val="00F1280C"/>
    <w:rsid w:val="00F12E8C"/>
    <w:rsid w:val="00F20BBC"/>
    <w:rsid w:val="00F23BB6"/>
    <w:rsid w:val="00F26AB8"/>
    <w:rsid w:val="00F30447"/>
    <w:rsid w:val="00F32D34"/>
    <w:rsid w:val="00F36E62"/>
    <w:rsid w:val="00F37A75"/>
    <w:rsid w:val="00F43424"/>
    <w:rsid w:val="00F461D5"/>
    <w:rsid w:val="00F53FEC"/>
    <w:rsid w:val="00F606D2"/>
    <w:rsid w:val="00F645BF"/>
    <w:rsid w:val="00F64B9E"/>
    <w:rsid w:val="00F6536B"/>
    <w:rsid w:val="00F66332"/>
    <w:rsid w:val="00F66B5C"/>
    <w:rsid w:val="00F74C93"/>
    <w:rsid w:val="00F827CB"/>
    <w:rsid w:val="00F85BC0"/>
    <w:rsid w:val="00F8626E"/>
    <w:rsid w:val="00F87118"/>
    <w:rsid w:val="00F87512"/>
    <w:rsid w:val="00F9171E"/>
    <w:rsid w:val="00F91BAD"/>
    <w:rsid w:val="00F96431"/>
    <w:rsid w:val="00F97C22"/>
    <w:rsid w:val="00FA2F62"/>
    <w:rsid w:val="00FA4268"/>
    <w:rsid w:val="00FA540A"/>
    <w:rsid w:val="00FB3A82"/>
    <w:rsid w:val="00FB53B7"/>
    <w:rsid w:val="00FB5474"/>
    <w:rsid w:val="00FB54F4"/>
    <w:rsid w:val="00FC02A3"/>
    <w:rsid w:val="00FC280A"/>
    <w:rsid w:val="00FC37AB"/>
    <w:rsid w:val="00FC4E5A"/>
    <w:rsid w:val="00FC7961"/>
    <w:rsid w:val="00FD2971"/>
    <w:rsid w:val="00FD370A"/>
    <w:rsid w:val="00FE338A"/>
    <w:rsid w:val="00FE3D9D"/>
    <w:rsid w:val="00FE45BF"/>
    <w:rsid w:val="00FF1464"/>
    <w:rsid w:val="00FF182A"/>
    <w:rsid w:val="00FF1CB6"/>
    <w:rsid w:val="00FF1D0D"/>
    <w:rsid w:val="00FF29E1"/>
    <w:rsid w:val="00FF2B57"/>
    <w:rsid w:val="00FF7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D20B"/>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paragraph" w:styleId="Heading2">
    <w:name w:val="heading 2"/>
    <w:basedOn w:val="Normal"/>
    <w:next w:val="Normal"/>
    <w:link w:val="Heading2Char"/>
    <w:uiPriority w:val="9"/>
    <w:semiHidden/>
    <w:unhideWhenUsed/>
    <w:qFormat/>
    <w:rsid w:val="00903E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customStyle="1" w:styleId="mc">
    <w:name w:val="mc"/>
    <w:basedOn w:val="DefaultParagraphFont"/>
    <w:rsid w:val="00FA4268"/>
  </w:style>
  <w:style w:type="paragraph" w:styleId="BalloonText">
    <w:name w:val="Balloon Text"/>
    <w:basedOn w:val="Normal"/>
    <w:link w:val="BalloonTextChar"/>
    <w:uiPriority w:val="99"/>
    <w:semiHidden/>
    <w:unhideWhenUsed/>
    <w:rsid w:val="00087C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9F"/>
    <w:rPr>
      <w:rFonts w:ascii="Segoe UI" w:hAnsi="Segoe UI" w:cs="Segoe UI"/>
      <w:sz w:val="18"/>
      <w:szCs w:val="18"/>
    </w:rPr>
  </w:style>
  <w:style w:type="paragraph" w:styleId="Revision">
    <w:name w:val="Revision"/>
    <w:hidden/>
    <w:uiPriority w:val="99"/>
    <w:semiHidden/>
    <w:rsid w:val="005944BE"/>
    <w:pPr>
      <w:spacing w:after="0" w:line="240" w:lineRule="auto"/>
    </w:pPr>
    <w:rPr>
      <w:rFonts w:cstheme="minorBidi"/>
      <w:szCs w:val="22"/>
    </w:rPr>
  </w:style>
  <w:style w:type="character" w:customStyle="1" w:styleId="Heading2Char">
    <w:name w:val="Heading 2 Char"/>
    <w:basedOn w:val="DefaultParagraphFont"/>
    <w:link w:val="Heading2"/>
    <w:uiPriority w:val="9"/>
    <w:semiHidden/>
    <w:rsid w:val="00903E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6270">
      <w:bodyDiv w:val="1"/>
      <w:marLeft w:val="0"/>
      <w:marRight w:val="0"/>
      <w:marTop w:val="0"/>
      <w:marBottom w:val="0"/>
      <w:divBdr>
        <w:top w:val="none" w:sz="0" w:space="0" w:color="auto"/>
        <w:left w:val="none" w:sz="0" w:space="0" w:color="auto"/>
        <w:bottom w:val="none" w:sz="0" w:space="0" w:color="auto"/>
        <w:right w:val="none" w:sz="0" w:space="0" w:color="auto"/>
      </w:divBdr>
    </w:div>
    <w:div w:id="471021021">
      <w:bodyDiv w:val="1"/>
      <w:marLeft w:val="0"/>
      <w:marRight w:val="0"/>
      <w:marTop w:val="0"/>
      <w:marBottom w:val="0"/>
      <w:divBdr>
        <w:top w:val="none" w:sz="0" w:space="0" w:color="auto"/>
        <w:left w:val="none" w:sz="0" w:space="0" w:color="auto"/>
        <w:bottom w:val="none" w:sz="0" w:space="0" w:color="auto"/>
        <w:right w:val="none" w:sz="0" w:space="0" w:color="auto"/>
      </w:divBdr>
    </w:div>
    <w:div w:id="1090275533">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9145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3A89-1C82-425C-BED2-CC26225E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2023-06-26T10:11:00Z</cp:lastPrinted>
  <dcterms:created xsi:type="dcterms:W3CDTF">2023-07-05T13:26:00Z</dcterms:created>
  <dcterms:modified xsi:type="dcterms:W3CDTF">2023-07-05T13:26:00Z</dcterms:modified>
  <cp:contentStatus/>
</cp:coreProperties>
</file>