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C721" w14:textId="77777777" w:rsidR="00C91BD0" w:rsidRPr="00F34416" w:rsidRDefault="00C91BD0" w:rsidP="00C91BD0">
      <w:pPr>
        <w:jc w:val="center"/>
        <w:rPr>
          <w:lang w:val="en-GB"/>
        </w:rPr>
      </w:pPr>
      <w:bookmarkStart w:id="0" w:name="_GoBack"/>
      <w:bookmarkEnd w:id="0"/>
      <w:r w:rsidRPr="00F34416">
        <w:rPr>
          <w:noProof/>
          <w:lang w:val="en-US"/>
        </w:rPr>
        <w:drawing>
          <wp:inline distT="0" distB="0" distL="0" distR="0" wp14:anchorId="385AB87F" wp14:editId="0B64BC3A">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0A56266A" w14:textId="77777777" w:rsidR="00C91BD0" w:rsidRPr="00F34416" w:rsidRDefault="00C91BD0" w:rsidP="00C91BD0">
      <w:pPr>
        <w:jc w:val="center"/>
        <w:rPr>
          <w:b/>
          <w:bCs/>
          <w:lang w:val="en-GB"/>
        </w:rPr>
      </w:pPr>
      <w:r w:rsidRPr="00F34416">
        <w:rPr>
          <w:b/>
          <w:bCs/>
          <w:lang w:val="en-GB"/>
        </w:rPr>
        <w:t>IN THE HIGH COURT OF SOUTH AFRICA</w:t>
      </w:r>
    </w:p>
    <w:p w14:paraId="260C79CA" w14:textId="77777777" w:rsidR="00C91BD0" w:rsidRPr="00F34416" w:rsidRDefault="00656E28" w:rsidP="00C91BD0">
      <w:pPr>
        <w:jc w:val="center"/>
        <w:rPr>
          <w:b/>
          <w:bCs/>
          <w:lang w:val="en-GB"/>
        </w:rPr>
      </w:pPr>
      <w:r>
        <w:rPr>
          <w:b/>
          <w:bCs/>
          <w:lang w:val="en-GB"/>
        </w:rPr>
        <w:t>(</w:t>
      </w:r>
      <w:r w:rsidR="00C91BD0" w:rsidRPr="00F34416">
        <w:rPr>
          <w:b/>
          <w:bCs/>
          <w:lang w:val="en-GB"/>
        </w:rPr>
        <w:t>EAST</w:t>
      </w:r>
      <w:r w:rsidR="00A77C18">
        <w:rPr>
          <w:b/>
          <w:bCs/>
          <w:lang w:val="en-GB"/>
        </w:rPr>
        <w:t>ERN CAPE</w:t>
      </w:r>
      <w:r w:rsidR="00C91BD0" w:rsidRPr="00F34416">
        <w:rPr>
          <w:b/>
          <w:bCs/>
          <w:lang w:val="en-GB"/>
        </w:rPr>
        <w:t xml:space="preserve"> DIVISION</w:t>
      </w:r>
      <w:r w:rsidR="00A77C18">
        <w:rPr>
          <w:b/>
          <w:bCs/>
          <w:lang w:val="en-GB"/>
        </w:rPr>
        <w:t>, MAKHANDA</w:t>
      </w:r>
      <w:r>
        <w:rPr>
          <w:b/>
          <w:bCs/>
          <w:lang w:val="en-GB"/>
        </w:rPr>
        <w:t>)</w:t>
      </w:r>
    </w:p>
    <w:p w14:paraId="3A6E77EB" w14:textId="77777777" w:rsidR="006E3570" w:rsidRPr="00D35A0D" w:rsidRDefault="006E3570" w:rsidP="006E3570">
      <w:pPr>
        <w:rPr>
          <w:b/>
        </w:rPr>
      </w:pPr>
    </w:p>
    <w:p w14:paraId="6DC7A313" w14:textId="2A6F0FEA" w:rsidR="006E3570" w:rsidRPr="00D35A0D" w:rsidRDefault="006E3570" w:rsidP="006E3570">
      <w:pPr>
        <w:rPr>
          <w:b/>
        </w:rPr>
      </w:pPr>
      <w:r w:rsidRPr="00D35A0D">
        <w:rPr>
          <w:b/>
        </w:rPr>
        <w:tab/>
      </w:r>
      <w:r w:rsidRPr="00D35A0D">
        <w:rPr>
          <w:b/>
        </w:rPr>
        <w:tab/>
      </w:r>
      <w:r w:rsidRPr="00D35A0D">
        <w:rPr>
          <w:b/>
        </w:rPr>
        <w:tab/>
      </w:r>
      <w:r w:rsidRPr="00D35A0D">
        <w:rPr>
          <w:b/>
        </w:rPr>
        <w:tab/>
      </w:r>
      <w:r w:rsidRPr="00D35A0D">
        <w:rPr>
          <w:b/>
        </w:rPr>
        <w:tab/>
      </w:r>
      <w:r w:rsidRPr="00D35A0D">
        <w:rPr>
          <w:b/>
        </w:rPr>
        <w:tab/>
      </w:r>
      <w:r w:rsidRPr="00D35A0D">
        <w:rPr>
          <w:b/>
        </w:rPr>
        <w:tab/>
      </w:r>
      <w:r w:rsidRPr="00D35A0D">
        <w:rPr>
          <w:b/>
        </w:rPr>
        <w:tab/>
      </w:r>
      <w:r w:rsidR="00E153B9" w:rsidRPr="00015CB3">
        <w:t xml:space="preserve">Appeal </w:t>
      </w:r>
      <w:r w:rsidR="00E153B9">
        <w:t xml:space="preserve">Case </w:t>
      </w:r>
      <w:r w:rsidR="00E153B9" w:rsidRPr="00015CB3">
        <w:t>N</w:t>
      </w:r>
      <w:r w:rsidR="00E153B9">
        <w:t>o</w:t>
      </w:r>
      <w:r w:rsidR="00E153B9" w:rsidRPr="00015CB3">
        <w:t xml:space="preserve">: </w:t>
      </w:r>
      <w:r w:rsidRPr="00015CB3">
        <w:t>20/22</w:t>
      </w:r>
    </w:p>
    <w:p w14:paraId="1EC7F8CE" w14:textId="77777777" w:rsidR="006E3570" w:rsidRPr="00D35A0D" w:rsidRDefault="00D778B5" w:rsidP="006E3570">
      <w:pPr>
        <w:rPr>
          <w:b/>
        </w:rPr>
      </w:pPr>
      <w:r>
        <w:t>In the matter between</w:t>
      </w:r>
      <w:r w:rsidR="006E3570" w:rsidRPr="00D35A0D">
        <w:rPr>
          <w:b/>
        </w:rPr>
        <w:t>:</w:t>
      </w:r>
    </w:p>
    <w:p w14:paraId="78A0B5B3" w14:textId="77777777" w:rsidR="006E3570" w:rsidRPr="00D35A0D" w:rsidRDefault="006E3570" w:rsidP="006E3570">
      <w:pPr>
        <w:rPr>
          <w:b/>
        </w:rPr>
      </w:pPr>
    </w:p>
    <w:p w14:paraId="48677D14" w14:textId="160D7CBC" w:rsidR="006E3570" w:rsidRPr="00D35A0D" w:rsidRDefault="006E3570" w:rsidP="00C77E8C">
      <w:pPr>
        <w:spacing w:line="480" w:lineRule="auto"/>
        <w:rPr>
          <w:b/>
        </w:rPr>
      </w:pPr>
      <w:r w:rsidRPr="00D35A0D">
        <w:rPr>
          <w:b/>
        </w:rPr>
        <w:t>SIKHUMBUZO HOYI</w:t>
      </w:r>
      <w:r w:rsidR="00C477FC">
        <w:rPr>
          <w:b/>
        </w:rPr>
        <w:tab/>
      </w:r>
      <w:r w:rsidR="00C477FC">
        <w:rPr>
          <w:b/>
        </w:rPr>
        <w:tab/>
      </w:r>
      <w:r w:rsidR="00C477FC">
        <w:rPr>
          <w:b/>
        </w:rPr>
        <w:tab/>
      </w:r>
      <w:r w:rsidR="00C477FC">
        <w:rPr>
          <w:b/>
        </w:rPr>
        <w:tab/>
      </w:r>
      <w:r w:rsidR="00C477FC">
        <w:rPr>
          <w:b/>
        </w:rPr>
        <w:tab/>
      </w:r>
      <w:r w:rsidR="00C477FC">
        <w:rPr>
          <w:b/>
        </w:rPr>
        <w:tab/>
      </w:r>
      <w:r w:rsidR="00E153B9">
        <w:rPr>
          <w:b/>
        </w:rPr>
        <w:t xml:space="preserve">          </w:t>
      </w:r>
      <w:r w:rsidRPr="00D35A0D">
        <w:rPr>
          <w:b/>
        </w:rPr>
        <w:t>1</w:t>
      </w:r>
      <w:r w:rsidRPr="00D35A0D">
        <w:rPr>
          <w:b/>
          <w:vertAlign w:val="superscript"/>
        </w:rPr>
        <w:t>ST</w:t>
      </w:r>
      <w:r w:rsidRPr="00D35A0D">
        <w:rPr>
          <w:b/>
        </w:rPr>
        <w:t xml:space="preserve"> APPELLANT</w:t>
      </w:r>
    </w:p>
    <w:p w14:paraId="45363538" w14:textId="54C6E204" w:rsidR="006E3570" w:rsidRPr="00D35A0D" w:rsidRDefault="006E3570" w:rsidP="00C77E8C">
      <w:pPr>
        <w:spacing w:line="480" w:lineRule="auto"/>
        <w:rPr>
          <w:b/>
        </w:rPr>
      </w:pPr>
      <w:r w:rsidRPr="00D35A0D">
        <w:rPr>
          <w:b/>
        </w:rPr>
        <w:t>LELETHU PLATANA</w:t>
      </w:r>
      <w:r w:rsidR="00C477FC">
        <w:rPr>
          <w:b/>
        </w:rPr>
        <w:tab/>
      </w:r>
      <w:r w:rsidR="00C477FC">
        <w:rPr>
          <w:b/>
        </w:rPr>
        <w:tab/>
      </w:r>
      <w:r w:rsidR="00C477FC">
        <w:rPr>
          <w:b/>
        </w:rPr>
        <w:tab/>
      </w:r>
      <w:r w:rsidR="00C477FC">
        <w:rPr>
          <w:b/>
        </w:rPr>
        <w:tab/>
      </w:r>
      <w:r w:rsidR="00C477FC">
        <w:rPr>
          <w:b/>
        </w:rPr>
        <w:tab/>
      </w:r>
      <w:r w:rsidR="00C477FC">
        <w:rPr>
          <w:b/>
        </w:rPr>
        <w:tab/>
      </w:r>
      <w:r w:rsidR="00E153B9">
        <w:rPr>
          <w:b/>
        </w:rPr>
        <w:t xml:space="preserve">          </w:t>
      </w:r>
      <w:r w:rsidRPr="00D35A0D">
        <w:rPr>
          <w:b/>
        </w:rPr>
        <w:t>2</w:t>
      </w:r>
      <w:r w:rsidRPr="00D35A0D">
        <w:rPr>
          <w:b/>
          <w:vertAlign w:val="superscript"/>
        </w:rPr>
        <w:t>ND</w:t>
      </w:r>
      <w:r w:rsidRPr="00D35A0D">
        <w:rPr>
          <w:b/>
        </w:rPr>
        <w:t xml:space="preserve"> APPELLANT</w:t>
      </w:r>
    </w:p>
    <w:p w14:paraId="4BA46DB9" w14:textId="71E01E79" w:rsidR="006E3570" w:rsidRPr="00D35A0D" w:rsidRDefault="006E3570" w:rsidP="00C77E8C">
      <w:pPr>
        <w:spacing w:line="480" w:lineRule="auto"/>
        <w:rPr>
          <w:b/>
        </w:rPr>
      </w:pPr>
      <w:r w:rsidRPr="00D35A0D">
        <w:rPr>
          <w:b/>
        </w:rPr>
        <w:t>MFUSI NTUSHELO</w:t>
      </w:r>
      <w:r w:rsidR="00C477FC">
        <w:rPr>
          <w:b/>
        </w:rPr>
        <w:tab/>
      </w:r>
      <w:r w:rsidR="00C477FC">
        <w:rPr>
          <w:b/>
        </w:rPr>
        <w:tab/>
      </w:r>
      <w:r w:rsidR="00C477FC">
        <w:rPr>
          <w:b/>
        </w:rPr>
        <w:tab/>
      </w:r>
      <w:r w:rsidR="00C477FC">
        <w:rPr>
          <w:b/>
        </w:rPr>
        <w:tab/>
      </w:r>
      <w:r w:rsidR="00C477FC">
        <w:rPr>
          <w:b/>
        </w:rPr>
        <w:tab/>
      </w:r>
      <w:r w:rsidR="00C477FC">
        <w:rPr>
          <w:b/>
        </w:rPr>
        <w:tab/>
      </w:r>
      <w:r w:rsidR="00C477FC">
        <w:rPr>
          <w:b/>
        </w:rPr>
        <w:tab/>
      </w:r>
      <w:r w:rsidR="00E153B9">
        <w:rPr>
          <w:b/>
        </w:rPr>
        <w:t xml:space="preserve">          </w:t>
      </w:r>
      <w:r w:rsidRPr="00D35A0D">
        <w:rPr>
          <w:b/>
        </w:rPr>
        <w:t>3</w:t>
      </w:r>
      <w:r w:rsidRPr="00D35A0D">
        <w:rPr>
          <w:b/>
          <w:vertAlign w:val="superscript"/>
        </w:rPr>
        <w:t>RD</w:t>
      </w:r>
      <w:r w:rsidRPr="00D35A0D">
        <w:rPr>
          <w:b/>
        </w:rPr>
        <w:t xml:space="preserve"> APPELLANT</w:t>
      </w:r>
    </w:p>
    <w:p w14:paraId="7E123DE0" w14:textId="7EF4921B" w:rsidR="006E3570" w:rsidRPr="00D35A0D" w:rsidRDefault="006E3570" w:rsidP="00C77E8C">
      <w:pPr>
        <w:spacing w:line="480" w:lineRule="auto"/>
        <w:rPr>
          <w:b/>
        </w:rPr>
      </w:pPr>
      <w:r w:rsidRPr="00D35A0D">
        <w:rPr>
          <w:b/>
        </w:rPr>
        <w:t>ZWELINZIMA NTSHANGASE</w:t>
      </w:r>
      <w:r w:rsidR="00C477FC">
        <w:rPr>
          <w:b/>
        </w:rPr>
        <w:tab/>
      </w:r>
      <w:r w:rsidR="00C477FC">
        <w:rPr>
          <w:b/>
        </w:rPr>
        <w:tab/>
      </w:r>
      <w:r w:rsidR="00E153B9">
        <w:rPr>
          <w:b/>
        </w:rPr>
        <w:t xml:space="preserve">      </w:t>
      </w:r>
      <w:r w:rsidR="00C77E8C">
        <w:rPr>
          <w:b/>
        </w:rPr>
        <w:t xml:space="preserve">  (</w:t>
      </w:r>
      <w:r w:rsidR="000F172F" w:rsidRPr="000F172F">
        <w:rPr>
          <w:i/>
        </w:rPr>
        <w:t>erstwhile</w:t>
      </w:r>
      <w:r w:rsidR="000F172F">
        <w:rPr>
          <w:b/>
        </w:rPr>
        <w:t>)</w:t>
      </w:r>
      <w:r w:rsidR="000F172F" w:rsidRPr="00D35A0D">
        <w:rPr>
          <w:b/>
        </w:rPr>
        <w:t xml:space="preserve"> ACCUSED</w:t>
      </w:r>
      <w:r w:rsidRPr="00D35A0D">
        <w:rPr>
          <w:b/>
        </w:rPr>
        <w:t xml:space="preserve"> 4/DECEASED)</w:t>
      </w:r>
    </w:p>
    <w:p w14:paraId="1CDCBB41" w14:textId="2ED089A1" w:rsidR="006E3570" w:rsidRPr="00D35A0D" w:rsidRDefault="006E3570" w:rsidP="00C77E8C">
      <w:pPr>
        <w:spacing w:line="480" w:lineRule="auto"/>
        <w:rPr>
          <w:b/>
        </w:rPr>
      </w:pPr>
      <w:r w:rsidRPr="00D35A0D">
        <w:rPr>
          <w:b/>
        </w:rPr>
        <w:t>BUYILE JAMBELA</w:t>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00E153B9">
        <w:rPr>
          <w:b/>
        </w:rPr>
        <w:t xml:space="preserve">         </w:t>
      </w:r>
      <w:r w:rsidRPr="00D35A0D">
        <w:rPr>
          <w:b/>
        </w:rPr>
        <w:t>5</w:t>
      </w:r>
      <w:r w:rsidRPr="00D35A0D">
        <w:rPr>
          <w:b/>
          <w:vertAlign w:val="superscript"/>
        </w:rPr>
        <w:t>TH</w:t>
      </w:r>
      <w:r w:rsidRPr="00D35A0D">
        <w:rPr>
          <w:b/>
        </w:rPr>
        <w:t xml:space="preserve"> APPELLANT</w:t>
      </w:r>
    </w:p>
    <w:p w14:paraId="5B087046" w14:textId="49625338" w:rsidR="006E3570" w:rsidRPr="00D35A0D" w:rsidRDefault="006E3570" w:rsidP="00C77E8C">
      <w:pPr>
        <w:spacing w:line="480" w:lineRule="auto"/>
        <w:rPr>
          <w:b/>
        </w:rPr>
      </w:pPr>
      <w:r w:rsidRPr="00D35A0D">
        <w:rPr>
          <w:b/>
        </w:rPr>
        <w:t>MPUMELELO DLANGA</w:t>
      </w:r>
      <w:r w:rsidR="005E238C">
        <w:rPr>
          <w:b/>
        </w:rPr>
        <w:tab/>
      </w:r>
      <w:r w:rsidR="005E238C">
        <w:rPr>
          <w:b/>
        </w:rPr>
        <w:tab/>
      </w:r>
      <w:r w:rsidR="005E238C">
        <w:rPr>
          <w:b/>
        </w:rPr>
        <w:tab/>
      </w:r>
      <w:r w:rsidR="005E238C">
        <w:rPr>
          <w:b/>
        </w:rPr>
        <w:tab/>
      </w:r>
      <w:r w:rsidR="005E238C">
        <w:rPr>
          <w:b/>
        </w:rPr>
        <w:tab/>
      </w:r>
      <w:r w:rsidR="005E238C">
        <w:rPr>
          <w:b/>
        </w:rPr>
        <w:tab/>
      </w:r>
      <w:r w:rsidR="00E153B9">
        <w:rPr>
          <w:b/>
        </w:rPr>
        <w:t xml:space="preserve">         </w:t>
      </w:r>
      <w:r w:rsidRPr="00D35A0D">
        <w:rPr>
          <w:b/>
        </w:rPr>
        <w:t>6</w:t>
      </w:r>
      <w:r w:rsidRPr="00D35A0D">
        <w:rPr>
          <w:b/>
          <w:vertAlign w:val="superscript"/>
        </w:rPr>
        <w:t>TH</w:t>
      </w:r>
      <w:r w:rsidRPr="00D35A0D">
        <w:rPr>
          <w:b/>
        </w:rPr>
        <w:t xml:space="preserve"> APPELLANT</w:t>
      </w:r>
    </w:p>
    <w:p w14:paraId="6DC80817" w14:textId="77777777" w:rsidR="006E3570" w:rsidRPr="00D35A0D" w:rsidRDefault="006E3570" w:rsidP="00E153B9">
      <w:pPr>
        <w:rPr>
          <w:b/>
        </w:rPr>
      </w:pPr>
    </w:p>
    <w:p w14:paraId="2DEB5251" w14:textId="77777777" w:rsidR="006E3570" w:rsidRPr="00D778B5" w:rsidRDefault="00D778B5" w:rsidP="006E3570">
      <w:r>
        <w:t>and</w:t>
      </w:r>
    </w:p>
    <w:p w14:paraId="37C1BFEC" w14:textId="77777777" w:rsidR="006E3570" w:rsidRPr="00D35A0D" w:rsidRDefault="006E3570" w:rsidP="006E3570">
      <w:pPr>
        <w:rPr>
          <w:b/>
        </w:rPr>
      </w:pPr>
    </w:p>
    <w:p w14:paraId="227C25D5" w14:textId="159563C5" w:rsidR="00E153B9" w:rsidRPr="00D35A0D" w:rsidRDefault="006E3570" w:rsidP="006E3570">
      <w:pPr>
        <w:rPr>
          <w:b/>
        </w:rPr>
      </w:pPr>
      <w:r w:rsidRPr="00D35A0D">
        <w:rPr>
          <w:b/>
        </w:rPr>
        <w:t>THE STATE</w:t>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005E238C">
        <w:rPr>
          <w:b/>
        </w:rPr>
        <w:tab/>
      </w:r>
      <w:r w:rsidRPr="00D35A0D">
        <w:rPr>
          <w:b/>
        </w:rPr>
        <w:t>RESPONDENT</w:t>
      </w:r>
    </w:p>
    <w:p w14:paraId="7A788C0E" w14:textId="77777777" w:rsidR="006E3570" w:rsidRPr="00D35A0D" w:rsidRDefault="006E3570" w:rsidP="006E3570">
      <w:pPr>
        <w:rPr>
          <w:b/>
        </w:rPr>
      </w:pPr>
    </w:p>
    <w:p w14:paraId="27E4CD23" w14:textId="77777777" w:rsidR="005E238C" w:rsidRDefault="005E238C" w:rsidP="006E3570">
      <w:pPr>
        <w:pBdr>
          <w:top w:val="single" w:sz="12" w:space="1" w:color="auto"/>
          <w:bottom w:val="single" w:sz="12" w:space="1" w:color="auto"/>
        </w:pBdr>
        <w:jc w:val="center"/>
        <w:rPr>
          <w:b/>
        </w:rPr>
      </w:pPr>
    </w:p>
    <w:p w14:paraId="7DA1E733" w14:textId="685F3799" w:rsidR="006E3570" w:rsidRPr="00D35A0D" w:rsidRDefault="006E3570" w:rsidP="006E3570">
      <w:pPr>
        <w:pBdr>
          <w:top w:val="single" w:sz="12" w:space="1" w:color="auto"/>
          <w:bottom w:val="single" w:sz="12" w:space="1" w:color="auto"/>
        </w:pBdr>
        <w:jc w:val="center"/>
        <w:rPr>
          <w:b/>
        </w:rPr>
      </w:pPr>
      <w:r w:rsidRPr="00D35A0D">
        <w:rPr>
          <w:b/>
        </w:rPr>
        <w:t>JUDGMENT</w:t>
      </w:r>
    </w:p>
    <w:p w14:paraId="472F81F1" w14:textId="77777777" w:rsidR="006E3570" w:rsidRPr="00D35A0D" w:rsidRDefault="006E3570" w:rsidP="006E3570">
      <w:pPr>
        <w:pBdr>
          <w:top w:val="single" w:sz="12" w:space="1" w:color="auto"/>
          <w:bottom w:val="single" w:sz="12" w:space="1" w:color="auto"/>
        </w:pBdr>
        <w:jc w:val="center"/>
        <w:rPr>
          <w:b/>
        </w:rPr>
      </w:pPr>
    </w:p>
    <w:p w14:paraId="0498E27B" w14:textId="77777777" w:rsidR="006E3570" w:rsidRDefault="006E3570" w:rsidP="006E3570">
      <w:pPr>
        <w:rPr>
          <w:b/>
        </w:rPr>
      </w:pPr>
    </w:p>
    <w:p w14:paraId="783539AF" w14:textId="03E20E19" w:rsidR="006E3570" w:rsidRDefault="006E3570" w:rsidP="00C77E8C">
      <w:pPr>
        <w:jc w:val="both"/>
        <w:rPr>
          <w:b/>
        </w:rPr>
      </w:pPr>
      <w:r w:rsidRPr="00D35A0D">
        <w:rPr>
          <w:b/>
        </w:rPr>
        <w:t>CENGANI-MBAKAZA AJ</w:t>
      </w:r>
      <w:r w:rsidR="00064B11">
        <w:rPr>
          <w:b/>
        </w:rPr>
        <w:t>:</w:t>
      </w:r>
    </w:p>
    <w:p w14:paraId="37DC0D24" w14:textId="77777777" w:rsidR="005E238C" w:rsidRPr="00C77E8C" w:rsidRDefault="005E238C" w:rsidP="00C77E8C">
      <w:pPr>
        <w:jc w:val="both"/>
        <w:rPr>
          <w:b/>
        </w:rPr>
      </w:pPr>
    </w:p>
    <w:p w14:paraId="7D8E67BF" w14:textId="3D742267" w:rsidR="006E3570" w:rsidRDefault="00D778B5" w:rsidP="00C77E8C">
      <w:pPr>
        <w:jc w:val="both"/>
        <w:rPr>
          <w:i/>
          <w:u w:val="single"/>
        </w:rPr>
      </w:pPr>
      <w:r>
        <w:rPr>
          <w:i/>
          <w:u w:val="single"/>
        </w:rPr>
        <w:t>Background</w:t>
      </w:r>
    </w:p>
    <w:p w14:paraId="2B589493" w14:textId="77777777" w:rsidR="00E153B9" w:rsidRDefault="00E153B9" w:rsidP="00C77E8C">
      <w:pPr>
        <w:jc w:val="both"/>
        <w:rPr>
          <w:i/>
          <w:u w:val="single"/>
        </w:rPr>
      </w:pPr>
    </w:p>
    <w:p w14:paraId="5B2EF994" w14:textId="5A05C798" w:rsidR="006E3570" w:rsidRPr="00C77E8C" w:rsidRDefault="00C477FC" w:rsidP="00C77E8C">
      <w:pPr>
        <w:jc w:val="both"/>
        <w:rPr>
          <w:i/>
          <w:vanish/>
          <w:u w:val="single"/>
          <w:specVanish/>
        </w:rPr>
      </w:pPr>
      <w:r>
        <w:t>[1]</w:t>
      </w:r>
      <w:r>
        <w:tab/>
      </w:r>
    </w:p>
    <w:p w14:paraId="62BEB1B6" w14:textId="0588121C" w:rsidR="00E153B9" w:rsidRDefault="006E3570" w:rsidP="00C77E8C">
      <w:pPr>
        <w:jc w:val="both"/>
      </w:pPr>
      <w:r w:rsidRPr="00D35A0D">
        <w:t xml:space="preserve">In any given household, it is common for family members to perform their regular duties, go shopping and attend funerals. The household of Mr Vukile </w:t>
      </w:r>
      <w:r w:rsidRPr="00D35A0D">
        <w:lastRenderedPageBreak/>
        <w:t>Mabusela’s family (the complainant) was not a deviation from everyday existence. He and his wife</w:t>
      </w:r>
      <w:r w:rsidR="00096FD4">
        <w:t>, Mrs Nosipho Mabusela</w:t>
      </w:r>
      <w:r w:rsidRPr="00D35A0D">
        <w:t xml:space="preserve"> (the deceased)</w:t>
      </w:r>
      <w:r w:rsidR="00E153B9">
        <w:t>,</w:t>
      </w:r>
      <w:r w:rsidRPr="00D35A0D">
        <w:t xml:space="preserve"> shared a home in Motherwell </w:t>
      </w:r>
      <w:r w:rsidR="00064B11">
        <w:t xml:space="preserve">in </w:t>
      </w:r>
      <w:r w:rsidRPr="00D35A0D">
        <w:t>Gqeberha.  In their home</w:t>
      </w:r>
      <w:r w:rsidR="00E153B9">
        <w:t>,</w:t>
      </w:r>
      <w:r w:rsidRPr="00D35A0D">
        <w:t xml:space="preserve"> they had a combination of</w:t>
      </w:r>
      <w:r w:rsidR="00096FD4">
        <w:t xml:space="preserve"> big and small</w:t>
      </w:r>
      <w:r w:rsidRPr="00D35A0D">
        <w:t xml:space="preserve"> co</w:t>
      </w:r>
      <w:r w:rsidR="00096FD4">
        <w:t xml:space="preserve">nsumer appliances. The deceased had </w:t>
      </w:r>
      <w:r w:rsidR="00E153B9">
        <w:t>pieces of jewellery</w:t>
      </w:r>
      <w:r w:rsidR="00E153B9" w:rsidRPr="00D35A0D">
        <w:t xml:space="preserve"> </w:t>
      </w:r>
      <w:r w:rsidRPr="00D35A0D">
        <w:t xml:space="preserve">that she had stored inside a bag in their bedroom. </w:t>
      </w:r>
      <w:r w:rsidR="00BE649A" w:rsidRPr="00D35A0D">
        <w:t>Additionally,</w:t>
      </w:r>
      <w:r w:rsidRPr="00D35A0D">
        <w:t xml:space="preserve"> the mobile phones were housed in the same space. </w:t>
      </w:r>
      <w:r>
        <w:t>On an unspecified date</w:t>
      </w:r>
      <w:r w:rsidR="00E153B9">
        <w:t>,</w:t>
      </w:r>
      <w:r>
        <w:t xml:space="preserve"> the couple</w:t>
      </w:r>
      <w:r w:rsidRPr="00D35A0D">
        <w:t xml:space="preserve"> had gone shopping and purchased some apparel which they later stored inside the wardrobe. As anticipated, the garment was to be worn when the opportunity arose.</w:t>
      </w:r>
    </w:p>
    <w:p w14:paraId="4EA6E687" w14:textId="793B9CCF" w:rsidR="00C477FC" w:rsidRDefault="00C477FC" w:rsidP="00C77E8C">
      <w:pPr>
        <w:jc w:val="both"/>
      </w:pPr>
    </w:p>
    <w:p w14:paraId="0D1711CD" w14:textId="52D3D8BD" w:rsidR="00C477FC" w:rsidRDefault="00C477FC" w:rsidP="00C77E8C">
      <w:pPr>
        <w:jc w:val="both"/>
      </w:pPr>
      <w:r w:rsidRPr="00C77E8C">
        <w:t>[2]</w:t>
      </w:r>
      <w:r>
        <w:rPr>
          <w:b/>
        </w:rPr>
        <w:tab/>
      </w:r>
      <w:r w:rsidR="006E3570" w:rsidRPr="00D35A0D">
        <w:t>On the evening of 11 March 2018, a gloomy cloud hung over the coupl</w:t>
      </w:r>
      <w:r w:rsidR="00096FD4">
        <w:t xml:space="preserve">e’s home when </w:t>
      </w:r>
      <w:r w:rsidR="006E3570" w:rsidRPr="00D35A0D">
        <w:t>intruders budged inside their home. The deceased, who was in the kitchen minding her own daily business after a long day of a funeral service, spotted a suspicious car that had parked next to the residence. The occupants that were inside the car were identified as male persons. The complainant</w:t>
      </w:r>
      <w:r w:rsidR="00E153B9">
        <w:t>,</w:t>
      </w:r>
      <w:r w:rsidR="006E3570" w:rsidRPr="00D35A0D">
        <w:t xml:space="preserve"> who was </w:t>
      </w:r>
      <w:r w:rsidR="00E153B9" w:rsidRPr="00D35A0D">
        <w:t>wheelchair</w:t>
      </w:r>
      <w:r w:rsidR="00E153B9">
        <w:t>-</w:t>
      </w:r>
      <w:r w:rsidR="006E3570" w:rsidRPr="00D35A0D">
        <w:t>bound</w:t>
      </w:r>
      <w:r w:rsidR="00E153B9">
        <w:t>,</w:t>
      </w:r>
      <w:r w:rsidR="006E3570" w:rsidRPr="00D35A0D">
        <w:t xml:space="preserve"> had taken a rest inside the bedroom at that stage.</w:t>
      </w:r>
    </w:p>
    <w:p w14:paraId="6DF7C872" w14:textId="77777777" w:rsidR="00C477FC" w:rsidRPr="00D35A0D" w:rsidRDefault="00C477FC" w:rsidP="00C77E8C">
      <w:pPr>
        <w:jc w:val="both"/>
      </w:pPr>
    </w:p>
    <w:p w14:paraId="265BC1E7" w14:textId="62A202AD" w:rsidR="00C477FC" w:rsidRDefault="00C477FC" w:rsidP="00C77E8C">
      <w:pPr>
        <w:jc w:val="both"/>
      </w:pPr>
      <w:r w:rsidRPr="00C77E8C">
        <w:t>[3]</w:t>
      </w:r>
      <w:r>
        <w:rPr>
          <w:b/>
        </w:rPr>
        <w:tab/>
      </w:r>
      <w:r w:rsidR="00096FD4">
        <w:t>Within a space of a moment</w:t>
      </w:r>
      <w:r w:rsidR="006E3570" w:rsidRPr="00D35A0D">
        <w:t>, the kitchen door was pounded</w:t>
      </w:r>
      <w:r w:rsidR="00E153B9">
        <w:t>,</w:t>
      </w:r>
      <w:r w:rsidR="006E3570" w:rsidRPr="00D35A0D">
        <w:t xml:space="preserve"> and someone entered the house. The deceased rushed in</w:t>
      </w:r>
      <w:r w:rsidR="00064B11">
        <w:t>to</w:t>
      </w:r>
      <w:r w:rsidR="006E3570" w:rsidRPr="00D35A0D">
        <w:t xml:space="preserve"> the bedroom, closed the door and yelled at the complainant about the intruder’s presence. The intru</w:t>
      </w:r>
      <w:r w:rsidR="00096FD4">
        <w:t>der kicked the bedroom door until</w:t>
      </w:r>
      <w:r w:rsidR="006E3570" w:rsidRPr="00D35A0D">
        <w:t xml:space="preserve"> it collapsed while the deceased was still clinging to it. </w:t>
      </w:r>
      <w:r w:rsidR="00015CB3">
        <w:t>Out</w:t>
      </w:r>
      <w:r w:rsidR="00096FD4">
        <w:t xml:space="preserve"> of</w:t>
      </w:r>
      <w:r w:rsidR="00015CB3">
        <w:t xml:space="preserve"> shock and </w:t>
      </w:r>
      <w:r w:rsidR="00015CB3" w:rsidRPr="00D35A0D">
        <w:t>terror</w:t>
      </w:r>
      <w:r w:rsidR="006E3570" w:rsidRPr="00D35A0D">
        <w:t>, the deceased jumped into the bed</w:t>
      </w:r>
      <w:r w:rsidR="00E153B9">
        <w:t>. A</w:t>
      </w:r>
      <w:r w:rsidR="006E3570" w:rsidRPr="00D35A0D">
        <w:t xml:space="preserve">n African man speaking IsiXhosa repeatedly warned her to keep </w:t>
      </w:r>
      <w:r w:rsidR="00E153B9" w:rsidRPr="00D35A0D">
        <w:t>qui</w:t>
      </w:r>
      <w:r w:rsidR="00E153B9">
        <w:t>et</w:t>
      </w:r>
      <w:r w:rsidR="006E3570" w:rsidRPr="00D35A0D">
        <w:t xml:space="preserve">. </w:t>
      </w:r>
      <w:r w:rsidR="006E3570" w:rsidRPr="00D35A0D">
        <w:rPr>
          <w:i/>
        </w:rPr>
        <w:t>‘’Where is your husband’s belt</w:t>
      </w:r>
      <w:r w:rsidR="006E3570" w:rsidRPr="00D35A0D">
        <w:t>,’’ asked the intruder. The deceased explained that her husband was unable to wear belts due to his physical impairment.</w:t>
      </w:r>
    </w:p>
    <w:p w14:paraId="2E5A6BDE" w14:textId="77777777" w:rsidR="00C477FC" w:rsidRPr="00D35A0D" w:rsidRDefault="00C477FC" w:rsidP="00C77E8C">
      <w:pPr>
        <w:jc w:val="both"/>
      </w:pPr>
    </w:p>
    <w:p w14:paraId="44AA4F40" w14:textId="32AB8454" w:rsidR="006E3570" w:rsidRDefault="00C477FC" w:rsidP="00C77E8C">
      <w:pPr>
        <w:jc w:val="both"/>
      </w:pPr>
      <w:r w:rsidRPr="00C77E8C">
        <w:t>[4]</w:t>
      </w:r>
      <w:r>
        <w:rPr>
          <w:b/>
        </w:rPr>
        <w:tab/>
      </w:r>
      <w:r w:rsidR="006E3570" w:rsidRPr="00D35A0D">
        <w:t xml:space="preserve">The burglar went straight to the wardrobe and collected the garment that the couple had purchased </w:t>
      </w:r>
      <w:r w:rsidR="00064B11">
        <w:t>from</w:t>
      </w:r>
      <w:r w:rsidR="006E3570" w:rsidRPr="00D35A0D">
        <w:t xml:space="preserve"> Wool</w:t>
      </w:r>
      <w:r w:rsidR="00064B11">
        <w:t>worths</w:t>
      </w:r>
      <w:r w:rsidR="006E3570" w:rsidRPr="00D35A0D">
        <w:t>. He opened the complainant’s suitcase</w:t>
      </w:r>
      <w:r w:rsidR="00E153B9">
        <w:t>,</w:t>
      </w:r>
      <w:r w:rsidR="006E3570" w:rsidRPr="00D35A0D">
        <w:t xml:space="preserve"> took out his jersey and wore it. He further took a black bag and collected shoes and some other clothing. When the deceased was asked about her jewellery, she pointed </w:t>
      </w:r>
      <w:r w:rsidR="00E153B9">
        <w:t xml:space="preserve">to </w:t>
      </w:r>
      <w:r w:rsidR="006E3570" w:rsidRPr="00D35A0D">
        <w:t>a bag that contained rings, earrings, traditional beads, a wallet containing a sum of R3000, 00 notes and watches. The burglar collected all those items</w:t>
      </w:r>
      <w:r w:rsidR="00E153B9">
        <w:t>,</w:t>
      </w:r>
      <w:r w:rsidR="006E3570" w:rsidRPr="00D35A0D">
        <w:t xml:space="preserve"> including the purses that were on top of the pedestal and inside the drawers. He further </w:t>
      </w:r>
      <w:r w:rsidR="00064B11">
        <w:t>took</w:t>
      </w:r>
      <w:r w:rsidR="006E3570" w:rsidRPr="00D35A0D">
        <w:t xml:space="preserve"> a total of about four mobile phones inside the house.</w:t>
      </w:r>
    </w:p>
    <w:p w14:paraId="24CCAB6E" w14:textId="77777777" w:rsidR="00C477FC" w:rsidRPr="00D35A0D" w:rsidRDefault="00C477FC" w:rsidP="00C77E8C">
      <w:pPr>
        <w:jc w:val="both"/>
      </w:pPr>
    </w:p>
    <w:p w14:paraId="5B39B85C" w14:textId="41563637" w:rsidR="006E3570" w:rsidRDefault="00C477FC" w:rsidP="00C77E8C">
      <w:pPr>
        <w:jc w:val="both"/>
      </w:pPr>
      <w:r w:rsidRPr="00C77E8C">
        <w:lastRenderedPageBreak/>
        <w:t>[5]</w:t>
      </w:r>
      <w:r>
        <w:rPr>
          <w:b/>
        </w:rPr>
        <w:tab/>
      </w:r>
      <w:r w:rsidR="00096FD4">
        <w:t>It transpired that the bu</w:t>
      </w:r>
      <w:r w:rsidR="00E153B9">
        <w:t>r</w:t>
      </w:r>
      <w:r w:rsidR="00096FD4">
        <w:t>glar</w:t>
      </w:r>
      <w:r w:rsidR="006E3570" w:rsidRPr="00D35A0D">
        <w:t xml:space="preserve"> was not alone</w:t>
      </w:r>
      <w:r w:rsidR="00E153B9">
        <w:t>. T</w:t>
      </w:r>
      <w:r w:rsidR="006E3570">
        <w:t>he complainant hear</w:t>
      </w:r>
      <w:r w:rsidR="006E3570" w:rsidRPr="00D35A0D">
        <w:t>d a noise of some items that were being dragged in</w:t>
      </w:r>
      <w:r w:rsidR="00E153B9">
        <w:t>to</w:t>
      </w:r>
      <w:r w:rsidR="006E3570" w:rsidRPr="00D35A0D">
        <w:t xml:space="preserve"> the din</w:t>
      </w:r>
      <w:r w:rsidR="006E3570">
        <w:t>ing room. A few minutes later</w:t>
      </w:r>
      <w:r w:rsidR="00E153B9">
        <w:t>,</w:t>
      </w:r>
      <w:r w:rsidR="006E3570">
        <w:t xml:space="preserve"> a </w:t>
      </w:r>
      <w:r w:rsidR="006E3570" w:rsidRPr="00D35A0D">
        <w:t>second man ent</w:t>
      </w:r>
      <w:r w:rsidR="00096FD4">
        <w:t>ered the bedroom and said</w:t>
      </w:r>
      <w:r w:rsidR="006E3570" w:rsidRPr="00D35A0D">
        <w:t xml:space="preserve"> nothing. The one who was with the couple earlier instructed them to cover themselves with blankets. It then became </w:t>
      </w:r>
      <w:r w:rsidR="00E153B9" w:rsidRPr="00D35A0D">
        <w:t>qui</w:t>
      </w:r>
      <w:r w:rsidR="00E153B9">
        <w:t>et,</w:t>
      </w:r>
      <w:r w:rsidR="00E153B9" w:rsidRPr="00D35A0D">
        <w:t xml:space="preserve"> </w:t>
      </w:r>
      <w:r w:rsidR="006E3570" w:rsidRPr="00D35A0D">
        <w:t>and the c</w:t>
      </w:r>
      <w:r w:rsidR="00DB2DA1">
        <w:t>ouple assumed that the bu</w:t>
      </w:r>
      <w:r w:rsidR="00E153B9">
        <w:t>r</w:t>
      </w:r>
      <w:r w:rsidR="00DB2DA1">
        <w:t>glars</w:t>
      </w:r>
      <w:r w:rsidR="006E3570" w:rsidRPr="00D35A0D">
        <w:t xml:space="preserve"> had left the premises. After ab</w:t>
      </w:r>
      <w:r w:rsidR="00137FFD">
        <w:t>out 10 to 15 minutes, they</w:t>
      </w:r>
      <w:r w:rsidR="006E3570" w:rsidRPr="00D35A0D">
        <w:t xml:space="preserve"> uncovered themselves. The deceased stood up to reach for some help. </w:t>
      </w:r>
      <w:r w:rsidR="00C77E8C" w:rsidRPr="00D35A0D">
        <w:t>Again,</w:t>
      </w:r>
      <w:r w:rsidR="006E3570" w:rsidRPr="00D35A0D">
        <w:t xml:space="preserve"> </w:t>
      </w:r>
      <w:r w:rsidR="00E153B9">
        <w:t>footsteps were</w:t>
      </w:r>
      <w:r w:rsidR="006E3570" w:rsidRPr="00D35A0D">
        <w:t xml:space="preserve"> coming inside the kitchen. ‘</w:t>
      </w:r>
      <w:r w:rsidR="006E3570" w:rsidRPr="00D35A0D">
        <w:rPr>
          <w:i/>
        </w:rPr>
        <w:t>Who said you must uncover yourselves</w:t>
      </w:r>
      <w:r w:rsidR="006E3570">
        <w:rPr>
          <w:i/>
        </w:rPr>
        <w:t>?</w:t>
      </w:r>
      <w:r w:rsidR="006E3570" w:rsidRPr="00D35A0D">
        <w:rPr>
          <w:i/>
        </w:rPr>
        <w:t>’</w:t>
      </w:r>
      <w:r w:rsidR="00096FD4">
        <w:t xml:space="preserve"> asked one of the bu</w:t>
      </w:r>
      <w:r w:rsidR="00E153B9">
        <w:t>r</w:t>
      </w:r>
      <w:r w:rsidR="00096FD4">
        <w:t>glars</w:t>
      </w:r>
      <w:r w:rsidR="006E3570" w:rsidRPr="00D35A0D">
        <w:t xml:space="preserve"> who</w:t>
      </w:r>
      <w:r w:rsidR="006E3570">
        <w:t xml:space="preserve"> was inside the bedroom</w:t>
      </w:r>
      <w:r w:rsidR="006E3570" w:rsidRPr="00D35A0D">
        <w:t xml:space="preserve"> earlier.</w:t>
      </w:r>
      <w:r w:rsidR="00DB2DA1">
        <w:t xml:space="preserve"> The bu</w:t>
      </w:r>
      <w:r w:rsidR="00E153B9">
        <w:t>r</w:t>
      </w:r>
      <w:r w:rsidR="00DB2DA1">
        <w:t>glar</w:t>
      </w:r>
      <w:r w:rsidR="006E3570">
        <w:t xml:space="preserve"> covered the couple </w:t>
      </w:r>
      <w:r w:rsidR="006E3570" w:rsidRPr="00D35A0D">
        <w:t>with a blanket</w:t>
      </w:r>
      <w:r w:rsidR="00E153B9">
        <w:t>,</w:t>
      </w:r>
      <w:r w:rsidR="006E3570" w:rsidRPr="00D35A0D">
        <w:t xml:space="preserve"> and three g</w:t>
      </w:r>
      <w:r w:rsidR="006E3570">
        <w:t xml:space="preserve">unshots were fired. </w:t>
      </w:r>
      <w:r w:rsidR="006E3570" w:rsidRPr="00D35A0D">
        <w:t>From there</w:t>
      </w:r>
      <w:r w:rsidR="00E153B9">
        <w:t>,</w:t>
      </w:r>
      <w:r w:rsidR="006E3570" w:rsidRPr="00D35A0D">
        <w:t xml:space="preserve"> they disappeared</w:t>
      </w:r>
      <w:r w:rsidR="00E153B9">
        <w:t>,</w:t>
      </w:r>
      <w:r w:rsidR="006E3570" w:rsidRPr="00D35A0D">
        <w:t xml:space="preserve"> and loud footsteps of police officers were heard rushing in. Police i</w:t>
      </w:r>
      <w:r w:rsidR="00BE65E8">
        <w:t>dentified themselves and approached</w:t>
      </w:r>
      <w:r w:rsidR="006E3570" w:rsidRPr="00D35A0D">
        <w:t xml:space="preserve"> the deceased</w:t>
      </w:r>
      <w:r w:rsidR="00E153B9">
        <w:t>,</w:t>
      </w:r>
      <w:r w:rsidR="006E3570" w:rsidRPr="00D35A0D">
        <w:t xml:space="preserve"> who was lying helplessly on the bed. Police further assisted the complainant </w:t>
      </w:r>
      <w:r w:rsidR="00064B11">
        <w:t xml:space="preserve">by taking him </w:t>
      </w:r>
      <w:r w:rsidR="006E3570" w:rsidRPr="00D35A0D">
        <w:t xml:space="preserve"> </w:t>
      </w:r>
      <w:r w:rsidR="00064B11">
        <w:t>to</w:t>
      </w:r>
      <w:r w:rsidR="006E3570" w:rsidRPr="00D35A0D">
        <w:t xml:space="preserve"> the </w:t>
      </w:r>
      <w:r w:rsidR="00DB2DA1" w:rsidRPr="00D35A0D">
        <w:t>din</w:t>
      </w:r>
      <w:r w:rsidR="00DB2DA1">
        <w:t>i</w:t>
      </w:r>
      <w:r w:rsidR="00DB2DA1" w:rsidRPr="00D35A0D">
        <w:t>ng</w:t>
      </w:r>
      <w:r w:rsidR="006E3570" w:rsidRPr="00D35A0D">
        <w:t xml:space="preserve"> room while they were conducting police duties inside the premises. They observed that both the kitchen and the bedroom doors were damaged. The d</w:t>
      </w:r>
      <w:r w:rsidR="006E3570">
        <w:t xml:space="preserve">eceased was shot </w:t>
      </w:r>
      <w:r w:rsidR="00E153B9">
        <w:t xml:space="preserve">in </w:t>
      </w:r>
      <w:r w:rsidR="006E3570">
        <w:t>the head</w:t>
      </w:r>
      <w:r w:rsidR="006E3570" w:rsidRPr="00D35A0D">
        <w:t xml:space="preserve">. The complainant </w:t>
      </w:r>
      <w:r w:rsidR="006E3570">
        <w:t>later discovered</w:t>
      </w:r>
      <w:r w:rsidR="006E3570" w:rsidRPr="00D35A0D">
        <w:t xml:space="preserve"> that his wife was no more.</w:t>
      </w:r>
    </w:p>
    <w:p w14:paraId="50627544" w14:textId="77777777" w:rsidR="00D778B5" w:rsidRDefault="00D778B5" w:rsidP="00C77E8C">
      <w:pPr>
        <w:jc w:val="both"/>
      </w:pPr>
    </w:p>
    <w:p w14:paraId="6C39955B" w14:textId="77777777" w:rsidR="006E3570" w:rsidRDefault="006E3570" w:rsidP="00C77E8C">
      <w:pPr>
        <w:jc w:val="both"/>
        <w:rPr>
          <w:i/>
          <w:u w:val="single"/>
        </w:rPr>
      </w:pPr>
      <w:r w:rsidRPr="00D35A0D">
        <w:rPr>
          <w:i/>
          <w:u w:val="single"/>
        </w:rPr>
        <w:t>The charges</w:t>
      </w:r>
    </w:p>
    <w:p w14:paraId="1C50526F" w14:textId="77777777" w:rsidR="00C477FC" w:rsidRPr="00D35A0D" w:rsidRDefault="00C477FC" w:rsidP="00C77E8C">
      <w:pPr>
        <w:jc w:val="both"/>
        <w:rPr>
          <w:i/>
          <w:u w:val="single"/>
        </w:rPr>
      </w:pPr>
    </w:p>
    <w:p w14:paraId="0CC5EBC4" w14:textId="3E5E5FDF" w:rsidR="006E3570" w:rsidRDefault="00C477FC" w:rsidP="00C77E8C">
      <w:pPr>
        <w:jc w:val="both"/>
      </w:pPr>
      <w:r w:rsidRPr="00E153B9">
        <w:t>[6</w:t>
      </w:r>
      <w:r w:rsidRPr="00C77E8C">
        <w:t>]</w:t>
      </w:r>
      <w:r>
        <w:rPr>
          <w:b/>
        </w:rPr>
        <w:tab/>
      </w:r>
      <w:r w:rsidR="00DF5E32">
        <w:t>Following the said events</w:t>
      </w:r>
      <w:r w:rsidR="006E3570" w:rsidRPr="00D35A0D">
        <w:t xml:space="preserve">, the Appellants stood trial in the Regional Court, Port Elizabeth) </w:t>
      </w:r>
      <w:r w:rsidR="006E3570" w:rsidRPr="00D35A0D">
        <w:rPr>
          <w:i/>
        </w:rPr>
        <w:t xml:space="preserve">(the court a </w:t>
      </w:r>
      <w:r w:rsidR="00E153B9" w:rsidRPr="00D35A0D">
        <w:rPr>
          <w:i/>
        </w:rPr>
        <w:t>q</w:t>
      </w:r>
      <w:r w:rsidR="00E153B9">
        <w:rPr>
          <w:i/>
        </w:rPr>
        <w:t>uo</w:t>
      </w:r>
      <w:r w:rsidR="006E3570" w:rsidRPr="00D35A0D">
        <w:rPr>
          <w:i/>
        </w:rPr>
        <w:t>)</w:t>
      </w:r>
      <w:r w:rsidR="006E3570" w:rsidRPr="00D35A0D">
        <w:t xml:space="preserve"> in respect of the following charges: </w:t>
      </w:r>
    </w:p>
    <w:p w14:paraId="1B9F1E7B" w14:textId="77777777" w:rsidR="00B5772C" w:rsidRPr="00D35A0D" w:rsidRDefault="00B5772C" w:rsidP="00C77E8C">
      <w:pPr>
        <w:jc w:val="both"/>
      </w:pPr>
    </w:p>
    <w:p w14:paraId="1FF277D3" w14:textId="77777777" w:rsidR="00137FFD" w:rsidRDefault="006E3570" w:rsidP="00C77E8C">
      <w:pPr>
        <w:ind w:left="567"/>
        <w:jc w:val="both"/>
        <w:rPr>
          <w:i/>
        </w:rPr>
      </w:pPr>
      <w:r w:rsidRPr="00B343B8">
        <w:rPr>
          <w:b/>
          <w:i/>
          <w:u w:val="single"/>
        </w:rPr>
        <w:t>Count 1:</w:t>
      </w:r>
      <w:r w:rsidRPr="00D35A0D">
        <w:rPr>
          <w:i/>
        </w:rPr>
        <w:t xml:space="preserve"> Housebreaking wit</w:t>
      </w:r>
      <w:r w:rsidR="00090F43">
        <w:rPr>
          <w:i/>
        </w:rPr>
        <w:t xml:space="preserve">h intent to rob and robbery </w:t>
      </w:r>
      <w:r w:rsidRPr="00D35A0D">
        <w:rPr>
          <w:i/>
        </w:rPr>
        <w:t>(read with the provisions of section 262 (1) and section 260 of the Criminal Procedure Act 51 of 1977);</w:t>
      </w:r>
    </w:p>
    <w:p w14:paraId="33EBA747" w14:textId="1E410952" w:rsidR="00137FFD" w:rsidRDefault="006E3570" w:rsidP="00C77E8C">
      <w:pPr>
        <w:ind w:left="567"/>
        <w:jc w:val="both"/>
        <w:rPr>
          <w:i/>
        </w:rPr>
      </w:pPr>
      <w:r>
        <w:rPr>
          <w:i/>
        </w:rPr>
        <w:t xml:space="preserve"> </w:t>
      </w:r>
      <w:r w:rsidRPr="00B343B8">
        <w:rPr>
          <w:b/>
          <w:i/>
          <w:u w:val="single"/>
        </w:rPr>
        <w:t>Count 2:</w:t>
      </w:r>
      <w:r w:rsidRPr="00D35A0D">
        <w:rPr>
          <w:i/>
        </w:rPr>
        <w:t xml:space="preserve"> Robbery with aggravating circumstances as intended in section 1</w:t>
      </w:r>
      <w:r w:rsidR="00E153B9">
        <w:rPr>
          <w:i/>
        </w:rPr>
        <w:t xml:space="preserve"> </w:t>
      </w:r>
      <w:r w:rsidRPr="00D35A0D">
        <w:rPr>
          <w:i/>
        </w:rPr>
        <w:t>of Act 51 of 1977</w:t>
      </w:r>
      <w:r>
        <w:rPr>
          <w:i/>
        </w:rPr>
        <w:t xml:space="preserve">; </w:t>
      </w:r>
      <w:r w:rsidR="00090F43">
        <w:rPr>
          <w:i/>
        </w:rPr>
        <w:t>and further read with Section 51(2) of the Criminal Law Amendment Act 105 of 1997</w:t>
      </w:r>
    </w:p>
    <w:p w14:paraId="727D2F86" w14:textId="77777777" w:rsidR="00137FFD" w:rsidRDefault="006E3570" w:rsidP="00C77E8C">
      <w:pPr>
        <w:ind w:left="567"/>
        <w:jc w:val="both"/>
        <w:rPr>
          <w:i/>
        </w:rPr>
      </w:pPr>
      <w:r w:rsidRPr="00B343B8">
        <w:rPr>
          <w:b/>
          <w:i/>
          <w:u w:val="single"/>
        </w:rPr>
        <w:t>Count 3</w:t>
      </w:r>
      <w:r w:rsidRPr="00B343B8">
        <w:rPr>
          <w:b/>
          <w:i/>
        </w:rPr>
        <w:t>:</w:t>
      </w:r>
      <w:r w:rsidRPr="00D35A0D">
        <w:rPr>
          <w:i/>
        </w:rPr>
        <w:t xml:space="preserve"> Murder read with section 51(1) of</w:t>
      </w:r>
      <w:r w:rsidR="00090F43">
        <w:rPr>
          <w:i/>
        </w:rPr>
        <w:t xml:space="preserve"> the Criminal Law Amendment</w:t>
      </w:r>
      <w:r w:rsidRPr="00D35A0D">
        <w:rPr>
          <w:i/>
        </w:rPr>
        <w:t xml:space="preserve"> Act 105 of 1997</w:t>
      </w:r>
      <w:r>
        <w:rPr>
          <w:i/>
        </w:rPr>
        <w:t>;</w:t>
      </w:r>
      <w:r w:rsidRPr="00D35A0D">
        <w:rPr>
          <w:i/>
        </w:rPr>
        <w:t xml:space="preserve"> </w:t>
      </w:r>
    </w:p>
    <w:p w14:paraId="479514A0" w14:textId="77777777" w:rsidR="00137FFD" w:rsidRDefault="006E3570" w:rsidP="00C77E8C">
      <w:pPr>
        <w:ind w:left="567"/>
        <w:jc w:val="both"/>
        <w:rPr>
          <w:i/>
        </w:rPr>
      </w:pPr>
      <w:r w:rsidRPr="00B343B8">
        <w:rPr>
          <w:b/>
          <w:i/>
          <w:u w:val="single"/>
        </w:rPr>
        <w:t>Count 4</w:t>
      </w:r>
      <w:r w:rsidRPr="00D35A0D">
        <w:rPr>
          <w:i/>
        </w:rPr>
        <w:t xml:space="preserve"> Attempted murder</w:t>
      </w:r>
      <w:r>
        <w:rPr>
          <w:i/>
        </w:rPr>
        <w:t xml:space="preserve">; </w:t>
      </w:r>
    </w:p>
    <w:p w14:paraId="3D451C29" w14:textId="17C2C124" w:rsidR="00137FFD" w:rsidRDefault="006E3570" w:rsidP="00C77E8C">
      <w:pPr>
        <w:ind w:left="567"/>
        <w:jc w:val="both"/>
        <w:rPr>
          <w:i/>
        </w:rPr>
      </w:pPr>
      <w:r w:rsidRPr="00B343B8">
        <w:rPr>
          <w:b/>
          <w:i/>
          <w:u w:val="single"/>
        </w:rPr>
        <w:t>Count 5</w:t>
      </w:r>
      <w:r w:rsidRPr="00B343B8">
        <w:rPr>
          <w:b/>
          <w:i/>
        </w:rPr>
        <w:t>:</w:t>
      </w:r>
      <w:r w:rsidRPr="00D35A0D">
        <w:rPr>
          <w:i/>
        </w:rPr>
        <w:t xml:space="preserve"> </w:t>
      </w:r>
      <w:r w:rsidR="00D778B5">
        <w:rPr>
          <w:i/>
        </w:rPr>
        <w:t xml:space="preserve"> Possession of </w:t>
      </w:r>
      <w:r w:rsidR="00E153B9">
        <w:rPr>
          <w:i/>
        </w:rPr>
        <w:t xml:space="preserve">an </w:t>
      </w:r>
      <w:r w:rsidR="00D778B5">
        <w:rPr>
          <w:i/>
        </w:rPr>
        <w:t>unlicensed firearm in c</w:t>
      </w:r>
      <w:r w:rsidRPr="00D35A0D">
        <w:rPr>
          <w:i/>
        </w:rPr>
        <w:t>ontravention of Section 3</w:t>
      </w:r>
      <w:r>
        <w:rPr>
          <w:i/>
        </w:rPr>
        <w:t xml:space="preserve"> </w:t>
      </w:r>
      <w:r w:rsidR="00D778B5">
        <w:rPr>
          <w:i/>
        </w:rPr>
        <w:t xml:space="preserve">of the Firearms Control Act 60 of 2000 </w:t>
      </w:r>
      <w:r>
        <w:rPr>
          <w:i/>
        </w:rPr>
        <w:t xml:space="preserve">and </w:t>
      </w:r>
      <w:r w:rsidRPr="00D35A0D">
        <w:rPr>
          <w:i/>
        </w:rPr>
        <w:t xml:space="preserve"> </w:t>
      </w:r>
    </w:p>
    <w:p w14:paraId="1F56292A" w14:textId="4590B0EC" w:rsidR="006E3570" w:rsidRDefault="006E3570" w:rsidP="00C77E8C">
      <w:pPr>
        <w:ind w:left="567"/>
        <w:jc w:val="both"/>
        <w:rPr>
          <w:i/>
        </w:rPr>
      </w:pPr>
      <w:r w:rsidRPr="00B343B8">
        <w:rPr>
          <w:b/>
          <w:i/>
          <w:u w:val="single"/>
        </w:rPr>
        <w:t>Count 6:</w:t>
      </w:r>
      <w:r w:rsidRPr="00D35A0D">
        <w:rPr>
          <w:i/>
        </w:rPr>
        <w:t xml:space="preserve"> Contravention of Section 90, read with sections 1, 103,117;120(1)(a) and Section 151 of the </w:t>
      </w:r>
      <w:r w:rsidR="00E153B9">
        <w:rPr>
          <w:i/>
        </w:rPr>
        <w:t>F</w:t>
      </w:r>
      <w:r w:rsidR="00E153B9" w:rsidRPr="00D35A0D">
        <w:rPr>
          <w:i/>
        </w:rPr>
        <w:t xml:space="preserve">irearms </w:t>
      </w:r>
      <w:r w:rsidRPr="00D35A0D">
        <w:rPr>
          <w:i/>
        </w:rPr>
        <w:t>Control Act, 60 of 2000 and further read with section 250 of the Criminal Procedure Act, 51 of 1977.</w:t>
      </w:r>
    </w:p>
    <w:p w14:paraId="108636C8" w14:textId="6588D67E" w:rsidR="006E3570" w:rsidRDefault="00B5772C" w:rsidP="00C77E8C">
      <w:pPr>
        <w:jc w:val="both"/>
      </w:pPr>
      <w:r w:rsidRPr="00C477FC">
        <w:lastRenderedPageBreak/>
        <w:t xml:space="preserve"> </w:t>
      </w:r>
      <w:r w:rsidR="00C477FC" w:rsidRPr="00C77E8C">
        <w:t>[7]</w:t>
      </w:r>
      <w:r w:rsidR="00C477FC">
        <w:rPr>
          <w:b/>
        </w:rPr>
        <w:tab/>
      </w:r>
      <w:r w:rsidR="006E3570">
        <w:t>In the specificity</w:t>
      </w:r>
      <w:r w:rsidR="006E3570" w:rsidRPr="00D35A0D">
        <w:t xml:space="preserve"> of each charge</w:t>
      </w:r>
      <w:r w:rsidR="00E153B9">
        <w:t>,</w:t>
      </w:r>
      <w:r w:rsidR="006E3570" w:rsidRPr="00D35A0D">
        <w:t xml:space="preserve"> the State alleged that the Appellants were at all material times</w:t>
      </w:r>
      <w:r w:rsidR="00E153B9">
        <w:t>,</w:t>
      </w:r>
      <w:r w:rsidR="006E3570" w:rsidRPr="00D35A0D">
        <w:t xml:space="preserve"> either before or during or after the commission of the offences, acting in common purpose. The court convicted and sentenc</w:t>
      </w:r>
      <w:r w:rsidR="006E3570">
        <w:t>ed all the Appellants based</w:t>
      </w:r>
      <w:r w:rsidR="006E3570" w:rsidRPr="00D35A0D">
        <w:t xml:space="preserve"> </w:t>
      </w:r>
      <w:r w:rsidR="006E3570">
        <w:t>on the charges proved</w:t>
      </w:r>
      <w:r w:rsidR="006E3570" w:rsidRPr="00D35A0D">
        <w:t xml:space="preserve"> by</w:t>
      </w:r>
      <w:r w:rsidR="006E3570">
        <w:t xml:space="preserve"> </w:t>
      </w:r>
      <w:r w:rsidR="00096FD4">
        <w:t xml:space="preserve">the </w:t>
      </w:r>
      <w:r w:rsidR="006E3570">
        <w:t>available</w:t>
      </w:r>
      <w:r w:rsidR="006E3570" w:rsidRPr="00D35A0D">
        <w:t xml:space="preserve"> evidence.</w:t>
      </w:r>
      <w:r w:rsidR="006E3570" w:rsidRPr="00D35A0D">
        <w:rPr>
          <w:rStyle w:val="FootnoteReference"/>
        </w:rPr>
        <w:footnoteReference w:id="1"/>
      </w:r>
    </w:p>
    <w:p w14:paraId="07F05D05" w14:textId="77777777" w:rsidR="006E3570" w:rsidRPr="00D35A0D" w:rsidRDefault="006E3570" w:rsidP="00C77E8C">
      <w:pPr>
        <w:jc w:val="both"/>
      </w:pPr>
    </w:p>
    <w:p w14:paraId="2B2D2B6F" w14:textId="3A4B7B43" w:rsidR="006E3570" w:rsidRDefault="00C477FC" w:rsidP="00C77E8C">
      <w:pPr>
        <w:jc w:val="both"/>
      </w:pPr>
      <w:r w:rsidRPr="00C77E8C">
        <w:t>[8]</w:t>
      </w:r>
      <w:r>
        <w:rPr>
          <w:b/>
        </w:rPr>
        <w:tab/>
      </w:r>
      <w:r w:rsidR="006E3570" w:rsidRPr="00D35A0D">
        <w:t xml:space="preserve">Aggrieved by </w:t>
      </w:r>
      <w:r w:rsidR="00064B11">
        <w:t xml:space="preserve">the </w:t>
      </w:r>
      <w:r w:rsidR="006E3570" w:rsidRPr="00D35A0D">
        <w:t>conviction and sentence, the Appellants enjoyed their automatic right of appeal in respect of count 3</w:t>
      </w:r>
      <w:r w:rsidR="006E3570" w:rsidRPr="00D35A0D">
        <w:rPr>
          <w:rStyle w:val="FootnoteReference"/>
        </w:rPr>
        <w:footnoteReference w:id="2"/>
      </w:r>
      <w:r w:rsidR="006E3570" w:rsidRPr="00D35A0D">
        <w:t xml:space="preserve"> and appealed against both the conviction and sentence.</w:t>
      </w:r>
      <w:r w:rsidR="006E3570">
        <w:t xml:space="preserve"> In respect of counts 1, 2, </w:t>
      </w:r>
      <w:r w:rsidR="006E3570" w:rsidRPr="00D35A0D">
        <w:t>5</w:t>
      </w:r>
      <w:r w:rsidR="006E3570">
        <w:t xml:space="preserve"> and 6</w:t>
      </w:r>
      <w:r w:rsidR="00E153B9">
        <w:t>,</w:t>
      </w:r>
      <w:r w:rsidR="006E3570" w:rsidRPr="00D35A0D">
        <w:t xml:space="preserve"> the </w:t>
      </w:r>
      <w:r w:rsidR="006E3570" w:rsidRPr="004522F4">
        <w:rPr>
          <w:i/>
        </w:rPr>
        <w:t>court a quo</w:t>
      </w:r>
      <w:r w:rsidR="006E3570" w:rsidRPr="00D35A0D">
        <w:t xml:space="preserve"> granted them leave to appeal against conviction and sentence to this court.</w:t>
      </w:r>
    </w:p>
    <w:p w14:paraId="7EE81803" w14:textId="77777777" w:rsidR="006E3570" w:rsidRPr="00D35A0D" w:rsidRDefault="006E3570" w:rsidP="00C77E8C">
      <w:pPr>
        <w:jc w:val="both"/>
      </w:pPr>
    </w:p>
    <w:p w14:paraId="28EE315D" w14:textId="77777777" w:rsidR="006E3570" w:rsidRDefault="006E3570" w:rsidP="00C77E8C">
      <w:pPr>
        <w:jc w:val="both"/>
        <w:rPr>
          <w:i/>
          <w:u w:val="single"/>
        </w:rPr>
      </w:pPr>
      <w:r w:rsidRPr="00D35A0D">
        <w:rPr>
          <w:i/>
          <w:u w:val="single"/>
        </w:rPr>
        <w:t>The evidence</w:t>
      </w:r>
    </w:p>
    <w:p w14:paraId="54E88371" w14:textId="77777777" w:rsidR="006E3570" w:rsidRPr="00D35A0D" w:rsidRDefault="006E3570" w:rsidP="00C77E8C">
      <w:pPr>
        <w:jc w:val="both"/>
        <w:rPr>
          <w:i/>
          <w:u w:val="single"/>
        </w:rPr>
      </w:pPr>
    </w:p>
    <w:p w14:paraId="77076AE7" w14:textId="17FE0080" w:rsidR="006E3570" w:rsidRDefault="00C477FC" w:rsidP="00C77E8C">
      <w:pPr>
        <w:jc w:val="both"/>
      </w:pPr>
      <w:r w:rsidRPr="00C77E8C">
        <w:t>[9]</w:t>
      </w:r>
      <w:r>
        <w:rPr>
          <w:b/>
        </w:rPr>
        <w:tab/>
      </w:r>
      <w:r w:rsidR="006E3570" w:rsidRPr="00D35A0D">
        <w:t xml:space="preserve"> </w:t>
      </w:r>
      <w:r w:rsidR="006E3570">
        <w:t>When asked to describe the assailants, the complainant</w:t>
      </w:r>
      <w:r w:rsidR="006E3570" w:rsidRPr="00D35A0D">
        <w:t xml:space="preserve"> testified that the first man who entered his </w:t>
      </w:r>
      <w:r w:rsidR="00096FD4" w:rsidRPr="00D35A0D">
        <w:t>room</w:t>
      </w:r>
      <w:r w:rsidR="00096FD4" w:rsidRPr="00096FD4">
        <w:t xml:space="preserve"> </w:t>
      </w:r>
      <w:r w:rsidR="00096FD4" w:rsidRPr="00D35A0D">
        <w:t xml:space="preserve">was </w:t>
      </w:r>
      <w:r w:rsidR="00E153B9" w:rsidRPr="00D35A0D">
        <w:t>middle</w:t>
      </w:r>
      <w:r w:rsidR="00E153B9">
        <w:t>-</w:t>
      </w:r>
      <w:r w:rsidR="00096FD4" w:rsidRPr="00D35A0D">
        <w:t>aged, dark in complexion</w:t>
      </w:r>
      <w:r w:rsidR="00E153B9">
        <w:t>,</w:t>
      </w:r>
      <w:r w:rsidR="00096FD4" w:rsidRPr="00D35A0D">
        <w:t xml:space="preserve"> with big lips.</w:t>
      </w:r>
      <w:r w:rsidR="00096FD4">
        <w:t xml:space="preserve"> He</w:t>
      </w:r>
      <w:r w:rsidR="006E3570" w:rsidRPr="00D35A0D">
        <w:t xml:space="preserve"> collected his items and wore his jersey</w:t>
      </w:r>
      <w:r w:rsidR="00096FD4">
        <w:t>.</w:t>
      </w:r>
      <w:r w:rsidR="006E3570" w:rsidRPr="00D35A0D">
        <w:t xml:space="preserve"> He ide</w:t>
      </w:r>
      <w:r w:rsidR="006E3570">
        <w:t xml:space="preserve">ntified this man as Appellant </w:t>
      </w:r>
      <w:r w:rsidR="006E3570" w:rsidRPr="00D35A0D">
        <w:t>1</w:t>
      </w:r>
      <w:r w:rsidR="00E153B9">
        <w:t>,</w:t>
      </w:r>
      <w:r w:rsidR="006E3570" w:rsidRPr="00D35A0D">
        <w:t xml:space="preserve"> with whom he had spent around 20 minutes in </w:t>
      </w:r>
      <w:r w:rsidR="00E153B9">
        <w:t xml:space="preserve">the </w:t>
      </w:r>
      <w:r w:rsidR="006E3570" w:rsidRPr="00D35A0D">
        <w:t>bedroom. The second man who came in and said nothing was light in complexion</w:t>
      </w:r>
      <w:r w:rsidR="00E153B9">
        <w:t>,</w:t>
      </w:r>
      <w:r w:rsidR="006E3570" w:rsidRPr="00D35A0D">
        <w:t xml:space="preserve"> had small eyes and </w:t>
      </w:r>
      <w:r w:rsidR="00E153B9">
        <w:t xml:space="preserve">was </w:t>
      </w:r>
      <w:r w:rsidR="006E3570" w:rsidRPr="00D35A0D">
        <w:t>slender. He had a haircut that had a line on the left side.  He identified this man as Appellant no 3. When asked how he could identify the assailants, the complainant testified that he spent</w:t>
      </w:r>
      <w:r w:rsidR="00096FD4">
        <w:t xml:space="preserve"> a lot of time with Appellant </w:t>
      </w:r>
      <w:r w:rsidR="006E3570" w:rsidRPr="00D35A0D">
        <w:t>1 and was able to identify both as he observed their faces and structures. The complainant was further asked to state if he could identify any of the other Appellants in the dock</w:t>
      </w:r>
      <w:r w:rsidR="00E153B9">
        <w:t>. H</w:t>
      </w:r>
      <w:r w:rsidR="006E3570" w:rsidRPr="00D35A0D">
        <w:t>e informed the court that he knew A</w:t>
      </w:r>
      <w:r w:rsidR="006E3570">
        <w:t xml:space="preserve">ppellant </w:t>
      </w:r>
      <w:r w:rsidR="006E3570" w:rsidRPr="00D35A0D">
        <w:t>6</w:t>
      </w:r>
      <w:r w:rsidR="006E3570">
        <w:t xml:space="preserve"> very well as</w:t>
      </w:r>
      <w:r w:rsidR="006E3570" w:rsidRPr="00D35A0D">
        <w:t xml:space="preserve"> his sister’s grandson. </w:t>
      </w:r>
    </w:p>
    <w:p w14:paraId="729D0C7C" w14:textId="77777777" w:rsidR="006E3570" w:rsidRPr="00D35A0D" w:rsidRDefault="006E3570" w:rsidP="00C77E8C">
      <w:pPr>
        <w:jc w:val="both"/>
      </w:pPr>
    </w:p>
    <w:p w14:paraId="0DF4F8E5" w14:textId="53B9290C" w:rsidR="006E3570" w:rsidRDefault="00C477FC" w:rsidP="00C77E8C">
      <w:pPr>
        <w:jc w:val="both"/>
      </w:pPr>
      <w:r>
        <w:lastRenderedPageBreak/>
        <w:t>[10]</w:t>
      </w:r>
      <w:r>
        <w:tab/>
      </w:r>
      <w:r w:rsidR="00090F43">
        <w:t>The following</w:t>
      </w:r>
      <w:r w:rsidR="006E3570" w:rsidRPr="00D35A0D">
        <w:t xml:space="preserve"> is the summa</w:t>
      </w:r>
      <w:r w:rsidR="00E33CBD">
        <w:t xml:space="preserve">ry of combined evidence of </w:t>
      </w:r>
      <w:r w:rsidR="006E3570" w:rsidRPr="00D35A0D">
        <w:t>police officers who were patrolling the</w:t>
      </w:r>
      <w:r w:rsidR="00E33CBD">
        <w:t xml:space="preserve"> area on the night of the incident</w:t>
      </w:r>
      <w:r w:rsidR="006E3570" w:rsidRPr="00D35A0D">
        <w:t>. These are Sergeants Ray Rossouw, Zolethu Ndavana, Fillis</w:t>
      </w:r>
      <w:r w:rsidR="006E3570">
        <w:t xml:space="preserve"> and Mali</w:t>
      </w:r>
      <w:r w:rsidR="006E3570" w:rsidRPr="00D35A0D">
        <w:t xml:space="preserve">la. These police officers had been working for Crime Prevention Unit for years. On this day, they were performing their police duties in pairs and </w:t>
      </w:r>
      <w:r w:rsidR="00343555">
        <w:t xml:space="preserve">were using </w:t>
      </w:r>
      <w:r w:rsidR="006E3570" w:rsidRPr="00D35A0D">
        <w:t xml:space="preserve">different motor vehicles. A group of about six men was seen emerging from Mpheko Street running. There was a Maroon </w:t>
      </w:r>
      <w:r w:rsidR="006E3570">
        <w:t xml:space="preserve">Toyota </w:t>
      </w:r>
      <w:r w:rsidR="006E3570" w:rsidRPr="00D35A0D">
        <w:t xml:space="preserve">Avanza motor vehicle that had parked on the street.  They jumped inside </w:t>
      </w:r>
      <w:r w:rsidR="006B44B7" w:rsidRPr="00D35A0D">
        <w:t xml:space="preserve">the </w:t>
      </w:r>
      <w:r w:rsidR="006B44B7">
        <w:t>Toyota</w:t>
      </w:r>
      <w:r w:rsidR="00DF5E32">
        <w:t xml:space="preserve"> </w:t>
      </w:r>
      <w:r w:rsidR="006E3570" w:rsidRPr="00D35A0D">
        <w:t>Avanza and fled. There</w:t>
      </w:r>
      <w:r w:rsidR="006E3570">
        <w:t xml:space="preserve"> was also a police v</w:t>
      </w:r>
      <w:r w:rsidR="006E3570" w:rsidRPr="00D35A0D">
        <w:t>an that was at the corner of Nyulutsi and Tyinara Street at that stage. The Av</w:t>
      </w:r>
      <w:r w:rsidR="00DB2DA1">
        <w:t>anza collided with the police v</w:t>
      </w:r>
      <w:r w:rsidR="006E3570" w:rsidRPr="00D35A0D">
        <w:t>an. Rossouw, Ndarana</w:t>
      </w:r>
      <w:r w:rsidR="006E3570">
        <w:t xml:space="preserve"> and Mali</w:t>
      </w:r>
      <w:r w:rsidR="006E3570" w:rsidRPr="00D35A0D">
        <w:t>la approached the scene and spotted Appellant no 1 trying to hide at the back of the Avanza. The other assailants fled to their heels</w:t>
      </w:r>
      <w:r w:rsidR="00E153B9">
        <w:t>,</w:t>
      </w:r>
      <w:r w:rsidR="006E3570" w:rsidRPr="00D35A0D">
        <w:t xml:space="preserve"> but Malila pursued and caught up with</w:t>
      </w:r>
      <w:r w:rsidR="006E3570">
        <w:t xml:space="preserve"> Appellant </w:t>
      </w:r>
      <w:r w:rsidR="006E3570" w:rsidRPr="00D35A0D">
        <w:t>2.</w:t>
      </w:r>
    </w:p>
    <w:p w14:paraId="09FD28CF" w14:textId="77777777" w:rsidR="006E3570" w:rsidRPr="00D35A0D" w:rsidRDefault="006E3570" w:rsidP="00C77E8C">
      <w:pPr>
        <w:jc w:val="both"/>
      </w:pPr>
    </w:p>
    <w:p w14:paraId="501348D7" w14:textId="7E3445ED" w:rsidR="006E3570" w:rsidRDefault="00C477FC" w:rsidP="00C77E8C">
      <w:pPr>
        <w:jc w:val="both"/>
      </w:pPr>
      <w:r>
        <w:t>[11]</w:t>
      </w:r>
      <w:r>
        <w:tab/>
      </w:r>
      <w:r w:rsidR="006E3570" w:rsidRPr="00D35A0D">
        <w:t>Ros</w:t>
      </w:r>
      <w:r w:rsidR="006E3570">
        <w:t xml:space="preserve">souw testified that Appellant </w:t>
      </w:r>
      <w:r w:rsidR="006E3570" w:rsidRPr="00D35A0D">
        <w:t xml:space="preserve">1 spontaneously informed him about a murder that had occurred at Mpheko Street. He searched </w:t>
      </w:r>
      <w:r w:rsidR="006E3570">
        <w:t>Appellant</w:t>
      </w:r>
      <w:r w:rsidR="006E3570" w:rsidRPr="00D35A0D">
        <w:t xml:space="preserve"> 1</w:t>
      </w:r>
      <w:r w:rsidR="00DB2DA1">
        <w:t xml:space="preserve"> </w:t>
      </w:r>
      <w:r w:rsidR="006E3570" w:rsidRPr="00D35A0D">
        <w:t>and found two Nokia cell phones in his possession. As he was busy with police</w:t>
      </w:r>
      <w:r w:rsidR="00BE65E8">
        <w:t xml:space="preserve"> duties</w:t>
      </w:r>
      <w:r w:rsidR="00E153B9">
        <w:t>,</w:t>
      </w:r>
      <w:r w:rsidR="006E3570" w:rsidRPr="00D35A0D">
        <w:t xml:space="preserve"> another phon</w:t>
      </w:r>
      <w:r w:rsidR="00BE65E8">
        <w:t>e rang in Appellant 1’s</w:t>
      </w:r>
      <w:r w:rsidR="006E3570" w:rsidRPr="00D35A0D">
        <w:t xml:space="preserve"> person. Ndarana searched him again and found another phone, a </w:t>
      </w:r>
      <w:r w:rsidR="00C77E8C" w:rsidRPr="00D35A0D">
        <w:t>Motorola,</w:t>
      </w:r>
      <w:r w:rsidR="006E3570" w:rsidRPr="00D35A0D">
        <w:t xml:space="preserve"> </w:t>
      </w:r>
      <w:r w:rsidR="006E3570">
        <w:t xml:space="preserve">and a brown wallet. Appellant </w:t>
      </w:r>
      <w:r w:rsidR="006E3570" w:rsidRPr="00D35A0D">
        <w:t xml:space="preserve">1 had dressed in a multi-coloured jersey which was later identified as that of the complainant. </w:t>
      </w:r>
    </w:p>
    <w:p w14:paraId="0EDE506D" w14:textId="77777777" w:rsidR="006E3570" w:rsidRPr="00D35A0D" w:rsidRDefault="006E3570" w:rsidP="00C77E8C">
      <w:pPr>
        <w:jc w:val="both"/>
      </w:pPr>
    </w:p>
    <w:p w14:paraId="01C023CB" w14:textId="049B9AE4" w:rsidR="006E3570" w:rsidRDefault="00C477FC" w:rsidP="00C77E8C">
      <w:pPr>
        <w:jc w:val="both"/>
      </w:pPr>
      <w:r>
        <w:t>[12]</w:t>
      </w:r>
      <w:r>
        <w:tab/>
      </w:r>
      <w:r w:rsidR="006E3570" w:rsidRPr="00D35A0D">
        <w:t xml:space="preserve">On or about five days </w:t>
      </w:r>
      <w:r w:rsidR="00090F43">
        <w:t>later</w:t>
      </w:r>
      <w:r w:rsidR="00E153B9">
        <w:t>,</w:t>
      </w:r>
      <w:r w:rsidR="00090F43">
        <w:t xml:space="preserve"> two police officers</w:t>
      </w:r>
      <w:r w:rsidR="00E153B9">
        <w:t>,</w:t>
      </w:r>
      <w:r w:rsidR="00090F43">
        <w:t xml:space="preserve"> </w:t>
      </w:r>
      <w:r w:rsidR="00096FD4">
        <w:t>namely</w:t>
      </w:r>
      <w:r w:rsidR="006E3570" w:rsidRPr="00D35A0D">
        <w:t xml:space="preserve"> Sergeants Lengs and Murray</w:t>
      </w:r>
      <w:r w:rsidR="00E153B9">
        <w:t>,</w:t>
      </w:r>
      <w:r w:rsidR="006E3570" w:rsidRPr="00D35A0D">
        <w:t xml:space="preserve"> spotted two suspicious males</w:t>
      </w:r>
      <w:r w:rsidR="006E3570">
        <w:t xml:space="preserve"> in </w:t>
      </w:r>
      <w:r w:rsidR="006E3570" w:rsidRPr="00D35A0D">
        <w:t xml:space="preserve">Greenbush Area. </w:t>
      </w:r>
      <w:r w:rsidR="006E3570">
        <w:t>The pair entered a tavern</w:t>
      </w:r>
      <w:r w:rsidR="00E153B9">
        <w:t>,</w:t>
      </w:r>
      <w:r w:rsidR="006E3570">
        <w:t xml:space="preserve"> and they followed them. </w:t>
      </w:r>
      <w:r w:rsidR="006E3570" w:rsidRPr="00D35A0D">
        <w:t>One of the suspects was in possession of a firearm. He put same down</w:t>
      </w:r>
      <w:r w:rsidR="00BE65E8">
        <w:t>. T</w:t>
      </w:r>
      <w:r w:rsidR="006E3570" w:rsidRPr="00D35A0D">
        <w:t>he officers approached them and searched a bag belonging to one of the suspect</w:t>
      </w:r>
      <w:r w:rsidR="00096FD4">
        <w:t>s</w:t>
      </w:r>
      <w:r w:rsidR="006E3570" w:rsidRPr="00D35A0D">
        <w:t xml:space="preserve">. He confiscated a live round 3.8 </w:t>
      </w:r>
      <w:r w:rsidR="006E3570">
        <w:t xml:space="preserve">and some rubber gloves. Because of </w:t>
      </w:r>
      <w:r w:rsidR="00E153B9">
        <w:t xml:space="preserve">the </w:t>
      </w:r>
      <w:r w:rsidR="006E3570" w:rsidRPr="00D35A0D">
        <w:t>curiosity of the patrons who seemed to be interrupting the process, the officers decided to apprehend both sus</w:t>
      </w:r>
      <w:r w:rsidR="006E3570">
        <w:t>pects and put them in a police v</w:t>
      </w:r>
      <w:r w:rsidR="006E3570" w:rsidRPr="00D35A0D">
        <w:t>an. The officers testified that there was nothing at the back of the bakkie until they recovered</w:t>
      </w:r>
      <w:r w:rsidR="006E3570">
        <w:t xml:space="preserve"> a</w:t>
      </w:r>
      <w:r w:rsidR="006E3570" w:rsidRPr="00D35A0D">
        <w:t xml:space="preserve"> </w:t>
      </w:r>
      <w:r w:rsidR="006E3570">
        <w:t>firearm</w:t>
      </w:r>
      <w:r w:rsidR="006E3570" w:rsidRPr="00D35A0D">
        <w:t xml:space="preserve"> under the seat of the police van wh</w:t>
      </w:r>
      <w:r w:rsidR="006E3570">
        <w:t xml:space="preserve">ere the suspects were. </w:t>
      </w:r>
      <w:r w:rsidR="006E3570" w:rsidRPr="00D35A0D">
        <w:t xml:space="preserve">On investigation, the two officers </w:t>
      </w:r>
      <w:r w:rsidR="006E3570">
        <w:t>were convinced that the firearm</w:t>
      </w:r>
      <w:r w:rsidR="006E3570" w:rsidRPr="00D35A0D">
        <w:t xml:space="preserve"> belonged to the suspects. The two suspects were</w:t>
      </w:r>
      <w:r w:rsidR="006E3570">
        <w:t xml:space="preserve"> identified as Appellant 3 and a certain </w:t>
      </w:r>
      <w:r w:rsidR="00BE65E8">
        <w:t>‘</w:t>
      </w:r>
      <w:r w:rsidR="006E3570">
        <w:t>LK</w:t>
      </w:r>
      <w:r w:rsidR="00BE65E8">
        <w:t>’</w:t>
      </w:r>
      <w:r w:rsidR="006E3570">
        <w:t xml:space="preserve"> who was never charged</w:t>
      </w:r>
      <w:r w:rsidR="006E3570" w:rsidRPr="00D35A0D">
        <w:t>. The firearm was kept as an exhibit and later sent</w:t>
      </w:r>
      <w:r w:rsidR="006E3570">
        <w:t xml:space="preserve"> to the laboratory</w:t>
      </w:r>
      <w:r w:rsidR="006E3570" w:rsidRPr="00D35A0D">
        <w:t xml:space="preserve"> for forensic analysis.</w:t>
      </w:r>
    </w:p>
    <w:p w14:paraId="4329CD15" w14:textId="77777777" w:rsidR="006E3570" w:rsidRDefault="006E3570" w:rsidP="00C77E8C">
      <w:pPr>
        <w:jc w:val="both"/>
      </w:pPr>
    </w:p>
    <w:p w14:paraId="35AD6A29" w14:textId="77777777" w:rsidR="006E3570" w:rsidRDefault="006E3570" w:rsidP="00C77E8C">
      <w:pPr>
        <w:jc w:val="both"/>
        <w:rPr>
          <w:i/>
          <w:u w:val="single"/>
        </w:rPr>
      </w:pPr>
      <w:r w:rsidRPr="00D35A0D">
        <w:rPr>
          <w:i/>
          <w:u w:val="single"/>
        </w:rPr>
        <w:t>The undisputed scientific evidence</w:t>
      </w:r>
    </w:p>
    <w:p w14:paraId="58CE74F8" w14:textId="77777777" w:rsidR="006E3570" w:rsidRPr="00D35A0D" w:rsidRDefault="006E3570" w:rsidP="00C77E8C">
      <w:pPr>
        <w:jc w:val="both"/>
        <w:rPr>
          <w:i/>
          <w:u w:val="single"/>
        </w:rPr>
      </w:pPr>
    </w:p>
    <w:p w14:paraId="036A3247" w14:textId="47049004" w:rsidR="006E3570" w:rsidRDefault="00C477FC" w:rsidP="00C77E8C">
      <w:pPr>
        <w:jc w:val="both"/>
      </w:pPr>
      <w:r>
        <w:lastRenderedPageBreak/>
        <w:t>[13]</w:t>
      </w:r>
      <w:r>
        <w:tab/>
      </w:r>
      <w:r w:rsidR="006E3570" w:rsidRPr="00D35A0D">
        <w:t xml:space="preserve">Dr Greg Ochabski, a Chief </w:t>
      </w:r>
      <w:r w:rsidR="00E153B9">
        <w:t>M</w:t>
      </w:r>
      <w:r w:rsidR="00E153B9" w:rsidRPr="00D35A0D">
        <w:t xml:space="preserve">edical </w:t>
      </w:r>
      <w:r w:rsidR="006E3570" w:rsidRPr="00D35A0D">
        <w:t>Officer attached to the New Brighton Mortuary, observed two bullet wounds on the deceased’s head</w:t>
      </w:r>
      <w:r w:rsidR="006E3570">
        <w:t xml:space="preserve"> and opined that the third was an exit wound</w:t>
      </w:r>
      <w:r w:rsidR="006E3570" w:rsidRPr="00D35A0D">
        <w:t>. Two projectiles were also extracted at the end of the wound tracks. They were sealed in the evidence bag and sent to Warrant Officer Channel Africa, a forensic Science laboratory expert. According to the report compiled, the projectile that was recovered from the deceased’s head was fired from the firearm that was recovered during</w:t>
      </w:r>
      <w:r w:rsidR="00096FD4">
        <w:t xml:space="preserve"> the</w:t>
      </w:r>
      <w:r w:rsidR="006E3570" w:rsidRPr="00D35A0D">
        <w:t xml:space="preserve"> arrest of Appellant 3.</w:t>
      </w:r>
    </w:p>
    <w:p w14:paraId="160432A4" w14:textId="77777777" w:rsidR="00C477FC" w:rsidRPr="00D35A0D" w:rsidRDefault="00C477FC" w:rsidP="00C77E8C">
      <w:pPr>
        <w:jc w:val="both"/>
      </w:pPr>
    </w:p>
    <w:p w14:paraId="4BEF6F70" w14:textId="4C7E0F3C" w:rsidR="006E3570" w:rsidRDefault="00C477FC" w:rsidP="00C77E8C">
      <w:pPr>
        <w:jc w:val="both"/>
      </w:pPr>
      <w:r w:rsidRPr="00C77E8C">
        <w:t>[14]</w:t>
      </w:r>
      <w:r>
        <w:rPr>
          <w:b/>
        </w:rPr>
        <w:tab/>
      </w:r>
      <w:r w:rsidR="006E3570" w:rsidRPr="00D35A0D">
        <w:t>Captain Swaartbooi, a fingerprint expert</w:t>
      </w:r>
      <w:r w:rsidR="00E153B9">
        <w:t>,</w:t>
      </w:r>
      <w:r w:rsidR="006E3570" w:rsidRPr="00D35A0D">
        <w:t xml:space="preserve"> visited the complainant’s home and</w:t>
      </w:r>
      <w:r w:rsidR="006E3570">
        <w:t xml:space="preserve"> observed</w:t>
      </w:r>
      <w:r w:rsidR="006E3570" w:rsidRPr="00D35A0D">
        <w:t xml:space="preserve"> a blue Mazda motor vehicle that</w:t>
      </w:r>
      <w:r w:rsidR="00BE65E8">
        <w:t xml:space="preserve"> was </w:t>
      </w:r>
      <w:r w:rsidR="00E153B9">
        <w:t xml:space="preserve">stationary </w:t>
      </w:r>
      <w:r w:rsidR="00BE65E8">
        <w:t>in</w:t>
      </w:r>
      <w:r w:rsidR="00E153B9">
        <w:t xml:space="preserve"> </w:t>
      </w:r>
      <w:r w:rsidR="00BE65E8">
        <w:t xml:space="preserve">front of the kitchen. He lifted </w:t>
      </w:r>
      <w:r w:rsidR="006E3570" w:rsidRPr="00D35A0D">
        <w:t xml:space="preserve">prints from the said vehicle, </w:t>
      </w:r>
      <w:r w:rsidR="006E3570">
        <w:t xml:space="preserve">some from </w:t>
      </w:r>
      <w:r w:rsidR="006E3570" w:rsidRPr="00D35A0D">
        <w:t>the Maroon Avanza that was confiscated by the police during arrest</w:t>
      </w:r>
      <w:r w:rsidR="006E3570">
        <w:t xml:space="preserve"> and some from </w:t>
      </w:r>
      <w:r w:rsidR="006E3570" w:rsidRPr="00D35A0D">
        <w:t>the TV and the VCR video machine that were in the complainant’</w:t>
      </w:r>
      <w:r w:rsidR="006E3570">
        <w:t>s house. Appellant</w:t>
      </w:r>
      <w:r w:rsidR="00E153B9">
        <w:t>s</w:t>
      </w:r>
      <w:r w:rsidR="006E3570">
        <w:t xml:space="preserve"> 1 and 2’s</w:t>
      </w:r>
      <w:r w:rsidR="006E3570" w:rsidRPr="00D35A0D">
        <w:t xml:space="preserve"> prints were lifted from the Mazda. Appellant 3’s right thumbprint was lifted from the left door of the maroon Avanza. Appellant 5’s prints were lifted from the VCR video machine that was found inside the complainant’s lounge. The complainant’s plasma Television set that was found inside the Maroon Avanza consisted of Appellant 6’</w:t>
      </w:r>
      <w:r w:rsidR="00E153B9">
        <w:t>s</w:t>
      </w:r>
      <w:r w:rsidR="006E3570" w:rsidRPr="00D35A0D">
        <w:t xml:space="preserve"> fingerprints. Some were identifiable on the bottom part of the TV screen.</w:t>
      </w:r>
      <w:r w:rsidR="00D07AFC">
        <w:t xml:space="preserve"> </w:t>
      </w:r>
    </w:p>
    <w:p w14:paraId="3B92F740" w14:textId="77777777" w:rsidR="006E3570" w:rsidRPr="00D35A0D" w:rsidRDefault="006E3570" w:rsidP="00C77E8C">
      <w:pPr>
        <w:jc w:val="both"/>
      </w:pPr>
    </w:p>
    <w:p w14:paraId="10242ABE" w14:textId="74E306DC" w:rsidR="006E3570" w:rsidRDefault="00107CF1" w:rsidP="00C77E8C">
      <w:pPr>
        <w:jc w:val="both"/>
      </w:pPr>
      <w:r w:rsidRPr="00C77E8C">
        <w:t>[15]</w:t>
      </w:r>
      <w:r>
        <w:rPr>
          <w:b/>
        </w:rPr>
        <w:tab/>
      </w:r>
      <w:r w:rsidR="006B44B7">
        <w:t>The five</w:t>
      </w:r>
      <w:r w:rsidR="006E3570" w:rsidRPr="00D35A0D">
        <w:t xml:space="preserve"> Appellants testified in their defence and denied having committed the offences in question. Their</w:t>
      </w:r>
      <w:r w:rsidR="006E3570">
        <w:t xml:space="preserve"> evidence is summarised thus: Appellant 1 testified about how he found himself in the car</w:t>
      </w:r>
      <w:r w:rsidR="00E153B9">
        <w:t>,</w:t>
      </w:r>
      <w:r w:rsidR="006E3570">
        <w:t xml:space="preserve"> </w:t>
      </w:r>
      <w:r w:rsidR="00E153B9">
        <w:t xml:space="preserve">which </w:t>
      </w:r>
      <w:r w:rsidR="006E3570">
        <w:t>is the subject of the criminal activities in question. After he had finished enjoying his drinks at the tavern, he boarded the said Avanza</w:t>
      </w:r>
      <w:r w:rsidR="00E153B9">
        <w:t>,</w:t>
      </w:r>
      <w:r w:rsidR="006E3570">
        <w:t xml:space="preserve"> which was driven by Appellant 2. On the way</w:t>
      </w:r>
      <w:r w:rsidR="00E153B9">
        <w:t>,</w:t>
      </w:r>
      <w:r w:rsidR="006E3570">
        <w:t xml:space="preserve"> they picked up two more passengers. The passenger behind the driver pulled out a firearm and cocked it. He instructed the driver to take a </w:t>
      </w:r>
      <w:r w:rsidR="00E153B9">
        <w:t>U</w:t>
      </w:r>
      <w:r w:rsidR="006E3570">
        <w:t>-turn which he did. When reaching a certain house with a blue Mazda that had parked next to the kitchen door</w:t>
      </w:r>
      <w:r w:rsidR="00E153B9">
        <w:t>,</w:t>
      </w:r>
      <w:r w:rsidR="006E3570">
        <w:t xml:space="preserve"> he was forcefully asked to collect some items and load them in the Avanza</w:t>
      </w:r>
      <w:r w:rsidR="00E153B9">
        <w:t>,</w:t>
      </w:r>
      <w:r w:rsidR="006E3570">
        <w:t xml:space="preserve"> which he did. A police car emerged</w:t>
      </w:r>
      <w:r w:rsidR="00E153B9">
        <w:t>,</w:t>
      </w:r>
      <w:r w:rsidR="006E3570">
        <w:t xml:space="preserve"> and they got inside the Avanza and fled. Appellant 1 testified that amongst the passengers was Appellant 5</w:t>
      </w:r>
      <w:r w:rsidR="00E153B9">
        <w:t>,</w:t>
      </w:r>
      <w:r w:rsidR="006E3570">
        <w:t xml:space="preserve"> who had been sleeping at the back throughout this journey.</w:t>
      </w:r>
    </w:p>
    <w:p w14:paraId="5688825B" w14:textId="77777777" w:rsidR="006E3570" w:rsidRDefault="006E3570" w:rsidP="00C77E8C">
      <w:pPr>
        <w:jc w:val="both"/>
      </w:pPr>
    </w:p>
    <w:p w14:paraId="4DFDB3E6" w14:textId="51B86AAE" w:rsidR="006B44B7" w:rsidRDefault="006E3570" w:rsidP="00C77E8C">
      <w:pPr>
        <w:jc w:val="both"/>
      </w:pPr>
      <w:r w:rsidRPr="00C77E8C">
        <w:t>[16]</w:t>
      </w:r>
      <w:r w:rsidR="00107CF1">
        <w:tab/>
      </w:r>
      <w:r>
        <w:t xml:space="preserve">Appellant 2 testified that he was in </w:t>
      </w:r>
      <w:r w:rsidR="00E153B9">
        <w:t xml:space="preserve">the </w:t>
      </w:r>
      <w:r>
        <w:t xml:space="preserve">company of Appellant 5 when they picked up Appellant 1. Appellant 1 asked to be dropped </w:t>
      </w:r>
      <w:r w:rsidR="00E153B9">
        <w:t xml:space="preserve">off </w:t>
      </w:r>
      <w:r>
        <w:t xml:space="preserve">at Motherwell to collect some </w:t>
      </w:r>
      <w:r>
        <w:lastRenderedPageBreak/>
        <w:t xml:space="preserve">money. He offered to pay extra for that special trip. On arrival at the house at Motherwell (apparently the deceased’s house), two men in their company got out of the car. One was holding his cell phone </w:t>
      </w:r>
      <w:r w:rsidR="00E153B9">
        <w:t xml:space="preserve">and </w:t>
      </w:r>
      <w:r>
        <w:t>smoking outside</w:t>
      </w:r>
      <w:r w:rsidR="00E153B9">
        <w:t xml:space="preserve">, </w:t>
      </w:r>
      <w:r>
        <w:t>and from there</w:t>
      </w:r>
      <w:r w:rsidR="00E153B9">
        <w:t>,</w:t>
      </w:r>
      <w:r>
        <w:t xml:space="preserve"> he heard that a dog was being beaten. One</w:t>
      </w:r>
      <w:r w:rsidR="006B44B7">
        <w:t xml:space="preserve"> of the </w:t>
      </w:r>
      <w:r>
        <w:t>men asked Appellant 5 to wait for them until they finished their mission. The one that was smoking took him out of the car and instructed them to put the appliances inside the Avanza. A police vehicle emerged</w:t>
      </w:r>
      <w:r w:rsidR="00E153B9">
        <w:t>,</w:t>
      </w:r>
      <w:r>
        <w:t xml:space="preserve"> and he was forcefully asked to drive off. When the car sped off</w:t>
      </w:r>
      <w:r w:rsidR="00E153B9">
        <w:t>,</w:t>
      </w:r>
      <w:r>
        <w:t xml:space="preserve"> it collided with one of the police vehicles. He ran out and later came back to the police to explain what had happened. Appellant 2 testified that he knows Appellant</w:t>
      </w:r>
      <w:r w:rsidR="00E153B9">
        <w:t>s</w:t>
      </w:r>
      <w:r>
        <w:t xml:space="preserve"> 3 and 6 by sight.</w:t>
      </w:r>
      <w:r w:rsidR="00D07AFC">
        <w:t xml:space="preserve"> Appellant 2 denied Appellant 1’s version that they were pointed </w:t>
      </w:r>
      <w:r w:rsidR="00343555">
        <w:t xml:space="preserve">with </w:t>
      </w:r>
      <w:r w:rsidR="00D07AFC">
        <w:t>a gun to drive to a certain house at Motherwell.</w:t>
      </w:r>
      <w:r w:rsidR="006B44B7">
        <w:t xml:space="preserve"> Appellant 2 called his mother, Mrs Mesiwe Platana as a defence witness. Her evidence did not take the case any further.</w:t>
      </w:r>
    </w:p>
    <w:p w14:paraId="18EB6C67" w14:textId="77777777" w:rsidR="006B44B7" w:rsidRDefault="006B44B7" w:rsidP="00C77E8C">
      <w:pPr>
        <w:jc w:val="both"/>
      </w:pPr>
    </w:p>
    <w:p w14:paraId="58B958FA" w14:textId="5FBB7C58" w:rsidR="007706A8" w:rsidRDefault="006E3570" w:rsidP="00C77E8C">
      <w:pPr>
        <w:jc w:val="both"/>
      </w:pPr>
      <w:r w:rsidRPr="00C77E8C">
        <w:t>[17]</w:t>
      </w:r>
      <w:r w:rsidR="00107CF1">
        <w:tab/>
      </w:r>
      <w:r>
        <w:t>Appellant 3 could not explain how his fingerprints were found in the</w:t>
      </w:r>
      <w:r w:rsidR="00D07AFC">
        <w:t xml:space="preserve"> Toyota</w:t>
      </w:r>
      <w:r>
        <w:t xml:space="preserve"> Avanza</w:t>
      </w:r>
      <w:r w:rsidR="00E153B9">
        <w:t>,</w:t>
      </w:r>
      <w:r>
        <w:t xml:space="preserve"> although he once boarded the car on a</w:t>
      </w:r>
      <w:r w:rsidR="00D07AFC">
        <w:t>n unknown date. He</w:t>
      </w:r>
      <w:r w:rsidR="00E153B9">
        <w:t>,</w:t>
      </w:r>
      <w:r w:rsidR="00D07AFC">
        <w:t xml:space="preserve"> however, </w:t>
      </w:r>
      <w:r>
        <w:t xml:space="preserve">confirmed that they were arrested at Greenbushes with one Loyiso. He informed the court that the only gun he had knowledge of </w:t>
      </w:r>
      <w:r w:rsidR="00E153B9">
        <w:t xml:space="preserve">was </w:t>
      </w:r>
      <w:r>
        <w:t>the one that was picked up by the police under a beer crate in the tavern. Appellant 3 testified that no firearm was found at the back of the police van.</w:t>
      </w:r>
      <w:r w:rsidR="00D07AFC">
        <w:t xml:space="preserve"> He denied that he was in possession of a firearm at any stage.</w:t>
      </w:r>
      <w:r>
        <w:t xml:space="preserve"> Appellant 5 is a taxi driver. On the day of the incident</w:t>
      </w:r>
      <w:r w:rsidR="00E153B9">
        <w:t>,</w:t>
      </w:r>
      <w:r>
        <w:t xml:space="preserve"> he was joined by Appellant 2. On the way to Motherwell, Appellant 2 borrowed his phone</w:t>
      </w:r>
      <w:r w:rsidR="00E153B9">
        <w:t>. I</w:t>
      </w:r>
      <w:r>
        <w:t xml:space="preserve">t was at that moment that he found himself sleeping. He later heard gunshots, jumped out of the car and fled as he feared for his life. Appellant 6 testified that two detectives </w:t>
      </w:r>
      <w:r w:rsidR="00E153B9">
        <w:t>visited him</w:t>
      </w:r>
      <w:r>
        <w:t xml:space="preserve"> and informed him that his fingerprints were found in the house that was robbed. He never denied the presence of his fingerprints</w:t>
      </w:r>
      <w:r w:rsidR="00D07AFC">
        <w:t xml:space="preserve"> in the complainant’s TV set</w:t>
      </w:r>
      <w:r>
        <w:t xml:space="preserve"> but explained that he was once approached to assist in </w:t>
      </w:r>
      <w:r w:rsidR="00532975">
        <w:t>the mending</w:t>
      </w:r>
      <w:r>
        <w:t xml:space="preserve"> of a television set at Motherwell. He denied that the complainant and the deceased were his relatives.</w:t>
      </w:r>
      <w:r w:rsidRPr="00D35A0D">
        <w:t xml:space="preserve"> </w:t>
      </w:r>
    </w:p>
    <w:p w14:paraId="59974F67" w14:textId="77777777" w:rsidR="007706A8" w:rsidRDefault="007706A8" w:rsidP="00C77E8C">
      <w:pPr>
        <w:jc w:val="both"/>
      </w:pPr>
    </w:p>
    <w:p w14:paraId="23AFACFD" w14:textId="369E1655" w:rsidR="00107CF1" w:rsidRPr="0008476E" w:rsidRDefault="006E3570" w:rsidP="00C77E8C">
      <w:pPr>
        <w:jc w:val="both"/>
      </w:pPr>
      <w:r w:rsidRPr="00C77E8C">
        <w:rPr>
          <w:i/>
        </w:rPr>
        <w:t>Appeal against conviction</w:t>
      </w:r>
    </w:p>
    <w:p w14:paraId="52D0E1A7" w14:textId="48AE00CB" w:rsidR="00107CF1" w:rsidRDefault="00107CF1" w:rsidP="00C77E8C">
      <w:pPr>
        <w:jc w:val="both"/>
      </w:pPr>
      <w:r>
        <w:t>[18]</w:t>
      </w:r>
      <w:r>
        <w:tab/>
      </w:r>
      <w:r w:rsidR="006E3570">
        <w:t>C</w:t>
      </w:r>
      <w:r w:rsidR="006E3570" w:rsidRPr="00D35A0D">
        <w:t>ounsel for</w:t>
      </w:r>
      <w:r w:rsidR="006E3570">
        <w:t xml:space="preserve"> the Appellants submitted</w:t>
      </w:r>
      <w:r w:rsidR="006E3570" w:rsidRPr="00D35A0D">
        <w:t xml:space="preserve"> that the State has failed to prove their</w:t>
      </w:r>
      <w:r>
        <w:t xml:space="preserve"> </w:t>
      </w:r>
      <w:r w:rsidR="006E3570" w:rsidRPr="00D35A0D">
        <w:t>guilt beyond reasonable doubt</w:t>
      </w:r>
      <w:r w:rsidR="006E3570" w:rsidRPr="00D35A0D">
        <w:rPr>
          <w:rStyle w:val="FootnoteReference"/>
        </w:rPr>
        <w:footnoteReference w:id="3"/>
      </w:r>
      <w:r w:rsidR="006E3570" w:rsidRPr="00D35A0D">
        <w:t xml:space="preserve"> and that the court below should have accepted that </w:t>
      </w:r>
      <w:r w:rsidR="006E3570" w:rsidRPr="00D35A0D">
        <w:lastRenderedPageBreak/>
        <w:t>the version of the Appellants was reasonably possibly t</w:t>
      </w:r>
      <w:r w:rsidR="006E3570">
        <w:t>rue. It was</w:t>
      </w:r>
      <w:r w:rsidR="006E3570" w:rsidRPr="00D35A0D">
        <w:t xml:space="preserve"> further his argument that the cautionary rules applicable in the evidence of a single witness</w:t>
      </w:r>
      <w:r w:rsidR="006E3570" w:rsidRPr="00D35A0D">
        <w:rPr>
          <w:rStyle w:val="FootnoteReference"/>
        </w:rPr>
        <w:footnoteReference w:id="4"/>
      </w:r>
      <w:r w:rsidR="006E3570" w:rsidRPr="00D35A0D">
        <w:t xml:space="preserve"> coupled with the caution that must be applied where identification is an issue</w:t>
      </w:r>
      <w:r w:rsidR="006E3570" w:rsidRPr="00D35A0D">
        <w:rPr>
          <w:rStyle w:val="FootnoteReference"/>
        </w:rPr>
        <w:footnoteReference w:id="5"/>
      </w:r>
      <w:r w:rsidR="006E3570" w:rsidRPr="00D35A0D">
        <w:t xml:space="preserve"> were not properly applied</w:t>
      </w:r>
      <w:r w:rsidR="006E3570">
        <w:t xml:space="preserve"> by the </w:t>
      </w:r>
      <w:r w:rsidR="006E3570" w:rsidRPr="007E3972">
        <w:rPr>
          <w:i/>
        </w:rPr>
        <w:t xml:space="preserve">court a </w:t>
      </w:r>
      <w:r w:rsidR="00E153B9" w:rsidRPr="007E3972">
        <w:rPr>
          <w:i/>
        </w:rPr>
        <w:t>q</w:t>
      </w:r>
      <w:r w:rsidR="00E153B9">
        <w:rPr>
          <w:i/>
        </w:rPr>
        <w:t>uo</w:t>
      </w:r>
      <w:r w:rsidR="005911CD">
        <w:t>. C</w:t>
      </w:r>
      <w:r w:rsidR="006E3570">
        <w:t>ounsel</w:t>
      </w:r>
      <w:r w:rsidR="005911CD">
        <w:t xml:space="preserve"> for the Appellants further</w:t>
      </w:r>
      <w:r w:rsidR="006E3570" w:rsidRPr="00D35A0D">
        <w:t xml:space="preserve"> contested the admission</w:t>
      </w:r>
      <w:r w:rsidR="00E33CBD">
        <w:t xml:space="preserve"> of </w:t>
      </w:r>
      <w:r w:rsidR="006E3570">
        <w:t>evidence of an</w:t>
      </w:r>
      <w:r w:rsidR="006E3570" w:rsidRPr="00D35A0D">
        <w:t xml:space="preserve"> erstwhil</w:t>
      </w:r>
      <w:r w:rsidR="006E3570">
        <w:t>e accused 4.</w:t>
      </w:r>
    </w:p>
    <w:p w14:paraId="0A42B51E" w14:textId="77777777" w:rsidR="00107CF1" w:rsidRPr="00D35A0D" w:rsidRDefault="00107CF1" w:rsidP="00C77E8C">
      <w:pPr>
        <w:jc w:val="both"/>
      </w:pPr>
    </w:p>
    <w:p w14:paraId="06B875F3" w14:textId="73C962B2" w:rsidR="00107CF1" w:rsidRDefault="00107CF1">
      <w:pPr>
        <w:jc w:val="both"/>
      </w:pPr>
      <w:r w:rsidRPr="00C77E8C">
        <w:t>[19]</w:t>
      </w:r>
      <w:r>
        <w:rPr>
          <w:b/>
        </w:rPr>
        <w:tab/>
      </w:r>
      <w:r w:rsidR="006E3570" w:rsidRPr="00D35A0D">
        <w:t>Counsel for the state</w:t>
      </w:r>
      <w:r w:rsidR="005911CD">
        <w:t xml:space="preserve"> opposed the a</w:t>
      </w:r>
      <w:r w:rsidR="006E3570" w:rsidRPr="00D35A0D">
        <w:t xml:space="preserve">ppeal </w:t>
      </w:r>
      <w:r w:rsidR="006E3570">
        <w:t>on the basis th</w:t>
      </w:r>
      <w:r w:rsidR="005911CD">
        <w:t>at the evidence held by the State against the Appellants</w:t>
      </w:r>
      <w:r w:rsidR="006E3570">
        <w:t xml:space="preserve"> was overwhelming and that</w:t>
      </w:r>
      <w:r w:rsidR="005911CD">
        <w:t xml:space="preserve"> the version</w:t>
      </w:r>
      <w:r w:rsidR="006E3570">
        <w:t xml:space="preserve"> </w:t>
      </w:r>
      <w:r w:rsidR="006E3570" w:rsidRPr="00D35A0D">
        <w:t>of the Appellants was full of contradictions and improbabilities. She further conceded that the evidence of the erstwhile accused was incorrectly admitted by the court below as it amounts to a confession that implicate</w:t>
      </w:r>
      <w:r w:rsidR="006E3570">
        <w:t>s</w:t>
      </w:r>
      <w:r w:rsidR="006E3570" w:rsidRPr="00D35A0D">
        <w:t xml:space="preserve"> </w:t>
      </w:r>
      <w:r w:rsidR="006E3570">
        <w:t>other Appellants</w:t>
      </w:r>
      <w:r w:rsidR="006E3570" w:rsidRPr="00D35A0D">
        <w:t>.</w:t>
      </w:r>
      <w:r w:rsidR="006E3570" w:rsidRPr="00D35A0D">
        <w:rPr>
          <w:rStyle w:val="FootnoteReference"/>
        </w:rPr>
        <w:footnoteReference w:id="6"/>
      </w:r>
      <w:r w:rsidR="006E3570" w:rsidRPr="00D35A0D">
        <w:t xml:space="preserve"> In </w:t>
      </w:r>
      <w:r w:rsidR="006E3570" w:rsidRPr="00C77E8C">
        <w:rPr>
          <w:i/>
        </w:rPr>
        <w:t>Molimi v State</w:t>
      </w:r>
      <w:r w:rsidR="006E3570" w:rsidRPr="00532975">
        <w:rPr>
          <w:rStyle w:val="FootnoteReference"/>
          <w:u w:val="single"/>
        </w:rPr>
        <w:footnoteReference w:id="7"/>
      </w:r>
      <w:r w:rsidR="006E3570" w:rsidRPr="00532975">
        <w:rPr>
          <w:u w:val="single"/>
        </w:rPr>
        <w:t>,</w:t>
      </w:r>
      <w:r w:rsidR="006E3570" w:rsidRPr="00D35A0D">
        <w:t xml:space="preserve"> a case that we were referred to by counsel </w:t>
      </w:r>
      <w:r w:rsidR="006E3570">
        <w:t xml:space="preserve">for the state, the issues up for debate were </w:t>
      </w:r>
      <w:r w:rsidR="006E3570" w:rsidRPr="00A108F8">
        <w:t>whether the statements made by accused 1 and 3 were confessions or admissions; whether the statements were admissible against the applicant; whether the trial court and the SCA had complied with s 3(1) (c) of the Law of Evidence Amendment Act 45 of 1988 (the Act); and what the appropriate consequence was.</w:t>
      </w:r>
      <w:r w:rsidR="006E3570">
        <w:t xml:space="preserve"> On perusal of the statement of accused 1</w:t>
      </w:r>
      <w:r w:rsidR="00E153B9">
        <w:t>,</w:t>
      </w:r>
      <w:r w:rsidR="006E3570">
        <w:t xml:space="preserve"> the court found that it was unequivocal admission of guilt</w:t>
      </w:r>
      <w:r w:rsidR="00E153B9">
        <w:t>,</w:t>
      </w:r>
      <w:r w:rsidR="006E3570">
        <w:t xml:space="preserve"> which is equivalent to a plea of guilt.  It was evident from the statement that accused 1 implicated </w:t>
      </w:r>
      <w:r w:rsidR="00BE649A">
        <w:t>others</w:t>
      </w:r>
      <w:r w:rsidR="006E3570">
        <w:t>. The Constitutional Court held that</w:t>
      </w:r>
      <w:r w:rsidR="006E3570">
        <w:rPr>
          <w:rFonts w:ascii="Agency FB" w:eastAsia="Calibri" w:hAnsi="Agency FB" w:cs="Times New Roman"/>
          <w:sz w:val="28"/>
          <w:szCs w:val="28"/>
          <w:lang w:val="en-US"/>
        </w:rPr>
        <w:t xml:space="preserve"> </w:t>
      </w:r>
      <w:r w:rsidR="006E3570" w:rsidRPr="00381E9C">
        <w:rPr>
          <w:rFonts w:eastAsia="Calibri"/>
          <w:lang w:val="en-US"/>
        </w:rPr>
        <w:t xml:space="preserve">the </w:t>
      </w:r>
      <w:r w:rsidR="00096FD4">
        <w:rPr>
          <w:rFonts w:eastAsia="Calibri"/>
          <w:lang w:val="en-US"/>
        </w:rPr>
        <w:t>Applicant has</w:t>
      </w:r>
      <w:r w:rsidR="006E3570">
        <w:rPr>
          <w:rFonts w:eastAsia="Calibri"/>
          <w:lang w:val="en-US"/>
        </w:rPr>
        <w:t xml:space="preserve"> a</w:t>
      </w:r>
      <w:r w:rsidR="006E3570" w:rsidRPr="00A917D4">
        <w:rPr>
          <w:rFonts w:eastAsia="Calibri"/>
          <w:lang w:val="en-US"/>
        </w:rPr>
        <w:t xml:space="preserve"> right to know </w:t>
      </w:r>
      <w:r w:rsidR="006E3570">
        <w:rPr>
          <w:rFonts w:eastAsia="Calibri"/>
          <w:lang w:val="en-US"/>
        </w:rPr>
        <w:t xml:space="preserve">a </w:t>
      </w:r>
      <w:r w:rsidR="006E3570" w:rsidRPr="00A917D4">
        <w:rPr>
          <w:rFonts w:eastAsia="Calibri"/>
          <w:lang w:val="en-US"/>
        </w:rPr>
        <w:t>case against him, to cross-examine authors of statements, and not to be expected to challenge hearsay evidence that</w:t>
      </w:r>
      <w:r w:rsidR="00096FD4">
        <w:rPr>
          <w:rFonts w:eastAsia="Calibri"/>
          <w:lang w:val="en-US"/>
        </w:rPr>
        <w:t xml:space="preserve"> is</w:t>
      </w:r>
      <w:r w:rsidR="006E3570" w:rsidRPr="00A917D4">
        <w:rPr>
          <w:rFonts w:eastAsia="Calibri"/>
          <w:lang w:val="en-US"/>
        </w:rPr>
        <w:t xml:space="preserve"> not only inadmissible against him but disavowed under oath by those g</w:t>
      </w:r>
      <w:r w:rsidR="006E3570">
        <w:rPr>
          <w:rFonts w:eastAsia="Calibri"/>
          <w:lang w:val="en-US"/>
        </w:rPr>
        <w:t>iving it if the</w:t>
      </w:r>
      <w:r w:rsidR="00AF68CE">
        <w:rPr>
          <w:rFonts w:eastAsia="Calibri"/>
          <w:lang w:val="en-US"/>
        </w:rPr>
        <w:t xml:space="preserve"> i</w:t>
      </w:r>
      <w:r w:rsidR="006E3570" w:rsidRPr="00A917D4">
        <w:rPr>
          <w:rFonts w:eastAsia="Calibri"/>
          <w:lang w:val="en-US"/>
        </w:rPr>
        <w:t>mproper admission of inadm</w:t>
      </w:r>
      <w:r w:rsidR="006E3570">
        <w:rPr>
          <w:rFonts w:eastAsia="Calibri"/>
          <w:lang w:val="en-US"/>
        </w:rPr>
        <w:t>issible evidence resulted in</w:t>
      </w:r>
      <w:r w:rsidR="006E3570" w:rsidRPr="00A917D4">
        <w:rPr>
          <w:rFonts w:eastAsia="Calibri"/>
          <w:lang w:val="en-US"/>
        </w:rPr>
        <w:t xml:space="preserve"> fundamental prejudice to </w:t>
      </w:r>
      <w:r w:rsidR="00E153B9">
        <w:rPr>
          <w:rFonts w:eastAsia="Calibri"/>
          <w:lang w:val="en-US"/>
        </w:rPr>
        <w:t xml:space="preserve">the </w:t>
      </w:r>
      <w:r w:rsidR="006E3570" w:rsidRPr="00A917D4">
        <w:rPr>
          <w:rFonts w:eastAsia="Calibri"/>
          <w:lang w:val="en-US"/>
        </w:rPr>
        <w:t>applicant.</w:t>
      </w:r>
    </w:p>
    <w:p w14:paraId="3EFE64BC" w14:textId="77777777" w:rsidR="00107CF1" w:rsidRDefault="00107CF1">
      <w:pPr>
        <w:jc w:val="both"/>
        <w:rPr>
          <w:rFonts w:eastAsia="Calibri"/>
          <w:lang w:val="en-US"/>
        </w:rPr>
      </w:pPr>
    </w:p>
    <w:p w14:paraId="2CC9B1B0" w14:textId="70021FBC" w:rsidR="00107CF1" w:rsidRDefault="00107CF1">
      <w:pPr>
        <w:jc w:val="both"/>
        <w:rPr>
          <w:b/>
        </w:rPr>
      </w:pPr>
      <w:r>
        <w:rPr>
          <w:rFonts w:eastAsia="Calibri"/>
          <w:lang w:val="en-US"/>
        </w:rPr>
        <w:t>[20]</w:t>
      </w:r>
      <w:r>
        <w:rPr>
          <w:rFonts w:eastAsia="Calibri"/>
          <w:lang w:val="en-US"/>
        </w:rPr>
        <w:tab/>
      </w:r>
      <w:r w:rsidR="00D07AFC">
        <w:t>Similarly, during his lifetime</w:t>
      </w:r>
      <w:r w:rsidR="00E153B9">
        <w:t>,</w:t>
      </w:r>
      <w:r w:rsidR="006E3570">
        <w:t xml:space="preserve"> the erstwhile accused 4</w:t>
      </w:r>
      <w:r w:rsidR="004275DB">
        <w:t xml:space="preserve"> </w:t>
      </w:r>
      <w:r w:rsidR="006E3570">
        <w:t>[</w:t>
      </w:r>
      <w:r w:rsidR="004275DB">
        <w:t xml:space="preserve">cited as </w:t>
      </w:r>
      <w:r w:rsidR="006E3570">
        <w:t>Zwelinzima Ntshangase</w:t>
      </w:r>
      <w:r w:rsidR="00096FD4">
        <w:t xml:space="preserve"> accused 4/deceased</w:t>
      </w:r>
      <w:r w:rsidR="004275DB">
        <w:t>]</w:t>
      </w:r>
      <w:r w:rsidR="00D07AFC">
        <w:t xml:space="preserve"> </w:t>
      </w:r>
      <w:r w:rsidR="00532975">
        <w:t>implicated all the Appellants</w:t>
      </w:r>
      <w:r w:rsidR="00D07AFC">
        <w:t xml:space="preserve"> in the commission of </w:t>
      </w:r>
      <w:r w:rsidR="00D07AFC">
        <w:lastRenderedPageBreak/>
        <w:t>the crimes in question</w:t>
      </w:r>
      <w:r w:rsidR="00532975">
        <w:t>.</w:t>
      </w:r>
      <w:r w:rsidR="004275DB">
        <w:t xml:space="preserve"> </w:t>
      </w:r>
      <w:r w:rsidR="00532975">
        <w:t>According to the statement</w:t>
      </w:r>
      <w:r w:rsidR="004275DB">
        <w:t xml:space="preserve">, </w:t>
      </w:r>
      <w:r w:rsidR="006E3570">
        <w:t>there was a contract killing that was pl</w:t>
      </w:r>
      <w:r w:rsidR="004275DB">
        <w:t>anned way in advance against the</w:t>
      </w:r>
      <w:r w:rsidR="006E3570">
        <w:t xml:space="preserve"> deceased’s wife. The role that was to be played by each of the Appellants</w:t>
      </w:r>
      <w:r w:rsidR="00E153B9">
        <w:t>,</w:t>
      </w:r>
      <w:r w:rsidR="006E3570">
        <w:t xml:space="preserve"> incl</w:t>
      </w:r>
      <w:r w:rsidR="00532975">
        <w:t xml:space="preserve">uding </w:t>
      </w:r>
      <w:r w:rsidR="005911CD">
        <w:t>his</w:t>
      </w:r>
      <w:r w:rsidR="00E153B9">
        <w:t>,</w:t>
      </w:r>
      <w:r w:rsidR="00532975">
        <w:t xml:space="preserve"> is demonstrated in the statement.</w:t>
      </w:r>
      <w:r w:rsidR="003348FF">
        <w:t xml:space="preserve"> This is the disquieting feature in the evidence of the state.</w:t>
      </w:r>
      <w:r w:rsidR="0062634D">
        <w:t xml:space="preserve"> I find it insignificant</w:t>
      </w:r>
      <w:r w:rsidR="00532975">
        <w:t xml:space="preserve"> to dwell much on this issue save to say that counsel for the</w:t>
      </w:r>
      <w:r w:rsidR="006E3570">
        <w:t xml:space="preserve"> Appellants correctly contested the</w:t>
      </w:r>
      <w:r w:rsidR="00532975">
        <w:t xml:space="preserve"> admission of the said statement as it amounts to </w:t>
      </w:r>
      <w:r w:rsidR="00E153B9">
        <w:t>an</w:t>
      </w:r>
      <w:r w:rsidR="006E3570">
        <w:t xml:space="preserve"> inadmissible confession</w:t>
      </w:r>
      <w:r w:rsidR="00E153B9">
        <w:t>,</w:t>
      </w:r>
      <w:r w:rsidR="006E3570">
        <w:t xml:space="preserve"> and the concessions made by the state on appeal</w:t>
      </w:r>
      <w:r w:rsidR="00532975">
        <w:t xml:space="preserve"> were in this regard appropriate</w:t>
      </w:r>
      <w:r w:rsidR="006E3570">
        <w:t xml:space="preserve">. </w:t>
      </w:r>
    </w:p>
    <w:p w14:paraId="0065AE33" w14:textId="77777777" w:rsidR="00107CF1" w:rsidRDefault="00107CF1">
      <w:pPr>
        <w:jc w:val="both"/>
      </w:pPr>
    </w:p>
    <w:p w14:paraId="033A1A50" w14:textId="24C7C506" w:rsidR="00107CF1" w:rsidRDefault="00107CF1" w:rsidP="00C77E8C">
      <w:pPr>
        <w:jc w:val="both"/>
      </w:pPr>
      <w:r>
        <w:t>[21]</w:t>
      </w:r>
      <w:r>
        <w:tab/>
      </w:r>
      <w:r w:rsidR="006E3570">
        <w:t xml:space="preserve">The question is whether the remainder of evidence that was admitted by the </w:t>
      </w:r>
      <w:r w:rsidR="006E3570" w:rsidRPr="00622770">
        <w:rPr>
          <w:i/>
        </w:rPr>
        <w:t>court a</w:t>
      </w:r>
      <w:r w:rsidR="006E3570">
        <w:t xml:space="preserve"> </w:t>
      </w:r>
      <w:r w:rsidR="00DB2DA1">
        <w:rPr>
          <w:i/>
        </w:rPr>
        <w:t>q</w:t>
      </w:r>
      <w:r w:rsidR="006E3570" w:rsidRPr="00622770">
        <w:rPr>
          <w:i/>
        </w:rPr>
        <w:t>u</w:t>
      </w:r>
      <w:r w:rsidR="00DB2DA1">
        <w:rPr>
          <w:i/>
        </w:rPr>
        <w:t>o</w:t>
      </w:r>
      <w:r w:rsidR="006E3570">
        <w:t xml:space="preserve"> supports </w:t>
      </w:r>
      <w:r w:rsidR="00343555">
        <w:t xml:space="preserve">the </w:t>
      </w:r>
      <w:r w:rsidR="006E3570">
        <w:t>conviction</w:t>
      </w:r>
      <w:r w:rsidR="003443AD">
        <w:t>s</w:t>
      </w:r>
      <w:r w:rsidR="006E3570">
        <w:t xml:space="preserve"> and sentence</w:t>
      </w:r>
      <w:r w:rsidR="003443AD">
        <w:t>s</w:t>
      </w:r>
      <w:r w:rsidR="00343555">
        <w:t xml:space="preserve"> in relation to all the appellants</w:t>
      </w:r>
      <w:r w:rsidR="006E3570">
        <w:t xml:space="preserve">. </w:t>
      </w:r>
    </w:p>
    <w:p w14:paraId="4183B2A4" w14:textId="77777777" w:rsidR="00107CF1" w:rsidRDefault="00107CF1" w:rsidP="00C77E8C">
      <w:pPr>
        <w:jc w:val="both"/>
        <w:rPr>
          <w:i/>
          <w:u w:val="single"/>
        </w:rPr>
      </w:pPr>
    </w:p>
    <w:p w14:paraId="0C200622" w14:textId="23CABE6A" w:rsidR="00107CF1" w:rsidRDefault="006E3570" w:rsidP="00C77E8C">
      <w:pPr>
        <w:jc w:val="both"/>
      </w:pPr>
      <w:r w:rsidRPr="00D35A0D">
        <w:rPr>
          <w:i/>
          <w:u w:val="single"/>
        </w:rPr>
        <w:t>Applicable law and Evaluation of evidence</w:t>
      </w:r>
    </w:p>
    <w:p w14:paraId="48893B5B" w14:textId="77777777" w:rsidR="00107CF1" w:rsidRDefault="00107CF1" w:rsidP="00C77E8C">
      <w:pPr>
        <w:jc w:val="both"/>
      </w:pPr>
    </w:p>
    <w:p w14:paraId="59092D69" w14:textId="64F8A002" w:rsidR="006E3570" w:rsidRDefault="00107CF1" w:rsidP="00C77E8C">
      <w:pPr>
        <w:jc w:val="both"/>
        <w:rPr>
          <w:bCs/>
        </w:rPr>
      </w:pPr>
      <w:r w:rsidRPr="00C77E8C">
        <w:t>[22]</w:t>
      </w:r>
      <w:r>
        <w:rPr>
          <w:b/>
        </w:rPr>
        <w:tab/>
      </w:r>
      <w:r w:rsidR="006E3570" w:rsidRPr="00D35A0D">
        <w:t>The principles which should guide an appellate court in an appeal purely upon fact</w:t>
      </w:r>
      <w:r w:rsidR="00343555">
        <w:t xml:space="preserve">s </w:t>
      </w:r>
      <w:r w:rsidR="006E3570" w:rsidRPr="00D35A0D">
        <w:t xml:space="preserve">were set out in </w:t>
      </w:r>
      <w:r w:rsidR="006E3570" w:rsidRPr="00C77E8C">
        <w:rPr>
          <w:bCs/>
          <w:i/>
        </w:rPr>
        <w:t>Rex v Dhlumayo and Another</w:t>
      </w:r>
      <w:r w:rsidR="006E3570" w:rsidRPr="00D35A0D">
        <w:rPr>
          <w:rStyle w:val="FootnoteReference"/>
          <w:bCs/>
        </w:rPr>
        <w:footnoteReference w:id="8"/>
      </w:r>
      <w:r w:rsidR="006E3570" w:rsidRPr="00D35A0D">
        <w:rPr>
          <w:bCs/>
        </w:rPr>
        <w:t xml:space="preserve"> as follows:</w:t>
      </w:r>
    </w:p>
    <w:p w14:paraId="623B5AEF" w14:textId="77777777" w:rsidR="00C77E8C" w:rsidRPr="00D35A0D" w:rsidRDefault="00C77E8C" w:rsidP="00C77E8C">
      <w:pPr>
        <w:jc w:val="both"/>
        <w:rPr>
          <w:bCs/>
        </w:rPr>
      </w:pPr>
    </w:p>
    <w:p w14:paraId="07FF2CAE" w14:textId="35102CA2" w:rsidR="00E153B9" w:rsidRPr="00C77E8C" w:rsidRDefault="00BE649A" w:rsidP="00C77E8C">
      <w:pPr>
        <w:autoSpaceDE w:val="0"/>
        <w:autoSpaceDN w:val="0"/>
        <w:adjustRightInd w:val="0"/>
        <w:ind w:left="720"/>
        <w:jc w:val="both"/>
        <w:rPr>
          <w:i/>
          <w:iCs/>
          <w:sz w:val="20"/>
          <w:szCs w:val="20"/>
        </w:rPr>
      </w:pPr>
      <w:r w:rsidRPr="00C77E8C">
        <w:rPr>
          <w:bCs/>
          <w:i/>
          <w:iCs/>
          <w:sz w:val="20"/>
          <w:szCs w:val="20"/>
        </w:rPr>
        <w:t>“</w:t>
      </w:r>
      <w:r w:rsidR="006E3570" w:rsidRPr="00C77E8C">
        <w:rPr>
          <w:i/>
          <w:iCs/>
          <w:sz w:val="20"/>
          <w:szCs w:val="20"/>
        </w:rPr>
        <w:t>PER SCHREINER, J.A.: Ordinarily the appellant in a criminal appeal has to satisfy the appellate court that the verdict was wrong, at least to the extent that the trial court should have had a reasonable doubt as to his guilt</w:t>
      </w:r>
      <w:r w:rsidR="00DF5E32" w:rsidRPr="00C77E8C">
        <w:rPr>
          <w:i/>
          <w:iCs/>
          <w:sz w:val="20"/>
          <w:szCs w:val="20"/>
        </w:rPr>
        <w:t xml:space="preserve">. </w:t>
      </w:r>
      <w:r w:rsidRPr="00C77E8C">
        <w:rPr>
          <w:i/>
          <w:iCs/>
          <w:sz w:val="20"/>
          <w:szCs w:val="20"/>
        </w:rPr>
        <w:t>at</w:t>
      </w:r>
      <w:r w:rsidR="00DF5E32" w:rsidRPr="00C77E8C">
        <w:rPr>
          <w:i/>
          <w:iCs/>
          <w:sz w:val="20"/>
          <w:szCs w:val="20"/>
        </w:rPr>
        <w:t xml:space="preserve"> para 8</w:t>
      </w:r>
      <w:r w:rsidR="006E3570" w:rsidRPr="00C77E8C">
        <w:rPr>
          <w:i/>
          <w:iCs/>
          <w:sz w:val="20"/>
          <w:szCs w:val="20"/>
        </w:rPr>
        <w:t xml:space="preserve"> Where there has been no misdirection on fact by the trial Judge, the presumption is that his conclusion is correct; the appellate court will only reverse it where it is convinced that it is wrong.</w:t>
      </w:r>
      <w:r w:rsidRPr="00C77E8C">
        <w:rPr>
          <w:i/>
          <w:iCs/>
          <w:sz w:val="20"/>
          <w:szCs w:val="20"/>
        </w:rPr>
        <w:t>”</w:t>
      </w:r>
    </w:p>
    <w:p w14:paraId="2312C7EC" w14:textId="77777777" w:rsidR="00107CF1" w:rsidRPr="00C77E8C" w:rsidRDefault="00107CF1" w:rsidP="00C77E8C">
      <w:pPr>
        <w:autoSpaceDE w:val="0"/>
        <w:autoSpaceDN w:val="0"/>
        <w:adjustRightInd w:val="0"/>
        <w:ind w:left="720"/>
        <w:jc w:val="both"/>
        <w:rPr>
          <w:i/>
          <w:sz w:val="20"/>
          <w:szCs w:val="20"/>
        </w:rPr>
      </w:pPr>
    </w:p>
    <w:p w14:paraId="4500B6D7" w14:textId="7F65F4DF" w:rsidR="00107CF1" w:rsidRDefault="00107CF1" w:rsidP="00C77E8C">
      <w:pPr>
        <w:autoSpaceDE w:val="0"/>
        <w:autoSpaceDN w:val="0"/>
        <w:adjustRightInd w:val="0"/>
        <w:jc w:val="both"/>
      </w:pPr>
      <w:r>
        <w:t>[23]</w:t>
      </w:r>
      <w:r>
        <w:tab/>
      </w:r>
      <w:r w:rsidR="006E3570" w:rsidRPr="00D35A0D">
        <w:t>To reach a finding that the case was proved beyond reasonable doubt, the trial</w:t>
      </w:r>
      <w:r w:rsidR="006E3570">
        <w:t xml:space="preserve"> court </w:t>
      </w:r>
      <w:r w:rsidR="006E3570" w:rsidRPr="00D35A0D">
        <w:t>evaluated the evidence in its totality.</w:t>
      </w:r>
      <w:r w:rsidR="006E3570" w:rsidRPr="00D35A0D">
        <w:rPr>
          <w:rStyle w:val="FootnoteReference"/>
        </w:rPr>
        <w:footnoteReference w:id="9"/>
      </w:r>
      <w:r w:rsidR="006E3570" w:rsidRPr="00D35A0D">
        <w:t xml:space="preserve"> </w:t>
      </w:r>
      <w:r w:rsidR="00E33CBD">
        <w:t>Despite the</w:t>
      </w:r>
      <w:r w:rsidR="0020606B">
        <w:t xml:space="preserve"> </w:t>
      </w:r>
      <w:r w:rsidR="006E3570">
        <w:t>evidence</w:t>
      </w:r>
      <w:r w:rsidR="0020606B">
        <w:t xml:space="preserve"> of inadmissible confession</w:t>
      </w:r>
      <w:r w:rsidR="006E3570">
        <w:t xml:space="preserve"> that has been </w:t>
      </w:r>
      <w:r w:rsidR="00E33CBD">
        <w:t>rejected</w:t>
      </w:r>
      <w:r w:rsidR="006E3570">
        <w:t xml:space="preserve">, there is </w:t>
      </w:r>
      <w:r w:rsidR="00E153B9">
        <w:t xml:space="preserve">a </w:t>
      </w:r>
      <w:r w:rsidR="006E3570">
        <w:t xml:space="preserve">mosaic of evidence that </w:t>
      </w:r>
      <w:r w:rsidR="006E3570" w:rsidRPr="00D35A0D">
        <w:t xml:space="preserve">proves beyond reasonable doubt that the Appellants were </w:t>
      </w:r>
      <w:r w:rsidR="00C77E8C" w:rsidRPr="00D35A0D">
        <w:t>i</w:t>
      </w:r>
      <w:r w:rsidR="00C77E8C">
        <w:t>dentified,</w:t>
      </w:r>
      <w:r w:rsidR="006E3570">
        <w:t xml:space="preserve"> and the complainant’s version </w:t>
      </w:r>
      <w:r w:rsidR="006E3570" w:rsidRPr="00D35A0D">
        <w:t>was c</w:t>
      </w:r>
      <w:r w:rsidR="006E3570">
        <w:t>onsistent with the proved facts. T</w:t>
      </w:r>
      <w:r w:rsidR="006E3570" w:rsidRPr="00D35A0D">
        <w:t xml:space="preserve">he person who wore his jersey during the attack </w:t>
      </w:r>
      <w:r w:rsidR="006E3570" w:rsidRPr="00D35A0D">
        <w:lastRenderedPageBreak/>
        <w:t>was Appellant 1</w:t>
      </w:r>
      <w:r w:rsidR="00E153B9">
        <w:t>,</w:t>
      </w:r>
      <w:r w:rsidR="006E3570" w:rsidRPr="00D35A0D">
        <w:t xml:space="preserve"> and he was immediately apprehended by the police wearing the same jersey. </w:t>
      </w:r>
      <w:r w:rsidR="006E3570">
        <w:t xml:space="preserve">The </w:t>
      </w:r>
      <w:r w:rsidR="00E153B9">
        <w:t>so-</w:t>
      </w:r>
      <w:r w:rsidR="006E3570">
        <w:t>called ‘doctrine of recent possession</w:t>
      </w:r>
      <w:r w:rsidR="003F21F8">
        <w:rPr>
          <w:rStyle w:val="FootnoteReference"/>
        </w:rPr>
        <w:footnoteReference w:id="10"/>
      </w:r>
      <w:r w:rsidR="006E3570">
        <w:t xml:space="preserve"> further strengthens the state’s case in that Appellants 1</w:t>
      </w:r>
      <w:r w:rsidR="00E153B9">
        <w:t xml:space="preserve"> </w:t>
      </w:r>
      <w:r w:rsidR="006E3570">
        <w:t>and 2 were found in possession of stolen goods immediately</w:t>
      </w:r>
      <w:r w:rsidR="00E153B9">
        <w:t>,</w:t>
      </w:r>
      <w:r w:rsidR="006E3570">
        <w:t xml:space="preserve"> </w:t>
      </w:r>
      <w:r w:rsidR="00E33CBD">
        <w:t>and at</w:t>
      </w:r>
      <w:r w:rsidR="0020606B">
        <w:t xml:space="preserve"> </w:t>
      </w:r>
      <w:r w:rsidR="006E3570">
        <w:t>the time</w:t>
      </w:r>
      <w:r w:rsidR="00E153B9">
        <w:t>,</w:t>
      </w:r>
      <w:r w:rsidR="006E3570">
        <w:t xml:space="preserve"> they were chased and apprehended</w:t>
      </w:r>
      <w:r w:rsidR="0020606B">
        <w:t xml:space="preserve"> by the police</w:t>
      </w:r>
      <w:r w:rsidR="006E3570">
        <w:t xml:space="preserve">. </w:t>
      </w:r>
      <w:r w:rsidR="006E3570" w:rsidRPr="00D35A0D">
        <w:t xml:space="preserve">The complainant’s cell </w:t>
      </w:r>
      <w:r w:rsidR="00BE649A" w:rsidRPr="00D35A0D">
        <w:t>phones,</w:t>
      </w:r>
      <w:r w:rsidR="006E3570" w:rsidRPr="00D35A0D">
        <w:t xml:space="preserve"> and a wall</w:t>
      </w:r>
      <w:r w:rsidR="006E3570">
        <w:t>et were immediately found in Appellant 1’s</w:t>
      </w:r>
      <w:r w:rsidR="006E3570" w:rsidRPr="00D35A0D">
        <w:t xml:space="preserve"> possession. The Toyota Avanza</w:t>
      </w:r>
      <w:r w:rsidR="00E153B9">
        <w:t>,</w:t>
      </w:r>
      <w:r w:rsidR="006E3570" w:rsidRPr="00D35A0D">
        <w:t xml:space="preserve"> which was used as a gate-away car</w:t>
      </w:r>
      <w:r w:rsidR="00E153B9">
        <w:t>,</w:t>
      </w:r>
      <w:r w:rsidR="006E3570" w:rsidRPr="00D35A0D">
        <w:t xml:space="preserve"> had</w:t>
      </w:r>
      <w:r w:rsidR="00B82A2C">
        <w:t xml:space="preserve"> some of</w:t>
      </w:r>
      <w:r w:rsidR="006E3570" w:rsidRPr="00D35A0D">
        <w:t xml:space="preserve"> the complainant</w:t>
      </w:r>
      <w:r w:rsidR="006E3570">
        <w:t>’s belongings. These items were later identified by the complainant as his. The person that was inside the bedroom and shot</w:t>
      </w:r>
      <w:r w:rsidR="006E3570" w:rsidRPr="00EA6336">
        <w:t xml:space="preserve"> </w:t>
      </w:r>
      <w:r w:rsidR="006E3570" w:rsidRPr="00D35A0D">
        <w:t>the deceased was Appellant 3</w:t>
      </w:r>
      <w:r w:rsidR="006E3570">
        <w:t>.</w:t>
      </w:r>
      <w:r w:rsidR="006E3570" w:rsidRPr="00EA6336">
        <w:t xml:space="preserve"> </w:t>
      </w:r>
      <w:r w:rsidR="006E3570" w:rsidRPr="00D35A0D">
        <w:t xml:space="preserve">He was arrested in possession of a firearm that was linked with the projectiles that were extracted from the deceased’s head. </w:t>
      </w:r>
      <w:r w:rsidR="003F21F8">
        <w:t xml:space="preserve"> I find</w:t>
      </w:r>
      <w:r w:rsidR="006E3570">
        <w:t xml:space="preserve"> that the trial court correctly applied the cautionary rules.</w:t>
      </w:r>
    </w:p>
    <w:p w14:paraId="331B9078" w14:textId="77777777" w:rsidR="00107CF1" w:rsidRDefault="00107CF1" w:rsidP="00C77E8C">
      <w:pPr>
        <w:autoSpaceDE w:val="0"/>
        <w:autoSpaceDN w:val="0"/>
        <w:adjustRightInd w:val="0"/>
        <w:jc w:val="both"/>
      </w:pPr>
    </w:p>
    <w:p w14:paraId="56F7FBD1" w14:textId="6035F73B" w:rsidR="00107CF1" w:rsidRDefault="00107CF1" w:rsidP="00C77E8C">
      <w:pPr>
        <w:autoSpaceDE w:val="0"/>
        <w:autoSpaceDN w:val="0"/>
        <w:adjustRightInd w:val="0"/>
        <w:jc w:val="both"/>
      </w:pPr>
      <w:r>
        <w:t>[24]</w:t>
      </w:r>
      <w:r>
        <w:tab/>
      </w:r>
      <w:r w:rsidR="00D778B5">
        <w:t>Additionally</w:t>
      </w:r>
      <w:r w:rsidR="00E153B9">
        <w:t>,</w:t>
      </w:r>
      <w:r w:rsidR="006E3570">
        <w:t xml:space="preserve"> all the Appellants are implicated by objective evidence </w:t>
      </w:r>
      <w:r w:rsidR="00E153B9">
        <w:t xml:space="preserve">from </w:t>
      </w:r>
      <w:r w:rsidR="006E3570">
        <w:t>a fingerprint expert.</w:t>
      </w:r>
      <w:r w:rsidR="00F217AD">
        <w:t xml:space="preserve"> I accept</w:t>
      </w:r>
      <w:r w:rsidR="0062634D">
        <w:t xml:space="preserve"> that the fact that prints were found at the scene of </w:t>
      </w:r>
      <w:r w:rsidR="00E153B9">
        <w:t xml:space="preserve">the </w:t>
      </w:r>
      <w:r w:rsidR="0062634D">
        <w:t>crime and</w:t>
      </w:r>
      <w:r w:rsidR="00AF3FDC">
        <w:t xml:space="preserve"> </w:t>
      </w:r>
      <w:r w:rsidR="0062634D">
        <w:t xml:space="preserve">on </w:t>
      </w:r>
      <w:r w:rsidR="00BE649A">
        <w:t>objects</w:t>
      </w:r>
      <w:r w:rsidR="0062634D">
        <w:t xml:space="preserve"> </w:t>
      </w:r>
      <w:r w:rsidR="00BE649A">
        <w:t>carry</w:t>
      </w:r>
      <w:r w:rsidR="0062634D">
        <w:t xml:space="preserve"> a strong probative weight in linking all the Appellants </w:t>
      </w:r>
      <w:r w:rsidR="00854A32">
        <w:t>to</w:t>
      </w:r>
      <w:r w:rsidR="0062634D">
        <w:t xml:space="preserve"> the commission of crimes</w:t>
      </w:r>
      <w:r w:rsidR="00AF3FDC">
        <w:t>.</w:t>
      </w:r>
      <w:r w:rsidR="006E3570">
        <w:t xml:space="preserve"> </w:t>
      </w:r>
      <w:r w:rsidR="00AF3FDC">
        <w:t>Captain Swaar</w:t>
      </w:r>
      <w:r w:rsidR="00854A32">
        <w:t>t</w:t>
      </w:r>
      <w:r w:rsidR="00AF3FDC">
        <w:t xml:space="preserve">booi’s credentials were never placed in dispute. </w:t>
      </w:r>
      <w:r w:rsidR="009166C2">
        <w:t>Gleaning from the record,</w:t>
      </w:r>
      <w:r w:rsidR="00AF3FDC">
        <w:t xml:space="preserve"> he testified in a coherent, </w:t>
      </w:r>
      <w:r w:rsidR="00BE649A">
        <w:t>consistent,</w:t>
      </w:r>
      <w:r w:rsidR="00AF3FDC">
        <w:t xml:space="preserve"> and credible manner in explaining the process of the lifting of the prints in question until the final analysis</w:t>
      </w:r>
      <w:r w:rsidR="009166C2">
        <w:t xml:space="preserve"> was conducted.</w:t>
      </w:r>
    </w:p>
    <w:p w14:paraId="1BC3BE11" w14:textId="77777777" w:rsidR="00107CF1" w:rsidRPr="00D35A0D" w:rsidRDefault="00107CF1" w:rsidP="00C77E8C">
      <w:pPr>
        <w:autoSpaceDE w:val="0"/>
        <w:autoSpaceDN w:val="0"/>
        <w:adjustRightInd w:val="0"/>
        <w:jc w:val="both"/>
      </w:pPr>
    </w:p>
    <w:p w14:paraId="6DDC22C6" w14:textId="5B88C0CC" w:rsidR="006E3570" w:rsidRPr="00D35A0D" w:rsidRDefault="00D42D36" w:rsidP="00C77E8C">
      <w:pPr>
        <w:autoSpaceDE w:val="0"/>
        <w:autoSpaceDN w:val="0"/>
        <w:adjustRightInd w:val="0"/>
        <w:jc w:val="both"/>
      </w:pPr>
      <w:r>
        <w:t>[25]</w:t>
      </w:r>
      <w:r>
        <w:tab/>
      </w:r>
      <w:r w:rsidR="00BE649A" w:rsidRPr="00D35A0D">
        <w:t>Considering</w:t>
      </w:r>
      <w:r w:rsidR="006E3570" w:rsidRPr="00D35A0D">
        <w:t xml:space="preserve"> the aforesaid</w:t>
      </w:r>
      <w:r w:rsidR="006E3570">
        <w:t>, one</w:t>
      </w:r>
      <w:r w:rsidR="006E3570" w:rsidRPr="00D35A0D">
        <w:t xml:space="preserve"> conclude</w:t>
      </w:r>
      <w:r w:rsidR="006E3570">
        <w:t>s</w:t>
      </w:r>
      <w:r w:rsidR="006E3570" w:rsidRPr="00D35A0D">
        <w:t xml:space="preserve"> that the trial court was seized with credibility issues</w:t>
      </w:r>
      <w:r w:rsidR="00E153B9">
        <w:t>,</w:t>
      </w:r>
      <w:r w:rsidR="006E3570">
        <w:t xml:space="preserve"> and this should be the focus of this appeal</w:t>
      </w:r>
      <w:r w:rsidR="006E3570" w:rsidRPr="00D35A0D">
        <w:t>.</w:t>
      </w:r>
      <w:r w:rsidR="006E3570">
        <w:t xml:space="preserve"> The</w:t>
      </w:r>
      <w:r w:rsidR="006E3570" w:rsidRPr="00D35A0D">
        <w:t xml:space="preserve"> following passage</w:t>
      </w:r>
      <w:r w:rsidR="00E153B9">
        <w:t>,</w:t>
      </w:r>
      <w:r w:rsidR="006E3570" w:rsidRPr="00D35A0D">
        <w:t xml:space="preserve"> which is extracted from</w:t>
      </w:r>
      <w:bookmarkStart w:id="1" w:name="0-0-0-8985"/>
      <w:bookmarkEnd w:id="1"/>
      <w:r w:rsidR="006E3570" w:rsidRPr="00D35A0D">
        <w:t xml:space="preserve"> the case of </w:t>
      </w:r>
      <w:r w:rsidR="006E3570" w:rsidRPr="00C77E8C">
        <w:rPr>
          <w:i/>
        </w:rPr>
        <w:t>Stellenbosch Fa</w:t>
      </w:r>
      <w:r w:rsidR="00854A32">
        <w:rPr>
          <w:i/>
        </w:rPr>
        <w:t>r</w:t>
      </w:r>
      <w:r w:rsidR="006E3570" w:rsidRPr="00C77E8C">
        <w:rPr>
          <w:i/>
        </w:rPr>
        <w:t>mer’s Winery Group Ltd and Another v Martell et Cie and Others</w:t>
      </w:r>
      <w:r w:rsidR="00E153B9">
        <w:rPr>
          <w:i/>
        </w:rPr>
        <w:t>,</w:t>
      </w:r>
      <w:r w:rsidR="006E3570" w:rsidRPr="00D35A0D">
        <w:rPr>
          <w:rStyle w:val="FootnoteReference"/>
          <w:rFonts w:eastAsia="Times New Roman"/>
          <w:lang w:eastAsia="en-ZA"/>
        </w:rPr>
        <w:footnoteReference w:id="11"/>
      </w:r>
      <w:r w:rsidR="006E3570" w:rsidRPr="00D35A0D">
        <w:rPr>
          <w:rFonts w:eastAsia="Times New Roman"/>
          <w:lang w:eastAsia="en-ZA"/>
        </w:rPr>
        <w:t xml:space="preserve"> </w:t>
      </w:r>
      <w:r w:rsidR="006E3570" w:rsidRPr="00D35A0D">
        <w:t xml:space="preserve"> finds relevance in the present matter:</w:t>
      </w:r>
    </w:p>
    <w:p w14:paraId="312F02B0" w14:textId="77777777" w:rsidR="006E3570" w:rsidRPr="00C77E8C" w:rsidRDefault="006E3570" w:rsidP="00C77E8C">
      <w:pPr>
        <w:jc w:val="both"/>
        <w:rPr>
          <w:sz w:val="20"/>
          <w:szCs w:val="20"/>
        </w:rPr>
      </w:pPr>
    </w:p>
    <w:p w14:paraId="18015079" w14:textId="58F52CB3" w:rsidR="006E3570" w:rsidRPr="00C77E8C" w:rsidRDefault="006E3570" w:rsidP="00C77E8C">
      <w:pPr>
        <w:autoSpaceDE w:val="0"/>
        <w:autoSpaceDN w:val="0"/>
        <w:adjustRightInd w:val="0"/>
        <w:ind w:left="720"/>
        <w:jc w:val="both"/>
        <w:rPr>
          <w:rFonts w:eastAsia="Times New Roman"/>
          <w:sz w:val="20"/>
          <w:szCs w:val="20"/>
          <w:lang w:eastAsia="en-ZA"/>
        </w:rPr>
      </w:pPr>
      <w:r w:rsidRPr="00C77E8C">
        <w:rPr>
          <w:rFonts w:eastAsia="Times New Roman"/>
          <w:sz w:val="20"/>
          <w:szCs w:val="20"/>
          <w:lang w:eastAsia="en-ZA"/>
        </w:rPr>
        <w:t xml:space="preserve">‘’The technique generally employed by courts in resolving factual disputes where there are two irreconcilable versions before it may be summarised as follows. To come to a conclusion on the disputed issues the court must make findings on </w:t>
      </w:r>
      <w:r w:rsidRPr="00C77E8C">
        <w:rPr>
          <w:rFonts w:eastAsia="Times New Roman"/>
          <w:iCs/>
          <w:sz w:val="20"/>
          <w:szCs w:val="20"/>
          <w:lang w:eastAsia="en-ZA"/>
        </w:rPr>
        <w:t>(a)</w:t>
      </w:r>
      <w:r w:rsidRPr="00C77E8C">
        <w:rPr>
          <w:rFonts w:eastAsia="Times New Roman"/>
          <w:sz w:val="20"/>
          <w:szCs w:val="20"/>
          <w:lang w:eastAsia="en-ZA"/>
        </w:rPr>
        <w:t xml:space="preserve"> the credibility of the various factual </w:t>
      </w:r>
      <w:r w:rsidRPr="00C77E8C">
        <w:rPr>
          <w:rFonts w:eastAsia="Times New Roman"/>
          <w:sz w:val="20"/>
          <w:szCs w:val="20"/>
          <w:lang w:eastAsia="en-ZA"/>
        </w:rPr>
        <w:lastRenderedPageBreak/>
        <w:t xml:space="preserve">witnesses, </w:t>
      </w:r>
      <w:r w:rsidRPr="00C77E8C">
        <w:rPr>
          <w:rFonts w:eastAsia="Times New Roman"/>
          <w:iCs/>
          <w:sz w:val="20"/>
          <w:szCs w:val="20"/>
          <w:lang w:eastAsia="en-ZA"/>
        </w:rPr>
        <w:t>(b)</w:t>
      </w:r>
      <w:r w:rsidRPr="00C77E8C">
        <w:rPr>
          <w:rFonts w:eastAsia="Times New Roman"/>
          <w:sz w:val="20"/>
          <w:szCs w:val="20"/>
          <w:lang w:eastAsia="en-ZA"/>
        </w:rPr>
        <w:t xml:space="preserve"> their reliability, and </w:t>
      </w:r>
      <w:r w:rsidRPr="00C77E8C">
        <w:rPr>
          <w:rFonts w:eastAsia="Times New Roman"/>
          <w:iCs/>
          <w:sz w:val="20"/>
          <w:szCs w:val="20"/>
          <w:lang w:eastAsia="en-ZA"/>
        </w:rPr>
        <w:t>(c)</w:t>
      </w:r>
      <w:r w:rsidRPr="00C77E8C">
        <w:rPr>
          <w:rFonts w:eastAsia="Times New Roman"/>
          <w:sz w:val="20"/>
          <w:szCs w:val="20"/>
          <w:lang w:eastAsia="en-ZA"/>
        </w:rPr>
        <w:t xml:space="preserve"> the probabilities. As to </w:t>
      </w:r>
      <w:r w:rsidRPr="00C77E8C">
        <w:rPr>
          <w:rFonts w:eastAsia="Times New Roman"/>
          <w:iCs/>
          <w:sz w:val="20"/>
          <w:szCs w:val="20"/>
          <w:lang w:eastAsia="en-ZA"/>
        </w:rPr>
        <w:t>(a)</w:t>
      </w:r>
      <w:r w:rsidRPr="00C77E8C">
        <w:rPr>
          <w:rFonts w:eastAsia="Times New Roman"/>
          <w:sz w:val="20"/>
          <w:szCs w:val="20"/>
          <w:lang w:eastAsia="en-ZA"/>
        </w:rPr>
        <w:t>, the court's finding on the credibility of a particular witness will depend on its impression of the veracity of the witness. That in turn will depend on</w:t>
      </w:r>
      <w:r w:rsidR="00E153B9" w:rsidRPr="00C77E8C">
        <w:rPr>
          <w:rFonts w:eastAsia="Times New Roman"/>
          <w:sz w:val="20"/>
          <w:szCs w:val="20"/>
          <w:lang w:eastAsia="en-ZA"/>
        </w:rPr>
        <w:t xml:space="preserve"> </w:t>
      </w:r>
      <w:r w:rsidRPr="00C77E8C">
        <w:rPr>
          <w:rFonts w:eastAsia="Times New Roman"/>
          <w:sz w:val="20"/>
          <w:szCs w:val="20"/>
          <w:lang w:eastAsia="en-ZA"/>
        </w:rPr>
        <w:t>a variety of subsidiary factors such as (i) the witness' candour and demeanour in witness-box, (ii) his bias, latent and blatant, (iii) internal contradictions in his evidence, (iv) external contradictions with what was pleaded or put on his behalf, or with established fact or with his own extra curial statements or actions, (v) the probability or improbability of particular aspects of his version, and (vi) the calibre and cogency of his performance compared to that of other</w:t>
      </w:r>
      <w:r w:rsidR="00E153B9" w:rsidRPr="00C77E8C">
        <w:rPr>
          <w:rFonts w:eastAsia="Times New Roman"/>
          <w:sz w:val="20"/>
          <w:szCs w:val="20"/>
          <w:lang w:eastAsia="en-ZA"/>
        </w:rPr>
        <w:t xml:space="preserve"> </w:t>
      </w:r>
      <w:r w:rsidRPr="00C77E8C">
        <w:rPr>
          <w:rFonts w:eastAsia="Times New Roman"/>
          <w:sz w:val="20"/>
          <w:szCs w:val="20"/>
          <w:lang w:eastAsia="en-ZA"/>
        </w:rPr>
        <w:t xml:space="preserve">witnesses testifying about same incident or events. As to </w:t>
      </w:r>
      <w:r w:rsidRPr="00C77E8C">
        <w:rPr>
          <w:rFonts w:eastAsia="Times New Roman"/>
          <w:iCs/>
          <w:sz w:val="20"/>
          <w:szCs w:val="20"/>
          <w:lang w:eastAsia="en-ZA"/>
        </w:rPr>
        <w:t>(b)</w:t>
      </w:r>
      <w:r w:rsidRPr="00C77E8C">
        <w:rPr>
          <w:rFonts w:eastAsia="Times New Roman"/>
          <w:sz w:val="20"/>
          <w:szCs w:val="20"/>
          <w:lang w:eastAsia="en-ZA"/>
        </w:rPr>
        <w:t xml:space="preserve">, a witness' reliability will depend, apart from the factors mentioned under </w:t>
      </w:r>
      <w:r w:rsidRPr="00C77E8C">
        <w:rPr>
          <w:rFonts w:eastAsia="Times New Roman"/>
          <w:iCs/>
          <w:sz w:val="20"/>
          <w:szCs w:val="20"/>
          <w:lang w:eastAsia="en-ZA"/>
        </w:rPr>
        <w:t>(a)</w:t>
      </w:r>
      <w:r w:rsidR="00DF5E32" w:rsidRPr="00C77E8C">
        <w:rPr>
          <w:rFonts w:eastAsia="Times New Roman"/>
          <w:iCs/>
          <w:sz w:val="20"/>
          <w:szCs w:val="20"/>
          <w:lang w:eastAsia="en-ZA"/>
        </w:rPr>
        <w:t xml:space="preserve"> </w:t>
      </w:r>
      <w:r w:rsidRPr="00C77E8C">
        <w:rPr>
          <w:rFonts w:eastAsia="Times New Roman"/>
          <w:sz w:val="20"/>
          <w:szCs w:val="20"/>
          <w:lang w:eastAsia="en-ZA"/>
        </w:rPr>
        <w:t xml:space="preserve">(ii), (iv) and (v), on (i) the opportunities he had to experience and observe the event in question and (ii) the quality, integrity and independence of his recall thereof. As to </w:t>
      </w:r>
      <w:r w:rsidRPr="00C77E8C">
        <w:rPr>
          <w:rFonts w:eastAsia="Times New Roman"/>
          <w:iCs/>
          <w:sz w:val="20"/>
          <w:szCs w:val="20"/>
          <w:lang w:eastAsia="en-ZA"/>
        </w:rPr>
        <w:t>(c)</w:t>
      </w:r>
      <w:r w:rsidRPr="00C77E8C">
        <w:rPr>
          <w:rFonts w:eastAsia="Times New Roman"/>
          <w:sz w:val="20"/>
          <w:szCs w:val="20"/>
          <w:lang w:eastAsia="en-ZA"/>
        </w:rPr>
        <w:t xml:space="preserve">, this necessitates an analysis and evaluation of the probability or improbability of each party's version on each of the disputed issues. In the light of its assessment of </w:t>
      </w:r>
      <w:r w:rsidRPr="00C77E8C">
        <w:rPr>
          <w:rFonts w:eastAsia="Times New Roman"/>
          <w:iCs/>
          <w:sz w:val="20"/>
          <w:szCs w:val="20"/>
          <w:lang w:eastAsia="en-ZA"/>
        </w:rPr>
        <w:t>(a)</w:t>
      </w:r>
      <w:r w:rsidRPr="00C77E8C">
        <w:rPr>
          <w:rFonts w:eastAsia="Times New Roman"/>
          <w:sz w:val="20"/>
          <w:szCs w:val="20"/>
          <w:lang w:eastAsia="en-ZA"/>
        </w:rPr>
        <w:t xml:space="preserve">, </w:t>
      </w:r>
      <w:r w:rsidRPr="00C77E8C">
        <w:rPr>
          <w:rFonts w:eastAsia="Times New Roman"/>
          <w:iCs/>
          <w:sz w:val="20"/>
          <w:szCs w:val="20"/>
          <w:lang w:eastAsia="en-ZA"/>
        </w:rPr>
        <w:t>(b)</w:t>
      </w:r>
      <w:r w:rsidRPr="00C77E8C">
        <w:rPr>
          <w:rFonts w:eastAsia="Times New Roman"/>
          <w:sz w:val="20"/>
          <w:szCs w:val="20"/>
          <w:lang w:eastAsia="en-ZA"/>
        </w:rPr>
        <w:t xml:space="preserve"> and </w:t>
      </w:r>
      <w:r w:rsidRPr="00C77E8C">
        <w:rPr>
          <w:rFonts w:eastAsia="Times New Roman"/>
          <w:iCs/>
          <w:sz w:val="20"/>
          <w:szCs w:val="20"/>
          <w:lang w:eastAsia="en-ZA"/>
        </w:rPr>
        <w:t>(c)</w:t>
      </w:r>
      <w:r w:rsidRPr="00C77E8C">
        <w:rPr>
          <w:rFonts w:eastAsia="Times New Roman"/>
          <w:sz w:val="20"/>
          <w:szCs w:val="20"/>
          <w:lang w:eastAsia="en-ZA"/>
        </w:rPr>
        <w:t xml:space="preserve"> the court will then, as a final step, determine whether the party burdened with the </w:t>
      </w:r>
      <w:r w:rsidRPr="00C77E8C">
        <w:rPr>
          <w:rFonts w:eastAsia="Times New Roman"/>
          <w:iCs/>
          <w:sz w:val="20"/>
          <w:szCs w:val="20"/>
          <w:lang w:eastAsia="en-ZA"/>
        </w:rPr>
        <w:t>onus</w:t>
      </w:r>
      <w:r w:rsidRPr="00C77E8C">
        <w:rPr>
          <w:rFonts w:eastAsia="Times New Roman"/>
          <w:sz w:val="20"/>
          <w:szCs w:val="20"/>
          <w:lang w:eastAsia="en-ZA"/>
        </w:rPr>
        <w:t xml:space="preserve"> of proof has succeeded in discharging it. The more convincing the former, the less convincing will be the latter. But when all factors are equipoised</w:t>
      </w:r>
      <w:r w:rsidR="000D3219" w:rsidRPr="00C77E8C">
        <w:rPr>
          <w:rFonts w:eastAsia="Times New Roman"/>
          <w:sz w:val="20"/>
          <w:szCs w:val="20"/>
          <w:lang w:eastAsia="en-ZA"/>
        </w:rPr>
        <w:t>,</w:t>
      </w:r>
      <w:r w:rsidRPr="00C77E8C">
        <w:rPr>
          <w:rFonts w:eastAsia="Times New Roman"/>
          <w:sz w:val="20"/>
          <w:szCs w:val="20"/>
          <w:lang w:eastAsia="en-ZA"/>
        </w:rPr>
        <w:t xml:space="preserve"> probabilities prevail’’.</w:t>
      </w:r>
    </w:p>
    <w:p w14:paraId="0578EAD5" w14:textId="77777777" w:rsidR="006E3570" w:rsidRPr="00C77E8C" w:rsidRDefault="006E3570" w:rsidP="00C77E8C">
      <w:pPr>
        <w:autoSpaceDE w:val="0"/>
        <w:autoSpaceDN w:val="0"/>
        <w:adjustRightInd w:val="0"/>
        <w:ind w:left="1134"/>
        <w:jc w:val="both"/>
        <w:rPr>
          <w:i/>
          <w:sz w:val="22"/>
          <w:szCs w:val="22"/>
        </w:rPr>
      </w:pPr>
    </w:p>
    <w:p w14:paraId="0AD59BB0" w14:textId="119D6BD9" w:rsidR="006E3570" w:rsidRDefault="00D42D36" w:rsidP="00C77E8C">
      <w:pPr>
        <w:autoSpaceDE w:val="0"/>
        <w:autoSpaceDN w:val="0"/>
        <w:adjustRightInd w:val="0"/>
        <w:jc w:val="both"/>
      </w:pPr>
      <w:r>
        <w:t>[26]</w:t>
      </w:r>
      <w:r>
        <w:tab/>
      </w:r>
      <w:r w:rsidR="006E3570">
        <w:t>It should be born</w:t>
      </w:r>
      <w:r w:rsidR="00E153B9">
        <w:t>e</w:t>
      </w:r>
      <w:r w:rsidR="006E3570">
        <w:t xml:space="preserve"> in mind that t</w:t>
      </w:r>
      <w:r w:rsidR="006E3570" w:rsidRPr="00D35A0D">
        <w:t>he trial court was better placed to decide on credibility issues</w:t>
      </w:r>
      <w:r w:rsidR="006E3570" w:rsidRPr="00D35A0D">
        <w:rPr>
          <w:rStyle w:val="FootnoteReference"/>
        </w:rPr>
        <w:footnoteReference w:id="12"/>
      </w:r>
      <w:r w:rsidR="006E3570" w:rsidRPr="00D35A0D">
        <w:t xml:space="preserve"> and correctly found that the version</w:t>
      </w:r>
      <w:r w:rsidR="006E3570">
        <w:t xml:space="preserve"> of the State was reliable and that of the Appellants </w:t>
      </w:r>
      <w:r w:rsidR="006E3570" w:rsidRPr="00D35A0D">
        <w:t xml:space="preserve">was a mishmash of contradictions and improbabilities.  The evidence of the Appellants cannot be </w:t>
      </w:r>
      <w:r w:rsidR="00E153B9" w:rsidRPr="00D35A0D">
        <w:t>reasonabl</w:t>
      </w:r>
      <w:r w:rsidR="00E153B9">
        <w:t>y</w:t>
      </w:r>
      <w:r w:rsidR="00E153B9" w:rsidRPr="00D35A0D">
        <w:t xml:space="preserve"> possibl</w:t>
      </w:r>
      <w:r w:rsidR="00E153B9">
        <w:t>y</w:t>
      </w:r>
      <w:r w:rsidR="00E153B9" w:rsidRPr="00D35A0D">
        <w:t xml:space="preserve"> </w:t>
      </w:r>
      <w:r w:rsidR="006E3570" w:rsidRPr="00D35A0D">
        <w:t>true while</w:t>
      </w:r>
      <w:r w:rsidR="00E153B9">
        <w:t>,</w:t>
      </w:r>
      <w:r w:rsidR="006E3570" w:rsidRPr="00D35A0D">
        <w:t xml:space="preserve"> at the same time</w:t>
      </w:r>
      <w:r w:rsidR="00E153B9">
        <w:t>,</w:t>
      </w:r>
      <w:r w:rsidR="006E3570" w:rsidRPr="00D35A0D">
        <w:t xml:space="preserve"> the evidence of the state is </w:t>
      </w:r>
      <w:r w:rsidR="006E3570">
        <w:t>‘</w:t>
      </w:r>
      <w:r w:rsidR="006E3570" w:rsidRPr="00D35A0D">
        <w:t>completely acceptable and unshaken</w:t>
      </w:r>
      <w:r w:rsidR="006E3570">
        <w:t>’</w:t>
      </w:r>
      <w:r w:rsidR="006E3570" w:rsidRPr="00D35A0D">
        <w:t>.</w:t>
      </w:r>
      <w:r w:rsidR="006E3570" w:rsidRPr="00D35A0D">
        <w:rPr>
          <w:rStyle w:val="FootnoteReference"/>
        </w:rPr>
        <w:footnoteReference w:id="13"/>
      </w:r>
      <w:r w:rsidR="006E3570" w:rsidRPr="00D35A0D">
        <w:t xml:space="preserve"> The trial court correctly convicted all the Appellants</w:t>
      </w:r>
      <w:r w:rsidR="00E153B9">
        <w:t>,</w:t>
      </w:r>
      <w:r w:rsidR="006E3570" w:rsidRPr="00D35A0D">
        <w:t xml:space="preserve"> and the appeal against conviction cannot stand.</w:t>
      </w:r>
    </w:p>
    <w:p w14:paraId="01A38E89" w14:textId="77777777" w:rsidR="0008476E" w:rsidRDefault="0008476E" w:rsidP="00C77E8C">
      <w:pPr>
        <w:autoSpaceDE w:val="0"/>
        <w:autoSpaceDN w:val="0"/>
        <w:adjustRightInd w:val="0"/>
        <w:jc w:val="both"/>
      </w:pPr>
    </w:p>
    <w:p w14:paraId="3FC26C27" w14:textId="77777777" w:rsidR="006E3570" w:rsidRPr="00D35A0D" w:rsidRDefault="006E3570" w:rsidP="00C77E8C">
      <w:pPr>
        <w:autoSpaceDE w:val="0"/>
        <w:autoSpaceDN w:val="0"/>
        <w:adjustRightInd w:val="0"/>
        <w:jc w:val="both"/>
      </w:pPr>
    </w:p>
    <w:p w14:paraId="20BBFD5F" w14:textId="77777777" w:rsidR="006E3570" w:rsidRDefault="006E3570" w:rsidP="00C77E8C">
      <w:pPr>
        <w:autoSpaceDE w:val="0"/>
        <w:autoSpaceDN w:val="0"/>
        <w:adjustRightInd w:val="0"/>
        <w:jc w:val="both"/>
        <w:rPr>
          <w:i/>
          <w:u w:val="single"/>
        </w:rPr>
      </w:pPr>
      <w:r w:rsidRPr="00D35A0D">
        <w:rPr>
          <w:i/>
          <w:u w:val="single"/>
        </w:rPr>
        <w:t>Appeal against sentence</w:t>
      </w:r>
    </w:p>
    <w:p w14:paraId="66F3D9E2" w14:textId="77777777" w:rsidR="006E3570" w:rsidRDefault="006E3570" w:rsidP="00C77E8C">
      <w:pPr>
        <w:autoSpaceDE w:val="0"/>
        <w:autoSpaceDN w:val="0"/>
        <w:adjustRightInd w:val="0"/>
        <w:jc w:val="both"/>
        <w:rPr>
          <w:i/>
          <w:u w:val="single"/>
        </w:rPr>
      </w:pPr>
    </w:p>
    <w:p w14:paraId="33FAB208" w14:textId="70AAC8B5" w:rsidR="006E3570" w:rsidRDefault="00015CB3" w:rsidP="00C77E8C">
      <w:pPr>
        <w:autoSpaceDE w:val="0"/>
        <w:autoSpaceDN w:val="0"/>
        <w:adjustRightInd w:val="0"/>
        <w:jc w:val="both"/>
      </w:pPr>
      <w:r w:rsidRPr="00C77E8C">
        <w:t>[2</w:t>
      </w:r>
      <w:r w:rsidR="0023584C" w:rsidRPr="00C77E8C">
        <w:t>7</w:t>
      </w:r>
      <w:r w:rsidR="006E3570" w:rsidRPr="00C77E8C">
        <w:t>]</w:t>
      </w:r>
      <w:r w:rsidR="00D42D36" w:rsidRPr="00E153B9">
        <w:tab/>
      </w:r>
      <w:r w:rsidR="00AE7D47">
        <w:t>The trial court ordered that the sentences in respect of counts 1, 2, 5 and 6 should run concurrently w</w:t>
      </w:r>
      <w:r w:rsidR="00F217AD">
        <w:t>ith the sentence in count 3. Each Appellant is</w:t>
      </w:r>
      <w:r w:rsidR="00AE7D47">
        <w:t xml:space="preserve"> facing an effective term of life imprisonment. </w:t>
      </w:r>
      <w:r w:rsidR="009A07DE" w:rsidRPr="009A07DE">
        <w:t xml:space="preserve">The </w:t>
      </w:r>
      <w:r w:rsidR="009A07DE">
        <w:t xml:space="preserve">sentences in counts 2 and 3 attract </w:t>
      </w:r>
      <w:r w:rsidR="005911CD">
        <w:t xml:space="preserve">a </w:t>
      </w:r>
      <w:r w:rsidR="00BE649A">
        <w:t>minimum</w:t>
      </w:r>
      <w:r w:rsidR="009A07DE">
        <w:t xml:space="preserve"> sentence</w:t>
      </w:r>
      <w:r w:rsidR="00DE2587">
        <w:t xml:space="preserve"> as prescribed in terms of the Criminal Law Amendment Act 105 of 1997. </w:t>
      </w:r>
      <w:r w:rsidR="000947D6">
        <w:t xml:space="preserve"> The Supreme Court of Appeal </w:t>
      </w:r>
      <w:r w:rsidR="000947D6" w:rsidRPr="003443AD">
        <w:rPr>
          <w:i/>
          <w:iCs/>
        </w:rPr>
        <w:t>i</w:t>
      </w:r>
      <w:r w:rsidR="00DE2587" w:rsidRPr="003443AD">
        <w:rPr>
          <w:i/>
          <w:iCs/>
        </w:rPr>
        <w:t xml:space="preserve">n </w:t>
      </w:r>
      <w:r w:rsidR="00854A32" w:rsidRPr="003443AD">
        <w:rPr>
          <w:i/>
          <w:iCs/>
        </w:rPr>
        <w:t xml:space="preserve">S v </w:t>
      </w:r>
      <w:r w:rsidR="00DE2587" w:rsidRPr="003443AD">
        <w:rPr>
          <w:i/>
          <w:iCs/>
        </w:rPr>
        <w:t>Malgas</w:t>
      </w:r>
      <w:r w:rsidR="00DE2587">
        <w:rPr>
          <w:rStyle w:val="FootnoteReference"/>
        </w:rPr>
        <w:footnoteReference w:id="14"/>
      </w:r>
      <w:r w:rsidR="009A07DE">
        <w:t xml:space="preserve"> </w:t>
      </w:r>
      <w:r w:rsidR="00DE2587">
        <w:t xml:space="preserve">, </w:t>
      </w:r>
      <w:r w:rsidR="00854A32">
        <w:t>at</w:t>
      </w:r>
      <w:r w:rsidR="00E153B9">
        <w:t xml:space="preserve"> </w:t>
      </w:r>
      <w:r w:rsidR="000947D6">
        <w:t xml:space="preserve">paragraph 7, remarked that courts </w:t>
      </w:r>
      <w:r w:rsidR="000947D6">
        <w:lastRenderedPageBreak/>
        <w:t xml:space="preserve">are obliged to impose the prescribed minimum sentences unless there are truly convincing reasons </w:t>
      </w:r>
      <w:r w:rsidR="00E153B9">
        <w:t xml:space="preserve">for </w:t>
      </w:r>
      <w:r w:rsidR="000947D6">
        <w:t xml:space="preserve">departing from them. </w:t>
      </w:r>
      <w:r w:rsidR="006E3570">
        <w:t xml:space="preserve">The Appeal against </w:t>
      </w:r>
      <w:r w:rsidR="00E153B9">
        <w:t xml:space="preserve">the </w:t>
      </w:r>
      <w:r w:rsidR="006E3570">
        <w:t xml:space="preserve">sentence is premised on the ground that the </w:t>
      </w:r>
      <w:r w:rsidR="00F217AD">
        <w:rPr>
          <w:i/>
        </w:rPr>
        <w:t>court a quo</w:t>
      </w:r>
      <w:r w:rsidR="006E3570">
        <w:t xml:space="preserve"> should have found the existence of substantial and compelling circumstances in respect of count</w:t>
      </w:r>
      <w:r w:rsidR="004275DB">
        <w:t xml:space="preserve">s </w:t>
      </w:r>
      <w:r w:rsidR="009A07DE">
        <w:t>2 and</w:t>
      </w:r>
      <w:r w:rsidR="006E3570">
        <w:t xml:space="preserve"> 3 and that</w:t>
      </w:r>
      <w:r w:rsidR="00AE7D47">
        <w:t xml:space="preserve"> all</w:t>
      </w:r>
      <w:r w:rsidR="006E3570">
        <w:t xml:space="preserve"> the sentences imposed were shockingly inappropriate.</w:t>
      </w:r>
    </w:p>
    <w:p w14:paraId="338CAB35" w14:textId="77777777" w:rsidR="006E3570" w:rsidRDefault="006E3570" w:rsidP="00C77E8C">
      <w:pPr>
        <w:autoSpaceDE w:val="0"/>
        <w:autoSpaceDN w:val="0"/>
        <w:adjustRightInd w:val="0"/>
        <w:jc w:val="both"/>
      </w:pPr>
    </w:p>
    <w:p w14:paraId="3690E2FA" w14:textId="5B42D293" w:rsidR="006E3570" w:rsidRDefault="00015CB3" w:rsidP="00C77E8C">
      <w:pPr>
        <w:autoSpaceDE w:val="0"/>
        <w:autoSpaceDN w:val="0"/>
        <w:adjustRightInd w:val="0"/>
        <w:jc w:val="both"/>
      </w:pPr>
      <w:r w:rsidRPr="00C77E8C">
        <w:t>[2</w:t>
      </w:r>
      <w:r w:rsidR="0023584C" w:rsidRPr="00C77E8C">
        <w:t>8</w:t>
      </w:r>
      <w:r w:rsidR="006E3570" w:rsidRPr="00C77E8C">
        <w:t>]</w:t>
      </w:r>
      <w:r w:rsidR="006E3570">
        <w:t xml:space="preserve"> </w:t>
      </w:r>
      <w:r w:rsidR="00D42D36">
        <w:tab/>
      </w:r>
      <w:r w:rsidR="000947D6">
        <w:t>I</w:t>
      </w:r>
      <w:r w:rsidR="00DB6C28">
        <w:t>t is well-established</w:t>
      </w:r>
      <w:r w:rsidR="000947D6">
        <w:t xml:space="preserve"> that s</w:t>
      </w:r>
      <w:r w:rsidR="006E3570">
        <w:t>entencing is pre-e</w:t>
      </w:r>
      <w:r w:rsidR="000947D6">
        <w:t>minently the task of the tria</w:t>
      </w:r>
      <w:r w:rsidR="006E3570">
        <w:t xml:space="preserve">l court. A Court of appeal will only interfere with its discretion if the trial court misdirected itself or did not exercise its discretion judicially and properly or </w:t>
      </w:r>
      <w:r w:rsidR="00E153B9">
        <w:t xml:space="preserve">if </w:t>
      </w:r>
      <w:r w:rsidR="006E3570">
        <w:t>the sentence is startlingly inappropriate.</w:t>
      </w:r>
      <w:r w:rsidR="00DB6C28" w:rsidRPr="00DB6C28">
        <w:t xml:space="preserve"> </w:t>
      </w:r>
      <w:r w:rsidR="00DB6C28">
        <w:t xml:space="preserve">The principles applicable in determining a fair, </w:t>
      </w:r>
      <w:r w:rsidR="00BE649A">
        <w:t>balanced,</w:t>
      </w:r>
      <w:r w:rsidR="00DB6C28">
        <w:t xml:space="preserve"> and appropriate sentence have long been settled.</w:t>
      </w:r>
      <w:r w:rsidR="00DB6C28">
        <w:rPr>
          <w:rStyle w:val="FootnoteReference"/>
        </w:rPr>
        <w:footnoteReference w:id="15"/>
      </w:r>
    </w:p>
    <w:p w14:paraId="6F6058AD" w14:textId="77777777" w:rsidR="006E3570" w:rsidRDefault="006E3570" w:rsidP="00C77E8C">
      <w:pPr>
        <w:autoSpaceDE w:val="0"/>
        <w:autoSpaceDN w:val="0"/>
        <w:adjustRightInd w:val="0"/>
        <w:jc w:val="both"/>
      </w:pPr>
      <w:r>
        <w:t xml:space="preserve"> </w:t>
      </w:r>
    </w:p>
    <w:p w14:paraId="5E36C61A" w14:textId="311F7459" w:rsidR="00DB6C28" w:rsidRDefault="00DF5E32" w:rsidP="00C77E8C">
      <w:pPr>
        <w:autoSpaceDE w:val="0"/>
        <w:autoSpaceDN w:val="0"/>
        <w:adjustRightInd w:val="0"/>
        <w:jc w:val="both"/>
      </w:pPr>
      <w:r w:rsidRPr="00C77E8C">
        <w:t>[</w:t>
      </w:r>
      <w:r w:rsidR="0023584C" w:rsidRPr="00C77E8C">
        <w:t>29</w:t>
      </w:r>
      <w:r w:rsidR="009A07DE" w:rsidRPr="00C77E8C">
        <w:t>]</w:t>
      </w:r>
      <w:r w:rsidR="00D42D36">
        <w:rPr>
          <w:b/>
        </w:rPr>
        <w:tab/>
      </w:r>
      <w:r w:rsidR="00DB6C28">
        <w:t>The Constitution</w:t>
      </w:r>
      <w:r w:rsidR="00B82A2C">
        <w:t xml:space="preserve"> </w:t>
      </w:r>
      <w:r w:rsidR="00DB6C28">
        <w:t>guarantees an individual’s freedom from all forms of violence from any source</w:t>
      </w:r>
      <w:r w:rsidR="00B82A2C">
        <w:rPr>
          <w:rStyle w:val="FootnoteReference"/>
        </w:rPr>
        <w:footnoteReference w:id="16"/>
      </w:r>
      <w:r w:rsidR="00DB6C28">
        <w:t xml:space="preserve"> </w:t>
      </w:r>
      <w:r w:rsidR="00E153B9">
        <w:t xml:space="preserve">, </w:t>
      </w:r>
      <w:r w:rsidR="00DB6C28">
        <w:t xml:space="preserve">and Section 11 guarantees </w:t>
      </w:r>
      <w:r w:rsidR="00E153B9">
        <w:t xml:space="preserve">the </w:t>
      </w:r>
      <w:r w:rsidR="00DB6C28">
        <w:t>right to life.</w:t>
      </w:r>
      <w:r w:rsidR="00DB6C28" w:rsidRPr="00DB6C28">
        <w:t xml:space="preserve"> </w:t>
      </w:r>
      <w:r w:rsidR="00DB6C28">
        <w:t>This was a home invasion carried out not by an individual but by  repeat offenders</w:t>
      </w:r>
      <w:r w:rsidR="00E153B9">
        <w:t>,</w:t>
      </w:r>
      <w:r w:rsidR="00DB6C28">
        <w:t xml:space="preserve"> </w:t>
      </w:r>
      <w:r w:rsidR="00E153B9">
        <w:t>except for</w:t>
      </w:r>
      <w:r w:rsidR="00B82A2C">
        <w:t xml:space="preserve"> Appellant 6</w:t>
      </w:r>
      <w:r w:rsidR="00E153B9">
        <w:t>,</w:t>
      </w:r>
      <w:r w:rsidR="00DB6C28">
        <w:t xml:space="preserve"> who ha</w:t>
      </w:r>
      <w:r w:rsidR="00E153B9">
        <w:t>s</w:t>
      </w:r>
      <w:r w:rsidR="00DB6C28">
        <w:t xml:space="preserve"> no previous convictions against him. As evident from the record, these violent crimes were perpetrated </w:t>
      </w:r>
      <w:r w:rsidR="00E153B9">
        <w:t xml:space="preserve">on </w:t>
      </w:r>
      <w:r w:rsidR="00DB6C28">
        <w:t>the most vulnerable members of the society</w:t>
      </w:r>
      <w:r w:rsidR="00854A32">
        <w:t>, the elderly.</w:t>
      </w:r>
      <w:r w:rsidR="00DB6C28">
        <w:t xml:space="preserve"> </w:t>
      </w:r>
      <w:r w:rsidR="00BD387B">
        <w:t>Counsel for the state correctly pointed out that g</w:t>
      </w:r>
      <w:r w:rsidR="0062634D">
        <w:t>iven</w:t>
      </w:r>
      <w:r w:rsidR="00854A32">
        <w:t xml:space="preserve"> complainant’s</w:t>
      </w:r>
      <w:r w:rsidR="0062634D">
        <w:t xml:space="preserve"> dependency</w:t>
      </w:r>
      <w:r w:rsidR="00DB6C28">
        <w:t xml:space="preserve"> on </w:t>
      </w:r>
      <w:r w:rsidR="00854A32">
        <w:t xml:space="preserve">his wife, the deceased, </w:t>
      </w:r>
      <w:r w:rsidR="00DB6C28">
        <w:t xml:space="preserve"> for survival due to his mobility issues, the complainant was essentially helpless when the deceased passed away. Following his wife’s death</w:t>
      </w:r>
      <w:r w:rsidR="00E153B9">
        <w:t>,</w:t>
      </w:r>
      <w:r w:rsidR="00DB6C28">
        <w:t xml:space="preserve"> he </w:t>
      </w:r>
      <w:r w:rsidR="0062634D">
        <w:t xml:space="preserve">was hospitalised on several </w:t>
      </w:r>
      <w:r w:rsidR="00DB6C28">
        <w:t xml:space="preserve">occasions and had to undergo psychological therapy. </w:t>
      </w:r>
    </w:p>
    <w:p w14:paraId="765ACAF4" w14:textId="77777777" w:rsidR="00DB6C28" w:rsidRDefault="00DB6C28" w:rsidP="00C77E8C">
      <w:pPr>
        <w:autoSpaceDE w:val="0"/>
        <w:autoSpaceDN w:val="0"/>
        <w:adjustRightInd w:val="0"/>
        <w:jc w:val="both"/>
      </w:pPr>
    </w:p>
    <w:p w14:paraId="1428E7FB" w14:textId="23A0A2DA" w:rsidR="006E3570" w:rsidRDefault="00DF5E32" w:rsidP="00C77E8C">
      <w:pPr>
        <w:autoSpaceDE w:val="0"/>
        <w:autoSpaceDN w:val="0"/>
        <w:adjustRightInd w:val="0"/>
        <w:jc w:val="both"/>
      </w:pPr>
      <w:r w:rsidRPr="00C77E8C">
        <w:t>[3</w:t>
      </w:r>
      <w:r w:rsidR="0023584C" w:rsidRPr="00C77E8C">
        <w:t>0</w:t>
      </w:r>
      <w:r w:rsidR="00DB6C28" w:rsidRPr="00C77E8C">
        <w:t>]</w:t>
      </w:r>
      <w:r w:rsidR="00D42D36">
        <w:rPr>
          <w:b/>
        </w:rPr>
        <w:tab/>
      </w:r>
      <w:r w:rsidR="00BD387B">
        <w:t xml:space="preserve">In </w:t>
      </w:r>
      <w:r w:rsidR="00E153B9">
        <w:t xml:space="preserve">the </w:t>
      </w:r>
      <w:r w:rsidR="00BD387B">
        <w:t>sentencing stage, the approach is that the personal circumstances of the offender</w:t>
      </w:r>
      <w:r w:rsidR="00B82A2C">
        <w:t>s</w:t>
      </w:r>
      <w:r w:rsidR="00BD387B">
        <w:t xml:space="preserve"> are</w:t>
      </w:r>
      <w:r w:rsidR="00B82A2C">
        <w:t xml:space="preserve">, </w:t>
      </w:r>
      <w:r w:rsidR="00B82A2C" w:rsidRPr="00B82A2C">
        <w:rPr>
          <w:i/>
        </w:rPr>
        <w:t>inter alia</w:t>
      </w:r>
      <w:r w:rsidR="00B82A2C">
        <w:t>, to</w:t>
      </w:r>
      <w:r w:rsidR="00BD387B">
        <w:t xml:space="preserve"> be considered. </w:t>
      </w:r>
      <w:r w:rsidR="00DB6C28">
        <w:t xml:space="preserve">Punishment may be regarded as a violation of an individual’s right to dignity, </w:t>
      </w:r>
      <w:r w:rsidR="00BE649A">
        <w:t>privacy,</w:t>
      </w:r>
      <w:r w:rsidR="00DB6C28">
        <w:t xml:space="preserve"> </w:t>
      </w:r>
      <w:r w:rsidR="0062634D">
        <w:t xml:space="preserve">and freedom of movement. Our society values human </w:t>
      </w:r>
      <w:r w:rsidR="00BE649A">
        <w:t>rights:</w:t>
      </w:r>
      <w:r w:rsidR="0062634D">
        <w:t xml:space="preserve"> hence </w:t>
      </w:r>
      <w:r w:rsidR="00BD387B">
        <w:t>such</w:t>
      </w:r>
      <w:r w:rsidR="00606807">
        <w:t xml:space="preserve"> transgression calls out to be</w:t>
      </w:r>
      <w:r w:rsidR="00DB6C28">
        <w:t xml:space="preserve"> justified.</w:t>
      </w:r>
      <w:r w:rsidR="0062634D">
        <w:rPr>
          <w:rStyle w:val="FootnoteReference"/>
        </w:rPr>
        <w:footnoteReference w:id="17"/>
      </w:r>
      <w:r w:rsidR="00BD387B">
        <w:t xml:space="preserve"> </w:t>
      </w:r>
      <w:r w:rsidR="006E3570">
        <w:t xml:space="preserve">In applying </w:t>
      </w:r>
      <w:r w:rsidR="006E3570" w:rsidRPr="001F55D7">
        <w:rPr>
          <w:i/>
        </w:rPr>
        <w:t>Zinn</w:t>
      </w:r>
      <w:r w:rsidR="006E3570">
        <w:rPr>
          <w:i/>
        </w:rPr>
        <w:t>’s</w:t>
      </w:r>
      <w:r w:rsidR="006E3570" w:rsidRPr="001F55D7">
        <w:rPr>
          <w:i/>
        </w:rPr>
        <w:t xml:space="preserve"> </w:t>
      </w:r>
      <w:r w:rsidR="006E3570">
        <w:t xml:space="preserve">principles, the </w:t>
      </w:r>
      <w:r w:rsidR="006E3570" w:rsidRPr="001F55D7">
        <w:rPr>
          <w:i/>
        </w:rPr>
        <w:t xml:space="preserve">court a </w:t>
      </w:r>
      <w:r w:rsidR="00E153B9" w:rsidRPr="001F55D7">
        <w:rPr>
          <w:i/>
        </w:rPr>
        <w:t>q</w:t>
      </w:r>
      <w:r w:rsidR="00E153B9">
        <w:rPr>
          <w:i/>
        </w:rPr>
        <w:t>uo</w:t>
      </w:r>
      <w:r w:rsidR="00E153B9">
        <w:t xml:space="preserve"> </w:t>
      </w:r>
      <w:r w:rsidR="006E3570">
        <w:t xml:space="preserve">considered all the personal circumstances of the offenders in accordance with </w:t>
      </w:r>
      <w:r w:rsidR="00E153B9">
        <w:t xml:space="preserve">the </w:t>
      </w:r>
      <w:r w:rsidR="006E3570">
        <w:t xml:space="preserve">blameworthiness of each offender. </w:t>
      </w:r>
      <w:r w:rsidR="006E3570">
        <w:rPr>
          <w:rStyle w:val="FootnoteReference"/>
        </w:rPr>
        <w:footnoteReference w:id="18"/>
      </w:r>
    </w:p>
    <w:p w14:paraId="00584D0C" w14:textId="77777777" w:rsidR="006E3570" w:rsidRDefault="006E3570" w:rsidP="00C77E8C">
      <w:pPr>
        <w:autoSpaceDE w:val="0"/>
        <w:autoSpaceDN w:val="0"/>
        <w:adjustRightInd w:val="0"/>
        <w:jc w:val="both"/>
      </w:pPr>
    </w:p>
    <w:p w14:paraId="629BFE56" w14:textId="351C5C9A" w:rsidR="004B5B59" w:rsidRPr="0008476E" w:rsidRDefault="009A07DE" w:rsidP="00C77E8C">
      <w:pPr>
        <w:autoSpaceDE w:val="0"/>
        <w:autoSpaceDN w:val="0"/>
        <w:adjustRightInd w:val="0"/>
        <w:jc w:val="both"/>
        <w:rPr>
          <w:i/>
          <w:u w:val="single"/>
        </w:rPr>
      </w:pPr>
      <w:r w:rsidRPr="00C77E8C">
        <w:lastRenderedPageBreak/>
        <w:t>[3</w:t>
      </w:r>
      <w:r w:rsidR="0023584C" w:rsidRPr="00C77E8C">
        <w:t>1</w:t>
      </w:r>
      <w:r w:rsidR="00BD387B" w:rsidRPr="00C77E8C">
        <w:t>]</w:t>
      </w:r>
      <w:r w:rsidR="00D42D36">
        <w:tab/>
      </w:r>
      <w:r w:rsidR="00BD387B">
        <w:t>I</w:t>
      </w:r>
      <w:r w:rsidR="004B5B59">
        <w:t xml:space="preserve"> find that </w:t>
      </w:r>
      <w:r w:rsidR="00E153B9">
        <w:t>,</w:t>
      </w:r>
      <w:r w:rsidR="006E3570">
        <w:t xml:space="preserve"> the</w:t>
      </w:r>
      <w:r w:rsidR="004B5B59">
        <w:t xml:space="preserve"> court a quo </w:t>
      </w:r>
      <w:r w:rsidR="006E3570">
        <w:t xml:space="preserve">did not </w:t>
      </w:r>
      <w:r w:rsidR="004B5B59">
        <w:t xml:space="preserve">misdirect itself </w:t>
      </w:r>
      <w:r w:rsidR="006E3570">
        <w:t xml:space="preserve"> in finding that substantial and compelling circumstances were absent in respect of count</w:t>
      </w:r>
      <w:r>
        <w:t>s</w:t>
      </w:r>
      <w:r w:rsidR="006E3570">
        <w:t xml:space="preserve"> 2 and</w:t>
      </w:r>
      <w:r>
        <w:t xml:space="preserve"> </w:t>
      </w:r>
      <w:r w:rsidR="006E3570">
        <w:t>3</w:t>
      </w:r>
      <w:r w:rsidR="00E153B9">
        <w:t>,</w:t>
      </w:r>
      <w:r w:rsidR="006E3570">
        <w:t xml:space="preserve"> and the sentenc</w:t>
      </w:r>
      <w:r w:rsidR="000947D6">
        <w:t>es imposed in respect of all counts</w:t>
      </w:r>
      <w:r w:rsidR="006E3570">
        <w:t xml:space="preserve"> do not induce a sense of shock.</w:t>
      </w:r>
      <w:r w:rsidR="004B5B59">
        <w:t xml:space="preserve"> There are accordingly no grounds upon which this court would interfere with the convictions and sentences imposed in respect of all the Appellants. </w:t>
      </w:r>
      <w:r w:rsidR="005911CD">
        <w:t>Consequently</w:t>
      </w:r>
      <w:r w:rsidR="000947D6">
        <w:t>,</w:t>
      </w:r>
      <w:r w:rsidR="006E3570">
        <w:t xml:space="preserve"> the Appellant</w:t>
      </w:r>
      <w:r w:rsidR="004275DB">
        <w:t>s</w:t>
      </w:r>
      <w:r w:rsidR="006E3570">
        <w:t xml:space="preserve"> appeal</w:t>
      </w:r>
      <w:r w:rsidR="0008476E">
        <w:t>s</w:t>
      </w:r>
      <w:r w:rsidR="006E3570">
        <w:t xml:space="preserve"> in respect of conviction</w:t>
      </w:r>
      <w:r w:rsidR="0008476E">
        <w:t>s</w:t>
      </w:r>
      <w:r w:rsidR="006E3570">
        <w:t xml:space="preserve"> and sentence</w:t>
      </w:r>
      <w:r w:rsidR="0008476E">
        <w:t>s</w:t>
      </w:r>
      <w:r w:rsidR="004B5B59">
        <w:t xml:space="preserve"> must fail. </w:t>
      </w:r>
    </w:p>
    <w:p w14:paraId="3CECB3F4" w14:textId="77777777" w:rsidR="004B5B59" w:rsidRDefault="004B5B59" w:rsidP="00C77E8C">
      <w:pPr>
        <w:autoSpaceDE w:val="0"/>
        <w:autoSpaceDN w:val="0"/>
        <w:adjustRightInd w:val="0"/>
        <w:jc w:val="both"/>
      </w:pPr>
    </w:p>
    <w:p w14:paraId="1AE658D4" w14:textId="7CB5EFD4" w:rsidR="004B5B59" w:rsidRPr="0008476E" w:rsidRDefault="004B5B59" w:rsidP="00C77E8C">
      <w:pPr>
        <w:autoSpaceDE w:val="0"/>
        <w:autoSpaceDN w:val="0"/>
        <w:adjustRightInd w:val="0"/>
        <w:jc w:val="both"/>
        <w:rPr>
          <w:b/>
          <w:bCs/>
          <w:i/>
          <w:iCs/>
        </w:rPr>
      </w:pPr>
      <w:r w:rsidRPr="0008476E">
        <w:rPr>
          <w:b/>
          <w:bCs/>
          <w:i/>
          <w:iCs/>
        </w:rPr>
        <w:t>Order</w:t>
      </w:r>
    </w:p>
    <w:p w14:paraId="4311B5A9" w14:textId="77777777" w:rsidR="004B5B59" w:rsidRDefault="004B5B59" w:rsidP="00C77E8C">
      <w:pPr>
        <w:autoSpaceDE w:val="0"/>
        <w:autoSpaceDN w:val="0"/>
        <w:adjustRightInd w:val="0"/>
        <w:jc w:val="both"/>
        <w:rPr>
          <w:i/>
          <w:iCs/>
        </w:rPr>
      </w:pPr>
    </w:p>
    <w:p w14:paraId="6ADF31CF" w14:textId="12CD0EBF" w:rsidR="004B5B59" w:rsidRPr="003443AD" w:rsidRDefault="004B5B59" w:rsidP="00C77E8C">
      <w:pPr>
        <w:autoSpaceDE w:val="0"/>
        <w:autoSpaceDN w:val="0"/>
        <w:adjustRightInd w:val="0"/>
        <w:jc w:val="both"/>
      </w:pPr>
      <w:r w:rsidRPr="003443AD">
        <w:t>[3</w:t>
      </w:r>
      <w:r w:rsidR="0008476E">
        <w:t>2</w:t>
      </w:r>
      <w:r w:rsidRPr="003443AD">
        <w:t xml:space="preserve">] I accordingly make the following Order : </w:t>
      </w:r>
    </w:p>
    <w:p w14:paraId="34A4BA3F" w14:textId="77777777" w:rsidR="004B5B59" w:rsidRDefault="004B5B59" w:rsidP="00C77E8C">
      <w:pPr>
        <w:autoSpaceDE w:val="0"/>
        <w:autoSpaceDN w:val="0"/>
        <w:adjustRightInd w:val="0"/>
        <w:jc w:val="both"/>
        <w:rPr>
          <w:i/>
          <w:iCs/>
        </w:rPr>
      </w:pPr>
    </w:p>
    <w:p w14:paraId="017C1A29" w14:textId="6952B9D7" w:rsidR="004B5B59" w:rsidRPr="0008476E" w:rsidRDefault="004B5B59" w:rsidP="00C77E8C">
      <w:pPr>
        <w:autoSpaceDE w:val="0"/>
        <w:autoSpaceDN w:val="0"/>
        <w:adjustRightInd w:val="0"/>
        <w:jc w:val="both"/>
        <w:rPr>
          <w:b/>
          <w:bCs/>
          <w:i/>
          <w:iCs/>
        </w:rPr>
      </w:pPr>
      <w:r>
        <w:rPr>
          <w:i/>
          <w:iCs/>
        </w:rPr>
        <w:t xml:space="preserve">  </w:t>
      </w:r>
      <w:r w:rsidRPr="003443AD">
        <w:rPr>
          <w:b/>
          <w:bCs/>
          <w:i/>
          <w:iCs/>
        </w:rPr>
        <w:t xml:space="preserve"> The appeal</w:t>
      </w:r>
      <w:r>
        <w:rPr>
          <w:b/>
          <w:bCs/>
          <w:i/>
          <w:iCs/>
        </w:rPr>
        <w:t>s</w:t>
      </w:r>
      <w:r w:rsidRPr="003443AD">
        <w:rPr>
          <w:b/>
          <w:bCs/>
          <w:i/>
          <w:iCs/>
        </w:rPr>
        <w:t xml:space="preserve"> against</w:t>
      </w:r>
      <w:r w:rsidR="003443AD">
        <w:rPr>
          <w:b/>
          <w:bCs/>
          <w:i/>
          <w:iCs/>
        </w:rPr>
        <w:t xml:space="preserve"> the</w:t>
      </w:r>
      <w:r w:rsidRPr="003443AD">
        <w:rPr>
          <w:b/>
          <w:bCs/>
          <w:i/>
          <w:iCs/>
        </w:rPr>
        <w:t xml:space="preserve"> conviction</w:t>
      </w:r>
      <w:r w:rsidR="003443AD">
        <w:rPr>
          <w:b/>
          <w:bCs/>
          <w:i/>
          <w:iCs/>
        </w:rPr>
        <w:t>s</w:t>
      </w:r>
      <w:r w:rsidRPr="003443AD">
        <w:rPr>
          <w:b/>
          <w:bCs/>
          <w:i/>
          <w:iCs/>
        </w:rPr>
        <w:t xml:space="preserve"> and sentence</w:t>
      </w:r>
      <w:r w:rsidR="003443AD">
        <w:rPr>
          <w:b/>
          <w:bCs/>
          <w:i/>
          <w:iCs/>
        </w:rPr>
        <w:t xml:space="preserve">s of </w:t>
      </w:r>
      <w:r w:rsidR="0008476E">
        <w:rPr>
          <w:b/>
          <w:bCs/>
          <w:i/>
          <w:iCs/>
        </w:rPr>
        <w:t xml:space="preserve">all </w:t>
      </w:r>
      <w:r w:rsidR="003443AD">
        <w:rPr>
          <w:b/>
          <w:bCs/>
          <w:i/>
          <w:iCs/>
        </w:rPr>
        <w:t>the appellants</w:t>
      </w:r>
      <w:r w:rsidRPr="003443AD">
        <w:rPr>
          <w:b/>
          <w:bCs/>
          <w:i/>
          <w:iCs/>
        </w:rPr>
        <w:t xml:space="preserve"> </w:t>
      </w:r>
      <w:r>
        <w:rPr>
          <w:b/>
          <w:bCs/>
          <w:i/>
          <w:iCs/>
        </w:rPr>
        <w:t>are</w:t>
      </w:r>
      <w:r w:rsidRPr="003443AD">
        <w:rPr>
          <w:b/>
          <w:bCs/>
          <w:i/>
          <w:iCs/>
        </w:rPr>
        <w:t xml:space="preserve"> </w:t>
      </w:r>
      <w:r w:rsidR="003443AD">
        <w:rPr>
          <w:b/>
          <w:bCs/>
          <w:i/>
          <w:iCs/>
        </w:rPr>
        <w:t xml:space="preserve">    </w:t>
      </w:r>
      <w:r w:rsidRPr="003443AD">
        <w:rPr>
          <w:b/>
          <w:bCs/>
          <w:i/>
          <w:iCs/>
        </w:rPr>
        <w:t>dismissed.</w:t>
      </w:r>
    </w:p>
    <w:p w14:paraId="7F1362E1" w14:textId="77777777" w:rsidR="00E153B9" w:rsidRDefault="00E153B9" w:rsidP="00C77E8C">
      <w:pPr>
        <w:autoSpaceDE w:val="0"/>
        <w:autoSpaceDN w:val="0"/>
        <w:adjustRightInd w:val="0"/>
        <w:jc w:val="both"/>
      </w:pPr>
    </w:p>
    <w:p w14:paraId="6983BE78" w14:textId="77777777" w:rsidR="00D42D36" w:rsidRDefault="00D42D36" w:rsidP="00C77E8C">
      <w:pPr>
        <w:autoSpaceDE w:val="0"/>
        <w:autoSpaceDN w:val="0"/>
        <w:adjustRightInd w:val="0"/>
        <w:jc w:val="both"/>
      </w:pPr>
    </w:p>
    <w:p w14:paraId="7FEC7646" w14:textId="47DFF5D9" w:rsidR="006E3570" w:rsidRPr="00C77E8C" w:rsidRDefault="00E153B9" w:rsidP="00C77E8C">
      <w:pPr>
        <w:autoSpaceDE w:val="0"/>
        <w:autoSpaceDN w:val="0"/>
        <w:adjustRightInd w:val="0"/>
        <w:jc w:val="both"/>
        <w:rPr>
          <w:b/>
          <w:u w:val="single"/>
        </w:rPr>
      </w:pPr>
      <w:r>
        <w:rPr>
          <w:b/>
          <w:u w:val="single"/>
        </w:rPr>
        <w:t>____________________________________</w:t>
      </w:r>
    </w:p>
    <w:p w14:paraId="2D8250D8" w14:textId="77777777" w:rsidR="006E3570" w:rsidRPr="00E84D97" w:rsidRDefault="006E3570" w:rsidP="00C77E8C">
      <w:pPr>
        <w:autoSpaceDE w:val="0"/>
        <w:autoSpaceDN w:val="0"/>
        <w:adjustRightInd w:val="0"/>
        <w:jc w:val="both"/>
        <w:rPr>
          <w:b/>
        </w:rPr>
      </w:pPr>
      <w:r w:rsidRPr="00E84D97">
        <w:rPr>
          <w:b/>
        </w:rPr>
        <w:t>N CENGANI-MBAKAZA</w:t>
      </w:r>
    </w:p>
    <w:p w14:paraId="22FCAA41" w14:textId="5C35A320" w:rsidR="004B5B59" w:rsidRDefault="006E3570" w:rsidP="00C77E8C">
      <w:pPr>
        <w:autoSpaceDE w:val="0"/>
        <w:autoSpaceDN w:val="0"/>
        <w:adjustRightInd w:val="0"/>
        <w:jc w:val="both"/>
        <w:rPr>
          <w:rFonts w:ascii="Times New Roman" w:hAnsi="Times New Roman" w:cs="Times New Roman"/>
          <w:b/>
          <w:color w:val="auto"/>
          <w:lang w:val="en-GB"/>
        </w:rPr>
      </w:pPr>
      <w:r w:rsidRPr="00E84D97">
        <w:rPr>
          <w:b/>
        </w:rPr>
        <w:t xml:space="preserve">ACTING </w:t>
      </w:r>
      <w:r w:rsidR="005E6003">
        <w:rPr>
          <w:b/>
        </w:rPr>
        <w:t xml:space="preserve">- </w:t>
      </w:r>
      <w:r w:rsidRPr="00E84D97">
        <w:rPr>
          <w:b/>
        </w:rPr>
        <w:t>JUDGE OF THE HIGH COURT</w:t>
      </w:r>
      <w:r w:rsidR="00E153B9" w:rsidRPr="00E153B9">
        <w:rPr>
          <w:rFonts w:ascii="Times New Roman" w:hAnsi="Times New Roman" w:cs="Times New Roman"/>
          <w:b/>
          <w:color w:val="auto"/>
          <w:lang w:val="en-GB"/>
        </w:rPr>
        <w:t xml:space="preserve"> </w:t>
      </w:r>
    </w:p>
    <w:p w14:paraId="4F1A68AF" w14:textId="5E473063" w:rsidR="006E3570" w:rsidRDefault="006E3570" w:rsidP="00C77E8C">
      <w:pPr>
        <w:autoSpaceDE w:val="0"/>
        <w:autoSpaceDN w:val="0"/>
        <w:adjustRightInd w:val="0"/>
        <w:jc w:val="both"/>
      </w:pPr>
    </w:p>
    <w:p w14:paraId="078DB04A" w14:textId="45FD697E" w:rsidR="00E153B9" w:rsidRDefault="00E153B9" w:rsidP="00C77E8C">
      <w:pPr>
        <w:autoSpaceDE w:val="0"/>
        <w:autoSpaceDN w:val="0"/>
        <w:adjustRightInd w:val="0"/>
        <w:jc w:val="both"/>
      </w:pPr>
    </w:p>
    <w:p w14:paraId="4B49160D" w14:textId="2C8A1B82" w:rsidR="00D42D36" w:rsidRDefault="006E3570" w:rsidP="00C77E8C">
      <w:pPr>
        <w:autoSpaceDE w:val="0"/>
        <w:autoSpaceDN w:val="0"/>
        <w:adjustRightInd w:val="0"/>
        <w:jc w:val="both"/>
      </w:pPr>
      <w:r>
        <w:t>I agree.</w:t>
      </w:r>
    </w:p>
    <w:p w14:paraId="21F351CA" w14:textId="77777777" w:rsidR="00E153B9" w:rsidRDefault="00E153B9" w:rsidP="00C77E8C">
      <w:pPr>
        <w:autoSpaceDE w:val="0"/>
        <w:autoSpaceDN w:val="0"/>
        <w:adjustRightInd w:val="0"/>
        <w:jc w:val="both"/>
      </w:pPr>
    </w:p>
    <w:p w14:paraId="78B836C3" w14:textId="2EC784F5" w:rsidR="006E3570" w:rsidRPr="00C77E8C" w:rsidRDefault="00E153B9" w:rsidP="00C77E8C">
      <w:pPr>
        <w:autoSpaceDE w:val="0"/>
        <w:autoSpaceDN w:val="0"/>
        <w:adjustRightInd w:val="0"/>
        <w:jc w:val="both"/>
        <w:rPr>
          <w:b/>
          <w:u w:val="single"/>
        </w:rPr>
      </w:pPr>
      <w:r w:rsidRPr="00C77E8C">
        <w:rPr>
          <w:b/>
          <w:u w:val="single"/>
        </w:rPr>
        <w:t>__________________________________</w:t>
      </w:r>
    </w:p>
    <w:p w14:paraId="4E19CA9B" w14:textId="52698026" w:rsidR="006E3570" w:rsidRPr="00E84D97" w:rsidRDefault="00606807" w:rsidP="00C77E8C">
      <w:pPr>
        <w:autoSpaceDE w:val="0"/>
        <w:autoSpaceDN w:val="0"/>
        <w:adjustRightInd w:val="0"/>
        <w:jc w:val="both"/>
        <w:rPr>
          <w:b/>
        </w:rPr>
      </w:pPr>
      <w:r>
        <w:rPr>
          <w:b/>
        </w:rPr>
        <w:t>T</w:t>
      </w:r>
      <w:r w:rsidR="004B5B59">
        <w:rPr>
          <w:b/>
        </w:rPr>
        <w:t xml:space="preserve">. V </w:t>
      </w:r>
      <w:r>
        <w:rPr>
          <w:b/>
        </w:rPr>
        <w:t xml:space="preserve"> </w:t>
      </w:r>
      <w:r w:rsidR="006E3570" w:rsidRPr="00E84D97">
        <w:rPr>
          <w:b/>
        </w:rPr>
        <w:t>NORMAN</w:t>
      </w:r>
    </w:p>
    <w:p w14:paraId="13C946AA" w14:textId="494E2677" w:rsidR="004B5B59" w:rsidRDefault="006E3570">
      <w:pPr>
        <w:autoSpaceDE w:val="0"/>
        <w:autoSpaceDN w:val="0"/>
        <w:adjustRightInd w:val="0"/>
        <w:jc w:val="both"/>
        <w:rPr>
          <w:b/>
        </w:rPr>
      </w:pPr>
      <w:r w:rsidRPr="00E84D97">
        <w:rPr>
          <w:b/>
        </w:rPr>
        <w:t>JUDGE OF THE HIGH COURT</w:t>
      </w:r>
    </w:p>
    <w:p w14:paraId="426B64A3" w14:textId="77777777" w:rsidR="0008476E" w:rsidRDefault="0008476E">
      <w:pPr>
        <w:autoSpaceDE w:val="0"/>
        <w:autoSpaceDN w:val="0"/>
        <w:adjustRightInd w:val="0"/>
        <w:jc w:val="both"/>
        <w:rPr>
          <w:b/>
        </w:rPr>
      </w:pPr>
    </w:p>
    <w:p w14:paraId="09F04948" w14:textId="77777777" w:rsidR="0008476E" w:rsidRDefault="0008476E">
      <w:pPr>
        <w:autoSpaceDE w:val="0"/>
        <w:autoSpaceDN w:val="0"/>
        <w:adjustRightInd w:val="0"/>
        <w:jc w:val="both"/>
        <w:rPr>
          <w:b/>
        </w:rPr>
      </w:pPr>
    </w:p>
    <w:p w14:paraId="19179A8B" w14:textId="77777777" w:rsidR="0008476E" w:rsidRDefault="0008476E">
      <w:pPr>
        <w:autoSpaceDE w:val="0"/>
        <w:autoSpaceDN w:val="0"/>
        <w:adjustRightInd w:val="0"/>
        <w:jc w:val="both"/>
        <w:rPr>
          <w:b/>
        </w:rPr>
      </w:pPr>
    </w:p>
    <w:p w14:paraId="7A5E6C30" w14:textId="77777777" w:rsidR="0008476E" w:rsidRDefault="0008476E">
      <w:pPr>
        <w:autoSpaceDE w:val="0"/>
        <w:autoSpaceDN w:val="0"/>
        <w:adjustRightInd w:val="0"/>
        <w:jc w:val="both"/>
        <w:rPr>
          <w:b/>
        </w:rPr>
      </w:pPr>
    </w:p>
    <w:p w14:paraId="507D28DB" w14:textId="77777777" w:rsidR="0008476E" w:rsidRDefault="0008476E">
      <w:pPr>
        <w:autoSpaceDE w:val="0"/>
        <w:autoSpaceDN w:val="0"/>
        <w:adjustRightInd w:val="0"/>
        <w:jc w:val="both"/>
        <w:rPr>
          <w:b/>
        </w:rPr>
      </w:pPr>
    </w:p>
    <w:p w14:paraId="34D2EB5B" w14:textId="77777777" w:rsidR="0008476E" w:rsidRDefault="0008476E">
      <w:pPr>
        <w:autoSpaceDE w:val="0"/>
        <w:autoSpaceDN w:val="0"/>
        <w:adjustRightInd w:val="0"/>
        <w:jc w:val="both"/>
        <w:rPr>
          <w:b/>
        </w:rPr>
      </w:pPr>
    </w:p>
    <w:p w14:paraId="64E5FF8A" w14:textId="77777777" w:rsidR="0008476E" w:rsidRDefault="0008476E">
      <w:pPr>
        <w:autoSpaceDE w:val="0"/>
        <w:autoSpaceDN w:val="0"/>
        <w:adjustRightInd w:val="0"/>
        <w:jc w:val="both"/>
        <w:rPr>
          <w:b/>
        </w:rPr>
      </w:pPr>
    </w:p>
    <w:p w14:paraId="3AF6F974" w14:textId="77777777" w:rsidR="0008476E" w:rsidRDefault="0008476E">
      <w:pPr>
        <w:autoSpaceDE w:val="0"/>
        <w:autoSpaceDN w:val="0"/>
        <w:adjustRightInd w:val="0"/>
        <w:jc w:val="both"/>
        <w:rPr>
          <w:b/>
        </w:rPr>
      </w:pPr>
    </w:p>
    <w:p w14:paraId="4C1B486B" w14:textId="77777777" w:rsidR="001305D3" w:rsidRDefault="001305D3">
      <w:pPr>
        <w:autoSpaceDE w:val="0"/>
        <w:autoSpaceDN w:val="0"/>
        <w:adjustRightInd w:val="0"/>
        <w:jc w:val="both"/>
        <w:rPr>
          <w:b/>
          <w:lang w:val="en-GB"/>
        </w:rPr>
      </w:pPr>
    </w:p>
    <w:p w14:paraId="1DC4199F" w14:textId="77777777" w:rsidR="00E153B9" w:rsidRPr="00E153B9" w:rsidRDefault="00E153B9">
      <w:pPr>
        <w:autoSpaceDE w:val="0"/>
        <w:autoSpaceDN w:val="0"/>
        <w:adjustRightInd w:val="0"/>
        <w:jc w:val="both"/>
        <w:rPr>
          <w:b/>
          <w:lang w:val="en-GB"/>
        </w:rPr>
      </w:pPr>
    </w:p>
    <w:p w14:paraId="52D8B519" w14:textId="2A423FA7" w:rsidR="006E3570" w:rsidRDefault="006E3570" w:rsidP="00C77E8C">
      <w:pPr>
        <w:autoSpaceDE w:val="0"/>
        <w:autoSpaceDN w:val="0"/>
        <w:adjustRightInd w:val="0"/>
        <w:jc w:val="both"/>
      </w:pPr>
      <w:r>
        <w:t>Counsel for the Appellants</w:t>
      </w:r>
      <w:r w:rsidR="00E153B9">
        <w:tab/>
      </w:r>
      <w:r w:rsidR="00E153B9">
        <w:tab/>
      </w:r>
      <w:r w:rsidR="00E153B9">
        <w:tab/>
      </w:r>
      <w:r w:rsidR="00E153B9">
        <w:tab/>
      </w:r>
      <w:r>
        <w:t>:</w:t>
      </w:r>
      <w:r w:rsidR="00F217AD">
        <w:t xml:space="preserve"> </w:t>
      </w:r>
      <w:r w:rsidR="00E153B9">
        <w:tab/>
      </w:r>
      <w:r w:rsidR="00F217AD">
        <w:t>Adv Sojada</w:t>
      </w:r>
    </w:p>
    <w:p w14:paraId="11036A37" w14:textId="77777777" w:rsidR="00E153B9" w:rsidRDefault="00E153B9" w:rsidP="00C77E8C">
      <w:pPr>
        <w:autoSpaceDE w:val="0"/>
        <w:autoSpaceDN w:val="0"/>
        <w:adjustRightInd w:val="0"/>
        <w:jc w:val="both"/>
      </w:pPr>
    </w:p>
    <w:p w14:paraId="5EA85EB7" w14:textId="01D27DE5" w:rsidR="006E3570" w:rsidRDefault="00E153B9" w:rsidP="00C77E8C">
      <w:pPr>
        <w:autoSpaceDE w:val="0"/>
        <w:autoSpaceDN w:val="0"/>
        <w:adjustRightInd w:val="0"/>
        <w:jc w:val="both"/>
      </w:pPr>
      <w:r>
        <w:t>Instructed by</w:t>
      </w:r>
      <w:r>
        <w:tab/>
      </w:r>
      <w:r>
        <w:tab/>
      </w:r>
      <w:r>
        <w:tab/>
      </w:r>
      <w:r>
        <w:tab/>
      </w:r>
      <w:r>
        <w:tab/>
      </w:r>
      <w:r>
        <w:tab/>
        <w:t>:</w:t>
      </w:r>
      <w:r>
        <w:tab/>
      </w:r>
      <w:r w:rsidR="006E3570">
        <w:t>Legal Aid South Africa</w:t>
      </w:r>
    </w:p>
    <w:p w14:paraId="7C467C20" w14:textId="605D8362" w:rsidR="006E3570" w:rsidRDefault="006E3570" w:rsidP="00C77E8C">
      <w:pPr>
        <w:autoSpaceDE w:val="0"/>
        <w:autoSpaceDN w:val="0"/>
        <w:adjustRightInd w:val="0"/>
        <w:ind w:left="5040" w:firstLine="720"/>
        <w:jc w:val="both"/>
      </w:pPr>
      <w:r>
        <w:t>69 H</w:t>
      </w:r>
      <w:r w:rsidR="0008476E">
        <w:t>i</w:t>
      </w:r>
      <w:r>
        <w:t>gh Street</w:t>
      </w:r>
    </w:p>
    <w:p w14:paraId="3714DC2D" w14:textId="77777777" w:rsidR="006E3570" w:rsidRDefault="006E3570" w:rsidP="00C77E8C">
      <w:pPr>
        <w:autoSpaceDE w:val="0"/>
        <w:autoSpaceDN w:val="0"/>
        <w:adjustRightInd w:val="0"/>
        <w:ind w:left="5040" w:firstLine="720"/>
        <w:jc w:val="both"/>
      </w:pPr>
      <w:r>
        <w:t>MAKHANDA</w:t>
      </w:r>
    </w:p>
    <w:p w14:paraId="364F6A43" w14:textId="77777777" w:rsidR="006E3570" w:rsidRDefault="006E3570" w:rsidP="00C77E8C">
      <w:pPr>
        <w:autoSpaceDE w:val="0"/>
        <w:autoSpaceDN w:val="0"/>
        <w:adjustRightInd w:val="0"/>
        <w:jc w:val="both"/>
      </w:pPr>
    </w:p>
    <w:p w14:paraId="1FAC63DC" w14:textId="2DC60E1E" w:rsidR="006E3570" w:rsidRDefault="006E3570" w:rsidP="00C77E8C">
      <w:pPr>
        <w:autoSpaceDE w:val="0"/>
        <w:autoSpaceDN w:val="0"/>
        <w:adjustRightInd w:val="0"/>
        <w:jc w:val="both"/>
      </w:pPr>
      <w:r>
        <w:t>Counsel for the Respondent</w:t>
      </w:r>
      <w:r w:rsidR="00E153B9">
        <w:tab/>
      </w:r>
      <w:r w:rsidR="00E153B9">
        <w:tab/>
      </w:r>
      <w:r w:rsidR="00E153B9">
        <w:tab/>
      </w:r>
      <w:r>
        <w:t xml:space="preserve">: </w:t>
      </w:r>
      <w:r w:rsidR="00E153B9">
        <w:tab/>
      </w:r>
      <w:r w:rsidR="00BE649A">
        <w:t>Adv W</w:t>
      </w:r>
      <w:r>
        <w:t xml:space="preserve"> Vos</w:t>
      </w:r>
    </w:p>
    <w:p w14:paraId="55580CCF" w14:textId="77777777" w:rsidR="00E153B9" w:rsidRDefault="00E153B9" w:rsidP="00C77E8C">
      <w:pPr>
        <w:autoSpaceDE w:val="0"/>
        <w:autoSpaceDN w:val="0"/>
        <w:adjustRightInd w:val="0"/>
        <w:jc w:val="both"/>
      </w:pPr>
    </w:p>
    <w:p w14:paraId="337FA865" w14:textId="1B8248BE" w:rsidR="006E3570" w:rsidRDefault="00E153B9" w:rsidP="00C77E8C">
      <w:pPr>
        <w:autoSpaceDE w:val="0"/>
        <w:autoSpaceDN w:val="0"/>
        <w:adjustRightInd w:val="0"/>
        <w:jc w:val="both"/>
      </w:pPr>
      <w:r>
        <w:t>Instructed by</w:t>
      </w:r>
      <w:r>
        <w:tab/>
      </w:r>
      <w:r>
        <w:tab/>
      </w:r>
      <w:r>
        <w:tab/>
      </w:r>
      <w:r>
        <w:tab/>
      </w:r>
      <w:r>
        <w:tab/>
      </w:r>
      <w:r>
        <w:tab/>
        <w:t>:</w:t>
      </w:r>
      <w:r>
        <w:tab/>
      </w:r>
      <w:r w:rsidR="006E3570">
        <w:t>Director of Public Prosecutions</w:t>
      </w:r>
    </w:p>
    <w:p w14:paraId="436BEA61" w14:textId="7BFED4CC" w:rsidR="006E3570" w:rsidRDefault="0008476E" w:rsidP="00C77E8C">
      <w:pPr>
        <w:autoSpaceDE w:val="0"/>
        <w:autoSpaceDN w:val="0"/>
        <w:adjustRightInd w:val="0"/>
        <w:jc w:val="both"/>
      </w:pPr>
      <w:r>
        <w:tab/>
      </w:r>
      <w:r>
        <w:tab/>
      </w:r>
      <w:r>
        <w:tab/>
      </w:r>
      <w:r>
        <w:tab/>
      </w:r>
      <w:r>
        <w:tab/>
      </w:r>
      <w:r>
        <w:tab/>
      </w:r>
      <w:r>
        <w:tab/>
      </w:r>
      <w:r>
        <w:tab/>
      </w:r>
      <w:r w:rsidR="006E3570">
        <w:t>MAKHANDA</w:t>
      </w:r>
    </w:p>
    <w:p w14:paraId="7EA874F9" w14:textId="77777777" w:rsidR="00E153B9" w:rsidRDefault="00E153B9" w:rsidP="00C77E8C">
      <w:pPr>
        <w:autoSpaceDE w:val="0"/>
        <w:autoSpaceDN w:val="0"/>
        <w:adjustRightInd w:val="0"/>
        <w:jc w:val="both"/>
      </w:pPr>
    </w:p>
    <w:p w14:paraId="3FF3E6C0" w14:textId="77777777" w:rsidR="00E153B9" w:rsidRDefault="00E153B9" w:rsidP="00C77E8C">
      <w:pPr>
        <w:autoSpaceDE w:val="0"/>
        <w:autoSpaceDN w:val="0"/>
        <w:adjustRightInd w:val="0"/>
        <w:jc w:val="both"/>
      </w:pPr>
    </w:p>
    <w:p w14:paraId="243B367F" w14:textId="081EFC11" w:rsidR="00E153B9" w:rsidRDefault="00E153B9">
      <w:pPr>
        <w:autoSpaceDE w:val="0"/>
        <w:autoSpaceDN w:val="0"/>
        <w:adjustRightInd w:val="0"/>
        <w:jc w:val="both"/>
      </w:pPr>
      <w:r>
        <w:t>DATE OF HEARING</w:t>
      </w:r>
      <w:r>
        <w:tab/>
      </w:r>
      <w:r>
        <w:tab/>
      </w:r>
      <w:r>
        <w:tab/>
      </w:r>
      <w:r>
        <w:tab/>
        <w:t xml:space="preserve">: </w:t>
      </w:r>
      <w:r>
        <w:tab/>
        <w:t>07 JUNE 2023</w:t>
      </w:r>
    </w:p>
    <w:p w14:paraId="0EA670B2" w14:textId="77777777" w:rsidR="00E153B9" w:rsidRDefault="00E153B9">
      <w:pPr>
        <w:autoSpaceDE w:val="0"/>
        <w:autoSpaceDN w:val="0"/>
        <w:adjustRightInd w:val="0"/>
        <w:jc w:val="both"/>
      </w:pPr>
    </w:p>
    <w:p w14:paraId="062AF08B" w14:textId="615BF8D8" w:rsidR="00C2796C" w:rsidRPr="00C77E8C" w:rsidRDefault="00E153B9" w:rsidP="00C77E8C">
      <w:pPr>
        <w:autoSpaceDE w:val="0"/>
        <w:autoSpaceDN w:val="0"/>
        <w:adjustRightInd w:val="0"/>
        <w:jc w:val="both"/>
      </w:pPr>
      <w:r>
        <w:t>DATE OF JUDGMENT</w:t>
      </w:r>
      <w:r>
        <w:tab/>
      </w:r>
      <w:r>
        <w:tab/>
      </w:r>
      <w:r>
        <w:tab/>
      </w:r>
      <w:r>
        <w:tab/>
        <w:t xml:space="preserve">: </w:t>
      </w:r>
      <w:r w:rsidR="004B5B59">
        <w:t xml:space="preserve">         </w:t>
      </w:r>
      <w:r w:rsidR="0008476E">
        <w:t>30</w:t>
      </w:r>
      <w:r w:rsidR="004B5B59">
        <w:t xml:space="preserve">  JUNE 2023</w:t>
      </w:r>
    </w:p>
    <w:sectPr w:rsidR="00C2796C" w:rsidRPr="00C77E8C" w:rsidSect="004F0FEF">
      <w:headerReference w:type="default" r:id="rId12"/>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ACA1" w14:textId="77777777" w:rsidR="00F0458E" w:rsidRDefault="00F0458E" w:rsidP="00C91BD0">
      <w:pPr>
        <w:spacing w:line="240" w:lineRule="auto"/>
      </w:pPr>
      <w:r>
        <w:separator/>
      </w:r>
    </w:p>
  </w:endnote>
  <w:endnote w:type="continuationSeparator" w:id="0">
    <w:p w14:paraId="1B4F2F5F" w14:textId="77777777" w:rsidR="00F0458E" w:rsidRDefault="00F0458E" w:rsidP="00C91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E05A2" w14:textId="77777777" w:rsidR="00F0458E" w:rsidRDefault="00F0458E" w:rsidP="00C91BD0">
      <w:pPr>
        <w:spacing w:line="240" w:lineRule="auto"/>
      </w:pPr>
      <w:r>
        <w:separator/>
      </w:r>
    </w:p>
  </w:footnote>
  <w:footnote w:type="continuationSeparator" w:id="0">
    <w:p w14:paraId="23195905" w14:textId="77777777" w:rsidR="00F0458E" w:rsidRDefault="00F0458E" w:rsidP="00C91BD0">
      <w:pPr>
        <w:spacing w:line="240" w:lineRule="auto"/>
      </w:pPr>
      <w:r>
        <w:continuationSeparator/>
      </w:r>
    </w:p>
  </w:footnote>
  <w:footnote w:id="1">
    <w:p w14:paraId="11EBFEA8" w14:textId="77B70669" w:rsidR="0023584C" w:rsidRPr="00242BA2" w:rsidRDefault="0023584C" w:rsidP="006E3570">
      <w:pPr>
        <w:pStyle w:val="FootnoteText"/>
      </w:pPr>
      <w:r w:rsidRPr="00242BA2">
        <w:rPr>
          <w:rStyle w:val="FootnoteReference"/>
        </w:rPr>
        <w:footnoteRef/>
      </w:r>
      <w:r w:rsidRPr="00242BA2">
        <w:t xml:space="preserve"> </w:t>
      </w:r>
      <w:r w:rsidRPr="00C77E8C">
        <w:t>Count</w:t>
      </w:r>
      <w:r w:rsidRPr="00242BA2">
        <w:t xml:space="preserve"> 1- Housebreaking with intent to rob, Appellants 1, 3, 5 and 6 were sentenced to undergo eight years imprisonment. Appellants 1 and 2 to undergo fifteen years imprisonment. </w:t>
      </w:r>
      <w:r w:rsidRPr="00963C65">
        <w:t>Count 2-</w:t>
      </w:r>
      <w:r w:rsidRPr="00242BA2">
        <w:t xml:space="preserve"> Robbery with aggravating circumstances- Appellants 1, 5 and 6 were sentenced to fifteen years imprisonment. </w:t>
      </w:r>
      <w:r w:rsidR="00C77E8C" w:rsidRPr="00242BA2">
        <w:t>Appellants</w:t>
      </w:r>
      <w:r w:rsidRPr="00242BA2">
        <w:t xml:space="preserve"> 2 and 3 were sentenced to undergo eighteen years imprisonment. </w:t>
      </w:r>
      <w:r w:rsidRPr="00963C65">
        <w:t>Count 3</w:t>
      </w:r>
      <w:r w:rsidRPr="00242BA2">
        <w:t>- Murder, each Appellant was sentenced to undergo life imprisonment</w:t>
      </w:r>
      <w:r w:rsidRPr="00963C65">
        <w:t>. Count 4</w:t>
      </w:r>
      <w:r w:rsidRPr="00242BA2">
        <w:t xml:space="preserve">- </w:t>
      </w:r>
      <w:r>
        <w:t>Attempted murder- All Appellants were found not guilty and discharged</w:t>
      </w:r>
      <w:r w:rsidRPr="00963C65">
        <w:t>. Count 5</w:t>
      </w:r>
      <w:r>
        <w:t>-</w:t>
      </w:r>
      <w:r w:rsidRPr="00242BA2">
        <w:t>Possession of unlicensed firearm</w:t>
      </w:r>
      <w:r>
        <w:t xml:space="preserve"> in contravention of Section 3 Act 60 of 2000</w:t>
      </w:r>
      <w:r w:rsidRPr="00242BA2">
        <w:t>, each Appellant was sentenced to undergo</w:t>
      </w:r>
      <w:r>
        <w:t xml:space="preserve"> ten years imprisonment. </w:t>
      </w:r>
      <w:r w:rsidRPr="00963C65">
        <w:t>Count</w:t>
      </w:r>
      <w:r w:rsidRPr="000A6AE8">
        <w:rPr>
          <w:u w:val="single"/>
        </w:rPr>
        <w:t xml:space="preserve"> </w:t>
      </w:r>
      <w:r w:rsidRPr="00963C65">
        <w:t>6</w:t>
      </w:r>
      <w:r w:rsidRPr="00242BA2">
        <w:t>- Possession of ammunition</w:t>
      </w:r>
      <w:r>
        <w:t xml:space="preserve"> in contravention of section 90 Act 60 of 2000</w:t>
      </w:r>
      <w:r w:rsidRPr="00242BA2">
        <w:t>, each Appellant was sentenced to undergo two years imprisonment. In terms of Section 103(1) of the Firearms Control Act 60 of 2000- each Appellant remained unfit to possess a firearm.</w:t>
      </w:r>
    </w:p>
  </w:footnote>
  <w:footnote w:id="2">
    <w:p w14:paraId="25953199" w14:textId="77777777" w:rsidR="0023584C" w:rsidRPr="00CB237F" w:rsidRDefault="0023584C" w:rsidP="006E3570">
      <w:pPr>
        <w:pStyle w:val="FootnoteText"/>
        <w:rPr>
          <w:rFonts w:ascii="Times New Roman" w:hAnsi="Times New Roman" w:cs="Times New Roman"/>
        </w:rPr>
      </w:pPr>
      <w:r w:rsidRPr="00CB237F">
        <w:rPr>
          <w:rStyle w:val="FootnoteReference"/>
          <w:rFonts w:ascii="Times New Roman" w:hAnsi="Times New Roman" w:cs="Times New Roman"/>
        </w:rPr>
        <w:footnoteRef/>
      </w:r>
      <w:r w:rsidRPr="00CB237F">
        <w:rPr>
          <w:rFonts w:ascii="Times New Roman" w:hAnsi="Times New Roman" w:cs="Times New Roman"/>
        </w:rPr>
        <w:t xml:space="preserve"> </w:t>
      </w:r>
      <w:r w:rsidRPr="00864B2C">
        <w:t>Section 309(1)(a) of the Criminal Procedure Act no 51 of 1977, the Act</w:t>
      </w:r>
    </w:p>
  </w:footnote>
  <w:footnote w:id="3">
    <w:p w14:paraId="679C87C2" w14:textId="07671012" w:rsidR="0023584C" w:rsidRPr="00C77E8C" w:rsidRDefault="0023584C" w:rsidP="00C77E8C">
      <w:pPr>
        <w:pStyle w:val="FootnoteText"/>
        <w:jc w:val="both"/>
        <w:rPr>
          <w:sz w:val="18"/>
          <w:szCs w:val="18"/>
        </w:rPr>
      </w:pPr>
      <w:r w:rsidRPr="00FB75B0">
        <w:rPr>
          <w:rStyle w:val="FootnoteReference"/>
        </w:rPr>
        <w:footnoteRef/>
      </w:r>
      <w:r w:rsidRPr="00FB75B0">
        <w:t xml:space="preserve"> In</w:t>
      </w:r>
      <w:r>
        <w:t xml:space="preserve"> </w:t>
      </w:r>
      <w:r w:rsidRPr="00C77E8C">
        <w:t>S v T</w:t>
      </w:r>
      <w:r w:rsidRPr="000D797A">
        <w:rPr>
          <w:rStyle w:val="FootnoteReference"/>
          <w:sz w:val="22"/>
          <w:szCs w:val="22"/>
        </w:rPr>
        <w:footnoteRef/>
      </w:r>
      <w:r>
        <w:rPr>
          <w:sz w:val="22"/>
          <w:szCs w:val="22"/>
        </w:rPr>
        <w:t xml:space="preserve"> </w:t>
      </w:r>
      <w:r w:rsidRPr="00D5569A">
        <w:t xml:space="preserve">2005(2) SACR 318 (ECD) </w:t>
      </w:r>
      <w:r w:rsidR="00C77E8C">
        <w:t>at</w:t>
      </w:r>
      <w:r w:rsidRPr="00D5569A">
        <w:t xml:space="preserve"> 329 b-e</w:t>
      </w:r>
      <w:r w:rsidRPr="00FB75B0">
        <w:t xml:space="preserve"> </w:t>
      </w:r>
      <w:r w:rsidRPr="00FB75B0">
        <w:rPr>
          <w:i/>
        </w:rPr>
        <w:t>the court held that the state is required, when it tries a person for allegedly committing an offence, to prove the guilt beyond a reasonable doubt. This high standard of proof universally required in civil systems of criminal justice</w:t>
      </w:r>
      <w:r>
        <w:rPr>
          <w:i/>
        </w:rPr>
        <w:t>, it</w:t>
      </w:r>
      <w:r w:rsidRPr="00FB75B0">
        <w:rPr>
          <w:i/>
        </w:rPr>
        <w:t xml:space="preserve"> is a core component of the </w:t>
      </w:r>
      <w:r w:rsidRPr="00C77E8C">
        <w:rPr>
          <w:i/>
          <w:sz w:val="18"/>
          <w:szCs w:val="18"/>
        </w:rPr>
        <w:t xml:space="preserve">fundamental right that very person enjoys under the Constitution, and under the common law prior to 1994, to a fair trial. It is not part of a charter for </w:t>
      </w:r>
      <w:r w:rsidR="00BE649A" w:rsidRPr="00C77E8C">
        <w:rPr>
          <w:i/>
          <w:sz w:val="18"/>
          <w:szCs w:val="18"/>
        </w:rPr>
        <w:t>criminals,</w:t>
      </w:r>
      <w:r w:rsidRPr="00C77E8C">
        <w:rPr>
          <w:i/>
          <w:sz w:val="18"/>
          <w:szCs w:val="18"/>
        </w:rPr>
        <w:t xml:space="preserve"> and neither is it a mere technicality. When the court finds that the guilt of an accused has not been proved beyond reasonable doubt, that accused is entitled to an acquittal, even if there may be suspicions that he or she was indeed the perpetrator of the criminal question.</w:t>
      </w:r>
      <w:r w:rsidRPr="00C77E8C">
        <w:rPr>
          <w:sz w:val="18"/>
          <w:szCs w:val="18"/>
        </w:rPr>
        <w:t xml:space="preserve"> </w:t>
      </w:r>
    </w:p>
  </w:footnote>
  <w:footnote w:id="4">
    <w:p w14:paraId="7B10FAC2" w14:textId="77777777" w:rsidR="0023584C" w:rsidRPr="00C77E8C" w:rsidRDefault="0023584C" w:rsidP="00C77E8C">
      <w:pPr>
        <w:pStyle w:val="FootnoteText"/>
        <w:jc w:val="both"/>
        <w:rPr>
          <w:sz w:val="18"/>
          <w:szCs w:val="18"/>
        </w:rPr>
      </w:pPr>
      <w:r w:rsidRPr="00C77E8C">
        <w:rPr>
          <w:rStyle w:val="FootnoteReference"/>
          <w:sz w:val="18"/>
          <w:szCs w:val="18"/>
        </w:rPr>
        <w:footnoteRef/>
      </w:r>
      <w:r w:rsidRPr="00C77E8C">
        <w:rPr>
          <w:sz w:val="18"/>
          <w:szCs w:val="18"/>
        </w:rPr>
        <w:t xml:space="preserve"> Section 208 of Act 51 of 1977 entails that an accused may be convicted on the evidence of a single and competent witness; see also S v Sauls 1981(3) SA 172 (A) at 180 E-G</w:t>
      </w:r>
    </w:p>
  </w:footnote>
  <w:footnote w:id="5">
    <w:p w14:paraId="5570EA26" w14:textId="3AECB0B4" w:rsidR="0023584C" w:rsidRPr="00C77E8C" w:rsidRDefault="0023584C" w:rsidP="00C77E8C">
      <w:pPr>
        <w:pStyle w:val="FootnoteText"/>
        <w:jc w:val="both"/>
        <w:rPr>
          <w:sz w:val="18"/>
          <w:szCs w:val="18"/>
        </w:rPr>
      </w:pPr>
      <w:r w:rsidRPr="00C77E8C">
        <w:rPr>
          <w:rStyle w:val="FootnoteReference"/>
          <w:sz w:val="18"/>
          <w:szCs w:val="18"/>
        </w:rPr>
        <w:footnoteRef/>
      </w:r>
      <w:r w:rsidRPr="00C77E8C">
        <w:rPr>
          <w:sz w:val="18"/>
          <w:szCs w:val="18"/>
        </w:rPr>
        <w:t xml:space="preserve"> S v Mthethwa 1972(</w:t>
      </w:r>
      <w:r w:rsidR="00BE649A" w:rsidRPr="00C77E8C">
        <w:rPr>
          <w:sz w:val="18"/>
          <w:szCs w:val="18"/>
        </w:rPr>
        <w:t>3) SA</w:t>
      </w:r>
      <w:r w:rsidRPr="00C77E8C">
        <w:rPr>
          <w:sz w:val="18"/>
          <w:szCs w:val="18"/>
        </w:rPr>
        <w:t xml:space="preserve"> 766 AD at 768 a-c</w:t>
      </w:r>
    </w:p>
  </w:footnote>
  <w:footnote w:id="6">
    <w:p w14:paraId="67D38F71" w14:textId="2543B5E5" w:rsidR="0023584C" w:rsidRPr="00C77E8C" w:rsidRDefault="0023584C" w:rsidP="00C77E8C">
      <w:pPr>
        <w:pStyle w:val="FootnoteText"/>
        <w:jc w:val="both"/>
        <w:rPr>
          <w:sz w:val="18"/>
          <w:szCs w:val="18"/>
        </w:rPr>
      </w:pPr>
      <w:r w:rsidRPr="00C77E8C">
        <w:rPr>
          <w:rStyle w:val="FootnoteReference"/>
          <w:sz w:val="18"/>
          <w:szCs w:val="18"/>
        </w:rPr>
        <w:footnoteRef/>
      </w:r>
      <w:r w:rsidRPr="00C77E8C">
        <w:rPr>
          <w:sz w:val="18"/>
          <w:szCs w:val="18"/>
        </w:rPr>
        <w:t xml:space="preserve"> Section 219 provides that no confession made by any person shall be admissible as evidence against another </w:t>
      </w:r>
      <w:r w:rsidR="00BE649A" w:rsidRPr="00C77E8C">
        <w:rPr>
          <w:sz w:val="18"/>
          <w:szCs w:val="18"/>
        </w:rPr>
        <w:t>person.</w:t>
      </w:r>
    </w:p>
  </w:footnote>
  <w:footnote w:id="7">
    <w:p w14:paraId="3A32C183" w14:textId="31A5D720" w:rsidR="0023584C" w:rsidRDefault="0023584C">
      <w:pPr>
        <w:jc w:val="both"/>
      </w:pPr>
      <w:r w:rsidRPr="00C77E8C">
        <w:rPr>
          <w:rStyle w:val="FootnoteReference"/>
          <w:sz w:val="18"/>
          <w:szCs w:val="18"/>
        </w:rPr>
        <w:footnoteRef/>
      </w:r>
      <w:r w:rsidRPr="00C77E8C">
        <w:rPr>
          <w:sz w:val="18"/>
          <w:szCs w:val="18"/>
        </w:rPr>
        <w:t xml:space="preserve"> </w:t>
      </w:r>
      <w:r w:rsidRPr="00C77E8C">
        <w:rPr>
          <w:rFonts w:eastAsia="Calibri"/>
          <w:sz w:val="18"/>
          <w:szCs w:val="18"/>
          <w:lang w:val="en-US"/>
        </w:rPr>
        <w:t xml:space="preserve">2008 (2) SACR </w:t>
      </w:r>
      <w:r w:rsidR="00E153B9" w:rsidRPr="00C77E8C">
        <w:rPr>
          <w:rFonts w:eastAsia="Calibri"/>
          <w:sz w:val="18"/>
          <w:szCs w:val="18"/>
          <w:lang w:val="en-US"/>
        </w:rPr>
        <w:t xml:space="preserve">at page </w:t>
      </w:r>
      <w:r w:rsidRPr="00C77E8C">
        <w:rPr>
          <w:rFonts w:eastAsia="Calibri"/>
          <w:sz w:val="18"/>
          <w:szCs w:val="18"/>
          <w:lang w:val="en-US"/>
        </w:rPr>
        <w:t>76;</w:t>
      </w:r>
      <w:r w:rsidRPr="00C77E8C">
        <w:rPr>
          <w:sz w:val="18"/>
          <w:szCs w:val="18"/>
        </w:rPr>
        <w:t xml:space="preserve"> 2008 (2) SACR 76 (CC)</w:t>
      </w:r>
    </w:p>
  </w:footnote>
  <w:footnote w:id="8">
    <w:p w14:paraId="483681CD" w14:textId="77777777" w:rsidR="0023584C" w:rsidRPr="00C77E8C" w:rsidRDefault="0023584C" w:rsidP="006E3570">
      <w:pPr>
        <w:autoSpaceDE w:val="0"/>
        <w:autoSpaceDN w:val="0"/>
        <w:adjustRightInd w:val="0"/>
        <w:rPr>
          <w:sz w:val="18"/>
          <w:szCs w:val="18"/>
        </w:rPr>
      </w:pPr>
      <w:r w:rsidRPr="00B63C51">
        <w:rPr>
          <w:rStyle w:val="FootnoteReference"/>
          <w:sz w:val="20"/>
          <w:szCs w:val="20"/>
        </w:rPr>
        <w:footnoteRef/>
      </w:r>
      <w:r w:rsidRPr="00B63C51">
        <w:rPr>
          <w:sz w:val="20"/>
          <w:szCs w:val="20"/>
        </w:rPr>
        <w:t xml:space="preserve"> </w:t>
      </w:r>
      <w:r w:rsidRPr="00C77E8C">
        <w:rPr>
          <w:bCs/>
          <w:sz w:val="18"/>
          <w:szCs w:val="18"/>
        </w:rPr>
        <w:t>1948 (2) SA 677 (A)</w:t>
      </w:r>
    </w:p>
  </w:footnote>
  <w:footnote w:id="9">
    <w:p w14:paraId="6E1E6CB0" w14:textId="423AC4A9" w:rsidR="0023584C" w:rsidRPr="00C77E8C" w:rsidRDefault="0023584C">
      <w:pPr>
        <w:spacing w:line="480" w:lineRule="auto"/>
        <w:jc w:val="both"/>
        <w:rPr>
          <w:sz w:val="18"/>
          <w:szCs w:val="18"/>
        </w:rPr>
      </w:pPr>
      <w:r w:rsidRPr="00C77E8C">
        <w:rPr>
          <w:rStyle w:val="FootnoteReference"/>
          <w:sz w:val="18"/>
          <w:szCs w:val="18"/>
        </w:rPr>
        <w:footnoteRef/>
      </w:r>
      <w:r w:rsidRPr="00C77E8C">
        <w:rPr>
          <w:sz w:val="18"/>
          <w:szCs w:val="18"/>
        </w:rPr>
        <w:t xml:space="preserve"> In S v Van der Meyden 1991(1) SACR 447 (W) at 449 j-450 b</w:t>
      </w:r>
      <w:r w:rsidRPr="00C77E8C">
        <w:rPr>
          <w:b/>
          <w:sz w:val="18"/>
          <w:szCs w:val="18"/>
        </w:rPr>
        <w:t xml:space="preserve">, </w:t>
      </w:r>
      <w:r w:rsidRPr="00C77E8C">
        <w:rPr>
          <w:sz w:val="18"/>
          <w:szCs w:val="18"/>
        </w:rPr>
        <w:t xml:space="preserve">it was stated that the correct standard is that if the evidence proves the accused’s guilt beyond a reasonable </w:t>
      </w:r>
      <w:r w:rsidR="00BE649A" w:rsidRPr="00BE649A">
        <w:rPr>
          <w:sz w:val="18"/>
          <w:szCs w:val="18"/>
        </w:rPr>
        <w:t>doubt,</w:t>
      </w:r>
      <w:r w:rsidRPr="00C77E8C">
        <w:rPr>
          <w:sz w:val="18"/>
          <w:szCs w:val="18"/>
        </w:rPr>
        <w:t xml:space="preserve"> he must be found guilty; conversely, if there is reasonable possibility of his innocence he must be acquitted. The line of reasoning which is appropriate for the court to reach its conclusion must take into account all the evidence depending on the specific facts of the case. ‘</w:t>
      </w:r>
      <w:r w:rsidRPr="00C77E8C">
        <w:rPr>
          <w:i/>
          <w:sz w:val="18"/>
          <w:szCs w:val="18"/>
        </w:rPr>
        <w:t>Some of the evidence might found to be false and some might found to be unreliable and some of it might be found to be only reasonable possible false or unreliable, but none of it may simply be ignored’.</w:t>
      </w:r>
    </w:p>
  </w:footnote>
  <w:footnote w:id="10">
    <w:p w14:paraId="203C8643" w14:textId="76768147" w:rsidR="003F21F8" w:rsidRPr="00C77E8C" w:rsidRDefault="003F21F8" w:rsidP="00C77E8C">
      <w:pPr>
        <w:pStyle w:val="FootnoteText"/>
        <w:jc w:val="both"/>
        <w:rPr>
          <w:sz w:val="18"/>
          <w:szCs w:val="18"/>
        </w:rPr>
      </w:pPr>
      <w:r w:rsidRPr="00C77E8C">
        <w:rPr>
          <w:rStyle w:val="FootnoteReference"/>
          <w:sz w:val="18"/>
          <w:szCs w:val="18"/>
        </w:rPr>
        <w:footnoteRef/>
      </w:r>
      <w:r w:rsidRPr="00C77E8C">
        <w:rPr>
          <w:sz w:val="18"/>
          <w:szCs w:val="18"/>
        </w:rPr>
        <w:t xml:space="preserve"> Hunt, South African Criminal Law and Procedure, Volume 11, third edition (1996) 20 </w:t>
      </w:r>
      <w:r w:rsidR="00BE649A" w:rsidRPr="00BE649A">
        <w:rPr>
          <w:sz w:val="18"/>
          <w:szCs w:val="18"/>
        </w:rPr>
        <w:t>(by</w:t>
      </w:r>
      <w:r w:rsidRPr="00C77E8C">
        <w:rPr>
          <w:sz w:val="18"/>
          <w:szCs w:val="18"/>
        </w:rPr>
        <w:t xml:space="preserve"> JRL Milton) page 636 </w:t>
      </w:r>
      <w:r w:rsidR="006B44B7" w:rsidRPr="00C77E8C">
        <w:rPr>
          <w:sz w:val="18"/>
          <w:szCs w:val="18"/>
        </w:rPr>
        <w:t>describes</w:t>
      </w:r>
      <w:r w:rsidRPr="00C77E8C">
        <w:rPr>
          <w:sz w:val="18"/>
          <w:szCs w:val="18"/>
        </w:rPr>
        <w:t xml:space="preserve"> the approach as follows:</w:t>
      </w:r>
      <w:r w:rsidR="006B44B7" w:rsidRPr="00C77E8C">
        <w:rPr>
          <w:sz w:val="18"/>
          <w:szCs w:val="18"/>
        </w:rPr>
        <w:t>’</w:t>
      </w:r>
      <w:r w:rsidRPr="00C77E8C">
        <w:rPr>
          <w:sz w:val="18"/>
          <w:szCs w:val="18"/>
        </w:rPr>
        <w:t>…</w:t>
      </w:r>
      <w:r w:rsidR="00BE649A" w:rsidRPr="00BE649A">
        <w:rPr>
          <w:sz w:val="18"/>
          <w:szCs w:val="18"/>
        </w:rPr>
        <w:t>…. the</w:t>
      </w:r>
      <w:r w:rsidRPr="00C77E8C">
        <w:rPr>
          <w:sz w:val="18"/>
          <w:szCs w:val="18"/>
        </w:rPr>
        <w:t xml:space="preserve"> doctrine of recent possession, is to the effect that if three requirements are satisfied, the court may infer that X stole the goods which were f</w:t>
      </w:r>
      <w:r w:rsidR="006B44B7" w:rsidRPr="00C77E8C">
        <w:rPr>
          <w:sz w:val="18"/>
          <w:szCs w:val="18"/>
        </w:rPr>
        <w:t>o</w:t>
      </w:r>
      <w:r w:rsidRPr="00C77E8C">
        <w:rPr>
          <w:sz w:val="18"/>
          <w:szCs w:val="18"/>
        </w:rPr>
        <w:t xml:space="preserve">und in his possession. </w:t>
      </w:r>
      <w:r w:rsidR="006B44B7" w:rsidRPr="00C77E8C">
        <w:rPr>
          <w:sz w:val="18"/>
          <w:szCs w:val="18"/>
        </w:rPr>
        <w:t xml:space="preserve">As such the doctrine is simply a common -sense observation on the proof of facts by inference. The three questions which are not easily answered are whether (i) the goods were stolen; and (ii) how recently the property was stolen; and(iii) whether the accused’s explanation for his possession is reasonably possible </w:t>
      </w:r>
      <w:r w:rsidR="00BE649A" w:rsidRPr="00BE649A">
        <w:rPr>
          <w:sz w:val="18"/>
          <w:szCs w:val="18"/>
        </w:rPr>
        <w:t>true’.</w:t>
      </w:r>
    </w:p>
  </w:footnote>
  <w:footnote w:id="11">
    <w:p w14:paraId="4CF78896" w14:textId="77777777" w:rsidR="0023584C" w:rsidRPr="00C77E8C" w:rsidRDefault="0023584C" w:rsidP="006E3570">
      <w:pPr>
        <w:spacing w:line="240" w:lineRule="auto"/>
        <w:rPr>
          <w:rFonts w:eastAsia="Times New Roman"/>
          <w:sz w:val="18"/>
          <w:szCs w:val="18"/>
          <w:lang w:eastAsia="en-ZA"/>
        </w:rPr>
      </w:pPr>
      <w:r w:rsidRPr="00C77E8C">
        <w:rPr>
          <w:rStyle w:val="FootnoteReference"/>
          <w:sz w:val="18"/>
          <w:szCs w:val="18"/>
        </w:rPr>
        <w:footnoteRef/>
      </w:r>
      <w:r w:rsidRPr="00C77E8C">
        <w:rPr>
          <w:sz w:val="18"/>
          <w:szCs w:val="18"/>
        </w:rPr>
        <w:t xml:space="preserve"> </w:t>
      </w:r>
      <w:r w:rsidRPr="00C77E8C">
        <w:rPr>
          <w:rFonts w:eastAsia="Times New Roman"/>
          <w:sz w:val="18"/>
          <w:szCs w:val="18"/>
          <w:lang w:eastAsia="en-ZA"/>
        </w:rPr>
        <w:t>2003 (1) SA 11 (SCA);2003 (1) SA p11</w:t>
      </w:r>
    </w:p>
    <w:p w14:paraId="4F3FD0F0" w14:textId="77777777" w:rsidR="0023584C" w:rsidRPr="00A039E8" w:rsidRDefault="0023584C" w:rsidP="006E3570">
      <w:pPr>
        <w:pStyle w:val="FootnoteText"/>
      </w:pPr>
    </w:p>
  </w:footnote>
  <w:footnote w:id="12">
    <w:p w14:paraId="5E3F56FC" w14:textId="3B4A6D84" w:rsidR="0023584C" w:rsidRPr="00C77E8C" w:rsidRDefault="0023584C" w:rsidP="006E3570">
      <w:pPr>
        <w:autoSpaceDE w:val="0"/>
        <w:autoSpaceDN w:val="0"/>
        <w:adjustRightInd w:val="0"/>
        <w:spacing w:line="240" w:lineRule="auto"/>
        <w:rPr>
          <w:i/>
          <w:sz w:val="18"/>
          <w:szCs w:val="18"/>
        </w:rPr>
      </w:pPr>
      <w:r w:rsidRPr="00C77E8C">
        <w:rPr>
          <w:rStyle w:val="FootnoteReference"/>
          <w:sz w:val="18"/>
          <w:szCs w:val="18"/>
        </w:rPr>
        <w:footnoteRef/>
      </w:r>
      <w:r w:rsidRPr="00C77E8C">
        <w:rPr>
          <w:sz w:val="18"/>
          <w:szCs w:val="18"/>
        </w:rPr>
        <w:t xml:space="preserve"> R V Dhlumayo </w:t>
      </w:r>
      <w:r w:rsidRPr="00C77E8C">
        <w:rPr>
          <w:i/>
          <w:sz w:val="18"/>
          <w:szCs w:val="18"/>
        </w:rPr>
        <w:t>(supra) the court further held,’</w:t>
      </w:r>
      <w:r w:rsidRPr="00C77E8C">
        <w:rPr>
          <w:sz w:val="18"/>
          <w:szCs w:val="18"/>
        </w:rPr>
        <w:t xml:space="preserve"> (3) The trial Judge has advantages - which the appellate court cannot have - in seeing and hearing the witnesses and in being steeped in the atmosphere of the trial. Not only has he had the opportunity of observing their demeanour, but also their appearance and whole personality. This should never be overlooked. (4) </w:t>
      </w:r>
      <w:r w:rsidR="00BE649A" w:rsidRPr="00BE649A">
        <w:rPr>
          <w:sz w:val="18"/>
          <w:szCs w:val="18"/>
        </w:rPr>
        <w:t>Consequently,</w:t>
      </w:r>
      <w:r w:rsidRPr="00C77E8C">
        <w:rPr>
          <w:sz w:val="18"/>
          <w:szCs w:val="18"/>
        </w:rPr>
        <w:t xml:space="preserve"> the appellate court is very reluctant to upset the findings of the trial Judge.</w:t>
      </w:r>
      <w:r w:rsidRPr="00C77E8C">
        <w:rPr>
          <w:i/>
          <w:sz w:val="18"/>
          <w:szCs w:val="18"/>
        </w:rPr>
        <w:t xml:space="preserve"> </w:t>
      </w:r>
    </w:p>
  </w:footnote>
  <w:footnote w:id="13">
    <w:p w14:paraId="3EF8EC8B" w14:textId="77777777" w:rsidR="0023584C" w:rsidRPr="00C77E8C" w:rsidRDefault="0023584C" w:rsidP="006E3570">
      <w:pPr>
        <w:pStyle w:val="FootnoteText"/>
        <w:rPr>
          <w:sz w:val="18"/>
          <w:szCs w:val="18"/>
        </w:rPr>
      </w:pPr>
      <w:r w:rsidRPr="00C77E8C">
        <w:rPr>
          <w:rStyle w:val="FootnoteReference"/>
          <w:sz w:val="18"/>
          <w:szCs w:val="18"/>
        </w:rPr>
        <w:footnoteRef/>
      </w:r>
      <w:r w:rsidRPr="00C77E8C">
        <w:rPr>
          <w:sz w:val="18"/>
          <w:szCs w:val="18"/>
        </w:rPr>
        <w:t xml:space="preserve"> See S v Van Meyden (supra)</w:t>
      </w:r>
    </w:p>
  </w:footnote>
  <w:footnote w:id="14">
    <w:p w14:paraId="6E977905" w14:textId="77777777" w:rsidR="0023584C" w:rsidRPr="00C77E8C" w:rsidRDefault="0023584C">
      <w:pPr>
        <w:pStyle w:val="FootnoteText"/>
        <w:rPr>
          <w:sz w:val="18"/>
          <w:szCs w:val="18"/>
        </w:rPr>
      </w:pPr>
      <w:r w:rsidRPr="00C77E8C">
        <w:rPr>
          <w:rStyle w:val="FootnoteReference"/>
          <w:sz w:val="18"/>
          <w:szCs w:val="18"/>
        </w:rPr>
        <w:footnoteRef/>
      </w:r>
      <w:r w:rsidRPr="00C77E8C">
        <w:rPr>
          <w:sz w:val="18"/>
          <w:szCs w:val="18"/>
        </w:rPr>
        <w:t xml:space="preserve"> 2001 (1) SACR 469 SCA</w:t>
      </w:r>
    </w:p>
  </w:footnote>
  <w:footnote w:id="15">
    <w:p w14:paraId="440A9D91" w14:textId="77777777" w:rsidR="0023584C" w:rsidRPr="00C77E8C" w:rsidRDefault="0023584C" w:rsidP="00DB6C28">
      <w:pPr>
        <w:pStyle w:val="FootnoteText"/>
        <w:rPr>
          <w:sz w:val="18"/>
          <w:szCs w:val="18"/>
        </w:rPr>
      </w:pPr>
      <w:r w:rsidRPr="00C77E8C">
        <w:rPr>
          <w:rStyle w:val="FootnoteReference"/>
          <w:sz w:val="18"/>
          <w:szCs w:val="18"/>
        </w:rPr>
        <w:footnoteRef/>
      </w:r>
      <w:r w:rsidR="00AF68CE" w:rsidRPr="00C77E8C">
        <w:rPr>
          <w:sz w:val="18"/>
          <w:szCs w:val="18"/>
        </w:rPr>
        <w:t xml:space="preserve"> S v Zinn 1969(2) </w:t>
      </w:r>
      <w:r w:rsidRPr="00C77E8C">
        <w:rPr>
          <w:sz w:val="18"/>
          <w:szCs w:val="18"/>
        </w:rPr>
        <w:t>A</w:t>
      </w:r>
      <w:r w:rsidR="00AF68CE" w:rsidRPr="00C77E8C">
        <w:rPr>
          <w:sz w:val="18"/>
          <w:szCs w:val="18"/>
        </w:rPr>
        <w:t>D</w:t>
      </w:r>
    </w:p>
  </w:footnote>
  <w:footnote w:id="16">
    <w:p w14:paraId="664B9B1D" w14:textId="31582A02" w:rsidR="00B82A2C" w:rsidRDefault="00B82A2C">
      <w:pPr>
        <w:pStyle w:val="FootnoteText"/>
      </w:pPr>
      <w:r w:rsidRPr="00C77E8C">
        <w:rPr>
          <w:rStyle w:val="FootnoteReference"/>
          <w:sz w:val="18"/>
          <w:szCs w:val="18"/>
        </w:rPr>
        <w:footnoteRef/>
      </w:r>
      <w:r w:rsidRPr="00C77E8C">
        <w:rPr>
          <w:sz w:val="18"/>
          <w:szCs w:val="18"/>
        </w:rPr>
        <w:t xml:space="preserve"> Section 12(1)(c) Act 108 of </w:t>
      </w:r>
      <w:r w:rsidR="00BE649A" w:rsidRPr="00BE649A">
        <w:rPr>
          <w:sz w:val="18"/>
          <w:szCs w:val="18"/>
        </w:rPr>
        <w:t>1996</w:t>
      </w:r>
      <w:r w:rsidR="00BE649A">
        <w:rPr>
          <w:sz w:val="18"/>
          <w:szCs w:val="18"/>
        </w:rPr>
        <w:t xml:space="preserve"> </w:t>
      </w:r>
      <w:r w:rsidR="00BE649A" w:rsidRPr="00BE649A">
        <w:rPr>
          <w:sz w:val="18"/>
          <w:szCs w:val="18"/>
        </w:rPr>
        <w:t>(The</w:t>
      </w:r>
      <w:r w:rsidRPr="00C77E8C">
        <w:rPr>
          <w:sz w:val="18"/>
          <w:szCs w:val="18"/>
        </w:rPr>
        <w:t xml:space="preserve"> Constitution)</w:t>
      </w:r>
    </w:p>
  </w:footnote>
  <w:footnote w:id="17">
    <w:p w14:paraId="7D8AA6C3" w14:textId="77777777" w:rsidR="0062634D" w:rsidRPr="00C77E8C" w:rsidRDefault="0062634D">
      <w:pPr>
        <w:pStyle w:val="FootnoteText"/>
        <w:rPr>
          <w:sz w:val="18"/>
          <w:szCs w:val="18"/>
        </w:rPr>
      </w:pPr>
      <w:r w:rsidRPr="00C77E8C">
        <w:rPr>
          <w:rStyle w:val="FootnoteReference"/>
          <w:sz w:val="18"/>
          <w:szCs w:val="18"/>
        </w:rPr>
        <w:footnoteRef/>
      </w:r>
      <w:r w:rsidRPr="00C77E8C">
        <w:rPr>
          <w:sz w:val="18"/>
          <w:szCs w:val="18"/>
        </w:rPr>
        <w:t xml:space="preserve"> Section 36 </w:t>
      </w:r>
      <w:r w:rsidR="00B82A2C" w:rsidRPr="00C77E8C">
        <w:rPr>
          <w:sz w:val="18"/>
          <w:szCs w:val="18"/>
        </w:rPr>
        <w:t>of the Constitution</w:t>
      </w:r>
    </w:p>
  </w:footnote>
  <w:footnote w:id="18">
    <w:p w14:paraId="4B2C7103" w14:textId="1E506C64" w:rsidR="0023584C" w:rsidRPr="001F55D7" w:rsidRDefault="0023584C" w:rsidP="006E3570">
      <w:pPr>
        <w:pStyle w:val="FootnoteText"/>
      </w:pPr>
      <w:r w:rsidRPr="00C77E8C">
        <w:rPr>
          <w:rStyle w:val="FootnoteReference"/>
          <w:sz w:val="18"/>
          <w:szCs w:val="18"/>
        </w:rPr>
        <w:footnoteRef/>
      </w:r>
      <w:r w:rsidRPr="00C77E8C">
        <w:rPr>
          <w:sz w:val="18"/>
          <w:szCs w:val="18"/>
        </w:rPr>
        <w:t xml:space="preserve">  S v Qamata 1997(</w:t>
      </w:r>
      <w:r w:rsidR="00BE649A" w:rsidRPr="00BE649A">
        <w:rPr>
          <w:sz w:val="18"/>
          <w:szCs w:val="18"/>
        </w:rPr>
        <w:t>1) SACR</w:t>
      </w:r>
      <w:r w:rsidRPr="00C77E8C">
        <w:rPr>
          <w:sz w:val="18"/>
          <w:szCs w:val="18"/>
        </w:rPr>
        <w:t xml:space="preserve"> 497 E -483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504554"/>
      <w:docPartObj>
        <w:docPartGallery w:val="Page Numbers (Top of Page)"/>
        <w:docPartUnique/>
      </w:docPartObj>
    </w:sdtPr>
    <w:sdtEndPr>
      <w:rPr>
        <w:noProof/>
        <w:sz w:val="20"/>
        <w:szCs w:val="20"/>
      </w:rPr>
    </w:sdtEndPr>
    <w:sdtContent>
      <w:p w14:paraId="63B98A02" w14:textId="45C91944" w:rsidR="0023584C" w:rsidRPr="004F0FEF" w:rsidRDefault="0023584C">
        <w:pPr>
          <w:pStyle w:val="Header"/>
          <w:jc w:val="right"/>
          <w:rPr>
            <w:sz w:val="20"/>
            <w:szCs w:val="20"/>
          </w:rPr>
        </w:pPr>
        <w:r w:rsidRPr="004F0FEF">
          <w:rPr>
            <w:sz w:val="20"/>
            <w:szCs w:val="20"/>
          </w:rPr>
          <w:fldChar w:fldCharType="begin"/>
        </w:r>
        <w:r w:rsidRPr="004F0FEF">
          <w:rPr>
            <w:sz w:val="20"/>
            <w:szCs w:val="20"/>
          </w:rPr>
          <w:instrText xml:space="preserve"> PAGE   \* MERGEFORMAT </w:instrText>
        </w:r>
        <w:r w:rsidRPr="004F0FEF">
          <w:rPr>
            <w:sz w:val="20"/>
            <w:szCs w:val="20"/>
          </w:rPr>
          <w:fldChar w:fldCharType="separate"/>
        </w:r>
        <w:r w:rsidR="00917695">
          <w:rPr>
            <w:noProof/>
            <w:sz w:val="20"/>
            <w:szCs w:val="20"/>
          </w:rPr>
          <w:t>5</w:t>
        </w:r>
        <w:r w:rsidRPr="004F0FEF">
          <w:rPr>
            <w:noProof/>
            <w:sz w:val="20"/>
            <w:szCs w:val="20"/>
          </w:rPr>
          <w:fldChar w:fldCharType="end"/>
        </w:r>
      </w:p>
    </w:sdtContent>
  </w:sdt>
  <w:p w14:paraId="5FF04E8F" w14:textId="77777777" w:rsidR="0023584C" w:rsidRDefault="00235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91BBD"/>
    <w:multiLevelType w:val="hybridMultilevel"/>
    <w:tmpl w:val="21D2CA20"/>
    <w:lvl w:ilvl="0" w:tplc="5E64BCEC">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53192A"/>
    <w:multiLevelType w:val="hybridMultilevel"/>
    <w:tmpl w:val="1D42F0AA"/>
    <w:lvl w:ilvl="0" w:tplc="EEC6D572">
      <w:start w:val="1"/>
      <w:numFmt w:val="decimal"/>
      <w:lvlText w:val="[%1]"/>
      <w:lvlJc w:val="left"/>
      <w:pPr>
        <w:ind w:left="1125"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nsid w:val="5C626E9A"/>
    <w:multiLevelType w:val="hybridMultilevel"/>
    <w:tmpl w:val="E7D6A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E691D53"/>
    <w:multiLevelType w:val="hybridMultilevel"/>
    <w:tmpl w:val="7D60297A"/>
    <w:lvl w:ilvl="0" w:tplc="3A3EA4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610F516F"/>
    <w:multiLevelType w:val="hybridMultilevel"/>
    <w:tmpl w:val="0D12BBD4"/>
    <w:lvl w:ilvl="0" w:tplc="2E4EBBE0">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S0tLA0szAyNLYwMjFT0lEKTi0uzszPAykwrAUA4mcj2SwAAAA="/>
  </w:docVars>
  <w:rsids>
    <w:rsidRoot w:val="00C91BD0"/>
    <w:rsid w:val="00015CB3"/>
    <w:rsid w:val="000342A6"/>
    <w:rsid w:val="00064B11"/>
    <w:rsid w:val="0008476E"/>
    <w:rsid w:val="00087986"/>
    <w:rsid w:val="00090F43"/>
    <w:rsid w:val="000947D6"/>
    <w:rsid w:val="00096FD4"/>
    <w:rsid w:val="000D3219"/>
    <w:rsid w:val="000F172F"/>
    <w:rsid w:val="00107CF1"/>
    <w:rsid w:val="001305D3"/>
    <w:rsid w:val="001318BD"/>
    <w:rsid w:val="00133D95"/>
    <w:rsid w:val="00137FFD"/>
    <w:rsid w:val="001947E2"/>
    <w:rsid w:val="00196E38"/>
    <w:rsid w:val="001A4DF7"/>
    <w:rsid w:val="001C2606"/>
    <w:rsid w:val="00201EC4"/>
    <w:rsid w:val="0020606B"/>
    <w:rsid w:val="002278D8"/>
    <w:rsid w:val="0022794C"/>
    <w:rsid w:val="0023584C"/>
    <w:rsid w:val="002434E4"/>
    <w:rsid w:val="002639E9"/>
    <w:rsid w:val="00263F0E"/>
    <w:rsid w:val="00310D90"/>
    <w:rsid w:val="00325834"/>
    <w:rsid w:val="00333397"/>
    <w:rsid w:val="003348FF"/>
    <w:rsid w:val="00343555"/>
    <w:rsid w:val="003443AD"/>
    <w:rsid w:val="00371E51"/>
    <w:rsid w:val="003B0227"/>
    <w:rsid w:val="003C0A46"/>
    <w:rsid w:val="003D0718"/>
    <w:rsid w:val="003F21F8"/>
    <w:rsid w:val="00413353"/>
    <w:rsid w:val="004275DB"/>
    <w:rsid w:val="0043514C"/>
    <w:rsid w:val="00444170"/>
    <w:rsid w:val="00476FA3"/>
    <w:rsid w:val="004A3816"/>
    <w:rsid w:val="004B5B59"/>
    <w:rsid w:val="004F0FEF"/>
    <w:rsid w:val="004F1518"/>
    <w:rsid w:val="005235B6"/>
    <w:rsid w:val="00532975"/>
    <w:rsid w:val="00570CF0"/>
    <w:rsid w:val="005911CD"/>
    <w:rsid w:val="005B4CF3"/>
    <w:rsid w:val="005E1780"/>
    <w:rsid w:val="005E238C"/>
    <w:rsid w:val="005E6003"/>
    <w:rsid w:val="00606807"/>
    <w:rsid w:val="006145F2"/>
    <w:rsid w:val="0062634D"/>
    <w:rsid w:val="00634D1E"/>
    <w:rsid w:val="0065424E"/>
    <w:rsid w:val="00656E28"/>
    <w:rsid w:val="006773E9"/>
    <w:rsid w:val="006932CF"/>
    <w:rsid w:val="00694FFB"/>
    <w:rsid w:val="006B2B0B"/>
    <w:rsid w:val="006B43D1"/>
    <w:rsid w:val="006B44B7"/>
    <w:rsid w:val="006B6AC4"/>
    <w:rsid w:val="006D22C9"/>
    <w:rsid w:val="006E3570"/>
    <w:rsid w:val="00700AE0"/>
    <w:rsid w:val="00753B29"/>
    <w:rsid w:val="007657AF"/>
    <w:rsid w:val="007706A8"/>
    <w:rsid w:val="00782560"/>
    <w:rsid w:val="007C724B"/>
    <w:rsid w:val="00811AFC"/>
    <w:rsid w:val="00854A32"/>
    <w:rsid w:val="008A143D"/>
    <w:rsid w:val="008B0118"/>
    <w:rsid w:val="008C2739"/>
    <w:rsid w:val="009166C2"/>
    <w:rsid w:val="00917695"/>
    <w:rsid w:val="00925877"/>
    <w:rsid w:val="00963C65"/>
    <w:rsid w:val="009707BA"/>
    <w:rsid w:val="009A07DE"/>
    <w:rsid w:val="009A0E4F"/>
    <w:rsid w:val="009A47A3"/>
    <w:rsid w:val="009D7D9B"/>
    <w:rsid w:val="00A00D0C"/>
    <w:rsid w:val="00A13CAA"/>
    <w:rsid w:val="00A33587"/>
    <w:rsid w:val="00A77C18"/>
    <w:rsid w:val="00A8401C"/>
    <w:rsid w:val="00AB4CEE"/>
    <w:rsid w:val="00AC63B5"/>
    <w:rsid w:val="00AD0475"/>
    <w:rsid w:val="00AE7D47"/>
    <w:rsid w:val="00AF3FDC"/>
    <w:rsid w:val="00AF68CE"/>
    <w:rsid w:val="00B072B9"/>
    <w:rsid w:val="00B16D07"/>
    <w:rsid w:val="00B42EBB"/>
    <w:rsid w:val="00B50080"/>
    <w:rsid w:val="00B5543C"/>
    <w:rsid w:val="00B5772C"/>
    <w:rsid w:val="00B82A2C"/>
    <w:rsid w:val="00B917E0"/>
    <w:rsid w:val="00B93A41"/>
    <w:rsid w:val="00BD387B"/>
    <w:rsid w:val="00BD661B"/>
    <w:rsid w:val="00BE649A"/>
    <w:rsid w:val="00BE65E8"/>
    <w:rsid w:val="00C15DB6"/>
    <w:rsid w:val="00C16D91"/>
    <w:rsid w:val="00C2796C"/>
    <w:rsid w:val="00C425C4"/>
    <w:rsid w:val="00C477FC"/>
    <w:rsid w:val="00C53861"/>
    <w:rsid w:val="00C570E2"/>
    <w:rsid w:val="00C7708B"/>
    <w:rsid w:val="00C77E8C"/>
    <w:rsid w:val="00C91BD0"/>
    <w:rsid w:val="00CB442B"/>
    <w:rsid w:val="00CF2122"/>
    <w:rsid w:val="00D07A29"/>
    <w:rsid w:val="00D07AFC"/>
    <w:rsid w:val="00D2797C"/>
    <w:rsid w:val="00D27D8C"/>
    <w:rsid w:val="00D42D36"/>
    <w:rsid w:val="00D43AA8"/>
    <w:rsid w:val="00D52AE1"/>
    <w:rsid w:val="00D562E6"/>
    <w:rsid w:val="00D778B5"/>
    <w:rsid w:val="00D958F7"/>
    <w:rsid w:val="00DA5DB8"/>
    <w:rsid w:val="00DB2DA1"/>
    <w:rsid w:val="00DB6C28"/>
    <w:rsid w:val="00DE2587"/>
    <w:rsid w:val="00DF5E32"/>
    <w:rsid w:val="00E153B9"/>
    <w:rsid w:val="00E172F3"/>
    <w:rsid w:val="00E33CBD"/>
    <w:rsid w:val="00E57A5F"/>
    <w:rsid w:val="00EA0E6B"/>
    <w:rsid w:val="00EA5FD7"/>
    <w:rsid w:val="00EA6475"/>
    <w:rsid w:val="00F0458E"/>
    <w:rsid w:val="00F061A3"/>
    <w:rsid w:val="00F217AD"/>
    <w:rsid w:val="00F61E9B"/>
    <w:rsid w:val="00F701E0"/>
    <w:rsid w:val="00F93711"/>
    <w:rsid w:val="00FA15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C519"/>
  <w15:docId w15:val="{1054A2FE-FF1D-1546-922A-1CA55EF7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D0"/>
    <w:pPr>
      <w:spacing w:after="0" w:line="360" w:lineRule="auto"/>
    </w:pPr>
    <w:rPr>
      <w:rFonts w:ascii="Arial" w:hAnsi="Arial" w:cs="Arial"/>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D0"/>
    <w:pPr>
      <w:ind w:left="720"/>
      <w:contextualSpacing/>
    </w:pPr>
  </w:style>
  <w:style w:type="paragraph" w:styleId="FootnoteText">
    <w:name w:val="footnote text"/>
    <w:basedOn w:val="Normal"/>
    <w:link w:val="FootnoteTextChar"/>
    <w:uiPriority w:val="99"/>
    <w:semiHidden/>
    <w:unhideWhenUsed/>
    <w:rsid w:val="00C91BD0"/>
    <w:rPr>
      <w:sz w:val="20"/>
      <w:szCs w:val="20"/>
    </w:rPr>
  </w:style>
  <w:style w:type="character" w:customStyle="1" w:styleId="FootnoteTextChar">
    <w:name w:val="Footnote Text Char"/>
    <w:basedOn w:val="DefaultParagraphFont"/>
    <w:link w:val="FootnoteText"/>
    <w:uiPriority w:val="99"/>
    <w:semiHidden/>
    <w:rsid w:val="00C91BD0"/>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91BD0"/>
    <w:rPr>
      <w:vertAlign w:val="superscript"/>
    </w:rPr>
  </w:style>
  <w:style w:type="paragraph" w:styleId="Header">
    <w:name w:val="header"/>
    <w:basedOn w:val="Normal"/>
    <w:link w:val="HeaderChar"/>
    <w:uiPriority w:val="99"/>
    <w:unhideWhenUsed/>
    <w:rsid w:val="004F0FEF"/>
    <w:pPr>
      <w:tabs>
        <w:tab w:val="center" w:pos="4513"/>
        <w:tab w:val="right" w:pos="9026"/>
      </w:tabs>
      <w:spacing w:line="240" w:lineRule="auto"/>
    </w:pPr>
  </w:style>
  <w:style w:type="character" w:customStyle="1" w:styleId="HeaderChar">
    <w:name w:val="Header Char"/>
    <w:basedOn w:val="DefaultParagraphFont"/>
    <w:link w:val="Header"/>
    <w:uiPriority w:val="99"/>
    <w:rsid w:val="004F0FEF"/>
    <w:rPr>
      <w:rFonts w:ascii="Arial" w:hAnsi="Arial" w:cs="Arial"/>
      <w:color w:val="000000" w:themeColor="text1"/>
      <w:sz w:val="24"/>
      <w:szCs w:val="24"/>
    </w:rPr>
  </w:style>
  <w:style w:type="paragraph" w:styleId="Footer">
    <w:name w:val="footer"/>
    <w:basedOn w:val="Normal"/>
    <w:link w:val="FooterChar"/>
    <w:uiPriority w:val="99"/>
    <w:unhideWhenUsed/>
    <w:rsid w:val="004F0FEF"/>
    <w:pPr>
      <w:tabs>
        <w:tab w:val="center" w:pos="4513"/>
        <w:tab w:val="right" w:pos="9026"/>
      </w:tabs>
      <w:spacing w:line="240" w:lineRule="auto"/>
    </w:pPr>
  </w:style>
  <w:style w:type="character" w:customStyle="1" w:styleId="FooterChar">
    <w:name w:val="Footer Char"/>
    <w:basedOn w:val="DefaultParagraphFont"/>
    <w:link w:val="Footer"/>
    <w:uiPriority w:val="99"/>
    <w:rsid w:val="004F0FEF"/>
    <w:rPr>
      <w:rFonts w:ascii="Arial" w:hAnsi="Arial" w:cs="Arial"/>
      <w:color w:val="000000" w:themeColor="text1"/>
      <w:sz w:val="24"/>
      <w:szCs w:val="24"/>
    </w:rPr>
  </w:style>
  <w:style w:type="paragraph" w:styleId="BalloonText">
    <w:name w:val="Balloon Text"/>
    <w:basedOn w:val="Normal"/>
    <w:link w:val="BalloonTextChar"/>
    <w:uiPriority w:val="99"/>
    <w:semiHidden/>
    <w:unhideWhenUsed/>
    <w:rsid w:val="00C27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6C"/>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E153B9"/>
    <w:rPr>
      <w:sz w:val="16"/>
      <w:szCs w:val="16"/>
    </w:rPr>
  </w:style>
  <w:style w:type="paragraph" w:styleId="CommentText">
    <w:name w:val="annotation text"/>
    <w:basedOn w:val="Normal"/>
    <w:link w:val="CommentTextChar"/>
    <w:uiPriority w:val="99"/>
    <w:semiHidden/>
    <w:unhideWhenUsed/>
    <w:rsid w:val="00E153B9"/>
    <w:pPr>
      <w:spacing w:line="240" w:lineRule="auto"/>
    </w:pPr>
    <w:rPr>
      <w:sz w:val="20"/>
      <w:szCs w:val="20"/>
    </w:rPr>
  </w:style>
  <w:style w:type="character" w:customStyle="1" w:styleId="CommentTextChar">
    <w:name w:val="Comment Text Char"/>
    <w:basedOn w:val="DefaultParagraphFont"/>
    <w:link w:val="CommentText"/>
    <w:uiPriority w:val="99"/>
    <w:semiHidden/>
    <w:rsid w:val="00E153B9"/>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153B9"/>
    <w:rPr>
      <w:b/>
      <w:bCs/>
    </w:rPr>
  </w:style>
  <w:style w:type="character" w:customStyle="1" w:styleId="CommentSubjectChar">
    <w:name w:val="Comment Subject Char"/>
    <w:basedOn w:val="CommentTextChar"/>
    <w:link w:val="CommentSubject"/>
    <w:uiPriority w:val="99"/>
    <w:semiHidden/>
    <w:rsid w:val="00E153B9"/>
    <w:rPr>
      <w:rFonts w:ascii="Arial" w:hAnsi="Arial" w:cs="Arial"/>
      <w:b/>
      <w:bCs/>
      <w:color w:val="000000" w:themeColor="text1"/>
      <w:sz w:val="20"/>
      <w:szCs w:val="20"/>
    </w:rPr>
  </w:style>
  <w:style w:type="paragraph" w:styleId="Revision">
    <w:name w:val="Revision"/>
    <w:hidden/>
    <w:uiPriority w:val="99"/>
    <w:semiHidden/>
    <w:rsid w:val="00BE649A"/>
    <w:pPr>
      <w:spacing w:after="0" w:line="240" w:lineRule="auto"/>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610a30062021e402a681e420640fd29d">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c52af6bc91b9798a04ff625b377966b7"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1EF4-8D04-4C0A-875D-77EB97250180}">
  <ds:schemaRefs>
    <ds:schemaRef ds:uri="http://schemas.microsoft.com/sharepoint/v3/contenttype/forms"/>
  </ds:schemaRefs>
</ds:datastoreItem>
</file>

<file path=customXml/itemProps2.xml><?xml version="1.0" encoding="utf-8"?>
<ds:datastoreItem xmlns:ds="http://schemas.openxmlformats.org/officeDocument/2006/customXml" ds:itemID="{22DAE4C2-49A1-41EB-BD83-739EA3DF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B16A6-4F5D-4D98-AF50-4207178710A0}">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2D82CB17-6C2E-47EC-BB94-6B92B90A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NCengani@justice.gov.za</dc:creator>
  <cp:lastModifiedBy>Mokone</cp:lastModifiedBy>
  <cp:revision>2</cp:revision>
  <cp:lastPrinted>2023-06-22T13:40:00Z</cp:lastPrinted>
  <dcterms:created xsi:type="dcterms:W3CDTF">2023-08-02T12:04:00Z</dcterms:created>
  <dcterms:modified xsi:type="dcterms:W3CDTF">2023-08-02T12:04:00Z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