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08737" w14:textId="77777777" w:rsidR="00D03241" w:rsidRPr="002A5009" w:rsidRDefault="00D03241" w:rsidP="00D03241">
      <w:pPr>
        <w:widowControl w:val="0"/>
        <w:spacing w:after="0" w:line="360" w:lineRule="auto"/>
        <w:jc w:val="center"/>
        <w:rPr>
          <w:rFonts w:ascii="Arial" w:eastAsia="Times New Roman" w:hAnsi="Arial" w:cs="Arial"/>
          <w:kern w:val="0"/>
          <w:sz w:val="24"/>
          <w:szCs w:val="24"/>
          <w14:ligatures w14:val="none"/>
        </w:rPr>
      </w:pPr>
      <w:r w:rsidRPr="002A5009">
        <w:rPr>
          <w:rFonts w:ascii="Arial" w:eastAsia="Times New Roman" w:hAnsi="Arial" w:cs="Arial"/>
          <w:noProof/>
          <w:kern w:val="0"/>
          <w:sz w:val="24"/>
          <w:szCs w:val="24"/>
          <w:lang w:val="en-US"/>
          <w14:ligatures w14:val="none"/>
        </w:rPr>
        <w:drawing>
          <wp:inline distT="0" distB="0" distL="0" distR="0" wp14:anchorId="2C1EDC5F" wp14:editId="36F8EBC3">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33005300" w14:textId="77777777" w:rsidR="00D03241" w:rsidRPr="002A5009" w:rsidRDefault="00D03241" w:rsidP="00D03241">
      <w:pPr>
        <w:widowControl w:val="0"/>
        <w:spacing w:after="0" w:line="360" w:lineRule="auto"/>
        <w:jc w:val="center"/>
        <w:rPr>
          <w:rFonts w:ascii="Arial" w:eastAsia="Times New Roman" w:hAnsi="Arial" w:cs="Arial"/>
          <w:b/>
          <w:kern w:val="0"/>
          <w:sz w:val="24"/>
          <w:szCs w:val="24"/>
          <w14:ligatures w14:val="none"/>
        </w:rPr>
      </w:pPr>
      <w:r w:rsidRPr="002A5009">
        <w:rPr>
          <w:rFonts w:ascii="Arial" w:eastAsia="Times New Roman" w:hAnsi="Arial" w:cs="Arial"/>
          <w:b/>
          <w:kern w:val="0"/>
          <w:sz w:val="24"/>
          <w:szCs w:val="24"/>
          <w14:ligatures w14:val="none"/>
        </w:rPr>
        <w:t>IN THE HIGH COURT OF SOUTH AFRICA</w:t>
      </w:r>
    </w:p>
    <w:p w14:paraId="2E7CF0F5" w14:textId="77777777" w:rsidR="00D03241" w:rsidRPr="002A5009" w:rsidRDefault="00D03241" w:rsidP="00D03241">
      <w:pPr>
        <w:widowControl w:val="0"/>
        <w:tabs>
          <w:tab w:val="right" w:pos="9213"/>
        </w:tabs>
        <w:spacing w:line="720" w:lineRule="auto"/>
        <w:jc w:val="center"/>
        <w:rPr>
          <w:rFonts w:ascii="Arial" w:hAnsi="Arial" w:cs="Arial"/>
          <w:kern w:val="0"/>
          <w:sz w:val="24"/>
          <w:szCs w:val="24"/>
          <w14:ligatures w14:val="none"/>
        </w:rPr>
      </w:pPr>
      <w:r>
        <w:rPr>
          <w:rFonts w:ascii="Arial" w:hAnsi="Arial" w:cs="Arial"/>
          <w:b/>
          <w:kern w:val="0"/>
          <w:sz w:val="24"/>
          <w:szCs w:val="24"/>
          <w14:ligatures w14:val="none"/>
        </w:rPr>
        <w:t>(</w:t>
      </w:r>
      <w:r w:rsidRPr="002A5009">
        <w:rPr>
          <w:rFonts w:ascii="Arial" w:hAnsi="Arial" w:cs="Arial"/>
          <w:b/>
          <w:kern w:val="0"/>
          <w:sz w:val="24"/>
          <w:szCs w:val="24"/>
          <w14:ligatures w14:val="none"/>
        </w:rPr>
        <w:t>EAST</w:t>
      </w:r>
      <w:r>
        <w:rPr>
          <w:rFonts w:ascii="Arial" w:hAnsi="Arial" w:cs="Arial"/>
          <w:b/>
          <w:kern w:val="0"/>
          <w:sz w:val="24"/>
          <w:szCs w:val="24"/>
          <w14:ligatures w14:val="none"/>
        </w:rPr>
        <w:t>ERN CAPE DIVISION, MAKHANDA)</w:t>
      </w:r>
    </w:p>
    <w:p w14:paraId="0A34A533" w14:textId="4085B98B" w:rsidR="00D03241" w:rsidRDefault="00D03241" w:rsidP="00D03241">
      <w:pPr>
        <w:widowControl w:val="0"/>
        <w:tabs>
          <w:tab w:val="right" w:pos="9213"/>
        </w:tabs>
        <w:spacing w:line="240" w:lineRule="auto"/>
        <w:rPr>
          <w:rFonts w:ascii="Arial" w:hAnsi="Arial" w:cs="Arial"/>
          <w:kern w:val="0"/>
          <w:sz w:val="24"/>
          <w:szCs w:val="24"/>
          <w14:ligatures w14:val="none"/>
        </w:rPr>
      </w:pPr>
      <w:r w:rsidRPr="002A5009">
        <w:rPr>
          <w:rFonts w:ascii="Arial" w:hAnsi="Arial" w:cs="Arial"/>
          <w:kern w:val="0"/>
          <w:sz w:val="24"/>
          <w:szCs w:val="24"/>
          <w14:ligatures w14:val="none"/>
        </w:rPr>
        <w:tab/>
        <w:t xml:space="preserve">CASE NO. </w:t>
      </w:r>
      <w:r>
        <w:rPr>
          <w:rFonts w:ascii="Arial" w:hAnsi="Arial" w:cs="Arial"/>
          <w:kern w:val="0"/>
          <w:sz w:val="24"/>
          <w:szCs w:val="24"/>
          <w14:ligatures w14:val="none"/>
        </w:rPr>
        <w:t>2504/2020</w:t>
      </w:r>
    </w:p>
    <w:p w14:paraId="20B23FDD" w14:textId="77777777" w:rsidR="00D03241" w:rsidRPr="002A5009" w:rsidRDefault="00D03241" w:rsidP="00D03241">
      <w:pPr>
        <w:widowControl w:val="0"/>
        <w:tabs>
          <w:tab w:val="right" w:pos="9213"/>
        </w:tabs>
        <w:spacing w:line="240" w:lineRule="auto"/>
        <w:rPr>
          <w:rFonts w:ascii="Arial" w:hAnsi="Arial" w:cs="Arial"/>
          <w:kern w:val="0"/>
          <w:sz w:val="24"/>
          <w:szCs w:val="24"/>
          <w14:ligatures w14:val="none"/>
        </w:rPr>
      </w:pPr>
    </w:p>
    <w:p w14:paraId="7148CCCF" w14:textId="77777777" w:rsidR="00D03241" w:rsidRPr="002A5009" w:rsidRDefault="00D03241" w:rsidP="00D03241">
      <w:pPr>
        <w:widowControl w:val="0"/>
        <w:tabs>
          <w:tab w:val="right" w:pos="9213"/>
        </w:tabs>
        <w:spacing w:line="360" w:lineRule="auto"/>
        <w:rPr>
          <w:rFonts w:ascii="Arial" w:hAnsi="Arial" w:cs="Arial"/>
          <w:kern w:val="0"/>
          <w:sz w:val="24"/>
          <w:szCs w:val="24"/>
          <w14:ligatures w14:val="none"/>
        </w:rPr>
      </w:pPr>
      <w:r w:rsidRPr="002A5009">
        <w:rPr>
          <w:rFonts w:ascii="Arial" w:hAnsi="Arial" w:cs="Arial"/>
          <w:kern w:val="0"/>
          <w:sz w:val="24"/>
          <w:szCs w:val="24"/>
          <w14:ligatures w14:val="none"/>
        </w:rPr>
        <w:t>In the matter between:</w:t>
      </w:r>
    </w:p>
    <w:p w14:paraId="10E62500" w14:textId="525158D8" w:rsidR="00D03241" w:rsidRPr="002A5009" w:rsidRDefault="00D03241" w:rsidP="00D03241">
      <w:pPr>
        <w:widowControl w:val="0"/>
        <w:tabs>
          <w:tab w:val="right" w:pos="9213"/>
        </w:tabs>
        <w:spacing w:line="240" w:lineRule="auto"/>
        <w:rPr>
          <w:rFonts w:ascii="Arial" w:hAnsi="Arial" w:cs="Arial"/>
          <w:b/>
          <w:kern w:val="0"/>
          <w:sz w:val="24"/>
          <w:szCs w:val="24"/>
          <w14:ligatures w14:val="none"/>
        </w:rPr>
      </w:pPr>
      <w:r>
        <w:rPr>
          <w:rFonts w:ascii="Arial" w:hAnsi="Arial" w:cs="Arial"/>
          <w:b/>
          <w:kern w:val="0"/>
          <w:sz w:val="24"/>
          <w:szCs w:val="24"/>
          <w14:ligatures w14:val="none"/>
        </w:rPr>
        <w:t>LIAAN NELSON</w:t>
      </w:r>
      <w:r>
        <w:rPr>
          <w:rFonts w:ascii="Arial" w:hAnsi="Arial" w:cs="Arial"/>
          <w:b/>
          <w:kern w:val="0"/>
          <w:sz w:val="24"/>
          <w:szCs w:val="24"/>
          <w14:ligatures w14:val="none"/>
        </w:rPr>
        <w:tab/>
        <w:t>Applicant</w:t>
      </w:r>
    </w:p>
    <w:p w14:paraId="682637F4" w14:textId="77777777" w:rsidR="00D03241" w:rsidRPr="002A5009" w:rsidRDefault="00D03241" w:rsidP="00D03241">
      <w:pPr>
        <w:widowControl w:val="0"/>
        <w:tabs>
          <w:tab w:val="right" w:pos="9213"/>
        </w:tabs>
        <w:spacing w:line="240" w:lineRule="auto"/>
        <w:rPr>
          <w:rFonts w:ascii="Arial" w:hAnsi="Arial" w:cs="Arial"/>
          <w:b/>
          <w:kern w:val="0"/>
          <w:sz w:val="24"/>
          <w:szCs w:val="24"/>
          <w14:ligatures w14:val="none"/>
        </w:rPr>
      </w:pPr>
    </w:p>
    <w:p w14:paraId="1D3D8C5F" w14:textId="77777777" w:rsidR="00D03241" w:rsidRPr="002A5009" w:rsidRDefault="00D03241" w:rsidP="00D03241">
      <w:pPr>
        <w:widowControl w:val="0"/>
        <w:tabs>
          <w:tab w:val="right" w:pos="9213"/>
        </w:tabs>
        <w:spacing w:line="240" w:lineRule="auto"/>
        <w:rPr>
          <w:rFonts w:ascii="Arial" w:hAnsi="Arial" w:cs="Arial"/>
          <w:kern w:val="0"/>
          <w:sz w:val="24"/>
          <w:szCs w:val="24"/>
          <w14:ligatures w14:val="none"/>
        </w:rPr>
      </w:pPr>
      <w:r w:rsidRPr="002A5009">
        <w:rPr>
          <w:rFonts w:ascii="Arial" w:hAnsi="Arial" w:cs="Arial"/>
          <w:kern w:val="0"/>
          <w:sz w:val="24"/>
          <w:szCs w:val="24"/>
          <w14:ligatures w14:val="none"/>
        </w:rPr>
        <w:t>and</w:t>
      </w:r>
    </w:p>
    <w:p w14:paraId="5D3ECE3C" w14:textId="77777777" w:rsidR="00D03241" w:rsidRPr="002A5009" w:rsidRDefault="00D03241" w:rsidP="00D03241">
      <w:pPr>
        <w:widowControl w:val="0"/>
        <w:tabs>
          <w:tab w:val="right" w:pos="9213"/>
        </w:tabs>
        <w:spacing w:line="240" w:lineRule="auto"/>
        <w:rPr>
          <w:rFonts w:ascii="Arial" w:hAnsi="Arial" w:cs="Arial"/>
          <w:kern w:val="0"/>
          <w:sz w:val="24"/>
          <w:szCs w:val="24"/>
          <w14:ligatures w14:val="none"/>
        </w:rPr>
      </w:pPr>
    </w:p>
    <w:p w14:paraId="4D7AB6B4" w14:textId="4AE367CF" w:rsidR="00D03241" w:rsidRDefault="00D03241" w:rsidP="00D03241">
      <w:pPr>
        <w:widowControl w:val="0"/>
        <w:tabs>
          <w:tab w:val="right" w:pos="9213"/>
        </w:tabs>
        <w:spacing w:line="360" w:lineRule="auto"/>
        <w:rPr>
          <w:rFonts w:ascii="Arial" w:hAnsi="Arial" w:cs="Arial"/>
          <w:b/>
          <w:kern w:val="0"/>
          <w:sz w:val="24"/>
          <w:szCs w:val="24"/>
          <w14:ligatures w14:val="none"/>
        </w:rPr>
      </w:pPr>
      <w:r>
        <w:rPr>
          <w:rFonts w:ascii="Arial" w:hAnsi="Arial" w:cs="Arial"/>
          <w:b/>
          <w:kern w:val="0"/>
          <w:sz w:val="24"/>
          <w:szCs w:val="24"/>
          <w14:ligatures w14:val="none"/>
        </w:rPr>
        <w:t>JOHAN POTGIETER</w:t>
      </w:r>
      <w:r w:rsidRPr="002A5009">
        <w:rPr>
          <w:rFonts w:ascii="Arial" w:hAnsi="Arial" w:cs="Arial"/>
          <w:b/>
          <w:kern w:val="0"/>
          <w:sz w:val="24"/>
          <w:szCs w:val="24"/>
          <w14:ligatures w14:val="none"/>
        </w:rPr>
        <w:tab/>
      </w:r>
      <w:r>
        <w:rPr>
          <w:rFonts w:ascii="Arial" w:hAnsi="Arial" w:cs="Arial"/>
          <w:b/>
          <w:kern w:val="0"/>
          <w:sz w:val="24"/>
          <w:szCs w:val="24"/>
          <w14:ligatures w14:val="none"/>
        </w:rPr>
        <w:t>First respondent</w:t>
      </w:r>
    </w:p>
    <w:p w14:paraId="4E66D55C" w14:textId="424D0898" w:rsidR="00D03241" w:rsidRDefault="00D03241" w:rsidP="00D03241">
      <w:pPr>
        <w:widowControl w:val="0"/>
        <w:tabs>
          <w:tab w:val="right" w:pos="9213"/>
        </w:tabs>
        <w:spacing w:line="240" w:lineRule="auto"/>
        <w:rPr>
          <w:rFonts w:ascii="Arial" w:hAnsi="Arial" w:cs="Arial"/>
          <w:b/>
          <w:kern w:val="0"/>
          <w:sz w:val="24"/>
          <w:szCs w:val="24"/>
          <w14:ligatures w14:val="none"/>
        </w:rPr>
      </w:pPr>
      <w:r>
        <w:rPr>
          <w:rFonts w:ascii="Arial" w:hAnsi="Arial" w:cs="Arial"/>
          <w:b/>
          <w:kern w:val="0"/>
          <w:sz w:val="24"/>
          <w:szCs w:val="24"/>
          <w14:ligatures w14:val="none"/>
        </w:rPr>
        <w:t>THE DIRECTOR OF PUBLIC PROSECUTIO</w:t>
      </w:r>
      <w:r w:rsidR="0066188E">
        <w:rPr>
          <w:rFonts w:ascii="Arial" w:hAnsi="Arial" w:cs="Arial"/>
          <w:b/>
          <w:kern w:val="0"/>
          <w:sz w:val="24"/>
          <w:szCs w:val="24"/>
          <w14:ligatures w14:val="none"/>
        </w:rPr>
        <w:t>N</w:t>
      </w:r>
      <w:r>
        <w:rPr>
          <w:rFonts w:ascii="Arial" w:hAnsi="Arial" w:cs="Arial"/>
          <w:b/>
          <w:kern w:val="0"/>
          <w:sz w:val="24"/>
          <w:szCs w:val="24"/>
          <w14:ligatures w14:val="none"/>
        </w:rPr>
        <w:t xml:space="preserve">S, </w:t>
      </w:r>
    </w:p>
    <w:p w14:paraId="2900C165" w14:textId="1DD31EF1" w:rsidR="00D03241" w:rsidRDefault="00D03241" w:rsidP="00D03241">
      <w:pPr>
        <w:widowControl w:val="0"/>
        <w:tabs>
          <w:tab w:val="right" w:pos="9213"/>
        </w:tabs>
        <w:spacing w:line="360" w:lineRule="auto"/>
        <w:rPr>
          <w:rFonts w:ascii="Arial" w:hAnsi="Arial" w:cs="Arial"/>
          <w:b/>
          <w:kern w:val="0"/>
          <w:sz w:val="24"/>
          <w:szCs w:val="24"/>
          <w14:ligatures w14:val="none"/>
        </w:rPr>
      </w:pPr>
      <w:r>
        <w:rPr>
          <w:rFonts w:ascii="Arial" w:hAnsi="Arial" w:cs="Arial"/>
          <w:b/>
          <w:kern w:val="0"/>
          <w:sz w:val="24"/>
          <w:szCs w:val="24"/>
          <w14:ligatures w14:val="none"/>
        </w:rPr>
        <w:t>EASTERN CAPE</w:t>
      </w:r>
      <w:r>
        <w:rPr>
          <w:rFonts w:ascii="Arial" w:hAnsi="Arial" w:cs="Arial"/>
          <w:b/>
          <w:kern w:val="0"/>
          <w:sz w:val="24"/>
          <w:szCs w:val="24"/>
          <w14:ligatures w14:val="none"/>
        </w:rPr>
        <w:tab/>
        <w:t>Second respondent</w:t>
      </w:r>
    </w:p>
    <w:p w14:paraId="6910C72A" w14:textId="0907AE41" w:rsidR="00D03241" w:rsidRPr="002A5009" w:rsidRDefault="00D03241" w:rsidP="00D03241">
      <w:pPr>
        <w:widowControl w:val="0"/>
        <w:tabs>
          <w:tab w:val="right" w:pos="9213"/>
        </w:tabs>
        <w:spacing w:line="360" w:lineRule="auto"/>
        <w:rPr>
          <w:rFonts w:ascii="Arial" w:hAnsi="Arial" w:cs="Arial"/>
          <w:b/>
          <w:kern w:val="0"/>
          <w:sz w:val="24"/>
          <w:szCs w:val="24"/>
          <w:lang w:val="en-GB"/>
          <w14:ligatures w14:val="none"/>
        </w:rPr>
      </w:pPr>
      <w:r>
        <w:rPr>
          <w:rFonts w:ascii="Arial" w:hAnsi="Arial" w:cs="Arial"/>
          <w:b/>
          <w:kern w:val="0"/>
          <w:sz w:val="24"/>
          <w:szCs w:val="24"/>
          <w14:ligatures w14:val="none"/>
        </w:rPr>
        <w:t>TIM VAN STADEN</w:t>
      </w:r>
      <w:r>
        <w:rPr>
          <w:rFonts w:ascii="Arial" w:hAnsi="Arial" w:cs="Arial"/>
          <w:b/>
          <w:kern w:val="0"/>
          <w:sz w:val="24"/>
          <w:szCs w:val="24"/>
          <w14:ligatures w14:val="none"/>
        </w:rPr>
        <w:tab/>
        <w:t>Third respondent</w:t>
      </w:r>
    </w:p>
    <w:p w14:paraId="77BFE83C" w14:textId="77777777" w:rsidR="00D03241" w:rsidRPr="002A5009" w:rsidRDefault="00D03241" w:rsidP="00D03241">
      <w:pPr>
        <w:spacing w:line="360" w:lineRule="auto"/>
        <w:rPr>
          <w:rFonts w:ascii="Arial" w:hAnsi="Arial" w:cs="Arial"/>
          <w:kern w:val="0"/>
          <w:sz w:val="24"/>
          <w:szCs w:val="24"/>
          <w:lang w:val="en-GB"/>
          <w14:ligatures w14:val="none"/>
        </w:rPr>
      </w:pPr>
      <w:r w:rsidRPr="002A5009">
        <w:rPr>
          <w:rFonts w:ascii="Arial" w:hAnsi="Arial" w:cs="Arial"/>
          <w:kern w:val="0"/>
          <w:sz w:val="24"/>
          <w:szCs w:val="24"/>
          <w:lang w:val="en-GB"/>
          <w14:ligatures w14:val="none"/>
        </w:rPr>
        <w:t>______________________________________________________________________</w:t>
      </w:r>
    </w:p>
    <w:p w14:paraId="183D45A1" w14:textId="77777777" w:rsidR="00D03241" w:rsidRPr="002A5009" w:rsidRDefault="00D03241" w:rsidP="00D03241">
      <w:pPr>
        <w:spacing w:line="360" w:lineRule="auto"/>
        <w:jc w:val="center"/>
        <w:rPr>
          <w:rFonts w:ascii="Arial" w:hAnsi="Arial" w:cs="Arial"/>
          <w:b/>
          <w:kern w:val="0"/>
          <w:sz w:val="24"/>
          <w:szCs w:val="24"/>
          <w:lang w:val="en-GB"/>
          <w14:ligatures w14:val="none"/>
        </w:rPr>
      </w:pPr>
      <w:r w:rsidRPr="002A5009">
        <w:rPr>
          <w:rFonts w:ascii="Arial" w:hAnsi="Arial" w:cs="Arial"/>
          <w:b/>
          <w:kern w:val="0"/>
          <w:sz w:val="24"/>
          <w:szCs w:val="24"/>
          <w:lang w:val="en-GB"/>
          <w14:ligatures w14:val="none"/>
        </w:rPr>
        <w:t>JUDGMENT</w:t>
      </w:r>
    </w:p>
    <w:p w14:paraId="01A4E079" w14:textId="77777777" w:rsidR="00D03241" w:rsidRPr="002A5009" w:rsidRDefault="00D03241" w:rsidP="00D03241">
      <w:pPr>
        <w:spacing w:line="360" w:lineRule="auto"/>
        <w:rPr>
          <w:rFonts w:ascii="Arial" w:hAnsi="Arial" w:cs="Arial"/>
          <w:kern w:val="0"/>
          <w:sz w:val="24"/>
          <w:szCs w:val="24"/>
          <w:lang w:val="en-GB"/>
          <w14:ligatures w14:val="none"/>
        </w:rPr>
      </w:pPr>
      <w:r w:rsidRPr="002A5009">
        <w:rPr>
          <w:rFonts w:ascii="Arial" w:hAnsi="Arial" w:cs="Arial"/>
          <w:kern w:val="0"/>
          <w:sz w:val="24"/>
          <w:szCs w:val="24"/>
          <w:lang w:val="en-GB"/>
          <w14:ligatures w14:val="none"/>
        </w:rPr>
        <w:t>______________________________________________________________________</w:t>
      </w:r>
    </w:p>
    <w:p w14:paraId="2D44312A" w14:textId="77777777" w:rsidR="00D03241" w:rsidRPr="00951726" w:rsidRDefault="00D03241" w:rsidP="00D03241">
      <w:pPr>
        <w:spacing w:line="360" w:lineRule="auto"/>
        <w:rPr>
          <w:rFonts w:ascii="Arial" w:hAnsi="Arial" w:cs="Arial"/>
          <w:b/>
          <w:bCs/>
          <w:sz w:val="24"/>
          <w:szCs w:val="24"/>
        </w:rPr>
      </w:pPr>
      <w:r w:rsidRPr="00951726">
        <w:rPr>
          <w:rFonts w:ascii="Arial" w:hAnsi="Arial" w:cs="Arial"/>
          <w:b/>
          <w:bCs/>
          <w:sz w:val="24"/>
          <w:szCs w:val="24"/>
        </w:rPr>
        <w:t>LAING J</w:t>
      </w:r>
    </w:p>
    <w:p w14:paraId="2736A08B" w14:textId="77777777" w:rsidR="00D03241" w:rsidRDefault="00D03241" w:rsidP="00931D6F">
      <w:pPr>
        <w:spacing w:line="360" w:lineRule="auto"/>
        <w:rPr>
          <w:rFonts w:ascii="Arial" w:hAnsi="Arial" w:cs="Arial"/>
          <w:sz w:val="24"/>
          <w:szCs w:val="24"/>
        </w:rPr>
      </w:pPr>
    </w:p>
    <w:p w14:paraId="5ECAF84D" w14:textId="4D330D95" w:rsidR="00931D6F" w:rsidRPr="00233C47" w:rsidRDefault="00233C47" w:rsidP="00233C47">
      <w:pPr>
        <w:spacing w:line="360" w:lineRule="auto"/>
        <w:jc w:val="both"/>
        <w:rPr>
          <w:rFonts w:ascii="Arial" w:hAnsi="Arial" w:cs="Arial"/>
          <w:sz w:val="24"/>
          <w:szCs w:val="24"/>
        </w:rPr>
      </w:pPr>
      <w:r w:rsidRPr="00FB5C88">
        <w:rPr>
          <w:rFonts w:ascii="Arial" w:hAnsi="Arial" w:cs="Arial"/>
          <w:sz w:val="24"/>
          <w:szCs w:val="24"/>
        </w:rPr>
        <w:t>[1]</w:t>
      </w:r>
      <w:r w:rsidRPr="00FB5C88">
        <w:rPr>
          <w:rFonts w:ascii="Arial" w:hAnsi="Arial" w:cs="Arial"/>
          <w:sz w:val="24"/>
          <w:szCs w:val="24"/>
        </w:rPr>
        <w:tab/>
      </w:r>
      <w:r w:rsidR="00931D6F" w:rsidRPr="00233C47">
        <w:rPr>
          <w:rFonts w:ascii="Arial" w:hAnsi="Arial" w:cs="Arial"/>
          <w:sz w:val="24"/>
          <w:szCs w:val="24"/>
        </w:rPr>
        <w:t>This is an application for the review and setting aside of the trial proceedings that took place during the period of 14 March until 16 August 2013 in the Port Elizabeth Regional Court. The applicant also seeks condonation for the late institution of the present application proceedings.</w:t>
      </w:r>
    </w:p>
    <w:p w14:paraId="1BF8CCE4" w14:textId="41E2D75A" w:rsidR="00121964" w:rsidRPr="00873A76" w:rsidRDefault="00873A76" w:rsidP="00FB5C88">
      <w:pPr>
        <w:spacing w:line="360" w:lineRule="auto"/>
        <w:jc w:val="both"/>
        <w:rPr>
          <w:rFonts w:ascii="Arial" w:hAnsi="Arial" w:cs="Arial"/>
          <w:b/>
          <w:bCs/>
          <w:sz w:val="24"/>
          <w:szCs w:val="24"/>
        </w:rPr>
      </w:pPr>
      <w:r>
        <w:rPr>
          <w:rFonts w:ascii="Arial" w:hAnsi="Arial" w:cs="Arial"/>
          <w:sz w:val="24"/>
          <w:szCs w:val="24"/>
        </w:rPr>
        <w:lastRenderedPageBreak/>
        <w:t xml:space="preserve"> </w:t>
      </w:r>
      <w:r w:rsidR="007B32B2" w:rsidRPr="00873A76">
        <w:rPr>
          <w:rFonts w:ascii="Arial" w:hAnsi="Arial" w:cs="Arial"/>
          <w:b/>
          <w:bCs/>
          <w:sz w:val="24"/>
          <w:szCs w:val="24"/>
        </w:rPr>
        <w:t>APPLICANT’S CASE</w:t>
      </w:r>
    </w:p>
    <w:p w14:paraId="116E1512" w14:textId="77777777" w:rsidR="00873A76" w:rsidRDefault="00873A76" w:rsidP="00931D6F">
      <w:pPr>
        <w:spacing w:line="360" w:lineRule="auto"/>
        <w:rPr>
          <w:rFonts w:ascii="Arial" w:hAnsi="Arial" w:cs="Arial"/>
          <w:sz w:val="24"/>
          <w:szCs w:val="24"/>
        </w:rPr>
      </w:pPr>
    </w:p>
    <w:p w14:paraId="1F50A081" w14:textId="3493081A" w:rsidR="00FB5C88" w:rsidRPr="00233C47" w:rsidRDefault="00233C47" w:rsidP="00233C47">
      <w:pPr>
        <w:spacing w:line="360" w:lineRule="auto"/>
        <w:jc w:val="both"/>
        <w:rPr>
          <w:rFonts w:ascii="Arial" w:hAnsi="Arial" w:cs="Arial"/>
          <w:sz w:val="24"/>
          <w:szCs w:val="24"/>
        </w:rPr>
      </w:pPr>
      <w:r>
        <w:rPr>
          <w:rFonts w:ascii="Arial" w:hAnsi="Arial" w:cs="Arial"/>
          <w:sz w:val="24"/>
          <w:szCs w:val="24"/>
        </w:rPr>
        <w:t>[2</w:t>
      </w:r>
      <w:bookmarkStart w:id="0" w:name="_GoBack"/>
      <w:bookmarkEnd w:id="0"/>
      <w:r>
        <w:rPr>
          <w:rFonts w:ascii="Arial" w:hAnsi="Arial" w:cs="Arial"/>
          <w:sz w:val="24"/>
          <w:szCs w:val="24"/>
        </w:rPr>
        <w:t>]</w:t>
      </w:r>
      <w:r>
        <w:rPr>
          <w:rFonts w:ascii="Arial" w:hAnsi="Arial" w:cs="Arial"/>
          <w:sz w:val="24"/>
          <w:szCs w:val="24"/>
        </w:rPr>
        <w:tab/>
      </w:r>
      <w:r w:rsidR="00873A76" w:rsidRPr="00233C47">
        <w:rPr>
          <w:rFonts w:ascii="Arial" w:hAnsi="Arial" w:cs="Arial"/>
          <w:sz w:val="24"/>
          <w:szCs w:val="24"/>
        </w:rPr>
        <w:t>The applicant</w:t>
      </w:r>
      <w:r w:rsidR="00C351EC" w:rsidRPr="00233C47">
        <w:rPr>
          <w:rFonts w:ascii="Arial" w:hAnsi="Arial" w:cs="Arial"/>
          <w:sz w:val="24"/>
          <w:szCs w:val="24"/>
        </w:rPr>
        <w:t>, together with the third respondent,</w:t>
      </w:r>
      <w:r w:rsidR="001E303B" w:rsidRPr="00233C47">
        <w:rPr>
          <w:rFonts w:ascii="Arial" w:hAnsi="Arial" w:cs="Arial"/>
          <w:sz w:val="24"/>
          <w:szCs w:val="24"/>
        </w:rPr>
        <w:t xml:space="preserve"> had been </w:t>
      </w:r>
      <w:r w:rsidR="00FB6A04" w:rsidRPr="00233C47">
        <w:rPr>
          <w:rFonts w:ascii="Arial" w:hAnsi="Arial" w:cs="Arial"/>
          <w:sz w:val="24"/>
          <w:szCs w:val="24"/>
        </w:rPr>
        <w:t xml:space="preserve">charged with murder and other offences. </w:t>
      </w:r>
      <w:r w:rsidR="00E60808" w:rsidRPr="00233C47">
        <w:rPr>
          <w:rFonts w:ascii="Arial" w:hAnsi="Arial" w:cs="Arial"/>
          <w:sz w:val="24"/>
          <w:szCs w:val="24"/>
        </w:rPr>
        <w:t xml:space="preserve">He had been represented by a </w:t>
      </w:r>
      <w:r w:rsidR="00A74CA5" w:rsidRPr="00233C47">
        <w:rPr>
          <w:rFonts w:ascii="Arial" w:hAnsi="Arial" w:cs="Arial"/>
          <w:sz w:val="24"/>
          <w:szCs w:val="24"/>
        </w:rPr>
        <w:t>Mr Greeff</w:t>
      </w:r>
      <w:r w:rsidR="000E42AB" w:rsidRPr="00233C47">
        <w:rPr>
          <w:rFonts w:ascii="Arial" w:hAnsi="Arial" w:cs="Arial"/>
          <w:sz w:val="24"/>
          <w:szCs w:val="24"/>
        </w:rPr>
        <w:t xml:space="preserve"> initially</w:t>
      </w:r>
      <w:r w:rsidR="00F15C37" w:rsidRPr="00233C47">
        <w:rPr>
          <w:rFonts w:ascii="Arial" w:hAnsi="Arial" w:cs="Arial"/>
          <w:sz w:val="24"/>
          <w:szCs w:val="24"/>
        </w:rPr>
        <w:t xml:space="preserve">, </w:t>
      </w:r>
      <w:r w:rsidR="00D0034B" w:rsidRPr="00233C47">
        <w:rPr>
          <w:rFonts w:ascii="Arial" w:hAnsi="Arial" w:cs="Arial"/>
          <w:sz w:val="24"/>
          <w:szCs w:val="24"/>
        </w:rPr>
        <w:t xml:space="preserve">who had been </w:t>
      </w:r>
      <w:r w:rsidR="00F15C37" w:rsidRPr="00233C47">
        <w:rPr>
          <w:rFonts w:ascii="Arial" w:hAnsi="Arial" w:cs="Arial"/>
          <w:sz w:val="24"/>
          <w:szCs w:val="24"/>
        </w:rPr>
        <w:t xml:space="preserve">appointed by </w:t>
      </w:r>
      <w:r w:rsidR="00CC3D85" w:rsidRPr="00233C47">
        <w:rPr>
          <w:rFonts w:ascii="Arial" w:hAnsi="Arial" w:cs="Arial"/>
          <w:sz w:val="24"/>
          <w:szCs w:val="24"/>
        </w:rPr>
        <w:t xml:space="preserve">the </w:t>
      </w:r>
      <w:r w:rsidR="00F15C37" w:rsidRPr="00233C47">
        <w:rPr>
          <w:rFonts w:ascii="Arial" w:hAnsi="Arial" w:cs="Arial"/>
          <w:sz w:val="24"/>
          <w:szCs w:val="24"/>
        </w:rPr>
        <w:t xml:space="preserve">Legal Aid </w:t>
      </w:r>
      <w:r w:rsidR="00CC3D85" w:rsidRPr="00233C47">
        <w:rPr>
          <w:rFonts w:ascii="Arial" w:hAnsi="Arial" w:cs="Arial"/>
          <w:sz w:val="24"/>
          <w:szCs w:val="24"/>
        </w:rPr>
        <w:t>Board</w:t>
      </w:r>
      <w:r w:rsidR="00F15C37" w:rsidRPr="00233C47">
        <w:rPr>
          <w:rFonts w:ascii="Arial" w:hAnsi="Arial" w:cs="Arial"/>
          <w:sz w:val="24"/>
          <w:szCs w:val="24"/>
        </w:rPr>
        <w:t xml:space="preserve">. </w:t>
      </w:r>
      <w:r w:rsidR="000F00AB" w:rsidRPr="00233C47">
        <w:rPr>
          <w:rFonts w:ascii="Arial" w:hAnsi="Arial" w:cs="Arial"/>
          <w:sz w:val="24"/>
          <w:szCs w:val="24"/>
        </w:rPr>
        <w:t xml:space="preserve">The applicant </w:t>
      </w:r>
      <w:r w:rsidR="00050499" w:rsidRPr="00233C47">
        <w:rPr>
          <w:rFonts w:ascii="Arial" w:hAnsi="Arial" w:cs="Arial"/>
          <w:sz w:val="24"/>
          <w:szCs w:val="24"/>
        </w:rPr>
        <w:t>had informed Mr Greeff, p</w:t>
      </w:r>
      <w:r w:rsidR="000266F8" w:rsidRPr="00233C47">
        <w:rPr>
          <w:rFonts w:ascii="Arial" w:hAnsi="Arial" w:cs="Arial"/>
          <w:sz w:val="24"/>
          <w:szCs w:val="24"/>
        </w:rPr>
        <w:t xml:space="preserve">rior to </w:t>
      </w:r>
      <w:r w:rsidR="00F15C37" w:rsidRPr="00233C47">
        <w:rPr>
          <w:rFonts w:ascii="Arial" w:hAnsi="Arial" w:cs="Arial"/>
          <w:sz w:val="24"/>
          <w:szCs w:val="24"/>
        </w:rPr>
        <w:t>the commencement of trial</w:t>
      </w:r>
      <w:r w:rsidR="00C4583C" w:rsidRPr="00233C47">
        <w:rPr>
          <w:rFonts w:ascii="Arial" w:hAnsi="Arial" w:cs="Arial"/>
          <w:sz w:val="24"/>
          <w:szCs w:val="24"/>
        </w:rPr>
        <w:t xml:space="preserve"> on 14 March 2013</w:t>
      </w:r>
      <w:r w:rsidR="00F15C37" w:rsidRPr="00233C47">
        <w:rPr>
          <w:rFonts w:ascii="Arial" w:hAnsi="Arial" w:cs="Arial"/>
          <w:sz w:val="24"/>
          <w:szCs w:val="24"/>
        </w:rPr>
        <w:t xml:space="preserve">, </w:t>
      </w:r>
      <w:r w:rsidR="000266F8" w:rsidRPr="00233C47">
        <w:rPr>
          <w:rFonts w:ascii="Arial" w:hAnsi="Arial" w:cs="Arial"/>
          <w:sz w:val="24"/>
          <w:szCs w:val="24"/>
        </w:rPr>
        <w:t>that he wished to terminate his mandate and to instruct a</w:t>
      </w:r>
      <w:r w:rsidR="00E22F5C" w:rsidRPr="00233C47">
        <w:rPr>
          <w:rFonts w:ascii="Arial" w:hAnsi="Arial" w:cs="Arial"/>
          <w:sz w:val="24"/>
          <w:szCs w:val="24"/>
        </w:rPr>
        <w:t xml:space="preserve"> Mr Bence, who was an attorney in private practice</w:t>
      </w:r>
      <w:r w:rsidR="00D0034B" w:rsidRPr="00233C47">
        <w:rPr>
          <w:rFonts w:ascii="Arial" w:hAnsi="Arial" w:cs="Arial"/>
          <w:sz w:val="24"/>
          <w:szCs w:val="24"/>
        </w:rPr>
        <w:t>.</w:t>
      </w:r>
      <w:r w:rsidR="000266F8" w:rsidRPr="00233C47">
        <w:rPr>
          <w:rFonts w:ascii="Arial" w:hAnsi="Arial" w:cs="Arial"/>
          <w:sz w:val="24"/>
          <w:szCs w:val="24"/>
        </w:rPr>
        <w:t xml:space="preserve"> </w:t>
      </w:r>
      <w:r w:rsidR="00514E26" w:rsidRPr="00233C47">
        <w:rPr>
          <w:rFonts w:ascii="Arial" w:hAnsi="Arial" w:cs="Arial"/>
          <w:sz w:val="24"/>
          <w:szCs w:val="24"/>
        </w:rPr>
        <w:t xml:space="preserve">Consequently, Mr Greeff conveyed this to the </w:t>
      </w:r>
      <w:r w:rsidR="00D577B0" w:rsidRPr="00233C47">
        <w:rPr>
          <w:rFonts w:ascii="Arial" w:hAnsi="Arial" w:cs="Arial"/>
          <w:sz w:val="24"/>
          <w:szCs w:val="24"/>
        </w:rPr>
        <w:t>magistrate, who has been cited in th</w:t>
      </w:r>
      <w:r w:rsidR="003D77BE" w:rsidRPr="00233C47">
        <w:rPr>
          <w:rFonts w:ascii="Arial" w:hAnsi="Arial" w:cs="Arial"/>
          <w:sz w:val="24"/>
          <w:szCs w:val="24"/>
        </w:rPr>
        <w:t xml:space="preserve">is application as the </w:t>
      </w:r>
      <w:r w:rsidR="00A57504" w:rsidRPr="00233C47">
        <w:rPr>
          <w:rFonts w:ascii="Arial" w:hAnsi="Arial" w:cs="Arial"/>
          <w:sz w:val="24"/>
          <w:szCs w:val="24"/>
        </w:rPr>
        <w:t>first respondent</w:t>
      </w:r>
      <w:r w:rsidR="00A0485E" w:rsidRPr="00233C47">
        <w:rPr>
          <w:rFonts w:ascii="Arial" w:hAnsi="Arial" w:cs="Arial"/>
          <w:sz w:val="24"/>
          <w:szCs w:val="24"/>
        </w:rPr>
        <w:t xml:space="preserve">. The applicant </w:t>
      </w:r>
      <w:r w:rsidR="00CD3A8D" w:rsidRPr="00233C47">
        <w:rPr>
          <w:rFonts w:ascii="Arial" w:hAnsi="Arial" w:cs="Arial"/>
          <w:sz w:val="24"/>
          <w:szCs w:val="24"/>
        </w:rPr>
        <w:t xml:space="preserve">personally </w:t>
      </w:r>
      <w:r w:rsidR="00A0485E" w:rsidRPr="00233C47">
        <w:rPr>
          <w:rFonts w:ascii="Arial" w:hAnsi="Arial" w:cs="Arial"/>
          <w:sz w:val="24"/>
          <w:szCs w:val="24"/>
        </w:rPr>
        <w:t xml:space="preserve">confirmed </w:t>
      </w:r>
      <w:r w:rsidR="00CD3A8D" w:rsidRPr="00233C47">
        <w:rPr>
          <w:rFonts w:ascii="Arial" w:hAnsi="Arial" w:cs="Arial"/>
          <w:sz w:val="24"/>
          <w:szCs w:val="24"/>
        </w:rPr>
        <w:t xml:space="preserve">that </w:t>
      </w:r>
      <w:r w:rsidR="00A0485E" w:rsidRPr="00233C47">
        <w:rPr>
          <w:rFonts w:ascii="Arial" w:hAnsi="Arial" w:cs="Arial"/>
          <w:sz w:val="24"/>
          <w:szCs w:val="24"/>
        </w:rPr>
        <w:t>this</w:t>
      </w:r>
      <w:r w:rsidR="00CD3A8D" w:rsidRPr="00233C47">
        <w:rPr>
          <w:rFonts w:ascii="Arial" w:hAnsi="Arial" w:cs="Arial"/>
          <w:sz w:val="24"/>
          <w:szCs w:val="24"/>
        </w:rPr>
        <w:t xml:space="preserve"> was his wish.</w:t>
      </w:r>
    </w:p>
    <w:p w14:paraId="34547807" w14:textId="77777777" w:rsidR="00FB5C88" w:rsidRDefault="00FB5C88" w:rsidP="00FB5C88">
      <w:pPr>
        <w:pStyle w:val="ListParagraph"/>
        <w:spacing w:line="360" w:lineRule="auto"/>
        <w:ind w:left="0"/>
        <w:jc w:val="both"/>
        <w:rPr>
          <w:rFonts w:ascii="Arial" w:hAnsi="Arial" w:cs="Arial"/>
          <w:sz w:val="24"/>
          <w:szCs w:val="24"/>
        </w:rPr>
      </w:pPr>
    </w:p>
    <w:p w14:paraId="07C69C29" w14:textId="47790292" w:rsidR="00FB5C88" w:rsidRPr="00233C47" w:rsidRDefault="00233C47" w:rsidP="00233C4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320B5" w:rsidRPr="00233C47">
        <w:rPr>
          <w:rFonts w:ascii="Arial" w:hAnsi="Arial" w:cs="Arial"/>
          <w:sz w:val="24"/>
          <w:szCs w:val="24"/>
        </w:rPr>
        <w:t>The first respondent, however, refused to postpone the trial to give effect to the applicant’s wish.</w:t>
      </w:r>
      <w:r w:rsidR="00CA3889" w:rsidRPr="00233C47">
        <w:rPr>
          <w:rFonts w:ascii="Arial" w:hAnsi="Arial" w:cs="Arial"/>
          <w:sz w:val="24"/>
          <w:szCs w:val="24"/>
        </w:rPr>
        <w:t xml:space="preserve"> The applicant alleges that </w:t>
      </w:r>
      <w:r w:rsidR="00942408" w:rsidRPr="00233C47">
        <w:rPr>
          <w:rFonts w:ascii="Arial" w:hAnsi="Arial" w:cs="Arial"/>
          <w:sz w:val="24"/>
          <w:szCs w:val="24"/>
        </w:rPr>
        <w:t xml:space="preserve">the first respondent </w:t>
      </w:r>
      <w:r w:rsidR="00323F6B" w:rsidRPr="00233C47">
        <w:rPr>
          <w:rFonts w:ascii="Arial" w:hAnsi="Arial" w:cs="Arial"/>
          <w:sz w:val="24"/>
          <w:szCs w:val="24"/>
        </w:rPr>
        <w:t xml:space="preserve">compelled him to continue with </w:t>
      </w:r>
      <w:r w:rsidR="006C7E1E" w:rsidRPr="00233C47">
        <w:rPr>
          <w:rFonts w:ascii="Arial" w:hAnsi="Arial" w:cs="Arial"/>
          <w:sz w:val="24"/>
          <w:szCs w:val="24"/>
        </w:rPr>
        <w:t xml:space="preserve">Mr Greeff. </w:t>
      </w:r>
      <w:r w:rsidR="003E7901" w:rsidRPr="00233C47">
        <w:rPr>
          <w:rFonts w:ascii="Arial" w:hAnsi="Arial" w:cs="Arial"/>
          <w:sz w:val="24"/>
          <w:szCs w:val="24"/>
        </w:rPr>
        <w:t>The first respondent</w:t>
      </w:r>
      <w:r w:rsidR="006C7E1E" w:rsidRPr="00233C47">
        <w:rPr>
          <w:rFonts w:ascii="Arial" w:hAnsi="Arial" w:cs="Arial"/>
          <w:sz w:val="24"/>
          <w:szCs w:val="24"/>
        </w:rPr>
        <w:t xml:space="preserve"> interrupted the applicant </w:t>
      </w:r>
      <w:r w:rsidR="008F76B5" w:rsidRPr="00233C47">
        <w:rPr>
          <w:rFonts w:ascii="Arial" w:hAnsi="Arial" w:cs="Arial"/>
          <w:sz w:val="24"/>
          <w:szCs w:val="24"/>
        </w:rPr>
        <w:t xml:space="preserve">constantly and allegedly </w:t>
      </w:r>
      <w:r w:rsidR="00FB6A96" w:rsidRPr="00233C47">
        <w:rPr>
          <w:rFonts w:ascii="Arial" w:hAnsi="Arial" w:cs="Arial"/>
          <w:sz w:val="24"/>
          <w:szCs w:val="24"/>
        </w:rPr>
        <w:t xml:space="preserve">refused to listen to his </w:t>
      </w:r>
      <w:r w:rsidR="005E577F" w:rsidRPr="00233C47">
        <w:rPr>
          <w:rFonts w:ascii="Arial" w:hAnsi="Arial" w:cs="Arial"/>
          <w:sz w:val="24"/>
          <w:szCs w:val="24"/>
        </w:rPr>
        <w:t xml:space="preserve">explanation for why </w:t>
      </w:r>
      <w:r w:rsidR="003E7901" w:rsidRPr="00233C47">
        <w:rPr>
          <w:rFonts w:ascii="Arial" w:hAnsi="Arial" w:cs="Arial"/>
          <w:sz w:val="24"/>
          <w:szCs w:val="24"/>
        </w:rPr>
        <w:t>he wanted Mr Bence to represent him.</w:t>
      </w:r>
      <w:r w:rsidR="003D44E8" w:rsidRPr="00233C47">
        <w:rPr>
          <w:rFonts w:ascii="Arial" w:hAnsi="Arial" w:cs="Arial"/>
          <w:sz w:val="24"/>
          <w:szCs w:val="24"/>
        </w:rPr>
        <w:t xml:space="preserve"> </w:t>
      </w:r>
      <w:r w:rsidR="00032C5E" w:rsidRPr="00233C47">
        <w:rPr>
          <w:rFonts w:ascii="Arial" w:hAnsi="Arial" w:cs="Arial"/>
          <w:sz w:val="24"/>
          <w:szCs w:val="24"/>
        </w:rPr>
        <w:t xml:space="preserve">It is the applicant’s contention that </w:t>
      </w:r>
      <w:r w:rsidR="001237CC" w:rsidRPr="00233C47">
        <w:rPr>
          <w:rFonts w:ascii="Arial" w:hAnsi="Arial" w:cs="Arial"/>
          <w:sz w:val="24"/>
          <w:szCs w:val="24"/>
        </w:rPr>
        <w:t xml:space="preserve">he was placed under extreme pressure by the first respondent </w:t>
      </w:r>
      <w:r w:rsidR="009C4E37" w:rsidRPr="00233C47">
        <w:rPr>
          <w:rFonts w:ascii="Arial" w:hAnsi="Arial" w:cs="Arial"/>
          <w:sz w:val="24"/>
          <w:szCs w:val="24"/>
        </w:rPr>
        <w:t>to proceed</w:t>
      </w:r>
      <w:r w:rsidR="00593D6C" w:rsidRPr="00233C47">
        <w:rPr>
          <w:rFonts w:ascii="Arial" w:hAnsi="Arial" w:cs="Arial"/>
          <w:sz w:val="24"/>
          <w:szCs w:val="24"/>
        </w:rPr>
        <w:t xml:space="preserve">. He </w:t>
      </w:r>
      <w:r w:rsidR="00A70595" w:rsidRPr="00233C47">
        <w:rPr>
          <w:rFonts w:ascii="Arial" w:hAnsi="Arial" w:cs="Arial"/>
          <w:sz w:val="24"/>
          <w:szCs w:val="24"/>
        </w:rPr>
        <w:t>attache</w:t>
      </w:r>
      <w:r w:rsidR="00525FB6" w:rsidRPr="00233C47">
        <w:rPr>
          <w:rFonts w:ascii="Arial" w:hAnsi="Arial" w:cs="Arial"/>
          <w:sz w:val="24"/>
          <w:szCs w:val="24"/>
        </w:rPr>
        <w:t>s</w:t>
      </w:r>
      <w:r w:rsidR="00A70595" w:rsidRPr="00233C47">
        <w:rPr>
          <w:rFonts w:ascii="Arial" w:hAnsi="Arial" w:cs="Arial"/>
          <w:sz w:val="24"/>
          <w:szCs w:val="24"/>
        </w:rPr>
        <w:t xml:space="preserve"> an extract from the transcription of the record to </w:t>
      </w:r>
      <w:r w:rsidR="00D547A7" w:rsidRPr="00233C47">
        <w:rPr>
          <w:rFonts w:ascii="Arial" w:hAnsi="Arial" w:cs="Arial"/>
          <w:sz w:val="24"/>
          <w:szCs w:val="24"/>
        </w:rPr>
        <w:t xml:space="preserve">demonstrate this, </w:t>
      </w:r>
      <w:r w:rsidR="00397B30" w:rsidRPr="00233C47">
        <w:rPr>
          <w:rFonts w:ascii="Arial" w:hAnsi="Arial" w:cs="Arial"/>
          <w:sz w:val="24"/>
          <w:szCs w:val="24"/>
        </w:rPr>
        <w:t xml:space="preserve">asserting that he was denied his constitutional </w:t>
      </w:r>
      <w:r w:rsidR="00303829" w:rsidRPr="00233C47">
        <w:rPr>
          <w:rFonts w:ascii="Arial" w:hAnsi="Arial" w:cs="Arial"/>
          <w:sz w:val="24"/>
          <w:szCs w:val="24"/>
        </w:rPr>
        <w:t xml:space="preserve">right to a fair trial, which included the right to </w:t>
      </w:r>
      <w:r w:rsidR="007A668F" w:rsidRPr="00233C47">
        <w:rPr>
          <w:rFonts w:ascii="Arial" w:hAnsi="Arial" w:cs="Arial"/>
          <w:sz w:val="24"/>
          <w:szCs w:val="24"/>
        </w:rPr>
        <w:t>be represented by a legal practitioner of his own choice.</w:t>
      </w:r>
    </w:p>
    <w:p w14:paraId="69618CE9" w14:textId="77777777" w:rsidR="00FB5C88" w:rsidRPr="00FB5C88" w:rsidRDefault="00FB5C88" w:rsidP="00FB5C88">
      <w:pPr>
        <w:pStyle w:val="ListParagraph"/>
        <w:rPr>
          <w:rFonts w:ascii="Arial" w:hAnsi="Arial" w:cs="Arial"/>
          <w:sz w:val="24"/>
          <w:szCs w:val="24"/>
        </w:rPr>
      </w:pPr>
    </w:p>
    <w:p w14:paraId="6C5C6400" w14:textId="5C5CC5A8" w:rsidR="00FB5C88" w:rsidRPr="00233C47" w:rsidRDefault="00233C47" w:rsidP="00233C4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C7DB6" w:rsidRPr="00233C47">
        <w:rPr>
          <w:rFonts w:ascii="Arial" w:hAnsi="Arial" w:cs="Arial"/>
          <w:sz w:val="24"/>
          <w:szCs w:val="24"/>
        </w:rPr>
        <w:t xml:space="preserve">Ultimately, the </w:t>
      </w:r>
      <w:r w:rsidR="00AF1475" w:rsidRPr="00233C47">
        <w:rPr>
          <w:rFonts w:ascii="Arial" w:hAnsi="Arial" w:cs="Arial"/>
          <w:sz w:val="24"/>
          <w:szCs w:val="24"/>
        </w:rPr>
        <w:t xml:space="preserve">first respondent convicted the applicant </w:t>
      </w:r>
      <w:r w:rsidR="00C46F28" w:rsidRPr="00233C47">
        <w:rPr>
          <w:rFonts w:ascii="Arial" w:hAnsi="Arial" w:cs="Arial"/>
          <w:sz w:val="24"/>
          <w:szCs w:val="24"/>
        </w:rPr>
        <w:t>on</w:t>
      </w:r>
      <w:r w:rsidR="004420F3" w:rsidRPr="00233C47">
        <w:rPr>
          <w:rFonts w:ascii="Arial" w:hAnsi="Arial" w:cs="Arial"/>
          <w:sz w:val="24"/>
          <w:szCs w:val="24"/>
        </w:rPr>
        <w:t xml:space="preserve"> </w:t>
      </w:r>
      <w:r w:rsidR="00024B35" w:rsidRPr="00233C47">
        <w:rPr>
          <w:rFonts w:ascii="Arial" w:hAnsi="Arial" w:cs="Arial"/>
          <w:sz w:val="24"/>
          <w:szCs w:val="24"/>
        </w:rPr>
        <w:t>17 July 2013 on</w:t>
      </w:r>
      <w:r w:rsidR="00C46F28" w:rsidRPr="00233C47">
        <w:rPr>
          <w:rFonts w:ascii="Arial" w:hAnsi="Arial" w:cs="Arial"/>
          <w:sz w:val="24"/>
          <w:szCs w:val="24"/>
        </w:rPr>
        <w:t xml:space="preserve"> the charge of murder and sentenced him</w:t>
      </w:r>
      <w:r w:rsidR="00DF6BB8" w:rsidRPr="00233C47">
        <w:rPr>
          <w:rFonts w:ascii="Arial" w:hAnsi="Arial" w:cs="Arial"/>
          <w:sz w:val="24"/>
          <w:szCs w:val="24"/>
        </w:rPr>
        <w:t>, on 16 August 2013,</w:t>
      </w:r>
      <w:r w:rsidR="00C46F28" w:rsidRPr="00233C47">
        <w:rPr>
          <w:rFonts w:ascii="Arial" w:hAnsi="Arial" w:cs="Arial"/>
          <w:sz w:val="24"/>
          <w:szCs w:val="24"/>
        </w:rPr>
        <w:t xml:space="preserve"> to life imprisonment. </w:t>
      </w:r>
      <w:r w:rsidR="001E4BCD" w:rsidRPr="00233C47">
        <w:rPr>
          <w:rFonts w:ascii="Arial" w:hAnsi="Arial" w:cs="Arial"/>
          <w:sz w:val="24"/>
          <w:szCs w:val="24"/>
        </w:rPr>
        <w:t>A period of five years</w:t>
      </w:r>
      <w:r w:rsidR="000E42AB" w:rsidRPr="00233C47">
        <w:rPr>
          <w:rFonts w:ascii="Arial" w:hAnsi="Arial" w:cs="Arial"/>
          <w:sz w:val="24"/>
          <w:szCs w:val="24"/>
        </w:rPr>
        <w:t>’</w:t>
      </w:r>
      <w:r w:rsidR="001E4BCD" w:rsidRPr="00233C47">
        <w:rPr>
          <w:rFonts w:ascii="Arial" w:hAnsi="Arial" w:cs="Arial"/>
          <w:sz w:val="24"/>
          <w:szCs w:val="24"/>
        </w:rPr>
        <w:t xml:space="preserve"> imprisonment was imposed for the remaining charges, to run concurrently</w:t>
      </w:r>
      <w:r w:rsidR="004420F3" w:rsidRPr="00233C47">
        <w:rPr>
          <w:rFonts w:ascii="Arial" w:hAnsi="Arial" w:cs="Arial"/>
          <w:sz w:val="24"/>
          <w:szCs w:val="24"/>
        </w:rPr>
        <w:t>.</w:t>
      </w:r>
      <w:r w:rsidR="00CC2EA3" w:rsidRPr="00233C47">
        <w:rPr>
          <w:rFonts w:ascii="Arial" w:hAnsi="Arial" w:cs="Arial"/>
          <w:sz w:val="24"/>
          <w:szCs w:val="24"/>
        </w:rPr>
        <w:t xml:space="preserve"> The applicant’s subsequent application for leave to appeal was unsuccessful</w:t>
      </w:r>
      <w:r w:rsidR="009506F4" w:rsidRPr="00233C47">
        <w:rPr>
          <w:rFonts w:ascii="Arial" w:hAnsi="Arial" w:cs="Arial"/>
          <w:sz w:val="24"/>
          <w:szCs w:val="24"/>
        </w:rPr>
        <w:t>. His petition to the High Court was dismissed on 8 August 2014.</w:t>
      </w:r>
    </w:p>
    <w:p w14:paraId="2F753C87" w14:textId="77777777" w:rsidR="00FB5C88" w:rsidRPr="00FB5C88" w:rsidRDefault="00FB5C88" w:rsidP="00FB5C88">
      <w:pPr>
        <w:pStyle w:val="ListParagraph"/>
        <w:rPr>
          <w:rFonts w:ascii="Arial" w:hAnsi="Arial" w:cs="Arial"/>
          <w:sz w:val="24"/>
          <w:szCs w:val="24"/>
        </w:rPr>
      </w:pPr>
    </w:p>
    <w:p w14:paraId="2294BB11" w14:textId="29D20B2C" w:rsidR="005F038F" w:rsidRPr="00233C47" w:rsidRDefault="00233C47" w:rsidP="00233C47">
      <w:pPr>
        <w:spacing w:line="360" w:lineRule="auto"/>
        <w:jc w:val="both"/>
        <w:rPr>
          <w:rFonts w:ascii="Arial" w:hAnsi="Arial" w:cs="Arial"/>
          <w:sz w:val="24"/>
          <w:szCs w:val="24"/>
        </w:rPr>
      </w:pPr>
      <w:r w:rsidRPr="00FB5C88">
        <w:rPr>
          <w:rFonts w:ascii="Arial" w:hAnsi="Arial" w:cs="Arial"/>
          <w:sz w:val="24"/>
          <w:szCs w:val="24"/>
        </w:rPr>
        <w:t>[5]</w:t>
      </w:r>
      <w:r w:rsidRPr="00FB5C88">
        <w:rPr>
          <w:rFonts w:ascii="Arial" w:hAnsi="Arial" w:cs="Arial"/>
          <w:sz w:val="24"/>
          <w:szCs w:val="24"/>
        </w:rPr>
        <w:tab/>
      </w:r>
      <w:r w:rsidR="005F038F" w:rsidRPr="00233C47">
        <w:rPr>
          <w:rFonts w:ascii="Arial" w:hAnsi="Arial" w:cs="Arial"/>
          <w:sz w:val="24"/>
          <w:szCs w:val="24"/>
        </w:rPr>
        <w:t>The applicant avers that he was unhappy</w:t>
      </w:r>
      <w:r w:rsidR="00786E43" w:rsidRPr="00233C47">
        <w:rPr>
          <w:rFonts w:ascii="Arial" w:hAnsi="Arial" w:cs="Arial"/>
          <w:sz w:val="24"/>
          <w:szCs w:val="24"/>
        </w:rPr>
        <w:t>, for many years,</w:t>
      </w:r>
      <w:r w:rsidR="005F038F" w:rsidRPr="00233C47">
        <w:rPr>
          <w:rFonts w:ascii="Arial" w:hAnsi="Arial" w:cs="Arial"/>
          <w:sz w:val="24"/>
          <w:szCs w:val="24"/>
        </w:rPr>
        <w:t xml:space="preserve"> about the </w:t>
      </w:r>
      <w:r w:rsidR="009325DF" w:rsidRPr="00233C47">
        <w:rPr>
          <w:rFonts w:ascii="Arial" w:hAnsi="Arial" w:cs="Arial"/>
          <w:sz w:val="24"/>
          <w:szCs w:val="24"/>
        </w:rPr>
        <w:t>way</w:t>
      </w:r>
      <w:r w:rsidR="00786E43" w:rsidRPr="00233C47">
        <w:rPr>
          <w:rFonts w:ascii="Arial" w:hAnsi="Arial" w:cs="Arial"/>
          <w:sz w:val="24"/>
          <w:szCs w:val="24"/>
        </w:rPr>
        <w:t xml:space="preserve"> the proceedings had been conducted</w:t>
      </w:r>
      <w:r w:rsidR="009325DF" w:rsidRPr="00233C47">
        <w:rPr>
          <w:rFonts w:ascii="Arial" w:hAnsi="Arial" w:cs="Arial"/>
          <w:sz w:val="24"/>
          <w:szCs w:val="24"/>
        </w:rPr>
        <w:t>. He says, moreover</w:t>
      </w:r>
      <w:r w:rsidR="001502AC" w:rsidRPr="00233C47">
        <w:rPr>
          <w:rFonts w:ascii="Arial" w:hAnsi="Arial" w:cs="Arial"/>
          <w:sz w:val="24"/>
          <w:szCs w:val="24"/>
        </w:rPr>
        <w:t xml:space="preserve">, that he was unaware that he could </w:t>
      </w:r>
      <w:r w:rsidR="00F668DA" w:rsidRPr="00233C47">
        <w:rPr>
          <w:rFonts w:ascii="Arial" w:hAnsi="Arial" w:cs="Arial"/>
          <w:sz w:val="24"/>
          <w:szCs w:val="24"/>
        </w:rPr>
        <w:t xml:space="preserve">do </w:t>
      </w:r>
      <w:r w:rsidR="001502AC" w:rsidRPr="00233C47">
        <w:rPr>
          <w:rFonts w:ascii="Arial" w:hAnsi="Arial" w:cs="Arial"/>
          <w:sz w:val="24"/>
          <w:szCs w:val="24"/>
        </w:rPr>
        <w:t xml:space="preserve">anything about it. It is his assertion that he has only recently been able to raise the </w:t>
      </w:r>
      <w:r w:rsidR="001502AC" w:rsidRPr="00233C47">
        <w:rPr>
          <w:rFonts w:ascii="Arial" w:hAnsi="Arial" w:cs="Arial"/>
          <w:sz w:val="24"/>
          <w:szCs w:val="24"/>
        </w:rPr>
        <w:lastRenderedPageBreak/>
        <w:t>funds for a</w:t>
      </w:r>
      <w:r w:rsidR="00B21D81" w:rsidRPr="00233C47">
        <w:rPr>
          <w:rFonts w:ascii="Arial" w:hAnsi="Arial" w:cs="Arial"/>
          <w:sz w:val="24"/>
          <w:szCs w:val="24"/>
        </w:rPr>
        <w:t>n attorney to investigate the matter further, which has led to the present application.</w:t>
      </w:r>
    </w:p>
    <w:p w14:paraId="2F53E21B" w14:textId="77777777" w:rsidR="006A7DB5" w:rsidRDefault="006A7DB5" w:rsidP="00931D6F">
      <w:pPr>
        <w:spacing w:line="360" w:lineRule="auto"/>
        <w:rPr>
          <w:rFonts w:ascii="Arial" w:hAnsi="Arial" w:cs="Arial"/>
          <w:sz w:val="24"/>
          <w:szCs w:val="24"/>
        </w:rPr>
      </w:pPr>
    </w:p>
    <w:p w14:paraId="24BB8EF9" w14:textId="5D472FBC" w:rsidR="006A7DB5" w:rsidRPr="00713A78" w:rsidRDefault="007B32B2" w:rsidP="00FB5C88">
      <w:pPr>
        <w:spacing w:line="360" w:lineRule="auto"/>
        <w:jc w:val="both"/>
        <w:rPr>
          <w:rFonts w:ascii="Arial" w:hAnsi="Arial" w:cs="Arial"/>
          <w:b/>
          <w:bCs/>
          <w:sz w:val="24"/>
          <w:szCs w:val="24"/>
        </w:rPr>
      </w:pPr>
      <w:r w:rsidRPr="00713A78">
        <w:rPr>
          <w:rFonts w:ascii="Arial" w:hAnsi="Arial" w:cs="Arial"/>
          <w:b/>
          <w:bCs/>
          <w:sz w:val="24"/>
          <w:szCs w:val="24"/>
        </w:rPr>
        <w:t>RESPONDENTS’ CASE</w:t>
      </w:r>
    </w:p>
    <w:p w14:paraId="5793020D" w14:textId="77777777" w:rsidR="006A7DB5" w:rsidRDefault="006A7DB5" w:rsidP="00931D6F">
      <w:pPr>
        <w:spacing w:line="360" w:lineRule="auto"/>
        <w:rPr>
          <w:rFonts w:ascii="Arial" w:hAnsi="Arial" w:cs="Arial"/>
          <w:sz w:val="24"/>
          <w:szCs w:val="24"/>
        </w:rPr>
      </w:pPr>
    </w:p>
    <w:p w14:paraId="204B9BB3" w14:textId="7DEF42AD" w:rsidR="00FB5C88" w:rsidRPr="00233C47" w:rsidRDefault="00233C47" w:rsidP="00233C47">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6A7DB5" w:rsidRPr="00233C47">
        <w:rPr>
          <w:rFonts w:ascii="Arial" w:hAnsi="Arial" w:cs="Arial"/>
          <w:sz w:val="24"/>
          <w:szCs w:val="24"/>
        </w:rPr>
        <w:t>The first respondent has indicated that he intends to abide the decision of the court. He has, nonetheless, filed an answering affidavit to place the relevant facts before the court to assist in the adjudication of the matter.</w:t>
      </w:r>
      <w:r w:rsidR="00713A78" w:rsidRPr="00233C47">
        <w:rPr>
          <w:rFonts w:ascii="Arial" w:hAnsi="Arial" w:cs="Arial"/>
          <w:sz w:val="24"/>
          <w:szCs w:val="24"/>
        </w:rPr>
        <w:t xml:space="preserve"> He notes that the matter had been on the trial roll since 5 September 2011, </w:t>
      </w:r>
      <w:r w:rsidR="000E42AB" w:rsidRPr="00233C47">
        <w:rPr>
          <w:rFonts w:ascii="Arial" w:hAnsi="Arial" w:cs="Arial"/>
          <w:sz w:val="24"/>
          <w:szCs w:val="24"/>
        </w:rPr>
        <w:t>original</w:t>
      </w:r>
      <w:r w:rsidR="00713A78" w:rsidRPr="00233C47">
        <w:rPr>
          <w:rFonts w:ascii="Arial" w:hAnsi="Arial" w:cs="Arial"/>
          <w:sz w:val="24"/>
          <w:szCs w:val="24"/>
        </w:rPr>
        <w:t xml:space="preserve">ly with Mr Bence as the applicant’s attorney. </w:t>
      </w:r>
      <w:r w:rsidR="000E42AB" w:rsidRPr="00233C47">
        <w:rPr>
          <w:rFonts w:ascii="Arial" w:hAnsi="Arial" w:cs="Arial"/>
          <w:sz w:val="24"/>
          <w:szCs w:val="24"/>
        </w:rPr>
        <w:t xml:space="preserve">The </w:t>
      </w:r>
      <w:r w:rsidR="00713A78" w:rsidRPr="00233C47">
        <w:rPr>
          <w:rFonts w:ascii="Arial" w:hAnsi="Arial" w:cs="Arial"/>
          <w:sz w:val="24"/>
          <w:szCs w:val="24"/>
        </w:rPr>
        <w:t xml:space="preserve">Legal Aid </w:t>
      </w:r>
      <w:r w:rsidR="000E42AB" w:rsidRPr="00233C47">
        <w:rPr>
          <w:rFonts w:ascii="Arial" w:hAnsi="Arial" w:cs="Arial"/>
          <w:sz w:val="24"/>
          <w:szCs w:val="24"/>
        </w:rPr>
        <w:t>Board</w:t>
      </w:r>
      <w:r w:rsidR="00713A78" w:rsidRPr="00233C47">
        <w:rPr>
          <w:rFonts w:ascii="Arial" w:hAnsi="Arial" w:cs="Arial"/>
          <w:sz w:val="24"/>
          <w:szCs w:val="24"/>
        </w:rPr>
        <w:t xml:space="preserve"> appointed Mr Greeff on 24 April 2012. The latter continued as the applicant’s attorney until the commencement of trial on 14 March 2013. At no stage did the applicant ever express dissatisfaction with Mr Greeff’s appointment.</w:t>
      </w:r>
    </w:p>
    <w:p w14:paraId="2BB7DEAB" w14:textId="77777777" w:rsidR="00FB5C88" w:rsidRDefault="00FB5C88" w:rsidP="00FB5C88">
      <w:pPr>
        <w:pStyle w:val="ListParagraph"/>
        <w:spacing w:line="360" w:lineRule="auto"/>
        <w:ind w:left="0"/>
        <w:jc w:val="both"/>
        <w:rPr>
          <w:rFonts w:ascii="Arial" w:hAnsi="Arial" w:cs="Arial"/>
          <w:sz w:val="24"/>
          <w:szCs w:val="24"/>
        </w:rPr>
      </w:pPr>
    </w:p>
    <w:p w14:paraId="6794D93B" w14:textId="599C8044" w:rsidR="00B46280" w:rsidRPr="00233C47" w:rsidRDefault="00233C47" w:rsidP="00233C47">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13A78" w:rsidRPr="00233C47">
        <w:rPr>
          <w:rFonts w:ascii="Arial" w:hAnsi="Arial" w:cs="Arial"/>
          <w:sz w:val="24"/>
          <w:szCs w:val="24"/>
        </w:rPr>
        <w:t xml:space="preserve">After the applicant’s conviction but prior to sentencing proceedings, Mr Greeff requested leave to withdraw </w:t>
      </w:r>
      <w:r w:rsidR="00171D84" w:rsidRPr="00233C47">
        <w:rPr>
          <w:rFonts w:ascii="Arial" w:hAnsi="Arial" w:cs="Arial"/>
          <w:sz w:val="24"/>
          <w:szCs w:val="24"/>
        </w:rPr>
        <w:t>because he was exiting the legal profession. Mr Bence replaced him on 16 August 2013 and addressed the first respondent on 25 September 2013 in relation to sentence</w:t>
      </w:r>
      <w:r w:rsidR="00990A97" w:rsidRPr="00233C47">
        <w:rPr>
          <w:rFonts w:ascii="Arial" w:hAnsi="Arial" w:cs="Arial"/>
          <w:sz w:val="24"/>
          <w:szCs w:val="24"/>
        </w:rPr>
        <w:t>, which was handed down on the same date</w:t>
      </w:r>
      <w:r w:rsidR="00171D84" w:rsidRPr="00233C47">
        <w:rPr>
          <w:rFonts w:ascii="Arial" w:hAnsi="Arial" w:cs="Arial"/>
          <w:sz w:val="24"/>
          <w:szCs w:val="24"/>
        </w:rPr>
        <w:t xml:space="preserve">. At no stage, avers </w:t>
      </w:r>
      <w:r w:rsidR="00990A97" w:rsidRPr="00233C47">
        <w:rPr>
          <w:rFonts w:ascii="Arial" w:hAnsi="Arial" w:cs="Arial"/>
          <w:sz w:val="24"/>
          <w:szCs w:val="24"/>
        </w:rPr>
        <w:t xml:space="preserve">the first respondent, did Mr Bence </w:t>
      </w:r>
      <w:r w:rsidR="00EA25B9" w:rsidRPr="00233C47">
        <w:rPr>
          <w:rFonts w:ascii="Arial" w:hAnsi="Arial" w:cs="Arial"/>
          <w:sz w:val="24"/>
          <w:szCs w:val="24"/>
        </w:rPr>
        <w:t xml:space="preserve">ever </w:t>
      </w:r>
      <w:r w:rsidR="00990A97" w:rsidRPr="00233C47">
        <w:rPr>
          <w:rFonts w:ascii="Arial" w:hAnsi="Arial" w:cs="Arial"/>
          <w:sz w:val="24"/>
          <w:szCs w:val="24"/>
        </w:rPr>
        <w:t>raise the issue</w:t>
      </w:r>
      <w:r w:rsidR="00171D84" w:rsidRPr="00233C47">
        <w:rPr>
          <w:rFonts w:ascii="Arial" w:hAnsi="Arial" w:cs="Arial"/>
          <w:sz w:val="24"/>
          <w:szCs w:val="24"/>
        </w:rPr>
        <w:t xml:space="preserve"> </w:t>
      </w:r>
      <w:r w:rsidR="00990A97" w:rsidRPr="00233C47">
        <w:rPr>
          <w:rFonts w:ascii="Arial" w:hAnsi="Arial" w:cs="Arial"/>
          <w:sz w:val="24"/>
          <w:szCs w:val="24"/>
        </w:rPr>
        <w:t>of a</w:t>
      </w:r>
      <w:r w:rsidR="00861EC0" w:rsidRPr="00233C47">
        <w:rPr>
          <w:rFonts w:ascii="Arial" w:hAnsi="Arial" w:cs="Arial"/>
          <w:sz w:val="24"/>
          <w:szCs w:val="24"/>
        </w:rPr>
        <w:t>n</w:t>
      </w:r>
      <w:r w:rsidR="00990A97" w:rsidRPr="00233C47">
        <w:rPr>
          <w:rFonts w:ascii="Arial" w:hAnsi="Arial" w:cs="Arial"/>
          <w:sz w:val="24"/>
          <w:szCs w:val="24"/>
        </w:rPr>
        <w:t xml:space="preserve"> </w:t>
      </w:r>
      <w:r w:rsidR="00861EC0" w:rsidRPr="00233C47">
        <w:rPr>
          <w:rFonts w:ascii="Arial" w:hAnsi="Arial" w:cs="Arial"/>
          <w:sz w:val="24"/>
          <w:szCs w:val="24"/>
        </w:rPr>
        <w:t>un</w:t>
      </w:r>
      <w:r w:rsidR="00990A97" w:rsidRPr="00233C47">
        <w:rPr>
          <w:rFonts w:ascii="Arial" w:hAnsi="Arial" w:cs="Arial"/>
          <w:sz w:val="24"/>
          <w:szCs w:val="24"/>
        </w:rPr>
        <w:t xml:space="preserve">fair trial </w:t>
      </w:r>
      <w:r w:rsidR="000E42AB" w:rsidRPr="00233C47">
        <w:rPr>
          <w:rFonts w:ascii="Arial" w:hAnsi="Arial" w:cs="Arial"/>
          <w:sz w:val="24"/>
          <w:szCs w:val="24"/>
        </w:rPr>
        <w:t>or</w:t>
      </w:r>
      <w:r w:rsidR="00990A97" w:rsidRPr="00233C47">
        <w:rPr>
          <w:rFonts w:ascii="Arial" w:hAnsi="Arial" w:cs="Arial"/>
          <w:sz w:val="24"/>
          <w:szCs w:val="24"/>
        </w:rPr>
        <w:t xml:space="preserve"> the denial of the applicant’s right to be represented by a legal practitioner of his own choice, whether during the sentencing proceedings, application for leave to appeal, or as part of the applicant’s petition.</w:t>
      </w:r>
    </w:p>
    <w:p w14:paraId="545EA07F" w14:textId="77777777" w:rsidR="00B46280" w:rsidRPr="00B46280" w:rsidRDefault="00B46280" w:rsidP="00B46280">
      <w:pPr>
        <w:pStyle w:val="ListParagraph"/>
        <w:rPr>
          <w:rFonts w:ascii="Arial" w:hAnsi="Arial" w:cs="Arial"/>
          <w:sz w:val="24"/>
          <w:szCs w:val="24"/>
        </w:rPr>
      </w:pPr>
    </w:p>
    <w:p w14:paraId="1BCFA7C8" w14:textId="723107A8" w:rsidR="00B46280" w:rsidRPr="00233C47" w:rsidRDefault="00233C47" w:rsidP="00233C47">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90A97" w:rsidRPr="00233C47">
        <w:rPr>
          <w:rFonts w:ascii="Arial" w:hAnsi="Arial" w:cs="Arial"/>
          <w:sz w:val="24"/>
          <w:szCs w:val="24"/>
        </w:rPr>
        <w:t xml:space="preserve">The first respondent </w:t>
      </w:r>
      <w:r w:rsidR="00525FB6" w:rsidRPr="00233C47">
        <w:rPr>
          <w:rFonts w:ascii="Arial" w:hAnsi="Arial" w:cs="Arial"/>
          <w:sz w:val="24"/>
          <w:szCs w:val="24"/>
        </w:rPr>
        <w:t xml:space="preserve">admits that he refused to postpone the trial. He </w:t>
      </w:r>
      <w:r w:rsidR="00990A97" w:rsidRPr="00233C47">
        <w:rPr>
          <w:rFonts w:ascii="Arial" w:hAnsi="Arial" w:cs="Arial"/>
          <w:sz w:val="24"/>
          <w:szCs w:val="24"/>
        </w:rPr>
        <w:t>denies</w:t>
      </w:r>
      <w:r w:rsidR="00525FB6" w:rsidRPr="00233C47">
        <w:rPr>
          <w:rFonts w:ascii="Arial" w:hAnsi="Arial" w:cs="Arial"/>
          <w:sz w:val="24"/>
          <w:szCs w:val="24"/>
        </w:rPr>
        <w:t>, however,</w:t>
      </w:r>
      <w:r w:rsidR="00990A97" w:rsidRPr="00233C47">
        <w:rPr>
          <w:rFonts w:ascii="Arial" w:hAnsi="Arial" w:cs="Arial"/>
          <w:sz w:val="24"/>
          <w:szCs w:val="24"/>
        </w:rPr>
        <w:t xml:space="preserve"> </w:t>
      </w:r>
      <w:r w:rsidR="00525FB6" w:rsidRPr="00233C47">
        <w:rPr>
          <w:rFonts w:ascii="Arial" w:hAnsi="Arial" w:cs="Arial"/>
          <w:sz w:val="24"/>
          <w:szCs w:val="24"/>
        </w:rPr>
        <w:t xml:space="preserve">that he forced the applicant to continue with Mr Greeff or interrupted him or refused to listen to him or placed him under extreme pressure. The extract from the transcription of the record </w:t>
      </w:r>
      <w:r w:rsidR="00030C37" w:rsidRPr="00233C47">
        <w:rPr>
          <w:rFonts w:ascii="Arial" w:hAnsi="Arial" w:cs="Arial"/>
          <w:sz w:val="24"/>
          <w:szCs w:val="24"/>
        </w:rPr>
        <w:t>speaks for itself.</w:t>
      </w:r>
      <w:r w:rsidR="006C7E02" w:rsidRPr="00233C47">
        <w:rPr>
          <w:rFonts w:ascii="Arial" w:hAnsi="Arial" w:cs="Arial"/>
          <w:sz w:val="24"/>
          <w:szCs w:val="24"/>
        </w:rPr>
        <w:t xml:space="preserve"> He refused the postponement by reason of the circumstances at the time, including the long delay before commencing trial, the congested court roll, and the fact that the defence was ready to proceed.</w:t>
      </w:r>
    </w:p>
    <w:p w14:paraId="0864697E" w14:textId="77777777" w:rsidR="00B46280" w:rsidRPr="00B46280" w:rsidRDefault="00B46280" w:rsidP="00B46280">
      <w:pPr>
        <w:pStyle w:val="ListParagraph"/>
        <w:rPr>
          <w:rFonts w:ascii="Arial" w:hAnsi="Arial" w:cs="Arial"/>
          <w:sz w:val="24"/>
          <w:szCs w:val="24"/>
        </w:rPr>
      </w:pPr>
    </w:p>
    <w:p w14:paraId="58122755" w14:textId="44E1432F" w:rsidR="00B46280" w:rsidRPr="00233C47" w:rsidRDefault="00233C47" w:rsidP="00233C47">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6C7E02" w:rsidRPr="00233C47">
        <w:rPr>
          <w:rFonts w:ascii="Arial" w:hAnsi="Arial" w:cs="Arial"/>
          <w:sz w:val="24"/>
          <w:szCs w:val="24"/>
        </w:rPr>
        <w:t xml:space="preserve">The second respondent also filed an answering affidavit. As a point </w:t>
      </w:r>
      <w:r w:rsidR="006C7E02" w:rsidRPr="00233C47">
        <w:rPr>
          <w:rFonts w:ascii="Arial" w:hAnsi="Arial" w:cs="Arial"/>
          <w:i/>
          <w:iCs/>
          <w:sz w:val="24"/>
          <w:szCs w:val="24"/>
        </w:rPr>
        <w:t>in limine</w:t>
      </w:r>
      <w:r w:rsidR="006C7E02" w:rsidRPr="00233C47">
        <w:rPr>
          <w:rFonts w:ascii="Arial" w:hAnsi="Arial" w:cs="Arial"/>
          <w:sz w:val="24"/>
          <w:szCs w:val="24"/>
        </w:rPr>
        <w:t>, the second respondent contends that the applica</w:t>
      </w:r>
      <w:r w:rsidR="000E42AB" w:rsidRPr="00233C47">
        <w:rPr>
          <w:rFonts w:ascii="Arial" w:hAnsi="Arial" w:cs="Arial"/>
          <w:sz w:val="24"/>
          <w:szCs w:val="24"/>
        </w:rPr>
        <w:t>nt</w:t>
      </w:r>
      <w:r w:rsidR="006C7E02" w:rsidRPr="00233C47">
        <w:rPr>
          <w:rFonts w:ascii="Arial" w:hAnsi="Arial" w:cs="Arial"/>
          <w:sz w:val="24"/>
          <w:szCs w:val="24"/>
        </w:rPr>
        <w:t xml:space="preserve"> has failed to </w:t>
      </w:r>
      <w:r w:rsidR="0095791F" w:rsidRPr="00233C47">
        <w:rPr>
          <w:rFonts w:ascii="Arial" w:hAnsi="Arial" w:cs="Arial"/>
          <w:sz w:val="24"/>
          <w:szCs w:val="24"/>
        </w:rPr>
        <w:t xml:space="preserve">make out a case for condonation of his late filing of the present application. The applicant has failed to explain the delay from the date upon which he was convicted and sentenced until the date of these proceedings, instituted on 18 November 2020. He has failed to explain why Mr Bence never raised the alleged infringement of the applicant’s rights during the application for leave to appeal or as part of the petition. He has failed to explain what steps were taken to raise the necessary funds. </w:t>
      </w:r>
    </w:p>
    <w:p w14:paraId="4B7BDECA" w14:textId="77777777" w:rsidR="00B46280" w:rsidRPr="00B46280" w:rsidRDefault="00B46280" w:rsidP="00B46280">
      <w:pPr>
        <w:pStyle w:val="ListParagraph"/>
        <w:rPr>
          <w:rFonts w:ascii="Arial" w:hAnsi="Arial" w:cs="Arial"/>
          <w:sz w:val="24"/>
          <w:szCs w:val="24"/>
        </w:rPr>
      </w:pPr>
    </w:p>
    <w:p w14:paraId="75B15D53" w14:textId="598C0F37" w:rsidR="00B46280" w:rsidRPr="00233C47" w:rsidRDefault="00233C47" w:rsidP="00233C47">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5791F" w:rsidRPr="00233C47">
        <w:rPr>
          <w:rFonts w:ascii="Arial" w:hAnsi="Arial" w:cs="Arial"/>
          <w:sz w:val="24"/>
          <w:szCs w:val="24"/>
        </w:rPr>
        <w:t xml:space="preserve">Importantly, asserts the second respondent, the applicant has also failed to explain how he was prejudiced by the </w:t>
      </w:r>
      <w:r w:rsidR="00CF1A28" w:rsidRPr="00233C47">
        <w:rPr>
          <w:rFonts w:ascii="Arial" w:hAnsi="Arial" w:cs="Arial"/>
          <w:sz w:val="24"/>
          <w:szCs w:val="24"/>
        </w:rPr>
        <w:t xml:space="preserve">alleged violation of his rights. He has never stated that Mr Greeff conducted </w:t>
      </w:r>
      <w:r w:rsidR="002206E3" w:rsidRPr="00233C47">
        <w:rPr>
          <w:rFonts w:ascii="Arial" w:hAnsi="Arial" w:cs="Arial"/>
          <w:sz w:val="24"/>
          <w:szCs w:val="24"/>
        </w:rPr>
        <w:t>the</w:t>
      </w:r>
      <w:r w:rsidR="00CF1A28" w:rsidRPr="00233C47">
        <w:rPr>
          <w:rFonts w:ascii="Arial" w:hAnsi="Arial" w:cs="Arial"/>
          <w:sz w:val="24"/>
          <w:szCs w:val="24"/>
        </w:rPr>
        <w:t xml:space="preserve"> trial unprofessionally. He has, moreover, not dealt with the potential prejudice to the second respondent if the trial is ordered to commence afresh, some 13 years after the offences were committed.</w:t>
      </w:r>
    </w:p>
    <w:p w14:paraId="3056305D" w14:textId="77777777" w:rsidR="00B46280" w:rsidRPr="00B46280" w:rsidRDefault="00B46280" w:rsidP="00B46280">
      <w:pPr>
        <w:pStyle w:val="ListParagraph"/>
        <w:rPr>
          <w:rFonts w:ascii="Arial" w:hAnsi="Arial" w:cs="Arial"/>
          <w:sz w:val="24"/>
          <w:szCs w:val="24"/>
        </w:rPr>
      </w:pPr>
    </w:p>
    <w:p w14:paraId="63CFBD84" w14:textId="4C4A6B4D" w:rsidR="00CF1A28" w:rsidRPr="00233C47" w:rsidRDefault="00233C47" w:rsidP="00233C47">
      <w:pPr>
        <w:spacing w:line="360" w:lineRule="auto"/>
        <w:jc w:val="both"/>
        <w:rPr>
          <w:rFonts w:ascii="Arial" w:hAnsi="Arial" w:cs="Arial"/>
          <w:sz w:val="24"/>
          <w:szCs w:val="24"/>
        </w:rPr>
      </w:pPr>
      <w:r w:rsidRPr="00B46280">
        <w:rPr>
          <w:rFonts w:ascii="Arial" w:hAnsi="Arial" w:cs="Arial"/>
          <w:sz w:val="24"/>
          <w:szCs w:val="24"/>
        </w:rPr>
        <w:t>[11]</w:t>
      </w:r>
      <w:r w:rsidRPr="00B46280">
        <w:rPr>
          <w:rFonts w:ascii="Arial" w:hAnsi="Arial" w:cs="Arial"/>
          <w:sz w:val="24"/>
          <w:szCs w:val="24"/>
        </w:rPr>
        <w:tab/>
      </w:r>
      <w:r w:rsidR="00CF1A28" w:rsidRPr="00233C47">
        <w:rPr>
          <w:rFonts w:ascii="Arial" w:hAnsi="Arial" w:cs="Arial"/>
          <w:sz w:val="24"/>
          <w:szCs w:val="24"/>
        </w:rPr>
        <w:t>The second respondent, in relation to the merits, argues that the extract from the transcription of the record does not support the applicant’s contentions.</w:t>
      </w:r>
    </w:p>
    <w:p w14:paraId="5449DECF" w14:textId="77777777" w:rsidR="0085406B" w:rsidRDefault="0085406B" w:rsidP="00931D6F">
      <w:pPr>
        <w:spacing w:line="360" w:lineRule="auto"/>
        <w:rPr>
          <w:rFonts w:ascii="Arial" w:hAnsi="Arial" w:cs="Arial"/>
          <w:sz w:val="24"/>
          <w:szCs w:val="24"/>
        </w:rPr>
      </w:pPr>
    </w:p>
    <w:p w14:paraId="561A6103" w14:textId="6FB8743E" w:rsidR="0085406B" w:rsidRDefault="007B32B2" w:rsidP="00B46280">
      <w:pPr>
        <w:spacing w:line="360" w:lineRule="auto"/>
        <w:jc w:val="both"/>
        <w:rPr>
          <w:rFonts w:ascii="Arial" w:hAnsi="Arial" w:cs="Arial"/>
          <w:b/>
          <w:bCs/>
          <w:sz w:val="24"/>
          <w:szCs w:val="24"/>
        </w:rPr>
      </w:pPr>
      <w:r w:rsidRPr="0085406B">
        <w:rPr>
          <w:rFonts w:ascii="Arial" w:hAnsi="Arial" w:cs="Arial"/>
          <w:b/>
          <w:bCs/>
          <w:sz w:val="24"/>
          <w:szCs w:val="24"/>
        </w:rPr>
        <w:t>ISSUES TO BE DECIDED</w:t>
      </w:r>
    </w:p>
    <w:p w14:paraId="23FA957D" w14:textId="77777777" w:rsidR="0085406B" w:rsidRDefault="0085406B" w:rsidP="00931D6F">
      <w:pPr>
        <w:spacing w:line="360" w:lineRule="auto"/>
        <w:rPr>
          <w:rFonts w:ascii="Arial" w:hAnsi="Arial" w:cs="Arial"/>
          <w:b/>
          <w:bCs/>
          <w:sz w:val="24"/>
          <w:szCs w:val="24"/>
        </w:rPr>
      </w:pPr>
    </w:p>
    <w:p w14:paraId="31412CF8" w14:textId="19D4E2D1" w:rsidR="00B46280" w:rsidRPr="00233C47" w:rsidRDefault="00233C47" w:rsidP="00233C47">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5406B" w:rsidRPr="00233C47">
        <w:rPr>
          <w:rFonts w:ascii="Arial" w:hAnsi="Arial" w:cs="Arial"/>
          <w:sz w:val="24"/>
          <w:szCs w:val="24"/>
        </w:rPr>
        <w:t xml:space="preserve">At the outset, it is necessary to consider the second respondent’s point </w:t>
      </w:r>
      <w:r w:rsidR="0085406B" w:rsidRPr="00233C47">
        <w:rPr>
          <w:rFonts w:ascii="Arial" w:hAnsi="Arial" w:cs="Arial"/>
          <w:i/>
          <w:iCs/>
          <w:sz w:val="24"/>
          <w:szCs w:val="24"/>
        </w:rPr>
        <w:t>in limine</w:t>
      </w:r>
      <w:r w:rsidR="0085406B" w:rsidRPr="00233C47">
        <w:rPr>
          <w:rFonts w:ascii="Arial" w:hAnsi="Arial" w:cs="Arial"/>
          <w:sz w:val="24"/>
          <w:szCs w:val="24"/>
        </w:rPr>
        <w:t>. This pertains, primarily, to whether condonation for the late filing of the application ought to be granted.</w:t>
      </w:r>
    </w:p>
    <w:p w14:paraId="045E9D8E" w14:textId="77777777" w:rsidR="00B46280" w:rsidRDefault="00B46280" w:rsidP="00B46280">
      <w:pPr>
        <w:pStyle w:val="ListParagraph"/>
        <w:spacing w:line="360" w:lineRule="auto"/>
        <w:ind w:left="0"/>
        <w:jc w:val="both"/>
        <w:rPr>
          <w:rFonts w:ascii="Arial" w:hAnsi="Arial" w:cs="Arial"/>
          <w:sz w:val="24"/>
          <w:szCs w:val="24"/>
        </w:rPr>
      </w:pPr>
    </w:p>
    <w:p w14:paraId="0A96CA2D" w14:textId="558B10AE" w:rsidR="0085406B" w:rsidRPr="00233C47" w:rsidRDefault="00233C47" w:rsidP="00233C47">
      <w:pPr>
        <w:spacing w:line="360" w:lineRule="auto"/>
        <w:jc w:val="both"/>
        <w:rPr>
          <w:rFonts w:ascii="Arial" w:hAnsi="Arial" w:cs="Arial"/>
          <w:sz w:val="24"/>
          <w:szCs w:val="24"/>
        </w:rPr>
      </w:pPr>
      <w:r w:rsidRPr="00B46280">
        <w:rPr>
          <w:rFonts w:ascii="Arial" w:hAnsi="Arial" w:cs="Arial"/>
          <w:sz w:val="24"/>
          <w:szCs w:val="24"/>
        </w:rPr>
        <w:t>[13]</w:t>
      </w:r>
      <w:r w:rsidRPr="00B46280">
        <w:rPr>
          <w:rFonts w:ascii="Arial" w:hAnsi="Arial" w:cs="Arial"/>
          <w:sz w:val="24"/>
          <w:szCs w:val="24"/>
        </w:rPr>
        <w:tab/>
      </w:r>
      <w:r w:rsidR="0085406B" w:rsidRPr="00233C47">
        <w:rPr>
          <w:rFonts w:ascii="Arial" w:hAnsi="Arial" w:cs="Arial"/>
          <w:sz w:val="24"/>
          <w:szCs w:val="24"/>
        </w:rPr>
        <w:t xml:space="preserve">If there is no basis to the above, then the court will be required to consider the merits of the matter. This will entail a determination of whether the first respondent denied </w:t>
      </w:r>
      <w:r w:rsidR="0085406B" w:rsidRPr="00233C47">
        <w:rPr>
          <w:rFonts w:ascii="Arial" w:hAnsi="Arial" w:cs="Arial"/>
          <w:sz w:val="24"/>
          <w:szCs w:val="24"/>
        </w:rPr>
        <w:lastRenderedPageBreak/>
        <w:t>the applicant his right to be represented by a legal practitioner of his own choice, and whether this, in turn, infringed his constitutional right to a fair trial.</w:t>
      </w:r>
    </w:p>
    <w:p w14:paraId="41253FA0" w14:textId="77777777" w:rsidR="00114269" w:rsidRDefault="00114269" w:rsidP="00931D6F">
      <w:pPr>
        <w:spacing w:line="360" w:lineRule="auto"/>
        <w:rPr>
          <w:rFonts w:ascii="Arial" w:hAnsi="Arial" w:cs="Arial"/>
          <w:sz w:val="24"/>
          <w:szCs w:val="24"/>
        </w:rPr>
      </w:pPr>
    </w:p>
    <w:p w14:paraId="176C1EF9" w14:textId="666CCB03" w:rsidR="00114269" w:rsidRDefault="00114269" w:rsidP="00B46280">
      <w:pPr>
        <w:spacing w:line="360" w:lineRule="auto"/>
        <w:jc w:val="both"/>
        <w:rPr>
          <w:rFonts w:ascii="Arial" w:hAnsi="Arial" w:cs="Arial"/>
          <w:b/>
          <w:bCs/>
          <w:sz w:val="24"/>
          <w:szCs w:val="24"/>
        </w:rPr>
      </w:pPr>
      <w:r w:rsidRPr="00114269">
        <w:rPr>
          <w:rFonts w:ascii="Arial" w:hAnsi="Arial" w:cs="Arial"/>
          <w:b/>
          <w:bCs/>
          <w:sz w:val="24"/>
          <w:szCs w:val="24"/>
        </w:rPr>
        <w:t>LEGAL FRAMEWORK</w:t>
      </w:r>
    </w:p>
    <w:p w14:paraId="6CADAD8D" w14:textId="77777777" w:rsidR="00B46280" w:rsidRPr="00114269" w:rsidRDefault="00B46280" w:rsidP="00B46280">
      <w:pPr>
        <w:spacing w:line="360" w:lineRule="auto"/>
        <w:jc w:val="both"/>
        <w:rPr>
          <w:rFonts w:ascii="Arial" w:hAnsi="Arial" w:cs="Arial"/>
          <w:b/>
          <w:bCs/>
          <w:sz w:val="24"/>
          <w:szCs w:val="24"/>
        </w:rPr>
      </w:pPr>
    </w:p>
    <w:p w14:paraId="3C784778" w14:textId="31481010" w:rsidR="00994390" w:rsidRPr="00233C47" w:rsidRDefault="00233C47" w:rsidP="00233C47">
      <w:pPr>
        <w:spacing w:line="360" w:lineRule="auto"/>
        <w:jc w:val="both"/>
        <w:rPr>
          <w:rFonts w:ascii="Arial" w:hAnsi="Arial" w:cs="Arial"/>
          <w:sz w:val="24"/>
          <w:szCs w:val="24"/>
        </w:rPr>
      </w:pPr>
      <w:r w:rsidRPr="00B46280">
        <w:rPr>
          <w:rFonts w:ascii="Arial" w:hAnsi="Arial" w:cs="Arial"/>
          <w:sz w:val="24"/>
          <w:szCs w:val="24"/>
        </w:rPr>
        <w:t>[14]</w:t>
      </w:r>
      <w:r w:rsidRPr="00B46280">
        <w:rPr>
          <w:rFonts w:ascii="Arial" w:hAnsi="Arial" w:cs="Arial"/>
          <w:sz w:val="24"/>
          <w:szCs w:val="24"/>
        </w:rPr>
        <w:tab/>
      </w:r>
      <w:r w:rsidR="00994390" w:rsidRPr="00233C47">
        <w:rPr>
          <w:rFonts w:ascii="Arial" w:hAnsi="Arial" w:cs="Arial"/>
          <w:sz w:val="24"/>
          <w:szCs w:val="24"/>
        </w:rPr>
        <w:t xml:space="preserve">The </w:t>
      </w:r>
      <w:r w:rsidR="005674D6" w:rsidRPr="00233C47">
        <w:rPr>
          <w:rFonts w:ascii="Arial" w:hAnsi="Arial" w:cs="Arial"/>
          <w:sz w:val="24"/>
          <w:szCs w:val="24"/>
        </w:rPr>
        <w:t xml:space="preserve">point </w:t>
      </w:r>
      <w:r w:rsidR="005674D6" w:rsidRPr="00233C47">
        <w:rPr>
          <w:rFonts w:ascii="Arial" w:hAnsi="Arial" w:cs="Arial"/>
          <w:i/>
          <w:iCs/>
          <w:sz w:val="24"/>
          <w:szCs w:val="24"/>
        </w:rPr>
        <w:t>in limine</w:t>
      </w:r>
      <w:r w:rsidR="005C6A6B" w:rsidRPr="00233C47">
        <w:rPr>
          <w:rFonts w:ascii="Arial" w:hAnsi="Arial" w:cs="Arial"/>
          <w:sz w:val="24"/>
          <w:szCs w:val="24"/>
        </w:rPr>
        <w:t xml:space="preserve"> concerns the late filing of a review application </w:t>
      </w:r>
      <w:r w:rsidR="00827789" w:rsidRPr="00233C47">
        <w:rPr>
          <w:rFonts w:ascii="Arial" w:hAnsi="Arial" w:cs="Arial"/>
          <w:sz w:val="24"/>
          <w:szCs w:val="24"/>
        </w:rPr>
        <w:t xml:space="preserve">within the context of criminal proceedings in the Magistrates’ Court. It will be helpful </w:t>
      </w:r>
      <w:r w:rsidR="00E13A51" w:rsidRPr="00233C47">
        <w:rPr>
          <w:rFonts w:ascii="Arial" w:hAnsi="Arial" w:cs="Arial"/>
          <w:sz w:val="24"/>
          <w:szCs w:val="24"/>
        </w:rPr>
        <w:t>to consider the applicable principles before discussi</w:t>
      </w:r>
      <w:r w:rsidR="0016579B" w:rsidRPr="00233C47">
        <w:rPr>
          <w:rFonts w:ascii="Arial" w:hAnsi="Arial" w:cs="Arial"/>
          <w:sz w:val="24"/>
          <w:szCs w:val="24"/>
        </w:rPr>
        <w:t>ng</w:t>
      </w:r>
      <w:r w:rsidR="00E13A51" w:rsidRPr="00233C47">
        <w:rPr>
          <w:rFonts w:ascii="Arial" w:hAnsi="Arial" w:cs="Arial"/>
          <w:sz w:val="24"/>
          <w:szCs w:val="24"/>
        </w:rPr>
        <w:t xml:space="preserve"> their </w:t>
      </w:r>
      <w:r w:rsidR="005A4CF0" w:rsidRPr="00233C47">
        <w:rPr>
          <w:rFonts w:ascii="Arial" w:hAnsi="Arial" w:cs="Arial"/>
          <w:sz w:val="24"/>
          <w:szCs w:val="24"/>
        </w:rPr>
        <w:t>relevance</w:t>
      </w:r>
      <w:r w:rsidR="00E13A51" w:rsidRPr="00233C47">
        <w:rPr>
          <w:rFonts w:ascii="Arial" w:hAnsi="Arial" w:cs="Arial"/>
          <w:sz w:val="24"/>
          <w:szCs w:val="24"/>
        </w:rPr>
        <w:t xml:space="preserve"> in the present matter.</w:t>
      </w:r>
    </w:p>
    <w:p w14:paraId="2C5A2683" w14:textId="064D2B2B" w:rsidR="00E32420" w:rsidRPr="00F843BB" w:rsidRDefault="00114269" w:rsidP="00B46280">
      <w:pPr>
        <w:spacing w:line="360" w:lineRule="auto"/>
        <w:jc w:val="both"/>
        <w:rPr>
          <w:rFonts w:ascii="Arial" w:hAnsi="Arial" w:cs="Arial"/>
          <w:b/>
          <w:bCs/>
          <w:sz w:val="24"/>
          <w:szCs w:val="24"/>
        </w:rPr>
      </w:pPr>
      <w:r>
        <w:rPr>
          <w:rFonts w:ascii="Arial" w:hAnsi="Arial" w:cs="Arial"/>
          <w:b/>
          <w:bCs/>
          <w:sz w:val="24"/>
          <w:szCs w:val="24"/>
        </w:rPr>
        <w:t>Review of decision</w:t>
      </w:r>
    </w:p>
    <w:p w14:paraId="071B5006" w14:textId="77777777" w:rsidR="00E32420" w:rsidRDefault="00E32420" w:rsidP="00931D6F">
      <w:pPr>
        <w:spacing w:line="360" w:lineRule="auto"/>
        <w:rPr>
          <w:rFonts w:ascii="Arial" w:hAnsi="Arial" w:cs="Arial"/>
          <w:sz w:val="24"/>
          <w:szCs w:val="24"/>
        </w:rPr>
      </w:pPr>
    </w:p>
    <w:p w14:paraId="67CE200D" w14:textId="67763D67" w:rsidR="00B46280" w:rsidRPr="00233C47" w:rsidRDefault="00233C47" w:rsidP="00233C47">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843BB" w:rsidRPr="00233C47">
        <w:rPr>
          <w:rFonts w:ascii="Arial" w:hAnsi="Arial" w:cs="Arial"/>
          <w:sz w:val="24"/>
          <w:szCs w:val="24"/>
        </w:rPr>
        <w:t xml:space="preserve">As a starting point, </w:t>
      </w:r>
      <w:r w:rsidR="001D2917" w:rsidRPr="00233C47">
        <w:rPr>
          <w:rFonts w:ascii="Arial" w:hAnsi="Arial" w:cs="Arial"/>
          <w:sz w:val="24"/>
          <w:szCs w:val="24"/>
        </w:rPr>
        <w:t xml:space="preserve">the decision that forms the subject of this application is one taken by </w:t>
      </w:r>
      <w:r w:rsidR="000C7E5B" w:rsidRPr="00233C47">
        <w:rPr>
          <w:rFonts w:ascii="Arial" w:hAnsi="Arial" w:cs="Arial"/>
          <w:sz w:val="24"/>
          <w:szCs w:val="24"/>
        </w:rPr>
        <w:t xml:space="preserve">the first respondent in his capacity as </w:t>
      </w:r>
      <w:r w:rsidR="00CE539A" w:rsidRPr="00233C47">
        <w:rPr>
          <w:rFonts w:ascii="Arial" w:hAnsi="Arial" w:cs="Arial"/>
          <w:sz w:val="24"/>
          <w:szCs w:val="24"/>
        </w:rPr>
        <w:t xml:space="preserve">a </w:t>
      </w:r>
      <w:r w:rsidR="00785ECE" w:rsidRPr="00233C47">
        <w:rPr>
          <w:rFonts w:ascii="Arial" w:hAnsi="Arial" w:cs="Arial"/>
          <w:sz w:val="24"/>
          <w:szCs w:val="24"/>
        </w:rPr>
        <w:t xml:space="preserve">judicial officer in the performance of his </w:t>
      </w:r>
      <w:r w:rsidR="00C23CF4" w:rsidRPr="00233C47">
        <w:rPr>
          <w:rFonts w:ascii="Arial" w:hAnsi="Arial" w:cs="Arial"/>
          <w:sz w:val="24"/>
          <w:szCs w:val="24"/>
        </w:rPr>
        <w:t xml:space="preserve">judicial </w:t>
      </w:r>
      <w:r w:rsidR="000C7E5B" w:rsidRPr="00233C47">
        <w:rPr>
          <w:rFonts w:ascii="Arial" w:hAnsi="Arial" w:cs="Arial"/>
          <w:sz w:val="24"/>
          <w:szCs w:val="24"/>
        </w:rPr>
        <w:t>functions</w:t>
      </w:r>
      <w:r w:rsidR="00510451" w:rsidRPr="00233C47">
        <w:rPr>
          <w:rFonts w:ascii="Arial" w:hAnsi="Arial" w:cs="Arial"/>
          <w:sz w:val="24"/>
          <w:szCs w:val="24"/>
        </w:rPr>
        <w:t>.</w:t>
      </w:r>
      <w:r w:rsidR="00C23CF4" w:rsidRPr="00233C47">
        <w:rPr>
          <w:rFonts w:ascii="Arial" w:hAnsi="Arial" w:cs="Arial"/>
          <w:sz w:val="24"/>
          <w:szCs w:val="24"/>
        </w:rPr>
        <w:t xml:space="preserve"> This does not amount to administrative action. The procedures and remedies available under the Promotion of Administrative Justice Act 3 of 2000 (PAJA) are unavailable.</w:t>
      </w:r>
      <w:r w:rsidR="00332C10">
        <w:rPr>
          <w:rStyle w:val="FootnoteReference"/>
          <w:rFonts w:ascii="Arial" w:hAnsi="Arial" w:cs="Arial"/>
          <w:sz w:val="24"/>
          <w:szCs w:val="24"/>
        </w:rPr>
        <w:footnoteReference w:id="1"/>
      </w:r>
      <w:r w:rsidR="00C23CF4" w:rsidRPr="00233C47">
        <w:rPr>
          <w:rFonts w:ascii="Arial" w:hAnsi="Arial" w:cs="Arial"/>
          <w:sz w:val="24"/>
          <w:szCs w:val="24"/>
        </w:rPr>
        <w:t xml:space="preserve"> </w:t>
      </w:r>
    </w:p>
    <w:p w14:paraId="3451D728" w14:textId="77777777" w:rsidR="00B46280" w:rsidRDefault="00B46280" w:rsidP="00B46280">
      <w:pPr>
        <w:pStyle w:val="ListParagraph"/>
        <w:spacing w:line="360" w:lineRule="auto"/>
        <w:ind w:left="0"/>
        <w:jc w:val="both"/>
        <w:rPr>
          <w:rFonts w:ascii="Arial" w:hAnsi="Arial" w:cs="Arial"/>
          <w:sz w:val="24"/>
          <w:szCs w:val="24"/>
        </w:rPr>
      </w:pPr>
    </w:p>
    <w:p w14:paraId="070F184B" w14:textId="2B721E7B" w:rsidR="00C23CF4" w:rsidRPr="00233C47" w:rsidRDefault="00233C47" w:rsidP="00233C47">
      <w:pPr>
        <w:spacing w:line="360" w:lineRule="auto"/>
        <w:jc w:val="both"/>
        <w:rPr>
          <w:rFonts w:ascii="Arial" w:hAnsi="Arial" w:cs="Arial"/>
          <w:sz w:val="24"/>
          <w:szCs w:val="24"/>
        </w:rPr>
      </w:pPr>
      <w:r w:rsidRPr="00B46280">
        <w:rPr>
          <w:rFonts w:ascii="Arial" w:hAnsi="Arial" w:cs="Arial"/>
          <w:sz w:val="24"/>
          <w:szCs w:val="24"/>
        </w:rPr>
        <w:t>[16]</w:t>
      </w:r>
      <w:r w:rsidRPr="00B46280">
        <w:rPr>
          <w:rFonts w:ascii="Arial" w:hAnsi="Arial" w:cs="Arial"/>
          <w:sz w:val="24"/>
          <w:szCs w:val="24"/>
        </w:rPr>
        <w:tab/>
      </w:r>
      <w:r w:rsidR="00C23CF4" w:rsidRPr="00233C47">
        <w:rPr>
          <w:rFonts w:ascii="Arial" w:hAnsi="Arial" w:cs="Arial"/>
          <w:sz w:val="24"/>
          <w:szCs w:val="24"/>
        </w:rPr>
        <w:t>Instead, the application seems to fall within the ambit of section 22(1) of the Superior Courts Act 10 of 2013, which provides as follows:</w:t>
      </w:r>
    </w:p>
    <w:p w14:paraId="17A5230A" w14:textId="700DC274" w:rsidR="00C23CF4" w:rsidRPr="009B0F5E" w:rsidRDefault="00C23CF4" w:rsidP="00B46280">
      <w:pPr>
        <w:spacing w:line="360" w:lineRule="auto"/>
        <w:ind w:left="720"/>
        <w:jc w:val="both"/>
        <w:rPr>
          <w:rFonts w:ascii="Arial" w:hAnsi="Arial" w:cs="Arial"/>
          <w:sz w:val="20"/>
          <w:szCs w:val="20"/>
        </w:rPr>
      </w:pPr>
      <w:r w:rsidRPr="009B0F5E">
        <w:rPr>
          <w:rFonts w:ascii="Arial" w:hAnsi="Arial" w:cs="Arial"/>
          <w:sz w:val="20"/>
          <w:szCs w:val="20"/>
        </w:rPr>
        <w:t>‘(1)</w:t>
      </w:r>
      <w:r w:rsidRPr="009B0F5E">
        <w:rPr>
          <w:rFonts w:ascii="Arial" w:hAnsi="Arial" w:cs="Arial"/>
          <w:sz w:val="20"/>
          <w:szCs w:val="20"/>
        </w:rPr>
        <w:tab/>
        <w:t>The grounds upon which the proceedings of any Magistrates’ Court may be brought under review before a court of a Division are–</w:t>
      </w:r>
    </w:p>
    <w:p w14:paraId="35EB1047" w14:textId="4C6DF186" w:rsidR="00C23CF4" w:rsidRPr="00233C47" w:rsidRDefault="00233C47" w:rsidP="00233C47">
      <w:pPr>
        <w:spacing w:line="360" w:lineRule="auto"/>
        <w:ind w:left="1800" w:hanging="360"/>
        <w:jc w:val="both"/>
        <w:rPr>
          <w:rFonts w:ascii="Arial" w:hAnsi="Arial" w:cs="Arial"/>
          <w:sz w:val="20"/>
          <w:szCs w:val="20"/>
        </w:rPr>
      </w:pPr>
      <w:r w:rsidRPr="009B0F5E">
        <w:rPr>
          <w:rFonts w:ascii="Arial" w:hAnsi="Arial" w:cs="Arial"/>
          <w:sz w:val="20"/>
          <w:szCs w:val="20"/>
        </w:rPr>
        <w:t>(a)</w:t>
      </w:r>
      <w:r w:rsidRPr="009B0F5E">
        <w:rPr>
          <w:rFonts w:ascii="Arial" w:hAnsi="Arial" w:cs="Arial"/>
          <w:sz w:val="20"/>
          <w:szCs w:val="20"/>
        </w:rPr>
        <w:tab/>
      </w:r>
      <w:r w:rsidR="00C23CF4" w:rsidRPr="00233C47">
        <w:rPr>
          <w:rFonts w:ascii="Arial" w:hAnsi="Arial" w:cs="Arial"/>
          <w:sz w:val="20"/>
          <w:szCs w:val="20"/>
        </w:rPr>
        <w:t>…</w:t>
      </w:r>
    </w:p>
    <w:p w14:paraId="50A3DB48" w14:textId="531ABAA3" w:rsidR="00C23CF4" w:rsidRPr="00233C47" w:rsidRDefault="00233C47" w:rsidP="00233C47">
      <w:pPr>
        <w:spacing w:line="360" w:lineRule="auto"/>
        <w:ind w:left="1800" w:hanging="360"/>
        <w:jc w:val="both"/>
        <w:rPr>
          <w:rFonts w:ascii="Arial" w:hAnsi="Arial" w:cs="Arial"/>
          <w:sz w:val="20"/>
          <w:szCs w:val="20"/>
        </w:rPr>
      </w:pPr>
      <w:r w:rsidRPr="009B0F5E">
        <w:rPr>
          <w:rFonts w:ascii="Arial" w:hAnsi="Arial" w:cs="Arial"/>
          <w:sz w:val="20"/>
          <w:szCs w:val="20"/>
        </w:rPr>
        <w:t>(b)</w:t>
      </w:r>
      <w:r w:rsidRPr="009B0F5E">
        <w:rPr>
          <w:rFonts w:ascii="Arial" w:hAnsi="Arial" w:cs="Arial"/>
          <w:sz w:val="20"/>
          <w:szCs w:val="20"/>
        </w:rPr>
        <w:tab/>
      </w:r>
      <w:r w:rsidR="00C23CF4" w:rsidRPr="00233C47">
        <w:rPr>
          <w:rFonts w:ascii="Arial" w:hAnsi="Arial" w:cs="Arial"/>
          <w:sz w:val="20"/>
          <w:szCs w:val="20"/>
        </w:rPr>
        <w:t>interest in the cause, bias, malice or corruption on the part of the presiding judicial officer;</w:t>
      </w:r>
    </w:p>
    <w:p w14:paraId="306B52A9" w14:textId="72F260EC" w:rsidR="00C23CF4" w:rsidRPr="00233C47" w:rsidRDefault="00233C47" w:rsidP="00233C47">
      <w:pPr>
        <w:spacing w:line="360" w:lineRule="auto"/>
        <w:ind w:left="1800" w:hanging="360"/>
        <w:jc w:val="both"/>
        <w:rPr>
          <w:rFonts w:ascii="Arial" w:hAnsi="Arial" w:cs="Arial"/>
          <w:sz w:val="20"/>
          <w:szCs w:val="20"/>
        </w:rPr>
      </w:pPr>
      <w:r w:rsidRPr="009B0F5E">
        <w:rPr>
          <w:rFonts w:ascii="Arial" w:hAnsi="Arial" w:cs="Arial"/>
          <w:sz w:val="20"/>
          <w:szCs w:val="20"/>
        </w:rPr>
        <w:t>(c)</w:t>
      </w:r>
      <w:r w:rsidRPr="009B0F5E">
        <w:rPr>
          <w:rFonts w:ascii="Arial" w:hAnsi="Arial" w:cs="Arial"/>
          <w:sz w:val="20"/>
          <w:szCs w:val="20"/>
        </w:rPr>
        <w:tab/>
      </w:r>
      <w:r w:rsidR="00C23CF4" w:rsidRPr="00233C47">
        <w:rPr>
          <w:rFonts w:ascii="Arial" w:hAnsi="Arial" w:cs="Arial"/>
          <w:sz w:val="20"/>
          <w:szCs w:val="20"/>
        </w:rPr>
        <w:t>gross irregularity in the proceedings; and</w:t>
      </w:r>
    </w:p>
    <w:p w14:paraId="0E3FC444" w14:textId="3BF466F9" w:rsidR="00C23CF4" w:rsidRPr="00233C47" w:rsidRDefault="00233C47" w:rsidP="00233C47">
      <w:pPr>
        <w:spacing w:line="360" w:lineRule="auto"/>
        <w:ind w:left="1800" w:hanging="360"/>
        <w:jc w:val="both"/>
        <w:rPr>
          <w:rFonts w:ascii="Arial" w:hAnsi="Arial" w:cs="Arial"/>
          <w:sz w:val="20"/>
          <w:szCs w:val="20"/>
        </w:rPr>
      </w:pPr>
      <w:r w:rsidRPr="009B0F5E">
        <w:rPr>
          <w:rFonts w:ascii="Arial" w:hAnsi="Arial" w:cs="Arial"/>
          <w:sz w:val="20"/>
          <w:szCs w:val="20"/>
        </w:rPr>
        <w:lastRenderedPageBreak/>
        <w:t>(d)</w:t>
      </w:r>
      <w:r w:rsidRPr="009B0F5E">
        <w:rPr>
          <w:rFonts w:ascii="Arial" w:hAnsi="Arial" w:cs="Arial"/>
          <w:sz w:val="20"/>
          <w:szCs w:val="20"/>
        </w:rPr>
        <w:tab/>
      </w:r>
      <w:r w:rsidR="00C23CF4" w:rsidRPr="00233C47">
        <w:rPr>
          <w:rFonts w:ascii="Arial" w:hAnsi="Arial" w:cs="Arial"/>
          <w:sz w:val="20"/>
          <w:szCs w:val="20"/>
        </w:rPr>
        <w:t>…’</w:t>
      </w:r>
    </w:p>
    <w:p w14:paraId="68A26ED0" w14:textId="77777777" w:rsidR="009B0F5E" w:rsidRDefault="009B0F5E" w:rsidP="00931D6F">
      <w:pPr>
        <w:spacing w:line="360" w:lineRule="auto"/>
        <w:rPr>
          <w:rFonts w:ascii="Arial" w:hAnsi="Arial" w:cs="Arial"/>
          <w:sz w:val="24"/>
          <w:szCs w:val="24"/>
        </w:rPr>
      </w:pPr>
    </w:p>
    <w:p w14:paraId="64A448CD" w14:textId="1F793E68" w:rsidR="00E32420" w:rsidRPr="00233C47" w:rsidRDefault="00233C47" w:rsidP="00233C47">
      <w:pPr>
        <w:spacing w:line="360" w:lineRule="auto"/>
        <w:jc w:val="both"/>
        <w:rPr>
          <w:rFonts w:ascii="Arial" w:hAnsi="Arial" w:cs="Arial"/>
          <w:sz w:val="24"/>
          <w:szCs w:val="24"/>
        </w:rPr>
      </w:pPr>
      <w:r w:rsidRPr="00B46280">
        <w:rPr>
          <w:rFonts w:ascii="Arial" w:hAnsi="Arial" w:cs="Arial"/>
          <w:sz w:val="24"/>
          <w:szCs w:val="24"/>
        </w:rPr>
        <w:t>[17]</w:t>
      </w:r>
      <w:r w:rsidRPr="00B46280">
        <w:rPr>
          <w:rFonts w:ascii="Arial" w:hAnsi="Arial" w:cs="Arial"/>
          <w:sz w:val="24"/>
          <w:szCs w:val="24"/>
        </w:rPr>
        <w:tab/>
      </w:r>
      <w:r w:rsidR="009B0F5E" w:rsidRPr="00233C47">
        <w:rPr>
          <w:rFonts w:ascii="Arial" w:hAnsi="Arial" w:cs="Arial"/>
          <w:sz w:val="24"/>
          <w:szCs w:val="24"/>
        </w:rPr>
        <w:t xml:space="preserve">There has been some debate about the extent to which </w:t>
      </w:r>
      <w:r w:rsidR="00F843BB" w:rsidRPr="00233C47">
        <w:rPr>
          <w:rFonts w:ascii="Arial" w:hAnsi="Arial" w:cs="Arial"/>
          <w:sz w:val="24"/>
          <w:szCs w:val="24"/>
        </w:rPr>
        <w:t xml:space="preserve">section </w:t>
      </w:r>
      <w:r w:rsidR="00940EFC" w:rsidRPr="00233C47">
        <w:rPr>
          <w:rFonts w:ascii="Arial" w:hAnsi="Arial" w:cs="Arial"/>
          <w:sz w:val="24"/>
          <w:szCs w:val="24"/>
        </w:rPr>
        <w:t>173 of the Constitution</w:t>
      </w:r>
      <w:r w:rsidR="00B80B9D" w:rsidRPr="00233C47">
        <w:rPr>
          <w:rFonts w:ascii="Arial" w:hAnsi="Arial" w:cs="Arial"/>
          <w:sz w:val="24"/>
          <w:szCs w:val="24"/>
        </w:rPr>
        <w:t xml:space="preserve"> </w:t>
      </w:r>
      <w:r w:rsidR="009B0F5E" w:rsidRPr="00233C47">
        <w:rPr>
          <w:rFonts w:ascii="Arial" w:hAnsi="Arial" w:cs="Arial"/>
          <w:sz w:val="24"/>
          <w:szCs w:val="24"/>
        </w:rPr>
        <w:t>enhances or extends the review powers of the High Court.</w:t>
      </w:r>
      <w:r w:rsidR="009B0F5E">
        <w:rPr>
          <w:rStyle w:val="FootnoteReference"/>
          <w:rFonts w:ascii="Arial" w:hAnsi="Arial" w:cs="Arial"/>
          <w:sz w:val="24"/>
          <w:szCs w:val="24"/>
        </w:rPr>
        <w:footnoteReference w:id="2"/>
      </w:r>
      <w:r w:rsidR="009B0F5E" w:rsidRPr="00233C47">
        <w:rPr>
          <w:rFonts w:ascii="Arial" w:hAnsi="Arial" w:cs="Arial"/>
          <w:sz w:val="24"/>
          <w:szCs w:val="24"/>
        </w:rPr>
        <w:t xml:space="preserve"> For immediate purposes, the court is satisfied that either </w:t>
      </w:r>
      <w:r w:rsidR="003806F5" w:rsidRPr="00233C47">
        <w:rPr>
          <w:rFonts w:ascii="Arial" w:hAnsi="Arial" w:cs="Arial"/>
          <w:sz w:val="24"/>
          <w:szCs w:val="24"/>
        </w:rPr>
        <w:t>or both grounds</w:t>
      </w:r>
      <w:r w:rsidR="009B0F5E" w:rsidRPr="00233C47">
        <w:rPr>
          <w:rFonts w:ascii="Arial" w:hAnsi="Arial" w:cs="Arial"/>
          <w:sz w:val="24"/>
          <w:szCs w:val="24"/>
        </w:rPr>
        <w:t xml:space="preserve"> stipulated in </w:t>
      </w:r>
      <w:r w:rsidR="003806F5" w:rsidRPr="00233C47">
        <w:rPr>
          <w:rFonts w:ascii="Arial" w:hAnsi="Arial" w:cs="Arial"/>
          <w:sz w:val="24"/>
          <w:szCs w:val="24"/>
        </w:rPr>
        <w:t>terms of section 22(1)(b) and (c), above, inform the present application.</w:t>
      </w:r>
    </w:p>
    <w:p w14:paraId="02D06317" w14:textId="7FFF0A0A" w:rsidR="003806F5" w:rsidRPr="00233C47" w:rsidRDefault="00233C47" w:rsidP="00233C47">
      <w:pPr>
        <w:spacing w:line="360" w:lineRule="auto"/>
        <w:jc w:val="both"/>
        <w:rPr>
          <w:rFonts w:ascii="Arial" w:hAnsi="Arial" w:cs="Arial"/>
          <w:sz w:val="24"/>
          <w:szCs w:val="24"/>
        </w:rPr>
      </w:pPr>
      <w:r w:rsidRPr="003F1ADA">
        <w:rPr>
          <w:rFonts w:ascii="Arial" w:hAnsi="Arial" w:cs="Arial"/>
          <w:sz w:val="24"/>
          <w:szCs w:val="24"/>
        </w:rPr>
        <w:t>[18]</w:t>
      </w:r>
      <w:r w:rsidRPr="003F1ADA">
        <w:rPr>
          <w:rFonts w:ascii="Arial" w:hAnsi="Arial" w:cs="Arial"/>
          <w:sz w:val="24"/>
          <w:szCs w:val="24"/>
        </w:rPr>
        <w:tab/>
      </w:r>
      <w:r w:rsidR="003806F5" w:rsidRPr="00233C47">
        <w:rPr>
          <w:rFonts w:ascii="Arial" w:hAnsi="Arial" w:cs="Arial"/>
          <w:sz w:val="24"/>
          <w:szCs w:val="24"/>
        </w:rPr>
        <w:t xml:space="preserve">Regarding the meaning of ‘gross irregularity’, counsel for the first and second respondents referred to </w:t>
      </w:r>
      <w:r w:rsidR="00312FA7" w:rsidRPr="00233C47">
        <w:rPr>
          <w:rFonts w:ascii="Arial" w:hAnsi="Arial" w:cs="Arial"/>
          <w:i/>
          <w:iCs/>
          <w:sz w:val="24"/>
          <w:szCs w:val="24"/>
        </w:rPr>
        <w:t>Magistrate Pangarker v Botha</w:t>
      </w:r>
      <w:r w:rsidR="00312FA7" w:rsidRPr="00233C47">
        <w:rPr>
          <w:rFonts w:ascii="Arial" w:hAnsi="Arial" w:cs="Arial"/>
          <w:sz w:val="24"/>
          <w:szCs w:val="24"/>
        </w:rPr>
        <w:t>,</w:t>
      </w:r>
      <w:r w:rsidR="00312FA7">
        <w:rPr>
          <w:rStyle w:val="FootnoteReference"/>
          <w:rFonts w:ascii="Arial" w:hAnsi="Arial" w:cs="Arial"/>
          <w:sz w:val="24"/>
          <w:szCs w:val="24"/>
        </w:rPr>
        <w:footnoteReference w:id="3"/>
      </w:r>
      <w:r w:rsidR="00312FA7" w:rsidRPr="00233C47">
        <w:rPr>
          <w:rFonts w:ascii="Arial" w:hAnsi="Arial" w:cs="Arial"/>
          <w:sz w:val="24"/>
          <w:szCs w:val="24"/>
        </w:rPr>
        <w:t xml:space="preserve"> where Mhlantla JA expressed approval for the definition given by Van Loggerenberg:</w:t>
      </w:r>
    </w:p>
    <w:p w14:paraId="1899D77F" w14:textId="1A304191" w:rsidR="00312FA7" w:rsidRPr="00114269" w:rsidRDefault="00312FA7" w:rsidP="003F1ADA">
      <w:pPr>
        <w:spacing w:line="360" w:lineRule="auto"/>
        <w:ind w:left="720"/>
        <w:jc w:val="both"/>
        <w:rPr>
          <w:rFonts w:ascii="Arial" w:hAnsi="Arial" w:cs="Arial"/>
          <w:sz w:val="20"/>
          <w:szCs w:val="20"/>
        </w:rPr>
      </w:pPr>
      <w:r w:rsidRPr="00114269">
        <w:rPr>
          <w:rFonts w:ascii="Arial" w:hAnsi="Arial" w:cs="Arial"/>
          <w:sz w:val="20"/>
          <w:szCs w:val="20"/>
        </w:rPr>
        <w:t>‘an irregular act or omission by the presiding judicial officer… in respect of the proceedings of so gross a nature that it was calculated to prejudice the aggrieved litigant, on proof of which the court would set aside such proceedings unless it was satisfied that the litigant had in fact not suffered any prejudice.’</w:t>
      </w:r>
      <w:r w:rsidRPr="00114269">
        <w:rPr>
          <w:rStyle w:val="FootnoteReference"/>
          <w:rFonts w:ascii="Arial" w:hAnsi="Arial" w:cs="Arial"/>
          <w:sz w:val="20"/>
          <w:szCs w:val="20"/>
        </w:rPr>
        <w:footnoteReference w:id="4"/>
      </w:r>
    </w:p>
    <w:p w14:paraId="230F4B3F" w14:textId="77777777" w:rsidR="00114269" w:rsidRDefault="00114269" w:rsidP="00114269">
      <w:pPr>
        <w:spacing w:line="360" w:lineRule="auto"/>
        <w:rPr>
          <w:rFonts w:ascii="Arial" w:hAnsi="Arial" w:cs="Arial"/>
          <w:sz w:val="24"/>
          <w:szCs w:val="24"/>
        </w:rPr>
      </w:pPr>
    </w:p>
    <w:p w14:paraId="02BEEE60" w14:textId="1E29AECF" w:rsidR="00114269" w:rsidRPr="00233C47" w:rsidRDefault="00233C47" w:rsidP="00233C47">
      <w:pPr>
        <w:spacing w:line="360" w:lineRule="auto"/>
        <w:jc w:val="both"/>
        <w:rPr>
          <w:rFonts w:ascii="Arial" w:hAnsi="Arial" w:cs="Arial"/>
          <w:sz w:val="24"/>
          <w:szCs w:val="24"/>
        </w:rPr>
      </w:pPr>
      <w:r w:rsidRPr="003F1ADA">
        <w:rPr>
          <w:rFonts w:ascii="Arial" w:hAnsi="Arial" w:cs="Arial"/>
          <w:sz w:val="24"/>
          <w:szCs w:val="24"/>
        </w:rPr>
        <w:t>[19]</w:t>
      </w:r>
      <w:r w:rsidRPr="003F1ADA">
        <w:rPr>
          <w:rFonts w:ascii="Arial" w:hAnsi="Arial" w:cs="Arial"/>
          <w:sz w:val="24"/>
          <w:szCs w:val="24"/>
        </w:rPr>
        <w:tab/>
      </w:r>
      <w:r w:rsidR="00114269" w:rsidRPr="00233C47">
        <w:rPr>
          <w:rFonts w:ascii="Arial" w:hAnsi="Arial" w:cs="Arial"/>
          <w:sz w:val="24"/>
          <w:szCs w:val="24"/>
        </w:rPr>
        <w:t>The above meaning will be considered further in due course. At this stage, however, it is necessary to restate the principles applicable to the delay in the launching of the present application.</w:t>
      </w:r>
    </w:p>
    <w:p w14:paraId="37EC45DB" w14:textId="77777777" w:rsidR="00114269" w:rsidRDefault="00114269" w:rsidP="00114269">
      <w:pPr>
        <w:spacing w:line="360" w:lineRule="auto"/>
        <w:rPr>
          <w:rFonts w:ascii="Arial" w:hAnsi="Arial" w:cs="Arial"/>
          <w:sz w:val="24"/>
          <w:szCs w:val="24"/>
        </w:rPr>
      </w:pPr>
    </w:p>
    <w:p w14:paraId="15B07969" w14:textId="5D987BFA" w:rsidR="00114269" w:rsidRPr="00114269" w:rsidRDefault="00114269" w:rsidP="003F1ADA">
      <w:pPr>
        <w:spacing w:line="360" w:lineRule="auto"/>
        <w:jc w:val="both"/>
        <w:rPr>
          <w:rFonts w:ascii="Arial" w:hAnsi="Arial" w:cs="Arial"/>
          <w:b/>
          <w:bCs/>
          <w:sz w:val="24"/>
          <w:szCs w:val="24"/>
        </w:rPr>
      </w:pPr>
      <w:r w:rsidRPr="00114269">
        <w:rPr>
          <w:rFonts w:ascii="Arial" w:hAnsi="Arial" w:cs="Arial"/>
          <w:b/>
          <w:bCs/>
          <w:sz w:val="24"/>
          <w:szCs w:val="24"/>
        </w:rPr>
        <w:t>Delay in institution of review proceedings</w:t>
      </w:r>
    </w:p>
    <w:p w14:paraId="4C7DDDE8" w14:textId="77777777" w:rsidR="00114269" w:rsidRDefault="00114269" w:rsidP="00114269">
      <w:pPr>
        <w:spacing w:line="360" w:lineRule="auto"/>
        <w:rPr>
          <w:rFonts w:ascii="Arial" w:hAnsi="Arial" w:cs="Arial"/>
          <w:sz w:val="24"/>
          <w:szCs w:val="24"/>
        </w:rPr>
      </w:pPr>
    </w:p>
    <w:p w14:paraId="6A9F6400" w14:textId="6835083C" w:rsidR="00114269" w:rsidRPr="00233C47" w:rsidRDefault="00233C47" w:rsidP="00233C47">
      <w:pPr>
        <w:spacing w:line="360" w:lineRule="auto"/>
        <w:jc w:val="both"/>
        <w:rPr>
          <w:rFonts w:ascii="Arial" w:hAnsi="Arial" w:cs="Arial"/>
          <w:sz w:val="24"/>
          <w:szCs w:val="24"/>
        </w:rPr>
      </w:pPr>
      <w:r w:rsidRPr="000C45A4">
        <w:rPr>
          <w:rFonts w:ascii="Arial" w:hAnsi="Arial" w:cs="Arial"/>
          <w:sz w:val="24"/>
          <w:szCs w:val="24"/>
        </w:rPr>
        <w:t>[20]</w:t>
      </w:r>
      <w:r w:rsidRPr="000C45A4">
        <w:rPr>
          <w:rFonts w:ascii="Arial" w:hAnsi="Arial" w:cs="Arial"/>
          <w:sz w:val="24"/>
          <w:szCs w:val="24"/>
        </w:rPr>
        <w:tab/>
      </w:r>
      <w:r w:rsidR="00600234" w:rsidRPr="00233C47">
        <w:rPr>
          <w:rFonts w:ascii="Arial" w:hAnsi="Arial" w:cs="Arial"/>
          <w:sz w:val="24"/>
          <w:szCs w:val="24"/>
        </w:rPr>
        <w:t xml:space="preserve">It is trite that an applicant who fails to challenge </w:t>
      </w:r>
      <w:r w:rsidR="00783ECE" w:rsidRPr="00233C47">
        <w:rPr>
          <w:rFonts w:ascii="Arial" w:hAnsi="Arial" w:cs="Arial"/>
          <w:sz w:val="24"/>
          <w:szCs w:val="24"/>
        </w:rPr>
        <w:t xml:space="preserve">without delay the decision or proceedings of the Magistrates’ Court or a tribunal or board or official performing judicial, </w:t>
      </w:r>
      <w:r w:rsidR="00783ECE" w:rsidRPr="00233C47">
        <w:rPr>
          <w:rFonts w:ascii="Arial" w:hAnsi="Arial" w:cs="Arial"/>
          <w:sz w:val="24"/>
          <w:szCs w:val="24"/>
        </w:rPr>
        <w:lastRenderedPageBreak/>
        <w:t>quasi-judicial, or administrative functions, may well be barred from doing so.</w:t>
      </w:r>
      <w:r w:rsidR="00783ECE">
        <w:rPr>
          <w:rStyle w:val="FootnoteReference"/>
          <w:rFonts w:ascii="Arial" w:hAnsi="Arial" w:cs="Arial"/>
          <w:sz w:val="24"/>
          <w:szCs w:val="24"/>
        </w:rPr>
        <w:footnoteReference w:id="5"/>
      </w:r>
      <w:r w:rsidR="00783ECE" w:rsidRPr="00233C47">
        <w:rPr>
          <w:rFonts w:ascii="Arial" w:hAnsi="Arial" w:cs="Arial"/>
          <w:sz w:val="24"/>
          <w:szCs w:val="24"/>
        </w:rPr>
        <w:t xml:space="preserve"> Hoexter and Penfold explain that there are two main reasons that underpin the so-called ‘delay rule’: </w:t>
      </w:r>
      <w:r w:rsidR="000639AA" w:rsidRPr="00233C47">
        <w:rPr>
          <w:rFonts w:ascii="Arial" w:hAnsi="Arial" w:cs="Arial"/>
          <w:sz w:val="24"/>
          <w:szCs w:val="24"/>
        </w:rPr>
        <w:t>to curb potential prejudice that may arise from the delay; and to promote the value of finality and certainty in relation to public decision-making.</w:t>
      </w:r>
      <w:r w:rsidR="000639AA">
        <w:rPr>
          <w:rStyle w:val="FootnoteReference"/>
          <w:rFonts w:ascii="Arial" w:hAnsi="Arial" w:cs="Arial"/>
          <w:sz w:val="24"/>
          <w:szCs w:val="24"/>
        </w:rPr>
        <w:footnoteReference w:id="6"/>
      </w:r>
    </w:p>
    <w:p w14:paraId="2D94FA3A" w14:textId="28661FDB" w:rsidR="00792202" w:rsidRPr="00233C47" w:rsidRDefault="00233C47" w:rsidP="00233C47">
      <w:pPr>
        <w:spacing w:line="360" w:lineRule="auto"/>
        <w:jc w:val="both"/>
        <w:rPr>
          <w:rFonts w:ascii="Arial" w:hAnsi="Arial" w:cs="Arial"/>
          <w:sz w:val="24"/>
          <w:szCs w:val="24"/>
        </w:rPr>
      </w:pPr>
      <w:r w:rsidRPr="008C01E9">
        <w:rPr>
          <w:rFonts w:ascii="Arial" w:hAnsi="Arial" w:cs="Arial"/>
          <w:sz w:val="24"/>
          <w:szCs w:val="24"/>
        </w:rPr>
        <w:t>[21]</w:t>
      </w:r>
      <w:r w:rsidRPr="008C01E9">
        <w:rPr>
          <w:rFonts w:ascii="Arial" w:hAnsi="Arial" w:cs="Arial"/>
          <w:sz w:val="24"/>
          <w:szCs w:val="24"/>
        </w:rPr>
        <w:tab/>
      </w:r>
      <w:r w:rsidR="00792202" w:rsidRPr="00233C47">
        <w:rPr>
          <w:rFonts w:ascii="Arial" w:hAnsi="Arial" w:cs="Arial"/>
          <w:sz w:val="24"/>
          <w:szCs w:val="24"/>
        </w:rPr>
        <w:t xml:space="preserve">The Supreme Court of Appeal dealt with a review application that fell under the common law, not PAJA, in </w:t>
      </w:r>
      <w:bookmarkStart w:id="1" w:name="_Hlk141710825"/>
      <w:r w:rsidR="00792202" w:rsidRPr="00233C47">
        <w:rPr>
          <w:rFonts w:ascii="Arial" w:hAnsi="Arial" w:cs="Arial"/>
          <w:i/>
          <w:iCs/>
          <w:sz w:val="24"/>
          <w:szCs w:val="24"/>
        </w:rPr>
        <w:t>Associated Institutions Pension Fund</w:t>
      </w:r>
      <w:bookmarkEnd w:id="1"/>
      <w:r w:rsidR="00792202" w:rsidRPr="00233C47">
        <w:rPr>
          <w:rFonts w:ascii="Arial" w:hAnsi="Arial" w:cs="Arial"/>
          <w:i/>
          <w:iCs/>
          <w:sz w:val="24"/>
          <w:szCs w:val="24"/>
        </w:rPr>
        <w:t xml:space="preserve"> v Van Zyl</w:t>
      </w:r>
      <w:r w:rsidR="00792202" w:rsidRPr="00233C47">
        <w:rPr>
          <w:rFonts w:ascii="Arial" w:hAnsi="Arial" w:cs="Arial"/>
          <w:sz w:val="24"/>
          <w:szCs w:val="24"/>
        </w:rPr>
        <w:t>,</w:t>
      </w:r>
      <w:r w:rsidR="00792202">
        <w:rPr>
          <w:rStyle w:val="FootnoteReference"/>
          <w:rFonts w:ascii="Arial" w:hAnsi="Arial" w:cs="Arial"/>
          <w:sz w:val="24"/>
          <w:szCs w:val="24"/>
        </w:rPr>
        <w:footnoteReference w:id="7"/>
      </w:r>
      <w:r w:rsidR="00792202" w:rsidRPr="00233C47">
        <w:rPr>
          <w:rFonts w:ascii="Arial" w:hAnsi="Arial" w:cs="Arial"/>
          <w:sz w:val="24"/>
          <w:szCs w:val="24"/>
        </w:rPr>
        <w:t xml:space="preserve"> where Brand JA held as follows:</w:t>
      </w:r>
    </w:p>
    <w:p w14:paraId="75E6FB5E" w14:textId="3C5A1522" w:rsidR="00792202" w:rsidRPr="005E1C49" w:rsidRDefault="00792202" w:rsidP="008C01E9">
      <w:pPr>
        <w:spacing w:line="360" w:lineRule="auto"/>
        <w:ind w:left="720"/>
        <w:jc w:val="both"/>
        <w:rPr>
          <w:rFonts w:ascii="Arial" w:hAnsi="Arial" w:cs="Arial"/>
          <w:sz w:val="20"/>
          <w:szCs w:val="20"/>
        </w:rPr>
      </w:pPr>
      <w:r w:rsidRPr="005E1C49">
        <w:rPr>
          <w:rFonts w:ascii="Arial" w:hAnsi="Arial" w:cs="Arial"/>
          <w:sz w:val="20"/>
          <w:szCs w:val="20"/>
        </w:rPr>
        <w:t>‘…Since PAJA only came into operation on 30 November 2000 the limitation of 180 days in s 7(1) does not apply to these proceedings. The validity of the defence of unreasonable delay must therefore be considered with reference to common-law principles. It is a longstanding rule that courts have the power, as part of their inherent jurisdiction to regulate their own proceedings, to refuse a review application if the aggrieved party had been guilty of unreasonable delay in initiating the proceedings</w:t>
      </w:r>
      <w:r w:rsidR="003A6134" w:rsidRPr="005E1C49">
        <w:rPr>
          <w:rFonts w:ascii="Arial" w:hAnsi="Arial" w:cs="Arial"/>
          <w:sz w:val="20"/>
          <w:szCs w:val="20"/>
        </w:rPr>
        <w:t xml:space="preserve">. The effect is that, in a sense, delay would “validate” the invalid administrative action… The </w:t>
      </w:r>
      <w:r w:rsidR="003A6134" w:rsidRPr="005E1C49">
        <w:rPr>
          <w:rFonts w:ascii="Arial" w:hAnsi="Arial" w:cs="Arial"/>
          <w:i/>
          <w:iCs/>
          <w:sz w:val="20"/>
          <w:szCs w:val="20"/>
        </w:rPr>
        <w:t>raison d’être</w:t>
      </w:r>
      <w:r w:rsidR="003A6134" w:rsidRPr="005E1C49">
        <w:rPr>
          <w:rFonts w:ascii="Arial" w:hAnsi="Arial" w:cs="Arial"/>
          <w:sz w:val="20"/>
          <w:szCs w:val="20"/>
        </w:rPr>
        <w:t xml:space="preserve"> of the rule is said to be twofold. First, the failure to bring a review within a reasonable time may cause prejudice to the respondent. Secondly, there is a public interest element in the finality of administrative decisions and the exercise of administrative functions…</w:t>
      </w:r>
    </w:p>
    <w:p w14:paraId="22985867" w14:textId="0A68B3D1" w:rsidR="003A6134" w:rsidRPr="005E1C49" w:rsidRDefault="003A6134" w:rsidP="008C01E9">
      <w:pPr>
        <w:spacing w:line="360" w:lineRule="auto"/>
        <w:ind w:left="720"/>
        <w:jc w:val="both"/>
        <w:rPr>
          <w:rFonts w:ascii="Arial" w:hAnsi="Arial" w:cs="Arial"/>
          <w:sz w:val="20"/>
          <w:szCs w:val="20"/>
        </w:rPr>
      </w:pPr>
      <w:r w:rsidRPr="005E1C49">
        <w:rPr>
          <w:rFonts w:ascii="Arial" w:hAnsi="Arial" w:cs="Arial"/>
          <w:sz w:val="20"/>
          <w:szCs w:val="20"/>
        </w:rPr>
        <w:t>…The scope and content of the rule</w:t>
      </w:r>
      <w:r w:rsidR="0021707D" w:rsidRPr="005E1C49">
        <w:rPr>
          <w:rFonts w:ascii="Arial" w:hAnsi="Arial" w:cs="Arial"/>
          <w:sz w:val="20"/>
          <w:szCs w:val="20"/>
        </w:rPr>
        <w:t xml:space="preserve"> has been the subject of investigation in two decisions of this Court. They are the </w:t>
      </w:r>
      <w:r w:rsidR="0021707D" w:rsidRPr="005E1C49">
        <w:rPr>
          <w:rFonts w:ascii="Arial" w:hAnsi="Arial" w:cs="Arial"/>
          <w:i/>
          <w:iCs/>
          <w:sz w:val="20"/>
          <w:szCs w:val="20"/>
        </w:rPr>
        <w:t>Wolgroeiers</w:t>
      </w:r>
      <w:r w:rsidR="0021707D" w:rsidRPr="005E1C49">
        <w:rPr>
          <w:rFonts w:ascii="Arial" w:hAnsi="Arial" w:cs="Arial"/>
          <w:sz w:val="20"/>
          <w:szCs w:val="20"/>
        </w:rPr>
        <w:t xml:space="preserve"> case</w:t>
      </w:r>
      <w:r w:rsidR="005E1C49">
        <w:rPr>
          <w:rStyle w:val="FootnoteReference"/>
          <w:rFonts w:ascii="Arial" w:hAnsi="Arial" w:cs="Arial"/>
          <w:sz w:val="20"/>
          <w:szCs w:val="20"/>
        </w:rPr>
        <w:footnoteReference w:id="8"/>
      </w:r>
      <w:r w:rsidR="0021707D" w:rsidRPr="005E1C49">
        <w:rPr>
          <w:rFonts w:ascii="Arial" w:hAnsi="Arial" w:cs="Arial"/>
          <w:sz w:val="20"/>
          <w:szCs w:val="20"/>
        </w:rPr>
        <w:t xml:space="preserve"> and </w:t>
      </w:r>
      <w:bookmarkStart w:id="2" w:name="_Hlk141710710"/>
      <w:r w:rsidR="0021707D" w:rsidRPr="005E1C49">
        <w:rPr>
          <w:rFonts w:ascii="Arial" w:hAnsi="Arial" w:cs="Arial"/>
          <w:i/>
          <w:iCs/>
          <w:sz w:val="20"/>
          <w:szCs w:val="20"/>
        </w:rPr>
        <w:t>Setsokosane Busdiens (Edms) Bpk v Voorsitter, Nasionale Vervoerkommissie, en ‘n Ander</w:t>
      </w:r>
      <w:r w:rsidR="0021707D" w:rsidRPr="005E1C49">
        <w:rPr>
          <w:rFonts w:ascii="Arial" w:hAnsi="Arial" w:cs="Arial"/>
          <w:sz w:val="20"/>
          <w:szCs w:val="20"/>
        </w:rPr>
        <w:t xml:space="preserve"> 1986 (2) SA 57 (A)</w:t>
      </w:r>
      <w:bookmarkEnd w:id="2"/>
      <w:r w:rsidR="0021707D" w:rsidRPr="005E1C49">
        <w:rPr>
          <w:rFonts w:ascii="Arial" w:hAnsi="Arial" w:cs="Arial"/>
          <w:sz w:val="20"/>
          <w:szCs w:val="20"/>
        </w:rPr>
        <w:t xml:space="preserve">. </w:t>
      </w:r>
      <w:r w:rsidR="005E1C49">
        <w:rPr>
          <w:rFonts w:ascii="Arial" w:hAnsi="Arial" w:cs="Arial"/>
          <w:sz w:val="20"/>
          <w:szCs w:val="20"/>
        </w:rPr>
        <w:t>A</w:t>
      </w:r>
      <w:r w:rsidR="0021707D" w:rsidRPr="005E1C49">
        <w:rPr>
          <w:rFonts w:ascii="Arial" w:hAnsi="Arial" w:cs="Arial"/>
          <w:sz w:val="20"/>
          <w:szCs w:val="20"/>
        </w:rPr>
        <w:t>s appears from these two cases and the numerous decisions in which they have been followed, application of the rule requires consideration of two questions:</w:t>
      </w:r>
    </w:p>
    <w:p w14:paraId="44AEC4DA" w14:textId="7A30FDFE" w:rsidR="0021707D" w:rsidRPr="00233C47" w:rsidRDefault="00233C47" w:rsidP="00233C47">
      <w:pPr>
        <w:spacing w:line="360" w:lineRule="auto"/>
        <w:ind w:left="1800" w:hanging="360"/>
        <w:jc w:val="both"/>
        <w:rPr>
          <w:rFonts w:ascii="Arial" w:hAnsi="Arial" w:cs="Arial"/>
          <w:sz w:val="20"/>
          <w:szCs w:val="20"/>
        </w:rPr>
      </w:pPr>
      <w:r w:rsidRPr="005E1C49">
        <w:rPr>
          <w:rFonts w:ascii="Arial" w:hAnsi="Arial" w:cs="Arial"/>
          <w:sz w:val="20"/>
          <w:szCs w:val="20"/>
        </w:rPr>
        <w:t>(a)</w:t>
      </w:r>
      <w:r w:rsidRPr="005E1C49">
        <w:rPr>
          <w:rFonts w:ascii="Arial" w:hAnsi="Arial" w:cs="Arial"/>
          <w:sz w:val="20"/>
          <w:szCs w:val="20"/>
        </w:rPr>
        <w:tab/>
      </w:r>
      <w:r w:rsidR="0021707D" w:rsidRPr="00233C47">
        <w:rPr>
          <w:rFonts w:ascii="Arial" w:hAnsi="Arial" w:cs="Arial"/>
          <w:sz w:val="20"/>
          <w:szCs w:val="20"/>
        </w:rPr>
        <w:t>Was there an unreasonable delay?</w:t>
      </w:r>
    </w:p>
    <w:p w14:paraId="11D6985B" w14:textId="0A924C2F" w:rsidR="0021707D" w:rsidRPr="00233C47" w:rsidRDefault="00233C47" w:rsidP="00233C47">
      <w:pPr>
        <w:spacing w:line="360" w:lineRule="auto"/>
        <w:ind w:left="1800" w:hanging="360"/>
        <w:jc w:val="both"/>
        <w:rPr>
          <w:rFonts w:ascii="Arial" w:hAnsi="Arial" w:cs="Arial"/>
          <w:sz w:val="20"/>
          <w:szCs w:val="20"/>
        </w:rPr>
      </w:pPr>
      <w:r w:rsidRPr="005E1C49">
        <w:rPr>
          <w:rFonts w:ascii="Arial" w:hAnsi="Arial" w:cs="Arial"/>
          <w:sz w:val="20"/>
          <w:szCs w:val="20"/>
        </w:rPr>
        <w:t>(b)</w:t>
      </w:r>
      <w:r w:rsidRPr="005E1C49">
        <w:rPr>
          <w:rFonts w:ascii="Arial" w:hAnsi="Arial" w:cs="Arial"/>
          <w:sz w:val="20"/>
          <w:szCs w:val="20"/>
        </w:rPr>
        <w:tab/>
      </w:r>
      <w:r w:rsidR="0021707D" w:rsidRPr="00233C47">
        <w:rPr>
          <w:rFonts w:ascii="Arial" w:hAnsi="Arial" w:cs="Arial"/>
          <w:sz w:val="20"/>
          <w:szCs w:val="20"/>
        </w:rPr>
        <w:t>If so, should the delay in all the circumstances be condoned?</w:t>
      </w:r>
    </w:p>
    <w:p w14:paraId="3D8FE9DD" w14:textId="1CFE4A8D" w:rsidR="0021707D" w:rsidRPr="005E1C49" w:rsidRDefault="0021707D" w:rsidP="008C01E9">
      <w:pPr>
        <w:spacing w:line="360" w:lineRule="auto"/>
        <w:ind w:left="720"/>
        <w:jc w:val="both"/>
        <w:rPr>
          <w:rFonts w:ascii="Arial" w:hAnsi="Arial" w:cs="Arial"/>
          <w:sz w:val="20"/>
          <w:szCs w:val="20"/>
        </w:rPr>
      </w:pPr>
      <w:r w:rsidRPr="005E1C49">
        <w:rPr>
          <w:rFonts w:ascii="Arial" w:hAnsi="Arial" w:cs="Arial"/>
          <w:sz w:val="20"/>
          <w:szCs w:val="20"/>
        </w:rPr>
        <w:t xml:space="preserve">(See </w:t>
      </w:r>
      <w:r w:rsidRPr="005E1C49">
        <w:rPr>
          <w:rFonts w:ascii="Arial" w:hAnsi="Arial" w:cs="Arial"/>
          <w:i/>
          <w:iCs/>
          <w:sz w:val="20"/>
          <w:szCs w:val="20"/>
        </w:rPr>
        <w:t>Wolgroeiers</w:t>
      </w:r>
      <w:r w:rsidRPr="005E1C49">
        <w:rPr>
          <w:rFonts w:ascii="Arial" w:hAnsi="Arial" w:cs="Arial"/>
          <w:sz w:val="20"/>
          <w:szCs w:val="20"/>
        </w:rPr>
        <w:t xml:space="preserve"> at 39C-D.)</w:t>
      </w:r>
    </w:p>
    <w:p w14:paraId="34AC2640" w14:textId="6DC71949" w:rsidR="0021707D" w:rsidRDefault="0021707D" w:rsidP="008C01E9">
      <w:pPr>
        <w:spacing w:line="360" w:lineRule="auto"/>
        <w:ind w:left="720"/>
        <w:jc w:val="both"/>
        <w:rPr>
          <w:rFonts w:ascii="Arial" w:hAnsi="Arial" w:cs="Arial"/>
          <w:sz w:val="20"/>
          <w:szCs w:val="20"/>
        </w:rPr>
      </w:pPr>
      <w:r w:rsidRPr="005E1C49">
        <w:rPr>
          <w:rFonts w:ascii="Arial" w:hAnsi="Arial" w:cs="Arial"/>
          <w:sz w:val="20"/>
          <w:szCs w:val="20"/>
        </w:rPr>
        <w:t xml:space="preserve">…The reasonableness or unreasonableness of a delay is entirely dependent on the facts and circumstances of any particular case… The investigation into the reasonableness of the delay has </w:t>
      </w:r>
      <w:r w:rsidRPr="005E1C49">
        <w:rPr>
          <w:rFonts w:ascii="Arial" w:hAnsi="Arial" w:cs="Arial"/>
          <w:sz w:val="20"/>
          <w:szCs w:val="20"/>
        </w:rPr>
        <w:lastRenderedPageBreak/>
        <w:t>nothing to do with the Court’s discretion. It is an investigation into the facts of the matter in order to determine whether, in all the circumstances of that case, the delay was reasonable</w:t>
      </w:r>
      <w:r w:rsidR="005E1C49" w:rsidRPr="005E1C49">
        <w:rPr>
          <w:rFonts w:ascii="Arial" w:hAnsi="Arial" w:cs="Arial"/>
          <w:sz w:val="20"/>
          <w:szCs w:val="20"/>
        </w:rPr>
        <w:t>. Though this question does imply a value judgment it is not to be equated with the judicial discretion involved in the next question, if it arises, namely, whether a delay which has been found to be unreasonable, should be condoned…’</w:t>
      </w:r>
      <w:r w:rsidR="005E1C49">
        <w:rPr>
          <w:rStyle w:val="FootnoteReference"/>
          <w:rFonts w:ascii="Arial" w:hAnsi="Arial" w:cs="Arial"/>
          <w:sz w:val="20"/>
          <w:szCs w:val="20"/>
        </w:rPr>
        <w:footnoteReference w:id="9"/>
      </w:r>
    </w:p>
    <w:p w14:paraId="0B7E0342" w14:textId="77777777" w:rsidR="005E1C49" w:rsidRDefault="005E1C49" w:rsidP="008C01E9">
      <w:pPr>
        <w:spacing w:line="360" w:lineRule="auto"/>
        <w:jc w:val="both"/>
        <w:rPr>
          <w:rFonts w:ascii="Arial" w:hAnsi="Arial" w:cs="Arial"/>
          <w:sz w:val="20"/>
          <w:szCs w:val="20"/>
        </w:rPr>
      </w:pPr>
    </w:p>
    <w:p w14:paraId="0A38A1A3" w14:textId="1F200EA3" w:rsidR="00E61CD3" w:rsidRPr="00233C47" w:rsidRDefault="00233C47" w:rsidP="00233C47">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E1C49" w:rsidRPr="00233C47">
        <w:rPr>
          <w:rFonts w:ascii="Arial" w:hAnsi="Arial" w:cs="Arial"/>
          <w:sz w:val="24"/>
          <w:szCs w:val="24"/>
        </w:rPr>
        <w:t xml:space="preserve">The </w:t>
      </w:r>
      <w:r w:rsidR="00176198" w:rsidRPr="00233C47">
        <w:rPr>
          <w:rFonts w:ascii="Arial" w:hAnsi="Arial" w:cs="Arial"/>
          <w:sz w:val="24"/>
          <w:szCs w:val="24"/>
        </w:rPr>
        <w:t>dual enquiry, described above, has become an established practice for matters of this nature.</w:t>
      </w:r>
      <w:r w:rsidR="00176198">
        <w:rPr>
          <w:rStyle w:val="FootnoteReference"/>
          <w:rFonts w:ascii="Arial" w:hAnsi="Arial" w:cs="Arial"/>
          <w:sz w:val="24"/>
          <w:szCs w:val="24"/>
        </w:rPr>
        <w:footnoteReference w:id="10"/>
      </w:r>
      <w:r w:rsidR="00176198" w:rsidRPr="00233C47">
        <w:rPr>
          <w:rFonts w:ascii="Arial" w:hAnsi="Arial" w:cs="Arial"/>
          <w:sz w:val="24"/>
          <w:szCs w:val="24"/>
        </w:rPr>
        <w:t xml:space="preserve"> As to what is reasonable entail</w:t>
      </w:r>
      <w:r w:rsidR="004A61B0" w:rsidRPr="00233C47">
        <w:rPr>
          <w:rFonts w:ascii="Arial" w:hAnsi="Arial" w:cs="Arial"/>
          <w:sz w:val="24"/>
          <w:szCs w:val="24"/>
        </w:rPr>
        <w:t>s</w:t>
      </w:r>
      <w:r w:rsidR="00176198" w:rsidRPr="00233C47">
        <w:rPr>
          <w:rFonts w:ascii="Arial" w:hAnsi="Arial" w:cs="Arial"/>
          <w:sz w:val="24"/>
          <w:szCs w:val="24"/>
        </w:rPr>
        <w:t xml:space="preserve"> a factual enquiry upon which a value judgment is made</w:t>
      </w:r>
      <w:r w:rsidR="004A61B0" w:rsidRPr="00233C47">
        <w:rPr>
          <w:rFonts w:ascii="Arial" w:hAnsi="Arial" w:cs="Arial"/>
          <w:sz w:val="24"/>
          <w:szCs w:val="24"/>
        </w:rPr>
        <w:t xml:space="preserve"> </w:t>
      </w:r>
      <w:r w:rsidR="00903C4E" w:rsidRPr="00233C47">
        <w:rPr>
          <w:rFonts w:ascii="Arial" w:hAnsi="Arial" w:cs="Arial"/>
          <w:sz w:val="24"/>
          <w:szCs w:val="24"/>
        </w:rPr>
        <w:t>considering</w:t>
      </w:r>
      <w:r w:rsidR="004A61B0" w:rsidRPr="00233C47">
        <w:rPr>
          <w:rFonts w:ascii="Arial" w:hAnsi="Arial" w:cs="Arial"/>
          <w:sz w:val="24"/>
          <w:szCs w:val="24"/>
        </w:rPr>
        <w:t xml:space="preserve"> all the relevant circumstances, including </w:t>
      </w:r>
      <w:r w:rsidR="00903C4E" w:rsidRPr="00233C47">
        <w:rPr>
          <w:rFonts w:ascii="Arial" w:hAnsi="Arial" w:cs="Arial"/>
          <w:sz w:val="24"/>
          <w:szCs w:val="24"/>
        </w:rPr>
        <w:t>any explanation given for the delay</w:t>
      </w:r>
      <w:r w:rsidR="00176198" w:rsidRPr="00233C47">
        <w:rPr>
          <w:rFonts w:ascii="Arial" w:hAnsi="Arial" w:cs="Arial"/>
          <w:sz w:val="24"/>
          <w:szCs w:val="24"/>
        </w:rPr>
        <w:t>.</w:t>
      </w:r>
      <w:r w:rsidR="00176198" w:rsidRPr="00176198">
        <w:rPr>
          <w:vertAlign w:val="superscript"/>
        </w:rPr>
        <w:footnoteReference w:id="11"/>
      </w:r>
      <w:r w:rsidR="00903C4E" w:rsidRPr="00233C47">
        <w:rPr>
          <w:rFonts w:ascii="Arial" w:hAnsi="Arial" w:cs="Arial"/>
          <w:sz w:val="24"/>
          <w:szCs w:val="24"/>
        </w:rPr>
        <w:t xml:space="preserve"> The court exercises a judicial discretion in deciding whether an unreasonable delay should be condoned. In doing so, the court must consider the relevant circumstances, including any explanation, but also </w:t>
      </w:r>
      <w:bookmarkStart w:id="3" w:name="_Hlk141888800"/>
      <w:r w:rsidR="00903C4E" w:rsidRPr="00233C47">
        <w:rPr>
          <w:rFonts w:ascii="Arial" w:hAnsi="Arial" w:cs="Arial"/>
          <w:sz w:val="24"/>
          <w:szCs w:val="24"/>
        </w:rPr>
        <w:t>the two reasons for the ‘delay rule’ that were mentioned earlier, viz. the prejudice caused to the other party, and the public interest in achieving finality and certainty regarding the making of administrative decisions and the performance of administrative functions</w:t>
      </w:r>
      <w:bookmarkEnd w:id="3"/>
      <w:r w:rsidR="00903C4E" w:rsidRPr="00233C47">
        <w:rPr>
          <w:rFonts w:ascii="Arial" w:hAnsi="Arial" w:cs="Arial"/>
          <w:sz w:val="24"/>
          <w:szCs w:val="24"/>
        </w:rPr>
        <w:t>.</w:t>
      </w:r>
      <w:r w:rsidR="007A03DF">
        <w:rPr>
          <w:rStyle w:val="FootnoteReference"/>
          <w:rFonts w:ascii="Arial" w:hAnsi="Arial" w:cs="Arial"/>
          <w:sz w:val="24"/>
          <w:szCs w:val="24"/>
        </w:rPr>
        <w:footnoteReference w:id="12"/>
      </w:r>
    </w:p>
    <w:p w14:paraId="6EBA40D7" w14:textId="77777777" w:rsidR="00E61CD3" w:rsidRDefault="00E61CD3" w:rsidP="00E61CD3">
      <w:pPr>
        <w:pStyle w:val="ListParagraph"/>
        <w:spacing w:line="360" w:lineRule="auto"/>
        <w:ind w:left="0"/>
        <w:jc w:val="both"/>
        <w:rPr>
          <w:rFonts w:ascii="Arial" w:hAnsi="Arial" w:cs="Arial"/>
          <w:sz w:val="24"/>
          <w:szCs w:val="24"/>
        </w:rPr>
      </w:pPr>
    </w:p>
    <w:p w14:paraId="197DF73C" w14:textId="0771E348" w:rsidR="00A43D14" w:rsidRPr="00233C47" w:rsidRDefault="00233C47" w:rsidP="00233C47">
      <w:pPr>
        <w:spacing w:line="360" w:lineRule="auto"/>
        <w:jc w:val="both"/>
        <w:rPr>
          <w:rFonts w:ascii="Arial" w:hAnsi="Arial" w:cs="Arial"/>
          <w:sz w:val="24"/>
          <w:szCs w:val="24"/>
        </w:rPr>
      </w:pPr>
      <w:r w:rsidRPr="00E61CD3">
        <w:rPr>
          <w:rFonts w:ascii="Arial" w:hAnsi="Arial" w:cs="Arial"/>
          <w:sz w:val="24"/>
          <w:szCs w:val="24"/>
        </w:rPr>
        <w:t>[23]</w:t>
      </w:r>
      <w:r w:rsidRPr="00E61CD3">
        <w:rPr>
          <w:rFonts w:ascii="Arial" w:hAnsi="Arial" w:cs="Arial"/>
          <w:sz w:val="24"/>
          <w:szCs w:val="24"/>
        </w:rPr>
        <w:tab/>
      </w:r>
      <w:r w:rsidR="00A43D14" w:rsidRPr="00233C47">
        <w:rPr>
          <w:rFonts w:ascii="Arial" w:hAnsi="Arial" w:cs="Arial"/>
          <w:sz w:val="24"/>
          <w:szCs w:val="24"/>
        </w:rPr>
        <w:t>The above principles must be applied to the matter at hand, as set out in the paragraphs that follow.</w:t>
      </w:r>
    </w:p>
    <w:p w14:paraId="25D0E5FA" w14:textId="77777777" w:rsidR="005B782B" w:rsidRDefault="005B782B" w:rsidP="005E1C49">
      <w:pPr>
        <w:spacing w:line="360" w:lineRule="auto"/>
        <w:rPr>
          <w:rFonts w:ascii="Arial" w:hAnsi="Arial" w:cs="Arial"/>
          <w:sz w:val="24"/>
          <w:szCs w:val="24"/>
        </w:rPr>
      </w:pPr>
    </w:p>
    <w:p w14:paraId="36964245" w14:textId="42ECB551" w:rsidR="005B782B" w:rsidRDefault="00B97182" w:rsidP="00924BFC">
      <w:pPr>
        <w:spacing w:line="360" w:lineRule="auto"/>
        <w:jc w:val="both"/>
        <w:rPr>
          <w:rFonts w:ascii="Arial" w:hAnsi="Arial" w:cs="Arial"/>
          <w:b/>
          <w:bCs/>
          <w:sz w:val="24"/>
          <w:szCs w:val="24"/>
        </w:rPr>
      </w:pPr>
      <w:r w:rsidRPr="00B97182">
        <w:rPr>
          <w:rFonts w:ascii="Arial" w:hAnsi="Arial" w:cs="Arial"/>
          <w:b/>
          <w:bCs/>
          <w:sz w:val="24"/>
          <w:szCs w:val="24"/>
        </w:rPr>
        <w:t>DISCUSSION</w:t>
      </w:r>
    </w:p>
    <w:p w14:paraId="79ECE7E9" w14:textId="77777777" w:rsidR="007F0066" w:rsidRDefault="007F0066" w:rsidP="005E1C49">
      <w:pPr>
        <w:spacing w:line="360" w:lineRule="auto"/>
        <w:rPr>
          <w:rFonts w:ascii="Arial" w:hAnsi="Arial" w:cs="Arial"/>
          <w:b/>
          <w:bCs/>
          <w:sz w:val="24"/>
          <w:szCs w:val="24"/>
        </w:rPr>
      </w:pPr>
    </w:p>
    <w:p w14:paraId="10819443" w14:textId="701E55FF" w:rsidR="007F0066" w:rsidRPr="00233C47" w:rsidRDefault="00233C47" w:rsidP="00233C47">
      <w:pPr>
        <w:spacing w:line="360" w:lineRule="auto"/>
        <w:jc w:val="both"/>
        <w:rPr>
          <w:rFonts w:ascii="Arial" w:hAnsi="Arial" w:cs="Arial"/>
          <w:sz w:val="24"/>
          <w:szCs w:val="24"/>
        </w:rPr>
      </w:pPr>
      <w:r w:rsidRPr="00030573">
        <w:rPr>
          <w:rFonts w:ascii="Arial" w:hAnsi="Arial" w:cs="Arial"/>
          <w:sz w:val="24"/>
          <w:szCs w:val="24"/>
        </w:rPr>
        <w:t>[24]</w:t>
      </w:r>
      <w:r w:rsidRPr="00030573">
        <w:rPr>
          <w:rFonts w:ascii="Arial" w:hAnsi="Arial" w:cs="Arial"/>
          <w:sz w:val="24"/>
          <w:szCs w:val="24"/>
        </w:rPr>
        <w:tab/>
      </w:r>
      <w:r w:rsidR="00AD2C82" w:rsidRPr="00233C47">
        <w:rPr>
          <w:rFonts w:ascii="Arial" w:hAnsi="Arial" w:cs="Arial"/>
          <w:sz w:val="24"/>
          <w:szCs w:val="24"/>
        </w:rPr>
        <w:t xml:space="preserve">The discussion follows the dual </w:t>
      </w:r>
      <w:r w:rsidR="00067236" w:rsidRPr="00233C47">
        <w:rPr>
          <w:rFonts w:ascii="Arial" w:hAnsi="Arial" w:cs="Arial"/>
          <w:sz w:val="24"/>
          <w:szCs w:val="24"/>
        </w:rPr>
        <w:t>enquiry described earlier and is demarcated accordingly.</w:t>
      </w:r>
    </w:p>
    <w:p w14:paraId="6B518A7B" w14:textId="77777777" w:rsidR="00067236" w:rsidRDefault="00067236" w:rsidP="005E1C49">
      <w:pPr>
        <w:spacing w:line="360" w:lineRule="auto"/>
        <w:rPr>
          <w:rFonts w:ascii="Arial" w:hAnsi="Arial" w:cs="Arial"/>
          <w:b/>
          <w:bCs/>
          <w:sz w:val="24"/>
          <w:szCs w:val="24"/>
        </w:rPr>
      </w:pPr>
    </w:p>
    <w:p w14:paraId="76AC1C49" w14:textId="18AF0154" w:rsidR="00974731" w:rsidRDefault="00974731" w:rsidP="00030573">
      <w:pPr>
        <w:spacing w:line="360" w:lineRule="auto"/>
        <w:jc w:val="both"/>
        <w:rPr>
          <w:rFonts w:ascii="Arial" w:hAnsi="Arial" w:cs="Arial"/>
          <w:b/>
          <w:bCs/>
          <w:sz w:val="24"/>
          <w:szCs w:val="24"/>
        </w:rPr>
      </w:pPr>
      <w:r>
        <w:rPr>
          <w:rFonts w:ascii="Arial" w:hAnsi="Arial" w:cs="Arial"/>
          <w:b/>
          <w:bCs/>
          <w:sz w:val="24"/>
          <w:szCs w:val="24"/>
        </w:rPr>
        <w:t xml:space="preserve">Whether there was </w:t>
      </w:r>
      <w:r w:rsidR="001C11B2">
        <w:rPr>
          <w:rFonts w:ascii="Arial" w:hAnsi="Arial" w:cs="Arial"/>
          <w:b/>
          <w:bCs/>
          <w:sz w:val="24"/>
          <w:szCs w:val="24"/>
        </w:rPr>
        <w:t>a</w:t>
      </w:r>
      <w:r>
        <w:rPr>
          <w:rFonts w:ascii="Arial" w:hAnsi="Arial" w:cs="Arial"/>
          <w:b/>
          <w:bCs/>
          <w:sz w:val="24"/>
          <w:szCs w:val="24"/>
        </w:rPr>
        <w:t>n unreasonable delay</w:t>
      </w:r>
    </w:p>
    <w:p w14:paraId="0A4E37CE" w14:textId="77777777" w:rsidR="00067236" w:rsidRPr="00B97182" w:rsidRDefault="00067236" w:rsidP="005E1C49">
      <w:pPr>
        <w:spacing w:line="360" w:lineRule="auto"/>
        <w:rPr>
          <w:rFonts w:ascii="Arial" w:hAnsi="Arial" w:cs="Arial"/>
          <w:b/>
          <w:bCs/>
          <w:sz w:val="24"/>
          <w:szCs w:val="24"/>
        </w:rPr>
      </w:pPr>
    </w:p>
    <w:p w14:paraId="0AA6377D" w14:textId="0943FBA6" w:rsidR="009D4A2C" w:rsidRPr="00233C47" w:rsidRDefault="00233C47" w:rsidP="00233C47">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2D40DB" w:rsidRPr="00233C47">
        <w:rPr>
          <w:rFonts w:ascii="Arial" w:hAnsi="Arial" w:cs="Arial"/>
          <w:sz w:val="24"/>
          <w:szCs w:val="24"/>
        </w:rPr>
        <w:t xml:space="preserve">It is not in dispute that the </w:t>
      </w:r>
      <w:r w:rsidR="00F55EE8" w:rsidRPr="00233C47">
        <w:rPr>
          <w:rFonts w:ascii="Arial" w:hAnsi="Arial" w:cs="Arial"/>
          <w:sz w:val="24"/>
          <w:szCs w:val="24"/>
        </w:rPr>
        <w:t xml:space="preserve">incident that gave rise to the </w:t>
      </w:r>
      <w:r w:rsidR="00F61A67" w:rsidRPr="00233C47">
        <w:rPr>
          <w:rFonts w:ascii="Arial" w:hAnsi="Arial" w:cs="Arial"/>
          <w:sz w:val="24"/>
          <w:szCs w:val="24"/>
        </w:rPr>
        <w:t xml:space="preserve">present application occurred on 14 March 2013. This was the date upon which </w:t>
      </w:r>
      <w:r w:rsidR="00B544CB" w:rsidRPr="00233C47">
        <w:rPr>
          <w:rFonts w:ascii="Arial" w:hAnsi="Arial" w:cs="Arial"/>
          <w:sz w:val="24"/>
          <w:szCs w:val="24"/>
        </w:rPr>
        <w:t xml:space="preserve">the first respondent refused to postpone the matter, despite the applicant’s having </w:t>
      </w:r>
      <w:r w:rsidR="00EC5B57" w:rsidRPr="00233C47">
        <w:rPr>
          <w:rFonts w:ascii="Arial" w:hAnsi="Arial" w:cs="Arial"/>
          <w:sz w:val="24"/>
          <w:szCs w:val="24"/>
        </w:rPr>
        <w:t>express</w:t>
      </w:r>
      <w:r w:rsidR="0016185B" w:rsidRPr="00233C47">
        <w:rPr>
          <w:rFonts w:ascii="Arial" w:hAnsi="Arial" w:cs="Arial"/>
          <w:sz w:val="24"/>
          <w:szCs w:val="24"/>
        </w:rPr>
        <w:t xml:space="preserve">ed his </w:t>
      </w:r>
      <w:r w:rsidR="00310BF6" w:rsidRPr="00233C47">
        <w:rPr>
          <w:rFonts w:ascii="Arial" w:hAnsi="Arial" w:cs="Arial"/>
          <w:sz w:val="24"/>
          <w:szCs w:val="24"/>
        </w:rPr>
        <w:t xml:space="preserve">wish </w:t>
      </w:r>
      <w:r w:rsidR="005072F1" w:rsidRPr="00233C47">
        <w:rPr>
          <w:rFonts w:ascii="Arial" w:hAnsi="Arial" w:cs="Arial"/>
          <w:sz w:val="24"/>
          <w:szCs w:val="24"/>
        </w:rPr>
        <w:t>to instruct Mr Bence</w:t>
      </w:r>
      <w:r w:rsidR="00943C4A" w:rsidRPr="00233C47">
        <w:rPr>
          <w:rFonts w:ascii="Arial" w:hAnsi="Arial" w:cs="Arial"/>
          <w:sz w:val="24"/>
          <w:szCs w:val="24"/>
        </w:rPr>
        <w:t>.</w:t>
      </w:r>
      <w:r w:rsidR="00EC5B57" w:rsidRPr="00233C47">
        <w:rPr>
          <w:rFonts w:ascii="Arial" w:hAnsi="Arial" w:cs="Arial"/>
          <w:sz w:val="24"/>
          <w:szCs w:val="24"/>
        </w:rPr>
        <w:t xml:space="preserve"> </w:t>
      </w:r>
      <w:r w:rsidR="003E0615" w:rsidRPr="00233C47">
        <w:rPr>
          <w:rFonts w:ascii="Arial" w:hAnsi="Arial" w:cs="Arial"/>
          <w:sz w:val="24"/>
          <w:szCs w:val="24"/>
        </w:rPr>
        <w:t xml:space="preserve">The </w:t>
      </w:r>
      <w:r w:rsidR="002721C5" w:rsidRPr="00233C47">
        <w:rPr>
          <w:rFonts w:ascii="Arial" w:hAnsi="Arial" w:cs="Arial"/>
          <w:sz w:val="24"/>
          <w:szCs w:val="24"/>
        </w:rPr>
        <w:t>application was issued on 18 November 2020</w:t>
      </w:r>
      <w:r w:rsidR="00D14228" w:rsidRPr="00233C47">
        <w:rPr>
          <w:rFonts w:ascii="Arial" w:hAnsi="Arial" w:cs="Arial"/>
          <w:sz w:val="24"/>
          <w:szCs w:val="24"/>
        </w:rPr>
        <w:t xml:space="preserve">, </w:t>
      </w:r>
      <w:r w:rsidR="00ED62DD" w:rsidRPr="00233C47">
        <w:rPr>
          <w:rFonts w:ascii="Arial" w:hAnsi="Arial" w:cs="Arial"/>
          <w:sz w:val="24"/>
          <w:szCs w:val="24"/>
        </w:rPr>
        <w:t>more than</w:t>
      </w:r>
      <w:r w:rsidR="00D14228" w:rsidRPr="00233C47">
        <w:rPr>
          <w:rFonts w:ascii="Arial" w:hAnsi="Arial" w:cs="Arial"/>
          <w:sz w:val="24"/>
          <w:szCs w:val="24"/>
        </w:rPr>
        <w:t xml:space="preserve"> </w:t>
      </w:r>
      <w:r w:rsidR="00543FBD" w:rsidRPr="00233C47">
        <w:rPr>
          <w:rFonts w:ascii="Arial" w:hAnsi="Arial" w:cs="Arial"/>
          <w:sz w:val="24"/>
          <w:szCs w:val="24"/>
        </w:rPr>
        <w:t>seven</w:t>
      </w:r>
      <w:r w:rsidR="00ED62DD" w:rsidRPr="00233C47">
        <w:rPr>
          <w:rFonts w:ascii="Arial" w:hAnsi="Arial" w:cs="Arial"/>
          <w:sz w:val="24"/>
          <w:szCs w:val="24"/>
        </w:rPr>
        <w:t>-and-a-half</w:t>
      </w:r>
      <w:r w:rsidR="00543FBD" w:rsidRPr="00233C47">
        <w:rPr>
          <w:rFonts w:ascii="Arial" w:hAnsi="Arial" w:cs="Arial"/>
          <w:sz w:val="24"/>
          <w:szCs w:val="24"/>
        </w:rPr>
        <w:t xml:space="preserve"> years</w:t>
      </w:r>
      <w:r w:rsidR="00ED62DD" w:rsidRPr="00233C47">
        <w:rPr>
          <w:rFonts w:ascii="Arial" w:hAnsi="Arial" w:cs="Arial"/>
          <w:sz w:val="24"/>
          <w:szCs w:val="24"/>
        </w:rPr>
        <w:t xml:space="preserve"> later.</w:t>
      </w:r>
      <w:r w:rsidR="001C11B2" w:rsidRPr="00233C47">
        <w:rPr>
          <w:rFonts w:ascii="Arial" w:hAnsi="Arial" w:cs="Arial"/>
          <w:sz w:val="24"/>
          <w:szCs w:val="24"/>
        </w:rPr>
        <w:t xml:space="preserve"> The only explanation given by the applicant is that </w:t>
      </w:r>
      <w:r w:rsidR="00E6674E" w:rsidRPr="00233C47">
        <w:rPr>
          <w:rFonts w:ascii="Arial" w:hAnsi="Arial" w:cs="Arial"/>
          <w:sz w:val="24"/>
          <w:szCs w:val="24"/>
        </w:rPr>
        <w:t xml:space="preserve">he </w:t>
      </w:r>
      <w:r w:rsidR="002206E3" w:rsidRPr="00233C47">
        <w:rPr>
          <w:rFonts w:ascii="Arial" w:hAnsi="Arial" w:cs="Arial"/>
          <w:sz w:val="24"/>
          <w:szCs w:val="24"/>
        </w:rPr>
        <w:t>had been</w:t>
      </w:r>
      <w:r w:rsidR="00E6674E" w:rsidRPr="00233C47">
        <w:rPr>
          <w:rFonts w:ascii="Arial" w:hAnsi="Arial" w:cs="Arial"/>
          <w:sz w:val="24"/>
          <w:szCs w:val="24"/>
        </w:rPr>
        <w:t xml:space="preserve"> </w:t>
      </w:r>
      <w:r w:rsidR="008D4D31" w:rsidRPr="00233C47">
        <w:rPr>
          <w:rFonts w:ascii="Arial" w:hAnsi="Arial" w:cs="Arial"/>
          <w:sz w:val="24"/>
          <w:szCs w:val="24"/>
        </w:rPr>
        <w:t>unaware that he was able to do anything about his situation</w:t>
      </w:r>
      <w:r w:rsidR="005C373B" w:rsidRPr="00233C47">
        <w:rPr>
          <w:rFonts w:ascii="Arial" w:hAnsi="Arial" w:cs="Arial"/>
          <w:sz w:val="24"/>
          <w:szCs w:val="24"/>
        </w:rPr>
        <w:t xml:space="preserve"> and ha</w:t>
      </w:r>
      <w:r w:rsidR="002206E3" w:rsidRPr="00233C47">
        <w:rPr>
          <w:rFonts w:ascii="Arial" w:hAnsi="Arial" w:cs="Arial"/>
          <w:sz w:val="24"/>
          <w:szCs w:val="24"/>
        </w:rPr>
        <w:t>d</w:t>
      </w:r>
      <w:r w:rsidR="005C373B" w:rsidRPr="00233C47">
        <w:rPr>
          <w:rFonts w:ascii="Arial" w:hAnsi="Arial" w:cs="Arial"/>
          <w:sz w:val="24"/>
          <w:szCs w:val="24"/>
        </w:rPr>
        <w:t xml:space="preserve"> only recently been able to raise the necessary funds to </w:t>
      </w:r>
      <w:r w:rsidR="00B00A2B" w:rsidRPr="00233C47">
        <w:rPr>
          <w:rFonts w:ascii="Arial" w:hAnsi="Arial" w:cs="Arial"/>
          <w:sz w:val="24"/>
          <w:szCs w:val="24"/>
        </w:rPr>
        <w:t>instruct an attorney to advise him</w:t>
      </w:r>
      <w:r w:rsidR="009317EE" w:rsidRPr="00233C47">
        <w:rPr>
          <w:rFonts w:ascii="Arial" w:hAnsi="Arial" w:cs="Arial"/>
          <w:sz w:val="24"/>
          <w:szCs w:val="24"/>
        </w:rPr>
        <w:t>.</w:t>
      </w:r>
    </w:p>
    <w:p w14:paraId="3C631721" w14:textId="77777777" w:rsidR="009D4A2C" w:rsidRDefault="009D4A2C" w:rsidP="009D4A2C">
      <w:pPr>
        <w:pStyle w:val="ListParagraph"/>
        <w:spacing w:line="360" w:lineRule="auto"/>
        <w:ind w:left="0"/>
        <w:jc w:val="both"/>
        <w:rPr>
          <w:rFonts w:ascii="Arial" w:hAnsi="Arial" w:cs="Arial"/>
          <w:sz w:val="24"/>
          <w:szCs w:val="24"/>
        </w:rPr>
      </w:pPr>
    </w:p>
    <w:p w14:paraId="4775C195" w14:textId="454EF12C" w:rsidR="009D4A2C" w:rsidRPr="00233C47" w:rsidRDefault="00233C47" w:rsidP="00233C47">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9317EE" w:rsidRPr="00233C47">
        <w:rPr>
          <w:rFonts w:ascii="Arial" w:hAnsi="Arial" w:cs="Arial"/>
          <w:sz w:val="24"/>
          <w:szCs w:val="24"/>
        </w:rPr>
        <w:t xml:space="preserve">The explanation given is </w:t>
      </w:r>
      <w:r w:rsidR="002347D6" w:rsidRPr="00233C47">
        <w:rPr>
          <w:rFonts w:ascii="Arial" w:hAnsi="Arial" w:cs="Arial"/>
          <w:sz w:val="24"/>
          <w:szCs w:val="24"/>
        </w:rPr>
        <w:t xml:space="preserve">sparse, to say the least. </w:t>
      </w:r>
      <w:r w:rsidR="00091332" w:rsidRPr="00233C47">
        <w:rPr>
          <w:rFonts w:ascii="Arial" w:hAnsi="Arial" w:cs="Arial"/>
          <w:sz w:val="24"/>
          <w:szCs w:val="24"/>
        </w:rPr>
        <w:t xml:space="preserve">The applicant does not say </w:t>
      </w:r>
      <w:r w:rsidR="002347D6" w:rsidRPr="00233C47">
        <w:rPr>
          <w:rFonts w:ascii="Arial" w:hAnsi="Arial" w:cs="Arial"/>
          <w:sz w:val="24"/>
          <w:szCs w:val="24"/>
        </w:rPr>
        <w:t>whether</w:t>
      </w:r>
      <w:r w:rsidR="00561D27" w:rsidRPr="00233C47">
        <w:rPr>
          <w:rFonts w:ascii="Arial" w:hAnsi="Arial" w:cs="Arial"/>
          <w:sz w:val="24"/>
          <w:szCs w:val="24"/>
        </w:rPr>
        <w:t xml:space="preserve"> he </w:t>
      </w:r>
      <w:r w:rsidR="00AC62ED" w:rsidRPr="00233C47">
        <w:rPr>
          <w:rFonts w:ascii="Arial" w:hAnsi="Arial" w:cs="Arial"/>
          <w:sz w:val="24"/>
          <w:szCs w:val="24"/>
        </w:rPr>
        <w:t xml:space="preserve">and Mr Greeff discussed the </w:t>
      </w:r>
      <w:r w:rsidR="002347D6" w:rsidRPr="00233C47">
        <w:rPr>
          <w:rFonts w:ascii="Arial" w:hAnsi="Arial" w:cs="Arial"/>
          <w:sz w:val="24"/>
          <w:szCs w:val="24"/>
        </w:rPr>
        <w:t>i</w:t>
      </w:r>
      <w:r w:rsidR="005E594E" w:rsidRPr="00233C47">
        <w:rPr>
          <w:rFonts w:ascii="Arial" w:hAnsi="Arial" w:cs="Arial"/>
          <w:sz w:val="24"/>
          <w:szCs w:val="24"/>
        </w:rPr>
        <w:t>ncident o</w:t>
      </w:r>
      <w:r w:rsidR="007254E6" w:rsidRPr="00233C47">
        <w:rPr>
          <w:rFonts w:ascii="Arial" w:hAnsi="Arial" w:cs="Arial"/>
          <w:sz w:val="24"/>
          <w:szCs w:val="24"/>
        </w:rPr>
        <w:t>f</w:t>
      </w:r>
      <w:r w:rsidR="005E594E" w:rsidRPr="00233C47">
        <w:rPr>
          <w:rFonts w:ascii="Arial" w:hAnsi="Arial" w:cs="Arial"/>
          <w:sz w:val="24"/>
          <w:szCs w:val="24"/>
        </w:rPr>
        <w:t xml:space="preserve"> 14 March 2013</w:t>
      </w:r>
      <w:r w:rsidR="007254E6" w:rsidRPr="00233C47">
        <w:rPr>
          <w:rFonts w:ascii="Arial" w:hAnsi="Arial" w:cs="Arial"/>
          <w:sz w:val="24"/>
          <w:szCs w:val="24"/>
        </w:rPr>
        <w:t xml:space="preserve">, either immediately afterwards or </w:t>
      </w:r>
      <w:r w:rsidR="006D47B9" w:rsidRPr="00233C47">
        <w:rPr>
          <w:rFonts w:ascii="Arial" w:hAnsi="Arial" w:cs="Arial"/>
          <w:sz w:val="24"/>
          <w:szCs w:val="24"/>
        </w:rPr>
        <w:t>during</w:t>
      </w:r>
      <w:r w:rsidR="007254E6" w:rsidRPr="00233C47">
        <w:rPr>
          <w:rFonts w:ascii="Arial" w:hAnsi="Arial" w:cs="Arial"/>
          <w:sz w:val="24"/>
          <w:szCs w:val="24"/>
        </w:rPr>
        <w:t xml:space="preserve"> the </w:t>
      </w:r>
      <w:r w:rsidR="00D737E1" w:rsidRPr="00233C47">
        <w:rPr>
          <w:rFonts w:ascii="Arial" w:hAnsi="Arial" w:cs="Arial"/>
          <w:sz w:val="24"/>
          <w:szCs w:val="24"/>
        </w:rPr>
        <w:t>trial itself</w:t>
      </w:r>
      <w:r w:rsidR="000C537C" w:rsidRPr="00233C47">
        <w:rPr>
          <w:rFonts w:ascii="Arial" w:hAnsi="Arial" w:cs="Arial"/>
          <w:sz w:val="24"/>
          <w:szCs w:val="24"/>
        </w:rPr>
        <w:t xml:space="preserve">, prior to </w:t>
      </w:r>
      <w:r w:rsidR="000A4518" w:rsidRPr="00233C47">
        <w:rPr>
          <w:rFonts w:ascii="Arial" w:hAnsi="Arial" w:cs="Arial"/>
          <w:sz w:val="24"/>
          <w:szCs w:val="24"/>
        </w:rPr>
        <w:t xml:space="preserve">the applicant’s conviction and Mr Greeff’s withdrawal on 17 July 2013. </w:t>
      </w:r>
      <w:r w:rsidR="00561D27" w:rsidRPr="00233C47">
        <w:rPr>
          <w:rFonts w:ascii="Arial" w:hAnsi="Arial" w:cs="Arial"/>
          <w:sz w:val="24"/>
          <w:szCs w:val="24"/>
        </w:rPr>
        <w:t xml:space="preserve">He also fails to </w:t>
      </w:r>
      <w:r w:rsidR="00E07B3C" w:rsidRPr="00233C47">
        <w:rPr>
          <w:rFonts w:ascii="Arial" w:hAnsi="Arial" w:cs="Arial"/>
          <w:sz w:val="24"/>
          <w:szCs w:val="24"/>
        </w:rPr>
        <w:t xml:space="preserve">indicate whether he </w:t>
      </w:r>
      <w:r w:rsidR="006D47B9" w:rsidRPr="00233C47">
        <w:rPr>
          <w:rFonts w:ascii="Arial" w:hAnsi="Arial" w:cs="Arial"/>
          <w:sz w:val="24"/>
          <w:szCs w:val="24"/>
        </w:rPr>
        <w:t xml:space="preserve">and Mr Bence discussed the incident </w:t>
      </w:r>
      <w:r w:rsidR="00EC3582" w:rsidRPr="00233C47">
        <w:rPr>
          <w:rFonts w:ascii="Arial" w:hAnsi="Arial" w:cs="Arial"/>
          <w:sz w:val="24"/>
          <w:szCs w:val="24"/>
        </w:rPr>
        <w:t>after</w:t>
      </w:r>
      <w:r w:rsidR="006D47B9" w:rsidRPr="00233C47">
        <w:rPr>
          <w:rFonts w:ascii="Arial" w:hAnsi="Arial" w:cs="Arial"/>
          <w:sz w:val="24"/>
          <w:szCs w:val="24"/>
        </w:rPr>
        <w:t xml:space="preserve"> the latter</w:t>
      </w:r>
      <w:r w:rsidR="00EC3582" w:rsidRPr="00233C47">
        <w:rPr>
          <w:rFonts w:ascii="Arial" w:hAnsi="Arial" w:cs="Arial"/>
          <w:sz w:val="24"/>
          <w:szCs w:val="24"/>
        </w:rPr>
        <w:t xml:space="preserve"> accepted </w:t>
      </w:r>
      <w:r w:rsidR="00FF49AE" w:rsidRPr="00233C47">
        <w:rPr>
          <w:rFonts w:ascii="Arial" w:hAnsi="Arial" w:cs="Arial"/>
          <w:sz w:val="24"/>
          <w:szCs w:val="24"/>
        </w:rPr>
        <w:t xml:space="preserve">the instruction and appeared for the applicant </w:t>
      </w:r>
      <w:r w:rsidR="005565FE" w:rsidRPr="00233C47">
        <w:rPr>
          <w:rFonts w:ascii="Arial" w:hAnsi="Arial" w:cs="Arial"/>
          <w:sz w:val="24"/>
          <w:szCs w:val="24"/>
        </w:rPr>
        <w:t xml:space="preserve">from 16 August 2013 until sentence was handed down </w:t>
      </w:r>
      <w:r w:rsidR="0022130C" w:rsidRPr="00233C47">
        <w:rPr>
          <w:rFonts w:ascii="Arial" w:hAnsi="Arial" w:cs="Arial"/>
          <w:sz w:val="24"/>
          <w:szCs w:val="24"/>
        </w:rPr>
        <w:t xml:space="preserve">on </w:t>
      </w:r>
      <w:r w:rsidR="00C93047" w:rsidRPr="00233C47">
        <w:rPr>
          <w:rFonts w:ascii="Arial" w:hAnsi="Arial" w:cs="Arial"/>
          <w:sz w:val="24"/>
          <w:szCs w:val="24"/>
        </w:rPr>
        <w:t xml:space="preserve">25 September 2013. </w:t>
      </w:r>
      <w:r w:rsidR="0056334B" w:rsidRPr="00233C47">
        <w:rPr>
          <w:rFonts w:ascii="Arial" w:hAnsi="Arial" w:cs="Arial"/>
          <w:sz w:val="24"/>
          <w:szCs w:val="24"/>
        </w:rPr>
        <w:t>The</w:t>
      </w:r>
      <w:r w:rsidR="00ED76C0" w:rsidRPr="00233C47">
        <w:rPr>
          <w:rFonts w:ascii="Arial" w:hAnsi="Arial" w:cs="Arial"/>
          <w:sz w:val="24"/>
          <w:szCs w:val="24"/>
        </w:rPr>
        <w:t xml:space="preserve"> incident seem</w:t>
      </w:r>
      <w:r w:rsidR="002249C7" w:rsidRPr="00233C47">
        <w:rPr>
          <w:rFonts w:ascii="Arial" w:hAnsi="Arial" w:cs="Arial"/>
          <w:sz w:val="24"/>
          <w:szCs w:val="24"/>
        </w:rPr>
        <w:t>s</w:t>
      </w:r>
      <w:r w:rsidR="00ED76C0" w:rsidRPr="00233C47">
        <w:rPr>
          <w:rFonts w:ascii="Arial" w:hAnsi="Arial" w:cs="Arial"/>
          <w:sz w:val="24"/>
          <w:szCs w:val="24"/>
        </w:rPr>
        <w:t xml:space="preserve"> </w:t>
      </w:r>
      <w:r w:rsidR="002249C7" w:rsidRPr="00233C47">
        <w:rPr>
          <w:rFonts w:ascii="Arial" w:hAnsi="Arial" w:cs="Arial"/>
          <w:sz w:val="24"/>
          <w:szCs w:val="24"/>
        </w:rPr>
        <w:t>n</w:t>
      </w:r>
      <w:r w:rsidR="00A0020B" w:rsidRPr="00233C47">
        <w:rPr>
          <w:rFonts w:ascii="Arial" w:hAnsi="Arial" w:cs="Arial"/>
          <w:sz w:val="24"/>
          <w:szCs w:val="24"/>
        </w:rPr>
        <w:t xml:space="preserve">ever </w:t>
      </w:r>
      <w:r w:rsidR="00ED76C0" w:rsidRPr="00233C47">
        <w:rPr>
          <w:rFonts w:ascii="Arial" w:hAnsi="Arial" w:cs="Arial"/>
          <w:sz w:val="24"/>
          <w:szCs w:val="24"/>
        </w:rPr>
        <w:t xml:space="preserve">to have been considered, </w:t>
      </w:r>
      <w:r w:rsidR="00E6041B" w:rsidRPr="00233C47">
        <w:rPr>
          <w:rFonts w:ascii="Arial" w:hAnsi="Arial" w:cs="Arial"/>
          <w:sz w:val="24"/>
          <w:szCs w:val="24"/>
        </w:rPr>
        <w:t>whether during the trial, sentencing proceedings, the application for leave to appeal</w:t>
      </w:r>
      <w:r w:rsidR="005E1677" w:rsidRPr="00233C47">
        <w:rPr>
          <w:rFonts w:ascii="Arial" w:hAnsi="Arial" w:cs="Arial"/>
          <w:sz w:val="24"/>
          <w:szCs w:val="24"/>
        </w:rPr>
        <w:t xml:space="preserve">, or </w:t>
      </w:r>
      <w:r w:rsidR="0031445E" w:rsidRPr="00233C47">
        <w:rPr>
          <w:rFonts w:ascii="Arial" w:hAnsi="Arial" w:cs="Arial"/>
          <w:sz w:val="24"/>
          <w:szCs w:val="24"/>
        </w:rPr>
        <w:t xml:space="preserve">as part of the petition, </w:t>
      </w:r>
      <w:r w:rsidR="007F337B" w:rsidRPr="00233C47">
        <w:rPr>
          <w:rFonts w:ascii="Arial" w:hAnsi="Arial" w:cs="Arial"/>
          <w:sz w:val="24"/>
          <w:szCs w:val="24"/>
        </w:rPr>
        <w:t xml:space="preserve">which was dismissed on </w:t>
      </w:r>
      <w:r w:rsidR="00E420C8" w:rsidRPr="00233C47">
        <w:rPr>
          <w:rFonts w:ascii="Arial" w:hAnsi="Arial" w:cs="Arial"/>
          <w:sz w:val="24"/>
          <w:szCs w:val="24"/>
        </w:rPr>
        <w:t xml:space="preserve">8 August </w:t>
      </w:r>
      <w:r w:rsidR="001266CA" w:rsidRPr="00233C47">
        <w:rPr>
          <w:rFonts w:ascii="Arial" w:hAnsi="Arial" w:cs="Arial"/>
          <w:sz w:val="24"/>
          <w:szCs w:val="24"/>
        </w:rPr>
        <w:t>2014.</w:t>
      </w:r>
      <w:r w:rsidR="00C77B87" w:rsidRPr="00233C47">
        <w:rPr>
          <w:rFonts w:ascii="Arial" w:hAnsi="Arial" w:cs="Arial"/>
          <w:sz w:val="24"/>
          <w:szCs w:val="24"/>
        </w:rPr>
        <w:t xml:space="preserve"> </w:t>
      </w:r>
      <w:r w:rsidR="00C86CFF" w:rsidRPr="00233C47">
        <w:rPr>
          <w:rFonts w:ascii="Arial" w:hAnsi="Arial" w:cs="Arial"/>
          <w:sz w:val="24"/>
          <w:szCs w:val="24"/>
        </w:rPr>
        <w:t xml:space="preserve">It appears only to have </w:t>
      </w:r>
      <w:r w:rsidR="00A23E76" w:rsidRPr="00233C47">
        <w:rPr>
          <w:rFonts w:ascii="Arial" w:hAnsi="Arial" w:cs="Arial"/>
          <w:sz w:val="24"/>
          <w:szCs w:val="24"/>
        </w:rPr>
        <w:t xml:space="preserve">emerged as an issue and </w:t>
      </w:r>
      <w:r w:rsidR="00C86CFF" w:rsidRPr="00233C47">
        <w:rPr>
          <w:rFonts w:ascii="Arial" w:hAnsi="Arial" w:cs="Arial"/>
          <w:sz w:val="24"/>
          <w:szCs w:val="24"/>
        </w:rPr>
        <w:t xml:space="preserve">received attention after the applicant instructed his present </w:t>
      </w:r>
      <w:r w:rsidR="008F364F" w:rsidRPr="00233C47">
        <w:rPr>
          <w:rFonts w:ascii="Arial" w:hAnsi="Arial" w:cs="Arial"/>
          <w:sz w:val="24"/>
          <w:szCs w:val="24"/>
        </w:rPr>
        <w:t xml:space="preserve">attorney, </w:t>
      </w:r>
      <w:r w:rsidR="004F4E67" w:rsidRPr="00233C47">
        <w:rPr>
          <w:rFonts w:ascii="Arial" w:hAnsi="Arial" w:cs="Arial"/>
          <w:sz w:val="24"/>
          <w:szCs w:val="24"/>
        </w:rPr>
        <w:t>Mr Daubermann.</w:t>
      </w:r>
      <w:r w:rsidR="00A23E76" w:rsidRPr="00233C47">
        <w:rPr>
          <w:rFonts w:ascii="Arial" w:hAnsi="Arial" w:cs="Arial"/>
          <w:sz w:val="24"/>
          <w:szCs w:val="24"/>
        </w:rPr>
        <w:t xml:space="preserve"> The applicant does not say </w:t>
      </w:r>
      <w:r w:rsidR="0068225B" w:rsidRPr="00233C47">
        <w:rPr>
          <w:rFonts w:ascii="Arial" w:hAnsi="Arial" w:cs="Arial"/>
          <w:sz w:val="24"/>
          <w:szCs w:val="24"/>
        </w:rPr>
        <w:t>exact</w:t>
      </w:r>
      <w:r w:rsidR="00C920D6" w:rsidRPr="00233C47">
        <w:rPr>
          <w:rFonts w:ascii="Arial" w:hAnsi="Arial" w:cs="Arial"/>
          <w:sz w:val="24"/>
          <w:szCs w:val="24"/>
        </w:rPr>
        <w:t xml:space="preserve">ly </w:t>
      </w:r>
      <w:r w:rsidR="00A23E76" w:rsidRPr="00233C47">
        <w:rPr>
          <w:rFonts w:ascii="Arial" w:hAnsi="Arial" w:cs="Arial"/>
          <w:sz w:val="24"/>
          <w:szCs w:val="24"/>
        </w:rPr>
        <w:t>when</w:t>
      </w:r>
      <w:r w:rsidR="00C920D6" w:rsidRPr="00233C47">
        <w:rPr>
          <w:rFonts w:ascii="Arial" w:hAnsi="Arial" w:cs="Arial"/>
          <w:sz w:val="24"/>
          <w:szCs w:val="24"/>
        </w:rPr>
        <w:t xml:space="preserve"> this occurred.</w:t>
      </w:r>
    </w:p>
    <w:p w14:paraId="0B905A42" w14:textId="77777777" w:rsidR="009D4A2C" w:rsidRPr="009D4A2C" w:rsidRDefault="009D4A2C" w:rsidP="009D4A2C">
      <w:pPr>
        <w:pStyle w:val="ListParagraph"/>
        <w:rPr>
          <w:rFonts w:ascii="Arial" w:hAnsi="Arial" w:cs="Arial"/>
          <w:sz w:val="24"/>
          <w:szCs w:val="24"/>
        </w:rPr>
      </w:pPr>
    </w:p>
    <w:p w14:paraId="5B4FA7A5" w14:textId="393331CF" w:rsidR="009D4A2C" w:rsidRPr="00233C47" w:rsidRDefault="00233C47" w:rsidP="00233C47">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1796F" w:rsidRPr="00233C47">
        <w:rPr>
          <w:rFonts w:ascii="Arial" w:hAnsi="Arial" w:cs="Arial"/>
          <w:sz w:val="24"/>
          <w:szCs w:val="24"/>
        </w:rPr>
        <w:t xml:space="preserve">Regarding </w:t>
      </w:r>
      <w:r w:rsidR="0019046F" w:rsidRPr="00233C47">
        <w:rPr>
          <w:rFonts w:ascii="Arial" w:hAnsi="Arial" w:cs="Arial"/>
          <w:sz w:val="24"/>
          <w:szCs w:val="24"/>
        </w:rPr>
        <w:t>the availability of funds, t</w:t>
      </w:r>
      <w:r w:rsidR="00857954" w:rsidRPr="00233C47">
        <w:rPr>
          <w:rFonts w:ascii="Arial" w:hAnsi="Arial" w:cs="Arial"/>
          <w:sz w:val="24"/>
          <w:szCs w:val="24"/>
        </w:rPr>
        <w:t xml:space="preserve">he applicant </w:t>
      </w:r>
      <w:r w:rsidR="00FE4FCA" w:rsidRPr="00233C47">
        <w:rPr>
          <w:rFonts w:ascii="Arial" w:hAnsi="Arial" w:cs="Arial"/>
          <w:sz w:val="24"/>
          <w:szCs w:val="24"/>
        </w:rPr>
        <w:t xml:space="preserve">does not </w:t>
      </w:r>
      <w:r w:rsidR="009F2FD1" w:rsidRPr="00233C47">
        <w:rPr>
          <w:rFonts w:ascii="Arial" w:hAnsi="Arial" w:cs="Arial"/>
          <w:sz w:val="24"/>
          <w:szCs w:val="24"/>
        </w:rPr>
        <w:t>explain his financial position at all</w:t>
      </w:r>
      <w:r w:rsidR="00EC781A" w:rsidRPr="00233C47">
        <w:rPr>
          <w:rFonts w:ascii="Arial" w:hAnsi="Arial" w:cs="Arial"/>
          <w:sz w:val="24"/>
          <w:szCs w:val="24"/>
        </w:rPr>
        <w:t xml:space="preserve">. He does not say that he </w:t>
      </w:r>
      <w:r w:rsidR="000365DE" w:rsidRPr="00233C47">
        <w:rPr>
          <w:rFonts w:ascii="Arial" w:hAnsi="Arial" w:cs="Arial"/>
          <w:sz w:val="24"/>
          <w:szCs w:val="24"/>
        </w:rPr>
        <w:t xml:space="preserve">had </w:t>
      </w:r>
      <w:r w:rsidR="006D20ED" w:rsidRPr="00233C47">
        <w:rPr>
          <w:rFonts w:ascii="Arial" w:hAnsi="Arial" w:cs="Arial"/>
          <w:sz w:val="24"/>
          <w:szCs w:val="24"/>
        </w:rPr>
        <w:t xml:space="preserve">entirely </w:t>
      </w:r>
      <w:r w:rsidR="00EC781A" w:rsidRPr="00233C47">
        <w:rPr>
          <w:rFonts w:ascii="Arial" w:hAnsi="Arial" w:cs="Arial"/>
          <w:sz w:val="24"/>
          <w:szCs w:val="24"/>
        </w:rPr>
        <w:t xml:space="preserve">lacked funds or </w:t>
      </w:r>
      <w:r w:rsidR="00732BFB" w:rsidRPr="00233C47">
        <w:rPr>
          <w:rFonts w:ascii="Arial" w:hAnsi="Arial" w:cs="Arial"/>
          <w:sz w:val="24"/>
          <w:szCs w:val="24"/>
        </w:rPr>
        <w:t xml:space="preserve">that he </w:t>
      </w:r>
      <w:r w:rsidR="000365DE" w:rsidRPr="00233C47">
        <w:rPr>
          <w:rFonts w:ascii="Arial" w:hAnsi="Arial" w:cs="Arial"/>
          <w:sz w:val="24"/>
          <w:szCs w:val="24"/>
        </w:rPr>
        <w:t xml:space="preserve">had been </w:t>
      </w:r>
      <w:r w:rsidR="00CD5A1D" w:rsidRPr="00233C47">
        <w:rPr>
          <w:rFonts w:ascii="Arial" w:hAnsi="Arial" w:cs="Arial"/>
          <w:sz w:val="24"/>
          <w:szCs w:val="24"/>
        </w:rPr>
        <w:t>un</w:t>
      </w:r>
      <w:r w:rsidR="00A146BA" w:rsidRPr="00233C47">
        <w:rPr>
          <w:rFonts w:ascii="Arial" w:hAnsi="Arial" w:cs="Arial"/>
          <w:sz w:val="24"/>
          <w:szCs w:val="24"/>
        </w:rPr>
        <w:t>able</w:t>
      </w:r>
      <w:r w:rsidR="00732BFB" w:rsidRPr="00233C47">
        <w:rPr>
          <w:rFonts w:ascii="Arial" w:hAnsi="Arial" w:cs="Arial"/>
          <w:sz w:val="24"/>
          <w:szCs w:val="24"/>
        </w:rPr>
        <w:t xml:space="preserve"> to </w:t>
      </w:r>
      <w:r w:rsidR="009A2597" w:rsidRPr="00233C47">
        <w:rPr>
          <w:rFonts w:ascii="Arial" w:hAnsi="Arial" w:cs="Arial"/>
          <w:sz w:val="24"/>
          <w:szCs w:val="24"/>
        </w:rPr>
        <w:t xml:space="preserve">obtain </w:t>
      </w:r>
      <w:r w:rsidR="00A424CC" w:rsidRPr="00233C47">
        <w:rPr>
          <w:rFonts w:ascii="Arial" w:hAnsi="Arial" w:cs="Arial"/>
          <w:sz w:val="24"/>
          <w:szCs w:val="24"/>
        </w:rPr>
        <w:t xml:space="preserve">adequate </w:t>
      </w:r>
      <w:r w:rsidR="009A2597" w:rsidRPr="00233C47">
        <w:rPr>
          <w:rFonts w:ascii="Arial" w:hAnsi="Arial" w:cs="Arial"/>
          <w:sz w:val="24"/>
          <w:szCs w:val="24"/>
        </w:rPr>
        <w:t>assistance from family or friends or acquaintances or elsewhere</w:t>
      </w:r>
      <w:r w:rsidR="00A146BA" w:rsidRPr="00233C47">
        <w:rPr>
          <w:rFonts w:ascii="Arial" w:hAnsi="Arial" w:cs="Arial"/>
          <w:sz w:val="24"/>
          <w:szCs w:val="24"/>
        </w:rPr>
        <w:t xml:space="preserve">. The court is completely in the dark about </w:t>
      </w:r>
      <w:r w:rsidR="00753CCB" w:rsidRPr="00233C47">
        <w:rPr>
          <w:rFonts w:ascii="Arial" w:hAnsi="Arial" w:cs="Arial"/>
          <w:sz w:val="24"/>
          <w:szCs w:val="24"/>
        </w:rPr>
        <w:t>the impact that his financial position had</w:t>
      </w:r>
      <w:r w:rsidR="0068225B" w:rsidRPr="00233C47">
        <w:rPr>
          <w:rFonts w:ascii="Arial" w:hAnsi="Arial" w:cs="Arial"/>
          <w:sz w:val="24"/>
          <w:szCs w:val="24"/>
        </w:rPr>
        <w:t xml:space="preserve"> on his circumstances and precisely </w:t>
      </w:r>
      <w:r w:rsidR="00A85871" w:rsidRPr="00233C47">
        <w:rPr>
          <w:rFonts w:ascii="Arial" w:hAnsi="Arial" w:cs="Arial"/>
          <w:sz w:val="24"/>
          <w:szCs w:val="24"/>
        </w:rPr>
        <w:t xml:space="preserve">what happened between the date upon which the </w:t>
      </w:r>
      <w:r w:rsidR="00A85871" w:rsidRPr="00233C47">
        <w:rPr>
          <w:rFonts w:ascii="Arial" w:hAnsi="Arial" w:cs="Arial"/>
          <w:sz w:val="24"/>
          <w:szCs w:val="24"/>
        </w:rPr>
        <w:lastRenderedPageBreak/>
        <w:t xml:space="preserve">applicant’s </w:t>
      </w:r>
      <w:r w:rsidR="00CB48A9" w:rsidRPr="00233C47">
        <w:rPr>
          <w:rFonts w:ascii="Arial" w:hAnsi="Arial" w:cs="Arial"/>
          <w:sz w:val="24"/>
          <w:szCs w:val="24"/>
        </w:rPr>
        <w:t xml:space="preserve">petition was dismissed and the date upon which the present application </w:t>
      </w:r>
      <w:r w:rsidR="00A424CC" w:rsidRPr="00233C47">
        <w:rPr>
          <w:rFonts w:ascii="Arial" w:hAnsi="Arial" w:cs="Arial"/>
          <w:sz w:val="24"/>
          <w:szCs w:val="24"/>
        </w:rPr>
        <w:t xml:space="preserve">was </w:t>
      </w:r>
      <w:r w:rsidR="004306AF" w:rsidRPr="00233C47">
        <w:rPr>
          <w:rFonts w:ascii="Arial" w:hAnsi="Arial" w:cs="Arial"/>
          <w:sz w:val="24"/>
          <w:szCs w:val="24"/>
        </w:rPr>
        <w:t>launched</w:t>
      </w:r>
      <w:r w:rsidR="000F3173" w:rsidRPr="00233C47">
        <w:rPr>
          <w:rFonts w:ascii="Arial" w:hAnsi="Arial" w:cs="Arial"/>
          <w:sz w:val="24"/>
          <w:szCs w:val="24"/>
        </w:rPr>
        <w:t xml:space="preserve">. </w:t>
      </w:r>
    </w:p>
    <w:p w14:paraId="19DF5377" w14:textId="77777777" w:rsidR="009D4A2C" w:rsidRPr="009D4A2C" w:rsidRDefault="009D4A2C" w:rsidP="009D4A2C">
      <w:pPr>
        <w:pStyle w:val="ListParagraph"/>
        <w:rPr>
          <w:rFonts w:ascii="Arial" w:hAnsi="Arial" w:cs="Arial"/>
          <w:sz w:val="24"/>
          <w:szCs w:val="24"/>
        </w:rPr>
      </w:pPr>
    </w:p>
    <w:p w14:paraId="4C241DFE" w14:textId="77946DDD" w:rsidR="009317EE" w:rsidRPr="00233C47" w:rsidRDefault="00233C47" w:rsidP="00233C47">
      <w:pPr>
        <w:spacing w:line="360" w:lineRule="auto"/>
        <w:jc w:val="both"/>
        <w:rPr>
          <w:rFonts w:ascii="Arial" w:hAnsi="Arial" w:cs="Arial"/>
          <w:sz w:val="24"/>
          <w:szCs w:val="24"/>
        </w:rPr>
      </w:pPr>
      <w:r w:rsidRPr="009D4A2C">
        <w:rPr>
          <w:rFonts w:ascii="Arial" w:hAnsi="Arial" w:cs="Arial"/>
          <w:sz w:val="24"/>
          <w:szCs w:val="24"/>
        </w:rPr>
        <w:t>[28]</w:t>
      </w:r>
      <w:r w:rsidRPr="009D4A2C">
        <w:rPr>
          <w:rFonts w:ascii="Arial" w:hAnsi="Arial" w:cs="Arial"/>
          <w:sz w:val="24"/>
          <w:szCs w:val="24"/>
        </w:rPr>
        <w:tab/>
      </w:r>
      <w:r w:rsidR="00995BBC" w:rsidRPr="00233C47">
        <w:rPr>
          <w:rFonts w:ascii="Arial" w:hAnsi="Arial" w:cs="Arial"/>
          <w:sz w:val="24"/>
          <w:szCs w:val="24"/>
        </w:rPr>
        <w:t>Quite simply, the applicant has failed to</w:t>
      </w:r>
      <w:r w:rsidR="00D15DA2" w:rsidRPr="00233C47">
        <w:rPr>
          <w:rFonts w:ascii="Arial" w:hAnsi="Arial" w:cs="Arial"/>
          <w:sz w:val="24"/>
          <w:szCs w:val="24"/>
        </w:rPr>
        <w:t xml:space="preserve"> offer any compelling explanation for the delay of </w:t>
      </w:r>
      <w:r w:rsidR="00E95F27" w:rsidRPr="00233C47">
        <w:rPr>
          <w:rFonts w:ascii="Arial" w:hAnsi="Arial" w:cs="Arial"/>
          <w:sz w:val="24"/>
          <w:szCs w:val="24"/>
        </w:rPr>
        <w:t xml:space="preserve">seven-and-a-half years. It is difficult for the court </w:t>
      </w:r>
      <w:r w:rsidR="00837EBB" w:rsidRPr="00233C47">
        <w:rPr>
          <w:rFonts w:ascii="Arial" w:hAnsi="Arial" w:cs="Arial"/>
          <w:sz w:val="24"/>
          <w:szCs w:val="24"/>
        </w:rPr>
        <w:t>not to find that the delay was unreasonable.</w:t>
      </w:r>
    </w:p>
    <w:p w14:paraId="78E92154" w14:textId="77777777" w:rsidR="00D3144D" w:rsidRDefault="00D3144D" w:rsidP="005E1C49">
      <w:pPr>
        <w:spacing w:line="360" w:lineRule="auto"/>
        <w:rPr>
          <w:rFonts w:ascii="Arial" w:hAnsi="Arial" w:cs="Arial"/>
          <w:sz w:val="24"/>
          <w:szCs w:val="24"/>
        </w:rPr>
      </w:pPr>
    </w:p>
    <w:p w14:paraId="017F2467" w14:textId="5A30BF6C" w:rsidR="00D3144D" w:rsidRPr="00926686" w:rsidRDefault="00D3144D" w:rsidP="009D4A2C">
      <w:pPr>
        <w:spacing w:line="360" w:lineRule="auto"/>
        <w:jc w:val="both"/>
        <w:rPr>
          <w:rFonts w:ascii="Arial" w:hAnsi="Arial" w:cs="Arial"/>
          <w:b/>
          <w:bCs/>
          <w:sz w:val="24"/>
          <w:szCs w:val="24"/>
        </w:rPr>
      </w:pPr>
      <w:r w:rsidRPr="00926686">
        <w:rPr>
          <w:rFonts w:ascii="Arial" w:hAnsi="Arial" w:cs="Arial"/>
          <w:b/>
          <w:bCs/>
          <w:sz w:val="24"/>
          <w:szCs w:val="24"/>
        </w:rPr>
        <w:t>Whether the unreasonable delay should be condoned</w:t>
      </w:r>
    </w:p>
    <w:p w14:paraId="1531C46F" w14:textId="77777777" w:rsidR="00D3144D" w:rsidRDefault="00D3144D" w:rsidP="005E1C49">
      <w:pPr>
        <w:spacing w:line="360" w:lineRule="auto"/>
        <w:rPr>
          <w:rFonts w:ascii="Arial" w:hAnsi="Arial" w:cs="Arial"/>
          <w:sz w:val="24"/>
          <w:szCs w:val="24"/>
        </w:rPr>
      </w:pPr>
    </w:p>
    <w:p w14:paraId="70D5E580" w14:textId="7F34F28E" w:rsidR="00D3144D" w:rsidRPr="00233C47" w:rsidRDefault="00233C47" w:rsidP="00233C47">
      <w:pPr>
        <w:spacing w:line="360" w:lineRule="auto"/>
        <w:jc w:val="both"/>
        <w:rPr>
          <w:rFonts w:ascii="Arial" w:hAnsi="Arial" w:cs="Arial"/>
          <w:sz w:val="24"/>
          <w:szCs w:val="24"/>
        </w:rPr>
      </w:pPr>
      <w:r w:rsidRPr="009D4A2C">
        <w:rPr>
          <w:rFonts w:ascii="Arial" w:hAnsi="Arial" w:cs="Arial"/>
          <w:sz w:val="24"/>
          <w:szCs w:val="24"/>
        </w:rPr>
        <w:t>[29]</w:t>
      </w:r>
      <w:r w:rsidRPr="009D4A2C">
        <w:rPr>
          <w:rFonts w:ascii="Arial" w:hAnsi="Arial" w:cs="Arial"/>
          <w:sz w:val="24"/>
          <w:szCs w:val="24"/>
        </w:rPr>
        <w:tab/>
      </w:r>
      <w:r w:rsidR="0000135C" w:rsidRPr="00233C47">
        <w:rPr>
          <w:rFonts w:ascii="Arial" w:hAnsi="Arial" w:cs="Arial"/>
          <w:sz w:val="24"/>
          <w:szCs w:val="24"/>
        </w:rPr>
        <w:t xml:space="preserve">Turning to the </w:t>
      </w:r>
      <w:r w:rsidR="00926686" w:rsidRPr="00233C47">
        <w:rPr>
          <w:rFonts w:ascii="Arial" w:hAnsi="Arial" w:cs="Arial"/>
          <w:sz w:val="24"/>
          <w:szCs w:val="24"/>
        </w:rPr>
        <w:t>remainder of the enquiry,</w:t>
      </w:r>
      <w:r w:rsidR="002B6261" w:rsidRPr="00233C47">
        <w:rPr>
          <w:rFonts w:ascii="Arial" w:hAnsi="Arial" w:cs="Arial"/>
          <w:sz w:val="24"/>
          <w:szCs w:val="24"/>
        </w:rPr>
        <w:t xml:space="preserve"> the court</w:t>
      </w:r>
      <w:r w:rsidR="0098090C" w:rsidRPr="00233C47">
        <w:rPr>
          <w:rFonts w:ascii="Arial" w:hAnsi="Arial" w:cs="Arial"/>
          <w:sz w:val="24"/>
          <w:szCs w:val="24"/>
        </w:rPr>
        <w:t xml:space="preserve"> must </w:t>
      </w:r>
      <w:r w:rsidR="00322B77" w:rsidRPr="00233C47">
        <w:rPr>
          <w:rFonts w:ascii="Arial" w:hAnsi="Arial" w:cs="Arial"/>
          <w:sz w:val="24"/>
          <w:szCs w:val="24"/>
        </w:rPr>
        <w:t xml:space="preserve">exercise a judicial discretion in relation to </w:t>
      </w:r>
      <w:r w:rsidR="00F037F7" w:rsidRPr="00233C47">
        <w:rPr>
          <w:rFonts w:ascii="Arial" w:hAnsi="Arial" w:cs="Arial"/>
          <w:sz w:val="24"/>
          <w:szCs w:val="24"/>
        </w:rPr>
        <w:t xml:space="preserve">the </w:t>
      </w:r>
      <w:r w:rsidR="00A22B9E" w:rsidRPr="00233C47">
        <w:rPr>
          <w:rFonts w:ascii="Arial" w:hAnsi="Arial" w:cs="Arial"/>
          <w:sz w:val="24"/>
          <w:szCs w:val="24"/>
        </w:rPr>
        <w:t xml:space="preserve">possible </w:t>
      </w:r>
      <w:r w:rsidR="00F037F7" w:rsidRPr="00233C47">
        <w:rPr>
          <w:rFonts w:ascii="Arial" w:hAnsi="Arial" w:cs="Arial"/>
          <w:sz w:val="24"/>
          <w:szCs w:val="24"/>
        </w:rPr>
        <w:t xml:space="preserve">granting of </w:t>
      </w:r>
      <w:r w:rsidR="00A22B9E" w:rsidRPr="00233C47">
        <w:rPr>
          <w:rFonts w:ascii="Arial" w:hAnsi="Arial" w:cs="Arial"/>
          <w:sz w:val="24"/>
          <w:szCs w:val="24"/>
        </w:rPr>
        <w:t>condonation</w:t>
      </w:r>
      <w:r w:rsidR="001B10C9" w:rsidRPr="00233C47">
        <w:rPr>
          <w:rFonts w:ascii="Arial" w:hAnsi="Arial" w:cs="Arial"/>
          <w:sz w:val="24"/>
          <w:szCs w:val="24"/>
        </w:rPr>
        <w:t>.</w:t>
      </w:r>
      <w:r w:rsidR="0016237F" w:rsidRPr="00233C47">
        <w:rPr>
          <w:rFonts w:ascii="Arial" w:hAnsi="Arial" w:cs="Arial"/>
          <w:sz w:val="24"/>
          <w:szCs w:val="24"/>
        </w:rPr>
        <w:t xml:space="preserve"> </w:t>
      </w:r>
      <w:r w:rsidR="005D4747" w:rsidRPr="00233C47">
        <w:rPr>
          <w:rFonts w:ascii="Arial" w:hAnsi="Arial" w:cs="Arial"/>
          <w:sz w:val="24"/>
          <w:szCs w:val="24"/>
        </w:rPr>
        <w:t>It must consider a</w:t>
      </w:r>
      <w:r w:rsidR="000803BC" w:rsidRPr="00233C47">
        <w:rPr>
          <w:rFonts w:ascii="Arial" w:hAnsi="Arial" w:cs="Arial"/>
          <w:sz w:val="24"/>
          <w:szCs w:val="24"/>
        </w:rPr>
        <w:t>ll the relevant circumstances</w:t>
      </w:r>
      <w:r w:rsidR="00937D22" w:rsidRPr="00233C47">
        <w:rPr>
          <w:rFonts w:ascii="Arial" w:hAnsi="Arial" w:cs="Arial"/>
          <w:sz w:val="24"/>
          <w:szCs w:val="24"/>
        </w:rPr>
        <w:t xml:space="preserve">, which </w:t>
      </w:r>
      <w:r w:rsidR="005D4747" w:rsidRPr="00233C47">
        <w:rPr>
          <w:rFonts w:ascii="Arial" w:hAnsi="Arial" w:cs="Arial"/>
          <w:sz w:val="24"/>
          <w:szCs w:val="24"/>
        </w:rPr>
        <w:t>will</w:t>
      </w:r>
      <w:r w:rsidR="00916918" w:rsidRPr="00233C47">
        <w:rPr>
          <w:rFonts w:ascii="Arial" w:hAnsi="Arial" w:cs="Arial"/>
          <w:sz w:val="24"/>
          <w:szCs w:val="24"/>
        </w:rPr>
        <w:t xml:space="preserve"> </w:t>
      </w:r>
      <w:r w:rsidR="00937D22" w:rsidRPr="00233C47">
        <w:rPr>
          <w:rFonts w:ascii="Arial" w:hAnsi="Arial" w:cs="Arial"/>
          <w:sz w:val="24"/>
          <w:szCs w:val="24"/>
        </w:rPr>
        <w:t xml:space="preserve">inevitably </w:t>
      </w:r>
      <w:r w:rsidR="00916918" w:rsidRPr="00233C47">
        <w:rPr>
          <w:rFonts w:ascii="Arial" w:hAnsi="Arial" w:cs="Arial"/>
          <w:sz w:val="24"/>
          <w:szCs w:val="24"/>
        </w:rPr>
        <w:t>entail</w:t>
      </w:r>
      <w:r w:rsidR="005D4747" w:rsidRPr="00233C47">
        <w:rPr>
          <w:rFonts w:ascii="Arial" w:hAnsi="Arial" w:cs="Arial"/>
          <w:sz w:val="24"/>
          <w:szCs w:val="24"/>
        </w:rPr>
        <w:t xml:space="preserve"> </w:t>
      </w:r>
      <w:r w:rsidR="007B1519" w:rsidRPr="00233C47">
        <w:rPr>
          <w:rFonts w:ascii="Arial" w:hAnsi="Arial" w:cs="Arial"/>
          <w:sz w:val="24"/>
          <w:szCs w:val="24"/>
        </w:rPr>
        <w:t xml:space="preserve">some </w:t>
      </w:r>
      <w:r w:rsidR="00797435" w:rsidRPr="00233C47">
        <w:rPr>
          <w:rFonts w:ascii="Arial" w:hAnsi="Arial" w:cs="Arial"/>
          <w:sz w:val="24"/>
          <w:szCs w:val="24"/>
        </w:rPr>
        <w:t xml:space="preserve">investigation </w:t>
      </w:r>
      <w:r w:rsidR="00862B55" w:rsidRPr="00233C47">
        <w:rPr>
          <w:rFonts w:ascii="Arial" w:hAnsi="Arial" w:cs="Arial"/>
          <w:sz w:val="24"/>
          <w:szCs w:val="24"/>
        </w:rPr>
        <w:t>into the applicant’s prospects of success</w:t>
      </w:r>
      <w:r w:rsidR="000F1F59" w:rsidRPr="00233C47">
        <w:rPr>
          <w:rFonts w:ascii="Arial" w:hAnsi="Arial" w:cs="Arial"/>
          <w:sz w:val="24"/>
          <w:szCs w:val="24"/>
        </w:rPr>
        <w:t xml:space="preserve">. </w:t>
      </w:r>
    </w:p>
    <w:p w14:paraId="4D7FC913" w14:textId="77777777" w:rsidR="002206E3" w:rsidRDefault="002206E3" w:rsidP="005E1C49">
      <w:pPr>
        <w:spacing w:line="360" w:lineRule="auto"/>
        <w:rPr>
          <w:rFonts w:ascii="Arial" w:hAnsi="Arial" w:cs="Arial"/>
          <w:sz w:val="24"/>
          <w:szCs w:val="24"/>
        </w:rPr>
      </w:pPr>
    </w:p>
    <w:p w14:paraId="6C1404EB" w14:textId="4C9C12A9" w:rsidR="002206E3" w:rsidRPr="002206E3" w:rsidRDefault="002206E3" w:rsidP="009D4A2C">
      <w:pPr>
        <w:spacing w:line="360" w:lineRule="auto"/>
        <w:jc w:val="both"/>
        <w:rPr>
          <w:rFonts w:ascii="Arial" w:hAnsi="Arial" w:cs="Arial"/>
          <w:i/>
          <w:iCs/>
          <w:sz w:val="24"/>
          <w:szCs w:val="24"/>
        </w:rPr>
      </w:pPr>
      <w:r w:rsidRPr="002206E3">
        <w:rPr>
          <w:rFonts w:ascii="Arial" w:hAnsi="Arial" w:cs="Arial"/>
          <w:i/>
          <w:iCs/>
          <w:sz w:val="24"/>
          <w:szCs w:val="24"/>
        </w:rPr>
        <w:t>Prospects of success</w:t>
      </w:r>
    </w:p>
    <w:p w14:paraId="70EC252A" w14:textId="77777777" w:rsidR="002206E3" w:rsidRDefault="002206E3" w:rsidP="005E1C49">
      <w:pPr>
        <w:spacing w:line="360" w:lineRule="auto"/>
        <w:rPr>
          <w:rFonts w:ascii="Arial" w:hAnsi="Arial" w:cs="Arial"/>
          <w:sz w:val="24"/>
          <w:szCs w:val="24"/>
        </w:rPr>
      </w:pPr>
    </w:p>
    <w:p w14:paraId="29D643EC" w14:textId="516F3D8C" w:rsidR="009D4A2C" w:rsidRPr="00233C47" w:rsidRDefault="00233C47" w:rsidP="00233C47">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600CEF" w:rsidRPr="00233C47">
        <w:rPr>
          <w:rFonts w:ascii="Arial" w:hAnsi="Arial" w:cs="Arial"/>
          <w:sz w:val="24"/>
          <w:szCs w:val="24"/>
        </w:rPr>
        <w:t xml:space="preserve">The </w:t>
      </w:r>
      <w:r w:rsidR="002206E3" w:rsidRPr="00233C47">
        <w:rPr>
          <w:rFonts w:ascii="Arial" w:hAnsi="Arial" w:cs="Arial"/>
          <w:sz w:val="24"/>
          <w:szCs w:val="24"/>
        </w:rPr>
        <w:t xml:space="preserve">investigation begins with the incident itself. The </w:t>
      </w:r>
      <w:r w:rsidR="00600CEF" w:rsidRPr="00233C47">
        <w:rPr>
          <w:rFonts w:ascii="Arial" w:hAnsi="Arial" w:cs="Arial"/>
          <w:sz w:val="24"/>
          <w:szCs w:val="24"/>
        </w:rPr>
        <w:t xml:space="preserve">extract from the transcription of the record </w:t>
      </w:r>
      <w:r w:rsidR="0072257D" w:rsidRPr="00233C47">
        <w:rPr>
          <w:rFonts w:ascii="Arial" w:hAnsi="Arial" w:cs="Arial"/>
          <w:sz w:val="24"/>
          <w:szCs w:val="24"/>
        </w:rPr>
        <w:t>reveals that</w:t>
      </w:r>
      <w:r w:rsidR="00FF0FCC" w:rsidRPr="00233C47">
        <w:rPr>
          <w:rFonts w:ascii="Arial" w:hAnsi="Arial" w:cs="Arial"/>
          <w:sz w:val="24"/>
          <w:szCs w:val="24"/>
        </w:rPr>
        <w:t xml:space="preserve">, </w:t>
      </w:r>
      <w:r w:rsidR="00B91B53" w:rsidRPr="00233C47">
        <w:rPr>
          <w:rFonts w:ascii="Arial" w:hAnsi="Arial" w:cs="Arial"/>
          <w:sz w:val="24"/>
          <w:szCs w:val="24"/>
        </w:rPr>
        <w:t xml:space="preserve">at the commencement </w:t>
      </w:r>
      <w:r w:rsidR="00B50DE6" w:rsidRPr="00233C47">
        <w:rPr>
          <w:rFonts w:ascii="Arial" w:hAnsi="Arial" w:cs="Arial"/>
          <w:sz w:val="24"/>
          <w:szCs w:val="24"/>
        </w:rPr>
        <w:t xml:space="preserve">of proceedings on 14 March 2013, </w:t>
      </w:r>
      <w:r w:rsidR="002B5480" w:rsidRPr="00233C47">
        <w:rPr>
          <w:rFonts w:ascii="Arial" w:hAnsi="Arial" w:cs="Arial"/>
          <w:sz w:val="24"/>
          <w:szCs w:val="24"/>
        </w:rPr>
        <w:t xml:space="preserve">Mr Greeff </w:t>
      </w:r>
      <w:r w:rsidR="00FF0FCC" w:rsidRPr="00233C47">
        <w:rPr>
          <w:rFonts w:ascii="Arial" w:hAnsi="Arial" w:cs="Arial"/>
          <w:sz w:val="24"/>
          <w:szCs w:val="24"/>
        </w:rPr>
        <w:t xml:space="preserve">informed the first respondent </w:t>
      </w:r>
      <w:r w:rsidR="00B50DE6" w:rsidRPr="00233C47">
        <w:rPr>
          <w:rFonts w:ascii="Arial" w:hAnsi="Arial" w:cs="Arial"/>
          <w:sz w:val="24"/>
          <w:szCs w:val="24"/>
        </w:rPr>
        <w:t xml:space="preserve">that the applicant wished to </w:t>
      </w:r>
      <w:r w:rsidR="0096649D" w:rsidRPr="00233C47">
        <w:rPr>
          <w:rFonts w:ascii="Arial" w:hAnsi="Arial" w:cs="Arial"/>
          <w:sz w:val="24"/>
          <w:szCs w:val="24"/>
        </w:rPr>
        <w:t xml:space="preserve">terminate his mandate. </w:t>
      </w:r>
      <w:r w:rsidR="000441D3" w:rsidRPr="00233C47">
        <w:rPr>
          <w:rFonts w:ascii="Arial" w:hAnsi="Arial" w:cs="Arial"/>
          <w:sz w:val="24"/>
          <w:szCs w:val="24"/>
        </w:rPr>
        <w:t xml:space="preserve">He added that the applicant was </w:t>
      </w:r>
      <w:r w:rsidR="00BD0C70" w:rsidRPr="00233C47">
        <w:rPr>
          <w:rFonts w:ascii="Arial" w:hAnsi="Arial" w:cs="Arial"/>
          <w:sz w:val="24"/>
          <w:szCs w:val="24"/>
        </w:rPr>
        <w:t>‘ongelukkig’ (unhappy</w:t>
      </w:r>
      <w:r w:rsidR="00035250" w:rsidRPr="00233C47">
        <w:rPr>
          <w:rFonts w:ascii="Arial" w:hAnsi="Arial" w:cs="Arial"/>
          <w:sz w:val="24"/>
          <w:szCs w:val="24"/>
        </w:rPr>
        <w:t>)</w:t>
      </w:r>
      <w:r w:rsidR="003F2395" w:rsidRPr="00233C47">
        <w:rPr>
          <w:rFonts w:ascii="Arial" w:hAnsi="Arial" w:cs="Arial"/>
          <w:sz w:val="24"/>
          <w:szCs w:val="24"/>
        </w:rPr>
        <w:t xml:space="preserve"> but </w:t>
      </w:r>
      <w:r w:rsidR="00B36BC5" w:rsidRPr="00233C47">
        <w:rPr>
          <w:rFonts w:ascii="Arial" w:hAnsi="Arial" w:cs="Arial"/>
          <w:sz w:val="24"/>
          <w:szCs w:val="24"/>
        </w:rPr>
        <w:t xml:space="preserve">was unable to </w:t>
      </w:r>
      <w:r w:rsidR="0067771A" w:rsidRPr="00233C47">
        <w:rPr>
          <w:rFonts w:ascii="Arial" w:hAnsi="Arial" w:cs="Arial"/>
          <w:sz w:val="24"/>
          <w:szCs w:val="24"/>
        </w:rPr>
        <w:t xml:space="preserve">give a precise reason </w:t>
      </w:r>
      <w:r w:rsidR="003E06F7" w:rsidRPr="00233C47">
        <w:rPr>
          <w:rFonts w:ascii="Arial" w:hAnsi="Arial" w:cs="Arial"/>
          <w:sz w:val="24"/>
          <w:szCs w:val="24"/>
        </w:rPr>
        <w:t xml:space="preserve">to Mr Greeff </w:t>
      </w:r>
      <w:r w:rsidR="002206E3" w:rsidRPr="00233C47">
        <w:rPr>
          <w:rFonts w:ascii="Arial" w:hAnsi="Arial" w:cs="Arial"/>
          <w:sz w:val="24"/>
          <w:szCs w:val="24"/>
        </w:rPr>
        <w:t xml:space="preserve">for </w:t>
      </w:r>
      <w:r w:rsidR="0067771A" w:rsidRPr="00233C47">
        <w:rPr>
          <w:rFonts w:ascii="Arial" w:hAnsi="Arial" w:cs="Arial"/>
          <w:sz w:val="24"/>
          <w:szCs w:val="24"/>
        </w:rPr>
        <w:t>why</w:t>
      </w:r>
      <w:r w:rsidR="003E06F7" w:rsidRPr="00233C47">
        <w:rPr>
          <w:rFonts w:ascii="Arial" w:hAnsi="Arial" w:cs="Arial"/>
          <w:sz w:val="24"/>
          <w:szCs w:val="24"/>
        </w:rPr>
        <w:t xml:space="preserve"> this was so.</w:t>
      </w:r>
      <w:r w:rsidR="005F38B2" w:rsidRPr="00233C47">
        <w:rPr>
          <w:rFonts w:ascii="Arial" w:hAnsi="Arial" w:cs="Arial"/>
          <w:sz w:val="24"/>
          <w:szCs w:val="24"/>
        </w:rPr>
        <w:t xml:space="preserve"> </w:t>
      </w:r>
      <w:r w:rsidR="00843787" w:rsidRPr="00233C47">
        <w:rPr>
          <w:rFonts w:ascii="Arial" w:hAnsi="Arial" w:cs="Arial"/>
          <w:sz w:val="24"/>
          <w:szCs w:val="24"/>
        </w:rPr>
        <w:t>Mr Greeff</w:t>
      </w:r>
      <w:r w:rsidR="005F38B2" w:rsidRPr="00233C47">
        <w:rPr>
          <w:rFonts w:ascii="Arial" w:hAnsi="Arial" w:cs="Arial"/>
          <w:sz w:val="24"/>
          <w:szCs w:val="24"/>
        </w:rPr>
        <w:t xml:space="preserve"> confirmed that the applicant had </w:t>
      </w:r>
      <w:r w:rsidR="002A04CC" w:rsidRPr="00233C47">
        <w:rPr>
          <w:rFonts w:ascii="Arial" w:hAnsi="Arial" w:cs="Arial"/>
          <w:sz w:val="24"/>
          <w:szCs w:val="24"/>
        </w:rPr>
        <w:t xml:space="preserve">never had any problem with </w:t>
      </w:r>
      <w:r w:rsidR="00843787" w:rsidRPr="00233C47">
        <w:rPr>
          <w:rFonts w:ascii="Arial" w:hAnsi="Arial" w:cs="Arial"/>
          <w:sz w:val="24"/>
          <w:szCs w:val="24"/>
        </w:rPr>
        <w:t>him</w:t>
      </w:r>
      <w:r w:rsidR="00AA4147" w:rsidRPr="00233C47">
        <w:rPr>
          <w:rFonts w:ascii="Arial" w:hAnsi="Arial" w:cs="Arial"/>
          <w:sz w:val="24"/>
          <w:szCs w:val="24"/>
        </w:rPr>
        <w:t xml:space="preserve"> </w:t>
      </w:r>
      <w:r w:rsidR="00DA094A" w:rsidRPr="00233C47">
        <w:rPr>
          <w:rFonts w:ascii="Arial" w:hAnsi="Arial" w:cs="Arial"/>
          <w:sz w:val="24"/>
          <w:szCs w:val="24"/>
        </w:rPr>
        <w:t xml:space="preserve">since </w:t>
      </w:r>
      <w:r w:rsidR="00843787" w:rsidRPr="00233C47">
        <w:rPr>
          <w:rFonts w:ascii="Arial" w:hAnsi="Arial" w:cs="Arial"/>
          <w:sz w:val="24"/>
          <w:szCs w:val="24"/>
        </w:rPr>
        <w:t>he</w:t>
      </w:r>
      <w:r w:rsidR="00671A15" w:rsidRPr="00233C47">
        <w:rPr>
          <w:rFonts w:ascii="Arial" w:hAnsi="Arial" w:cs="Arial"/>
          <w:sz w:val="24"/>
          <w:szCs w:val="24"/>
        </w:rPr>
        <w:t xml:space="preserve"> </w:t>
      </w:r>
      <w:r w:rsidR="00EE2724" w:rsidRPr="00233C47">
        <w:rPr>
          <w:rFonts w:ascii="Arial" w:hAnsi="Arial" w:cs="Arial"/>
          <w:sz w:val="24"/>
          <w:szCs w:val="24"/>
        </w:rPr>
        <w:t xml:space="preserve">first </w:t>
      </w:r>
      <w:r w:rsidR="003D0271" w:rsidRPr="00233C47">
        <w:rPr>
          <w:rFonts w:ascii="Arial" w:hAnsi="Arial" w:cs="Arial"/>
          <w:sz w:val="24"/>
          <w:szCs w:val="24"/>
        </w:rPr>
        <w:t xml:space="preserve">appeared for the applicant </w:t>
      </w:r>
      <w:r w:rsidR="00EE2724" w:rsidRPr="00233C47">
        <w:rPr>
          <w:rFonts w:ascii="Arial" w:hAnsi="Arial" w:cs="Arial"/>
          <w:sz w:val="24"/>
          <w:szCs w:val="24"/>
        </w:rPr>
        <w:t xml:space="preserve">on </w:t>
      </w:r>
      <w:r w:rsidR="004E385B" w:rsidRPr="00233C47">
        <w:rPr>
          <w:rFonts w:ascii="Arial" w:hAnsi="Arial" w:cs="Arial"/>
          <w:sz w:val="24"/>
          <w:szCs w:val="24"/>
        </w:rPr>
        <w:t>24 April 2012</w:t>
      </w:r>
      <w:r w:rsidR="003D0271" w:rsidRPr="00233C47">
        <w:rPr>
          <w:rFonts w:ascii="Arial" w:hAnsi="Arial" w:cs="Arial"/>
          <w:sz w:val="24"/>
          <w:szCs w:val="24"/>
        </w:rPr>
        <w:t>.</w:t>
      </w:r>
      <w:r w:rsidR="004A1A21" w:rsidRPr="00233C47">
        <w:rPr>
          <w:rFonts w:ascii="Arial" w:hAnsi="Arial" w:cs="Arial"/>
          <w:sz w:val="24"/>
          <w:szCs w:val="24"/>
        </w:rPr>
        <w:t xml:space="preserve"> </w:t>
      </w:r>
    </w:p>
    <w:p w14:paraId="25ED7855" w14:textId="77777777" w:rsidR="009D4A2C" w:rsidRDefault="009D4A2C" w:rsidP="009D4A2C">
      <w:pPr>
        <w:pStyle w:val="ListParagraph"/>
        <w:spacing w:line="360" w:lineRule="auto"/>
        <w:ind w:left="0"/>
        <w:jc w:val="both"/>
        <w:rPr>
          <w:rFonts w:ascii="Arial" w:hAnsi="Arial" w:cs="Arial"/>
          <w:sz w:val="24"/>
          <w:szCs w:val="24"/>
        </w:rPr>
      </w:pPr>
    </w:p>
    <w:p w14:paraId="7A5E274B" w14:textId="500388AA" w:rsidR="00600CEF" w:rsidRPr="00233C47" w:rsidRDefault="00233C47" w:rsidP="00233C47">
      <w:pPr>
        <w:spacing w:line="360" w:lineRule="auto"/>
        <w:jc w:val="both"/>
        <w:rPr>
          <w:rFonts w:ascii="Arial" w:hAnsi="Arial" w:cs="Arial"/>
          <w:sz w:val="24"/>
          <w:szCs w:val="24"/>
        </w:rPr>
      </w:pPr>
      <w:r w:rsidRPr="009D4A2C">
        <w:rPr>
          <w:rFonts w:ascii="Arial" w:hAnsi="Arial" w:cs="Arial"/>
          <w:sz w:val="24"/>
          <w:szCs w:val="24"/>
        </w:rPr>
        <w:t>[31]</w:t>
      </w:r>
      <w:r w:rsidRPr="009D4A2C">
        <w:rPr>
          <w:rFonts w:ascii="Arial" w:hAnsi="Arial" w:cs="Arial"/>
          <w:sz w:val="24"/>
          <w:szCs w:val="24"/>
        </w:rPr>
        <w:tab/>
      </w:r>
      <w:r w:rsidR="004A1A21" w:rsidRPr="00233C47">
        <w:rPr>
          <w:rFonts w:ascii="Arial" w:hAnsi="Arial" w:cs="Arial"/>
          <w:sz w:val="24"/>
          <w:szCs w:val="24"/>
        </w:rPr>
        <w:t>The</w:t>
      </w:r>
      <w:r w:rsidR="00EF6A24" w:rsidRPr="00233C47">
        <w:rPr>
          <w:rFonts w:ascii="Arial" w:hAnsi="Arial" w:cs="Arial"/>
          <w:sz w:val="24"/>
          <w:szCs w:val="24"/>
        </w:rPr>
        <w:t xml:space="preserve"> first respondent then addressed the applicant in person, </w:t>
      </w:r>
      <w:r w:rsidR="00C71C7C" w:rsidRPr="00233C47">
        <w:rPr>
          <w:rFonts w:ascii="Arial" w:hAnsi="Arial" w:cs="Arial"/>
          <w:sz w:val="24"/>
          <w:szCs w:val="24"/>
        </w:rPr>
        <w:t xml:space="preserve">asking him </w:t>
      </w:r>
      <w:r w:rsidR="00002F88" w:rsidRPr="00233C47">
        <w:rPr>
          <w:rFonts w:ascii="Arial" w:hAnsi="Arial" w:cs="Arial"/>
          <w:sz w:val="24"/>
          <w:szCs w:val="24"/>
        </w:rPr>
        <w:t xml:space="preserve">to clarify </w:t>
      </w:r>
      <w:r w:rsidR="00DA2CD7" w:rsidRPr="00233C47">
        <w:rPr>
          <w:rFonts w:ascii="Arial" w:hAnsi="Arial" w:cs="Arial"/>
          <w:sz w:val="24"/>
          <w:szCs w:val="24"/>
        </w:rPr>
        <w:t>his posi</w:t>
      </w:r>
      <w:r w:rsidR="00811B64" w:rsidRPr="00233C47">
        <w:rPr>
          <w:rFonts w:ascii="Arial" w:hAnsi="Arial" w:cs="Arial"/>
          <w:sz w:val="24"/>
          <w:szCs w:val="24"/>
        </w:rPr>
        <w:t xml:space="preserve">tion. The applicant said that </w:t>
      </w:r>
      <w:r w:rsidR="00562F43" w:rsidRPr="00233C47">
        <w:rPr>
          <w:rFonts w:ascii="Arial" w:hAnsi="Arial" w:cs="Arial"/>
          <w:sz w:val="24"/>
          <w:szCs w:val="24"/>
        </w:rPr>
        <w:t>he was ‘ontevrede’ (</w:t>
      </w:r>
      <w:r w:rsidR="004F5CD4" w:rsidRPr="00233C47">
        <w:rPr>
          <w:rFonts w:ascii="Arial" w:hAnsi="Arial" w:cs="Arial"/>
          <w:sz w:val="24"/>
          <w:szCs w:val="24"/>
        </w:rPr>
        <w:t>dissatisfied) about one or two things</w:t>
      </w:r>
      <w:r w:rsidR="00AB71C7" w:rsidRPr="00233C47">
        <w:rPr>
          <w:rFonts w:ascii="Arial" w:hAnsi="Arial" w:cs="Arial"/>
          <w:sz w:val="24"/>
          <w:szCs w:val="24"/>
        </w:rPr>
        <w:t xml:space="preserve">. Upon the first respondent’s further </w:t>
      </w:r>
      <w:r w:rsidR="00B10F3E" w:rsidRPr="00233C47">
        <w:rPr>
          <w:rFonts w:ascii="Arial" w:hAnsi="Arial" w:cs="Arial"/>
          <w:sz w:val="24"/>
          <w:szCs w:val="24"/>
        </w:rPr>
        <w:t xml:space="preserve">enquiry, the applicant stated that </w:t>
      </w:r>
      <w:r w:rsidR="00A32407" w:rsidRPr="00233C47">
        <w:rPr>
          <w:rFonts w:ascii="Arial" w:hAnsi="Arial" w:cs="Arial"/>
          <w:sz w:val="24"/>
          <w:szCs w:val="24"/>
        </w:rPr>
        <w:t xml:space="preserve">he was not </w:t>
      </w:r>
      <w:r w:rsidR="00A32407" w:rsidRPr="00233C47">
        <w:rPr>
          <w:rFonts w:ascii="Arial" w:hAnsi="Arial" w:cs="Arial"/>
          <w:sz w:val="24"/>
          <w:szCs w:val="24"/>
        </w:rPr>
        <w:lastRenderedPageBreak/>
        <w:t>actually dissatisfied with Mr Greeff</w:t>
      </w:r>
      <w:r w:rsidR="002B183F" w:rsidRPr="00233C47">
        <w:rPr>
          <w:rFonts w:ascii="Arial" w:hAnsi="Arial" w:cs="Arial"/>
          <w:sz w:val="24"/>
          <w:szCs w:val="24"/>
        </w:rPr>
        <w:t xml:space="preserve"> and that he had no problem with the </w:t>
      </w:r>
      <w:r w:rsidR="00EF4A10" w:rsidRPr="00233C47">
        <w:rPr>
          <w:rFonts w:ascii="Arial" w:hAnsi="Arial" w:cs="Arial"/>
          <w:sz w:val="24"/>
          <w:szCs w:val="24"/>
        </w:rPr>
        <w:t>latter’s conducting the matter on his behalf</w:t>
      </w:r>
      <w:r w:rsidR="006E1FD7" w:rsidRPr="00233C47">
        <w:rPr>
          <w:rFonts w:ascii="Arial" w:hAnsi="Arial" w:cs="Arial"/>
          <w:sz w:val="24"/>
          <w:szCs w:val="24"/>
        </w:rPr>
        <w:t>. He w</w:t>
      </w:r>
      <w:r w:rsidR="00802A54" w:rsidRPr="00233C47">
        <w:rPr>
          <w:rFonts w:ascii="Arial" w:hAnsi="Arial" w:cs="Arial"/>
          <w:sz w:val="24"/>
          <w:szCs w:val="24"/>
        </w:rPr>
        <w:t>ent on to state as follows:</w:t>
      </w:r>
    </w:p>
    <w:p w14:paraId="74347833" w14:textId="03E366E6" w:rsidR="00802A54" w:rsidRPr="004D4F70" w:rsidRDefault="00802A54" w:rsidP="009D4A2C">
      <w:pPr>
        <w:spacing w:line="360" w:lineRule="auto"/>
        <w:ind w:left="720"/>
        <w:jc w:val="both"/>
        <w:rPr>
          <w:rFonts w:ascii="Arial" w:hAnsi="Arial" w:cs="Arial"/>
          <w:sz w:val="20"/>
          <w:szCs w:val="20"/>
        </w:rPr>
      </w:pPr>
      <w:r w:rsidRPr="004D4F70">
        <w:rPr>
          <w:rFonts w:ascii="Arial" w:hAnsi="Arial" w:cs="Arial"/>
          <w:sz w:val="20"/>
          <w:szCs w:val="20"/>
        </w:rPr>
        <w:t>‘</w:t>
      </w:r>
      <w:r w:rsidR="00FC4497" w:rsidRPr="004D4F70">
        <w:rPr>
          <w:rFonts w:ascii="Arial" w:hAnsi="Arial" w:cs="Arial"/>
          <w:sz w:val="20"/>
          <w:szCs w:val="20"/>
        </w:rPr>
        <w:t xml:space="preserve">Maar ek wil </w:t>
      </w:r>
      <w:r w:rsidR="002B61E4" w:rsidRPr="004D4F70">
        <w:rPr>
          <w:rFonts w:ascii="Arial" w:hAnsi="Arial" w:cs="Arial"/>
          <w:sz w:val="20"/>
          <w:szCs w:val="20"/>
        </w:rPr>
        <w:t xml:space="preserve">vir mnr Bence in die saak in betrokke, want hy was voorheen, toe het ons </w:t>
      </w:r>
      <w:r w:rsidR="00AE49D8" w:rsidRPr="004D4F70">
        <w:rPr>
          <w:rFonts w:ascii="Arial" w:hAnsi="Arial" w:cs="Arial"/>
          <w:sz w:val="20"/>
          <w:szCs w:val="20"/>
        </w:rPr>
        <w:t>ge-“consult according” die sa</w:t>
      </w:r>
      <w:r w:rsidR="00A42923" w:rsidRPr="004D4F70">
        <w:rPr>
          <w:rFonts w:ascii="Arial" w:hAnsi="Arial" w:cs="Arial"/>
          <w:sz w:val="20"/>
          <w:szCs w:val="20"/>
        </w:rPr>
        <w:t>a</w:t>
      </w:r>
      <w:r w:rsidR="00AE49D8" w:rsidRPr="004D4F70">
        <w:rPr>
          <w:rFonts w:ascii="Arial" w:hAnsi="Arial" w:cs="Arial"/>
          <w:sz w:val="20"/>
          <w:szCs w:val="20"/>
        </w:rPr>
        <w:t>k</w:t>
      </w:r>
      <w:r w:rsidR="00A42923" w:rsidRPr="004D4F70">
        <w:rPr>
          <w:rFonts w:ascii="Arial" w:hAnsi="Arial" w:cs="Arial"/>
          <w:sz w:val="20"/>
          <w:szCs w:val="20"/>
        </w:rPr>
        <w:t>, verstaan meneer? Dit is die eintlike</w:t>
      </w:r>
      <w:r w:rsidR="0036000C" w:rsidRPr="004D4F70">
        <w:rPr>
          <w:rFonts w:ascii="Arial" w:hAnsi="Arial" w:cs="Arial"/>
          <w:sz w:val="20"/>
          <w:szCs w:val="20"/>
        </w:rPr>
        <w:t xml:space="preserve"> rede.’</w:t>
      </w:r>
      <w:r w:rsidR="00C92577" w:rsidRPr="004D4F70">
        <w:rPr>
          <w:rStyle w:val="FootnoteReference"/>
          <w:rFonts w:ascii="Arial" w:hAnsi="Arial" w:cs="Arial"/>
          <w:sz w:val="20"/>
          <w:szCs w:val="20"/>
        </w:rPr>
        <w:footnoteReference w:id="13"/>
      </w:r>
    </w:p>
    <w:p w14:paraId="20F09DA4" w14:textId="77777777" w:rsidR="008E1501" w:rsidRDefault="008E1501" w:rsidP="008E1501">
      <w:pPr>
        <w:spacing w:line="360" w:lineRule="auto"/>
        <w:rPr>
          <w:rFonts w:ascii="Arial" w:hAnsi="Arial" w:cs="Arial"/>
          <w:sz w:val="24"/>
          <w:szCs w:val="24"/>
        </w:rPr>
      </w:pPr>
    </w:p>
    <w:p w14:paraId="294A7D76" w14:textId="4A117CA4" w:rsidR="008E1501" w:rsidRPr="00233C47" w:rsidRDefault="00233C47" w:rsidP="00233C47">
      <w:pPr>
        <w:spacing w:line="360" w:lineRule="auto"/>
        <w:jc w:val="both"/>
        <w:rPr>
          <w:rFonts w:ascii="Arial" w:hAnsi="Arial" w:cs="Arial"/>
          <w:sz w:val="24"/>
          <w:szCs w:val="24"/>
        </w:rPr>
      </w:pPr>
      <w:r w:rsidRPr="009D4A2C">
        <w:rPr>
          <w:rFonts w:ascii="Arial" w:hAnsi="Arial" w:cs="Arial"/>
          <w:sz w:val="24"/>
          <w:szCs w:val="24"/>
        </w:rPr>
        <w:t>[32]</w:t>
      </w:r>
      <w:r w:rsidRPr="009D4A2C">
        <w:rPr>
          <w:rFonts w:ascii="Arial" w:hAnsi="Arial" w:cs="Arial"/>
          <w:sz w:val="24"/>
          <w:szCs w:val="24"/>
        </w:rPr>
        <w:tab/>
      </w:r>
      <w:r w:rsidR="005C6FB4" w:rsidRPr="00233C47">
        <w:rPr>
          <w:rFonts w:ascii="Arial" w:hAnsi="Arial" w:cs="Arial"/>
          <w:sz w:val="24"/>
          <w:szCs w:val="24"/>
        </w:rPr>
        <w:t xml:space="preserve">On the face of it, the applicant wanted </w:t>
      </w:r>
      <w:r w:rsidR="00D878F8" w:rsidRPr="00233C47">
        <w:rPr>
          <w:rFonts w:ascii="Arial" w:hAnsi="Arial" w:cs="Arial"/>
          <w:sz w:val="24"/>
          <w:szCs w:val="24"/>
        </w:rPr>
        <w:t xml:space="preserve">to involve </w:t>
      </w:r>
      <w:r w:rsidR="005C6FB4" w:rsidRPr="00233C47">
        <w:rPr>
          <w:rFonts w:ascii="Arial" w:hAnsi="Arial" w:cs="Arial"/>
          <w:sz w:val="24"/>
          <w:szCs w:val="24"/>
        </w:rPr>
        <w:t xml:space="preserve">Mr Bence </w:t>
      </w:r>
      <w:r w:rsidR="00D878F8" w:rsidRPr="00233C47">
        <w:rPr>
          <w:rFonts w:ascii="Arial" w:hAnsi="Arial" w:cs="Arial"/>
          <w:sz w:val="24"/>
          <w:szCs w:val="24"/>
        </w:rPr>
        <w:t xml:space="preserve">in the matter because he </w:t>
      </w:r>
      <w:r w:rsidR="001E2218" w:rsidRPr="00233C47">
        <w:rPr>
          <w:rFonts w:ascii="Arial" w:hAnsi="Arial" w:cs="Arial"/>
          <w:sz w:val="24"/>
          <w:szCs w:val="24"/>
        </w:rPr>
        <w:t>had originally</w:t>
      </w:r>
      <w:r w:rsidR="003B5211" w:rsidRPr="00233C47">
        <w:rPr>
          <w:rFonts w:ascii="Arial" w:hAnsi="Arial" w:cs="Arial"/>
          <w:sz w:val="24"/>
          <w:szCs w:val="24"/>
        </w:rPr>
        <w:t xml:space="preserve"> </w:t>
      </w:r>
      <w:r w:rsidR="001E2218" w:rsidRPr="00233C47">
        <w:rPr>
          <w:rFonts w:ascii="Arial" w:hAnsi="Arial" w:cs="Arial"/>
          <w:sz w:val="24"/>
          <w:szCs w:val="24"/>
        </w:rPr>
        <w:t xml:space="preserve">represented </w:t>
      </w:r>
      <w:r w:rsidR="004D4F70" w:rsidRPr="00233C47">
        <w:rPr>
          <w:rFonts w:ascii="Arial" w:hAnsi="Arial" w:cs="Arial"/>
          <w:sz w:val="24"/>
          <w:szCs w:val="24"/>
        </w:rPr>
        <w:t>him.</w:t>
      </w:r>
      <w:r w:rsidR="006E7C10" w:rsidRPr="00233C47">
        <w:rPr>
          <w:rFonts w:ascii="Arial" w:hAnsi="Arial" w:cs="Arial"/>
          <w:sz w:val="24"/>
          <w:szCs w:val="24"/>
        </w:rPr>
        <w:t xml:space="preserve"> That was the ‘eintlike rede’ (</w:t>
      </w:r>
      <w:r w:rsidR="00D97B6D" w:rsidRPr="00233C47">
        <w:rPr>
          <w:rFonts w:ascii="Arial" w:hAnsi="Arial" w:cs="Arial"/>
          <w:sz w:val="24"/>
          <w:szCs w:val="24"/>
        </w:rPr>
        <w:t>actual reason).</w:t>
      </w:r>
      <w:r w:rsidR="005D681C" w:rsidRPr="00233C47">
        <w:rPr>
          <w:rFonts w:ascii="Arial" w:hAnsi="Arial" w:cs="Arial"/>
          <w:sz w:val="24"/>
          <w:szCs w:val="24"/>
        </w:rPr>
        <w:t xml:space="preserve"> </w:t>
      </w:r>
      <w:r w:rsidR="00DC45CC" w:rsidRPr="00233C47">
        <w:rPr>
          <w:rFonts w:ascii="Arial" w:hAnsi="Arial" w:cs="Arial"/>
          <w:sz w:val="24"/>
          <w:szCs w:val="24"/>
        </w:rPr>
        <w:t xml:space="preserve">The applicant confirmed, </w:t>
      </w:r>
      <w:r w:rsidR="003C6D58" w:rsidRPr="00233C47">
        <w:rPr>
          <w:rFonts w:ascii="Arial" w:hAnsi="Arial" w:cs="Arial"/>
          <w:sz w:val="24"/>
          <w:szCs w:val="24"/>
        </w:rPr>
        <w:t xml:space="preserve">after additional queries from the </w:t>
      </w:r>
      <w:r w:rsidR="009907D0" w:rsidRPr="00233C47">
        <w:rPr>
          <w:rFonts w:ascii="Arial" w:hAnsi="Arial" w:cs="Arial"/>
          <w:sz w:val="24"/>
          <w:szCs w:val="24"/>
        </w:rPr>
        <w:t xml:space="preserve">first respondent, that he </w:t>
      </w:r>
      <w:r w:rsidR="00E51A30" w:rsidRPr="00233C47">
        <w:rPr>
          <w:rFonts w:ascii="Arial" w:hAnsi="Arial" w:cs="Arial"/>
          <w:sz w:val="24"/>
          <w:szCs w:val="24"/>
        </w:rPr>
        <w:t>had no problem with Mr Greeff</w:t>
      </w:r>
      <w:r w:rsidR="00284A73" w:rsidRPr="00233C47">
        <w:rPr>
          <w:rFonts w:ascii="Arial" w:hAnsi="Arial" w:cs="Arial"/>
          <w:sz w:val="24"/>
          <w:szCs w:val="24"/>
        </w:rPr>
        <w:t xml:space="preserve">. The </w:t>
      </w:r>
      <w:r w:rsidR="001A039D" w:rsidRPr="00233C47">
        <w:rPr>
          <w:rFonts w:ascii="Arial" w:hAnsi="Arial" w:cs="Arial"/>
          <w:sz w:val="24"/>
          <w:szCs w:val="24"/>
        </w:rPr>
        <w:t xml:space="preserve">following exchange </w:t>
      </w:r>
      <w:r w:rsidR="004E2D3E" w:rsidRPr="00233C47">
        <w:rPr>
          <w:rFonts w:ascii="Arial" w:hAnsi="Arial" w:cs="Arial"/>
          <w:sz w:val="24"/>
          <w:szCs w:val="24"/>
        </w:rPr>
        <w:t>subsequently</w:t>
      </w:r>
      <w:r w:rsidR="001A039D" w:rsidRPr="00233C47">
        <w:rPr>
          <w:rFonts w:ascii="Arial" w:hAnsi="Arial" w:cs="Arial"/>
          <w:sz w:val="24"/>
          <w:szCs w:val="24"/>
        </w:rPr>
        <w:t xml:space="preserve"> </w:t>
      </w:r>
      <w:r w:rsidR="003E56A7" w:rsidRPr="00233C47">
        <w:rPr>
          <w:rFonts w:ascii="Arial" w:hAnsi="Arial" w:cs="Arial"/>
          <w:sz w:val="24"/>
          <w:szCs w:val="24"/>
        </w:rPr>
        <w:t>took place:</w:t>
      </w:r>
    </w:p>
    <w:p w14:paraId="165D920A" w14:textId="1BF7B4B4" w:rsidR="003E56A7" w:rsidRPr="005E1BE6" w:rsidRDefault="003E56A7" w:rsidP="009D4A2C">
      <w:pPr>
        <w:spacing w:line="360" w:lineRule="auto"/>
        <w:ind w:left="720"/>
        <w:jc w:val="both"/>
        <w:rPr>
          <w:rFonts w:ascii="Arial" w:hAnsi="Arial" w:cs="Arial"/>
          <w:sz w:val="20"/>
          <w:szCs w:val="20"/>
        </w:rPr>
      </w:pPr>
      <w:r w:rsidRPr="005E1BE6">
        <w:rPr>
          <w:rFonts w:ascii="Arial" w:hAnsi="Arial" w:cs="Arial"/>
          <w:sz w:val="20"/>
          <w:szCs w:val="20"/>
        </w:rPr>
        <w:t>‘Ja, goed, ek h</w:t>
      </w:r>
      <w:r w:rsidR="00214316" w:rsidRPr="005E1BE6">
        <w:rPr>
          <w:rFonts w:ascii="Arial" w:hAnsi="Arial" w:cs="Arial"/>
          <w:sz w:val="20"/>
          <w:szCs w:val="20"/>
        </w:rPr>
        <w:t>et niks gehoor wat vir my daarop dui dat ek hierdie saak</w:t>
      </w:r>
      <w:r w:rsidR="00044113" w:rsidRPr="005E1BE6">
        <w:rPr>
          <w:rFonts w:ascii="Arial" w:hAnsi="Arial" w:cs="Arial"/>
          <w:sz w:val="20"/>
          <w:szCs w:val="20"/>
        </w:rPr>
        <w:t xml:space="preserve"> moet uitstel nie. Die saak sal voortgaan</w:t>
      </w:r>
      <w:r w:rsidR="007C11C5" w:rsidRPr="005E1BE6">
        <w:rPr>
          <w:rFonts w:ascii="Arial" w:hAnsi="Arial" w:cs="Arial"/>
          <w:sz w:val="20"/>
          <w:szCs w:val="20"/>
        </w:rPr>
        <w:t>. Meneer, ek probeer nie snaaks wees nie, verstaan my mooi.</w:t>
      </w:r>
      <w:r w:rsidR="00920130" w:rsidRPr="005E1BE6">
        <w:rPr>
          <w:rFonts w:ascii="Arial" w:hAnsi="Arial" w:cs="Arial"/>
          <w:sz w:val="20"/>
          <w:szCs w:val="20"/>
        </w:rPr>
        <w:tab/>
        <w:t>--- Ek verstaan meneer.</w:t>
      </w:r>
    </w:p>
    <w:p w14:paraId="7F54713D" w14:textId="2FBC0CE1" w:rsidR="00920130" w:rsidRPr="005E1BE6" w:rsidRDefault="00DF2F4A" w:rsidP="009D4A2C">
      <w:pPr>
        <w:spacing w:line="360" w:lineRule="auto"/>
        <w:ind w:left="720"/>
        <w:jc w:val="both"/>
        <w:rPr>
          <w:rFonts w:ascii="Arial" w:hAnsi="Arial" w:cs="Arial"/>
          <w:sz w:val="20"/>
          <w:szCs w:val="20"/>
        </w:rPr>
      </w:pPr>
      <w:r w:rsidRPr="005E1BE6">
        <w:rPr>
          <w:rFonts w:ascii="Arial" w:hAnsi="Arial" w:cs="Arial"/>
          <w:sz w:val="20"/>
          <w:szCs w:val="20"/>
        </w:rPr>
        <w:t xml:space="preserve">Die saak kom al ‘n hele ruk. Die meneer is gereed. Jy het </w:t>
      </w:r>
      <w:r w:rsidR="00D1047B" w:rsidRPr="005E1BE6">
        <w:rPr>
          <w:rFonts w:ascii="Arial" w:hAnsi="Arial" w:cs="Arial"/>
          <w:sz w:val="20"/>
          <w:szCs w:val="20"/>
        </w:rPr>
        <w:t>nie met hom ‘n problem nie. Ons sal moet aangaan met die saak.</w:t>
      </w:r>
      <w:r w:rsidR="00D1047B" w:rsidRPr="005E1BE6">
        <w:rPr>
          <w:rFonts w:ascii="Arial" w:hAnsi="Arial" w:cs="Arial"/>
          <w:sz w:val="20"/>
          <w:szCs w:val="20"/>
        </w:rPr>
        <w:tab/>
        <w:t xml:space="preserve">--- </w:t>
      </w:r>
      <w:r w:rsidR="00704A72" w:rsidRPr="005E1BE6">
        <w:rPr>
          <w:rFonts w:ascii="Arial" w:hAnsi="Arial" w:cs="Arial"/>
          <w:sz w:val="20"/>
          <w:szCs w:val="20"/>
        </w:rPr>
        <w:t>(Geen antwoord hoorbaar.)</w:t>
      </w:r>
    </w:p>
    <w:p w14:paraId="25CAB2D2" w14:textId="12FDF149" w:rsidR="00704A72" w:rsidRPr="005E1BE6" w:rsidRDefault="00704A72" w:rsidP="009D4A2C">
      <w:pPr>
        <w:spacing w:line="360" w:lineRule="auto"/>
        <w:ind w:left="720"/>
        <w:jc w:val="both"/>
        <w:rPr>
          <w:rFonts w:ascii="Arial" w:hAnsi="Arial" w:cs="Arial"/>
          <w:sz w:val="20"/>
          <w:szCs w:val="20"/>
        </w:rPr>
      </w:pPr>
      <w:r w:rsidRPr="005E1BE6">
        <w:rPr>
          <w:rFonts w:ascii="Arial" w:hAnsi="Arial" w:cs="Arial"/>
          <w:sz w:val="20"/>
          <w:szCs w:val="20"/>
        </w:rPr>
        <w:t>Jy is tevrede daarmee.</w:t>
      </w:r>
      <w:r w:rsidRPr="005E1BE6">
        <w:rPr>
          <w:rFonts w:ascii="Arial" w:hAnsi="Arial" w:cs="Arial"/>
          <w:sz w:val="20"/>
          <w:szCs w:val="20"/>
        </w:rPr>
        <w:tab/>
        <w:t>--- Is in die haak, Edelagbare</w:t>
      </w:r>
      <w:r w:rsidR="00F429E6" w:rsidRPr="005E1BE6">
        <w:rPr>
          <w:rFonts w:ascii="Arial" w:hAnsi="Arial" w:cs="Arial"/>
          <w:sz w:val="20"/>
          <w:szCs w:val="20"/>
        </w:rPr>
        <w:t>.’</w:t>
      </w:r>
    </w:p>
    <w:p w14:paraId="2B9F5E77" w14:textId="77777777" w:rsidR="00920130" w:rsidRDefault="00920130" w:rsidP="008E1501">
      <w:pPr>
        <w:spacing w:line="360" w:lineRule="auto"/>
        <w:rPr>
          <w:rFonts w:ascii="Arial" w:hAnsi="Arial" w:cs="Arial"/>
          <w:sz w:val="24"/>
          <w:szCs w:val="24"/>
        </w:rPr>
      </w:pPr>
    </w:p>
    <w:p w14:paraId="2977D604" w14:textId="7FEE7944" w:rsidR="009D4A2C" w:rsidRPr="00233C47" w:rsidRDefault="00233C47" w:rsidP="00233C47">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F429E6" w:rsidRPr="00233C47">
        <w:rPr>
          <w:rFonts w:ascii="Arial" w:hAnsi="Arial" w:cs="Arial"/>
          <w:sz w:val="24"/>
          <w:szCs w:val="24"/>
        </w:rPr>
        <w:t xml:space="preserve">To paraphrase, the first respondent </w:t>
      </w:r>
      <w:r w:rsidR="00202D85" w:rsidRPr="00233C47">
        <w:rPr>
          <w:rFonts w:ascii="Arial" w:hAnsi="Arial" w:cs="Arial"/>
          <w:sz w:val="24"/>
          <w:szCs w:val="24"/>
        </w:rPr>
        <w:t xml:space="preserve">stated that </w:t>
      </w:r>
      <w:r w:rsidR="00516C21" w:rsidRPr="00233C47">
        <w:rPr>
          <w:rFonts w:ascii="Arial" w:hAnsi="Arial" w:cs="Arial"/>
          <w:sz w:val="24"/>
          <w:szCs w:val="24"/>
        </w:rPr>
        <w:t xml:space="preserve">he had heard nothing to </w:t>
      </w:r>
      <w:r w:rsidR="00CB7DC5" w:rsidRPr="00233C47">
        <w:rPr>
          <w:rFonts w:ascii="Arial" w:hAnsi="Arial" w:cs="Arial"/>
          <w:sz w:val="24"/>
          <w:szCs w:val="24"/>
        </w:rPr>
        <w:t xml:space="preserve">indicate </w:t>
      </w:r>
      <w:r w:rsidR="00E14D00" w:rsidRPr="00233C47">
        <w:rPr>
          <w:rFonts w:ascii="Arial" w:hAnsi="Arial" w:cs="Arial"/>
          <w:sz w:val="24"/>
          <w:szCs w:val="24"/>
        </w:rPr>
        <w:t xml:space="preserve">that he </w:t>
      </w:r>
      <w:r w:rsidR="00853BA9" w:rsidRPr="00233C47">
        <w:rPr>
          <w:rFonts w:ascii="Arial" w:hAnsi="Arial" w:cs="Arial"/>
          <w:sz w:val="24"/>
          <w:szCs w:val="24"/>
        </w:rPr>
        <w:t xml:space="preserve">should </w:t>
      </w:r>
      <w:r w:rsidR="00E14D00" w:rsidRPr="00233C47">
        <w:rPr>
          <w:rFonts w:ascii="Arial" w:hAnsi="Arial" w:cs="Arial"/>
          <w:sz w:val="24"/>
          <w:szCs w:val="24"/>
        </w:rPr>
        <w:t xml:space="preserve">postpone the case. </w:t>
      </w:r>
      <w:r w:rsidR="00C00DE0" w:rsidRPr="00233C47">
        <w:rPr>
          <w:rFonts w:ascii="Arial" w:hAnsi="Arial" w:cs="Arial"/>
          <w:sz w:val="24"/>
          <w:szCs w:val="24"/>
        </w:rPr>
        <w:t xml:space="preserve">It had to </w:t>
      </w:r>
      <w:r w:rsidR="00853BA9" w:rsidRPr="00233C47">
        <w:rPr>
          <w:rFonts w:ascii="Arial" w:hAnsi="Arial" w:cs="Arial"/>
          <w:sz w:val="24"/>
          <w:szCs w:val="24"/>
        </w:rPr>
        <w:t>go ahead</w:t>
      </w:r>
      <w:r w:rsidR="00C00DE0" w:rsidRPr="00233C47">
        <w:rPr>
          <w:rFonts w:ascii="Arial" w:hAnsi="Arial" w:cs="Arial"/>
          <w:sz w:val="24"/>
          <w:szCs w:val="24"/>
        </w:rPr>
        <w:t xml:space="preserve">. </w:t>
      </w:r>
      <w:r w:rsidR="0079721C" w:rsidRPr="00233C47">
        <w:rPr>
          <w:rFonts w:ascii="Arial" w:hAnsi="Arial" w:cs="Arial"/>
          <w:sz w:val="24"/>
          <w:szCs w:val="24"/>
        </w:rPr>
        <w:t xml:space="preserve">He </w:t>
      </w:r>
      <w:r w:rsidR="00C00DE0" w:rsidRPr="00233C47">
        <w:rPr>
          <w:rFonts w:ascii="Arial" w:hAnsi="Arial" w:cs="Arial"/>
          <w:sz w:val="24"/>
          <w:szCs w:val="24"/>
        </w:rPr>
        <w:t xml:space="preserve">pointed out that the case </w:t>
      </w:r>
      <w:r w:rsidR="0068223D" w:rsidRPr="00233C47">
        <w:rPr>
          <w:rFonts w:ascii="Arial" w:hAnsi="Arial" w:cs="Arial"/>
          <w:sz w:val="24"/>
          <w:szCs w:val="24"/>
        </w:rPr>
        <w:t xml:space="preserve">had </w:t>
      </w:r>
      <w:r w:rsidR="00DA4E69" w:rsidRPr="00233C47">
        <w:rPr>
          <w:rFonts w:ascii="Arial" w:hAnsi="Arial" w:cs="Arial"/>
          <w:sz w:val="24"/>
          <w:szCs w:val="24"/>
        </w:rPr>
        <w:t xml:space="preserve">already </w:t>
      </w:r>
      <w:r w:rsidR="0068223D" w:rsidRPr="00233C47">
        <w:rPr>
          <w:rFonts w:ascii="Arial" w:hAnsi="Arial" w:cs="Arial"/>
          <w:sz w:val="24"/>
          <w:szCs w:val="24"/>
        </w:rPr>
        <w:t xml:space="preserve">been </w:t>
      </w:r>
      <w:r w:rsidR="00C26777" w:rsidRPr="00233C47">
        <w:rPr>
          <w:rFonts w:ascii="Arial" w:hAnsi="Arial" w:cs="Arial"/>
          <w:sz w:val="24"/>
          <w:szCs w:val="24"/>
        </w:rPr>
        <w:t>underway</w:t>
      </w:r>
      <w:r w:rsidR="00002FC3" w:rsidRPr="00233C47">
        <w:rPr>
          <w:rFonts w:ascii="Arial" w:hAnsi="Arial" w:cs="Arial"/>
          <w:sz w:val="24"/>
          <w:szCs w:val="24"/>
        </w:rPr>
        <w:t xml:space="preserve"> for </w:t>
      </w:r>
      <w:r w:rsidR="00853BA9" w:rsidRPr="00233C47">
        <w:rPr>
          <w:rFonts w:ascii="Arial" w:hAnsi="Arial" w:cs="Arial"/>
          <w:sz w:val="24"/>
          <w:szCs w:val="24"/>
        </w:rPr>
        <w:t>some time</w:t>
      </w:r>
      <w:r w:rsidR="00002FC3" w:rsidRPr="00233C47">
        <w:rPr>
          <w:rFonts w:ascii="Arial" w:hAnsi="Arial" w:cs="Arial"/>
          <w:sz w:val="24"/>
          <w:szCs w:val="24"/>
        </w:rPr>
        <w:t xml:space="preserve">. Mr Greeff was ready </w:t>
      </w:r>
      <w:r w:rsidR="00DA4E69" w:rsidRPr="00233C47">
        <w:rPr>
          <w:rFonts w:ascii="Arial" w:hAnsi="Arial" w:cs="Arial"/>
          <w:sz w:val="24"/>
          <w:szCs w:val="24"/>
        </w:rPr>
        <w:t xml:space="preserve">to </w:t>
      </w:r>
      <w:r w:rsidR="00ED02CF" w:rsidRPr="00233C47">
        <w:rPr>
          <w:rFonts w:ascii="Arial" w:hAnsi="Arial" w:cs="Arial"/>
          <w:sz w:val="24"/>
          <w:szCs w:val="24"/>
        </w:rPr>
        <w:t>proceed,</w:t>
      </w:r>
      <w:r w:rsidR="00DA4E69" w:rsidRPr="00233C47">
        <w:rPr>
          <w:rFonts w:ascii="Arial" w:hAnsi="Arial" w:cs="Arial"/>
          <w:sz w:val="24"/>
          <w:szCs w:val="24"/>
        </w:rPr>
        <w:t xml:space="preserve"> </w:t>
      </w:r>
      <w:r w:rsidR="00002FC3" w:rsidRPr="00233C47">
        <w:rPr>
          <w:rFonts w:ascii="Arial" w:hAnsi="Arial" w:cs="Arial"/>
          <w:sz w:val="24"/>
          <w:szCs w:val="24"/>
        </w:rPr>
        <w:t xml:space="preserve">and the applicant </w:t>
      </w:r>
      <w:r w:rsidR="0079721C" w:rsidRPr="00233C47">
        <w:rPr>
          <w:rFonts w:ascii="Arial" w:hAnsi="Arial" w:cs="Arial"/>
          <w:sz w:val="24"/>
          <w:szCs w:val="24"/>
        </w:rPr>
        <w:t>had no problem with him</w:t>
      </w:r>
      <w:r w:rsidR="00DA4E69" w:rsidRPr="00233C47">
        <w:rPr>
          <w:rFonts w:ascii="Arial" w:hAnsi="Arial" w:cs="Arial"/>
          <w:sz w:val="24"/>
          <w:szCs w:val="24"/>
        </w:rPr>
        <w:t xml:space="preserve">. </w:t>
      </w:r>
      <w:r w:rsidR="00ED02CF" w:rsidRPr="00233C47">
        <w:rPr>
          <w:rFonts w:ascii="Arial" w:hAnsi="Arial" w:cs="Arial"/>
          <w:sz w:val="24"/>
          <w:szCs w:val="24"/>
        </w:rPr>
        <w:t xml:space="preserve">The first respondent asserted that the applicant was satisfied with this, </w:t>
      </w:r>
      <w:r w:rsidR="0099051C" w:rsidRPr="00233C47">
        <w:rPr>
          <w:rFonts w:ascii="Arial" w:hAnsi="Arial" w:cs="Arial"/>
          <w:sz w:val="24"/>
          <w:szCs w:val="24"/>
        </w:rPr>
        <w:t>to which the latter responded</w:t>
      </w:r>
      <w:r w:rsidR="00B91CA8" w:rsidRPr="00233C47">
        <w:rPr>
          <w:rFonts w:ascii="Arial" w:hAnsi="Arial" w:cs="Arial"/>
          <w:sz w:val="24"/>
          <w:szCs w:val="24"/>
        </w:rPr>
        <w:t xml:space="preserve"> that it was ‘</w:t>
      </w:r>
      <w:r w:rsidR="0099051C" w:rsidRPr="00233C47">
        <w:rPr>
          <w:rFonts w:ascii="Arial" w:hAnsi="Arial" w:cs="Arial"/>
          <w:sz w:val="24"/>
          <w:szCs w:val="24"/>
        </w:rPr>
        <w:t>in die haak</w:t>
      </w:r>
      <w:r w:rsidR="005E1BE6" w:rsidRPr="00233C47">
        <w:rPr>
          <w:rFonts w:ascii="Arial" w:hAnsi="Arial" w:cs="Arial"/>
          <w:sz w:val="24"/>
          <w:szCs w:val="24"/>
        </w:rPr>
        <w:t>’ (in order).</w:t>
      </w:r>
    </w:p>
    <w:p w14:paraId="1BFD2BA4" w14:textId="77777777" w:rsidR="009D4A2C" w:rsidRDefault="009D4A2C" w:rsidP="009D4A2C">
      <w:pPr>
        <w:pStyle w:val="ListParagraph"/>
        <w:spacing w:line="360" w:lineRule="auto"/>
        <w:ind w:left="0"/>
        <w:jc w:val="both"/>
        <w:rPr>
          <w:rFonts w:ascii="Arial" w:hAnsi="Arial" w:cs="Arial"/>
          <w:sz w:val="24"/>
          <w:szCs w:val="24"/>
        </w:rPr>
      </w:pPr>
    </w:p>
    <w:p w14:paraId="5D629962" w14:textId="2841E03A" w:rsidR="009D4A2C" w:rsidRPr="00233C47" w:rsidRDefault="00233C47" w:rsidP="00233C47">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7A01DA" w:rsidRPr="00233C47">
        <w:rPr>
          <w:rFonts w:ascii="Arial" w:hAnsi="Arial" w:cs="Arial"/>
          <w:sz w:val="24"/>
          <w:szCs w:val="24"/>
        </w:rPr>
        <w:t xml:space="preserve">At the hearing of the present matter, the applicant’s attorney argued that </w:t>
      </w:r>
      <w:r w:rsidR="005171B4" w:rsidRPr="00233C47">
        <w:rPr>
          <w:rFonts w:ascii="Arial" w:hAnsi="Arial" w:cs="Arial"/>
          <w:sz w:val="24"/>
          <w:szCs w:val="24"/>
        </w:rPr>
        <w:t>the first respondent had not carried out a proper enquiry into what the applicant had wanted</w:t>
      </w:r>
      <w:r w:rsidR="007330C0" w:rsidRPr="00233C47">
        <w:rPr>
          <w:rFonts w:ascii="Arial" w:hAnsi="Arial" w:cs="Arial"/>
          <w:sz w:val="24"/>
          <w:szCs w:val="24"/>
        </w:rPr>
        <w:t xml:space="preserve">. He had not explained that he could have applied for a postponement. </w:t>
      </w:r>
      <w:r w:rsidR="00D51445" w:rsidRPr="00233C47">
        <w:rPr>
          <w:rFonts w:ascii="Arial" w:hAnsi="Arial" w:cs="Arial"/>
          <w:sz w:val="24"/>
          <w:szCs w:val="24"/>
        </w:rPr>
        <w:t xml:space="preserve">He had, </w:t>
      </w:r>
      <w:r w:rsidR="00F55D6A" w:rsidRPr="00233C47">
        <w:rPr>
          <w:rFonts w:ascii="Arial" w:hAnsi="Arial" w:cs="Arial"/>
          <w:sz w:val="24"/>
          <w:szCs w:val="24"/>
        </w:rPr>
        <w:t>from a position of authority, pressu</w:t>
      </w:r>
      <w:r w:rsidR="00623794" w:rsidRPr="00233C47">
        <w:rPr>
          <w:rFonts w:ascii="Arial" w:hAnsi="Arial" w:cs="Arial"/>
          <w:sz w:val="24"/>
          <w:szCs w:val="24"/>
        </w:rPr>
        <w:t xml:space="preserve">rized the applicant to </w:t>
      </w:r>
      <w:r w:rsidR="00305BBE" w:rsidRPr="00233C47">
        <w:rPr>
          <w:rFonts w:ascii="Arial" w:hAnsi="Arial" w:cs="Arial"/>
          <w:sz w:val="24"/>
          <w:szCs w:val="24"/>
        </w:rPr>
        <w:t xml:space="preserve">continue with Mr Greeff. </w:t>
      </w:r>
    </w:p>
    <w:p w14:paraId="2AA31FA4" w14:textId="77777777" w:rsidR="009D4A2C" w:rsidRPr="009D4A2C" w:rsidRDefault="009D4A2C" w:rsidP="009D4A2C">
      <w:pPr>
        <w:pStyle w:val="ListParagraph"/>
        <w:rPr>
          <w:rFonts w:ascii="Arial" w:hAnsi="Arial" w:cs="Arial"/>
          <w:sz w:val="24"/>
          <w:szCs w:val="24"/>
        </w:rPr>
      </w:pPr>
    </w:p>
    <w:p w14:paraId="1E4071D1" w14:textId="5F9FFDF6" w:rsidR="009D4A2C" w:rsidRPr="00233C47" w:rsidRDefault="00233C47" w:rsidP="00233C47">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34579E" w:rsidRPr="00233C47">
        <w:rPr>
          <w:rFonts w:ascii="Arial" w:hAnsi="Arial" w:cs="Arial"/>
          <w:sz w:val="24"/>
          <w:szCs w:val="24"/>
        </w:rPr>
        <w:t xml:space="preserve">Reference was made to the decision in </w:t>
      </w:r>
      <w:r w:rsidR="0034579E" w:rsidRPr="00233C47">
        <w:rPr>
          <w:rFonts w:ascii="Arial" w:hAnsi="Arial" w:cs="Arial"/>
          <w:i/>
          <w:iCs/>
          <w:sz w:val="24"/>
          <w:szCs w:val="24"/>
        </w:rPr>
        <w:t>S v Moodie</w:t>
      </w:r>
      <w:r w:rsidR="000A1044" w:rsidRPr="00233C47">
        <w:rPr>
          <w:rFonts w:ascii="Arial" w:hAnsi="Arial" w:cs="Arial"/>
          <w:sz w:val="24"/>
          <w:szCs w:val="24"/>
        </w:rPr>
        <w:t>,</w:t>
      </w:r>
      <w:r w:rsidR="000A1044">
        <w:rPr>
          <w:rStyle w:val="FootnoteReference"/>
          <w:rFonts w:ascii="Arial" w:hAnsi="Arial" w:cs="Arial"/>
          <w:sz w:val="24"/>
          <w:szCs w:val="24"/>
        </w:rPr>
        <w:footnoteReference w:id="14"/>
      </w:r>
      <w:r w:rsidR="002D5AE7" w:rsidRPr="00233C47">
        <w:rPr>
          <w:rFonts w:ascii="Arial" w:hAnsi="Arial" w:cs="Arial"/>
          <w:sz w:val="24"/>
          <w:szCs w:val="24"/>
        </w:rPr>
        <w:t xml:space="preserve"> where </w:t>
      </w:r>
      <w:r w:rsidR="007F43D0" w:rsidRPr="00233C47">
        <w:rPr>
          <w:rFonts w:ascii="Arial" w:hAnsi="Arial" w:cs="Arial"/>
          <w:sz w:val="24"/>
          <w:szCs w:val="24"/>
        </w:rPr>
        <w:t xml:space="preserve">the erstwhile Appellate Division </w:t>
      </w:r>
      <w:r w:rsidR="00196A50" w:rsidRPr="00233C47">
        <w:rPr>
          <w:rFonts w:ascii="Arial" w:hAnsi="Arial" w:cs="Arial"/>
          <w:sz w:val="24"/>
          <w:szCs w:val="24"/>
        </w:rPr>
        <w:t xml:space="preserve">had </w:t>
      </w:r>
      <w:r w:rsidR="007F43D0" w:rsidRPr="00233C47">
        <w:rPr>
          <w:rFonts w:ascii="Arial" w:hAnsi="Arial" w:cs="Arial"/>
          <w:sz w:val="24"/>
          <w:szCs w:val="24"/>
        </w:rPr>
        <w:t xml:space="preserve">dealt with a case where the deputy-sheriff had </w:t>
      </w:r>
      <w:r w:rsidR="00506E41" w:rsidRPr="00233C47">
        <w:rPr>
          <w:rFonts w:ascii="Arial" w:hAnsi="Arial" w:cs="Arial"/>
          <w:sz w:val="24"/>
          <w:szCs w:val="24"/>
        </w:rPr>
        <w:t xml:space="preserve">been present while a jury had been engaged in </w:t>
      </w:r>
      <w:r w:rsidR="006342AC" w:rsidRPr="00233C47">
        <w:rPr>
          <w:rFonts w:ascii="Arial" w:hAnsi="Arial" w:cs="Arial"/>
          <w:sz w:val="24"/>
          <w:szCs w:val="24"/>
        </w:rPr>
        <w:t>deliberations. The applicable legislative provision</w:t>
      </w:r>
      <w:r w:rsidR="0015565F" w:rsidRPr="00233C47">
        <w:rPr>
          <w:rFonts w:ascii="Arial" w:hAnsi="Arial" w:cs="Arial"/>
          <w:sz w:val="24"/>
          <w:szCs w:val="24"/>
        </w:rPr>
        <w:t xml:space="preserve"> at the time had made it clear that a jury </w:t>
      </w:r>
      <w:r w:rsidR="00AC072C" w:rsidRPr="00233C47">
        <w:rPr>
          <w:rFonts w:ascii="Arial" w:hAnsi="Arial" w:cs="Arial"/>
          <w:sz w:val="24"/>
          <w:szCs w:val="24"/>
        </w:rPr>
        <w:t xml:space="preserve">should </w:t>
      </w:r>
      <w:r w:rsidR="00CE1A6A" w:rsidRPr="00233C47">
        <w:rPr>
          <w:rFonts w:ascii="Arial" w:hAnsi="Arial" w:cs="Arial"/>
          <w:sz w:val="24"/>
          <w:szCs w:val="24"/>
        </w:rPr>
        <w:t>have been in a private place, by themselves, to enjoy the fullest freedom of discussion. The presence of the deputy-sheriff</w:t>
      </w:r>
      <w:r w:rsidR="00CA0D48" w:rsidRPr="00233C47">
        <w:rPr>
          <w:rFonts w:ascii="Arial" w:hAnsi="Arial" w:cs="Arial"/>
          <w:sz w:val="24"/>
          <w:szCs w:val="24"/>
        </w:rPr>
        <w:t xml:space="preserve"> undermined the right of privacy. It </w:t>
      </w:r>
      <w:r w:rsidR="008A6C07" w:rsidRPr="00233C47">
        <w:rPr>
          <w:rFonts w:ascii="Arial" w:hAnsi="Arial" w:cs="Arial"/>
          <w:sz w:val="24"/>
          <w:szCs w:val="24"/>
        </w:rPr>
        <w:t xml:space="preserve">was </w:t>
      </w:r>
      <w:r w:rsidR="001E6964" w:rsidRPr="00233C47">
        <w:rPr>
          <w:rFonts w:ascii="Arial" w:hAnsi="Arial" w:cs="Arial"/>
          <w:sz w:val="24"/>
          <w:szCs w:val="24"/>
        </w:rPr>
        <w:t xml:space="preserve">an irregularity of such a nature </w:t>
      </w:r>
      <w:r w:rsidR="00425B5C" w:rsidRPr="00233C47">
        <w:rPr>
          <w:rFonts w:ascii="Arial" w:hAnsi="Arial" w:cs="Arial"/>
          <w:sz w:val="24"/>
          <w:szCs w:val="24"/>
        </w:rPr>
        <w:t xml:space="preserve">as to amount, </w:t>
      </w:r>
      <w:r w:rsidR="00425B5C" w:rsidRPr="00233C47">
        <w:rPr>
          <w:rFonts w:ascii="Arial" w:hAnsi="Arial" w:cs="Arial"/>
          <w:i/>
          <w:iCs/>
          <w:sz w:val="24"/>
          <w:szCs w:val="24"/>
        </w:rPr>
        <w:t>per se</w:t>
      </w:r>
      <w:r w:rsidR="00425B5C" w:rsidRPr="00233C47">
        <w:rPr>
          <w:rFonts w:ascii="Arial" w:hAnsi="Arial" w:cs="Arial"/>
          <w:sz w:val="24"/>
          <w:szCs w:val="24"/>
        </w:rPr>
        <w:t>, to a failure of justice.</w:t>
      </w:r>
      <w:r w:rsidR="006342AC" w:rsidRPr="00233C47">
        <w:rPr>
          <w:rFonts w:ascii="Arial" w:hAnsi="Arial" w:cs="Arial"/>
          <w:sz w:val="24"/>
          <w:szCs w:val="24"/>
        </w:rPr>
        <w:t xml:space="preserve"> </w:t>
      </w:r>
    </w:p>
    <w:p w14:paraId="295B1E64" w14:textId="77777777" w:rsidR="009D4A2C" w:rsidRPr="009D4A2C" w:rsidRDefault="009D4A2C" w:rsidP="009D4A2C">
      <w:pPr>
        <w:pStyle w:val="ListParagraph"/>
        <w:rPr>
          <w:rFonts w:ascii="Arial" w:hAnsi="Arial" w:cs="Arial"/>
          <w:sz w:val="24"/>
          <w:szCs w:val="24"/>
        </w:rPr>
      </w:pPr>
    </w:p>
    <w:p w14:paraId="6137C412" w14:textId="01FA9282" w:rsidR="009D4A2C" w:rsidRPr="00233C47" w:rsidRDefault="00233C47" w:rsidP="00233C47">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482D0B" w:rsidRPr="00233C47">
        <w:rPr>
          <w:rFonts w:ascii="Arial" w:hAnsi="Arial" w:cs="Arial"/>
          <w:sz w:val="24"/>
          <w:szCs w:val="24"/>
        </w:rPr>
        <w:t xml:space="preserve">The </w:t>
      </w:r>
      <w:r w:rsidR="00286B5B" w:rsidRPr="00233C47">
        <w:rPr>
          <w:rFonts w:ascii="Arial" w:hAnsi="Arial" w:cs="Arial"/>
          <w:sz w:val="24"/>
          <w:szCs w:val="24"/>
        </w:rPr>
        <w:t>decision</w:t>
      </w:r>
      <w:r w:rsidR="00482D0B" w:rsidRPr="00233C47">
        <w:rPr>
          <w:rFonts w:ascii="Arial" w:hAnsi="Arial" w:cs="Arial"/>
          <w:sz w:val="24"/>
          <w:szCs w:val="24"/>
        </w:rPr>
        <w:t xml:space="preserve"> </w:t>
      </w:r>
      <w:r w:rsidR="00D06B23" w:rsidRPr="00233C47">
        <w:rPr>
          <w:rFonts w:ascii="Arial" w:hAnsi="Arial" w:cs="Arial"/>
          <w:sz w:val="24"/>
          <w:szCs w:val="24"/>
        </w:rPr>
        <w:t xml:space="preserve">does not, however, appear to take the applicant’s </w:t>
      </w:r>
      <w:r w:rsidR="00286B5B" w:rsidRPr="00233C47">
        <w:rPr>
          <w:rFonts w:ascii="Arial" w:hAnsi="Arial" w:cs="Arial"/>
          <w:sz w:val="24"/>
          <w:szCs w:val="24"/>
        </w:rPr>
        <w:t>case</w:t>
      </w:r>
      <w:r w:rsidR="00D06B23" w:rsidRPr="00233C47">
        <w:rPr>
          <w:rFonts w:ascii="Arial" w:hAnsi="Arial" w:cs="Arial"/>
          <w:sz w:val="24"/>
          <w:szCs w:val="24"/>
        </w:rPr>
        <w:t xml:space="preserve"> much</w:t>
      </w:r>
      <w:r w:rsidR="001B376A" w:rsidRPr="00233C47">
        <w:rPr>
          <w:rFonts w:ascii="Arial" w:hAnsi="Arial" w:cs="Arial"/>
          <w:sz w:val="24"/>
          <w:szCs w:val="24"/>
        </w:rPr>
        <w:t xml:space="preserve"> further. </w:t>
      </w:r>
      <w:r w:rsidR="00C65CED" w:rsidRPr="00233C47">
        <w:rPr>
          <w:rFonts w:ascii="Arial" w:hAnsi="Arial" w:cs="Arial"/>
          <w:sz w:val="24"/>
          <w:szCs w:val="24"/>
        </w:rPr>
        <w:t>It</w:t>
      </w:r>
      <w:r w:rsidR="004E2D3E" w:rsidRPr="00233C47">
        <w:rPr>
          <w:rFonts w:ascii="Arial" w:hAnsi="Arial" w:cs="Arial"/>
          <w:sz w:val="24"/>
          <w:szCs w:val="24"/>
        </w:rPr>
        <w:t xml:space="preserve"> would</w:t>
      </w:r>
      <w:r w:rsidR="00F62817" w:rsidRPr="00233C47">
        <w:rPr>
          <w:rFonts w:ascii="Arial" w:hAnsi="Arial" w:cs="Arial"/>
          <w:sz w:val="24"/>
          <w:szCs w:val="24"/>
        </w:rPr>
        <w:t xml:space="preserve"> </w:t>
      </w:r>
      <w:r w:rsidR="004E2D3E" w:rsidRPr="00233C47">
        <w:rPr>
          <w:rFonts w:ascii="Arial" w:hAnsi="Arial" w:cs="Arial"/>
          <w:sz w:val="24"/>
          <w:szCs w:val="24"/>
        </w:rPr>
        <w:t xml:space="preserve">be </w:t>
      </w:r>
      <w:r w:rsidR="00DA4109" w:rsidRPr="00233C47">
        <w:rPr>
          <w:rFonts w:ascii="Arial" w:hAnsi="Arial" w:cs="Arial"/>
          <w:sz w:val="24"/>
          <w:szCs w:val="24"/>
        </w:rPr>
        <w:t xml:space="preserve">an exaggeration </w:t>
      </w:r>
      <w:r w:rsidR="00C65CED" w:rsidRPr="00233C47">
        <w:rPr>
          <w:rFonts w:ascii="Arial" w:hAnsi="Arial" w:cs="Arial"/>
          <w:sz w:val="24"/>
          <w:szCs w:val="24"/>
        </w:rPr>
        <w:t>to contend that the</w:t>
      </w:r>
      <w:r w:rsidR="00CC2C6D" w:rsidRPr="00233C47">
        <w:rPr>
          <w:rFonts w:ascii="Arial" w:hAnsi="Arial" w:cs="Arial"/>
          <w:sz w:val="24"/>
          <w:szCs w:val="24"/>
        </w:rPr>
        <w:t xml:space="preserve"> </w:t>
      </w:r>
      <w:r w:rsidR="00F62817" w:rsidRPr="00233C47">
        <w:rPr>
          <w:rFonts w:ascii="Arial" w:hAnsi="Arial" w:cs="Arial"/>
          <w:sz w:val="24"/>
          <w:szCs w:val="24"/>
        </w:rPr>
        <w:t xml:space="preserve">incident on 14 March 2013 gave rise to an irregularity </w:t>
      </w:r>
      <w:r w:rsidR="00B2763C" w:rsidRPr="00233C47">
        <w:rPr>
          <w:rFonts w:ascii="Arial" w:hAnsi="Arial" w:cs="Arial"/>
          <w:sz w:val="24"/>
          <w:szCs w:val="24"/>
        </w:rPr>
        <w:t xml:space="preserve">that resulted in the failure of justice. </w:t>
      </w:r>
      <w:r w:rsidR="009A43F5" w:rsidRPr="00233C47">
        <w:rPr>
          <w:rFonts w:ascii="Arial" w:hAnsi="Arial" w:cs="Arial"/>
          <w:sz w:val="24"/>
          <w:szCs w:val="24"/>
        </w:rPr>
        <w:t xml:space="preserve">Whereas the applicant expressed a preference for the services of Mr Bence, he was not </w:t>
      </w:r>
      <w:r w:rsidR="00535B20" w:rsidRPr="00233C47">
        <w:rPr>
          <w:rFonts w:ascii="Arial" w:hAnsi="Arial" w:cs="Arial"/>
          <w:sz w:val="24"/>
          <w:szCs w:val="24"/>
        </w:rPr>
        <w:t>opposed to continuing with Mr Greeff. The</w:t>
      </w:r>
      <w:r w:rsidR="00B77A30" w:rsidRPr="00233C47">
        <w:rPr>
          <w:rFonts w:ascii="Arial" w:hAnsi="Arial" w:cs="Arial"/>
          <w:sz w:val="24"/>
          <w:szCs w:val="24"/>
        </w:rPr>
        <w:t xml:space="preserve"> record </w:t>
      </w:r>
      <w:r w:rsidR="001450C8" w:rsidRPr="00233C47">
        <w:rPr>
          <w:rFonts w:ascii="Arial" w:hAnsi="Arial" w:cs="Arial"/>
          <w:sz w:val="24"/>
          <w:szCs w:val="24"/>
        </w:rPr>
        <w:t xml:space="preserve">is clear in that regard. </w:t>
      </w:r>
      <w:r w:rsidR="00607771" w:rsidRPr="00233C47">
        <w:rPr>
          <w:rFonts w:ascii="Arial" w:hAnsi="Arial" w:cs="Arial"/>
          <w:sz w:val="24"/>
          <w:szCs w:val="24"/>
        </w:rPr>
        <w:t>T</w:t>
      </w:r>
      <w:r w:rsidR="001450C8" w:rsidRPr="00233C47">
        <w:rPr>
          <w:rFonts w:ascii="Arial" w:hAnsi="Arial" w:cs="Arial"/>
          <w:sz w:val="24"/>
          <w:szCs w:val="24"/>
        </w:rPr>
        <w:t xml:space="preserve">he </w:t>
      </w:r>
      <w:r w:rsidR="00E61BD4" w:rsidRPr="00233C47">
        <w:rPr>
          <w:rFonts w:ascii="Arial" w:hAnsi="Arial" w:cs="Arial"/>
          <w:sz w:val="24"/>
          <w:szCs w:val="24"/>
        </w:rPr>
        <w:t xml:space="preserve">register and tone of the </w:t>
      </w:r>
      <w:r w:rsidR="001450C8" w:rsidRPr="00233C47">
        <w:rPr>
          <w:rFonts w:ascii="Arial" w:hAnsi="Arial" w:cs="Arial"/>
          <w:sz w:val="24"/>
          <w:szCs w:val="24"/>
        </w:rPr>
        <w:t>first respondent</w:t>
      </w:r>
      <w:r w:rsidR="00F037F7" w:rsidRPr="00233C47">
        <w:rPr>
          <w:rFonts w:ascii="Arial" w:hAnsi="Arial" w:cs="Arial"/>
          <w:sz w:val="24"/>
          <w:szCs w:val="24"/>
        </w:rPr>
        <w:t>, moreover,</w:t>
      </w:r>
      <w:r w:rsidR="009E3AD4" w:rsidRPr="00233C47">
        <w:rPr>
          <w:rFonts w:ascii="Arial" w:hAnsi="Arial" w:cs="Arial"/>
          <w:sz w:val="24"/>
          <w:szCs w:val="24"/>
        </w:rPr>
        <w:t xml:space="preserve"> could</w:t>
      </w:r>
      <w:r w:rsidR="001450C8" w:rsidRPr="00233C47">
        <w:rPr>
          <w:rFonts w:ascii="Arial" w:hAnsi="Arial" w:cs="Arial"/>
          <w:sz w:val="24"/>
          <w:szCs w:val="24"/>
        </w:rPr>
        <w:t xml:space="preserve"> </w:t>
      </w:r>
      <w:r w:rsidR="000F7A8D" w:rsidRPr="00233C47">
        <w:rPr>
          <w:rFonts w:ascii="Arial" w:hAnsi="Arial" w:cs="Arial"/>
          <w:sz w:val="24"/>
          <w:szCs w:val="24"/>
        </w:rPr>
        <w:t xml:space="preserve">well </w:t>
      </w:r>
      <w:r w:rsidR="00E61BD4" w:rsidRPr="00233C47">
        <w:rPr>
          <w:rFonts w:ascii="Arial" w:hAnsi="Arial" w:cs="Arial"/>
          <w:sz w:val="24"/>
          <w:szCs w:val="24"/>
        </w:rPr>
        <w:t xml:space="preserve">be described as assertive but it can hardly be said that </w:t>
      </w:r>
      <w:r w:rsidR="00940F62" w:rsidRPr="00233C47">
        <w:rPr>
          <w:rFonts w:ascii="Arial" w:hAnsi="Arial" w:cs="Arial"/>
          <w:sz w:val="24"/>
          <w:szCs w:val="24"/>
        </w:rPr>
        <w:t xml:space="preserve">this was inappropriate or that </w:t>
      </w:r>
      <w:r w:rsidR="00AE1CE2" w:rsidRPr="00233C47">
        <w:rPr>
          <w:rFonts w:ascii="Arial" w:hAnsi="Arial" w:cs="Arial"/>
          <w:sz w:val="24"/>
          <w:szCs w:val="24"/>
        </w:rPr>
        <w:t>t</w:t>
      </w:r>
      <w:r w:rsidR="00E61BD4" w:rsidRPr="00233C47">
        <w:rPr>
          <w:rFonts w:ascii="Arial" w:hAnsi="Arial" w:cs="Arial"/>
          <w:sz w:val="24"/>
          <w:szCs w:val="24"/>
        </w:rPr>
        <w:t>he</w:t>
      </w:r>
      <w:r w:rsidR="00AE1CE2" w:rsidRPr="00233C47">
        <w:rPr>
          <w:rFonts w:ascii="Arial" w:hAnsi="Arial" w:cs="Arial"/>
          <w:sz w:val="24"/>
          <w:szCs w:val="24"/>
        </w:rPr>
        <w:t xml:space="preserve"> first respondent</w:t>
      </w:r>
      <w:r w:rsidR="00E61BD4" w:rsidRPr="00233C47">
        <w:rPr>
          <w:rFonts w:ascii="Arial" w:hAnsi="Arial" w:cs="Arial"/>
          <w:sz w:val="24"/>
          <w:szCs w:val="24"/>
        </w:rPr>
        <w:t xml:space="preserve"> pressurized </w:t>
      </w:r>
      <w:r w:rsidR="004F070E" w:rsidRPr="00233C47">
        <w:rPr>
          <w:rFonts w:ascii="Arial" w:hAnsi="Arial" w:cs="Arial"/>
          <w:sz w:val="24"/>
          <w:szCs w:val="24"/>
        </w:rPr>
        <w:t>the applicant into proceeding against his wishes.</w:t>
      </w:r>
      <w:r w:rsidR="00D46753" w:rsidRPr="00233C47">
        <w:rPr>
          <w:rFonts w:ascii="Arial" w:hAnsi="Arial" w:cs="Arial"/>
          <w:sz w:val="24"/>
          <w:szCs w:val="24"/>
        </w:rPr>
        <w:t xml:space="preserve"> He afforded the applicant a proper opportunity to explain the situation and to clarify </w:t>
      </w:r>
      <w:r w:rsidR="002C3C7C" w:rsidRPr="00233C47">
        <w:rPr>
          <w:rFonts w:ascii="Arial" w:hAnsi="Arial" w:cs="Arial"/>
          <w:sz w:val="24"/>
          <w:szCs w:val="24"/>
        </w:rPr>
        <w:t>any reservations that he may have held about going ahead with the trial.</w:t>
      </w:r>
      <w:r w:rsidR="001F2417" w:rsidRPr="00233C47">
        <w:rPr>
          <w:rFonts w:ascii="Arial" w:hAnsi="Arial" w:cs="Arial"/>
          <w:sz w:val="24"/>
          <w:szCs w:val="24"/>
        </w:rPr>
        <w:t xml:space="preserve"> </w:t>
      </w:r>
    </w:p>
    <w:p w14:paraId="3369D2E3" w14:textId="77777777" w:rsidR="009D4A2C" w:rsidRPr="009D4A2C" w:rsidRDefault="009D4A2C" w:rsidP="009D4A2C">
      <w:pPr>
        <w:pStyle w:val="ListParagraph"/>
        <w:rPr>
          <w:rFonts w:ascii="Arial" w:hAnsi="Arial" w:cs="Arial"/>
          <w:sz w:val="24"/>
          <w:szCs w:val="24"/>
        </w:rPr>
      </w:pPr>
    </w:p>
    <w:p w14:paraId="3317DAB3" w14:textId="5B6AD8B1" w:rsidR="004E2D3E" w:rsidRPr="00233C47" w:rsidRDefault="00233C47" w:rsidP="00233C47">
      <w:pPr>
        <w:spacing w:line="360" w:lineRule="auto"/>
        <w:jc w:val="both"/>
        <w:rPr>
          <w:rFonts w:ascii="Arial" w:hAnsi="Arial" w:cs="Arial"/>
          <w:sz w:val="24"/>
          <w:szCs w:val="24"/>
        </w:rPr>
      </w:pPr>
      <w:r w:rsidRPr="009D4A2C">
        <w:rPr>
          <w:rFonts w:ascii="Arial" w:hAnsi="Arial" w:cs="Arial"/>
          <w:sz w:val="24"/>
          <w:szCs w:val="24"/>
        </w:rPr>
        <w:t>[37]</w:t>
      </w:r>
      <w:r w:rsidRPr="009D4A2C">
        <w:rPr>
          <w:rFonts w:ascii="Arial" w:hAnsi="Arial" w:cs="Arial"/>
          <w:sz w:val="24"/>
          <w:szCs w:val="24"/>
        </w:rPr>
        <w:tab/>
      </w:r>
      <w:r w:rsidR="00F13126" w:rsidRPr="00233C47">
        <w:rPr>
          <w:rFonts w:ascii="Arial" w:hAnsi="Arial" w:cs="Arial"/>
          <w:sz w:val="24"/>
          <w:szCs w:val="24"/>
        </w:rPr>
        <w:t xml:space="preserve">The applicant’s attorney </w:t>
      </w:r>
      <w:r w:rsidR="00B11DEA" w:rsidRPr="00233C47">
        <w:rPr>
          <w:rFonts w:ascii="Arial" w:hAnsi="Arial" w:cs="Arial"/>
          <w:sz w:val="24"/>
          <w:szCs w:val="24"/>
        </w:rPr>
        <w:t xml:space="preserve">also referred to </w:t>
      </w:r>
      <w:r w:rsidR="00991541" w:rsidRPr="00233C47">
        <w:rPr>
          <w:rFonts w:ascii="Arial" w:hAnsi="Arial" w:cs="Arial"/>
          <w:i/>
          <w:iCs/>
          <w:sz w:val="24"/>
          <w:szCs w:val="24"/>
        </w:rPr>
        <w:t>S v Ramabele and others,</w:t>
      </w:r>
      <w:r w:rsidR="00991541" w:rsidRPr="00991541">
        <w:rPr>
          <w:vertAlign w:val="superscript"/>
        </w:rPr>
        <w:footnoteReference w:id="15"/>
      </w:r>
      <w:r w:rsidR="00991541" w:rsidRPr="00233C47">
        <w:rPr>
          <w:rFonts w:ascii="Arial" w:hAnsi="Arial" w:cs="Arial"/>
          <w:sz w:val="24"/>
          <w:szCs w:val="24"/>
        </w:rPr>
        <w:t xml:space="preserve"> </w:t>
      </w:r>
      <w:r w:rsidR="00463D3D" w:rsidRPr="00233C47">
        <w:rPr>
          <w:rFonts w:ascii="Arial" w:hAnsi="Arial" w:cs="Arial"/>
          <w:sz w:val="24"/>
          <w:szCs w:val="24"/>
        </w:rPr>
        <w:t xml:space="preserve">within the wider context of </w:t>
      </w:r>
      <w:r w:rsidR="00733BFE" w:rsidRPr="00233C47">
        <w:rPr>
          <w:rFonts w:ascii="Arial" w:hAnsi="Arial" w:cs="Arial"/>
          <w:sz w:val="24"/>
          <w:szCs w:val="24"/>
        </w:rPr>
        <w:t xml:space="preserve">the </w:t>
      </w:r>
      <w:r w:rsidR="00D32D73" w:rsidRPr="00233C47">
        <w:rPr>
          <w:rFonts w:ascii="Arial" w:hAnsi="Arial" w:cs="Arial"/>
          <w:sz w:val="24"/>
          <w:szCs w:val="24"/>
        </w:rPr>
        <w:t xml:space="preserve">applicant’s constitutional right to </w:t>
      </w:r>
      <w:r w:rsidR="00FD188A" w:rsidRPr="00233C47">
        <w:rPr>
          <w:rFonts w:ascii="Arial" w:hAnsi="Arial" w:cs="Arial"/>
          <w:sz w:val="24"/>
          <w:szCs w:val="24"/>
        </w:rPr>
        <w:t>a fair trial, includ</w:t>
      </w:r>
      <w:r w:rsidR="00222EC7" w:rsidRPr="00233C47">
        <w:rPr>
          <w:rFonts w:ascii="Arial" w:hAnsi="Arial" w:cs="Arial"/>
          <w:sz w:val="24"/>
          <w:szCs w:val="24"/>
        </w:rPr>
        <w:t>ing</w:t>
      </w:r>
      <w:r w:rsidR="00FD188A" w:rsidRPr="00233C47">
        <w:rPr>
          <w:rFonts w:ascii="Arial" w:hAnsi="Arial" w:cs="Arial"/>
          <w:sz w:val="24"/>
          <w:szCs w:val="24"/>
        </w:rPr>
        <w:t xml:space="preserve"> the right to </w:t>
      </w:r>
      <w:r w:rsidR="00D32D73" w:rsidRPr="00233C47">
        <w:rPr>
          <w:rFonts w:ascii="Arial" w:hAnsi="Arial" w:cs="Arial"/>
          <w:sz w:val="24"/>
          <w:szCs w:val="24"/>
        </w:rPr>
        <w:t>choose and to be represented by a legal practitioner.</w:t>
      </w:r>
      <w:r w:rsidR="001F6E21">
        <w:rPr>
          <w:rStyle w:val="FootnoteReference"/>
          <w:rFonts w:ascii="Arial" w:hAnsi="Arial" w:cs="Arial"/>
          <w:sz w:val="24"/>
          <w:szCs w:val="24"/>
        </w:rPr>
        <w:footnoteReference w:id="16"/>
      </w:r>
      <w:r w:rsidR="00FD188A" w:rsidRPr="00233C47">
        <w:rPr>
          <w:rFonts w:ascii="Arial" w:hAnsi="Arial" w:cs="Arial"/>
          <w:sz w:val="24"/>
          <w:szCs w:val="24"/>
        </w:rPr>
        <w:t xml:space="preserve"> </w:t>
      </w:r>
      <w:r w:rsidR="00BE0C52" w:rsidRPr="00233C47">
        <w:rPr>
          <w:rFonts w:ascii="Arial" w:hAnsi="Arial" w:cs="Arial"/>
          <w:sz w:val="24"/>
          <w:szCs w:val="24"/>
        </w:rPr>
        <w:t>The relevance of the decision</w:t>
      </w:r>
      <w:r w:rsidR="00C124DA" w:rsidRPr="00233C47">
        <w:rPr>
          <w:rFonts w:ascii="Arial" w:hAnsi="Arial" w:cs="Arial"/>
          <w:sz w:val="24"/>
          <w:szCs w:val="24"/>
        </w:rPr>
        <w:t xml:space="preserve"> to the present matter</w:t>
      </w:r>
      <w:r w:rsidR="007C5CFC" w:rsidRPr="00233C47">
        <w:rPr>
          <w:rFonts w:ascii="Arial" w:hAnsi="Arial" w:cs="Arial"/>
          <w:sz w:val="24"/>
          <w:szCs w:val="24"/>
        </w:rPr>
        <w:t>, however,</w:t>
      </w:r>
      <w:r w:rsidR="00BE0C52" w:rsidRPr="00233C47">
        <w:rPr>
          <w:rFonts w:ascii="Arial" w:hAnsi="Arial" w:cs="Arial"/>
          <w:sz w:val="24"/>
          <w:szCs w:val="24"/>
        </w:rPr>
        <w:t xml:space="preserve"> is not entirely</w:t>
      </w:r>
      <w:r w:rsidR="0088627A" w:rsidRPr="00233C47">
        <w:rPr>
          <w:rFonts w:ascii="Arial" w:hAnsi="Arial" w:cs="Arial"/>
          <w:sz w:val="24"/>
          <w:szCs w:val="24"/>
        </w:rPr>
        <w:t xml:space="preserve"> </w:t>
      </w:r>
      <w:r w:rsidR="009C57D8" w:rsidRPr="00233C47">
        <w:rPr>
          <w:rFonts w:ascii="Arial" w:hAnsi="Arial" w:cs="Arial"/>
          <w:sz w:val="24"/>
          <w:szCs w:val="24"/>
        </w:rPr>
        <w:t>apparent</w:t>
      </w:r>
      <w:r w:rsidR="0088627A" w:rsidRPr="00233C47">
        <w:rPr>
          <w:rFonts w:ascii="Arial" w:hAnsi="Arial" w:cs="Arial"/>
          <w:sz w:val="24"/>
          <w:szCs w:val="24"/>
        </w:rPr>
        <w:t>.</w:t>
      </w:r>
      <w:r w:rsidR="00BE0C52" w:rsidRPr="00233C47">
        <w:rPr>
          <w:rFonts w:ascii="Arial" w:hAnsi="Arial" w:cs="Arial"/>
          <w:sz w:val="24"/>
          <w:szCs w:val="24"/>
        </w:rPr>
        <w:t xml:space="preserve"> </w:t>
      </w:r>
      <w:r w:rsidR="00454D04" w:rsidRPr="00233C47">
        <w:rPr>
          <w:rFonts w:ascii="Arial" w:hAnsi="Arial" w:cs="Arial"/>
          <w:sz w:val="24"/>
          <w:szCs w:val="24"/>
        </w:rPr>
        <w:t xml:space="preserve">The </w:t>
      </w:r>
      <w:r w:rsidR="00733BFE" w:rsidRPr="00233C47">
        <w:rPr>
          <w:rFonts w:ascii="Arial" w:hAnsi="Arial" w:cs="Arial"/>
          <w:sz w:val="24"/>
          <w:szCs w:val="24"/>
        </w:rPr>
        <w:t>Const</w:t>
      </w:r>
      <w:r w:rsidR="00FD188A" w:rsidRPr="00233C47">
        <w:rPr>
          <w:rFonts w:ascii="Arial" w:hAnsi="Arial" w:cs="Arial"/>
          <w:sz w:val="24"/>
          <w:szCs w:val="24"/>
        </w:rPr>
        <w:t xml:space="preserve">itutional Court </w:t>
      </w:r>
      <w:r w:rsidR="00A1403F" w:rsidRPr="00233C47">
        <w:rPr>
          <w:rFonts w:ascii="Arial" w:hAnsi="Arial" w:cs="Arial"/>
          <w:sz w:val="24"/>
          <w:szCs w:val="24"/>
        </w:rPr>
        <w:t xml:space="preserve">merely </w:t>
      </w:r>
      <w:r w:rsidR="00A53D17" w:rsidRPr="00233C47">
        <w:rPr>
          <w:rFonts w:ascii="Arial" w:hAnsi="Arial" w:cs="Arial"/>
          <w:sz w:val="24"/>
          <w:szCs w:val="24"/>
        </w:rPr>
        <w:t xml:space="preserve">held </w:t>
      </w:r>
      <w:r w:rsidR="002866FD" w:rsidRPr="00233C47">
        <w:rPr>
          <w:rFonts w:ascii="Arial" w:hAnsi="Arial" w:cs="Arial"/>
          <w:sz w:val="24"/>
          <w:szCs w:val="24"/>
        </w:rPr>
        <w:t>as follows:</w:t>
      </w:r>
    </w:p>
    <w:p w14:paraId="2E6DC036" w14:textId="72D15322" w:rsidR="002866FD" w:rsidRPr="00C213C8" w:rsidRDefault="002866FD" w:rsidP="009D4A2C">
      <w:pPr>
        <w:spacing w:line="360" w:lineRule="auto"/>
        <w:ind w:left="720"/>
        <w:jc w:val="both"/>
        <w:rPr>
          <w:rFonts w:ascii="Arial" w:hAnsi="Arial" w:cs="Arial"/>
          <w:sz w:val="20"/>
          <w:szCs w:val="20"/>
        </w:rPr>
      </w:pPr>
      <w:r w:rsidRPr="00C213C8">
        <w:rPr>
          <w:rFonts w:ascii="Arial" w:hAnsi="Arial" w:cs="Arial"/>
          <w:sz w:val="20"/>
          <w:szCs w:val="20"/>
        </w:rPr>
        <w:t>‘</w:t>
      </w:r>
      <w:r w:rsidR="00CA496C" w:rsidRPr="00C213C8">
        <w:rPr>
          <w:rFonts w:ascii="Arial" w:hAnsi="Arial" w:cs="Arial"/>
          <w:sz w:val="20"/>
          <w:szCs w:val="20"/>
        </w:rPr>
        <w:t xml:space="preserve">…Generally, when legal assistance is appointed for the accused </w:t>
      </w:r>
      <w:r w:rsidR="008C514D" w:rsidRPr="00C213C8">
        <w:rPr>
          <w:rFonts w:ascii="Arial" w:hAnsi="Arial" w:cs="Arial"/>
          <w:sz w:val="20"/>
          <w:szCs w:val="20"/>
        </w:rPr>
        <w:t>by the state, they ought to accept the legal representation.</w:t>
      </w:r>
      <w:r w:rsidR="00994375" w:rsidRPr="00C213C8">
        <w:rPr>
          <w:rFonts w:ascii="Arial" w:hAnsi="Arial" w:cs="Arial"/>
          <w:sz w:val="20"/>
          <w:szCs w:val="20"/>
        </w:rPr>
        <w:t xml:space="preserve"> They do not necessarily have the right to select the legal representative </w:t>
      </w:r>
      <w:r w:rsidR="00D94965" w:rsidRPr="00C213C8">
        <w:rPr>
          <w:rFonts w:ascii="Arial" w:hAnsi="Arial" w:cs="Arial"/>
          <w:sz w:val="20"/>
          <w:szCs w:val="20"/>
        </w:rPr>
        <w:t>appointed for them.</w:t>
      </w:r>
    </w:p>
    <w:p w14:paraId="2D2A12B0" w14:textId="7F9C0964" w:rsidR="00D94965" w:rsidRPr="00C213C8" w:rsidRDefault="00D94965" w:rsidP="009D4A2C">
      <w:pPr>
        <w:spacing w:line="360" w:lineRule="auto"/>
        <w:ind w:left="720"/>
        <w:jc w:val="both"/>
        <w:rPr>
          <w:rFonts w:ascii="Arial" w:hAnsi="Arial" w:cs="Arial"/>
          <w:sz w:val="20"/>
          <w:szCs w:val="20"/>
        </w:rPr>
      </w:pPr>
      <w:r w:rsidRPr="00C213C8">
        <w:rPr>
          <w:rFonts w:ascii="Arial" w:hAnsi="Arial" w:cs="Arial"/>
          <w:sz w:val="20"/>
          <w:szCs w:val="20"/>
        </w:rPr>
        <w:lastRenderedPageBreak/>
        <w:t>…Furthermore, there is also a duty placed upon judicial officers to afford</w:t>
      </w:r>
      <w:r w:rsidR="00A31028" w:rsidRPr="00C213C8">
        <w:rPr>
          <w:rFonts w:ascii="Arial" w:hAnsi="Arial" w:cs="Arial"/>
          <w:sz w:val="20"/>
          <w:szCs w:val="20"/>
        </w:rPr>
        <w:t xml:space="preserve"> the accused an opportunity to obtain legal representation, </w:t>
      </w:r>
      <w:r w:rsidR="00FD2912" w:rsidRPr="00C213C8">
        <w:rPr>
          <w:rFonts w:ascii="Arial" w:hAnsi="Arial" w:cs="Arial"/>
          <w:sz w:val="20"/>
          <w:szCs w:val="20"/>
        </w:rPr>
        <w:t>as well as a duty to inform the accused that, if their legal representative withdraws</w:t>
      </w:r>
      <w:r w:rsidR="002E3935" w:rsidRPr="00C213C8">
        <w:rPr>
          <w:rFonts w:ascii="Arial" w:hAnsi="Arial" w:cs="Arial"/>
          <w:sz w:val="20"/>
          <w:szCs w:val="20"/>
        </w:rPr>
        <w:t>, they have a right to apply for a postponement to enable another legal representative</w:t>
      </w:r>
      <w:r w:rsidR="00633705" w:rsidRPr="00C213C8">
        <w:rPr>
          <w:rFonts w:ascii="Arial" w:hAnsi="Arial" w:cs="Arial"/>
          <w:sz w:val="20"/>
          <w:szCs w:val="20"/>
        </w:rPr>
        <w:t xml:space="preserve"> to be appointed. This constitutional guarantee requires </w:t>
      </w:r>
      <w:r w:rsidR="00391A06" w:rsidRPr="00C213C8">
        <w:rPr>
          <w:rFonts w:ascii="Arial" w:hAnsi="Arial" w:cs="Arial"/>
          <w:sz w:val="20"/>
          <w:szCs w:val="20"/>
        </w:rPr>
        <w:t>that an accused be given a fair and reasonable opportunity to obtain legal representation.</w:t>
      </w:r>
      <w:r w:rsidR="00A44C6E" w:rsidRPr="00C213C8">
        <w:rPr>
          <w:rFonts w:ascii="Arial" w:hAnsi="Arial" w:cs="Arial"/>
          <w:sz w:val="20"/>
          <w:szCs w:val="20"/>
        </w:rPr>
        <w:t xml:space="preserve"> In order to consider what constitutes a fair and reasonable opportunity, </w:t>
      </w:r>
      <w:r w:rsidR="00B51734" w:rsidRPr="00C213C8">
        <w:rPr>
          <w:rFonts w:ascii="Arial" w:hAnsi="Arial" w:cs="Arial"/>
          <w:sz w:val="20"/>
          <w:szCs w:val="20"/>
        </w:rPr>
        <w:t>there are a myriad of factors to take into account. This should be considered on a case-by-case basis</w:t>
      </w:r>
      <w:r w:rsidR="00295A07" w:rsidRPr="00C213C8">
        <w:rPr>
          <w:rFonts w:ascii="Arial" w:hAnsi="Arial" w:cs="Arial"/>
          <w:sz w:val="20"/>
          <w:szCs w:val="20"/>
        </w:rPr>
        <w:t>, and failure to do so in certain circumstances may very well result in irregularities.</w:t>
      </w:r>
      <w:r w:rsidR="00337C36" w:rsidRPr="00C213C8">
        <w:rPr>
          <w:rFonts w:ascii="Arial" w:hAnsi="Arial" w:cs="Arial"/>
          <w:sz w:val="20"/>
          <w:szCs w:val="20"/>
        </w:rPr>
        <w:t xml:space="preserve"> However, the right to be represented by a legal representative </w:t>
      </w:r>
      <w:r w:rsidR="000F0E23" w:rsidRPr="00C213C8">
        <w:rPr>
          <w:rFonts w:ascii="Arial" w:hAnsi="Arial" w:cs="Arial"/>
          <w:sz w:val="20"/>
          <w:szCs w:val="20"/>
        </w:rPr>
        <w:t>of the accused’s own choice does not include a right to have an ongoing trial postponed</w:t>
      </w:r>
      <w:r w:rsidR="00254976" w:rsidRPr="00C213C8">
        <w:rPr>
          <w:rFonts w:ascii="Arial" w:hAnsi="Arial" w:cs="Arial"/>
          <w:sz w:val="20"/>
          <w:szCs w:val="20"/>
        </w:rPr>
        <w:t xml:space="preserve"> for a lengthy period in order to allow an accused an opportunity to earn and save sufficient income</w:t>
      </w:r>
      <w:r w:rsidR="00FD423E" w:rsidRPr="00C213C8">
        <w:rPr>
          <w:rFonts w:ascii="Arial" w:hAnsi="Arial" w:cs="Arial"/>
          <w:sz w:val="20"/>
          <w:szCs w:val="20"/>
        </w:rPr>
        <w:t xml:space="preserve"> to secure the services of a particular legal representative of their choice</w:t>
      </w:r>
      <w:r w:rsidR="00500758" w:rsidRPr="00C213C8">
        <w:rPr>
          <w:rFonts w:ascii="Arial" w:hAnsi="Arial" w:cs="Arial"/>
          <w:sz w:val="20"/>
          <w:szCs w:val="20"/>
        </w:rPr>
        <w:t>, since this may go beyond the bounds of reasonableness</w:t>
      </w:r>
      <w:r w:rsidR="00B05377" w:rsidRPr="00C213C8">
        <w:rPr>
          <w:rFonts w:ascii="Arial" w:hAnsi="Arial" w:cs="Arial"/>
          <w:sz w:val="20"/>
          <w:szCs w:val="20"/>
        </w:rPr>
        <w:t>.’</w:t>
      </w:r>
      <w:r w:rsidR="00B05377" w:rsidRPr="00C213C8">
        <w:rPr>
          <w:rStyle w:val="FootnoteReference"/>
          <w:rFonts w:ascii="Arial" w:hAnsi="Arial" w:cs="Arial"/>
          <w:sz w:val="20"/>
          <w:szCs w:val="20"/>
        </w:rPr>
        <w:footnoteReference w:id="17"/>
      </w:r>
    </w:p>
    <w:p w14:paraId="11BE59A6" w14:textId="77777777" w:rsidR="00C213C8" w:rsidRDefault="00C213C8" w:rsidP="00C213C8">
      <w:pPr>
        <w:spacing w:line="360" w:lineRule="auto"/>
        <w:rPr>
          <w:rFonts w:ascii="Arial" w:hAnsi="Arial" w:cs="Arial"/>
          <w:sz w:val="24"/>
          <w:szCs w:val="24"/>
        </w:rPr>
      </w:pPr>
    </w:p>
    <w:p w14:paraId="2D5B7E5B" w14:textId="1210777E" w:rsidR="009D4A2C" w:rsidRPr="00233C47" w:rsidRDefault="00233C47" w:rsidP="00233C47">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2454C1" w:rsidRPr="00233C47">
        <w:rPr>
          <w:rFonts w:ascii="Arial" w:hAnsi="Arial" w:cs="Arial"/>
          <w:sz w:val="24"/>
          <w:szCs w:val="24"/>
        </w:rPr>
        <w:t xml:space="preserve">The </w:t>
      </w:r>
      <w:r w:rsidR="007C5CFC" w:rsidRPr="00233C47">
        <w:rPr>
          <w:rFonts w:ascii="Arial" w:hAnsi="Arial" w:cs="Arial"/>
          <w:sz w:val="24"/>
          <w:szCs w:val="24"/>
        </w:rPr>
        <w:t xml:space="preserve">above </w:t>
      </w:r>
      <w:r w:rsidR="0032609A" w:rsidRPr="00233C47">
        <w:rPr>
          <w:rFonts w:ascii="Arial" w:hAnsi="Arial" w:cs="Arial"/>
          <w:sz w:val="24"/>
          <w:szCs w:val="24"/>
        </w:rPr>
        <w:t xml:space="preserve">decision reiterates the principle that </w:t>
      </w:r>
      <w:r w:rsidR="00046C2A" w:rsidRPr="00233C47">
        <w:rPr>
          <w:rFonts w:ascii="Arial" w:hAnsi="Arial" w:cs="Arial"/>
          <w:sz w:val="24"/>
          <w:szCs w:val="24"/>
        </w:rPr>
        <w:t>a</w:t>
      </w:r>
      <w:r w:rsidR="0036690C" w:rsidRPr="00233C47">
        <w:rPr>
          <w:rFonts w:ascii="Arial" w:hAnsi="Arial" w:cs="Arial"/>
          <w:sz w:val="24"/>
          <w:szCs w:val="24"/>
        </w:rPr>
        <w:t xml:space="preserve"> court must </w:t>
      </w:r>
      <w:r w:rsidR="0009433F" w:rsidRPr="00233C47">
        <w:rPr>
          <w:rFonts w:ascii="Arial" w:hAnsi="Arial" w:cs="Arial"/>
          <w:sz w:val="24"/>
          <w:szCs w:val="24"/>
        </w:rPr>
        <w:t>allow</w:t>
      </w:r>
      <w:r w:rsidR="0036690C" w:rsidRPr="00233C47">
        <w:rPr>
          <w:rFonts w:ascii="Arial" w:hAnsi="Arial" w:cs="Arial"/>
          <w:sz w:val="24"/>
          <w:szCs w:val="24"/>
        </w:rPr>
        <w:t xml:space="preserve"> </w:t>
      </w:r>
      <w:r w:rsidR="0009433F" w:rsidRPr="00233C47">
        <w:rPr>
          <w:rFonts w:ascii="Arial" w:hAnsi="Arial" w:cs="Arial"/>
          <w:sz w:val="24"/>
          <w:szCs w:val="24"/>
        </w:rPr>
        <w:t>a</w:t>
      </w:r>
      <w:r w:rsidR="00046C2A" w:rsidRPr="00233C47">
        <w:rPr>
          <w:rFonts w:ascii="Arial" w:hAnsi="Arial" w:cs="Arial"/>
          <w:sz w:val="24"/>
          <w:szCs w:val="24"/>
        </w:rPr>
        <w:t xml:space="preserve">n accused </w:t>
      </w:r>
      <w:r w:rsidR="00EE222E" w:rsidRPr="00233C47">
        <w:rPr>
          <w:rFonts w:ascii="Arial" w:hAnsi="Arial" w:cs="Arial"/>
          <w:sz w:val="24"/>
          <w:szCs w:val="24"/>
        </w:rPr>
        <w:t>a</w:t>
      </w:r>
      <w:r w:rsidR="003A1314" w:rsidRPr="00233C47">
        <w:rPr>
          <w:rFonts w:ascii="Arial" w:hAnsi="Arial" w:cs="Arial"/>
          <w:sz w:val="24"/>
          <w:szCs w:val="24"/>
        </w:rPr>
        <w:t xml:space="preserve"> proper</w:t>
      </w:r>
      <w:r w:rsidR="00EE222E" w:rsidRPr="00233C47">
        <w:rPr>
          <w:rFonts w:ascii="Arial" w:hAnsi="Arial" w:cs="Arial"/>
          <w:sz w:val="24"/>
          <w:szCs w:val="24"/>
        </w:rPr>
        <w:t xml:space="preserve"> opportunity </w:t>
      </w:r>
      <w:r w:rsidR="0009433F" w:rsidRPr="00233C47">
        <w:rPr>
          <w:rFonts w:ascii="Arial" w:hAnsi="Arial" w:cs="Arial"/>
          <w:sz w:val="24"/>
          <w:szCs w:val="24"/>
        </w:rPr>
        <w:t xml:space="preserve">to </w:t>
      </w:r>
      <w:r w:rsidR="003A1314" w:rsidRPr="00233C47">
        <w:rPr>
          <w:rFonts w:ascii="Arial" w:hAnsi="Arial" w:cs="Arial"/>
          <w:sz w:val="24"/>
          <w:szCs w:val="24"/>
        </w:rPr>
        <w:t xml:space="preserve">secure </w:t>
      </w:r>
      <w:r w:rsidR="006D4A7E" w:rsidRPr="00233C47">
        <w:rPr>
          <w:rFonts w:ascii="Arial" w:hAnsi="Arial" w:cs="Arial"/>
          <w:sz w:val="24"/>
          <w:szCs w:val="24"/>
        </w:rPr>
        <w:t>t</w:t>
      </w:r>
      <w:r w:rsidR="00CB6573" w:rsidRPr="00233C47">
        <w:rPr>
          <w:rFonts w:ascii="Arial" w:hAnsi="Arial" w:cs="Arial"/>
          <w:sz w:val="24"/>
          <w:szCs w:val="24"/>
        </w:rPr>
        <w:t xml:space="preserve">he services of a legal practitioner. </w:t>
      </w:r>
      <w:r w:rsidR="00934F18" w:rsidRPr="00233C47">
        <w:rPr>
          <w:rFonts w:ascii="Arial" w:hAnsi="Arial" w:cs="Arial"/>
          <w:sz w:val="24"/>
          <w:szCs w:val="24"/>
        </w:rPr>
        <w:t>If</w:t>
      </w:r>
      <w:r w:rsidR="00CB6573" w:rsidRPr="00233C47">
        <w:rPr>
          <w:rFonts w:ascii="Arial" w:hAnsi="Arial" w:cs="Arial"/>
          <w:sz w:val="24"/>
          <w:szCs w:val="24"/>
        </w:rPr>
        <w:t xml:space="preserve"> the practitioner </w:t>
      </w:r>
      <w:r w:rsidR="00A1403F" w:rsidRPr="00233C47">
        <w:rPr>
          <w:rFonts w:ascii="Arial" w:hAnsi="Arial" w:cs="Arial"/>
          <w:sz w:val="24"/>
          <w:szCs w:val="24"/>
        </w:rPr>
        <w:t xml:space="preserve">subsequently </w:t>
      </w:r>
      <w:r w:rsidR="00CB6573" w:rsidRPr="00233C47">
        <w:rPr>
          <w:rFonts w:ascii="Arial" w:hAnsi="Arial" w:cs="Arial"/>
          <w:sz w:val="24"/>
          <w:szCs w:val="24"/>
        </w:rPr>
        <w:t xml:space="preserve">withdraws, </w:t>
      </w:r>
      <w:r w:rsidR="0041303B" w:rsidRPr="00233C47">
        <w:rPr>
          <w:rFonts w:ascii="Arial" w:hAnsi="Arial" w:cs="Arial"/>
          <w:sz w:val="24"/>
          <w:szCs w:val="24"/>
        </w:rPr>
        <w:t>the</w:t>
      </w:r>
      <w:r w:rsidR="00934F18" w:rsidRPr="00233C47">
        <w:rPr>
          <w:rFonts w:ascii="Arial" w:hAnsi="Arial" w:cs="Arial"/>
          <w:sz w:val="24"/>
          <w:szCs w:val="24"/>
        </w:rPr>
        <w:t>n the</w:t>
      </w:r>
      <w:r w:rsidR="0041303B" w:rsidRPr="00233C47">
        <w:rPr>
          <w:rFonts w:ascii="Arial" w:hAnsi="Arial" w:cs="Arial"/>
          <w:sz w:val="24"/>
          <w:szCs w:val="24"/>
        </w:rPr>
        <w:t xml:space="preserve"> court must indicate to the accused that he or she can </w:t>
      </w:r>
      <w:r w:rsidR="00934F18" w:rsidRPr="00233C47">
        <w:rPr>
          <w:rFonts w:ascii="Arial" w:hAnsi="Arial" w:cs="Arial"/>
          <w:sz w:val="24"/>
          <w:szCs w:val="24"/>
        </w:rPr>
        <w:t xml:space="preserve">apply for a postponement to </w:t>
      </w:r>
      <w:r w:rsidR="007C5CFC" w:rsidRPr="00233C47">
        <w:rPr>
          <w:rFonts w:ascii="Arial" w:hAnsi="Arial" w:cs="Arial"/>
          <w:sz w:val="24"/>
          <w:szCs w:val="24"/>
        </w:rPr>
        <w:t xml:space="preserve">secure the </w:t>
      </w:r>
      <w:r w:rsidR="002C00D1" w:rsidRPr="00233C47">
        <w:rPr>
          <w:rFonts w:ascii="Arial" w:hAnsi="Arial" w:cs="Arial"/>
          <w:sz w:val="24"/>
          <w:szCs w:val="24"/>
        </w:rPr>
        <w:t>services</w:t>
      </w:r>
      <w:r w:rsidR="00934F18" w:rsidRPr="00233C47">
        <w:rPr>
          <w:rFonts w:ascii="Arial" w:hAnsi="Arial" w:cs="Arial"/>
          <w:sz w:val="24"/>
          <w:szCs w:val="24"/>
        </w:rPr>
        <w:t xml:space="preserve"> of another practitioner. </w:t>
      </w:r>
      <w:r w:rsidR="007616E4" w:rsidRPr="00233C47">
        <w:rPr>
          <w:rFonts w:ascii="Arial" w:hAnsi="Arial" w:cs="Arial"/>
          <w:sz w:val="24"/>
          <w:szCs w:val="24"/>
        </w:rPr>
        <w:t xml:space="preserve">Where </w:t>
      </w:r>
      <w:r w:rsidR="000872B7" w:rsidRPr="00233C47">
        <w:rPr>
          <w:rFonts w:ascii="Arial" w:hAnsi="Arial" w:cs="Arial"/>
          <w:sz w:val="24"/>
          <w:szCs w:val="24"/>
        </w:rPr>
        <w:t xml:space="preserve">the state </w:t>
      </w:r>
      <w:r w:rsidR="00F23C4F" w:rsidRPr="00233C47">
        <w:rPr>
          <w:rFonts w:ascii="Arial" w:hAnsi="Arial" w:cs="Arial"/>
          <w:sz w:val="24"/>
          <w:szCs w:val="24"/>
        </w:rPr>
        <w:t xml:space="preserve">provides a practitioner, </w:t>
      </w:r>
      <w:r w:rsidR="0015358F" w:rsidRPr="00233C47">
        <w:rPr>
          <w:rFonts w:ascii="Arial" w:hAnsi="Arial" w:cs="Arial"/>
          <w:sz w:val="24"/>
          <w:szCs w:val="24"/>
        </w:rPr>
        <w:t xml:space="preserve">e.g. </w:t>
      </w:r>
      <w:r w:rsidR="007616E4" w:rsidRPr="00233C47">
        <w:rPr>
          <w:rFonts w:ascii="Arial" w:hAnsi="Arial" w:cs="Arial"/>
          <w:sz w:val="24"/>
          <w:szCs w:val="24"/>
        </w:rPr>
        <w:t>a</w:t>
      </w:r>
      <w:r w:rsidR="0015358F" w:rsidRPr="00233C47">
        <w:rPr>
          <w:rFonts w:ascii="Arial" w:hAnsi="Arial" w:cs="Arial"/>
          <w:sz w:val="24"/>
          <w:szCs w:val="24"/>
        </w:rPr>
        <w:t>n attorney appointed by</w:t>
      </w:r>
      <w:r w:rsidR="007616E4" w:rsidRPr="00233C47">
        <w:rPr>
          <w:rFonts w:ascii="Arial" w:hAnsi="Arial" w:cs="Arial"/>
          <w:sz w:val="24"/>
          <w:szCs w:val="24"/>
        </w:rPr>
        <w:t xml:space="preserve"> </w:t>
      </w:r>
      <w:r w:rsidR="000C538C" w:rsidRPr="00233C47">
        <w:rPr>
          <w:rFonts w:ascii="Arial" w:hAnsi="Arial" w:cs="Arial"/>
          <w:sz w:val="24"/>
          <w:szCs w:val="24"/>
        </w:rPr>
        <w:t xml:space="preserve">the </w:t>
      </w:r>
      <w:r w:rsidR="000872B7" w:rsidRPr="00233C47">
        <w:rPr>
          <w:rFonts w:ascii="Arial" w:hAnsi="Arial" w:cs="Arial"/>
          <w:sz w:val="24"/>
          <w:szCs w:val="24"/>
        </w:rPr>
        <w:t>Legal Aid</w:t>
      </w:r>
      <w:r w:rsidR="000C538C" w:rsidRPr="00233C47">
        <w:rPr>
          <w:rFonts w:ascii="Arial" w:hAnsi="Arial" w:cs="Arial"/>
          <w:sz w:val="24"/>
          <w:szCs w:val="24"/>
        </w:rPr>
        <w:t xml:space="preserve"> Board, the accused </w:t>
      </w:r>
      <w:r w:rsidR="00443580" w:rsidRPr="00233C47">
        <w:rPr>
          <w:rFonts w:ascii="Arial" w:hAnsi="Arial" w:cs="Arial"/>
          <w:sz w:val="24"/>
          <w:szCs w:val="24"/>
        </w:rPr>
        <w:t xml:space="preserve">should accept </w:t>
      </w:r>
      <w:r w:rsidR="00DE3F0A" w:rsidRPr="00233C47">
        <w:rPr>
          <w:rFonts w:ascii="Arial" w:hAnsi="Arial" w:cs="Arial"/>
          <w:sz w:val="24"/>
          <w:szCs w:val="24"/>
        </w:rPr>
        <w:t xml:space="preserve">the </w:t>
      </w:r>
      <w:r w:rsidR="00024F98" w:rsidRPr="00233C47">
        <w:rPr>
          <w:rFonts w:ascii="Arial" w:hAnsi="Arial" w:cs="Arial"/>
          <w:sz w:val="24"/>
          <w:szCs w:val="24"/>
        </w:rPr>
        <w:t>services</w:t>
      </w:r>
      <w:r w:rsidR="00281A4C" w:rsidRPr="00233C47">
        <w:rPr>
          <w:rFonts w:ascii="Arial" w:hAnsi="Arial" w:cs="Arial"/>
          <w:sz w:val="24"/>
          <w:szCs w:val="24"/>
        </w:rPr>
        <w:t xml:space="preserve"> offered</w:t>
      </w:r>
      <w:r w:rsidR="00443580" w:rsidRPr="00233C47">
        <w:rPr>
          <w:rFonts w:ascii="Arial" w:hAnsi="Arial" w:cs="Arial"/>
          <w:sz w:val="24"/>
          <w:szCs w:val="24"/>
        </w:rPr>
        <w:t xml:space="preserve">; he or she does not have an </w:t>
      </w:r>
      <w:r w:rsidR="00D25D6B" w:rsidRPr="00233C47">
        <w:rPr>
          <w:rFonts w:ascii="Arial" w:hAnsi="Arial" w:cs="Arial"/>
          <w:sz w:val="24"/>
          <w:szCs w:val="24"/>
        </w:rPr>
        <w:t xml:space="preserve">automatic right to </w:t>
      </w:r>
      <w:r w:rsidR="00E56864" w:rsidRPr="00233C47">
        <w:rPr>
          <w:rFonts w:ascii="Arial" w:hAnsi="Arial" w:cs="Arial"/>
          <w:sz w:val="24"/>
          <w:szCs w:val="24"/>
        </w:rPr>
        <w:t>a</w:t>
      </w:r>
      <w:r w:rsidR="000C538C" w:rsidRPr="00233C47">
        <w:rPr>
          <w:rFonts w:ascii="Arial" w:hAnsi="Arial" w:cs="Arial"/>
          <w:sz w:val="24"/>
          <w:szCs w:val="24"/>
        </w:rPr>
        <w:t xml:space="preserve"> </w:t>
      </w:r>
      <w:r w:rsidR="000872B7" w:rsidRPr="00233C47">
        <w:rPr>
          <w:rFonts w:ascii="Arial" w:hAnsi="Arial" w:cs="Arial"/>
          <w:sz w:val="24"/>
          <w:szCs w:val="24"/>
        </w:rPr>
        <w:t>practitioner</w:t>
      </w:r>
      <w:r w:rsidR="00E56864" w:rsidRPr="00233C47">
        <w:rPr>
          <w:rFonts w:ascii="Arial" w:hAnsi="Arial" w:cs="Arial"/>
          <w:sz w:val="24"/>
          <w:szCs w:val="24"/>
        </w:rPr>
        <w:t xml:space="preserve"> of his or her </w:t>
      </w:r>
      <w:r w:rsidR="009C57D8" w:rsidRPr="00233C47">
        <w:rPr>
          <w:rFonts w:ascii="Arial" w:hAnsi="Arial" w:cs="Arial"/>
          <w:sz w:val="24"/>
          <w:szCs w:val="24"/>
        </w:rPr>
        <w:t xml:space="preserve">own </w:t>
      </w:r>
      <w:r w:rsidR="00E56864" w:rsidRPr="00233C47">
        <w:rPr>
          <w:rFonts w:ascii="Arial" w:hAnsi="Arial" w:cs="Arial"/>
          <w:sz w:val="24"/>
          <w:szCs w:val="24"/>
        </w:rPr>
        <w:t xml:space="preserve">choice </w:t>
      </w:r>
      <w:r w:rsidR="00BA61AD" w:rsidRPr="00233C47">
        <w:rPr>
          <w:rFonts w:ascii="Arial" w:hAnsi="Arial" w:cs="Arial"/>
          <w:sz w:val="24"/>
          <w:szCs w:val="24"/>
        </w:rPr>
        <w:t xml:space="preserve">in </w:t>
      </w:r>
      <w:r w:rsidR="00281A4C" w:rsidRPr="00233C47">
        <w:rPr>
          <w:rFonts w:ascii="Arial" w:hAnsi="Arial" w:cs="Arial"/>
          <w:sz w:val="24"/>
          <w:szCs w:val="24"/>
        </w:rPr>
        <w:t>such</w:t>
      </w:r>
      <w:r w:rsidR="00BA61AD" w:rsidRPr="00233C47">
        <w:rPr>
          <w:rFonts w:ascii="Arial" w:hAnsi="Arial" w:cs="Arial"/>
          <w:sz w:val="24"/>
          <w:szCs w:val="24"/>
        </w:rPr>
        <w:t xml:space="preserve"> circumstances.</w:t>
      </w:r>
      <w:r w:rsidR="000872B7" w:rsidRPr="00233C47">
        <w:rPr>
          <w:rFonts w:ascii="Arial" w:hAnsi="Arial" w:cs="Arial"/>
          <w:sz w:val="24"/>
          <w:szCs w:val="24"/>
        </w:rPr>
        <w:t xml:space="preserve"> </w:t>
      </w:r>
    </w:p>
    <w:p w14:paraId="0985EC19" w14:textId="77777777" w:rsidR="009D4A2C" w:rsidRDefault="009D4A2C" w:rsidP="009D4A2C">
      <w:pPr>
        <w:pStyle w:val="ListParagraph"/>
        <w:spacing w:line="360" w:lineRule="auto"/>
        <w:ind w:left="0"/>
        <w:jc w:val="both"/>
        <w:rPr>
          <w:rFonts w:ascii="Arial" w:hAnsi="Arial" w:cs="Arial"/>
          <w:sz w:val="24"/>
          <w:szCs w:val="24"/>
        </w:rPr>
      </w:pPr>
    </w:p>
    <w:p w14:paraId="0C6CF7F3" w14:textId="4D17DD74" w:rsidR="00C124DA" w:rsidRPr="00233C47" w:rsidRDefault="00233C47" w:rsidP="00233C47">
      <w:pPr>
        <w:spacing w:line="360" w:lineRule="auto"/>
        <w:jc w:val="both"/>
        <w:rPr>
          <w:rFonts w:ascii="Arial" w:hAnsi="Arial" w:cs="Arial"/>
          <w:sz w:val="24"/>
          <w:szCs w:val="24"/>
        </w:rPr>
      </w:pPr>
      <w:r w:rsidRPr="009D4A2C">
        <w:rPr>
          <w:rFonts w:ascii="Arial" w:hAnsi="Arial" w:cs="Arial"/>
          <w:sz w:val="24"/>
          <w:szCs w:val="24"/>
        </w:rPr>
        <w:t>[39]</w:t>
      </w:r>
      <w:r w:rsidRPr="009D4A2C">
        <w:rPr>
          <w:rFonts w:ascii="Arial" w:hAnsi="Arial" w:cs="Arial"/>
          <w:sz w:val="24"/>
          <w:szCs w:val="24"/>
        </w:rPr>
        <w:tab/>
      </w:r>
      <w:r w:rsidR="00CB4370" w:rsidRPr="00233C47">
        <w:rPr>
          <w:rFonts w:ascii="Arial" w:hAnsi="Arial" w:cs="Arial"/>
          <w:sz w:val="24"/>
          <w:szCs w:val="24"/>
        </w:rPr>
        <w:t>Counsel for the first and second respondents</w:t>
      </w:r>
      <w:r w:rsidR="0030651D" w:rsidRPr="00233C47">
        <w:rPr>
          <w:rFonts w:ascii="Arial" w:hAnsi="Arial" w:cs="Arial"/>
          <w:sz w:val="24"/>
          <w:szCs w:val="24"/>
        </w:rPr>
        <w:t xml:space="preserve">, in this regard, drew the court’s attention to </w:t>
      </w:r>
      <w:r w:rsidR="0013250A" w:rsidRPr="00233C47">
        <w:rPr>
          <w:rFonts w:ascii="Arial" w:hAnsi="Arial" w:cs="Arial"/>
          <w:sz w:val="24"/>
          <w:szCs w:val="24"/>
        </w:rPr>
        <w:t xml:space="preserve">the decision in </w:t>
      </w:r>
      <w:r w:rsidR="00C124DA" w:rsidRPr="00233C47">
        <w:rPr>
          <w:rFonts w:ascii="Arial" w:hAnsi="Arial" w:cs="Arial"/>
          <w:i/>
          <w:iCs/>
          <w:sz w:val="24"/>
          <w:szCs w:val="24"/>
        </w:rPr>
        <w:t>S v Halgryn</w:t>
      </w:r>
      <w:r w:rsidR="00C124DA" w:rsidRPr="00233C47">
        <w:rPr>
          <w:rFonts w:ascii="Arial" w:hAnsi="Arial" w:cs="Arial"/>
          <w:sz w:val="24"/>
          <w:szCs w:val="24"/>
        </w:rPr>
        <w:t>,</w:t>
      </w:r>
      <w:r w:rsidR="00C124DA">
        <w:rPr>
          <w:rStyle w:val="FootnoteReference"/>
          <w:rFonts w:ascii="Arial" w:hAnsi="Arial" w:cs="Arial"/>
          <w:sz w:val="24"/>
          <w:szCs w:val="24"/>
        </w:rPr>
        <w:footnoteReference w:id="18"/>
      </w:r>
      <w:r w:rsidR="00C124DA" w:rsidRPr="00233C47">
        <w:rPr>
          <w:rFonts w:ascii="Arial" w:hAnsi="Arial" w:cs="Arial"/>
          <w:sz w:val="24"/>
          <w:szCs w:val="24"/>
        </w:rPr>
        <w:t xml:space="preserve"> where Harms JA stated</w:t>
      </w:r>
      <w:r w:rsidR="00894C29" w:rsidRPr="00233C47">
        <w:rPr>
          <w:rFonts w:ascii="Arial" w:hAnsi="Arial" w:cs="Arial"/>
          <w:sz w:val="24"/>
          <w:szCs w:val="24"/>
        </w:rPr>
        <w:t>:</w:t>
      </w:r>
    </w:p>
    <w:p w14:paraId="45B0EFED" w14:textId="19B3FC47" w:rsidR="00894C29" w:rsidRPr="0083006D" w:rsidRDefault="00894C29" w:rsidP="009D4A2C">
      <w:pPr>
        <w:spacing w:line="360" w:lineRule="auto"/>
        <w:ind w:left="720"/>
        <w:jc w:val="both"/>
        <w:rPr>
          <w:rFonts w:ascii="Arial" w:hAnsi="Arial" w:cs="Arial"/>
          <w:sz w:val="20"/>
          <w:szCs w:val="20"/>
        </w:rPr>
      </w:pPr>
      <w:r w:rsidRPr="0083006D">
        <w:rPr>
          <w:rFonts w:ascii="Arial" w:hAnsi="Arial" w:cs="Arial"/>
          <w:sz w:val="20"/>
          <w:szCs w:val="20"/>
        </w:rPr>
        <w:t>‘…Although the right to choose a legal representative is a fundamental right and one to be zealously protected by the courts, it is not an absolute right and is subject to reasonable limitations… It presupposes that the accused can make the necessary financial or other arrangements for engaging the services of the chosen lawyer and, furthermore, that the lawyer is readily available to perform the mandate, having due regard to the court’s organization and the prompt despatch of the business of the court. An accused cannot, through the choice of any particular counsel, ignore all other considerations… and the convenience of counsel is not overriding…</w:t>
      </w:r>
    </w:p>
    <w:p w14:paraId="636307E3" w14:textId="28E1F27B" w:rsidR="00894C29" w:rsidRPr="0083006D" w:rsidRDefault="00894C29" w:rsidP="009D4A2C">
      <w:pPr>
        <w:spacing w:line="360" w:lineRule="auto"/>
        <w:ind w:left="720"/>
        <w:jc w:val="both"/>
        <w:rPr>
          <w:rFonts w:ascii="Arial" w:hAnsi="Arial" w:cs="Arial"/>
          <w:sz w:val="20"/>
          <w:szCs w:val="20"/>
        </w:rPr>
      </w:pPr>
      <w:r w:rsidRPr="0083006D">
        <w:rPr>
          <w:rFonts w:ascii="Arial" w:hAnsi="Arial" w:cs="Arial"/>
          <w:sz w:val="20"/>
          <w:szCs w:val="20"/>
        </w:rPr>
        <w:lastRenderedPageBreak/>
        <w:t xml:space="preserve">…If a legal representative is assigned by the State, the accused has little choice. The accused cannot demand that the State assign to him counsel of his choice. That does not mean that he may object to a particular representative, but the grounds upon which it can take place are severely limited. Conflict of interest is one and incompetence may be one, but one has to act on the assumption that a duly admitted lawyer is competent. In this case the appellant did not object to the appointment of </w:t>
      </w:r>
      <w:r w:rsidR="0083006D" w:rsidRPr="0083006D">
        <w:rPr>
          <w:rFonts w:ascii="Arial" w:hAnsi="Arial" w:cs="Arial"/>
          <w:sz w:val="20"/>
          <w:szCs w:val="20"/>
        </w:rPr>
        <w:t>Mr H and it does not appear that he had any grounds for doing so; on the contrary, after conviction he even instructed Mr H to note an appeal on his behalf. It follows that the reliance on the right to a specific counsel is misplaced.’</w:t>
      </w:r>
      <w:r w:rsidR="0083006D" w:rsidRPr="0083006D">
        <w:rPr>
          <w:rStyle w:val="FootnoteReference"/>
          <w:rFonts w:ascii="Arial" w:hAnsi="Arial" w:cs="Arial"/>
          <w:sz w:val="20"/>
          <w:szCs w:val="20"/>
        </w:rPr>
        <w:footnoteReference w:id="19"/>
      </w:r>
    </w:p>
    <w:p w14:paraId="0F4AE6DC" w14:textId="77777777" w:rsidR="0083006D" w:rsidRDefault="0083006D" w:rsidP="00C213C8">
      <w:pPr>
        <w:spacing w:line="360" w:lineRule="auto"/>
        <w:rPr>
          <w:rFonts w:ascii="Arial" w:hAnsi="Arial" w:cs="Arial"/>
          <w:i/>
          <w:iCs/>
          <w:sz w:val="24"/>
          <w:szCs w:val="24"/>
        </w:rPr>
      </w:pPr>
    </w:p>
    <w:p w14:paraId="2556CF41" w14:textId="4117B79D" w:rsidR="00DC77EA" w:rsidRPr="00233C47" w:rsidRDefault="00233C47" w:rsidP="00233C47">
      <w:pPr>
        <w:spacing w:line="360" w:lineRule="auto"/>
        <w:jc w:val="both"/>
        <w:rPr>
          <w:rFonts w:ascii="Arial" w:hAnsi="Arial" w:cs="Arial"/>
          <w:sz w:val="24"/>
          <w:szCs w:val="24"/>
        </w:rPr>
      </w:pPr>
      <w:r w:rsidRPr="00D23896">
        <w:rPr>
          <w:rFonts w:ascii="Arial" w:hAnsi="Arial" w:cs="Arial"/>
          <w:sz w:val="24"/>
          <w:szCs w:val="24"/>
        </w:rPr>
        <w:t>[40]</w:t>
      </w:r>
      <w:r w:rsidRPr="00D23896">
        <w:rPr>
          <w:rFonts w:ascii="Arial" w:hAnsi="Arial" w:cs="Arial"/>
          <w:sz w:val="24"/>
          <w:szCs w:val="24"/>
        </w:rPr>
        <w:tab/>
      </w:r>
      <w:r w:rsidR="004D202E" w:rsidRPr="00233C47">
        <w:rPr>
          <w:rFonts w:ascii="Arial" w:hAnsi="Arial" w:cs="Arial"/>
          <w:sz w:val="24"/>
          <w:szCs w:val="24"/>
        </w:rPr>
        <w:t xml:space="preserve">The Supreme Court of Appeal made it abundantly clear that the right to choose a legal practitioner is subject to reasonable limitations. It is not an absolute right. An accused does not enjoy </w:t>
      </w:r>
      <w:r w:rsidR="00DC77EA" w:rsidRPr="00233C47">
        <w:rPr>
          <w:rFonts w:ascii="Arial" w:hAnsi="Arial" w:cs="Arial"/>
          <w:sz w:val="24"/>
          <w:szCs w:val="24"/>
        </w:rPr>
        <w:t>a great deal of</w:t>
      </w:r>
      <w:r w:rsidR="004D202E" w:rsidRPr="00233C47">
        <w:rPr>
          <w:rFonts w:ascii="Arial" w:hAnsi="Arial" w:cs="Arial"/>
          <w:sz w:val="24"/>
          <w:szCs w:val="24"/>
        </w:rPr>
        <w:t xml:space="preserve"> leeway where the state has provided a practitioner</w:t>
      </w:r>
      <w:r w:rsidR="00DC77EA" w:rsidRPr="00233C47">
        <w:rPr>
          <w:rFonts w:ascii="Arial" w:hAnsi="Arial" w:cs="Arial"/>
          <w:sz w:val="24"/>
          <w:szCs w:val="24"/>
        </w:rPr>
        <w:t xml:space="preserve">; </w:t>
      </w:r>
      <w:r w:rsidR="004D202E" w:rsidRPr="00233C47">
        <w:rPr>
          <w:rFonts w:ascii="Arial" w:hAnsi="Arial" w:cs="Arial"/>
          <w:sz w:val="24"/>
          <w:szCs w:val="24"/>
        </w:rPr>
        <w:t xml:space="preserve">the circumstances under which the accused can refuse </w:t>
      </w:r>
      <w:r w:rsidR="00DC77EA" w:rsidRPr="00233C47">
        <w:rPr>
          <w:rFonts w:ascii="Arial" w:hAnsi="Arial" w:cs="Arial"/>
          <w:sz w:val="24"/>
          <w:szCs w:val="24"/>
        </w:rPr>
        <w:t xml:space="preserve">such practitioner’s </w:t>
      </w:r>
      <w:r w:rsidR="004D202E" w:rsidRPr="00233C47">
        <w:rPr>
          <w:rFonts w:ascii="Arial" w:hAnsi="Arial" w:cs="Arial"/>
          <w:sz w:val="24"/>
          <w:szCs w:val="24"/>
        </w:rPr>
        <w:t>services are very</w:t>
      </w:r>
      <w:r w:rsidR="00DC77EA" w:rsidRPr="00233C47">
        <w:rPr>
          <w:rFonts w:ascii="Arial" w:hAnsi="Arial" w:cs="Arial"/>
          <w:sz w:val="24"/>
          <w:szCs w:val="24"/>
        </w:rPr>
        <w:t xml:space="preserve"> few. This approach was clearly endorsed by the Constitutional Court in </w:t>
      </w:r>
      <w:r w:rsidR="00DC77EA" w:rsidRPr="00233C47">
        <w:rPr>
          <w:rFonts w:ascii="Arial" w:hAnsi="Arial" w:cs="Arial"/>
          <w:i/>
          <w:iCs/>
          <w:sz w:val="24"/>
          <w:szCs w:val="24"/>
        </w:rPr>
        <w:t>Ramabele</w:t>
      </w:r>
      <w:r w:rsidR="00DC77EA" w:rsidRPr="00233C47">
        <w:rPr>
          <w:rFonts w:ascii="Arial" w:hAnsi="Arial" w:cs="Arial"/>
          <w:sz w:val="24"/>
          <w:szCs w:val="24"/>
        </w:rPr>
        <w:t>, to which the applicant’s attorney referred.</w:t>
      </w:r>
      <w:r w:rsidR="00E31316">
        <w:rPr>
          <w:rStyle w:val="FootnoteReference"/>
          <w:rFonts w:ascii="Arial" w:hAnsi="Arial" w:cs="Arial"/>
          <w:sz w:val="24"/>
          <w:szCs w:val="24"/>
        </w:rPr>
        <w:footnoteReference w:id="20"/>
      </w:r>
    </w:p>
    <w:p w14:paraId="623FB2A9" w14:textId="22061988" w:rsidR="00D23896" w:rsidRPr="00233C47" w:rsidRDefault="00233C47" w:rsidP="00233C47">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DC77EA" w:rsidRPr="00233C47">
        <w:rPr>
          <w:rFonts w:ascii="Arial" w:hAnsi="Arial" w:cs="Arial"/>
          <w:sz w:val="24"/>
          <w:szCs w:val="24"/>
        </w:rPr>
        <w:t>T</w:t>
      </w:r>
      <w:r w:rsidR="0083006D" w:rsidRPr="00233C47">
        <w:rPr>
          <w:rFonts w:ascii="Arial" w:hAnsi="Arial" w:cs="Arial"/>
          <w:sz w:val="24"/>
          <w:szCs w:val="24"/>
        </w:rPr>
        <w:t xml:space="preserve">he court’s attention was </w:t>
      </w:r>
      <w:r w:rsidR="00DC77EA" w:rsidRPr="00233C47">
        <w:rPr>
          <w:rFonts w:ascii="Arial" w:hAnsi="Arial" w:cs="Arial"/>
          <w:sz w:val="24"/>
          <w:szCs w:val="24"/>
        </w:rPr>
        <w:t xml:space="preserve">also </w:t>
      </w:r>
      <w:r w:rsidR="0083006D" w:rsidRPr="00233C47">
        <w:rPr>
          <w:rFonts w:ascii="Arial" w:hAnsi="Arial" w:cs="Arial"/>
          <w:sz w:val="24"/>
          <w:szCs w:val="24"/>
        </w:rPr>
        <w:t>drawn to</w:t>
      </w:r>
      <w:r w:rsidR="0083006D" w:rsidRPr="00233C47">
        <w:rPr>
          <w:rFonts w:ascii="Arial" w:hAnsi="Arial" w:cs="Arial"/>
          <w:i/>
          <w:iCs/>
          <w:sz w:val="24"/>
          <w:szCs w:val="24"/>
        </w:rPr>
        <w:t xml:space="preserve"> </w:t>
      </w:r>
      <w:r w:rsidR="0013250A" w:rsidRPr="00233C47">
        <w:rPr>
          <w:rFonts w:ascii="Arial" w:hAnsi="Arial" w:cs="Arial"/>
          <w:i/>
          <w:iCs/>
          <w:sz w:val="24"/>
          <w:szCs w:val="24"/>
        </w:rPr>
        <w:t>S v Shiburi</w:t>
      </w:r>
      <w:r w:rsidR="0013250A" w:rsidRPr="00233C47">
        <w:rPr>
          <w:rFonts w:ascii="Arial" w:hAnsi="Arial" w:cs="Arial"/>
          <w:sz w:val="24"/>
          <w:szCs w:val="24"/>
        </w:rPr>
        <w:t>,</w:t>
      </w:r>
      <w:r w:rsidR="0013250A">
        <w:rPr>
          <w:rStyle w:val="FootnoteReference"/>
          <w:rFonts w:ascii="Arial" w:hAnsi="Arial" w:cs="Arial"/>
          <w:sz w:val="24"/>
          <w:szCs w:val="24"/>
        </w:rPr>
        <w:footnoteReference w:id="21"/>
      </w:r>
      <w:r w:rsidR="0013250A" w:rsidRPr="00233C47">
        <w:rPr>
          <w:rFonts w:ascii="Arial" w:hAnsi="Arial" w:cs="Arial"/>
          <w:sz w:val="24"/>
          <w:szCs w:val="24"/>
        </w:rPr>
        <w:t xml:space="preserve"> where </w:t>
      </w:r>
      <w:r w:rsidR="0065341B" w:rsidRPr="00233C47">
        <w:rPr>
          <w:rFonts w:ascii="Arial" w:hAnsi="Arial" w:cs="Arial"/>
          <w:sz w:val="24"/>
          <w:szCs w:val="24"/>
        </w:rPr>
        <w:t xml:space="preserve">Makgoka AJA held that </w:t>
      </w:r>
      <w:r w:rsidR="00117629" w:rsidRPr="00233C47">
        <w:rPr>
          <w:rFonts w:ascii="Arial" w:hAnsi="Arial" w:cs="Arial"/>
          <w:sz w:val="24"/>
          <w:szCs w:val="24"/>
        </w:rPr>
        <w:t xml:space="preserve">the principle regarding legal representation was </w:t>
      </w:r>
      <w:r w:rsidR="00025EED" w:rsidRPr="00233C47">
        <w:rPr>
          <w:rFonts w:ascii="Arial" w:hAnsi="Arial" w:cs="Arial"/>
          <w:sz w:val="24"/>
          <w:szCs w:val="24"/>
        </w:rPr>
        <w:t>context sensitive</w:t>
      </w:r>
      <w:r w:rsidR="00117629" w:rsidRPr="00233C47">
        <w:rPr>
          <w:rFonts w:ascii="Arial" w:hAnsi="Arial" w:cs="Arial"/>
          <w:sz w:val="24"/>
          <w:szCs w:val="24"/>
        </w:rPr>
        <w:t xml:space="preserve">. </w:t>
      </w:r>
      <w:r w:rsidR="00025EED" w:rsidRPr="00233C47">
        <w:rPr>
          <w:rFonts w:ascii="Arial" w:hAnsi="Arial" w:cs="Arial"/>
          <w:sz w:val="24"/>
          <w:szCs w:val="24"/>
        </w:rPr>
        <w:t xml:space="preserve">In any given situation, the enquiry was always whether the accused’s right to a fair trial </w:t>
      </w:r>
      <w:r w:rsidR="00DD3763" w:rsidRPr="00233C47">
        <w:rPr>
          <w:rFonts w:ascii="Arial" w:hAnsi="Arial" w:cs="Arial"/>
          <w:sz w:val="24"/>
          <w:szCs w:val="24"/>
        </w:rPr>
        <w:t>had been infringed.</w:t>
      </w:r>
      <w:r w:rsidR="00DD3763">
        <w:rPr>
          <w:rStyle w:val="FootnoteReference"/>
          <w:rFonts w:ascii="Arial" w:hAnsi="Arial" w:cs="Arial"/>
          <w:sz w:val="24"/>
          <w:szCs w:val="24"/>
        </w:rPr>
        <w:footnoteReference w:id="22"/>
      </w:r>
      <w:r w:rsidR="0003141F" w:rsidRPr="00233C47">
        <w:rPr>
          <w:rFonts w:ascii="Arial" w:hAnsi="Arial" w:cs="Arial"/>
          <w:sz w:val="24"/>
          <w:szCs w:val="24"/>
        </w:rPr>
        <w:t xml:space="preserve"> </w:t>
      </w:r>
    </w:p>
    <w:p w14:paraId="1C147EB4" w14:textId="77777777" w:rsidR="00D23896" w:rsidRDefault="00D23896" w:rsidP="00D23896">
      <w:pPr>
        <w:pStyle w:val="ListParagraph"/>
        <w:spacing w:line="360" w:lineRule="auto"/>
        <w:ind w:left="0"/>
        <w:jc w:val="both"/>
        <w:rPr>
          <w:rFonts w:ascii="Arial" w:hAnsi="Arial" w:cs="Arial"/>
          <w:sz w:val="24"/>
          <w:szCs w:val="24"/>
        </w:rPr>
      </w:pPr>
    </w:p>
    <w:p w14:paraId="18009F80" w14:textId="5102496A" w:rsidR="008B0F32" w:rsidRPr="00233C47" w:rsidRDefault="00233C47" w:rsidP="00233C47">
      <w:pPr>
        <w:spacing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03141F" w:rsidRPr="00233C47">
        <w:rPr>
          <w:rFonts w:ascii="Arial" w:hAnsi="Arial" w:cs="Arial"/>
          <w:sz w:val="24"/>
          <w:szCs w:val="24"/>
        </w:rPr>
        <w:t>In the present matter,</w:t>
      </w:r>
      <w:r w:rsidR="000A5840" w:rsidRPr="00233C47">
        <w:rPr>
          <w:rFonts w:ascii="Arial" w:hAnsi="Arial" w:cs="Arial"/>
          <w:sz w:val="24"/>
          <w:szCs w:val="24"/>
        </w:rPr>
        <w:t xml:space="preserve"> the applicant was </w:t>
      </w:r>
      <w:r w:rsidR="00281A4C" w:rsidRPr="00233C47">
        <w:rPr>
          <w:rFonts w:ascii="Arial" w:hAnsi="Arial" w:cs="Arial"/>
          <w:sz w:val="24"/>
          <w:szCs w:val="24"/>
        </w:rPr>
        <w:t xml:space="preserve">not </w:t>
      </w:r>
      <w:r w:rsidR="000A5840" w:rsidRPr="00233C47">
        <w:rPr>
          <w:rFonts w:ascii="Arial" w:hAnsi="Arial" w:cs="Arial"/>
          <w:sz w:val="24"/>
          <w:szCs w:val="24"/>
        </w:rPr>
        <w:t xml:space="preserve">unrepresented. </w:t>
      </w:r>
      <w:r w:rsidR="009B3D8D" w:rsidRPr="00233C47">
        <w:rPr>
          <w:rFonts w:ascii="Arial" w:hAnsi="Arial" w:cs="Arial"/>
          <w:sz w:val="24"/>
          <w:szCs w:val="24"/>
        </w:rPr>
        <w:t xml:space="preserve">The Legal Aid Board had appointed an </w:t>
      </w:r>
      <w:r w:rsidR="000A5840" w:rsidRPr="00233C47">
        <w:rPr>
          <w:rFonts w:ascii="Arial" w:hAnsi="Arial" w:cs="Arial"/>
          <w:sz w:val="24"/>
          <w:szCs w:val="24"/>
        </w:rPr>
        <w:t xml:space="preserve">attorney, Mr Greeff, </w:t>
      </w:r>
      <w:r w:rsidR="009B3D8D" w:rsidRPr="00233C47">
        <w:rPr>
          <w:rFonts w:ascii="Arial" w:hAnsi="Arial" w:cs="Arial"/>
          <w:sz w:val="24"/>
          <w:szCs w:val="24"/>
        </w:rPr>
        <w:t xml:space="preserve">who </w:t>
      </w:r>
      <w:r w:rsidR="000A5840" w:rsidRPr="00233C47">
        <w:rPr>
          <w:rFonts w:ascii="Arial" w:hAnsi="Arial" w:cs="Arial"/>
          <w:sz w:val="24"/>
          <w:szCs w:val="24"/>
        </w:rPr>
        <w:t xml:space="preserve">was present </w:t>
      </w:r>
      <w:r w:rsidR="009B3D8D" w:rsidRPr="00233C47">
        <w:rPr>
          <w:rFonts w:ascii="Arial" w:hAnsi="Arial" w:cs="Arial"/>
          <w:sz w:val="24"/>
          <w:szCs w:val="24"/>
        </w:rPr>
        <w:t>at the time of the incident in question</w:t>
      </w:r>
      <w:r w:rsidR="000A5840" w:rsidRPr="00233C47">
        <w:rPr>
          <w:rFonts w:ascii="Arial" w:hAnsi="Arial" w:cs="Arial"/>
          <w:sz w:val="24"/>
          <w:szCs w:val="24"/>
        </w:rPr>
        <w:t>. The applicant was, moreover, not dissatisfied with Mr Greeff and had no problem with his continued involvement for the purposes of trial.</w:t>
      </w:r>
      <w:r w:rsidR="00D106F7" w:rsidRPr="00233C47">
        <w:rPr>
          <w:rFonts w:ascii="Arial" w:hAnsi="Arial" w:cs="Arial"/>
          <w:sz w:val="24"/>
          <w:szCs w:val="24"/>
        </w:rPr>
        <w:t xml:space="preserve"> At no stage </w:t>
      </w:r>
      <w:r w:rsidR="000C0A61" w:rsidRPr="00233C47">
        <w:rPr>
          <w:rFonts w:ascii="Arial" w:hAnsi="Arial" w:cs="Arial"/>
          <w:sz w:val="24"/>
          <w:szCs w:val="24"/>
        </w:rPr>
        <w:t>has</w:t>
      </w:r>
      <w:r w:rsidR="00392A17" w:rsidRPr="00233C47">
        <w:rPr>
          <w:rFonts w:ascii="Arial" w:hAnsi="Arial" w:cs="Arial"/>
          <w:sz w:val="24"/>
          <w:szCs w:val="24"/>
        </w:rPr>
        <w:t xml:space="preserve"> </w:t>
      </w:r>
      <w:r w:rsidR="00D106F7" w:rsidRPr="00233C47">
        <w:rPr>
          <w:rFonts w:ascii="Arial" w:hAnsi="Arial" w:cs="Arial"/>
          <w:sz w:val="24"/>
          <w:szCs w:val="24"/>
        </w:rPr>
        <w:t xml:space="preserve">the applicant ever </w:t>
      </w:r>
      <w:r w:rsidR="000C0A61" w:rsidRPr="00233C47">
        <w:rPr>
          <w:rFonts w:ascii="Arial" w:hAnsi="Arial" w:cs="Arial"/>
          <w:sz w:val="24"/>
          <w:szCs w:val="24"/>
        </w:rPr>
        <w:t xml:space="preserve">contended that </w:t>
      </w:r>
      <w:r w:rsidR="00D54C9C" w:rsidRPr="00233C47">
        <w:rPr>
          <w:rFonts w:ascii="Arial" w:hAnsi="Arial" w:cs="Arial"/>
          <w:sz w:val="24"/>
          <w:szCs w:val="24"/>
        </w:rPr>
        <w:t xml:space="preserve">Mr Greeff’s expertise was </w:t>
      </w:r>
      <w:r w:rsidR="004A4A7C" w:rsidRPr="00233C47">
        <w:rPr>
          <w:rFonts w:ascii="Arial" w:hAnsi="Arial" w:cs="Arial"/>
          <w:sz w:val="24"/>
          <w:szCs w:val="24"/>
        </w:rPr>
        <w:t>inadequate</w:t>
      </w:r>
      <w:r w:rsidR="00ED16AB" w:rsidRPr="00233C47">
        <w:rPr>
          <w:rFonts w:ascii="Arial" w:hAnsi="Arial" w:cs="Arial"/>
          <w:sz w:val="24"/>
          <w:szCs w:val="24"/>
        </w:rPr>
        <w:t xml:space="preserve"> or that his </w:t>
      </w:r>
      <w:r w:rsidR="0061688D" w:rsidRPr="00233C47">
        <w:rPr>
          <w:rFonts w:ascii="Arial" w:hAnsi="Arial" w:cs="Arial"/>
          <w:sz w:val="24"/>
          <w:szCs w:val="24"/>
        </w:rPr>
        <w:t xml:space="preserve">involvement resulted in </w:t>
      </w:r>
      <w:r w:rsidR="00BE55D7" w:rsidRPr="00233C47">
        <w:rPr>
          <w:rFonts w:ascii="Arial" w:hAnsi="Arial" w:cs="Arial"/>
          <w:sz w:val="24"/>
          <w:szCs w:val="24"/>
        </w:rPr>
        <w:t xml:space="preserve">the infringement </w:t>
      </w:r>
      <w:r w:rsidR="00BA5597" w:rsidRPr="00233C47">
        <w:rPr>
          <w:rFonts w:ascii="Arial" w:hAnsi="Arial" w:cs="Arial"/>
          <w:sz w:val="24"/>
          <w:szCs w:val="24"/>
        </w:rPr>
        <w:t xml:space="preserve">of the applicant’s right to </w:t>
      </w:r>
      <w:r w:rsidR="00D10003" w:rsidRPr="00233C47">
        <w:rPr>
          <w:rFonts w:ascii="Arial" w:hAnsi="Arial" w:cs="Arial"/>
          <w:sz w:val="24"/>
          <w:szCs w:val="24"/>
        </w:rPr>
        <w:t xml:space="preserve">a </w:t>
      </w:r>
      <w:r w:rsidR="002F2D14" w:rsidRPr="00233C47">
        <w:rPr>
          <w:rFonts w:ascii="Arial" w:hAnsi="Arial" w:cs="Arial"/>
          <w:sz w:val="24"/>
          <w:szCs w:val="24"/>
        </w:rPr>
        <w:t xml:space="preserve">fair trial in any </w:t>
      </w:r>
      <w:r w:rsidR="006B2A4C" w:rsidRPr="00233C47">
        <w:rPr>
          <w:rFonts w:ascii="Arial" w:hAnsi="Arial" w:cs="Arial"/>
          <w:sz w:val="24"/>
          <w:szCs w:val="24"/>
        </w:rPr>
        <w:t>other manner.</w:t>
      </w:r>
      <w:r w:rsidR="007C5CFC" w:rsidRPr="00233C47">
        <w:rPr>
          <w:rFonts w:ascii="Arial" w:hAnsi="Arial" w:cs="Arial"/>
          <w:sz w:val="24"/>
          <w:szCs w:val="24"/>
        </w:rPr>
        <w:t xml:space="preserve"> </w:t>
      </w:r>
    </w:p>
    <w:p w14:paraId="6AF3C21F" w14:textId="77777777" w:rsidR="008B0F32" w:rsidRPr="008B0F32" w:rsidRDefault="008B0F32" w:rsidP="008B0F32">
      <w:pPr>
        <w:pStyle w:val="ListParagraph"/>
        <w:rPr>
          <w:rFonts w:ascii="Arial" w:hAnsi="Arial" w:cs="Arial"/>
          <w:sz w:val="24"/>
          <w:szCs w:val="24"/>
        </w:rPr>
      </w:pPr>
    </w:p>
    <w:p w14:paraId="36DA5ECD" w14:textId="0444A197" w:rsidR="000A5840" w:rsidRPr="00233C47" w:rsidRDefault="00233C47" w:rsidP="00233C47">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7C5CFC" w:rsidRPr="00233C47">
        <w:rPr>
          <w:rFonts w:ascii="Arial" w:hAnsi="Arial" w:cs="Arial"/>
          <w:sz w:val="24"/>
          <w:szCs w:val="24"/>
        </w:rPr>
        <w:t xml:space="preserve">A distinction must be </w:t>
      </w:r>
      <w:r w:rsidR="00DC77EA" w:rsidRPr="00233C47">
        <w:rPr>
          <w:rFonts w:ascii="Arial" w:hAnsi="Arial" w:cs="Arial"/>
          <w:sz w:val="24"/>
          <w:szCs w:val="24"/>
        </w:rPr>
        <w:t>drawn</w:t>
      </w:r>
      <w:r w:rsidR="007C5CFC" w:rsidRPr="00233C47">
        <w:rPr>
          <w:rFonts w:ascii="Arial" w:hAnsi="Arial" w:cs="Arial"/>
          <w:sz w:val="24"/>
          <w:szCs w:val="24"/>
        </w:rPr>
        <w:t xml:space="preserve"> between a right and a preference. The applicant had a right to choose and to be represented by a legal practitioner. </w:t>
      </w:r>
      <w:r w:rsidR="002362AD" w:rsidRPr="00233C47">
        <w:rPr>
          <w:rFonts w:ascii="Arial" w:hAnsi="Arial" w:cs="Arial"/>
          <w:sz w:val="24"/>
          <w:szCs w:val="24"/>
        </w:rPr>
        <w:t xml:space="preserve">If the right is to be given real </w:t>
      </w:r>
      <w:r w:rsidR="009F3364" w:rsidRPr="00233C47">
        <w:rPr>
          <w:rFonts w:ascii="Arial" w:hAnsi="Arial" w:cs="Arial"/>
          <w:sz w:val="24"/>
          <w:szCs w:val="24"/>
        </w:rPr>
        <w:t>effect,</w:t>
      </w:r>
      <w:r w:rsidR="002362AD" w:rsidRPr="00233C47">
        <w:rPr>
          <w:rFonts w:ascii="Arial" w:hAnsi="Arial" w:cs="Arial"/>
          <w:sz w:val="24"/>
          <w:szCs w:val="24"/>
        </w:rPr>
        <w:t xml:space="preserve"> then it should be understood as encompassing the services of a qualified practitioner,</w:t>
      </w:r>
      <w:r w:rsidR="009B3D8D" w:rsidRPr="009B3D8D">
        <w:rPr>
          <w:vertAlign w:val="superscript"/>
        </w:rPr>
        <w:footnoteReference w:id="23"/>
      </w:r>
      <w:r w:rsidR="009B3D8D" w:rsidRPr="00233C47">
        <w:rPr>
          <w:rFonts w:ascii="Arial" w:hAnsi="Arial" w:cs="Arial"/>
          <w:sz w:val="24"/>
          <w:szCs w:val="24"/>
        </w:rPr>
        <w:t xml:space="preserve"> </w:t>
      </w:r>
      <w:r w:rsidR="002362AD" w:rsidRPr="00233C47">
        <w:rPr>
          <w:rFonts w:ascii="Arial" w:hAnsi="Arial" w:cs="Arial"/>
          <w:sz w:val="24"/>
          <w:szCs w:val="24"/>
        </w:rPr>
        <w:t>provided at a</w:t>
      </w:r>
      <w:r w:rsidR="009B3D8D" w:rsidRPr="00233C47">
        <w:rPr>
          <w:rFonts w:ascii="Arial" w:hAnsi="Arial" w:cs="Arial"/>
          <w:sz w:val="24"/>
          <w:szCs w:val="24"/>
        </w:rPr>
        <w:t xml:space="preserve"> satisfactory</w:t>
      </w:r>
      <w:r w:rsidR="002362AD" w:rsidRPr="00233C47">
        <w:rPr>
          <w:rFonts w:ascii="Arial" w:hAnsi="Arial" w:cs="Arial"/>
          <w:sz w:val="24"/>
          <w:szCs w:val="24"/>
        </w:rPr>
        <w:t xml:space="preserve"> level.</w:t>
      </w:r>
      <w:r w:rsidR="009B3D8D">
        <w:rPr>
          <w:rStyle w:val="FootnoteReference"/>
          <w:rFonts w:ascii="Arial" w:hAnsi="Arial" w:cs="Arial"/>
          <w:sz w:val="24"/>
          <w:szCs w:val="24"/>
        </w:rPr>
        <w:footnoteReference w:id="24"/>
      </w:r>
      <w:r w:rsidR="009F3364" w:rsidRPr="00233C47">
        <w:rPr>
          <w:rFonts w:ascii="Arial" w:hAnsi="Arial" w:cs="Arial"/>
          <w:sz w:val="24"/>
          <w:szCs w:val="24"/>
        </w:rPr>
        <w:t xml:space="preserve"> The applicant </w:t>
      </w:r>
      <w:r w:rsidR="001657B0" w:rsidRPr="00233C47">
        <w:rPr>
          <w:rFonts w:ascii="Arial" w:hAnsi="Arial" w:cs="Arial"/>
          <w:sz w:val="24"/>
          <w:szCs w:val="24"/>
        </w:rPr>
        <w:t xml:space="preserve">in the present matter </w:t>
      </w:r>
      <w:r w:rsidR="009F3364" w:rsidRPr="00233C47">
        <w:rPr>
          <w:rFonts w:ascii="Arial" w:hAnsi="Arial" w:cs="Arial"/>
          <w:sz w:val="24"/>
          <w:szCs w:val="24"/>
        </w:rPr>
        <w:t xml:space="preserve">may have had a greater liking for a particular practitioner but that did not </w:t>
      </w:r>
      <w:r w:rsidR="006A4946" w:rsidRPr="00233C47">
        <w:rPr>
          <w:rFonts w:ascii="Arial" w:hAnsi="Arial" w:cs="Arial"/>
          <w:sz w:val="24"/>
          <w:szCs w:val="24"/>
        </w:rPr>
        <w:t>g</w:t>
      </w:r>
      <w:r w:rsidR="009B3D8D" w:rsidRPr="00233C47">
        <w:rPr>
          <w:rFonts w:ascii="Arial" w:hAnsi="Arial" w:cs="Arial"/>
          <w:sz w:val="24"/>
          <w:szCs w:val="24"/>
        </w:rPr>
        <w:t>i</w:t>
      </w:r>
      <w:r w:rsidR="006A4946" w:rsidRPr="00233C47">
        <w:rPr>
          <w:rFonts w:ascii="Arial" w:hAnsi="Arial" w:cs="Arial"/>
          <w:sz w:val="24"/>
          <w:szCs w:val="24"/>
        </w:rPr>
        <w:t>ve rise to</w:t>
      </w:r>
      <w:r w:rsidR="001657B0" w:rsidRPr="00233C47">
        <w:rPr>
          <w:rFonts w:ascii="Arial" w:hAnsi="Arial" w:cs="Arial"/>
          <w:sz w:val="24"/>
          <w:szCs w:val="24"/>
        </w:rPr>
        <w:t xml:space="preserve"> </w:t>
      </w:r>
      <w:r w:rsidR="009F3364" w:rsidRPr="00233C47">
        <w:rPr>
          <w:rFonts w:ascii="Arial" w:hAnsi="Arial" w:cs="Arial"/>
          <w:sz w:val="24"/>
          <w:szCs w:val="24"/>
        </w:rPr>
        <w:t xml:space="preserve">a protectable right. </w:t>
      </w:r>
      <w:r w:rsidR="009B3D8D" w:rsidRPr="00233C47">
        <w:rPr>
          <w:rFonts w:ascii="Arial" w:hAnsi="Arial" w:cs="Arial"/>
          <w:sz w:val="24"/>
          <w:szCs w:val="24"/>
        </w:rPr>
        <w:t>A</w:t>
      </w:r>
      <w:r w:rsidR="009F3364" w:rsidRPr="00233C47">
        <w:rPr>
          <w:rFonts w:ascii="Arial" w:hAnsi="Arial" w:cs="Arial"/>
          <w:sz w:val="24"/>
          <w:szCs w:val="24"/>
        </w:rPr>
        <w:t xml:space="preserve"> litigant w</w:t>
      </w:r>
      <w:r w:rsidR="006A4946" w:rsidRPr="00233C47">
        <w:rPr>
          <w:rFonts w:ascii="Arial" w:hAnsi="Arial" w:cs="Arial"/>
          <w:sz w:val="24"/>
          <w:szCs w:val="24"/>
        </w:rPr>
        <w:t>ill</w:t>
      </w:r>
      <w:r w:rsidR="009B3D8D" w:rsidRPr="00233C47">
        <w:rPr>
          <w:rFonts w:ascii="Arial" w:hAnsi="Arial" w:cs="Arial"/>
          <w:sz w:val="24"/>
          <w:szCs w:val="24"/>
        </w:rPr>
        <w:t>, given the chance,</w:t>
      </w:r>
      <w:r w:rsidR="009F3364" w:rsidRPr="00233C47">
        <w:rPr>
          <w:rFonts w:ascii="Arial" w:hAnsi="Arial" w:cs="Arial"/>
          <w:sz w:val="24"/>
          <w:szCs w:val="24"/>
        </w:rPr>
        <w:t xml:space="preserve"> select a practitioner with </w:t>
      </w:r>
      <w:r w:rsidR="009B3D8D" w:rsidRPr="00233C47">
        <w:rPr>
          <w:rFonts w:ascii="Arial" w:hAnsi="Arial" w:cs="Arial"/>
          <w:sz w:val="24"/>
          <w:szCs w:val="24"/>
        </w:rPr>
        <w:t xml:space="preserve">superior </w:t>
      </w:r>
      <w:r w:rsidR="009F3364" w:rsidRPr="00233C47">
        <w:rPr>
          <w:rFonts w:ascii="Arial" w:hAnsi="Arial" w:cs="Arial"/>
          <w:sz w:val="24"/>
          <w:szCs w:val="24"/>
        </w:rPr>
        <w:t>expertise</w:t>
      </w:r>
      <w:r w:rsidR="00E31316" w:rsidRPr="00233C47">
        <w:rPr>
          <w:rFonts w:ascii="Arial" w:hAnsi="Arial" w:cs="Arial"/>
          <w:sz w:val="24"/>
          <w:szCs w:val="24"/>
        </w:rPr>
        <w:t xml:space="preserve">. </w:t>
      </w:r>
      <w:r w:rsidR="0032745F" w:rsidRPr="00233C47">
        <w:rPr>
          <w:rFonts w:ascii="Arial" w:hAnsi="Arial" w:cs="Arial"/>
          <w:sz w:val="24"/>
          <w:szCs w:val="24"/>
        </w:rPr>
        <w:t>But t</w:t>
      </w:r>
      <w:r w:rsidR="00E31316" w:rsidRPr="00233C47">
        <w:rPr>
          <w:rFonts w:ascii="Arial" w:hAnsi="Arial" w:cs="Arial"/>
          <w:sz w:val="24"/>
          <w:szCs w:val="24"/>
        </w:rPr>
        <w:t xml:space="preserve">his </w:t>
      </w:r>
      <w:r w:rsidR="009F3364" w:rsidRPr="00233C47">
        <w:rPr>
          <w:rFonts w:ascii="Arial" w:hAnsi="Arial" w:cs="Arial"/>
          <w:sz w:val="24"/>
          <w:szCs w:val="24"/>
        </w:rPr>
        <w:t>is</w:t>
      </w:r>
      <w:r w:rsidR="0032745F" w:rsidRPr="00233C47">
        <w:rPr>
          <w:rFonts w:ascii="Arial" w:hAnsi="Arial" w:cs="Arial"/>
          <w:sz w:val="24"/>
          <w:szCs w:val="24"/>
        </w:rPr>
        <w:t xml:space="preserve"> </w:t>
      </w:r>
      <w:r w:rsidR="009F3364" w:rsidRPr="00233C47">
        <w:rPr>
          <w:rFonts w:ascii="Arial" w:hAnsi="Arial" w:cs="Arial"/>
          <w:sz w:val="24"/>
          <w:szCs w:val="24"/>
        </w:rPr>
        <w:t xml:space="preserve">not always feasible. Just because a court refuses to postpone a </w:t>
      </w:r>
      <w:r w:rsidR="00E31316" w:rsidRPr="00233C47">
        <w:rPr>
          <w:rFonts w:ascii="Arial" w:hAnsi="Arial" w:cs="Arial"/>
          <w:sz w:val="24"/>
          <w:szCs w:val="24"/>
        </w:rPr>
        <w:t xml:space="preserve">long outstanding </w:t>
      </w:r>
      <w:r w:rsidR="001657B0" w:rsidRPr="00233C47">
        <w:rPr>
          <w:rFonts w:ascii="Arial" w:hAnsi="Arial" w:cs="Arial"/>
          <w:sz w:val="24"/>
          <w:szCs w:val="24"/>
        </w:rPr>
        <w:t xml:space="preserve">case </w:t>
      </w:r>
      <w:r w:rsidR="009F3364" w:rsidRPr="00233C47">
        <w:rPr>
          <w:rFonts w:ascii="Arial" w:hAnsi="Arial" w:cs="Arial"/>
          <w:sz w:val="24"/>
          <w:szCs w:val="24"/>
        </w:rPr>
        <w:t xml:space="preserve">to permit an accused </w:t>
      </w:r>
      <w:r w:rsidR="001657B0" w:rsidRPr="00233C47">
        <w:rPr>
          <w:rFonts w:ascii="Arial" w:hAnsi="Arial" w:cs="Arial"/>
          <w:sz w:val="24"/>
          <w:szCs w:val="24"/>
        </w:rPr>
        <w:t>the</w:t>
      </w:r>
      <w:r w:rsidR="009F3364" w:rsidRPr="00233C47">
        <w:rPr>
          <w:rFonts w:ascii="Arial" w:hAnsi="Arial" w:cs="Arial"/>
          <w:sz w:val="24"/>
          <w:szCs w:val="24"/>
        </w:rPr>
        <w:t xml:space="preserve"> opportunity to secure the services of a practitioner for whom he ha</w:t>
      </w:r>
      <w:r w:rsidR="001657B0" w:rsidRPr="00233C47">
        <w:rPr>
          <w:rFonts w:ascii="Arial" w:hAnsi="Arial" w:cs="Arial"/>
          <w:sz w:val="24"/>
          <w:szCs w:val="24"/>
        </w:rPr>
        <w:t>s</w:t>
      </w:r>
      <w:r w:rsidR="009F3364" w:rsidRPr="00233C47">
        <w:rPr>
          <w:rFonts w:ascii="Arial" w:hAnsi="Arial" w:cs="Arial"/>
          <w:sz w:val="24"/>
          <w:szCs w:val="24"/>
        </w:rPr>
        <w:t xml:space="preserve"> a </w:t>
      </w:r>
      <w:r w:rsidR="00772A34" w:rsidRPr="00233C47">
        <w:rPr>
          <w:rFonts w:ascii="Arial" w:hAnsi="Arial" w:cs="Arial"/>
          <w:sz w:val="24"/>
          <w:szCs w:val="24"/>
        </w:rPr>
        <w:t xml:space="preserve">preference </w:t>
      </w:r>
      <w:r w:rsidR="009F3364" w:rsidRPr="00233C47">
        <w:rPr>
          <w:rFonts w:ascii="Arial" w:hAnsi="Arial" w:cs="Arial"/>
          <w:sz w:val="24"/>
          <w:szCs w:val="24"/>
        </w:rPr>
        <w:t xml:space="preserve">does not necessarily translate to an </w:t>
      </w:r>
      <w:r w:rsidR="001657B0" w:rsidRPr="00233C47">
        <w:rPr>
          <w:rFonts w:ascii="Arial" w:hAnsi="Arial" w:cs="Arial"/>
          <w:sz w:val="24"/>
          <w:szCs w:val="24"/>
        </w:rPr>
        <w:t xml:space="preserve">unfair trial and the infringement of a constitutional right. Any determination in that regard remains context sensitive, as evident from </w:t>
      </w:r>
      <w:r w:rsidR="001657B0" w:rsidRPr="00233C47">
        <w:rPr>
          <w:rFonts w:ascii="Arial" w:hAnsi="Arial" w:cs="Arial"/>
          <w:i/>
          <w:iCs/>
          <w:sz w:val="24"/>
          <w:szCs w:val="24"/>
        </w:rPr>
        <w:t>Shiburi</w:t>
      </w:r>
      <w:r w:rsidR="001657B0" w:rsidRPr="00233C47">
        <w:rPr>
          <w:rFonts w:ascii="Arial" w:hAnsi="Arial" w:cs="Arial"/>
          <w:sz w:val="24"/>
          <w:szCs w:val="24"/>
        </w:rPr>
        <w:t>.</w:t>
      </w:r>
    </w:p>
    <w:p w14:paraId="64B0298E" w14:textId="77777777" w:rsidR="00D749D0" w:rsidRPr="00D749D0" w:rsidRDefault="00D749D0" w:rsidP="00D749D0">
      <w:pPr>
        <w:pStyle w:val="ListParagraph"/>
        <w:rPr>
          <w:rFonts w:ascii="Arial" w:hAnsi="Arial" w:cs="Arial"/>
          <w:sz w:val="24"/>
          <w:szCs w:val="24"/>
        </w:rPr>
      </w:pPr>
    </w:p>
    <w:p w14:paraId="596722D5" w14:textId="77777777" w:rsidR="00D749D0" w:rsidRPr="008B0F32" w:rsidRDefault="00D749D0" w:rsidP="00D749D0">
      <w:pPr>
        <w:pStyle w:val="ListParagraph"/>
        <w:spacing w:line="360" w:lineRule="auto"/>
        <w:ind w:left="0"/>
        <w:jc w:val="both"/>
        <w:rPr>
          <w:rFonts w:ascii="Arial" w:hAnsi="Arial" w:cs="Arial"/>
          <w:sz w:val="24"/>
          <w:szCs w:val="24"/>
        </w:rPr>
      </w:pPr>
    </w:p>
    <w:p w14:paraId="1EB36EF8" w14:textId="7DD7F5FB" w:rsidR="0029431B" w:rsidRPr="00233C47" w:rsidRDefault="00233C47" w:rsidP="00233C47">
      <w:pPr>
        <w:spacing w:line="360" w:lineRule="auto"/>
        <w:jc w:val="both"/>
        <w:rPr>
          <w:rFonts w:ascii="Arial" w:hAnsi="Arial" w:cs="Arial"/>
          <w:sz w:val="24"/>
          <w:szCs w:val="24"/>
        </w:rPr>
      </w:pPr>
      <w:r w:rsidRPr="00D749D0">
        <w:rPr>
          <w:rFonts w:ascii="Arial" w:hAnsi="Arial" w:cs="Arial"/>
          <w:sz w:val="24"/>
          <w:szCs w:val="24"/>
        </w:rPr>
        <w:t>[44]</w:t>
      </w:r>
      <w:r w:rsidRPr="00D749D0">
        <w:rPr>
          <w:rFonts w:ascii="Arial" w:hAnsi="Arial" w:cs="Arial"/>
          <w:sz w:val="24"/>
          <w:szCs w:val="24"/>
        </w:rPr>
        <w:tab/>
      </w:r>
      <w:r w:rsidR="00927077" w:rsidRPr="00233C47">
        <w:rPr>
          <w:rFonts w:ascii="Arial" w:hAnsi="Arial" w:cs="Arial"/>
          <w:sz w:val="24"/>
          <w:szCs w:val="24"/>
        </w:rPr>
        <w:t xml:space="preserve">Ultimately, there is nothing in the record to </w:t>
      </w:r>
      <w:r w:rsidR="00555D8F" w:rsidRPr="00233C47">
        <w:rPr>
          <w:rFonts w:ascii="Arial" w:hAnsi="Arial" w:cs="Arial"/>
          <w:sz w:val="24"/>
          <w:szCs w:val="24"/>
        </w:rPr>
        <w:t xml:space="preserve">demonstrate that </w:t>
      </w:r>
      <w:r w:rsidR="0029431B" w:rsidRPr="00233C47">
        <w:rPr>
          <w:rFonts w:ascii="Arial" w:hAnsi="Arial" w:cs="Arial"/>
          <w:sz w:val="24"/>
          <w:szCs w:val="24"/>
        </w:rPr>
        <w:t>the incident gave rise to a gross irregularity</w:t>
      </w:r>
      <w:r w:rsidR="0017774B" w:rsidRPr="00233C47">
        <w:rPr>
          <w:rFonts w:ascii="Arial" w:hAnsi="Arial" w:cs="Arial"/>
          <w:sz w:val="24"/>
          <w:szCs w:val="24"/>
        </w:rPr>
        <w:t xml:space="preserve">, as defined in </w:t>
      </w:r>
      <w:r w:rsidR="0017774B" w:rsidRPr="00233C47">
        <w:rPr>
          <w:rFonts w:ascii="Arial" w:hAnsi="Arial" w:cs="Arial"/>
          <w:i/>
          <w:iCs/>
          <w:sz w:val="24"/>
          <w:szCs w:val="24"/>
        </w:rPr>
        <w:t>Magistrate Pangarker</w:t>
      </w:r>
      <w:r w:rsidR="0029431B" w:rsidRPr="00233C47">
        <w:rPr>
          <w:rFonts w:ascii="Arial" w:hAnsi="Arial" w:cs="Arial"/>
          <w:sz w:val="24"/>
          <w:szCs w:val="24"/>
        </w:rPr>
        <w:t>. There is also no</w:t>
      </w:r>
      <w:r w:rsidR="007C5CFC" w:rsidRPr="00233C47">
        <w:rPr>
          <w:rFonts w:ascii="Arial" w:hAnsi="Arial" w:cs="Arial"/>
          <w:sz w:val="24"/>
          <w:szCs w:val="24"/>
        </w:rPr>
        <w:t xml:space="preserve">thing to </w:t>
      </w:r>
      <w:r w:rsidR="0029431B" w:rsidRPr="00233C47">
        <w:rPr>
          <w:rFonts w:ascii="Arial" w:hAnsi="Arial" w:cs="Arial"/>
          <w:sz w:val="24"/>
          <w:szCs w:val="24"/>
        </w:rPr>
        <w:t>suggest any interest in the cause, bias, malice, or corruption, on the part of the first respondent.</w:t>
      </w:r>
    </w:p>
    <w:p w14:paraId="49231D06" w14:textId="77777777" w:rsidR="009C57D8" w:rsidRDefault="009C57D8" w:rsidP="0029431B">
      <w:pPr>
        <w:spacing w:line="360" w:lineRule="auto"/>
        <w:rPr>
          <w:rFonts w:ascii="Arial" w:hAnsi="Arial" w:cs="Arial"/>
          <w:sz w:val="24"/>
          <w:szCs w:val="24"/>
        </w:rPr>
      </w:pPr>
    </w:p>
    <w:p w14:paraId="40122801" w14:textId="6F988494" w:rsidR="009C57D8" w:rsidRPr="009C57D8" w:rsidRDefault="009C57D8" w:rsidP="00D749D0">
      <w:pPr>
        <w:spacing w:line="360" w:lineRule="auto"/>
        <w:jc w:val="both"/>
        <w:rPr>
          <w:rFonts w:ascii="Arial" w:hAnsi="Arial" w:cs="Arial"/>
          <w:i/>
          <w:iCs/>
          <w:sz w:val="24"/>
          <w:szCs w:val="24"/>
        </w:rPr>
      </w:pPr>
      <w:r w:rsidRPr="009C57D8">
        <w:rPr>
          <w:rFonts w:ascii="Arial" w:hAnsi="Arial" w:cs="Arial"/>
          <w:i/>
          <w:iCs/>
          <w:sz w:val="24"/>
          <w:szCs w:val="24"/>
        </w:rPr>
        <w:t>Other circumstances</w:t>
      </w:r>
    </w:p>
    <w:p w14:paraId="6BEFF50A" w14:textId="77777777" w:rsidR="009C57D8" w:rsidRDefault="009C57D8" w:rsidP="0029431B">
      <w:pPr>
        <w:spacing w:line="360" w:lineRule="auto"/>
        <w:rPr>
          <w:rFonts w:ascii="Arial" w:hAnsi="Arial" w:cs="Arial"/>
          <w:sz w:val="24"/>
          <w:szCs w:val="24"/>
        </w:rPr>
      </w:pPr>
    </w:p>
    <w:p w14:paraId="0222C530" w14:textId="0F84498D" w:rsidR="00D749D0" w:rsidRPr="00233C47" w:rsidRDefault="00233C47" w:rsidP="00233C47">
      <w:pPr>
        <w:spacing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1657B0" w:rsidRPr="00233C47">
        <w:rPr>
          <w:rFonts w:ascii="Arial" w:hAnsi="Arial" w:cs="Arial"/>
          <w:sz w:val="24"/>
          <w:szCs w:val="24"/>
        </w:rPr>
        <w:t xml:space="preserve">To decide whether to grant condonation for the unreasonable delay in launching the present application, the court must also consider the two reasons for the ‘delay rule’ that were mentioned earlier, viz. the prejudice caused to the other party, and the public </w:t>
      </w:r>
      <w:r w:rsidR="001657B0" w:rsidRPr="00233C47">
        <w:rPr>
          <w:rFonts w:ascii="Arial" w:hAnsi="Arial" w:cs="Arial"/>
          <w:sz w:val="24"/>
          <w:szCs w:val="24"/>
        </w:rPr>
        <w:lastRenderedPageBreak/>
        <w:t>interest in achieving finality and certainty regarding the making of administrative decisions and the performance of administrative functions</w:t>
      </w:r>
      <w:r w:rsidR="00D749D0" w:rsidRPr="00233C47">
        <w:rPr>
          <w:rFonts w:ascii="Arial" w:hAnsi="Arial" w:cs="Arial"/>
          <w:sz w:val="24"/>
          <w:szCs w:val="24"/>
        </w:rPr>
        <w:t>.</w:t>
      </w:r>
    </w:p>
    <w:p w14:paraId="36E5DBDE" w14:textId="77777777" w:rsidR="00D749D0" w:rsidRDefault="00D749D0" w:rsidP="00D749D0">
      <w:pPr>
        <w:pStyle w:val="ListParagraph"/>
        <w:spacing w:line="360" w:lineRule="auto"/>
        <w:ind w:left="0"/>
        <w:jc w:val="both"/>
        <w:rPr>
          <w:rFonts w:ascii="Arial" w:hAnsi="Arial" w:cs="Arial"/>
          <w:sz w:val="24"/>
          <w:szCs w:val="24"/>
        </w:rPr>
      </w:pPr>
    </w:p>
    <w:p w14:paraId="18103E0F" w14:textId="7C2E3B49" w:rsidR="0029431B" w:rsidRPr="00233C47" w:rsidRDefault="00233C47" w:rsidP="00233C47">
      <w:pPr>
        <w:spacing w:line="360" w:lineRule="auto"/>
        <w:jc w:val="both"/>
        <w:rPr>
          <w:rFonts w:ascii="Arial" w:hAnsi="Arial" w:cs="Arial"/>
          <w:sz w:val="24"/>
          <w:szCs w:val="24"/>
        </w:rPr>
      </w:pPr>
      <w:r w:rsidRPr="00D749D0">
        <w:rPr>
          <w:rFonts w:ascii="Arial" w:hAnsi="Arial" w:cs="Arial"/>
          <w:sz w:val="24"/>
          <w:szCs w:val="24"/>
        </w:rPr>
        <w:t>[46]</w:t>
      </w:r>
      <w:r w:rsidRPr="00D749D0">
        <w:rPr>
          <w:rFonts w:ascii="Arial" w:hAnsi="Arial" w:cs="Arial"/>
          <w:sz w:val="24"/>
          <w:szCs w:val="24"/>
        </w:rPr>
        <w:tab/>
      </w:r>
      <w:r w:rsidR="00E31316" w:rsidRPr="00233C47">
        <w:rPr>
          <w:rFonts w:ascii="Arial" w:hAnsi="Arial" w:cs="Arial"/>
          <w:sz w:val="24"/>
          <w:szCs w:val="24"/>
        </w:rPr>
        <w:t xml:space="preserve">The unreasonable delay in the present matter will </w:t>
      </w:r>
      <w:r w:rsidR="00772A34" w:rsidRPr="00233C47">
        <w:rPr>
          <w:rFonts w:ascii="Arial" w:hAnsi="Arial" w:cs="Arial"/>
          <w:sz w:val="24"/>
          <w:szCs w:val="24"/>
        </w:rPr>
        <w:t>undoubted</w:t>
      </w:r>
      <w:r w:rsidR="00E31316" w:rsidRPr="00233C47">
        <w:rPr>
          <w:rFonts w:ascii="Arial" w:hAnsi="Arial" w:cs="Arial"/>
          <w:sz w:val="24"/>
          <w:szCs w:val="24"/>
        </w:rPr>
        <w:t xml:space="preserve">ly have </w:t>
      </w:r>
      <w:r w:rsidR="00617EAE" w:rsidRPr="00233C47">
        <w:rPr>
          <w:rFonts w:ascii="Arial" w:hAnsi="Arial" w:cs="Arial"/>
          <w:sz w:val="24"/>
          <w:szCs w:val="24"/>
        </w:rPr>
        <w:t>been accompanied by the dimming of witnesses’ recollections of the events pertaining to the offence</w:t>
      </w:r>
      <w:r w:rsidR="009C57D8" w:rsidRPr="00233C47">
        <w:rPr>
          <w:rFonts w:ascii="Arial" w:hAnsi="Arial" w:cs="Arial"/>
          <w:sz w:val="24"/>
          <w:szCs w:val="24"/>
        </w:rPr>
        <w:t>s in question</w:t>
      </w:r>
      <w:r w:rsidR="00617EAE" w:rsidRPr="00233C47">
        <w:rPr>
          <w:rFonts w:ascii="Arial" w:hAnsi="Arial" w:cs="Arial"/>
          <w:sz w:val="24"/>
          <w:szCs w:val="24"/>
        </w:rPr>
        <w:t xml:space="preserve">, which occurred on 3 April 2010, </w:t>
      </w:r>
      <w:r w:rsidR="00FF620C" w:rsidRPr="00233C47">
        <w:rPr>
          <w:rFonts w:ascii="Arial" w:hAnsi="Arial" w:cs="Arial"/>
          <w:sz w:val="24"/>
          <w:szCs w:val="24"/>
        </w:rPr>
        <w:t>more than 13 years ago</w:t>
      </w:r>
      <w:r w:rsidR="00617EAE" w:rsidRPr="00233C47">
        <w:rPr>
          <w:rFonts w:ascii="Arial" w:hAnsi="Arial" w:cs="Arial"/>
          <w:sz w:val="24"/>
          <w:szCs w:val="24"/>
        </w:rPr>
        <w:t xml:space="preserve">. The availability of such witnesses or the deponents to affidavits, as well as </w:t>
      </w:r>
      <w:r w:rsidR="009C57D8" w:rsidRPr="00233C47">
        <w:rPr>
          <w:rFonts w:ascii="Arial" w:hAnsi="Arial" w:cs="Arial"/>
          <w:sz w:val="24"/>
          <w:szCs w:val="24"/>
        </w:rPr>
        <w:t xml:space="preserve">the availability of </w:t>
      </w:r>
      <w:r w:rsidR="00617EAE" w:rsidRPr="00233C47">
        <w:rPr>
          <w:rFonts w:ascii="Arial" w:hAnsi="Arial" w:cs="Arial"/>
          <w:sz w:val="24"/>
          <w:szCs w:val="24"/>
        </w:rPr>
        <w:t xml:space="preserve">documents and other evidence, will </w:t>
      </w:r>
      <w:r w:rsidR="005D11F9" w:rsidRPr="00233C47">
        <w:rPr>
          <w:rFonts w:ascii="Arial" w:hAnsi="Arial" w:cs="Arial"/>
          <w:sz w:val="24"/>
          <w:szCs w:val="24"/>
        </w:rPr>
        <w:t>al</w:t>
      </w:r>
      <w:r w:rsidR="00617EAE" w:rsidRPr="00233C47">
        <w:rPr>
          <w:rFonts w:ascii="Arial" w:hAnsi="Arial" w:cs="Arial"/>
          <w:sz w:val="24"/>
          <w:szCs w:val="24"/>
        </w:rPr>
        <w:t xml:space="preserve">most certainly have </w:t>
      </w:r>
      <w:r w:rsidR="00FF620C" w:rsidRPr="00233C47">
        <w:rPr>
          <w:rFonts w:ascii="Arial" w:hAnsi="Arial" w:cs="Arial"/>
          <w:sz w:val="24"/>
          <w:szCs w:val="24"/>
        </w:rPr>
        <w:t xml:space="preserve">become compromised, too, over such a lengthy </w:t>
      </w:r>
      <w:r w:rsidR="007B5F3B" w:rsidRPr="00233C47">
        <w:rPr>
          <w:rFonts w:ascii="Arial" w:hAnsi="Arial" w:cs="Arial"/>
          <w:sz w:val="24"/>
          <w:szCs w:val="24"/>
        </w:rPr>
        <w:t>period</w:t>
      </w:r>
      <w:r w:rsidR="00FF620C" w:rsidRPr="00233C47">
        <w:rPr>
          <w:rFonts w:ascii="Arial" w:hAnsi="Arial" w:cs="Arial"/>
          <w:sz w:val="24"/>
          <w:szCs w:val="24"/>
        </w:rPr>
        <w:t>.</w:t>
      </w:r>
      <w:r w:rsidR="00FF620C">
        <w:rPr>
          <w:rStyle w:val="FootnoteReference"/>
          <w:rFonts w:ascii="Arial" w:hAnsi="Arial" w:cs="Arial"/>
          <w:sz w:val="24"/>
          <w:szCs w:val="24"/>
        </w:rPr>
        <w:footnoteReference w:id="25"/>
      </w:r>
      <w:r w:rsidR="00FF620C" w:rsidRPr="00233C47">
        <w:rPr>
          <w:rFonts w:ascii="Arial" w:hAnsi="Arial" w:cs="Arial"/>
          <w:sz w:val="24"/>
          <w:szCs w:val="24"/>
        </w:rPr>
        <w:t xml:space="preserve"> The prejudice caused is obvious. Whereas the applicant’s constitutional right to a fair trial is of fundamental importance, the public interest is not served by reviewing and setting aside the proceedings of the Magistrates’ Court, finalised </w:t>
      </w:r>
      <w:r w:rsidR="0082495C" w:rsidRPr="00233C47">
        <w:rPr>
          <w:rFonts w:ascii="Arial" w:hAnsi="Arial" w:cs="Arial"/>
          <w:sz w:val="24"/>
          <w:szCs w:val="24"/>
        </w:rPr>
        <w:t>more than seven-and-a-half years ago, unless there are good grounds for disturbing the finality and certainty thereof.</w:t>
      </w:r>
      <w:r w:rsidR="00FF620C" w:rsidRPr="00233C47">
        <w:rPr>
          <w:rFonts w:ascii="Arial" w:hAnsi="Arial" w:cs="Arial"/>
          <w:sz w:val="24"/>
          <w:szCs w:val="24"/>
        </w:rPr>
        <w:t xml:space="preserve"> The applicant has simply failed to deal with th</w:t>
      </w:r>
      <w:r w:rsidR="0082495C" w:rsidRPr="00233C47">
        <w:rPr>
          <w:rFonts w:ascii="Arial" w:hAnsi="Arial" w:cs="Arial"/>
          <w:sz w:val="24"/>
          <w:szCs w:val="24"/>
        </w:rPr>
        <w:t>ese</w:t>
      </w:r>
      <w:r w:rsidR="00FF620C" w:rsidRPr="00233C47">
        <w:rPr>
          <w:rFonts w:ascii="Arial" w:hAnsi="Arial" w:cs="Arial"/>
          <w:sz w:val="24"/>
          <w:szCs w:val="24"/>
        </w:rPr>
        <w:t xml:space="preserve"> aspect</w:t>
      </w:r>
      <w:r w:rsidR="0082495C" w:rsidRPr="00233C47">
        <w:rPr>
          <w:rFonts w:ascii="Arial" w:hAnsi="Arial" w:cs="Arial"/>
          <w:sz w:val="24"/>
          <w:szCs w:val="24"/>
        </w:rPr>
        <w:t>s</w:t>
      </w:r>
      <w:r w:rsidR="00FF620C" w:rsidRPr="00233C47">
        <w:rPr>
          <w:rFonts w:ascii="Arial" w:hAnsi="Arial" w:cs="Arial"/>
          <w:sz w:val="24"/>
          <w:szCs w:val="24"/>
        </w:rPr>
        <w:t xml:space="preserve">. </w:t>
      </w:r>
    </w:p>
    <w:p w14:paraId="790FBD43" w14:textId="77777777" w:rsidR="00375121" w:rsidRDefault="00375121" w:rsidP="00C213C8">
      <w:pPr>
        <w:spacing w:line="360" w:lineRule="auto"/>
        <w:rPr>
          <w:rFonts w:ascii="Arial" w:hAnsi="Arial" w:cs="Arial"/>
          <w:sz w:val="24"/>
          <w:szCs w:val="24"/>
        </w:rPr>
      </w:pPr>
    </w:p>
    <w:p w14:paraId="0A8AC825" w14:textId="721FC1DE" w:rsidR="00375121" w:rsidRPr="00375121" w:rsidRDefault="007B5F3B" w:rsidP="00D749D0">
      <w:pPr>
        <w:spacing w:line="360" w:lineRule="auto"/>
        <w:jc w:val="both"/>
        <w:rPr>
          <w:rFonts w:ascii="Arial" w:hAnsi="Arial" w:cs="Arial"/>
          <w:b/>
          <w:bCs/>
          <w:sz w:val="24"/>
          <w:szCs w:val="24"/>
        </w:rPr>
      </w:pPr>
      <w:r w:rsidRPr="00375121">
        <w:rPr>
          <w:rFonts w:ascii="Arial" w:hAnsi="Arial" w:cs="Arial"/>
          <w:b/>
          <w:bCs/>
          <w:sz w:val="24"/>
          <w:szCs w:val="24"/>
        </w:rPr>
        <w:t>RELIEF AND ORDER</w:t>
      </w:r>
    </w:p>
    <w:p w14:paraId="36DA13C1" w14:textId="77777777" w:rsidR="00375121" w:rsidRDefault="00375121" w:rsidP="00C213C8">
      <w:pPr>
        <w:spacing w:line="360" w:lineRule="auto"/>
        <w:rPr>
          <w:rFonts w:ascii="Arial" w:hAnsi="Arial" w:cs="Arial"/>
          <w:sz w:val="24"/>
          <w:szCs w:val="24"/>
        </w:rPr>
      </w:pPr>
    </w:p>
    <w:p w14:paraId="50E74A51" w14:textId="57D40C45" w:rsidR="009632AE" w:rsidRPr="00233C47" w:rsidRDefault="00233C47" w:rsidP="00233C47">
      <w:pPr>
        <w:spacing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375121" w:rsidRPr="00233C47">
        <w:rPr>
          <w:rFonts w:ascii="Arial" w:hAnsi="Arial" w:cs="Arial"/>
          <w:sz w:val="24"/>
          <w:szCs w:val="24"/>
        </w:rPr>
        <w:t>The court has already found that there was an unreasonable delay in the institution of these review proceedings. By reason of the inadequacy of the explanation given by the applicant, the weak prospects of success in relation to the merits, the prejudice caused to the first and second respondents by the delay, and the public interest in achieving finality and certainty, the court is not persuaded that the delay ought to be condoned.</w:t>
      </w:r>
    </w:p>
    <w:p w14:paraId="26B77C95" w14:textId="77777777" w:rsidR="009632AE" w:rsidRDefault="009632AE" w:rsidP="009632AE">
      <w:pPr>
        <w:pStyle w:val="ListParagraph"/>
        <w:spacing w:line="360" w:lineRule="auto"/>
        <w:ind w:left="0"/>
        <w:jc w:val="both"/>
        <w:rPr>
          <w:rFonts w:ascii="Arial" w:hAnsi="Arial" w:cs="Arial"/>
          <w:sz w:val="24"/>
          <w:szCs w:val="24"/>
        </w:rPr>
      </w:pPr>
    </w:p>
    <w:p w14:paraId="79D549F7" w14:textId="2168EDE9" w:rsidR="009632AE" w:rsidRPr="00233C47" w:rsidRDefault="00233C47" w:rsidP="00233C47">
      <w:pPr>
        <w:spacing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375121" w:rsidRPr="00233C47">
        <w:rPr>
          <w:rFonts w:ascii="Arial" w:hAnsi="Arial" w:cs="Arial"/>
          <w:sz w:val="24"/>
          <w:szCs w:val="24"/>
        </w:rPr>
        <w:t xml:space="preserve">The respondents’ point </w:t>
      </w:r>
      <w:r w:rsidR="00375121" w:rsidRPr="00233C47">
        <w:rPr>
          <w:rFonts w:ascii="Arial" w:hAnsi="Arial" w:cs="Arial"/>
          <w:i/>
          <w:iCs/>
          <w:sz w:val="24"/>
          <w:szCs w:val="24"/>
        </w:rPr>
        <w:t xml:space="preserve">in limine </w:t>
      </w:r>
      <w:r w:rsidR="00375121" w:rsidRPr="00233C47">
        <w:rPr>
          <w:rFonts w:ascii="Arial" w:hAnsi="Arial" w:cs="Arial"/>
          <w:sz w:val="24"/>
          <w:szCs w:val="24"/>
        </w:rPr>
        <w:t xml:space="preserve">is </w:t>
      </w:r>
      <w:r w:rsidR="009C57D8" w:rsidRPr="00233C47">
        <w:rPr>
          <w:rFonts w:ascii="Arial" w:hAnsi="Arial" w:cs="Arial"/>
          <w:sz w:val="24"/>
          <w:szCs w:val="24"/>
        </w:rPr>
        <w:t>successful</w:t>
      </w:r>
      <w:r w:rsidR="00375121" w:rsidRPr="00233C47">
        <w:rPr>
          <w:rFonts w:ascii="Arial" w:hAnsi="Arial" w:cs="Arial"/>
          <w:sz w:val="24"/>
          <w:szCs w:val="24"/>
        </w:rPr>
        <w:t xml:space="preserve">. There is no </w:t>
      </w:r>
      <w:r w:rsidR="000E42AB" w:rsidRPr="00233C47">
        <w:rPr>
          <w:rFonts w:ascii="Arial" w:hAnsi="Arial" w:cs="Arial"/>
          <w:sz w:val="24"/>
          <w:szCs w:val="24"/>
        </w:rPr>
        <w:t xml:space="preserve">need to investigate the merits in any further detail and there is </w:t>
      </w:r>
      <w:r w:rsidR="009C57D8" w:rsidRPr="00233C47">
        <w:rPr>
          <w:rFonts w:ascii="Arial" w:hAnsi="Arial" w:cs="Arial"/>
          <w:sz w:val="24"/>
          <w:szCs w:val="24"/>
        </w:rPr>
        <w:t xml:space="preserve">no </w:t>
      </w:r>
      <w:r w:rsidR="00375121" w:rsidRPr="00233C47">
        <w:rPr>
          <w:rFonts w:ascii="Arial" w:hAnsi="Arial" w:cs="Arial"/>
          <w:sz w:val="24"/>
          <w:szCs w:val="24"/>
        </w:rPr>
        <w:t xml:space="preserve">reason </w:t>
      </w:r>
      <w:r w:rsidR="000E42AB" w:rsidRPr="00233C47">
        <w:rPr>
          <w:rFonts w:ascii="Arial" w:hAnsi="Arial" w:cs="Arial"/>
          <w:sz w:val="24"/>
          <w:szCs w:val="24"/>
        </w:rPr>
        <w:t>why the costs should not follow the result.</w:t>
      </w:r>
    </w:p>
    <w:p w14:paraId="06836FE9" w14:textId="77777777" w:rsidR="009632AE" w:rsidRPr="009632AE" w:rsidRDefault="009632AE" w:rsidP="009632AE">
      <w:pPr>
        <w:pStyle w:val="ListParagraph"/>
        <w:rPr>
          <w:rFonts w:ascii="Arial" w:hAnsi="Arial" w:cs="Arial"/>
          <w:sz w:val="24"/>
          <w:szCs w:val="24"/>
        </w:rPr>
      </w:pPr>
    </w:p>
    <w:p w14:paraId="068DA5D8" w14:textId="0770C0A0" w:rsidR="000E42AB" w:rsidRPr="00233C47" w:rsidRDefault="00233C47" w:rsidP="00233C47">
      <w:pPr>
        <w:spacing w:line="360" w:lineRule="auto"/>
        <w:jc w:val="both"/>
        <w:rPr>
          <w:rFonts w:ascii="Arial" w:hAnsi="Arial" w:cs="Arial"/>
          <w:sz w:val="24"/>
          <w:szCs w:val="24"/>
        </w:rPr>
      </w:pPr>
      <w:r w:rsidRPr="009632AE">
        <w:rPr>
          <w:rFonts w:ascii="Arial" w:hAnsi="Arial" w:cs="Arial"/>
          <w:sz w:val="24"/>
          <w:szCs w:val="24"/>
        </w:rPr>
        <w:t>[49]</w:t>
      </w:r>
      <w:r w:rsidRPr="009632AE">
        <w:rPr>
          <w:rFonts w:ascii="Arial" w:hAnsi="Arial" w:cs="Arial"/>
          <w:sz w:val="24"/>
          <w:szCs w:val="24"/>
        </w:rPr>
        <w:tab/>
      </w:r>
      <w:r w:rsidR="000E42AB" w:rsidRPr="00233C47">
        <w:rPr>
          <w:rFonts w:ascii="Arial" w:hAnsi="Arial" w:cs="Arial"/>
          <w:sz w:val="24"/>
          <w:szCs w:val="24"/>
        </w:rPr>
        <w:t>In the circumstances, the following order is made:</w:t>
      </w:r>
    </w:p>
    <w:p w14:paraId="1BD63151" w14:textId="77777777" w:rsidR="000E42AB" w:rsidRDefault="000E42AB" w:rsidP="009632AE">
      <w:pPr>
        <w:spacing w:line="360" w:lineRule="auto"/>
        <w:jc w:val="both"/>
        <w:rPr>
          <w:rFonts w:ascii="Arial" w:hAnsi="Arial" w:cs="Arial"/>
          <w:sz w:val="24"/>
          <w:szCs w:val="24"/>
        </w:rPr>
      </w:pPr>
    </w:p>
    <w:p w14:paraId="303B7C1E" w14:textId="61CF9778" w:rsidR="000E42AB" w:rsidRPr="00233C47" w:rsidRDefault="00233C47" w:rsidP="00233C47">
      <w:pPr>
        <w:spacing w:line="360" w:lineRule="auto"/>
        <w:ind w:left="1418" w:hanging="709"/>
        <w:jc w:val="both"/>
        <w:rPr>
          <w:rFonts w:ascii="Arial" w:hAnsi="Arial" w:cs="Arial"/>
          <w:sz w:val="24"/>
          <w:szCs w:val="24"/>
        </w:rPr>
      </w:pPr>
      <w:r>
        <w:rPr>
          <w:rFonts w:ascii="Arial" w:hAnsi="Arial" w:cs="Arial"/>
          <w:sz w:val="24"/>
          <w:szCs w:val="24"/>
        </w:rPr>
        <w:t>(a)</w:t>
      </w:r>
      <w:r>
        <w:rPr>
          <w:rFonts w:ascii="Arial" w:hAnsi="Arial" w:cs="Arial"/>
          <w:sz w:val="24"/>
          <w:szCs w:val="24"/>
        </w:rPr>
        <w:tab/>
      </w:r>
      <w:r w:rsidR="000E42AB" w:rsidRPr="00233C47">
        <w:rPr>
          <w:rFonts w:ascii="Arial" w:hAnsi="Arial" w:cs="Arial"/>
          <w:sz w:val="24"/>
          <w:szCs w:val="24"/>
        </w:rPr>
        <w:t>the application is dismissed; and</w:t>
      </w:r>
    </w:p>
    <w:p w14:paraId="38F56436" w14:textId="77777777" w:rsidR="009632AE" w:rsidRDefault="009632AE" w:rsidP="009632AE">
      <w:pPr>
        <w:pStyle w:val="ListParagraph"/>
        <w:spacing w:line="360" w:lineRule="auto"/>
        <w:ind w:left="1418"/>
        <w:jc w:val="both"/>
        <w:rPr>
          <w:rFonts w:ascii="Arial" w:hAnsi="Arial" w:cs="Arial"/>
          <w:sz w:val="24"/>
          <w:szCs w:val="24"/>
        </w:rPr>
      </w:pPr>
    </w:p>
    <w:p w14:paraId="623596F6" w14:textId="09D0ABEF" w:rsidR="000E42AB" w:rsidRPr="00233C47" w:rsidRDefault="00233C47" w:rsidP="00233C47">
      <w:pPr>
        <w:spacing w:line="360" w:lineRule="auto"/>
        <w:ind w:left="1418" w:hanging="709"/>
        <w:jc w:val="both"/>
        <w:rPr>
          <w:rFonts w:ascii="Arial" w:hAnsi="Arial" w:cs="Arial"/>
          <w:sz w:val="24"/>
          <w:szCs w:val="24"/>
        </w:rPr>
      </w:pPr>
      <w:r w:rsidRPr="00826E8A">
        <w:rPr>
          <w:rFonts w:ascii="Arial" w:hAnsi="Arial" w:cs="Arial"/>
          <w:sz w:val="24"/>
          <w:szCs w:val="24"/>
        </w:rPr>
        <w:t>(b)</w:t>
      </w:r>
      <w:r w:rsidRPr="00826E8A">
        <w:rPr>
          <w:rFonts w:ascii="Arial" w:hAnsi="Arial" w:cs="Arial"/>
          <w:sz w:val="24"/>
          <w:szCs w:val="24"/>
        </w:rPr>
        <w:tab/>
      </w:r>
      <w:r w:rsidR="000E42AB" w:rsidRPr="00233C47">
        <w:rPr>
          <w:rFonts w:ascii="Arial" w:hAnsi="Arial" w:cs="Arial"/>
          <w:sz w:val="24"/>
          <w:szCs w:val="24"/>
        </w:rPr>
        <w:t>the applicant is directed to pay the second respondent’s costs.</w:t>
      </w:r>
    </w:p>
    <w:p w14:paraId="353FC586" w14:textId="77777777" w:rsidR="000E42AB" w:rsidRDefault="000E42AB" w:rsidP="000E42AB">
      <w:pPr>
        <w:spacing w:line="360" w:lineRule="auto"/>
        <w:rPr>
          <w:rFonts w:ascii="Arial" w:hAnsi="Arial" w:cs="Arial"/>
          <w:sz w:val="24"/>
          <w:szCs w:val="24"/>
        </w:rPr>
      </w:pPr>
    </w:p>
    <w:p w14:paraId="4ED2AEED" w14:textId="77777777" w:rsidR="000E42AB" w:rsidRDefault="000E42AB" w:rsidP="00826E8A">
      <w:pPr>
        <w:spacing w:line="240" w:lineRule="auto"/>
        <w:jc w:val="both"/>
        <w:rPr>
          <w:rFonts w:ascii="Arial" w:hAnsi="Arial" w:cs="Arial"/>
          <w:sz w:val="24"/>
          <w:szCs w:val="24"/>
        </w:rPr>
      </w:pPr>
    </w:p>
    <w:p w14:paraId="6BCCD4B3" w14:textId="2B49563A" w:rsidR="000E42AB" w:rsidRDefault="000E42AB" w:rsidP="00826E8A">
      <w:pPr>
        <w:spacing w:line="240" w:lineRule="auto"/>
        <w:jc w:val="both"/>
        <w:rPr>
          <w:rFonts w:ascii="Arial" w:hAnsi="Arial" w:cs="Arial"/>
          <w:sz w:val="24"/>
          <w:szCs w:val="24"/>
        </w:rPr>
      </w:pPr>
      <w:r>
        <w:rPr>
          <w:rFonts w:ascii="Arial" w:hAnsi="Arial" w:cs="Arial"/>
          <w:sz w:val="24"/>
          <w:szCs w:val="24"/>
        </w:rPr>
        <w:t>_________________________</w:t>
      </w:r>
    </w:p>
    <w:p w14:paraId="6D949B34" w14:textId="581DB268" w:rsidR="000E42AB" w:rsidRPr="000E42AB" w:rsidRDefault="000E42AB" w:rsidP="00826E8A">
      <w:pPr>
        <w:spacing w:line="240" w:lineRule="auto"/>
        <w:jc w:val="both"/>
        <w:rPr>
          <w:rFonts w:ascii="Arial" w:hAnsi="Arial" w:cs="Arial"/>
          <w:b/>
          <w:bCs/>
          <w:sz w:val="24"/>
          <w:szCs w:val="24"/>
        </w:rPr>
      </w:pPr>
      <w:r w:rsidRPr="000E42AB">
        <w:rPr>
          <w:rFonts w:ascii="Arial" w:hAnsi="Arial" w:cs="Arial"/>
          <w:b/>
          <w:bCs/>
          <w:sz w:val="24"/>
          <w:szCs w:val="24"/>
        </w:rPr>
        <w:t>JGA LAING</w:t>
      </w:r>
    </w:p>
    <w:p w14:paraId="184BA7D0" w14:textId="0DE87191" w:rsidR="000E42AB" w:rsidRDefault="000E42AB" w:rsidP="00826E8A">
      <w:pPr>
        <w:spacing w:line="240" w:lineRule="auto"/>
        <w:jc w:val="both"/>
        <w:rPr>
          <w:rFonts w:ascii="Arial" w:hAnsi="Arial" w:cs="Arial"/>
          <w:b/>
          <w:bCs/>
          <w:sz w:val="24"/>
          <w:szCs w:val="24"/>
        </w:rPr>
      </w:pPr>
      <w:r w:rsidRPr="000E42AB">
        <w:rPr>
          <w:rFonts w:ascii="Arial" w:hAnsi="Arial" w:cs="Arial"/>
          <w:b/>
          <w:bCs/>
          <w:sz w:val="24"/>
          <w:szCs w:val="24"/>
        </w:rPr>
        <w:t>JUDGE OF THE HIGH COURT</w:t>
      </w:r>
    </w:p>
    <w:p w14:paraId="429B29C5" w14:textId="77777777" w:rsidR="001E0694" w:rsidRDefault="001E0694" w:rsidP="00826E8A">
      <w:pPr>
        <w:spacing w:line="240" w:lineRule="auto"/>
        <w:jc w:val="both"/>
        <w:rPr>
          <w:rFonts w:ascii="Arial" w:hAnsi="Arial" w:cs="Arial"/>
          <w:b/>
          <w:bCs/>
          <w:sz w:val="24"/>
          <w:szCs w:val="24"/>
        </w:rPr>
      </w:pPr>
    </w:p>
    <w:p w14:paraId="33A4BC1A" w14:textId="5322386C" w:rsidR="001E0694" w:rsidRPr="00930819" w:rsidRDefault="001E0694" w:rsidP="00826E8A">
      <w:pPr>
        <w:spacing w:line="240" w:lineRule="auto"/>
        <w:jc w:val="both"/>
        <w:rPr>
          <w:rFonts w:ascii="Arial" w:hAnsi="Arial" w:cs="Arial"/>
          <w:sz w:val="24"/>
          <w:szCs w:val="24"/>
        </w:rPr>
      </w:pPr>
      <w:r w:rsidRPr="00930819">
        <w:rPr>
          <w:rFonts w:ascii="Arial" w:hAnsi="Arial" w:cs="Arial"/>
          <w:sz w:val="24"/>
          <w:szCs w:val="24"/>
        </w:rPr>
        <w:t>I agree</w:t>
      </w:r>
      <w:r w:rsidR="00930819" w:rsidRPr="00930819">
        <w:rPr>
          <w:rFonts w:ascii="Arial" w:hAnsi="Arial" w:cs="Arial"/>
          <w:sz w:val="24"/>
          <w:szCs w:val="24"/>
        </w:rPr>
        <w:t>.</w:t>
      </w:r>
    </w:p>
    <w:p w14:paraId="05B1BA4A" w14:textId="77777777" w:rsidR="001E0694" w:rsidRDefault="001E0694" w:rsidP="00826E8A">
      <w:pPr>
        <w:spacing w:line="240" w:lineRule="auto"/>
        <w:jc w:val="both"/>
        <w:rPr>
          <w:rFonts w:ascii="Arial" w:hAnsi="Arial" w:cs="Arial"/>
          <w:b/>
          <w:bCs/>
          <w:sz w:val="24"/>
          <w:szCs w:val="24"/>
        </w:rPr>
      </w:pPr>
    </w:p>
    <w:p w14:paraId="74447D11" w14:textId="77777777" w:rsidR="001E0694" w:rsidRDefault="001E0694" w:rsidP="00826E8A">
      <w:pPr>
        <w:spacing w:line="240" w:lineRule="auto"/>
        <w:jc w:val="both"/>
        <w:rPr>
          <w:rFonts w:ascii="Arial" w:hAnsi="Arial" w:cs="Arial"/>
          <w:b/>
          <w:bCs/>
          <w:sz w:val="24"/>
          <w:szCs w:val="24"/>
        </w:rPr>
      </w:pPr>
    </w:p>
    <w:p w14:paraId="5C9B1058" w14:textId="77777777" w:rsidR="001E0694" w:rsidRDefault="001E0694" w:rsidP="00826E8A">
      <w:pPr>
        <w:spacing w:line="240" w:lineRule="auto"/>
        <w:jc w:val="both"/>
        <w:rPr>
          <w:rFonts w:ascii="Arial" w:hAnsi="Arial" w:cs="Arial"/>
          <w:b/>
          <w:bCs/>
          <w:sz w:val="24"/>
          <w:szCs w:val="24"/>
        </w:rPr>
      </w:pPr>
    </w:p>
    <w:p w14:paraId="701C4124" w14:textId="2EB101CA" w:rsidR="001E0694" w:rsidRPr="001E0694" w:rsidRDefault="001E0694" w:rsidP="00826E8A">
      <w:pPr>
        <w:spacing w:line="240" w:lineRule="auto"/>
        <w:jc w:val="both"/>
        <w:rPr>
          <w:rFonts w:ascii="Arial" w:hAnsi="Arial" w:cs="Arial"/>
          <w:sz w:val="24"/>
          <w:szCs w:val="24"/>
        </w:rPr>
      </w:pPr>
      <w:r w:rsidRPr="001E0694">
        <w:rPr>
          <w:rFonts w:ascii="Arial" w:hAnsi="Arial" w:cs="Arial"/>
          <w:sz w:val="24"/>
          <w:szCs w:val="24"/>
        </w:rPr>
        <w:t>__________________________</w:t>
      </w:r>
    </w:p>
    <w:p w14:paraId="0D3552CD" w14:textId="78F8772F" w:rsidR="001E0694" w:rsidRDefault="001E0694" w:rsidP="00826E8A">
      <w:pPr>
        <w:spacing w:line="240" w:lineRule="auto"/>
        <w:jc w:val="both"/>
        <w:rPr>
          <w:rFonts w:ascii="Arial" w:hAnsi="Arial" w:cs="Arial"/>
          <w:b/>
          <w:bCs/>
          <w:sz w:val="24"/>
          <w:szCs w:val="24"/>
        </w:rPr>
      </w:pPr>
      <w:r>
        <w:rPr>
          <w:rFonts w:ascii="Arial" w:hAnsi="Arial" w:cs="Arial"/>
          <w:b/>
          <w:bCs/>
          <w:sz w:val="24"/>
          <w:szCs w:val="24"/>
        </w:rPr>
        <w:t xml:space="preserve">GNZ MJALI </w:t>
      </w:r>
    </w:p>
    <w:p w14:paraId="1DE68FA5" w14:textId="44694931" w:rsidR="001E0694" w:rsidRDefault="001E0694" w:rsidP="00826E8A">
      <w:pPr>
        <w:spacing w:line="240" w:lineRule="auto"/>
        <w:jc w:val="both"/>
        <w:rPr>
          <w:rFonts w:ascii="Arial" w:hAnsi="Arial" w:cs="Arial"/>
          <w:b/>
          <w:bCs/>
          <w:sz w:val="24"/>
          <w:szCs w:val="24"/>
        </w:rPr>
      </w:pPr>
      <w:r>
        <w:rPr>
          <w:rFonts w:ascii="Arial" w:hAnsi="Arial" w:cs="Arial"/>
          <w:b/>
          <w:bCs/>
          <w:sz w:val="24"/>
          <w:szCs w:val="24"/>
        </w:rPr>
        <w:t>JUDGE OF THE HIGH COURT</w:t>
      </w:r>
    </w:p>
    <w:p w14:paraId="47A4A4D0" w14:textId="77777777" w:rsidR="00826E8A" w:rsidRDefault="00826E8A" w:rsidP="00826E8A">
      <w:pPr>
        <w:spacing w:line="240" w:lineRule="auto"/>
        <w:jc w:val="both"/>
        <w:rPr>
          <w:rFonts w:ascii="Arial" w:hAnsi="Arial" w:cs="Arial"/>
          <w:b/>
          <w:bCs/>
          <w:sz w:val="24"/>
          <w:szCs w:val="24"/>
        </w:rPr>
      </w:pPr>
    </w:p>
    <w:p w14:paraId="53EB375D" w14:textId="295A08A7" w:rsidR="00826E8A" w:rsidRDefault="00826E8A" w:rsidP="00826E8A">
      <w:pPr>
        <w:spacing w:line="240" w:lineRule="auto"/>
        <w:jc w:val="both"/>
        <w:rPr>
          <w:rFonts w:ascii="Arial" w:hAnsi="Arial" w:cs="Arial"/>
          <w:b/>
          <w:bCs/>
          <w:sz w:val="24"/>
          <w:szCs w:val="24"/>
        </w:rPr>
      </w:pPr>
      <w:r>
        <w:rPr>
          <w:rFonts w:ascii="Arial" w:hAnsi="Arial" w:cs="Arial"/>
          <w:b/>
          <w:bCs/>
          <w:sz w:val="24"/>
          <w:szCs w:val="24"/>
        </w:rPr>
        <w:t>APPEARANCE</w:t>
      </w:r>
    </w:p>
    <w:p w14:paraId="7E08BCEA" w14:textId="6DE8D4DB" w:rsidR="00826E8A" w:rsidRPr="00315A5F" w:rsidRDefault="00826E8A" w:rsidP="00315A5F">
      <w:pPr>
        <w:spacing w:line="240" w:lineRule="auto"/>
        <w:ind w:left="3600" w:hanging="3600"/>
        <w:jc w:val="both"/>
        <w:rPr>
          <w:rFonts w:ascii="Arial" w:hAnsi="Arial" w:cs="Arial"/>
          <w:sz w:val="24"/>
          <w:szCs w:val="24"/>
        </w:rPr>
      </w:pPr>
      <w:r w:rsidRPr="00315A5F">
        <w:rPr>
          <w:rFonts w:ascii="Arial" w:hAnsi="Arial" w:cs="Arial"/>
          <w:sz w:val="24"/>
          <w:szCs w:val="24"/>
        </w:rPr>
        <w:t>For the applicant:</w:t>
      </w:r>
      <w:r w:rsidRPr="00315A5F">
        <w:rPr>
          <w:rFonts w:ascii="Arial" w:hAnsi="Arial" w:cs="Arial"/>
          <w:sz w:val="24"/>
          <w:szCs w:val="24"/>
        </w:rPr>
        <w:tab/>
      </w:r>
      <w:r w:rsidR="00371560" w:rsidRPr="00315A5F">
        <w:rPr>
          <w:rFonts w:ascii="Arial" w:hAnsi="Arial" w:cs="Arial"/>
          <w:sz w:val="24"/>
          <w:szCs w:val="24"/>
        </w:rPr>
        <w:t>Mr Dauberman</w:t>
      </w:r>
      <w:r w:rsidR="00103E65" w:rsidRPr="00315A5F">
        <w:rPr>
          <w:rFonts w:ascii="Arial" w:hAnsi="Arial" w:cs="Arial"/>
          <w:sz w:val="24"/>
          <w:szCs w:val="24"/>
        </w:rPr>
        <w:t xml:space="preserve">n, instructed by Peter Daubermann Attorneys, </w:t>
      </w:r>
      <w:r w:rsidR="00A12400" w:rsidRPr="00315A5F">
        <w:rPr>
          <w:rFonts w:ascii="Arial" w:hAnsi="Arial" w:cs="Arial"/>
          <w:sz w:val="24"/>
          <w:szCs w:val="24"/>
        </w:rPr>
        <w:t xml:space="preserve">Gqeberha. </w:t>
      </w:r>
    </w:p>
    <w:p w14:paraId="5B251753" w14:textId="482FC5D1" w:rsidR="00A12400" w:rsidRDefault="00A12400" w:rsidP="00315A5F">
      <w:pPr>
        <w:spacing w:line="240" w:lineRule="auto"/>
        <w:ind w:left="3600" w:hanging="3600"/>
        <w:jc w:val="both"/>
        <w:rPr>
          <w:rFonts w:ascii="Arial" w:hAnsi="Arial" w:cs="Arial"/>
          <w:sz w:val="24"/>
          <w:szCs w:val="24"/>
        </w:rPr>
      </w:pPr>
      <w:r w:rsidRPr="00315A5F">
        <w:rPr>
          <w:rFonts w:ascii="Arial" w:hAnsi="Arial" w:cs="Arial"/>
          <w:sz w:val="24"/>
          <w:szCs w:val="24"/>
        </w:rPr>
        <w:t xml:space="preserve">For the </w:t>
      </w:r>
      <w:r w:rsidR="00315A5F" w:rsidRPr="00315A5F">
        <w:rPr>
          <w:rFonts w:ascii="Arial" w:hAnsi="Arial" w:cs="Arial"/>
          <w:sz w:val="24"/>
          <w:szCs w:val="24"/>
        </w:rPr>
        <w:t>1</w:t>
      </w:r>
      <w:r w:rsidR="00315A5F" w:rsidRPr="00315A5F">
        <w:rPr>
          <w:rFonts w:ascii="Arial" w:hAnsi="Arial" w:cs="Arial"/>
          <w:sz w:val="24"/>
          <w:szCs w:val="24"/>
          <w:vertAlign w:val="superscript"/>
        </w:rPr>
        <w:t>st</w:t>
      </w:r>
      <w:r w:rsidRPr="00315A5F">
        <w:rPr>
          <w:rFonts w:ascii="Arial" w:hAnsi="Arial" w:cs="Arial"/>
          <w:sz w:val="24"/>
          <w:szCs w:val="24"/>
        </w:rPr>
        <w:t xml:space="preserve"> and </w:t>
      </w:r>
      <w:r w:rsidR="00315A5F" w:rsidRPr="00315A5F">
        <w:rPr>
          <w:rFonts w:ascii="Arial" w:hAnsi="Arial" w:cs="Arial"/>
          <w:sz w:val="24"/>
          <w:szCs w:val="24"/>
        </w:rPr>
        <w:t>2</w:t>
      </w:r>
      <w:r w:rsidR="00315A5F" w:rsidRPr="00315A5F">
        <w:rPr>
          <w:rFonts w:ascii="Arial" w:hAnsi="Arial" w:cs="Arial"/>
          <w:sz w:val="24"/>
          <w:szCs w:val="24"/>
          <w:vertAlign w:val="superscript"/>
        </w:rPr>
        <w:t>nd</w:t>
      </w:r>
      <w:r w:rsidRPr="00315A5F">
        <w:rPr>
          <w:rFonts w:ascii="Arial" w:hAnsi="Arial" w:cs="Arial"/>
          <w:sz w:val="24"/>
          <w:szCs w:val="24"/>
        </w:rPr>
        <w:t xml:space="preserve"> respondents:</w:t>
      </w:r>
      <w:r w:rsidRPr="00315A5F">
        <w:rPr>
          <w:rFonts w:ascii="Arial" w:hAnsi="Arial" w:cs="Arial"/>
          <w:sz w:val="24"/>
          <w:szCs w:val="24"/>
        </w:rPr>
        <w:tab/>
        <w:t xml:space="preserve">Adv Schoeman SC, instructed by </w:t>
      </w:r>
      <w:r w:rsidR="00315A5F" w:rsidRPr="00315A5F">
        <w:rPr>
          <w:rFonts w:ascii="Arial" w:hAnsi="Arial" w:cs="Arial"/>
          <w:sz w:val="24"/>
          <w:szCs w:val="24"/>
        </w:rPr>
        <w:t xml:space="preserve">the Office of the State Attorney, Gqeberha. </w:t>
      </w:r>
    </w:p>
    <w:p w14:paraId="45B3E8CF" w14:textId="77777777" w:rsidR="00214435" w:rsidRDefault="00214435" w:rsidP="00315A5F">
      <w:pPr>
        <w:spacing w:line="240" w:lineRule="auto"/>
        <w:ind w:left="3600" w:hanging="3600"/>
        <w:jc w:val="both"/>
        <w:rPr>
          <w:rFonts w:ascii="Arial" w:hAnsi="Arial" w:cs="Arial"/>
          <w:sz w:val="24"/>
          <w:szCs w:val="24"/>
        </w:rPr>
      </w:pPr>
    </w:p>
    <w:p w14:paraId="4CADE83C" w14:textId="4C825920" w:rsidR="000048A0" w:rsidRDefault="000048A0" w:rsidP="00315A5F">
      <w:pPr>
        <w:spacing w:line="240" w:lineRule="auto"/>
        <w:ind w:left="3600" w:hanging="3600"/>
        <w:jc w:val="both"/>
        <w:rPr>
          <w:rFonts w:ascii="Arial" w:hAnsi="Arial" w:cs="Arial"/>
          <w:sz w:val="24"/>
          <w:szCs w:val="24"/>
        </w:rPr>
      </w:pPr>
      <w:r>
        <w:rPr>
          <w:rFonts w:ascii="Arial" w:hAnsi="Arial" w:cs="Arial"/>
          <w:sz w:val="24"/>
          <w:szCs w:val="24"/>
        </w:rPr>
        <w:t xml:space="preserve">Date </w:t>
      </w:r>
      <w:r w:rsidR="00C81602">
        <w:rPr>
          <w:rFonts w:ascii="Arial" w:hAnsi="Arial" w:cs="Arial"/>
          <w:sz w:val="24"/>
          <w:szCs w:val="24"/>
        </w:rPr>
        <w:t>of hearing:</w:t>
      </w:r>
      <w:r w:rsidR="00C81602">
        <w:rPr>
          <w:rFonts w:ascii="Arial" w:hAnsi="Arial" w:cs="Arial"/>
          <w:sz w:val="24"/>
          <w:szCs w:val="24"/>
        </w:rPr>
        <w:tab/>
        <w:t>11 May 2023.</w:t>
      </w:r>
    </w:p>
    <w:p w14:paraId="44ADB1EB" w14:textId="3497B63C" w:rsidR="00C81602" w:rsidRPr="00315A5F" w:rsidRDefault="00C81602" w:rsidP="00315A5F">
      <w:pPr>
        <w:spacing w:line="240" w:lineRule="auto"/>
        <w:ind w:left="3600" w:hanging="3600"/>
        <w:jc w:val="both"/>
        <w:rPr>
          <w:rFonts w:ascii="Arial" w:hAnsi="Arial" w:cs="Arial"/>
          <w:sz w:val="24"/>
          <w:szCs w:val="24"/>
        </w:rPr>
      </w:pPr>
      <w:r>
        <w:rPr>
          <w:rFonts w:ascii="Arial" w:hAnsi="Arial" w:cs="Arial"/>
          <w:sz w:val="24"/>
          <w:szCs w:val="24"/>
        </w:rPr>
        <w:t>Date of delivery of judgment:</w:t>
      </w:r>
      <w:r>
        <w:rPr>
          <w:rFonts w:ascii="Arial" w:hAnsi="Arial" w:cs="Arial"/>
          <w:sz w:val="24"/>
          <w:szCs w:val="24"/>
        </w:rPr>
        <w:tab/>
      </w:r>
      <w:r w:rsidR="00214435">
        <w:rPr>
          <w:rFonts w:ascii="Arial" w:hAnsi="Arial" w:cs="Arial"/>
          <w:sz w:val="24"/>
          <w:szCs w:val="24"/>
        </w:rPr>
        <w:t>08 August 2023.</w:t>
      </w:r>
    </w:p>
    <w:sectPr w:rsidR="00C81602" w:rsidRPr="00315A5F" w:rsidSect="00D0324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5F848" w14:textId="77777777" w:rsidR="002B71DB" w:rsidRDefault="002B71DB" w:rsidP="00C45BD2">
      <w:pPr>
        <w:spacing w:after="0" w:line="240" w:lineRule="auto"/>
      </w:pPr>
      <w:r>
        <w:separator/>
      </w:r>
    </w:p>
  </w:endnote>
  <w:endnote w:type="continuationSeparator" w:id="0">
    <w:p w14:paraId="7C2BF857" w14:textId="77777777" w:rsidR="002B71DB" w:rsidRDefault="002B71DB" w:rsidP="00C4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13CC5" w14:textId="77777777" w:rsidR="002B71DB" w:rsidRDefault="002B71DB" w:rsidP="00C45BD2">
      <w:pPr>
        <w:spacing w:after="0" w:line="240" w:lineRule="auto"/>
      </w:pPr>
      <w:r>
        <w:separator/>
      </w:r>
    </w:p>
  </w:footnote>
  <w:footnote w:type="continuationSeparator" w:id="0">
    <w:p w14:paraId="1BD2C421" w14:textId="77777777" w:rsidR="002B71DB" w:rsidRDefault="002B71DB" w:rsidP="00C45BD2">
      <w:pPr>
        <w:spacing w:after="0" w:line="240" w:lineRule="auto"/>
      </w:pPr>
      <w:r>
        <w:continuationSeparator/>
      </w:r>
    </w:p>
  </w:footnote>
  <w:footnote w:id="1">
    <w:p w14:paraId="21D03993" w14:textId="01F4A529" w:rsidR="00332C10" w:rsidRPr="00332C10" w:rsidRDefault="00332C10" w:rsidP="003F1ADA">
      <w:pPr>
        <w:pStyle w:val="FootnoteText"/>
        <w:jc w:val="both"/>
        <w:rPr>
          <w:lang w:val="en-US"/>
        </w:rPr>
      </w:pPr>
      <w:r>
        <w:rPr>
          <w:rStyle w:val="FootnoteReference"/>
        </w:rPr>
        <w:footnoteRef/>
      </w:r>
      <w:r>
        <w:t xml:space="preserve"> </w:t>
      </w:r>
      <w:r>
        <w:rPr>
          <w:lang w:val="en-US"/>
        </w:rPr>
        <w:t xml:space="preserve">The definition of ‘administrative action’ in terms of </w:t>
      </w:r>
      <w:r w:rsidR="001B07B5">
        <w:rPr>
          <w:lang w:val="en-US"/>
        </w:rPr>
        <w:t xml:space="preserve">section 1 of </w:t>
      </w:r>
      <w:r>
        <w:rPr>
          <w:lang w:val="en-US"/>
        </w:rPr>
        <w:t xml:space="preserve">PAJA expressly excludes </w:t>
      </w:r>
      <w:r w:rsidR="00170B98">
        <w:rPr>
          <w:lang w:val="en-US"/>
        </w:rPr>
        <w:t xml:space="preserve">the </w:t>
      </w:r>
      <w:r w:rsidR="001B07B5">
        <w:rPr>
          <w:lang w:val="en-US"/>
        </w:rPr>
        <w:t>judicial functions of a judicial officer of a court.</w:t>
      </w:r>
    </w:p>
  </w:footnote>
  <w:footnote w:id="2">
    <w:p w14:paraId="1E3D16FD" w14:textId="08EE89F4" w:rsidR="009B0F5E" w:rsidRPr="009B0F5E" w:rsidRDefault="009B0F5E" w:rsidP="003F1ADA">
      <w:pPr>
        <w:pStyle w:val="FootnoteText"/>
        <w:jc w:val="both"/>
        <w:rPr>
          <w:lang w:val="en-US"/>
        </w:rPr>
      </w:pPr>
      <w:r>
        <w:rPr>
          <w:rStyle w:val="FootnoteReference"/>
        </w:rPr>
        <w:footnoteRef/>
      </w:r>
      <w:r>
        <w:t xml:space="preserve"> The provisions of section 173 indicate that the High Court has inherent power to protect and regulate its own process, and to develop the common law, taking into account the interests of justice. The court in </w:t>
      </w:r>
      <w:r w:rsidRPr="009B0F5E">
        <w:rPr>
          <w:i/>
          <w:iCs/>
          <w:lang w:val="en-US"/>
        </w:rPr>
        <w:t>S v Taylor</w:t>
      </w:r>
      <w:r>
        <w:rPr>
          <w:lang w:val="en-US"/>
        </w:rPr>
        <w:t xml:space="preserve"> </w:t>
      </w:r>
      <w:r w:rsidRPr="009B0F5E">
        <w:rPr>
          <w:lang w:val="en-US"/>
        </w:rPr>
        <w:t>2006 (1) SACR 51</w:t>
      </w:r>
      <w:r>
        <w:rPr>
          <w:lang w:val="en-US"/>
        </w:rPr>
        <w:t xml:space="preserve"> held that the provisions in question extended the court’s review powers</w:t>
      </w:r>
      <w:r w:rsidR="00312FA7">
        <w:rPr>
          <w:lang w:val="en-US"/>
        </w:rPr>
        <w:t xml:space="preserve"> whereas </w:t>
      </w:r>
      <w:r>
        <w:rPr>
          <w:lang w:val="en-US"/>
        </w:rPr>
        <w:t xml:space="preserve">the court in </w:t>
      </w:r>
      <w:r w:rsidRPr="009B0F5E">
        <w:rPr>
          <w:i/>
          <w:iCs/>
          <w:lang w:val="en-US"/>
        </w:rPr>
        <w:t>S v Khumalo</w:t>
      </w:r>
      <w:r>
        <w:rPr>
          <w:lang w:val="en-US"/>
        </w:rPr>
        <w:t xml:space="preserve"> 2009 (1) SACR 503 (T)</w:t>
      </w:r>
      <w:r w:rsidR="00312FA7">
        <w:rPr>
          <w:lang w:val="en-US"/>
        </w:rPr>
        <w:t xml:space="preserve"> </w:t>
      </w:r>
      <w:r w:rsidR="003806F5">
        <w:rPr>
          <w:lang w:val="en-US"/>
        </w:rPr>
        <w:t xml:space="preserve">held that the provisions did not permit a court to assume inherent jurisdiction to act contrary to an express legislative provision. See, too, the discussion in Etienne du Toit (et al), </w:t>
      </w:r>
      <w:r w:rsidR="003806F5" w:rsidRPr="003806F5">
        <w:rPr>
          <w:i/>
          <w:iCs/>
          <w:lang w:val="en-US"/>
        </w:rPr>
        <w:t>Du Toit: Commentary on the Criminal Procedure Act</w:t>
      </w:r>
      <w:r w:rsidR="003806F5">
        <w:rPr>
          <w:lang w:val="en-US"/>
        </w:rPr>
        <w:t xml:space="preserve"> (Jutastat e-publications, RS 61, 2018) at ch30-p3</w:t>
      </w:r>
      <w:r w:rsidRPr="009B0F5E">
        <w:rPr>
          <w:lang w:val="en-US"/>
        </w:rPr>
        <w:t>.</w:t>
      </w:r>
      <w:r>
        <w:rPr>
          <w:lang w:val="en-US"/>
        </w:rPr>
        <w:t xml:space="preserve"> </w:t>
      </w:r>
    </w:p>
  </w:footnote>
  <w:footnote w:id="3">
    <w:p w14:paraId="6444FD64" w14:textId="69DB8AC8" w:rsidR="00312FA7" w:rsidRPr="00312FA7" w:rsidRDefault="00312FA7" w:rsidP="008C01E9">
      <w:pPr>
        <w:pStyle w:val="FootnoteText"/>
        <w:jc w:val="both"/>
        <w:rPr>
          <w:lang w:val="en-US"/>
        </w:rPr>
      </w:pPr>
      <w:r>
        <w:rPr>
          <w:rStyle w:val="FootnoteReference"/>
        </w:rPr>
        <w:footnoteRef/>
      </w:r>
      <w:r>
        <w:t xml:space="preserve"> </w:t>
      </w:r>
      <w:r w:rsidRPr="00312FA7">
        <w:t>2015 (1) SA 503</w:t>
      </w:r>
      <w:r>
        <w:t>.</w:t>
      </w:r>
    </w:p>
  </w:footnote>
  <w:footnote w:id="4">
    <w:p w14:paraId="32DA1258" w14:textId="4401F567" w:rsidR="00312FA7" w:rsidRPr="00312FA7" w:rsidRDefault="00312FA7" w:rsidP="008C01E9">
      <w:pPr>
        <w:pStyle w:val="FootnoteText"/>
        <w:jc w:val="both"/>
        <w:rPr>
          <w:lang w:val="en-US"/>
        </w:rPr>
      </w:pPr>
      <w:r>
        <w:rPr>
          <w:rStyle w:val="FootnoteReference"/>
        </w:rPr>
        <w:footnoteRef/>
      </w:r>
      <w:r>
        <w:t xml:space="preserve"> </w:t>
      </w:r>
      <w:r>
        <w:rPr>
          <w:lang w:val="en-US"/>
        </w:rPr>
        <w:t xml:space="preserve">At paragraph [21]. See, too, DE van Loggerenberg, </w:t>
      </w:r>
      <w:r w:rsidRPr="00312FA7">
        <w:rPr>
          <w:i/>
          <w:iCs/>
          <w:lang w:val="en-US"/>
        </w:rPr>
        <w:t>Erasmus: Superior Court Practice</w:t>
      </w:r>
      <w:r>
        <w:rPr>
          <w:lang w:val="en-US"/>
        </w:rPr>
        <w:t xml:space="preserve"> (Jutastat e-publications, OS, 2023) at D-236.</w:t>
      </w:r>
    </w:p>
  </w:footnote>
  <w:footnote w:id="5">
    <w:p w14:paraId="4500BC69" w14:textId="75F116E3" w:rsidR="00783ECE" w:rsidRPr="00783ECE" w:rsidRDefault="00783ECE" w:rsidP="008C01E9">
      <w:pPr>
        <w:pStyle w:val="FootnoteText"/>
        <w:jc w:val="both"/>
        <w:rPr>
          <w:lang w:val="en-US"/>
        </w:rPr>
      </w:pPr>
      <w:r>
        <w:rPr>
          <w:rStyle w:val="FootnoteReference"/>
        </w:rPr>
        <w:footnoteRef/>
      </w:r>
      <w:r>
        <w:t xml:space="preserve"> </w:t>
      </w:r>
      <w:r>
        <w:rPr>
          <w:lang w:val="en-US"/>
        </w:rPr>
        <w:t xml:space="preserve">In </w:t>
      </w:r>
      <w:r w:rsidRPr="000639AA">
        <w:rPr>
          <w:i/>
          <w:iCs/>
          <w:lang w:val="en-US"/>
        </w:rPr>
        <w:t>Lion Match Co Ltd v Paper Printing Wood &amp; Allied Workers Union</w:t>
      </w:r>
      <w:r>
        <w:rPr>
          <w:lang w:val="en-US"/>
        </w:rPr>
        <w:t xml:space="preserve"> 2001 (4) SA 149 (SCA), Farlam JA confirmed, at paragraph [25], that an applicant for review who fails to bring the application within a reasonable time may (unless the delay can be condoned) lose the right to complain of the irregularity in regard to which the review is brought. See, too, </w:t>
      </w:r>
      <w:r w:rsidRPr="000639AA">
        <w:rPr>
          <w:i/>
          <w:iCs/>
          <w:lang w:val="en-US"/>
        </w:rPr>
        <w:t>Wolgroeiers</w:t>
      </w:r>
      <w:r w:rsidR="000639AA" w:rsidRPr="000639AA">
        <w:rPr>
          <w:i/>
          <w:iCs/>
          <w:lang w:val="en-US"/>
        </w:rPr>
        <w:t xml:space="preserve"> Afslaers (Edms) Bpk v Munisipaliteit van Kaapstad</w:t>
      </w:r>
      <w:r w:rsidR="000639AA">
        <w:rPr>
          <w:lang w:val="en-US"/>
        </w:rPr>
        <w:t xml:space="preserve"> 1978 (1) SA 13 (A) and </w:t>
      </w:r>
      <w:r w:rsidR="000639AA" w:rsidRPr="000639AA">
        <w:rPr>
          <w:i/>
          <w:iCs/>
          <w:lang w:val="en-US"/>
        </w:rPr>
        <w:t>Mamabolo v Rustenburg Regional Local Council</w:t>
      </w:r>
      <w:r w:rsidR="000639AA">
        <w:rPr>
          <w:lang w:val="en-US"/>
        </w:rPr>
        <w:t xml:space="preserve"> 2001 (1) SA 135 (SCA).</w:t>
      </w:r>
    </w:p>
  </w:footnote>
  <w:footnote w:id="6">
    <w:p w14:paraId="1EE0809C" w14:textId="43D228A1" w:rsidR="000639AA" w:rsidRPr="000639AA" w:rsidRDefault="000639AA" w:rsidP="008C01E9">
      <w:pPr>
        <w:pStyle w:val="FootnoteText"/>
        <w:jc w:val="both"/>
        <w:rPr>
          <w:lang w:val="en-US"/>
        </w:rPr>
      </w:pPr>
      <w:r>
        <w:rPr>
          <w:rStyle w:val="FootnoteReference"/>
        </w:rPr>
        <w:footnoteRef/>
      </w:r>
      <w:r>
        <w:t xml:space="preserve"> </w:t>
      </w:r>
      <w:r>
        <w:rPr>
          <w:lang w:val="en-US"/>
        </w:rPr>
        <w:t xml:space="preserve">Cora Hoexter and Glenn Penfold, </w:t>
      </w:r>
      <w:r w:rsidRPr="000639AA">
        <w:rPr>
          <w:i/>
          <w:iCs/>
          <w:lang w:val="en-US"/>
        </w:rPr>
        <w:t>Administrative Law in South Africa</w:t>
      </w:r>
      <w:r>
        <w:rPr>
          <w:lang w:val="en-US"/>
        </w:rPr>
        <w:t xml:space="preserve"> (Juta, 3ed, reprinted 2022) at 720.</w:t>
      </w:r>
    </w:p>
  </w:footnote>
  <w:footnote w:id="7">
    <w:p w14:paraId="1C4D585C" w14:textId="6559EBF4" w:rsidR="00792202" w:rsidRPr="00792202" w:rsidRDefault="00792202" w:rsidP="008C01E9">
      <w:pPr>
        <w:pStyle w:val="FootnoteText"/>
        <w:jc w:val="both"/>
        <w:rPr>
          <w:lang w:val="en-US"/>
        </w:rPr>
      </w:pPr>
      <w:r>
        <w:rPr>
          <w:rStyle w:val="FootnoteReference"/>
        </w:rPr>
        <w:footnoteRef/>
      </w:r>
      <w:r>
        <w:t xml:space="preserve"> </w:t>
      </w:r>
      <w:r>
        <w:rPr>
          <w:lang w:val="en-US"/>
        </w:rPr>
        <w:t>2005 (2) SA 302.</w:t>
      </w:r>
    </w:p>
  </w:footnote>
  <w:footnote w:id="8">
    <w:p w14:paraId="0856F40D" w14:textId="19DD445B" w:rsidR="005E1C49" w:rsidRPr="005E1C49" w:rsidRDefault="005E1C49" w:rsidP="008C01E9">
      <w:pPr>
        <w:pStyle w:val="FootnoteText"/>
        <w:jc w:val="both"/>
        <w:rPr>
          <w:lang w:val="en-US"/>
        </w:rPr>
      </w:pPr>
      <w:r>
        <w:rPr>
          <w:rStyle w:val="FootnoteReference"/>
        </w:rPr>
        <w:footnoteRef/>
      </w:r>
      <w:r>
        <w:t xml:space="preserve"> </w:t>
      </w:r>
      <w:r>
        <w:rPr>
          <w:lang w:val="en-US"/>
        </w:rPr>
        <w:t xml:space="preserve">See n </w:t>
      </w:r>
      <w:r w:rsidR="00E23897">
        <w:rPr>
          <w:lang w:val="en-US"/>
        </w:rPr>
        <w:t>5</w:t>
      </w:r>
      <w:r>
        <w:rPr>
          <w:lang w:val="en-US"/>
        </w:rPr>
        <w:t xml:space="preserve"> above.</w:t>
      </w:r>
    </w:p>
  </w:footnote>
  <w:footnote w:id="9">
    <w:p w14:paraId="0A2206D9" w14:textId="6821465F" w:rsidR="005E1C49" w:rsidRPr="005E1C49" w:rsidRDefault="005E1C49" w:rsidP="008C01E9">
      <w:pPr>
        <w:pStyle w:val="FootnoteText"/>
        <w:jc w:val="both"/>
        <w:rPr>
          <w:lang w:val="en-US"/>
        </w:rPr>
      </w:pPr>
      <w:r>
        <w:rPr>
          <w:rStyle w:val="FootnoteReference"/>
        </w:rPr>
        <w:footnoteRef/>
      </w:r>
      <w:r>
        <w:t xml:space="preserve"> </w:t>
      </w:r>
      <w:r>
        <w:rPr>
          <w:lang w:val="en-US"/>
        </w:rPr>
        <w:t>At paragraphs [46] to [48].</w:t>
      </w:r>
    </w:p>
  </w:footnote>
  <w:footnote w:id="10">
    <w:p w14:paraId="74BB029D" w14:textId="7A056B9A" w:rsidR="00176198" w:rsidRPr="00176198" w:rsidRDefault="00176198" w:rsidP="009D4A2C">
      <w:pPr>
        <w:pStyle w:val="FootnoteText"/>
        <w:jc w:val="both"/>
        <w:rPr>
          <w:lang w:val="en-US"/>
        </w:rPr>
      </w:pPr>
      <w:r>
        <w:rPr>
          <w:rStyle w:val="FootnoteReference"/>
        </w:rPr>
        <w:footnoteRef/>
      </w:r>
      <w:r>
        <w:t xml:space="preserve"> </w:t>
      </w:r>
      <w:r>
        <w:rPr>
          <w:lang w:val="en-US"/>
        </w:rPr>
        <w:t xml:space="preserve">See the discussion in Van Loggerenberg, n </w:t>
      </w:r>
      <w:r w:rsidR="002E1440">
        <w:rPr>
          <w:lang w:val="en-US"/>
        </w:rPr>
        <w:t>4</w:t>
      </w:r>
      <w:r>
        <w:rPr>
          <w:lang w:val="en-US"/>
        </w:rPr>
        <w:t xml:space="preserve"> above (RS 21, 2023) at D1-702.</w:t>
      </w:r>
    </w:p>
  </w:footnote>
  <w:footnote w:id="11">
    <w:p w14:paraId="3A1D4583" w14:textId="00F3CC1C" w:rsidR="00176198" w:rsidRPr="00176198" w:rsidRDefault="00176198" w:rsidP="009D4A2C">
      <w:pPr>
        <w:pStyle w:val="FootnoteText"/>
        <w:jc w:val="both"/>
        <w:rPr>
          <w:lang w:val="en-US"/>
        </w:rPr>
      </w:pPr>
      <w:r>
        <w:rPr>
          <w:rStyle w:val="FootnoteReference"/>
        </w:rPr>
        <w:footnoteRef/>
      </w:r>
      <w:r>
        <w:t xml:space="preserve"> </w:t>
      </w:r>
      <w:r>
        <w:rPr>
          <w:lang w:val="en-US"/>
        </w:rPr>
        <w:t xml:space="preserve">Hoexter and Penfold, n </w:t>
      </w:r>
      <w:r w:rsidR="00C1440C">
        <w:rPr>
          <w:lang w:val="en-US"/>
        </w:rPr>
        <w:t>6</w:t>
      </w:r>
      <w:r>
        <w:rPr>
          <w:lang w:val="en-US"/>
        </w:rPr>
        <w:t xml:space="preserve"> above, at 721. See, too, </w:t>
      </w:r>
      <w:r w:rsidRPr="00176198">
        <w:rPr>
          <w:i/>
          <w:iCs/>
        </w:rPr>
        <w:t>Setsokosane Busdiens (Edms) Bpk v Voorsitter, Nasionale Vervoerkommissie, en ‘n Ander</w:t>
      </w:r>
      <w:r w:rsidRPr="00176198">
        <w:t xml:space="preserve"> 1986 (2) SA 57 (A)</w:t>
      </w:r>
      <w:r w:rsidR="004A61B0">
        <w:t xml:space="preserve"> at 75C-E; and, more recently, </w:t>
      </w:r>
      <w:r w:rsidR="004A61B0" w:rsidRPr="004A61B0">
        <w:rPr>
          <w:i/>
          <w:iCs/>
        </w:rPr>
        <w:t>Madikizela-Mandela v Executors, Estate Late Mandela and others</w:t>
      </w:r>
      <w:r w:rsidR="004A61B0">
        <w:t xml:space="preserve"> 2018 (4) SA 86 (SCA), at paragraph [10].</w:t>
      </w:r>
    </w:p>
  </w:footnote>
  <w:footnote w:id="12">
    <w:p w14:paraId="053E2ECC" w14:textId="507BDECC" w:rsidR="007A03DF" w:rsidRPr="007A03DF" w:rsidRDefault="007A03DF" w:rsidP="009D4A2C">
      <w:pPr>
        <w:pStyle w:val="FootnoteText"/>
        <w:jc w:val="both"/>
        <w:rPr>
          <w:lang w:val="en-US"/>
        </w:rPr>
      </w:pPr>
      <w:r>
        <w:rPr>
          <w:rStyle w:val="FootnoteReference"/>
        </w:rPr>
        <w:footnoteRef/>
      </w:r>
      <w:r>
        <w:t xml:space="preserve"> </w:t>
      </w:r>
      <w:r w:rsidRPr="007A03DF">
        <w:rPr>
          <w:i/>
          <w:iCs/>
        </w:rPr>
        <w:t>Wolgroeiers</w:t>
      </w:r>
      <w:r>
        <w:t xml:space="preserve">, at 41; </w:t>
      </w:r>
      <w:r w:rsidRPr="007A03DF">
        <w:rPr>
          <w:i/>
          <w:iCs/>
        </w:rPr>
        <w:t>Associated Institutions Pension Fund</w:t>
      </w:r>
      <w:r w:rsidRPr="007A03DF">
        <w:t xml:space="preserve">, op cit, n </w:t>
      </w:r>
      <w:r w:rsidR="009C57D8">
        <w:t>7</w:t>
      </w:r>
      <w:r w:rsidRPr="007A03DF">
        <w:t xml:space="preserve"> above;</w:t>
      </w:r>
      <w:r>
        <w:rPr>
          <w:i/>
          <w:iCs/>
        </w:rPr>
        <w:t xml:space="preserve"> </w:t>
      </w:r>
      <w:r w:rsidRPr="007A03DF">
        <w:rPr>
          <w:i/>
          <w:iCs/>
        </w:rPr>
        <w:t>Gqwetha v Transkei Development Corporation Ltd</w:t>
      </w:r>
      <w:r>
        <w:t xml:space="preserve"> 2006 (2) SA 603 (SCA), at 612E-613A; and </w:t>
      </w:r>
      <w:r w:rsidRPr="007A03DF">
        <w:rPr>
          <w:i/>
          <w:iCs/>
        </w:rPr>
        <w:t>Madikizela-Mandela</w:t>
      </w:r>
      <w:r>
        <w:t xml:space="preserve">, </w:t>
      </w:r>
      <w:r w:rsidRPr="007A03DF">
        <w:rPr>
          <w:i/>
          <w:iCs/>
        </w:rPr>
        <w:t>op cit</w:t>
      </w:r>
      <w:r>
        <w:t>, n 1</w:t>
      </w:r>
      <w:r w:rsidR="00E0166D">
        <w:t xml:space="preserve">1 </w:t>
      </w:r>
      <w:r>
        <w:t>above.</w:t>
      </w:r>
    </w:p>
  </w:footnote>
  <w:footnote w:id="13">
    <w:p w14:paraId="45EF33A3" w14:textId="152043AE" w:rsidR="00C92577" w:rsidRPr="00C92577" w:rsidRDefault="00C92577" w:rsidP="009D4A2C">
      <w:pPr>
        <w:pStyle w:val="FootnoteText"/>
        <w:jc w:val="both"/>
        <w:rPr>
          <w:lang w:val="en-US"/>
        </w:rPr>
      </w:pPr>
      <w:r>
        <w:rPr>
          <w:rStyle w:val="FootnoteReference"/>
        </w:rPr>
        <w:footnoteRef/>
      </w:r>
      <w:r>
        <w:t xml:space="preserve"> </w:t>
      </w:r>
      <w:r w:rsidR="002409A0">
        <w:rPr>
          <w:lang w:val="en-US"/>
        </w:rPr>
        <w:t>The extract has been attached as annexure ‘LN 1’ to the applicant’s founding affidavit.</w:t>
      </w:r>
      <w:r w:rsidR="008C054D">
        <w:rPr>
          <w:lang w:val="en-US"/>
        </w:rPr>
        <w:t xml:space="preserve"> The portion in question appears at p 7, lines</w:t>
      </w:r>
      <w:r w:rsidR="008E1501">
        <w:rPr>
          <w:lang w:val="en-US"/>
        </w:rPr>
        <w:t xml:space="preserve"> 7-10 thereof.</w:t>
      </w:r>
    </w:p>
  </w:footnote>
  <w:footnote w:id="14">
    <w:p w14:paraId="7AB889AD" w14:textId="01B21F27" w:rsidR="000A1044" w:rsidRPr="000A1044" w:rsidRDefault="000A1044" w:rsidP="009D4A2C">
      <w:pPr>
        <w:pStyle w:val="FootnoteText"/>
        <w:jc w:val="both"/>
        <w:rPr>
          <w:lang w:val="en-US"/>
        </w:rPr>
      </w:pPr>
      <w:r>
        <w:rPr>
          <w:rStyle w:val="FootnoteReference"/>
        </w:rPr>
        <w:footnoteRef/>
      </w:r>
      <w:r>
        <w:t xml:space="preserve"> </w:t>
      </w:r>
      <w:r>
        <w:rPr>
          <w:lang w:val="en-US"/>
        </w:rPr>
        <w:t xml:space="preserve">1961 (4) SA </w:t>
      </w:r>
      <w:r w:rsidR="002D5AE7">
        <w:rPr>
          <w:lang w:val="en-US"/>
        </w:rPr>
        <w:t>752 (A).</w:t>
      </w:r>
    </w:p>
  </w:footnote>
  <w:footnote w:id="15">
    <w:p w14:paraId="65E45587" w14:textId="77777777" w:rsidR="00991541" w:rsidRPr="00CF0CB6" w:rsidRDefault="00991541" w:rsidP="009D4A2C">
      <w:pPr>
        <w:pStyle w:val="FootnoteText"/>
        <w:jc w:val="both"/>
        <w:rPr>
          <w:lang w:val="en-US"/>
        </w:rPr>
      </w:pPr>
      <w:r>
        <w:rPr>
          <w:rStyle w:val="FootnoteReference"/>
        </w:rPr>
        <w:footnoteRef/>
      </w:r>
      <w:r>
        <w:t xml:space="preserve"> </w:t>
      </w:r>
      <w:r>
        <w:rPr>
          <w:lang w:val="en-US"/>
        </w:rPr>
        <w:t>2020 (2) SACR 604 (CC).</w:t>
      </w:r>
    </w:p>
  </w:footnote>
  <w:footnote w:id="16">
    <w:p w14:paraId="75B3B60A" w14:textId="1C15FCB8" w:rsidR="001F6E21" w:rsidRPr="001F6E21" w:rsidRDefault="001F6E21" w:rsidP="009D4A2C">
      <w:pPr>
        <w:pStyle w:val="FootnoteText"/>
        <w:jc w:val="both"/>
        <w:rPr>
          <w:lang w:val="en-US"/>
        </w:rPr>
      </w:pPr>
      <w:r>
        <w:rPr>
          <w:rStyle w:val="FootnoteReference"/>
        </w:rPr>
        <w:footnoteRef/>
      </w:r>
      <w:r>
        <w:t xml:space="preserve"> </w:t>
      </w:r>
      <w:r>
        <w:rPr>
          <w:lang w:val="en-US"/>
        </w:rPr>
        <w:t>Se</w:t>
      </w:r>
      <w:r w:rsidR="00A37B77">
        <w:rPr>
          <w:lang w:val="en-US"/>
        </w:rPr>
        <w:t>ction 35(3)(f) of the Constitution</w:t>
      </w:r>
      <w:r w:rsidR="00CA31DD">
        <w:rPr>
          <w:lang w:val="en-US"/>
        </w:rPr>
        <w:t xml:space="preserve"> of the Republic of South Africa, 1996.</w:t>
      </w:r>
    </w:p>
  </w:footnote>
  <w:footnote w:id="17">
    <w:p w14:paraId="202132C6" w14:textId="4344C90B" w:rsidR="00B05377" w:rsidRPr="00B05377" w:rsidRDefault="00B05377" w:rsidP="009D4A2C">
      <w:pPr>
        <w:pStyle w:val="FootnoteText"/>
        <w:jc w:val="both"/>
        <w:rPr>
          <w:lang w:val="en-US"/>
        </w:rPr>
      </w:pPr>
      <w:r>
        <w:rPr>
          <w:rStyle w:val="FootnoteReference"/>
        </w:rPr>
        <w:footnoteRef/>
      </w:r>
      <w:r>
        <w:t xml:space="preserve"> </w:t>
      </w:r>
      <w:r>
        <w:rPr>
          <w:lang w:val="en-US"/>
        </w:rPr>
        <w:t>At paragraphs [47] and [48].</w:t>
      </w:r>
    </w:p>
  </w:footnote>
  <w:footnote w:id="18">
    <w:p w14:paraId="3209C7C1" w14:textId="16E6B86F" w:rsidR="00C124DA" w:rsidRPr="00C124DA" w:rsidRDefault="00C124DA" w:rsidP="00D23896">
      <w:pPr>
        <w:pStyle w:val="FootnoteText"/>
        <w:jc w:val="both"/>
        <w:rPr>
          <w:lang w:val="en-US"/>
        </w:rPr>
      </w:pPr>
      <w:r>
        <w:rPr>
          <w:rStyle w:val="FootnoteReference"/>
        </w:rPr>
        <w:footnoteRef/>
      </w:r>
      <w:r>
        <w:t xml:space="preserve"> </w:t>
      </w:r>
      <w:r>
        <w:rPr>
          <w:lang w:val="en-US"/>
        </w:rPr>
        <w:t>2002 (2) SACR 211 (SCA).</w:t>
      </w:r>
    </w:p>
  </w:footnote>
  <w:footnote w:id="19">
    <w:p w14:paraId="52206324" w14:textId="71C0A93F" w:rsidR="0083006D" w:rsidRPr="0083006D" w:rsidRDefault="0083006D" w:rsidP="00D23896">
      <w:pPr>
        <w:pStyle w:val="FootnoteText"/>
        <w:jc w:val="both"/>
        <w:rPr>
          <w:lang w:val="en-US"/>
        </w:rPr>
      </w:pPr>
      <w:r>
        <w:rPr>
          <w:rStyle w:val="FootnoteReference"/>
        </w:rPr>
        <w:footnoteRef/>
      </w:r>
      <w:r>
        <w:t xml:space="preserve"> </w:t>
      </w:r>
      <w:r>
        <w:rPr>
          <w:lang w:val="en-US"/>
        </w:rPr>
        <w:t>At paragraphs [11] and [12].</w:t>
      </w:r>
    </w:p>
  </w:footnote>
  <w:footnote w:id="20">
    <w:p w14:paraId="783C780B" w14:textId="4E6F24F8" w:rsidR="00E31316" w:rsidRPr="00E31316" w:rsidRDefault="00E31316" w:rsidP="00D23896">
      <w:pPr>
        <w:pStyle w:val="FootnoteText"/>
        <w:jc w:val="both"/>
        <w:rPr>
          <w:lang w:val="en-US"/>
        </w:rPr>
      </w:pPr>
      <w:r>
        <w:rPr>
          <w:rStyle w:val="FootnoteReference"/>
        </w:rPr>
        <w:footnoteRef/>
      </w:r>
      <w:r>
        <w:t xml:space="preserve"> </w:t>
      </w:r>
      <w:r>
        <w:rPr>
          <w:lang w:val="en-US"/>
        </w:rPr>
        <w:t xml:space="preserve">See, too, an earlier decision of the High Court in </w:t>
      </w:r>
      <w:r w:rsidRPr="00E31316">
        <w:rPr>
          <w:i/>
          <w:iCs/>
          <w:lang w:val="en-US"/>
        </w:rPr>
        <w:t>S v Swanepoel and others</w:t>
      </w:r>
      <w:r>
        <w:rPr>
          <w:lang w:val="en-US"/>
        </w:rPr>
        <w:t xml:space="preserve"> 2000 (1) SACR 384 (O).</w:t>
      </w:r>
    </w:p>
  </w:footnote>
  <w:footnote w:id="21">
    <w:p w14:paraId="6611E649" w14:textId="4A56AE5A" w:rsidR="0013250A" w:rsidRPr="0013250A" w:rsidRDefault="0013250A" w:rsidP="008B0F32">
      <w:pPr>
        <w:pStyle w:val="FootnoteText"/>
        <w:jc w:val="both"/>
        <w:rPr>
          <w:lang w:val="en-US"/>
        </w:rPr>
      </w:pPr>
      <w:r>
        <w:rPr>
          <w:rStyle w:val="FootnoteReference"/>
        </w:rPr>
        <w:footnoteRef/>
      </w:r>
      <w:r>
        <w:t xml:space="preserve"> </w:t>
      </w:r>
      <w:r>
        <w:rPr>
          <w:lang w:val="en-US"/>
        </w:rPr>
        <w:t>2018 (2) SACR 485 (SCA).</w:t>
      </w:r>
    </w:p>
  </w:footnote>
  <w:footnote w:id="22">
    <w:p w14:paraId="1220BA4D" w14:textId="7819B96B" w:rsidR="00DD3763" w:rsidRPr="00DD3763" w:rsidRDefault="00DD3763" w:rsidP="008B0F32">
      <w:pPr>
        <w:pStyle w:val="FootnoteText"/>
        <w:jc w:val="both"/>
        <w:rPr>
          <w:lang w:val="en-US"/>
        </w:rPr>
      </w:pPr>
      <w:r>
        <w:rPr>
          <w:rStyle w:val="FootnoteReference"/>
        </w:rPr>
        <w:footnoteRef/>
      </w:r>
      <w:r>
        <w:t xml:space="preserve"> </w:t>
      </w:r>
      <w:r>
        <w:rPr>
          <w:lang w:val="en-US"/>
        </w:rPr>
        <w:t>At paragraph [13].</w:t>
      </w:r>
    </w:p>
  </w:footnote>
  <w:footnote w:id="23">
    <w:p w14:paraId="009F2011" w14:textId="77777777" w:rsidR="009B3D8D" w:rsidRPr="002362AD" w:rsidRDefault="009B3D8D" w:rsidP="008B0F32">
      <w:pPr>
        <w:pStyle w:val="FootnoteText"/>
        <w:jc w:val="both"/>
        <w:rPr>
          <w:lang w:val="en-US"/>
        </w:rPr>
      </w:pPr>
      <w:r>
        <w:rPr>
          <w:rStyle w:val="FootnoteReference"/>
        </w:rPr>
        <w:footnoteRef/>
      </w:r>
      <w:r>
        <w:t xml:space="preserve"> </w:t>
      </w:r>
      <w:r>
        <w:rPr>
          <w:lang w:val="en-US"/>
        </w:rPr>
        <w:t xml:space="preserve">See, in this regard, </w:t>
      </w:r>
      <w:r w:rsidRPr="009F3364">
        <w:rPr>
          <w:i/>
          <w:iCs/>
          <w:lang w:val="en-US"/>
        </w:rPr>
        <w:t>S v Sibeko and others</w:t>
      </w:r>
      <w:r>
        <w:rPr>
          <w:lang w:val="en-US"/>
        </w:rPr>
        <w:t xml:space="preserve"> 2017 (2) SACR 457 (FB), where Hefer AJ held that an accused’s right to a fair trial was infringed where he was represented by a person without the necessary qualifications to practise as a legal practitioner.</w:t>
      </w:r>
    </w:p>
  </w:footnote>
  <w:footnote w:id="24">
    <w:p w14:paraId="4EB91C6B" w14:textId="2D7E8FC3" w:rsidR="009B3D8D" w:rsidRPr="009B3D8D" w:rsidRDefault="009B3D8D" w:rsidP="008B0F32">
      <w:pPr>
        <w:pStyle w:val="FootnoteText"/>
        <w:jc w:val="both"/>
        <w:rPr>
          <w:lang w:val="en-US"/>
        </w:rPr>
      </w:pPr>
      <w:r>
        <w:rPr>
          <w:rStyle w:val="FootnoteReference"/>
        </w:rPr>
        <w:footnoteRef/>
      </w:r>
      <w:r>
        <w:t xml:space="preserve"> </w:t>
      </w:r>
      <w:r>
        <w:rPr>
          <w:lang w:val="en-US"/>
        </w:rPr>
        <w:t xml:space="preserve">In </w:t>
      </w:r>
      <w:r w:rsidRPr="009B3D8D">
        <w:rPr>
          <w:i/>
          <w:iCs/>
          <w:lang w:val="en-US"/>
        </w:rPr>
        <w:t>Halgryn</w:t>
      </w:r>
      <w:r>
        <w:rPr>
          <w:lang w:val="en-US"/>
        </w:rPr>
        <w:t xml:space="preserve"> (n 18 above), Harms JA observed, at paragraph [14], that ‘[t]he constitutional right to counsel must be real and not illusory and an accused has, in principle, the right to a proper, effective or competent defence.’</w:t>
      </w:r>
    </w:p>
  </w:footnote>
  <w:footnote w:id="25">
    <w:p w14:paraId="56C14F51" w14:textId="76D7729C" w:rsidR="00FF620C" w:rsidRPr="00FF620C" w:rsidRDefault="00FF620C" w:rsidP="00D749D0">
      <w:pPr>
        <w:pStyle w:val="FootnoteText"/>
        <w:jc w:val="both"/>
        <w:rPr>
          <w:lang w:val="en-US"/>
        </w:rPr>
      </w:pPr>
      <w:r>
        <w:rPr>
          <w:rStyle w:val="FootnoteReference"/>
        </w:rPr>
        <w:footnoteRef/>
      </w:r>
      <w:r>
        <w:t xml:space="preserve"> See, i</w:t>
      </w:r>
      <w:r>
        <w:rPr>
          <w:lang w:val="en-US"/>
        </w:rPr>
        <w:t xml:space="preserve">n this regard, </w:t>
      </w:r>
      <w:r w:rsidRPr="00FF620C">
        <w:rPr>
          <w:i/>
          <w:iCs/>
          <w:lang w:val="en-US"/>
        </w:rPr>
        <w:t>Mandela v Executors, Estate Late Nelson Rolihlahla Mandela and others</w:t>
      </w:r>
      <w:r w:rsidR="002206E3">
        <w:rPr>
          <w:lang w:val="en-US"/>
        </w:rPr>
        <w:t>, n 11 above,</w:t>
      </w:r>
      <w:r>
        <w:rPr>
          <w:lang w:val="en-US"/>
        </w:rPr>
        <w:t xml:space="preserve"> at paragraph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045157"/>
      <w:docPartObj>
        <w:docPartGallery w:val="Page Numbers (Top of Page)"/>
        <w:docPartUnique/>
      </w:docPartObj>
    </w:sdtPr>
    <w:sdtEndPr>
      <w:rPr>
        <w:noProof/>
      </w:rPr>
    </w:sdtEndPr>
    <w:sdtContent>
      <w:p w14:paraId="65EFCCD8" w14:textId="0EB80AB7" w:rsidR="00D03241" w:rsidRDefault="00D03241">
        <w:pPr>
          <w:pStyle w:val="Header"/>
          <w:jc w:val="center"/>
        </w:pPr>
        <w:r>
          <w:fldChar w:fldCharType="begin"/>
        </w:r>
        <w:r>
          <w:instrText xml:space="preserve"> PAGE   \* MERGEFORMAT </w:instrText>
        </w:r>
        <w:r>
          <w:fldChar w:fldCharType="separate"/>
        </w:r>
        <w:r w:rsidR="00233C47">
          <w:rPr>
            <w:noProof/>
          </w:rPr>
          <w:t>2</w:t>
        </w:r>
        <w:r>
          <w:rPr>
            <w:noProof/>
          </w:rPr>
          <w:fldChar w:fldCharType="end"/>
        </w:r>
      </w:p>
    </w:sdtContent>
  </w:sdt>
  <w:p w14:paraId="4D08E917" w14:textId="77777777" w:rsidR="00D03241" w:rsidRDefault="00D03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7FEC"/>
    <w:multiLevelType w:val="hybridMultilevel"/>
    <w:tmpl w:val="C076F79C"/>
    <w:lvl w:ilvl="0" w:tplc="190E76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0760B4"/>
    <w:multiLevelType w:val="hybridMultilevel"/>
    <w:tmpl w:val="4D285884"/>
    <w:lvl w:ilvl="0" w:tplc="190E76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82428C"/>
    <w:multiLevelType w:val="hybridMultilevel"/>
    <w:tmpl w:val="405A16A4"/>
    <w:lvl w:ilvl="0" w:tplc="190E76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CFC7F23"/>
    <w:multiLevelType w:val="hybridMultilevel"/>
    <w:tmpl w:val="69682B42"/>
    <w:lvl w:ilvl="0" w:tplc="190E76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4740B43"/>
    <w:multiLevelType w:val="hybridMultilevel"/>
    <w:tmpl w:val="543AA588"/>
    <w:lvl w:ilvl="0" w:tplc="190E76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7211CDE"/>
    <w:multiLevelType w:val="hybridMultilevel"/>
    <w:tmpl w:val="F4784916"/>
    <w:lvl w:ilvl="0" w:tplc="1FA2E2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BBF57A0"/>
    <w:multiLevelType w:val="hybridMultilevel"/>
    <w:tmpl w:val="E2DE072A"/>
    <w:lvl w:ilvl="0" w:tplc="4888E0B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F18A6"/>
    <w:multiLevelType w:val="hybridMultilevel"/>
    <w:tmpl w:val="5A3E695A"/>
    <w:lvl w:ilvl="0" w:tplc="247646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C5012C4"/>
    <w:multiLevelType w:val="hybridMultilevel"/>
    <w:tmpl w:val="2DD2306C"/>
    <w:lvl w:ilvl="0" w:tplc="190E76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E5F463D"/>
    <w:multiLevelType w:val="hybridMultilevel"/>
    <w:tmpl w:val="B53C4D8E"/>
    <w:lvl w:ilvl="0" w:tplc="190E76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8"/>
  </w:num>
  <w:num w:numId="6">
    <w:abstractNumId w:val="4"/>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6F"/>
    <w:rsid w:val="0000135C"/>
    <w:rsid w:val="00002F88"/>
    <w:rsid w:val="00002FC3"/>
    <w:rsid w:val="0000372C"/>
    <w:rsid w:val="000048A0"/>
    <w:rsid w:val="00006137"/>
    <w:rsid w:val="00024B35"/>
    <w:rsid w:val="00024F98"/>
    <w:rsid w:val="00025D0A"/>
    <w:rsid w:val="00025EED"/>
    <w:rsid w:val="000266F8"/>
    <w:rsid w:val="00027C94"/>
    <w:rsid w:val="00030573"/>
    <w:rsid w:val="00030C37"/>
    <w:rsid w:val="0003141F"/>
    <w:rsid w:val="00032C5E"/>
    <w:rsid w:val="00033BF3"/>
    <w:rsid w:val="00035250"/>
    <w:rsid w:val="000365DE"/>
    <w:rsid w:val="00042BD7"/>
    <w:rsid w:val="00044113"/>
    <w:rsid w:val="000441D3"/>
    <w:rsid w:val="00044295"/>
    <w:rsid w:val="0004541E"/>
    <w:rsid w:val="00045A42"/>
    <w:rsid w:val="00046C2A"/>
    <w:rsid w:val="00050499"/>
    <w:rsid w:val="00053DEC"/>
    <w:rsid w:val="00054D5B"/>
    <w:rsid w:val="000639AA"/>
    <w:rsid w:val="00067236"/>
    <w:rsid w:val="00076F0A"/>
    <w:rsid w:val="000803BC"/>
    <w:rsid w:val="000872B7"/>
    <w:rsid w:val="00091332"/>
    <w:rsid w:val="0009433F"/>
    <w:rsid w:val="000A0B40"/>
    <w:rsid w:val="000A1044"/>
    <w:rsid w:val="000A4518"/>
    <w:rsid w:val="000A5840"/>
    <w:rsid w:val="000B34C7"/>
    <w:rsid w:val="000C0A61"/>
    <w:rsid w:val="000C45A4"/>
    <w:rsid w:val="000C537C"/>
    <w:rsid w:val="000C538C"/>
    <w:rsid w:val="000C6C1B"/>
    <w:rsid w:val="000C7E5B"/>
    <w:rsid w:val="000E42AB"/>
    <w:rsid w:val="000F00AB"/>
    <w:rsid w:val="000F0E23"/>
    <w:rsid w:val="000F1F59"/>
    <w:rsid w:val="000F3173"/>
    <w:rsid w:val="000F7A8D"/>
    <w:rsid w:val="00103E65"/>
    <w:rsid w:val="00114269"/>
    <w:rsid w:val="00117629"/>
    <w:rsid w:val="001208F5"/>
    <w:rsid w:val="00121964"/>
    <w:rsid w:val="001237CC"/>
    <w:rsid w:val="001266CA"/>
    <w:rsid w:val="00130DC3"/>
    <w:rsid w:val="0013250A"/>
    <w:rsid w:val="001450C8"/>
    <w:rsid w:val="001502AC"/>
    <w:rsid w:val="0015358F"/>
    <w:rsid w:val="0015565F"/>
    <w:rsid w:val="0016185B"/>
    <w:rsid w:val="0016237F"/>
    <w:rsid w:val="0016579B"/>
    <w:rsid w:val="001657B0"/>
    <w:rsid w:val="00170B98"/>
    <w:rsid w:val="00171D84"/>
    <w:rsid w:val="00176198"/>
    <w:rsid w:val="0017774B"/>
    <w:rsid w:val="0019046F"/>
    <w:rsid w:val="00196A50"/>
    <w:rsid w:val="001A039D"/>
    <w:rsid w:val="001A2C7A"/>
    <w:rsid w:val="001B07B5"/>
    <w:rsid w:val="001B10C9"/>
    <w:rsid w:val="001B376A"/>
    <w:rsid w:val="001C11B2"/>
    <w:rsid w:val="001D2917"/>
    <w:rsid w:val="001D6F3F"/>
    <w:rsid w:val="001E0694"/>
    <w:rsid w:val="001E2218"/>
    <w:rsid w:val="001E303B"/>
    <w:rsid w:val="001E4BCD"/>
    <w:rsid w:val="001E6964"/>
    <w:rsid w:val="001F2417"/>
    <w:rsid w:val="001F4F90"/>
    <w:rsid w:val="001F6E21"/>
    <w:rsid w:val="00202CA0"/>
    <w:rsid w:val="00202D85"/>
    <w:rsid w:val="00214316"/>
    <w:rsid w:val="00214435"/>
    <w:rsid w:val="00216EC4"/>
    <w:rsid w:val="0021707D"/>
    <w:rsid w:val="002206E3"/>
    <w:rsid w:val="0022130C"/>
    <w:rsid w:val="00222EC7"/>
    <w:rsid w:val="002249C7"/>
    <w:rsid w:val="00225821"/>
    <w:rsid w:val="00233C47"/>
    <w:rsid w:val="002347D6"/>
    <w:rsid w:val="002362AD"/>
    <w:rsid w:val="002409A0"/>
    <w:rsid w:val="00243E11"/>
    <w:rsid w:val="002454C1"/>
    <w:rsid w:val="00245FB7"/>
    <w:rsid w:val="00254976"/>
    <w:rsid w:val="002721C5"/>
    <w:rsid w:val="00281A4C"/>
    <w:rsid w:val="00284A73"/>
    <w:rsid w:val="002866FD"/>
    <w:rsid w:val="00286B5B"/>
    <w:rsid w:val="0029431B"/>
    <w:rsid w:val="00295A07"/>
    <w:rsid w:val="002A04CC"/>
    <w:rsid w:val="002A6B6A"/>
    <w:rsid w:val="002B183F"/>
    <w:rsid w:val="002B5480"/>
    <w:rsid w:val="002B61E4"/>
    <w:rsid w:val="002B6261"/>
    <w:rsid w:val="002B71DB"/>
    <w:rsid w:val="002C00D1"/>
    <w:rsid w:val="002C3C7C"/>
    <w:rsid w:val="002D26F7"/>
    <w:rsid w:val="002D3887"/>
    <w:rsid w:val="002D40DB"/>
    <w:rsid w:val="002D5AE7"/>
    <w:rsid w:val="002E1440"/>
    <w:rsid w:val="002E3935"/>
    <w:rsid w:val="002F2D14"/>
    <w:rsid w:val="00303829"/>
    <w:rsid w:val="00305BBE"/>
    <w:rsid w:val="0030651D"/>
    <w:rsid w:val="00310BF6"/>
    <w:rsid w:val="00312FA7"/>
    <w:rsid w:val="0031445E"/>
    <w:rsid w:val="00315A5F"/>
    <w:rsid w:val="00322B77"/>
    <w:rsid w:val="00323F6B"/>
    <w:rsid w:val="00324E7E"/>
    <w:rsid w:val="0032609A"/>
    <w:rsid w:val="0032745F"/>
    <w:rsid w:val="00330BEA"/>
    <w:rsid w:val="00332C10"/>
    <w:rsid w:val="00335603"/>
    <w:rsid w:val="00337C36"/>
    <w:rsid w:val="00343273"/>
    <w:rsid w:val="0034579E"/>
    <w:rsid w:val="0036000C"/>
    <w:rsid w:val="0036690C"/>
    <w:rsid w:val="00371560"/>
    <w:rsid w:val="00375121"/>
    <w:rsid w:val="003806F5"/>
    <w:rsid w:val="00381D49"/>
    <w:rsid w:val="003832F2"/>
    <w:rsid w:val="00383387"/>
    <w:rsid w:val="00383DE8"/>
    <w:rsid w:val="0039040D"/>
    <w:rsid w:val="00391A06"/>
    <w:rsid w:val="00392A17"/>
    <w:rsid w:val="00397B30"/>
    <w:rsid w:val="003A1314"/>
    <w:rsid w:val="003A6134"/>
    <w:rsid w:val="003B5211"/>
    <w:rsid w:val="003C1CA8"/>
    <w:rsid w:val="003C206E"/>
    <w:rsid w:val="003C4E88"/>
    <w:rsid w:val="003C6D58"/>
    <w:rsid w:val="003D0271"/>
    <w:rsid w:val="003D3B6D"/>
    <w:rsid w:val="003D44E8"/>
    <w:rsid w:val="003D453C"/>
    <w:rsid w:val="003D77BE"/>
    <w:rsid w:val="003E0615"/>
    <w:rsid w:val="003E06F7"/>
    <w:rsid w:val="003E56A7"/>
    <w:rsid w:val="003E7901"/>
    <w:rsid w:val="003F1ADA"/>
    <w:rsid w:val="003F1D87"/>
    <w:rsid w:val="003F2395"/>
    <w:rsid w:val="00400154"/>
    <w:rsid w:val="0041303B"/>
    <w:rsid w:val="00425B5C"/>
    <w:rsid w:val="004306AF"/>
    <w:rsid w:val="004420F3"/>
    <w:rsid w:val="00443580"/>
    <w:rsid w:val="00454D04"/>
    <w:rsid w:val="00463D3D"/>
    <w:rsid w:val="004663FC"/>
    <w:rsid w:val="00470F5C"/>
    <w:rsid w:val="00482D0B"/>
    <w:rsid w:val="00494041"/>
    <w:rsid w:val="004A1A21"/>
    <w:rsid w:val="004A4A7C"/>
    <w:rsid w:val="004A61B0"/>
    <w:rsid w:val="004B0BBB"/>
    <w:rsid w:val="004C1B9A"/>
    <w:rsid w:val="004D202E"/>
    <w:rsid w:val="004D3A74"/>
    <w:rsid w:val="004D4F70"/>
    <w:rsid w:val="004D6773"/>
    <w:rsid w:val="004E2D3E"/>
    <w:rsid w:val="004E385B"/>
    <w:rsid w:val="004F070E"/>
    <w:rsid w:val="004F26FE"/>
    <w:rsid w:val="004F464D"/>
    <w:rsid w:val="004F4E67"/>
    <w:rsid w:val="004F5CD4"/>
    <w:rsid w:val="00500758"/>
    <w:rsid w:val="00506E41"/>
    <w:rsid w:val="005072F1"/>
    <w:rsid w:val="00507A21"/>
    <w:rsid w:val="00510451"/>
    <w:rsid w:val="00514E26"/>
    <w:rsid w:val="00516C21"/>
    <w:rsid w:val="005171B4"/>
    <w:rsid w:val="00525FB6"/>
    <w:rsid w:val="00535B20"/>
    <w:rsid w:val="00543FBD"/>
    <w:rsid w:val="00547B1C"/>
    <w:rsid w:val="00555D8F"/>
    <w:rsid w:val="005565FE"/>
    <w:rsid w:val="00561D27"/>
    <w:rsid w:val="00562F43"/>
    <w:rsid w:val="0056334B"/>
    <w:rsid w:val="005674D6"/>
    <w:rsid w:val="00593D6C"/>
    <w:rsid w:val="005A4CF0"/>
    <w:rsid w:val="005B782B"/>
    <w:rsid w:val="005C373B"/>
    <w:rsid w:val="005C6A6B"/>
    <w:rsid w:val="005C6FB4"/>
    <w:rsid w:val="005D11F9"/>
    <w:rsid w:val="005D4747"/>
    <w:rsid w:val="005D681C"/>
    <w:rsid w:val="005E1677"/>
    <w:rsid w:val="005E1BE6"/>
    <w:rsid w:val="005E1C49"/>
    <w:rsid w:val="005E577F"/>
    <w:rsid w:val="005E594E"/>
    <w:rsid w:val="005F038F"/>
    <w:rsid w:val="005F1C3F"/>
    <w:rsid w:val="005F38B2"/>
    <w:rsid w:val="00600234"/>
    <w:rsid w:val="00600CEF"/>
    <w:rsid w:val="00607771"/>
    <w:rsid w:val="0061688D"/>
    <w:rsid w:val="00617EAE"/>
    <w:rsid w:val="00623794"/>
    <w:rsid w:val="00633705"/>
    <w:rsid w:val="006342AC"/>
    <w:rsid w:val="0065324F"/>
    <w:rsid w:val="0065341B"/>
    <w:rsid w:val="0066188E"/>
    <w:rsid w:val="00671A15"/>
    <w:rsid w:val="0067771A"/>
    <w:rsid w:val="0068223D"/>
    <w:rsid w:val="0068225B"/>
    <w:rsid w:val="00685504"/>
    <w:rsid w:val="006A4946"/>
    <w:rsid w:val="006A7DB5"/>
    <w:rsid w:val="006B2A4C"/>
    <w:rsid w:val="006C4E16"/>
    <w:rsid w:val="006C500B"/>
    <w:rsid w:val="006C7E02"/>
    <w:rsid w:val="006C7E1E"/>
    <w:rsid w:val="006D0EE7"/>
    <w:rsid w:val="006D20ED"/>
    <w:rsid w:val="006D47B9"/>
    <w:rsid w:val="006D4A7E"/>
    <w:rsid w:val="006E1FD7"/>
    <w:rsid w:val="006E7C10"/>
    <w:rsid w:val="006F7F79"/>
    <w:rsid w:val="00704A72"/>
    <w:rsid w:val="00705B87"/>
    <w:rsid w:val="00713A78"/>
    <w:rsid w:val="0072257D"/>
    <w:rsid w:val="007254E6"/>
    <w:rsid w:val="00732BFB"/>
    <w:rsid w:val="007330C0"/>
    <w:rsid w:val="00733BFE"/>
    <w:rsid w:val="00737C0D"/>
    <w:rsid w:val="00753CCB"/>
    <w:rsid w:val="007616E4"/>
    <w:rsid w:val="00772A34"/>
    <w:rsid w:val="00782BF3"/>
    <w:rsid w:val="00783ECE"/>
    <w:rsid w:val="00785ECE"/>
    <w:rsid w:val="00786E43"/>
    <w:rsid w:val="00792202"/>
    <w:rsid w:val="0079721C"/>
    <w:rsid w:val="00797435"/>
    <w:rsid w:val="007A01DA"/>
    <w:rsid w:val="007A03DF"/>
    <w:rsid w:val="007A668F"/>
    <w:rsid w:val="007B1519"/>
    <w:rsid w:val="007B32B2"/>
    <w:rsid w:val="007B5F3B"/>
    <w:rsid w:val="007C11C5"/>
    <w:rsid w:val="007C5CFC"/>
    <w:rsid w:val="007D34D6"/>
    <w:rsid w:val="007F0066"/>
    <w:rsid w:val="007F337B"/>
    <w:rsid w:val="007F43D0"/>
    <w:rsid w:val="00801485"/>
    <w:rsid w:val="00802A54"/>
    <w:rsid w:val="00811B64"/>
    <w:rsid w:val="0082495C"/>
    <w:rsid w:val="00826E8A"/>
    <w:rsid w:val="00827789"/>
    <w:rsid w:val="0083006D"/>
    <w:rsid w:val="00837EBB"/>
    <w:rsid w:val="00843787"/>
    <w:rsid w:val="00853BA9"/>
    <w:rsid w:val="0085406B"/>
    <w:rsid w:val="00857954"/>
    <w:rsid w:val="0086115B"/>
    <w:rsid w:val="00861EC0"/>
    <w:rsid w:val="00862B55"/>
    <w:rsid w:val="00873A76"/>
    <w:rsid w:val="008837D9"/>
    <w:rsid w:val="0088627A"/>
    <w:rsid w:val="00894C29"/>
    <w:rsid w:val="008A611A"/>
    <w:rsid w:val="008A6C07"/>
    <w:rsid w:val="008B0F32"/>
    <w:rsid w:val="008C01E9"/>
    <w:rsid w:val="008C054D"/>
    <w:rsid w:val="008C514D"/>
    <w:rsid w:val="008D4D31"/>
    <w:rsid w:val="008E1501"/>
    <w:rsid w:val="008F364F"/>
    <w:rsid w:val="008F4509"/>
    <w:rsid w:val="008F76B5"/>
    <w:rsid w:val="00903C4E"/>
    <w:rsid w:val="00916918"/>
    <w:rsid w:val="00920130"/>
    <w:rsid w:val="00924BFC"/>
    <w:rsid w:val="00926686"/>
    <w:rsid w:val="00927077"/>
    <w:rsid w:val="00930819"/>
    <w:rsid w:val="009309CF"/>
    <w:rsid w:val="009317EE"/>
    <w:rsid w:val="00931D6F"/>
    <w:rsid w:val="009325DF"/>
    <w:rsid w:val="00934F18"/>
    <w:rsid w:val="00937D22"/>
    <w:rsid w:val="00940EFC"/>
    <w:rsid w:val="00940F62"/>
    <w:rsid w:val="00942408"/>
    <w:rsid w:val="0094369D"/>
    <w:rsid w:val="00943C4A"/>
    <w:rsid w:val="009506F4"/>
    <w:rsid w:val="00955067"/>
    <w:rsid w:val="0095791F"/>
    <w:rsid w:val="009632AE"/>
    <w:rsid w:val="0096649D"/>
    <w:rsid w:val="00974731"/>
    <w:rsid w:val="0098090C"/>
    <w:rsid w:val="0099051C"/>
    <w:rsid w:val="009907D0"/>
    <w:rsid w:val="00990A97"/>
    <w:rsid w:val="00991541"/>
    <w:rsid w:val="00994375"/>
    <w:rsid w:val="00994390"/>
    <w:rsid w:val="00995BBC"/>
    <w:rsid w:val="00996582"/>
    <w:rsid w:val="009A2597"/>
    <w:rsid w:val="009A43F5"/>
    <w:rsid w:val="009B0F5E"/>
    <w:rsid w:val="009B2625"/>
    <w:rsid w:val="009B3D8D"/>
    <w:rsid w:val="009C4E37"/>
    <w:rsid w:val="009C57D8"/>
    <w:rsid w:val="009D49F1"/>
    <w:rsid w:val="009D4A2C"/>
    <w:rsid w:val="009D798C"/>
    <w:rsid w:val="009E00A1"/>
    <w:rsid w:val="009E3AD4"/>
    <w:rsid w:val="009F2FD1"/>
    <w:rsid w:val="009F3364"/>
    <w:rsid w:val="00A0020B"/>
    <w:rsid w:val="00A0485E"/>
    <w:rsid w:val="00A10F74"/>
    <w:rsid w:val="00A11CEB"/>
    <w:rsid w:val="00A12400"/>
    <w:rsid w:val="00A1403F"/>
    <w:rsid w:val="00A146BA"/>
    <w:rsid w:val="00A22B9E"/>
    <w:rsid w:val="00A23E76"/>
    <w:rsid w:val="00A302BA"/>
    <w:rsid w:val="00A31028"/>
    <w:rsid w:val="00A32407"/>
    <w:rsid w:val="00A37B77"/>
    <w:rsid w:val="00A424CC"/>
    <w:rsid w:val="00A42923"/>
    <w:rsid w:val="00A43D14"/>
    <w:rsid w:val="00A44C6E"/>
    <w:rsid w:val="00A51226"/>
    <w:rsid w:val="00A53D17"/>
    <w:rsid w:val="00A57504"/>
    <w:rsid w:val="00A70595"/>
    <w:rsid w:val="00A74CA5"/>
    <w:rsid w:val="00A85871"/>
    <w:rsid w:val="00A90694"/>
    <w:rsid w:val="00AA4147"/>
    <w:rsid w:val="00AB510A"/>
    <w:rsid w:val="00AB71C7"/>
    <w:rsid w:val="00AC072C"/>
    <w:rsid w:val="00AC62ED"/>
    <w:rsid w:val="00AD2C82"/>
    <w:rsid w:val="00AD7B37"/>
    <w:rsid w:val="00AE1CE2"/>
    <w:rsid w:val="00AE49D8"/>
    <w:rsid w:val="00AE60F8"/>
    <w:rsid w:val="00AF1475"/>
    <w:rsid w:val="00AF348C"/>
    <w:rsid w:val="00B00A2B"/>
    <w:rsid w:val="00B01073"/>
    <w:rsid w:val="00B05377"/>
    <w:rsid w:val="00B06318"/>
    <w:rsid w:val="00B10F3E"/>
    <w:rsid w:val="00B11DEA"/>
    <w:rsid w:val="00B1796F"/>
    <w:rsid w:val="00B21D81"/>
    <w:rsid w:val="00B2763C"/>
    <w:rsid w:val="00B36BC5"/>
    <w:rsid w:val="00B46280"/>
    <w:rsid w:val="00B50DE6"/>
    <w:rsid w:val="00B51734"/>
    <w:rsid w:val="00B544CB"/>
    <w:rsid w:val="00B77A30"/>
    <w:rsid w:val="00B80B9D"/>
    <w:rsid w:val="00B91B53"/>
    <w:rsid w:val="00B91CA8"/>
    <w:rsid w:val="00B9588F"/>
    <w:rsid w:val="00B97182"/>
    <w:rsid w:val="00BA5597"/>
    <w:rsid w:val="00BA61AD"/>
    <w:rsid w:val="00BB0DBD"/>
    <w:rsid w:val="00BD0C70"/>
    <w:rsid w:val="00BD1922"/>
    <w:rsid w:val="00BE0C52"/>
    <w:rsid w:val="00BE35B3"/>
    <w:rsid w:val="00BE55D7"/>
    <w:rsid w:val="00BE7E33"/>
    <w:rsid w:val="00BF7022"/>
    <w:rsid w:val="00C00DE0"/>
    <w:rsid w:val="00C124DA"/>
    <w:rsid w:val="00C1440C"/>
    <w:rsid w:val="00C213C8"/>
    <w:rsid w:val="00C23CF4"/>
    <w:rsid w:val="00C26777"/>
    <w:rsid w:val="00C351EC"/>
    <w:rsid w:val="00C4431F"/>
    <w:rsid w:val="00C4583C"/>
    <w:rsid w:val="00C45BD2"/>
    <w:rsid w:val="00C46F28"/>
    <w:rsid w:val="00C65CED"/>
    <w:rsid w:val="00C66C37"/>
    <w:rsid w:val="00C71C7C"/>
    <w:rsid w:val="00C77B87"/>
    <w:rsid w:val="00C81602"/>
    <w:rsid w:val="00C86CFF"/>
    <w:rsid w:val="00C920D6"/>
    <w:rsid w:val="00C92577"/>
    <w:rsid w:val="00C93047"/>
    <w:rsid w:val="00CA0D48"/>
    <w:rsid w:val="00CA31DD"/>
    <w:rsid w:val="00CA3889"/>
    <w:rsid w:val="00CA496C"/>
    <w:rsid w:val="00CB4370"/>
    <w:rsid w:val="00CB48A9"/>
    <w:rsid w:val="00CB6573"/>
    <w:rsid w:val="00CB7DC5"/>
    <w:rsid w:val="00CC2C6D"/>
    <w:rsid w:val="00CC2EA3"/>
    <w:rsid w:val="00CC3D85"/>
    <w:rsid w:val="00CD3A8D"/>
    <w:rsid w:val="00CD5550"/>
    <w:rsid w:val="00CD5A1D"/>
    <w:rsid w:val="00CE1A6A"/>
    <w:rsid w:val="00CE539A"/>
    <w:rsid w:val="00CF0CB6"/>
    <w:rsid w:val="00CF1A28"/>
    <w:rsid w:val="00D0034B"/>
    <w:rsid w:val="00D03241"/>
    <w:rsid w:val="00D06B23"/>
    <w:rsid w:val="00D10003"/>
    <w:rsid w:val="00D1047B"/>
    <w:rsid w:val="00D106F7"/>
    <w:rsid w:val="00D14228"/>
    <w:rsid w:val="00D15DA2"/>
    <w:rsid w:val="00D23896"/>
    <w:rsid w:val="00D25D6B"/>
    <w:rsid w:val="00D3144D"/>
    <w:rsid w:val="00D32D73"/>
    <w:rsid w:val="00D33420"/>
    <w:rsid w:val="00D35520"/>
    <w:rsid w:val="00D46753"/>
    <w:rsid w:val="00D51445"/>
    <w:rsid w:val="00D547A7"/>
    <w:rsid w:val="00D54C9C"/>
    <w:rsid w:val="00D577B0"/>
    <w:rsid w:val="00D737E1"/>
    <w:rsid w:val="00D749D0"/>
    <w:rsid w:val="00D804C1"/>
    <w:rsid w:val="00D84B51"/>
    <w:rsid w:val="00D878F8"/>
    <w:rsid w:val="00D94965"/>
    <w:rsid w:val="00D962D3"/>
    <w:rsid w:val="00D97B6D"/>
    <w:rsid w:val="00DA094A"/>
    <w:rsid w:val="00DA2CD7"/>
    <w:rsid w:val="00DA4109"/>
    <w:rsid w:val="00DA4E69"/>
    <w:rsid w:val="00DC45CC"/>
    <w:rsid w:val="00DC715A"/>
    <w:rsid w:val="00DC77EA"/>
    <w:rsid w:val="00DD3763"/>
    <w:rsid w:val="00DE3F0A"/>
    <w:rsid w:val="00DF2F4A"/>
    <w:rsid w:val="00DF6BB8"/>
    <w:rsid w:val="00E0166D"/>
    <w:rsid w:val="00E07B3C"/>
    <w:rsid w:val="00E13A51"/>
    <w:rsid w:val="00E14D00"/>
    <w:rsid w:val="00E22F5C"/>
    <w:rsid w:val="00E23897"/>
    <w:rsid w:val="00E31316"/>
    <w:rsid w:val="00E32420"/>
    <w:rsid w:val="00E36ABB"/>
    <w:rsid w:val="00E420C8"/>
    <w:rsid w:val="00E51A30"/>
    <w:rsid w:val="00E56864"/>
    <w:rsid w:val="00E6041B"/>
    <w:rsid w:val="00E60808"/>
    <w:rsid w:val="00E61BD4"/>
    <w:rsid w:val="00E61CD3"/>
    <w:rsid w:val="00E6674E"/>
    <w:rsid w:val="00E84EEF"/>
    <w:rsid w:val="00E95F27"/>
    <w:rsid w:val="00E97BE0"/>
    <w:rsid w:val="00EA25B9"/>
    <w:rsid w:val="00EB1172"/>
    <w:rsid w:val="00EB385A"/>
    <w:rsid w:val="00EB7B8F"/>
    <w:rsid w:val="00EC3582"/>
    <w:rsid w:val="00EC5B57"/>
    <w:rsid w:val="00EC781A"/>
    <w:rsid w:val="00EC7DB6"/>
    <w:rsid w:val="00ED02CF"/>
    <w:rsid w:val="00ED16AB"/>
    <w:rsid w:val="00ED62DD"/>
    <w:rsid w:val="00ED76C0"/>
    <w:rsid w:val="00EE222E"/>
    <w:rsid w:val="00EE2724"/>
    <w:rsid w:val="00EF4A10"/>
    <w:rsid w:val="00EF6A24"/>
    <w:rsid w:val="00F037F7"/>
    <w:rsid w:val="00F13126"/>
    <w:rsid w:val="00F15C37"/>
    <w:rsid w:val="00F16C79"/>
    <w:rsid w:val="00F23C4F"/>
    <w:rsid w:val="00F320B5"/>
    <w:rsid w:val="00F40FC0"/>
    <w:rsid w:val="00F429E6"/>
    <w:rsid w:val="00F52E9D"/>
    <w:rsid w:val="00F55D6A"/>
    <w:rsid w:val="00F55EE8"/>
    <w:rsid w:val="00F61A67"/>
    <w:rsid w:val="00F62817"/>
    <w:rsid w:val="00F668DA"/>
    <w:rsid w:val="00F843BB"/>
    <w:rsid w:val="00FB5C88"/>
    <w:rsid w:val="00FB5D84"/>
    <w:rsid w:val="00FB6A04"/>
    <w:rsid w:val="00FB6A96"/>
    <w:rsid w:val="00FC1013"/>
    <w:rsid w:val="00FC4497"/>
    <w:rsid w:val="00FD188A"/>
    <w:rsid w:val="00FD2912"/>
    <w:rsid w:val="00FD423E"/>
    <w:rsid w:val="00FE2F98"/>
    <w:rsid w:val="00FE4FCA"/>
    <w:rsid w:val="00FF0FCC"/>
    <w:rsid w:val="00FF49AE"/>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AA2C"/>
  <w15:chartTrackingRefBased/>
  <w15:docId w15:val="{B9CB24CA-D1B2-4A18-A4E8-67B82917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5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BD2"/>
    <w:rPr>
      <w:sz w:val="20"/>
      <w:szCs w:val="20"/>
      <w:lang w:val="en-ZA"/>
    </w:rPr>
  </w:style>
  <w:style w:type="character" w:styleId="FootnoteReference">
    <w:name w:val="footnote reference"/>
    <w:basedOn w:val="DefaultParagraphFont"/>
    <w:uiPriority w:val="99"/>
    <w:semiHidden/>
    <w:unhideWhenUsed/>
    <w:rsid w:val="00C45BD2"/>
    <w:rPr>
      <w:vertAlign w:val="superscript"/>
    </w:rPr>
  </w:style>
  <w:style w:type="paragraph" w:styleId="ListParagraph">
    <w:name w:val="List Paragraph"/>
    <w:basedOn w:val="Normal"/>
    <w:uiPriority w:val="34"/>
    <w:qFormat/>
    <w:rsid w:val="00C23CF4"/>
    <w:pPr>
      <w:ind w:left="720"/>
      <w:contextualSpacing/>
    </w:pPr>
  </w:style>
  <w:style w:type="paragraph" w:styleId="Header">
    <w:name w:val="header"/>
    <w:basedOn w:val="Normal"/>
    <w:link w:val="HeaderChar"/>
    <w:uiPriority w:val="99"/>
    <w:unhideWhenUsed/>
    <w:rsid w:val="00D03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241"/>
    <w:rPr>
      <w:lang w:val="en-ZA"/>
    </w:rPr>
  </w:style>
  <w:style w:type="paragraph" w:styleId="Footer">
    <w:name w:val="footer"/>
    <w:basedOn w:val="Normal"/>
    <w:link w:val="FooterChar"/>
    <w:uiPriority w:val="99"/>
    <w:unhideWhenUsed/>
    <w:rsid w:val="00D03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241"/>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4124</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Mokone</cp:lastModifiedBy>
  <cp:revision>3</cp:revision>
  <cp:lastPrinted>2023-08-03T12:12:00Z</cp:lastPrinted>
  <dcterms:created xsi:type="dcterms:W3CDTF">2023-08-11T09:11:00Z</dcterms:created>
  <dcterms:modified xsi:type="dcterms:W3CDTF">2023-08-11T09:12:00Z</dcterms:modified>
</cp:coreProperties>
</file>