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72FE2909" w:rsidR="00D450B5" w:rsidRPr="00044B50" w:rsidRDefault="00233584"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sidR="00D0400E">
        <w:rPr>
          <w:b/>
          <w:bCs/>
          <w:lang w:val="en-GB"/>
        </w:rPr>
        <w:t>MAKHANDA</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064A6C0B" w:rsidR="00E44987" w:rsidRPr="00044B50" w:rsidRDefault="00E44987" w:rsidP="008A75F3">
      <w:pPr>
        <w:ind w:left="5760" w:firstLine="720"/>
        <w:rPr>
          <w:lang w:val="en-GB"/>
        </w:rPr>
      </w:pPr>
      <w:r w:rsidRPr="00044B50">
        <w:rPr>
          <w:lang w:val="en-GB"/>
        </w:rPr>
        <w:t xml:space="preserve">Case no: </w:t>
      </w:r>
      <w:r w:rsidR="00233584">
        <w:rPr>
          <w:lang w:val="en-GB"/>
        </w:rPr>
        <w:t>2174/2021</w:t>
      </w:r>
    </w:p>
    <w:p w14:paraId="49070A0E" w14:textId="0BCDA14B"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188F2DE9" w14:textId="77777777" w:rsidR="009F7EAB" w:rsidRDefault="009F7EAB" w:rsidP="00772E4B">
      <w:pPr>
        <w:widowControl w:val="0"/>
        <w:jc w:val="both"/>
        <w:rPr>
          <w:spacing w:val="14"/>
          <w:kern w:val="2"/>
          <w:lang w:val="en-GB"/>
        </w:rPr>
      </w:pPr>
    </w:p>
    <w:p w14:paraId="1BE57867" w14:textId="057B7E95" w:rsidR="009F7EAB" w:rsidRDefault="009F7EAB" w:rsidP="009A0418">
      <w:pPr>
        <w:widowControl w:val="0"/>
        <w:tabs>
          <w:tab w:val="left" w:pos="7088"/>
        </w:tabs>
        <w:ind w:right="-194"/>
        <w:jc w:val="both"/>
        <w:rPr>
          <w:b/>
          <w:bCs/>
          <w:spacing w:val="14"/>
          <w:kern w:val="2"/>
          <w:lang w:val="en-GB"/>
        </w:rPr>
      </w:pPr>
      <w:r w:rsidRPr="009F7EAB">
        <w:rPr>
          <w:b/>
          <w:bCs/>
          <w:spacing w:val="14"/>
          <w:kern w:val="2"/>
          <w:lang w:val="en-GB"/>
        </w:rPr>
        <w:t>EDWIN OKEY CHIKATA IJEOMA</w:t>
      </w:r>
      <w:r>
        <w:rPr>
          <w:b/>
          <w:bCs/>
          <w:spacing w:val="14"/>
          <w:kern w:val="2"/>
          <w:lang w:val="en-GB"/>
        </w:rPr>
        <w:t xml:space="preserve"> </w:t>
      </w:r>
      <w:r w:rsidR="000E1A1A">
        <w:rPr>
          <w:b/>
          <w:bCs/>
          <w:spacing w:val="14"/>
          <w:kern w:val="2"/>
          <w:lang w:val="en-GB"/>
        </w:rPr>
        <w:tab/>
      </w:r>
      <w:r>
        <w:rPr>
          <w:b/>
          <w:bCs/>
          <w:spacing w:val="14"/>
          <w:kern w:val="2"/>
          <w:lang w:val="en-GB"/>
        </w:rPr>
        <w:t xml:space="preserve">First Applicant </w:t>
      </w:r>
    </w:p>
    <w:p w14:paraId="0A796490" w14:textId="77777777" w:rsidR="009F7EAB" w:rsidRDefault="009F7EAB" w:rsidP="009F7EAB">
      <w:pPr>
        <w:widowControl w:val="0"/>
        <w:tabs>
          <w:tab w:val="left" w:pos="7088"/>
        </w:tabs>
        <w:ind w:right="-336"/>
        <w:jc w:val="both"/>
        <w:rPr>
          <w:b/>
          <w:bCs/>
          <w:spacing w:val="14"/>
          <w:kern w:val="2"/>
          <w:lang w:val="en-GB"/>
        </w:rPr>
      </w:pPr>
    </w:p>
    <w:p w14:paraId="118F6D50" w14:textId="5EE07E2F" w:rsidR="009F7EAB" w:rsidRDefault="009F7EAB" w:rsidP="009F7EAB">
      <w:pPr>
        <w:widowControl w:val="0"/>
        <w:tabs>
          <w:tab w:val="left" w:pos="7088"/>
        </w:tabs>
        <w:ind w:right="-336"/>
        <w:jc w:val="both"/>
        <w:rPr>
          <w:b/>
          <w:bCs/>
          <w:spacing w:val="14"/>
          <w:kern w:val="2"/>
          <w:lang w:val="en-GB"/>
        </w:rPr>
      </w:pPr>
      <w:r>
        <w:rPr>
          <w:b/>
          <w:bCs/>
          <w:spacing w:val="14"/>
          <w:kern w:val="2"/>
          <w:lang w:val="en-GB"/>
        </w:rPr>
        <w:t xml:space="preserve">CENTRE FOR SCIENTIFIC RESEARCH </w:t>
      </w:r>
    </w:p>
    <w:p w14:paraId="37CE1D85" w14:textId="58A217C5" w:rsidR="009F7EAB" w:rsidRDefault="000E1A1A" w:rsidP="009A0418">
      <w:pPr>
        <w:widowControl w:val="0"/>
        <w:tabs>
          <w:tab w:val="left" w:pos="4253"/>
          <w:tab w:val="left" w:pos="6663"/>
          <w:tab w:val="left" w:pos="6804"/>
        </w:tabs>
        <w:ind w:right="-336"/>
        <w:jc w:val="both"/>
        <w:rPr>
          <w:b/>
          <w:bCs/>
          <w:spacing w:val="14"/>
          <w:kern w:val="2"/>
          <w:lang w:val="en-GB"/>
        </w:rPr>
      </w:pPr>
      <w:r>
        <w:rPr>
          <w:b/>
          <w:bCs/>
          <w:spacing w:val="14"/>
          <w:kern w:val="2"/>
          <w:lang w:val="en-GB"/>
        </w:rPr>
        <w:t xml:space="preserve">AND </w:t>
      </w:r>
      <w:r w:rsidR="009F7EAB">
        <w:rPr>
          <w:b/>
          <w:bCs/>
          <w:spacing w:val="14"/>
          <w:kern w:val="2"/>
          <w:lang w:val="en-GB"/>
        </w:rPr>
        <w:t xml:space="preserve">INNOVATION (PTY) LTD </w:t>
      </w:r>
      <w:r w:rsidR="009F7EAB">
        <w:rPr>
          <w:b/>
          <w:bCs/>
          <w:spacing w:val="14"/>
          <w:kern w:val="2"/>
          <w:lang w:val="en-GB"/>
        </w:rPr>
        <w:tab/>
      </w:r>
      <w:r w:rsidR="009F7EAB">
        <w:rPr>
          <w:b/>
          <w:bCs/>
          <w:spacing w:val="14"/>
          <w:kern w:val="2"/>
          <w:lang w:val="en-GB"/>
        </w:rPr>
        <w:tab/>
      </w:r>
      <w:r>
        <w:rPr>
          <w:b/>
          <w:bCs/>
          <w:spacing w:val="14"/>
          <w:kern w:val="2"/>
          <w:lang w:val="en-GB"/>
        </w:rPr>
        <w:t xml:space="preserve"> </w:t>
      </w:r>
      <w:r w:rsidR="009F7EAB">
        <w:rPr>
          <w:b/>
          <w:bCs/>
          <w:spacing w:val="14"/>
          <w:kern w:val="2"/>
          <w:lang w:val="en-GB"/>
        </w:rPr>
        <w:t xml:space="preserve">Second Applicant </w:t>
      </w:r>
    </w:p>
    <w:p w14:paraId="1FD7CCE7" w14:textId="77777777" w:rsidR="009F7EAB" w:rsidRDefault="009F7EAB" w:rsidP="009F7EAB">
      <w:pPr>
        <w:widowControl w:val="0"/>
        <w:tabs>
          <w:tab w:val="left" w:pos="4253"/>
          <w:tab w:val="left" w:pos="7088"/>
        </w:tabs>
        <w:ind w:right="-336"/>
        <w:jc w:val="both"/>
        <w:rPr>
          <w:b/>
          <w:bCs/>
          <w:spacing w:val="14"/>
          <w:kern w:val="2"/>
          <w:lang w:val="en-GB"/>
        </w:rPr>
      </w:pPr>
    </w:p>
    <w:p w14:paraId="06EA928A" w14:textId="464B9A65" w:rsidR="009F7EAB" w:rsidRPr="009F7EAB" w:rsidRDefault="009F7EAB" w:rsidP="009F7EAB">
      <w:pPr>
        <w:widowControl w:val="0"/>
        <w:tabs>
          <w:tab w:val="left" w:pos="4253"/>
          <w:tab w:val="left" w:pos="7088"/>
        </w:tabs>
        <w:ind w:right="-336"/>
        <w:jc w:val="both"/>
        <w:rPr>
          <w:spacing w:val="14"/>
          <w:kern w:val="2"/>
          <w:lang w:val="en-GB"/>
        </w:rPr>
      </w:pPr>
      <w:r w:rsidRPr="009F7EAB">
        <w:rPr>
          <w:spacing w:val="14"/>
          <w:kern w:val="2"/>
          <w:lang w:val="en-GB"/>
        </w:rPr>
        <w:t>and</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79F04700" w:rsidR="00D450B5" w:rsidRDefault="00233584" w:rsidP="00652A33">
      <w:pPr>
        <w:tabs>
          <w:tab w:val="left" w:pos="7371"/>
          <w:tab w:val="left" w:pos="7513"/>
        </w:tabs>
        <w:suppressAutoHyphens/>
        <w:ind w:right="-336"/>
        <w:jc w:val="both"/>
        <w:rPr>
          <w:b/>
          <w:bCs/>
          <w:lang w:val="en-GB"/>
        </w:rPr>
      </w:pPr>
      <w:r>
        <w:rPr>
          <w:b/>
          <w:bCs/>
          <w:lang w:val="en-GB"/>
        </w:rPr>
        <w:t>UNIVERSITY OF FORT HARE</w:t>
      </w:r>
      <w:r w:rsidR="001423F6">
        <w:rPr>
          <w:b/>
          <w:bCs/>
          <w:lang w:val="en-GB"/>
        </w:rPr>
        <w:tab/>
      </w:r>
      <w:r w:rsidR="00DE7AD6">
        <w:rPr>
          <w:b/>
          <w:bCs/>
          <w:lang w:val="en-GB"/>
        </w:rPr>
        <w:t xml:space="preserve"> </w:t>
      </w:r>
      <w:r w:rsidR="00652A33">
        <w:rPr>
          <w:b/>
          <w:bCs/>
          <w:lang w:val="en-GB"/>
        </w:rPr>
        <w:t xml:space="preserve"> </w:t>
      </w:r>
      <w:r w:rsidR="000E1A1A">
        <w:rPr>
          <w:b/>
          <w:bCs/>
          <w:lang w:val="en-GB"/>
        </w:rPr>
        <w:t xml:space="preserve"> Respondent</w:t>
      </w:r>
      <w:r w:rsidR="001423F6">
        <w:rPr>
          <w:b/>
          <w:bCs/>
          <w:lang w:val="en-GB"/>
        </w:rPr>
        <w:t xml:space="preserve"> </w:t>
      </w:r>
    </w:p>
    <w:p w14:paraId="2F211A4C" w14:textId="77777777" w:rsidR="00233584" w:rsidRDefault="00233584" w:rsidP="00772E4B">
      <w:pPr>
        <w:tabs>
          <w:tab w:val="right" w:pos="9072"/>
        </w:tabs>
        <w:suppressAutoHyphens/>
        <w:jc w:val="both"/>
        <w:rPr>
          <w:b/>
          <w:bCs/>
          <w:lang w:val="en-GB"/>
        </w:rPr>
      </w:pPr>
    </w:p>
    <w:p w14:paraId="63ADDA80" w14:textId="4E4F2D45" w:rsidR="00233584" w:rsidRDefault="00233584" w:rsidP="00772E4B">
      <w:pPr>
        <w:tabs>
          <w:tab w:val="right" w:pos="9072"/>
        </w:tabs>
        <w:suppressAutoHyphens/>
        <w:jc w:val="both"/>
        <w:rPr>
          <w:i/>
          <w:iCs/>
          <w:lang w:val="en-GB"/>
        </w:rPr>
      </w:pPr>
      <w:r w:rsidRPr="00233584">
        <w:rPr>
          <w:i/>
          <w:iCs/>
          <w:lang w:val="en-GB"/>
        </w:rPr>
        <w:t>In re:</w:t>
      </w:r>
    </w:p>
    <w:p w14:paraId="76C8F647" w14:textId="77777777" w:rsidR="00233584" w:rsidRDefault="00233584" w:rsidP="00772E4B">
      <w:pPr>
        <w:tabs>
          <w:tab w:val="right" w:pos="9072"/>
        </w:tabs>
        <w:suppressAutoHyphens/>
        <w:jc w:val="both"/>
        <w:rPr>
          <w:i/>
          <w:iCs/>
          <w:lang w:val="en-GB"/>
        </w:rPr>
      </w:pPr>
    </w:p>
    <w:p w14:paraId="6605A7A0" w14:textId="730BC6CD" w:rsidR="00233584" w:rsidRPr="00233584" w:rsidRDefault="00233584" w:rsidP="009A0418">
      <w:pPr>
        <w:tabs>
          <w:tab w:val="left" w:pos="7938"/>
        </w:tabs>
        <w:suppressAutoHyphens/>
        <w:ind w:right="-336"/>
        <w:jc w:val="both"/>
        <w:rPr>
          <w:b/>
          <w:bCs/>
          <w:lang w:val="en-GB"/>
        </w:rPr>
      </w:pPr>
      <w:r w:rsidRPr="00233584">
        <w:rPr>
          <w:b/>
          <w:bCs/>
          <w:lang w:val="en-GB"/>
        </w:rPr>
        <w:t>UNIVERSITY OF FORT HARE</w:t>
      </w:r>
      <w:r>
        <w:rPr>
          <w:b/>
          <w:bCs/>
          <w:lang w:val="en-GB"/>
        </w:rPr>
        <w:t xml:space="preserve"> </w:t>
      </w:r>
      <w:r>
        <w:rPr>
          <w:b/>
          <w:bCs/>
          <w:lang w:val="en-GB"/>
        </w:rPr>
        <w:tab/>
      </w:r>
      <w:r w:rsidR="009A0418">
        <w:rPr>
          <w:b/>
          <w:bCs/>
          <w:lang w:val="en-GB"/>
        </w:rPr>
        <w:t xml:space="preserve"> </w:t>
      </w:r>
      <w:r w:rsidR="000E1A1A">
        <w:rPr>
          <w:b/>
          <w:bCs/>
          <w:lang w:val="en-GB"/>
        </w:rPr>
        <w:t>Plaintiff</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8E6100" w14:textId="15CB7DAD" w:rsidR="001423F6" w:rsidRDefault="00233584" w:rsidP="009A0418">
      <w:pPr>
        <w:tabs>
          <w:tab w:val="left" w:pos="7088"/>
        </w:tabs>
        <w:ind w:right="-52"/>
        <w:jc w:val="both"/>
        <w:rPr>
          <w:b/>
          <w:bCs/>
          <w:lang w:val="en-GB"/>
        </w:rPr>
      </w:pPr>
      <w:r>
        <w:rPr>
          <w:b/>
          <w:bCs/>
          <w:lang w:val="en-GB"/>
        </w:rPr>
        <w:t xml:space="preserve">EDWIN OKEY CHIKATA IJEOMA </w:t>
      </w:r>
      <w:r>
        <w:rPr>
          <w:b/>
          <w:bCs/>
          <w:lang w:val="en-GB"/>
        </w:rPr>
        <w:tab/>
        <w:t xml:space="preserve"> </w:t>
      </w:r>
      <w:r w:rsidR="001423F6">
        <w:rPr>
          <w:b/>
          <w:bCs/>
          <w:lang w:val="en-GB"/>
        </w:rPr>
        <w:t xml:space="preserve">First Defendant </w:t>
      </w:r>
    </w:p>
    <w:p w14:paraId="4C6C1125" w14:textId="77777777" w:rsidR="001423F6" w:rsidRDefault="001423F6" w:rsidP="00772E4B">
      <w:pPr>
        <w:jc w:val="both"/>
        <w:rPr>
          <w:lang w:val="en-GB"/>
        </w:rPr>
      </w:pPr>
    </w:p>
    <w:p w14:paraId="1234DE27" w14:textId="68CEF64E" w:rsidR="00233584" w:rsidRDefault="00233584" w:rsidP="009A0418">
      <w:pPr>
        <w:tabs>
          <w:tab w:val="left" w:pos="5954"/>
          <w:tab w:val="left" w:pos="6804"/>
          <w:tab w:val="left" w:pos="6946"/>
        </w:tabs>
        <w:ind w:right="89"/>
        <w:jc w:val="both"/>
        <w:rPr>
          <w:lang w:val="en-GB"/>
        </w:rPr>
      </w:pPr>
      <w:r>
        <w:rPr>
          <w:b/>
          <w:bCs/>
          <w:lang w:val="en-GB"/>
        </w:rPr>
        <w:t>CENTRE FOR SCIENTIFIC RESEARCH AND</w:t>
      </w:r>
      <w:r w:rsidR="001423F6">
        <w:rPr>
          <w:b/>
          <w:bCs/>
          <w:lang w:val="en-GB"/>
        </w:rPr>
        <w:tab/>
      </w:r>
      <w:r>
        <w:rPr>
          <w:b/>
          <w:bCs/>
          <w:lang w:val="en-GB"/>
        </w:rPr>
        <w:tab/>
      </w:r>
      <w:r w:rsidR="001423F6">
        <w:rPr>
          <w:b/>
          <w:bCs/>
          <w:lang w:val="en-GB"/>
        </w:rPr>
        <w:t xml:space="preserve">Second Defendant  </w:t>
      </w:r>
      <w:r w:rsidR="00C246F2" w:rsidRPr="00044B50">
        <w:rPr>
          <w:lang w:val="en-GB"/>
        </w:rPr>
        <w:tab/>
      </w:r>
    </w:p>
    <w:p w14:paraId="4F0E2CE6" w14:textId="289F9AFE" w:rsidR="00C246F2" w:rsidRPr="00233584" w:rsidRDefault="00233584" w:rsidP="00772E4B">
      <w:pPr>
        <w:jc w:val="both"/>
        <w:rPr>
          <w:b/>
          <w:bCs/>
          <w:lang w:val="en-GB"/>
        </w:rPr>
      </w:pPr>
      <w:r w:rsidRPr="00233584">
        <w:rPr>
          <w:b/>
          <w:bCs/>
          <w:lang w:val="en-GB"/>
        </w:rPr>
        <w:t>INNOVATION (PTY) LTD</w:t>
      </w:r>
      <w:r w:rsidR="00C246F2" w:rsidRPr="00233584">
        <w:rPr>
          <w:b/>
          <w:bCs/>
          <w:lang w:val="en-GB"/>
        </w:rPr>
        <w:tab/>
      </w:r>
      <w:r w:rsidR="00C246F2" w:rsidRPr="00233584">
        <w:rPr>
          <w:b/>
          <w:bCs/>
          <w:lang w:val="en-GB"/>
        </w:rPr>
        <w:tab/>
      </w:r>
    </w:p>
    <w:p w14:paraId="76889E9C" w14:textId="24974D08" w:rsidR="00D450B5" w:rsidRPr="00044B50" w:rsidRDefault="00D450B5" w:rsidP="00772E4B">
      <w:pPr>
        <w:jc w:val="both"/>
        <w:rPr>
          <w:lang w:val="en-GB"/>
        </w:rPr>
      </w:pPr>
      <w:r w:rsidRPr="00044B50">
        <w:rPr>
          <w:lang w:val="en-GB"/>
        </w:rPr>
        <w:lastRenderedPageBreak/>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Default="00E57C72" w:rsidP="00772E4B">
      <w:pPr>
        <w:jc w:val="both"/>
        <w:rPr>
          <w:b/>
          <w:bCs/>
          <w:lang w:val="en-GB"/>
        </w:rPr>
      </w:pPr>
      <w:r w:rsidRPr="00044B50">
        <w:rPr>
          <w:b/>
          <w:bCs/>
          <w:lang w:val="en-GB"/>
        </w:rPr>
        <w:t>Govindjee</w:t>
      </w:r>
      <w:r w:rsidR="00D450B5" w:rsidRPr="00044B50">
        <w:rPr>
          <w:b/>
          <w:bCs/>
          <w:lang w:val="en-GB"/>
        </w:rPr>
        <w:t xml:space="preserve"> J</w:t>
      </w:r>
    </w:p>
    <w:p w14:paraId="478589C3" w14:textId="77777777" w:rsidR="008E611C" w:rsidRPr="00044B50" w:rsidRDefault="008E611C" w:rsidP="00772E4B">
      <w:pPr>
        <w:jc w:val="both"/>
        <w:rPr>
          <w:b/>
          <w:bCs/>
          <w:lang w:val="en-GB"/>
        </w:rPr>
      </w:pPr>
    </w:p>
    <w:p w14:paraId="34EE588C" w14:textId="19658071" w:rsidR="00694D77" w:rsidRPr="00FF49D0" w:rsidRDefault="00FF49D0" w:rsidP="00FF49D0">
      <w:pPr>
        <w:autoSpaceDE w:val="0"/>
        <w:autoSpaceDN w:val="0"/>
        <w:adjustRightInd w:val="0"/>
        <w:jc w:val="both"/>
        <w:rPr>
          <w:lang w:val="en-GB"/>
        </w:rPr>
      </w:pPr>
      <w:r w:rsidRPr="00694D77">
        <w:rPr>
          <w:lang w:val="en-GB"/>
        </w:rPr>
        <w:t>[1]</w:t>
      </w:r>
      <w:r w:rsidRPr="00694D77">
        <w:rPr>
          <w:lang w:val="en-GB"/>
        </w:rPr>
        <w:tab/>
      </w:r>
      <w:r w:rsidR="002619F7" w:rsidRPr="00FF49D0">
        <w:rPr>
          <w:lang w:val="en-GB"/>
        </w:rPr>
        <w:t>T</w:t>
      </w:r>
      <w:r w:rsidR="001423F6" w:rsidRPr="00FF49D0">
        <w:rPr>
          <w:lang w:val="en-GB"/>
        </w:rPr>
        <w:t>he defendants seek leave to amend their plea</w:t>
      </w:r>
      <w:r w:rsidR="007918C3" w:rsidRPr="00FF49D0">
        <w:rPr>
          <w:lang w:val="en-GB"/>
        </w:rPr>
        <w:t xml:space="preserve"> (‘the proposed amendment’)</w:t>
      </w:r>
      <w:r w:rsidR="001423F6" w:rsidRPr="00FF49D0">
        <w:rPr>
          <w:lang w:val="en-GB"/>
        </w:rPr>
        <w:t>. Following a previous attempt to do so, this court (per Rugunanan J) issued an order on 30 August 2022 (</w:t>
      </w:r>
      <w:r w:rsidR="00EF6CB6" w:rsidRPr="00FF49D0">
        <w:rPr>
          <w:lang w:val="en-GB"/>
        </w:rPr>
        <w:t>‘</w:t>
      </w:r>
      <w:r w:rsidR="001423F6" w:rsidRPr="00FF49D0">
        <w:rPr>
          <w:lang w:val="en-GB"/>
        </w:rPr>
        <w:t>the first judgment</w:t>
      </w:r>
      <w:r w:rsidR="00EF6CB6" w:rsidRPr="00FF49D0">
        <w:rPr>
          <w:lang w:val="en-GB"/>
        </w:rPr>
        <w:t>’</w:t>
      </w:r>
      <w:r w:rsidR="001423F6" w:rsidRPr="00FF49D0">
        <w:rPr>
          <w:lang w:val="en-GB"/>
        </w:rPr>
        <w:t>) granting leave to amend to a limited extent. The first judgment includes a useful summary of the background to the matter, which need not be repeated.</w:t>
      </w:r>
      <w:r w:rsidR="000A7978">
        <w:rPr>
          <w:rStyle w:val="FootnoteReference"/>
          <w:lang w:val="en-GB"/>
        </w:rPr>
        <w:footnoteReference w:id="1"/>
      </w:r>
      <w:r w:rsidR="001423F6" w:rsidRPr="00FF49D0">
        <w:rPr>
          <w:lang w:val="en-GB"/>
        </w:rPr>
        <w:t xml:space="preserve"> In essence, the plaintiff issued summons against the defendant</w:t>
      </w:r>
      <w:r w:rsidR="008E30BF" w:rsidRPr="00FF49D0">
        <w:rPr>
          <w:lang w:val="en-GB"/>
        </w:rPr>
        <w:t>s</w:t>
      </w:r>
      <w:r w:rsidR="001423F6" w:rsidRPr="00FF49D0">
        <w:rPr>
          <w:lang w:val="en-GB"/>
        </w:rPr>
        <w:t xml:space="preserve"> for payment of </w:t>
      </w:r>
      <w:r w:rsidR="00566348" w:rsidRPr="00FF49D0">
        <w:rPr>
          <w:lang w:val="en-GB"/>
        </w:rPr>
        <w:t>approximately R4,7 million, alleging that the first defendant failed to disclose his interest in and his exclusive control of the second defendant (‘</w:t>
      </w:r>
      <w:r w:rsidR="008E611C" w:rsidRPr="00FF49D0">
        <w:rPr>
          <w:lang w:val="en-GB"/>
        </w:rPr>
        <w:t xml:space="preserve">the </w:t>
      </w:r>
      <w:r w:rsidR="00566348" w:rsidRPr="00FF49D0">
        <w:rPr>
          <w:lang w:val="en-GB"/>
        </w:rPr>
        <w:t xml:space="preserve">CSRI’), which </w:t>
      </w:r>
      <w:r w:rsidR="00230075" w:rsidRPr="00FF49D0">
        <w:rPr>
          <w:lang w:val="en-GB"/>
        </w:rPr>
        <w:t>entered</w:t>
      </w:r>
      <w:r w:rsidR="00566348" w:rsidRPr="00FF49D0">
        <w:rPr>
          <w:lang w:val="en-GB"/>
        </w:rPr>
        <w:t xml:space="preserve"> various contracts for the supply of services to the plaintiff. </w:t>
      </w:r>
      <w:r w:rsidR="004106AF" w:rsidRPr="00FF49D0">
        <w:rPr>
          <w:lang w:val="en-GB"/>
        </w:rPr>
        <w:t>The claim is that the first defendant committed misconduct and breached his employment contract in doing so</w:t>
      </w:r>
      <w:r w:rsidR="00B54A94" w:rsidRPr="00FF49D0">
        <w:rPr>
          <w:lang w:val="en-GB"/>
        </w:rPr>
        <w:t>. The first alternative basis for the claim is a disgorgement of profits for the sum claimed and earned at the expense of the plaintiff during the first defendant’s period of employment. The second alternative basis for the claim</w:t>
      </w:r>
      <w:r w:rsidR="0060141E" w:rsidRPr="00FF49D0">
        <w:rPr>
          <w:lang w:val="en-GB"/>
        </w:rPr>
        <w:t xml:space="preserve"> is </w:t>
      </w:r>
      <w:r w:rsidR="008E611C" w:rsidRPr="00FF49D0">
        <w:rPr>
          <w:lang w:val="en-GB"/>
        </w:rPr>
        <w:t xml:space="preserve">the </w:t>
      </w:r>
      <w:r w:rsidR="0060141E" w:rsidRPr="00FF49D0">
        <w:rPr>
          <w:lang w:val="en-GB"/>
        </w:rPr>
        <w:t>CSRI’s alleged failure to render its corresponding performance under contracts with the plaintiff, so that the plaintiff seeks restitution of its own performance and recovery of the amount claimed.</w:t>
      </w:r>
    </w:p>
    <w:p w14:paraId="75378A3C" w14:textId="77777777" w:rsidR="00EF6CB6" w:rsidRDefault="00EF6CB6" w:rsidP="00EF6CB6">
      <w:pPr>
        <w:pStyle w:val="ListParagraph"/>
        <w:autoSpaceDE w:val="0"/>
        <w:autoSpaceDN w:val="0"/>
        <w:adjustRightInd w:val="0"/>
        <w:ind w:left="0"/>
        <w:jc w:val="both"/>
        <w:rPr>
          <w:lang w:val="en-GB"/>
        </w:rPr>
      </w:pPr>
    </w:p>
    <w:p w14:paraId="24862472" w14:textId="51FBB6FD" w:rsidR="00EF6CB6" w:rsidRPr="00FF49D0" w:rsidRDefault="00FF49D0" w:rsidP="00FF49D0">
      <w:pPr>
        <w:autoSpaceDE w:val="0"/>
        <w:autoSpaceDN w:val="0"/>
        <w:adjustRightInd w:val="0"/>
        <w:jc w:val="both"/>
        <w:rPr>
          <w:lang w:val="en-GB"/>
        </w:rPr>
      </w:pPr>
      <w:r>
        <w:rPr>
          <w:lang w:val="en-GB"/>
        </w:rPr>
        <w:t>[2]</w:t>
      </w:r>
      <w:r>
        <w:rPr>
          <w:lang w:val="en-GB"/>
        </w:rPr>
        <w:tab/>
      </w:r>
      <w:r w:rsidR="001E6986" w:rsidRPr="00FF49D0">
        <w:rPr>
          <w:lang w:val="en-GB"/>
        </w:rPr>
        <w:t xml:space="preserve">As was previously the case, the defendants </w:t>
      </w:r>
      <w:r w:rsidR="00901406" w:rsidRPr="00FF49D0">
        <w:rPr>
          <w:lang w:val="en-GB"/>
        </w:rPr>
        <w:t>seek to introduce a special plea of prescription</w:t>
      </w:r>
      <w:r w:rsidR="00064711" w:rsidRPr="00FF49D0">
        <w:rPr>
          <w:lang w:val="en-GB"/>
        </w:rPr>
        <w:t xml:space="preserve">. </w:t>
      </w:r>
      <w:r w:rsidR="00901406" w:rsidRPr="00FF49D0">
        <w:rPr>
          <w:lang w:val="en-GB"/>
        </w:rPr>
        <w:t xml:space="preserve">The defendants </w:t>
      </w:r>
      <w:r w:rsidR="00694D77" w:rsidRPr="00FF49D0">
        <w:rPr>
          <w:lang w:val="en-GB"/>
        </w:rPr>
        <w:t>further</w:t>
      </w:r>
      <w:r w:rsidR="00901406" w:rsidRPr="00FF49D0">
        <w:rPr>
          <w:lang w:val="en-GB"/>
        </w:rPr>
        <w:t xml:space="preserve"> seek to introduce additional special pleas and to amend certain paragraphs of their pleaded defence</w:t>
      </w:r>
      <w:r w:rsidR="00513C38" w:rsidRPr="00FF49D0">
        <w:rPr>
          <w:lang w:val="en-GB"/>
        </w:rPr>
        <w:t xml:space="preserve">. </w:t>
      </w:r>
      <w:r w:rsidR="00064711" w:rsidRPr="00FF49D0">
        <w:rPr>
          <w:lang w:val="en-GB"/>
        </w:rPr>
        <w:t>The plaintiff opposes the application, also on the basis that it is not borne in good faith.</w:t>
      </w:r>
      <w:r w:rsidR="00064711">
        <w:rPr>
          <w:rStyle w:val="FootnoteReference"/>
          <w:lang w:val="en-GB"/>
        </w:rPr>
        <w:footnoteReference w:id="2"/>
      </w:r>
    </w:p>
    <w:p w14:paraId="2C3772B3" w14:textId="77777777" w:rsidR="002678FB" w:rsidRPr="002678FB" w:rsidRDefault="002678FB" w:rsidP="002678FB">
      <w:pPr>
        <w:pStyle w:val="ListParagraph"/>
        <w:rPr>
          <w:lang w:val="en-GB"/>
        </w:rPr>
      </w:pPr>
    </w:p>
    <w:p w14:paraId="71E56068" w14:textId="617C12E5" w:rsidR="00F352A0" w:rsidRPr="00FF49D0" w:rsidRDefault="00FF49D0" w:rsidP="00FF49D0">
      <w:pPr>
        <w:autoSpaceDE w:val="0"/>
        <w:autoSpaceDN w:val="0"/>
        <w:adjustRightInd w:val="0"/>
        <w:jc w:val="both"/>
        <w:rPr>
          <w:lang w:val="en-GB"/>
        </w:rPr>
      </w:pPr>
      <w:r>
        <w:rPr>
          <w:lang w:val="en-GB"/>
        </w:rPr>
        <w:lastRenderedPageBreak/>
        <w:t>[3]</w:t>
      </w:r>
      <w:r>
        <w:rPr>
          <w:lang w:val="en-GB"/>
        </w:rPr>
        <w:tab/>
      </w:r>
      <w:r w:rsidR="00F352A0" w:rsidRPr="00FF49D0">
        <w:rPr>
          <w:lang w:val="en-GB"/>
        </w:rPr>
        <w:t>Various</w:t>
      </w:r>
      <w:r w:rsidR="002678FB" w:rsidRPr="00FF49D0">
        <w:rPr>
          <w:lang w:val="en-GB"/>
        </w:rPr>
        <w:t xml:space="preserve"> principles inform a court’s discretion whether to grant or refuse an amendment</w:t>
      </w:r>
      <w:r w:rsidR="00F352A0" w:rsidRPr="00FF49D0">
        <w:rPr>
          <w:lang w:val="en-GB"/>
        </w:rPr>
        <w:t xml:space="preserve">. These </w:t>
      </w:r>
      <w:r w:rsidR="002678FB" w:rsidRPr="00FF49D0">
        <w:rPr>
          <w:lang w:val="en-GB"/>
        </w:rPr>
        <w:t>have been summarised comprehensively in the first judgment</w:t>
      </w:r>
      <w:r w:rsidR="00343F17" w:rsidRPr="00FF49D0">
        <w:rPr>
          <w:lang w:val="en-GB"/>
        </w:rPr>
        <w:t xml:space="preserve">, and </w:t>
      </w:r>
      <w:r w:rsidR="00F352A0" w:rsidRPr="00FF49D0">
        <w:rPr>
          <w:lang w:val="en-GB"/>
        </w:rPr>
        <w:t>include the following:</w:t>
      </w:r>
      <w:r w:rsidR="00F352A0">
        <w:rPr>
          <w:rStyle w:val="FootnoteReference"/>
          <w:lang w:val="en-GB"/>
        </w:rPr>
        <w:footnoteReference w:id="3"/>
      </w:r>
      <w:r w:rsidR="00343F17" w:rsidRPr="00FF49D0">
        <w:rPr>
          <w:lang w:val="en-GB"/>
        </w:rPr>
        <w:t xml:space="preserve"> </w:t>
      </w:r>
    </w:p>
    <w:p w14:paraId="79378455" w14:textId="7C8AE3FE" w:rsidR="001D569C" w:rsidRPr="00FF49D0" w:rsidRDefault="00FF49D0" w:rsidP="00FF49D0">
      <w:pPr>
        <w:ind w:left="1440" w:hanging="360"/>
        <w:jc w:val="both"/>
        <w:rPr>
          <w:lang w:val="en-GB"/>
        </w:rPr>
      </w:pPr>
      <w:r>
        <w:rPr>
          <w:lang w:val="en-GB"/>
        </w:rPr>
        <w:t>i.</w:t>
      </w:r>
      <w:r>
        <w:rPr>
          <w:lang w:val="en-GB"/>
        </w:rPr>
        <w:tab/>
      </w:r>
      <w:r w:rsidR="00F352A0" w:rsidRPr="00FF49D0">
        <w:rPr>
          <w:lang w:val="en-GB"/>
        </w:rPr>
        <w:t xml:space="preserve">The </w:t>
      </w:r>
      <w:r w:rsidR="006139A2" w:rsidRPr="00FF49D0">
        <w:rPr>
          <w:lang w:val="en-GB"/>
        </w:rPr>
        <w:t xml:space="preserve">court </w:t>
      </w:r>
      <w:r w:rsidR="001D569C" w:rsidRPr="00FF49D0">
        <w:rPr>
          <w:lang w:val="en-GB"/>
        </w:rPr>
        <w:t>has a discretion whether to grant or refuse an amendment.</w:t>
      </w:r>
      <w:r w:rsidR="000B4744">
        <w:rPr>
          <w:rStyle w:val="FootnoteReference"/>
          <w:lang w:val="en-GB"/>
        </w:rPr>
        <w:footnoteReference w:id="4"/>
      </w:r>
    </w:p>
    <w:p w14:paraId="07B0741D" w14:textId="69A0245A" w:rsidR="00F352A0" w:rsidRPr="00FF49D0" w:rsidRDefault="00FF49D0" w:rsidP="00FF49D0">
      <w:pPr>
        <w:ind w:left="1440" w:hanging="360"/>
        <w:jc w:val="both"/>
        <w:rPr>
          <w:lang w:val="en-GB"/>
        </w:rPr>
      </w:pPr>
      <w:r w:rsidRPr="003C6382">
        <w:rPr>
          <w:lang w:val="en-GB"/>
        </w:rPr>
        <w:t>ii.</w:t>
      </w:r>
      <w:r w:rsidRPr="003C6382">
        <w:rPr>
          <w:lang w:val="en-GB"/>
        </w:rPr>
        <w:tab/>
      </w:r>
      <w:r w:rsidR="001D569C" w:rsidRPr="00FF49D0">
        <w:rPr>
          <w:lang w:val="en-GB"/>
        </w:rPr>
        <w:t xml:space="preserve">The court </w:t>
      </w:r>
      <w:r w:rsidR="006139A2" w:rsidRPr="00FF49D0">
        <w:rPr>
          <w:lang w:val="en-GB"/>
        </w:rPr>
        <w:t xml:space="preserve">will allow an amendment, even though drastic, if it raises </w:t>
      </w:r>
      <w:r w:rsidR="00B757F4" w:rsidRPr="00FF49D0">
        <w:rPr>
          <w:lang w:val="en-GB"/>
        </w:rPr>
        <w:t xml:space="preserve">a </w:t>
      </w:r>
      <w:r w:rsidR="006139A2" w:rsidRPr="00FF49D0">
        <w:rPr>
          <w:lang w:val="en-GB"/>
        </w:rPr>
        <w:t>new question that the other party should be prepared to meet.</w:t>
      </w:r>
    </w:p>
    <w:p w14:paraId="5308640A" w14:textId="3BFB080F" w:rsidR="006139A2" w:rsidRPr="00FF49D0" w:rsidRDefault="00FF49D0" w:rsidP="00FF49D0">
      <w:pPr>
        <w:ind w:left="1440" w:hanging="360"/>
        <w:jc w:val="both"/>
        <w:rPr>
          <w:lang w:val="en-GB"/>
        </w:rPr>
      </w:pPr>
      <w:r>
        <w:rPr>
          <w:lang w:val="en-GB"/>
        </w:rPr>
        <w:t>iii.</w:t>
      </w:r>
      <w:r>
        <w:rPr>
          <w:lang w:val="en-GB"/>
        </w:rPr>
        <w:tab/>
      </w:r>
      <w:r w:rsidR="006139A2" w:rsidRPr="00FF49D0">
        <w:rPr>
          <w:lang w:val="en-GB"/>
        </w:rPr>
        <w:t>With its large powers of allowing amendments, the court will always allow a defendant, even up to the last moment, to raise a defence, such as prescription, which might bar the action.</w:t>
      </w:r>
    </w:p>
    <w:p w14:paraId="743BFC1E" w14:textId="3A869048" w:rsidR="006139A2" w:rsidRPr="00FF49D0" w:rsidRDefault="00FF49D0" w:rsidP="00FF49D0">
      <w:pPr>
        <w:ind w:left="1440" w:hanging="360"/>
        <w:jc w:val="both"/>
        <w:rPr>
          <w:lang w:val="en-GB"/>
        </w:rPr>
      </w:pPr>
      <w:r>
        <w:rPr>
          <w:lang w:val="en-GB"/>
        </w:rPr>
        <w:t>iv.</w:t>
      </w:r>
      <w:r>
        <w:rPr>
          <w:lang w:val="en-GB"/>
        </w:rPr>
        <w:tab/>
      </w:r>
      <w:r w:rsidR="006139A2" w:rsidRPr="00FF49D0">
        <w:rPr>
          <w:lang w:val="en-GB"/>
        </w:rPr>
        <w:t>No matter how negligent or careless the mistake or omission may have been and no matter how late the application for amendment may be made, the application can be granted if the necessity for the amendment has arisen through some reasonable cause, even though it be only a bona fide mistake.</w:t>
      </w:r>
    </w:p>
    <w:p w14:paraId="133C1358" w14:textId="6C85D840" w:rsidR="006139A2" w:rsidRPr="00FF49D0" w:rsidRDefault="00FF49D0" w:rsidP="00FF49D0">
      <w:pPr>
        <w:ind w:left="1440" w:hanging="360"/>
        <w:jc w:val="both"/>
        <w:rPr>
          <w:lang w:val="en-GB"/>
        </w:rPr>
      </w:pPr>
      <w:r>
        <w:rPr>
          <w:lang w:val="en-GB"/>
        </w:rPr>
        <w:t>v.</w:t>
      </w:r>
      <w:r>
        <w:rPr>
          <w:lang w:val="en-GB"/>
        </w:rPr>
        <w:tab/>
      </w:r>
      <w:r w:rsidR="001D569C" w:rsidRPr="00FF49D0">
        <w:rPr>
          <w:lang w:val="en-GB"/>
        </w:rPr>
        <w:t>B</w:t>
      </w:r>
      <w:r w:rsidR="002A075C" w:rsidRPr="00FF49D0">
        <w:rPr>
          <w:lang w:val="en-GB"/>
        </w:rPr>
        <w:t xml:space="preserve">ona fide amendments that facilitate a fair trial </w:t>
      </w:r>
      <w:r w:rsidR="00CC48DA" w:rsidRPr="00FF49D0">
        <w:rPr>
          <w:lang w:val="en-GB"/>
        </w:rPr>
        <w:t>should typically be allowed, unless the amendments cause an injustice that cannot be remedie</w:t>
      </w:r>
      <w:r w:rsidR="003E379F" w:rsidRPr="00FF49D0">
        <w:rPr>
          <w:lang w:val="en-GB"/>
        </w:rPr>
        <w:t>d</w:t>
      </w:r>
      <w:r w:rsidR="00CC48DA" w:rsidRPr="00FF49D0">
        <w:rPr>
          <w:lang w:val="en-GB"/>
        </w:rPr>
        <w:t xml:space="preserve"> by way of a costs order</w:t>
      </w:r>
      <w:r w:rsidR="0066192D" w:rsidRPr="00FF49D0">
        <w:rPr>
          <w:lang w:val="en-GB"/>
        </w:rPr>
        <w:t>, or ‘unless the parties cannot be put back for the purposes of justice in the same position as they were when the pleading which it is sought to amend was filed’.</w:t>
      </w:r>
      <w:r w:rsidR="0066192D">
        <w:rPr>
          <w:rStyle w:val="FootnoteReference"/>
          <w:lang w:val="en-GB"/>
        </w:rPr>
        <w:footnoteReference w:id="5"/>
      </w:r>
      <w:r w:rsidR="000349F2" w:rsidRPr="00FF49D0">
        <w:rPr>
          <w:lang w:val="en-GB"/>
        </w:rPr>
        <w:t xml:space="preserve"> </w:t>
      </w:r>
    </w:p>
    <w:p w14:paraId="7883A067" w14:textId="65151B51" w:rsidR="00FF0CD7" w:rsidRPr="00FF49D0" w:rsidRDefault="00FF49D0" w:rsidP="00FF49D0">
      <w:pPr>
        <w:ind w:left="1440" w:hanging="360"/>
        <w:jc w:val="both"/>
        <w:rPr>
          <w:lang w:val="en-GB"/>
        </w:rPr>
      </w:pPr>
      <w:r>
        <w:rPr>
          <w:lang w:val="en-GB"/>
        </w:rPr>
        <w:t>vi.</w:t>
      </w:r>
      <w:r>
        <w:rPr>
          <w:lang w:val="en-GB"/>
        </w:rPr>
        <w:tab/>
      </w:r>
      <w:r w:rsidR="00FF0CD7" w:rsidRPr="00FF49D0">
        <w:rPr>
          <w:lang w:val="en-GB"/>
        </w:rPr>
        <w:t>An amendment requires some explanation, including a reasonably satisfactory account for any delay</w:t>
      </w:r>
      <w:r w:rsidR="00901A5C" w:rsidRPr="00FF49D0">
        <w:rPr>
          <w:lang w:val="en-GB"/>
        </w:rPr>
        <w:t>, and should not be refused simply to punish the applicant for neglect.</w:t>
      </w:r>
      <w:r w:rsidR="00D9666D">
        <w:rPr>
          <w:rStyle w:val="FootnoteReference"/>
          <w:lang w:val="en-GB"/>
        </w:rPr>
        <w:footnoteReference w:id="6"/>
      </w:r>
      <w:r w:rsidR="00FF0CD7" w:rsidRPr="00FF49D0">
        <w:rPr>
          <w:lang w:val="en-GB"/>
        </w:rPr>
        <w:t xml:space="preserve"> </w:t>
      </w:r>
    </w:p>
    <w:p w14:paraId="1CFBCAA3" w14:textId="3A80D732" w:rsidR="00806AE7" w:rsidRPr="00FF49D0" w:rsidRDefault="00FF49D0" w:rsidP="00FF49D0">
      <w:pPr>
        <w:ind w:left="1440" w:hanging="360"/>
        <w:jc w:val="both"/>
        <w:rPr>
          <w:lang w:val="en-GB"/>
        </w:rPr>
      </w:pPr>
      <w:r>
        <w:rPr>
          <w:lang w:val="en-GB"/>
        </w:rPr>
        <w:t>vii.</w:t>
      </w:r>
      <w:r>
        <w:rPr>
          <w:lang w:val="en-GB"/>
        </w:rPr>
        <w:tab/>
      </w:r>
      <w:r w:rsidR="00806AE7" w:rsidRPr="00FF49D0">
        <w:rPr>
          <w:lang w:val="en-GB"/>
        </w:rPr>
        <w:t>The applicant must show that prima facie the amendment ‘has something deserving of consideration, a triable issue’.</w:t>
      </w:r>
      <w:r w:rsidR="00806AE7">
        <w:rPr>
          <w:rStyle w:val="FootnoteReference"/>
          <w:lang w:val="en-GB"/>
        </w:rPr>
        <w:footnoteReference w:id="7"/>
      </w:r>
    </w:p>
    <w:p w14:paraId="08443520" w14:textId="3C106857" w:rsidR="002D5AFE" w:rsidRPr="00FF49D0" w:rsidRDefault="00FF49D0" w:rsidP="00FF49D0">
      <w:pPr>
        <w:ind w:left="1440" w:hanging="360"/>
        <w:jc w:val="both"/>
        <w:rPr>
          <w:lang w:val="en-GB"/>
        </w:rPr>
      </w:pPr>
      <w:r w:rsidRPr="001D569C">
        <w:rPr>
          <w:lang w:val="en-GB"/>
        </w:rPr>
        <w:t>viii.</w:t>
      </w:r>
      <w:r w:rsidRPr="001D569C">
        <w:rPr>
          <w:lang w:val="en-GB"/>
        </w:rPr>
        <w:tab/>
      </w:r>
      <w:r w:rsidR="002D5AFE" w:rsidRPr="00FF49D0">
        <w:rPr>
          <w:lang w:val="en-GB"/>
        </w:rPr>
        <w:t>The modern tendency is in favour of an amendment if this will facilitate the proper ventilation of the dispute between the parties.</w:t>
      </w:r>
      <w:r w:rsidR="002D5AFE">
        <w:rPr>
          <w:rStyle w:val="FootnoteReference"/>
          <w:lang w:val="en-GB"/>
        </w:rPr>
        <w:footnoteReference w:id="8"/>
      </w:r>
    </w:p>
    <w:p w14:paraId="6CAD97B6" w14:textId="77777777" w:rsidR="00FF0CD7" w:rsidRPr="00FF0CD7" w:rsidRDefault="00FF0CD7" w:rsidP="00FF0CD7">
      <w:pPr>
        <w:pStyle w:val="ListParagraph"/>
        <w:rPr>
          <w:lang w:val="en-GB"/>
        </w:rPr>
      </w:pPr>
    </w:p>
    <w:p w14:paraId="7FF53FD4" w14:textId="254201DC" w:rsidR="001E54CF" w:rsidRPr="00FF49D0" w:rsidRDefault="00FF49D0" w:rsidP="00FF49D0">
      <w:pPr>
        <w:autoSpaceDE w:val="0"/>
        <w:autoSpaceDN w:val="0"/>
        <w:adjustRightInd w:val="0"/>
        <w:jc w:val="both"/>
        <w:rPr>
          <w:lang w:val="en-GB"/>
        </w:rPr>
      </w:pPr>
      <w:r>
        <w:rPr>
          <w:lang w:val="en-GB"/>
        </w:rPr>
        <w:lastRenderedPageBreak/>
        <w:t>[4]</w:t>
      </w:r>
      <w:r>
        <w:rPr>
          <w:lang w:val="en-GB"/>
        </w:rPr>
        <w:tab/>
      </w:r>
      <w:r w:rsidR="000349F2" w:rsidRPr="00FF49D0">
        <w:rPr>
          <w:lang w:val="en-GB"/>
        </w:rPr>
        <w:t xml:space="preserve">It is worth emphasising that </w:t>
      </w:r>
      <w:r w:rsidR="00351F77" w:rsidRPr="00FF49D0">
        <w:rPr>
          <w:lang w:val="en-GB"/>
        </w:rPr>
        <w:t>these principles</w:t>
      </w:r>
      <w:r w:rsidR="00E82C52" w:rsidRPr="00FF49D0">
        <w:rPr>
          <w:lang w:val="en-GB"/>
        </w:rPr>
        <w:t>, and the relevant rules of procedure,</w:t>
      </w:r>
      <w:r w:rsidR="002766E2">
        <w:rPr>
          <w:rStyle w:val="FootnoteReference"/>
          <w:lang w:val="en-GB"/>
        </w:rPr>
        <w:footnoteReference w:id="9"/>
      </w:r>
      <w:r w:rsidR="00351F77" w:rsidRPr="00FF49D0">
        <w:rPr>
          <w:lang w:val="en-GB"/>
        </w:rPr>
        <w:t xml:space="preserve"> must be </w:t>
      </w:r>
      <w:r w:rsidR="00A672ED" w:rsidRPr="00FF49D0">
        <w:rPr>
          <w:lang w:val="en-GB"/>
        </w:rPr>
        <w:t xml:space="preserve">interpreted and </w:t>
      </w:r>
      <w:r w:rsidR="00351F77" w:rsidRPr="00FF49D0">
        <w:rPr>
          <w:lang w:val="en-GB"/>
        </w:rPr>
        <w:t>applied in a manner that gives effect to the constitutional right to have disputes that can be resolved by the application of law decided in a fair public hearing</w:t>
      </w:r>
      <w:r w:rsidR="000B72FA" w:rsidRPr="00FF49D0">
        <w:rPr>
          <w:lang w:val="en-GB"/>
        </w:rPr>
        <w:t>, and in the interests of justice</w:t>
      </w:r>
      <w:r w:rsidR="00351F77" w:rsidRPr="00FF49D0">
        <w:rPr>
          <w:lang w:val="en-GB"/>
        </w:rPr>
        <w:t>.</w:t>
      </w:r>
      <w:r w:rsidR="00215CC2">
        <w:rPr>
          <w:rStyle w:val="FootnoteReference"/>
          <w:lang w:val="en-GB"/>
        </w:rPr>
        <w:footnoteReference w:id="10"/>
      </w:r>
      <w:r w:rsidR="00133711" w:rsidRPr="00FF49D0">
        <w:rPr>
          <w:lang w:val="en-GB"/>
        </w:rPr>
        <w:t xml:space="preserve"> </w:t>
      </w:r>
      <w:r w:rsidR="001E54CF" w:rsidRPr="00FF49D0">
        <w:rPr>
          <w:lang w:val="en-GB"/>
        </w:rPr>
        <w:t>The primary principle is that an amendment will be allowed in order to obtain a proper ventilation of the dispute between the parties, to determine the real issues between them, so that justice may be done.</w:t>
      </w:r>
      <w:r w:rsidR="003B75E8">
        <w:rPr>
          <w:rStyle w:val="FootnoteReference"/>
          <w:lang w:val="en-GB"/>
        </w:rPr>
        <w:footnoteReference w:id="11"/>
      </w:r>
      <w:r w:rsidR="00BE5E91" w:rsidRPr="00FF49D0">
        <w:rPr>
          <w:lang w:val="en-GB"/>
        </w:rPr>
        <w:t xml:space="preserve"> As Caney J held in </w:t>
      </w:r>
      <w:r w:rsidR="00BE5E91" w:rsidRPr="00FF49D0">
        <w:rPr>
          <w:i/>
          <w:iCs/>
          <w:lang w:val="en-GB"/>
        </w:rPr>
        <w:t>Trans-Drakensburg Bank Ltd (Under Judicial Management) v Combined Engineering (Pty) Ltd and Another</w:t>
      </w:r>
      <w:r w:rsidR="00BE5E91" w:rsidRPr="00FF49D0">
        <w:rPr>
          <w:lang w:val="en-GB"/>
        </w:rPr>
        <w:t>:</w:t>
      </w:r>
      <w:r w:rsidR="00BE5E91">
        <w:rPr>
          <w:rStyle w:val="FootnoteReference"/>
          <w:lang w:val="en-GB"/>
        </w:rPr>
        <w:footnoteReference w:id="12"/>
      </w:r>
    </w:p>
    <w:p w14:paraId="353A2F00" w14:textId="77777777" w:rsidR="00EC0C71" w:rsidRDefault="00EC0C71" w:rsidP="00EC0C71">
      <w:pPr>
        <w:pStyle w:val="ListParagraph"/>
        <w:autoSpaceDE w:val="0"/>
        <w:autoSpaceDN w:val="0"/>
        <w:adjustRightInd w:val="0"/>
        <w:ind w:left="0"/>
        <w:jc w:val="both"/>
        <w:rPr>
          <w:lang w:val="en-GB"/>
        </w:rPr>
      </w:pPr>
    </w:p>
    <w:p w14:paraId="28A532B6" w14:textId="178B25A0" w:rsidR="001E54CF" w:rsidRPr="00D90185" w:rsidRDefault="00275949" w:rsidP="001E54CF">
      <w:pPr>
        <w:pStyle w:val="ListParagraph"/>
        <w:autoSpaceDE w:val="0"/>
        <w:autoSpaceDN w:val="0"/>
        <w:adjustRightInd w:val="0"/>
        <w:ind w:left="0"/>
        <w:jc w:val="both"/>
        <w:rPr>
          <w:sz w:val="22"/>
          <w:szCs w:val="22"/>
          <w:lang w:val="en-GB"/>
        </w:rPr>
      </w:pPr>
      <w:r>
        <w:rPr>
          <w:sz w:val="22"/>
          <w:szCs w:val="22"/>
          <w:lang w:val="en-GB"/>
        </w:rPr>
        <w:t xml:space="preserve">‘… the aim should be to do justice between the parties by deciding the real issues between them. The mistake or neglect of one of them in the process of placing the issues on record is not to stand in the way of this; his punishment is in his being mulcted in the wasted costs. The amendment will be refused only </w:t>
      </w:r>
      <w:r w:rsidR="0076323B">
        <w:rPr>
          <w:sz w:val="22"/>
          <w:szCs w:val="22"/>
          <w:lang w:val="en-GB"/>
        </w:rPr>
        <w:t>if to allow it would cause prejudice to the other party not remediable by an order for costs and, where appropriate, a postponement. It is only in this relation</w:t>
      </w:r>
      <w:r w:rsidR="00D90185">
        <w:rPr>
          <w:sz w:val="22"/>
          <w:szCs w:val="22"/>
          <w:lang w:val="en-GB"/>
        </w:rPr>
        <w:t xml:space="preserve"> … that the applicant for the amendment is required to show it is </w:t>
      </w:r>
      <w:r w:rsidR="00D90185">
        <w:rPr>
          <w:i/>
          <w:iCs/>
          <w:sz w:val="22"/>
          <w:szCs w:val="22"/>
          <w:lang w:val="en-GB"/>
        </w:rPr>
        <w:t>bona fide</w:t>
      </w:r>
      <w:r w:rsidR="00D90185">
        <w:rPr>
          <w:sz w:val="22"/>
          <w:szCs w:val="22"/>
          <w:lang w:val="en-GB"/>
        </w:rPr>
        <w:t xml:space="preserve"> and to explain any delay there may have been in making the application, for he must show that his opponent will not suffer prejudice in the sense I have indicated. He does not come as a suppliant, cap in hand, seeking mercy for his mistake or neglect. Having already made his case in his pleading, if he wishes to change or add to this, he must explain the reason and show </w:t>
      </w:r>
      <w:r w:rsidR="00D90185">
        <w:rPr>
          <w:i/>
          <w:iCs/>
          <w:sz w:val="22"/>
          <w:szCs w:val="22"/>
          <w:lang w:val="en-GB"/>
        </w:rPr>
        <w:t>prima facie</w:t>
      </w:r>
      <w:r w:rsidR="00D90185">
        <w:rPr>
          <w:sz w:val="22"/>
          <w:szCs w:val="22"/>
          <w:lang w:val="en-GB"/>
        </w:rPr>
        <w:t xml:space="preserve"> that he has something deserving of consideration, a triable issue; he cannot be allowed to harass his opponent by an amendment which has no foundation. He cannot place on the record an issue for which he has no supporting evidence, where evidence is required, or, save perhaps in exceptional circumstances, introduce an amendment which would make the pleading excipiable … </w:t>
      </w:r>
      <w:r w:rsidR="00032D7E">
        <w:rPr>
          <w:sz w:val="22"/>
          <w:szCs w:val="22"/>
          <w:lang w:val="en-GB"/>
        </w:rPr>
        <w:t>or deliberately refrain until a late stage from bringing forward his amendment with the purpose of catching his opponent unawares … or of obtaining a tactical advantage …’ (references omitted).</w:t>
      </w:r>
    </w:p>
    <w:p w14:paraId="2E7E92AC" w14:textId="77777777" w:rsidR="00D90185" w:rsidRPr="00D90185" w:rsidRDefault="00D90185" w:rsidP="001E54CF">
      <w:pPr>
        <w:pStyle w:val="ListParagraph"/>
        <w:autoSpaceDE w:val="0"/>
        <w:autoSpaceDN w:val="0"/>
        <w:adjustRightInd w:val="0"/>
        <w:ind w:left="0"/>
        <w:jc w:val="both"/>
        <w:rPr>
          <w:sz w:val="22"/>
          <w:szCs w:val="22"/>
          <w:lang w:val="en-GB"/>
        </w:rPr>
      </w:pPr>
    </w:p>
    <w:p w14:paraId="54427DE9" w14:textId="5B82B787" w:rsidR="00746D4C" w:rsidRPr="00FF49D0" w:rsidRDefault="00FF49D0" w:rsidP="00FF49D0">
      <w:pPr>
        <w:autoSpaceDE w:val="0"/>
        <w:autoSpaceDN w:val="0"/>
        <w:adjustRightInd w:val="0"/>
        <w:jc w:val="both"/>
        <w:rPr>
          <w:lang w:val="en-GB"/>
        </w:rPr>
      </w:pPr>
      <w:r w:rsidRPr="00E41458">
        <w:rPr>
          <w:lang w:val="en-GB"/>
        </w:rPr>
        <w:lastRenderedPageBreak/>
        <w:t>[5]</w:t>
      </w:r>
      <w:r w:rsidRPr="00E41458">
        <w:rPr>
          <w:lang w:val="en-GB"/>
        </w:rPr>
        <w:tab/>
      </w:r>
      <w:r w:rsidR="00AD33BA" w:rsidRPr="00FF49D0">
        <w:rPr>
          <w:lang w:val="en-GB"/>
        </w:rPr>
        <w:t>Recent authority confirms that i</w:t>
      </w:r>
      <w:r w:rsidR="00F06C9E" w:rsidRPr="00FF49D0">
        <w:rPr>
          <w:lang w:val="en-GB"/>
        </w:rPr>
        <w:t>t is for the plaintiff to show that the amendments have been requested mala fide.</w:t>
      </w:r>
      <w:r w:rsidR="00F06C9E">
        <w:rPr>
          <w:rStyle w:val="FootnoteReference"/>
          <w:lang w:val="en-GB"/>
        </w:rPr>
        <w:footnoteReference w:id="13"/>
      </w:r>
      <w:r w:rsidR="00F06C9E" w:rsidRPr="00FF49D0">
        <w:rPr>
          <w:lang w:val="en-GB"/>
        </w:rPr>
        <w:t xml:space="preserve"> </w:t>
      </w:r>
      <w:r w:rsidR="0075364C" w:rsidRPr="00FF49D0">
        <w:rPr>
          <w:lang w:val="en-GB"/>
        </w:rPr>
        <w:t xml:space="preserve">The plaintiff did not </w:t>
      </w:r>
      <w:r w:rsidR="00F06C9E" w:rsidRPr="00FF49D0">
        <w:rPr>
          <w:lang w:val="en-GB"/>
        </w:rPr>
        <w:t>base its objection on</w:t>
      </w:r>
      <w:r w:rsidR="0075364C" w:rsidRPr="00FF49D0">
        <w:rPr>
          <w:lang w:val="en-GB"/>
        </w:rPr>
        <w:t xml:space="preserve"> prejudice that would be suffered by it that cannot be cured by an appropriate costs order.</w:t>
      </w:r>
      <w:r w:rsidR="00847AEC" w:rsidRPr="00FF49D0">
        <w:rPr>
          <w:lang w:val="en-GB"/>
        </w:rPr>
        <w:t xml:space="preserve"> </w:t>
      </w:r>
      <w:r w:rsidR="00F06C9E" w:rsidRPr="00FF49D0">
        <w:rPr>
          <w:lang w:val="en-GB"/>
        </w:rPr>
        <w:t>Instead, specific objections were raised to certain paragraphs of the amended plea</w:t>
      </w:r>
      <w:r w:rsidR="00F00463" w:rsidRPr="00FF49D0">
        <w:rPr>
          <w:lang w:val="en-GB"/>
        </w:rPr>
        <w:t xml:space="preserve"> that accompanied the defendants’ notice of intention to amend.</w:t>
      </w:r>
      <w:r w:rsidR="00297AD2" w:rsidRPr="00FF49D0">
        <w:rPr>
          <w:lang w:val="en-GB"/>
        </w:rPr>
        <w:t xml:space="preserve"> </w:t>
      </w:r>
      <w:r w:rsidR="006067EC" w:rsidRPr="00FF49D0">
        <w:rPr>
          <w:lang w:val="en-GB"/>
        </w:rPr>
        <w:t>It is convenient to consider the various special pleas and amendments that have been objected to before considering the overarching complaint</w:t>
      </w:r>
      <w:r w:rsidR="00E41458" w:rsidRPr="00FF49D0">
        <w:rPr>
          <w:lang w:val="en-GB"/>
        </w:rPr>
        <w:t>s</w:t>
      </w:r>
      <w:r w:rsidR="006067EC" w:rsidRPr="00FF49D0">
        <w:rPr>
          <w:lang w:val="en-GB"/>
        </w:rPr>
        <w:t xml:space="preserve"> of bad faith and delay.</w:t>
      </w:r>
    </w:p>
    <w:p w14:paraId="431466E0" w14:textId="77777777" w:rsidR="00E41458" w:rsidRDefault="00E41458" w:rsidP="00796055">
      <w:pPr>
        <w:rPr>
          <w:i/>
          <w:iCs/>
          <w:lang w:val="en-GB"/>
        </w:rPr>
      </w:pPr>
    </w:p>
    <w:p w14:paraId="7006AB59" w14:textId="14D3CD57" w:rsidR="00796055" w:rsidRDefault="00C02964" w:rsidP="00796055">
      <w:pPr>
        <w:rPr>
          <w:i/>
          <w:iCs/>
          <w:lang w:val="en-GB"/>
        </w:rPr>
      </w:pPr>
      <w:r>
        <w:rPr>
          <w:i/>
          <w:iCs/>
          <w:lang w:val="en-GB"/>
        </w:rPr>
        <w:t>The special plea</w:t>
      </w:r>
      <w:r w:rsidR="00544BCB">
        <w:rPr>
          <w:i/>
          <w:iCs/>
          <w:lang w:val="en-GB"/>
        </w:rPr>
        <w:t>s</w:t>
      </w:r>
      <w:r>
        <w:rPr>
          <w:i/>
          <w:iCs/>
          <w:lang w:val="en-GB"/>
        </w:rPr>
        <w:t xml:space="preserve"> of prescription</w:t>
      </w:r>
    </w:p>
    <w:p w14:paraId="49867BEC" w14:textId="77777777" w:rsidR="00C02964" w:rsidRPr="00C02964" w:rsidRDefault="00C02964" w:rsidP="00796055">
      <w:pPr>
        <w:rPr>
          <w:i/>
          <w:iCs/>
          <w:lang w:val="en-GB"/>
        </w:rPr>
      </w:pPr>
    </w:p>
    <w:p w14:paraId="1702A331" w14:textId="02B7ACE3" w:rsidR="00B514A8" w:rsidRPr="00FF49D0" w:rsidRDefault="00FF49D0" w:rsidP="00FF49D0">
      <w:pPr>
        <w:autoSpaceDE w:val="0"/>
        <w:autoSpaceDN w:val="0"/>
        <w:adjustRightInd w:val="0"/>
        <w:jc w:val="both"/>
        <w:rPr>
          <w:lang w:val="en-GB"/>
        </w:rPr>
      </w:pPr>
      <w:r>
        <w:rPr>
          <w:lang w:val="en-GB"/>
        </w:rPr>
        <w:t>[</w:t>
      </w:r>
      <w:bookmarkStart w:id="0" w:name="_GoBack"/>
      <w:bookmarkEnd w:id="0"/>
      <w:r>
        <w:rPr>
          <w:lang w:val="en-GB"/>
        </w:rPr>
        <w:t>6]</w:t>
      </w:r>
      <w:r>
        <w:rPr>
          <w:lang w:val="en-GB"/>
        </w:rPr>
        <w:tab/>
      </w:r>
      <w:r w:rsidR="00255C8A" w:rsidRPr="00FF49D0">
        <w:rPr>
          <w:lang w:val="en-GB"/>
        </w:rPr>
        <w:t>The particulars of claim allege various forms of misconduct on the part of the first defendant which resulted in losses to the plaintiff in the amount of R4,7 million.</w:t>
      </w:r>
      <w:r w:rsidR="00B514A8" w:rsidRPr="00FF49D0">
        <w:rPr>
          <w:lang w:val="en-GB"/>
        </w:rPr>
        <w:t xml:space="preserve"> The case is that the first defendant’s misconduct comprised a series of material breaches of his contract of employment</w:t>
      </w:r>
      <w:r w:rsidR="001635EF" w:rsidRPr="00FF49D0">
        <w:rPr>
          <w:lang w:val="en-GB"/>
        </w:rPr>
        <w:t xml:space="preserve">. </w:t>
      </w:r>
      <w:r w:rsidR="00697418" w:rsidRPr="00FF49D0">
        <w:rPr>
          <w:lang w:val="en-GB"/>
        </w:rPr>
        <w:t xml:space="preserve"> </w:t>
      </w:r>
      <w:r w:rsidR="001635EF" w:rsidRPr="00FF49D0">
        <w:rPr>
          <w:lang w:val="en-GB"/>
        </w:rPr>
        <w:t xml:space="preserve">In the </w:t>
      </w:r>
      <w:r w:rsidR="00697418" w:rsidRPr="00FF49D0">
        <w:rPr>
          <w:lang w:val="en-GB"/>
        </w:rPr>
        <w:t>alternative</w:t>
      </w:r>
      <w:r w:rsidR="001635EF" w:rsidRPr="00FF49D0">
        <w:rPr>
          <w:lang w:val="en-GB"/>
        </w:rPr>
        <w:t>, an alleged</w:t>
      </w:r>
      <w:r w:rsidR="00697418" w:rsidRPr="00FF49D0">
        <w:rPr>
          <w:lang w:val="en-GB"/>
        </w:rPr>
        <w:t xml:space="preserve"> violat</w:t>
      </w:r>
      <w:r w:rsidR="001635EF" w:rsidRPr="00FF49D0">
        <w:rPr>
          <w:lang w:val="en-GB"/>
        </w:rPr>
        <w:t>ion of</w:t>
      </w:r>
      <w:r w:rsidR="00697418" w:rsidRPr="00FF49D0">
        <w:rPr>
          <w:lang w:val="en-GB"/>
        </w:rPr>
        <w:t xml:space="preserve"> the duty of good faith</w:t>
      </w:r>
      <w:r w:rsidR="001635EF" w:rsidRPr="00FF49D0">
        <w:rPr>
          <w:lang w:val="en-GB"/>
        </w:rPr>
        <w:t xml:space="preserve"> resulted in the obligation to disgorge secret profits received to the tune of R4,7 million</w:t>
      </w:r>
      <w:r w:rsidR="00F21657" w:rsidRPr="00FF49D0">
        <w:rPr>
          <w:lang w:val="en-GB"/>
        </w:rPr>
        <w:t xml:space="preserve">. In the further alternative, the plaintiff claims entitlement to restitution of its performance </w:t>
      </w:r>
      <w:r w:rsidR="00AB1A6B" w:rsidRPr="00FF49D0">
        <w:rPr>
          <w:lang w:val="en-GB"/>
        </w:rPr>
        <w:t xml:space="preserve">(in the same amount) </w:t>
      </w:r>
      <w:r w:rsidR="00F21657" w:rsidRPr="00FF49D0">
        <w:rPr>
          <w:lang w:val="en-GB"/>
        </w:rPr>
        <w:t xml:space="preserve">based on the </w:t>
      </w:r>
      <w:r w:rsidR="008D3215" w:rsidRPr="00FF49D0">
        <w:rPr>
          <w:lang w:val="en-GB"/>
        </w:rPr>
        <w:t>CSRI’s</w:t>
      </w:r>
      <w:r w:rsidR="00F21657" w:rsidRPr="00FF49D0">
        <w:rPr>
          <w:lang w:val="en-GB"/>
        </w:rPr>
        <w:t xml:space="preserve"> failure to perform in terms of its contractual obligations</w:t>
      </w:r>
      <w:r w:rsidR="00461A76" w:rsidRPr="00FF49D0">
        <w:rPr>
          <w:lang w:val="en-GB"/>
        </w:rPr>
        <w:t xml:space="preserve">. </w:t>
      </w:r>
    </w:p>
    <w:p w14:paraId="0CF71D9F" w14:textId="77777777" w:rsidR="00B514A8" w:rsidRDefault="00B514A8" w:rsidP="00B514A8">
      <w:pPr>
        <w:pStyle w:val="ListParagraph"/>
        <w:autoSpaceDE w:val="0"/>
        <w:autoSpaceDN w:val="0"/>
        <w:adjustRightInd w:val="0"/>
        <w:ind w:left="0"/>
        <w:jc w:val="both"/>
        <w:rPr>
          <w:lang w:val="en-GB"/>
        </w:rPr>
      </w:pPr>
    </w:p>
    <w:p w14:paraId="2B1C1E36" w14:textId="6838FE34" w:rsidR="007252DF" w:rsidRPr="00FF49D0" w:rsidRDefault="00FF49D0" w:rsidP="00FF49D0">
      <w:pPr>
        <w:autoSpaceDE w:val="0"/>
        <w:autoSpaceDN w:val="0"/>
        <w:adjustRightInd w:val="0"/>
        <w:jc w:val="both"/>
        <w:rPr>
          <w:lang w:val="en-GB"/>
        </w:rPr>
      </w:pPr>
      <w:r>
        <w:rPr>
          <w:lang w:val="en-GB"/>
        </w:rPr>
        <w:t>[7]</w:t>
      </w:r>
      <w:r>
        <w:rPr>
          <w:lang w:val="en-GB"/>
        </w:rPr>
        <w:tab/>
      </w:r>
      <w:r w:rsidR="00A162E7" w:rsidRPr="00FF49D0">
        <w:rPr>
          <w:lang w:val="en-GB"/>
        </w:rPr>
        <w:t>The plaintiff pleads that it only became aware of the first defendant’s interest in the CSRI during December 2020</w:t>
      </w:r>
      <w:r w:rsidR="002552C5" w:rsidRPr="00FF49D0">
        <w:rPr>
          <w:lang w:val="en-GB"/>
        </w:rPr>
        <w:t>, the first defendant having not disclosed this during the period of his employment</w:t>
      </w:r>
      <w:r w:rsidR="00A162E7" w:rsidRPr="00FF49D0">
        <w:rPr>
          <w:lang w:val="en-GB"/>
        </w:rPr>
        <w:t xml:space="preserve">. </w:t>
      </w:r>
      <w:r w:rsidR="00D40B20" w:rsidRPr="00FF49D0">
        <w:rPr>
          <w:lang w:val="en-GB"/>
        </w:rPr>
        <w:t xml:space="preserve">The proposed amendment introduces various facts suggestive of </w:t>
      </w:r>
      <w:r w:rsidR="00C10D03" w:rsidRPr="00FF49D0">
        <w:rPr>
          <w:lang w:val="en-GB"/>
        </w:rPr>
        <w:t xml:space="preserve">the plaintiff’s deemed knowledge of </w:t>
      </w:r>
      <w:r w:rsidR="00CA797A" w:rsidRPr="00FF49D0">
        <w:rPr>
          <w:lang w:val="en-GB"/>
        </w:rPr>
        <w:t xml:space="preserve">the </w:t>
      </w:r>
      <w:r w:rsidR="00CF6AF0" w:rsidRPr="00FF49D0">
        <w:rPr>
          <w:lang w:val="en-GB"/>
        </w:rPr>
        <w:t xml:space="preserve">facts from which the </w:t>
      </w:r>
      <w:r w:rsidR="00CA797A" w:rsidRPr="00FF49D0">
        <w:rPr>
          <w:lang w:val="en-GB"/>
        </w:rPr>
        <w:t>debt</w:t>
      </w:r>
      <w:r w:rsidR="00CF6AF0" w:rsidRPr="00FF49D0">
        <w:rPr>
          <w:lang w:val="en-GB"/>
        </w:rPr>
        <w:t xml:space="preserve"> arose</w:t>
      </w:r>
      <w:r w:rsidR="00DC30EE" w:rsidRPr="00FF49D0">
        <w:rPr>
          <w:lang w:val="en-GB"/>
        </w:rPr>
        <w:t>,</w:t>
      </w:r>
      <w:r w:rsidR="00CA797A" w:rsidRPr="00FF49D0">
        <w:rPr>
          <w:lang w:val="en-GB"/>
        </w:rPr>
        <w:t xml:space="preserve"> and identity of the </w:t>
      </w:r>
      <w:r w:rsidR="00502DCA" w:rsidRPr="00FF49D0">
        <w:rPr>
          <w:lang w:val="en-GB"/>
        </w:rPr>
        <w:t xml:space="preserve">first defendant as </w:t>
      </w:r>
      <w:r w:rsidR="00CA797A" w:rsidRPr="00FF49D0">
        <w:rPr>
          <w:lang w:val="en-GB"/>
        </w:rPr>
        <w:t>debtor</w:t>
      </w:r>
      <w:r w:rsidR="00DC30EE" w:rsidRPr="00FF49D0">
        <w:rPr>
          <w:lang w:val="en-GB"/>
        </w:rPr>
        <w:t xml:space="preserve">, ‘between May 2012 and May 2015 </w:t>
      </w:r>
      <w:r w:rsidR="00DC30EE" w:rsidRPr="00FF49D0">
        <w:rPr>
          <w:i/>
          <w:iCs/>
          <w:lang w:val="en-GB"/>
        </w:rPr>
        <w:t xml:space="preserve">alternatively </w:t>
      </w:r>
      <w:r w:rsidR="00DC30EE" w:rsidRPr="00FF49D0">
        <w:rPr>
          <w:lang w:val="en-GB"/>
        </w:rPr>
        <w:t>2016’.</w:t>
      </w:r>
      <w:r w:rsidR="002960E9">
        <w:rPr>
          <w:rStyle w:val="FootnoteReference"/>
          <w:lang w:val="en-GB"/>
        </w:rPr>
        <w:footnoteReference w:id="14"/>
      </w:r>
      <w:r w:rsidR="003B6FA7" w:rsidRPr="00FF49D0">
        <w:rPr>
          <w:lang w:val="en-GB"/>
        </w:rPr>
        <w:t xml:space="preserve"> This is based on the allegation that three senior employees of </w:t>
      </w:r>
      <w:r w:rsidR="003B6FA7" w:rsidRPr="00FF49D0">
        <w:rPr>
          <w:lang w:val="en-GB"/>
        </w:rPr>
        <w:lastRenderedPageBreak/>
        <w:t>the plaintiff, exercising reasonable care, would have ‘conducted an enquiry or investigation into the factual and legal basis for payments made</w:t>
      </w:r>
      <w:r w:rsidR="00F24D56" w:rsidRPr="00FF49D0">
        <w:rPr>
          <w:lang w:val="en-GB"/>
        </w:rPr>
        <w:t xml:space="preserve"> …</w:t>
      </w:r>
      <w:r w:rsidR="00E02F3E" w:rsidRPr="00FF49D0">
        <w:rPr>
          <w:lang w:val="en-GB"/>
        </w:rPr>
        <w:t xml:space="preserve"> each time </w:t>
      </w:r>
      <w:r w:rsidR="00F24D56" w:rsidRPr="00FF49D0">
        <w:rPr>
          <w:lang w:val="en-GB"/>
        </w:rPr>
        <w:t>they were paid</w:t>
      </w:r>
      <w:r w:rsidR="00E02F3E" w:rsidRPr="00FF49D0">
        <w:rPr>
          <w:lang w:val="en-GB"/>
        </w:rPr>
        <w:t xml:space="preserve"> </w:t>
      </w:r>
      <w:r w:rsidR="00F24D56" w:rsidRPr="00FF49D0">
        <w:rPr>
          <w:lang w:val="en-GB"/>
        </w:rPr>
        <w:t>by the plaintiff or a year thereafter’</w:t>
      </w:r>
      <w:r w:rsidR="00E02F3E" w:rsidRPr="00FF49D0">
        <w:rPr>
          <w:lang w:val="en-GB"/>
        </w:rPr>
        <w:t xml:space="preserve">. </w:t>
      </w:r>
      <w:r w:rsidR="00DB0335" w:rsidRPr="00FF49D0">
        <w:rPr>
          <w:lang w:val="en-GB"/>
        </w:rPr>
        <w:t xml:space="preserve">Such an investigation would have illuminated the </w:t>
      </w:r>
      <w:r w:rsidR="00D14D6C" w:rsidRPr="00FF49D0">
        <w:rPr>
          <w:lang w:val="en-GB"/>
        </w:rPr>
        <w:t xml:space="preserve">facts from which the </w:t>
      </w:r>
      <w:r w:rsidR="00DB0335" w:rsidRPr="00FF49D0">
        <w:rPr>
          <w:lang w:val="en-GB"/>
        </w:rPr>
        <w:t xml:space="preserve">debt </w:t>
      </w:r>
      <w:r w:rsidR="00D14D6C" w:rsidRPr="00FF49D0">
        <w:rPr>
          <w:lang w:val="en-GB"/>
        </w:rPr>
        <w:t xml:space="preserve">arose </w:t>
      </w:r>
      <w:r w:rsidR="00DB0335" w:rsidRPr="00FF49D0">
        <w:rPr>
          <w:lang w:val="en-GB"/>
        </w:rPr>
        <w:t xml:space="preserve">and identity of the </w:t>
      </w:r>
      <w:r w:rsidR="007F5389" w:rsidRPr="00FF49D0">
        <w:rPr>
          <w:lang w:val="en-GB"/>
        </w:rPr>
        <w:t>defendants</w:t>
      </w:r>
      <w:r w:rsidR="00DB0335" w:rsidRPr="00FF49D0">
        <w:rPr>
          <w:lang w:val="en-GB"/>
        </w:rPr>
        <w:t xml:space="preserve"> </w:t>
      </w:r>
      <w:r w:rsidR="005650E2" w:rsidRPr="00FF49D0">
        <w:rPr>
          <w:lang w:val="en-GB"/>
        </w:rPr>
        <w:t>more than three years before the institution of the claim</w:t>
      </w:r>
      <w:r w:rsidR="00DB0335" w:rsidRPr="00FF49D0">
        <w:rPr>
          <w:lang w:val="en-GB"/>
        </w:rPr>
        <w:t xml:space="preserve">, </w:t>
      </w:r>
      <w:r w:rsidR="005650E2" w:rsidRPr="00FF49D0">
        <w:rPr>
          <w:lang w:val="en-GB"/>
        </w:rPr>
        <w:t xml:space="preserve">so that it </w:t>
      </w:r>
      <w:r w:rsidR="00DB0335" w:rsidRPr="00FF49D0">
        <w:rPr>
          <w:lang w:val="en-GB"/>
        </w:rPr>
        <w:t>had prescribed</w:t>
      </w:r>
      <w:r w:rsidR="00FF09CC" w:rsidRPr="00FF49D0">
        <w:rPr>
          <w:lang w:val="en-GB"/>
        </w:rPr>
        <w:t xml:space="preserve"> when issued.</w:t>
      </w:r>
    </w:p>
    <w:p w14:paraId="4E37F86E" w14:textId="07BAFA2C" w:rsidR="00746D4C" w:rsidRPr="00746D4C" w:rsidRDefault="00CA797A" w:rsidP="007252DF">
      <w:pPr>
        <w:pStyle w:val="ListParagraph"/>
        <w:autoSpaceDE w:val="0"/>
        <w:autoSpaceDN w:val="0"/>
        <w:adjustRightInd w:val="0"/>
        <w:ind w:left="0"/>
        <w:jc w:val="both"/>
        <w:rPr>
          <w:lang w:val="en-GB"/>
        </w:rPr>
      </w:pPr>
      <w:r>
        <w:rPr>
          <w:lang w:val="en-GB"/>
        </w:rPr>
        <w:t xml:space="preserve"> </w:t>
      </w:r>
    </w:p>
    <w:p w14:paraId="29C40070" w14:textId="2239FCA1" w:rsidR="009D02D7" w:rsidRPr="00FF49D0" w:rsidRDefault="00FF49D0" w:rsidP="00FF49D0">
      <w:pPr>
        <w:autoSpaceDE w:val="0"/>
        <w:autoSpaceDN w:val="0"/>
        <w:adjustRightInd w:val="0"/>
        <w:jc w:val="both"/>
        <w:rPr>
          <w:lang w:val="en-GB"/>
        </w:rPr>
      </w:pPr>
      <w:r>
        <w:rPr>
          <w:lang w:val="en-GB"/>
        </w:rPr>
        <w:t>[8]</w:t>
      </w:r>
      <w:r>
        <w:rPr>
          <w:lang w:val="en-GB"/>
        </w:rPr>
        <w:tab/>
      </w:r>
      <w:r w:rsidR="007E23DE" w:rsidRPr="00FF49D0">
        <w:rPr>
          <w:lang w:val="en-GB"/>
        </w:rPr>
        <w:t>The plaintiff’s first argument, that the amended plea fails to address the issues identified in the first judgment regarding the special plea of prescription, is without merit. There the court considered the inference that ‘the plaintiff knew of the breaches of conduct upon which it bases its claims as such conduct occurred in 2015’ and decided that ‘the defendants ought to have pleaded facts to support the inference, or pleaded facts which indicate that the plaintiff knew of the said conduct at any time during the specified period’</w:t>
      </w:r>
      <w:r w:rsidR="00353040" w:rsidRPr="00FF49D0">
        <w:rPr>
          <w:lang w:val="en-GB"/>
        </w:rPr>
        <w:t xml:space="preserve">, so that the special plea was excipiable. </w:t>
      </w:r>
      <w:r w:rsidR="00A06B66" w:rsidRPr="00FF49D0">
        <w:rPr>
          <w:lang w:val="en-GB"/>
        </w:rPr>
        <w:t>The relevant portion of the amended plea is based squarely on the s 12(3) proviso and sufficient facts have been pleaded in support</w:t>
      </w:r>
      <w:r w:rsidR="00971EDA" w:rsidRPr="00FF49D0">
        <w:rPr>
          <w:lang w:val="en-GB"/>
        </w:rPr>
        <w:t xml:space="preserve"> to raise</w:t>
      </w:r>
      <w:r w:rsidR="003E5C21" w:rsidRPr="00FF49D0">
        <w:rPr>
          <w:lang w:val="en-GB"/>
        </w:rPr>
        <w:t>, prima facie,</w:t>
      </w:r>
      <w:r w:rsidR="00971EDA" w:rsidRPr="00FF49D0">
        <w:rPr>
          <w:lang w:val="en-GB"/>
        </w:rPr>
        <w:t xml:space="preserve"> a triable issue</w:t>
      </w:r>
      <w:r w:rsidR="007B5F4E" w:rsidRPr="00FF49D0">
        <w:rPr>
          <w:lang w:val="en-GB"/>
        </w:rPr>
        <w:t>.</w:t>
      </w:r>
      <w:r w:rsidR="00C01050" w:rsidRPr="00FF49D0">
        <w:rPr>
          <w:lang w:val="en-GB"/>
        </w:rPr>
        <w:t xml:space="preserve"> While specific dates upon which the plaintiff allegedly obtained constructive knowledge may not have been identified, this is not fatal to the proposed amendment.</w:t>
      </w:r>
      <w:r w:rsidR="00A06B66">
        <w:rPr>
          <w:rStyle w:val="FootnoteReference"/>
          <w:lang w:val="en-GB"/>
        </w:rPr>
        <w:footnoteReference w:id="15"/>
      </w:r>
      <w:r w:rsidR="007B5F4E" w:rsidRPr="00FF49D0">
        <w:rPr>
          <w:lang w:val="en-GB"/>
        </w:rPr>
        <w:t xml:space="preserve"> </w:t>
      </w:r>
    </w:p>
    <w:p w14:paraId="5F519902" w14:textId="77777777" w:rsidR="009D02D7" w:rsidRPr="009D02D7" w:rsidRDefault="009D02D7" w:rsidP="009D02D7">
      <w:pPr>
        <w:pStyle w:val="ListParagraph"/>
        <w:rPr>
          <w:lang w:val="en-GB"/>
        </w:rPr>
      </w:pPr>
    </w:p>
    <w:p w14:paraId="7668EE67" w14:textId="4F9A0D61" w:rsidR="000A6A3D" w:rsidRPr="00FF49D0" w:rsidRDefault="00FF49D0" w:rsidP="00FF49D0">
      <w:pPr>
        <w:autoSpaceDE w:val="0"/>
        <w:autoSpaceDN w:val="0"/>
        <w:adjustRightInd w:val="0"/>
        <w:jc w:val="both"/>
        <w:rPr>
          <w:lang w:val="en-GB"/>
        </w:rPr>
      </w:pPr>
      <w:r>
        <w:rPr>
          <w:lang w:val="en-GB"/>
        </w:rPr>
        <w:t>[9]</w:t>
      </w:r>
      <w:r>
        <w:rPr>
          <w:lang w:val="en-GB"/>
        </w:rPr>
        <w:tab/>
      </w:r>
      <w:r w:rsidR="001A0C54" w:rsidRPr="00FF49D0">
        <w:rPr>
          <w:lang w:val="en-GB"/>
        </w:rPr>
        <w:t xml:space="preserve">The </w:t>
      </w:r>
      <w:r w:rsidR="00573CD3" w:rsidRPr="00FF49D0">
        <w:rPr>
          <w:lang w:val="en-GB"/>
        </w:rPr>
        <w:t xml:space="preserve">next </w:t>
      </w:r>
      <w:r w:rsidR="001A0C54" w:rsidRPr="00FF49D0">
        <w:rPr>
          <w:lang w:val="en-GB"/>
        </w:rPr>
        <w:t>argument</w:t>
      </w:r>
      <w:r w:rsidR="00573CD3" w:rsidRPr="00FF49D0">
        <w:rPr>
          <w:lang w:val="en-GB"/>
        </w:rPr>
        <w:t>,</w:t>
      </w:r>
      <w:r w:rsidR="001A0C54" w:rsidRPr="00FF49D0">
        <w:rPr>
          <w:lang w:val="en-GB"/>
        </w:rPr>
        <w:t xml:space="preserve"> that the </w:t>
      </w:r>
      <w:r w:rsidR="00AE68B6" w:rsidRPr="00FF49D0">
        <w:rPr>
          <w:lang w:val="en-GB"/>
        </w:rPr>
        <w:t xml:space="preserve">remaining </w:t>
      </w:r>
      <w:r w:rsidR="001A0C54" w:rsidRPr="00FF49D0">
        <w:rPr>
          <w:lang w:val="en-GB"/>
        </w:rPr>
        <w:t>special plea</w:t>
      </w:r>
      <w:r w:rsidR="00916FC7" w:rsidRPr="00FF49D0">
        <w:rPr>
          <w:lang w:val="en-GB"/>
        </w:rPr>
        <w:t>s</w:t>
      </w:r>
      <w:r w:rsidR="001A0C54" w:rsidRPr="00FF49D0">
        <w:rPr>
          <w:lang w:val="en-GB"/>
        </w:rPr>
        <w:t xml:space="preserve"> of prescription fail to make a true distinction in respect of the alternative claim</w:t>
      </w:r>
      <w:r w:rsidR="00E61D86" w:rsidRPr="00FF49D0">
        <w:rPr>
          <w:lang w:val="en-GB"/>
        </w:rPr>
        <w:t>s</w:t>
      </w:r>
      <w:r w:rsidR="00573CD3" w:rsidRPr="00FF49D0">
        <w:rPr>
          <w:lang w:val="en-GB"/>
        </w:rPr>
        <w:t>,</w:t>
      </w:r>
      <w:r w:rsidR="001A0C54" w:rsidRPr="00FF49D0">
        <w:rPr>
          <w:lang w:val="en-GB"/>
        </w:rPr>
        <w:t xml:space="preserve"> is unfounded considering the similar underpinning facts for th</w:t>
      </w:r>
      <w:r w:rsidR="00E61D86" w:rsidRPr="00FF49D0">
        <w:rPr>
          <w:lang w:val="en-GB"/>
        </w:rPr>
        <w:t>e</w:t>
      </w:r>
      <w:r w:rsidR="00B45447" w:rsidRPr="00FF49D0">
        <w:rPr>
          <w:lang w:val="en-GB"/>
        </w:rPr>
        <w:t>se</w:t>
      </w:r>
      <w:r w:rsidR="001A0C54" w:rsidRPr="00FF49D0">
        <w:rPr>
          <w:lang w:val="en-GB"/>
        </w:rPr>
        <w:t xml:space="preserve"> causes of action</w:t>
      </w:r>
      <w:r w:rsidR="00F823E1" w:rsidRPr="00FF49D0">
        <w:rPr>
          <w:lang w:val="en-GB"/>
        </w:rPr>
        <w:t>, as evinced by the cross-reference in the particulars of claim to facts contained in the primary cause of action</w:t>
      </w:r>
      <w:r w:rsidR="001A0C54" w:rsidRPr="00FF49D0">
        <w:rPr>
          <w:lang w:val="en-GB"/>
        </w:rPr>
        <w:t xml:space="preserve">. </w:t>
      </w:r>
      <w:r w:rsidR="00B45447" w:rsidRPr="00FF49D0">
        <w:rPr>
          <w:lang w:val="en-GB"/>
        </w:rPr>
        <w:t xml:space="preserve">To illustrate the point, the claim against the </w:t>
      </w:r>
      <w:r w:rsidR="00C32A2D" w:rsidRPr="00FF49D0">
        <w:rPr>
          <w:lang w:val="en-GB"/>
        </w:rPr>
        <w:t>CSRI</w:t>
      </w:r>
      <w:r w:rsidR="00B45447" w:rsidRPr="00FF49D0">
        <w:rPr>
          <w:lang w:val="en-GB"/>
        </w:rPr>
        <w:t xml:space="preserve"> is connected to failure to render performance ‘in terms of each of the contracts with the plaintiff set out in paragraph 20’</w:t>
      </w:r>
      <w:r w:rsidR="00877C6D" w:rsidRPr="00FF49D0">
        <w:rPr>
          <w:lang w:val="en-GB"/>
        </w:rPr>
        <w:t xml:space="preserve">. Those contracts are dated between May 2012 and May 2015, the plaintiff claiming entitlement to restitution. </w:t>
      </w:r>
      <w:r w:rsidR="002A5B38" w:rsidRPr="00FF49D0">
        <w:rPr>
          <w:lang w:val="en-GB"/>
        </w:rPr>
        <w:t xml:space="preserve">The special plea of prescription, properly read, encapsulates the various causes of action and adequately distinguishes between the debts allegedly owed by the first defendant and </w:t>
      </w:r>
      <w:r w:rsidR="00CB7344" w:rsidRPr="00FF49D0">
        <w:rPr>
          <w:lang w:val="en-GB"/>
        </w:rPr>
        <w:t xml:space="preserve">the </w:t>
      </w:r>
      <w:r w:rsidR="002A5B38" w:rsidRPr="00FF49D0">
        <w:rPr>
          <w:lang w:val="en-GB"/>
        </w:rPr>
        <w:t>CSRI.</w:t>
      </w:r>
    </w:p>
    <w:p w14:paraId="055CE302" w14:textId="77777777" w:rsidR="009D02D7" w:rsidRPr="009D02D7" w:rsidRDefault="009D02D7" w:rsidP="009D02D7">
      <w:pPr>
        <w:pStyle w:val="ListParagraph"/>
        <w:rPr>
          <w:lang w:val="en-GB"/>
        </w:rPr>
      </w:pPr>
    </w:p>
    <w:p w14:paraId="02836240" w14:textId="0F89CFF1" w:rsidR="009D02D7" w:rsidRPr="00FF49D0" w:rsidRDefault="00FF49D0" w:rsidP="00FF49D0">
      <w:pPr>
        <w:autoSpaceDE w:val="0"/>
        <w:autoSpaceDN w:val="0"/>
        <w:adjustRightInd w:val="0"/>
        <w:jc w:val="both"/>
        <w:rPr>
          <w:lang w:val="en-GB"/>
        </w:rPr>
      </w:pPr>
      <w:r>
        <w:rPr>
          <w:lang w:val="en-GB"/>
        </w:rPr>
        <w:t>[10]</w:t>
      </w:r>
      <w:r>
        <w:rPr>
          <w:lang w:val="en-GB"/>
        </w:rPr>
        <w:tab/>
      </w:r>
      <w:r w:rsidR="009D02D7" w:rsidRPr="00FF49D0">
        <w:rPr>
          <w:lang w:val="en-GB"/>
        </w:rPr>
        <w:t xml:space="preserve">The third argument is that the defendants have failed to plead any facts supportive of the conclusion that any of the three employees mentioned ‘bore the responsibility or had the capacity and skills to conduct such enquiries or investigations, by reason of their respective job descriptions’. </w:t>
      </w:r>
      <w:r w:rsidR="006D06A8" w:rsidRPr="00FF49D0">
        <w:rPr>
          <w:lang w:val="en-GB"/>
        </w:rPr>
        <w:t xml:space="preserve">As </w:t>
      </w:r>
      <w:r w:rsidR="006D06A8" w:rsidRPr="00FF49D0">
        <w:rPr>
          <w:i/>
          <w:iCs/>
          <w:lang w:val="en-GB"/>
        </w:rPr>
        <w:t>Mr Mabuza</w:t>
      </w:r>
      <w:r w:rsidR="006D06A8" w:rsidRPr="00FF49D0">
        <w:rPr>
          <w:lang w:val="en-GB"/>
        </w:rPr>
        <w:t xml:space="preserve"> argued, that argument fails to draw a distinction between </w:t>
      </w:r>
      <w:r w:rsidR="006D06A8" w:rsidRPr="00FF49D0">
        <w:rPr>
          <w:i/>
          <w:iCs/>
          <w:lang w:val="en-GB"/>
        </w:rPr>
        <w:t>facta probanda</w:t>
      </w:r>
      <w:r w:rsidR="006D06A8" w:rsidRPr="00FF49D0">
        <w:rPr>
          <w:lang w:val="en-GB"/>
        </w:rPr>
        <w:t xml:space="preserve"> and </w:t>
      </w:r>
      <w:r w:rsidR="006D06A8" w:rsidRPr="00FF49D0">
        <w:rPr>
          <w:i/>
          <w:iCs/>
          <w:lang w:val="en-GB"/>
        </w:rPr>
        <w:t>facta probantia</w:t>
      </w:r>
      <w:r w:rsidR="006D06A8" w:rsidRPr="00FF49D0">
        <w:rPr>
          <w:lang w:val="en-GB"/>
        </w:rPr>
        <w:t>.</w:t>
      </w:r>
      <w:r w:rsidR="009E5DD3">
        <w:rPr>
          <w:rStyle w:val="FootnoteReference"/>
          <w:lang w:val="en-GB"/>
        </w:rPr>
        <w:footnoteReference w:id="16"/>
      </w:r>
      <w:r w:rsidR="002A58D7" w:rsidRPr="00FF49D0">
        <w:rPr>
          <w:lang w:val="en-GB"/>
        </w:rPr>
        <w:t xml:space="preserve"> </w:t>
      </w:r>
      <w:r w:rsidR="007A07AF" w:rsidRPr="00FF49D0">
        <w:rPr>
          <w:lang w:val="en-GB"/>
        </w:rPr>
        <w:t>T</w:t>
      </w:r>
      <w:r w:rsidR="002A58D7" w:rsidRPr="00FF49D0">
        <w:rPr>
          <w:lang w:val="en-GB"/>
        </w:rPr>
        <w:t>he pleading contains sufficient particularity</w:t>
      </w:r>
      <w:r w:rsidR="00B4605C" w:rsidRPr="00FF49D0">
        <w:rPr>
          <w:lang w:val="en-GB"/>
        </w:rPr>
        <w:t xml:space="preserve"> of </w:t>
      </w:r>
      <w:r w:rsidR="00F76EF6" w:rsidRPr="00FF49D0">
        <w:rPr>
          <w:lang w:val="en-GB"/>
        </w:rPr>
        <w:t xml:space="preserve">the </w:t>
      </w:r>
      <w:r w:rsidR="00B4605C" w:rsidRPr="00FF49D0">
        <w:rPr>
          <w:lang w:val="en-GB"/>
        </w:rPr>
        <w:t>material facts</w:t>
      </w:r>
      <w:r w:rsidR="00F76EF6" w:rsidRPr="00FF49D0">
        <w:rPr>
          <w:lang w:val="en-GB"/>
        </w:rPr>
        <w:t xml:space="preserve"> relied upon</w:t>
      </w:r>
      <w:r w:rsidR="00513945" w:rsidRPr="00FF49D0">
        <w:rPr>
          <w:lang w:val="en-GB"/>
        </w:rPr>
        <w:t xml:space="preserve"> to substantiate the point in question</w:t>
      </w:r>
      <w:r w:rsidR="000E66CD" w:rsidRPr="00FF49D0">
        <w:rPr>
          <w:lang w:val="en-GB"/>
        </w:rPr>
        <w:t>, and to enable the plaintiff to reply</w:t>
      </w:r>
      <w:r w:rsidR="00513945" w:rsidRPr="00FF49D0">
        <w:rPr>
          <w:lang w:val="en-GB"/>
        </w:rPr>
        <w:t>.</w:t>
      </w:r>
      <w:r w:rsidR="00524FA3">
        <w:rPr>
          <w:rStyle w:val="FootnoteReference"/>
          <w:lang w:val="en-GB"/>
        </w:rPr>
        <w:footnoteReference w:id="17"/>
      </w:r>
    </w:p>
    <w:p w14:paraId="40AC251B" w14:textId="77777777" w:rsidR="002D334E" w:rsidRPr="002D334E" w:rsidRDefault="002D334E" w:rsidP="002D334E">
      <w:pPr>
        <w:pStyle w:val="ListParagraph"/>
        <w:rPr>
          <w:lang w:val="en-GB"/>
        </w:rPr>
      </w:pPr>
    </w:p>
    <w:p w14:paraId="5180438C" w14:textId="26181E6D" w:rsidR="002D334E" w:rsidRPr="00FF49D0" w:rsidRDefault="00FF49D0" w:rsidP="00FF49D0">
      <w:pPr>
        <w:autoSpaceDE w:val="0"/>
        <w:autoSpaceDN w:val="0"/>
        <w:adjustRightInd w:val="0"/>
        <w:jc w:val="both"/>
        <w:rPr>
          <w:lang w:val="en-GB"/>
        </w:rPr>
      </w:pPr>
      <w:r w:rsidRPr="000B606F">
        <w:rPr>
          <w:lang w:val="en-GB"/>
        </w:rPr>
        <w:t>[11]</w:t>
      </w:r>
      <w:r w:rsidRPr="000B606F">
        <w:rPr>
          <w:lang w:val="en-GB"/>
        </w:rPr>
        <w:tab/>
      </w:r>
      <w:r w:rsidR="002D334E" w:rsidRPr="00FF49D0">
        <w:rPr>
          <w:lang w:val="en-GB"/>
        </w:rPr>
        <w:t xml:space="preserve">The remaining grounds of objection to the special plea of prescription may be rejected on the basis that they ignore the </w:t>
      </w:r>
      <w:r w:rsidR="00E26401" w:rsidRPr="00FF49D0">
        <w:rPr>
          <w:lang w:val="en-GB"/>
        </w:rPr>
        <w:t xml:space="preserve">statutory </w:t>
      </w:r>
      <w:r w:rsidR="002D334E" w:rsidRPr="00FF49D0">
        <w:rPr>
          <w:lang w:val="en-GB"/>
        </w:rPr>
        <w:t>distinction between actual knowledge</w:t>
      </w:r>
      <w:r w:rsidR="000B3280" w:rsidRPr="00FF49D0">
        <w:rPr>
          <w:lang w:val="en-GB"/>
        </w:rPr>
        <w:t>, and the first judgment’s determination in that respect,</w:t>
      </w:r>
      <w:r w:rsidR="002D334E" w:rsidRPr="00FF49D0">
        <w:rPr>
          <w:lang w:val="en-GB"/>
        </w:rPr>
        <w:t xml:space="preserve"> and </w:t>
      </w:r>
      <w:r w:rsidR="001376E5" w:rsidRPr="00FF49D0">
        <w:rPr>
          <w:lang w:val="en-GB"/>
        </w:rPr>
        <w:t>deemed</w:t>
      </w:r>
      <w:r w:rsidR="002D334E" w:rsidRPr="00FF49D0">
        <w:rPr>
          <w:lang w:val="en-GB"/>
        </w:rPr>
        <w:t xml:space="preserve"> knowledge.</w:t>
      </w:r>
      <w:r w:rsidR="00604D09">
        <w:rPr>
          <w:rStyle w:val="FootnoteReference"/>
          <w:lang w:val="en-GB"/>
        </w:rPr>
        <w:footnoteReference w:id="18"/>
      </w:r>
      <w:r w:rsidR="002D334E" w:rsidRPr="00FF49D0">
        <w:rPr>
          <w:lang w:val="en-GB"/>
        </w:rPr>
        <w:t xml:space="preserve"> </w:t>
      </w:r>
      <w:r w:rsidR="002C77EA" w:rsidRPr="00FF49D0">
        <w:rPr>
          <w:lang w:val="en-GB"/>
        </w:rPr>
        <w:t>While it has been said that special pleas of prescription are rarely pleaded elegantly,</w:t>
      </w:r>
      <w:r w:rsidR="002C77EA">
        <w:rPr>
          <w:rStyle w:val="FootnoteReference"/>
          <w:lang w:val="en-GB"/>
        </w:rPr>
        <w:footnoteReference w:id="19"/>
      </w:r>
      <w:r w:rsidR="00271A57" w:rsidRPr="00FF49D0">
        <w:rPr>
          <w:lang w:val="en-GB"/>
        </w:rPr>
        <w:t xml:space="preserve"> the defendants in this instance clearly set their stall with reference to the </w:t>
      </w:r>
      <w:r w:rsidR="00717A17" w:rsidRPr="00FF49D0">
        <w:rPr>
          <w:lang w:val="en-GB"/>
        </w:rPr>
        <w:t xml:space="preserve">s 12(3) </w:t>
      </w:r>
      <w:r w:rsidR="00271A57" w:rsidRPr="00FF49D0">
        <w:rPr>
          <w:lang w:val="en-GB"/>
        </w:rPr>
        <w:t>proviso.</w:t>
      </w:r>
      <w:r w:rsidR="00717A17" w:rsidRPr="00FF49D0">
        <w:rPr>
          <w:lang w:val="en-GB"/>
        </w:rPr>
        <w:t xml:space="preserve"> </w:t>
      </w:r>
      <w:r w:rsidR="00F02611" w:rsidRPr="00FF49D0">
        <w:rPr>
          <w:lang w:val="en-GB"/>
        </w:rPr>
        <w:t>It is open to the plaintiff to replicate, also with reference to s 12(2)</w:t>
      </w:r>
      <w:r w:rsidR="006178D4" w:rsidRPr="00FF49D0">
        <w:rPr>
          <w:lang w:val="en-GB"/>
        </w:rPr>
        <w:t xml:space="preserve"> if appropriate. </w:t>
      </w:r>
      <w:r w:rsidR="000B606F" w:rsidRPr="00FF49D0">
        <w:rPr>
          <w:lang w:val="en-GB"/>
        </w:rPr>
        <w:t>I</w:t>
      </w:r>
      <w:r w:rsidR="00087E29" w:rsidRPr="00FF49D0">
        <w:rPr>
          <w:lang w:val="en-GB"/>
        </w:rPr>
        <w:t xml:space="preserve">t is </w:t>
      </w:r>
      <w:r w:rsidR="000B606F" w:rsidRPr="00FF49D0">
        <w:rPr>
          <w:lang w:val="en-GB"/>
        </w:rPr>
        <w:t xml:space="preserve">furthermore </w:t>
      </w:r>
      <w:r w:rsidR="00087E29" w:rsidRPr="00FF49D0">
        <w:rPr>
          <w:lang w:val="en-GB"/>
        </w:rPr>
        <w:t>not unusual for defendants raising prescription to plead an outer limit, ‘and then for the evidence to reveal some sort of give or take in this respect’.</w:t>
      </w:r>
      <w:r w:rsidR="00087E29">
        <w:rPr>
          <w:rStyle w:val="FootnoteReference"/>
          <w:lang w:val="en-GB"/>
        </w:rPr>
        <w:footnoteReference w:id="20"/>
      </w:r>
      <w:r w:rsidR="00F02611" w:rsidRPr="00FF49D0">
        <w:rPr>
          <w:lang w:val="en-GB"/>
        </w:rPr>
        <w:t xml:space="preserve"> </w:t>
      </w:r>
    </w:p>
    <w:p w14:paraId="2E6EBC3F" w14:textId="41764388" w:rsidR="00511470" w:rsidRDefault="00511470" w:rsidP="00511470">
      <w:pPr>
        <w:rPr>
          <w:lang w:val="en-GB"/>
        </w:rPr>
      </w:pPr>
    </w:p>
    <w:p w14:paraId="7109A101" w14:textId="515E3152" w:rsidR="00511470" w:rsidRDefault="00511470" w:rsidP="00511470">
      <w:pPr>
        <w:rPr>
          <w:i/>
          <w:iCs/>
          <w:lang w:val="en-GB"/>
        </w:rPr>
      </w:pPr>
      <w:r>
        <w:rPr>
          <w:i/>
          <w:iCs/>
          <w:lang w:val="en-GB"/>
        </w:rPr>
        <w:t>The second special plea: failure to disclose a cause of action</w:t>
      </w:r>
    </w:p>
    <w:p w14:paraId="541AFE80" w14:textId="77777777" w:rsidR="00511470" w:rsidRPr="00511470" w:rsidRDefault="00511470" w:rsidP="00511470">
      <w:pPr>
        <w:rPr>
          <w:i/>
          <w:iCs/>
          <w:lang w:val="en-GB"/>
        </w:rPr>
      </w:pPr>
    </w:p>
    <w:p w14:paraId="600156E0" w14:textId="535B1A2D" w:rsidR="00511470" w:rsidRPr="00FF49D0" w:rsidRDefault="00FF49D0" w:rsidP="00FF49D0">
      <w:pPr>
        <w:autoSpaceDE w:val="0"/>
        <w:autoSpaceDN w:val="0"/>
        <w:adjustRightInd w:val="0"/>
        <w:jc w:val="both"/>
        <w:rPr>
          <w:lang w:val="en-GB"/>
        </w:rPr>
      </w:pPr>
      <w:r>
        <w:rPr>
          <w:lang w:val="en-GB"/>
        </w:rPr>
        <w:t>[12]</w:t>
      </w:r>
      <w:r>
        <w:rPr>
          <w:lang w:val="en-GB"/>
        </w:rPr>
        <w:tab/>
      </w:r>
      <w:r w:rsidR="00131556" w:rsidRPr="00FF49D0">
        <w:rPr>
          <w:lang w:val="en-GB"/>
        </w:rPr>
        <w:t xml:space="preserve">The defendants seek to amend the plea by introducing the defence that the plaintiff’s particulars of claim do not disclose a cause of action in respect of its claim for contractual damages. </w:t>
      </w:r>
      <w:r w:rsidR="0064421B" w:rsidRPr="00FF49D0">
        <w:rPr>
          <w:lang w:val="en-GB"/>
        </w:rPr>
        <w:t>The basis for this is that the damages allegedly suffered by the plaintiff ‘do not flow naturally and generally from the alleged breaches’ and are thus too remote.</w:t>
      </w:r>
      <w:r w:rsidR="00E06866" w:rsidRPr="00FF49D0">
        <w:rPr>
          <w:lang w:val="en-GB"/>
        </w:rPr>
        <w:t xml:space="preserve"> </w:t>
      </w:r>
    </w:p>
    <w:p w14:paraId="2B3B1380" w14:textId="77777777" w:rsidR="00E06866" w:rsidRDefault="00E06866" w:rsidP="00E06866">
      <w:pPr>
        <w:pStyle w:val="ListParagraph"/>
        <w:autoSpaceDE w:val="0"/>
        <w:autoSpaceDN w:val="0"/>
        <w:adjustRightInd w:val="0"/>
        <w:ind w:left="0"/>
        <w:jc w:val="both"/>
        <w:rPr>
          <w:lang w:val="en-GB"/>
        </w:rPr>
      </w:pPr>
    </w:p>
    <w:p w14:paraId="68ED1FD3" w14:textId="7DD99A0C" w:rsidR="00E06866" w:rsidRPr="00FF49D0" w:rsidRDefault="00FF49D0" w:rsidP="00FF49D0">
      <w:pPr>
        <w:autoSpaceDE w:val="0"/>
        <w:autoSpaceDN w:val="0"/>
        <w:adjustRightInd w:val="0"/>
        <w:jc w:val="both"/>
        <w:rPr>
          <w:lang w:val="en-GB"/>
        </w:rPr>
      </w:pPr>
      <w:r>
        <w:rPr>
          <w:lang w:val="en-GB"/>
        </w:rPr>
        <w:lastRenderedPageBreak/>
        <w:t>[13]</w:t>
      </w:r>
      <w:r>
        <w:rPr>
          <w:lang w:val="en-GB"/>
        </w:rPr>
        <w:tab/>
      </w:r>
      <w:r w:rsidR="00E06866" w:rsidRPr="00FF49D0">
        <w:rPr>
          <w:lang w:val="en-GB"/>
        </w:rPr>
        <w:t xml:space="preserve">The objection to the proposed amendment </w:t>
      </w:r>
      <w:r w:rsidR="00AD4158" w:rsidRPr="00FF49D0">
        <w:rPr>
          <w:lang w:val="en-GB"/>
        </w:rPr>
        <w:t>is that no explanation is provided for the assertion that the nature of the breaches precludes the presumption of law that the damages fell within the contemplation of the parties and are therefore not regarded as being too remote.</w:t>
      </w:r>
    </w:p>
    <w:p w14:paraId="1453BD6C" w14:textId="77777777" w:rsidR="00FD661A" w:rsidRPr="00FD661A" w:rsidRDefault="00FD661A" w:rsidP="00FD661A">
      <w:pPr>
        <w:pStyle w:val="ListParagraph"/>
        <w:rPr>
          <w:lang w:val="en-GB"/>
        </w:rPr>
      </w:pPr>
    </w:p>
    <w:p w14:paraId="3117877B" w14:textId="5C65E9B3" w:rsidR="003C3BC6" w:rsidRPr="00FF49D0" w:rsidRDefault="00FF49D0" w:rsidP="00FF49D0">
      <w:pPr>
        <w:autoSpaceDE w:val="0"/>
        <w:autoSpaceDN w:val="0"/>
        <w:adjustRightInd w:val="0"/>
        <w:jc w:val="both"/>
        <w:rPr>
          <w:lang w:val="en-GB"/>
        </w:rPr>
      </w:pPr>
      <w:r>
        <w:rPr>
          <w:lang w:val="en-GB"/>
        </w:rPr>
        <w:t>[14]</w:t>
      </w:r>
      <w:r>
        <w:rPr>
          <w:lang w:val="en-GB"/>
        </w:rPr>
        <w:tab/>
      </w:r>
      <w:r w:rsidR="00B51491" w:rsidRPr="00FF49D0">
        <w:rPr>
          <w:lang w:val="en-GB"/>
        </w:rPr>
        <w:t>The</w:t>
      </w:r>
      <w:r w:rsidR="0013728D" w:rsidRPr="00FF49D0">
        <w:rPr>
          <w:lang w:val="en-GB"/>
        </w:rPr>
        <w:t xml:space="preserve"> criticism that there</w:t>
      </w:r>
      <w:r w:rsidR="00B51491" w:rsidRPr="00FF49D0">
        <w:rPr>
          <w:lang w:val="en-GB"/>
        </w:rPr>
        <w:t xml:space="preserve"> is </w:t>
      </w:r>
      <w:r w:rsidR="0013728D" w:rsidRPr="00FF49D0">
        <w:rPr>
          <w:lang w:val="en-GB"/>
        </w:rPr>
        <w:t>in</w:t>
      </w:r>
      <w:r w:rsidR="00B51491" w:rsidRPr="00FF49D0">
        <w:rPr>
          <w:lang w:val="en-GB"/>
        </w:rPr>
        <w:t>sufficient detail in the proposed amendment to raise a peremptory special plea</w:t>
      </w:r>
      <w:r w:rsidR="00451274" w:rsidRPr="00FF49D0">
        <w:rPr>
          <w:lang w:val="en-GB"/>
        </w:rPr>
        <w:t xml:space="preserve"> is unfounded</w:t>
      </w:r>
      <w:r w:rsidR="00B51491" w:rsidRPr="00FF49D0">
        <w:rPr>
          <w:lang w:val="en-GB"/>
        </w:rPr>
        <w:t xml:space="preserve">. </w:t>
      </w:r>
      <w:r w:rsidR="00FD661A" w:rsidRPr="00FF49D0">
        <w:rPr>
          <w:lang w:val="en-GB"/>
        </w:rPr>
        <w:t xml:space="preserve">The </w:t>
      </w:r>
      <w:r w:rsidR="00086E2A" w:rsidRPr="00FF49D0">
        <w:rPr>
          <w:lang w:val="en-GB"/>
        </w:rPr>
        <w:t xml:space="preserve">second </w:t>
      </w:r>
      <w:r w:rsidR="00FD661A" w:rsidRPr="00FF49D0">
        <w:rPr>
          <w:lang w:val="en-GB"/>
        </w:rPr>
        <w:t xml:space="preserve">special plea, prima facie, raises a triable issue </w:t>
      </w:r>
      <w:r w:rsidR="00EA04E0" w:rsidRPr="00FF49D0">
        <w:rPr>
          <w:lang w:val="en-GB"/>
        </w:rPr>
        <w:t xml:space="preserve">in the form of a defence to the claim for damages </w:t>
      </w:r>
      <w:r w:rsidR="00FD661A" w:rsidRPr="00FF49D0">
        <w:rPr>
          <w:lang w:val="en-GB"/>
        </w:rPr>
        <w:t>and should be allowed.</w:t>
      </w:r>
      <w:r w:rsidR="00EC31BA">
        <w:rPr>
          <w:rStyle w:val="FootnoteReference"/>
          <w:lang w:val="en-GB"/>
        </w:rPr>
        <w:footnoteReference w:id="21"/>
      </w:r>
      <w:r w:rsidR="007432E3" w:rsidRPr="00FF49D0">
        <w:rPr>
          <w:lang w:val="en-GB"/>
        </w:rPr>
        <w:t xml:space="preserve"> </w:t>
      </w:r>
      <w:r w:rsidR="00A1447B" w:rsidRPr="00FF49D0">
        <w:rPr>
          <w:lang w:val="en-GB"/>
        </w:rPr>
        <w:t>The suggestions that the point should have been raised by way of exception, or amounts to an irregular step, appear to be without merit. From the authorities provided, and the limited argument presented on the point, the accepted position appears to be that it is of no concern to the other party if the defence is raised by way of exception or as a special plea.</w:t>
      </w:r>
      <w:r w:rsidR="00A1447B">
        <w:rPr>
          <w:rStyle w:val="FootnoteReference"/>
          <w:lang w:val="en-GB"/>
        </w:rPr>
        <w:footnoteReference w:id="22"/>
      </w:r>
      <w:r w:rsidR="00AD5920" w:rsidRPr="00FF49D0">
        <w:rPr>
          <w:lang w:val="en-GB"/>
        </w:rPr>
        <w:t xml:space="preserve"> There has additionally been no demonstrated prejudice, so that the proposed amendment must be granted.</w:t>
      </w:r>
    </w:p>
    <w:p w14:paraId="010A8AB9" w14:textId="4B6D8126" w:rsidR="00AD5920" w:rsidRDefault="00AD5920" w:rsidP="00F775C0">
      <w:pPr>
        <w:rPr>
          <w:lang w:val="en-GB"/>
        </w:rPr>
      </w:pPr>
    </w:p>
    <w:p w14:paraId="430070A9" w14:textId="0C7EBB74" w:rsidR="00F775C0" w:rsidRDefault="0000621B" w:rsidP="00F775C0">
      <w:pPr>
        <w:jc w:val="both"/>
        <w:rPr>
          <w:i/>
          <w:iCs/>
          <w:lang w:val="en-GB"/>
        </w:rPr>
      </w:pPr>
      <w:r>
        <w:rPr>
          <w:i/>
          <w:iCs/>
          <w:lang w:val="en-GB"/>
        </w:rPr>
        <w:t>Third</w:t>
      </w:r>
      <w:r w:rsidR="00F775C0">
        <w:rPr>
          <w:i/>
          <w:iCs/>
          <w:lang w:val="en-GB"/>
        </w:rPr>
        <w:t xml:space="preserve"> special plea: failure to disclose a cause of action for alternative claim for disgorgement of profits</w:t>
      </w:r>
    </w:p>
    <w:p w14:paraId="349701FA" w14:textId="77777777" w:rsidR="00F775C0" w:rsidRPr="00F775C0" w:rsidRDefault="00F775C0" w:rsidP="00F775C0">
      <w:pPr>
        <w:rPr>
          <w:i/>
          <w:iCs/>
          <w:lang w:val="en-GB"/>
        </w:rPr>
      </w:pPr>
    </w:p>
    <w:p w14:paraId="6A09478B" w14:textId="117B0627" w:rsidR="00AD5920" w:rsidRPr="00FF49D0" w:rsidRDefault="00FF49D0" w:rsidP="00FF49D0">
      <w:pPr>
        <w:autoSpaceDE w:val="0"/>
        <w:autoSpaceDN w:val="0"/>
        <w:adjustRightInd w:val="0"/>
        <w:jc w:val="both"/>
        <w:rPr>
          <w:lang w:val="en-GB"/>
        </w:rPr>
      </w:pPr>
      <w:r>
        <w:rPr>
          <w:lang w:val="en-GB"/>
        </w:rPr>
        <w:t>[15]</w:t>
      </w:r>
      <w:r>
        <w:rPr>
          <w:lang w:val="en-GB"/>
        </w:rPr>
        <w:tab/>
      </w:r>
      <w:r w:rsidR="0000621B" w:rsidRPr="00FF49D0">
        <w:rPr>
          <w:lang w:val="en-GB"/>
        </w:rPr>
        <w:t>The</w:t>
      </w:r>
      <w:r w:rsidR="00132D93" w:rsidRPr="00FF49D0">
        <w:rPr>
          <w:lang w:val="en-GB"/>
        </w:rPr>
        <w:t xml:space="preserve"> crux of this special plea is that a claim for disgorgement requires an allegation that the first defendant appropriated the plaintiff’s corporate opportunity to make the alleged secret profits.</w:t>
      </w:r>
      <w:r w:rsidR="00954FFB" w:rsidRPr="00FF49D0">
        <w:rPr>
          <w:lang w:val="en-GB"/>
        </w:rPr>
        <w:t xml:space="preserve"> The plaintiff objects to the proposed amendment on the basis that no such allegation is necessary, so that the third special plea is excipiable and should be disallowed. </w:t>
      </w:r>
    </w:p>
    <w:p w14:paraId="642D15C1" w14:textId="5418331A" w:rsidR="004449A3" w:rsidRDefault="004449A3" w:rsidP="004449A3">
      <w:pPr>
        <w:pStyle w:val="ListParagraph"/>
        <w:autoSpaceDE w:val="0"/>
        <w:autoSpaceDN w:val="0"/>
        <w:adjustRightInd w:val="0"/>
        <w:ind w:left="0"/>
        <w:jc w:val="both"/>
        <w:rPr>
          <w:lang w:val="en-GB"/>
        </w:rPr>
      </w:pPr>
    </w:p>
    <w:p w14:paraId="6E754AEB" w14:textId="391DEDFC" w:rsidR="004449A3" w:rsidRPr="00FF49D0" w:rsidRDefault="00FF49D0" w:rsidP="00FF49D0">
      <w:pPr>
        <w:autoSpaceDE w:val="0"/>
        <w:autoSpaceDN w:val="0"/>
        <w:adjustRightInd w:val="0"/>
        <w:jc w:val="both"/>
        <w:rPr>
          <w:lang w:val="en-GB"/>
        </w:rPr>
      </w:pPr>
      <w:r>
        <w:rPr>
          <w:lang w:val="en-GB"/>
        </w:rPr>
        <w:t>[16]</w:t>
      </w:r>
      <w:r>
        <w:rPr>
          <w:lang w:val="en-GB"/>
        </w:rPr>
        <w:tab/>
      </w:r>
      <w:r w:rsidR="004449A3" w:rsidRPr="00FF49D0">
        <w:rPr>
          <w:lang w:val="en-GB"/>
        </w:rPr>
        <w:t xml:space="preserve">The requirements of a claim for disgorgement of profits have been summarised as follows in </w:t>
      </w:r>
      <w:r w:rsidR="004449A3" w:rsidRPr="00FF49D0">
        <w:rPr>
          <w:i/>
          <w:iCs/>
          <w:lang w:val="en-GB"/>
        </w:rPr>
        <w:t>Sime Darby Hudson and Knight (Pty) Ltd v Lerena</w:t>
      </w:r>
      <w:r w:rsidR="004449A3" w:rsidRPr="00FF49D0">
        <w:rPr>
          <w:lang w:val="en-GB"/>
        </w:rPr>
        <w:t>:</w:t>
      </w:r>
      <w:r w:rsidR="004449A3">
        <w:rPr>
          <w:rStyle w:val="FootnoteReference"/>
          <w:lang w:val="en-GB"/>
        </w:rPr>
        <w:footnoteReference w:id="23"/>
      </w:r>
    </w:p>
    <w:p w14:paraId="7A54FC92" w14:textId="77777777" w:rsidR="00EC0C71" w:rsidRDefault="00EC0C71" w:rsidP="00EC0C71">
      <w:pPr>
        <w:pStyle w:val="ListParagraph"/>
        <w:autoSpaceDE w:val="0"/>
        <w:autoSpaceDN w:val="0"/>
        <w:adjustRightInd w:val="0"/>
        <w:ind w:left="0"/>
        <w:jc w:val="both"/>
        <w:rPr>
          <w:lang w:val="en-GB"/>
        </w:rPr>
      </w:pPr>
    </w:p>
    <w:p w14:paraId="68D6814C" w14:textId="59E4D554" w:rsidR="004449A3" w:rsidRDefault="004449A3" w:rsidP="004449A3">
      <w:pPr>
        <w:jc w:val="both"/>
        <w:rPr>
          <w:sz w:val="22"/>
          <w:szCs w:val="22"/>
          <w:lang w:val="en-GB"/>
        </w:rPr>
      </w:pPr>
      <w:r>
        <w:rPr>
          <w:sz w:val="22"/>
          <w:szCs w:val="22"/>
          <w:lang w:val="en-GB"/>
        </w:rPr>
        <w:t xml:space="preserve">‘In order to succeed in its claim for a disgorgement of profits the plaintiff must establish that the defendant owed it a fiduciary obligation; that in breach of that obligation the defendant placed himself in a position where his duty and his personal interest were in conflict and, finally </w:t>
      </w:r>
      <w:r>
        <w:rPr>
          <w:sz w:val="22"/>
          <w:szCs w:val="22"/>
          <w:lang w:val="en-GB"/>
        </w:rPr>
        <w:lastRenderedPageBreak/>
        <w:t>that the defendant made a secret profit out of corporate opportunities belonging to the plaintiff. I deal with these requirements in turn …’</w:t>
      </w:r>
    </w:p>
    <w:p w14:paraId="3AD8E0A4" w14:textId="77777777" w:rsidR="004449A3" w:rsidRPr="004449A3" w:rsidRDefault="004449A3" w:rsidP="004449A3">
      <w:pPr>
        <w:rPr>
          <w:sz w:val="22"/>
          <w:szCs w:val="22"/>
          <w:lang w:val="en-GB"/>
        </w:rPr>
      </w:pPr>
    </w:p>
    <w:p w14:paraId="26939C39" w14:textId="37BAF60B" w:rsidR="000B5049" w:rsidRPr="00FF49D0" w:rsidRDefault="00FF49D0" w:rsidP="00FF49D0">
      <w:pPr>
        <w:autoSpaceDE w:val="0"/>
        <w:autoSpaceDN w:val="0"/>
        <w:adjustRightInd w:val="0"/>
        <w:jc w:val="both"/>
        <w:rPr>
          <w:lang w:val="en-GB"/>
        </w:rPr>
      </w:pPr>
      <w:r>
        <w:rPr>
          <w:lang w:val="en-GB"/>
        </w:rPr>
        <w:t>[17]</w:t>
      </w:r>
      <w:r>
        <w:rPr>
          <w:lang w:val="en-GB"/>
        </w:rPr>
        <w:tab/>
      </w:r>
      <w:r w:rsidR="000B5049" w:rsidRPr="00FF49D0">
        <w:rPr>
          <w:lang w:val="en-GB"/>
        </w:rPr>
        <w:t>The object of pleading is to define the issues. Within certain limits, it is accepted that the court is afforded a wide discretion on the basis that the pleadings are made for the court, not vice versa:</w:t>
      </w:r>
      <w:r w:rsidR="00B07BBE">
        <w:rPr>
          <w:rStyle w:val="FootnoteReference"/>
          <w:lang w:val="en-GB"/>
        </w:rPr>
        <w:footnoteReference w:id="24"/>
      </w:r>
      <w:r w:rsidR="000B5049" w:rsidRPr="00FF49D0">
        <w:rPr>
          <w:lang w:val="en-GB"/>
        </w:rPr>
        <w:t xml:space="preserve">  </w:t>
      </w:r>
    </w:p>
    <w:p w14:paraId="70B1637D" w14:textId="77777777" w:rsidR="00EC0C71" w:rsidRDefault="00EC0C71" w:rsidP="00EC0C71">
      <w:pPr>
        <w:pStyle w:val="ListParagraph"/>
        <w:autoSpaceDE w:val="0"/>
        <w:autoSpaceDN w:val="0"/>
        <w:adjustRightInd w:val="0"/>
        <w:ind w:left="0"/>
        <w:jc w:val="both"/>
        <w:rPr>
          <w:lang w:val="en-GB"/>
        </w:rPr>
      </w:pPr>
    </w:p>
    <w:p w14:paraId="41899951" w14:textId="65FC17F5" w:rsidR="000B5049" w:rsidRPr="000B5049" w:rsidRDefault="000B5049" w:rsidP="000B5049">
      <w:pPr>
        <w:pStyle w:val="ListParagraph"/>
        <w:autoSpaceDE w:val="0"/>
        <w:autoSpaceDN w:val="0"/>
        <w:adjustRightInd w:val="0"/>
        <w:ind w:left="0"/>
        <w:jc w:val="both"/>
        <w:rPr>
          <w:sz w:val="22"/>
          <w:szCs w:val="22"/>
          <w:lang w:val="en-GB"/>
        </w:rPr>
      </w:pPr>
      <w:r>
        <w:rPr>
          <w:sz w:val="22"/>
          <w:szCs w:val="22"/>
          <w:lang w:val="en-GB"/>
        </w:rPr>
        <w:t>‘And where a party has had every facility to place all the facts before the trial court … there is no justification for interference by an appellate tribunal, merely because the pleading of the opponent has not been as explicit as it might have been.</w:t>
      </w:r>
      <w:r w:rsidR="00C2734C">
        <w:rPr>
          <w:sz w:val="22"/>
          <w:szCs w:val="22"/>
          <w:lang w:val="en-GB"/>
        </w:rPr>
        <w:t>’</w:t>
      </w:r>
    </w:p>
    <w:p w14:paraId="57B4AF08" w14:textId="77777777" w:rsidR="000B5049" w:rsidRDefault="000B5049" w:rsidP="000B5049">
      <w:pPr>
        <w:pStyle w:val="ListParagraph"/>
        <w:autoSpaceDE w:val="0"/>
        <w:autoSpaceDN w:val="0"/>
        <w:adjustRightInd w:val="0"/>
        <w:ind w:left="0"/>
        <w:jc w:val="both"/>
        <w:rPr>
          <w:lang w:val="en-GB"/>
        </w:rPr>
      </w:pPr>
    </w:p>
    <w:p w14:paraId="41C2CA45" w14:textId="130A1FA4" w:rsidR="004449A3" w:rsidRPr="00FF49D0" w:rsidRDefault="00FF49D0" w:rsidP="00FF49D0">
      <w:pPr>
        <w:autoSpaceDE w:val="0"/>
        <w:autoSpaceDN w:val="0"/>
        <w:adjustRightInd w:val="0"/>
        <w:jc w:val="both"/>
        <w:rPr>
          <w:lang w:val="en-GB"/>
        </w:rPr>
      </w:pPr>
      <w:r>
        <w:rPr>
          <w:lang w:val="en-GB"/>
        </w:rPr>
        <w:t>[18]</w:t>
      </w:r>
      <w:r>
        <w:rPr>
          <w:lang w:val="en-GB"/>
        </w:rPr>
        <w:tab/>
      </w:r>
      <w:r w:rsidR="00EE5CC1" w:rsidRPr="00FF49D0">
        <w:rPr>
          <w:lang w:val="en-GB"/>
        </w:rPr>
        <w:t xml:space="preserve">In my view it would be over-technical to uphold the defendants’ arguments in this respect. </w:t>
      </w:r>
      <w:r w:rsidR="008B6EE3" w:rsidRPr="00FF49D0">
        <w:rPr>
          <w:lang w:val="en-GB"/>
        </w:rPr>
        <w:t>The plaintiff has defined its alternative cause of action sufficiently clearly to enable the defendants to appreciate the case they should be prepared to meet in respect of allegations of secret profits</w:t>
      </w:r>
      <w:r w:rsidR="00796E10" w:rsidRPr="00FF49D0">
        <w:rPr>
          <w:lang w:val="en-GB"/>
        </w:rPr>
        <w:t xml:space="preserve"> and disgorgement.</w:t>
      </w:r>
      <w:r w:rsidR="00497D24">
        <w:rPr>
          <w:rStyle w:val="FootnoteReference"/>
          <w:lang w:val="en-GB"/>
        </w:rPr>
        <w:footnoteReference w:id="25"/>
      </w:r>
      <w:r w:rsidR="00796E10" w:rsidRPr="00FF49D0">
        <w:rPr>
          <w:lang w:val="en-GB"/>
        </w:rPr>
        <w:t xml:space="preserve"> </w:t>
      </w:r>
      <w:r w:rsidR="002700BE" w:rsidRPr="00FF49D0">
        <w:rPr>
          <w:lang w:val="en-GB"/>
        </w:rPr>
        <w:t>This includes the averment that secret profits were made ‘at the expense of the plaintiff’</w:t>
      </w:r>
      <w:r w:rsidR="009352DF" w:rsidRPr="00FF49D0">
        <w:rPr>
          <w:lang w:val="en-GB"/>
        </w:rPr>
        <w:t>.</w:t>
      </w:r>
      <w:r w:rsidR="000D75CF" w:rsidRPr="00FF49D0">
        <w:rPr>
          <w:lang w:val="en-GB"/>
        </w:rPr>
        <w:t xml:space="preserve"> This is not an instance of the defendants possibly being misled by the wording of the alternative claim.</w:t>
      </w:r>
      <w:r w:rsidR="004446CD">
        <w:rPr>
          <w:rStyle w:val="FootnoteReference"/>
          <w:lang w:val="en-GB"/>
        </w:rPr>
        <w:footnoteReference w:id="26"/>
      </w:r>
      <w:r w:rsidR="000D75CF" w:rsidRPr="00FF49D0">
        <w:rPr>
          <w:lang w:val="en-GB"/>
        </w:rPr>
        <w:t xml:space="preserve"> </w:t>
      </w:r>
      <w:r w:rsidR="008E3640" w:rsidRPr="00FF49D0">
        <w:rPr>
          <w:lang w:val="en-GB"/>
        </w:rPr>
        <w:t xml:space="preserve">The pleadings, properly interpreted, </w:t>
      </w:r>
      <w:r w:rsidR="00573B37" w:rsidRPr="00FF49D0">
        <w:rPr>
          <w:lang w:val="en-GB"/>
        </w:rPr>
        <w:t>explain</w:t>
      </w:r>
      <w:r w:rsidR="008E3640" w:rsidRPr="00FF49D0">
        <w:rPr>
          <w:lang w:val="en-GB"/>
        </w:rPr>
        <w:t xml:space="preserve"> the alternative basis of the plaintiff’s claim.</w:t>
      </w:r>
      <w:r w:rsidR="00631956">
        <w:rPr>
          <w:rStyle w:val="FootnoteReference"/>
          <w:lang w:val="en-GB"/>
        </w:rPr>
        <w:footnoteReference w:id="27"/>
      </w:r>
      <w:r w:rsidR="009352DF" w:rsidRPr="00FF49D0">
        <w:rPr>
          <w:lang w:val="en-GB"/>
        </w:rPr>
        <w:t xml:space="preserve"> </w:t>
      </w:r>
      <w:r w:rsidR="006D68A9" w:rsidRPr="00FF49D0">
        <w:rPr>
          <w:lang w:val="en-GB"/>
        </w:rPr>
        <w:t>The plaintiff has set out, in concise terms</w:t>
      </w:r>
      <w:r w:rsidR="00BA7FF1" w:rsidRPr="00FF49D0">
        <w:rPr>
          <w:lang w:val="en-GB"/>
        </w:rPr>
        <w:t xml:space="preserve"> but with sufficient particularity</w:t>
      </w:r>
      <w:r w:rsidR="006D68A9" w:rsidRPr="00FF49D0">
        <w:rPr>
          <w:lang w:val="en-GB"/>
        </w:rPr>
        <w:t>, the material facts it intends to rely upon</w:t>
      </w:r>
      <w:r w:rsidR="00BA7FF1" w:rsidRPr="00FF49D0">
        <w:rPr>
          <w:lang w:val="en-GB"/>
        </w:rPr>
        <w:t xml:space="preserve"> in the alternative.</w:t>
      </w:r>
      <w:r w:rsidR="00841BC8" w:rsidRPr="00FF49D0">
        <w:rPr>
          <w:lang w:val="en-GB"/>
        </w:rPr>
        <w:t xml:space="preserve"> While pleadings must be drawn carefully, the rules do not require </w:t>
      </w:r>
      <w:r w:rsidR="00DB233B" w:rsidRPr="00FF49D0">
        <w:rPr>
          <w:lang w:val="en-GB"/>
        </w:rPr>
        <w:t xml:space="preserve">drafting </w:t>
      </w:r>
      <w:r w:rsidR="00841BC8" w:rsidRPr="00FF49D0">
        <w:rPr>
          <w:lang w:val="en-GB"/>
        </w:rPr>
        <w:t>perfection and courts have been enjoined not to read them pedantically</w:t>
      </w:r>
      <w:r w:rsidR="00DB233B" w:rsidRPr="00FF49D0">
        <w:rPr>
          <w:lang w:val="en-GB"/>
        </w:rPr>
        <w:t>.</w:t>
      </w:r>
      <w:r w:rsidR="00A84F8D">
        <w:rPr>
          <w:rStyle w:val="FootnoteReference"/>
          <w:lang w:val="en-GB"/>
        </w:rPr>
        <w:footnoteReference w:id="28"/>
      </w:r>
      <w:r w:rsidR="00DB233B" w:rsidRPr="00FF49D0">
        <w:rPr>
          <w:lang w:val="en-GB"/>
        </w:rPr>
        <w:t xml:space="preserve"> In this instance, </w:t>
      </w:r>
      <w:r w:rsidR="00FE586B" w:rsidRPr="00FF49D0">
        <w:rPr>
          <w:lang w:val="en-GB"/>
        </w:rPr>
        <w:t xml:space="preserve">and as argued by </w:t>
      </w:r>
      <w:r w:rsidR="00FE586B" w:rsidRPr="00FF49D0">
        <w:rPr>
          <w:i/>
          <w:iCs/>
          <w:lang w:val="en-GB"/>
        </w:rPr>
        <w:t>Ms Gordon-Turner</w:t>
      </w:r>
      <w:r w:rsidR="00FE586B" w:rsidRPr="00FF49D0">
        <w:rPr>
          <w:lang w:val="en-GB"/>
        </w:rPr>
        <w:t>,</w:t>
      </w:r>
      <w:r w:rsidR="00FE586B" w:rsidRPr="00FF49D0">
        <w:rPr>
          <w:i/>
          <w:iCs/>
          <w:lang w:val="en-GB"/>
        </w:rPr>
        <w:t xml:space="preserve"> </w:t>
      </w:r>
      <w:r w:rsidR="00792960" w:rsidRPr="00FF49D0">
        <w:rPr>
          <w:lang w:val="en-GB"/>
        </w:rPr>
        <w:t>the plaintiff’s allegations are clearly cognisable</w:t>
      </w:r>
      <w:r w:rsidR="00247FC7" w:rsidRPr="00FF49D0">
        <w:rPr>
          <w:lang w:val="en-GB"/>
        </w:rPr>
        <w:t xml:space="preserve"> and the amendment is disallowed</w:t>
      </w:r>
      <w:r w:rsidR="00792960" w:rsidRPr="00FF49D0">
        <w:rPr>
          <w:lang w:val="en-GB"/>
        </w:rPr>
        <w:t>.</w:t>
      </w:r>
    </w:p>
    <w:p w14:paraId="4191CB06" w14:textId="1126804C" w:rsidR="007B7025" w:rsidRDefault="007B7025" w:rsidP="007B7025">
      <w:pPr>
        <w:pStyle w:val="ListParagraph"/>
        <w:autoSpaceDE w:val="0"/>
        <w:autoSpaceDN w:val="0"/>
        <w:adjustRightInd w:val="0"/>
        <w:ind w:left="0"/>
        <w:jc w:val="both"/>
        <w:rPr>
          <w:lang w:val="en-GB"/>
        </w:rPr>
      </w:pPr>
    </w:p>
    <w:p w14:paraId="0D14924B" w14:textId="1868482F" w:rsidR="007B7025" w:rsidRDefault="007B7025" w:rsidP="007B7025">
      <w:pPr>
        <w:pStyle w:val="ListParagraph"/>
        <w:autoSpaceDE w:val="0"/>
        <w:autoSpaceDN w:val="0"/>
        <w:adjustRightInd w:val="0"/>
        <w:ind w:left="0"/>
        <w:jc w:val="both"/>
        <w:rPr>
          <w:i/>
          <w:iCs/>
          <w:lang w:val="en-GB"/>
        </w:rPr>
      </w:pPr>
      <w:r>
        <w:rPr>
          <w:i/>
          <w:iCs/>
          <w:lang w:val="en-GB"/>
        </w:rPr>
        <w:t xml:space="preserve">Fourth special plea: </w:t>
      </w:r>
      <w:r w:rsidR="009B3474">
        <w:rPr>
          <w:i/>
          <w:iCs/>
          <w:lang w:val="en-GB"/>
        </w:rPr>
        <w:t xml:space="preserve">The alternative claim for restitution </w:t>
      </w:r>
    </w:p>
    <w:p w14:paraId="73A5E952" w14:textId="77777777" w:rsidR="009B3474" w:rsidRPr="007B7025" w:rsidRDefault="009B3474" w:rsidP="007B7025">
      <w:pPr>
        <w:pStyle w:val="ListParagraph"/>
        <w:autoSpaceDE w:val="0"/>
        <w:autoSpaceDN w:val="0"/>
        <w:adjustRightInd w:val="0"/>
        <w:ind w:left="0"/>
        <w:jc w:val="both"/>
        <w:rPr>
          <w:i/>
          <w:iCs/>
          <w:lang w:val="en-GB"/>
        </w:rPr>
      </w:pPr>
    </w:p>
    <w:p w14:paraId="1E7C7367" w14:textId="7FC1F8DF" w:rsidR="007B7025" w:rsidRPr="00FF49D0" w:rsidRDefault="00FF49D0" w:rsidP="00FF49D0">
      <w:pPr>
        <w:autoSpaceDE w:val="0"/>
        <w:autoSpaceDN w:val="0"/>
        <w:adjustRightInd w:val="0"/>
        <w:jc w:val="both"/>
        <w:rPr>
          <w:lang w:val="en-GB"/>
        </w:rPr>
      </w:pPr>
      <w:r>
        <w:rPr>
          <w:lang w:val="en-GB"/>
        </w:rPr>
        <w:t>[19]</w:t>
      </w:r>
      <w:r>
        <w:rPr>
          <w:lang w:val="en-GB"/>
        </w:rPr>
        <w:tab/>
      </w:r>
      <w:r w:rsidR="00342080" w:rsidRPr="00FF49D0">
        <w:rPr>
          <w:lang w:val="en-GB"/>
        </w:rPr>
        <w:t xml:space="preserve">The question raised by this amendment is whether the particulars of claim disclose a cause of action in respect of the restitution claim. The defendants aver that the plaintiff has not alleged cancellation of a contract and tendered any performance </w:t>
      </w:r>
      <w:r w:rsidR="00342080" w:rsidRPr="00FF49D0">
        <w:rPr>
          <w:lang w:val="en-GB"/>
        </w:rPr>
        <w:lastRenderedPageBreak/>
        <w:t>it has received, alternatively has failed to plead a legally competent cause of action to support the claim.</w:t>
      </w:r>
    </w:p>
    <w:p w14:paraId="4EB6842D" w14:textId="77777777" w:rsidR="00314724" w:rsidRDefault="00314724" w:rsidP="00314724">
      <w:pPr>
        <w:pStyle w:val="ListParagraph"/>
        <w:autoSpaceDE w:val="0"/>
        <w:autoSpaceDN w:val="0"/>
        <w:adjustRightInd w:val="0"/>
        <w:ind w:left="0"/>
        <w:jc w:val="both"/>
        <w:rPr>
          <w:lang w:val="en-GB"/>
        </w:rPr>
      </w:pPr>
    </w:p>
    <w:p w14:paraId="4DFE1ABC" w14:textId="02E85B2E" w:rsidR="00314724" w:rsidRPr="00FF49D0" w:rsidRDefault="00FF49D0" w:rsidP="00FF49D0">
      <w:pPr>
        <w:autoSpaceDE w:val="0"/>
        <w:autoSpaceDN w:val="0"/>
        <w:adjustRightInd w:val="0"/>
        <w:jc w:val="both"/>
        <w:rPr>
          <w:lang w:val="en-GB"/>
        </w:rPr>
      </w:pPr>
      <w:r>
        <w:rPr>
          <w:lang w:val="en-GB"/>
        </w:rPr>
        <w:t>[20]</w:t>
      </w:r>
      <w:r>
        <w:rPr>
          <w:lang w:val="en-GB"/>
        </w:rPr>
        <w:tab/>
      </w:r>
      <w:r w:rsidR="00314724" w:rsidRPr="00FF49D0">
        <w:rPr>
          <w:lang w:val="en-GB"/>
        </w:rPr>
        <w:t xml:space="preserve">The defendants rely upon </w:t>
      </w:r>
      <w:r w:rsidR="00314724" w:rsidRPr="00FF49D0">
        <w:rPr>
          <w:i/>
          <w:iCs/>
          <w:lang w:val="en-GB"/>
        </w:rPr>
        <w:t>Drummond Cable Concepts v Advancenet (Pty) Ltd</w:t>
      </w:r>
      <w:r w:rsidR="00A26841" w:rsidRPr="00FF49D0">
        <w:rPr>
          <w:lang w:val="en-GB"/>
        </w:rPr>
        <w:t>,</w:t>
      </w:r>
      <w:r w:rsidR="00314724" w:rsidRPr="002A656F">
        <w:rPr>
          <w:rStyle w:val="FootnoteReference"/>
          <w:lang w:val="en-GB"/>
        </w:rPr>
        <w:footnoteReference w:id="29"/>
      </w:r>
      <w:r w:rsidR="00A26841" w:rsidRPr="00FF49D0">
        <w:rPr>
          <w:lang w:val="en-GB"/>
        </w:rPr>
        <w:t xml:space="preserve"> a case dealing with </w:t>
      </w:r>
      <w:r w:rsidR="00842210" w:rsidRPr="00FF49D0">
        <w:rPr>
          <w:lang w:val="en-GB"/>
        </w:rPr>
        <w:t xml:space="preserve">an </w:t>
      </w:r>
      <w:r w:rsidR="00A26841" w:rsidRPr="00FF49D0">
        <w:rPr>
          <w:lang w:val="en-GB"/>
        </w:rPr>
        <w:t>exception,</w:t>
      </w:r>
      <w:r w:rsidR="002A656F" w:rsidRPr="00FF49D0">
        <w:rPr>
          <w:lang w:val="en-GB"/>
        </w:rPr>
        <w:t xml:space="preserve"> in support of the amendment. </w:t>
      </w:r>
      <w:r w:rsidR="00744222" w:rsidRPr="00FF49D0">
        <w:rPr>
          <w:lang w:val="en-GB"/>
        </w:rPr>
        <w:t>That judgment draws a clear distinction between claims for contractual damages and claims for restitution</w:t>
      </w:r>
      <w:r w:rsidR="00811E29" w:rsidRPr="00FF49D0">
        <w:rPr>
          <w:lang w:val="en-GB"/>
        </w:rPr>
        <w:t xml:space="preserve">, adding the following in respect of pleadings: </w:t>
      </w:r>
      <w:r w:rsidR="00314724" w:rsidRPr="00FF49D0">
        <w:rPr>
          <w:lang w:val="en-GB"/>
        </w:rPr>
        <w:t xml:space="preserve"> </w:t>
      </w:r>
    </w:p>
    <w:p w14:paraId="2AFD5CFE" w14:textId="77777777" w:rsidR="00EE28A4" w:rsidRDefault="00EE28A4" w:rsidP="00EE28A4">
      <w:pPr>
        <w:pStyle w:val="ListParagraph"/>
        <w:autoSpaceDE w:val="0"/>
        <w:autoSpaceDN w:val="0"/>
        <w:adjustRightInd w:val="0"/>
        <w:ind w:left="0"/>
        <w:jc w:val="both"/>
        <w:rPr>
          <w:lang w:val="en-GB"/>
        </w:rPr>
      </w:pPr>
    </w:p>
    <w:p w14:paraId="6435BFF3" w14:textId="0CEB8C37" w:rsidR="00811E29" w:rsidRDefault="00811E29" w:rsidP="00811E29">
      <w:pPr>
        <w:jc w:val="both"/>
        <w:rPr>
          <w:sz w:val="22"/>
          <w:szCs w:val="22"/>
          <w:lang w:val="en-GB"/>
        </w:rPr>
      </w:pPr>
      <w:r>
        <w:rPr>
          <w:sz w:val="22"/>
          <w:szCs w:val="22"/>
          <w:lang w:val="en-GB"/>
        </w:rPr>
        <w:t xml:space="preserve">‘For a claim of restitution (or rescission as it is sometimes referred to) to succeed the plaintiff must in her pleadings tender return of whatever she has received from the bargain. If she received no benefit at all as had occurred in </w:t>
      </w:r>
      <w:r>
        <w:rPr>
          <w:i/>
          <w:iCs/>
          <w:sz w:val="22"/>
          <w:szCs w:val="22"/>
          <w:lang w:val="en-GB"/>
        </w:rPr>
        <w:t>Probert</w:t>
      </w:r>
      <w:r>
        <w:rPr>
          <w:sz w:val="22"/>
          <w:szCs w:val="22"/>
          <w:lang w:val="en-GB"/>
        </w:rPr>
        <w:t>, she must plead this fact … None of this is in the pleadings of the plaintiff in this case. Absent averments to this effect, the cause of action relied upon cannot be sustained …’</w:t>
      </w:r>
    </w:p>
    <w:p w14:paraId="436ED686" w14:textId="77777777" w:rsidR="00406449" w:rsidRPr="00811E29" w:rsidRDefault="00406449" w:rsidP="00811E29">
      <w:pPr>
        <w:jc w:val="both"/>
        <w:rPr>
          <w:sz w:val="22"/>
          <w:szCs w:val="22"/>
          <w:lang w:val="en-GB"/>
        </w:rPr>
      </w:pPr>
    </w:p>
    <w:p w14:paraId="752A7DA1" w14:textId="2B51E9D7" w:rsidR="002E56E1" w:rsidRPr="00FF49D0" w:rsidRDefault="00FF49D0" w:rsidP="00FF49D0">
      <w:pPr>
        <w:autoSpaceDE w:val="0"/>
        <w:autoSpaceDN w:val="0"/>
        <w:adjustRightInd w:val="0"/>
        <w:jc w:val="both"/>
        <w:rPr>
          <w:lang w:val="en-GB"/>
        </w:rPr>
      </w:pPr>
      <w:r w:rsidRPr="002E56E1">
        <w:rPr>
          <w:lang w:val="en-GB"/>
        </w:rPr>
        <w:t>[21]</w:t>
      </w:r>
      <w:r w:rsidRPr="002E56E1">
        <w:rPr>
          <w:lang w:val="en-GB"/>
        </w:rPr>
        <w:tab/>
      </w:r>
      <w:r w:rsidR="00406449" w:rsidRPr="00FF49D0">
        <w:rPr>
          <w:lang w:val="en-GB"/>
        </w:rPr>
        <w:t xml:space="preserve">The plaintiff has failed to deal with this authority, suggesting only that </w:t>
      </w:r>
      <w:r w:rsidR="00021BCB" w:rsidRPr="00FF49D0">
        <w:rPr>
          <w:lang w:val="en-GB"/>
        </w:rPr>
        <w:t>‘</w:t>
      </w:r>
      <w:r w:rsidR="00406449" w:rsidRPr="00FF49D0">
        <w:rPr>
          <w:lang w:val="en-GB"/>
        </w:rPr>
        <w:t>the claim for restitution is one for unjustified enrichment</w:t>
      </w:r>
      <w:r w:rsidR="009102F3" w:rsidRPr="00FF49D0">
        <w:rPr>
          <w:lang w:val="en-GB"/>
        </w:rPr>
        <w:t>’</w:t>
      </w:r>
      <w:r w:rsidR="00406449" w:rsidRPr="00FF49D0">
        <w:rPr>
          <w:lang w:val="en-GB"/>
        </w:rPr>
        <w:t>, so that it is unnecessary to allege an</w:t>
      </w:r>
      <w:r w:rsidR="009102F3" w:rsidRPr="00FF49D0">
        <w:rPr>
          <w:lang w:val="en-GB"/>
        </w:rPr>
        <w:t xml:space="preserve">d prove cancellation of the contracts and to tender return of any performance received. </w:t>
      </w:r>
      <w:r w:rsidR="00036606" w:rsidRPr="00FF49D0">
        <w:rPr>
          <w:lang w:val="en-GB"/>
        </w:rPr>
        <w:t xml:space="preserve">That suggestion is not borne out by the contents of the particulars, which fails to </w:t>
      </w:r>
      <w:r w:rsidR="00CE5E58" w:rsidRPr="00FF49D0">
        <w:rPr>
          <w:lang w:val="en-GB"/>
        </w:rPr>
        <w:t xml:space="preserve">follow the </w:t>
      </w:r>
      <w:r w:rsidR="005508AC" w:rsidRPr="00FF49D0">
        <w:rPr>
          <w:lang w:val="en-GB"/>
        </w:rPr>
        <w:t xml:space="preserve">recommended approach </w:t>
      </w:r>
      <w:r w:rsidR="00CE5E58" w:rsidRPr="00FF49D0">
        <w:rPr>
          <w:lang w:val="en-GB"/>
        </w:rPr>
        <w:t xml:space="preserve">of </w:t>
      </w:r>
      <w:r w:rsidR="00036606" w:rsidRPr="00FF49D0">
        <w:rPr>
          <w:lang w:val="en-GB"/>
        </w:rPr>
        <w:t>formulat</w:t>
      </w:r>
      <w:r w:rsidR="00CE5E58" w:rsidRPr="00FF49D0">
        <w:rPr>
          <w:lang w:val="en-GB"/>
        </w:rPr>
        <w:t>ing</w:t>
      </w:r>
      <w:r w:rsidR="00036606" w:rsidRPr="00FF49D0">
        <w:rPr>
          <w:lang w:val="en-GB"/>
        </w:rPr>
        <w:t xml:space="preserve"> the claim in terms of either a general enrichment action or one or other of the various </w:t>
      </w:r>
      <w:r w:rsidR="00036606" w:rsidRPr="00FF49D0">
        <w:rPr>
          <w:i/>
          <w:iCs/>
          <w:lang w:val="en-GB"/>
        </w:rPr>
        <w:t>condictiones</w:t>
      </w:r>
      <w:r w:rsidR="00036606" w:rsidRPr="00FF49D0">
        <w:rPr>
          <w:lang w:val="en-GB"/>
        </w:rPr>
        <w:t>.</w:t>
      </w:r>
      <w:r w:rsidR="00CE5E58">
        <w:rPr>
          <w:rStyle w:val="FootnoteReference"/>
          <w:lang w:val="en-GB"/>
        </w:rPr>
        <w:footnoteReference w:id="30"/>
      </w:r>
      <w:r w:rsidR="00036606" w:rsidRPr="00FF49D0">
        <w:rPr>
          <w:i/>
          <w:iCs/>
          <w:lang w:val="en-GB"/>
        </w:rPr>
        <w:t xml:space="preserve"> </w:t>
      </w:r>
    </w:p>
    <w:p w14:paraId="1779BA89" w14:textId="77777777" w:rsidR="002E56E1" w:rsidRPr="002E56E1" w:rsidRDefault="002E56E1" w:rsidP="002E56E1">
      <w:pPr>
        <w:pStyle w:val="ListParagraph"/>
        <w:autoSpaceDE w:val="0"/>
        <w:autoSpaceDN w:val="0"/>
        <w:adjustRightInd w:val="0"/>
        <w:ind w:left="0"/>
        <w:jc w:val="both"/>
        <w:rPr>
          <w:lang w:val="en-GB"/>
        </w:rPr>
      </w:pPr>
    </w:p>
    <w:p w14:paraId="5224AE0B" w14:textId="7D824DE0" w:rsidR="00811E29" w:rsidRPr="00FF49D0" w:rsidRDefault="00FF49D0" w:rsidP="00FF49D0">
      <w:pPr>
        <w:autoSpaceDE w:val="0"/>
        <w:autoSpaceDN w:val="0"/>
        <w:adjustRightInd w:val="0"/>
        <w:jc w:val="both"/>
        <w:rPr>
          <w:lang w:val="en-GB"/>
        </w:rPr>
      </w:pPr>
      <w:r>
        <w:rPr>
          <w:lang w:val="en-GB"/>
        </w:rPr>
        <w:t>[22]</w:t>
      </w:r>
      <w:r>
        <w:rPr>
          <w:lang w:val="en-GB"/>
        </w:rPr>
        <w:tab/>
      </w:r>
      <w:r w:rsidR="009102F3" w:rsidRPr="00FF49D0">
        <w:rPr>
          <w:lang w:val="en-GB"/>
        </w:rPr>
        <w:t>The only other objection repeats the plaintiff’s issue that an exception is being raised by way of special plea.</w:t>
      </w:r>
      <w:r w:rsidR="00EC383F" w:rsidRPr="00FF49D0">
        <w:rPr>
          <w:lang w:val="en-GB"/>
        </w:rPr>
        <w:t xml:space="preserve"> In </w:t>
      </w:r>
      <w:r w:rsidR="000674D6" w:rsidRPr="00FF49D0">
        <w:rPr>
          <w:lang w:val="en-GB"/>
        </w:rPr>
        <w:t xml:space="preserve">these circumstances, and in </w:t>
      </w:r>
      <w:r w:rsidR="00EC383F" w:rsidRPr="00FF49D0">
        <w:rPr>
          <w:lang w:val="en-GB"/>
        </w:rPr>
        <w:t>the absence of authority to the contrary, the amendment should be allowed.</w:t>
      </w:r>
    </w:p>
    <w:p w14:paraId="7B9A594F" w14:textId="6B611772" w:rsidR="00F25B5A" w:rsidRDefault="00F25B5A" w:rsidP="00F25B5A">
      <w:pPr>
        <w:pStyle w:val="ListParagraph"/>
        <w:autoSpaceDE w:val="0"/>
        <w:autoSpaceDN w:val="0"/>
        <w:adjustRightInd w:val="0"/>
        <w:ind w:left="0"/>
        <w:jc w:val="both"/>
        <w:rPr>
          <w:lang w:val="en-GB"/>
        </w:rPr>
      </w:pPr>
    </w:p>
    <w:p w14:paraId="06CD520D" w14:textId="0F0B8B8D" w:rsidR="00F25B5A" w:rsidRDefault="00551F6D" w:rsidP="00F25B5A">
      <w:pPr>
        <w:pStyle w:val="ListParagraph"/>
        <w:autoSpaceDE w:val="0"/>
        <w:autoSpaceDN w:val="0"/>
        <w:adjustRightInd w:val="0"/>
        <w:ind w:left="0"/>
        <w:jc w:val="both"/>
        <w:rPr>
          <w:i/>
          <w:iCs/>
          <w:lang w:val="en-GB"/>
        </w:rPr>
      </w:pPr>
      <w:r>
        <w:rPr>
          <w:i/>
          <w:iCs/>
          <w:lang w:val="en-GB"/>
        </w:rPr>
        <w:t>P</w:t>
      </w:r>
      <w:r w:rsidR="002C24F3">
        <w:rPr>
          <w:i/>
          <w:iCs/>
          <w:lang w:val="en-GB"/>
        </w:rPr>
        <w:t xml:space="preserve">aragraphs 39 and 41 </w:t>
      </w:r>
    </w:p>
    <w:p w14:paraId="3E9333CA" w14:textId="77777777" w:rsidR="002C24F3" w:rsidRPr="00F25B5A" w:rsidRDefault="002C24F3" w:rsidP="00F25B5A">
      <w:pPr>
        <w:pStyle w:val="ListParagraph"/>
        <w:autoSpaceDE w:val="0"/>
        <w:autoSpaceDN w:val="0"/>
        <w:adjustRightInd w:val="0"/>
        <w:ind w:left="0"/>
        <w:jc w:val="both"/>
        <w:rPr>
          <w:i/>
          <w:iCs/>
          <w:lang w:val="en-GB"/>
        </w:rPr>
      </w:pPr>
    </w:p>
    <w:p w14:paraId="491C61A9" w14:textId="4C865AB5" w:rsidR="00F25B5A" w:rsidRPr="00FF49D0" w:rsidRDefault="00FF49D0" w:rsidP="00FF49D0">
      <w:pPr>
        <w:autoSpaceDE w:val="0"/>
        <w:autoSpaceDN w:val="0"/>
        <w:adjustRightInd w:val="0"/>
        <w:jc w:val="both"/>
        <w:rPr>
          <w:lang w:val="en-GB"/>
        </w:rPr>
      </w:pPr>
      <w:r>
        <w:rPr>
          <w:lang w:val="en-GB"/>
        </w:rPr>
        <w:t>[23]</w:t>
      </w:r>
      <w:r>
        <w:rPr>
          <w:lang w:val="en-GB"/>
        </w:rPr>
        <w:tab/>
      </w:r>
      <w:r w:rsidR="00C162BC" w:rsidRPr="00FF49D0">
        <w:rPr>
          <w:lang w:val="en-GB"/>
        </w:rPr>
        <w:t xml:space="preserve">The defendants </w:t>
      </w:r>
      <w:r w:rsidR="00E9783B" w:rsidRPr="00FF49D0">
        <w:rPr>
          <w:lang w:val="en-GB"/>
        </w:rPr>
        <w:t>seek to amend the plea as follows:</w:t>
      </w:r>
    </w:p>
    <w:p w14:paraId="054911EB" w14:textId="5F411B38" w:rsidR="00E9783B" w:rsidRDefault="00E9783B" w:rsidP="00E9783B">
      <w:pPr>
        <w:pStyle w:val="ListParagraph"/>
        <w:autoSpaceDE w:val="0"/>
        <w:autoSpaceDN w:val="0"/>
        <w:adjustRightInd w:val="0"/>
        <w:ind w:left="0"/>
        <w:jc w:val="both"/>
        <w:rPr>
          <w:lang w:val="en-GB"/>
        </w:rPr>
      </w:pPr>
    </w:p>
    <w:p w14:paraId="22168BDC" w14:textId="77777777" w:rsidR="00E9783B" w:rsidRDefault="00E9783B" w:rsidP="00E9783B">
      <w:pPr>
        <w:pStyle w:val="ListParagraph"/>
        <w:autoSpaceDE w:val="0"/>
        <w:autoSpaceDN w:val="0"/>
        <w:adjustRightInd w:val="0"/>
        <w:ind w:left="0"/>
        <w:jc w:val="both"/>
        <w:rPr>
          <w:lang w:val="en-GB"/>
        </w:rPr>
      </w:pPr>
      <w:r>
        <w:rPr>
          <w:lang w:val="en-GB"/>
        </w:rPr>
        <w:t xml:space="preserve">‘Ad paragraph 6: </w:t>
      </w:r>
    </w:p>
    <w:p w14:paraId="5FBE0BAF" w14:textId="1D2BA6CD" w:rsidR="00E9783B" w:rsidRDefault="00E9783B" w:rsidP="00E9783B">
      <w:pPr>
        <w:pStyle w:val="ListParagraph"/>
        <w:autoSpaceDE w:val="0"/>
        <w:autoSpaceDN w:val="0"/>
        <w:adjustRightInd w:val="0"/>
        <w:ind w:hanging="720"/>
        <w:jc w:val="both"/>
        <w:rPr>
          <w:lang w:val="en-GB"/>
        </w:rPr>
      </w:pPr>
      <w:r>
        <w:rPr>
          <w:lang w:val="en-GB"/>
        </w:rPr>
        <w:t>39.</w:t>
      </w:r>
      <w:r>
        <w:rPr>
          <w:lang w:val="en-GB"/>
        </w:rPr>
        <w:tab/>
        <w:t xml:space="preserve">The defendants admit that the first defendant was additionally appointed by the plaintiff to several other projects, including the IDAM project P722, P290 and </w:t>
      </w:r>
      <w:r>
        <w:rPr>
          <w:lang w:val="en-GB"/>
        </w:rPr>
        <w:lastRenderedPageBreak/>
        <w:t>P595. The defendants deny that these appointments for externally funded projects were subject to the plaintiff’s Supply Chain Management Policy and Procedure as each of those projects has its own agreed terms and conditions between the parties involved.</w:t>
      </w:r>
    </w:p>
    <w:p w14:paraId="2EAAB78D" w14:textId="66507516" w:rsidR="00E9783B" w:rsidRDefault="00E9783B" w:rsidP="00E9783B">
      <w:pPr>
        <w:pStyle w:val="ListParagraph"/>
        <w:autoSpaceDE w:val="0"/>
        <w:autoSpaceDN w:val="0"/>
        <w:adjustRightInd w:val="0"/>
        <w:ind w:hanging="720"/>
        <w:jc w:val="both"/>
        <w:rPr>
          <w:lang w:val="en-GB"/>
        </w:rPr>
      </w:pPr>
    </w:p>
    <w:p w14:paraId="37A8B72B" w14:textId="1020C08F" w:rsidR="00E9783B" w:rsidRDefault="00E9783B" w:rsidP="00E9783B">
      <w:pPr>
        <w:pStyle w:val="ListParagraph"/>
        <w:autoSpaceDE w:val="0"/>
        <w:autoSpaceDN w:val="0"/>
        <w:adjustRightInd w:val="0"/>
        <w:ind w:hanging="720"/>
        <w:jc w:val="both"/>
        <w:rPr>
          <w:lang w:val="en-GB"/>
        </w:rPr>
      </w:pPr>
      <w:r>
        <w:rPr>
          <w:lang w:val="en-GB"/>
        </w:rPr>
        <w:t>Ad paragraphs 7, 8, 9, 10 and 11</w:t>
      </w:r>
    </w:p>
    <w:p w14:paraId="5387DBA8" w14:textId="5AA7638A" w:rsidR="00E9783B" w:rsidRDefault="00E9783B" w:rsidP="00E9783B">
      <w:pPr>
        <w:pStyle w:val="ListParagraph"/>
        <w:autoSpaceDE w:val="0"/>
        <w:autoSpaceDN w:val="0"/>
        <w:adjustRightInd w:val="0"/>
        <w:ind w:hanging="720"/>
        <w:jc w:val="both"/>
        <w:rPr>
          <w:lang w:val="en-GB"/>
        </w:rPr>
      </w:pPr>
      <w:r>
        <w:rPr>
          <w:lang w:val="en-GB"/>
        </w:rPr>
        <w:t>40.</w:t>
      </w:r>
      <w:r>
        <w:rPr>
          <w:lang w:val="en-GB"/>
        </w:rPr>
        <w:tab/>
        <w:t>…</w:t>
      </w:r>
    </w:p>
    <w:p w14:paraId="62A29E4A" w14:textId="139F7213" w:rsidR="00E9783B" w:rsidRDefault="00E9783B" w:rsidP="00E9783B">
      <w:pPr>
        <w:pStyle w:val="ListParagraph"/>
        <w:autoSpaceDE w:val="0"/>
        <w:autoSpaceDN w:val="0"/>
        <w:adjustRightInd w:val="0"/>
        <w:ind w:hanging="720"/>
        <w:jc w:val="both"/>
        <w:rPr>
          <w:lang w:val="en-GB"/>
        </w:rPr>
      </w:pPr>
    </w:p>
    <w:p w14:paraId="66E7F9AC" w14:textId="2D20D97D" w:rsidR="00E9783B" w:rsidRDefault="00E9783B" w:rsidP="00E9783B">
      <w:pPr>
        <w:pStyle w:val="ListParagraph"/>
        <w:autoSpaceDE w:val="0"/>
        <w:autoSpaceDN w:val="0"/>
        <w:adjustRightInd w:val="0"/>
        <w:ind w:hanging="720"/>
        <w:jc w:val="both"/>
        <w:rPr>
          <w:lang w:val="en-GB"/>
        </w:rPr>
      </w:pPr>
      <w:r>
        <w:rPr>
          <w:lang w:val="en-GB"/>
        </w:rPr>
        <w:t>41.</w:t>
      </w:r>
      <w:r>
        <w:rPr>
          <w:lang w:val="en-GB"/>
        </w:rPr>
        <w:tab/>
        <w:t>The defendants deny that annexure “UFH3” is applicable to the Externally Funded Projects.’</w:t>
      </w:r>
    </w:p>
    <w:p w14:paraId="60444FCC" w14:textId="77777777" w:rsidR="00780FC2" w:rsidRDefault="00780FC2" w:rsidP="00E9783B">
      <w:pPr>
        <w:pStyle w:val="ListParagraph"/>
        <w:autoSpaceDE w:val="0"/>
        <w:autoSpaceDN w:val="0"/>
        <w:adjustRightInd w:val="0"/>
        <w:ind w:hanging="720"/>
        <w:jc w:val="both"/>
        <w:rPr>
          <w:lang w:val="en-GB"/>
        </w:rPr>
      </w:pPr>
    </w:p>
    <w:p w14:paraId="2F829E19" w14:textId="4EA7B747" w:rsidR="00E9783B" w:rsidRPr="00FF49D0" w:rsidRDefault="00FF49D0" w:rsidP="00FF49D0">
      <w:pPr>
        <w:autoSpaceDE w:val="0"/>
        <w:autoSpaceDN w:val="0"/>
        <w:adjustRightInd w:val="0"/>
        <w:jc w:val="both"/>
        <w:rPr>
          <w:lang w:val="en-GB"/>
        </w:rPr>
      </w:pPr>
      <w:r>
        <w:rPr>
          <w:lang w:val="en-GB"/>
        </w:rPr>
        <w:t>[24]</w:t>
      </w:r>
      <w:r>
        <w:rPr>
          <w:lang w:val="en-GB"/>
        </w:rPr>
        <w:tab/>
      </w:r>
      <w:r w:rsidR="005D371D" w:rsidRPr="00FF49D0">
        <w:rPr>
          <w:lang w:val="en-GB"/>
        </w:rPr>
        <w:t xml:space="preserve">The amendments in question </w:t>
      </w:r>
      <w:r w:rsidR="000368ED" w:rsidRPr="00FF49D0">
        <w:rPr>
          <w:lang w:val="en-GB"/>
        </w:rPr>
        <w:t xml:space="preserve">seek to raise </w:t>
      </w:r>
      <w:r w:rsidR="005D371D" w:rsidRPr="00FF49D0">
        <w:rPr>
          <w:lang w:val="en-GB"/>
        </w:rPr>
        <w:t xml:space="preserve">a defence based on a distinction </w:t>
      </w:r>
      <w:r w:rsidR="00FF4492" w:rsidRPr="00FF49D0">
        <w:rPr>
          <w:lang w:val="en-GB"/>
        </w:rPr>
        <w:t>with ‘externally funded projects’. The first judgment considered and allowed this, even though this involved the withdrawal of an admission.</w:t>
      </w:r>
      <w:r w:rsidR="00FF4492">
        <w:rPr>
          <w:rStyle w:val="FootnoteReference"/>
          <w:lang w:val="en-GB"/>
        </w:rPr>
        <w:footnoteReference w:id="31"/>
      </w:r>
      <w:r w:rsidR="00950D37" w:rsidRPr="00FF49D0">
        <w:rPr>
          <w:lang w:val="en-GB"/>
        </w:rPr>
        <w:t xml:space="preserve"> I have no difficulty in following that judgment </w:t>
      </w:r>
      <w:r w:rsidR="006C740A" w:rsidRPr="00FF49D0">
        <w:rPr>
          <w:lang w:val="en-GB"/>
        </w:rPr>
        <w:t>on the point</w:t>
      </w:r>
      <w:r w:rsidR="00490C54" w:rsidRPr="00FF49D0">
        <w:rPr>
          <w:lang w:val="en-GB"/>
        </w:rPr>
        <w:t xml:space="preserve">, also </w:t>
      </w:r>
      <w:r w:rsidR="00950D37" w:rsidRPr="00FF49D0">
        <w:rPr>
          <w:lang w:val="en-GB"/>
        </w:rPr>
        <w:t>on the basis that the amendments</w:t>
      </w:r>
      <w:r w:rsidR="00E67834" w:rsidRPr="00FF49D0">
        <w:rPr>
          <w:lang w:val="en-GB"/>
        </w:rPr>
        <w:t>, prima facie,</w:t>
      </w:r>
      <w:r w:rsidR="00950D37" w:rsidRPr="00FF49D0">
        <w:rPr>
          <w:lang w:val="en-GB"/>
        </w:rPr>
        <w:t xml:space="preserve"> raise a triable issue and in the absence of any demonstratable prejudice to the plaintiff.</w:t>
      </w:r>
      <w:r w:rsidR="00AD3BBA" w:rsidRPr="00FF49D0">
        <w:rPr>
          <w:lang w:val="en-GB"/>
        </w:rPr>
        <w:t xml:space="preserve"> The amendments are allowed.</w:t>
      </w:r>
    </w:p>
    <w:p w14:paraId="77C22F69" w14:textId="6FA1BD4A" w:rsidR="004228A1" w:rsidRDefault="004228A1" w:rsidP="004228A1">
      <w:pPr>
        <w:pStyle w:val="ListParagraph"/>
        <w:autoSpaceDE w:val="0"/>
        <w:autoSpaceDN w:val="0"/>
        <w:adjustRightInd w:val="0"/>
        <w:ind w:left="0"/>
        <w:jc w:val="both"/>
        <w:rPr>
          <w:lang w:val="en-GB"/>
        </w:rPr>
      </w:pPr>
    </w:p>
    <w:p w14:paraId="2AE7B140" w14:textId="2DD6579E" w:rsidR="004228A1" w:rsidRDefault="004228A1" w:rsidP="004228A1">
      <w:pPr>
        <w:pStyle w:val="ListParagraph"/>
        <w:autoSpaceDE w:val="0"/>
        <w:autoSpaceDN w:val="0"/>
        <w:adjustRightInd w:val="0"/>
        <w:ind w:left="0"/>
        <w:jc w:val="both"/>
        <w:rPr>
          <w:i/>
          <w:iCs/>
          <w:lang w:val="en-GB"/>
        </w:rPr>
      </w:pPr>
      <w:r>
        <w:rPr>
          <w:i/>
          <w:iCs/>
          <w:lang w:val="en-GB"/>
        </w:rPr>
        <w:t xml:space="preserve">Paragraphs 42, 43 and 75 </w:t>
      </w:r>
    </w:p>
    <w:p w14:paraId="6AEA78FF" w14:textId="77777777" w:rsidR="004228A1" w:rsidRPr="004228A1" w:rsidRDefault="004228A1" w:rsidP="004228A1">
      <w:pPr>
        <w:pStyle w:val="ListParagraph"/>
        <w:autoSpaceDE w:val="0"/>
        <w:autoSpaceDN w:val="0"/>
        <w:adjustRightInd w:val="0"/>
        <w:ind w:left="0"/>
        <w:jc w:val="both"/>
        <w:rPr>
          <w:i/>
          <w:iCs/>
          <w:lang w:val="en-GB"/>
        </w:rPr>
      </w:pPr>
    </w:p>
    <w:p w14:paraId="082180F5" w14:textId="04E80F74" w:rsidR="004228A1" w:rsidRPr="00FF49D0" w:rsidRDefault="00FF49D0" w:rsidP="00FF49D0">
      <w:pPr>
        <w:autoSpaceDE w:val="0"/>
        <w:autoSpaceDN w:val="0"/>
        <w:adjustRightInd w:val="0"/>
        <w:jc w:val="both"/>
        <w:rPr>
          <w:lang w:val="en-GB"/>
        </w:rPr>
      </w:pPr>
      <w:r>
        <w:rPr>
          <w:lang w:val="en-GB"/>
        </w:rPr>
        <w:t>[25]</w:t>
      </w:r>
      <w:r>
        <w:rPr>
          <w:lang w:val="en-GB"/>
        </w:rPr>
        <w:tab/>
      </w:r>
      <w:r w:rsidR="00757886" w:rsidRPr="00FF49D0">
        <w:rPr>
          <w:lang w:val="en-GB"/>
        </w:rPr>
        <w:t xml:space="preserve">The objection to paragraph 75 was based on a typographical error contained in the notice of amendment. The intention was to admit the contents of sub-paragraph 23.1, </w:t>
      </w:r>
      <w:r w:rsidR="00041B00" w:rsidRPr="00FF49D0">
        <w:rPr>
          <w:lang w:val="en-GB"/>
        </w:rPr>
        <w:t xml:space="preserve">which relate to the first defendant’s duty of good faith, </w:t>
      </w:r>
      <w:r w:rsidR="00757886" w:rsidRPr="00FF49D0">
        <w:rPr>
          <w:lang w:val="en-GB"/>
        </w:rPr>
        <w:t>and deny the remainder of the allegations in paragraph 23. Leave to amend the typographical error is not opposed and is granted.</w:t>
      </w:r>
    </w:p>
    <w:p w14:paraId="07300231" w14:textId="77777777" w:rsidR="00173F15" w:rsidRDefault="00173F15" w:rsidP="00173F15">
      <w:pPr>
        <w:pStyle w:val="ListParagraph"/>
        <w:autoSpaceDE w:val="0"/>
        <w:autoSpaceDN w:val="0"/>
        <w:adjustRightInd w:val="0"/>
        <w:ind w:left="0"/>
        <w:jc w:val="both"/>
        <w:rPr>
          <w:lang w:val="en-GB"/>
        </w:rPr>
      </w:pPr>
    </w:p>
    <w:p w14:paraId="2C801771" w14:textId="5534C898" w:rsidR="00173F15" w:rsidRPr="00FF49D0" w:rsidRDefault="00FF49D0" w:rsidP="00FF49D0">
      <w:pPr>
        <w:autoSpaceDE w:val="0"/>
        <w:autoSpaceDN w:val="0"/>
        <w:adjustRightInd w:val="0"/>
        <w:jc w:val="both"/>
        <w:rPr>
          <w:lang w:val="en-GB"/>
        </w:rPr>
      </w:pPr>
      <w:r>
        <w:rPr>
          <w:lang w:val="en-GB"/>
        </w:rPr>
        <w:t>[26]</w:t>
      </w:r>
      <w:r>
        <w:rPr>
          <w:lang w:val="en-GB"/>
        </w:rPr>
        <w:tab/>
      </w:r>
      <w:r w:rsidR="00173F15" w:rsidRPr="00FF49D0">
        <w:rPr>
          <w:lang w:val="en-GB"/>
        </w:rPr>
        <w:t>What remains are the following objections:</w:t>
      </w:r>
    </w:p>
    <w:p w14:paraId="031165D4" w14:textId="6B9C4756" w:rsidR="00173F15" w:rsidRDefault="00173F15" w:rsidP="00DB1A09">
      <w:pPr>
        <w:ind w:left="720" w:hanging="720"/>
        <w:jc w:val="both"/>
        <w:rPr>
          <w:sz w:val="22"/>
          <w:szCs w:val="22"/>
          <w:lang w:val="en-GB"/>
        </w:rPr>
      </w:pPr>
      <w:r>
        <w:rPr>
          <w:sz w:val="22"/>
          <w:szCs w:val="22"/>
          <w:lang w:val="en-GB"/>
        </w:rPr>
        <w:t>‘</w:t>
      </w:r>
      <w:r w:rsidR="008D7957">
        <w:rPr>
          <w:sz w:val="22"/>
          <w:szCs w:val="22"/>
          <w:lang w:val="en-GB"/>
        </w:rPr>
        <w:t xml:space="preserve">7.6 </w:t>
      </w:r>
      <w:r w:rsidR="008D7957">
        <w:rPr>
          <w:sz w:val="22"/>
          <w:szCs w:val="22"/>
          <w:lang w:val="en-GB"/>
        </w:rPr>
        <w:tab/>
      </w:r>
      <w:r>
        <w:rPr>
          <w:sz w:val="22"/>
          <w:szCs w:val="22"/>
          <w:lang w:val="en-GB"/>
        </w:rPr>
        <w:t xml:space="preserve">At paragraph 23.3 of the particulars of claim … the plaintiff alleges that the first defendant is obliged </w:t>
      </w:r>
      <w:r w:rsidR="008D7957">
        <w:rPr>
          <w:sz w:val="22"/>
          <w:szCs w:val="22"/>
          <w:lang w:val="en-GB"/>
        </w:rPr>
        <w:t>to disgorge the secret prof</w:t>
      </w:r>
      <w:r w:rsidR="00DB1A09">
        <w:rPr>
          <w:sz w:val="22"/>
          <w:szCs w:val="22"/>
          <w:lang w:val="en-GB"/>
        </w:rPr>
        <w:t>i</w:t>
      </w:r>
      <w:r w:rsidR="008D7957">
        <w:rPr>
          <w:sz w:val="22"/>
          <w:szCs w:val="22"/>
          <w:lang w:val="en-GB"/>
        </w:rPr>
        <w:t>ts of no less than R4 773 199.05 in favour of the plaintiff.</w:t>
      </w:r>
    </w:p>
    <w:p w14:paraId="05E78962" w14:textId="08CD3B6A" w:rsidR="008D7957" w:rsidRDefault="008D7957" w:rsidP="00DB1A09">
      <w:pPr>
        <w:jc w:val="both"/>
        <w:rPr>
          <w:sz w:val="22"/>
          <w:szCs w:val="22"/>
          <w:lang w:val="en-GB"/>
        </w:rPr>
      </w:pPr>
    </w:p>
    <w:p w14:paraId="446D13E5" w14:textId="6569A035" w:rsidR="008D7957" w:rsidRDefault="008D7957" w:rsidP="00DB1A09">
      <w:pPr>
        <w:ind w:left="720" w:hanging="720"/>
        <w:jc w:val="both"/>
        <w:rPr>
          <w:sz w:val="22"/>
          <w:szCs w:val="22"/>
          <w:lang w:val="en-GB"/>
        </w:rPr>
      </w:pPr>
      <w:r>
        <w:rPr>
          <w:sz w:val="22"/>
          <w:szCs w:val="22"/>
          <w:lang w:val="en-GB"/>
        </w:rPr>
        <w:lastRenderedPageBreak/>
        <w:t xml:space="preserve">7.7 </w:t>
      </w:r>
      <w:r>
        <w:rPr>
          <w:sz w:val="22"/>
          <w:szCs w:val="22"/>
          <w:lang w:val="en-GB"/>
        </w:rPr>
        <w:tab/>
        <w:t xml:space="preserve">In paragraph 75 of the proposed amended plea, the defendants baldly </w:t>
      </w:r>
      <w:r w:rsidR="0041445A">
        <w:rPr>
          <w:sz w:val="22"/>
          <w:szCs w:val="22"/>
          <w:lang w:val="en-GB"/>
        </w:rPr>
        <w:t>deny this allegation. The defendants’ denial is inconsistent with and contradicts the admissions made in paragraphs 42,</w:t>
      </w:r>
      <w:r w:rsidR="00DB1A09">
        <w:rPr>
          <w:sz w:val="22"/>
          <w:szCs w:val="22"/>
          <w:lang w:val="en-GB"/>
        </w:rPr>
        <w:t xml:space="preserve"> </w:t>
      </w:r>
      <w:r w:rsidR="0041445A">
        <w:rPr>
          <w:sz w:val="22"/>
          <w:szCs w:val="22"/>
          <w:lang w:val="en-GB"/>
        </w:rPr>
        <w:t>43 and 75 of the proposed amended plea, referred to in paragraphs 7.1, 7.2 and 7.5 above, and as such the denial is embarrassing, and absent any cogent explanation, tends to show bad faith, is without merit, and does not make out a defence.’</w:t>
      </w:r>
    </w:p>
    <w:p w14:paraId="08060FE4" w14:textId="77777777" w:rsidR="00DB1A09" w:rsidRPr="00173F15" w:rsidRDefault="00DB1A09" w:rsidP="00DB1A09">
      <w:pPr>
        <w:ind w:left="720" w:hanging="720"/>
        <w:jc w:val="both"/>
        <w:rPr>
          <w:sz w:val="22"/>
          <w:szCs w:val="22"/>
          <w:lang w:val="en-GB"/>
        </w:rPr>
      </w:pPr>
    </w:p>
    <w:p w14:paraId="29ACD954" w14:textId="193A1D41" w:rsidR="006C7757" w:rsidRPr="00FF49D0" w:rsidRDefault="00FF49D0" w:rsidP="00FF49D0">
      <w:pPr>
        <w:autoSpaceDE w:val="0"/>
        <w:autoSpaceDN w:val="0"/>
        <w:adjustRightInd w:val="0"/>
        <w:jc w:val="both"/>
        <w:rPr>
          <w:lang w:val="en-GB"/>
        </w:rPr>
      </w:pPr>
      <w:r>
        <w:rPr>
          <w:lang w:val="en-GB"/>
        </w:rPr>
        <w:t>[27]</w:t>
      </w:r>
      <w:r>
        <w:rPr>
          <w:lang w:val="en-GB"/>
        </w:rPr>
        <w:tab/>
      </w:r>
      <w:r w:rsidR="006C7757" w:rsidRPr="00FF49D0">
        <w:rPr>
          <w:lang w:val="en-GB"/>
        </w:rPr>
        <w:t>The defendants admit that the first defendant owed the plaintiff a duty of good faith, by virtue of his employment, which entailed that the first defendant was:</w:t>
      </w:r>
    </w:p>
    <w:p w14:paraId="7BAFC913" w14:textId="77777777" w:rsidR="006C7757" w:rsidRDefault="006C7757" w:rsidP="006C7757">
      <w:pPr>
        <w:pStyle w:val="ListParagraph"/>
        <w:autoSpaceDE w:val="0"/>
        <w:autoSpaceDN w:val="0"/>
        <w:adjustRightInd w:val="0"/>
        <w:ind w:left="0"/>
        <w:jc w:val="both"/>
        <w:rPr>
          <w:lang w:val="en-GB"/>
        </w:rPr>
      </w:pPr>
    </w:p>
    <w:p w14:paraId="0DF006B4" w14:textId="5EBCEAA5" w:rsidR="006C7757" w:rsidRPr="00FF49D0" w:rsidRDefault="00FF49D0" w:rsidP="00FF49D0">
      <w:pPr>
        <w:autoSpaceDE w:val="0"/>
        <w:autoSpaceDN w:val="0"/>
        <w:adjustRightInd w:val="0"/>
        <w:ind w:left="720" w:hanging="360"/>
        <w:jc w:val="both"/>
        <w:rPr>
          <w:lang w:val="en-GB"/>
        </w:rPr>
      </w:pPr>
      <w:r>
        <w:rPr>
          <w:lang w:val="en-GB"/>
        </w:rPr>
        <w:t>a)</w:t>
      </w:r>
      <w:r>
        <w:rPr>
          <w:lang w:val="en-GB"/>
        </w:rPr>
        <w:tab/>
      </w:r>
      <w:r w:rsidR="006C7757" w:rsidRPr="00FF49D0">
        <w:rPr>
          <w:lang w:val="en-GB"/>
        </w:rPr>
        <w:t>obliged not to work against the plaintiff’s interests;</w:t>
      </w:r>
    </w:p>
    <w:p w14:paraId="2D98BA58" w14:textId="51A3A56D" w:rsidR="006C7757" w:rsidRPr="00FF49D0" w:rsidRDefault="00FF49D0" w:rsidP="00FF49D0">
      <w:pPr>
        <w:autoSpaceDE w:val="0"/>
        <w:autoSpaceDN w:val="0"/>
        <w:adjustRightInd w:val="0"/>
        <w:ind w:left="720" w:hanging="360"/>
        <w:jc w:val="both"/>
        <w:rPr>
          <w:lang w:val="en-GB"/>
        </w:rPr>
      </w:pPr>
      <w:r>
        <w:rPr>
          <w:lang w:val="en-GB"/>
        </w:rPr>
        <w:t>b)</w:t>
      </w:r>
      <w:r>
        <w:rPr>
          <w:lang w:val="en-GB"/>
        </w:rPr>
        <w:tab/>
      </w:r>
      <w:r w:rsidR="006C7757" w:rsidRPr="00FF49D0">
        <w:rPr>
          <w:lang w:val="en-GB"/>
        </w:rPr>
        <w:t>obliged not to place himself in a position where his interests conflicted with that of the plaintiff;</w:t>
      </w:r>
    </w:p>
    <w:p w14:paraId="00329772" w14:textId="69CA844B" w:rsidR="006C7757" w:rsidRPr="00FF49D0" w:rsidRDefault="00FF49D0" w:rsidP="00FF49D0">
      <w:pPr>
        <w:autoSpaceDE w:val="0"/>
        <w:autoSpaceDN w:val="0"/>
        <w:adjustRightInd w:val="0"/>
        <w:ind w:left="720" w:hanging="360"/>
        <w:jc w:val="both"/>
        <w:rPr>
          <w:lang w:val="en-GB"/>
        </w:rPr>
      </w:pPr>
      <w:r>
        <w:rPr>
          <w:lang w:val="en-GB"/>
        </w:rPr>
        <w:t>c)</w:t>
      </w:r>
      <w:r>
        <w:rPr>
          <w:lang w:val="en-GB"/>
        </w:rPr>
        <w:tab/>
      </w:r>
      <w:r w:rsidR="006C7757" w:rsidRPr="00FF49D0">
        <w:rPr>
          <w:lang w:val="en-GB"/>
        </w:rPr>
        <w:t>obliged not to make a secret profit at the expense of the plaintiff; and</w:t>
      </w:r>
    </w:p>
    <w:p w14:paraId="28F03316" w14:textId="3BE8E0BC" w:rsidR="006C7757" w:rsidRPr="00FF49D0" w:rsidRDefault="00FF49D0" w:rsidP="00FF49D0">
      <w:pPr>
        <w:autoSpaceDE w:val="0"/>
        <w:autoSpaceDN w:val="0"/>
        <w:adjustRightInd w:val="0"/>
        <w:ind w:left="720" w:hanging="360"/>
        <w:jc w:val="both"/>
        <w:rPr>
          <w:lang w:val="en-GB"/>
        </w:rPr>
      </w:pPr>
      <w:r>
        <w:rPr>
          <w:lang w:val="en-GB"/>
        </w:rPr>
        <w:t>d)</w:t>
      </w:r>
      <w:r>
        <w:rPr>
          <w:lang w:val="en-GB"/>
        </w:rPr>
        <w:tab/>
      </w:r>
      <w:r w:rsidR="006C7757" w:rsidRPr="00FF49D0">
        <w:rPr>
          <w:lang w:val="en-GB"/>
        </w:rPr>
        <w:t>obliged not to receive any bribe, secret profit or commission in the course of or by means of his position as employee of the plaintiff.</w:t>
      </w:r>
    </w:p>
    <w:p w14:paraId="5CA0C559" w14:textId="77777777" w:rsidR="006C7757" w:rsidRDefault="006C7757" w:rsidP="006C7757">
      <w:pPr>
        <w:pStyle w:val="ListParagraph"/>
        <w:autoSpaceDE w:val="0"/>
        <w:autoSpaceDN w:val="0"/>
        <w:adjustRightInd w:val="0"/>
        <w:jc w:val="both"/>
        <w:rPr>
          <w:lang w:val="en-GB"/>
        </w:rPr>
      </w:pPr>
    </w:p>
    <w:p w14:paraId="1606EA30" w14:textId="2B740557" w:rsidR="00BB2ECD" w:rsidRPr="00FF49D0" w:rsidRDefault="00FF49D0" w:rsidP="00FF49D0">
      <w:pPr>
        <w:autoSpaceDE w:val="0"/>
        <w:autoSpaceDN w:val="0"/>
        <w:adjustRightInd w:val="0"/>
        <w:jc w:val="both"/>
        <w:rPr>
          <w:lang w:val="en-GB"/>
        </w:rPr>
      </w:pPr>
      <w:r>
        <w:rPr>
          <w:lang w:val="en-GB"/>
        </w:rPr>
        <w:t>[28]</w:t>
      </w:r>
      <w:r>
        <w:rPr>
          <w:lang w:val="en-GB"/>
        </w:rPr>
        <w:tab/>
      </w:r>
      <w:r w:rsidR="00BB2ECD" w:rsidRPr="00FF49D0">
        <w:rPr>
          <w:lang w:val="en-GB"/>
        </w:rPr>
        <w:t>The defendants deny that, in breach of the admitted duty of good faith, and by way of misconduct, the first defendant:</w:t>
      </w:r>
    </w:p>
    <w:p w14:paraId="6A164731" w14:textId="4B09601E" w:rsidR="00DA6086" w:rsidRDefault="00DA6086" w:rsidP="00DA6086">
      <w:pPr>
        <w:pStyle w:val="ListParagraph"/>
        <w:autoSpaceDE w:val="0"/>
        <w:autoSpaceDN w:val="0"/>
        <w:adjustRightInd w:val="0"/>
        <w:ind w:left="0"/>
        <w:jc w:val="both"/>
        <w:rPr>
          <w:lang w:val="en-GB"/>
        </w:rPr>
      </w:pPr>
    </w:p>
    <w:p w14:paraId="7B40CB21" w14:textId="407CBF2E" w:rsidR="00DA6086" w:rsidRPr="00FF49D0" w:rsidRDefault="00FF49D0" w:rsidP="00FF49D0">
      <w:pPr>
        <w:autoSpaceDE w:val="0"/>
        <w:autoSpaceDN w:val="0"/>
        <w:adjustRightInd w:val="0"/>
        <w:ind w:left="720" w:hanging="360"/>
        <w:jc w:val="both"/>
        <w:rPr>
          <w:lang w:val="en-GB"/>
        </w:rPr>
      </w:pPr>
      <w:r>
        <w:rPr>
          <w:lang w:val="en-GB"/>
        </w:rPr>
        <w:t>a)</w:t>
      </w:r>
      <w:r>
        <w:rPr>
          <w:lang w:val="en-GB"/>
        </w:rPr>
        <w:tab/>
      </w:r>
      <w:r w:rsidR="00DA6086" w:rsidRPr="00FF49D0">
        <w:rPr>
          <w:lang w:val="en-GB"/>
        </w:rPr>
        <w:t>worked against the plaintiff’s interests;</w:t>
      </w:r>
    </w:p>
    <w:p w14:paraId="7FBDA5B9" w14:textId="06F1A190" w:rsidR="00DA6086" w:rsidRPr="00FF49D0" w:rsidRDefault="00FF49D0" w:rsidP="00FF49D0">
      <w:pPr>
        <w:autoSpaceDE w:val="0"/>
        <w:autoSpaceDN w:val="0"/>
        <w:adjustRightInd w:val="0"/>
        <w:ind w:left="720" w:hanging="360"/>
        <w:jc w:val="both"/>
        <w:rPr>
          <w:lang w:val="en-GB"/>
        </w:rPr>
      </w:pPr>
      <w:r>
        <w:rPr>
          <w:lang w:val="en-GB"/>
        </w:rPr>
        <w:t>b)</w:t>
      </w:r>
      <w:r>
        <w:rPr>
          <w:lang w:val="en-GB"/>
        </w:rPr>
        <w:tab/>
      </w:r>
      <w:r w:rsidR="00DA6086" w:rsidRPr="00FF49D0">
        <w:rPr>
          <w:lang w:val="en-GB"/>
        </w:rPr>
        <w:t>placed himself in a position where his interests conflicted with that of the plaintiff;</w:t>
      </w:r>
    </w:p>
    <w:p w14:paraId="298BAA69" w14:textId="4A74F489" w:rsidR="00DA6086" w:rsidRPr="00FF49D0" w:rsidRDefault="00FF49D0" w:rsidP="00FF49D0">
      <w:pPr>
        <w:autoSpaceDE w:val="0"/>
        <w:autoSpaceDN w:val="0"/>
        <w:adjustRightInd w:val="0"/>
        <w:ind w:left="720" w:hanging="360"/>
        <w:jc w:val="both"/>
        <w:rPr>
          <w:lang w:val="en-GB"/>
        </w:rPr>
      </w:pPr>
      <w:r>
        <w:rPr>
          <w:lang w:val="en-GB"/>
        </w:rPr>
        <w:t>c)</w:t>
      </w:r>
      <w:r>
        <w:rPr>
          <w:lang w:val="en-GB"/>
        </w:rPr>
        <w:tab/>
      </w:r>
      <w:r w:rsidR="00DA6086" w:rsidRPr="00FF49D0">
        <w:rPr>
          <w:lang w:val="en-GB"/>
        </w:rPr>
        <w:t xml:space="preserve">made secret profits at the expense of the plaintiff; and </w:t>
      </w:r>
    </w:p>
    <w:p w14:paraId="6E154FE4" w14:textId="135FC394" w:rsidR="00DA6086" w:rsidRPr="00FF49D0" w:rsidRDefault="00FF49D0" w:rsidP="00FF49D0">
      <w:pPr>
        <w:autoSpaceDE w:val="0"/>
        <w:autoSpaceDN w:val="0"/>
        <w:adjustRightInd w:val="0"/>
        <w:ind w:left="720" w:hanging="360"/>
        <w:jc w:val="both"/>
        <w:rPr>
          <w:lang w:val="en-GB"/>
        </w:rPr>
      </w:pPr>
      <w:r>
        <w:rPr>
          <w:lang w:val="en-GB"/>
        </w:rPr>
        <w:t>d)</w:t>
      </w:r>
      <w:r>
        <w:rPr>
          <w:lang w:val="en-GB"/>
        </w:rPr>
        <w:tab/>
      </w:r>
      <w:r w:rsidR="00DA6086" w:rsidRPr="00FF49D0">
        <w:rPr>
          <w:lang w:val="en-GB"/>
        </w:rPr>
        <w:t>received the secret profits by virtue of his employment, so that the first defendant is obliged to disgorge the secret profits.</w:t>
      </w:r>
    </w:p>
    <w:p w14:paraId="41B942B4" w14:textId="77777777" w:rsidR="00DA6086" w:rsidRDefault="00DA6086" w:rsidP="00DA6086">
      <w:pPr>
        <w:pStyle w:val="ListParagraph"/>
        <w:autoSpaceDE w:val="0"/>
        <w:autoSpaceDN w:val="0"/>
        <w:adjustRightInd w:val="0"/>
        <w:ind w:left="0"/>
        <w:jc w:val="both"/>
        <w:rPr>
          <w:lang w:val="en-GB"/>
        </w:rPr>
      </w:pPr>
    </w:p>
    <w:p w14:paraId="6F0BA682" w14:textId="07DA8351" w:rsidR="00DA6086" w:rsidRPr="00FF49D0" w:rsidRDefault="00FF49D0" w:rsidP="00FF49D0">
      <w:pPr>
        <w:autoSpaceDE w:val="0"/>
        <w:autoSpaceDN w:val="0"/>
        <w:adjustRightInd w:val="0"/>
        <w:jc w:val="both"/>
        <w:rPr>
          <w:lang w:val="en-GB"/>
        </w:rPr>
      </w:pPr>
      <w:r>
        <w:rPr>
          <w:lang w:val="en-GB"/>
        </w:rPr>
        <w:t>[29]</w:t>
      </w:r>
      <w:r>
        <w:rPr>
          <w:lang w:val="en-GB"/>
        </w:rPr>
        <w:tab/>
      </w:r>
      <w:r w:rsidR="00756224" w:rsidRPr="00FF49D0">
        <w:rPr>
          <w:lang w:val="en-GB"/>
        </w:rPr>
        <w:t xml:space="preserve">The distinction between admitting a duty of good faith, on the one hand, and misconduct </w:t>
      </w:r>
      <w:r w:rsidR="00605006" w:rsidRPr="00FF49D0">
        <w:rPr>
          <w:lang w:val="en-GB"/>
        </w:rPr>
        <w:t xml:space="preserve">culminating in an obligation to disgorge secret profits, on the other, is immediately apparent. </w:t>
      </w:r>
      <w:r w:rsidR="000047EA" w:rsidRPr="00FF49D0">
        <w:rPr>
          <w:lang w:val="en-GB"/>
        </w:rPr>
        <w:t xml:space="preserve">The defendants’ denial </w:t>
      </w:r>
      <w:r w:rsidR="000E44CB" w:rsidRPr="00FF49D0">
        <w:rPr>
          <w:lang w:val="en-GB"/>
        </w:rPr>
        <w:t>of an obligation to disgorge secret profits</w:t>
      </w:r>
      <w:r w:rsidR="000047EA" w:rsidRPr="00FF49D0">
        <w:rPr>
          <w:lang w:val="en-GB"/>
        </w:rPr>
        <w:t xml:space="preserve"> must be construed </w:t>
      </w:r>
      <w:r w:rsidR="003C6382" w:rsidRPr="00FF49D0">
        <w:rPr>
          <w:lang w:val="en-GB"/>
        </w:rPr>
        <w:t xml:space="preserve">together </w:t>
      </w:r>
      <w:r w:rsidR="000047EA" w:rsidRPr="00FF49D0">
        <w:rPr>
          <w:lang w:val="en-GB"/>
        </w:rPr>
        <w:t>with the defences raised by the plea, including the introduction of special pleas which, if successful, will result in the avoidance of liability.</w:t>
      </w:r>
      <w:r w:rsidR="001E2EA7" w:rsidRPr="00FF49D0">
        <w:rPr>
          <w:lang w:val="en-GB"/>
        </w:rPr>
        <w:t xml:space="preserve"> In these circumstances, </w:t>
      </w:r>
      <w:r w:rsidR="004C4B0E" w:rsidRPr="00FF49D0">
        <w:rPr>
          <w:lang w:val="en-GB"/>
        </w:rPr>
        <w:t>a prima facie triable issue is raised</w:t>
      </w:r>
      <w:r w:rsidR="00512577" w:rsidRPr="00FF49D0">
        <w:rPr>
          <w:lang w:val="en-GB"/>
        </w:rPr>
        <w:t xml:space="preserve"> and </w:t>
      </w:r>
      <w:r w:rsidR="001E2EA7" w:rsidRPr="00FF49D0">
        <w:rPr>
          <w:lang w:val="en-GB"/>
        </w:rPr>
        <w:t>the amendment</w:t>
      </w:r>
      <w:r w:rsidR="00D92B76" w:rsidRPr="00FF49D0">
        <w:rPr>
          <w:lang w:val="en-GB"/>
        </w:rPr>
        <w:t xml:space="preserve"> is</w:t>
      </w:r>
      <w:r w:rsidR="001E2EA7" w:rsidRPr="00FF49D0">
        <w:rPr>
          <w:lang w:val="en-GB"/>
        </w:rPr>
        <w:t xml:space="preserve"> allowed.</w:t>
      </w:r>
    </w:p>
    <w:p w14:paraId="28826582" w14:textId="3B4F12E3" w:rsidR="00384669" w:rsidRDefault="00384669" w:rsidP="00B511C8">
      <w:pPr>
        <w:pStyle w:val="ListParagraph"/>
        <w:autoSpaceDE w:val="0"/>
        <w:autoSpaceDN w:val="0"/>
        <w:adjustRightInd w:val="0"/>
        <w:ind w:left="0"/>
        <w:jc w:val="both"/>
        <w:rPr>
          <w:i/>
          <w:iCs/>
          <w:lang w:val="en-GB"/>
        </w:rPr>
      </w:pPr>
      <w:r>
        <w:rPr>
          <w:i/>
          <w:iCs/>
          <w:lang w:val="en-GB"/>
        </w:rPr>
        <w:lastRenderedPageBreak/>
        <w:t>Paragraphs 47</w:t>
      </w:r>
      <w:r w:rsidR="00867F80">
        <w:rPr>
          <w:i/>
          <w:iCs/>
          <w:lang w:val="en-GB"/>
        </w:rPr>
        <w:t xml:space="preserve"> to </w:t>
      </w:r>
      <w:r>
        <w:rPr>
          <w:i/>
          <w:iCs/>
          <w:lang w:val="en-GB"/>
        </w:rPr>
        <w:t>50</w:t>
      </w:r>
    </w:p>
    <w:p w14:paraId="59F6C34F" w14:textId="77777777" w:rsidR="00384669" w:rsidRPr="00384669" w:rsidRDefault="00384669" w:rsidP="00B511C8">
      <w:pPr>
        <w:pStyle w:val="ListParagraph"/>
        <w:autoSpaceDE w:val="0"/>
        <w:autoSpaceDN w:val="0"/>
        <w:adjustRightInd w:val="0"/>
        <w:ind w:left="0"/>
        <w:jc w:val="both"/>
        <w:rPr>
          <w:i/>
          <w:iCs/>
          <w:lang w:val="en-GB"/>
        </w:rPr>
      </w:pPr>
    </w:p>
    <w:p w14:paraId="169A7A72" w14:textId="29892056" w:rsidR="00B511C8" w:rsidRPr="00FF49D0" w:rsidRDefault="00FF49D0" w:rsidP="00FF49D0">
      <w:pPr>
        <w:autoSpaceDE w:val="0"/>
        <w:autoSpaceDN w:val="0"/>
        <w:adjustRightInd w:val="0"/>
        <w:jc w:val="both"/>
        <w:rPr>
          <w:lang w:val="en-GB"/>
        </w:rPr>
      </w:pPr>
      <w:r>
        <w:rPr>
          <w:lang w:val="en-GB"/>
        </w:rPr>
        <w:t>[30]</w:t>
      </w:r>
      <w:r>
        <w:rPr>
          <w:lang w:val="en-GB"/>
        </w:rPr>
        <w:tab/>
      </w:r>
      <w:r w:rsidR="003E3395" w:rsidRPr="00FF49D0">
        <w:rPr>
          <w:lang w:val="en-GB"/>
        </w:rPr>
        <w:t>The proposed amendment</w:t>
      </w:r>
      <w:r w:rsidR="00AD4AC4" w:rsidRPr="00FF49D0">
        <w:rPr>
          <w:lang w:val="en-GB"/>
        </w:rPr>
        <w:t>s</w:t>
      </w:r>
      <w:r w:rsidR="003E3395" w:rsidRPr="00FF49D0">
        <w:rPr>
          <w:lang w:val="en-GB"/>
        </w:rPr>
        <w:t xml:space="preserve"> </w:t>
      </w:r>
      <w:r w:rsidR="00082A42" w:rsidRPr="00FF49D0">
        <w:rPr>
          <w:lang w:val="en-GB"/>
        </w:rPr>
        <w:t xml:space="preserve">seek to deny the assertion that the first defendant failed to disclose to the plaintiff his interest in and exclusive control of the </w:t>
      </w:r>
      <w:r w:rsidR="00CE0E5E" w:rsidRPr="00FF49D0">
        <w:rPr>
          <w:lang w:val="en-GB"/>
        </w:rPr>
        <w:t>CSRI</w:t>
      </w:r>
      <w:r w:rsidR="00082A42" w:rsidRPr="00FF49D0">
        <w:rPr>
          <w:lang w:val="en-GB"/>
        </w:rPr>
        <w:t xml:space="preserve">. </w:t>
      </w:r>
      <w:r w:rsidR="004246CD" w:rsidRPr="00FF49D0">
        <w:rPr>
          <w:lang w:val="en-GB"/>
        </w:rPr>
        <w:t>It is a sequel to the</w:t>
      </w:r>
      <w:r w:rsidR="003E3395" w:rsidRPr="00FF49D0">
        <w:rPr>
          <w:lang w:val="en-GB"/>
        </w:rPr>
        <w:t xml:space="preserve"> defendants’ </w:t>
      </w:r>
      <w:r w:rsidR="00F718B7" w:rsidRPr="00FF49D0">
        <w:rPr>
          <w:lang w:val="en-GB"/>
        </w:rPr>
        <w:t xml:space="preserve">previous </w:t>
      </w:r>
      <w:r w:rsidR="003E3395" w:rsidRPr="00FF49D0">
        <w:rPr>
          <w:lang w:val="en-GB"/>
        </w:rPr>
        <w:t xml:space="preserve">assertion that the plaintiff had known of the first defendant’s interest and role in the </w:t>
      </w:r>
      <w:r w:rsidR="00CE0E5E" w:rsidRPr="00FF49D0">
        <w:rPr>
          <w:lang w:val="en-GB"/>
        </w:rPr>
        <w:t>CSRI</w:t>
      </w:r>
      <w:r w:rsidR="003E3395" w:rsidRPr="00FF49D0">
        <w:rPr>
          <w:lang w:val="en-GB"/>
        </w:rPr>
        <w:t xml:space="preserve"> since 2011. The first judgment refused an attempt to introduce this allegation on the basis of non-specificity.</w:t>
      </w:r>
      <w:r w:rsidR="0096200B" w:rsidRPr="00FF49D0">
        <w:rPr>
          <w:lang w:val="en-GB"/>
        </w:rPr>
        <w:t xml:space="preserve"> The proposed amendment</w:t>
      </w:r>
      <w:r w:rsidR="002151B7" w:rsidRPr="00FF49D0">
        <w:rPr>
          <w:lang w:val="en-GB"/>
        </w:rPr>
        <w:t>s</w:t>
      </w:r>
      <w:r w:rsidR="0096200B" w:rsidRPr="00FF49D0">
        <w:rPr>
          <w:lang w:val="en-GB"/>
        </w:rPr>
        <w:t xml:space="preserve"> </w:t>
      </w:r>
      <w:r w:rsidR="002151B7" w:rsidRPr="00FF49D0">
        <w:rPr>
          <w:lang w:val="en-GB"/>
        </w:rPr>
        <w:t>are</w:t>
      </w:r>
      <w:r w:rsidR="0096200B" w:rsidRPr="00FF49D0">
        <w:rPr>
          <w:lang w:val="en-GB"/>
        </w:rPr>
        <w:t xml:space="preserve"> based on an alleged oral understanding between the first defendant and two senior university figures</w:t>
      </w:r>
      <w:r w:rsidR="0082677D" w:rsidRPr="00FF49D0">
        <w:rPr>
          <w:lang w:val="en-GB"/>
        </w:rPr>
        <w:t>, during 2010,</w:t>
      </w:r>
      <w:r w:rsidR="0096200B" w:rsidRPr="00FF49D0">
        <w:rPr>
          <w:lang w:val="en-GB"/>
        </w:rPr>
        <w:t xml:space="preserve"> that CSRI would be established </w:t>
      </w:r>
      <w:r w:rsidR="0082677D" w:rsidRPr="00FF49D0">
        <w:rPr>
          <w:lang w:val="en-GB"/>
        </w:rPr>
        <w:t xml:space="preserve">by the first defendant </w:t>
      </w:r>
      <w:r w:rsidR="0096200B" w:rsidRPr="00FF49D0">
        <w:rPr>
          <w:lang w:val="en-GB"/>
        </w:rPr>
        <w:t xml:space="preserve">as a vehicle for externally funded projects. The plaintiff would remunerate the CSRI for services rendered, and </w:t>
      </w:r>
      <w:r w:rsidR="00AF602F" w:rsidRPr="00FF49D0">
        <w:rPr>
          <w:lang w:val="en-GB"/>
        </w:rPr>
        <w:t>the first defendant and / or other employees of the plaintiff ‘and other third parties’ would be remunerated by CSRI.</w:t>
      </w:r>
      <w:r w:rsidR="00F01E37" w:rsidRPr="00FF49D0">
        <w:rPr>
          <w:lang w:val="en-GB"/>
        </w:rPr>
        <w:t xml:space="preserve"> The amendment continues as follows:</w:t>
      </w:r>
    </w:p>
    <w:p w14:paraId="0A92FD76" w14:textId="44124A72" w:rsidR="00F01E37" w:rsidRDefault="00F01E37" w:rsidP="00F01E37">
      <w:pPr>
        <w:pStyle w:val="ListParagraph"/>
        <w:autoSpaceDE w:val="0"/>
        <w:autoSpaceDN w:val="0"/>
        <w:adjustRightInd w:val="0"/>
        <w:ind w:left="0"/>
        <w:jc w:val="both"/>
        <w:rPr>
          <w:lang w:val="en-GB"/>
        </w:rPr>
      </w:pPr>
    </w:p>
    <w:p w14:paraId="0CBEC232" w14:textId="742FE863" w:rsidR="00F01E37" w:rsidRDefault="00D517E8" w:rsidP="00FF10CB">
      <w:pPr>
        <w:pStyle w:val="ListParagraph"/>
        <w:autoSpaceDE w:val="0"/>
        <w:autoSpaceDN w:val="0"/>
        <w:adjustRightInd w:val="0"/>
        <w:ind w:hanging="720"/>
        <w:jc w:val="both"/>
        <w:rPr>
          <w:sz w:val="22"/>
          <w:szCs w:val="22"/>
          <w:lang w:val="en-GB"/>
        </w:rPr>
      </w:pPr>
      <w:r>
        <w:rPr>
          <w:sz w:val="22"/>
          <w:szCs w:val="22"/>
          <w:lang w:val="en-GB"/>
        </w:rPr>
        <w:t>‘</w:t>
      </w:r>
      <w:r w:rsidR="00FF10CB">
        <w:rPr>
          <w:sz w:val="22"/>
          <w:szCs w:val="22"/>
          <w:lang w:val="en-GB"/>
        </w:rPr>
        <w:t>49.</w:t>
      </w:r>
      <w:r w:rsidR="00FF10CB">
        <w:rPr>
          <w:sz w:val="22"/>
          <w:szCs w:val="22"/>
          <w:lang w:val="en-GB"/>
        </w:rPr>
        <w:tab/>
      </w:r>
      <w:r w:rsidR="00F01E37">
        <w:rPr>
          <w:sz w:val="22"/>
          <w:szCs w:val="22"/>
          <w:lang w:val="en-GB"/>
        </w:rPr>
        <w:t xml:space="preserve">The above was known at all material times (2010 – 2016) by the plaintiff’s then Vice Chancellor, Prof Mvuyo Tom, Chief Financial Officer Mr Robin Stone, project finance manager Mr Adrian Runganathan and other employees from the project finance office. Accordingly, through these employees the plaintiff acquired knowledge that the first defendant would pre-incorporation of the second defendant be a director of the latter and was a director of second respondent post incorporation. </w:t>
      </w:r>
    </w:p>
    <w:p w14:paraId="34F30700" w14:textId="59C13E4D" w:rsidR="00FF10CB" w:rsidRDefault="00FF10CB" w:rsidP="00F01E37">
      <w:pPr>
        <w:pStyle w:val="ListParagraph"/>
        <w:autoSpaceDE w:val="0"/>
        <w:autoSpaceDN w:val="0"/>
        <w:adjustRightInd w:val="0"/>
        <w:ind w:left="0"/>
        <w:jc w:val="both"/>
        <w:rPr>
          <w:sz w:val="22"/>
          <w:szCs w:val="22"/>
          <w:lang w:val="en-GB"/>
        </w:rPr>
      </w:pPr>
    </w:p>
    <w:p w14:paraId="657FEE9B" w14:textId="4076C957" w:rsidR="00FF10CB" w:rsidRDefault="00FF10CB" w:rsidP="00F72D70">
      <w:pPr>
        <w:pStyle w:val="ListParagraph"/>
        <w:autoSpaceDE w:val="0"/>
        <w:autoSpaceDN w:val="0"/>
        <w:adjustRightInd w:val="0"/>
        <w:ind w:hanging="720"/>
        <w:jc w:val="both"/>
        <w:rPr>
          <w:sz w:val="22"/>
          <w:szCs w:val="22"/>
          <w:lang w:val="en-GB"/>
        </w:rPr>
      </w:pPr>
      <w:r>
        <w:rPr>
          <w:sz w:val="22"/>
          <w:szCs w:val="22"/>
          <w:lang w:val="en-GB"/>
        </w:rPr>
        <w:t>50.</w:t>
      </w:r>
      <w:r>
        <w:rPr>
          <w:sz w:val="22"/>
          <w:szCs w:val="22"/>
          <w:lang w:val="en-GB"/>
        </w:rPr>
        <w:tab/>
        <w:t>The defendants deny the allegations contained in this paragraph. The first defendant disclosed that he would have an interest in the second defendant when he agreed to form the second defendant as per the above. Alternatively, the duty to disclose did not arise as the plaintiff … and other employees from the project finance office had knowledge … of the first defendant’s interest (potential and actual) in the second defendant).</w:t>
      </w:r>
      <w:r w:rsidR="00F72D70">
        <w:rPr>
          <w:sz w:val="22"/>
          <w:szCs w:val="22"/>
          <w:lang w:val="en-GB"/>
        </w:rPr>
        <w:t>’</w:t>
      </w:r>
    </w:p>
    <w:p w14:paraId="314AECFE" w14:textId="77777777" w:rsidR="00F01E37" w:rsidRPr="00F01E37" w:rsidRDefault="00F01E37" w:rsidP="00F01E37">
      <w:pPr>
        <w:pStyle w:val="ListParagraph"/>
        <w:autoSpaceDE w:val="0"/>
        <w:autoSpaceDN w:val="0"/>
        <w:adjustRightInd w:val="0"/>
        <w:ind w:left="0"/>
        <w:jc w:val="both"/>
        <w:rPr>
          <w:sz w:val="22"/>
          <w:szCs w:val="22"/>
          <w:lang w:val="en-GB"/>
        </w:rPr>
      </w:pPr>
    </w:p>
    <w:p w14:paraId="5F8A9778" w14:textId="2AF3BE15" w:rsidR="00F01E37" w:rsidRPr="00FF49D0" w:rsidRDefault="00FF49D0" w:rsidP="00FF49D0">
      <w:pPr>
        <w:autoSpaceDE w:val="0"/>
        <w:autoSpaceDN w:val="0"/>
        <w:adjustRightInd w:val="0"/>
        <w:jc w:val="both"/>
        <w:rPr>
          <w:lang w:val="en-GB"/>
        </w:rPr>
      </w:pPr>
      <w:r>
        <w:rPr>
          <w:lang w:val="en-GB"/>
        </w:rPr>
        <w:t>[31]</w:t>
      </w:r>
      <w:r>
        <w:rPr>
          <w:lang w:val="en-GB"/>
        </w:rPr>
        <w:tab/>
      </w:r>
      <w:r w:rsidR="00C07DBC" w:rsidRPr="00FF49D0">
        <w:rPr>
          <w:lang w:val="en-GB"/>
        </w:rPr>
        <w:t>Two grounds of objection are raised</w:t>
      </w:r>
      <w:r w:rsidR="00FD3E1B" w:rsidRPr="00FF49D0">
        <w:rPr>
          <w:lang w:val="en-GB"/>
        </w:rPr>
        <w:t>. Firstly:</w:t>
      </w:r>
    </w:p>
    <w:p w14:paraId="4BCF0DBF" w14:textId="614F3812" w:rsidR="00C07DBC" w:rsidRDefault="00C07DBC" w:rsidP="00C07DBC">
      <w:pPr>
        <w:pStyle w:val="ListParagraph"/>
        <w:autoSpaceDE w:val="0"/>
        <w:autoSpaceDN w:val="0"/>
        <w:adjustRightInd w:val="0"/>
        <w:ind w:left="0"/>
        <w:jc w:val="both"/>
        <w:rPr>
          <w:lang w:val="en-GB"/>
        </w:rPr>
      </w:pPr>
    </w:p>
    <w:p w14:paraId="3726E2A8" w14:textId="6B2813BE" w:rsidR="00C07DBC" w:rsidRDefault="00C07DBC" w:rsidP="00C07DBC">
      <w:pPr>
        <w:pStyle w:val="ListParagraph"/>
        <w:autoSpaceDE w:val="0"/>
        <w:autoSpaceDN w:val="0"/>
        <w:adjustRightInd w:val="0"/>
        <w:ind w:left="0"/>
        <w:jc w:val="both"/>
        <w:rPr>
          <w:sz w:val="22"/>
          <w:szCs w:val="22"/>
          <w:lang w:val="en-GB"/>
        </w:rPr>
      </w:pPr>
      <w:r>
        <w:rPr>
          <w:sz w:val="22"/>
          <w:szCs w:val="22"/>
          <w:lang w:val="en-GB"/>
        </w:rPr>
        <w:t>‘8.3.9</w:t>
      </w:r>
      <w:r>
        <w:rPr>
          <w:sz w:val="22"/>
          <w:szCs w:val="22"/>
          <w:lang w:val="en-GB"/>
        </w:rPr>
        <w:tab/>
        <w:t>However, the defendant</w:t>
      </w:r>
      <w:r w:rsidR="008454B2">
        <w:rPr>
          <w:sz w:val="22"/>
          <w:szCs w:val="22"/>
          <w:lang w:val="en-GB"/>
        </w:rPr>
        <w:t>s</w:t>
      </w:r>
      <w:r>
        <w:rPr>
          <w:sz w:val="22"/>
          <w:szCs w:val="22"/>
          <w:lang w:val="en-GB"/>
        </w:rPr>
        <w:t xml:space="preserve"> have failed to plead in terms that post incorporation of the second defendant, the first defendant advise any one or more of the persons listed … that he was and is a director of the second defendant, and if so, on what date, where and in what form he did so (written or oral).</w:t>
      </w:r>
    </w:p>
    <w:p w14:paraId="73E359DD" w14:textId="73FB7762" w:rsidR="00B76A96" w:rsidRDefault="00B76A96" w:rsidP="00C07DBC">
      <w:pPr>
        <w:pStyle w:val="ListParagraph"/>
        <w:autoSpaceDE w:val="0"/>
        <w:autoSpaceDN w:val="0"/>
        <w:adjustRightInd w:val="0"/>
        <w:ind w:left="0"/>
        <w:jc w:val="both"/>
        <w:rPr>
          <w:sz w:val="22"/>
          <w:szCs w:val="22"/>
          <w:lang w:val="en-GB"/>
        </w:rPr>
      </w:pPr>
    </w:p>
    <w:p w14:paraId="111FCD6F" w14:textId="3CCD69DE" w:rsidR="00B76A96" w:rsidRDefault="00B76A96" w:rsidP="00C07DBC">
      <w:pPr>
        <w:pStyle w:val="ListParagraph"/>
        <w:autoSpaceDE w:val="0"/>
        <w:autoSpaceDN w:val="0"/>
        <w:adjustRightInd w:val="0"/>
        <w:ind w:left="0"/>
        <w:jc w:val="both"/>
        <w:rPr>
          <w:sz w:val="22"/>
          <w:szCs w:val="22"/>
          <w:lang w:val="en-GB"/>
        </w:rPr>
      </w:pPr>
      <w:r>
        <w:rPr>
          <w:sz w:val="22"/>
          <w:szCs w:val="22"/>
          <w:lang w:val="en-GB"/>
        </w:rPr>
        <w:lastRenderedPageBreak/>
        <w:t>8.3.10</w:t>
      </w:r>
      <w:r>
        <w:rPr>
          <w:sz w:val="22"/>
          <w:szCs w:val="22"/>
          <w:lang w:val="en-GB"/>
        </w:rPr>
        <w:tab/>
        <w:t>In short, the defendants have failed to allege any facts to show that the first defendant discharged the positive duty upon him …’</w:t>
      </w:r>
    </w:p>
    <w:p w14:paraId="29BAB2BD" w14:textId="77777777" w:rsidR="00C07DBC" w:rsidRPr="00C07DBC" w:rsidRDefault="00C07DBC" w:rsidP="00C07DBC">
      <w:pPr>
        <w:pStyle w:val="ListParagraph"/>
        <w:autoSpaceDE w:val="0"/>
        <w:autoSpaceDN w:val="0"/>
        <w:adjustRightInd w:val="0"/>
        <w:ind w:left="0"/>
        <w:jc w:val="both"/>
        <w:rPr>
          <w:sz w:val="22"/>
          <w:szCs w:val="22"/>
          <w:lang w:val="en-GB"/>
        </w:rPr>
      </w:pPr>
    </w:p>
    <w:p w14:paraId="54763E04" w14:textId="48196FC2" w:rsidR="00C07DBC" w:rsidRPr="00FF49D0" w:rsidRDefault="00FF49D0" w:rsidP="00FF49D0">
      <w:pPr>
        <w:autoSpaceDE w:val="0"/>
        <w:autoSpaceDN w:val="0"/>
        <w:adjustRightInd w:val="0"/>
        <w:jc w:val="both"/>
        <w:rPr>
          <w:lang w:val="en-GB"/>
        </w:rPr>
      </w:pPr>
      <w:r>
        <w:rPr>
          <w:lang w:val="en-GB"/>
        </w:rPr>
        <w:t>[32]</w:t>
      </w:r>
      <w:r>
        <w:rPr>
          <w:lang w:val="en-GB"/>
        </w:rPr>
        <w:tab/>
      </w:r>
      <w:r w:rsidR="00326536" w:rsidRPr="00FF49D0">
        <w:rPr>
          <w:lang w:val="en-GB"/>
        </w:rPr>
        <w:t>The objection is directed to a failure to allege a disclosure of interest after incorporation of CSRI</w:t>
      </w:r>
      <w:r w:rsidR="00F839EA" w:rsidRPr="00FF49D0">
        <w:rPr>
          <w:lang w:val="en-GB"/>
        </w:rPr>
        <w:t xml:space="preserve">. There is no objection, seemingly, to the </w:t>
      </w:r>
      <w:r w:rsidR="009E1CC3" w:rsidRPr="00FF49D0">
        <w:rPr>
          <w:lang w:val="en-GB"/>
        </w:rPr>
        <w:t>amendment alleging</w:t>
      </w:r>
      <w:r w:rsidR="00F839EA" w:rsidRPr="00FF49D0">
        <w:rPr>
          <w:lang w:val="en-GB"/>
        </w:rPr>
        <w:t xml:space="preserve"> that pre-incorporation disclosure occurred. </w:t>
      </w:r>
      <w:r w:rsidR="00652E56" w:rsidRPr="00FF49D0">
        <w:rPr>
          <w:lang w:val="en-GB"/>
        </w:rPr>
        <w:t xml:space="preserve">The objection appears to overlook </w:t>
      </w:r>
      <w:r w:rsidR="00636095" w:rsidRPr="00FF49D0">
        <w:rPr>
          <w:lang w:val="en-GB"/>
        </w:rPr>
        <w:t xml:space="preserve">the averments as to the 2010 oral arrangements involving senior personnel and the allegation that </w:t>
      </w:r>
      <w:r w:rsidR="0013208A" w:rsidRPr="00FF49D0">
        <w:rPr>
          <w:lang w:val="en-GB"/>
        </w:rPr>
        <w:t>the Vice Chancellor, chief financial officer, project finance manager and other employees from the project finance office knew of these arrangements</w:t>
      </w:r>
      <w:r w:rsidR="00A86322" w:rsidRPr="00FF49D0">
        <w:rPr>
          <w:lang w:val="en-GB"/>
        </w:rPr>
        <w:t xml:space="preserve"> so that ‘…the plaintiff acquired knowledge that the first defendant would pre-incorporation of the second defendant be a director of the latter </w:t>
      </w:r>
      <w:r w:rsidR="00A86322" w:rsidRPr="00FF49D0">
        <w:rPr>
          <w:i/>
          <w:iCs/>
          <w:lang w:val="en-GB"/>
        </w:rPr>
        <w:t>and was a director of second respondent post incorporation</w:t>
      </w:r>
      <w:r w:rsidR="00A86322" w:rsidRPr="00FF49D0">
        <w:rPr>
          <w:lang w:val="en-GB"/>
        </w:rPr>
        <w:t>’.</w:t>
      </w:r>
    </w:p>
    <w:p w14:paraId="6FD020E8" w14:textId="77777777" w:rsidR="002A57A8" w:rsidRDefault="002A57A8" w:rsidP="002A57A8">
      <w:pPr>
        <w:pStyle w:val="ListParagraph"/>
        <w:autoSpaceDE w:val="0"/>
        <w:autoSpaceDN w:val="0"/>
        <w:adjustRightInd w:val="0"/>
        <w:ind w:left="0"/>
        <w:jc w:val="both"/>
        <w:rPr>
          <w:lang w:val="en-GB"/>
        </w:rPr>
      </w:pPr>
    </w:p>
    <w:p w14:paraId="02770C0F" w14:textId="0323F4C9" w:rsidR="002A57A8" w:rsidRPr="00FF49D0" w:rsidRDefault="00FF49D0" w:rsidP="00FF49D0">
      <w:pPr>
        <w:autoSpaceDE w:val="0"/>
        <w:autoSpaceDN w:val="0"/>
        <w:adjustRightInd w:val="0"/>
        <w:jc w:val="both"/>
        <w:rPr>
          <w:lang w:val="en-GB"/>
        </w:rPr>
      </w:pPr>
      <w:r>
        <w:rPr>
          <w:lang w:val="en-GB"/>
        </w:rPr>
        <w:t>[33]</w:t>
      </w:r>
      <w:r>
        <w:rPr>
          <w:lang w:val="en-GB"/>
        </w:rPr>
        <w:tab/>
      </w:r>
      <w:r w:rsidR="002A57A8" w:rsidRPr="00FF49D0">
        <w:rPr>
          <w:lang w:val="en-GB"/>
        </w:rPr>
        <w:t xml:space="preserve">I agree with </w:t>
      </w:r>
      <w:r w:rsidR="002A57A8" w:rsidRPr="00FF49D0">
        <w:rPr>
          <w:i/>
          <w:iCs/>
          <w:lang w:val="en-GB"/>
        </w:rPr>
        <w:t>Mr Mabuza</w:t>
      </w:r>
      <w:r w:rsidR="002A57A8" w:rsidRPr="00FF49D0">
        <w:rPr>
          <w:lang w:val="en-GB"/>
        </w:rPr>
        <w:t xml:space="preserve"> that upholding the objection would place form over substance</w:t>
      </w:r>
      <w:r w:rsidR="004A2F6B" w:rsidRPr="00FF49D0">
        <w:rPr>
          <w:lang w:val="en-GB"/>
        </w:rPr>
        <w:t xml:space="preserve"> and that, even if the time of disclosure is at issue, a triable issue has been raised.</w:t>
      </w:r>
      <w:r w:rsidR="000374F1" w:rsidRPr="00FF49D0">
        <w:rPr>
          <w:lang w:val="en-GB"/>
        </w:rPr>
        <w:t xml:space="preserve"> Absent any prejudice to the plaintiff, the objection </w:t>
      </w:r>
      <w:r w:rsidR="00AC4867" w:rsidRPr="00FF49D0">
        <w:rPr>
          <w:lang w:val="en-GB"/>
        </w:rPr>
        <w:t>fails.</w:t>
      </w:r>
    </w:p>
    <w:p w14:paraId="6D3A91BD" w14:textId="77777777" w:rsidR="002302D8" w:rsidRPr="002302D8" w:rsidRDefault="002302D8" w:rsidP="002302D8">
      <w:pPr>
        <w:pStyle w:val="ListParagraph"/>
        <w:rPr>
          <w:lang w:val="en-GB"/>
        </w:rPr>
      </w:pPr>
    </w:p>
    <w:p w14:paraId="08562E4A" w14:textId="754AF299" w:rsidR="002302D8" w:rsidRPr="00FF49D0" w:rsidRDefault="00FF49D0" w:rsidP="00FF49D0">
      <w:pPr>
        <w:autoSpaceDE w:val="0"/>
        <w:autoSpaceDN w:val="0"/>
        <w:adjustRightInd w:val="0"/>
        <w:jc w:val="both"/>
        <w:rPr>
          <w:lang w:val="en-GB"/>
        </w:rPr>
      </w:pPr>
      <w:r>
        <w:rPr>
          <w:lang w:val="en-GB"/>
        </w:rPr>
        <w:t>[34]</w:t>
      </w:r>
      <w:r>
        <w:rPr>
          <w:lang w:val="en-GB"/>
        </w:rPr>
        <w:tab/>
      </w:r>
      <w:r w:rsidR="00D66AD8" w:rsidRPr="00FF49D0">
        <w:rPr>
          <w:lang w:val="en-GB"/>
        </w:rPr>
        <w:t>The second objection claims inconsistency between paragraph 46 of the proposed amended plea, on the one hand, and paragraphs 47 to 50, on the other</w:t>
      </w:r>
      <w:r w:rsidR="00011F5C" w:rsidRPr="00FF49D0">
        <w:rPr>
          <w:lang w:val="en-GB"/>
        </w:rPr>
        <w:t>, so that the amendment occasions embarrassment</w:t>
      </w:r>
      <w:r w:rsidR="00867F80" w:rsidRPr="00FF49D0">
        <w:rPr>
          <w:lang w:val="en-GB"/>
        </w:rPr>
        <w:t xml:space="preserve">. </w:t>
      </w:r>
      <w:r w:rsidR="00BE10B5" w:rsidRPr="00FF49D0">
        <w:rPr>
          <w:lang w:val="en-GB"/>
        </w:rPr>
        <w:t>In paragraph 46, the defendants aver that they have no knowledge of the plaintiff’s allegation that it only became aware of the first defendant’s interest in CSRI on or about 1 December 2020.</w:t>
      </w:r>
      <w:r w:rsidR="00D079B1" w:rsidRPr="00FF49D0">
        <w:rPr>
          <w:lang w:val="en-GB"/>
        </w:rPr>
        <w:t xml:space="preserve"> That allegation is accordingly not admitted. There is no inconsistency </w:t>
      </w:r>
      <w:r w:rsidR="002122B1" w:rsidRPr="00FF49D0">
        <w:rPr>
          <w:lang w:val="en-GB"/>
        </w:rPr>
        <w:t xml:space="preserve">between that position and the defendants </w:t>
      </w:r>
      <w:r w:rsidR="00FB41FB" w:rsidRPr="00FF49D0">
        <w:rPr>
          <w:lang w:val="en-GB"/>
        </w:rPr>
        <w:t xml:space="preserve">amended plea that the plaintiff, through its employees, had knowledge of the interest </w:t>
      </w:r>
      <w:r w:rsidR="004A2500" w:rsidRPr="00FF49D0">
        <w:rPr>
          <w:lang w:val="en-GB"/>
        </w:rPr>
        <w:t>much sooner (</w:t>
      </w:r>
      <w:r w:rsidR="00FB41FB" w:rsidRPr="00FF49D0">
        <w:rPr>
          <w:lang w:val="en-GB"/>
        </w:rPr>
        <w:t>2010 to 2016</w:t>
      </w:r>
      <w:r w:rsidR="004A2500" w:rsidRPr="00FF49D0">
        <w:rPr>
          <w:lang w:val="en-GB"/>
        </w:rPr>
        <w:t>)</w:t>
      </w:r>
      <w:r w:rsidR="00FB41FB" w:rsidRPr="00FF49D0">
        <w:rPr>
          <w:lang w:val="en-GB"/>
        </w:rPr>
        <w:t>.</w:t>
      </w:r>
      <w:r w:rsidR="00626DB9" w:rsidRPr="00FF49D0">
        <w:rPr>
          <w:lang w:val="en-GB"/>
        </w:rPr>
        <w:t xml:space="preserve"> The objection is without merit and the proposed amendment</w:t>
      </w:r>
      <w:r w:rsidR="00AD4AC4" w:rsidRPr="00FF49D0">
        <w:rPr>
          <w:lang w:val="en-GB"/>
        </w:rPr>
        <w:t>s</w:t>
      </w:r>
      <w:r w:rsidR="00626DB9" w:rsidRPr="00FF49D0">
        <w:rPr>
          <w:lang w:val="en-GB"/>
        </w:rPr>
        <w:t xml:space="preserve"> </w:t>
      </w:r>
      <w:r w:rsidR="00AD4AC4" w:rsidRPr="00FF49D0">
        <w:rPr>
          <w:lang w:val="en-GB"/>
        </w:rPr>
        <w:t>are</w:t>
      </w:r>
      <w:r w:rsidR="00626DB9" w:rsidRPr="00FF49D0">
        <w:rPr>
          <w:lang w:val="en-GB"/>
        </w:rPr>
        <w:t xml:space="preserve"> allowed.</w:t>
      </w:r>
    </w:p>
    <w:p w14:paraId="4788AEC9" w14:textId="7EF3278F" w:rsidR="00F90341" w:rsidRDefault="00F90341" w:rsidP="00F90341">
      <w:pPr>
        <w:rPr>
          <w:lang w:val="en-GB"/>
        </w:rPr>
      </w:pPr>
    </w:p>
    <w:p w14:paraId="51419687" w14:textId="4D9932FD" w:rsidR="00F90341" w:rsidRDefault="00F90341" w:rsidP="00F90341">
      <w:pPr>
        <w:rPr>
          <w:i/>
          <w:iCs/>
          <w:lang w:val="en-GB"/>
        </w:rPr>
      </w:pPr>
      <w:r>
        <w:rPr>
          <w:i/>
          <w:iCs/>
          <w:lang w:val="en-GB"/>
        </w:rPr>
        <w:t>Paragraph 51</w:t>
      </w:r>
    </w:p>
    <w:p w14:paraId="0945F971" w14:textId="77777777" w:rsidR="00F90341" w:rsidRPr="00F90341" w:rsidRDefault="00F90341" w:rsidP="00F90341">
      <w:pPr>
        <w:rPr>
          <w:i/>
          <w:iCs/>
          <w:lang w:val="en-GB"/>
        </w:rPr>
      </w:pPr>
    </w:p>
    <w:p w14:paraId="0E00960A" w14:textId="033DF60D" w:rsidR="00F90341" w:rsidRPr="00FF49D0" w:rsidRDefault="00FF49D0" w:rsidP="00FF49D0">
      <w:pPr>
        <w:autoSpaceDE w:val="0"/>
        <w:autoSpaceDN w:val="0"/>
        <w:adjustRightInd w:val="0"/>
        <w:jc w:val="both"/>
        <w:rPr>
          <w:lang w:val="en-GB"/>
        </w:rPr>
      </w:pPr>
      <w:r>
        <w:rPr>
          <w:lang w:val="en-GB"/>
        </w:rPr>
        <w:t>[35]</w:t>
      </w:r>
      <w:r>
        <w:rPr>
          <w:lang w:val="en-GB"/>
        </w:rPr>
        <w:tab/>
      </w:r>
      <w:r w:rsidR="006E5FD3" w:rsidRPr="00FF49D0">
        <w:rPr>
          <w:lang w:val="en-GB"/>
        </w:rPr>
        <w:t>The plaintiff details the first defendant’s alleged misconduct in paragraph 19.2 of the particulars of claim, on the basis that the first defendant caused the CSRI to contract with the plaintiff</w:t>
      </w:r>
      <w:r w:rsidR="0026551E" w:rsidRPr="00FF49D0">
        <w:rPr>
          <w:lang w:val="en-GB"/>
        </w:rPr>
        <w:t>, inter alia,</w:t>
      </w:r>
      <w:r w:rsidR="006E5FD3" w:rsidRPr="00FF49D0">
        <w:rPr>
          <w:lang w:val="en-GB"/>
        </w:rPr>
        <w:t xml:space="preserve"> by falsifying quotations from fictional entities and abusing his position of authority.</w:t>
      </w:r>
      <w:r w:rsidR="00D3798B" w:rsidRPr="00FF49D0">
        <w:rPr>
          <w:lang w:val="en-GB"/>
        </w:rPr>
        <w:t xml:space="preserve"> </w:t>
      </w:r>
      <w:r w:rsidR="007D5F08" w:rsidRPr="00FF49D0">
        <w:rPr>
          <w:lang w:val="en-GB"/>
        </w:rPr>
        <w:t>The defendants seek to amend their plea to this as follows:</w:t>
      </w:r>
    </w:p>
    <w:p w14:paraId="2698AE37" w14:textId="4A602C8D" w:rsidR="007D5F08" w:rsidRDefault="007D5F08" w:rsidP="007D5F08">
      <w:pPr>
        <w:pStyle w:val="ListParagraph"/>
        <w:autoSpaceDE w:val="0"/>
        <w:autoSpaceDN w:val="0"/>
        <w:adjustRightInd w:val="0"/>
        <w:ind w:left="0"/>
        <w:jc w:val="both"/>
        <w:rPr>
          <w:lang w:val="en-GB"/>
        </w:rPr>
      </w:pPr>
    </w:p>
    <w:p w14:paraId="6699FC61" w14:textId="401F3FAD" w:rsidR="007D5F08" w:rsidRDefault="007D5F08" w:rsidP="007D5F08">
      <w:pPr>
        <w:pStyle w:val="ListParagraph"/>
        <w:autoSpaceDE w:val="0"/>
        <w:autoSpaceDN w:val="0"/>
        <w:adjustRightInd w:val="0"/>
        <w:ind w:left="0"/>
        <w:jc w:val="both"/>
        <w:rPr>
          <w:sz w:val="22"/>
          <w:szCs w:val="22"/>
          <w:lang w:val="en-GB"/>
        </w:rPr>
      </w:pPr>
      <w:r>
        <w:rPr>
          <w:sz w:val="22"/>
          <w:szCs w:val="22"/>
          <w:lang w:val="en-GB"/>
        </w:rPr>
        <w:t>‘Save to admit that the plaintiff contracted with the second defendant on several occasions to perform work for it relating to externally funded projects that had been secured on behalf of the plaintiff. The rest of the allegations in these paragraphs are denied.’</w:t>
      </w:r>
    </w:p>
    <w:p w14:paraId="09DAABA3" w14:textId="77777777" w:rsidR="00574AB8" w:rsidRPr="007D5F08" w:rsidRDefault="00574AB8" w:rsidP="007D5F08">
      <w:pPr>
        <w:pStyle w:val="ListParagraph"/>
        <w:autoSpaceDE w:val="0"/>
        <w:autoSpaceDN w:val="0"/>
        <w:adjustRightInd w:val="0"/>
        <w:ind w:left="0"/>
        <w:jc w:val="both"/>
        <w:rPr>
          <w:sz w:val="22"/>
          <w:szCs w:val="22"/>
          <w:lang w:val="en-GB"/>
        </w:rPr>
      </w:pPr>
    </w:p>
    <w:p w14:paraId="4B97550E" w14:textId="7967B8BF" w:rsidR="007D5F08" w:rsidRPr="00FF49D0" w:rsidRDefault="00FF49D0" w:rsidP="00FF49D0">
      <w:pPr>
        <w:autoSpaceDE w:val="0"/>
        <w:autoSpaceDN w:val="0"/>
        <w:adjustRightInd w:val="0"/>
        <w:jc w:val="both"/>
        <w:rPr>
          <w:lang w:val="en-GB"/>
        </w:rPr>
      </w:pPr>
      <w:r>
        <w:rPr>
          <w:lang w:val="en-GB"/>
        </w:rPr>
        <w:t>[36]</w:t>
      </w:r>
      <w:r>
        <w:rPr>
          <w:lang w:val="en-GB"/>
        </w:rPr>
        <w:tab/>
      </w:r>
      <w:r w:rsidR="00214837" w:rsidRPr="00FF49D0">
        <w:rPr>
          <w:lang w:val="en-GB"/>
        </w:rPr>
        <w:t xml:space="preserve">The crux of the objection is that, in effect, the first admits participation in contracts awarded by the plaintiff to CSRI, and thereby breach of a material term of the contract of employment. </w:t>
      </w:r>
      <w:r w:rsidR="006B6707" w:rsidRPr="00FF49D0">
        <w:rPr>
          <w:lang w:val="en-GB"/>
        </w:rPr>
        <w:t xml:space="preserve">That </w:t>
      </w:r>
      <w:r w:rsidR="006C6908" w:rsidRPr="00FF49D0">
        <w:rPr>
          <w:lang w:val="en-GB"/>
        </w:rPr>
        <w:t>argument is premised on an erroneous reading of the proposed amended plea</w:t>
      </w:r>
      <w:r w:rsidR="001D1079" w:rsidRPr="00FF49D0">
        <w:rPr>
          <w:lang w:val="en-GB"/>
        </w:rPr>
        <w:t xml:space="preserve">, which does not amount to an admission that the first defendant participated in contracts awarded by the plaintiff to the CSRI. </w:t>
      </w:r>
    </w:p>
    <w:p w14:paraId="7E7AB45F" w14:textId="77777777" w:rsidR="006532AA" w:rsidRDefault="006532AA" w:rsidP="006532AA">
      <w:pPr>
        <w:pStyle w:val="ListParagraph"/>
        <w:autoSpaceDE w:val="0"/>
        <w:autoSpaceDN w:val="0"/>
        <w:adjustRightInd w:val="0"/>
        <w:ind w:left="0"/>
        <w:jc w:val="both"/>
        <w:rPr>
          <w:lang w:val="en-GB"/>
        </w:rPr>
      </w:pPr>
    </w:p>
    <w:p w14:paraId="5C000D34" w14:textId="796CCE8A" w:rsidR="006532AA" w:rsidRPr="00FF49D0" w:rsidRDefault="00FF49D0" w:rsidP="00FF49D0">
      <w:pPr>
        <w:autoSpaceDE w:val="0"/>
        <w:autoSpaceDN w:val="0"/>
        <w:adjustRightInd w:val="0"/>
        <w:jc w:val="both"/>
        <w:rPr>
          <w:lang w:val="en-GB"/>
        </w:rPr>
      </w:pPr>
      <w:r>
        <w:rPr>
          <w:lang w:val="en-GB"/>
        </w:rPr>
        <w:t>[37]</w:t>
      </w:r>
      <w:r>
        <w:rPr>
          <w:lang w:val="en-GB"/>
        </w:rPr>
        <w:tab/>
      </w:r>
      <w:r w:rsidR="006532AA" w:rsidRPr="00FF49D0">
        <w:rPr>
          <w:lang w:val="en-GB"/>
        </w:rPr>
        <w:t>An added basis for objection is that the defendants fail to allege any facts demonstrating that the first defendant discharged the positive duty to disclose his interest in any contract to be awarded by the plaintiff to the CSRI.</w:t>
      </w:r>
      <w:r w:rsidR="00A021F0" w:rsidRPr="00FF49D0">
        <w:rPr>
          <w:lang w:val="en-GB"/>
        </w:rPr>
        <w:t xml:space="preserve"> The difficulty with this objection is that the related paragraphs of the particulars of claim do not </w:t>
      </w:r>
      <w:r w:rsidR="00003462" w:rsidRPr="00FF49D0">
        <w:rPr>
          <w:lang w:val="en-GB"/>
        </w:rPr>
        <w:t xml:space="preserve">address the first defendant’s positive duty to disclose. That was dealt with in paragraph 19.1 of the particulars of claim and </w:t>
      </w:r>
      <w:r w:rsidR="00E16EAF" w:rsidRPr="00FF49D0">
        <w:rPr>
          <w:lang w:val="en-GB"/>
        </w:rPr>
        <w:t xml:space="preserve">has been </w:t>
      </w:r>
      <w:r w:rsidR="00387EAF" w:rsidRPr="00FF49D0">
        <w:rPr>
          <w:lang w:val="en-GB"/>
        </w:rPr>
        <w:t>pleaded to separately</w:t>
      </w:r>
      <w:r w:rsidR="00E16EAF" w:rsidRPr="00FF49D0">
        <w:rPr>
          <w:lang w:val="en-GB"/>
        </w:rPr>
        <w:t>.</w:t>
      </w:r>
      <w:r w:rsidR="00D224BC" w:rsidRPr="00FF49D0">
        <w:rPr>
          <w:lang w:val="en-GB"/>
        </w:rPr>
        <w:t xml:space="preserve"> </w:t>
      </w:r>
      <w:r w:rsidR="00D9201F" w:rsidRPr="00FF49D0">
        <w:rPr>
          <w:lang w:val="en-GB"/>
        </w:rPr>
        <w:t xml:space="preserve">It is unclear why the defendants should nonetheless have added reference to this in pleading to paragraph 19.2. </w:t>
      </w:r>
      <w:r w:rsidR="00BC6F90" w:rsidRPr="00FF49D0">
        <w:rPr>
          <w:lang w:val="en-GB"/>
        </w:rPr>
        <w:t>The amendment is accordingly allowed.</w:t>
      </w:r>
      <w:r w:rsidR="00F2041D" w:rsidRPr="00FF49D0">
        <w:rPr>
          <w:lang w:val="en-GB"/>
        </w:rPr>
        <w:t xml:space="preserve"> </w:t>
      </w:r>
      <w:r w:rsidR="004269D1" w:rsidRPr="00FF49D0">
        <w:rPr>
          <w:lang w:val="en-GB"/>
        </w:rPr>
        <w:t xml:space="preserve"> </w:t>
      </w:r>
    </w:p>
    <w:p w14:paraId="783DAB8A" w14:textId="31FABE54" w:rsidR="00752908" w:rsidRDefault="00752908" w:rsidP="002C6751">
      <w:pPr>
        <w:rPr>
          <w:lang w:val="en-GB"/>
        </w:rPr>
      </w:pPr>
    </w:p>
    <w:p w14:paraId="7B6469D7" w14:textId="374845B9" w:rsidR="002C6751" w:rsidRDefault="002C6751" w:rsidP="002C6751">
      <w:pPr>
        <w:rPr>
          <w:i/>
          <w:iCs/>
          <w:lang w:val="en-GB"/>
        </w:rPr>
      </w:pPr>
      <w:r>
        <w:rPr>
          <w:i/>
          <w:iCs/>
          <w:lang w:val="en-GB"/>
        </w:rPr>
        <w:t>Paragraph 52</w:t>
      </w:r>
    </w:p>
    <w:p w14:paraId="6AA79595" w14:textId="77777777" w:rsidR="002C6751" w:rsidRPr="002C6751" w:rsidRDefault="002C6751" w:rsidP="002C6751">
      <w:pPr>
        <w:rPr>
          <w:i/>
          <w:iCs/>
          <w:lang w:val="en-GB"/>
        </w:rPr>
      </w:pPr>
    </w:p>
    <w:p w14:paraId="21C40698" w14:textId="32F317A8" w:rsidR="00752908" w:rsidRPr="00FF49D0" w:rsidRDefault="00FF49D0" w:rsidP="00FF49D0">
      <w:pPr>
        <w:autoSpaceDE w:val="0"/>
        <w:autoSpaceDN w:val="0"/>
        <w:adjustRightInd w:val="0"/>
        <w:jc w:val="both"/>
        <w:rPr>
          <w:lang w:val="en-GB"/>
        </w:rPr>
      </w:pPr>
      <w:r>
        <w:rPr>
          <w:lang w:val="en-GB"/>
        </w:rPr>
        <w:t>[38]</w:t>
      </w:r>
      <w:r>
        <w:rPr>
          <w:lang w:val="en-GB"/>
        </w:rPr>
        <w:tab/>
      </w:r>
      <w:r w:rsidR="0021027A" w:rsidRPr="00FF49D0">
        <w:rPr>
          <w:lang w:val="en-GB"/>
        </w:rPr>
        <w:t xml:space="preserve">The proposed amendment denies that the first defendant received payment on behalf of CSRI of invoices paid by the plaintiff to </w:t>
      </w:r>
      <w:r w:rsidR="000B4890" w:rsidRPr="00FF49D0">
        <w:rPr>
          <w:lang w:val="en-GB"/>
        </w:rPr>
        <w:t>its business banking account</w:t>
      </w:r>
      <w:r w:rsidR="00AB07B4" w:rsidRPr="00FF49D0">
        <w:rPr>
          <w:lang w:val="en-GB"/>
        </w:rPr>
        <w:t>, to which the first defendant is the registered authorised representative.</w:t>
      </w:r>
      <w:r w:rsidR="00B36CE8" w:rsidRPr="00FF49D0">
        <w:rPr>
          <w:lang w:val="en-GB"/>
        </w:rPr>
        <w:t xml:space="preserve"> The plaintiff objects on the basis that this amounts to a bald denial that contradicts a subsequent admission that CSRI received approximately R4,7 million as payment for invoices for the 2013, 2014 and 2015 financial years</w:t>
      </w:r>
      <w:r w:rsidR="00EF2A03" w:rsidRPr="00FF49D0">
        <w:rPr>
          <w:lang w:val="en-GB"/>
        </w:rPr>
        <w:t xml:space="preserve">, and that </w:t>
      </w:r>
      <w:r w:rsidR="00431312" w:rsidRPr="00FF49D0">
        <w:rPr>
          <w:lang w:val="en-GB"/>
        </w:rPr>
        <w:t>the proposed plea avoids the point of substance</w:t>
      </w:r>
      <w:r w:rsidR="00DB104B" w:rsidRPr="00FF49D0">
        <w:rPr>
          <w:lang w:val="en-GB"/>
        </w:rPr>
        <w:t xml:space="preserve"> and contravenes Uniform Rule 18(5).</w:t>
      </w:r>
    </w:p>
    <w:p w14:paraId="25B92339" w14:textId="77777777" w:rsidR="00D65582" w:rsidRDefault="00D65582" w:rsidP="00D65582">
      <w:pPr>
        <w:pStyle w:val="ListParagraph"/>
        <w:autoSpaceDE w:val="0"/>
        <w:autoSpaceDN w:val="0"/>
        <w:adjustRightInd w:val="0"/>
        <w:ind w:left="0"/>
        <w:jc w:val="both"/>
        <w:rPr>
          <w:lang w:val="en-GB"/>
        </w:rPr>
      </w:pPr>
    </w:p>
    <w:p w14:paraId="3A2F59A8" w14:textId="728E65D3" w:rsidR="00D65582" w:rsidRPr="00FF49D0" w:rsidRDefault="00FF49D0" w:rsidP="00FF49D0">
      <w:pPr>
        <w:autoSpaceDE w:val="0"/>
        <w:autoSpaceDN w:val="0"/>
        <w:adjustRightInd w:val="0"/>
        <w:jc w:val="both"/>
        <w:rPr>
          <w:lang w:val="en-GB"/>
        </w:rPr>
      </w:pPr>
      <w:r>
        <w:rPr>
          <w:lang w:val="en-GB"/>
        </w:rPr>
        <w:t>[39]</w:t>
      </w:r>
      <w:r>
        <w:rPr>
          <w:lang w:val="en-GB"/>
        </w:rPr>
        <w:tab/>
      </w:r>
      <w:r w:rsidR="00D65582" w:rsidRPr="00FF49D0">
        <w:rPr>
          <w:lang w:val="en-GB"/>
        </w:rPr>
        <w:t>I disagree.</w:t>
      </w:r>
      <w:r w:rsidR="00AE15A2" w:rsidRPr="00FF49D0">
        <w:rPr>
          <w:lang w:val="en-GB"/>
        </w:rPr>
        <w:t xml:space="preserve"> T</w:t>
      </w:r>
      <w:r w:rsidR="006F1B42" w:rsidRPr="00FF49D0">
        <w:rPr>
          <w:lang w:val="en-GB"/>
        </w:rPr>
        <w:t xml:space="preserve">he defendants have unequivocally denied both allegations pleaded by the plaintiff </w:t>
      </w:r>
      <w:r w:rsidR="00D2170A" w:rsidRPr="00FF49D0">
        <w:rPr>
          <w:lang w:val="en-GB"/>
        </w:rPr>
        <w:t xml:space="preserve">and put the plaintiff to proof thereof. </w:t>
      </w:r>
      <w:r w:rsidR="00DB54EB" w:rsidRPr="00FF49D0">
        <w:rPr>
          <w:lang w:val="en-GB"/>
        </w:rPr>
        <w:t xml:space="preserve">There is no suggestion of prejudice </w:t>
      </w:r>
      <w:r w:rsidR="00F44ACE" w:rsidRPr="00FF49D0">
        <w:rPr>
          <w:lang w:val="en-GB"/>
        </w:rPr>
        <w:t xml:space="preserve">and any further clarification required may be sought by way of a request for further particulars. </w:t>
      </w:r>
      <w:r w:rsidR="00866F53" w:rsidRPr="00FF49D0">
        <w:rPr>
          <w:lang w:val="en-GB"/>
        </w:rPr>
        <w:t xml:space="preserve">I am also of the view that the denial </w:t>
      </w:r>
      <w:r w:rsidR="005274BA" w:rsidRPr="00FF49D0">
        <w:rPr>
          <w:lang w:val="en-GB"/>
        </w:rPr>
        <w:t xml:space="preserve">does not contradict </w:t>
      </w:r>
      <w:r w:rsidR="00970820" w:rsidRPr="00FF49D0">
        <w:rPr>
          <w:lang w:val="en-GB"/>
        </w:rPr>
        <w:t xml:space="preserve">the subsequent </w:t>
      </w:r>
      <w:r w:rsidR="00970820" w:rsidRPr="00FF49D0">
        <w:rPr>
          <w:lang w:val="en-GB"/>
        </w:rPr>
        <w:lastRenderedPageBreak/>
        <w:t>admission, which relates to receipt of an amount of money by CSRI for services rendered by the first defendant and other third parties including the plaintiff’s employees.</w:t>
      </w:r>
      <w:r w:rsidR="005259C3" w:rsidRPr="00FF49D0">
        <w:rPr>
          <w:lang w:val="en-GB"/>
        </w:rPr>
        <w:t xml:space="preserve"> The proposed amendment is </w:t>
      </w:r>
      <w:r w:rsidR="00121936" w:rsidRPr="00FF49D0">
        <w:rPr>
          <w:lang w:val="en-GB"/>
        </w:rPr>
        <w:t xml:space="preserve">therefore </w:t>
      </w:r>
      <w:r w:rsidR="005259C3" w:rsidRPr="00FF49D0">
        <w:rPr>
          <w:lang w:val="en-GB"/>
        </w:rPr>
        <w:t>allowed.</w:t>
      </w:r>
    </w:p>
    <w:p w14:paraId="6BD981DF" w14:textId="7FD91214" w:rsidR="002E6718" w:rsidRDefault="002E6718" w:rsidP="002E6718">
      <w:pPr>
        <w:rPr>
          <w:lang w:val="en-GB"/>
        </w:rPr>
      </w:pPr>
    </w:p>
    <w:p w14:paraId="45978B44" w14:textId="0C4847F4" w:rsidR="002E6718" w:rsidRDefault="002E6718" w:rsidP="002E6718">
      <w:pPr>
        <w:rPr>
          <w:lang w:val="en-GB"/>
        </w:rPr>
      </w:pPr>
      <w:r>
        <w:rPr>
          <w:i/>
          <w:iCs/>
          <w:lang w:val="en-GB"/>
        </w:rPr>
        <w:t>Paragraph 58</w:t>
      </w:r>
    </w:p>
    <w:p w14:paraId="4BFD036D" w14:textId="77777777" w:rsidR="002E6718" w:rsidRPr="002E6718" w:rsidRDefault="002E6718" w:rsidP="002E6718">
      <w:pPr>
        <w:rPr>
          <w:lang w:val="en-GB"/>
        </w:rPr>
      </w:pPr>
    </w:p>
    <w:p w14:paraId="1414C391" w14:textId="44FF96A9" w:rsidR="00DA6086" w:rsidRPr="00FF49D0" w:rsidRDefault="00FF49D0" w:rsidP="00FF49D0">
      <w:pPr>
        <w:autoSpaceDE w:val="0"/>
        <w:autoSpaceDN w:val="0"/>
        <w:adjustRightInd w:val="0"/>
        <w:jc w:val="both"/>
        <w:rPr>
          <w:lang w:val="en-GB"/>
        </w:rPr>
      </w:pPr>
      <w:r>
        <w:rPr>
          <w:lang w:val="en-GB"/>
        </w:rPr>
        <w:t>[40]</w:t>
      </w:r>
      <w:r>
        <w:rPr>
          <w:lang w:val="en-GB"/>
        </w:rPr>
        <w:tab/>
      </w:r>
      <w:r w:rsidR="00957CB0" w:rsidRPr="00FF49D0">
        <w:rPr>
          <w:lang w:val="en-GB"/>
        </w:rPr>
        <w:t>The defendants admit that all university policies</w:t>
      </w:r>
      <w:r w:rsidR="00FD0646" w:rsidRPr="00FF49D0">
        <w:rPr>
          <w:lang w:val="en-GB"/>
        </w:rPr>
        <w:t>, including the plaintiff’s Supply Chain Management Policy and Procedure,</w:t>
      </w:r>
      <w:r w:rsidR="004A3111" w:rsidRPr="00FF49D0">
        <w:rPr>
          <w:lang w:val="en-GB"/>
        </w:rPr>
        <w:t xml:space="preserve"> </w:t>
      </w:r>
      <w:r w:rsidR="00FD0646" w:rsidRPr="00FF49D0">
        <w:rPr>
          <w:lang w:val="en-GB"/>
        </w:rPr>
        <w:t>are binding upon all employees of the plaintiff</w:t>
      </w:r>
      <w:r w:rsidR="00F32ACB" w:rsidRPr="00FF49D0">
        <w:rPr>
          <w:lang w:val="en-GB"/>
        </w:rPr>
        <w:t xml:space="preserve">. </w:t>
      </w:r>
      <w:r w:rsidR="003B2ABF" w:rsidRPr="00FF49D0">
        <w:rPr>
          <w:lang w:val="en-GB"/>
        </w:rPr>
        <w:t>The proposed amendment seeks to rely on a condition precedent contained in the Supply Chain Management Policy and Procedure</w:t>
      </w:r>
      <w:r w:rsidR="000F7D2F" w:rsidRPr="00FF49D0">
        <w:rPr>
          <w:lang w:val="en-GB"/>
        </w:rPr>
        <w:t xml:space="preserve">, arguing that the University Council’s non-fulfilment of the condition resulted in the suspension of the operation of the policy. </w:t>
      </w:r>
      <w:r w:rsidR="00840976" w:rsidRPr="00FF49D0">
        <w:rPr>
          <w:lang w:val="en-GB"/>
        </w:rPr>
        <w:t>Considering the available authorities, there is no inconsistency warranting rejection of the proposed amendment.</w:t>
      </w:r>
      <w:r w:rsidR="007A754A">
        <w:rPr>
          <w:rStyle w:val="FootnoteReference"/>
          <w:lang w:val="en-GB"/>
        </w:rPr>
        <w:footnoteReference w:id="32"/>
      </w:r>
      <w:r w:rsidR="006F4F72" w:rsidRPr="00FF49D0">
        <w:rPr>
          <w:lang w:val="en-GB"/>
        </w:rPr>
        <w:t xml:space="preserve"> </w:t>
      </w:r>
      <w:r w:rsidR="006B320C" w:rsidRPr="00FF49D0">
        <w:rPr>
          <w:lang w:val="en-GB"/>
        </w:rPr>
        <w:t xml:space="preserve">While the earlier admission appears to create </w:t>
      </w:r>
      <w:r w:rsidR="00912C97" w:rsidRPr="00FF49D0">
        <w:rPr>
          <w:lang w:val="en-GB"/>
        </w:rPr>
        <w:t>a direct contradiction</w:t>
      </w:r>
      <w:r w:rsidR="006B320C" w:rsidRPr="00FF49D0">
        <w:rPr>
          <w:lang w:val="en-GB"/>
        </w:rPr>
        <w:t xml:space="preserve">, the proposed defence is clear </w:t>
      </w:r>
      <w:r w:rsidR="00FF7593" w:rsidRPr="00FF49D0">
        <w:rPr>
          <w:lang w:val="en-GB"/>
        </w:rPr>
        <w:t>when the plea is read in its entirety. I</w:t>
      </w:r>
      <w:r w:rsidR="006B320C" w:rsidRPr="00FF49D0">
        <w:rPr>
          <w:lang w:val="en-GB"/>
        </w:rPr>
        <w:t xml:space="preserve">t </w:t>
      </w:r>
      <w:r w:rsidR="00FF7593" w:rsidRPr="00FF49D0">
        <w:rPr>
          <w:lang w:val="en-GB"/>
        </w:rPr>
        <w:t>would be</w:t>
      </w:r>
      <w:r w:rsidR="006B320C" w:rsidRPr="00FF49D0">
        <w:rPr>
          <w:lang w:val="en-GB"/>
        </w:rPr>
        <w:t xml:space="preserve"> unnecessar</w:t>
      </w:r>
      <w:r w:rsidR="00FF7593" w:rsidRPr="00FF49D0">
        <w:rPr>
          <w:lang w:val="en-GB"/>
        </w:rPr>
        <w:t>ily formalistic, in my view, to require amendment to the earlier admission in order to align its contents more accurately with the plea in this paragraph</w:t>
      </w:r>
      <w:r w:rsidR="00CC2455" w:rsidRPr="00FF49D0">
        <w:rPr>
          <w:lang w:val="en-GB"/>
        </w:rPr>
        <w:t>. A proper ventilation of the dispute requires the exercise of a discretion to allow the amendment in the circumstances.</w:t>
      </w:r>
      <w:r w:rsidR="00394219" w:rsidRPr="00FF49D0">
        <w:rPr>
          <w:lang w:val="en-GB"/>
        </w:rPr>
        <w:t xml:space="preserve"> </w:t>
      </w:r>
    </w:p>
    <w:p w14:paraId="22665D18" w14:textId="4C0E2D2C" w:rsidR="001A791F" w:rsidRDefault="001A791F" w:rsidP="001A791F">
      <w:pPr>
        <w:pStyle w:val="ListParagraph"/>
        <w:autoSpaceDE w:val="0"/>
        <w:autoSpaceDN w:val="0"/>
        <w:adjustRightInd w:val="0"/>
        <w:ind w:left="0"/>
        <w:jc w:val="both"/>
        <w:rPr>
          <w:lang w:val="en-GB"/>
        </w:rPr>
      </w:pPr>
    </w:p>
    <w:p w14:paraId="56E7C773" w14:textId="714D7EB5" w:rsidR="001A791F" w:rsidRDefault="00220E4E" w:rsidP="001A791F">
      <w:pPr>
        <w:pStyle w:val="ListParagraph"/>
        <w:autoSpaceDE w:val="0"/>
        <w:autoSpaceDN w:val="0"/>
        <w:adjustRightInd w:val="0"/>
        <w:ind w:left="0"/>
        <w:jc w:val="both"/>
        <w:rPr>
          <w:i/>
          <w:iCs/>
          <w:lang w:val="en-GB"/>
        </w:rPr>
      </w:pPr>
      <w:r>
        <w:rPr>
          <w:i/>
          <w:iCs/>
          <w:lang w:val="en-GB"/>
        </w:rPr>
        <w:t>Paragraphs 60, 61 and 70</w:t>
      </w:r>
    </w:p>
    <w:p w14:paraId="4502DDA4" w14:textId="77777777" w:rsidR="00220E4E" w:rsidRPr="00220E4E" w:rsidRDefault="00220E4E" w:rsidP="001A791F">
      <w:pPr>
        <w:pStyle w:val="ListParagraph"/>
        <w:autoSpaceDE w:val="0"/>
        <w:autoSpaceDN w:val="0"/>
        <w:adjustRightInd w:val="0"/>
        <w:ind w:left="0"/>
        <w:jc w:val="both"/>
        <w:rPr>
          <w:i/>
          <w:iCs/>
          <w:lang w:val="en-GB"/>
        </w:rPr>
      </w:pPr>
    </w:p>
    <w:p w14:paraId="442B9861" w14:textId="61740C1E" w:rsidR="001A791F" w:rsidRPr="00FF49D0" w:rsidRDefault="00FF49D0" w:rsidP="00FF49D0">
      <w:pPr>
        <w:autoSpaceDE w:val="0"/>
        <w:autoSpaceDN w:val="0"/>
        <w:adjustRightInd w:val="0"/>
        <w:jc w:val="both"/>
        <w:rPr>
          <w:lang w:val="en-GB"/>
        </w:rPr>
      </w:pPr>
      <w:r>
        <w:rPr>
          <w:lang w:val="en-GB"/>
        </w:rPr>
        <w:t>[41]</w:t>
      </w:r>
      <w:r>
        <w:rPr>
          <w:lang w:val="en-GB"/>
        </w:rPr>
        <w:tab/>
      </w:r>
      <w:r w:rsidR="00707928" w:rsidRPr="00FF49D0">
        <w:rPr>
          <w:lang w:val="en-GB"/>
        </w:rPr>
        <w:t>The issue at hand relates to the defendants’ denial of a conflict of interest, and plea to the effect that there was therefore no need to recognise or disclose any conflict of interest. The objection is based on the submission that a conflict of interest is self-evident</w:t>
      </w:r>
      <w:r w:rsidR="000A117C" w:rsidRPr="00FF49D0">
        <w:rPr>
          <w:lang w:val="en-GB"/>
        </w:rPr>
        <w:t>, and inherent,</w:t>
      </w:r>
      <w:r w:rsidR="00707928" w:rsidRPr="00FF49D0">
        <w:rPr>
          <w:lang w:val="en-GB"/>
        </w:rPr>
        <w:t xml:space="preserve"> given the defendants’ version that the first defendant represented both the plaintiff and CSRI when contracting for services in relation to externally funded projects.</w:t>
      </w:r>
      <w:r w:rsidR="0076226E" w:rsidRPr="00FF49D0">
        <w:rPr>
          <w:lang w:val="en-GB"/>
        </w:rPr>
        <w:t xml:space="preserve"> </w:t>
      </w:r>
    </w:p>
    <w:p w14:paraId="60CD8042" w14:textId="77777777" w:rsidR="00683C03" w:rsidRDefault="00683C03" w:rsidP="00683C03">
      <w:pPr>
        <w:pStyle w:val="ListParagraph"/>
        <w:autoSpaceDE w:val="0"/>
        <w:autoSpaceDN w:val="0"/>
        <w:adjustRightInd w:val="0"/>
        <w:ind w:left="0"/>
        <w:jc w:val="both"/>
        <w:rPr>
          <w:lang w:val="en-GB"/>
        </w:rPr>
      </w:pPr>
    </w:p>
    <w:p w14:paraId="6E8203E0" w14:textId="21A7C614" w:rsidR="00CC2455" w:rsidRPr="00FF49D0" w:rsidRDefault="00FF49D0" w:rsidP="00FF49D0">
      <w:pPr>
        <w:autoSpaceDE w:val="0"/>
        <w:autoSpaceDN w:val="0"/>
        <w:adjustRightInd w:val="0"/>
        <w:jc w:val="both"/>
        <w:rPr>
          <w:lang w:val="en-GB"/>
        </w:rPr>
      </w:pPr>
      <w:r>
        <w:rPr>
          <w:lang w:val="en-GB"/>
        </w:rPr>
        <w:t>[42]</w:t>
      </w:r>
      <w:r>
        <w:rPr>
          <w:lang w:val="en-GB"/>
        </w:rPr>
        <w:tab/>
      </w:r>
      <w:r w:rsidR="00683C03" w:rsidRPr="00FF49D0">
        <w:rPr>
          <w:lang w:val="en-GB"/>
        </w:rPr>
        <w:t>The objection amounts to legal argument</w:t>
      </w:r>
      <w:r w:rsidR="00D30425" w:rsidRPr="00FF49D0">
        <w:rPr>
          <w:lang w:val="en-GB"/>
        </w:rPr>
        <w:t xml:space="preserve">. </w:t>
      </w:r>
      <w:r w:rsidR="003E7208" w:rsidRPr="00FF49D0">
        <w:rPr>
          <w:lang w:val="en-GB"/>
        </w:rPr>
        <w:t>The proposed amendments</w:t>
      </w:r>
      <w:r w:rsidR="00C77B7C" w:rsidRPr="00FF49D0">
        <w:rPr>
          <w:lang w:val="en-GB"/>
        </w:rPr>
        <w:t xml:space="preserve"> are capable of replication</w:t>
      </w:r>
      <w:r w:rsidR="00DF08FD" w:rsidRPr="00FF49D0">
        <w:rPr>
          <w:lang w:val="en-GB"/>
        </w:rPr>
        <w:t xml:space="preserve"> and </w:t>
      </w:r>
      <w:r w:rsidR="002151B7" w:rsidRPr="00FF49D0">
        <w:rPr>
          <w:lang w:val="en-GB"/>
        </w:rPr>
        <w:t>whether</w:t>
      </w:r>
      <w:r w:rsidR="00DF08FD" w:rsidRPr="00FF49D0">
        <w:rPr>
          <w:lang w:val="en-GB"/>
        </w:rPr>
        <w:t xml:space="preserve"> any conflict of interest existed</w:t>
      </w:r>
      <w:r w:rsidR="00902329" w:rsidRPr="00FF49D0">
        <w:rPr>
          <w:lang w:val="en-GB"/>
        </w:rPr>
        <w:t xml:space="preserve"> or was inherent</w:t>
      </w:r>
      <w:r w:rsidR="00DF08FD" w:rsidRPr="00FF49D0">
        <w:rPr>
          <w:lang w:val="en-GB"/>
        </w:rPr>
        <w:t xml:space="preserve"> and </w:t>
      </w:r>
      <w:r w:rsidR="00DF08FD" w:rsidRPr="00FF49D0">
        <w:rPr>
          <w:lang w:val="en-GB"/>
        </w:rPr>
        <w:lastRenderedPageBreak/>
        <w:t xml:space="preserve">required recognition or disclosure is </w:t>
      </w:r>
      <w:r w:rsidR="00AD4AC4" w:rsidRPr="00FF49D0">
        <w:rPr>
          <w:lang w:val="en-GB"/>
        </w:rPr>
        <w:t xml:space="preserve">prima facie </w:t>
      </w:r>
      <w:r w:rsidR="00DF08FD" w:rsidRPr="00FF49D0">
        <w:rPr>
          <w:lang w:val="en-GB"/>
        </w:rPr>
        <w:t>a triable issue</w:t>
      </w:r>
      <w:r w:rsidR="002151B7" w:rsidRPr="00FF49D0">
        <w:rPr>
          <w:lang w:val="en-GB"/>
        </w:rPr>
        <w:t xml:space="preserve">. Absent any </w:t>
      </w:r>
      <w:r w:rsidR="000D5DE8" w:rsidRPr="00FF49D0">
        <w:rPr>
          <w:lang w:val="en-GB"/>
        </w:rPr>
        <w:t>discernible</w:t>
      </w:r>
      <w:r w:rsidR="008E63C7" w:rsidRPr="00FF49D0">
        <w:rPr>
          <w:lang w:val="en-GB"/>
        </w:rPr>
        <w:t xml:space="preserve"> </w:t>
      </w:r>
      <w:r w:rsidR="002151B7" w:rsidRPr="00FF49D0">
        <w:rPr>
          <w:lang w:val="en-GB"/>
        </w:rPr>
        <w:t>prejudice,</w:t>
      </w:r>
      <w:r w:rsidR="00B3547D" w:rsidRPr="00FF49D0">
        <w:rPr>
          <w:lang w:val="en-GB"/>
        </w:rPr>
        <w:t xml:space="preserve"> the amendment</w:t>
      </w:r>
      <w:r w:rsidR="00C8342C" w:rsidRPr="00FF49D0">
        <w:rPr>
          <w:lang w:val="en-GB"/>
        </w:rPr>
        <w:t>s</w:t>
      </w:r>
      <w:r w:rsidR="00B3547D" w:rsidRPr="00FF49D0">
        <w:rPr>
          <w:lang w:val="en-GB"/>
        </w:rPr>
        <w:t xml:space="preserve"> </w:t>
      </w:r>
      <w:r w:rsidR="00C8342C" w:rsidRPr="00FF49D0">
        <w:rPr>
          <w:lang w:val="en-GB"/>
        </w:rPr>
        <w:t>are</w:t>
      </w:r>
      <w:r w:rsidR="00B3547D" w:rsidRPr="00FF49D0">
        <w:rPr>
          <w:lang w:val="en-GB"/>
        </w:rPr>
        <w:t xml:space="preserve"> allowed.</w:t>
      </w:r>
    </w:p>
    <w:p w14:paraId="4FE4A355" w14:textId="5E0206E7" w:rsidR="00D30425" w:rsidRDefault="00D30425" w:rsidP="00D30425">
      <w:pPr>
        <w:pStyle w:val="ListParagraph"/>
        <w:rPr>
          <w:lang w:val="en-GB"/>
        </w:rPr>
      </w:pPr>
    </w:p>
    <w:p w14:paraId="0ECFC4EE" w14:textId="4A4E0600" w:rsidR="00BF249D" w:rsidRDefault="00BF249D" w:rsidP="00BF249D">
      <w:pPr>
        <w:rPr>
          <w:i/>
          <w:iCs/>
          <w:lang w:val="en-GB"/>
        </w:rPr>
      </w:pPr>
      <w:r>
        <w:rPr>
          <w:i/>
          <w:iCs/>
          <w:lang w:val="en-GB"/>
        </w:rPr>
        <w:t>Paragraphs 62 to 64</w:t>
      </w:r>
    </w:p>
    <w:p w14:paraId="2E4901D9" w14:textId="77777777" w:rsidR="00BF249D" w:rsidRPr="00BF249D" w:rsidRDefault="00BF249D" w:rsidP="00BF249D">
      <w:pPr>
        <w:rPr>
          <w:i/>
          <w:iCs/>
          <w:lang w:val="en-GB"/>
        </w:rPr>
      </w:pPr>
    </w:p>
    <w:p w14:paraId="79DA89C7" w14:textId="3AAF8AF1" w:rsidR="00D30425" w:rsidRPr="00FF49D0" w:rsidRDefault="00FF49D0" w:rsidP="00FF49D0">
      <w:pPr>
        <w:autoSpaceDE w:val="0"/>
        <w:autoSpaceDN w:val="0"/>
        <w:adjustRightInd w:val="0"/>
        <w:jc w:val="both"/>
        <w:rPr>
          <w:lang w:val="en-GB"/>
        </w:rPr>
      </w:pPr>
      <w:r>
        <w:rPr>
          <w:lang w:val="en-GB"/>
        </w:rPr>
        <w:t>[43]</w:t>
      </w:r>
      <w:r>
        <w:rPr>
          <w:lang w:val="en-GB"/>
        </w:rPr>
        <w:tab/>
      </w:r>
      <w:r w:rsidR="00ED401B" w:rsidRPr="00FF49D0">
        <w:rPr>
          <w:lang w:val="en-GB"/>
        </w:rPr>
        <w:t xml:space="preserve">The particulars of claim allege that the first defendant was a role player in the plaintiff’s supply chain and that he failed to disclose his interest in the contracts to be awarded to the CSRI and failed to withdraw from participation in the process relating to those contracts. </w:t>
      </w:r>
    </w:p>
    <w:p w14:paraId="74B2CBCD" w14:textId="77777777" w:rsidR="00ED401B" w:rsidRDefault="00ED401B" w:rsidP="00ED401B">
      <w:pPr>
        <w:pStyle w:val="ListParagraph"/>
        <w:autoSpaceDE w:val="0"/>
        <w:autoSpaceDN w:val="0"/>
        <w:adjustRightInd w:val="0"/>
        <w:ind w:left="0"/>
        <w:jc w:val="both"/>
        <w:rPr>
          <w:lang w:val="en-GB"/>
        </w:rPr>
      </w:pPr>
    </w:p>
    <w:p w14:paraId="6A57FFAD" w14:textId="454616FA" w:rsidR="00ED401B" w:rsidRPr="00FF49D0" w:rsidRDefault="00FF49D0" w:rsidP="00FF49D0">
      <w:pPr>
        <w:autoSpaceDE w:val="0"/>
        <w:autoSpaceDN w:val="0"/>
        <w:adjustRightInd w:val="0"/>
        <w:jc w:val="both"/>
        <w:rPr>
          <w:lang w:val="en-GB"/>
        </w:rPr>
      </w:pPr>
      <w:r>
        <w:rPr>
          <w:lang w:val="en-GB"/>
        </w:rPr>
        <w:t>[44]</w:t>
      </w:r>
      <w:r>
        <w:rPr>
          <w:lang w:val="en-GB"/>
        </w:rPr>
        <w:tab/>
      </w:r>
      <w:r w:rsidR="00ED401B" w:rsidRPr="00FF49D0">
        <w:rPr>
          <w:lang w:val="en-GB"/>
        </w:rPr>
        <w:t>The proposed amendments deny these allegations on the basis that the first defendant’s interest in the CSRI was known to the plaintiff prior to it contracting with the CSRI. The defendants plead that</w:t>
      </w:r>
      <w:r w:rsidR="00DB07E0" w:rsidRPr="00FF49D0">
        <w:rPr>
          <w:lang w:val="en-GB"/>
        </w:rPr>
        <w:t xml:space="preserve"> </w:t>
      </w:r>
      <w:r w:rsidR="00ED401B" w:rsidRPr="00FF49D0">
        <w:rPr>
          <w:lang w:val="en-GB"/>
        </w:rPr>
        <w:t>t</w:t>
      </w:r>
      <w:r w:rsidR="00DB07E0" w:rsidRPr="00FF49D0">
        <w:rPr>
          <w:lang w:val="en-GB"/>
        </w:rPr>
        <w:t>h</w:t>
      </w:r>
      <w:r w:rsidR="00ED401B" w:rsidRPr="00FF49D0">
        <w:rPr>
          <w:lang w:val="en-GB"/>
        </w:rPr>
        <w:t>e first defendant did not have to withdraw from supply chain management process participation</w:t>
      </w:r>
      <w:r w:rsidR="00DB07E0" w:rsidRPr="00FF49D0">
        <w:rPr>
          <w:lang w:val="en-GB"/>
        </w:rPr>
        <w:t xml:space="preserve"> in relation to those contracts ‘because the first defendant was never part of those processes’.</w:t>
      </w:r>
    </w:p>
    <w:p w14:paraId="59472E4B" w14:textId="77777777" w:rsidR="00ED401B" w:rsidRDefault="00ED401B" w:rsidP="00ED401B">
      <w:pPr>
        <w:pStyle w:val="ListParagraph"/>
        <w:autoSpaceDE w:val="0"/>
        <w:autoSpaceDN w:val="0"/>
        <w:adjustRightInd w:val="0"/>
        <w:ind w:left="0"/>
        <w:jc w:val="both"/>
        <w:rPr>
          <w:lang w:val="en-GB"/>
        </w:rPr>
      </w:pPr>
    </w:p>
    <w:p w14:paraId="478BC436" w14:textId="50BE0EB4" w:rsidR="00ED401B" w:rsidRPr="00FF49D0" w:rsidRDefault="00FF49D0" w:rsidP="00FF49D0">
      <w:pPr>
        <w:autoSpaceDE w:val="0"/>
        <w:autoSpaceDN w:val="0"/>
        <w:adjustRightInd w:val="0"/>
        <w:jc w:val="both"/>
        <w:rPr>
          <w:lang w:val="en-GB"/>
        </w:rPr>
      </w:pPr>
      <w:r>
        <w:rPr>
          <w:lang w:val="en-GB"/>
        </w:rPr>
        <w:t>[45]</w:t>
      </w:r>
      <w:r>
        <w:rPr>
          <w:lang w:val="en-GB"/>
        </w:rPr>
        <w:tab/>
      </w:r>
      <w:r w:rsidR="00F76F2C" w:rsidRPr="00FF49D0">
        <w:rPr>
          <w:lang w:val="en-GB"/>
        </w:rPr>
        <w:t>The crux of the</w:t>
      </w:r>
      <w:r w:rsidR="00B4378E" w:rsidRPr="00FF49D0">
        <w:rPr>
          <w:lang w:val="en-GB"/>
        </w:rPr>
        <w:t xml:space="preserve"> plaintiff’s</w:t>
      </w:r>
      <w:r w:rsidR="00F76F2C" w:rsidRPr="00FF49D0">
        <w:rPr>
          <w:lang w:val="en-GB"/>
        </w:rPr>
        <w:t xml:space="preserve"> objection relates to </w:t>
      </w:r>
      <w:r w:rsidR="00B4378E" w:rsidRPr="00FF49D0">
        <w:rPr>
          <w:lang w:val="en-GB"/>
        </w:rPr>
        <w:t xml:space="preserve">allegedly contradictory </w:t>
      </w:r>
      <w:r w:rsidR="00A27260" w:rsidRPr="00FF49D0">
        <w:rPr>
          <w:lang w:val="en-GB"/>
        </w:rPr>
        <w:t>pleas</w:t>
      </w:r>
      <w:r w:rsidR="00C07C69" w:rsidRPr="00FF49D0">
        <w:rPr>
          <w:lang w:val="en-GB"/>
        </w:rPr>
        <w:t xml:space="preserve"> to other paragraphs of the particulars of claim. </w:t>
      </w:r>
      <w:r w:rsidR="003716F8" w:rsidRPr="00FF49D0">
        <w:rPr>
          <w:lang w:val="en-GB"/>
        </w:rPr>
        <w:t>The plaintiff does not explain</w:t>
      </w:r>
      <w:r w:rsidR="00FA6FF7" w:rsidRPr="00FF49D0">
        <w:rPr>
          <w:lang w:val="en-GB"/>
        </w:rPr>
        <w:t xml:space="preserve"> </w:t>
      </w:r>
      <w:r w:rsidR="00532A8C" w:rsidRPr="00FF49D0">
        <w:rPr>
          <w:lang w:val="en-GB"/>
        </w:rPr>
        <w:t xml:space="preserve">the suggested contradictions with </w:t>
      </w:r>
      <w:r w:rsidR="00133D75" w:rsidRPr="00FF49D0">
        <w:rPr>
          <w:lang w:val="en-GB"/>
        </w:rPr>
        <w:t xml:space="preserve">reference to </w:t>
      </w:r>
      <w:r w:rsidR="00532A8C" w:rsidRPr="00FF49D0">
        <w:rPr>
          <w:lang w:val="en-GB"/>
        </w:rPr>
        <w:t xml:space="preserve">provisions of the applicable policy. </w:t>
      </w:r>
      <w:r w:rsidR="00B729B9" w:rsidRPr="00FF49D0">
        <w:rPr>
          <w:lang w:val="en-GB"/>
        </w:rPr>
        <w:t>In any event, u</w:t>
      </w:r>
      <w:r w:rsidR="00C07C69" w:rsidRPr="00FF49D0">
        <w:rPr>
          <w:lang w:val="en-GB"/>
        </w:rPr>
        <w:t xml:space="preserve">pholding that objection </w:t>
      </w:r>
      <w:r w:rsidR="00240586" w:rsidRPr="00FF49D0">
        <w:rPr>
          <w:lang w:val="en-GB"/>
        </w:rPr>
        <w:t>may</w:t>
      </w:r>
      <w:r w:rsidR="00C07C69" w:rsidRPr="00FF49D0">
        <w:rPr>
          <w:lang w:val="en-GB"/>
        </w:rPr>
        <w:t xml:space="preserve"> requir</w:t>
      </w:r>
      <w:r w:rsidR="00A9583A" w:rsidRPr="00FF49D0">
        <w:rPr>
          <w:lang w:val="en-GB"/>
        </w:rPr>
        <w:t xml:space="preserve">e </w:t>
      </w:r>
      <w:r w:rsidR="00240586" w:rsidRPr="00FF49D0">
        <w:rPr>
          <w:lang w:val="en-GB"/>
        </w:rPr>
        <w:t xml:space="preserve">interpretation of the word ‘processes’ as it is used in the applicable policy. </w:t>
      </w:r>
      <w:r w:rsidR="006D1F25" w:rsidRPr="00FF49D0">
        <w:rPr>
          <w:lang w:val="en-GB"/>
        </w:rPr>
        <w:t xml:space="preserve">It is inappropriate to </w:t>
      </w:r>
      <w:r w:rsidR="00646F0D" w:rsidRPr="00FF49D0">
        <w:rPr>
          <w:lang w:val="en-GB"/>
        </w:rPr>
        <w:t>do so at this stage.</w:t>
      </w:r>
      <w:r w:rsidR="00400BDC">
        <w:rPr>
          <w:rStyle w:val="FootnoteReference"/>
          <w:lang w:val="en-GB"/>
        </w:rPr>
        <w:footnoteReference w:id="33"/>
      </w:r>
      <w:r w:rsidR="00646F0D" w:rsidRPr="00FF49D0">
        <w:rPr>
          <w:lang w:val="en-GB"/>
        </w:rPr>
        <w:t xml:space="preserve"> </w:t>
      </w:r>
      <w:r w:rsidR="00E743DD" w:rsidRPr="00FF49D0">
        <w:rPr>
          <w:lang w:val="en-GB"/>
        </w:rPr>
        <w:t xml:space="preserve">It suffices to note that the proposed amendment does not cause embarrassment and that the plaintiff may plead to the impugned paragraphs so that the issues related to </w:t>
      </w:r>
      <w:r w:rsidR="00E371A6" w:rsidRPr="00FF49D0">
        <w:rPr>
          <w:lang w:val="en-GB"/>
        </w:rPr>
        <w:t>whether</w:t>
      </w:r>
      <w:r w:rsidR="00E743DD" w:rsidRPr="00FF49D0">
        <w:rPr>
          <w:lang w:val="en-GB"/>
        </w:rPr>
        <w:t xml:space="preserve"> the first defendant was a role player in the plaintiff’s supply chain</w:t>
      </w:r>
      <w:r w:rsidR="00E371A6" w:rsidRPr="00FF49D0">
        <w:rPr>
          <w:lang w:val="en-GB"/>
        </w:rPr>
        <w:t>,</w:t>
      </w:r>
      <w:r w:rsidR="00E743DD" w:rsidRPr="00FF49D0">
        <w:rPr>
          <w:lang w:val="en-GB"/>
        </w:rPr>
        <w:t xml:space="preserve"> and ought to have withdrawn from processes relating to CSRI contracts</w:t>
      </w:r>
      <w:r w:rsidR="00E371A6" w:rsidRPr="00FF49D0">
        <w:rPr>
          <w:lang w:val="en-GB"/>
        </w:rPr>
        <w:t>,</w:t>
      </w:r>
      <w:r w:rsidR="00E743DD" w:rsidRPr="00FF49D0">
        <w:rPr>
          <w:lang w:val="en-GB"/>
        </w:rPr>
        <w:t xml:space="preserve"> </w:t>
      </w:r>
      <w:r w:rsidR="00374BAC" w:rsidRPr="00FF49D0">
        <w:rPr>
          <w:lang w:val="en-GB"/>
        </w:rPr>
        <w:t>are</w:t>
      </w:r>
      <w:r w:rsidR="009320AA" w:rsidRPr="00FF49D0">
        <w:rPr>
          <w:lang w:val="en-GB"/>
        </w:rPr>
        <w:t xml:space="preserve"> prima facie</w:t>
      </w:r>
      <w:r w:rsidR="00374BAC" w:rsidRPr="00FF49D0">
        <w:rPr>
          <w:lang w:val="en-GB"/>
        </w:rPr>
        <w:t xml:space="preserve"> triable. </w:t>
      </w:r>
      <w:r w:rsidR="00353146" w:rsidRPr="00FF49D0">
        <w:rPr>
          <w:lang w:val="en-GB"/>
        </w:rPr>
        <w:t>The amendments are allowed.</w:t>
      </w:r>
    </w:p>
    <w:p w14:paraId="756B3DED" w14:textId="627566B4" w:rsidR="00646F0D" w:rsidRDefault="00646F0D" w:rsidP="0068248C">
      <w:pPr>
        <w:rPr>
          <w:lang w:val="en-GB"/>
        </w:rPr>
      </w:pPr>
    </w:p>
    <w:p w14:paraId="4CF1EC3E" w14:textId="38EED68F" w:rsidR="0068248C" w:rsidRDefault="0068248C" w:rsidP="0068248C">
      <w:pPr>
        <w:rPr>
          <w:i/>
          <w:iCs/>
          <w:lang w:val="en-GB"/>
        </w:rPr>
      </w:pPr>
      <w:r>
        <w:rPr>
          <w:i/>
          <w:iCs/>
          <w:lang w:val="en-GB"/>
        </w:rPr>
        <w:t>Paragraph</w:t>
      </w:r>
      <w:r w:rsidR="00D10A96">
        <w:rPr>
          <w:i/>
          <w:iCs/>
          <w:lang w:val="en-GB"/>
        </w:rPr>
        <w:t>s 65 to</w:t>
      </w:r>
      <w:r>
        <w:rPr>
          <w:i/>
          <w:iCs/>
          <w:lang w:val="en-GB"/>
        </w:rPr>
        <w:t xml:space="preserve"> 67</w:t>
      </w:r>
    </w:p>
    <w:p w14:paraId="5AE03225" w14:textId="77777777" w:rsidR="0068248C" w:rsidRPr="0068248C" w:rsidRDefault="0068248C" w:rsidP="0068248C">
      <w:pPr>
        <w:rPr>
          <w:i/>
          <w:iCs/>
          <w:lang w:val="en-GB"/>
        </w:rPr>
      </w:pPr>
    </w:p>
    <w:p w14:paraId="1FCF7940" w14:textId="700E2F9C" w:rsidR="00646F0D" w:rsidRPr="00FF49D0" w:rsidRDefault="00FF49D0" w:rsidP="00FF49D0">
      <w:pPr>
        <w:autoSpaceDE w:val="0"/>
        <w:autoSpaceDN w:val="0"/>
        <w:adjustRightInd w:val="0"/>
        <w:jc w:val="both"/>
        <w:rPr>
          <w:lang w:val="en-GB"/>
        </w:rPr>
      </w:pPr>
      <w:r>
        <w:rPr>
          <w:lang w:val="en-GB"/>
        </w:rPr>
        <w:t>[46]</w:t>
      </w:r>
      <w:r>
        <w:rPr>
          <w:lang w:val="en-GB"/>
        </w:rPr>
        <w:tab/>
      </w:r>
      <w:r w:rsidR="002B4A93" w:rsidRPr="00FF49D0">
        <w:rPr>
          <w:lang w:val="en-GB"/>
        </w:rPr>
        <w:t xml:space="preserve">The plaintiff alleges that the first defendant </w:t>
      </w:r>
      <w:r w:rsidR="006D747B" w:rsidRPr="00FF49D0">
        <w:rPr>
          <w:lang w:val="en-GB"/>
        </w:rPr>
        <w:t xml:space="preserve">conducted himself in a manner expressly prohibited by clauses of the Supply Chain Management Policy and Procedures. According to the plaintiff, he did so by </w:t>
      </w:r>
      <w:r w:rsidR="002B4A93" w:rsidRPr="00FF49D0">
        <w:rPr>
          <w:lang w:val="en-GB"/>
        </w:rPr>
        <w:t>fail</w:t>
      </w:r>
      <w:r w:rsidR="006D747B" w:rsidRPr="00FF49D0">
        <w:rPr>
          <w:lang w:val="en-GB"/>
        </w:rPr>
        <w:t>ing</w:t>
      </w:r>
      <w:r w:rsidR="002B4A93" w:rsidRPr="00FF49D0">
        <w:rPr>
          <w:lang w:val="en-GB"/>
        </w:rPr>
        <w:t xml:space="preserve"> to protect its interests in </w:t>
      </w:r>
      <w:r w:rsidR="002B4A93" w:rsidRPr="00FF49D0">
        <w:rPr>
          <w:lang w:val="en-GB"/>
        </w:rPr>
        <w:lastRenderedPageBreak/>
        <w:t xml:space="preserve">various ways, </w:t>
      </w:r>
      <w:r w:rsidR="003A2D2C" w:rsidRPr="00FF49D0">
        <w:rPr>
          <w:lang w:val="en-GB"/>
        </w:rPr>
        <w:t>also</w:t>
      </w:r>
      <w:r w:rsidR="002B4A93" w:rsidRPr="00FF49D0">
        <w:rPr>
          <w:lang w:val="en-GB"/>
        </w:rPr>
        <w:t xml:space="preserve"> by failing to procure performance by the CSRI of its contractual obligations and by </w:t>
      </w:r>
      <w:r w:rsidR="00231599" w:rsidRPr="00FF49D0">
        <w:rPr>
          <w:lang w:val="en-GB"/>
        </w:rPr>
        <w:t>not</w:t>
      </w:r>
      <w:r w:rsidR="002B4A93" w:rsidRPr="00FF49D0">
        <w:rPr>
          <w:lang w:val="en-GB"/>
        </w:rPr>
        <w:t xml:space="preserve"> ensur</w:t>
      </w:r>
      <w:r w:rsidR="00231599" w:rsidRPr="00FF49D0">
        <w:rPr>
          <w:lang w:val="en-GB"/>
        </w:rPr>
        <w:t>ing</w:t>
      </w:r>
      <w:r w:rsidR="002B4A93" w:rsidRPr="00FF49D0">
        <w:rPr>
          <w:lang w:val="en-GB"/>
        </w:rPr>
        <w:t xml:space="preserve"> that the plaintiff received value for the payments it made to CSRI. </w:t>
      </w:r>
      <w:r w:rsidR="006970F2" w:rsidRPr="00FF49D0">
        <w:rPr>
          <w:lang w:val="en-GB"/>
        </w:rPr>
        <w:t xml:space="preserve">It is also alleged that the first defendant sought and accepted financial gain in interacting with the </w:t>
      </w:r>
      <w:r w:rsidR="00B633C6" w:rsidRPr="00FF49D0">
        <w:rPr>
          <w:lang w:val="en-GB"/>
        </w:rPr>
        <w:t xml:space="preserve">CSRI </w:t>
      </w:r>
      <w:r w:rsidR="006970F2" w:rsidRPr="00FF49D0">
        <w:rPr>
          <w:lang w:val="en-GB"/>
        </w:rPr>
        <w:t xml:space="preserve">on behalf of the plaintiff and that he simultaneously acted on behalf of the CSRI in those interactions, </w:t>
      </w:r>
      <w:r w:rsidR="00955565" w:rsidRPr="00FF49D0">
        <w:rPr>
          <w:lang w:val="en-GB"/>
        </w:rPr>
        <w:t>disregarding</w:t>
      </w:r>
      <w:r w:rsidR="007E0F82" w:rsidRPr="00FF49D0">
        <w:rPr>
          <w:lang w:val="en-GB"/>
        </w:rPr>
        <w:t xml:space="preserve"> a patent conflict of interest.</w:t>
      </w:r>
      <w:r w:rsidR="006D747B" w:rsidRPr="00FF49D0">
        <w:rPr>
          <w:lang w:val="en-GB"/>
        </w:rPr>
        <w:t xml:space="preserve"> </w:t>
      </w:r>
    </w:p>
    <w:p w14:paraId="55DDCEFD" w14:textId="77777777" w:rsidR="00955565" w:rsidRDefault="00955565" w:rsidP="00955565">
      <w:pPr>
        <w:pStyle w:val="ListParagraph"/>
        <w:autoSpaceDE w:val="0"/>
        <w:autoSpaceDN w:val="0"/>
        <w:adjustRightInd w:val="0"/>
        <w:ind w:left="0"/>
        <w:jc w:val="both"/>
        <w:rPr>
          <w:lang w:val="en-GB"/>
        </w:rPr>
      </w:pPr>
    </w:p>
    <w:p w14:paraId="69FCFEF4" w14:textId="56AE8FFB" w:rsidR="00955565" w:rsidRPr="00FF49D0" w:rsidRDefault="00FF49D0" w:rsidP="00FF49D0">
      <w:pPr>
        <w:autoSpaceDE w:val="0"/>
        <w:autoSpaceDN w:val="0"/>
        <w:adjustRightInd w:val="0"/>
        <w:jc w:val="both"/>
        <w:rPr>
          <w:lang w:val="en-GB"/>
        </w:rPr>
      </w:pPr>
      <w:r>
        <w:rPr>
          <w:lang w:val="en-GB"/>
        </w:rPr>
        <w:t>[47]</w:t>
      </w:r>
      <w:r>
        <w:rPr>
          <w:lang w:val="en-GB"/>
        </w:rPr>
        <w:tab/>
      </w:r>
      <w:r w:rsidR="00EE129D" w:rsidRPr="00FF49D0">
        <w:rPr>
          <w:lang w:val="en-GB"/>
        </w:rPr>
        <w:t xml:space="preserve">The proposed amendments deny these allegations. This is on the basis that </w:t>
      </w:r>
      <w:r w:rsidR="00572D02" w:rsidRPr="00FF49D0">
        <w:rPr>
          <w:lang w:val="en-GB"/>
        </w:rPr>
        <w:t xml:space="preserve">all </w:t>
      </w:r>
      <w:r w:rsidR="00A46D2B" w:rsidRPr="00FF49D0">
        <w:rPr>
          <w:lang w:val="en-GB"/>
        </w:rPr>
        <w:t xml:space="preserve">the </w:t>
      </w:r>
      <w:r w:rsidR="00572D02" w:rsidRPr="00FF49D0">
        <w:rPr>
          <w:lang w:val="en-GB"/>
        </w:rPr>
        <w:t xml:space="preserve">CSRI’s contractual obligations to the plaintiff were fulfilled so that the plaintiff received value for the payments it made to </w:t>
      </w:r>
      <w:r w:rsidR="00A46D2B" w:rsidRPr="00FF49D0">
        <w:rPr>
          <w:lang w:val="en-GB"/>
        </w:rPr>
        <w:t xml:space="preserve">the </w:t>
      </w:r>
      <w:r w:rsidR="00572D02" w:rsidRPr="00FF49D0">
        <w:rPr>
          <w:lang w:val="en-GB"/>
        </w:rPr>
        <w:t xml:space="preserve">CSRI. </w:t>
      </w:r>
      <w:r w:rsidR="00A46D2B" w:rsidRPr="00FF49D0">
        <w:rPr>
          <w:lang w:val="en-GB"/>
        </w:rPr>
        <w:t xml:space="preserve">The defendants also aver that the first defendant could not have acted in breach of </w:t>
      </w:r>
      <w:r w:rsidR="00630B2A" w:rsidRPr="00FF49D0">
        <w:rPr>
          <w:lang w:val="en-GB"/>
        </w:rPr>
        <w:t xml:space="preserve">clauses of </w:t>
      </w:r>
      <w:r w:rsidR="00A46D2B" w:rsidRPr="00FF49D0">
        <w:rPr>
          <w:lang w:val="en-GB"/>
        </w:rPr>
        <w:t xml:space="preserve">the Supply Chain Management Policy and Procedures given that it was the CSRI that conducted business on behalf of the plaintiff </w:t>
      </w:r>
      <w:r w:rsidR="00E65A62" w:rsidRPr="00FF49D0">
        <w:rPr>
          <w:lang w:val="en-GB"/>
        </w:rPr>
        <w:t>and received a benefit or gain</w:t>
      </w:r>
      <w:r w:rsidR="005C07B4" w:rsidRPr="00FF49D0">
        <w:rPr>
          <w:lang w:val="en-GB"/>
        </w:rPr>
        <w:t xml:space="preserve"> from the plaintiff</w:t>
      </w:r>
      <w:r w:rsidR="00E65A62" w:rsidRPr="00FF49D0">
        <w:rPr>
          <w:lang w:val="en-GB"/>
        </w:rPr>
        <w:t>.</w:t>
      </w:r>
    </w:p>
    <w:p w14:paraId="3450247A" w14:textId="77777777" w:rsidR="006970F2" w:rsidRDefault="006970F2" w:rsidP="006970F2">
      <w:pPr>
        <w:pStyle w:val="ListParagraph"/>
        <w:autoSpaceDE w:val="0"/>
        <w:autoSpaceDN w:val="0"/>
        <w:adjustRightInd w:val="0"/>
        <w:ind w:left="0"/>
        <w:jc w:val="both"/>
        <w:rPr>
          <w:lang w:val="en-GB"/>
        </w:rPr>
      </w:pPr>
    </w:p>
    <w:p w14:paraId="1C8D3D8A" w14:textId="38167EE1" w:rsidR="005C07B4" w:rsidRPr="00FF49D0" w:rsidRDefault="00FF49D0" w:rsidP="00FF49D0">
      <w:pPr>
        <w:autoSpaceDE w:val="0"/>
        <w:autoSpaceDN w:val="0"/>
        <w:adjustRightInd w:val="0"/>
        <w:jc w:val="both"/>
        <w:rPr>
          <w:lang w:val="en-GB"/>
        </w:rPr>
      </w:pPr>
      <w:r>
        <w:rPr>
          <w:lang w:val="en-GB"/>
        </w:rPr>
        <w:t>[48]</w:t>
      </w:r>
      <w:r>
        <w:rPr>
          <w:lang w:val="en-GB"/>
        </w:rPr>
        <w:tab/>
      </w:r>
      <w:r w:rsidR="00E34FEB" w:rsidRPr="00FF49D0">
        <w:rPr>
          <w:lang w:val="en-GB"/>
        </w:rPr>
        <w:t>The objection is that the last-mentioned averment</w:t>
      </w:r>
      <w:r w:rsidR="00887607" w:rsidRPr="00FF49D0">
        <w:rPr>
          <w:lang w:val="en-GB"/>
        </w:rPr>
        <w:t xml:space="preserve"> is irreconcilable with the admission</w:t>
      </w:r>
      <w:r w:rsidR="00971030" w:rsidRPr="00FF49D0">
        <w:rPr>
          <w:lang w:val="en-GB"/>
        </w:rPr>
        <w:t xml:space="preserve">s </w:t>
      </w:r>
      <w:r w:rsidR="00887607" w:rsidRPr="00FF49D0">
        <w:rPr>
          <w:lang w:val="en-GB"/>
        </w:rPr>
        <w:t>that the first defendant had an interest in the CSRI and was in control</w:t>
      </w:r>
      <w:r w:rsidR="001B23C9" w:rsidRPr="00FF49D0">
        <w:rPr>
          <w:lang w:val="en-GB"/>
        </w:rPr>
        <w:t>, either jointly or solely thereof</w:t>
      </w:r>
      <w:r w:rsidR="00971030" w:rsidRPr="00FF49D0">
        <w:rPr>
          <w:lang w:val="en-GB"/>
        </w:rPr>
        <w:t>, and would be remunerated by the CSRI after it received remuneration from the plaintiff for services rendered</w:t>
      </w:r>
      <w:r w:rsidR="001B23C9" w:rsidRPr="00FF49D0">
        <w:rPr>
          <w:lang w:val="en-GB"/>
        </w:rPr>
        <w:t>.</w:t>
      </w:r>
    </w:p>
    <w:p w14:paraId="717E8B35" w14:textId="77777777" w:rsidR="005C07B4" w:rsidRPr="005C07B4" w:rsidRDefault="005C07B4" w:rsidP="005C07B4">
      <w:pPr>
        <w:pStyle w:val="ListParagraph"/>
        <w:rPr>
          <w:lang w:val="en-GB"/>
        </w:rPr>
      </w:pPr>
    </w:p>
    <w:p w14:paraId="059D0556" w14:textId="247E9324" w:rsidR="002B4A93" w:rsidRPr="00FF49D0" w:rsidRDefault="00FF49D0" w:rsidP="00FF49D0">
      <w:pPr>
        <w:autoSpaceDE w:val="0"/>
        <w:autoSpaceDN w:val="0"/>
        <w:adjustRightInd w:val="0"/>
        <w:jc w:val="both"/>
        <w:rPr>
          <w:lang w:val="en-GB"/>
        </w:rPr>
      </w:pPr>
      <w:r>
        <w:rPr>
          <w:lang w:val="en-GB"/>
        </w:rPr>
        <w:t>[49]</w:t>
      </w:r>
      <w:r>
        <w:rPr>
          <w:lang w:val="en-GB"/>
        </w:rPr>
        <w:tab/>
      </w:r>
      <w:r w:rsidR="001B23C9" w:rsidRPr="00FF49D0">
        <w:rPr>
          <w:lang w:val="en-GB"/>
        </w:rPr>
        <w:t xml:space="preserve"> </w:t>
      </w:r>
      <w:r w:rsidR="00580939" w:rsidRPr="00FF49D0">
        <w:rPr>
          <w:lang w:val="en-GB"/>
        </w:rPr>
        <w:t>Determining the real issue at hand</w:t>
      </w:r>
      <w:r w:rsidR="00975137" w:rsidRPr="00FF49D0">
        <w:rPr>
          <w:lang w:val="en-GB"/>
        </w:rPr>
        <w:t xml:space="preserve"> requires interpretation of clauses of the plaintiff’s Supply Chain Management Policy and Procedures</w:t>
      </w:r>
      <w:r w:rsidR="00496577" w:rsidRPr="00FF49D0">
        <w:rPr>
          <w:lang w:val="en-GB"/>
        </w:rPr>
        <w:t>.</w:t>
      </w:r>
      <w:r w:rsidR="00FC44A4">
        <w:rPr>
          <w:rStyle w:val="FootnoteReference"/>
          <w:lang w:val="en-GB"/>
        </w:rPr>
        <w:footnoteReference w:id="34"/>
      </w:r>
      <w:r w:rsidR="00496577" w:rsidRPr="00FF49D0">
        <w:rPr>
          <w:lang w:val="en-GB"/>
        </w:rPr>
        <w:t xml:space="preserve"> That the CSRI was a separate juristic person </w:t>
      </w:r>
      <w:r w:rsidR="004B3B12" w:rsidRPr="00FF49D0">
        <w:rPr>
          <w:lang w:val="en-GB"/>
        </w:rPr>
        <w:t xml:space="preserve">will </w:t>
      </w:r>
      <w:r w:rsidR="008403C9" w:rsidRPr="00FF49D0">
        <w:rPr>
          <w:lang w:val="en-GB"/>
        </w:rPr>
        <w:t xml:space="preserve">also </w:t>
      </w:r>
      <w:r w:rsidR="00B24915" w:rsidRPr="00FF49D0">
        <w:rPr>
          <w:lang w:val="en-GB"/>
        </w:rPr>
        <w:t>require consideration</w:t>
      </w:r>
      <w:r w:rsidR="004B3B12" w:rsidRPr="00FF49D0">
        <w:rPr>
          <w:lang w:val="en-GB"/>
        </w:rPr>
        <w:t xml:space="preserve">. </w:t>
      </w:r>
      <w:r w:rsidR="00D82414" w:rsidRPr="00FF49D0">
        <w:rPr>
          <w:lang w:val="en-GB"/>
        </w:rPr>
        <w:t xml:space="preserve">As was the case with the previous objection, it would be premature to </w:t>
      </w:r>
      <w:r w:rsidR="00816638" w:rsidRPr="00FF49D0">
        <w:rPr>
          <w:lang w:val="en-GB"/>
        </w:rPr>
        <w:t>interpret the relevant clauses</w:t>
      </w:r>
      <w:r w:rsidR="00D82414" w:rsidRPr="00FF49D0">
        <w:rPr>
          <w:lang w:val="en-GB"/>
        </w:rPr>
        <w:t xml:space="preserve"> at this juncture</w:t>
      </w:r>
      <w:r w:rsidR="00366EC4" w:rsidRPr="00FF49D0">
        <w:rPr>
          <w:lang w:val="en-GB"/>
        </w:rPr>
        <w:t xml:space="preserve"> and the amendment </w:t>
      </w:r>
      <w:r w:rsidR="004E0ED6" w:rsidRPr="00FF49D0">
        <w:rPr>
          <w:lang w:val="en-GB"/>
        </w:rPr>
        <w:t>is</w:t>
      </w:r>
      <w:r w:rsidR="00B8656B" w:rsidRPr="00FF49D0">
        <w:rPr>
          <w:lang w:val="en-GB"/>
        </w:rPr>
        <w:t xml:space="preserve"> allowed.</w:t>
      </w:r>
    </w:p>
    <w:p w14:paraId="2DFAAA93" w14:textId="340922B7" w:rsidR="00782FD7" w:rsidRDefault="00782FD7" w:rsidP="00782FD7">
      <w:pPr>
        <w:rPr>
          <w:lang w:val="en-GB"/>
        </w:rPr>
      </w:pPr>
    </w:p>
    <w:p w14:paraId="5D85880B" w14:textId="186969E0" w:rsidR="00782FD7" w:rsidRDefault="008E3A96" w:rsidP="00782FD7">
      <w:pPr>
        <w:rPr>
          <w:i/>
          <w:iCs/>
          <w:lang w:val="en-GB"/>
        </w:rPr>
      </w:pPr>
      <w:r>
        <w:rPr>
          <w:i/>
          <w:iCs/>
          <w:lang w:val="en-GB"/>
        </w:rPr>
        <w:lastRenderedPageBreak/>
        <w:t xml:space="preserve">Delay and </w:t>
      </w:r>
      <w:r w:rsidR="00A928B7">
        <w:rPr>
          <w:i/>
          <w:iCs/>
          <w:lang w:val="en-GB"/>
        </w:rPr>
        <w:t>bad</w:t>
      </w:r>
      <w:r>
        <w:rPr>
          <w:i/>
          <w:iCs/>
          <w:lang w:val="en-GB"/>
        </w:rPr>
        <w:t xml:space="preserve"> faith</w:t>
      </w:r>
    </w:p>
    <w:p w14:paraId="312E6591" w14:textId="77777777" w:rsidR="007059F6" w:rsidRPr="008E3A96" w:rsidRDefault="007059F6" w:rsidP="008E3A96">
      <w:pPr>
        <w:autoSpaceDE w:val="0"/>
        <w:autoSpaceDN w:val="0"/>
        <w:adjustRightInd w:val="0"/>
        <w:jc w:val="both"/>
        <w:rPr>
          <w:lang w:val="en-GB"/>
        </w:rPr>
      </w:pPr>
    </w:p>
    <w:p w14:paraId="4C85BFE5" w14:textId="2AE1E087" w:rsidR="008E3A96" w:rsidRPr="00FF49D0" w:rsidRDefault="00FF49D0" w:rsidP="00FF49D0">
      <w:pPr>
        <w:autoSpaceDE w:val="0"/>
        <w:autoSpaceDN w:val="0"/>
        <w:adjustRightInd w:val="0"/>
        <w:jc w:val="both"/>
        <w:rPr>
          <w:lang w:val="en-GB"/>
        </w:rPr>
      </w:pPr>
      <w:r>
        <w:rPr>
          <w:lang w:val="en-GB"/>
        </w:rPr>
        <w:t>[50]</w:t>
      </w:r>
      <w:r>
        <w:rPr>
          <w:lang w:val="en-GB"/>
        </w:rPr>
        <w:tab/>
      </w:r>
      <w:r w:rsidR="00A928B7" w:rsidRPr="00FF49D0">
        <w:rPr>
          <w:lang w:val="en-GB"/>
        </w:rPr>
        <w:t xml:space="preserve">The plaintiff’s objections to the proposed amendments based on undue delay and bad faith must be construed by considering the accepted principles governing pleadings. </w:t>
      </w:r>
      <w:r w:rsidR="006E7FC5" w:rsidRPr="00FF49D0">
        <w:rPr>
          <w:lang w:val="en-GB"/>
        </w:rPr>
        <w:t>I</w:t>
      </w:r>
      <w:r w:rsidR="009A5DBD" w:rsidRPr="00FF49D0">
        <w:rPr>
          <w:lang w:val="en-GB"/>
        </w:rPr>
        <w:t>n respect of tardiness, delay in bringing f</w:t>
      </w:r>
      <w:r w:rsidR="00E371A6" w:rsidRPr="00FF49D0">
        <w:rPr>
          <w:lang w:val="en-GB"/>
        </w:rPr>
        <w:t>orth an</w:t>
      </w:r>
      <w:r w:rsidR="009A5DBD" w:rsidRPr="00FF49D0">
        <w:rPr>
          <w:lang w:val="en-GB"/>
        </w:rPr>
        <w:t xml:space="preserve"> amendment is generally, in the absence of prejudice, not a sound basis for refusing an amendment. Leave to amend may be granted ‘at any stage’, even where mistakes and omissions have been </w:t>
      </w:r>
      <w:r w:rsidR="0027600D" w:rsidRPr="00FF49D0">
        <w:rPr>
          <w:lang w:val="en-GB"/>
        </w:rPr>
        <w:t>careless,</w:t>
      </w:r>
      <w:r w:rsidR="009A5DBD" w:rsidRPr="00FF49D0">
        <w:rPr>
          <w:lang w:val="en-GB"/>
        </w:rPr>
        <w:t xml:space="preserve"> and the application is particularly late. </w:t>
      </w:r>
      <w:r w:rsidR="00984890" w:rsidRPr="00FF49D0">
        <w:rPr>
          <w:lang w:val="en-GB"/>
        </w:rPr>
        <w:t xml:space="preserve"> </w:t>
      </w:r>
    </w:p>
    <w:p w14:paraId="1C035C8E" w14:textId="77777777" w:rsidR="003602BC" w:rsidRDefault="003602BC" w:rsidP="003602BC">
      <w:pPr>
        <w:pStyle w:val="ListParagraph"/>
        <w:autoSpaceDE w:val="0"/>
        <w:autoSpaceDN w:val="0"/>
        <w:adjustRightInd w:val="0"/>
        <w:ind w:left="0"/>
        <w:jc w:val="both"/>
        <w:rPr>
          <w:lang w:val="en-GB"/>
        </w:rPr>
      </w:pPr>
    </w:p>
    <w:p w14:paraId="39DCDAB8" w14:textId="205E34CD" w:rsidR="003602BC" w:rsidRPr="00FF49D0" w:rsidRDefault="00FF49D0" w:rsidP="00FF49D0">
      <w:pPr>
        <w:autoSpaceDE w:val="0"/>
        <w:autoSpaceDN w:val="0"/>
        <w:adjustRightInd w:val="0"/>
        <w:jc w:val="both"/>
        <w:rPr>
          <w:lang w:val="en-GB"/>
        </w:rPr>
      </w:pPr>
      <w:r>
        <w:rPr>
          <w:lang w:val="en-GB"/>
        </w:rPr>
        <w:t>[51]</w:t>
      </w:r>
      <w:r>
        <w:rPr>
          <w:lang w:val="en-GB"/>
        </w:rPr>
        <w:tab/>
      </w:r>
      <w:r w:rsidR="003602BC" w:rsidRPr="00FF49D0">
        <w:rPr>
          <w:lang w:val="en-GB"/>
        </w:rPr>
        <w:t>The amendments that have been allowed will facilitate a proper ventilation of the dispute between the parties and a fair trial. The delays detailed in the papers, when considered together with the explanations offered for this</w:t>
      </w:r>
      <w:r w:rsidR="006A1760" w:rsidRPr="00FF49D0">
        <w:rPr>
          <w:lang w:val="en-GB"/>
        </w:rPr>
        <w:t xml:space="preserve"> and the chronology of events</w:t>
      </w:r>
      <w:r w:rsidR="003602BC" w:rsidRPr="00FF49D0">
        <w:rPr>
          <w:lang w:val="en-GB"/>
        </w:rPr>
        <w:t xml:space="preserve">, are not of the kind that cause irremediable prejudice to the plaintiff </w:t>
      </w:r>
      <w:r w:rsidR="00EA6146" w:rsidRPr="00FF49D0">
        <w:rPr>
          <w:lang w:val="en-GB"/>
        </w:rPr>
        <w:t xml:space="preserve">and which should, without more, warrant </w:t>
      </w:r>
      <w:r w:rsidR="008E75B5" w:rsidRPr="00FF49D0">
        <w:rPr>
          <w:lang w:val="en-GB"/>
        </w:rPr>
        <w:t>refusal.</w:t>
      </w:r>
      <w:r w:rsidR="009D328B" w:rsidRPr="00FF49D0">
        <w:rPr>
          <w:lang w:val="en-GB"/>
        </w:rPr>
        <w:t xml:space="preserve"> A reasonably satisfactory account for the delay has been proffered. </w:t>
      </w:r>
      <w:r w:rsidR="005200CD" w:rsidRPr="00FF49D0">
        <w:rPr>
          <w:lang w:val="en-GB"/>
        </w:rPr>
        <w:t xml:space="preserve"> Linked to this, and as is apparent when considering the reasons for allowing many of the proposed amendments, it cannot be said that the application amounts to a delaying tactic </w:t>
      </w:r>
      <w:r w:rsidR="00E242AD" w:rsidRPr="00FF49D0">
        <w:rPr>
          <w:lang w:val="en-GB"/>
        </w:rPr>
        <w:t>or has been brought in bad faith.</w:t>
      </w:r>
    </w:p>
    <w:p w14:paraId="0ABA16F8" w14:textId="77777777" w:rsidR="009D328B" w:rsidRPr="009D328B" w:rsidRDefault="009D328B" w:rsidP="009D328B">
      <w:pPr>
        <w:pStyle w:val="ListParagraph"/>
        <w:rPr>
          <w:lang w:val="en-GB"/>
        </w:rPr>
      </w:pPr>
    </w:p>
    <w:p w14:paraId="3B7B7812" w14:textId="2E75D5C7" w:rsidR="009D328B" w:rsidRPr="00FF49D0" w:rsidRDefault="00FF49D0" w:rsidP="00FF49D0">
      <w:pPr>
        <w:autoSpaceDE w:val="0"/>
        <w:autoSpaceDN w:val="0"/>
        <w:adjustRightInd w:val="0"/>
        <w:jc w:val="both"/>
        <w:rPr>
          <w:lang w:val="en-GB"/>
        </w:rPr>
      </w:pPr>
      <w:r>
        <w:rPr>
          <w:lang w:val="en-GB"/>
        </w:rPr>
        <w:t>[52]</w:t>
      </w:r>
      <w:r>
        <w:rPr>
          <w:lang w:val="en-GB"/>
        </w:rPr>
        <w:tab/>
      </w:r>
      <w:r w:rsidR="009D328B" w:rsidRPr="00FF49D0">
        <w:rPr>
          <w:lang w:val="en-GB"/>
        </w:rPr>
        <w:t>In instances where there are no objections to paragraphs of the amended plea, the amendments are also allowed.</w:t>
      </w:r>
    </w:p>
    <w:p w14:paraId="63774731" w14:textId="71F31FEE" w:rsidR="008E3A96" w:rsidRDefault="008E3A96" w:rsidP="008E3A96">
      <w:pPr>
        <w:pStyle w:val="ListParagraph"/>
        <w:autoSpaceDE w:val="0"/>
        <w:autoSpaceDN w:val="0"/>
        <w:adjustRightInd w:val="0"/>
        <w:ind w:left="0"/>
        <w:jc w:val="both"/>
        <w:rPr>
          <w:lang w:val="en-GB"/>
        </w:rPr>
      </w:pPr>
    </w:p>
    <w:p w14:paraId="171CD457" w14:textId="2712EC8D" w:rsidR="008E3A96" w:rsidRDefault="008E3A96" w:rsidP="008E3A96">
      <w:pPr>
        <w:pStyle w:val="ListParagraph"/>
        <w:autoSpaceDE w:val="0"/>
        <w:autoSpaceDN w:val="0"/>
        <w:adjustRightInd w:val="0"/>
        <w:ind w:left="0"/>
        <w:jc w:val="both"/>
        <w:rPr>
          <w:i/>
          <w:iCs/>
          <w:lang w:val="en-GB"/>
        </w:rPr>
      </w:pPr>
      <w:r>
        <w:rPr>
          <w:i/>
          <w:iCs/>
          <w:lang w:val="en-GB"/>
        </w:rPr>
        <w:t>Costs</w:t>
      </w:r>
    </w:p>
    <w:p w14:paraId="1C099280" w14:textId="77777777" w:rsidR="008E3A96" w:rsidRPr="008E3A96" w:rsidRDefault="008E3A96" w:rsidP="008E3A96">
      <w:pPr>
        <w:pStyle w:val="ListParagraph"/>
        <w:autoSpaceDE w:val="0"/>
        <w:autoSpaceDN w:val="0"/>
        <w:adjustRightInd w:val="0"/>
        <w:ind w:left="0"/>
        <w:jc w:val="both"/>
        <w:rPr>
          <w:i/>
          <w:iCs/>
          <w:lang w:val="en-GB"/>
        </w:rPr>
      </w:pPr>
    </w:p>
    <w:p w14:paraId="7C56A768" w14:textId="7FBED0A8" w:rsidR="008E3A96" w:rsidRPr="00FF49D0" w:rsidRDefault="00FF49D0" w:rsidP="00FF49D0">
      <w:pPr>
        <w:autoSpaceDE w:val="0"/>
        <w:autoSpaceDN w:val="0"/>
        <w:adjustRightInd w:val="0"/>
        <w:jc w:val="both"/>
        <w:rPr>
          <w:lang w:val="en-GB"/>
        </w:rPr>
      </w:pPr>
      <w:r w:rsidRPr="007C7864">
        <w:rPr>
          <w:lang w:val="en-GB"/>
        </w:rPr>
        <w:t>[53]</w:t>
      </w:r>
      <w:r w:rsidRPr="007C7864">
        <w:rPr>
          <w:lang w:val="en-GB"/>
        </w:rPr>
        <w:tab/>
      </w:r>
      <w:r w:rsidR="007059F6" w:rsidRPr="00FF49D0">
        <w:rPr>
          <w:lang w:val="en-GB"/>
        </w:rPr>
        <w:t xml:space="preserve">I have considered the issue of costs </w:t>
      </w:r>
      <w:r w:rsidR="0027600D" w:rsidRPr="00FF49D0">
        <w:rPr>
          <w:lang w:val="en-GB"/>
        </w:rPr>
        <w:t>in the light of counsels’ submissions</w:t>
      </w:r>
      <w:r w:rsidR="007059F6" w:rsidRPr="00FF49D0">
        <w:rPr>
          <w:lang w:val="en-GB"/>
        </w:rPr>
        <w:t>. These are usually borne by an applicant seeking leave to amend</w:t>
      </w:r>
      <w:r w:rsidR="00EF5E79" w:rsidRPr="00FF49D0">
        <w:rPr>
          <w:lang w:val="en-GB"/>
        </w:rPr>
        <w:t xml:space="preserve">, on the basis </w:t>
      </w:r>
      <w:r w:rsidR="00D02E24" w:rsidRPr="00FF49D0">
        <w:rPr>
          <w:lang w:val="en-GB"/>
        </w:rPr>
        <w:t xml:space="preserve">that an indulgence is being sought. </w:t>
      </w:r>
      <w:r w:rsidR="0057630C" w:rsidRPr="00FF49D0">
        <w:rPr>
          <w:lang w:val="en-GB"/>
        </w:rPr>
        <w:t>In my view, the opposition to the intended amendments was not unreasonable</w:t>
      </w:r>
      <w:r w:rsidR="004438F0" w:rsidRPr="00FF49D0">
        <w:rPr>
          <w:lang w:val="en-GB"/>
        </w:rPr>
        <w:t>.</w:t>
      </w:r>
      <w:r w:rsidR="00D33F52" w:rsidRPr="00FF49D0">
        <w:rPr>
          <w:lang w:val="en-GB"/>
        </w:rPr>
        <w:t xml:space="preserve"> </w:t>
      </w:r>
      <w:r w:rsidR="004438F0" w:rsidRPr="00FF49D0">
        <w:rPr>
          <w:lang w:val="en-GB"/>
        </w:rPr>
        <w:t>I</w:t>
      </w:r>
      <w:r w:rsidR="00D33F52" w:rsidRPr="00FF49D0">
        <w:rPr>
          <w:lang w:val="en-GB"/>
        </w:rPr>
        <w:t xml:space="preserve">t </w:t>
      </w:r>
      <w:r w:rsidR="004438F0" w:rsidRPr="00FF49D0">
        <w:rPr>
          <w:lang w:val="en-GB"/>
        </w:rPr>
        <w:t xml:space="preserve">certainly </w:t>
      </w:r>
      <w:r w:rsidR="00D33F52" w:rsidRPr="00FF49D0">
        <w:rPr>
          <w:lang w:val="en-GB"/>
        </w:rPr>
        <w:t>cannot be said that none of the bases upon which the application was opposed had a realistic prospect of succeeding</w:t>
      </w:r>
      <w:r w:rsidR="004438F0" w:rsidRPr="00FF49D0">
        <w:rPr>
          <w:lang w:val="en-GB"/>
        </w:rPr>
        <w:t>, and in one respect the ground of objection has been held to be valid</w:t>
      </w:r>
      <w:r w:rsidR="0057630C" w:rsidRPr="00FF49D0">
        <w:rPr>
          <w:lang w:val="en-GB"/>
        </w:rPr>
        <w:t>.</w:t>
      </w:r>
      <w:r w:rsidR="00D33F52">
        <w:rPr>
          <w:rStyle w:val="FootnoteReference"/>
          <w:lang w:val="en-GB"/>
        </w:rPr>
        <w:footnoteReference w:id="35"/>
      </w:r>
      <w:r w:rsidR="0057630C" w:rsidRPr="00FF49D0">
        <w:rPr>
          <w:lang w:val="en-GB"/>
        </w:rPr>
        <w:t xml:space="preserve"> </w:t>
      </w:r>
      <w:r w:rsidR="004438F0" w:rsidRPr="00FF49D0">
        <w:rPr>
          <w:lang w:val="en-GB"/>
        </w:rPr>
        <w:t xml:space="preserve">In many of the instances where an amendment has been permitted, this was only following </w:t>
      </w:r>
      <w:r w:rsidR="00A43685" w:rsidRPr="00FF49D0">
        <w:rPr>
          <w:lang w:val="en-GB"/>
        </w:rPr>
        <w:t>sc</w:t>
      </w:r>
      <w:r w:rsidR="00222673" w:rsidRPr="00FF49D0">
        <w:rPr>
          <w:lang w:val="en-GB"/>
        </w:rPr>
        <w:t xml:space="preserve">rutiny and detailed consideration of the </w:t>
      </w:r>
      <w:r w:rsidR="00F567F5" w:rsidRPr="00FF49D0">
        <w:rPr>
          <w:lang w:val="en-GB"/>
        </w:rPr>
        <w:t xml:space="preserve">wording of the proposed amendments, the grounds of objection </w:t>
      </w:r>
      <w:r w:rsidR="00F567F5" w:rsidRPr="00FF49D0">
        <w:rPr>
          <w:lang w:val="en-GB"/>
        </w:rPr>
        <w:lastRenderedPageBreak/>
        <w:t xml:space="preserve">and the </w:t>
      </w:r>
      <w:r w:rsidR="000A72FA" w:rsidRPr="00FF49D0">
        <w:rPr>
          <w:lang w:val="en-GB"/>
        </w:rPr>
        <w:t xml:space="preserve">applicable </w:t>
      </w:r>
      <w:r w:rsidR="00F567F5" w:rsidRPr="00FF49D0">
        <w:rPr>
          <w:lang w:val="en-GB"/>
        </w:rPr>
        <w:t xml:space="preserve">principles. </w:t>
      </w:r>
      <w:r w:rsidR="006B018C" w:rsidRPr="00FF49D0">
        <w:rPr>
          <w:lang w:val="en-GB"/>
        </w:rPr>
        <w:t>I am satisfied that t</w:t>
      </w:r>
      <w:r w:rsidR="00E10CB9" w:rsidRPr="00FF49D0">
        <w:rPr>
          <w:lang w:val="en-GB"/>
        </w:rPr>
        <w:t>here is therefore no reason to depart from the usual position</w:t>
      </w:r>
      <w:r w:rsidR="00241FB0" w:rsidRPr="00FF49D0">
        <w:rPr>
          <w:lang w:val="en-GB"/>
        </w:rPr>
        <w:t xml:space="preserve">. </w:t>
      </w:r>
    </w:p>
    <w:p w14:paraId="0303A946" w14:textId="77777777" w:rsidR="00602ACE" w:rsidRDefault="00602ACE" w:rsidP="00F755CB">
      <w:pPr>
        <w:rPr>
          <w:lang w:val="en-GB"/>
        </w:rPr>
      </w:pPr>
    </w:p>
    <w:p w14:paraId="73B0D8D3" w14:textId="724FA09A" w:rsidR="00F755CB" w:rsidRDefault="00F755CB" w:rsidP="00F755CB">
      <w:pPr>
        <w:rPr>
          <w:b/>
          <w:bCs/>
          <w:lang w:val="en-GB"/>
        </w:rPr>
      </w:pPr>
      <w:r>
        <w:rPr>
          <w:b/>
          <w:bCs/>
          <w:lang w:val="en-GB"/>
        </w:rPr>
        <w:t>Order</w:t>
      </w:r>
    </w:p>
    <w:p w14:paraId="73D13186" w14:textId="77777777" w:rsidR="00F755CB" w:rsidRPr="00F755CB" w:rsidRDefault="00F755CB" w:rsidP="00F755CB">
      <w:pPr>
        <w:rPr>
          <w:b/>
          <w:bCs/>
          <w:lang w:val="en-GB"/>
        </w:rPr>
      </w:pPr>
    </w:p>
    <w:p w14:paraId="38C0365E" w14:textId="72BF60C7" w:rsidR="00F755CB" w:rsidRPr="00FF49D0" w:rsidRDefault="00FF49D0" w:rsidP="00FF49D0">
      <w:pPr>
        <w:autoSpaceDE w:val="0"/>
        <w:autoSpaceDN w:val="0"/>
        <w:adjustRightInd w:val="0"/>
        <w:jc w:val="both"/>
        <w:rPr>
          <w:lang w:val="en-GB"/>
        </w:rPr>
      </w:pPr>
      <w:r>
        <w:rPr>
          <w:lang w:val="en-GB"/>
        </w:rPr>
        <w:t>[54]</w:t>
      </w:r>
      <w:r>
        <w:rPr>
          <w:lang w:val="en-GB"/>
        </w:rPr>
        <w:tab/>
      </w:r>
      <w:r w:rsidR="00F755CB" w:rsidRPr="00FF49D0">
        <w:rPr>
          <w:lang w:val="en-GB"/>
        </w:rPr>
        <w:t>The following order is made:</w:t>
      </w:r>
    </w:p>
    <w:p w14:paraId="32C285A7" w14:textId="77777777" w:rsidR="00F755CB" w:rsidRDefault="00F755CB" w:rsidP="00F755CB">
      <w:pPr>
        <w:pStyle w:val="ListParagraph"/>
        <w:autoSpaceDE w:val="0"/>
        <w:autoSpaceDN w:val="0"/>
        <w:adjustRightInd w:val="0"/>
        <w:ind w:left="0"/>
        <w:jc w:val="both"/>
        <w:rPr>
          <w:lang w:val="en-GB"/>
        </w:rPr>
      </w:pPr>
    </w:p>
    <w:p w14:paraId="69CD55AE" w14:textId="4D44F144" w:rsidR="00F755CB" w:rsidRPr="00FF49D0" w:rsidRDefault="00FF49D0" w:rsidP="00FF49D0">
      <w:pPr>
        <w:autoSpaceDE w:val="0"/>
        <w:autoSpaceDN w:val="0"/>
        <w:adjustRightInd w:val="0"/>
        <w:ind w:left="720" w:hanging="360"/>
        <w:jc w:val="both"/>
        <w:rPr>
          <w:lang w:val="en-GB"/>
        </w:rPr>
      </w:pPr>
      <w:r>
        <w:rPr>
          <w:lang w:val="en-GB"/>
        </w:rPr>
        <w:t>1.</w:t>
      </w:r>
      <w:r>
        <w:rPr>
          <w:lang w:val="en-GB"/>
        </w:rPr>
        <w:tab/>
      </w:r>
      <w:r w:rsidR="00F755CB" w:rsidRPr="00FF49D0">
        <w:rPr>
          <w:lang w:val="en-GB"/>
        </w:rPr>
        <w:t xml:space="preserve">The </w:t>
      </w:r>
      <w:r w:rsidR="00941EED" w:rsidRPr="00FF49D0">
        <w:rPr>
          <w:lang w:val="en-GB"/>
        </w:rPr>
        <w:t xml:space="preserve">defendants </w:t>
      </w:r>
      <w:r w:rsidR="00F755CB" w:rsidRPr="00FF49D0">
        <w:rPr>
          <w:lang w:val="en-GB"/>
        </w:rPr>
        <w:t xml:space="preserve">are granted leave to amend their plea </w:t>
      </w:r>
      <w:r w:rsidR="004B788E" w:rsidRPr="00FF49D0">
        <w:rPr>
          <w:lang w:val="en-GB"/>
        </w:rPr>
        <w:t xml:space="preserve">to the extent set out in this judgment </w:t>
      </w:r>
      <w:r w:rsidR="00F755CB" w:rsidRPr="00FF49D0">
        <w:rPr>
          <w:lang w:val="en-GB"/>
        </w:rPr>
        <w:t>within ten days.</w:t>
      </w:r>
    </w:p>
    <w:p w14:paraId="169009E2" w14:textId="5BAC2AB0" w:rsidR="00F755CB" w:rsidRPr="00FF49D0" w:rsidRDefault="00FF49D0" w:rsidP="00FF49D0">
      <w:pPr>
        <w:autoSpaceDE w:val="0"/>
        <w:autoSpaceDN w:val="0"/>
        <w:adjustRightInd w:val="0"/>
        <w:ind w:left="720" w:hanging="360"/>
        <w:jc w:val="both"/>
        <w:rPr>
          <w:lang w:val="en-GB"/>
        </w:rPr>
      </w:pPr>
      <w:r>
        <w:rPr>
          <w:lang w:val="en-GB"/>
        </w:rPr>
        <w:t>2.</w:t>
      </w:r>
      <w:r>
        <w:rPr>
          <w:lang w:val="en-GB"/>
        </w:rPr>
        <w:tab/>
      </w:r>
      <w:r w:rsidR="00F755CB" w:rsidRPr="00FF49D0">
        <w:rPr>
          <w:lang w:val="en-GB"/>
        </w:rPr>
        <w:t xml:space="preserve">The </w:t>
      </w:r>
      <w:r w:rsidR="00941EED" w:rsidRPr="00FF49D0">
        <w:rPr>
          <w:lang w:val="en-GB"/>
        </w:rPr>
        <w:t>defendants</w:t>
      </w:r>
      <w:r w:rsidR="00F755CB" w:rsidRPr="00FF49D0">
        <w:rPr>
          <w:lang w:val="en-GB"/>
        </w:rPr>
        <w:t xml:space="preserve"> </w:t>
      </w:r>
      <w:r w:rsidR="00575DD1" w:rsidRPr="00FF49D0">
        <w:rPr>
          <w:lang w:val="en-GB"/>
        </w:rPr>
        <w:t>are</w:t>
      </w:r>
      <w:r w:rsidR="00F755CB" w:rsidRPr="00FF49D0">
        <w:rPr>
          <w:lang w:val="en-GB"/>
        </w:rPr>
        <w:t xml:space="preserve"> </w:t>
      </w:r>
      <w:r w:rsidR="00B16565" w:rsidRPr="00FF49D0">
        <w:rPr>
          <w:lang w:val="en-GB"/>
        </w:rPr>
        <w:t xml:space="preserve">jointly and severally liable </w:t>
      </w:r>
      <w:r w:rsidR="00F755CB" w:rsidRPr="00FF49D0">
        <w:rPr>
          <w:lang w:val="en-GB"/>
        </w:rPr>
        <w:t>to pay the costs of the application.</w:t>
      </w:r>
    </w:p>
    <w:p w14:paraId="33D91235" w14:textId="77777777" w:rsidR="00F755CB" w:rsidRDefault="00F755CB" w:rsidP="00811E29">
      <w:pPr>
        <w:pStyle w:val="ListParagraph"/>
        <w:autoSpaceDE w:val="0"/>
        <w:autoSpaceDN w:val="0"/>
        <w:adjustRightInd w:val="0"/>
        <w:ind w:left="0"/>
        <w:jc w:val="both"/>
        <w:rPr>
          <w:lang w:val="en-GB"/>
        </w:rPr>
      </w:pPr>
    </w:p>
    <w:p w14:paraId="54ADFF2B" w14:textId="77777777" w:rsidR="004449A3" w:rsidRPr="004449A3" w:rsidRDefault="004449A3" w:rsidP="004449A3">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05D83983" w:rsidR="007A7BBE" w:rsidRPr="00A87D38" w:rsidRDefault="007A7BBE" w:rsidP="00CA056D">
      <w:pPr>
        <w:widowControl w:val="0"/>
        <w:ind w:right="656"/>
        <w:rPr>
          <w:spacing w:val="14"/>
          <w:kern w:val="2"/>
          <w:lang w:val="en-GB"/>
        </w:rPr>
      </w:pPr>
      <w:r w:rsidRPr="00602ACE">
        <w:rPr>
          <w:b/>
          <w:bCs/>
          <w:spacing w:val="14"/>
          <w:kern w:val="2"/>
          <w:lang w:val="en-GB"/>
        </w:rPr>
        <w:t>Heard</w:t>
      </w:r>
      <w:r w:rsidRPr="00A87D38">
        <w:rPr>
          <w:spacing w:val="14"/>
          <w:kern w:val="2"/>
          <w:lang w:val="en-GB"/>
        </w:rPr>
        <w:t>:</w:t>
      </w:r>
      <w:r w:rsidR="009D328B">
        <w:rPr>
          <w:spacing w:val="14"/>
          <w:kern w:val="2"/>
          <w:lang w:val="en-GB"/>
        </w:rPr>
        <w:t xml:space="preserve"> </w:t>
      </w:r>
      <w:r w:rsidR="00602ACE">
        <w:rPr>
          <w:spacing w:val="14"/>
          <w:kern w:val="2"/>
          <w:lang w:val="en-GB"/>
        </w:rPr>
        <w:t>01 June 2023</w:t>
      </w:r>
    </w:p>
    <w:p w14:paraId="299C01BC" w14:textId="77777777" w:rsidR="00CA056D" w:rsidRDefault="00CA056D" w:rsidP="000D4C7F">
      <w:pPr>
        <w:widowControl w:val="0"/>
        <w:ind w:left="4320" w:right="656" w:firstLine="720"/>
        <w:jc w:val="right"/>
        <w:rPr>
          <w:spacing w:val="14"/>
          <w:kern w:val="2"/>
          <w:lang w:val="en-GB"/>
        </w:rPr>
      </w:pPr>
    </w:p>
    <w:p w14:paraId="5D550954" w14:textId="53230724" w:rsidR="007A7BBE" w:rsidRDefault="007A7BBE" w:rsidP="00CA056D">
      <w:pPr>
        <w:widowControl w:val="0"/>
        <w:ind w:right="656"/>
        <w:rPr>
          <w:spacing w:val="14"/>
          <w:kern w:val="2"/>
          <w:lang w:val="en-GB"/>
        </w:rPr>
      </w:pPr>
      <w:r w:rsidRPr="00602ACE">
        <w:rPr>
          <w:b/>
          <w:bCs/>
          <w:spacing w:val="14"/>
          <w:kern w:val="2"/>
          <w:lang w:val="en-GB"/>
        </w:rPr>
        <w:t>Delivered</w:t>
      </w:r>
      <w:r w:rsidRPr="00A87D38">
        <w:rPr>
          <w:spacing w:val="14"/>
          <w:kern w:val="2"/>
          <w:lang w:val="en-GB"/>
        </w:rPr>
        <w:t>:</w:t>
      </w:r>
      <w:r w:rsidR="009D328B">
        <w:rPr>
          <w:spacing w:val="14"/>
          <w:kern w:val="2"/>
          <w:lang w:val="en-GB"/>
        </w:rPr>
        <w:t xml:space="preserve"> </w:t>
      </w:r>
      <w:r w:rsidR="00602ACE">
        <w:rPr>
          <w:spacing w:val="14"/>
          <w:kern w:val="2"/>
          <w:lang w:val="en-GB"/>
        </w:rPr>
        <w:t>17 August 2023</w:t>
      </w:r>
    </w:p>
    <w:p w14:paraId="7066F5E8" w14:textId="77777777" w:rsidR="00602ACE" w:rsidRDefault="00602ACE" w:rsidP="00CA056D">
      <w:pPr>
        <w:widowControl w:val="0"/>
        <w:ind w:right="656"/>
        <w:rPr>
          <w:spacing w:val="14"/>
          <w:kern w:val="2"/>
          <w:lang w:val="en-GB"/>
        </w:rPr>
      </w:pPr>
    </w:p>
    <w:p w14:paraId="20ECFBEF" w14:textId="77777777" w:rsidR="00602ACE" w:rsidRDefault="00602ACE" w:rsidP="00CA056D">
      <w:pPr>
        <w:widowControl w:val="0"/>
        <w:ind w:right="656"/>
        <w:rPr>
          <w:spacing w:val="14"/>
          <w:kern w:val="2"/>
          <w:lang w:val="en-GB"/>
        </w:rPr>
      </w:pPr>
    </w:p>
    <w:p w14:paraId="472E5A6D" w14:textId="77777777" w:rsidR="00602ACE" w:rsidRDefault="00602ACE" w:rsidP="00CA056D">
      <w:pPr>
        <w:widowControl w:val="0"/>
        <w:ind w:right="656"/>
        <w:rPr>
          <w:spacing w:val="14"/>
          <w:kern w:val="2"/>
          <w:lang w:val="en-GB"/>
        </w:rPr>
      </w:pPr>
    </w:p>
    <w:p w14:paraId="091E532B" w14:textId="77777777" w:rsidR="00602ACE" w:rsidRDefault="00602ACE" w:rsidP="00CA056D">
      <w:pPr>
        <w:widowControl w:val="0"/>
        <w:ind w:right="656"/>
        <w:rPr>
          <w:spacing w:val="14"/>
          <w:kern w:val="2"/>
          <w:lang w:val="en-GB"/>
        </w:rPr>
      </w:pPr>
    </w:p>
    <w:p w14:paraId="05BADF7D" w14:textId="77777777" w:rsidR="009D328B" w:rsidRDefault="009D328B" w:rsidP="00CA056D">
      <w:pPr>
        <w:widowControl w:val="0"/>
        <w:ind w:right="656"/>
        <w:rPr>
          <w:spacing w:val="14"/>
          <w:kern w:val="2"/>
          <w:lang w:val="en-GB"/>
        </w:rPr>
      </w:pPr>
    </w:p>
    <w:p w14:paraId="791BA52D" w14:textId="77777777" w:rsidR="009D328B" w:rsidRDefault="009D328B" w:rsidP="00CA056D">
      <w:pPr>
        <w:widowControl w:val="0"/>
        <w:ind w:right="656"/>
        <w:rPr>
          <w:spacing w:val="14"/>
          <w:kern w:val="2"/>
          <w:lang w:val="en-GB"/>
        </w:rPr>
      </w:pPr>
    </w:p>
    <w:p w14:paraId="79C28912" w14:textId="77777777" w:rsidR="009D328B" w:rsidRDefault="009D328B" w:rsidP="00CA056D">
      <w:pPr>
        <w:widowControl w:val="0"/>
        <w:ind w:right="656"/>
        <w:rPr>
          <w:spacing w:val="14"/>
          <w:kern w:val="2"/>
          <w:lang w:val="en-GB"/>
        </w:rPr>
      </w:pPr>
    </w:p>
    <w:p w14:paraId="1F5142BA" w14:textId="77777777" w:rsidR="000571EB" w:rsidRDefault="000571EB" w:rsidP="00CA056D">
      <w:pPr>
        <w:widowControl w:val="0"/>
        <w:ind w:right="656"/>
        <w:rPr>
          <w:spacing w:val="14"/>
          <w:kern w:val="2"/>
          <w:lang w:val="en-GB"/>
        </w:rPr>
      </w:pPr>
    </w:p>
    <w:p w14:paraId="32B8B688" w14:textId="77777777" w:rsidR="009D328B" w:rsidRDefault="009D328B" w:rsidP="00CA056D">
      <w:pPr>
        <w:widowControl w:val="0"/>
        <w:ind w:right="656"/>
        <w:rPr>
          <w:spacing w:val="14"/>
          <w:kern w:val="2"/>
          <w:lang w:val="en-GB"/>
        </w:rPr>
      </w:pPr>
    </w:p>
    <w:p w14:paraId="5BC36BEF" w14:textId="77777777" w:rsidR="009D328B" w:rsidRDefault="009D328B" w:rsidP="00CA056D">
      <w:pPr>
        <w:widowControl w:val="0"/>
        <w:ind w:right="656"/>
        <w:rPr>
          <w:spacing w:val="14"/>
          <w:kern w:val="2"/>
          <w:lang w:val="en-GB"/>
        </w:rPr>
      </w:pPr>
    </w:p>
    <w:p w14:paraId="5F582F94" w14:textId="77777777" w:rsidR="009D328B" w:rsidRDefault="009D328B" w:rsidP="00CA056D">
      <w:pPr>
        <w:widowControl w:val="0"/>
        <w:ind w:right="656"/>
        <w:rPr>
          <w:spacing w:val="14"/>
          <w:kern w:val="2"/>
          <w:lang w:val="en-GB"/>
        </w:rPr>
      </w:pPr>
    </w:p>
    <w:p w14:paraId="7589B7C9" w14:textId="77777777" w:rsidR="009D328B" w:rsidRDefault="009D328B" w:rsidP="00CA056D">
      <w:pPr>
        <w:widowControl w:val="0"/>
        <w:ind w:right="656"/>
        <w:rPr>
          <w:spacing w:val="14"/>
          <w:kern w:val="2"/>
          <w:lang w:val="en-GB"/>
        </w:rPr>
      </w:pPr>
    </w:p>
    <w:p w14:paraId="0BAE84DD" w14:textId="79950F93" w:rsidR="007C247A" w:rsidRDefault="007C247A" w:rsidP="00772E4B">
      <w:pPr>
        <w:jc w:val="both"/>
        <w:rPr>
          <w:lang w:val="en-GB"/>
        </w:rPr>
      </w:pPr>
      <w:r w:rsidRPr="00044B50">
        <w:rPr>
          <w:lang w:val="en-GB"/>
        </w:rPr>
        <w:lastRenderedPageBreak/>
        <w:t>Appearances:</w:t>
      </w:r>
    </w:p>
    <w:p w14:paraId="3DB11D92" w14:textId="24B20241" w:rsidR="00602ACE" w:rsidRDefault="00602ACE"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020EA7D5" w14:textId="5B6F46B4" w:rsidR="00C33845" w:rsidRDefault="00DE7AD6" w:rsidP="00772E4B">
      <w:pPr>
        <w:jc w:val="both"/>
        <w:rPr>
          <w:lang w:val="en-GB"/>
        </w:rPr>
      </w:pPr>
      <w:r>
        <w:rPr>
          <w:lang w:val="en-GB"/>
        </w:rPr>
        <w:t xml:space="preserve">Counsel for the </w:t>
      </w:r>
      <w:r w:rsidR="00F7687E">
        <w:rPr>
          <w:lang w:val="en-GB"/>
        </w:rPr>
        <w:t>Applicants</w:t>
      </w:r>
      <w:r>
        <w:rPr>
          <w:lang w:val="en-GB"/>
        </w:rPr>
        <w:t>:</w:t>
      </w:r>
      <w:r>
        <w:rPr>
          <w:lang w:val="en-GB"/>
        </w:rPr>
        <w:tab/>
      </w:r>
      <w:r w:rsidR="00F7687E">
        <w:rPr>
          <w:lang w:val="en-GB"/>
        </w:rPr>
        <w:tab/>
      </w:r>
      <w:r>
        <w:rPr>
          <w:lang w:val="en-GB"/>
        </w:rPr>
        <w:tab/>
        <w:t>Adv V Mabuza</w:t>
      </w:r>
    </w:p>
    <w:p w14:paraId="61B47CA2" w14:textId="0FE56B5E" w:rsidR="00DE7AD6" w:rsidRDefault="00DE7AD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Brooklyn </w:t>
      </w:r>
      <w:r w:rsidR="000571EB">
        <w:rPr>
          <w:lang w:val="en-GB"/>
        </w:rPr>
        <w:t>Chambers, Pretoria</w:t>
      </w:r>
    </w:p>
    <w:p w14:paraId="23A2D137" w14:textId="77777777" w:rsidR="00C33845" w:rsidRDefault="00C33845" w:rsidP="00772E4B">
      <w:pPr>
        <w:jc w:val="both"/>
        <w:rPr>
          <w:lang w:val="en-GB"/>
        </w:rPr>
      </w:pPr>
    </w:p>
    <w:p w14:paraId="446B058F" w14:textId="77777777" w:rsidR="00DE7AD6" w:rsidRDefault="00DE7AD6" w:rsidP="00DE7AD6">
      <w:pPr>
        <w:jc w:val="both"/>
        <w:rPr>
          <w:lang w:val="en-GB"/>
        </w:rPr>
      </w:pPr>
      <w:r>
        <w:rPr>
          <w:lang w:val="en-GB"/>
        </w:rPr>
        <w:t>Instructed by:</w:t>
      </w:r>
      <w:r>
        <w:rPr>
          <w:lang w:val="en-GB"/>
        </w:rPr>
        <w:tab/>
      </w:r>
      <w:r>
        <w:rPr>
          <w:lang w:val="en-GB"/>
        </w:rPr>
        <w:tab/>
      </w:r>
      <w:r>
        <w:rPr>
          <w:lang w:val="en-GB"/>
        </w:rPr>
        <w:tab/>
      </w:r>
      <w:r>
        <w:rPr>
          <w:lang w:val="en-GB"/>
        </w:rPr>
        <w:tab/>
        <w:t>MWIM &amp; Associates Inc.</w:t>
      </w:r>
    </w:p>
    <w:p w14:paraId="06D8413B" w14:textId="77EE9C4C" w:rsidR="00DE7AD6" w:rsidRDefault="00DE7AD6" w:rsidP="00DE7AD6">
      <w:pPr>
        <w:jc w:val="both"/>
        <w:rPr>
          <w:lang w:val="en-GB"/>
        </w:rPr>
      </w:pPr>
      <w:r>
        <w:rPr>
          <w:lang w:val="en-GB"/>
        </w:rPr>
        <w:tab/>
      </w:r>
      <w:r>
        <w:rPr>
          <w:lang w:val="en-GB"/>
        </w:rPr>
        <w:tab/>
      </w:r>
      <w:r>
        <w:rPr>
          <w:lang w:val="en-GB"/>
        </w:rPr>
        <w:tab/>
      </w:r>
      <w:r>
        <w:rPr>
          <w:lang w:val="en-GB"/>
        </w:rPr>
        <w:tab/>
      </w:r>
      <w:r>
        <w:rPr>
          <w:lang w:val="en-GB"/>
        </w:rPr>
        <w:tab/>
      </w:r>
      <w:r>
        <w:rPr>
          <w:lang w:val="en-GB"/>
        </w:rPr>
        <w:tab/>
        <w:t>Attorneys for the Defendants</w:t>
      </w:r>
    </w:p>
    <w:p w14:paraId="58C1253A" w14:textId="77777777" w:rsidR="00DE7AD6" w:rsidRDefault="00DE7AD6" w:rsidP="00DE7AD6">
      <w:pPr>
        <w:jc w:val="both"/>
        <w:rPr>
          <w:lang w:val="en-GB"/>
        </w:rPr>
      </w:pPr>
      <w:r>
        <w:rPr>
          <w:lang w:val="en-GB"/>
        </w:rPr>
        <w:tab/>
      </w:r>
      <w:r>
        <w:rPr>
          <w:lang w:val="en-GB"/>
        </w:rPr>
        <w:tab/>
      </w:r>
      <w:r>
        <w:rPr>
          <w:lang w:val="en-GB"/>
        </w:rPr>
        <w:tab/>
      </w:r>
      <w:r>
        <w:rPr>
          <w:lang w:val="en-GB"/>
        </w:rPr>
        <w:tab/>
      </w:r>
      <w:r>
        <w:rPr>
          <w:lang w:val="en-GB"/>
        </w:rPr>
        <w:tab/>
      </w:r>
      <w:r>
        <w:rPr>
          <w:lang w:val="en-GB"/>
        </w:rPr>
        <w:tab/>
        <w:t>Van Erkom Building</w:t>
      </w:r>
    </w:p>
    <w:p w14:paraId="04BDF997" w14:textId="77777777" w:rsidR="00DE7AD6" w:rsidRDefault="00DE7AD6" w:rsidP="00DE7AD6">
      <w:pPr>
        <w:jc w:val="both"/>
        <w:rPr>
          <w:lang w:val="en-GB"/>
        </w:rPr>
      </w:pPr>
      <w:r>
        <w:rPr>
          <w:lang w:val="en-GB"/>
        </w:rPr>
        <w:tab/>
      </w:r>
      <w:r>
        <w:rPr>
          <w:lang w:val="en-GB"/>
        </w:rPr>
        <w:tab/>
      </w:r>
      <w:r>
        <w:rPr>
          <w:lang w:val="en-GB"/>
        </w:rPr>
        <w:tab/>
      </w:r>
      <w:r>
        <w:rPr>
          <w:lang w:val="en-GB"/>
        </w:rPr>
        <w:tab/>
      </w:r>
      <w:r>
        <w:rPr>
          <w:lang w:val="en-GB"/>
        </w:rPr>
        <w:tab/>
      </w:r>
      <w:r>
        <w:rPr>
          <w:lang w:val="en-GB"/>
        </w:rPr>
        <w:tab/>
        <w:t>217 Pretorius Street</w:t>
      </w:r>
    </w:p>
    <w:p w14:paraId="071CCF54" w14:textId="77777777" w:rsidR="00DE7AD6" w:rsidRDefault="00DE7AD6" w:rsidP="00DE7AD6">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Pretoria </w:t>
      </w:r>
    </w:p>
    <w:p w14:paraId="774A8934" w14:textId="77777777" w:rsidR="00DE7AD6" w:rsidRDefault="00DE7AD6" w:rsidP="00DE7AD6">
      <w:pPr>
        <w:jc w:val="both"/>
        <w:rPr>
          <w:lang w:val="en-GB"/>
        </w:rPr>
      </w:pPr>
      <w:r>
        <w:rPr>
          <w:lang w:val="en-GB"/>
        </w:rPr>
        <w:tab/>
      </w:r>
      <w:r>
        <w:rPr>
          <w:lang w:val="en-GB"/>
        </w:rPr>
        <w:tab/>
      </w:r>
      <w:r>
        <w:rPr>
          <w:lang w:val="en-GB"/>
        </w:rPr>
        <w:tab/>
      </w:r>
      <w:r>
        <w:rPr>
          <w:lang w:val="en-GB"/>
        </w:rPr>
        <w:tab/>
      </w:r>
      <w:r>
        <w:rPr>
          <w:lang w:val="en-GB"/>
        </w:rPr>
        <w:tab/>
      </w:r>
      <w:r>
        <w:rPr>
          <w:lang w:val="en-GB"/>
        </w:rPr>
        <w:tab/>
        <w:t>Email:edenhpaul@mwimlaw.co.za</w:t>
      </w:r>
    </w:p>
    <w:p w14:paraId="017E78DF" w14:textId="77777777" w:rsidR="00DE7AD6" w:rsidRDefault="00DE7AD6" w:rsidP="00DE7AD6">
      <w:pPr>
        <w:jc w:val="both"/>
        <w:rPr>
          <w:lang w:val="en-GB"/>
        </w:rPr>
      </w:pPr>
    </w:p>
    <w:p w14:paraId="6BEFA28E" w14:textId="77777777" w:rsidR="00DE7AD6" w:rsidRDefault="00DE7AD6" w:rsidP="00DE7AD6">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De Jager &amp; Lordan Inc.</w:t>
      </w:r>
    </w:p>
    <w:p w14:paraId="633C0D7B" w14:textId="77777777" w:rsidR="00DE7AD6" w:rsidRDefault="00DE7AD6" w:rsidP="00DE7AD6">
      <w:pPr>
        <w:jc w:val="both"/>
        <w:rPr>
          <w:lang w:val="en-GB"/>
        </w:rPr>
      </w:pPr>
      <w:r>
        <w:rPr>
          <w:lang w:val="en-GB"/>
        </w:rPr>
        <w:tab/>
      </w:r>
      <w:r>
        <w:rPr>
          <w:lang w:val="en-GB"/>
        </w:rPr>
        <w:tab/>
      </w:r>
      <w:r>
        <w:rPr>
          <w:lang w:val="en-GB"/>
        </w:rPr>
        <w:tab/>
      </w:r>
      <w:r>
        <w:rPr>
          <w:lang w:val="en-GB"/>
        </w:rPr>
        <w:tab/>
      </w:r>
      <w:r>
        <w:rPr>
          <w:lang w:val="en-GB"/>
        </w:rPr>
        <w:tab/>
      </w:r>
      <w:r>
        <w:rPr>
          <w:lang w:val="en-GB"/>
        </w:rPr>
        <w:tab/>
        <w:t>2 Allen Street</w:t>
      </w:r>
    </w:p>
    <w:p w14:paraId="11DE22A5" w14:textId="77777777" w:rsidR="00DE7AD6" w:rsidRDefault="00DE7AD6" w:rsidP="00DE7AD6">
      <w:pPr>
        <w:jc w:val="both"/>
        <w:rPr>
          <w:lang w:val="en-GB"/>
        </w:rPr>
      </w:pPr>
      <w:r>
        <w:rPr>
          <w:lang w:val="en-GB"/>
        </w:rPr>
        <w:tab/>
      </w:r>
      <w:r>
        <w:rPr>
          <w:lang w:val="en-GB"/>
        </w:rPr>
        <w:tab/>
      </w:r>
      <w:r>
        <w:rPr>
          <w:lang w:val="en-GB"/>
        </w:rPr>
        <w:tab/>
      </w:r>
      <w:r>
        <w:rPr>
          <w:lang w:val="en-GB"/>
        </w:rPr>
        <w:tab/>
      </w:r>
      <w:r>
        <w:rPr>
          <w:lang w:val="en-GB"/>
        </w:rPr>
        <w:tab/>
      </w:r>
      <w:r>
        <w:rPr>
          <w:lang w:val="en-GB"/>
        </w:rPr>
        <w:tab/>
        <w:t>Makhanda</w:t>
      </w:r>
    </w:p>
    <w:p w14:paraId="11E3CA31" w14:textId="77777777" w:rsidR="00DE7AD6" w:rsidRDefault="00DE7AD6" w:rsidP="00DE7AD6">
      <w:pPr>
        <w:jc w:val="both"/>
        <w:rPr>
          <w:lang w:val="en-GB"/>
        </w:rPr>
      </w:pPr>
      <w:r>
        <w:rPr>
          <w:lang w:val="en-GB"/>
        </w:rPr>
        <w:tab/>
      </w:r>
      <w:r>
        <w:rPr>
          <w:lang w:val="en-GB"/>
        </w:rPr>
        <w:tab/>
      </w:r>
      <w:r>
        <w:rPr>
          <w:lang w:val="en-GB"/>
        </w:rPr>
        <w:tab/>
      </w:r>
      <w:r>
        <w:rPr>
          <w:lang w:val="en-GB"/>
        </w:rPr>
        <w:tab/>
      </w:r>
      <w:r>
        <w:rPr>
          <w:lang w:val="en-GB"/>
        </w:rPr>
        <w:tab/>
      </w:r>
      <w:r>
        <w:rPr>
          <w:lang w:val="en-GB"/>
        </w:rPr>
        <w:tab/>
        <w:t>Email:stuart@djlaw.co.za</w:t>
      </w:r>
    </w:p>
    <w:p w14:paraId="21A826F2" w14:textId="21E4E269" w:rsidR="00F7687E" w:rsidRDefault="00C33845" w:rsidP="00772E4B">
      <w:pPr>
        <w:jc w:val="both"/>
        <w:rPr>
          <w:lang w:val="en-GB"/>
        </w:rPr>
      </w:pPr>
      <w:r>
        <w:rPr>
          <w:lang w:val="en-GB"/>
        </w:rPr>
        <w:tab/>
      </w:r>
      <w:r>
        <w:rPr>
          <w:lang w:val="en-GB"/>
        </w:rPr>
        <w:tab/>
      </w:r>
      <w:r>
        <w:rPr>
          <w:lang w:val="en-GB"/>
        </w:rPr>
        <w:tab/>
      </w:r>
    </w:p>
    <w:p w14:paraId="308B867C" w14:textId="77777777" w:rsidR="00F7687E" w:rsidRDefault="00F7687E" w:rsidP="00772E4B">
      <w:pPr>
        <w:jc w:val="both"/>
        <w:rPr>
          <w:lang w:val="en-GB"/>
        </w:rPr>
      </w:pPr>
    </w:p>
    <w:p w14:paraId="0F644A28" w14:textId="3778E4BF" w:rsidR="00F7687E" w:rsidRDefault="00F7687E" w:rsidP="00F7687E">
      <w:pPr>
        <w:jc w:val="both"/>
        <w:rPr>
          <w:lang w:val="en-GB"/>
        </w:rPr>
      </w:pPr>
      <w:r>
        <w:rPr>
          <w:lang w:val="en-GB"/>
        </w:rPr>
        <w:t>Counsel for the Respondent:</w:t>
      </w:r>
      <w:r>
        <w:rPr>
          <w:lang w:val="en-GB"/>
        </w:rPr>
        <w:tab/>
      </w:r>
      <w:r>
        <w:rPr>
          <w:lang w:val="en-GB"/>
        </w:rPr>
        <w:tab/>
        <w:t>Adv F Gordon-Turner</w:t>
      </w:r>
    </w:p>
    <w:p w14:paraId="157D93EF" w14:textId="77777777" w:rsidR="00F7687E" w:rsidRDefault="00F7687E" w:rsidP="00F7687E">
      <w:pPr>
        <w:jc w:val="both"/>
        <w:rPr>
          <w:lang w:val="en-GB"/>
        </w:rPr>
      </w:pPr>
    </w:p>
    <w:p w14:paraId="0DA10288" w14:textId="77777777" w:rsidR="00F7687E" w:rsidRDefault="00F7687E" w:rsidP="00F7687E">
      <w:pPr>
        <w:jc w:val="both"/>
        <w:rPr>
          <w:lang w:val="en-GB"/>
        </w:rPr>
      </w:pPr>
      <w:r>
        <w:rPr>
          <w:lang w:val="en-GB"/>
        </w:rPr>
        <w:t>Instructed by:</w:t>
      </w:r>
      <w:r>
        <w:rPr>
          <w:lang w:val="en-GB"/>
        </w:rPr>
        <w:tab/>
      </w:r>
      <w:r>
        <w:rPr>
          <w:lang w:val="en-GB"/>
        </w:rPr>
        <w:tab/>
      </w:r>
      <w:r>
        <w:rPr>
          <w:lang w:val="en-GB"/>
        </w:rPr>
        <w:tab/>
      </w:r>
      <w:r>
        <w:rPr>
          <w:lang w:val="en-GB"/>
        </w:rPr>
        <w:tab/>
        <w:t>Bradley Conradie Halton Cheadle</w:t>
      </w:r>
    </w:p>
    <w:p w14:paraId="74EAD28D" w14:textId="77777777" w:rsidR="00F7687E" w:rsidRDefault="00F7687E" w:rsidP="00F7687E">
      <w:pPr>
        <w:jc w:val="both"/>
        <w:rPr>
          <w:lang w:val="en-GB"/>
        </w:rPr>
      </w:pPr>
      <w:r>
        <w:rPr>
          <w:lang w:val="en-GB"/>
        </w:rPr>
        <w:tab/>
      </w:r>
      <w:r>
        <w:rPr>
          <w:lang w:val="en-GB"/>
        </w:rPr>
        <w:tab/>
      </w:r>
      <w:r>
        <w:rPr>
          <w:lang w:val="en-GB"/>
        </w:rPr>
        <w:tab/>
      </w:r>
      <w:r>
        <w:rPr>
          <w:lang w:val="en-GB"/>
        </w:rPr>
        <w:tab/>
      </w:r>
      <w:r>
        <w:rPr>
          <w:lang w:val="en-GB"/>
        </w:rPr>
        <w:tab/>
      </w:r>
      <w:r>
        <w:rPr>
          <w:lang w:val="en-GB"/>
        </w:rPr>
        <w:tab/>
        <w:t>Attorneys for the Plaintiff</w:t>
      </w:r>
    </w:p>
    <w:p w14:paraId="6F9C5F6F" w14:textId="77777777" w:rsidR="00F7687E" w:rsidRDefault="00F7687E" w:rsidP="00F7687E">
      <w:pPr>
        <w:jc w:val="both"/>
        <w:rPr>
          <w:lang w:val="en-GB"/>
        </w:rPr>
      </w:pPr>
      <w:r>
        <w:rPr>
          <w:lang w:val="en-GB"/>
        </w:rPr>
        <w:tab/>
      </w:r>
      <w:r>
        <w:rPr>
          <w:lang w:val="en-GB"/>
        </w:rPr>
        <w:tab/>
      </w:r>
      <w:r>
        <w:rPr>
          <w:lang w:val="en-GB"/>
        </w:rPr>
        <w:tab/>
      </w:r>
      <w:r>
        <w:rPr>
          <w:lang w:val="en-GB"/>
        </w:rPr>
        <w:tab/>
      </w:r>
      <w:r>
        <w:rPr>
          <w:lang w:val="en-GB"/>
        </w:rPr>
        <w:tab/>
      </w:r>
      <w:r>
        <w:rPr>
          <w:lang w:val="en-GB"/>
        </w:rPr>
        <w:tab/>
        <w:t>G04,The Gatehouse</w:t>
      </w:r>
    </w:p>
    <w:p w14:paraId="5D061B09" w14:textId="77777777" w:rsidR="00F7687E" w:rsidRDefault="00F7687E" w:rsidP="00F7687E">
      <w:pPr>
        <w:jc w:val="both"/>
        <w:rPr>
          <w:lang w:val="en-GB"/>
        </w:rPr>
      </w:pPr>
      <w:r>
        <w:rPr>
          <w:lang w:val="en-GB"/>
        </w:rPr>
        <w:tab/>
      </w:r>
      <w:r>
        <w:rPr>
          <w:lang w:val="en-GB"/>
        </w:rPr>
        <w:tab/>
      </w:r>
      <w:r>
        <w:rPr>
          <w:lang w:val="en-GB"/>
        </w:rPr>
        <w:tab/>
      </w:r>
      <w:r>
        <w:rPr>
          <w:lang w:val="en-GB"/>
        </w:rPr>
        <w:tab/>
      </w:r>
      <w:r>
        <w:rPr>
          <w:lang w:val="en-GB"/>
        </w:rPr>
        <w:tab/>
      </w:r>
      <w:r>
        <w:rPr>
          <w:lang w:val="en-GB"/>
        </w:rPr>
        <w:tab/>
        <w:t>Century Way</w:t>
      </w:r>
    </w:p>
    <w:p w14:paraId="4E480FE5" w14:textId="77777777" w:rsidR="00F7687E" w:rsidRDefault="00F7687E" w:rsidP="00F7687E">
      <w:pPr>
        <w:jc w:val="both"/>
        <w:rPr>
          <w:lang w:val="en-GB"/>
        </w:rPr>
      </w:pPr>
      <w:r>
        <w:rPr>
          <w:lang w:val="en-GB"/>
        </w:rPr>
        <w:tab/>
      </w:r>
      <w:r>
        <w:rPr>
          <w:lang w:val="en-GB"/>
        </w:rPr>
        <w:tab/>
      </w:r>
      <w:r>
        <w:rPr>
          <w:lang w:val="en-GB"/>
        </w:rPr>
        <w:tab/>
      </w:r>
      <w:r>
        <w:rPr>
          <w:lang w:val="en-GB"/>
        </w:rPr>
        <w:tab/>
      </w:r>
      <w:r>
        <w:rPr>
          <w:lang w:val="en-GB"/>
        </w:rPr>
        <w:tab/>
      </w:r>
      <w:r>
        <w:rPr>
          <w:lang w:val="en-GB"/>
        </w:rPr>
        <w:tab/>
        <w:t>Century City</w:t>
      </w:r>
    </w:p>
    <w:p w14:paraId="3D96A60C" w14:textId="77777777" w:rsidR="00F7687E" w:rsidRDefault="00F7687E" w:rsidP="00F7687E">
      <w:pPr>
        <w:jc w:val="both"/>
        <w:rPr>
          <w:lang w:val="en-GB"/>
        </w:rPr>
      </w:pPr>
      <w:r>
        <w:rPr>
          <w:lang w:val="en-GB"/>
        </w:rPr>
        <w:tab/>
      </w:r>
      <w:r>
        <w:rPr>
          <w:lang w:val="en-GB"/>
        </w:rPr>
        <w:tab/>
      </w:r>
      <w:r>
        <w:rPr>
          <w:lang w:val="en-GB"/>
        </w:rPr>
        <w:tab/>
      </w:r>
      <w:r>
        <w:rPr>
          <w:lang w:val="en-GB"/>
        </w:rPr>
        <w:tab/>
      </w:r>
      <w:r>
        <w:rPr>
          <w:lang w:val="en-GB"/>
        </w:rPr>
        <w:tab/>
      </w:r>
      <w:r>
        <w:rPr>
          <w:lang w:val="en-GB"/>
        </w:rPr>
        <w:tab/>
        <w:t>Cape Town</w:t>
      </w:r>
    </w:p>
    <w:p w14:paraId="576CFCBD" w14:textId="77777777" w:rsidR="00F7687E" w:rsidRDefault="00F7687E" w:rsidP="00F7687E">
      <w:pPr>
        <w:jc w:val="both"/>
        <w:rPr>
          <w:lang w:val="en-GB"/>
        </w:rPr>
      </w:pPr>
      <w:r>
        <w:rPr>
          <w:lang w:val="en-GB"/>
        </w:rPr>
        <w:tab/>
      </w:r>
      <w:r>
        <w:rPr>
          <w:lang w:val="en-GB"/>
        </w:rPr>
        <w:tab/>
      </w:r>
      <w:r>
        <w:rPr>
          <w:lang w:val="en-GB"/>
        </w:rPr>
        <w:tab/>
      </w:r>
      <w:r>
        <w:rPr>
          <w:lang w:val="en-GB"/>
        </w:rPr>
        <w:tab/>
      </w:r>
      <w:r>
        <w:rPr>
          <w:lang w:val="en-GB"/>
        </w:rPr>
        <w:tab/>
      </w:r>
      <w:r>
        <w:rPr>
          <w:lang w:val="en-GB"/>
        </w:rPr>
        <w:tab/>
        <w:t>Email:liezl@bchc.co.za</w:t>
      </w:r>
    </w:p>
    <w:p w14:paraId="0B28CB76" w14:textId="77777777" w:rsidR="00F7687E" w:rsidRDefault="00F7687E" w:rsidP="00F7687E">
      <w:pPr>
        <w:jc w:val="both"/>
        <w:rPr>
          <w:lang w:val="en-GB"/>
        </w:rPr>
      </w:pPr>
    </w:p>
    <w:p w14:paraId="37121774" w14:textId="77777777" w:rsidR="00F7687E" w:rsidRDefault="00F7687E" w:rsidP="00F7687E">
      <w:pPr>
        <w:jc w:val="both"/>
        <w:rPr>
          <w:lang w:val="en-GB"/>
        </w:rPr>
      </w:pPr>
      <w:r>
        <w:rPr>
          <w:lang w:val="en-GB"/>
        </w:rPr>
        <w:t>C/O:</w:t>
      </w:r>
      <w:r>
        <w:rPr>
          <w:lang w:val="en-GB"/>
        </w:rPr>
        <w:tab/>
      </w:r>
      <w:r>
        <w:rPr>
          <w:lang w:val="en-GB"/>
        </w:rPr>
        <w:tab/>
      </w:r>
      <w:r>
        <w:rPr>
          <w:lang w:val="en-GB"/>
        </w:rPr>
        <w:tab/>
      </w:r>
      <w:r>
        <w:rPr>
          <w:lang w:val="en-GB"/>
        </w:rPr>
        <w:tab/>
      </w:r>
      <w:r>
        <w:rPr>
          <w:lang w:val="en-GB"/>
        </w:rPr>
        <w:tab/>
      </w:r>
      <w:r>
        <w:rPr>
          <w:lang w:val="en-GB"/>
        </w:rPr>
        <w:tab/>
        <w:t>Huxtable Attorneys</w:t>
      </w:r>
    </w:p>
    <w:p w14:paraId="4C1A8FB6" w14:textId="77777777" w:rsidR="00F7687E" w:rsidRDefault="00F7687E" w:rsidP="00F7687E">
      <w:pPr>
        <w:jc w:val="both"/>
        <w:rPr>
          <w:lang w:val="en-GB"/>
        </w:rPr>
      </w:pPr>
      <w:r>
        <w:rPr>
          <w:lang w:val="en-GB"/>
        </w:rPr>
        <w:tab/>
      </w:r>
      <w:r>
        <w:rPr>
          <w:lang w:val="en-GB"/>
        </w:rPr>
        <w:tab/>
      </w:r>
      <w:r>
        <w:rPr>
          <w:lang w:val="en-GB"/>
        </w:rPr>
        <w:tab/>
      </w:r>
      <w:r>
        <w:rPr>
          <w:lang w:val="en-GB"/>
        </w:rPr>
        <w:tab/>
      </w:r>
      <w:r>
        <w:rPr>
          <w:lang w:val="en-GB"/>
        </w:rPr>
        <w:tab/>
      </w:r>
      <w:r>
        <w:rPr>
          <w:lang w:val="en-GB"/>
        </w:rPr>
        <w:tab/>
        <w:t>26 New Street</w:t>
      </w:r>
    </w:p>
    <w:p w14:paraId="32081967" w14:textId="77777777" w:rsidR="00F7687E" w:rsidRDefault="00F7687E" w:rsidP="00F7687E">
      <w:pPr>
        <w:jc w:val="both"/>
        <w:rPr>
          <w:lang w:val="en-GB"/>
        </w:rPr>
      </w:pPr>
      <w:r>
        <w:rPr>
          <w:lang w:val="en-GB"/>
        </w:rPr>
        <w:tab/>
      </w:r>
      <w:r>
        <w:rPr>
          <w:lang w:val="en-GB"/>
        </w:rPr>
        <w:tab/>
      </w:r>
      <w:r>
        <w:rPr>
          <w:lang w:val="en-GB"/>
        </w:rPr>
        <w:tab/>
      </w:r>
      <w:r>
        <w:rPr>
          <w:lang w:val="en-GB"/>
        </w:rPr>
        <w:tab/>
      </w:r>
      <w:r>
        <w:rPr>
          <w:lang w:val="en-GB"/>
        </w:rPr>
        <w:tab/>
      </w:r>
      <w:r>
        <w:rPr>
          <w:lang w:val="en-GB"/>
        </w:rPr>
        <w:tab/>
        <w:t>Makhanda</w:t>
      </w:r>
    </w:p>
    <w:p w14:paraId="7BC3478D" w14:textId="77777777" w:rsidR="00F7687E" w:rsidRDefault="00F7687E" w:rsidP="00F7687E">
      <w:pPr>
        <w:jc w:val="both"/>
        <w:rPr>
          <w:lang w:val="en-GB"/>
        </w:rPr>
      </w:pPr>
      <w:r>
        <w:rPr>
          <w:lang w:val="en-GB"/>
        </w:rPr>
        <w:tab/>
      </w:r>
      <w:r>
        <w:rPr>
          <w:lang w:val="en-GB"/>
        </w:rPr>
        <w:tab/>
      </w:r>
      <w:r>
        <w:rPr>
          <w:lang w:val="en-GB"/>
        </w:rPr>
        <w:tab/>
      </w:r>
      <w:r>
        <w:rPr>
          <w:lang w:val="en-GB"/>
        </w:rPr>
        <w:tab/>
      </w:r>
      <w:r>
        <w:rPr>
          <w:lang w:val="en-GB"/>
        </w:rPr>
        <w:tab/>
      </w:r>
      <w:r>
        <w:rPr>
          <w:lang w:val="en-GB"/>
        </w:rPr>
        <w:tab/>
        <w:t>Email:owen@huxattorneys.co.za</w:t>
      </w:r>
      <w:r>
        <w:rPr>
          <w:lang w:val="en-GB"/>
        </w:rPr>
        <w:tab/>
      </w:r>
    </w:p>
    <w:p w14:paraId="39AA1F2A" w14:textId="77777777" w:rsidR="00F7687E" w:rsidRPr="00044B50" w:rsidRDefault="00F7687E" w:rsidP="00772E4B">
      <w:pPr>
        <w:jc w:val="both"/>
        <w:rPr>
          <w:lang w:val="en-GB"/>
        </w:rPr>
      </w:pPr>
    </w:p>
    <w:sectPr w:rsidR="00F7687E"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4366" w14:textId="77777777" w:rsidR="00CE4BB4" w:rsidRDefault="00CE4BB4" w:rsidP="00005691">
      <w:r>
        <w:separator/>
      </w:r>
    </w:p>
  </w:endnote>
  <w:endnote w:type="continuationSeparator" w:id="0">
    <w:p w14:paraId="3A5B0858" w14:textId="77777777" w:rsidR="00CE4BB4" w:rsidRDefault="00CE4BB4"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A8088" w14:textId="77777777" w:rsidR="00CE4BB4" w:rsidRDefault="00CE4BB4" w:rsidP="00005691">
      <w:r>
        <w:separator/>
      </w:r>
    </w:p>
  </w:footnote>
  <w:footnote w:type="continuationSeparator" w:id="0">
    <w:p w14:paraId="6F8935E2" w14:textId="77777777" w:rsidR="00CE4BB4" w:rsidRDefault="00CE4BB4" w:rsidP="00005691">
      <w:r>
        <w:continuationSeparator/>
      </w:r>
    </w:p>
  </w:footnote>
  <w:footnote w:id="1">
    <w:p w14:paraId="39FA9F43" w14:textId="064CA039" w:rsidR="000A7978" w:rsidRPr="000A7978" w:rsidRDefault="000A7978" w:rsidP="00E96165">
      <w:pPr>
        <w:pStyle w:val="FootnoteText"/>
        <w:spacing w:line="240" w:lineRule="auto"/>
        <w:jc w:val="both"/>
        <w:rPr>
          <w:lang w:val="en-US"/>
        </w:rPr>
      </w:pPr>
      <w:r>
        <w:rPr>
          <w:rStyle w:val="FootnoteReference"/>
        </w:rPr>
        <w:footnoteRef/>
      </w:r>
      <w:r>
        <w:t xml:space="preserve"> Unreported case no. 2174/2021 (Eastern Cape Division, Makhanda).</w:t>
      </w:r>
    </w:p>
  </w:footnote>
  <w:footnote w:id="2">
    <w:p w14:paraId="375779A7" w14:textId="77777777" w:rsidR="00064711" w:rsidRPr="00307FCD" w:rsidRDefault="00064711" w:rsidP="00064711">
      <w:pPr>
        <w:pStyle w:val="FootnoteText"/>
        <w:spacing w:line="240" w:lineRule="auto"/>
        <w:jc w:val="both"/>
        <w:rPr>
          <w:lang w:val="en-US"/>
        </w:rPr>
      </w:pPr>
      <w:r>
        <w:rPr>
          <w:rStyle w:val="FootnoteReference"/>
        </w:rPr>
        <w:footnoteRef/>
      </w:r>
      <w:r>
        <w:t xml:space="preserve"> </w:t>
      </w:r>
      <w:r>
        <w:rPr>
          <w:lang w:val="en-US"/>
        </w:rPr>
        <w:t>The plaintiff argues that the defendants’ explanation for failing to amend their plea subsequent to the first judgment is unconvincing, and that their failure to do so is significant in determining whether a further indulgence should be permitted. They highlight the following subsequent events: the defendants delivered an amended plea on 22 February 2023 in contravention of the rules, and without raising a special plea of prescription. That amendment was withdrawn on 23 March 2023, without any tender of costs, following the plaintiff’s notice in terms of Rule 30(2)</w:t>
      </w:r>
      <w:r>
        <w:rPr>
          <w:i/>
          <w:iCs/>
          <w:lang w:val="en-US"/>
        </w:rPr>
        <w:t>(b)</w:t>
      </w:r>
      <w:r>
        <w:rPr>
          <w:lang w:val="en-US"/>
        </w:rPr>
        <w:t>. This was accompanied by a (second) notice to amend, which was withdrawn on 5 April 2023 after delivery of the plaintiff’s notice of objection on 30 March 2023. Again, the defendants failed to tender the plaintiff’s costs. That notice had been couched in similar terms to the present (third) notice to amend.</w:t>
      </w:r>
    </w:p>
  </w:footnote>
  <w:footnote w:id="3">
    <w:p w14:paraId="17CB7CE5" w14:textId="7CE53829" w:rsidR="00F352A0" w:rsidRPr="005366C4" w:rsidRDefault="00F352A0" w:rsidP="00E96165">
      <w:pPr>
        <w:pStyle w:val="FootnoteText"/>
        <w:spacing w:line="240" w:lineRule="auto"/>
        <w:jc w:val="both"/>
        <w:rPr>
          <w:lang w:val="en-US"/>
        </w:rPr>
      </w:pPr>
      <w:r>
        <w:rPr>
          <w:rStyle w:val="FootnoteReference"/>
        </w:rPr>
        <w:footnoteRef/>
      </w:r>
      <w:r>
        <w:t xml:space="preserve"> </w:t>
      </w:r>
      <w:r>
        <w:rPr>
          <w:i/>
          <w:iCs/>
          <w:lang w:val="en-US"/>
        </w:rPr>
        <w:t xml:space="preserve">Zarug v Parvathie NO </w:t>
      </w:r>
      <w:r>
        <w:rPr>
          <w:lang w:val="en-US"/>
        </w:rPr>
        <w:t>1962 (3) SA 872 (D) at 876A – D</w:t>
      </w:r>
      <w:r w:rsidR="00181593">
        <w:rPr>
          <w:lang w:val="en-US"/>
        </w:rPr>
        <w:t xml:space="preserve">; </w:t>
      </w:r>
      <w:r w:rsidR="00824D59">
        <w:rPr>
          <w:i/>
          <w:iCs/>
          <w:lang w:val="en-US"/>
        </w:rPr>
        <w:t>Commercial Union Assurance Co Ltd v Waymark NO</w:t>
      </w:r>
      <w:r w:rsidR="00824D59">
        <w:rPr>
          <w:lang w:val="en-US"/>
        </w:rPr>
        <w:t xml:space="preserve"> 1995 (2) SA 73 (TK) (‘</w:t>
      </w:r>
      <w:r w:rsidR="00824D59">
        <w:rPr>
          <w:i/>
          <w:iCs/>
          <w:lang w:val="en-US"/>
        </w:rPr>
        <w:t>Waymark NO</w:t>
      </w:r>
      <w:r w:rsidR="00824D59">
        <w:rPr>
          <w:lang w:val="en-US"/>
        </w:rPr>
        <w:t>’)</w:t>
      </w:r>
      <w:r w:rsidR="00824D59">
        <w:rPr>
          <w:i/>
          <w:iCs/>
          <w:lang w:val="en-US"/>
        </w:rPr>
        <w:t xml:space="preserve"> </w:t>
      </w:r>
      <w:r w:rsidR="00824D59">
        <w:rPr>
          <w:lang w:val="en-US"/>
        </w:rPr>
        <w:t>at 77F – I</w:t>
      </w:r>
      <w:r w:rsidR="005366C4">
        <w:rPr>
          <w:lang w:val="en-US"/>
        </w:rPr>
        <w:t xml:space="preserve">; </w:t>
      </w:r>
      <w:r w:rsidR="005366C4">
        <w:rPr>
          <w:i/>
          <w:iCs/>
          <w:lang w:val="en-US"/>
        </w:rPr>
        <w:t>Media 24 (Pty) Ltd v Nhleko &amp; Another</w:t>
      </w:r>
      <w:r w:rsidR="005366C4">
        <w:rPr>
          <w:lang w:val="en-US"/>
        </w:rPr>
        <w:t xml:space="preserve"> [2023] ZASCA 77 (‘</w:t>
      </w:r>
      <w:r w:rsidR="005366C4">
        <w:rPr>
          <w:i/>
          <w:iCs/>
          <w:lang w:val="en-US"/>
        </w:rPr>
        <w:t>Media 24</w:t>
      </w:r>
      <w:r w:rsidR="005366C4">
        <w:rPr>
          <w:lang w:val="en-US"/>
        </w:rPr>
        <w:t>’) paras 16</w:t>
      </w:r>
      <w:r w:rsidR="006F3DFA">
        <w:rPr>
          <w:lang w:val="en-US"/>
        </w:rPr>
        <w:t xml:space="preserve"> – 19.</w:t>
      </w:r>
    </w:p>
  </w:footnote>
  <w:footnote w:id="4">
    <w:p w14:paraId="6FC096FE" w14:textId="7E389750" w:rsidR="000B4744" w:rsidRPr="000B4744" w:rsidRDefault="000B4744" w:rsidP="00E96165">
      <w:pPr>
        <w:pStyle w:val="FootnoteText"/>
        <w:spacing w:line="240" w:lineRule="auto"/>
        <w:jc w:val="both"/>
        <w:rPr>
          <w:lang w:val="en-US"/>
        </w:rPr>
      </w:pPr>
      <w:r>
        <w:rPr>
          <w:rStyle w:val="FootnoteReference"/>
        </w:rPr>
        <w:footnoteRef/>
      </w:r>
      <w:r>
        <w:t xml:space="preserve"> </w:t>
      </w:r>
      <w:r>
        <w:rPr>
          <w:i/>
          <w:iCs/>
          <w:lang w:val="en-US"/>
        </w:rPr>
        <w:t>Robinson v Randfontein Estates Gold Mining Co. Ltd</w:t>
      </w:r>
      <w:r>
        <w:rPr>
          <w:lang w:val="en-US"/>
        </w:rPr>
        <w:t xml:space="preserve"> 1921 AD 168 at 243</w:t>
      </w:r>
      <w:r w:rsidR="00EF5339">
        <w:rPr>
          <w:lang w:val="en-US"/>
        </w:rPr>
        <w:t>.</w:t>
      </w:r>
    </w:p>
  </w:footnote>
  <w:footnote w:id="5">
    <w:p w14:paraId="7937E39E" w14:textId="346A181C" w:rsidR="0066192D" w:rsidRPr="0066192D" w:rsidRDefault="0066192D" w:rsidP="00E96165">
      <w:pPr>
        <w:pStyle w:val="FootnoteText"/>
        <w:spacing w:line="240" w:lineRule="auto"/>
        <w:jc w:val="both"/>
        <w:rPr>
          <w:lang w:val="en-US"/>
        </w:rPr>
      </w:pPr>
      <w:r>
        <w:rPr>
          <w:rStyle w:val="FootnoteReference"/>
        </w:rPr>
        <w:footnoteRef/>
      </w:r>
      <w:r>
        <w:t xml:space="preserve"> </w:t>
      </w:r>
      <w:r>
        <w:rPr>
          <w:i/>
          <w:iCs/>
          <w:lang w:val="en-US"/>
        </w:rPr>
        <w:t>Moolman v Estate Moolman and Another</w:t>
      </w:r>
      <w:r>
        <w:rPr>
          <w:lang w:val="en-US"/>
        </w:rPr>
        <w:t xml:space="preserve"> 1927 CPD 27 at 29 as confirmed in </w:t>
      </w:r>
      <w:r>
        <w:rPr>
          <w:i/>
          <w:iCs/>
          <w:lang w:val="en-US"/>
        </w:rPr>
        <w:t>Affordable Medicines Trust and Others v Minister of Health and Others</w:t>
      </w:r>
      <w:r>
        <w:rPr>
          <w:lang w:val="en-US"/>
        </w:rPr>
        <w:t xml:space="preserve"> 2006 (3) SA 247 (CC) paras 9, 10.</w:t>
      </w:r>
    </w:p>
  </w:footnote>
  <w:footnote w:id="6">
    <w:p w14:paraId="0E6EE826" w14:textId="66613E25" w:rsidR="00D9666D" w:rsidRPr="00D9666D" w:rsidRDefault="00D9666D" w:rsidP="00E961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GMF Kontrakteurs (Edms) Bpk and Another v Pretoria City Council</w:t>
      </w:r>
      <w:r>
        <w:rPr>
          <w:lang w:val="en-US"/>
        </w:rPr>
        <w:t xml:space="preserve"> 1978 (2) SA 219 (T) at 222E – F</w:t>
      </w:r>
      <w:r w:rsidR="00832D07">
        <w:rPr>
          <w:lang w:val="en-US"/>
        </w:rPr>
        <w:t xml:space="preserve">; </w:t>
      </w:r>
      <w:r w:rsidR="00F31FFF">
        <w:rPr>
          <w:i/>
          <w:iCs/>
          <w:lang w:val="en-US"/>
        </w:rPr>
        <w:t>Waymark NO</w:t>
      </w:r>
      <w:r w:rsidR="00832D07">
        <w:rPr>
          <w:lang w:val="en-US"/>
        </w:rPr>
        <w:t xml:space="preserve"> at 77F – I</w:t>
      </w:r>
      <w:r w:rsidR="00181593">
        <w:rPr>
          <w:lang w:val="en-US"/>
        </w:rPr>
        <w:t>.</w:t>
      </w:r>
    </w:p>
  </w:footnote>
  <w:footnote w:id="7">
    <w:p w14:paraId="5A15A439" w14:textId="6C304BF6" w:rsidR="00806AE7" w:rsidRPr="00806AE7" w:rsidRDefault="00806AE7" w:rsidP="00E96165">
      <w:pPr>
        <w:pStyle w:val="FootnoteText"/>
        <w:spacing w:line="240" w:lineRule="auto"/>
        <w:jc w:val="both"/>
        <w:rPr>
          <w:lang w:val="en-US"/>
        </w:rPr>
      </w:pPr>
      <w:r>
        <w:rPr>
          <w:rStyle w:val="FootnoteReference"/>
        </w:rPr>
        <w:footnoteRef/>
      </w:r>
      <w:r>
        <w:t xml:space="preserve"> </w:t>
      </w:r>
      <w:r w:rsidR="00832D07">
        <w:rPr>
          <w:lang w:val="en-US"/>
        </w:rPr>
        <w:t>Ibid</w:t>
      </w:r>
      <w:r>
        <w:rPr>
          <w:lang w:val="en-US"/>
        </w:rPr>
        <w:t>.</w:t>
      </w:r>
    </w:p>
  </w:footnote>
  <w:footnote w:id="8">
    <w:p w14:paraId="64AE5587" w14:textId="3DFCD72F" w:rsidR="002D5AFE" w:rsidRPr="002D5AFE" w:rsidRDefault="002D5AFE" w:rsidP="00E96165">
      <w:pPr>
        <w:pStyle w:val="FootnoteText"/>
        <w:spacing w:line="240" w:lineRule="auto"/>
        <w:jc w:val="both"/>
        <w:rPr>
          <w:lang w:val="en-US"/>
        </w:rPr>
      </w:pPr>
      <w:r>
        <w:rPr>
          <w:rStyle w:val="FootnoteReference"/>
        </w:rPr>
        <w:footnoteRef/>
      </w:r>
      <w:r>
        <w:t xml:space="preserve"> </w:t>
      </w:r>
      <w:r>
        <w:rPr>
          <w:lang w:val="en-US"/>
        </w:rPr>
        <w:t>Ibid.</w:t>
      </w:r>
    </w:p>
  </w:footnote>
  <w:footnote w:id="9">
    <w:p w14:paraId="1A31B94F" w14:textId="193F9008" w:rsidR="002766E2" w:rsidRPr="002766E2" w:rsidRDefault="002766E2" w:rsidP="00E96165">
      <w:pPr>
        <w:pStyle w:val="FootnoteText"/>
        <w:spacing w:line="240" w:lineRule="auto"/>
        <w:jc w:val="both"/>
        <w:rPr>
          <w:lang w:val="en-US"/>
        </w:rPr>
      </w:pPr>
      <w:r>
        <w:rPr>
          <w:rStyle w:val="FootnoteReference"/>
        </w:rPr>
        <w:footnoteRef/>
      </w:r>
      <w:r>
        <w:t xml:space="preserve"> </w:t>
      </w:r>
      <w:r>
        <w:rPr>
          <w:lang w:val="en-US"/>
        </w:rPr>
        <w:t>In terms of Uniform Rule 28(10), the court may, notwithstanding anything to the contrary in this rule, at any stage before judgment grant leave to amend any pleading or document on such other terms as to costs or other matters as it deems fit.</w:t>
      </w:r>
    </w:p>
  </w:footnote>
  <w:footnote w:id="10">
    <w:p w14:paraId="1D12979A" w14:textId="4885C66E" w:rsidR="00215CC2" w:rsidRPr="00ED34ED" w:rsidRDefault="00215CC2" w:rsidP="00E96165">
      <w:pPr>
        <w:pStyle w:val="FootnoteText"/>
        <w:spacing w:line="240" w:lineRule="auto"/>
        <w:jc w:val="both"/>
        <w:rPr>
          <w:lang w:val="en-US"/>
        </w:rPr>
      </w:pPr>
      <w:r>
        <w:rPr>
          <w:rStyle w:val="FootnoteReference"/>
        </w:rPr>
        <w:footnoteRef/>
      </w:r>
      <w:r>
        <w:t xml:space="preserve"> </w:t>
      </w:r>
      <w:r>
        <w:rPr>
          <w:lang w:val="en-US"/>
        </w:rPr>
        <w:t>S 34 of the Constitution of the Republic of South Africa, 1996.</w:t>
      </w:r>
      <w:r w:rsidR="00A2502A">
        <w:rPr>
          <w:lang w:val="en-US"/>
        </w:rPr>
        <w:t xml:space="preserve"> See </w:t>
      </w:r>
      <w:r w:rsidR="00A2502A">
        <w:rPr>
          <w:i/>
          <w:iCs/>
          <w:lang w:val="en-US"/>
        </w:rPr>
        <w:t xml:space="preserve">SASOL South Africa t/a SASOL Chemicals v Gavin J Penkin </w:t>
      </w:r>
      <w:r w:rsidR="00A2502A">
        <w:rPr>
          <w:lang w:val="en-US"/>
        </w:rPr>
        <w:t>[2023] ZAGPJHC 329</w:t>
      </w:r>
      <w:r w:rsidR="00ED34ED">
        <w:rPr>
          <w:lang w:val="en-US"/>
        </w:rPr>
        <w:t xml:space="preserve">; Also see </w:t>
      </w:r>
      <w:r w:rsidR="00ED34ED">
        <w:rPr>
          <w:i/>
          <w:iCs/>
          <w:lang w:val="en-US"/>
        </w:rPr>
        <w:t>TN obo BN v Member of the Executive Council for Health, Eastern Cape</w:t>
      </w:r>
      <w:r w:rsidR="00ED34ED">
        <w:rPr>
          <w:lang w:val="en-US"/>
        </w:rPr>
        <w:t xml:space="preserve"> [2021] 1 All SA 561 (ECB) para 34.</w:t>
      </w:r>
    </w:p>
  </w:footnote>
  <w:footnote w:id="11">
    <w:p w14:paraId="31D1A439" w14:textId="275FCC30" w:rsidR="003B75E8" w:rsidRPr="003B75E8" w:rsidRDefault="003B75E8" w:rsidP="00E961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Trans-Drakensburg Bank Ltd (Under Judicial Management) v Combined Engineering (Pty) Ltd and Another</w:t>
      </w:r>
      <w:r>
        <w:rPr>
          <w:lang w:val="en-US"/>
        </w:rPr>
        <w:t xml:space="preserve"> 1967 (3) SA 632 (D) at 637H – 638B</w:t>
      </w:r>
      <w:r w:rsidR="004E1CFB">
        <w:rPr>
          <w:lang w:val="en-US"/>
        </w:rPr>
        <w:t>, and the authorities cited thereafter</w:t>
      </w:r>
      <w:r>
        <w:rPr>
          <w:lang w:val="en-US"/>
        </w:rPr>
        <w:t>.</w:t>
      </w:r>
    </w:p>
  </w:footnote>
  <w:footnote w:id="12">
    <w:p w14:paraId="56976995" w14:textId="53CFB2F3" w:rsidR="00BE5E91" w:rsidRPr="00BE5E91" w:rsidRDefault="00BE5E91" w:rsidP="00E96165">
      <w:pPr>
        <w:pStyle w:val="FootnoteText"/>
        <w:spacing w:line="240" w:lineRule="auto"/>
        <w:jc w:val="both"/>
        <w:rPr>
          <w:lang w:val="en-US"/>
        </w:rPr>
      </w:pPr>
      <w:r>
        <w:rPr>
          <w:rStyle w:val="FootnoteReference"/>
        </w:rPr>
        <w:footnoteRef/>
      </w:r>
      <w:r>
        <w:t xml:space="preserve"> </w:t>
      </w:r>
      <w:r>
        <w:rPr>
          <w:lang w:val="en-US"/>
        </w:rPr>
        <w:t>Ibid</w:t>
      </w:r>
      <w:r w:rsidR="00F00F1A">
        <w:rPr>
          <w:lang w:val="en-US"/>
        </w:rPr>
        <w:t xml:space="preserve"> at 640H – 641B.</w:t>
      </w:r>
    </w:p>
  </w:footnote>
  <w:footnote w:id="13">
    <w:p w14:paraId="53C3B766" w14:textId="77777777" w:rsidR="00F06C9E" w:rsidRPr="0078120B" w:rsidRDefault="00F06C9E" w:rsidP="00F06C9E">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Ascendis Animal Health (Pty) Ltd v Merck Sharpe Dohme Corporation and Others</w:t>
      </w:r>
      <w:r>
        <w:rPr>
          <w:lang w:val="en-US"/>
        </w:rPr>
        <w:t xml:space="preserve"> [2019] ZACC 41 para 90.</w:t>
      </w:r>
    </w:p>
  </w:footnote>
  <w:footnote w:id="14">
    <w:p w14:paraId="654AE989" w14:textId="2ACE88D6" w:rsidR="002960E9" w:rsidRDefault="002960E9" w:rsidP="00E96165">
      <w:pPr>
        <w:pStyle w:val="FootnoteText"/>
        <w:spacing w:line="240" w:lineRule="auto"/>
        <w:jc w:val="both"/>
        <w:rPr>
          <w:lang w:val="en-US"/>
        </w:rPr>
      </w:pPr>
      <w:r>
        <w:rPr>
          <w:rStyle w:val="FootnoteReference"/>
        </w:rPr>
        <w:footnoteRef/>
      </w:r>
      <w:r>
        <w:t xml:space="preserve"> </w:t>
      </w:r>
      <w:r>
        <w:rPr>
          <w:lang w:val="en-US"/>
        </w:rPr>
        <w:t>S 12 of the Prescription Act, 1969 (Act 68 of 1969) deals with ‘when prescription begins to run’, as follows:</w:t>
      </w:r>
    </w:p>
    <w:p w14:paraId="50643B4E" w14:textId="0F9B1E76" w:rsidR="002960E9" w:rsidRDefault="00FF49D0" w:rsidP="00FF49D0">
      <w:pPr>
        <w:pStyle w:val="FootnoteText"/>
        <w:spacing w:line="240" w:lineRule="auto"/>
        <w:ind w:left="720" w:hanging="360"/>
        <w:jc w:val="both"/>
        <w:rPr>
          <w:lang w:val="en-US"/>
        </w:rPr>
      </w:pPr>
      <w:r>
        <w:rPr>
          <w:lang w:val="en-US"/>
        </w:rPr>
        <w:t>(1)</w:t>
      </w:r>
      <w:r>
        <w:rPr>
          <w:lang w:val="en-US"/>
        </w:rPr>
        <w:tab/>
      </w:r>
      <w:r w:rsidR="002960E9">
        <w:rPr>
          <w:lang w:val="en-US"/>
        </w:rPr>
        <w:t>Subject to the provisions of subsections (2), (3) and (4), prescription shall commence to run as soon as the debt is due.</w:t>
      </w:r>
    </w:p>
    <w:p w14:paraId="102405C2" w14:textId="2C3886E1" w:rsidR="002960E9" w:rsidRDefault="00FF49D0" w:rsidP="00FF49D0">
      <w:pPr>
        <w:pStyle w:val="FootnoteText"/>
        <w:spacing w:line="240" w:lineRule="auto"/>
        <w:ind w:left="720" w:hanging="360"/>
        <w:jc w:val="both"/>
        <w:rPr>
          <w:lang w:val="en-US"/>
        </w:rPr>
      </w:pPr>
      <w:r>
        <w:rPr>
          <w:lang w:val="en-US"/>
        </w:rPr>
        <w:t>(2)</w:t>
      </w:r>
      <w:r>
        <w:rPr>
          <w:lang w:val="en-US"/>
        </w:rPr>
        <w:tab/>
      </w:r>
      <w:r w:rsidR="002960E9">
        <w:rPr>
          <w:lang w:val="en-US"/>
        </w:rPr>
        <w:t>If the debtor wilfully prevents the creditor from coming to know of the existence of the debt, prescription shall not commence to run until the creditor becomes aware of the existence of the debt.</w:t>
      </w:r>
    </w:p>
    <w:p w14:paraId="4FE9C635" w14:textId="3969D5B6" w:rsidR="002960E9" w:rsidRDefault="00FF49D0" w:rsidP="00FF49D0">
      <w:pPr>
        <w:pStyle w:val="FootnoteText"/>
        <w:spacing w:line="240" w:lineRule="auto"/>
        <w:ind w:left="720" w:hanging="360"/>
        <w:jc w:val="both"/>
        <w:rPr>
          <w:lang w:val="en-US"/>
        </w:rPr>
      </w:pPr>
      <w:r>
        <w:rPr>
          <w:lang w:val="en-US"/>
        </w:rPr>
        <w:t>(3)</w:t>
      </w:r>
      <w:r>
        <w:rPr>
          <w:lang w:val="en-US"/>
        </w:rPr>
        <w:tab/>
      </w:r>
      <w:r w:rsidR="002960E9">
        <w:rPr>
          <w:lang w:val="en-US"/>
        </w:rPr>
        <w:t>A debt shall not be deemed to be due until the creditor has knowledge of the identity of the debtor and of the facts from which the debt arises: Provided that a creditor shall be deemed to have such knowledge if he could have acquired it by exercising reasonable care.</w:t>
      </w:r>
    </w:p>
    <w:p w14:paraId="02B0AE35" w14:textId="53387EEB" w:rsidR="00CF3B13" w:rsidRPr="002960E9" w:rsidRDefault="00FF49D0" w:rsidP="00FF49D0">
      <w:pPr>
        <w:pStyle w:val="FootnoteText"/>
        <w:spacing w:line="240" w:lineRule="auto"/>
        <w:ind w:left="720" w:hanging="360"/>
        <w:jc w:val="both"/>
        <w:rPr>
          <w:lang w:val="en-US"/>
        </w:rPr>
      </w:pPr>
      <w:r w:rsidRPr="002960E9">
        <w:rPr>
          <w:lang w:val="en-US"/>
        </w:rPr>
        <w:t>(4)</w:t>
      </w:r>
      <w:r w:rsidRPr="002960E9">
        <w:rPr>
          <w:lang w:val="en-US"/>
        </w:rPr>
        <w:tab/>
      </w:r>
      <w:r w:rsidR="00CF3B13">
        <w:rPr>
          <w:lang w:val="en-US"/>
        </w:rPr>
        <w:t>…</w:t>
      </w:r>
    </w:p>
  </w:footnote>
  <w:footnote w:id="15">
    <w:p w14:paraId="28867FEB" w14:textId="01D2D79C" w:rsidR="00A06B66" w:rsidRPr="00A12A69" w:rsidRDefault="00A06B66" w:rsidP="00E96165">
      <w:pPr>
        <w:pStyle w:val="FootnoteText"/>
        <w:spacing w:line="240" w:lineRule="auto"/>
        <w:jc w:val="both"/>
        <w:rPr>
          <w:lang w:val="en-US"/>
        </w:rPr>
      </w:pPr>
      <w:r>
        <w:rPr>
          <w:rStyle w:val="FootnoteReference"/>
        </w:rPr>
        <w:footnoteRef/>
      </w:r>
      <w:r>
        <w:t xml:space="preserve"> </w:t>
      </w:r>
      <w:r>
        <w:rPr>
          <w:lang w:val="en-US"/>
        </w:rPr>
        <w:t xml:space="preserve">For a special plea worded with even less detail, see the judgment of Goldstein J in </w:t>
      </w:r>
      <w:r>
        <w:rPr>
          <w:i/>
          <w:iCs/>
          <w:lang w:val="en-US"/>
        </w:rPr>
        <w:t>Ditedu v Tayob</w:t>
      </w:r>
      <w:r>
        <w:rPr>
          <w:lang w:val="en-US"/>
        </w:rPr>
        <w:t xml:space="preserve"> 2006 (2) SA 176 (W) para 2.</w:t>
      </w:r>
      <w:r w:rsidR="00A12A69">
        <w:rPr>
          <w:lang w:val="en-US"/>
        </w:rPr>
        <w:t xml:space="preserve"> Also see </w:t>
      </w:r>
      <w:r w:rsidR="00A12A69">
        <w:rPr>
          <w:i/>
          <w:iCs/>
          <w:lang w:val="en-US"/>
        </w:rPr>
        <w:t xml:space="preserve">Gunase v Anirudh </w:t>
      </w:r>
      <w:r w:rsidR="00A12A69">
        <w:rPr>
          <w:lang w:val="en-US"/>
        </w:rPr>
        <w:t>2012 (2) SA 398 (SCA).</w:t>
      </w:r>
      <w:r w:rsidR="007B5F4E">
        <w:rPr>
          <w:lang w:val="en-US"/>
        </w:rPr>
        <w:t xml:space="preserve"> It is well established that the defendants bear the onus of proving when the plaintiff acquired, or should reasonably be deemed to have acquired, the knowledge in question, and that the s 12(3) exception to the general rule is separate from the s 12(2) exception: </w:t>
      </w:r>
      <w:r w:rsidR="007B5F4E">
        <w:rPr>
          <w:i/>
          <w:iCs/>
          <w:lang w:val="en-US"/>
        </w:rPr>
        <w:t xml:space="preserve">Mtokonya v Minister of Police </w:t>
      </w:r>
      <w:r w:rsidR="007B5F4E">
        <w:rPr>
          <w:lang w:val="en-US"/>
        </w:rPr>
        <w:t xml:space="preserve">2018 (5) SA 22 (CC) paras 32 and following. </w:t>
      </w:r>
    </w:p>
  </w:footnote>
  <w:footnote w:id="16">
    <w:p w14:paraId="15389113" w14:textId="35F43148" w:rsidR="009E5DD3" w:rsidRPr="009E5DD3" w:rsidRDefault="009E5DD3" w:rsidP="00E961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McKenzie v Farmers’ Co-operative Meat Industries Ltd</w:t>
      </w:r>
      <w:r>
        <w:rPr>
          <w:lang w:val="en-US"/>
        </w:rPr>
        <w:t xml:space="preserve"> 1922 AD 16 at 23 and </w:t>
      </w:r>
      <w:r>
        <w:rPr>
          <w:i/>
          <w:iCs/>
          <w:lang w:val="en-US"/>
        </w:rPr>
        <w:t>JSS Industrial Coatings CC v Inyatsi Construction (South Africa) (Pty) Ltd</w:t>
      </w:r>
      <w:r>
        <w:rPr>
          <w:lang w:val="en-US"/>
        </w:rPr>
        <w:t xml:space="preserve"> [2017] JOL 37193 (GSJ).</w:t>
      </w:r>
    </w:p>
  </w:footnote>
  <w:footnote w:id="17">
    <w:p w14:paraId="6BEA789F" w14:textId="02ED6A30" w:rsidR="00524FA3" w:rsidRPr="00524FA3" w:rsidRDefault="00524FA3" w:rsidP="00E961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Nasionale Aartappel Koöperasie Bpk v Price W</w:t>
      </w:r>
      <w:r w:rsidR="000E66CD">
        <w:rPr>
          <w:i/>
          <w:iCs/>
          <w:lang w:val="en-US"/>
        </w:rPr>
        <w:t>a</w:t>
      </w:r>
      <w:r>
        <w:rPr>
          <w:i/>
          <w:iCs/>
          <w:lang w:val="en-US"/>
        </w:rPr>
        <w:t>terhouse Coopers Ing</w:t>
      </w:r>
      <w:r>
        <w:rPr>
          <w:lang w:val="en-US"/>
        </w:rPr>
        <w:t xml:space="preserve"> 2001 (2) SA 790 (T) at 798.</w:t>
      </w:r>
    </w:p>
  </w:footnote>
  <w:footnote w:id="18">
    <w:p w14:paraId="27D4A837" w14:textId="3D6FA939" w:rsidR="00604D09" w:rsidRPr="00604D09" w:rsidRDefault="00604D09" w:rsidP="00E961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Leke</w:t>
      </w:r>
      <w:r w:rsidR="00516A09">
        <w:rPr>
          <w:i/>
          <w:iCs/>
          <w:lang w:val="en-US"/>
        </w:rPr>
        <w:t>t</w:t>
      </w:r>
      <w:r>
        <w:rPr>
          <w:i/>
          <w:iCs/>
          <w:lang w:val="en-US"/>
        </w:rPr>
        <w:t>i v Tladi NO and Others</w:t>
      </w:r>
      <w:r>
        <w:rPr>
          <w:lang w:val="en-US"/>
        </w:rPr>
        <w:t xml:space="preserve"> [2010] ZASCA 38; [2010] 3 All SA 519 (SCA) paras 10, 11 and 18.</w:t>
      </w:r>
    </w:p>
  </w:footnote>
  <w:footnote w:id="19">
    <w:p w14:paraId="18CAF3D4" w14:textId="0901683B" w:rsidR="002C77EA" w:rsidRPr="002C77EA" w:rsidRDefault="002C77EA" w:rsidP="00E96165">
      <w:pPr>
        <w:pStyle w:val="FootnoteText"/>
        <w:spacing w:line="240" w:lineRule="auto"/>
        <w:jc w:val="both"/>
        <w:rPr>
          <w:lang w:val="en-US"/>
        </w:rPr>
      </w:pPr>
      <w:r>
        <w:rPr>
          <w:rStyle w:val="FootnoteReference"/>
        </w:rPr>
        <w:footnoteRef/>
      </w:r>
      <w:r>
        <w:t xml:space="preserve"> </w:t>
      </w:r>
      <w:r>
        <w:rPr>
          <w:i/>
          <w:iCs/>
          <w:lang w:val="en-US"/>
        </w:rPr>
        <w:t>Diko v MEC for Health</w:t>
      </w:r>
      <w:r>
        <w:rPr>
          <w:lang w:val="en-US"/>
        </w:rPr>
        <w:t xml:space="preserve"> [2022] ZAECBHC 11 </w:t>
      </w:r>
      <w:r w:rsidR="00087E29">
        <w:rPr>
          <w:lang w:val="en-US"/>
        </w:rPr>
        <w:t>(‘</w:t>
      </w:r>
      <w:r w:rsidR="00087E29">
        <w:rPr>
          <w:i/>
          <w:iCs/>
          <w:lang w:val="en-US"/>
        </w:rPr>
        <w:t>Diko</w:t>
      </w:r>
      <w:r w:rsidR="00087E29">
        <w:rPr>
          <w:lang w:val="en-US"/>
        </w:rPr>
        <w:t>’)</w:t>
      </w:r>
      <w:r w:rsidR="00087E29">
        <w:rPr>
          <w:i/>
          <w:iCs/>
          <w:lang w:val="en-US"/>
        </w:rPr>
        <w:t xml:space="preserve"> </w:t>
      </w:r>
      <w:r>
        <w:rPr>
          <w:lang w:val="en-US"/>
        </w:rPr>
        <w:t>para 68.</w:t>
      </w:r>
    </w:p>
  </w:footnote>
  <w:footnote w:id="20">
    <w:p w14:paraId="265C18BA" w14:textId="1EBED5D7" w:rsidR="00087E29" w:rsidRPr="00087E29" w:rsidRDefault="00087E29" w:rsidP="00E96165">
      <w:pPr>
        <w:pStyle w:val="FootnoteText"/>
        <w:spacing w:line="240" w:lineRule="auto"/>
        <w:jc w:val="both"/>
        <w:rPr>
          <w:lang w:val="en-US"/>
        </w:rPr>
      </w:pPr>
      <w:r>
        <w:rPr>
          <w:rStyle w:val="FootnoteReference"/>
        </w:rPr>
        <w:footnoteRef/>
      </w:r>
      <w:r>
        <w:t xml:space="preserve"> </w:t>
      </w:r>
      <w:r>
        <w:rPr>
          <w:lang w:val="en-US"/>
        </w:rPr>
        <w:t>Ibid para 70.</w:t>
      </w:r>
    </w:p>
  </w:footnote>
  <w:footnote w:id="21">
    <w:p w14:paraId="6338C762" w14:textId="3AFC9D03" w:rsidR="00EC31BA" w:rsidRPr="00EC31BA" w:rsidRDefault="00EC31BA" w:rsidP="00E96165">
      <w:pPr>
        <w:pStyle w:val="FootnoteText"/>
        <w:spacing w:line="240" w:lineRule="auto"/>
        <w:jc w:val="both"/>
        <w:rPr>
          <w:lang w:val="en-US"/>
        </w:rPr>
      </w:pPr>
      <w:r>
        <w:rPr>
          <w:rStyle w:val="FootnoteReference"/>
        </w:rPr>
        <w:footnoteRef/>
      </w:r>
      <w:r>
        <w:t xml:space="preserve"> </w:t>
      </w:r>
      <w:r>
        <w:rPr>
          <w:i/>
          <w:iCs/>
          <w:lang w:val="en-US"/>
        </w:rPr>
        <w:t>Shatz Investments (Pty) Ltd v Kalovyrnas</w:t>
      </w:r>
      <w:r>
        <w:rPr>
          <w:lang w:val="en-US"/>
        </w:rPr>
        <w:t xml:space="preserve"> 1976 (2) SA 545 (A) at 550B – E.</w:t>
      </w:r>
    </w:p>
  </w:footnote>
  <w:footnote w:id="22">
    <w:p w14:paraId="1A914105" w14:textId="0212044B" w:rsidR="00A1447B" w:rsidRPr="008E0F60" w:rsidRDefault="00A1447B" w:rsidP="00E96165">
      <w:pPr>
        <w:pStyle w:val="FootnoteText"/>
        <w:spacing w:line="240" w:lineRule="auto"/>
        <w:jc w:val="both"/>
        <w:rPr>
          <w:lang w:val="en-US"/>
        </w:rPr>
      </w:pPr>
      <w:r>
        <w:rPr>
          <w:rStyle w:val="FootnoteReference"/>
        </w:rPr>
        <w:footnoteRef/>
      </w:r>
      <w:r>
        <w:t xml:space="preserve"> </w:t>
      </w:r>
      <w:r>
        <w:rPr>
          <w:lang w:val="en-US"/>
        </w:rPr>
        <w:t xml:space="preserve">See LTC Harms </w:t>
      </w:r>
      <w:r>
        <w:rPr>
          <w:i/>
          <w:iCs/>
          <w:lang w:val="en-US"/>
        </w:rPr>
        <w:t>Amler’s Precedents of Pleadings</w:t>
      </w:r>
      <w:r>
        <w:rPr>
          <w:lang w:val="en-US"/>
        </w:rPr>
        <w:t xml:space="preserve"> (9</w:t>
      </w:r>
      <w:r w:rsidRPr="00A1447B">
        <w:rPr>
          <w:vertAlign w:val="superscript"/>
          <w:lang w:val="en-US"/>
        </w:rPr>
        <w:t>th</w:t>
      </w:r>
      <w:r>
        <w:rPr>
          <w:lang w:val="en-US"/>
        </w:rPr>
        <w:t xml:space="preserve"> Ed) (2018) part A IV p 6</w:t>
      </w:r>
      <w:r w:rsidR="00AA7E84">
        <w:rPr>
          <w:lang w:val="en-US"/>
        </w:rPr>
        <w:t xml:space="preserve">; </w:t>
      </w:r>
      <w:r w:rsidR="00AA7E84">
        <w:rPr>
          <w:i/>
          <w:iCs/>
          <w:lang w:val="en-US"/>
        </w:rPr>
        <w:t>Sanan v Eskom Holdings Ltd</w:t>
      </w:r>
      <w:r w:rsidR="00AA7E84">
        <w:rPr>
          <w:lang w:val="en-US"/>
        </w:rPr>
        <w:t xml:space="preserve"> 2010 (6) SA 638 (GSJ) para</w:t>
      </w:r>
      <w:r w:rsidR="00580E51">
        <w:rPr>
          <w:lang w:val="en-US"/>
        </w:rPr>
        <w:t xml:space="preserve"> 18</w:t>
      </w:r>
      <w:r w:rsidR="00AA7E84">
        <w:rPr>
          <w:lang w:val="en-US"/>
        </w:rPr>
        <w:t xml:space="preserve">; </w:t>
      </w:r>
      <w:r w:rsidR="00AA7E84">
        <w:rPr>
          <w:i/>
          <w:iCs/>
          <w:lang w:val="en-US"/>
        </w:rPr>
        <w:t>AS v Neotel</w:t>
      </w:r>
      <w:r w:rsidR="00AA7E84">
        <w:rPr>
          <w:lang w:val="en-US"/>
        </w:rPr>
        <w:t xml:space="preserve"> </w:t>
      </w:r>
      <w:r w:rsidR="00AA7E84">
        <w:rPr>
          <w:i/>
          <w:iCs/>
          <w:lang w:val="en-US"/>
        </w:rPr>
        <w:t xml:space="preserve">(Pty) Ltd </w:t>
      </w:r>
      <w:r w:rsidR="00AA7E84">
        <w:rPr>
          <w:lang w:val="en-US"/>
        </w:rPr>
        <w:t>2019 (1) SA 622 (GJ)</w:t>
      </w:r>
      <w:r w:rsidR="00655DBD">
        <w:rPr>
          <w:lang w:val="en-US"/>
        </w:rPr>
        <w:t xml:space="preserve"> fn 2</w:t>
      </w:r>
      <w:r w:rsidR="008E0F60">
        <w:rPr>
          <w:lang w:val="en-US"/>
        </w:rPr>
        <w:t xml:space="preserve">; </w:t>
      </w:r>
      <w:r w:rsidR="008E0F60">
        <w:rPr>
          <w:i/>
          <w:iCs/>
          <w:lang w:val="en-US"/>
        </w:rPr>
        <w:t>Medihelp v Minister of Finance NO</w:t>
      </w:r>
      <w:r w:rsidR="008E0F60">
        <w:rPr>
          <w:lang w:val="en-US"/>
        </w:rPr>
        <w:t xml:space="preserve"> [2020] ZASCA 29 para 12.</w:t>
      </w:r>
    </w:p>
  </w:footnote>
  <w:footnote w:id="23">
    <w:p w14:paraId="7CC107DB" w14:textId="4459EBCA" w:rsidR="004449A3" w:rsidRPr="004449A3" w:rsidRDefault="004449A3" w:rsidP="00E96165">
      <w:pPr>
        <w:pStyle w:val="FootnoteText"/>
        <w:spacing w:line="240" w:lineRule="auto"/>
        <w:jc w:val="both"/>
        <w:rPr>
          <w:lang w:val="en-US"/>
        </w:rPr>
      </w:pPr>
      <w:r>
        <w:rPr>
          <w:rStyle w:val="FootnoteReference"/>
        </w:rPr>
        <w:footnoteRef/>
      </w:r>
      <w:r>
        <w:t xml:space="preserve"> </w:t>
      </w:r>
      <w:r>
        <w:rPr>
          <w:i/>
          <w:iCs/>
          <w:lang w:val="en-US"/>
        </w:rPr>
        <w:t>Sime Darby Hudson and Knight (Pty) Ltd v Lerena</w:t>
      </w:r>
      <w:r>
        <w:rPr>
          <w:lang w:val="en-US"/>
        </w:rPr>
        <w:t xml:space="preserve"> [2018] 4 All SA 446 (WCC) para 95.</w:t>
      </w:r>
    </w:p>
  </w:footnote>
  <w:footnote w:id="24">
    <w:p w14:paraId="03CABB70" w14:textId="7B5FDDF5" w:rsidR="00B07BBE" w:rsidRPr="00B07BBE" w:rsidRDefault="00B07BBE" w:rsidP="00E96165">
      <w:pPr>
        <w:pStyle w:val="FootnoteText"/>
        <w:spacing w:line="240" w:lineRule="auto"/>
        <w:jc w:val="both"/>
        <w:rPr>
          <w:lang w:val="en-US"/>
        </w:rPr>
      </w:pPr>
      <w:r>
        <w:rPr>
          <w:rStyle w:val="FootnoteReference"/>
        </w:rPr>
        <w:footnoteRef/>
      </w:r>
      <w:r>
        <w:t xml:space="preserve"> </w:t>
      </w:r>
      <w:r>
        <w:rPr>
          <w:i/>
          <w:iCs/>
          <w:lang w:val="en-US"/>
        </w:rPr>
        <w:t>Robinson v Randfontein Estates GM Co Ltd</w:t>
      </w:r>
      <w:r>
        <w:rPr>
          <w:lang w:val="en-US"/>
        </w:rPr>
        <w:t xml:space="preserve"> 1925 AD 173.</w:t>
      </w:r>
    </w:p>
  </w:footnote>
  <w:footnote w:id="25">
    <w:p w14:paraId="2FD4838A" w14:textId="2D4CE839" w:rsidR="00497D24" w:rsidRPr="00497D24" w:rsidRDefault="00497D24" w:rsidP="00E961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South African Police Service v Solidarity obo Barnard </w:t>
      </w:r>
      <w:r>
        <w:rPr>
          <w:lang w:val="en-US"/>
        </w:rPr>
        <w:t>2014 (6) SA 123 (CC) para 202.</w:t>
      </w:r>
    </w:p>
  </w:footnote>
  <w:footnote w:id="26">
    <w:p w14:paraId="4BA82F8A" w14:textId="4504704E" w:rsidR="004446CD" w:rsidRPr="004446CD" w:rsidRDefault="004446CD" w:rsidP="00E961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Stead v Conradie en Andere</w:t>
      </w:r>
      <w:r>
        <w:rPr>
          <w:lang w:val="en-US"/>
        </w:rPr>
        <w:t xml:space="preserve"> 1995 (2) SA 111 (A) at 122.</w:t>
      </w:r>
    </w:p>
  </w:footnote>
  <w:footnote w:id="27">
    <w:p w14:paraId="363C9027" w14:textId="002AEAAB" w:rsidR="00631956" w:rsidRPr="00631956" w:rsidRDefault="00631956" w:rsidP="00E961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Gcaba v Minister for Safety and Security </w:t>
      </w:r>
      <w:r>
        <w:rPr>
          <w:lang w:val="en-US"/>
        </w:rPr>
        <w:t>[2009] ZACC 26 para 75.</w:t>
      </w:r>
    </w:p>
  </w:footnote>
  <w:footnote w:id="28">
    <w:p w14:paraId="407BF75C" w14:textId="711F7B78" w:rsidR="00A84F8D" w:rsidRPr="00A84F8D" w:rsidRDefault="00A84F8D" w:rsidP="00E96165">
      <w:pPr>
        <w:pStyle w:val="FootnoteText"/>
        <w:spacing w:line="240" w:lineRule="auto"/>
        <w:jc w:val="both"/>
        <w:rPr>
          <w:lang w:val="en-US"/>
        </w:rPr>
      </w:pPr>
      <w:r>
        <w:rPr>
          <w:rStyle w:val="FootnoteReference"/>
        </w:rPr>
        <w:footnoteRef/>
      </w:r>
      <w:r>
        <w:t xml:space="preserve"> </w:t>
      </w:r>
      <w:r>
        <w:rPr>
          <w:lang w:val="en-US"/>
        </w:rPr>
        <w:t xml:space="preserve">H Daniels </w:t>
      </w:r>
      <w:r>
        <w:rPr>
          <w:i/>
          <w:iCs/>
          <w:lang w:val="en-US"/>
        </w:rPr>
        <w:t xml:space="preserve">Beck’s Theory and Principles of Pleadings in Civil Actions </w:t>
      </w:r>
      <w:r>
        <w:rPr>
          <w:lang w:val="en-US"/>
        </w:rPr>
        <w:t>(6</w:t>
      </w:r>
      <w:r w:rsidRPr="00A84F8D">
        <w:rPr>
          <w:vertAlign w:val="superscript"/>
          <w:lang w:val="en-US"/>
        </w:rPr>
        <w:t>th</w:t>
      </w:r>
      <w:r>
        <w:rPr>
          <w:lang w:val="en-US"/>
        </w:rPr>
        <w:t xml:space="preserve"> Ed) (2002) </w:t>
      </w:r>
      <w:r w:rsidR="00D148E2">
        <w:rPr>
          <w:lang w:val="en-US"/>
        </w:rPr>
        <w:t>at 46.</w:t>
      </w:r>
    </w:p>
  </w:footnote>
  <w:footnote w:id="29">
    <w:p w14:paraId="251C7C29" w14:textId="12ED876C" w:rsidR="00314724" w:rsidRPr="00314724" w:rsidRDefault="00314724" w:rsidP="00E96165">
      <w:pPr>
        <w:pStyle w:val="FootnoteText"/>
        <w:spacing w:line="240" w:lineRule="auto"/>
        <w:jc w:val="both"/>
        <w:rPr>
          <w:lang w:val="en-US"/>
        </w:rPr>
      </w:pPr>
      <w:r>
        <w:rPr>
          <w:rStyle w:val="FootnoteReference"/>
        </w:rPr>
        <w:footnoteRef/>
      </w:r>
      <w:r>
        <w:t xml:space="preserve"> </w:t>
      </w:r>
      <w:r>
        <w:rPr>
          <w:i/>
          <w:iCs/>
          <w:lang w:val="en-US"/>
        </w:rPr>
        <w:t xml:space="preserve">Drummond Cable Concepts v Advancenet (Pty) Ltd </w:t>
      </w:r>
      <w:r>
        <w:rPr>
          <w:lang w:val="en-US"/>
        </w:rPr>
        <w:t>2020 (1) SA 546 (GJ) para 24.</w:t>
      </w:r>
    </w:p>
  </w:footnote>
  <w:footnote w:id="30">
    <w:p w14:paraId="760D8495" w14:textId="5E444CA0" w:rsidR="00CE5E58" w:rsidRPr="00CE5E58" w:rsidRDefault="00CE5E58" w:rsidP="00E96165">
      <w:pPr>
        <w:pStyle w:val="FootnoteText"/>
        <w:spacing w:line="240" w:lineRule="auto"/>
        <w:jc w:val="both"/>
        <w:rPr>
          <w:lang w:val="en-US"/>
        </w:rPr>
      </w:pPr>
      <w:r>
        <w:rPr>
          <w:rStyle w:val="FootnoteReference"/>
        </w:rPr>
        <w:footnoteRef/>
      </w:r>
      <w:r>
        <w:t xml:space="preserve"> </w:t>
      </w:r>
      <w:r>
        <w:rPr>
          <w:lang w:val="en-US"/>
        </w:rPr>
        <w:t xml:space="preserve">LTC Harms </w:t>
      </w:r>
      <w:r>
        <w:rPr>
          <w:i/>
          <w:iCs/>
          <w:lang w:val="en-US"/>
        </w:rPr>
        <w:t>Amler’s Precedents of pleadings</w:t>
      </w:r>
      <w:r>
        <w:rPr>
          <w:lang w:val="en-US"/>
        </w:rPr>
        <w:t xml:space="preserve"> (9</w:t>
      </w:r>
      <w:r w:rsidRPr="00CE5E58">
        <w:rPr>
          <w:vertAlign w:val="superscript"/>
          <w:lang w:val="en-US"/>
        </w:rPr>
        <w:t>th</w:t>
      </w:r>
      <w:r>
        <w:rPr>
          <w:lang w:val="en-US"/>
        </w:rPr>
        <w:t xml:space="preserve"> Ed) (2018) (LexisNexis) at 187.</w:t>
      </w:r>
    </w:p>
  </w:footnote>
  <w:footnote w:id="31">
    <w:p w14:paraId="44772D9E" w14:textId="23D7DA9D" w:rsidR="00FF4492" w:rsidRPr="00FF4492" w:rsidRDefault="00FF4492" w:rsidP="00E96165">
      <w:pPr>
        <w:pStyle w:val="FootnoteText"/>
        <w:spacing w:line="240" w:lineRule="auto"/>
        <w:jc w:val="both"/>
        <w:rPr>
          <w:lang w:val="en-US"/>
        </w:rPr>
      </w:pPr>
      <w:r>
        <w:rPr>
          <w:rStyle w:val="FootnoteReference"/>
        </w:rPr>
        <w:footnoteRef/>
      </w:r>
      <w:r>
        <w:t xml:space="preserve"> </w:t>
      </w:r>
      <w:r>
        <w:rPr>
          <w:lang w:val="en-US"/>
        </w:rPr>
        <w:t>The first judgment: paras 20, 27.</w:t>
      </w:r>
      <w:r w:rsidR="00955094">
        <w:rPr>
          <w:lang w:val="en-US"/>
        </w:rPr>
        <w:t xml:space="preserve"> An attachment to the replying affidavit demonstrates that the plaintiff had raised the same objections before Rugunanan J.</w:t>
      </w:r>
    </w:p>
  </w:footnote>
  <w:footnote w:id="32">
    <w:p w14:paraId="5FDF5468" w14:textId="3B3C103E" w:rsidR="007A754A" w:rsidRPr="007A754A" w:rsidRDefault="007A754A" w:rsidP="00E96165">
      <w:pPr>
        <w:pStyle w:val="FootnoteText"/>
        <w:spacing w:line="240" w:lineRule="auto"/>
        <w:jc w:val="both"/>
        <w:rPr>
          <w:lang w:val="en-US"/>
        </w:rPr>
      </w:pPr>
      <w:r>
        <w:rPr>
          <w:rStyle w:val="FootnoteReference"/>
        </w:rPr>
        <w:footnoteRef/>
      </w:r>
      <w:r>
        <w:t xml:space="preserve"> </w:t>
      </w:r>
      <w:r>
        <w:rPr>
          <w:lang w:val="en-US"/>
        </w:rPr>
        <w:t>See</w:t>
      </w:r>
      <w:r>
        <w:rPr>
          <w:i/>
          <w:iCs/>
          <w:lang w:val="en-US"/>
        </w:rPr>
        <w:t xml:space="preserve"> </w:t>
      </w:r>
      <w:r>
        <w:rPr>
          <w:lang w:val="en-US"/>
        </w:rPr>
        <w:t xml:space="preserve">the judgment of Wallis AJA in </w:t>
      </w:r>
      <w:r>
        <w:rPr>
          <w:i/>
          <w:iCs/>
          <w:lang w:val="en-US"/>
        </w:rPr>
        <w:t>Mia v Verimark Holdings (Pty) Ltd</w:t>
      </w:r>
      <w:r>
        <w:rPr>
          <w:lang w:val="en-US"/>
        </w:rPr>
        <w:t xml:space="preserve"> [2010] 1 All SA 280 (SCA) para 1: the conclusion of a contract subject to a suspensive condition creates “a very real and definite contractual relationship” between the parties. Pending fulfilment of the suspensive condition the exigible content of the contract is suspended.</w:t>
      </w:r>
    </w:p>
  </w:footnote>
  <w:footnote w:id="33">
    <w:p w14:paraId="22383645" w14:textId="62A2A374" w:rsidR="00400BDC" w:rsidRPr="00400BDC" w:rsidRDefault="00400BDC" w:rsidP="00E96165">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Media 24 </w:t>
      </w:r>
      <w:r w:rsidR="002E78A8">
        <w:rPr>
          <w:lang w:val="en-US"/>
        </w:rPr>
        <w:t xml:space="preserve">above n </w:t>
      </w:r>
      <w:r w:rsidR="005B0240">
        <w:rPr>
          <w:lang w:val="en-US"/>
        </w:rPr>
        <w:t>3</w:t>
      </w:r>
      <w:r>
        <w:rPr>
          <w:lang w:val="en-US"/>
        </w:rPr>
        <w:t xml:space="preserve"> para 15.</w:t>
      </w:r>
    </w:p>
  </w:footnote>
  <w:footnote w:id="34">
    <w:p w14:paraId="7A500B0C" w14:textId="6E1C6C99" w:rsidR="00FC44A4" w:rsidRDefault="00FC44A4" w:rsidP="00E96165">
      <w:pPr>
        <w:pStyle w:val="FootnoteText"/>
        <w:spacing w:line="240" w:lineRule="auto"/>
        <w:jc w:val="both"/>
        <w:rPr>
          <w:lang w:val="en-US"/>
        </w:rPr>
      </w:pPr>
      <w:r>
        <w:rPr>
          <w:rStyle w:val="FootnoteReference"/>
        </w:rPr>
        <w:footnoteRef/>
      </w:r>
      <w:r>
        <w:t xml:space="preserve"> </w:t>
      </w:r>
      <w:r>
        <w:rPr>
          <w:lang w:val="en-US"/>
        </w:rPr>
        <w:t>Clause 49 addresses ‘compliance with ethical standards &amp; conflict of interest, as follows:</w:t>
      </w:r>
    </w:p>
    <w:p w14:paraId="537F2823" w14:textId="397F2691" w:rsidR="00FC44A4" w:rsidRDefault="00FC44A4" w:rsidP="00E96165">
      <w:pPr>
        <w:pStyle w:val="FootnoteText"/>
        <w:spacing w:line="240" w:lineRule="auto"/>
        <w:ind w:left="720" w:hanging="720"/>
        <w:jc w:val="both"/>
        <w:rPr>
          <w:lang w:val="en-US"/>
        </w:rPr>
      </w:pPr>
      <w:r>
        <w:rPr>
          <w:lang w:val="en-US"/>
        </w:rPr>
        <w:t xml:space="preserve">‘49.1 </w:t>
      </w:r>
      <w:r>
        <w:rPr>
          <w:lang w:val="en-US"/>
        </w:rPr>
        <w:tab/>
        <w:t>In line with the code of conduct of the University of Fort Hare, all staff members of the University are expected to adhere to the following:</w:t>
      </w:r>
    </w:p>
    <w:p w14:paraId="5DF76789" w14:textId="3B700339" w:rsidR="00FC44A4" w:rsidRDefault="00FF49D0" w:rsidP="00FF49D0">
      <w:pPr>
        <w:pStyle w:val="FootnoteText"/>
        <w:spacing w:line="240" w:lineRule="auto"/>
        <w:ind w:left="720" w:hanging="360"/>
        <w:jc w:val="both"/>
        <w:rPr>
          <w:lang w:val="en-US"/>
        </w:rPr>
      </w:pPr>
      <w:r>
        <w:rPr>
          <w:lang w:val="en-US"/>
        </w:rPr>
        <w:t>(a)</w:t>
      </w:r>
      <w:r>
        <w:rPr>
          <w:lang w:val="en-US"/>
        </w:rPr>
        <w:tab/>
      </w:r>
      <w:r w:rsidR="00FC44A4">
        <w:rPr>
          <w:lang w:val="en-US"/>
        </w:rPr>
        <w:t>Every employee has a fiduciary relationship with the University and as such is obliged to protect the interests and wellbeing of the University. Therefore the employee will neither seek nor accept financial gain in any interaction on behalf of the University. Conflict of interest may arise as a result of activities in which employees engage as private individuals. Employees must refrain from allowing their dealings on behalf of the University to be influenced by personal or family interests, or the interests of friends or associates. Competition with the University is prohibited.</w:t>
      </w:r>
    </w:p>
    <w:p w14:paraId="3595E7F5" w14:textId="65FD248C" w:rsidR="00FC44A4" w:rsidRDefault="00FF49D0" w:rsidP="00FF49D0">
      <w:pPr>
        <w:pStyle w:val="FootnoteText"/>
        <w:spacing w:line="240" w:lineRule="auto"/>
        <w:ind w:left="720" w:hanging="360"/>
        <w:jc w:val="both"/>
        <w:rPr>
          <w:lang w:val="en-US"/>
        </w:rPr>
      </w:pPr>
      <w:r>
        <w:rPr>
          <w:lang w:val="en-US"/>
        </w:rPr>
        <w:t>(b)</w:t>
      </w:r>
      <w:r>
        <w:rPr>
          <w:lang w:val="en-US"/>
        </w:rPr>
        <w:tab/>
      </w:r>
      <w:r w:rsidR="00FC44A4">
        <w:rPr>
          <w:lang w:val="en-US"/>
        </w:rPr>
        <w:t>Employees may not accept any form of benefit or payment through the transaction of business on behalf of the University;’</w:t>
      </w:r>
    </w:p>
    <w:p w14:paraId="3AA07D31" w14:textId="77777777" w:rsidR="00FC44A4" w:rsidRPr="00FC44A4" w:rsidRDefault="00FC44A4" w:rsidP="00E96165">
      <w:pPr>
        <w:pStyle w:val="FootnoteText"/>
        <w:spacing w:line="240" w:lineRule="auto"/>
        <w:jc w:val="both"/>
        <w:rPr>
          <w:lang w:val="en-US"/>
        </w:rPr>
      </w:pPr>
    </w:p>
  </w:footnote>
  <w:footnote w:id="35">
    <w:p w14:paraId="15B6F06B" w14:textId="174769B0" w:rsidR="00D33F52" w:rsidRPr="00D33F52" w:rsidRDefault="00D33F52">
      <w:pPr>
        <w:pStyle w:val="FootnoteText"/>
        <w:rPr>
          <w:lang w:val="en-US"/>
        </w:rPr>
      </w:pPr>
      <w:r>
        <w:rPr>
          <w:rStyle w:val="FootnoteReference"/>
        </w:rPr>
        <w:footnoteRef/>
      </w:r>
      <w:r>
        <w:t xml:space="preserve"> </w:t>
      </w:r>
      <w:r>
        <w:rPr>
          <w:lang w:val="en-US"/>
        </w:rPr>
        <w:t xml:space="preserve">See </w:t>
      </w:r>
      <w:r>
        <w:rPr>
          <w:i/>
          <w:iCs/>
          <w:lang w:val="en-US"/>
        </w:rPr>
        <w:t>Tusk Construction Support Services (Pty) Ltd and Another v Independent Development Trust</w:t>
      </w:r>
      <w:r>
        <w:rPr>
          <w:lang w:val="en-US"/>
        </w:rPr>
        <w:t xml:space="preserve"> [2020] ZASCA 22</w:t>
      </w:r>
      <w:r w:rsidR="00A606AE">
        <w:rPr>
          <w:lang w:val="en-US"/>
        </w:rPr>
        <w:t xml:space="preserve"> para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6A81315F"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328B">
          <w:rPr>
            <w:rStyle w:val="PageNumber"/>
            <w:noProof/>
          </w:rPr>
          <w:t>20</w: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22866B82"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49D0">
          <w:rPr>
            <w:rStyle w:val="PageNumber"/>
            <w:noProof/>
          </w:rPr>
          <w:t>5</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E5711"/>
    <w:multiLevelType w:val="hybridMultilevel"/>
    <w:tmpl w:val="62B88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7260B3"/>
    <w:multiLevelType w:val="multilevel"/>
    <w:tmpl w:val="1194A314"/>
    <w:styleLink w:val="CurrentList2"/>
    <w:lvl w:ilvl="0">
      <w:start w:val="1"/>
      <w:numFmt w:val="decimal"/>
      <w:lvlText w:val="[%1]"/>
      <w:lvlJc w:val="left"/>
      <w:pPr>
        <w:ind w:left="720" w:hanging="360"/>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B32903"/>
    <w:multiLevelType w:val="hybridMultilevel"/>
    <w:tmpl w:val="CB0AF480"/>
    <w:lvl w:ilvl="0" w:tplc="7F8A4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57708"/>
    <w:multiLevelType w:val="hybridMultilevel"/>
    <w:tmpl w:val="13E0B4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350346"/>
    <w:multiLevelType w:val="hybridMultilevel"/>
    <w:tmpl w:val="8C6A37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4E4C9B"/>
    <w:multiLevelType w:val="hybridMultilevel"/>
    <w:tmpl w:val="38880612"/>
    <w:lvl w:ilvl="0" w:tplc="B69E61C6">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F4293B"/>
    <w:multiLevelType w:val="hybridMultilevel"/>
    <w:tmpl w:val="33E66040"/>
    <w:lvl w:ilvl="0" w:tplc="368C1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0E71BD"/>
    <w:multiLevelType w:val="multilevel"/>
    <w:tmpl w:val="D170431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14"/>
  </w:num>
  <w:num w:numId="6">
    <w:abstractNumId w:val="10"/>
  </w:num>
  <w:num w:numId="7">
    <w:abstractNumId w:val="17"/>
  </w:num>
  <w:num w:numId="8">
    <w:abstractNumId w:val="2"/>
  </w:num>
  <w:num w:numId="9">
    <w:abstractNumId w:val="9"/>
  </w:num>
  <w:num w:numId="10">
    <w:abstractNumId w:val="12"/>
  </w:num>
  <w:num w:numId="11">
    <w:abstractNumId w:val="16"/>
  </w:num>
  <w:num w:numId="12">
    <w:abstractNumId w:val="15"/>
  </w:num>
  <w:num w:numId="13">
    <w:abstractNumId w:val="3"/>
  </w:num>
  <w:num w:numId="14">
    <w:abstractNumId w:val="13"/>
  </w:num>
  <w:num w:numId="15">
    <w:abstractNumId w:val="7"/>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8DF"/>
    <w:rsid w:val="00000935"/>
    <w:rsid w:val="0000206B"/>
    <w:rsid w:val="0000217A"/>
    <w:rsid w:val="00003462"/>
    <w:rsid w:val="00003C79"/>
    <w:rsid w:val="000047EA"/>
    <w:rsid w:val="00004E1E"/>
    <w:rsid w:val="00005691"/>
    <w:rsid w:val="00005ABB"/>
    <w:rsid w:val="00005BC2"/>
    <w:rsid w:val="0000621B"/>
    <w:rsid w:val="0000642E"/>
    <w:rsid w:val="00006EF3"/>
    <w:rsid w:val="00007087"/>
    <w:rsid w:val="00007904"/>
    <w:rsid w:val="000109B4"/>
    <w:rsid w:val="00011F5C"/>
    <w:rsid w:val="00012A2F"/>
    <w:rsid w:val="00014437"/>
    <w:rsid w:val="00014770"/>
    <w:rsid w:val="00016FDA"/>
    <w:rsid w:val="00021BCB"/>
    <w:rsid w:val="000220C3"/>
    <w:rsid w:val="00022804"/>
    <w:rsid w:val="00027DA3"/>
    <w:rsid w:val="00030A25"/>
    <w:rsid w:val="000323B0"/>
    <w:rsid w:val="00032D7E"/>
    <w:rsid w:val="000341AF"/>
    <w:rsid w:val="000349F2"/>
    <w:rsid w:val="00034B32"/>
    <w:rsid w:val="0003553E"/>
    <w:rsid w:val="00036606"/>
    <w:rsid w:val="000368ED"/>
    <w:rsid w:val="000374F1"/>
    <w:rsid w:val="0004040E"/>
    <w:rsid w:val="00040F79"/>
    <w:rsid w:val="00041B00"/>
    <w:rsid w:val="000421C0"/>
    <w:rsid w:val="000422CD"/>
    <w:rsid w:val="0004347D"/>
    <w:rsid w:val="0004373B"/>
    <w:rsid w:val="00044B50"/>
    <w:rsid w:val="00044BA4"/>
    <w:rsid w:val="000451D0"/>
    <w:rsid w:val="00047035"/>
    <w:rsid w:val="000478E8"/>
    <w:rsid w:val="0005061D"/>
    <w:rsid w:val="00051F6C"/>
    <w:rsid w:val="000536DD"/>
    <w:rsid w:val="00053D81"/>
    <w:rsid w:val="00054DEC"/>
    <w:rsid w:val="00055C33"/>
    <w:rsid w:val="00056042"/>
    <w:rsid w:val="00056FBA"/>
    <w:rsid w:val="000571EB"/>
    <w:rsid w:val="000574BF"/>
    <w:rsid w:val="00063188"/>
    <w:rsid w:val="00063C6E"/>
    <w:rsid w:val="00063D5A"/>
    <w:rsid w:val="00064711"/>
    <w:rsid w:val="000674D6"/>
    <w:rsid w:val="0007050F"/>
    <w:rsid w:val="0007234C"/>
    <w:rsid w:val="00073EFC"/>
    <w:rsid w:val="000778A4"/>
    <w:rsid w:val="00080D4E"/>
    <w:rsid w:val="000815F5"/>
    <w:rsid w:val="00082A42"/>
    <w:rsid w:val="00083322"/>
    <w:rsid w:val="00083386"/>
    <w:rsid w:val="000833DB"/>
    <w:rsid w:val="00084C6F"/>
    <w:rsid w:val="00086278"/>
    <w:rsid w:val="00086A06"/>
    <w:rsid w:val="00086E2A"/>
    <w:rsid w:val="00087E29"/>
    <w:rsid w:val="0009015D"/>
    <w:rsid w:val="00090E08"/>
    <w:rsid w:val="000910CD"/>
    <w:rsid w:val="00091F8C"/>
    <w:rsid w:val="0009497C"/>
    <w:rsid w:val="00096BC1"/>
    <w:rsid w:val="000976CA"/>
    <w:rsid w:val="000A117C"/>
    <w:rsid w:val="000A59DC"/>
    <w:rsid w:val="000A6A3D"/>
    <w:rsid w:val="000A72FA"/>
    <w:rsid w:val="000A7978"/>
    <w:rsid w:val="000B0946"/>
    <w:rsid w:val="000B0DC8"/>
    <w:rsid w:val="000B26AE"/>
    <w:rsid w:val="000B26CF"/>
    <w:rsid w:val="000B3280"/>
    <w:rsid w:val="000B4744"/>
    <w:rsid w:val="000B47B5"/>
    <w:rsid w:val="000B4890"/>
    <w:rsid w:val="000B5049"/>
    <w:rsid w:val="000B5790"/>
    <w:rsid w:val="000B5FBC"/>
    <w:rsid w:val="000B606F"/>
    <w:rsid w:val="000B6309"/>
    <w:rsid w:val="000B643B"/>
    <w:rsid w:val="000B72FA"/>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5DE8"/>
    <w:rsid w:val="000D667A"/>
    <w:rsid w:val="000D75CF"/>
    <w:rsid w:val="000E1A1A"/>
    <w:rsid w:val="000E1C45"/>
    <w:rsid w:val="000E2444"/>
    <w:rsid w:val="000E3E15"/>
    <w:rsid w:val="000E44CB"/>
    <w:rsid w:val="000E4F0D"/>
    <w:rsid w:val="000E5100"/>
    <w:rsid w:val="000E66CD"/>
    <w:rsid w:val="000E7ECD"/>
    <w:rsid w:val="000F05E0"/>
    <w:rsid w:val="000F1A95"/>
    <w:rsid w:val="000F6BFE"/>
    <w:rsid w:val="000F7D2F"/>
    <w:rsid w:val="000F7DF4"/>
    <w:rsid w:val="0010068E"/>
    <w:rsid w:val="00100F9A"/>
    <w:rsid w:val="0010218C"/>
    <w:rsid w:val="00102662"/>
    <w:rsid w:val="00102D5B"/>
    <w:rsid w:val="001044DB"/>
    <w:rsid w:val="00105EB6"/>
    <w:rsid w:val="0010622C"/>
    <w:rsid w:val="001078B5"/>
    <w:rsid w:val="00107A5F"/>
    <w:rsid w:val="0011026A"/>
    <w:rsid w:val="00110EF0"/>
    <w:rsid w:val="001124A5"/>
    <w:rsid w:val="00115C37"/>
    <w:rsid w:val="00116EB9"/>
    <w:rsid w:val="00120E93"/>
    <w:rsid w:val="00121936"/>
    <w:rsid w:val="001226DE"/>
    <w:rsid w:val="00123296"/>
    <w:rsid w:val="0012621C"/>
    <w:rsid w:val="00130228"/>
    <w:rsid w:val="00131556"/>
    <w:rsid w:val="00131984"/>
    <w:rsid w:val="00131A28"/>
    <w:rsid w:val="0013208A"/>
    <w:rsid w:val="00132D93"/>
    <w:rsid w:val="0013369D"/>
    <w:rsid w:val="00133711"/>
    <w:rsid w:val="001337CC"/>
    <w:rsid w:val="00133D75"/>
    <w:rsid w:val="00134C11"/>
    <w:rsid w:val="00135C81"/>
    <w:rsid w:val="0013728D"/>
    <w:rsid w:val="001376E5"/>
    <w:rsid w:val="00137E08"/>
    <w:rsid w:val="00141D34"/>
    <w:rsid w:val="001423F6"/>
    <w:rsid w:val="00142F79"/>
    <w:rsid w:val="001435EB"/>
    <w:rsid w:val="001444D1"/>
    <w:rsid w:val="00144974"/>
    <w:rsid w:val="00146BA3"/>
    <w:rsid w:val="0014775B"/>
    <w:rsid w:val="001517E0"/>
    <w:rsid w:val="00157785"/>
    <w:rsid w:val="00157898"/>
    <w:rsid w:val="00157C19"/>
    <w:rsid w:val="00160EBC"/>
    <w:rsid w:val="00160F58"/>
    <w:rsid w:val="00162090"/>
    <w:rsid w:val="001635EF"/>
    <w:rsid w:val="00163A58"/>
    <w:rsid w:val="00164B7B"/>
    <w:rsid w:val="00172B5C"/>
    <w:rsid w:val="00173547"/>
    <w:rsid w:val="00173F15"/>
    <w:rsid w:val="00173F77"/>
    <w:rsid w:val="00174B6D"/>
    <w:rsid w:val="00175841"/>
    <w:rsid w:val="0017614D"/>
    <w:rsid w:val="0018006A"/>
    <w:rsid w:val="001805F4"/>
    <w:rsid w:val="00180F4E"/>
    <w:rsid w:val="00181593"/>
    <w:rsid w:val="00181923"/>
    <w:rsid w:val="00181E7E"/>
    <w:rsid w:val="00182175"/>
    <w:rsid w:val="00184625"/>
    <w:rsid w:val="00186769"/>
    <w:rsid w:val="001870AF"/>
    <w:rsid w:val="00191768"/>
    <w:rsid w:val="00192869"/>
    <w:rsid w:val="001943D2"/>
    <w:rsid w:val="001954F0"/>
    <w:rsid w:val="00195571"/>
    <w:rsid w:val="001955AB"/>
    <w:rsid w:val="00196742"/>
    <w:rsid w:val="00197117"/>
    <w:rsid w:val="001A0C54"/>
    <w:rsid w:val="001A20DD"/>
    <w:rsid w:val="001A4F33"/>
    <w:rsid w:val="001A791F"/>
    <w:rsid w:val="001B0D01"/>
    <w:rsid w:val="001B23C9"/>
    <w:rsid w:val="001B2578"/>
    <w:rsid w:val="001B2FE4"/>
    <w:rsid w:val="001B505F"/>
    <w:rsid w:val="001B69E3"/>
    <w:rsid w:val="001C04BC"/>
    <w:rsid w:val="001C2DD7"/>
    <w:rsid w:val="001C48A5"/>
    <w:rsid w:val="001C7061"/>
    <w:rsid w:val="001D0962"/>
    <w:rsid w:val="001D1079"/>
    <w:rsid w:val="001D214B"/>
    <w:rsid w:val="001D4C5E"/>
    <w:rsid w:val="001D569C"/>
    <w:rsid w:val="001D5A9D"/>
    <w:rsid w:val="001D5F83"/>
    <w:rsid w:val="001D61C8"/>
    <w:rsid w:val="001E08D7"/>
    <w:rsid w:val="001E0F36"/>
    <w:rsid w:val="001E1834"/>
    <w:rsid w:val="001E1B07"/>
    <w:rsid w:val="001E24E0"/>
    <w:rsid w:val="001E2CB8"/>
    <w:rsid w:val="001E2EA7"/>
    <w:rsid w:val="001E4824"/>
    <w:rsid w:val="001E54CF"/>
    <w:rsid w:val="001E640A"/>
    <w:rsid w:val="001E6986"/>
    <w:rsid w:val="001E6A6E"/>
    <w:rsid w:val="001E701F"/>
    <w:rsid w:val="001E7844"/>
    <w:rsid w:val="001E78D5"/>
    <w:rsid w:val="001E7C8F"/>
    <w:rsid w:val="001F2276"/>
    <w:rsid w:val="001F335C"/>
    <w:rsid w:val="001F3A41"/>
    <w:rsid w:val="001F59AB"/>
    <w:rsid w:val="00201DC6"/>
    <w:rsid w:val="00201F12"/>
    <w:rsid w:val="00206D6C"/>
    <w:rsid w:val="00207573"/>
    <w:rsid w:val="0021027A"/>
    <w:rsid w:val="00211204"/>
    <w:rsid w:val="002115FE"/>
    <w:rsid w:val="002122B1"/>
    <w:rsid w:val="00213565"/>
    <w:rsid w:val="0021430F"/>
    <w:rsid w:val="00214837"/>
    <w:rsid w:val="002151B7"/>
    <w:rsid w:val="00215CC2"/>
    <w:rsid w:val="00215EBC"/>
    <w:rsid w:val="0021730A"/>
    <w:rsid w:val="00217399"/>
    <w:rsid w:val="002203EC"/>
    <w:rsid w:val="00220E4E"/>
    <w:rsid w:val="00222673"/>
    <w:rsid w:val="00222854"/>
    <w:rsid w:val="00222D01"/>
    <w:rsid w:val="00224363"/>
    <w:rsid w:val="0022594E"/>
    <w:rsid w:val="00226444"/>
    <w:rsid w:val="00226ADA"/>
    <w:rsid w:val="00227379"/>
    <w:rsid w:val="00230075"/>
    <w:rsid w:val="002302D8"/>
    <w:rsid w:val="00230B10"/>
    <w:rsid w:val="00231325"/>
    <w:rsid w:val="00231599"/>
    <w:rsid w:val="002327AF"/>
    <w:rsid w:val="00233584"/>
    <w:rsid w:val="0023410F"/>
    <w:rsid w:val="0023677B"/>
    <w:rsid w:val="00236B9D"/>
    <w:rsid w:val="0023768E"/>
    <w:rsid w:val="002402F6"/>
    <w:rsid w:val="00240586"/>
    <w:rsid w:val="00241FB0"/>
    <w:rsid w:val="00245504"/>
    <w:rsid w:val="00245934"/>
    <w:rsid w:val="00245BEB"/>
    <w:rsid w:val="00247551"/>
    <w:rsid w:val="00247FC7"/>
    <w:rsid w:val="00250530"/>
    <w:rsid w:val="0025056A"/>
    <w:rsid w:val="00252FC1"/>
    <w:rsid w:val="00253273"/>
    <w:rsid w:val="002552C5"/>
    <w:rsid w:val="00255C8A"/>
    <w:rsid w:val="00256208"/>
    <w:rsid w:val="00256FCC"/>
    <w:rsid w:val="00257A15"/>
    <w:rsid w:val="002606D8"/>
    <w:rsid w:val="00260A94"/>
    <w:rsid w:val="00260B67"/>
    <w:rsid w:val="002612A5"/>
    <w:rsid w:val="00261583"/>
    <w:rsid w:val="0026158F"/>
    <w:rsid w:val="002617D8"/>
    <w:rsid w:val="002619F7"/>
    <w:rsid w:val="00262D2A"/>
    <w:rsid w:val="002635B7"/>
    <w:rsid w:val="00263B8D"/>
    <w:rsid w:val="0026495C"/>
    <w:rsid w:val="00265010"/>
    <w:rsid w:val="00265180"/>
    <w:rsid w:val="0026551E"/>
    <w:rsid w:val="00265AEB"/>
    <w:rsid w:val="0026634E"/>
    <w:rsid w:val="0026645C"/>
    <w:rsid w:val="002678FB"/>
    <w:rsid w:val="002700BE"/>
    <w:rsid w:val="00270285"/>
    <w:rsid w:val="002705E9"/>
    <w:rsid w:val="00271A57"/>
    <w:rsid w:val="00273903"/>
    <w:rsid w:val="00274C64"/>
    <w:rsid w:val="00275410"/>
    <w:rsid w:val="00275949"/>
    <w:rsid w:val="0027600D"/>
    <w:rsid w:val="00276100"/>
    <w:rsid w:val="002766E2"/>
    <w:rsid w:val="00277EB6"/>
    <w:rsid w:val="0028182D"/>
    <w:rsid w:val="002852C4"/>
    <w:rsid w:val="00285664"/>
    <w:rsid w:val="00287A18"/>
    <w:rsid w:val="00287A26"/>
    <w:rsid w:val="00290DC6"/>
    <w:rsid w:val="00290E92"/>
    <w:rsid w:val="0029395B"/>
    <w:rsid w:val="00294129"/>
    <w:rsid w:val="00294313"/>
    <w:rsid w:val="002960D0"/>
    <w:rsid w:val="002960E9"/>
    <w:rsid w:val="00297AD2"/>
    <w:rsid w:val="002A01B5"/>
    <w:rsid w:val="002A075C"/>
    <w:rsid w:val="002A080F"/>
    <w:rsid w:val="002A0EB5"/>
    <w:rsid w:val="002A157A"/>
    <w:rsid w:val="002A1950"/>
    <w:rsid w:val="002A1D97"/>
    <w:rsid w:val="002A1E2F"/>
    <w:rsid w:val="002A21AF"/>
    <w:rsid w:val="002A2AA4"/>
    <w:rsid w:val="002A3836"/>
    <w:rsid w:val="002A3C5C"/>
    <w:rsid w:val="002A57A8"/>
    <w:rsid w:val="002A58D7"/>
    <w:rsid w:val="002A5B38"/>
    <w:rsid w:val="002A61D9"/>
    <w:rsid w:val="002A6332"/>
    <w:rsid w:val="002A656F"/>
    <w:rsid w:val="002A6593"/>
    <w:rsid w:val="002A6B82"/>
    <w:rsid w:val="002A73A7"/>
    <w:rsid w:val="002B0DEA"/>
    <w:rsid w:val="002B31B7"/>
    <w:rsid w:val="002B3FE3"/>
    <w:rsid w:val="002B4A93"/>
    <w:rsid w:val="002B54B7"/>
    <w:rsid w:val="002B6730"/>
    <w:rsid w:val="002B7874"/>
    <w:rsid w:val="002C1ECF"/>
    <w:rsid w:val="002C1ED3"/>
    <w:rsid w:val="002C24F3"/>
    <w:rsid w:val="002C3A0D"/>
    <w:rsid w:val="002C45D8"/>
    <w:rsid w:val="002C6751"/>
    <w:rsid w:val="002C7128"/>
    <w:rsid w:val="002C77EA"/>
    <w:rsid w:val="002D334E"/>
    <w:rsid w:val="002D4CBC"/>
    <w:rsid w:val="002D5AFE"/>
    <w:rsid w:val="002D6D70"/>
    <w:rsid w:val="002D7292"/>
    <w:rsid w:val="002E0CCA"/>
    <w:rsid w:val="002E141A"/>
    <w:rsid w:val="002E1B95"/>
    <w:rsid w:val="002E3EC7"/>
    <w:rsid w:val="002E4808"/>
    <w:rsid w:val="002E483E"/>
    <w:rsid w:val="002E56E1"/>
    <w:rsid w:val="002E6718"/>
    <w:rsid w:val="002E6D7C"/>
    <w:rsid w:val="002E7045"/>
    <w:rsid w:val="002E7199"/>
    <w:rsid w:val="002E78A8"/>
    <w:rsid w:val="002F012F"/>
    <w:rsid w:val="002F0513"/>
    <w:rsid w:val="002F0990"/>
    <w:rsid w:val="002F0C58"/>
    <w:rsid w:val="002F13D1"/>
    <w:rsid w:val="002F37F8"/>
    <w:rsid w:val="002F4EDB"/>
    <w:rsid w:val="002F60D3"/>
    <w:rsid w:val="002F7574"/>
    <w:rsid w:val="00300A59"/>
    <w:rsid w:val="0030214A"/>
    <w:rsid w:val="00302E78"/>
    <w:rsid w:val="003035F7"/>
    <w:rsid w:val="00304EC9"/>
    <w:rsid w:val="00306288"/>
    <w:rsid w:val="00307FCD"/>
    <w:rsid w:val="00311336"/>
    <w:rsid w:val="003140F9"/>
    <w:rsid w:val="00314724"/>
    <w:rsid w:val="003148EA"/>
    <w:rsid w:val="003150CA"/>
    <w:rsid w:val="00315CB8"/>
    <w:rsid w:val="00315D8D"/>
    <w:rsid w:val="003168ED"/>
    <w:rsid w:val="003172EB"/>
    <w:rsid w:val="00317AB4"/>
    <w:rsid w:val="00321E11"/>
    <w:rsid w:val="003228A7"/>
    <w:rsid w:val="00324CE8"/>
    <w:rsid w:val="00325BD4"/>
    <w:rsid w:val="00326536"/>
    <w:rsid w:val="00326A33"/>
    <w:rsid w:val="0032785C"/>
    <w:rsid w:val="00327E36"/>
    <w:rsid w:val="00327E53"/>
    <w:rsid w:val="00330795"/>
    <w:rsid w:val="00330E85"/>
    <w:rsid w:val="0033219D"/>
    <w:rsid w:val="00334624"/>
    <w:rsid w:val="00335693"/>
    <w:rsid w:val="00335897"/>
    <w:rsid w:val="0033634C"/>
    <w:rsid w:val="0033669D"/>
    <w:rsid w:val="003367DD"/>
    <w:rsid w:val="0034206E"/>
    <w:rsid w:val="00342080"/>
    <w:rsid w:val="00343E5D"/>
    <w:rsid w:val="00343F17"/>
    <w:rsid w:val="0034439B"/>
    <w:rsid w:val="003455A7"/>
    <w:rsid w:val="003469BB"/>
    <w:rsid w:val="00350743"/>
    <w:rsid w:val="00350A47"/>
    <w:rsid w:val="003513CA"/>
    <w:rsid w:val="00351F77"/>
    <w:rsid w:val="00351FAC"/>
    <w:rsid w:val="003529AF"/>
    <w:rsid w:val="00353040"/>
    <w:rsid w:val="00353146"/>
    <w:rsid w:val="00353652"/>
    <w:rsid w:val="003564CA"/>
    <w:rsid w:val="0035756C"/>
    <w:rsid w:val="00357751"/>
    <w:rsid w:val="003601F1"/>
    <w:rsid w:val="003602BC"/>
    <w:rsid w:val="00360BFC"/>
    <w:rsid w:val="00362478"/>
    <w:rsid w:val="00362A40"/>
    <w:rsid w:val="00363BF3"/>
    <w:rsid w:val="003649E8"/>
    <w:rsid w:val="00366631"/>
    <w:rsid w:val="00366EC4"/>
    <w:rsid w:val="003679D5"/>
    <w:rsid w:val="00367B79"/>
    <w:rsid w:val="003700BB"/>
    <w:rsid w:val="0037015D"/>
    <w:rsid w:val="003716F8"/>
    <w:rsid w:val="0037217E"/>
    <w:rsid w:val="00373BB6"/>
    <w:rsid w:val="00374BAC"/>
    <w:rsid w:val="00374F02"/>
    <w:rsid w:val="00375614"/>
    <w:rsid w:val="003806C1"/>
    <w:rsid w:val="00380E60"/>
    <w:rsid w:val="00381483"/>
    <w:rsid w:val="00381C36"/>
    <w:rsid w:val="00381D62"/>
    <w:rsid w:val="00382ADF"/>
    <w:rsid w:val="00384669"/>
    <w:rsid w:val="003869D5"/>
    <w:rsid w:val="00387EAF"/>
    <w:rsid w:val="003905B9"/>
    <w:rsid w:val="0039206E"/>
    <w:rsid w:val="00392A4B"/>
    <w:rsid w:val="00392AA2"/>
    <w:rsid w:val="00393BA3"/>
    <w:rsid w:val="00394219"/>
    <w:rsid w:val="0039527F"/>
    <w:rsid w:val="00395A71"/>
    <w:rsid w:val="0039682A"/>
    <w:rsid w:val="003A2D2C"/>
    <w:rsid w:val="003A316C"/>
    <w:rsid w:val="003A37F4"/>
    <w:rsid w:val="003A4F1D"/>
    <w:rsid w:val="003A4F95"/>
    <w:rsid w:val="003A6F71"/>
    <w:rsid w:val="003A745C"/>
    <w:rsid w:val="003A7AA6"/>
    <w:rsid w:val="003A7BAA"/>
    <w:rsid w:val="003B01D4"/>
    <w:rsid w:val="003B0FD5"/>
    <w:rsid w:val="003B10EC"/>
    <w:rsid w:val="003B1570"/>
    <w:rsid w:val="003B15C9"/>
    <w:rsid w:val="003B21BF"/>
    <w:rsid w:val="003B2ABF"/>
    <w:rsid w:val="003B3C31"/>
    <w:rsid w:val="003B43B8"/>
    <w:rsid w:val="003B5FEE"/>
    <w:rsid w:val="003B6FA7"/>
    <w:rsid w:val="003B75E8"/>
    <w:rsid w:val="003B76D9"/>
    <w:rsid w:val="003C0CEB"/>
    <w:rsid w:val="003C351A"/>
    <w:rsid w:val="003C3BC6"/>
    <w:rsid w:val="003C5934"/>
    <w:rsid w:val="003C6382"/>
    <w:rsid w:val="003C7080"/>
    <w:rsid w:val="003D11D0"/>
    <w:rsid w:val="003D239A"/>
    <w:rsid w:val="003D2C74"/>
    <w:rsid w:val="003D5245"/>
    <w:rsid w:val="003D5507"/>
    <w:rsid w:val="003D5A10"/>
    <w:rsid w:val="003D5E6D"/>
    <w:rsid w:val="003D7CB9"/>
    <w:rsid w:val="003E0F7C"/>
    <w:rsid w:val="003E2B73"/>
    <w:rsid w:val="003E2F03"/>
    <w:rsid w:val="003E3395"/>
    <w:rsid w:val="003E379F"/>
    <w:rsid w:val="003E3BBF"/>
    <w:rsid w:val="003E424A"/>
    <w:rsid w:val="003E5C21"/>
    <w:rsid w:val="003E6791"/>
    <w:rsid w:val="003E7208"/>
    <w:rsid w:val="003E75F3"/>
    <w:rsid w:val="003F0D9E"/>
    <w:rsid w:val="003F1974"/>
    <w:rsid w:val="003F2109"/>
    <w:rsid w:val="003F2790"/>
    <w:rsid w:val="003F50FF"/>
    <w:rsid w:val="003F5900"/>
    <w:rsid w:val="003F6355"/>
    <w:rsid w:val="00400266"/>
    <w:rsid w:val="004002C5"/>
    <w:rsid w:val="00400BDC"/>
    <w:rsid w:val="00401A9A"/>
    <w:rsid w:val="00402EEA"/>
    <w:rsid w:val="00404201"/>
    <w:rsid w:val="00405CEF"/>
    <w:rsid w:val="00406337"/>
    <w:rsid w:val="00406449"/>
    <w:rsid w:val="00406A00"/>
    <w:rsid w:val="004074B3"/>
    <w:rsid w:val="004075EA"/>
    <w:rsid w:val="004106AF"/>
    <w:rsid w:val="00410C82"/>
    <w:rsid w:val="0041108E"/>
    <w:rsid w:val="00412DF2"/>
    <w:rsid w:val="004138F5"/>
    <w:rsid w:val="00413D22"/>
    <w:rsid w:val="0041445A"/>
    <w:rsid w:val="00414C90"/>
    <w:rsid w:val="004165B0"/>
    <w:rsid w:val="004165D6"/>
    <w:rsid w:val="0042163E"/>
    <w:rsid w:val="004228A1"/>
    <w:rsid w:val="00423163"/>
    <w:rsid w:val="004244A5"/>
    <w:rsid w:val="004246CD"/>
    <w:rsid w:val="004269D1"/>
    <w:rsid w:val="00427318"/>
    <w:rsid w:val="004276CD"/>
    <w:rsid w:val="0042778E"/>
    <w:rsid w:val="00427843"/>
    <w:rsid w:val="004302B6"/>
    <w:rsid w:val="00431312"/>
    <w:rsid w:val="0043230A"/>
    <w:rsid w:val="0043511C"/>
    <w:rsid w:val="00435538"/>
    <w:rsid w:val="00437E88"/>
    <w:rsid w:val="00440672"/>
    <w:rsid w:val="00441E70"/>
    <w:rsid w:val="00443779"/>
    <w:rsid w:val="004438F0"/>
    <w:rsid w:val="00443CCC"/>
    <w:rsid w:val="004441E4"/>
    <w:rsid w:val="004446CD"/>
    <w:rsid w:val="004448E8"/>
    <w:rsid w:val="004449A3"/>
    <w:rsid w:val="004474FB"/>
    <w:rsid w:val="00451274"/>
    <w:rsid w:val="004528CC"/>
    <w:rsid w:val="004529C3"/>
    <w:rsid w:val="0045608B"/>
    <w:rsid w:val="00461A76"/>
    <w:rsid w:val="004652FD"/>
    <w:rsid w:val="004657F4"/>
    <w:rsid w:val="00466979"/>
    <w:rsid w:val="00466D17"/>
    <w:rsid w:val="00467E20"/>
    <w:rsid w:val="00472A4C"/>
    <w:rsid w:val="00472B05"/>
    <w:rsid w:val="00472E85"/>
    <w:rsid w:val="00473068"/>
    <w:rsid w:val="004735D5"/>
    <w:rsid w:val="0047556B"/>
    <w:rsid w:val="00475C2D"/>
    <w:rsid w:val="00476A9C"/>
    <w:rsid w:val="00477226"/>
    <w:rsid w:val="004813E8"/>
    <w:rsid w:val="004827F3"/>
    <w:rsid w:val="004829F2"/>
    <w:rsid w:val="00486114"/>
    <w:rsid w:val="004863E4"/>
    <w:rsid w:val="00487264"/>
    <w:rsid w:val="00490C54"/>
    <w:rsid w:val="00490D2A"/>
    <w:rsid w:val="0049105D"/>
    <w:rsid w:val="004918C4"/>
    <w:rsid w:val="0049215E"/>
    <w:rsid w:val="004932A2"/>
    <w:rsid w:val="00495BA7"/>
    <w:rsid w:val="00496577"/>
    <w:rsid w:val="00496E8C"/>
    <w:rsid w:val="00496EAA"/>
    <w:rsid w:val="00497D24"/>
    <w:rsid w:val="004A00B9"/>
    <w:rsid w:val="004A08D7"/>
    <w:rsid w:val="004A2500"/>
    <w:rsid w:val="004A2F6B"/>
    <w:rsid w:val="004A3111"/>
    <w:rsid w:val="004A5151"/>
    <w:rsid w:val="004A5DB1"/>
    <w:rsid w:val="004A687F"/>
    <w:rsid w:val="004A7359"/>
    <w:rsid w:val="004B3161"/>
    <w:rsid w:val="004B3B12"/>
    <w:rsid w:val="004B5BAF"/>
    <w:rsid w:val="004B5CB4"/>
    <w:rsid w:val="004B632A"/>
    <w:rsid w:val="004B788E"/>
    <w:rsid w:val="004B7E82"/>
    <w:rsid w:val="004C06AD"/>
    <w:rsid w:val="004C0946"/>
    <w:rsid w:val="004C0C08"/>
    <w:rsid w:val="004C13CF"/>
    <w:rsid w:val="004C365F"/>
    <w:rsid w:val="004C4B0E"/>
    <w:rsid w:val="004C7EB2"/>
    <w:rsid w:val="004D0163"/>
    <w:rsid w:val="004D0AC5"/>
    <w:rsid w:val="004D19EB"/>
    <w:rsid w:val="004D1AAF"/>
    <w:rsid w:val="004D3210"/>
    <w:rsid w:val="004D35C6"/>
    <w:rsid w:val="004D70E0"/>
    <w:rsid w:val="004E06B4"/>
    <w:rsid w:val="004E0D51"/>
    <w:rsid w:val="004E0ED6"/>
    <w:rsid w:val="004E189A"/>
    <w:rsid w:val="004E1A28"/>
    <w:rsid w:val="004E1CFB"/>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20"/>
    <w:rsid w:val="004F79D9"/>
    <w:rsid w:val="005014BC"/>
    <w:rsid w:val="00501617"/>
    <w:rsid w:val="00502229"/>
    <w:rsid w:val="00502DCA"/>
    <w:rsid w:val="005030DE"/>
    <w:rsid w:val="00504BCF"/>
    <w:rsid w:val="0050634D"/>
    <w:rsid w:val="005078B2"/>
    <w:rsid w:val="005079C1"/>
    <w:rsid w:val="00507BBF"/>
    <w:rsid w:val="00511260"/>
    <w:rsid w:val="00511470"/>
    <w:rsid w:val="00511565"/>
    <w:rsid w:val="0051172C"/>
    <w:rsid w:val="00512577"/>
    <w:rsid w:val="0051380C"/>
    <w:rsid w:val="00513945"/>
    <w:rsid w:val="00513C38"/>
    <w:rsid w:val="00514878"/>
    <w:rsid w:val="00516A09"/>
    <w:rsid w:val="0051706E"/>
    <w:rsid w:val="005200CD"/>
    <w:rsid w:val="00520E7F"/>
    <w:rsid w:val="00523DBC"/>
    <w:rsid w:val="005244E9"/>
    <w:rsid w:val="00524FA3"/>
    <w:rsid w:val="0052584B"/>
    <w:rsid w:val="005259C3"/>
    <w:rsid w:val="00525DF3"/>
    <w:rsid w:val="005274BA"/>
    <w:rsid w:val="00530509"/>
    <w:rsid w:val="00532080"/>
    <w:rsid w:val="00532A8C"/>
    <w:rsid w:val="005366C4"/>
    <w:rsid w:val="00541830"/>
    <w:rsid w:val="0054376D"/>
    <w:rsid w:val="00544BCB"/>
    <w:rsid w:val="00545009"/>
    <w:rsid w:val="00545140"/>
    <w:rsid w:val="00545668"/>
    <w:rsid w:val="005508AC"/>
    <w:rsid w:val="0055098F"/>
    <w:rsid w:val="005517B9"/>
    <w:rsid w:val="00551F6D"/>
    <w:rsid w:val="00553E7D"/>
    <w:rsid w:val="005542BD"/>
    <w:rsid w:val="00556489"/>
    <w:rsid w:val="00556EDA"/>
    <w:rsid w:val="00556FC7"/>
    <w:rsid w:val="005573D6"/>
    <w:rsid w:val="0056029F"/>
    <w:rsid w:val="0056509F"/>
    <w:rsid w:val="005650E2"/>
    <w:rsid w:val="00565326"/>
    <w:rsid w:val="00566348"/>
    <w:rsid w:val="00567597"/>
    <w:rsid w:val="005703D6"/>
    <w:rsid w:val="00570A0D"/>
    <w:rsid w:val="00572D02"/>
    <w:rsid w:val="0057349A"/>
    <w:rsid w:val="00573B37"/>
    <w:rsid w:val="00573CD3"/>
    <w:rsid w:val="005745CB"/>
    <w:rsid w:val="00574AB8"/>
    <w:rsid w:val="005754FC"/>
    <w:rsid w:val="00575DD1"/>
    <w:rsid w:val="00575F9C"/>
    <w:rsid w:val="0057630C"/>
    <w:rsid w:val="00576979"/>
    <w:rsid w:val="00577D50"/>
    <w:rsid w:val="00580939"/>
    <w:rsid w:val="00580D85"/>
    <w:rsid w:val="00580E51"/>
    <w:rsid w:val="005813AC"/>
    <w:rsid w:val="0058354A"/>
    <w:rsid w:val="00584BA7"/>
    <w:rsid w:val="00586CFB"/>
    <w:rsid w:val="00587D29"/>
    <w:rsid w:val="00591072"/>
    <w:rsid w:val="005934B8"/>
    <w:rsid w:val="00594C9D"/>
    <w:rsid w:val="00595C65"/>
    <w:rsid w:val="005964E5"/>
    <w:rsid w:val="005969E2"/>
    <w:rsid w:val="00597705"/>
    <w:rsid w:val="005A2449"/>
    <w:rsid w:val="005A2C73"/>
    <w:rsid w:val="005A3E4D"/>
    <w:rsid w:val="005A4FC0"/>
    <w:rsid w:val="005A71F7"/>
    <w:rsid w:val="005B0240"/>
    <w:rsid w:val="005B1333"/>
    <w:rsid w:val="005B1872"/>
    <w:rsid w:val="005B649F"/>
    <w:rsid w:val="005B7922"/>
    <w:rsid w:val="005B7CEE"/>
    <w:rsid w:val="005C07B4"/>
    <w:rsid w:val="005C1439"/>
    <w:rsid w:val="005C15DC"/>
    <w:rsid w:val="005C1DEC"/>
    <w:rsid w:val="005C28AE"/>
    <w:rsid w:val="005C36E4"/>
    <w:rsid w:val="005C4FDA"/>
    <w:rsid w:val="005C5C47"/>
    <w:rsid w:val="005C6A41"/>
    <w:rsid w:val="005D0320"/>
    <w:rsid w:val="005D0B78"/>
    <w:rsid w:val="005D25D6"/>
    <w:rsid w:val="005D3407"/>
    <w:rsid w:val="005D371D"/>
    <w:rsid w:val="005D3941"/>
    <w:rsid w:val="005D411A"/>
    <w:rsid w:val="005D47C3"/>
    <w:rsid w:val="005D5E9D"/>
    <w:rsid w:val="005D6BF3"/>
    <w:rsid w:val="005D6D77"/>
    <w:rsid w:val="005E26E0"/>
    <w:rsid w:val="005E2F30"/>
    <w:rsid w:val="005E3541"/>
    <w:rsid w:val="005E411E"/>
    <w:rsid w:val="005E560B"/>
    <w:rsid w:val="005E601A"/>
    <w:rsid w:val="005F03D5"/>
    <w:rsid w:val="005F04A5"/>
    <w:rsid w:val="005F158C"/>
    <w:rsid w:val="005F236B"/>
    <w:rsid w:val="005F6D85"/>
    <w:rsid w:val="005F77BC"/>
    <w:rsid w:val="00600269"/>
    <w:rsid w:val="0060138F"/>
    <w:rsid w:val="0060141E"/>
    <w:rsid w:val="00601772"/>
    <w:rsid w:val="00602ACE"/>
    <w:rsid w:val="0060391E"/>
    <w:rsid w:val="0060443D"/>
    <w:rsid w:val="0060486E"/>
    <w:rsid w:val="00604D09"/>
    <w:rsid w:val="00605006"/>
    <w:rsid w:val="006062FB"/>
    <w:rsid w:val="006067EC"/>
    <w:rsid w:val="00606867"/>
    <w:rsid w:val="00607419"/>
    <w:rsid w:val="006101AF"/>
    <w:rsid w:val="00612393"/>
    <w:rsid w:val="00612ACF"/>
    <w:rsid w:val="006139A2"/>
    <w:rsid w:val="00613E36"/>
    <w:rsid w:val="00614A7A"/>
    <w:rsid w:val="00616B35"/>
    <w:rsid w:val="006178D4"/>
    <w:rsid w:val="00617A30"/>
    <w:rsid w:val="00617F99"/>
    <w:rsid w:val="006215E6"/>
    <w:rsid w:val="00621B4B"/>
    <w:rsid w:val="006232F1"/>
    <w:rsid w:val="00623DDE"/>
    <w:rsid w:val="00624695"/>
    <w:rsid w:val="006249C3"/>
    <w:rsid w:val="00625AF1"/>
    <w:rsid w:val="00625D2D"/>
    <w:rsid w:val="00626DB9"/>
    <w:rsid w:val="006271A4"/>
    <w:rsid w:val="00630138"/>
    <w:rsid w:val="00630B2A"/>
    <w:rsid w:val="006313FC"/>
    <w:rsid w:val="00631956"/>
    <w:rsid w:val="006332F2"/>
    <w:rsid w:val="00634B17"/>
    <w:rsid w:val="00636095"/>
    <w:rsid w:val="00637A17"/>
    <w:rsid w:val="00641035"/>
    <w:rsid w:val="00641661"/>
    <w:rsid w:val="0064421B"/>
    <w:rsid w:val="00644FB0"/>
    <w:rsid w:val="00646F0D"/>
    <w:rsid w:val="006476E6"/>
    <w:rsid w:val="00650EE2"/>
    <w:rsid w:val="006511A4"/>
    <w:rsid w:val="006513E2"/>
    <w:rsid w:val="00651916"/>
    <w:rsid w:val="00651DE7"/>
    <w:rsid w:val="00652A33"/>
    <w:rsid w:val="00652E56"/>
    <w:rsid w:val="006531C9"/>
    <w:rsid w:val="006532AA"/>
    <w:rsid w:val="006535E1"/>
    <w:rsid w:val="00655DBD"/>
    <w:rsid w:val="0066025E"/>
    <w:rsid w:val="0066192D"/>
    <w:rsid w:val="00661D64"/>
    <w:rsid w:val="00662682"/>
    <w:rsid w:val="006639A0"/>
    <w:rsid w:val="00663D7F"/>
    <w:rsid w:val="00664CD0"/>
    <w:rsid w:val="00665D94"/>
    <w:rsid w:val="006668FE"/>
    <w:rsid w:val="00667591"/>
    <w:rsid w:val="00667F9F"/>
    <w:rsid w:val="006710E7"/>
    <w:rsid w:val="00671A0B"/>
    <w:rsid w:val="0067210D"/>
    <w:rsid w:val="00675C81"/>
    <w:rsid w:val="0068034D"/>
    <w:rsid w:val="00681152"/>
    <w:rsid w:val="0068248C"/>
    <w:rsid w:val="00682987"/>
    <w:rsid w:val="00682CE5"/>
    <w:rsid w:val="00683C03"/>
    <w:rsid w:val="006841DC"/>
    <w:rsid w:val="0068468E"/>
    <w:rsid w:val="00685DAD"/>
    <w:rsid w:val="0068615D"/>
    <w:rsid w:val="0068675A"/>
    <w:rsid w:val="0069106B"/>
    <w:rsid w:val="00691AF2"/>
    <w:rsid w:val="00691CB2"/>
    <w:rsid w:val="00694527"/>
    <w:rsid w:val="00694D77"/>
    <w:rsid w:val="0069550C"/>
    <w:rsid w:val="006970F2"/>
    <w:rsid w:val="00697418"/>
    <w:rsid w:val="00697465"/>
    <w:rsid w:val="00697EB1"/>
    <w:rsid w:val="006A1760"/>
    <w:rsid w:val="006A2310"/>
    <w:rsid w:val="006A2706"/>
    <w:rsid w:val="006A498B"/>
    <w:rsid w:val="006A7DA6"/>
    <w:rsid w:val="006B018C"/>
    <w:rsid w:val="006B150C"/>
    <w:rsid w:val="006B1DCE"/>
    <w:rsid w:val="006B320C"/>
    <w:rsid w:val="006B42B2"/>
    <w:rsid w:val="006B6180"/>
    <w:rsid w:val="006B6707"/>
    <w:rsid w:val="006B692B"/>
    <w:rsid w:val="006C15E3"/>
    <w:rsid w:val="006C177A"/>
    <w:rsid w:val="006C1B13"/>
    <w:rsid w:val="006C32C4"/>
    <w:rsid w:val="006C6908"/>
    <w:rsid w:val="006C740A"/>
    <w:rsid w:val="006C7757"/>
    <w:rsid w:val="006D067F"/>
    <w:rsid w:val="006D06A8"/>
    <w:rsid w:val="006D07FB"/>
    <w:rsid w:val="006D1F25"/>
    <w:rsid w:val="006D5A67"/>
    <w:rsid w:val="006D68A9"/>
    <w:rsid w:val="006D747B"/>
    <w:rsid w:val="006D762E"/>
    <w:rsid w:val="006D7DFD"/>
    <w:rsid w:val="006E16D1"/>
    <w:rsid w:val="006E2B6D"/>
    <w:rsid w:val="006E3C88"/>
    <w:rsid w:val="006E4C1C"/>
    <w:rsid w:val="006E5FD3"/>
    <w:rsid w:val="006E7FC5"/>
    <w:rsid w:val="006F09D8"/>
    <w:rsid w:val="006F1624"/>
    <w:rsid w:val="006F1B42"/>
    <w:rsid w:val="006F3052"/>
    <w:rsid w:val="006F31BD"/>
    <w:rsid w:val="006F3259"/>
    <w:rsid w:val="006F3C00"/>
    <w:rsid w:val="006F3DFA"/>
    <w:rsid w:val="006F4F72"/>
    <w:rsid w:val="006F78DB"/>
    <w:rsid w:val="00702C42"/>
    <w:rsid w:val="00704A2E"/>
    <w:rsid w:val="007057AB"/>
    <w:rsid w:val="007059F6"/>
    <w:rsid w:val="00705F57"/>
    <w:rsid w:val="007068C7"/>
    <w:rsid w:val="00707343"/>
    <w:rsid w:val="007073FB"/>
    <w:rsid w:val="00707928"/>
    <w:rsid w:val="00710C28"/>
    <w:rsid w:val="00711C08"/>
    <w:rsid w:val="00711CC1"/>
    <w:rsid w:val="00712912"/>
    <w:rsid w:val="00712ED3"/>
    <w:rsid w:val="00714697"/>
    <w:rsid w:val="00714C9E"/>
    <w:rsid w:val="00715651"/>
    <w:rsid w:val="007170EE"/>
    <w:rsid w:val="00717903"/>
    <w:rsid w:val="00717A17"/>
    <w:rsid w:val="00717B10"/>
    <w:rsid w:val="00724B29"/>
    <w:rsid w:val="007252DF"/>
    <w:rsid w:val="00727A78"/>
    <w:rsid w:val="00730A5A"/>
    <w:rsid w:val="00731207"/>
    <w:rsid w:val="00733888"/>
    <w:rsid w:val="00734430"/>
    <w:rsid w:val="0074053C"/>
    <w:rsid w:val="00742A3B"/>
    <w:rsid w:val="007432E3"/>
    <w:rsid w:val="00743D4D"/>
    <w:rsid w:val="00743EB1"/>
    <w:rsid w:val="00744222"/>
    <w:rsid w:val="0074485F"/>
    <w:rsid w:val="007451A8"/>
    <w:rsid w:val="0074527C"/>
    <w:rsid w:val="00745BF2"/>
    <w:rsid w:val="00745E2B"/>
    <w:rsid w:val="00746757"/>
    <w:rsid w:val="00746D4C"/>
    <w:rsid w:val="00751ADD"/>
    <w:rsid w:val="007520F6"/>
    <w:rsid w:val="00752908"/>
    <w:rsid w:val="007532C0"/>
    <w:rsid w:val="0075364C"/>
    <w:rsid w:val="00756020"/>
    <w:rsid w:val="00756098"/>
    <w:rsid w:val="00756224"/>
    <w:rsid w:val="00756E84"/>
    <w:rsid w:val="00757886"/>
    <w:rsid w:val="00757F3C"/>
    <w:rsid w:val="0076226E"/>
    <w:rsid w:val="007631E0"/>
    <w:rsid w:val="0076323B"/>
    <w:rsid w:val="00763628"/>
    <w:rsid w:val="00763BF3"/>
    <w:rsid w:val="00764F87"/>
    <w:rsid w:val="00767A6B"/>
    <w:rsid w:val="00771094"/>
    <w:rsid w:val="00771421"/>
    <w:rsid w:val="00772E4B"/>
    <w:rsid w:val="007744D5"/>
    <w:rsid w:val="0077459E"/>
    <w:rsid w:val="00775448"/>
    <w:rsid w:val="0077676B"/>
    <w:rsid w:val="00780FC2"/>
    <w:rsid w:val="0078120B"/>
    <w:rsid w:val="00781415"/>
    <w:rsid w:val="00782782"/>
    <w:rsid w:val="00782FD7"/>
    <w:rsid w:val="007841E0"/>
    <w:rsid w:val="007863FC"/>
    <w:rsid w:val="007866DC"/>
    <w:rsid w:val="00791465"/>
    <w:rsid w:val="007918C3"/>
    <w:rsid w:val="0079276A"/>
    <w:rsid w:val="00792960"/>
    <w:rsid w:val="00794AA8"/>
    <w:rsid w:val="00794FA9"/>
    <w:rsid w:val="00796055"/>
    <w:rsid w:val="00796986"/>
    <w:rsid w:val="00796E10"/>
    <w:rsid w:val="00796F39"/>
    <w:rsid w:val="00796F7A"/>
    <w:rsid w:val="00797A49"/>
    <w:rsid w:val="007A07AF"/>
    <w:rsid w:val="007A1488"/>
    <w:rsid w:val="007A1A81"/>
    <w:rsid w:val="007A2884"/>
    <w:rsid w:val="007A3705"/>
    <w:rsid w:val="007A39B0"/>
    <w:rsid w:val="007A65CE"/>
    <w:rsid w:val="007A754A"/>
    <w:rsid w:val="007A7BBE"/>
    <w:rsid w:val="007B196E"/>
    <w:rsid w:val="007B1F09"/>
    <w:rsid w:val="007B566C"/>
    <w:rsid w:val="007B5F4E"/>
    <w:rsid w:val="007B686F"/>
    <w:rsid w:val="007B6CEF"/>
    <w:rsid w:val="007B7025"/>
    <w:rsid w:val="007C17AD"/>
    <w:rsid w:val="007C247A"/>
    <w:rsid w:val="007C4731"/>
    <w:rsid w:val="007C546A"/>
    <w:rsid w:val="007C7864"/>
    <w:rsid w:val="007D0644"/>
    <w:rsid w:val="007D0A2D"/>
    <w:rsid w:val="007D3ACE"/>
    <w:rsid w:val="007D5F08"/>
    <w:rsid w:val="007D64EC"/>
    <w:rsid w:val="007E05A2"/>
    <w:rsid w:val="007E0F82"/>
    <w:rsid w:val="007E1089"/>
    <w:rsid w:val="007E1B26"/>
    <w:rsid w:val="007E1F8D"/>
    <w:rsid w:val="007E23DE"/>
    <w:rsid w:val="007E2C6F"/>
    <w:rsid w:val="007E5E24"/>
    <w:rsid w:val="007F1E72"/>
    <w:rsid w:val="007F2C37"/>
    <w:rsid w:val="007F4798"/>
    <w:rsid w:val="007F505F"/>
    <w:rsid w:val="007F5389"/>
    <w:rsid w:val="00800438"/>
    <w:rsid w:val="008019A5"/>
    <w:rsid w:val="008020C2"/>
    <w:rsid w:val="008020CD"/>
    <w:rsid w:val="00803543"/>
    <w:rsid w:val="00806AE7"/>
    <w:rsid w:val="00806AFC"/>
    <w:rsid w:val="008072DE"/>
    <w:rsid w:val="00810336"/>
    <w:rsid w:val="0081156D"/>
    <w:rsid w:val="00811B30"/>
    <w:rsid w:val="00811E29"/>
    <w:rsid w:val="00812D95"/>
    <w:rsid w:val="00813448"/>
    <w:rsid w:val="00814EDE"/>
    <w:rsid w:val="0081612B"/>
    <w:rsid w:val="00816638"/>
    <w:rsid w:val="00816ED1"/>
    <w:rsid w:val="00821D82"/>
    <w:rsid w:val="008230F2"/>
    <w:rsid w:val="00823442"/>
    <w:rsid w:val="00823CFE"/>
    <w:rsid w:val="008242ED"/>
    <w:rsid w:val="00824D59"/>
    <w:rsid w:val="0082677D"/>
    <w:rsid w:val="008276BB"/>
    <w:rsid w:val="00830F6A"/>
    <w:rsid w:val="00831CAC"/>
    <w:rsid w:val="00832D07"/>
    <w:rsid w:val="00832EA6"/>
    <w:rsid w:val="00832FD6"/>
    <w:rsid w:val="0083336E"/>
    <w:rsid w:val="00834066"/>
    <w:rsid w:val="008343B4"/>
    <w:rsid w:val="00837B9A"/>
    <w:rsid w:val="00837E1F"/>
    <w:rsid w:val="008403C9"/>
    <w:rsid w:val="008405CE"/>
    <w:rsid w:val="008405CF"/>
    <w:rsid w:val="00840976"/>
    <w:rsid w:val="00841726"/>
    <w:rsid w:val="008417D1"/>
    <w:rsid w:val="00841BC8"/>
    <w:rsid w:val="00842210"/>
    <w:rsid w:val="008426AA"/>
    <w:rsid w:val="0084295A"/>
    <w:rsid w:val="0084393F"/>
    <w:rsid w:val="008454B2"/>
    <w:rsid w:val="00846269"/>
    <w:rsid w:val="00846BE6"/>
    <w:rsid w:val="00847AEC"/>
    <w:rsid w:val="00851511"/>
    <w:rsid w:val="008536CA"/>
    <w:rsid w:val="008547C2"/>
    <w:rsid w:val="00854A89"/>
    <w:rsid w:val="00855355"/>
    <w:rsid w:val="008557C2"/>
    <w:rsid w:val="00855F97"/>
    <w:rsid w:val="0086080D"/>
    <w:rsid w:val="008634DE"/>
    <w:rsid w:val="008647BD"/>
    <w:rsid w:val="008665C4"/>
    <w:rsid w:val="00866F53"/>
    <w:rsid w:val="0086751C"/>
    <w:rsid w:val="008677E3"/>
    <w:rsid w:val="00867F80"/>
    <w:rsid w:val="00870B41"/>
    <w:rsid w:val="0087195C"/>
    <w:rsid w:val="008736A5"/>
    <w:rsid w:val="00873C6E"/>
    <w:rsid w:val="00873EB9"/>
    <w:rsid w:val="00875D5A"/>
    <w:rsid w:val="00875F1E"/>
    <w:rsid w:val="00877C6D"/>
    <w:rsid w:val="00880351"/>
    <w:rsid w:val="0088086C"/>
    <w:rsid w:val="008825BB"/>
    <w:rsid w:val="00882735"/>
    <w:rsid w:val="0088275A"/>
    <w:rsid w:val="00882EFE"/>
    <w:rsid w:val="00885C05"/>
    <w:rsid w:val="00885F6F"/>
    <w:rsid w:val="00887607"/>
    <w:rsid w:val="00887883"/>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100F"/>
    <w:rsid w:val="008B1DA6"/>
    <w:rsid w:val="008B3660"/>
    <w:rsid w:val="008B3E59"/>
    <w:rsid w:val="008B6EE3"/>
    <w:rsid w:val="008B76E0"/>
    <w:rsid w:val="008C210D"/>
    <w:rsid w:val="008C3E59"/>
    <w:rsid w:val="008C480D"/>
    <w:rsid w:val="008C4C45"/>
    <w:rsid w:val="008C5558"/>
    <w:rsid w:val="008C651B"/>
    <w:rsid w:val="008C7138"/>
    <w:rsid w:val="008D136B"/>
    <w:rsid w:val="008D2564"/>
    <w:rsid w:val="008D3215"/>
    <w:rsid w:val="008D3C26"/>
    <w:rsid w:val="008D7957"/>
    <w:rsid w:val="008E0F60"/>
    <w:rsid w:val="008E1626"/>
    <w:rsid w:val="008E270C"/>
    <w:rsid w:val="008E30BF"/>
    <w:rsid w:val="008E3640"/>
    <w:rsid w:val="008E3A96"/>
    <w:rsid w:val="008E51D4"/>
    <w:rsid w:val="008E611C"/>
    <w:rsid w:val="008E63C7"/>
    <w:rsid w:val="008E66F8"/>
    <w:rsid w:val="008E74EF"/>
    <w:rsid w:val="008E75B5"/>
    <w:rsid w:val="008E7904"/>
    <w:rsid w:val="008E7EFA"/>
    <w:rsid w:val="008F051D"/>
    <w:rsid w:val="008F0FC5"/>
    <w:rsid w:val="008F0FD2"/>
    <w:rsid w:val="008F17A3"/>
    <w:rsid w:val="008F4376"/>
    <w:rsid w:val="008F59AF"/>
    <w:rsid w:val="008F5B07"/>
    <w:rsid w:val="008F5E59"/>
    <w:rsid w:val="008F61FC"/>
    <w:rsid w:val="008F74A5"/>
    <w:rsid w:val="00901406"/>
    <w:rsid w:val="00901474"/>
    <w:rsid w:val="009014FD"/>
    <w:rsid w:val="00901A5C"/>
    <w:rsid w:val="00902329"/>
    <w:rsid w:val="00902AA7"/>
    <w:rsid w:val="00902C55"/>
    <w:rsid w:val="00903496"/>
    <w:rsid w:val="00903A37"/>
    <w:rsid w:val="009041F8"/>
    <w:rsid w:val="00904D53"/>
    <w:rsid w:val="00905C49"/>
    <w:rsid w:val="00906C53"/>
    <w:rsid w:val="0090737A"/>
    <w:rsid w:val="009102F3"/>
    <w:rsid w:val="00912C97"/>
    <w:rsid w:val="0091491D"/>
    <w:rsid w:val="0091517B"/>
    <w:rsid w:val="00916FC7"/>
    <w:rsid w:val="00921597"/>
    <w:rsid w:val="00921696"/>
    <w:rsid w:val="0092525C"/>
    <w:rsid w:val="009257EE"/>
    <w:rsid w:val="009262E3"/>
    <w:rsid w:val="00927E7F"/>
    <w:rsid w:val="009300E6"/>
    <w:rsid w:val="00931856"/>
    <w:rsid w:val="00931957"/>
    <w:rsid w:val="009320AA"/>
    <w:rsid w:val="00932259"/>
    <w:rsid w:val="009352DF"/>
    <w:rsid w:val="00937B2D"/>
    <w:rsid w:val="00937F6E"/>
    <w:rsid w:val="00940225"/>
    <w:rsid w:val="00941EED"/>
    <w:rsid w:val="009429D4"/>
    <w:rsid w:val="00943D4D"/>
    <w:rsid w:val="00944464"/>
    <w:rsid w:val="00945BC4"/>
    <w:rsid w:val="009503FE"/>
    <w:rsid w:val="00950D37"/>
    <w:rsid w:val="0095291D"/>
    <w:rsid w:val="00954778"/>
    <w:rsid w:val="00954FFB"/>
    <w:rsid w:val="00955094"/>
    <w:rsid w:val="00955565"/>
    <w:rsid w:val="009564AE"/>
    <w:rsid w:val="0095687B"/>
    <w:rsid w:val="00957730"/>
    <w:rsid w:val="00957CB0"/>
    <w:rsid w:val="00960CDB"/>
    <w:rsid w:val="0096200B"/>
    <w:rsid w:val="00962E0E"/>
    <w:rsid w:val="00964882"/>
    <w:rsid w:val="009648F1"/>
    <w:rsid w:val="00964C44"/>
    <w:rsid w:val="00964DFA"/>
    <w:rsid w:val="00965582"/>
    <w:rsid w:val="0096634B"/>
    <w:rsid w:val="00970820"/>
    <w:rsid w:val="00970DEE"/>
    <w:rsid w:val="00971030"/>
    <w:rsid w:val="0097136D"/>
    <w:rsid w:val="00971D2F"/>
    <w:rsid w:val="00971EDA"/>
    <w:rsid w:val="009737E6"/>
    <w:rsid w:val="0097492C"/>
    <w:rsid w:val="00974E2D"/>
    <w:rsid w:val="00975137"/>
    <w:rsid w:val="00975DB5"/>
    <w:rsid w:val="00976DCD"/>
    <w:rsid w:val="00976F0D"/>
    <w:rsid w:val="0098066C"/>
    <w:rsid w:val="009812F2"/>
    <w:rsid w:val="009814B0"/>
    <w:rsid w:val="00981871"/>
    <w:rsid w:val="00984181"/>
    <w:rsid w:val="00984890"/>
    <w:rsid w:val="0098571F"/>
    <w:rsid w:val="00987780"/>
    <w:rsid w:val="0099005D"/>
    <w:rsid w:val="00992B0D"/>
    <w:rsid w:val="009949C6"/>
    <w:rsid w:val="009969E0"/>
    <w:rsid w:val="00996B5C"/>
    <w:rsid w:val="009A0418"/>
    <w:rsid w:val="009A0545"/>
    <w:rsid w:val="009A0B4E"/>
    <w:rsid w:val="009A1EC2"/>
    <w:rsid w:val="009A36AF"/>
    <w:rsid w:val="009A3E97"/>
    <w:rsid w:val="009A591E"/>
    <w:rsid w:val="009A5DBD"/>
    <w:rsid w:val="009A77E7"/>
    <w:rsid w:val="009B1B5C"/>
    <w:rsid w:val="009B306D"/>
    <w:rsid w:val="009B3474"/>
    <w:rsid w:val="009B5983"/>
    <w:rsid w:val="009B7B65"/>
    <w:rsid w:val="009C052D"/>
    <w:rsid w:val="009C09A0"/>
    <w:rsid w:val="009C2135"/>
    <w:rsid w:val="009C323D"/>
    <w:rsid w:val="009C36F1"/>
    <w:rsid w:val="009C3B51"/>
    <w:rsid w:val="009C3E3C"/>
    <w:rsid w:val="009C4800"/>
    <w:rsid w:val="009C4F54"/>
    <w:rsid w:val="009C5271"/>
    <w:rsid w:val="009C63A4"/>
    <w:rsid w:val="009C63D5"/>
    <w:rsid w:val="009C6B5F"/>
    <w:rsid w:val="009C787C"/>
    <w:rsid w:val="009C7FC6"/>
    <w:rsid w:val="009D02D7"/>
    <w:rsid w:val="009D161A"/>
    <w:rsid w:val="009D1693"/>
    <w:rsid w:val="009D1BCC"/>
    <w:rsid w:val="009D328B"/>
    <w:rsid w:val="009D3A68"/>
    <w:rsid w:val="009D3D26"/>
    <w:rsid w:val="009D4AB7"/>
    <w:rsid w:val="009D5302"/>
    <w:rsid w:val="009D62F3"/>
    <w:rsid w:val="009D754F"/>
    <w:rsid w:val="009E1896"/>
    <w:rsid w:val="009E1980"/>
    <w:rsid w:val="009E1ACC"/>
    <w:rsid w:val="009E1CC3"/>
    <w:rsid w:val="009E20B0"/>
    <w:rsid w:val="009E2833"/>
    <w:rsid w:val="009E2BB3"/>
    <w:rsid w:val="009E325E"/>
    <w:rsid w:val="009E3484"/>
    <w:rsid w:val="009E569F"/>
    <w:rsid w:val="009E5DD3"/>
    <w:rsid w:val="009E5FDA"/>
    <w:rsid w:val="009E646F"/>
    <w:rsid w:val="009E776E"/>
    <w:rsid w:val="009F1760"/>
    <w:rsid w:val="009F37F0"/>
    <w:rsid w:val="009F4396"/>
    <w:rsid w:val="009F5BAA"/>
    <w:rsid w:val="009F5D93"/>
    <w:rsid w:val="009F6F14"/>
    <w:rsid w:val="009F7433"/>
    <w:rsid w:val="009F7EAB"/>
    <w:rsid w:val="00A00F3C"/>
    <w:rsid w:val="00A0144A"/>
    <w:rsid w:val="00A021F0"/>
    <w:rsid w:val="00A02844"/>
    <w:rsid w:val="00A034F2"/>
    <w:rsid w:val="00A042CC"/>
    <w:rsid w:val="00A06B66"/>
    <w:rsid w:val="00A06BF5"/>
    <w:rsid w:val="00A076B8"/>
    <w:rsid w:val="00A07E9C"/>
    <w:rsid w:val="00A11066"/>
    <w:rsid w:val="00A1196D"/>
    <w:rsid w:val="00A11A36"/>
    <w:rsid w:val="00A122F8"/>
    <w:rsid w:val="00A1243E"/>
    <w:rsid w:val="00A12914"/>
    <w:rsid w:val="00A12A69"/>
    <w:rsid w:val="00A12EEB"/>
    <w:rsid w:val="00A14173"/>
    <w:rsid w:val="00A1447B"/>
    <w:rsid w:val="00A162E7"/>
    <w:rsid w:val="00A167B8"/>
    <w:rsid w:val="00A17060"/>
    <w:rsid w:val="00A17ED7"/>
    <w:rsid w:val="00A20492"/>
    <w:rsid w:val="00A2185E"/>
    <w:rsid w:val="00A21919"/>
    <w:rsid w:val="00A2502A"/>
    <w:rsid w:val="00A26381"/>
    <w:rsid w:val="00A26841"/>
    <w:rsid w:val="00A27260"/>
    <w:rsid w:val="00A31C08"/>
    <w:rsid w:val="00A32889"/>
    <w:rsid w:val="00A331C2"/>
    <w:rsid w:val="00A36A40"/>
    <w:rsid w:val="00A36D42"/>
    <w:rsid w:val="00A414A1"/>
    <w:rsid w:val="00A41BC0"/>
    <w:rsid w:val="00A42893"/>
    <w:rsid w:val="00A42906"/>
    <w:rsid w:val="00A43685"/>
    <w:rsid w:val="00A43E5D"/>
    <w:rsid w:val="00A45490"/>
    <w:rsid w:val="00A46D2B"/>
    <w:rsid w:val="00A4723D"/>
    <w:rsid w:val="00A47250"/>
    <w:rsid w:val="00A5150E"/>
    <w:rsid w:val="00A5180C"/>
    <w:rsid w:val="00A521EE"/>
    <w:rsid w:val="00A5427C"/>
    <w:rsid w:val="00A603C3"/>
    <w:rsid w:val="00A606AE"/>
    <w:rsid w:val="00A61267"/>
    <w:rsid w:val="00A63829"/>
    <w:rsid w:val="00A63928"/>
    <w:rsid w:val="00A64250"/>
    <w:rsid w:val="00A64FD8"/>
    <w:rsid w:val="00A6550F"/>
    <w:rsid w:val="00A672ED"/>
    <w:rsid w:val="00A67C97"/>
    <w:rsid w:val="00A711F9"/>
    <w:rsid w:val="00A71367"/>
    <w:rsid w:val="00A71783"/>
    <w:rsid w:val="00A719FE"/>
    <w:rsid w:val="00A74937"/>
    <w:rsid w:val="00A75B8E"/>
    <w:rsid w:val="00A80111"/>
    <w:rsid w:val="00A81DF8"/>
    <w:rsid w:val="00A821E2"/>
    <w:rsid w:val="00A82B55"/>
    <w:rsid w:val="00A83F39"/>
    <w:rsid w:val="00A84210"/>
    <w:rsid w:val="00A84F8D"/>
    <w:rsid w:val="00A85465"/>
    <w:rsid w:val="00A86322"/>
    <w:rsid w:val="00A866AE"/>
    <w:rsid w:val="00A878A5"/>
    <w:rsid w:val="00A87D38"/>
    <w:rsid w:val="00A92225"/>
    <w:rsid w:val="00A928B7"/>
    <w:rsid w:val="00A9381F"/>
    <w:rsid w:val="00A9583A"/>
    <w:rsid w:val="00A958D5"/>
    <w:rsid w:val="00A95B9A"/>
    <w:rsid w:val="00A95CB4"/>
    <w:rsid w:val="00A976E6"/>
    <w:rsid w:val="00AA00D8"/>
    <w:rsid w:val="00AA32DA"/>
    <w:rsid w:val="00AA45A4"/>
    <w:rsid w:val="00AA4712"/>
    <w:rsid w:val="00AA4FAB"/>
    <w:rsid w:val="00AA65F4"/>
    <w:rsid w:val="00AA7A71"/>
    <w:rsid w:val="00AA7E84"/>
    <w:rsid w:val="00AB01B3"/>
    <w:rsid w:val="00AB07B4"/>
    <w:rsid w:val="00AB1A6B"/>
    <w:rsid w:val="00AB1B2B"/>
    <w:rsid w:val="00AB43EE"/>
    <w:rsid w:val="00AB4F07"/>
    <w:rsid w:val="00AB5121"/>
    <w:rsid w:val="00AB51EA"/>
    <w:rsid w:val="00AB6F0C"/>
    <w:rsid w:val="00AC1EC5"/>
    <w:rsid w:val="00AC4867"/>
    <w:rsid w:val="00AC4AC4"/>
    <w:rsid w:val="00AC7F40"/>
    <w:rsid w:val="00AC7FDF"/>
    <w:rsid w:val="00AD0544"/>
    <w:rsid w:val="00AD061A"/>
    <w:rsid w:val="00AD1C15"/>
    <w:rsid w:val="00AD33BA"/>
    <w:rsid w:val="00AD35F0"/>
    <w:rsid w:val="00AD3BBA"/>
    <w:rsid w:val="00AD4158"/>
    <w:rsid w:val="00AD4AC4"/>
    <w:rsid w:val="00AD5920"/>
    <w:rsid w:val="00AD6B3C"/>
    <w:rsid w:val="00AE099A"/>
    <w:rsid w:val="00AE154F"/>
    <w:rsid w:val="00AE15A2"/>
    <w:rsid w:val="00AE18E1"/>
    <w:rsid w:val="00AE1EE1"/>
    <w:rsid w:val="00AE207E"/>
    <w:rsid w:val="00AE2782"/>
    <w:rsid w:val="00AE2C20"/>
    <w:rsid w:val="00AE3DAE"/>
    <w:rsid w:val="00AE412E"/>
    <w:rsid w:val="00AE5E46"/>
    <w:rsid w:val="00AE68B6"/>
    <w:rsid w:val="00AF05EC"/>
    <w:rsid w:val="00AF252E"/>
    <w:rsid w:val="00AF2AE0"/>
    <w:rsid w:val="00AF399D"/>
    <w:rsid w:val="00AF3D6B"/>
    <w:rsid w:val="00AF4917"/>
    <w:rsid w:val="00AF4DC9"/>
    <w:rsid w:val="00AF602F"/>
    <w:rsid w:val="00AF6292"/>
    <w:rsid w:val="00AF680F"/>
    <w:rsid w:val="00AF6DF0"/>
    <w:rsid w:val="00B00514"/>
    <w:rsid w:val="00B00C04"/>
    <w:rsid w:val="00B01C2D"/>
    <w:rsid w:val="00B01FAF"/>
    <w:rsid w:val="00B0335E"/>
    <w:rsid w:val="00B04260"/>
    <w:rsid w:val="00B04A4E"/>
    <w:rsid w:val="00B0511A"/>
    <w:rsid w:val="00B05D39"/>
    <w:rsid w:val="00B07BBE"/>
    <w:rsid w:val="00B100BE"/>
    <w:rsid w:val="00B11284"/>
    <w:rsid w:val="00B11DE1"/>
    <w:rsid w:val="00B11F80"/>
    <w:rsid w:val="00B13A6B"/>
    <w:rsid w:val="00B14FF9"/>
    <w:rsid w:val="00B15D9A"/>
    <w:rsid w:val="00B160F4"/>
    <w:rsid w:val="00B16565"/>
    <w:rsid w:val="00B1684F"/>
    <w:rsid w:val="00B1722F"/>
    <w:rsid w:val="00B17CCB"/>
    <w:rsid w:val="00B207AC"/>
    <w:rsid w:val="00B20D36"/>
    <w:rsid w:val="00B21512"/>
    <w:rsid w:val="00B21FA2"/>
    <w:rsid w:val="00B235FF"/>
    <w:rsid w:val="00B24486"/>
    <w:rsid w:val="00B24846"/>
    <w:rsid w:val="00B24915"/>
    <w:rsid w:val="00B26963"/>
    <w:rsid w:val="00B26AA4"/>
    <w:rsid w:val="00B30BDA"/>
    <w:rsid w:val="00B30C98"/>
    <w:rsid w:val="00B31BAF"/>
    <w:rsid w:val="00B32AE8"/>
    <w:rsid w:val="00B3323A"/>
    <w:rsid w:val="00B34ECD"/>
    <w:rsid w:val="00B3547D"/>
    <w:rsid w:val="00B36696"/>
    <w:rsid w:val="00B36CE8"/>
    <w:rsid w:val="00B418D6"/>
    <w:rsid w:val="00B4378E"/>
    <w:rsid w:val="00B446F9"/>
    <w:rsid w:val="00B45447"/>
    <w:rsid w:val="00B4605C"/>
    <w:rsid w:val="00B46ADF"/>
    <w:rsid w:val="00B50382"/>
    <w:rsid w:val="00B511C8"/>
    <w:rsid w:val="00B512A3"/>
    <w:rsid w:val="00B51491"/>
    <w:rsid w:val="00B514A8"/>
    <w:rsid w:val="00B51F04"/>
    <w:rsid w:val="00B529A2"/>
    <w:rsid w:val="00B53331"/>
    <w:rsid w:val="00B54A94"/>
    <w:rsid w:val="00B559B2"/>
    <w:rsid w:val="00B565D4"/>
    <w:rsid w:val="00B56BAF"/>
    <w:rsid w:val="00B56D2F"/>
    <w:rsid w:val="00B56DA8"/>
    <w:rsid w:val="00B57BF8"/>
    <w:rsid w:val="00B60E51"/>
    <w:rsid w:val="00B633C6"/>
    <w:rsid w:val="00B63F7F"/>
    <w:rsid w:val="00B6537F"/>
    <w:rsid w:val="00B65403"/>
    <w:rsid w:val="00B65433"/>
    <w:rsid w:val="00B65D0C"/>
    <w:rsid w:val="00B65DEE"/>
    <w:rsid w:val="00B673D7"/>
    <w:rsid w:val="00B71571"/>
    <w:rsid w:val="00B715B1"/>
    <w:rsid w:val="00B729B9"/>
    <w:rsid w:val="00B757F4"/>
    <w:rsid w:val="00B7619E"/>
    <w:rsid w:val="00B76A96"/>
    <w:rsid w:val="00B77677"/>
    <w:rsid w:val="00B77BF3"/>
    <w:rsid w:val="00B83257"/>
    <w:rsid w:val="00B8381D"/>
    <w:rsid w:val="00B84964"/>
    <w:rsid w:val="00B849F3"/>
    <w:rsid w:val="00B85F87"/>
    <w:rsid w:val="00B8656B"/>
    <w:rsid w:val="00B9092D"/>
    <w:rsid w:val="00B91527"/>
    <w:rsid w:val="00B92470"/>
    <w:rsid w:val="00B929D1"/>
    <w:rsid w:val="00B93AC6"/>
    <w:rsid w:val="00B95349"/>
    <w:rsid w:val="00B955C0"/>
    <w:rsid w:val="00B95610"/>
    <w:rsid w:val="00B95B9C"/>
    <w:rsid w:val="00B961E2"/>
    <w:rsid w:val="00BA0067"/>
    <w:rsid w:val="00BA0F9A"/>
    <w:rsid w:val="00BA1423"/>
    <w:rsid w:val="00BA2179"/>
    <w:rsid w:val="00BA65AC"/>
    <w:rsid w:val="00BA7FF1"/>
    <w:rsid w:val="00BB2985"/>
    <w:rsid w:val="00BB2ECD"/>
    <w:rsid w:val="00BC0A20"/>
    <w:rsid w:val="00BC21A0"/>
    <w:rsid w:val="00BC2430"/>
    <w:rsid w:val="00BC4EF3"/>
    <w:rsid w:val="00BC6F90"/>
    <w:rsid w:val="00BC77C0"/>
    <w:rsid w:val="00BD0B25"/>
    <w:rsid w:val="00BD234D"/>
    <w:rsid w:val="00BD2561"/>
    <w:rsid w:val="00BD5DCD"/>
    <w:rsid w:val="00BD616D"/>
    <w:rsid w:val="00BD6C4D"/>
    <w:rsid w:val="00BE0997"/>
    <w:rsid w:val="00BE10B5"/>
    <w:rsid w:val="00BE1907"/>
    <w:rsid w:val="00BE1A97"/>
    <w:rsid w:val="00BE3AF3"/>
    <w:rsid w:val="00BE485B"/>
    <w:rsid w:val="00BE5E91"/>
    <w:rsid w:val="00BE6A74"/>
    <w:rsid w:val="00BE7D08"/>
    <w:rsid w:val="00BF0840"/>
    <w:rsid w:val="00BF0DFF"/>
    <w:rsid w:val="00BF22B8"/>
    <w:rsid w:val="00BF249D"/>
    <w:rsid w:val="00BF2603"/>
    <w:rsid w:val="00BF51CE"/>
    <w:rsid w:val="00BF6541"/>
    <w:rsid w:val="00C01050"/>
    <w:rsid w:val="00C01A0D"/>
    <w:rsid w:val="00C028D9"/>
    <w:rsid w:val="00C02964"/>
    <w:rsid w:val="00C036E4"/>
    <w:rsid w:val="00C038B8"/>
    <w:rsid w:val="00C03B35"/>
    <w:rsid w:val="00C05625"/>
    <w:rsid w:val="00C06574"/>
    <w:rsid w:val="00C06F31"/>
    <w:rsid w:val="00C07C69"/>
    <w:rsid w:val="00C07DBC"/>
    <w:rsid w:val="00C10D03"/>
    <w:rsid w:val="00C11EE9"/>
    <w:rsid w:val="00C12B8C"/>
    <w:rsid w:val="00C155D9"/>
    <w:rsid w:val="00C162BC"/>
    <w:rsid w:val="00C2211D"/>
    <w:rsid w:val="00C2344F"/>
    <w:rsid w:val="00C246F2"/>
    <w:rsid w:val="00C26707"/>
    <w:rsid w:val="00C2734C"/>
    <w:rsid w:val="00C27719"/>
    <w:rsid w:val="00C3183B"/>
    <w:rsid w:val="00C31BCD"/>
    <w:rsid w:val="00C320EB"/>
    <w:rsid w:val="00C32A2D"/>
    <w:rsid w:val="00C32F7B"/>
    <w:rsid w:val="00C33845"/>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6B48"/>
    <w:rsid w:val="00C76CC4"/>
    <w:rsid w:val="00C77815"/>
    <w:rsid w:val="00C77B7C"/>
    <w:rsid w:val="00C823C5"/>
    <w:rsid w:val="00C82D42"/>
    <w:rsid w:val="00C8322A"/>
    <w:rsid w:val="00C8342C"/>
    <w:rsid w:val="00C83583"/>
    <w:rsid w:val="00C84B12"/>
    <w:rsid w:val="00C869BC"/>
    <w:rsid w:val="00C8737E"/>
    <w:rsid w:val="00C90444"/>
    <w:rsid w:val="00C9243B"/>
    <w:rsid w:val="00C953C0"/>
    <w:rsid w:val="00C96E5A"/>
    <w:rsid w:val="00C97ACC"/>
    <w:rsid w:val="00CA056D"/>
    <w:rsid w:val="00CA181F"/>
    <w:rsid w:val="00CA22C7"/>
    <w:rsid w:val="00CA2A54"/>
    <w:rsid w:val="00CA3219"/>
    <w:rsid w:val="00CA797A"/>
    <w:rsid w:val="00CB01EB"/>
    <w:rsid w:val="00CB0DFA"/>
    <w:rsid w:val="00CB250C"/>
    <w:rsid w:val="00CB34D5"/>
    <w:rsid w:val="00CB6CB0"/>
    <w:rsid w:val="00CB7344"/>
    <w:rsid w:val="00CC134C"/>
    <w:rsid w:val="00CC2455"/>
    <w:rsid w:val="00CC36F9"/>
    <w:rsid w:val="00CC3E8F"/>
    <w:rsid w:val="00CC48DA"/>
    <w:rsid w:val="00CD0BA2"/>
    <w:rsid w:val="00CD18DE"/>
    <w:rsid w:val="00CD2E30"/>
    <w:rsid w:val="00CD643B"/>
    <w:rsid w:val="00CD7B7F"/>
    <w:rsid w:val="00CE0D42"/>
    <w:rsid w:val="00CE0E5E"/>
    <w:rsid w:val="00CE19D1"/>
    <w:rsid w:val="00CE23EF"/>
    <w:rsid w:val="00CE4BB4"/>
    <w:rsid w:val="00CE5E58"/>
    <w:rsid w:val="00CE6197"/>
    <w:rsid w:val="00CE6490"/>
    <w:rsid w:val="00CE6BEE"/>
    <w:rsid w:val="00CE702E"/>
    <w:rsid w:val="00CE7723"/>
    <w:rsid w:val="00CF088A"/>
    <w:rsid w:val="00CF1AEC"/>
    <w:rsid w:val="00CF38F2"/>
    <w:rsid w:val="00CF3B13"/>
    <w:rsid w:val="00CF5CD7"/>
    <w:rsid w:val="00CF6AF0"/>
    <w:rsid w:val="00CF79DF"/>
    <w:rsid w:val="00D00702"/>
    <w:rsid w:val="00D01E61"/>
    <w:rsid w:val="00D02296"/>
    <w:rsid w:val="00D02B99"/>
    <w:rsid w:val="00D02E24"/>
    <w:rsid w:val="00D0306C"/>
    <w:rsid w:val="00D034FA"/>
    <w:rsid w:val="00D035A3"/>
    <w:rsid w:val="00D0400E"/>
    <w:rsid w:val="00D06027"/>
    <w:rsid w:val="00D0626E"/>
    <w:rsid w:val="00D0751A"/>
    <w:rsid w:val="00D078F8"/>
    <w:rsid w:val="00D079B1"/>
    <w:rsid w:val="00D07D25"/>
    <w:rsid w:val="00D10A96"/>
    <w:rsid w:val="00D110F0"/>
    <w:rsid w:val="00D116BA"/>
    <w:rsid w:val="00D12852"/>
    <w:rsid w:val="00D13010"/>
    <w:rsid w:val="00D133F0"/>
    <w:rsid w:val="00D143ED"/>
    <w:rsid w:val="00D148E2"/>
    <w:rsid w:val="00D14D6C"/>
    <w:rsid w:val="00D16C5A"/>
    <w:rsid w:val="00D16DAA"/>
    <w:rsid w:val="00D17E12"/>
    <w:rsid w:val="00D20F59"/>
    <w:rsid w:val="00D2170A"/>
    <w:rsid w:val="00D21B84"/>
    <w:rsid w:val="00D224BC"/>
    <w:rsid w:val="00D22983"/>
    <w:rsid w:val="00D25359"/>
    <w:rsid w:val="00D25E7D"/>
    <w:rsid w:val="00D261EA"/>
    <w:rsid w:val="00D26D6A"/>
    <w:rsid w:val="00D27732"/>
    <w:rsid w:val="00D27842"/>
    <w:rsid w:val="00D30425"/>
    <w:rsid w:val="00D30628"/>
    <w:rsid w:val="00D30CEE"/>
    <w:rsid w:val="00D31D6C"/>
    <w:rsid w:val="00D32B3D"/>
    <w:rsid w:val="00D33C8D"/>
    <w:rsid w:val="00D33F52"/>
    <w:rsid w:val="00D3406A"/>
    <w:rsid w:val="00D37148"/>
    <w:rsid w:val="00D3798B"/>
    <w:rsid w:val="00D37A00"/>
    <w:rsid w:val="00D40860"/>
    <w:rsid w:val="00D40B20"/>
    <w:rsid w:val="00D4280D"/>
    <w:rsid w:val="00D42B76"/>
    <w:rsid w:val="00D43787"/>
    <w:rsid w:val="00D447D8"/>
    <w:rsid w:val="00D447FF"/>
    <w:rsid w:val="00D450B5"/>
    <w:rsid w:val="00D45623"/>
    <w:rsid w:val="00D45942"/>
    <w:rsid w:val="00D45968"/>
    <w:rsid w:val="00D468AF"/>
    <w:rsid w:val="00D470FA"/>
    <w:rsid w:val="00D47F57"/>
    <w:rsid w:val="00D50702"/>
    <w:rsid w:val="00D50983"/>
    <w:rsid w:val="00D517E8"/>
    <w:rsid w:val="00D53B35"/>
    <w:rsid w:val="00D5648F"/>
    <w:rsid w:val="00D56E3B"/>
    <w:rsid w:val="00D57CC2"/>
    <w:rsid w:val="00D616EC"/>
    <w:rsid w:val="00D625B8"/>
    <w:rsid w:val="00D648BA"/>
    <w:rsid w:val="00D65582"/>
    <w:rsid w:val="00D66709"/>
    <w:rsid w:val="00D66A4D"/>
    <w:rsid w:val="00D66AD8"/>
    <w:rsid w:val="00D724E1"/>
    <w:rsid w:val="00D76A95"/>
    <w:rsid w:val="00D801E1"/>
    <w:rsid w:val="00D82414"/>
    <w:rsid w:val="00D82515"/>
    <w:rsid w:val="00D82682"/>
    <w:rsid w:val="00D82E21"/>
    <w:rsid w:val="00D840E2"/>
    <w:rsid w:val="00D846FE"/>
    <w:rsid w:val="00D860CB"/>
    <w:rsid w:val="00D87C68"/>
    <w:rsid w:val="00D90185"/>
    <w:rsid w:val="00D90777"/>
    <w:rsid w:val="00D9201F"/>
    <w:rsid w:val="00D92783"/>
    <w:rsid w:val="00D92B70"/>
    <w:rsid w:val="00D92B76"/>
    <w:rsid w:val="00D92D3B"/>
    <w:rsid w:val="00D9456A"/>
    <w:rsid w:val="00D94B4E"/>
    <w:rsid w:val="00D94DBD"/>
    <w:rsid w:val="00D9666D"/>
    <w:rsid w:val="00DA00BB"/>
    <w:rsid w:val="00DA1473"/>
    <w:rsid w:val="00DA38F9"/>
    <w:rsid w:val="00DA6086"/>
    <w:rsid w:val="00DA776D"/>
    <w:rsid w:val="00DA7AAB"/>
    <w:rsid w:val="00DB0335"/>
    <w:rsid w:val="00DB07E0"/>
    <w:rsid w:val="00DB0815"/>
    <w:rsid w:val="00DB104B"/>
    <w:rsid w:val="00DB1859"/>
    <w:rsid w:val="00DB1A09"/>
    <w:rsid w:val="00DB233B"/>
    <w:rsid w:val="00DB3ABE"/>
    <w:rsid w:val="00DB54EB"/>
    <w:rsid w:val="00DB6676"/>
    <w:rsid w:val="00DC2ABE"/>
    <w:rsid w:val="00DC30EE"/>
    <w:rsid w:val="00DC59DE"/>
    <w:rsid w:val="00DC7217"/>
    <w:rsid w:val="00DC79BB"/>
    <w:rsid w:val="00DD11EB"/>
    <w:rsid w:val="00DD1B8B"/>
    <w:rsid w:val="00DD1F32"/>
    <w:rsid w:val="00DD23D6"/>
    <w:rsid w:val="00DD4451"/>
    <w:rsid w:val="00DD4855"/>
    <w:rsid w:val="00DD75C4"/>
    <w:rsid w:val="00DE1FBA"/>
    <w:rsid w:val="00DE4550"/>
    <w:rsid w:val="00DE55DE"/>
    <w:rsid w:val="00DE5968"/>
    <w:rsid w:val="00DE6A2A"/>
    <w:rsid w:val="00DE7AD6"/>
    <w:rsid w:val="00DF08FD"/>
    <w:rsid w:val="00DF1227"/>
    <w:rsid w:val="00DF131F"/>
    <w:rsid w:val="00DF2C98"/>
    <w:rsid w:val="00DF77FD"/>
    <w:rsid w:val="00DF7AB6"/>
    <w:rsid w:val="00E00DCA"/>
    <w:rsid w:val="00E02B0C"/>
    <w:rsid w:val="00E02F3E"/>
    <w:rsid w:val="00E033B7"/>
    <w:rsid w:val="00E038DB"/>
    <w:rsid w:val="00E04FFB"/>
    <w:rsid w:val="00E05EEE"/>
    <w:rsid w:val="00E065DD"/>
    <w:rsid w:val="00E06866"/>
    <w:rsid w:val="00E075A8"/>
    <w:rsid w:val="00E07D5A"/>
    <w:rsid w:val="00E105EE"/>
    <w:rsid w:val="00E10CB9"/>
    <w:rsid w:val="00E10D91"/>
    <w:rsid w:val="00E134FC"/>
    <w:rsid w:val="00E1436B"/>
    <w:rsid w:val="00E14F22"/>
    <w:rsid w:val="00E151BD"/>
    <w:rsid w:val="00E16EAF"/>
    <w:rsid w:val="00E170FA"/>
    <w:rsid w:val="00E2020E"/>
    <w:rsid w:val="00E20D15"/>
    <w:rsid w:val="00E242AD"/>
    <w:rsid w:val="00E25A13"/>
    <w:rsid w:val="00E26401"/>
    <w:rsid w:val="00E26F75"/>
    <w:rsid w:val="00E3064C"/>
    <w:rsid w:val="00E33007"/>
    <w:rsid w:val="00E34483"/>
    <w:rsid w:val="00E3456D"/>
    <w:rsid w:val="00E34FEB"/>
    <w:rsid w:val="00E371A6"/>
    <w:rsid w:val="00E406A8"/>
    <w:rsid w:val="00E406B2"/>
    <w:rsid w:val="00E41458"/>
    <w:rsid w:val="00E4190D"/>
    <w:rsid w:val="00E44987"/>
    <w:rsid w:val="00E44EB9"/>
    <w:rsid w:val="00E44F34"/>
    <w:rsid w:val="00E45859"/>
    <w:rsid w:val="00E47666"/>
    <w:rsid w:val="00E47C2B"/>
    <w:rsid w:val="00E504E9"/>
    <w:rsid w:val="00E507A9"/>
    <w:rsid w:val="00E5253D"/>
    <w:rsid w:val="00E53860"/>
    <w:rsid w:val="00E53895"/>
    <w:rsid w:val="00E554E7"/>
    <w:rsid w:val="00E5688C"/>
    <w:rsid w:val="00E57C72"/>
    <w:rsid w:val="00E60AEE"/>
    <w:rsid w:val="00E61D86"/>
    <w:rsid w:val="00E6547E"/>
    <w:rsid w:val="00E65A62"/>
    <w:rsid w:val="00E65E36"/>
    <w:rsid w:val="00E669A1"/>
    <w:rsid w:val="00E67625"/>
    <w:rsid w:val="00E67834"/>
    <w:rsid w:val="00E700D9"/>
    <w:rsid w:val="00E743DD"/>
    <w:rsid w:val="00E75FF6"/>
    <w:rsid w:val="00E77373"/>
    <w:rsid w:val="00E77A6F"/>
    <w:rsid w:val="00E82C52"/>
    <w:rsid w:val="00E8390A"/>
    <w:rsid w:val="00E83A3B"/>
    <w:rsid w:val="00E847AE"/>
    <w:rsid w:val="00E901D7"/>
    <w:rsid w:val="00E91021"/>
    <w:rsid w:val="00E9172D"/>
    <w:rsid w:val="00E91BD8"/>
    <w:rsid w:val="00E922BE"/>
    <w:rsid w:val="00E9258D"/>
    <w:rsid w:val="00E9268E"/>
    <w:rsid w:val="00E92B00"/>
    <w:rsid w:val="00E9368B"/>
    <w:rsid w:val="00E94D9A"/>
    <w:rsid w:val="00E951CA"/>
    <w:rsid w:val="00E953FA"/>
    <w:rsid w:val="00E96165"/>
    <w:rsid w:val="00E96A58"/>
    <w:rsid w:val="00E9783B"/>
    <w:rsid w:val="00E97D0F"/>
    <w:rsid w:val="00E97E28"/>
    <w:rsid w:val="00EA04E0"/>
    <w:rsid w:val="00EA484D"/>
    <w:rsid w:val="00EA4A96"/>
    <w:rsid w:val="00EA6146"/>
    <w:rsid w:val="00EB1A14"/>
    <w:rsid w:val="00EB1C95"/>
    <w:rsid w:val="00EB2E2F"/>
    <w:rsid w:val="00EB3B0A"/>
    <w:rsid w:val="00EB3DAC"/>
    <w:rsid w:val="00EB4093"/>
    <w:rsid w:val="00EB46F3"/>
    <w:rsid w:val="00EB4958"/>
    <w:rsid w:val="00EC0177"/>
    <w:rsid w:val="00EC0C71"/>
    <w:rsid w:val="00EC1371"/>
    <w:rsid w:val="00EC2445"/>
    <w:rsid w:val="00EC31BA"/>
    <w:rsid w:val="00EC33B2"/>
    <w:rsid w:val="00EC3796"/>
    <w:rsid w:val="00EC383F"/>
    <w:rsid w:val="00EC41A4"/>
    <w:rsid w:val="00EC5D78"/>
    <w:rsid w:val="00EC6563"/>
    <w:rsid w:val="00EC7294"/>
    <w:rsid w:val="00EC7555"/>
    <w:rsid w:val="00EC7728"/>
    <w:rsid w:val="00ED0109"/>
    <w:rsid w:val="00ED0680"/>
    <w:rsid w:val="00ED10A6"/>
    <w:rsid w:val="00ED27B9"/>
    <w:rsid w:val="00ED2905"/>
    <w:rsid w:val="00ED34ED"/>
    <w:rsid w:val="00ED3D65"/>
    <w:rsid w:val="00ED401B"/>
    <w:rsid w:val="00ED48AF"/>
    <w:rsid w:val="00ED7E7A"/>
    <w:rsid w:val="00EE0D8C"/>
    <w:rsid w:val="00EE129D"/>
    <w:rsid w:val="00EE149D"/>
    <w:rsid w:val="00EE172B"/>
    <w:rsid w:val="00EE28A4"/>
    <w:rsid w:val="00EE3F56"/>
    <w:rsid w:val="00EE4BB2"/>
    <w:rsid w:val="00EE560A"/>
    <w:rsid w:val="00EE5CC1"/>
    <w:rsid w:val="00EE6B47"/>
    <w:rsid w:val="00EE733B"/>
    <w:rsid w:val="00EE7B6D"/>
    <w:rsid w:val="00EF13A5"/>
    <w:rsid w:val="00EF1724"/>
    <w:rsid w:val="00EF1AA9"/>
    <w:rsid w:val="00EF1B4E"/>
    <w:rsid w:val="00EF1CC2"/>
    <w:rsid w:val="00EF2A03"/>
    <w:rsid w:val="00EF3963"/>
    <w:rsid w:val="00EF5079"/>
    <w:rsid w:val="00EF5339"/>
    <w:rsid w:val="00EF5E79"/>
    <w:rsid w:val="00EF6CB6"/>
    <w:rsid w:val="00EF7A77"/>
    <w:rsid w:val="00EF7DE3"/>
    <w:rsid w:val="00F00463"/>
    <w:rsid w:val="00F006C9"/>
    <w:rsid w:val="00F00F1A"/>
    <w:rsid w:val="00F01E37"/>
    <w:rsid w:val="00F02611"/>
    <w:rsid w:val="00F02F54"/>
    <w:rsid w:val="00F03638"/>
    <w:rsid w:val="00F039ED"/>
    <w:rsid w:val="00F03F16"/>
    <w:rsid w:val="00F046D7"/>
    <w:rsid w:val="00F0620D"/>
    <w:rsid w:val="00F06C9E"/>
    <w:rsid w:val="00F07ECC"/>
    <w:rsid w:val="00F10116"/>
    <w:rsid w:val="00F11B23"/>
    <w:rsid w:val="00F1344F"/>
    <w:rsid w:val="00F13850"/>
    <w:rsid w:val="00F13A34"/>
    <w:rsid w:val="00F146CB"/>
    <w:rsid w:val="00F14B1E"/>
    <w:rsid w:val="00F15D92"/>
    <w:rsid w:val="00F2041D"/>
    <w:rsid w:val="00F21657"/>
    <w:rsid w:val="00F220EF"/>
    <w:rsid w:val="00F2298C"/>
    <w:rsid w:val="00F24CF2"/>
    <w:rsid w:val="00F24D56"/>
    <w:rsid w:val="00F25235"/>
    <w:rsid w:val="00F254F6"/>
    <w:rsid w:val="00F25B5A"/>
    <w:rsid w:val="00F3022D"/>
    <w:rsid w:val="00F30708"/>
    <w:rsid w:val="00F31B3B"/>
    <w:rsid w:val="00F31E35"/>
    <w:rsid w:val="00F31FFF"/>
    <w:rsid w:val="00F3228A"/>
    <w:rsid w:val="00F32ACB"/>
    <w:rsid w:val="00F3395E"/>
    <w:rsid w:val="00F33A72"/>
    <w:rsid w:val="00F3415D"/>
    <w:rsid w:val="00F352A0"/>
    <w:rsid w:val="00F363F1"/>
    <w:rsid w:val="00F37256"/>
    <w:rsid w:val="00F43DFC"/>
    <w:rsid w:val="00F44ACE"/>
    <w:rsid w:val="00F45E5A"/>
    <w:rsid w:val="00F50172"/>
    <w:rsid w:val="00F52E7C"/>
    <w:rsid w:val="00F54740"/>
    <w:rsid w:val="00F565D0"/>
    <w:rsid w:val="00F567F5"/>
    <w:rsid w:val="00F57A3E"/>
    <w:rsid w:val="00F62899"/>
    <w:rsid w:val="00F637A9"/>
    <w:rsid w:val="00F63A4A"/>
    <w:rsid w:val="00F63E31"/>
    <w:rsid w:val="00F645AE"/>
    <w:rsid w:val="00F67D00"/>
    <w:rsid w:val="00F67D2C"/>
    <w:rsid w:val="00F70011"/>
    <w:rsid w:val="00F718B7"/>
    <w:rsid w:val="00F720FA"/>
    <w:rsid w:val="00F72D70"/>
    <w:rsid w:val="00F733B2"/>
    <w:rsid w:val="00F755CB"/>
    <w:rsid w:val="00F75DF6"/>
    <w:rsid w:val="00F7687E"/>
    <w:rsid w:val="00F76EF6"/>
    <w:rsid w:val="00F76F2C"/>
    <w:rsid w:val="00F772EA"/>
    <w:rsid w:val="00F775C0"/>
    <w:rsid w:val="00F77698"/>
    <w:rsid w:val="00F823E1"/>
    <w:rsid w:val="00F839EA"/>
    <w:rsid w:val="00F83BC2"/>
    <w:rsid w:val="00F84ED2"/>
    <w:rsid w:val="00F87AC1"/>
    <w:rsid w:val="00F90290"/>
    <w:rsid w:val="00F90341"/>
    <w:rsid w:val="00F9115B"/>
    <w:rsid w:val="00F915B8"/>
    <w:rsid w:val="00F91B3B"/>
    <w:rsid w:val="00F94EC0"/>
    <w:rsid w:val="00F976C6"/>
    <w:rsid w:val="00FA0C52"/>
    <w:rsid w:val="00FA1CFB"/>
    <w:rsid w:val="00FA215D"/>
    <w:rsid w:val="00FA2451"/>
    <w:rsid w:val="00FA2726"/>
    <w:rsid w:val="00FA3FB9"/>
    <w:rsid w:val="00FA457D"/>
    <w:rsid w:val="00FA6E33"/>
    <w:rsid w:val="00FA6FF7"/>
    <w:rsid w:val="00FA72B1"/>
    <w:rsid w:val="00FB41FB"/>
    <w:rsid w:val="00FB7B8C"/>
    <w:rsid w:val="00FC44A4"/>
    <w:rsid w:val="00FC479C"/>
    <w:rsid w:val="00FC6E57"/>
    <w:rsid w:val="00FC7151"/>
    <w:rsid w:val="00FC7C63"/>
    <w:rsid w:val="00FD0560"/>
    <w:rsid w:val="00FD0646"/>
    <w:rsid w:val="00FD0C02"/>
    <w:rsid w:val="00FD1FCF"/>
    <w:rsid w:val="00FD282F"/>
    <w:rsid w:val="00FD3E1B"/>
    <w:rsid w:val="00FD440A"/>
    <w:rsid w:val="00FD661A"/>
    <w:rsid w:val="00FD6EAA"/>
    <w:rsid w:val="00FE0ABB"/>
    <w:rsid w:val="00FE141F"/>
    <w:rsid w:val="00FE20F0"/>
    <w:rsid w:val="00FE586B"/>
    <w:rsid w:val="00FE5B91"/>
    <w:rsid w:val="00FE7911"/>
    <w:rsid w:val="00FF09CC"/>
    <w:rsid w:val="00FF0CD7"/>
    <w:rsid w:val="00FF10CB"/>
    <w:rsid w:val="00FF1735"/>
    <w:rsid w:val="00FF31C9"/>
    <w:rsid w:val="00FF3D51"/>
    <w:rsid w:val="00FF4492"/>
    <w:rsid w:val="00FF49D0"/>
    <w:rsid w:val="00FF5DB9"/>
    <w:rsid w:val="00FF663F"/>
    <w:rsid w:val="00FF6E94"/>
    <w:rsid w:val="00FF7593"/>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numbering" w:customStyle="1" w:styleId="CurrentList1">
    <w:name w:val="Current List1"/>
    <w:uiPriority w:val="99"/>
    <w:rsid w:val="001D569C"/>
    <w:pPr>
      <w:numPr>
        <w:numId w:val="12"/>
      </w:numPr>
    </w:pPr>
  </w:style>
  <w:style w:type="numbering" w:customStyle="1" w:styleId="CurrentList2">
    <w:name w:val="Current List2"/>
    <w:uiPriority w:val="99"/>
    <w:rsid w:val="001D569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D3D6-3FD5-47ED-B068-CCBE2E11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5404</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cp:lastPrinted>2023-08-16T13:08:00Z</cp:lastPrinted>
  <dcterms:created xsi:type="dcterms:W3CDTF">2023-08-21T13:11:00Z</dcterms:created>
  <dcterms:modified xsi:type="dcterms:W3CDTF">2023-08-21T13:12:00Z</dcterms:modified>
</cp:coreProperties>
</file>