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17" w:rsidRDefault="00DC7B17" w:rsidP="00DC7B17">
      <w:pPr>
        <w:spacing w:line="360" w:lineRule="auto"/>
        <w:jc w:val="center"/>
        <w:rPr>
          <w:rFonts w:ascii="Times New Roman" w:hAnsi="Times New Roman" w:cs="Times New Roman"/>
          <w:sz w:val="28"/>
          <w:szCs w:val="28"/>
        </w:rPr>
      </w:pPr>
      <w:bookmarkStart w:id="0" w:name="_GoBack"/>
      <w:bookmarkEnd w:id="0"/>
      <w:r>
        <w:rPr>
          <w:noProof/>
          <w:lang w:eastAsia="en-ZA"/>
        </w:rPr>
        <w:drawing>
          <wp:inline distT="0" distB="0" distL="0" distR="0" wp14:anchorId="266B5132" wp14:editId="7E16B424">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DC7B17" w:rsidRPr="00701B17" w:rsidRDefault="00DC7B17" w:rsidP="00DC7B17">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rsidR="00DC7B17" w:rsidRPr="00701B17" w:rsidRDefault="00DC7B17" w:rsidP="00DC7B17">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rsidR="00DC7B17" w:rsidRDefault="00DC7B17" w:rsidP="00DC7B17">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rsidR="00DC7B17" w:rsidRPr="00701B17" w:rsidRDefault="00DC7B17" w:rsidP="00DC7B17">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701B17">
        <w:rPr>
          <w:rFonts w:ascii="Times New Roman" w:hAnsi="Times New Roman" w:cs="Times New Roman"/>
          <w:b/>
          <w:sz w:val="28"/>
          <w:szCs w:val="28"/>
        </w:rPr>
        <w:t xml:space="preserve">CASE NO. </w:t>
      </w:r>
      <w:r>
        <w:rPr>
          <w:rFonts w:ascii="Times New Roman" w:hAnsi="Times New Roman" w:cs="Times New Roman"/>
          <w:b/>
          <w:sz w:val="28"/>
          <w:szCs w:val="28"/>
        </w:rPr>
        <w:t>1817/2020</w:t>
      </w:r>
    </w:p>
    <w:p w:rsidR="00DC7B17" w:rsidRDefault="00DC7B17" w:rsidP="00DC7B17">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DC7B17" w:rsidRDefault="00DC7B17" w:rsidP="00DC7B17">
      <w:pPr>
        <w:spacing w:line="360" w:lineRule="auto"/>
        <w:jc w:val="both"/>
        <w:rPr>
          <w:rFonts w:ascii="Times New Roman" w:hAnsi="Times New Roman" w:cs="Times New Roman"/>
          <w:sz w:val="28"/>
          <w:szCs w:val="28"/>
        </w:rPr>
      </w:pPr>
    </w:p>
    <w:p w:rsidR="00DC7B17" w:rsidRDefault="00E37EE1" w:rsidP="00D56D0F">
      <w:pPr>
        <w:spacing w:line="276" w:lineRule="auto"/>
        <w:jc w:val="both"/>
        <w:rPr>
          <w:rFonts w:ascii="Times New Roman" w:hAnsi="Times New Roman" w:cs="Times New Roman"/>
          <w:sz w:val="28"/>
          <w:szCs w:val="28"/>
        </w:rPr>
      </w:pPr>
      <w:r>
        <w:rPr>
          <w:rFonts w:ascii="Times New Roman" w:hAnsi="Times New Roman" w:cs="Times New Roman"/>
          <w:b/>
          <w:sz w:val="28"/>
          <w:szCs w:val="28"/>
        </w:rPr>
        <w:t>DEBO</w:t>
      </w:r>
      <w:r w:rsidR="00DC7B17">
        <w:rPr>
          <w:rFonts w:ascii="Times New Roman" w:hAnsi="Times New Roman" w:cs="Times New Roman"/>
          <w:b/>
          <w:sz w:val="28"/>
          <w:szCs w:val="28"/>
        </w:rPr>
        <w:t>RAH JOUBERT N.O.</w:t>
      </w:r>
      <w:r w:rsidR="00DC7B17">
        <w:rPr>
          <w:rFonts w:ascii="Times New Roman" w:hAnsi="Times New Roman" w:cs="Times New Roman"/>
          <w:sz w:val="28"/>
          <w:szCs w:val="28"/>
        </w:rPr>
        <w:tab/>
      </w:r>
      <w:r w:rsidR="00DC7B17">
        <w:rPr>
          <w:rFonts w:ascii="Times New Roman" w:hAnsi="Times New Roman" w:cs="Times New Roman"/>
          <w:sz w:val="28"/>
          <w:szCs w:val="28"/>
        </w:rPr>
        <w:tab/>
      </w:r>
      <w:r w:rsidR="00DC7B17">
        <w:rPr>
          <w:rFonts w:ascii="Times New Roman" w:hAnsi="Times New Roman" w:cs="Times New Roman"/>
          <w:sz w:val="28"/>
          <w:szCs w:val="28"/>
        </w:rPr>
        <w:tab/>
      </w:r>
      <w:r w:rsidR="00DC7B17">
        <w:rPr>
          <w:rFonts w:ascii="Times New Roman" w:hAnsi="Times New Roman" w:cs="Times New Roman"/>
          <w:sz w:val="28"/>
          <w:szCs w:val="28"/>
        </w:rPr>
        <w:tab/>
      </w:r>
      <w:r w:rsidR="00DC7B17">
        <w:rPr>
          <w:rFonts w:ascii="Times New Roman" w:hAnsi="Times New Roman" w:cs="Times New Roman"/>
          <w:sz w:val="28"/>
          <w:szCs w:val="28"/>
        </w:rPr>
        <w:tab/>
      </w:r>
      <w:r w:rsidR="00DC7B17">
        <w:rPr>
          <w:rFonts w:ascii="Times New Roman" w:hAnsi="Times New Roman" w:cs="Times New Roman"/>
          <w:sz w:val="28"/>
          <w:szCs w:val="28"/>
        </w:rPr>
        <w:tab/>
        <w:t>Applicant</w:t>
      </w:r>
    </w:p>
    <w:p w:rsidR="00DC7B17" w:rsidRDefault="00DC7B17" w:rsidP="00D56D0F">
      <w:pPr>
        <w:spacing w:line="276" w:lineRule="auto"/>
        <w:jc w:val="both"/>
        <w:rPr>
          <w:rFonts w:ascii="Times New Roman" w:hAnsi="Times New Roman" w:cs="Times New Roman"/>
          <w:sz w:val="28"/>
          <w:szCs w:val="28"/>
        </w:rPr>
      </w:pPr>
    </w:p>
    <w:p w:rsidR="00DC7B17" w:rsidRDefault="00DC7B17" w:rsidP="00D56D0F">
      <w:pPr>
        <w:spacing w:line="276" w:lineRule="auto"/>
        <w:jc w:val="both"/>
        <w:rPr>
          <w:rFonts w:ascii="Times New Roman" w:hAnsi="Times New Roman" w:cs="Times New Roman"/>
          <w:sz w:val="28"/>
          <w:szCs w:val="28"/>
        </w:rPr>
      </w:pPr>
      <w:r>
        <w:rPr>
          <w:rFonts w:ascii="Times New Roman" w:hAnsi="Times New Roman" w:cs="Times New Roman"/>
          <w:sz w:val="28"/>
          <w:szCs w:val="28"/>
        </w:rPr>
        <w:t>and</w:t>
      </w:r>
    </w:p>
    <w:p w:rsidR="00DC7B17" w:rsidRDefault="00DC7B17" w:rsidP="00D56D0F">
      <w:pPr>
        <w:spacing w:line="276" w:lineRule="auto"/>
        <w:jc w:val="both"/>
        <w:rPr>
          <w:rFonts w:ascii="Times New Roman" w:hAnsi="Times New Roman" w:cs="Times New Roman"/>
          <w:sz w:val="28"/>
          <w:szCs w:val="28"/>
        </w:rPr>
      </w:pPr>
    </w:p>
    <w:p w:rsidR="00DC7B17" w:rsidRDefault="00DC7B17" w:rsidP="00D56D0F">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SOLEIL KOMMADAGGA (PTY) LTD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9203BC">
        <w:rPr>
          <w:rFonts w:ascii="Times New Roman" w:hAnsi="Times New Roman" w:cs="Times New Roman"/>
          <w:sz w:val="28"/>
          <w:szCs w:val="28"/>
        </w:rPr>
        <w:t>First Respondent</w:t>
      </w:r>
    </w:p>
    <w:p w:rsidR="00D56D0F" w:rsidRDefault="00D56D0F" w:rsidP="00D56D0F">
      <w:pPr>
        <w:spacing w:line="276" w:lineRule="auto"/>
        <w:jc w:val="both"/>
        <w:rPr>
          <w:rFonts w:ascii="Times New Roman" w:hAnsi="Times New Roman" w:cs="Times New Roman"/>
          <w:sz w:val="28"/>
          <w:szCs w:val="28"/>
        </w:rPr>
      </w:pPr>
    </w:p>
    <w:p w:rsidR="00DC7B17" w:rsidRDefault="00DC7B17" w:rsidP="00D56D0F">
      <w:pPr>
        <w:spacing w:line="276" w:lineRule="auto"/>
        <w:jc w:val="both"/>
        <w:rPr>
          <w:rFonts w:ascii="Times New Roman" w:hAnsi="Times New Roman" w:cs="Times New Roman"/>
          <w:sz w:val="28"/>
          <w:szCs w:val="28"/>
        </w:rPr>
      </w:pPr>
      <w:r>
        <w:rPr>
          <w:rFonts w:ascii="Times New Roman" w:hAnsi="Times New Roman" w:cs="Times New Roman"/>
          <w:b/>
          <w:sz w:val="28"/>
          <w:szCs w:val="28"/>
        </w:rPr>
        <w:t>MARIA JOHANNA GROENEWALD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Second Respondent</w:t>
      </w:r>
    </w:p>
    <w:p w:rsidR="00D56D0F" w:rsidRDefault="00D56D0F" w:rsidP="00D56D0F">
      <w:pPr>
        <w:spacing w:line="276" w:lineRule="auto"/>
        <w:jc w:val="both"/>
        <w:rPr>
          <w:rFonts w:ascii="Times New Roman" w:hAnsi="Times New Roman" w:cs="Times New Roman"/>
          <w:sz w:val="28"/>
          <w:szCs w:val="28"/>
        </w:rPr>
      </w:pPr>
    </w:p>
    <w:p w:rsidR="00DC7B17" w:rsidRDefault="00DC7B17"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FIRSTRAND BANK LIMITED</w:t>
      </w:r>
      <w:r w:rsidR="00E004CD">
        <w:rPr>
          <w:rFonts w:ascii="Times New Roman" w:hAnsi="Times New Roman" w:cs="Times New Roman"/>
          <w:b/>
          <w:sz w:val="28"/>
          <w:szCs w:val="28"/>
        </w:rPr>
        <w:tab/>
      </w:r>
      <w:r w:rsidR="00E004CD">
        <w:rPr>
          <w:rFonts w:ascii="Times New Roman" w:hAnsi="Times New Roman" w:cs="Times New Roman"/>
          <w:b/>
          <w:sz w:val="28"/>
          <w:szCs w:val="28"/>
        </w:rPr>
        <w:tab/>
      </w:r>
      <w:r w:rsidR="00E004CD">
        <w:rPr>
          <w:rFonts w:ascii="Times New Roman" w:hAnsi="Times New Roman" w:cs="Times New Roman"/>
          <w:b/>
          <w:sz w:val="28"/>
          <w:szCs w:val="28"/>
        </w:rPr>
        <w:tab/>
      </w:r>
      <w:r w:rsidR="00E004CD">
        <w:rPr>
          <w:rFonts w:ascii="Times New Roman" w:hAnsi="Times New Roman" w:cs="Times New Roman"/>
          <w:b/>
          <w:sz w:val="28"/>
          <w:szCs w:val="28"/>
        </w:rPr>
        <w:tab/>
        <w:t xml:space="preserve">       </w:t>
      </w:r>
      <w:r>
        <w:rPr>
          <w:rFonts w:ascii="Times New Roman" w:hAnsi="Times New Roman" w:cs="Times New Roman"/>
          <w:sz w:val="28"/>
          <w:szCs w:val="28"/>
        </w:rPr>
        <w:t>Third Respondent</w:t>
      </w:r>
    </w:p>
    <w:p w:rsidR="00D56D0F" w:rsidRDefault="00D56D0F" w:rsidP="00D56D0F">
      <w:pPr>
        <w:spacing w:line="276" w:lineRule="auto"/>
        <w:jc w:val="both"/>
        <w:rPr>
          <w:rFonts w:ascii="Times New Roman" w:hAnsi="Times New Roman" w:cs="Times New Roman"/>
          <w:sz w:val="28"/>
          <w:szCs w:val="28"/>
        </w:rPr>
      </w:pPr>
    </w:p>
    <w:p w:rsidR="00DC7B17" w:rsidRDefault="00357B05"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THE REGISTRAR OF DEEDS</w:t>
      </w:r>
      <w:r>
        <w:rPr>
          <w:rFonts w:ascii="Times New Roman" w:hAnsi="Times New Roman" w:cs="Times New Roman"/>
          <w:sz w:val="28"/>
          <w:szCs w:val="28"/>
        </w:rPr>
        <w:t xml:space="preserve"> </w:t>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t xml:space="preserve">      </w:t>
      </w:r>
      <w:r>
        <w:rPr>
          <w:rFonts w:ascii="Times New Roman" w:hAnsi="Times New Roman" w:cs="Times New Roman"/>
          <w:sz w:val="28"/>
          <w:szCs w:val="28"/>
        </w:rPr>
        <w:t>Fourth Respondent</w:t>
      </w:r>
    </w:p>
    <w:p w:rsidR="00D56D0F" w:rsidRDefault="00D56D0F" w:rsidP="00D56D0F">
      <w:pPr>
        <w:spacing w:line="276" w:lineRule="auto"/>
        <w:jc w:val="both"/>
        <w:rPr>
          <w:rFonts w:ascii="Times New Roman" w:hAnsi="Times New Roman" w:cs="Times New Roman"/>
          <w:sz w:val="28"/>
          <w:szCs w:val="28"/>
        </w:rPr>
      </w:pPr>
    </w:p>
    <w:p w:rsidR="00357B05" w:rsidRDefault="00357B05"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H. BADENHORST</w:t>
      </w:r>
      <w:r>
        <w:rPr>
          <w:rFonts w:ascii="Times New Roman" w:hAnsi="Times New Roman" w:cs="Times New Roman"/>
          <w:sz w:val="28"/>
          <w:szCs w:val="28"/>
        </w:rPr>
        <w:t xml:space="preserve"> </w:t>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t xml:space="preserve">        </w:t>
      </w:r>
      <w:r>
        <w:rPr>
          <w:rFonts w:ascii="Times New Roman" w:hAnsi="Times New Roman" w:cs="Times New Roman"/>
          <w:sz w:val="28"/>
          <w:szCs w:val="28"/>
        </w:rPr>
        <w:t>Fifth Respondent</w:t>
      </w:r>
    </w:p>
    <w:p w:rsidR="00D56D0F" w:rsidRDefault="00D56D0F" w:rsidP="00D56D0F">
      <w:pPr>
        <w:spacing w:line="276" w:lineRule="auto"/>
        <w:jc w:val="both"/>
        <w:rPr>
          <w:rFonts w:ascii="Times New Roman" w:hAnsi="Times New Roman" w:cs="Times New Roman"/>
          <w:sz w:val="28"/>
          <w:szCs w:val="28"/>
        </w:rPr>
      </w:pPr>
    </w:p>
    <w:p w:rsidR="00357B05" w:rsidRDefault="00357B05"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JACOBUS FREDERICK VILJOEN</w:t>
      </w:r>
      <w:r>
        <w:rPr>
          <w:rFonts w:ascii="Times New Roman" w:hAnsi="Times New Roman" w:cs="Times New Roman"/>
          <w:sz w:val="28"/>
          <w:szCs w:val="28"/>
        </w:rPr>
        <w:t xml:space="preserve"> </w:t>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t xml:space="preserve">        </w:t>
      </w:r>
      <w:r>
        <w:rPr>
          <w:rFonts w:ascii="Times New Roman" w:hAnsi="Times New Roman" w:cs="Times New Roman"/>
          <w:sz w:val="28"/>
          <w:szCs w:val="28"/>
        </w:rPr>
        <w:t>Sixth Respondent</w:t>
      </w:r>
    </w:p>
    <w:p w:rsidR="00D56D0F" w:rsidRDefault="00D56D0F" w:rsidP="00D56D0F">
      <w:pPr>
        <w:spacing w:line="276" w:lineRule="auto"/>
        <w:jc w:val="both"/>
        <w:rPr>
          <w:rFonts w:ascii="Times New Roman" w:hAnsi="Times New Roman" w:cs="Times New Roman"/>
          <w:sz w:val="28"/>
          <w:szCs w:val="28"/>
        </w:rPr>
      </w:pPr>
    </w:p>
    <w:p w:rsidR="00357B05" w:rsidRDefault="00357B05"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M. KROG</w:t>
      </w:r>
      <w:r>
        <w:rPr>
          <w:rFonts w:ascii="Times New Roman" w:hAnsi="Times New Roman" w:cs="Times New Roman"/>
          <w:sz w:val="28"/>
          <w:szCs w:val="28"/>
        </w:rPr>
        <w:t xml:space="preserve"> </w:t>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t xml:space="preserve">   </w:t>
      </w:r>
      <w:r>
        <w:rPr>
          <w:rFonts w:ascii="Times New Roman" w:hAnsi="Times New Roman" w:cs="Times New Roman"/>
          <w:sz w:val="28"/>
          <w:szCs w:val="28"/>
        </w:rPr>
        <w:t>Seventh Respondent</w:t>
      </w:r>
    </w:p>
    <w:p w:rsidR="00D56D0F" w:rsidRDefault="00D56D0F" w:rsidP="00D56D0F">
      <w:pPr>
        <w:spacing w:line="276" w:lineRule="auto"/>
        <w:jc w:val="both"/>
        <w:rPr>
          <w:rFonts w:ascii="Times New Roman" w:hAnsi="Times New Roman" w:cs="Times New Roman"/>
          <w:sz w:val="28"/>
          <w:szCs w:val="28"/>
        </w:rPr>
      </w:pPr>
    </w:p>
    <w:p w:rsidR="00357B05" w:rsidRDefault="00357B05" w:rsidP="00D56D0F">
      <w:pPr>
        <w:spacing w:line="276" w:lineRule="auto"/>
        <w:jc w:val="both"/>
        <w:rPr>
          <w:rFonts w:ascii="Times New Roman" w:hAnsi="Times New Roman" w:cs="Times New Roman"/>
          <w:sz w:val="28"/>
          <w:szCs w:val="28"/>
        </w:rPr>
      </w:pPr>
      <w:r w:rsidRPr="00E004CD">
        <w:rPr>
          <w:rFonts w:ascii="Times New Roman" w:hAnsi="Times New Roman" w:cs="Times New Roman"/>
          <w:b/>
          <w:sz w:val="28"/>
          <w:szCs w:val="28"/>
        </w:rPr>
        <w:t>ABSA BANK LIMITED</w:t>
      </w:r>
      <w:r>
        <w:rPr>
          <w:rFonts w:ascii="Times New Roman" w:hAnsi="Times New Roman" w:cs="Times New Roman"/>
          <w:sz w:val="28"/>
          <w:szCs w:val="28"/>
        </w:rPr>
        <w:t xml:space="preserve"> </w:t>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r>
      <w:r w:rsidR="00E004CD">
        <w:rPr>
          <w:rFonts w:ascii="Times New Roman" w:hAnsi="Times New Roman" w:cs="Times New Roman"/>
          <w:sz w:val="28"/>
          <w:szCs w:val="28"/>
        </w:rPr>
        <w:tab/>
        <w:t xml:space="preserve">      </w:t>
      </w:r>
      <w:r>
        <w:rPr>
          <w:rFonts w:ascii="Times New Roman" w:hAnsi="Times New Roman" w:cs="Times New Roman"/>
          <w:sz w:val="28"/>
          <w:szCs w:val="28"/>
        </w:rPr>
        <w:t>Eighth Respondent</w:t>
      </w:r>
    </w:p>
    <w:p w:rsidR="00357B05" w:rsidRPr="00E004CD" w:rsidRDefault="00357B05" w:rsidP="00D56D0F">
      <w:pPr>
        <w:spacing w:line="276" w:lineRule="auto"/>
        <w:jc w:val="both"/>
        <w:rPr>
          <w:rFonts w:ascii="Times New Roman" w:hAnsi="Times New Roman" w:cs="Times New Roman"/>
          <w:b/>
          <w:sz w:val="28"/>
          <w:szCs w:val="28"/>
        </w:rPr>
      </w:pPr>
      <w:r w:rsidRPr="00E004CD">
        <w:rPr>
          <w:rFonts w:ascii="Times New Roman" w:hAnsi="Times New Roman" w:cs="Times New Roman"/>
          <w:b/>
          <w:sz w:val="28"/>
          <w:szCs w:val="28"/>
        </w:rPr>
        <w:t>CONRAD ALEXANDER STARBUCK N.O.</w:t>
      </w:r>
    </w:p>
    <w:p w:rsidR="00E004CD" w:rsidRDefault="00E004CD" w:rsidP="00D56D0F">
      <w:pPr>
        <w:spacing w:line="276" w:lineRule="auto"/>
        <w:jc w:val="both"/>
        <w:rPr>
          <w:rFonts w:ascii="Times New Roman" w:hAnsi="Times New Roman" w:cs="Times New Roman"/>
          <w:sz w:val="28"/>
          <w:szCs w:val="28"/>
        </w:rPr>
      </w:pPr>
      <w:r>
        <w:rPr>
          <w:rFonts w:ascii="Times New Roman" w:hAnsi="Times New Roman" w:cs="Times New Roman"/>
          <w:sz w:val="28"/>
          <w:szCs w:val="28"/>
        </w:rPr>
        <w:t>(in his capacity as liquidator of F &amp; J Consultants CC</w:t>
      </w:r>
    </w:p>
    <w:p w:rsidR="00E004CD" w:rsidRDefault="00E004CD" w:rsidP="00D56D0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 liquidation))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Ninth Respondent</w:t>
      </w:r>
    </w:p>
    <w:p w:rsidR="00DC7B17" w:rsidRDefault="00DC7B17" w:rsidP="00DC7B17">
      <w:pPr>
        <w:spacing w:line="360" w:lineRule="auto"/>
        <w:jc w:val="both"/>
        <w:rPr>
          <w:rFonts w:ascii="Times New Roman" w:hAnsi="Times New Roman" w:cs="Times New Roman"/>
          <w:sz w:val="28"/>
          <w:szCs w:val="28"/>
        </w:rPr>
      </w:pPr>
    </w:p>
    <w:p w:rsidR="002803DC" w:rsidRPr="006A4681" w:rsidRDefault="002803DC" w:rsidP="00DC7B17">
      <w:pPr>
        <w:spacing w:line="360" w:lineRule="auto"/>
        <w:jc w:val="both"/>
        <w:rPr>
          <w:rFonts w:ascii="Times New Roman" w:hAnsi="Times New Roman" w:cs="Times New Roman"/>
          <w:sz w:val="28"/>
          <w:szCs w:val="28"/>
        </w:rPr>
      </w:pPr>
    </w:p>
    <w:p w:rsidR="00354A12" w:rsidRDefault="00354A12" w:rsidP="00354A12">
      <w:pPr>
        <w:pBdr>
          <w:bottom w:val="single" w:sz="12" w:space="1" w:color="auto"/>
        </w:pBdr>
        <w:spacing w:line="240" w:lineRule="auto"/>
        <w:jc w:val="both"/>
        <w:rPr>
          <w:rFonts w:ascii="Times New Roman" w:hAnsi="Times New Roman" w:cs="Times New Roman"/>
          <w:sz w:val="28"/>
          <w:szCs w:val="28"/>
        </w:rPr>
      </w:pPr>
    </w:p>
    <w:p w:rsidR="00CC3401" w:rsidRPr="003328A3" w:rsidRDefault="00CC3401"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3C1BA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74809">
        <w:rPr>
          <w:rFonts w:ascii="Times New Roman" w:hAnsi="Times New Roman"/>
          <w:sz w:val="28"/>
          <w:szCs w:val="28"/>
        </w:rPr>
        <w:t>T</w:t>
      </w:r>
      <w:r w:rsidR="00E445F3">
        <w:rPr>
          <w:rFonts w:ascii="Times New Roman" w:hAnsi="Times New Roman"/>
          <w:sz w:val="28"/>
          <w:szCs w:val="28"/>
        </w:rPr>
        <w:t xml:space="preserve">he heart of this application </w:t>
      </w:r>
      <w:r w:rsidR="00995807">
        <w:rPr>
          <w:rFonts w:ascii="Times New Roman" w:hAnsi="Times New Roman"/>
          <w:sz w:val="28"/>
          <w:szCs w:val="28"/>
        </w:rPr>
        <w:t xml:space="preserve">concerns the sale of </w:t>
      </w:r>
      <w:r w:rsidR="00E445F3">
        <w:rPr>
          <w:rFonts w:ascii="Times New Roman" w:hAnsi="Times New Roman"/>
          <w:sz w:val="28"/>
          <w:szCs w:val="28"/>
        </w:rPr>
        <w:t>four adjoining farm properties</w:t>
      </w:r>
      <w:r w:rsidR="00A56DF4">
        <w:rPr>
          <w:rFonts w:ascii="Times New Roman" w:hAnsi="Times New Roman"/>
          <w:sz w:val="28"/>
          <w:szCs w:val="28"/>
        </w:rPr>
        <w:t xml:space="preserve"> (</w:t>
      </w:r>
      <w:r w:rsidR="0001693C">
        <w:rPr>
          <w:rFonts w:ascii="Times New Roman" w:hAnsi="Times New Roman"/>
          <w:sz w:val="28"/>
          <w:szCs w:val="28"/>
        </w:rPr>
        <w:t xml:space="preserve">they are </w:t>
      </w:r>
      <w:r w:rsidR="00A56DF4">
        <w:rPr>
          <w:rFonts w:ascii="Times New Roman" w:hAnsi="Times New Roman"/>
          <w:sz w:val="28"/>
          <w:szCs w:val="28"/>
        </w:rPr>
        <w:t xml:space="preserve">collectively referred to as ‘the subject properties’ or where </w:t>
      </w:r>
      <w:r w:rsidR="000C1B20">
        <w:rPr>
          <w:rFonts w:ascii="Times New Roman" w:hAnsi="Times New Roman"/>
          <w:sz w:val="28"/>
          <w:szCs w:val="28"/>
        </w:rPr>
        <w:t xml:space="preserve">contextually </w:t>
      </w:r>
      <w:r w:rsidR="00A56DF4">
        <w:rPr>
          <w:rFonts w:ascii="Times New Roman" w:hAnsi="Times New Roman"/>
          <w:sz w:val="28"/>
          <w:szCs w:val="28"/>
        </w:rPr>
        <w:t>appropriate, ‘the farm properties’</w:t>
      </w:r>
      <w:r w:rsidR="000C1B20">
        <w:rPr>
          <w:rFonts w:ascii="Times New Roman" w:hAnsi="Times New Roman"/>
          <w:sz w:val="28"/>
          <w:szCs w:val="28"/>
        </w:rPr>
        <w:t xml:space="preserve"> or ‘the properties</w:t>
      </w:r>
      <w:r w:rsidR="00A56DF4">
        <w:rPr>
          <w:rFonts w:ascii="Times New Roman" w:hAnsi="Times New Roman"/>
          <w:sz w:val="28"/>
          <w:szCs w:val="28"/>
        </w:rPr>
        <w:t>)</w:t>
      </w:r>
      <w:r w:rsidR="003C1BA5">
        <w:rPr>
          <w:rFonts w:ascii="Times New Roman" w:hAnsi="Times New Roman"/>
          <w:sz w:val="28"/>
          <w:szCs w:val="28"/>
        </w:rPr>
        <w:t>, namely:</w:t>
      </w:r>
    </w:p>
    <w:p w:rsidR="003C1BA5"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3C1BA5">
        <w:rPr>
          <w:rFonts w:ascii="Times New Roman" w:hAnsi="Times New Roman"/>
          <w:sz w:val="28"/>
          <w:szCs w:val="28"/>
        </w:rPr>
        <w:t xml:space="preserve">Farm </w:t>
      </w:r>
      <w:r w:rsidR="000A5B85">
        <w:rPr>
          <w:rFonts w:ascii="Times New Roman" w:hAnsi="Times New Roman"/>
          <w:sz w:val="28"/>
          <w:szCs w:val="28"/>
        </w:rPr>
        <w:t xml:space="preserve"> </w:t>
      </w:r>
      <w:r w:rsidR="003C1BA5">
        <w:rPr>
          <w:rFonts w:ascii="Times New Roman" w:hAnsi="Times New Roman"/>
          <w:sz w:val="28"/>
          <w:szCs w:val="28"/>
        </w:rPr>
        <w:t xml:space="preserve">Rhenosterfontein, remaining extent </w:t>
      </w:r>
      <w:r w:rsidR="00FE36E7">
        <w:rPr>
          <w:rFonts w:ascii="Times New Roman" w:hAnsi="Times New Roman"/>
          <w:sz w:val="28"/>
          <w:szCs w:val="28"/>
        </w:rPr>
        <w:t>F</w:t>
      </w:r>
      <w:r w:rsidR="003C1BA5">
        <w:rPr>
          <w:rFonts w:ascii="Times New Roman" w:hAnsi="Times New Roman"/>
          <w:sz w:val="28"/>
          <w:szCs w:val="28"/>
        </w:rPr>
        <w:t>arm 306;</w:t>
      </w:r>
    </w:p>
    <w:p w:rsidR="003C1BA5"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3C1BA5" w:rsidRPr="006948AC">
        <w:rPr>
          <w:rFonts w:ascii="Times New Roman" w:hAnsi="Times New Roman"/>
          <w:sz w:val="28"/>
          <w:szCs w:val="28"/>
        </w:rPr>
        <w:t xml:space="preserve">Farm  Rhenosterfontein, </w:t>
      </w:r>
      <w:r w:rsidR="00247E63">
        <w:rPr>
          <w:rFonts w:ascii="Times New Roman" w:hAnsi="Times New Roman"/>
          <w:sz w:val="28"/>
          <w:szCs w:val="28"/>
        </w:rPr>
        <w:t>P</w:t>
      </w:r>
      <w:r w:rsidR="00FE36E7" w:rsidRPr="006948AC">
        <w:rPr>
          <w:rFonts w:ascii="Times New Roman" w:hAnsi="Times New Roman"/>
          <w:sz w:val="28"/>
          <w:szCs w:val="28"/>
        </w:rPr>
        <w:t>ortion 1 of F</w:t>
      </w:r>
      <w:r w:rsidR="003C1BA5" w:rsidRPr="006948AC">
        <w:rPr>
          <w:rFonts w:ascii="Times New Roman" w:hAnsi="Times New Roman"/>
          <w:sz w:val="28"/>
          <w:szCs w:val="28"/>
        </w:rPr>
        <w:t>arm 306;</w:t>
      </w:r>
    </w:p>
    <w:p w:rsidR="003C1BA5"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r>
      <w:r w:rsidR="003C1BA5" w:rsidRPr="006948AC">
        <w:rPr>
          <w:rFonts w:ascii="Times New Roman" w:hAnsi="Times New Roman"/>
          <w:sz w:val="28"/>
          <w:szCs w:val="28"/>
        </w:rPr>
        <w:t xml:space="preserve">Farm  Rhenosterfontein, </w:t>
      </w:r>
      <w:r w:rsidR="00247E63">
        <w:rPr>
          <w:rFonts w:ascii="Times New Roman" w:hAnsi="Times New Roman"/>
          <w:sz w:val="28"/>
          <w:szCs w:val="28"/>
        </w:rPr>
        <w:t>P</w:t>
      </w:r>
      <w:r w:rsidR="003C1BA5" w:rsidRPr="006948AC">
        <w:rPr>
          <w:rFonts w:ascii="Times New Roman" w:hAnsi="Times New Roman"/>
          <w:sz w:val="28"/>
          <w:szCs w:val="28"/>
        </w:rPr>
        <w:t xml:space="preserve">ortion 2 of </w:t>
      </w:r>
      <w:r w:rsidR="00FE36E7" w:rsidRPr="006948AC">
        <w:rPr>
          <w:rFonts w:ascii="Times New Roman" w:hAnsi="Times New Roman"/>
          <w:sz w:val="28"/>
          <w:szCs w:val="28"/>
        </w:rPr>
        <w:t>F</w:t>
      </w:r>
      <w:r w:rsidR="003C1BA5" w:rsidRPr="006948AC">
        <w:rPr>
          <w:rFonts w:ascii="Times New Roman" w:hAnsi="Times New Roman"/>
          <w:sz w:val="28"/>
          <w:szCs w:val="28"/>
        </w:rPr>
        <w:t>arm 307; and</w:t>
      </w:r>
    </w:p>
    <w:p w:rsidR="003C1BA5" w:rsidRPr="006948AC" w:rsidRDefault="00232999" w:rsidP="00232999">
      <w:pPr>
        <w:pStyle w:val="LegalList1"/>
        <w:spacing w:line="360" w:lineRule="auto"/>
        <w:ind w:left="1571" w:hanging="720"/>
        <w:rPr>
          <w:rFonts w:ascii="Times New Roman" w:hAnsi="Times New Roman"/>
          <w:sz w:val="28"/>
          <w:szCs w:val="28"/>
        </w:rPr>
      </w:pPr>
      <w:r w:rsidRPr="006948AC">
        <w:rPr>
          <w:rFonts w:ascii="Times New Roman" w:hAnsi="Times New Roman"/>
          <w:sz w:val="28"/>
          <w:szCs w:val="28"/>
        </w:rPr>
        <w:t>(iv)</w:t>
      </w:r>
      <w:r w:rsidRPr="006948AC">
        <w:rPr>
          <w:rFonts w:ascii="Times New Roman" w:hAnsi="Times New Roman"/>
          <w:sz w:val="28"/>
          <w:szCs w:val="28"/>
        </w:rPr>
        <w:tab/>
      </w:r>
      <w:r w:rsidR="003C1BA5" w:rsidRPr="006948AC">
        <w:rPr>
          <w:rFonts w:ascii="Times New Roman" w:hAnsi="Times New Roman"/>
          <w:sz w:val="28"/>
          <w:szCs w:val="28"/>
        </w:rPr>
        <w:t xml:space="preserve">Farm  Rhenosterfontein, </w:t>
      </w:r>
      <w:r w:rsidR="00247E63">
        <w:rPr>
          <w:rFonts w:ascii="Times New Roman" w:hAnsi="Times New Roman"/>
          <w:sz w:val="28"/>
          <w:szCs w:val="28"/>
        </w:rPr>
        <w:t>P</w:t>
      </w:r>
      <w:r w:rsidR="003C1BA5" w:rsidRPr="006948AC">
        <w:rPr>
          <w:rFonts w:ascii="Times New Roman" w:hAnsi="Times New Roman"/>
          <w:sz w:val="28"/>
          <w:szCs w:val="28"/>
        </w:rPr>
        <w:t>ortion 0 of 449.</w:t>
      </w:r>
    </w:p>
    <w:p w:rsidR="0087354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56DF4">
        <w:rPr>
          <w:rFonts w:ascii="Times New Roman" w:hAnsi="Times New Roman"/>
          <w:sz w:val="28"/>
          <w:szCs w:val="28"/>
        </w:rPr>
        <w:t>The subject properties</w:t>
      </w:r>
      <w:r w:rsidR="00873545">
        <w:rPr>
          <w:rFonts w:ascii="Times New Roman" w:hAnsi="Times New Roman"/>
          <w:sz w:val="28"/>
          <w:szCs w:val="28"/>
        </w:rPr>
        <w:t xml:space="preserve"> are </w:t>
      </w:r>
      <w:r w:rsidR="00A56DF4">
        <w:rPr>
          <w:rFonts w:ascii="Times New Roman" w:hAnsi="Times New Roman"/>
          <w:sz w:val="28"/>
          <w:szCs w:val="28"/>
        </w:rPr>
        <w:t xml:space="preserve">situated in the Blue Crane Route Municipality between Somerset East and Paterson within the </w:t>
      </w:r>
      <w:r w:rsidR="0021651F">
        <w:rPr>
          <w:rFonts w:ascii="Times New Roman" w:hAnsi="Times New Roman"/>
          <w:sz w:val="28"/>
          <w:szCs w:val="28"/>
        </w:rPr>
        <w:t xml:space="preserve">area of </w:t>
      </w:r>
      <w:r w:rsidR="00A56DF4">
        <w:rPr>
          <w:rFonts w:ascii="Times New Roman" w:hAnsi="Times New Roman"/>
          <w:sz w:val="28"/>
          <w:szCs w:val="28"/>
        </w:rPr>
        <w:t>jurisdiction of this court.</w:t>
      </w:r>
    </w:p>
    <w:p w:rsidR="000B656F" w:rsidRPr="000B656F" w:rsidRDefault="00232999" w:rsidP="00232999">
      <w:pPr>
        <w:pStyle w:val="LegalList1"/>
        <w:spacing w:line="360" w:lineRule="auto"/>
        <w:ind w:left="851" w:hanging="851"/>
        <w:rPr>
          <w:rFonts w:ascii="Times New Roman" w:hAnsi="Times New Roman"/>
          <w:sz w:val="28"/>
          <w:szCs w:val="28"/>
        </w:rPr>
      </w:pPr>
      <w:r w:rsidRPr="000B656F">
        <w:rPr>
          <w:rFonts w:ascii="Times New Roman" w:hAnsi="Times New Roman"/>
          <w:sz w:val="28"/>
          <w:szCs w:val="28"/>
        </w:rPr>
        <w:t>[3]</w:t>
      </w:r>
      <w:r w:rsidRPr="000B656F">
        <w:rPr>
          <w:rFonts w:ascii="Times New Roman" w:hAnsi="Times New Roman"/>
          <w:sz w:val="28"/>
          <w:szCs w:val="28"/>
        </w:rPr>
        <w:tab/>
      </w:r>
      <w:r w:rsidR="00EF22EE">
        <w:rPr>
          <w:rFonts w:ascii="Times New Roman" w:hAnsi="Times New Roman"/>
          <w:color w:val="000000"/>
          <w:sz w:val="28"/>
          <w:szCs w:val="28"/>
        </w:rPr>
        <w:t xml:space="preserve">The </w:t>
      </w:r>
      <w:r w:rsidR="00537886">
        <w:rPr>
          <w:rFonts w:ascii="Times New Roman" w:hAnsi="Times New Roman"/>
          <w:color w:val="000000"/>
          <w:sz w:val="28"/>
          <w:szCs w:val="28"/>
        </w:rPr>
        <w:t xml:space="preserve">present application was launched on 1 September 2020. The </w:t>
      </w:r>
      <w:r w:rsidR="00EF22EE">
        <w:rPr>
          <w:rFonts w:ascii="Times New Roman" w:hAnsi="Times New Roman"/>
          <w:color w:val="000000"/>
          <w:sz w:val="28"/>
          <w:szCs w:val="28"/>
        </w:rPr>
        <w:t xml:space="preserve">deponent to the founding affidavit is Deborah Joubert N.O. She </w:t>
      </w:r>
      <w:r w:rsidR="00E80D14">
        <w:rPr>
          <w:rFonts w:ascii="Times New Roman" w:hAnsi="Times New Roman"/>
          <w:color w:val="000000"/>
          <w:sz w:val="28"/>
          <w:szCs w:val="28"/>
        </w:rPr>
        <w:t xml:space="preserve">acts </w:t>
      </w:r>
      <w:r w:rsidR="00EF22EE">
        <w:rPr>
          <w:rFonts w:ascii="Times New Roman" w:hAnsi="Times New Roman"/>
          <w:color w:val="000000"/>
          <w:sz w:val="28"/>
          <w:szCs w:val="28"/>
        </w:rPr>
        <w:t xml:space="preserve">in her official capacity as </w:t>
      </w:r>
      <w:r w:rsidR="00723914">
        <w:rPr>
          <w:rFonts w:ascii="Times New Roman" w:hAnsi="Times New Roman"/>
          <w:color w:val="000000"/>
          <w:sz w:val="28"/>
          <w:szCs w:val="28"/>
        </w:rPr>
        <w:t>‘duly appointed final trustee for and in respect of the Smangaliso Trust</w:t>
      </w:r>
      <w:r w:rsidR="0095536D">
        <w:rPr>
          <w:rFonts w:ascii="Times New Roman" w:hAnsi="Times New Roman"/>
          <w:color w:val="000000"/>
          <w:sz w:val="28"/>
          <w:szCs w:val="28"/>
        </w:rPr>
        <w:t>’</w:t>
      </w:r>
      <w:r w:rsidR="00723914">
        <w:rPr>
          <w:rFonts w:ascii="Times New Roman" w:hAnsi="Times New Roman"/>
          <w:color w:val="000000"/>
          <w:sz w:val="28"/>
          <w:szCs w:val="28"/>
        </w:rPr>
        <w:t xml:space="preserve"> (‘the Trust’). </w:t>
      </w:r>
      <w:r w:rsidR="00191498">
        <w:rPr>
          <w:rFonts w:ascii="Times New Roman" w:hAnsi="Times New Roman"/>
          <w:color w:val="000000"/>
          <w:sz w:val="28"/>
          <w:szCs w:val="28"/>
        </w:rPr>
        <w:t xml:space="preserve">On 22 February 2022, </w:t>
      </w:r>
      <w:r w:rsidR="000B656F">
        <w:rPr>
          <w:rFonts w:ascii="Times New Roman" w:hAnsi="Times New Roman"/>
          <w:color w:val="000000"/>
          <w:sz w:val="28"/>
          <w:szCs w:val="28"/>
        </w:rPr>
        <w:t xml:space="preserve">and by order of this court, </w:t>
      </w:r>
      <w:r w:rsidR="00537886">
        <w:rPr>
          <w:rFonts w:ascii="Times New Roman" w:hAnsi="Times New Roman"/>
          <w:color w:val="000000"/>
          <w:sz w:val="28"/>
          <w:szCs w:val="28"/>
        </w:rPr>
        <w:t xml:space="preserve">Nareshviran Vandayar N.O. </w:t>
      </w:r>
      <w:r w:rsidR="000B656F">
        <w:rPr>
          <w:rFonts w:ascii="Times New Roman" w:hAnsi="Times New Roman"/>
          <w:color w:val="000000"/>
          <w:sz w:val="28"/>
          <w:szCs w:val="28"/>
        </w:rPr>
        <w:t xml:space="preserve">was granted leave </w:t>
      </w:r>
      <w:r w:rsidR="00191498">
        <w:rPr>
          <w:rFonts w:ascii="Times New Roman" w:hAnsi="Times New Roman"/>
          <w:color w:val="000000"/>
          <w:sz w:val="28"/>
          <w:szCs w:val="28"/>
        </w:rPr>
        <w:t>in his position as the jointly appointed final insolvency co-trustee</w:t>
      </w:r>
      <w:r w:rsidR="008B3A95">
        <w:rPr>
          <w:rFonts w:ascii="Times New Roman" w:hAnsi="Times New Roman"/>
          <w:color w:val="000000"/>
          <w:sz w:val="28"/>
          <w:szCs w:val="28"/>
        </w:rPr>
        <w:t xml:space="preserve"> of the Trust to </w:t>
      </w:r>
      <w:r w:rsidR="008B3A95">
        <w:rPr>
          <w:rFonts w:ascii="Times New Roman" w:hAnsi="Times New Roman"/>
          <w:color w:val="000000"/>
          <w:sz w:val="28"/>
          <w:szCs w:val="28"/>
        </w:rPr>
        <w:lastRenderedPageBreak/>
        <w:t>intervene in the matter as second applicant.</w:t>
      </w:r>
      <w:r w:rsidR="00E0258A">
        <w:rPr>
          <w:rFonts w:ascii="Times New Roman" w:hAnsi="Times New Roman"/>
          <w:color w:val="000000"/>
          <w:sz w:val="28"/>
          <w:szCs w:val="28"/>
        </w:rPr>
        <w:t xml:space="preserve"> His joinder as </w:t>
      </w:r>
      <w:r w:rsidR="00803EEE">
        <w:rPr>
          <w:rFonts w:ascii="Times New Roman" w:hAnsi="Times New Roman"/>
          <w:color w:val="000000"/>
          <w:sz w:val="28"/>
          <w:szCs w:val="28"/>
        </w:rPr>
        <w:t>co-applicant or second applicant is not reflected in the indices and filing notices giving cover to the papers in this application.</w:t>
      </w:r>
    </w:p>
    <w:p w:rsidR="000570D0" w:rsidRPr="000570D0" w:rsidRDefault="00232999" w:rsidP="00232999">
      <w:pPr>
        <w:pStyle w:val="LegalList1"/>
        <w:spacing w:line="360" w:lineRule="auto"/>
        <w:ind w:left="851" w:hanging="851"/>
        <w:rPr>
          <w:rFonts w:ascii="Times New Roman" w:hAnsi="Times New Roman"/>
          <w:sz w:val="28"/>
          <w:szCs w:val="28"/>
        </w:rPr>
      </w:pPr>
      <w:r w:rsidRPr="000570D0">
        <w:rPr>
          <w:rFonts w:ascii="Times New Roman" w:hAnsi="Times New Roman"/>
          <w:sz w:val="28"/>
          <w:szCs w:val="28"/>
        </w:rPr>
        <w:t>[4]</w:t>
      </w:r>
      <w:r w:rsidRPr="000570D0">
        <w:rPr>
          <w:rFonts w:ascii="Times New Roman" w:hAnsi="Times New Roman"/>
          <w:sz w:val="28"/>
          <w:szCs w:val="28"/>
        </w:rPr>
        <w:tab/>
      </w:r>
      <w:r w:rsidR="0021651F">
        <w:rPr>
          <w:rFonts w:ascii="Times New Roman" w:hAnsi="Times New Roman"/>
          <w:color w:val="000000"/>
          <w:sz w:val="28"/>
          <w:szCs w:val="28"/>
        </w:rPr>
        <w:t>I</w:t>
      </w:r>
      <w:r w:rsidR="002C068E">
        <w:rPr>
          <w:rFonts w:ascii="Times New Roman" w:hAnsi="Times New Roman"/>
          <w:color w:val="000000"/>
          <w:sz w:val="28"/>
          <w:szCs w:val="28"/>
        </w:rPr>
        <w:t>n the circumstances dealt with later in this judgment</w:t>
      </w:r>
      <w:r w:rsidR="0021651F" w:rsidRPr="0021651F">
        <w:rPr>
          <w:rFonts w:ascii="Times New Roman" w:hAnsi="Times New Roman"/>
          <w:color w:val="000000"/>
          <w:sz w:val="28"/>
          <w:szCs w:val="28"/>
        </w:rPr>
        <w:t xml:space="preserve"> </w:t>
      </w:r>
      <w:r w:rsidR="0021651F">
        <w:rPr>
          <w:rFonts w:ascii="Times New Roman" w:hAnsi="Times New Roman"/>
          <w:color w:val="000000"/>
          <w:sz w:val="28"/>
          <w:szCs w:val="28"/>
        </w:rPr>
        <w:t xml:space="preserve">the </w:t>
      </w:r>
      <w:r w:rsidR="008947DC">
        <w:rPr>
          <w:rFonts w:ascii="Times New Roman" w:hAnsi="Times New Roman"/>
          <w:color w:val="000000"/>
          <w:sz w:val="28"/>
          <w:szCs w:val="28"/>
        </w:rPr>
        <w:t>Trust</w:t>
      </w:r>
      <w:r w:rsidR="0021651F">
        <w:rPr>
          <w:rFonts w:ascii="Times New Roman" w:hAnsi="Times New Roman"/>
          <w:color w:val="000000"/>
          <w:sz w:val="28"/>
          <w:szCs w:val="28"/>
        </w:rPr>
        <w:t xml:space="preserve"> was</w:t>
      </w:r>
      <w:r w:rsidR="0021651F" w:rsidRPr="008A4C79">
        <w:rPr>
          <w:rFonts w:ascii="Times New Roman" w:hAnsi="Times New Roman"/>
          <w:color w:val="000000"/>
          <w:sz w:val="28"/>
          <w:szCs w:val="28"/>
        </w:rPr>
        <w:t xml:space="preserve"> sequestrated on 6 November 2018</w:t>
      </w:r>
      <w:r w:rsidR="008A4C79" w:rsidRPr="008A4C79">
        <w:rPr>
          <w:rFonts w:ascii="Times New Roman" w:hAnsi="Times New Roman"/>
          <w:color w:val="000000"/>
          <w:sz w:val="28"/>
          <w:szCs w:val="28"/>
        </w:rPr>
        <w:t>.</w:t>
      </w:r>
      <w:r w:rsidR="00C07F81">
        <w:rPr>
          <w:rFonts w:ascii="Times New Roman" w:hAnsi="Times New Roman"/>
          <w:color w:val="000000"/>
          <w:sz w:val="28"/>
          <w:szCs w:val="28"/>
        </w:rPr>
        <w:t xml:space="preserve"> Of the </w:t>
      </w:r>
      <w:r w:rsidR="00A04071">
        <w:rPr>
          <w:rFonts w:ascii="Times New Roman" w:hAnsi="Times New Roman"/>
          <w:color w:val="000000"/>
          <w:sz w:val="28"/>
          <w:szCs w:val="28"/>
        </w:rPr>
        <w:t>all the</w:t>
      </w:r>
      <w:r w:rsidR="00C07F81">
        <w:rPr>
          <w:rFonts w:ascii="Times New Roman" w:hAnsi="Times New Roman"/>
          <w:color w:val="000000"/>
          <w:sz w:val="28"/>
          <w:szCs w:val="28"/>
        </w:rPr>
        <w:t xml:space="preserve"> respondents cited in this application</w:t>
      </w:r>
      <w:r w:rsidR="009908D4">
        <w:rPr>
          <w:rFonts w:ascii="Times New Roman" w:hAnsi="Times New Roman"/>
          <w:color w:val="000000"/>
          <w:sz w:val="28"/>
          <w:szCs w:val="28"/>
        </w:rPr>
        <w:t xml:space="preserve"> the relief claimed </w:t>
      </w:r>
      <w:r w:rsidR="0009798B">
        <w:rPr>
          <w:rFonts w:ascii="Times New Roman" w:hAnsi="Times New Roman"/>
          <w:color w:val="000000"/>
          <w:sz w:val="28"/>
          <w:szCs w:val="28"/>
        </w:rPr>
        <w:t>by the applicants is primarily aimed at the first, second, third and sixth respondents.</w:t>
      </w:r>
    </w:p>
    <w:p w:rsidR="00C07F81" w:rsidRPr="0009798B" w:rsidRDefault="00232999" w:rsidP="00232999">
      <w:pPr>
        <w:pStyle w:val="LegalList1"/>
        <w:spacing w:line="360" w:lineRule="auto"/>
        <w:ind w:left="851" w:hanging="851"/>
        <w:rPr>
          <w:rFonts w:ascii="Times New Roman" w:hAnsi="Times New Roman"/>
          <w:sz w:val="28"/>
          <w:szCs w:val="28"/>
        </w:rPr>
      </w:pPr>
      <w:r w:rsidRPr="0009798B">
        <w:rPr>
          <w:rFonts w:ascii="Times New Roman" w:hAnsi="Times New Roman"/>
          <w:sz w:val="28"/>
          <w:szCs w:val="28"/>
        </w:rPr>
        <w:t>[5]</w:t>
      </w:r>
      <w:r w:rsidRPr="0009798B">
        <w:rPr>
          <w:rFonts w:ascii="Times New Roman" w:hAnsi="Times New Roman"/>
          <w:sz w:val="28"/>
          <w:szCs w:val="28"/>
        </w:rPr>
        <w:tab/>
      </w:r>
      <w:r w:rsidR="0009798B">
        <w:rPr>
          <w:rFonts w:ascii="Times New Roman" w:hAnsi="Times New Roman"/>
          <w:color w:val="000000"/>
          <w:sz w:val="28"/>
          <w:szCs w:val="28"/>
        </w:rPr>
        <w:t>In clarification of their status:</w:t>
      </w:r>
    </w:p>
    <w:p w:rsidR="0009798B" w:rsidRPr="009908D4" w:rsidRDefault="00232999" w:rsidP="00232999">
      <w:pPr>
        <w:pStyle w:val="LegalList1"/>
        <w:spacing w:line="360" w:lineRule="auto"/>
        <w:ind w:left="1571" w:hanging="720"/>
        <w:rPr>
          <w:rFonts w:ascii="Times New Roman" w:hAnsi="Times New Roman"/>
          <w:sz w:val="28"/>
          <w:szCs w:val="28"/>
        </w:rPr>
      </w:pPr>
      <w:r w:rsidRPr="009908D4">
        <w:rPr>
          <w:rFonts w:ascii="Times New Roman" w:hAnsi="Times New Roman"/>
          <w:color w:val="000000"/>
          <w:sz w:val="28"/>
          <w:szCs w:val="28"/>
        </w:rPr>
        <w:t>(i)</w:t>
      </w:r>
      <w:r w:rsidRPr="009908D4">
        <w:rPr>
          <w:rFonts w:ascii="Times New Roman" w:hAnsi="Times New Roman"/>
          <w:color w:val="000000"/>
          <w:sz w:val="28"/>
          <w:szCs w:val="28"/>
        </w:rPr>
        <w:tab/>
      </w:r>
      <w:r w:rsidR="0009798B">
        <w:rPr>
          <w:rFonts w:ascii="Times New Roman" w:hAnsi="Times New Roman"/>
          <w:color w:val="000000"/>
          <w:sz w:val="28"/>
          <w:szCs w:val="28"/>
        </w:rPr>
        <w:t>The first respondent is Soleil Kommadagga (Pty) Ltd (‘Soleil’)</w:t>
      </w:r>
      <w:r w:rsidR="000570D0">
        <w:rPr>
          <w:rFonts w:ascii="Times New Roman" w:hAnsi="Times New Roman"/>
          <w:color w:val="000000"/>
          <w:sz w:val="28"/>
          <w:szCs w:val="28"/>
        </w:rPr>
        <w:t>,</w:t>
      </w:r>
      <w:r w:rsidR="00007AD0">
        <w:rPr>
          <w:rFonts w:ascii="Times New Roman" w:hAnsi="Times New Roman"/>
          <w:color w:val="000000"/>
          <w:sz w:val="28"/>
          <w:szCs w:val="28"/>
        </w:rPr>
        <w:t xml:space="preserve"> a private company duly registered in accordance with the company laws of the Republic of South Africa;</w:t>
      </w:r>
    </w:p>
    <w:p w:rsidR="00007AD0" w:rsidRPr="009908D4" w:rsidRDefault="00232999" w:rsidP="00232999">
      <w:pPr>
        <w:pStyle w:val="LegalList1"/>
        <w:spacing w:line="360" w:lineRule="auto"/>
        <w:ind w:left="1571" w:hanging="720"/>
        <w:rPr>
          <w:rFonts w:ascii="Times New Roman" w:hAnsi="Times New Roman"/>
          <w:sz w:val="28"/>
          <w:szCs w:val="28"/>
        </w:rPr>
      </w:pPr>
      <w:r w:rsidRPr="009908D4">
        <w:rPr>
          <w:rFonts w:ascii="Times New Roman" w:hAnsi="Times New Roman"/>
          <w:color w:val="000000"/>
          <w:sz w:val="28"/>
          <w:szCs w:val="28"/>
        </w:rPr>
        <w:t>(ii)</w:t>
      </w:r>
      <w:r w:rsidRPr="009908D4">
        <w:rPr>
          <w:rFonts w:ascii="Times New Roman" w:hAnsi="Times New Roman"/>
          <w:color w:val="000000"/>
          <w:sz w:val="28"/>
          <w:szCs w:val="28"/>
        </w:rPr>
        <w:tab/>
      </w:r>
      <w:r w:rsidR="00007AD0" w:rsidRPr="009908D4">
        <w:rPr>
          <w:rFonts w:ascii="Times New Roman" w:hAnsi="Times New Roman"/>
          <w:color w:val="000000"/>
          <w:sz w:val="28"/>
          <w:szCs w:val="28"/>
        </w:rPr>
        <w:t>The second respondent is Maria Johanna Groenewald</w:t>
      </w:r>
      <w:r w:rsidR="008D1510" w:rsidRPr="009908D4">
        <w:rPr>
          <w:rFonts w:ascii="Times New Roman" w:hAnsi="Times New Roman"/>
          <w:color w:val="000000"/>
          <w:sz w:val="28"/>
          <w:szCs w:val="28"/>
        </w:rPr>
        <w:t xml:space="preserve"> (‘Ms Groenewald’), a resident of Gauteng who has since 22 July 2020</w:t>
      </w:r>
      <w:r w:rsidR="00DE1F3B" w:rsidRPr="009908D4">
        <w:rPr>
          <w:rFonts w:ascii="Times New Roman" w:hAnsi="Times New Roman"/>
          <w:color w:val="000000"/>
          <w:sz w:val="28"/>
          <w:szCs w:val="28"/>
        </w:rPr>
        <w:t xml:space="preserve"> been the sole</w:t>
      </w:r>
      <w:r w:rsidR="008D1510" w:rsidRPr="009908D4">
        <w:rPr>
          <w:rFonts w:ascii="Times New Roman" w:hAnsi="Times New Roman"/>
          <w:color w:val="000000"/>
          <w:sz w:val="28"/>
          <w:szCs w:val="28"/>
        </w:rPr>
        <w:t xml:space="preserve"> director of Soleil</w:t>
      </w:r>
      <w:r w:rsidR="00DE1F3B" w:rsidRPr="009908D4">
        <w:rPr>
          <w:rFonts w:ascii="Times New Roman" w:hAnsi="Times New Roman"/>
          <w:color w:val="000000"/>
          <w:sz w:val="28"/>
          <w:szCs w:val="28"/>
        </w:rPr>
        <w:t>;</w:t>
      </w:r>
    </w:p>
    <w:p w:rsidR="00DE1F3B" w:rsidRPr="009908D4" w:rsidRDefault="00232999" w:rsidP="00232999">
      <w:pPr>
        <w:pStyle w:val="LegalList1"/>
        <w:spacing w:line="360" w:lineRule="auto"/>
        <w:ind w:left="1571" w:hanging="720"/>
        <w:rPr>
          <w:rFonts w:ascii="Times New Roman" w:hAnsi="Times New Roman"/>
          <w:sz w:val="28"/>
          <w:szCs w:val="28"/>
        </w:rPr>
      </w:pPr>
      <w:r w:rsidRPr="009908D4">
        <w:rPr>
          <w:rFonts w:ascii="Times New Roman" w:hAnsi="Times New Roman"/>
          <w:color w:val="000000"/>
          <w:sz w:val="28"/>
          <w:szCs w:val="28"/>
        </w:rPr>
        <w:t>(iii)</w:t>
      </w:r>
      <w:r w:rsidRPr="009908D4">
        <w:rPr>
          <w:rFonts w:ascii="Times New Roman" w:hAnsi="Times New Roman"/>
          <w:color w:val="000000"/>
          <w:sz w:val="28"/>
          <w:szCs w:val="28"/>
        </w:rPr>
        <w:tab/>
      </w:r>
      <w:r w:rsidR="00DE1F3B" w:rsidRPr="009908D4">
        <w:rPr>
          <w:rFonts w:ascii="Times New Roman" w:hAnsi="Times New Roman"/>
          <w:color w:val="000000"/>
          <w:sz w:val="28"/>
          <w:szCs w:val="28"/>
        </w:rPr>
        <w:t>The third respondent is Firstrand Bank Ltd (‘FRB’)</w:t>
      </w:r>
      <w:r w:rsidR="00586E35" w:rsidRPr="009908D4">
        <w:rPr>
          <w:rFonts w:ascii="Times New Roman" w:hAnsi="Times New Roman"/>
          <w:color w:val="000000"/>
          <w:sz w:val="28"/>
          <w:szCs w:val="28"/>
        </w:rPr>
        <w:t>, a commercial entity that conducts the business of a bank</w:t>
      </w:r>
      <w:r w:rsidR="00B06220" w:rsidRPr="009908D4">
        <w:rPr>
          <w:rFonts w:ascii="Times New Roman" w:hAnsi="Times New Roman"/>
          <w:color w:val="000000"/>
          <w:sz w:val="28"/>
          <w:szCs w:val="28"/>
        </w:rPr>
        <w:t>;</w:t>
      </w:r>
    </w:p>
    <w:p w:rsidR="00B06220" w:rsidRPr="009908D4" w:rsidRDefault="00232999" w:rsidP="00232999">
      <w:pPr>
        <w:pStyle w:val="LegalList1"/>
        <w:spacing w:line="360" w:lineRule="auto"/>
        <w:ind w:left="1571" w:hanging="720"/>
        <w:rPr>
          <w:rFonts w:ascii="Times New Roman" w:hAnsi="Times New Roman"/>
          <w:sz w:val="28"/>
          <w:szCs w:val="28"/>
        </w:rPr>
      </w:pPr>
      <w:r w:rsidRPr="009908D4">
        <w:rPr>
          <w:rFonts w:ascii="Times New Roman" w:hAnsi="Times New Roman"/>
          <w:color w:val="000000"/>
          <w:sz w:val="28"/>
          <w:szCs w:val="28"/>
        </w:rPr>
        <w:t>(iv)</w:t>
      </w:r>
      <w:r w:rsidRPr="009908D4">
        <w:rPr>
          <w:rFonts w:ascii="Times New Roman" w:hAnsi="Times New Roman"/>
          <w:color w:val="000000"/>
          <w:sz w:val="28"/>
          <w:szCs w:val="28"/>
        </w:rPr>
        <w:tab/>
      </w:r>
      <w:r w:rsidR="00B06220" w:rsidRPr="009908D4">
        <w:rPr>
          <w:rFonts w:ascii="Times New Roman" w:hAnsi="Times New Roman"/>
          <w:color w:val="000000"/>
          <w:sz w:val="28"/>
          <w:szCs w:val="28"/>
        </w:rPr>
        <w:t>The sixth respondent is Jacobus Frederick Viljoen (‘Viljoen Snr’), a resident of Gqeberha (formerly Port Elizabeth)</w:t>
      </w:r>
      <w:r w:rsidR="000570D0" w:rsidRPr="009908D4">
        <w:rPr>
          <w:rFonts w:ascii="Times New Roman" w:hAnsi="Times New Roman"/>
          <w:color w:val="000000"/>
          <w:sz w:val="28"/>
          <w:szCs w:val="28"/>
        </w:rPr>
        <w:t>,</w:t>
      </w:r>
      <w:r w:rsidR="00DD37B8" w:rsidRPr="009908D4">
        <w:rPr>
          <w:rFonts w:ascii="Times New Roman" w:hAnsi="Times New Roman"/>
          <w:color w:val="000000"/>
          <w:sz w:val="28"/>
          <w:szCs w:val="28"/>
        </w:rPr>
        <w:t xml:space="preserve"> and a brother of the second respondent.</w:t>
      </w:r>
      <w:r w:rsidR="006C150F" w:rsidRPr="009908D4">
        <w:rPr>
          <w:rFonts w:ascii="Times New Roman" w:hAnsi="Times New Roman"/>
          <w:color w:val="000000"/>
          <w:sz w:val="28"/>
          <w:szCs w:val="28"/>
        </w:rPr>
        <w:t xml:space="preserve"> Viljoen Snr is an erstwhile trustee of the Trust</w:t>
      </w:r>
      <w:r w:rsidR="008A1871" w:rsidRPr="009908D4">
        <w:rPr>
          <w:rFonts w:ascii="Times New Roman" w:hAnsi="Times New Roman"/>
          <w:color w:val="000000"/>
          <w:sz w:val="28"/>
          <w:szCs w:val="28"/>
        </w:rPr>
        <w:t xml:space="preserve">. He </w:t>
      </w:r>
      <w:r w:rsidR="006C150F" w:rsidRPr="009908D4">
        <w:rPr>
          <w:rFonts w:ascii="Times New Roman" w:hAnsi="Times New Roman"/>
          <w:color w:val="000000"/>
          <w:sz w:val="28"/>
          <w:szCs w:val="28"/>
        </w:rPr>
        <w:t>conduct</w:t>
      </w:r>
      <w:r w:rsidR="008A1871" w:rsidRPr="009908D4">
        <w:rPr>
          <w:rFonts w:ascii="Times New Roman" w:hAnsi="Times New Roman"/>
          <w:color w:val="000000"/>
          <w:sz w:val="28"/>
          <w:szCs w:val="28"/>
        </w:rPr>
        <w:t>ed</w:t>
      </w:r>
      <w:r w:rsidR="006C150F" w:rsidRPr="009908D4">
        <w:rPr>
          <w:rFonts w:ascii="Times New Roman" w:hAnsi="Times New Roman"/>
          <w:color w:val="000000"/>
          <w:sz w:val="28"/>
          <w:szCs w:val="28"/>
        </w:rPr>
        <w:t xml:space="preserve"> a </w:t>
      </w:r>
      <w:r w:rsidR="001B3F98" w:rsidRPr="009908D4">
        <w:rPr>
          <w:rFonts w:ascii="Times New Roman" w:hAnsi="Times New Roman"/>
          <w:color w:val="000000"/>
          <w:sz w:val="28"/>
          <w:szCs w:val="28"/>
        </w:rPr>
        <w:t xml:space="preserve">game </w:t>
      </w:r>
      <w:r w:rsidR="006C150F" w:rsidRPr="009908D4">
        <w:rPr>
          <w:rFonts w:ascii="Times New Roman" w:hAnsi="Times New Roman"/>
          <w:color w:val="000000"/>
          <w:sz w:val="28"/>
          <w:szCs w:val="28"/>
        </w:rPr>
        <w:t>farming enterprise on the subject properties</w:t>
      </w:r>
      <w:r w:rsidR="008A1871" w:rsidRPr="009908D4">
        <w:rPr>
          <w:rFonts w:ascii="Times New Roman" w:hAnsi="Times New Roman"/>
          <w:color w:val="000000"/>
          <w:sz w:val="28"/>
          <w:szCs w:val="28"/>
        </w:rPr>
        <w:t xml:space="preserve"> </w:t>
      </w:r>
      <w:r w:rsidR="004D2AB8" w:rsidRPr="009908D4">
        <w:rPr>
          <w:rFonts w:ascii="Times New Roman" w:hAnsi="Times New Roman"/>
          <w:color w:val="000000"/>
          <w:sz w:val="28"/>
          <w:szCs w:val="28"/>
        </w:rPr>
        <w:t xml:space="preserve">and on a </w:t>
      </w:r>
      <w:r w:rsidR="008A1871" w:rsidRPr="009908D4">
        <w:rPr>
          <w:rFonts w:ascii="Times New Roman" w:hAnsi="Times New Roman"/>
          <w:color w:val="000000"/>
          <w:sz w:val="28"/>
          <w:szCs w:val="28"/>
        </w:rPr>
        <w:t>f</w:t>
      </w:r>
      <w:r w:rsidR="00706222" w:rsidRPr="009908D4">
        <w:rPr>
          <w:rFonts w:ascii="Times New Roman" w:hAnsi="Times New Roman"/>
          <w:color w:val="000000"/>
          <w:sz w:val="28"/>
          <w:szCs w:val="28"/>
        </w:rPr>
        <w:t>ifth</w:t>
      </w:r>
      <w:r w:rsidR="008A1871" w:rsidRPr="009908D4">
        <w:rPr>
          <w:rFonts w:ascii="Times New Roman" w:hAnsi="Times New Roman"/>
          <w:color w:val="000000"/>
          <w:sz w:val="28"/>
          <w:szCs w:val="28"/>
        </w:rPr>
        <w:t xml:space="preserve"> property </w:t>
      </w:r>
      <w:r w:rsidR="0021651F" w:rsidRPr="009908D4">
        <w:rPr>
          <w:rFonts w:ascii="Times New Roman" w:hAnsi="Times New Roman"/>
          <w:color w:val="000000"/>
          <w:sz w:val="28"/>
          <w:szCs w:val="28"/>
        </w:rPr>
        <w:t xml:space="preserve">known as </w:t>
      </w:r>
      <w:r w:rsidR="008A1871" w:rsidRPr="009908D4">
        <w:rPr>
          <w:rFonts w:ascii="Times New Roman" w:hAnsi="Times New Roman"/>
          <w:color w:val="000000"/>
          <w:sz w:val="28"/>
          <w:szCs w:val="28"/>
        </w:rPr>
        <w:t>Farm Rhenosterfontein, Portion 3 of Farm 304 (‘the Farm’).</w:t>
      </w:r>
    </w:p>
    <w:p w:rsidR="00261ECA"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261ECA">
        <w:rPr>
          <w:rFonts w:ascii="Times New Roman" w:hAnsi="Times New Roman"/>
          <w:sz w:val="28"/>
          <w:szCs w:val="28"/>
        </w:rPr>
        <w:t>Of the abovementioned respondents, only FRB opposes these proceedings.</w:t>
      </w:r>
    </w:p>
    <w:p w:rsidR="00261ECA" w:rsidRPr="0046244B" w:rsidRDefault="00232999" w:rsidP="00232999">
      <w:pPr>
        <w:pStyle w:val="LegalList1"/>
        <w:spacing w:line="360" w:lineRule="auto"/>
        <w:ind w:left="851" w:hanging="851"/>
        <w:rPr>
          <w:rFonts w:ascii="Times New Roman" w:hAnsi="Times New Roman"/>
          <w:sz w:val="28"/>
          <w:szCs w:val="28"/>
        </w:rPr>
      </w:pPr>
      <w:r w:rsidRPr="0046244B">
        <w:rPr>
          <w:rFonts w:ascii="Times New Roman" w:hAnsi="Times New Roman"/>
          <w:sz w:val="28"/>
          <w:szCs w:val="28"/>
        </w:rPr>
        <w:lastRenderedPageBreak/>
        <w:t>[7]</w:t>
      </w:r>
      <w:r w:rsidRPr="0046244B">
        <w:rPr>
          <w:rFonts w:ascii="Times New Roman" w:hAnsi="Times New Roman"/>
          <w:sz w:val="28"/>
          <w:szCs w:val="28"/>
        </w:rPr>
        <w:tab/>
      </w:r>
      <w:r w:rsidR="00261ECA">
        <w:rPr>
          <w:rFonts w:ascii="Times New Roman" w:hAnsi="Times New Roman"/>
          <w:sz w:val="28"/>
          <w:szCs w:val="28"/>
        </w:rPr>
        <w:t>It does so in defence of a registered bond that it holds over the subject properties.</w:t>
      </w:r>
    </w:p>
    <w:p w:rsidR="008A4C79" w:rsidRPr="008A4C79" w:rsidRDefault="00232999" w:rsidP="00232999">
      <w:pPr>
        <w:pStyle w:val="LegalList1"/>
        <w:spacing w:line="360" w:lineRule="auto"/>
        <w:ind w:left="851" w:hanging="851"/>
        <w:rPr>
          <w:rFonts w:ascii="Times New Roman" w:hAnsi="Times New Roman"/>
          <w:sz w:val="28"/>
          <w:szCs w:val="28"/>
        </w:rPr>
      </w:pPr>
      <w:r w:rsidRPr="008A4C79">
        <w:rPr>
          <w:rFonts w:ascii="Times New Roman" w:hAnsi="Times New Roman"/>
          <w:sz w:val="28"/>
          <w:szCs w:val="28"/>
        </w:rPr>
        <w:t>[8]</w:t>
      </w:r>
      <w:r w:rsidRPr="008A4C79">
        <w:rPr>
          <w:rFonts w:ascii="Times New Roman" w:hAnsi="Times New Roman"/>
          <w:sz w:val="28"/>
          <w:szCs w:val="28"/>
        </w:rPr>
        <w:tab/>
      </w:r>
      <w:r w:rsidR="0095536D">
        <w:rPr>
          <w:rFonts w:ascii="Times New Roman" w:hAnsi="Times New Roman"/>
          <w:color w:val="000000"/>
          <w:sz w:val="28"/>
          <w:szCs w:val="28"/>
        </w:rPr>
        <w:t xml:space="preserve">Shorn of inconsequential </w:t>
      </w:r>
      <w:r w:rsidR="00D711A0">
        <w:rPr>
          <w:rFonts w:ascii="Times New Roman" w:hAnsi="Times New Roman"/>
          <w:color w:val="000000"/>
          <w:sz w:val="28"/>
          <w:szCs w:val="28"/>
        </w:rPr>
        <w:t xml:space="preserve">matter </w:t>
      </w:r>
      <w:r w:rsidR="0095536D">
        <w:rPr>
          <w:rFonts w:ascii="Times New Roman" w:hAnsi="Times New Roman"/>
          <w:color w:val="000000"/>
          <w:sz w:val="28"/>
          <w:szCs w:val="28"/>
        </w:rPr>
        <w:t>t</w:t>
      </w:r>
      <w:r w:rsidR="007316FD">
        <w:rPr>
          <w:rFonts w:ascii="Times New Roman" w:hAnsi="Times New Roman"/>
          <w:color w:val="000000"/>
          <w:sz w:val="28"/>
          <w:szCs w:val="28"/>
        </w:rPr>
        <w:t xml:space="preserve">he notice of motion </w:t>
      </w:r>
      <w:r w:rsidR="00D711A0">
        <w:rPr>
          <w:rFonts w:ascii="Times New Roman" w:hAnsi="Times New Roman"/>
          <w:color w:val="000000"/>
          <w:sz w:val="28"/>
          <w:szCs w:val="28"/>
        </w:rPr>
        <w:t>ind</w:t>
      </w:r>
      <w:r w:rsidR="00F25937">
        <w:rPr>
          <w:rFonts w:ascii="Times New Roman" w:hAnsi="Times New Roman"/>
          <w:color w:val="000000"/>
          <w:sz w:val="28"/>
          <w:szCs w:val="28"/>
        </w:rPr>
        <w:t xml:space="preserve">icates </w:t>
      </w:r>
      <w:r w:rsidR="0095536D">
        <w:rPr>
          <w:rFonts w:ascii="Times New Roman" w:hAnsi="Times New Roman"/>
          <w:color w:val="000000"/>
          <w:sz w:val="28"/>
          <w:szCs w:val="28"/>
        </w:rPr>
        <w:t xml:space="preserve">that the </w:t>
      </w:r>
      <w:r w:rsidR="00FF5B5F">
        <w:rPr>
          <w:rFonts w:ascii="Times New Roman" w:hAnsi="Times New Roman"/>
          <w:color w:val="000000"/>
          <w:sz w:val="28"/>
          <w:szCs w:val="28"/>
        </w:rPr>
        <w:t>applicants</w:t>
      </w:r>
      <w:r w:rsidR="00EA3EAC">
        <w:rPr>
          <w:rFonts w:ascii="Times New Roman" w:hAnsi="Times New Roman"/>
          <w:color w:val="000000"/>
          <w:sz w:val="28"/>
          <w:szCs w:val="28"/>
        </w:rPr>
        <w:t xml:space="preserve"> </w:t>
      </w:r>
      <w:r w:rsidR="00EA3EAC" w:rsidRPr="008A4C79">
        <w:rPr>
          <w:rFonts w:ascii="Times New Roman" w:hAnsi="Times New Roman"/>
          <w:color w:val="000000"/>
          <w:sz w:val="28"/>
          <w:szCs w:val="28"/>
        </w:rPr>
        <w:t>seek the following relief</w:t>
      </w:r>
      <w:r w:rsidR="00EA3EAC">
        <w:rPr>
          <w:rFonts w:ascii="Times New Roman" w:hAnsi="Times New Roman"/>
          <w:color w:val="000000"/>
          <w:sz w:val="28"/>
          <w:szCs w:val="28"/>
        </w:rPr>
        <w:t xml:space="preserve"> in addition to which they seek attorney and client costs against any opposing party or parties</w:t>
      </w:r>
      <w:r w:rsidR="008A4C79" w:rsidRPr="008A4C79">
        <w:rPr>
          <w:rFonts w:ascii="Times New Roman" w:hAnsi="Times New Roman"/>
          <w:color w:val="000000"/>
          <w:sz w:val="28"/>
          <w:szCs w:val="28"/>
        </w:rPr>
        <w:t>:</w:t>
      </w:r>
    </w:p>
    <w:p w:rsidR="008A4C79" w:rsidRPr="000F3A05" w:rsidRDefault="00232999" w:rsidP="00232999">
      <w:pPr>
        <w:pStyle w:val="LegalList1"/>
        <w:spacing w:line="360" w:lineRule="auto"/>
        <w:ind w:left="1560" w:hanging="709"/>
        <w:rPr>
          <w:rFonts w:ascii="Times New Roman" w:hAnsi="Times New Roman"/>
          <w:sz w:val="28"/>
          <w:szCs w:val="28"/>
        </w:rPr>
      </w:pPr>
      <w:r w:rsidRPr="000F3A05">
        <w:rPr>
          <w:rFonts w:ascii="Times New Roman" w:hAnsi="Times New Roman"/>
          <w:color w:val="000000"/>
          <w:sz w:val="28"/>
          <w:szCs w:val="28"/>
        </w:rPr>
        <w:t>8.1</w:t>
      </w:r>
      <w:r w:rsidRPr="000F3A05">
        <w:rPr>
          <w:rFonts w:ascii="Times New Roman" w:hAnsi="Times New Roman"/>
          <w:color w:val="000000"/>
          <w:sz w:val="28"/>
          <w:szCs w:val="28"/>
        </w:rPr>
        <w:tab/>
      </w:r>
      <w:r w:rsidR="000A7A7A">
        <w:rPr>
          <w:rFonts w:ascii="Times New Roman" w:hAnsi="Times New Roman"/>
          <w:color w:val="000000"/>
          <w:sz w:val="28"/>
          <w:szCs w:val="28"/>
        </w:rPr>
        <w:t>A</w:t>
      </w:r>
      <w:r w:rsidR="008A4C79" w:rsidRPr="008A4C79">
        <w:rPr>
          <w:rFonts w:ascii="Times New Roman" w:hAnsi="Times New Roman"/>
          <w:color w:val="000000"/>
          <w:sz w:val="28"/>
          <w:szCs w:val="28"/>
        </w:rPr>
        <w:t xml:space="preserve"> declaration that the Trust is the lawful owner of the subject properties;</w:t>
      </w:r>
    </w:p>
    <w:p w:rsidR="00500073" w:rsidRPr="000F3A05" w:rsidRDefault="0081176C" w:rsidP="00EE77BC">
      <w:pPr>
        <w:pStyle w:val="LegalList1"/>
        <w:spacing w:line="360" w:lineRule="auto"/>
        <w:ind w:left="1560" w:hanging="720"/>
        <w:rPr>
          <w:rFonts w:ascii="Times New Roman" w:hAnsi="Times New Roman"/>
          <w:sz w:val="28"/>
          <w:szCs w:val="28"/>
        </w:rPr>
      </w:pPr>
      <w:r>
        <w:rPr>
          <w:rFonts w:ascii="Times New Roman" w:hAnsi="Times New Roman"/>
          <w:color w:val="000000"/>
          <w:sz w:val="28"/>
          <w:szCs w:val="28"/>
        </w:rPr>
        <w:t>8.2</w:t>
      </w:r>
      <w:r>
        <w:rPr>
          <w:rFonts w:ascii="Times New Roman" w:hAnsi="Times New Roman"/>
          <w:color w:val="000000"/>
          <w:sz w:val="28"/>
          <w:szCs w:val="28"/>
        </w:rPr>
        <w:tab/>
      </w:r>
      <w:r w:rsidR="008D5B2F" w:rsidRPr="000F3A05">
        <w:rPr>
          <w:rFonts w:ascii="Times New Roman" w:hAnsi="Times New Roman"/>
          <w:color w:val="000000"/>
          <w:sz w:val="28"/>
          <w:szCs w:val="28"/>
        </w:rPr>
        <w:t xml:space="preserve">An order </w:t>
      </w:r>
      <w:r w:rsidR="00500073" w:rsidRPr="000F3A05">
        <w:rPr>
          <w:rFonts w:ascii="Times New Roman" w:hAnsi="Times New Roman"/>
          <w:color w:val="000000"/>
          <w:sz w:val="28"/>
          <w:szCs w:val="28"/>
        </w:rPr>
        <w:t xml:space="preserve">that the registrar of deeds be </w:t>
      </w:r>
      <w:r w:rsidR="008D5B2F" w:rsidRPr="000F3A05">
        <w:rPr>
          <w:rFonts w:ascii="Times New Roman" w:hAnsi="Times New Roman"/>
          <w:color w:val="000000"/>
          <w:sz w:val="28"/>
          <w:szCs w:val="28"/>
        </w:rPr>
        <w:t xml:space="preserve">directed </w:t>
      </w:r>
      <w:r w:rsidR="00500073" w:rsidRPr="000F3A05">
        <w:rPr>
          <w:rFonts w:ascii="Times New Roman" w:hAnsi="Times New Roman"/>
          <w:color w:val="000000"/>
          <w:sz w:val="28"/>
          <w:szCs w:val="28"/>
        </w:rPr>
        <w:t xml:space="preserve">to amend the title deeds </w:t>
      </w:r>
      <w:r w:rsidR="008D5B2F" w:rsidRPr="000F3A05">
        <w:rPr>
          <w:rFonts w:ascii="Times New Roman" w:hAnsi="Times New Roman"/>
          <w:color w:val="000000"/>
          <w:sz w:val="28"/>
          <w:szCs w:val="28"/>
        </w:rPr>
        <w:t>to reflect the Trust as the true owner of the subject properties;</w:t>
      </w:r>
    </w:p>
    <w:p w:rsidR="00B27EF5" w:rsidRDefault="008A4C79" w:rsidP="0081176C">
      <w:pPr>
        <w:pStyle w:val="LegalList1"/>
        <w:spacing w:line="360" w:lineRule="auto"/>
        <w:ind w:left="120" w:firstLine="720"/>
        <w:rPr>
          <w:rFonts w:ascii="Times New Roman" w:hAnsi="Times New Roman"/>
          <w:sz w:val="28"/>
          <w:szCs w:val="28"/>
        </w:rPr>
      </w:pPr>
      <w:r w:rsidRPr="005E7D59">
        <w:rPr>
          <w:rFonts w:ascii="Times New Roman" w:hAnsi="Times New Roman"/>
          <w:sz w:val="28"/>
          <w:szCs w:val="28"/>
        </w:rPr>
        <w:t>Alternatively</w:t>
      </w:r>
      <w:r w:rsidR="005A5A8D">
        <w:rPr>
          <w:rFonts w:ascii="Times New Roman" w:hAnsi="Times New Roman"/>
          <w:sz w:val="28"/>
          <w:szCs w:val="28"/>
        </w:rPr>
        <w:t xml:space="preserve"> to the above</w:t>
      </w:r>
      <w:r w:rsidR="0051067B" w:rsidRPr="005E7D59">
        <w:rPr>
          <w:rFonts w:ascii="Times New Roman" w:hAnsi="Times New Roman"/>
          <w:sz w:val="28"/>
          <w:szCs w:val="28"/>
        </w:rPr>
        <w:t>,</w:t>
      </w:r>
    </w:p>
    <w:p w:rsidR="008A4C79" w:rsidRDefault="0081176C" w:rsidP="00F1484E">
      <w:pPr>
        <w:pStyle w:val="LegalList1"/>
        <w:spacing w:line="360" w:lineRule="auto"/>
        <w:ind w:left="1560" w:hanging="709"/>
        <w:rPr>
          <w:rFonts w:ascii="Times New Roman" w:hAnsi="Times New Roman"/>
          <w:color w:val="000000"/>
          <w:sz w:val="28"/>
          <w:szCs w:val="28"/>
        </w:rPr>
      </w:pPr>
      <w:r>
        <w:rPr>
          <w:rFonts w:ascii="Times New Roman" w:hAnsi="Times New Roman"/>
          <w:color w:val="000000"/>
          <w:sz w:val="28"/>
          <w:szCs w:val="28"/>
        </w:rPr>
        <w:t>8.</w:t>
      </w:r>
      <w:r w:rsidR="000F3A05">
        <w:rPr>
          <w:rFonts w:ascii="Times New Roman" w:hAnsi="Times New Roman"/>
          <w:color w:val="000000"/>
          <w:sz w:val="28"/>
          <w:szCs w:val="28"/>
        </w:rPr>
        <w:t>3.1</w:t>
      </w:r>
      <w:r w:rsidR="006A2836">
        <w:rPr>
          <w:rFonts w:ascii="Times New Roman" w:hAnsi="Times New Roman"/>
          <w:color w:val="000000"/>
          <w:sz w:val="28"/>
          <w:szCs w:val="28"/>
        </w:rPr>
        <w:tab/>
      </w:r>
      <w:r w:rsidR="000A7A7A">
        <w:rPr>
          <w:rFonts w:ascii="Times New Roman" w:hAnsi="Times New Roman"/>
          <w:color w:val="000000"/>
          <w:sz w:val="28"/>
          <w:szCs w:val="28"/>
        </w:rPr>
        <w:t>T</w:t>
      </w:r>
      <w:r w:rsidR="008A4C79" w:rsidRPr="005E7D59">
        <w:rPr>
          <w:rFonts w:ascii="Times New Roman" w:hAnsi="Times New Roman"/>
          <w:color w:val="000000"/>
          <w:sz w:val="28"/>
          <w:szCs w:val="28"/>
        </w:rPr>
        <w:t>hat the sale and transfer of the subject properties by the Trust to Soleil be set aside in terms of section 31 of the Insolvency Act</w:t>
      </w:r>
      <w:r w:rsidR="00A80E1E">
        <w:rPr>
          <w:rStyle w:val="FootnoteReference"/>
          <w:rFonts w:ascii="Times New Roman" w:hAnsi="Times New Roman"/>
          <w:color w:val="000000"/>
          <w:sz w:val="28"/>
          <w:szCs w:val="28"/>
        </w:rPr>
        <w:footnoteReference w:id="1"/>
      </w:r>
      <w:r w:rsidR="00A80E1E">
        <w:rPr>
          <w:rFonts w:ascii="Times New Roman" w:hAnsi="Times New Roman"/>
          <w:color w:val="000000"/>
          <w:sz w:val="28"/>
          <w:szCs w:val="28"/>
        </w:rPr>
        <w:t xml:space="preserve"> </w:t>
      </w:r>
      <w:r w:rsidR="008A4C79" w:rsidRPr="005E7D59">
        <w:rPr>
          <w:rFonts w:ascii="Times New Roman" w:hAnsi="Times New Roman"/>
          <w:color w:val="000000"/>
          <w:sz w:val="28"/>
          <w:szCs w:val="28"/>
        </w:rPr>
        <w:t xml:space="preserve">and that Soleil be ordered to </w:t>
      </w:r>
      <w:r w:rsidR="00FA4A88">
        <w:rPr>
          <w:rFonts w:ascii="Times New Roman" w:hAnsi="Times New Roman"/>
          <w:color w:val="000000"/>
          <w:sz w:val="28"/>
          <w:szCs w:val="28"/>
        </w:rPr>
        <w:t>re</w:t>
      </w:r>
      <w:r w:rsidR="008A4C79" w:rsidRPr="005E7D59">
        <w:rPr>
          <w:rFonts w:ascii="Times New Roman" w:hAnsi="Times New Roman"/>
          <w:color w:val="000000"/>
          <w:sz w:val="28"/>
          <w:szCs w:val="28"/>
        </w:rPr>
        <w:t xml:space="preserve">transfer the subject properties </w:t>
      </w:r>
      <w:r w:rsidR="00F05F7B">
        <w:rPr>
          <w:rFonts w:ascii="Times New Roman" w:hAnsi="Times New Roman"/>
          <w:color w:val="000000"/>
          <w:sz w:val="28"/>
          <w:szCs w:val="28"/>
        </w:rPr>
        <w:t>to the Trust</w:t>
      </w:r>
      <w:r w:rsidR="008A4C79" w:rsidRPr="005E7D59">
        <w:rPr>
          <w:rFonts w:ascii="Times New Roman" w:hAnsi="Times New Roman"/>
          <w:color w:val="000000"/>
          <w:sz w:val="28"/>
          <w:szCs w:val="28"/>
        </w:rPr>
        <w:t>;</w:t>
      </w:r>
    </w:p>
    <w:p w:rsidR="00FB4B99" w:rsidRPr="005E7D59" w:rsidRDefault="0081176C" w:rsidP="00F1484E">
      <w:pPr>
        <w:pStyle w:val="LegalList1"/>
        <w:spacing w:line="360" w:lineRule="auto"/>
        <w:ind w:left="1560" w:hanging="709"/>
        <w:rPr>
          <w:rFonts w:ascii="Times New Roman" w:hAnsi="Times New Roman"/>
          <w:sz w:val="28"/>
          <w:szCs w:val="28"/>
        </w:rPr>
      </w:pPr>
      <w:r>
        <w:rPr>
          <w:rFonts w:ascii="Times New Roman" w:hAnsi="Times New Roman"/>
          <w:color w:val="000000"/>
          <w:sz w:val="28"/>
          <w:szCs w:val="28"/>
        </w:rPr>
        <w:t>8.</w:t>
      </w:r>
      <w:r w:rsidR="000F3A05">
        <w:rPr>
          <w:rFonts w:ascii="Times New Roman" w:hAnsi="Times New Roman"/>
          <w:color w:val="000000"/>
          <w:sz w:val="28"/>
          <w:szCs w:val="28"/>
        </w:rPr>
        <w:t>3.2</w:t>
      </w:r>
      <w:r w:rsidR="00F1484E">
        <w:rPr>
          <w:rFonts w:ascii="Times New Roman" w:hAnsi="Times New Roman"/>
          <w:color w:val="000000"/>
          <w:sz w:val="28"/>
          <w:szCs w:val="28"/>
        </w:rPr>
        <w:tab/>
      </w:r>
      <w:r w:rsidR="00FB4B99">
        <w:rPr>
          <w:rFonts w:ascii="Times New Roman" w:hAnsi="Times New Roman"/>
          <w:color w:val="000000"/>
          <w:sz w:val="28"/>
          <w:szCs w:val="28"/>
        </w:rPr>
        <w:t>That Soleil as well as the second and sixth respondents</w:t>
      </w:r>
      <w:r w:rsidR="007B68EA">
        <w:rPr>
          <w:rFonts w:ascii="Times New Roman" w:hAnsi="Times New Roman"/>
          <w:color w:val="000000"/>
          <w:sz w:val="28"/>
          <w:szCs w:val="28"/>
        </w:rPr>
        <w:t xml:space="preserve"> be declared to have forfeited any claim that they may have had against the Trust; and that they be ordered to sign and execute all documents</w:t>
      </w:r>
      <w:r w:rsidR="00BA7F53">
        <w:rPr>
          <w:rFonts w:ascii="Times New Roman" w:hAnsi="Times New Roman"/>
          <w:color w:val="000000"/>
          <w:sz w:val="28"/>
          <w:szCs w:val="28"/>
        </w:rPr>
        <w:t xml:space="preserve"> to give effect to any of the above orders failing which the sheriff be authorised to do so on their behalf;</w:t>
      </w:r>
    </w:p>
    <w:p w:rsidR="00B27EF5" w:rsidRDefault="0081176C" w:rsidP="00F1484E">
      <w:pPr>
        <w:pStyle w:val="LegalList1"/>
        <w:spacing w:line="360" w:lineRule="auto"/>
        <w:ind w:left="1560" w:hanging="709"/>
        <w:rPr>
          <w:rFonts w:ascii="Times New Roman" w:hAnsi="Times New Roman"/>
          <w:sz w:val="28"/>
          <w:szCs w:val="28"/>
        </w:rPr>
      </w:pPr>
      <w:r>
        <w:rPr>
          <w:rFonts w:ascii="Times New Roman" w:hAnsi="Times New Roman"/>
          <w:sz w:val="28"/>
          <w:szCs w:val="28"/>
        </w:rPr>
        <w:lastRenderedPageBreak/>
        <w:t>8.</w:t>
      </w:r>
      <w:r w:rsidR="000F3A05">
        <w:rPr>
          <w:rFonts w:ascii="Times New Roman" w:hAnsi="Times New Roman"/>
          <w:sz w:val="28"/>
          <w:szCs w:val="28"/>
        </w:rPr>
        <w:t>4</w:t>
      </w:r>
      <w:r w:rsidR="00F1484E">
        <w:rPr>
          <w:rFonts w:ascii="Times New Roman" w:hAnsi="Times New Roman"/>
          <w:sz w:val="28"/>
          <w:szCs w:val="28"/>
        </w:rPr>
        <w:tab/>
      </w:r>
      <w:r w:rsidR="000A7A7A">
        <w:rPr>
          <w:rFonts w:ascii="Times New Roman" w:hAnsi="Times New Roman"/>
          <w:sz w:val="28"/>
          <w:szCs w:val="28"/>
        </w:rPr>
        <w:t>T</w:t>
      </w:r>
      <w:r w:rsidR="0051067B" w:rsidRPr="005E7D59">
        <w:rPr>
          <w:rFonts w:ascii="Times New Roman" w:hAnsi="Times New Roman"/>
          <w:sz w:val="28"/>
          <w:szCs w:val="28"/>
        </w:rPr>
        <w:t>hat Soleil be deemed not to be a juristic person</w:t>
      </w:r>
      <w:r w:rsidR="00A22495" w:rsidRPr="005E7D59">
        <w:rPr>
          <w:rFonts w:ascii="Times New Roman" w:hAnsi="Times New Roman"/>
          <w:sz w:val="28"/>
          <w:szCs w:val="28"/>
        </w:rPr>
        <w:t xml:space="preserve"> and be collapsed into the Trust and its assets be declared to form part </w:t>
      </w:r>
      <w:r w:rsidR="00F05F7B">
        <w:rPr>
          <w:rFonts w:ascii="Times New Roman" w:hAnsi="Times New Roman"/>
          <w:sz w:val="28"/>
          <w:szCs w:val="28"/>
        </w:rPr>
        <w:t>of the assets of the Trust</w:t>
      </w:r>
      <w:r w:rsidR="00A22495" w:rsidRPr="005E7D59">
        <w:rPr>
          <w:rFonts w:ascii="Times New Roman" w:hAnsi="Times New Roman"/>
          <w:sz w:val="28"/>
          <w:szCs w:val="28"/>
        </w:rPr>
        <w:t>;</w:t>
      </w:r>
    </w:p>
    <w:p w:rsidR="00B27EF5" w:rsidRPr="005E7D59" w:rsidRDefault="0081176C" w:rsidP="00DC05B7">
      <w:pPr>
        <w:pStyle w:val="LegalList1"/>
        <w:spacing w:line="360" w:lineRule="auto"/>
        <w:ind w:left="1560" w:hanging="709"/>
        <w:rPr>
          <w:rFonts w:ascii="Times New Roman" w:hAnsi="Times New Roman"/>
          <w:sz w:val="28"/>
          <w:szCs w:val="28"/>
        </w:rPr>
      </w:pPr>
      <w:r>
        <w:rPr>
          <w:rFonts w:ascii="Times New Roman" w:hAnsi="Times New Roman"/>
          <w:sz w:val="28"/>
          <w:szCs w:val="28"/>
        </w:rPr>
        <w:t>8.</w:t>
      </w:r>
      <w:r w:rsidR="000F3A05">
        <w:rPr>
          <w:rFonts w:ascii="Times New Roman" w:hAnsi="Times New Roman"/>
          <w:sz w:val="28"/>
          <w:szCs w:val="28"/>
        </w:rPr>
        <w:t>5</w:t>
      </w:r>
      <w:r w:rsidR="00F1484E">
        <w:rPr>
          <w:rFonts w:ascii="Times New Roman" w:hAnsi="Times New Roman"/>
          <w:sz w:val="28"/>
          <w:szCs w:val="28"/>
        </w:rPr>
        <w:tab/>
      </w:r>
      <w:r w:rsidR="000A7A7A">
        <w:rPr>
          <w:rFonts w:ascii="Times New Roman" w:hAnsi="Times New Roman"/>
          <w:sz w:val="28"/>
          <w:szCs w:val="28"/>
        </w:rPr>
        <w:t>T</w:t>
      </w:r>
      <w:r w:rsidR="00A22495" w:rsidRPr="005E7D59">
        <w:rPr>
          <w:rFonts w:ascii="Times New Roman" w:hAnsi="Times New Roman"/>
          <w:sz w:val="28"/>
          <w:szCs w:val="28"/>
        </w:rPr>
        <w:t>hat the mortgage bonds registered over the subject properties in favour of FRB be cancelled (‘bond cancellation’)</w:t>
      </w:r>
      <w:r w:rsidR="00AF1B91" w:rsidRPr="005E7D59">
        <w:rPr>
          <w:rFonts w:ascii="Times New Roman" w:hAnsi="Times New Roman"/>
          <w:sz w:val="28"/>
          <w:szCs w:val="28"/>
        </w:rPr>
        <w:t>.</w:t>
      </w:r>
    </w:p>
    <w:p w:rsidR="00B27EF5" w:rsidRPr="00621EDF" w:rsidRDefault="00621EDF" w:rsidP="00247E63">
      <w:pPr>
        <w:pStyle w:val="LegalList1"/>
        <w:spacing w:line="360" w:lineRule="auto"/>
        <w:ind w:left="131" w:firstLine="720"/>
        <w:rPr>
          <w:rFonts w:ascii="Times New Roman" w:hAnsi="Times New Roman"/>
          <w:b/>
          <w:sz w:val="28"/>
          <w:szCs w:val="28"/>
        </w:rPr>
      </w:pPr>
      <w:r w:rsidRPr="00621EDF">
        <w:rPr>
          <w:rFonts w:ascii="Times New Roman" w:hAnsi="Times New Roman"/>
          <w:b/>
          <w:sz w:val="28"/>
          <w:szCs w:val="28"/>
        </w:rPr>
        <w:t>Background</w:t>
      </w:r>
    </w:p>
    <w:p w:rsidR="00C958D9"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61ECA">
        <w:rPr>
          <w:rFonts w:ascii="Times New Roman" w:hAnsi="Times New Roman"/>
          <w:sz w:val="28"/>
          <w:szCs w:val="28"/>
        </w:rPr>
        <w:t xml:space="preserve">On 13 July 2017, </w:t>
      </w:r>
      <w:r w:rsidR="00675E67">
        <w:rPr>
          <w:rFonts w:ascii="Times New Roman" w:hAnsi="Times New Roman"/>
          <w:sz w:val="28"/>
          <w:szCs w:val="28"/>
        </w:rPr>
        <w:t>summary judgment was granted by this court, per Beshe J</w:t>
      </w:r>
      <w:r w:rsidR="00E66C16">
        <w:rPr>
          <w:rFonts w:ascii="Times New Roman" w:hAnsi="Times New Roman"/>
          <w:sz w:val="28"/>
          <w:szCs w:val="28"/>
        </w:rPr>
        <w:t>,</w:t>
      </w:r>
      <w:r w:rsidR="00675E67">
        <w:rPr>
          <w:rFonts w:ascii="Times New Roman" w:hAnsi="Times New Roman"/>
          <w:sz w:val="28"/>
          <w:szCs w:val="28"/>
        </w:rPr>
        <w:t xml:space="preserve"> against the Trust</w:t>
      </w:r>
      <w:r w:rsidR="00E66C16">
        <w:rPr>
          <w:rFonts w:ascii="Times New Roman" w:hAnsi="Times New Roman"/>
          <w:sz w:val="28"/>
          <w:szCs w:val="28"/>
        </w:rPr>
        <w:t xml:space="preserve"> in favour of </w:t>
      </w:r>
      <w:r w:rsidR="003D22C9">
        <w:rPr>
          <w:rFonts w:ascii="Times New Roman" w:hAnsi="Times New Roman"/>
          <w:sz w:val="28"/>
          <w:szCs w:val="28"/>
        </w:rPr>
        <w:t>Griewakwaland Wes Korporatief Limited (‘GWK’)</w:t>
      </w:r>
      <w:r w:rsidR="00D41C2D">
        <w:rPr>
          <w:rFonts w:ascii="Times New Roman" w:hAnsi="Times New Roman"/>
          <w:sz w:val="28"/>
          <w:szCs w:val="28"/>
        </w:rPr>
        <w:t>, a creditor,</w:t>
      </w:r>
      <w:r w:rsidR="00E42E67">
        <w:rPr>
          <w:rFonts w:ascii="Times New Roman" w:hAnsi="Times New Roman"/>
          <w:sz w:val="28"/>
          <w:szCs w:val="28"/>
        </w:rPr>
        <w:t xml:space="preserve"> for the amount of R7</w:t>
      </w:r>
      <w:r w:rsidR="003C45B6">
        <w:rPr>
          <w:rFonts w:ascii="Times New Roman" w:hAnsi="Times New Roman"/>
          <w:sz w:val="28"/>
          <w:szCs w:val="28"/>
        </w:rPr>
        <w:t>.</w:t>
      </w:r>
      <w:r w:rsidR="00E42E67">
        <w:rPr>
          <w:rFonts w:ascii="Times New Roman" w:hAnsi="Times New Roman"/>
          <w:sz w:val="28"/>
          <w:szCs w:val="28"/>
        </w:rPr>
        <w:t>5 million.</w:t>
      </w:r>
    </w:p>
    <w:p w:rsidR="00122EE4"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122EE4">
        <w:rPr>
          <w:rFonts w:ascii="Times New Roman" w:hAnsi="Times New Roman"/>
          <w:sz w:val="28"/>
          <w:szCs w:val="28"/>
        </w:rPr>
        <w:t>GWK also sought relief that the Farm be declared specially executable and that the issue of a writ of execution be authorised.</w:t>
      </w:r>
    </w:p>
    <w:p w:rsidR="007639E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2B1AF9">
        <w:rPr>
          <w:rFonts w:ascii="Times New Roman" w:hAnsi="Times New Roman"/>
          <w:sz w:val="28"/>
          <w:szCs w:val="28"/>
        </w:rPr>
        <w:t>T</w:t>
      </w:r>
      <w:r w:rsidR="00D9212F">
        <w:rPr>
          <w:rFonts w:ascii="Times New Roman" w:hAnsi="Times New Roman"/>
          <w:sz w:val="28"/>
          <w:szCs w:val="28"/>
        </w:rPr>
        <w:t xml:space="preserve">he </w:t>
      </w:r>
      <w:r w:rsidR="008947DC">
        <w:rPr>
          <w:rFonts w:ascii="Times New Roman" w:hAnsi="Times New Roman"/>
          <w:sz w:val="28"/>
          <w:szCs w:val="28"/>
        </w:rPr>
        <w:t>Trust</w:t>
      </w:r>
      <w:r w:rsidR="00D9212F">
        <w:rPr>
          <w:rFonts w:ascii="Times New Roman" w:hAnsi="Times New Roman"/>
          <w:sz w:val="28"/>
          <w:szCs w:val="28"/>
        </w:rPr>
        <w:t xml:space="preserve"> was </w:t>
      </w:r>
      <w:r w:rsidR="00E66A0E">
        <w:rPr>
          <w:rFonts w:ascii="Times New Roman" w:hAnsi="Times New Roman"/>
          <w:sz w:val="28"/>
          <w:szCs w:val="28"/>
        </w:rPr>
        <w:t>provisionally sequestrated on 18 S</w:t>
      </w:r>
      <w:r w:rsidR="007639EF">
        <w:rPr>
          <w:rFonts w:ascii="Times New Roman" w:hAnsi="Times New Roman"/>
          <w:sz w:val="28"/>
          <w:szCs w:val="28"/>
        </w:rPr>
        <w:t>eptember 2018.</w:t>
      </w:r>
    </w:p>
    <w:p w:rsidR="007639E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2B1AF9">
        <w:rPr>
          <w:rFonts w:ascii="Times New Roman" w:hAnsi="Times New Roman"/>
          <w:sz w:val="28"/>
          <w:szCs w:val="28"/>
        </w:rPr>
        <w:t>A final o</w:t>
      </w:r>
      <w:r w:rsidR="007639EF">
        <w:rPr>
          <w:rFonts w:ascii="Times New Roman" w:hAnsi="Times New Roman"/>
          <w:sz w:val="28"/>
          <w:szCs w:val="28"/>
        </w:rPr>
        <w:t>rder issued on 6 November 2018.</w:t>
      </w:r>
    </w:p>
    <w:p w:rsidR="00A3412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2B1AF9">
        <w:rPr>
          <w:rFonts w:ascii="Times New Roman" w:hAnsi="Times New Roman"/>
          <w:sz w:val="28"/>
          <w:szCs w:val="28"/>
        </w:rPr>
        <w:t>The sequestration ensued at the instance of GWK.</w:t>
      </w:r>
    </w:p>
    <w:p w:rsidR="00551EFE"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F112CB">
        <w:rPr>
          <w:rFonts w:ascii="Times New Roman" w:hAnsi="Times New Roman"/>
          <w:sz w:val="28"/>
          <w:szCs w:val="28"/>
        </w:rPr>
        <w:t>In th</w:t>
      </w:r>
      <w:r w:rsidR="00017EE2">
        <w:rPr>
          <w:rFonts w:ascii="Times New Roman" w:hAnsi="Times New Roman"/>
          <w:sz w:val="28"/>
          <w:szCs w:val="28"/>
        </w:rPr>
        <w:t xml:space="preserve">e course of events set out below </w:t>
      </w:r>
      <w:r w:rsidR="00555445">
        <w:rPr>
          <w:rFonts w:ascii="Times New Roman" w:hAnsi="Times New Roman"/>
          <w:sz w:val="28"/>
          <w:szCs w:val="28"/>
        </w:rPr>
        <w:t>FRB</w:t>
      </w:r>
      <w:r w:rsidR="00017EE2">
        <w:rPr>
          <w:rFonts w:ascii="Times New Roman" w:hAnsi="Times New Roman"/>
          <w:sz w:val="28"/>
          <w:szCs w:val="28"/>
        </w:rPr>
        <w:t xml:space="preserve"> caused </w:t>
      </w:r>
      <w:r w:rsidR="00D12FE1" w:rsidRPr="00551EFE">
        <w:rPr>
          <w:rFonts w:ascii="Times New Roman" w:hAnsi="Times New Roman"/>
          <w:sz w:val="28"/>
          <w:szCs w:val="28"/>
        </w:rPr>
        <w:t xml:space="preserve">Soleil </w:t>
      </w:r>
      <w:r w:rsidR="00017EE2">
        <w:rPr>
          <w:rFonts w:ascii="Times New Roman" w:hAnsi="Times New Roman"/>
          <w:sz w:val="28"/>
          <w:szCs w:val="28"/>
        </w:rPr>
        <w:t xml:space="preserve">to be </w:t>
      </w:r>
      <w:r w:rsidR="00C958D9">
        <w:rPr>
          <w:rFonts w:ascii="Times New Roman" w:hAnsi="Times New Roman"/>
          <w:sz w:val="28"/>
          <w:szCs w:val="28"/>
        </w:rPr>
        <w:t>p</w:t>
      </w:r>
      <w:r w:rsidR="00551EFE">
        <w:rPr>
          <w:rFonts w:ascii="Times New Roman" w:hAnsi="Times New Roman"/>
          <w:sz w:val="28"/>
          <w:szCs w:val="28"/>
        </w:rPr>
        <w:t>rovisional</w:t>
      </w:r>
      <w:r w:rsidR="00C958D9">
        <w:rPr>
          <w:rFonts w:ascii="Times New Roman" w:hAnsi="Times New Roman"/>
          <w:sz w:val="28"/>
          <w:szCs w:val="28"/>
        </w:rPr>
        <w:t>ly</w:t>
      </w:r>
      <w:r w:rsidR="00551EFE">
        <w:rPr>
          <w:rFonts w:ascii="Times New Roman" w:hAnsi="Times New Roman"/>
          <w:sz w:val="28"/>
          <w:szCs w:val="28"/>
        </w:rPr>
        <w:t xml:space="preserve"> liquidat</w:t>
      </w:r>
      <w:r w:rsidR="00C958D9">
        <w:rPr>
          <w:rFonts w:ascii="Times New Roman" w:hAnsi="Times New Roman"/>
          <w:sz w:val="28"/>
          <w:szCs w:val="28"/>
        </w:rPr>
        <w:t>ed</w:t>
      </w:r>
      <w:r w:rsidR="00624B8E">
        <w:rPr>
          <w:rFonts w:ascii="Times New Roman" w:hAnsi="Times New Roman"/>
          <w:sz w:val="28"/>
          <w:szCs w:val="28"/>
        </w:rPr>
        <w:t xml:space="preserve"> on 8 S</w:t>
      </w:r>
      <w:r w:rsidR="00551EFE">
        <w:rPr>
          <w:rFonts w:ascii="Times New Roman" w:hAnsi="Times New Roman"/>
          <w:sz w:val="28"/>
          <w:szCs w:val="28"/>
        </w:rPr>
        <w:t>eptember 2020</w:t>
      </w:r>
      <w:r w:rsidR="00C958D9">
        <w:rPr>
          <w:rFonts w:ascii="Times New Roman" w:hAnsi="Times New Roman"/>
          <w:sz w:val="28"/>
          <w:szCs w:val="28"/>
        </w:rPr>
        <w:t xml:space="preserve"> – a final order followed on 9 December 202</w:t>
      </w:r>
      <w:r w:rsidR="0019154D">
        <w:rPr>
          <w:rFonts w:ascii="Times New Roman" w:hAnsi="Times New Roman"/>
          <w:sz w:val="28"/>
          <w:szCs w:val="28"/>
        </w:rPr>
        <w:t>0</w:t>
      </w:r>
      <w:r w:rsidR="00C958D9">
        <w:rPr>
          <w:rFonts w:ascii="Times New Roman" w:hAnsi="Times New Roman"/>
          <w:sz w:val="28"/>
          <w:szCs w:val="28"/>
        </w:rPr>
        <w:t>.</w:t>
      </w:r>
    </w:p>
    <w:p w:rsidR="00D9212F" w:rsidRPr="00551EFE" w:rsidRDefault="00232999" w:rsidP="00232999">
      <w:pPr>
        <w:pStyle w:val="LegalList1"/>
        <w:spacing w:line="360" w:lineRule="auto"/>
        <w:ind w:left="851" w:hanging="851"/>
        <w:rPr>
          <w:rFonts w:ascii="Times New Roman" w:hAnsi="Times New Roman"/>
          <w:sz w:val="28"/>
          <w:szCs w:val="28"/>
        </w:rPr>
      </w:pPr>
      <w:r w:rsidRPr="00551EFE">
        <w:rPr>
          <w:rFonts w:ascii="Times New Roman" w:hAnsi="Times New Roman"/>
          <w:sz w:val="28"/>
          <w:szCs w:val="28"/>
        </w:rPr>
        <w:t>[15]</w:t>
      </w:r>
      <w:r w:rsidRPr="00551EFE">
        <w:rPr>
          <w:rFonts w:ascii="Times New Roman" w:hAnsi="Times New Roman"/>
          <w:sz w:val="28"/>
          <w:szCs w:val="28"/>
        </w:rPr>
        <w:tab/>
      </w:r>
      <w:r w:rsidR="00A34125" w:rsidRPr="00551EFE">
        <w:rPr>
          <w:rFonts w:ascii="Times New Roman" w:hAnsi="Times New Roman"/>
          <w:sz w:val="28"/>
          <w:szCs w:val="28"/>
        </w:rPr>
        <w:t xml:space="preserve">The events and circumstances that preceded the sequestration </w:t>
      </w:r>
      <w:r w:rsidR="00017EE2">
        <w:rPr>
          <w:rFonts w:ascii="Times New Roman" w:hAnsi="Times New Roman"/>
          <w:sz w:val="28"/>
          <w:szCs w:val="28"/>
        </w:rPr>
        <w:t xml:space="preserve">and liquidation </w:t>
      </w:r>
      <w:r w:rsidR="00A34125" w:rsidRPr="00551EFE">
        <w:rPr>
          <w:rFonts w:ascii="Times New Roman" w:hAnsi="Times New Roman"/>
          <w:sz w:val="28"/>
          <w:szCs w:val="28"/>
        </w:rPr>
        <w:t>are detailed hereunder only insofar as is considered relevant for present purposes.</w:t>
      </w:r>
    </w:p>
    <w:p w:rsidR="009414CB"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[16]</w:t>
      </w:r>
      <w:r>
        <w:rPr>
          <w:rFonts w:ascii="Times New Roman" w:hAnsi="Times New Roman"/>
          <w:sz w:val="28"/>
          <w:szCs w:val="28"/>
        </w:rPr>
        <w:tab/>
      </w:r>
      <w:r w:rsidR="00AF6B95">
        <w:rPr>
          <w:rFonts w:ascii="Times New Roman" w:hAnsi="Times New Roman"/>
          <w:sz w:val="28"/>
          <w:szCs w:val="28"/>
        </w:rPr>
        <w:t>To begin with, t</w:t>
      </w:r>
      <w:r w:rsidR="00BF1FBF">
        <w:rPr>
          <w:rFonts w:ascii="Times New Roman" w:hAnsi="Times New Roman"/>
          <w:sz w:val="28"/>
          <w:szCs w:val="28"/>
        </w:rPr>
        <w:t xml:space="preserve">he Trust’s indebtedness </w:t>
      </w:r>
      <w:r w:rsidR="009414CB">
        <w:rPr>
          <w:rFonts w:ascii="Times New Roman" w:hAnsi="Times New Roman"/>
          <w:sz w:val="28"/>
          <w:szCs w:val="28"/>
        </w:rPr>
        <w:t xml:space="preserve">to GWK </w:t>
      </w:r>
      <w:r w:rsidR="00BF1FBF">
        <w:rPr>
          <w:rFonts w:ascii="Times New Roman" w:hAnsi="Times New Roman"/>
          <w:sz w:val="28"/>
          <w:szCs w:val="28"/>
        </w:rPr>
        <w:t xml:space="preserve">arose </w:t>
      </w:r>
      <w:r w:rsidR="006E0B2A">
        <w:rPr>
          <w:rFonts w:ascii="Times New Roman" w:hAnsi="Times New Roman"/>
          <w:sz w:val="28"/>
          <w:szCs w:val="28"/>
        </w:rPr>
        <w:t xml:space="preserve">essentially </w:t>
      </w:r>
      <w:r w:rsidR="00BF1FBF">
        <w:rPr>
          <w:rFonts w:ascii="Times New Roman" w:hAnsi="Times New Roman"/>
          <w:sz w:val="28"/>
          <w:szCs w:val="28"/>
        </w:rPr>
        <w:t>from</w:t>
      </w:r>
      <w:r w:rsidR="00573E31">
        <w:rPr>
          <w:rFonts w:ascii="Times New Roman" w:hAnsi="Times New Roman"/>
          <w:sz w:val="28"/>
          <w:szCs w:val="28"/>
        </w:rPr>
        <w:t xml:space="preserve"> a security bond registered in favour of GWK over the Farm</w:t>
      </w:r>
      <w:r w:rsidR="00380841">
        <w:rPr>
          <w:rFonts w:ascii="Times New Roman" w:hAnsi="Times New Roman"/>
          <w:sz w:val="28"/>
          <w:szCs w:val="28"/>
        </w:rPr>
        <w:t>, and</w:t>
      </w:r>
      <w:r w:rsidR="00BF1FBF">
        <w:rPr>
          <w:rFonts w:ascii="Times New Roman" w:hAnsi="Times New Roman"/>
          <w:sz w:val="28"/>
          <w:szCs w:val="28"/>
        </w:rPr>
        <w:t xml:space="preserve"> </w:t>
      </w:r>
      <w:r w:rsidR="006E0B2A">
        <w:rPr>
          <w:rFonts w:ascii="Times New Roman" w:hAnsi="Times New Roman"/>
          <w:sz w:val="28"/>
          <w:szCs w:val="28"/>
        </w:rPr>
        <w:t>a credit agreement between itself and GWK</w:t>
      </w:r>
      <w:r w:rsidR="00380841">
        <w:rPr>
          <w:rFonts w:ascii="Times New Roman" w:hAnsi="Times New Roman"/>
          <w:sz w:val="28"/>
          <w:szCs w:val="28"/>
        </w:rPr>
        <w:t>,</w:t>
      </w:r>
      <w:r w:rsidR="006E0B2A">
        <w:rPr>
          <w:rFonts w:ascii="Times New Roman" w:hAnsi="Times New Roman"/>
          <w:sz w:val="28"/>
          <w:szCs w:val="28"/>
        </w:rPr>
        <w:t xml:space="preserve"> as also agreements of </w:t>
      </w:r>
      <w:r w:rsidR="00AF6B95">
        <w:rPr>
          <w:rFonts w:ascii="Times New Roman" w:hAnsi="Times New Roman"/>
          <w:sz w:val="28"/>
          <w:szCs w:val="28"/>
        </w:rPr>
        <w:t xml:space="preserve">suretyship in which it, </w:t>
      </w:r>
      <w:r w:rsidR="00283DE9">
        <w:rPr>
          <w:rFonts w:ascii="Times New Roman" w:hAnsi="Times New Roman"/>
          <w:sz w:val="28"/>
          <w:szCs w:val="28"/>
        </w:rPr>
        <w:t>including Viljoen Snr and his spouse</w:t>
      </w:r>
      <w:r w:rsidR="00AF6B95">
        <w:rPr>
          <w:rFonts w:ascii="Times New Roman" w:hAnsi="Times New Roman"/>
          <w:sz w:val="28"/>
          <w:szCs w:val="28"/>
        </w:rPr>
        <w:t>,</w:t>
      </w:r>
      <w:r w:rsidR="00283DE9">
        <w:rPr>
          <w:rFonts w:ascii="Times New Roman" w:hAnsi="Times New Roman"/>
          <w:sz w:val="28"/>
          <w:szCs w:val="28"/>
        </w:rPr>
        <w:t xml:space="preserve"> </w:t>
      </w:r>
      <w:r w:rsidR="00BF1FBF">
        <w:rPr>
          <w:rFonts w:ascii="Times New Roman" w:hAnsi="Times New Roman"/>
          <w:sz w:val="28"/>
          <w:szCs w:val="28"/>
        </w:rPr>
        <w:t xml:space="preserve">bound </w:t>
      </w:r>
      <w:r w:rsidR="00AF6B95">
        <w:rPr>
          <w:rFonts w:ascii="Times New Roman" w:hAnsi="Times New Roman"/>
          <w:sz w:val="28"/>
          <w:szCs w:val="28"/>
        </w:rPr>
        <w:t xml:space="preserve">themselves </w:t>
      </w:r>
      <w:r w:rsidR="00BF1FBF">
        <w:rPr>
          <w:rFonts w:ascii="Times New Roman" w:hAnsi="Times New Roman"/>
          <w:sz w:val="28"/>
          <w:szCs w:val="28"/>
        </w:rPr>
        <w:t>jointly and severally with an entity known as KNB Farming (Pty) Ltd</w:t>
      </w:r>
      <w:r w:rsidR="009B0EB5">
        <w:rPr>
          <w:rFonts w:ascii="Times New Roman" w:hAnsi="Times New Roman"/>
          <w:sz w:val="28"/>
          <w:szCs w:val="28"/>
        </w:rPr>
        <w:t xml:space="preserve"> in favour of GWK for the due and punctual payment of all financial obligations </w:t>
      </w:r>
      <w:r w:rsidR="002F1532">
        <w:rPr>
          <w:rFonts w:ascii="Times New Roman" w:hAnsi="Times New Roman"/>
          <w:sz w:val="28"/>
          <w:szCs w:val="28"/>
        </w:rPr>
        <w:t xml:space="preserve">owed to the latter by </w:t>
      </w:r>
      <w:r w:rsidR="009B0EB5">
        <w:rPr>
          <w:rFonts w:ascii="Times New Roman" w:hAnsi="Times New Roman"/>
          <w:sz w:val="28"/>
          <w:szCs w:val="28"/>
        </w:rPr>
        <w:t>KNB</w:t>
      </w:r>
      <w:r w:rsidR="002F1532">
        <w:rPr>
          <w:rFonts w:ascii="Times New Roman" w:hAnsi="Times New Roman"/>
          <w:sz w:val="28"/>
          <w:szCs w:val="28"/>
        </w:rPr>
        <w:t>.</w:t>
      </w:r>
    </w:p>
    <w:p w:rsidR="008C47F4"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FE1EB1">
        <w:rPr>
          <w:rFonts w:ascii="Times New Roman" w:hAnsi="Times New Roman"/>
          <w:sz w:val="28"/>
          <w:szCs w:val="28"/>
        </w:rPr>
        <w:t>Subsequent to the grant of summary judgment</w:t>
      </w:r>
      <w:r w:rsidR="00E80DE5">
        <w:rPr>
          <w:rFonts w:ascii="Times New Roman" w:hAnsi="Times New Roman"/>
          <w:sz w:val="28"/>
          <w:szCs w:val="28"/>
        </w:rPr>
        <w:t xml:space="preserve">, </w:t>
      </w:r>
      <w:r w:rsidR="00613F80">
        <w:rPr>
          <w:rFonts w:ascii="Times New Roman" w:hAnsi="Times New Roman"/>
          <w:sz w:val="28"/>
          <w:szCs w:val="28"/>
        </w:rPr>
        <w:t xml:space="preserve">an agreement concluded between the </w:t>
      </w:r>
      <w:r w:rsidR="008947DC">
        <w:rPr>
          <w:rFonts w:ascii="Times New Roman" w:hAnsi="Times New Roman"/>
          <w:sz w:val="28"/>
          <w:szCs w:val="28"/>
        </w:rPr>
        <w:t>Trust</w:t>
      </w:r>
      <w:r w:rsidR="00613F80">
        <w:rPr>
          <w:rFonts w:ascii="Times New Roman" w:hAnsi="Times New Roman"/>
          <w:sz w:val="28"/>
          <w:szCs w:val="28"/>
        </w:rPr>
        <w:t xml:space="preserve"> and Soleil on 6</w:t>
      </w:r>
      <w:r w:rsidR="004D659D">
        <w:rPr>
          <w:rFonts w:ascii="Times New Roman" w:hAnsi="Times New Roman"/>
          <w:sz w:val="28"/>
          <w:szCs w:val="28"/>
        </w:rPr>
        <w:t> </w:t>
      </w:r>
      <w:r w:rsidR="00FE1EB1">
        <w:rPr>
          <w:rFonts w:ascii="Times New Roman" w:hAnsi="Times New Roman"/>
          <w:sz w:val="28"/>
          <w:szCs w:val="28"/>
        </w:rPr>
        <w:t>February 2018</w:t>
      </w:r>
      <w:r w:rsidR="00613F80">
        <w:rPr>
          <w:rFonts w:ascii="Times New Roman" w:hAnsi="Times New Roman"/>
          <w:sz w:val="28"/>
          <w:szCs w:val="28"/>
        </w:rPr>
        <w:t xml:space="preserve"> </w:t>
      </w:r>
      <w:r w:rsidR="00D97FE7">
        <w:rPr>
          <w:rFonts w:ascii="Times New Roman" w:hAnsi="Times New Roman"/>
          <w:sz w:val="28"/>
          <w:szCs w:val="28"/>
        </w:rPr>
        <w:t xml:space="preserve">initiated the sale of </w:t>
      </w:r>
      <w:r w:rsidR="00613F80">
        <w:rPr>
          <w:rFonts w:ascii="Times New Roman" w:hAnsi="Times New Roman"/>
          <w:sz w:val="28"/>
          <w:szCs w:val="28"/>
        </w:rPr>
        <w:t xml:space="preserve">the subject properties to </w:t>
      </w:r>
      <w:r w:rsidR="0030679C">
        <w:rPr>
          <w:rFonts w:ascii="Times New Roman" w:hAnsi="Times New Roman"/>
          <w:sz w:val="28"/>
          <w:szCs w:val="28"/>
        </w:rPr>
        <w:t>Soleil</w:t>
      </w:r>
      <w:r w:rsidR="00613F80">
        <w:rPr>
          <w:rFonts w:ascii="Times New Roman" w:hAnsi="Times New Roman"/>
          <w:sz w:val="28"/>
          <w:szCs w:val="28"/>
        </w:rPr>
        <w:t xml:space="preserve"> for the amount of R4 million.</w:t>
      </w:r>
      <w:r w:rsidR="00BD793E">
        <w:rPr>
          <w:rFonts w:ascii="Times New Roman" w:hAnsi="Times New Roman"/>
          <w:sz w:val="28"/>
          <w:szCs w:val="28"/>
        </w:rPr>
        <w:t xml:space="preserve"> </w:t>
      </w:r>
      <w:r w:rsidR="00C9551A">
        <w:rPr>
          <w:rFonts w:ascii="Times New Roman" w:hAnsi="Times New Roman"/>
          <w:sz w:val="28"/>
          <w:szCs w:val="28"/>
        </w:rPr>
        <w:t>In the founding affidavit it is asserted that t</w:t>
      </w:r>
      <w:r w:rsidR="00C52188">
        <w:rPr>
          <w:rFonts w:ascii="Times New Roman" w:hAnsi="Times New Roman"/>
          <w:sz w:val="28"/>
          <w:szCs w:val="28"/>
        </w:rPr>
        <w:t xml:space="preserve">he amount was never paid by Soleil to the </w:t>
      </w:r>
      <w:r w:rsidR="008947DC">
        <w:rPr>
          <w:rFonts w:ascii="Times New Roman" w:hAnsi="Times New Roman"/>
          <w:sz w:val="28"/>
          <w:szCs w:val="28"/>
        </w:rPr>
        <w:t>Trust</w:t>
      </w:r>
      <w:r w:rsidR="00D97FE7">
        <w:rPr>
          <w:rFonts w:ascii="Times New Roman" w:hAnsi="Times New Roman"/>
          <w:sz w:val="28"/>
          <w:szCs w:val="28"/>
        </w:rPr>
        <w:t xml:space="preserve">, that Soleil </w:t>
      </w:r>
      <w:r w:rsidR="00266696">
        <w:rPr>
          <w:rFonts w:ascii="Times New Roman" w:hAnsi="Times New Roman"/>
          <w:sz w:val="28"/>
          <w:szCs w:val="28"/>
        </w:rPr>
        <w:t>did not apply</w:t>
      </w:r>
      <w:r w:rsidR="00D97FE7">
        <w:rPr>
          <w:rFonts w:ascii="Times New Roman" w:hAnsi="Times New Roman"/>
          <w:sz w:val="28"/>
          <w:szCs w:val="28"/>
        </w:rPr>
        <w:t xml:space="preserve"> for finance as it was obliged to do, </w:t>
      </w:r>
      <w:r w:rsidR="00266696">
        <w:rPr>
          <w:rFonts w:ascii="Times New Roman" w:hAnsi="Times New Roman"/>
          <w:sz w:val="28"/>
          <w:szCs w:val="28"/>
        </w:rPr>
        <w:t>n</w:t>
      </w:r>
      <w:r w:rsidR="00D97FE7">
        <w:rPr>
          <w:rFonts w:ascii="Times New Roman" w:hAnsi="Times New Roman"/>
          <w:sz w:val="28"/>
          <w:szCs w:val="28"/>
        </w:rPr>
        <w:t>or</w:t>
      </w:r>
      <w:r w:rsidR="00266696">
        <w:rPr>
          <w:rFonts w:ascii="Times New Roman" w:hAnsi="Times New Roman"/>
          <w:sz w:val="28"/>
          <w:szCs w:val="28"/>
        </w:rPr>
        <w:t xml:space="preserve"> did it secure</w:t>
      </w:r>
      <w:r w:rsidR="00D97FE7">
        <w:rPr>
          <w:rFonts w:ascii="Times New Roman" w:hAnsi="Times New Roman"/>
          <w:sz w:val="28"/>
          <w:szCs w:val="28"/>
        </w:rPr>
        <w:t xml:space="preserve"> the purchase price by way of bank guarantees which it failed to put up</w:t>
      </w:r>
      <w:r w:rsidR="00266696">
        <w:rPr>
          <w:rFonts w:ascii="Times New Roman" w:hAnsi="Times New Roman"/>
          <w:sz w:val="28"/>
          <w:szCs w:val="28"/>
        </w:rPr>
        <w:t>,</w:t>
      </w:r>
      <w:r w:rsidR="00D97FE7">
        <w:rPr>
          <w:rFonts w:ascii="Times New Roman" w:hAnsi="Times New Roman"/>
          <w:sz w:val="28"/>
          <w:szCs w:val="28"/>
        </w:rPr>
        <w:t xml:space="preserve"> </w:t>
      </w:r>
      <w:r w:rsidR="00C63333">
        <w:rPr>
          <w:rFonts w:ascii="Times New Roman" w:hAnsi="Times New Roman"/>
          <w:sz w:val="28"/>
          <w:szCs w:val="28"/>
        </w:rPr>
        <w:t xml:space="preserve">but that the subject properties were notwithstanding transferred from the </w:t>
      </w:r>
      <w:r w:rsidR="008947DC">
        <w:rPr>
          <w:rFonts w:ascii="Times New Roman" w:hAnsi="Times New Roman"/>
          <w:sz w:val="28"/>
          <w:szCs w:val="28"/>
        </w:rPr>
        <w:t>Trust</w:t>
      </w:r>
      <w:r w:rsidR="00C63333">
        <w:rPr>
          <w:rFonts w:ascii="Times New Roman" w:hAnsi="Times New Roman"/>
          <w:sz w:val="28"/>
          <w:szCs w:val="28"/>
        </w:rPr>
        <w:t xml:space="preserve"> to Soleil</w:t>
      </w:r>
      <w:r w:rsidR="00C63333" w:rsidRPr="00C63333">
        <w:rPr>
          <w:rFonts w:ascii="Times New Roman" w:hAnsi="Times New Roman"/>
          <w:sz w:val="28"/>
          <w:szCs w:val="28"/>
        </w:rPr>
        <w:t xml:space="preserve"> </w:t>
      </w:r>
      <w:r w:rsidR="00C63333">
        <w:rPr>
          <w:rFonts w:ascii="Times New Roman" w:hAnsi="Times New Roman"/>
          <w:sz w:val="28"/>
          <w:szCs w:val="28"/>
        </w:rPr>
        <w:t xml:space="preserve">on 31 July 2018. </w:t>
      </w:r>
      <w:r w:rsidR="00A7607F">
        <w:rPr>
          <w:rFonts w:ascii="Times New Roman" w:hAnsi="Times New Roman"/>
          <w:sz w:val="28"/>
          <w:szCs w:val="28"/>
        </w:rPr>
        <w:t>To the contrary</w:t>
      </w:r>
      <w:r w:rsidR="004D659D">
        <w:rPr>
          <w:rFonts w:ascii="Times New Roman" w:hAnsi="Times New Roman"/>
          <w:sz w:val="28"/>
          <w:szCs w:val="28"/>
        </w:rPr>
        <w:t>,</w:t>
      </w:r>
      <w:r w:rsidR="00A7607F">
        <w:rPr>
          <w:rFonts w:ascii="Times New Roman" w:hAnsi="Times New Roman"/>
          <w:sz w:val="28"/>
          <w:szCs w:val="28"/>
        </w:rPr>
        <w:t xml:space="preserve"> the version by </w:t>
      </w:r>
      <w:r w:rsidR="00555445">
        <w:rPr>
          <w:rFonts w:ascii="Times New Roman" w:hAnsi="Times New Roman"/>
          <w:sz w:val="28"/>
          <w:szCs w:val="28"/>
        </w:rPr>
        <w:t>FRB</w:t>
      </w:r>
      <w:r w:rsidR="00A7607F">
        <w:rPr>
          <w:rFonts w:ascii="Times New Roman" w:hAnsi="Times New Roman"/>
          <w:sz w:val="28"/>
          <w:szCs w:val="28"/>
        </w:rPr>
        <w:t xml:space="preserve"> is that </w:t>
      </w:r>
      <w:r w:rsidR="00BD793E" w:rsidRPr="004A508F">
        <w:rPr>
          <w:rFonts w:ascii="Times New Roman" w:hAnsi="Times New Roman"/>
          <w:sz w:val="28"/>
          <w:szCs w:val="28"/>
        </w:rPr>
        <w:t xml:space="preserve">the </w:t>
      </w:r>
      <w:r w:rsidR="00C9551A" w:rsidRPr="004A508F">
        <w:rPr>
          <w:rFonts w:ascii="Times New Roman" w:hAnsi="Times New Roman"/>
          <w:sz w:val="28"/>
          <w:szCs w:val="28"/>
        </w:rPr>
        <w:t>amount of R4</w:t>
      </w:r>
      <w:r w:rsidR="00817DEB" w:rsidRPr="004A508F">
        <w:rPr>
          <w:rFonts w:ascii="Times New Roman" w:hAnsi="Times New Roman"/>
          <w:sz w:val="28"/>
          <w:szCs w:val="28"/>
        </w:rPr>
        <w:t xml:space="preserve"> million</w:t>
      </w:r>
      <w:r w:rsidR="00C9551A" w:rsidRPr="004A508F">
        <w:rPr>
          <w:rFonts w:ascii="Times New Roman" w:hAnsi="Times New Roman"/>
          <w:sz w:val="28"/>
          <w:szCs w:val="28"/>
        </w:rPr>
        <w:t xml:space="preserve"> was paid by </w:t>
      </w:r>
      <w:r w:rsidR="00A7607F">
        <w:rPr>
          <w:rFonts w:ascii="Times New Roman" w:hAnsi="Times New Roman"/>
          <w:sz w:val="28"/>
          <w:szCs w:val="28"/>
        </w:rPr>
        <w:t>it</w:t>
      </w:r>
      <w:r w:rsidR="00C9551A" w:rsidRPr="004A508F">
        <w:rPr>
          <w:rFonts w:ascii="Times New Roman" w:hAnsi="Times New Roman"/>
          <w:sz w:val="28"/>
          <w:szCs w:val="28"/>
        </w:rPr>
        <w:t xml:space="preserve"> by means of the honouring of guarantees</w:t>
      </w:r>
      <w:r w:rsidR="003940E4" w:rsidRPr="004A508F">
        <w:rPr>
          <w:rFonts w:ascii="Times New Roman" w:hAnsi="Times New Roman"/>
          <w:sz w:val="28"/>
          <w:szCs w:val="28"/>
        </w:rPr>
        <w:t xml:space="preserve">, one of which was in favour of ABSA Bank for the credit of the account of the </w:t>
      </w:r>
      <w:r w:rsidR="008947DC">
        <w:rPr>
          <w:rFonts w:ascii="Times New Roman" w:hAnsi="Times New Roman"/>
          <w:sz w:val="28"/>
          <w:szCs w:val="28"/>
        </w:rPr>
        <w:t>Trust</w:t>
      </w:r>
      <w:r w:rsidR="003940E4" w:rsidRPr="004A508F">
        <w:rPr>
          <w:rFonts w:ascii="Times New Roman" w:hAnsi="Times New Roman"/>
          <w:sz w:val="28"/>
          <w:szCs w:val="28"/>
        </w:rPr>
        <w:t xml:space="preserve"> for the amount of R1.1 million</w:t>
      </w:r>
      <w:r w:rsidR="00817DEB" w:rsidRPr="004A508F">
        <w:rPr>
          <w:rFonts w:ascii="Times New Roman" w:hAnsi="Times New Roman"/>
          <w:sz w:val="28"/>
          <w:szCs w:val="28"/>
        </w:rPr>
        <w:t xml:space="preserve">. This amount was </w:t>
      </w:r>
      <w:r w:rsidR="003940E4" w:rsidRPr="004A508F">
        <w:rPr>
          <w:rFonts w:ascii="Times New Roman" w:hAnsi="Times New Roman"/>
          <w:sz w:val="28"/>
          <w:szCs w:val="28"/>
        </w:rPr>
        <w:t>paid to cancel the bond over the subject properties in favour of ABSA.</w:t>
      </w:r>
    </w:p>
    <w:p w:rsidR="006272AA"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A7607F">
        <w:rPr>
          <w:rFonts w:ascii="Times New Roman" w:hAnsi="Times New Roman"/>
          <w:sz w:val="28"/>
          <w:szCs w:val="28"/>
        </w:rPr>
        <w:t>Although there is a dispute about the payment of the purchase price</w:t>
      </w:r>
      <w:r w:rsidR="008C47F4">
        <w:rPr>
          <w:rFonts w:ascii="Times New Roman" w:hAnsi="Times New Roman"/>
          <w:sz w:val="28"/>
          <w:szCs w:val="28"/>
        </w:rPr>
        <w:t xml:space="preserve"> to the </w:t>
      </w:r>
      <w:r w:rsidR="008947DC">
        <w:rPr>
          <w:rFonts w:ascii="Times New Roman" w:hAnsi="Times New Roman"/>
          <w:sz w:val="28"/>
          <w:szCs w:val="28"/>
        </w:rPr>
        <w:t>Trust</w:t>
      </w:r>
      <w:r w:rsidR="00A1716C">
        <w:rPr>
          <w:rFonts w:ascii="Times New Roman" w:hAnsi="Times New Roman"/>
          <w:sz w:val="28"/>
          <w:szCs w:val="28"/>
        </w:rPr>
        <w:t xml:space="preserve">, </w:t>
      </w:r>
      <w:r w:rsidR="008C47F4">
        <w:rPr>
          <w:rFonts w:ascii="Times New Roman" w:hAnsi="Times New Roman"/>
          <w:sz w:val="28"/>
          <w:szCs w:val="28"/>
        </w:rPr>
        <w:t xml:space="preserve">upon </w:t>
      </w:r>
      <w:r w:rsidR="000B4510">
        <w:rPr>
          <w:rFonts w:ascii="Times New Roman" w:hAnsi="Times New Roman"/>
          <w:sz w:val="28"/>
          <w:szCs w:val="28"/>
        </w:rPr>
        <w:t>transfer</w:t>
      </w:r>
      <w:r w:rsidR="00A1716C">
        <w:rPr>
          <w:rFonts w:ascii="Times New Roman" w:hAnsi="Times New Roman"/>
          <w:sz w:val="28"/>
          <w:szCs w:val="28"/>
        </w:rPr>
        <w:t xml:space="preserve"> of the subject properties</w:t>
      </w:r>
      <w:r w:rsidR="000B4510">
        <w:rPr>
          <w:rFonts w:ascii="Times New Roman" w:hAnsi="Times New Roman"/>
          <w:sz w:val="28"/>
          <w:szCs w:val="28"/>
        </w:rPr>
        <w:t xml:space="preserve"> a bond was </w:t>
      </w:r>
      <w:r w:rsidR="00A1716C">
        <w:rPr>
          <w:rFonts w:ascii="Times New Roman" w:hAnsi="Times New Roman"/>
          <w:sz w:val="28"/>
          <w:szCs w:val="28"/>
        </w:rPr>
        <w:t xml:space="preserve">simultaneously </w:t>
      </w:r>
      <w:r w:rsidR="000B4510">
        <w:rPr>
          <w:rFonts w:ascii="Times New Roman" w:hAnsi="Times New Roman"/>
          <w:sz w:val="28"/>
          <w:szCs w:val="28"/>
        </w:rPr>
        <w:t xml:space="preserve">registered over the properties in favour of </w:t>
      </w:r>
      <w:r w:rsidR="00555445">
        <w:rPr>
          <w:rFonts w:ascii="Times New Roman" w:hAnsi="Times New Roman"/>
          <w:sz w:val="28"/>
          <w:szCs w:val="28"/>
        </w:rPr>
        <w:t>FRB</w:t>
      </w:r>
      <w:r w:rsidR="000B4510">
        <w:rPr>
          <w:rFonts w:ascii="Times New Roman" w:hAnsi="Times New Roman"/>
          <w:sz w:val="28"/>
          <w:szCs w:val="28"/>
        </w:rPr>
        <w:t>.</w:t>
      </w:r>
      <w:r w:rsidR="00412468">
        <w:rPr>
          <w:rFonts w:ascii="Times New Roman" w:hAnsi="Times New Roman"/>
          <w:sz w:val="28"/>
          <w:szCs w:val="28"/>
        </w:rPr>
        <w:t xml:space="preserve"> </w:t>
      </w:r>
      <w:r w:rsidR="0095649A">
        <w:rPr>
          <w:rFonts w:ascii="Times New Roman" w:hAnsi="Times New Roman"/>
          <w:sz w:val="28"/>
          <w:szCs w:val="28"/>
        </w:rPr>
        <w:t xml:space="preserve">I add that the dispute regarding payment of the purchase price is resolved in favour of FRB on the basis of the well-known </w:t>
      </w:r>
      <w:r w:rsidR="0095649A" w:rsidRPr="000F1466">
        <w:rPr>
          <w:rFonts w:ascii="Times New Roman" w:hAnsi="Times New Roman"/>
          <w:i/>
          <w:sz w:val="28"/>
          <w:szCs w:val="28"/>
        </w:rPr>
        <w:t>Plascon</w:t>
      </w:r>
      <w:r w:rsidR="000F1466" w:rsidRPr="000F1466">
        <w:rPr>
          <w:rFonts w:ascii="Times New Roman" w:hAnsi="Times New Roman"/>
          <w:i/>
          <w:sz w:val="28"/>
          <w:szCs w:val="28"/>
        </w:rPr>
        <w:t>-</w:t>
      </w:r>
      <w:r w:rsidR="0095649A" w:rsidRPr="000F1466">
        <w:rPr>
          <w:rFonts w:ascii="Times New Roman" w:hAnsi="Times New Roman"/>
          <w:i/>
          <w:sz w:val="28"/>
          <w:szCs w:val="28"/>
        </w:rPr>
        <w:t>Evans</w:t>
      </w:r>
      <w:r w:rsidR="0095649A">
        <w:rPr>
          <w:rFonts w:ascii="Times New Roman" w:hAnsi="Times New Roman"/>
          <w:sz w:val="28"/>
          <w:szCs w:val="28"/>
        </w:rPr>
        <w:t xml:space="preserve"> rule.</w:t>
      </w:r>
      <w:r w:rsidR="0095649A">
        <w:rPr>
          <w:rStyle w:val="FootnoteReference"/>
          <w:rFonts w:ascii="Times New Roman" w:hAnsi="Times New Roman"/>
          <w:sz w:val="28"/>
          <w:szCs w:val="28"/>
        </w:rPr>
        <w:footnoteReference w:id="2"/>
      </w:r>
      <w:r w:rsidR="0095649A">
        <w:rPr>
          <w:rFonts w:ascii="Times New Roman" w:hAnsi="Times New Roman"/>
          <w:sz w:val="28"/>
          <w:szCs w:val="28"/>
        </w:rPr>
        <w:t xml:space="preserve"> </w:t>
      </w:r>
      <w:r w:rsidR="008A06FB">
        <w:rPr>
          <w:rFonts w:ascii="Times New Roman" w:hAnsi="Times New Roman"/>
          <w:sz w:val="28"/>
          <w:szCs w:val="28"/>
        </w:rPr>
        <w:t>I</w:t>
      </w:r>
      <w:r w:rsidR="00A1716C">
        <w:rPr>
          <w:rFonts w:ascii="Times New Roman" w:hAnsi="Times New Roman"/>
          <w:sz w:val="28"/>
          <w:szCs w:val="28"/>
        </w:rPr>
        <w:t>t is stated</w:t>
      </w:r>
      <w:r w:rsidR="008A06FB" w:rsidRPr="008A06FB">
        <w:rPr>
          <w:rFonts w:ascii="Times New Roman" w:hAnsi="Times New Roman"/>
          <w:sz w:val="28"/>
          <w:szCs w:val="28"/>
        </w:rPr>
        <w:t xml:space="preserve"> </w:t>
      </w:r>
      <w:r w:rsidR="008A06FB">
        <w:rPr>
          <w:rFonts w:ascii="Times New Roman" w:hAnsi="Times New Roman"/>
          <w:sz w:val="28"/>
          <w:szCs w:val="28"/>
        </w:rPr>
        <w:t>elsewhere in the founding affidavit that t</w:t>
      </w:r>
      <w:r w:rsidR="00412468">
        <w:rPr>
          <w:rFonts w:ascii="Times New Roman" w:hAnsi="Times New Roman"/>
          <w:sz w:val="28"/>
          <w:szCs w:val="28"/>
        </w:rPr>
        <w:t xml:space="preserve">he bond secured FRB in respect of a loan of </w:t>
      </w:r>
      <w:r w:rsidR="00412468">
        <w:rPr>
          <w:rFonts w:ascii="Times New Roman" w:hAnsi="Times New Roman"/>
          <w:sz w:val="28"/>
          <w:szCs w:val="28"/>
        </w:rPr>
        <w:lastRenderedPageBreak/>
        <w:t xml:space="preserve">R4 million </w:t>
      </w:r>
      <w:r w:rsidR="003D6CD6">
        <w:rPr>
          <w:rFonts w:ascii="Times New Roman" w:hAnsi="Times New Roman"/>
          <w:sz w:val="28"/>
          <w:szCs w:val="28"/>
        </w:rPr>
        <w:t xml:space="preserve">to Soleil </w:t>
      </w:r>
      <w:r w:rsidR="00412468">
        <w:rPr>
          <w:rFonts w:ascii="Times New Roman" w:hAnsi="Times New Roman"/>
          <w:sz w:val="28"/>
          <w:szCs w:val="28"/>
        </w:rPr>
        <w:t>and an overdraft facility of R500</w:t>
      </w:r>
      <w:r w:rsidR="003D6CD6">
        <w:rPr>
          <w:rFonts w:ascii="Times New Roman" w:hAnsi="Times New Roman"/>
          <w:sz w:val="28"/>
          <w:szCs w:val="28"/>
        </w:rPr>
        <w:t> </w:t>
      </w:r>
      <w:r w:rsidR="00412468">
        <w:rPr>
          <w:rFonts w:ascii="Times New Roman" w:hAnsi="Times New Roman"/>
          <w:sz w:val="28"/>
          <w:szCs w:val="28"/>
        </w:rPr>
        <w:t>000</w:t>
      </w:r>
      <w:r w:rsidR="003D6CD6">
        <w:rPr>
          <w:rFonts w:ascii="Times New Roman" w:hAnsi="Times New Roman"/>
          <w:sz w:val="28"/>
          <w:szCs w:val="28"/>
        </w:rPr>
        <w:t xml:space="preserve"> extended to Soleil.</w:t>
      </w:r>
    </w:p>
    <w:p w:rsidR="00B71F84"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B71F84">
        <w:rPr>
          <w:rFonts w:ascii="Times New Roman" w:hAnsi="Times New Roman"/>
          <w:sz w:val="28"/>
          <w:szCs w:val="28"/>
        </w:rPr>
        <w:t>In pursuance of its judgment GWK instructed the sheriff to sell the F</w:t>
      </w:r>
      <w:r w:rsidR="009D1792">
        <w:rPr>
          <w:rFonts w:ascii="Times New Roman" w:hAnsi="Times New Roman"/>
          <w:sz w:val="28"/>
          <w:szCs w:val="28"/>
        </w:rPr>
        <w:t xml:space="preserve">arm. A sale in execution was scheduled to take place on 3 August 2018 but on 30 July 2018 the </w:t>
      </w:r>
      <w:r w:rsidR="008947DC">
        <w:rPr>
          <w:rFonts w:ascii="Times New Roman" w:hAnsi="Times New Roman"/>
          <w:sz w:val="28"/>
          <w:szCs w:val="28"/>
        </w:rPr>
        <w:t>Trust</w:t>
      </w:r>
      <w:r w:rsidR="009D1792">
        <w:rPr>
          <w:rFonts w:ascii="Times New Roman" w:hAnsi="Times New Roman"/>
          <w:sz w:val="28"/>
          <w:szCs w:val="28"/>
        </w:rPr>
        <w:t xml:space="preserve"> launched an </w:t>
      </w:r>
      <w:r w:rsidR="00DC4400">
        <w:rPr>
          <w:rFonts w:ascii="Times New Roman" w:hAnsi="Times New Roman"/>
          <w:sz w:val="28"/>
          <w:szCs w:val="28"/>
        </w:rPr>
        <w:t xml:space="preserve">(urgent) </w:t>
      </w:r>
      <w:r w:rsidR="009D1792">
        <w:rPr>
          <w:rFonts w:ascii="Times New Roman" w:hAnsi="Times New Roman"/>
          <w:sz w:val="28"/>
          <w:szCs w:val="28"/>
        </w:rPr>
        <w:t>application in which it sought an order to stay the sale in execution of the Farm.</w:t>
      </w:r>
      <w:r w:rsidR="00D61A94">
        <w:rPr>
          <w:rFonts w:ascii="Times New Roman" w:hAnsi="Times New Roman"/>
          <w:sz w:val="28"/>
          <w:szCs w:val="28"/>
        </w:rPr>
        <w:t xml:space="preserve"> That </w:t>
      </w:r>
      <w:r w:rsidR="00BD6214">
        <w:rPr>
          <w:rFonts w:ascii="Times New Roman" w:hAnsi="Times New Roman"/>
          <w:sz w:val="28"/>
          <w:szCs w:val="28"/>
        </w:rPr>
        <w:t>application was dismissed</w:t>
      </w:r>
      <w:r w:rsidR="00DC4400">
        <w:rPr>
          <w:rFonts w:ascii="Times New Roman" w:hAnsi="Times New Roman"/>
          <w:sz w:val="28"/>
          <w:szCs w:val="28"/>
        </w:rPr>
        <w:t xml:space="preserve">. The </w:t>
      </w:r>
      <w:r w:rsidR="00BD6214">
        <w:rPr>
          <w:rFonts w:ascii="Times New Roman" w:hAnsi="Times New Roman"/>
          <w:sz w:val="28"/>
          <w:szCs w:val="28"/>
        </w:rPr>
        <w:t>sale in execution proceeded</w:t>
      </w:r>
      <w:r w:rsidR="00DC4400">
        <w:rPr>
          <w:rFonts w:ascii="Times New Roman" w:hAnsi="Times New Roman"/>
          <w:sz w:val="28"/>
          <w:szCs w:val="28"/>
        </w:rPr>
        <w:t>,</w:t>
      </w:r>
      <w:r w:rsidR="00BD6214">
        <w:rPr>
          <w:rFonts w:ascii="Times New Roman" w:hAnsi="Times New Roman"/>
          <w:sz w:val="28"/>
          <w:szCs w:val="28"/>
        </w:rPr>
        <w:t xml:space="preserve"> though the highest offer made for the Farm approximated to 20% of GWK’s claim.</w:t>
      </w:r>
    </w:p>
    <w:p w:rsidR="00873DEB"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B85CC4">
        <w:rPr>
          <w:rFonts w:ascii="Times New Roman" w:hAnsi="Times New Roman"/>
          <w:sz w:val="28"/>
          <w:szCs w:val="28"/>
        </w:rPr>
        <w:t xml:space="preserve">In </w:t>
      </w:r>
      <w:r w:rsidR="00BD6214">
        <w:rPr>
          <w:rFonts w:ascii="Times New Roman" w:hAnsi="Times New Roman"/>
          <w:sz w:val="28"/>
          <w:szCs w:val="28"/>
        </w:rPr>
        <w:t xml:space="preserve">the </w:t>
      </w:r>
      <w:r w:rsidR="00E42E67">
        <w:rPr>
          <w:rFonts w:ascii="Times New Roman" w:hAnsi="Times New Roman"/>
          <w:sz w:val="28"/>
          <w:szCs w:val="28"/>
        </w:rPr>
        <w:t>application for the stay of the execution of the judgment</w:t>
      </w:r>
      <w:r w:rsidR="000528B6">
        <w:rPr>
          <w:rFonts w:ascii="Times New Roman" w:hAnsi="Times New Roman"/>
          <w:sz w:val="28"/>
          <w:szCs w:val="28"/>
        </w:rPr>
        <w:t xml:space="preserve">, Viljoen Snr – at the time a trustee of the </w:t>
      </w:r>
      <w:r w:rsidR="008947DC">
        <w:rPr>
          <w:rFonts w:ascii="Times New Roman" w:hAnsi="Times New Roman"/>
          <w:sz w:val="28"/>
          <w:szCs w:val="28"/>
        </w:rPr>
        <w:t>Trust</w:t>
      </w:r>
      <w:r w:rsidR="000528B6">
        <w:rPr>
          <w:rFonts w:ascii="Times New Roman" w:hAnsi="Times New Roman"/>
          <w:sz w:val="28"/>
          <w:szCs w:val="28"/>
        </w:rPr>
        <w:t xml:space="preserve"> – deposed to an affidavit</w:t>
      </w:r>
      <w:r w:rsidR="003942BD">
        <w:rPr>
          <w:rFonts w:ascii="Times New Roman" w:hAnsi="Times New Roman"/>
          <w:sz w:val="28"/>
          <w:szCs w:val="28"/>
        </w:rPr>
        <w:t xml:space="preserve">. </w:t>
      </w:r>
      <w:r w:rsidR="00454EA4">
        <w:rPr>
          <w:rFonts w:ascii="Times New Roman" w:hAnsi="Times New Roman"/>
          <w:sz w:val="28"/>
          <w:szCs w:val="28"/>
        </w:rPr>
        <w:t>That affidavit together with its annexures</w:t>
      </w:r>
      <w:r w:rsidR="007A073B">
        <w:rPr>
          <w:rFonts w:ascii="Times New Roman" w:hAnsi="Times New Roman"/>
          <w:sz w:val="28"/>
          <w:szCs w:val="28"/>
        </w:rPr>
        <w:t xml:space="preserve"> is attached to</w:t>
      </w:r>
      <w:r w:rsidR="00850202">
        <w:rPr>
          <w:rFonts w:ascii="Times New Roman" w:hAnsi="Times New Roman"/>
          <w:sz w:val="28"/>
          <w:szCs w:val="28"/>
        </w:rPr>
        <w:t xml:space="preserve"> the founding affidavit to the</w:t>
      </w:r>
      <w:r w:rsidR="007A073B">
        <w:rPr>
          <w:rFonts w:ascii="Times New Roman" w:hAnsi="Times New Roman"/>
          <w:sz w:val="28"/>
          <w:szCs w:val="28"/>
        </w:rPr>
        <w:t xml:space="preserve"> present application. </w:t>
      </w:r>
      <w:r w:rsidR="003942BD">
        <w:rPr>
          <w:rFonts w:ascii="Times New Roman" w:hAnsi="Times New Roman"/>
          <w:sz w:val="28"/>
          <w:szCs w:val="28"/>
        </w:rPr>
        <w:t xml:space="preserve">Extracts </w:t>
      </w:r>
      <w:r w:rsidR="007A073B">
        <w:rPr>
          <w:rFonts w:ascii="Times New Roman" w:hAnsi="Times New Roman"/>
          <w:sz w:val="28"/>
          <w:szCs w:val="28"/>
        </w:rPr>
        <w:t xml:space="preserve">from Viljoen Snr’s affidavit which are </w:t>
      </w:r>
      <w:r w:rsidR="003942BD">
        <w:rPr>
          <w:rFonts w:ascii="Times New Roman" w:hAnsi="Times New Roman"/>
          <w:sz w:val="28"/>
          <w:szCs w:val="28"/>
        </w:rPr>
        <w:t>qu</w:t>
      </w:r>
      <w:r w:rsidR="007A073B">
        <w:rPr>
          <w:rFonts w:ascii="Times New Roman" w:hAnsi="Times New Roman"/>
          <w:sz w:val="28"/>
          <w:szCs w:val="28"/>
        </w:rPr>
        <w:t xml:space="preserve">oted in the founding affidavit </w:t>
      </w:r>
      <w:r w:rsidR="003942BD">
        <w:rPr>
          <w:rFonts w:ascii="Times New Roman" w:hAnsi="Times New Roman"/>
          <w:sz w:val="28"/>
          <w:szCs w:val="28"/>
        </w:rPr>
        <w:t xml:space="preserve">are </w:t>
      </w:r>
      <w:r w:rsidR="00873DEB">
        <w:rPr>
          <w:rFonts w:ascii="Times New Roman" w:hAnsi="Times New Roman"/>
          <w:sz w:val="28"/>
          <w:szCs w:val="28"/>
        </w:rPr>
        <w:t xml:space="preserve">reproduced </w:t>
      </w:r>
      <w:r w:rsidR="003942BD">
        <w:rPr>
          <w:rFonts w:ascii="Times New Roman" w:hAnsi="Times New Roman"/>
          <w:sz w:val="28"/>
          <w:szCs w:val="28"/>
        </w:rPr>
        <w:t>herein</w:t>
      </w:r>
      <w:r w:rsidR="00850202">
        <w:rPr>
          <w:rFonts w:ascii="Times New Roman" w:hAnsi="Times New Roman"/>
          <w:sz w:val="28"/>
          <w:szCs w:val="28"/>
        </w:rPr>
        <w:t>,</w:t>
      </w:r>
      <w:r w:rsidR="007A073B">
        <w:rPr>
          <w:rFonts w:ascii="Times New Roman" w:hAnsi="Times New Roman"/>
          <w:sz w:val="28"/>
          <w:szCs w:val="28"/>
        </w:rPr>
        <w:t xml:space="preserve"> omitting of course</w:t>
      </w:r>
      <w:r w:rsidR="00873DEB">
        <w:rPr>
          <w:rFonts w:ascii="Times New Roman" w:hAnsi="Times New Roman"/>
          <w:sz w:val="28"/>
          <w:szCs w:val="28"/>
        </w:rPr>
        <w:t xml:space="preserve"> irrelevant wording:</w:t>
      </w:r>
    </w:p>
    <w:p w:rsidR="00A64097" w:rsidRPr="00981A07" w:rsidRDefault="00A64097" w:rsidP="00981A07">
      <w:pPr>
        <w:pStyle w:val="LegalList1"/>
        <w:spacing w:line="360" w:lineRule="auto"/>
        <w:ind w:left="1440" w:hanging="589"/>
        <w:rPr>
          <w:rFonts w:ascii="Times New Roman" w:hAnsi="Times New Roman"/>
        </w:rPr>
      </w:pPr>
      <w:r w:rsidRPr="00981A07">
        <w:rPr>
          <w:rFonts w:ascii="Times New Roman" w:hAnsi="Times New Roman"/>
        </w:rPr>
        <w:t>‘</w:t>
      </w:r>
      <w:r w:rsidR="00873DEB" w:rsidRPr="00981A07">
        <w:rPr>
          <w:rFonts w:ascii="Times New Roman" w:hAnsi="Times New Roman"/>
        </w:rPr>
        <w:t>10.</w:t>
      </w:r>
      <w:r w:rsidR="00873DEB" w:rsidRPr="00981A07">
        <w:rPr>
          <w:rFonts w:ascii="Times New Roman" w:hAnsi="Times New Roman"/>
        </w:rPr>
        <w:tab/>
        <w:t>The Trust had previously been represented by … an attorney</w:t>
      </w:r>
      <w:r w:rsidRPr="00981A07">
        <w:rPr>
          <w:rFonts w:ascii="Times New Roman" w:hAnsi="Times New Roman"/>
        </w:rPr>
        <w:t xml:space="preserve"> … in an ongoing transaction wherein the </w:t>
      </w:r>
      <w:r w:rsidR="008947DC">
        <w:rPr>
          <w:rFonts w:ascii="Times New Roman" w:hAnsi="Times New Roman"/>
        </w:rPr>
        <w:t>Trust</w:t>
      </w:r>
      <w:r w:rsidRPr="00981A07">
        <w:rPr>
          <w:rFonts w:ascii="Times New Roman" w:hAnsi="Times New Roman"/>
        </w:rPr>
        <w:t xml:space="preserve"> property was to be sold. The </w:t>
      </w:r>
      <w:r w:rsidR="008947DC">
        <w:rPr>
          <w:rFonts w:ascii="Times New Roman" w:hAnsi="Times New Roman"/>
        </w:rPr>
        <w:t>Trust</w:t>
      </w:r>
      <w:r w:rsidRPr="00981A07">
        <w:rPr>
          <w:rFonts w:ascii="Times New Roman" w:hAnsi="Times New Roman"/>
        </w:rPr>
        <w:t xml:space="preserve"> property comprise five farms … with a total value in excess of R100</w:t>
      </w:r>
      <w:r w:rsidR="00301DBB" w:rsidRPr="00981A07">
        <w:rPr>
          <w:rFonts w:ascii="Times New Roman" w:hAnsi="Times New Roman"/>
        </w:rPr>
        <w:t xml:space="preserve"> 000 </w:t>
      </w:r>
      <w:r w:rsidRPr="00981A07">
        <w:rPr>
          <w:rFonts w:ascii="Times New Roman" w:hAnsi="Times New Roman"/>
        </w:rPr>
        <w:t>…</w:t>
      </w:r>
    </w:p>
    <w:p w:rsidR="00A64097" w:rsidRPr="00981A07" w:rsidRDefault="00301DBB" w:rsidP="00850202">
      <w:pPr>
        <w:pStyle w:val="LegalList1"/>
        <w:spacing w:line="360" w:lineRule="auto"/>
        <w:ind w:left="851" w:firstLine="589"/>
        <w:rPr>
          <w:rFonts w:ascii="Times New Roman" w:hAnsi="Times New Roman"/>
        </w:rPr>
      </w:pPr>
      <w:r w:rsidRPr="00981A07">
        <w:rPr>
          <w:rFonts w:ascii="Times New Roman" w:hAnsi="Times New Roman"/>
        </w:rPr>
        <w:t>…</w:t>
      </w:r>
    </w:p>
    <w:p w:rsidR="00301DBB" w:rsidRPr="00981A07" w:rsidRDefault="00301DBB" w:rsidP="00981A07">
      <w:pPr>
        <w:pStyle w:val="LegalList1"/>
        <w:spacing w:line="360" w:lineRule="auto"/>
        <w:ind w:left="1440" w:hanging="589"/>
        <w:rPr>
          <w:rFonts w:ascii="Times New Roman" w:hAnsi="Times New Roman"/>
        </w:rPr>
      </w:pPr>
      <w:r w:rsidRPr="00981A07">
        <w:rPr>
          <w:rFonts w:ascii="Times New Roman" w:hAnsi="Times New Roman"/>
        </w:rPr>
        <w:t>22.</w:t>
      </w:r>
      <w:r w:rsidRPr="00981A07">
        <w:rPr>
          <w:rFonts w:ascii="Times New Roman" w:hAnsi="Times New Roman"/>
        </w:rPr>
        <w:tab/>
        <w:t xml:space="preserve">As the </w:t>
      </w:r>
      <w:r w:rsidR="008947DC">
        <w:rPr>
          <w:rFonts w:ascii="Times New Roman" w:hAnsi="Times New Roman"/>
        </w:rPr>
        <w:t>Trust</w:t>
      </w:r>
      <w:r w:rsidRPr="00981A07">
        <w:rPr>
          <w:rFonts w:ascii="Times New Roman" w:hAnsi="Times New Roman"/>
        </w:rPr>
        <w:t xml:space="preserve"> required money to ensure that it continued to be a going concern, it entered into an agreement of sale of the remaining 4 farms with Soleil … of which my sister Maria Johanna Groenewald, is the only shareholder and director, for a very low price of R4 000</w:t>
      </w:r>
      <w:r w:rsidR="009A29F0" w:rsidRPr="00981A07">
        <w:rPr>
          <w:rFonts w:ascii="Times New Roman" w:hAnsi="Times New Roman"/>
        </w:rPr>
        <w:t> </w:t>
      </w:r>
      <w:r w:rsidRPr="00981A07">
        <w:rPr>
          <w:rFonts w:ascii="Times New Roman" w:hAnsi="Times New Roman"/>
        </w:rPr>
        <w:t>000</w:t>
      </w:r>
      <w:r w:rsidR="009A29F0" w:rsidRPr="00981A07">
        <w:rPr>
          <w:rFonts w:ascii="Times New Roman" w:hAnsi="Times New Roman"/>
        </w:rPr>
        <w:t xml:space="preserve"> …</w:t>
      </w:r>
      <w:r w:rsidR="004443FE" w:rsidRPr="00981A07">
        <w:rPr>
          <w:rFonts w:ascii="Times New Roman" w:hAnsi="Times New Roman"/>
        </w:rPr>
        <w:t xml:space="preserve"> </w:t>
      </w:r>
    </w:p>
    <w:p w:rsidR="009A29F0" w:rsidRPr="00981A07" w:rsidRDefault="009A29F0" w:rsidP="00981A07">
      <w:pPr>
        <w:pStyle w:val="LegalList1"/>
        <w:spacing w:line="360" w:lineRule="auto"/>
        <w:ind w:left="1440" w:hanging="589"/>
        <w:rPr>
          <w:rFonts w:ascii="Times New Roman" w:hAnsi="Times New Roman"/>
        </w:rPr>
      </w:pPr>
      <w:r w:rsidRPr="00981A07">
        <w:rPr>
          <w:rFonts w:ascii="Times New Roman" w:hAnsi="Times New Roman"/>
        </w:rPr>
        <w:t>23.</w:t>
      </w:r>
      <w:r w:rsidRPr="00981A07">
        <w:rPr>
          <w:rFonts w:ascii="Times New Roman" w:hAnsi="Times New Roman"/>
        </w:rPr>
        <w:tab/>
        <w:t xml:space="preserve">The seller and the purchaser entered into an agreement that the </w:t>
      </w:r>
      <w:r w:rsidR="008947DC">
        <w:rPr>
          <w:rFonts w:ascii="Times New Roman" w:hAnsi="Times New Roman"/>
        </w:rPr>
        <w:t>Trust</w:t>
      </w:r>
      <w:r w:rsidRPr="00981A07">
        <w:rPr>
          <w:rFonts w:ascii="Times New Roman" w:hAnsi="Times New Roman"/>
        </w:rPr>
        <w:t xml:space="preserve"> or another entity or person nominated by the </w:t>
      </w:r>
      <w:r w:rsidR="008947DC">
        <w:rPr>
          <w:rFonts w:ascii="Times New Roman" w:hAnsi="Times New Roman"/>
        </w:rPr>
        <w:t>Trust</w:t>
      </w:r>
      <w:r w:rsidRPr="00981A07">
        <w:rPr>
          <w:rFonts w:ascii="Times New Roman" w:hAnsi="Times New Roman"/>
        </w:rPr>
        <w:t xml:space="preserve"> is entitled to repurchase the property at R4 000 000. Thus enabling the </w:t>
      </w:r>
      <w:r w:rsidR="008947DC">
        <w:rPr>
          <w:rFonts w:ascii="Times New Roman" w:hAnsi="Times New Roman"/>
        </w:rPr>
        <w:t>Trust</w:t>
      </w:r>
      <w:r w:rsidRPr="00981A07">
        <w:rPr>
          <w:rFonts w:ascii="Times New Roman" w:hAnsi="Times New Roman"/>
        </w:rPr>
        <w:t xml:space="preserve"> to sell all the farms as a unit when a purchaser is found.</w:t>
      </w:r>
    </w:p>
    <w:p w:rsidR="00B35AAA" w:rsidRPr="00981A07" w:rsidRDefault="00B35AAA" w:rsidP="00981A07">
      <w:pPr>
        <w:pStyle w:val="LegalList1"/>
        <w:spacing w:line="360" w:lineRule="auto"/>
        <w:ind w:left="1440" w:hanging="589"/>
        <w:rPr>
          <w:rFonts w:ascii="Times New Roman" w:hAnsi="Times New Roman"/>
        </w:rPr>
      </w:pPr>
      <w:r w:rsidRPr="00981A07">
        <w:rPr>
          <w:rFonts w:ascii="Times New Roman" w:hAnsi="Times New Roman"/>
        </w:rPr>
        <w:lastRenderedPageBreak/>
        <w:t>24.</w:t>
      </w:r>
      <w:r w:rsidRPr="00981A07">
        <w:rPr>
          <w:rFonts w:ascii="Times New Roman" w:hAnsi="Times New Roman"/>
        </w:rPr>
        <w:tab/>
        <w:t>These favourable terms were given to the Trust because of the close relationship I have with my sister.</w:t>
      </w:r>
    </w:p>
    <w:p w:rsidR="00B35AAA" w:rsidRPr="00981A07" w:rsidRDefault="00B35AAA" w:rsidP="00981A07">
      <w:pPr>
        <w:pStyle w:val="LegalList1"/>
        <w:spacing w:line="360" w:lineRule="auto"/>
        <w:ind w:left="1440" w:hanging="589"/>
        <w:rPr>
          <w:rFonts w:ascii="Times New Roman" w:hAnsi="Times New Roman"/>
        </w:rPr>
      </w:pPr>
      <w:r w:rsidRPr="00981A07">
        <w:rPr>
          <w:rFonts w:ascii="Times New Roman" w:hAnsi="Times New Roman"/>
        </w:rPr>
        <w:t>25.</w:t>
      </w:r>
      <w:r w:rsidRPr="00981A07">
        <w:rPr>
          <w:rFonts w:ascii="Times New Roman" w:hAnsi="Times New Roman"/>
        </w:rPr>
        <w:tab/>
        <w:t xml:space="preserve">The </w:t>
      </w:r>
      <w:r w:rsidR="008947DC">
        <w:rPr>
          <w:rFonts w:ascii="Times New Roman" w:hAnsi="Times New Roman"/>
        </w:rPr>
        <w:t>Trust</w:t>
      </w:r>
      <w:r w:rsidRPr="00981A07">
        <w:rPr>
          <w:rFonts w:ascii="Times New Roman" w:hAnsi="Times New Roman"/>
        </w:rPr>
        <w:t xml:space="preserve"> received a deposit of R1 000 000 from Soleil on 16 J</w:t>
      </w:r>
      <w:r w:rsidR="00981A07" w:rsidRPr="00981A07">
        <w:rPr>
          <w:rFonts w:ascii="Times New Roman" w:hAnsi="Times New Roman"/>
        </w:rPr>
        <w:t>une 2018, and a portion thereof was provided to our attorney to cover his prior expenses that had yet to be paid.’</w:t>
      </w:r>
    </w:p>
    <w:p w:rsidR="00D9041A"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C02B9D">
        <w:rPr>
          <w:rFonts w:ascii="Times New Roman" w:hAnsi="Times New Roman"/>
          <w:sz w:val="28"/>
          <w:szCs w:val="28"/>
        </w:rPr>
        <w:t xml:space="preserve">Whereas </w:t>
      </w:r>
      <w:r w:rsidR="00D9041A">
        <w:rPr>
          <w:rFonts w:ascii="Times New Roman" w:hAnsi="Times New Roman"/>
          <w:sz w:val="28"/>
          <w:szCs w:val="28"/>
        </w:rPr>
        <w:t>Viljoen Snr suggested that the subject properties together with the Farm are valued in excess of at R100 million</w:t>
      </w:r>
      <w:r w:rsidR="00C02B9D">
        <w:rPr>
          <w:rFonts w:ascii="Times New Roman" w:hAnsi="Times New Roman"/>
          <w:sz w:val="28"/>
          <w:szCs w:val="28"/>
        </w:rPr>
        <w:t>, a</w:t>
      </w:r>
      <w:r w:rsidR="00D9041A">
        <w:rPr>
          <w:rFonts w:ascii="Times New Roman" w:hAnsi="Times New Roman"/>
          <w:sz w:val="28"/>
          <w:szCs w:val="28"/>
        </w:rPr>
        <w:t xml:space="preserve"> valuation proffered by </w:t>
      </w:r>
      <w:r w:rsidR="00555445">
        <w:rPr>
          <w:rFonts w:ascii="Times New Roman" w:hAnsi="Times New Roman"/>
          <w:sz w:val="28"/>
          <w:szCs w:val="28"/>
        </w:rPr>
        <w:t>FRB</w:t>
      </w:r>
      <w:r w:rsidR="00D9041A">
        <w:rPr>
          <w:rFonts w:ascii="Times New Roman" w:hAnsi="Times New Roman"/>
          <w:sz w:val="28"/>
          <w:szCs w:val="28"/>
        </w:rPr>
        <w:t xml:space="preserve"> came in at R20.1 million.</w:t>
      </w:r>
      <w:r w:rsidR="00C02B9D">
        <w:rPr>
          <w:rFonts w:ascii="Times New Roman" w:hAnsi="Times New Roman"/>
          <w:sz w:val="28"/>
          <w:szCs w:val="28"/>
        </w:rPr>
        <w:t xml:space="preserve"> That valuation is attached to </w:t>
      </w:r>
      <w:r w:rsidR="001B3F98">
        <w:rPr>
          <w:rFonts w:ascii="Times New Roman" w:hAnsi="Times New Roman"/>
          <w:sz w:val="28"/>
          <w:szCs w:val="28"/>
        </w:rPr>
        <w:t>the</w:t>
      </w:r>
      <w:r w:rsidR="00C02B9D">
        <w:rPr>
          <w:rFonts w:ascii="Times New Roman" w:hAnsi="Times New Roman"/>
          <w:sz w:val="28"/>
          <w:szCs w:val="28"/>
        </w:rPr>
        <w:t xml:space="preserve"> founding af</w:t>
      </w:r>
      <w:r w:rsidR="001B3F98">
        <w:rPr>
          <w:rFonts w:ascii="Times New Roman" w:hAnsi="Times New Roman"/>
          <w:sz w:val="28"/>
          <w:szCs w:val="28"/>
        </w:rPr>
        <w:t>fidavit in the stay application.</w:t>
      </w:r>
    </w:p>
    <w:p w:rsidR="00B27EF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301771">
        <w:rPr>
          <w:rFonts w:ascii="Times New Roman" w:hAnsi="Times New Roman"/>
          <w:sz w:val="28"/>
          <w:szCs w:val="28"/>
        </w:rPr>
        <w:t>After the transfer to Soleil, Viljoen Snr carried on farming operations on the subject properties just as he had done before.</w:t>
      </w:r>
    </w:p>
    <w:p w:rsidR="00D6297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F55E62">
        <w:rPr>
          <w:rFonts w:ascii="Times New Roman" w:hAnsi="Times New Roman"/>
          <w:sz w:val="28"/>
          <w:szCs w:val="28"/>
        </w:rPr>
        <w:t>Against this background the applicants contend that the circumstances in which the subject properties were transferred to Soleil bear the hallmarks of a simulated transaction</w:t>
      </w:r>
      <w:r w:rsidR="009A4C01">
        <w:rPr>
          <w:rFonts w:ascii="Times New Roman" w:hAnsi="Times New Roman"/>
          <w:sz w:val="28"/>
          <w:szCs w:val="28"/>
        </w:rPr>
        <w:t xml:space="preserve"> </w:t>
      </w:r>
      <w:r w:rsidR="001170C6">
        <w:rPr>
          <w:rFonts w:ascii="Times New Roman" w:hAnsi="Times New Roman"/>
          <w:sz w:val="28"/>
          <w:szCs w:val="28"/>
        </w:rPr>
        <w:t xml:space="preserve">– </w:t>
      </w:r>
      <w:r w:rsidR="00624B8E">
        <w:rPr>
          <w:rFonts w:ascii="Times New Roman" w:hAnsi="Times New Roman"/>
          <w:sz w:val="28"/>
          <w:szCs w:val="28"/>
        </w:rPr>
        <w:t>the properties</w:t>
      </w:r>
      <w:r w:rsidR="006426FE">
        <w:rPr>
          <w:rFonts w:ascii="Times New Roman" w:hAnsi="Times New Roman"/>
          <w:sz w:val="28"/>
          <w:szCs w:val="28"/>
        </w:rPr>
        <w:t xml:space="preserve"> were sold below value – there </w:t>
      </w:r>
      <w:r w:rsidR="009A4C01">
        <w:rPr>
          <w:rFonts w:ascii="Times New Roman" w:hAnsi="Times New Roman"/>
          <w:sz w:val="28"/>
          <w:szCs w:val="28"/>
        </w:rPr>
        <w:t xml:space="preserve">was no genuine intention for Soleil to assume ownership of the subject properties, it being the </w:t>
      </w:r>
      <w:r w:rsidR="008947DC">
        <w:rPr>
          <w:rFonts w:ascii="Times New Roman" w:hAnsi="Times New Roman"/>
          <w:sz w:val="28"/>
          <w:szCs w:val="28"/>
        </w:rPr>
        <w:t>Trust</w:t>
      </w:r>
      <w:r w:rsidR="009A4C01">
        <w:rPr>
          <w:rFonts w:ascii="Times New Roman" w:hAnsi="Times New Roman"/>
          <w:sz w:val="28"/>
          <w:szCs w:val="28"/>
        </w:rPr>
        <w:t xml:space="preserve">’s and Soleil’s true intention to create the appearance that </w:t>
      </w:r>
      <w:r w:rsidR="00106DDE">
        <w:rPr>
          <w:rFonts w:ascii="Times New Roman" w:hAnsi="Times New Roman"/>
          <w:sz w:val="28"/>
          <w:szCs w:val="28"/>
        </w:rPr>
        <w:t>Soleil</w:t>
      </w:r>
      <w:r w:rsidR="009A4C01">
        <w:rPr>
          <w:rFonts w:ascii="Times New Roman" w:hAnsi="Times New Roman"/>
          <w:sz w:val="28"/>
          <w:szCs w:val="28"/>
        </w:rPr>
        <w:t xml:space="preserve"> was the owner</w:t>
      </w:r>
      <w:r w:rsidR="00D6297F">
        <w:rPr>
          <w:rFonts w:ascii="Times New Roman" w:hAnsi="Times New Roman"/>
          <w:sz w:val="28"/>
          <w:szCs w:val="28"/>
        </w:rPr>
        <w:t xml:space="preserve"> thereof. </w:t>
      </w:r>
      <w:r w:rsidR="00B0283B">
        <w:rPr>
          <w:rFonts w:ascii="Times New Roman" w:hAnsi="Times New Roman"/>
          <w:sz w:val="28"/>
          <w:szCs w:val="28"/>
        </w:rPr>
        <w:t xml:space="preserve">It is </w:t>
      </w:r>
      <w:r w:rsidR="00D957CB">
        <w:rPr>
          <w:rFonts w:ascii="Times New Roman" w:hAnsi="Times New Roman"/>
          <w:sz w:val="28"/>
          <w:szCs w:val="28"/>
        </w:rPr>
        <w:t xml:space="preserve">Evident from </w:t>
      </w:r>
      <w:r w:rsidR="007647B2">
        <w:rPr>
          <w:rFonts w:ascii="Times New Roman" w:hAnsi="Times New Roman"/>
          <w:sz w:val="28"/>
          <w:szCs w:val="28"/>
        </w:rPr>
        <w:t xml:space="preserve">the </w:t>
      </w:r>
      <w:r w:rsidR="005F7E95">
        <w:rPr>
          <w:rFonts w:ascii="Times New Roman" w:hAnsi="Times New Roman"/>
          <w:sz w:val="28"/>
          <w:szCs w:val="28"/>
        </w:rPr>
        <w:t>affidavit by Viljoen Snr</w:t>
      </w:r>
      <w:r w:rsidR="00794413">
        <w:rPr>
          <w:rFonts w:ascii="Times New Roman" w:hAnsi="Times New Roman"/>
          <w:sz w:val="28"/>
          <w:szCs w:val="28"/>
        </w:rPr>
        <w:t xml:space="preserve"> that </w:t>
      </w:r>
      <w:r w:rsidR="00D957CB">
        <w:rPr>
          <w:rFonts w:ascii="Times New Roman" w:hAnsi="Times New Roman"/>
          <w:sz w:val="28"/>
          <w:szCs w:val="28"/>
        </w:rPr>
        <w:t xml:space="preserve">the </w:t>
      </w:r>
      <w:r w:rsidR="008947DC">
        <w:rPr>
          <w:rFonts w:ascii="Times New Roman" w:hAnsi="Times New Roman"/>
          <w:sz w:val="28"/>
          <w:szCs w:val="28"/>
        </w:rPr>
        <w:t>Trust</w:t>
      </w:r>
      <w:r w:rsidR="00D957CB">
        <w:rPr>
          <w:rFonts w:ascii="Times New Roman" w:hAnsi="Times New Roman"/>
          <w:sz w:val="28"/>
          <w:szCs w:val="28"/>
        </w:rPr>
        <w:t xml:space="preserve"> and Soleil agreed that the </w:t>
      </w:r>
      <w:r w:rsidR="008947DC">
        <w:rPr>
          <w:rFonts w:ascii="Times New Roman" w:hAnsi="Times New Roman"/>
          <w:sz w:val="28"/>
          <w:szCs w:val="28"/>
        </w:rPr>
        <w:t>Trust</w:t>
      </w:r>
      <w:r w:rsidR="00D957CB">
        <w:rPr>
          <w:rFonts w:ascii="Times New Roman" w:hAnsi="Times New Roman"/>
          <w:sz w:val="28"/>
          <w:szCs w:val="28"/>
        </w:rPr>
        <w:t xml:space="preserve"> or another entity or person nominated by it would be entitled to repurchase the </w:t>
      </w:r>
      <w:r w:rsidR="00EF223A">
        <w:rPr>
          <w:rFonts w:ascii="Times New Roman" w:hAnsi="Times New Roman"/>
          <w:sz w:val="28"/>
          <w:szCs w:val="28"/>
        </w:rPr>
        <w:t xml:space="preserve">subject properties together with the Farm for the same purchase consideration that Soleil had acquired it. </w:t>
      </w:r>
      <w:r w:rsidR="00B60BC6">
        <w:rPr>
          <w:rFonts w:ascii="Times New Roman" w:hAnsi="Times New Roman"/>
          <w:sz w:val="28"/>
          <w:szCs w:val="28"/>
        </w:rPr>
        <w:t>Hence</w:t>
      </w:r>
      <w:r w:rsidR="000F24F6">
        <w:rPr>
          <w:rFonts w:ascii="Times New Roman" w:hAnsi="Times New Roman"/>
          <w:sz w:val="28"/>
          <w:szCs w:val="28"/>
        </w:rPr>
        <w:t>,</w:t>
      </w:r>
      <w:r w:rsidR="00B60BC6">
        <w:rPr>
          <w:rFonts w:ascii="Times New Roman" w:hAnsi="Times New Roman"/>
          <w:sz w:val="28"/>
          <w:szCs w:val="28"/>
        </w:rPr>
        <w:t xml:space="preserve"> it is contended </w:t>
      </w:r>
      <w:r w:rsidR="00430B58">
        <w:rPr>
          <w:rFonts w:ascii="Times New Roman" w:hAnsi="Times New Roman"/>
          <w:sz w:val="28"/>
          <w:szCs w:val="28"/>
        </w:rPr>
        <w:t xml:space="preserve">in the founding affidavit that </w:t>
      </w:r>
      <w:r w:rsidR="00B60BC6">
        <w:rPr>
          <w:rFonts w:ascii="Times New Roman" w:hAnsi="Times New Roman"/>
          <w:sz w:val="28"/>
          <w:szCs w:val="28"/>
        </w:rPr>
        <w:t>the intention was clearly that Soleil did not in</w:t>
      </w:r>
      <w:r w:rsidR="00B0283B">
        <w:rPr>
          <w:rFonts w:ascii="Times New Roman" w:hAnsi="Times New Roman"/>
          <w:sz w:val="28"/>
          <w:szCs w:val="28"/>
        </w:rPr>
        <w:t>tend, nor was it intended by the</w:t>
      </w:r>
      <w:r w:rsidR="00B60BC6">
        <w:rPr>
          <w:rFonts w:ascii="Times New Roman" w:hAnsi="Times New Roman"/>
          <w:sz w:val="28"/>
          <w:szCs w:val="28"/>
        </w:rPr>
        <w:t xml:space="preserve"> true protagonists</w:t>
      </w:r>
      <w:r w:rsidR="000F24F6">
        <w:rPr>
          <w:rFonts w:ascii="Times New Roman" w:hAnsi="Times New Roman"/>
          <w:sz w:val="28"/>
          <w:szCs w:val="28"/>
        </w:rPr>
        <w:t xml:space="preserve"> (Viljoen Snr and </w:t>
      </w:r>
      <w:r w:rsidR="001F1EC4">
        <w:rPr>
          <w:rFonts w:ascii="Times New Roman" w:hAnsi="Times New Roman"/>
          <w:sz w:val="28"/>
          <w:szCs w:val="28"/>
        </w:rPr>
        <w:t>Ms </w:t>
      </w:r>
      <w:r w:rsidR="000F24F6">
        <w:rPr>
          <w:rFonts w:ascii="Times New Roman" w:hAnsi="Times New Roman"/>
          <w:sz w:val="28"/>
          <w:szCs w:val="28"/>
        </w:rPr>
        <w:t xml:space="preserve">Groenewald), </w:t>
      </w:r>
      <w:r w:rsidR="00B0283B">
        <w:rPr>
          <w:rFonts w:ascii="Times New Roman" w:hAnsi="Times New Roman"/>
          <w:sz w:val="28"/>
          <w:szCs w:val="28"/>
        </w:rPr>
        <w:t>that Soleil p</w:t>
      </w:r>
      <w:r w:rsidR="000F24F6">
        <w:rPr>
          <w:rFonts w:ascii="Times New Roman" w:hAnsi="Times New Roman"/>
          <w:sz w:val="28"/>
          <w:szCs w:val="28"/>
        </w:rPr>
        <w:t xml:space="preserve">ermanently </w:t>
      </w:r>
      <w:r w:rsidR="00430B58">
        <w:rPr>
          <w:rFonts w:ascii="Times New Roman" w:hAnsi="Times New Roman"/>
          <w:sz w:val="28"/>
          <w:szCs w:val="28"/>
        </w:rPr>
        <w:t xml:space="preserve">assumes ownership </w:t>
      </w:r>
      <w:r w:rsidR="000F24F6">
        <w:rPr>
          <w:rFonts w:ascii="Times New Roman" w:hAnsi="Times New Roman"/>
          <w:sz w:val="28"/>
          <w:szCs w:val="28"/>
        </w:rPr>
        <w:t xml:space="preserve">of the subject properties. </w:t>
      </w:r>
      <w:r w:rsidR="00D6297F">
        <w:rPr>
          <w:rFonts w:ascii="Times New Roman" w:hAnsi="Times New Roman"/>
          <w:sz w:val="28"/>
          <w:szCs w:val="28"/>
        </w:rPr>
        <w:t xml:space="preserve">As the sale of the subject properties occurred after the summary judgment proceedings and in the midst of GWK’s efforts to </w:t>
      </w:r>
      <w:r w:rsidR="00D6297F">
        <w:rPr>
          <w:rFonts w:ascii="Times New Roman" w:hAnsi="Times New Roman"/>
          <w:sz w:val="28"/>
          <w:szCs w:val="28"/>
        </w:rPr>
        <w:lastRenderedPageBreak/>
        <w:t>p</w:t>
      </w:r>
      <w:r w:rsidR="00DC4400">
        <w:rPr>
          <w:rFonts w:ascii="Times New Roman" w:hAnsi="Times New Roman"/>
          <w:sz w:val="28"/>
          <w:szCs w:val="28"/>
        </w:rPr>
        <w:t>ursue</w:t>
      </w:r>
      <w:r w:rsidR="00D6297F">
        <w:rPr>
          <w:rFonts w:ascii="Times New Roman" w:hAnsi="Times New Roman"/>
          <w:sz w:val="28"/>
          <w:szCs w:val="28"/>
        </w:rPr>
        <w:t xml:space="preserve"> with execution </w:t>
      </w:r>
      <w:r w:rsidR="001170C6">
        <w:rPr>
          <w:rFonts w:ascii="Times New Roman" w:hAnsi="Times New Roman"/>
          <w:sz w:val="28"/>
          <w:szCs w:val="28"/>
        </w:rPr>
        <w:t xml:space="preserve">of its judgment, the </w:t>
      </w:r>
      <w:r w:rsidR="008947DC">
        <w:rPr>
          <w:rFonts w:ascii="Times New Roman" w:hAnsi="Times New Roman"/>
          <w:sz w:val="28"/>
          <w:szCs w:val="28"/>
        </w:rPr>
        <w:t>Trust</w:t>
      </w:r>
      <w:r w:rsidR="001170C6">
        <w:rPr>
          <w:rFonts w:ascii="Times New Roman" w:hAnsi="Times New Roman"/>
          <w:sz w:val="28"/>
          <w:szCs w:val="28"/>
        </w:rPr>
        <w:t xml:space="preserve"> and S</w:t>
      </w:r>
      <w:r w:rsidR="00D6297F">
        <w:rPr>
          <w:rFonts w:ascii="Times New Roman" w:hAnsi="Times New Roman"/>
          <w:sz w:val="28"/>
          <w:szCs w:val="28"/>
        </w:rPr>
        <w:t xml:space="preserve">oleil did so to thwart </w:t>
      </w:r>
      <w:r w:rsidR="001170C6">
        <w:rPr>
          <w:rFonts w:ascii="Times New Roman" w:hAnsi="Times New Roman"/>
          <w:sz w:val="28"/>
          <w:szCs w:val="28"/>
        </w:rPr>
        <w:t xml:space="preserve">GWK’s efforts </w:t>
      </w:r>
      <w:r w:rsidR="00D6297F">
        <w:rPr>
          <w:rFonts w:ascii="Times New Roman" w:hAnsi="Times New Roman"/>
          <w:sz w:val="28"/>
          <w:szCs w:val="28"/>
        </w:rPr>
        <w:t>to extract payment of a debt.</w:t>
      </w:r>
    </w:p>
    <w:p w:rsidR="0078659C"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40181F">
        <w:rPr>
          <w:rFonts w:ascii="Times New Roman" w:hAnsi="Times New Roman"/>
          <w:sz w:val="28"/>
          <w:szCs w:val="28"/>
        </w:rPr>
        <w:t>Whereas t</w:t>
      </w:r>
      <w:r w:rsidR="007647B2">
        <w:rPr>
          <w:rFonts w:ascii="Times New Roman" w:hAnsi="Times New Roman"/>
          <w:sz w:val="28"/>
          <w:szCs w:val="28"/>
        </w:rPr>
        <w:t>he present application was launched on 1 Septembe</w:t>
      </w:r>
      <w:r w:rsidR="0040181F">
        <w:rPr>
          <w:rFonts w:ascii="Times New Roman" w:hAnsi="Times New Roman"/>
          <w:sz w:val="28"/>
          <w:szCs w:val="28"/>
        </w:rPr>
        <w:t xml:space="preserve">r 2020, </w:t>
      </w:r>
      <w:r w:rsidR="00D15779">
        <w:rPr>
          <w:rFonts w:ascii="Times New Roman" w:hAnsi="Times New Roman"/>
          <w:sz w:val="28"/>
          <w:szCs w:val="28"/>
        </w:rPr>
        <w:t xml:space="preserve">winding-up proceedings against </w:t>
      </w:r>
      <w:r w:rsidR="0040181F">
        <w:rPr>
          <w:rFonts w:ascii="Times New Roman" w:hAnsi="Times New Roman"/>
          <w:sz w:val="28"/>
          <w:szCs w:val="28"/>
        </w:rPr>
        <w:t xml:space="preserve">Soleil </w:t>
      </w:r>
      <w:r w:rsidR="002376C6">
        <w:rPr>
          <w:rFonts w:ascii="Times New Roman" w:hAnsi="Times New Roman"/>
          <w:sz w:val="28"/>
          <w:szCs w:val="28"/>
        </w:rPr>
        <w:t xml:space="preserve">commenced on 10 June 2020 at instance of FRB. A </w:t>
      </w:r>
      <w:r w:rsidR="00214C93">
        <w:rPr>
          <w:rFonts w:ascii="Times New Roman" w:hAnsi="Times New Roman"/>
          <w:sz w:val="28"/>
          <w:szCs w:val="28"/>
        </w:rPr>
        <w:t xml:space="preserve">provisional liquidation </w:t>
      </w:r>
      <w:r w:rsidR="002376C6">
        <w:rPr>
          <w:rFonts w:ascii="Times New Roman" w:hAnsi="Times New Roman"/>
          <w:sz w:val="28"/>
          <w:szCs w:val="28"/>
        </w:rPr>
        <w:t>order ensu</w:t>
      </w:r>
      <w:r w:rsidR="00EE77BC">
        <w:rPr>
          <w:rFonts w:ascii="Times New Roman" w:hAnsi="Times New Roman"/>
          <w:sz w:val="28"/>
          <w:szCs w:val="28"/>
        </w:rPr>
        <w:t>ed</w:t>
      </w:r>
      <w:r w:rsidR="002376C6">
        <w:rPr>
          <w:rFonts w:ascii="Times New Roman" w:hAnsi="Times New Roman"/>
          <w:sz w:val="28"/>
          <w:szCs w:val="28"/>
        </w:rPr>
        <w:t xml:space="preserve"> </w:t>
      </w:r>
      <w:r w:rsidR="00EE77BC">
        <w:rPr>
          <w:rFonts w:ascii="Times New Roman" w:hAnsi="Times New Roman"/>
          <w:sz w:val="28"/>
          <w:szCs w:val="28"/>
        </w:rPr>
        <w:t>on 8 September 2020</w:t>
      </w:r>
      <w:r w:rsidR="00214C93">
        <w:rPr>
          <w:rFonts w:ascii="Times New Roman" w:hAnsi="Times New Roman"/>
          <w:sz w:val="28"/>
          <w:szCs w:val="28"/>
        </w:rPr>
        <w:t xml:space="preserve">. </w:t>
      </w:r>
      <w:r w:rsidR="00814E21">
        <w:rPr>
          <w:rFonts w:ascii="Times New Roman" w:hAnsi="Times New Roman"/>
          <w:sz w:val="28"/>
          <w:szCs w:val="28"/>
        </w:rPr>
        <w:t>A final liquidation order issued on 9 December 202</w:t>
      </w:r>
      <w:r w:rsidR="00A46630">
        <w:rPr>
          <w:rFonts w:ascii="Times New Roman" w:hAnsi="Times New Roman"/>
          <w:sz w:val="28"/>
          <w:szCs w:val="28"/>
        </w:rPr>
        <w:t>0</w:t>
      </w:r>
      <w:r w:rsidR="00814E21">
        <w:rPr>
          <w:rFonts w:ascii="Times New Roman" w:hAnsi="Times New Roman"/>
          <w:sz w:val="28"/>
          <w:szCs w:val="28"/>
        </w:rPr>
        <w:t>.</w:t>
      </w:r>
    </w:p>
    <w:p w:rsidR="00814E21" w:rsidRPr="0078659C" w:rsidRDefault="00232999" w:rsidP="00232999">
      <w:pPr>
        <w:pStyle w:val="LegalList1"/>
        <w:spacing w:line="360" w:lineRule="auto"/>
        <w:ind w:left="851" w:hanging="851"/>
        <w:rPr>
          <w:rFonts w:ascii="Times New Roman" w:hAnsi="Times New Roman"/>
          <w:sz w:val="28"/>
          <w:szCs w:val="28"/>
        </w:rPr>
      </w:pPr>
      <w:r w:rsidRPr="0078659C">
        <w:rPr>
          <w:rFonts w:ascii="Times New Roman" w:hAnsi="Times New Roman"/>
          <w:sz w:val="28"/>
          <w:szCs w:val="28"/>
        </w:rPr>
        <w:t>[25]</w:t>
      </w:r>
      <w:r w:rsidRPr="0078659C">
        <w:rPr>
          <w:rFonts w:ascii="Times New Roman" w:hAnsi="Times New Roman"/>
          <w:sz w:val="28"/>
          <w:szCs w:val="28"/>
        </w:rPr>
        <w:tab/>
      </w:r>
      <w:r w:rsidR="0078659C" w:rsidRPr="0078659C">
        <w:rPr>
          <w:rFonts w:ascii="Times New Roman" w:hAnsi="Times New Roman"/>
          <w:sz w:val="28"/>
          <w:szCs w:val="28"/>
        </w:rPr>
        <w:t>While t</w:t>
      </w:r>
      <w:r w:rsidR="002376C6" w:rsidRPr="0078659C">
        <w:rPr>
          <w:rFonts w:ascii="Times New Roman" w:hAnsi="Times New Roman"/>
          <w:sz w:val="28"/>
          <w:szCs w:val="28"/>
        </w:rPr>
        <w:t>his chronology assumes relevance elsewhere in this judgment</w:t>
      </w:r>
      <w:r w:rsidR="0078659C" w:rsidRPr="0078659C">
        <w:rPr>
          <w:rFonts w:ascii="Times New Roman" w:hAnsi="Times New Roman"/>
          <w:sz w:val="28"/>
          <w:szCs w:val="28"/>
        </w:rPr>
        <w:t xml:space="preserve">, it only suffices to mention that </w:t>
      </w:r>
      <w:r w:rsidR="0078659C">
        <w:rPr>
          <w:rFonts w:ascii="Times New Roman" w:hAnsi="Times New Roman"/>
          <w:sz w:val="28"/>
          <w:szCs w:val="28"/>
        </w:rPr>
        <w:t>t</w:t>
      </w:r>
      <w:r w:rsidR="00814E21" w:rsidRPr="0078659C">
        <w:rPr>
          <w:rFonts w:ascii="Times New Roman" w:hAnsi="Times New Roman"/>
          <w:sz w:val="28"/>
          <w:szCs w:val="28"/>
        </w:rPr>
        <w:t xml:space="preserve">he liquidators of Soleil have not entered the </w:t>
      </w:r>
      <w:r w:rsidR="00555445" w:rsidRPr="0078659C">
        <w:rPr>
          <w:rFonts w:ascii="Times New Roman" w:hAnsi="Times New Roman"/>
          <w:sz w:val="28"/>
          <w:szCs w:val="28"/>
        </w:rPr>
        <w:t xml:space="preserve">dispute </w:t>
      </w:r>
      <w:r w:rsidR="00814E21" w:rsidRPr="0078659C">
        <w:rPr>
          <w:rFonts w:ascii="Times New Roman" w:hAnsi="Times New Roman"/>
          <w:sz w:val="28"/>
          <w:szCs w:val="28"/>
        </w:rPr>
        <w:t xml:space="preserve">in these proceedings and abide this court’s </w:t>
      </w:r>
      <w:r w:rsidR="0078659C">
        <w:rPr>
          <w:rFonts w:ascii="Times New Roman" w:hAnsi="Times New Roman"/>
          <w:sz w:val="28"/>
          <w:szCs w:val="28"/>
        </w:rPr>
        <w:t xml:space="preserve">pronouncement </w:t>
      </w:r>
      <w:r w:rsidR="00A926F7">
        <w:rPr>
          <w:rFonts w:ascii="Times New Roman" w:hAnsi="Times New Roman"/>
          <w:sz w:val="28"/>
          <w:szCs w:val="28"/>
        </w:rPr>
        <w:t>in</w:t>
      </w:r>
      <w:r w:rsidR="0078659C">
        <w:rPr>
          <w:rFonts w:ascii="Times New Roman" w:hAnsi="Times New Roman"/>
          <w:sz w:val="28"/>
          <w:szCs w:val="28"/>
        </w:rPr>
        <w:t xml:space="preserve"> the matter</w:t>
      </w:r>
      <w:r w:rsidR="00814E21" w:rsidRPr="0078659C">
        <w:rPr>
          <w:rFonts w:ascii="Times New Roman" w:hAnsi="Times New Roman"/>
          <w:sz w:val="28"/>
          <w:szCs w:val="28"/>
        </w:rPr>
        <w:t>.</w:t>
      </w:r>
    </w:p>
    <w:p w:rsidR="006272AA"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6272AA">
        <w:rPr>
          <w:rFonts w:ascii="Times New Roman" w:hAnsi="Times New Roman"/>
          <w:sz w:val="28"/>
          <w:szCs w:val="28"/>
        </w:rPr>
        <w:t>FRB’s liquidation of Soleil was</w:t>
      </w:r>
      <w:r w:rsidR="00AF0274">
        <w:rPr>
          <w:rFonts w:ascii="Times New Roman" w:hAnsi="Times New Roman"/>
          <w:sz w:val="28"/>
          <w:szCs w:val="28"/>
        </w:rPr>
        <w:t xml:space="preserve"> founded</w:t>
      </w:r>
      <w:r w:rsidR="006272AA">
        <w:rPr>
          <w:rFonts w:ascii="Times New Roman" w:hAnsi="Times New Roman"/>
          <w:sz w:val="28"/>
          <w:szCs w:val="28"/>
        </w:rPr>
        <w:t xml:space="preserve"> on the latter’s indebtedness to FRB for the </w:t>
      </w:r>
      <w:r w:rsidR="00C16273">
        <w:rPr>
          <w:rFonts w:ascii="Times New Roman" w:hAnsi="Times New Roman"/>
          <w:sz w:val="28"/>
          <w:szCs w:val="28"/>
        </w:rPr>
        <w:t xml:space="preserve">loan </w:t>
      </w:r>
      <w:r w:rsidR="006272AA">
        <w:rPr>
          <w:rFonts w:ascii="Times New Roman" w:hAnsi="Times New Roman"/>
          <w:sz w:val="28"/>
          <w:szCs w:val="28"/>
        </w:rPr>
        <w:t xml:space="preserve">amount </w:t>
      </w:r>
      <w:r w:rsidR="00C16273">
        <w:rPr>
          <w:rFonts w:ascii="Times New Roman" w:hAnsi="Times New Roman"/>
          <w:sz w:val="28"/>
          <w:szCs w:val="28"/>
        </w:rPr>
        <w:t>of R4 million and the overdraft of R500 000. The liquidation proceedings were</w:t>
      </w:r>
      <w:r w:rsidR="006272AA">
        <w:rPr>
          <w:rFonts w:ascii="Times New Roman" w:hAnsi="Times New Roman"/>
          <w:sz w:val="28"/>
          <w:szCs w:val="28"/>
        </w:rPr>
        <w:t xml:space="preserve"> pillared on section 344 of the Companies Act</w:t>
      </w:r>
      <w:r w:rsidR="006272AA">
        <w:rPr>
          <w:rStyle w:val="FootnoteReference"/>
          <w:rFonts w:ascii="Times New Roman" w:hAnsi="Times New Roman"/>
          <w:color w:val="000000"/>
          <w:sz w:val="28"/>
          <w:szCs w:val="28"/>
        </w:rPr>
        <w:footnoteReference w:id="3"/>
      </w:r>
      <w:r w:rsidR="00E35CE2">
        <w:rPr>
          <w:rFonts w:ascii="Times New Roman" w:hAnsi="Times New Roman"/>
          <w:sz w:val="28"/>
          <w:szCs w:val="28"/>
        </w:rPr>
        <w:t xml:space="preserve"> on the basis of Soleil’s inability to pay its debts and that it</w:t>
      </w:r>
      <w:r w:rsidR="00C86397">
        <w:rPr>
          <w:rFonts w:ascii="Times New Roman" w:hAnsi="Times New Roman"/>
          <w:sz w:val="28"/>
          <w:szCs w:val="28"/>
        </w:rPr>
        <w:t>s</w:t>
      </w:r>
      <w:r w:rsidR="00E35CE2">
        <w:rPr>
          <w:rFonts w:ascii="Times New Roman" w:hAnsi="Times New Roman"/>
          <w:sz w:val="28"/>
          <w:szCs w:val="28"/>
        </w:rPr>
        <w:t xml:space="preserve"> liquidation would be </w:t>
      </w:r>
      <w:r w:rsidR="006272AA">
        <w:rPr>
          <w:rFonts w:ascii="Times New Roman" w:hAnsi="Times New Roman"/>
          <w:sz w:val="28"/>
          <w:szCs w:val="28"/>
        </w:rPr>
        <w:t>just and eq</w:t>
      </w:r>
      <w:r w:rsidR="00486EA8">
        <w:rPr>
          <w:rFonts w:ascii="Times New Roman" w:hAnsi="Times New Roman"/>
          <w:sz w:val="28"/>
          <w:szCs w:val="28"/>
        </w:rPr>
        <w:t>uitable</w:t>
      </w:r>
      <w:r w:rsidR="006272AA">
        <w:rPr>
          <w:rFonts w:ascii="Times New Roman" w:hAnsi="Times New Roman"/>
          <w:sz w:val="28"/>
          <w:szCs w:val="28"/>
        </w:rPr>
        <w:t>.</w:t>
      </w:r>
      <w:r w:rsidR="0014510E">
        <w:rPr>
          <w:rFonts w:ascii="Times New Roman" w:hAnsi="Times New Roman"/>
          <w:sz w:val="28"/>
          <w:szCs w:val="28"/>
        </w:rPr>
        <w:t xml:space="preserve"> T</w:t>
      </w:r>
      <w:r w:rsidR="006272AA">
        <w:rPr>
          <w:rFonts w:ascii="Times New Roman" w:hAnsi="Times New Roman"/>
          <w:sz w:val="28"/>
          <w:szCs w:val="28"/>
        </w:rPr>
        <w:t xml:space="preserve">he motivation </w:t>
      </w:r>
      <w:r w:rsidR="0014510E">
        <w:rPr>
          <w:rFonts w:ascii="Times New Roman" w:hAnsi="Times New Roman"/>
          <w:sz w:val="28"/>
          <w:szCs w:val="28"/>
        </w:rPr>
        <w:t xml:space="preserve">in the latter regard appears to have been </w:t>
      </w:r>
      <w:r w:rsidR="006272AA">
        <w:rPr>
          <w:rFonts w:ascii="Times New Roman" w:hAnsi="Times New Roman"/>
          <w:sz w:val="28"/>
          <w:szCs w:val="28"/>
        </w:rPr>
        <w:t>that</w:t>
      </w:r>
      <w:r w:rsidR="00C16273">
        <w:rPr>
          <w:rFonts w:ascii="Times New Roman" w:hAnsi="Times New Roman"/>
          <w:sz w:val="28"/>
          <w:szCs w:val="28"/>
        </w:rPr>
        <w:t xml:space="preserve"> the collective value of the properties</w:t>
      </w:r>
      <w:r w:rsidR="00B2782E">
        <w:rPr>
          <w:rFonts w:ascii="Times New Roman" w:hAnsi="Times New Roman"/>
          <w:sz w:val="28"/>
          <w:szCs w:val="28"/>
        </w:rPr>
        <w:t xml:space="preserve"> is more than 20 million which substantially exceeds the purchase price of R4 million</w:t>
      </w:r>
      <w:r w:rsidR="00F76E9B">
        <w:rPr>
          <w:rFonts w:ascii="Times New Roman" w:hAnsi="Times New Roman"/>
          <w:sz w:val="28"/>
          <w:szCs w:val="28"/>
        </w:rPr>
        <w:t>.</w:t>
      </w:r>
      <w:r w:rsidR="00825C7F">
        <w:rPr>
          <w:rFonts w:ascii="Times New Roman" w:hAnsi="Times New Roman"/>
          <w:sz w:val="28"/>
          <w:szCs w:val="28"/>
        </w:rPr>
        <w:t xml:space="preserve"> It may be added </w:t>
      </w:r>
      <w:r w:rsidR="000A4617">
        <w:rPr>
          <w:rFonts w:ascii="Times New Roman" w:hAnsi="Times New Roman"/>
          <w:sz w:val="28"/>
          <w:szCs w:val="28"/>
        </w:rPr>
        <w:t xml:space="preserve">that the liquidation proceedings </w:t>
      </w:r>
      <w:r w:rsidR="00D80477">
        <w:rPr>
          <w:rFonts w:ascii="Times New Roman" w:hAnsi="Times New Roman"/>
          <w:sz w:val="28"/>
          <w:szCs w:val="28"/>
        </w:rPr>
        <w:t xml:space="preserve">occurred while an agreement (envisaged in paragraph 23 of Viljoen Snr’s affidavit </w:t>
      </w:r>
      <w:r w:rsidR="00D80477" w:rsidRPr="00C86397">
        <w:rPr>
          <w:rFonts w:ascii="Times New Roman" w:hAnsi="Times New Roman"/>
          <w:i/>
          <w:sz w:val="28"/>
          <w:szCs w:val="28"/>
        </w:rPr>
        <w:t>supra</w:t>
      </w:r>
      <w:r w:rsidR="00D80477">
        <w:rPr>
          <w:rFonts w:ascii="Times New Roman" w:hAnsi="Times New Roman"/>
          <w:sz w:val="28"/>
          <w:szCs w:val="28"/>
        </w:rPr>
        <w:t>) was in the making</w:t>
      </w:r>
      <w:r w:rsidR="004978B4">
        <w:rPr>
          <w:rFonts w:ascii="Times New Roman" w:hAnsi="Times New Roman"/>
          <w:sz w:val="28"/>
          <w:szCs w:val="28"/>
        </w:rPr>
        <w:t xml:space="preserve"> between </w:t>
      </w:r>
      <w:r w:rsidR="001F1EC4">
        <w:rPr>
          <w:rFonts w:ascii="Times New Roman" w:hAnsi="Times New Roman"/>
          <w:sz w:val="28"/>
          <w:szCs w:val="28"/>
        </w:rPr>
        <w:t xml:space="preserve">Ms </w:t>
      </w:r>
      <w:r w:rsidR="000A4617">
        <w:rPr>
          <w:rFonts w:ascii="Times New Roman" w:hAnsi="Times New Roman"/>
          <w:sz w:val="28"/>
          <w:szCs w:val="28"/>
        </w:rPr>
        <w:t>Groenewald</w:t>
      </w:r>
      <w:r w:rsidR="004978B4">
        <w:rPr>
          <w:rFonts w:ascii="Times New Roman" w:hAnsi="Times New Roman"/>
          <w:sz w:val="28"/>
          <w:szCs w:val="28"/>
        </w:rPr>
        <w:t xml:space="preserve"> and various complainants</w:t>
      </w:r>
      <w:r w:rsidR="00C86397">
        <w:rPr>
          <w:rFonts w:ascii="Times New Roman" w:hAnsi="Times New Roman"/>
          <w:sz w:val="28"/>
          <w:szCs w:val="28"/>
        </w:rPr>
        <w:t>/investors</w:t>
      </w:r>
      <w:r w:rsidR="004978B4">
        <w:rPr>
          <w:rFonts w:ascii="Times New Roman" w:hAnsi="Times New Roman"/>
          <w:sz w:val="28"/>
          <w:szCs w:val="28"/>
        </w:rPr>
        <w:t xml:space="preserve"> and creditors </w:t>
      </w:r>
      <w:r w:rsidR="0045143B">
        <w:rPr>
          <w:rFonts w:ascii="Times New Roman" w:hAnsi="Times New Roman"/>
          <w:sz w:val="28"/>
          <w:szCs w:val="28"/>
        </w:rPr>
        <w:t>of</w:t>
      </w:r>
      <w:r w:rsidR="004978B4">
        <w:rPr>
          <w:rFonts w:ascii="Times New Roman" w:hAnsi="Times New Roman"/>
          <w:sz w:val="28"/>
          <w:szCs w:val="28"/>
        </w:rPr>
        <w:t xml:space="preserve"> an entity known as F &amp; J Consultants CC (the ninth respondent, </w:t>
      </w:r>
      <w:r w:rsidR="00C86397">
        <w:rPr>
          <w:rFonts w:ascii="Times New Roman" w:hAnsi="Times New Roman"/>
          <w:sz w:val="28"/>
          <w:szCs w:val="28"/>
        </w:rPr>
        <w:t xml:space="preserve">also </w:t>
      </w:r>
      <w:r w:rsidR="004978B4">
        <w:rPr>
          <w:rFonts w:ascii="Times New Roman" w:hAnsi="Times New Roman"/>
          <w:sz w:val="28"/>
          <w:szCs w:val="28"/>
        </w:rPr>
        <w:t>in liquidation)</w:t>
      </w:r>
      <w:r w:rsidR="00D23542">
        <w:rPr>
          <w:rFonts w:ascii="Times New Roman" w:hAnsi="Times New Roman"/>
          <w:sz w:val="28"/>
          <w:szCs w:val="28"/>
        </w:rPr>
        <w:t xml:space="preserve"> whereby each would be granted shares in a new company into which the subject properties would be transferred</w:t>
      </w:r>
      <w:r w:rsidR="0045143B">
        <w:rPr>
          <w:rFonts w:ascii="Times New Roman" w:hAnsi="Times New Roman"/>
          <w:sz w:val="28"/>
          <w:szCs w:val="28"/>
        </w:rPr>
        <w:t>.</w:t>
      </w:r>
    </w:p>
    <w:p w:rsidR="00B27EF5" w:rsidRPr="003F4296" w:rsidRDefault="003F4296" w:rsidP="002136A9">
      <w:pPr>
        <w:pStyle w:val="LegalList1"/>
        <w:spacing w:line="360" w:lineRule="auto"/>
        <w:ind w:left="131" w:firstLine="720"/>
        <w:rPr>
          <w:rFonts w:ascii="Times New Roman" w:hAnsi="Times New Roman"/>
          <w:b/>
          <w:sz w:val="28"/>
          <w:szCs w:val="28"/>
        </w:rPr>
      </w:pPr>
      <w:r w:rsidRPr="003F4296">
        <w:rPr>
          <w:rFonts w:ascii="Times New Roman" w:hAnsi="Times New Roman"/>
          <w:b/>
          <w:sz w:val="28"/>
          <w:szCs w:val="28"/>
        </w:rPr>
        <w:lastRenderedPageBreak/>
        <w:t>The arguments</w:t>
      </w:r>
    </w:p>
    <w:p w:rsidR="003F4296"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3F4296">
        <w:rPr>
          <w:rFonts w:ascii="Times New Roman" w:hAnsi="Times New Roman"/>
          <w:sz w:val="28"/>
          <w:szCs w:val="28"/>
        </w:rPr>
        <w:t>In su</w:t>
      </w:r>
      <w:r w:rsidR="00EE77BC">
        <w:rPr>
          <w:rFonts w:ascii="Times New Roman" w:hAnsi="Times New Roman"/>
          <w:sz w:val="28"/>
          <w:szCs w:val="28"/>
        </w:rPr>
        <w:t>pport of the relief claimed in 8.1</w:t>
      </w:r>
      <w:r w:rsidR="003F4296">
        <w:rPr>
          <w:rFonts w:ascii="Times New Roman" w:hAnsi="Times New Roman"/>
          <w:sz w:val="28"/>
          <w:szCs w:val="28"/>
        </w:rPr>
        <w:t xml:space="preserve"> and </w:t>
      </w:r>
      <w:r w:rsidR="00EE77BC">
        <w:rPr>
          <w:rFonts w:ascii="Times New Roman" w:hAnsi="Times New Roman"/>
          <w:sz w:val="28"/>
          <w:szCs w:val="28"/>
        </w:rPr>
        <w:t>8.2</w:t>
      </w:r>
      <w:r w:rsidR="003F4296">
        <w:rPr>
          <w:rFonts w:ascii="Times New Roman" w:hAnsi="Times New Roman"/>
          <w:sz w:val="28"/>
          <w:szCs w:val="28"/>
        </w:rPr>
        <w:t xml:space="preserve"> </w:t>
      </w:r>
      <w:r w:rsidR="002136A9">
        <w:rPr>
          <w:rFonts w:ascii="Times New Roman" w:hAnsi="Times New Roman"/>
          <w:sz w:val="28"/>
          <w:szCs w:val="28"/>
        </w:rPr>
        <w:t>herein</w:t>
      </w:r>
      <w:r w:rsidR="003F4296">
        <w:rPr>
          <w:rFonts w:ascii="Times New Roman" w:hAnsi="Times New Roman"/>
          <w:sz w:val="28"/>
          <w:szCs w:val="28"/>
        </w:rPr>
        <w:t>above the applicants contend that the sale of the subject properties was a simulated transaction</w:t>
      </w:r>
      <w:r w:rsidR="003F4296">
        <w:rPr>
          <w:rStyle w:val="FootnoteReference"/>
          <w:rFonts w:ascii="Times New Roman" w:hAnsi="Times New Roman"/>
          <w:sz w:val="28"/>
          <w:szCs w:val="28"/>
        </w:rPr>
        <w:footnoteReference w:id="4"/>
      </w:r>
      <w:r w:rsidR="003F4296">
        <w:rPr>
          <w:rFonts w:ascii="Times New Roman" w:hAnsi="Times New Roman"/>
          <w:sz w:val="28"/>
          <w:szCs w:val="28"/>
        </w:rPr>
        <w:t>. This categorisation was raised for the first time in argument and is nowhere mentioned in the founding affidavit.</w:t>
      </w:r>
    </w:p>
    <w:p w:rsidR="003F4296"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3F4296">
        <w:rPr>
          <w:rFonts w:ascii="Times New Roman" w:hAnsi="Times New Roman"/>
          <w:sz w:val="28"/>
          <w:szCs w:val="28"/>
        </w:rPr>
        <w:t>In</w:t>
      </w:r>
      <w:r w:rsidR="009C52AA">
        <w:rPr>
          <w:rFonts w:ascii="Times New Roman" w:hAnsi="Times New Roman"/>
          <w:sz w:val="28"/>
          <w:szCs w:val="28"/>
        </w:rPr>
        <w:t xml:space="preserve"> relation to the relief sought 8.3.1</w:t>
      </w:r>
      <w:r w:rsidR="003F4296">
        <w:rPr>
          <w:rFonts w:ascii="Times New Roman" w:hAnsi="Times New Roman"/>
          <w:sz w:val="28"/>
          <w:szCs w:val="28"/>
        </w:rPr>
        <w:t xml:space="preserve"> and </w:t>
      </w:r>
      <w:r w:rsidR="009C52AA">
        <w:rPr>
          <w:rFonts w:ascii="Times New Roman" w:hAnsi="Times New Roman"/>
          <w:sz w:val="28"/>
          <w:szCs w:val="28"/>
        </w:rPr>
        <w:t>8.3.2</w:t>
      </w:r>
      <w:r w:rsidR="003F4296">
        <w:rPr>
          <w:rFonts w:ascii="Times New Roman" w:hAnsi="Times New Roman"/>
          <w:sz w:val="28"/>
          <w:szCs w:val="28"/>
        </w:rPr>
        <w:t xml:space="preserve"> reliance is placed on section 31 of the Insolvency Act.</w:t>
      </w:r>
    </w:p>
    <w:p w:rsidR="003F4296" w:rsidRPr="003E14C3" w:rsidRDefault="00232999" w:rsidP="00232999">
      <w:pPr>
        <w:pStyle w:val="LegalList1"/>
        <w:spacing w:line="360" w:lineRule="auto"/>
        <w:ind w:left="851" w:hanging="851"/>
        <w:rPr>
          <w:rFonts w:ascii="Times New Roman" w:hAnsi="Times New Roman"/>
          <w:sz w:val="28"/>
          <w:szCs w:val="28"/>
        </w:rPr>
      </w:pPr>
      <w:r w:rsidRPr="003E14C3">
        <w:rPr>
          <w:rFonts w:ascii="Times New Roman" w:hAnsi="Times New Roman"/>
          <w:sz w:val="28"/>
          <w:szCs w:val="28"/>
        </w:rPr>
        <w:t>[29]</w:t>
      </w:r>
      <w:r w:rsidRPr="003E14C3">
        <w:rPr>
          <w:rFonts w:ascii="Times New Roman" w:hAnsi="Times New Roman"/>
          <w:sz w:val="28"/>
          <w:szCs w:val="28"/>
        </w:rPr>
        <w:tab/>
      </w:r>
      <w:r w:rsidR="003F4296">
        <w:rPr>
          <w:rFonts w:ascii="Times New Roman" w:hAnsi="Times New Roman"/>
          <w:sz w:val="28"/>
          <w:szCs w:val="28"/>
        </w:rPr>
        <w:t>Relevant to the</w:t>
      </w:r>
      <w:r w:rsidR="009C52AA">
        <w:rPr>
          <w:rFonts w:ascii="Times New Roman" w:hAnsi="Times New Roman"/>
          <w:sz w:val="28"/>
          <w:szCs w:val="28"/>
        </w:rPr>
        <w:t xml:space="preserve"> relief claimed in 8.4 </w:t>
      </w:r>
      <w:r w:rsidR="003F4296">
        <w:rPr>
          <w:rFonts w:ascii="Times New Roman" w:hAnsi="Times New Roman"/>
          <w:sz w:val="28"/>
          <w:szCs w:val="28"/>
        </w:rPr>
        <w:t>further reliance is placed on section 20(9) of the Companies Act</w:t>
      </w:r>
      <w:r w:rsidR="003F4296">
        <w:rPr>
          <w:rStyle w:val="FootnoteReference"/>
          <w:rFonts w:ascii="Times New Roman" w:hAnsi="Times New Roman"/>
          <w:sz w:val="28"/>
          <w:szCs w:val="28"/>
        </w:rPr>
        <w:footnoteReference w:id="5"/>
      </w:r>
      <w:r w:rsidR="003F4296">
        <w:rPr>
          <w:rFonts w:ascii="Times New Roman" w:hAnsi="Times New Roman"/>
          <w:sz w:val="28"/>
          <w:szCs w:val="28"/>
        </w:rPr>
        <w:t>.</w:t>
      </w:r>
    </w:p>
    <w:p w:rsidR="00B27EF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2136A9">
        <w:rPr>
          <w:rFonts w:ascii="Times New Roman" w:hAnsi="Times New Roman"/>
          <w:sz w:val="28"/>
          <w:szCs w:val="28"/>
        </w:rPr>
        <w:t xml:space="preserve">Before turning to </w:t>
      </w:r>
      <w:r w:rsidR="00DD52E9">
        <w:rPr>
          <w:rFonts w:ascii="Times New Roman" w:hAnsi="Times New Roman"/>
          <w:sz w:val="28"/>
          <w:szCs w:val="28"/>
        </w:rPr>
        <w:t xml:space="preserve">address </w:t>
      </w:r>
      <w:r w:rsidR="002136A9">
        <w:rPr>
          <w:rFonts w:ascii="Times New Roman" w:hAnsi="Times New Roman"/>
          <w:sz w:val="28"/>
          <w:szCs w:val="28"/>
        </w:rPr>
        <w:t xml:space="preserve">these </w:t>
      </w:r>
      <w:r w:rsidR="00DE7F94">
        <w:rPr>
          <w:rFonts w:ascii="Times New Roman" w:hAnsi="Times New Roman"/>
          <w:sz w:val="28"/>
          <w:szCs w:val="28"/>
        </w:rPr>
        <w:t>arguments</w:t>
      </w:r>
      <w:r w:rsidR="002136A9">
        <w:rPr>
          <w:rFonts w:ascii="Times New Roman" w:hAnsi="Times New Roman"/>
          <w:sz w:val="28"/>
          <w:szCs w:val="28"/>
        </w:rPr>
        <w:t>, FRB</w:t>
      </w:r>
      <w:r w:rsidR="0024646E">
        <w:rPr>
          <w:rFonts w:ascii="Times New Roman" w:hAnsi="Times New Roman"/>
          <w:sz w:val="28"/>
          <w:szCs w:val="28"/>
        </w:rPr>
        <w:t xml:space="preserve">’s </w:t>
      </w:r>
      <w:r w:rsidR="00AE29BC">
        <w:rPr>
          <w:rFonts w:ascii="Times New Roman" w:hAnsi="Times New Roman"/>
          <w:sz w:val="28"/>
          <w:szCs w:val="28"/>
        </w:rPr>
        <w:t xml:space="preserve">opposition </w:t>
      </w:r>
      <w:r w:rsidR="0024646E">
        <w:rPr>
          <w:rFonts w:ascii="Times New Roman" w:hAnsi="Times New Roman"/>
          <w:sz w:val="28"/>
          <w:szCs w:val="28"/>
        </w:rPr>
        <w:t xml:space="preserve">commenced with </w:t>
      </w:r>
      <w:r w:rsidR="00AE29BC">
        <w:rPr>
          <w:rFonts w:ascii="Times New Roman" w:hAnsi="Times New Roman"/>
          <w:sz w:val="28"/>
          <w:szCs w:val="28"/>
        </w:rPr>
        <w:t xml:space="preserve">two issues </w:t>
      </w:r>
      <w:r w:rsidR="00C86397" w:rsidRPr="00432C87">
        <w:rPr>
          <w:rFonts w:ascii="Times New Roman" w:hAnsi="Times New Roman"/>
          <w:i/>
          <w:sz w:val="28"/>
          <w:szCs w:val="28"/>
        </w:rPr>
        <w:t>in limine</w:t>
      </w:r>
      <w:r w:rsidR="003D159C">
        <w:rPr>
          <w:rFonts w:ascii="Times New Roman" w:hAnsi="Times New Roman"/>
          <w:sz w:val="28"/>
          <w:szCs w:val="28"/>
        </w:rPr>
        <w:t>.</w:t>
      </w:r>
    </w:p>
    <w:p w:rsidR="00F955B8" w:rsidRPr="00F955B8" w:rsidRDefault="00F955B8" w:rsidP="00F955B8">
      <w:pPr>
        <w:pStyle w:val="LegalList1"/>
        <w:spacing w:line="360" w:lineRule="auto"/>
        <w:ind w:left="131" w:firstLine="720"/>
        <w:rPr>
          <w:rFonts w:ascii="Times New Roman" w:hAnsi="Times New Roman"/>
          <w:b/>
          <w:i/>
          <w:sz w:val="28"/>
          <w:szCs w:val="28"/>
        </w:rPr>
      </w:pPr>
      <w:r w:rsidRPr="00F955B8">
        <w:rPr>
          <w:rFonts w:ascii="Times New Roman" w:hAnsi="Times New Roman"/>
          <w:b/>
          <w:i/>
          <w:sz w:val="28"/>
          <w:szCs w:val="28"/>
        </w:rPr>
        <w:t>Failure to include co-trustee as co-applicant</w:t>
      </w:r>
    </w:p>
    <w:p w:rsidR="00407B2A" w:rsidRPr="00407B2A" w:rsidRDefault="00232999" w:rsidP="00232999">
      <w:pPr>
        <w:pStyle w:val="LegalList1"/>
        <w:spacing w:line="360" w:lineRule="auto"/>
        <w:ind w:left="851" w:hanging="851"/>
        <w:rPr>
          <w:rFonts w:ascii="Times New Roman" w:hAnsi="Times New Roman"/>
          <w:sz w:val="28"/>
          <w:szCs w:val="28"/>
        </w:rPr>
      </w:pPr>
      <w:r w:rsidRPr="00407B2A">
        <w:rPr>
          <w:rFonts w:ascii="Times New Roman" w:hAnsi="Times New Roman"/>
          <w:sz w:val="28"/>
          <w:szCs w:val="28"/>
        </w:rPr>
        <w:t>[31]</w:t>
      </w:r>
      <w:r w:rsidRPr="00407B2A">
        <w:rPr>
          <w:rFonts w:ascii="Times New Roman" w:hAnsi="Times New Roman"/>
          <w:sz w:val="28"/>
          <w:szCs w:val="28"/>
        </w:rPr>
        <w:tab/>
      </w:r>
      <w:r w:rsidR="00D878DC">
        <w:rPr>
          <w:rFonts w:ascii="Times New Roman" w:hAnsi="Times New Roman"/>
          <w:color w:val="000000"/>
          <w:sz w:val="28"/>
          <w:szCs w:val="28"/>
        </w:rPr>
        <w:t>At the time of this application</w:t>
      </w:r>
      <w:r w:rsidR="005966F0">
        <w:rPr>
          <w:rFonts w:ascii="Times New Roman" w:hAnsi="Times New Roman"/>
          <w:color w:val="000000"/>
          <w:sz w:val="28"/>
          <w:szCs w:val="28"/>
        </w:rPr>
        <w:t xml:space="preserve"> </w:t>
      </w:r>
      <w:r w:rsidR="003D159C">
        <w:rPr>
          <w:rFonts w:ascii="Times New Roman" w:hAnsi="Times New Roman"/>
          <w:color w:val="000000"/>
          <w:sz w:val="28"/>
          <w:szCs w:val="28"/>
        </w:rPr>
        <w:t xml:space="preserve">being launched </w:t>
      </w:r>
      <w:r w:rsidR="005966F0">
        <w:rPr>
          <w:rFonts w:ascii="Times New Roman" w:hAnsi="Times New Roman"/>
          <w:color w:val="000000"/>
          <w:sz w:val="28"/>
          <w:szCs w:val="28"/>
        </w:rPr>
        <w:t xml:space="preserve">it was not brought by both the duly appointed insolvency trustees notwithstanding the fact that </w:t>
      </w:r>
      <w:r w:rsidR="006D4BA0">
        <w:rPr>
          <w:rFonts w:ascii="Times New Roman" w:hAnsi="Times New Roman"/>
          <w:color w:val="000000"/>
          <w:sz w:val="28"/>
          <w:szCs w:val="28"/>
        </w:rPr>
        <w:t xml:space="preserve">their joint </w:t>
      </w:r>
      <w:r w:rsidR="0000297A">
        <w:rPr>
          <w:rFonts w:ascii="Times New Roman" w:hAnsi="Times New Roman"/>
          <w:color w:val="000000"/>
          <w:sz w:val="28"/>
          <w:szCs w:val="28"/>
        </w:rPr>
        <w:t>appointment as trustees was made final by way of a certificate of appointment issued by the Master of the high court on 8 April 2019.</w:t>
      </w:r>
    </w:p>
    <w:p w:rsidR="00F91422" w:rsidRPr="00F91422" w:rsidRDefault="00232999" w:rsidP="00232999">
      <w:pPr>
        <w:pStyle w:val="LegalList1"/>
        <w:spacing w:line="360" w:lineRule="auto"/>
        <w:ind w:left="851" w:hanging="851"/>
        <w:rPr>
          <w:rFonts w:ascii="Times New Roman" w:hAnsi="Times New Roman"/>
          <w:sz w:val="28"/>
          <w:szCs w:val="28"/>
        </w:rPr>
      </w:pPr>
      <w:r w:rsidRPr="00F91422">
        <w:rPr>
          <w:rFonts w:ascii="Times New Roman" w:hAnsi="Times New Roman"/>
          <w:sz w:val="28"/>
          <w:szCs w:val="28"/>
        </w:rPr>
        <w:t>[32]</w:t>
      </w:r>
      <w:r w:rsidRPr="00F91422">
        <w:rPr>
          <w:rFonts w:ascii="Times New Roman" w:hAnsi="Times New Roman"/>
          <w:sz w:val="28"/>
          <w:szCs w:val="28"/>
        </w:rPr>
        <w:tab/>
      </w:r>
      <w:r w:rsidR="006D4BA0">
        <w:rPr>
          <w:rFonts w:ascii="Times New Roman" w:hAnsi="Times New Roman"/>
          <w:color w:val="000000"/>
          <w:sz w:val="28"/>
          <w:szCs w:val="28"/>
        </w:rPr>
        <w:t>The founding affidavit to which Ms Joubert had deposed makes no mention</w:t>
      </w:r>
      <w:r w:rsidR="00C02056">
        <w:rPr>
          <w:rFonts w:ascii="Times New Roman" w:hAnsi="Times New Roman"/>
          <w:color w:val="000000"/>
          <w:sz w:val="28"/>
          <w:szCs w:val="28"/>
        </w:rPr>
        <w:t>, express or otherwise, that she had been authorised by her co-trustee Mr Vandayar to bring the application</w:t>
      </w:r>
      <w:r w:rsidR="005F297B">
        <w:rPr>
          <w:rFonts w:ascii="Times New Roman" w:hAnsi="Times New Roman"/>
          <w:color w:val="000000"/>
          <w:sz w:val="28"/>
          <w:szCs w:val="28"/>
        </w:rPr>
        <w:t xml:space="preserve"> and </w:t>
      </w:r>
      <w:r w:rsidR="009420FE">
        <w:rPr>
          <w:rFonts w:ascii="Times New Roman" w:hAnsi="Times New Roman"/>
          <w:color w:val="000000"/>
          <w:sz w:val="28"/>
          <w:szCs w:val="28"/>
        </w:rPr>
        <w:t>that he has consented to the institution of these proceedings</w:t>
      </w:r>
      <w:r w:rsidR="005F297B">
        <w:rPr>
          <w:rFonts w:ascii="Times New Roman" w:hAnsi="Times New Roman"/>
          <w:color w:val="000000"/>
          <w:sz w:val="28"/>
          <w:szCs w:val="28"/>
        </w:rPr>
        <w:t>.</w:t>
      </w:r>
      <w:r w:rsidR="00066395">
        <w:rPr>
          <w:rStyle w:val="FootnoteReference"/>
          <w:rFonts w:ascii="Times New Roman" w:hAnsi="Times New Roman"/>
          <w:color w:val="000000"/>
          <w:sz w:val="28"/>
          <w:szCs w:val="28"/>
        </w:rPr>
        <w:footnoteReference w:id="6"/>
      </w:r>
    </w:p>
    <w:p w:rsidR="00B27EF5" w:rsidRPr="00F91422" w:rsidRDefault="00232999" w:rsidP="00232999">
      <w:pPr>
        <w:pStyle w:val="LegalList1"/>
        <w:spacing w:line="360" w:lineRule="auto"/>
        <w:ind w:left="851" w:hanging="851"/>
        <w:rPr>
          <w:rFonts w:ascii="Times New Roman" w:hAnsi="Times New Roman"/>
          <w:sz w:val="28"/>
          <w:szCs w:val="28"/>
        </w:rPr>
      </w:pPr>
      <w:r w:rsidRPr="00F91422">
        <w:rPr>
          <w:rFonts w:ascii="Times New Roman" w:hAnsi="Times New Roman"/>
          <w:sz w:val="28"/>
          <w:szCs w:val="28"/>
        </w:rPr>
        <w:lastRenderedPageBreak/>
        <w:t>[33]</w:t>
      </w:r>
      <w:r w:rsidRPr="00F91422">
        <w:rPr>
          <w:rFonts w:ascii="Times New Roman" w:hAnsi="Times New Roman"/>
          <w:sz w:val="28"/>
          <w:szCs w:val="28"/>
        </w:rPr>
        <w:tab/>
      </w:r>
      <w:r w:rsidR="00066395">
        <w:rPr>
          <w:rFonts w:ascii="Times New Roman" w:hAnsi="Times New Roman"/>
          <w:color w:val="000000"/>
          <w:sz w:val="28"/>
          <w:szCs w:val="28"/>
        </w:rPr>
        <w:t xml:space="preserve">Joint trustees </w:t>
      </w:r>
      <w:r w:rsidR="00AA69D5">
        <w:rPr>
          <w:rFonts w:ascii="Times New Roman" w:hAnsi="Times New Roman"/>
          <w:color w:val="000000"/>
          <w:sz w:val="28"/>
          <w:szCs w:val="28"/>
        </w:rPr>
        <w:t>are one persona.</w:t>
      </w:r>
      <w:r w:rsidR="00AA69D5">
        <w:rPr>
          <w:rStyle w:val="FootnoteReference"/>
          <w:rFonts w:ascii="Times New Roman" w:hAnsi="Times New Roman"/>
          <w:color w:val="000000"/>
          <w:sz w:val="28"/>
          <w:szCs w:val="28"/>
        </w:rPr>
        <w:footnoteReference w:id="7"/>
      </w:r>
      <w:r w:rsidR="00AA69D5">
        <w:rPr>
          <w:rFonts w:ascii="Times New Roman" w:hAnsi="Times New Roman"/>
          <w:color w:val="000000"/>
          <w:sz w:val="28"/>
          <w:szCs w:val="28"/>
        </w:rPr>
        <w:t xml:space="preserve"> They </w:t>
      </w:r>
      <w:r w:rsidR="002E3299">
        <w:rPr>
          <w:rFonts w:ascii="Times New Roman" w:hAnsi="Times New Roman"/>
          <w:color w:val="000000"/>
          <w:sz w:val="28"/>
          <w:szCs w:val="28"/>
        </w:rPr>
        <w:t>must act jointly – they are the channel through which the insolvent estate can sue</w:t>
      </w:r>
      <w:r w:rsidR="00631FDB">
        <w:rPr>
          <w:rFonts w:ascii="Times New Roman" w:hAnsi="Times New Roman"/>
          <w:color w:val="000000"/>
          <w:sz w:val="28"/>
          <w:szCs w:val="28"/>
        </w:rPr>
        <w:t>.</w:t>
      </w:r>
      <w:r w:rsidR="00631FDB">
        <w:rPr>
          <w:rStyle w:val="FootnoteReference"/>
          <w:rFonts w:ascii="Times New Roman" w:hAnsi="Times New Roman"/>
          <w:color w:val="000000"/>
          <w:sz w:val="28"/>
          <w:szCs w:val="28"/>
        </w:rPr>
        <w:footnoteReference w:id="8"/>
      </w:r>
      <w:r w:rsidR="00A4284C">
        <w:rPr>
          <w:rFonts w:ascii="Times New Roman" w:hAnsi="Times New Roman"/>
          <w:color w:val="000000"/>
          <w:sz w:val="28"/>
          <w:szCs w:val="28"/>
        </w:rPr>
        <w:t xml:space="preserve"> Where Mr Vandayar had not been before this court as co-trustee at the time of the institution of these proceedings</w:t>
      </w:r>
      <w:r w:rsidR="00C62ED9">
        <w:rPr>
          <w:rFonts w:ascii="Times New Roman" w:hAnsi="Times New Roman"/>
          <w:color w:val="000000"/>
          <w:sz w:val="28"/>
          <w:szCs w:val="28"/>
        </w:rPr>
        <w:t>, the defect cannot be regarded as anything formal which is capable of being condoned.</w:t>
      </w:r>
      <w:r w:rsidR="00C62ED9">
        <w:rPr>
          <w:rStyle w:val="FootnoteReference"/>
          <w:rFonts w:ascii="Times New Roman" w:hAnsi="Times New Roman"/>
          <w:color w:val="000000"/>
          <w:sz w:val="28"/>
          <w:szCs w:val="28"/>
        </w:rPr>
        <w:footnoteReference w:id="9"/>
      </w:r>
    </w:p>
    <w:p w:rsidR="00F91422" w:rsidRPr="00E43B4D" w:rsidRDefault="00232999" w:rsidP="00232999">
      <w:pPr>
        <w:pStyle w:val="LegalList1"/>
        <w:spacing w:line="360" w:lineRule="auto"/>
        <w:ind w:left="851" w:hanging="851"/>
        <w:rPr>
          <w:rFonts w:ascii="Times New Roman" w:hAnsi="Times New Roman"/>
          <w:sz w:val="28"/>
          <w:szCs w:val="28"/>
        </w:rPr>
      </w:pPr>
      <w:r w:rsidRPr="00E43B4D">
        <w:rPr>
          <w:rFonts w:ascii="Times New Roman" w:hAnsi="Times New Roman"/>
          <w:sz w:val="28"/>
          <w:szCs w:val="28"/>
        </w:rPr>
        <w:t>[34]</w:t>
      </w:r>
      <w:r w:rsidRPr="00E43B4D">
        <w:rPr>
          <w:rFonts w:ascii="Times New Roman" w:hAnsi="Times New Roman"/>
          <w:sz w:val="28"/>
          <w:szCs w:val="28"/>
        </w:rPr>
        <w:tab/>
      </w:r>
      <w:r w:rsidR="00407B2A">
        <w:rPr>
          <w:rFonts w:ascii="Times New Roman" w:hAnsi="Times New Roman"/>
          <w:color w:val="000000"/>
          <w:sz w:val="28"/>
          <w:szCs w:val="28"/>
        </w:rPr>
        <w:t>Accordingly, t</w:t>
      </w:r>
      <w:r w:rsidR="00F91422">
        <w:rPr>
          <w:rFonts w:ascii="Times New Roman" w:hAnsi="Times New Roman"/>
          <w:color w:val="000000"/>
          <w:sz w:val="28"/>
          <w:szCs w:val="28"/>
        </w:rPr>
        <w:t>he institution of this application by Ms Joubert</w:t>
      </w:r>
      <w:r w:rsidR="00F955B8">
        <w:rPr>
          <w:rFonts w:ascii="Times New Roman" w:hAnsi="Times New Roman"/>
          <w:color w:val="000000"/>
          <w:sz w:val="28"/>
          <w:szCs w:val="28"/>
        </w:rPr>
        <w:t xml:space="preserve"> ostensibly as sole trustee, is </w:t>
      </w:r>
      <w:r w:rsidR="00407B2A">
        <w:rPr>
          <w:rFonts w:ascii="Times New Roman" w:hAnsi="Times New Roman"/>
          <w:color w:val="000000"/>
          <w:sz w:val="28"/>
          <w:szCs w:val="28"/>
        </w:rPr>
        <w:t>a</w:t>
      </w:r>
      <w:r w:rsidR="00F955B8">
        <w:rPr>
          <w:rFonts w:ascii="Times New Roman" w:hAnsi="Times New Roman"/>
          <w:color w:val="000000"/>
          <w:sz w:val="28"/>
          <w:szCs w:val="28"/>
        </w:rPr>
        <w:t xml:space="preserve"> nullity.</w:t>
      </w:r>
    </w:p>
    <w:p w:rsidR="007C788F" w:rsidRPr="007C788F" w:rsidRDefault="007C788F" w:rsidP="007C788F">
      <w:pPr>
        <w:pStyle w:val="LegalList1"/>
        <w:spacing w:line="360" w:lineRule="auto"/>
        <w:ind w:left="131" w:firstLine="720"/>
        <w:rPr>
          <w:rFonts w:ascii="Times New Roman" w:hAnsi="Times New Roman"/>
          <w:b/>
          <w:i/>
          <w:sz w:val="28"/>
          <w:szCs w:val="28"/>
        </w:rPr>
      </w:pPr>
      <w:r>
        <w:rPr>
          <w:rFonts w:ascii="Times New Roman" w:hAnsi="Times New Roman"/>
          <w:b/>
          <w:i/>
          <w:sz w:val="28"/>
          <w:szCs w:val="28"/>
        </w:rPr>
        <w:t>‘</w:t>
      </w:r>
      <w:r w:rsidRPr="007C788F">
        <w:rPr>
          <w:rFonts w:ascii="Times New Roman" w:hAnsi="Times New Roman"/>
          <w:b/>
          <w:i/>
          <w:sz w:val="28"/>
          <w:szCs w:val="28"/>
        </w:rPr>
        <w:t>Vested rights</w:t>
      </w:r>
      <w:r>
        <w:rPr>
          <w:rFonts w:ascii="Times New Roman" w:hAnsi="Times New Roman"/>
          <w:b/>
          <w:i/>
          <w:sz w:val="28"/>
          <w:szCs w:val="28"/>
        </w:rPr>
        <w:t>’</w:t>
      </w:r>
    </w:p>
    <w:p w:rsidR="008A696E" w:rsidRPr="008A696E" w:rsidRDefault="00232999" w:rsidP="00232999">
      <w:pPr>
        <w:pStyle w:val="LegalList1"/>
        <w:spacing w:line="360" w:lineRule="auto"/>
        <w:ind w:left="851" w:hanging="851"/>
        <w:rPr>
          <w:rFonts w:ascii="Times New Roman" w:hAnsi="Times New Roman"/>
          <w:sz w:val="28"/>
          <w:szCs w:val="28"/>
        </w:rPr>
      </w:pPr>
      <w:r w:rsidRPr="008A696E">
        <w:rPr>
          <w:rFonts w:ascii="Times New Roman" w:hAnsi="Times New Roman"/>
          <w:sz w:val="28"/>
          <w:szCs w:val="28"/>
        </w:rPr>
        <w:t>[35]</w:t>
      </w:r>
      <w:r w:rsidRPr="008A696E">
        <w:rPr>
          <w:rFonts w:ascii="Times New Roman" w:hAnsi="Times New Roman"/>
          <w:sz w:val="28"/>
          <w:szCs w:val="28"/>
        </w:rPr>
        <w:tab/>
      </w:r>
      <w:r w:rsidR="008A696E" w:rsidRPr="008A696E">
        <w:rPr>
          <w:rFonts w:ascii="Times New Roman" w:hAnsi="Times New Roman"/>
          <w:color w:val="000000"/>
          <w:sz w:val="28"/>
          <w:szCs w:val="28"/>
        </w:rPr>
        <w:t xml:space="preserve">It is not in dispute that Soleil was placed under provisional liquidation by this court on 8 September 2020 on the basis </w:t>
      </w:r>
      <w:r w:rsidR="007C788F">
        <w:rPr>
          <w:rFonts w:ascii="Times New Roman" w:hAnsi="Times New Roman"/>
          <w:color w:val="000000"/>
          <w:sz w:val="28"/>
          <w:szCs w:val="28"/>
        </w:rPr>
        <w:t xml:space="preserve">of its inability to pay </w:t>
      </w:r>
      <w:r w:rsidR="008A696E" w:rsidRPr="008A696E">
        <w:rPr>
          <w:rFonts w:ascii="Times New Roman" w:hAnsi="Times New Roman"/>
          <w:color w:val="000000"/>
          <w:sz w:val="28"/>
          <w:szCs w:val="28"/>
        </w:rPr>
        <w:t>its debts, nor is it</w:t>
      </w:r>
      <w:r w:rsidR="00D97632" w:rsidRPr="008A696E">
        <w:rPr>
          <w:rFonts w:ascii="Times New Roman" w:hAnsi="Times New Roman"/>
          <w:color w:val="000000"/>
          <w:sz w:val="28"/>
          <w:szCs w:val="28"/>
        </w:rPr>
        <w:t xml:space="preserve"> disputed that the application for the winding up of Soleil was lodged </w:t>
      </w:r>
      <w:r w:rsidR="00C75FE2" w:rsidRPr="008A696E">
        <w:rPr>
          <w:rFonts w:ascii="Times New Roman" w:hAnsi="Times New Roman"/>
          <w:color w:val="000000"/>
          <w:sz w:val="28"/>
          <w:szCs w:val="28"/>
        </w:rPr>
        <w:t xml:space="preserve">and issued </w:t>
      </w:r>
      <w:r w:rsidR="00D97632" w:rsidRPr="008A696E">
        <w:rPr>
          <w:rFonts w:ascii="Times New Roman" w:hAnsi="Times New Roman"/>
          <w:color w:val="000000"/>
          <w:sz w:val="28"/>
          <w:szCs w:val="28"/>
        </w:rPr>
        <w:t>on 10 June 2020.</w:t>
      </w:r>
    </w:p>
    <w:p w:rsidR="00D97632" w:rsidRPr="00C776CD" w:rsidRDefault="00232999" w:rsidP="00232999">
      <w:pPr>
        <w:pStyle w:val="LegalList1"/>
        <w:spacing w:line="360" w:lineRule="auto"/>
        <w:ind w:left="851" w:hanging="851"/>
        <w:rPr>
          <w:rFonts w:ascii="Times New Roman" w:hAnsi="Times New Roman"/>
          <w:sz w:val="28"/>
          <w:szCs w:val="28"/>
        </w:rPr>
      </w:pPr>
      <w:r w:rsidRPr="00C776CD">
        <w:rPr>
          <w:rFonts w:ascii="Times New Roman" w:hAnsi="Times New Roman"/>
          <w:sz w:val="28"/>
          <w:szCs w:val="28"/>
        </w:rPr>
        <w:t>[36]</w:t>
      </w:r>
      <w:r w:rsidRPr="00C776CD">
        <w:rPr>
          <w:rFonts w:ascii="Times New Roman" w:hAnsi="Times New Roman"/>
          <w:sz w:val="28"/>
          <w:szCs w:val="28"/>
        </w:rPr>
        <w:tab/>
      </w:r>
      <w:r w:rsidR="005923FB">
        <w:rPr>
          <w:rFonts w:ascii="Times New Roman" w:hAnsi="Times New Roman"/>
          <w:color w:val="000000"/>
          <w:sz w:val="28"/>
          <w:szCs w:val="28"/>
        </w:rPr>
        <w:t>For purposes of section 348 of</w:t>
      </w:r>
      <w:r w:rsidR="00C75FE2">
        <w:rPr>
          <w:rFonts w:ascii="Times New Roman" w:hAnsi="Times New Roman"/>
          <w:color w:val="000000"/>
          <w:sz w:val="28"/>
          <w:szCs w:val="28"/>
        </w:rPr>
        <w:t xml:space="preserve"> the Companies Act</w:t>
      </w:r>
      <w:r w:rsidR="00E853BD">
        <w:rPr>
          <w:rFonts w:ascii="Times New Roman" w:hAnsi="Times New Roman"/>
          <w:color w:val="000000"/>
          <w:sz w:val="28"/>
          <w:szCs w:val="28"/>
        </w:rPr>
        <w:t xml:space="preserve"> of 1973</w:t>
      </w:r>
      <w:r w:rsidR="00C75FE2">
        <w:rPr>
          <w:rStyle w:val="FootnoteReference"/>
          <w:rFonts w:ascii="Times New Roman" w:hAnsi="Times New Roman"/>
          <w:color w:val="000000"/>
          <w:sz w:val="28"/>
          <w:szCs w:val="28"/>
        </w:rPr>
        <w:footnoteReference w:id="10"/>
      </w:r>
      <w:r w:rsidR="00C75FE2">
        <w:rPr>
          <w:rFonts w:ascii="Times New Roman" w:hAnsi="Times New Roman"/>
          <w:color w:val="000000"/>
          <w:sz w:val="28"/>
          <w:szCs w:val="28"/>
        </w:rPr>
        <w:t xml:space="preserve"> a winding</w:t>
      </w:r>
      <w:r w:rsidR="00C776CD">
        <w:rPr>
          <w:rFonts w:ascii="Times New Roman" w:hAnsi="Times New Roman"/>
          <w:color w:val="000000"/>
          <w:sz w:val="28"/>
          <w:szCs w:val="28"/>
        </w:rPr>
        <w:t>-</w:t>
      </w:r>
      <w:r w:rsidR="00C75FE2">
        <w:rPr>
          <w:rFonts w:ascii="Times New Roman" w:hAnsi="Times New Roman"/>
          <w:color w:val="000000"/>
          <w:sz w:val="28"/>
          <w:szCs w:val="28"/>
        </w:rPr>
        <w:t>up of a company by the court shall be deemed to commence at the time of the presentation to the court of the application for the winding</w:t>
      </w:r>
      <w:r w:rsidR="00C776CD">
        <w:rPr>
          <w:rFonts w:ascii="Times New Roman" w:hAnsi="Times New Roman"/>
          <w:color w:val="000000"/>
          <w:sz w:val="28"/>
          <w:szCs w:val="28"/>
        </w:rPr>
        <w:t>-</w:t>
      </w:r>
      <w:r w:rsidR="00C75FE2">
        <w:rPr>
          <w:rFonts w:ascii="Times New Roman" w:hAnsi="Times New Roman"/>
          <w:color w:val="000000"/>
          <w:sz w:val="28"/>
          <w:szCs w:val="28"/>
        </w:rPr>
        <w:t>up</w:t>
      </w:r>
      <w:r w:rsidR="00C776CD">
        <w:rPr>
          <w:rFonts w:ascii="Times New Roman" w:hAnsi="Times New Roman"/>
          <w:color w:val="000000"/>
          <w:sz w:val="28"/>
          <w:szCs w:val="28"/>
        </w:rPr>
        <w:t>. This means that the winding up commences when the application has been duly lodged with the registrar of the court.</w:t>
      </w:r>
    </w:p>
    <w:p w:rsidR="00F22EF5" w:rsidRPr="00D97632" w:rsidRDefault="00232999" w:rsidP="00232999">
      <w:pPr>
        <w:pStyle w:val="LegalList1"/>
        <w:spacing w:line="360" w:lineRule="auto"/>
        <w:ind w:left="851" w:hanging="851"/>
        <w:rPr>
          <w:rFonts w:ascii="Times New Roman" w:hAnsi="Times New Roman"/>
          <w:sz w:val="28"/>
          <w:szCs w:val="28"/>
        </w:rPr>
      </w:pPr>
      <w:r w:rsidRPr="00D97632">
        <w:rPr>
          <w:rFonts w:ascii="Times New Roman" w:hAnsi="Times New Roman"/>
          <w:sz w:val="28"/>
          <w:szCs w:val="28"/>
        </w:rPr>
        <w:t>[37]</w:t>
      </w:r>
      <w:r w:rsidRPr="00D97632">
        <w:rPr>
          <w:rFonts w:ascii="Times New Roman" w:hAnsi="Times New Roman"/>
          <w:sz w:val="28"/>
          <w:szCs w:val="28"/>
        </w:rPr>
        <w:tab/>
      </w:r>
      <w:r w:rsidR="00F22EF5">
        <w:rPr>
          <w:rFonts w:ascii="Times New Roman" w:hAnsi="Times New Roman"/>
          <w:color w:val="000000"/>
          <w:sz w:val="28"/>
          <w:szCs w:val="28"/>
        </w:rPr>
        <w:t>Under section 341(2)</w:t>
      </w:r>
      <w:r w:rsidR="0097699C">
        <w:rPr>
          <w:rFonts w:ascii="Times New Roman" w:hAnsi="Times New Roman"/>
          <w:color w:val="000000"/>
          <w:sz w:val="28"/>
          <w:szCs w:val="28"/>
        </w:rPr>
        <w:t xml:space="preserve"> of the Act aforementioned every disposition of</w:t>
      </w:r>
      <w:r w:rsidR="00E00DE9">
        <w:rPr>
          <w:rFonts w:ascii="Times New Roman" w:hAnsi="Times New Roman"/>
          <w:color w:val="000000"/>
          <w:sz w:val="28"/>
          <w:szCs w:val="28"/>
        </w:rPr>
        <w:t xml:space="preserve"> its</w:t>
      </w:r>
      <w:r w:rsidR="0097699C">
        <w:rPr>
          <w:rFonts w:ascii="Times New Roman" w:hAnsi="Times New Roman"/>
          <w:color w:val="000000"/>
          <w:sz w:val="28"/>
          <w:szCs w:val="28"/>
        </w:rPr>
        <w:t xml:space="preserve"> property </w:t>
      </w:r>
      <w:r w:rsidR="00E00DE9">
        <w:rPr>
          <w:rFonts w:ascii="Times New Roman" w:hAnsi="Times New Roman"/>
          <w:color w:val="000000"/>
          <w:sz w:val="28"/>
          <w:szCs w:val="28"/>
        </w:rPr>
        <w:t xml:space="preserve">by a company </w:t>
      </w:r>
      <w:r w:rsidR="0097699C">
        <w:rPr>
          <w:rFonts w:ascii="Times New Roman" w:hAnsi="Times New Roman"/>
          <w:color w:val="000000"/>
          <w:sz w:val="28"/>
          <w:szCs w:val="28"/>
        </w:rPr>
        <w:t>being wound-up and unable to pay its debts made after the commencement of the winding-up shall be void unless the court otherwise orders.</w:t>
      </w:r>
    </w:p>
    <w:p w:rsidR="00D97632"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[38]</w:t>
      </w:r>
      <w:r>
        <w:rPr>
          <w:rFonts w:ascii="Times New Roman" w:hAnsi="Times New Roman"/>
          <w:sz w:val="28"/>
          <w:szCs w:val="28"/>
        </w:rPr>
        <w:tab/>
      </w:r>
      <w:r w:rsidR="00F002A1">
        <w:rPr>
          <w:rFonts w:ascii="Times New Roman" w:hAnsi="Times New Roman"/>
          <w:color w:val="000000"/>
          <w:sz w:val="28"/>
          <w:szCs w:val="28"/>
        </w:rPr>
        <w:t xml:space="preserve">It has been held that the effect of section 348 is to establish the </w:t>
      </w:r>
      <w:r w:rsidR="00F002A1" w:rsidRPr="00F002A1">
        <w:rPr>
          <w:rFonts w:ascii="Times New Roman" w:hAnsi="Times New Roman"/>
          <w:i/>
          <w:color w:val="000000"/>
          <w:sz w:val="28"/>
          <w:szCs w:val="28"/>
        </w:rPr>
        <w:t>concursus</w:t>
      </w:r>
      <w:r w:rsidR="00F002A1">
        <w:rPr>
          <w:rFonts w:ascii="Times New Roman" w:hAnsi="Times New Roman"/>
          <w:color w:val="000000"/>
          <w:sz w:val="28"/>
          <w:szCs w:val="28"/>
        </w:rPr>
        <w:t xml:space="preserve"> </w:t>
      </w:r>
      <w:r w:rsidR="00F002A1" w:rsidRPr="00F002A1">
        <w:rPr>
          <w:rFonts w:ascii="Times New Roman" w:hAnsi="Times New Roman"/>
          <w:i/>
          <w:color w:val="000000"/>
          <w:sz w:val="28"/>
          <w:szCs w:val="28"/>
        </w:rPr>
        <w:t>creditorum</w:t>
      </w:r>
      <w:r w:rsidR="00F002A1">
        <w:rPr>
          <w:rFonts w:ascii="Times New Roman" w:hAnsi="Times New Roman"/>
          <w:color w:val="000000"/>
          <w:sz w:val="28"/>
          <w:szCs w:val="28"/>
        </w:rPr>
        <w:t xml:space="preserve"> at the time when the application for winding-up is lodged.</w:t>
      </w:r>
      <w:r w:rsidR="00E853BD">
        <w:rPr>
          <w:rFonts w:ascii="Times New Roman" w:hAnsi="Times New Roman"/>
          <w:color w:val="000000"/>
          <w:sz w:val="28"/>
          <w:szCs w:val="28"/>
        </w:rPr>
        <w:t xml:space="preserve"> It has been held further that section 341(2) of the</w:t>
      </w:r>
      <w:r w:rsidR="00E00DE9">
        <w:rPr>
          <w:rFonts w:ascii="Times New Roman" w:hAnsi="Times New Roman"/>
          <w:color w:val="000000"/>
          <w:sz w:val="28"/>
          <w:szCs w:val="28"/>
        </w:rPr>
        <w:t xml:space="preserve"> 1973 A</w:t>
      </w:r>
      <w:r w:rsidR="00E853BD">
        <w:rPr>
          <w:rFonts w:ascii="Times New Roman" w:hAnsi="Times New Roman"/>
          <w:color w:val="000000"/>
          <w:sz w:val="28"/>
          <w:szCs w:val="28"/>
        </w:rPr>
        <w:t xml:space="preserve">ct </w:t>
      </w:r>
      <w:r w:rsidR="00AC4E0B">
        <w:rPr>
          <w:rFonts w:ascii="Times New Roman" w:hAnsi="Times New Roman"/>
          <w:color w:val="000000"/>
          <w:sz w:val="28"/>
          <w:szCs w:val="28"/>
        </w:rPr>
        <w:t xml:space="preserve">proscribes </w:t>
      </w:r>
      <w:r w:rsidR="0020368F">
        <w:rPr>
          <w:rFonts w:ascii="Times New Roman" w:hAnsi="Times New Roman"/>
          <w:sz w:val="28"/>
          <w:szCs w:val="28"/>
        </w:rPr>
        <w:t>the disposition of a company’s assets after the lodging of an application to wind-up and that such disposition is void unless the court otherwise orders.</w:t>
      </w:r>
      <w:r w:rsidR="0020368F">
        <w:rPr>
          <w:rStyle w:val="FootnoteReference"/>
          <w:rFonts w:ascii="Times New Roman" w:hAnsi="Times New Roman"/>
          <w:sz w:val="28"/>
          <w:szCs w:val="28"/>
        </w:rPr>
        <w:footnoteReference w:id="11"/>
      </w:r>
      <w:r w:rsidR="008771BE">
        <w:rPr>
          <w:rFonts w:ascii="Times New Roman" w:hAnsi="Times New Roman"/>
          <w:sz w:val="28"/>
          <w:szCs w:val="28"/>
        </w:rPr>
        <w:t xml:space="preserve"> The legislation retrospectively avoids transactions that may have been legitim</w:t>
      </w:r>
      <w:r w:rsidR="00C631DB">
        <w:rPr>
          <w:rFonts w:ascii="Times New Roman" w:hAnsi="Times New Roman"/>
          <w:sz w:val="28"/>
          <w:szCs w:val="28"/>
        </w:rPr>
        <w:t>ate when they were entered into. R</w:t>
      </w:r>
      <w:r w:rsidR="008771BE">
        <w:rPr>
          <w:rFonts w:ascii="Times New Roman" w:hAnsi="Times New Roman"/>
          <w:sz w:val="28"/>
          <w:szCs w:val="28"/>
        </w:rPr>
        <w:t>elief</w:t>
      </w:r>
      <w:r w:rsidR="00C631DB">
        <w:rPr>
          <w:rFonts w:ascii="Times New Roman" w:hAnsi="Times New Roman"/>
          <w:sz w:val="28"/>
          <w:szCs w:val="28"/>
        </w:rPr>
        <w:t>, however, cannot be granted to compel performance by an insolvent company after commencement of a winding-up</w:t>
      </w:r>
      <w:r w:rsidR="00416AB7">
        <w:rPr>
          <w:rFonts w:ascii="Times New Roman" w:hAnsi="Times New Roman"/>
          <w:sz w:val="28"/>
          <w:szCs w:val="28"/>
        </w:rPr>
        <w:t xml:space="preserve"> for the reason that such an order would create rights and obligations and render valid what had become void.</w:t>
      </w:r>
      <w:r w:rsidR="00416AB7">
        <w:rPr>
          <w:rStyle w:val="FootnoteReference"/>
          <w:rFonts w:ascii="Times New Roman" w:hAnsi="Times New Roman"/>
          <w:sz w:val="28"/>
          <w:szCs w:val="28"/>
        </w:rPr>
        <w:footnoteReference w:id="12"/>
      </w:r>
      <w:r w:rsidR="00C631DB">
        <w:rPr>
          <w:rFonts w:ascii="Times New Roman" w:hAnsi="Times New Roman"/>
          <w:sz w:val="28"/>
          <w:szCs w:val="28"/>
        </w:rPr>
        <w:t xml:space="preserve"> </w:t>
      </w:r>
    </w:p>
    <w:p w:rsidR="00416AB7" w:rsidRPr="00D97632" w:rsidRDefault="00232999" w:rsidP="00232999">
      <w:pPr>
        <w:pStyle w:val="LegalList1"/>
        <w:spacing w:line="360" w:lineRule="auto"/>
        <w:ind w:left="851" w:hanging="851"/>
        <w:rPr>
          <w:rFonts w:ascii="Times New Roman" w:hAnsi="Times New Roman"/>
          <w:sz w:val="28"/>
          <w:szCs w:val="28"/>
        </w:rPr>
      </w:pPr>
      <w:r w:rsidRPr="00D97632">
        <w:rPr>
          <w:rFonts w:ascii="Times New Roman" w:hAnsi="Times New Roman"/>
          <w:sz w:val="28"/>
          <w:szCs w:val="28"/>
        </w:rPr>
        <w:t>[39]</w:t>
      </w:r>
      <w:r w:rsidRPr="00D97632">
        <w:rPr>
          <w:rFonts w:ascii="Times New Roman" w:hAnsi="Times New Roman"/>
          <w:sz w:val="28"/>
          <w:szCs w:val="28"/>
        </w:rPr>
        <w:tab/>
      </w:r>
      <w:r w:rsidR="004931AB">
        <w:rPr>
          <w:rFonts w:ascii="Times New Roman" w:hAnsi="Times New Roman"/>
          <w:sz w:val="28"/>
          <w:szCs w:val="28"/>
        </w:rPr>
        <w:t xml:space="preserve">Upon the grant of a provisional order a </w:t>
      </w:r>
      <w:r w:rsidR="004931AB" w:rsidRPr="00F002A1">
        <w:rPr>
          <w:rFonts w:ascii="Times New Roman" w:hAnsi="Times New Roman"/>
          <w:i/>
          <w:color w:val="000000"/>
          <w:sz w:val="28"/>
          <w:szCs w:val="28"/>
        </w:rPr>
        <w:t>concursus</w:t>
      </w:r>
      <w:r w:rsidR="004931AB">
        <w:rPr>
          <w:rFonts w:ascii="Times New Roman" w:hAnsi="Times New Roman"/>
          <w:color w:val="000000"/>
          <w:sz w:val="28"/>
          <w:szCs w:val="28"/>
        </w:rPr>
        <w:t xml:space="preserve"> </w:t>
      </w:r>
      <w:r w:rsidR="004931AB" w:rsidRPr="00F002A1">
        <w:rPr>
          <w:rFonts w:ascii="Times New Roman" w:hAnsi="Times New Roman"/>
          <w:i/>
          <w:color w:val="000000"/>
          <w:sz w:val="28"/>
          <w:szCs w:val="28"/>
        </w:rPr>
        <w:t>creditorum</w:t>
      </w:r>
      <w:r w:rsidR="004931AB">
        <w:rPr>
          <w:rFonts w:ascii="Times New Roman" w:hAnsi="Times New Roman"/>
          <w:i/>
          <w:color w:val="000000"/>
          <w:sz w:val="28"/>
          <w:szCs w:val="28"/>
        </w:rPr>
        <w:t xml:space="preserve"> </w:t>
      </w:r>
      <w:r w:rsidR="004931AB">
        <w:rPr>
          <w:rFonts w:ascii="Times New Roman" w:hAnsi="Times New Roman"/>
          <w:color w:val="000000"/>
          <w:sz w:val="28"/>
          <w:szCs w:val="28"/>
        </w:rPr>
        <w:t>is established – the effect whereof is that the claim of each creditor falls to be dealt with as it existed at the time when the provisional order was granted.</w:t>
      </w:r>
      <w:r w:rsidR="004931AB">
        <w:rPr>
          <w:rStyle w:val="FootnoteReference"/>
          <w:rFonts w:ascii="Times New Roman" w:hAnsi="Times New Roman"/>
          <w:color w:val="000000"/>
          <w:sz w:val="28"/>
          <w:szCs w:val="28"/>
        </w:rPr>
        <w:footnoteReference w:id="13"/>
      </w:r>
      <w:r w:rsidR="00204652">
        <w:rPr>
          <w:rFonts w:ascii="Times New Roman" w:hAnsi="Times New Roman"/>
          <w:color w:val="000000"/>
          <w:sz w:val="28"/>
          <w:szCs w:val="28"/>
        </w:rPr>
        <w:t xml:space="preserve"> Put otherwise</w:t>
      </w:r>
      <w:r w:rsidR="008D50D3">
        <w:rPr>
          <w:rFonts w:ascii="Times New Roman" w:hAnsi="Times New Roman"/>
          <w:color w:val="000000"/>
          <w:sz w:val="28"/>
          <w:szCs w:val="28"/>
        </w:rPr>
        <w:t>,</w:t>
      </w:r>
      <w:r w:rsidR="00204652">
        <w:rPr>
          <w:rFonts w:ascii="Times New Roman" w:hAnsi="Times New Roman"/>
          <w:color w:val="000000"/>
          <w:sz w:val="28"/>
          <w:szCs w:val="28"/>
        </w:rPr>
        <w:t xml:space="preserve"> once the </w:t>
      </w:r>
      <w:r w:rsidR="00204652" w:rsidRPr="00FD4244">
        <w:rPr>
          <w:rFonts w:ascii="Times New Roman" w:hAnsi="Times New Roman"/>
          <w:i/>
          <w:color w:val="000000"/>
          <w:sz w:val="28"/>
          <w:szCs w:val="28"/>
        </w:rPr>
        <w:t>concursus creditorum</w:t>
      </w:r>
      <w:r w:rsidR="00204652">
        <w:rPr>
          <w:rFonts w:ascii="Times New Roman" w:hAnsi="Times New Roman"/>
          <w:color w:val="000000"/>
          <w:sz w:val="28"/>
          <w:szCs w:val="28"/>
        </w:rPr>
        <w:t xml:space="preserve"> is established the rights of creditors become vested and complete</w:t>
      </w:r>
      <w:r w:rsidR="00204652">
        <w:rPr>
          <w:rStyle w:val="FootnoteReference"/>
          <w:rFonts w:ascii="Times New Roman" w:hAnsi="Times New Roman"/>
          <w:color w:val="000000"/>
          <w:sz w:val="28"/>
          <w:szCs w:val="28"/>
        </w:rPr>
        <w:footnoteReference w:id="14"/>
      </w:r>
      <w:r w:rsidR="00D95922">
        <w:rPr>
          <w:rFonts w:ascii="Times New Roman" w:hAnsi="Times New Roman"/>
          <w:color w:val="000000"/>
          <w:sz w:val="28"/>
          <w:szCs w:val="28"/>
        </w:rPr>
        <w:t xml:space="preserve"> which means that the power a court has unde</w:t>
      </w:r>
      <w:r w:rsidR="00FD4244">
        <w:rPr>
          <w:rFonts w:ascii="Times New Roman" w:hAnsi="Times New Roman"/>
          <w:color w:val="000000"/>
          <w:sz w:val="28"/>
          <w:szCs w:val="28"/>
        </w:rPr>
        <w:t>r section 342(2) is only exercisable in relation to dispositions made between the lodging of an application for winding-up and the grant of a provisional order.</w:t>
      </w:r>
      <w:r w:rsidR="00FD4244">
        <w:rPr>
          <w:rStyle w:val="FootnoteReference"/>
          <w:rFonts w:ascii="Times New Roman" w:hAnsi="Times New Roman"/>
          <w:color w:val="000000"/>
          <w:sz w:val="28"/>
          <w:szCs w:val="28"/>
        </w:rPr>
        <w:footnoteReference w:id="15"/>
      </w:r>
    </w:p>
    <w:p w:rsidR="005926AA" w:rsidRPr="005926AA" w:rsidRDefault="00232999" w:rsidP="00232999">
      <w:pPr>
        <w:pStyle w:val="LegalList1"/>
        <w:spacing w:line="360" w:lineRule="auto"/>
        <w:ind w:left="851" w:hanging="851"/>
        <w:rPr>
          <w:rFonts w:ascii="Times New Roman" w:hAnsi="Times New Roman"/>
          <w:sz w:val="28"/>
          <w:szCs w:val="28"/>
        </w:rPr>
      </w:pPr>
      <w:r w:rsidRPr="005926AA">
        <w:rPr>
          <w:rFonts w:ascii="Times New Roman" w:hAnsi="Times New Roman"/>
          <w:sz w:val="28"/>
          <w:szCs w:val="28"/>
        </w:rPr>
        <w:t>[40]</w:t>
      </w:r>
      <w:r w:rsidRPr="005926AA">
        <w:rPr>
          <w:rFonts w:ascii="Times New Roman" w:hAnsi="Times New Roman"/>
          <w:sz w:val="28"/>
          <w:szCs w:val="28"/>
        </w:rPr>
        <w:tab/>
      </w:r>
      <w:r w:rsidR="00CE6727">
        <w:rPr>
          <w:rFonts w:ascii="Times New Roman" w:hAnsi="Times New Roman"/>
          <w:color w:val="000000"/>
          <w:sz w:val="28"/>
          <w:szCs w:val="28"/>
        </w:rPr>
        <w:t>I</w:t>
      </w:r>
      <w:r w:rsidR="009C52AA">
        <w:rPr>
          <w:rFonts w:ascii="Times New Roman" w:hAnsi="Times New Roman"/>
          <w:color w:val="000000"/>
          <w:sz w:val="28"/>
          <w:szCs w:val="28"/>
        </w:rPr>
        <w:t>t is on the basi</w:t>
      </w:r>
      <w:r w:rsidR="00D21F66">
        <w:rPr>
          <w:rFonts w:ascii="Times New Roman" w:hAnsi="Times New Roman"/>
          <w:color w:val="000000"/>
          <w:sz w:val="28"/>
          <w:szCs w:val="28"/>
        </w:rPr>
        <w:t>s of the aforementioned analyses that counsel for FRB submitted that it is not competent for a trustee to assume that a completed disposition</w:t>
      </w:r>
      <w:r w:rsidR="00A1611A">
        <w:rPr>
          <w:rFonts w:ascii="Times New Roman" w:hAnsi="Times New Roman"/>
          <w:color w:val="000000"/>
          <w:sz w:val="28"/>
          <w:szCs w:val="28"/>
        </w:rPr>
        <w:t xml:space="preserve"> be treated as a nullity. </w:t>
      </w:r>
      <w:r w:rsidR="00BE04FD">
        <w:rPr>
          <w:rFonts w:ascii="Times New Roman" w:hAnsi="Times New Roman"/>
          <w:color w:val="000000"/>
          <w:sz w:val="28"/>
          <w:szCs w:val="28"/>
        </w:rPr>
        <w:t xml:space="preserve">He submitted that a trustee should accept the legal position as he finds it and </w:t>
      </w:r>
      <w:r w:rsidR="00635470">
        <w:rPr>
          <w:rFonts w:ascii="Times New Roman" w:hAnsi="Times New Roman"/>
          <w:color w:val="000000"/>
          <w:sz w:val="28"/>
          <w:szCs w:val="28"/>
        </w:rPr>
        <w:t xml:space="preserve">must </w:t>
      </w:r>
      <w:r w:rsidR="00BE04FD">
        <w:rPr>
          <w:rFonts w:ascii="Times New Roman" w:hAnsi="Times New Roman"/>
          <w:color w:val="000000"/>
          <w:sz w:val="28"/>
          <w:szCs w:val="28"/>
        </w:rPr>
        <w:t xml:space="preserve">give effect thereto, unless </w:t>
      </w:r>
      <w:r w:rsidR="00635470">
        <w:rPr>
          <w:rFonts w:ascii="Times New Roman" w:hAnsi="Times New Roman"/>
          <w:color w:val="000000"/>
          <w:sz w:val="28"/>
          <w:szCs w:val="28"/>
        </w:rPr>
        <w:t>t</w:t>
      </w:r>
      <w:r w:rsidR="00BE04FD">
        <w:rPr>
          <w:rFonts w:ascii="Times New Roman" w:hAnsi="Times New Roman"/>
          <w:color w:val="000000"/>
          <w:sz w:val="28"/>
          <w:szCs w:val="28"/>
        </w:rPr>
        <w:t xml:space="preserve">he </w:t>
      </w:r>
      <w:r w:rsidR="00635470">
        <w:rPr>
          <w:rFonts w:ascii="Times New Roman" w:hAnsi="Times New Roman"/>
          <w:color w:val="000000"/>
          <w:sz w:val="28"/>
          <w:szCs w:val="28"/>
        </w:rPr>
        <w:t xml:space="preserve">trustee </w:t>
      </w:r>
      <w:r w:rsidR="00BE04FD">
        <w:rPr>
          <w:rFonts w:ascii="Times New Roman" w:hAnsi="Times New Roman"/>
          <w:color w:val="000000"/>
          <w:sz w:val="28"/>
          <w:szCs w:val="28"/>
        </w:rPr>
        <w:t>succeeds on motion brought in the proper manner to have the disposition set aside</w:t>
      </w:r>
      <w:r w:rsidR="00447624">
        <w:rPr>
          <w:rFonts w:ascii="Times New Roman" w:hAnsi="Times New Roman"/>
          <w:color w:val="000000"/>
          <w:sz w:val="28"/>
          <w:szCs w:val="28"/>
        </w:rPr>
        <w:t xml:space="preserve">. The proceedings for the winding-up of Soleil </w:t>
      </w:r>
      <w:r w:rsidR="00710996">
        <w:rPr>
          <w:rFonts w:ascii="Times New Roman" w:hAnsi="Times New Roman"/>
          <w:color w:val="000000"/>
          <w:sz w:val="28"/>
          <w:szCs w:val="28"/>
        </w:rPr>
        <w:lastRenderedPageBreak/>
        <w:t>commenced</w:t>
      </w:r>
      <w:r w:rsidR="00447624">
        <w:rPr>
          <w:rFonts w:ascii="Times New Roman" w:hAnsi="Times New Roman"/>
          <w:color w:val="000000"/>
          <w:sz w:val="28"/>
          <w:szCs w:val="28"/>
        </w:rPr>
        <w:t xml:space="preserve"> on 10 June 2020</w:t>
      </w:r>
      <w:r w:rsidR="00710996">
        <w:rPr>
          <w:rFonts w:ascii="Times New Roman" w:hAnsi="Times New Roman"/>
          <w:color w:val="000000"/>
          <w:sz w:val="28"/>
          <w:szCs w:val="28"/>
        </w:rPr>
        <w:t xml:space="preserve"> well before</w:t>
      </w:r>
      <w:r w:rsidR="00447624">
        <w:rPr>
          <w:rFonts w:ascii="Times New Roman" w:hAnsi="Times New Roman"/>
          <w:color w:val="000000"/>
          <w:sz w:val="28"/>
          <w:szCs w:val="28"/>
        </w:rPr>
        <w:t xml:space="preserve"> the present</w:t>
      </w:r>
      <w:r w:rsidR="00710996">
        <w:rPr>
          <w:rFonts w:ascii="Times New Roman" w:hAnsi="Times New Roman"/>
          <w:color w:val="000000"/>
          <w:sz w:val="28"/>
          <w:szCs w:val="28"/>
        </w:rPr>
        <w:t xml:space="preserve"> application was launched on 1 September 2020</w:t>
      </w:r>
      <w:r w:rsidR="00447624">
        <w:rPr>
          <w:rFonts w:ascii="Times New Roman" w:hAnsi="Times New Roman"/>
          <w:color w:val="000000"/>
          <w:sz w:val="28"/>
          <w:szCs w:val="28"/>
        </w:rPr>
        <w:t>. S</w:t>
      </w:r>
      <w:r w:rsidR="005926AA">
        <w:rPr>
          <w:rFonts w:ascii="Times New Roman" w:hAnsi="Times New Roman"/>
          <w:color w:val="000000"/>
          <w:sz w:val="28"/>
          <w:szCs w:val="28"/>
        </w:rPr>
        <w:t>oleil therefore had the right and the authority, prior to its liquidation, to bond the subject properties.</w:t>
      </w:r>
    </w:p>
    <w:p w:rsidR="00D97632" w:rsidRPr="00D97632" w:rsidRDefault="00232999" w:rsidP="00232999">
      <w:pPr>
        <w:pStyle w:val="LegalList1"/>
        <w:spacing w:line="360" w:lineRule="auto"/>
        <w:ind w:left="851" w:hanging="851"/>
        <w:rPr>
          <w:rFonts w:ascii="Times New Roman" w:hAnsi="Times New Roman"/>
          <w:sz w:val="28"/>
          <w:szCs w:val="28"/>
        </w:rPr>
      </w:pPr>
      <w:r w:rsidRPr="00D97632">
        <w:rPr>
          <w:rFonts w:ascii="Times New Roman" w:hAnsi="Times New Roman"/>
          <w:sz w:val="28"/>
          <w:szCs w:val="28"/>
        </w:rPr>
        <w:t>[41]</w:t>
      </w:r>
      <w:r w:rsidRPr="00D97632">
        <w:rPr>
          <w:rFonts w:ascii="Times New Roman" w:hAnsi="Times New Roman"/>
          <w:sz w:val="28"/>
          <w:szCs w:val="28"/>
        </w:rPr>
        <w:tab/>
      </w:r>
      <w:r w:rsidR="005926AA">
        <w:rPr>
          <w:rFonts w:ascii="Times New Roman" w:hAnsi="Times New Roman"/>
          <w:color w:val="000000"/>
          <w:sz w:val="28"/>
          <w:szCs w:val="28"/>
        </w:rPr>
        <w:t xml:space="preserve">At the date of the commencement of the winding-up proceedings </w:t>
      </w:r>
      <w:r w:rsidR="00710996">
        <w:rPr>
          <w:rFonts w:ascii="Times New Roman" w:hAnsi="Times New Roman"/>
          <w:color w:val="000000"/>
          <w:sz w:val="28"/>
          <w:szCs w:val="28"/>
        </w:rPr>
        <w:t xml:space="preserve">against </w:t>
      </w:r>
      <w:r w:rsidR="005926AA">
        <w:rPr>
          <w:rFonts w:ascii="Times New Roman" w:hAnsi="Times New Roman"/>
          <w:color w:val="000000"/>
          <w:sz w:val="28"/>
          <w:szCs w:val="28"/>
        </w:rPr>
        <w:t>S</w:t>
      </w:r>
      <w:r w:rsidR="00C639CF">
        <w:rPr>
          <w:rFonts w:ascii="Times New Roman" w:hAnsi="Times New Roman"/>
          <w:color w:val="000000"/>
          <w:sz w:val="28"/>
          <w:szCs w:val="28"/>
        </w:rPr>
        <w:t>oleil the position is that</w:t>
      </w:r>
      <w:r w:rsidR="00710996">
        <w:rPr>
          <w:rFonts w:ascii="Times New Roman" w:hAnsi="Times New Roman"/>
          <w:color w:val="000000"/>
          <w:sz w:val="28"/>
          <w:szCs w:val="28"/>
        </w:rPr>
        <w:t xml:space="preserve"> Soleil</w:t>
      </w:r>
      <w:r w:rsidR="00C639CF">
        <w:rPr>
          <w:rFonts w:ascii="Times New Roman" w:hAnsi="Times New Roman"/>
          <w:color w:val="000000"/>
          <w:sz w:val="28"/>
          <w:szCs w:val="28"/>
        </w:rPr>
        <w:t xml:space="preserve"> was the registered owner of the subject properties that were bonded in favour of FRB</w:t>
      </w:r>
      <w:r w:rsidR="00F56280">
        <w:rPr>
          <w:rFonts w:ascii="Times New Roman" w:hAnsi="Times New Roman"/>
          <w:color w:val="000000"/>
          <w:sz w:val="28"/>
          <w:szCs w:val="28"/>
        </w:rPr>
        <w:t xml:space="preserve">, </w:t>
      </w:r>
      <w:r w:rsidR="00710996">
        <w:rPr>
          <w:rFonts w:ascii="Times New Roman" w:hAnsi="Times New Roman"/>
          <w:color w:val="000000"/>
          <w:sz w:val="28"/>
          <w:szCs w:val="28"/>
        </w:rPr>
        <w:t xml:space="preserve">the latter </w:t>
      </w:r>
      <w:r w:rsidR="00C639CF">
        <w:rPr>
          <w:rFonts w:ascii="Times New Roman" w:hAnsi="Times New Roman"/>
          <w:color w:val="000000"/>
          <w:sz w:val="28"/>
          <w:szCs w:val="28"/>
        </w:rPr>
        <w:t>a secured creditor</w:t>
      </w:r>
      <w:r w:rsidR="00F56280">
        <w:rPr>
          <w:rFonts w:ascii="Times New Roman" w:hAnsi="Times New Roman"/>
          <w:color w:val="000000"/>
          <w:sz w:val="28"/>
          <w:szCs w:val="28"/>
        </w:rPr>
        <w:t xml:space="preserve"> whose rights are vested and complete.</w:t>
      </w:r>
      <w:r w:rsidR="00A1611A">
        <w:rPr>
          <w:rFonts w:ascii="Times New Roman" w:hAnsi="Times New Roman"/>
          <w:color w:val="000000"/>
          <w:sz w:val="28"/>
          <w:szCs w:val="28"/>
        </w:rPr>
        <w:t xml:space="preserve"> </w:t>
      </w:r>
    </w:p>
    <w:p w:rsidR="00D97632" w:rsidRPr="00D97632" w:rsidRDefault="00232999" w:rsidP="00232999">
      <w:pPr>
        <w:pStyle w:val="LegalList1"/>
        <w:spacing w:line="360" w:lineRule="auto"/>
        <w:ind w:left="851" w:hanging="851"/>
        <w:rPr>
          <w:rFonts w:ascii="Times New Roman" w:hAnsi="Times New Roman"/>
          <w:sz w:val="28"/>
          <w:szCs w:val="28"/>
        </w:rPr>
      </w:pPr>
      <w:r w:rsidRPr="00D97632">
        <w:rPr>
          <w:rFonts w:ascii="Times New Roman" w:hAnsi="Times New Roman"/>
          <w:sz w:val="28"/>
          <w:szCs w:val="28"/>
        </w:rPr>
        <w:t>[42]</w:t>
      </w:r>
      <w:r w:rsidRPr="00D97632">
        <w:rPr>
          <w:rFonts w:ascii="Times New Roman" w:hAnsi="Times New Roman"/>
          <w:sz w:val="28"/>
          <w:szCs w:val="28"/>
        </w:rPr>
        <w:tab/>
      </w:r>
      <w:r w:rsidR="00F56280">
        <w:rPr>
          <w:rFonts w:ascii="Times New Roman" w:hAnsi="Times New Roman"/>
          <w:color w:val="000000"/>
          <w:sz w:val="28"/>
          <w:szCs w:val="28"/>
        </w:rPr>
        <w:t>The submission by FRB that this court does not have the power to grant any relief to the applicants that would constitute a disposition of Soleil’s property</w:t>
      </w:r>
      <w:r w:rsidR="009E0600">
        <w:rPr>
          <w:rFonts w:ascii="Times New Roman" w:hAnsi="Times New Roman"/>
          <w:color w:val="000000"/>
          <w:sz w:val="28"/>
          <w:szCs w:val="28"/>
        </w:rPr>
        <w:t xml:space="preserve"> is not without merit. A transfer of the subject properties as prayed for would amount to such a disposition. </w:t>
      </w:r>
    </w:p>
    <w:p w:rsidR="00E43B4D"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407B2A">
        <w:rPr>
          <w:rFonts w:ascii="Times New Roman" w:hAnsi="Times New Roman"/>
          <w:color w:val="000000"/>
          <w:sz w:val="28"/>
          <w:szCs w:val="28"/>
        </w:rPr>
        <w:t>I shall however consider</w:t>
      </w:r>
      <w:r w:rsidR="007D42E2">
        <w:rPr>
          <w:rFonts w:ascii="Times New Roman" w:hAnsi="Times New Roman"/>
          <w:color w:val="000000"/>
          <w:sz w:val="28"/>
          <w:szCs w:val="28"/>
        </w:rPr>
        <w:t xml:space="preserve"> the further arguments on the basis that I may be mistaken in regard</w:t>
      </w:r>
      <w:r w:rsidR="00C521D0">
        <w:rPr>
          <w:rFonts w:ascii="Times New Roman" w:hAnsi="Times New Roman"/>
          <w:color w:val="000000"/>
          <w:sz w:val="28"/>
          <w:szCs w:val="28"/>
        </w:rPr>
        <w:t xml:space="preserve"> to the conclusions arrived at as regards the </w:t>
      </w:r>
      <w:r w:rsidR="00C521D0" w:rsidRPr="00C521D0">
        <w:rPr>
          <w:rFonts w:ascii="Times New Roman" w:hAnsi="Times New Roman"/>
          <w:i/>
          <w:color w:val="000000"/>
          <w:sz w:val="28"/>
          <w:szCs w:val="28"/>
        </w:rPr>
        <w:t>in limine</w:t>
      </w:r>
      <w:r w:rsidR="00C521D0">
        <w:rPr>
          <w:rFonts w:ascii="Times New Roman" w:hAnsi="Times New Roman"/>
          <w:color w:val="000000"/>
          <w:sz w:val="28"/>
          <w:szCs w:val="28"/>
        </w:rPr>
        <w:t xml:space="preserve"> issues.</w:t>
      </w:r>
    </w:p>
    <w:p w:rsidR="004E73D5" w:rsidRPr="000459D2" w:rsidRDefault="002D514F" w:rsidP="002D514F">
      <w:pPr>
        <w:pStyle w:val="LegalList1"/>
        <w:spacing w:line="360" w:lineRule="auto"/>
        <w:ind w:left="131" w:firstLine="720"/>
        <w:rPr>
          <w:rFonts w:ascii="Times New Roman" w:hAnsi="Times New Roman"/>
          <w:b/>
          <w:i/>
          <w:sz w:val="28"/>
          <w:szCs w:val="28"/>
        </w:rPr>
      </w:pPr>
      <w:r w:rsidRPr="000459D2">
        <w:rPr>
          <w:rFonts w:ascii="Times New Roman" w:hAnsi="Times New Roman"/>
          <w:b/>
          <w:i/>
          <w:sz w:val="28"/>
          <w:szCs w:val="28"/>
        </w:rPr>
        <w:t>A simulated transaction?</w:t>
      </w:r>
    </w:p>
    <w:p w:rsidR="006533A9"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DD7AFF" w:rsidRPr="00583C71">
        <w:rPr>
          <w:rFonts w:ascii="Times New Roman" w:hAnsi="Times New Roman"/>
          <w:sz w:val="28"/>
          <w:szCs w:val="28"/>
        </w:rPr>
        <w:t>Against the background of the facts summarised hereinabove applicants’ counsel submitted that the circumstances in which the subject properties were transferred to Soleil bear the hallmarks of a simulated transaction</w:t>
      </w:r>
      <w:r w:rsidR="00CA41B1" w:rsidRPr="00583C71">
        <w:rPr>
          <w:rFonts w:ascii="Times New Roman" w:hAnsi="Times New Roman"/>
          <w:sz w:val="28"/>
          <w:szCs w:val="28"/>
        </w:rPr>
        <w:t xml:space="preserve"> in which the int</w:t>
      </w:r>
      <w:r w:rsidR="002A12F6" w:rsidRPr="00583C71">
        <w:rPr>
          <w:rFonts w:ascii="Times New Roman" w:hAnsi="Times New Roman"/>
          <w:sz w:val="28"/>
          <w:szCs w:val="28"/>
        </w:rPr>
        <w:t>ention to transfer ownership was lacking</w:t>
      </w:r>
      <w:r w:rsidR="00CA41B1" w:rsidRPr="00583C71">
        <w:rPr>
          <w:rFonts w:ascii="Times New Roman" w:hAnsi="Times New Roman"/>
          <w:sz w:val="28"/>
          <w:szCs w:val="28"/>
        </w:rPr>
        <w:t xml:space="preserve">. </w:t>
      </w:r>
      <w:r w:rsidR="002901E8">
        <w:rPr>
          <w:rFonts w:ascii="Times New Roman" w:hAnsi="Times New Roman"/>
          <w:sz w:val="28"/>
          <w:szCs w:val="28"/>
        </w:rPr>
        <w:t xml:space="preserve">The simulation, he contended, was to produce a title deed reflecting Soleil as the owner of the subject properties. </w:t>
      </w:r>
      <w:r w:rsidR="00AB7B5F">
        <w:rPr>
          <w:rFonts w:ascii="Times New Roman" w:hAnsi="Times New Roman"/>
          <w:sz w:val="28"/>
          <w:szCs w:val="28"/>
        </w:rPr>
        <w:t xml:space="preserve">The </w:t>
      </w:r>
      <w:r w:rsidR="00AB7B5F" w:rsidRPr="00583C71">
        <w:rPr>
          <w:rFonts w:ascii="Times New Roman" w:hAnsi="Times New Roman"/>
          <w:sz w:val="28"/>
          <w:szCs w:val="28"/>
        </w:rPr>
        <w:t xml:space="preserve">Trust and Soleil did so to thwart </w:t>
      </w:r>
      <w:r w:rsidR="00AB7B5F">
        <w:rPr>
          <w:rFonts w:ascii="Times New Roman" w:hAnsi="Times New Roman"/>
          <w:sz w:val="28"/>
          <w:szCs w:val="28"/>
        </w:rPr>
        <w:t>pending execution proceedings.</w:t>
      </w:r>
    </w:p>
    <w:p w:rsidR="006B4E0A" w:rsidRPr="00583C71" w:rsidRDefault="00232999" w:rsidP="00232999">
      <w:pPr>
        <w:pStyle w:val="LegalList1"/>
        <w:spacing w:line="360" w:lineRule="auto"/>
        <w:ind w:left="851" w:hanging="851"/>
        <w:rPr>
          <w:rFonts w:ascii="Times New Roman" w:hAnsi="Times New Roman"/>
          <w:sz w:val="28"/>
          <w:szCs w:val="28"/>
        </w:rPr>
      </w:pPr>
      <w:r w:rsidRPr="00583C71">
        <w:rPr>
          <w:rFonts w:ascii="Times New Roman" w:hAnsi="Times New Roman"/>
          <w:sz w:val="28"/>
          <w:szCs w:val="28"/>
        </w:rPr>
        <w:lastRenderedPageBreak/>
        <w:t>[45]</w:t>
      </w:r>
      <w:r w:rsidRPr="00583C71">
        <w:rPr>
          <w:rFonts w:ascii="Times New Roman" w:hAnsi="Times New Roman"/>
          <w:sz w:val="28"/>
          <w:szCs w:val="28"/>
        </w:rPr>
        <w:tab/>
      </w:r>
      <w:r w:rsidR="006B4E0A" w:rsidRPr="00583C71">
        <w:rPr>
          <w:rFonts w:ascii="Times New Roman" w:hAnsi="Times New Roman"/>
          <w:sz w:val="28"/>
          <w:szCs w:val="28"/>
        </w:rPr>
        <w:t xml:space="preserve">Relying </w:t>
      </w:r>
      <w:r w:rsidR="006B4E0A" w:rsidRPr="00583C71">
        <w:rPr>
          <w:rFonts w:ascii="Times New Roman" w:hAnsi="Times New Roman"/>
          <w:i/>
          <w:sz w:val="28"/>
          <w:szCs w:val="28"/>
        </w:rPr>
        <w:t>on CSARS v NWK Ltd</w:t>
      </w:r>
      <w:r w:rsidR="006B4E0A">
        <w:rPr>
          <w:rStyle w:val="FootnoteReference"/>
          <w:rFonts w:ascii="Times New Roman" w:hAnsi="Times New Roman"/>
          <w:sz w:val="28"/>
          <w:szCs w:val="28"/>
        </w:rPr>
        <w:footnoteReference w:id="16"/>
      </w:r>
      <w:r w:rsidR="006B4E0A" w:rsidRPr="00583C71">
        <w:rPr>
          <w:rFonts w:ascii="Times New Roman" w:hAnsi="Times New Roman"/>
          <w:sz w:val="28"/>
          <w:szCs w:val="28"/>
        </w:rPr>
        <w:t xml:space="preserve"> counsel submitted that the test </w:t>
      </w:r>
      <w:r w:rsidR="003D3939">
        <w:rPr>
          <w:rFonts w:ascii="Times New Roman" w:hAnsi="Times New Roman"/>
          <w:sz w:val="28"/>
          <w:szCs w:val="28"/>
        </w:rPr>
        <w:t xml:space="preserve">for simulation </w:t>
      </w:r>
      <w:r w:rsidR="006B4E0A" w:rsidRPr="00583C71">
        <w:rPr>
          <w:rFonts w:ascii="Times New Roman" w:hAnsi="Times New Roman"/>
          <w:sz w:val="28"/>
          <w:szCs w:val="28"/>
        </w:rPr>
        <w:t xml:space="preserve">is not solely limited to intention – it goes further and requires an examination of the commercial sense of the transaction. On this leg of the test, he contended that because Soleil was not in the business of conducting farming operations, it made no commercial sense for Soleil to have acquired the properties. </w:t>
      </w:r>
      <w:r w:rsidR="00D83588">
        <w:rPr>
          <w:rFonts w:ascii="Times New Roman" w:hAnsi="Times New Roman"/>
          <w:sz w:val="28"/>
          <w:szCs w:val="28"/>
        </w:rPr>
        <w:t>Indications e</w:t>
      </w:r>
      <w:r w:rsidR="00657547">
        <w:rPr>
          <w:rFonts w:ascii="Times New Roman" w:hAnsi="Times New Roman"/>
          <w:sz w:val="28"/>
          <w:szCs w:val="28"/>
        </w:rPr>
        <w:t>lsewhere in the applicants’ papers</w:t>
      </w:r>
      <w:r w:rsidR="00D83588" w:rsidRPr="00D83588">
        <w:rPr>
          <w:rFonts w:ascii="Times New Roman" w:hAnsi="Times New Roman"/>
          <w:sz w:val="28"/>
          <w:szCs w:val="28"/>
        </w:rPr>
        <w:t xml:space="preserve"> </w:t>
      </w:r>
      <w:r w:rsidR="00D83588">
        <w:rPr>
          <w:rFonts w:ascii="Times New Roman" w:hAnsi="Times New Roman"/>
          <w:sz w:val="28"/>
          <w:szCs w:val="28"/>
        </w:rPr>
        <w:t xml:space="preserve">are that the Trust received no payment of the purchase price for the reason that </w:t>
      </w:r>
      <w:r w:rsidR="00D83588" w:rsidRPr="00583C71">
        <w:rPr>
          <w:rFonts w:ascii="Times New Roman" w:hAnsi="Times New Roman"/>
          <w:sz w:val="28"/>
          <w:szCs w:val="28"/>
        </w:rPr>
        <w:t>more than half was paid</w:t>
      </w:r>
      <w:r w:rsidR="00D83588">
        <w:rPr>
          <w:rFonts w:ascii="Times New Roman" w:hAnsi="Times New Roman"/>
          <w:sz w:val="28"/>
          <w:szCs w:val="28"/>
        </w:rPr>
        <w:t xml:space="preserve"> directly</w:t>
      </w:r>
      <w:r w:rsidR="00D83588" w:rsidRPr="00583C71">
        <w:rPr>
          <w:rFonts w:ascii="Times New Roman" w:hAnsi="Times New Roman"/>
          <w:sz w:val="28"/>
          <w:szCs w:val="28"/>
        </w:rPr>
        <w:t xml:space="preserve"> to Viljoen S</w:t>
      </w:r>
      <w:r w:rsidR="00D83588">
        <w:rPr>
          <w:rFonts w:ascii="Times New Roman" w:hAnsi="Times New Roman"/>
          <w:sz w:val="28"/>
          <w:szCs w:val="28"/>
        </w:rPr>
        <w:t>nr.</w:t>
      </w:r>
      <w:r w:rsidR="00D83588" w:rsidRPr="00583C71">
        <w:rPr>
          <w:rFonts w:ascii="Times New Roman" w:hAnsi="Times New Roman"/>
          <w:sz w:val="28"/>
          <w:szCs w:val="28"/>
        </w:rPr>
        <w:t xml:space="preserve"> I pause to state that the latter consideration constitutes new matter that surfaced in the replying </w:t>
      </w:r>
      <w:r w:rsidR="00D83588">
        <w:rPr>
          <w:rFonts w:ascii="Times New Roman" w:hAnsi="Times New Roman"/>
          <w:sz w:val="28"/>
          <w:szCs w:val="28"/>
        </w:rPr>
        <w:t>affidavit</w:t>
      </w:r>
      <w:r w:rsidR="00D83588" w:rsidRPr="00583C71">
        <w:rPr>
          <w:rFonts w:ascii="Times New Roman" w:hAnsi="Times New Roman"/>
          <w:sz w:val="28"/>
          <w:szCs w:val="28"/>
        </w:rPr>
        <w:t xml:space="preserve"> – this being contrary to the prescript that the foundation of an applicant’s case must be laid out in its founding papers.</w:t>
      </w:r>
    </w:p>
    <w:p w:rsidR="00FB32DB"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FB32DB">
        <w:rPr>
          <w:rFonts w:ascii="Times New Roman" w:hAnsi="Times New Roman"/>
          <w:sz w:val="28"/>
          <w:szCs w:val="28"/>
        </w:rPr>
        <w:t>Two points need to be made about this argument:</w:t>
      </w:r>
    </w:p>
    <w:p w:rsidR="00B93E85"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FB32DB">
        <w:rPr>
          <w:rFonts w:ascii="Times New Roman" w:hAnsi="Times New Roman"/>
          <w:sz w:val="28"/>
          <w:szCs w:val="28"/>
        </w:rPr>
        <w:t xml:space="preserve">First, </w:t>
      </w:r>
      <w:r w:rsidR="006C3429">
        <w:rPr>
          <w:rFonts w:ascii="Times New Roman" w:hAnsi="Times New Roman"/>
          <w:sz w:val="28"/>
          <w:szCs w:val="28"/>
        </w:rPr>
        <w:t xml:space="preserve">the production of a title deed reflecting Soleil as the owner of the subject properties could only have materialised if the Trust and Soleil </w:t>
      </w:r>
      <w:r w:rsidR="00AE49A8">
        <w:rPr>
          <w:rFonts w:ascii="Times New Roman" w:hAnsi="Times New Roman"/>
          <w:sz w:val="28"/>
          <w:szCs w:val="28"/>
        </w:rPr>
        <w:t xml:space="preserve">consciously </w:t>
      </w:r>
      <w:r w:rsidR="006C3429">
        <w:rPr>
          <w:rFonts w:ascii="Times New Roman" w:hAnsi="Times New Roman"/>
          <w:sz w:val="28"/>
          <w:szCs w:val="28"/>
        </w:rPr>
        <w:t xml:space="preserve">intended for </w:t>
      </w:r>
      <w:r w:rsidR="00CC6843">
        <w:rPr>
          <w:rFonts w:ascii="Times New Roman" w:hAnsi="Times New Roman"/>
          <w:sz w:val="28"/>
          <w:szCs w:val="28"/>
        </w:rPr>
        <w:t xml:space="preserve">ownership in </w:t>
      </w:r>
      <w:r w:rsidR="006C3429">
        <w:rPr>
          <w:rFonts w:ascii="Times New Roman" w:hAnsi="Times New Roman"/>
          <w:sz w:val="28"/>
          <w:szCs w:val="28"/>
        </w:rPr>
        <w:t xml:space="preserve">the properties to be transferred. </w:t>
      </w:r>
      <w:r w:rsidR="00AE49A8">
        <w:rPr>
          <w:rFonts w:ascii="Times New Roman" w:hAnsi="Times New Roman"/>
          <w:sz w:val="28"/>
          <w:szCs w:val="28"/>
        </w:rPr>
        <w:t>On the material before this court, the present is not a case in which the parti</w:t>
      </w:r>
      <w:r w:rsidR="00D471BA">
        <w:rPr>
          <w:rFonts w:ascii="Times New Roman" w:hAnsi="Times New Roman"/>
          <w:sz w:val="28"/>
          <w:szCs w:val="28"/>
        </w:rPr>
        <w:t xml:space="preserve">cipating parties </w:t>
      </w:r>
      <w:r w:rsidR="00AE49A8">
        <w:rPr>
          <w:rFonts w:ascii="Times New Roman" w:hAnsi="Times New Roman"/>
          <w:sz w:val="28"/>
          <w:szCs w:val="28"/>
        </w:rPr>
        <w:t>were misled in</w:t>
      </w:r>
      <w:r w:rsidR="007D2C5F">
        <w:rPr>
          <w:rFonts w:ascii="Times New Roman" w:hAnsi="Times New Roman"/>
          <w:sz w:val="28"/>
          <w:szCs w:val="28"/>
        </w:rPr>
        <w:t>to</w:t>
      </w:r>
      <w:r w:rsidR="00AE49A8">
        <w:rPr>
          <w:rFonts w:ascii="Times New Roman" w:hAnsi="Times New Roman"/>
          <w:sz w:val="28"/>
          <w:szCs w:val="28"/>
        </w:rPr>
        <w:t xml:space="preserve"> changing ownership </w:t>
      </w:r>
      <w:r w:rsidR="00C45675">
        <w:rPr>
          <w:rFonts w:ascii="Times New Roman" w:hAnsi="Times New Roman"/>
          <w:sz w:val="28"/>
          <w:szCs w:val="28"/>
        </w:rPr>
        <w:t>– in which event the transfer will be of no effect.</w:t>
      </w:r>
      <w:r w:rsidR="00C45675">
        <w:rPr>
          <w:rStyle w:val="FootnoteReference"/>
          <w:rFonts w:ascii="Times New Roman" w:hAnsi="Times New Roman"/>
          <w:sz w:val="28"/>
          <w:szCs w:val="28"/>
        </w:rPr>
        <w:footnoteReference w:id="17"/>
      </w:r>
      <w:r w:rsidR="00D471BA">
        <w:rPr>
          <w:rFonts w:ascii="Times New Roman" w:hAnsi="Times New Roman"/>
          <w:sz w:val="28"/>
          <w:szCs w:val="28"/>
        </w:rPr>
        <w:t xml:space="preserve"> The present is a situation in which </w:t>
      </w:r>
      <w:r w:rsidR="007D2C5F">
        <w:rPr>
          <w:rFonts w:ascii="Times New Roman" w:hAnsi="Times New Roman"/>
          <w:sz w:val="28"/>
          <w:szCs w:val="28"/>
        </w:rPr>
        <w:t xml:space="preserve">they </w:t>
      </w:r>
      <w:r w:rsidR="00D471BA">
        <w:rPr>
          <w:rFonts w:ascii="Times New Roman" w:hAnsi="Times New Roman"/>
          <w:sz w:val="28"/>
          <w:szCs w:val="28"/>
        </w:rPr>
        <w:t xml:space="preserve">acted in accordance with the intention to </w:t>
      </w:r>
      <w:r w:rsidR="004F18F8">
        <w:rPr>
          <w:rFonts w:ascii="Times New Roman" w:hAnsi="Times New Roman"/>
          <w:sz w:val="28"/>
          <w:szCs w:val="28"/>
        </w:rPr>
        <w:t xml:space="preserve">give and receive and </w:t>
      </w:r>
      <w:r w:rsidR="00AC0431">
        <w:rPr>
          <w:rFonts w:ascii="Times New Roman" w:hAnsi="Times New Roman"/>
          <w:sz w:val="28"/>
          <w:szCs w:val="28"/>
        </w:rPr>
        <w:t xml:space="preserve">in </w:t>
      </w:r>
      <w:r w:rsidR="004F18F8">
        <w:rPr>
          <w:rFonts w:ascii="Times New Roman" w:hAnsi="Times New Roman"/>
          <w:sz w:val="28"/>
          <w:szCs w:val="28"/>
        </w:rPr>
        <w:t xml:space="preserve">doing so, to </w:t>
      </w:r>
      <w:r w:rsidR="00D471BA">
        <w:rPr>
          <w:rFonts w:ascii="Times New Roman" w:hAnsi="Times New Roman"/>
          <w:sz w:val="28"/>
          <w:szCs w:val="28"/>
        </w:rPr>
        <w:t xml:space="preserve">transfer ownership. </w:t>
      </w:r>
      <w:r w:rsidR="00490291">
        <w:rPr>
          <w:rFonts w:ascii="Times New Roman" w:hAnsi="Times New Roman"/>
          <w:sz w:val="28"/>
          <w:szCs w:val="28"/>
        </w:rPr>
        <w:t>On this leg of the test, the simulation argument fails.</w:t>
      </w:r>
    </w:p>
    <w:p w:rsidR="00032502"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00490291">
        <w:rPr>
          <w:rFonts w:ascii="Times New Roman" w:hAnsi="Times New Roman"/>
          <w:sz w:val="28"/>
          <w:szCs w:val="28"/>
        </w:rPr>
        <w:t>Second, t</w:t>
      </w:r>
      <w:r w:rsidR="003D3939">
        <w:rPr>
          <w:rFonts w:ascii="Times New Roman" w:hAnsi="Times New Roman"/>
          <w:sz w:val="28"/>
          <w:szCs w:val="28"/>
        </w:rPr>
        <w:t xml:space="preserve">he applicants’ case </w:t>
      </w:r>
      <w:r w:rsidR="002B4658">
        <w:rPr>
          <w:rFonts w:ascii="Times New Roman" w:hAnsi="Times New Roman"/>
          <w:sz w:val="28"/>
          <w:szCs w:val="28"/>
        </w:rPr>
        <w:t xml:space="preserve">in the founding affidavit is based </w:t>
      </w:r>
      <w:r w:rsidR="009E3F42">
        <w:rPr>
          <w:rFonts w:ascii="Times New Roman" w:hAnsi="Times New Roman"/>
          <w:sz w:val="28"/>
          <w:szCs w:val="28"/>
        </w:rPr>
        <w:t xml:space="preserve">squarely </w:t>
      </w:r>
      <w:r w:rsidR="002B4658">
        <w:rPr>
          <w:rFonts w:ascii="Times New Roman" w:hAnsi="Times New Roman"/>
          <w:sz w:val="28"/>
          <w:szCs w:val="28"/>
        </w:rPr>
        <w:t>on a</w:t>
      </w:r>
      <w:r w:rsidR="009E3F42">
        <w:rPr>
          <w:rFonts w:ascii="Times New Roman" w:hAnsi="Times New Roman"/>
          <w:sz w:val="28"/>
          <w:szCs w:val="28"/>
        </w:rPr>
        <w:t>n asserted</w:t>
      </w:r>
      <w:r w:rsidR="002B4658">
        <w:rPr>
          <w:rFonts w:ascii="Times New Roman" w:hAnsi="Times New Roman"/>
          <w:sz w:val="28"/>
          <w:szCs w:val="28"/>
        </w:rPr>
        <w:t xml:space="preserve"> </w:t>
      </w:r>
      <w:r w:rsidR="00B9404E">
        <w:rPr>
          <w:rFonts w:ascii="Times New Roman" w:hAnsi="Times New Roman"/>
          <w:sz w:val="28"/>
          <w:szCs w:val="28"/>
        </w:rPr>
        <w:t>‘</w:t>
      </w:r>
      <w:r w:rsidR="002B4658">
        <w:rPr>
          <w:rFonts w:ascii="Times New Roman" w:hAnsi="Times New Roman"/>
          <w:sz w:val="28"/>
          <w:szCs w:val="28"/>
        </w:rPr>
        <w:t>fraudulent and contrived stratagem</w:t>
      </w:r>
      <w:r w:rsidR="00B9404E">
        <w:rPr>
          <w:rFonts w:ascii="Times New Roman" w:hAnsi="Times New Roman"/>
          <w:sz w:val="28"/>
          <w:szCs w:val="28"/>
        </w:rPr>
        <w:t>’</w:t>
      </w:r>
      <w:r w:rsidR="002B4658">
        <w:rPr>
          <w:rFonts w:ascii="Times New Roman" w:hAnsi="Times New Roman"/>
          <w:sz w:val="28"/>
          <w:szCs w:val="28"/>
        </w:rPr>
        <w:t xml:space="preserve"> employed by the protagonists of the Trust and Soleil to asset-strip the Trust.</w:t>
      </w:r>
    </w:p>
    <w:p w:rsidR="006937EC"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[49]</w:t>
      </w:r>
      <w:r>
        <w:rPr>
          <w:rFonts w:ascii="Times New Roman" w:hAnsi="Times New Roman"/>
          <w:sz w:val="28"/>
          <w:szCs w:val="28"/>
        </w:rPr>
        <w:tab/>
      </w:r>
      <w:r w:rsidR="00032502">
        <w:rPr>
          <w:rFonts w:ascii="Times New Roman" w:hAnsi="Times New Roman"/>
          <w:sz w:val="28"/>
          <w:szCs w:val="28"/>
        </w:rPr>
        <w:t>On this aspect t</w:t>
      </w:r>
      <w:r w:rsidR="006937EC">
        <w:rPr>
          <w:rFonts w:ascii="Times New Roman" w:hAnsi="Times New Roman"/>
          <w:sz w:val="28"/>
          <w:szCs w:val="28"/>
        </w:rPr>
        <w:t>he applicants are bound by the case put forward in the founding affidavit</w:t>
      </w:r>
      <w:r w:rsidR="00D548E4">
        <w:rPr>
          <w:rFonts w:ascii="Times New Roman" w:hAnsi="Times New Roman"/>
          <w:sz w:val="28"/>
          <w:szCs w:val="28"/>
        </w:rPr>
        <w:t xml:space="preserve"> and from what follows</w:t>
      </w:r>
      <w:r w:rsidR="00AC0431">
        <w:rPr>
          <w:rFonts w:ascii="Times New Roman" w:hAnsi="Times New Roman"/>
          <w:sz w:val="28"/>
          <w:szCs w:val="28"/>
        </w:rPr>
        <w:t>,</w:t>
      </w:r>
      <w:r w:rsidR="00D548E4">
        <w:rPr>
          <w:rFonts w:ascii="Times New Roman" w:hAnsi="Times New Roman"/>
          <w:sz w:val="28"/>
          <w:szCs w:val="28"/>
        </w:rPr>
        <w:t xml:space="preserve"> the simulation argument fails.</w:t>
      </w:r>
    </w:p>
    <w:p w:rsidR="006937EC"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FD0C83">
        <w:rPr>
          <w:rFonts w:ascii="Times New Roman" w:hAnsi="Times New Roman"/>
          <w:sz w:val="28"/>
          <w:szCs w:val="28"/>
        </w:rPr>
        <w:t>The</w:t>
      </w:r>
      <w:r w:rsidR="00AC0431">
        <w:rPr>
          <w:rFonts w:ascii="Times New Roman" w:hAnsi="Times New Roman"/>
          <w:sz w:val="28"/>
          <w:szCs w:val="28"/>
        </w:rPr>
        <w:t xml:space="preserve"> Applicants’ </w:t>
      </w:r>
      <w:r w:rsidR="00FD0C83">
        <w:rPr>
          <w:rFonts w:ascii="Times New Roman" w:hAnsi="Times New Roman"/>
          <w:sz w:val="28"/>
          <w:szCs w:val="28"/>
        </w:rPr>
        <w:t>papers convey that the Trust and Soleil fraudulently represented that Soleil would and did assume ownership of the subject properties and that this false representation was made to FRB who acted thereupon to its own detriment</w:t>
      </w:r>
      <w:r w:rsidR="00CD2CCE">
        <w:rPr>
          <w:rFonts w:ascii="Times New Roman" w:hAnsi="Times New Roman"/>
          <w:sz w:val="28"/>
          <w:szCs w:val="28"/>
        </w:rPr>
        <w:t xml:space="preserve"> when it advanced funds under security of a bond that would be invalid.</w:t>
      </w:r>
    </w:p>
    <w:p w:rsidR="00E17A9D"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CD2CCE">
        <w:rPr>
          <w:rFonts w:ascii="Times New Roman" w:hAnsi="Times New Roman"/>
          <w:sz w:val="28"/>
          <w:szCs w:val="28"/>
        </w:rPr>
        <w:t>It is trite that a party</w:t>
      </w:r>
      <w:r w:rsidR="00EC4EB7">
        <w:rPr>
          <w:rFonts w:ascii="Times New Roman" w:hAnsi="Times New Roman"/>
          <w:sz w:val="28"/>
          <w:szCs w:val="28"/>
        </w:rPr>
        <w:t xml:space="preserve"> – in this instance, the Trust – cannot </w:t>
      </w:r>
      <w:r w:rsidR="00CD2CCE">
        <w:rPr>
          <w:rFonts w:ascii="Times New Roman" w:hAnsi="Times New Roman"/>
          <w:sz w:val="28"/>
          <w:szCs w:val="28"/>
        </w:rPr>
        <w:t>rely on its own fraudulent conduct to obtain relief.</w:t>
      </w:r>
    </w:p>
    <w:p w:rsidR="00B9404E"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6A256F">
        <w:rPr>
          <w:rFonts w:ascii="Times New Roman" w:hAnsi="Times New Roman"/>
          <w:sz w:val="28"/>
          <w:szCs w:val="28"/>
        </w:rPr>
        <w:t xml:space="preserve">In </w:t>
      </w:r>
      <w:r w:rsidR="006A256F" w:rsidRPr="00AF5D82">
        <w:rPr>
          <w:rFonts w:ascii="Times New Roman" w:hAnsi="Times New Roman"/>
          <w:i/>
          <w:sz w:val="28"/>
          <w:szCs w:val="28"/>
        </w:rPr>
        <w:t>ABSA Bank Ltd v Moore and Another</w:t>
      </w:r>
      <w:r w:rsidR="006A256F">
        <w:rPr>
          <w:rStyle w:val="FootnoteReference"/>
          <w:rFonts w:ascii="Times New Roman" w:hAnsi="Times New Roman"/>
          <w:sz w:val="28"/>
          <w:szCs w:val="28"/>
        </w:rPr>
        <w:footnoteReference w:id="18"/>
      </w:r>
      <w:r w:rsidR="00B9404E">
        <w:rPr>
          <w:rFonts w:ascii="Times New Roman" w:hAnsi="Times New Roman"/>
          <w:sz w:val="28"/>
          <w:szCs w:val="28"/>
        </w:rPr>
        <w:t>, Cameron J stated:</w:t>
      </w:r>
    </w:p>
    <w:p w:rsidR="00AF5D82" w:rsidRPr="00AF5D82" w:rsidRDefault="00AF5D82" w:rsidP="00AF5D82">
      <w:pPr>
        <w:pStyle w:val="LegalList1"/>
        <w:spacing w:line="360" w:lineRule="auto"/>
        <w:ind w:left="851"/>
        <w:rPr>
          <w:rFonts w:ascii="Times New Roman" w:hAnsi="Times New Roman"/>
        </w:rPr>
      </w:pPr>
      <w:r w:rsidRPr="00AF5D82">
        <w:rPr>
          <w:rFonts w:ascii="Times New Roman" w:hAnsi="Times New Roman"/>
        </w:rPr>
        <w:t>‘Fraud unravels all directly within its compass, but only between victim and perpetrator, at the instance of the victim.  Whether fraud unravels a contract depends on its victim, not the fraudster or third parties.’</w:t>
      </w:r>
    </w:p>
    <w:p w:rsidR="00032502"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EC4EB7">
        <w:rPr>
          <w:rFonts w:ascii="Times New Roman" w:hAnsi="Times New Roman"/>
          <w:sz w:val="28"/>
          <w:szCs w:val="28"/>
        </w:rPr>
        <w:t>On the applicants’ version</w:t>
      </w:r>
      <w:r w:rsidR="00BC5F49">
        <w:rPr>
          <w:rFonts w:ascii="Times New Roman" w:hAnsi="Times New Roman"/>
          <w:sz w:val="28"/>
          <w:szCs w:val="28"/>
        </w:rPr>
        <w:t xml:space="preserve">, the Trust is not a victim but a perpetrator; and FRB (on their construction) </w:t>
      </w:r>
      <w:r w:rsidR="00413706">
        <w:rPr>
          <w:rFonts w:ascii="Times New Roman" w:hAnsi="Times New Roman"/>
          <w:sz w:val="28"/>
          <w:szCs w:val="28"/>
        </w:rPr>
        <w:t xml:space="preserve">is </w:t>
      </w:r>
      <w:r w:rsidR="00BC5F49">
        <w:rPr>
          <w:rFonts w:ascii="Times New Roman" w:hAnsi="Times New Roman"/>
          <w:sz w:val="28"/>
          <w:szCs w:val="28"/>
        </w:rPr>
        <w:t>a victim</w:t>
      </w:r>
      <w:r w:rsidR="00B1541C">
        <w:rPr>
          <w:rFonts w:ascii="Times New Roman" w:hAnsi="Times New Roman"/>
          <w:sz w:val="28"/>
          <w:szCs w:val="28"/>
        </w:rPr>
        <w:t>.</w:t>
      </w:r>
    </w:p>
    <w:p w:rsidR="00D548E4"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00413706">
        <w:rPr>
          <w:rFonts w:ascii="Times New Roman" w:hAnsi="Times New Roman"/>
          <w:sz w:val="28"/>
          <w:szCs w:val="28"/>
        </w:rPr>
        <w:t xml:space="preserve">FRB correctly asserts that it does not rely on any fraud. </w:t>
      </w:r>
    </w:p>
    <w:p w:rsidR="002D514F" w:rsidRPr="000459D2" w:rsidRDefault="000459D2" w:rsidP="006533A9">
      <w:pPr>
        <w:pStyle w:val="LegalList1"/>
        <w:spacing w:line="360" w:lineRule="auto"/>
        <w:ind w:left="131" w:firstLine="720"/>
        <w:rPr>
          <w:rFonts w:ascii="Times New Roman" w:hAnsi="Times New Roman"/>
          <w:b/>
          <w:i/>
          <w:sz w:val="28"/>
          <w:szCs w:val="28"/>
        </w:rPr>
      </w:pPr>
      <w:r w:rsidRPr="000459D2">
        <w:rPr>
          <w:rFonts w:ascii="Times New Roman" w:hAnsi="Times New Roman"/>
          <w:b/>
          <w:i/>
          <w:sz w:val="28"/>
          <w:szCs w:val="28"/>
        </w:rPr>
        <w:t>Section 31</w:t>
      </w:r>
      <w:r w:rsidR="008B1CAB">
        <w:rPr>
          <w:rStyle w:val="FootnoteReference"/>
          <w:rFonts w:ascii="Times New Roman" w:hAnsi="Times New Roman"/>
          <w:b/>
          <w:i/>
          <w:sz w:val="28"/>
          <w:szCs w:val="28"/>
        </w:rPr>
        <w:footnoteReference w:id="19"/>
      </w:r>
      <w:r w:rsidR="00FE78DC">
        <w:rPr>
          <w:rFonts w:ascii="Times New Roman" w:hAnsi="Times New Roman"/>
          <w:b/>
          <w:i/>
          <w:sz w:val="28"/>
          <w:szCs w:val="28"/>
        </w:rPr>
        <w:t xml:space="preserve"> </w:t>
      </w:r>
      <w:r w:rsidRPr="000459D2">
        <w:rPr>
          <w:rFonts w:ascii="Times New Roman" w:hAnsi="Times New Roman"/>
          <w:b/>
          <w:i/>
          <w:sz w:val="28"/>
          <w:szCs w:val="28"/>
        </w:rPr>
        <w:t>of the Insolvency Act</w:t>
      </w:r>
    </w:p>
    <w:p w:rsidR="002D514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[55]</w:t>
      </w:r>
      <w:r>
        <w:rPr>
          <w:rFonts w:ascii="Times New Roman" w:hAnsi="Times New Roman"/>
          <w:sz w:val="28"/>
          <w:szCs w:val="28"/>
        </w:rPr>
        <w:tab/>
      </w:r>
      <w:r w:rsidR="00984BA0">
        <w:rPr>
          <w:rFonts w:ascii="Times New Roman" w:hAnsi="Times New Roman"/>
          <w:sz w:val="28"/>
          <w:szCs w:val="28"/>
        </w:rPr>
        <w:t>The section essentially provides for the payment of a penalty by a party that was privy to a collusive disposition/transaction</w:t>
      </w:r>
      <w:r w:rsidR="00D31FDE">
        <w:rPr>
          <w:rFonts w:ascii="Times New Roman" w:hAnsi="Times New Roman"/>
          <w:sz w:val="28"/>
          <w:szCs w:val="28"/>
        </w:rPr>
        <w:t xml:space="preserve"> entered into before sequestration and which had the effect of prejudicing creditors.</w:t>
      </w:r>
      <w:r w:rsidR="00984BA0">
        <w:rPr>
          <w:rFonts w:ascii="Times New Roman" w:hAnsi="Times New Roman"/>
          <w:sz w:val="28"/>
          <w:szCs w:val="28"/>
        </w:rPr>
        <w:t xml:space="preserve"> </w:t>
      </w:r>
      <w:r w:rsidR="006F0E00">
        <w:rPr>
          <w:rFonts w:ascii="Times New Roman" w:hAnsi="Times New Roman"/>
          <w:sz w:val="28"/>
          <w:szCs w:val="28"/>
        </w:rPr>
        <w:t xml:space="preserve">The submission is made in </w:t>
      </w:r>
      <w:r w:rsidR="00897AAE">
        <w:rPr>
          <w:rFonts w:ascii="Times New Roman" w:hAnsi="Times New Roman"/>
          <w:sz w:val="28"/>
          <w:szCs w:val="28"/>
        </w:rPr>
        <w:t xml:space="preserve">the </w:t>
      </w:r>
      <w:r w:rsidR="006F0E00">
        <w:rPr>
          <w:rFonts w:ascii="Times New Roman" w:hAnsi="Times New Roman"/>
          <w:sz w:val="28"/>
          <w:szCs w:val="28"/>
        </w:rPr>
        <w:t>applicants’ heads of argument that if the transfer of the properties is held to have been effective, then it was by collusion between the Trust and Soleil</w:t>
      </w:r>
      <w:r w:rsidR="00DD4D51">
        <w:rPr>
          <w:rFonts w:ascii="Times New Roman" w:hAnsi="Times New Roman"/>
          <w:sz w:val="28"/>
          <w:szCs w:val="28"/>
        </w:rPr>
        <w:t xml:space="preserve">. Barring the amount of R1.1 million </w:t>
      </w:r>
      <w:r w:rsidR="00C6772C">
        <w:rPr>
          <w:rFonts w:ascii="Times New Roman" w:hAnsi="Times New Roman"/>
          <w:sz w:val="28"/>
          <w:szCs w:val="28"/>
        </w:rPr>
        <w:t xml:space="preserve">applicants maintain that </w:t>
      </w:r>
      <w:r w:rsidR="00DD4D51">
        <w:rPr>
          <w:rFonts w:ascii="Times New Roman" w:hAnsi="Times New Roman"/>
          <w:sz w:val="28"/>
          <w:szCs w:val="28"/>
        </w:rPr>
        <w:t xml:space="preserve">the Trust received nothing in return for </w:t>
      </w:r>
      <w:r w:rsidR="0093497B">
        <w:rPr>
          <w:rFonts w:ascii="Times New Roman" w:hAnsi="Times New Roman"/>
          <w:sz w:val="28"/>
          <w:szCs w:val="28"/>
        </w:rPr>
        <w:t xml:space="preserve">the sale of the subject properties </w:t>
      </w:r>
      <w:r w:rsidR="00325E4B">
        <w:rPr>
          <w:rFonts w:ascii="Times New Roman" w:hAnsi="Times New Roman"/>
          <w:sz w:val="28"/>
          <w:szCs w:val="28"/>
        </w:rPr>
        <w:t>– the</w:t>
      </w:r>
      <w:r w:rsidR="00D31FDE">
        <w:rPr>
          <w:rFonts w:ascii="Times New Roman" w:hAnsi="Times New Roman"/>
          <w:sz w:val="28"/>
          <w:szCs w:val="28"/>
        </w:rPr>
        <w:t xml:space="preserve"> disposal of the properties </w:t>
      </w:r>
      <w:r w:rsidR="0093497B">
        <w:rPr>
          <w:rFonts w:ascii="Times New Roman" w:hAnsi="Times New Roman"/>
          <w:sz w:val="28"/>
          <w:szCs w:val="28"/>
        </w:rPr>
        <w:t>was to the prejudice of Trust creditors.</w:t>
      </w:r>
      <w:r w:rsidR="003A4F40">
        <w:rPr>
          <w:rFonts w:ascii="Times New Roman" w:hAnsi="Times New Roman"/>
          <w:sz w:val="28"/>
          <w:szCs w:val="28"/>
        </w:rPr>
        <w:t xml:space="preserve"> Furthermore, even if the full purchase price of R4 million was paid it would nonetheless have been to the prejudice of creditors for the reason that the properties were sold below </w:t>
      </w:r>
      <w:r w:rsidR="00325E4B">
        <w:rPr>
          <w:rFonts w:ascii="Times New Roman" w:hAnsi="Times New Roman"/>
          <w:sz w:val="28"/>
          <w:szCs w:val="28"/>
        </w:rPr>
        <w:t xml:space="preserve">their true </w:t>
      </w:r>
      <w:r w:rsidR="003A4F40">
        <w:rPr>
          <w:rFonts w:ascii="Times New Roman" w:hAnsi="Times New Roman"/>
          <w:sz w:val="28"/>
          <w:szCs w:val="28"/>
        </w:rPr>
        <w:t>value.</w:t>
      </w:r>
      <w:r w:rsidR="00032ACA">
        <w:rPr>
          <w:rFonts w:ascii="Times New Roman" w:hAnsi="Times New Roman"/>
          <w:sz w:val="28"/>
          <w:szCs w:val="28"/>
        </w:rPr>
        <w:t xml:space="preserve"> The contention is that the loss caused to the insolvent Trust estate</w:t>
      </w:r>
      <w:r w:rsidR="00897AAE">
        <w:rPr>
          <w:rFonts w:ascii="Times New Roman" w:hAnsi="Times New Roman"/>
          <w:sz w:val="28"/>
          <w:szCs w:val="28"/>
        </w:rPr>
        <w:t xml:space="preserve"> shall be made good.</w:t>
      </w:r>
    </w:p>
    <w:p w:rsidR="0042155E"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r>
      <w:r w:rsidR="0042155E">
        <w:rPr>
          <w:rFonts w:ascii="Times New Roman" w:hAnsi="Times New Roman"/>
          <w:sz w:val="28"/>
          <w:szCs w:val="28"/>
        </w:rPr>
        <w:t>For reasons that follow reliance on section 31 is misplaced.</w:t>
      </w:r>
    </w:p>
    <w:p w:rsidR="002D514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r w:rsidR="007E20EE">
        <w:rPr>
          <w:rFonts w:ascii="Times New Roman" w:hAnsi="Times New Roman"/>
          <w:sz w:val="28"/>
          <w:szCs w:val="28"/>
        </w:rPr>
        <w:t xml:space="preserve">If it is assumed that </w:t>
      </w:r>
      <w:r w:rsidR="000976B0">
        <w:rPr>
          <w:rFonts w:ascii="Times New Roman" w:hAnsi="Times New Roman"/>
          <w:sz w:val="28"/>
          <w:szCs w:val="28"/>
        </w:rPr>
        <w:t>this court were inclined to set aside</w:t>
      </w:r>
      <w:r w:rsidR="00B44202">
        <w:rPr>
          <w:rFonts w:ascii="Times New Roman" w:hAnsi="Times New Roman"/>
          <w:sz w:val="28"/>
          <w:szCs w:val="28"/>
        </w:rPr>
        <w:t xml:space="preserve"> the sale and transfer of the properties, the section does not clothe the court with the power to order retransfer of the subject properties. </w:t>
      </w:r>
      <w:r w:rsidR="0091423F">
        <w:rPr>
          <w:rFonts w:ascii="Times New Roman" w:hAnsi="Times New Roman"/>
          <w:sz w:val="28"/>
          <w:szCs w:val="28"/>
        </w:rPr>
        <w:t>On a plain reading of the section the applicants would at</w:t>
      </w:r>
      <w:r w:rsidR="00B44202">
        <w:rPr>
          <w:rFonts w:ascii="Times New Roman" w:hAnsi="Times New Roman"/>
          <w:sz w:val="28"/>
          <w:szCs w:val="28"/>
        </w:rPr>
        <w:t xml:space="preserve"> </w:t>
      </w:r>
      <w:r w:rsidR="0091423F">
        <w:rPr>
          <w:rFonts w:ascii="Times New Roman" w:hAnsi="Times New Roman"/>
          <w:sz w:val="28"/>
          <w:szCs w:val="28"/>
        </w:rPr>
        <w:t xml:space="preserve">best </w:t>
      </w:r>
      <w:r w:rsidR="00B44202">
        <w:rPr>
          <w:rFonts w:ascii="Times New Roman" w:hAnsi="Times New Roman"/>
          <w:sz w:val="28"/>
          <w:szCs w:val="28"/>
        </w:rPr>
        <w:t>have a claim</w:t>
      </w:r>
      <w:r w:rsidR="0091423F">
        <w:rPr>
          <w:rFonts w:ascii="Times New Roman" w:hAnsi="Times New Roman"/>
          <w:sz w:val="28"/>
          <w:szCs w:val="28"/>
        </w:rPr>
        <w:t xml:space="preserve"> for the value thereof against the insolvent estate of Soleil. </w:t>
      </w:r>
    </w:p>
    <w:p w:rsidR="0045064A"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7870AB">
        <w:rPr>
          <w:rFonts w:ascii="Times New Roman" w:hAnsi="Times New Roman"/>
          <w:sz w:val="28"/>
          <w:szCs w:val="28"/>
        </w:rPr>
        <w:t>On the other hand if it is assumed that this court</w:t>
      </w:r>
      <w:r w:rsidR="004D47E0">
        <w:rPr>
          <w:rFonts w:ascii="Times New Roman" w:hAnsi="Times New Roman"/>
          <w:sz w:val="28"/>
          <w:szCs w:val="28"/>
        </w:rPr>
        <w:t xml:space="preserve"> does have the power to order retransfer, the applicants have not indemnified FRB</w:t>
      </w:r>
      <w:r w:rsidR="00152426">
        <w:rPr>
          <w:rFonts w:ascii="Times New Roman" w:hAnsi="Times New Roman"/>
          <w:sz w:val="28"/>
          <w:szCs w:val="28"/>
        </w:rPr>
        <w:t xml:space="preserve"> against the loss of its right against Soleil and its security as provided for in section 33(1)</w:t>
      </w:r>
      <w:r w:rsidR="00FE78DC" w:rsidRPr="009432F3">
        <w:rPr>
          <w:rStyle w:val="FootnoteReference"/>
          <w:rFonts w:ascii="Times New Roman" w:hAnsi="Times New Roman"/>
          <w:sz w:val="28"/>
          <w:szCs w:val="28"/>
        </w:rPr>
        <w:footnoteReference w:id="20"/>
      </w:r>
      <w:r w:rsidR="00287669">
        <w:rPr>
          <w:rFonts w:ascii="Times New Roman" w:hAnsi="Times New Roman"/>
          <w:sz w:val="28"/>
          <w:szCs w:val="28"/>
        </w:rPr>
        <w:t xml:space="preserve"> </w:t>
      </w:r>
      <w:r w:rsidR="00287669">
        <w:rPr>
          <w:rFonts w:ascii="Times New Roman" w:hAnsi="Times New Roman"/>
          <w:sz w:val="28"/>
          <w:szCs w:val="28"/>
        </w:rPr>
        <w:lastRenderedPageBreak/>
        <w:t xml:space="preserve">of the Insolvency Act. </w:t>
      </w:r>
      <w:r w:rsidR="007E20EE">
        <w:rPr>
          <w:rFonts w:ascii="Times New Roman" w:hAnsi="Times New Roman"/>
          <w:sz w:val="28"/>
          <w:szCs w:val="28"/>
        </w:rPr>
        <w:t>There is</w:t>
      </w:r>
      <w:r w:rsidR="00A85D92">
        <w:rPr>
          <w:rFonts w:ascii="Times New Roman" w:hAnsi="Times New Roman"/>
          <w:sz w:val="28"/>
          <w:szCs w:val="28"/>
        </w:rPr>
        <w:t xml:space="preserve">, moreover, </w:t>
      </w:r>
      <w:r w:rsidR="007E20EE">
        <w:rPr>
          <w:rFonts w:ascii="Times New Roman" w:hAnsi="Times New Roman"/>
          <w:sz w:val="28"/>
          <w:szCs w:val="28"/>
        </w:rPr>
        <w:t>no allegation by the applicants that</w:t>
      </w:r>
      <w:r w:rsidR="00A85D92">
        <w:rPr>
          <w:rFonts w:ascii="Times New Roman" w:hAnsi="Times New Roman"/>
          <w:sz w:val="28"/>
          <w:szCs w:val="28"/>
        </w:rPr>
        <w:t xml:space="preserve"> FRB </w:t>
      </w:r>
      <w:r w:rsidR="007E20EE">
        <w:rPr>
          <w:rFonts w:ascii="Times New Roman" w:hAnsi="Times New Roman"/>
          <w:sz w:val="28"/>
          <w:szCs w:val="28"/>
        </w:rPr>
        <w:t xml:space="preserve">did not </w:t>
      </w:r>
      <w:r w:rsidR="00A85D92">
        <w:rPr>
          <w:rFonts w:ascii="Times New Roman" w:hAnsi="Times New Roman"/>
          <w:sz w:val="28"/>
          <w:szCs w:val="28"/>
        </w:rPr>
        <w:t xml:space="preserve">act in good faith in its dealings with Soleil, </w:t>
      </w:r>
      <w:r w:rsidR="009432F3">
        <w:rPr>
          <w:rFonts w:ascii="Times New Roman" w:hAnsi="Times New Roman"/>
          <w:sz w:val="28"/>
          <w:szCs w:val="28"/>
        </w:rPr>
        <w:t xml:space="preserve">nor is it disputed </w:t>
      </w:r>
      <w:r w:rsidR="00A85D92">
        <w:rPr>
          <w:rFonts w:ascii="Times New Roman" w:hAnsi="Times New Roman"/>
          <w:sz w:val="28"/>
          <w:szCs w:val="28"/>
        </w:rPr>
        <w:t>that the sums advanced to Soleil were covered by the security of a bond over the subject properties.</w:t>
      </w:r>
    </w:p>
    <w:p w:rsidR="002D514F"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r>
      <w:r w:rsidR="000A127B">
        <w:rPr>
          <w:rFonts w:ascii="Times New Roman" w:hAnsi="Times New Roman"/>
          <w:sz w:val="28"/>
          <w:szCs w:val="28"/>
        </w:rPr>
        <w:t>Accordingly,</w:t>
      </w:r>
      <w:r w:rsidR="00287669">
        <w:rPr>
          <w:rFonts w:ascii="Times New Roman" w:hAnsi="Times New Roman"/>
          <w:sz w:val="28"/>
          <w:szCs w:val="28"/>
        </w:rPr>
        <w:t xml:space="preserve"> FRB is not obliged to restore</w:t>
      </w:r>
      <w:r w:rsidR="000A127B">
        <w:rPr>
          <w:rFonts w:ascii="Times New Roman" w:hAnsi="Times New Roman"/>
          <w:sz w:val="28"/>
          <w:szCs w:val="28"/>
        </w:rPr>
        <w:t xml:space="preserve"> the benefit received (i.e. by way of cancelling the secured claim)</w:t>
      </w:r>
      <w:r w:rsidR="00A31394">
        <w:rPr>
          <w:rFonts w:ascii="Times New Roman" w:hAnsi="Times New Roman"/>
          <w:sz w:val="28"/>
          <w:szCs w:val="28"/>
        </w:rPr>
        <w:t>.</w:t>
      </w:r>
    </w:p>
    <w:p w:rsidR="00A31394" w:rsidRPr="003B1AF9" w:rsidRDefault="003B1AF9" w:rsidP="003B1AF9">
      <w:pPr>
        <w:pStyle w:val="LegalList1"/>
        <w:spacing w:line="360" w:lineRule="auto"/>
        <w:ind w:left="131" w:firstLine="720"/>
        <w:rPr>
          <w:rFonts w:ascii="Times New Roman" w:hAnsi="Times New Roman"/>
          <w:b/>
          <w:i/>
          <w:sz w:val="28"/>
          <w:szCs w:val="28"/>
        </w:rPr>
      </w:pPr>
      <w:r w:rsidRPr="003B1AF9">
        <w:rPr>
          <w:rFonts w:ascii="Times New Roman" w:hAnsi="Times New Roman"/>
          <w:b/>
          <w:i/>
          <w:sz w:val="28"/>
          <w:szCs w:val="28"/>
        </w:rPr>
        <w:t>Section 20(9) of the Companies Act</w:t>
      </w:r>
    </w:p>
    <w:p w:rsidR="00176F0C"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r>
      <w:r w:rsidR="005662FA">
        <w:rPr>
          <w:rFonts w:ascii="Times New Roman" w:hAnsi="Times New Roman"/>
          <w:sz w:val="28"/>
          <w:szCs w:val="28"/>
        </w:rPr>
        <w:t>Section 20 of the Companies Act deals with t</w:t>
      </w:r>
      <w:r w:rsidR="00176F0C">
        <w:rPr>
          <w:rFonts w:ascii="Times New Roman" w:hAnsi="Times New Roman"/>
          <w:sz w:val="28"/>
          <w:szCs w:val="28"/>
        </w:rPr>
        <w:t>he validity of company actions.</w:t>
      </w:r>
    </w:p>
    <w:p w:rsidR="001C4A97"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5662FA">
        <w:rPr>
          <w:rFonts w:ascii="Times New Roman" w:hAnsi="Times New Roman"/>
          <w:sz w:val="28"/>
          <w:szCs w:val="28"/>
        </w:rPr>
        <w:t>Subsection 9 reads as follows:</w:t>
      </w:r>
    </w:p>
    <w:p w:rsidR="005662FA" w:rsidRPr="00D57B26" w:rsidRDefault="005662FA" w:rsidP="00D57B26">
      <w:pPr>
        <w:pStyle w:val="LegalList1"/>
        <w:spacing w:line="360" w:lineRule="auto"/>
        <w:ind w:left="1571" w:hanging="720"/>
        <w:rPr>
          <w:rFonts w:ascii="Times New Roman" w:hAnsi="Times New Roman"/>
        </w:rPr>
      </w:pPr>
      <w:r w:rsidRPr="00D57B26">
        <w:rPr>
          <w:rFonts w:ascii="Times New Roman" w:hAnsi="Times New Roman"/>
        </w:rPr>
        <w:t>‘(9)</w:t>
      </w:r>
      <w:r w:rsidRPr="00D57B26">
        <w:rPr>
          <w:rFonts w:ascii="Times New Roman" w:hAnsi="Times New Roman"/>
        </w:rPr>
        <w:tab/>
      </w:r>
      <w:r w:rsidR="00372677" w:rsidRPr="00D57B26">
        <w:rPr>
          <w:rFonts w:ascii="Times New Roman" w:hAnsi="Times New Roman"/>
        </w:rPr>
        <w:t>If, on application by an interested person or in any proceedings in which</w:t>
      </w:r>
      <w:r w:rsidR="00453EA8" w:rsidRPr="00D57B26">
        <w:rPr>
          <w:rFonts w:ascii="Times New Roman" w:hAnsi="Times New Roman"/>
        </w:rPr>
        <w:t xml:space="preserve"> a company is involved, a court finds that the incorporation of the company, any use of the company, or any act by or on behalf of the company, constitutes an unconscionable abuse of the </w:t>
      </w:r>
      <w:r w:rsidR="009B3AD1">
        <w:rPr>
          <w:rFonts w:ascii="Times New Roman" w:hAnsi="Times New Roman"/>
        </w:rPr>
        <w:t>juristic</w:t>
      </w:r>
      <w:r w:rsidR="00453EA8" w:rsidRPr="00D57B26">
        <w:rPr>
          <w:rFonts w:ascii="Times New Roman" w:hAnsi="Times New Roman"/>
        </w:rPr>
        <w:t xml:space="preserve"> personality of the company as a separate entity, the court may –</w:t>
      </w:r>
    </w:p>
    <w:p w:rsidR="00453EA8" w:rsidRPr="00D57B26" w:rsidRDefault="00453EA8" w:rsidP="00176F0C">
      <w:pPr>
        <w:pStyle w:val="LegalList1"/>
        <w:spacing w:line="360" w:lineRule="auto"/>
        <w:ind w:left="2291" w:hanging="720"/>
        <w:rPr>
          <w:rFonts w:ascii="Times New Roman" w:hAnsi="Times New Roman"/>
        </w:rPr>
      </w:pPr>
      <w:r w:rsidRPr="00D57B26">
        <w:rPr>
          <w:rFonts w:ascii="Times New Roman" w:hAnsi="Times New Roman"/>
        </w:rPr>
        <w:t>(a)</w:t>
      </w:r>
      <w:r w:rsidRPr="00D57B26">
        <w:rPr>
          <w:rFonts w:ascii="Times New Roman" w:hAnsi="Times New Roman"/>
        </w:rPr>
        <w:tab/>
        <w:t>declare that the company is to be deemed not to be a juristic person in respect of any right, obligation or liability of the company or of a shareholder of the company or, in the case of a non-profit company, a member of the company, or of another person specified in the declaration; and</w:t>
      </w:r>
    </w:p>
    <w:p w:rsidR="00453EA8" w:rsidRDefault="00453EA8" w:rsidP="00176F0C">
      <w:pPr>
        <w:pStyle w:val="LegalList1"/>
        <w:spacing w:line="360" w:lineRule="auto"/>
        <w:ind w:left="2291" w:hanging="720"/>
        <w:rPr>
          <w:rFonts w:ascii="Times New Roman" w:hAnsi="Times New Roman"/>
          <w:sz w:val="28"/>
          <w:szCs w:val="28"/>
        </w:rPr>
      </w:pPr>
      <w:r w:rsidRPr="00D57B26">
        <w:rPr>
          <w:rFonts w:ascii="Times New Roman" w:hAnsi="Times New Roman"/>
        </w:rPr>
        <w:t>(b)</w:t>
      </w:r>
      <w:r w:rsidRPr="00D57B26">
        <w:rPr>
          <w:rFonts w:ascii="Times New Roman" w:hAnsi="Times New Roman"/>
        </w:rPr>
        <w:tab/>
        <w:t>make any further order the court considers appropriate to give effect to a declaration contemplated in paragraph (a).’</w:t>
      </w:r>
    </w:p>
    <w:p w:rsidR="00B900DE"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5B4A64">
        <w:rPr>
          <w:rFonts w:ascii="Times New Roman" w:hAnsi="Times New Roman"/>
          <w:sz w:val="28"/>
          <w:szCs w:val="28"/>
        </w:rPr>
        <w:t xml:space="preserve">On its plain wording section 20(9) </w:t>
      </w:r>
      <w:r w:rsidR="00E118B0">
        <w:rPr>
          <w:rFonts w:ascii="Times New Roman" w:hAnsi="Times New Roman"/>
          <w:sz w:val="28"/>
          <w:szCs w:val="28"/>
        </w:rPr>
        <w:t xml:space="preserve">permits a court to disregard the separate </w:t>
      </w:r>
      <w:r w:rsidR="00C959DD">
        <w:rPr>
          <w:rFonts w:ascii="Times New Roman" w:hAnsi="Times New Roman"/>
          <w:sz w:val="28"/>
          <w:szCs w:val="28"/>
        </w:rPr>
        <w:t>juristic</w:t>
      </w:r>
      <w:r w:rsidR="00E118B0">
        <w:rPr>
          <w:rFonts w:ascii="Times New Roman" w:hAnsi="Times New Roman"/>
          <w:sz w:val="28"/>
          <w:szCs w:val="28"/>
        </w:rPr>
        <w:t xml:space="preserve"> personality of the company where its incorporation, use </w:t>
      </w:r>
      <w:r w:rsidR="00E118B0">
        <w:rPr>
          <w:rFonts w:ascii="Times New Roman" w:hAnsi="Times New Roman"/>
          <w:sz w:val="28"/>
          <w:szCs w:val="28"/>
        </w:rPr>
        <w:lastRenderedPageBreak/>
        <w:t xml:space="preserve">or </w:t>
      </w:r>
      <w:r w:rsidR="009B3AD1">
        <w:rPr>
          <w:rFonts w:ascii="Times New Roman" w:hAnsi="Times New Roman"/>
          <w:sz w:val="28"/>
          <w:szCs w:val="28"/>
        </w:rPr>
        <w:t xml:space="preserve">any act performed by or on behalf of the company constitutes an unconscionable abuse of its </w:t>
      </w:r>
      <w:r w:rsidR="000F3C63">
        <w:rPr>
          <w:rFonts w:ascii="Times New Roman" w:hAnsi="Times New Roman"/>
          <w:sz w:val="28"/>
          <w:szCs w:val="28"/>
        </w:rPr>
        <w:t xml:space="preserve">juristic </w:t>
      </w:r>
      <w:r w:rsidR="009B3AD1">
        <w:rPr>
          <w:rFonts w:ascii="Times New Roman" w:hAnsi="Times New Roman"/>
          <w:sz w:val="28"/>
          <w:szCs w:val="28"/>
        </w:rPr>
        <w:t>personality as a separate legal entity</w:t>
      </w:r>
      <w:r w:rsidR="00B900DE">
        <w:rPr>
          <w:rFonts w:ascii="Times New Roman" w:hAnsi="Times New Roman"/>
          <w:sz w:val="28"/>
          <w:szCs w:val="28"/>
        </w:rPr>
        <w:t>.</w:t>
      </w:r>
    </w:p>
    <w:p w:rsidR="00A31394"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162D70">
        <w:rPr>
          <w:rFonts w:ascii="Times New Roman" w:hAnsi="Times New Roman"/>
          <w:sz w:val="28"/>
          <w:szCs w:val="28"/>
        </w:rPr>
        <w:t xml:space="preserve">Maintaining </w:t>
      </w:r>
      <w:r w:rsidR="00813E9F">
        <w:rPr>
          <w:rFonts w:ascii="Times New Roman" w:hAnsi="Times New Roman"/>
          <w:sz w:val="28"/>
          <w:szCs w:val="28"/>
        </w:rPr>
        <w:t xml:space="preserve">in the founding affidavit </w:t>
      </w:r>
      <w:r w:rsidR="00162D70">
        <w:rPr>
          <w:rFonts w:ascii="Times New Roman" w:hAnsi="Times New Roman"/>
          <w:sz w:val="28"/>
          <w:szCs w:val="28"/>
        </w:rPr>
        <w:t xml:space="preserve">that the section </w:t>
      </w:r>
      <w:r w:rsidR="001818D0">
        <w:rPr>
          <w:rFonts w:ascii="Times New Roman" w:hAnsi="Times New Roman"/>
          <w:sz w:val="28"/>
          <w:szCs w:val="28"/>
        </w:rPr>
        <w:t>is applicable, t</w:t>
      </w:r>
      <w:r w:rsidR="00162D70">
        <w:rPr>
          <w:rFonts w:ascii="Times New Roman" w:hAnsi="Times New Roman"/>
          <w:sz w:val="28"/>
          <w:szCs w:val="28"/>
        </w:rPr>
        <w:t xml:space="preserve">he applicants’ recourse </w:t>
      </w:r>
      <w:r w:rsidR="001818D0">
        <w:rPr>
          <w:rFonts w:ascii="Times New Roman" w:hAnsi="Times New Roman"/>
          <w:sz w:val="28"/>
          <w:szCs w:val="28"/>
        </w:rPr>
        <w:t xml:space="preserve">thereto </w:t>
      </w:r>
      <w:r w:rsidR="00162D70">
        <w:rPr>
          <w:rFonts w:ascii="Times New Roman" w:hAnsi="Times New Roman"/>
          <w:sz w:val="28"/>
          <w:szCs w:val="28"/>
        </w:rPr>
        <w:t>moves from the following premises</w:t>
      </w:r>
      <w:r w:rsidR="001818D0">
        <w:rPr>
          <w:rFonts w:ascii="Times New Roman" w:hAnsi="Times New Roman"/>
          <w:sz w:val="28"/>
          <w:szCs w:val="28"/>
        </w:rPr>
        <w:t xml:space="preserve"> (I extrapolate </w:t>
      </w:r>
      <w:r w:rsidR="00435E5B">
        <w:rPr>
          <w:rFonts w:ascii="Times New Roman" w:hAnsi="Times New Roman"/>
          <w:sz w:val="28"/>
          <w:szCs w:val="28"/>
        </w:rPr>
        <w:t xml:space="preserve">from the founding affidavit and </w:t>
      </w:r>
      <w:r w:rsidR="000F3C63">
        <w:rPr>
          <w:rFonts w:ascii="Times New Roman" w:hAnsi="Times New Roman"/>
          <w:sz w:val="28"/>
          <w:szCs w:val="28"/>
        </w:rPr>
        <w:t xml:space="preserve">in part </w:t>
      </w:r>
      <w:r w:rsidR="001818D0">
        <w:rPr>
          <w:rFonts w:ascii="Times New Roman" w:hAnsi="Times New Roman"/>
          <w:sz w:val="28"/>
          <w:szCs w:val="28"/>
        </w:rPr>
        <w:t xml:space="preserve">from the summary in </w:t>
      </w:r>
      <w:r w:rsidR="005B4A64">
        <w:rPr>
          <w:rFonts w:ascii="Times New Roman" w:hAnsi="Times New Roman"/>
          <w:sz w:val="28"/>
          <w:szCs w:val="28"/>
        </w:rPr>
        <w:t>FRB’s heads of argument):</w:t>
      </w:r>
    </w:p>
    <w:p w:rsidR="00B900DE"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B900DE">
        <w:rPr>
          <w:rFonts w:ascii="Times New Roman" w:hAnsi="Times New Roman"/>
          <w:sz w:val="28"/>
          <w:szCs w:val="28"/>
        </w:rPr>
        <w:t>the sale and transfer of the subject properties</w:t>
      </w:r>
      <w:r w:rsidR="00210A80">
        <w:rPr>
          <w:rFonts w:ascii="Times New Roman" w:hAnsi="Times New Roman"/>
          <w:sz w:val="28"/>
          <w:szCs w:val="28"/>
        </w:rPr>
        <w:t xml:space="preserve"> are void, fraudulent and otherwise in want of legality and fall to be set aside;</w:t>
      </w:r>
    </w:p>
    <w:p w:rsidR="00210A80"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210A80" w:rsidRPr="004E2388">
        <w:rPr>
          <w:rFonts w:ascii="Times New Roman" w:hAnsi="Times New Roman"/>
          <w:sz w:val="28"/>
          <w:szCs w:val="28"/>
        </w:rPr>
        <w:t>section 20 (9)</w:t>
      </w:r>
      <w:r w:rsidR="00C959DD" w:rsidRPr="004E2388">
        <w:rPr>
          <w:rFonts w:ascii="Times New Roman" w:hAnsi="Times New Roman"/>
          <w:sz w:val="28"/>
          <w:szCs w:val="28"/>
        </w:rPr>
        <w:t xml:space="preserve"> authorises a statutory basis for piercing the corporate veil of otherwise separate and distinct legal entities and</w:t>
      </w:r>
      <w:r w:rsidR="00255F50" w:rsidRPr="004E2388">
        <w:rPr>
          <w:rFonts w:ascii="Times New Roman" w:hAnsi="Times New Roman"/>
          <w:sz w:val="28"/>
          <w:szCs w:val="28"/>
        </w:rPr>
        <w:t xml:space="preserve"> provides a court with a wide</w:t>
      </w:r>
      <w:r w:rsidR="00255F50">
        <w:rPr>
          <w:rStyle w:val="FootnoteReference"/>
          <w:rFonts w:ascii="Times New Roman" w:hAnsi="Times New Roman"/>
          <w:sz w:val="28"/>
          <w:szCs w:val="28"/>
        </w:rPr>
        <w:footnoteReference w:id="21"/>
      </w:r>
      <w:r w:rsidR="00255F50" w:rsidRPr="004E2388">
        <w:rPr>
          <w:rFonts w:ascii="Times New Roman" w:hAnsi="Times New Roman"/>
          <w:sz w:val="28"/>
          <w:szCs w:val="28"/>
        </w:rPr>
        <w:t xml:space="preserve"> discretion to make any appropriate order to give effect to a declaration contemplated under the section;</w:t>
      </w:r>
    </w:p>
    <w:p w:rsidR="000F3C63"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r>
      <w:r w:rsidR="000F3C63" w:rsidRPr="004E2388">
        <w:rPr>
          <w:rFonts w:ascii="Times New Roman" w:hAnsi="Times New Roman"/>
          <w:sz w:val="28"/>
          <w:szCs w:val="28"/>
        </w:rPr>
        <w:t>the present application, undeniably has its genesis in an unconscionable abuse of the separate juristic personality of Soleil;</w:t>
      </w:r>
    </w:p>
    <w:p w:rsidR="005D57BD" w:rsidRDefault="00232999" w:rsidP="00232999">
      <w:pPr>
        <w:pStyle w:val="LegalList1"/>
        <w:spacing w:line="360" w:lineRule="auto"/>
        <w:ind w:left="1571" w:hanging="720"/>
        <w:rPr>
          <w:rFonts w:ascii="Times New Roman" w:hAnsi="Times New Roman"/>
          <w:sz w:val="28"/>
          <w:szCs w:val="28"/>
        </w:rPr>
      </w:pPr>
      <w:r>
        <w:rPr>
          <w:rFonts w:ascii="Times New Roman" w:hAnsi="Times New Roman"/>
          <w:sz w:val="28"/>
          <w:szCs w:val="28"/>
        </w:rPr>
        <w:t>(iv)</w:t>
      </w:r>
      <w:r>
        <w:rPr>
          <w:rFonts w:ascii="Times New Roman" w:hAnsi="Times New Roman"/>
          <w:sz w:val="28"/>
          <w:szCs w:val="28"/>
        </w:rPr>
        <w:tab/>
      </w:r>
      <w:r w:rsidR="005D57BD" w:rsidRPr="00176F0C">
        <w:rPr>
          <w:rFonts w:ascii="Times New Roman" w:hAnsi="Times New Roman"/>
          <w:sz w:val="28"/>
          <w:szCs w:val="28"/>
        </w:rPr>
        <w:t>the unconscionable abuse manifests itself in the fact that Soleil was always intended, interposed and utilised as a conduit vehicle through which Viljoen Snr aided by his sister and one Bester (an attorney)</w:t>
      </w:r>
      <w:r w:rsidR="00311782" w:rsidRPr="00176F0C">
        <w:rPr>
          <w:rFonts w:ascii="Times New Roman" w:hAnsi="Times New Roman"/>
          <w:sz w:val="28"/>
          <w:szCs w:val="28"/>
        </w:rPr>
        <w:t xml:space="preserve">, siphoned off and unlawfully misappropriated and dissipated millions of </w:t>
      </w:r>
      <w:r w:rsidR="009C52AA">
        <w:rPr>
          <w:rFonts w:ascii="Times New Roman" w:hAnsi="Times New Roman"/>
          <w:sz w:val="28"/>
          <w:szCs w:val="28"/>
        </w:rPr>
        <w:t>R</w:t>
      </w:r>
      <w:r w:rsidR="00311782" w:rsidRPr="00176F0C">
        <w:rPr>
          <w:rFonts w:ascii="Times New Roman" w:hAnsi="Times New Roman"/>
          <w:sz w:val="28"/>
          <w:szCs w:val="28"/>
        </w:rPr>
        <w:t>and’s worth of Trust assets in circumstances where both the Trust and Soleil were seemingly but conduits for Viljoen Snr;</w:t>
      </w:r>
    </w:p>
    <w:p w:rsidR="000F3C63" w:rsidRPr="00176F0C" w:rsidRDefault="00232999" w:rsidP="00232999">
      <w:pPr>
        <w:pStyle w:val="LegalList1"/>
        <w:spacing w:line="360" w:lineRule="auto"/>
        <w:ind w:left="1571" w:hanging="720"/>
        <w:rPr>
          <w:rFonts w:ascii="Times New Roman" w:hAnsi="Times New Roman"/>
          <w:sz w:val="28"/>
          <w:szCs w:val="28"/>
        </w:rPr>
      </w:pPr>
      <w:r w:rsidRPr="00176F0C">
        <w:rPr>
          <w:rFonts w:ascii="Times New Roman" w:hAnsi="Times New Roman"/>
          <w:sz w:val="28"/>
          <w:szCs w:val="28"/>
        </w:rPr>
        <w:lastRenderedPageBreak/>
        <w:t>(v)</w:t>
      </w:r>
      <w:r w:rsidRPr="00176F0C">
        <w:rPr>
          <w:rFonts w:ascii="Times New Roman" w:hAnsi="Times New Roman"/>
          <w:sz w:val="28"/>
          <w:szCs w:val="28"/>
        </w:rPr>
        <w:tab/>
      </w:r>
      <w:r w:rsidR="00023C51" w:rsidRPr="00176F0C">
        <w:rPr>
          <w:rFonts w:ascii="Times New Roman" w:hAnsi="Times New Roman"/>
          <w:sz w:val="28"/>
          <w:szCs w:val="28"/>
        </w:rPr>
        <w:t>this was done in a manner envisaged in section 20(9) and in contravention of the common law and the statutory provision</w:t>
      </w:r>
      <w:r w:rsidR="00023C51">
        <w:rPr>
          <w:rStyle w:val="FootnoteReference"/>
          <w:rFonts w:ascii="Times New Roman" w:hAnsi="Times New Roman"/>
          <w:sz w:val="28"/>
          <w:szCs w:val="28"/>
        </w:rPr>
        <w:footnoteReference w:id="22"/>
      </w:r>
      <w:r w:rsidR="00023C51" w:rsidRPr="00176F0C">
        <w:rPr>
          <w:rFonts w:ascii="Times New Roman" w:hAnsi="Times New Roman"/>
          <w:sz w:val="28"/>
          <w:szCs w:val="28"/>
        </w:rPr>
        <w:t xml:space="preserve"> that a company must not carry on its business recklessly, with gross negligence, with intent to defraud or for fraudulent purposes</w:t>
      </w:r>
      <w:r w:rsidR="004E2388" w:rsidRPr="00176F0C">
        <w:rPr>
          <w:rFonts w:ascii="Times New Roman" w:hAnsi="Times New Roman"/>
          <w:sz w:val="28"/>
          <w:szCs w:val="28"/>
        </w:rPr>
        <w:t>.</w:t>
      </w:r>
    </w:p>
    <w:p w:rsidR="000F3C63"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813E9F">
        <w:rPr>
          <w:rFonts w:ascii="Times New Roman" w:hAnsi="Times New Roman"/>
          <w:sz w:val="28"/>
          <w:szCs w:val="28"/>
        </w:rPr>
        <w:t>In argument counsel for FRB submitted that</w:t>
      </w:r>
      <w:r w:rsidR="00435E5B">
        <w:rPr>
          <w:rFonts w:ascii="Times New Roman" w:hAnsi="Times New Roman"/>
          <w:sz w:val="28"/>
          <w:szCs w:val="28"/>
        </w:rPr>
        <w:t xml:space="preserve"> the founding affidavit</w:t>
      </w:r>
      <w:r w:rsidR="00191864">
        <w:rPr>
          <w:rFonts w:ascii="Times New Roman" w:hAnsi="Times New Roman"/>
          <w:sz w:val="28"/>
          <w:szCs w:val="28"/>
        </w:rPr>
        <w:t xml:space="preserve"> lacks primary facts to substantiate the factual and legal conclusions set out therein. </w:t>
      </w:r>
      <w:r w:rsidR="00112E65">
        <w:rPr>
          <w:rFonts w:ascii="Times New Roman" w:hAnsi="Times New Roman"/>
          <w:sz w:val="28"/>
          <w:szCs w:val="28"/>
        </w:rPr>
        <w:t xml:space="preserve">That this is immediately apparent even from a cursory glance of the affidavit cannot be gainsaid. </w:t>
      </w:r>
      <w:r w:rsidR="00BE75DE">
        <w:rPr>
          <w:rFonts w:ascii="Times New Roman" w:hAnsi="Times New Roman"/>
          <w:sz w:val="28"/>
          <w:szCs w:val="28"/>
        </w:rPr>
        <w:t xml:space="preserve">It is trite that a party has to plead with sufficient clarity and particularity the material facts upon which it relies for the conclusions of law </w:t>
      </w:r>
      <w:r w:rsidR="00112E65">
        <w:rPr>
          <w:rFonts w:ascii="Times New Roman" w:hAnsi="Times New Roman"/>
          <w:sz w:val="28"/>
          <w:szCs w:val="28"/>
        </w:rPr>
        <w:t>it wishes the court to draw from those facts – it is not sufficient to plead the conclusion of law without pleading the material facts giving rise to it.</w:t>
      </w:r>
      <w:r w:rsidR="00112E65">
        <w:rPr>
          <w:rStyle w:val="FootnoteReference"/>
          <w:rFonts w:ascii="Times New Roman" w:hAnsi="Times New Roman"/>
          <w:sz w:val="28"/>
          <w:szCs w:val="28"/>
        </w:rPr>
        <w:footnoteReference w:id="23"/>
      </w:r>
      <w:r w:rsidR="00112E65">
        <w:rPr>
          <w:rFonts w:ascii="Times New Roman" w:hAnsi="Times New Roman"/>
          <w:sz w:val="28"/>
          <w:szCs w:val="28"/>
        </w:rPr>
        <w:t xml:space="preserve"> </w:t>
      </w:r>
    </w:p>
    <w:p w:rsidR="004E2388"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00B26A5C">
        <w:rPr>
          <w:rFonts w:ascii="Times New Roman" w:hAnsi="Times New Roman"/>
          <w:sz w:val="28"/>
          <w:szCs w:val="28"/>
        </w:rPr>
        <w:t>Furthermore, the deponent makes no mention of the creditors of Soleil considering that their position would be substantially affected</w:t>
      </w:r>
      <w:r w:rsidR="00EA749A">
        <w:rPr>
          <w:rFonts w:ascii="Times New Roman" w:hAnsi="Times New Roman"/>
          <w:sz w:val="28"/>
          <w:szCs w:val="28"/>
        </w:rPr>
        <w:t xml:space="preserve"> given the statutory basis of the relief contended for.</w:t>
      </w:r>
      <w:r w:rsidR="009D67DD">
        <w:rPr>
          <w:rFonts w:ascii="Times New Roman" w:hAnsi="Times New Roman"/>
          <w:sz w:val="28"/>
          <w:szCs w:val="28"/>
        </w:rPr>
        <w:t xml:space="preserve"> The applicants cannot claim the subject properties without any obligation towards creditors</w:t>
      </w:r>
      <w:r w:rsidR="00982E55">
        <w:rPr>
          <w:rFonts w:ascii="Times New Roman" w:hAnsi="Times New Roman"/>
          <w:sz w:val="28"/>
          <w:szCs w:val="28"/>
        </w:rPr>
        <w:t>.</w:t>
      </w:r>
    </w:p>
    <w:p w:rsidR="004E2388"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BE7701">
        <w:rPr>
          <w:rFonts w:ascii="Times New Roman" w:hAnsi="Times New Roman"/>
          <w:sz w:val="28"/>
          <w:szCs w:val="28"/>
        </w:rPr>
        <w:t xml:space="preserve">An order under section 20(9) may be justified in circumstances such as those in </w:t>
      </w:r>
      <w:r w:rsidR="00BE7701" w:rsidRPr="004D03E5">
        <w:rPr>
          <w:rFonts w:ascii="Times New Roman" w:hAnsi="Times New Roman"/>
          <w:i/>
          <w:sz w:val="28"/>
          <w:szCs w:val="28"/>
        </w:rPr>
        <w:t>City Capital v Chavonnes Badenhorst</w:t>
      </w:r>
      <w:r w:rsidR="00BE7701">
        <w:rPr>
          <w:rStyle w:val="FootnoteReference"/>
          <w:rFonts w:ascii="Times New Roman" w:hAnsi="Times New Roman"/>
          <w:sz w:val="28"/>
          <w:szCs w:val="28"/>
        </w:rPr>
        <w:footnoteReference w:id="24"/>
      </w:r>
      <w:r w:rsidR="002B7F70">
        <w:rPr>
          <w:rFonts w:ascii="Times New Roman" w:hAnsi="Times New Roman"/>
          <w:sz w:val="28"/>
          <w:szCs w:val="28"/>
        </w:rPr>
        <w:t xml:space="preserve"> in which controllers of companies in a group </w:t>
      </w:r>
      <w:r w:rsidR="003C400B">
        <w:rPr>
          <w:rFonts w:ascii="Times New Roman" w:hAnsi="Times New Roman"/>
          <w:sz w:val="28"/>
          <w:szCs w:val="28"/>
        </w:rPr>
        <w:t xml:space="preserve">had </w:t>
      </w:r>
      <w:r w:rsidR="002B7F70">
        <w:rPr>
          <w:rFonts w:ascii="Times New Roman" w:hAnsi="Times New Roman"/>
          <w:sz w:val="28"/>
          <w:szCs w:val="28"/>
        </w:rPr>
        <w:t>used those companies for a dishonest or improper purpose and in that way drew no distinction between the separate juristic personalities of the members of the group.</w:t>
      </w:r>
      <w:r w:rsidR="00D31721">
        <w:rPr>
          <w:rFonts w:ascii="Times New Roman" w:hAnsi="Times New Roman"/>
          <w:sz w:val="28"/>
          <w:szCs w:val="28"/>
        </w:rPr>
        <w:t xml:space="preserve"> In the present matter the converse is the position. For the alleged fraudulent scheme to work it was at all times imperative that the separate juristic personality of Soleil be used, recognised and maintained. A clear distinction between </w:t>
      </w:r>
      <w:r w:rsidR="002B3279">
        <w:rPr>
          <w:rFonts w:ascii="Times New Roman" w:hAnsi="Times New Roman"/>
          <w:sz w:val="28"/>
          <w:szCs w:val="28"/>
        </w:rPr>
        <w:lastRenderedPageBreak/>
        <w:t>the T</w:t>
      </w:r>
      <w:r w:rsidR="00D31721">
        <w:rPr>
          <w:rFonts w:ascii="Times New Roman" w:hAnsi="Times New Roman"/>
          <w:sz w:val="28"/>
          <w:szCs w:val="28"/>
        </w:rPr>
        <w:t>rust and Soleil was therefore of cardinal importance;</w:t>
      </w:r>
      <w:r w:rsidR="004D03E5">
        <w:rPr>
          <w:rFonts w:ascii="Times New Roman" w:hAnsi="Times New Roman"/>
          <w:sz w:val="28"/>
          <w:szCs w:val="28"/>
        </w:rPr>
        <w:t xml:space="preserve"> and it is this distinction which in my view goes to the very root of the intention to transfer ownership of the subject properties to Soleil.</w:t>
      </w:r>
    </w:p>
    <w:p w:rsidR="004E2388"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982E55">
        <w:rPr>
          <w:rFonts w:ascii="Times New Roman" w:hAnsi="Times New Roman"/>
          <w:sz w:val="28"/>
          <w:szCs w:val="28"/>
        </w:rPr>
        <w:t>Notwithstanding the case presented in the founding affidavit, this with particular reference to section 20(9),</w:t>
      </w:r>
      <w:r w:rsidR="00E02427">
        <w:rPr>
          <w:rFonts w:ascii="Times New Roman" w:hAnsi="Times New Roman"/>
          <w:sz w:val="28"/>
          <w:szCs w:val="28"/>
        </w:rPr>
        <w:t xml:space="preserve"> in argument</w:t>
      </w:r>
      <w:r w:rsidR="00160574">
        <w:rPr>
          <w:rFonts w:ascii="Times New Roman" w:hAnsi="Times New Roman"/>
          <w:sz w:val="28"/>
          <w:szCs w:val="28"/>
        </w:rPr>
        <w:t xml:space="preserve"> counsel </w:t>
      </w:r>
      <w:r w:rsidR="00E02427">
        <w:rPr>
          <w:rFonts w:ascii="Times New Roman" w:hAnsi="Times New Roman"/>
          <w:sz w:val="28"/>
          <w:szCs w:val="28"/>
        </w:rPr>
        <w:t xml:space="preserve">for the applicants </w:t>
      </w:r>
      <w:r w:rsidR="00160574">
        <w:rPr>
          <w:rFonts w:ascii="Times New Roman" w:hAnsi="Times New Roman"/>
          <w:sz w:val="28"/>
          <w:szCs w:val="28"/>
        </w:rPr>
        <w:t>contended for the collapse of the Trust into Soleil.</w:t>
      </w:r>
      <w:r w:rsidR="00776FA7">
        <w:rPr>
          <w:rFonts w:ascii="Times New Roman" w:hAnsi="Times New Roman"/>
          <w:sz w:val="28"/>
          <w:szCs w:val="28"/>
        </w:rPr>
        <w:t xml:space="preserve"> A</w:t>
      </w:r>
      <w:r w:rsidR="00160574">
        <w:rPr>
          <w:rFonts w:ascii="Times New Roman" w:hAnsi="Times New Roman"/>
          <w:sz w:val="28"/>
          <w:szCs w:val="28"/>
        </w:rPr>
        <w:t xml:space="preserve">side from this being a new case </w:t>
      </w:r>
      <w:r w:rsidR="00776FA7">
        <w:rPr>
          <w:rFonts w:ascii="Times New Roman" w:hAnsi="Times New Roman"/>
          <w:sz w:val="28"/>
          <w:szCs w:val="28"/>
        </w:rPr>
        <w:t>belatedly introduced in argument</w:t>
      </w:r>
      <w:r w:rsidR="00160574">
        <w:rPr>
          <w:rFonts w:ascii="Times New Roman" w:hAnsi="Times New Roman"/>
          <w:sz w:val="28"/>
          <w:szCs w:val="28"/>
        </w:rPr>
        <w:t>,</w:t>
      </w:r>
      <w:r w:rsidR="00E02427">
        <w:rPr>
          <w:rFonts w:ascii="Times New Roman" w:hAnsi="Times New Roman"/>
          <w:sz w:val="28"/>
          <w:szCs w:val="28"/>
        </w:rPr>
        <w:t xml:space="preserve"> </w:t>
      </w:r>
      <w:r w:rsidR="00160574">
        <w:rPr>
          <w:rFonts w:ascii="Times New Roman" w:hAnsi="Times New Roman"/>
          <w:sz w:val="28"/>
          <w:szCs w:val="28"/>
        </w:rPr>
        <w:t xml:space="preserve">the </w:t>
      </w:r>
      <w:r w:rsidR="00776FA7">
        <w:rPr>
          <w:rFonts w:ascii="Times New Roman" w:hAnsi="Times New Roman"/>
          <w:sz w:val="28"/>
          <w:szCs w:val="28"/>
        </w:rPr>
        <w:t>contention is</w:t>
      </w:r>
      <w:r w:rsidR="00160574">
        <w:rPr>
          <w:rFonts w:ascii="Times New Roman" w:hAnsi="Times New Roman"/>
          <w:sz w:val="28"/>
          <w:szCs w:val="28"/>
        </w:rPr>
        <w:t xml:space="preserve"> unsustainabl</w:t>
      </w:r>
      <w:r w:rsidR="00776FA7">
        <w:rPr>
          <w:rFonts w:ascii="Times New Roman" w:hAnsi="Times New Roman"/>
          <w:sz w:val="28"/>
          <w:szCs w:val="28"/>
        </w:rPr>
        <w:t>e, and in reply</w:t>
      </w:r>
      <w:r w:rsidR="00E02427">
        <w:rPr>
          <w:rFonts w:ascii="Times New Roman" w:hAnsi="Times New Roman"/>
          <w:sz w:val="28"/>
          <w:szCs w:val="28"/>
        </w:rPr>
        <w:t xml:space="preserve"> </w:t>
      </w:r>
      <w:r w:rsidR="00776FA7">
        <w:rPr>
          <w:rFonts w:ascii="Times New Roman" w:hAnsi="Times New Roman"/>
          <w:sz w:val="28"/>
          <w:szCs w:val="28"/>
        </w:rPr>
        <w:t>counsel</w:t>
      </w:r>
      <w:r w:rsidR="00E02427">
        <w:rPr>
          <w:rFonts w:ascii="Times New Roman" w:hAnsi="Times New Roman"/>
          <w:sz w:val="28"/>
          <w:szCs w:val="28"/>
        </w:rPr>
        <w:t xml:space="preserve"> </w:t>
      </w:r>
      <w:r w:rsidR="00776FA7">
        <w:rPr>
          <w:rFonts w:ascii="Times New Roman" w:hAnsi="Times New Roman"/>
          <w:sz w:val="28"/>
          <w:szCs w:val="28"/>
        </w:rPr>
        <w:t>correctly conceded that the founding affidavit was silent thereover.</w:t>
      </w:r>
    </w:p>
    <w:p w:rsidR="00484B76" w:rsidRPr="0014367F" w:rsidRDefault="0014367F" w:rsidP="002B3279">
      <w:pPr>
        <w:pStyle w:val="LegalList1"/>
        <w:spacing w:line="360" w:lineRule="auto"/>
        <w:ind w:left="131" w:firstLine="720"/>
        <w:rPr>
          <w:rFonts w:ascii="Times New Roman" w:hAnsi="Times New Roman"/>
          <w:b/>
          <w:i/>
          <w:sz w:val="28"/>
          <w:szCs w:val="28"/>
        </w:rPr>
      </w:pPr>
      <w:r w:rsidRPr="0014367F">
        <w:rPr>
          <w:rFonts w:ascii="Times New Roman" w:hAnsi="Times New Roman"/>
          <w:b/>
          <w:i/>
          <w:sz w:val="28"/>
          <w:szCs w:val="28"/>
        </w:rPr>
        <w:t>Bond cancellation</w:t>
      </w:r>
    </w:p>
    <w:p w:rsidR="00973778"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0046600E">
        <w:rPr>
          <w:rFonts w:ascii="Times New Roman" w:hAnsi="Times New Roman"/>
          <w:sz w:val="28"/>
          <w:szCs w:val="28"/>
        </w:rPr>
        <w:t xml:space="preserve">In support of this relief it is contended in the applicants’ heads of argument that </w:t>
      </w:r>
      <w:r w:rsidR="000B0147">
        <w:rPr>
          <w:rFonts w:ascii="Times New Roman" w:hAnsi="Times New Roman"/>
          <w:sz w:val="28"/>
          <w:szCs w:val="28"/>
        </w:rPr>
        <w:t>the T</w:t>
      </w:r>
      <w:r w:rsidR="00172370">
        <w:rPr>
          <w:rFonts w:ascii="Times New Roman" w:hAnsi="Times New Roman"/>
          <w:sz w:val="28"/>
          <w:szCs w:val="28"/>
        </w:rPr>
        <w:t xml:space="preserve">rust did not consent to the registration of a mortgage bond over the subject properties. The trite position is that only </w:t>
      </w:r>
      <w:r w:rsidR="0046600E">
        <w:rPr>
          <w:rFonts w:ascii="Times New Roman" w:hAnsi="Times New Roman"/>
          <w:sz w:val="28"/>
          <w:szCs w:val="28"/>
        </w:rPr>
        <w:t>the true owner of immovable property can give consent to the reg</w:t>
      </w:r>
      <w:r w:rsidR="00973778">
        <w:rPr>
          <w:rFonts w:ascii="Times New Roman" w:hAnsi="Times New Roman"/>
          <w:sz w:val="28"/>
          <w:szCs w:val="28"/>
        </w:rPr>
        <w:t xml:space="preserve">istration of a mortgage bond over </w:t>
      </w:r>
      <w:r w:rsidR="0046600E">
        <w:rPr>
          <w:rFonts w:ascii="Times New Roman" w:hAnsi="Times New Roman"/>
          <w:sz w:val="28"/>
          <w:szCs w:val="28"/>
        </w:rPr>
        <w:t>its property.</w:t>
      </w:r>
      <w:r w:rsidR="00172370">
        <w:rPr>
          <w:rStyle w:val="FootnoteReference"/>
          <w:rFonts w:ascii="Times New Roman" w:hAnsi="Times New Roman"/>
          <w:sz w:val="28"/>
          <w:szCs w:val="28"/>
        </w:rPr>
        <w:footnoteReference w:id="25"/>
      </w:r>
      <w:r w:rsidR="00172370">
        <w:rPr>
          <w:rFonts w:ascii="Times New Roman" w:hAnsi="Times New Roman"/>
          <w:sz w:val="28"/>
          <w:szCs w:val="28"/>
        </w:rPr>
        <w:t xml:space="preserve"> Because</w:t>
      </w:r>
      <w:r w:rsidR="0029206A">
        <w:rPr>
          <w:rFonts w:ascii="Times New Roman" w:hAnsi="Times New Roman"/>
          <w:sz w:val="28"/>
          <w:szCs w:val="28"/>
        </w:rPr>
        <w:t xml:space="preserve"> the T</w:t>
      </w:r>
      <w:r w:rsidR="000B0147">
        <w:rPr>
          <w:rFonts w:ascii="Times New Roman" w:hAnsi="Times New Roman"/>
          <w:sz w:val="28"/>
          <w:szCs w:val="28"/>
        </w:rPr>
        <w:t>rust</w:t>
      </w:r>
      <w:r w:rsidR="00172370">
        <w:rPr>
          <w:rFonts w:ascii="Times New Roman" w:hAnsi="Times New Roman"/>
          <w:sz w:val="28"/>
          <w:szCs w:val="28"/>
        </w:rPr>
        <w:t xml:space="preserve"> did not give such consent, FRB’s bond was not validly registered.</w:t>
      </w:r>
      <w:r w:rsidR="009257E1">
        <w:rPr>
          <w:rFonts w:ascii="Times New Roman" w:hAnsi="Times New Roman"/>
          <w:sz w:val="28"/>
          <w:szCs w:val="28"/>
        </w:rPr>
        <w:t xml:space="preserve"> What puts paid to this argument</w:t>
      </w:r>
      <w:r w:rsidR="004135B8">
        <w:rPr>
          <w:rFonts w:ascii="Times New Roman" w:hAnsi="Times New Roman"/>
          <w:sz w:val="28"/>
          <w:szCs w:val="28"/>
        </w:rPr>
        <w:t xml:space="preserve"> is the existence of a duly signed resolution by the trustees of the </w:t>
      </w:r>
      <w:r w:rsidR="00E15D53">
        <w:rPr>
          <w:rFonts w:ascii="Times New Roman" w:hAnsi="Times New Roman"/>
          <w:sz w:val="28"/>
          <w:szCs w:val="28"/>
        </w:rPr>
        <w:t>T</w:t>
      </w:r>
      <w:r w:rsidR="004135B8">
        <w:rPr>
          <w:rFonts w:ascii="Times New Roman" w:hAnsi="Times New Roman"/>
          <w:sz w:val="28"/>
          <w:szCs w:val="28"/>
        </w:rPr>
        <w:t>rust (Viljoen Snr and Clarence Stander), in terms of which Viljoen Snr</w:t>
      </w:r>
      <w:r w:rsidR="00E15D53">
        <w:rPr>
          <w:rFonts w:ascii="Times New Roman" w:hAnsi="Times New Roman"/>
          <w:sz w:val="28"/>
          <w:szCs w:val="28"/>
        </w:rPr>
        <w:t xml:space="preserve"> was expressly authorised to sign all relevant documents which may be necessary for the registration of the transfer of the subject properties into the name of Soleil. It is significant that the applicants have not addressed this issue.</w:t>
      </w:r>
    </w:p>
    <w:p w:rsidR="00484B76"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r>
      <w:r w:rsidR="00D71884">
        <w:rPr>
          <w:rFonts w:ascii="Times New Roman" w:hAnsi="Times New Roman"/>
          <w:sz w:val="28"/>
          <w:szCs w:val="28"/>
        </w:rPr>
        <w:t xml:space="preserve">It is </w:t>
      </w:r>
      <w:r w:rsidR="00B701F5">
        <w:rPr>
          <w:rFonts w:ascii="Times New Roman" w:hAnsi="Times New Roman"/>
          <w:sz w:val="28"/>
          <w:szCs w:val="28"/>
        </w:rPr>
        <w:t xml:space="preserve">stated </w:t>
      </w:r>
      <w:r w:rsidR="00D71884">
        <w:rPr>
          <w:rFonts w:ascii="Times New Roman" w:hAnsi="Times New Roman"/>
          <w:sz w:val="28"/>
          <w:szCs w:val="28"/>
        </w:rPr>
        <w:t>in the founding affidavit that the registration of the bond is founded on the factual supposition that Soleil could</w:t>
      </w:r>
      <w:r w:rsidR="00D14353">
        <w:rPr>
          <w:rFonts w:ascii="Times New Roman" w:hAnsi="Times New Roman"/>
          <w:sz w:val="28"/>
          <w:szCs w:val="28"/>
        </w:rPr>
        <w:t xml:space="preserve"> as lawful </w:t>
      </w:r>
      <w:r w:rsidR="00D14353">
        <w:rPr>
          <w:rFonts w:ascii="Times New Roman" w:hAnsi="Times New Roman"/>
          <w:sz w:val="28"/>
          <w:szCs w:val="28"/>
        </w:rPr>
        <w:lastRenderedPageBreak/>
        <w:t>owner/purchaser</w:t>
      </w:r>
      <w:r w:rsidR="00973778">
        <w:rPr>
          <w:rFonts w:ascii="Times New Roman" w:hAnsi="Times New Roman"/>
          <w:sz w:val="28"/>
          <w:szCs w:val="28"/>
        </w:rPr>
        <w:t xml:space="preserve"> of the subject properties consent to the registration of the bond.</w:t>
      </w:r>
      <w:r w:rsidR="002B2BAD">
        <w:rPr>
          <w:rFonts w:ascii="Times New Roman" w:hAnsi="Times New Roman"/>
          <w:sz w:val="28"/>
          <w:szCs w:val="28"/>
        </w:rPr>
        <w:t xml:space="preserve"> In the same breath, it is asserted that neither Soleil, </w:t>
      </w:r>
      <w:r w:rsidR="001F1EC4">
        <w:rPr>
          <w:rFonts w:ascii="Times New Roman" w:hAnsi="Times New Roman"/>
          <w:sz w:val="28"/>
          <w:szCs w:val="28"/>
        </w:rPr>
        <w:t xml:space="preserve">Ms </w:t>
      </w:r>
      <w:r w:rsidR="002B2BAD">
        <w:rPr>
          <w:rFonts w:ascii="Times New Roman" w:hAnsi="Times New Roman"/>
          <w:sz w:val="28"/>
          <w:szCs w:val="28"/>
        </w:rPr>
        <w:t xml:space="preserve">Groenewald nor Viljoen Snr could </w:t>
      </w:r>
      <w:r w:rsidR="00B701F5">
        <w:rPr>
          <w:rFonts w:ascii="Times New Roman" w:hAnsi="Times New Roman"/>
          <w:sz w:val="28"/>
          <w:szCs w:val="28"/>
        </w:rPr>
        <w:t xml:space="preserve">‘for the aforesaid reasons’ </w:t>
      </w:r>
      <w:r w:rsidR="002B2BAD">
        <w:rPr>
          <w:rFonts w:ascii="Times New Roman" w:hAnsi="Times New Roman"/>
          <w:sz w:val="28"/>
          <w:szCs w:val="28"/>
        </w:rPr>
        <w:t>extend such consent, hence there was never any lawful basis on which the bond could be registered.</w:t>
      </w:r>
      <w:r w:rsidR="00406486">
        <w:rPr>
          <w:rFonts w:ascii="Times New Roman" w:hAnsi="Times New Roman"/>
          <w:sz w:val="28"/>
          <w:szCs w:val="28"/>
        </w:rPr>
        <w:t xml:space="preserve"> The ‘aforesaid reasons’ are not difficult to discern and include </w:t>
      </w:r>
      <w:r w:rsidR="00406486" w:rsidRPr="00D14353">
        <w:rPr>
          <w:rFonts w:ascii="Times New Roman" w:hAnsi="Times New Roman"/>
          <w:i/>
          <w:sz w:val="28"/>
          <w:szCs w:val="28"/>
        </w:rPr>
        <w:t>inter alia</w:t>
      </w:r>
      <w:r w:rsidR="00406486">
        <w:rPr>
          <w:rFonts w:ascii="Times New Roman" w:hAnsi="Times New Roman"/>
          <w:sz w:val="28"/>
          <w:szCs w:val="28"/>
        </w:rPr>
        <w:t xml:space="preserve"> the (false) allegation that Vi</w:t>
      </w:r>
      <w:r w:rsidR="00FC63C0">
        <w:rPr>
          <w:rFonts w:ascii="Times New Roman" w:hAnsi="Times New Roman"/>
          <w:sz w:val="28"/>
          <w:szCs w:val="28"/>
        </w:rPr>
        <w:t xml:space="preserve">ljoen Snr was not authorised to </w:t>
      </w:r>
      <w:r w:rsidR="00406486">
        <w:rPr>
          <w:rFonts w:ascii="Times New Roman" w:hAnsi="Times New Roman"/>
          <w:sz w:val="28"/>
          <w:szCs w:val="28"/>
        </w:rPr>
        <w:t>effect the transfer and that the purchase price was not paid for the subject properties.</w:t>
      </w:r>
      <w:r w:rsidR="004C43A7">
        <w:rPr>
          <w:rFonts w:ascii="Times New Roman" w:hAnsi="Times New Roman"/>
          <w:sz w:val="28"/>
          <w:szCs w:val="28"/>
        </w:rPr>
        <w:t xml:space="preserve"> Beyond these reasons,</w:t>
      </w:r>
      <w:r w:rsidR="00BD4480">
        <w:rPr>
          <w:rFonts w:ascii="Times New Roman" w:hAnsi="Times New Roman"/>
          <w:sz w:val="28"/>
          <w:szCs w:val="28"/>
        </w:rPr>
        <w:t xml:space="preserve"> which have been disputed by FRB in its fourth affidavit</w:t>
      </w:r>
      <w:r w:rsidR="002B3279">
        <w:rPr>
          <w:rFonts w:ascii="Times New Roman" w:hAnsi="Times New Roman"/>
          <w:sz w:val="28"/>
          <w:szCs w:val="28"/>
        </w:rPr>
        <w:t xml:space="preserve"> (filed </w:t>
      </w:r>
      <w:r w:rsidR="009C52AA">
        <w:rPr>
          <w:rFonts w:ascii="Times New Roman" w:hAnsi="Times New Roman"/>
          <w:sz w:val="28"/>
          <w:szCs w:val="28"/>
        </w:rPr>
        <w:t xml:space="preserve">without objection </w:t>
      </w:r>
      <w:r w:rsidR="002B3279">
        <w:rPr>
          <w:rFonts w:ascii="Times New Roman" w:hAnsi="Times New Roman"/>
          <w:sz w:val="28"/>
          <w:szCs w:val="28"/>
        </w:rPr>
        <w:t>in response to new matter raised in the applicants’ reply)</w:t>
      </w:r>
      <w:r w:rsidR="00BD4480">
        <w:rPr>
          <w:rFonts w:ascii="Times New Roman" w:hAnsi="Times New Roman"/>
          <w:sz w:val="28"/>
          <w:szCs w:val="28"/>
        </w:rPr>
        <w:t xml:space="preserve">, </w:t>
      </w:r>
      <w:r w:rsidR="004C43A7">
        <w:rPr>
          <w:rFonts w:ascii="Times New Roman" w:hAnsi="Times New Roman"/>
          <w:sz w:val="28"/>
          <w:szCs w:val="28"/>
        </w:rPr>
        <w:t>there are no primary facts</w:t>
      </w:r>
      <w:r w:rsidR="00BD4480">
        <w:rPr>
          <w:rFonts w:ascii="Times New Roman" w:hAnsi="Times New Roman"/>
          <w:sz w:val="28"/>
          <w:szCs w:val="28"/>
        </w:rPr>
        <w:t xml:space="preserve"> to support the assertion made by the deponent to the founding affidavit.</w:t>
      </w:r>
      <w:r w:rsidR="00FC63C0">
        <w:rPr>
          <w:rFonts w:ascii="Times New Roman" w:hAnsi="Times New Roman"/>
          <w:sz w:val="28"/>
          <w:szCs w:val="28"/>
        </w:rPr>
        <w:t xml:space="preserve"> </w:t>
      </w:r>
    </w:p>
    <w:p w:rsidR="00BD4480"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r>
      <w:r w:rsidR="003D5FFB">
        <w:rPr>
          <w:rFonts w:ascii="Times New Roman" w:hAnsi="Times New Roman"/>
          <w:sz w:val="28"/>
          <w:szCs w:val="28"/>
        </w:rPr>
        <w:t>It is not in issue that the formalities attendant upon the transfer of the subject properties to Soleil had been complied with, that they were accepted by the Registrar of Deeds</w:t>
      </w:r>
      <w:r w:rsidR="00101276">
        <w:rPr>
          <w:rFonts w:ascii="Times New Roman" w:hAnsi="Times New Roman"/>
          <w:sz w:val="28"/>
          <w:szCs w:val="28"/>
        </w:rPr>
        <w:t>, and that transfer had been effected in the deeds registry. In circumstances such as these, where a formally valid transfer had occurred – and although it could be challenged on a number of grounds – the transfer remains valid until set aside by an order of court.</w:t>
      </w:r>
      <w:r w:rsidR="00101276">
        <w:rPr>
          <w:rStyle w:val="FootnoteReference"/>
          <w:rFonts w:ascii="Times New Roman" w:hAnsi="Times New Roman"/>
          <w:sz w:val="28"/>
          <w:szCs w:val="28"/>
        </w:rPr>
        <w:footnoteReference w:id="26"/>
      </w:r>
    </w:p>
    <w:p w:rsidR="00484B76" w:rsidRPr="00484B76" w:rsidRDefault="00232999" w:rsidP="00232999">
      <w:pPr>
        <w:pStyle w:val="LegalList1"/>
        <w:spacing w:line="360" w:lineRule="auto"/>
        <w:ind w:left="851" w:hanging="851"/>
        <w:rPr>
          <w:rFonts w:ascii="Times New Roman" w:hAnsi="Times New Roman"/>
          <w:sz w:val="28"/>
          <w:szCs w:val="28"/>
        </w:rPr>
      </w:pPr>
      <w:r w:rsidRPr="00484B76">
        <w:rPr>
          <w:rFonts w:ascii="Times New Roman" w:hAnsi="Times New Roman"/>
          <w:sz w:val="28"/>
          <w:szCs w:val="28"/>
        </w:rPr>
        <w:t>[71]</w:t>
      </w:r>
      <w:r w:rsidRPr="00484B76">
        <w:rPr>
          <w:rFonts w:ascii="Times New Roman" w:hAnsi="Times New Roman"/>
          <w:sz w:val="28"/>
          <w:szCs w:val="28"/>
        </w:rPr>
        <w:tab/>
      </w:r>
      <w:r w:rsidR="00740A46">
        <w:rPr>
          <w:rFonts w:ascii="Times New Roman" w:hAnsi="Times New Roman"/>
          <w:sz w:val="28"/>
          <w:szCs w:val="28"/>
        </w:rPr>
        <w:t xml:space="preserve">For the above reasons the </w:t>
      </w:r>
      <w:r w:rsidR="00F46535">
        <w:rPr>
          <w:rFonts w:ascii="Times New Roman" w:hAnsi="Times New Roman"/>
          <w:sz w:val="28"/>
          <w:szCs w:val="28"/>
        </w:rPr>
        <w:t xml:space="preserve">bond cancellation </w:t>
      </w:r>
      <w:r w:rsidR="00740A46">
        <w:rPr>
          <w:rFonts w:ascii="Times New Roman" w:hAnsi="Times New Roman"/>
          <w:sz w:val="28"/>
          <w:szCs w:val="28"/>
        </w:rPr>
        <w:t>relief contended for by the applicants is not competent.</w:t>
      </w:r>
    </w:p>
    <w:p w:rsidR="00E90A4D"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sidR="00580F6E">
        <w:rPr>
          <w:rFonts w:ascii="Times New Roman" w:hAnsi="Times New Roman"/>
          <w:sz w:val="28"/>
          <w:szCs w:val="28"/>
        </w:rPr>
        <w:t>Before concluding this judgment, I turn to address the issue of reserved costs</w:t>
      </w:r>
      <w:r w:rsidR="00A8211B">
        <w:rPr>
          <w:rFonts w:ascii="Times New Roman" w:hAnsi="Times New Roman"/>
          <w:sz w:val="28"/>
          <w:szCs w:val="28"/>
        </w:rPr>
        <w:t xml:space="preserve">. </w:t>
      </w:r>
      <w:r w:rsidR="006F4C22">
        <w:rPr>
          <w:rFonts w:ascii="Times New Roman" w:hAnsi="Times New Roman"/>
          <w:sz w:val="28"/>
          <w:szCs w:val="28"/>
        </w:rPr>
        <w:t>C</w:t>
      </w:r>
      <w:r w:rsidR="00A8211B">
        <w:rPr>
          <w:rFonts w:ascii="Times New Roman" w:hAnsi="Times New Roman"/>
          <w:sz w:val="28"/>
          <w:szCs w:val="28"/>
        </w:rPr>
        <w:t>ounsel for FRB submitted that such costs should be awarded to FRB</w:t>
      </w:r>
      <w:r w:rsidR="004B5777">
        <w:rPr>
          <w:rFonts w:ascii="Times New Roman" w:hAnsi="Times New Roman"/>
          <w:sz w:val="28"/>
          <w:szCs w:val="28"/>
        </w:rPr>
        <w:t>.</w:t>
      </w:r>
      <w:r w:rsidR="0064188B">
        <w:rPr>
          <w:rFonts w:ascii="Times New Roman" w:hAnsi="Times New Roman"/>
          <w:sz w:val="28"/>
          <w:szCs w:val="28"/>
        </w:rPr>
        <w:t xml:space="preserve"> Save for a date 13 October 2020 appearing </w:t>
      </w:r>
      <w:r w:rsidR="00054C50">
        <w:rPr>
          <w:rFonts w:ascii="Times New Roman" w:hAnsi="Times New Roman"/>
          <w:sz w:val="28"/>
          <w:szCs w:val="28"/>
        </w:rPr>
        <w:t xml:space="preserve">in manuscript </w:t>
      </w:r>
      <w:r w:rsidR="0064188B">
        <w:rPr>
          <w:rFonts w:ascii="Times New Roman" w:hAnsi="Times New Roman"/>
          <w:sz w:val="28"/>
          <w:szCs w:val="28"/>
        </w:rPr>
        <w:t>on the cover of the court file</w:t>
      </w:r>
      <w:r w:rsidR="004B5777">
        <w:rPr>
          <w:rFonts w:ascii="Times New Roman" w:hAnsi="Times New Roman"/>
          <w:sz w:val="28"/>
          <w:szCs w:val="28"/>
        </w:rPr>
        <w:t>, t</w:t>
      </w:r>
      <w:r w:rsidR="0064188B">
        <w:rPr>
          <w:rFonts w:ascii="Times New Roman" w:hAnsi="Times New Roman"/>
          <w:sz w:val="28"/>
          <w:szCs w:val="28"/>
        </w:rPr>
        <w:t xml:space="preserve">he material on file is </w:t>
      </w:r>
      <w:r w:rsidR="004B5777">
        <w:rPr>
          <w:rFonts w:ascii="Times New Roman" w:hAnsi="Times New Roman"/>
          <w:sz w:val="28"/>
          <w:szCs w:val="28"/>
        </w:rPr>
        <w:t>insuff</w:t>
      </w:r>
      <w:r w:rsidR="00F46535">
        <w:rPr>
          <w:rFonts w:ascii="Times New Roman" w:hAnsi="Times New Roman"/>
          <w:sz w:val="28"/>
          <w:szCs w:val="28"/>
        </w:rPr>
        <w:t xml:space="preserve">icient for determining </w:t>
      </w:r>
      <w:r w:rsidR="007878D9">
        <w:rPr>
          <w:rFonts w:ascii="Times New Roman" w:hAnsi="Times New Roman"/>
          <w:sz w:val="28"/>
          <w:szCs w:val="28"/>
        </w:rPr>
        <w:t xml:space="preserve">                    </w:t>
      </w:r>
      <w:r w:rsidR="004B5777">
        <w:rPr>
          <w:rFonts w:ascii="Times New Roman" w:hAnsi="Times New Roman"/>
          <w:sz w:val="28"/>
          <w:szCs w:val="28"/>
        </w:rPr>
        <w:t>the circumstances that occasioned a reserved costs order.</w:t>
      </w:r>
      <w:r w:rsidR="006F4C22">
        <w:rPr>
          <w:rFonts w:ascii="Times New Roman" w:hAnsi="Times New Roman"/>
          <w:sz w:val="28"/>
          <w:szCs w:val="28"/>
        </w:rPr>
        <w:t xml:space="preserve"> Indeed, this </w:t>
      </w:r>
      <w:r w:rsidR="006F4C22">
        <w:rPr>
          <w:rFonts w:ascii="Times New Roman" w:hAnsi="Times New Roman"/>
          <w:sz w:val="28"/>
          <w:szCs w:val="28"/>
        </w:rPr>
        <w:lastRenderedPageBreak/>
        <w:t>issue was not canvassed in oral argument nor in the parties’ heads of argument.</w:t>
      </w:r>
      <w:r w:rsidR="004B5777">
        <w:rPr>
          <w:rFonts w:ascii="Times New Roman" w:hAnsi="Times New Roman"/>
          <w:sz w:val="28"/>
          <w:szCs w:val="28"/>
        </w:rPr>
        <w:t xml:space="preserve"> </w:t>
      </w:r>
      <w:r w:rsidR="00E90A4D">
        <w:rPr>
          <w:rFonts w:ascii="Times New Roman" w:hAnsi="Times New Roman"/>
          <w:sz w:val="28"/>
          <w:szCs w:val="28"/>
        </w:rPr>
        <w:t xml:space="preserve">As </w:t>
      </w:r>
      <w:r w:rsidR="004B5777">
        <w:rPr>
          <w:rFonts w:ascii="Times New Roman" w:hAnsi="Times New Roman"/>
          <w:sz w:val="28"/>
          <w:szCs w:val="28"/>
        </w:rPr>
        <w:t>I find no evidence of a court order to this effect</w:t>
      </w:r>
      <w:r w:rsidR="00E043FD">
        <w:rPr>
          <w:rFonts w:ascii="Times New Roman" w:hAnsi="Times New Roman"/>
          <w:sz w:val="28"/>
          <w:szCs w:val="28"/>
        </w:rPr>
        <w:t>,</w:t>
      </w:r>
      <w:r w:rsidR="00E90A4D">
        <w:rPr>
          <w:rFonts w:ascii="Times New Roman" w:hAnsi="Times New Roman"/>
          <w:sz w:val="28"/>
          <w:szCs w:val="28"/>
        </w:rPr>
        <w:t xml:space="preserve"> and given the paucity of information to hand, my sense is that it is preferable to make </w:t>
      </w:r>
      <w:r w:rsidR="00060C06">
        <w:rPr>
          <w:rFonts w:ascii="Times New Roman" w:hAnsi="Times New Roman"/>
          <w:sz w:val="28"/>
          <w:szCs w:val="28"/>
        </w:rPr>
        <w:t>no order in this regard.</w:t>
      </w:r>
    </w:p>
    <w:p w:rsidR="00060C06" w:rsidRDefault="00232999" w:rsidP="00232999">
      <w:pPr>
        <w:pStyle w:val="LegalList1"/>
        <w:spacing w:line="360" w:lineRule="auto"/>
        <w:ind w:left="851" w:hanging="851"/>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r>
      <w:r w:rsidR="00496DDE" w:rsidRPr="00E043FD">
        <w:rPr>
          <w:rFonts w:ascii="Times New Roman" w:hAnsi="Times New Roman"/>
          <w:sz w:val="28"/>
          <w:szCs w:val="28"/>
        </w:rPr>
        <w:t xml:space="preserve">In the </w:t>
      </w:r>
      <w:r w:rsidR="00060C06" w:rsidRPr="00E043FD">
        <w:rPr>
          <w:rFonts w:ascii="Times New Roman" w:hAnsi="Times New Roman"/>
          <w:sz w:val="28"/>
          <w:szCs w:val="28"/>
        </w:rPr>
        <w:t>result</w:t>
      </w:r>
      <w:r w:rsidR="00E043FD">
        <w:rPr>
          <w:rFonts w:ascii="Times New Roman" w:hAnsi="Times New Roman"/>
          <w:sz w:val="28"/>
          <w:szCs w:val="28"/>
        </w:rPr>
        <w:t>, t</w:t>
      </w:r>
      <w:r w:rsidR="00060C06" w:rsidRPr="00E043FD">
        <w:rPr>
          <w:rFonts w:ascii="Times New Roman" w:hAnsi="Times New Roman"/>
          <w:sz w:val="28"/>
          <w:szCs w:val="28"/>
        </w:rPr>
        <w:t>he application is dismissed with costs.</w:t>
      </w:r>
    </w:p>
    <w:p w:rsidR="00B62E66" w:rsidRDefault="00B62E66" w:rsidP="00F602A1">
      <w:pPr>
        <w:pStyle w:val="LegalList1"/>
        <w:spacing w:line="360" w:lineRule="auto"/>
        <w:rPr>
          <w:rFonts w:ascii="Times New Roman" w:hAnsi="Times New Roman"/>
          <w:sz w:val="28"/>
          <w:szCs w:val="28"/>
        </w:rPr>
      </w:pPr>
    </w:p>
    <w:p w:rsidR="00B62E66" w:rsidRDefault="00B62E66" w:rsidP="00F602A1">
      <w:pPr>
        <w:pStyle w:val="LegalList1"/>
        <w:spacing w:line="360" w:lineRule="auto"/>
        <w:rPr>
          <w:rFonts w:ascii="Times New Roman" w:hAnsi="Times New Roman"/>
          <w:sz w:val="28"/>
          <w:szCs w:val="28"/>
        </w:rPr>
      </w:pPr>
    </w:p>
    <w:p w:rsidR="00F602A1" w:rsidRDefault="00F602A1" w:rsidP="00F602A1">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F602A1" w:rsidRPr="009E483B" w:rsidRDefault="00F602A1" w:rsidP="00F602A1">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F602A1" w:rsidRPr="009E483B" w:rsidRDefault="00F602A1" w:rsidP="00F602A1">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F602A1" w:rsidRDefault="00F602A1"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054C50" w:rsidRDefault="00054C50" w:rsidP="00F602A1">
      <w:pPr>
        <w:ind w:left="131" w:firstLine="720"/>
        <w:rPr>
          <w:rFonts w:ascii="Times New Roman" w:hAnsi="Times New Roman" w:cs="Times New Roman"/>
          <w:sz w:val="28"/>
          <w:szCs w:val="28"/>
        </w:rPr>
      </w:pPr>
    </w:p>
    <w:p w:rsidR="00F602A1" w:rsidRDefault="00F602A1" w:rsidP="00F602A1">
      <w:pPr>
        <w:pStyle w:val="LegalList1"/>
        <w:spacing w:line="240" w:lineRule="auto"/>
        <w:ind w:left="851"/>
        <w:rPr>
          <w:rFonts w:ascii="Times New Roman" w:hAnsi="Times New Roman"/>
          <w:sz w:val="28"/>
          <w:szCs w:val="28"/>
        </w:rPr>
      </w:pPr>
      <w:r w:rsidRPr="009E483B">
        <w:rPr>
          <w:rFonts w:ascii="Times New Roman" w:hAnsi="Times New Roman"/>
          <w:sz w:val="28"/>
          <w:szCs w:val="28"/>
        </w:rPr>
        <w:lastRenderedPageBreak/>
        <w:t>APPEARANCES:</w:t>
      </w:r>
    </w:p>
    <w:p w:rsidR="00F602A1" w:rsidRPr="009E483B" w:rsidRDefault="00F602A1" w:rsidP="00F602A1">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Applicants</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sidR="00EE4FC5">
        <w:rPr>
          <w:rFonts w:ascii="Times New Roman" w:hAnsi="Times New Roman" w:cs="Times New Roman"/>
          <w:sz w:val="28"/>
          <w:szCs w:val="28"/>
        </w:rPr>
        <w:t>H A van der Merwe</w:t>
      </w:r>
      <w:r>
        <w:rPr>
          <w:rFonts w:ascii="Times New Roman" w:hAnsi="Times New Roman" w:cs="Times New Roman"/>
          <w:sz w:val="28"/>
          <w:szCs w:val="28"/>
        </w:rPr>
        <w:t xml:space="preserve"> </w:t>
      </w:r>
    </w:p>
    <w:p w:rsidR="00F602A1" w:rsidRDefault="00F602A1" w:rsidP="00F602A1">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F602A1" w:rsidRDefault="00EE4FC5" w:rsidP="00EE4FC5">
      <w:pPr>
        <w:ind w:left="4320"/>
        <w:rPr>
          <w:rFonts w:ascii="Times New Roman" w:hAnsi="Times New Roman" w:cs="Times New Roman"/>
          <w:sz w:val="28"/>
          <w:szCs w:val="28"/>
        </w:rPr>
      </w:pPr>
      <w:r>
        <w:rPr>
          <w:rFonts w:ascii="Times New Roman" w:hAnsi="Times New Roman" w:cs="Times New Roman"/>
          <w:sz w:val="28"/>
          <w:szCs w:val="28"/>
        </w:rPr>
        <w:t>Van Der Merwe Doring Maponya Associates Inc</w:t>
      </w:r>
    </w:p>
    <w:p w:rsidR="00DE4892" w:rsidRDefault="00DE4892" w:rsidP="00EE4FC5">
      <w:pPr>
        <w:ind w:left="4320"/>
        <w:rPr>
          <w:rFonts w:ascii="Times New Roman" w:hAnsi="Times New Roman" w:cs="Times New Roman"/>
          <w:sz w:val="28"/>
          <w:szCs w:val="28"/>
        </w:rPr>
      </w:pPr>
      <w:r>
        <w:rPr>
          <w:rFonts w:ascii="Times New Roman" w:hAnsi="Times New Roman" w:cs="Times New Roman"/>
          <w:sz w:val="28"/>
          <w:szCs w:val="28"/>
        </w:rPr>
        <w:t>Applicants’ Attorneys</w:t>
      </w:r>
    </w:p>
    <w:p w:rsidR="00F602A1" w:rsidRPr="00DE1B37" w:rsidRDefault="00F602A1" w:rsidP="00F602A1">
      <w:pPr>
        <w:ind w:left="3600" w:firstLine="720"/>
        <w:rPr>
          <w:rFonts w:ascii="Times New Roman" w:hAnsi="Times New Roman" w:cs="Times New Roman"/>
          <w:sz w:val="28"/>
          <w:szCs w:val="28"/>
        </w:rPr>
      </w:pPr>
      <w:r>
        <w:rPr>
          <w:rFonts w:ascii="Times New Roman" w:hAnsi="Times New Roman" w:cs="Times New Roman"/>
          <w:sz w:val="28"/>
          <w:szCs w:val="28"/>
        </w:rPr>
        <w:t xml:space="preserve">c/o </w:t>
      </w:r>
      <w:r w:rsidR="00EE4FC5">
        <w:rPr>
          <w:rFonts w:ascii="Times New Roman" w:hAnsi="Times New Roman" w:cs="Times New Roman"/>
          <w:sz w:val="28"/>
          <w:szCs w:val="28"/>
        </w:rPr>
        <w:t>Huxtable Attorneys</w:t>
      </w:r>
    </w:p>
    <w:p w:rsidR="00F602A1" w:rsidRPr="00DE1B37" w:rsidRDefault="00F602A1" w:rsidP="00F602A1">
      <w:pPr>
        <w:ind w:left="3600" w:firstLine="720"/>
        <w:rPr>
          <w:rFonts w:ascii="Times New Roman" w:hAnsi="Times New Roman" w:cs="Times New Roman"/>
          <w:sz w:val="28"/>
          <w:szCs w:val="28"/>
        </w:rPr>
      </w:pPr>
      <w:r w:rsidRPr="00DE1B37">
        <w:rPr>
          <w:rFonts w:ascii="Times New Roman" w:hAnsi="Times New Roman" w:cs="Times New Roman"/>
          <w:sz w:val="28"/>
          <w:szCs w:val="28"/>
        </w:rPr>
        <w:t>Makhanda</w:t>
      </w:r>
    </w:p>
    <w:p w:rsidR="00F602A1" w:rsidRDefault="00F602A1" w:rsidP="00F602A1">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sidR="00EE4FC5">
        <w:rPr>
          <w:rFonts w:ascii="Times New Roman" w:hAnsi="Times New Roman" w:cs="Times New Roman"/>
          <w:sz w:val="28"/>
          <w:szCs w:val="28"/>
        </w:rPr>
        <w:t xml:space="preserve"> O. Huxtable)</w:t>
      </w:r>
    </w:p>
    <w:p w:rsidR="00F602A1" w:rsidRPr="009E483B" w:rsidRDefault="00EE4FC5" w:rsidP="00F602A1">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046</w:t>
      </w:r>
      <w:r w:rsidR="00A476C9">
        <w:rPr>
          <w:rFonts w:ascii="Times New Roman" w:hAnsi="Times New Roman" w:cs="Times New Roman"/>
          <w:sz w:val="28"/>
          <w:szCs w:val="28"/>
        </w:rPr>
        <w:t>-</w:t>
      </w:r>
      <w:r>
        <w:rPr>
          <w:rFonts w:ascii="Times New Roman" w:hAnsi="Times New Roman" w:cs="Times New Roman"/>
          <w:sz w:val="28"/>
          <w:szCs w:val="28"/>
        </w:rPr>
        <w:t>622 2961</w:t>
      </w:r>
    </w:p>
    <w:p w:rsidR="00F602A1" w:rsidRPr="009E483B" w:rsidRDefault="00F602A1" w:rsidP="00F602A1">
      <w:pPr>
        <w:ind w:left="982"/>
        <w:rPr>
          <w:rFonts w:ascii="Times New Roman" w:hAnsi="Times New Roman" w:cs="Times New Roman"/>
          <w:sz w:val="28"/>
          <w:szCs w:val="28"/>
        </w:rPr>
      </w:pPr>
    </w:p>
    <w:p w:rsidR="00F602A1" w:rsidRPr="00DE1B37" w:rsidRDefault="00F602A1" w:rsidP="00F602A1">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7B4830">
        <w:rPr>
          <w:rFonts w:ascii="Times New Roman" w:hAnsi="Times New Roman" w:cs="Times New Roman"/>
          <w:sz w:val="28"/>
          <w:szCs w:val="28"/>
        </w:rPr>
        <w:t xml:space="preserve">Third </w:t>
      </w:r>
      <w:r>
        <w:rPr>
          <w:rFonts w:ascii="Times New Roman" w:hAnsi="Times New Roman" w:cs="Times New Roman"/>
          <w:sz w:val="28"/>
          <w:szCs w:val="28"/>
        </w:rPr>
        <w:t>Respondent</w:t>
      </w:r>
      <w:r w:rsidRPr="00DE1B37">
        <w:rPr>
          <w:rFonts w:ascii="Times New Roman" w:hAnsi="Times New Roman" w:cs="Times New Roman"/>
          <w:sz w:val="28"/>
          <w:szCs w:val="28"/>
        </w:rPr>
        <w:t>:</w:t>
      </w:r>
      <w:r>
        <w:rPr>
          <w:rFonts w:ascii="Times New Roman" w:hAnsi="Times New Roman" w:cs="Times New Roman"/>
          <w:sz w:val="28"/>
          <w:szCs w:val="28"/>
        </w:rPr>
        <w:tab/>
      </w:r>
      <w:r w:rsidR="00A476C9">
        <w:rPr>
          <w:rFonts w:ascii="Times New Roman" w:hAnsi="Times New Roman" w:cs="Times New Roman"/>
          <w:sz w:val="28"/>
          <w:szCs w:val="28"/>
        </w:rPr>
        <w:t>L. M. Olivier SC</w:t>
      </w:r>
    </w:p>
    <w:p w:rsidR="00F602A1" w:rsidRDefault="00F602A1" w:rsidP="00F602A1">
      <w:pPr>
        <w:ind w:left="3862" w:firstLine="458"/>
        <w:rPr>
          <w:rFonts w:ascii="Times New Roman" w:hAnsi="Times New Roman" w:cs="Times New Roman"/>
          <w:sz w:val="28"/>
          <w:szCs w:val="28"/>
        </w:rPr>
      </w:pPr>
      <w:r w:rsidRPr="009E483B">
        <w:rPr>
          <w:rFonts w:ascii="Times New Roman" w:hAnsi="Times New Roman" w:cs="Times New Roman"/>
          <w:sz w:val="28"/>
          <w:szCs w:val="28"/>
        </w:rPr>
        <w:t>Instructed by</w:t>
      </w:r>
    </w:p>
    <w:p w:rsidR="00A476C9" w:rsidRDefault="00F602A1" w:rsidP="00F602A1">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76C9">
        <w:rPr>
          <w:rFonts w:ascii="Times New Roman" w:hAnsi="Times New Roman" w:cs="Times New Roman"/>
          <w:sz w:val="28"/>
          <w:szCs w:val="28"/>
        </w:rPr>
        <w:t>De Klerck &amp; Van Gend Inc.</w:t>
      </w:r>
    </w:p>
    <w:p w:rsidR="007B4830" w:rsidRDefault="007B4830" w:rsidP="00A476C9">
      <w:pPr>
        <w:ind w:left="3862" w:firstLine="458"/>
        <w:rPr>
          <w:rFonts w:ascii="Times New Roman" w:hAnsi="Times New Roman" w:cs="Times New Roman"/>
          <w:sz w:val="28"/>
          <w:szCs w:val="28"/>
        </w:rPr>
      </w:pPr>
      <w:r>
        <w:rPr>
          <w:rFonts w:ascii="Times New Roman" w:hAnsi="Times New Roman" w:cs="Times New Roman"/>
          <w:sz w:val="28"/>
          <w:szCs w:val="28"/>
        </w:rPr>
        <w:t>Third Respondent’s Attorneys</w:t>
      </w:r>
    </w:p>
    <w:p w:rsidR="00F602A1" w:rsidRPr="009E483B" w:rsidRDefault="00A476C9" w:rsidP="00A476C9">
      <w:pPr>
        <w:ind w:left="3862" w:firstLine="458"/>
        <w:rPr>
          <w:rFonts w:ascii="Times New Roman" w:hAnsi="Times New Roman" w:cs="Times New Roman"/>
          <w:sz w:val="28"/>
          <w:szCs w:val="28"/>
        </w:rPr>
      </w:pPr>
      <w:r>
        <w:rPr>
          <w:rFonts w:ascii="Times New Roman" w:hAnsi="Times New Roman" w:cs="Times New Roman"/>
          <w:sz w:val="28"/>
          <w:szCs w:val="28"/>
        </w:rPr>
        <w:t>c/o</w:t>
      </w:r>
      <w:r w:rsidR="00F602A1">
        <w:rPr>
          <w:rFonts w:ascii="Times New Roman" w:hAnsi="Times New Roman" w:cs="Times New Roman"/>
          <w:sz w:val="28"/>
          <w:szCs w:val="28"/>
        </w:rPr>
        <w:t xml:space="preserve"> Rushmere &amp; Cole Inc.</w:t>
      </w:r>
    </w:p>
    <w:p w:rsidR="00F602A1" w:rsidRPr="009E483B" w:rsidRDefault="00F602A1" w:rsidP="00F602A1">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Makhanda</w:t>
      </w:r>
    </w:p>
    <w:p w:rsidR="00F602A1" w:rsidRDefault="00F602A1" w:rsidP="00F602A1">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Pr>
          <w:rFonts w:ascii="Times New Roman" w:hAnsi="Times New Roman" w:cs="Times New Roman"/>
          <w:sz w:val="28"/>
          <w:szCs w:val="28"/>
        </w:rPr>
        <w:t>M Van Der Veen</w:t>
      </w:r>
      <w:r w:rsidRPr="009E483B">
        <w:rPr>
          <w:rFonts w:ascii="Times New Roman" w:hAnsi="Times New Roman" w:cs="Times New Roman"/>
          <w:sz w:val="28"/>
          <w:szCs w:val="28"/>
        </w:rPr>
        <w:t>)</w:t>
      </w:r>
    </w:p>
    <w:p w:rsidR="00F602A1" w:rsidRDefault="00A476C9" w:rsidP="00F602A1">
      <w:pPr>
        <w:ind w:left="3600" w:firstLine="720"/>
        <w:rPr>
          <w:rFonts w:ascii="Times New Roman" w:hAnsi="Times New Roman" w:cs="Times New Roman"/>
          <w:sz w:val="28"/>
          <w:szCs w:val="28"/>
        </w:rPr>
      </w:pPr>
      <w:r>
        <w:rPr>
          <w:rFonts w:ascii="Times New Roman" w:hAnsi="Times New Roman" w:cs="Times New Roman"/>
          <w:sz w:val="28"/>
          <w:szCs w:val="28"/>
        </w:rPr>
        <w:t>Tel: 046-622 7005</w:t>
      </w:r>
      <w:r w:rsidR="00F602A1">
        <w:rPr>
          <w:rFonts w:ascii="Times New Roman" w:hAnsi="Times New Roman" w:cs="Times New Roman"/>
          <w:sz w:val="28"/>
          <w:szCs w:val="28"/>
        </w:rPr>
        <w:tab/>
      </w:r>
      <w:r w:rsidR="00F602A1">
        <w:rPr>
          <w:rFonts w:ascii="Times New Roman" w:hAnsi="Times New Roman" w:cs="Times New Roman"/>
          <w:sz w:val="28"/>
          <w:szCs w:val="28"/>
        </w:rPr>
        <w:tab/>
      </w:r>
      <w:r w:rsidR="00F602A1">
        <w:rPr>
          <w:rFonts w:ascii="Times New Roman" w:hAnsi="Times New Roman" w:cs="Times New Roman"/>
          <w:sz w:val="28"/>
          <w:szCs w:val="28"/>
        </w:rPr>
        <w:tab/>
      </w:r>
      <w:r w:rsidR="00F602A1">
        <w:rPr>
          <w:rFonts w:ascii="Times New Roman" w:hAnsi="Times New Roman" w:cs="Times New Roman"/>
          <w:sz w:val="28"/>
          <w:szCs w:val="28"/>
        </w:rPr>
        <w:tab/>
      </w:r>
      <w:r w:rsidR="00F602A1">
        <w:rPr>
          <w:rFonts w:ascii="Times New Roman" w:hAnsi="Times New Roman" w:cs="Times New Roman"/>
          <w:sz w:val="28"/>
          <w:szCs w:val="28"/>
        </w:rPr>
        <w:tab/>
      </w:r>
    </w:p>
    <w:p w:rsidR="00F602A1" w:rsidRPr="00DE1B37" w:rsidRDefault="00F602A1" w:rsidP="00F602A1">
      <w:pPr>
        <w:ind w:left="4451"/>
        <w:rPr>
          <w:rFonts w:ascii="Times New Roman" w:hAnsi="Times New Roman" w:cs="Times New Roman"/>
          <w:sz w:val="28"/>
          <w:szCs w:val="28"/>
        </w:rPr>
      </w:pPr>
    </w:p>
    <w:p w:rsidR="00F602A1" w:rsidRDefault="00F602A1" w:rsidP="00F602A1">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4830">
        <w:rPr>
          <w:rFonts w:ascii="Times New Roman" w:hAnsi="Times New Roman"/>
          <w:sz w:val="28"/>
          <w:szCs w:val="28"/>
        </w:rPr>
        <w:t>27 October 2022</w:t>
      </w:r>
    </w:p>
    <w:p w:rsidR="00F602A1" w:rsidRPr="00A45FC3" w:rsidRDefault="00F602A1" w:rsidP="00F602A1">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4830">
        <w:rPr>
          <w:rFonts w:ascii="Times New Roman" w:hAnsi="Times New Roman"/>
          <w:sz w:val="28"/>
          <w:szCs w:val="28"/>
        </w:rPr>
        <w:t>26 January 2023</w:t>
      </w:r>
    </w:p>
    <w:p w:rsidR="00F602A1" w:rsidRPr="00E043FD" w:rsidRDefault="00F602A1" w:rsidP="00E043FD">
      <w:pPr>
        <w:pStyle w:val="LegalList1"/>
        <w:spacing w:line="360" w:lineRule="auto"/>
        <w:rPr>
          <w:rFonts w:ascii="Times New Roman" w:hAnsi="Times New Roman"/>
          <w:sz w:val="28"/>
          <w:szCs w:val="28"/>
        </w:rPr>
      </w:pPr>
    </w:p>
    <w:sectPr w:rsidR="00F602A1" w:rsidRPr="00E043FD"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1B" w:rsidRDefault="003E591B" w:rsidP="00354A12">
      <w:pPr>
        <w:spacing w:line="240" w:lineRule="auto"/>
      </w:pPr>
      <w:r>
        <w:separator/>
      </w:r>
    </w:p>
  </w:endnote>
  <w:endnote w:type="continuationSeparator" w:id="0">
    <w:p w:rsidR="003E591B" w:rsidRDefault="003E591B"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1B" w:rsidRDefault="003E591B" w:rsidP="00354A12">
      <w:pPr>
        <w:spacing w:line="240" w:lineRule="auto"/>
      </w:pPr>
      <w:r>
        <w:separator/>
      </w:r>
    </w:p>
  </w:footnote>
  <w:footnote w:type="continuationSeparator" w:id="0">
    <w:p w:rsidR="003E591B" w:rsidRDefault="003E591B" w:rsidP="00354A12">
      <w:pPr>
        <w:spacing w:line="240" w:lineRule="auto"/>
      </w:pPr>
      <w:r>
        <w:continuationSeparator/>
      </w:r>
    </w:p>
  </w:footnote>
  <w:footnote w:id="1">
    <w:p w:rsidR="00A80E1E" w:rsidRDefault="00A80E1E" w:rsidP="0061694F">
      <w:pPr>
        <w:pStyle w:val="FootnoteText"/>
        <w:jc w:val="both"/>
      </w:pPr>
      <w:r>
        <w:rPr>
          <w:rStyle w:val="FootnoteReference"/>
        </w:rPr>
        <w:footnoteRef/>
      </w:r>
      <w:r>
        <w:t xml:space="preserve"> Act 24 of 1936</w:t>
      </w:r>
      <w:r w:rsidR="00214300">
        <w:t>.</w:t>
      </w:r>
    </w:p>
  </w:footnote>
  <w:footnote w:id="2">
    <w:p w:rsidR="0095649A" w:rsidRDefault="0095649A">
      <w:pPr>
        <w:pStyle w:val="FootnoteText"/>
      </w:pPr>
      <w:r>
        <w:rPr>
          <w:rStyle w:val="FootnoteReference"/>
        </w:rPr>
        <w:footnoteRef/>
      </w:r>
      <w:r>
        <w:t xml:space="preserve"> </w:t>
      </w:r>
      <w:r w:rsidR="000F1466" w:rsidRPr="000F1466">
        <w:t>Plascon-Evans Paints (Pty) Ltd v Van Riebeeck Paints (Pty) Ltd</w:t>
      </w:r>
      <w:r w:rsidR="000F1466" w:rsidRPr="0063520F">
        <w:t xml:space="preserve"> 1984 (3) SA 623 (A) at 634E-635C</w:t>
      </w:r>
    </w:p>
  </w:footnote>
  <w:footnote w:id="3">
    <w:p w:rsidR="006272AA" w:rsidRDefault="006272AA" w:rsidP="0061694F">
      <w:pPr>
        <w:pStyle w:val="FootnoteText"/>
        <w:jc w:val="both"/>
      </w:pPr>
      <w:r>
        <w:rPr>
          <w:rStyle w:val="FootnoteReference"/>
        </w:rPr>
        <w:footnoteRef/>
      </w:r>
      <w:r>
        <w:t xml:space="preserve"> Act 61 of 1973</w:t>
      </w:r>
    </w:p>
  </w:footnote>
  <w:footnote w:id="4">
    <w:p w:rsidR="003F4296" w:rsidRDefault="003F4296" w:rsidP="0061694F">
      <w:pPr>
        <w:pStyle w:val="FootnoteText"/>
        <w:jc w:val="both"/>
      </w:pPr>
      <w:r>
        <w:rPr>
          <w:rStyle w:val="FootnoteReference"/>
        </w:rPr>
        <w:footnoteRef/>
      </w:r>
      <w:r>
        <w:t xml:space="preserve"> Reliance initially placed on section 34 and section 26 of the Insolvency Act, was abandoned during argument.</w:t>
      </w:r>
    </w:p>
  </w:footnote>
  <w:footnote w:id="5">
    <w:p w:rsidR="003F4296" w:rsidRDefault="003F4296" w:rsidP="0061694F">
      <w:pPr>
        <w:pStyle w:val="FootnoteText"/>
        <w:jc w:val="both"/>
      </w:pPr>
      <w:r>
        <w:rPr>
          <w:rStyle w:val="FootnoteReference"/>
        </w:rPr>
        <w:footnoteRef/>
      </w:r>
      <w:r>
        <w:t xml:space="preserve"> 71 of 2008.</w:t>
      </w:r>
    </w:p>
  </w:footnote>
  <w:footnote w:id="6">
    <w:p w:rsidR="00066395" w:rsidRDefault="00066395" w:rsidP="0061694F">
      <w:pPr>
        <w:pStyle w:val="FootnoteText"/>
        <w:jc w:val="both"/>
      </w:pPr>
      <w:r>
        <w:rPr>
          <w:rStyle w:val="FootnoteReference"/>
        </w:rPr>
        <w:footnoteRef/>
      </w:r>
      <w:r>
        <w:t xml:space="preserve"> Murphy N.O and Benjamin N.O. v Semphill and Others 1954 (3) SA 450 (WLD) at 451E.</w:t>
      </w:r>
    </w:p>
  </w:footnote>
  <w:footnote w:id="7">
    <w:p w:rsidR="00AA69D5" w:rsidRDefault="00AA69D5" w:rsidP="0061694F">
      <w:pPr>
        <w:pStyle w:val="FootnoteText"/>
        <w:jc w:val="both"/>
      </w:pPr>
      <w:r>
        <w:rPr>
          <w:rStyle w:val="FootnoteReference"/>
        </w:rPr>
        <w:footnoteRef/>
      </w:r>
      <w:r>
        <w:t xml:space="preserve"> Goldseller v Hill 1908 TS 822 at 827.</w:t>
      </w:r>
    </w:p>
  </w:footnote>
  <w:footnote w:id="8">
    <w:p w:rsidR="00631FDB" w:rsidRDefault="00631FDB" w:rsidP="0061694F">
      <w:pPr>
        <w:pStyle w:val="FootnoteText"/>
        <w:jc w:val="both"/>
      </w:pPr>
      <w:r>
        <w:rPr>
          <w:rStyle w:val="FootnoteReference"/>
        </w:rPr>
        <w:footnoteRef/>
      </w:r>
      <w:r>
        <w:t xml:space="preserve"> Millman N.O. v Goosen 1975 (3) SA 141 (O) at 145A-C.</w:t>
      </w:r>
    </w:p>
  </w:footnote>
  <w:footnote w:id="9">
    <w:p w:rsidR="00C62ED9" w:rsidRDefault="00C62ED9" w:rsidP="0061694F">
      <w:pPr>
        <w:pStyle w:val="FootnoteText"/>
        <w:jc w:val="both"/>
      </w:pPr>
      <w:r>
        <w:rPr>
          <w:rStyle w:val="FootnoteReference"/>
        </w:rPr>
        <w:footnoteRef/>
      </w:r>
      <w:r>
        <w:t xml:space="preserve"> Murphy N.O and Benjamin N.O. v Semphill and Others supra </w:t>
      </w:r>
    </w:p>
  </w:footnote>
  <w:footnote w:id="10">
    <w:p w:rsidR="00C75FE2" w:rsidRDefault="00C75FE2">
      <w:pPr>
        <w:pStyle w:val="FootnoteText"/>
      </w:pPr>
      <w:r>
        <w:rPr>
          <w:rStyle w:val="FootnoteReference"/>
        </w:rPr>
        <w:footnoteRef/>
      </w:r>
      <w:r>
        <w:t xml:space="preserve"> </w:t>
      </w:r>
      <w:r w:rsidR="00E853BD">
        <w:t xml:space="preserve">Act </w:t>
      </w:r>
      <w:r>
        <w:t>61 of 1973</w:t>
      </w:r>
    </w:p>
  </w:footnote>
  <w:footnote w:id="11">
    <w:p w:rsidR="0020368F" w:rsidRDefault="0020368F">
      <w:pPr>
        <w:pStyle w:val="FootnoteText"/>
      </w:pPr>
      <w:r>
        <w:rPr>
          <w:rStyle w:val="FootnoteReference"/>
        </w:rPr>
        <w:footnoteRef/>
      </w:r>
      <w:r>
        <w:t xml:space="preserve"> </w:t>
      </w:r>
      <w:r w:rsidR="00E00DE9">
        <w:t>[2021] ZAWCHC 20 para</w:t>
      </w:r>
    </w:p>
  </w:footnote>
  <w:footnote w:id="12">
    <w:p w:rsidR="00416AB7" w:rsidRDefault="00416AB7">
      <w:pPr>
        <w:pStyle w:val="FootnoteText"/>
      </w:pPr>
      <w:r>
        <w:rPr>
          <w:rStyle w:val="FootnoteReference"/>
        </w:rPr>
        <w:footnoteRef/>
      </w:r>
      <w:r>
        <w:t xml:space="preserve"> International Shipping Company Ltd v Affinity Ltd 1983 (1) SA 79 (CPD) at 84H-85H.</w:t>
      </w:r>
    </w:p>
  </w:footnote>
  <w:footnote w:id="13">
    <w:p w:rsidR="004931AB" w:rsidRDefault="004931AB">
      <w:pPr>
        <w:pStyle w:val="FootnoteText"/>
      </w:pPr>
      <w:r>
        <w:rPr>
          <w:rStyle w:val="FootnoteReference"/>
        </w:rPr>
        <w:footnoteRef/>
      </w:r>
      <w:r>
        <w:t xml:space="preserve"> Pride Milling CO (Pty) Ltd v Bekker NO</w:t>
      </w:r>
      <w:r w:rsidR="000E6DBE">
        <w:t xml:space="preserve"> and Another 2022 (2)</w:t>
      </w:r>
      <w:r w:rsidR="00F01D63">
        <w:t xml:space="preserve"> SA 410 (SCA) para 19.</w:t>
      </w:r>
    </w:p>
  </w:footnote>
  <w:footnote w:id="14">
    <w:p w:rsidR="00204652" w:rsidRDefault="00204652">
      <w:pPr>
        <w:pStyle w:val="FootnoteText"/>
      </w:pPr>
      <w:r>
        <w:rPr>
          <w:rStyle w:val="FootnoteReference"/>
        </w:rPr>
        <w:footnoteRef/>
      </w:r>
      <w:r>
        <w:t xml:space="preserve"> Pride Milling </w:t>
      </w:r>
      <w:r w:rsidRPr="00FD4244">
        <w:rPr>
          <w:i/>
        </w:rPr>
        <w:t>supra</w:t>
      </w:r>
      <w:r>
        <w:t xml:space="preserve"> para 16.</w:t>
      </w:r>
    </w:p>
  </w:footnote>
  <w:footnote w:id="15">
    <w:p w:rsidR="00FD4244" w:rsidRDefault="00FD4244">
      <w:pPr>
        <w:pStyle w:val="FootnoteText"/>
      </w:pPr>
      <w:r>
        <w:rPr>
          <w:rStyle w:val="FootnoteReference"/>
        </w:rPr>
        <w:footnoteRef/>
      </w:r>
      <w:r>
        <w:t xml:space="preserve"> Pride Milling </w:t>
      </w:r>
      <w:r w:rsidRPr="00FD4244">
        <w:rPr>
          <w:i/>
        </w:rPr>
        <w:t>supra</w:t>
      </w:r>
      <w:r>
        <w:t xml:space="preserve"> para 31.</w:t>
      </w:r>
    </w:p>
  </w:footnote>
  <w:footnote w:id="16">
    <w:p w:rsidR="006B4E0A" w:rsidRDefault="006B4E0A" w:rsidP="0061694F">
      <w:pPr>
        <w:pStyle w:val="FootnoteText"/>
        <w:jc w:val="both"/>
      </w:pPr>
      <w:r>
        <w:rPr>
          <w:rStyle w:val="FootnoteReference"/>
        </w:rPr>
        <w:footnoteRef/>
      </w:r>
      <w:r>
        <w:t xml:space="preserve"> [2011] 2 All Sa 347 (SCA)</w:t>
      </w:r>
    </w:p>
  </w:footnote>
  <w:footnote w:id="17">
    <w:p w:rsidR="00C45675" w:rsidRDefault="00C45675" w:rsidP="0061694F">
      <w:pPr>
        <w:pStyle w:val="FootnoteText"/>
        <w:jc w:val="both"/>
      </w:pPr>
      <w:r>
        <w:rPr>
          <w:rStyle w:val="FootnoteReference"/>
        </w:rPr>
        <w:footnoteRef/>
      </w:r>
      <w:r>
        <w:t xml:space="preserve"> </w:t>
      </w:r>
      <w:r w:rsidR="001971A0">
        <w:t>ABSA Bank Limited v Moore and another 2016 (3) SA 97 (SCA) para 27.</w:t>
      </w:r>
    </w:p>
  </w:footnote>
  <w:footnote w:id="18">
    <w:p w:rsidR="006A256F" w:rsidRDefault="006A256F" w:rsidP="0061694F">
      <w:pPr>
        <w:pStyle w:val="FootnoteText"/>
        <w:jc w:val="both"/>
      </w:pPr>
      <w:r>
        <w:rPr>
          <w:rStyle w:val="FootnoteReference"/>
        </w:rPr>
        <w:footnoteRef/>
      </w:r>
      <w:r>
        <w:t xml:space="preserve"> [2016] ZACC 34 para 39.</w:t>
      </w:r>
    </w:p>
  </w:footnote>
  <w:footnote w:id="19">
    <w:p w:rsidR="008B1CAB" w:rsidRDefault="008B1CAB" w:rsidP="0061694F">
      <w:pPr>
        <w:pStyle w:val="FootnoteText"/>
        <w:jc w:val="both"/>
      </w:pPr>
      <w:r>
        <w:rPr>
          <w:rStyle w:val="FootnoteReference"/>
        </w:rPr>
        <w:footnoteRef/>
      </w:r>
      <w:r>
        <w:t xml:space="preserve"> </w:t>
      </w:r>
      <w:r w:rsidR="0093348A">
        <w:t>S</w:t>
      </w:r>
      <w:r w:rsidR="000143A0">
        <w:t>ection 31 reads as follows</w:t>
      </w:r>
      <w:r w:rsidR="0093348A">
        <w:t>:</w:t>
      </w:r>
      <w:r w:rsidR="001B3BD1">
        <w:t xml:space="preserve"> 'Collusive</w:t>
      </w:r>
      <w:r w:rsidR="0093348A">
        <w:t xml:space="preserve"> dealing</w:t>
      </w:r>
      <w:r w:rsidR="001B3BD1">
        <w:t>s before sequestration</w:t>
      </w:r>
      <w:r w:rsidR="0061694F">
        <w:t xml:space="preserve"> - </w:t>
      </w:r>
    </w:p>
    <w:p w:rsidR="001B3BD1" w:rsidRDefault="001B3BD1" w:rsidP="0061694F">
      <w:pPr>
        <w:pStyle w:val="FootnoteText"/>
        <w:jc w:val="both"/>
      </w:pPr>
      <w:r>
        <w:t xml:space="preserve">(1) After the sequestration of a debtor's estate the court may set aside any transaction entered into by the debtor before the sequestration, whereby he, in collusion with another person, disposed of property belonging to him in a manner which had the effect of prejudicing his creditors or of preferring </w:t>
      </w:r>
      <w:r w:rsidR="00871A5B">
        <w:t>one</w:t>
      </w:r>
      <w:r>
        <w:t xml:space="preserve"> of his creditors above another. (2) Any person who was a party to such collusive disposition shall be liable to make good any loss thereby caused to the insolvent estate in question</w:t>
      </w:r>
      <w:r w:rsidR="0093348A">
        <w:t xml:space="preserve"> and shall pay for the benefit of the estate, by way of penalty, such sum as the court may adjudge, not exceeding the amount by which he would have benefited by such dealing if it had not been set aside; and if he is a creditor he shall also forfeit his claim against the estate. (3) Such compensation and penalty may be recovered in any action to set aside the transaction in question.'</w:t>
      </w:r>
    </w:p>
  </w:footnote>
  <w:footnote w:id="20">
    <w:p w:rsidR="00FE78DC" w:rsidRDefault="00FE78DC" w:rsidP="0061694F">
      <w:pPr>
        <w:pStyle w:val="FootnoteText"/>
        <w:jc w:val="both"/>
      </w:pPr>
      <w:r>
        <w:rPr>
          <w:rStyle w:val="FootnoteReference"/>
        </w:rPr>
        <w:footnoteRef/>
      </w:r>
      <w:r>
        <w:t xml:space="preserve"> Section 33 reads as follows: 'Improper disposition does not affect certain rights</w:t>
      </w:r>
      <w:r w:rsidR="0061694F">
        <w:t xml:space="preserve"> - </w:t>
      </w:r>
    </w:p>
    <w:p w:rsidR="00FE78DC" w:rsidRDefault="00FE78DC" w:rsidP="0061694F">
      <w:pPr>
        <w:pStyle w:val="FootnoteText"/>
        <w:jc w:val="both"/>
      </w:pPr>
      <w:r>
        <w:t>(1) A person who, in return for any disposition which is liable to be set aside under section twenty-six, twenty-nine, thirty, or thirty-one, has parted with any property or security which he held or who has lost any right against another person, shall, if he acted in good faith, not be obliged to restore any property or other benefit received under such disposition, unless the trustee has indemnified him for parting with such property or security or for losing such a right. (2) Section</w:t>
      </w:r>
      <w:r w:rsidRPr="009F4895">
        <w:t xml:space="preserve"> </w:t>
      </w:r>
      <w:r>
        <w:t>twenty-six, twenty-nine, thirty, or thirty-one shall not affect the rights of any person who acquired property in good faith and for value from any person other than a person whose estate was subsequently sequestrated.'</w:t>
      </w:r>
    </w:p>
  </w:footnote>
  <w:footnote w:id="21">
    <w:p w:rsidR="00255F50" w:rsidRDefault="00255F50" w:rsidP="0061694F">
      <w:pPr>
        <w:pStyle w:val="FootnoteText"/>
        <w:jc w:val="both"/>
      </w:pPr>
      <w:r>
        <w:rPr>
          <w:rStyle w:val="FootnoteReference"/>
        </w:rPr>
        <w:footnoteRef/>
      </w:r>
      <w:r>
        <w:t xml:space="preserve"> A court is given ‘the widest powers to grant consequential relief’: </w:t>
      </w:r>
      <w:r w:rsidRPr="0061694F">
        <w:rPr>
          <w:i/>
        </w:rPr>
        <w:t>Ex parte</w:t>
      </w:r>
      <w:r>
        <w:t xml:space="preserve"> Gore and Others NNO 2013 (3) SA 382 (WCC) para 34.</w:t>
      </w:r>
    </w:p>
  </w:footnote>
  <w:footnote w:id="22">
    <w:p w:rsidR="00023C51" w:rsidRDefault="00023C51" w:rsidP="0061694F">
      <w:pPr>
        <w:pStyle w:val="FootnoteText"/>
        <w:jc w:val="both"/>
      </w:pPr>
      <w:r>
        <w:rPr>
          <w:rStyle w:val="FootnoteReference"/>
        </w:rPr>
        <w:footnoteRef/>
      </w:r>
      <w:r>
        <w:t xml:space="preserve"> i.e. section 22(1) of Act </w:t>
      </w:r>
      <w:r w:rsidR="004E2388">
        <w:t>71 of 2008.</w:t>
      </w:r>
    </w:p>
  </w:footnote>
  <w:footnote w:id="23">
    <w:p w:rsidR="00112E65" w:rsidRDefault="00112E65" w:rsidP="0061694F">
      <w:pPr>
        <w:pStyle w:val="FootnoteText"/>
        <w:jc w:val="both"/>
      </w:pPr>
      <w:r>
        <w:rPr>
          <w:rStyle w:val="FootnoteReference"/>
        </w:rPr>
        <w:footnoteRef/>
      </w:r>
      <w:r>
        <w:t xml:space="preserve"> Trope and Others v SARB 1993 (3) SA 264 (AD) at 273A-B</w:t>
      </w:r>
      <w:r w:rsidR="00BE7701">
        <w:t>.</w:t>
      </w:r>
    </w:p>
  </w:footnote>
  <w:footnote w:id="24">
    <w:p w:rsidR="00BE7701" w:rsidRDefault="00BE7701" w:rsidP="0061694F">
      <w:pPr>
        <w:pStyle w:val="FootnoteText"/>
        <w:jc w:val="both"/>
      </w:pPr>
      <w:r>
        <w:rPr>
          <w:rStyle w:val="FootnoteReference"/>
        </w:rPr>
        <w:footnoteRef/>
      </w:r>
      <w:r>
        <w:t xml:space="preserve"> 2018(4) SA 71 (SCA) para 30.</w:t>
      </w:r>
    </w:p>
  </w:footnote>
  <w:footnote w:id="25">
    <w:p w:rsidR="00172370" w:rsidRDefault="00172370" w:rsidP="0061694F">
      <w:pPr>
        <w:pStyle w:val="FootnoteText"/>
        <w:jc w:val="both"/>
      </w:pPr>
      <w:r>
        <w:rPr>
          <w:rStyle w:val="FootnoteReference"/>
        </w:rPr>
        <w:footnoteRef/>
      </w:r>
      <w:r>
        <w:t xml:space="preserve"> </w:t>
      </w:r>
      <w:r w:rsidR="000B0147">
        <w:t xml:space="preserve">ABSA Bank Limited v Moore and another </w:t>
      </w:r>
      <w:r w:rsidR="000B0147" w:rsidRPr="0061694F">
        <w:rPr>
          <w:i/>
        </w:rPr>
        <w:t>supra</w:t>
      </w:r>
      <w:r w:rsidR="000B0147">
        <w:t xml:space="preserve"> para 39.</w:t>
      </w:r>
    </w:p>
  </w:footnote>
  <w:footnote w:id="26">
    <w:p w:rsidR="00101276" w:rsidRDefault="00101276" w:rsidP="0061694F">
      <w:pPr>
        <w:pStyle w:val="FootnoteText"/>
        <w:jc w:val="both"/>
      </w:pPr>
      <w:r>
        <w:rPr>
          <w:rStyle w:val="FootnoteReference"/>
        </w:rPr>
        <w:footnoteRef/>
      </w:r>
      <w:r>
        <w:t xml:space="preserve"> Knysna Hotel CC v Coetzee 1998 (2) SA 743 (HHA) at 754B-C.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232999">
          <w:rPr>
            <w:noProof/>
          </w:rPr>
          <w:t>21</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214"/>
    <w:multiLevelType w:val="hybridMultilevel"/>
    <w:tmpl w:val="C1E063C6"/>
    <w:lvl w:ilvl="0" w:tplc="F10880E8">
      <w:start w:val="1"/>
      <w:numFmt w:val="lowerRoman"/>
      <w:lvlText w:val="(%1)"/>
      <w:lvlJc w:val="left"/>
      <w:pPr>
        <w:ind w:left="1571" w:hanging="72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21BD7523"/>
    <w:multiLevelType w:val="hybridMultilevel"/>
    <w:tmpl w:val="171839F8"/>
    <w:lvl w:ilvl="0" w:tplc="E5E4E7C6">
      <w:start w:val="1"/>
      <w:numFmt w:val="decimal"/>
      <w:lvlText w:val="(%1)"/>
      <w:lvlJc w:val="left"/>
      <w:pPr>
        <w:ind w:left="1211" w:hanging="36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4F83E80"/>
    <w:multiLevelType w:val="hybridMultilevel"/>
    <w:tmpl w:val="8DE89E58"/>
    <w:lvl w:ilvl="0" w:tplc="9826997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42B258E7"/>
    <w:multiLevelType w:val="multilevel"/>
    <w:tmpl w:val="E27EA216"/>
    <w:lvl w:ilvl="0">
      <w:start w:val="8"/>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5"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494E7385"/>
    <w:multiLevelType w:val="multilevel"/>
    <w:tmpl w:val="16A2A010"/>
    <w:lvl w:ilvl="0">
      <w:start w:val="8"/>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C1428"/>
    <w:multiLevelType w:val="hybridMultilevel"/>
    <w:tmpl w:val="88A6B782"/>
    <w:lvl w:ilvl="0" w:tplc="D4FA0582">
      <w:start w:val="1"/>
      <w:numFmt w:val="lowerRoman"/>
      <w:lvlText w:val="(%1)"/>
      <w:lvlJc w:val="left"/>
      <w:pPr>
        <w:ind w:left="1571" w:hanging="72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7ED2069E"/>
    <w:multiLevelType w:val="hybridMultilevel"/>
    <w:tmpl w:val="2B7C9F76"/>
    <w:lvl w:ilvl="0" w:tplc="0D40A31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8"/>
  </w:num>
  <w:num w:numId="6">
    <w:abstractNumId w:val="3"/>
  </w:num>
  <w:num w:numId="7">
    <w:abstractNumId w:val="0"/>
  </w:num>
  <w:num w:numId="8">
    <w:abstractNumId w:val="9"/>
  </w:num>
  <w:num w:numId="9">
    <w:abstractNumId w:val="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DCD718-FC1C-4225-A69E-DE9413673109}"/>
    <w:docVar w:name="dgnword-eventsink" w:val="174194968"/>
  </w:docVars>
  <w:rsids>
    <w:rsidRoot w:val="00354A12"/>
    <w:rsid w:val="000006AD"/>
    <w:rsid w:val="0000297A"/>
    <w:rsid w:val="00007AD0"/>
    <w:rsid w:val="000116B2"/>
    <w:rsid w:val="000143A0"/>
    <w:rsid w:val="0001693C"/>
    <w:rsid w:val="00017EE2"/>
    <w:rsid w:val="00023C51"/>
    <w:rsid w:val="00026197"/>
    <w:rsid w:val="00032502"/>
    <w:rsid w:val="00032ACA"/>
    <w:rsid w:val="00035543"/>
    <w:rsid w:val="000415BD"/>
    <w:rsid w:val="000459D2"/>
    <w:rsid w:val="000528B6"/>
    <w:rsid w:val="00054C50"/>
    <w:rsid w:val="000570D0"/>
    <w:rsid w:val="00060C06"/>
    <w:rsid w:val="00066395"/>
    <w:rsid w:val="00066F15"/>
    <w:rsid w:val="000718C3"/>
    <w:rsid w:val="000725E8"/>
    <w:rsid w:val="000744E8"/>
    <w:rsid w:val="000975DF"/>
    <w:rsid w:val="000976B0"/>
    <w:rsid w:val="0009798B"/>
    <w:rsid w:val="000A127B"/>
    <w:rsid w:val="000A1594"/>
    <w:rsid w:val="000A4617"/>
    <w:rsid w:val="000A5B85"/>
    <w:rsid w:val="000A7A7A"/>
    <w:rsid w:val="000B0147"/>
    <w:rsid w:val="000B2C3E"/>
    <w:rsid w:val="000B3BA1"/>
    <w:rsid w:val="000B4510"/>
    <w:rsid w:val="000B656F"/>
    <w:rsid w:val="000B665C"/>
    <w:rsid w:val="000C1B20"/>
    <w:rsid w:val="000D1DCE"/>
    <w:rsid w:val="000D4349"/>
    <w:rsid w:val="000D6DA7"/>
    <w:rsid w:val="000E054D"/>
    <w:rsid w:val="000E6DBE"/>
    <w:rsid w:val="000F1466"/>
    <w:rsid w:val="000F24F6"/>
    <w:rsid w:val="000F3A05"/>
    <w:rsid w:val="000F3C63"/>
    <w:rsid w:val="000F554A"/>
    <w:rsid w:val="00100ECD"/>
    <w:rsid w:val="00101276"/>
    <w:rsid w:val="00101782"/>
    <w:rsid w:val="0010453D"/>
    <w:rsid w:val="001052D7"/>
    <w:rsid w:val="00106DDE"/>
    <w:rsid w:val="00112E65"/>
    <w:rsid w:val="00115145"/>
    <w:rsid w:val="001170C6"/>
    <w:rsid w:val="00122EE4"/>
    <w:rsid w:val="00131176"/>
    <w:rsid w:val="00134C1C"/>
    <w:rsid w:val="00141B1F"/>
    <w:rsid w:val="0014367F"/>
    <w:rsid w:val="00143943"/>
    <w:rsid w:val="001443E9"/>
    <w:rsid w:val="0014510E"/>
    <w:rsid w:val="00152426"/>
    <w:rsid w:val="00156441"/>
    <w:rsid w:val="00160574"/>
    <w:rsid w:val="00162D70"/>
    <w:rsid w:val="00167BDA"/>
    <w:rsid w:val="00172370"/>
    <w:rsid w:val="00176F0C"/>
    <w:rsid w:val="001818D0"/>
    <w:rsid w:val="00191498"/>
    <w:rsid w:val="0019154D"/>
    <w:rsid w:val="00191864"/>
    <w:rsid w:val="001922F5"/>
    <w:rsid w:val="001971A0"/>
    <w:rsid w:val="001A181E"/>
    <w:rsid w:val="001A28BD"/>
    <w:rsid w:val="001B1F2E"/>
    <w:rsid w:val="001B21C4"/>
    <w:rsid w:val="001B2FE7"/>
    <w:rsid w:val="001B3BD1"/>
    <w:rsid w:val="001B3F98"/>
    <w:rsid w:val="001C1B76"/>
    <w:rsid w:val="001C4A97"/>
    <w:rsid w:val="001D055A"/>
    <w:rsid w:val="001D0762"/>
    <w:rsid w:val="001F18C6"/>
    <w:rsid w:val="001F1EC4"/>
    <w:rsid w:val="0020368F"/>
    <w:rsid w:val="00204652"/>
    <w:rsid w:val="00210A80"/>
    <w:rsid w:val="002136A9"/>
    <w:rsid w:val="00214300"/>
    <w:rsid w:val="00214C93"/>
    <w:rsid w:val="0021651F"/>
    <w:rsid w:val="0022256E"/>
    <w:rsid w:val="00232999"/>
    <w:rsid w:val="002376C6"/>
    <w:rsid w:val="00240A16"/>
    <w:rsid w:val="002463B9"/>
    <w:rsid w:val="0024646E"/>
    <w:rsid w:val="00247E63"/>
    <w:rsid w:val="00255F50"/>
    <w:rsid w:val="00261ECA"/>
    <w:rsid w:val="00266696"/>
    <w:rsid w:val="0026753B"/>
    <w:rsid w:val="002803DC"/>
    <w:rsid w:val="00283DE9"/>
    <w:rsid w:val="00287669"/>
    <w:rsid w:val="002901E8"/>
    <w:rsid w:val="0029206A"/>
    <w:rsid w:val="002920DA"/>
    <w:rsid w:val="002A12F6"/>
    <w:rsid w:val="002A21A5"/>
    <w:rsid w:val="002A7EAD"/>
    <w:rsid w:val="002B1AF9"/>
    <w:rsid w:val="002B2BAD"/>
    <w:rsid w:val="002B3236"/>
    <w:rsid w:val="002B3279"/>
    <w:rsid w:val="002B4658"/>
    <w:rsid w:val="002B7A11"/>
    <w:rsid w:val="002B7F70"/>
    <w:rsid w:val="002C068E"/>
    <w:rsid w:val="002D391B"/>
    <w:rsid w:val="002D514F"/>
    <w:rsid w:val="002E3299"/>
    <w:rsid w:val="002F1532"/>
    <w:rsid w:val="00301771"/>
    <w:rsid w:val="00301DBB"/>
    <w:rsid w:val="0030679C"/>
    <w:rsid w:val="00311782"/>
    <w:rsid w:val="00316DF1"/>
    <w:rsid w:val="00324991"/>
    <w:rsid w:val="003250EC"/>
    <w:rsid w:val="00325E4B"/>
    <w:rsid w:val="003328A3"/>
    <w:rsid w:val="003335F8"/>
    <w:rsid w:val="003441BB"/>
    <w:rsid w:val="00344874"/>
    <w:rsid w:val="00354A12"/>
    <w:rsid w:val="00357B05"/>
    <w:rsid w:val="00367B4B"/>
    <w:rsid w:val="003709AD"/>
    <w:rsid w:val="00372677"/>
    <w:rsid w:val="00374809"/>
    <w:rsid w:val="00380841"/>
    <w:rsid w:val="00383166"/>
    <w:rsid w:val="00386A93"/>
    <w:rsid w:val="0038713E"/>
    <w:rsid w:val="003940E4"/>
    <w:rsid w:val="003942BD"/>
    <w:rsid w:val="003A4F40"/>
    <w:rsid w:val="003B1AF9"/>
    <w:rsid w:val="003C1BA5"/>
    <w:rsid w:val="003C3BAD"/>
    <w:rsid w:val="003C400B"/>
    <w:rsid w:val="003C45B6"/>
    <w:rsid w:val="003D159C"/>
    <w:rsid w:val="003D22C9"/>
    <w:rsid w:val="003D3939"/>
    <w:rsid w:val="003D532C"/>
    <w:rsid w:val="003D5FFB"/>
    <w:rsid w:val="003D6CD6"/>
    <w:rsid w:val="003E14C3"/>
    <w:rsid w:val="003E3543"/>
    <w:rsid w:val="003E591B"/>
    <w:rsid w:val="003F4296"/>
    <w:rsid w:val="0040181F"/>
    <w:rsid w:val="00406486"/>
    <w:rsid w:val="00407B2A"/>
    <w:rsid w:val="00412468"/>
    <w:rsid w:val="0041250E"/>
    <w:rsid w:val="004135B8"/>
    <w:rsid w:val="00413706"/>
    <w:rsid w:val="00415BDE"/>
    <w:rsid w:val="00416AB7"/>
    <w:rsid w:val="0042155E"/>
    <w:rsid w:val="004237EF"/>
    <w:rsid w:val="00430B58"/>
    <w:rsid w:val="00432C87"/>
    <w:rsid w:val="00435E5B"/>
    <w:rsid w:val="004427CB"/>
    <w:rsid w:val="004443FE"/>
    <w:rsid w:val="00447624"/>
    <w:rsid w:val="0045064A"/>
    <w:rsid w:val="0045143B"/>
    <w:rsid w:val="00453EA8"/>
    <w:rsid w:val="00454EA4"/>
    <w:rsid w:val="00460C81"/>
    <w:rsid w:val="0046244B"/>
    <w:rsid w:val="0046600E"/>
    <w:rsid w:val="00472D40"/>
    <w:rsid w:val="004804E0"/>
    <w:rsid w:val="00484B76"/>
    <w:rsid w:val="00486EA8"/>
    <w:rsid w:val="00490291"/>
    <w:rsid w:val="004931AB"/>
    <w:rsid w:val="00496DDE"/>
    <w:rsid w:val="004978B4"/>
    <w:rsid w:val="004A508F"/>
    <w:rsid w:val="004B2806"/>
    <w:rsid w:val="004B5777"/>
    <w:rsid w:val="004C43A7"/>
    <w:rsid w:val="004C6E53"/>
    <w:rsid w:val="004D03E5"/>
    <w:rsid w:val="004D2AB8"/>
    <w:rsid w:val="004D47E0"/>
    <w:rsid w:val="004D49B9"/>
    <w:rsid w:val="004D659D"/>
    <w:rsid w:val="004E2388"/>
    <w:rsid w:val="004E5D24"/>
    <w:rsid w:val="004E73D5"/>
    <w:rsid w:val="004F18F8"/>
    <w:rsid w:val="004F74AC"/>
    <w:rsid w:val="00500073"/>
    <w:rsid w:val="0051067B"/>
    <w:rsid w:val="005125C0"/>
    <w:rsid w:val="00512710"/>
    <w:rsid w:val="005177DD"/>
    <w:rsid w:val="00522840"/>
    <w:rsid w:val="005228DA"/>
    <w:rsid w:val="0052348C"/>
    <w:rsid w:val="005318A6"/>
    <w:rsid w:val="00535C58"/>
    <w:rsid w:val="00537886"/>
    <w:rsid w:val="00551EFE"/>
    <w:rsid w:val="00555445"/>
    <w:rsid w:val="00555D95"/>
    <w:rsid w:val="005635D2"/>
    <w:rsid w:val="00563A15"/>
    <w:rsid w:val="005662FA"/>
    <w:rsid w:val="00573E31"/>
    <w:rsid w:val="00580F6E"/>
    <w:rsid w:val="00583C71"/>
    <w:rsid w:val="00586E35"/>
    <w:rsid w:val="005923FB"/>
    <w:rsid w:val="005926AA"/>
    <w:rsid w:val="005966F0"/>
    <w:rsid w:val="005A5A8D"/>
    <w:rsid w:val="005B4A64"/>
    <w:rsid w:val="005B7B4F"/>
    <w:rsid w:val="005C2830"/>
    <w:rsid w:val="005D08D7"/>
    <w:rsid w:val="005D27F2"/>
    <w:rsid w:val="005D57BD"/>
    <w:rsid w:val="005E7D59"/>
    <w:rsid w:val="005F0D1F"/>
    <w:rsid w:val="005F297B"/>
    <w:rsid w:val="005F593B"/>
    <w:rsid w:val="005F7E95"/>
    <w:rsid w:val="0060196D"/>
    <w:rsid w:val="00601CF9"/>
    <w:rsid w:val="006060C3"/>
    <w:rsid w:val="006073DB"/>
    <w:rsid w:val="00610062"/>
    <w:rsid w:val="00613F80"/>
    <w:rsid w:val="00614758"/>
    <w:rsid w:val="0061694F"/>
    <w:rsid w:val="006211FC"/>
    <w:rsid w:val="00621EDF"/>
    <w:rsid w:val="00624B8E"/>
    <w:rsid w:val="006272AA"/>
    <w:rsid w:val="00631FDB"/>
    <w:rsid w:val="00633710"/>
    <w:rsid w:val="00633CA9"/>
    <w:rsid w:val="00635470"/>
    <w:rsid w:val="0064188B"/>
    <w:rsid w:val="006426FE"/>
    <w:rsid w:val="00652FE0"/>
    <w:rsid w:val="006533A9"/>
    <w:rsid w:val="00657547"/>
    <w:rsid w:val="00670B4B"/>
    <w:rsid w:val="00671EFF"/>
    <w:rsid w:val="00675E67"/>
    <w:rsid w:val="00676269"/>
    <w:rsid w:val="00681EC7"/>
    <w:rsid w:val="006937EC"/>
    <w:rsid w:val="006948AC"/>
    <w:rsid w:val="006A256F"/>
    <w:rsid w:val="006A2836"/>
    <w:rsid w:val="006B4E0A"/>
    <w:rsid w:val="006C150F"/>
    <w:rsid w:val="006C3429"/>
    <w:rsid w:val="006D4BA0"/>
    <w:rsid w:val="006E0644"/>
    <w:rsid w:val="006E0B2A"/>
    <w:rsid w:val="006F0E00"/>
    <w:rsid w:val="006F4C22"/>
    <w:rsid w:val="006F541D"/>
    <w:rsid w:val="0070234C"/>
    <w:rsid w:val="00703092"/>
    <w:rsid w:val="00706222"/>
    <w:rsid w:val="00710996"/>
    <w:rsid w:val="00714959"/>
    <w:rsid w:val="00723914"/>
    <w:rsid w:val="007278EA"/>
    <w:rsid w:val="007316FD"/>
    <w:rsid w:val="00740A46"/>
    <w:rsid w:val="007639EF"/>
    <w:rsid w:val="007647B2"/>
    <w:rsid w:val="00772450"/>
    <w:rsid w:val="00776FA7"/>
    <w:rsid w:val="0078659C"/>
    <w:rsid w:val="007870AB"/>
    <w:rsid w:val="00787376"/>
    <w:rsid w:val="007878D9"/>
    <w:rsid w:val="00794413"/>
    <w:rsid w:val="007A073B"/>
    <w:rsid w:val="007B4830"/>
    <w:rsid w:val="007B68EA"/>
    <w:rsid w:val="007C4E56"/>
    <w:rsid w:val="007C788F"/>
    <w:rsid w:val="007D2C5F"/>
    <w:rsid w:val="007D42E2"/>
    <w:rsid w:val="007D4B28"/>
    <w:rsid w:val="007D73A5"/>
    <w:rsid w:val="007E20EE"/>
    <w:rsid w:val="00803EEE"/>
    <w:rsid w:val="0081176C"/>
    <w:rsid w:val="00813E9F"/>
    <w:rsid w:val="00814E21"/>
    <w:rsid w:val="00817DEB"/>
    <w:rsid w:val="00825C7F"/>
    <w:rsid w:val="00840486"/>
    <w:rsid w:val="00842C07"/>
    <w:rsid w:val="00846A9A"/>
    <w:rsid w:val="00850202"/>
    <w:rsid w:val="00870F16"/>
    <w:rsid w:val="00871A5B"/>
    <w:rsid w:val="00873545"/>
    <w:rsid w:val="00873DEB"/>
    <w:rsid w:val="008771BE"/>
    <w:rsid w:val="008861AF"/>
    <w:rsid w:val="008947DC"/>
    <w:rsid w:val="008978BB"/>
    <w:rsid w:val="00897AAE"/>
    <w:rsid w:val="008A06FB"/>
    <w:rsid w:val="008A1871"/>
    <w:rsid w:val="008A4C79"/>
    <w:rsid w:val="008A696E"/>
    <w:rsid w:val="008B1CAB"/>
    <w:rsid w:val="008B3A95"/>
    <w:rsid w:val="008B72E1"/>
    <w:rsid w:val="008C47F4"/>
    <w:rsid w:val="008D1510"/>
    <w:rsid w:val="008D19BC"/>
    <w:rsid w:val="008D50D3"/>
    <w:rsid w:val="008D5B2F"/>
    <w:rsid w:val="008E2ECD"/>
    <w:rsid w:val="008E32A2"/>
    <w:rsid w:val="008F1805"/>
    <w:rsid w:val="008F22CA"/>
    <w:rsid w:val="008F6CF0"/>
    <w:rsid w:val="00901218"/>
    <w:rsid w:val="00906DD1"/>
    <w:rsid w:val="00910716"/>
    <w:rsid w:val="00912ABB"/>
    <w:rsid w:val="0091423F"/>
    <w:rsid w:val="00921D5F"/>
    <w:rsid w:val="009242FF"/>
    <w:rsid w:val="009257E1"/>
    <w:rsid w:val="00932C3F"/>
    <w:rsid w:val="0093348A"/>
    <w:rsid w:val="0093497B"/>
    <w:rsid w:val="009414CB"/>
    <w:rsid w:val="009420FE"/>
    <w:rsid w:val="009432F3"/>
    <w:rsid w:val="009541A5"/>
    <w:rsid w:val="0095536D"/>
    <w:rsid w:val="0095649A"/>
    <w:rsid w:val="009626B1"/>
    <w:rsid w:val="00964019"/>
    <w:rsid w:val="009642FE"/>
    <w:rsid w:val="009647FC"/>
    <w:rsid w:val="00973778"/>
    <w:rsid w:val="0097699C"/>
    <w:rsid w:val="00980272"/>
    <w:rsid w:val="009810EE"/>
    <w:rsid w:val="00981A07"/>
    <w:rsid w:val="00982E55"/>
    <w:rsid w:val="00984BA0"/>
    <w:rsid w:val="009908D4"/>
    <w:rsid w:val="00995807"/>
    <w:rsid w:val="009A29F0"/>
    <w:rsid w:val="009A409E"/>
    <w:rsid w:val="009A4C01"/>
    <w:rsid w:val="009B0A19"/>
    <w:rsid w:val="009B0EB5"/>
    <w:rsid w:val="009B3AD1"/>
    <w:rsid w:val="009B41AF"/>
    <w:rsid w:val="009C07DD"/>
    <w:rsid w:val="009C323A"/>
    <w:rsid w:val="009C52AA"/>
    <w:rsid w:val="009C6FD1"/>
    <w:rsid w:val="009D1792"/>
    <w:rsid w:val="009D67DD"/>
    <w:rsid w:val="009E0600"/>
    <w:rsid w:val="009E3F42"/>
    <w:rsid w:val="009F1300"/>
    <w:rsid w:val="009F4895"/>
    <w:rsid w:val="009F48A6"/>
    <w:rsid w:val="00A02F2B"/>
    <w:rsid w:val="00A04071"/>
    <w:rsid w:val="00A04900"/>
    <w:rsid w:val="00A12713"/>
    <w:rsid w:val="00A1611A"/>
    <w:rsid w:val="00A1716C"/>
    <w:rsid w:val="00A21FEC"/>
    <w:rsid w:val="00A22495"/>
    <w:rsid w:val="00A27D5A"/>
    <w:rsid w:val="00A312B6"/>
    <w:rsid w:val="00A31394"/>
    <w:rsid w:val="00A3306B"/>
    <w:rsid w:val="00A33795"/>
    <w:rsid w:val="00A34125"/>
    <w:rsid w:val="00A4284C"/>
    <w:rsid w:val="00A46630"/>
    <w:rsid w:val="00A476C9"/>
    <w:rsid w:val="00A56DF4"/>
    <w:rsid w:val="00A572D4"/>
    <w:rsid w:val="00A604C0"/>
    <w:rsid w:val="00A62CE5"/>
    <w:rsid w:val="00A64097"/>
    <w:rsid w:val="00A664FC"/>
    <w:rsid w:val="00A7607F"/>
    <w:rsid w:val="00A80E1E"/>
    <w:rsid w:val="00A8211B"/>
    <w:rsid w:val="00A85D92"/>
    <w:rsid w:val="00A926F7"/>
    <w:rsid w:val="00A9467A"/>
    <w:rsid w:val="00AA69D5"/>
    <w:rsid w:val="00AB7B5F"/>
    <w:rsid w:val="00AC0431"/>
    <w:rsid w:val="00AC2590"/>
    <w:rsid w:val="00AC4E0B"/>
    <w:rsid w:val="00AD4ECD"/>
    <w:rsid w:val="00AD7016"/>
    <w:rsid w:val="00AE29BC"/>
    <w:rsid w:val="00AE49A8"/>
    <w:rsid w:val="00AF0274"/>
    <w:rsid w:val="00AF0451"/>
    <w:rsid w:val="00AF1795"/>
    <w:rsid w:val="00AF1B91"/>
    <w:rsid w:val="00AF5D82"/>
    <w:rsid w:val="00AF6B95"/>
    <w:rsid w:val="00B0283B"/>
    <w:rsid w:val="00B06220"/>
    <w:rsid w:val="00B14C07"/>
    <w:rsid w:val="00B1508D"/>
    <w:rsid w:val="00B1541C"/>
    <w:rsid w:val="00B26A5C"/>
    <w:rsid w:val="00B2782E"/>
    <w:rsid w:val="00B27EF5"/>
    <w:rsid w:val="00B30174"/>
    <w:rsid w:val="00B32BCC"/>
    <w:rsid w:val="00B34DFA"/>
    <w:rsid w:val="00B35AAA"/>
    <w:rsid w:val="00B43022"/>
    <w:rsid w:val="00B439DF"/>
    <w:rsid w:val="00B44202"/>
    <w:rsid w:val="00B46CD0"/>
    <w:rsid w:val="00B50D8A"/>
    <w:rsid w:val="00B60BC6"/>
    <w:rsid w:val="00B62E66"/>
    <w:rsid w:val="00B6756B"/>
    <w:rsid w:val="00B701F5"/>
    <w:rsid w:val="00B71F84"/>
    <w:rsid w:val="00B74B01"/>
    <w:rsid w:val="00B800F5"/>
    <w:rsid w:val="00B80F96"/>
    <w:rsid w:val="00B85312"/>
    <w:rsid w:val="00B85CC4"/>
    <w:rsid w:val="00B8663D"/>
    <w:rsid w:val="00B900DE"/>
    <w:rsid w:val="00B93E85"/>
    <w:rsid w:val="00B9404E"/>
    <w:rsid w:val="00BA7F53"/>
    <w:rsid w:val="00BB064D"/>
    <w:rsid w:val="00BC0127"/>
    <w:rsid w:val="00BC5F49"/>
    <w:rsid w:val="00BD4480"/>
    <w:rsid w:val="00BD6214"/>
    <w:rsid w:val="00BD793E"/>
    <w:rsid w:val="00BE04FD"/>
    <w:rsid w:val="00BE3D8A"/>
    <w:rsid w:val="00BE75DE"/>
    <w:rsid w:val="00BE7701"/>
    <w:rsid w:val="00BF1FBF"/>
    <w:rsid w:val="00BF5496"/>
    <w:rsid w:val="00C02056"/>
    <w:rsid w:val="00C02B9D"/>
    <w:rsid w:val="00C07F81"/>
    <w:rsid w:val="00C16273"/>
    <w:rsid w:val="00C16F0B"/>
    <w:rsid w:val="00C251D6"/>
    <w:rsid w:val="00C27FB1"/>
    <w:rsid w:val="00C3458B"/>
    <w:rsid w:val="00C45675"/>
    <w:rsid w:val="00C52188"/>
    <w:rsid w:val="00C521D0"/>
    <w:rsid w:val="00C541CD"/>
    <w:rsid w:val="00C62ED9"/>
    <w:rsid w:val="00C631DB"/>
    <w:rsid w:val="00C63333"/>
    <w:rsid w:val="00C6388A"/>
    <w:rsid w:val="00C639CF"/>
    <w:rsid w:val="00C6772C"/>
    <w:rsid w:val="00C73ADC"/>
    <w:rsid w:val="00C75FE2"/>
    <w:rsid w:val="00C776CD"/>
    <w:rsid w:val="00C857D9"/>
    <w:rsid w:val="00C86397"/>
    <w:rsid w:val="00C9551A"/>
    <w:rsid w:val="00C958D9"/>
    <w:rsid w:val="00C959DD"/>
    <w:rsid w:val="00C975C5"/>
    <w:rsid w:val="00CA060B"/>
    <w:rsid w:val="00CA41B1"/>
    <w:rsid w:val="00CB52BD"/>
    <w:rsid w:val="00CC3401"/>
    <w:rsid w:val="00CC3C69"/>
    <w:rsid w:val="00CC6843"/>
    <w:rsid w:val="00CD0B29"/>
    <w:rsid w:val="00CD2CCE"/>
    <w:rsid w:val="00CD6276"/>
    <w:rsid w:val="00CE1F27"/>
    <w:rsid w:val="00CE6727"/>
    <w:rsid w:val="00CE791B"/>
    <w:rsid w:val="00CF26B4"/>
    <w:rsid w:val="00CF31E1"/>
    <w:rsid w:val="00CF62BC"/>
    <w:rsid w:val="00D06F56"/>
    <w:rsid w:val="00D12FE1"/>
    <w:rsid w:val="00D14353"/>
    <w:rsid w:val="00D15779"/>
    <w:rsid w:val="00D21F66"/>
    <w:rsid w:val="00D23542"/>
    <w:rsid w:val="00D31721"/>
    <w:rsid w:val="00D31FDE"/>
    <w:rsid w:val="00D32038"/>
    <w:rsid w:val="00D41C2D"/>
    <w:rsid w:val="00D45647"/>
    <w:rsid w:val="00D471BA"/>
    <w:rsid w:val="00D548E4"/>
    <w:rsid w:val="00D56D0F"/>
    <w:rsid w:val="00D57B26"/>
    <w:rsid w:val="00D602FA"/>
    <w:rsid w:val="00D61A94"/>
    <w:rsid w:val="00D6297F"/>
    <w:rsid w:val="00D65916"/>
    <w:rsid w:val="00D667F8"/>
    <w:rsid w:val="00D711A0"/>
    <w:rsid w:val="00D71884"/>
    <w:rsid w:val="00D768A8"/>
    <w:rsid w:val="00D80477"/>
    <w:rsid w:val="00D81518"/>
    <w:rsid w:val="00D83588"/>
    <w:rsid w:val="00D878DC"/>
    <w:rsid w:val="00D9041A"/>
    <w:rsid w:val="00D9212F"/>
    <w:rsid w:val="00D9251B"/>
    <w:rsid w:val="00D95692"/>
    <w:rsid w:val="00D957CB"/>
    <w:rsid w:val="00D95922"/>
    <w:rsid w:val="00D97632"/>
    <w:rsid w:val="00D97FE7"/>
    <w:rsid w:val="00DC05B7"/>
    <w:rsid w:val="00DC4400"/>
    <w:rsid w:val="00DC7A3C"/>
    <w:rsid w:val="00DC7B17"/>
    <w:rsid w:val="00DD37B8"/>
    <w:rsid w:val="00DD38F4"/>
    <w:rsid w:val="00DD4D51"/>
    <w:rsid w:val="00DD52E9"/>
    <w:rsid w:val="00DD7AFF"/>
    <w:rsid w:val="00DE1F3B"/>
    <w:rsid w:val="00DE220A"/>
    <w:rsid w:val="00DE3DAC"/>
    <w:rsid w:val="00DE4892"/>
    <w:rsid w:val="00DE7F94"/>
    <w:rsid w:val="00E004CD"/>
    <w:rsid w:val="00E00DE9"/>
    <w:rsid w:val="00E02427"/>
    <w:rsid w:val="00E0258A"/>
    <w:rsid w:val="00E03673"/>
    <w:rsid w:val="00E043FD"/>
    <w:rsid w:val="00E118B0"/>
    <w:rsid w:val="00E15D53"/>
    <w:rsid w:val="00E16EEF"/>
    <w:rsid w:val="00E17A9D"/>
    <w:rsid w:val="00E249A4"/>
    <w:rsid w:val="00E35CE2"/>
    <w:rsid w:val="00E37EE1"/>
    <w:rsid w:val="00E41829"/>
    <w:rsid w:val="00E42E67"/>
    <w:rsid w:val="00E43B4D"/>
    <w:rsid w:val="00E445F3"/>
    <w:rsid w:val="00E454C1"/>
    <w:rsid w:val="00E459EA"/>
    <w:rsid w:val="00E56D0D"/>
    <w:rsid w:val="00E57D23"/>
    <w:rsid w:val="00E66947"/>
    <w:rsid w:val="00E66A0E"/>
    <w:rsid w:val="00E66C16"/>
    <w:rsid w:val="00E80D14"/>
    <w:rsid w:val="00E80DE5"/>
    <w:rsid w:val="00E82D21"/>
    <w:rsid w:val="00E853BD"/>
    <w:rsid w:val="00E90A4D"/>
    <w:rsid w:val="00E95379"/>
    <w:rsid w:val="00E95C8A"/>
    <w:rsid w:val="00E9629F"/>
    <w:rsid w:val="00EA3EAC"/>
    <w:rsid w:val="00EA749A"/>
    <w:rsid w:val="00EC4EB7"/>
    <w:rsid w:val="00ED0A9B"/>
    <w:rsid w:val="00ED2585"/>
    <w:rsid w:val="00ED7DF3"/>
    <w:rsid w:val="00EE0D9D"/>
    <w:rsid w:val="00EE1E9E"/>
    <w:rsid w:val="00EE4FC5"/>
    <w:rsid w:val="00EE5EC6"/>
    <w:rsid w:val="00EE6AFC"/>
    <w:rsid w:val="00EE77BC"/>
    <w:rsid w:val="00EF223A"/>
    <w:rsid w:val="00EF22EE"/>
    <w:rsid w:val="00EF7770"/>
    <w:rsid w:val="00F002A1"/>
    <w:rsid w:val="00F01D63"/>
    <w:rsid w:val="00F05F7B"/>
    <w:rsid w:val="00F112CB"/>
    <w:rsid w:val="00F12E8C"/>
    <w:rsid w:val="00F1484E"/>
    <w:rsid w:val="00F2234E"/>
    <w:rsid w:val="00F22EF5"/>
    <w:rsid w:val="00F25937"/>
    <w:rsid w:val="00F30023"/>
    <w:rsid w:val="00F4090D"/>
    <w:rsid w:val="00F46535"/>
    <w:rsid w:val="00F55E62"/>
    <w:rsid w:val="00F56280"/>
    <w:rsid w:val="00F56D1C"/>
    <w:rsid w:val="00F602A1"/>
    <w:rsid w:val="00F66332"/>
    <w:rsid w:val="00F76E9B"/>
    <w:rsid w:val="00F85BC0"/>
    <w:rsid w:val="00F91422"/>
    <w:rsid w:val="00F955B8"/>
    <w:rsid w:val="00F97C22"/>
    <w:rsid w:val="00FA4A88"/>
    <w:rsid w:val="00FB32DB"/>
    <w:rsid w:val="00FB4B99"/>
    <w:rsid w:val="00FB53B7"/>
    <w:rsid w:val="00FC280A"/>
    <w:rsid w:val="00FC3CB4"/>
    <w:rsid w:val="00FC63C0"/>
    <w:rsid w:val="00FD0C83"/>
    <w:rsid w:val="00FD4244"/>
    <w:rsid w:val="00FE1EB1"/>
    <w:rsid w:val="00FE338A"/>
    <w:rsid w:val="00FE36E7"/>
    <w:rsid w:val="00FE45BF"/>
    <w:rsid w:val="00FE67B7"/>
    <w:rsid w:val="00FE78DC"/>
    <w:rsid w:val="00FF5B5F"/>
    <w:rsid w:val="00FF7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834D-F90F-41F2-80E0-58736B39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dcterms:created xsi:type="dcterms:W3CDTF">2023-02-07T10:49:00Z</dcterms:created>
  <dcterms:modified xsi:type="dcterms:W3CDTF">2023-02-17T13:47:00Z</dcterms:modified>
</cp:coreProperties>
</file>