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34FB3" w14:textId="7F6E99F8" w:rsidR="002C7BC4" w:rsidRDefault="00270BA4" w:rsidP="00412C33">
      <w:pPr>
        <w:spacing w:line="480" w:lineRule="auto"/>
        <w:jc w:val="center"/>
        <w:rPr>
          <w:rFonts w:ascii="Arial" w:hAnsi="Arial" w:cs="Arial"/>
          <w:b/>
          <w:bCs/>
          <w:sz w:val="24"/>
          <w:szCs w:val="24"/>
          <w:lang w:val="en-US"/>
        </w:rPr>
      </w:pPr>
      <w:r>
        <w:rPr>
          <w:rFonts w:ascii="Arial" w:hAnsi="Arial" w:cs="Arial"/>
          <w:b/>
          <w:bCs/>
          <w:sz w:val="24"/>
          <w:szCs w:val="24"/>
          <w:lang w:val="en-US"/>
        </w:rPr>
        <w:t xml:space="preserve">                                                                                                                                </w:t>
      </w:r>
      <w:r w:rsidR="002C7BC4" w:rsidRPr="009F31F8">
        <w:rPr>
          <w:rFonts w:ascii="Times New Roman" w:hAnsi="Times New Roman" w:cs="Times New Roman"/>
          <w:noProof/>
          <w:lang w:val="en-US"/>
        </w:rPr>
        <w:drawing>
          <wp:inline distT="0" distB="0" distL="0" distR="0" wp14:anchorId="2D0EC3E9" wp14:editId="2A7E8D06">
            <wp:extent cx="1216025" cy="11430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3188" cy="1149733"/>
                    </a:xfrm>
                    <a:prstGeom prst="rect">
                      <a:avLst/>
                    </a:prstGeom>
                    <a:noFill/>
                  </pic:spPr>
                </pic:pic>
              </a:graphicData>
            </a:graphic>
          </wp:inline>
        </w:drawing>
      </w:r>
    </w:p>
    <w:p w14:paraId="4ACCEF60" w14:textId="495EFED7" w:rsidR="00A4060E" w:rsidRDefault="00412C33" w:rsidP="00412C33">
      <w:pPr>
        <w:spacing w:line="480" w:lineRule="auto"/>
        <w:jc w:val="center"/>
        <w:rPr>
          <w:rFonts w:ascii="Arial" w:hAnsi="Arial" w:cs="Arial"/>
          <w:b/>
          <w:bCs/>
          <w:sz w:val="24"/>
          <w:szCs w:val="24"/>
          <w:lang w:val="en-US"/>
        </w:rPr>
      </w:pPr>
      <w:r>
        <w:rPr>
          <w:rFonts w:ascii="Arial" w:hAnsi="Arial" w:cs="Arial"/>
          <w:b/>
          <w:bCs/>
          <w:sz w:val="24"/>
          <w:szCs w:val="24"/>
          <w:lang w:val="en-US"/>
        </w:rPr>
        <w:t>IN THE HIGH COURT OF SOUTH AFRICA</w:t>
      </w:r>
    </w:p>
    <w:p w14:paraId="7E7C7EA6" w14:textId="11DB5FA5" w:rsidR="00412C33" w:rsidRDefault="00412C33" w:rsidP="00412C33">
      <w:pPr>
        <w:spacing w:line="480" w:lineRule="auto"/>
        <w:jc w:val="center"/>
        <w:rPr>
          <w:rFonts w:ascii="Arial" w:hAnsi="Arial" w:cs="Arial"/>
          <w:b/>
          <w:bCs/>
          <w:sz w:val="24"/>
          <w:szCs w:val="24"/>
          <w:lang w:val="en-US"/>
        </w:rPr>
      </w:pPr>
      <w:r>
        <w:rPr>
          <w:rFonts w:ascii="Arial" w:hAnsi="Arial" w:cs="Arial"/>
          <w:b/>
          <w:bCs/>
          <w:sz w:val="24"/>
          <w:szCs w:val="24"/>
          <w:lang w:val="en-US"/>
        </w:rPr>
        <w:t>[EASTERN CAPE DIVISION – MAKHANDA]</w:t>
      </w:r>
    </w:p>
    <w:p w14:paraId="60BCF09F" w14:textId="108F03B2" w:rsidR="00412C33" w:rsidRDefault="00412C33" w:rsidP="00412C33">
      <w:pPr>
        <w:spacing w:line="480" w:lineRule="auto"/>
        <w:jc w:val="right"/>
        <w:rPr>
          <w:rFonts w:ascii="Arial" w:hAnsi="Arial" w:cs="Arial"/>
          <w:b/>
          <w:bCs/>
          <w:sz w:val="24"/>
          <w:szCs w:val="24"/>
          <w:lang w:val="en-US"/>
        </w:rPr>
      </w:pPr>
      <w:r>
        <w:rPr>
          <w:rFonts w:ascii="Arial" w:hAnsi="Arial" w:cs="Arial"/>
          <w:b/>
          <w:bCs/>
          <w:sz w:val="24"/>
          <w:szCs w:val="24"/>
          <w:lang w:val="en-US"/>
        </w:rPr>
        <w:t>CASE NO.: 1176/2021</w:t>
      </w:r>
    </w:p>
    <w:p w14:paraId="22E13499" w14:textId="18D3A9AD" w:rsidR="00412C33" w:rsidRDefault="00412C33" w:rsidP="00412C33">
      <w:pPr>
        <w:spacing w:line="480" w:lineRule="auto"/>
        <w:jc w:val="both"/>
        <w:rPr>
          <w:rFonts w:ascii="Arial" w:hAnsi="Arial" w:cs="Arial"/>
          <w:b/>
          <w:bCs/>
          <w:sz w:val="24"/>
          <w:szCs w:val="24"/>
          <w:lang w:val="en-US"/>
        </w:rPr>
      </w:pPr>
      <w:r>
        <w:rPr>
          <w:rFonts w:ascii="Arial" w:hAnsi="Arial" w:cs="Arial"/>
          <w:b/>
          <w:bCs/>
          <w:sz w:val="24"/>
          <w:szCs w:val="24"/>
          <w:lang w:val="en-US"/>
        </w:rPr>
        <w:t>In the matter between:-</w:t>
      </w:r>
    </w:p>
    <w:p w14:paraId="0CC4D39B" w14:textId="04193CE8" w:rsidR="00412C33" w:rsidRDefault="00412C33" w:rsidP="00412C33">
      <w:pPr>
        <w:spacing w:line="480" w:lineRule="auto"/>
        <w:jc w:val="both"/>
        <w:rPr>
          <w:rFonts w:ascii="Arial" w:hAnsi="Arial" w:cs="Arial"/>
          <w:b/>
          <w:bCs/>
          <w:sz w:val="24"/>
          <w:szCs w:val="24"/>
          <w:lang w:val="en-US"/>
        </w:rPr>
      </w:pPr>
      <w:r>
        <w:rPr>
          <w:rFonts w:ascii="Arial" w:hAnsi="Arial" w:cs="Arial"/>
          <w:b/>
          <w:bCs/>
          <w:sz w:val="24"/>
          <w:szCs w:val="24"/>
          <w:lang w:val="en-US"/>
        </w:rPr>
        <w:t>BUNT</w:t>
      </w:r>
      <w:r w:rsidR="004F1EBA">
        <w:rPr>
          <w:rFonts w:ascii="Arial" w:hAnsi="Arial" w:cs="Arial"/>
          <w:b/>
          <w:bCs/>
          <w:sz w:val="24"/>
          <w:szCs w:val="24"/>
          <w:lang w:val="en-US"/>
        </w:rPr>
        <w:t>I</w:t>
      </w:r>
      <w:r>
        <w:rPr>
          <w:rFonts w:ascii="Arial" w:hAnsi="Arial" w:cs="Arial"/>
          <w:b/>
          <w:bCs/>
          <w:sz w:val="24"/>
          <w:szCs w:val="24"/>
          <w:lang w:val="en-US"/>
        </w:rPr>
        <w:t>BIZ (PTY) LTD</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PLAINTIFF</w:t>
      </w:r>
    </w:p>
    <w:p w14:paraId="1D40CD8D" w14:textId="02DE55AA" w:rsidR="00412C33" w:rsidRDefault="00412C33" w:rsidP="00412C33">
      <w:pPr>
        <w:spacing w:line="480" w:lineRule="auto"/>
        <w:jc w:val="both"/>
        <w:rPr>
          <w:rFonts w:ascii="Arial" w:hAnsi="Arial" w:cs="Arial"/>
          <w:b/>
          <w:bCs/>
          <w:sz w:val="24"/>
          <w:szCs w:val="24"/>
          <w:lang w:val="en-US"/>
        </w:rPr>
      </w:pPr>
      <w:r>
        <w:rPr>
          <w:rFonts w:ascii="Arial" w:hAnsi="Arial" w:cs="Arial"/>
          <w:b/>
          <w:bCs/>
          <w:sz w:val="24"/>
          <w:szCs w:val="24"/>
          <w:lang w:val="en-US"/>
        </w:rPr>
        <w:t>and</w:t>
      </w:r>
    </w:p>
    <w:p w14:paraId="74D11000" w14:textId="4A4942A3" w:rsidR="00412C33" w:rsidRDefault="00412C33" w:rsidP="00412C33">
      <w:pPr>
        <w:spacing w:line="480" w:lineRule="auto"/>
        <w:jc w:val="both"/>
        <w:rPr>
          <w:rFonts w:ascii="Arial" w:hAnsi="Arial" w:cs="Arial"/>
          <w:b/>
          <w:bCs/>
          <w:sz w:val="24"/>
          <w:szCs w:val="24"/>
          <w:lang w:val="en-US"/>
        </w:rPr>
      </w:pPr>
      <w:r>
        <w:rPr>
          <w:rFonts w:ascii="Arial" w:hAnsi="Arial" w:cs="Arial"/>
          <w:b/>
          <w:bCs/>
          <w:sz w:val="24"/>
          <w:szCs w:val="24"/>
          <w:lang w:val="en-US"/>
        </w:rPr>
        <w:t>QUEST RETAIL COMPANY (PTY) LTD</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DEFENDANT</w:t>
      </w:r>
    </w:p>
    <w:p w14:paraId="5BC884C3" w14:textId="77777777" w:rsidR="00412C33" w:rsidRDefault="00412C33" w:rsidP="00412C33">
      <w:pPr>
        <w:pBdr>
          <w:top w:val="single" w:sz="12" w:space="1" w:color="auto"/>
          <w:bottom w:val="single" w:sz="12" w:space="1" w:color="auto"/>
        </w:pBdr>
        <w:spacing w:line="480" w:lineRule="auto"/>
        <w:jc w:val="center"/>
        <w:rPr>
          <w:rFonts w:ascii="Arial" w:hAnsi="Arial" w:cs="Arial"/>
          <w:b/>
          <w:bCs/>
          <w:sz w:val="24"/>
          <w:szCs w:val="24"/>
          <w:lang w:val="en-US"/>
        </w:rPr>
      </w:pPr>
    </w:p>
    <w:p w14:paraId="05D6D751" w14:textId="407F1752" w:rsidR="00274761" w:rsidRDefault="00412C33" w:rsidP="0024217F">
      <w:pPr>
        <w:pBdr>
          <w:top w:val="single" w:sz="12" w:space="1" w:color="auto"/>
          <w:bottom w:val="single" w:sz="12" w:space="1" w:color="auto"/>
        </w:pBdr>
        <w:spacing w:line="480" w:lineRule="auto"/>
        <w:jc w:val="center"/>
        <w:rPr>
          <w:rFonts w:ascii="Arial" w:hAnsi="Arial" w:cs="Arial"/>
          <w:b/>
          <w:bCs/>
          <w:sz w:val="24"/>
          <w:szCs w:val="24"/>
          <w:lang w:val="en-US"/>
        </w:rPr>
      </w:pPr>
      <w:r>
        <w:rPr>
          <w:rFonts w:ascii="Arial" w:hAnsi="Arial" w:cs="Arial"/>
          <w:b/>
          <w:bCs/>
          <w:sz w:val="24"/>
          <w:szCs w:val="24"/>
          <w:lang w:val="en-US"/>
        </w:rPr>
        <w:t xml:space="preserve">JUDGMENT </w:t>
      </w:r>
    </w:p>
    <w:p w14:paraId="084211BD" w14:textId="7EF7DC99" w:rsidR="00412C33" w:rsidRDefault="00412C33" w:rsidP="00412C33">
      <w:pPr>
        <w:spacing w:line="480" w:lineRule="auto"/>
        <w:jc w:val="both"/>
        <w:rPr>
          <w:rFonts w:ascii="Arial" w:hAnsi="Arial" w:cs="Arial"/>
          <w:b/>
          <w:bCs/>
          <w:sz w:val="24"/>
          <w:szCs w:val="24"/>
          <w:lang w:val="en-US"/>
        </w:rPr>
      </w:pPr>
      <w:r>
        <w:rPr>
          <w:rFonts w:ascii="Arial" w:hAnsi="Arial" w:cs="Arial"/>
          <w:b/>
          <w:bCs/>
          <w:sz w:val="24"/>
          <w:szCs w:val="24"/>
          <w:lang w:val="en-US"/>
        </w:rPr>
        <w:t>NORMAN J:</w:t>
      </w:r>
    </w:p>
    <w:p w14:paraId="2AEAC806" w14:textId="63769CC9" w:rsidR="00381EAB" w:rsidRPr="0024217F" w:rsidRDefault="00412C33" w:rsidP="0024217F">
      <w:pPr>
        <w:spacing w:line="480" w:lineRule="auto"/>
        <w:ind w:left="720" w:hanging="720"/>
        <w:jc w:val="both"/>
        <w:rPr>
          <w:rFonts w:ascii="Arial" w:hAnsi="Arial" w:cs="Arial"/>
          <w:i/>
          <w:iCs/>
          <w:sz w:val="24"/>
          <w:szCs w:val="24"/>
          <w:lang w:val="en-US"/>
        </w:rPr>
      </w:pPr>
      <w:r>
        <w:rPr>
          <w:rFonts w:ascii="Arial" w:hAnsi="Arial" w:cs="Arial"/>
          <w:sz w:val="24"/>
          <w:szCs w:val="24"/>
          <w:lang w:val="en-US"/>
        </w:rPr>
        <w:t>[1</w:t>
      </w:r>
      <w:bookmarkStart w:id="0" w:name="_GoBack"/>
      <w:bookmarkEnd w:id="0"/>
      <w:r>
        <w:rPr>
          <w:rFonts w:ascii="Arial" w:hAnsi="Arial" w:cs="Arial"/>
          <w:sz w:val="24"/>
          <w:szCs w:val="24"/>
          <w:lang w:val="en-US"/>
        </w:rPr>
        <w:t>]</w:t>
      </w:r>
      <w:r>
        <w:rPr>
          <w:rFonts w:ascii="Arial" w:hAnsi="Arial" w:cs="Arial"/>
          <w:sz w:val="24"/>
          <w:szCs w:val="24"/>
          <w:lang w:val="en-US"/>
        </w:rPr>
        <w:tab/>
      </w:r>
      <w:r w:rsidR="00381EAB">
        <w:rPr>
          <w:rFonts w:ascii="Arial" w:hAnsi="Arial" w:cs="Arial"/>
          <w:sz w:val="24"/>
          <w:szCs w:val="24"/>
          <w:lang w:val="en-US"/>
        </w:rPr>
        <w:t>This is an action brought by</w:t>
      </w:r>
      <w:r w:rsidR="00C458C2">
        <w:rPr>
          <w:rFonts w:ascii="Arial" w:hAnsi="Arial" w:cs="Arial"/>
          <w:sz w:val="24"/>
          <w:szCs w:val="24"/>
          <w:lang w:val="en-US"/>
        </w:rPr>
        <w:t xml:space="preserve"> Bunt</w:t>
      </w:r>
      <w:r w:rsidR="00381EAB">
        <w:rPr>
          <w:rFonts w:ascii="Arial" w:hAnsi="Arial" w:cs="Arial"/>
          <w:sz w:val="24"/>
          <w:szCs w:val="24"/>
          <w:lang w:val="en-US"/>
        </w:rPr>
        <w:t>i</w:t>
      </w:r>
      <w:r w:rsidR="00C458C2">
        <w:rPr>
          <w:rFonts w:ascii="Arial" w:hAnsi="Arial" w:cs="Arial"/>
          <w:sz w:val="24"/>
          <w:szCs w:val="24"/>
          <w:lang w:val="en-US"/>
        </w:rPr>
        <w:t>biz (Pty) Ltd</w:t>
      </w:r>
      <w:r w:rsidR="00256342">
        <w:rPr>
          <w:rFonts w:ascii="Arial" w:hAnsi="Arial" w:cs="Arial"/>
          <w:sz w:val="24"/>
          <w:szCs w:val="24"/>
          <w:lang w:val="en-US"/>
        </w:rPr>
        <w:t xml:space="preserve"> (Bunt</w:t>
      </w:r>
      <w:r w:rsidR="00381EAB">
        <w:rPr>
          <w:rFonts w:ascii="Arial" w:hAnsi="Arial" w:cs="Arial"/>
          <w:sz w:val="24"/>
          <w:szCs w:val="24"/>
          <w:lang w:val="en-US"/>
        </w:rPr>
        <w:t>i</w:t>
      </w:r>
      <w:r w:rsidR="00256342">
        <w:rPr>
          <w:rFonts w:ascii="Arial" w:hAnsi="Arial" w:cs="Arial"/>
          <w:sz w:val="24"/>
          <w:szCs w:val="24"/>
          <w:lang w:val="en-US"/>
        </w:rPr>
        <w:t>biz)</w:t>
      </w:r>
      <w:r w:rsidR="00B91A83">
        <w:rPr>
          <w:rFonts w:ascii="Arial" w:hAnsi="Arial" w:cs="Arial"/>
          <w:sz w:val="24"/>
          <w:szCs w:val="24"/>
          <w:lang w:val="en-US"/>
        </w:rPr>
        <w:t xml:space="preserve"> </w:t>
      </w:r>
      <w:r w:rsidR="000F0EC5">
        <w:rPr>
          <w:rFonts w:ascii="Arial" w:hAnsi="Arial" w:cs="Arial"/>
          <w:sz w:val="24"/>
          <w:szCs w:val="24"/>
          <w:lang w:val="en-US"/>
        </w:rPr>
        <w:t>against Quest Retail Company (Pty) Ltd (Quest Retail</w:t>
      </w:r>
      <w:r w:rsidR="00647040">
        <w:rPr>
          <w:rFonts w:ascii="Arial" w:hAnsi="Arial" w:cs="Arial"/>
          <w:sz w:val="24"/>
          <w:szCs w:val="24"/>
          <w:lang w:val="en-US"/>
        </w:rPr>
        <w:t>).</w:t>
      </w:r>
      <w:r w:rsidR="00553981">
        <w:rPr>
          <w:rFonts w:ascii="Arial" w:hAnsi="Arial" w:cs="Arial"/>
          <w:sz w:val="24"/>
          <w:szCs w:val="24"/>
          <w:lang w:val="en-US"/>
        </w:rPr>
        <w:t xml:space="preserve"> Both companies are </w:t>
      </w:r>
      <w:r w:rsidR="00B91A83">
        <w:rPr>
          <w:rFonts w:ascii="Arial" w:hAnsi="Arial" w:cs="Arial"/>
          <w:sz w:val="24"/>
          <w:szCs w:val="24"/>
          <w:lang w:val="en-US"/>
        </w:rPr>
        <w:t>duly registered in terms of the laws of th</w:t>
      </w:r>
      <w:r w:rsidR="00553981">
        <w:rPr>
          <w:rFonts w:ascii="Arial" w:hAnsi="Arial" w:cs="Arial"/>
          <w:sz w:val="24"/>
          <w:szCs w:val="24"/>
          <w:lang w:val="en-US"/>
        </w:rPr>
        <w:t xml:space="preserve">is country. </w:t>
      </w:r>
      <w:r w:rsidR="00B91A83">
        <w:rPr>
          <w:rFonts w:ascii="Arial" w:hAnsi="Arial" w:cs="Arial"/>
          <w:sz w:val="24"/>
          <w:szCs w:val="24"/>
          <w:lang w:val="en-US"/>
        </w:rPr>
        <w:t xml:space="preserve"> </w:t>
      </w:r>
      <w:r w:rsidR="00542ED1">
        <w:rPr>
          <w:rFonts w:ascii="Arial" w:hAnsi="Arial" w:cs="Arial"/>
          <w:sz w:val="24"/>
          <w:szCs w:val="24"/>
          <w:lang w:val="en-US"/>
        </w:rPr>
        <w:t xml:space="preserve">Buntibiz seeks against Quest </w:t>
      </w:r>
      <w:r w:rsidR="00647040">
        <w:rPr>
          <w:rFonts w:ascii="Arial" w:hAnsi="Arial" w:cs="Arial"/>
          <w:sz w:val="24"/>
          <w:szCs w:val="24"/>
          <w:lang w:val="en-US"/>
        </w:rPr>
        <w:t>Retail, a</w:t>
      </w:r>
      <w:r w:rsidR="00542ED1">
        <w:rPr>
          <w:rFonts w:ascii="Arial" w:hAnsi="Arial" w:cs="Arial"/>
          <w:sz w:val="24"/>
          <w:szCs w:val="24"/>
          <w:lang w:val="en-US"/>
        </w:rPr>
        <w:t xml:space="preserve"> refund of the purchase price</w:t>
      </w:r>
      <w:r w:rsidR="00351673">
        <w:rPr>
          <w:rFonts w:ascii="Arial" w:hAnsi="Arial" w:cs="Arial"/>
          <w:sz w:val="24"/>
          <w:szCs w:val="24"/>
          <w:lang w:val="en-US"/>
        </w:rPr>
        <w:t xml:space="preserve"> paid in respect of the business dealt with more fully below. It also seeks </w:t>
      </w:r>
      <w:r w:rsidR="00542ED1">
        <w:rPr>
          <w:rFonts w:ascii="Arial" w:hAnsi="Arial" w:cs="Arial"/>
          <w:sz w:val="24"/>
          <w:szCs w:val="24"/>
          <w:lang w:val="en-US"/>
        </w:rPr>
        <w:t xml:space="preserve">interest and costs of suit. </w:t>
      </w:r>
      <w:r w:rsidR="00542ED1" w:rsidRPr="00256342">
        <w:rPr>
          <w:rFonts w:ascii="Arial" w:hAnsi="Arial" w:cs="Arial"/>
          <w:color w:val="FF0000"/>
          <w:sz w:val="24"/>
          <w:szCs w:val="24"/>
          <w:lang w:val="en-US"/>
        </w:rPr>
        <w:t xml:space="preserve"> </w:t>
      </w:r>
    </w:p>
    <w:p w14:paraId="6443305A" w14:textId="32FFF8A4" w:rsidR="00C8595D" w:rsidRPr="0024217F" w:rsidRDefault="00381EAB" w:rsidP="00C8595D">
      <w:pPr>
        <w:spacing w:line="480" w:lineRule="auto"/>
        <w:ind w:left="720" w:hanging="720"/>
        <w:jc w:val="both"/>
        <w:rPr>
          <w:rFonts w:ascii="Arial" w:hAnsi="Arial" w:cs="Arial"/>
          <w:color w:val="000000" w:themeColor="text1"/>
          <w:sz w:val="24"/>
          <w:szCs w:val="24"/>
          <w:lang w:val="en-US"/>
        </w:rPr>
      </w:pPr>
      <w:r>
        <w:rPr>
          <w:rFonts w:ascii="Arial" w:hAnsi="Arial" w:cs="Arial"/>
          <w:sz w:val="24"/>
          <w:szCs w:val="24"/>
          <w:lang w:val="en-US"/>
        </w:rPr>
        <w:t xml:space="preserve">[2]      </w:t>
      </w:r>
      <w:r w:rsidR="00C05109">
        <w:rPr>
          <w:rFonts w:ascii="Arial" w:hAnsi="Arial" w:cs="Arial"/>
          <w:sz w:val="24"/>
          <w:szCs w:val="24"/>
          <w:lang w:val="en-US"/>
        </w:rPr>
        <w:t xml:space="preserve"> It is common cause that on 5 June </w:t>
      </w:r>
      <w:r w:rsidR="00647040">
        <w:rPr>
          <w:rFonts w:ascii="Arial" w:hAnsi="Arial" w:cs="Arial"/>
          <w:sz w:val="24"/>
          <w:szCs w:val="24"/>
          <w:lang w:val="en-US"/>
        </w:rPr>
        <w:t>2018,</w:t>
      </w:r>
      <w:r>
        <w:rPr>
          <w:rFonts w:ascii="Arial" w:hAnsi="Arial" w:cs="Arial"/>
          <w:sz w:val="24"/>
          <w:szCs w:val="24"/>
          <w:lang w:val="en-US"/>
        </w:rPr>
        <w:t xml:space="preserve"> Buntibiz and Quest Retail </w:t>
      </w:r>
      <w:r w:rsidR="00FC102B">
        <w:rPr>
          <w:rFonts w:ascii="Arial" w:hAnsi="Arial" w:cs="Arial"/>
          <w:sz w:val="24"/>
          <w:szCs w:val="24"/>
          <w:lang w:val="en-US"/>
        </w:rPr>
        <w:t>concluded a sale agreement</w:t>
      </w:r>
      <w:r w:rsidR="00594101">
        <w:rPr>
          <w:rFonts w:ascii="Arial" w:hAnsi="Arial" w:cs="Arial"/>
          <w:sz w:val="24"/>
          <w:szCs w:val="24"/>
          <w:lang w:val="en-US"/>
        </w:rPr>
        <w:t xml:space="preserve"> </w:t>
      </w:r>
      <w:r w:rsidR="00351673">
        <w:rPr>
          <w:rFonts w:ascii="Arial" w:hAnsi="Arial" w:cs="Arial"/>
          <w:sz w:val="24"/>
          <w:szCs w:val="24"/>
          <w:lang w:val="en-US"/>
        </w:rPr>
        <w:t xml:space="preserve">in respect of </w:t>
      </w:r>
      <w:r w:rsidR="0055618C">
        <w:rPr>
          <w:rFonts w:ascii="Arial" w:hAnsi="Arial" w:cs="Arial"/>
          <w:sz w:val="24"/>
          <w:szCs w:val="24"/>
          <w:lang w:val="en-US"/>
        </w:rPr>
        <w:t>a business</w:t>
      </w:r>
      <w:r w:rsidR="00351673">
        <w:rPr>
          <w:rFonts w:ascii="Arial" w:hAnsi="Arial" w:cs="Arial"/>
          <w:sz w:val="24"/>
          <w:szCs w:val="24"/>
          <w:lang w:val="en-US"/>
        </w:rPr>
        <w:t xml:space="preserve"> which was sold</w:t>
      </w:r>
      <w:r w:rsidR="00B91A83">
        <w:rPr>
          <w:rFonts w:ascii="Arial" w:hAnsi="Arial" w:cs="Arial"/>
          <w:sz w:val="24"/>
          <w:szCs w:val="24"/>
          <w:lang w:val="en-US"/>
        </w:rPr>
        <w:t xml:space="preserve"> </w:t>
      </w:r>
      <w:r>
        <w:rPr>
          <w:rFonts w:ascii="Arial" w:hAnsi="Arial" w:cs="Arial"/>
          <w:sz w:val="24"/>
          <w:szCs w:val="24"/>
          <w:lang w:val="en-US"/>
        </w:rPr>
        <w:t>as a going concern</w:t>
      </w:r>
      <w:r w:rsidR="00351673">
        <w:rPr>
          <w:rFonts w:ascii="Arial" w:hAnsi="Arial" w:cs="Arial"/>
          <w:sz w:val="24"/>
          <w:szCs w:val="24"/>
          <w:lang w:val="en-US"/>
        </w:rPr>
        <w:t xml:space="preserve">. </w:t>
      </w:r>
      <w:r w:rsidR="00351673">
        <w:rPr>
          <w:rFonts w:ascii="Arial" w:hAnsi="Arial" w:cs="Arial"/>
          <w:sz w:val="24"/>
          <w:szCs w:val="24"/>
          <w:lang w:val="en-US"/>
        </w:rPr>
        <w:lastRenderedPageBreak/>
        <w:t xml:space="preserve">The business consisted of </w:t>
      </w:r>
      <w:r w:rsidR="003463B4">
        <w:rPr>
          <w:rFonts w:ascii="Arial" w:hAnsi="Arial" w:cs="Arial"/>
          <w:sz w:val="24"/>
          <w:szCs w:val="24"/>
          <w:lang w:val="en-US"/>
        </w:rPr>
        <w:t xml:space="preserve">an </w:t>
      </w:r>
      <w:r w:rsidR="00A612D6">
        <w:rPr>
          <w:rFonts w:ascii="Arial" w:hAnsi="Arial" w:cs="Arial"/>
          <w:sz w:val="24"/>
          <w:szCs w:val="24"/>
          <w:lang w:val="en-US"/>
        </w:rPr>
        <w:t xml:space="preserve">automotive </w:t>
      </w:r>
      <w:r w:rsidR="00F35094">
        <w:rPr>
          <w:rFonts w:ascii="Arial" w:hAnsi="Arial" w:cs="Arial"/>
          <w:sz w:val="24"/>
          <w:szCs w:val="24"/>
          <w:lang w:val="en-US"/>
        </w:rPr>
        <w:t xml:space="preserve">fuel filling </w:t>
      </w:r>
      <w:r w:rsidR="00146ABD">
        <w:rPr>
          <w:rFonts w:ascii="Arial" w:hAnsi="Arial" w:cs="Arial"/>
          <w:sz w:val="24"/>
          <w:szCs w:val="24"/>
          <w:lang w:val="en-US"/>
        </w:rPr>
        <w:t xml:space="preserve">service </w:t>
      </w:r>
      <w:r w:rsidR="00F35094">
        <w:rPr>
          <w:rFonts w:ascii="Arial" w:hAnsi="Arial" w:cs="Arial"/>
          <w:sz w:val="24"/>
          <w:szCs w:val="24"/>
          <w:lang w:val="en-US"/>
        </w:rPr>
        <w:t>station</w:t>
      </w:r>
      <w:r w:rsidR="000F142B">
        <w:rPr>
          <w:rFonts w:ascii="Arial" w:hAnsi="Arial" w:cs="Arial"/>
          <w:sz w:val="24"/>
          <w:szCs w:val="24"/>
          <w:lang w:val="en-US"/>
        </w:rPr>
        <w:t xml:space="preserve">, </w:t>
      </w:r>
      <w:r w:rsidR="00351673">
        <w:rPr>
          <w:rFonts w:ascii="Arial" w:hAnsi="Arial" w:cs="Arial"/>
          <w:sz w:val="24"/>
          <w:szCs w:val="24"/>
          <w:lang w:val="en-US"/>
        </w:rPr>
        <w:t xml:space="preserve">a </w:t>
      </w:r>
      <w:r w:rsidR="000F142B">
        <w:rPr>
          <w:rFonts w:ascii="Arial" w:hAnsi="Arial" w:cs="Arial"/>
          <w:sz w:val="24"/>
          <w:szCs w:val="24"/>
          <w:lang w:val="en-US"/>
        </w:rPr>
        <w:t>convenience shop</w:t>
      </w:r>
      <w:r w:rsidR="00BB5F8B">
        <w:rPr>
          <w:rFonts w:ascii="Arial" w:hAnsi="Arial" w:cs="Arial"/>
          <w:sz w:val="24"/>
          <w:szCs w:val="24"/>
          <w:lang w:val="en-US"/>
        </w:rPr>
        <w:t xml:space="preserve">, </w:t>
      </w:r>
      <w:r w:rsidR="00351673">
        <w:rPr>
          <w:rFonts w:ascii="Arial" w:hAnsi="Arial" w:cs="Arial"/>
          <w:sz w:val="24"/>
          <w:szCs w:val="24"/>
          <w:lang w:val="en-US"/>
        </w:rPr>
        <w:t xml:space="preserve">a </w:t>
      </w:r>
      <w:r w:rsidR="00BB5F8B">
        <w:rPr>
          <w:rFonts w:ascii="Arial" w:hAnsi="Arial" w:cs="Arial"/>
          <w:sz w:val="24"/>
          <w:szCs w:val="24"/>
          <w:lang w:val="en-US"/>
        </w:rPr>
        <w:t xml:space="preserve">food takeaway </w:t>
      </w:r>
      <w:r w:rsidR="00F308D0">
        <w:rPr>
          <w:rFonts w:ascii="Arial" w:hAnsi="Arial" w:cs="Arial"/>
          <w:sz w:val="24"/>
          <w:szCs w:val="24"/>
          <w:lang w:val="en-US"/>
        </w:rPr>
        <w:t>outlet</w:t>
      </w:r>
      <w:r w:rsidR="00B82F2F">
        <w:rPr>
          <w:rFonts w:ascii="Arial" w:hAnsi="Arial" w:cs="Arial"/>
          <w:sz w:val="24"/>
          <w:szCs w:val="24"/>
          <w:lang w:val="en-US"/>
        </w:rPr>
        <w:t xml:space="preserve"> and </w:t>
      </w:r>
      <w:r w:rsidR="00351673">
        <w:rPr>
          <w:rFonts w:ascii="Arial" w:hAnsi="Arial" w:cs="Arial"/>
          <w:sz w:val="24"/>
          <w:szCs w:val="24"/>
          <w:lang w:val="en-US"/>
        </w:rPr>
        <w:t xml:space="preserve">a </w:t>
      </w:r>
      <w:r w:rsidR="00B82F2F">
        <w:rPr>
          <w:rFonts w:ascii="Arial" w:hAnsi="Arial" w:cs="Arial"/>
          <w:sz w:val="24"/>
          <w:szCs w:val="24"/>
          <w:lang w:val="en-US"/>
        </w:rPr>
        <w:t xml:space="preserve">car wash </w:t>
      </w:r>
      <w:r w:rsidR="00A450AF">
        <w:rPr>
          <w:rFonts w:ascii="Arial" w:hAnsi="Arial" w:cs="Arial"/>
          <w:sz w:val="24"/>
          <w:szCs w:val="24"/>
          <w:lang w:val="en-US"/>
        </w:rPr>
        <w:t xml:space="preserve">on the property situated </w:t>
      </w:r>
      <w:r w:rsidR="0036651D">
        <w:rPr>
          <w:rFonts w:ascii="Arial" w:hAnsi="Arial" w:cs="Arial"/>
          <w:sz w:val="24"/>
          <w:szCs w:val="24"/>
          <w:lang w:val="en-US"/>
        </w:rPr>
        <w:t>at Erf 5</w:t>
      </w:r>
      <w:r w:rsidR="000B1799">
        <w:rPr>
          <w:rFonts w:ascii="Arial" w:hAnsi="Arial" w:cs="Arial"/>
          <w:sz w:val="24"/>
          <w:szCs w:val="24"/>
          <w:lang w:val="en-US"/>
        </w:rPr>
        <w:t xml:space="preserve">404, </w:t>
      </w:r>
      <w:r w:rsidR="004F1EBA">
        <w:rPr>
          <w:rFonts w:ascii="Arial" w:hAnsi="Arial" w:cs="Arial"/>
          <w:sz w:val="24"/>
          <w:szCs w:val="24"/>
          <w:lang w:val="en-US"/>
        </w:rPr>
        <w:t>Gelvandale</w:t>
      </w:r>
      <w:r w:rsidR="000B1799">
        <w:rPr>
          <w:rFonts w:ascii="Arial" w:hAnsi="Arial" w:cs="Arial"/>
          <w:sz w:val="24"/>
          <w:szCs w:val="24"/>
          <w:lang w:val="en-US"/>
        </w:rPr>
        <w:t>, Gqeberha</w:t>
      </w:r>
      <w:r w:rsidR="00671259" w:rsidRPr="00351673">
        <w:rPr>
          <w:rFonts w:ascii="Arial" w:hAnsi="Arial" w:cs="Arial"/>
          <w:color w:val="000000" w:themeColor="text1"/>
          <w:sz w:val="24"/>
          <w:szCs w:val="24"/>
          <w:lang w:val="en-US"/>
        </w:rPr>
        <w:t>.</w:t>
      </w:r>
      <w:r w:rsidR="00351673">
        <w:rPr>
          <w:rFonts w:ascii="Arial" w:hAnsi="Arial" w:cs="Arial"/>
          <w:color w:val="000000" w:themeColor="text1"/>
          <w:sz w:val="24"/>
          <w:szCs w:val="24"/>
          <w:lang w:val="en-US"/>
        </w:rPr>
        <w:t xml:space="preserve"> </w:t>
      </w:r>
      <w:r w:rsidR="00061322">
        <w:rPr>
          <w:rFonts w:ascii="Arial" w:hAnsi="Arial" w:cs="Arial"/>
          <w:color w:val="000000" w:themeColor="text1"/>
          <w:sz w:val="24"/>
          <w:szCs w:val="24"/>
          <w:lang w:val="en-US"/>
        </w:rPr>
        <w:t>The business is</w:t>
      </w:r>
      <w:r w:rsidR="00351673">
        <w:rPr>
          <w:rFonts w:ascii="Arial" w:hAnsi="Arial" w:cs="Arial"/>
          <w:color w:val="000000" w:themeColor="text1"/>
          <w:sz w:val="24"/>
          <w:szCs w:val="24"/>
          <w:lang w:val="en-US"/>
        </w:rPr>
        <w:t xml:space="preserve"> commonly referred to by the parties as Quest Gelvandale.</w:t>
      </w:r>
      <w:r w:rsidR="00671259" w:rsidRPr="00351673">
        <w:rPr>
          <w:rFonts w:ascii="Arial" w:hAnsi="Arial" w:cs="Arial"/>
          <w:color w:val="000000" w:themeColor="text1"/>
          <w:sz w:val="24"/>
          <w:szCs w:val="24"/>
          <w:lang w:val="en-US"/>
        </w:rPr>
        <w:t xml:space="preserve"> </w:t>
      </w:r>
      <w:r w:rsidR="007329CB">
        <w:rPr>
          <w:rFonts w:ascii="Arial" w:hAnsi="Arial" w:cs="Arial"/>
          <w:color w:val="FF0000"/>
          <w:sz w:val="24"/>
          <w:szCs w:val="24"/>
          <w:lang w:val="en-US"/>
        </w:rPr>
        <w:t xml:space="preserve"> </w:t>
      </w:r>
      <w:r w:rsidR="007329CB" w:rsidRPr="0024217F">
        <w:rPr>
          <w:rFonts w:ascii="Arial" w:hAnsi="Arial" w:cs="Arial"/>
          <w:color w:val="000000" w:themeColor="text1"/>
          <w:sz w:val="24"/>
          <w:szCs w:val="24"/>
          <w:lang w:val="en-US"/>
        </w:rPr>
        <w:t xml:space="preserve">The effective date was 1 July 2018. The business sold comprised </w:t>
      </w:r>
      <w:r w:rsidR="00C8595D" w:rsidRPr="0024217F">
        <w:rPr>
          <w:rFonts w:ascii="Arial" w:hAnsi="Arial" w:cs="Arial"/>
          <w:color w:val="000000" w:themeColor="text1"/>
          <w:sz w:val="24"/>
          <w:szCs w:val="24"/>
          <w:lang w:val="en-US"/>
        </w:rPr>
        <w:t xml:space="preserve">of </w:t>
      </w:r>
      <w:r w:rsidR="007329CB" w:rsidRPr="0024217F">
        <w:rPr>
          <w:rFonts w:ascii="Arial" w:hAnsi="Arial" w:cs="Arial"/>
          <w:color w:val="000000" w:themeColor="text1"/>
          <w:sz w:val="24"/>
          <w:szCs w:val="24"/>
          <w:lang w:val="en-US"/>
        </w:rPr>
        <w:t xml:space="preserve">fixed assets, stocks and goodwill. </w:t>
      </w:r>
      <w:r w:rsidR="0081378F" w:rsidRPr="004F1EBA">
        <w:rPr>
          <w:rFonts w:ascii="Arial" w:hAnsi="Arial" w:cs="Arial"/>
          <w:color w:val="FF0000"/>
          <w:sz w:val="24"/>
          <w:szCs w:val="24"/>
          <w:lang w:val="en-US"/>
        </w:rPr>
        <w:t xml:space="preserve"> </w:t>
      </w:r>
      <w:r w:rsidR="00671259">
        <w:rPr>
          <w:rFonts w:ascii="Arial" w:hAnsi="Arial" w:cs="Arial"/>
          <w:sz w:val="24"/>
          <w:szCs w:val="24"/>
          <w:lang w:val="en-US"/>
        </w:rPr>
        <w:t xml:space="preserve">The purchase price </w:t>
      </w:r>
      <w:r w:rsidR="00020465">
        <w:rPr>
          <w:rFonts w:ascii="Arial" w:hAnsi="Arial" w:cs="Arial"/>
          <w:sz w:val="24"/>
          <w:szCs w:val="24"/>
          <w:lang w:val="en-US"/>
        </w:rPr>
        <w:t>was</w:t>
      </w:r>
      <w:r w:rsidR="00671259">
        <w:rPr>
          <w:rFonts w:ascii="Arial" w:hAnsi="Arial" w:cs="Arial"/>
          <w:sz w:val="24"/>
          <w:szCs w:val="24"/>
          <w:lang w:val="en-US"/>
        </w:rPr>
        <w:t xml:space="preserve"> the sum of</w:t>
      </w:r>
      <w:r w:rsidR="00020465">
        <w:rPr>
          <w:rFonts w:ascii="Arial" w:hAnsi="Arial" w:cs="Arial"/>
          <w:sz w:val="24"/>
          <w:szCs w:val="24"/>
          <w:lang w:val="en-US"/>
        </w:rPr>
        <w:t xml:space="preserve"> R2,5 </w:t>
      </w:r>
      <w:r w:rsidR="00044E36">
        <w:rPr>
          <w:rFonts w:ascii="Arial" w:hAnsi="Arial" w:cs="Arial"/>
          <w:sz w:val="24"/>
          <w:szCs w:val="24"/>
          <w:lang w:val="en-US"/>
        </w:rPr>
        <w:t>m</w:t>
      </w:r>
      <w:r w:rsidR="00020465">
        <w:rPr>
          <w:rFonts w:ascii="Arial" w:hAnsi="Arial" w:cs="Arial"/>
          <w:sz w:val="24"/>
          <w:szCs w:val="24"/>
          <w:lang w:val="en-US"/>
        </w:rPr>
        <w:t>illion</w:t>
      </w:r>
      <w:r w:rsidR="007329CB">
        <w:rPr>
          <w:rFonts w:ascii="Arial" w:hAnsi="Arial" w:cs="Arial"/>
          <w:sz w:val="24"/>
          <w:szCs w:val="24"/>
          <w:lang w:val="en-US"/>
        </w:rPr>
        <w:t xml:space="preserve"> </w:t>
      </w:r>
      <w:r w:rsidR="008C331A">
        <w:rPr>
          <w:rFonts w:ascii="Arial" w:hAnsi="Arial" w:cs="Arial"/>
          <w:sz w:val="24"/>
          <w:szCs w:val="24"/>
          <w:lang w:val="en-US"/>
        </w:rPr>
        <w:t>(</w:t>
      </w:r>
      <w:r w:rsidR="007329CB">
        <w:rPr>
          <w:rFonts w:ascii="Arial" w:hAnsi="Arial" w:cs="Arial"/>
          <w:sz w:val="24"/>
          <w:szCs w:val="24"/>
          <w:lang w:val="en-US"/>
        </w:rPr>
        <w:t>t</w:t>
      </w:r>
      <w:r w:rsidR="008C331A">
        <w:rPr>
          <w:rFonts w:ascii="Arial" w:hAnsi="Arial" w:cs="Arial"/>
          <w:sz w:val="24"/>
          <w:szCs w:val="24"/>
          <w:lang w:val="en-US"/>
        </w:rPr>
        <w:t xml:space="preserve">wo </w:t>
      </w:r>
      <w:r w:rsidR="007329CB">
        <w:rPr>
          <w:rFonts w:ascii="Arial" w:hAnsi="Arial" w:cs="Arial"/>
          <w:sz w:val="24"/>
          <w:szCs w:val="24"/>
          <w:lang w:val="en-US"/>
        </w:rPr>
        <w:t>m</w:t>
      </w:r>
      <w:r w:rsidR="008C331A">
        <w:rPr>
          <w:rFonts w:ascii="Arial" w:hAnsi="Arial" w:cs="Arial"/>
          <w:sz w:val="24"/>
          <w:szCs w:val="24"/>
          <w:lang w:val="en-US"/>
        </w:rPr>
        <w:t xml:space="preserve">illion </w:t>
      </w:r>
      <w:r w:rsidR="007329CB">
        <w:rPr>
          <w:rFonts w:ascii="Arial" w:hAnsi="Arial" w:cs="Arial"/>
          <w:sz w:val="24"/>
          <w:szCs w:val="24"/>
          <w:lang w:val="en-US"/>
        </w:rPr>
        <w:t>f</w:t>
      </w:r>
      <w:r w:rsidR="008C331A">
        <w:rPr>
          <w:rFonts w:ascii="Arial" w:hAnsi="Arial" w:cs="Arial"/>
          <w:sz w:val="24"/>
          <w:szCs w:val="24"/>
          <w:lang w:val="en-US"/>
        </w:rPr>
        <w:t xml:space="preserve">ive </w:t>
      </w:r>
      <w:r w:rsidR="007329CB">
        <w:rPr>
          <w:rFonts w:ascii="Arial" w:hAnsi="Arial" w:cs="Arial"/>
          <w:sz w:val="24"/>
          <w:szCs w:val="24"/>
          <w:lang w:val="en-US"/>
        </w:rPr>
        <w:t>h</w:t>
      </w:r>
      <w:r w:rsidR="008C331A">
        <w:rPr>
          <w:rFonts w:ascii="Arial" w:hAnsi="Arial" w:cs="Arial"/>
          <w:sz w:val="24"/>
          <w:szCs w:val="24"/>
          <w:lang w:val="en-US"/>
        </w:rPr>
        <w:t xml:space="preserve">undred </w:t>
      </w:r>
      <w:r w:rsidR="007329CB">
        <w:rPr>
          <w:rFonts w:ascii="Arial" w:hAnsi="Arial" w:cs="Arial"/>
          <w:sz w:val="24"/>
          <w:szCs w:val="24"/>
          <w:lang w:val="en-US"/>
        </w:rPr>
        <w:t>t</w:t>
      </w:r>
      <w:r w:rsidR="008C331A">
        <w:rPr>
          <w:rFonts w:ascii="Arial" w:hAnsi="Arial" w:cs="Arial"/>
          <w:sz w:val="24"/>
          <w:szCs w:val="24"/>
          <w:lang w:val="en-US"/>
        </w:rPr>
        <w:t xml:space="preserve">housand </w:t>
      </w:r>
      <w:r w:rsidR="007329CB">
        <w:rPr>
          <w:rFonts w:ascii="Arial" w:hAnsi="Arial" w:cs="Arial"/>
          <w:sz w:val="24"/>
          <w:szCs w:val="24"/>
          <w:lang w:val="en-US"/>
        </w:rPr>
        <w:t>r</w:t>
      </w:r>
      <w:r w:rsidR="008C331A">
        <w:rPr>
          <w:rFonts w:ascii="Arial" w:hAnsi="Arial" w:cs="Arial"/>
          <w:sz w:val="24"/>
          <w:szCs w:val="24"/>
          <w:lang w:val="en-US"/>
        </w:rPr>
        <w:t>and)</w:t>
      </w:r>
      <w:r w:rsidR="007329CB">
        <w:rPr>
          <w:rFonts w:ascii="Arial" w:hAnsi="Arial" w:cs="Arial"/>
          <w:sz w:val="24"/>
          <w:szCs w:val="24"/>
          <w:lang w:val="en-US"/>
        </w:rPr>
        <w:t xml:space="preserve"> excluding VAT, plus an amount equal to the cost price of the stocks</w:t>
      </w:r>
      <w:r w:rsidR="004E5D26">
        <w:rPr>
          <w:rFonts w:ascii="Arial" w:hAnsi="Arial" w:cs="Arial"/>
          <w:sz w:val="24"/>
          <w:szCs w:val="24"/>
          <w:lang w:val="en-US"/>
        </w:rPr>
        <w:t>.</w:t>
      </w:r>
      <w:r w:rsidR="007329CB" w:rsidRPr="007329CB">
        <w:rPr>
          <w:rFonts w:ascii="Arial" w:hAnsi="Arial" w:cs="Arial"/>
          <w:sz w:val="24"/>
          <w:szCs w:val="24"/>
          <w:lang w:val="en-US"/>
        </w:rPr>
        <w:t xml:space="preserve"> </w:t>
      </w:r>
      <w:r w:rsidR="00C8595D" w:rsidRPr="0024217F">
        <w:rPr>
          <w:rFonts w:ascii="Arial" w:hAnsi="Arial" w:cs="Arial"/>
          <w:color w:val="000000" w:themeColor="text1"/>
          <w:sz w:val="24"/>
          <w:szCs w:val="24"/>
          <w:lang w:val="en-US"/>
        </w:rPr>
        <w:t xml:space="preserve">Buntibiz was represented by Mr Gotz Edel Gunther </w:t>
      </w:r>
      <w:r w:rsidR="00351673">
        <w:rPr>
          <w:rFonts w:ascii="Arial" w:hAnsi="Arial" w:cs="Arial"/>
          <w:color w:val="000000" w:themeColor="text1"/>
          <w:sz w:val="24"/>
          <w:szCs w:val="24"/>
          <w:lang w:val="en-US"/>
        </w:rPr>
        <w:t>V</w:t>
      </w:r>
      <w:r w:rsidR="00C8595D" w:rsidRPr="0024217F">
        <w:rPr>
          <w:rFonts w:ascii="Arial" w:hAnsi="Arial" w:cs="Arial"/>
          <w:color w:val="000000" w:themeColor="text1"/>
          <w:sz w:val="24"/>
          <w:szCs w:val="24"/>
          <w:lang w:val="en-US"/>
        </w:rPr>
        <w:t xml:space="preserve">on Westernhagen (Gotz) and Quest Retail by </w:t>
      </w:r>
      <w:r w:rsidR="00647040" w:rsidRPr="0024217F">
        <w:rPr>
          <w:rFonts w:ascii="Arial" w:hAnsi="Arial" w:cs="Arial"/>
          <w:color w:val="000000" w:themeColor="text1"/>
          <w:sz w:val="24"/>
          <w:szCs w:val="24"/>
          <w:lang w:val="en-US"/>
        </w:rPr>
        <w:t>Ms Liesel</w:t>
      </w:r>
      <w:r w:rsidR="00C8595D" w:rsidRPr="0024217F">
        <w:rPr>
          <w:rFonts w:ascii="Arial" w:hAnsi="Arial" w:cs="Arial"/>
          <w:color w:val="000000" w:themeColor="text1"/>
          <w:sz w:val="24"/>
          <w:szCs w:val="24"/>
          <w:lang w:val="en-US"/>
        </w:rPr>
        <w:t xml:space="preserve"> Bezuidenhout</w:t>
      </w:r>
      <w:r w:rsidR="00351673">
        <w:rPr>
          <w:rFonts w:ascii="Arial" w:hAnsi="Arial" w:cs="Arial"/>
          <w:color w:val="000000" w:themeColor="text1"/>
          <w:sz w:val="24"/>
          <w:szCs w:val="24"/>
          <w:lang w:val="en-US"/>
        </w:rPr>
        <w:t>.</w:t>
      </w:r>
    </w:p>
    <w:p w14:paraId="537A8CAF" w14:textId="4E37F05E" w:rsidR="0024217F" w:rsidRDefault="00C8595D" w:rsidP="0024217F">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5942E4">
        <w:rPr>
          <w:rFonts w:ascii="Arial" w:hAnsi="Arial" w:cs="Arial"/>
          <w:sz w:val="24"/>
          <w:szCs w:val="24"/>
          <w:lang w:val="en-US"/>
        </w:rPr>
        <w:t>3</w:t>
      </w:r>
      <w:r>
        <w:rPr>
          <w:rFonts w:ascii="Arial" w:hAnsi="Arial" w:cs="Arial"/>
          <w:sz w:val="24"/>
          <w:szCs w:val="24"/>
          <w:lang w:val="en-US"/>
        </w:rPr>
        <w:t>]   Th</w:t>
      </w:r>
      <w:r w:rsidR="0024217F">
        <w:rPr>
          <w:rFonts w:ascii="Arial" w:hAnsi="Arial" w:cs="Arial"/>
          <w:sz w:val="24"/>
          <w:szCs w:val="24"/>
          <w:lang w:val="en-US"/>
        </w:rPr>
        <w:t xml:space="preserve">ere were suspensive </w:t>
      </w:r>
      <w:r>
        <w:rPr>
          <w:rFonts w:ascii="Arial" w:hAnsi="Arial" w:cs="Arial"/>
          <w:sz w:val="24"/>
          <w:szCs w:val="24"/>
          <w:lang w:val="en-US"/>
        </w:rPr>
        <w:t>condition</w:t>
      </w:r>
      <w:r w:rsidR="0024217F">
        <w:rPr>
          <w:rFonts w:ascii="Arial" w:hAnsi="Arial" w:cs="Arial"/>
          <w:sz w:val="24"/>
          <w:szCs w:val="24"/>
          <w:lang w:val="en-US"/>
        </w:rPr>
        <w:t xml:space="preserve">s </w:t>
      </w:r>
      <w:r w:rsidRPr="00C8595D">
        <w:rPr>
          <w:rFonts w:ascii="Arial" w:hAnsi="Arial" w:cs="Arial"/>
          <w:sz w:val="24"/>
          <w:szCs w:val="24"/>
          <w:lang w:val="en-US"/>
        </w:rPr>
        <w:t xml:space="preserve">that Buntibiz </w:t>
      </w:r>
      <w:r w:rsidR="007329CB" w:rsidRPr="00C8595D">
        <w:rPr>
          <w:rFonts w:ascii="Arial" w:hAnsi="Arial" w:cs="Arial"/>
          <w:sz w:val="24"/>
          <w:szCs w:val="24"/>
          <w:lang w:val="en-US"/>
        </w:rPr>
        <w:t>as</w:t>
      </w:r>
      <w:r w:rsidRPr="00C8595D">
        <w:rPr>
          <w:rFonts w:ascii="Arial" w:hAnsi="Arial" w:cs="Arial"/>
          <w:sz w:val="24"/>
          <w:szCs w:val="24"/>
          <w:lang w:val="en-US"/>
        </w:rPr>
        <w:t xml:space="preserve"> a </w:t>
      </w:r>
      <w:r w:rsidR="007329CB" w:rsidRPr="00C8595D">
        <w:rPr>
          <w:rFonts w:ascii="Arial" w:hAnsi="Arial" w:cs="Arial"/>
          <w:sz w:val="24"/>
          <w:szCs w:val="24"/>
          <w:lang w:val="en-US"/>
        </w:rPr>
        <w:t>purchaser</w:t>
      </w:r>
      <w:r w:rsidRPr="00C8595D">
        <w:rPr>
          <w:rFonts w:ascii="Arial" w:hAnsi="Arial" w:cs="Arial"/>
          <w:sz w:val="24"/>
          <w:szCs w:val="24"/>
          <w:lang w:val="en-US"/>
        </w:rPr>
        <w:t xml:space="preserve"> </w:t>
      </w:r>
      <w:r w:rsidR="007329CB" w:rsidRPr="00C8595D">
        <w:rPr>
          <w:rFonts w:ascii="Arial" w:hAnsi="Arial" w:cs="Arial"/>
          <w:sz w:val="24"/>
          <w:szCs w:val="24"/>
          <w:lang w:val="en-US"/>
        </w:rPr>
        <w:t xml:space="preserve">was </w:t>
      </w:r>
      <w:r>
        <w:rPr>
          <w:rFonts w:ascii="Arial" w:hAnsi="Arial" w:cs="Arial"/>
          <w:sz w:val="24"/>
          <w:szCs w:val="24"/>
          <w:lang w:val="en-US"/>
        </w:rPr>
        <w:t xml:space="preserve">to be </w:t>
      </w:r>
      <w:r w:rsidR="007329CB" w:rsidRPr="00C8595D">
        <w:rPr>
          <w:rFonts w:ascii="Arial" w:hAnsi="Arial" w:cs="Arial"/>
          <w:sz w:val="24"/>
          <w:szCs w:val="24"/>
          <w:lang w:val="en-US"/>
        </w:rPr>
        <w:t>approved by Quest Petroleum as a customer</w:t>
      </w:r>
      <w:r w:rsidR="00351673">
        <w:rPr>
          <w:rFonts w:ascii="Arial" w:hAnsi="Arial" w:cs="Arial"/>
          <w:sz w:val="24"/>
          <w:szCs w:val="24"/>
          <w:lang w:val="en-US"/>
        </w:rPr>
        <w:t xml:space="preserve"> </w:t>
      </w:r>
      <w:r w:rsidRPr="00C8595D">
        <w:rPr>
          <w:rFonts w:ascii="Arial" w:hAnsi="Arial" w:cs="Arial"/>
          <w:sz w:val="24"/>
          <w:szCs w:val="24"/>
          <w:lang w:val="en-US"/>
        </w:rPr>
        <w:t xml:space="preserve">and </w:t>
      </w:r>
      <w:r w:rsidR="00351673">
        <w:rPr>
          <w:rFonts w:ascii="Arial" w:hAnsi="Arial" w:cs="Arial"/>
          <w:sz w:val="24"/>
          <w:szCs w:val="24"/>
          <w:lang w:val="en-US"/>
        </w:rPr>
        <w:t xml:space="preserve">it was to enter into </w:t>
      </w:r>
      <w:r>
        <w:rPr>
          <w:rFonts w:ascii="Arial" w:hAnsi="Arial" w:cs="Arial"/>
          <w:sz w:val="24"/>
          <w:szCs w:val="24"/>
          <w:lang w:val="en-US"/>
        </w:rPr>
        <w:t xml:space="preserve">two relevant </w:t>
      </w:r>
      <w:r w:rsidR="00647040">
        <w:rPr>
          <w:rFonts w:ascii="Arial" w:hAnsi="Arial" w:cs="Arial"/>
          <w:sz w:val="24"/>
          <w:szCs w:val="24"/>
          <w:lang w:val="en-US"/>
        </w:rPr>
        <w:t>agreements, namely</w:t>
      </w:r>
      <w:r>
        <w:rPr>
          <w:rFonts w:ascii="Arial" w:hAnsi="Arial" w:cs="Arial"/>
          <w:sz w:val="24"/>
          <w:szCs w:val="24"/>
          <w:lang w:val="en-US"/>
        </w:rPr>
        <w:t xml:space="preserve">, </w:t>
      </w:r>
      <w:r w:rsidR="007329CB" w:rsidRPr="00C8595D">
        <w:rPr>
          <w:rFonts w:ascii="Arial" w:hAnsi="Arial" w:cs="Arial"/>
          <w:sz w:val="24"/>
          <w:szCs w:val="24"/>
          <w:lang w:val="en-US"/>
        </w:rPr>
        <w:t xml:space="preserve">a lease agreement </w:t>
      </w:r>
      <w:r>
        <w:rPr>
          <w:rFonts w:ascii="Arial" w:hAnsi="Arial" w:cs="Arial"/>
          <w:sz w:val="24"/>
          <w:szCs w:val="24"/>
          <w:lang w:val="en-US"/>
        </w:rPr>
        <w:t xml:space="preserve">and a </w:t>
      </w:r>
      <w:r w:rsidRPr="00C8595D">
        <w:rPr>
          <w:rFonts w:ascii="Arial" w:hAnsi="Arial" w:cs="Arial"/>
          <w:sz w:val="24"/>
          <w:szCs w:val="24"/>
          <w:lang w:val="en-US"/>
        </w:rPr>
        <w:t xml:space="preserve">supply agreement </w:t>
      </w:r>
      <w:r w:rsidR="0055182C">
        <w:rPr>
          <w:rFonts w:ascii="Arial" w:hAnsi="Arial" w:cs="Arial"/>
          <w:sz w:val="24"/>
          <w:szCs w:val="24"/>
          <w:lang w:val="en-US"/>
        </w:rPr>
        <w:t xml:space="preserve">(relevant agreements) </w:t>
      </w:r>
      <w:r>
        <w:rPr>
          <w:rFonts w:ascii="Arial" w:hAnsi="Arial" w:cs="Arial"/>
          <w:sz w:val="24"/>
          <w:szCs w:val="24"/>
          <w:lang w:val="en-US"/>
        </w:rPr>
        <w:t xml:space="preserve">with Quest </w:t>
      </w:r>
      <w:r w:rsidR="007329CB" w:rsidRPr="00C8595D">
        <w:rPr>
          <w:rFonts w:ascii="Arial" w:hAnsi="Arial" w:cs="Arial"/>
          <w:sz w:val="24"/>
          <w:szCs w:val="24"/>
          <w:lang w:val="en-US"/>
        </w:rPr>
        <w:t>Petroleum</w:t>
      </w:r>
      <w:r>
        <w:rPr>
          <w:rFonts w:ascii="Arial" w:hAnsi="Arial" w:cs="Arial"/>
          <w:sz w:val="24"/>
          <w:szCs w:val="24"/>
          <w:lang w:val="en-US"/>
        </w:rPr>
        <w:t>.  The two relevant agreements were concluded on the same day as the sale agreement</w:t>
      </w:r>
      <w:r w:rsidR="0024217F">
        <w:rPr>
          <w:rFonts w:ascii="Arial" w:hAnsi="Arial" w:cs="Arial"/>
          <w:sz w:val="24"/>
          <w:szCs w:val="24"/>
          <w:lang w:val="en-US"/>
        </w:rPr>
        <w:t xml:space="preserve"> and Buntibiz was approved as a customer. </w:t>
      </w:r>
      <w:r w:rsidR="0070728C">
        <w:rPr>
          <w:rFonts w:ascii="Arial" w:hAnsi="Arial" w:cs="Arial"/>
          <w:sz w:val="24"/>
          <w:szCs w:val="24"/>
          <w:lang w:val="en-US"/>
        </w:rPr>
        <w:t>It is common cause that t</w:t>
      </w:r>
      <w:r w:rsidR="0024217F">
        <w:rPr>
          <w:rFonts w:ascii="Arial" w:hAnsi="Arial" w:cs="Arial"/>
          <w:sz w:val="24"/>
          <w:szCs w:val="24"/>
          <w:lang w:val="en-US"/>
        </w:rPr>
        <w:t xml:space="preserve">hose conditions were fulfilled. </w:t>
      </w:r>
    </w:p>
    <w:p w14:paraId="2586DD06" w14:textId="77777777" w:rsidR="00670C90" w:rsidRDefault="00670C90" w:rsidP="00670C90">
      <w:pPr>
        <w:spacing w:line="480" w:lineRule="auto"/>
        <w:ind w:left="720" w:hanging="720"/>
        <w:jc w:val="both"/>
        <w:rPr>
          <w:rFonts w:ascii="Arial" w:hAnsi="Arial" w:cs="Arial"/>
          <w:sz w:val="24"/>
          <w:szCs w:val="24"/>
          <w:lang w:val="en-US"/>
        </w:rPr>
      </w:pPr>
      <w:r w:rsidRPr="00CA0C47">
        <w:rPr>
          <w:rFonts w:ascii="Arial" w:hAnsi="Arial" w:cs="Arial"/>
          <w:i/>
          <w:iCs/>
          <w:sz w:val="24"/>
          <w:szCs w:val="24"/>
          <w:lang w:val="en-US"/>
        </w:rPr>
        <w:t>Issues</w:t>
      </w:r>
    </w:p>
    <w:p w14:paraId="1B4C305C" w14:textId="62E527D9" w:rsidR="00670C90" w:rsidRDefault="00670C90" w:rsidP="00670C90">
      <w:pPr>
        <w:spacing w:line="480" w:lineRule="auto"/>
        <w:ind w:left="720" w:hanging="720"/>
        <w:jc w:val="both"/>
        <w:rPr>
          <w:rFonts w:ascii="Arial" w:hAnsi="Arial" w:cs="Arial"/>
          <w:sz w:val="24"/>
          <w:szCs w:val="24"/>
          <w:lang w:val="en-US"/>
        </w:rPr>
      </w:pPr>
      <w:r w:rsidRPr="00860264">
        <w:rPr>
          <w:rFonts w:ascii="Arial" w:hAnsi="Arial" w:cs="Arial"/>
          <w:sz w:val="24"/>
          <w:szCs w:val="24"/>
          <w:lang w:val="en-US"/>
        </w:rPr>
        <w:t>[</w:t>
      </w:r>
      <w:r w:rsidR="005942E4">
        <w:rPr>
          <w:rFonts w:ascii="Arial" w:hAnsi="Arial" w:cs="Arial"/>
          <w:sz w:val="24"/>
          <w:szCs w:val="24"/>
          <w:lang w:val="en-US"/>
        </w:rPr>
        <w:t>4</w:t>
      </w:r>
      <w:r w:rsidRPr="00860264">
        <w:rPr>
          <w:rFonts w:ascii="Arial" w:hAnsi="Arial" w:cs="Arial"/>
          <w:sz w:val="24"/>
          <w:szCs w:val="24"/>
          <w:lang w:val="en-US"/>
        </w:rPr>
        <w:t>]</w:t>
      </w:r>
      <w:r>
        <w:rPr>
          <w:rFonts w:ascii="Arial" w:hAnsi="Arial" w:cs="Arial"/>
          <w:sz w:val="24"/>
          <w:szCs w:val="24"/>
          <w:lang w:val="en-US"/>
        </w:rPr>
        <w:tab/>
        <w:t xml:space="preserve">The parties identified issues for determination as follows: </w:t>
      </w:r>
    </w:p>
    <w:p w14:paraId="128A48C9" w14:textId="3614D169" w:rsidR="00670C90" w:rsidRDefault="00670C90" w:rsidP="00647040">
      <w:pPr>
        <w:spacing w:line="480" w:lineRule="auto"/>
        <w:ind w:left="1440" w:hanging="720"/>
        <w:jc w:val="both"/>
        <w:rPr>
          <w:rFonts w:ascii="Arial" w:hAnsi="Arial" w:cs="Arial"/>
          <w:sz w:val="24"/>
          <w:szCs w:val="24"/>
          <w:lang w:val="en-US"/>
        </w:rPr>
      </w:pPr>
      <w:r>
        <w:rPr>
          <w:rFonts w:ascii="Arial" w:hAnsi="Arial" w:cs="Arial"/>
          <w:sz w:val="24"/>
          <w:szCs w:val="24"/>
          <w:lang w:val="en-US"/>
        </w:rPr>
        <w:t xml:space="preserve">(a) </w:t>
      </w:r>
      <w:r w:rsidR="00647040">
        <w:rPr>
          <w:rFonts w:ascii="Arial" w:hAnsi="Arial" w:cs="Arial"/>
          <w:sz w:val="24"/>
          <w:szCs w:val="24"/>
          <w:lang w:val="en-US"/>
        </w:rPr>
        <w:tab/>
      </w:r>
      <w:r>
        <w:rPr>
          <w:rFonts w:ascii="Arial" w:hAnsi="Arial" w:cs="Arial"/>
          <w:sz w:val="24"/>
          <w:szCs w:val="24"/>
          <w:lang w:val="en-US"/>
        </w:rPr>
        <w:t xml:space="preserve">Whether the tacit term can competently be imported into the sale agreement between Buntibiz and Quest Retail (the tacit term issue); </w:t>
      </w:r>
    </w:p>
    <w:p w14:paraId="7249D7BD" w14:textId="57B2793E" w:rsidR="00670C90" w:rsidRDefault="00670C90" w:rsidP="00647040">
      <w:pPr>
        <w:spacing w:line="480" w:lineRule="auto"/>
        <w:ind w:left="1440" w:hanging="720"/>
        <w:jc w:val="both"/>
        <w:rPr>
          <w:rFonts w:ascii="Arial" w:hAnsi="Arial" w:cs="Arial"/>
          <w:sz w:val="24"/>
          <w:szCs w:val="24"/>
          <w:lang w:val="en-US"/>
        </w:rPr>
      </w:pPr>
      <w:r>
        <w:rPr>
          <w:rFonts w:ascii="Arial" w:hAnsi="Arial" w:cs="Arial"/>
          <w:sz w:val="24"/>
          <w:szCs w:val="24"/>
          <w:lang w:val="en-US"/>
        </w:rPr>
        <w:t xml:space="preserve">(b) </w:t>
      </w:r>
      <w:r w:rsidR="00647040">
        <w:rPr>
          <w:rFonts w:ascii="Arial" w:hAnsi="Arial" w:cs="Arial"/>
          <w:sz w:val="24"/>
          <w:szCs w:val="24"/>
          <w:lang w:val="en-US"/>
        </w:rPr>
        <w:tab/>
      </w:r>
      <w:r>
        <w:rPr>
          <w:rFonts w:ascii="Arial" w:hAnsi="Arial" w:cs="Arial"/>
          <w:sz w:val="24"/>
          <w:szCs w:val="24"/>
          <w:lang w:val="en-US"/>
        </w:rPr>
        <w:t>If so, whether the resolutive condition created by the tacit term should be deemed to have been fictionally fulfilled because Buntibiz deliberately and intentionally sabotaged their own retail licence application (the resolutive condition issue);</w:t>
      </w:r>
    </w:p>
    <w:p w14:paraId="73A25CB5" w14:textId="4BA73F6C" w:rsidR="0070728C" w:rsidRPr="00670C90" w:rsidRDefault="00670C90" w:rsidP="00647040">
      <w:pPr>
        <w:spacing w:line="480" w:lineRule="auto"/>
        <w:ind w:left="1440" w:hanging="720"/>
        <w:jc w:val="both"/>
        <w:rPr>
          <w:rFonts w:ascii="Arial" w:hAnsi="Arial" w:cs="Arial"/>
          <w:sz w:val="24"/>
          <w:szCs w:val="24"/>
          <w:lang w:val="en-US"/>
        </w:rPr>
      </w:pPr>
      <w:r>
        <w:rPr>
          <w:rFonts w:ascii="Arial" w:hAnsi="Arial" w:cs="Arial"/>
          <w:sz w:val="24"/>
          <w:szCs w:val="24"/>
          <w:lang w:val="en-US"/>
        </w:rPr>
        <w:lastRenderedPageBreak/>
        <w:t xml:space="preserve">(c) </w:t>
      </w:r>
      <w:r w:rsidR="00647040">
        <w:rPr>
          <w:rFonts w:ascii="Arial" w:hAnsi="Arial" w:cs="Arial"/>
          <w:sz w:val="24"/>
          <w:szCs w:val="24"/>
          <w:lang w:val="en-US"/>
        </w:rPr>
        <w:tab/>
      </w:r>
      <w:r>
        <w:rPr>
          <w:rFonts w:ascii="Arial" w:hAnsi="Arial" w:cs="Arial"/>
          <w:sz w:val="24"/>
          <w:szCs w:val="24"/>
          <w:lang w:val="en-US"/>
        </w:rPr>
        <w:t xml:space="preserve">If the tacit term can competently be imported into the sale agreement and that Buntibiz is held not to have deliberately and intentionally sabotaged its own licence </w:t>
      </w:r>
      <w:r w:rsidR="00647040">
        <w:rPr>
          <w:rFonts w:ascii="Arial" w:hAnsi="Arial" w:cs="Arial"/>
          <w:sz w:val="24"/>
          <w:szCs w:val="24"/>
          <w:lang w:val="en-US"/>
        </w:rPr>
        <w:t>application, then</w:t>
      </w:r>
      <w:r>
        <w:rPr>
          <w:rFonts w:ascii="Arial" w:hAnsi="Arial" w:cs="Arial"/>
          <w:sz w:val="24"/>
          <w:szCs w:val="24"/>
          <w:lang w:val="en-US"/>
        </w:rPr>
        <w:t xml:space="preserve"> whether Buntibiz adequately performed under the sale agreement to justify it being refunded the R2.5 million by Quest Retail in terms of the tacit term (the restitution issue).</w:t>
      </w:r>
    </w:p>
    <w:p w14:paraId="3566DA22" w14:textId="2E78C4C4" w:rsidR="0070728C" w:rsidRPr="0070728C" w:rsidRDefault="0070728C" w:rsidP="0024217F">
      <w:pPr>
        <w:spacing w:line="480" w:lineRule="auto"/>
        <w:ind w:left="720" w:hanging="720"/>
        <w:jc w:val="both"/>
        <w:rPr>
          <w:rFonts w:ascii="Arial" w:hAnsi="Arial" w:cs="Arial"/>
          <w:i/>
          <w:iCs/>
          <w:color w:val="000000" w:themeColor="text1"/>
          <w:sz w:val="24"/>
          <w:szCs w:val="24"/>
          <w:lang w:val="en-US"/>
        </w:rPr>
      </w:pPr>
      <w:r w:rsidRPr="0070728C">
        <w:rPr>
          <w:rFonts w:ascii="Arial" w:hAnsi="Arial" w:cs="Arial"/>
          <w:i/>
          <w:iCs/>
          <w:color w:val="000000" w:themeColor="text1"/>
          <w:sz w:val="24"/>
          <w:szCs w:val="24"/>
          <w:lang w:val="en-US"/>
        </w:rPr>
        <w:t>Relevant pleadings</w:t>
      </w:r>
    </w:p>
    <w:p w14:paraId="7DB5CA1E" w14:textId="28936060" w:rsidR="00542ED1" w:rsidRDefault="00FE3658" w:rsidP="007329CB">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5942E4">
        <w:rPr>
          <w:rFonts w:ascii="Arial" w:hAnsi="Arial" w:cs="Arial"/>
          <w:sz w:val="24"/>
          <w:szCs w:val="24"/>
          <w:lang w:val="en-US"/>
        </w:rPr>
        <w:t>5</w:t>
      </w:r>
      <w:r>
        <w:rPr>
          <w:rFonts w:ascii="Arial" w:hAnsi="Arial" w:cs="Arial"/>
          <w:sz w:val="24"/>
          <w:szCs w:val="24"/>
          <w:lang w:val="en-US"/>
        </w:rPr>
        <w:t>]</w:t>
      </w:r>
      <w:r>
        <w:rPr>
          <w:rFonts w:ascii="Arial" w:hAnsi="Arial" w:cs="Arial"/>
          <w:sz w:val="24"/>
          <w:szCs w:val="24"/>
          <w:lang w:val="en-US"/>
        </w:rPr>
        <w:tab/>
      </w:r>
      <w:r w:rsidR="0070728C">
        <w:rPr>
          <w:rFonts w:ascii="Arial" w:hAnsi="Arial" w:cs="Arial"/>
          <w:sz w:val="24"/>
          <w:szCs w:val="24"/>
          <w:lang w:val="en-US"/>
        </w:rPr>
        <w:t xml:space="preserve">I deem it necessary to record the pleadings that are relevant to the issues.   </w:t>
      </w:r>
      <w:r w:rsidR="00542ED1">
        <w:rPr>
          <w:rFonts w:ascii="Arial" w:hAnsi="Arial" w:cs="Arial"/>
          <w:sz w:val="24"/>
          <w:szCs w:val="24"/>
          <w:lang w:val="en-US"/>
        </w:rPr>
        <w:t xml:space="preserve"> Buntibiz alleged </w:t>
      </w:r>
      <w:r w:rsidR="00A873BC">
        <w:rPr>
          <w:rFonts w:ascii="Arial" w:hAnsi="Arial" w:cs="Arial"/>
          <w:sz w:val="24"/>
          <w:szCs w:val="24"/>
          <w:lang w:val="en-US"/>
        </w:rPr>
        <w:t xml:space="preserve">in the particulars of claim </w:t>
      </w:r>
      <w:r w:rsidR="00542ED1">
        <w:rPr>
          <w:rFonts w:ascii="Arial" w:hAnsi="Arial" w:cs="Arial"/>
          <w:sz w:val="24"/>
          <w:szCs w:val="24"/>
          <w:lang w:val="en-US"/>
        </w:rPr>
        <w:t>that</w:t>
      </w:r>
      <w:r w:rsidR="0055182C">
        <w:rPr>
          <w:rFonts w:ascii="Arial" w:hAnsi="Arial" w:cs="Arial"/>
          <w:sz w:val="24"/>
          <w:szCs w:val="24"/>
          <w:lang w:val="en-US"/>
        </w:rPr>
        <w:t>:</w:t>
      </w:r>
      <w:r w:rsidR="00542ED1">
        <w:rPr>
          <w:rFonts w:ascii="Arial" w:hAnsi="Arial" w:cs="Arial"/>
          <w:sz w:val="24"/>
          <w:szCs w:val="24"/>
          <w:lang w:val="en-US"/>
        </w:rPr>
        <w:t xml:space="preserve"> </w:t>
      </w:r>
    </w:p>
    <w:p w14:paraId="61285E03" w14:textId="2AA95619" w:rsidR="00C00354" w:rsidRPr="00647040" w:rsidRDefault="00542ED1" w:rsidP="00647040">
      <w:pPr>
        <w:spacing w:line="276" w:lineRule="auto"/>
        <w:ind w:left="1134" w:hanging="720"/>
        <w:jc w:val="both"/>
        <w:rPr>
          <w:rFonts w:ascii="Arial" w:hAnsi="Arial" w:cs="Arial"/>
          <w:i/>
          <w:iCs/>
          <w:sz w:val="20"/>
          <w:szCs w:val="20"/>
          <w:lang w:val="en-US"/>
        </w:rPr>
      </w:pPr>
      <w:r w:rsidRPr="00647040">
        <w:rPr>
          <w:rFonts w:ascii="Arial" w:hAnsi="Arial" w:cs="Arial"/>
          <w:i/>
          <w:iCs/>
          <w:sz w:val="24"/>
          <w:szCs w:val="24"/>
          <w:lang w:val="en-US"/>
        </w:rPr>
        <w:t xml:space="preserve">           </w:t>
      </w:r>
      <w:r w:rsidR="00647040" w:rsidRPr="00647040">
        <w:rPr>
          <w:rFonts w:ascii="Arial" w:hAnsi="Arial" w:cs="Arial"/>
          <w:i/>
          <w:iCs/>
          <w:sz w:val="20"/>
          <w:szCs w:val="20"/>
          <w:lang w:val="en-US"/>
        </w:rPr>
        <w:t>“5</w:t>
      </w:r>
      <w:r w:rsidR="00C00354" w:rsidRPr="00647040">
        <w:rPr>
          <w:rFonts w:ascii="Arial" w:hAnsi="Arial" w:cs="Arial"/>
          <w:i/>
          <w:iCs/>
          <w:sz w:val="20"/>
          <w:szCs w:val="20"/>
          <w:lang w:val="en-US"/>
        </w:rPr>
        <w:t xml:space="preserve">. There was a tacit term of the sale </w:t>
      </w:r>
      <w:r w:rsidR="00647040" w:rsidRPr="00647040">
        <w:rPr>
          <w:rFonts w:ascii="Arial" w:hAnsi="Arial" w:cs="Arial"/>
          <w:i/>
          <w:iCs/>
          <w:sz w:val="20"/>
          <w:szCs w:val="20"/>
          <w:lang w:val="en-US"/>
        </w:rPr>
        <w:t>agreement:</w:t>
      </w:r>
      <w:r w:rsidR="00C00354" w:rsidRPr="00647040">
        <w:rPr>
          <w:rFonts w:ascii="Arial" w:hAnsi="Arial" w:cs="Arial"/>
          <w:i/>
          <w:iCs/>
          <w:sz w:val="20"/>
          <w:szCs w:val="20"/>
          <w:lang w:val="en-US"/>
        </w:rPr>
        <w:t xml:space="preserve"> </w:t>
      </w:r>
    </w:p>
    <w:p w14:paraId="1B43B673" w14:textId="6BF4C158" w:rsidR="00F65A2D" w:rsidRPr="00647040" w:rsidRDefault="00647040" w:rsidP="00647040">
      <w:pPr>
        <w:spacing w:line="276" w:lineRule="auto"/>
        <w:ind w:left="2160" w:hanging="726"/>
        <w:jc w:val="both"/>
        <w:rPr>
          <w:rFonts w:ascii="Arial" w:hAnsi="Arial" w:cs="Arial"/>
          <w:i/>
          <w:iCs/>
          <w:sz w:val="20"/>
          <w:szCs w:val="20"/>
          <w:lang w:val="en-US"/>
        </w:rPr>
      </w:pPr>
      <w:r w:rsidRPr="00647040">
        <w:rPr>
          <w:rFonts w:ascii="Arial" w:hAnsi="Arial" w:cs="Arial"/>
          <w:i/>
          <w:iCs/>
          <w:sz w:val="20"/>
          <w:szCs w:val="20"/>
          <w:lang w:val="en-US"/>
        </w:rPr>
        <w:t xml:space="preserve">5.1 </w:t>
      </w:r>
      <w:r w:rsidRPr="00647040">
        <w:rPr>
          <w:rFonts w:ascii="Arial" w:hAnsi="Arial" w:cs="Arial"/>
          <w:i/>
          <w:iCs/>
          <w:sz w:val="20"/>
          <w:szCs w:val="20"/>
          <w:lang w:val="en-US"/>
        </w:rPr>
        <w:tab/>
      </w:r>
      <w:r w:rsidR="00542ED1" w:rsidRPr="00647040">
        <w:rPr>
          <w:rFonts w:ascii="Arial" w:hAnsi="Arial" w:cs="Arial"/>
          <w:i/>
          <w:iCs/>
          <w:sz w:val="20"/>
          <w:szCs w:val="20"/>
          <w:lang w:val="en-US"/>
        </w:rPr>
        <w:t xml:space="preserve">That Plaintiff shall apply for a retail licence in terms of the Petroleum Products Act 120 of 1977, and, in the event of such licence not being granted, the sale agreement would become null and void and the purchase price would be repaid.” </w:t>
      </w:r>
    </w:p>
    <w:p w14:paraId="4504D973" w14:textId="0224B0B3" w:rsidR="00F65A2D" w:rsidRDefault="00F65A2D" w:rsidP="00C00354">
      <w:pPr>
        <w:spacing w:line="240" w:lineRule="auto"/>
        <w:ind w:left="1134" w:hanging="720"/>
        <w:jc w:val="both"/>
        <w:rPr>
          <w:rFonts w:ascii="Arial" w:hAnsi="Arial" w:cs="Arial"/>
          <w:sz w:val="20"/>
          <w:szCs w:val="20"/>
          <w:lang w:val="en-US"/>
        </w:rPr>
      </w:pPr>
      <w:r>
        <w:rPr>
          <w:rFonts w:ascii="Arial" w:hAnsi="Arial" w:cs="Arial"/>
          <w:sz w:val="20"/>
          <w:szCs w:val="20"/>
          <w:lang w:val="en-US"/>
        </w:rPr>
        <w:t xml:space="preserve">      </w:t>
      </w:r>
    </w:p>
    <w:p w14:paraId="5E9771F5" w14:textId="45AB8B42" w:rsidR="00A873BC" w:rsidRDefault="00C1633B" w:rsidP="00A873BC">
      <w:pPr>
        <w:spacing w:line="240" w:lineRule="auto"/>
        <w:ind w:left="720" w:hanging="720"/>
        <w:jc w:val="both"/>
        <w:rPr>
          <w:rFonts w:ascii="Arial" w:hAnsi="Arial" w:cs="Arial"/>
          <w:sz w:val="24"/>
          <w:szCs w:val="24"/>
          <w:lang w:val="en-US"/>
        </w:rPr>
      </w:pPr>
      <w:r>
        <w:rPr>
          <w:rFonts w:ascii="Arial" w:hAnsi="Arial" w:cs="Arial"/>
          <w:sz w:val="24"/>
          <w:szCs w:val="24"/>
          <w:lang w:val="en-US"/>
        </w:rPr>
        <w:t>[</w:t>
      </w:r>
      <w:r w:rsidR="005942E4">
        <w:rPr>
          <w:rFonts w:ascii="Arial" w:hAnsi="Arial" w:cs="Arial"/>
          <w:sz w:val="24"/>
          <w:szCs w:val="24"/>
          <w:lang w:val="en-US"/>
        </w:rPr>
        <w:t>6</w:t>
      </w:r>
      <w:r>
        <w:rPr>
          <w:rFonts w:ascii="Arial" w:hAnsi="Arial" w:cs="Arial"/>
          <w:sz w:val="24"/>
          <w:szCs w:val="24"/>
          <w:lang w:val="en-US"/>
        </w:rPr>
        <w:t>]</w:t>
      </w:r>
      <w:r w:rsidR="00647040">
        <w:rPr>
          <w:rFonts w:ascii="Arial" w:hAnsi="Arial" w:cs="Arial"/>
          <w:sz w:val="24"/>
          <w:szCs w:val="24"/>
          <w:lang w:val="en-US"/>
        </w:rPr>
        <w:tab/>
      </w:r>
      <w:r w:rsidR="00A873BC">
        <w:rPr>
          <w:rFonts w:ascii="Arial" w:hAnsi="Arial" w:cs="Arial"/>
          <w:sz w:val="24"/>
          <w:szCs w:val="24"/>
          <w:lang w:val="en-US"/>
        </w:rPr>
        <w:t xml:space="preserve">Clause 26 in the lease agreement reads as follows: </w:t>
      </w:r>
    </w:p>
    <w:p w14:paraId="3E05098D" w14:textId="77777777" w:rsidR="00A873BC" w:rsidRPr="00894CFC" w:rsidRDefault="00A873BC" w:rsidP="00A873BC">
      <w:pPr>
        <w:spacing w:line="240" w:lineRule="auto"/>
        <w:ind w:left="720" w:hanging="720"/>
        <w:jc w:val="both"/>
        <w:rPr>
          <w:rFonts w:ascii="Arial" w:hAnsi="Arial" w:cs="Arial"/>
          <w:i/>
          <w:iCs/>
          <w:sz w:val="18"/>
          <w:szCs w:val="18"/>
          <w:lang w:val="en-US"/>
        </w:rPr>
      </w:pPr>
      <w:r>
        <w:rPr>
          <w:rFonts w:ascii="Arial" w:hAnsi="Arial" w:cs="Arial"/>
          <w:sz w:val="24"/>
          <w:szCs w:val="24"/>
          <w:lang w:val="en-US"/>
        </w:rPr>
        <w:tab/>
      </w:r>
      <w:r>
        <w:rPr>
          <w:rFonts w:ascii="Arial" w:hAnsi="Arial" w:cs="Arial"/>
          <w:sz w:val="24"/>
          <w:szCs w:val="24"/>
          <w:lang w:val="en-US"/>
        </w:rPr>
        <w:tab/>
      </w:r>
      <w:r w:rsidRPr="00894CFC">
        <w:rPr>
          <w:rFonts w:ascii="Arial" w:hAnsi="Arial" w:cs="Arial"/>
          <w:i/>
          <w:iCs/>
          <w:sz w:val="18"/>
          <w:szCs w:val="18"/>
          <w:lang w:val="en-US"/>
        </w:rPr>
        <w:t>“26.</w:t>
      </w:r>
      <w:r w:rsidRPr="00894CFC">
        <w:rPr>
          <w:rFonts w:ascii="Arial" w:hAnsi="Arial" w:cs="Arial"/>
          <w:i/>
          <w:iCs/>
          <w:sz w:val="18"/>
          <w:szCs w:val="18"/>
          <w:lang w:val="en-US"/>
        </w:rPr>
        <w:tab/>
        <w:t>LICENCING AND COMPLIANCE WITH THE LAW</w:t>
      </w:r>
    </w:p>
    <w:p w14:paraId="624C2B61" w14:textId="77777777" w:rsidR="00A873BC" w:rsidRPr="00894CFC" w:rsidRDefault="00A873BC" w:rsidP="00A873BC">
      <w:pPr>
        <w:spacing w:line="240" w:lineRule="auto"/>
        <w:ind w:left="2880" w:hanging="720"/>
        <w:jc w:val="both"/>
        <w:rPr>
          <w:rFonts w:ascii="Arial" w:hAnsi="Arial" w:cs="Arial"/>
          <w:i/>
          <w:iCs/>
          <w:sz w:val="18"/>
          <w:szCs w:val="18"/>
          <w:lang w:val="en-US"/>
        </w:rPr>
      </w:pPr>
      <w:r w:rsidRPr="00894CFC">
        <w:rPr>
          <w:rFonts w:ascii="Arial" w:hAnsi="Arial" w:cs="Arial"/>
          <w:i/>
          <w:iCs/>
          <w:sz w:val="18"/>
          <w:szCs w:val="18"/>
          <w:lang w:val="en-US"/>
        </w:rPr>
        <w:t>26.1.</w:t>
      </w:r>
      <w:r w:rsidRPr="00894CFC">
        <w:rPr>
          <w:rFonts w:ascii="Arial" w:hAnsi="Arial" w:cs="Arial"/>
          <w:i/>
          <w:iCs/>
          <w:sz w:val="18"/>
          <w:szCs w:val="18"/>
          <w:lang w:val="en-US"/>
        </w:rPr>
        <w:tab/>
        <w:t>The lessee shall, within 7 (seven) days of the signature date, apply for its retail licence, it being agreed that if it is not granted a retail licence by</w:t>
      </w:r>
      <w:r w:rsidRPr="00894CFC">
        <w:rPr>
          <w:rFonts w:ascii="Arial" w:hAnsi="Arial" w:cs="Arial"/>
          <w:i/>
          <w:iCs/>
          <w:sz w:val="24"/>
          <w:szCs w:val="24"/>
          <w:lang w:val="en-US"/>
        </w:rPr>
        <w:t xml:space="preserve"> </w:t>
      </w:r>
      <w:r>
        <w:rPr>
          <w:rFonts w:ascii="Arial" w:hAnsi="Arial" w:cs="Arial"/>
          <w:i/>
          <w:iCs/>
          <w:sz w:val="18"/>
          <w:szCs w:val="18"/>
          <w:lang w:val="en-US"/>
        </w:rPr>
        <w:t>the Department of Energ</w:t>
      </w:r>
      <w:r w:rsidRPr="00894CFC">
        <w:rPr>
          <w:rFonts w:ascii="Arial" w:hAnsi="Arial" w:cs="Arial"/>
          <w:i/>
          <w:iCs/>
          <w:sz w:val="18"/>
          <w:szCs w:val="18"/>
          <w:lang w:val="en-US"/>
        </w:rPr>
        <w:t>y, it will not be able to operate the business and will accordingly be refunded the amount it paid as a right to trade.</w:t>
      </w:r>
    </w:p>
    <w:p w14:paraId="1F291B2E" w14:textId="77777777" w:rsidR="00A873BC" w:rsidRPr="00894CFC" w:rsidRDefault="00A873BC" w:rsidP="00A873BC">
      <w:pPr>
        <w:spacing w:line="240" w:lineRule="auto"/>
        <w:ind w:left="2880" w:hanging="720"/>
        <w:jc w:val="both"/>
        <w:rPr>
          <w:rFonts w:ascii="Arial" w:hAnsi="Arial" w:cs="Arial"/>
          <w:i/>
          <w:iCs/>
          <w:sz w:val="18"/>
          <w:szCs w:val="18"/>
          <w:lang w:val="en-US"/>
        </w:rPr>
      </w:pPr>
      <w:r w:rsidRPr="00894CFC">
        <w:rPr>
          <w:rFonts w:ascii="Arial" w:hAnsi="Arial" w:cs="Arial"/>
          <w:i/>
          <w:iCs/>
          <w:sz w:val="18"/>
          <w:szCs w:val="18"/>
          <w:lang w:val="en-US"/>
        </w:rPr>
        <w:t>26.2</w:t>
      </w:r>
      <w:r w:rsidRPr="00894CFC">
        <w:rPr>
          <w:rFonts w:ascii="Arial" w:hAnsi="Arial" w:cs="Arial"/>
          <w:i/>
          <w:iCs/>
          <w:sz w:val="18"/>
          <w:szCs w:val="18"/>
          <w:lang w:val="en-US"/>
        </w:rPr>
        <w:tab/>
        <w:t xml:space="preserve">The lessee shall ensure that at all times during subsistence of this agreement that the retail licence, as provided for in the Act, remains valid. </w:t>
      </w:r>
    </w:p>
    <w:p w14:paraId="3A7967FF" w14:textId="1B6C36D0" w:rsidR="00A873BC" w:rsidRDefault="00A873BC" w:rsidP="0000345A">
      <w:pPr>
        <w:spacing w:line="240" w:lineRule="auto"/>
        <w:ind w:left="2880" w:hanging="720"/>
        <w:jc w:val="both"/>
        <w:rPr>
          <w:rFonts w:ascii="Arial" w:hAnsi="Arial" w:cs="Arial"/>
          <w:i/>
          <w:iCs/>
          <w:sz w:val="18"/>
          <w:szCs w:val="18"/>
          <w:lang w:val="en-US"/>
        </w:rPr>
      </w:pPr>
      <w:r w:rsidRPr="00894CFC">
        <w:rPr>
          <w:rFonts w:ascii="Arial" w:hAnsi="Arial" w:cs="Arial"/>
          <w:i/>
          <w:iCs/>
          <w:sz w:val="18"/>
          <w:szCs w:val="18"/>
          <w:lang w:val="en-US"/>
        </w:rPr>
        <w:t>26.3</w:t>
      </w:r>
      <w:r w:rsidRPr="00894CFC">
        <w:rPr>
          <w:rFonts w:ascii="Arial" w:hAnsi="Arial" w:cs="Arial"/>
          <w:i/>
          <w:iCs/>
          <w:sz w:val="18"/>
          <w:szCs w:val="18"/>
          <w:lang w:val="en-US"/>
        </w:rPr>
        <w:tab/>
        <w:t>The lessor shall provide all reasonable assistance to the lessee for the prosecution of the application as set out in 26.1 and the maintenance thereof in terms of the 26.2”</w:t>
      </w:r>
    </w:p>
    <w:p w14:paraId="343A2B4E" w14:textId="77777777" w:rsidR="0000345A" w:rsidRPr="0000345A" w:rsidRDefault="0000345A" w:rsidP="0000345A">
      <w:pPr>
        <w:spacing w:line="240" w:lineRule="auto"/>
        <w:ind w:left="2880" w:hanging="720"/>
        <w:jc w:val="both"/>
        <w:rPr>
          <w:rFonts w:ascii="Arial" w:hAnsi="Arial" w:cs="Arial"/>
          <w:i/>
          <w:iCs/>
          <w:sz w:val="18"/>
          <w:szCs w:val="18"/>
          <w:lang w:val="en-US"/>
        </w:rPr>
      </w:pPr>
    </w:p>
    <w:p w14:paraId="435856CA" w14:textId="3B7702A3" w:rsidR="001F5B8C" w:rsidRPr="006021FC" w:rsidRDefault="0000345A" w:rsidP="001F5B8C">
      <w:pPr>
        <w:spacing w:line="480" w:lineRule="auto"/>
        <w:jc w:val="both"/>
        <w:rPr>
          <w:rFonts w:ascii="Arial" w:hAnsi="Arial" w:cs="Arial"/>
          <w:b/>
          <w:bCs/>
          <w:sz w:val="20"/>
          <w:szCs w:val="20"/>
          <w:lang w:val="en-US"/>
        </w:rPr>
      </w:pPr>
      <w:r>
        <w:rPr>
          <w:rFonts w:ascii="Arial" w:hAnsi="Arial" w:cs="Arial"/>
          <w:sz w:val="24"/>
          <w:szCs w:val="24"/>
          <w:lang w:val="en-US"/>
        </w:rPr>
        <w:t>[</w:t>
      </w:r>
      <w:r w:rsidR="005942E4">
        <w:rPr>
          <w:rFonts w:ascii="Arial" w:hAnsi="Arial" w:cs="Arial"/>
          <w:sz w:val="24"/>
          <w:szCs w:val="24"/>
          <w:lang w:val="en-US"/>
        </w:rPr>
        <w:t>7</w:t>
      </w:r>
      <w:r w:rsidR="00647040">
        <w:rPr>
          <w:rFonts w:ascii="Arial" w:hAnsi="Arial" w:cs="Arial"/>
          <w:sz w:val="24"/>
          <w:szCs w:val="24"/>
          <w:lang w:val="en-US"/>
        </w:rPr>
        <w:t xml:space="preserve">] </w:t>
      </w:r>
      <w:r w:rsidR="00647040">
        <w:rPr>
          <w:rFonts w:ascii="Arial" w:hAnsi="Arial" w:cs="Arial"/>
          <w:sz w:val="24"/>
          <w:szCs w:val="24"/>
          <w:lang w:val="en-US"/>
        </w:rPr>
        <w:tab/>
      </w:r>
      <w:r w:rsidR="001F5B8C">
        <w:rPr>
          <w:rFonts w:ascii="Arial" w:hAnsi="Arial" w:cs="Arial"/>
          <w:sz w:val="24"/>
          <w:szCs w:val="24"/>
          <w:lang w:val="en-US"/>
        </w:rPr>
        <w:t xml:space="preserve">Buntibiz alleged in paragraphs 11 to 17 as </w:t>
      </w:r>
      <w:r w:rsidR="00647040">
        <w:rPr>
          <w:rFonts w:ascii="Arial" w:hAnsi="Arial" w:cs="Arial"/>
          <w:sz w:val="24"/>
          <w:szCs w:val="24"/>
          <w:lang w:val="en-US"/>
        </w:rPr>
        <w:t>follows:</w:t>
      </w:r>
      <w:r w:rsidR="001F5B8C">
        <w:rPr>
          <w:rFonts w:ascii="Arial" w:hAnsi="Arial" w:cs="Arial"/>
          <w:sz w:val="24"/>
          <w:szCs w:val="24"/>
          <w:lang w:val="en-US"/>
        </w:rPr>
        <w:t xml:space="preserve"> </w:t>
      </w:r>
    </w:p>
    <w:p w14:paraId="20673A13" w14:textId="72710B94" w:rsidR="001F5B8C" w:rsidRPr="006021FC" w:rsidRDefault="001F5B8C" w:rsidP="00647040">
      <w:pPr>
        <w:ind w:left="2160" w:hanging="720"/>
        <w:jc w:val="both"/>
        <w:rPr>
          <w:rFonts w:ascii="Arial" w:hAnsi="Arial" w:cs="Arial"/>
          <w:i/>
          <w:iCs/>
          <w:sz w:val="20"/>
          <w:szCs w:val="20"/>
          <w:lang w:val="en-US"/>
        </w:rPr>
      </w:pPr>
      <w:r w:rsidRPr="006021FC">
        <w:rPr>
          <w:rFonts w:ascii="Arial" w:hAnsi="Arial" w:cs="Arial"/>
          <w:i/>
          <w:iCs/>
          <w:sz w:val="20"/>
          <w:szCs w:val="20"/>
          <w:lang w:val="en-US"/>
        </w:rPr>
        <w:t>“11.</w:t>
      </w:r>
      <w:r w:rsidR="00647040">
        <w:rPr>
          <w:rFonts w:ascii="Arial" w:hAnsi="Arial" w:cs="Arial"/>
          <w:i/>
          <w:iCs/>
          <w:sz w:val="20"/>
          <w:szCs w:val="20"/>
          <w:lang w:val="en-US"/>
        </w:rPr>
        <w:tab/>
      </w:r>
      <w:r w:rsidRPr="006021FC">
        <w:rPr>
          <w:rFonts w:ascii="Arial" w:hAnsi="Arial" w:cs="Arial"/>
          <w:i/>
          <w:iCs/>
          <w:sz w:val="20"/>
          <w:szCs w:val="20"/>
          <w:lang w:val="en-US"/>
        </w:rPr>
        <w:t>Plaintiff applied for a retail licence in terms of the Petroleum Products Act 120 of 1977.</w:t>
      </w:r>
    </w:p>
    <w:p w14:paraId="332BA51F" w14:textId="225463DA" w:rsidR="001F5B8C" w:rsidRPr="006021FC" w:rsidRDefault="001F5B8C" w:rsidP="00647040">
      <w:pPr>
        <w:ind w:left="2160" w:hanging="720"/>
        <w:jc w:val="both"/>
        <w:rPr>
          <w:rFonts w:ascii="Arial" w:hAnsi="Arial" w:cs="Arial"/>
          <w:i/>
          <w:iCs/>
          <w:sz w:val="20"/>
          <w:szCs w:val="20"/>
          <w:lang w:val="en-US"/>
        </w:rPr>
      </w:pPr>
      <w:r w:rsidRPr="006021FC">
        <w:rPr>
          <w:rFonts w:ascii="Arial" w:hAnsi="Arial" w:cs="Arial"/>
          <w:i/>
          <w:iCs/>
          <w:sz w:val="20"/>
          <w:szCs w:val="20"/>
          <w:lang w:val="en-US"/>
        </w:rPr>
        <w:t>12.</w:t>
      </w:r>
      <w:r w:rsidRPr="006021FC">
        <w:rPr>
          <w:rFonts w:ascii="Arial" w:hAnsi="Arial" w:cs="Arial"/>
          <w:i/>
          <w:iCs/>
          <w:sz w:val="20"/>
          <w:szCs w:val="20"/>
          <w:lang w:val="en-US"/>
        </w:rPr>
        <w:tab/>
        <w:t>A temporary licence was issued, which allowed the Plaintiff to trade pending the determination of the application for the retail licence.</w:t>
      </w:r>
    </w:p>
    <w:p w14:paraId="2C6A7546" w14:textId="77777777" w:rsidR="001F5B8C" w:rsidRPr="006021FC" w:rsidRDefault="001F5B8C" w:rsidP="00647040">
      <w:pPr>
        <w:ind w:left="720" w:firstLine="720"/>
        <w:jc w:val="both"/>
        <w:rPr>
          <w:rFonts w:ascii="Arial" w:hAnsi="Arial" w:cs="Arial"/>
          <w:i/>
          <w:iCs/>
          <w:sz w:val="20"/>
          <w:szCs w:val="20"/>
          <w:lang w:val="en-US"/>
        </w:rPr>
      </w:pPr>
      <w:r w:rsidRPr="006021FC">
        <w:rPr>
          <w:rFonts w:ascii="Arial" w:hAnsi="Arial" w:cs="Arial"/>
          <w:i/>
          <w:iCs/>
          <w:sz w:val="20"/>
          <w:szCs w:val="20"/>
          <w:lang w:val="en-US"/>
        </w:rPr>
        <w:t>13.</w:t>
      </w:r>
      <w:r w:rsidRPr="006021FC">
        <w:rPr>
          <w:rFonts w:ascii="Arial" w:hAnsi="Arial" w:cs="Arial"/>
          <w:i/>
          <w:iCs/>
          <w:sz w:val="20"/>
          <w:szCs w:val="20"/>
          <w:lang w:val="en-US"/>
        </w:rPr>
        <w:tab/>
        <w:t>Plaintiff’s application for the retail licence was refused on 13 December 2019.</w:t>
      </w:r>
    </w:p>
    <w:p w14:paraId="0B21BE32" w14:textId="77777777" w:rsidR="001F5B8C" w:rsidRPr="006021FC" w:rsidRDefault="001F5B8C" w:rsidP="00647040">
      <w:pPr>
        <w:ind w:left="2160" w:hanging="720"/>
        <w:jc w:val="both"/>
        <w:rPr>
          <w:rFonts w:ascii="Arial" w:hAnsi="Arial" w:cs="Arial"/>
          <w:i/>
          <w:iCs/>
          <w:sz w:val="20"/>
          <w:szCs w:val="20"/>
          <w:lang w:val="en-US"/>
        </w:rPr>
      </w:pPr>
      <w:r w:rsidRPr="006021FC">
        <w:rPr>
          <w:rFonts w:ascii="Arial" w:hAnsi="Arial" w:cs="Arial"/>
          <w:i/>
          <w:iCs/>
          <w:sz w:val="20"/>
          <w:szCs w:val="20"/>
          <w:lang w:val="en-US"/>
        </w:rPr>
        <w:t>14.</w:t>
      </w:r>
      <w:r w:rsidRPr="006021FC">
        <w:rPr>
          <w:rFonts w:ascii="Arial" w:hAnsi="Arial" w:cs="Arial"/>
          <w:i/>
          <w:iCs/>
          <w:sz w:val="20"/>
          <w:szCs w:val="20"/>
          <w:lang w:val="en-US"/>
        </w:rPr>
        <w:tab/>
        <w:t>Plaintiff appealed the refusal of the retail licence in terms of section 12A(1) of the Act.</w:t>
      </w:r>
    </w:p>
    <w:p w14:paraId="288A4DBF" w14:textId="77777777" w:rsidR="001F5B8C" w:rsidRPr="006021FC" w:rsidRDefault="001F5B8C" w:rsidP="00647040">
      <w:pPr>
        <w:ind w:left="720" w:firstLine="720"/>
        <w:jc w:val="both"/>
        <w:rPr>
          <w:rFonts w:ascii="Arial" w:hAnsi="Arial" w:cs="Arial"/>
          <w:i/>
          <w:iCs/>
          <w:sz w:val="20"/>
          <w:szCs w:val="20"/>
          <w:lang w:val="en-US"/>
        </w:rPr>
      </w:pPr>
      <w:r w:rsidRPr="006021FC">
        <w:rPr>
          <w:rFonts w:ascii="Arial" w:hAnsi="Arial" w:cs="Arial"/>
          <w:i/>
          <w:iCs/>
          <w:sz w:val="20"/>
          <w:szCs w:val="20"/>
          <w:lang w:val="en-US"/>
        </w:rPr>
        <w:t>15.</w:t>
      </w:r>
      <w:r w:rsidRPr="006021FC">
        <w:rPr>
          <w:rFonts w:ascii="Arial" w:hAnsi="Arial" w:cs="Arial"/>
          <w:i/>
          <w:iCs/>
          <w:sz w:val="20"/>
          <w:szCs w:val="20"/>
          <w:lang w:val="en-US"/>
        </w:rPr>
        <w:tab/>
        <w:t>The Minister dismissed the appeal on 12 December 2020.</w:t>
      </w:r>
    </w:p>
    <w:p w14:paraId="5CD55A19" w14:textId="51CB0148" w:rsidR="001F5B8C" w:rsidRPr="006021FC" w:rsidRDefault="001F5B8C" w:rsidP="00647040">
      <w:pPr>
        <w:ind w:left="2160" w:hanging="720"/>
        <w:jc w:val="both"/>
        <w:rPr>
          <w:rFonts w:ascii="Arial" w:hAnsi="Arial" w:cs="Arial"/>
          <w:i/>
          <w:iCs/>
          <w:sz w:val="20"/>
          <w:szCs w:val="20"/>
          <w:lang w:val="en-US"/>
        </w:rPr>
      </w:pPr>
      <w:r w:rsidRPr="006021FC">
        <w:rPr>
          <w:rFonts w:ascii="Arial" w:hAnsi="Arial" w:cs="Arial"/>
          <w:i/>
          <w:iCs/>
          <w:sz w:val="20"/>
          <w:szCs w:val="20"/>
          <w:lang w:val="en-US"/>
        </w:rPr>
        <w:lastRenderedPageBreak/>
        <w:t>16.</w:t>
      </w:r>
      <w:r w:rsidRPr="006021FC">
        <w:rPr>
          <w:rFonts w:ascii="Arial" w:hAnsi="Arial" w:cs="Arial"/>
          <w:i/>
          <w:iCs/>
          <w:sz w:val="20"/>
          <w:szCs w:val="20"/>
          <w:lang w:val="en-US"/>
        </w:rPr>
        <w:tab/>
        <w:t>On the dismissal of the appeal the tacit term pleaded above resulted in the sale agreement</w:t>
      </w:r>
      <w:r w:rsidRPr="0055182C">
        <w:rPr>
          <w:rFonts w:ascii="Arial" w:hAnsi="Arial" w:cs="Arial"/>
          <w:i/>
          <w:iCs/>
          <w:color w:val="000000" w:themeColor="text1"/>
          <w:sz w:val="20"/>
          <w:szCs w:val="20"/>
          <w:lang w:val="en-US"/>
        </w:rPr>
        <w:t xml:space="preserve"> became </w:t>
      </w:r>
      <w:r w:rsidRPr="006021FC">
        <w:rPr>
          <w:rFonts w:ascii="Arial" w:hAnsi="Arial" w:cs="Arial"/>
          <w:i/>
          <w:iCs/>
          <w:sz w:val="20"/>
          <w:szCs w:val="20"/>
          <w:lang w:val="en-US"/>
        </w:rPr>
        <w:t xml:space="preserve">null and void of no force and effect and Defendant being required </w:t>
      </w:r>
      <w:r w:rsidRPr="0055182C">
        <w:rPr>
          <w:rFonts w:ascii="Arial" w:hAnsi="Arial" w:cs="Arial"/>
          <w:i/>
          <w:iCs/>
          <w:color w:val="000000" w:themeColor="text1"/>
          <w:sz w:val="20"/>
          <w:szCs w:val="20"/>
          <w:lang w:val="en-US"/>
        </w:rPr>
        <w:t xml:space="preserve">to </w:t>
      </w:r>
      <w:r w:rsidRPr="006021FC">
        <w:rPr>
          <w:rFonts w:ascii="Arial" w:hAnsi="Arial" w:cs="Arial"/>
          <w:i/>
          <w:iCs/>
          <w:sz w:val="20"/>
          <w:szCs w:val="20"/>
          <w:lang w:val="en-US"/>
        </w:rPr>
        <w:t>refund the purchase price.</w:t>
      </w:r>
    </w:p>
    <w:p w14:paraId="7FEE5662" w14:textId="747680FC" w:rsidR="001F5B8C" w:rsidRPr="006021FC" w:rsidRDefault="001F5B8C" w:rsidP="00647040">
      <w:pPr>
        <w:ind w:left="2160" w:hanging="720"/>
        <w:jc w:val="both"/>
        <w:rPr>
          <w:rFonts w:ascii="Arial" w:hAnsi="Arial" w:cs="Arial"/>
          <w:i/>
          <w:iCs/>
          <w:sz w:val="20"/>
          <w:szCs w:val="20"/>
          <w:lang w:val="en-US"/>
        </w:rPr>
      </w:pPr>
      <w:r w:rsidRPr="006021FC">
        <w:rPr>
          <w:rFonts w:ascii="Arial" w:hAnsi="Arial" w:cs="Arial"/>
          <w:i/>
          <w:iCs/>
          <w:sz w:val="20"/>
          <w:szCs w:val="20"/>
          <w:lang w:val="en-US"/>
        </w:rPr>
        <w:t>17.</w:t>
      </w:r>
      <w:r w:rsidRPr="006021FC">
        <w:rPr>
          <w:rFonts w:ascii="Arial" w:hAnsi="Arial" w:cs="Arial"/>
          <w:i/>
          <w:iCs/>
          <w:sz w:val="20"/>
          <w:szCs w:val="20"/>
          <w:lang w:val="en-US"/>
        </w:rPr>
        <w:tab/>
        <w:t xml:space="preserve">On 12 January 2021 plaintiff informed Quest Petroleum (Pty) Ltd of the dismissal of the </w:t>
      </w:r>
      <w:r w:rsidR="0000345A">
        <w:rPr>
          <w:rFonts w:ascii="Arial" w:hAnsi="Arial" w:cs="Arial"/>
          <w:i/>
          <w:iCs/>
          <w:sz w:val="20"/>
          <w:szCs w:val="20"/>
          <w:lang w:val="en-US"/>
        </w:rPr>
        <w:tab/>
      </w:r>
      <w:r w:rsidRPr="006021FC">
        <w:rPr>
          <w:rFonts w:ascii="Arial" w:hAnsi="Arial" w:cs="Arial"/>
          <w:i/>
          <w:iCs/>
          <w:sz w:val="20"/>
          <w:szCs w:val="20"/>
          <w:lang w:val="en-US"/>
        </w:rPr>
        <w:t>appeal and made demand for the repayment of the purchase price, being R2 500 000.00 and tendered the return of the business.</w:t>
      </w:r>
    </w:p>
    <w:p w14:paraId="7574DD9E" w14:textId="48D7E35D" w:rsidR="001F5B8C" w:rsidRPr="006021FC" w:rsidRDefault="001F5B8C" w:rsidP="00647040">
      <w:pPr>
        <w:ind w:left="2880" w:hanging="720"/>
        <w:jc w:val="both"/>
        <w:rPr>
          <w:rFonts w:ascii="Arial" w:hAnsi="Arial" w:cs="Arial"/>
          <w:i/>
          <w:iCs/>
          <w:sz w:val="20"/>
          <w:szCs w:val="20"/>
          <w:lang w:val="en-US"/>
        </w:rPr>
      </w:pPr>
      <w:r w:rsidRPr="006021FC">
        <w:rPr>
          <w:rFonts w:ascii="Arial" w:hAnsi="Arial" w:cs="Arial"/>
          <w:i/>
          <w:iCs/>
          <w:sz w:val="20"/>
          <w:szCs w:val="20"/>
          <w:lang w:val="en-US"/>
        </w:rPr>
        <w:t>17.1</w:t>
      </w:r>
      <w:r w:rsidRPr="006021FC">
        <w:rPr>
          <w:rFonts w:ascii="Arial" w:hAnsi="Arial" w:cs="Arial"/>
          <w:i/>
          <w:iCs/>
          <w:sz w:val="20"/>
          <w:szCs w:val="20"/>
          <w:lang w:val="en-US"/>
        </w:rPr>
        <w:tab/>
        <w:t>This letter was addressed to and received by attorneys acting for bot</w:t>
      </w:r>
      <w:r>
        <w:rPr>
          <w:rFonts w:ascii="Arial" w:hAnsi="Arial" w:cs="Arial"/>
          <w:i/>
          <w:iCs/>
          <w:sz w:val="20"/>
          <w:szCs w:val="20"/>
          <w:lang w:val="en-US"/>
        </w:rPr>
        <w:t>h</w:t>
      </w:r>
      <w:r w:rsidRPr="006021FC">
        <w:rPr>
          <w:rFonts w:ascii="Arial" w:hAnsi="Arial" w:cs="Arial"/>
          <w:i/>
          <w:iCs/>
          <w:sz w:val="20"/>
          <w:szCs w:val="20"/>
          <w:lang w:val="en-US"/>
        </w:rPr>
        <w:t xml:space="preserve"> defendant and Quest Petroleum (Pty) Ltd.</w:t>
      </w:r>
    </w:p>
    <w:p w14:paraId="1F66E585" w14:textId="6EF23E4A" w:rsidR="001F5B8C" w:rsidRPr="006021FC" w:rsidRDefault="001F5B8C" w:rsidP="001F5B8C">
      <w:pPr>
        <w:ind w:left="720" w:hanging="720"/>
        <w:jc w:val="both"/>
        <w:rPr>
          <w:rFonts w:ascii="Arial" w:hAnsi="Arial" w:cs="Arial"/>
          <w:i/>
          <w:iCs/>
          <w:sz w:val="20"/>
          <w:szCs w:val="20"/>
          <w:lang w:val="en-US"/>
        </w:rPr>
      </w:pPr>
      <w:r w:rsidRPr="006021FC">
        <w:rPr>
          <w:rFonts w:ascii="Arial" w:hAnsi="Arial" w:cs="Arial"/>
          <w:i/>
          <w:iCs/>
          <w:sz w:val="20"/>
          <w:szCs w:val="20"/>
          <w:lang w:val="en-US"/>
        </w:rPr>
        <w:t xml:space="preserve"> </w:t>
      </w:r>
      <w:r w:rsidRPr="006021FC">
        <w:rPr>
          <w:rFonts w:ascii="Arial" w:hAnsi="Arial" w:cs="Arial"/>
          <w:i/>
          <w:iCs/>
          <w:sz w:val="20"/>
          <w:szCs w:val="20"/>
          <w:lang w:val="en-US"/>
        </w:rPr>
        <w:tab/>
      </w:r>
      <w:r w:rsidR="00647040">
        <w:rPr>
          <w:rFonts w:ascii="Arial" w:hAnsi="Arial" w:cs="Arial"/>
          <w:i/>
          <w:iCs/>
          <w:sz w:val="20"/>
          <w:szCs w:val="20"/>
          <w:lang w:val="en-US"/>
        </w:rPr>
        <w:tab/>
      </w:r>
      <w:r w:rsidR="00647040">
        <w:rPr>
          <w:rFonts w:ascii="Arial" w:hAnsi="Arial" w:cs="Arial"/>
          <w:i/>
          <w:iCs/>
          <w:sz w:val="20"/>
          <w:szCs w:val="20"/>
          <w:lang w:val="en-US"/>
        </w:rPr>
        <w:tab/>
      </w:r>
      <w:r w:rsidRPr="006021FC">
        <w:rPr>
          <w:rFonts w:ascii="Arial" w:hAnsi="Arial" w:cs="Arial"/>
          <w:i/>
          <w:iCs/>
          <w:sz w:val="20"/>
          <w:szCs w:val="20"/>
          <w:lang w:val="en-US"/>
        </w:rPr>
        <w:t>17.2</w:t>
      </w:r>
      <w:r w:rsidRPr="006021FC">
        <w:rPr>
          <w:rFonts w:ascii="Arial" w:hAnsi="Arial" w:cs="Arial"/>
          <w:i/>
          <w:iCs/>
          <w:sz w:val="20"/>
          <w:szCs w:val="20"/>
          <w:lang w:val="en-US"/>
        </w:rPr>
        <w:tab/>
        <w:t>Such letter accordingly served as notice to and demand on defendant.”</w:t>
      </w:r>
    </w:p>
    <w:p w14:paraId="497FE12E" w14:textId="77777777" w:rsidR="001F5B8C" w:rsidRPr="006021FC" w:rsidRDefault="001F5B8C" w:rsidP="001F5B8C">
      <w:pPr>
        <w:ind w:left="720" w:hanging="720"/>
        <w:jc w:val="both"/>
        <w:rPr>
          <w:rFonts w:ascii="Arial" w:hAnsi="Arial" w:cs="Arial"/>
          <w:i/>
          <w:iCs/>
          <w:sz w:val="20"/>
          <w:szCs w:val="20"/>
          <w:lang w:val="en-US"/>
        </w:rPr>
      </w:pPr>
    </w:p>
    <w:p w14:paraId="49EE6E96" w14:textId="0BDA5E94" w:rsidR="001F5B8C" w:rsidRDefault="001F5B8C" w:rsidP="001F5B8C">
      <w:pPr>
        <w:ind w:left="720" w:hanging="720"/>
        <w:jc w:val="both"/>
        <w:rPr>
          <w:rFonts w:ascii="Arial" w:hAnsi="Arial" w:cs="Arial"/>
          <w:sz w:val="24"/>
          <w:szCs w:val="24"/>
          <w:lang w:val="en-US"/>
        </w:rPr>
      </w:pPr>
      <w:r>
        <w:rPr>
          <w:rFonts w:ascii="Arial" w:hAnsi="Arial" w:cs="Arial"/>
          <w:sz w:val="24"/>
          <w:szCs w:val="24"/>
          <w:lang w:val="en-US"/>
        </w:rPr>
        <w:t>[</w:t>
      </w:r>
      <w:r w:rsidR="005942E4">
        <w:rPr>
          <w:rFonts w:ascii="Arial" w:hAnsi="Arial" w:cs="Arial"/>
          <w:sz w:val="24"/>
          <w:szCs w:val="24"/>
          <w:lang w:val="en-US"/>
        </w:rPr>
        <w:t>8</w:t>
      </w:r>
      <w:r w:rsidR="00376109">
        <w:rPr>
          <w:rFonts w:ascii="Arial" w:hAnsi="Arial" w:cs="Arial"/>
          <w:sz w:val="24"/>
          <w:szCs w:val="24"/>
          <w:lang w:val="en-US"/>
        </w:rPr>
        <w:t xml:space="preserve">] </w:t>
      </w:r>
      <w:r w:rsidR="00376109">
        <w:rPr>
          <w:rFonts w:ascii="Arial" w:hAnsi="Arial" w:cs="Arial"/>
          <w:sz w:val="24"/>
          <w:szCs w:val="24"/>
          <w:lang w:val="en-US"/>
        </w:rPr>
        <w:tab/>
      </w:r>
      <w:r w:rsidRPr="001F5B8C">
        <w:rPr>
          <w:rFonts w:ascii="Arial" w:hAnsi="Arial" w:cs="Arial"/>
          <w:sz w:val="24"/>
          <w:szCs w:val="24"/>
          <w:lang w:val="en-US"/>
        </w:rPr>
        <w:t xml:space="preserve">Quest </w:t>
      </w:r>
      <w:r w:rsidR="0055182C">
        <w:rPr>
          <w:rFonts w:ascii="Arial" w:hAnsi="Arial" w:cs="Arial"/>
          <w:sz w:val="24"/>
          <w:szCs w:val="24"/>
          <w:lang w:val="en-US"/>
        </w:rPr>
        <w:t>Retail</w:t>
      </w:r>
      <w:r w:rsidRPr="001F5B8C">
        <w:rPr>
          <w:rFonts w:ascii="Arial" w:hAnsi="Arial" w:cs="Arial"/>
          <w:sz w:val="24"/>
          <w:szCs w:val="24"/>
          <w:lang w:val="en-US"/>
        </w:rPr>
        <w:t xml:space="preserve"> pleaded to the above allegations as follows: </w:t>
      </w:r>
    </w:p>
    <w:p w14:paraId="5B155844" w14:textId="3C24D2DA" w:rsidR="001F5B8C" w:rsidRPr="006021FC" w:rsidRDefault="001F5B8C" w:rsidP="001F5B8C">
      <w:pPr>
        <w:ind w:left="720" w:hanging="720"/>
        <w:jc w:val="both"/>
        <w:rPr>
          <w:rFonts w:ascii="Arial" w:hAnsi="Arial" w:cs="Arial"/>
          <w:b/>
          <w:bCs/>
          <w:i/>
          <w:iCs/>
          <w:sz w:val="20"/>
          <w:szCs w:val="20"/>
          <w:u w:val="single"/>
          <w:lang w:val="en-US"/>
        </w:rPr>
      </w:pPr>
      <w:r w:rsidRPr="006021FC">
        <w:rPr>
          <w:rFonts w:ascii="Arial" w:hAnsi="Arial" w:cs="Arial"/>
          <w:i/>
          <w:iCs/>
          <w:sz w:val="20"/>
          <w:szCs w:val="20"/>
          <w:lang w:val="en-US"/>
        </w:rPr>
        <w:tab/>
      </w:r>
      <w:r w:rsidR="00647040">
        <w:rPr>
          <w:rFonts w:ascii="Arial" w:hAnsi="Arial" w:cs="Arial"/>
          <w:i/>
          <w:iCs/>
          <w:sz w:val="20"/>
          <w:szCs w:val="20"/>
          <w:lang w:val="en-US"/>
        </w:rPr>
        <w:tab/>
      </w:r>
      <w:r w:rsidRPr="006021FC">
        <w:rPr>
          <w:rFonts w:ascii="Arial" w:hAnsi="Arial" w:cs="Arial"/>
          <w:i/>
          <w:iCs/>
          <w:sz w:val="20"/>
          <w:szCs w:val="20"/>
          <w:lang w:val="en-US"/>
        </w:rPr>
        <w:t>“6.</w:t>
      </w:r>
      <w:r w:rsidRPr="006021FC">
        <w:rPr>
          <w:rFonts w:ascii="Arial" w:hAnsi="Arial" w:cs="Arial"/>
          <w:i/>
          <w:iCs/>
          <w:sz w:val="20"/>
          <w:szCs w:val="20"/>
          <w:lang w:val="en-US"/>
        </w:rPr>
        <w:tab/>
      </w:r>
      <w:r w:rsidRPr="006021FC">
        <w:rPr>
          <w:rFonts w:ascii="Arial" w:hAnsi="Arial" w:cs="Arial"/>
          <w:b/>
          <w:bCs/>
          <w:i/>
          <w:iCs/>
          <w:sz w:val="20"/>
          <w:szCs w:val="20"/>
          <w:u w:val="single"/>
          <w:lang w:val="en-US"/>
        </w:rPr>
        <w:t>AD PARAGRAPHS 11 TO 15 THEREOF</w:t>
      </w:r>
    </w:p>
    <w:p w14:paraId="5CE8187F" w14:textId="77777777" w:rsidR="001F5B8C" w:rsidRPr="006021FC" w:rsidRDefault="001F5B8C" w:rsidP="00647040">
      <w:pPr>
        <w:ind w:left="2880" w:hanging="720"/>
        <w:jc w:val="both"/>
        <w:rPr>
          <w:rFonts w:ascii="Arial" w:hAnsi="Arial" w:cs="Arial"/>
          <w:i/>
          <w:iCs/>
          <w:sz w:val="20"/>
          <w:szCs w:val="20"/>
          <w:lang w:val="en-US"/>
        </w:rPr>
      </w:pPr>
      <w:r w:rsidRPr="006021FC">
        <w:rPr>
          <w:rFonts w:ascii="Arial" w:hAnsi="Arial" w:cs="Arial"/>
          <w:i/>
          <w:iCs/>
          <w:sz w:val="20"/>
          <w:szCs w:val="20"/>
          <w:lang w:val="en-US"/>
        </w:rPr>
        <w:t>6.1</w:t>
      </w:r>
      <w:r w:rsidRPr="006021FC">
        <w:rPr>
          <w:rFonts w:ascii="Arial" w:hAnsi="Arial" w:cs="Arial"/>
          <w:i/>
          <w:iCs/>
          <w:sz w:val="20"/>
          <w:szCs w:val="20"/>
          <w:lang w:val="en-US"/>
        </w:rPr>
        <w:tab/>
        <w:t>The Defendant has been advised by the Plaintiff that it applied for a retail licence, that a temporary licence was issued allowing the Plaintiff to trade pending the determination of the application for a retail licence, that the application was refused, that the Plaintiff appealed the refusal of the licence, and that the Minister dismissed the appeal.</w:t>
      </w:r>
    </w:p>
    <w:p w14:paraId="4F009A46" w14:textId="77777777" w:rsidR="001F5B8C" w:rsidRPr="006021FC" w:rsidRDefault="001F5B8C" w:rsidP="00647040">
      <w:pPr>
        <w:ind w:left="2880" w:hanging="720"/>
        <w:jc w:val="both"/>
        <w:rPr>
          <w:rFonts w:ascii="Arial" w:hAnsi="Arial" w:cs="Arial"/>
          <w:i/>
          <w:iCs/>
          <w:sz w:val="20"/>
          <w:szCs w:val="20"/>
          <w:lang w:val="en-US"/>
        </w:rPr>
      </w:pPr>
      <w:r w:rsidRPr="006021FC">
        <w:rPr>
          <w:rFonts w:ascii="Arial" w:hAnsi="Arial" w:cs="Arial"/>
          <w:i/>
          <w:iCs/>
          <w:sz w:val="20"/>
          <w:szCs w:val="20"/>
          <w:lang w:val="en-US"/>
        </w:rPr>
        <w:t>6.2</w:t>
      </w:r>
      <w:r w:rsidRPr="006021FC">
        <w:rPr>
          <w:rFonts w:ascii="Arial" w:hAnsi="Arial" w:cs="Arial"/>
          <w:i/>
          <w:iCs/>
          <w:sz w:val="20"/>
          <w:szCs w:val="20"/>
          <w:lang w:val="en-US"/>
        </w:rPr>
        <w:tab/>
        <w:t>The defendant has not yet had sight of the application, the decision thereon, the appeal or the reasons given by the Minister for the dismissal of the appeal (or the decision), and thus makes no admissions concerning the aforegoing, and the Plaintiff is put to the proof thereof.</w:t>
      </w:r>
    </w:p>
    <w:p w14:paraId="652B5CF9" w14:textId="6BB9BBC7" w:rsidR="001F5B8C" w:rsidRPr="006021FC" w:rsidRDefault="001F5B8C" w:rsidP="001F5B8C">
      <w:pPr>
        <w:jc w:val="both"/>
        <w:rPr>
          <w:rFonts w:ascii="Arial" w:hAnsi="Arial" w:cs="Arial"/>
          <w:b/>
          <w:bCs/>
          <w:i/>
          <w:iCs/>
          <w:sz w:val="20"/>
          <w:szCs w:val="20"/>
          <w:u w:val="single"/>
          <w:lang w:val="en-US"/>
        </w:rPr>
      </w:pPr>
      <w:r w:rsidRPr="006021FC">
        <w:rPr>
          <w:rFonts w:ascii="Arial" w:hAnsi="Arial" w:cs="Arial"/>
          <w:i/>
          <w:iCs/>
          <w:sz w:val="20"/>
          <w:szCs w:val="20"/>
          <w:lang w:val="en-US"/>
        </w:rPr>
        <w:tab/>
      </w:r>
      <w:r w:rsidR="00647040">
        <w:rPr>
          <w:rFonts w:ascii="Arial" w:hAnsi="Arial" w:cs="Arial"/>
          <w:i/>
          <w:iCs/>
          <w:sz w:val="20"/>
          <w:szCs w:val="20"/>
          <w:lang w:val="en-US"/>
        </w:rPr>
        <w:tab/>
      </w:r>
      <w:r w:rsidRPr="006021FC">
        <w:rPr>
          <w:rFonts w:ascii="Arial" w:hAnsi="Arial" w:cs="Arial"/>
          <w:i/>
          <w:iCs/>
          <w:sz w:val="20"/>
          <w:szCs w:val="20"/>
          <w:lang w:val="en-US"/>
        </w:rPr>
        <w:t>7.</w:t>
      </w:r>
      <w:r w:rsidRPr="006021FC">
        <w:rPr>
          <w:rFonts w:ascii="Arial" w:hAnsi="Arial" w:cs="Arial"/>
          <w:i/>
          <w:iCs/>
          <w:sz w:val="20"/>
          <w:szCs w:val="20"/>
          <w:lang w:val="en-US"/>
        </w:rPr>
        <w:tab/>
      </w:r>
      <w:r w:rsidRPr="006021FC">
        <w:rPr>
          <w:rFonts w:ascii="Arial" w:hAnsi="Arial" w:cs="Arial"/>
          <w:b/>
          <w:bCs/>
          <w:i/>
          <w:iCs/>
          <w:sz w:val="20"/>
          <w:szCs w:val="20"/>
          <w:u w:val="single"/>
          <w:lang w:val="en-US"/>
        </w:rPr>
        <w:t>AD PARAGRAPH 16 THEREOF</w:t>
      </w:r>
    </w:p>
    <w:p w14:paraId="4B9AABBA" w14:textId="4F659F2D" w:rsidR="001F5B8C" w:rsidRPr="006021FC" w:rsidRDefault="001F5B8C" w:rsidP="001F5B8C">
      <w:pPr>
        <w:jc w:val="both"/>
        <w:rPr>
          <w:rFonts w:ascii="Arial" w:hAnsi="Arial" w:cs="Arial"/>
          <w:i/>
          <w:iCs/>
          <w:sz w:val="20"/>
          <w:szCs w:val="20"/>
          <w:lang w:val="en-US"/>
        </w:rPr>
      </w:pPr>
      <w:r w:rsidRPr="006021FC">
        <w:rPr>
          <w:rFonts w:ascii="Arial" w:hAnsi="Arial" w:cs="Arial"/>
          <w:i/>
          <w:iCs/>
          <w:sz w:val="20"/>
          <w:szCs w:val="20"/>
          <w:lang w:val="en-US"/>
        </w:rPr>
        <w:tab/>
      </w:r>
      <w:r w:rsidRPr="006021FC">
        <w:rPr>
          <w:rFonts w:ascii="Arial" w:hAnsi="Arial" w:cs="Arial"/>
          <w:i/>
          <w:iCs/>
          <w:sz w:val="20"/>
          <w:szCs w:val="20"/>
          <w:lang w:val="en-US"/>
        </w:rPr>
        <w:tab/>
      </w:r>
      <w:r w:rsidR="00647040">
        <w:rPr>
          <w:rFonts w:ascii="Arial" w:hAnsi="Arial" w:cs="Arial"/>
          <w:i/>
          <w:iCs/>
          <w:sz w:val="20"/>
          <w:szCs w:val="20"/>
          <w:lang w:val="en-US"/>
        </w:rPr>
        <w:tab/>
      </w:r>
      <w:r w:rsidRPr="006021FC">
        <w:rPr>
          <w:rFonts w:ascii="Arial" w:hAnsi="Arial" w:cs="Arial"/>
          <w:i/>
          <w:iCs/>
          <w:sz w:val="20"/>
          <w:szCs w:val="20"/>
          <w:lang w:val="en-US"/>
        </w:rPr>
        <w:t>7.1</w:t>
      </w:r>
      <w:r w:rsidRPr="006021FC">
        <w:rPr>
          <w:rFonts w:ascii="Arial" w:hAnsi="Arial" w:cs="Arial"/>
          <w:i/>
          <w:iCs/>
          <w:sz w:val="20"/>
          <w:szCs w:val="20"/>
          <w:lang w:val="en-US"/>
        </w:rPr>
        <w:tab/>
        <w:t>These averments are denied.</w:t>
      </w:r>
    </w:p>
    <w:p w14:paraId="07BACE4C" w14:textId="77777777" w:rsidR="001F5B8C" w:rsidRPr="006021FC" w:rsidRDefault="001F5B8C" w:rsidP="00647040">
      <w:pPr>
        <w:ind w:left="2880" w:hanging="720"/>
        <w:jc w:val="both"/>
        <w:rPr>
          <w:rFonts w:ascii="Arial" w:hAnsi="Arial" w:cs="Arial"/>
          <w:i/>
          <w:iCs/>
          <w:sz w:val="20"/>
          <w:szCs w:val="20"/>
          <w:lang w:val="en-US"/>
        </w:rPr>
      </w:pPr>
      <w:r w:rsidRPr="006021FC">
        <w:rPr>
          <w:rFonts w:ascii="Arial" w:hAnsi="Arial" w:cs="Arial"/>
          <w:i/>
          <w:iCs/>
          <w:sz w:val="20"/>
          <w:szCs w:val="20"/>
          <w:lang w:val="en-US"/>
        </w:rPr>
        <w:t>7.2</w:t>
      </w:r>
      <w:r w:rsidRPr="006021FC">
        <w:rPr>
          <w:rFonts w:ascii="Arial" w:hAnsi="Arial" w:cs="Arial"/>
          <w:i/>
          <w:iCs/>
          <w:sz w:val="20"/>
          <w:szCs w:val="20"/>
          <w:lang w:val="en-US"/>
        </w:rPr>
        <w:tab/>
        <w:t>In the event that it is held that the Plaintiff proceeded as alleged in the paragraphs 11 to 15 of the particulars of claim, and that the Minister dismissed the appeal, and further that the tacit term pleaded by the Plaintiff applied to the sale agreement (or a tacit term having the effect pleaded), all of which is denied, then the Defendant pleads that such a tacit term would amount to a resolutive condition, and that the Plaintiff deliberately and intentionally frustrated the fulfilment of the condition, in one or more of the following respects:</w:t>
      </w:r>
    </w:p>
    <w:p w14:paraId="2488F747" w14:textId="77777777" w:rsidR="001F5B8C" w:rsidRPr="006021FC" w:rsidRDefault="001F5B8C" w:rsidP="001F5B8C">
      <w:pPr>
        <w:ind w:left="2880" w:hanging="720"/>
        <w:jc w:val="both"/>
        <w:rPr>
          <w:rFonts w:ascii="Arial" w:hAnsi="Arial" w:cs="Arial"/>
          <w:i/>
          <w:iCs/>
          <w:sz w:val="20"/>
          <w:szCs w:val="20"/>
          <w:lang w:val="en-US"/>
        </w:rPr>
      </w:pPr>
      <w:r w:rsidRPr="006021FC">
        <w:rPr>
          <w:rFonts w:ascii="Arial" w:hAnsi="Arial" w:cs="Arial"/>
          <w:i/>
          <w:iCs/>
          <w:sz w:val="20"/>
          <w:szCs w:val="20"/>
          <w:lang w:val="en-US"/>
        </w:rPr>
        <w:t>7.2.1</w:t>
      </w:r>
      <w:r w:rsidRPr="006021FC">
        <w:rPr>
          <w:rFonts w:ascii="Arial" w:hAnsi="Arial" w:cs="Arial"/>
          <w:i/>
          <w:iCs/>
          <w:sz w:val="20"/>
          <w:szCs w:val="20"/>
          <w:lang w:val="en-US"/>
        </w:rPr>
        <w:tab/>
        <w:t>The Plaintiff failed to present an application for a retail licence that met the requirements for the issue of such a licence; and/or</w:t>
      </w:r>
    </w:p>
    <w:p w14:paraId="35832514" w14:textId="77777777" w:rsidR="001F5B8C" w:rsidRPr="006021FC" w:rsidRDefault="001F5B8C" w:rsidP="001F5B8C">
      <w:pPr>
        <w:ind w:left="2880" w:hanging="720"/>
        <w:jc w:val="both"/>
        <w:rPr>
          <w:rFonts w:ascii="Arial" w:hAnsi="Arial" w:cs="Arial"/>
          <w:i/>
          <w:iCs/>
          <w:sz w:val="20"/>
          <w:szCs w:val="20"/>
          <w:lang w:val="en-US"/>
        </w:rPr>
      </w:pPr>
      <w:r w:rsidRPr="006021FC">
        <w:rPr>
          <w:rFonts w:ascii="Arial" w:hAnsi="Arial" w:cs="Arial"/>
          <w:i/>
          <w:iCs/>
          <w:sz w:val="20"/>
          <w:szCs w:val="20"/>
          <w:lang w:val="en-US"/>
        </w:rPr>
        <w:t>7.2.2</w:t>
      </w:r>
      <w:r w:rsidRPr="006021FC">
        <w:rPr>
          <w:rFonts w:ascii="Arial" w:hAnsi="Arial" w:cs="Arial"/>
          <w:i/>
          <w:iCs/>
          <w:sz w:val="20"/>
          <w:szCs w:val="20"/>
          <w:lang w:val="en-US"/>
        </w:rPr>
        <w:tab/>
        <w:t>The Plaintiff failed to submit and pursue an appeal which the Minister could and/or should have upheld; and/or</w:t>
      </w:r>
    </w:p>
    <w:p w14:paraId="03323248" w14:textId="77777777" w:rsidR="001F5B8C" w:rsidRPr="006021FC" w:rsidRDefault="001F5B8C" w:rsidP="001F5B8C">
      <w:pPr>
        <w:ind w:left="2880" w:hanging="720"/>
        <w:jc w:val="both"/>
        <w:rPr>
          <w:rFonts w:ascii="Arial" w:hAnsi="Arial" w:cs="Arial"/>
          <w:i/>
          <w:iCs/>
          <w:sz w:val="20"/>
          <w:szCs w:val="20"/>
          <w:lang w:val="en-US"/>
        </w:rPr>
      </w:pPr>
      <w:r w:rsidRPr="006021FC">
        <w:rPr>
          <w:rFonts w:ascii="Arial" w:hAnsi="Arial" w:cs="Arial"/>
          <w:i/>
          <w:iCs/>
          <w:sz w:val="20"/>
          <w:szCs w:val="20"/>
          <w:lang w:val="en-US"/>
        </w:rPr>
        <w:t>7.2.3</w:t>
      </w:r>
      <w:r w:rsidRPr="006021FC">
        <w:rPr>
          <w:rFonts w:ascii="Arial" w:hAnsi="Arial" w:cs="Arial"/>
          <w:i/>
          <w:iCs/>
          <w:sz w:val="20"/>
          <w:szCs w:val="20"/>
          <w:lang w:val="en-US"/>
        </w:rPr>
        <w:tab/>
        <w:t>The Plaintiff failed to pursue a review of the decision of the licencing authority, alternatively the Minister on appeal, alternatively both, in respect of their failure to issue the licence and/or uphold the appeal (whichever the case may be), and to pursue such review for purposes of securing a licence; and/or</w:t>
      </w:r>
    </w:p>
    <w:p w14:paraId="37BFA89B" w14:textId="77777777" w:rsidR="001F5B8C" w:rsidRPr="006021FC" w:rsidRDefault="001F5B8C" w:rsidP="001F5B8C">
      <w:pPr>
        <w:ind w:left="2880" w:hanging="720"/>
        <w:jc w:val="both"/>
        <w:rPr>
          <w:rFonts w:ascii="Arial" w:hAnsi="Arial" w:cs="Arial"/>
          <w:i/>
          <w:iCs/>
          <w:sz w:val="20"/>
          <w:szCs w:val="20"/>
          <w:lang w:val="en-US"/>
        </w:rPr>
      </w:pPr>
      <w:r w:rsidRPr="006021FC">
        <w:rPr>
          <w:rFonts w:ascii="Arial" w:hAnsi="Arial" w:cs="Arial"/>
          <w:i/>
          <w:iCs/>
          <w:sz w:val="20"/>
          <w:szCs w:val="20"/>
          <w:lang w:val="en-US"/>
        </w:rPr>
        <w:t>7.2.4</w:t>
      </w:r>
      <w:r w:rsidRPr="006021FC">
        <w:rPr>
          <w:rFonts w:ascii="Arial" w:hAnsi="Arial" w:cs="Arial"/>
          <w:i/>
          <w:iCs/>
          <w:sz w:val="20"/>
          <w:szCs w:val="20"/>
          <w:lang w:val="en-US"/>
        </w:rPr>
        <w:tab/>
        <w:t>The Plaintiff failed to amend its application and/or the terms thereof, and/or to institute a fresh application for retail licence, once any concerns of the licencing authority and/or the Minister on appeal, were known to it and to thereby ensure that a retail licence was granted; and/or</w:t>
      </w:r>
    </w:p>
    <w:p w14:paraId="4EB421D8" w14:textId="77777777" w:rsidR="001F5B8C" w:rsidRPr="006021FC" w:rsidRDefault="001F5B8C" w:rsidP="001F5B8C">
      <w:pPr>
        <w:ind w:left="2880" w:hanging="720"/>
        <w:jc w:val="both"/>
        <w:rPr>
          <w:rFonts w:ascii="Arial" w:hAnsi="Arial" w:cs="Arial"/>
          <w:i/>
          <w:iCs/>
          <w:sz w:val="20"/>
          <w:szCs w:val="20"/>
          <w:lang w:val="en-US"/>
        </w:rPr>
      </w:pPr>
      <w:r w:rsidRPr="006021FC">
        <w:rPr>
          <w:rFonts w:ascii="Arial" w:hAnsi="Arial" w:cs="Arial"/>
          <w:i/>
          <w:iCs/>
          <w:sz w:val="20"/>
          <w:szCs w:val="20"/>
          <w:lang w:val="en-US"/>
        </w:rPr>
        <w:lastRenderedPageBreak/>
        <w:t>7.2.5</w:t>
      </w:r>
      <w:r w:rsidRPr="006021FC">
        <w:rPr>
          <w:rFonts w:ascii="Arial" w:hAnsi="Arial" w:cs="Arial"/>
          <w:i/>
          <w:iCs/>
          <w:sz w:val="20"/>
          <w:szCs w:val="20"/>
          <w:lang w:val="en-US"/>
        </w:rPr>
        <w:tab/>
        <w:t>The Plaintiff failed to pursue its application and/or appeal with diligence and care, such as would have enabled it to succeed in its application for the issue of a retail licence.</w:t>
      </w:r>
    </w:p>
    <w:p w14:paraId="4B87473B" w14:textId="272D085D" w:rsidR="000C2AFA" w:rsidRPr="00061322" w:rsidRDefault="001F5B8C" w:rsidP="00061322">
      <w:pPr>
        <w:ind w:left="2160" w:hanging="720"/>
        <w:jc w:val="both"/>
        <w:rPr>
          <w:rFonts w:ascii="Arial" w:hAnsi="Arial" w:cs="Arial"/>
          <w:i/>
          <w:iCs/>
          <w:sz w:val="20"/>
          <w:szCs w:val="20"/>
          <w:lang w:val="en-US"/>
        </w:rPr>
      </w:pPr>
      <w:r w:rsidRPr="006021FC">
        <w:rPr>
          <w:rFonts w:ascii="Arial" w:hAnsi="Arial" w:cs="Arial"/>
          <w:i/>
          <w:iCs/>
          <w:sz w:val="20"/>
          <w:szCs w:val="20"/>
          <w:lang w:val="en-US"/>
        </w:rPr>
        <w:t>7.3</w:t>
      </w:r>
      <w:r w:rsidRPr="006021FC">
        <w:rPr>
          <w:rFonts w:ascii="Arial" w:hAnsi="Arial" w:cs="Arial"/>
          <w:i/>
          <w:iCs/>
          <w:sz w:val="20"/>
          <w:szCs w:val="20"/>
          <w:lang w:val="en-US"/>
        </w:rPr>
        <w:tab/>
        <w:t>In the event that it is held that the Plaintiff deliberately and intentionally prevented the fulfilment of the said condition in one or more of the respects set out above, the Defendant pleads that the condition shall be deemed to have been fulfilled as against the Plaintiff and the sale agreement will in such circumstances not be null and void or of no force and effect.”</w:t>
      </w:r>
      <w:r w:rsidRPr="006021FC">
        <w:rPr>
          <w:rFonts w:ascii="Arial" w:hAnsi="Arial" w:cs="Arial"/>
          <w:i/>
          <w:iCs/>
          <w:sz w:val="20"/>
          <w:szCs w:val="20"/>
          <w:lang w:val="en-US"/>
        </w:rPr>
        <w:tab/>
      </w:r>
    </w:p>
    <w:p w14:paraId="2E35CB3C" w14:textId="77777777" w:rsidR="00376109" w:rsidRDefault="003D745C" w:rsidP="00376109">
      <w:pPr>
        <w:spacing w:line="480" w:lineRule="auto"/>
        <w:ind w:left="720" w:hanging="720"/>
        <w:jc w:val="both"/>
        <w:rPr>
          <w:rFonts w:ascii="Arial" w:hAnsi="Arial" w:cs="Arial"/>
          <w:i/>
          <w:iCs/>
          <w:sz w:val="24"/>
          <w:szCs w:val="24"/>
          <w:lang w:val="en-US"/>
        </w:rPr>
      </w:pPr>
      <w:r>
        <w:rPr>
          <w:rFonts w:ascii="Arial" w:hAnsi="Arial" w:cs="Arial"/>
          <w:i/>
          <w:iCs/>
          <w:sz w:val="24"/>
          <w:szCs w:val="24"/>
          <w:lang w:val="en-US"/>
        </w:rPr>
        <w:t>Buntibiz</w:t>
      </w:r>
      <w:r w:rsidR="00351673" w:rsidRPr="00351673">
        <w:rPr>
          <w:rFonts w:ascii="Arial" w:hAnsi="Arial" w:cs="Arial"/>
          <w:i/>
          <w:iCs/>
          <w:sz w:val="24"/>
          <w:szCs w:val="24"/>
          <w:lang w:val="en-US"/>
        </w:rPr>
        <w:t xml:space="preserve"> </w:t>
      </w:r>
      <w:r w:rsidR="00351673" w:rsidRPr="00E05722">
        <w:rPr>
          <w:rFonts w:ascii="Arial" w:hAnsi="Arial" w:cs="Arial"/>
          <w:i/>
          <w:iCs/>
          <w:sz w:val="24"/>
          <w:szCs w:val="24"/>
          <w:lang w:val="en-US"/>
        </w:rPr>
        <w:t>evidence</w:t>
      </w:r>
    </w:p>
    <w:p w14:paraId="3327B4E9" w14:textId="1BAF46A4" w:rsidR="00A35A35" w:rsidRPr="00A35A35" w:rsidRDefault="00A35A35" w:rsidP="00006586">
      <w:pPr>
        <w:spacing w:line="480" w:lineRule="auto"/>
        <w:jc w:val="both"/>
        <w:rPr>
          <w:rFonts w:ascii="Arial" w:hAnsi="Arial" w:cs="Arial"/>
          <w:i/>
          <w:iCs/>
          <w:sz w:val="24"/>
          <w:szCs w:val="24"/>
          <w:lang w:val="en-US"/>
        </w:rPr>
      </w:pPr>
      <w:r w:rsidRPr="00A35A35">
        <w:rPr>
          <w:rFonts w:ascii="Arial" w:hAnsi="Arial" w:cs="Arial"/>
          <w:i/>
          <w:iCs/>
          <w:sz w:val="24"/>
          <w:szCs w:val="24"/>
          <w:lang w:val="en-US"/>
        </w:rPr>
        <w:t>Mr Kevin Niel McLoughlin</w:t>
      </w:r>
    </w:p>
    <w:p w14:paraId="75D64646" w14:textId="79162F45" w:rsidR="000C2AFA" w:rsidRDefault="00C64FD4" w:rsidP="000C2AFA">
      <w:pPr>
        <w:spacing w:line="480" w:lineRule="auto"/>
        <w:jc w:val="both"/>
        <w:rPr>
          <w:rFonts w:ascii="Arial" w:hAnsi="Arial" w:cs="Arial"/>
          <w:sz w:val="24"/>
          <w:szCs w:val="24"/>
          <w:lang w:val="en-US"/>
        </w:rPr>
      </w:pPr>
      <w:r>
        <w:rPr>
          <w:rFonts w:ascii="Arial" w:hAnsi="Arial" w:cs="Arial"/>
          <w:sz w:val="24"/>
          <w:szCs w:val="24"/>
          <w:lang w:val="en-US"/>
        </w:rPr>
        <w:t xml:space="preserve">McLoughlin </w:t>
      </w:r>
      <w:r w:rsidR="000C2AFA">
        <w:rPr>
          <w:rFonts w:ascii="Arial" w:hAnsi="Arial" w:cs="Arial"/>
          <w:sz w:val="24"/>
          <w:szCs w:val="24"/>
          <w:lang w:val="en-US"/>
        </w:rPr>
        <w:t xml:space="preserve">testified </w:t>
      </w:r>
      <w:r w:rsidR="00351673">
        <w:rPr>
          <w:rFonts w:ascii="Arial" w:hAnsi="Arial" w:cs="Arial"/>
          <w:sz w:val="24"/>
          <w:szCs w:val="24"/>
          <w:lang w:val="en-US"/>
        </w:rPr>
        <w:t xml:space="preserve">on behalf of the plaintiff </w:t>
      </w:r>
      <w:r w:rsidR="000C2AFA">
        <w:rPr>
          <w:rFonts w:ascii="Arial" w:hAnsi="Arial" w:cs="Arial"/>
          <w:sz w:val="24"/>
          <w:szCs w:val="24"/>
          <w:lang w:val="en-US"/>
        </w:rPr>
        <w:t>as follows:</w:t>
      </w:r>
    </w:p>
    <w:p w14:paraId="3852DCDF" w14:textId="4F2BA175" w:rsidR="000C2AFA" w:rsidRDefault="00D156D7" w:rsidP="002C4E8D">
      <w:pPr>
        <w:spacing w:line="480" w:lineRule="auto"/>
        <w:ind w:left="720" w:hanging="720"/>
        <w:jc w:val="both"/>
        <w:rPr>
          <w:rFonts w:ascii="Arial" w:hAnsi="Arial" w:cs="Arial"/>
          <w:sz w:val="24"/>
          <w:szCs w:val="24"/>
          <w:lang w:val="en-US"/>
        </w:rPr>
      </w:pPr>
      <w:r>
        <w:rPr>
          <w:rFonts w:ascii="Arial" w:hAnsi="Arial" w:cs="Arial"/>
          <w:sz w:val="24"/>
          <w:szCs w:val="24"/>
          <w:lang w:val="en-US"/>
        </w:rPr>
        <w:t>[9</w:t>
      </w:r>
      <w:r w:rsidR="002C4E8D">
        <w:rPr>
          <w:rFonts w:ascii="Arial" w:hAnsi="Arial" w:cs="Arial"/>
          <w:sz w:val="24"/>
          <w:szCs w:val="24"/>
          <w:lang w:val="en-US"/>
        </w:rPr>
        <w:t xml:space="preserve">] </w:t>
      </w:r>
      <w:r w:rsidR="002C4E8D">
        <w:rPr>
          <w:rFonts w:ascii="Arial" w:hAnsi="Arial" w:cs="Arial"/>
          <w:sz w:val="24"/>
          <w:szCs w:val="24"/>
          <w:lang w:val="en-US"/>
        </w:rPr>
        <w:tab/>
      </w:r>
      <w:r w:rsidR="000C2AFA">
        <w:rPr>
          <w:rFonts w:ascii="Arial" w:hAnsi="Arial" w:cs="Arial"/>
          <w:sz w:val="24"/>
          <w:szCs w:val="24"/>
          <w:lang w:val="en-US"/>
        </w:rPr>
        <w:t xml:space="preserve">Buntibiz is 60% controlled by Gotz and 40% by himself. During 2018 they were looking for investments when they were introduced to Quest Gelvandale. During the </w:t>
      </w:r>
      <w:r w:rsidR="00C64FD4">
        <w:rPr>
          <w:rFonts w:ascii="Arial" w:hAnsi="Arial" w:cs="Arial"/>
          <w:sz w:val="24"/>
          <w:szCs w:val="24"/>
          <w:lang w:val="en-US"/>
        </w:rPr>
        <w:t xml:space="preserve">negotiations for the </w:t>
      </w:r>
      <w:r w:rsidR="000C2AFA">
        <w:rPr>
          <w:rFonts w:ascii="Arial" w:hAnsi="Arial" w:cs="Arial"/>
          <w:sz w:val="24"/>
          <w:szCs w:val="24"/>
          <w:lang w:val="en-US"/>
        </w:rPr>
        <w:t>acquisition of the busines</w:t>
      </w:r>
      <w:r w:rsidR="00C64FD4">
        <w:rPr>
          <w:rFonts w:ascii="Arial" w:hAnsi="Arial" w:cs="Arial"/>
          <w:sz w:val="24"/>
          <w:szCs w:val="24"/>
          <w:lang w:val="en-US"/>
        </w:rPr>
        <w:t>s</w:t>
      </w:r>
      <w:r w:rsidR="000C2AFA">
        <w:rPr>
          <w:rFonts w:ascii="Arial" w:hAnsi="Arial" w:cs="Arial"/>
          <w:sz w:val="24"/>
          <w:szCs w:val="24"/>
          <w:lang w:val="en-US"/>
        </w:rPr>
        <w:t xml:space="preserve"> </w:t>
      </w:r>
      <w:r w:rsidR="00C64FD4">
        <w:rPr>
          <w:rFonts w:ascii="Arial" w:hAnsi="Arial" w:cs="Arial"/>
          <w:sz w:val="24"/>
          <w:szCs w:val="24"/>
          <w:lang w:val="en-US"/>
        </w:rPr>
        <w:t xml:space="preserve">McLoughlin </w:t>
      </w:r>
      <w:r w:rsidR="000C2AFA">
        <w:rPr>
          <w:rFonts w:ascii="Arial" w:hAnsi="Arial" w:cs="Arial"/>
          <w:sz w:val="24"/>
          <w:szCs w:val="24"/>
          <w:lang w:val="en-US"/>
        </w:rPr>
        <w:t xml:space="preserve">was dealing with Mr </w:t>
      </w:r>
      <w:r w:rsidR="00376109">
        <w:rPr>
          <w:rFonts w:ascii="Arial" w:hAnsi="Arial" w:cs="Arial"/>
          <w:sz w:val="24"/>
          <w:szCs w:val="24"/>
          <w:lang w:val="en-US"/>
        </w:rPr>
        <w:t>Adriaan Jacobus</w:t>
      </w:r>
      <w:r w:rsidR="00C64FD4">
        <w:rPr>
          <w:rFonts w:ascii="Arial" w:hAnsi="Arial" w:cs="Arial"/>
          <w:sz w:val="24"/>
          <w:szCs w:val="24"/>
          <w:lang w:val="en-US"/>
        </w:rPr>
        <w:t xml:space="preserve"> </w:t>
      </w:r>
      <w:r w:rsidR="000C2AFA">
        <w:rPr>
          <w:rFonts w:ascii="Arial" w:hAnsi="Arial" w:cs="Arial"/>
          <w:sz w:val="24"/>
          <w:szCs w:val="24"/>
          <w:lang w:val="en-US"/>
        </w:rPr>
        <w:t>Le Roux</w:t>
      </w:r>
      <w:r w:rsidR="00C64FD4">
        <w:rPr>
          <w:rFonts w:ascii="Arial" w:hAnsi="Arial" w:cs="Arial"/>
          <w:sz w:val="24"/>
          <w:szCs w:val="24"/>
          <w:lang w:val="en-US"/>
        </w:rPr>
        <w:t xml:space="preserve"> </w:t>
      </w:r>
      <w:r w:rsidR="00376109">
        <w:rPr>
          <w:rFonts w:ascii="Arial" w:hAnsi="Arial" w:cs="Arial"/>
          <w:sz w:val="24"/>
          <w:szCs w:val="24"/>
          <w:lang w:val="en-US"/>
        </w:rPr>
        <w:t>(Le</w:t>
      </w:r>
      <w:r w:rsidR="00C64FD4">
        <w:rPr>
          <w:rFonts w:ascii="Arial" w:hAnsi="Arial" w:cs="Arial"/>
          <w:sz w:val="24"/>
          <w:szCs w:val="24"/>
          <w:lang w:val="en-US"/>
        </w:rPr>
        <w:t xml:space="preserve"> </w:t>
      </w:r>
      <w:r w:rsidR="002C4E8D">
        <w:rPr>
          <w:rFonts w:ascii="Arial" w:hAnsi="Arial" w:cs="Arial"/>
          <w:sz w:val="24"/>
          <w:szCs w:val="24"/>
          <w:lang w:val="en-US"/>
        </w:rPr>
        <w:t>Roux) from</w:t>
      </w:r>
      <w:r w:rsidR="000C2AFA">
        <w:rPr>
          <w:rFonts w:ascii="Arial" w:hAnsi="Arial" w:cs="Arial"/>
          <w:sz w:val="24"/>
          <w:szCs w:val="24"/>
          <w:lang w:val="en-US"/>
        </w:rPr>
        <w:t xml:space="preserve"> Quest</w:t>
      </w:r>
      <w:r w:rsidR="00C64FD4">
        <w:rPr>
          <w:rFonts w:ascii="Arial" w:hAnsi="Arial" w:cs="Arial"/>
          <w:sz w:val="24"/>
          <w:szCs w:val="24"/>
          <w:lang w:val="en-US"/>
        </w:rPr>
        <w:t xml:space="preserve">, </w:t>
      </w:r>
      <w:r w:rsidR="002C4E8D">
        <w:rPr>
          <w:rFonts w:ascii="Arial" w:hAnsi="Arial" w:cs="Arial"/>
          <w:sz w:val="24"/>
          <w:szCs w:val="24"/>
          <w:lang w:val="en-US"/>
        </w:rPr>
        <w:t>who was</w:t>
      </w:r>
      <w:r w:rsidR="000C2AFA">
        <w:rPr>
          <w:rFonts w:ascii="Arial" w:hAnsi="Arial" w:cs="Arial"/>
          <w:sz w:val="24"/>
          <w:szCs w:val="24"/>
          <w:lang w:val="en-US"/>
        </w:rPr>
        <w:t xml:space="preserve"> negotiating on behalf of Quest Retail</w:t>
      </w:r>
      <w:r w:rsidR="00C64FD4">
        <w:rPr>
          <w:rFonts w:ascii="Arial" w:hAnsi="Arial" w:cs="Arial"/>
          <w:sz w:val="24"/>
          <w:szCs w:val="24"/>
          <w:lang w:val="en-US"/>
        </w:rPr>
        <w:t xml:space="preserve">. </w:t>
      </w:r>
    </w:p>
    <w:p w14:paraId="4E249C86" w14:textId="3FF56F7C" w:rsidR="00C64FD4" w:rsidRDefault="00D156D7" w:rsidP="002C4E8D">
      <w:pPr>
        <w:spacing w:line="480" w:lineRule="auto"/>
        <w:ind w:left="720" w:hanging="720"/>
        <w:jc w:val="both"/>
        <w:rPr>
          <w:rFonts w:ascii="Arial" w:hAnsi="Arial" w:cs="Arial"/>
          <w:sz w:val="24"/>
          <w:szCs w:val="24"/>
          <w:lang w:val="en-US"/>
        </w:rPr>
      </w:pPr>
      <w:r>
        <w:rPr>
          <w:rFonts w:ascii="Arial" w:hAnsi="Arial" w:cs="Arial"/>
          <w:sz w:val="24"/>
          <w:szCs w:val="24"/>
          <w:lang w:val="en-US"/>
        </w:rPr>
        <w:t>[10</w:t>
      </w:r>
      <w:r w:rsidR="002C4E8D">
        <w:rPr>
          <w:rFonts w:ascii="Arial" w:hAnsi="Arial" w:cs="Arial"/>
          <w:sz w:val="24"/>
          <w:szCs w:val="24"/>
          <w:lang w:val="en-US"/>
        </w:rPr>
        <w:t xml:space="preserve">] </w:t>
      </w:r>
      <w:r w:rsidR="002C4E8D">
        <w:rPr>
          <w:rFonts w:ascii="Arial" w:hAnsi="Arial" w:cs="Arial"/>
          <w:sz w:val="24"/>
          <w:szCs w:val="24"/>
          <w:lang w:val="en-US"/>
        </w:rPr>
        <w:tab/>
      </w:r>
      <w:r w:rsidR="000C2AFA">
        <w:rPr>
          <w:rFonts w:ascii="Arial" w:hAnsi="Arial" w:cs="Arial"/>
          <w:sz w:val="24"/>
          <w:szCs w:val="24"/>
          <w:lang w:val="en-US"/>
        </w:rPr>
        <w:t xml:space="preserve">Before Buntibiz paid the purchase price </w:t>
      </w:r>
      <w:r w:rsidR="00C64FD4">
        <w:rPr>
          <w:rFonts w:ascii="Arial" w:hAnsi="Arial" w:cs="Arial"/>
          <w:sz w:val="24"/>
          <w:szCs w:val="24"/>
          <w:lang w:val="en-US"/>
        </w:rPr>
        <w:t>McLoughlin</w:t>
      </w:r>
      <w:r w:rsidR="000C2AFA">
        <w:rPr>
          <w:rFonts w:ascii="Arial" w:hAnsi="Arial" w:cs="Arial"/>
          <w:sz w:val="24"/>
          <w:szCs w:val="24"/>
          <w:lang w:val="en-US"/>
        </w:rPr>
        <w:t xml:space="preserve"> received a call from one </w:t>
      </w:r>
      <w:r w:rsidR="00C64FD4">
        <w:rPr>
          <w:rFonts w:ascii="Arial" w:hAnsi="Arial" w:cs="Arial"/>
          <w:sz w:val="24"/>
          <w:szCs w:val="24"/>
          <w:lang w:val="en-US"/>
        </w:rPr>
        <w:t xml:space="preserve">Mr </w:t>
      </w:r>
      <w:r w:rsidR="000C2AFA">
        <w:rPr>
          <w:rFonts w:ascii="Arial" w:hAnsi="Arial" w:cs="Arial"/>
          <w:sz w:val="24"/>
          <w:szCs w:val="24"/>
          <w:lang w:val="en-US"/>
        </w:rPr>
        <w:t xml:space="preserve">Norman </w:t>
      </w:r>
      <w:r w:rsidR="00376109">
        <w:rPr>
          <w:rFonts w:ascii="Arial" w:hAnsi="Arial" w:cs="Arial"/>
          <w:sz w:val="24"/>
          <w:szCs w:val="24"/>
          <w:lang w:val="en-US"/>
        </w:rPr>
        <w:t>LeGrange,</w:t>
      </w:r>
      <w:r w:rsidR="00C64FD4">
        <w:rPr>
          <w:rFonts w:ascii="Arial" w:hAnsi="Arial" w:cs="Arial"/>
          <w:sz w:val="24"/>
          <w:szCs w:val="24"/>
          <w:lang w:val="en-US"/>
        </w:rPr>
        <w:t xml:space="preserve"> </w:t>
      </w:r>
      <w:r w:rsidR="000C2AFA">
        <w:rPr>
          <w:rFonts w:ascii="Arial" w:hAnsi="Arial" w:cs="Arial"/>
          <w:sz w:val="24"/>
          <w:szCs w:val="24"/>
          <w:lang w:val="en-US"/>
        </w:rPr>
        <w:t xml:space="preserve">the previous owner of </w:t>
      </w:r>
      <w:r w:rsidR="00C64FD4">
        <w:rPr>
          <w:rFonts w:ascii="Arial" w:hAnsi="Arial" w:cs="Arial"/>
          <w:sz w:val="24"/>
          <w:szCs w:val="24"/>
          <w:lang w:val="en-US"/>
        </w:rPr>
        <w:t xml:space="preserve">Quest Gelvandale </w:t>
      </w:r>
      <w:r w:rsidR="000C2AFA">
        <w:rPr>
          <w:rFonts w:ascii="Arial" w:hAnsi="Arial" w:cs="Arial"/>
          <w:sz w:val="24"/>
          <w:szCs w:val="24"/>
          <w:lang w:val="en-US"/>
        </w:rPr>
        <w:t>who informed him that he was the rightful owner of the business and any application for a licence would be objected to</w:t>
      </w:r>
      <w:r w:rsidR="00C64FD4">
        <w:rPr>
          <w:rFonts w:ascii="Arial" w:hAnsi="Arial" w:cs="Arial"/>
          <w:sz w:val="24"/>
          <w:szCs w:val="24"/>
          <w:lang w:val="en-US"/>
        </w:rPr>
        <w:t xml:space="preserve">. </w:t>
      </w:r>
      <w:r w:rsidR="000C2AFA">
        <w:rPr>
          <w:rFonts w:ascii="Arial" w:hAnsi="Arial" w:cs="Arial"/>
          <w:sz w:val="24"/>
          <w:szCs w:val="24"/>
          <w:lang w:val="en-US"/>
        </w:rPr>
        <w:t xml:space="preserve">He was </w:t>
      </w:r>
      <w:r w:rsidR="00C64FD4">
        <w:rPr>
          <w:rFonts w:ascii="Arial" w:hAnsi="Arial" w:cs="Arial"/>
          <w:sz w:val="24"/>
          <w:szCs w:val="24"/>
          <w:lang w:val="en-US"/>
        </w:rPr>
        <w:t>concerned</w:t>
      </w:r>
      <w:r w:rsidR="000C2AFA">
        <w:rPr>
          <w:rFonts w:ascii="Arial" w:hAnsi="Arial" w:cs="Arial"/>
          <w:sz w:val="24"/>
          <w:szCs w:val="24"/>
          <w:lang w:val="en-US"/>
        </w:rPr>
        <w:t xml:space="preserve"> because that meant that they would not get the fuel licence. He reported this threat to Le Roux. </w:t>
      </w:r>
    </w:p>
    <w:p w14:paraId="198E222B" w14:textId="57DDF61F" w:rsidR="00C64FD4" w:rsidRDefault="00D156D7" w:rsidP="002C4E8D">
      <w:pPr>
        <w:spacing w:line="480" w:lineRule="auto"/>
        <w:ind w:left="720" w:hanging="720"/>
        <w:jc w:val="both"/>
        <w:rPr>
          <w:rFonts w:ascii="Arial" w:hAnsi="Arial" w:cs="Arial"/>
          <w:sz w:val="24"/>
          <w:szCs w:val="24"/>
          <w:lang w:val="en-US"/>
        </w:rPr>
      </w:pPr>
      <w:r>
        <w:rPr>
          <w:rFonts w:ascii="Arial" w:hAnsi="Arial" w:cs="Arial"/>
          <w:sz w:val="24"/>
          <w:szCs w:val="24"/>
          <w:lang w:val="en-US"/>
        </w:rPr>
        <w:t xml:space="preserve">[11] </w:t>
      </w:r>
      <w:r w:rsidR="002C4E8D">
        <w:rPr>
          <w:rFonts w:ascii="Arial" w:hAnsi="Arial" w:cs="Arial"/>
          <w:sz w:val="24"/>
          <w:szCs w:val="24"/>
          <w:lang w:val="en-US"/>
        </w:rPr>
        <w:tab/>
      </w:r>
      <w:r w:rsidR="000C2AFA">
        <w:rPr>
          <w:rFonts w:ascii="Arial" w:hAnsi="Arial" w:cs="Arial"/>
          <w:sz w:val="24"/>
          <w:szCs w:val="24"/>
          <w:lang w:val="en-US"/>
        </w:rPr>
        <w:t xml:space="preserve">Le Roux indicated that there was no risk </w:t>
      </w:r>
      <w:r w:rsidR="00C64FD4">
        <w:rPr>
          <w:rFonts w:ascii="Arial" w:hAnsi="Arial" w:cs="Arial"/>
          <w:sz w:val="24"/>
          <w:szCs w:val="24"/>
          <w:lang w:val="en-US"/>
        </w:rPr>
        <w:t xml:space="preserve">in </w:t>
      </w:r>
      <w:r w:rsidR="000C2AFA">
        <w:rPr>
          <w:rFonts w:ascii="Arial" w:hAnsi="Arial" w:cs="Arial"/>
          <w:sz w:val="24"/>
          <w:szCs w:val="24"/>
          <w:lang w:val="en-US"/>
        </w:rPr>
        <w:t xml:space="preserve">them not getting the licence. </w:t>
      </w:r>
      <w:r w:rsidR="00061322">
        <w:rPr>
          <w:rFonts w:ascii="Arial" w:hAnsi="Arial" w:cs="Arial"/>
          <w:sz w:val="24"/>
          <w:szCs w:val="24"/>
          <w:lang w:val="en-US"/>
        </w:rPr>
        <w:t>McLoughlin</w:t>
      </w:r>
      <w:r w:rsidR="000C2AFA">
        <w:rPr>
          <w:rFonts w:ascii="Arial" w:hAnsi="Arial" w:cs="Arial"/>
          <w:sz w:val="24"/>
          <w:szCs w:val="24"/>
          <w:lang w:val="en-US"/>
        </w:rPr>
        <w:t xml:space="preserve"> requested</w:t>
      </w:r>
      <w:r w:rsidR="00C64FD4">
        <w:rPr>
          <w:rFonts w:ascii="Arial" w:hAnsi="Arial" w:cs="Arial"/>
          <w:sz w:val="24"/>
          <w:szCs w:val="24"/>
          <w:lang w:val="en-US"/>
        </w:rPr>
        <w:t xml:space="preserve"> Le Roux</w:t>
      </w:r>
      <w:r w:rsidR="000C2AFA">
        <w:rPr>
          <w:rFonts w:ascii="Arial" w:hAnsi="Arial" w:cs="Arial"/>
          <w:sz w:val="24"/>
          <w:szCs w:val="24"/>
          <w:lang w:val="en-US"/>
        </w:rPr>
        <w:t xml:space="preserve"> to reduce that into writing. Le Roux wrote a letter dated 17 July 2018 to the effect that if there was a problem their money would be refunded.</w:t>
      </w:r>
      <w:r w:rsidR="00C64FD4">
        <w:rPr>
          <w:rFonts w:ascii="Arial" w:hAnsi="Arial" w:cs="Arial"/>
          <w:sz w:val="24"/>
          <w:szCs w:val="24"/>
          <w:lang w:val="en-US"/>
        </w:rPr>
        <w:t xml:space="preserve"> </w:t>
      </w:r>
      <w:r w:rsidR="000C2AFA">
        <w:rPr>
          <w:rFonts w:ascii="Arial" w:hAnsi="Arial" w:cs="Arial"/>
          <w:sz w:val="24"/>
          <w:szCs w:val="24"/>
          <w:lang w:val="en-US"/>
        </w:rPr>
        <w:t xml:space="preserve">Le Roux mentioned that this was common law. </w:t>
      </w:r>
      <w:r w:rsidR="000C2AFA" w:rsidRPr="00007FB3">
        <w:rPr>
          <w:rFonts w:ascii="Arial" w:hAnsi="Arial" w:cs="Arial"/>
          <w:color w:val="000000" w:themeColor="text1"/>
          <w:sz w:val="24"/>
          <w:szCs w:val="24"/>
          <w:lang w:val="en-US"/>
        </w:rPr>
        <w:t xml:space="preserve">Le </w:t>
      </w:r>
      <w:r w:rsidR="00376109" w:rsidRPr="00007FB3">
        <w:rPr>
          <w:rFonts w:ascii="Arial" w:hAnsi="Arial" w:cs="Arial"/>
          <w:color w:val="000000" w:themeColor="text1"/>
          <w:sz w:val="24"/>
          <w:szCs w:val="24"/>
          <w:lang w:val="en-US"/>
        </w:rPr>
        <w:t>Roux also</w:t>
      </w:r>
      <w:r w:rsidR="000C2AFA" w:rsidRPr="00007FB3">
        <w:rPr>
          <w:rFonts w:ascii="Arial" w:hAnsi="Arial" w:cs="Arial"/>
          <w:color w:val="000000" w:themeColor="text1"/>
          <w:sz w:val="24"/>
          <w:szCs w:val="24"/>
          <w:lang w:val="en-US"/>
        </w:rPr>
        <w:t xml:space="preserve"> told him that he was an attorney. </w:t>
      </w:r>
    </w:p>
    <w:p w14:paraId="2B877020" w14:textId="77777777" w:rsidR="002C4E8D" w:rsidRDefault="002C4E8D" w:rsidP="002C4E8D">
      <w:pPr>
        <w:spacing w:line="480" w:lineRule="auto"/>
        <w:ind w:left="720" w:hanging="720"/>
        <w:jc w:val="both"/>
        <w:rPr>
          <w:rFonts w:ascii="Arial" w:hAnsi="Arial" w:cs="Arial"/>
          <w:sz w:val="24"/>
          <w:szCs w:val="24"/>
          <w:lang w:val="en-US"/>
        </w:rPr>
      </w:pPr>
      <w:r>
        <w:rPr>
          <w:rFonts w:ascii="Arial" w:hAnsi="Arial" w:cs="Arial"/>
          <w:sz w:val="24"/>
          <w:szCs w:val="24"/>
          <w:lang w:val="en-US"/>
        </w:rPr>
        <w:lastRenderedPageBreak/>
        <w:t>[12]</w:t>
      </w:r>
      <w:r>
        <w:rPr>
          <w:rFonts w:ascii="Arial" w:hAnsi="Arial" w:cs="Arial"/>
          <w:sz w:val="24"/>
          <w:szCs w:val="24"/>
          <w:lang w:val="en-US"/>
        </w:rPr>
        <w:tab/>
      </w:r>
      <w:r w:rsidR="000C2AFA">
        <w:rPr>
          <w:rFonts w:ascii="Arial" w:hAnsi="Arial" w:cs="Arial"/>
          <w:sz w:val="24"/>
          <w:szCs w:val="24"/>
          <w:lang w:val="en-US"/>
        </w:rPr>
        <w:t>He confirmed that the business consisted of a filling station, a convenient store and a car wash. When asked by his Counsel “</w:t>
      </w:r>
      <w:r w:rsidR="00C64FD4">
        <w:rPr>
          <w:rFonts w:ascii="Arial" w:hAnsi="Arial" w:cs="Arial"/>
          <w:i/>
          <w:iCs/>
          <w:sz w:val="24"/>
          <w:szCs w:val="24"/>
          <w:lang w:val="en-US"/>
        </w:rPr>
        <w:t>I</w:t>
      </w:r>
      <w:r w:rsidR="000C2AFA">
        <w:rPr>
          <w:rFonts w:ascii="Arial" w:hAnsi="Arial" w:cs="Arial"/>
          <w:i/>
          <w:iCs/>
          <w:sz w:val="24"/>
          <w:szCs w:val="24"/>
          <w:lang w:val="en-US"/>
        </w:rPr>
        <w:t xml:space="preserve">s there a clause that regulates what would happen if you do not get the licence?” </w:t>
      </w:r>
      <w:r w:rsidR="000C2AFA">
        <w:rPr>
          <w:rFonts w:ascii="Arial" w:hAnsi="Arial" w:cs="Arial"/>
          <w:sz w:val="24"/>
          <w:szCs w:val="24"/>
          <w:lang w:val="en-US"/>
        </w:rPr>
        <w:t>His answer was “</w:t>
      </w:r>
      <w:r w:rsidR="000C2AFA">
        <w:rPr>
          <w:rFonts w:ascii="Arial" w:hAnsi="Arial" w:cs="Arial"/>
          <w:i/>
          <w:iCs/>
          <w:sz w:val="24"/>
          <w:szCs w:val="24"/>
          <w:lang w:val="en-US"/>
        </w:rPr>
        <w:t>not that I could recall.”</w:t>
      </w:r>
    </w:p>
    <w:p w14:paraId="593B8199" w14:textId="0DD8D0B8" w:rsidR="000C2AFA" w:rsidRDefault="002C4E8D" w:rsidP="002C4E8D">
      <w:pPr>
        <w:spacing w:line="480" w:lineRule="auto"/>
        <w:ind w:left="720" w:hanging="720"/>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r>
      <w:r w:rsidR="000C2AFA">
        <w:rPr>
          <w:rFonts w:ascii="Arial" w:hAnsi="Arial" w:cs="Arial"/>
          <w:sz w:val="24"/>
          <w:szCs w:val="24"/>
          <w:lang w:val="en-US"/>
        </w:rPr>
        <w:t xml:space="preserve">He testified in relation to the lease agreement between Buntibiz and Quest Petroleum. </w:t>
      </w:r>
      <w:r w:rsidR="0012248B">
        <w:rPr>
          <w:rFonts w:ascii="Arial" w:hAnsi="Arial" w:cs="Arial"/>
          <w:sz w:val="24"/>
          <w:szCs w:val="24"/>
          <w:lang w:val="en-US"/>
        </w:rPr>
        <w:t xml:space="preserve">He is the one who negotiated the lease on behalf of Buntibiz and Le Roux was negotiating on behalf of Quest Petroleum. </w:t>
      </w:r>
      <w:r w:rsidR="000C2AFA">
        <w:rPr>
          <w:rFonts w:ascii="Arial" w:hAnsi="Arial" w:cs="Arial"/>
          <w:sz w:val="24"/>
          <w:szCs w:val="24"/>
          <w:lang w:val="en-US"/>
        </w:rPr>
        <w:t xml:space="preserve">He was referred to </w:t>
      </w:r>
      <w:r w:rsidR="00C64FD4">
        <w:rPr>
          <w:rFonts w:ascii="Arial" w:hAnsi="Arial" w:cs="Arial"/>
          <w:sz w:val="24"/>
          <w:szCs w:val="24"/>
          <w:lang w:val="en-US"/>
        </w:rPr>
        <w:t xml:space="preserve">clause </w:t>
      </w:r>
      <w:r w:rsidR="000C2AFA">
        <w:rPr>
          <w:rFonts w:ascii="Arial" w:hAnsi="Arial" w:cs="Arial"/>
          <w:sz w:val="24"/>
          <w:szCs w:val="24"/>
          <w:lang w:val="en-US"/>
        </w:rPr>
        <w:t xml:space="preserve">26.1 of the lease agreement. His understanding of that clause was that if </w:t>
      </w:r>
      <w:r w:rsidR="00C64FD4">
        <w:rPr>
          <w:rFonts w:ascii="Arial" w:hAnsi="Arial" w:cs="Arial"/>
          <w:sz w:val="24"/>
          <w:szCs w:val="24"/>
          <w:lang w:val="en-US"/>
        </w:rPr>
        <w:t>Buntibiz</w:t>
      </w:r>
      <w:r w:rsidR="000C2AFA">
        <w:rPr>
          <w:rFonts w:ascii="Arial" w:hAnsi="Arial" w:cs="Arial"/>
          <w:sz w:val="24"/>
          <w:szCs w:val="24"/>
          <w:lang w:val="en-US"/>
        </w:rPr>
        <w:t xml:space="preserve"> did not get the retail licence </w:t>
      </w:r>
      <w:r w:rsidR="00C64FD4">
        <w:rPr>
          <w:rFonts w:ascii="Arial" w:hAnsi="Arial" w:cs="Arial"/>
          <w:sz w:val="24"/>
          <w:szCs w:val="24"/>
          <w:lang w:val="en-US"/>
        </w:rPr>
        <w:t>it</w:t>
      </w:r>
      <w:r w:rsidR="000C2AFA">
        <w:rPr>
          <w:rFonts w:ascii="Arial" w:hAnsi="Arial" w:cs="Arial"/>
          <w:sz w:val="24"/>
          <w:szCs w:val="24"/>
          <w:lang w:val="en-US"/>
        </w:rPr>
        <w:t xml:space="preserve"> would be refunded </w:t>
      </w:r>
      <w:r w:rsidR="00376109">
        <w:rPr>
          <w:rFonts w:ascii="Arial" w:hAnsi="Arial" w:cs="Arial"/>
          <w:sz w:val="24"/>
          <w:szCs w:val="24"/>
          <w:lang w:val="en-US"/>
        </w:rPr>
        <w:t>R2</w:t>
      </w:r>
      <w:r w:rsidR="000C2AFA">
        <w:rPr>
          <w:rFonts w:ascii="Arial" w:hAnsi="Arial" w:cs="Arial"/>
          <w:sz w:val="24"/>
          <w:szCs w:val="24"/>
          <w:lang w:val="en-US"/>
        </w:rPr>
        <w:t xml:space="preserve">.5 </w:t>
      </w:r>
      <w:r w:rsidR="00C64FD4">
        <w:rPr>
          <w:rFonts w:ascii="Arial" w:hAnsi="Arial" w:cs="Arial"/>
          <w:sz w:val="24"/>
          <w:szCs w:val="24"/>
          <w:lang w:val="en-US"/>
        </w:rPr>
        <w:t>m</w:t>
      </w:r>
      <w:r w:rsidR="000C2AFA">
        <w:rPr>
          <w:rFonts w:ascii="Arial" w:hAnsi="Arial" w:cs="Arial"/>
          <w:sz w:val="24"/>
          <w:szCs w:val="24"/>
          <w:lang w:val="en-US"/>
        </w:rPr>
        <w:t>illion. He stated that there were numerous talks about this issue with Le Roux. There was no distinction drawn between the companies, namely</w:t>
      </w:r>
      <w:r w:rsidR="00061322">
        <w:rPr>
          <w:rFonts w:ascii="Arial" w:hAnsi="Arial" w:cs="Arial"/>
          <w:sz w:val="24"/>
          <w:szCs w:val="24"/>
          <w:lang w:val="en-US"/>
        </w:rPr>
        <w:t xml:space="preserve">, </w:t>
      </w:r>
      <w:r w:rsidR="000C2AFA">
        <w:rPr>
          <w:rFonts w:ascii="Arial" w:hAnsi="Arial" w:cs="Arial"/>
          <w:sz w:val="24"/>
          <w:szCs w:val="24"/>
          <w:lang w:val="en-US"/>
        </w:rPr>
        <w:t>Quest Retail and Quest Petroleum.</w:t>
      </w:r>
    </w:p>
    <w:p w14:paraId="5AE7C0AB" w14:textId="1E3EFBD4" w:rsidR="000C2AFA" w:rsidRDefault="002C4E8D" w:rsidP="002C4E8D">
      <w:pPr>
        <w:spacing w:line="480" w:lineRule="auto"/>
        <w:ind w:left="720" w:hanging="720"/>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r>
      <w:r w:rsidR="000C2AFA">
        <w:rPr>
          <w:rFonts w:ascii="Arial" w:hAnsi="Arial" w:cs="Arial"/>
          <w:sz w:val="24"/>
          <w:szCs w:val="24"/>
          <w:lang w:val="en-US"/>
        </w:rPr>
        <w:t>In his mind he had no doubt that they would get the licence</w:t>
      </w:r>
      <w:r w:rsidR="00061322">
        <w:rPr>
          <w:rFonts w:ascii="Arial" w:hAnsi="Arial" w:cs="Arial"/>
          <w:sz w:val="24"/>
          <w:szCs w:val="24"/>
          <w:lang w:val="en-US"/>
        </w:rPr>
        <w:t>.</w:t>
      </w:r>
      <w:r w:rsidR="000C2AFA">
        <w:rPr>
          <w:rFonts w:ascii="Arial" w:hAnsi="Arial" w:cs="Arial"/>
          <w:sz w:val="24"/>
          <w:szCs w:val="24"/>
          <w:lang w:val="en-US"/>
        </w:rPr>
        <w:t xml:space="preserve"> </w:t>
      </w:r>
      <w:r w:rsidR="00061322">
        <w:rPr>
          <w:rFonts w:ascii="Arial" w:hAnsi="Arial" w:cs="Arial"/>
          <w:sz w:val="24"/>
          <w:szCs w:val="24"/>
          <w:lang w:val="en-US"/>
        </w:rPr>
        <w:t>A</w:t>
      </w:r>
      <w:r w:rsidR="000C2AFA">
        <w:rPr>
          <w:rFonts w:ascii="Arial" w:hAnsi="Arial" w:cs="Arial"/>
          <w:sz w:val="24"/>
          <w:szCs w:val="24"/>
          <w:lang w:val="en-US"/>
        </w:rPr>
        <w:t xml:space="preserve">s far </w:t>
      </w:r>
      <w:r w:rsidR="00061322">
        <w:rPr>
          <w:rFonts w:ascii="Arial" w:hAnsi="Arial" w:cs="Arial"/>
          <w:sz w:val="24"/>
          <w:szCs w:val="24"/>
          <w:lang w:val="en-US"/>
        </w:rPr>
        <w:t xml:space="preserve">as </w:t>
      </w:r>
      <w:r w:rsidR="000C2AFA">
        <w:rPr>
          <w:rFonts w:ascii="Arial" w:hAnsi="Arial" w:cs="Arial"/>
          <w:sz w:val="24"/>
          <w:szCs w:val="24"/>
          <w:lang w:val="en-US"/>
        </w:rPr>
        <w:t xml:space="preserve">he was concerned there was only one company </w:t>
      </w:r>
      <w:r w:rsidR="000C2AFA" w:rsidRPr="00AC3CCA">
        <w:rPr>
          <w:rFonts w:ascii="Arial" w:hAnsi="Arial" w:cs="Arial"/>
          <w:color w:val="000000" w:themeColor="text1"/>
          <w:sz w:val="24"/>
          <w:szCs w:val="24"/>
          <w:lang w:val="en-US"/>
        </w:rPr>
        <w:t xml:space="preserve">Quest </w:t>
      </w:r>
      <w:r w:rsidR="000C2AFA">
        <w:rPr>
          <w:rFonts w:ascii="Arial" w:hAnsi="Arial" w:cs="Arial"/>
          <w:sz w:val="24"/>
          <w:szCs w:val="24"/>
          <w:lang w:val="en-US"/>
        </w:rPr>
        <w:t>and Le Roux himself never made the distinction between the companies. He understood that he would</w:t>
      </w:r>
      <w:r w:rsidR="00061322">
        <w:rPr>
          <w:rFonts w:ascii="Arial" w:hAnsi="Arial" w:cs="Arial"/>
          <w:sz w:val="24"/>
          <w:szCs w:val="24"/>
          <w:lang w:val="en-US"/>
        </w:rPr>
        <w:t xml:space="preserve"> get</w:t>
      </w:r>
      <w:r w:rsidR="000C2AFA">
        <w:rPr>
          <w:rFonts w:ascii="Arial" w:hAnsi="Arial" w:cs="Arial"/>
          <w:sz w:val="24"/>
          <w:szCs w:val="24"/>
          <w:lang w:val="en-US"/>
        </w:rPr>
        <w:t xml:space="preserve"> three separate contracts</w:t>
      </w:r>
      <w:r w:rsidR="00061322">
        <w:rPr>
          <w:rFonts w:ascii="Arial" w:hAnsi="Arial" w:cs="Arial"/>
          <w:sz w:val="24"/>
          <w:szCs w:val="24"/>
          <w:lang w:val="en-US"/>
        </w:rPr>
        <w:t>.</w:t>
      </w:r>
      <w:r w:rsidR="000C2AFA">
        <w:rPr>
          <w:rFonts w:ascii="Arial" w:hAnsi="Arial" w:cs="Arial"/>
          <w:sz w:val="24"/>
          <w:szCs w:val="24"/>
          <w:lang w:val="en-US"/>
        </w:rPr>
        <w:t xml:space="preserve"> </w:t>
      </w:r>
      <w:r w:rsidR="00061322">
        <w:rPr>
          <w:rFonts w:ascii="Arial" w:hAnsi="Arial" w:cs="Arial"/>
          <w:sz w:val="24"/>
          <w:szCs w:val="24"/>
          <w:lang w:val="en-US"/>
        </w:rPr>
        <w:t xml:space="preserve">His understanding of the supply </w:t>
      </w:r>
      <w:r w:rsidR="00376109">
        <w:rPr>
          <w:rFonts w:ascii="Arial" w:hAnsi="Arial" w:cs="Arial"/>
          <w:sz w:val="24"/>
          <w:szCs w:val="24"/>
          <w:lang w:val="en-US"/>
        </w:rPr>
        <w:t>agreement was</w:t>
      </w:r>
      <w:r w:rsidR="00AC3CCA">
        <w:rPr>
          <w:rFonts w:ascii="Arial" w:hAnsi="Arial" w:cs="Arial"/>
          <w:sz w:val="24"/>
          <w:szCs w:val="24"/>
          <w:lang w:val="en-US"/>
        </w:rPr>
        <w:t xml:space="preserve"> that </w:t>
      </w:r>
      <w:r w:rsidR="000C2AFA">
        <w:rPr>
          <w:rFonts w:ascii="Arial" w:hAnsi="Arial" w:cs="Arial"/>
          <w:sz w:val="24"/>
          <w:szCs w:val="24"/>
          <w:lang w:val="en-US"/>
        </w:rPr>
        <w:t xml:space="preserve">he could only buy fuel from Quest unless Quest did not have it. All these contracts were signed on the same day on 5 June 2018. </w:t>
      </w:r>
    </w:p>
    <w:p w14:paraId="446BFAA8" w14:textId="77777777" w:rsidR="002C4E8D" w:rsidRDefault="002C4E8D" w:rsidP="002C4E8D">
      <w:pPr>
        <w:spacing w:line="480" w:lineRule="auto"/>
        <w:ind w:left="720" w:hanging="720"/>
        <w:jc w:val="both"/>
        <w:rPr>
          <w:rFonts w:ascii="Arial" w:hAnsi="Arial" w:cs="Arial"/>
          <w:sz w:val="24"/>
          <w:szCs w:val="24"/>
          <w:lang w:val="en-US"/>
        </w:rPr>
      </w:pPr>
      <w:r>
        <w:rPr>
          <w:rFonts w:ascii="Arial" w:hAnsi="Arial" w:cs="Arial"/>
          <w:sz w:val="24"/>
          <w:szCs w:val="24"/>
          <w:lang w:val="en-US"/>
        </w:rPr>
        <w:t>[15]</w:t>
      </w:r>
      <w:r>
        <w:rPr>
          <w:rFonts w:ascii="Arial" w:hAnsi="Arial" w:cs="Arial"/>
          <w:sz w:val="24"/>
          <w:szCs w:val="24"/>
          <w:lang w:val="en-US"/>
        </w:rPr>
        <w:tab/>
      </w:r>
      <w:r w:rsidR="000C2AFA">
        <w:rPr>
          <w:rFonts w:ascii="Arial" w:hAnsi="Arial" w:cs="Arial"/>
          <w:sz w:val="24"/>
          <w:szCs w:val="24"/>
          <w:lang w:val="en-US"/>
        </w:rPr>
        <w:t xml:space="preserve">In so far as the application for </w:t>
      </w:r>
      <w:r w:rsidR="00061322">
        <w:rPr>
          <w:rFonts w:ascii="Arial" w:hAnsi="Arial" w:cs="Arial"/>
          <w:sz w:val="24"/>
          <w:szCs w:val="24"/>
          <w:lang w:val="en-US"/>
        </w:rPr>
        <w:t xml:space="preserve">a retail </w:t>
      </w:r>
      <w:r w:rsidR="000C2AFA">
        <w:rPr>
          <w:rFonts w:ascii="Arial" w:hAnsi="Arial" w:cs="Arial"/>
          <w:sz w:val="24"/>
          <w:szCs w:val="24"/>
          <w:lang w:val="en-US"/>
        </w:rPr>
        <w:t xml:space="preserve">licence is concerned he testified that one </w:t>
      </w:r>
      <w:r w:rsidR="00061322">
        <w:rPr>
          <w:rFonts w:ascii="Arial" w:hAnsi="Arial" w:cs="Arial"/>
          <w:sz w:val="24"/>
          <w:szCs w:val="24"/>
          <w:lang w:val="en-US"/>
        </w:rPr>
        <w:t xml:space="preserve">Mr Earle </w:t>
      </w:r>
      <w:r w:rsidR="00376109">
        <w:rPr>
          <w:rFonts w:ascii="Arial" w:hAnsi="Arial" w:cs="Arial"/>
          <w:sz w:val="24"/>
          <w:szCs w:val="24"/>
          <w:lang w:val="en-US"/>
        </w:rPr>
        <w:t>Cloete (Cloete</w:t>
      </w:r>
      <w:r w:rsidR="006D6BE7">
        <w:rPr>
          <w:rFonts w:ascii="Arial" w:hAnsi="Arial" w:cs="Arial"/>
          <w:sz w:val="24"/>
          <w:szCs w:val="24"/>
          <w:lang w:val="en-US"/>
        </w:rPr>
        <w:t xml:space="preserve">) </w:t>
      </w:r>
      <w:r w:rsidR="000C2AFA">
        <w:rPr>
          <w:rFonts w:ascii="Arial" w:hAnsi="Arial" w:cs="Arial"/>
          <w:sz w:val="24"/>
          <w:szCs w:val="24"/>
          <w:lang w:val="en-US"/>
        </w:rPr>
        <w:t xml:space="preserve">worked with his office in compiling the applications. He was not directly involved. A temporary licence was granted on 12 September 2018. </w:t>
      </w:r>
      <w:r w:rsidR="00A10F08">
        <w:rPr>
          <w:rFonts w:ascii="Arial" w:hAnsi="Arial" w:cs="Arial"/>
          <w:sz w:val="24"/>
          <w:szCs w:val="24"/>
          <w:lang w:val="en-US"/>
        </w:rPr>
        <w:t>Buntibiz took control of the assets and the business</w:t>
      </w:r>
      <w:r w:rsidR="00A10F08" w:rsidRPr="00061322">
        <w:rPr>
          <w:rFonts w:ascii="Arial" w:hAnsi="Arial" w:cs="Arial"/>
          <w:color w:val="FF0000"/>
          <w:sz w:val="24"/>
          <w:szCs w:val="24"/>
          <w:lang w:val="en-US"/>
        </w:rPr>
        <w:t xml:space="preserve"> </w:t>
      </w:r>
      <w:r w:rsidR="00A10F08" w:rsidRPr="00044E36">
        <w:rPr>
          <w:rFonts w:ascii="Arial" w:hAnsi="Arial" w:cs="Arial"/>
          <w:color w:val="000000" w:themeColor="text1"/>
          <w:sz w:val="24"/>
          <w:szCs w:val="24"/>
          <w:lang w:val="en-US"/>
        </w:rPr>
        <w:t xml:space="preserve">from </w:t>
      </w:r>
      <w:r w:rsidR="000C2AFA" w:rsidRPr="00044E36">
        <w:rPr>
          <w:rFonts w:ascii="Arial" w:hAnsi="Arial" w:cs="Arial"/>
          <w:color w:val="000000" w:themeColor="text1"/>
          <w:sz w:val="24"/>
          <w:szCs w:val="24"/>
          <w:lang w:val="en-US"/>
        </w:rPr>
        <w:t>September 2018</w:t>
      </w:r>
      <w:r w:rsidR="000C2AFA">
        <w:rPr>
          <w:rFonts w:ascii="Arial" w:hAnsi="Arial" w:cs="Arial"/>
          <w:sz w:val="24"/>
          <w:szCs w:val="24"/>
          <w:lang w:val="en-US"/>
        </w:rPr>
        <w:t xml:space="preserve">. After three months of trading they realized that trading was difficult. They conveyed this to Quest, they agreed that they had to revamp the business. </w:t>
      </w:r>
      <w:r w:rsidR="000C2AFA">
        <w:rPr>
          <w:rFonts w:ascii="Arial" w:hAnsi="Arial" w:cs="Arial"/>
          <w:sz w:val="24"/>
          <w:szCs w:val="24"/>
          <w:lang w:val="en-US"/>
        </w:rPr>
        <w:lastRenderedPageBreak/>
        <w:t>Quest revamped the pumps and canopy and Buntibiz refurbished the convenient store, tiled, painted and bought refrigeration</w:t>
      </w:r>
      <w:r w:rsidR="00061322">
        <w:rPr>
          <w:rFonts w:ascii="Arial" w:hAnsi="Arial" w:cs="Arial"/>
          <w:sz w:val="24"/>
          <w:szCs w:val="24"/>
          <w:lang w:val="en-US"/>
        </w:rPr>
        <w:t xml:space="preserve">. </w:t>
      </w:r>
      <w:r w:rsidR="006D6BE7">
        <w:rPr>
          <w:rFonts w:ascii="Arial" w:hAnsi="Arial" w:cs="Arial"/>
          <w:sz w:val="24"/>
          <w:szCs w:val="24"/>
          <w:lang w:val="en-US"/>
        </w:rPr>
        <w:t xml:space="preserve">In this regard </w:t>
      </w:r>
      <w:r w:rsidR="00061322">
        <w:rPr>
          <w:rFonts w:ascii="Arial" w:hAnsi="Arial" w:cs="Arial"/>
          <w:sz w:val="24"/>
          <w:szCs w:val="24"/>
          <w:lang w:val="en-US"/>
        </w:rPr>
        <w:t xml:space="preserve">Buntibiz incurred </w:t>
      </w:r>
      <w:r w:rsidR="000C2AFA">
        <w:rPr>
          <w:rFonts w:ascii="Arial" w:hAnsi="Arial" w:cs="Arial"/>
          <w:sz w:val="24"/>
          <w:szCs w:val="24"/>
          <w:lang w:val="en-US"/>
        </w:rPr>
        <w:t xml:space="preserve">costs </w:t>
      </w:r>
      <w:r w:rsidR="00061322">
        <w:rPr>
          <w:rFonts w:ascii="Arial" w:hAnsi="Arial" w:cs="Arial"/>
          <w:sz w:val="24"/>
          <w:szCs w:val="24"/>
          <w:lang w:val="en-US"/>
        </w:rPr>
        <w:t xml:space="preserve">that </w:t>
      </w:r>
      <w:r w:rsidR="000C2AFA">
        <w:rPr>
          <w:rFonts w:ascii="Arial" w:hAnsi="Arial" w:cs="Arial"/>
          <w:sz w:val="24"/>
          <w:szCs w:val="24"/>
          <w:lang w:val="en-US"/>
        </w:rPr>
        <w:t xml:space="preserve">were in excess of R1 </w:t>
      </w:r>
      <w:r w:rsidR="00061322">
        <w:rPr>
          <w:rFonts w:ascii="Arial" w:hAnsi="Arial" w:cs="Arial"/>
          <w:sz w:val="24"/>
          <w:szCs w:val="24"/>
          <w:lang w:val="en-US"/>
        </w:rPr>
        <w:t>m</w:t>
      </w:r>
      <w:r w:rsidR="000C2AFA">
        <w:rPr>
          <w:rFonts w:ascii="Arial" w:hAnsi="Arial" w:cs="Arial"/>
          <w:sz w:val="24"/>
          <w:szCs w:val="24"/>
          <w:lang w:val="en-US"/>
        </w:rPr>
        <w:t>illion.</w:t>
      </w:r>
    </w:p>
    <w:p w14:paraId="685E5273" w14:textId="4571EDDE" w:rsidR="000C2AFA" w:rsidRDefault="002C4E8D" w:rsidP="002C4E8D">
      <w:pPr>
        <w:spacing w:line="480" w:lineRule="auto"/>
        <w:ind w:left="720" w:hanging="720"/>
        <w:jc w:val="both"/>
        <w:rPr>
          <w:rFonts w:ascii="Arial" w:hAnsi="Arial" w:cs="Arial"/>
          <w:sz w:val="24"/>
          <w:szCs w:val="24"/>
          <w:lang w:val="en-US"/>
        </w:rPr>
      </w:pPr>
      <w:r>
        <w:rPr>
          <w:rFonts w:ascii="Arial" w:hAnsi="Arial" w:cs="Arial"/>
          <w:sz w:val="24"/>
          <w:szCs w:val="24"/>
          <w:lang w:val="en-US"/>
        </w:rPr>
        <w:t>[16]</w:t>
      </w:r>
      <w:r>
        <w:rPr>
          <w:rFonts w:ascii="Arial" w:hAnsi="Arial" w:cs="Arial"/>
          <w:sz w:val="24"/>
          <w:szCs w:val="24"/>
          <w:lang w:val="en-US"/>
        </w:rPr>
        <w:tab/>
      </w:r>
      <w:r w:rsidR="000C2AFA">
        <w:rPr>
          <w:rFonts w:ascii="Arial" w:hAnsi="Arial" w:cs="Arial"/>
          <w:sz w:val="24"/>
          <w:szCs w:val="24"/>
          <w:lang w:val="en-US"/>
        </w:rPr>
        <w:t>During renovations the fil</w:t>
      </w:r>
      <w:r w:rsidR="00D156D7">
        <w:rPr>
          <w:rFonts w:ascii="Arial" w:hAnsi="Arial" w:cs="Arial"/>
          <w:sz w:val="24"/>
          <w:szCs w:val="24"/>
          <w:lang w:val="en-US"/>
        </w:rPr>
        <w:t>l</w:t>
      </w:r>
      <w:r w:rsidR="000C2AFA">
        <w:rPr>
          <w:rFonts w:ascii="Arial" w:hAnsi="Arial" w:cs="Arial"/>
          <w:sz w:val="24"/>
          <w:szCs w:val="24"/>
          <w:lang w:val="en-US"/>
        </w:rPr>
        <w:t>ing station was shut for about three months. After the renovations they reopened the filling station and business improve</w:t>
      </w:r>
      <w:r w:rsidR="006D6BE7">
        <w:rPr>
          <w:rFonts w:ascii="Arial" w:hAnsi="Arial" w:cs="Arial"/>
          <w:sz w:val="24"/>
          <w:szCs w:val="24"/>
          <w:lang w:val="en-US"/>
        </w:rPr>
        <w:t>d</w:t>
      </w:r>
      <w:r w:rsidR="000C2AFA">
        <w:rPr>
          <w:rFonts w:ascii="Arial" w:hAnsi="Arial" w:cs="Arial"/>
          <w:sz w:val="24"/>
          <w:szCs w:val="24"/>
          <w:lang w:val="en-US"/>
        </w:rPr>
        <w:t xml:space="preserve"> slightly but still they were not able to reach their targets. They were informed in December 2018 that the application for a permanent licence had been refused. They were advised by Cloete that the HD</w:t>
      </w:r>
      <w:r w:rsidR="00D156D7">
        <w:rPr>
          <w:rFonts w:ascii="Arial" w:hAnsi="Arial" w:cs="Arial"/>
          <w:sz w:val="24"/>
          <w:szCs w:val="24"/>
          <w:lang w:val="en-US"/>
        </w:rPr>
        <w:t>SA</w:t>
      </w:r>
      <w:r w:rsidR="000C2AFA">
        <w:rPr>
          <w:rFonts w:ascii="Arial" w:hAnsi="Arial" w:cs="Arial"/>
          <w:sz w:val="24"/>
          <w:szCs w:val="24"/>
          <w:lang w:val="en-US"/>
        </w:rPr>
        <w:t xml:space="preserve"> requirement was not necessary</w:t>
      </w:r>
      <w:r w:rsidR="006D6BE7">
        <w:rPr>
          <w:rFonts w:ascii="Arial" w:hAnsi="Arial" w:cs="Arial"/>
          <w:sz w:val="24"/>
          <w:szCs w:val="24"/>
          <w:lang w:val="en-US"/>
        </w:rPr>
        <w:t xml:space="preserve">. </w:t>
      </w:r>
      <w:r w:rsidR="000C2AFA">
        <w:rPr>
          <w:rFonts w:ascii="Arial" w:hAnsi="Arial" w:cs="Arial"/>
          <w:sz w:val="24"/>
          <w:szCs w:val="24"/>
          <w:lang w:val="en-US"/>
        </w:rPr>
        <w:t xml:space="preserve"> </w:t>
      </w:r>
      <w:r w:rsidR="006D6BE7">
        <w:rPr>
          <w:rFonts w:ascii="Arial" w:hAnsi="Arial" w:cs="Arial"/>
          <w:sz w:val="24"/>
          <w:szCs w:val="24"/>
          <w:lang w:val="en-US"/>
        </w:rPr>
        <w:t>T</w:t>
      </w:r>
      <w:r w:rsidR="000C2AFA">
        <w:rPr>
          <w:rFonts w:ascii="Arial" w:hAnsi="Arial" w:cs="Arial"/>
          <w:sz w:val="24"/>
          <w:szCs w:val="24"/>
          <w:lang w:val="en-US"/>
        </w:rPr>
        <w:t xml:space="preserve">hey had no inclination that the 25% rule was applicable and </w:t>
      </w:r>
      <w:r w:rsidR="00A10F08">
        <w:rPr>
          <w:rFonts w:ascii="Arial" w:hAnsi="Arial" w:cs="Arial"/>
          <w:sz w:val="24"/>
          <w:szCs w:val="24"/>
          <w:lang w:val="en-US"/>
        </w:rPr>
        <w:t xml:space="preserve">that </w:t>
      </w:r>
      <w:r w:rsidR="000C2AFA">
        <w:rPr>
          <w:rFonts w:ascii="Arial" w:hAnsi="Arial" w:cs="Arial"/>
          <w:sz w:val="24"/>
          <w:szCs w:val="24"/>
          <w:lang w:val="en-US"/>
        </w:rPr>
        <w:t xml:space="preserve">it was a requirement. </w:t>
      </w:r>
    </w:p>
    <w:p w14:paraId="058DEE28" w14:textId="6753C6E2" w:rsidR="000C2AFA" w:rsidRDefault="002C4E8D" w:rsidP="002C4E8D">
      <w:pPr>
        <w:spacing w:line="480" w:lineRule="auto"/>
        <w:ind w:left="720" w:hanging="720"/>
        <w:jc w:val="both"/>
        <w:rPr>
          <w:rFonts w:ascii="Arial" w:hAnsi="Arial" w:cs="Arial"/>
          <w:sz w:val="24"/>
          <w:szCs w:val="24"/>
          <w:lang w:val="en-US"/>
        </w:rPr>
      </w:pPr>
      <w:r>
        <w:rPr>
          <w:rFonts w:ascii="Arial" w:hAnsi="Arial" w:cs="Arial"/>
          <w:sz w:val="24"/>
          <w:szCs w:val="24"/>
          <w:lang w:val="en-US"/>
        </w:rPr>
        <w:t>[17]</w:t>
      </w:r>
      <w:r>
        <w:rPr>
          <w:rFonts w:ascii="Arial" w:hAnsi="Arial" w:cs="Arial"/>
          <w:sz w:val="24"/>
          <w:szCs w:val="24"/>
          <w:lang w:val="en-US"/>
        </w:rPr>
        <w:tab/>
      </w:r>
      <w:r w:rsidR="000C2AFA">
        <w:rPr>
          <w:rFonts w:ascii="Arial" w:hAnsi="Arial" w:cs="Arial"/>
          <w:sz w:val="24"/>
          <w:szCs w:val="24"/>
          <w:lang w:val="en-US"/>
        </w:rPr>
        <w:t xml:space="preserve">It was suggested that they should put in their wives as shareholders to meet the 25% rule. </w:t>
      </w:r>
      <w:r w:rsidR="00376109">
        <w:rPr>
          <w:rFonts w:ascii="Arial" w:hAnsi="Arial" w:cs="Arial"/>
          <w:sz w:val="24"/>
          <w:szCs w:val="24"/>
          <w:lang w:val="en-US"/>
        </w:rPr>
        <w:t>He,</w:t>
      </w:r>
      <w:r w:rsidR="006D6BE7">
        <w:rPr>
          <w:rFonts w:ascii="Arial" w:hAnsi="Arial" w:cs="Arial"/>
          <w:sz w:val="24"/>
          <w:szCs w:val="24"/>
          <w:lang w:val="en-US"/>
        </w:rPr>
        <w:t xml:space="preserve"> together with Gotz, </w:t>
      </w:r>
      <w:r w:rsidR="000C2AFA">
        <w:rPr>
          <w:rFonts w:ascii="Arial" w:hAnsi="Arial" w:cs="Arial"/>
          <w:sz w:val="24"/>
          <w:szCs w:val="24"/>
          <w:lang w:val="en-US"/>
        </w:rPr>
        <w:t>were not willing to do so because their wives are not involved in their businesses</w:t>
      </w:r>
      <w:r w:rsidR="006D6BE7">
        <w:rPr>
          <w:rFonts w:ascii="Arial" w:hAnsi="Arial" w:cs="Arial"/>
          <w:sz w:val="24"/>
          <w:szCs w:val="24"/>
          <w:lang w:val="en-US"/>
        </w:rPr>
        <w:t>.</w:t>
      </w:r>
      <w:r w:rsidR="000C2AFA">
        <w:rPr>
          <w:rFonts w:ascii="Arial" w:hAnsi="Arial" w:cs="Arial"/>
          <w:sz w:val="24"/>
          <w:szCs w:val="24"/>
          <w:lang w:val="en-US"/>
        </w:rPr>
        <w:t xml:space="preserve"> </w:t>
      </w:r>
      <w:r w:rsidR="006D6BE7">
        <w:rPr>
          <w:rFonts w:ascii="Arial" w:hAnsi="Arial" w:cs="Arial"/>
          <w:sz w:val="24"/>
          <w:szCs w:val="24"/>
          <w:lang w:val="en-US"/>
        </w:rPr>
        <w:t>T</w:t>
      </w:r>
      <w:r w:rsidR="000C2AFA">
        <w:rPr>
          <w:rFonts w:ascii="Arial" w:hAnsi="Arial" w:cs="Arial"/>
          <w:sz w:val="24"/>
          <w:szCs w:val="24"/>
          <w:lang w:val="en-US"/>
        </w:rPr>
        <w:t>hey were not prepared to dilute the shareholding</w:t>
      </w:r>
      <w:r w:rsidR="006D6BE7">
        <w:rPr>
          <w:rFonts w:ascii="Arial" w:hAnsi="Arial" w:cs="Arial"/>
          <w:sz w:val="24"/>
          <w:szCs w:val="24"/>
          <w:lang w:val="en-US"/>
        </w:rPr>
        <w:t xml:space="preserve">. </w:t>
      </w:r>
      <w:r w:rsidR="00376109">
        <w:rPr>
          <w:rFonts w:ascii="Arial" w:hAnsi="Arial" w:cs="Arial"/>
          <w:sz w:val="24"/>
          <w:szCs w:val="24"/>
          <w:lang w:val="en-US"/>
        </w:rPr>
        <w:t>Buntibiz lodged</w:t>
      </w:r>
      <w:r w:rsidR="000C2AFA">
        <w:rPr>
          <w:rFonts w:ascii="Arial" w:hAnsi="Arial" w:cs="Arial"/>
          <w:sz w:val="24"/>
          <w:szCs w:val="24"/>
          <w:lang w:val="en-US"/>
        </w:rPr>
        <w:t xml:space="preserve"> an appeal </w:t>
      </w:r>
      <w:r w:rsidR="006D6BE7">
        <w:rPr>
          <w:rFonts w:ascii="Arial" w:hAnsi="Arial" w:cs="Arial"/>
          <w:sz w:val="24"/>
          <w:szCs w:val="24"/>
          <w:lang w:val="en-US"/>
        </w:rPr>
        <w:t>against the decision refusing licence. T</w:t>
      </w:r>
      <w:r w:rsidR="000C2AFA">
        <w:rPr>
          <w:rFonts w:ascii="Arial" w:hAnsi="Arial" w:cs="Arial"/>
          <w:sz w:val="24"/>
          <w:szCs w:val="24"/>
          <w:lang w:val="en-US"/>
        </w:rPr>
        <w:t>h</w:t>
      </w:r>
      <w:r w:rsidR="00D156D7">
        <w:rPr>
          <w:rFonts w:ascii="Arial" w:hAnsi="Arial" w:cs="Arial"/>
          <w:sz w:val="24"/>
          <w:szCs w:val="24"/>
          <w:lang w:val="en-US"/>
        </w:rPr>
        <w:t xml:space="preserve">e appeal </w:t>
      </w:r>
      <w:r w:rsidR="000C2AFA">
        <w:rPr>
          <w:rFonts w:ascii="Arial" w:hAnsi="Arial" w:cs="Arial"/>
          <w:sz w:val="24"/>
          <w:szCs w:val="24"/>
          <w:lang w:val="en-US"/>
        </w:rPr>
        <w:t xml:space="preserve">was </w:t>
      </w:r>
      <w:r w:rsidR="006D6BE7">
        <w:rPr>
          <w:rFonts w:ascii="Arial" w:hAnsi="Arial" w:cs="Arial"/>
          <w:sz w:val="24"/>
          <w:szCs w:val="24"/>
          <w:lang w:val="en-US"/>
        </w:rPr>
        <w:t xml:space="preserve">unsuccessful. </w:t>
      </w:r>
      <w:r w:rsidR="000C2AFA">
        <w:rPr>
          <w:rFonts w:ascii="Arial" w:hAnsi="Arial" w:cs="Arial"/>
          <w:sz w:val="24"/>
          <w:szCs w:val="24"/>
          <w:lang w:val="en-US"/>
        </w:rPr>
        <w:t xml:space="preserve">In </w:t>
      </w:r>
      <w:r w:rsidR="00A10F08">
        <w:rPr>
          <w:rFonts w:ascii="Arial" w:hAnsi="Arial" w:cs="Arial"/>
          <w:sz w:val="24"/>
          <w:szCs w:val="24"/>
          <w:lang w:val="en-US"/>
        </w:rPr>
        <w:t xml:space="preserve">the </w:t>
      </w:r>
      <w:r w:rsidR="000C2AFA">
        <w:rPr>
          <w:rFonts w:ascii="Arial" w:hAnsi="Arial" w:cs="Arial"/>
          <w:sz w:val="24"/>
          <w:szCs w:val="24"/>
          <w:lang w:val="en-US"/>
        </w:rPr>
        <w:t>motivation for the appeal</w:t>
      </w:r>
      <w:r w:rsidR="00A10F08">
        <w:rPr>
          <w:rFonts w:ascii="Arial" w:hAnsi="Arial" w:cs="Arial"/>
          <w:sz w:val="24"/>
          <w:szCs w:val="24"/>
          <w:lang w:val="en-US"/>
        </w:rPr>
        <w:t xml:space="preserve">, </w:t>
      </w:r>
      <w:r w:rsidR="000C2AFA">
        <w:rPr>
          <w:rFonts w:ascii="Arial" w:hAnsi="Arial" w:cs="Arial"/>
          <w:sz w:val="24"/>
          <w:szCs w:val="24"/>
          <w:lang w:val="en-US"/>
        </w:rPr>
        <w:t xml:space="preserve">Cloete put in that </w:t>
      </w:r>
      <w:r w:rsidR="006D6BE7">
        <w:rPr>
          <w:rFonts w:ascii="Arial" w:hAnsi="Arial" w:cs="Arial"/>
          <w:sz w:val="24"/>
          <w:szCs w:val="24"/>
          <w:lang w:val="en-US"/>
        </w:rPr>
        <w:t xml:space="preserve">Buntibiz </w:t>
      </w:r>
      <w:r w:rsidR="000C2AFA">
        <w:rPr>
          <w:rFonts w:ascii="Arial" w:hAnsi="Arial" w:cs="Arial"/>
          <w:sz w:val="24"/>
          <w:szCs w:val="24"/>
          <w:lang w:val="en-US"/>
        </w:rPr>
        <w:t xml:space="preserve">would restructure </w:t>
      </w:r>
      <w:r w:rsidR="006D6BE7">
        <w:rPr>
          <w:rFonts w:ascii="Arial" w:hAnsi="Arial" w:cs="Arial"/>
          <w:sz w:val="24"/>
          <w:szCs w:val="24"/>
          <w:lang w:val="en-US"/>
        </w:rPr>
        <w:t xml:space="preserve">its shareholding. </w:t>
      </w:r>
      <w:r w:rsidR="000C2AFA">
        <w:rPr>
          <w:rFonts w:ascii="Arial" w:hAnsi="Arial" w:cs="Arial"/>
          <w:sz w:val="24"/>
          <w:szCs w:val="24"/>
          <w:lang w:val="en-US"/>
        </w:rPr>
        <w:t xml:space="preserve">That was not an instruction from </w:t>
      </w:r>
      <w:r w:rsidR="00A10F08">
        <w:rPr>
          <w:rFonts w:ascii="Arial" w:hAnsi="Arial" w:cs="Arial"/>
          <w:sz w:val="24"/>
          <w:szCs w:val="24"/>
          <w:lang w:val="en-US"/>
        </w:rPr>
        <w:t>Buntibiz</w:t>
      </w:r>
      <w:r w:rsidR="000C2AFA">
        <w:rPr>
          <w:rFonts w:ascii="Arial" w:hAnsi="Arial" w:cs="Arial"/>
          <w:sz w:val="24"/>
          <w:szCs w:val="24"/>
          <w:lang w:val="en-US"/>
        </w:rPr>
        <w:t xml:space="preserve"> and as a result </w:t>
      </w:r>
      <w:r w:rsidR="00D156D7">
        <w:rPr>
          <w:rFonts w:ascii="Arial" w:hAnsi="Arial" w:cs="Arial"/>
          <w:sz w:val="24"/>
          <w:szCs w:val="24"/>
          <w:lang w:val="en-US"/>
        </w:rPr>
        <w:t>McLoughlin</w:t>
      </w:r>
      <w:r w:rsidR="000C2AFA">
        <w:rPr>
          <w:rFonts w:ascii="Arial" w:hAnsi="Arial" w:cs="Arial"/>
          <w:sz w:val="24"/>
          <w:szCs w:val="24"/>
          <w:lang w:val="en-US"/>
        </w:rPr>
        <w:t xml:space="preserve"> demanded that Cloete withdraw that statement</w:t>
      </w:r>
      <w:r w:rsidR="006D6BE7">
        <w:rPr>
          <w:rFonts w:ascii="Arial" w:hAnsi="Arial" w:cs="Arial"/>
          <w:sz w:val="24"/>
          <w:szCs w:val="24"/>
          <w:lang w:val="en-US"/>
        </w:rPr>
        <w:t xml:space="preserve">, </w:t>
      </w:r>
      <w:r w:rsidR="000C2AFA">
        <w:rPr>
          <w:rFonts w:ascii="Arial" w:hAnsi="Arial" w:cs="Arial"/>
          <w:sz w:val="24"/>
          <w:szCs w:val="24"/>
          <w:lang w:val="en-US"/>
        </w:rPr>
        <w:t>which he did. The appeal was then submitted to the Minister</w:t>
      </w:r>
      <w:r w:rsidR="006D6BE7">
        <w:rPr>
          <w:rFonts w:ascii="Arial" w:hAnsi="Arial" w:cs="Arial"/>
          <w:sz w:val="24"/>
          <w:szCs w:val="24"/>
          <w:lang w:val="en-US"/>
        </w:rPr>
        <w:t xml:space="preserve">. </w:t>
      </w:r>
      <w:r w:rsidR="000C2AFA">
        <w:rPr>
          <w:rFonts w:ascii="Arial" w:hAnsi="Arial" w:cs="Arial"/>
          <w:sz w:val="24"/>
          <w:szCs w:val="24"/>
          <w:lang w:val="en-US"/>
        </w:rPr>
        <w:t xml:space="preserve"> </w:t>
      </w:r>
      <w:r w:rsidR="006D6BE7">
        <w:rPr>
          <w:rFonts w:ascii="Arial" w:hAnsi="Arial" w:cs="Arial"/>
          <w:sz w:val="24"/>
          <w:szCs w:val="24"/>
          <w:lang w:val="en-US"/>
        </w:rPr>
        <w:t>T</w:t>
      </w:r>
      <w:r w:rsidR="000C2AFA">
        <w:rPr>
          <w:rFonts w:ascii="Arial" w:hAnsi="Arial" w:cs="Arial"/>
          <w:sz w:val="24"/>
          <w:szCs w:val="24"/>
          <w:lang w:val="en-US"/>
        </w:rPr>
        <w:t xml:space="preserve">hey received the Minister’s decision on 6 January 2021. The Minister refused the appeal </w:t>
      </w:r>
      <w:r w:rsidR="006D6BE7">
        <w:rPr>
          <w:rFonts w:ascii="Arial" w:hAnsi="Arial" w:cs="Arial"/>
          <w:sz w:val="24"/>
          <w:szCs w:val="24"/>
          <w:lang w:val="en-US"/>
        </w:rPr>
        <w:t xml:space="preserve">by Buntibiz </w:t>
      </w:r>
      <w:r w:rsidR="000C2AFA">
        <w:rPr>
          <w:rFonts w:ascii="Arial" w:hAnsi="Arial" w:cs="Arial"/>
          <w:sz w:val="24"/>
          <w:szCs w:val="24"/>
          <w:lang w:val="en-US"/>
        </w:rPr>
        <w:t xml:space="preserve">on 12 December 2020. </w:t>
      </w:r>
    </w:p>
    <w:p w14:paraId="30F628FB" w14:textId="7962B309" w:rsidR="000C2AFA" w:rsidRDefault="002C4E8D" w:rsidP="002C4E8D">
      <w:pPr>
        <w:spacing w:line="480" w:lineRule="auto"/>
        <w:ind w:left="720" w:hanging="720"/>
        <w:jc w:val="both"/>
        <w:rPr>
          <w:rFonts w:ascii="Arial" w:hAnsi="Arial" w:cs="Arial"/>
          <w:sz w:val="24"/>
          <w:szCs w:val="24"/>
          <w:lang w:val="en-US"/>
        </w:rPr>
      </w:pPr>
      <w:r>
        <w:rPr>
          <w:rFonts w:ascii="Arial" w:hAnsi="Arial" w:cs="Arial"/>
          <w:sz w:val="24"/>
          <w:szCs w:val="24"/>
          <w:lang w:val="en-US"/>
        </w:rPr>
        <w:t>[18]</w:t>
      </w:r>
      <w:r>
        <w:rPr>
          <w:rFonts w:ascii="Arial" w:hAnsi="Arial" w:cs="Arial"/>
          <w:sz w:val="24"/>
          <w:szCs w:val="24"/>
          <w:lang w:val="en-US"/>
        </w:rPr>
        <w:tab/>
      </w:r>
      <w:r w:rsidR="000C2AFA">
        <w:rPr>
          <w:rFonts w:ascii="Arial" w:hAnsi="Arial" w:cs="Arial"/>
          <w:sz w:val="24"/>
          <w:szCs w:val="24"/>
          <w:lang w:val="en-US"/>
        </w:rPr>
        <w:t xml:space="preserve">It is common cause that the reason for the refusal of the appeal was based on the 25% rule. Whilst awaiting the outcome of the licence </w:t>
      </w:r>
      <w:r w:rsidR="006D6BE7">
        <w:rPr>
          <w:rFonts w:ascii="Arial" w:hAnsi="Arial" w:cs="Arial"/>
          <w:sz w:val="24"/>
          <w:szCs w:val="24"/>
          <w:lang w:val="en-US"/>
        </w:rPr>
        <w:t xml:space="preserve">Buntibiz </w:t>
      </w:r>
      <w:r w:rsidR="000C2AFA">
        <w:rPr>
          <w:rFonts w:ascii="Arial" w:hAnsi="Arial" w:cs="Arial"/>
          <w:sz w:val="24"/>
          <w:szCs w:val="24"/>
          <w:lang w:val="en-US"/>
        </w:rPr>
        <w:t xml:space="preserve">continued to </w:t>
      </w:r>
      <w:r w:rsidR="00376109">
        <w:rPr>
          <w:rFonts w:ascii="Arial" w:hAnsi="Arial" w:cs="Arial"/>
          <w:sz w:val="24"/>
          <w:szCs w:val="24"/>
          <w:lang w:val="en-US"/>
        </w:rPr>
        <w:t>trade.</w:t>
      </w:r>
      <w:r w:rsidR="006D6BE7">
        <w:rPr>
          <w:rFonts w:ascii="Arial" w:hAnsi="Arial" w:cs="Arial"/>
          <w:sz w:val="24"/>
          <w:szCs w:val="24"/>
          <w:lang w:val="en-US"/>
        </w:rPr>
        <w:t xml:space="preserve"> It was </w:t>
      </w:r>
      <w:r w:rsidR="000C2AFA">
        <w:rPr>
          <w:rFonts w:ascii="Arial" w:hAnsi="Arial" w:cs="Arial"/>
          <w:sz w:val="24"/>
          <w:szCs w:val="24"/>
          <w:lang w:val="en-US"/>
        </w:rPr>
        <w:t xml:space="preserve">able to meet </w:t>
      </w:r>
      <w:r w:rsidR="006D6BE7">
        <w:rPr>
          <w:rFonts w:ascii="Arial" w:hAnsi="Arial" w:cs="Arial"/>
          <w:sz w:val="24"/>
          <w:szCs w:val="24"/>
          <w:lang w:val="en-US"/>
        </w:rPr>
        <w:t xml:space="preserve">its </w:t>
      </w:r>
      <w:r w:rsidR="000C2AFA">
        <w:rPr>
          <w:rFonts w:ascii="Arial" w:hAnsi="Arial" w:cs="Arial"/>
          <w:sz w:val="24"/>
          <w:szCs w:val="24"/>
          <w:lang w:val="en-US"/>
        </w:rPr>
        <w:t xml:space="preserve">commitments for rentals, fuel supply even though </w:t>
      </w:r>
      <w:r w:rsidR="006D6BE7">
        <w:rPr>
          <w:rFonts w:ascii="Arial" w:hAnsi="Arial" w:cs="Arial"/>
          <w:sz w:val="24"/>
          <w:szCs w:val="24"/>
          <w:lang w:val="en-US"/>
        </w:rPr>
        <w:t>it</w:t>
      </w:r>
      <w:r w:rsidR="000C2AFA">
        <w:rPr>
          <w:rFonts w:ascii="Arial" w:hAnsi="Arial" w:cs="Arial"/>
          <w:sz w:val="24"/>
          <w:szCs w:val="24"/>
          <w:lang w:val="en-US"/>
        </w:rPr>
        <w:t xml:space="preserve"> did from time to time fall into ar</w:t>
      </w:r>
      <w:r w:rsidR="006D6BE7">
        <w:rPr>
          <w:rFonts w:ascii="Arial" w:hAnsi="Arial" w:cs="Arial"/>
          <w:sz w:val="24"/>
          <w:szCs w:val="24"/>
          <w:lang w:val="en-US"/>
        </w:rPr>
        <w:t>r</w:t>
      </w:r>
      <w:r w:rsidR="000C2AFA">
        <w:rPr>
          <w:rFonts w:ascii="Arial" w:hAnsi="Arial" w:cs="Arial"/>
          <w:sz w:val="24"/>
          <w:szCs w:val="24"/>
          <w:lang w:val="en-US"/>
        </w:rPr>
        <w:t xml:space="preserve">ears. </w:t>
      </w:r>
    </w:p>
    <w:p w14:paraId="6E8F04B7" w14:textId="4BF9DF37" w:rsidR="000C2AFA" w:rsidRDefault="000C2AFA" w:rsidP="000C2AFA">
      <w:pPr>
        <w:spacing w:line="480" w:lineRule="auto"/>
        <w:ind w:left="720" w:hanging="720"/>
        <w:jc w:val="both"/>
        <w:rPr>
          <w:rFonts w:ascii="Arial" w:hAnsi="Arial" w:cs="Arial"/>
          <w:sz w:val="24"/>
          <w:szCs w:val="24"/>
          <w:lang w:val="en-US"/>
        </w:rPr>
      </w:pPr>
      <w:r>
        <w:rPr>
          <w:rFonts w:ascii="Arial" w:hAnsi="Arial" w:cs="Arial"/>
          <w:sz w:val="24"/>
          <w:szCs w:val="24"/>
          <w:lang w:val="en-US"/>
        </w:rPr>
        <w:lastRenderedPageBreak/>
        <w:t>[</w:t>
      </w:r>
      <w:r w:rsidR="005942E4">
        <w:rPr>
          <w:rFonts w:ascii="Arial" w:hAnsi="Arial" w:cs="Arial"/>
          <w:sz w:val="24"/>
          <w:szCs w:val="24"/>
          <w:lang w:val="en-US"/>
        </w:rPr>
        <w:t>1</w:t>
      </w:r>
      <w:r w:rsidR="002C4E8D">
        <w:rPr>
          <w:rFonts w:ascii="Arial" w:hAnsi="Arial" w:cs="Arial"/>
          <w:sz w:val="24"/>
          <w:szCs w:val="24"/>
          <w:lang w:val="en-US"/>
        </w:rPr>
        <w:t>9</w:t>
      </w:r>
      <w:r>
        <w:rPr>
          <w:rFonts w:ascii="Arial" w:hAnsi="Arial" w:cs="Arial"/>
          <w:sz w:val="24"/>
          <w:szCs w:val="24"/>
          <w:lang w:val="en-US"/>
        </w:rPr>
        <w:t>]</w:t>
      </w:r>
      <w:r>
        <w:rPr>
          <w:rFonts w:ascii="Arial" w:hAnsi="Arial" w:cs="Arial"/>
          <w:sz w:val="24"/>
          <w:szCs w:val="24"/>
          <w:lang w:val="en-US"/>
        </w:rPr>
        <w:tab/>
        <w:t>Thereafter this witness was taken through a number of emails and letters on the basis that they were relevant to the issues at hand. Quest objected to that on the basis that th</w:t>
      </w:r>
      <w:r w:rsidR="006D6BE7">
        <w:rPr>
          <w:rFonts w:ascii="Arial" w:hAnsi="Arial" w:cs="Arial"/>
          <w:sz w:val="24"/>
          <w:szCs w:val="24"/>
          <w:lang w:val="en-US"/>
        </w:rPr>
        <w:t>ose documents</w:t>
      </w:r>
      <w:r>
        <w:rPr>
          <w:rFonts w:ascii="Arial" w:hAnsi="Arial" w:cs="Arial"/>
          <w:sz w:val="24"/>
          <w:szCs w:val="24"/>
          <w:lang w:val="en-US"/>
        </w:rPr>
        <w:t xml:space="preserve"> were not relevant</w:t>
      </w:r>
      <w:r w:rsidR="006D6BE7">
        <w:rPr>
          <w:rFonts w:ascii="Arial" w:hAnsi="Arial" w:cs="Arial"/>
          <w:sz w:val="24"/>
          <w:szCs w:val="24"/>
          <w:lang w:val="en-US"/>
        </w:rPr>
        <w:t xml:space="preserve"> to the issues before court</w:t>
      </w:r>
      <w:r>
        <w:rPr>
          <w:rFonts w:ascii="Arial" w:hAnsi="Arial" w:cs="Arial"/>
          <w:sz w:val="24"/>
          <w:szCs w:val="24"/>
          <w:lang w:val="en-US"/>
        </w:rPr>
        <w:t xml:space="preserve">. The court ruled that they would be provisionally admitted. It was </w:t>
      </w:r>
      <w:r w:rsidR="005C3672">
        <w:rPr>
          <w:rFonts w:ascii="Arial" w:hAnsi="Arial" w:cs="Arial"/>
          <w:sz w:val="24"/>
          <w:szCs w:val="24"/>
          <w:lang w:val="en-US"/>
        </w:rPr>
        <w:t xml:space="preserve">only </w:t>
      </w:r>
      <w:r>
        <w:rPr>
          <w:rFonts w:ascii="Arial" w:hAnsi="Arial" w:cs="Arial"/>
          <w:sz w:val="24"/>
          <w:szCs w:val="24"/>
          <w:lang w:val="en-US"/>
        </w:rPr>
        <w:t>at the end of the matter during argument that Mr Hopkins SC conceded that</w:t>
      </w:r>
      <w:r w:rsidR="006D6BE7">
        <w:rPr>
          <w:rFonts w:ascii="Arial" w:hAnsi="Arial" w:cs="Arial"/>
          <w:sz w:val="24"/>
          <w:szCs w:val="24"/>
          <w:lang w:val="en-US"/>
        </w:rPr>
        <w:t xml:space="preserve">, </w:t>
      </w:r>
      <w:r>
        <w:rPr>
          <w:rFonts w:ascii="Arial" w:hAnsi="Arial" w:cs="Arial"/>
          <w:sz w:val="24"/>
          <w:szCs w:val="24"/>
          <w:lang w:val="en-US"/>
        </w:rPr>
        <w:t>bar one letter</w:t>
      </w:r>
      <w:r w:rsidR="006D6BE7">
        <w:rPr>
          <w:rFonts w:ascii="Arial" w:hAnsi="Arial" w:cs="Arial"/>
          <w:sz w:val="24"/>
          <w:szCs w:val="24"/>
          <w:lang w:val="en-US"/>
        </w:rPr>
        <w:t xml:space="preserve"> </w:t>
      </w:r>
      <w:r w:rsidR="00376109">
        <w:rPr>
          <w:rFonts w:ascii="Arial" w:hAnsi="Arial" w:cs="Arial"/>
          <w:sz w:val="24"/>
          <w:szCs w:val="24"/>
          <w:lang w:val="en-US"/>
        </w:rPr>
        <w:t>(“</w:t>
      </w:r>
      <w:r w:rsidR="006D6BE7">
        <w:rPr>
          <w:rFonts w:ascii="Arial" w:hAnsi="Arial" w:cs="Arial"/>
          <w:sz w:val="24"/>
          <w:szCs w:val="24"/>
          <w:lang w:val="en-US"/>
        </w:rPr>
        <w:t>Exhibit A</w:t>
      </w:r>
      <w:r w:rsidR="005C3672">
        <w:rPr>
          <w:rFonts w:ascii="Arial" w:hAnsi="Arial" w:cs="Arial"/>
          <w:sz w:val="24"/>
          <w:szCs w:val="24"/>
          <w:lang w:val="en-US"/>
        </w:rPr>
        <w:t>”</w:t>
      </w:r>
      <w:r w:rsidR="006D6BE7">
        <w:rPr>
          <w:rFonts w:ascii="Arial" w:hAnsi="Arial" w:cs="Arial"/>
          <w:sz w:val="24"/>
          <w:szCs w:val="24"/>
          <w:lang w:val="en-US"/>
        </w:rPr>
        <w:t>)</w:t>
      </w:r>
      <w:r>
        <w:rPr>
          <w:rFonts w:ascii="Arial" w:hAnsi="Arial" w:cs="Arial"/>
          <w:sz w:val="24"/>
          <w:szCs w:val="24"/>
          <w:lang w:val="en-US"/>
        </w:rPr>
        <w:t>, all the other</w:t>
      </w:r>
      <w:r w:rsidR="006D6BE7">
        <w:rPr>
          <w:rFonts w:ascii="Arial" w:hAnsi="Arial" w:cs="Arial"/>
          <w:sz w:val="24"/>
          <w:szCs w:val="24"/>
          <w:lang w:val="en-US"/>
        </w:rPr>
        <w:t xml:space="preserve"> documents</w:t>
      </w:r>
      <w:r>
        <w:rPr>
          <w:rFonts w:ascii="Arial" w:hAnsi="Arial" w:cs="Arial"/>
          <w:sz w:val="24"/>
          <w:szCs w:val="24"/>
          <w:lang w:val="en-US"/>
        </w:rPr>
        <w:t xml:space="preserve"> were irrelevant. I shall revert to this issue later.</w:t>
      </w:r>
    </w:p>
    <w:p w14:paraId="31EB268F" w14:textId="6E0201E4" w:rsidR="005C3672" w:rsidRDefault="000C2AFA" w:rsidP="005C3672">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F42F2F">
        <w:rPr>
          <w:rFonts w:ascii="Arial" w:hAnsi="Arial" w:cs="Arial"/>
          <w:sz w:val="24"/>
          <w:szCs w:val="24"/>
          <w:lang w:val="en-US"/>
        </w:rPr>
        <w:t>20</w:t>
      </w:r>
      <w:r>
        <w:rPr>
          <w:rFonts w:ascii="Arial" w:hAnsi="Arial" w:cs="Arial"/>
          <w:sz w:val="24"/>
          <w:szCs w:val="24"/>
          <w:lang w:val="en-US"/>
        </w:rPr>
        <w:t>]</w:t>
      </w:r>
      <w:r>
        <w:rPr>
          <w:rFonts w:ascii="Arial" w:hAnsi="Arial" w:cs="Arial"/>
          <w:sz w:val="24"/>
          <w:szCs w:val="24"/>
          <w:lang w:val="en-US"/>
        </w:rPr>
        <w:tab/>
        <w:t xml:space="preserve">It is worth-mentioning that most of those letters related to settlement negotiations between Quest Petroleum who is not a party in these </w:t>
      </w:r>
      <w:r w:rsidR="00376109">
        <w:rPr>
          <w:rFonts w:ascii="Arial" w:hAnsi="Arial" w:cs="Arial"/>
          <w:sz w:val="24"/>
          <w:szCs w:val="24"/>
          <w:lang w:val="en-US"/>
        </w:rPr>
        <w:t>proceedings,</w:t>
      </w:r>
      <w:r>
        <w:rPr>
          <w:rFonts w:ascii="Arial" w:hAnsi="Arial" w:cs="Arial"/>
          <w:sz w:val="24"/>
          <w:szCs w:val="24"/>
          <w:lang w:val="en-US"/>
        </w:rPr>
        <w:t xml:space="preserve"> and Buntibiz. It </w:t>
      </w:r>
      <w:r w:rsidR="00044E36">
        <w:rPr>
          <w:rFonts w:ascii="Arial" w:hAnsi="Arial" w:cs="Arial"/>
          <w:sz w:val="24"/>
          <w:szCs w:val="24"/>
          <w:lang w:val="en-US"/>
        </w:rPr>
        <w:t xml:space="preserve">is </w:t>
      </w:r>
      <w:r>
        <w:rPr>
          <w:rFonts w:ascii="Arial" w:hAnsi="Arial" w:cs="Arial"/>
          <w:sz w:val="24"/>
          <w:szCs w:val="24"/>
          <w:lang w:val="en-US"/>
        </w:rPr>
        <w:t xml:space="preserve">also common cause that Quest </w:t>
      </w:r>
      <w:r w:rsidR="008F6909">
        <w:rPr>
          <w:rFonts w:ascii="Arial" w:hAnsi="Arial" w:cs="Arial"/>
          <w:sz w:val="24"/>
          <w:szCs w:val="24"/>
          <w:lang w:val="en-US"/>
        </w:rPr>
        <w:t xml:space="preserve">Petroleum </w:t>
      </w:r>
      <w:r>
        <w:rPr>
          <w:rFonts w:ascii="Arial" w:hAnsi="Arial" w:cs="Arial"/>
          <w:sz w:val="24"/>
          <w:szCs w:val="24"/>
          <w:lang w:val="en-US"/>
        </w:rPr>
        <w:t xml:space="preserve">sold </w:t>
      </w:r>
      <w:r w:rsidRPr="008F6909">
        <w:rPr>
          <w:rFonts w:ascii="Arial" w:hAnsi="Arial" w:cs="Arial"/>
          <w:color w:val="000000" w:themeColor="text1"/>
          <w:sz w:val="24"/>
          <w:szCs w:val="24"/>
          <w:lang w:val="en-US"/>
        </w:rPr>
        <w:t xml:space="preserve">the business </w:t>
      </w:r>
      <w:r>
        <w:rPr>
          <w:rFonts w:ascii="Arial" w:hAnsi="Arial" w:cs="Arial"/>
          <w:sz w:val="24"/>
          <w:szCs w:val="24"/>
          <w:lang w:val="en-US"/>
        </w:rPr>
        <w:t>to Maguta</w:t>
      </w:r>
      <w:r w:rsidR="006D6BE7">
        <w:rPr>
          <w:rFonts w:ascii="Arial" w:hAnsi="Arial" w:cs="Arial"/>
          <w:sz w:val="24"/>
          <w:szCs w:val="24"/>
          <w:lang w:val="en-US"/>
        </w:rPr>
        <w:t xml:space="preserve"> </w:t>
      </w:r>
      <w:r w:rsidR="005C3672">
        <w:rPr>
          <w:rFonts w:ascii="Arial" w:hAnsi="Arial" w:cs="Arial"/>
          <w:sz w:val="24"/>
          <w:szCs w:val="24"/>
          <w:lang w:val="en-US"/>
        </w:rPr>
        <w:t xml:space="preserve">Properties </w:t>
      </w:r>
      <w:r w:rsidR="00AD516F">
        <w:rPr>
          <w:rFonts w:ascii="Arial" w:hAnsi="Arial" w:cs="Arial"/>
          <w:sz w:val="24"/>
          <w:szCs w:val="24"/>
          <w:lang w:val="en-US"/>
        </w:rPr>
        <w:t>(Pty</w:t>
      </w:r>
      <w:r w:rsidR="006D6BE7">
        <w:rPr>
          <w:rFonts w:ascii="Arial" w:hAnsi="Arial" w:cs="Arial"/>
          <w:sz w:val="24"/>
          <w:szCs w:val="24"/>
          <w:lang w:val="en-US"/>
        </w:rPr>
        <w:t>) Ltd</w:t>
      </w:r>
      <w:r>
        <w:rPr>
          <w:rFonts w:ascii="Arial" w:hAnsi="Arial" w:cs="Arial"/>
          <w:sz w:val="24"/>
          <w:szCs w:val="24"/>
          <w:lang w:val="en-US"/>
        </w:rPr>
        <w:t xml:space="preserve">. </w:t>
      </w:r>
      <w:r w:rsidR="00AD516F">
        <w:rPr>
          <w:rFonts w:ascii="Arial" w:hAnsi="Arial" w:cs="Arial"/>
          <w:sz w:val="24"/>
          <w:szCs w:val="24"/>
          <w:lang w:val="en-US"/>
        </w:rPr>
        <w:t>In his</w:t>
      </w:r>
      <w:r>
        <w:rPr>
          <w:rFonts w:ascii="Arial" w:hAnsi="Arial" w:cs="Arial"/>
          <w:sz w:val="24"/>
          <w:szCs w:val="24"/>
          <w:lang w:val="en-US"/>
        </w:rPr>
        <w:t xml:space="preserve"> evidence </w:t>
      </w:r>
      <w:r w:rsidR="005C3672">
        <w:rPr>
          <w:rFonts w:ascii="Arial" w:hAnsi="Arial" w:cs="Arial"/>
          <w:sz w:val="24"/>
          <w:szCs w:val="24"/>
          <w:lang w:val="en-US"/>
        </w:rPr>
        <w:t>-</w:t>
      </w:r>
      <w:r>
        <w:rPr>
          <w:rFonts w:ascii="Arial" w:hAnsi="Arial" w:cs="Arial"/>
          <w:sz w:val="24"/>
          <w:szCs w:val="24"/>
          <w:lang w:val="en-US"/>
        </w:rPr>
        <w:t xml:space="preserve">in </w:t>
      </w:r>
      <w:r w:rsidR="005C3672">
        <w:rPr>
          <w:rFonts w:ascii="Arial" w:hAnsi="Arial" w:cs="Arial"/>
          <w:sz w:val="24"/>
          <w:szCs w:val="24"/>
          <w:lang w:val="en-US"/>
        </w:rPr>
        <w:t>-</w:t>
      </w:r>
      <w:r>
        <w:rPr>
          <w:rFonts w:ascii="Arial" w:hAnsi="Arial" w:cs="Arial"/>
          <w:sz w:val="24"/>
          <w:szCs w:val="24"/>
          <w:lang w:val="en-US"/>
        </w:rPr>
        <w:t xml:space="preserve">chief </w:t>
      </w:r>
      <w:r w:rsidR="003F127B">
        <w:rPr>
          <w:rFonts w:ascii="Arial" w:hAnsi="Arial" w:cs="Arial"/>
          <w:sz w:val="24"/>
          <w:szCs w:val="24"/>
          <w:lang w:val="en-US"/>
        </w:rPr>
        <w:t>McLoughlin</w:t>
      </w:r>
      <w:r>
        <w:rPr>
          <w:rFonts w:ascii="Arial" w:hAnsi="Arial" w:cs="Arial"/>
          <w:sz w:val="24"/>
          <w:szCs w:val="24"/>
          <w:lang w:val="en-US"/>
        </w:rPr>
        <w:t xml:space="preserve"> testified that the same business was sold to Maguta for R2.5 </w:t>
      </w:r>
      <w:r w:rsidR="005C3672">
        <w:rPr>
          <w:rFonts w:ascii="Arial" w:hAnsi="Arial" w:cs="Arial"/>
          <w:sz w:val="24"/>
          <w:szCs w:val="24"/>
          <w:lang w:val="en-US"/>
        </w:rPr>
        <w:t>m</w:t>
      </w:r>
      <w:r>
        <w:rPr>
          <w:rFonts w:ascii="Arial" w:hAnsi="Arial" w:cs="Arial"/>
          <w:sz w:val="24"/>
          <w:szCs w:val="24"/>
          <w:lang w:val="en-US"/>
        </w:rPr>
        <w:t>illion.</w:t>
      </w:r>
      <w:r w:rsidR="00D568B3">
        <w:rPr>
          <w:rFonts w:ascii="Arial" w:hAnsi="Arial" w:cs="Arial"/>
          <w:sz w:val="24"/>
          <w:szCs w:val="24"/>
          <w:lang w:val="en-US"/>
        </w:rPr>
        <w:t xml:space="preserve"> </w:t>
      </w:r>
      <w:r w:rsidR="005C3672" w:rsidRPr="005C3672">
        <w:rPr>
          <w:rFonts w:ascii="Arial" w:hAnsi="Arial" w:cs="Arial"/>
          <w:sz w:val="24"/>
          <w:szCs w:val="24"/>
          <w:lang w:val="en-US"/>
        </w:rPr>
        <w:t xml:space="preserve"> </w:t>
      </w:r>
      <w:r w:rsidR="005C3672">
        <w:rPr>
          <w:rFonts w:ascii="Arial" w:hAnsi="Arial" w:cs="Arial"/>
          <w:sz w:val="24"/>
          <w:szCs w:val="24"/>
          <w:lang w:val="en-US"/>
        </w:rPr>
        <w:t xml:space="preserve">Later in his evidence -in -chief when asked by counsel in reference to a letter dated 6 May </w:t>
      </w:r>
      <w:r w:rsidR="00AD516F">
        <w:rPr>
          <w:rFonts w:ascii="Arial" w:hAnsi="Arial" w:cs="Arial"/>
          <w:sz w:val="24"/>
          <w:szCs w:val="24"/>
          <w:lang w:val="en-US"/>
        </w:rPr>
        <w:t>2020,</w:t>
      </w:r>
      <w:r w:rsidR="005C3672">
        <w:rPr>
          <w:rFonts w:ascii="Arial" w:hAnsi="Arial" w:cs="Arial"/>
          <w:sz w:val="24"/>
          <w:szCs w:val="24"/>
          <w:lang w:val="en-US"/>
        </w:rPr>
        <w:t xml:space="preserve"> “Exhibit K</w:t>
      </w:r>
      <w:r w:rsidR="00AD516F">
        <w:rPr>
          <w:rFonts w:ascii="Arial" w:hAnsi="Arial" w:cs="Arial"/>
          <w:sz w:val="24"/>
          <w:szCs w:val="24"/>
          <w:lang w:val="en-US"/>
        </w:rPr>
        <w:t>”:</w:t>
      </w:r>
      <w:r w:rsidR="005C3672">
        <w:rPr>
          <w:rFonts w:ascii="Arial" w:hAnsi="Arial" w:cs="Arial"/>
          <w:sz w:val="24"/>
          <w:szCs w:val="24"/>
          <w:lang w:val="en-US"/>
        </w:rPr>
        <w:t xml:space="preserve"> </w:t>
      </w:r>
    </w:p>
    <w:p w14:paraId="2532F845" w14:textId="37C43962" w:rsidR="005C3672" w:rsidRPr="002F1E2A" w:rsidRDefault="005C3672" w:rsidP="002F1E2A">
      <w:pPr>
        <w:spacing w:line="240" w:lineRule="auto"/>
        <w:ind w:left="720" w:hanging="720"/>
        <w:jc w:val="both"/>
        <w:rPr>
          <w:rFonts w:ascii="Arial" w:hAnsi="Arial" w:cs="Arial"/>
          <w:i/>
          <w:iCs/>
          <w:sz w:val="20"/>
          <w:szCs w:val="20"/>
          <w:lang w:val="en-US"/>
        </w:rPr>
      </w:pPr>
      <w:r>
        <w:rPr>
          <w:rFonts w:ascii="Arial" w:hAnsi="Arial" w:cs="Arial"/>
          <w:sz w:val="24"/>
          <w:szCs w:val="24"/>
          <w:lang w:val="en-US"/>
        </w:rPr>
        <w:t xml:space="preserve">           </w:t>
      </w:r>
      <w:r w:rsidR="002F1E2A">
        <w:rPr>
          <w:rFonts w:ascii="Arial" w:hAnsi="Arial" w:cs="Arial"/>
          <w:sz w:val="24"/>
          <w:szCs w:val="24"/>
          <w:lang w:val="en-US"/>
        </w:rPr>
        <w:tab/>
      </w:r>
      <w:r w:rsidRPr="002F1E2A">
        <w:rPr>
          <w:rFonts w:ascii="Arial" w:hAnsi="Arial" w:cs="Arial"/>
          <w:i/>
          <w:iCs/>
          <w:sz w:val="20"/>
          <w:szCs w:val="20"/>
          <w:lang w:val="en-US"/>
        </w:rPr>
        <w:t xml:space="preserve">Q: </w:t>
      </w:r>
      <w:r w:rsidR="002F1E2A" w:rsidRPr="002F1E2A">
        <w:rPr>
          <w:rFonts w:ascii="Arial" w:hAnsi="Arial" w:cs="Arial"/>
          <w:i/>
          <w:iCs/>
          <w:sz w:val="20"/>
          <w:szCs w:val="20"/>
          <w:lang w:val="en-US"/>
        </w:rPr>
        <w:tab/>
      </w:r>
      <w:r w:rsidRPr="002F1E2A">
        <w:rPr>
          <w:rFonts w:ascii="Arial" w:hAnsi="Arial" w:cs="Arial"/>
          <w:i/>
          <w:iCs/>
          <w:sz w:val="20"/>
          <w:szCs w:val="20"/>
          <w:lang w:val="en-US"/>
        </w:rPr>
        <w:t>What were your instructions to your attorney?</w:t>
      </w:r>
    </w:p>
    <w:p w14:paraId="7FB4D105" w14:textId="4632061D" w:rsidR="000C2AFA" w:rsidRPr="002F1E2A" w:rsidRDefault="005C3672" w:rsidP="002F1E2A">
      <w:pPr>
        <w:spacing w:line="240" w:lineRule="auto"/>
        <w:ind w:left="2160" w:hanging="2160"/>
        <w:jc w:val="both"/>
        <w:rPr>
          <w:rFonts w:ascii="Arial" w:hAnsi="Arial" w:cs="Arial"/>
          <w:i/>
          <w:iCs/>
          <w:sz w:val="20"/>
          <w:szCs w:val="20"/>
          <w:lang w:val="en-US"/>
        </w:rPr>
      </w:pPr>
      <w:r w:rsidRPr="002F1E2A">
        <w:rPr>
          <w:rFonts w:ascii="Arial" w:hAnsi="Arial" w:cs="Arial"/>
          <w:i/>
          <w:iCs/>
          <w:sz w:val="20"/>
          <w:szCs w:val="20"/>
          <w:lang w:val="en-US"/>
        </w:rPr>
        <w:t xml:space="preserve">           </w:t>
      </w:r>
      <w:r w:rsidR="002F1E2A" w:rsidRPr="002F1E2A">
        <w:rPr>
          <w:rFonts w:ascii="Arial" w:hAnsi="Arial" w:cs="Arial"/>
          <w:i/>
          <w:iCs/>
          <w:sz w:val="20"/>
          <w:szCs w:val="20"/>
          <w:lang w:val="en-US"/>
        </w:rPr>
        <w:t xml:space="preserve">        </w:t>
      </w:r>
      <w:r w:rsidR="002C4E8D">
        <w:rPr>
          <w:rFonts w:ascii="Arial" w:hAnsi="Arial" w:cs="Arial"/>
          <w:i/>
          <w:iCs/>
          <w:sz w:val="20"/>
          <w:szCs w:val="20"/>
          <w:lang w:val="en-US"/>
        </w:rPr>
        <w:t xml:space="preserve">     </w:t>
      </w:r>
      <w:r w:rsidR="002F1E2A" w:rsidRPr="002F1E2A">
        <w:rPr>
          <w:rFonts w:ascii="Arial" w:hAnsi="Arial" w:cs="Arial"/>
          <w:i/>
          <w:iCs/>
          <w:sz w:val="20"/>
          <w:szCs w:val="20"/>
          <w:lang w:val="en-US"/>
        </w:rPr>
        <w:t xml:space="preserve">  </w:t>
      </w:r>
      <w:r w:rsidRPr="002F1E2A">
        <w:rPr>
          <w:rFonts w:ascii="Arial" w:hAnsi="Arial" w:cs="Arial"/>
          <w:i/>
          <w:iCs/>
          <w:sz w:val="20"/>
          <w:szCs w:val="20"/>
          <w:lang w:val="en-US"/>
        </w:rPr>
        <w:t xml:space="preserve">A:  </w:t>
      </w:r>
      <w:r w:rsidR="002F1E2A" w:rsidRPr="002F1E2A">
        <w:rPr>
          <w:rFonts w:ascii="Arial" w:hAnsi="Arial" w:cs="Arial"/>
          <w:i/>
          <w:iCs/>
          <w:sz w:val="20"/>
          <w:szCs w:val="20"/>
          <w:lang w:val="en-US"/>
        </w:rPr>
        <w:tab/>
      </w:r>
      <w:r w:rsidRPr="002F1E2A">
        <w:rPr>
          <w:rFonts w:ascii="Arial" w:hAnsi="Arial" w:cs="Arial"/>
          <w:i/>
          <w:iCs/>
          <w:sz w:val="20"/>
          <w:szCs w:val="20"/>
          <w:lang w:val="en-US"/>
        </w:rPr>
        <w:t>In the lease agreement we said if we don’t get the licence we will get our</w:t>
      </w:r>
      <w:r w:rsidR="002F1E2A" w:rsidRPr="002F1E2A">
        <w:rPr>
          <w:rFonts w:ascii="Arial" w:hAnsi="Arial" w:cs="Arial"/>
          <w:i/>
          <w:iCs/>
          <w:sz w:val="20"/>
          <w:szCs w:val="20"/>
          <w:lang w:val="en-US"/>
        </w:rPr>
        <w:t xml:space="preserve"> </w:t>
      </w:r>
      <w:r w:rsidRPr="002F1E2A">
        <w:rPr>
          <w:rFonts w:ascii="Arial" w:hAnsi="Arial" w:cs="Arial"/>
          <w:i/>
          <w:iCs/>
          <w:sz w:val="20"/>
          <w:szCs w:val="20"/>
          <w:lang w:val="en-US"/>
        </w:rPr>
        <w:t>money back”.</w:t>
      </w:r>
    </w:p>
    <w:p w14:paraId="56C3A66D" w14:textId="2572B86C" w:rsidR="000C2AFA" w:rsidRDefault="00D568B3" w:rsidP="00D156D7">
      <w:pPr>
        <w:spacing w:line="480" w:lineRule="auto"/>
        <w:ind w:left="720" w:hanging="720"/>
        <w:jc w:val="both"/>
        <w:rPr>
          <w:rFonts w:ascii="Arial" w:hAnsi="Arial" w:cs="Arial"/>
          <w:sz w:val="24"/>
          <w:szCs w:val="24"/>
          <w:lang w:val="en-US"/>
        </w:rPr>
      </w:pPr>
      <w:r w:rsidRPr="00D568B3">
        <w:rPr>
          <w:rFonts w:ascii="Arial" w:hAnsi="Arial" w:cs="Arial"/>
          <w:sz w:val="24"/>
          <w:szCs w:val="24"/>
          <w:lang w:val="en-US"/>
        </w:rPr>
        <w:t>[</w:t>
      </w:r>
      <w:r w:rsidR="00F42F2F">
        <w:rPr>
          <w:rFonts w:ascii="Arial" w:hAnsi="Arial" w:cs="Arial"/>
          <w:sz w:val="24"/>
          <w:szCs w:val="24"/>
          <w:lang w:val="en-US"/>
        </w:rPr>
        <w:t>21</w:t>
      </w:r>
      <w:r w:rsidR="002F1E2A" w:rsidRPr="00D568B3">
        <w:rPr>
          <w:rFonts w:ascii="Arial" w:hAnsi="Arial" w:cs="Arial"/>
          <w:sz w:val="24"/>
          <w:szCs w:val="24"/>
          <w:lang w:val="en-US"/>
        </w:rPr>
        <w:t xml:space="preserve">] </w:t>
      </w:r>
      <w:r w:rsidR="002F1E2A">
        <w:rPr>
          <w:rFonts w:ascii="Arial" w:hAnsi="Arial" w:cs="Arial"/>
          <w:sz w:val="24"/>
          <w:szCs w:val="24"/>
          <w:lang w:val="en-US"/>
        </w:rPr>
        <w:tab/>
      </w:r>
      <w:r>
        <w:rPr>
          <w:rFonts w:ascii="Arial" w:hAnsi="Arial" w:cs="Arial"/>
          <w:sz w:val="24"/>
          <w:szCs w:val="24"/>
          <w:lang w:val="en-US"/>
        </w:rPr>
        <w:t xml:space="preserve">When asked about the employees he stated that they had to retrench them but they are all still working for the business at the Gelvandale site. </w:t>
      </w:r>
      <w:r w:rsidR="00D156D7">
        <w:rPr>
          <w:rFonts w:ascii="Arial" w:hAnsi="Arial" w:cs="Arial"/>
          <w:sz w:val="24"/>
          <w:szCs w:val="24"/>
          <w:lang w:val="en-US"/>
        </w:rPr>
        <w:t xml:space="preserve"> </w:t>
      </w:r>
      <w:r w:rsidR="000C2AFA">
        <w:rPr>
          <w:rFonts w:ascii="Arial" w:hAnsi="Arial" w:cs="Arial"/>
          <w:sz w:val="24"/>
          <w:szCs w:val="24"/>
          <w:lang w:val="en-US"/>
        </w:rPr>
        <w:t xml:space="preserve">Under cross-examination when asked who Buntibiz was </w:t>
      </w:r>
      <w:r w:rsidR="00D156D7">
        <w:rPr>
          <w:rFonts w:ascii="Arial" w:hAnsi="Arial" w:cs="Arial"/>
          <w:sz w:val="24"/>
          <w:szCs w:val="24"/>
          <w:lang w:val="en-US"/>
        </w:rPr>
        <w:t>McLoughlin</w:t>
      </w:r>
      <w:r w:rsidR="00A35A35">
        <w:rPr>
          <w:rFonts w:ascii="Arial" w:hAnsi="Arial" w:cs="Arial"/>
          <w:sz w:val="24"/>
          <w:szCs w:val="24"/>
          <w:lang w:val="en-US"/>
        </w:rPr>
        <w:t xml:space="preserve"> </w:t>
      </w:r>
      <w:r w:rsidR="000C2AFA">
        <w:rPr>
          <w:rFonts w:ascii="Arial" w:hAnsi="Arial" w:cs="Arial"/>
          <w:sz w:val="24"/>
          <w:szCs w:val="24"/>
          <w:lang w:val="en-US"/>
        </w:rPr>
        <w:t>responded that it was Gotz and himself. He could not recall why clause 26.1 was in the lease agreement. He said he could not recal</w:t>
      </w:r>
      <w:r w:rsidR="009F2799">
        <w:rPr>
          <w:rFonts w:ascii="Arial" w:hAnsi="Arial" w:cs="Arial"/>
          <w:sz w:val="24"/>
          <w:szCs w:val="24"/>
          <w:lang w:val="en-US"/>
        </w:rPr>
        <w:t>l</w:t>
      </w:r>
      <w:r w:rsidR="000C2AFA">
        <w:rPr>
          <w:rFonts w:ascii="Arial" w:hAnsi="Arial" w:cs="Arial"/>
          <w:sz w:val="24"/>
          <w:szCs w:val="24"/>
          <w:lang w:val="en-US"/>
        </w:rPr>
        <w:t xml:space="preserve"> that he had asked for it to be put in the lease agreement. It was put to him that Le Roux would say when he testified that he, </w:t>
      </w:r>
      <w:r w:rsidR="00D156D7">
        <w:rPr>
          <w:rFonts w:ascii="Arial" w:hAnsi="Arial" w:cs="Arial"/>
          <w:sz w:val="24"/>
          <w:szCs w:val="24"/>
          <w:lang w:val="en-US"/>
        </w:rPr>
        <w:t>McLoughlin</w:t>
      </w:r>
      <w:r w:rsidR="009F2799">
        <w:rPr>
          <w:rFonts w:ascii="Arial" w:hAnsi="Arial" w:cs="Arial"/>
          <w:sz w:val="24"/>
          <w:szCs w:val="24"/>
          <w:lang w:val="en-US"/>
        </w:rPr>
        <w:t xml:space="preserve">, </w:t>
      </w:r>
      <w:r w:rsidR="000C2AFA">
        <w:rPr>
          <w:rFonts w:ascii="Arial" w:hAnsi="Arial" w:cs="Arial"/>
          <w:sz w:val="24"/>
          <w:szCs w:val="24"/>
          <w:lang w:val="en-US"/>
        </w:rPr>
        <w:t>had requested it to be put in the lease agreement. He confirmed that the agreements w</w:t>
      </w:r>
      <w:r w:rsidR="009F2799">
        <w:rPr>
          <w:rFonts w:ascii="Arial" w:hAnsi="Arial" w:cs="Arial"/>
          <w:sz w:val="24"/>
          <w:szCs w:val="24"/>
          <w:lang w:val="en-US"/>
        </w:rPr>
        <w:t>ere</w:t>
      </w:r>
      <w:r w:rsidR="000C2AFA">
        <w:rPr>
          <w:rFonts w:ascii="Arial" w:hAnsi="Arial" w:cs="Arial"/>
          <w:sz w:val="24"/>
          <w:szCs w:val="24"/>
          <w:lang w:val="en-US"/>
        </w:rPr>
        <w:t xml:space="preserve"> sent to him by email and he and Gotz would suggest changes in manuscript. He accepted that Buntibiz did not plead </w:t>
      </w:r>
      <w:r w:rsidR="000C2AFA">
        <w:rPr>
          <w:rFonts w:ascii="Arial" w:hAnsi="Arial" w:cs="Arial"/>
          <w:sz w:val="24"/>
          <w:szCs w:val="24"/>
          <w:lang w:val="en-US"/>
        </w:rPr>
        <w:lastRenderedPageBreak/>
        <w:t xml:space="preserve">that Quest Retail and Quest Petroleum were the same company. He read the sale agreement. He and </w:t>
      </w:r>
      <w:r w:rsidR="002F1E2A">
        <w:rPr>
          <w:rFonts w:ascii="Arial" w:hAnsi="Arial" w:cs="Arial"/>
          <w:sz w:val="24"/>
          <w:szCs w:val="24"/>
          <w:lang w:val="en-US"/>
        </w:rPr>
        <w:t>Gotz, who</w:t>
      </w:r>
      <w:r w:rsidR="000C2AFA">
        <w:rPr>
          <w:rFonts w:ascii="Arial" w:hAnsi="Arial" w:cs="Arial"/>
          <w:sz w:val="24"/>
          <w:szCs w:val="24"/>
          <w:lang w:val="en-US"/>
        </w:rPr>
        <w:t xml:space="preserve"> resided in East </w:t>
      </w:r>
      <w:r w:rsidR="002F1E2A">
        <w:rPr>
          <w:rFonts w:ascii="Arial" w:hAnsi="Arial" w:cs="Arial"/>
          <w:sz w:val="24"/>
          <w:szCs w:val="24"/>
          <w:lang w:val="en-US"/>
        </w:rPr>
        <w:t>London, would</w:t>
      </w:r>
      <w:r w:rsidR="000C2AFA">
        <w:rPr>
          <w:rFonts w:ascii="Arial" w:hAnsi="Arial" w:cs="Arial"/>
          <w:sz w:val="24"/>
          <w:szCs w:val="24"/>
          <w:lang w:val="en-US"/>
        </w:rPr>
        <w:t xml:space="preserve"> meet at</w:t>
      </w:r>
      <w:r w:rsidR="009F2799">
        <w:rPr>
          <w:rFonts w:ascii="Arial" w:hAnsi="Arial" w:cs="Arial"/>
          <w:sz w:val="24"/>
          <w:szCs w:val="24"/>
          <w:lang w:val="en-US"/>
        </w:rPr>
        <w:t xml:space="preserve"> </w:t>
      </w:r>
      <w:r w:rsidR="000C2AFA">
        <w:rPr>
          <w:rFonts w:ascii="Arial" w:hAnsi="Arial" w:cs="Arial"/>
          <w:sz w:val="24"/>
          <w:szCs w:val="24"/>
          <w:lang w:val="en-US"/>
        </w:rPr>
        <w:t>least once a week to discuss the agreements</w:t>
      </w:r>
      <w:r w:rsidR="009F2799">
        <w:rPr>
          <w:rFonts w:ascii="Arial" w:hAnsi="Arial" w:cs="Arial"/>
          <w:sz w:val="24"/>
          <w:szCs w:val="24"/>
          <w:lang w:val="en-US"/>
        </w:rPr>
        <w:t>. W</w:t>
      </w:r>
      <w:r w:rsidR="000C2AFA">
        <w:rPr>
          <w:rFonts w:ascii="Arial" w:hAnsi="Arial" w:cs="Arial"/>
          <w:sz w:val="24"/>
          <w:szCs w:val="24"/>
          <w:lang w:val="en-US"/>
        </w:rPr>
        <w:t>hen he read the agreements he understood that there were two companies involved.</w:t>
      </w:r>
    </w:p>
    <w:p w14:paraId="33163F23" w14:textId="0F6EB8E2" w:rsidR="005C3672" w:rsidRPr="005C3672" w:rsidRDefault="000C2AFA" w:rsidP="005C3672">
      <w:pPr>
        <w:spacing w:line="480" w:lineRule="auto"/>
        <w:ind w:left="720" w:hanging="720"/>
        <w:jc w:val="both"/>
        <w:rPr>
          <w:rFonts w:ascii="Arial" w:hAnsi="Arial" w:cs="Arial"/>
          <w:i/>
          <w:iCs/>
          <w:sz w:val="24"/>
          <w:szCs w:val="24"/>
          <w:lang w:val="en-US"/>
        </w:rPr>
      </w:pPr>
      <w:r>
        <w:rPr>
          <w:rFonts w:ascii="Arial" w:hAnsi="Arial" w:cs="Arial"/>
          <w:sz w:val="24"/>
          <w:szCs w:val="24"/>
          <w:lang w:val="en-US"/>
        </w:rPr>
        <w:t>[</w:t>
      </w:r>
      <w:r w:rsidR="00F42F2F">
        <w:rPr>
          <w:rFonts w:ascii="Arial" w:hAnsi="Arial" w:cs="Arial"/>
          <w:sz w:val="24"/>
          <w:szCs w:val="24"/>
          <w:lang w:val="en-US"/>
        </w:rPr>
        <w:t>22</w:t>
      </w:r>
      <w:r>
        <w:rPr>
          <w:rFonts w:ascii="Arial" w:hAnsi="Arial" w:cs="Arial"/>
          <w:sz w:val="24"/>
          <w:szCs w:val="24"/>
          <w:lang w:val="en-US"/>
        </w:rPr>
        <w:t>]</w:t>
      </w:r>
      <w:r>
        <w:rPr>
          <w:rFonts w:ascii="Arial" w:hAnsi="Arial" w:cs="Arial"/>
          <w:sz w:val="24"/>
          <w:szCs w:val="24"/>
          <w:lang w:val="en-US"/>
        </w:rPr>
        <w:tab/>
        <w:t>He stated that “</w:t>
      </w:r>
      <w:r>
        <w:rPr>
          <w:rFonts w:ascii="Arial" w:hAnsi="Arial" w:cs="Arial"/>
          <w:i/>
          <w:iCs/>
          <w:sz w:val="24"/>
          <w:szCs w:val="24"/>
          <w:lang w:val="en-US"/>
        </w:rPr>
        <w:t xml:space="preserve">they put the part of the refund in another agreement into a company that was not the seller of the business.” </w:t>
      </w:r>
      <w:r>
        <w:rPr>
          <w:rFonts w:ascii="Arial" w:hAnsi="Arial" w:cs="Arial"/>
          <w:sz w:val="24"/>
          <w:szCs w:val="24"/>
          <w:lang w:val="en-US"/>
        </w:rPr>
        <w:t xml:space="preserve">He assumed that everything was interlinked. </w:t>
      </w:r>
      <w:r w:rsidR="005C3672">
        <w:rPr>
          <w:rFonts w:ascii="Arial" w:hAnsi="Arial" w:cs="Arial"/>
          <w:sz w:val="24"/>
          <w:szCs w:val="24"/>
          <w:lang w:val="en-US"/>
        </w:rPr>
        <w:t xml:space="preserve"> </w:t>
      </w:r>
    </w:p>
    <w:p w14:paraId="2AD475F2" w14:textId="1CD4B057" w:rsidR="000C2AFA" w:rsidRDefault="005C3672" w:rsidP="000C2AFA">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F42F2F">
        <w:rPr>
          <w:rFonts w:ascii="Arial" w:hAnsi="Arial" w:cs="Arial"/>
          <w:sz w:val="24"/>
          <w:szCs w:val="24"/>
          <w:lang w:val="en-US"/>
        </w:rPr>
        <w:t>23</w:t>
      </w:r>
      <w:r w:rsidR="002C4E8D">
        <w:rPr>
          <w:rFonts w:ascii="Arial" w:hAnsi="Arial" w:cs="Arial"/>
          <w:sz w:val="24"/>
          <w:szCs w:val="24"/>
          <w:lang w:val="en-US"/>
        </w:rPr>
        <w:t xml:space="preserve">] </w:t>
      </w:r>
      <w:r w:rsidR="002C4E8D">
        <w:rPr>
          <w:rFonts w:ascii="Arial" w:hAnsi="Arial" w:cs="Arial"/>
          <w:sz w:val="24"/>
          <w:szCs w:val="24"/>
          <w:lang w:val="en-US"/>
        </w:rPr>
        <w:tab/>
      </w:r>
      <w:r w:rsidR="000C2AFA">
        <w:rPr>
          <w:rFonts w:ascii="Arial" w:hAnsi="Arial" w:cs="Arial"/>
          <w:sz w:val="24"/>
          <w:szCs w:val="24"/>
          <w:lang w:val="en-US"/>
        </w:rPr>
        <w:t>He conceded that a reasonable reader would see the seller and the lessor as two different companies. He also understood that reference to ‘relevant</w:t>
      </w:r>
      <w:r w:rsidR="009F2799">
        <w:rPr>
          <w:rFonts w:ascii="Arial" w:hAnsi="Arial" w:cs="Arial"/>
          <w:sz w:val="24"/>
          <w:szCs w:val="24"/>
          <w:lang w:val="en-US"/>
        </w:rPr>
        <w:t xml:space="preserve"> agreements</w:t>
      </w:r>
      <w:r w:rsidR="000C2AFA">
        <w:rPr>
          <w:rFonts w:ascii="Arial" w:hAnsi="Arial" w:cs="Arial"/>
          <w:sz w:val="24"/>
          <w:szCs w:val="24"/>
          <w:lang w:val="en-US"/>
        </w:rPr>
        <w:t xml:space="preserve">’ </w:t>
      </w:r>
      <w:r w:rsidR="009F2799">
        <w:rPr>
          <w:rFonts w:ascii="Arial" w:hAnsi="Arial" w:cs="Arial"/>
          <w:sz w:val="24"/>
          <w:szCs w:val="24"/>
          <w:lang w:val="en-US"/>
        </w:rPr>
        <w:t xml:space="preserve">in the sale agreement </w:t>
      </w:r>
      <w:r w:rsidR="000C2AFA">
        <w:rPr>
          <w:rFonts w:ascii="Arial" w:hAnsi="Arial" w:cs="Arial"/>
          <w:sz w:val="24"/>
          <w:szCs w:val="24"/>
          <w:lang w:val="en-US"/>
        </w:rPr>
        <w:t xml:space="preserve">does not mean the same agreement. He conceded that a licence was not part of the business. He also understood that ownership and risk </w:t>
      </w:r>
      <w:r w:rsidR="009F2799">
        <w:rPr>
          <w:rFonts w:ascii="Arial" w:hAnsi="Arial" w:cs="Arial"/>
          <w:sz w:val="24"/>
          <w:szCs w:val="24"/>
          <w:lang w:val="en-US"/>
        </w:rPr>
        <w:t xml:space="preserve">would </w:t>
      </w:r>
      <w:r w:rsidR="000C2AFA">
        <w:rPr>
          <w:rFonts w:ascii="Arial" w:hAnsi="Arial" w:cs="Arial"/>
          <w:sz w:val="24"/>
          <w:szCs w:val="24"/>
          <w:lang w:val="en-US"/>
        </w:rPr>
        <w:t>pass to Buntibiz on 1 July 2018 being the date of takeover of the business. He also conceded that Quest Retail fell out of the picture after Buntibiz took over the business.</w:t>
      </w:r>
    </w:p>
    <w:p w14:paraId="1143E952" w14:textId="69325BC6" w:rsidR="009F2799" w:rsidRDefault="000C2AFA" w:rsidP="0000345A">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F42F2F">
        <w:rPr>
          <w:rFonts w:ascii="Arial" w:hAnsi="Arial" w:cs="Arial"/>
          <w:sz w:val="24"/>
          <w:szCs w:val="24"/>
          <w:lang w:val="en-US"/>
        </w:rPr>
        <w:t>24</w:t>
      </w:r>
      <w:r>
        <w:rPr>
          <w:rFonts w:ascii="Arial" w:hAnsi="Arial" w:cs="Arial"/>
          <w:sz w:val="24"/>
          <w:szCs w:val="24"/>
          <w:lang w:val="en-US"/>
        </w:rPr>
        <w:t>]</w:t>
      </w:r>
      <w:r>
        <w:rPr>
          <w:rFonts w:ascii="Arial" w:hAnsi="Arial" w:cs="Arial"/>
          <w:sz w:val="24"/>
          <w:szCs w:val="24"/>
          <w:lang w:val="en-US"/>
        </w:rPr>
        <w:tab/>
        <w:t>Contrary to what he had stated in his evidence in chief, under cross-</w:t>
      </w:r>
      <w:r w:rsidR="00AF4ADD">
        <w:rPr>
          <w:rFonts w:ascii="Arial" w:hAnsi="Arial" w:cs="Arial"/>
          <w:sz w:val="24"/>
          <w:szCs w:val="24"/>
          <w:lang w:val="en-US"/>
        </w:rPr>
        <w:t>examination, he</w:t>
      </w:r>
      <w:r>
        <w:rPr>
          <w:rFonts w:ascii="Arial" w:hAnsi="Arial" w:cs="Arial"/>
          <w:sz w:val="24"/>
          <w:szCs w:val="24"/>
          <w:lang w:val="en-US"/>
        </w:rPr>
        <w:t xml:space="preserve"> agreed with Quest</w:t>
      </w:r>
      <w:r w:rsidR="00262BBD">
        <w:rPr>
          <w:rFonts w:ascii="Arial" w:hAnsi="Arial" w:cs="Arial"/>
          <w:sz w:val="24"/>
          <w:szCs w:val="24"/>
          <w:lang w:val="en-US"/>
        </w:rPr>
        <w:t>’s</w:t>
      </w:r>
      <w:r>
        <w:rPr>
          <w:rFonts w:ascii="Arial" w:hAnsi="Arial" w:cs="Arial"/>
          <w:sz w:val="24"/>
          <w:szCs w:val="24"/>
          <w:lang w:val="en-US"/>
        </w:rPr>
        <w:t xml:space="preserve"> version that after he and Le Roux had </w:t>
      </w:r>
      <w:r w:rsidR="009F2799">
        <w:rPr>
          <w:rFonts w:ascii="Arial" w:hAnsi="Arial" w:cs="Arial"/>
          <w:sz w:val="24"/>
          <w:szCs w:val="24"/>
          <w:lang w:val="en-US"/>
        </w:rPr>
        <w:t xml:space="preserve">a </w:t>
      </w:r>
      <w:r>
        <w:rPr>
          <w:rFonts w:ascii="Arial" w:hAnsi="Arial" w:cs="Arial"/>
          <w:sz w:val="24"/>
          <w:szCs w:val="24"/>
          <w:lang w:val="en-US"/>
        </w:rPr>
        <w:t>discussion, Le Roux sent the amended drafts on 28 May 201</w:t>
      </w:r>
      <w:r w:rsidR="009F2799">
        <w:rPr>
          <w:rFonts w:ascii="Arial" w:hAnsi="Arial" w:cs="Arial"/>
          <w:sz w:val="24"/>
          <w:szCs w:val="24"/>
          <w:lang w:val="en-US"/>
        </w:rPr>
        <w:t>8</w:t>
      </w:r>
      <w:r>
        <w:rPr>
          <w:rFonts w:ascii="Arial" w:hAnsi="Arial" w:cs="Arial"/>
          <w:sz w:val="24"/>
          <w:szCs w:val="24"/>
          <w:lang w:val="en-US"/>
        </w:rPr>
        <w:t xml:space="preserve"> and he inserted clause 26 a</w:t>
      </w:r>
      <w:r w:rsidR="009F2799">
        <w:rPr>
          <w:rFonts w:ascii="Arial" w:hAnsi="Arial" w:cs="Arial"/>
          <w:sz w:val="24"/>
          <w:szCs w:val="24"/>
          <w:lang w:val="en-US"/>
        </w:rPr>
        <w:t xml:space="preserve">s he had </w:t>
      </w:r>
      <w:r>
        <w:rPr>
          <w:rFonts w:ascii="Arial" w:hAnsi="Arial" w:cs="Arial"/>
          <w:sz w:val="24"/>
          <w:szCs w:val="24"/>
          <w:lang w:val="en-US"/>
        </w:rPr>
        <w:t>requested. He later changed and said that it was put in</w:t>
      </w:r>
      <w:r w:rsidR="009F2799">
        <w:rPr>
          <w:rFonts w:ascii="Arial" w:hAnsi="Arial" w:cs="Arial"/>
          <w:sz w:val="24"/>
          <w:szCs w:val="24"/>
          <w:lang w:val="en-US"/>
        </w:rPr>
        <w:t>to</w:t>
      </w:r>
      <w:r>
        <w:rPr>
          <w:rFonts w:ascii="Arial" w:hAnsi="Arial" w:cs="Arial"/>
          <w:sz w:val="24"/>
          <w:szCs w:val="24"/>
          <w:lang w:val="en-US"/>
        </w:rPr>
        <w:t xml:space="preserve"> the wrong agreement. He also conceded that when </w:t>
      </w:r>
      <w:r w:rsidR="00262BBD">
        <w:rPr>
          <w:rFonts w:ascii="Arial" w:hAnsi="Arial" w:cs="Arial"/>
          <w:sz w:val="24"/>
          <w:szCs w:val="24"/>
          <w:lang w:val="en-US"/>
        </w:rPr>
        <w:t>Buntibiz</w:t>
      </w:r>
      <w:r>
        <w:rPr>
          <w:rFonts w:ascii="Arial" w:hAnsi="Arial" w:cs="Arial"/>
          <w:sz w:val="24"/>
          <w:szCs w:val="24"/>
          <w:lang w:val="en-US"/>
        </w:rPr>
        <w:t xml:space="preserve"> bought the business it was operating</w:t>
      </w:r>
      <w:r w:rsidR="00262BBD">
        <w:rPr>
          <w:rFonts w:ascii="Arial" w:hAnsi="Arial" w:cs="Arial"/>
          <w:sz w:val="24"/>
          <w:szCs w:val="24"/>
          <w:lang w:val="en-US"/>
        </w:rPr>
        <w:t xml:space="preserve"> and</w:t>
      </w:r>
      <w:r>
        <w:rPr>
          <w:rFonts w:ascii="Arial" w:hAnsi="Arial" w:cs="Arial"/>
          <w:sz w:val="24"/>
          <w:szCs w:val="24"/>
          <w:lang w:val="en-US"/>
        </w:rPr>
        <w:t xml:space="preserve"> when </w:t>
      </w:r>
      <w:r w:rsidR="00262BBD">
        <w:rPr>
          <w:rFonts w:ascii="Arial" w:hAnsi="Arial" w:cs="Arial"/>
          <w:sz w:val="24"/>
          <w:szCs w:val="24"/>
          <w:lang w:val="en-US"/>
        </w:rPr>
        <w:t xml:space="preserve">it </w:t>
      </w:r>
      <w:r>
        <w:rPr>
          <w:rFonts w:ascii="Arial" w:hAnsi="Arial" w:cs="Arial"/>
          <w:sz w:val="24"/>
          <w:szCs w:val="24"/>
          <w:lang w:val="en-US"/>
        </w:rPr>
        <w:t xml:space="preserve">left the business, </w:t>
      </w:r>
      <w:r w:rsidR="009F2799">
        <w:rPr>
          <w:rFonts w:ascii="Arial" w:hAnsi="Arial" w:cs="Arial"/>
          <w:sz w:val="24"/>
          <w:szCs w:val="24"/>
          <w:lang w:val="en-US"/>
        </w:rPr>
        <w:t xml:space="preserve">the </w:t>
      </w:r>
      <w:r>
        <w:rPr>
          <w:rFonts w:ascii="Arial" w:hAnsi="Arial" w:cs="Arial"/>
          <w:sz w:val="24"/>
          <w:szCs w:val="24"/>
          <w:lang w:val="en-US"/>
        </w:rPr>
        <w:t xml:space="preserve">business was closed and not operating. </w:t>
      </w:r>
      <w:r w:rsidR="00262BBD">
        <w:rPr>
          <w:rFonts w:ascii="Arial" w:hAnsi="Arial" w:cs="Arial"/>
          <w:sz w:val="24"/>
          <w:szCs w:val="24"/>
          <w:lang w:val="en-US"/>
        </w:rPr>
        <w:t xml:space="preserve"> He </w:t>
      </w:r>
      <w:r w:rsidR="00D156D7">
        <w:rPr>
          <w:rFonts w:ascii="Arial" w:hAnsi="Arial" w:cs="Arial"/>
          <w:sz w:val="24"/>
          <w:szCs w:val="24"/>
          <w:lang w:val="en-US"/>
        </w:rPr>
        <w:t xml:space="preserve">testified </w:t>
      </w:r>
      <w:r w:rsidR="00262BBD">
        <w:rPr>
          <w:rFonts w:ascii="Arial" w:hAnsi="Arial" w:cs="Arial"/>
          <w:sz w:val="24"/>
          <w:szCs w:val="24"/>
          <w:lang w:val="en-US"/>
        </w:rPr>
        <w:t xml:space="preserve">that the R2,5 million was for the goodwill and assets.  He conceded that he understood that once they paid the business will be that of Buntibiz. He also conceded that the sale agreement was not amended.  He accepted that he was confused about the dates when Le Grange </w:t>
      </w:r>
      <w:r w:rsidR="00262BBD">
        <w:rPr>
          <w:rFonts w:ascii="Arial" w:hAnsi="Arial" w:cs="Arial"/>
          <w:sz w:val="24"/>
          <w:szCs w:val="24"/>
          <w:lang w:val="en-US"/>
        </w:rPr>
        <w:lastRenderedPageBreak/>
        <w:t xml:space="preserve">called </w:t>
      </w:r>
      <w:r w:rsidR="00AF4ADD">
        <w:rPr>
          <w:rFonts w:ascii="Arial" w:hAnsi="Arial" w:cs="Arial"/>
          <w:sz w:val="24"/>
          <w:szCs w:val="24"/>
          <w:lang w:val="en-US"/>
        </w:rPr>
        <w:t>him.</w:t>
      </w:r>
      <w:r w:rsidR="00262BBD">
        <w:rPr>
          <w:rFonts w:ascii="Arial" w:hAnsi="Arial" w:cs="Arial"/>
          <w:sz w:val="24"/>
          <w:szCs w:val="24"/>
          <w:lang w:val="en-US"/>
        </w:rPr>
        <w:t xml:space="preserve"> It was not </w:t>
      </w:r>
      <w:r w:rsidR="0078312A">
        <w:rPr>
          <w:rFonts w:ascii="Arial" w:hAnsi="Arial" w:cs="Arial"/>
          <w:sz w:val="24"/>
          <w:szCs w:val="24"/>
          <w:lang w:val="en-US"/>
        </w:rPr>
        <w:t xml:space="preserve">before they paid the purchase price but it was at a stage when Buntibiz was already trading. </w:t>
      </w:r>
    </w:p>
    <w:p w14:paraId="33BD904B" w14:textId="06879972" w:rsidR="000C2AFA" w:rsidRDefault="009F2799" w:rsidP="000C2AFA">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F42F2F">
        <w:rPr>
          <w:rFonts w:ascii="Arial" w:hAnsi="Arial" w:cs="Arial"/>
          <w:sz w:val="24"/>
          <w:szCs w:val="24"/>
          <w:lang w:val="en-US"/>
        </w:rPr>
        <w:t>25</w:t>
      </w:r>
      <w:r>
        <w:rPr>
          <w:rFonts w:ascii="Arial" w:hAnsi="Arial" w:cs="Arial"/>
          <w:sz w:val="24"/>
          <w:szCs w:val="24"/>
          <w:lang w:val="en-US"/>
        </w:rPr>
        <w:t>]</w:t>
      </w:r>
      <w:r w:rsidR="00AF4ADD">
        <w:rPr>
          <w:rFonts w:ascii="Arial" w:hAnsi="Arial" w:cs="Arial"/>
          <w:sz w:val="24"/>
          <w:szCs w:val="24"/>
          <w:lang w:val="en-US"/>
        </w:rPr>
        <w:tab/>
      </w:r>
      <w:r>
        <w:rPr>
          <w:rFonts w:ascii="Arial" w:hAnsi="Arial" w:cs="Arial"/>
          <w:sz w:val="24"/>
          <w:szCs w:val="24"/>
          <w:lang w:val="en-US"/>
        </w:rPr>
        <w:t>He contradicted himself w</w:t>
      </w:r>
      <w:r w:rsidR="000C2AFA">
        <w:rPr>
          <w:rFonts w:ascii="Arial" w:hAnsi="Arial" w:cs="Arial"/>
          <w:sz w:val="24"/>
          <w:szCs w:val="24"/>
          <w:lang w:val="en-US"/>
        </w:rPr>
        <w:t>hen referred to Exhibit “A”</w:t>
      </w:r>
      <w:r w:rsidR="00E50DC3">
        <w:rPr>
          <w:rFonts w:ascii="Arial" w:hAnsi="Arial" w:cs="Arial"/>
          <w:sz w:val="24"/>
          <w:szCs w:val="24"/>
          <w:lang w:val="en-US"/>
        </w:rPr>
        <w:t xml:space="preserve">, </w:t>
      </w:r>
      <w:r w:rsidR="000C2AFA">
        <w:rPr>
          <w:rFonts w:ascii="Arial" w:hAnsi="Arial" w:cs="Arial"/>
          <w:sz w:val="24"/>
          <w:szCs w:val="24"/>
          <w:lang w:val="en-US"/>
        </w:rPr>
        <w:t>a letter dated 17 July 2018</w:t>
      </w:r>
      <w:r>
        <w:rPr>
          <w:rFonts w:ascii="Arial" w:hAnsi="Arial" w:cs="Arial"/>
          <w:sz w:val="24"/>
          <w:szCs w:val="24"/>
          <w:lang w:val="en-US"/>
        </w:rPr>
        <w:t xml:space="preserve">. </w:t>
      </w:r>
      <w:r w:rsidR="000C2AFA">
        <w:rPr>
          <w:rFonts w:ascii="Arial" w:hAnsi="Arial" w:cs="Arial"/>
          <w:sz w:val="24"/>
          <w:szCs w:val="24"/>
          <w:lang w:val="en-US"/>
        </w:rPr>
        <w:t xml:space="preserve"> </w:t>
      </w:r>
      <w:r>
        <w:rPr>
          <w:rFonts w:ascii="Arial" w:hAnsi="Arial" w:cs="Arial"/>
          <w:sz w:val="24"/>
          <w:szCs w:val="24"/>
          <w:lang w:val="en-US"/>
        </w:rPr>
        <w:t xml:space="preserve">In his evidence in chief he stated that in that exhibit there was an undertaking to refund Buntibiz if it did not get a licence. He conceded </w:t>
      </w:r>
      <w:r w:rsidR="000C2AFA">
        <w:rPr>
          <w:rFonts w:ascii="Arial" w:hAnsi="Arial" w:cs="Arial"/>
          <w:sz w:val="24"/>
          <w:szCs w:val="24"/>
          <w:lang w:val="en-US"/>
        </w:rPr>
        <w:t xml:space="preserve">that </w:t>
      </w:r>
      <w:r w:rsidR="00E50DC3">
        <w:rPr>
          <w:rFonts w:ascii="Arial" w:hAnsi="Arial" w:cs="Arial"/>
          <w:sz w:val="24"/>
          <w:szCs w:val="24"/>
          <w:lang w:val="en-US"/>
        </w:rPr>
        <w:t xml:space="preserve">was not what was recorded in the </w:t>
      </w:r>
      <w:r w:rsidR="00AF4ADD">
        <w:rPr>
          <w:rFonts w:ascii="Arial" w:hAnsi="Arial" w:cs="Arial"/>
          <w:sz w:val="24"/>
          <w:szCs w:val="24"/>
          <w:lang w:val="en-US"/>
        </w:rPr>
        <w:t>letter.</w:t>
      </w:r>
      <w:r w:rsidR="00E50DC3">
        <w:rPr>
          <w:rFonts w:ascii="Arial" w:hAnsi="Arial" w:cs="Arial"/>
          <w:sz w:val="24"/>
          <w:szCs w:val="24"/>
          <w:lang w:val="en-US"/>
        </w:rPr>
        <w:t xml:space="preserve"> As aforementioned this is the only letter that was relevant to the issues</w:t>
      </w:r>
      <w:r w:rsidR="00D156D7">
        <w:rPr>
          <w:rFonts w:ascii="Arial" w:hAnsi="Arial" w:cs="Arial"/>
          <w:sz w:val="24"/>
          <w:szCs w:val="24"/>
          <w:lang w:val="en-US"/>
        </w:rPr>
        <w:t xml:space="preserve"> as it made reference to Quest Retail as well. </w:t>
      </w:r>
      <w:r w:rsidR="00E50DC3">
        <w:rPr>
          <w:rFonts w:ascii="Arial" w:hAnsi="Arial" w:cs="Arial"/>
          <w:sz w:val="24"/>
          <w:szCs w:val="24"/>
          <w:lang w:val="en-US"/>
        </w:rPr>
        <w:t xml:space="preserve"> </w:t>
      </w:r>
      <w:r w:rsidR="00D325B2">
        <w:rPr>
          <w:rFonts w:ascii="Arial" w:hAnsi="Arial" w:cs="Arial"/>
          <w:sz w:val="24"/>
          <w:szCs w:val="24"/>
          <w:lang w:val="en-US"/>
        </w:rPr>
        <w:t xml:space="preserve"> I shall record its contents below: </w:t>
      </w:r>
    </w:p>
    <w:p w14:paraId="0A555CC0" w14:textId="77777777" w:rsidR="000C2AFA" w:rsidRPr="002D77C0" w:rsidRDefault="000C2AFA" w:rsidP="000C2AFA">
      <w:pPr>
        <w:spacing w:line="240" w:lineRule="auto"/>
        <w:ind w:left="1843" w:hanging="425"/>
        <w:jc w:val="both"/>
        <w:rPr>
          <w:rFonts w:ascii="Arial" w:hAnsi="Arial" w:cs="Arial"/>
          <w:i/>
          <w:iCs/>
          <w:sz w:val="20"/>
          <w:szCs w:val="20"/>
          <w:lang w:val="en-US"/>
        </w:rPr>
      </w:pPr>
      <w:r>
        <w:rPr>
          <w:rFonts w:ascii="Arial" w:hAnsi="Arial" w:cs="Arial"/>
          <w:sz w:val="24"/>
          <w:szCs w:val="24"/>
          <w:lang w:val="en-US"/>
        </w:rPr>
        <w:tab/>
      </w:r>
      <w:r w:rsidRPr="002D77C0">
        <w:rPr>
          <w:rFonts w:ascii="Arial" w:hAnsi="Arial" w:cs="Arial"/>
          <w:i/>
          <w:iCs/>
          <w:sz w:val="20"/>
          <w:szCs w:val="20"/>
          <w:lang w:val="en-US"/>
        </w:rPr>
        <w:t>“17 July 2018</w:t>
      </w:r>
    </w:p>
    <w:p w14:paraId="07D3DA84" w14:textId="77777777" w:rsidR="000C2AFA" w:rsidRPr="002D77C0" w:rsidRDefault="000C2AFA" w:rsidP="000C2AFA">
      <w:pPr>
        <w:spacing w:line="240" w:lineRule="auto"/>
        <w:ind w:left="1843" w:hanging="425"/>
        <w:jc w:val="both"/>
        <w:rPr>
          <w:rFonts w:ascii="Arial" w:hAnsi="Arial" w:cs="Arial"/>
          <w:i/>
          <w:iCs/>
          <w:sz w:val="20"/>
          <w:szCs w:val="20"/>
          <w:lang w:val="en-US"/>
        </w:rPr>
      </w:pPr>
      <w:r w:rsidRPr="002D77C0">
        <w:rPr>
          <w:rFonts w:ascii="Arial" w:hAnsi="Arial" w:cs="Arial"/>
          <w:i/>
          <w:iCs/>
          <w:sz w:val="20"/>
          <w:szCs w:val="20"/>
          <w:lang w:val="en-US"/>
        </w:rPr>
        <w:tab/>
        <w:t>Buntibiz (Pty) Ltd</w:t>
      </w:r>
    </w:p>
    <w:p w14:paraId="6572A63C" w14:textId="77777777" w:rsidR="000C2AFA" w:rsidRPr="002D77C0" w:rsidRDefault="000C2AFA" w:rsidP="000C2AFA">
      <w:pPr>
        <w:spacing w:line="240" w:lineRule="auto"/>
        <w:ind w:left="1843" w:hanging="425"/>
        <w:jc w:val="both"/>
        <w:rPr>
          <w:rFonts w:ascii="Arial" w:hAnsi="Arial" w:cs="Arial"/>
          <w:i/>
          <w:iCs/>
          <w:sz w:val="20"/>
          <w:szCs w:val="20"/>
          <w:lang w:val="en-US"/>
        </w:rPr>
      </w:pPr>
      <w:r w:rsidRPr="002D77C0">
        <w:rPr>
          <w:rFonts w:ascii="Arial" w:hAnsi="Arial" w:cs="Arial"/>
          <w:i/>
          <w:iCs/>
          <w:sz w:val="20"/>
          <w:szCs w:val="20"/>
          <w:lang w:val="en-US"/>
        </w:rPr>
        <w:tab/>
        <w:t>Port Elizabeth</w:t>
      </w:r>
    </w:p>
    <w:p w14:paraId="7A60330B" w14:textId="77777777" w:rsidR="000C2AFA" w:rsidRPr="002D77C0" w:rsidRDefault="000C2AFA" w:rsidP="000C2AFA">
      <w:pPr>
        <w:spacing w:line="240" w:lineRule="auto"/>
        <w:ind w:left="1843" w:hanging="425"/>
        <w:jc w:val="both"/>
        <w:rPr>
          <w:rFonts w:ascii="Arial" w:hAnsi="Arial" w:cs="Arial"/>
          <w:i/>
          <w:iCs/>
          <w:sz w:val="20"/>
          <w:szCs w:val="20"/>
          <w:lang w:val="en-US"/>
        </w:rPr>
      </w:pPr>
      <w:r w:rsidRPr="002D77C0">
        <w:rPr>
          <w:rFonts w:ascii="Arial" w:hAnsi="Arial" w:cs="Arial"/>
          <w:i/>
          <w:iCs/>
          <w:sz w:val="20"/>
          <w:szCs w:val="20"/>
          <w:lang w:val="en-US"/>
        </w:rPr>
        <w:tab/>
        <w:t xml:space="preserve">Per email: </w:t>
      </w:r>
      <w:hyperlink r:id="rId9" w:history="1">
        <w:r w:rsidRPr="002D77C0">
          <w:rPr>
            <w:rStyle w:val="Hyperlink"/>
            <w:rFonts w:ascii="Arial" w:hAnsi="Arial" w:cs="Arial"/>
            <w:i/>
            <w:iCs/>
            <w:sz w:val="20"/>
            <w:szCs w:val="20"/>
            <w:lang w:val="en-US"/>
          </w:rPr>
          <w:t>kevin@wgproperties.co.za</w:t>
        </w:r>
      </w:hyperlink>
      <w:r w:rsidRPr="002D77C0">
        <w:rPr>
          <w:rFonts w:ascii="Arial" w:hAnsi="Arial" w:cs="Arial"/>
          <w:i/>
          <w:iCs/>
          <w:sz w:val="20"/>
          <w:szCs w:val="20"/>
          <w:lang w:val="en-US"/>
        </w:rPr>
        <w:t xml:space="preserve"> </w:t>
      </w:r>
    </w:p>
    <w:p w14:paraId="579338BC" w14:textId="77777777" w:rsidR="000C2AFA" w:rsidRPr="002D77C0" w:rsidRDefault="000C2AFA" w:rsidP="000C2AFA">
      <w:pPr>
        <w:spacing w:line="240" w:lineRule="auto"/>
        <w:ind w:left="1843" w:hanging="425"/>
        <w:jc w:val="both"/>
        <w:rPr>
          <w:rFonts w:ascii="Arial" w:hAnsi="Arial" w:cs="Arial"/>
          <w:i/>
          <w:iCs/>
          <w:sz w:val="18"/>
          <w:szCs w:val="18"/>
          <w:lang w:val="en-US"/>
        </w:rPr>
      </w:pPr>
      <w:r w:rsidRPr="002D77C0">
        <w:rPr>
          <w:rFonts w:ascii="Arial" w:hAnsi="Arial" w:cs="Arial"/>
          <w:i/>
          <w:iCs/>
          <w:sz w:val="18"/>
          <w:szCs w:val="18"/>
          <w:lang w:val="en-US"/>
        </w:rPr>
        <w:tab/>
        <w:t>Dear Kevin,</w:t>
      </w:r>
    </w:p>
    <w:p w14:paraId="45F47B5C" w14:textId="77777777" w:rsidR="000C2AFA" w:rsidRPr="002D77C0" w:rsidRDefault="000C2AFA" w:rsidP="000C2AFA">
      <w:pPr>
        <w:spacing w:line="240" w:lineRule="auto"/>
        <w:ind w:left="1843" w:hanging="425"/>
        <w:jc w:val="both"/>
        <w:rPr>
          <w:rFonts w:ascii="Arial" w:hAnsi="Arial" w:cs="Arial"/>
          <w:i/>
          <w:iCs/>
          <w:sz w:val="18"/>
          <w:szCs w:val="18"/>
          <w:lang w:val="en-US"/>
        </w:rPr>
      </w:pPr>
      <w:r w:rsidRPr="002D77C0">
        <w:rPr>
          <w:rFonts w:ascii="Arial" w:hAnsi="Arial" w:cs="Arial"/>
          <w:i/>
          <w:iCs/>
          <w:sz w:val="18"/>
          <w:szCs w:val="18"/>
          <w:lang w:val="en-US"/>
        </w:rPr>
        <w:tab/>
        <w:t>RE: NORMAN LE GRANGE (THE 5404 STANDFORD ROAD TRUST)</w:t>
      </w:r>
    </w:p>
    <w:p w14:paraId="4F2D43F3" w14:textId="77777777" w:rsidR="000C2AFA" w:rsidRPr="002D77C0" w:rsidRDefault="000C2AFA" w:rsidP="002D77C0">
      <w:pPr>
        <w:pStyle w:val="ListParagraph"/>
        <w:numPr>
          <w:ilvl w:val="0"/>
          <w:numId w:val="1"/>
        </w:numPr>
        <w:spacing w:line="240" w:lineRule="auto"/>
        <w:ind w:left="2268" w:hanging="425"/>
        <w:jc w:val="both"/>
        <w:rPr>
          <w:rFonts w:ascii="Arial" w:hAnsi="Arial" w:cs="Arial"/>
          <w:i/>
          <w:iCs/>
          <w:sz w:val="18"/>
          <w:szCs w:val="18"/>
          <w:lang w:val="en-US"/>
        </w:rPr>
      </w:pPr>
      <w:r w:rsidRPr="002D77C0">
        <w:rPr>
          <w:rFonts w:ascii="Arial" w:hAnsi="Arial" w:cs="Arial"/>
          <w:i/>
          <w:iCs/>
          <w:sz w:val="18"/>
          <w:szCs w:val="18"/>
          <w:lang w:val="en-US"/>
        </w:rPr>
        <w:t>I refer to our discussion yesterday. I write to you on behalf of Quest, Quest Retail Company and PropT Solutions.</w:t>
      </w:r>
    </w:p>
    <w:p w14:paraId="16949EB7" w14:textId="2083BD4E" w:rsidR="000C2AFA" w:rsidRPr="002D77C0" w:rsidRDefault="000C2AFA" w:rsidP="002D77C0">
      <w:pPr>
        <w:pStyle w:val="ListParagraph"/>
        <w:numPr>
          <w:ilvl w:val="0"/>
          <w:numId w:val="1"/>
        </w:numPr>
        <w:spacing w:line="240" w:lineRule="auto"/>
        <w:ind w:left="2268" w:hanging="425"/>
        <w:jc w:val="both"/>
        <w:rPr>
          <w:rFonts w:ascii="Arial" w:hAnsi="Arial" w:cs="Arial"/>
          <w:i/>
          <w:iCs/>
          <w:sz w:val="18"/>
          <w:szCs w:val="18"/>
          <w:lang w:val="en-US"/>
        </w:rPr>
      </w:pPr>
      <w:r w:rsidRPr="002D77C0">
        <w:rPr>
          <w:rFonts w:ascii="Arial" w:hAnsi="Arial" w:cs="Arial"/>
          <w:i/>
          <w:iCs/>
          <w:sz w:val="18"/>
          <w:szCs w:val="18"/>
          <w:lang w:val="en-US"/>
        </w:rPr>
        <w:t xml:space="preserve">You reported receiving a telephone call </w:t>
      </w:r>
      <w:r w:rsidR="00E50DC3" w:rsidRPr="002D77C0">
        <w:rPr>
          <w:rFonts w:ascii="Arial" w:hAnsi="Arial" w:cs="Arial"/>
          <w:i/>
          <w:iCs/>
          <w:sz w:val="18"/>
          <w:szCs w:val="18"/>
          <w:lang w:val="en-US"/>
        </w:rPr>
        <w:t xml:space="preserve">from </w:t>
      </w:r>
      <w:r w:rsidRPr="002D77C0">
        <w:rPr>
          <w:rFonts w:ascii="Arial" w:hAnsi="Arial" w:cs="Arial"/>
          <w:i/>
          <w:iCs/>
          <w:sz w:val="18"/>
          <w:szCs w:val="18"/>
          <w:lang w:val="en-US"/>
        </w:rPr>
        <w:t>Norman Le Grange alleging that he had an option over the business. I set out herein after some context.</w:t>
      </w:r>
    </w:p>
    <w:p w14:paraId="5E99995C" w14:textId="35D87D9A" w:rsidR="000C2AFA" w:rsidRPr="002D77C0" w:rsidRDefault="000C2AFA" w:rsidP="002D77C0">
      <w:pPr>
        <w:pStyle w:val="ListParagraph"/>
        <w:numPr>
          <w:ilvl w:val="0"/>
          <w:numId w:val="1"/>
        </w:numPr>
        <w:spacing w:line="240" w:lineRule="auto"/>
        <w:ind w:left="2268" w:hanging="425"/>
        <w:jc w:val="both"/>
        <w:rPr>
          <w:rFonts w:ascii="Arial" w:hAnsi="Arial" w:cs="Arial"/>
          <w:i/>
          <w:iCs/>
          <w:sz w:val="18"/>
          <w:szCs w:val="18"/>
          <w:lang w:val="en-US"/>
        </w:rPr>
      </w:pPr>
      <w:r w:rsidRPr="002D77C0">
        <w:rPr>
          <w:rFonts w:ascii="Arial" w:hAnsi="Arial" w:cs="Arial"/>
          <w:i/>
          <w:iCs/>
          <w:sz w:val="18"/>
          <w:szCs w:val="18"/>
          <w:lang w:val="en-US"/>
        </w:rPr>
        <w:t>The 5404 Standford Road Trust (“t</w:t>
      </w:r>
      <w:r w:rsidR="00E50DC3" w:rsidRPr="002D77C0">
        <w:rPr>
          <w:rFonts w:ascii="Arial" w:hAnsi="Arial" w:cs="Arial"/>
          <w:i/>
          <w:iCs/>
          <w:sz w:val="18"/>
          <w:szCs w:val="18"/>
          <w:lang w:val="en-US"/>
        </w:rPr>
        <w:t>he</w:t>
      </w:r>
      <w:r w:rsidRPr="002D77C0">
        <w:rPr>
          <w:rFonts w:ascii="Arial" w:hAnsi="Arial" w:cs="Arial"/>
          <w:i/>
          <w:iCs/>
          <w:sz w:val="18"/>
          <w:szCs w:val="18"/>
          <w:lang w:val="en-US"/>
        </w:rPr>
        <w:t xml:space="preserve"> Trust”), represented by Le Grange, is the erstwhile owner of Erf 5404, Gelvandale (“the property”) and the business operated therefrom at that time.</w:t>
      </w:r>
    </w:p>
    <w:p w14:paraId="459D582E" w14:textId="26F7793E" w:rsidR="000C2AFA" w:rsidRPr="002D77C0" w:rsidRDefault="000C2AFA" w:rsidP="002D77C0">
      <w:pPr>
        <w:pStyle w:val="ListParagraph"/>
        <w:numPr>
          <w:ilvl w:val="0"/>
          <w:numId w:val="1"/>
        </w:numPr>
        <w:spacing w:line="240" w:lineRule="auto"/>
        <w:ind w:left="2268" w:hanging="425"/>
        <w:jc w:val="both"/>
        <w:rPr>
          <w:rFonts w:ascii="Arial" w:hAnsi="Arial" w:cs="Arial"/>
          <w:i/>
          <w:iCs/>
          <w:sz w:val="18"/>
          <w:szCs w:val="18"/>
          <w:lang w:val="en-US"/>
        </w:rPr>
      </w:pPr>
      <w:r w:rsidRPr="002D77C0">
        <w:rPr>
          <w:rFonts w:ascii="Arial" w:hAnsi="Arial" w:cs="Arial"/>
          <w:i/>
          <w:iCs/>
          <w:sz w:val="18"/>
          <w:szCs w:val="18"/>
          <w:lang w:val="en-US"/>
        </w:rPr>
        <w:t xml:space="preserve">Propt Solutions (Pty) Ltd (formerly known as Quest Petroleum Free State (Pty) Ltd purchased the property from the Trust. The deed of sale had included in it an option to repurchase the property (not the business), only </w:t>
      </w:r>
      <w:r w:rsidR="00E50DC3" w:rsidRPr="002D77C0">
        <w:rPr>
          <w:rFonts w:ascii="Arial" w:hAnsi="Arial" w:cs="Arial"/>
          <w:i/>
          <w:iCs/>
          <w:sz w:val="18"/>
          <w:szCs w:val="18"/>
          <w:lang w:val="en-US"/>
        </w:rPr>
        <w:t>i</w:t>
      </w:r>
      <w:r w:rsidRPr="002D77C0">
        <w:rPr>
          <w:rFonts w:ascii="Arial" w:hAnsi="Arial" w:cs="Arial"/>
          <w:i/>
          <w:iCs/>
          <w:sz w:val="18"/>
          <w:szCs w:val="18"/>
          <w:lang w:val="en-US"/>
        </w:rPr>
        <w:t>f the Trust was not indebted to the purchaser nor in default of its lease agreement with the purchaser.</w:t>
      </w:r>
    </w:p>
    <w:p w14:paraId="404CBCEB" w14:textId="77777777" w:rsidR="000C2AFA" w:rsidRPr="002D77C0" w:rsidRDefault="000C2AFA" w:rsidP="002D77C0">
      <w:pPr>
        <w:pStyle w:val="ListParagraph"/>
        <w:numPr>
          <w:ilvl w:val="0"/>
          <w:numId w:val="1"/>
        </w:numPr>
        <w:spacing w:line="240" w:lineRule="auto"/>
        <w:ind w:left="2268" w:hanging="425"/>
        <w:jc w:val="both"/>
        <w:rPr>
          <w:rFonts w:ascii="Arial" w:hAnsi="Arial" w:cs="Arial"/>
          <w:i/>
          <w:iCs/>
          <w:sz w:val="18"/>
          <w:szCs w:val="18"/>
          <w:lang w:val="en-US"/>
        </w:rPr>
      </w:pPr>
      <w:r w:rsidRPr="002D77C0">
        <w:rPr>
          <w:rFonts w:ascii="Arial" w:hAnsi="Arial" w:cs="Arial"/>
          <w:i/>
          <w:iCs/>
          <w:sz w:val="18"/>
          <w:szCs w:val="18"/>
          <w:lang w:val="en-US"/>
        </w:rPr>
        <w:t>The Trust breached the lease agreement which was subsequently cancelled and accordingly the Trust is in perpetual breach of the lease agreement. It therefore can never exercise the option to repurchase the property.</w:t>
      </w:r>
    </w:p>
    <w:p w14:paraId="5AF865E7" w14:textId="77777777" w:rsidR="000C2AFA" w:rsidRPr="002D77C0" w:rsidRDefault="000C2AFA" w:rsidP="002D77C0">
      <w:pPr>
        <w:pStyle w:val="ListParagraph"/>
        <w:numPr>
          <w:ilvl w:val="0"/>
          <w:numId w:val="1"/>
        </w:numPr>
        <w:spacing w:line="240" w:lineRule="auto"/>
        <w:ind w:left="2268" w:hanging="425"/>
        <w:jc w:val="both"/>
        <w:rPr>
          <w:rFonts w:ascii="Arial" w:hAnsi="Arial" w:cs="Arial"/>
          <w:i/>
          <w:iCs/>
          <w:sz w:val="18"/>
          <w:szCs w:val="18"/>
          <w:lang w:val="en-US"/>
        </w:rPr>
      </w:pPr>
      <w:r w:rsidRPr="002D77C0">
        <w:rPr>
          <w:rFonts w:ascii="Arial" w:hAnsi="Arial" w:cs="Arial"/>
          <w:i/>
          <w:iCs/>
          <w:sz w:val="18"/>
          <w:szCs w:val="18"/>
          <w:lang w:val="en-US"/>
        </w:rPr>
        <w:t>I reiterate that the Trust had no option in relation to the business, and in fact the Trust vacated the property willingly.</w:t>
      </w:r>
    </w:p>
    <w:p w14:paraId="066A234B" w14:textId="5D263580" w:rsidR="000C2AFA" w:rsidRPr="002D77C0" w:rsidRDefault="000C2AFA" w:rsidP="002D77C0">
      <w:pPr>
        <w:pStyle w:val="ListParagraph"/>
        <w:numPr>
          <w:ilvl w:val="0"/>
          <w:numId w:val="1"/>
        </w:numPr>
        <w:spacing w:line="240" w:lineRule="auto"/>
        <w:ind w:left="2268" w:hanging="425"/>
        <w:jc w:val="both"/>
        <w:rPr>
          <w:rFonts w:ascii="Arial" w:hAnsi="Arial" w:cs="Arial"/>
          <w:i/>
          <w:iCs/>
          <w:sz w:val="18"/>
          <w:szCs w:val="18"/>
          <w:lang w:val="en-US"/>
        </w:rPr>
      </w:pPr>
      <w:r w:rsidRPr="002D77C0">
        <w:rPr>
          <w:rFonts w:ascii="Arial" w:hAnsi="Arial" w:cs="Arial"/>
          <w:i/>
          <w:iCs/>
          <w:sz w:val="18"/>
          <w:szCs w:val="18"/>
          <w:lang w:val="en-US"/>
        </w:rPr>
        <w:t xml:space="preserve">If for any reasons the Trust succeeds in its attempt to activate its option (which it has not done in any shape </w:t>
      </w:r>
      <w:r w:rsidR="000F121B" w:rsidRPr="002D77C0">
        <w:rPr>
          <w:rFonts w:ascii="Arial" w:hAnsi="Arial" w:cs="Arial"/>
          <w:i/>
          <w:iCs/>
          <w:sz w:val="18"/>
          <w:szCs w:val="18"/>
          <w:lang w:val="en-US"/>
        </w:rPr>
        <w:t xml:space="preserve">or </w:t>
      </w:r>
      <w:r w:rsidRPr="002D77C0">
        <w:rPr>
          <w:rFonts w:ascii="Arial" w:hAnsi="Arial" w:cs="Arial"/>
          <w:i/>
          <w:iCs/>
          <w:sz w:val="18"/>
          <w:szCs w:val="18"/>
          <w:lang w:val="en-US"/>
        </w:rPr>
        <w:t>form) then you will be refunded the full purchase price as well as your expenditure on site.</w:t>
      </w:r>
    </w:p>
    <w:p w14:paraId="30D89597" w14:textId="77777777" w:rsidR="000C2AFA" w:rsidRPr="002D77C0" w:rsidRDefault="000C2AFA" w:rsidP="002D77C0">
      <w:pPr>
        <w:pStyle w:val="ListParagraph"/>
        <w:numPr>
          <w:ilvl w:val="0"/>
          <w:numId w:val="1"/>
        </w:numPr>
        <w:spacing w:line="240" w:lineRule="auto"/>
        <w:ind w:left="2268" w:hanging="425"/>
        <w:jc w:val="both"/>
        <w:rPr>
          <w:rFonts w:ascii="Arial" w:hAnsi="Arial" w:cs="Arial"/>
          <w:i/>
          <w:iCs/>
          <w:sz w:val="18"/>
          <w:szCs w:val="18"/>
          <w:lang w:val="en-US"/>
        </w:rPr>
      </w:pPr>
      <w:r w:rsidRPr="002D77C0">
        <w:rPr>
          <w:rFonts w:ascii="Arial" w:hAnsi="Arial" w:cs="Arial"/>
          <w:i/>
          <w:iCs/>
          <w:sz w:val="18"/>
          <w:szCs w:val="18"/>
          <w:lang w:val="en-US"/>
        </w:rPr>
        <w:t>I trust that this is in order.</w:t>
      </w:r>
    </w:p>
    <w:p w14:paraId="7FEF952C" w14:textId="77777777" w:rsidR="000C2AFA" w:rsidRPr="002D77C0" w:rsidRDefault="000C2AFA" w:rsidP="000C2AFA">
      <w:pPr>
        <w:spacing w:line="240" w:lineRule="auto"/>
        <w:ind w:left="1843" w:hanging="425"/>
        <w:jc w:val="both"/>
        <w:rPr>
          <w:rFonts w:ascii="Arial" w:hAnsi="Arial" w:cs="Arial"/>
          <w:i/>
          <w:iCs/>
          <w:sz w:val="18"/>
          <w:szCs w:val="18"/>
          <w:lang w:val="en-US"/>
        </w:rPr>
      </w:pPr>
      <w:r w:rsidRPr="002D77C0">
        <w:rPr>
          <w:rFonts w:ascii="Arial" w:hAnsi="Arial" w:cs="Arial"/>
          <w:i/>
          <w:iCs/>
          <w:sz w:val="18"/>
          <w:szCs w:val="18"/>
          <w:lang w:val="en-US"/>
        </w:rPr>
        <w:t>Yours faithfully,</w:t>
      </w:r>
    </w:p>
    <w:p w14:paraId="253AB897" w14:textId="1DDF594D" w:rsidR="000C2AFA" w:rsidRPr="002D77C0" w:rsidRDefault="000C2AFA" w:rsidP="000C2AFA">
      <w:pPr>
        <w:spacing w:line="240" w:lineRule="auto"/>
        <w:ind w:left="1843" w:hanging="425"/>
        <w:jc w:val="both"/>
        <w:rPr>
          <w:rFonts w:ascii="Arial" w:hAnsi="Arial" w:cs="Arial"/>
          <w:i/>
          <w:iCs/>
          <w:sz w:val="18"/>
          <w:szCs w:val="18"/>
          <w:lang w:val="en-US"/>
        </w:rPr>
      </w:pPr>
      <w:r w:rsidRPr="002D77C0">
        <w:rPr>
          <w:rFonts w:ascii="Arial" w:hAnsi="Arial" w:cs="Arial"/>
          <w:i/>
          <w:iCs/>
          <w:sz w:val="18"/>
          <w:szCs w:val="18"/>
          <w:lang w:val="en-US"/>
        </w:rPr>
        <w:t>Adriaan Le Roux</w:t>
      </w:r>
    </w:p>
    <w:p w14:paraId="58C83938" w14:textId="77777777" w:rsidR="000C2AFA" w:rsidRPr="002D77C0" w:rsidRDefault="000C2AFA" w:rsidP="000C2AFA">
      <w:pPr>
        <w:spacing w:line="240" w:lineRule="auto"/>
        <w:ind w:left="1843" w:hanging="425"/>
        <w:jc w:val="both"/>
        <w:rPr>
          <w:rFonts w:ascii="Arial" w:hAnsi="Arial" w:cs="Arial"/>
          <w:i/>
          <w:iCs/>
          <w:sz w:val="18"/>
          <w:szCs w:val="18"/>
          <w:lang w:val="en-US"/>
        </w:rPr>
      </w:pPr>
      <w:r w:rsidRPr="002D77C0">
        <w:rPr>
          <w:rFonts w:ascii="Arial" w:hAnsi="Arial" w:cs="Arial"/>
          <w:i/>
          <w:iCs/>
          <w:sz w:val="18"/>
          <w:szCs w:val="18"/>
          <w:lang w:val="en-US"/>
        </w:rPr>
        <w:t>Quest Petroleum (Pty) Ltd”</w:t>
      </w:r>
    </w:p>
    <w:p w14:paraId="58AEC2A4" w14:textId="77777777" w:rsidR="000F121B" w:rsidRPr="000F121B" w:rsidRDefault="000F121B" w:rsidP="000C2AFA">
      <w:pPr>
        <w:spacing w:line="240" w:lineRule="auto"/>
        <w:ind w:left="1843" w:hanging="425"/>
        <w:jc w:val="both"/>
        <w:rPr>
          <w:rFonts w:ascii="Arial" w:hAnsi="Arial" w:cs="Arial"/>
          <w:sz w:val="18"/>
          <w:szCs w:val="18"/>
          <w:lang w:val="en-US"/>
        </w:rPr>
      </w:pPr>
    </w:p>
    <w:p w14:paraId="1447F44F" w14:textId="69E3310D" w:rsidR="000C2AFA" w:rsidRDefault="000C2AFA" w:rsidP="000C2AFA">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F42F2F">
        <w:rPr>
          <w:rFonts w:ascii="Arial" w:hAnsi="Arial" w:cs="Arial"/>
          <w:sz w:val="24"/>
          <w:szCs w:val="24"/>
          <w:lang w:val="en-US"/>
        </w:rPr>
        <w:t>26</w:t>
      </w:r>
      <w:r>
        <w:rPr>
          <w:rFonts w:ascii="Arial" w:hAnsi="Arial" w:cs="Arial"/>
          <w:sz w:val="24"/>
          <w:szCs w:val="24"/>
          <w:lang w:val="en-US"/>
        </w:rPr>
        <w:t>]</w:t>
      </w:r>
      <w:r>
        <w:rPr>
          <w:rFonts w:ascii="Arial" w:hAnsi="Arial" w:cs="Arial"/>
          <w:sz w:val="24"/>
          <w:szCs w:val="24"/>
          <w:lang w:val="en-US"/>
        </w:rPr>
        <w:tab/>
        <w:t xml:space="preserve">He testified </w:t>
      </w:r>
      <w:r w:rsidR="00A14946">
        <w:rPr>
          <w:rFonts w:ascii="Arial" w:hAnsi="Arial" w:cs="Arial"/>
          <w:sz w:val="24"/>
          <w:szCs w:val="24"/>
          <w:lang w:val="en-US"/>
        </w:rPr>
        <w:t>that he</w:t>
      </w:r>
      <w:r>
        <w:rPr>
          <w:rFonts w:ascii="Arial" w:hAnsi="Arial" w:cs="Arial"/>
          <w:sz w:val="24"/>
          <w:szCs w:val="24"/>
          <w:lang w:val="en-US"/>
        </w:rPr>
        <w:t xml:space="preserve"> and Gotz were not told upfront about the 25% </w:t>
      </w:r>
      <w:r w:rsidR="00A14946">
        <w:rPr>
          <w:rFonts w:ascii="Arial" w:hAnsi="Arial" w:cs="Arial"/>
          <w:sz w:val="24"/>
          <w:szCs w:val="24"/>
          <w:lang w:val="en-US"/>
        </w:rPr>
        <w:t>rule,</w:t>
      </w:r>
      <w:r>
        <w:rPr>
          <w:rFonts w:ascii="Arial" w:hAnsi="Arial" w:cs="Arial"/>
          <w:sz w:val="24"/>
          <w:szCs w:val="24"/>
          <w:lang w:val="en-US"/>
        </w:rPr>
        <w:t xml:space="preserve"> and they were not willing to do it for that reason. </w:t>
      </w:r>
      <w:r w:rsidR="000F121B">
        <w:rPr>
          <w:rFonts w:ascii="Arial" w:hAnsi="Arial" w:cs="Arial"/>
          <w:sz w:val="24"/>
          <w:szCs w:val="24"/>
          <w:lang w:val="en-US"/>
        </w:rPr>
        <w:t>T</w:t>
      </w:r>
      <w:r>
        <w:rPr>
          <w:rFonts w:ascii="Arial" w:hAnsi="Arial" w:cs="Arial"/>
          <w:sz w:val="24"/>
          <w:szCs w:val="24"/>
          <w:lang w:val="en-US"/>
        </w:rPr>
        <w:t xml:space="preserve">hey did not want outside people to be </w:t>
      </w:r>
      <w:r>
        <w:rPr>
          <w:rFonts w:ascii="Arial" w:hAnsi="Arial" w:cs="Arial"/>
          <w:sz w:val="24"/>
          <w:szCs w:val="24"/>
          <w:lang w:val="en-US"/>
        </w:rPr>
        <w:lastRenderedPageBreak/>
        <w:t xml:space="preserve">involved in their business, he said. He struggled to deal with the questions relating to the 25% rule. First, he stated that he was advised about it but was told it was not enforced. Later that changed </w:t>
      </w:r>
      <w:r w:rsidR="00A14946">
        <w:rPr>
          <w:rFonts w:ascii="Arial" w:hAnsi="Arial" w:cs="Arial"/>
          <w:sz w:val="24"/>
          <w:szCs w:val="24"/>
          <w:lang w:val="en-US"/>
        </w:rPr>
        <w:t>to</w:t>
      </w:r>
      <w:r>
        <w:rPr>
          <w:rFonts w:ascii="Arial" w:hAnsi="Arial" w:cs="Arial"/>
          <w:sz w:val="24"/>
          <w:szCs w:val="24"/>
          <w:lang w:val="en-US"/>
        </w:rPr>
        <w:t xml:space="preserve"> Le Roux told them that they did not need HD</w:t>
      </w:r>
      <w:r w:rsidR="00D156D7">
        <w:rPr>
          <w:rFonts w:ascii="Arial" w:hAnsi="Arial" w:cs="Arial"/>
          <w:sz w:val="24"/>
          <w:szCs w:val="24"/>
          <w:lang w:val="en-US"/>
        </w:rPr>
        <w:t>SA</w:t>
      </w:r>
      <w:r>
        <w:rPr>
          <w:rFonts w:ascii="Arial" w:hAnsi="Arial" w:cs="Arial"/>
          <w:sz w:val="24"/>
          <w:szCs w:val="24"/>
          <w:lang w:val="en-US"/>
        </w:rPr>
        <w:t xml:space="preserve"> ownership. Later that changed to </w:t>
      </w:r>
      <w:r w:rsidR="000F121B" w:rsidRPr="008F6909">
        <w:rPr>
          <w:rFonts w:ascii="Arial" w:hAnsi="Arial" w:cs="Arial"/>
          <w:i/>
          <w:iCs/>
          <w:sz w:val="24"/>
          <w:szCs w:val="24"/>
          <w:lang w:val="en-US"/>
        </w:rPr>
        <w:t>“t</w:t>
      </w:r>
      <w:r w:rsidRPr="008F6909">
        <w:rPr>
          <w:rFonts w:ascii="Arial" w:hAnsi="Arial" w:cs="Arial"/>
          <w:i/>
          <w:iCs/>
          <w:sz w:val="24"/>
          <w:szCs w:val="24"/>
          <w:lang w:val="en-US"/>
        </w:rPr>
        <w:t>hey said it will not be an issue we will get our licence</w:t>
      </w:r>
      <w:r w:rsidR="000F121B" w:rsidRPr="008F6909">
        <w:rPr>
          <w:rFonts w:ascii="Arial" w:hAnsi="Arial" w:cs="Arial"/>
          <w:i/>
          <w:iCs/>
          <w:sz w:val="24"/>
          <w:szCs w:val="24"/>
          <w:lang w:val="en-US"/>
        </w:rPr>
        <w:t>”</w:t>
      </w:r>
      <w:r>
        <w:rPr>
          <w:rFonts w:ascii="Arial" w:hAnsi="Arial" w:cs="Arial"/>
          <w:sz w:val="24"/>
          <w:szCs w:val="24"/>
          <w:lang w:val="en-US"/>
        </w:rPr>
        <w:t>. He later conceded that nothing prevented Buntibiz from changing its</w:t>
      </w:r>
      <w:r w:rsidR="000F121B">
        <w:rPr>
          <w:rFonts w:ascii="Arial" w:hAnsi="Arial" w:cs="Arial"/>
          <w:sz w:val="24"/>
          <w:szCs w:val="24"/>
          <w:lang w:val="en-US"/>
        </w:rPr>
        <w:t xml:space="preserve"> shareholding</w:t>
      </w:r>
      <w:r>
        <w:rPr>
          <w:rFonts w:ascii="Arial" w:hAnsi="Arial" w:cs="Arial"/>
          <w:sz w:val="24"/>
          <w:szCs w:val="24"/>
          <w:lang w:val="en-US"/>
        </w:rPr>
        <w:t xml:space="preserve"> but it was not prepared to do </w:t>
      </w:r>
      <w:r w:rsidR="00A14946">
        <w:rPr>
          <w:rFonts w:ascii="Arial" w:hAnsi="Arial" w:cs="Arial"/>
          <w:sz w:val="24"/>
          <w:szCs w:val="24"/>
          <w:lang w:val="en-US"/>
        </w:rPr>
        <w:t>so.</w:t>
      </w:r>
    </w:p>
    <w:p w14:paraId="277441CF" w14:textId="6FBF3D1B" w:rsidR="000C2AFA" w:rsidRDefault="000C2AFA" w:rsidP="000C2AFA">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F42F2F">
        <w:rPr>
          <w:rFonts w:ascii="Arial" w:hAnsi="Arial" w:cs="Arial"/>
          <w:sz w:val="24"/>
          <w:szCs w:val="24"/>
          <w:lang w:val="en-US"/>
        </w:rPr>
        <w:t>27</w:t>
      </w:r>
      <w:r>
        <w:rPr>
          <w:rFonts w:ascii="Arial" w:hAnsi="Arial" w:cs="Arial"/>
          <w:sz w:val="24"/>
          <w:szCs w:val="24"/>
          <w:lang w:val="en-US"/>
        </w:rPr>
        <w:t>]</w:t>
      </w:r>
      <w:r>
        <w:rPr>
          <w:rFonts w:ascii="Arial" w:hAnsi="Arial" w:cs="Arial"/>
          <w:sz w:val="24"/>
          <w:szCs w:val="24"/>
          <w:lang w:val="en-US"/>
        </w:rPr>
        <w:tab/>
        <w:t xml:space="preserve"> He conceded that Cloete told him that if </w:t>
      </w:r>
      <w:r w:rsidR="000F121B">
        <w:rPr>
          <w:rFonts w:ascii="Arial" w:hAnsi="Arial" w:cs="Arial"/>
          <w:sz w:val="24"/>
          <w:szCs w:val="24"/>
          <w:lang w:val="en-US"/>
        </w:rPr>
        <w:t>Buntibiz</w:t>
      </w:r>
      <w:r>
        <w:rPr>
          <w:rFonts w:ascii="Arial" w:hAnsi="Arial" w:cs="Arial"/>
          <w:sz w:val="24"/>
          <w:szCs w:val="24"/>
          <w:lang w:val="en-US"/>
        </w:rPr>
        <w:t xml:space="preserve"> complied with the transformation </w:t>
      </w:r>
      <w:r w:rsidR="000F121B">
        <w:rPr>
          <w:rFonts w:ascii="Arial" w:hAnsi="Arial" w:cs="Arial"/>
          <w:sz w:val="24"/>
          <w:szCs w:val="24"/>
          <w:lang w:val="en-US"/>
        </w:rPr>
        <w:t>requirement</w:t>
      </w:r>
      <w:r>
        <w:rPr>
          <w:rFonts w:ascii="Arial" w:hAnsi="Arial" w:cs="Arial"/>
          <w:sz w:val="24"/>
          <w:szCs w:val="24"/>
          <w:lang w:val="en-US"/>
        </w:rPr>
        <w:t xml:space="preserve"> </w:t>
      </w:r>
      <w:r w:rsidR="000F121B">
        <w:rPr>
          <w:rFonts w:ascii="Arial" w:hAnsi="Arial" w:cs="Arial"/>
          <w:sz w:val="24"/>
          <w:szCs w:val="24"/>
          <w:lang w:val="en-US"/>
        </w:rPr>
        <w:t>it</w:t>
      </w:r>
      <w:r>
        <w:rPr>
          <w:rFonts w:ascii="Arial" w:hAnsi="Arial" w:cs="Arial"/>
          <w:sz w:val="24"/>
          <w:szCs w:val="24"/>
          <w:lang w:val="en-US"/>
        </w:rPr>
        <w:t xml:space="preserve"> would get the licence. He</w:t>
      </w:r>
      <w:r w:rsidR="000F121B">
        <w:rPr>
          <w:rFonts w:ascii="Arial" w:hAnsi="Arial" w:cs="Arial"/>
          <w:sz w:val="24"/>
          <w:szCs w:val="24"/>
          <w:lang w:val="en-US"/>
        </w:rPr>
        <w:t xml:space="preserve"> </w:t>
      </w:r>
      <w:r w:rsidR="00A14946">
        <w:rPr>
          <w:rFonts w:ascii="Arial" w:hAnsi="Arial" w:cs="Arial"/>
          <w:sz w:val="24"/>
          <w:szCs w:val="24"/>
          <w:lang w:val="en-US"/>
        </w:rPr>
        <w:t>was also</w:t>
      </w:r>
      <w:r>
        <w:rPr>
          <w:rFonts w:ascii="Arial" w:hAnsi="Arial" w:cs="Arial"/>
          <w:sz w:val="24"/>
          <w:szCs w:val="24"/>
          <w:lang w:val="en-US"/>
        </w:rPr>
        <w:t xml:space="preserve"> told that if </w:t>
      </w:r>
      <w:r w:rsidR="000F121B">
        <w:rPr>
          <w:rFonts w:ascii="Arial" w:hAnsi="Arial" w:cs="Arial"/>
          <w:sz w:val="24"/>
          <w:szCs w:val="24"/>
          <w:lang w:val="en-US"/>
        </w:rPr>
        <w:t>it</w:t>
      </w:r>
      <w:r>
        <w:rPr>
          <w:rFonts w:ascii="Arial" w:hAnsi="Arial" w:cs="Arial"/>
          <w:sz w:val="24"/>
          <w:szCs w:val="24"/>
          <w:lang w:val="en-US"/>
        </w:rPr>
        <w:t xml:space="preserve"> did not </w:t>
      </w:r>
      <w:r w:rsidR="000F121B">
        <w:rPr>
          <w:rFonts w:ascii="Arial" w:hAnsi="Arial" w:cs="Arial"/>
          <w:sz w:val="24"/>
          <w:szCs w:val="24"/>
          <w:lang w:val="en-US"/>
        </w:rPr>
        <w:t xml:space="preserve">do </w:t>
      </w:r>
      <w:r w:rsidR="00A14946">
        <w:rPr>
          <w:rFonts w:ascii="Arial" w:hAnsi="Arial" w:cs="Arial"/>
          <w:sz w:val="24"/>
          <w:szCs w:val="24"/>
          <w:lang w:val="en-US"/>
        </w:rPr>
        <w:t>so,</w:t>
      </w:r>
      <w:r w:rsidR="000F121B">
        <w:rPr>
          <w:rFonts w:ascii="Arial" w:hAnsi="Arial" w:cs="Arial"/>
          <w:sz w:val="24"/>
          <w:szCs w:val="24"/>
          <w:lang w:val="en-US"/>
        </w:rPr>
        <w:t xml:space="preserve"> </w:t>
      </w:r>
      <w:r w:rsidR="005942E4">
        <w:rPr>
          <w:rFonts w:ascii="Arial" w:hAnsi="Arial" w:cs="Arial"/>
          <w:sz w:val="24"/>
          <w:szCs w:val="24"/>
          <w:lang w:val="en-US"/>
        </w:rPr>
        <w:t>it will</w:t>
      </w:r>
      <w:r>
        <w:rPr>
          <w:rFonts w:ascii="Arial" w:hAnsi="Arial" w:cs="Arial"/>
          <w:sz w:val="24"/>
          <w:szCs w:val="24"/>
          <w:lang w:val="en-US"/>
        </w:rPr>
        <w:t xml:space="preserve"> not get </w:t>
      </w:r>
      <w:r w:rsidR="000F121B">
        <w:rPr>
          <w:rFonts w:ascii="Arial" w:hAnsi="Arial" w:cs="Arial"/>
          <w:sz w:val="24"/>
          <w:szCs w:val="24"/>
          <w:lang w:val="en-US"/>
        </w:rPr>
        <w:t>the licence</w:t>
      </w:r>
      <w:r>
        <w:rPr>
          <w:rFonts w:ascii="Arial" w:hAnsi="Arial" w:cs="Arial"/>
          <w:sz w:val="24"/>
          <w:szCs w:val="24"/>
          <w:lang w:val="en-US"/>
        </w:rPr>
        <w:t xml:space="preserve">. He conceded that he had an option to comply with the 25% rule. He also conceded that the closure of the filling station and the financial distress of the business were not related to the application for a retail licence. He did not dispute the fact that </w:t>
      </w:r>
      <w:r w:rsidR="000F121B">
        <w:rPr>
          <w:rFonts w:ascii="Arial" w:hAnsi="Arial" w:cs="Arial"/>
          <w:sz w:val="24"/>
          <w:szCs w:val="24"/>
          <w:lang w:val="en-US"/>
        </w:rPr>
        <w:t xml:space="preserve">a </w:t>
      </w:r>
      <w:r>
        <w:rPr>
          <w:rFonts w:ascii="Arial" w:hAnsi="Arial" w:cs="Arial"/>
          <w:sz w:val="24"/>
          <w:szCs w:val="24"/>
          <w:lang w:val="en-US"/>
        </w:rPr>
        <w:t xml:space="preserve">temporal licence was for six months and that Buntibiz continued to trade pending the permanent licence and </w:t>
      </w:r>
      <w:r w:rsidR="000F121B">
        <w:rPr>
          <w:rFonts w:ascii="Arial" w:hAnsi="Arial" w:cs="Arial"/>
          <w:sz w:val="24"/>
          <w:szCs w:val="24"/>
          <w:lang w:val="en-US"/>
        </w:rPr>
        <w:t xml:space="preserve">also </w:t>
      </w:r>
      <w:r>
        <w:rPr>
          <w:rFonts w:ascii="Arial" w:hAnsi="Arial" w:cs="Arial"/>
          <w:sz w:val="24"/>
          <w:szCs w:val="24"/>
          <w:lang w:val="en-US"/>
        </w:rPr>
        <w:t xml:space="preserve">continued to trade pending the appeal. He </w:t>
      </w:r>
      <w:r w:rsidR="000F121B">
        <w:rPr>
          <w:rFonts w:ascii="Arial" w:hAnsi="Arial" w:cs="Arial"/>
          <w:sz w:val="24"/>
          <w:szCs w:val="24"/>
          <w:lang w:val="en-US"/>
        </w:rPr>
        <w:t xml:space="preserve">testified that Buntibiz </w:t>
      </w:r>
      <w:r>
        <w:rPr>
          <w:rFonts w:ascii="Arial" w:hAnsi="Arial" w:cs="Arial"/>
          <w:sz w:val="24"/>
          <w:szCs w:val="24"/>
          <w:lang w:val="en-US"/>
        </w:rPr>
        <w:t xml:space="preserve">traded the filling station until March 2021. He </w:t>
      </w:r>
      <w:r w:rsidR="000F121B">
        <w:rPr>
          <w:rFonts w:ascii="Arial" w:hAnsi="Arial" w:cs="Arial"/>
          <w:sz w:val="24"/>
          <w:szCs w:val="24"/>
          <w:lang w:val="en-US"/>
        </w:rPr>
        <w:t xml:space="preserve">agreed that Quest Petroleum in its correspondence with him was </w:t>
      </w:r>
      <w:r>
        <w:rPr>
          <w:rFonts w:ascii="Arial" w:hAnsi="Arial" w:cs="Arial"/>
          <w:sz w:val="24"/>
          <w:szCs w:val="24"/>
          <w:lang w:val="en-US"/>
        </w:rPr>
        <w:t xml:space="preserve">attempting to resolve the problem. </w:t>
      </w:r>
      <w:r w:rsidR="000F121B">
        <w:rPr>
          <w:rFonts w:ascii="Arial" w:hAnsi="Arial" w:cs="Arial"/>
          <w:sz w:val="24"/>
          <w:szCs w:val="24"/>
          <w:lang w:val="en-US"/>
        </w:rPr>
        <w:t>At that point Buntibiz did not demand a refund because of the licence issue.</w:t>
      </w:r>
    </w:p>
    <w:p w14:paraId="5B04F20A" w14:textId="67958D14" w:rsidR="008C209B" w:rsidRDefault="000C2AFA" w:rsidP="000C2AFA">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5942E4">
        <w:rPr>
          <w:rFonts w:ascii="Arial" w:hAnsi="Arial" w:cs="Arial"/>
          <w:sz w:val="24"/>
          <w:szCs w:val="24"/>
          <w:lang w:val="en-US"/>
        </w:rPr>
        <w:t>2</w:t>
      </w:r>
      <w:r w:rsidR="00F42F2F">
        <w:rPr>
          <w:rFonts w:ascii="Arial" w:hAnsi="Arial" w:cs="Arial"/>
          <w:sz w:val="24"/>
          <w:szCs w:val="24"/>
          <w:lang w:val="en-US"/>
        </w:rPr>
        <w:t>8</w:t>
      </w:r>
      <w:r>
        <w:rPr>
          <w:rFonts w:ascii="Arial" w:hAnsi="Arial" w:cs="Arial"/>
          <w:sz w:val="24"/>
          <w:szCs w:val="24"/>
          <w:lang w:val="en-US"/>
        </w:rPr>
        <w:t>]</w:t>
      </w:r>
      <w:r>
        <w:rPr>
          <w:rFonts w:ascii="Arial" w:hAnsi="Arial" w:cs="Arial"/>
          <w:sz w:val="24"/>
          <w:szCs w:val="24"/>
          <w:lang w:val="en-US"/>
        </w:rPr>
        <w:tab/>
        <w:t xml:space="preserve">The attorneys of </w:t>
      </w:r>
      <w:r w:rsidR="008C209B">
        <w:rPr>
          <w:rFonts w:ascii="Arial" w:hAnsi="Arial" w:cs="Arial"/>
          <w:sz w:val="24"/>
          <w:szCs w:val="24"/>
          <w:lang w:val="en-US"/>
        </w:rPr>
        <w:t xml:space="preserve">record of </w:t>
      </w:r>
      <w:r>
        <w:rPr>
          <w:rFonts w:ascii="Arial" w:hAnsi="Arial" w:cs="Arial"/>
          <w:sz w:val="24"/>
          <w:szCs w:val="24"/>
          <w:lang w:val="en-US"/>
        </w:rPr>
        <w:t xml:space="preserve">Buntibiz at some point communicated that they were going to apply for rectification of the agreement but that did not occur. </w:t>
      </w:r>
      <w:r w:rsidR="008C209B">
        <w:rPr>
          <w:rFonts w:ascii="Arial" w:hAnsi="Arial" w:cs="Arial"/>
          <w:sz w:val="24"/>
          <w:szCs w:val="24"/>
          <w:lang w:val="en-US"/>
        </w:rPr>
        <w:t xml:space="preserve"> In his evidence </w:t>
      </w:r>
      <w:r w:rsidR="00D325B2">
        <w:rPr>
          <w:rFonts w:ascii="Arial" w:hAnsi="Arial" w:cs="Arial"/>
          <w:sz w:val="24"/>
          <w:szCs w:val="24"/>
          <w:lang w:val="en-US"/>
        </w:rPr>
        <w:t>-</w:t>
      </w:r>
      <w:r w:rsidR="008C209B">
        <w:rPr>
          <w:rFonts w:ascii="Arial" w:hAnsi="Arial" w:cs="Arial"/>
          <w:sz w:val="24"/>
          <w:szCs w:val="24"/>
          <w:lang w:val="en-US"/>
        </w:rPr>
        <w:t>in</w:t>
      </w:r>
      <w:r w:rsidR="00D325B2">
        <w:rPr>
          <w:rFonts w:ascii="Arial" w:hAnsi="Arial" w:cs="Arial"/>
          <w:sz w:val="24"/>
          <w:szCs w:val="24"/>
          <w:lang w:val="en-US"/>
        </w:rPr>
        <w:t>-</w:t>
      </w:r>
      <w:r w:rsidR="008C209B">
        <w:rPr>
          <w:rFonts w:ascii="Arial" w:hAnsi="Arial" w:cs="Arial"/>
          <w:sz w:val="24"/>
          <w:szCs w:val="24"/>
          <w:lang w:val="en-US"/>
        </w:rPr>
        <w:t xml:space="preserve"> chief he created an impression that Quest Petroleum wanted to sell the business in</w:t>
      </w:r>
      <w:r w:rsidR="008F126F">
        <w:rPr>
          <w:rFonts w:ascii="Arial" w:hAnsi="Arial" w:cs="Arial"/>
          <w:sz w:val="24"/>
          <w:szCs w:val="24"/>
          <w:lang w:val="en-US"/>
        </w:rPr>
        <w:t xml:space="preserve"> </w:t>
      </w:r>
      <w:r w:rsidR="008C209B">
        <w:rPr>
          <w:rFonts w:ascii="Arial" w:hAnsi="Arial" w:cs="Arial"/>
          <w:sz w:val="24"/>
          <w:szCs w:val="24"/>
          <w:lang w:val="en-US"/>
        </w:rPr>
        <w:t>order for it to refund Buntibiz. However, w</w:t>
      </w:r>
      <w:r>
        <w:rPr>
          <w:rFonts w:ascii="Arial" w:hAnsi="Arial" w:cs="Arial"/>
          <w:sz w:val="24"/>
          <w:szCs w:val="24"/>
          <w:lang w:val="en-US"/>
        </w:rPr>
        <w:t>hen confronted with correspondence dated 7 May 2020</w:t>
      </w:r>
      <w:r w:rsidR="00C61120">
        <w:rPr>
          <w:rFonts w:ascii="Arial" w:hAnsi="Arial" w:cs="Arial"/>
          <w:sz w:val="24"/>
          <w:szCs w:val="24"/>
          <w:lang w:val="en-US"/>
        </w:rPr>
        <w:t>,</w:t>
      </w:r>
      <w:r w:rsidR="0000345A">
        <w:rPr>
          <w:rFonts w:ascii="Arial" w:hAnsi="Arial" w:cs="Arial"/>
          <w:sz w:val="24"/>
          <w:szCs w:val="24"/>
          <w:lang w:val="en-US"/>
        </w:rPr>
        <w:t xml:space="preserve"> </w:t>
      </w:r>
      <w:r>
        <w:rPr>
          <w:rFonts w:ascii="Arial" w:hAnsi="Arial" w:cs="Arial"/>
          <w:sz w:val="24"/>
          <w:szCs w:val="24"/>
          <w:lang w:val="en-US"/>
        </w:rPr>
        <w:t xml:space="preserve">Exhibit “Z”, wherein Buntibiz indicated that it wanted a purchase price of R3 </w:t>
      </w:r>
      <w:r w:rsidR="008C209B">
        <w:rPr>
          <w:rFonts w:ascii="Arial" w:hAnsi="Arial" w:cs="Arial"/>
          <w:sz w:val="24"/>
          <w:szCs w:val="24"/>
          <w:lang w:val="en-US"/>
        </w:rPr>
        <w:t>m</w:t>
      </w:r>
      <w:r>
        <w:rPr>
          <w:rFonts w:ascii="Arial" w:hAnsi="Arial" w:cs="Arial"/>
          <w:sz w:val="24"/>
          <w:szCs w:val="24"/>
          <w:lang w:val="en-US"/>
        </w:rPr>
        <w:t>illion</w:t>
      </w:r>
      <w:r w:rsidR="008C209B">
        <w:rPr>
          <w:rFonts w:ascii="Arial" w:hAnsi="Arial" w:cs="Arial"/>
          <w:sz w:val="24"/>
          <w:szCs w:val="24"/>
          <w:lang w:val="en-US"/>
        </w:rPr>
        <w:t xml:space="preserve"> for the business, h</w:t>
      </w:r>
      <w:r>
        <w:rPr>
          <w:rFonts w:ascii="Arial" w:hAnsi="Arial" w:cs="Arial"/>
          <w:sz w:val="24"/>
          <w:szCs w:val="24"/>
          <w:lang w:val="en-US"/>
        </w:rPr>
        <w:t>is evidence changed</w:t>
      </w:r>
      <w:r w:rsidR="008C209B">
        <w:rPr>
          <w:rFonts w:ascii="Arial" w:hAnsi="Arial" w:cs="Arial"/>
          <w:sz w:val="24"/>
          <w:szCs w:val="24"/>
          <w:lang w:val="en-US"/>
        </w:rPr>
        <w:t xml:space="preserve">. It became clear that it was Buntibiz that would be the seller and not </w:t>
      </w:r>
      <w:r w:rsidR="008C209B">
        <w:rPr>
          <w:rFonts w:ascii="Arial" w:hAnsi="Arial" w:cs="Arial"/>
          <w:sz w:val="24"/>
          <w:szCs w:val="24"/>
          <w:lang w:val="en-US"/>
        </w:rPr>
        <w:lastRenderedPageBreak/>
        <w:t xml:space="preserve">Quest Petroleum. It was Buntibiz that wanted R3 million in order for it </w:t>
      </w:r>
      <w:r>
        <w:rPr>
          <w:rFonts w:ascii="Arial" w:hAnsi="Arial" w:cs="Arial"/>
          <w:sz w:val="24"/>
          <w:szCs w:val="24"/>
          <w:lang w:val="en-US"/>
        </w:rPr>
        <w:t>to reco</w:t>
      </w:r>
      <w:r w:rsidR="000F121B">
        <w:rPr>
          <w:rFonts w:ascii="Arial" w:hAnsi="Arial" w:cs="Arial"/>
          <w:sz w:val="24"/>
          <w:szCs w:val="24"/>
          <w:lang w:val="en-US"/>
        </w:rPr>
        <w:t>u</w:t>
      </w:r>
      <w:r>
        <w:rPr>
          <w:rFonts w:ascii="Arial" w:hAnsi="Arial" w:cs="Arial"/>
          <w:sz w:val="24"/>
          <w:szCs w:val="24"/>
          <w:lang w:val="en-US"/>
        </w:rPr>
        <w:t xml:space="preserve">p some of the expenses </w:t>
      </w:r>
      <w:r w:rsidR="0000345A">
        <w:rPr>
          <w:rFonts w:ascii="Arial" w:hAnsi="Arial" w:cs="Arial"/>
          <w:sz w:val="24"/>
          <w:szCs w:val="24"/>
          <w:lang w:val="en-US"/>
        </w:rPr>
        <w:t>incurred towards</w:t>
      </w:r>
      <w:r>
        <w:rPr>
          <w:rFonts w:ascii="Arial" w:hAnsi="Arial" w:cs="Arial"/>
          <w:sz w:val="24"/>
          <w:szCs w:val="24"/>
          <w:lang w:val="en-US"/>
        </w:rPr>
        <w:t xml:space="preserve"> renovations</w:t>
      </w:r>
      <w:r w:rsidR="008C209B">
        <w:rPr>
          <w:rFonts w:ascii="Arial" w:hAnsi="Arial" w:cs="Arial"/>
          <w:sz w:val="24"/>
          <w:szCs w:val="24"/>
          <w:lang w:val="en-US"/>
        </w:rPr>
        <w:t xml:space="preserve"> of the business. </w:t>
      </w:r>
    </w:p>
    <w:p w14:paraId="320D6423" w14:textId="3B9E7B32" w:rsidR="000C2AFA" w:rsidRDefault="00D325B2" w:rsidP="000C2AFA">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5942E4">
        <w:rPr>
          <w:rFonts w:ascii="Arial" w:hAnsi="Arial" w:cs="Arial"/>
          <w:sz w:val="24"/>
          <w:szCs w:val="24"/>
          <w:lang w:val="en-US"/>
        </w:rPr>
        <w:t>2</w:t>
      </w:r>
      <w:r w:rsidR="00F42F2F">
        <w:rPr>
          <w:rFonts w:ascii="Arial" w:hAnsi="Arial" w:cs="Arial"/>
          <w:sz w:val="24"/>
          <w:szCs w:val="24"/>
          <w:lang w:val="en-US"/>
        </w:rPr>
        <w:t>9</w:t>
      </w:r>
      <w:r>
        <w:rPr>
          <w:rFonts w:ascii="Arial" w:hAnsi="Arial" w:cs="Arial"/>
          <w:sz w:val="24"/>
          <w:szCs w:val="24"/>
          <w:lang w:val="en-US"/>
        </w:rPr>
        <w:t xml:space="preserve">] </w:t>
      </w:r>
      <w:r w:rsidR="005942E4">
        <w:rPr>
          <w:rFonts w:ascii="Arial" w:hAnsi="Arial" w:cs="Arial"/>
          <w:sz w:val="24"/>
          <w:szCs w:val="24"/>
          <w:lang w:val="en-US"/>
        </w:rPr>
        <w:tab/>
      </w:r>
      <w:r w:rsidR="008C209B">
        <w:rPr>
          <w:rFonts w:ascii="Arial" w:hAnsi="Arial" w:cs="Arial"/>
          <w:sz w:val="24"/>
          <w:szCs w:val="24"/>
          <w:lang w:val="en-US"/>
        </w:rPr>
        <w:t>Later when being questioned on the issue of the refund,</w:t>
      </w:r>
      <w:r w:rsidR="007E1F28">
        <w:rPr>
          <w:rFonts w:ascii="Arial" w:hAnsi="Arial" w:cs="Arial"/>
          <w:sz w:val="24"/>
          <w:szCs w:val="24"/>
          <w:lang w:val="en-US"/>
        </w:rPr>
        <w:t xml:space="preserve"> h</w:t>
      </w:r>
      <w:r w:rsidR="000C2AFA">
        <w:rPr>
          <w:rFonts w:ascii="Arial" w:hAnsi="Arial" w:cs="Arial"/>
          <w:sz w:val="24"/>
          <w:szCs w:val="24"/>
          <w:lang w:val="en-US"/>
        </w:rPr>
        <w:t xml:space="preserve">e changed his evidence </w:t>
      </w:r>
      <w:r w:rsidR="008C209B">
        <w:rPr>
          <w:rFonts w:ascii="Arial" w:hAnsi="Arial" w:cs="Arial"/>
          <w:sz w:val="24"/>
          <w:szCs w:val="24"/>
          <w:lang w:val="en-US"/>
        </w:rPr>
        <w:t>and stated that</w:t>
      </w:r>
      <w:r w:rsidR="000C2AFA">
        <w:rPr>
          <w:rFonts w:ascii="Arial" w:hAnsi="Arial" w:cs="Arial"/>
          <w:sz w:val="24"/>
          <w:szCs w:val="24"/>
          <w:lang w:val="en-US"/>
        </w:rPr>
        <w:t xml:space="preserve"> he effectively wanted a refund</w:t>
      </w:r>
      <w:r w:rsidR="008C209B">
        <w:rPr>
          <w:rFonts w:ascii="Arial" w:hAnsi="Arial" w:cs="Arial"/>
          <w:sz w:val="24"/>
          <w:szCs w:val="24"/>
          <w:lang w:val="en-US"/>
        </w:rPr>
        <w:t xml:space="preserve">. </w:t>
      </w:r>
      <w:r w:rsidR="000C2AFA">
        <w:rPr>
          <w:rFonts w:ascii="Arial" w:hAnsi="Arial" w:cs="Arial"/>
          <w:sz w:val="24"/>
          <w:szCs w:val="24"/>
          <w:lang w:val="en-US"/>
        </w:rPr>
        <w:t xml:space="preserve"> </w:t>
      </w:r>
      <w:r w:rsidR="008C209B">
        <w:rPr>
          <w:rFonts w:ascii="Arial" w:hAnsi="Arial" w:cs="Arial"/>
          <w:sz w:val="24"/>
          <w:szCs w:val="24"/>
          <w:lang w:val="en-US"/>
        </w:rPr>
        <w:t>H</w:t>
      </w:r>
      <w:r w:rsidR="000C2AFA">
        <w:rPr>
          <w:rFonts w:ascii="Arial" w:hAnsi="Arial" w:cs="Arial"/>
          <w:sz w:val="24"/>
          <w:szCs w:val="24"/>
          <w:lang w:val="en-US"/>
        </w:rPr>
        <w:t>e conceded that in th</w:t>
      </w:r>
      <w:r w:rsidR="007E1F28">
        <w:rPr>
          <w:rFonts w:ascii="Arial" w:hAnsi="Arial" w:cs="Arial"/>
          <w:sz w:val="24"/>
          <w:szCs w:val="24"/>
          <w:lang w:val="en-US"/>
        </w:rPr>
        <w:t>e</w:t>
      </w:r>
      <w:r w:rsidR="000C2AFA">
        <w:rPr>
          <w:rFonts w:ascii="Arial" w:hAnsi="Arial" w:cs="Arial"/>
          <w:sz w:val="24"/>
          <w:szCs w:val="24"/>
          <w:lang w:val="en-US"/>
        </w:rPr>
        <w:t xml:space="preserve"> correspondence</w:t>
      </w:r>
      <w:r w:rsidR="008C209B">
        <w:rPr>
          <w:rFonts w:ascii="Arial" w:hAnsi="Arial" w:cs="Arial"/>
          <w:sz w:val="24"/>
          <w:szCs w:val="24"/>
          <w:lang w:val="en-US"/>
        </w:rPr>
        <w:t xml:space="preserve"> </w:t>
      </w:r>
      <w:r w:rsidR="00A14946">
        <w:rPr>
          <w:rFonts w:ascii="Arial" w:hAnsi="Arial" w:cs="Arial"/>
          <w:sz w:val="24"/>
          <w:szCs w:val="24"/>
          <w:lang w:val="en-US"/>
        </w:rPr>
        <w:t>(‘</w:t>
      </w:r>
      <w:r w:rsidR="008C209B">
        <w:rPr>
          <w:rFonts w:ascii="Arial" w:hAnsi="Arial" w:cs="Arial"/>
          <w:sz w:val="24"/>
          <w:szCs w:val="24"/>
          <w:lang w:val="en-US"/>
        </w:rPr>
        <w:t>Exhibit Z</w:t>
      </w:r>
      <w:r w:rsidR="005942E4">
        <w:rPr>
          <w:rFonts w:ascii="Arial" w:hAnsi="Arial" w:cs="Arial"/>
          <w:sz w:val="24"/>
          <w:szCs w:val="24"/>
          <w:lang w:val="en-US"/>
        </w:rPr>
        <w:t>’) there</w:t>
      </w:r>
      <w:r w:rsidR="000C2AFA">
        <w:rPr>
          <w:rFonts w:ascii="Arial" w:hAnsi="Arial" w:cs="Arial"/>
          <w:sz w:val="24"/>
          <w:szCs w:val="24"/>
          <w:lang w:val="en-US"/>
        </w:rPr>
        <w:t xml:space="preserve"> was no mention of a refund at all.  He conceded that the issue about the refund by Quest Petroleum was based on certain conditions which were not met</w:t>
      </w:r>
      <w:r w:rsidR="008C209B">
        <w:rPr>
          <w:rFonts w:ascii="Arial" w:hAnsi="Arial" w:cs="Arial"/>
          <w:sz w:val="24"/>
          <w:szCs w:val="24"/>
          <w:lang w:val="en-US"/>
        </w:rPr>
        <w:t>. He agreed that</w:t>
      </w:r>
      <w:r w:rsidR="000C2AFA">
        <w:rPr>
          <w:rFonts w:ascii="Arial" w:hAnsi="Arial" w:cs="Arial"/>
          <w:sz w:val="24"/>
          <w:szCs w:val="24"/>
          <w:lang w:val="en-US"/>
        </w:rPr>
        <w:t xml:space="preserve"> there was a dispute between Quest Petroleum and Buntibiz.</w:t>
      </w:r>
    </w:p>
    <w:p w14:paraId="46C7668F" w14:textId="3C3BB051" w:rsidR="000C2AFA" w:rsidRDefault="000C2AFA" w:rsidP="000C2AFA">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F42F2F">
        <w:rPr>
          <w:rFonts w:ascii="Arial" w:hAnsi="Arial" w:cs="Arial"/>
          <w:sz w:val="24"/>
          <w:szCs w:val="24"/>
          <w:lang w:val="en-US"/>
        </w:rPr>
        <w:t>30</w:t>
      </w:r>
      <w:r>
        <w:rPr>
          <w:rFonts w:ascii="Arial" w:hAnsi="Arial" w:cs="Arial"/>
          <w:sz w:val="24"/>
          <w:szCs w:val="24"/>
          <w:lang w:val="en-US"/>
        </w:rPr>
        <w:t>]</w:t>
      </w:r>
      <w:r>
        <w:rPr>
          <w:rFonts w:ascii="Arial" w:hAnsi="Arial" w:cs="Arial"/>
          <w:sz w:val="24"/>
          <w:szCs w:val="24"/>
          <w:lang w:val="en-US"/>
        </w:rPr>
        <w:tab/>
        <w:t>It transpired in evidence that all the attempts and proposal</w:t>
      </w:r>
      <w:r w:rsidR="007E1F28">
        <w:rPr>
          <w:rFonts w:ascii="Arial" w:hAnsi="Arial" w:cs="Arial"/>
          <w:sz w:val="24"/>
          <w:szCs w:val="24"/>
          <w:lang w:val="en-US"/>
        </w:rPr>
        <w:t>s</w:t>
      </w:r>
      <w:r>
        <w:rPr>
          <w:rFonts w:ascii="Arial" w:hAnsi="Arial" w:cs="Arial"/>
          <w:sz w:val="24"/>
          <w:szCs w:val="24"/>
          <w:lang w:val="en-US"/>
        </w:rPr>
        <w:t xml:space="preserve"> to resolve the dispute between Quest Petroleum and Buntibiz</w:t>
      </w:r>
      <w:r w:rsidR="007E1F28">
        <w:rPr>
          <w:rFonts w:ascii="Arial" w:hAnsi="Arial" w:cs="Arial"/>
          <w:sz w:val="24"/>
          <w:szCs w:val="24"/>
          <w:lang w:val="en-US"/>
        </w:rPr>
        <w:t xml:space="preserve"> failed. </w:t>
      </w:r>
      <w:r>
        <w:rPr>
          <w:rFonts w:ascii="Arial" w:hAnsi="Arial" w:cs="Arial"/>
          <w:sz w:val="24"/>
          <w:szCs w:val="24"/>
          <w:lang w:val="en-US"/>
        </w:rPr>
        <w:t xml:space="preserve"> He did not recall that he asked Le Roux to put the clause in the lease agreement but he said it was highly likely. The following question was put to him:</w:t>
      </w:r>
    </w:p>
    <w:p w14:paraId="6AB65F9A" w14:textId="5B8FAB7C" w:rsidR="000C2AFA" w:rsidRPr="009D100C" w:rsidRDefault="000C2AFA" w:rsidP="000C2AFA">
      <w:pPr>
        <w:spacing w:line="240" w:lineRule="auto"/>
        <w:ind w:left="2160" w:hanging="720"/>
        <w:jc w:val="both"/>
        <w:rPr>
          <w:rFonts w:ascii="Arial" w:hAnsi="Arial" w:cs="Arial"/>
          <w:i/>
          <w:iCs/>
          <w:sz w:val="20"/>
          <w:szCs w:val="20"/>
          <w:lang w:val="en-US"/>
        </w:rPr>
      </w:pPr>
      <w:r w:rsidRPr="009D100C">
        <w:rPr>
          <w:rFonts w:ascii="Arial" w:hAnsi="Arial" w:cs="Arial"/>
          <w:i/>
          <w:iCs/>
          <w:sz w:val="20"/>
          <w:szCs w:val="20"/>
          <w:lang w:val="en-US"/>
        </w:rPr>
        <w:t xml:space="preserve">“Q - </w:t>
      </w:r>
      <w:r w:rsidRPr="009D100C">
        <w:rPr>
          <w:rFonts w:ascii="Arial" w:hAnsi="Arial" w:cs="Arial"/>
          <w:i/>
          <w:iCs/>
          <w:sz w:val="20"/>
          <w:szCs w:val="20"/>
          <w:lang w:val="en-US"/>
        </w:rPr>
        <w:tab/>
      </w:r>
      <w:r w:rsidR="00D156D7">
        <w:rPr>
          <w:rFonts w:ascii="Arial" w:hAnsi="Arial" w:cs="Arial"/>
          <w:i/>
          <w:iCs/>
          <w:sz w:val="20"/>
          <w:szCs w:val="20"/>
          <w:lang w:val="en-US"/>
        </w:rPr>
        <w:t>H</w:t>
      </w:r>
      <w:r w:rsidRPr="009D100C">
        <w:rPr>
          <w:rFonts w:ascii="Arial" w:hAnsi="Arial" w:cs="Arial"/>
          <w:i/>
          <w:iCs/>
          <w:sz w:val="20"/>
          <w:szCs w:val="20"/>
          <w:lang w:val="en-US"/>
        </w:rPr>
        <w:t>is evidence would be that there was no need to put clause in the sale agreement because you had a right against Petroleum.</w:t>
      </w:r>
    </w:p>
    <w:p w14:paraId="717E871C" w14:textId="77777777" w:rsidR="000C2AFA" w:rsidRPr="009D100C" w:rsidRDefault="000C2AFA" w:rsidP="000C2AFA">
      <w:pPr>
        <w:spacing w:line="240" w:lineRule="auto"/>
        <w:ind w:left="720" w:hanging="720"/>
        <w:jc w:val="both"/>
        <w:rPr>
          <w:rFonts w:ascii="Arial" w:hAnsi="Arial" w:cs="Arial"/>
          <w:i/>
          <w:iCs/>
          <w:sz w:val="20"/>
          <w:szCs w:val="20"/>
          <w:lang w:val="en-US"/>
        </w:rPr>
      </w:pPr>
      <w:r w:rsidRPr="009D100C">
        <w:rPr>
          <w:rFonts w:ascii="Arial" w:hAnsi="Arial" w:cs="Arial"/>
          <w:i/>
          <w:iCs/>
          <w:sz w:val="20"/>
          <w:szCs w:val="20"/>
          <w:lang w:val="en-US"/>
        </w:rPr>
        <w:tab/>
      </w:r>
      <w:r w:rsidRPr="009D100C">
        <w:rPr>
          <w:rFonts w:ascii="Arial" w:hAnsi="Arial" w:cs="Arial"/>
          <w:i/>
          <w:iCs/>
          <w:sz w:val="20"/>
          <w:szCs w:val="20"/>
          <w:lang w:val="en-US"/>
        </w:rPr>
        <w:tab/>
        <w:t>A -</w:t>
      </w:r>
      <w:r w:rsidRPr="009D100C">
        <w:rPr>
          <w:rFonts w:ascii="Arial" w:hAnsi="Arial" w:cs="Arial"/>
          <w:i/>
          <w:iCs/>
          <w:sz w:val="20"/>
          <w:szCs w:val="20"/>
          <w:lang w:val="en-US"/>
        </w:rPr>
        <w:tab/>
        <w:t>He is right.”</w:t>
      </w:r>
    </w:p>
    <w:p w14:paraId="4DBB097F" w14:textId="77777777" w:rsidR="008F6909" w:rsidRDefault="008F6909" w:rsidP="000C2AFA">
      <w:pPr>
        <w:spacing w:line="240" w:lineRule="auto"/>
        <w:ind w:left="720" w:hanging="720"/>
        <w:jc w:val="both"/>
        <w:rPr>
          <w:rFonts w:ascii="Arial" w:hAnsi="Arial" w:cs="Arial"/>
          <w:sz w:val="20"/>
          <w:szCs w:val="20"/>
          <w:lang w:val="en-US"/>
        </w:rPr>
      </w:pPr>
    </w:p>
    <w:p w14:paraId="49265601" w14:textId="3BFAC1F2" w:rsidR="0062195E" w:rsidRDefault="000C2AFA" w:rsidP="002C4E8D">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F42F2F">
        <w:rPr>
          <w:rFonts w:ascii="Arial" w:hAnsi="Arial" w:cs="Arial"/>
          <w:sz w:val="24"/>
          <w:szCs w:val="24"/>
          <w:lang w:val="en-US"/>
        </w:rPr>
        <w:t>31</w:t>
      </w:r>
      <w:r>
        <w:rPr>
          <w:rFonts w:ascii="Arial" w:hAnsi="Arial" w:cs="Arial"/>
          <w:sz w:val="24"/>
          <w:szCs w:val="24"/>
          <w:lang w:val="en-US"/>
        </w:rPr>
        <w:t>]</w:t>
      </w:r>
      <w:r>
        <w:rPr>
          <w:rFonts w:ascii="Arial" w:hAnsi="Arial" w:cs="Arial"/>
          <w:sz w:val="24"/>
          <w:szCs w:val="24"/>
          <w:lang w:val="en-US"/>
        </w:rPr>
        <w:tab/>
        <w:t>He conceded that clause 26 in its present form could not be contained in the sale agreement</w:t>
      </w:r>
      <w:r w:rsidR="007E1F28">
        <w:rPr>
          <w:rFonts w:ascii="Arial" w:hAnsi="Arial" w:cs="Arial"/>
          <w:sz w:val="24"/>
          <w:szCs w:val="24"/>
          <w:lang w:val="en-US"/>
        </w:rPr>
        <w:t xml:space="preserve"> because </w:t>
      </w:r>
      <w:r>
        <w:rPr>
          <w:rFonts w:ascii="Arial" w:hAnsi="Arial" w:cs="Arial"/>
          <w:sz w:val="24"/>
          <w:szCs w:val="24"/>
          <w:lang w:val="en-US"/>
        </w:rPr>
        <w:t>there would be a contradiction in the agreements. He also conceded that Buntibiz removed some of the expensive equipment from the premises</w:t>
      </w:r>
      <w:r w:rsidR="007E1F28">
        <w:rPr>
          <w:rFonts w:ascii="Arial" w:hAnsi="Arial" w:cs="Arial"/>
          <w:sz w:val="24"/>
          <w:szCs w:val="24"/>
          <w:lang w:val="en-US"/>
        </w:rPr>
        <w:t>.</w:t>
      </w:r>
      <w:r>
        <w:rPr>
          <w:rFonts w:ascii="Arial" w:hAnsi="Arial" w:cs="Arial"/>
          <w:sz w:val="24"/>
          <w:szCs w:val="24"/>
          <w:lang w:val="en-US"/>
        </w:rPr>
        <w:t xml:space="preserve"> </w:t>
      </w:r>
      <w:r w:rsidR="007E1F28">
        <w:rPr>
          <w:rFonts w:ascii="Arial" w:hAnsi="Arial" w:cs="Arial"/>
          <w:sz w:val="24"/>
          <w:szCs w:val="24"/>
          <w:lang w:val="en-US"/>
        </w:rPr>
        <w:t>H</w:t>
      </w:r>
      <w:r>
        <w:rPr>
          <w:rFonts w:ascii="Arial" w:hAnsi="Arial" w:cs="Arial"/>
          <w:sz w:val="24"/>
          <w:szCs w:val="24"/>
          <w:lang w:val="en-US"/>
        </w:rPr>
        <w:t xml:space="preserve">e further agreed that the correspondence between the parties did not indicate that the three agreements were to be treated as one. </w:t>
      </w:r>
      <w:r w:rsidR="00C537D6">
        <w:rPr>
          <w:rFonts w:ascii="Arial" w:hAnsi="Arial" w:cs="Arial"/>
          <w:sz w:val="24"/>
          <w:szCs w:val="24"/>
          <w:lang w:val="en-US"/>
        </w:rPr>
        <w:t xml:space="preserve"> He testified that the people that they engaged in relation to the license</w:t>
      </w:r>
      <w:r w:rsidR="00D156D7">
        <w:rPr>
          <w:rFonts w:ascii="Arial" w:hAnsi="Arial" w:cs="Arial"/>
          <w:sz w:val="24"/>
          <w:szCs w:val="24"/>
          <w:lang w:val="en-US"/>
        </w:rPr>
        <w:t xml:space="preserve"> </w:t>
      </w:r>
      <w:r w:rsidR="00C537D6">
        <w:rPr>
          <w:rFonts w:ascii="Arial" w:hAnsi="Arial" w:cs="Arial"/>
          <w:sz w:val="24"/>
          <w:szCs w:val="24"/>
          <w:lang w:val="en-US"/>
        </w:rPr>
        <w:t xml:space="preserve">did not raise the fact that they had to ‘dilute’ Buntibiz. He conceded that in the particulars of claim there were no allegations of misrepresentation. </w:t>
      </w:r>
    </w:p>
    <w:p w14:paraId="1A9DE5DF" w14:textId="02068726" w:rsidR="008F6909" w:rsidRPr="00670828" w:rsidRDefault="00670828" w:rsidP="000C2AFA">
      <w:pPr>
        <w:spacing w:line="480" w:lineRule="auto"/>
        <w:ind w:left="720" w:hanging="720"/>
        <w:jc w:val="both"/>
        <w:rPr>
          <w:rFonts w:ascii="Arial" w:hAnsi="Arial" w:cs="Arial"/>
          <w:i/>
          <w:iCs/>
          <w:sz w:val="24"/>
          <w:szCs w:val="24"/>
          <w:lang w:val="en-US"/>
        </w:rPr>
      </w:pPr>
      <w:r w:rsidRPr="00670828">
        <w:rPr>
          <w:rFonts w:ascii="Arial" w:hAnsi="Arial" w:cs="Arial"/>
          <w:i/>
          <w:iCs/>
          <w:sz w:val="24"/>
          <w:szCs w:val="24"/>
          <w:lang w:val="en-US"/>
        </w:rPr>
        <w:t>Mr Earle Cloete</w:t>
      </w:r>
    </w:p>
    <w:p w14:paraId="3C4DC31C" w14:textId="46BB68AC" w:rsidR="000C2AFA" w:rsidRDefault="000C2AFA" w:rsidP="000C2AFA">
      <w:pPr>
        <w:spacing w:line="480" w:lineRule="auto"/>
        <w:ind w:left="720" w:hanging="720"/>
        <w:jc w:val="both"/>
        <w:rPr>
          <w:rFonts w:ascii="Arial" w:hAnsi="Arial" w:cs="Arial"/>
          <w:sz w:val="24"/>
          <w:szCs w:val="24"/>
          <w:lang w:val="en-US"/>
        </w:rPr>
      </w:pPr>
      <w:r>
        <w:rPr>
          <w:rFonts w:ascii="Arial" w:hAnsi="Arial" w:cs="Arial"/>
          <w:sz w:val="24"/>
          <w:szCs w:val="24"/>
          <w:lang w:val="en-US"/>
        </w:rPr>
        <w:lastRenderedPageBreak/>
        <w:t>[</w:t>
      </w:r>
      <w:r w:rsidR="00F42F2F">
        <w:rPr>
          <w:rFonts w:ascii="Arial" w:hAnsi="Arial" w:cs="Arial"/>
          <w:sz w:val="24"/>
          <w:szCs w:val="24"/>
          <w:lang w:val="en-US"/>
        </w:rPr>
        <w:t>32</w:t>
      </w:r>
      <w:r>
        <w:rPr>
          <w:rFonts w:ascii="Arial" w:hAnsi="Arial" w:cs="Arial"/>
          <w:sz w:val="24"/>
          <w:szCs w:val="24"/>
          <w:lang w:val="en-US"/>
        </w:rPr>
        <w:t>]</w:t>
      </w:r>
      <w:r>
        <w:rPr>
          <w:rFonts w:ascii="Arial" w:hAnsi="Arial" w:cs="Arial"/>
          <w:sz w:val="24"/>
          <w:szCs w:val="24"/>
          <w:lang w:val="en-US"/>
        </w:rPr>
        <w:tab/>
        <w:t xml:space="preserve">The next witness </w:t>
      </w:r>
      <w:r w:rsidR="008F6909">
        <w:rPr>
          <w:rFonts w:ascii="Arial" w:hAnsi="Arial" w:cs="Arial"/>
          <w:sz w:val="24"/>
          <w:szCs w:val="24"/>
          <w:lang w:val="en-US"/>
        </w:rPr>
        <w:t xml:space="preserve">for Buntibiz </w:t>
      </w:r>
      <w:r>
        <w:rPr>
          <w:rFonts w:ascii="Arial" w:hAnsi="Arial" w:cs="Arial"/>
          <w:sz w:val="24"/>
          <w:szCs w:val="24"/>
          <w:lang w:val="en-US"/>
        </w:rPr>
        <w:t xml:space="preserve">was Mr </w:t>
      </w:r>
      <w:r w:rsidR="006B3782">
        <w:rPr>
          <w:rFonts w:ascii="Arial" w:hAnsi="Arial" w:cs="Arial"/>
          <w:sz w:val="24"/>
          <w:szCs w:val="24"/>
          <w:lang w:val="en-US"/>
        </w:rPr>
        <w:t>Earle</w:t>
      </w:r>
      <w:r>
        <w:rPr>
          <w:rFonts w:ascii="Arial" w:hAnsi="Arial" w:cs="Arial"/>
          <w:sz w:val="24"/>
          <w:szCs w:val="24"/>
          <w:lang w:val="en-US"/>
        </w:rPr>
        <w:t xml:space="preserve"> Cloete. He is a </w:t>
      </w:r>
      <w:r w:rsidR="008F6909">
        <w:rPr>
          <w:rFonts w:ascii="Arial" w:hAnsi="Arial" w:cs="Arial"/>
          <w:sz w:val="24"/>
          <w:szCs w:val="24"/>
          <w:lang w:val="en-US"/>
        </w:rPr>
        <w:t>p</w:t>
      </w:r>
      <w:r>
        <w:rPr>
          <w:rFonts w:ascii="Arial" w:hAnsi="Arial" w:cs="Arial"/>
          <w:sz w:val="24"/>
          <w:szCs w:val="24"/>
          <w:lang w:val="en-US"/>
        </w:rPr>
        <w:t>etroleum consultant</w:t>
      </w:r>
      <w:r w:rsidR="006B3782">
        <w:rPr>
          <w:rFonts w:ascii="Arial" w:hAnsi="Arial" w:cs="Arial"/>
          <w:sz w:val="24"/>
          <w:szCs w:val="24"/>
          <w:lang w:val="en-US"/>
        </w:rPr>
        <w:t xml:space="preserve">. His expertise </w:t>
      </w:r>
      <w:r>
        <w:rPr>
          <w:rFonts w:ascii="Arial" w:hAnsi="Arial" w:cs="Arial"/>
          <w:sz w:val="24"/>
          <w:szCs w:val="24"/>
          <w:lang w:val="en-US"/>
        </w:rPr>
        <w:t>in th</w:t>
      </w:r>
      <w:r w:rsidR="006B3782">
        <w:rPr>
          <w:rFonts w:ascii="Arial" w:hAnsi="Arial" w:cs="Arial"/>
          <w:sz w:val="24"/>
          <w:szCs w:val="24"/>
          <w:lang w:val="en-US"/>
        </w:rPr>
        <w:t>is regard</w:t>
      </w:r>
      <w:r>
        <w:rPr>
          <w:rFonts w:ascii="Arial" w:hAnsi="Arial" w:cs="Arial"/>
          <w:sz w:val="24"/>
          <w:szCs w:val="24"/>
          <w:lang w:val="en-US"/>
        </w:rPr>
        <w:t xml:space="preserve"> was not challenged. He had work</w:t>
      </w:r>
      <w:r w:rsidR="006B3782">
        <w:rPr>
          <w:rFonts w:ascii="Arial" w:hAnsi="Arial" w:cs="Arial"/>
          <w:sz w:val="24"/>
          <w:szCs w:val="24"/>
          <w:lang w:val="en-US"/>
        </w:rPr>
        <w:t>ed</w:t>
      </w:r>
      <w:r>
        <w:rPr>
          <w:rFonts w:ascii="Arial" w:hAnsi="Arial" w:cs="Arial"/>
          <w:sz w:val="24"/>
          <w:szCs w:val="24"/>
          <w:lang w:val="en-US"/>
        </w:rPr>
        <w:t xml:space="preserve"> previously for the Department of Minerals and Energy</w:t>
      </w:r>
      <w:r w:rsidR="006B3782">
        <w:rPr>
          <w:rFonts w:ascii="Arial" w:hAnsi="Arial" w:cs="Arial"/>
          <w:sz w:val="24"/>
          <w:szCs w:val="24"/>
          <w:lang w:val="en-US"/>
        </w:rPr>
        <w:t>. H</w:t>
      </w:r>
      <w:r>
        <w:rPr>
          <w:rFonts w:ascii="Arial" w:hAnsi="Arial" w:cs="Arial"/>
          <w:sz w:val="24"/>
          <w:szCs w:val="24"/>
          <w:lang w:val="en-US"/>
        </w:rPr>
        <w:t>e left the department in 2017 to start his own business. He knew Quest</w:t>
      </w:r>
      <w:r w:rsidR="006B3782">
        <w:rPr>
          <w:rFonts w:ascii="Arial" w:hAnsi="Arial" w:cs="Arial"/>
          <w:sz w:val="24"/>
          <w:szCs w:val="24"/>
          <w:lang w:val="en-US"/>
        </w:rPr>
        <w:t xml:space="preserve"> and </w:t>
      </w:r>
      <w:r w:rsidRPr="007E1F28">
        <w:rPr>
          <w:rFonts w:ascii="Arial" w:hAnsi="Arial" w:cs="Arial"/>
          <w:color w:val="000000" w:themeColor="text1"/>
          <w:sz w:val="24"/>
          <w:szCs w:val="24"/>
          <w:lang w:val="en-US"/>
        </w:rPr>
        <w:t xml:space="preserve">was dealing with Le Roux. </w:t>
      </w:r>
      <w:r>
        <w:rPr>
          <w:rFonts w:ascii="Arial" w:hAnsi="Arial" w:cs="Arial"/>
          <w:sz w:val="24"/>
          <w:szCs w:val="24"/>
          <w:lang w:val="en-US"/>
        </w:rPr>
        <w:t xml:space="preserve">He confirmed that he </w:t>
      </w:r>
      <w:r w:rsidR="0062195E">
        <w:rPr>
          <w:rFonts w:ascii="Arial" w:hAnsi="Arial" w:cs="Arial"/>
          <w:sz w:val="24"/>
          <w:szCs w:val="24"/>
          <w:lang w:val="en-US"/>
        </w:rPr>
        <w:t>had put</w:t>
      </w:r>
      <w:r>
        <w:rPr>
          <w:rFonts w:ascii="Arial" w:hAnsi="Arial" w:cs="Arial"/>
          <w:sz w:val="24"/>
          <w:szCs w:val="24"/>
          <w:lang w:val="en-US"/>
        </w:rPr>
        <w:t xml:space="preserve"> in applications for both the tempora</w:t>
      </w:r>
      <w:r w:rsidR="006B3782">
        <w:rPr>
          <w:rFonts w:ascii="Arial" w:hAnsi="Arial" w:cs="Arial"/>
          <w:sz w:val="24"/>
          <w:szCs w:val="24"/>
          <w:lang w:val="en-US"/>
        </w:rPr>
        <w:t>l</w:t>
      </w:r>
      <w:r>
        <w:rPr>
          <w:rFonts w:ascii="Arial" w:hAnsi="Arial" w:cs="Arial"/>
          <w:sz w:val="24"/>
          <w:szCs w:val="24"/>
          <w:lang w:val="en-US"/>
        </w:rPr>
        <w:t xml:space="preserve"> and permanent licences for Buntibiz. He confirmed that the temporal was granted and the permanent licence was refused because Buntibiz did not comply with the 25% rule. This rule comes from </w:t>
      </w:r>
      <w:r w:rsidR="006B3782">
        <w:rPr>
          <w:rFonts w:ascii="Arial" w:hAnsi="Arial" w:cs="Arial"/>
          <w:sz w:val="24"/>
          <w:szCs w:val="24"/>
          <w:lang w:val="en-US"/>
        </w:rPr>
        <w:t xml:space="preserve">the </w:t>
      </w:r>
      <w:r>
        <w:rPr>
          <w:rFonts w:ascii="Arial" w:hAnsi="Arial" w:cs="Arial"/>
          <w:sz w:val="24"/>
          <w:szCs w:val="24"/>
          <w:lang w:val="en-US"/>
        </w:rPr>
        <w:t xml:space="preserve">Petroleum </w:t>
      </w:r>
      <w:r w:rsidR="006B3782">
        <w:rPr>
          <w:rFonts w:ascii="Arial" w:hAnsi="Arial" w:cs="Arial"/>
          <w:sz w:val="24"/>
          <w:szCs w:val="24"/>
          <w:lang w:val="en-US"/>
        </w:rPr>
        <w:t>C</w:t>
      </w:r>
      <w:r>
        <w:rPr>
          <w:rFonts w:ascii="Arial" w:hAnsi="Arial" w:cs="Arial"/>
          <w:sz w:val="24"/>
          <w:szCs w:val="24"/>
          <w:lang w:val="en-US"/>
        </w:rPr>
        <w:t xml:space="preserve">harter which has been in existence since 2000 but was not implemented. It was only implemented </w:t>
      </w:r>
      <w:r w:rsidR="006B3782">
        <w:rPr>
          <w:rFonts w:ascii="Arial" w:hAnsi="Arial" w:cs="Arial"/>
          <w:sz w:val="24"/>
          <w:szCs w:val="24"/>
          <w:lang w:val="en-US"/>
        </w:rPr>
        <w:t xml:space="preserve">at the </w:t>
      </w:r>
      <w:r>
        <w:rPr>
          <w:rFonts w:ascii="Arial" w:hAnsi="Arial" w:cs="Arial"/>
          <w:sz w:val="24"/>
          <w:szCs w:val="24"/>
          <w:lang w:val="en-US"/>
        </w:rPr>
        <w:t xml:space="preserve">end of the year 2018. </w:t>
      </w:r>
    </w:p>
    <w:p w14:paraId="0E42D3F4" w14:textId="19406BC4" w:rsidR="000C2AFA" w:rsidRDefault="000C2AFA" w:rsidP="000C2AFA">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F42F2F">
        <w:rPr>
          <w:rFonts w:ascii="Arial" w:hAnsi="Arial" w:cs="Arial"/>
          <w:sz w:val="24"/>
          <w:szCs w:val="24"/>
          <w:lang w:val="en-US"/>
        </w:rPr>
        <w:t>33</w:t>
      </w:r>
      <w:r>
        <w:rPr>
          <w:rFonts w:ascii="Arial" w:hAnsi="Arial" w:cs="Arial"/>
          <w:sz w:val="24"/>
          <w:szCs w:val="24"/>
          <w:lang w:val="en-US"/>
        </w:rPr>
        <w:t>]</w:t>
      </w:r>
      <w:r>
        <w:rPr>
          <w:rFonts w:ascii="Arial" w:hAnsi="Arial" w:cs="Arial"/>
          <w:sz w:val="24"/>
          <w:szCs w:val="24"/>
          <w:lang w:val="en-US"/>
        </w:rPr>
        <w:tab/>
        <w:t>He also confirmed that he also prepared and lodged an appeal after the application for a licence was refused. In the provisional appeal that he prepared he put in a statement that Buntibiz would restructure its shareholding because that was the only way</w:t>
      </w:r>
      <w:r w:rsidR="006B3782">
        <w:rPr>
          <w:rFonts w:ascii="Arial" w:hAnsi="Arial" w:cs="Arial"/>
          <w:sz w:val="24"/>
          <w:szCs w:val="24"/>
          <w:lang w:val="en-US"/>
        </w:rPr>
        <w:t xml:space="preserve"> </w:t>
      </w:r>
      <w:r>
        <w:rPr>
          <w:rFonts w:ascii="Arial" w:hAnsi="Arial" w:cs="Arial"/>
          <w:sz w:val="24"/>
          <w:szCs w:val="24"/>
          <w:lang w:val="en-US"/>
        </w:rPr>
        <w:t xml:space="preserve">it </w:t>
      </w:r>
      <w:r w:rsidR="006B3782">
        <w:rPr>
          <w:rFonts w:ascii="Arial" w:hAnsi="Arial" w:cs="Arial"/>
          <w:sz w:val="24"/>
          <w:szCs w:val="24"/>
          <w:lang w:val="en-US"/>
        </w:rPr>
        <w:t xml:space="preserve">would </w:t>
      </w:r>
      <w:r>
        <w:rPr>
          <w:rFonts w:ascii="Arial" w:hAnsi="Arial" w:cs="Arial"/>
          <w:sz w:val="24"/>
          <w:szCs w:val="24"/>
          <w:lang w:val="en-US"/>
        </w:rPr>
        <w:t>be able to succeed in the appeal. He conceded that he did not have a mandate from Buntibiz to put in that statement.</w:t>
      </w:r>
      <w:r w:rsidR="008D06A0">
        <w:rPr>
          <w:rFonts w:ascii="Arial" w:hAnsi="Arial" w:cs="Arial"/>
          <w:sz w:val="24"/>
          <w:szCs w:val="24"/>
          <w:lang w:val="en-US"/>
        </w:rPr>
        <w:t xml:space="preserve"> </w:t>
      </w:r>
      <w:r w:rsidR="00D156D7">
        <w:rPr>
          <w:rFonts w:ascii="Arial" w:hAnsi="Arial" w:cs="Arial"/>
          <w:sz w:val="24"/>
          <w:szCs w:val="24"/>
          <w:lang w:val="en-US"/>
        </w:rPr>
        <w:t>McLoughlin</w:t>
      </w:r>
      <w:r>
        <w:rPr>
          <w:rFonts w:ascii="Arial" w:hAnsi="Arial" w:cs="Arial"/>
          <w:sz w:val="24"/>
          <w:szCs w:val="24"/>
          <w:lang w:val="en-US"/>
        </w:rPr>
        <w:t xml:space="preserve"> was not satisfied with that statement and instructed him to withdraw it and he obliged. He believed that application would succeed but </w:t>
      </w:r>
      <w:r w:rsidR="006B3782">
        <w:rPr>
          <w:rFonts w:ascii="Arial" w:hAnsi="Arial" w:cs="Arial"/>
          <w:sz w:val="24"/>
          <w:szCs w:val="24"/>
          <w:lang w:val="en-US"/>
        </w:rPr>
        <w:t>because of</w:t>
      </w:r>
      <w:r>
        <w:rPr>
          <w:rFonts w:ascii="Arial" w:hAnsi="Arial" w:cs="Arial"/>
          <w:sz w:val="24"/>
          <w:szCs w:val="24"/>
          <w:lang w:val="en-US"/>
        </w:rPr>
        <w:t xml:space="preserve"> the change </w:t>
      </w:r>
      <w:r w:rsidR="006B3782">
        <w:rPr>
          <w:rFonts w:ascii="Arial" w:hAnsi="Arial" w:cs="Arial"/>
          <w:sz w:val="24"/>
          <w:szCs w:val="24"/>
          <w:lang w:val="en-US"/>
        </w:rPr>
        <w:t>in</w:t>
      </w:r>
      <w:r>
        <w:rPr>
          <w:rFonts w:ascii="Arial" w:hAnsi="Arial" w:cs="Arial"/>
          <w:sz w:val="24"/>
          <w:szCs w:val="24"/>
          <w:lang w:val="en-US"/>
        </w:rPr>
        <w:t xml:space="preserve"> the implementation of the </w:t>
      </w:r>
      <w:r w:rsidR="0062195E">
        <w:rPr>
          <w:rFonts w:ascii="Arial" w:hAnsi="Arial" w:cs="Arial"/>
          <w:sz w:val="24"/>
          <w:szCs w:val="24"/>
          <w:lang w:val="en-US"/>
        </w:rPr>
        <w:t>law, some</w:t>
      </w:r>
      <w:r>
        <w:rPr>
          <w:rFonts w:ascii="Arial" w:hAnsi="Arial" w:cs="Arial"/>
          <w:sz w:val="24"/>
          <w:szCs w:val="24"/>
          <w:lang w:val="en-US"/>
        </w:rPr>
        <w:t xml:space="preserve"> applicants including </w:t>
      </w:r>
      <w:r w:rsidR="00F6048A">
        <w:rPr>
          <w:rFonts w:ascii="Arial" w:hAnsi="Arial" w:cs="Arial"/>
          <w:sz w:val="24"/>
          <w:szCs w:val="24"/>
          <w:lang w:val="en-US"/>
        </w:rPr>
        <w:t>Buntibiz,</w:t>
      </w:r>
      <w:r w:rsidR="006B3782">
        <w:rPr>
          <w:rFonts w:ascii="Arial" w:hAnsi="Arial" w:cs="Arial"/>
          <w:sz w:val="24"/>
          <w:szCs w:val="24"/>
          <w:lang w:val="en-US"/>
        </w:rPr>
        <w:t xml:space="preserve"> </w:t>
      </w:r>
      <w:r>
        <w:rPr>
          <w:rFonts w:ascii="Arial" w:hAnsi="Arial" w:cs="Arial"/>
          <w:sz w:val="24"/>
          <w:szCs w:val="24"/>
          <w:lang w:val="en-US"/>
        </w:rPr>
        <w:t>suffered the same fate.</w:t>
      </w:r>
    </w:p>
    <w:p w14:paraId="34C9F5C2" w14:textId="5696E4E7" w:rsidR="000C2AFA" w:rsidRDefault="000C2AFA" w:rsidP="000C2AFA">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F42F2F">
        <w:rPr>
          <w:rFonts w:ascii="Arial" w:hAnsi="Arial" w:cs="Arial"/>
          <w:sz w:val="24"/>
          <w:szCs w:val="24"/>
          <w:lang w:val="en-US"/>
        </w:rPr>
        <w:t>34</w:t>
      </w:r>
      <w:r>
        <w:rPr>
          <w:rFonts w:ascii="Arial" w:hAnsi="Arial" w:cs="Arial"/>
          <w:sz w:val="24"/>
          <w:szCs w:val="24"/>
          <w:lang w:val="en-US"/>
        </w:rPr>
        <w:t>]</w:t>
      </w:r>
      <w:r>
        <w:rPr>
          <w:rFonts w:ascii="Arial" w:hAnsi="Arial" w:cs="Arial"/>
          <w:sz w:val="24"/>
          <w:szCs w:val="24"/>
          <w:lang w:val="en-US"/>
        </w:rPr>
        <w:tab/>
        <w:t xml:space="preserve">Under cross-examination he stated that if Buntibiz had </w:t>
      </w:r>
      <w:r w:rsidR="008D06A0">
        <w:rPr>
          <w:rFonts w:ascii="Arial" w:hAnsi="Arial" w:cs="Arial"/>
          <w:sz w:val="24"/>
          <w:szCs w:val="24"/>
          <w:lang w:val="en-US"/>
        </w:rPr>
        <w:t>re</w:t>
      </w:r>
      <w:r>
        <w:rPr>
          <w:rFonts w:ascii="Arial" w:hAnsi="Arial" w:cs="Arial"/>
          <w:sz w:val="24"/>
          <w:szCs w:val="24"/>
          <w:lang w:val="en-US"/>
        </w:rPr>
        <w:t xml:space="preserve">structured its shareholding it would not have had a problem. He conceded Buntibiz was unwilling to restructure. </w:t>
      </w:r>
      <w:r w:rsidR="00D156D7">
        <w:rPr>
          <w:rFonts w:ascii="Arial" w:hAnsi="Arial" w:cs="Arial"/>
          <w:sz w:val="24"/>
          <w:szCs w:val="24"/>
          <w:lang w:val="en-US"/>
        </w:rPr>
        <w:t xml:space="preserve"> </w:t>
      </w:r>
      <w:r>
        <w:rPr>
          <w:rFonts w:ascii="Arial" w:hAnsi="Arial" w:cs="Arial"/>
          <w:sz w:val="24"/>
          <w:szCs w:val="24"/>
          <w:lang w:val="en-US"/>
        </w:rPr>
        <w:t>Plaintiff closed its case.</w:t>
      </w:r>
    </w:p>
    <w:p w14:paraId="42E5DD35" w14:textId="34B346F1" w:rsidR="000C2AFA" w:rsidRDefault="000C2AFA" w:rsidP="000C2AFA">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F42F2F">
        <w:rPr>
          <w:rFonts w:ascii="Arial" w:hAnsi="Arial" w:cs="Arial"/>
          <w:sz w:val="24"/>
          <w:szCs w:val="24"/>
          <w:lang w:val="en-US"/>
        </w:rPr>
        <w:t>35</w:t>
      </w:r>
      <w:r>
        <w:rPr>
          <w:rFonts w:ascii="Arial" w:hAnsi="Arial" w:cs="Arial"/>
          <w:sz w:val="24"/>
          <w:szCs w:val="24"/>
          <w:lang w:val="en-US"/>
        </w:rPr>
        <w:t>]</w:t>
      </w:r>
      <w:r>
        <w:rPr>
          <w:rFonts w:ascii="Arial" w:hAnsi="Arial" w:cs="Arial"/>
          <w:sz w:val="24"/>
          <w:szCs w:val="24"/>
          <w:lang w:val="en-US"/>
        </w:rPr>
        <w:tab/>
        <w:t>Defendant applied for the absolution from the instance</w:t>
      </w:r>
      <w:r w:rsidR="00D156D7">
        <w:rPr>
          <w:rFonts w:ascii="Arial" w:hAnsi="Arial" w:cs="Arial"/>
          <w:sz w:val="24"/>
          <w:szCs w:val="24"/>
          <w:lang w:val="en-US"/>
        </w:rPr>
        <w:t xml:space="preserve"> which was refused</w:t>
      </w:r>
      <w:r>
        <w:rPr>
          <w:rFonts w:ascii="Arial" w:hAnsi="Arial" w:cs="Arial"/>
          <w:sz w:val="24"/>
          <w:szCs w:val="24"/>
          <w:lang w:val="en-US"/>
        </w:rPr>
        <w:t xml:space="preserve"> for the reasons set out in that judgment. </w:t>
      </w:r>
    </w:p>
    <w:p w14:paraId="4281323E" w14:textId="77777777" w:rsidR="002C4E8D" w:rsidRDefault="002C4E8D" w:rsidP="006B3782">
      <w:pPr>
        <w:spacing w:line="480" w:lineRule="auto"/>
        <w:ind w:left="720" w:hanging="720"/>
        <w:jc w:val="both"/>
        <w:rPr>
          <w:rFonts w:ascii="Arial" w:hAnsi="Arial" w:cs="Arial"/>
          <w:i/>
          <w:iCs/>
          <w:sz w:val="24"/>
          <w:szCs w:val="24"/>
          <w:lang w:val="en-US"/>
        </w:rPr>
      </w:pPr>
    </w:p>
    <w:p w14:paraId="23033585" w14:textId="77777777" w:rsidR="002C4E8D" w:rsidRDefault="002C4E8D" w:rsidP="006B3782">
      <w:pPr>
        <w:spacing w:line="480" w:lineRule="auto"/>
        <w:ind w:left="720" w:hanging="720"/>
        <w:jc w:val="both"/>
        <w:rPr>
          <w:rFonts w:ascii="Arial" w:hAnsi="Arial" w:cs="Arial"/>
          <w:i/>
          <w:iCs/>
          <w:sz w:val="24"/>
          <w:szCs w:val="24"/>
          <w:lang w:val="en-US"/>
        </w:rPr>
      </w:pPr>
    </w:p>
    <w:p w14:paraId="36BEFE54" w14:textId="77777777" w:rsidR="002C4E8D" w:rsidRDefault="002C4E8D" w:rsidP="006B3782">
      <w:pPr>
        <w:spacing w:line="480" w:lineRule="auto"/>
        <w:ind w:left="720" w:hanging="720"/>
        <w:jc w:val="both"/>
        <w:rPr>
          <w:rFonts w:ascii="Arial" w:hAnsi="Arial" w:cs="Arial"/>
          <w:i/>
          <w:iCs/>
          <w:sz w:val="24"/>
          <w:szCs w:val="24"/>
          <w:lang w:val="en-US"/>
        </w:rPr>
      </w:pPr>
    </w:p>
    <w:p w14:paraId="4D6AFC3C" w14:textId="4D28F154" w:rsidR="006B3782" w:rsidRDefault="006B3782" w:rsidP="006B3782">
      <w:pPr>
        <w:spacing w:line="480" w:lineRule="auto"/>
        <w:ind w:left="720" w:hanging="720"/>
        <w:jc w:val="both"/>
        <w:rPr>
          <w:rFonts w:ascii="Arial" w:hAnsi="Arial" w:cs="Arial"/>
          <w:i/>
          <w:iCs/>
          <w:sz w:val="24"/>
          <w:szCs w:val="24"/>
          <w:lang w:val="en-US"/>
        </w:rPr>
      </w:pPr>
      <w:r w:rsidRPr="006B3782">
        <w:rPr>
          <w:rFonts w:ascii="Arial" w:hAnsi="Arial" w:cs="Arial"/>
          <w:i/>
          <w:iCs/>
          <w:sz w:val="24"/>
          <w:szCs w:val="24"/>
          <w:lang w:val="en-US"/>
        </w:rPr>
        <w:t xml:space="preserve">Quest Retail </w:t>
      </w:r>
      <w:r w:rsidR="003D745C">
        <w:rPr>
          <w:rFonts w:ascii="Arial" w:hAnsi="Arial" w:cs="Arial"/>
          <w:i/>
          <w:iCs/>
          <w:sz w:val="24"/>
          <w:szCs w:val="24"/>
          <w:lang w:val="en-US"/>
        </w:rPr>
        <w:t>evidence</w:t>
      </w:r>
      <w:r w:rsidRPr="006B3782">
        <w:rPr>
          <w:rFonts w:ascii="Arial" w:hAnsi="Arial" w:cs="Arial"/>
          <w:i/>
          <w:iCs/>
          <w:sz w:val="24"/>
          <w:szCs w:val="24"/>
          <w:lang w:val="en-US"/>
        </w:rPr>
        <w:t xml:space="preserve"> </w:t>
      </w:r>
    </w:p>
    <w:p w14:paraId="3E544604" w14:textId="7DFBAAE4" w:rsidR="00A35A35" w:rsidRPr="006B3782" w:rsidRDefault="00A35A35" w:rsidP="006B3782">
      <w:pPr>
        <w:spacing w:line="480" w:lineRule="auto"/>
        <w:ind w:left="720" w:hanging="720"/>
        <w:jc w:val="both"/>
        <w:rPr>
          <w:rFonts w:ascii="Arial" w:hAnsi="Arial" w:cs="Arial"/>
          <w:i/>
          <w:iCs/>
          <w:sz w:val="24"/>
          <w:szCs w:val="24"/>
          <w:lang w:val="en-US"/>
        </w:rPr>
      </w:pPr>
      <w:r>
        <w:rPr>
          <w:rFonts w:ascii="Arial" w:hAnsi="Arial" w:cs="Arial"/>
          <w:i/>
          <w:iCs/>
          <w:sz w:val="24"/>
          <w:szCs w:val="24"/>
          <w:lang w:val="en-US"/>
        </w:rPr>
        <w:t>Mr Adriaan Jacobus Le Roux</w:t>
      </w:r>
    </w:p>
    <w:p w14:paraId="076409E8" w14:textId="741A7BD3" w:rsidR="000C2AFA" w:rsidRDefault="000C2AFA" w:rsidP="000C2AFA">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F42F2F">
        <w:rPr>
          <w:rFonts w:ascii="Arial" w:hAnsi="Arial" w:cs="Arial"/>
          <w:sz w:val="24"/>
          <w:szCs w:val="24"/>
          <w:lang w:val="en-US"/>
        </w:rPr>
        <w:t>36</w:t>
      </w:r>
      <w:r>
        <w:rPr>
          <w:rFonts w:ascii="Arial" w:hAnsi="Arial" w:cs="Arial"/>
          <w:sz w:val="24"/>
          <w:szCs w:val="24"/>
          <w:lang w:val="en-US"/>
        </w:rPr>
        <w:t>]</w:t>
      </w:r>
      <w:r>
        <w:rPr>
          <w:rFonts w:ascii="Arial" w:hAnsi="Arial" w:cs="Arial"/>
          <w:sz w:val="24"/>
          <w:szCs w:val="24"/>
          <w:lang w:val="en-US"/>
        </w:rPr>
        <w:tab/>
        <w:t xml:space="preserve">Le Roux testified for the defendant. He stated that in 2018 he was </w:t>
      </w:r>
      <w:r w:rsidR="006B3782">
        <w:rPr>
          <w:rFonts w:ascii="Arial" w:hAnsi="Arial" w:cs="Arial"/>
          <w:sz w:val="24"/>
          <w:szCs w:val="24"/>
          <w:lang w:val="en-US"/>
        </w:rPr>
        <w:t xml:space="preserve">the </w:t>
      </w:r>
      <w:r>
        <w:rPr>
          <w:rFonts w:ascii="Arial" w:hAnsi="Arial" w:cs="Arial"/>
          <w:sz w:val="24"/>
          <w:szCs w:val="24"/>
          <w:lang w:val="en-US"/>
        </w:rPr>
        <w:t>retail sales manager of Quest Petroleum now known as Petr</w:t>
      </w:r>
      <w:r w:rsidR="003D745C">
        <w:rPr>
          <w:rFonts w:ascii="Arial" w:hAnsi="Arial" w:cs="Arial"/>
          <w:sz w:val="24"/>
          <w:szCs w:val="24"/>
          <w:lang w:val="en-US"/>
        </w:rPr>
        <w:t>of</w:t>
      </w:r>
      <w:r>
        <w:rPr>
          <w:rFonts w:ascii="Arial" w:hAnsi="Arial" w:cs="Arial"/>
          <w:sz w:val="24"/>
          <w:szCs w:val="24"/>
          <w:lang w:val="en-US"/>
        </w:rPr>
        <w:t>uel. He is not employed by Quest Retail. He represented both Quest Retail and Quest Petroleum in the transactions. He drafted the agreements. He then sen</w:t>
      </w:r>
      <w:r w:rsidR="003D745C">
        <w:rPr>
          <w:rFonts w:ascii="Arial" w:hAnsi="Arial" w:cs="Arial"/>
          <w:sz w:val="24"/>
          <w:szCs w:val="24"/>
          <w:lang w:val="en-US"/>
        </w:rPr>
        <w:t>t</w:t>
      </w:r>
      <w:r>
        <w:rPr>
          <w:rFonts w:ascii="Arial" w:hAnsi="Arial" w:cs="Arial"/>
          <w:sz w:val="24"/>
          <w:szCs w:val="24"/>
          <w:lang w:val="en-US"/>
        </w:rPr>
        <w:t xml:space="preserve"> them </w:t>
      </w:r>
      <w:r w:rsidR="003D745C">
        <w:rPr>
          <w:rFonts w:ascii="Arial" w:hAnsi="Arial" w:cs="Arial"/>
          <w:sz w:val="24"/>
          <w:szCs w:val="24"/>
          <w:lang w:val="en-US"/>
        </w:rPr>
        <w:t xml:space="preserve">to </w:t>
      </w:r>
      <w:r w:rsidR="00CD5C8F">
        <w:rPr>
          <w:rFonts w:ascii="Arial" w:hAnsi="Arial" w:cs="Arial"/>
          <w:sz w:val="24"/>
          <w:szCs w:val="24"/>
          <w:lang w:val="en-US"/>
        </w:rPr>
        <w:t>McLoughlin</w:t>
      </w:r>
      <w:r>
        <w:rPr>
          <w:rFonts w:ascii="Arial" w:hAnsi="Arial" w:cs="Arial"/>
          <w:sz w:val="24"/>
          <w:szCs w:val="24"/>
          <w:lang w:val="en-US"/>
        </w:rPr>
        <w:t xml:space="preserve"> by email. The</w:t>
      </w:r>
      <w:r w:rsidR="003D745C">
        <w:rPr>
          <w:rFonts w:ascii="Arial" w:hAnsi="Arial" w:cs="Arial"/>
          <w:sz w:val="24"/>
          <w:szCs w:val="24"/>
          <w:lang w:val="en-US"/>
        </w:rPr>
        <w:t>re</w:t>
      </w:r>
      <w:r>
        <w:rPr>
          <w:rFonts w:ascii="Arial" w:hAnsi="Arial" w:cs="Arial"/>
          <w:sz w:val="24"/>
          <w:szCs w:val="24"/>
          <w:lang w:val="en-US"/>
        </w:rPr>
        <w:t xml:space="preserve"> were proposed amendments</w:t>
      </w:r>
      <w:r w:rsidR="003D745C">
        <w:rPr>
          <w:rFonts w:ascii="Arial" w:hAnsi="Arial" w:cs="Arial"/>
          <w:sz w:val="24"/>
          <w:szCs w:val="24"/>
          <w:lang w:val="en-US"/>
        </w:rPr>
        <w:t xml:space="preserve"> by Buntibiz. </w:t>
      </w:r>
      <w:r>
        <w:rPr>
          <w:rFonts w:ascii="Arial" w:hAnsi="Arial" w:cs="Arial"/>
          <w:sz w:val="24"/>
          <w:szCs w:val="24"/>
          <w:lang w:val="en-US"/>
        </w:rPr>
        <w:t xml:space="preserve"> </w:t>
      </w:r>
      <w:r w:rsidR="003D745C">
        <w:rPr>
          <w:rFonts w:ascii="Arial" w:hAnsi="Arial" w:cs="Arial"/>
          <w:sz w:val="24"/>
          <w:szCs w:val="24"/>
          <w:lang w:val="en-US"/>
        </w:rPr>
        <w:t>T</w:t>
      </w:r>
      <w:r>
        <w:rPr>
          <w:rFonts w:ascii="Arial" w:hAnsi="Arial" w:cs="Arial"/>
          <w:sz w:val="24"/>
          <w:szCs w:val="24"/>
          <w:lang w:val="en-US"/>
        </w:rPr>
        <w:t>here was a discussion around the licen</w:t>
      </w:r>
      <w:r w:rsidR="003D745C">
        <w:rPr>
          <w:rFonts w:ascii="Arial" w:hAnsi="Arial" w:cs="Arial"/>
          <w:sz w:val="24"/>
          <w:szCs w:val="24"/>
          <w:lang w:val="en-US"/>
        </w:rPr>
        <w:t>s</w:t>
      </w:r>
      <w:r>
        <w:rPr>
          <w:rFonts w:ascii="Arial" w:hAnsi="Arial" w:cs="Arial"/>
          <w:sz w:val="24"/>
          <w:szCs w:val="24"/>
          <w:lang w:val="en-US"/>
        </w:rPr>
        <w:t>ing issue and what would occur if the licence was not obtained. It was agreed that Quest Petroleum would come to the assistance of Buntibiz</w:t>
      </w:r>
      <w:r w:rsidR="003D745C">
        <w:rPr>
          <w:rFonts w:ascii="Arial" w:hAnsi="Arial" w:cs="Arial"/>
          <w:sz w:val="24"/>
          <w:szCs w:val="24"/>
          <w:lang w:val="en-US"/>
        </w:rPr>
        <w:t>. B</w:t>
      </w:r>
      <w:r>
        <w:rPr>
          <w:rFonts w:ascii="Arial" w:hAnsi="Arial" w:cs="Arial"/>
          <w:sz w:val="24"/>
          <w:szCs w:val="24"/>
          <w:lang w:val="en-US"/>
        </w:rPr>
        <w:t xml:space="preserve">efore inserting the clause he would have gone to the board </w:t>
      </w:r>
      <w:r w:rsidR="003D745C">
        <w:rPr>
          <w:rFonts w:ascii="Arial" w:hAnsi="Arial" w:cs="Arial"/>
          <w:sz w:val="24"/>
          <w:szCs w:val="24"/>
          <w:lang w:val="en-US"/>
        </w:rPr>
        <w:t xml:space="preserve">of Quest Petroleum </w:t>
      </w:r>
      <w:r>
        <w:rPr>
          <w:rFonts w:ascii="Arial" w:hAnsi="Arial" w:cs="Arial"/>
          <w:sz w:val="24"/>
          <w:szCs w:val="24"/>
          <w:lang w:val="en-US"/>
        </w:rPr>
        <w:t>and obtained an instruction to do so. Mr Jur</w:t>
      </w:r>
      <w:r w:rsidR="003D745C">
        <w:rPr>
          <w:rFonts w:ascii="Arial" w:hAnsi="Arial" w:cs="Arial"/>
          <w:sz w:val="24"/>
          <w:szCs w:val="24"/>
          <w:lang w:val="en-US"/>
        </w:rPr>
        <w:t>g</w:t>
      </w:r>
      <w:r>
        <w:rPr>
          <w:rFonts w:ascii="Arial" w:hAnsi="Arial" w:cs="Arial"/>
          <w:sz w:val="24"/>
          <w:szCs w:val="24"/>
          <w:lang w:val="en-US"/>
        </w:rPr>
        <w:t>en Smit</w:t>
      </w:r>
      <w:r w:rsidR="003D745C">
        <w:rPr>
          <w:rFonts w:ascii="Arial" w:hAnsi="Arial" w:cs="Arial"/>
          <w:sz w:val="24"/>
          <w:szCs w:val="24"/>
          <w:lang w:val="en-US"/>
        </w:rPr>
        <w:t>h</w:t>
      </w:r>
      <w:r>
        <w:rPr>
          <w:rFonts w:ascii="Arial" w:hAnsi="Arial" w:cs="Arial"/>
          <w:sz w:val="24"/>
          <w:szCs w:val="24"/>
          <w:lang w:val="en-US"/>
        </w:rPr>
        <w:t xml:space="preserve"> was the founder and a director of Quest Petroleum.  </w:t>
      </w:r>
      <w:r w:rsidR="003D745C">
        <w:rPr>
          <w:rFonts w:ascii="Arial" w:hAnsi="Arial" w:cs="Arial"/>
          <w:sz w:val="24"/>
          <w:szCs w:val="24"/>
          <w:lang w:val="en-US"/>
        </w:rPr>
        <w:t>He also signed the agreements.</w:t>
      </w:r>
    </w:p>
    <w:p w14:paraId="215C7F02" w14:textId="32F95480" w:rsidR="00D156D7" w:rsidRDefault="000C2AFA" w:rsidP="000C2AFA">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F42F2F">
        <w:rPr>
          <w:rFonts w:ascii="Arial" w:hAnsi="Arial" w:cs="Arial"/>
          <w:sz w:val="24"/>
          <w:szCs w:val="24"/>
          <w:lang w:val="en-US"/>
        </w:rPr>
        <w:t>37</w:t>
      </w:r>
      <w:r>
        <w:rPr>
          <w:rFonts w:ascii="Arial" w:hAnsi="Arial" w:cs="Arial"/>
          <w:sz w:val="24"/>
          <w:szCs w:val="24"/>
          <w:lang w:val="en-US"/>
        </w:rPr>
        <w:t>]</w:t>
      </w:r>
      <w:r>
        <w:rPr>
          <w:rFonts w:ascii="Arial" w:hAnsi="Arial" w:cs="Arial"/>
          <w:sz w:val="24"/>
          <w:szCs w:val="24"/>
          <w:lang w:val="en-US"/>
        </w:rPr>
        <w:tab/>
        <w:t xml:space="preserve">The director of Quest Retail was </w:t>
      </w:r>
      <w:r w:rsidR="00C537D6">
        <w:rPr>
          <w:rFonts w:ascii="Arial" w:hAnsi="Arial" w:cs="Arial"/>
          <w:sz w:val="24"/>
          <w:szCs w:val="24"/>
          <w:lang w:val="en-US"/>
        </w:rPr>
        <w:t xml:space="preserve">Ms </w:t>
      </w:r>
      <w:r>
        <w:rPr>
          <w:rFonts w:ascii="Arial" w:hAnsi="Arial" w:cs="Arial"/>
          <w:sz w:val="24"/>
          <w:szCs w:val="24"/>
          <w:lang w:val="en-US"/>
        </w:rPr>
        <w:t>Li</w:t>
      </w:r>
      <w:r w:rsidR="003D745C">
        <w:rPr>
          <w:rFonts w:ascii="Arial" w:hAnsi="Arial" w:cs="Arial"/>
          <w:sz w:val="24"/>
          <w:szCs w:val="24"/>
          <w:lang w:val="en-US"/>
        </w:rPr>
        <w:t>esel</w:t>
      </w:r>
      <w:r>
        <w:rPr>
          <w:rFonts w:ascii="Arial" w:hAnsi="Arial" w:cs="Arial"/>
          <w:sz w:val="24"/>
          <w:szCs w:val="24"/>
          <w:lang w:val="en-US"/>
        </w:rPr>
        <w:t xml:space="preserve"> B</w:t>
      </w:r>
      <w:r w:rsidR="00C871B6">
        <w:rPr>
          <w:rFonts w:ascii="Arial" w:hAnsi="Arial" w:cs="Arial"/>
          <w:sz w:val="24"/>
          <w:szCs w:val="24"/>
          <w:lang w:val="en-US"/>
        </w:rPr>
        <w:t>e</w:t>
      </w:r>
      <w:r w:rsidR="003D745C">
        <w:rPr>
          <w:rFonts w:ascii="Arial" w:hAnsi="Arial" w:cs="Arial"/>
          <w:sz w:val="24"/>
          <w:szCs w:val="24"/>
          <w:lang w:val="en-US"/>
        </w:rPr>
        <w:t>z</w:t>
      </w:r>
      <w:r w:rsidR="00C871B6">
        <w:rPr>
          <w:rFonts w:ascii="Arial" w:hAnsi="Arial" w:cs="Arial"/>
          <w:sz w:val="24"/>
          <w:szCs w:val="24"/>
          <w:lang w:val="en-US"/>
        </w:rPr>
        <w:t>u</w:t>
      </w:r>
      <w:r w:rsidR="003D745C">
        <w:rPr>
          <w:rFonts w:ascii="Arial" w:hAnsi="Arial" w:cs="Arial"/>
          <w:sz w:val="24"/>
          <w:szCs w:val="24"/>
          <w:lang w:val="en-US"/>
        </w:rPr>
        <w:t>idenhout</w:t>
      </w:r>
      <w:r>
        <w:rPr>
          <w:rFonts w:ascii="Arial" w:hAnsi="Arial" w:cs="Arial"/>
          <w:sz w:val="24"/>
          <w:szCs w:val="24"/>
          <w:lang w:val="en-US"/>
        </w:rPr>
        <w:t xml:space="preserve">. He testified that Quest Retail was an enabling company which </w:t>
      </w:r>
      <w:r w:rsidR="00C871B6">
        <w:rPr>
          <w:rFonts w:ascii="Arial" w:hAnsi="Arial" w:cs="Arial"/>
          <w:sz w:val="24"/>
          <w:szCs w:val="24"/>
          <w:lang w:val="en-US"/>
        </w:rPr>
        <w:t xml:space="preserve">only </w:t>
      </w:r>
      <w:r>
        <w:rPr>
          <w:rFonts w:ascii="Arial" w:hAnsi="Arial" w:cs="Arial"/>
          <w:sz w:val="24"/>
          <w:szCs w:val="24"/>
          <w:lang w:val="en-US"/>
        </w:rPr>
        <w:t>s</w:t>
      </w:r>
      <w:r w:rsidR="00C871B6">
        <w:rPr>
          <w:rFonts w:ascii="Arial" w:hAnsi="Arial" w:cs="Arial"/>
          <w:sz w:val="24"/>
          <w:szCs w:val="24"/>
          <w:lang w:val="en-US"/>
        </w:rPr>
        <w:t xml:space="preserve">old </w:t>
      </w:r>
      <w:r>
        <w:rPr>
          <w:rFonts w:ascii="Arial" w:hAnsi="Arial" w:cs="Arial"/>
          <w:sz w:val="24"/>
          <w:szCs w:val="24"/>
          <w:lang w:val="en-US"/>
        </w:rPr>
        <w:t xml:space="preserve">the business and </w:t>
      </w:r>
      <w:r w:rsidR="00C871B6">
        <w:rPr>
          <w:rFonts w:ascii="Arial" w:hAnsi="Arial" w:cs="Arial"/>
          <w:sz w:val="24"/>
          <w:szCs w:val="24"/>
          <w:lang w:val="en-US"/>
        </w:rPr>
        <w:t xml:space="preserve">then </w:t>
      </w:r>
      <w:r>
        <w:rPr>
          <w:rFonts w:ascii="Arial" w:hAnsi="Arial" w:cs="Arial"/>
          <w:sz w:val="24"/>
          <w:szCs w:val="24"/>
          <w:lang w:val="en-US"/>
        </w:rPr>
        <w:t>walk</w:t>
      </w:r>
      <w:r w:rsidR="00C871B6">
        <w:rPr>
          <w:rFonts w:ascii="Arial" w:hAnsi="Arial" w:cs="Arial"/>
          <w:sz w:val="24"/>
          <w:szCs w:val="24"/>
          <w:lang w:val="en-US"/>
        </w:rPr>
        <w:t>ed</w:t>
      </w:r>
      <w:r>
        <w:rPr>
          <w:rFonts w:ascii="Arial" w:hAnsi="Arial" w:cs="Arial"/>
          <w:sz w:val="24"/>
          <w:szCs w:val="24"/>
          <w:lang w:val="en-US"/>
        </w:rPr>
        <w:t xml:space="preserve"> away. The party that attend</w:t>
      </w:r>
      <w:r w:rsidR="00C871B6">
        <w:rPr>
          <w:rFonts w:ascii="Arial" w:hAnsi="Arial" w:cs="Arial"/>
          <w:sz w:val="24"/>
          <w:szCs w:val="24"/>
          <w:lang w:val="en-US"/>
        </w:rPr>
        <w:t>ed</w:t>
      </w:r>
      <w:r>
        <w:rPr>
          <w:rFonts w:ascii="Arial" w:hAnsi="Arial" w:cs="Arial"/>
          <w:sz w:val="24"/>
          <w:szCs w:val="24"/>
          <w:lang w:val="en-US"/>
        </w:rPr>
        <w:t xml:space="preserve"> to the lease and supply </w:t>
      </w:r>
      <w:r w:rsidR="00C871B6">
        <w:rPr>
          <w:rFonts w:ascii="Arial" w:hAnsi="Arial" w:cs="Arial"/>
          <w:sz w:val="24"/>
          <w:szCs w:val="24"/>
          <w:lang w:val="en-US"/>
        </w:rPr>
        <w:t>of fuel was</w:t>
      </w:r>
      <w:r>
        <w:rPr>
          <w:rFonts w:ascii="Arial" w:hAnsi="Arial" w:cs="Arial"/>
          <w:sz w:val="24"/>
          <w:szCs w:val="24"/>
          <w:lang w:val="en-US"/>
        </w:rPr>
        <w:t xml:space="preserve"> Quest Petroleum. After the takeover date of the business </w:t>
      </w:r>
      <w:r w:rsidR="00C871B6">
        <w:rPr>
          <w:rFonts w:ascii="Arial" w:hAnsi="Arial" w:cs="Arial"/>
          <w:sz w:val="24"/>
          <w:szCs w:val="24"/>
          <w:lang w:val="en-US"/>
        </w:rPr>
        <w:t xml:space="preserve">by </w:t>
      </w:r>
      <w:r>
        <w:rPr>
          <w:rFonts w:ascii="Arial" w:hAnsi="Arial" w:cs="Arial"/>
          <w:sz w:val="24"/>
          <w:szCs w:val="24"/>
          <w:lang w:val="en-US"/>
        </w:rPr>
        <w:t>Buntibiz</w:t>
      </w:r>
      <w:r w:rsidR="00C871B6">
        <w:rPr>
          <w:rFonts w:ascii="Arial" w:hAnsi="Arial" w:cs="Arial"/>
          <w:sz w:val="24"/>
          <w:szCs w:val="24"/>
          <w:lang w:val="en-US"/>
        </w:rPr>
        <w:t>,</w:t>
      </w:r>
      <w:r w:rsidR="00C537D6">
        <w:rPr>
          <w:rFonts w:ascii="Arial" w:hAnsi="Arial" w:cs="Arial"/>
          <w:sz w:val="24"/>
          <w:szCs w:val="24"/>
          <w:lang w:val="en-US"/>
        </w:rPr>
        <w:t xml:space="preserve"> </w:t>
      </w:r>
      <w:r>
        <w:rPr>
          <w:rFonts w:ascii="Arial" w:hAnsi="Arial" w:cs="Arial"/>
          <w:sz w:val="24"/>
          <w:szCs w:val="24"/>
          <w:lang w:val="en-US"/>
        </w:rPr>
        <w:t xml:space="preserve">Quest Retail was never involved in the business again. He testified that the R2.5 </w:t>
      </w:r>
      <w:r w:rsidR="00C537D6">
        <w:rPr>
          <w:rFonts w:ascii="Arial" w:hAnsi="Arial" w:cs="Arial"/>
          <w:sz w:val="24"/>
          <w:szCs w:val="24"/>
          <w:lang w:val="en-US"/>
        </w:rPr>
        <w:t>m</w:t>
      </w:r>
      <w:r>
        <w:rPr>
          <w:rFonts w:ascii="Arial" w:hAnsi="Arial" w:cs="Arial"/>
          <w:sz w:val="24"/>
          <w:szCs w:val="24"/>
          <w:lang w:val="en-US"/>
        </w:rPr>
        <w:t>illion was for fixed assets, stock and goodwill</w:t>
      </w:r>
      <w:r w:rsidR="00C871B6">
        <w:rPr>
          <w:rFonts w:ascii="Arial" w:hAnsi="Arial" w:cs="Arial"/>
          <w:sz w:val="24"/>
          <w:szCs w:val="24"/>
          <w:lang w:val="en-US"/>
        </w:rPr>
        <w:t xml:space="preserve">. </w:t>
      </w:r>
      <w:r>
        <w:rPr>
          <w:rFonts w:ascii="Arial" w:hAnsi="Arial" w:cs="Arial"/>
          <w:sz w:val="24"/>
          <w:szCs w:val="24"/>
          <w:lang w:val="en-US"/>
        </w:rPr>
        <w:t xml:space="preserve"> </w:t>
      </w:r>
    </w:p>
    <w:p w14:paraId="23DCBFFB" w14:textId="7C26B21A" w:rsidR="000C2AFA" w:rsidRDefault="00D156D7" w:rsidP="00D156D7">
      <w:pPr>
        <w:spacing w:line="480" w:lineRule="auto"/>
        <w:ind w:left="720" w:hanging="720"/>
        <w:jc w:val="both"/>
        <w:rPr>
          <w:rFonts w:ascii="Arial" w:hAnsi="Arial" w:cs="Arial"/>
          <w:sz w:val="24"/>
          <w:szCs w:val="24"/>
          <w:lang w:val="en-US"/>
        </w:rPr>
      </w:pPr>
      <w:r>
        <w:rPr>
          <w:rFonts w:ascii="Arial" w:hAnsi="Arial" w:cs="Arial"/>
          <w:sz w:val="24"/>
          <w:szCs w:val="24"/>
          <w:lang w:val="en-US"/>
        </w:rPr>
        <w:lastRenderedPageBreak/>
        <w:t>[3</w:t>
      </w:r>
      <w:r w:rsidR="00F42F2F">
        <w:rPr>
          <w:rFonts w:ascii="Arial" w:hAnsi="Arial" w:cs="Arial"/>
          <w:sz w:val="24"/>
          <w:szCs w:val="24"/>
          <w:lang w:val="en-US"/>
        </w:rPr>
        <w:t>8</w:t>
      </w:r>
      <w:r>
        <w:rPr>
          <w:rFonts w:ascii="Arial" w:hAnsi="Arial" w:cs="Arial"/>
          <w:sz w:val="24"/>
          <w:szCs w:val="24"/>
          <w:lang w:val="en-US"/>
        </w:rPr>
        <w:t>]</w:t>
      </w:r>
      <w:r w:rsidR="002C4E8D">
        <w:rPr>
          <w:rFonts w:ascii="Arial" w:hAnsi="Arial" w:cs="Arial"/>
          <w:sz w:val="24"/>
          <w:szCs w:val="24"/>
          <w:lang w:val="en-US"/>
        </w:rPr>
        <w:tab/>
      </w:r>
      <w:r w:rsidR="00C871B6">
        <w:rPr>
          <w:rFonts w:ascii="Arial" w:hAnsi="Arial" w:cs="Arial"/>
          <w:sz w:val="24"/>
          <w:szCs w:val="24"/>
          <w:lang w:val="en-US"/>
        </w:rPr>
        <w:t>I</w:t>
      </w:r>
      <w:r w:rsidR="000C2AFA">
        <w:rPr>
          <w:rFonts w:ascii="Arial" w:hAnsi="Arial" w:cs="Arial"/>
          <w:sz w:val="24"/>
          <w:szCs w:val="24"/>
          <w:lang w:val="en-US"/>
        </w:rPr>
        <w:t xml:space="preserve">f he had been requested to put </w:t>
      </w:r>
      <w:r w:rsidR="002C4E8D">
        <w:rPr>
          <w:rFonts w:ascii="Arial" w:hAnsi="Arial" w:cs="Arial"/>
          <w:sz w:val="24"/>
          <w:szCs w:val="24"/>
          <w:lang w:val="en-US"/>
        </w:rPr>
        <w:t>in clause</w:t>
      </w:r>
      <w:r w:rsidR="000C2AFA">
        <w:rPr>
          <w:rFonts w:ascii="Arial" w:hAnsi="Arial" w:cs="Arial"/>
          <w:sz w:val="24"/>
          <w:szCs w:val="24"/>
          <w:lang w:val="en-US"/>
        </w:rPr>
        <w:t xml:space="preserve"> 26 in the sale agreement he would have had to approach Quest Retail </w:t>
      </w:r>
      <w:r w:rsidR="00C871B6">
        <w:rPr>
          <w:rFonts w:ascii="Arial" w:hAnsi="Arial" w:cs="Arial"/>
          <w:sz w:val="24"/>
          <w:szCs w:val="24"/>
          <w:lang w:val="en-US"/>
        </w:rPr>
        <w:t xml:space="preserve">for consent. </w:t>
      </w:r>
      <w:r w:rsidR="000C2AFA">
        <w:rPr>
          <w:rFonts w:ascii="Arial" w:hAnsi="Arial" w:cs="Arial"/>
          <w:sz w:val="24"/>
          <w:szCs w:val="24"/>
          <w:lang w:val="en-US"/>
        </w:rPr>
        <w:t xml:space="preserve">He was confident that Quest Retail would have told him to look for another buyer. The reason for that was because </w:t>
      </w:r>
      <w:r w:rsidR="00C537D6">
        <w:rPr>
          <w:rFonts w:ascii="Arial" w:hAnsi="Arial" w:cs="Arial"/>
          <w:sz w:val="24"/>
          <w:szCs w:val="24"/>
          <w:lang w:val="en-US"/>
        </w:rPr>
        <w:t xml:space="preserve">Quest Retail </w:t>
      </w:r>
      <w:r w:rsidR="000C2AFA">
        <w:rPr>
          <w:rFonts w:ascii="Arial" w:hAnsi="Arial" w:cs="Arial"/>
          <w:sz w:val="24"/>
          <w:szCs w:val="24"/>
          <w:lang w:val="en-US"/>
        </w:rPr>
        <w:t xml:space="preserve">was </w:t>
      </w:r>
      <w:r w:rsidR="00C871B6">
        <w:rPr>
          <w:rFonts w:ascii="Arial" w:hAnsi="Arial" w:cs="Arial"/>
          <w:sz w:val="24"/>
          <w:szCs w:val="24"/>
          <w:lang w:val="en-US"/>
        </w:rPr>
        <w:t xml:space="preserve">an </w:t>
      </w:r>
      <w:r w:rsidR="000C2AFA">
        <w:rPr>
          <w:rFonts w:ascii="Arial" w:hAnsi="Arial" w:cs="Arial"/>
          <w:sz w:val="24"/>
          <w:szCs w:val="24"/>
          <w:lang w:val="en-US"/>
        </w:rPr>
        <w:t>enabling entity</w:t>
      </w:r>
      <w:r w:rsidR="00C871B6">
        <w:rPr>
          <w:rFonts w:ascii="Arial" w:hAnsi="Arial" w:cs="Arial"/>
          <w:sz w:val="24"/>
          <w:szCs w:val="24"/>
          <w:lang w:val="en-US"/>
        </w:rPr>
        <w:t>. Quest Retail</w:t>
      </w:r>
      <w:r w:rsidR="000C2AFA">
        <w:rPr>
          <w:rFonts w:ascii="Arial" w:hAnsi="Arial" w:cs="Arial"/>
          <w:sz w:val="24"/>
          <w:szCs w:val="24"/>
          <w:lang w:val="en-US"/>
        </w:rPr>
        <w:t xml:space="preserve"> would have told Buntibiz that it bought a functioning business as a going concern and after the sale</w:t>
      </w:r>
      <w:r w:rsidR="00C871B6">
        <w:rPr>
          <w:rFonts w:ascii="Arial" w:hAnsi="Arial" w:cs="Arial"/>
          <w:sz w:val="24"/>
          <w:szCs w:val="24"/>
          <w:lang w:val="en-US"/>
        </w:rPr>
        <w:t xml:space="preserve"> it</w:t>
      </w:r>
      <w:r w:rsidR="000C2AFA">
        <w:rPr>
          <w:rFonts w:ascii="Arial" w:hAnsi="Arial" w:cs="Arial"/>
          <w:sz w:val="24"/>
          <w:szCs w:val="24"/>
          <w:lang w:val="en-US"/>
        </w:rPr>
        <w:t xml:space="preserve"> had moved away from it.</w:t>
      </w:r>
    </w:p>
    <w:p w14:paraId="66BDCA96" w14:textId="4A4C797C" w:rsidR="000C2AFA" w:rsidRDefault="000C2AFA" w:rsidP="000C2AFA">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F6048A">
        <w:rPr>
          <w:rFonts w:ascii="Arial" w:hAnsi="Arial" w:cs="Arial"/>
          <w:sz w:val="24"/>
          <w:szCs w:val="24"/>
          <w:lang w:val="en-US"/>
        </w:rPr>
        <w:t>3</w:t>
      </w:r>
      <w:r w:rsidR="00F42F2F">
        <w:rPr>
          <w:rFonts w:ascii="Arial" w:hAnsi="Arial" w:cs="Arial"/>
          <w:sz w:val="24"/>
          <w:szCs w:val="24"/>
          <w:lang w:val="en-US"/>
        </w:rPr>
        <w:t>9</w:t>
      </w:r>
      <w:r>
        <w:rPr>
          <w:rFonts w:ascii="Arial" w:hAnsi="Arial" w:cs="Arial"/>
          <w:sz w:val="24"/>
          <w:szCs w:val="24"/>
          <w:lang w:val="en-US"/>
        </w:rPr>
        <w:t>]</w:t>
      </w:r>
      <w:r>
        <w:rPr>
          <w:rFonts w:ascii="Arial" w:hAnsi="Arial" w:cs="Arial"/>
          <w:sz w:val="24"/>
          <w:szCs w:val="24"/>
          <w:lang w:val="en-US"/>
        </w:rPr>
        <w:tab/>
        <w:t>He testified that anything that needed to be paid w</w:t>
      </w:r>
      <w:r w:rsidR="00C871B6">
        <w:rPr>
          <w:rFonts w:ascii="Arial" w:hAnsi="Arial" w:cs="Arial"/>
          <w:sz w:val="24"/>
          <w:szCs w:val="24"/>
          <w:lang w:val="en-US"/>
        </w:rPr>
        <w:t>ould</w:t>
      </w:r>
      <w:r>
        <w:rPr>
          <w:rFonts w:ascii="Arial" w:hAnsi="Arial" w:cs="Arial"/>
          <w:sz w:val="24"/>
          <w:szCs w:val="24"/>
          <w:lang w:val="en-US"/>
        </w:rPr>
        <w:t xml:space="preserve"> be paid by Quest Petroleum. He confirmed that Quest Petroleum tried to get a buyer for the business for continuity sake. They found a buyer who offered R2.5 </w:t>
      </w:r>
      <w:r w:rsidR="00836B7F">
        <w:rPr>
          <w:rFonts w:ascii="Arial" w:hAnsi="Arial" w:cs="Arial"/>
          <w:sz w:val="24"/>
          <w:szCs w:val="24"/>
          <w:lang w:val="en-US"/>
        </w:rPr>
        <w:t>m</w:t>
      </w:r>
      <w:r>
        <w:rPr>
          <w:rFonts w:ascii="Arial" w:hAnsi="Arial" w:cs="Arial"/>
          <w:sz w:val="24"/>
          <w:szCs w:val="24"/>
          <w:lang w:val="en-US"/>
        </w:rPr>
        <w:t xml:space="preserve">illion but Buntibiz wanted R3 </w:t>
      </w:r>
      <w:r w:rsidR="00836B7F">
        <w:rPr>
          <w:rFonts w:ascii="Arial" w:hAnsi="Arial" w:cs="Arial"/>
          <w:sz w:val="24"/>
          <w:szCs w:val="24"/>
          <w:lang w:val="en-US"/>
        </w:rPr>
        <w:t>m</w:t>
      </w:r>
      <w:r>
        <w:rPr>
          <w:rFonts w:ascii="Arial" w:hAnsi="Arial" w:cs="Arial"/>
          <w:sz w:val="24"/>
          <w:szCs w:val="24"/>
          <w:lang w:val="en-US"/>
        </w:rPr>
        <w:t>illion. He stated that the attitude of Quest Petroleum was that Buntibiz was unwilling to comply with the law and therefore they could not come to its assistance. The</w:t>
      </w:r>
      <w:r w:rsidR="00DB134C">
        <w:rPr>
          <w:rFonts w:ascii="Arial" w:hAnsi="Arial" w:cs="Arial"/>
          <w:sz w:val="24"/>
          <w:szCs w:val="24"/>
          <w:lang w:val="en-US"/>
        </w:rPr>
        <w:t xml:space="preserve"> </w:t>
      </w:r>
      <w:r>
        <w:rPr>
          <w:rFonts w:ascii="Arial" w:hAnsi="Arial" w:cs="Arial"/>
          <w:sz w:val="24"/>
          <w:szCs w:val="24"/>
          <w:lang w:val="en-US"/>
        </w:rPr>
        <w:t xml:space="preserve">25% was a requirement in terms of the law. He denied that Quest Retail intended to refund the R2.5 </w:t>
      </w:r>
      <w:r w:rsidR="00836B7F">
        <w:rPr>
          <w:rFonts w:ascii="Arial" w:hAnsi="Arial" w:cs="Arial"/>
          <w:sz w:val="24"/>
          <w:szCs w:val="24"/>
          <w:lang w:val="en-US"/>
        </w:rPr>
        <w:t>m</w:t>
      </w:r>
      <w:r>
        <w:rPr>
          <w:rFonts w:ascii="Arial" w:hAnsi="Arial" w:cs="Arial"/>
          <w:sz w:val="24"/>
          <w:szCs w:val="24"/>
          <w:lang w:val="en-US"/>
        </w:rPr>
        <w:t xml:space="preserve">illion to Buntibiz if they did not get the licence. He stated that the agreements were three distinct </w:t>
      </w:r>
      <w:r w:rsidR="00D156D7">
        <w:rPr>
          <w:rFonts w:ascii="Arial" w:hAnsi="Arial" w:cs="Arial"/>
          <w:sz w:val="24"/>
          <w:szCs w:val="24"/>
          <w:lang w:val="en-US"/>
        </w:rPr>
        <w:t xml:space="preserve">agreements </w:t>
      </w:r>
      <w:r w:rsidR="00836B7F">
        <w:rPr>
          <w:rFonts w:ascii="Arial" w:hAnsi="Arial" w:cs="Arial"/>
          <w:sz w:val="24"/>
          <w:szCs w:val="24"/>
          <w:lang w:val="en-US"/>
        </w:rPr>
        <w:t>and i</w:t>
      </w:r>
      <w:r>
        <w:rPr>
          <w:rFonts w:ascii="Arial" w:hAnsi="Arial" w:cs="Arial"/>
          <w:sz w:val="24"/>
          <w:szCs w:val="24"/>
          <w:lang w:val="en-US"/>
        </w:rPr>
        <w:t>t was never their intention that they should be seen as one.</w:t>
      </w:r>
    </w:p>
    <w:p w14:paraId="270F51AE" w14:textId="4A2F71AF" w:rsidR="00CC35D9" w:rsidRDefault="000C2AFA" w:rsidP="000C2AFA">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1B6DF0">
        <w:rPr>
          <w:rFonts w:ascii="Arial" w:hAnsi="Arial" w:cs="Arial"/>
          <w:sz w:val="24"/>
          <w:szCs w:val="24"/>
          <w:lang w:val="en-US"/>
        </w:rPr>
        <w:t>40</w:t>
      </w:r>
      <w:r>
        <w:rPr>
          <w:rFonts w:ascii="Arial" w:hAnsi="Arial" w:cs="Arial"/>
          <w:sz w:val="24"/>
          <w:szCs w:val="24"/>
          <w:lang w:val="en-US"/>
        </w:rPr>
        <w:t>]</w:t>
      </w:r>
      <w:r>
        <w:rPr>
          <w:rFonts w:ascii="Arial" w:hAnsi="Arial" w:cs="Arial"/>
          <w:sz w:val="24"/>
          <w:szCs w:val="24"/>
          <w:lang w:val="en-US"/>
        </w:rPr>
        <w:tab/>
      </w:r>
      <w:r w:rsidR="00D32F26">
        <w:rPr>
          <w:rFonts w:ascii="Arial" w:hAnsi="Arial" w:cs="Arial"/>
          <w:sz w:val="24"/>
          <w:szCs w:val="24"/>
          <w:lang w:val="en-US"/>
        </w:rPr>
        <w:t>Under cros</w:t>
      </w:r>
      <w:r w:rsidR="008D261D">
        <w:rPr>
          <w:rFonts w:ascii="Arial" w:hAnsi="Arial" w:cs="Arial"/>
          <w:sz w:val="24"/>
          <w:szCs w:val="24"/>
          <w:lang w:val="en-US"/>
        </w:rPr>
        <w:t>s-</w:t>
      </w:r>
      <w:r w:rsidR="00D32F26">
        <w:rPr>
          <w:rFonts w:ascii="Arial" w:hAnsi="Arial" w:cs="Arial"/>
          <w:sz w:val="24"/>
          <w:szCs w:val="24"/>
          <w:lang w:val="en-US"/>
        </w:rPr>
        <w:t>examination he testified that a</w:t>
      </w:r>
      <w:r>
        <w:rPr>
          <w:rFonts w:ascii="Arial" w:hAnsi="Arial" w:cs="Arial"/>
          <w:sz w:val="24"/>
          <w:szCs w:val="24"/>
          <w:lang w:val="en-US"/>
        </w:rPr>
        <w:t>lthough the sale agreement makes reference to relevant agreements they should not be seen as linked. He testified that Maguta</w:t>
      </w:r>
      <w:r w:rsidR="00C61120">
        <w:rPr>
          <w:rFonts w:ascii="Arial" w:hAnsi="Arial" w:cs="Arial"/>
          <w:sz w:val="24"/>
          <w:szCs w:val="24"/>
          <w:lang w:val="en-US"/>
        </w:rPr>
        <w:t xml:space="preserve"> </w:t>
      </w:r>
      <w:r w:rsidR="008D06A0">
        <w:rPr>
          <w:rFonts w:ascii="Arial" w:hAnsi="Arial" w:cs="Arial"/>
          <w:sz w:val="24"/>
          <w:szCs w:val="24"/>
          <w:lang w:val="en-US"/>
        </w:rPr>
        <w:t xml:space="preserve">Properties </w:t>
      </w:r>
      <w:r w:rsidR="008D261D">
        <w:rPr>
          <w:rFonts w:ascii="Arial" w:hAnsi="Arial" w:cs="Arial"/>
          <w:sz w:val="24"/>
          <w:szCs w:val="24"/>
          <w:lang w:val="en-US"/>
        </w:rPr>
        <w:t>(</w:t>
      </w:r>
      <w:r w:rsidR="002C4E8D">
        <w:rPr>
          <w:rFonts w:ascii="Arial" w:hAnsi="Arial" w:cs="Arial"/>
          <w:sz w:val="24"/>
          <w:szCs w:val="24"/>
          <w:lang w:val="en-US"/>
        </w:rPr>
        <w:t>Pty)</w:t>
      </w:r>
      <w:r w:rsidR="008D06A0">
        <w:rPr>
          <w:rFonts w:ascii="Arial" w:hAnsi="Arial" w:cs="Arial"/>
          <w:sz w:val="24"/>
          <w:szCs w:val="24"/>
          <w:lang w:val="en-US"/>
        </w:rPr>
        <w:t xml:space="preserve"> </w:t>
      </w:r>
      <w:r w:rsidR="001B6DF0">
        <w:rPr>
          <w:rFonts w:ascii="Arial" w:hAnsi="Arial" w:cs="Arial"/>
          <w:sz w:val="24"/>
          <w:szCs w:val="24"/>
          <w:lang w:val="en-US"/>
        </w:rPr>
        <w:t>Ltd did</w:t>
      </w:r>
      <w:r>
        <w:rPr>
          <w:rFonts w:ascii="Arial" w:hAnsi="Arial" w:cs="Arial"/>
          <w:sz w:val="24"/>
          <w:szCs w:val="24"/>
          <w:lang w:val="en-US"/>
        </w:rPr>
        <w:t xml:space="preserve"> not purchase the s</w:t>
      </w:r>
      <w:r w:rsidR="00836B7F">
        <w:rPr>
          <w:rFonts w:ascii="Arial" w:hAnsi="Arial" w:cs="Arial"/>
          <w:sz w:val="24"/>
          <w:szCs w:val="24"/>
          <w:lang w:val="en-US"/>
        </w:rPr>
        <w:t>ame</w:t>
      </w:r>
      <w:r>
        <w:rPr>
          <w:rFonts w:ascii="Arial" w:hAnsi="Arial" w:cs="Arial"/>
          <w:sz w:val="24"/>
          <w:szCs w:val="24"/>
          <w:lang w:val="en-US"/>
        </w:rPr>
        <w:t xml:space="preserve"> business </w:t>
      </w:r>
      <w:r w:rsidR="00115BDF">
        <w:rPr>
          <w:rFonts w:ascii="Arial" w:hAnsi="Arial" w:cs="Arial"/>
          <w:sz w:val="24"/>
          <w:szCs w:val="24"/>
          <w:lang w:val="en-US"/>
        </w:rPr>
        <w:t xml:space="preserve">as the one sold to Buntibiz </w:t>
      </w:r>
      <w:r>
        <w:rPr>
          <w:rFonts w:ascii="Arial" w:hAnsi="Arial" w:cs="Arial"/>
          <w:sz w:val="24"/>
          <w:szCs w:val="24"/>
          <w:lang w:val="en-US"/>
        </w:rPr>
        <w:t xml:space="preserve">because there were no fuel pumps functioning. </w:t>
      </w:r>
      <w:r w:rsidRPr="00D156D7">
        <w:rPr>
          <w:rFonts w:ascii="Arial" w:hAnsi="Arial" w:cs="Arial"/>
          <w:color w:val="000000" w:themeColor="text1"/>
          <w:sz w:val="24"/>
          <w:szCs w:val="24"/>
          <w:lang w:val="en-US"/>
        </w:rPr>
        <w:t xml:space="preserve">Maguta did not receive what Buntibiz bought. Quest Petroleum tried to get a third party to </w:t>
      </w:r>
      <w:r w:rsidR="008D06A0" w:rsidRPr="00D156D7">
        <w:rPr>
          <w:rFonts w:ascii="Arial" w:hAnsi="Arial" w:cs="Arial"/>
          <w:color w:val="000000" w:themeColor="text1"/>
          <w:sz w:val="24"/>
          <w:szCs w:val="24"/>
          <w:lang w:val="en-US"/>
        </w:rPr>
        <w:t>buy the business from</w:t>
      </w:r>
      <w:r w:rsidRPr="00D156D7">
        <w:rPr>
          <w:rFonts w:ascii="Arial" w:hAnsi="Arial" w:cs="Arial"/>
          <w:color w:val="000000" w:themeColor="text1"/>
          <w:sz w:val="24"/>
          <w:szCs w:val="24"/>
          <w:lang w:val="en-US"/>
        </w:rPr>
        <w:t xml:space="preserve"> Buntibiz. He </w:t>
      </w:r>
      <w:r>
        <w:rPr>
          <w:rFonts w:ascii="Arial" w:hAnsi="Arial" w:cs="Arial"/>
          <w:sz w:val="24"/>
          <w:szCs w:val="24"/>
          <w:lang w:val="en-US"/>
        </w:rPr>
        <w:t>testified that because Quest Petroleum was the operator it made sense that if Buntibiz had done everything in its power to obtain the licence</w:t>
      </w:r>
      <w:r w:rsidR="00115BDF">
        <w:rPr>
          <w:rFonts w:ascii="Arial" w:hAnsi="Arial" w:cs="Arial"/>
          <w:sz w:val="24"/>
          <w:szCs w:val="24"/>
          <w:lang w:val="en-US"/>
        </w:rPr>
        <w:t xml:space="preserve">, </w:t>
      </w:r>
      <w:r>
        <w:rPr>
          <w:rFonts w:ascii="Arial" w:hAnsi="Arial" w:cs="Arial"/>
          <w:sz w:val="24"/>
          <w:szCs w:val="24"/>
          <w:lang w:val="en-US"/>
        </w:rPr>
        <w:t>but did not</w:t>
      </w:r>
      <w:r w:rsidR="00115BDF">
        <w:rPr>
          <w:rFonts w:ascii="Arial" w:hAnsi="Arial" w:cs="Arial"/>
          <w:sz w:val="24"/>
          <w:szCs w:val="24"/>
          <w:lang w:val="en-US"/>
        </w:rPr>
        <w:t xml:space="preserve"> </w:t>
      </w:r>
      <w:r w:rsidR="003B0E31">
        <w:rPr>
          <w:rFonts w:ascii="Arial" w:hAnsi="Arial" w:cs="Arial"/>
          <w:sz w:val="24"/>
          <w:szCs w:val="24"/>
          <w:lang w:val="en-US"/>
        </w:rPr>
        <w:t>succeed, that</w:t>
      </w:r>
      <w:r>
        <w:rPr>
          <w:rFonts w:ascii="Arial" w:hAnsi="Arial" w:cs="Arial"/>
          <w:sz w:val="24"/>
          <w:szCs w:val="24"/>
          <w:lang w:val="en-US"/>
        </w:rPr>
        <w:t xml:space="preserve"> it should be refunded. Quest Petroleum had to ensure that the operator was able to operate. He testified that Li</w:t>
      </w:r>
      <w:r w:rsidR="008D06A0">
        <w:rPr>
          <w:rFonts w:ascii="Arial" w:hAnsi="Arial" w:cs="Arial"/>
          <w:sz w:val="24"/>
          <w:szCs w:val="24"/>
          <w:lang w:val="en-US"/>
        </w:rPr>
        <w:t xml:space="preserve">esel </w:t>
      </w:r>
      <w:r w:rsidR="00115BDF">
        <w:rPr>
          <w:rFonts w:ascii="Arial" w:hAnsi="Arial" w:cs="Arial"/>
          <w:sz w:val="24"/>
          <w:szCs w:val="24"/>
          <w:lang w:val="en-US"/>
        </w:rPr>
        <w:t>Bezuidenhout</w:t>
      </w:r>
      <w:r>
        <w:rPr>
          <w:rFonts w:ascii="Arial" w:hAnsi="Arial" w:cs="Arial"/>
          <w:sz w:val="24"/>
          <w:szCs w:val="24"/>
          <w:lang w:val="en-US"/>
        </w:rPr>
        <w:t xml:space="preserve"> has since left Quest Retail and is now a director in Simply </w:t>
      </w:r>
      <w:r>
        <w:rPr>
          <w:rFonts w:ascii="Arial" w:hAnsi="Arial" w:cs="Arial"/>
          <w:sz w:val="24"/>
          <w:szCs w:val="24"/>
          <w:lang w:val="en-US"/>
        </w:rPr>
        <w:lastRenderedPageBreak/>
        <w:t xml:space="preserve">Nest. He did not expect </w:t>
      </w:r>
      <w:r w:rsidR="00CD5C8F">
        <w:rPr>
          <w:rFonts w:ascii="Arial" w:hAnsi="Arial" w:cs="Arial"/>
          <w:sz w:val="24"/>
          <w:szCs w:val="24"/>
          <w:lang w:val="en-US"/>
        </w:rPr>
        <w:t>McLoughlin</w:t>
      </w:r>
      <w:r>
        <w:rPr>
          <w:rFonts w:ascii="Arial" w:hAnsi="Arial" w:cs="Arial"/>
          <w:sz w:val="24"/>
          <w:szCs w:val="24"/>
          <w:lang w:val="en-US"/>
        </w:rPr>
        <w:t xml:space="preserve"> to know the internal workings of Quest Retail and Quest Petroleum. He believed that Buntibiz would get a licence. He did not believe that Quest Petroleum is liable</w:t>
      </w:r>
      <w:r w:rsidR="00115BDF">
        <w:rPr>
          <w:rFonts w:ascii="Arial" w:hAnsi="Arial" w:cs="Arial"/>
          <w:sz w:val="24"/>
          <w:szCs w:val="24"/>
          <w:lang w:val="en-US"/>
        </w:rPr>
        <w:t xml:space="preserve"> to pay Buntibiz</w:t>
      </w:r>
      <w:r>
        <w:rPr>
          <w:rFonts w:ascii="Arial" w:hAnsi="Arial" w:cs="Arial"/>
          <w:sz w:val="24"/>
          <w:szCs w:val="24"/>
          <w:lang w:val="en-US"/>
        </w:rPr>
        <w:t xml:space="preserve">. The option that related to Mr De Lange related to the property and not the business and it had nothing to do with the retail licence. He confirmed that he was asked to put </w:t>
      </w:r>
      <w:r w:rsidR="00115BDF">
        <w:rPr>
          <w:rFonts w:ascii="Arial" w:hAnsi="Arial" w:cs="Arial"/>
          <w:sz w:val="24"/>
          <w:szCs w:val="24"/>
          <w:lang w:val="en-US"/>
        </w:rPr>
        <w:t>clause 26</w:t>
      </w:r>
      <w:r>
        <w:rPr>
          <w:rFonts w:ascii="Arial" w:hAnsi="Arial" w:cs="Arial"/>
          <w:sz w:val="24"/>
          <w:szCs w:val="24"/>
          <w:lang w:val="en-US"/>
        </w:rPr>
        <w:t xml:space="preserve"> in</w:t>
      </w:r>
      <w:r w:rsidR="00115BDF">
        <w:rPr>
          <w:rFonts w:ascii="Arial" w:hAnsi="Arial" w:cs="Arial"/>
          <w:sz w:val="24"/>
          <w:szCs w:val="24"/>
          <w:lang w:val="en-US"/>
        </w:rPr>
        <w:t>to</w:t>
      </w:r>
      <w:r>
        <w:rPr>
          <w:rFonts w:ascii="Arial" w:hAnsi="Arial" w:cs="Arial"/>
          <w:sz w:val="24"/>
          <w:szCs w:val="24"/>
          <w:lang w:val="en-US"/>
        </w:rPr>
        <w:t xml:space="preserve"> the lease agreement by </w:t>
      </w:r>
      <w:r w:rsidR="00115BDF">
        <w:rPr>
          <w:rFonts w:ascii="Arial" w:hAnsi="Arial" w:cs="Arial"/>
          <w:sz w:val="24"/>
          <w:szCs w:val="24"/>
          <w:lang w:val="en-US"/>
        </w:rPr>
        <w:t>McLoughlin</w:t>
      </w:r>
      <w:r>
        <w:rPr>
          <w:rFonts w:ascii="Arial" w:hAnsi="Arial" w:cs="Arial"/>
          <w:sz w:val="24"/>
          <w:szCs w:val="24"/>
          <w:lang w:val="en-US"/>
        </w:rPr>
        <w:t xml:space="preserve"> for recordal purposes. </w:t>
      </w:r>
    </w:p>
    <w:p w14:paraId="1A11C47F" w14:textId="28C36E72" w:rsidR="000C2AFA" w:rsidRDefault="00CC35D9" w:rsidP="000C2AFA">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1B6DF0">
        <w:rPr>
          <w:rFonts w:ascii="Arial" w:hAnsi="Arial" w:cs="Arial"/>
          <w:sz w:val="24"/>
          <w:szCs w:val="24"/>
          <w:lang w:val="en-US"/>
        </w:rPr>
        <w:t>41</w:t>
      </w:r>
      <w:r>
        <w:rPr>
          <w:rFonts w:ascii="Arial" w:hAnsi="Arial" w:cs="Arial"/>
          <w:sz w:val="24"/>
          <w:szCs w:val="24"/>
          <w:lang w:val="en-US"/>
        </w:rPr>
        <w:t>]</w:t>
      </w:r>
      <w:r>
        <w:rPr>
          <w:rFonts w:ascii="Arial" w:hAnsi="Arial" w:cs="Arial"/>
          <w:sz w:val="24"/>
          <w:szCs w:val="24"/>
          <w:lang w:val="en-US"/>
        </w:rPr>
        <w:tab/>
      </w:r>
      <w:r w:rsidR="00D32F26">
        <w:rPr>
          <w:rFonts w:ascii="Arial" w:hAnsi="Arial" w:cs="Arial"/>
          <w:sz w:val="24"/>
          <w:szCs w:val="24"/>
          <w:lang w:val="en-US"/>
        </w:rPr>
        <w:t xml:space="preserve">It was suggested to him that one would get a refund from the person he paid the money to. He disputed this on the basis that it would depend on the context.  He testified that the right to trade was not defined as an amount. </w:t>
      </w:r>
      <w:r w:rsidR="00D32F26" w:rsidRPr="006D7B7F">
        <w:rPr>
          <w:rFonts w:ascii="Arial" w:hAnsi="Arial" w:cs="Arial"/>
          <w:sz w:val="24"/>
          <w:szCs w:val="24"/>
          <w:lang w:val="en-US"/>
        </w:rPr>
        <w:t xml:space="preserve">He disputed that Buntibiz paid R2,5 million for a right to trade. He stated that that amount was for a going concern. </w:t>
      </w:r>
      <w:r w:rsidR="006D7B7F" w:rsidRPr="006D7B7F">
        <w:rPr>
          <w:rFonts w:ascii="Arial" w:hAnsi="Arial" w:cs="Arial"/>
          <w:sz w:val="24"/>
          <w:szCs w:val="24"/>
          <w:lang w:val="en-US"/>
        </w:rPr>
        <w:t xml:space="preserve">He disputed that the right to trade was reference to the goodwill which Buntibiz acquired in terms of the sale agreement.  He testified that </w:t>
      </w:r>
      <w:r w:rsidR="00CD5C8F" w:rsidRPr="006D7B7F">
        <w:rPr>
          <w:rFonts w:ascii="Arial" w:hAnsi="Arial" w:cs="Arial"/>
          <w:sz w:val="24"/>
          <w:szCs w:val="24"/>
          <w:lang w:val="en-US"/>
        </w:rPr>
        <w:t>McLoughlin</w:t>
      </w:r>
      <w:r w:rsidR="006D7B7F" w:rsidRPr="006D7B7F">
        <w:rPr>
          <w:rFonts w:ascii="Arial" w:hAnsi="Arial" w:cs="Arial"/>
          <w:sz w:val="24"/>
          <w:szCs w:val="24"/>
          <w:lang w:val="en-US"/>
        </w:rPr>
        <w:t xml:space="preserve"> had approached them and stated that he wanted to get out of the business. His attitude was that he could stay in the business,</w:t>
      </w:r>
      <w:r w:rsidR="003B0E31">
        <w:rPr>
          <w:rFonts w:ascii="Arial" w:hAnsi="Arial" w:cs="Arial"/>
          <w:sz w:val="24"/>
          <w:szCs w:val="24"/>
          <w:lang w:val="en-US"/>
        </w:rPr>
        <w:t xml:space="preserve"> </w:t>
      </w:r>
      <w:r w:rsidR="006D7B7F" w:rsidRPr="006D7B7F">
        <w:rPr>
          <w:rFonts w:ascii="Arial" w:hAnsi="Arial" w:cs="Arial"/>
          <w:sz w:val="24"/>
          <w:szCs w:val="24"/>
          <w:lang w:val="en-US"/>
        </w:rPr>
        <w:t>or sell or close it.  If Buntibiz had done everything that the department told it to</w:t>
      </w:r>
      <w:r w:rsidR="002D031F">
        <w:rPr>
          <w:rFonts w:ascii="Arial" w:hAnsi="Arial" w:cs="Arial"/>
          <w:sz w:val="24"/>
          <w:szCs w:val="24"/>
          <w:lang w:val="en-US"/>
        </w:rPr>
        <w:t xml:space="preserve"> do inorder for it to</w:t>
      </w:r>
      <w:r w:rsidR="006D7B7F" w:rsidRPr="006D7B7F">
        <w:rPr>
          <w:rFonts w:ascii="Arial" w:hAnsi="Arial" w:cs="Arial"/>
          <w:sz w:val="24"/>
          <w:szCs w:val="24"/>
          <w:lang w:val="en-US"/>
        </w:rPr>
        <w:t xml:space="preserve"> get the </w:t>
      </w:r>
      <w:r w:rsidR="002C4E8D" w:rsidRPr="006D7B7F">
        <w:rPr>
          <w:rFonts w:ascii="Arial" w:hAnsi="Arial" w:cs="Arial"/>
          <w:sz w:val="24"/>
          <w:szCs w:val="24"/>
          <w:lang w:val="en-US"/>
        </w:rPr>
        <w:t>licence,</w:t>
      </w:r>
      <w:r w:rsidR="002D031F">
        <w:rPr>
          <w:rFonts w:ascii="Arial" w:hAnsi="Arial" w:cs="Arial"/>
          <w:sz w:val="24"/>
          <w:szCs w:val="24"/>
          <w:lang w:val="en-US"/>
        </w:rPr>
        <w:t xml:space="preserve"> </w:t>
      </w:r>
      <w:r w:rsidR="006D7B7F" w:rsidRPr="006D7B7F">
        <w:rPr>
          <w:rFonts w:ascii="Arial" w:hAnsi="Arial" w:cs="Arial"/>
          <w:sz w:val="24"/>
          <w:szCs w:val="24"/>
          <w:lang w:val="en-US"/>
        </w:rPr>
        <w:t xml:space="preserve">but was still </w:t>
      </w:r>
      <w:r w:rsidRPr="006D7B7F">
        <w:rPr>
          <w:rFonts w:ascii="Arial" w:hAnsi="Arial" w:cs="Arial"/>
          <w:sz w:val="24"/>
          <w:szCs w:val="24"/>
          <w:lang w:val="en-US"/>
        </w:rPr>
        <w:t>refused, then</w:t>
      </w:r>
      <w:r w:rsidR="006D7B7F" w:rsidRPr="006D7B7F">
        <w:rPr>
          <w:rFonts w:ascii="Arial" w:hAnsi="Arial" w:cs="Arial"/>
          <w:sz w:val="24"/>
          <w:szCs w:val="24"/>
          <w:lang w:val="en-US"/>
        </w:rPr>
        <w:t xml:space="preserve"> he could invoke clause 26. </w:t>
      </w:r>
      <w:r w:rsidR="0003718B">
        <w:rPr>
          <w:rFonts w:ascii="Arial" w:hAnsi="Arial" w:cs="Arial"/>
          <w:sz w:val="24"/>
          <w:szCs w:val="24"/>
          <w:lang w:val="en-US"/>
        </w:rPr>
        <w:t xml:space="preserve"> He described the right to trade amount as </w:t>
      </w:r>
      <w:r>
        <w:rPr>
          <w:rFonts w:ascii="Arial" w:hAnsi="Arial" w:cs="Arial"/>
          <w:sz w:val="24"/>
          <w:szCs w:val="24"/>
          <w:lang w:val="en-US"/>
        </w:rPr>
        <w:t>“the</w:t>
      </w:r>
      <w:r w:rsidR="0003718B" w:rsidRPr="0003718B">
        <w:rPr>
          <w:rFonts w:ascii="Arial" w:hAnsi="Arial" w:cs="Arial"/>
          <w:i/>
          <w:iCs/>
          <w:sz w:val="24"/>
          <w:szCs w:val="24"/>
          <w:lang w:val="en-US"/>
        </w:rPr>
        <w:t xml:space="preserve"> key money, the right to do business </w:t>
      </w:r>
      <w:r w:rsidR="002D031F">
        <w:rPr>
          <w:rFonts w:ascii="Arial" w:hAnsi="Arial" w:cs="Arial"/>
          <w:i/>
          <w:iCs/>
          <w:sz w:val="24"/>
          <w:szCs w:val="24"/>
          <w:lang w:val="en-US"/>
        </w:rPr>
        <w:t xml:space="preserve">and the right </w:t>
      </w:r>
      <w:r w:rsidR="0003718B" w:rsidRPr="0003718B">
        <w:rPr>
          <w:rFonts w:ascii="Arial" w:hAnsi="Arial" w:cs="Arial"/>
          <w:i/>
          <w:iCs/>
          <w:sz w:val="24"/>
          <w:szCs w:val="24"/>
          <w:lang w:val="en-US"/>
        </w:rPr>
        <w:t>for you to operate”</w:t>
      </w:r>
      <w:r w:rsidR="0003718B">
        <w:rPr>
          <w:rFonts w:ascii="Arial" w:hAnsi="Arial" w:cs="Arial"/>
          <w:sz w:val="24"/>
          <w:szCs w:val="24"/>
          <w:lang w:val="en-US"/>
        </w:rPr>
        <w:t xml:space="preserve">.  </w:t>
      </w:r>
      <w:r w:rsidR="002D031F">
        <w:rPr>
          <w:rFonts w:ascii="Arial" w:hAnsi="Arial" w:cs="Arial"/>
          <w:sz w:val="24"/>
          <w:szCs w:val="24"/>
          <w:lang w:val="en-US"/>
        </w:rPr>
        <w:t xml:space="preserve"> Quest Retail closed its case. </w:t>
      </w:r>
    </w:p>
    <w:p w14:paraId="41B47369" w14:textId="77777777" w:rsidR="00CD50BE" w:rsidRPr="00903D2F" w:rsidRDefault="00CD50BE" w:rsidP="00CD50BE">
      <w:pPr>
        <w:spacing w:line="480" w:lineRule="auto"/>
        <w:ind w:left="720" w:hanging="720"/>
        <w:jc w:val="both"/>
        <w:rPr>
          <w:rFonts w:ascii="Arial" w:hAnsi="Arial" w:cs="Arial"/>
          <w:i/>
          <w:iCs/>
          <w:sz w:val="24"/>
          <w:szCs w:val="24"/>
          <w:lang w:val="en-US"/>
        </w:rPr>
      </w:pPr>
      <w:r>
        <w:rPr>
          <w:rFonts w:ascii="Arial" w:hAnsi="Arial" w:cs="Arial"/>
          <w:i/>
          <w:iCs/>
          <w:sz w:val="24"/>
          <w:szCs w:val="24"/>
          <w:lang w:val="en-US"/>
        </w:rPr>
        <w:t xml:space="preserve">Legal submission by the parties </w:t>
      </w:r>
    </w:p>
    <w:p w14:paraId="42BC641B" w14:textId="22E285F2" w:rsidR="00CD50BE" w:rsidRDefault="00CD50BE" w:rsidP="00CD50BE">
      <w:pPr>
        <w:spacing w:line="480" w:lineRule="auto"/>
        <w:ind w:left="720" w:hanging="720"/>
        <w:jc w:val="both"/>
        <w:rPr>
          <w:rFonts w:ascii="Arial" w:hAnsi="Arial" w:cs="Arial"/>
          <w:sz w:val="24"/>
          <w:szCs w:val="24"/>
          <w:lang w:val="en-US"/>
        </w:rPr>
      </w:pPr>
      <w:r w:rsidRPr="00903D2F">
        <w:rPr>
          <w:rFonts w:ascii="Arial" w:hAnsi="Arial" w:cs="Arial"/>
          <w:sz w:val="24"/>
          <w:szCs w:val="24"/>
          <w:lang w:val="en-US"/>
        </w:rPr>
        <w:t>[</w:t>
      </w:r>
      <w:r w:rsidR="001B6DF0">
        <w:rPr>
          <w:rFonts w:ascii="Arial" w:hAnsi="Arial" w:cs="Arial"/>
          <w:sz w:val="24"/>
          <w:szCs w:val="24"/>
          <w:lang w:val="en-US"/>
        </w:rPr>
        <w:t>42</w:t>
      </w:r>
      <w:r w:rsidRPr="00903D2F">
        <w:rPr>
          <w:rFonts w:ascii="Arial" w:hAnsi="Arial" w:cs="Arial"/>
          <w:sz w:val="24"/>
          <w:szCs w:val="24"/>
          <w:lang w:val="en-US"/>
        </w:rPr>
        <w:t>]</w:t>
      </w:r>
      <w:r w:rsidRPr="00903D2F">
        <w:rPr>
          <w:rFonts w:ascii="Arial" w:hAnsi="Arial" w:cs="Arial"/>
          <w:sz w:val="24"/>
          <w:szCs w:val="24"/>
          <w:lang w:val="en-US"/>
        </w:rPr>
        <w:tab/>
      </w:r>
      <w:r>
        <w:rPr>
          <w:rFonts w:ascii="Arial" w:hAnsi="Arial" w:cs="Arial"/>
          <w:sz w:val="24"/>
          <w:szCs w:val="24"/>
          <w:lang w:val="en-US"/>
        </w:rPr>
        <w:t xml:space="preserve">Mr Hopkins submitted that this court should make use of the innocent bystander test adopted from English law. He relied on, </w:t>
      </w:r>
      <w:r>
        <w:rPr>
          <w:rFonts w:ascii="Arial" w:hAnsi="Arial" w:cs="Arial"/>
          <w:i/>
          <w:iCs/>
          <w:sz w:val="24"/>
          <w:szCs w:val="24"/>
          <w:lang w:val="en-US"/>
        </w:rPr>
        <w:t xml:space="preserve">inter alia, </w:t>
      </w:r>
      <w:r w:rsidRPr="00814202">
        <w:rPr>
          <w:rFonts w:ascii="Arial" w:hAnsi="Arial" w:cs="Arial"/>
          <w:b/>
          <w:bCs/>
          <w:i/>
          <w:iCs/>
          <w:sz w:val="24"/>
          <w:szCs w:val="24"/>
          <w:lang w:val="en-US"/>
        </w:rPr>
        <w:t>Reigate v Union Manufacturing Company (Ramsbottoms)</w:t>
      </w:r>
      <w:r>
        <w:rPr>
          <w:rStyle w:val="FootnoteReference"/>
          <w:rFonts w:ascii="Arial" w:hAnsi="Arial" w:cs="Arial"/>
          <w:sz w:val="24"/>
          <w:szCs w:val="24"/>
          <w:lang w:val="en-US"/>
        </w:rPr>
        <w:footnoteReference w:id="1"/>
      </w:r>
      <w:r>
        <w:rPr>
          <w:rFonts w:ascii="Arial" w:hAnsi="Arial" w:cs="Arial"/>
          <w:sz w:val="24"/>
          <w:szCs w:val="24"/>
          <w:lang w:val="en-US"/>
        </w:rPr>
        <w:t xml:space="preserve"> for the contention that the court must imply a term if it is necessary in the business sense to give efficacy to the </w:t>
      </w:r>
      <w:r>
        <w:rPr>
          <w:rFonts w:ascii="Arial" w:hAnsi="Arial" w:cs="Arial"/>
          <w:sz w:val="24"/>
          <w:szCs w:val="24"/>
          <w:lang w:val="en-US"/>
        </w:rPr>
        <w:lastRenderedPageBreak/>
        <w:t xml:space="preserve">contract. If it </w:t>
      </w:r>
      <w:r w:rsidR="002D031F">
        <w:rPr>
          <w:rFonts w:ascii="Arial" w:hAnsi="Arial" w:cs="Arial"/>
          <w:sz w:val="24"/>
          <w:szCs w:val="24"/>
          <w:lang w:val="en-US"/>
        </w:rPr>
        <w:t xml:space="preserve">is </w:t>
      </w:r>
      <w:r>
        <w:rPr>
          <w:rFonts w:ascii="Arial" w:hAnsi="Arial" w:cs="Arial"/>
          <w:sz w:val="24"/>
          <w:szCs w:val="24"/>
          <w:lang w:val="en-US"/>
        </w:rPr>
        <w:t>such a term that you can be confident that if at the time the contract was being negotiated someone had said to the parties?</w:t>
      </w:r>
      <w:r w:rsidR="00CC35D9">
        <w:rPr>
          <w:rFonts w:ascii="Arial" w:hAnsi="Arial" w:cs="Arial"/>
          <w:sz w:val="24"/>
          <w:szCs w:val="24"/>
          <w:lang w:val="en-US"/>
        </w:rPr>
        <w:t xml:space="preserve"> </w:t>
      </w:r>
      <w:r>
        <w:rPr>
          <w:rFonts w:ascii="Arial" w:hAnsi="Arial" w:cs="Arial"/>
          <w:sz w:val="24"/>
          <w:szCs w:val="24"/>
          <w:lang w:val="en-US"/>
        </w:rPr>
        <w:t>What will happen in such a case? and they would have both replied “</w:t>
      </w:r>
      <w:r w:rsidRPr="002C4E8D">
        <w:rPr>
          <w:rFonts w:ascii="Arial" w:hAnsi="Arial" w:cs="Arial"/>
          <w:i/>
          <w:iCs/>
          <w:sz w:val="24"/>
          <w:szCs w:val="24"/>
          <w:lang w:val="en-US"/>
        </w:rPr>
        <w:t>of course so and so but we did not trouble to say it because it is clear</w:t>
      </w:r>
      <w:r w:rsidR="003C3428">
        <w:rPr>
          <w:rFonts w:ascii="Arial" w:hAnsi="Arial" w:cs="Arial"/>
          <w:sz w:val="24"/>
          <w:szCs w:val="24"/>
          <w:lang w:val="en-US"/>
        </w:rPr>
        <w:t>”</w:t>
      </w:r>
      <w:r>
        <w:rPr>
          <w:rFonts w:ascii="Arial" w:hAnsi="Arial" w:cs="Arial"/>
          <w:sz w:val="24"/>
          <w:szCs w:val="24"/>
          <w:lang w:val="en-US"/>
        </w:rPr>
        <w:t xml:space="preserve">. </w:t>
      </w:r>
    </w:p>
    <w:p w14:paraId="50592BEF" w14:textId="063855D1" w:rsidR="00CD50BE" w:rsidRDefault="00CD50BE" w:rsidP="00CD50BE">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1B6DF0">
        <w:rPr>
          <w:rFonts w:ascii="Arial" w:hAnsi="Arial" w:cs="Arial"/>
          <w:sz w:val="24"/>
          <w:szCs w:val="24"/>
          <w:lang w:val="en-US"/>
        </w:rPr>
        <w:t>43</w:t>
      </w:r>
      <w:r>
        <w:rPr>
          <w:rFonts w:ascii="Arial" w:hAnsi="Arial" w:cs="Arial"/>
          <w:sz w:val="24"/>
          <w:szCs w:val="24"/>
          <w:lang w:val="en-US"/>
        </w:rPr>
        <w:t>]</w:t>
      </w:r>
      <w:r>
        <w:rPr>
          <w:rFonts w:ascii="Arial" w:hAnsi="Arial" w:cs="Arial"/>
          <w:sz w:val="24"/>
          <w:szCs w:val="24"/>
          <w:lang w:val="en-US"/>
        </w:rPr>
        <w:tab/>
        <w:t xml:space="preserve">He submitted that the court may import the tacit term if it is satisfied that the facts and the circumstances give rise to a reasonable inference that Quest Retail and Buntibiz intended for the tacit term to apply and that the tacit term makes good business sense. He submitted that because Ms Liesel </w:t>
      </w:r>
      <w:r w:rsidR="00CC35D9">
        <w:rPr>
          <w:rFonts w:ascii="Arial" w:hAnsi="Arial" w:cs="Arial"/>
          <w:sz w:val="24"/>
          <w:szCs w:val="24"/>
          <w:lang w:val="en-US"/>
        </w:rPr>
        <w:t>Bezuidenhout,</w:t>
      </w:r>
      <w:r w:rsidR="003C3428">
        <w:rPr>
          <w:rFonts w:ascii="Arial" w:hAnsi="Arial" w:cs="Arial"/>
          <w:sz w:val="24"/>
          <w:szCs w:val="24"/>
          <w:lang w:val="en-US"/>
        </w:rPr>
        <w:t xml:space="preserve"> </w:t>
      </w:r>
      <w:r>
        <w:rPr>
          <w:rFonts w:ascii="Arial" w:hAnsi="Arial" w:cs="Arial"/>
          <w:sz w:val="24"/>
          <w:szCs w:val="24"/>
          <w:lang w:val="en-US"/>
        </w:rPr>
        <w:t xml:space="preserve">the only director of Quest Retail did not give evidence at the trial, this court does not have direct evidence from her to suggest </w:t>
      </w:r>
      <w:r w:rsidR="002C4E8D">
        <w:rPr>
          <w:rFonts w:ascii="Arial" w:hAnsi="Arial" w:cs="Arial"/>
          <w:sz w:val="24"/>
          <w:szCs w:val="24"/>
          <w:lang w:val="en-US"/>
        </w:rPr>
        <w:t>that she</w:t>
      </w:r>
      <w:r>
        <w:rPr>
          <w:rFonts w:ascii="Arial" w:hAnsi="Arial" w:cs="Arial"/>
          <w:sz w:val="24"/>
          <w:szCs w:val="24"/>
          <w:lang w:val="en-US"/>
        </w:rPr>
        <w:t xml:space="preserve"> would have answered the innocent bystander on behalf of Quest Retail negatively. He submitted that Le Roux did not ask Liesel </w:t>
      </w:r>
      <w:r w:rsidR="00CD5C8F">
        <w:rPr>
          <w:rFonts w:ascii="Arial" w:hAnsi="Arial" w:cs="Arial"/>
          <w:sz w:val="24"/>
          <w:szCs w:val="24"/>
          <w:lang w:val="en-US"/>
        </w:rPr>
        <w:t>Bezuidenhout</w:t>
      </w:r>
      <w:r>
        <w:rPr>
          <w:rFonts w:ascii="Arial" w:hAnsi="Arial" w:cs="Arial"/>
          <w:sz w:val="24"/>
          <w:szCs w:val="24"/>
          <w:lang w:val="en-US"/>
        </w:rPr>
        <w:t xml:space="preserve"> whether she would have agreed to put the refund clause into the sale agreement. He submitted that the court should reject the evidence of Le Roux that </w:t>
      </w:r>
      <w:r w:rsidR="00CD5C8F">
        <w:rPr>
          <w:rFonts w:ascii="Arial" w:hAnsi="Arial" w:cs="Arial"/>
          <w:sz w:val="24"/>
          <w:szCs w:val="24"/>
          <w:lang w:val="en-US"/>
        </w:rPr>
        <w:t>McLoughlin</w:t>
      </w:r>
      <w:r>
        <w:rPr>
          <w:rFonts w:ascii="Arial" w:hAnsi="Arial" w:cs="Arial"/>
          <w:sz w:val="24"/>
          <w:szCs w:val="24"/>
          <w:lang w:val="en-US"/>
        </w:rPr>
        <w:t xml:space="preserve"> specifically asked him not to </w:t>
      </w:r>
      <w:r w:rsidR="003C3428">
        <w:rPr>
          <w:rFonts w:ascii="Arial" w:hAnsi="Arial" w:cs="Arial"/>
          <w:sz w:val="24"/>
          <w:szCs w:val="24"/>
          <w:lang w:val="en-US"/>
        </w:rPr>
        <w:t xml:space="preserve">put </w:t>
      </w:r>
      <w:r>
        <w:rPr>
          <w:rFonts w:ascii="Arial" w:hAnsi="Arial" w:cs="Arial"/>
          <w:sz w:val="24"/>
          <w:szCs w:val="24"/>
          <w:lang w:val="en-US"/>
        </w:rPr>
        <w:t>the refund clause in the sale agreement.</w:t>
      </w:r>
    </w:p>
    <w:p w14:paraId="07F75EA6" w14:textId="7D8CBD4E" w:rsidR="00CD50BE" w:rsidRDefault="00CD50BE" w:rsidP="00CD50BE">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1B6DF0">
        <w:rPr>
          <w:rFonts w:ascii="Arial" w:hAnsi="Arial" w:cs="Arial"/>
          <w:sz w:val="24"/>
          <w:szCs w:val="24"/>
          <w:lang w:val="en-US"/>
        </w:rPr>
        <w:t>44</w:t>
      </w:r>
      <w:r>
        <w:rPr>
          <w:rFonts w:ascii="Arial" w:hAnsi="Arial" w:cs="Arial"/>
          <w:sz w:val="24"/>
          <w:szCs w:val="24"/>
          <w:lang w:val="en-US"/>
        </w:rPr>
        <w:t>]</w:t>
      </w:r>
      <w:r>
        <w:rPr>
          <w:rFonts w:ascii="Arial" w:hAnsi="Arial" w:cs="Arial"/>
          <w:sz w:val="24"/>
          <w:szCs w:val="24"/>
          <w:lang w:val="en-US"/>
        </w:rPr>
        <w:tab/>
        <w:t xml:space="preserve">He submitted that this court viewing the suite of the three contracts as a single transaction concluded with a single Quest entity, </w:t>
      </w:r>
      <w:r w:rsidR="003C3428">
        <w:rPr>
          <w:rFonts w:ascii="Arial" w:hAnsi="Arial" w:cs="Arial"/>
          <w:sz w:val="24"/>
          <w:szCs w:val="24"/>
          <w:lang w:val="en-US"/>
        </w:rPr>
        <w:t xml:space="preserve">the version of </w:t>
      </w:r>
      <w:r w:rsidR="00CD5C8F">
        <w:rPr>
          <w:rFonts w:ascii="Arial" w:hAnsi="Arial" w:cs="Arial"/>
          <w:sz w:val="24"/>
          <w:szCs w:val="24"/>
          <w:lang w:val="en-US"/>
        </w:rPr>
        <w:t>McLoughlin</w:t>
      </w:r>
      <w:r>
        <w:rPr>
          <w:rFonts w:ascii="Arial" w:hAnsi="Arial" w:cs="Arial"/>
          <w:sz w:val="24"/>
          <w:szCs w:val="24"/>
          <w:lang w:val="en-US"/>
        </w:rPr>
        <w:t xml:space="preserve"> is more probable. He also relied on Le Roux’s concession that he never told </w:t>
      </w:r>
      <w:r w:rsidR="00CD5C8F">
        <w:rPr>
          <w:rFonts w:ascii="Arial" w:hAnsi="Arial" w:cs="Arial"/>
          <w:sz w:val="24"/>
          <w:szCs w:val="24"/>
          <w:lang w:val="en-US"/>
        </w:rPr>
        <w:t>McLoughlin</w:t>
      </w:r>
      <w:r>
        <w:rPr>
          <w:rFonts w:ascii="Arial" w:hAnsi="Arial" w:cs="Arial"/>
          <w:sz w:val="24"/>
          <w:szCs w:val="24"/>
          <w:lang w:val="en-US"/>
        </w:rPr>
        <w:t xml:space="preserve"> that there were two separate Quest entities and therefore </w:t>
      </w:r>
      <w:r w:rsidR="00CD5C8F">
        <w:rPr>
          <w:rFonts w:ascii="Arial" w:hAnsi="Arial" w:cs="Arial"/>
          <w:sz w:val="24"/>
          <w:szCs w:val="24"/>
          <w:lang w:val="en-US"/>
        </w:rPr>
        <w:t>McLoughlin</w:t>
      </w:r>
      <w:r>
        <w:rPr>
          <w:rFonts w:ascii="Arial" w:hAnsi="Arial" w:cs="Arial"/>
          <w:sz w:val="24"/>
          <w:szCs w:val="24"/>
          <w:lang w:val="en-US"/>
        </w:rPr>
        <w:t xml:space="preserve"> would have had no reason to select a specific agreement within which to put the refund clause. Once Le Roux’s evidence is rejected, he argued, the court will be left with circumstantial evidence. Relying on the undertaking by Quest Retail and Quest Petroleum in response to the Norma</w:t>
      </w:r>
      <w:r w:rsidR="003C3428">
        <w:rPr>
          <w:rFonts w:ascii="Arial" w:hAnsi="Arial" w:cs="Arial"/>
          <w:sz w:val="24"/>
          <w:szCs w:val="24"/>
          <w:lang w:val="en-US"/>
        </w:rPr>
        <w:t>n</w:t>
      </w:r>
      <w:r>
        <w:rPr>
          <w:rFonts w:ascii="Arial" w:hAnsi="Arial" w:cs="Arial"/>
          <w:sz w:val="24"/>
          <w:szCs w:val="24"/>
          <w:lang w:val="en-US"/>
        </w:rPr>
        <w:t xml:space="preserve"> Le Grange threat of his intended objection to the licence application, this court must infer that that </w:t>
      </w:r>
      <w:r>
        <w:rPr>
          <w:rFonts w:ascii="Arial" w:hAnsi="Arial" w:cs="Arial"/>
          <w:sz w:val="24"/>
          <w:szCs w:val="24"/>
          <w:lang w:val="en-US"/>
        </w:rPr>
        <w:lastRenderedPageBreak/>
        <w:t>undertaking by the</w:t>
      </w:r>
      <w:r w:rsidR="003C3428">
        <w:rPr>
          <w:rFonts w:ascii="Arial" w:hAnsi="Arial" w:cs="Arial"/>
          <w:sz w:val="24"/>
          <w:szCs w:val="24"/>
          <w:lang w:val="en-US"/>
        </w:rPr>
        <w:t xml:space="preserve"> </w:t>
      </w:r>
      <w:r>
        <w:rPr>
          <w:rFonts w:ascii="Arial" w:hAnsi="Arial" w:cs="Arial"/>
          <w:sz w:val="24"/>
          <w:szCs w:val="24"/>
          <w:lang w:val="en-US"/>
        </w:rPr>
        <w:t xml:space="preserve">exercise of inferential reasoning, would lead to the conclusion that Quest Retail would have consented to the tacit term. </w:t>
      </w:r>
    </w:p>
    <w:p w14:paraId="37F6AC38" w14:textId="0866F935" w:rsidR="00CD50BE" w:rsidRDefault="00CD50BE" w:rsidP="00CD50BE">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1B6DF0">
        <w:rPr>
          <w:rFonts w:ascii="Arial" w:hAnsi="Arial" w:cs="Arial"/>
          <w:sz w:val="24"/>
          <w:szCs w:val="24"/>
          <w:lang w:val="en-US"/>
        </w:rPr>
        <w:t>45</w:t>
      </w:r>
      <w:r>
        <w:rPr>
          <w:rFonts w:ascii="Arial" w:hAnsi="Arial" w:cs="Arial"/>
          <w:sz w:val="24"/>
          <w:szCs w:val="24"/>
          <w:lang w:val="en-US"/>
        </w:rPr>
        <w:t xml:space="preserve">] </w:t>
      </w:r>
      <w:r>
        <w:rPr>
          <w:rFonts w:ascii="Arial" w:hAnsi="Arial" w:cs="Arial"/>
          <w:sz w:val="24"/>
          <w:szCs w:val="24"/>
          <w:lang w:val="en-US"/>
        </w:rPr>
        <w:tab/>
        <w:t xml:space="preserve">He submitted that the court in giving true meaning to paragraph 7 of Exhibit “A” dated 17 July 2018 must adopt the broader context in its approach as was adopted in the </w:t>
      </w:r>
      <w:r w:rsidRPr="00F47932">
        <w:rPr>
          <w:rFonts w:ascii="Arial" w:hAnsi="Arial" w:cs="Arial"/>
          <w:b/>
          <w:bCs/>
          <w:i/>
          <w:iCs/>
          <w:sz w:val="24"/>
          <w:szCs w:val="24"/>
          <w:lang w:val="en-US"/>
        </w:rPr>
        <w:t>Natal Joint Municipal Pension Fund v Endumeni Municipality</w:t>
      </w:r>
      <w:r>
        <w:rPr>
          <w:rStyle w:val="FootnoteReference"/>
          <w:rFonts w:ascii="Arial" w:hAnsi="Arial" w:cs="Arial"/>
          <w:sz w:val="24"/>
          <w:szCs w:val="24"/>
          <w:lang w:val="en-US"/>
        </w:rPr>
        <w:footnoteReference w:id="2"/>
      </w:r>
      <w:r>
        <w:rPr>
          <w:rFonts w:ascii="Arial" w:hAnsi="Arial" w:cs="Arial"/>
          <w:b/>
          <w:bCs/>
          <w:i/>
          <w:iCs/>
          <w:sz w:val="24"/>
          <w:szCs w:val="24"/>
          <w:lang w:val="en-US"/>
        </w:rPr>
        <w:t>.</w:t>
      </w:r>
      <w:r>
        <w:rPr>
          <w:rFonts w:ascii="Arial" w:hAnsi="Arial" w:cs="Arial"/>
          <w:b/>
          <w:bCs/>
          <w:sz w:val="24"/>
          <w:szCs w:val="24"/>
          <w:lang w:val="en-US"/>
        </w:rPr>
        <w:t xml:space="preserve"> </w:t>
      </w:r>
      <w:r>
        <w:rPr>
          <w:rFonts w:ascii="Arial" w:hAnsi="Arial" w:cs="Arial"/>
          <w:sz w:val="24"/>
          <w:szCs w:val="24"/>
          <w:lang w:val="en-US"/>
        </w:rPr>
        <w:t xml:space="preserve">He submitted that Le Roux was not a good witness. He was evasive and obfuscatory because he could not even explain to the court what right to trade meant although he had used the term in the contract which he drafted. He submitted that the tacit term made absolute business sense. </w:t>
      </w:r>
      <w:r w:rsidR="002D031F">
        <w:rPr>
          <w:rFonts w:ascii="Arial" w:hAnsi="Arial" w:cs="Arial"/>
          <w:sz w:val="24"/>
          <w:szCs w:val="24"/>
          <w:lang w:val="en-US"/>
        </w:rPr>
        <w:t xml:space="preserve">He submitted that </w:t>
      </w:r>
      <w:r>
        <w:rPr>
          <w:rFonts w:ascii="Arial" w:hAnsi="Arial" w:cs="Arial"/>
          <w:sz w:val="24"/>
          <w:szCs w:val="24"/>
          <w:lang w:val="en-US"/>
        </w:rPr>
        <w:t>Buntibiz would have answered the innocent bystander question positively</w:t>
      </w:r>
      <w:r w:rsidR="002D031F">
        <w:rPr>
          <w:rFonts w:ascii="Arial" w:hAnsi="Arial" w:cs="Arial"/>
          <w:sz w:val="24"/>
          <w:szCs w:val="24"/>
          <w:lang w:val="en-US"/>
        </w:rPr>
        <w:t>.</w:t>
      </w:r>
      <w:r w:rsidR="002C4E8D">
        <w:rPr>
          <w:rFonts w:ascii="Arial" w:hAnsi="Arial" w:cs="Arial"/>
          <w:sz w:val="24"/>
          <w:szCs w:val="24"/>
          <w:lang w:val="en-US"/>
        </w:rPr>
        <w:t xml:space="preserve"> </w:t>
      </w:r>
      <w:r w:rsidR="002D031F">
        <w:rPr>
          <w:rFonts w:ascii="Arial" w:hAnsi="Arial" w:cs="Arial"/>
          <w:sz w:val="24"/>
          <w:szCs w:val="24"/>
          <w:lang w:val="en-US"/>
        </w:rPr>
        <w:t>H</w:t>
      </w:r>
      <w:r>
        <w:rPr>
          <w:rFonts w:ascii="Arial" w:hAnsi="Arial" w:cs="Arial"/>
          <w:sz w:val="24"/>
          <w:szCs w:val="24"/>
          <w:lang w:val="en-US"/>
        </w:rPr>
        <w:t xml:space="preserve">e also submitted that the tacit term should be imported and incorporated </w:t>
      </w:r>
      <w:r w:rsidR="003C3428">
        <w:rPr>
          <w:rFonts w:ascii="Arial" w:hAnsi="Arial" w:cs="Arial"/>
          <w:sz w:val="24"/>
          <w:szCs w:val="24"/>
          <w:lang w:val="en-US"/>
        </w:rPr>
        <w:t>in</w:t>
      </w:r>
      <w:r>
        <w:rPr>
          <w:rFonts w:ascii="Arial" w:hAnsi="Arial" w:cs="Arial"/>
          <w:sz w:val="24"/>
          <w:szCs w:val="24"/>
          <w:lang w:val="en-US"/>
        </w:rPr>
        <w:t>to the sale agreement.</w:t>
      </w:r>
    </w:p>
    <w:p w14:paraId="0D39B6BD" w14:textId="025FB471" w:rsidR="00CD50BE" w:rsidRDefault="00CD50BE" w:rsidP="00CD50BE">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1B6DF0">
        <w:rPr>
          <w:rFonts w:ascii="Arial" w:hAnsi="Arial" w:cs="Arial"/>
          <w:sz w:val="24"/>
          <w:szCs w:val="24"/>
          <w:lang w:val="en-US"/>
        </w:rPr>
        <w:t>46</w:t>
      </w:r>
      <w:r>
        <w:rPr>
          <w:rFonts w:ascii="Arial" w:hAnsi="Arial" w:cs="Arial"/>
          <w:sz w:val="24"/>
          <w:szCs w:val="24"/>
          <w:lang w:val="en-US"/>
        </w:rPr>
        <w:t>]</w:t>
      </w:r>
      <w:r>
        <w:rPr>
          <w:rFonts w:ascii="Arial" w:hAnsi="Arial" w:cs="Arial"/>
          <w:sz w:val="24"/>
          <w:szCs w:val="24"/>
          <w:lang w:val="en-US"/>
        </w:rPr>
        <w:tab/>
        <w:t>Dealing with the resolutive condition he submit</w:t>
      </w:r>
      <w:r w:rsidR="003C3428">
        <w:rPr>
          <w:rFonts w:ascii="Arial" w:hAnsi="Arial" w:cs="Arial"/>
          <w:sz w:val="24"/>
          <w:szCs w:val="24"/>
          <w:lang w:val="en-US"/>
        </w:rPr>
        <w:t>ted</w:t>
      </w:r>
      <w:r>
        <w:rPr>
          <w:rFonts w:ascii="Arial" w:hAnsi="Arial" w:cs="Arial"/>
          <w:sz w:val="24"/>
          <w:szCs w:val="24"/>
          <w:lang w:val="en-US"/>
        </w:rPr>
        <w:t xml:space="preserve"> that the Liquid Fuel Charter did not have the force of law. He submitted that the 25% was applied in December 2019. The resolutive condition does not postpone the operation of the obligation meaning that the contract comes into effect immediately but will terminate if some future uncertain event transpired. Relying on </w:t>
      </w:r>
      <w:r w:rsidR="003C3428">
        <w:rPr>
          <w:rFonts w:ascii="Arial" w:hAnsi="Arial" w:cs="Arial"/>
          <w:b/>
          <w:bCs/>
          <w:i/>
          <w:iCs/>
          <w:sz w:val="24"/>
          <w:szCs w:val="24"/>
          <w:lang w:val="en-US"/>
        </w:rPr>
        <w:t>V</w:t>
      </w:r>
      <w:r>
        <w:rPr>
          <w:rFonts w:ascii="Arial" w:hAnsi="Arial" w:cs="Arial"/>
          <w:b/>
          <w:bCs/>
          <w:i/>
          <w:iCs/>
          <w:sz w:val="24"/>
          <w:szCs w:val="24"/>
          <w:lang w:val="en-US"/>
        </w:rPr>
        <w:t>an der Merwe et al</w:t>
      </w:r>
      <w:r>
        <w:rPr>
          <w:rStyle w:val="FootnoteReference"/>
          <w:rFonts w:ascii="Arial" w:hAnsi="Arial" w:cs="Arial"/>
          <w:b/>
          <w:bCs/>
          <w:i/>
          <w:iCs/>
          <w:sz w:val="24"/>
          <w:szCs w:val="24"/>
          <w:lang w:val="en-US"/>
        </w:rPr>
        <w:footnoteReference w:id="3"/>
      </w:r>
      <w:r>
        <w:rPr>
          <w:rFonts w:ascii="Arial" w:hAnsi="Arial" w:cs="Arial"/>
          <w:sz w:val="24"/>
          <w:szCs w:val="24"/>
          <w:lang w:val="en-US"/>
        </w:rPr>
        <w:t xml:space="preserve"> he submitted that the adoption of fictional fulfilment does not mean that the contracting parties need to go out of their way to </w:t>
      </w:r>
      <w:r w:rsidR="005301C6">
        <w:rPr>
          <w:rFonts w:ascii="Arial" w:hAnsi="Arial" w:cs="Arial"/>
          <w:sz w:val="24"/>
          <w:szCs w:val="24"/>
          <w:lang w:val="en-US"/>
        </w:rPr>
        <w:t>interfere with</w:t>
      </w:r>
      <w:r w:rsidR="003C3428">
        <w:rPr>
          <w:rFonts w:ascii="Arial" w:hAnsi="Arial" w:cs="Arial"/>
          <w:sz w:val="24"/>
          <w:szCs w:val="24"/>
          <w:lang w:val="en-US"/>
        </w:rPr>
        <w:t xml:space="preserve"> </w:t>
      </w:r>
      <w:r>
        <w:rPr>
          <w:rFonts w:ascii="Arial" w:hAnsi="Arial" w:cs="Arial"/>
          <w:sz w:val="24"/>
          <w:szCs w:val="24"/>
          <w:lang w:val="en-US"/>
        </w:rPr>
        <w:t>the normal c</w:t>
      </w:r>
      <w:r w:rsidR="003C3428">
        <w:rPr>
          <w:rFonts w:ascii="Arial" w:hAnsi="Arial" w:cs="Arial"/>
          <w:sz w:val="24"/>
          <w:szCs w:val="24"/>
          <w:lang w:val="en-US"/>
        </w:rPr>
        <w:t>ourse</w:t>
      </w:r>
      <w:r>
        <w:rPr>
          <w:rFonts w:ascii="Arial" w:hAnsi="Arial" w:cs="Arial"/>
          <w:sz w:val="24"/>
          <w:szCs w:val="24"/>
          <w:lang w:val="en-US"/>
        </w:rPr>
        <w:t xml:space="preserve"> of events. He accepted that if </w:t>
      </w:r>
      <w:r w:rsidR="003C3428">
        <w:rPr>
          <w:rFonts w:ascii="Arial" w:hAnsi="Arial" w:cs="Arial"/>
          <w:sz w:val="24"/>
          <w:szCs w:val="24"/>
          <w:lang w:val="en-US"/>
        </w:rPr>
        <w:t>W</w:t>
      </w:r>
      <w:r>
        <w:rPr>
          <w:rFonts w:ascii="Arial" w:hAnsi="Arial" w:cs="Arial"/>
          <w:sz w:val="24"/>
          <w:szCs w:val="24"/>
          <w:lang w:val="en-US"/>
        </w:rPr>
        <w:t xml:space="preserve">estern </w:t>
      </w:r>
      <w:r w:rsidR="003C3428">
        <w:rPr>
          <w:rFonts w:ascii="Arial" w:hAnsi="Arial" w:cs="Arial"/>
          <w:sz w:val="24"/>
          <w:szCs w:val="24"/>
          <w:lang w:val="en-US"/>
        </w:rPr>
        <w:t>Gruppe</w:t>
      </w:r>
      <w:r>
        <w:rPr>
          <w:rFonts w:ascii="Arial" w:hAnsi="Arial" w:cs="Arial"/>
          <w:sz w:val="24"/>
          <w:szCs w:val="24"/>
          <w:lang w:val="en-US"/>
        </w:rPr>
        <w:t xml:space="preserve"> who held 100% of shares in Buntibiz had sold 25% of those shares to an HDSA</w:t>
      </w:r>
      <w:r w:rsidR="002D031F">
        <w:rPr>
          <w:rFonts w:ascii="Arial" w:hAnsi="Arial" w:cs="Arial"/>
          <w:sz w:val="24"/>
          <w:szCs w:val="24"/>
          <w:lang w:val="en-US"/>
        </w:rPr>
        <w:t xml:space="preserve">, </w:t>
      </w:r>
      <w:r>
        <w:rPr>
          <w:rFonts w:ascii="Arial" w:hAnsi="Arial" w:cs="Arial"/>
          <w:sz w:val="24"/>
          <w:szCs w:val="24"/>
          <w:lang w:val="en-US"/>
        </w:rPr>
        <w:t xml:space="preserve">Buntibiz would have received its retail licence. He submitted that an active restructuring of the holding company would amount to an interference in the normal flow of events. </w:t>
      </w:r>
      <w:r>
        <w:rPr>
          <w:rFonts w:ascii="Arial" w:hAnsi="Arial" w:cs="Arial"/>
          <w:sz w:val="24"/>
          <w:szCs w:val="24"/>
          <w:lang w:val="en-US"/>
        </w:rPr>
        <w:lastRenderedPageBreak/>
        <w:t>In this regard, th</w:t>
      </w:r>
      <w:r w:rsidR="00AB3AC2">
        <w:rPr>
          <w:rFonts w:ascii="Arial" w:hAnsi="Arial" w:cs="Arial"/>
          <w:sz w:val="24"/>
          <w:szCs w:val="24"/>
          <w:lang w:val="en-US"/>
        </w:rPr>
        <w:t xml:space="preserve">e </w:t>
      </w:r>
      <w:r>
        <w:rPr>
          <w:rFonts w:ascii="Arial" w:hAnsi="Arial" w:cs="Arial"/>
          <w:sz w:val="24"/>
          <w:szCs w:val="24"/>
          <w:lang w:val="en-US"/>
        </w:rPr>
        <w:t>restructuring of the company takes the company out of the realm of fictional fulfilment. He further argue</w:t>
      </w:r>
      <w:r w:rsidR="00AB3AC2">
        <w:rPr>
          <w:rFonts w:ascii="Arial" w:hAnsi="Arial" w:cs="Arial"/>
          <w:sz w:val="24"/>
          <w:szCs w:val="24"/>
          <w:lang w:val="en-US"/>
        </w:rPr>
        <w:t>d</w:t>
      </w:r>
      <w:r>
        <w:rPr>
          <w:rFonts w:ascii="Arial" w:hAnsi="Arial" w:cs="Arial"/>
          <w:sz w:val="24"/>
          <w:szCs w:val="24"/>
          <w:lang w:val="en-US"/>
        </w:rPr>
        <w:t xml:space="preserve"> that the adoption of fictional fulfilment cannot be used to keep a contract in place in order to countenance an unlawful agreement. In this regard, he relied on </w:t>
      </w:r>
      <w:r>
        <w:rPr>
          <w:rFonts w:ascii="Arial" w:hAnsi="Arial" w:cs="Arial"/>
          <w:b/>
          <w:bCs/>
          <w:i/>
          <w:iCs/>
          <w:sz w:val="24"/>
          <w:szCs w:val="24"/>
          <w:lang w:val="en-US"/>
        </w:rPr>
        <w:t>Premier of the Free State v Firec</w:t>
      </w:r>
      <w:r w:rsidR="00CD5C8F">
        <w:rPr>
          <w:rFonts w:ascii="Arial" w:hAnsi="Arial" w:cs="Arial"/>
          <w:b/>
          <w:bCs/>
          <w:i/>
          <w:iCs/>
          <w:sz w:val="24"/>
          <w:szCs w:val="24"/>
          <w:lang w:val="en-US"/>
        </w:rPr>
        <w:t>hem</w:t>
      </w:r>
      <w:r>
        <w:rPr>
          <w:rFonts w:ascii="Arial" w:hAnsi="Arial" w:cs="Arial"/>
          <w:b/>
          <w:bCs/>
          <w:i/>
          <w:iCs/>
          <w:sz w:val="24"/>
          <w:szCs w:val="24"/>
          <w:lang w:val="en-US"/>
        </w:rPr>
        <w:t xml:space="preserve"> Free State (Pty) Ltd</w:t>
      </w:r>
      <w:r>
        <w:rPr>
          <w:rStyle w:val="FootnoteReference"/>
          <w:rFonts w:ascii="Arial" w:hAnsi="Arial" w:cs="Arial"/>
          <w:b/>
          <w:bCs/>
          <w:i/>
          <w:iCs/>
          <w:sz w:val="24"/>
          <w:szCs w:val="24"/>
          <w:lang w:val="en-US"/>
        </w:rPr>
        <w:footnoteReference w:id="4"/>
      </w:r>
      <w:r>
        <w:rPr>
          <w:rFonts w:ascii="Arial" w:hAnsi="Arial" w:cs="Arial"/>
          <w:sz w:val="24"/>
          <w:szCs w:val="24"/>
          <w:lang w:val="en-US"/>
        </w:rPr>
        <w:t xml:space="preserve">. </w:t>
      </w:r>
    </w:p>
    <w:p w14:paraId="7A2434B1" w14:textId="7BDD108C" w:rsidR="00CD50BE" w:rsidRDefault="00CD50BE" w:rsidP="00CD50BE">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1B6DF0">
        <w:rPr>
          <w:rFonts w:ascii="Arial" w:hAnsi="Arial" w:cs="Arial"/>
          <w:sz w:val="24"/>
          <w:szCs w:val="24"/>
          <w:lang w:val="en-US"/>
        </w:rPr>
        <w:t>47</w:t>
      </w:r>
      <w:r>
        <w:rPr>
          <w:rFonts w:ascii="Arial" w:hAnsi="Arial" w:cs="Arial"/>
          <w:sz w:val="24"/>
          <w:szCs w:val="24"/>
          <w:lang w:val="en-US"/>
        </w:rPr>
        <w:t>]</w:t>
      </w:r>
      <w:r>
        <w:rPr>
          <w:rFonts w:ascii="Arial" w:hAnsi="Arial" w:cs="Arial"/>
          <w:sz w:val="24"/>
          <w:szCs w:val="24"/>
          <w:lang w:val="en-US"/>
        </w:rPr>
        <w:tab/>
      </w:r>
      <w:r w:rsidR="00AB3AC2">
        <w:rPr>
          <w:rFonts w:ascii="Arial" w:hAnsi="Arial" w:cs="Arial"/>
          <w:sz w:val="24"/>
          <w:szCs w:val="24"/>
          <w:lang w:val="en-US"/>
        </w:rPr>
        <w:t>In addressing the</w:t>
      </w:r>
      <w:r>
        <w:rPr>
          <w:rFonts w:ascii="Arial" w:hAnsi="Arial" w:cs="Arial"/>
          <w:sz w:val="24"/>
          <w:szCs w:val="24"/>
          <w:lang w:val="en-US"/>
        </w:rPr>
        <w:t xml:space="preserve"> restitution issue, he submitted </w:t>
      </w:r>
      <w:r w:rsidR="005301C6">
        <w:rPr>
          <w:rFonts w:ascii="Arial" w:hAnsi="Arial" w:cs="Arial"/>
          <w:sz w:val="24"/>
          <w:szCs w:val="24"/>
          <w:lang w:val="en-US"/>
        </w:rPr>
        <w:t>that, Quest</w:t>
      </w:r>
      <w:r>
        <w:rPr>
          <w:rFonts w:ascii="Arial" w:hAnsi="Arial" w:cs="Arial"/>
          <w:sz w:val="24"/>
          <w:szCs w:val="24"/>
          <w:lang w:val="en-US"/>
        </w:rPr>
        <w:t xml:space="preserve"> Retail</w:t>
      </w:r>
      <w:r w:rsidR="00AB3AC2">
        <w:rPr>
          <w:rFonts w:ascii="Arial" w:hAnsi="Arial" w:cs="Arial"/>
          <w:sz w:val="24"/>
          <w:szCs w:val="24"/>
          <w:lang w:val="en-US"/>
        </w:rPr>
        <w:t xml:space="preserve">’s </w:t>
      </w:r>
      <w:r>
        <w:rPr>
          <w:rFonts w:ascii="Arial" w:hAnsi="Arial" w:cs="Arial"/>
          <w:sz w:val="24"/>
          <w:szCs w:val="24"/>
          <w:lang w:val="en-US"/>
        </w:rPr>
        <w:t xml:space="preserve">submission that if the tacit term is established and the resolutive condition is met Quest Retail has no obligation to make restitution until Buntibiz also makes restitution. He submitted that Quest Retail has not communicated to Buntibiz why it alleged non-performance. In this regard, he relied on </w:t>
      </w:r>
      <w:r w:rsidRPr="000762BB">
        <w:rPr>
          <w:rFonts w:ascii="Arial" w:hAnsi="Arial" w:cs="Arial"/>
          <w:b/>
          <w:bCs/>
          <w:i/>
          <w:iCs/>
          <w:sz w:val="24"/>
          <w:szCs w:val="24"/>
          <w:lang w:val="en-US"/>
        </w:rPr>
        <w:t>Tel</w:t>
      </w:r>
      <w:r w:rsidR="00AB3AC2">
        <w:rPr>
          <w:rFonts w:ascii="Arial" w:hAnsi="Arial" w:cs="Arial"/>
          <w:b/>
          <w:bCs/>
          <w:i/>
          <w:iCs/>
          <w:sz w:val="24"/>
          <w:szCs w:val="24"/>
          <w:lang w:val="en-US"/>
        </w:rPr>
        <w:t>c</w:t>
      </w:r>
      <w:r w:rsidRPr="000762BB">
        <w:rPr>
          <w:rFonts w:ascii="Arial" w:hAnsi="Arial" w:cs="Arial"/>
          <w:b/>
          <w:bCs/>
          <w:i/>
          <w:iCs/>
          <w:sz w:val="24"/>
          <w:szCs w:val="24"/>
          <w:lang w:val="en-US"/>
        </w:rPr>
        <w:t>o</w:t>
      </w:r>
      <w:r w:rsidR="00CD5C8F">
        <w:rPr>
          <w:rFonts w:ascii="Arial" w:hAnsi="Arial" w:cs="Arial"/>
          <w:b/>
          <w:bCs/>
          <w:i/>
          <w:iCs/>
          <w:sz w:val="24"/>
          <w:szCs w:val="24"/>
          <w:lang w:val="en-US"/>
        </w:rPr>
        <w:t>r</w:t>
      </w:r>
      <w:r w:rsidRPr="000762BB">
        <w:rPr>
          <w:rFonts w:ascii="Arial" w:hAnsi="Arial" w:cs="Arial"/>
          <w:b/>
          <w:bCs/>
          <w:i/>
          <w:iCs/>
          <w:sz w:val="24"/>
          <w:szCs w:val="24"/>
          <w:lang w:val="en-US"/>
        </w:rPr>
        <w:t>dia Technologies Inc. v Telkom</w:t>
      </w:r>
      <w:r w:rsidR="00CD5C8F">
        <w:rPr>
          <w:rFonts w:ascii="Arial" w:hAnsi="Arial" w:cs="Arial"/>
          <w:b/>
          <w:bCs/>
          <w:i/>
          <w:iCs/>
          <w:sz w:val="24"/>
          <w:szCs w:val="24"/>
          <w:lang w:val="en-US"/>
        </w:rPr>
        <w:t xml:space="preserve"> </w:t>
      </w:r>
      <w:r w:rsidRPr="000762BB">
        <w:rPr>
          <w:rFonts w:ascii="Arial" w:hAnsi="Arial" w:cs="Arial"/>
          <w:b/>
          <w:bCs/>
          <w:i/>
          <w:iCs/>
          <w:sz w:val="24"/>
          <w:szCs w:val="24"/>
          <w:lang w:val="en-US"/>
        </w:rPr>
        <w:t>SA Ltd</w:t>
      </w:r>
      <w:r>
        <w:rPr>
          <w:rStyle w:val="FootnoteReference"/>
          <w:rFonts w:ascii="Arial" w:hAnsi="Arial" w:cs="Arial"/>
          <w:sz w:val="24"/>
          <w:szCs w:val="24"/>
          <w:lang w:val="en-US"/>
        </w:rPr>
        <w:footnoteReference w:id="5"/>
      </w:r>
      <w:r>
        <w:rPr>
          <w:rFonts w:ascii="Arial" w:hAnsi="Arial" w:cs="Arial"/>
          <w:sz w:val="24"/>
          <w:szCs w:val="24"/>
          <w:lang w:val="en-US"/>
        </w:rPr>
        <w:t>. On these bas</w:t>
      </w:r>
      <w:r w:rsidR="00AB3AC2">
        <w:rPr>
          <w:rFonts w:ascii="Arial" w:hAnsi="Arial" w:cs="Arial"/>
          <w:sz w:val="24"/>
          <w:szCs w:val="24"/>
          <w:lang w:val="en-US"/>
        </w:rPr>
        <w:t>e</w:t>
      </w:r>
      <w:r>
        <w:rPr>
          <w:rFonts w:ascii="Arial" w:hAnsi="Arial" w:cs="Arial"/>
          <w:sz w:val="24"/>
          <w:szCs w:val="24"/>
          <w:lang w:val="en-US"/>
        </w:rPr>
        <w:t xml:space="preserve">s, he submitted that the court should find for </w:t>
      </w:r>
      <w:r w:rsidR="00AB3AC2">
        <w:rPr>
          <w:rFonts w:ascii="Arial" w:hAnsi="Arial" w:cs="Arial"/>
          <w:sz w:val="24"/>
          <w:szCs w:val="24"/>
          <w:lang w:val="en-US"/>
        </w:rPr>
        <w:t xml:space="preserve">Buntibizz </w:t>
      </w:r>
      <w:r>
        <w:rPr>
          <w:rFonts w:ascii="Arial" w:hAnsi="Arial" w:cs="Arial"/>
          <w:sz w:val="24"/>
          <w:szCs w:val="24"/>
          <w:lang w:val="en-US"/>
        </w:rPr>
        <w:t>with costs including reserved costs relating to the absolution from the instance application.</w:t>
      </w:r>
    </w:p>
    <w:p w14:paraId="5A0667CE" w14:textId="4948443D" w:rsidR="00CD50BE" w:rsidRDefault="00CD50BE" w:rsidP="00CD50BE">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1B6DF0">
        <w:rPr>
          <w:rFonts w:ascii="Arial" w:hAnsi="Arial" w:cs="Arial"/>
          <w:sz w:val="24"/>
          <w:szCs w:val="24"/>
          <w:lang w:val="en-US"/>
        </w:rPr>
        <w:t>48</w:t>
      </w:r>
      <w:r>
        <w:rPr>
          <w:rFonts w:ascii="Arial" w:hAnsi="Arial" w:cs="Arial"/>
          <w:sz w:val="24"/>
          <w:szCs w:val="24"/>
          <w:lang w:val="en-US"/>
        </w:rPr>
        <w:t>]</w:t>
      </w:r>
      <w:r>
        <w:rPr>
          <w:rFonts w:ascii="Arial" w:hAnsi="Arial" w:cs="Arial"/>
          <w:sz w:val="24"/>
          <w:szCs w:val="24"/>
          <w:lang w:val="en-US"/>
        </w:rPr>
        <w:tab/>
        <w:t xml:space="preserve">Mr </w:t>
      </w:r>
      <w:r w:rsidR="005301C6">
        <w:rPr>
          <w:rFonts w:ascii="Arial" w:hAnsi="Arial" w:cs="Arial"/>
          <w:sz w:val="24"/>
          <w:szCs w:val="24"/>
          <w:lang w:val="en-US"/>
        </w:rPr>
        <w:t>Niekerk, on</w:t>
      </w:r>
      <w:r>
        <w:rPr>
          <w:rFonts w:ascii="Arial" w:hAnsi="Arial" w:cs="Arial"/>
          <w:sz w:val="24"/>
          <w:szCs w:val="24"/>
          <w:lang w:val="en-US"/>
        </w:rPr>
        <w:t xml:space="preserve"> the other </w:t>
      </w:r>
      <w:r w:rsidR="00B370EE">
        <w:rPr>
          <w:rFonts w:ascii="Arial" w:hAnsi="Arial" w:cs="Arial"/>
          <w:sz w:val="24"/>
          <w:szCs w:val="24"/>
          <w:lang w:val="en-US"/>
        </w:rPr>
        <w:t>hand,</w:t>
      </w:r>
      <w:r w:rsidR="00AB3AC2">
        <w:rPr>
          <w:rFonts w:ascii="Arial" w:hAnsi="Arial" w:cs="Arial"/>
          <w:sz w:val="24"/>
          <w:szCs w:val="24"/>
          <w:lang w:val="en-US"/>
        </w:rPr>
        <w:t xml:space="preserve"> </w:t>
      </w:r>
      <w:r>
        <w:rPr>
          <w:rFonts w:ascii="Arial" w:hAnsi="Arial" w:cs="Arial"/>
          <w:sz w:val="24"/>
          <w:szCs w:val="24"/>
          <w:lang w:val="en-US"/>
        </w:rPr>
        <w:t xml:space="preserve">submitted that a tacit term cannot be imported into any contract where the parties applied their minds to that contract. In this regard, he referred the court to </w:t>
      </w:r>
      <w:r>
        <w:rPr>
          <w:rFonts w:ascii="Arial" w:hAnsi="Arial" w:cs="Arial"/>
          <w:b/>
          <w:bCs/>
          <w:i/>
          <w:iCs/>
          <w:sz w:val="24"/>
          <w:szCs w:val="24"/>
          <w:lang w:val="en-US"/>
        </w:rPr>
        <w:t>Robin v Guarantee Life Assurance Company Ltd</w:t>
      </w:r>
      <w:r>
        <w:rPr>
          <w:rStyle w:val="FootnoteReference"/>
          <w:rFonts w:ascii="Arial" w:hAnsi="Arial" w:cs="Arial"/>
          <w:b/>
          <w:bCs/>
          <w:i/>
          <w:iCs/>
          <w:sz w:val="24"/>
          <w:szCs w:val="24"/>
          <w:lang w:val="en-US"/>
        </w:rPr>
        <w:footnoteReference w:id="6"/>
      </w:r>
      <w:r>
        <w:rPr>
          <w:rFonts w:ascii="Arial" w:hAnsi="Arial" w:cs="Arial"/>
          <w:b/>
          <w:bCs/>
          <w:i/>
          <w:iCs/>
          <w:sz w:val="24"/>
          <w:szCs w:val="24"/>
          <w:lang w:val="en-US"/>
        </w:rPr>
        <w:t xml:space="preserve">. </w:t>
      </w:r>
      <w:r>
        <w:rPr>
          <w:rFonts w:ascii="Arial" w:hAnsi="Arial" w:cs="Arial"/>
          <w:sz w:val="24"/>
          <w:szCs w:val="24"/>
          <w:lang w:val="en-US"/>
        </w:rPr>
        <w:t xml:space="preserve">He further submitted that there was deliberate intent on the part of Buntibiz not to fulfil the condition of the retail licence. He </w:t>
      </w:r>
      <w:r w:rsidR="00B370EE">
        <w:rPr>
          <w:rFonts w:ascii="Arial" w:hAnsi="Arial" w:cs="Arial"/>
          <w:sz w:val="24"/>
          <w:szCs w:val="24"/>
          <w:lang w:val="en-US"/>
        </w:rPr>
        <w:t>relied,</w:t>
      </w:r>
      <w:r w:rsidR="00AB3AC2">
        <w:rPr>
          <w:rFonts w:ascii="Arial" w:hAnsi="Arial" w:cs="Arial"/>
          <w:sz w:val="24"/>
          <w:szCs w:val="24"/>
          <w:lang w:val="en-US"/>
        </w:rPr>
        <w:t xml:space="preserve"> i</w:t>
      </w:r>
      <w:r>
        <w:rPr>
          <w:rFonts w:ascii="Arial" w:hAnsi="Arial" w:cs="Arial"/>
          <w:sz w:val="24"/>
          <w:szCs w:val="24"/>
          <w:lang w:val="en-US"/>
        </w:rPr>
        <w:t xml:space="preserve">n this </w:t>
      </w:r>
      <w:r w:rsidR="00B370EE">
        <w:rPr>
          <w:rFonts w:ascii="Arial" w:hAnsi="Arial" w:cs="Arial"/>
          <w:sz w:val="24"/>
          <w:szCs w:val="24"/>
          <w:lang w:val="en-US"/>
        </w:rPr>
        <w:t>regard,</w:t>
      </w:r>
      <w:r w:rsidR="00AB3AC2">
        <w:rPr>
          <w:rFonts w:ascii="Arial" w:hAnsi="Arial" w:cs="Arial"/>
          <w:sz w:val="24"/>
          <w:szCs w:val="24"/>
          <w:lang w:val="en-US"/>
        </w:rPr>
        <w:t xml:space="preserve"> </w:t>
      </w:r>
      <w:r>
        <w:rPr>
          <w:rFonts w:ascii="Arial" w:hAnsi="Arial" w:cs="Arial"/>
          <w:sz w:val="24"/>
          <w:szCs w:val="24"/>
          <w:lang w:val="en-US"/>
        </w:rPr>
        <w:t xml:space="preserve">on </w:t>
      </w:r>
      <w:r w:rsidRPr="002669CB">
        <w:rPr>
          <w:rFonts w:ascii="Arial" w:hAnsi="Arial" w:cs="Arial"/>
          <w:b/>
          <w:bCs/>
          <w:i/>
          <w:iCs/>
          <w:sz w:val="24"/>
          <w:szCs w:val="24"/>
          <w:lang w:val="en-US"/>
        </w:rPr>
        <w:t>Lekup Prop Company v Wright</w:t>
      </w:r>
      <w:r>
        <w:rPr>
          <w:rStyle w:val="FootnoteReference"/>
          <w:rFonts w:ascii="Arial" w:hAnsi="Arial" w:cs="Arial"/>
          <w:sz w:val="24"/>
          <w:szCs w:val="24"/>
          <w:lang w:val="en-US"/>
        </w:rPr>
        <w:footnoteReference w:id="7"/>
      </w:r>
      <w:r>
        <w:rPr>
          <w:rFonts w:ascii="Arial" w:hAnsi="Arial" w:cs="Arial"/>
          <w:sz w:val="24"/>
          <w:szCs w:val="24"/>
          <w:lang w:val="en-US"/>
        </w:rPr>
        <w:t xml:space="preserve">. He contended that on the evidence it is clear that </w:t>
      </w:r>
      <w:r w:rsidR="00CD5C8F">
        <w:rPr>
          <w:rFonts w:ascii="Arial" w:hAnsi="Arial" w:cs="Arial"/>
          <w:sz w:val="24"/>
          <w:szCs w:val="24"/>
          <w:lang w:val="en-US"/>
        </w:rPr>
        <w:t>McLoughlin</w:t>
      </w:r>
      <w:r>
        <w:rPr>
          <w:rFonts w:ascii="Arial" w:hAnsi="Arial" w:cs="Arial"/>
          <w:sz w:val="24"/>
          <w:szCs w:val="24"/>
          <w:lang w:val="en-US"/>
        </w:rPr>
        <w:t xml:space="preserve"> understood that the proposal to pay the R2.5 million was from Quest Petroleum and not from Quest Retail as expressly agreed between the parties. He submitted </w:t>
      </w:r>
      <w:r w:rsidR="00B370EE">
        <w:rPr>
          <w:rFonts w:ascii="Arial" w:hAnsi="Arial" w:cs="Arial"/>
          <w:sz w:val="24"/>
          <w:szCs w:val="24"/>
          <w:lang w:val="en-US"/>
        </w:rPr>
        <w:t>that, on</w:t>
      </w:r>
      <w:r>
        <w:rPr>
          <w:rFonts w:ascii="Arial" w:hAnsi="Arial" w:cs="Arial"/>
          <w:sz w:val="24"/>
          <w:szCs w:val="24"/>
          <w:lang w:val="en-US"/>
        </w:rPr>
        <w:t xml:space="preserve"> that basis alone, there would be no basis for this </w:t>
      </w:r>
      <w:r>
        <w:rPr>
          <w:rFonts w:ascii="Arial" w:hAnsi="Arial" w:cs="Arial"/>
          <w:sz w:val="24"/>
          <w:szCs w:val="24"/>
          <w:lang w:val="en-US"/>
        </w:rPr>
        <w:lastRenderedPageBreak/>
        <w:t xml:space="preserve">court to import a similar term already agreed to in the lease agreement into the </w:t>
      </w:r>
      <w:r w:rsidR="00AB3AC2">
        <w:rPr>
          <w:rFonts w:ascii="Arial" w:hAnsi="Arial" w:cs="Arial"/>
          <w:sz w:val="24"/>
          <w:szCs w:val="24"/>
          <w:lang w:val="en-US"/>
        </w:rPr>
        <w:t>sale</w:t>
      </w:r>
      <w:r>
        <w:rPr>
          <w:rFonts w:ascii="Arial" w:hAnsi="Arial" w:cs="Arial"/>
          <w:sz w:val="24"/>
          <w:szCs w:val="24"/>
          <w:lang w:val="en-US"/>
        </w:rPr>
        <w:t xml:space="preserve"> agreement.</w:t>
      </w:r>
    </w:p>
    <w:p w14:paraId="2C6AC258" w14:textId="57DD2295" w:rsidR="00CD5C8F" w:rsidRPr="002D031F" w:rsidRDefault="00CD50BE" w:rsidP="00CD5C8F">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8D261D">
        <w:rPr>
          <w:rFonts w:ascii="Arial" w:hAnsi="Arial" w:cs="Arial"/>
          <w:sz w:val="24"/>
          <w:szCs w:val="24"/>
          <w:lang w:val="en-US"/>
        </w:rPr>
        <w:t>4</w:t>
      </w:r>
      <w:r w:rsidR="001B6DF0">
        <w:rPr>
          <w:rFonts w:ascii="Arial" w:hAnsi="Arial" w:cs="Arial"/>
          <w:sz w:val="24"/>
          <w:szCs w:val="24"/>
          <w:lang w:val="en-US"/>
        </w:rPr>
        <w:t>9</w:t>
      </w:r>
      <w:r>
        <w:rPr>
          <w:rFonts w:ascii="Arial" w:hAnsi="Arial" w:cs="Arial"/>
          <w:sz w:val="24"/>
          <w:szCs w:val="24"/>
          <w:lang w:val="en-US"/>
        </w:rPr>
        <w:t>]</w:t>
      </w:r>
      <w:r>
        <w:rPr>
          <w:rFonts w:ascii="Arial" w:hAnsi="Arial" w:cs="Arial"/>
          <w:sz w:val="24"/>
          <w:szCs w:val="24"/>
          <w:lang w:val="en-US"/>
        </w:rPr>
        <w:tab/>
      </w:r>
      <w:r w:rsidR="00CD5C8F" w:rsidRPr="002D031F">
        <w:rPr>
          <w:rFonts w:ascii="Arial" w:hAnsi="Arial" w:cs="Arial"/>
          <w:sz w:val="24"/>
          <w:szCs w:val="24"/>
          <w:lang w:val="en-US"/>
        </w:rPr>
        <w:t xml:space="preserve">Mr Niekerk </w:t>
      </w:r>
      <w:r w:rsidR="002C4E8D" w:rsidRPr="002D031F">
        <w:rPr>
          <w:rFonts w:ascii="Arial" w:hAnsi="Arial" w:cs="Arial"/>
          <w:sz w:val="24"/>
          <w:szCs w:val="24"/>
          <w:lang w:val="en-US"/>
        </w:rPr>
        <w:t>referred to</w:t>
      </w:r>
      <w:r w:rsidR="00CD5C8F" w:rsidRPr="002D031F">
        <w:rPr>
          <w:rFonts w:ascii="Arial" w:hAnsi="Arial" w:cs="Arial"/>
          <w:sz w:val="24"/>
          <w:szCs w:val="24"/>
          <w:lang w:val="en-US"/>
        </w:rPr>
        <w:t xml:space="preserve"> </w:t>
      </w:r>
      <w:r w:rsidR="00CD5C8F" w:rsidRPr="002D031F">
        <w:rPr>
          <w:rFonts w:ascii="Arial" w:hAnsi="Arial" w:cs="Arial"/>
          <w:b/>
          <w:bCs/>
          <w:i/>
          <w:iCs/>
          <w:sz w:val="24"/>
          <w:szCs w:val="24"/>
          <w:lang w:val="en-US"/>
        </w:rPr>
        <w:t>City of Tshwane Metro v Brooklyn Edge</w:t>
      </w:r>
      <w:r w:rsidR="00CD5C8F" w:rsidRPr="002D031F">
        <w:rPr>
          <w:rStyle w:val="FootnoteReference"/>
          <w:rFonts w:ascii="Arial" w:hAnsi="Arial" w:cs="Arial"/>
          <w:b/>
          <w:bCs/>
          <w:i/>
          <w:iCs/>
          <w:sz w:val="24"/>
          <w:szCs w:val="24"/>
          <w:lang w:val="en-US"/>
        </w:rPr>
        <w:footnoteReference w:id="8"/>
      </w:r>
      <w:r w:rsidR="00CD5C8F" w:rsidRPr="002D031F">
        <w:rPr>
          <w:rFonts w:ascii="Arial" w:hAnsi="Arial" w:cs="Arial"/>
          <w:sz w:val="24"/>
          <w:szCs w:val="24"/>
          <w:lang w:val="en-US"/>
        </w:rPr>
        <w:t xml:space="preserve"> for the submission that the court must first look at the terms of the contract, the surrounding circumstances and the facts of the case. He argued that the court must find that clause 26 was put in the lease agreement only. He further contended that the sale agreement itself had a non-variation </w:t>
      </w:r>
      <w:r w:rsidR="002C4E8D" w:rsidRPr="002D031F">
        <w:rPr>
          <w:rFonts w:ascii="Arial" w:hAnsi="Arial" w:cs="Arial"/>
          <w:sz w:val="24"/>
          <w:szCs w:val="24"/>
          <w:lang w:val="en-US"/>
        </w:rPr>
        <w:t>clause.</w:t>
      </w:r>
      <w:r w:rsidR="00CD5C8F" w:rsidRPr="002D031F">
        <w:rPr>
          <w:rFonts w:ascii="Arial" w:hAnsi="Arial" w:cs="Arial"/>
          <w:sz w:val="24"/>
          <w:szCs w:val="24"/>
          <w:lang w:val="en-US"/>
        </w:rPr>
        <w:t xml:space="preserve"> If clause 26 were to be imported into the sale agreement, as suggested by </w:t>
      </w:r>
      <w:r w:rsidR="002C4E8D">
        <w:rPr>
          <w:rFonts w:ascii="Arial" w:hAnsi="Arial" w:cs="Arial"/>
          <w:sz w:val="24"/>
          <w:szCs w:val="24"/>
          <w:lang w:val="en-US"/>
        </w:rPr>
        <w:t>Buntibiz</w:t>
      </w:r>
      <w:r w:rsidR="002C4E8D" w:rsidRPr="002D031F">
        <w:rPr>
          <w:rFonts w:ascii="Arial" w:hAnsi="Arial" w:cs="Arial"/>
          <w:sz w:val="24"/>
          <w:szCs w:val="24"/>
          <w:lang w:val="en-US"/>
        </w:rPr>
        <w:t xml:space="preserve"> that</w:t>
      </w:r>
      <w:r w:rsidR="00CD5C8F" w:rsidRPr="002D031F">
        <w:rPr>
          <w:rFonts w:ascii="Arial" w:hAnsi="Arial" w:cs="Arial"/>
          <w:sz w:val="24"/>
          <w:szCs w:val="24"/>
          <w:lang w:val="en-US"/>
        </w:rPr>
        <w:t xml:space="preserve"> would vary the sale agreement which has a non- variation clause. He further submitted that because </w:t>
      </w:r>
      <w:r w:rsidR="002D031F">
        <w:rPr>
          <w:rFonts w:ascii="Arial" w:hAnsi="Arial" w:cs="Arial"/>
          <w:sz w:val="24"/>
          <w:szCs w:val="24"/>
          <w:lang w:val="en-US"/>
        </w:rPr>
        <w:t>McLoughlin</w:t>
      </w:r>
      <w:r w:rsidR="00CD5C8F" w:rsidRPr="002D031F">
        <w:rPr>
          <w:rFonts w:ascii="Arial" w:hAnsi="Arial" w:cs="Arial"/>
          <w:sz w:val="24"/>
          <w:szCs w:val="24"/>
          <w:lang w:val="en-US"/>
        </w:rPr>
        <w:t xml:space="preserve"> had conceded in evidence that the term was not necessary for it to be put in the sale agreement because there was the protection in clause 26 of the lease agreement, therefore the cause of action of </w:t>
      </w:r>
      <w:r w:rsidR="002D031F">
        <w:rPr>
          <w:rFonts w:ascii="Arial" w:hAnsi="Arial" w:cs="Arial"/>
          <w:sz w:val="24"/>
          <w:szCs w:val="24"/>
          <w:lang w:val="en-US"/>
        </w:rPr>
        <w:t xml:space="preserve">Buntibiz </w:t>
      </w:r>
      <w:r w:rsidR="00CD5C8F" w:rsidRPr="002D031F">
        <w:rPr>
          <w:rFonts w:ascii="Arial" w:hAnsi="Arial" w:cs="Arial"/>
          <w:sz w:val="24"/>
          <w:szCs w:val="24"/>
          <w:lang w:val="en-US"/>
        </w:rPr>
        <w:t xml:space="preserve">is against Quest Petroleum. </w:t>
      </w:r>
    </w:p>
    <w:p w14:paraId="1DAAF03C" w14:textId="68155E3E" w:rsidR="00CD5C8F" w:rsidRPr="00CD5C8F" w:rsidRDefault="00CD5C8F" w:rsidP="00CD5C8F">
      <w:pPr>
        <w:spacing w:line="480" w:lineRule="auto"/>
        <w:ind w:left="720" w:hanging="720"/>
        <w:jc w:val="both"/>
        <w:rPr>
          <w:rFonts w:ascii="Arial" w:hAnsi="Arial" w:cs="Arial"/>
          <w:sz w:val="24"/>
          <w:szCs w:val="24"/>
          <w:highlight w:val="magenta"/>
          <w:lang w:val="en-US"/>
        </w:rPr>
      </w:pPr>
      <w:r w:rsidRPr="002D031F">
        <w:rPr>
          <w:rFonts w:ascii="Arial" w:hAnsi="Arial" w:cs="Arial"/>
          <w:sz w:val="24"/>
          <w:szCs w:val="24"/>
          <w:lang w:val="en-US"/>
        </w:rPr>
        <w:t>[</w:t>
      </w:r>
      <w:r w:rsidR="005D4E24">
        <w:rPr>
          <w:rFonts w:ascii="Arial" w:hAnsi="Arial" w:cs="Arial"/>
          <w:sz w:val="24"/>
          <w:szCs w:val="24"/>
          <w:lang w:val="en-US"/>
        </w:rPr>
        <w:t>50</w:t>
      </w:r>
      <w:r w:rsidRPr="002D031F">
        <w:rPr>
          <w:rFonts w:ascii="Arial" w:hAnsi="Arial" w:cs="Arial"/>
          <w:sz w:val="24"/>
          <w:szCs w:val="24"/>
          <w:lang w:val="en-US"/>
        </w:rPr>
        <w:t>]</w:t>
      </w:r>
      <w:r w:rsidRPr="002D031F">
        <w:rPr>
          <w:rFonts w:ascii="Arial" w:hAnsi="Arial" w:cs="Arial"/>
          <w:sz w:val="24"/>
          <w:szCs w:val="24"/>
          <w:lang w:val="en-US"/>
        </w:rPr>
        <w:tab/>
        <w:t xml:space="preserve">He submitted that on the objective bystander test there are no prospects that the tacit term existed and if the tacit term did exist </w:t>
      </w:r>
      <w:r w:rsidR="002C4E8D">
        <w:rPr>
          <w:rFonts w:ascii="Arial" w:hAnsi="Arial" w:cs="Arial"/>
          <w:sz w:val="24"/>
          <w:szCs w:val="24"/>
          <w:lang w:val="en-US"/>
        </w:rPr>
        <w:t>Buntibiz</w:t>
      </w:r>
      <w:r w:rsidR="002C4E8D" w:rsidRPr="002D031F">
        <w:rPr>
          <w:rFonts w:ascii="Arial" w:hAnsi="Arial" w:cs="Arial"/>
          <w:sz w:val="24"/>
          <w:szCs w:val="24"/>
          <w:lang w:val="en-US"/>
        </w:rPr>
        <w:t xml:space="preserve"> failed</w:t>
      </w:r>
      <w:r w:rsidRPr="002D031F">
        <w:rPr>
          <w:rFonts w:ascii="Arial" w:hAnsi="Arial" w:cs="Arial"/>
          <w:sz w:val="24"/>
          <w:szCs w:val="24"/>
          <w:lang w:val="en-US"/>
        </w:rPr>
        <w:t xml:space="preserve"> to establish that term. He submitted that the mere fact that the </w:t>
      </w:r>
      <w:r w:rsidR="002C4E8D" w:rsidRPr="002D031F">
        <w:rPr>
          <w:rFonts w:ascii="Arial" w:hAnsi="Arial" w:cs="Arial"/>
          <w:sz w:val="24"/>
          <w:szCs w:val="24"/>
          <w:lang w:val="en-US"/>
        </w:rPr>
        <w:t>clause was</w:t>
      </w:r>
      <w:r w:rsidRPr="002D031F">
        <w:rPr>
          <w:rFonts w:ascii="Arial" w:hAnsi="Arial" w:cs="Arial"/>
          <w:sz w:val="24"/>
          <w:szCs w:val="24"/>
          <w:lang w:val="en-US"/>
        </w:rPr>
        <w:t xml:space="preserve"> put in the lease agreement mitigates against the suggestion that it should have been in the sale agreement. He submitted that the court cannot infer that it should have been part of the sale agreement because </w:t>
      </w:r>
      <w:r w:rsidR="002C4E8D" w:rsidRPr="002D031F">
        <w:rPr>
          <w:rFonts w:ascii="Arial" w:hAnsi="Arial" w:cs="Arial"/>
          <w:sz w:val="24"/>
          <w:szCs w:val="24"/>
          <w:lang w:val="en-US"/>
        </w:rPr>
        <w:t>to do</w:t>
      </w:r>
      <w:r w:rsidRPr="002D031F">
        <w:rPr>
          <w:rFonts w:ascii="Arial" w:hAnsi="Arial" w:cs="Arial"/>
          <w:sz w:val="24"/>
          <w:szCs w:val="24"/>
          <w:lang w:val="en-US"/>
        </w:rPr>
        <w:t xml:space="preserve"> so would amount to the court contracting for the </w:t>
      </w:r>
      <w:r w:rsidR="005D4E24" w:rsidRPr="002D031F">
        <w:rPr>
          <w:rFonts w:ascii="Arial" w:hAnsi="Arial" w:cs="Arial"/>
          <w:sz w:val="24"/>
          <w:szCs w:val="24"/>
          <w:lang w:val="en-US"/>
        </w:rPr>
        <w:t>parties,</w:t>
      </w:r>
      <w:r w:rsidRPr="002D031F">
        <w:rPr>
          <w:rFonts w:ascii="Arial" w:hAnsi="Arial" w:cs="Arial"/>
          <w:sz w:val="24"/>
          <w:szCs w:val="24"/>
          <w:lang w:val="en-US"/>
        </w:rPr>
        <w:t xml:space="preserve"> contrary to the caution made in  the </w:t>
      </w:r>
      <w:r w:rsidRPr="002D031F">
        <w:rPr>
          <w:rFonts w:ascii="Arial" w:hAnsi="Arial" w:cs="Arial"/>
          <w:i/>
          <w:iCs/>
          <w:sz w:val="24"/>
          <w:szCs w:val="24"/>
          <w:lang w:val="en-US"/>
        </w:rPr>
        <w:t xml:space="preserve">City of Tshwane </w:t>
      </w:r>
      <w:r w:rsidRPr="002D031F">
        <w:rPr>
          <w:rFonts w:ascii="Arial" w:hAnsi="Arial" w:cs="Arial"/>
          <w:sz w:val="24"/>
          <w:szCs w:val="24"/>
          <w:lang w:val="en-US"/>
        </w:rPr>
        <w:t xml:space="preserve">matter. He further submitted that should it be necessary for </w:t>
      </w:r>
      <w:r w:rsidR="002D031F">
        <w:rPr>
          <w:rFonts w:ascii="Arial" w:hAnsi="Arial" w:cs="Arial"/>
          <w:sz w:val="24"/>
          <w:szCs w:val="24"/>
          <w:lang w:val="en-US"/>
        </w:rPr>
        <w:t>Buntibiz</w:t>
      </w:r>
      <w:r w:rsidRPr="002D031F">
        <w:rPr>
          <w:rFonts w:ascii="Arial" w:hAnsi="Arial" w:cs="Arial"/>
          <w:sz w:val="24"/>
          <w:szCs w:val="24"/>
          <w:lang w:val="en-US"/>
        </w:rPr>
        <w:t xml:space="preserve"> to prove the resolutive condition, </w:t>
      </w:r>
      <w:r w:rsidR="002D031F">
        <w:rPr>
          <w:rFonts w:ascii="Arial" w:hAnsi="Arial" w:cs="Arial"/>
          <w:sz w:val="24"/>
          <w:szCs w:val="24"/>
          <w:lang w:val="en-US"/>
        </w:rPr>
        <w:t>it</w:t>
      </w:r>
      <w:r w:rsidRPr="002D031F">
        <w:rPr>
          <w:rFonts w:ascii="Arial" w:hAnsi="Arial" w:cs="Arial"/>
          <w:sz w:val="24"/>
          <w:szCs w:val="24"/>
          <w:lang w:val="en-US"/>
        </w:rPr>
        <w:t xml:space="preserve"> should prove that it was unable to obtain the licence not that it was unwilling to change ownership.  He submitted that on this ground </w:t>
      </w:r>
      <w:r w:rsidRPr="002D031F">
        <w:rPr>
          <w:rFonts w:ascii="Arial" w:hAnsi="Arial" w:cs="Arial"/>
          <w:sz w:val="24"/>
          <w:szCs w:val="24"/>
          <w:lang w:val="en-US"/>
        </w:rPr>
        <w:lastRenderedPageBreak/>
        <w:t xml:space="preserve">too, </w:t>
      </w:r>
      <w:r w:rsidR="002D031F">
        <w:rPr>
          <w:rFonts w:ascii="Arial" w:hAnsi="Arial" w:cs="Arial"/>
          <w:sz w:val="24"/>
          <w:szCs w:val="24"/>
          <w:lang w:val="en-US"/>
        </w:rPr>
        <w:t>Buntibiz</w:t>
      </w:r>
      <w:r w:rsidRPr="002D031F">
        <w:rPr>
          <w:rFonts w:ascii="Arial" w:hAnsi="Arial" w:cs="Arial"/>
          <w:sz w:val="24"/>
          <w:szCs w:val="24"/>
          <w:lang w:val="en-US"/>
        </w:rPr>
        <w:t xml:space="preserve"> must fail because its evidence is that of unwillingness to embrace the transformation imperatives of the Charter. </w:t>
      </w:r>
    </w:p>
    <w:p w14:paraId="42C92D44" w14:textId="6AFB67B6" w:rsidR="00CD50BE" w:rsidRDefault="00CD5C8F" w:rsidP="00CD50BE">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5D4E24">
        <w:rPr>
          <w:rFonts w:ascii="Arial" w:hAnsi="Arial" w:cs="Arial"/>
          <w:sz w:val="24"/>
          <w:szCs w:val="24"/>
          <w:lang w:val="en-US"/>
        </w:rPr>
        <w:t>51</w:t>
      </w:r>
      <w:r>
        <w:rPr>
          <w:rFonts w:ascii="Arial" w:hAnsi="Arial" w:cs="Arial"/>
          <w:sz w:val="24"/>
          <w:szCs w:val="24"/>
          <w:lang w:val="en-US"/>
        </w:rPr>
        <w:t xml:space="preserve">] </w:t>
      </w:r>
      <w:r w:rsidR="00B370EE">
        <w:rPr>
          <w:rFonts w:ascii="Arial" w:hAnsi="Arial" w:cs="Arial"/>
          <w:sz w:val="24"/>
          <w:szCs w:val="24"/>
          <w:lang w:val="en-US"/>
        </w:rPr>
        <w:tab/>
      </w:r>
      <w:r w:rsidR="00CD50BE">
        <w:rPr>
          <w:rFonts w:ascii="Arial" w:hAnsi="Arial" w:cs="Arial"/>
          <w:sz w:val="24"/>
          <w:szCs w:val="24"/>
          <w:lang w:val="en-US"/>
        </w:rPr>
        <w:t xml:space="preserve">He submitted that the court must find that </w:t>
      </w:r>
      <w:r>
        <w:rPr>
          <w:rFonts w:ascii="Arial" w:hAnsi="Arial" w:cs="Arial"/>
          <w:sz w:val="24"/>
          <w:szCs w:val="24"/>
          <w:lang w:val="en-US"/>
        </w:rPr>
        <w:t>McLoughlin’s</w:t>
      </w:r>
      <w:r w:rsidR="00CD50BE">
        <w:rPr>
          <w:rFonts w:ascii="Arial" w:hAnsi="Arial" w:cs="Arial"/>
          <w:sz w:val="24"/>
          <w:szCs w:val="24"/>
          <w:lang w:val="en-US"/>
        </w:rPr>
        <w:t xml:space="preserve"> evidence was not reliable as </w:t>
      </w:r>
      <w:r w:rsidR="00AB3AC2">
        <w:rPr>
          <w:rFonts w:ascii="Arial" w:hAnsi="Arial" w:cs="Arial"/>
          <w:sz w:val="24"/>
          <w:szCs w:val="24"/>
          <w:lang w:val="en-US"/>
        </w:rPr>
        <w:t xml:space="preserve">he </w:t>
      </w:r>
      <w:r w:rsidR="00CD50BE">
        <w:rPr>
          <w:rFonts w:ascii="Arial" w:hAnsi="Arial" w:cs="Arial"/>
          <w:sz w:val="24"/>
          <w:szCs w:val="24"/>
          <w:lang w:val="en-US"/>
        </w:rPr>
        <w:t>vacillated in his evidence. He submitted that the concessions he made under cross-examination demonstrated that he knew that he was dealing with different companies and not with one company as he wanted the court to believe when he gave his evidence in chief. He submitted that the court should accept the evidence of Le Roux that Buntibiz was not willing to comply with the law and on that basis alone he deliberately sabotaged the licen</w:t>
      </w:r>
      <w:r w:rsidR="00AB3AC2">
        <w:rPr>
          <w:rFonts w:ascii="Arial" w:hAnsi="Arial" w:cs="Arial"/>
          <w:sz w:val="24"/>
          <w:szCs w:val="24"/>
          <w:lang w:val="en-US"/>
        </w:rPr>
        <w:t>s</w:t>
      </w:r>
      <w:r w:rsidR="00CD50BE">
        <w:rPr>
          <w:rFonts w:ascii="Arial" w:hAnsi="Arial" w:cs="Arial"/>
          <w:sz w:val="24"/>
          <w:szCs w:val="24"/>
          <w:lang w:val="en-US"/>
        </w:rPr>
        <w:t xml:space="preserve">ing approval. He further submitted that after the sale was </w:t>
      </w:r>
      <w:r w:rsidR="00B370EE">
        <w:rPr>
          <w:rFonts w:ascii="Arial" w:hAnsi="Arial" w:cs="Arial"/>
          <w:sz w:val="24"/>
          <w:szCs w:val="24"/>
          <w:lang w:val="en-US"/>
        </w:rPr>
        <w:t>concluded,</w:t>
      </w:r>
      <w:r w:rsidR="00AB3AC2">
        <w:rPr>
          <w:rFonts w:ascii="Arial" w:hAnsi="Arial" w:cs="Arial"/>
          <w:sz w:val="24"/>
          <w:szCs w:val="24"/>
          <w:lang w:val="en-US"/>
        </w:rPr>
        <w:t xml:space="preserve"> </w:t>
      </w:r>
      <w:r w:rsidR="00CD50BE">
        <w:rPr>
          <w:rFonts w:ascii="Arial" w:hAnsi="Arial" w:cs="Arial"/>
          <w:sz w:val="24"/>
          <w:szCs w:val="24"/>
          <w:lang w:val="en-US"/>
        </w:rPr>
        <w:t xml:space="preserve">Quest Retail went </w:t>
      </w:r>
      <w:r w:rsidR="002C4E8D">
        <w:rPr>
          <w:rFonts w:ascii="Arial" w:hAnsi="Arial" w:cs="Arial"/>
          <w:sz w:val="24"/>
          <w:szCs w:val="24"/>
          <w:lang w:val="en-US"/>
        </w:rPr>
        <w:t>away, as</w:t>
      </w:r>
      <w:r w:rsidR="00CD50BE">
        <w:rPr>
          <w:rFonts w:ascii="Arial" w:hAnsi="Arial" w:cs="Arial"/>
          <w:sz w:val="24"/>
          <w:szCs w:val="24"/>
          <w:lang w:val="en-US"/>
        </w:rPr>
        <w:t xml:space="preserve"> testified by Le Roux and had no further dealings with Buntibiz in its operations of the business and therefore it would make no business sense to include the proposed term in the sale agreement. He relied heavily in his submissions on </w:t>
      </w:r>
      <w:r w:rsidR="00CD50BE" w:rsidRPr="00EE2954">
        <w:rPr>
          <w:rFonts w:ascii="Arial" w:hAnsi="Arial" w:cs="Arial"/>
          <w:b/>
          <w:bCs/>
          <w:i/>
          <w:iCs/>
          <w:sz w:val="24"/>
          <w:szCs w:val="24"/>
          <w:lang w:val="en-US"/>
        </w:rPr>
        <w:t>Cash Converters Southern Africa (Pty) Ltd v Roseb</w:t>
      </w:r>
      <w:r w:rsidR="00AB3AC2">
        <w:rPr>
          <w:rFonts w:ascii="Arial" w:hAnsi="Arial" w:cs="Arial"/>
          <w:b/>
          <w:bCs/>
          <w:i/>
          <w:iCs/>
          <w:sz w:val="24"/>
          <w:szCs w:val="24"/>
          <w:lang w:val="en-US"/>
        </w:rPr>
        <w:t>u</w:t>
      </w:r>
      <w:r w:rsidR="00CD50BE" w:rsidRPr="00EE2954">
        <w:rPr>
          <w:rFonts w:ascii="Arial" w:hAnsi="Arial" w:cs="Arial"/>
          <w:b/>
          <w:bCs/>
          <w:i/>
          <w:iCs/>
          <w:sz w:val="24"/>
          <w:szCs w:val="24"/>
          <w:lang w:val="en-US"/>
        </w:rPr>
        <w:t>d Western Province Franchise (Pty) Ltd</w:t>
      </w:r>
      <w:r w:rsidR="00CD50BE">
        <w:rPr>
          <w:rStyle w:val="FootnoteReference"/>
          <w:rFonts w:ascii="Arial" w:hAnsi="Arial" w:cs="Arial"/>
          <w:sz w:val="24"/>
          <w:szCs w:val="24"/>
          <w:lang w:val="en-US"/>
        </w:rPr>
        <w:footnoteReference w:id="9"/>
      </w:r>
      <w:r w:rsidR="00CD50BE">
        <w:rPr>
          <w:rFonts w:ascii="Arial" w:hAnsi="Arial" w:cs="Arial"/>
          <w:sz w:val="24"/>
          <w:szCs w:val="24"/>
          <w:lang w:val="en-US"/>
        </w:rPr>
        <w:t xml:space="preserve"> for his submission that once </w:t>
      </w:r>
      <w:r w:rsidR="00AB3AC2">
        <w:rPr>
          <w:rFonts w:ascii="Arial" w:hAnsi="Arial" w:cs="Arial"/>
          <w:sz w:val="24"/>
          <w:szCs w:val="24"/>
          <w:lang w:val="en-US"/>
        </w:rPr>
        <w:t xml:space="preserve">the </w:t>
      </w:r>
      <w:r w:rsidR="00CD50BE">
        <w:rPr>
          <w:rFonts w:ascii="Arial" w:hAnsi="Arial" w:cs="Arial"/>
          <w:sz w:val="24"/>
          <w:szCs w:val="24"/>
          <w:lang w:val="en-US"/>
        </w:rPr>
        <w:t xml:space="preserve">sale agreement was concluded it had served its purpose and there can be no question of a refund of the purchase price. </w:t>
      </w:r>
    </w:p>
    <w:p w14:paraId="3ADA64F7" w14:textId="30BFE17A" w:rsidR="00CD50BE" w:rsidRDefault="00CD50BE" w:rsidP="00CD50BE">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5D4E24">
        <w:rPr>
          <w:rFonts w:ascii="Arial" w:hAnsi="Arial" w:cs="Arial"/>
          <w:sz w:val="24"/>
          <w:szCs w:val="24"/>
          <w:lang w:val="en-US"/>
        </w:rPr>
        <w:t>52</w:t>
      </w:r>
      <w:r>
        <w:rPr>
          <w:rFonts w:ascii="Arial" w:hAnsi="Arial" w:cs="Arial"/>
          <w:sz w:val="24"/>
          <w:szCs w:val="24"/>
          <w:lang w:val="en-US"/>
        </w:rPr>
        <w:t>]</w:t>
      </w:r>
      <w:r>
        <w:rPr>
          <w:rFonts w:ascii="Arial" w:hAnsi="Arial" w:cs="Arial"/>
          <w:sz w:val="24"/>
          <w:szCs w:val="24"/>
          <w:lang w:val="en-US"/>
        </w:rPr>
        <w:tab/>
        <w:t xml:space="preserve">He further submitted that on the bystander principle </w:t>
      </w:r>
      <w:r w:rsidR="00AB3AC2">
        <w:rPr>
          <w:rFonts w:ascii="Arial" w:hAnsi="Arial" w:cs="Arial"/>
          <w:sz w:val="24"/>
          <w:szCs w:val="24"/>
          <w:lang w:val="en-US"/>
        </w:rPr>
        <w:t>L</w:t>
      </w:r>
      <w:r>
        <w:rPr>
          <w:rFonts w:ascii="Arial" w:hAnsi="Arial" w:cs="Arial"/>
          <w:sz w:val="24"/>
          <w:szCs w:val="24"/>
          <w:lang w:val="en-US"/>
        </w:rPr>
        <w:t xml:space="preserve">e Roux had testified that Quest Retail would have simply told him to look for another buyer if he had conveyed to it that the refund of the purchase price should be paid to Buntibiz should it not obtain a trading licence. That, he </w:t>
      </w:r>
      <w:r w:rsidR="00B370EE">
        <w:rPr>
          <w:rFonts w:ascii="Arial" w:hAnsi="Arial" w:cs="Arial"/>
          <w:sz w:val="24"/>
          <w:szCs w:val="24"/>
          <w:lang w:val="en-US"/>
        </w:rPr>
        <w:t>submitted,</w:t>
      </w:r>
      <w:r w:rsidR="00AB3AC2">
        <w:rPr>
          <w:rFonts w:ascii="Arial" w:hAnsi="Arial" w:cs="Arial"/>
          <w:sz w:val="24"/>
          <w:szCs w:val="24"/>
          <w:lang w:val="en-US"/>
        </w:rPr>
        <w:t xml:space="preserve"> </w:t>
      </w:r>
      <w:r>
        <w:rPr>
          <w:rFonts w:ascii="Arial" w:hAnsi="Arial" w:cs="Arial"/>
          <w:sz w:val="24"/>
          <w:szCs w:val="24"/>
          <w:lang w:val="en-US"/>
        </w:rPr>
        <w:t xml:space="preserve">is sufficient to refuse the importation of the tacit term proposed by Buntibiz. </w:t>
      </w:r>
    </w:p>
    <w:p w14:paraId="02B7012B" w14:textId="17813396" w:rsidR="00CD50BE" w:rsidRDefault="00CD50BE" w:rsidP="00CD50BE">
      <w:pPr>
        <w:spacing w:line="480" w:lineRule="auto"/>
        <w:ind w:left="720" w:hanging="720"/>
        <w:jc w:val="both"/>
        <w:rPr>
          <w:rFonts w:ascii="Arial" w:hAnsi="Arial" w:cs="Arial"/>
          <w:sz w:val="24"/>
          <w:szCs w:val="24"/>
          <w:lang w:val="en-US"/>
        </w:rPr>
      </w:pPr>
      <w:r>
        <w:rPr>
          <w:rFonts w:ascii="Arial" w:hAnsi="Arial" w:cs="Arial"/>
          <w:sz w:val="24"/>
          <w:szCs w:val="24"/>
          <w:lang w:val="en-US"/>
        </w:rPr>
        <w:lastRenderedPageBreak/>
        <w:t>[</w:t>
      </w:r>
      <w:r w:rsidR="005D4E24">
        <w:rPr>
          <w:rFonts w:ascii="Arial" w:hAnsi="Arial" w:cs="Arial"/>
          <w:sz w:val="24"/>
          <w:szCs w:val="24"/>
          <w:lang w:val="en-US"/>
        </w:rPr>
        <w:t>53</w:t>
      </w:r>
      <w:r>
        <w:rPr>
          <w:rFonts w:ascii="Arial" w:hAnsi="Arial" w:cs="Arial"/>
          <w:sz w:val="24"/>
          <w:szCs w:val="24"/>
          <w:lang w:val="en-US"/>
        </w:rPr>
        <w:t>]</w:t>
      </w:r>
      <w:r>
        <w:rPr>
          <w:rFonts w:ascii="Arial" w:hAnsi="Arial" w:cs="Arial"/>
          <w:sz w:val="24"/>
          <w:szCs w:val="24"/>
          <w:lang w:val="en-US"/>
        </w:rPr>
        <w:tab/>
        <w:t>On the issue of restitution, he submitted that Buntibiz was sold a business as a going concern. When it was handed over to it on the effective date it was functional, the filling station w</w:t>
      </w:r>
      <w:r w:rsidR="00AB3AC2">
        <w:rPr>
          <w:rFonts w:ascii="Arial" w:hAnsi="Arial" w:cs="Arial"/>
          <w:sz w:val="24"/>
          <w:szCs w:val="24"/>
          <w:lang w:val="en-US"/>
        </w:rPr>
        <w:t>as</w:t>
      </w:r>
      <w:r>
        <w:rPr>
          <w:rFonts w:ascii="Arial" w:hAnsi="Arial" w:cs="Arial"/>
          <w:sz w:val="24"/>
          <w:szCs w:val="24"/>
          <w:lang w:val="en-US"/>
        </w:rPr>
        <w:t xml:space="preserve"> pumping fuel and the business was operative</w:t>
      </w:r>
      <w:r w:rsidR="00AB3AC2">
        <w:rPr>
          <w:rFonts w:ascii="Arial" w:hAnsi="Arial" w:cs="Arial"/>
          <w:sz w:val="24"/>
          <w:szCs w:val="24"/>
          <w:lang w:val="en-US"/>
        </w:rPr>
        <w:t xml:space="preserve">. </w:t>
      </w:r>
      <w:r>
        <w:rPr>
          <w:rFonts w:ascii="Arial" w:hAnsi="Arial" w:cs="Arial"/>
          <w:sz w:val="24"/>
          <w:szCs w:val="24"/>
          <w:lang w:val="en-US"/>
        </w:rPr>
        <w:t xml:space="preserve"> </w:t>
      </w:r>
      <w:r w:rsidR="00AB3AC2">
        <w:rPr>
          <w:rFonts w:ascii="Arial" w:hAnsi="Arial" w:cs="Arial"/>
          <w:sz w:val="24"/>
          <w:szCs w:val="24"/>
          <w:lang w:val="en-US"/>
        </w:rPr>
        <w:t xml:space="preserve">However, </w:t>
      </w:r>
      <w:r>
        <w:rPr>
          <w:rFonts w:ascii="Arial" w:hAnsi="Arial" w:cs="Arial"/>
          <w:sz w:val="24"/>
          <w:szCs w:val="24"/>
          <w:lang w:val="en-US"/>
        </w:rPr>
        <w:t xml:space="preserve">when he handed the business </w:t>
      </w:r>
      <w:r w:rsidR="00B370EE">
        <w:rPr>
          <w:rFonts w:ascii="Arial" w:hAnsi="Arial" w:cs="Arial"/>
          <w:sz w:val="24"/>
          <w:szCs w:val="24"/>
          <w:lang w:val="en-US"/>
        </w:rPr>
        <w:t>back,</w:t>
      </w:r>
      <w:r w:rsidR="00AB3AC2">
        <w:rPr>
          <w:rFonts w:ascii="Arial" w:hAnsi="Arial" w:cs="Arial"/>
          <w:sz w:val="24"/>
          <w:szCs w:val="24"/>
          <w:lang w:val="en-US"/>
        </w:rPr>
        <w:t xml:space="preserve"> </w:t>
      </w:r>
      <w:r>
        <w:rPr>
          <w:rFonts w:ascii="Arial" w:hAnsi="Arial" w:cs="Arial"/>
          <w:sz w:val="24"/>
          <w:szCs w:val="24"/>
          <w:lang w:val="en-US"/>
        </w:rPr>
        <w:t xml:space="preserve">the business was not operational and the pumps were not pumping any fuel. He submitted that any order directing payment of the purchase price in those circumstances would be prejudicial to Quest Retail who honoured the terms of the sale agreement between the parties </w:t>
      </w:r>
      <w:r w:rsidR="002D031F">
        <w:rPr>
          <w:rFonts w:ascii="Arial" w:hAnsi="Arial" w:cs="Arial"/>
          <w:sz w:val="24"/>
          <w:szCs w:val="24"/>
          <w:lang w:val="en-US"/>
        </w:rPr>
        <w:t>in full</w:t>
      </w:r>
      <w:r>
        <w:rPr>
          <w:rFonts w:ascii="Arial" w:hAnsi="Arial" w:cs="Arial"/>
          <w:sz w:val="24"/>
          <w:szCs w:val="24"/>
          <w:lang w:val="en-US"/>
        </w:rPr>
        <w:t>.</w:t>
      </w:r>
    </w:p>
    <w:p w14:paraId="36ABF41C" w14:textId="0CEE7FA4" w:rsidR="000C2AFA" w:rsidRDefault="00820BA9" w:rsidP="000C2AFA">
      <w:pPr>
        <w:spacing w:line="480" w:lineRule="auto"/>
        <w:ind w:left="720" w:hanging="720"/>
        <w:jc w:val="both"/>
        <w:rPr>
          <w:rFonts w:ascii="Arial" w:hAnsi="Arial" w:cs="Arial"/>
          <w:i/>
          <w:iCs/>
          <w:sz w:val="24"/>
          <w:szCs w:val="24"/>
          <w:lang w:val="en-US"/>
        </w:rPr>
      </w:pPr>
      <w:r w:rsidRPr="00820BA9">
        <w:rPr>
          <w:rFonts w:ascii="Arial" w:hAnsi="Arial" w:cs="Arial"/>
          <w:i/>
          <w:iCs/>
          <w:sz w:val="24"/>
          <w:szCs w:val="24"/>
          <w:lang w:val="en-US"/>
        </w:rPr>
        <w:t>Evaluation of evidence</w:t>
      </w:r>
    </w:p>
    <w:p w14:paraId="1FA1F80F" w14:textId="1CFCDE75" w:rsidR="00BF3F01" w:rsidRDefault="0074047F" w:rsidP="0074047F">
      <w:pPr>
        <w:spacing w:line="480" w:lineRule="auto"/>
        <w:jc w:val="both"/>
        <w:rPr>
          <w:rFonts w:ascii="Arial" w:hAnsi="Arial" w:cs="Arial"/>
          <w:sz w:val="24"/>
          <w:szCs w:val="24"/>
          <w:lang w:val="en-US"/>
        </w:rPr>
      </w:pPr>
      <w:r w:rsidRPr="0074047F">
        <w:rPr>
          <w:rFonts w:ascii="Arial" w:hAnsi="Arial" w:cs="Arial"/>
          <w:sz w:val="24"/>
          <w:szCs w:val="24"/>
          <w:lang w:val="en-US"/>
        </w:rPr>
        <w:t>[</w:t>
      </w:r>
      <w:r w:rsidR="005D4E24">
        <w:rPr>
          <w:rFonts w:ascii="Arial" w:hAnsi="Arial" w:cs="Arial"/>
          <w:sz w:val="24"/>
          <w:szCs w:val="24"/>
          <w:lang w:val="en-US"/>
        </w:rPr>
        <w:t>54</w:t>
      </w:r>
      <w:r w:rsidRPr="0074047F">
        <w:rPr>
          <w:rFonts w:ascii="Arial" w:hAnsi="Arial" w:cs="Arial"/>
          <w:sz w:val="24"/>
          <w:szCs w:val="24"/>
          <w:lang w:val="en-US"/>
        </w:rPr>
        <w:t>]</w:t>
      </w:r>
      <w:r>
        <w:rPr>
          <w:rFonts w:ascii="Arial" w:hAnsi="Arial" w:cs="Arial"/>
          <w:sz w:val="24"/>
          <w:szCs w:val="24"/>
          <w:lang w:val="en-US"/>
        </w:rPr>
        <w:t xml:space="preserve">  </w:t>
      </w:r>
      <w:r>
        <w:rPr>
          <w:rFonts w:ascii="Arial" w:hAnsi="Arial" w:cs="Arial"/>
          <w:i/>
          <w:iCs/>
          <w:sz w:val="24"/>
          <w:szCs w:val="24"/>
          <w:lang w:val="en-US"/>
        </w:rPr>
        <w:t xml:space="preserve"> </w:t>
      </w:r>
      <w:r w:rsidR="00BF3F01" w:rsidRPr="00BF3F01">
        <w:rPr>
          <w:rFonts w:ascii="Arial" w:hAnsi="Arial" w:cs="Arial"/>
          <w:sz w:val="24"/>
          <w:szCs w:val="24"/>
          <w:lang w:val="en-US"/>
        </w:rPr>
        <w:t xml:space="preserve">I have already made certain observations in relation to the evidence of Mr </w:t>
      </w:r>
      <w:r>
        <w:rPr>
          <w:rFonts w:ascii="Arial" w:hAnsi="Arial" w:cs="Arial"/>
          <w:sz w:val="24"/>
          <w:szCs w:val="24"/>
          <w:lang w:val="en-US"/>
        </w:rPr>
        <w:tab/>
      </w:r>
      <w:r w:rsidR="00BF3F01" w:rsidRPr="00BF3F01">
        <w:rPr>
          <w:rFonts w:ascii="Arial" w:hAnsi="Arial" w:cs="Arial"/>
          <w:sz w:val="24"/>
          <w:szCs w:val="24"/>
          <w:lang w:val="en-US"/>
        </w:rPr>
        <w:t xml:space="preserve">McLoughlin. </w:t>
      </w:r>
      <w:r w:rsidR="00BF3F01">
        <w:rPr>
          <w:rFonts w:ascii="Arial" w:hAnsi="Arial" w:cs="Arial"/>
          <w:sz w:val="24"/>
          <w:szCs w:val="24"/>
          <w:lang w:val="en-US"/>
        </w:rPr>
        <w:t xml:space="preserve"> He testified that it is highly likely that he requested that clause 26 </w:t>
      </w:r>
      <w:r>
        <w:rPr>
          <w:rFonts w:ascii="Arial" w:hAnsi="Arial" w:cs="Arial"/>
          <w:sz w:val="24"/>
          <w:szCs w:val="24"/>
          <w:lang w:val="en-US"/>
        </w:rPr>
        <w:tab/>
      </w:r>
      <w:r w:rsidR="00BF3F01">
        <w:rPr>
          <w:rFonts w:ascii="Arial" w:hAnsi="Arial" w:cs="Arial"/>
          <w:sz w:val="24"/>
          <w:szCs w:val="24"/>
          <w:lang w:val="en-US"/>
        </w:rPr>
        <w:t xml:space="preserve">be put in the lease agreement. </w:t>
      </w:r>
      <w:r w:rsidR="002D031F">
        <w:rPr>
          <w:rFonts w:ascii="Arial" w:hAnsi="Arial" w:cs="Arial"/>
          <w:sz w:val="24"/>
          <w:szCs w:val="24"/>
          <w:lang w:val="en-US"/>
        </w:rPr>
        <w:t xml:space="preserve"> In this regard he corroborated t</w:t>
      </w:r>
      <w:r w:rsidR="00BF3F01">
        <w:rPr>
          <w:rFonts w:ascii="Arial" w:hAnsi="Arial" w:cs="Arial"/>
          <w:sz w:val="24"/>
          <w:szCs w:val="24"/>
          <w:lang w:val="en-US"/>
        </w:rPr>
        <w:t xml:space="preserve">he evidence of </w:t>
      </w:r>
      <w:r w:rsidR="002D031F">
        <w:rPr>
          <w:rFonts w:ascii="Arial" w:hAnsi="Arial" w:cs="Arial"/>
          <w:sz w:val="24"/>
          <w:szCs w:val="24"/>
          <w:lang w:val="en-US"/>
        </w:rPr>
        <w:tab/>
      </w:r>
      <w:r w:rsidR="00BF3F01">
        <w:rPr>
          <w:rFonts w:ascii="Arial" w:hAnsi="Arial" w:cs="Arial"/>
          <w:sz w:val="24"/>
          <w:szCs w:val="24"/>
          <w:lang w:val="en-US"/>
        </w:rPr>
        <w:t>Le Roux</w:t>
      </w:r>
      <w:r w:rsidR="002D031F">
        <w:rPr>
          <w:rFonts w:ascii="Arial" w:hAnsi="Arial" w:cs="Arial"/>
          <w:sz w:val="24"/>
          <w:szCs w:val="24"/>
          <w:lang w:val="en-US"/>
        </w:rPr>
        <w:t xml:space="preserve">. </w:t>
      </w:r>
      <w:r w:rsidR="000D4DE2">
        <w:rPr>
          <w:rFonts w:ascii="Arial" w:hAnsi="Arial" w:cs="Arial"/>
          <w:sz w:val="24"/>
          <w:szCs w:val="24"/>
          <w:lang w:val="en-US"/>
        </w:rPr>
        <w:t xml:space="preserve">This court must accordingly accept Le Roux’s evidence. </w:t>
      </w:r>
    </w:p>
    <w:p w14:paraId="496AD52D" w14:textId="2EA51AAF" w:rsidR="0074047F" w:rsidRDefault="0074047F" w:rsidP="000C2AFA">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5D4E24">
        <w:rPr>
          <w:rFonts w:ascii="Arial" w:hAnsi="Arial" w:cs="Arial"/>
          <w:sz w:val="24"/>
          <w:szCs w:val="24"/>
          <w:lang w:val="en-US"/>
        </w:rPr>
        <w:t>55</w:t>
      </w:r>
      <w:r>
        <w:rPr>
          <w:rFonts w:ascii="Arial" w:hAnsi="Arial" w:cs="Arial"/>
          <w:sz w:val="24"/>
          <w:szCs w:val="24"/>
          <w:lang w:val="en-US"/>
        </w:rPr>
        <w:t xml:space="preserve">]    He also testified that he was aware that there were three </w:t>
      </w:r>
      <w:r w:rsidR="004C5397">
        <w:rPr>
          <w:rFonts w:ascii="Arial" w:hAnsi="Arial" w:cs="Arial"/>
          <w:sz w:val="24"/>
          <w:szCs w:val="24"/>
          <w:lang w:val="en-US"/>
        </w:rPr>
        <w:t>agreements</w:t>
      </w:r>
      <w:r>
        <w:rPr>
          <w:rFonts w:ascii="Arial" w:hAnsi="Arial" w:cs="Arial"/>
          <w:sz w:val="24"/>
          <w:szCs w:val="24"/>
          <w:lang w:val="en-US"/>
        </w:rPr>
        <w:t xml:space="preserve"> and there were two companies involved. This goes against</w:t>
      </w:r>
      <w:r w:rsidR="0012648C">
        <w:rPr>
          <w:rFonts w:ascii="Arial" w:hAnsi="Arial" w:cs="Arial"/>
          <w:sz w:val="24"/>
          <w:szCs w:val="24"/>
          <w:lang w:val="en-US"/>
        </w:rPr>
        <w:t xml:space="preserve"> his evidence in chief</w:t>
      </w:r>
      <w:r>
        <w:rPr>
          <w:rFonts w:ascii="Arial" w:hAnsi="Arial" w:cs="Arial"/>
          <w:sz w:val="24"/>
          <w:szCs w:val="24"/>
          <w:lang w:val="en-US"/>
        </w:rPr>
        <w:t xml:space="preserve"> that there was one commercial transaction</w:t>
      </w:r>
      <w:r w:rsidR="000D4DE2">
        <w:rPr>
          <w:rFonts w:ascii="Arial" w:hAnsi="Arial" w:cs="Arial"/>
          <w:sz w:val="24"/>
          <w:szCs w:val="24"/>
          <w:lang w:val="en-US"/>
        </w:rPr>
        <w:t xml:space="preserve"> and his assumption that he was dealing with one company. </w:t>
      </w:r>
      <w:r w:rsidR="0012648C">
        <w:rPr>
          <w:rFonts w:ascii="Arial" w:hAnsi="Arial" w:cs="Arial"/>
          <w:sz w:val="24"/>
          <w:szCs w:val="24"/>
          <w:lang w:val="en-US"/>
        </w:rPr>
        <w:t xml:space="preserve"> </w:t>
      </w:r>
      <w:r>
        <w:rPr>
          <w:rFonts w:ascii="Arial" w:hAnsi="Arial" w:cs="Arial"/>
          <w:sz w:val="24"/>
          <w:szCs w:val="24"/>
          <w:lang w:val="en-US"/>
        </w:rPr>
        <w:t xml:space="preserve"> Again</w:t>
      </w:r>
      <w:r w:rsidR="00CB3F49">
        <w:rPr>
          <w:rFonts w:ascii="Arial" w:hAnsi="Arial" w:cs="Arial"/>
          <w:sz w:val="24"/>
          <w:szCs w:val="24"/>
          <w:lang w:val="en-US"/>
        </w:rPr>
        <w:t xml:space="preserve">, </w:t>
      </w:r>
      <w:r>
        <w:rPr>
          <w:rFonts w:ascii="Arial" w:hAnsi="Arial" w:cs="Arial"/>
          <w:sz w:val="24"/>
          <w:szCs w:val="24"/>
          <w:lang w:val="en-US"/>
        </w:rPr>
        <w:t>Le Roux</w:t>
      </w:r>
      <w:r w:rsidR="0012648C">
        <w:rPr>
          <w:rFonts w:ascii="Arial" w:hAnsi="Arial" w:cs="Arial"/>
          <w:sz w:val="24"/>
          <w:szCs w:val="24"/>
          <w:lang w:val="en-US"/>
        </w:rPr>
        <w:t xml:space="preserve">’s </w:t>
      </w:r>
      <w:r>
        <w:rPr>
          <w:rFonts w:ascii="Arial" w:hAnsi="Arial" w:cs="Arial"/>
          <w:sz w:val="24"/>
          <w:szCs w:val="24"/>
          <w:lang w:val="en-US"/>
        </w:rPr>
        <w:t>evidence in this regard</w:t>
      </w:r>
      <w:r w:rsidR="0012648C">
        <w:rPr>
          <w:rFonts w:ascii="Arial" w:hAnsi="Arial" w:cs="Arial"/>
          <w:sz w:val="24"/>
          <w:szCs w:val="24"/>
          <w:lang w:val="en-US"/>
        </w:rPr>
        <w:t xml:space="preserve"> </w:t>
      </w:r>
      <w:r w:rsidR="004C5397">
        <w:rPr>
          <w:rFonts w:ascii="Arial" w:hAnsi="Arial" w:cs="Arial"/>
          <w:sz w:val="24"/>
          <w:szCs w:val="24"/>
          <w:lang w:val="en-US"/>
        </w:rPr>
        <w:t xml:space="preserve">that these agreements are distinct </w:t>
      </w:r>
      <w:r w:rsidR="000D4DE2">
        <w:rPr>
          <w:rFonts w:ascii="Arial" w:hAnsi="Arial" w:cs="Arial"/>
          <w:sz w:val="24"/>
          <w:szCs w:val="24"/>
          <w:lang w:val="en-US"/>
        </w:rPr>
        <w:t xml:space="preserve">and so are the companies involved </w:t>
      </w:r>
      <w:r w:rsidR="0012648C">
        <w:rPr>
          <w:rFonts w:ascii="Arial" w:hAnsi="Arial" w:cs="Arial"/>
          <w:sz w:val="24"/>
          <w:szCs w:val="24"/>
          <w:lang w:val="en-US"/>
        </w:rPr>
        <w:t xml:space="preserve">must be accepted. </w:t>
      </w:r>
    </w:p>
    <w:p w14:paraId="0BEB6165" w14:textId="6BC013FF" w:rsidR="000D4DE2" w:rsidRDefault="0012648C" w:rsidP="00BC2FAB">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5D4E24">
        <w:rPr>
          <w:rFonts w:ascii="Arial" w:hAnsi="Arial" w:cs="Arial"/>
          <w:sz w:val="24"/>
          <w:szCs w:val="24"/>
          <w:lang w:val="en-US"/>
        </w:rPr>
        <w:t>56</w:t>
      </w:r>
      <w:r>
        <w:rPr>
          <w:rFonts w:ascii="Arial" w:hAnsi="Arial" w:cs="Arial"/>
          <w:sz w:val="24"/>
          <w:szCs w:val="24"/>
          <w:lang w:val="en-US"/>
        </w:rPr>
        <w:t xml:space="preserve">]    </w:t>
      </w:r>
      <w:r w:rsidR="000D4DE2">
        <w:rPr>
          <w:rFonts w:ascii="Arial" w:hAnsi="Arial" w:cs="Arial"/>
          <w:sz w:val="24"/>
          <w:szCs w:val="24"/>
          <w:lang w:val="en-US"/>
        </w:rPr>
        <w:t xml:space="preserve">  There is a fundamental difficulty with Mc Loughlin’s evidence where it seeks to rely on both clause 26 and on the tacit term in paragraph 5.1 of the particulars of claim. In</w:t>
      </w:r>
      <w:r w:rsidR="004C5397">
        <w:rPr>
          <w:rFonts w:ascii="Arial" w:hAnsi="Arial" w:cs="Arial"/>
          <w:sz w:val="24"/>
          <w:szCs w:val="24"/>
          <w:lang w:val="en-US"/>
        </w:rPr>
        <w:t xml:space="preserve"> his evidence -in - chief he testified that clause 26 should have been placed in the sale agreement</w:t>
      </w:r>
      <w:r w:rsidR="000D4DE2">
        <w:rPr>
          <w:rFonts w:ascii="Arial" w:hAnsi="Arial" w:cs="Arial"/>
          <w:sz w:val="24"/>
          <w:szCs w:val="24"/>
          <w:lang w:val="en-US"/>
        </w:rPr>
        <w:t xml:space="preserve">. </w:t>
      </w:r>
      <w:r w:rsidR="004C5397">
        <w:rPr>
          <w:rFonts w:ascii="Arial" w:hAnsi="Arial" w:cs="Arial"/>
          <w:sz w:val="24"/>
          <w:szCs w:val="24"/>
          <w:lang w:val="en-US"/>
        </w:rPr>
        <w:t xml:space="preserve"> </w:t>
      </w:r>
      <w:r w:rsidR="000D4DE2">
        <w:rPr>
          <w:rFonts w:ascii="Arial" w:hAnsi="Arial" w:cs="Arial"/>
          <w:sz w:val="24"/>
          <w:szCs w:val="24"/>
          <w:lang w:val="en-US"/>
        </w:rPr>
        <w:t>T</w:t>
      </w:r>
      <w:r w:rsidR="004C5397">
        <w:rPr>
          <w:rFonts w:ascii="Arial" w:hAnsi="Arial" w:cs="Arial"/>
          <w:sz w:val="24"/>
          <w:szCs w:val="24"/>
          <w:lang w:val="en-US"/>
        </w:rPr>
        <w:t>hat evidence does not support the tacit term contended for.  This means that his evidence does not support the pleaded case</w:t>
      </w:r>
      <w:r w:rsidR="00EF2E4F">
        <w:rPr>
          <w:rFonts w:ascii="Arial" w:hAnsi="Arial" w:cs="Arial"/>
          <w:sz w:val="24"/>
          <w:szCs w:val="24"/>
          <w:lang w:val="en-US"/>
        </w:rPr>
        <w:t xml:space="preserve"> in paragraph 5.1 of the particulars of claim</w:t>
      </w:r>
      <w:r w:rsidR="004C5397">
        <w:rPr>
          <w:rFonts w:ascii="Arial" w:hAnsi="Arial" w:cs="Arial"/>
          <w:sz w:val="24"/>
          <w:szCs w:val="24"/>
          <w:lang w:val="en-US"/>
        </w:rPr>
        <w:t xml:space="preserve">.  </w:t>
      </w:r>
    </w:p>
    <w:p w14:paraId="445F677E" w14:textId="785BD423" w:rsidR="00B17337" w:rsidRPr="00B17337" w:rsidRDefault="000D4DE2" w:rsidP="00BC2FAB">
      <w:pPr>
        <w:spacing w:line="480" w:lineRule="auto"/>
        <w:ind w:left="720" w:hanging="720"/>
        <w:jc w:val="both"/>
        <w:rPr>
          <w:rFonts w:ascii="Arial" w:hAnsi="Arial" w:cs="Arial"/>
          <w:sz w:val="24"/>
          <w:szCs w:val="24"/>
          <w:lang w:val="en-US"/>
        </w:rPr>
      </w:pPr>
      <w:r>
        <w:rPr>
          <w:rFonts w:ascii="Arial" w:hAnsi="Arial" w:cs="Arial"/>
          <w:sz w:val="24"/>
          <w:szCs w:val="24"/>
          <w:lang w:val="en-US"/>
        </w:rPr>
        <w:lastRenderedPageBreak/>
        <w:t>[</w:t>
      </w:r>
      <w:r w:rsidR="005D4E24">
        <w:rPr>
          <w:rFonts w:ascii="Arial" w:hAnsi="Arial" w:cs="Arial"/>
          <w:sz w:val="24"/>
          <w:szCs w:val="24"/>
          <w:lang w:val="en-US"/>
        </w:rPr>
        <w:t>57</w:t>
      </w:r>
      <w:r>
        <w:rPr>
          <w:rFonts w:ascii="Arial" w:hAnsi="Arial" w:cs="Arial"/>
          <w:sz w:val="24"/>
          <w:szCs w:val="24"/>
          <w:lang w:val="en-US"/>
        </w:rPr>
        <w:t>]</w:t>
      </w:r>
      <w:r w:rsidR="005D4E24">
        <w:rPr>
          <w:rFonts w:ascii="Arial" w:hAnsi="Arial" w:cs="Arial"/>
          <w:sz w:val="24"/>
          <w:szCs w:val="24"/>
          <w:lang w:val="en-US"/>
        </w:rPr>
        <w:t xml:space="preserve"> </w:t>
      </w:r>
      <w:r>
        <w:rPr>
          <w:rFonts w:ascii="Arial" w:hAnsi="Arial" w:cs="Arial"/>
          <w:sz w:val="24"/>
          <w:szCs w:val="24"/>
          <w:lang w:val="en-US"/>
        </w:rPr>
        <w:t xml:space="preserve">   </w:t>
      </w:r>
      <w:r w:rsidR="004C5397">
        <w:rPr>
          <w:rFonts w:ascii="Arial" w:hAnsi="Arial" w:cs="Arial"/>
          <w:sz w:val="24"/>
          <w:szCs w:val="24"/>
          <w:lang w:val="en-US"/>
        </w:rPr>
        <w:t xml:space="preserve">The tacit term pleaded is different from </w:t>
      </w:r>
      <w:r w:rsidR="00EF2E4F">
        <w:rPr>
          <w:rFonts w:ascii="Arial" w:hAnsi="Arial" w:cs="Arial"/>
          <w:sz w:val="24"/>
          <w:szCs w:val="24"/>
          <w:lang w:val="en-US"/>
        </w:rPr>
        <w:t xml:space="preserve">clause 26 in material respects. First, there is a time frame in clause 26.1 </w:t>
      </w:r>
      <w:r w:rsidR="00B17337">
        <w:rPr>
          <w:rFonts w:ascii="Arial" w:hAnsi="Arial" w:cs="Arial"/>
          <w:sz w:val="24"/>
          <w:szCs w:val="24"/>
          <w:lang w:val="en-US"/>
        </w:rPr>
        <w:t>set for the application for a licence</w:t>
      </w:r>
      <w:r w:rsidR="00AB3AC2">
        <w:rPr>
          <w:rFonts w:ascii="Arial" w:hAnsi="Arial" w:cs="Arial"/>
          <w:sz w:val="24"/>
          <w:szCs w:val="24"/>
          <w:lang w:val="en-US"/>
        </w:rPr>
        <w:t xml:space="preserve">, namely, </w:t>
      </w:r>
      <w:r w:rsidR="00EF2E4F" w:rsidRPr="00AB3AC2">
        <w:rPr>
          <w:rFonts w:ascii="Arial" w:hAnsi="Arial" w:cs="Arial"/>
          <w:color w:val="000000" w:themeColor="text1"/>
          <w:sz w:val="24"/>
          <w:szCs w:val="24"/>
          <w:lang w:val="en-US"/>
        </w:rPr>
        <w:t xml:space="preserve">within </w:t>
      </w:r>
      <w:r w:rsidR="00B17337" w:rsidRPr="00AB3AC2">
        <w:rPr>
          <w:rFonts w:ascii="Arial" w:hAnsi="Arial" w:cs="Arial"/>
          <w:color w:val="000000" w:themeColor="text1"/>
          <w:sz w:val="24"/>
          <w:szCs w:val="24"/>
          <w:lang w:val="en-US"/>
        </w:rPr>
        <w:t xml:space="preserve">7 days of the date of signature.  </w:t>
      </w:r>
      <w:r w:rsidR="00B17337">
        <w:rPr>
          <w:rFonts w:ascii="Arial" w:hAnsi="Arial" w:cs="Arial"/>
          <w:sz w:val="24"/>
          <w:szCs w:val="24"/>
          <w:lang w:val="en-US"/>
        </w:rPr>
        <w:t xml:space="preserve">In the pleadings the </w:t>
      </w:r>
      <w:r w:rsidR="00B17337" w:rsidRPr="00B17337">
        <w:rPr>
          <w:rFonts w:ascii="Arial" w:hAnsi="Arial" w:cs="Arial"/>
          <w:sz w:val="24"/>
          <w:szCs w:val="24"/>
          <w:lang w:val="en-US"/>
        </w:rPr>
        <w:t xml:space="preserve">consequence of the non- approval of the licence would render the sale agreement null and void. </w:t>
      </w:r>
      <w:r w:rsidR="00B17337">
        <w:rPr>
          <w:rFonts w:ascii="Arial" w:hAnsi="Arial" w:cs="Arial"/>
          <w:sz w:val="24"/>
          <w:szCs w:val="24"/>
          <w:lang w:val="en-US"/>
        </w:rPr>
        <w:t>That is what is envisaged in para</w:t>
      </w:r>
      <w:r w:rsidR="009864AC">
        <w:rPr>
          <w:rFonts w:ascii="Arial" w:hAnsi="Arial" w:cs="Arial"/>
          <w:sz w:val="24"/>
          <w:szCs w:val="24"/>
          <w:lang w:val="en-US"/>
        </w:rPr>
        <w:t>graph</w:t>
      </w:r>
      <w:r w:rsidR="00B17337">
        <w:rPr>
          <w:rFonts w:ascii="Arial" w:hAnsi="Arial" w:cs="Arial"/>
          <w:sz w:val="24"/>
          <w:szCs w:val="24"/>
          <w:lang w:val="en-US"/>
        </w:rPr>
        <w:t xml:space="preserve"> 5.1 of the claim. </w:t>
      </w:r>
    </w:p>
    <w:p w14:paraId="6AFF8ACD" w14:textId="570E4B3E" w:rsidR="000D4DE2" w:rsidRDefault="009864AC" w:rsidP="000C2AFA">
      <w:pPr>
        <w:spacing w:line="480" w:lineRule="auto"/>
        <w:ind w:left="720" w:hanging="720"/>
        <w:jc w:val="both"/>
        <w:rPr>
          <w:rFonts w:ascii="Arial" w:hAnsi="Arial" w:cs="Arial"/>
          <w:i/>
          <w:iCs/>
          <w:sz w:val="24"/>
          <w:szCs w:val="24"/>
          <w:lang w:val="en-US"/>
        </w:rPr>
      </w:pPr>
      <w:r w:rsidRPr="009864AC">
        <w:rPr>
          <w:rFonts w:ascii="Arial" w:hAnsi="Arial" w:cs="Arial"/>
          <w:sz w:val="24"/>
          <w:szCs w:val="24"/>
          <w:lang w:val="en-US"/>
        </w:rPr>
        <w:t>[</w:t>
      </w:r>
      <w:r w:rsidR="005D4E24">
        <w:rPr>
          <w:rFonts w:ascii="Arial" w:hAnsi="Arial" w:cs="Arial"/>
          <w:sz w:val="24"/>
          <w:szCs w:val="24"/>
          <w:lang w:val="en-US"/>
        </w:rPr>
        <w:t>58</w:t>
      </w:r>
      <w:r w:rsidR="00BC2FAB" w:rsidRPr="009864AC">
        <w:rPr>
          <w:rFonts w:ascii="Arial" w:hAnsi="Arial" w:cs="Arial"/>
          <w:sz w:val="24"/>
          <w:szCs w:val="24"/>
          <w:lang w:val="en-US"/>
        </w:rPr>
        <w:t>]</w:t>
      </w:r>
      <w:r w:rsidR="00BC2FAB">
        <w:rPr>
          <w:rFonts w:ascii="Arial" w:hAnsi="Arial" w:cs="Arial"/>
          <w:sz w:val="20"/>
          <w:szCs w:val="20"/>
          <w:lang w:val="en-US"/>
        </w:rPr>
        <w:t xml:space="preserve"> </w:t>
      </w:r>
      <w:r w:rsidR="00BC2FAB">
        <w:rPr>
          <w:rFonts w:ascii="Arial" w:hAnsi="Arial" w:cs="Arial"/>
          <w:sz w:val="20"/>
          <w:szCs w:val="20"/>
          <w:lang w:val="en-US"/>
        </w:rPr>
        <w:tab/>
      </w:r>
      <w:r w:rsidR="000D4DE2">
        <w:rPr>
          <w:rFonts w:ascii="Arial" w:hAnsi="Arial" w:cs="Arial"/>
          <w:sz w:val="24"/>
          <w:szCs w:val="24"/>
          <w:lang w:val="en-US"/>
        </w:rPr>
        <w:t>Second</w:t>
      </w:r>
      <w:r w:rsidR="000D4DE2" w:rsidRPr="000D4DE2">
        <w:rPr>
          <w:rFonts w:ascii="Arial" w:hAnsi="Arial" w:cs="Arial"/>
          <w:sz w:val="24"/>
          <w:szCs w:val="24"/>
          <w:lang w:val="en-US"/>
        </w:rPr>
        <w:t>,</w:t>
      </w:r>
      <w:r w:rsidR="000D4DE2">
        <w:rPr>
          <w:rFonts w:ascii="Arial" w:hAnsi="Arial" w:cs="Arial"/>
          <w:sz w:val="20"/>
          <w:szCs w:val="20"/>
          <w:lang w:val="en-US"/>
        </w:rPr>
        <w:t xml:space="preserve"> </w:t>
      </w:r>
      <w:r w:rsidR="000D4DE2">
        <w:rPr>
          <w:rFonts w:ascii="Arial" w:hAnsi="Arial" w:cs="Arial"/>
          <w:sz w:val="24"/>
          <w:szCs w:val="24"/>
          <w:lang w:val="en-US"/>
        </w:rPr>
        <w:t>i</w:t>
      </w:r>
      <w:r w:rsidR="00B17337" w:rsidRPr="00B17337">
        <w:rPr>
          <w:rFonts w:ascii="Arial" w:hAnsi="Arial" w:cs="Arial"/>
          <w:sz w:val="24"/>
          <w:szCs w:val="24"/>
          <w:lang w:val="en-US"/>
        </w:rPr>
        <w:t>n clause 26</w:t>
      </w:r>
      <w:r w:rsidR="00B17337">
        <w:rPr>
          <w:rFonts w:ascii="Arial" w:hAnsi="Arial" w:cs="Arial"/>
          <w:sz w:val="24"/>
          <w:szCs w:val="24"/>
          <w:lang w:val="en-US"/>
        </w:rPr>
        <w:t xml:space="preserve">, </w:t>
      </w:r>
      <w:r w:rsidR="00B17337" w:rsidRPr="00B17337">
        <w:rPr>
          <w:rFonts w:ascii="Arial" w:hAnsi="Arial" w:cs="Arial"/>
          <w:sz w:val="24"/>
          <w:szCs w:val="24"/>
          <w:lang w:val="en-US"/>
        </w:rPr>
        <w:t>Quest Petroleum acknowledge</w:t>
      </w:r>
      <w:r w:rsidR="00B17337">
        <w:rPr>
          <w:rFonts w:ascii="Arial" w:hAnsi="Arial" w:cs="Arial"/>
          <w:sz w:val="24"/>
          <w:szCs w:val="24"/>
          <w:lang w:val="en-US"/>
        </w:rPr>
        <w:t>d</w:t>
      </w:r>
      <w:r w:rsidR="00B17337" w:rsidRPr="00B17337">
        <w:rPr>
          <w:rFonts w:ascii="Arial" w:hAnsi="Arial" w:cs="Arial"/>
          <w:sz w:val="24"/>
          <w:szCs w:val="24"/>
          <w:lang w:val="en-US"/>
        </w:rPr>
        <w:t xml:space="preserve"> that once the retail licence is not approved Buntibiz</w:t>
      </w:r>
      <w:r w:rsidR="00B17337" w:rsidRPr="00B17337">
        <w:rPr>
          <w:rFonts w:ascii="Arial" w:hAnsi="Arial" w:cs="Arial"/>
          <w:i/>
          <w:iCs/>
          <w:sz w:val="24"/>
          <w:szCs w:val="24"/>
          <w:lang w:val="en-US"/>
        </w:rPr>
        <w:t xml:space="preserve"> </w:t>
      </w:r>
      <w:r w:rsidR="00B17337" w:rsidRPr="00B17337">
        <w:rPr>
          <w:rFonts w:ascii="Arial" w:hAnsi="Arial" w:cs="Arial"/>
          <w:sz w:val="24"/>
          <w:szCs w:val="24"/>
          <w:lang w:val="en-US"/>
        </w:rPr>
        <w:t>will not be able to operate the business.</w:t>
      </w:r>
      <w:r>
        <w:rPr>
          <w:rFonts w:ascii="Arial" w:hAnsi="Arial" w:cs="Arial"/>
          <w:sz w:val="24"/>
          <w:szCs w:val="24"/>
          <w:lang w:val="en-US"/>
        </w:rPr>
        <w:t xml:space="preserve"> There is no acknowledgement </w:t>
      </w:r>
      <w:r w:rsidRPr="009864AC">
        <w:rPr>
          <w:rFonts w:ascii="Arial" w:hAnsi="Arial" w:cs="Arial"/>
          <w:sz w:val="24"/>
          <w:szCs w:val="24"/>
          <w:lang w:val="en-US"/>
        </w:rPr>
        <w:t>relating to the operation of the business in the sale agreement.</w:t>
      </w:r>
      <w:r>
        <w:rPr>
          <w:rFonts w:ascii="Arial" w:hAnsi="Arial" w:cs="Arial"/>
          <w:i/>
          <w:iCs/>
          <w:sz w:val="24"/>
          <w:szCs w:val="24"/>
          <w:lang w:val="en-US"/>
        </w:rPr>
        <w:t xml:space="preserve"> </w:t>
      </w:r>
    </w:p>
    <w:p w14:paraId="6CFC9033" w14:textId="35705C87" w:rsidR="000D4DE2" w:rsidRDefault="000D4DE2" w:rsidP="000C2AFA">
      <w:pPr>
        <w:spacing w:line="480" w:lineRule="auto"/>
        <w:ind w:left="720" w:hanging="720"/>
        <w:jc w:val="both"/>
        <w:rPr>
          <w:rFonts w:ascii="Arial" w:hAnsi="Arial" w:cs="Arial"/>
          <w:sz w:val="24"/>
          <w:szCs w:val="24"/>
          <w:lang w:val="en-US"/>
        </w:rPr>
      </w:pPr>
      <w:r w:rsidRPr="000D4DE2">
        <w:rPr>
          <w:rFonts w:ascii="Arial" w:hAnsi="Arial" w:cs="Arial"/>
          <w:sz w:val="24"/>
          <w:szCs w:val="24"/>
          <w:lang w:val="en-US"/>
        </w:rPr>
        <w:t>[</w:t>
      </w:r>
      <w:r w:rsidR="005D4E24">
        <w:rPr>
          <w:rFonts w:ascii="Arial" w:hAnsi="Arial" w:cs="Arial"/>
          <w:sz w:val="24"/>
          <w:szCs w:val="24"/>
          <w:lang w:val="en-US"/>
        </w:rPr>
        <w:t>59</w:t>
      </w:r>
      <w:r w:rsidR="002C4E8D" w:rsidRPr="000D4DE2">
        <w:rPr>
          <w:rFonts w:ascii="Arial" w:hAnsi="Arial" w:cs="Arial"/>
          <w:sz w:val="24"/>
          <w:szCs w:val="24"/>
          <w:lang w:val="en-US"/>
        </w:rPr>
        <w:t xml:space="preserve">] </w:t>
      </w:r>
      <w:r w:rsidR="002C4E8D">
        <w:rPr>
          <w:rFonts w:ascii="Arial" w:hAnsi="Arial" w:cs="Arial"/>
          <w:sz w:val="24"/>
          <w:szCs w:val="24"/>
          <w:lang w:val="en-US"/>
        </w:rPr>
        <w:tab/>
      </w:r>
      <w:r w:rsidR="002C4E8D" w:rsidRPr="000D4DE2">
        <w:rPr>
          <w:rFonts w:ascii="Arial" w:hAnsi="Arial" w:cs="Arial"/>
          <w:sz w:val="24"/>
          <w:szCs w:val="24"/>
          <w:lang w:val="en-US"/>
        </w:rPr>
        <w:t>Third</w:t>
      </w:r>
      <w:r w:rsidRPr="000D4DE2">
        <w:rPr>
          <w:rFonts w:ascii="Arial" w:hAnsi="Arial" w:cs="Arial"/>
          <w:sz w:val="24"/>
          <w:szCs w:val="24"/>
          <w:lang w:val="en-US"/>
        </w:rPr>
        <w:t>,</w:t>
      </w:r>
      <w:r w:rsidR="009864AC" w:rsidRPr="009864AC">
        <w:rPr>
          <w:rFonts w:ascii="Arial" w:hAnsi="Arial" w:cs="Arial"/>
          <w:sz w:val="24"/>
          <w:szCs w:val="24"/>
          <w:lang w:val="en-US"/>
        </w:rPr>
        <w:t xml:space="preserve"> paragraph 5.1</w:t>
      </w:r>
      <w:r>
        <w:rPr>
          <w:rFonts w:ascii="Arial" w:hAnsi="Arial" w:cs="Arial"/>
          <w:sz w:val="24"/>
          <w:szCs w:val="24"/>
          <w:lang w:val="en-US"/>
        </w:rPr>
        <w:t xml:space="preserve"> of the claim </w:t>
      </w:r>
      <w:r w:rsidR="009864AC" w:rsidRPr="009864AC">
        <w:rPr>
          <w:rFonts w:ascii="Arial" w:hAnsi="Arial" w:cs="Arial"/>
          <w:sz w:val="24"/>
          <w:szCs w:val="24"/>
          <w:lang w:val="en-US"/>
        </w:rPr>
        <w:t>provides that the purchase price would be repaid</w:t>
      </w:r>
      <w:r>
        <w:rPr>
          <w:rFonts w:ascii="Arial" w:hAnsi="Arial" w:cs="Arial"/>
          <w:sz w:val="24"/>
          <w:szCs w:val="24"/>
          <w:lang w:val="en-US"/>
        </w:rPr>
        <w:t xml:space="preserve">. On the other </w:t>
      </w:r>
      <w:r w:rsidR="002C4E8D">
        <w:rPr>
          <w:rFonts w:ascii="Arial" w:hAnsi="Arial" w:cs="Arial"/>
          <w:sz w:val="24"/>
          <w:szCs w:val="24"/>
          <w:lang w:val="en-US"/>
        </w:rPr>
        <w:t>hand,</w:t>
      </w:r>
      <w:r>
        <w:rPr>
          <w:rFonts w:ascii="Arial" w:hAnsi="Arial" w:cs="Arial"/>
          <w:sz w:val="24"/>
          <w:szCs w:val="24"/>
          <w:lang w:val="en-US"/>
        </w:rPr>
        <w:t xml:space="preserve"> </w:t>
      </w:r>
      <w:r w:rsidR="009864AC" w:rsidRPr="009864AC">
        <w:rPr>
          <w:rFonts w:ascii="Arial" w:hAnsi="Arial" w:cs="Arial"/>
          <w:sz w:val="24"/>
          <w:szCs w:val="24"/>
          <w:lang w:val="en-US"/>
        </w:rPr>
        <w:t xml:space="preserve">clause 26 </w:t>
      </w:r>
      <w:r>
        <w:rPr>
          <w:rFonts w:ascii="Arial" w:hAnsi="Arial" w:cs="Arial"/>
          <w:sz w:val="24"/>
          <w:szCs w:val="24"/>
          <w:lang w:val="en-US"/>
        </w:rPr>
        <w:t xml:space="preserve">provides for </w:t>
      </w:r>
      <w:r w:rsidR="009864AC" w:rsidRPr="009864AC">
        <w:rPr>
          <w:rFonts w:ascii="Arial" w:hAnsi="Arial" w:cs="Arial"/>
          <w:sz w:val="24"/>
          <w:szCs w:val="24"/>
          <w:lang w:val="en-US"/>
        </w:rPr>
        <w:t xml:space="preserve">a refund of </w:t>
      </w:r>
      <w:r w:rsidR="00B17337" w:rsidRPr="009864AC">
        <w:rPr>
          <w:rFonts w:ascii="Arial" w:hAnsi="Arial" w:cs="Arial"/>
          <w:sz w:val="24"/>
          <w:szCs w:val="24"/>
          <w:lang w:val="en-US"/>
        </w:rPr>
        <w:t xml:space="preserve">the amount </w:t>
      </w:r>
      <w:r w:rsidR="009864AC" w:rsidRPr="009864AC">
        <w:rPr>
          <w:rFonts w:ascii="Arial" w:hAnsi="Arial" w:cs="Arial"/>
          <w:sz w:val="24"/>
          <w:szCs w:val="24"/>
          <w:lang w:val="en-US"/>
        </w:rPr>
        <w:t>that Buntibiz</w:t>
      </w:r>
      <w:r w:rsidR="00B17337" w:rsidRPr="009864AC">
        <w:rPr>
          <w:rFonts w:ascii="Arial" w:hAnsi="Arial" w:cs="Arial"/>
          <w:sz w:val="24"/>
          <w:szCs w:val="24"/>
          <w:lang w:val="en-US"/>
        </w:rPr>
        <w:t xml:space="preserve"> paid </w:t>
      </w:r>
      <w:r w:rsidR="00B17337" w:rsidRPr="00AB3AC2">
        <w:rPr>
          <w:rFonts w:ascii="Arial" w:hAnsi="Arial" w:cs="Arial"/>
          <w:sz w:val="24"/>
          <w:szCs w:val="24"/>
          <w:u w:val="single"/>
          <w:lang w:val="en-US"/>
        </w:rPr>
        <w:t>as a right to trade.</w:t>
      </w:r>
      <w:r w:rsidR="009864AC">
        <w:rPr>
          <w:rFonts w:ascii="Arial" w:hAnsi="Arial" w:cs="Arial"/>
          <w:sz w:val="24"/>
          <w:szCs w:val="24"/>
          <w:lang w:val="en-US"/>
        </w:rPr>
        <w:t xml:space="preserve"> </w:t>
      </w:r>
    </w:p>
    <w:p w14:paraId="20B999B8" w14:textId="18320C09" w:rsidR="00B17337" w:rsidRDefault="000D4DE2" w:rsidP="000C2AFA">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5D4E24">
        <w:rPr>
          <w:rFonts w:ascii="Arial" w:hAnsi="Arial" w:cs="Arial"/>
          <w:sz w:val="24"/>
          <w:szCs w:val="24"/>
          <w:lang w:val="en-US"/>
        </w:rPr>
        <w:t>60</w:t>
      </w:r>
      <w:r w:rsidR="002C4E8D">
        <w:rPr>
          <w:rFonts w:ascii="Arial" w:hAnsi="Arial" w:cs="Arial"/>
          <w:sz w:val="24"/>
          <w:szCs w:val="24"/>
          <w:lang w:val="en-US"/>
        </w:rPr>
        <w:t xml:space="preserve">] </w:t>
      </w:r>
      <w:r w:rsidR="002C4E8D">
        <w:rPr>
          <w:rFonts w:ascii="Arial" w:hAnsi="Arial" w:cs="Arial"/>
          <w:sz w:val="24"/>
          <w:szCs w:val="24"/>
          <w:lang w:val="en-US"/>
        </w:rPr>
        <w:tab/>
      </w:r>
      <w:r>
        <w:rPr>
          <w:rFonts w:ascii="Arial" w:hAnsi="Arial" w:cs="Arial"/>
          <w:sz w:val="24"/>
          <w:szCs w:val="24"/>
          <w:lang w:val="en-US"/>
        </w:rPr>
        <w:t>Fourth, t</w:t>
      </w:r>
      <w:r w:rsidR="009864AC">
        <w:rPr>
          <w:rFonts w:ascii="Arial" w:hAnsi="Arial" w:cs="Arial"/>
          <w:sz w:val="24"/>
          <w:szCs w:val="24"/>
          <w:lang w:val="en-US"/>
        </w:rPr>
        <w:t>here is no amount</w:t>
      </w:r>
      <w:r>
        <w:rPr>
          <w:rFonts w:ascii="Arial" w:hAnsi="Arial" w:cs="Arial"/>
          <w:sz w:val="24"/>
          <w:szCs w:val="24"/>
          <w:lang w:val="en-US"/>
        </w:rPr>
        <w:t>, either</w:t>
      </w:r>
      <w:r w:rsidR="009864AC">
        <w:rPr>
          <w:rFonts w:ascii="Arial" w:hAnsi="Arial" w:cs="Arial"/>
          <w:sz w:val="24"/>
          <w:szCs w:val="24"/>
          <w:lang w:val="en-US"/>
        </w:rPr>
        <w:t xml:space="preserve"> in the lease or </w:t>
      </w:r>
      <w:r w:rsidR="00AB3AC2">
        <w:rPr>
          <w:rFonts w:ascii="Arial" w:hAnsi="Arial" w:cs="Arial"/>
          <w:sz w:val="24"/>
          <w:szCs w:val="24"/>
          <w:lang w:val="en-US"/>
        </w:rPr>
        <w:t xml:space="preserve">the </w:t>
      </w:r>
      <w:r w:rsidR="009864AC">
        <w:rPr>
          <w:rFonts w:ascii="Arial" w:hAnsi="Arial" w:cs="Arial"/>
          <w:sz w:val="24"/>
          <w:szCs w:val="24"/>
          <w:lang w:val="en-US"/>
        </w:rPr>
        <w:t xml:space="preserve">sale agreement that was agreed on in relation to the right to trade. </w:t>
      </w:r>
    </w:p>
    <w:p w14:paraId="15AC3433" w14:textId="7AC9D300" w:rsidR="009864AC" w:rsidRDefault="009864AC" w:rsidP="000C2AFA">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5D4E24">
        <w:rPr>
          <w:rFonts w:ascii="Arial" w:hAnsi="Arial" w:cs="Arial"/>
          <w:sz w:val="24"/>
          <w:szCs w:val="24"/>
          <w:lang w:val="en-US"/>
        </w:rPr>
        <w:t>61</w:t>
      </w:r>
      <w:r>
        <w:rPr>
          <w:rFonts w:ascii="Arial" w:hAnsi="Arial" w:cs="Arial"/>
          <w:sz w:val="24"/>
          <w:szCs w:val="24"/>
          <w:lang w:val="en-US"/>
        </w:rPr>
        <w:t xml:space="preserve">] </w:t>
      </w:r>
      <w:r w:rsidR="008D261D">
        <w:rPr>
          <w:rFonts w:ascii="Arial" w:hAnsi="Arial" w:cs="Arial"/>
          <w:sz w:val="24"/>
          <w:szCs w:val="24"/>
          <w:lang w:val="en-US"/>
        </w:rPr>
        <w:tab/>
      </w:r>
      <w:r w:rsidR="000D4DE2">
        <w:rPr>
          <w:rFonts w:ascii="Arial" w:hAnsi="Arial" w:cs="Arial"/>
          <w:sz w:val="24"/>
          <w:szCs w:val="24"/>
          <w:lang w:val="en-US"/>
        </w:rPr>
        <w:t>Fifth, i</w:t>
      </w:r>
      <w:r>
        <w:rPr>
          <w:rFonts w:ascii="Arial" w:hAnsi="Arial" w:cs="Arial"/>
          <w:sz w:val="24"/>
          <w:szCs w:val="24"/>
          <w:lang w:val="en-US"/>
        </w:rPr>
        <w:t>n paragraph 5.1 the</w:t>
      </w:r>
      <w:r w:rsidR="000D4DE2">
        <w:rPr>
          <w:rFonts w:ascii="Arial" w:hAnsi="Arial" w:cs="Arial"/>
          <w:sz w:val="24"/>
          <w:szCs w:val="24"/>
          <w:lang w:val="en-US"/>
        </w:rPr>
        <w:t xml:space="preserve"> proposed tacit term makes reference to</w:t>
      </w:r>
      <w:r>
        <w:rPr>
          <w:rFonts w:ascii="Arial" w:hAnsi="Arial" w:cs="Arial"/>
          <w:sz w:val="24"/>
          <w:szCs w:val="24"/>
          <w:lang w:val="en-US"/>
        </w:rPr>
        <w:t xml:space="preserve"> a refund of the purchase price. The sale agreement makes reference to the purchase price of R2,5 </w:t>
      </w:r>
      <w:r w:rsidR="00904DE3">
        <w:rPr>
          <w:rFonts w:ascii="Arial" w:hAnsi="Arial" w:cs="Arial"/>
          <w:sz w:val="24"/>
          <w:szCs w:val="24"/>
          <w:lang w:val="en-US"/>
        </w:rPr>
        <w:t>million.</w:t>
      </w:r>
      <w:r>
        <w:rPr>
          <w:rFonts w:ascii="Arial" w:hAnsi="Arial" w:cs="Arial"/>
          <w:sz w:val="24"/>
          <w:szCs w:val="24"/>
          <w:lang w:val="en-US"/>
        </w:rPr>
        <w:t xml:space="preserve"> </w:t>
      </w:r>
      <w:r w:rsidR="00904DE3">
        <w:rPr>
          <w:rFonts w:ascii="Arial" w:hAnsi="Arial" w:cs="Arial"/>
          <w:sz w:val="24"/>
          <w:szCs w:val="24"/>
          <w:lang w:val="en-US"/>
        </w:rPr>
        <w:t>However,</w:t>
      </w:r>
      <w:r>
        <w:rPr>
          <w:rFonts w:ascii="Arial" w:hAnsi="Arial" w:cs="Arial"/>
          <w:sz w:val="24"/>
          <w:szCs w:val="24"/>
          <w:lang w:val="en-US"/>
        </w:rPr>
        <w:t xml:space="preserve"> that purchase price is apportioned</w:t>
      </w:r>
      <w:r w:rsidR="00EC63DD">
        <w:rPr>
          <w:rFonts w:ascii="Arial" w:hAnsi="Arial" w:cs="Arial"/>
          <w:sz w:val="24"/>
          <w:szCs w:val="24"/>
          <w:lang w:val="en-US"/>
        </w:rPr>
        <w:t xml:space="preserve"> as </w:t>
      </w:r>
      <w:r w:rsidR="007006CC">
        <w:rPr>
          <w:rFonts w:ascii="Arial" w:hAnsi="Arial" w:cs="Arial"/>
          <w:sz w:val="24"/>
          <w:szCs w:val="24"/>
          <w:lang w:val="en-US"/>
        </w:rPr>
        <w:t>follows:</w:t>
      </w:r>
      <w:r w:rsidR="00EC63DD">
        <w:rPr>
          <w:rFonts w:ascii="Arial" w:hAnsi="Arial" w:cs="Arial"/>
          <w:sz w:val="24"/>
          <w:szCs w:val="24"/>
          <w:lang w:val="en-US"/>
        </w:rPr>
        <w:t xml:space="preserve"> </w:t>
      </w:r>
    </w:p>
    <w:p w14:paraId="570B8564" w14:textId="1C0D80A1" w:rsidR="00EC63DD" w:rsidRPr="00EC63DD" w:rsidRDefault="00EC63DD" w:rsidP="00EC63DD">
      <w:pPr>
        <w:spacing w:line="240" w:lineRule="auto"/>
        <w:ind w:left="720" w:hanging="720"/>
        <w:jc w:val="both"/>
        <w:rPr>
          <w:rFonts w:ascii="Arial" w:hAnsi="Arial" w:cs="Arial"/>
          <w:i/>
          <w:iCs/>
          <w:sz w:val="20"/>
          <w:szCs w:val="20"/>
          <w:lang w:val="en-US"/>
        </w:rPr>
      </w:pPr>
      <w:r>
        <w:rPr>
          <w:rFonts w:ascii="Arial" w:hAnsi="Arial" w:cs="Arial"/>
          <w:sz w:val="24"/>
          <w:szCs w:val="24"/>
          <w:lang w:val="en-US"/>
        </w:rPr>
        <w:t xml:space="preserve">             </w:t>
      </w:r>
      <w:r w:rsidR="00904DE3">
        <w:rPr>
          <w:rFonts w:ascii="Arial" w:hAnsi="Arial" w:cs="Arial"/>
          <w:sz w:val="24"/>
          <w:szCs w:val="24"/>
          <w:lang w:val="en-US"/>
        </w:rPr>
        <w:tab/>
      </w:r>
      <w:r w:rsidR="00904DE3" w:rsidRPr="00EC63DD">
        <w:rPr>
          <w:rFonts w:ascii="Arial" w:hAnsi="Arial" w:cs="Arial"/>
          <w:i/>
          <w:iCs/>
          <w:sz w:val="20"/>
          <w:szCs w:val="20"/>
          <w:lang w:val="en-US"/>
        </w:rPr>
        <w:t>“7.2.1</w:t>
      </w:r>
      <w:r w:rsidRPr="00EC63DD">
        <w:rPr>
          <w:rFonts w:ascii="Arial" w:hAnsi="Arial" w:cs="Arial"/>
          <w:i/>
          <w:iCs/>
          <w:sz w:val="20"/>
          <w:szCs w:val="20"/>
          <w:lang w:val="en-US"/>
        </w:rPr>
        <w:t xml:space="preserve"> Fixed Assets            fair market value;</w:t>
      </w:r>
    </w:p>
    <w:p w14:paraId="16069D4D" w14:textId="4D0C5B3B" w:rsidR="00EC63DD" w:rsidRPr="00EC63DD" w:rsidRDefault="00EC63DD" w:rsidP="00EC63DD">
      <w:pPr>
        <w:spacing w:line="240" w:lineRule="auto"/>
        <w:ind w:left="720" w:hanging="720"/>
        <w:jc w:val="both"/>
        <w:rPr>
          <w:rFonts w:ascii="Arial" w:hAnsi="Arial" w:cs="Arial"/>
          <w:i/>
          <w:iCs/>
          <w:sz w:val="20"/>
          <w:szCs w:val="20"/>
          <w:lang w:val="en-US"/>
        </w:rPr>
      </w:pPr>
      <w:r w:rsidRPr="00EC63DD">
        <w:rPr>
          <w:rFonts w:ascii="Arial" w:hAnsi="Arial" w:cs="Arial"/>
          <w:i/>
          <w:iCs/>
          <w:sz w:val="20"/>
          <w:szCs w:val="20"/>
          <w:lang w:val="en-US"/>
        </w:rPr>
        <w:t xml:space="preserve">              </w:t>
      </w:r>
      <w:r w:rsidR="00904DE3">
        <w:rPr>
          <w:rFonts w:ascii="Arial" w:hAnsi="Arial" w:cs="Arial"/>
          <w:i/>
          <w:iCs/>
          <w:sz w:val="20"/>
          <w:szCs w:val="20"/>
          <w:lang w:val="en-US"/>
        </w:rPr>
        <w:tab/>
      </w:r>
      <w:r w:rsidRPr="00EC63DD">
        <w:rPr>
          <w:rFonts w:ascii="Arial" w:hAnsi="Arial" w:cs="Arial"/>
          <w:i/>
          <w:iCs/>
          <w:sz w:val="20"/>
          <w:szCs w:val="20"/>
          <w:lang w:val="en-US"/>
        </w:rPr>
        <w:t xml:space="preserve"> 7.2.2  Stocks                     cost price or the net realizable value;</w:t>
      </w:r>
    </w:p>
    <w:p w14:paraId="61CC5D7B" w14:textId="0CDAB44D" w:rsidR="00EC63DD" w:rsidRDefault="00EC63DD" w:rsidP="00EC63DD">
      <w:pPr>
        <w:spacing w:line="240" w:lineRule="auto"/>
        <w:ind w:left="720" w:hanging="720"/>
        <w:jc w:val="both"/>
        <w:rPr>
          <w:rFonts w:ascii="Arial" w:hAnsi="Arial" w:cs="Arial"/>
          <w:i/>
          <w:iCs/>
          <w:sz w:val="20"/>
          <w:szCs w:val="20"/>
          <w:lang w:val="en-US"/>
        </w:rPr>
      </w:pPr>
      <w:r w:rsidRPr="00EC63DD">
        <w:rPr>
          <w:rFonts w:ascii="Arial" w:hAnsi="Arial" w:cs="Arial"/>
          <w:i/>
          <w:iCs/>
          <w:sz w:val="20"/>
          <w:szCs w:val="20"/>
          <w:lang w:val="en-US"/>
        </w:rPr>
        <w:t xml:space="preserve">              </w:t>
      </w:r>
      <w:r w:rsidR="00904DE3">
        <w:rPr>
          <w:rFonts w:ascii="Arial" w:hAnsi="Arial" w:cs="Arial"/>
          <w:i/>
          <w:iCs/>
          <w:sz w:val="20"/>
          <w:szCs w:val="20"/>
          <w:lang w:val="en-US"/>
        </w:rPr>
        <w:tab/>
      </w:r>
      <w:r w:rsidRPr="00EC63DD">
        <w:rPr>
          <w:rFonts w:ascii="Arial" w:hAnsi="Arial" w:cs="Arial"/>
          <w:i/>
          <w:iCs/>
          <w:sz w:val="20"/>
          <w:szCs w:val="20"/>
          <w:lang w:val="en-US"/>
        </w:rPr>
        <w:t xml:space="preserve"> 7.2.3 Goodwill                   the balance.</w:t>
      </w:r>
      <w:r w:rsidR="007006CC">
        <w:rPr>
          <w:rFonts w:ascii="Arial" w:hAnsi="Arial" w:cs="Arial"/>
          <w:i/>
          <w:iCs/>
          <w:sz w:val="20"/>
          <w:szCs w:val="20"/>
          <w:lang w:val="en-US"/>
        </w:rPr>
        <w:t>”</w:t>
      </w:r>
    </w:p>
    <w:p w14:paraId="0AD0C552" w14:textId="77777777" w:rsidR="00EC63DD" w:rsidRPr="00EC63DD" w:rsidRDefault="00EC63DD" w:rsidP="00EC63DD">
      <w:pPr>
        <w:spacing w:line="240" w:lineRule="auto"/>
        <w:ind w:left="720" w:hanging="720"/>
        <w:jc w:val="both"/>
        <w:rPr>
          <w:rFonts w:ascii="Arial" w:hAnsi="Arial" w:cs="Arial"/>
          <w:i/>
          <w:iCs/>
          <w:sz w:val="20"/>
          <w:szCs w:val="20"/>
          <w:lang w:val="en-US"/>
        </w:rPr>
      </w:pPr>
    </w:p>
    <w:p w14:paraId="30A399DE" w14:textId="4EB9363B" w:rsidR="00E2230F" w:rsidRDefault="00EC63DD" w:rsidP="00E2230F">
      <w:pPr>
        <w:spacing w:line="480" w:lineRule="auto"/>
        <w:ind w:left="720" w:hanging="720"/>
        <w:jc w:val="both"/>
        <w:rPr>
          <w:rFonts w:ascii="Arial" w:hAnsi="Arial" w:cs="Arial"/>
          <w:sz w:val="24"/>
          <w:szCs w:val="24"/>
          <w:lang w:val="en-US"/>
        </w:rPr>
      </w:pPr>
      <w:r w:rsidRPr="00EC63DD">
        <w:rPr>
          <w:rFonts w:ascii="Arial" w:hAnsi="Arial" w:cs="Arial"/>
          <w:sz w:val="24"/>
          <w:szCs w:val="24"/>
          <w:lang w:val="en-US"/>
        </w:rPr>
        <w:t>[</w:t>
      </w:r>
      <w:r w:rsidR="00063648">
        <w:rPr>
          <w:rFonts w:ascii="Arial" w:hAnsi="Arial" w:cs="Arial"/>
          <w:sz w:val="24"/>
          <w:szCs w:val="24"/>
          <w:lang w:val="en-US"/>
        </w:rPr>
        <w:t>62</w:t>
      </w:r>
      <w:r w:rsidRPr="00EC63DD">
        <w:rPr>
          <w:rFonts w:ascii="Arial" w:hAnsi="Arial" w:cs="Arial"/>
          <w:sz w:val="24"/>
          <w:szCs w:val="24"/>
          <w:lang w:val="en-US"/>
        </w:rPr>
        <w:t xml:space="preserve">] </w:t>
      </w:r>
      <w:r>
        <w:rPr>
          <w:rFonts w:ascii="Arial" w:hAnsi="Arial" w:cs="Arial"/>
          <w:sz w:val="24"/>
          <w:szCs w:val="24"/>
          <w:lang w:val="en-US"/>
        </w:rPr>
        <w:t xml:space="preserve">   All of these items do not stipulate in monetary terms what the fair market value </w:t>
      </w:r>
      <w:r w:rsidR="007006CC">
        <w:rPr>
          <w:rFonts w:ascii="Arial" w:hAnsi="Arial" w:cs="Arial"/>
          <w:sz w:val="24"/>
          <w:szCs w:val="24"/>
          <w:lang w:val="en-US"/>
        </w:rPr>
        <w:t>is for</w:t>
      </w:r>
      <w:r>
        <w:rPr>
          <w:rFonts w:ascii="Arial" w:hAnsi="Arial" w:cs="Arial"/>
          <w:sz w:val="24"/>
          <w:szCs w:val="24"/>
          <w:lang w:val="en-US"/>
        </w:rPr>
        <w:t xml:space="preserve"> fixed assets, cost price for stocks or their realizable value and what the balance for goodwill would be.</w:t>
      </w:r>
      <w:r w:rsidR="007006CC">
        <w:rPr>
          <w:rFonts w:ascii="Arial" w:hAnsi="Arial" w:cs="Arial"/>
          <w:sz w:val="24"/>
          <w:szCs w:val="24"/>
          <w:lang w:val="en-US"/>
        </w:rPr>
        <w:t xml:space="preserve"> </w:t>
      </w:r>
      <w:r>
        <w:rPr>
          <w:rFonts w:ascii="Arial" w:hAnsi="Arial" w:cs="Arial"/>
          <w:sz w:val="24"/>
          <w:szCs w:val="24"/>
          <w:lang w:val="en-US"/>
        </w:rPr>
        <w:t xml:space="preserve">Buntibiz operated the business from the effective date 1 July 2018 until March 2021.  In order for it to succeed there must be </w:t>
      </w:r>
      <w:r>
        <w:rPr>
          <w:rFonts w:ascii="Arial" w:hAnsi="Arial" w:cs="Arial"/>
          <w:sz w:val="24"/>
          <w:szCs w:val="24"/>
          <w:lang w:val="en-US"/>
        </w:rPr>
        <w:lastRenderedPageBreak/>
        <w:t xml:space="preserve">evidence that having operated the business for that period of time, it would make business sense to refund </w:t>
      </w:r>
      <w:r w:rsidR="00E2230F">
        <w:rPr>
          <w:rFonts w:ascii="Arial" w:hAnsi="Arial" w:cs="Arial"/>
          <w:sz w:val="24"/>
          <w:szCs w:val="24"/>
          <w:lang w:val="en-US"/>
        </w:rPr>
        <w:t xml:space="preserve">it </w:t>
      </w:r>
      <w:r>
        <w:rPr>
          <w:rFonts w:ascii="Arial" w:hAnsi="Arial" w:cs="Arial"/>
          <w:sz w:val="24"/>
          <w:szCs w:val="24"/>
          <w:lang w:val="en-US"/>
        </w:rPr>
        <w:t xml:space="preserve">the R2,5 million despite lack of the market value; cost price of stocks and with no knowledge whatsoever of the balance for goodwill.  The purchase price provided for the R2,5 million plus an amount equal to the cost price of the </w:t>
      </w:r>
      <w:r w:rsidR="00F95C7C">
        <w:rPr>
          <w:rFonts w:ascii="Arial" w:hAnsi="Arial" w:cs="Arial"/>
          <w:sz w:val="24"/>
          <w:szCs w:val="24"/>
          <w:lang w:val="en-US"/>
        </w:rPr>
        <w:t>st</w:t>
      </w:r>
      <w:r>
        <w:rPr>
          <w:rFonts w:ascii="Arial" w:hAnsi="Arial" w:cs="Arial"/>
          <w:sz w:val="24"/>
          <w:szCs w:val="24"/>
          <w:lang w:val="en-US"/>
        </w:rPr>
        <w:t xml:space="preserve">ocks calculated in terms of clause 8. </w:t>
      </w:r>
      <w:r w:rsidR="00F95C7C">
        <w:rPr>
          <w:rFonts w:ascii="Arial" w:hAnsi="Arial" w:cs="Arial"/>
          <w:sz w:val="24"/>
          <w:szCs w:val="24"/>
          <w:lang w:val="en-US"/>
        </w:rPr>
        <w:t xml:space="preserve"> </w:t>
      </w:r>
      <w:r w:rsidR="002C4E8D">
        <w:rPr>
          <w:rFonts w:ascii="Arial" w:hAnsi="Arial" w:cs="Arial"/>
          <w:sz w:val="24"/>
          <w:szCs w:val="24"/>
          <w:lang w:val="en-US"/>
        </w:rPr>
        <w:t>Interestingly, clause</w:t>
      </w:r>
      <w:r w:rsidR="00F95C7C">
        <w:rPr>
          <w:rFonts w:ascii="Arial" w:hAnsi="Arial" w:cs="Arial"/>
          <w:sz w:val="24"/>
          <w:szCs w:val="24"/>
          <w:lang w:val="en-US"/>
        </w:rPr>
        <w:t xml:space="preserve"> 8 sets out, </w:t>
      </w:r>
      <w:r w:rsidR="00F95C7C" w:rsidRPr="00F95C7C">
        <w:rPr>
          <w:rFonts w:ascii="Arial" w:hAnsi="Arial" w:cs="Arial"/>
          <w:i/>
          <w:iCs/>
          <w:sz w:val="24"/>
          <w:szCs w:val="24"/>
          <w:lang w:val="en-US"/>
        </w:rPr>
        <w:t xml:space="preserve">inter </w:t>
      </w:r>
      <w:r w:rsidR="007006CC" w:rsidRPr="00F95C7C">
        <w:rPr>
          <w:rFonts w:ascii="Arial" w:hAnsi="Arial" w:cs="Arial"/>
          <w:i/>
          <w:iCs/>
          <w:sz w:val="24"/>
          <w:szCs w:val="24"/>
          <w:lang w:val="en-US"/>
        </w:rPr>
        <w:t>alia,</w:t>
      </w:r>
      <w:r w:rsidR="007006CC">
        <w:rPr>
          <w:rFonts w:ascii="Arial" w:hAnsi="Arial" w:cs="Arial"/>
          <w:sz w:val="24"/>
          <w:szCs w:val="24"/>
          <w:lang w:val="en-US"/>
        </w:rPr>
        <w:t xml:space="preserve"> the</w:t>
      </w:r>
      <w:r w:rsidR="00F95C7C">
        <w:rPr>
          <w:rFonts w:ascii="Arial" w:hAnsi="Arial" w:cs="Arial"/>
          <w:sz w:val="24"/>
          <w:szCs w:val="24"/>
          <w:lang w:val="en-US"/>
        </w:rPr>
        <w:t xml:space="preserve"> method of evaluating stock</w:t>
      </w:r>
      <w:r w:rsidR="00727081">
        <w:rPr>
          <w:rFonts w:ascii="Arial" w:hAnsi="Arial" w:cs="Arial"/>
          <w:sz w:val="24"/>
          <w:szCs w:val="24"/>
          <w:lang w:val="en-US"/>
        </w:rPr>
        <w:t>s</w:t>
      </w:r>
      <w:r w:rsidR="00F95C7C">
        <w:rPr>
          <w:rFonts w:ascii="Arial" w:hAnsi="Arial" w:cs="Arial"/>
          <w:sz w:val="24"/>
          <w:szCs w:val="24"/>
          <w:lang w:val="en-US"/>
        </w:rPr>
        <w:t>, and the dispute mechanisms relating to stocks.  After the payment of the R2,5 million Buntibiz became the owner of the business</w:t>
      </w:r>
      <w:r w:rsidR="00F95C7C">
        <w:rPr>
          <w:rStyle w:val="FootnoteReference"/>
          <w:rFonts w:ascii="Arial" w:hAnsi="Arial" w:cs="Arial"/>
          <w:sz w:val="24"/>
          <w:szCs w:val="24"/>
          <w:lang w:val="en-US"/>
        </w:rPr>
        <w:footnoteReference w:id="10"/>
      </w:r>
      <w:r w:rsidR="00F95C7C">
        <w:rPr>
          <w:rFonts w:ascii="Arial" w:hAnsi="Arial" w:cs="Arial"/>
          <w:sz w:val="24"/>
          <w:szCs w:val="24"/>
          <w:lang w:val="en-US"/>
        </w:rPr>
        <w:t xml:space="preserve">.  </w:t>
      </w:r>
      <w:r w:rsidR="00E2230F">
        <w:rPr>
          <w:rFonts w:ascii="Arial" w:hAnsi="Arial" w:cs="Arial"/>
          <w:sz w:val="24"/>
          <w:szCs w:val="24"/>
          <w:lang w:val="en-US"/>
        </w:rPr>
        <w:t xml:space="preserve">There is no evidence whatsoever tendered by Buntibiz to support the </w:t>
      </w:r>
      <w:r w:rsidR="00727081">
        <w:rPr>
          <w:rFonts w:ascii="Arial" w:hAnsi="Arial" w:cs="Arial"/>
          <w:sz w:val="24"/>
          <w:szCs w:val="24"/>
          <w:lang w:val="en-US"/>
        </w:rPr>
        <w:t xml:space="preserve">tacit term and the </w:t>
      </w:r>
      <w:r w:rsidR="00E2230F">
        <w:rPr>
          <w:rFonts w:ascii="Arial" w:hAnsi="Arial" w:cs="Arial"/>
          <w:sz w:val="24"/>
          <w:szCs w:val="24"/>
          <w:lang w:val="en-US"/>
        </w:rPr>
        <w:t>refund of R2,5 million in the light of the apportionment of the purchase price.</w:t>
      </w:r>
    </w:p>
    <w:p w14:paraId="7ED4799E" w14:textId="64E191EC" w:rsidR="00432FD6" w:rsidRPr="0003718B" w:rsidRDefault="00E2230F" w:rsidP="0003718B">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063648">
        <w:rPr>
          <w:rFonts w:ascii="Arial" w:hAnsi="Arial" w:cs="Arial"/>
          <w:sz w:val="24"/>
          <w:szCs w:val="24"/>
          <w:lang w:val="en-US"/>
        </w:rPr>
        <w:t>63</w:t>
      </w:r>
      <w:r>
        <w:rPr>
          <w:rFonts w:ascii="Arial" w:hAnsi="Arial" w:cs="Arial"/>
          <w:sz w:val="24"/>
          <w:szCs w:val="24"/>
          <w:lang w:val="en-US"/>
        </w:rPr>
        <w:t xml:space="preserve">] </w:t>
      </w:r>
      <w:r w:rsidR="007006CC">
        <w:rPr>
          <w:rFonts w:ascii="Arial" w:hAnsi="Arial" w:cs="Arial"/>
          <w:sz w:val="24"/>
          <w:szCs w:val="24"/>
          <w:lang w:val="en-US"/>
        </w:rPr>
        <w:tab/>
      </w:r>
      <w:r w:rsidR="00CD5C8F">
        <w:rPr>
          <w:rFonts w:ascii="Arial" w:hAnsi="Arial" w:cs="Arial"/>
          <w:sz w:val="24"/>
          <w:szCs w:val="24"/>
          <w:lang w:val="en-US"/>
        </w:rPr>
        <w:t>McLoughlin</w:t>
      </w:r>
      <w:r>
        <w:rPr>
          <w:rFonts w:ascii="Arial" w:hAnsi="Arial" w:cs="Arial"/>
          <w:sz w:val="24"/>
          <w:szCs w:val="24"/>
          <w:lang w:val="en-US"/>
        </w:rPr>
        <w:t xml:space="preserve"> continuously made reference to the R2,5 million being a refund for the right to trade. The reference to the “right to trade </w:t>
      </w:r>
      <w:r w:rsidR="007006CC">
        <w:rPr>
          <w:rFonts w:ascii="Arial" w:hAnsi="Arial" w:cs="Arial"/>
          <w:sz w:val="24"/>
          <w:szCs w:val="24"/>
          <w:lang w:val="en-US"/>
        </w:rPr>
        <w:t>‘is</w:t>
      </w:r>
      <w:r>
        <w:rPr>
          <w:rFonts w:ascii="Arial" w:hAnsi="Arial" w:cs="Arial"/>
          <w:sz w:val="24"/>
          <w:szCs w:val="24"/>
          <w:lang w:val="en-US"/>
        </w:rPr>
        <w:t xml:space="preserve"> contained in clause 26 of the lease agreement and not in the proposed tacit term contended for in paragraph 5.1 of the particulars of claim.  </w:t>
      </w:r>
      <w:r w:rsidR="0003718B">
        <w:rPr>
          <w:rFonts w:ascii="Arial" w:hAnsi="Arial" w:cs="Arial"/>
          <w:sz w:val="24"/>
          <w:szCs w:val="24"/>
          <w:lang w:val="en-US"/>
        </w:rPr>
        <w:t xml:space="preserve"> He also relied on the proposed tacit term by making reference to </w:t>
      </w:r>
      <w:r w:rsidR="007006CC">
        <w:rPr>
          <w:rFonts w:ascii="Arial" w:hAnsi="Arial" w:cs="Arial"/>
          <w:sz w:val="24"/>
          <w:szCs w:val="24"/>
          <w:lang w:val="en-US"/>
        </w:rPr>
        <w:t>‘the</w:t>
      </w:r>
      <w:r w:rsidR="0003718B">
        <w:rPr>
          <w:rFonts w:ascii="Arial" w:hAnsi="Arial" w:cs="Arial"/>
          <w:sz w:val="24"/>
          <w:szCs w:val="24"/>
          <w:lang w:val="en-US"/>
        </w:rPr>
        <w:t xml:space="preserve"> purchase price’. </w:t>
      </w:r>
      <w:r>
        <w:rPr>
          <w:rFonts w:ascii="Arial" w:hAnsi="Arial" w:cs="Arial"/>
          <w:sz w:val="24"/>
          <w:szCs w:val="24"/>
          <w:lang w:val="en-US"/>
        </w:rPr>
        <w:t xml:space="preserve">I have already highlighted the material differences between the proposed tacit term and the expressed term in clause 26 of the lease agreement. </w:t>
      </w:r>
      <w:r w:rsidR="00CD5C8F">
        <w:rPr>
          <w:rFonts w:ascii="Arial" w:hAnsi="Arial" w:cs="Arial"/>
          <w:sz w:val="24"/>
          <w:szCs w:val="24"/>
          <w:lang w:val="en-US"/>
        </w:rPr>
        <w:t>McLoughlin</w:t>
      </w:r>
      <w:r w:rsidR="0003718B">
        <w:rPr>
          <w:rFonts w:ascii="Arial" w:hAnsi="Arial" w:cs="Arial"/>
          <w:sz w:val="24"/>
          <w:szCs w:val="24"/>
          <w:lang w:val="en-US"/>
        </w:rPr>
        <w:t xml:space="preserve"> relied on both in evidence which made his evidence contradictory and thus unreliable.</w:t>
      </w:r>
    </w:p>
    <w:p w14:paraId="5963056F" w14:textId="27D1EC8E" w:rsidR="00727081" w:rsidRDefault="00432FD6" w:rsidP="00432FD6">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063648">
        <w:rPr>
          <w:rFonts w:ascii="Arial" w:hAnsi="Arial" w:cs="Arial"/>
          <w:sz w:val="24"/>
          <w:szCs w:val="24"/>
          <w:lang w:val="en-US"/>
        </w:rPr>
        <w:t>64</w:t>
      </w:r>
      <w:r>
        <w:rPr>
          <w:rFonts w:ascii="Arial" w:hAnsi="Arial" w:cs="Arial"/>
          <w:sz w:val="24"/>
          <w:szCs w:val="24"/>
          <w:lang w:val="en-US"/>
        </w:rPr>
        <w:t>]</w:t>
      </w:r>
      <w:r>
        <w:rPr>
          <w:rFonts w:ascii="Arial" w:hAnsi="Arial" w:cs="Arial"/>
          <w:sz w:val="24"/>
          <w:szCs w:val="24"/>
          <w:lang w:val="en-US"/>
        </w:rPr>
        <w:tab/>
        <w:t xml:space="preserve">The sale agreement is the only agreement that was signed by Buntibiz and Quest Retail. If one has regard to that agreement, it only makes reference to the thing that was sold and the purchase price which are matters relevant to this action. It makes no reference to the retail licence needed to operate the </w:t>
      </w:r>
      <w:r>
        <w:rPr>
          <w:rFonts w:ascii="Arial" w:hAnsi="Arial" w:cs="Arial"/>
          <w:sz w:val="24"/>
          <w:szCs w:val="24"/>
          <w:lang w:val="en-US"/>
        </w:rPr>
        <w:lastRenderedPageBreak/>
        <w:t xml:space="preserve">business. </w:t>
      </w:r>
      <w:r w:rsidR="00727081">
        <w:rPr>
          <w:rFonts w:ascii="Arial" w:hAnsi="Arial" w:cs="Arial"/>
          <w:sz w:val="24"/>
          <w:szCs w:val="24"/>
          <w:lang w:val="en-US"/>
        </w:rPr>
        <w:t xml:space="preserve"> First, were this court to import the tacit term it would be introducing a new aspect, not contemplated by the parties to the sale agreement, namely, a retail licence. </w:t>
      </w:r>
    </w:p>
    <w:p w14:paraId="384AA141" w14:textId="65851E16" w:rsidR="00432FD6" w:rsidRDefault="00727081" w:rsidP="00432FD6">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063648">
        <w:rPr>
          <w:rFonts w:ascii="Arial" w:hAnsi="Arial" w:cs="Arial"/>
          <w:sz w:val="24"/>
          <w:szCs w:val="24"/>
          <w:lang w:val="en-US"/>
        </w:rPr>
        <w:t>65</w:t>
      </w:r>
      <w:r w:rsidR="002C4E8D">
        <w:rPr>
          <w:rFonts w:ascii="Arial" w:hAnsi="Arial" w:cs="Arial"/>
          <w:sz w:val="24"/>
          <w:szCs w:val="24"/>
          <w:lang w:val="en-US"/>
        </w:rPr>
        <w:t xml:space="preserve">] </w:t>
      </w:r>
      <w:r w:rsidR="002C4E8D">
        <w:rPr>
          <w:rFonts w:ascii="Arial" w:hAnsi="Arial" w:cs="Arial"/>
          <w:sz w:val="24"/>
          <w:szCs w:val="24"/>
          <w:lang w:val="en-US"/>
        </w:rPr>
        <w:tab/>
      </w:r>
      <w:r>
        <w:rPr>
          <w:rFonts w:ascii="Arial" w:hAnsi="Arial" w:cs="Arial"/>
          <w:sz w:val="24"/>
          <w:szCs w:val="24"/>
          <w:lang w:val="en-US"/>
        </w:rPr>
        <w:t xml:space="preserve">Second, contrary to the express terms in the sale agreement, it would be introducing a new term that the sale would be null and void in the event of the retail licence not being granted.  In this </w:t>
      </w:r>
      <w:r w:rsidR="002C4E8D">
        <w:rPr>
          <w:rFonts w:ascii="Arial" w:hAnsi="Arial" w:cs="Arial"/>
          <w:sz w:val="24"/>
          <w:szCs w:val="24"/>
          <w:lang w:val="en-US"/>
        </w:rPr>
        <w:t>regard,</w:t>
      </w:r>
      <w:r>
        <w:rPr>
          <w:rFonts w:ascii="Arial" w:hAnsi="Arial" w:cs="Arial"/>
          <w:sz w:val="24"/>
          <w:szCs w:val="24"/>
          <w:lang w:val="en-US"/>
        </w:rPr>
        <w:t xml:space="preserve"> by so </w:t>
      </w:r>
      <w:r w:rsidR="002C4E8D">
        <w:rPr>
          <w:rFonts w:ascii="Arial" w:hAnsi="Arial" w:cs="Arial"/>
          <w:sz w:val="24"/>
          <w:szCs w:val="24"/>
          <w:lang w:val="en-US"/>
        </w:rPr>
        <w:t>doing,</w:t>
      </w:r>
      <w:r>
        <w:rPr>
          <w:rFonts w:ascii="Arial" w:hAnsi="Arial" w:cs="Arial"/>
          <w:sz w:val="24"/>
          <w:szCs w:val="24"/>
          <w:lang w:val="en-US"/>
        </w:rPr>
        <w:t xml:space="preserve"> this court would be creating a contract that would be at variance with what the parties agreed to i</w:t>
      </w:r>
      <w:r w:rsidR="00432FD6">
        <w:rPr>
          <w:rFonts w:ascii="Arial" w:hAnsi="Arial" w:cs="Arial"/>
          <w:sz w:val="24"/>
          <w:szCs w:val="24"/>
          <w:lang w:val="en-US"/>
        </w:rPr>
        <w:t>n clause</w:t>
      </w:r>
      <w:r>
        <w:rPr>
          <w:rFonts w:ascii="Arial" w:hAnsi="Arial" w:cs="Arial"/>
          <w:sz w:val="24"/>
          <w:szCs w:val="24"/>
          <w:lang w:val="en-US"/>
        </w:rPr>
        <w:t>s</w:t>
      </w:r>
      <w:r w:rsidR="00432FD6">
        <w:rPr>
          <w:rFonts w:ascii="Arial" w:hAnsi="Arial" w:cs="Arial"/>
          <w:sz w:val="24"/>
          <w:szCs w:val="24"/>
          <w:lang w:val="en-US"/>
        </w:rPr>
        <w:t xml:space="preserve"> 23 </w:t>
      </w:r>
      <w:r>
        <w:rPr>
          <w:rFonts w:ascii="Arial" w:hAnsi="Arial" w:cs="Arial"/>
          <w:sz w:val="24"/>
          <w:szCs w:val="24"/>
          <w:lang w:val="en-US"/>
        </w:rPr>
        <w:t xml:space="preserve">and 24 </w:t>
      </w:r>
      <w:r w:rsidR="00432FD6">
        <w:rPr>
          <w:rFonts w:ascii="Arial" w:hAnsi="Arial" w:cs="Arial"/>
          <w:sz w:val="24"/>
          <w:szCs w:val="24"/>
          <w:lang w:val="en-US"/>
        </w:rPr>
        <w:t xml:space="preserve">of the sale </w:t>
      </w:r>
      <w:r w:rsidR="00063648">
        <w:rPr>
          <w:rFonts w:ascii="Arial" w:hAnsi="Arial" w:cs="Arial"/>
          <w:sz w:val="24"/>
          <w:szCs w:val="24"/>
          <w:lang w:val="en-US"/>
        </w:rPr>
        <w:t>agreement,</w:t>
      </w:r>
      <w:r>
        <w:rPr>
          <w:rFonts w:ascii="Arial" w:hAnsi="Arial" w:cs="Arial"/>
          <w:sz w:val="24"/>
          <w:szCs w:val="24"/>
          <w:lang w:val="en-US"/>
        </w:rPr>
        <w:t xml:space="preserve"> </w:t>
      </w:r>
      <w:r w:rsidR="00063648">
        <w:rPr>
          <w:rFonts w:ascii="Arial" w:hAnsi="Arial" w:cs="Arial"/>
          <w:sz w:val="24"/>
          <w:szCs w:val="24"/>
          <w:lang w:val="en-US"/>
        </w:rPr>
        <w:t>that:</w:t>
      </w:r>
    </w:p>
    <w:p w14:paraId="22190206" w14:textId="77777777" w:rsidR="00432FD6" w:rsidRPr="00663CE1" w:rsidRDefault="00432FD6" w:rsidP="00432FD6">
      <w:pPr>
        <w:spacing w:line="240" w:lineRule="auto"/>
        <w:ind w:left="720" w:hanging="720"/>
        <w:jc w:val="both"/>
        <w:rPr>
          <w:rFonts w:ascii="Arial" w:hAnsi="Arial" w:cs="Arial"/>
          <w:i/>
          <w:iCs/>
          <w:sz w:val="20"/>
          <w:szCs w:val="20"/>
          <w:lang w:val="en-US"/>
        </w:rPr>
      </w:pPr>
      <w:r>
        <w:rPr>
          <w:rFonts w:ascii="Arial" w:hAnsi="Arial" w:cs="Arial"/>
          <w:sz w:val="24"/>
          <w:szCs w:val="24"/>
          <w:lang w:val="en-US"/>
        </w:rPr>
        <w:tab/>
      </w:r>
      <w:r>
        <w:rPr>
          <w:rFonts w:ascii="Arial" w:hAnsi="Arial" w:cs="Arial"/>
          <w:sz w:val="24"/>
          <w:szCs w:val="24"/>
          <w:lang w:val="en-US"/>
        </w:rPr>
        <w:tab/>
      </w:r>
      <w:r w:rsidRPr="00663CE1">
        <w:rPr>
          <w:rFonts w:ascii="Arial" w:hAnsi="Arial" w:cs="Arial"/>
          <w:i/>
          <w:iCs/>
          <w:sz w:val="20"/>
          <w:szCs w:val="20"/>
          <w:lang w:val="en-US"/>
        </w:rPr>
        <w:t>“23.</w:t>
      </w:r>
      <w:r w:rsidRPr="00663CE1">
        <w:rPr>
          <w:rFonts w:ascii="Arial" w:hAnsi="Arial" w:cs="Arial"/>
          <w:i/>
          <w:iCs/>
          <w:sz w:val="20"/>
          <w:szCs w:val="20"/>
          <w:lang w:val="en-US"/>
        </w:rPr>
        <w:tab/>
        <w:t xml:space="preserve">ENTIRE AGREEMENT </w:t>
      </w:r>
    </w:p>
    <w:p w14:paraId="346F57A1" w14:textId="03AA4073" w:rsidR="00432FD6" w:rsidRPr="00663CE1" w:rsidRDefault="00432FD6" w:rsidP="00432FD6">
      <w:pPr>
        <w:spacing w:line="240" w:lineRule="auto"/>
        <w:ind w:left="2160"/>
        <w:jc w:val="both"/>
        <w:rPr>
          <w:rFonts w:ascii="Arial" w:hAnsi="Arial" w:cs="Arial"/>
          <w:i/>
          <w:iCs/>
          <w:sz w:val="20"/>
          <w:szCs w:val="20"/>
          <w:lang w:val="en-US"/>
        </w:rPr>
      </w:pPr>
      <w:r w:rsidRPr="00663CE1">
        <w:rPr>
          <w:rFonts w:ascii="Arial" w:hAnsi="Arial" w:cs="Arial"/>
          <w:i/>
          <w:iCs/>
          <w:sz w:val="20"/>
          <w:szCs w:val="20"/>
          <w:lang w:val="en-US"/>
        </w:rPr>
        <w:t>This agreement, together with all annexures annexed thereto represents the entire agreement between the parties and supersedes all other agreements or understandings, written or verbal, that the parties may have had with respect to the subject matter of this agreement.</w:t>
      </w:r>
    </w:p>
    <w:p w14:paraId="2E817EDA" w14:textId="77777777" w:rsidR="00432FD6" w:rsidRPr="00663CE1" w:rsidRDefault="00432FD6" w:rsidP="00432FD6">
      <w:pPr>
        <w:spacing w:line="240" w:lineRule="auto"/>
        <w:jc w:val="both"/>
        <w:rPr>
          <w:rFonts w:ascii="Arial" w:hAnsi="Arial" w:cs="Arial"/>
          <w:i/>
          <w:iCs/>
          <w:sz w:val="20"/>
          <w:szCs w:val="20"/>
          <w:lang w:val="en-US"/>
        </w:rPr>
      </w:pPr>
      <w:r w:rsidRPr="00663CE1">
        <w:rPr>
          <w:rFonts w:ascii="Arial" w:hAnsi="Arial" w:cs="Arial"/>
          <w:i/>
          <w:iCs/>
          <w:sz w:val="20"/>
          <w:szCs w:val="20"/>
          <w:lang w:val="en-US"/>
        </w:rPr>
        <w:tab/>
      </w:r>
      <w:r w:rsidRPr="00663CE1">
        <w:rPr>
          <w:rFonts w:ascii="Arial" w:hAnsi="Arial" w:cs="Arial"/>
          <w:i/>
          <w:iCs/>
          <w:sz w:val="20"/>
          <w:szCs w:val="20"/>
          <w:lang w:val="en-US"/>
        </w:rPr>
        <w:tab/>
        <w:t>25.</w:t>
      </w:r>
      <w:r w:rsidRPr="00663CE1">
        <w:rPr>
          <w:rFonts w:ascii="Arial" w:hAnsi="Arial" w:cs="Arial"/>
          <w:i/>
          <w:iCs/>
          <w:sz w:val="20"/>
          <w:szCs w:val="20"/>
          <w:lang w:val="en-US"/>
        </w:rPr>
        <w:tab/>
        <w:t>VARIATION</w:t>
      </w:r>
    </w:p>
    <w:p w14:paraId="38EC2FFC" w14:textId="77777777" w:rsidR="00432FD6" w:rsidRDefault="00432FD6" w:rsidP="00432FD6">
      <w:pPr>
        <w:spacing w:line="240" w:lineRule="auto"/>
        <w:ind w:left="2160"/>
        <w:jc w:val="both"/>
        <w:rPr>
          <w:rFonts w:ascii="Arial" w:hAnsi="Arial" w:cs="Arial"/>
          <w:i/>
          <w:iCs/>
          <w:sz w:val="20"/>
          <w:szCs w:val="20"/>
          <w:lang w:val="en-US"/>
        </w:rPr>
      </w:pPr>
      <w:r w:rsidRPr="00663CE1">
        <w:rPr>
          <w:rFonts w:ascii="Arial" w:hAnsi="Arial" w:cs="Arial"/>
          <w:i/>
          <w:iCs/>
          <w:sz w:val="20"/>
          <w:szCs w:val="20"/>
          <w:lang w:val="en-US"/>
        </w:rPr>
        <w:t xml:space="preserve">No addition to, variation or consensual cancellation of any provision in this agreement including this provision, shall be of any force or effect unless reduced to writing and signed by or on behalf of both parties.” </w:t>
      </w:r>
    </w:p>
    <w:p w14:paraId="054EE1EA" w14:textId="77777777" w:rsidR="00F95C7C" w:rsidRPr="00663CE1" w:rsidRDefault="00F95C7C" w:rsidP="00432FD6">
      <w:pPr>
        <w:spacing w:line="240" w:lineRule="auto"/>
        <w:ind w:left="2160"/>
        <w:jc w:val="both"/>
        <w:rPr>
          <w:rFonts w:ascii="Arial" w:hAnsi="Arial" w:cs="Arial"/>
          <w:i/>
          <w:iCs/>
          <w:sz w:val="20"/>
          <w:szCs w:val="20"/>
          <w:lang w:val="en-US"/>
        </w:rPr>
      </w:pPr>
    </w:p>
    <w:p w14:paraId="6C168011" w14:textId="68691967" w:rsidR="00432FD6" w:rsidRPr="00727081" w:rsidRDefault="00432FD6" w:rsidP="00CD5C8F">
      <w:pPr>
        <w:spacing w:line="480" w:lineRule="auto"/>
        <w:ind w:left="720" w:hanging="720"/>
        <w:jc w:val="both"/>
        <w:rPr>
          <w:rFonts w:ascii="Arial" w:hAnsi="Arial" w:cs="Arial"/>
          <w:i/>
          <w:iCs/>
          <w:color w:val="000000" w:themeColor="text1"/>
          <w:sz w:val="20"/>
          <w:szCs w:val="20"/>
          <w:lang w:val="en-US"/>
        </w:rPr>
      </w:pPr>
      <w:r>
        <w:rPr>
          <w:rFonts w:ascii="Arial" w:hAnsi="Arial" w:cs="Arial"/>
          <w:sz w:val="24"/>
          <w:szCs w:val="24"/>
          <w:lang w:val="en-US"/>
        </w:rPr>
        <w:t>[</w:t>
      </w:r>
      <w:r w:rsidR="00063648">
        <w:rPr>
          <w:rFonts w:ascii="Arial" w:hAnsi="Arial" w:cs="Arial"/>
          <w:sz w:val="24"/>
          <w:szCs w:val="24"/>
          <w:lang w:val="en-US"/>
        </w:rPr>
        <w:t>66</w:t>
      </w:r>
      <w:r>
        <w:rPr>
          <w:rFonts w:ascii="Arial" w:hAnsi="Arial" w:cs="Arial"/>
          <w:sz w:val="24"/>
          <w:szCs w:val="24"/>
          <w:lang w:val="en-US"/>
        </w:rPr>
        <w:t>]</w:t>
      </w:r>
      <w:r>
        <w:rPr>
          <w:rFonts w:ascii="Arial" w:hAnsi="Arial" w:cs="Arial"/>
          <w:sz w:val="24"/>
          <w:szCs w:val="24"/>
          <w:lang w:val="en-US"/>
        </w:rPr>
        <w:tab/>
        <w:t xml:space="preserve">It is common cause that these terms were never varied by the parties. The fact that, it was </w:t>
      </w:r>
      <w:r w:rsidR="00727081">
        <w:rPr>
          <w:rFonts w:ascii="Arial" w:hAnsi="Arial" w:cs="Arial"/>
          <w:sz w:val="24"/>
          <w:szCs w:val="24"/>
          <w:lang w:val="en-US"/>
        </w:rPr>
        <w:t xml:space="preserve">agreed </w:t>
      </w:r>
      <w:r>
        <w:rPr>
          <w:rFonts w:ascii="Arial" w:hAnsi="Arial" w:cs="Arial"/>
          <w:sz w:val="24"/>
          <w:szCs w:val="24"/>
          <w:lang w:val="en-US"/>
        </w:rPr>
        <w:t>in the sale agreement that the conclusion of the lease and the supply agreement</w:t>
      </w:r>
      <w:r w:rsidR="0003718B">
        <w:rPr>
          <w:rFonts w:ascii="Arial" w:hAnsi="Arial" w:cs="Arial"/>
          <w:sz w:val="24"/>
          <w:szCs w:val="24"/>
          <w:lang w:val="en-US"/>
        </w:rPr>
        <w:t>s</w:t>
      </w:r>
      <w:r>
        <w:rPr>
          <w:rFonts w:ascii="Arial" w:hAnsi="Arial" w:cs="Arial"/>
          <w:sz w:val="24"/>
          <w:szCs w:val="24"/>
          <w:lang w:val="en-US"/>
        </w:rPr>
        <w:t xml:space="preserve"> constituted</w:t>
      </w:r>
      <w:r w:rsidR="0003718B">
        <w:rPr>
          <w:rFonts w:ascii="Arial" w:hAnsi="Arial" w:cs="Arial"/>
          <w:sz w:val="24"/>
          <w:szCs w:val="24"/>
          <w:lang w:val="en-US"/>
        </w:rPr>
        <w:t xml:space="preserve"> </w:t>
      </w:r>
      <w:r>
        <w:rPr>
          <w:rFonts w:ascii="Arial" w:hAnsi="Arial" w:cs="Arial"/>
          <w:sz w:val="24"/>
          <w:szCs w:val="24"/>
          <w:lang w:val="en-US"/>
        </w:rPr>
        <w:t>suspensive condition</w:t>
      </w:r>
      <w:r w:rsidR="0003718B">
        <w:rPr>
          <w:rFonts w:ascii="Arial" w:hAnsi="Arial" w:cs="Arial"/>
          <w:sz w:val="24"/>
          <w:szCs w:val="24"/>
          <w:lang w:val="en-US"/>
        </w:rPr>
        <w:t>s</w:t>
      </w:r>
      <w:r>
        <w:rPr>
          <w:rFonts w:ascii="Arial" w:hAnsi="Arial" w:cs="Arial"/>
          <w:sz w:val="24"/>
          <w:szCs w:val="24"/>
          <w:lang w:val="en-US"/>
        </w:rPr>
        <w:t xml:space="preserve"> to the sale </w:t>
      </w:r>
      <w:r w:rsidR="00650BFD">
        <w:rPr>
          <w:rFonts w:ascii="Arial" w:hAnsi="Arial" w:cs="Arial"/>
          <w:sz w:val="24"/>
          <w:szCs w:val="24"/>
          <w:lang w:val="en-US"/>
        </w:rPr>
        <w:t>agreement, does</w:t>
      </w:r>
      <w:r w:rsidR="0003718B">
        <w:rPr>
          <w:rFonts w:ascii="Arial" w:hAnsi="Arial" w:cs="Arial"/>
          <w:sz w:val="24"/>
          <w:szCs w:val="24"/>
          <w:lang w:val="en-US"/>
        </w:rPr>
        <w:t xml:space="preserve"> not make all three </w:t>
      </w:r>
      <w:r>
        <w:rPr>
          <w:rFonts w:ascii="Arial" w:hAnsi="Arial" w:cs="Arial"/>
          <w:sz w:val="24"/>
          <w:szCs w:val="24"/>
          <w:lang w:val="en-US"/>
        </w:rPr>
        <w:t>agreements inter</w:t>
      </w:r>
      <w:r w:rsidR="0003718B">
        <w:rPr>
          <w:rFonts w:ascii="Arial" w:hAnsi="Arial" w:cs="Arial"/>
          <w:sz w:val="24"/>
          <w:szCs w:val="24"/>
          <w:lang w:val="en-US"/>
        </w:rPr>
        <w:t>linked</w:t>
      </w:r>
      <w:r>
        <w:rPr>
          <w:rFonts w:ascii="Arial" w:hAnsi="Arial" w:cs="Arial"/>
          <w:sz w:val="24"/>
          <w:szCs w:val="24"/>
          <w:lang w:val="en-US"/>
        </w:rPr>
        <w:t xml:space="preserve">. </w:t>
      </w:r>
      <w:r w:rsidR="0003718B">
        <w:rPr>
          <w:rFonts w:ascii="Arial" w:hAnsi="Arial" w:cs="Arial"/>
          <w:sz w:val="24"/>
          <w:szCs w:val="24"/>
          <w:lang w:val="en-US"/>
        </w:rPr>
        <w:t xml:space="preserve"> Performance in relation to each agreement </w:t>
      </w:r>
      <w:r w:rsidR="00535960">
        <w:rPr>
          <w:rFonts w:ascii="Arial" w:hAnsi="Arial" w:cs="Arial"/>
          <w:sz w:val="24"/>
          <w:szCs w:val="24"/>
          <w:lang w:val="en-US"/>
        </w:rPr>
        <w:t>is</w:t>
      </w:r>
      <w:r w:rsidR="0003718B">
        <w:rPr>
          <w:rFonts w:ascii="Arial" w:hAnsi="Arial" w:cs="Arial"/>
          <w:sz w:val="24"/>
          <w:szCs w:val="24"/>
          <w:lang w:val="en-US"/>
        </w:rPr>
        <w:t xml:space="preserve"> distinct. </w:t>
      </w:r>
      <w:r w:rsidR="00727081" w:rsidRPr="00727081">
        <w:rPr>
          <w:rFonts w:ascii="Arial" w:hAnsi="Arial" w:cs="Arial"/>
          <w:color w:val="000000" w:themeColor="text1"/>
          <w:sz w:val="24"/>
          <w:szCs w:val="24"/>
          <w:lang w:val="en-US"/>
        </w:rPr>
        <w:t>It is common cause that these suspensive conditions were fulfilled and to that extent the sale agreement came into effect and became binding on the parties.</w:t>
      </w:r>
    </w:p>
    <w:p w14:paraId="72B9819C" w14:textId="77777777" w:rsidR="00535960" w:rsidRPr="009F01F3" w:rsidRDefault="00535960" w:rsidP="00432FD6">
      <w:pPr>
        <w:spacing w:line="240" w:lineRule="auto"/>
        <w:ind w:left="2880" w:hanging="720"/>
        <w:jc w:val="both"/>
        <w:rPr>
          <w:rFonts w:ascii="Arial" w:hAnsi="Arial" w:cs="Arial"/>
          <w:i/>
          <w:iCs/>
          <w:sz w:val="20"/>
          <w:szCs w:val="20"/>
          <w:lang w:val="en-US"/>
        </w:rPr>
      </w:pPr>
    </w:p>
    <w:p w14:paraId="1AAA781B" w14:textId="1A33CE4B" w:rsidR="00535960" w:rsidRDefault="00432FD6" w:rsidP="00063648">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063648">
        <w:rPr>
          <w:rFonts w:ascii="Arial" w:hAnsi="Arial" w:cs="Arial"/>
          <w:sz w:val="24"/>
          <w:szCs w:val="24"/>
          <w:lang w:val="en-US"/>
        </w:rPr>
        <w:t>67</w:t>
      </w:r>
      <w:r>
        <w:rPr>
          <w:rFonts w:ascii="Arial" w:hAnsi="Arial" w:cs="Arial"/>
          <w:sz w:val="24"/>
          <w:szCs w:val="24"/>
          <w:lang w:val="en-US"/>
        </w:rPr>
        <w:t>]</w:t>
      </w:r>
      <w:r>
        <w:rPr>
          <w:rFonts w:ascii="Arial" w:hAnsi="Arial" w:cs="Arial"/>
          <w:sz w:val="24"/>
          <w:szCs w:val="24"/>
          <w:lang w:val="en-US"/>
        </w:rPr>
        <w:tab/>
      </w:r>
      <w:r w:rsidR="0022379C">
        <w:rPr>
          <w:rFonts w:ascii="Arial" w:hAnsi="Arial" w:cs="Arial"/>
          <w:sz w:val="24"/>
          <w:szCs w:val="24"/>
          <w:lang w:val="en-US"/>
        </w:rPr>
        <w:t xml:space="preserve">When </w:t>
      </w:r>
      <w:r w:rsidR="00CD5C8F">
        <w:rPr>
          <w:rFonts w:ascii="Arial" w:hAnsi="Arial" w:cs="Arial"/>
          <w:sz w:val="24"/>
          <w:szCs w:val="24"/>
          <w:lang w:val="en-US"/>
        </w:rPr>
        <w:t>McLoughlin</w:t>
      </w:r>
      <w:r>
        <w:rPr>
          <w:rFonts w:ascii="Arial" w:hAnsi="Arial" w:cs="Arial"/>
          <w:sz w:val="24"/>
          <w:szCs w:val="24"/>
          <w:lang w:val="en-US"/>
        </w:rPr>
        <w:t xml:space="preserve"> dealt with the shareholding of Buntibiz</w:t>
      </w:r>
      <w:r w:rsidR="0022379C">
        <w:rPr>
          <w:rFonts w:ascii="Arial" w:hAnsi="Arial" w:cs="Arial"/>
          <w:sz w:val="24"/>
          <w:szCs w:val="24"/>
          <w:lang w:val="en-US"/>
        </w:rPr>
        <w:t xml:space="preserve">, he </w:t>
      </w:r>
      <w:r>
        <w:rPr>
          <w:rFonts w:ascii="Arial" w:hAnsi="Arial" w:cs="Arial"/>
          <w:sz w:val="24"/>
          <w:szCs w:val="24"/>
          <w:lang w:val="en-US"/>
        </w:rPr>
        <w:t xml:space="preserve">was adamant that he controlled 40% whilst Gotz controlled 60% of Buntibiz. </w:t>
      </w:r>
      <w:r w:rsidR="00535960">
        <w:rPr>
          <w:rFonts w:ascii="Arial" w:hAnsi="Arial" w:cs="Arial"/>
          <w:sz w:val="24"/>
          <w:szCs w:val="24"/>
          <w:lang w:val="en-US"/>
        </w:rPr>
        <w:t xml:space="preserve">Contrary to the submissions made </w:t>
      </w:r>
      <w:r w:rsidR="002C4E8D">
        <w:rPr>
          <w:rFonts w:ascii="Arial" w:hAnsi="Arial" w:cs="Arial"/>
          <w:sz w:val="24"/>
          <w:szCs w:val="24"/>
          <w:lang w:val="en-US"/>
        </w:rPr>
        <w:t>by counsel</w:t>
      </w:r>
      <w:r w:rsidR="00535960">
        <w:rPr>
          <w:rFonts w:ascii="Arial" w:hAnsi="Arial" w:cs="Arial"/>
          <w:sz w:val="24"/>
          <w:szCs w:val="24"/>
          <w:lang w:val="en-US"/>
        </w:rPr>
        <w:t xml:space="preserve"> he did not refer </w:t>
      </w:r>
      <w:r w:rsidR="00CD5C8F">
        <w:rPr>
          <w:rFonts w:ascii="Arial" w:hAnsi="Arial" w:cs="Arial"/>
          <w:sz w:val="24"/>
          <w:szCs w:val="24"/>
          <w:lang w:val="en-US"/>
        </w:rPr>
        <w:t xml:space="preserve">to </w:t>
      </w:r>
      <w:r w:rsidR="00535960">
        <w:rPr>
          <w:rFonts w:ascii="Arial" w:hAnsi="Arial" w:cs="Arial"/>
          <w:sz w:val="24"/>
          <w:szCs w:val="24"/>
          <w:lang w:val="en-US"/>
        </w:rPr>
        <w:t xml:space="preserve">the restructuring </w:t>
      </w:r>
      <w:r w:rsidR="00650BFD">
        <w:rPr>
          <w:rFonts w:ascii="Arial" w:hAnsi="Arial" w:cs="Arial"/>
          <w:sz w:val="24"/>
          <w:szCs w:val="24"/>
          <w:lang w:val="en-US"/>
        </w:rPr>
        <w:t>of Western</w:t>
      </w:r>
      <w:r w:rsidR="00535960">
        <w:rPr>
          <w:rFonts w:ascii="Arial" w:hAnsi="Arial" w:cs="Arial"/>
          <w:sz w:val="24"/>
          <w:szCs w:val="24"/>
          <w:lang w:val="en-US"/>
        </w:rPr>
        <w:t xml:space="preserve"> </w:t>
      </w:r>
      <w:r w:rsidR="00535960">
        <w:rPr>
          <w:rFonts w:ascii="Arial" w:hAnsi="Arial" w:cs="Arial"/>
          <w:sz w:val="24"/>
          <w:szCs w:val="24"/>
          <w:lang w:val="en-US"/>
        </w:rPr>
        <w:lastRenderedPageBreak/>
        <w:t xml:space="preserve">Gruppe instead he limited the views on that issue to Gotz and himself. </w:t>
      </w:r>
      <w:r w:rsidR="00171770">
        <w:rPr>
          <w:rFonts w:ascii="Arial" w:hAnsi="Arial" w:cs="Arial"/>
          <w:sz w:val="24"/>
          <w:szCs w:val="24"/>
          <w:lang w:val="en-US"/>
        </w:rPr>
        <w:t>Therefore,</w:t>
      </w:r>
      <w:r>
        <w:rPr>
          <w:rFonts w:ascii="Arial" w:hAnsi="Arial" w:cs="Arial"/>
          <w:sz w:val="24"/>
          <w:szCs w:val="24"/>
          <w:lang w:val="en-US"/>
        </w:rPr>
        <w:t xml:space="preserve"> the restructuring of Buntibiz in order to meet the 25% rule should be viewed in the context of</w:t>
      </w:r>
      <w:r w:rsidR="00CD5C8F">
        <w:rPr>
          <w:rFonts w:ascii="Arial" w:hAnsi="Arial" w:cs="Arial"/>
          <w:sz w:val="24"/>
          <w:szCs w:val="24"/>
          <w:lang w:val="en-US"/>
        </w:rPr>
        <w:t xml:space="preserve"> </w:t>
      </w:r>
      <w:r w:rsidR="00535960">
        <w:rPr>
          <w:rFonts w:ascii="Arial" w:hAnsi="Arial" w:cs="Arial"/>
          <w:sz w:val="24"/>
          <w:szCs w:val="24"/>
          <w:lang w:val="en-US"/>
        </w:rPr>
        <w:t xml:space="preserve">his evidence and not on speculation as to what Western Gruppe was expected to do. </w:t>
      </w:r>
      <w:r>
        <w:rPr>
          <w:rFonts w:ascii="Arial" w:hAnsi="Arial" w:cs="Arial"/>
          <w:sz w:val="24"/>
          <w:szCs w:val="24"/>
          <w:lang w:val="en-US"/>
        </w:rPr>
        <w:t xml:space="preserve"> </w:t>
      </w:r>
    </w:p>
    <w:p w14:paraId="363BF873" w14:textId="18224348" w:rsidR="00432FD6" w:rsidRDefault="00171770" w:rsidP="00432FD6">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063648">
        <w:rPr>
          <w:rFonts w:ascii="Arial" w:hAnsi="Arial" w:cs="Arial"/>
          <w:sz w:val="24"/>
          <w:szCs w:val="24"/>
          <w:lang w:val="en-US"/>
        </w:rPr>
        <w:t>68</w:t>
      </w:r>
      <w:r>
        <w:rPr>
          <w:rFonts w:ascii="Arial" w:hAnsi="Arial" w:cs="Arial"/>
          <w:sz w:val="24"/>
          <w:szCs w:val="24"/>
          <w:lang w:val="en-US"/>
        </w:rPr>
        <w:t>]</w:t>
      </w:r>
      <w:r>
        <w:rPr>
          <w:rFonts w:ascii="Arial" w:hAnsi="Arial" w:cs="Arial"/>
          <w:sz w:val="24"/>
          <w:szCs w:val="24"/>
          <w:lang w:val="en-US"/>
        </w:rPr>
        <w:tab/>
      </w:r>
      <w:r w:rsidR="00432FD6">
        <w:rPr>
          <w:rFonts w:ascii="Arial" w:hAnsi="Arial" w:cs="Arial"/>
          <w:sz w:val="24"/>
          <w:szCs w:val="24"/>
          <w:lang w:val="en-US"/>
        </w:rPr>
        <w:t xml:space="preserve">He had testified and this was confirmed by Cloete that Cloete had indicated that the company would restructure and that company was Buntibiz and upon him having become aware of that he instructed Cloete to withdraw that statement because the company was not </w:t>
      </w:r>
      <w:r w:rsidR="00535960">
        <w:rPr>
          <w:rFonts w:ascii="Arial" w:hAnsi="Arial" w:cs="Arial"/>
          <w:sz w:val="24"/>
          <w:szCs w:val="24"/>
          <w:lang w:val="en-US"/>
        </w:rPr>
        <w:t>willing</w:t>
      </w:r>
      <w:r w:rsidR="00432FD6">
        <w:rPr>
          <w:rFonts w:ascii="Arial" w:hAnsi="Arial" w:cs="Arial"/>
          <w:sz w:val="24"/>
          <w:szCs w:val="24"/>
          <w:lang w:val="en-US"/>
        </w:rPr>
        <w:t xml:space="preserve"> to do so. </w:t>
      </w:r>
    </w:p>
    <w:p w14:paraId="35B71963" w14:textId="24AA80D9" w:rsidR="00432FD6" w:rsidRDefault="00432FD6" w:rsidP="00432FD6">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063648">
        <w:rPr>
          <w:rFonts w:ascii="Arial" w:hAnsi="Arial" w:cs="Arial"/>
          <w:sz w:val="24"/>
          <w:szCs w:val="24"/>
          <w:lang w:val="en-US"/>
        </w:rPr>
        <w:t>69</w:t>
      </w:r>
      <w:r>
        <w:rPr>
          <w:rFonts w:ascii="Arial" w:hAnsi="Arial" w:cs="Arial"/>
          <w:sz w:val="24"/>
          <w:szCs w:val="24"/>
          <w:lang w:val="en-US"/>
        </w:rPr>
        <w:t>]</w:t>
      </w:r>
      <w:r>
        <w:rPr>
          <w:rFonts w:ascii="Arial" w:hAnsi="Arial" w:cs="Arial"/>
          <w:sz w:val="24"/>
          <w:szCs w:val="24"/>
          <w:lang w:val="en-US"/>
        </w:rPr>
        <w:tab/>
        <w:t xml:space="preserve">On the facts, </w:t>
      </w:r>
      <w:r w:rsidR="00CD5C8F">
        <w:rPr>
          <w:rFonts w:ascii="Arial" w:hAnsi="Arial" w:cs="Arial"/>
          <w:sz w:val="24"/>
          <w:szCs w:val="24"/>
          <w:lang w:val="en-US"/>
        </w:rPr>
        <w:t>McLoughlin</w:t>
      </w:r>
      <w:r>
        <w:rPr>
          <w:rFonts w:ascii="Arial" w:hAnsi="Arial" w:cs="Arial"/>
          <w:sz w:val="24"/>
          <w:szCs w:val="24"/>
          <w:lang w:val="en-US"/>
        </w:rPr>
        <w:t xml:space="preserve"> conceded that the closure of the filling station and the financial distress of </w:t>
      </w:r>
      <w:r w:rsidR="00535960">
        <w:rPr>
          <w:rFonts w:ascii="Arial" w:hAnsi="Arial" w:cs="Arial"/>
          <w:sz w:val="24"/>
          <w:szCs w:val="24"/>
          <w:lang w:val="en-US"/>
        </w:rPr>
        <w:t>the business</w:t>
      </w:r>
      <w:r>
        <w:rPr>
          <w:rFonts w:ascii="Arial" w:hAnsi="Arial" w:cs="Arial"/>
          <w:sz w:val="24"/>
          <w:szCs w:val="24"/>
          <w:lang w:val="en-US"/>
        </w:rPr>
        <w:t xml:space="preserve"> w</w:t>
      </w:r>
      <w:r w:rsidR="00535960">
        <w:rPr>
          <w:rFonts w:ascii="Arial" w:hAnsi="Arial" w:cs="Arial"/>
          <w:sz w:val="24"/>
          <w:szCs w:val="24"/>
          <w:lang w:val="en-US"/>
        </w:rPr>
        <w:t xml:space="preserve">ere </w:t>
      </w:r>
      <w:r>
        <w:rPr>
          <w:rFonts w:ascii="Arial" w:hAnsi="Arial" w:cs="Arial"/>
          <w:sz w:val="24"/>
          <w:szCs w:val="24"/>
          <w:lang w:val="en-US"/>
        </w:rPr>
        <w:t xml:space="preserve">unrelated to the application for the retail licence. He also conceded that the closure of the fuel pumps was also unrelated to the retail licence. Although the licence application and the appeal was dismissed by </w:t>
      </w:r>
      <w:r w:rsidRPr="0022379C">
        <w:rPr>
          <w:rFonts w:ascii="Arial" w:hAnsi="Arial" w:cs="Arial"/>
          <w:color w:val="000000" w:themeColor="text1"/>
          <w:sz w:val="24"/>
          <w:szCs w:val="24"/>
          <w:lang w:val="en-US"/>
        </w:rPr>
        <w:t>December 202</w:t>
      </w:r>
      <w:r w:rsidR="00535960" w:rsidRPr="0022379C">
        <w:rPr>
          <w:rFonts w:ascii="Arial" w:hAnsi="Arial" w:cs="Arial"/>
          <w:color w:val="000000" w:themeColor="text1"/>
          <w:sz w:val="24"/>
          <w:szCs w:val="24"/>
          <w:lang w:val="en-US"/>
        </w:rPr>
        <w:t>0</w:t>
      </w:r>
      <w:r w:rsidRPr="0022379C">
        <w:rPr>
          <w:rFonts w:ascii="Arial" w:hAnsi="Arial" w:cs="Arial"/>
          <w:color w:val="000000" w:themeColor="text1"/>
          <w:sz w:val="24"/>
          <w:szCs w:val="24"/>
          <w:lang w:val="en-US"/>
        </w:rPr>
        <w:t xml:space="preserve"> Buntibiz continued to trade until March 2021. </w:t>
      </w:r>
      <w:r>
        <w:rPr>
          <w:rFonts w:ascii="Arial" w:hAnsi="Arial" w:cs="Arial"/>
          <w:sz w:val="24"/>
          <w:szCs w:val="24"/>
          <w:lang w:val="en-US"/>
        </w:rPr>
        <w:t>He also conceded that as at 7 April 2020 when a letter from Le Roux was written where Quest Petroleum was attempting to resolve the problem between itself and Buntibiz at that point there was never a mention by Buntibiz of the fact that if it could</w:t>
      </w:r>
      <w:r w:rsidR="00535960">
        <w:rPr>
          <w:rFonts w:ascii="Arial" w:hAnsi="Arial" w:cs="Arial"/>
          <w:sz w:val="24"/>
          <w:szCs w:val="24"/>
          <w:lang w:val="en-US"/>
        </w:rPr>
        <w:t xml:space="preserve"> </w:t>
      </w:r>
      <w:r>
        <w:rPr>
          <w:rFonts w:ascii="Arial" w:hAnsi="Arial" w:cs="Arial"/>
          <w:sz w:val="24"/>
          <w:szCs w:val="24"/>
          <w:lang w:val="en-US"/>
        </w:rPr>
        <w:t>n</w:t>
      </w:r>
      <w:r w:rsidR="00535960">
        <w:rPr>
          <w:rFonts w:ascii="Arial" w:hAnsi="Arial" w:cs="Arial"/>
          <w:sz w:val="24"/>
          <w:szCs w:val="24"/>
          <w:lang w:val="en-US"/>
        </w:rPr>
        <w:t>o</w:t>
      </w:r>
      <w:r>
        <w:rPr>
          <w:rFonts w:ascii="Arial" w:hAnsi="Arial" w:cs="Arial"/>
          <w:sz w:val="24"/>
          <w:szCs w:val="24"/>
          <w:lang w:val="en-US"/>
        </w:rPr>
        <w:t>t get a licence it wanted a refund.</w:t>
      </w:r>
    </w:p>
    <w:p w14:paraId="4C55BAFD" w14:textId="75D5258C" w:rsidR="00C10086" w:rsidRDefault="00432FD6" w:rsidP="00C10086">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063648">
        <w:rPr>
          <w:rFonts w:ascii="Arial" w:hAnsi="Arial" w:cs="Arial"/>
          <w:sz w:val="24"/>
          <w:szCs w:val="24"/>
          <w:lang w:val="en-US"/>
        </w:rPr>
        <w:t>70</w:t>
      </w:r>
      <w:r>
        <w:rPr>
          <w:rFonts w:ascii="Arial" w:hAnsi="Arial" w:cs="Arial"/>
          <w:sz w:val="24"/>
          <w:szCs w:val="24"/>
          <w:lang w:val="en-US"/>
        </w:rPr>
        <w:t>]</w:t>
      </w:r>
      <w:r>
        <w:rPr>
          <w:rFonts w:ascii="Arial" w:hAnsi="Arial" w:cs="Arial"/>
          <w:sz w:val="24"/>
          <w:szCs w:val="24"/>
          <w:lang w:val="en-US"/>
        </w:rPr>
        <w:tab/>
      </w:r>
      <w:r w:rsidR="0022379C">
        <w:rPr>
          <w:rFonts w:ascii="Arial" w:hAnsi="Arial" w:cs="Arial"/>
          <w:color w:val="FF0000"/>
          <w:sz w:val="24"/>
          <w:szCs w:val="24"/>
          <w:lang w:val="en-US"/>
        </w:rPr>
        <w:t xml:space="preserve"> </w:t>
      </w:r>
      <w:r w:rsidR="0022379C" w:rsidRPr="000C0245">
        <w:rPr>
          <w:rFonts w:ascii="Arial" w:hAnsi="Arial" w:cs="Arial"/>
          <w:color w:val="000000" w:themeColor="text1"/>
          <w:sz w:val="24"/>
          <w:szCs w:val="24"/>
          <w:lang w:val="en-US"/>
        </w:rPr>
        <w:t xml:space="preserve">In weighing up the evidence in its totality, the importation of the tacit term is not supported by the </w:t>
      </w:r>
      <w:r w:rsidR="002C4E8D" w:rsidRPr="000C0245">
        <w:rPr>
          <w:rFonts w:ascii="Arial" w:hAnsi="Arial" w:cs="Arial"/>
          <w:color w:val="000000" w:themeColor="text1"/>
          <w:sz w:val="24"/>
          <w:szCs w:val="24"/>
          <w:lang w:val="en-US"/>
        </w:rPr>
        <w:t>evidence,</w:t>
      </w:r>
      <w:r w:rsidR="0022379C" w:rsidRPr="000C0245">
        <w:rPr>
          <w:rFonts w:ascii="Arial" w:hAnsi="Arial" w:cs="Arial"/>
          <w:color w:val="000000" w:themeColor="text1"/>
          <w:sz w:val="24"/>
          <w:szCs w:val="24"/>
          <w:lang w:val="en-US"/>
        </w:rPr>
        <w:t xml:space="preserve"> including the plaintiff’s evidence. It would vary the sale agreement in a manner that would be inconsistent with its agreed material terms and its purpose and would thus lead to unbusinesslike consequences. It follows that the evidence of Le Roux must be preferred as reliable over that of McLoughlin. The evidence of Cloete confirmed that the only reason for the refusal of the licence was as a result of the unwillingness of Buntibiz, against </w:t>
      </w:r>
      <w:r w:rsidR="0022379C" w:rsidRPr="000C0245">
        <w:rPr>
          <w:rFonts w:ascii="Arial" w:hAnsi="Arial" w:cs="Arial"/>
          <w:color w:val="000000" w:themeColor="text1"/>
          <w:sz w:val="24"/>
          <w:szCs w:val="24"/>
          <w:lang w:val="en-US"/>
        </w:rPr>
        <w:lastRenderedPageBreak/>
        <w:t xml:space="preserve">his advice, to restructure inorder to comply with the transformation imperatives as prescribed by law. </w:t>
      </w:r>
      <w:r w:rsidR="004530B3">
        <w:rPr>
          <w:rFonts w:ascii="Arial" w:hAnsi="Arial" w:cs="Arial"/>
          <w:color w:val="000000" w:themeColor="text1"/>
          <w:sz w:val="24"/>
          <w:szCs w:val="24"/>
          <w:lang w:val="en-US"/>
        </w:rPr>
        <w:t xml:space="preserve"> I also accept the evidence of Le Roux as a representative of Quest Retail in the sale agreement that it would have told him to get another buyer if he sought its consent on the tacit term,because his authority in this regard was not impugned. </w:t>
      </w:r>
    </w:p>
    <w:p w14:paraId="7FC9EBF1" w14:textId="7CB19C57" w:rsidR="00F46F56" w:rsidRPr="00F46F56" w:rsidRDefault="004530B3" w:rsidP="002C4E8D">
      <w:pPr>
        <w:spacing w:line="480" w:lineRule="auto"/>
        <w:jc w:val="both"/>
        <w:rPr>
          <w:rFonts w:ascii="Arial" w:hAnsi="Arial" w:cs="Arial"/>
          <w:i/>
          <w:iCs/>
          <w:sz w:val="24"/>
          <w:szCs w:val="24"/>
          <w:lang w:val="en-US"/>
        </w:rPr>
      </w:pPr>
      <w:r>
        <w:rPr>
          <w:rFonts w:ascii="Arial" w:hAnsi="Arial" w:cs="Arial"/>
          <w:i/>
          <w:iCs/>
          <w:sz w:val="24"/>
          <w:szCs w:val="24"/>
          <w:lang w:val="en-US"/>
        </w:rPr>
        <w:t>The Law</w:t>
      </w:r>
    </w:p>
    <w:p w14:paraId="46FA1C12" w14:textId="07B99967" w:rsidR="00EC5929" w:rsidRDefault="00D66A08" w:rsidP="006E5EE6">
      <w:pPr>
        <w:spacing w:line="360" w:lineRule="auto"/>
        <w:ind w:left="720" w:hanging="720"/>
        <w:jc w:val="both"/>
        <w:rPr>
          <w:rFonts w:ascii="Arial" w:hAnsi="Arial" w:cs="Arial"/>
          <w:sz w:val="24"/>
          <w:szCs w:val="24"/>
          <w:lang w:val="en-US"/>
        </w:rPr>
      </w:pPr>
      <w:r>
        <w:rPr>
          <w:rFonts w:ascii="Arial" w:hAnsi="Arial" w:cs="Arial"/>
          <w:sz w:val="24"/>
          <w:szCs w:val="24"/>
          <w:lang w:val="en-US"/>
        </w:rPr>
        <w:t>[</w:t>
      </w:r>
      <w:r w:rsidR="00063648">
        <w:rPr>
          <w:rFonts w:ascii="Arial" w:hAnsi="Arial" w:cs="Arial"/>
          <w:sz w:val="24"/>
          <w:szCs w:val="24"/>
          <w:lang w:val="en-US"/>
        </w:rPr>
        <w:t>71</w:t>
      </w:r>
      <w:r>
        <w:rPr>
          <w:rFonts w:ascii="Arial" w:hAnsi="Arial" w:cs="Arial"/>
          <w:sz w:val="24"/>
          <w:szCs w:val="24"/>
          <w:lang w:val="en-US"/>
        </w:rPr>
        <w:t>]</w:t>
      </w:r>
      <w:r>
        <w:rPr>
          <w:rFonts w:ascii="Arial" w:hAnsi="Arial" w:cs="Arial"/>
          <w:sz w:val="24"/>
          <w:szCs w:val="24"/>
          <w:lang w:val="en-US"/>
        </w:rPr>
        <w:tab/>
      </w:r>
      <w:r w:rsidR="006E5EE6">
        <w:rPr>
          <w:rFonts w:ascii="Arial" w:hAnsi="Arial" w:cs="Arial"/>
          <w:sz w:val="24"/>
          <w:szCs w:val="24"/>
          <w:lang w:val="en-US"/>
        </w:rPr>
        <w:t xml:space="preserve">Buntibiz bore the onus to prove its case. In </w:t>
      </w:r>
      <w:r>
        <w:rPr>
          <w:rFonts w:ascii="Arial" w:hAnsi="Arial" w:cs="Arial"/>
          <w:sz w:val="24"/>
          <w:szCs w:val="24"/>
          <w:lang w:val="en-US"/>
        </w:rPr>
        <w:t xml:space="preserve">the </w:t>
      </w:r>
      <w:r w:rsidR="000202D3">
        <w:rPr>
          <w:rFonts w:ascii="Arial" w:hAnsi="Arial" w:cs="Arial"/>
          <w:i/>
          <w:iCs/>
          <w:sz w:val="24"/>
          <w:szCs w:val="24"/>
          <w:lang w:val="en-US"/>
        </w:rPr>
        <w:t xml:space="preserve">City of Tshwane </w:t>
      </w:r>
      <w:r w:rsidR="000202D3">
        <w:rPr>
          <w:rFonts w:ascii="Arial" w:hAnsi="Arial" w:cs="Arial"/>
          <w:sz w:val="24"/>
          <w:szCs w:val="24"/>
          <w:lang w:val="en-US"/>
        </w:rPr>
        <w:t xml:space="preserve">matter </w:t>
      </w:r>
      <w:r w:rsidR="00F97F45">
        <w:rPr>
          <w:rFonts w:ascii="Arial" w:hAnsi="Arial" w:cs="Arial"/>
          <w:sz w:val="24"/>
          <w:szCs w:val="24"/>
          <w:lang w:val="en-US"/>
        </w:rPr>
        <w:t xml:space="preserve">with </w:t>
      </w:r>
      <w:r w:rsidR="008E0200">
        <w:rPr>
          <w:rFonts w:ascii="Arial" w:hAnsi="Arial" w:cs="Arial"/>
          <w:sz w:val="24"/>
          <w:szCs w:val="24"/>
          <w:lang w:val="en-US"/>
        </w:rPr>
        <w:t>specific reference to paragraph 16</w:t>
      </w:r>
      <w:r w:rsidR="00FD6138">
        <w:rPr>
          <w:rFonts w:ascii="Arial" w:hAnsi="Arial" w:cs="Arial"/>
          <w:sz w:val="24"/>
          <w:szCs w:val="24"/>
          <w:lang w:val="en-US"/>
        </w:rPr>
        <w:t xml:space="preserve"> the Supreme Court of Appeal </w:t>
      </w:r>
      <w:r w:rsidR="00275233">
        <w:rPr>
          <w:rFonts w:ascii="Arial" w:hAnsi="Arial" w:cs="Arial"/>
          <w:sz w:val="24"/>
          <w:szCs w:val="24"/>
          <w:lang w:val="en-US"/>
        </w:rPr>
        <w:t>stated</w:t>
      </w:r>
      <w:r w:rsidR="00F97F45">
        <w:rPr>
          <w:rFonts w:ascii="Arial" w:hAnsi="Arial" w:cs="Arial"/>
          <w:sz w:val="24"/>
          <w:szCs w:val="24"/>
          <w:lang w:val="en-US"/>
        </w:rPr>
        <w:t xml:space="preserve">: </w:t>
      </w:r>
    </w:p>
    <w:p w14:paraId="5522F504" w14:textId="3DEC3FB5" w:rsidR="00C10086" w:rsidRDefault="00275233" w:rsidP="00171770">
      <w:pPr>
        <w:spacing w:line="240" w:lineRule="auto"/>
        <w:ind w:left="1440"/>
        <w:jc w:val="both"/>
        <w:rPr>
          <w:rFonts w:ascii="Arial" w:hAnsi="Arial" w:cs="Arial"/>
          <w:sz w:val="18"/>
          <w:szCs w:val="18"/>
          <w:lang w:val="en-US"/>
        </w:rPr>
      </w:pPr>
      <w:r w:rsidRPr="00F65FAF">
        <w:rPr>
          <w:rFonts w:ascii="Arial" w:hAnsi="Arial" w:cs="Arial"/>
          <w:sz w:val="18"/>
          <w:szCs w:val="18"/>
          <w:lang w:val="en-US"/>
        </w:rPr>
        <w:t>“</w:t>
      </w:r>
      <w:r w:rsidR="00F97F45" w:rsidRPr="00F65FAF">
        <w:rPr>
          <w:rFonts w:ascii="Arial" w:hAnsi="Arial" w:cs="Arial"/>
          <w:i/>
          <w:iCs/>
          <w:sz w:val="18"/>
          <w:szCs w:val="18"/>
          <w:lang w:val="en-US"/>
        </w:rPr>
        <w:t>A</w:t>
      </w:r>
      <w:r w:rsidRPr="00F65FAF">
        <w:rPr>
          <w:rFonts w:ascii="Arial" w:hAnsi="Arial" w:cs="Arial"/>
          <w:i/>
          <w:iCs/>
          <w:sz w:val="18"/>
          <w:szCs w:val="18"/>
          <w:lang w:val="en-US"/>
        </w:rPr>
        <w:t xml:space="preserve"> tacit term is an </w:t>
      </w:r>
      <w:r w:rsidR="00011050" w:rsidRPr="00F65FAF">
        <w:rPr>
          <w:rFonts w:ascii="Arial" w:hAnsi="Arial" w:cs="Arial"/>
          <w:i/>
          <w:iCs/>
          <w:sz w:val="18"/>
          <w:szCs w:val="18"/>
          <w:lang w:val="en-US"/>
        </w:rPr>
        <w:t xml:space="preserve">unexpressed provision of </w:t>
      </w:r>
      <w:r w:rsidR="00DF23AD" w:rsidRPr="00F65FAF">
        <w:rPr>
          <w:rFonts w:ascii="Arial" w:hAnsi="Arial" w:cs="Arial"/>
          <w:i/>
          <w:iCs/>
          <w:sz w:val="18"/>
          <w:szCs w:val="18"/>
          <w:lang w:val="en-US"/>
        </w:rPr>
        <w:t>a contract.</w:t>
      </w:r>
      <w:r w:rsidR="00473BAA" w:rsidRPr="00F65FAF">
        <w:rPr>
          <w:rFonts w:ascii="Arial" w:hAnsi="Arial" w:cs="Arial"/>
          <w:i/>
          <w:iCs/>
          <w:sz w:val="18"/>
          <w:szCs w:val="18"/>
          <w:lang w:val="en-US"/>
        </w:rPr>
        <w:t xml:space="preserve"> It is inferred primarily</w:t>
      </w:r>
      <w:r w:rsidR="00733105" w:rsidRPr="00F65FAF">
        <w:rPr>
          <w:rFonts w:ascii="Arial" w:hAnsi="Arial" w:cs="Arial"/>
          <w:i/>
          <w:iCs/>
          <w:sz w:val="18"/>
          <w:szCs w:val="18"/>
          <w:lang w:val="en-US"/>
        </w:rPr>
        <w:t xml:space="preserve"> from the express terms </w:t>
      </w:r>
      <w:r w:rsidR="00B748D4" w:rsidRPr="00F65FAF">
        <w:rPr>
          <w:rFonts w:ascii="Arial" w:hAnsi="Arial" w:cs="Arial"/>
          <w:i/>
          <w:iCs/>
          <w:sz w:val="18"/>
          <w:szCs w:val="18"/>
          <w:lang w:val="en-US"/>
        </w:rPr>
        <w:t xml:space="preserve">and the admissible context of the </w:t>
      </w:r>
      <w:r w:rsidR="002031C3" w:rsidRPr="00F65FAF">
        <w:rPr>
          <w:rFonts w:ascii="Arial" w:hAnsi="Arial" w:cs="Arial"/>
          <w:i/>
          <w:iCs/>
          <w:sz w:val="18"/>
          <w:szCs w:val="18"/>
          <w:lang w:val="en-US"/>
        </w:rPr>
        <w:t xml:space="preserve">contract. A </w:t>
      </w:r>
      <w:r w:rsidR="003E5FD0" w:rsidRPr="00F65FAF">
        <w:rPr>
          <w:rFonts w:ascii="Arial" w:hAnsi="Arial" w:cs="Arial"/>
          <w:i/>
          <w:iCs/>
          <w:sz w:val="18"/>
          <w:szCs w:val="18"/>
          <w:lang w:val="en-US"/>
        </w:rPr>
        <w:t xml:space="preserve">court will not readily infer a </w:t>
      </w:r>
      <w:r w:rsidR="00D54BB1" w:rsidRPr="00F65FAF">
        <w:rPr>
          <w:rFonts w:ascii="Arial" w:hAnsi="Arial" w:cs="Arial"/>
          <w:i/>
          <w:iCs/>
          <w:sz w:val="18"/>
          <w:szCs w:val="18"/>
          <w:lang w:val="en-US"/>
        </w:rPr>
        <w:t xml:space="preserve">tacit term, because it may not make a contract </w:t>
      </w:r>
      <w:r w:rsidR="000D76BB" w:rsidRPr="00F65FAF">
        <w:rPr>
          <w:rFonts w:ascii="Arial" w:hAnsi="Arial" w:cs="Arial"/>
          <w:i/>
          <w:iCs/>
          <w:sz w:val="18"/>
          <w:szCs w:val="18"/>
          <w:lang w:val="en-US"/>
        </w:rPr>
        <w:t xml:space="preserve">for the parties. The inference must be </w:t>
      </w:r>
      <w:r w:rsidR="00F32933" w:rsidRPr="00F65FAF">
        <w:rPr>
          <w:rFonts w:ascii="Arial" w:hAnsi="Arial" w:cs="Arial"/>
          <w:i/>
          <w:iCs/>
          <w:sz w:val="18"/>
          <w:szCs w:val="18"/>
          <w:lang w:val="en-US"/>
        </w:rPr>
        <w:t xml:space="preserve">a necessary one, </w:t>
      </w:r>
      <w:r w:rsidR="00FD10EB" w:rsidRPr="00F65FAF">
        <w:rPr>
          <w:rFonts w:ascii="Arial" w:hAnsi="Arial" w:cs="Arial"/>
          <w:i/>
          <w:iCs/>
          <w:sz w:val="18"/>
          <w:szCs w:val="18"/>
          <w:lang w:val="en-US"/>
        </w:rPr>
        <w:t>namely that the parties necessarily</w:t>
      </w:r>
      <w:r w:rsidR="00560FB6">
        <w:rPr>
          <w:rFonts w:ascii="Arial" w:hAnsi="Arial" w:cs="Arial"/>
          <w:i/>
          <w:iCs/>
          <w:sz w:val="24"/>
          <w:szCs w:val="24"/>
          <w:lang w:val="en-US"/>
        </w:rPr>
        <w:t xml:space="preserve"> </w:t>
      </w:r>
      <w:r w:rsidR="00560FB6" w:rsidRPr="00F65FAF">
        <w:rPr>
          <w:rFonts w:ascii="Arial" w:hAnsi="Arial" w:cs="Arial"/>
          <w:i/>
          <w:iCs/>
          <w:sz w:val="18"/>
          <w:szCs w:val="18"/>
          <w:lang w:val="en-US"/>
        </w:rPr>
        <w:t>must have or</w:t>
      </w:r>
      <w:r w:rsidR="00560FB6">
        <w:rPr>
          <w:rFonts w:ascii="Arial" w:hAnsi="Arial" w:cs="Arial"/>
          <w:i/>
          <w:iCs/>
          <w:sz w:val="24"/>
          <w:szCs w:val="24"/>
          <w:lang w:val="en-US"/>
        </w:rPr>
        <w:t xml:space="preserve"> </w:t>
      </w:r>
      <w:r w:rsidR="00560FB6" w:rsidRPr="00F65FAF">
        <w:rPr>
          <w:rFonts w:ascii="Arial" w:hAnsi="Arial" w:cs="Arial"/>
          <w:i/>
          <w:iCs/>
          <w:sz w:val="18"/>
          <w:szCs w:val="18"/>
          <w:lang w:val="en-US"/>
        </w:rPr>
        <w:t xml:space="preserve">would have agreed </w:t>
      </w:r>
      <w:r w:rsidR="00A51F8C" w:rsidRPr="00F65FAF">
        <w:rPr>
          <w:rFonts w:ascii="Arial" w:hAnsi="Arial" w:cs="Arial"/>
          <w:i/>
          <w:iCs/>
          <w:sz w:val="18"/>
          <w:szCs w:val="18"/>
          <w:lang w:val="en-US"/>
        </w:rPr>
        <w:t>to the suggested term.</w:t>
      </w:r>
      <w:r w:rsidR="00B86D90" w:rsidRPr="00F65FAF">
        <w:rPr>
          <w:rFonts w:ascii="Arial" w:hAnsi="Arial" w:cs="Arial"/>
          <w:i/>
          <w:iCs/>
          <w:sz w:val="18"/>
          <w:szCs w:val="18"/>
          <w:lang w:val="en-US"/>
        </w:rPr>
        <w:t xml:space="preserve"> A relevant fact in this regard is whether </w:t>
      </w:r>
      <w:r w:rsidR="003A10C1" w:rsidRPr="00F65FAF">
        <w:rPr>
          <w:rFonts w:ascii="Arial" w:hAnsi="Arial" w:cs="Arial"/>
          <w:i/>
          <w:iCs/>
          <w:sz w:val="18"/>
          <w:szCs w:val="18"/>
          <w:lang w:val="en-US"/>
        </w:rPr>
        <w:t xml:space="preserve">the contract is </w:t>
      </w:r>
      <w:r w:rsidR="007328E3" w:rsidRPr="00F65FAF">
        <w:rPr>
          <w:rFonts w:ascii="Arial" w:hAnsi="Arial" w:cs="Arial"/>
          <w:i/>
          <w:iCs/>
          <w:sz w:val="18"/>
          <w:szCs w:val="18"/>
          <w:lang w:val="en-US"/>
        </w:rPr>
        <w:t>efficacious</w:t>
      </w:r>
      <w:r w:rsidR="003A10C1" w:rsidRPr="00F65FAF">
        <w:rPr>
          <w:rFonts w:ascii="Arial" w:hAnsi="Arial" w:cs="Arial"/>
          <w:i/>
          <w:iCs/>
          <w:sz w:val="18"/>
          <w:szCs w:val="18"/>
          <w:lang w:val="en-US"/>
        </w:rPr>
        <w:t xml:space="preserve"> </w:t>
      </w:r>
      <w:r w:rsidR="002E4746" w:rsidRPr="00F65FAF">
        <w:rPr>
          <w:rFonts w:ascii="Arial" w:hAnsi="Arial" w:cs="Arial"/>
          <w:i/>
          <w:iCs/>
          <w:sz w:val="18"/>
          <w:szCs w:val="18"/>
          <w:lang w:val="en-US"/>
        </w:rPr>
        <w:t>and complete or whether</w:t>
      </w:r>
      <w:r w:rsidR="00E94E7B" w:rsidRPr="00F65FAF">
        <w:rPr>
          <w:rFonts w:ascii="Arial" w:hAnsi="Arial" w:cs="Arial"/>
          <w:i/>
          <w:iCs/>
          <w:sz w:val="18"/>
          <w:szCs w:val="18"/>
          <w:lang w:val="en-US"/>
        </w:rPr>
        <w:t>,</w:t>
      </w:r>
      <w:r w:rsidR="002E4746" w:rsidRPr="00F65FAF">
        <w:rPr>
          <w:rFonts w:ascii="Arial" w:hAnsi="Arial" w:cs="Arial"/>
          <w:i/>
          <w:iCs/>
          <w:sz w:val="18"/>
          <w:szCs w:val="18"/>
          <w:lang w:val="en-US"/>
        </w:rPr>
        <w:t xml:space="preserve"> on the other hand</w:t>
      </w:r>
      <w:r w:rsidR="00E94E7B" w:rsidRPr="00F65FAF">
        <w:rPr>
          <w:rFonts w:ascii="Arial" w:hAnsi="Arial" w:cs="Arial"/>
          <w:i/>
          <w:iCs/>
          <w:sz w:val="18"/>
          <w:szCs w:val="18"/>
          <w:lang w:val="en-US"/>
        </w:rPr>
        <w:t>,</w:t>
      </w:r>
      <w:r w:rsidR="002C420A" w:rsidRPr="00F65FAF">
        <w:rPr>
          <w:rFonts w:ascii="Arial" w:hAnsi="Arial" w:cs="Arial"/>
          <w:i/>
          <w:iCs/>
          <w:sz w:val="18"/>
          <w:szCs w:val="18"/>
          <w:lang w:val="en-US"/>
        </w:rPr>
        <w:t xml:space="preserve"> the proposed tacit term is essential</w:t>
      </w:r>
      <w:r w:rsidR="00E72009" w:rsidRPr="00F65FAF">
        <w:rPr>
          <w:rFonts w:ascii="Arial" w:hAnsi="Arial" w:cs="Arial"/>
          <w:i/>
          <w:iCs/>
          <w:sz w:val="18"/>
          <w:szCs w:val="18"/>
          <w:lang w:val="en-US"/>
        </w:rPr>
        <w:t xml:space="preserve"> to lend business efficacy </w:t>
      </w:r>
      <w:r w:rsidR="009E7257" w:rsidRPr="00F65FAF">
        <w:rPr>
          <w:rFonts w:ascii="Arial" w:hAnsi="Arial" w:cs="Arial"/>
          <w:i/>
          <w:iCs/>
          <w:sz w:val="18"/>
          <w:szCs w:val="18"/>
          <w:lang w:val="en-US"/>
        </w:rPr>
        <w:t>to the</w:t>
      </w:r>
      <w:r w:rsidR="002F599C" w:rsidRPr="00F65FAF">
        <w:rPr>
          <w:rFonts w:ascii="Arial" w:hAnsi="Arial" w:cs="Arial"/>
          <w:i/>
          <w:iCs/>
          <w:sz w:val="18"/>
          <w:szCs w:val="18"/>
          <w:lang w:val="en-US"/>
        </w:rPr>
        <w:t xml:space="preserve"> contract. </w:t>
      </w:r>
      <w:r w:rsidR="00F20074" w:rsidRPr="00F65FAF">
        <w:rPr>
          <w:rFonts w:ascii="Arial" w:hAnsi="Arial" w:cs="Arial"/>
          <w:i/>
          <w:iCs/>
          <w:sz w:val="18"/>
          <w:szCs w:val="18"/>
          <w:lang w:val="en-US"/>
        </w:rPr>
        <w:t xml:space="preserve">‘The celebrated </w:t>
      </w:r>
      <w:r w:rsidR="005054DC" w:rsidRPr="00F65FAF">
        <w:rPr>
          <w:rFonts w:ascii="Arial" w:hAnsi="Arial" w:cs="Arial"/>
          <w:i/>
          <w:iCs/>
          <w:sz w:val="18"/>
          <w:szCs w:val="18"/>
          <w:lang w:val="en-US"/>
        </w:rPr>
        <w:t xml:space="preserve">bystander test constitutes a </w:t>
      </w:r>
      <w:r w:rsidR="002828DD" w:rsidRPr="00F65FAF">
        <w:rPr>
          <w:rFonts w:ascii="Arial" w:hAnsi="Arial" w:cs="Arial"/>
          <w:i/>
          <w:iCs/>
          <w:sz w:val="18"/>
          <w:szCs w:val="18"/>
          <w:lang w:val="en-US"/>
        </w:rPr>
        <w:t xml:space="preserve">practical tool </w:t>
      </w:r>
      <w:r w:rsidR="000552CC" w:rsidRPr="00F65FAF">
        <w:rPr>
          <w:rFonts w:ascii="Arial" w:hAnsi="Arial" w:cs="Arial"/>
          <w:i/>
          <w:iCs/>
          <w:sz w:val="18"/>
          <w:szCs w:val="18"/>
          <w:lang w:val="en-US"/>
        </w:rPr>
        <w:t>for the determination of a tacit term</w:t>
      </w:r>
      <w:r w:rsidR="007E79E1" w:rsidRPr="00F65FAF">
        <w:rPr>
          <w:rFonts w:ascii="Arial" w:hAnsi="Arial" w:cs="Arial"/>
          <w:i/>
          <w:iCs/>
          <w:sz w:val="18"/>
          <w:szCs w:val="18"/>
          <w:lang w:val="en-US"/>
        </w:rPr>
        <w:t xml:space="preserve">. To satisfy the test the inference </w:t>
      </w:r>
      <w:r w:rsidR="00F61D9C" w:rsidRPr="00F65FAF">
        <w:rPr>
          <w:rFonts w:ascii="Arial" w:hAnsi="Arial" w:cs="Arial"/>
          <w:i/>
          <w:iCs/>
          <w:sz w:val="18"/>
          <w:szCs w:val="18"/>
          <w:lang w:val="en-US"/>
        </w:rPr>
        <w:t xml:space="preserve">must be that each of the </w:t>
      </w:r>
      <w:r w:rsidR="0067311E" w:rsidRPr="00F65FAF">
        <w:rPr>
          <w:rFonts w:ascii="Arial" w:hAnsi="Arial" w:cs="Arial"/>
          <w:i/>
          <w:iCs/>
          <w:sz w:val="18"/>
          <w:szCs w:val="18"/>
          <w:lang w:val="en-US"/>
        </w:rPr>
        <w:t xml:space="preserve">parties would inevitably </w:t>
      </w:r>
      <w:r w:rsidR="00312300" w:rsidRPr="00F65FAF">
        <w:rPr>
          <w:rFonts w:ascii="Arial" w:hAnsi="Arial" w:cs="Arial"/>
          <w:i/>
          <w:iCs/>
          <w:sz w:val="18"/>
          <w:szCs w:val="18"/>
          <w:lang w:val="en-US"/>
        </w:rPr>
        <w:t xml:space="preserve">have provided the same </w:t>
      </w:r>
      <w:r w:rsidR="004E1FE6" w:rsidRPr="00F65FAF">
        <w:rPr>
          <w:rFonts w:ascii="Arial" w:hAnsi="Arial" w:cs="Arial"/>
          <w:i/>
          <w:iCs/>
          <w:sz w:val="18"/>
          <w:szCs w:val="18"/>
          <w:lang w:val="en-US"/>
        </w:rPr>
        <w:t>unequivocal answer to the bystander</w:t>
      </w:r>
      <w:r w:rsidR="00F65FAF" w:rsidRPr="00F65FAF">
        <w:rPr>
          <w:rFonts w:ascii="Arial" w:hAnsi="Arial" w:cs="Arial"/>
          <w:i/>
          <w:iCs/>
          <w:sz w:val="18"/>
          <w:szCs w:val="18"/>
          <w:lang w:val="en-US"/>
        </w:rPr>
        <w:t>’</w:t>
      </w:r>
      <w:r w:rsidR="004E1FE6" w:rsidRPr="00F65FAF">
        <w:rPr>
          <w:rFonts w:ascii="Arial" w:hAnsi="Arial" w:cs="Arial"/>
          <w:i/>
          <w:iCs/>
          <w:sz w:val="18"/>
          <w:szCs w:val="18"/>
          <w:lang w:val="en-US"/>
        </w:rPr>
        <w:t>s</w:t>
      </w:r>
      <w:r w:rsidR="00C40749" w:rsidRPr="00F65FAF">
        <w:rPr>
          <w:rFonts w:ascii="Arial" w:hAnsi="Arial" w:cs="Arial"/>
          <w:i/>
          <w:iCs/>
          <w:sz w:val="18"/>
          <w:szCs w:val="18"/>
          <w:lang w:val="en-US"/>
        </w:rPr>
        <w:t xml:space="preserve"> hypothetical question</w:t>
      </w:r>
      <w:r w:rsidR="00860C13" w:rsidRPr="00F65FAF">
        <w:rPr>
          <w:rFonts w:ascii="Arial" w:hAnsi="Arial" w:cs="Arial"/>
          <w:i/>
          <w:iCs/>
          <w:sz w:val="18"/>
          <w:szCs w:val="18"/>
          <w:lang w:val="en-US"/>
        </w:rPr>
        <w:t>. Even if the inference is</w:t>
      </w:r>
      <w:r w:rsidR="002174DF" w:rsidRPr="00F65FAF">
        <w:rPr>
          <w:rFonts w:ascii="Arial" w:hAnsi="Arial" w:cs="Arial"/>
          <w:i/>
          <w:iCs/>
          <w:sz w:val="18"/>
          <w:szCs w:val="18"/>
          <w:lang w:val="en-US"/>
        </w:rPr>
        <w:t xml:space="preserve"> that</w:t>
      </w:r>
      <w:r w:rsidR="00860C13" w:rsidRPr="00F65FAF">
        <w:rPr>
          <w:rFonts w:ascii="Arial" w:hAnsi="Arial" w:cs="Arial"/>
          <w:i/>
          <w:iCs/>
          <w:sz w:val="18"/>
          <w:szCs w:val="18"/>
          <w:lang w:val="en-US"/>
        </w:rPr>
        <w:t xml:space="preserve"> one of the </w:t>
      </w:r>
      <w:r w:rsidR="002174DF" w:rsidRPr="00F65FAF">
        <w:rPr>
          <w:rFonts w:ascii="Arial" w:hAnsi="Arial" w:cs="Arial"/>
          <w:i/>
          <w:iCs/>
          <w:sz w:val="18"/>
          <w:szCs w:val="18"/>
          <w:lang w:val="en-US"/>
        </w:rPr>
        <w:t xml:space="preserve">parties might have </w:t>
      </w:r>
      <w:r w:rsidR="00071016" w:rsidRPr="00F65FAF">
        <w:rPr>
          <w:rFonts w:ascii="Arial" w:hAnsi="Arial" w:cs="Arial"/>
          <w:i/>
          <w:iCs/>
          <w:sz w:val="18"/>
          <w:szCs w:val="18"/>
          <w:lang w:val="en-US"/>
        </w:rPr>
        <w:t xml:space="preserve">required </w:t>
      </w:r>
      <w:r w:rsidR="00E9779B" w:rsidRPr="00F65FAF">
        <w:rPr>
          <w:rFonts w:ascii="Arial" w:hAnsi="Arial" w:cs="Arial"/>
          <w:i/>
          <w:iCs/>
          <w:sz w:val="18"/>
          <w:szCs w:val="18"/>
          <w:lang w:val="en-US"/>
        </w:rPr>
        <w:t xml:space="preserve">time to consider the matter, the tacit </w:t>
      </w:r>
      <w:r w:rsidR="00D66B43" w:rsidRPr="00F65FAF">
        <w:rPr>
          <w:rFonts w:ascii="Arial" w:hAnsi="Arial" w:cs="Arial"/>
          <w:i/>
          <w:iCs/>
          <w:sz w:val="18"/>
          <w:szCs w:val="18"/>
          <w:lang w:val="en-US"/>
        </w:rPr>
        <w:t>term would not be established</w:t>
      </w:r>
      <w:r w:rsidR="002005C3" w:rsidRPr="00F65FAF">
        <w:rPr>
          <w:rFonts w:ascii="Arial" w:hAnsi="Arial" w:cs="Arial"/>
          <w:i/>
          <w:iCs/>
          <w:sz w:val="18"/>
          <w:szCs w:val="18"/>
          <w:lang w:val="en-US"/>
        </w:rPr>
        <w:t>’</w:t>
      </w:r>
      <w:r w:rsidR="002005C3">
        <w:rPr>
          <w:rFonts w:ascii="Arial" w:hAnsi="Arial" w:cs="Arial"/>
          <w:i/>
          <w:iCs/>
          <w:sz w:val="24"/>
          <w:szCs w:val="24"/>
          <w:lang w:val="en-US"/>
        </w:rPr>
        <w:t xml:space="preserve">” </w:t>
      </w:r>
      <w:r w:rsidR="002005C3">
        <w:rPr>
          <w:rFonts w:ascii="Arial" w:hAnsi="Arial" w:cs="Arial"/>
          <w:sz w:val="24"/>
          <w:szCs w:val="24"/>
          <w:lang w:val="en-US"/>
        </w:rPr>
        <w:t>(</w:t>
      </w:r>
      <w:r w:rsidR="002005C3" w:rsidRPr="00F65FAF">
        <w:rPr>
          <w:rFonts w:ascii="Arial" w:hAnsi="Arial" w:cs="Arial"/>
          <w:sz w:val="18"/>
          <w:szCs w:val="18"/>
          <w:lang w:val="en-US"/>
        </w:rPr>
        <w:t>footnotes omitted)</w:t>
      </w:r>
      <w:r w:rsidR="00EC5929" w:rsidRPr="00F65FAF">
        <w:rPr>
          <w:rFonts w:ascii="Arial" w:hAnsi="Arial" w:cs="Arial"/>
          <w:sz w:val="18"/>
          <w:szCs w:val="18"/>
          <w:lang w:val="en-US"/>
        </w:rPr>
        <w:t>.</w:t>
      </w:r>
    </w:p>
    <w:p w14:paraId="7DE8CAD4" w14:textId="77777777" w:rsidR="006E5EE6" w:rsidRPr="00171770" w:rsidRDefault="006E5EE6" w:rsidP="00171770">
      <w:pPr>
        <w:spacing w:line="240" w:lineRule="auto"/>
        <w:ind w:left="1440"/>
        <w:jc w:val="both"/>
        <w:rPr>
          <w:rFonts w:ascii="Arial" w:hAnsi="Arial" w:cs="Arial"/>
          <w:sz w:val="18"/>
          <w:szCs w:val="18"/>
          <w:lang w:val="en-US"/>
        </w:rPr>
      </w:pPr>
    </w:p>
    <w:p w14:paraId="20B11A5D" w14:textId="5B9230DC" w:rsidR="00274761" w:rsidRPr="00FE3B42" w:rsidRDefault="00C10086" w:rsidP="008D261D">
      <w:pPr>
        <w:spacing w:line="480" w:lineRule="auto"/>
        <w:ind w:left="720" w:hanging="720"/>
        <w:rPr>
          <w:rFonts w:ascii="Arial" w:hAnsi="Arial" w:cs="Arial"/>
          <w:color w:val="242121"/>
          <w:shd w:val="clear" w:color="auto" w:fill="FFFFFF"/>
        </w:rPr>
      </w:pPr>
      <w:r>
        <w:rPr>
          <w:rFonts w:ascii="Arial" w:hAnsi="Arial" w:cs="Arial"/>
          <w:color w:val="242121"/>
          <w:sz w:val="24"/>
          <w:szCs w:val="24"/>
          <w:shd w:val="clear" w:color="auto" w:fill="FFFFFF"/>
        </w:rPr>
        <w:t>[</w:t>
      </w:r>
      <w:r w:rsidR="00063648">
        <w:rPr>
          <w:rFonts w:ascii="Arial" w:hAnsi="Arial" w:cs="Arial"/>
          <w:color w:val="242121"/>
          <w:sz w:val="24"/>
          <w:szCs w:val="24"/>
          <w:shd w:val="clear" w:color="auto" w:fill="FFFFFF"/>
        </w:rPr>
        <w:t>72</w:t>
      </w:r>
      <w:r>
        <w:rPr>
          <w:rFonts w:ascii="Arial" w:hAnsi="Arial" w:cs="Arial"/>
          <w:color w:val="242121"/>
          <w:sz w:val="24"/>
          <w:szCs w:val="24"/>
          <w:shd w:val="clear" w:color="auto" w:fill="FFFFFF"/>
        </w:rPr>
        <w:t xml:space="preserve">] </w:t>
      </w:r>
      <w:r w:rsidR="008D261D">
        <w:rPr>
          <w:rFonts w:ascii="Arial" w:hAnsi="Arial" w:cs="Arial"/>
          <w:color w:val="242121"/>
          <w:sz w:val="24"/>
          <w:szCs w:val="24"/>
          <w:shd w:val="clear" w:color="auto" w:fill="FFFFFF"/>
        </w:rPr>
        <w:tab/>
      </w:r>
      <w:r w:rsidR="00274761" w:rsidRPr="00D273F0">
        <w:rPr>
          <w:rFonts w:ascii="Arial" w:hAnsi="Arial" w:cs="Arial"/>
          <w:color w:val="242121"/>
          <w:sz w:val="24"/>
          <w:szCs w:val="24"/>
          <w:shd w:val="clear" w:color="auto" w:fill="FFFFFF"/>
        </w:rPr>
        <w:t>Brand JA in</w:t>
      </w:r>
      <w:r w:rsidR="006E5EE6">
        <w:rPr>
          <w:rFonts w:ascii="Arial" w:hAnsi="Arial" w:cs="Arial"/>
          <w:color w:val="242121"/>
          <w:sz w:val="24"/>
          <w:szCs w:val="24"/>
          <w:shd w:val="clear" w:color="auto" w:fill="FFFFFF"/>
        </w:rPr>
        <w:t xml:space="preserve"> </w:t>
      </w:r>
      <w:r w:rsidR="006E5EE6" w:rsidRPr="002C4E8D">
        <w:rPr>
          <w:rFonts w:ascii="Arial" w:hAnsi="Arial" w:cs="Arial"/>
          <w:b/>
          <w:bCs/>
          <w:i/>
          <w:iCs/>
          <w:color w:val="242121"/>
          <w:sz w:val="24"/>
          <w:szCs w:val="24"/>
          <w:shd w:val="clear" w:color="auto" w:fill="FFFFFF"/>
        </w:rPr>
        <w:t xml:space="preserve">City of Cape Town </w:t>
      </w:r>
      <w:r w:rsidR="002C4E8D" w:rsidRPr="002C4E8D">
        <w:rPr>
          <w:rFonts w:ascii="Arial" w:hAnsi="Arial" w:cs="Arial"/>
          <w:b/>
          <w:bCs/>
          <w:i/>
          <w:iCs/>
          <w:color w:val="242121"/>
          <w:sz w:val="24"/>
          <w:szCs w:val="24"/>
          <w:shd w:val="clear" w:color="auto" w:fill="FFFFFF"/>
        </w:rPr>
        <w:t>(CMC</w:t>
      </w:r>
      <w:r w:rsidR="006E5EE6" w:rsidRPr="002C4E8D">
        <w:rPr>
          <w:rFonts w:ascii="Arial" w:hAnsi="Arial" w:cs="Arial"/>
          <w:b/>
          <w:bCs/>
          <w:i/>
          <w:iCs/>
          <w:color w:val="242121"/>
          <w:sz w:val="24"/>
          <w:szCs w:val="24"/>
          <w:shd w:val="clear" w:color="auto" w:fill="FFFFFF"/>
        </w:rPr>
        <w:t xml:space="preserve"> Administration) v</w:t>
      </w:r>
      <w:r w:rsidR="006E5EE6" w:rsidRPr="002C4E8D">
        <w:rPr>
          <w:rFonts w:ascii="Arial" w:hAnsi="Arial" w:cs="Arial"/>
          <w:i/>
          <w:iCs/>
          <w:color w:val="242121"/>
          <w:sz w:val="24"/>
          <w:szCs w:val="24"/>
          <w:shd w:val="clear" w:color="auto" w:fill="FFFFFF"/>
        </w:rPr>
        <w:t xml:space="preserve">  </w:t>
      </w:r>
      <w:r w:rsidR="00274761" w:rsidRPr="002C4E8D">
        <w:rPr>
          <w:rFonts w:ascii="Arial" w:hAnsi="Arial" w:cs="Arial"/>
          <w:i/>
          <w:iCs/>
          <w:color w:val="242121"/>
          <w:sz w:val="24"/>
          <w:szCs w:val="24"/>
          <w:shd w:val="clear" w:color="auto" w:fill="FFFFFF"/>
        </w:rPr>
        <w:t xml:space="preserve"> </w:t>
      </w:r>
      <w:r w:rsidR="00274761" w:rsidRPr="002C4E8D">
        <w:rPr>
          <w:rFonts w:ascii="Arial" w:hAnsi="Arial" w:cs="Arial"/>
          <w:b/>
          <w:bCs/>
          <w:i/>
          <w:iCs/>
          <w:color w:val="242121"/>
          <w:sz w:val="24"/>
          <w:szCs w:val="24"/>
          <w:shd w:val="clear" w:color="auto" w:fill="FFFFFF"/>
        </w:rPr>
        <w:t>Bourbon-Leftley</w:t>
      </w:r>
      <w:r w:rsidR="006E5EE6" w:rsidRPr="002C4E8D">
        <w:rPr>
          <w:rFonts w:ascii="Arial" w:hAnsi="Arial" w:cs="Arial"/>
          <w:b/>
          <w:bCs/>
          <w:i/>
          <w:iCs/>
          <w:color w:val="242121"/>
          <w:sz w:val="24"/>
          <w:szCs w:val="24"/>
          <w:shd w:val="clear" w:color="auto" w:fill="FFFFFF"/>
        </w:rPr>
        <w:t xml:space="preserve"> NNO</w:t>
      </w:r>
      <w:r w:rsidR="00274761" w:rsidRPr="00D273F0">
        <w:rPr>
          <w:rStyle w:val="FootnoteReference"/>
          <w:rFonts w:ascii="Arial" w:hAnsi="Arial" w:cs="Arial"/>
          <w:color w:val="242121"/>
          <w:sz w:val="24"/>
          <w:szCs w:val="24"/>
          <w:shd w:val="clear" w:color="auto" w:fill="FFFFFF"/>
        </w:rPr>
        <w:footnoteReference w:id="11"/>
      </w:r>
      <w:r w:rsidR="00274761" w:rsidRPr="00D273F0">
        <w:rPr>
          <w:rFonts w:ascii="Arial" w:hAnsi="Arial" w:cs="Arial"/>
          <w:color w:val="242121"/>
          <w:sz w:val="24"/>
          <w:szCs w:val="24"/>
          <w:shd w:val="clear" w:color="auto" w:fill="FFFFFF"/>
        </w:rPr>
        <w:t xml:space="preserve">  reiterated the principle that a tacit term is not easily inferred by the Court, </w:t>
      </w:r>
      <w:r w:rsidR="006E5EE6">
        <w:rPr>
          <w:rFonts w:ascii="Arial" w:hAnsi="Arial" w:cs="Arial"/>
          <w:color w:val="242121"/>
          <w:sz w:val="24"/>
          <w:szCs w:val="24"/>
          <w:shd w:val="clear" w:color="auto" w:fill="FFFFFF"/>
        </w:rPr>
        <w:t xml:space="preserve">and </w:t>
      </w:r>
      <w:r w:rsidR="00274761" w:rsidRPr="00D273F0">
        <w:rPr>
          <w:rFonts w:ascii="Arial" w:hAnsi="Arial" w:cs="Arial"/>
          <w:color w:val="242121"/>
          <w:sz w:val="24"/>
          <w:szCs w:val="24"/>
          <w:shd w:val="clear" w:color="auto" w:fill="FFFFFF"/>
        </w:rPr>
        <w:t>stated:</w:t>
      </w:r>
      <w:r w:rsidR="00274761" w:rsidRPr="00FE3B42">
        <w:rPr>
          <w:rFonts w:ascii="Arial" w:hAnsi="Arial" w:cs="Arial"/>
          <w:color w:val="242121"/>
          <w:shd w:val="clear" w:color="auto" w:fill="FFFFFF"/>
        </w:rPr>
        <w:t xml:space="preserve"> </w:t>
      </w:r>
    </w:p>
    <w:p w14:paraId="3D688CA5" w14:textId="5FCE58B0" w:rsidR="00274761" w:rsidRDefault="00274761" w:rsidP="00992967">
      <w:pPr>
        <w:spacing w:line="240" w:lineRule="auto"/>
        <w:ind w:left="2160" w:hanging="720"/>
        <w:jc w:val="both"/>
        <w:rPr>
          <w:rFonts w:ascii="Arial" w:hAnsi="Arial" w:cs="Arial"/>
          <w:sz w:val="18"/>
          <w:szCs w:val="18"/>
        </w:rPr>
      </w:pPr>
      <w:r w:rsidRPr="00FE3B42">
        <w:rPr>
          <w:rFonts w:ascii="Arial" w:hAnsi="Arial" w:cs="Arial"/>
          <w:i/>
          <w:iCs/>
          <w:color w:val="242121"/>
          <w:sz w:val="18"/>
          <w:szCs w:val="18"/>
          <w:shd w:val="clear" w:color="auto" w:fill="FFFFFF"/>
        </w:rPr>
        <w:t xml:space="preserve">“[19] </w:t>
      </w:r>
      <w:r w:rsidR="00171770">
        <w:rPr>
          <w:rFonts w:ascii="Arial" w:hAnsi="Arial" w:cs="Arial"/>
          <w:i/>
          <w:iCs/>
          <w:color w:val="242121"/>
          <w:sz w:val="18"/>
          <w:szCs w:val="18"/>
          <w:shd w:val="clear" w:color="auto" w:fill="FFFFFF"/>
        </w:rPr>
        <w:tab/>
      </w:r>
      <w:r w:rsidRPr="00FE3B42">
        <w:rPr>
          <w:rFonts w:ascii="Arial" w:hAnsi="Arial" w:cs="Arial"/>
          <w:i/>
          <w:iCs/>
          <w:color w:val="242121"/>
          <w:sz w:val="18"/>
          <w:szCs w:val="18"/>
          <w:shd w:val="clear" w:color="auto" w:fill="FFFFFF"/>
        </w:rPr>
        <w:t>As stated in these cases, a tacit term is based on an inference of what both parties must or would necessarily have agreed to, but which, for some reason or other,</w:t>
      </w:r>
      <w:r>
        <w:rPr>
          <w:rFonts w:ascii="Arial" w:hAnsi="Arial" w:cs="Arial"/>
          <w:i/>
          <w:iCs/>
          <w:color w:val="242121"/>
          <w:sz w:val="18"/>
          <w:szCs w:val="18"/>
          <w:shd w:val="clear" w:color="auto" w:fill="FFFFFF"/>
        </w:rPr>
        <w:t xml:space="preserve"> </w:t>
      </w:r>
      <w:r w:rsidRPr="00FE3B42">
        <w:rPr>
          <w:rFonts w:ascii="Arial" w:hAnsi="Arial" w:cs="Arial"/>
          <w:i/>
          <w:iCs/>
          <w:color w:val="242121"/>
          <w:sz w:val="18"/>
          <w:szCs w:val="18"/>
          <w:shd w:val="clear" w:color="auto" w:fill="FFFFFF"/>
        </w:rPr>
        <w:t>remained unexpressed. Like all other inferences, acceptance of the proposed tacit term is entirely dependent on the facts. But, as also appears from the cases referred to, a tacit term is not easily inferred by the courts. The reason for this reluctance is closely linked to the postulation that the courts can neither make contracts for people, nor</w:t>
      </w:r>
      <w:r>
        <w:rPr>
          <w:rFonts w:ascii="Arial" w:hAnsi="Arial" w:cs="Arial"/>
          <w:i/>
          <w:iCs/>
          <w:color w:val="242121"/>
          <w:sz w:val="18"/>
          <w:szCs w:val="18"/>
          <w:shd w:val="clear" w:color="auto" w:fill="FFFFFF"/>
        </w:rPr>
        <w:t xml:space="preserve"> </w:t>
      </w:r>
      <w:r w:rsidRPr="00FE3B42">
        <w:rPr>
          <w:rFonts w:ascii="Arial" w:hAnsi="Arial" w:cs="Arial"/>
          <w:i/>
          <w:iCs/>
          <w:color w:val="242121"/>
          <w:sz w:val="18"/>
          <w:szCs w:val="18"/>
          <w:shd w:val="clear" w:color="auto" w:fill="FFFFFF"/>
        </w:rPr>
        <w:t>supplement their agreements merely because it appears reasonable or convenient to do</w:t>
      </w:r>
      <w:r>
        <w:rPr>
          <w:rFonts w:ascii="Arial" w:hAnsi="Arial" w:cs="Arial"/>
          <w:i/>
          <w:iCs/>
          <w:color w:val="242121"/>
          <w:sz w:val="18"/>
          <w:szCs w:val="18"/>
          <w:shd w:val="clear" w:color="auto" w:fill="FFFFFF"/>
        </w:rPr>
        <w:t xml:space="preserve"> </w:t>
      </w:r>
      <w:r w:rsidRPr="00FE3B42">
        <w:rPr>
          <w:rFonts w:ascii="Arial" w:hAnsi="Arial" w:cs="Arial"/>
          <w:i/>
          <w:iCs/>
          <w:color w:val="242121"/>
          <w:sz w:val="18"/>
          <w:szCs w:val="18"/>
          <w:shd w:val="clear" w:color="auto" w:fill="FFFFFF"/>
        </w:rPr>
        <w:t>so (see eg</w:t>
      </w:r>
      <w:r w:rsidRPr="00FE3B42">
        <w:rPr>
          <w:rStyle w:val="apple-converted-space"/>
          <w:rFonts w:ascii="Arial" w:hAnsi="Arial" w:cs="Arial"/>
          <w:i/>
          <w:iCs/>
          <w:color w:val="242121"/>
          <w:sz w:val="18"/>
          <w:szCs w:val="18"/>
          <w:shd w:val="clear" w:color="auto" w:fill="FFFFFF"/>
        </w:rPr>
        <w:t> </w:t>
      </w:r>
      <w:r w:rsidRPr="00FE3B42">
        <w:rPr>
          <w:rFonts w:ascii="Arial" w:hAnsi="Arial" w:cs="Arial"/>
          <w:i/>
          <w:iCs/>
          <w:color w:val="242121"/>
          <w:sz w:val="18"/>
          <w:szCs w:val="18"/>
        </w:rPr>
        <w:t>Alfred McAlpine &amp; Son (Pty) Ltd v Transvaal Provincial Administration</w:t>
      </w:r>
      <w:r w:rsidRPr="00FE3B42">
        <w:rPr>
          <w:rStyle w:val="apple-converted-space"/>
          <w:rFonts w:ascii="Arial" w:hAnsi="Arial" w:cs="Arial"/>
          <w:i/>
          <w:iCs/>
          <w:color w:val="242121"/>
          <w:sz w:val="18"/>
          <w:szCs w:val="18"/>
        </w:rPr>
        <w:t> </w:t>
      </w:r>
      <w:hyperlink r:id="rId10" w:tooltip="View LawCiteRecord" w:history="1">
        <w:r w:rsidRPr="00FE3B42">
          <w:rPr>
            <w:rStyle w:val="Hyperlink"/>
            <w:rFonts w:ascii="Arial" w:hAnsi="Arial" w:cs="Arial"/>
            <w:i/>
            <w:iCs/>
            <w:color w:val="000000" w:themeColor="text1"/>
            <w:sz w:val="16"/>
            <w:szCs w:val="16"/>
          </w:rPr>
          <w:t>1974 (3) SA 506</w:t>
        </w:r>
      </w:hyperlink>
      <w:r w:rsidRPr="00FE3B42">
        <w:rPr>
          <w:rStyle w:val="apple-converted-space"/>
          <w:rFonts w:ascii="Arial" w:hAnsi="Arial" w:cs="Arial"/>
          <w:i/>
          <w:iCs/>
          <w:color w:val="000000" w:themeColor="text1"/>
          <w:sz w:val="18"/>
          <w:szCs w:val="18"/>
          <w:shd w:val="clear" w:color="auto" w:fill="FFFFFF"/>
        </w:rPr>
        <w:t> </w:t>
      </w:r>
      <w:r w:rsidRPr="00FE3B42">
        <w:rPr>
          <w:rFonts w:ascii="Arial" w:hAnsi="Arial" w:cs="Arial"/>
          <w:i/>
          <w:iCs/>
          <w:color w:val="242121"/>
          <w:sz w:val="18"/>
          <w:szCs w:val="18"/>
          <w:shd w:val="clear" w:color="auto" w:fill="FFFFFF"/>
        </w:rPr>
        <w:t>(A) at 532H). It follows that a term cannot be inferred because it would, on the application of the well</w:t>
      </w:r>
      <w:r>
        <w:rPr>
          <w:rFonts w:ascii="Arial" w:hAnsi="Arial" w:cs="Arial"/>
          <w:i/>
          <w:iCs/>
          <w:color w:val="242121"/>
          <w:sz w:val="18"/>
          <w:szCs w:val="18"/>
          <w:shd w:val="clear" w:color="auto" w:fill="FFFFFF"/>
        </w:rPr>
        <w:t>-</w:t>
      </w:r>
      <w:r w:rsidRPr="00FE3B42">
        <w:rPr>
          <w:rFonts w:ascii="Arial" w:hAnsi="Arial" w:cs="Arial"/>
          <w:i/>
          <w:iCs/>
          <w:color w:val="242121"/>
          <w:sz w:val="18"/>
          <w:szCs w:val="18"/>
          <w:shd w:val="clear" w:color="auto" w:fill="FFFFFF"/>
        </w:rPr>
        <w:t xml:space="preserve">known 'officious bystander' test, have been unreasonable of one of the parties not to agree to it upon the bystander’s suggestion. Nor can it be inferred because it would be convenient and might therefore very well have been incorporated in the contract if the parties had thought about it at the time. </w:t>
      </w:r>
      <w:r w:rsidRPr="00FE3B42">
        <w:rPr>
          <w:rFonts w:ascii="Arial" w:hAnsi="Arial" w:cs="Arial"/>
          <w:i/>
          <w:iCs/>
          <w:color w:val="242121"/>
          <w:sz w:val="18"/>
          <w:szCs w:val="18"/>
          <w:u w:val="single"/>
          <w:shd w:val="clear" w:color="auto" w:fill="FFFFFF"/>
        </w:rPr>
        <w:t>A proposed tacit term can only be imported into a contract if the court is satisfied that the parties would</w:t>
      </w:r>
      <w:r w:rsidRPr="00FE3B42">
        <w:rPr>
          <w:rStyle w:val="apple-converted-space"/>
          <w:rFonts w:ascii="Arial" w:hAnsi="Arial" w:cs="Arial"/>
          <w:i/>
          <w:iCs/>
          <w:color w:val="242121"/>
          <w:sz w:val="18"/>
          <w:szCs w:val="18"/>
          <w:u w:val="single"/>
          <w:shd w:val="clear" w:color="auto" w:fill="FFFFFF"/>
        </w:rPr>
        <w:t> </w:t>
      </w:r>
      <w:r w:rsidRPr="00FE3B42">
        <w:rPr>
          <w:rFonts w:ascii="Arial" w:hAnsi="Arial" w:cs="Arial"/>
          <w:i/>
          <w:iCs/>
          <w:color w:val="242121"/>
          <w:sz w:val="18"/>
          <w:szCs w:val="18"/>
          <w:u w:val="single"/>
        </w:rPr>
        <w:t>necessarily</w:t>
      </w:r>
      <w:r w:rsidRPr="00FE3B42">
        <w:rPr>
          <w:rStyle w:val="apple-converted-space"/>
          <w:rFonts w:ascii="Arial" w:hAnsi="Arial" w:cs="Arial"/>
          <w:i/>
          <w:iCs/>
          <w:color w:val="242121"/>
          <w:sz w:val="18"/>
          <w:szCs w:val="18"/>
          <w:u w:val="single"/>
          <w:shd w:val="clear" w:color="auto" w:fill="FFFFFF"/>
        </w:rPr>
        <w:t> </w:t>
      </w:r>
      <w:r w:rsidRPr="00FE3B42">
        <w:rPr>
          <w:rFonts w:ascii="Arial" w:hAnsi="Arial" w:cs="Arial"/>
          <w:i/>
          <w:iCs/>
          <w:color w:val="242121"/>
          <w:sz w:val="18"/>
          <w:szCs w:val="18"/>
          <w:u w:val="single"/>
          <w:shd w:val="clear" w:color="auto" w:fill="FFFFFF"/>
        </w:rPr>
        <w:t>have agreed upon such a term if it had been suggested to them at the time (see eg</w:t>
      </w:r>
      <w:r w:rsidRPr="00FE3B42">
        <w:rPr>
          <w:rStyle w:val="apple-converted-space"/>
          <w:rFonts w:ascii="Arial" w:hAnsi="Arial" w:cs="Arial"/>
          <w:i/>
          <w:iCs/>
          <w:color w:val="242121"/>
          <w:sz w:val="18"/>
          <w:szCs w:val="18"/>
          <w:u w:val="single"/>
          <w:shd w:val="clear" w:color="auto" w:fill="FFFFFF"/>
        </w:rPr>
        <w:t> </w:t>
      </w:r>
      <w:r w:rsidRPr="00FE3B42">
        <w:rPr>
          <w:rFonts w:ascii="Arial" w:hAnsi="Arial" w:cs="Arial"/>
          <w:i/>
          <w:iCs/>
          <w:color w:val="242121"/>
          <w:sz w:val="18"/>
          <w:szCs w:val="18"/>
          <w:u w:val="single"/>
        </w:rPr>
        <w:t>Alfred McAlpine</w:t>
      </w:r>
      <w:r w:rsidRPr="00FE3B42">
        <w:rPr>
          <w:rStyle w:val="apple-converted-space"/>
          <w:rFonts w:ascii="Arial" w:hAnsi="Arial" w:cs="Arial"/>
          <w:i/>
          <w:iCs/>
          <w:color w:val="242121"/>
          <w:sz w:val="18"/>
          <w:szCs w:val="18"/>
          <w:u w:val="single"/>
          <w:shd w:val="clear" w:color="auto" w:fill="FFFFFF"/>
        </w:rPr>
        <w:t> </w:t>
      </w:r>
      <w:r w:rsidRPr="00FE3B42">
        <w:rPr>
          <w:rFonts w:ascii="Arial" w:hAnsi="Arial" w:cs="Arial"/>
          <w:i/>
          <w:iCs/>
          <w:color w:val="242121"/>
          <w:sz w:val="18"/>
          <w:szCs w:val="18"/>
          <w:u w:val="single"/>
          <w:shd w:val="clear" w:color="auto" w:fill="FFFFFF"/>
        </w:rPr>
        <w:t>supra at 532H-533B and</w:t>
      </w:r>
      <w:r w:rsidRPr="00FE3B42">
        <w:rPr>
          <w:rStyle w:val="apple-converted-space"/>
          <w:rFonts w:ascii="Arial" w:hAnsi="Arial" w:cs="Arial"/>
          <w:i/>
          <w:iCs/>
          <w:color w:val="242121"/>
          <w:sz w:val="18"/>
          <w:szCs w:val="18"/>
          <w:u w:val="single"/>
          <w:shd w:val="clear" w:color="auto" w:fill="FFFFFF"/>
        </w:rPr>
        <w:t> </w:t>
      </w:r>
      <w:r w:rsidRPr="00FE3B42">
        <w:rPr>
          <w:rFonts w:ascii="Arial" w:hAnsi="Arial" w:cs="Arial"/>
          <w:i/>
          <w:iCs/>
          <w:color w:val="242121"/>
          <w:sz w:val="18"/>
          <w:szCs w:val="18"/>
          <w:u w:val="single"/>
        </w:rPr>
        <w:t>Consol Ltd t/a Consol Glass</w:t>
      </w:r>
      <w:r w:rsidRPr="00FE3B42">
        <w:rPr>
          <w:rStyle w:val="apple-converted-space"/>
          <w:rFonts w:ascii="Arial" w:hAnsi="Arial" w:cs="Arial"/>
          <w:i/>
          <w:iCs/>
          <w:color w:val="242121"/>
          <w:sz w:val="18"/>
          <w:szCs w:val="18"/>
          <w:u w:val="single"/>
        </w:rPr>
        <w:t> </w:t>
      </w:r>
      <w:r w:rsidRPr="00FE3B42">
        <w:rPr>
          <w:rFonts w:ascii="Arial" w:hAnsi="Arial" w:cs="Arial"/>
          <w:i/>
          <w:iCs/>
          <w:color w:val="242121"/>
          <w:sz w:val="18"/>
          <w:szCs w:val="18"/>
          <w:u w:val="single"/>
          <w:shd w:val="clear" w:color="auto" w:fill="FFFFFF"/>
        </w:rPr>
        <w:t>supra para 50).</w:t>
      </w:r>
      <w:r w:rsidRPr="00FE3B42">
        <w:rPr>
          <w:rFonts w:ascii="Arial" w:hAnsi="Arial" w:cs="Arial"/>
          <w:i/>
          <w:iCs/>
          <w:color w:val="242121"/>
          <w:sz w:val="18"/>
          <w:szCs w:val="18"/>
          <w:shd w:val="clear" w:color="auto" w:fill="FFFFFF"/>
        </w:rPr>
        <w:t xml:space="preserve"> If the inference is that the response by one of the parties to the bystander’s question might have been that he would first like to discuss and consider the suggested term, the importation of the term would not be justified.</w:t>
      </w:r>
      <w:r w:rsidRPr="00FE3B42">
        <w:rPr>
          <w:rFonts w:ascii="Arial" w:hAnsi="Arial" w:cs="Arial"/>
          <w:sz w:val="18"/>
          <w:szCs w:val="18"/>
        </w:rPr>
        <w:t xml:space="preserve">”  </w:t>
      </w:r>
      <w:r w:rsidR="002C4E8D" w:rsidRPr="00FE3B42">
        <w:rPr>
          <w:rFonts w:ascii="Arial" w:hAnsi="Arial" w:cs="Arial"/>
          <w:sz w:val="18"/>
          <w:szCs w:val="18"/>
        </w:rPr>
        <w:t>(my</w:t>
      </w:r>
      <w:r w:rsidRPr="00FE3B42">
        <w:rPr>
          <w:rFonts w:ascii="Arial" w:hAnsi="Arial" w:cs="Arial"/>
          <w:sz w:val="18"/>
          <w:szCs w:val="18"/>
        </w:rPr>
        <w:t xml:space="preserve"> underlining)</w:t>
      </w:r>
      <w:r w:rsidR="002C4E8D">
        <w:rPr>
          <w:rFonts w:ascii="Arial" w:hAnsi="Arial" w:cs="Arial"/>
          <w:sz w:val="18"/>
          <w:szCs w:val="18"/>
        </w:rPr>
        <w:t>.</w:t>
      </w:r>
    </w:p>
    <w:p w14:paraId="08BD6440" w14:textId="77777777" w:rsidR="00992967" w:rsidRDefault="00992967" w:rsidP="00992967">
      <w:pPr>
        <w:spacing w:line="360" w:lineRule="auto"/>
        <w:ind w:left="720" w:hanging="720"/>
        <w:jc w:val="both"/>
        <w:rPr>
          <w:rFonts w:ascii="Arial" w:hAnsi="Arial" w:cs="Arial"/>
          <w:sz w:val="24"/>
          <w:szCs w:val="24"/>
        </w:rPr>
      </w:pPr>
    </w:p>
    <w:p w14:paraId="0A291A48" w14:textId="6A0252D8" w:rsidR="006E5EE6" w:rsidRDefault="00274761" w:rsidP="00992967">
      <w:pPr>
        <w:spacing w:line="360" w:lineRule="auto"/>
        <w:ind w:left="720" w:hanging="720"/>
        <w:jc w:val="both"/>
        <w:rPr>
          <w:rFonts w:ascii="Arial" w:hAnsi="Arial" w:cs="Arial"/>
          <w:sz w:val="24"/>
          <w:szCs w:val="24"/>
        </w:rPr>
      </w:pPr>
      <w:r w:rsidRPr="00992967">
        <w:rPr>
          <w:rFonts w:ascii="Arial" w:hAnsi="Arial" w:cs="Arial"/>
          <w:sz w:val="24"/>
          <w:szCs w:val="24"/>
        </w:rPr>
        <w:t>[</w:t>
      </w:r>
      <w:r w:rsidR="00063648">
        <w:rPr>
          <w:rFonts w:ascii="Arial" w:hAnsi="Arial" w:cs="Arial"/>
          <w:sz w:val="24"/>
          <w:szCs w:val="24"/>
        </w:rPr>
        <w:t>73</w:t>
      </w:r>
      <w:r w:rsidR="008D261D" w:rsidRPr="00992967">
        <w:rPr>
          <w:rFonts w:ascii="Arial" w:hAnsi="Arial" w:cs="Arial"/>
          <w:sz w:val="24"/>
          <w:szCs w:val="24"/>
        </w:rPr>
        <w:t xml:space="preserve">] </w:t>
      </w:r>
      <w:r w:rsidR="008D261D" w:rsidRPr="00992967">
        <w:rPr>
          <w:rFonts w:ascii="Arial" w:hAnsi="Arial" w:cs="Arial"/>
          <w:sz w:val="24"/>
          <w:szCs w:val="24"/>
        </w:rPr>
        <w:tab/>
      </w:r>
      <w:r w:rsidR="006E5EE6">
        <w:rPr>
          <w:rFonts w:ascii="Arial" w:hAnsi="Arial" w:cs="Arial"/>
          <w:sz w:val="24"/>
          <w:szCs w:val="24"/>
        </w:rPr>
        <w:t xml:space="preserve">I have had regard to the authorities relied upon </w:t>
      </w:r>
      <w:r w:rsidR="009E4E39">
        <w:rPr>
          <w:rFonts w:ascii="Arial" w:hAnsi="Arial" w:cs="Arial"/>
          <w:sz w:val="24"/>
          <w:szCs w:val="24"/>
        </w:rPr>
        <w:t>by the parties</w:t>
      </w:r>
      <w:r w:rsidR="006E5EE6">
        <w:rPr>
          <w:rFonts w:ascii="Arial" w:hAnsi="Arial" w:cs="Arial"/>
          <w:sz w:val="24"/>
          <w:szCs w:val="24"/>
        </w:rPr>
        <w:t xml:space="preserve">. In the </w:t>
      </w:r>
      <w:r w:rsidR="006E5EE6" w:rsidRPr="000C0245">
        <w:rPr>
          <w:rFonts w:ascii="Arial" w:hAnsi="Arial" w:cs="Arial"/>
          <w:i/>
          <w:iCs/>
          <w:sz w:val="24"/>
          <w:szCs w:val="24"/>
        </w:rPr>
        <w:t>Firechem</w:t>
      </w:r>
      <w:r w:rsidR="006E5EE6">
        <w:rPr>
          <w:rFonts w:ascii="Arial" w:hAnsi="Arial" w:cs="Arial"/>
          <w:sz w:val="24"/>
          <w:szCs w:val="24"/>
        </w:rPr>
        <w:t xml:space="preserve"> matter, the Supreme Court of Appeal stated at paragraph </w:t>
      </w:r>
      <w:r w:rsidR="002C4E8D">
        <w:rPr>
          <w:rFonts w:ascii="Arial" w:hAnsi="Arial" w:cs="Arial"/>
          <w:sz w:val="24"/>
          <w:szCs w:val="24"/>
        </w:rPr>
        <w:t>29:</w:t>
      </w:r>
      <w:r w:rsidR="006E5EE6">
        <w:rPr>
          <w:rFonts w:ascii="Arial" w:hAnsi="Arial" w:cs="Arial"/>
          <w:sz w:val="24"/>
          <w:szCs w:val="24"/>
        </w:rPr>
        <w:t xml:space="preserve"> </w:t>
      </w:r>
    </w:p>
    <w:p w14:paraId="798D037C" w14:textId="1948D9E5" w:rsidR="006E5EE6" w:rsidRPr="002C4E8D" w:rsidRDefault="006E5EE6" w:rsidP="002C4E8D">
      <w:pPr>
        <w:spacing w:line="360" w:lineRule="auto"/>
        <w:ind w:left="1440" w:hanging="705"/>
        <w:jc w:val="both"/>
        <w:rPr>
          <w:rFonts w:ascii="Arial" w:hAnsi="Arial" w:cs="Arial"/>
          <w:i/>
          <w:iCs/>
          <w:sz w:val="20"/>
          <w:szCs w:val="20"/>
        </w:rPr>
      </w:pPr>
      <w:r w:rsidRPr="002C4E8D">
        <w:rPr>
          <w:rFonts w:ascii="Arial" w:hAnsi="Arial" w:cs="Arial"/>
          <w:i/>
          <w:iCs/>
          <w:sz w:val="20"/>
          <w:szCs w:val="20"/>
        </w:rPr>
        <w:t xml:space="preserve">[29] </w:t>
      </w:r>
      <w:r w:rsidR="002C4E8D" w:rsidRPr="002C4E8D">
        <w:rPr>
          <w:rFonts w:ascii="Arial" w:hAnsi="Arial" w:cs="Arial"/>
          <w:i/>
          <w:iCs/>
          <w:sz w:val="20"/>
          <w:szCs w:val="20"/>
        </w:rPr>
        <w:tab/>
      </w:r>
      <w:r w:rsidRPr="002C4E8D">
        <w:rPr>
          <w:rFonts w:ascii="Arial" w:hAnsi="Arial" w:cs="Arial"/>
          <w:i/>
          <w:iCs/>
          <w:sz w:val="20"/>
          <w:szCs w:val="20"/>
        </w:rPr>
        <w:t xml:space="preserve">But I do not think that the case is to be decided upon the basis of Mr Pillay’s views. To do so would be to ignore the parol evidence rule in a fundamental way. It is not for him to tell us what the Board intended, when the Board has expressed its intentions in words that are capable of ready interpretation.  One must </w:t>
      </w:r>
      <w:r w:rsidR="00DE27DF" w:rsidRPr="002C4E8D">
        <w:rPr>
          <w:rFonts w:ascii="Arial" w:hAnsi="Arial" w:cs="Arial"/>
          <w:i/>
          <w:iCs/>
          <w:sz w:val="20"/>
          <w:szCs w:val="20"/>
        </w:rPr>
        <w:t xml:space="preserve">ask oneself what was expressed to be intended when the acceptance referred to ‘a contract…. signed by the province and Firechem.’This expression must be read together with the statement </w:t>
      </w:r>
      <w:r w:rsidR="002C4E8D" w:rsidRPr="002C4E8D">
        <w:rPr>
          <w:rFonts w:ascii="Arial" w:hAnsi="Arial" w:cs="Arial"/>
          <w:i/>
          <w:iCs/>
          <w:sz w:val="20"/>
          <w:szCs w:val="20"/>
        </w:rPr>
        <w:t>that:</w:t>
      </w:r>
      <w:r w:rsidR="00DE27DF" w:rsidRPr="002C4E8D">
        <w:rPr>
          <w:rFonts w:ascii="Arial" w:hAnsi="Arial" w:cs="Arial"/>
          <w:i/>
          <w:iCs/>
          <w:sz w:val="20"/>
          <w:szCs w:val="20"/>
        </w:rPr>
        <w:t xml:space="preserve"> ‘This letter of acceptance constitutes a binding contract…’ If the contract brought into being by this acceptance was to bind, then the further contract envisaged could not be one which contradicted it. …”</w:t>
      </w:r>
    </w:p>
    <w:p w14:paraId="078729ED" w14:textId="37D5A95E" w:rsidR="00DE27DF" w:rsidRPr="00DE27DF" w:rsidRDefault="00DE27DF" w:rsidP="00DE27DF">
      <w:pPr>
        <w:spacing w:line="480" w:lineRule="auto"/>
        <w:ind w:left="720" w:hanging="720"/>
        <w:jc w:val="both"/>
        <w:rPr>
          <w:rFonts w:ascii="Arial" w:hAnsi="Arial" w:cs="Arial"/>
          <w:sz w:val="24"/>
          <w:szCs w:val="24"/>
        </w:rPr>
      </w:pPr>
      <w:r w:rsidRPr="00DE27DF">
        <w:rPr>
          <w:rFonts w:ascii="Arial" w:hAnsi="Arial" w:cs="Arial"/>
          <w:sz w:val="24"/>
          <w:szCs w:val="24"/>
        </w:rPr>
        <w:t>[</w:t>
      </w:r>
      <w:r w:rsidR="00063648">
        <w:rPr>
          <w:rFonts w:ascii="Arial" w:hAnsi="Arial" w:cs="Arial"/>
          <w:sz w:val="24"/>
          <w:szCs w:val="24"/>
        </w:rPr>
        <w:t>74</w:t>
      </w:r>
      <w:r w:rsidR="002C4E8D" w:rsidRPr="00DE27DF">
        <w:rPr>
          <w:rFonts w:ascii="Arial" w:hAnsi="Arial" w:cs="Arial"/>
          <w:sz w:val="24"/>
          <w:szCs w:val="24"/>
        </w:rPr>
        <w:t xml:space="preserve">] </w:t>
      </w:r>
      <w:r w:rsidR="002C4E8D">
        <w:rPr>
          <w:rFonts w:ascii="Arial" w:hAnsi="Arial" w:cs="Arial"/>
          <w:sz w:val="24"/>
          <w:szCs w:val="24"/>
        </w:rPr>
        <w:tab/>
      </w:r>
      <w:r>
        <w:rPr>
          <w:rFonts w:ascii="Arial" w:hAnsi="Arial" w:cs="Arial"/>
          <w:sz w:val="24"/>
          <w:szCs w:val="24"/>
        </w:rPr>
        <w:t xml:space="preserve">I have already indicated that the tacit term proposed will be contrary to what the parties expressed in the sale agreement and thus fall foul of the caution expressed in the </w:t>
      </w:r>
      <w:r w:rsidRPr="00DE27DF">
        <w:rPr>
          <w:rFonts w:ascii="Arial" w:hAnsi="Arial" w:cs="Arial"/>
          <w:i/>
          <w:iCs/>
          <w:sz w:val="24"/>
          <w:szCs w:val="24"/>
        </w:rPr>
        <w:t xml:space="preserve">Firechem </w:t>
      </w:r>
      <w:r>
        <w:rPr>
          <w:rFonts w:ascii="Arial" w:hAnsi="Arial" w:cs="Arial"/>
          <w:sz w:val="24"/>
          <w:szCs w:val="24"/>
        </w:rPr>
        <w:t xml:space="preserve">case. </w:t>
      </w:r>
      <w:r w:rsidR="008E3FE6">
        <w:rPr>
          <w:rFonts w:ascii="Arial" w:hAnsi="Arial" w:cs="Arial"/>
          <w:sz w:val="24"/>
          <w:szCs w:val="24"/>
        </w:rPr>
        <w:t xml:space="preserve">In any event, the parties applied their minds to the sale agreement and had made provision in the contract in relation to the terms that would result in </w:t>
      </w:r>
      <w:r w:rsidR="004E66DE">
        <w:rPr>
          <w:rFonts w:ascii="Arial" w:hAnsi="Arial" w:cs="Arial"/>
          <w:sz w:val="24"/>
          <w:szCs w:val="24"/>
        </w:rPr>
        <w:t xml:space="preserve">a valid </w:t>
      </w:r>
      <w:r w:rsidR="008E3FE6">
        <w:rPr>
          <w:rFonts w:ascii="Arial" w:hAnsi="Arial" w:cs="Arial"/>
          <w:sz w:val="24"/>
          <w:szCs w:val="24"/>
        </w:rPr>
        <w:t>agreement</w:t>
      </w:r>
      <w:r w:rsidR="004E66DE">
        <w:rPr>
          <w:rFonts w:ascii="Arial" w:hAnsi="Arial" w:cs="Arial"/>
          <w:sz w:val="24"/>
          <w:szCs w:val="24"/>
        </w:rPr>
        <w:t xml:space="preserve">. Any tacit term </w:t>
      </w:r>
      <w:r w:rsidR="00DE4603">
        <w:rPr>
          <w:rFonts w:ascii="Arial" w:hAnsi="Arial" w:cs="Arial"/>
          <w:sz w:val="24"/>
          <w:szCs w:val="24"/>
        </w:rPr>
        <w:t xml:space="preserve">that is </w:t>
      </w:r>
      <w:r w:rsidR="00E75A48">
        <w:rPr>
          <w:rFonts w:ascii="Arial" w:hAnsi="Arial" w:cs="Arial"/>
          <w:sz w:val="24"/>
          <w:szCs w:val="24"/>
        </w:rPr>
        <w:t>in contradiction of those express terms</w:t>
      </w:r>
      <w:r w:rsidR="00DE4603">
        <w:rPr>
          <w:rFonts w:ascii="Arial" w:hAnsi="Arial" w:cs="Arial"/>
          <w:sz w:val="24"/>
          <w:szCs w:val="24"/>
        </w:rPr>
        <w:t>, cannot be imported.</w:t>
      </w:r>
      <w:r w:rsidR="00DE4603">
        <w:rPr>
          <w:rStyle w:val="FootnoteReference"/>
          <w:rFonts w:ascii="Arial" w:hAnsi="Arial" w:cs="Arial"/>
          <w:sz w:val="24"/>
          <w:szCs w:val="24"/>
        </w:rPr>
        <w:footnoteReference w:id="12"/>
      </w:r>
      <w:r w:rsidR="00E75A48">
        <w:rPr>
          <w:rFonts w:ascii="Arial" w:hAnsi="Arial" w:cs="Arial"/>
          <w:sz w:val="24"/>
          <w:szCs w:val="24"/>
        </w:rPr>
        <w:t xml:space="preserve"> </w:t>
      </w:r>
    </w:p>
    <w:p w14:paraId="650129BE" w14:textId="3118F529" w:rsidR="00274761" w:rsidRPr="00992967" w:rsidRDefault="00063648" w:rsidP="00DE27DF">
      <w:pPr>
        <w:spacing w:line="480" w:lineRule="auto"/>
        <w:ind w:left="720" w:hanging="720"/>
        <w:jc w:val="both"/>
        <w:rPr>
          <w:rFonts w:ascii="Arial" w:hAnsi="Arial" w:cs="Arial"/>
          <w:sz w:val="24"/>
          <w:szCs w:val="24"/>
        </w:rPr>
      </w:pPr>
      <w:r>
        <w:rPr>
          <w:rFonts w:ascii="Arial" w:hAnsi="Arial" w:cs="Arial"/>
          <w:sz w:val="24"/>
          <w:szCs w:val="24"/>
        </w:rPr>
        <w:t>[75</w:t>
      </w:r>
      <w:r w:rsidR="00DE27DF">
        <w:rPr>
          <w:rFonts w:ascii="Arial" w:hAnsi="Arial" w:cs="Arial"/>
          <w:sz w:val="24"/>
          <w:szCs w:val="24"/>
        </w:rPr>
        <w:t>]</w:t>
      </w:r>
      <w:r w:rsidR="002C4E8D">
        <w:rPr>
          <w:rFonts w:ascii="Arial" w:hAnsi="Arial" w:cs="Arial"/>
          <w:sz w:val="24"/>
          <w:szCs w:val="24"/>
        </w:rPr>
        <w:tab/>
      </w:r>
      <w:r w:rsidR="00274761" w:rsidRPr="00992967">
        <w:rPr>
          <w:rFonts w:ascii="Arial" w:hAnsi="Arial" w:cs="Arial"/>
          <w:sz w:val="24"/>
          <w:szCs w:val="24"/>
        </w:rPr>
        <w:t xml:space="preserve">The fact that there is </w:t>
      </w:r>
      <w:r w:rsidR="00DE27DF">
        <w:rPr>
          <w:rFonts w:ascii="Arial" w:hAnsi="Arial" w:cs="Arial"/>
          <w:sz w:val="24"/>
          <w:szCs w:val="24"/>
        </w:rPr>
        <w:t xml:space="preserve">clause 26 </w:t>
      </w:r>
      <w:r w:rsidR="00274761" w:rsidRPr="00992967">
        <w:rPr>
          <w:rFonts w:ascii="Arial" w:hAnsi="Arial" w:cs="Arial"/>
          <w:sz w:val="24"/>
          <w:szCs w:val="24"/>
        </w:rPr>
        <w:t xml:space="preserve">in the lease agreement </w:t>
      </w:r>
      <w:r w:rsidR="00C10086" w:rsidRPr="00992967">
        <w:rPr>
          <w:rFonts w:ascii="Arial" w:hAnsi="Arial" w:cs="Arial"/>
          <w:sz w:val="24"/>
          <w:szCs w:val="24"/>
        </w:rPr>
        <w:t xml:space="preserve">does not lead to a </w:t>
      </w:r>
      <w:r w:rsidR="00992967" w:rsidRPr="00992967">
        <w:rPr>
          <w:rFonts w:ascii="Arial" w:hAnsi="Arial" w:cs="Arial"/>
          <w:sz w:val="24"/>
          <w:szCs w:val="24"/>
        </w:rPr>
        <w:t>justifiable inference</w:t>
      </w:r>
      <w:r w:rsidR="00274761" w:rsidRPr="00992967">
        <w:rPr>
          <w:rFonts w:ascii="Arial" w:hAnsi="Arial" w:cs="Arial"/>
          <w:sz w:val="24"/>
          <w:szCs w:val="24"/>
        </w:rPr>
        <w:t xml:space="preserve"> </w:t>
      </w:r>
      <w:r w:rsidR="00223C61" w:rsidRPr="00992967">
        <w:rPr>
          <w:rFonts w:ascii="Arial" w:hAnsi="Arial" w:cs="Arial"/>
          <w:sz w:val="24"/>
          <w:szCs w:val="24"/>
        </w:rPr>
        <w:t>that a</w:t>
      </w:r>
      <w:r w:rsidR="00274761" w:rsidRPr="00992967">
        <w:rPr>
          <w:rFonts w:ascii="Arial" w:hAnsi="Arial" w:cs="Arial"/>
          <w:sz w:val="24"/>
          <w:szCs w:val="24"/>
        </w:rPr>
        <w:t xml:space="preserve"> </w:t>
      </w:r>
      <w:r w:rsidR="00DE27DF">
        <w:rPr>
          <w:rFonts w:ascii="Arial" w:hAnsi="Arial" w:cs="Arial"/>
          <w:sz w:val="24"/>
          <w:szCs w:val="24"/>
        </w:rPr>
        <w:t xml:space="preserve">similar </w:t>
      </w:r>
      <w:r w:rsidR="00274761" w:rsidRPr="00992967">
        <w:rPr>
          <w:rFonts w:ascii="Arial" w:hAnsi="Arial" w:cs="Arial"/>
          <w:sz w:val="24"/>
          <w:szCs w:val="24"/>
        </w:rPr>
        <w:t>term was in the contemplation of the parties when they concluded the sale agreement</w:t>
      </w:r>
      <w:r w:rsidR="00C10086" w:rsidRPr="00992967">
        <w:rPr>
          <w:rFonts w:ascii="Arial" w:hAnsi="Arial" w:cs="Arial"/>
          <w:sz w:val="24"/>
          <w:szCs w:val="24"/>
        </w:rPr>
        <w:t xml:space="preserve">. </w:t>
      </w:r>
      <w:r w:rsidR="00274761" w:rsidRPr="00992967">
        <w:rPr>
          <w:rFonts w:ascii="Arial" w:hAnsi="Arial" w:cs="Arial"/>
          <w:sz w:val="24"/>
          <w:szCs w:val="24"/>
        </w:rPr>
        <w:t xml:space="preserve">I find that </w:t>
      </w:r>
      <w:r w:rsidR="00C10086" w:rsidRPr="00992967">
        <w:rPr>
          <w:rFonts w:ascii="Arial" w:hAnsi="Arial" w:cs="Arial"/>
          <w:sz w:val="24"/>
          <w:szCs w:val="24"/>
        </w:rPr>
        <w:t xml:space="preserve">on the facts before this court </w:t>
      </w:r>
      <w:r w:rsidR="00274761" w:rsidRPr="00992967">
        <w:rPr>
          <w:rFonts w:ascii="Arial" w:hAnsi="Arial" w:cs="Arial"/>
          <w:sz w:val="24"/>
          <w:szCs w:val="24"/>
        </w:rPr>
        <w:t xml:space="preserve">there </w:t>
      </w:r>
      <w:r w:rsidR="00C10086" w:rsidRPr="00992967">
        <w:rPr>
          <w:rFonts w:ascii="Arial" w:hAnsi="Arial" w:cs="Arial"/>
          <w:sz w:val="24"/>
          <w:szCs w:val="24"/>
        </w:rPr>
        <w:t xml:space="preserve">is no </w:t>
      </w:r>
      <w:r w:rsidR="00274761" w:rsidRPr="00992967">
        <w:rPr>
          <w:rFonts w:ascii="Arial" w:hAnsi="Arial" w:cs="Arial"/>
          <w:sz w:val="24"/>
          <w:szCs w:val="24"/>
        </w:rPr>
        <w:t xml:space="preserve">room for the importation of the tacit term for which the plaintiff contends. </w:t>
      </w:r>
      <w:r w:rsidR="00AF4682">
        <w:rPr>
          <w:rFonts w:ascii="Arial" w:hAnsi="Arial" w:cs="Arial"/>
          <w:sz w:val="24"/>
          <w:szCs w:val="24"/>
        </w:rPr>
        <w:t xml:space="preserve"> I do not deem it necessary to traverse the two other </w:t>
      </w:r>
      <w:r w:rsidR="00223C61">
        <w:rPr>
          <w:rFonts w:ascii="Arial" w:hAnsi="Arial" w:cs="Arial"/>
          <w:sz w:val="24"/>
          <w:szCs w:val="24"/>
        </w:rPr>
        <w:t>issues,</w:t>
      </w:r>
      <w:r w:rsidR="00AF4682">
        <w:rPr>
          <w:rFonts w:ascii="Arial" w:hAnsi="Arial" w:cs="Arial"/>
          <w:sz w:val="24"/>
          <w:szCs w:val="24"/>
        </w:rPr>
        <w:t xml:space="preserve"> namely, the resolutive condition and the restitution issue as they both flow from the tacit term issue. </w:t>
      </w:r>
      <w:r w:rsidR="00C10086" w:rsidRPr="00992967">
        <w:rPr>
          <w:rFonts w:ascii="Arial" w:hAnsi="Arial" w:cs="Arial"/>
          <w:sz w:val="24"/>
          <w:szCs w:val="24"/>
        </w:rPr>
        <w:t xml:space="preserve"> It follows therefore that the plaintiff’s claim must fail. </w:t>
      </w:r>
    </w:p>
    <w:p w14:paraId="584A890F" w14:textId="77777777" w:rsidR="00503B26" w:rsidRDefault="00503B26" w:rsidP="00992967">
      <w:pPr>
        <w:spacing w:line="360" w:lineRule="auto"/>
        <w:ind w:left="426" w:hanging="426"/>
        <w:jc w:val="both"/>
        <w:rPr>
          <w:rFonts w:ascii="Arial" w:hAnsi="Arial" w:cs="Arial"/>
          <w:i/>
          <w:iCs/>
          <w:sz w:val="24"/>
          <w:szCs w:val="24"/>
        </w:rPr>
      </w:pPr>
    </w:p>
    <w:p w14:paraId="3DC3B0C1" w14:textId="77777777" w:rsidR="00503B26" w:rsidRDefault="00503B26" w:rsidP="00992967">
      <w:pPr>
        <w:spacing w:line="360" w:lineRule="auto"/>
        <w:ind w:left="426" w:hanging="426"/>
        <w:jc w:val="both"/>
        <w:rPr>
          <w:rFonts w:ascii="Arial" w:hAnsi="Arial" w:cs="Arial"/>
          <w:i/>
          <w:iCs/>
          <w:sz w:val="24"/>
          <w:szCs w:val="24"/>
        </w:rPr>
      </w:pPr>
    </w:p>
    <w:p w14:paraId="78AB438C" w14:textId="3E78DD04" w:rsidR="00274761" w:rsidRPr="00992967" w:rsidRDefault="00C10086" w:rsidP="00992967">
      <w:pPr>
        <w:spacing w:line="360" w:lineRule="auto"/>
        <w:ind w:left="426" w:hanging="426"/>
        <w:jc w:val="both"/>
        <w:rPr>
          <w:rFonts w:ascii="Arial" w:hAnsi="Arial" w:cs="Arial"/>
          <w:i/>
          <w:iCs/>
          <w:sz w:val="24"/>
          <w:szCs w:val="24"/>
        </w:rPr>
      </w:pPr>
      <w:r w:rsidRPr="00992967">
        <w:rPr>
          <w:rFonts w:ascii="Arial" w:hAnsi="Arial" w:cs="Arial"/>
          <w:i/>
          <w:iCs/>
          <w:sz w:val="24"/>
          <w:szCs w:val="24"/>
        </w:rPr>
        <w:t xml:space="preserve">Costs </w:t>
      </w:r>
    </w:p>
    <w:p w14:paraId="15C8D143" w14:textId="7F06BA56" w:rsidR="00F7601F" w:rsidRPr="00992967" w:rsidRDefault="00777949" w:rsidP="00256CEC">
      <w:pPr>
        <w:spacing w:line="480" w:lineRule="auto"/>
        <w:ind w:left="720" w:hanging="720"/>
        <w:jc w:val="both"/>
        <w:rPr>
          <w:rFonts w:ascii="Arial" w:hAnsi="Arial" w:cs="Arial"/>
          <w:sz w:val="24"/>
          <w:szCs w:val="24"/>
        </w:rPr>
      </w:pPr>
      <w:r w:rsidRPr="00992967">
        <w:rPr>
          <w:rFonts w:ascii="Arial" w:hAnsi="Arial" w:cs="Arial"/>
          <w:sz w:val="24"/>
          <w:szCs w:val="24"/>
        </w:rPr>
        <w:t>[</w:t>
      </w:r>
      <w:r w:rsidR="00063648">
        <w:rPr>
          <w:rFonts w:ascii="Arial" w:hAnsi="Arial" w:cs="Arial"/>
          <w:sz w:val="24"/>
          <w:szCs w:val="24"/>
        </w:rPr>
        <w:t>76</w:t>
      </w:r>
      <w:r w:rsidRPr="00992967">
        <w:rPr>
          <w:rFonts w:ascii="Arial" w:hAnsi="Arial" w:cs="Arial"/>
          <w:sz w:val="24"/>
          <w:szCs w:val="24"/>
        </w:rPr>
        <w:t>]</w:t>
      </w:r>
      <w:r w:rsidRPr="00992967">
        <w:rPr>
          <w:rFonts w:ascii="Arial" w:hAnsi="Arial" w:cs="Arial"/>
          <w:i/>
          <w:iCs/>
          <w:sz w:val="24"/>
          <w:szCs w:val="24"/>
        </w:rPr>
        <w:tab/>
      </w:r>
      <w:r w:rsidR="00C10086" w:rsidRPr="00992967">
        <w:rPr>
          <w:rFonts w:ascii="Arial" w:hAnsi="Arial" w:cs="Arial"/>
          <w:sz w:val="24"/>
          <w:szCs w:val="24"/>
        </w:rPr>
        <w:t xml:space="preserve">The general rule on costs is that costs follow the result. I have no reason to depart from that rule.  Something must be said about the leading of </w:t>
      </w:r>
      <w:r w:rsidR="009177BE" w:rsidRPr="00992967">
        <w:rPr>
          <w:rFonts w:ascii="Arial" w:hAnsi="Arial" w:cs="Arial"/>
          <w:sz w:val="24"/>
          <w:szCs w:val="24"/>
        </w:rPr>
        <w:t xml:space="preserve">evidence and production of documents that </w:t>
      </w:r>
      <w:r w:rsidRPr="00992967">
        <w:rPr>
          <w:rFonts w:ascii="Arial" w:hAnsi="Arial" w:cs="Arial"/>
          <w:sz w:val="24"/>
          <w:szCs w:val="24"/>
        </w:rPr>
        <w:t>were,</w:t>
      </w:r>
      <w:r w:rsidR="009177BE" w:rsidRPr="00992967">
        <w:rPr>
          <w:rFonts w:ascii="Arial" w:hAnsi="Arial" w:cs="Arial"/>
          <w:sz w:val="24"/>
          <w:szCs w:val="24"/>
        </w:rPr>
        <w:t xml:space="preserve"> as conceded by </w:t>
      </w:r>
      <w:r w:rsidR="00AF4682">
        <w:rPr>
          <w:rFonts w:ascii="Arial" w:hAnsi="Arial" w:cs="Arial"/>
          <w:sz w:val="24"/>
          <w:szCs w:val="24"/>
        </w:rPr>
        <w:t>c</w:t>
      </w:r>
      <w:r w:rsidR="009177BE" w:rsidRPr="00992967">
        <w:rPr>
          <w:rFonts w:ascii="Arial" w:hAnsi="Arial" w:cs="Arial"/>
          <w:sz w:val="24"/>
          <w:szCs w:val="24"/>
        </w:rPr>
        <w:t>ounsel for Buntibiz in the end</w:t>
      </w:r>
      <w:r w:rsidR="004C2B18">
        <w:rPr>
          <w:rFonts w:ascii="Arial" w:hAnsi="Arial" w:cs="Arial"/>
          <w:sz w:val="24"/>
          <w:szCs w:val="24"/>
        </w:rPr>
        <w:t>,</w:t>
      </w:r>
      <w:r w:rsidR="009177BE" w:rsidRPr="00992967">
        <w:rPr>
          <w:rFonts w:ascii="Arial" w:hAnsi="Arial" w:cs="Arial"/>
          <w:sz w:val="24"/>
          <w:szCs w:val="24"/>
        </w:rPr>
        <w:t xml:space="preserve"> </w:t>
      </w:r>
      <w:r w:rsidR="00427F14" w:rsidRPr="00992967">
        <w:rPr>
          <w:rFonts w:ascii="Arial" w:hAnsi="Arial" w:cs="Arial"/>
          <w:sz w:val="24"/>
          <w:szCs w:val="24"/>
        </w:rPr>
        <w:t>that</w:t>
      </w:r>
      <w:r w:rsidR="009177BE" w:rsidRPr="00992967">
        <w:rPr>
          <w:rFonts w:ascii="Arial" w:hAnsi="Arial" w:cs="Arial"/>
          <w:sz w:val="24"/>
          <w:szCs w:val="24"/>
        </w:rPr>
        <w:t xml:space="preserve"> except for one letter: </w:t>
      </w:r>
      <w:r w:rsidR="00E46EB3" w:rsidRPr="00992967">
        <w:rPr>
          <w:rFonts w:ascii="Arial" w:hAnsi="Arial" w:cs="Arial"/>
          <w:sz w:val="24"/>
          <w:szCs w:val="24"/>
        </w:rPr>
        <w:t>“</w:t>
      </w:r>
      <w:r w:rsidR="009177BE" w:rsidRPr="00992967">
        <w:rPr>
          <w:rFonts w:ascii="Arial" w:hAnsi="Arial" w:cs="Arial"/>
          <w:sz w:val="24"/>
          <w:szCs w:val="24"/>
        </w:rPr>
        <w:t>Exhibit A</w:t>
      </w:r>
      <w:r w:rsidR="00E46EB3" w:rsidRPr="00992967">
        <w:rPr>
          <w:rFonts w:ascii="Arial" w:hAnsi="Arial" w:cs="Arial"/>
          <w:sz w:val="24"/>
          <w:szCs w:val="24"/>
        </w:rPr>
        <w:t>”</w:t>
      </w:r>
      <w:r w:rsidR="009177BE" w:rsidRPr="00992967">
        <w:rPr>
          <w:rFonts w:ascii="Arial" w:hAnsi="Arial" w:cs="Arial"/>
          <w:sz w:val="24"/>
          <w:szCs w:val="24"/>
        </w:rPr>
        <w:t>, all the other documents were privileged and</w:t>
      </w:r>
      <w:r w:rsidR="00256CEC">
        <w:rPr>
          <w:rFonts w:ascii="Arial" w:hAnsi="Arial" w:cs="Arial"/>
          <w:sz w:val="24"/>
          <w:szCs w:val="24"/>
        </w:rPr>
        <w:t xml:space="preserve"> or</w:t>
      </w:r>
      <w:r w:rsidR="009177BE" w:rsidRPr="00992967">
        <w:rPr>
          <w:rFonts w:ascii="Arial" w:hAnsi="Arial" w:cs="Arial"/>
          <w:sz w:val="24"/>
          <w:szCs w:val="24"/>
        </w:rPr>
        <w:t xml:space="preserve"> not relevant to the issues at hand. This was a call that </w:t>
      </w:r>
      <w:r w:rsidR="00AF4682">
        <w:rPr>
          <w:rFonts w:ascii="Arial" w:hAnsi="Arial" w:cs="Arial"/>
          <w:sz w:val="24"/>
          <w:szCs w:val="24"/>
        </w:rPr>
        <w:t xml:space="preserve">Buntibiz ought to have </w:t>
      </w:r>
      <w:r w:rsidR="009177BE" w:rsidRPr="00992967">
        <w:rPr>
          <w:rFonts w:ascii="Arial" w:hAnsi="Arial" w:cs="Arial"/>
          <w:sz w:val="24"/>
          <w:szCs w:val="24"/>
        </w:rPr>
        <w:t>made earlier</w:t>
      </w:r>
      <w:r w:rsidR="00FB4155">
        <w:rPr>
          <w:rFonts w:ascii="Arial" w:hAnsi="Arial" w:cs="Arial"/>
          <w:sz w:val="24"/>
          <w:szCs w:val="24"/>
        </w:rPr>
        <w:t>. By so doing it</w:t>
      </w:r>
      <w:r w:rsidR="00AF4682">
        <w:rPr>
          <w:rFonts w:ascii="Arial" w:hAnsi="Arial" w:cs="Arial"/>
          <w:sz w:val="24"/>
          <w:szCs w:val="24"/>
        </w:rPr>
        <w:t xml:space="preserve"> would have avoided the unnecessary</w:t>
      </w:r>
      <w:r w:rsidR="00FE3791">
        <w:rPr>
          <w:rFonts w:ascii="Arial" w:hAnsi="Arial" w:cs="Arial"/>
          <w:sz w:val="24"/>
          <w:szCs w:val="24"/>
        </w:rPr>
        <w:t xml:space="preserve"> leading of irrelevant</w:t>
      </w:r>
      <w:r w:rsidR="00AF4682">
        <w:rPr>
          <w:rFonts w:ascii="Arial" w:hAnsi="Arial" w:cs="Arial"/>
          <w:sz w:val="24"/>
          <w:szCs w:val="24"/>
        </w:rPr>
        <w:t xml:space="preserve"> evidence in relation </w:t>
      </w:r>
      <w:r w:rsidR="00FE3791">
        <w:rPr>
          <w:rFonts w:ascii="Arial" w:hAnsi="Arial" w:cs="Arial"/>
          <w:sz w:val="24"/>
          <w:szCs w:val="24"/>
        </w:rPr>
        <w:t>to those documents</w:t>
      </w:r>
      <w:r w:rsidR="000B5E9B">
        <w:rPr>
          <w:rFonts w:ascii="Arial" w:hAnsi="Arial" w:cs="Arial"/>
          <w:sz w:val="24"/>
          <w:szCs w:val="24"/>
        </w:rPr>
        <w:t>.</w:t>
      </w:r>
      <w:r w:rsidR="009177BE" w:rsidRPr="00992967">
        <w:rPr>
          <w:rFonts w:ascii="Arial" w:hAnsi="Arial" w:cs="Arial"/>
          <w:sz w:val="24"/>
          <w:szCs w:val="24"/>
        </w:rPr>
        <w:t xml:space="preserve">  This court spent hours going through the documents and </w:t>
      </w:r>
      <w:r w:rsidR="00256CEC">
        <w:rPr>
          <w:rFonts w:ascii="Arial" w:hAnsi="Arial" w:cs="Arial"/>
          <w:sz w:val="24"/>
          <w:szCs w:val="24"/>
        </w:rPr>
        <w:t xml:space="preserve">provisionally </w:t>
      </w:r>
      <w:r w:rsidR="009177BE" w:rsidRPr="00992967">
        <w:rPr>
          <w:rFonts w:ascii="Arial" w:hAnsi="Arial" w:cs="Arial"/>
          <w:sz w:val="24"/>
          <w:szCs w:val="24"/>
        </w:rPr>
        <w:t>admitting them on the basis that they were relevant</w:t>
      </w:r>
      <w:r w:rsidR="00AF4682">
        <w:rPr>
          <w:rFonts w:ascii="Arial" w:hAnsi="Arial" w:cs="Arial"/>
          <w:sz w:val="24"/>
          <w:szCs w:val="24"/>
        </w:rPr>
        <w:t xml:space="preserve">, as contended on behalf of </w:t>
      </w:r>
      <w:r w:rsidR="00223C61">
        <w:rPr>
          <w:rFonts w:ascii="Arial" w:hAnsi="Arial" w:cs="Arial"/>
          <w:sz w:val="24"/>
          <w:szCs w:val="24"/>
        </w:rPr>
        <w:t xml:space="preserve">Buntibiz, </w:t>
      </w:r>
      <w:r w:rsidR="00223C61" w:rsidRPr="00992967">
        <w:rPr>
          <w:rFonts w:ascii="Arial" w:hAnsi="Arial" w:cs="Arial"/>
          <w:sz w:val="24"/>
          <w:szCs w:val="24"/>
        </w:rPr>
        <w:t>despite</w:t>
      </w:r>
      <w:r w:rsidR="009177BE" w:rsidRPr="00992967">
        <w:rPr>
          <w:rFonts w:ascii="Arial" w:hAnsi="Arial" w:cs="Arial"/>
          <w:sz w:val="24"/>
          <w:szCs w:val="24"/>
        </w:rPr>
        <w:t xml:space="preserve"> </w:t>
      </w:r>
      <w:r w:rsidR="00AF4682">
        <w:rPr>
          <w:rFonts w:ascii="Arial" w:hAnsi="Arial" w:cs="Arial"/>
          <w:sz w:val="24"/>
          <w:szCs w:val="24"/>
        </w:rPr>
        <w:t>numerous</w:t>
      </w:r>
      <w:r w:rsidR="009177BE" w:rsidRPr="00992967">
        <w:rPr>
          <w:rFonts w:ascii="Arial" w:hAnsi="Arial" w:cs="Arial"/>
          <w:sz w:val="24"/>
          <w:szCs w:val="24"/>
        </w:rPr>
        <w:t xml:space="preserve"> objections from Quest Retail. Those costs cannot </w:t>
      </w:r>
      <w:r w:rsidR="000B5E9B">
        <w:rPr>
          <w:rFonts w:ascii="Arial" w:hAnsi="Arial" w:cs="Arial"/>
          <w:sz w:val="24"/>
          <w:szCs w:val="24"/>
        </w:rPr>
        <w:t>fall within t</w:t>
      </w:r>
      <w:r w:rsidR="009177BE" w:rsidRPr="00992967">
        <w:rPr>
          <w:rFonts w:ascii="Arial" w:hAnsi="Arial" w:cs="Arial"/>
          <w:sz w:val="24"/>
          <w:szCs w:val="24"/>
        </w:rPr>
        <w:t xml:space="preserve">he ordinary </w:t>
      </w:r>
      <w:r w:rsidR="00AF4682">
        <w:rPr>
          <w:rFonts w:ascii="Arial" w:hAnsi="Arial" w:cs="Arial"/>
          <w:sz w:val="24"/>
          <w:szCs w:val="24"/>
        </w:rPr>
        <w:t xml:space="preserve">party and party </w:t>
      </w:r>
      <w:r w:rsidR="009177BE" w:rsidRPr="00992967">
        <w:rPr>
          <w:rFonts w:ascii="Arial" w:hAnsi="Arial" w:cs="Arial"/>
          <w:sz w:val="24"/>
          <w:szCs w:val="24"/>
        </w:rPr>
        <w:t>cost order</w:t>
      </w:r>
      <w:r w:rsidR="00AF4682">
        <w:rPr>
          <w:rFonts w:ascii="Arial" w:hAnsi="Arial" w:cs="Arial"/>
          <w:sz w:val="24"/>
          <w:szCs w:val="24"/>
        </w:rPr>
        <w:t xml:space="preserve">.  </w:t>
      </w:r>
      <w:r w:rsidR="000B5E9B">
        <w:rPr>
          <w:rFonts w:ascii="Arial" w:hAnsi="Arial" w:cs="Arial"/>
          <w:sz w:val="24"/>
          <w:szCs w:val="24"/>
        </w:rPr>
        <w:t xml:space="preserve">As a mark of this court’s disapproval of the conduct of Buntibiz in this regard, it </w:t>
      </w:r>
      <w:r w:rsidR="00223C61">
        <w:rPr>
          <w:rFonts w:ascii="Arial" w:hAnsi="Arial" w:cs="Arial"/>
          <w:sz w:val="24"/>
          <w:szCs w:val="24"/>
        </w:rPr>
        <w:t>must pay</w:t>
      </w:r>
      <w:r w:rsidR="00AF4682">
        <w:rPr>
          <w:rFonts w:ascii="Arial" w:hAnsi="Arial" w:cs="Arial"/>
          <w:sz w:val="24"/>
          <w:szCs w:val="24"/>
        </w:rPr>
        <w:t xml:space="preserve"> costs relating to all the privileged </w:t>
      </w:r>
      <w:r w:rsidR="00256CEC">
        <w:rPr>
          <w:rFonts w:ascii="Arial" w:hAnsi="Arial" w:cs="Arial"/>
          <w:sz w:val="24"/>
          <w:szCs w:val="24"/>
        </w:rPr>
        <w:t xml:space="preserve">and/or irrelevant </w:t>
      </w:r>
      <w:r w:rsidR="00AF4682">
        <w:rPr>
          <w:rFonts w:ascii="Arial" w:hAnsi="Arial" w:cs="Arial"/>
          <w:sz w:val="24"/>
          <w:szCs w:val="24"/>
        </w:rPr>
        <w:t xml:space="preserve">documents </w:t>
      </w:r>
      <w:r w:rsidR="00256CEC">
        <w:rPr>
          <w:rFonts w:ascii="Arial" w:hAnsi="Arial" w:cs="Arial"/>
          <w:sz w:val="24"/>
          <w:szCs w:val="24"/>
        </w:rPr>
        <w:t xml:space="preserve">handed in and provisionally admitted as exhibits, at its request, </w:t>
      </w:r>
      <w:r w:rsidR="00AF4682">
        <w:rPr>
          <w:rFonts w:ascii="Arial" w:hAnsi="Arial" w:cs="Arial"/>
          <w:sz w:val="24"/>
          <w:szCs w:val="24"/>
        </w:rPr>
        <w:t>on an attorney and client scale</w:t>
      </w:r>
      <w:r w:rsidR="00256CEC">
        <w:rPr>
          <w:rFonts w:ascii="Arial" w:hAnsi="Arial" w:cs="Arial"/>
          <w:sz w:val="24"/>
          <w:szCs w:val="24"/>
        </w:rPr>
        <w:t xml:space="preserve">. </w:t>
      </w:r>
      <w:r w:rsidR="00AF4682">
        <w:rPr>
          <w:rFonts w:ascii="Arial" w:hAnsi="Arial" w:cs="Arial"/>
          <w:sz w:val="24"/>
          <w:szCs w:val="24"/>
        </w:rPr>
        <w:t xml:space="preserve">  </w:t>
      </w:r>
      <w:r w:rsidR="00256CEC">
        <w:rPr>
          <w:rFonts w:ascii="Arial" w:hAnsi="Arial" w:cs="Arial"/>
          <w:sz w:val="24"/>
          <w:szCs w:val="24"/>
        </w:rPr>
        <w:t xml:space="preserve"> </w:t>
      </w:r>
    </w:p>
    <w:p w14:paraId="21A08121" w14:textId="74C92BDD" w:rsidR="00F7601F" w:rsidRPr="00992967" w:rsidRDefault="00F7601F" w:rsidP="00992967">
      <w:pPr>
        <w:spacing w:line="360" w:lineRule="auto"/>
        <w:ind w:left="720" w:hanging="720"/>
        <w:jc w:val="both"/>
        <w:rPr>
          <w:rFonts w:ascii="Arial" w:hAnsi="Arial" w:cs="Arial"/>
          <w:b/>
          <w:bCs/>
          <w:sz w:val="24"/>
          <w:szCs w:val="24"/>
          <w:u w:val="single"/>
          <w:lang w:val="en-US"/>
        </w:rPr>
      </w:pPr>
      <w:r w:rsidRPr="00992967">
        <w:rPr>
          <w:rFonts w:ascii="Arial" w:hAnsi="Arial" w:cs="Arial"/>
          <w:b/>
          <w:bCs/>
          <w:sz w:val="24"/>
          <w:szCs w:val="24"/>
          <w:u w:val="single"/>
          <w:lang w:val="en-US"/>
        </w:rPr>
        <w:t xml:space="preserve">ORDER </w:t>
      </w:r>
    </w:p>
    <w:p w14:paraId="5F36559C" w14:textId="45A40783" w:rsidR="00801E58" w:rsidRPr="00992967" w:rsidRDefault="00801E58" w:rsidP="00992967">
      <w:pPr>
        <w:spacing w:line="360" w:lineRule="auto"/>
        <w:ind w:left="720" w:hanging="720"/>
        <w:jc w:val="both"/>
        <w:rPr>
          <w:rFonts w:ascii="Arial" w:hAnsi="Arial" w:cs="Arial"/>
          <w:b/>
          <w:bCs/>
          <w:sz w:val="24"/>
          <w:szCs w:val="24"/>
          <w:lang w:val="en-US"/>
        </w:rPr>
      </w:pPr>
      <w:r w:rsidRPr="00992967">
        <w:rPr>
          <w:rFonts w:ascii="Arial" w:hAnsi="Arial" w:cs="Arial"/>
          <w:sz w:val="24"/>
          <w:szCs w:val="24"/>
          <w:lang w:val="en-US"/>
        </w:rPr>
        <w:t>[</w:t>
      </w:r>
      <w:r w:rsidR="00063648">
        <w:rPr>
          <w:rFonts w:ascii="Arial" w:hAnsi="Arial" w:cs="Arial"/>
          <w:sz w:val="24"/>
          <w:szCs w:val="24"/>
          <w:lang w:val="en-US"/>
        </w:rPr>
        <w:t>77</w:t>
      </w:r>
      <w:r w:rsidRPr="00992967">
        <w:rPr>
          <w:rFonts w:ascii="Arial" w:hAnsi="Arial" w:cs="Arial"/>
          <w:sz w:val="24"/>
          <w:szCs w:val="24"/>
          <w:lang w:val="en-US"/>
        </w:rPr>
        <w:t>]</w:t>
      </w:r>
      <w:r w:rsidRPr="00992967">
        <w:rPr>
          <w:rFonts w:ascii="Arial" w:hAnsi="Arial" w:cs="Arial"/>
          <w:sz w:val="24"/>
          <w:szCs w:val="24"/>
          <w:lang w:val="en-US"/>
        </w:rPr>
        <w:tab/>
      </w:r>
      <w:r w:rsidRPr="00992967">
        <w:rPr>
          <w:rFonts w:ascii="Arial" w:hAnsi="Arial" w:cs="Arial"/>
          <w:b/>
          <w:bCs/>
          <w:sz w:val="24"/>
          <w:szCs w:val="24"/>
          <w:lang w:val="en-US"/>
        </w:rPr>
        <w:t xml:space="preserve">In the circumstances I make the following </w:t>
      </w:r>
      <w:r w:rsidR="00F65FAF" w:rsidRPr="00992967">
        <w:rPr>
          <w:rFonts w:ascii="Arial" w:hAnsi="Arial" w:cs="Arial"/>
          <w:b/>
          <w:bCs/>
          <w:sz w:val="24"/>
          <w:szCs w:val="24"/>
          <w:lang w:val="en-US"/>
        </w:rPr>
        <w:t>O</w:t>
      </w:r>
      <w:r w:rsidRPr="00992967">
        <w:rPr>
          <w:rFonts w:ascii="Arial" w:hAnsi="Arial" w:cs="Arial"/>
          <w:b/>
          <w:bCs/>
          <w:sz w:val="24"/>
          <w:szCs w:val="24"/>
          <w:lang w:val="en-US"/>
        </w:rPr>
        <w:t>rder:</w:t>
      </w:r>
    </w:p>
    <w:p w14:paraId="2B3B64D7" w14:textId="47BD4534" w:rsidR="00992967" w:rsidRDefault="00801E58" w:rsidP="00992967">
      <w:pPr>
        <w:spacing w:line="360" w:lineRule="auto"/>
        <w:ind w:left="1440" w:hanging="720"/>
        <w:jc w:val="both"/>
        <w:rPr>
          <w:rFonts w:ascii="Arial" w:hAnsi="Arial" w:cs="Arial"/>
          <w:b/>
          <w:bCs/>
          <w:sz w:val="24"/>
          <w:szCs w:val="24"/>
          <w:lang w:val="en-US"/>
        </w:rPr>
      </w:pPr>
      <w:r w:rsidRPr="00992967">
        <w:rPr>
          <w:rFonts w:ascii="Arial" w:hAnsi="Arial" w:cs="Arial"/>
          <w:b/>
          <w:bCs/>
          <w:sz w:val="24"/>
          <w:szCs w:val="24"/>
          <w:lang w:val="en-US"/>
        </w:rPr>
        <w:t>1.</w:t>
      </w:r>
      <w:r w:rsidRPr="00992967">
        <w:rPr>
          <w:rFonts w:ascii="Arial" w:hAnsi="Arial" w:cs="Arial"/>
          <w:b/>
          <w:bCs/>
          <w:sz w:val="24"/>
          <w:szCs w:val="24"/>
          <w:lang w:val="en-US"/>
        </w:rPr>
        <w:tab/>
      </w:r>
      <w:r w:rsidR="003F5046" w:rsidRPr="00992967">
        <w:rPr>
          <w:rFonts w:ascii="Arial" w:hAnsi="Arial" w:cs="Arial"/>
          <w:b/>
          <w:bCs/>
          <w:sz w:val="24"/>
          <w:szCs w:val="24"/>
          <w:lang w:val="en-US"/>
        </w:rPr>
        <w:t xml:space="preserve">The </w:t>
      </w:r>
      <w:r w:rsidR="00077F64" w:rsidRPr="00992967">
        <w:rPr>
          <w:rFonts w:ascii="Arial" w:hAnsi="Arial" w:cs="Arial"/>
          <w:b/>
          <w:bCs/>
          <w:sz w:val="24"/>
          <w:szCs w:val="24"/>
          <w:lang w:val="en-US"/>
        </w:rPr>
        <w:t xml:space="preserve">plaintiff’s claim is dismissed with </w:t>
      </w:r>
      <w:r w:rsidR="00DC50DF" w:rsidRPr="00992967">
        <w:rPr>
          <w:rFonts w:ascii="Arial" w:hAnsi="Arial" w:cs="Arial"/>
          <w:b/>
          <w:bCs/>
          <w:sz w:val="24"/>
          <w:szCs w:val="24"/>
          <w:lang w:val="en-US"/>
        </w:rPr>
        <w:t>costs.</w:t>
      </w:r>
      <w:r w:rsidR="00077F64" w:rsidRPr="00992967">
        <w:rPr>
          <w:rFonts w:ascii="Arial" w:hAnsi="Arial" w:cs="Arial"/>
          <w:b/>
          <w:bCs/>
          <w:sz w:val="24"/>
          <w:szCs w:val="24"/>
          <w:lang w:val="en-US"/>
        </w:rPr>
        <w:t xml:space="preserve"> </w:t>
      </w:r>
    </w:p>
    <w:p w14:paraId="5E64D078" w14:textId="2D21A6BF" w:rsidR="00256CEC" w:rsidRDefault="00256CEC" w:rsidP="00992967">
      <w:pPr>
        <w:spacing w:line="360" w:lineRule="auto"/>
        <w:ind w:left="1440" w:hanging="720"/>
        <w:jc w:val="both"/>
        <w:rPr>
          <w:rFonts w:ascii="Arial" w:hAnsi="Arial" w:cs="Arial"/>
          <w:b/>
          <w:bCs/>
          <w:sz w:val="24"/>
          <w:szCs w:val="24"/>
          <w:lang w:val="en-US"/>
        </w:rPr>
      </w:pPr>
      <w:r>
        <w:rPr>
          <w:rFonts w:ascii="Arial" w:hAnsi="Arial" w:cs="Arial"/>
          <w:b/>
          <w:bCs/>
          <w:sz w:val="24"/>
          <w:szCs w:val="24"/>
          <w:lang w:val="en-US"/>
        </w:rPr>
        <w:t>2.     Plaintiff is directed to pay costs associated with the evidence in relation to the privileged and/or irrelevant documents</w:t>
      </w:r>
      <w:r w:rsidR="00006586">
        <w:rPr>
          <w:rFonts w:ascii="Arial" w:hAnsi="Arial" w:cs="Arial"/>
          <w:b/>
          <w:bCs/>
          <w:sz w:val="24"/>
          <w:szCs w:val="24"/>
          <w:lang w:val="en-US"/>
        </w:rPr>
        <w:t>,</w:t>
      </w:r>
      <w:r>
        <w:rPr>
          <w:rFonts w:ascii="Arial" w:hAnsi="Arial" w:cs="Arial"/>
          <w:b/>
          <w:bCs/>
          <w:sz w:val="24"/>
          <w:szCs w:val="24"/>
          <w:lang w:val="en-US"/>
        </w:rPr>
        <w:t xml:space="preserve"> handed in as exhibits at the trial</w:t>
      </w:r>
      <w:r w:rsidR="00006586">
        <w:rPr>
          <w:rFonts w:ascii="Arial" w:hAnsi="Arial" w:cs="Arial"/>
          <w:b/>
          <w:bCs/>
          <w:sz w:val="24"/>
          <w:szCs w:val="24"/>
          <w:lang w:val="en-US"/>
        </w:rPr>
        <w:t>,</w:t>
      </w:r>
      <w:r>
        <w:rPr>
          <w:rFonts w:ascii="Arial" w:hAnsi="Arial" w:cs="Arial"/>
          <w:b/>
          <w:bCs/>
          <w:sz w:val="24"/>
          <w:szCs w:val="24"/>
          <w:lang w:val="en-US"/>
        </w:rPr>
        <w:t xml:space="preserve"> on an attorney and client scale. </w:t>
      </w:r>
    </w:p>
    <w:p w14:paraId="6D801A4D" w14:textId="77777777" w:rsidR="00992967" w:rsidRPr="00992967" w:rsidRDefault="00992967" w:rsidP="00931381">
      <w:pPr>
        <w:spacing w:line="360" w:lineRule="auto"/>
        <w:jc w:val="both"/>
        <w:rPr>
          <w:rFonts w:ascii="Arial" w:hAnsi="Arial" w:cs="Arial"/>
          <w:b/>
          <w:bCs/>
          <w:sz w:val="24"/>
          <w:szCs w:val="24"/>
          <w:lang w:val="en-US"/>
        </w:rPr>
      </w:pPr>
    </w:p>
    <w:p w14:paraId="426C0C41" w14:textId="6DB44591" w:rsidR="00764C6E" w:rsidRPr="00777949" w:rsidRDefault="00764C6E" w:rsidP="00992967">
      <w:pPr>
        <w:spacing w:line="360" w:lineRule="auto"/>
        <w:jc w:val="both"/>
        <w:rPr>
          <w:rFonts w:ascii="Arial" w:hAnsi="Arial" w:cs="Arial"/>
          <w:b/>
          <w:bCs/>
          <w:sz w:val="24"/>
          <w:szCs w:val="24"/>
          <w:lang w:val="en-US"/>
        </w:rPr>
      </w:pPr>
      <w:r w:rsidRPr="00777949">
        <w:rPr>
          <w:rFonts w:ascii="Arial" w:hAnsi="Arial" w:cs="Arial"/>
          <w:b/>
          <w:bCs/>
          <w:sz w:val="24"/>
          <w:szCs w:val="24"/>
          <w:lang w:val="en-US"/>
        </w:rPr>
        <w:t>___________________________</w:t>
      </w:r>
    </w:p>
    <w:p w14:paraId="529E4B97" w14:textId="4C31D174" w:rsidR="00764C6E" w:rsidRDefault="00764C6E" w:rsidP="00992967">
      <w:pPr>
        <w:spacing w:line="360" w:lineRule="auto"/>
        <w:jc w:val="both"/>
        <w:rPr>
          <w:rFonts w:ascii="Arial" w:hAnsi="Arial" w:cs="Arial"/>
          <w:b/>
          <w:bCs/>
          <w:sz w:val="24"/>
          <w:szCs w:val="24"/>
          <w:lang w:val="en-US"/>
        </w:rPr>
      </w:pPr>
      <w:r>
        <w:rPr>
          <w:rFonts w:ascii="Arial" w:hAnsi="Arial" w:cs="Arial"/>
          <w:b/>
          <w:bCs/>
          <w:sz w:val="24"/>
          <w:szCs w:val="24"/>
          <w:lang w:val="en-US"/>
        </w:rPr>
        <w:t>T.V. NORMAN</w:t>
      </w:r>
    </w:p>
    <w:p w14:paraId="28DBA041" w14:textId="5642B184" w:rsidR="00992967" w:rsidRDefault="00764C6E" w:rsidP="00992967">
      <w:pPr>
        <w:spacing w:line="360" w:lineRule="auto"/>
        <w:jc w:val="both"/>
        <w:rPr>
          <w:rFonts w:ascii="Arial" w:hAnsi="Arial" w:cs="Arial"/>
          <w:b/>
          <w:bCs/>
          <w:sz w:val="24"/>
          <w:szCs w:val="24"/>
          <w:lang w:val="en-US"/>
        </w:rPr>
      </w:pPr>
      <w:r>
        <w:rPr>
          <w:rFonts w:ascii="Arial" w:hAnsi="Arial" w:cs="Arial"/>
          <w:b/>
          <w:bCs/>
          <w:sz w:val="24"/>
          <w:szCs w:val="24"/>
          <w:lang w:val="en-US"/>
        </w:rPr>
        <w:lastRenderedPageBreak/>
        <w:t>JUDGE OF THE HIGH COURT</w:t>
      </w:r>
    </w:p>
    <w:p w14:paraId="36C1A342" w14:textId="77777777" w:rsidR="00223C61" w:rsidRDefault="00907811" w:rsidP="00223C61">
      <w:pPr>
        <w:spacing w:line="276" w:lineRule="auto"/>
        <w:ind w:left="3544" w:hanging="3544"/>
        <w:jc w:val="both"/>
        <w:rPr>
          <w:rFonts w:ascii="Arial" w:hAnsi="Arial" w:cs="Arial"/>
          <w:b/>
          <w:bCs/>
          <w:sz w:val="24"/>
          <w:szCs w:val="24"/>
          <w:lang w:val="en-US"/>
        </w:rPr>
      </w:pPr>
      <w:r>
        <w:rPr>
          <w:rFonts w:ascii="Arial" w:hAnsi="Arial" w:cs="Arial"/>
          <w:b/>
          <w:bCs/>
          <w:sz w:val="24"/>
          <w:szCs w:val="24"/>
          <w:lang w:val="en-US"/>
        </w:rPr>
        <w:t>Matter</w:t>
      </w:r>
      <w:r w:rsidR="00764C6E">
        <w:rPr>
          <w:rFonts w:ascii="Arial" w:hAnsi="Arial" w:cs="Arial"/>
          <w:b/>
          <w:bCs/>
          <w:sz w:val="24"/>
          <w:szCs w:val="24"/>
          <w:lang w:val="en-US"/>
        </w:rPr>
        <w:t xml:space="preserve"> heard on </w:t>
      </w:r>
      <w:r w:rsidR="00223C61">
        <w:rPr>
          <w:rFonts w:ascii="Arial" w:hAnsi="Arial" w:cs="Arial"/>
          <w:b/>
          <w:bCs/>
          <w:sz w:val="24"/>
          <w:szCs w:val="24"/>
          <w:lang w:val="en-US"/>
        </w:rPr>
        <w:t xml:space="preserve">               </w:t>
      </w:r>
      <w:r w:rsidR="00764C6E">
        <w:rPr>
          <w:rFonts w:ascii="Arial" w:hAnsi="Arial" w:cs="Arial"/>
          <w:b/>
          <w:bCs/>
          <w:sz w:val="24"/>
          <w:szCs w:val="24"/>
          <w:lang w:val="en-US"/>
        </w:rPr>
        <w:t>:</w:t>
      </w:r>
      <w:r w:rsidR="00274761">
        <w:rPr>
          <w:rFonts w:ascii="Arial" w:hAnsi="Arial" w:cs="Arial"/>
          <w:b/>
          <w:bCs/>
          <w:sz w:val="24"/>
          <w:szCs w:val="24"/>
          <w:lang w:val="en-US"/>
        </w:rPr>
        <w:t xml:space="preserve">  </w:t>
      </w:r>
      <w:r>
        <w:rPr>
          <w:rFonts w:ascii="Arial" w:hAnsi="Arial" w:cs="Arial"/>
          <w:b/>
          <w:bCs/>
          <w:sz w:val="24"/>
          <w:szCs w:val="24"/>
          <w:lang w:val="en-US"/>
        </w:rPr>
        <w:tab/>
      </w:r>
      <w:r w:rsidR="00223C61">
        <w:rPr>
          <w:rFonts w:ascii="Arial" w:hAnsi="Arial" w:cs="Arial"/>
          <w:b/>
          <w:bCs/>
          <w:sz w:val="24"/>
          <w:szCs w:val="24"/>
          <w:lang w:val="en-US"/>
        </w:rPr>
        <w:t xml:space="preserve">31 July 2023, 01 August 2023, 02 August 2023, </w:t>
      </w:r>
    </w:p>
    <w:p w14:paraId="7612EF74" w14:textId="189AAEAE" w:rsidR="00764C6E" w:rsidRDefault="00223C61" w:rsidP="00223C61">
      <w:pPr>
        <w:spacing w:line="276" w:lineRule="auto"/>
        <w:ind w:left="3544" w:hanging="3544"/>
        <w:jc w:val="both"/>
        <w:rPr>
          <w:rFonts w:ascii="Arial" w:hAnsi="Arial" w:cs="Arial"/>
          <w:b/>
          <w:bCs/>
          <w:sz w:val="24"/>
          <w:szCs w:val="24"/>
          <w:lang w:val="en-US"/>
        </w:rPr>
      </w:pPr>
      <w:r>
        <w:rPr>
          <w:rFonts w:ascii="Arial" w:hAnsi="Arial" w:cs="Arial"/>
          <w:b/>
          <w:bCs/>
          <w:sz w:val="24"/>
          <w:szCs w:val="24"/>
          <w:lang w:val="en-US"/>
        </w:rPr>
        <w:t xml:space="preserve">                                                     03 August 2023 &amp; </w:t>
      </w:r>
      <w:r w:rsidR="00E13217">
        <w:rPr>
          <w:rFonts w:ascii="Arial" w:hAnsi="Arial" w:cs="Arial"/>
          <w:b/>
          <w:bCs/>
          <w:sz w:val="24"/>
          <w:szCs w:val="24"/>
          <w:lang w:val="en-US"/>
        </w:rPr>
        <w:t>0</w:t>
      </w:r>
      <w:r w:rsidR="0014791C">
        <w:rPr>
          <w:rFonts w:ascii="Arial" w:hAnsi="Arial" w:cs="Arial"/>
          <w:b/>
          <w:bCs/>
          <w:sz w:val="24"/>
          <w:szCs w:val="24"/>
          <w:lang w:val="en-US"/>
        </w:rPr>
        <w:t>4</w:t>
      </w:r>
      <w:r w:rsidR="00764C6E">
        <w:rPr>
          <w:rFonts w:ascii="Arial" w:hAnsi="Arial" w:cs="Arial"/>
          <w:b/>
          <w:bCs/>
          <w:sz w:val="24"/>
          <w:szCs w:val="24"/>
          <w:lang w:val="en-US"/>
        </w:rPr>
        <w:t xml:space="preserve"> August 2023</w:t>
      </w:r>
    </w:p>
    <w:p w14:paraId="7B30F91B" w14:textId="4BEE2B28" w:rsidR="00764C6E" w:rsidRDefault="00764C6E" w:rsidP="005942E4">
      <w:pPr>
        <w:spacing w:line="276" w:lineRule="auto"/>
        <w:jc w:val="both"/>
        <w:rPr>
          <w:rFonts w:ascii="Arial" w:hAnsi="Arial" w:cs="Arial"/>
          <w:b/>
          <w:bCs/>
          <w:sz w:val="24"/>
          <w:szCs w:val="24"/>
          <w:lang w:val="en-US"/>
        </w:rPr>
      </w:pPr>
      <w:r>
        <w:rPr>
          <w:rFonts w:ascii="Arial" w:hAnsi="Arial" w:cs="Arial"/>
          <w:b/>
          <w:bCs/>
          <w:sz w:val="24"/>
          <w:szCs w:val="24"/>
          <w:lang w:val="en-US"/>
        </w:rPr>
        <w:t xml:space="preserve">Judgment Delivered on </w:t>
      </w:r>
      <w:r w:rsidR="00907811">
        <w:rPr>
          <w:rFonts w:ascii="Arial" w:hAnsi="Arial" w:cs="Arial"/>
          <w:b/>
          <w:bCs/>
          <w:sz w:val="24"/>
          <w:szCs w:val="24"/>
          <w:lang w:val="en-US"/>
        </w:rPr>
        <w:tab/>
      </w:r>
      <w:r>
        <w:rPr>
          <w:rFonts w:ascii="Arial" w:hAnsi="Arial" w:cs="Arial"/>
          <w:b/>
          <w:bCs/>
          <w:sz w:val="24"/>
          <w:szCs w:val="24"/>
          <w:lang w:val="en-US"/>
        </w:rPr>
        <w:t>:</w:t>
      </w:r>
      <w:r>
        <w:rPr>
          <w:rFonts w:ascii="Arial" w:hAnsi="Arial" w:cs="Arial"/>
          <w:b/>
          <w:bCs/>
          <w:sz w:val="24"/>
          <w:szCs w:val="24"/>
          <w:lang w:val="en-US"/>
        </w:rPr>
        <w:tab/>
      </w:r>
      <w:r w:rsidR="00907811">
        <w:rPr>
          <w:rFonts w:ascii="Arial" w:hAnsi="Arial" w:cs="Arial"/>
          <w:b/>
          <w:bCs/>
          <w:sz w:val="24"/>
          <w:szCs w:val="24"/>
          <w:lang w:val="en-US"/>
        </w:rPr>
        <w:t>31</w:t>
      </w:r>
      <w:r>
        <w:rPr>
          <w:rFonts w:ascii="Arial" w:hAnsi="Arial" w:cs="Arial"/>
          <w:b/>
          <w:bCs/>
          <w:sz w:val="24"/>
          <w:szCs w:val="24"/>
          <w:lang w:val="en-US"/>
        </w:rPr>
        <w:t xml:space="preserve"> August 2023</w:t>
      </w:r>
    </w:p>
    <w:p w14:paraId="7694BB46" w14:textId="77777777" w:rsidR="00764C6E" w:rsidRDefault="00764C6E" w:rsidP="005942E4">
      <w:pPr>
        <w:spacing w:line="276" w:lineRule="auto"/>
        <w:jc w:val="both"/>
        <w:rPr>
          <w:rFonts w:ascii="Arial" w:hAnsi="Arial" w:cs="Arial"/>
          <w:b/>
          <w:bCs/>
          <w:sz w:val="24"/>
          <w:szCs w:val="24"/>
          <w:lang w:val="en-US"/>
        </w:rPr>
      </w:pPr>
    </w:p>
    <w:p w14:paraId="4B357051" w14:textId="7DBAE19D" w:rsidR="00764C6E" w:rsidRDefault="00764C6E" w:rsidP="005942E4">
      <w:pPr>
        <w:spacing w:line="276" w:lineRule="auto"/>
        <w:jc w:val="both"/>
        <w:rPr>
          <w:rFonts w:ascii="Arial" w:hAnsi="Arial" w:cs="Arial"/>
          <w:b/>
          <w:bCs/>
          <w:sz w:val="24"/>
          <w:szCs w:val="24"/>
          <w:lang w:val="en-US"/>
        </w:rPr>
      </w:pPr>
      <w:r>
        <w:rPr>
          <w:rFonts w:ascii="Arial" w:hAnsi="Arial" w:cs="Arial"/>
          <w:b/>
          <w:bCs/>
          <w:sz w:val="24"/>
          <w:szCs w:val="24"/>
          <w:lang w:val="en-US"/>
        </w:rPr>
        <w:t>APPEARANCES:</w:t>
      </w:r>
    </w:p>
    <w:p w14:paraId="6F3A4C90" w14:textId="2A365CB2" w:rsidR="00764C6E" w:rsidRDefault="00764C6E" w:rsidP="005942E4">
      <w:pPr>
        <w:spacing w:line="276" w:lineRule="auto"/>
        <w:jc w:val="both"/>
        <w:rPr>
          <w:rFonts w:ascii="Arial" w:hAnsi="Arial" w:cs="Arial"/>
          <w:b/>
          <w:bCs/>
          <w:sz w:val="24"/>
          <w:szCs w:val="24"/>
          <w:lang w:val="en-US"/>
        </w:rPr>
      </w:pPr>
      <w:r>
        <w:rPr>
          <w:rFonts w:ascii="Arial" w:hAnsi="Arial" w:cs="Arial"/>
          <w:b/>
          <w:bCs/>
          <w:sz w:val="24"/>
          <w:szCs w:val="24"/>
          <w:lang w:val="en-US"/>
        </w:rPr>
        <w:t>For the PLAINTIFF</w:t>
      </w:r>
      <w:r>
        <w:rPr>
          <w:rFonts w:ascii="Arial" w:hAnsi="Arial" w:cs="Arial"/>
          <w:b/>
          <w:bCs/>
          <w:sz w:val="24"/>
          <w:szCs w:val="24"/>
          <w:lang w:val="en-US"/>
        </w:rPr>
        <w:tab/>
      </w:r>
      <w:r>
        <w:rPr>
          <w:rFonts w:ascii="Arial" w:hAnsi="Arial" w:cs="Arial"/>
          <w:b/>
          <w:bCs/>
          <w:sz w:val="24"/>
          <w:szCs w:val="24"/>
          <w:lang w:val="en-US"/>
        </w:rPr>
        <w:tab/>
        <w:t>:</w:t>
      </w:r>
      <w:r>
        <w:rPr>
          <w:rFonts w:ascii="Arial" w:hAnsi="Arial" w:cs="Arial"/>
          <w:b/>
          <w:bCs/>
          <w:sz w:val="24"/>
          <w:szCs w:val="24"/>
          <w:lang w:val="en-US"/>
        </w:rPr>
        <w:tab/>
        <w:t>ADV HOPKINS SC</w:t>
      </w:r>
    </w:p>
    <w:p w14:paraId="3566939F" w14:textId="348D4ECB" w:rsidR="00764C6E" w:rsidRDefault="00764C6E" w:rsidP="005942E4">
      <w:pPr>
        <w:spacing w:line="276" w:lineRule="auto"/>
        <w:jc w:val="both"/>
        <w:rPr>
          <w:rFonts w:ascii="Arial" w:hAnsi="Arial" w:cs="Arial"/>
          <w:b/>
          <w:bCs/>
          <w:sz w:val="24"/>
          <w:szCs w:val="24"/>
          <w:lang w:val="en-US"/>
        </w:rPr>
      </w:pPr>
      <w:r>
        <w:rPr>
          <w:rFonts w:ascii="Arial" w:hAnsi="Arial" w:cs="Arial"/>
          <w:b/>
          <w:bCs/>
          <w:sz w:val="24"/>
          <w:szCs w:val="24"/>
          <w:lang w:val="en-US"/>
        </w:rPr>
        <w:tab/>
        <w:t>Instructed by</w:t>
      </w:r>
      <w:r>
        <w:rPr>
          <w:rFonts w:ascii="Arial" w:hAnsi="Arial" w:cs="Arial"/>
          <w:b/>
          <w:bCs/>
          <w:sz w:val="24"/>
          <w:szCs w:val="24"/>
          <w:lang w:val="en-US"/>
        </w:rPr>
        <w:tab/>
        <w:t>:</w:t>
      </w:r>
      <w:r w:rsidR="00D273F0">
        <w:rPr>
          <w:rFonts w:ascii="Arial" w:hAnsi="Arial" w:cs="Arial"/>
          <w:b/>
          <w:bCs/>
          <w:sz w:val="24"/>
          <w:szCs w:val="24"/>
          <w:lang w:val="en-US"/>
        </w:rPr>
        <w:t xml:space="preserve">         BAX KAPLAN RUSSELL INC.</w:t>
      </w:r>
    </w:p>
    <w:p w14:paraId="42ABE3F0" w14:textId="0CDD709E" w:rsidR="00D273F0" w:rsidRDefault="00D273F0" w:rsidP="005942E4">
      <w:pPr>
        <w:spacing w:line="276" w:lineRule="auto"/>
        <w:jc w:val="both"/>
        <w:rPr>
          <w:rFonts w:ascii="Arial" w:hAnsi="Arial" w:cs="Arial"/>
          <w:b/>
          <w:bCs/>
          <w:sz w:val="24"/>
          <w:szCs w:val="24"/>
          <w:lang w:val="en-US"/>
        </w:rPr>
      </w:pPr>
      <w:r>
        <w:rPr>
          <w:rFonts w:ascii="Arial" w:hAnsi="Arial" w:cs="Arial"/>
          <w:b/>
          <w:bCs/>
          <w:sz w:val="24"/>
          <w:szCs w:val="24"/>
          <w:lang w:val="en-US"/>
        </w:rPr>
        <w:t xml:space="preserve">                                                     Clevedon House</w:t>
      </w:r>
    </w:p>
    <w:p w14:paraId="2E60D37C" w14:textId="762B08F6" w:rsidR="00D273F0" w:rsidRDefault="00D273F0" w:rsidP="005942E4">
      <w:pPr>
        <w:spacing w:line="276" w:lineRule="auto"/>
        <w:jc w:val="both"/>
        <w:rPr>
          <w:rFonts w:ascii="Arial" w:hAnsi="Arial" w:cs="Arial"/>
          <w:b/>
          <w:bCs/>
          <w:sz w:val="24"/>
          <w:szCs w:val="24"/>
          <w:lang w:val="en-US"/>
        </w:rPr>
      </w:pPr>
      <w:r>
        <w:rPr>
          <w:rFonts w:ascii="Arial" w:hAnsi="Arial" w:cs="Arial"/>
          <w:b/>
          <w:bCs/>
          <w:sz w:val="24"/>
          <w:szCs w:val="24"/>
          <w:lang w:val="en-US"/>
        </w:rPr>
        <w:t xml:space="preserve">                                                     2 Clevedon Road</w:t>
      </w:r>
    </w:p>
    <w:p w14:paraId="46341F16" w14:textId="02587380" w:rsidR="00D273F0" w:rsidRDefault="00D273F0" w:rsidP="005942E4">
      <w:pPr>
        <w:spacing w:line="276" w:lineRule="auto"/>
        <w:jc w:val="both"/>
        <w:rPr>
          <w:rFonts w:ascii="Arial" w:hAnsi="Arial" w:cs="Arial"/>
          <w:b/>
          <w:bCs/>
          <w:sz w:val="24"/>
          <w:szCs w:val="24"/>
          <w:lang w:val="en-US"/>
        </w:rPr>
      </w:pPr>
      <w:r>
        <w:rPr>
          <w:rFonts w:ascii="Arial" w:hAnsi="Arial" w:cs="Arial"/>
          <w:b/>
          <w:bCs/>
          <w:sz w:val="24"/>
          <w:szCs w:val="24"/>
          <w:lang w:val="en-US"/>
        </w:rPr>
        <w:t xml:space="preserve">                                                     Selborne</w:t>
      </w:r>
    </w:p>
    <w:p w14:paraId="3E7D6639" w14:textId="0329043D" w:rsidR="00D273F0" w:rsidRDefault="00D273F0" w:rsidP="005942E4">
      <w:pPr>
        <w:spacing w:line="276" w:lineRule="auto"/>
        <w:jc w:val="both"/>
        <w:rPr>
          <w:rFonts w:ascii="Arial" w:hAnsi="Arial" w:cs="Arial"/>
          <w:b/>
          <w:bCs/>
          <w:sz w:val="24"/>
          <w:szCs w:val="24"/>
          <w:lang w:val="en-US"/>
        </w:rPr>
      </w:pPr>
      <w:r>
        <w:rPr>
          <w:rFonts w:ascii="Arial" w:hAnsi="Arial" w:cs="Arial"/>
          <w:b/>
          <w:bCs/>
          <w:sz w:val="24"/>
          <w:szCs w:val="24"/>
          <w:lang w:val="en-US"/>
        </w:rPr>
        <w:t xml:space="preserve">                                                     EAST LONDON</w:t>
      </w:r>
    </w:p>
    <w:p w14:paraId="2B69D5A1" w14:textId="5778F8FB" w:rsidR="00D273F0" w:rsidRDefault="00D273F0" w:rsidP="005942E4">
      <w:pPr>
        <w:spacing w:line="276" w:lineRule="auto"/>
        <w:jc w:val="both"/>
        <w:rPr>
          <w:rFonts w:ascii="Arial" w:hAnsi="Arial" w:cs="Arial"/>
          <w:b/>
          <w:bCs/>
          <w:sz w:val="24"/>
          <w:szCs w:val="24"/>
          <w:lang w:val="en-US"/>
        </w:rPr>
      </w:pPr>
      <w:r>
        <w:rPr>
          <w:rFonts w:ascii="Arial" w:hAnsi="Arial" w:cs="Arial"/>
          <w:b/>
          <w:bCs/>
          <w:sz w:val="24"/>
          <w:szCs w:val="24"/>
          <w:lang w:val="en-US"/>
        </w:rPr>
        <w:t xml:space="preserve">                                                     Tel : ( 043) 706 8400</w:t>
      </w:r>
    </w:p>
    <w:p w14:paraId="34623079" w14:textId="45336AD3" w:rsidR="00D273F0" w:rsidRDefault="00D273F0" w:rsidP="005942E4">
      <w:pPr>
        <w:spacing w:line="276" w:lineRule="auto"/>
        <w:jc w:val="both"/>
        <w:rPr>
          <w:rFonts w:ascii="Arial" w:hAnsi="Arial" w:cs="Arial"/>
          <w:b/>
          <w:bCs/>
          <w:sz w:val="24"/>
          <w:szCs w:val="24"/>
          <w:lang w:val="en-US"/>
        </w:rPr>
      </w:pPr>
      <w:r>
        <w:rPr>
          <w:rFonts w:ascii="Arial" w:hAnsi="Arial" w:cs="Arial"/>
          <w:b/>
          <w:bCs/>
          <w:sz w:val="24"/>
          <w:szCs w:val="24"/>
          <w:lang w:val="en-US"/>
        </w:rPr>
        <w:t xml:space="preserve">                                                     Email : </w:t>
      </w:r>
      <w:hyperlink r:id="rId11" w:history="1">
        <w:r w:rsidRPr="0001294B">
          <w:rPr>
            <w:rStyle w:val="Hyperlink"/>
            <w:rFonts w:ascii="Arial" w:hAnsi="Arial" w:cs="Arial"/>
            <w:b/>
            <w:bCs/>
            <w:sz w:val="24"/>
            <w:szCs w:val="24"/>
            <w:lang w:val="en-US"/>
          </w:rPr>
          <w:t>jason@bkr-inc.co.za</w:t>
        </w:r>
      </w:hyperlink>
    </w:p>
    <w:p w14:paraId="327906AC" w14:textId="5A893220" w:rsidR="00D273F0" w:rsidRDefault="00D273F0" w:rsidP="005942E4">
      <w:pPr>
        <w:spacing w:line="276" w:lineRule="auto"/>
        <w:jc w:val="both"/>
        <w:rPr>
          <w:rFonts w:ascii="Arial" w:hAnsi="Arial" w:cs="Arial"/>
          <w:b/>
          <w:bCs/>
          <w:sz w:val="24"/>
          <w:szCs w:val="24"/>
          <w:lang w:val="en-US"/>
        </w:rPr>
      </w:pPr>
      <w:r>
        <w:rPr>
          <w:rFonts w:ascii="Arial" w:hAnsi="Arial" w:cs="Arial"/>
          <w:b/>
          <w:bCs/>
          <w:sz w:val="24"/>
          <w:szCs w:val="24"/>
          <w:lang w:val="en-US"/>
        </w:rPr>
        <w:t xml:space="preserve">                                                     C/O  HUXTABLE ATTORNEYS</w:t>
      </w:r>
    </w:p>
    <w:p w14:paraId="0ACE5E73" w14:textId="2067CAB2" w:rsidR="00D273F0" w:rsidRDefault="00D273F0" w:rsidP="005942E4">
      <w:pPr>
        <w:spacing w:line="276" w:lineRule="auto"/>
        <w:jc w:val="both"/>
        <w:rPr>
          <w:rFonts w:ascii="Arial" w:hAnsi="Arial" w:cs="Arial"/>
          <w:b/>
          <w:bCs/>
          <w:sz w:val="24"/>
          <w:szCs w:val="24"/>
          <w:lang w:val="en-US"/>
        </w:rPr>
      </w:pPr>
      <w:r>
        <w:rPr>
          <w:rFonts w:ascii="Arial" w:hAnsi="Arial" w:cs="Arial"/>
          <w:b/>
          <w:bCs/>
          <w:sz w:val="24"/>
          <w:szCs w:val="24"/>
          <w:lang w:val="en-US"/>
        </w:rPr>
        <w:t xml:space="preserve">                                                      26 New Street </w:t>
      </w:r>
    </w:p>
    <w:p w14:paraId="25A96FE6" w14:textId="40319AAF" w:rsidR="00D273F0" w:rsidRDefault="00D273F0" w:rsidP="005942E4">
      <w:pPr>
        <w:spacing w:line="276" w:lineRule="auto"/>
        <w:jc w:val="both"/>
        <w:rPr>
          <w:rFonts w:ascii="Arial" w:hAnsi="Arial" w:cs="Arial"/>
          <w:b/>
          <w:bCs/>
          <w:sz w:val="24"/>
          <w:szCs w:val="24"/>
          <w:lang w:val="en-US"/>
        </w:rPr>
      </w:pPr>
      <w:r>
        <w:rPr>
          <w:rFonts w:ascii="Arial" w:hAnsi="Arial" w:cs="Arial"/>
          <w:b/>
          <w:bCs/>
          <w:sz w:val="24"/>
          <w:szCs w:val="24"/>
          <w:lang w:val="en-US"/>
        </w:rPr>
        <w:t xml:space="preserve">                                                      MAKHANDA</w:t>
      </w:r>
    </w:p>
    <w:p w14:paraId="4A43FB55" w14:textId="7BF1D3B6" w:rsidR="00D273F0" w:rsidRDefault="00D273F0" w:rsidP="005942E4">
      <w:pPr>
        <w:spacing w:line="276" w:lineRule="auto"/>
        <w:jc w:val="both"/>
        <w:rPr>
          <w:rFonts w:ascii="Arial" w:hAnsi="Arial" w:cs="Arial"/>
          <w:b/>
          <w:bCs/>
          <w:sz w:val="24"/>
          <w:szCs w:val="24"/>
          <w:lang w:val="en-US"/>
        </w:rPr>
      </w:pPr>
      <w:r>
        <w:rPr>
          <w:rFonts w:ascii="Arial" w:hAnsi="Arial" w:cs="Arial"/>
          <w:b/>
          <w:bCs/>
          <w:sz w:val="24"/>
          <w:szCs w:val="24"/>
          <w:lang w:val="en-US"/>
        </w:rPr>
        <w:t xml:space="preserve">                                                     TEL : ( 046) 622 2692</w:t>
      </w:r>
    </w:p>
    <w:p w14:paraId="6FAA58F4" w14:textId="6E029FB0" w:rsidR="00D273F0" w:rsidRDefault="005942E4" w:rsidP="005942E4">
      <w:pPr>
        <w:spacing w:line="276" w:lineRule="auto"/>
        <w:jc w:val="both"/>
        <w:rPr>
          <w:rFonts w:ascii="Arial" w:hAnsi="Arial" w:cs="Arial"/>
          <w:b/>
          <w:bCs/>
          <w:sz w:val="24"/>
          <w:szCs w:val="24"/>
          <w:lang w:val="en-US"/>
        </w:rPr>
      </w:pPr>
      <w:r>
        <w:rPr>
          <w:rFonts w:ascii="Arial" w:hAnsi="Arial" w:cs="Arial"/>
          <w:b/>
          <w:bCs/>
          <w:sz w:val="24"/>
          <w:szCs w:val="24"/>
          <w:lang w:val="en-US"/>
        </w:rPr>
        <w:t xml:space="preserve"> </w:t>
      </w:r>
      <w:r w:rsidR="00D273F0">
        <w:rPr>
          <w:rFonts w:ascii="Arial" w:hAnsi="Arial" w:cs="Arial"/>
          <w:b/>
          <w:bCs/>
          <w:sz w:val="24"/>
          <w:szCs w:val="24"/>
          <w:lang w:val="en-US"/>
        </w:rPr>
        <w:t xml:space="preserve">                                                     Email : </w:t>
      </w:r>
      <w:hyperlink r:id="rId12" w:history="1">
        <w:r w:rsidR="00D273F0" w:rsidRPr="0001294B">
          <w:rPr>
            <w:rStyle w:val="Hyperlink"/>
            <w:rFonts w:ascii="Arial" w:hAnsi="Arial" w:cs="Arial"/>
            <w:b/>
            <w:bCs/>
            <w:sz w:val="24"/>
            <w:szCs w:val="24"/>
            <w:lang w:val="en-US"/>
          </w:rPr>
          <w:t>owen@huxattorneys.co.za</w:t>
        </w:r>
      </w:hyperlink>
    </w:p>
    <w:p w14:paraId="31F9DE91" w14:textId="66CB3483" w:rsidR="00D273F0" w:rsidRDefault="00D273F0" w:rsidP="005942E4">
      <w:pPr>
        <w:spacing w:line="276" w:lineRule="auto"/>
        <w:jc w:val="both"/>
        <w:rPr>
          <w:rFonts w:ascii="Arial" w:hAnsi="Arial" w:cs="Arial"/>
          <w:b/>
          <w:bCs/>
          <w:sz w:val="24"/>
          <w:szCs w:val="24"/>
          <w:lang w:val="en-US"/>
        </w:rPr>
      </w:pPr>
      <w:r>
        <w:rPr>
          <w:rFonts w:ascii="Arial" w:hAnsi="Arial" w:cs="Arial"/>
          <w:b/>
          <w:bCs/>
          <w:sz w:val="24"/>
          <w:szCs w:val="24"/>
          <w:lang w:val="en-US"/>
        </w:rPr>
        <w:t xml:space="preserve"> </w:t>
      </w:r>
      <w:r w:rsidR="005942E4">
        <w:rPr>
          <w:rFonts w:ascii="Arial" w:hAnsi="Arial" w:cs="Arial"/>
          <w:b/>
          <w:bCs/>
          <w:sz w:val="24"/>
          <w:szCs w:val="24"/>
          <w:lang w:val="en-US"/>
        </w:rPr>
        <w:t xml:space="preserve"> </w:t>
      </w:r>
      <w:r>
        <w:rPr>
          <w:rFonts w:ascii="Arial" w:hAnsi="Arial" w:cs="Arial"/>
          <w:b/>
          <w:bCs/>
          <w:sz w:val="24"/>
          <w:szCs w:val="24"/>
          <w:lang w:val="en-US"/>
        </w:rPr>
        <w:t xml:space="preserve">                                                    REF : Mr O.J.Huxtable / 02B0210</w:t>
      </w:r>
      <w:r w:rsidR="00F7601F">
        <w:rPr>
          <w:rFonts w:ascii="Arial" w:hAnsi="Arial" w:cs="Arial"/>
          <w:b/>
          <w:bCs/>
          <w:sz w:val="24"/>
          <w:szCs w:val="24"/>
          <w:lang w:val="en-US"/>
        </w:rPr>
        <w:t>56</w:t>
      </w:r>
    </w:p>
    <w:p w14:paraId="3E85A5FF" w14:textId="77777777" w:rsidR="00764C6E" w:rsidRDefault="00764C6E" w:rsidP="005942E4">
      <w:pPr>
        <w:spacing w:line="276" w:lineRule="auto"/>
        <w:jc w:val="both"/>
        <w:rPr>
          <w:rFonts w:ascii="Arial" w:hAnsi="Arial" w:cs="Arial"/>
          <w:b/>
          <w:bCs/>
          <w:sz w:val="24"/>
          <w:szCs w:val="24"/>
          <w:lang w:val="en-US"/>
        </w:rPr>
      </w:pPr>
    </w:p>
    <w:p w14:paraId="527D09B4" w14:textId="77777777" w:rsidR="005942E4" w:rsidRDefault="005942E4" w:rsidP="005942E4">
      <w:pPr>
        <w:spacing w:line="276" w:lineRule="auto"/>
        <w:jc w:val="both"/>
        <w:rPr>
          <w:rFonts w:ascii="Arial" w:hAnsi="Arial" w:cs="Arial"/>
          <w:b/>
          <w:bCs/>
          <w:sz w:val="24"/>
          <w:szCs w:val="24"/>
          <w:lang w:val="en-US"/>
        </w:rPr>
      </w:pPr>
    </w:p>
    <w:p w14:paraId="6A1C0FAB" w14:textId="307355C8" w:rsidR="00764C6E" w:rsidRDefault="00764C6E" w:rsidP="005942E4">
      <w:pPr>
        <w:spacing w:line="276" w:lineRule="auto"/>
        <w:jc w:val="both"/>
        <w:rPr>
          <w:rFonts w:ascii="Arial" w:hAnsi="Arial" w:cs="Arial"/>
          <w:b/>
          <w:bCs/>
          <w:sz w:val="24"/>
          <w:szCs w:val="24"/>
          <w:lang w:val="en-US"/>
        </w:rPr>
      </w:pPr>
      <w:r>
        <w:rPr>
          <w:rFonts w:ascii="Arial" w:hAnsi="Arial" w:cs="Arial"/>
          <w:b/>
          <w:bCs/>
          <w:sz w:val="24"/>
          <w:szCs w:val="24"/>
          <w:lang w:val="en-US"/>
        </w:rPr>
        <w:t>For the DEFENDANT</w:t>
      </w:r>
      <w:r>
        <w:rPr>
          <w:rFonts w:ascii="Arial" w:hAnsi="Arial" w:cs="Arial"/>
          <w:b/>
          <w:bCs/>
          <w:sz w:val="24"/>
          <w:szCs w:val="24"/>
          <w:lang w:val="en-US"/>
        </w:rPr>
        <w:tab/>
        <w:t>:</w:t>
      </w:r>
      <w:r>
        <w:rPr>
          <w:rFonts w:ascii="Arial" w:hAnsi="Arial" w:cs="Arial"/>
          <w:b/>
          <w:bCs/>
          <w:sz w:val="24"/>
          <w:szCs w:val="24"/>
          <w:lang w:val="en-US"/>
        </w:rPr>
        <w:tab/>
        <w:t>ADV</w:t>
      </w:r>
      <w:r w:rsidR="00F7601F">
        <w:rPr>
          <w:rFonts w:ascii="Arial" w:hAnsi="Arial" w:cs="Arial"/>
          <w:b/>
          <w:bCs/>
          <w:sz w:val="24"/>
          <w:szCs w:val="24"/>
          <w:lang w:val="en-US"/>
        </w:rPr>
        <w:t xml:space="preserve"> </w:t>
      </w:r>
      <w:r>
        <w:rPr>
          <w:rFonts w:ascii="Arial" w:hAnsi="Arial" w:cs="Arial"/>
          <w:b/>
          <w:bCs/>
          <w:sz w:val="24"/>
          <w:szCs w:val="24"/>
          <w:lang w:val="en-US"/>
        </w:rPr>
        <w:t>NIEKERK</w:t>
      </w:r>
    </w:p>
    <w:p w14:paraId="625D5800" w14:textId="349056FE" w:rsidR="00764C6E" w:rsidRDefault="00764C6E" w:rsidP="005942E4">
      <w:pPr>
        <w:spacing w:line="276" w:lineRule="auto"/>
        <w:jc w:val="both"/>
        <w:rPr>
          <w:rFonts w:ascii="Arial" w:hAnsi="Arial" w:cs="Arial"/>
          <w:b/>
          <w:bCs/>
          <w:sz w:val="24"/>
          <w:szCs w:val="24"/>
          <w:lang w:val="en-US"/>
        </w:rPr>
      </w:pPr>
      <w:r>
        <w:rPr>
          <w:rFonts w:ascii="Arial" w:hAnsi="Arial" w:cs="Arial"/>
          <w:b/>
          <w:bCs/>
          <w:sz w:val="24"/>
          <w:szCs w:val="24"/>
          <w:lang w:val="en-US"/>
        </w:rPr>
        <w:tab/>
        <w:t>Instructed by</w:t>
      </w:r>
      <w:r>
        <w:rPr>
          <w:rFonts w:ascii="Arial" w:hAnsi="Arial" w:cs="Arial"/>
          <w:b/>
          <w:bCs/>
          <w:sz w:val="24"/>
          <w:szCs w:val="24"/>
          <w:lang w:val="en-US"/>
        </w:rPr>
        <w:tab/>
        <w:t>:</w:t>
      </w:r>
      <w:r>
        <w:rPr>
          <w:rFonts w:ascii="Arial" w:hAnsi="Arial" w:cs="Arial"/>
          <w:b/>
          <w:bCs/>
          <w:sz w:val="24"/>
          <w:szCs w:val="24"/>
          <w:lang w:val="en-US"/>
        </w:rPr>
        <w:tab/>
      </w:r>
      <w:r w:rsidR="00F7601F">
        <w:rPr>
          <w:rFonts w:ascii="Arial" w:hAnsi="Arial" w:cs="Arial"/>
          <w:b/>
          <w:bCs/>
          <w:sz w:val="24"/>
          <w:szCs w:val="24"/>
          <w:lang w:val="en-US"/>
        </w:rPr>
        <w:t>PAGDENS ATTORNEYS</w:t>
      </w:r>
    </w:p>
    <w:p w14:paraId="0ADB69AD" w14:textId="05C6D870" w:rsidR="00F7601F" w:rsidRDefault="00F7601F" w:rsidP="005942E4">
      <w:pPr>
        <w:spacing w:line="276" w:lineRule="auto"/>
        <w:jc w:val="both"/>
        <w:rPr>
          <w:rFonts w:ascii="Arial" w:hAnsi="Arial" w:cs="Arial"/>
          <w:b/>
          <w:bCs/>
          <w:sz w:val="24"/>
          <w:szCs w:val="24"/>
          <w:lang w:val="en-US"/>
        </w:rPr>
      </w:pPr>
      <w:r>
        <w:rPr>
          <w:rFonts w:ascii="Arial" w:hAnsi="Arial" w:cs="Arial"/>
          <w:b/>
          <w:bCs/>
          <w:sz w:val="24"/>
          <w:szCs w:val="24"/>
          <w:lang w:val="en-US"/>
        </w:rPr>
        <w:t xml:space="preserve">                                                      C/O CARINUS JAGGA INC.</w:t>
      </w:r>
    </w:p>
    <w:p w14:paraId="519B1A05" w14:textId="3B9F5E29" w:rsidR="00F7601F" w:rsidRDefault="00F7601F" w:rsidP="005942E4">
      <w:pPr>
        <w:spacing w:line="276" w:lineRule="auto"/>
        <w:jc w:val="both"/>
        <w:rPr>
          <w:rFonts w:ascii="Arial" w:hAnsi="Arial" w:cs="Arial"/>
          <w:b/>
          <w:bCs/>
          <w:sz w:val="24"/>
          <w:szCs w:val="24"/>
          <w:lang w:val="en-US"/>
        </w:rPr>
      </w:pPr>
      <w:r>
        <w:rPr>
          <w:rFonts w:ascii="Arial" w:hAnsi="Arial" w:cs="Arial"/>
          <w:b/>
          <w:bCs/>
          <w:sz w:val="24"/>
          <w:szCs w:val="24"/>
          <w:lang w:val="en-US"/>
        </w:rPr>
        <w:t xml:space="preserve">                                                       Defendant’s Attorneys</w:t>
      </w:r>
    </w:p>
    <w:p w14:paraId="5BB7A413" w14:textId="7C4D0825" w:rsidR="00F7601F" w:rsidRDefault="00F7601F" w:rsidP="005942E4">
      <w:pPr>
        <w:spacing w:line="276" w:lineRule="auto"/>
        <w:jc w:val="both"/>
        <w:rPr>
          <w:rFonts w:ascii="Arial" w:hAnsi="Arial" w:cs="Arial"/>
          <w:b/>
          <w:bCs/>
          <w:sz w:val="24"/>
          <w:szCs w:val="24"/>
          <w:lang w:val="en-US"/>
        </w:rPr>
      </w:pPr>
      <w:r>
        <w:rPr>
          <w:rFonts w:ascii="Arial" w:hAnsi="Arial" w:cs="Arial"/>
          <w:b/>
          <w:bCs/>
          <w:sz w:val="24"/>
          <w:szCs w:val="24"/>
          <w:lang w:val="en-US"/>
        </w:rPr>
        <w:t xml:space="preserve">                                                        67 African Street </w:t>
      </w:r>
    </w:p>
    <w:p w14:paraId="20B954C2" w14:textId="529EFCA8" w:rsidR="00F7601F" w:rsidRDefault="00F7601F" w:rsidP="005942E4">
      <w:pPr>
        <w:spacing w:line="276" w:lineRule="auto"/>
        <w:jc w:val="both"/>
        <w:rPr>
          <w:rFonts w:ascii="Arial" w:hAnsi="Arial" w:cs="Arial"/>
          <w:b/>
          <w:bCs/>
          <w:sz w:val="24"/>
          <w:szCs w:val="24"/>
          <w:lang w:val="en-US"/>
        </w:rPr>
      </w:pPr>
      <w:r>
        <w:rPr>
          <w:rFonts w:ascii="Arial" w:hAnsi="Arial" w:cs="Arial"/>
          <w:b/>
          <w:bCs/>
          <w:sz w:val="24"/>
          <w:szCs w:val="24"/>
          <w:lang w:val="en-US"/>
        </w:rPr>
        <w:t xml:space="preserve">                                                       MAKHANDA</w:t>
      </w:r>
    </w:p>
    <w:p w14:paraId="5EDF30E6" w14:textId="702BC0AD" w:rsidR="00F7601F" w:rsidRDefault="00F7601F" w:rsidP="005942E4">
      <w:pPr>
        <w:spacing w:line="276" w:lineRule="auto"/>
        <w:jc w:val="both"/>
        <w:rPr>
          <w:rFonts w:ascii="Arial" w:hAnsi="Arial" w:cs="Arial"/>
          <w:b/>
          <w:bCs/>
          <w:sz w:val="24"/>
          <w:szCs w:val="24"/>
          <w:lang w:val="en-US"/>
        </w:rPr>
      </w:pPr>
      <w:r>
        <w:rPr>
          <w:rFonts w:ascii="Arial" w:hAnsi="Arial" w:cs="Arial"/>
          <w:b/>
          <w:bCs/>
          <w:sz w:val="24"/>
          <w:szCs w:val="24"/>
          <w:lang w:val="en-US"/>
        </w:rPr>
        <w:t xml:space="preserve">                                                       Email: </w:t>
      </w:r>
      <w:hyperlink r:id="rId13" w:history="1">
        <w:r w:rsidRPr="0001294B">
          <w:rPr>
            <w:rStyle w:val="Hyperlink"/>
            <w:rFonts w:ascii="Arial" w:hAnsi="Arial" w:cs="Arial"/>
            <w:b/>
            <w:bCs/>
            <w:sz w:val="24"/>
            <w:szCs w:val="24"/>
            <w:lang w:val="en-US"/>
          </w:rPr>
          <w:t>juanita@cjlaw.co.za</w:t>
        </w:r>
      </w:hyperlink>
    </w:p>
    <w:p w14:paraId="0EFA4DF5" w14:textId="53AEB392" w:rsidR="00F7601F" w:rsidRPr="00764C6E" w:rsidRDefault="00F7601F" w:rsidP="005942E4">
      <w:pPr>
        <w:spacing w:line="276" w:lineRule="auto"/>
        <w:jc w:val="both"/>
        <w:rPr>
          <w:rFonts w:ascii="Arial" w:hAnsi="Arial" w:cs="Arial"/>
          <w:b/>
          <w:bCs/>
          <w:sz w:val="24"/>
          <w:szCs w:val="24"/>
          <w:lang w:val="en-US"/>
        </w:rPr>
      </w:pPr>
      <w:r>
        <w:rPr>
          <w:rFonts w:ascii="Arial" w:hAnsi="Arial" w:cs="Arial"/>
          <w:b/>
          <w:bCs/>
          <w:sz w:val="24"/>
          <w:szCs w:val="24"/>
          <w:lang w:val="en-US"/>
        </w:rPr>
        <w:lastRenderedPageBreak/>
        <w:t xml:space="preserve">                                                      (Ref : J Jagga) </w:t>
      </w:r>
    </w:p>
    <w:sectPr w:rsidR="00F7601F" w:rsidRPr="00764C6E">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CD4A9" w14:textId="77777777" w:rsidR="002231F8" w:rsidRDefault="002231F8" w:rsidP="002C7BC4">
      <w:pPr>
        <w:spacing w:after="0" w:line="240" w:lineRule="auto"/>
      </w:pPr>
      <w:r>
        <w:separator/>
      </w:r>
    </w:p>
  </w:endnote>
  <w:endnote w:type="continuationSeparator" w:id="0">
    <w:p w14:paraId="7BF2B137" w14:textId="77777777" w:rsidR="002231F8" w:rsidRDefault="002231F8" w:rsidP="002C7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48586047"/>
      <w:docPartObj>
        <w:docPartGallery w:val="Page Numbers (Bottom of Page)"/>
        <w:docPartUnique/>
      </w:docPartObj>
    </w:sdtPr>
    <w:sdtEndPr>
      <w:rPr>
        <w:rStyle w:val="PageNumber"/>
      </w:rPr>
    </w:sdtEndPr>
    <w:sdtContent>
      <w:p w14:paraId="4829300C" w14:textId="330B8237" w:rsidR="00FC7260" w:rsidRDefault="00FC7260" w:rsidP="008C20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91A7C8E" w14:textId="77777777" w:rsidR="00FC7260" w:rsidRDefault="00FC7260" w:rsidP="00FC72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29658927"/>
      <w:docPartObj>
        <w:docPartGallery w:val="Page Numbers (Bottom of Page)"/>
        <w:docPartUnique/>
      </w:docPartObj>
    </w:sdtPr>
    <w:sdtEndPr>
      <w:rPr>
        <w:rStyle w:val="PageNumber"/>
      </w:rPr>
    </w:sdtEndPr>
    <w:sdtContent>
      <w:p w14:paraId="3394A04D" w14:textId="25602513" w:rsidR="00FC7260" w:rsidRDefault="00FC7260" w:rsidP="008C20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11699">
          <w:rPr>
            <w:rStyle w:val="PageNumber"/>
            <w:noProof/>
          </w:rPr>
          <w:t>30</w:t>
        </w:r>
        <w:r>
          <w:rPr>
            <w:rStyle w:val="PageNumber"/>
          </w:rPr>
          <w:fldChar w:fldCharType="end"/>
        </w:r>
      </w:p>
    </w:sdtContent>
  </w:sdt>
  <w:p w14:paraId="3F29DDFB" w14:textId="0FBF28B0" w:rsidR="002C7BC4" w:rsidRDefault="002C7BC4" w:rsidP="00FC7260">
    <w:pPr>
      <w:pStyle w:val="Footer"/>
      <w:ind w:right="360"/>
      <w:jc w:val="right"/>
    </w:pPr>
  </w:p>
  <w:p w14:paraId="0A72B8BA" w14:textId="77777777" w:rsidR="002C7BC4" w:rsidRDefault="002C7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03D38" w14:textId="77777777" w:rsidR="002231F8" w:rsidRDefault="002231F8" w:rsidP="002C7BC4">
      <w:pPr>
        <w:spacing w:after="0" w:line="240" w:lineRule="auto"/>
      </w:pPr>
      <w:r>
        <w:separator/>
      </w:r>
    </w:p>
  </w:footnote>
  <w:footnote w:type="continuationSeparator" w:id="0">
    <w:p w14:paraId="2C0CF3C6" w14:textId="77777777" w:rsidR="002231F8" w:rsidRDefault="002231F8" w:rsidP="002C7BC4">
      <w:pPr>
        <w:spacing w:after="0" w:line="240" w:lineRule="auto"/>
      </w:pPr>
      <w:r>
        <w:continuationSeparator/>
      </w:r>
    </w:p>
  </w:footnote>
  <w:footnote w:id="1">
    <w:p w14:paraId="71B92FEE" w14:textId="77777777" w:rsidR="00CD50BE" w:rsidRPr="002C4E8D" w:rsidRDefault="00CD50BE" w:rsidP="00CD50BE">
      <w:pPr>
        <w:pStyle w:val="FootnoteText"/>
        <w:rPr>
          <w:rFonts w:ascii="Arial" w:hAnsi="Arial" w:cs="Arial"/>
          <w:lang w:val="en-US"/>
        </w:rPr>
      </w:pPr>
      <w:r w:rsidRPr="002C4E8D">
        <w:rPr>
          <w:rStyle w:val="FootnoteReference"/>
          <w:rFonts w:ascii="Arial" w:hAnsi="Arial" w:cs="Arial"/>
        </w:rPr>
        <w:footnoteRef/>
      </w:r>
      <w:r w:rsidRPr="002C4E8D">
        <w:rPr>
          <w:rFonts w:ascii="Arial" w:hAnsi="Arial" w:cs="Arial"/>
        </w:rPr>
        <w:t xml:space="preserve"> </w:t>
      </w:r>
      <w:r w:rsidRPr="002C4E8D">
        <w:rPr>
          <w:rFonts w:ascii="Arial" w:hAnsi="Arial" w:cs="Arial"/>
          <w:lang w:val="en-US"/>
        </w:rPr>
        <w:t>118 LT 479 at 483.</w:t>
      </w:r>
    </w:p>
  </w:footnote>
  <w:footnote w:id="2">
    <w:p w14:paraId="6870B92A" w14:textId="77777777" w:rsidR="00CD50BE" w:rsidRPr="005301C6" w:rsidRDefault="00CD50BE" w:rsidP="00CD50BE">
      <w:pPr>
        <w:pStyle w:val="FootnoteText"/>
        <w:rPr>
          <w:rFonts w:ascii="Arial" w:hAnsi="Arial" w:cs="Arial"/>
          <w:lang w:val="en-US"/>
        </w:rPr>
      </w:pPr>
      <w:r w:rsidRPr="005301C6">
        <w:rPr>
          <w:rStyle w:val="FootnoteReference"/>
          <w:rFonts w:ascii="Arial" w:hAnsi="Arial" w:cs="Arial"/>
        </w:rPr>
        <w:footnoteRef/>
      </w:r>
      <w:r w:rsidRPr="005301C6">
        <w:rPr>
          <w:rFonts w:ascii="Arial" w:hAnsi="Arial" w:cs="Arial"/>
        </w:rPr>
        <w:t xml:space="preserve"> </w:t>
      </w:r>
      <w:r w:rsidRPr="005301C6">
        <w:rPr>
          <w:rFonts w:ascii="Arial" w:hAnsi="Arial" w:cs="Arial"/>
          <w:lang w:val="en-US"/>
        </w:rPr>
        <w:t>2012 (4) SA 593 (SCA) PARA 16.</w:t>
      </w:r>
    </w:p>
  </w:footnote>
  <w:footnote w:id="3">
    <w:p w14:paraId="477C7C44" w14:textId="77777777" w:rsidR="00CD50BE" w:rsidRPr="00140B0B" w:rsidRDefault="00CD50BE" w:rsidP="00CD50BE">
      <w:pPr>
        <w:pStyle w:val="FootnoteText"/>
        <w:rPr>
          <w:lang w:val="en-US"/>
        </w:rPr>
      </w:pPr>
      <w:r w:rsidRPr="005301C6">
        <w:rPr>
          <w:rStyle w:val="FootnoteReference"/>
          <w:rFonts w:ascii="Arial" w:hAnsi="Arial" w:cs="Arial"/>
        </w:rPr>
        <w:footnoteRef/>
      </w:r>
      <w:r w:rsidRPr="005301C6">
        <w:rPr>
          <w:rFonts w:ascii="Arial" w:hAnsi="Arial" w:cs="Arial"/>
        </w:rPr>
        <w:t xml:space="preserve"> </w:t>
      </w:r>
      <w:r w:rsidRPr="005301C6">
        <w:rPr>
          <w:rFonts w:ascii="Arial" w:hAnsi="Arial" w:cs="Arial"/>
          <w:lang w:val="en-US"/>
        </w:rPr>
        <w:t>At page 267 and 268.</w:t>
      </w:r>
    </w:p>
  </w:footnote>
  <w:footnote w:id="4">
    <w:p w14:paraId="0DB807C9" w14:textId="77777777" w:rsidR="00CD50BE" w:rsidRPr="00B370EE" w:rsidRDefault="00CD50BE" w:rsidP="00B370EE">
      <w:pPr>
        <w:pStyle w:val="FootnoteText"/>
        <w:jc w:val="both"/>
        <w:rPr>
          <w:rFonts w:ascii="Arial" w:hAnsi="Arial" w:cs="Arial"/>
          <w:lang w:val="en-US"/>
        </w:rPr>
      </w:pPr>
      <w:r w:rsidRPr="00B370EE">
        <w:rPr>
          <w:rStyle w:val="FootnoteReference"/>
          <w:rFonts w:ascii="Arial" w:hAnsi="Arial" w:cs="Arial"/>
        </w:rPr>
        <w:footnoteRef/>
      </w:r>
      <w:r w:rsidRPr="00B370EE">
        <w:rPr>
          <w:rFonts w:ascii="Arial" w:hAnsi="Arial" w:cs="Arial"/>
        </w:rPr>
        <w:t xml:space="preserve"> </w:t>
      </w:r>
      <w:r w:rsidRPr="00B370EE">
        <w:rPr>
          <w:rFonts w:ascii="Arial" w:hAnsi="Arial" w:cs="Arial"/>
          <w:lang w:val="en-US"/>
        </w:rPr>
        <w:t>2000 (4) SA 413 (SCA) at 431 – 432.</w:t>
      </w:r>
    </w:p>
  </w:footnote>
  <w:footnote w:id="5">
    <w:p w14:paraId="680F5DA5" w14:textId="77777777" w:rsidR="00CD50BE" w:rsidRPr="00B370EE" w:rsidRDefault="00CD50BE" w:rsidP="00B370EE">
      <w:pPr>
        <w:pStyle w:val="FootnoteText"/>
        <w:jc w:val="both"/>
        <w:rPr>
          <w:rFonts w:ascii="Arial" w:hAnsi="Arial" w:cs="Arial"/>
          <w:lang w:val="en-US"/>
        </w:rPr>
      </w:pPr>
      <w:r w:rsidRPr="00B370EE">
        <w:rPr>
          <w:rStyle w:val="FootnoteReference"/>
          <w:rFonts w:ascii="Arial" w:hAnsi="Arial" w:cs="Arial"/>
        </w:rPr>
        <w:footnoteRef/>
      </w:r>
      <w:r w:rsidRPr="00B370EE">
        <w:rPr>
          <w:rFonts w:ascii="Arial" w:hAnsi="Arial" w:cs="Arial"/>
        </w:rPr>
        <w:t xml:space="preserve"> </w:t>
      </w:r>
      <w:r w:rsidRPr="00B370EE">
        <w:rPr>
          <w:rFonts w:ascii="Arial" w:hAnsi="Arial" w:cs="Arial"/>
          <w:lang w:val="en-US"/>
        </w:rPr>
        <w:t>2007 (3) SA 266 (SCA) at para 163.</w:t>
      </w:r>
    </w:p>
  </w:footnote>
  <w:footnote w:id="6">
    <w:p w14:paraId="3088628D" w14:textId="77777777" w:rsidR="00CD50BE" w:rsidRPr="00B370EE" w:rsidRDefault="00CD50BE" w:rsidP="00B370EE">
      <w:pPr>
        <w:pStyle w:val="FootnoteText"/>
        <w:jc w:val="both"/>
        <w:rPr>
          <w:rFonts w:ascii="Arial" w:hAnsi="Arial" w:cs="Arial"/>
          <w:lang w:val="en-US"/>
        </w:rPr>
      </w:pPr>
      <w:r w:rsidRPr="00B370EE">
        <w:rPr>
          <w:rStyle w:val="FootnoteReference"/>
          <w:rFonts w:ascii="Arial" w:hAnsi="Arial" w:cs="Arial"/>
        </w:rPr>
        <w:footnoteRef/>
      </w:r>
      <w:r w:rsidRPr="00B370EE">
        <w:rPr>
          <w:rFonts w:ascii="Arial" w:hAnsi="Arial" w:cs="Arial"/>
        </w:rPr>
        <w:t xml:space="preserve"> </w:t>
      </w:r>
      <w:r w:rsidRPr="00B370EE">
        <w:rPr>
          <w:rFonts w:ascii="Arial" w:hAnsi="Arial" w:cs="Arial"/>
          <w:lang w:val="en-US"/>
        </w:rPr>
        <w:t xml:space="preserve">[1984] 2 ALLSA 422 (A) at 567. </w:t>
      </w:r>
    </w:p>
  </w:footnote>
  <w:footnote w:id="7">
    <w:p w14:paraId="7B398C5E" w14:textId="77777777" w:rsidR="00CD50BE" w:rsidRPr="007353DB" w:rsidRDefault="00CD50BE" w:rsidP="00B370EE">
      <w:pPr>
        <w:pStyle w:val="FootnoteText"/>
        <w:jc w:val="both"/>
        <w:rPr>
          <w:lang w:val="en-US"/>
        </w:rPr>
      </w:pPr>
      <w:r w:rsidRPr="00B370EE">
        <w:rPr>
          <w:rStyle w:val="FootnoteReference"/>
          <w:rFonts w:ascii="Arial" w:hAnsi="Arial" w:cs="Arial"/>
        </w:rPr>
        <w:footnoteRef/>
      </w:r>
      <w:r w:rsidRPr="00B370EE">
        <w:rPr>
          <w:rFonts w:ascii="Arial" w:hAnsi="Arial" w:cs="Arial"/>
        </w:rPr>
        <w:t xml:space="preserve"> </w:t>
      </w:r>
      <w:r w:rsidRPr="00B370EE">
        <w:rPr>
          <w:rFonts w:ascii="Arial" w:hAnsi="Arial" w:cs="Arial"/>
          <w:lang w:val="en-US"/>
        </w:rPr>
        <w:t>(2012) ALLSA 136 (SCA).</w:t>
      </w:r>
    </w:p>
  </w:footnote>
  <w:footnote w:id="8">
    <w:p w14:paraId="746075D9" w14:textId="77777777" w:rsidR="00CD5C8F" w:rsidRPr="006E1A6F" w:rsidRDefault="00CD5C8F" w:rsidP="00CD5C8F">
      <w:pPr>
        <w:pStyle w:val="FootnoteText"/>
        <w:rPr>
          <w:lang w:val="en-US"/>
        </w:rPr>
      </w:pPr>
      <w:r>
        <w:rPr>
          <w:rStyle w:val="FootnoteReference"/>
        </w:rPr>
        <w:footnoteRef/>
      </w:r>
      <w:r>
        <w:t xml:space="preserve"> City of Tshwane v Brooklyn Edge </w:t>
      </w:r>
      <w:r>
        <w:rPr>
          <w:lang w:val="en-US"/>
        </w:rPr>
        <w:t xml:space="preserve">2022 (2) ALLSA 334 (SCA) 16. </w:t>
      </w:r>
    </w:p>
  </w:footnote>
  <w:footnote w:id="9">
    <w:p w14:paraId="69CAE77C" w14:textId="77777777" w:rsidR="00CD50BE" w:rsidRPr="00B370EE" w:rsidRDefault="00CD50BE" w:rsidP="00CD50BE">
      <w:pPr>
        <w:pStyle w:val="FootnoteText"/>
        <w:rPr>
          <w:rFonts w:ascii="Arial" w:hAnsi="Arial" w:cs="Arial"/>
          <w:lang w:val="en-US"/>
        </w:rPr>
      </w:pPr>
      <w:r w:rsidRPr="00B370EE">
        <w:rPr>
          <w:rStyle w:val="FootnoteReference"/>
          <w:rFonts w:ascii="Arial" w:hAnsi="Arial" w:cs="Arial"/>
        </w:rPr>
        <w:footnoteRef/>
      </w:r>
      <w:r w:rsidRPr="00B370EE">
        <w:rPr>
          <w:rFonts w:ascii="Arial" w:hAnsi="Arial" w:cs="Arial"/>
        </w:rPr>
        <w:t xml:space="preserve"> </w:t>
      </w:r>
      <w:r w:rsidRPr="00B370EE">
        <w:rPr>
          <w:rFonts w:ascii="Arial" w:hAnsi="Arial" w:cs="Arial"/>
          <w:lang w:val="en-US"/>
        </w:rPr>
        <w:t>(238/2001) [2002] ZASCA 66 (2002) 3 ALLSA 435 (A) 31 May 2002 at para 23.</w:t>
      </w:r>
    </w:p>
  </w:footnote>
  <w:footnote w:id="10">
    <w:p w14:paraId="218EB8BB" w14:textId="24348B26" w:rsidR="00F95C7C" w:rsidRPr="00063648" w:rsidRDefault="00F95C7C" w:rsidP="008D261D">
      <w:pPr>
        <w:pStyle w:val="FootnoteText"/>
        <w:ind w:left="142" w:hanging="142"/>
        <w:jc w:val="both"/>
        <w:rPr>
          <w:rFonts w:ascii="Arial" w:hAnsi="Arial" w:cs="Arial"/>
          <w:lang w:val="en-US"/>
        </w:rPr>
      </w:pPr>
      <w:r w:rsidRPr="00063648">
        <w:rPr>
          <w:rStyle w:val="FootnoteReference"/>
          <w:rFonts w:ascii="Arial" w:hAnsi="Arial" w:cs="Arial"/>
        </w:rPr>
        <w:footnoteRef/>
      </w:r>
      <w:r w:rsidRPr="00063648">
        <w:rPr>
          <w:rFonts w:ascii="Arial" w:hAnsi="Arial" w:cs="Arial"/>
        </w:rPr>
        <w:t xml:space="preserve"> </w:t>
      </w:r>
      <w:r w:rsidR="00063648" w:rsidRPr="00063648">
        <w:rPr>
          <w:rFonts w:ascii="Arial" w:hAnsi="Arial" w:cs="Arial"/>
        </w:rPr>
        <w:t>See:</w:t>
      </w:r>
      <w:r w:rsidRPr="00063648">
        <w:rPr>
          <w:rFonts w:ascii="Arial" w:hAnsi="Arial" w:cs="Arial"/>
        </w:rPr>
        <w:t xml:space="preserve"> Clause 16 of the sale </w:t>
      </w:r>
      <w:r w:rsidR="00063648" w:rsidRPr="00063648">
        <w:rPr>
          <w:rFonts w:ascii="Arial" w:hAnsi="Arial" w:cs="Arial"/>
        </w:rPr>
        <w:t>agreement.</w:t>
      </w:r>
      <w:r w:rsidRPr="00063648">
        <w:rPr>
          <w:rFonts w:ascii="Arial" w:hAnsi="Arial" w:cs="Arial"/>
        </w:rPr>
        <w:t xml:space="preserve"> </w:t>
      </w:r>
      <w:r w:rsidRPr="00063648">
        <w:rPr>
          <w:rFonts w:ascii="Arial" w:hAnsi="Arial" w:cs="Arial"/>
          <w:i/>
          <w:iCs/>
        </w:rPr>
        <w:t>“The Business is sold subject to the condition that it shall remain the absolute property of the Seller until such time as the full purchase price has been paid to the Seller.”</w:t>
      </w:r>
      <w:r w:rsidRPr="00063648">
        <w:rPr>
          <w:rFonts w:ascii="Arial" w:hAnsi="Arial" w:cs="Arial"/>
        </w:rPr>
        <w:t xml:space="preserve"> </w:t>
      </w:r>
    </w:p>
  </w:footnote>
  <w:footnote w:id="11">
    <w:p w14:paraId="41A6D3A9" w14:textId="067BE732" w:rsidR="00274761" w:rsidRPr="008D261D" w:rsidRDefault="00274761" w:rsidP="008D261D">
      <w:pPr>
        <w:pStyle w:val="FootnoteText"/>
        <w:ind w:left="142" w:hanging="142"/>
        <w:jc w:val="both"/>
        <w:rPr>
          <w:rFonts w:ascii="Arial" w:hAnsi="Arial" w:cs="Arial"/>
          <w:lang w:val="en-US"/>
        </w:rPr>
      </w:pPr>
      <w:r w:rsidRPr="008D261D">
        <w:rPr>
          <w:rStyle w:val="FootnoteReference"/>
          <w:rFonts w:ascii="Arial" w:hAnsi="Arial" w:cs="Arial"/>
        </w:rPr>
        <w:footnoteRef/>
      </w:r>
      <w:r w:rsidRPr="008D261D">
        <w:rPr>
          <w:rFonts w:ascii="Arial" w:hAnsi="Arial" w:cs="Arial"/>
        </w:rPr>
        <w:t xml:space="preserve"> </w:t>
      </w:r>
      <w:r w:rsidRPr="008D261D">
        <w:rPr>
          <w:rFonts w:ascii="Arial" w:hAnsi="Arial" w:cs="Arial"/>
          <w:lang w:val="en-US"/>
        </w:rPr>
        <w:t xml:space="preserve">2006 (3) SA </w:t>
      </w:r>
      <w:r w:rsidR="002C4E8D" w:rsidRPr="008D261D">
        <w:rPr>
          <w:rFonts w:ascii="Arial" w:hAnsi="Arial" w:cs="Arial"/>
          <w:lang w:val="en-US"/>
        </w:rPr>
        <w:t>488 (SCA) at</w:t>
      </w:r>
      <w:r w:rsidRPr="008D261D">
        <w:rPr>
          <w:rFonts w:ascii="Arial" w:hAnsi="Arial" w:cs="Arial"/>
          <w:lang w:val="en-US"/>
        </w:rPr>
        <w:t xml:space="preserve"> para 19, 494 H – 495 A.</w:t>
      </w:r>
    </w:p>
  </w:footnote>
  <w:footnote w:id="12">
    <w:p w14:paraId="1ACF3D8A" w14:textId="735BE615" w:rsidR="00DE4603" w:rsidRPr="00DE4603" w:rsidRDefault="00DE4603" w:rsidP="00503B26">
      <w:pPr>
        <w:pStyle w:val="FootnoteText"/>
        <w:jc w:val="both"/>
        <w:rPr>
          <w:lang w:val="en-US"/>
        </w:rPr>
      </w:pPr>
      <w:r>
        <w:rPr>
          <w:rStyle w:val="FootnoteReference"/>
        </w:rPr>
        <w:footnoteRef/>
      </w:r>
      <w:r>
        <w:t xml:space="preserve"> </w:t>
      </w:r>
      <w:r>
        <w:rPr>
          <w:lang w:val="en-US"/>
        </w:rPr>
        <w:t>Absa Bank Ltd v SA Commercial Catering &amp; Al</w:t>
      </w:r>
      <w:r w:rsidR="001337E2">
        <w:rPr>
          <w:lang w:val="en-US"/>
        </w:rPr>
        <w:t xml:space="preserve">lied Workers </w:t>
      </w:r>
      <w:r w:rsidR="00734BFD">
        <w:rPr>
          <w:lang w:val="en-US"/>
        </w:rPr>
        <w:t>Union National Provident Fund (under curatorship</w:t>
      </w:r>
      <w:r w:rsidR="00156F33">
        <w:rPr>
          <w:lang w:val="en-US"/>
        </w:rPr>
        <w:t>)</w:t>
      </w:r>
      <w:r w:rsidR="001337E2">
        <w:rPr>
          <w:lang w:val="en-US"/>
        </w:rPr>
        <w:t xml:space="preserve"> 2012 (3) SA 585 (SCA) at para 33</w:t>
      </w:r>
      <w:r w:rsidR="00F118CD">
        <w:rPr>
          <w:lang w:val="en-US"/>
        </w:rPr>
        <w:t xml:space="preserve">; See also Union Government (Minister of Railways &amp; </w:t>
      </w:r>
      <w:r w:rsidR="00503B26">
        <w:rPr>
          <w:lang w:val="en-US"/>
        </w:rPr>
        <w:t>H</w:t>
      </w:r>
      <w:r w:rsidR="00F118CD">
        <w:rPr>
          <w:lang w:val="en-US"/>
        </w:rPr>
        <w:t>arbours) v Faux Ltd 1916 AD 105 at 112</w:t>
      </w:r>
      <w:r w:rsidR="00503B26">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46063"/>
    <w:multiLevelType w:val="hybridMultilevel"/>
    <w:tmpl w:val="D76E21EE"/>
    <w:lvl w:ilvl="0" w:tplc="82E06F6A">
      <w:start w:val="1"/>
      <w:numFmt w:val="decimal"/>
      <w:lvlText w:val="%1."/>
      <w:lvlJc w:val="left"/>
      <w:pPr>
        <w:ind w:left="1528" w:hanging="720"/>
      </w:pPr>
      <w:rPr>
        <w:rFonts w:hint="default"/>
      </w:rPr>
    </w:lvl>
    <w:lvl w:ilvl="1" w:tplc="1C090019" w:tentative="1">
      <w:start w:val="1"/>
      <w:numFmt w:val="lowerLetter"/>
      <w:lvlText w:val="%2."/>
      <w:lvlJc w:val="left"/>
      <w:pPr>
        <w:ind w:left="1888" w:hanging="360"/>
      </w:pPr>
    </w:lvl>
    <w:lvl w:ilvl="2" w:tplc="1C09001B" w:tentative="1">
      <w:start w:val="1"/>
      <w:numFmt w:val="lowerRoman"/>
      <w:lvlText w:val="%3."/>
      <w:lvlJc w:val="right"/>
      <w:pPr>
        <w:ind w:left="2608" w:hanging="180"/>
      </w:pPr>
    </w:lvl>
    <w:lvl w:ilvl="3" w:tplc="1C09000F" w:tentative="1">
      <w:start w:val="1"/>
      <w:numFmt w:val="decimal"/>
      <w:lvlText w:val="%4."/>
      <w:lvlJc w:val="left"/>
      <w:pPr>
        <w:ind w:left="3328" w:hanging="360"/>
      </w:pPr>
    </w:lvl>
    <w:lvl w:ilvl="4" w:tplc="1C090019" w:tentative="1">
      <w:start w:val="1"/>
      <w:numFmt w:val="lowerLetter"/>
      <w:lvlText w:val="%5."/>
      <w:lvlJc w:val="left"/>
      <w:pPr>
        <w:ind w:left="4048" w:hanging="360"/>
      </w:pPr>
    </w:lvl>
    <w:lvl w:ilvl="5" w:tplc="1C09001B" w:tentative="1">
      <w:start w:val="1"/>
      <w:numFmt w:val="lowerRoman"/>
      <w:lvlText w:val="%6."/>
      <w:lvlJc w:val="right"/>
      <w:pPr>
        <w:ind w:left="4768" w:hanging="180"/>
      </w:pPr>
    </w:lvl>
    <w:lvl w:ilvl="6" w:tplc="1C09000F" w:tentative="1">
      <w:start w:val="1"/>
      <w:numFmt w:val="decimal"/>
      <w:lvlText w:val="%7."/>
      <w:lvlJc w:val="left"/>
      <w:pPr>
        <w:ind w:left="5488" w:hanging="360"/>
      </w:pPr>
    </w:lvl>
    <w:lvl w:ilvl="7" w:tplc="1C090019" w:tentative="1">
      <w:start w:val="1"/>
      <w:numFmt w:val="lowerLetter"/>
      <w:lvlText w:val="%8."/>
      <w:lvlJc w:val="left"/>
      <w:pPr>
        <w:ind w:left="6208" w:hanging="360"/>
      </w:pPr>
    </w:lvl>
    <w:lvl w:ilvl="8" w:tplc="1C09001B" w:tentative="1">
      <w:start w:val="1"/>
      <w:numFmt w:val="lowerRoman"/>
      <w:lvlText w:val="%9."/>
      <w:lvlJc w:val="right"/>
      <w:pPr>
        <w:ind w:left="69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33"/>
    <w:rsid w:val="00001650"/>
    <w:rsid w:val="00002906"/>
    <w:rsid w:val="0000345A"/>
    <w:rsid w:val="00006586"/>
    <w:rsid w:val="00007FB3"/>
    <w:rsid w:val="00011050"/>
    <w:rsid w:val="00011699"/>
    <w:rsid w:val="00013CCD"/>
    <w:rsid w:val="00014F8F"/>
    <w:rsid w:val="0001607C"/>
    <w:rsid w:val="00016200"/>
    <w:rsid w:val="000202D3"/>
    <w:rsid w:val="00020465"/>
    <w:rsid w:val="00021B9B"/>
    <w:rsid w:val="0002258A"/>
    <w:rsid w:val="0002453D"/>
    <w:rsid w:val="00026450"/>
    <w:rsid w:val="0003172E"/>
    <w:rsid w:val="000342DC"/>
    <w:rsid w:val="0003718B"/>
    <w:rsid w:val="0003719B"/>
    <w:rsid w:val="00044E36"/>
    <w:rsid w:val="0005213A"/>
    <w:rsid w:val="00052F70"/>
    <w:rsid w:val="00053544"/>
    <w:rsid w:val="0005453B"/>
    <w:rsid w:val="0005471F"/>
    <w:rsid w:val="00054F44"/>
    <w:rsid w:val="000552CC"/>
    <w:rsid w:val="00061221"/>
    <w:rsid w:val="00061322"/>
    <w:rsid w:val="000617B9"/>
    <w:rsid w:val="00063509"/>
    <w:rsid w:val="00063648"/>
    <w:rsid w:val="00064491"/>
    <w:rsid w:val="000670E4"/>
    <w:rsid w:val="00067AD7"/>
    <w:rsid w:val="00070380"/>
    <w:rsid w:val="00071016"/>
    <w:rsid w:val="000714ED"/>
    <w:rsid w:val="00071763"/>
    <w:rsid w:val="00071A9D"/>
    <w:rsid w:val="00077F64"/>
    <w:rsid w:val="00080A80"/>
    <w:rsid w:val="000821B9"/>
    <w:rsid w:val="0008264F"/>
    <w:rsid w:val="00083D40"/>
    <w:rsid w:val="000844EF"/>
    <w:rsid w:val="00090F24"/>
    <w:rsid w:val="000939A3"/>
    <w:rsid w:val="000967B5"/>
    <w:rsid w:val="000A008A"/>
    <w:rsid w:val="000A4862"/>
    <w:rsid w:val="000A50C8"/>
    <w:rsid w:val="000A59B8"/>
    <w:rsid w:val="000A7C99"/>
    <w:rsid w:val="000B1799"/>
    <w:rsid w:val="000B1BB9"/>
    <w:rsid w:val="000B5E9B"/>
    <w:rsid w:val="000C0245"/>
    <w:rsid w:val="000C0367"/>
    <w:rsid w:val="000C2AFA"/>
    <w:rsid w:val="000C2F2D"/>
    <w:rsid w:val="000C43E5"/>
    <w:rsid w:val="000C5451"/>
    <w:rsid w:val="000C68F4"/>
    <w:rsid w:val="000D4D3B"/>
    <w:rsid w:val="000D4DE2"/>
    <w:rsid w:val="000D76BB"/>
    <w:rsid w:val="000F0417"/>
    <w:rsid w:val="000F0EC5"/>
    <w:rsid w:val="000F121B"/>
    <w:rsid w:val="000F142B"/>
    <w:rsid w:val="000F2184"/>
    <w:rsid w:val="00101117"/>
    <w:rsid w:val="00102749"/>
    <w:rsid w:val="0010423C"/>
    <w:rsid w:val="001079FE"/>
    <w:rsid w:val="00110F78"/>
    <w:rsid w:val="00111521"/>
    <w:rsid w:val="00112906"/>
    <w:rsid w:val="00112FBF"/>
    <w:rsid w:val="00113EE5"/>
    <w:rsid w:val="00115BDF"/>
    <w:rsid w:val="00117343"/>
    <w:rsid w:val="00121F83"/>
    <w:rsid w:val="0012248B"/>
    <w:rsid w:val="001257B0"/>
    <w:rsid w:val="0012648C"/>
    <w:rsid w:val="00127CD5"/>
    <w:rsid w:val="00130007"/>
    <w:rsid w:val="001324D8"/>
    <w:rsid w:val="001337E2"/>
    <w:rsid w:val="0014055F"/>
    <w:rsid w:val="00140D01"/>
    <w:rsid w:val="00143883"/>
    <w:rsid w:val="00144393"/>
    <w:rsid w:val="00146ABD"/>
    <w:rsid w:val="0014791C"/>
    <w:rsid w:val="0015372E"/>
    <w:rsid w:val="001562F3"/>
    <w:rsid w:val="00156F33"/>
    <w:rsid w:val="001641B9"/>
    <w:rsid w:val="00165290"/>
    <w:rsid w:val="001662B3"/>
    <w:rsid w:val="00167875"/>
    <w:rsid w:val="00171770"/>
    <w:rsid w:val="00172E68"/>
    <w:rsid w:val="001800E1"/>
    <w:rsid w:val="001831C0"/>
    <w:rsid w:val="00183568"/>
    <w:rsid w:val="00183D88"/>
    <w:rsid w:val="001842FE"/>
    <w:rsid w:val="00184EDF"/>
    <w:rsid w:val="00187A90"/>
    <w:rsid w:val="00192A00"/>
    <w:rsid w:val="00197527"/>
    <w:rsid w:val="001A2BF5"/>
    <w:rsid w:val="001A3460"/>
    <w:rsid w:val="001A4E39"/>
    <w:rsid w:val="001B22B3"/>
    <w:rsid w:val="001B4C68"/>
    <w:rsid w:val="001B5DD5"/>
    <w:rsid w:val="001B6DF0"/>
    <w:rsid w:val="001C1058"/>
    <w:rsid w:val="001C3633"/>
    <w:rsid w:val="001C634E"/>
    <w:rsid w:val="001C74A1"/>
    <w:rsid w:val="001D43EA"/>
    <w:rsid w:val="001D6533"/>
    <w:rsid w:val="001E0512"/>
    <w:rsid w:val="001E084A"/>
    <w:rsid w:val="001E0CDC"/>
    <w:rsid w:val="001E0EC4"/>
    <w:rsid w:val="001E6E72"/>
    <w:rsid w:val="001F5B8C"/>
    <w:rsid w:val="001F60CD"/>
    <w:rsid w:val="001F7000"/>
    <w:rsid w:val="001F76F6"/>
    <w:rsid w:val="002005C3"/>
    <w:rsid w:val="002031C3"/>
    <w:rsid w:val="00205430"/>
    <w:rsid w:val="0020678F"/>
    <w:rsid w:val="002104E2"/>
    <w:rsid w:val="002174DF"/>
    <w:rsid w:val="002203B8"/>
    <w:rsid w:val="00222E51"/>
    <w:rsid w:val="002231F8"/>
    <w:rsid w:val="0022379C"/>
    <w:rsid w:val="00223C61"/>
    <w:rsid w:val="00225CED"/>
    <w:rsid w:val="0022616A"/>
    <w:rsid w:val="00231539"/>
    <w:rsid w:val="00233A81"/>
    <w:rsid w:val="00234A31"/>
    <w:rsid w:val="00234F90"/>
    <w:rsid w:val="00236EAD"/>
    <w:rsid w:val="002374C8"/>
    <w:rsid w:val="00241667"/>
    <w:rsid w:val="0024217F"/>
    <w:rsid w:val="00245454"/>
    <w:rsid w:val="002454BC"/>
    <w:rsid w:val="0024601C"/>
    <w:rsid w:val="00256342"/>
    <w:rsid w:val="00256CEC"/>
    <w:rsid w:val="0026054E"/>
    <w:rsid w:val="00261F7B"/>
    <w:rsid w:val="00262BBD"/>
    <w:rsid w:val="002644C1"/>
    <w:rsid w:val="00270BA4"/>
    <w:rsid w:val="00271E63"/>
    <w:rsid w:val="002726A6"/>
    <w:rsid w:val="00274761"/>
    <w:rsid w:val="00275233"/>
    <w:rsid w:val="0028122B"/>
    <w:rsid w:val="002828DD"/>
    <w:rsid w:val="0029508D"/>
    <w:rsid w:val="002A1642"/>
    <w:rsid w:val="002A2E22"/>
    <w:rsid w:val="002A4944"/>
    <w:rsid w:val="002A4EA3"/>
    <w:rsid w:val="002B0723"/>
    <w:rsid w:val="002B4EDF"/>
    <w:rsid w:val="002B594A"/>
    <w:rsid w:val="002B62F6"/>
    <w:rsid w:val="002C420A"/>
    <w:rsid w:val="002C4E8D"/>
    <w:rsid w:val="002C7BC4"/>
    <w:rsid w:val="002D031F"/>
    <w:rsid w:val="002D493B"/>
    <w:rsid w:val="002D5367"/>
    <w:rsid w:val="002D58E0"/>
    <w:rsid w:val="002D6E2A"/>
    <w:rsid w:val="002D77C0"/>
    <w:rsid w:val="002E0E4B"/>
    <w:rsid w:val="002E1392"/>
    <w:rsid w:val="002E4746"/>
    <w:rsid w:val="002E7C40"/>
    <w:rsid w:val="002F03CE"/>
    <w:rsid w:val="002F1741"/>
    <w:rsid w:val="002F17AC"/>
    <w:rsid w:val="002F1E2A"/>
    <w:rsid w:val="002F3535"/>
    <w:rsid w:val="002F4D5F"/>
    <w:rsid w:val="002F599C"/>
    <w:rsid w:val="00305FA2"/>
    <w:rsid w:val="00310F28"/>
    <w:rsid w:val="00311834"/>
    <w:rsid w:val="00312300"/>
    <w:rsid w:val="00331FD3"/>
    <w:rsid w:val="0033689E"/>
    <w:rsid w:val="003412A6"/>
    <w:rsid w:val="0034480B"/>
    <w:rsid w:val="003463B4"/>
    <w:rsid w:val="0035011A"/>
    <w:rsid w:val="00351673"/>
    <w:rsid w:val="0035598C"/>
    <w:rsid w:val="00355D45"/>
    <w:rsid w:val="0036170A"/>
    <w:rsid w:val="00362377"/>
    <w:rsid w:val="00362635"/>
    <w:rsid w:val="00365E07"/>
    <w:rsid w:val="0036651D"/>
    <w:rsid w:val="00367377"/>
    <w:rsid w:val="00376109"/>
    <w:rsid w:val="00380F83"/>
    <w:rsid w:val="00381EAB"/>
    <w:rsid w:val="00385DC7"/>
    <w:rsid w:val="00385DF3"/>
    <w:rsid w:val="00386A2B"/>
    <w:rsid w:val="003915C2"/>
    <w:rsid w:val="00392301"/>
    <w:rsid w:val="00394242"/>
    <w:rsid w:val="00395759"/>
    <w:rsid w:val="003964B5"/>
    <w:rsid w:val="003A10C1"/>
    <w:rsid w:val="003A1982"/>
    <w:rsid w:val="003A5141"/>
    <w:rsid w:val="003B0E31"/>
    <w:rsid w:val="003B1557"/>
    <w:rsid w:val="003B444D"/>
    <w:rsid w:val="003C156C"/>
    <w:rsid w:val="003C19F6"/>
    <w:rsid w:val="003C3428"/>
    <w:rsid w:val="003D2B41"/>
    <w:rsid w:val="003D2DD5"/>
    <w:rsid w:val="003D3CE6"/>
    <w:rsid w:val="003D7215"/>
    <w:rsid w:val="003D745C"/>
    <w:rsid w:val="003E0159"/>
    <w:rsid w:val="003E065B"/>
    <w:rsid w:val="003E0FA8"/>
    <w:rsid w:val="003E5FD0"/>
    <w:rsid w:val="003E70C1"/>
    <w:rsid w:val="003F127B"/>
    <w:rsid w:val="003F1838"/>
    <w:rsid w:val="003F5046"/>
    <w:rsid w:val="003F68E6"/>
    <w:rsid w:val="00400937"/>
    <w:rsid w:val="00401176"/>
    <w:rsid w:val="00401BB5"/>
    <w:rsid w:val="00410A9F"/>
    <w:rsid w:val="00412C33"/>
    <w:rsid w:val="004214A0"/>
    <w:rsid w:val="00421A97"/>
    <w:rsid w:val="00427F14"/>
    <w:rsid w:val="0043089A"/>
    <w:rsid w:val="00432FD6"/>
    <w:rsid w:val="00434EAA"/>
    <w:rsid w:val="0043521B"/>
    <w:rsid w:val="004431F1"/>
    <w:rsid w:val="004511A3"/>
    <w:rsid w:val="004530B3"/>
    <w:rsid w:val="00457C49"/>
    <w:rsid w:val="00464B4A"/>
    <w:rsid w:val="00464B8F"/>
    <w:rsid w:val="00465BEB"/>
    <w:rsid w:val="00466926"/>
    <w:rsid w:val="00467D89"/>
    <w:rsid w:val="0047204A"/>
    <w:rsid w:val="00473BAA"/>
    <w:rsid w:val="00474F37"/>
    <w:rsid w:val="004814B8"/>
    <w:rsid w:val="00490903"/>
    <w:rsid w:val="00491E71"/>
    <w:rsid w:val="004A0707"/>
    <w:rsid w:val="004A1B13"/>
    <w:rsid w:val="004A62CE"/>
    <w:rsid w:val="004A7F44"/>
    <w:rsid w:val="004B193F"/>
    <w:rsid w:val="004B6762"/>
    <w:rsid w:val="004B703D"/>
    <w:rsid w:val="004C117E"/>
    <w:rsid w:val="004C2B18"/>
    <w:rsid w:val="004C3558"/>
    <w:rsid w:val="004C5397"/>
    <w:rsid w:val="004E1430"/>
    <w:rsid w:val="004E1AB5"/>
    <w:rsid w:val="004E1FE6"/>
    <w:rsid w:val="004E465B"/>
    <w:rsid w:val="004E5038"/>
    <w:rsid w:val="004E5D26"/>
    <w:rsid w:val="004E618F"/>
    <w:rsid w:val="004E66DE"/>
    <w:rsid w:val="004E6717"/>
    <w:rsid w:val="004F1EBA"/>
    <w:rsid w:val="004F273F"/>
    <w:rsid w:val="004F7A59"/>
    <w:rsid w:val="00501016"/>
    <w:rsid w:val="00503B26"/>
    <w:rsid w:val="00504B93"/>
    <w:rsid w:val="005054DC"/>
    <w:rsid w:val="00511F7D"/>
    <w:rsid w:val="00514EC5"/>
    <w:rsid w:val="00515A40"/>
    <w:rsid w:val="00521784"/>
    <w:rsid w:val="0052247C"/>
    <w:rsid w:val="0052566D"/>
    <w:rsid w:val="005301C6"/>
    <w:rsid w:val="00531CDE"/>
    <w:rsid w:val="00533606"/>
    <w:rsid w:val="00535960"/>
    <w:rsid w:val="0053724C"/>
    <w:rsid w:val="00540CCD"/>
    <w:rsid w:val="00542ED1"/>
    <w:rsid w:val="00543DD9"/>
    <w:rsid w:val="00544ED4"/>
    <w:rsid w:val="00545279"/>
    <w:rsid w:val="005511D1"/>
    <w:rsid w:val="0055182C"/>
    <w:rsid w:val="00552571"/>
    <w:rsid w:val="00553981"/>
    <w:rsid w:val="0055618C"/>
    <w:rsid w:val="00560DF8"/>
    <w:rsid w:val="00560FB6"/>
    <w:rsid w:val="005631AA"/>
    <w:rsid w:val="00566357"/>
    <w:rsid w:val="00574A5D"/>
    <w:rsid w:val="00574B1E"/>
    <w:rsid w:val="00583E64"/>
    <w:rsid w:val="005866A0"/>
    <w:rsid w:val="005870EE"/>
    <w:rsid w:val="00587763"/>
    <w:rsid w:val="00590218"/>
    <w:rsid w:val="00594101"/>
    <w:rsid w:val="005942E4"/>
    <w:rsid w:val="00594724"/>
    <w:rsid w:val="00594AB0"/>
    <w:rsid w:val="0059580B"/>
    <w:rsid w:val="00597C41"/>
    <w:rsid w:val="005A1069"/>
    <w:rsid w:val="005A254A"/>
    <w:rsid w:val="005B568E"/>
    <w:rsid w:val="005B5BA0"/>
    <w:rsid w:val="005B5C99"/>
    <w:rsid w:val="005B7B5D"/>
    <w:rsid w:val="005C1412"/>
    <w:rsid w:val="005C1AE7"/>
    <w:rsid w:val="005C3672"/>
    <w:rsid w:val="005D1CAA"/>
    <w:rsid w:val="005D20BE"/>
    <w:rsid w:val="005D4E24"/>
    <w:rsid w:val="005E1B98"/>
    <w:rsid w:val="005E1DE9"/>
    <w:rsid w:val="005E5D33"/>
    <w:rsid w:val="005E7622"/>
    <w:rsid w:val="005F09A1"/>
    <w:rsid w:val="005F7141"/>
    <w:rsid w:val="00612D38"/>
    <w:rsid w:val="00613BA6"/>
    <w:rsid w:val="0061499D"/>
    <w:rsid w:val="00614FD2"/>
    <w:rsid w:val="00616CF8"/>
    <w:rsid w:val="0062195E"/>
    <w:rsid w:val="006264E0"/>
    <w:rsid w:val="0063262F"/>
    <w:rsid w:val="00632821"/>
    <w:rsid w:val="006337F8"/>
    <w:rsid w:val="00635CBE"/>
    <w:rsid w:val="00637A41"/>
    <w:rsid w:val="00647040"/>
    <w:rsid w:val="00650468"/>
    <w:rsid w:val="00650BFD"/>
    <w:rsid w:val="00654172"/>
    <w:rsid w:val="00655004"/>
    <w:rsid w:val="00656367"/>
    <w:rsid w:val="00657798"/>
    <w:rsid w:val="006602FF"/>
    <w:rsid w:val="006623AB"/>
    <w:rsid w:val="00663379"/>
    <w:rsid w:val="0066435D"/>
    <w:rsid w:val="00670828"/>
    <w:rsid w:val="00670C90"/>
    <w:rsid w:val="00671259"/>
    <w:rsid w:val="00673046"/>
    <w:rsid w:val="0067311E"/>
    <w:rsid w:val="00676C0D"/>
    <w:rsid w:val="00685352"/>
    <w:rsid w:val="006901FC"/>
    <w:rsid w:val="00693098"/>
    <w:rsid w:val="00694604"/>
    <w:rsid w:val="0069684E"/>
    <w:rsid w:val="006A1C41"/>
    <w:rsid w:val="006A62B9"/>
    <w:rsid w:val="006A733F"/>
    <w:rsid w:val="006B3782"/>
    <w:rsid w:val="006B5D8C"/>
    <w:rsid w:val="006D160D"/>
    <w:rsid w:val="006D3AC7"/>
    <w:rsid w:val="006D3F85"/>
    <w:rsid w:val="006D6BE7"/>
    <w:rsid w:val="006D7B7F"/>
    <w:rsid w:val="006E1A6F"/>
    <w:rsid w:val="006E2C43"/>
    <w:rsid w:val="006E5EE6"/>
    <w:rsid w:val="006F45A1"/>
    <w:rsid w:val="007006CC"/>
    <w:rsid w:val="007024E0"/>
    <w:rsid w:val="00702849"/>
    <w:rsid w:val="0070728C"/>
    <w:rsid w:val="00707D5C"/>
    <w:rsid w:val="00710C08"/>
    <w:rsid w:val="00712310"/>
    <w:rsid w:val="00715870"/>
    <w:rsid w:val="0071654E"/>
    <w:rsid w:val="00717947"/>
    <w:rsid w:val="00724B7A"/>
    <w:rsid w:val="00727081"/>
    <w:rsid w:val="007328E3"/>
    <w:rsid w:val="007329CB"/>
    <w:rsid w:val="00732FE2"/>
    <w:rsid w:val="00733105"/>
    <w:rsid w:val="00734BFD"/>
    <w:rsid w:val="0074047F"/>
    <w:rsid w:val="00744BB5"/>
    <w:rsid w:val="00745785"/>
    <w:rsid w:val="00761B0F"/>
    <w:rsid w:val="007641A8"/>
    <w:rsid w:val="007642B0"/>
    <w:rsid w:val="00764C6E"/>
    <w:rsid w:val="00767D63"/>
    <w:rsid w:val="00776A87"/>
    <w:rsid w:val="00777949"/>
    <w:rsid w:val="007823DD"/>
    <w:rsid w:val="0078312A"/>
    <w:rsid w:val="00783BBE"/>
    <w:rsid w:val="00786519"/>
    <w:rsid w:val="007879EC"/>
    <w:rsid w:val="00793D41"/>
    <w:rsid w:val="00794241"/>
    <w:rsid w:val="0079585D"/>
    <w:rsid w:val="007A0C53"/>
    <w:rsid w:val="007A3631"/>
    <w:rsid w:val="007A5579"/>
    <w:rsid w:val="007A5BF4"/>
    <w:rsid w:val="007B0584"/>
    <w:rsid w:val="007B2540"/>
    <w:rsid w:val="007B52A6"/>
    <w:rsid w:val="007B6A20"/>
    <w:rsid w:val="007C4F92"/>
    <w:rsid w:val="007D06FB"/>
    <w:rsid w:val="007D46D9"/>
    <w:rsid w:val="007D7298"/>
    <w:rsid w:val="007E1F28"/>
    <w:rsid w:val="007E260F"/>
    <w:rsid w:val="007E57FA"/>
    <w:rsid w:val="007E79E1"/>
    <w:rsid w:val="007F0D90"/>
    <w:rsid w:val="007F4B03"/>
    <w:rsid w:val="007F7A9B"/>
    <w:rsid w:val="00800146"/>
    <w:rsid w:val="00801E58"/>
    <w:rsid w:val="008020EF"/>
    <w:rsid w:val="0080538A"/>
    <w:rsid w:val="00805B4D"/>
    <w:rsid w:val="008130B1"/>
    <w:rsid w:val="0081332F"/>
    <w:rsid w:val="0081378F"/>
    <w:rsid w:val="0081691A"/>
    <w:rsid w:val="00816FD8"/>
    <w:rsid w:val="00820BA9"/>
    <w:rsid w:val="00822C30"/>
    <w:rsid w:val="008326B2"/>
    <w:rsid w:val="008335E0"/>
    <w:rsid w:val="00834F48"/>
    <w:rsid w:val="00836B7F"/>
    <w:rsid w:val="00837BC3"/>
    <w:rsid w:val="00843DA4"/>
    <w:rsid w:val="008455E2"/>
    <w:rsid w:val="008510F3"/>
    <w:rsid w:val="008542F5"/>
    <w:rsid w:val="00860C13"/>
    <w:rsid w:val="008653D4"/>
    <w:rsid w:val="00866F4E"/>
    <w:rsid w:val="00867A21"/>
    <w:rsid w:val="008779EE"/>
    <w:rsid w:val="00880CAD"/>
    <w:rsid w:val="00881144"/>
    <w:rsid w:val="00882F4C"/>
    <w:rsid w:val="0088462D"/>
    <w:rsid w:val="0088481B"/>
    <w:rsid w:val="00886743"/>
    <w:rsid w:val="00887916"/>
    <w:rsid w:val="00887D73"/>
    <w:rsid w:val="00890011"/>
    <w:rsid w:val="00890AF1"/>
    <w:rsid w:val="00890E1C"/>
    <w:rsid w:val="00894CFC"/>
    <w:rsid w:val="00894E65"/>
    <w:rsid w:val="008A343A"/>
    <w:rsid w:val="008B05C4"/>
    <w:rsid w:val="008B3615"/>
    <w:rsid w:val="008B476B"/>
    <w:rsid w:val="008B4F93"/>
    <w:rsid w:val="008B65C4"/>
    <w:rsid w:val="008B6B04"/>
    <w:rsid w:val="008C1669"/>
    <w:rsid w:val="008C209B"/>
    <w:rsid w:val="008C331A"/>
    <w:rsid w:val="008C35A0"/>
    <w:rsid w:val="008C42EA"/>
    <w:rsid w:val="008C54E7"/>
    <w:rsid w:val="008D06A0"/>
    <w:rsid w:val="008D0FF8"/>
    <w:rsid w:val="008D261D"/>
    <w:rsid w:val="008D6007"/>
    <w:rsid w:val="008D6044"/>
    <w:rsid w:val="008D6892"/>
    <w:rsid w:val="008E0200"/>
    <w:rsid w:val="008E1B73"/>
    <w:rsid w:val="008E2509"/>
    <w:rsid w:val="008E3FE6"/>
    <w:rsid w:val="008E4275"/>
    <w:rsid w:val="008F126F"/>
    <w:rsid w:val="008F17BC"/>
    <w:rsid w:val="008F558B"/>
    <w:rsid w:val="008F6909"/>
    <w:rsid w:val="00904DE3"/>
    <w:rsid w:val="00905BDA"/>
    <w:rsid w:val="009063B5"/>
    <w:rsid w:val="00906A43"/>
    <w:rsid w:val="00907811"/>
    <w:rsid w:val="009107D5"/>
    <w:rsid w:val="00913742"/>
    <w:rsid w:val="0091757B"/>
    <w:rsid w:val="009177BE"/>
    <w:rsid w:val="00917FC5"/>
    <w:rsid w:val="00921E46"/>
    <w:rsid w:val="00923438"/>
    <w:rsid w:val="00924456"/>
    <w:rsid w:val="00931381"/>
    <w:rsid w:val="00933C1C"/>
    <w:rsid w:val="00940E17"/>
    <w:rsid w:val="00942A3F"/>
    <w:rsid w:val="00943A6D"/>
    <w:rsid w:val="00947A74"/>
    <w:rsid w:val="00947AAE"/>
    <w:rsid w:val="00950935"/>
    <w:rsid w:val="00952C10"/>
    <w:rsid w:val="009603AB"/>
    <w:rsid w:val="00962A6F"/>
    <w:rsid w:val="009643E5"/>
    <w:rsid w:val="00965B60"/>
    <w:rsid w:val="00965C76"/>
    <w:rsid w:val="00966985"/>
    <w:rsid w:val="00967329"/>
    <w:rsid w:val="00971AE9"/>
    <w:rsid w:val="00973BD0"/>
    <w:rsid w:val="00982DA7"/>
    <w:rsid w:val="0098364E"/>
    <w:rsid w:val="00983EC3"/>
    <w:rsid w:val="009863E6"/>
    <w:rsid w:val="009864AC"/>
    <w:rsid w:val="0099172A"/>
    <w:rsid w:val="00991CEB"/>
    <w:rsid w:val="00992967"/>
    <w:rsid w:val="00993365"/>
    <w:rsid w:val="00995E3A"/>
    <w:rsid w:val="009A1098"/>
    <w:rsid w:val="009A1DD6"/>
    <w:rsid w:val="009B3A83"/>
    <w:rsid w:val="009B4446"/>
    <w:rsid w:val="009B4CB1"/>
    <w:rsid w:val="009C1A3A"/>
    <w:rsid w:val="009C2881"/>
    <w:rsid w:val="009C2F6E"/>
    <w:rsid w:val="009C3B1D"/>
    <w:rsid w:val="009C4B17"/>
    <w:rsid w:val="009C5A47"/>
    <w:rsid w:val="009D04BD"/>
    <w:rsid w:val="009D100C"/>
    <w:rsid w:val="009D6D93"/>
    <w:rsid w:val="009D6F53"/>
    <w:rsid w:val="009D723E"/>
    <w:rsid w:val="009E24C5"/>
    <w:rsid w:val="009E4E39"/>
    <w:rsid w:val="009E7257"/>
    <w:rsid w:val="009F2156"/>
    <w:rsid w:val="009F2799"/>
    <w:rsid w:val="009F2A37"/>
    <w:rsid w:val="009F2E38"/>
    <w:rsid w:val="009F5C2B"/>
    <w:rsid w:val="009F6474"/>
    <w:rsid w:val="00A0080D"/>
    <w:rsid w:val="00A04E00"/>
    <w:rsid w:val="00A07E2F"/>
    <w:rsid w:val="00A10BC3"/>
    <w:rsid w:val="00A10F08"/>
    <w:rsid w:val="00A14946"/>
    <w:rsid w:val="00A156F5"/>
    <w:rsid w:val="00A17AE1"/>
    <w:rsid w:val="00A24CF5"/>
    <w:rsid w:val="00A261F0"/>
    <w:rsid w:val="00A33554"/>
    <w:rsid w:val="00A33AA3"/>
    <w:rsid w:val="00A33F90"/>
    <w:rsid w:val="00A35A35"/>
    <w:rsid w:val="00A400CF"/>
    <w:rsid w:val="00A4060E"/>
    <w:rsid w:val="00A41CB4"/>
    <w:rsid w:val="00A41F9C"/>
    <w:rsid w:val="00A42053"/>
    <w:rsid w:val="00A429C7"/>
    <w:rsid w:val="00A44D96"/>
    <w:rsid w:val="00A450AF"/>
    <w:rsid w:val="00A47350"/>
    <w:rsid w:val="00A5183E"/>
    <w:rsid w:val="00A51F8C"/>
    <w:rsid w:val="00A52812"/>
    <w:rsid w:val="00A612D6"/>
    <w:rsid w:val="00A63A5C"/>
    <w:rsid w:val="00A721F0"/>
    <w:rsid w:val="00A72E22"/>
    <w:rsid w:val="00A73CB8"/>
    <w:rsid w:val="00A73E30"/>
    <w:rsid w:val="00A7774E"/>
    <w:rsid w:val="00A80848"/>
    <w:rsid w:val="00A85967"/>
    <w:rsid w:val="00A8596B"/>
    <w:rsid w:val="00A86833"/>
    <w:rsid w:val="00A873BC"/>
    <w:rsid w:val="00A9231F"/>
    <w:rsid w:val="00AA311B"/>
    <w:rsid w:val="00AA3D06"/>
    <w:rsid w:val="00AA6408"/>
    <w:rsid w:val="00AA7788"/>
    <w:rsid w:val="00AB39B0"/>
    <w:rsid w:val="00AB3AC2"/>
    <w:rsid w:val="00AB43F9"/>
    <w:rsid w:val="00AB5EF3"/>
    <w:rsid w:val="00AC29DA"/>
    <w:rsid w:val="00AC3CCA"/>
    <w:rsid w:val="00AC46EB"/>
    <w:rsid w:val="00AC65AE"/>
    <w:rsid w:val="00AC77E7"/>
    <w:rsid w:val="00AD06E4"/>
    <w:rsid w:val="00AD1ADE"/>
    <w:rsid w:val="00AD516F"/>
    <w:rsid w:val="00AD62EE"/>
    <w:rsid w:val="00AE2F4E"/>
    <w:rsid w:val="00AF4682"/>
    <w:rsid w:val="00AF4ADD"/>
    <w:rsid w:val="00AF538B"/>
    <w:rsid w:val="00B00CDF"/>
    <w:rsid w:val="00B030B4"/>
    <w:rsid w:val="00B10EC8"/>
    <w:rsid w:val="00B11FFD"/>
    <w:rsid w:val="00B12CC5"/>
    <w:rsid w:val="00B1468F"/>
    <w:rsid w:val="00B17337"/>
    <w:rsid w:val="00B17862"/>
    <w:rsid w:val="00B204E4"/>
    <w:rsid w:val="00B22E16"/>
    <w:rsid w:val="00B235A4"/>
    <w:rsid w:val="00B3372A"/>
    <w:rsid w:val="00B35A61"/>
    <w:rsid w:val="00B370EE"/>
    <w:rsid w:val="00B42652"/>
    <w:rsid w:val="00B5192F"/>
    <w:rsid w:val="00B53595"/>
    <w:rsid w:val="00B575A5"/>
    <w:rsid w:val="00B57664"/>
    <w:rsid w:val="00B6092C"/>
    <w:rsid w:val="00B61BB9"/>
    <w:rsid w:val="00B64CC9"/>
    <w:rsid w:val="00B655D5"/>
    <w:rsid w:val="00B72073"/>
    <w:rsid w:val="00B737C3"/>
    <w:rsid w:val="00B748D4"/>
    <w:rsid w:val="00B80353"/>
    <w:rsid w:val="00B80AF9"/>
    <w:rsid w:val="00B812E7"/>
    <w:rsid w:val="00B82F2F"/>
    <w:rsid w:val="00B85B60"/>
    <w:rsid w:val="00B85B97"/>
    <w:rsid w:val="00B86850"/>
    <w:rsid w:val="00B86D90"/>
    <w:rsid w:val="00B91A83"/>
    <w:rsid w:val="00B92006"/>
    <w:rsid w:val="00B931D0"/>
    <w:rsid w:val="00B95167"/>
    <w:rsid w:val="00B96DC7"/>
    <w:rsid w:val="00BA7458"/>
    <w:rsid w:val="00BA7546"/>
    <w:rsid w:val="00BB1708"/>
    <w:rsid w:val="00BB240E"/>
    <w:rsid w:val="00BB30A9"/>
    <w:rsid w:val="00BB382C"/>
    <w:rsid w:val="00BB5F8B"/>
    <w:rsid w:val="00BB7550"/>
    <w:rsid w:val="00BC2FAB"/>
    <w:rsid w:val="00BC7557"/>
    <w:rsid w:val="00BD30C6"/>
    <w:rsid w:val="00BD3D5A"/>
    <w:rsid w:val="00BE5D86"/>
    <w:rsid w:val="00BF1C3D"/>
    <w:rsid w:val="00BF33B5"/>
    <w:rsid w:val="00BF3F01"/>
    <w:rsid w:val="00C00354"/>
    <w:rsid w:val="00C02169"/>
    <w:rsid w:val="00C04322"/>
    <w:rsid w:val="00C04DEC"/>
    <w:rsid w:val="00C05109"/>
    <w:rsid w:val="00C05B1E"/>
    <w:rsid w:val="00C10086"/>
    <w:rsid w:val="00C149F0"/>
    <w:rsid w:val="00C1633B"/>
    <w:rsid w:val="00C170AA"/>
    <w:rsid w:val="00C23D3D"/>
    <w:rsid w:val="00C312DA"/>
    <w:rsid w:val="00C31BE3"/>
    <w:rsid w:val="00C34F10"/>
    <w:rsid w:val="00C36921"/>
    <w:rsid w:val="00C40749"/>
    <w:rsid w:val="00C458C2"/>
    <w:rsid w:val="00C5007A"/>
    <w:rsid w:val="00C50845"/>
    <w:rsid w:val="00C52AFE"/>
    <w:rsid w:val="00C52D1D"/>
    <w:rsid w:val="00C537D6"/>
    <w:rsid w:val="00C55C24"/>
    <w:rsid w:val="00C61120"/>
    <w:rsid w:val="00C63AB2"/>
    <w:rsid w:val="00C64FD4"/>
    <w:rsid w:val="00C66525"/>
    <w:rsid w:val="00C706EE"/>
    <w:rsid w:val="00C727D3"/>
    <w:rsid w:val="00C757F1"/>
    <w:rsid w:val="00C7683D"/>
    <w:rsid w:val="00C76C18"/>
    <w:rsid w:val="00C81FD3"/>
    <w:rsid w:val="00C84D57"/>
    <w:rsid w:val="00C8595D"/>
    <w:rsid w:val="00C871B6"/>
    <w:rsid w:val="00C90B18"/>
    <w:rsid w:val="00C91EE3"/>
    <w:rsid w:val="00C971DB"/>
    <w:rsid w:val="00CA00F1"/>
    <w:rsid w:val="00CB197C"/>
    <w:rsid w:val="00CB1D16"/>
    <w:rsid w:val="00CB3665"/>
    <w:rsid w:val="00CB387F"/>
    <w:rsid w:val="00CB3F49"/>
    <w:rsid w:val="00CB55CE"/>
    <w:rsid w:val="00CB6098"/>
    <w:rsid w:val="00CB6E64"/>
    <w:rsid w:val="00CC22C3"/>
    <w:rsid w:val="00CC35D9"/>
    <w:rsid w:val="00CC77A9"/>
    <w:rsid w:val="00CD4B80"/>
    <w:rsid w:val="00CD50BE"/>
    <w:rsid w:val="00CD5C8F"/>
    <w:rsid w:val="00CD750B"/>
    <w:rsid w:val="00CD7BEE"/>
    <w:rsid w:val="00CF00D1"/>
    <w:rsid w:val="00CF0976"/>
    <w:rsid w:val="00CF60D3"/>
    <w:rsid w:val="00D02DD6"/>
    <w:rsid w:val="00D05085"/>
    <w:rsid w:val="00D069A2"/>
    <w:rsid w:val="00D06F85"/>
    <w:rsid w:val="00D07E27"/>
    <w:rsid w:val="00D142E6"/>
    <w:rsid w:val="00D156D7"/>
    <w:rsid w:val="00D16D0E"/>
    <w:rsid w:val="00D21C86"/>
    <w:rsid w:val="00D24557"/>
    <w:rsid w:val="00D2528E"/>
    <w:rsid w:val="00D26BE0"/>
    <w:rsid w:val="00D273F0"/>
    <w:rsid w:val="00D304AF"/>
    <w:rsid w:val="00D325B2"/>
    <w:rsid w:val="00D32F26"/>
    <w:rsid w:val="00D37F8A"/>
    <w:rsid w:val="00D460D0"/>
    <w:rsid w:val="00D47AF2"/>
    <w:rsid w:val="00D51BCB"/>
    <w:rsid w:val="00D53409"/>
    <w:rsid w:val="00D54BB1"/>
    <w:rsid w:val="00D55A50"/>
    <w:rsid w:val="00D568B3"/>
    <w:rsid w:val="00D610E9"/>
    <w:rsid w:val="00D6171E"/>
    <w:rsid w:val="00D65EC6"/>
    <w:rsid w:val="00D66A08"/>
    <w:rsid w:val="00D66B43"/>
    <w:rsid w:val="00D67D56"/>
    <w:rsid w:val="00D75B74"/>
    <w:rsid w:val="00D8094A"/>
    <w:rsid w:val="00D81C34"/>
    <w:rsid w:val="00D81F3C"/>
    <w:rsid w:val="00D90932"/>
    <w:rsid w:val="00DA3C0E"/>
    <w:rsid w:val="00DA6EA0"/>
    <w:rsid w:val="00DB134C"/>
    <w:rsid w:val="00DC0E60"/>
    <w:rsid w:val="00DC1A36"/>
    <w:rsid w:val="00DC1FD1"/>
    <w:rsid w:val="00DC33B5"/>
    <w:rsid w:val="00DC4E11"/>
    <w:rsid w:val="00DC50DF"/>
    <w:rsid w:val="00DC74C1"/>
    <w:rsid w:val="00DD1B74"/>
    <w:rsid w:val="00DD3465"/>
    <w:rsid w:val="00DD34F4"/>
    <w:rsid w:val="00DD3974"/>
    <w:rsid w:val="00DD3A89"/>
    <w:rsid w:val="00DD55BE"/>
    <w:rsid w:val="00DD7279"/>
    <w:rsid w:val="00DE27DF"/>
    <w:rsid w:val="00DE4603"/>
    <w:rsid w:val="00DF23AD"/>
    <w:rsid w:val="00DF2F71"/>
    <w:rsid w:val="00DF40A3"/>
    <w:rsid w:val="00DF4C52"/>
    <w:rsid w:val="00DF4D52"/>
    <w:rsid w:val="00E00A6B"/>
    <w:rsid w:val="00E03175"/>
    <w:rsid w:val="00E04A24"/>
    <w:rsid w:val="00E05722"/>
    <w:rsid w:val="00E13217"/>
    <w:rsid w:val="00E17BBA"/>
    <w:rsid w:val="00E17D8F"/>
    <w:rsid w:val="00E2230F"/>
    <w:rsid w:val="00E22E5B"/>
    <w:rsid w:val="00E27333"/>
    <w:rsid w:val="00E27691"/>
    <w:rsid w:val="00E313F7"/>
    <w:rsid w:val="00E31CAF"/>
    <w:rsid w:val="00E33CA1"/>
    <w:rsid w:val="00E3534D"/>
    <w:rsid w:val="00E407CC"/>
    <w:rsid w:val="00E4238F"/>
    <w:rsid w:val="00E42910"/>
    <w:rsid w:val="00E42A8E"/>
    <w:rsid w:val="00E43251"/>
    <w:rsid w:val="00E44093"/>
    <w:rsid w:val="00E442EE"/>
    <w:rsid w:val="00E4604A"/>
    <w:rsid w:val="00E46EB3"/>
    <w:rsid w:val="00E47F61"/>
    <w:rsid w:val="00E50DC3"/>
    <w:rsid w:val="00E55495"/>
    <w:rsid w:val="00E617D0"/>
    <w:rsid w:val="00E63525"/>
    <w:rsid w:val="00E63BF0"/>
    <w:rsid w:val="00E663D2"/>
    <w:rsid w:val="00E72009"/>
    <w:rsid w:val="00E725C3"/>
    <w:rsid w:val="00E73F2E"/>
    <w:rsid w:val="00E75A48"/>
    <w:rsid w:val="00E77513"/>
    <w:rsid w:val="00E80487"/>
    <w:rsid w:val="00E81EB2"/>
    <w:rsid w:val="00E848E8"/>
    <w:rsid w:val="00E878D3"/>
    <w:rsid w:val="00E90A15"/>
    <w:rsid w:val="00E914DF"/>
    <w:rsid w:val="00E918AE"/>
    <w:rsid w:val="00E939B9"/>
    <w:rsid w:val="00E93E1C"/>
    <w:rsid w:val="00E94E7B"/>
    <w:rsid w:val="00E95F53"/>
    <w:rsid w:val="00E9779B"/>
    <w:rsid w:val="00EA1A58"/>
    <w:rsid w:val="00EA39FE"/>
    <w:rsid w:val="00EA648B"/>
    <w:rsid w:val="00EA7FB3"/>
    <w:rsid w:val="00EB17C0"/>
    <w:rsid w:val="00EB1F38"/>
    <w:rsid w:val="00EB7598"/>
    <w:rsid w:val="00EC1805"/>
    <w:rsid w:val="00EC5929"/>
    <w:rsid w:val="00EC63DD"/>
    <w:rsid w:val="00ED00C8"/>
    <w:rsid w:val="00ED653A"/>
    <w:rsid w:val="00ED6F20"/>
    <w:rsid w:val="00ED7318"/>
    <w:rsid w:val="00EE02BA"/>
    <w:rsid w:val="00EE170F"/>
    <w:rsid w:val="00EE1DB5"/>
    <w:rsid w:val="00EE254D"/>
    <w:rsid w:val="00EE577D"/>
    <w:rsid w:val="00EE6841"/>
    <w:rsid w:val="00EE6CAC"/>
    <w:rsid w:val="00EF19F5"/>
    <w:rsid w:val="00EF2E4F"/>
    <w:rsid w:val="00EF2FBC"/>
    <w:rsid w:val="00F07EBB"/>
    <w:rsid w:val="00F1005A"/>
    <w:rsid w:val="00F103A4"/>
    <w:rsid w:val="00F118CD"/>
    <w:rsid w:val="00F11C63"/>
    <w:rsid w:val="00F15712"/>
    <w:rsid w:val="00F20029"/>
    <w:rsid w:val="00F20074"/>
    <w:rsid w:val="00F24B42"/>
    <w:rsid w:val="00F25849"/>
    <w:rsid w:val="00F25F23"/>
    <w:rsid w:val="00F308D0"/>
    <w:rsid w:val="00F30B92"/>
    <w:rsid w:val="00F3177D"/>
    <w:rsid w:val="00F32933"/>
    <w:rsid w:val="00F35094"/>
    <w:rsid w:val="00F35924"/>
    <w:rsid w:val="00F3690B"/>
    <w:rsid w:val="00F41144"/>
    <w:rsid w:val="00F42F2F"/>
    <w:rsid w:val="00F43FA1"/>
    <w:rsid w:val="00F46AAC"/>
    <w:rsid w:val="00F46F56"/>
    <w:rsid w:val="00F535CD"/>
    <w:rsid w:val="00F573BC"/>
    <w:rsid w:val="00F57E69"/>
    <w:rsid w:val="00F6048A"/>
    <w:rsid w:val="00F61D9C"/>
    <w:rsid w:val="00F6388A"/>
    <w:rsid w:val="00F64258"/>
    <w:rsid w:val="00F65A2D"/>
    <w:rsid w:val="00F65FAF"/>
    <w:rsid w:val="00F71151"/>
    <w:rsid w:val="00F7601F"/>
    <w:rsid w:val="00F764D9"/>
    <w:rsid w:val="00F76DB1"/>
    <w:rsid w:val="00F76FA2"/>
    <w:rsid w:val="00F77E19"/>
    <w:rsid w:val="00F80F19"/>
    <w:rsid w:val="00F813ED"/>
    <w:rsid w:val="00F82117"/>
    <w:rsid w:val="00F95153"/>
    <w:rsid w:val="00F95C7C"/>
    <w:rsid w:val="00F96387"/>
    <w:rsid w:val="00F96491"/>
    <w:rsid w:val="00F97E71"/>
    <w:rsid w:val="00F97F45"/>
    <w:rsid w:val="00FA10C9"/>
    <w:rsid w:val="00FA1154"/>
    <w:rsid w:val="00FB4155"/>
    <w:rsid w:val="00FC102B"/>
    <w:rsid w:val="00FC3656"/>
    <w:rsid w:val="00FC40DC"/>
    <w:rsid w:val="00FC51A6"/>
    <w:rsid w:val="00FC7260"/>
    <w:rsid w:val="00FD10EB"/>
    <w:rsid w:val="00FD4D7E"/>
    <w:rsid w:val="00FD6138"/>
    <w:rsid w:val="00FE0198"/>
    <w:rsid w:val="00FE3658"/>
    <w:rsid w:val="00FE3791"/>
    <w:rsid w:val="00FF47EC"/>
    <w:rsid w:val="00FF4C85"/>
    <w:rsid w:val="00FF655B"/>
    <w:rsid w:val="00FF7197"/>
    <w:rsid w:val="00FF763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14BA6"/>
  <w15:docId w15:val="{2142B21E-0EEE-734C-9922-8C230E66B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BC4"/>
  </w:style>
  <w:style w:type="paragraph" w:styleId="Footer">
    <w:name w:val="footer"/>
    <w:basedOn w:val="Normal"/>
    <w:link w:val="FooterChar"/>
    <w:uiPriority w:val="99"/>
    <w:unhideWhenUsed/>
    <w:rsid w:val="002C7B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BC4"/>
  </w:style>
  <w:style w:type="paragraph" w:styleId="FootnoteText">
    <w:name w:val="footnote text"/>
    <w:basedOn w:val="Normal"/>
    <w:link w:val="FootnoteTextChar"/>
    <w:uiPriority w:val="99"/>
    <w:semiHidden/>
    <w:unhideWhenUsed/>
    <w:rsid w:val="000545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453B"/>
    <w:rPr>
      <w:sz w:val="20"/>
      <w:szCs w:val="20"/>
    </w:rPr>
  </w:style>
  <w:style w:type="character" w:styleId="FootnoteReference">
    <w:name w:val="footnote reference"/>
    <w:basedOn w:val="DefaultParagraphFont"/>
    <w:uiPriority w:val="99"/>
    <w:semiHidden/>
    <w:unhideWhenUsed/>
    <w:rsid w:val="0005453B"/>
    <w:rPr>
      <w:vertAlign w:val="superscript"/>
    </w:rPr>
  </w:style>
  <w:style w:type="character" w:styleId="PageNumber">
    <w:name w:val="page number"/>
    <w:basedOn w:val="DefaultParagraphFont"/>
    <w:uiPriority w:val="99"/>
    <w:semiHidden/>
    <w:unhideWhenUsed/>
    <w:rsid w:val="00FC7260"/>
  </w:style>
  <w:style w:type="character" w:customStyle="1" w:styleId="apple-converted-space">
    <w:name w:val="apple-converted-space"/>
    <w:basedOn w:val="DefaultParagraphFont"/>
    <w:rsid w:val="00274761"/>
  </w:style>
  <w:style w:type="character" w:styleId="Hyperlink">
    <w:name w:val="Hyperlink"/>
    <w:basedOn w:val="DefaultParagraphFont"/>
    <w:uiPriority w:val="99"/>
    <w:unhideWhenUsed/>
    <w:rsid w:val="00274761"/>
    <w:rPr>
      <w:color w:val="0000FF"/>
      <w:u w:val="single"/>
    </w:rPr>
  </w:style>
  <w:style w:type="character" w:customStyle="1" w:styleId="UnresolvedMention">
    <w:name w:val="Unresolved Mention"/>
    <w:basedOn w:val="DefaultParagraphFont"/>
    <w:uiPriority w:val="99"/>
    <w:semiHidden/>
    <w:unhideWhenUsed/>
    <w:rsid w:val="00D273F0"/>
    <w:rPr>
      <w:color w:val="605E5C"/>
      <w:shd w:val="clear" w:color="auto" w:fill="E1DFDD"/>
    </w:rPr>
  </w:style>
  <w:style w:type="paragraph" w:styleId="ListParagraph">
    <w:name w:val="List Paragraph"/>
    <w:basedOn w:val="Normal"/>
    <w:uiPriority w:val="34"/>
    <w:qFormat/>
    <w:rsid w:val="000C2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uanita@cjlaw.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wen@huxattorneys.co.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son@bkr-inc.co.z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aflii.org/cgi-bin/LawCite?cit=1974%20%283%29%20SA%20506" TargetMode="External"/><Relationship Id="rId4" Type="http://schemas.openxmlformats.org/officeDocument/2006/relationships/settings" Target="settings.xml"/><Relationship Id="rId9" Type="http://schemas.openxmlformats.org/officeDocument/2006/relationships/hyperlink" Target="mailto:kevin@wgproperties.co.z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7C475-81CF-4859-84A8-EE0332E78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8124</Words>
  <Characters>46312</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Andisiwe Madolo</dc:creator>
  <cp:keywords/>
  <dc:description/>
  <cp:lastModifiedBy>Mokone</cp:lastModifiedBy>
  <cp:revision>2</cp:revision>
  <cp:lastPrinted>2023-08-30T14:43:00Z</cp:lastPrinted>
  <dcterms:created xsi:type="dcterms:W3CDTF">2023-09-11T12:52:00Z</dcterms:created>
  <dcterms:modified xsi:type="dcterms:W3CDTF">2023-09-11T12:52:00Z</dcterms:modified>
</cp:coreProperties>
</file>