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77E" w:rsidRDefault="009A177E" w:rsidP="009A177E">
      <w:pPr>
        <w:spacing w:line="360" w:lineRule="auto"/>
        <w:jc w:val="center"/>
        <w:rPr>
          <w:rFonts w:ascii="Times New Roman" w:hAnsi="Times New Roman" w:cs="Times New Roman"/>
          <w:sz w:val="28"/>
          <w:szCs w:val="28"/>
        </w:rPr>
      </w:pPr>
      <w:bookmarkStart w:id="0" w:name="_GoBack"/>
      <w:bookmarkEnd w:id="0"/>
      <w:r>
        <w:rPr>
          <w:noProof/>
          <w:lang w:eastAsia="en-ZA"/>
        </w:rPr>
        <w:drawing>
          <wp:inline distT="0" distB="0" distL="0" distR="0">
            <wp:extent cx="1226185" cy="1205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6185" cy="1205230"/>
                    </a:xfrm>
                    <a:prstGeom prst="rect">
                      <a:avLst/>
                    </a:prstGeom>
                    <a:noFill/>
                    <a:ln>
                      <a:noFill/>
                    </a:ln>
                  </pic:spPr>
                </pic:pic>
              </a:graphicData>
            </a:graphic>
          </wp:inline>
        </w:drawing>
      </w:r>
    </w:p>
    <w:p w:rsidR="009A177E" w:rsidRDefault="009A177E" w:rsidP="009A177E">
      <w:pPr>
        <w:spacing w:line="360" w:lineRule="auto"/>
        <w:jc w:val="center"/>
        <w:rPr>
          <w:rFonts w:ascii="Times New Roman" w:hAnsi="Times New Roman" w:cs="Times New Roman"/>
          <w:sz w:val="28"/>
          <w:szCs w:val="28"/>
        </w:rPr>
      </w:pPr>
    </w:p>
    <w:p w:rsidR="009A177E" w:rsidRDefault="009A177E" w:rsidP="009A177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SOUTH AFRICA</w:t>
      </w:r>
    </w:p>
    <w:p w:rsidR="009A177E" w:rsidRDefault="009A177E" w:rsidP="009A177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EASTERN CAPE DIVISION, MAKHANDA</w:t>
      </w:r>
    </w:p>
    <w:p w:rsidR="009A177E" w:rsidRDefault="009A177E" w:rsidP="009A177E">
      <w:pPr>
        <w:spacing w:line="360" w:lineRule="auto"/>
        <w:ind w:left="72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9A177E" w:rsidRDefault="009A177E" w:rsidP="009A177E">
      <w:pPr>
        <w:spacing w:line="360" w:lineRule="auto"/>
        <w:ind w:left="5040"/>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Pr>
          <w:rFonts w:ascii="Times New Roman" w:hAnsi="Times New Roman" w:cs="Times New Roman"/>
          <w:b/>
          <w:sz w:val="28"/>
          <w:szCs w:val="28"/>
        </w:rPr>
        <w:tab/>
        <w:t>CASE NO. 1766/2019</w:t>
      </w:r>
    </w:p>
    <w:p w:rsidR="009A177E" w:rsidRDefault="009A177E" w:rsidP="009A177E">
      <w:pPr>
        <w:spacing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rsidR="009A177E" w:rsidRDefault="009A177E" w:rsidP="009A177E">
      <w:pPr>
        <w:spacing w:line="360" w:lineRule="auto"/>
        <w:jc w:val="both"/>
        <w:rPr>
          <w:rFonts w:ascii="Times New Roman" w:hAnsi="Times New Roman" w:cs="Times New Roman"/>
          <w:sz w:val="28"/>
          <w:szCs w:val="28"/>
        </w:rPr>
      </w:pPr>
    </w:p>
    <w:p w:rsidR="009A177E" w:rsidRDefault="009A177E" w:rsidP="009A177E">
      <w:pPr>
        <w:spacing w:line="360" w:lineRule="auto"/>
        <w:jc w:val="both"/>
        <w:rPr>
          <w:rFonts w:ascii="Times New Roman" w:hAnsi="Times New Roman" w:cs="Times New Roman"/>
          <w:sz w:val="28"/>
          <w:szCs w:val="28"/>
        </w:rPr>
      </w:pPr>
      <w:r>
        <w:rPr>
          <w:rFonts w:ascii="Times New Roman" w:hAnsi="Times New Roman" w:cs="Times New Roman"/>
          <w:b/>
          <w:sz w:val="28"/>
          <w:szCs w:val="28"/>
        </w:rPr>
        <w:t>DELORES CECILIA DONATIE</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Applicant / Plaintiff</w:t>
      </w:r>
    </w:p>
    <w:p w:rsidR="009A177E" w:rsidRDefault="009A177E" w:rsidP="009A177E">
      <w:pPr>
        <w:spacing w:line="360" w:lineRule="auto"/>
        <w:jc w:val="both"/>
        <w:rPr>
          <w:rFonts w:ascii="Times New Roman" w:hAnsi="Times New Roman" w:cs="Times New Roman"/>
          <w:sz w:val="28"/>
          <w:szCs w:val="28"/>
        </w:rPr>
      </w:pPr>
    </w:p>
    <w:p w:rsidR="009A177E" w:rsidRDefault="009A177E" w:rsidP="009A177E">
      <w:pPr>
        <w:spacing w:line="360" w:lineRule="auto"/>
        <w:jc w:val="both"/>
        <w:rPr>
          <w:rFonts w:ascii="Times New Roman" w:hAnsi="Times New Roman" w:cs="Times New Roman"/>
          <w:sz w:val="28"/>
          <w:szCs w:val="28"/>
        </w:rPr>
      </w:pPr>
      <w:r>
        <w:rPr>
          <w:rFonts w:ascii="Times New Roman" w:hAnsi="Times New Roman" w:cs="Times New Roman"/>
          <w:sz w:val="28"/>
          <w:szCs w:val="28"/>
        </w:rPr>
        <w:t>and</w:t>
      </w:r>
    </w:p>
    <w:p w:rsidR="009A177E" w:rsidRDefault="009A177E" w:rsidP="009A177E">
      <w:pPr>
        <w:spacing w:line="360" w:lineRule="auto"/>
        <w:jc w:val="both"/>
        <w:rPr>
          <w:rFonts w:ascii="Times New Roman" w:hAnsi="Times New Roman" w:cs="Times New Roman"/>
          <w:sz w:val="28"/>
          <w:szCs w:val="28"/>
        </w:rPr>
      </w:pPr>
    </w:p>
    <w:p w:rsidR="009A177E" w:rsidRDefault="009A177E" w:rsidP="009A177E">
      <w:pPr>
        <w:spacing w:line="360" w:lineRule="auto"/>
        <w:jc w:val="both"/>
        <w:rPr>
          <w:rFonts w:ascii="Times New Roman" w:hAnsi="Times New Roman" w:cs="Times New Roman"/>
          <w:sz w:val="28"/>
          <w:szCs w:val="28"/>
        </w:rPr>
      </w:pPr>
      <w:r>
        <w:rPr>
          <w:rFonts w:ascii="Times New Roman" w:hAnsi="Times New Roman" w:cs="Times New Roman"/>
          <w:b/>
          <w:sz w:val="28"/>
          <w:szCs w:val="28"/>
        </w:rPr>
        <w:t>THE MINISTER OF POLICE</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Respondent / Defendant</w:t>
      </w:r>
    </w:p>
    <w:p w:rsidR="009A177E" w:rsidRDefault="009A177E" w:rsidP="009A177E">
      <w:pPr>
        <w:spacing w:line="360" w:lineRule="auto"/>
        <w:jc w:val="both"/>
        <w:rPr>
          <w:rFonts w:ascii="Times New Roman" w:hAnsi="Times New Roman" w:cs="Times New Roman"/>
          <w:sz w:val="28"/>
          <w:szCs w:val="28"/>
        </w:rPr>
      </w:pPr>
    </w:p>
    <w:p w:rsidR="00354A12" w:rsidRPr="003328A3" w:rsidRDefault="00354A12" w:rsidP="00354A12">
      <w:pPr>
        <w:pBdr>
          <w:bottom w:val="single" w:sz="12" w:space="1" w:color="auto"/>
        </w:pBdr>
        <w:spacing w:line="240" w:lineRule="auto"/>
        <w:jc w:val="both"/>
        <w:rPr>
          <w:rFonts w:ascii="Times New Roman" w:hAnsi="Times New Roman" w:cs="Times New Roman"/>
          <w:sz w:val="28"/>
          <w:szCs w:val="28"/>
        </w:rPr>
      </w:pPr>
    </w:p>
    <w:p w:rsidR="00354A12" w:rsidRPr="003328A3" w:rsidRDefault="00354A12" w:rsidP="00354A12">
      <w:pPr>
        <w:spacing w:line="240" w:lineRule="auto"/>
        <w:jc w:val="both"/>
        <w:rPr>
          <w:rFonts w:ascii="Times New Roman" w:hAnsi="Times New Roman" w:cs="Times New Roman"/>
          <w:sz w:val="28"/>
          <w:szCs w:val="28"/>
        </w:rPr>
      </w:pPr>
    </w:p>
    <w:p w:rsidR="00354A12" w:rsidRPr="003328A3" w:rsidRDefault="00354A12" w:rsidP="00354A12">
      <w:pPr>
        <w:pBdr>
          <w:bottom w:val="single" w:sz="12" w:space="1" w:color="auto"/>
        </w:pBdr>
        <w:spacing w:line="240" w:lineRule="auto"/>
        <w:jc w:val="center"/>
        <w:rPr>
          <w:rFonts w:ascii="Times New Roman" w:hAnsi="Times New Roman" w:cs="Times New Roman"/>
          <w:b/>
          <w:sz w:val="28"/>
          <w:szCs w:val="28"/>
        </w:rPr>
      </w:pPr>
      <w:r w:rsidRPr="003328A3">
        <w:rPr>
          <w:rFonts w:ascii="Times New Roman" w:hAnsi="Times New Roman" w:cs="Times New Roman"/>
          <w:b/>
          <w:sz w:val="28"/>
          <w:szCs w:val="28"/>
        </w:rPr>
        <w:t>JUDGMENT</w:t>
      </w:r>
      <w:r w:rsidR="007A3D52">
        <w:rPr>
          <w:rFonts w:ascii="Times New Roman" w:hAnsi="Times New Roman" w:cs="Times New Roman"/>
          <w:b/>
          <w:sz w:val="28"/>
          <w:szCs w:val="28"/>
        </w:rPr>
        <w:t xml:space="preserve"> IN APPLICATION FOR LEAVE TO APPEAL</w:t>
      </w:r>
    </w:p>
    <w:p w:rsidR="00354A12" w:rsidRPr="003328A3" w:rsidRDefault="00354A12" w:rsidP="00354A12">
      <w:pPr>
        <w:pBdr>
          <w:bottom w:val="single" w:sz="12" w:space="1" w:color="auto"/>
        </w:pBdr>
        <w:spacing w:line="240" w:lineRule="auto"/>
        <w:jc w:val="both"/>
        <w:rPr>
          <w:rFonts w:ascii="Times New Roman" w:hAnsi="Times New Roman" w:cs="Times New Roman"/>
          <w:sz w:val="28"/>
          <w:szCs w:val="28"/>
        </w:rPr>
      </w:pPr>
    </w:p>
    <w:p w:rsidR="00354A12" w:rsidRPr="003328A3" w:rsidRDefault="00354A12" w:rsidP="00354A12">
      <w:pPr>
        <w:spacing w:line="240" w:lineRule="auto"/>
        <w:jc w:val="both"/>
        <w:rPr>
          <w:rFonts w:ascii="Times New Roman" w:hAnsi="Times New Roman" w:cs="Times New Roman"/>
          <w:sz w:val="28"/>
          <w:szCs w:val="28"/>
        </w:rPr>
      </w:pPr>
    </w:p>
    <w:p w:rsidR="00354A12" w:rsidRPr="003328A3" w:rsidRDefault="00354A12" w:rsidP="00354A12">
      <w:pPr>
        <w:spacing w:line="360" w:lineRule="auto"/>
        <w:jc w:val="both"/>
        <w:rPr>
          <w:rFonts w:ascii="Times New Roman" w:hAnsi="Times New Roman" w:cs="Times New Roman"/>
          <w:b/>
          <w:sz w:val="28"/>
          <w:szCs w:val="28"/>
        </w:rPr>
      </w:pPr>
    </w:p>
    <w:p w:rsidR="00354A12" w:rsidRPr="003328A3" w:rsidRDefault="00B27EF5" w:rsidP="00354A12">
      <w:pPr>
        <w:spacing w:line="360" w:lineRule="auto"/>
        <w:jc w:val="both"/>
        <w:rPr>
          <w:rFonts w:ascii="Times New Roman" w:hAnsi="Times New Roman" w:cs="Times New Roman"/>
          <w:b/>
          <w:sz w:val="28"/>
          <w:szCs w:val="28"/>
        </w:rPr>
      </w:pPr>
      <w:r>
        <w:rPr>
          <w:rFonts w:ascii="Times New Roman" w:hAnsi="Times New Roman" w:cs="Times New Roman"/>
          <w:b/>
          <w:sz w:val="28"/>
          <w:szCs w:val="28"/>
        </w:rPr>
        <w:t>R</w:t>
      </w:r>
      <w:r w:rsidR="003565B3">
        <w:rPr>
          <w:rFonts w:ascii="Times New Roman" w:hAnsi="Times New Roman" w:cs="Times New Roman"/>
          <w:b/>
          <w:sz w:val="28"/>
          <w:szCs w:val="28"/>
        </w:rPr>
        <w:t xml:space="preserve">ugunanan </w:t>
      </w:r>
      <w:r>
        <w:rPr>
          <w:rFonts w:ascii="Times New Roman" w:hAnsi="Times New Roman" w:cs="Times New Roman"/>
          <w:b/>
          <w:sz w:val="28"/>
          <w:szCs w:val="28"/>
        </w:rPr>
        <w:t>J</w:t>
      </w:r>
    </w:p>
    <w:p w:rsidR="00354A12" w:rsidRPr="003328A3" w:rsidRDefault="00354A12" w:rsidP="00354A12">
      <w:pPr>
        <w:spacing w:line="360" w:lineRule="auto"/>
        <w:jc w:val="both"/>
        <w:rPr>
          <w:rFonts w:ascii="Times New Roman" w:hAnsi="Times New Roman" w:cs="Times New Roman"/>
          <w:b/>
          <w:sz w:val="28"/>
          <w:szCs w:val="28"/>
        </w:rPr>
      </w:pPr>
    </w:p>
    <w:p w:rsidR="009A177E" w:rsidRDefault="009D4A3E" w:rsidP="009D4A3E">
      <w:pPr>
        <w:pStyle w:val="LegalList1"/>
        <w:spacing w:line="360" w:lineRule="auto"/>
        <w:ind w:left="851" w:hanging="851"/>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5E7404">
        <w:rPr>
          <w:rFonts w:ascii="Times New Roman" w:hAnsi="Times New Roman"/>
          <w:sz w:val="28"/>
          <w:szCs w:val="28"/>
        </w:rPr>
        <w:t xml:space="preserve">This is an application for leave to appeal against </w:t>
      </w:r>
      <w:r w:rsidR="006706DE">
        <w:rPr>
          <w:rFonts w:ascii="Times New Roman" w:hAnsi="Times New Roman"/>
          <w:sz w:val="28"/>
          <w:szCs w:val="28"/>
        </w:rPr>
        <w:t xml:space="preserve">that portion of </w:t>
      </w:r>
      <w:r w:rsidR="00497F31">
        <w:rPr>
          <w:rFonts w:ascii="Times New Roman" w:hAnsi="Times New Roman"/>
          <w:sz w:val="28"/>
          <w:szCs w:val="28"/>
        </w:rPr>
        <w:t xml:space="preserve">my </w:t>
      </w:r>
      <w:r w:rsidR="006706DE">
        <w:rPr>
          <w:rFonts w:ascii="Times New Roman" w:hAnsi="Times New Roman"/>
          <w:sz w:val="28"/>
          <w:szCs w:val="28"/>
        </w:rPr>
        <w:t xml:space="preserve">judgment and order delivered on 2 August 2022 relevant to </w:t>
      </w:r>
      <w:r w:rsidR="00497F31">
        <w:rPr>
          <w:rFonts w:ascii="Times New Roman" w:hAnsi="Times New Roman"/>
          <w:sz w:val="28"/>
          <w:szCs w:val="28"/>
        </w:rPr>
        <w:t xml:space="preserve">both </w:t>
      </w:r>
      <w:r w:rsidR="006706DE">
        <w:rPr>
          <w:rFonts w:ascii="Times New Roman" w:hAnsi="Times New Roman"/>
          <w:sz w:val="28"/>
          <w:szCs w:val="28"/>
        </w:rPr>
        <w:t xml:space="preserve">quantum and </w:t>
      </w:r>
      <w:r w:rsidR="00D17232">
        <w:rPr>
          <w:rFonts w:ascii="Times New Roman" w:hAnsi="Times New Roman"/>
          <w:sz w:val="28"/>
          <w:szCs w:val="28"/>
        </w:rPr>
        <w:t xml:space="preserve">the scale of </w:t>
      </w:r>
      <w:r w:rsidR="006706DE">
        <w:rPr>
          <w:rFonts w:ascii="Times New Roman" w:hAnsi="Times New Roman"/>
          <w:sz w:val="28"/>
          <w:szCs w:val="28"/>
        </w:rPr>
        <w:t>costs</w:t>
      </w:r>
      <w:r w:rsidR="001D4168">
        <w:rPr>
          <w:rFonts w:ascii="Times New Roman" w:hAnsi="Times New Roman"/>
          <w:sz w:val="28"/>
          <w:szCs w:val="28"/>
        </w:rPr>
        <w:t>.</w:t>
      </w:r>
    </w:p>
    <w:p w:rsidR="009A177E" w:rsidRDefault="009D4A3E" w:rsidP="009D4A3E">
      <w:pPr>
        <w:pStyle w:val="LegalList1"/>
        <w:spacing w:line="360" w:lineRule="auto"/>
        <w:ind w:left="851" w:hanging="851"/>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5E7404">
        <w:rPr>
          <w:rFonts w:ascii="Times New Roman" w:hAnsi="Times New Roman"/>
          <w:sz w:val="28"/>
          <w:szCs w:val="28"/>
        </w:rPr>
        <w:t>I shall continue to refer to the parties as ‘plaintiff’ and ‘defendant’</w:t>
      </w:r>
      <w:r w:rsidR="0014464F">
        <w:rPr>
          <w:rFonts w:ascii="Times New Roman" w:hAnsi="Times New Roman"/>
          <w:sz w:val="28"/>
          <w:szCs w:val="28"/>
        </w:rPr>
        <w:t>.</w:t>
      </w:r>
    </w:p>
    <w:p w:rsidR="00247E2C" w:rsidRDefault="009D4A3E" w:rsidP="009D4A3E">
      <w:pPr>
        <w:pStyle w:val="LegalList1"/>
        <w:spacing w:line="360" w:lineRule="auto"/>
        <w:ind w:left="851" w:hanging="851"/>
        <w:rPr>
          <w:rFonts w:ascii="Times New Roman" w:hAnsi="Times New Roman"/>
          <w:sz w:val="28"/>
          <w:szCs w:val="28"/>
        </w:rPr>
      </w:pPr>
      <w:r>
        <w:rPr>
          <w:rFonts w:ascii="Times New Roman" w:hAnsi="Times New Roman"/>
          <w:sz w:val="28"/>
          <w:szCs w:val="28"/>
        </w:rPr>
        <w:lastRenderedPageBreak/>
        <w:t>[3]</w:t>
      </w:r>
      <w:r>
        <w:rPr>
          <w:rFonts w:ascii="Times New Roman" w:hAnsi="Times New Roman"/>
          <w:sz w:val="28"/>
          <w:szCs w:val="28"/>
        </w:rPr>
        <w:tab/>
      </w:r>
      <w:r w:rsidR="0014464F">
        <w:rPr>
          <w:rFonts w:ascii="Times New Roman" w:hAnsi="Times New Roman"/>
          <w:sz w:val="28"/>
          <w:szCs w:val="28"/>
        </w:rPr>
        <w:t xml:space="preserve">The plaintiff’s claim </w:t>
      </w:r>
      <w:r w:rsidR="001974D1" w:rsidRPr="00FB5562">
        <w:rPr>
          <w:rFonts w:ascii="Times New Roman" w:hAnsi="Times New Roman"/>
          <w:sz w:val="28"/>
          <w:szCs w:val="28"/>
        </w:rPr>
        <w:t xml:space="preserve">was for damages </w:t>
      </w:r>
      <w:r w:rsidR="008B7AC6" w:rsidRPr="00FB5562">
        <w:rPr>
          <w:rFonts w:ascii="Times New Roman" w:hAnsi="Times New Roman"/>
          <w:sz w:val="28"/>
          <w:szCs w:val="28"/>
        </w:rPr>
        <w:t>arising from an assault by a police officer/s</w:t>
      </w:r>
      <w:r w:rsidR="00617318" w:rsidRPr="00FB5562">
        <w:rPr>
          <w:rFonts w:ascii="Times New Roman" w:hAnsi="Times New Roman"/>
          <w:sz w:val="28"/>
          <w:szCs w:val="28"/>
        </w:rPr>
        <w:t xml:space="preserve"> pursuant to which she sustained </w:t>
      </w:r>
      <w:r w:rsidR="00114FDA" w:rsidRPr="00FB5562">
        <w:rPr>
          <w:rFonts w:ascii="Times New Roman" w:hAnsi="Times New Roman"/>
          <w:sz w:val="28"/>
          <w:szCs w:val="28"/>
        </w:rPr>
        <w:t>physical injuries as well as a psychological injury</w:t>
      </w:r>
      <w:r w:rsidR="002F1442">
        <w:rPr>
          <w:rFonts w:ascii="Times New Roman" w:hAnsi="Times New Roman"/>
          <w:sz w:val="28"/>
          <w:szCs w:val="28"/>
        </w:rPr>
        <w:t xml:space="preserve"> described as</w:t>
      </w:r>
      <w:r w:rsidR="002F1442" w:rsidRPr="002F1442">
        <w:rPr>
          <w:rFonts w:ascii="Times New Roman" w:hAnsi="Times New Roman"/>
          <w:sz w:val="28"/>
          <w:szCs w:val="28"/>
        </w:rPr>
        <w:t xml:space="preserve"> </w:t>
      </w:r>
      <w:r w:rsidR="002F1442" w:rsidRPr="00FB5562">
        <w:rPr>
          <w:rFonts w:ascii="Times New Roman" w:hAnsi="Times New Roman"/>
          <w:sz w:val="28"/>
          <w:szCs w:val="28"/>
        </w:rPr>
        <w:t>an ‘adjustment disorder’</w:t>
      </w:r>
      <w:r w:rsidR="002F1442">
        <w:rPr>
          <w:rFonts w:ascii="Times New Roman" w:hAnsi="Times New Roman"/>
          <w:sz w:val="28"/>
          <w:szCs w:val="28"/>
        </w:rPr>
        <w:t>.</w:t>
      </w:r>
      <w:r w:rsidR="00D66E7E">
        <w:rPr>
          <w:rFonts w:ascii="Times New Roman" w:hAnsi="Times New Roman"/>
          <w:sz w:val="28"/>
          <w:szCs w:val="28"/>
        </w:rPr>
        <w:t xml:space="preserve"> My determination on costs was that the</w:t>
      </w:r>
      <w:r w:rsidR="004136A1">
        <w:rPr>
          <w:rFonts w:ascii="Times New Roman" w:hAnsi="Times New Roman"/>
          <w:sz w:val="28"/>
          <w:szCs w:val="28"/>
        </w:rPr>
        <w:t>y</w:t>
      </w:r>
      <w:r w:rsidR="00D66E7E">
        <w:rPr>
          <w:rFonts w:ascii="Times New Roman" w:hAnsi="Times New Roman"/>
          <w:sz w:val="28"/>
          <w:szCs w:val="28"/>
        </w:rPr>
        <w:t xml:space="preserve"> be awarded to the plaintiff on the </w:t>
      </w:r>
      <w:r w:rsidR="00927199">
        <w:rPr>
          <w:rFonts w:ascii="Times New Roman" w:hAnsi="Times New Roman"/>
          <w:sz w:val="28"/>
          <w:szCs w:val="28"/>
        </w:rPr>
        <w:t>m</w:t>
      </w:r>
      <w:r w:rsidR="00D66E7E">
        <w:rPr>
          <w:rFonts w:ascii="Times New Roman" w:hAnsi="Times New Roman"/>
          <w:sz w:val="28"/>
          <w:szCs w:val="28"/>
        </w:rPr>
        <w:t xml:space="preserve">agistrates’ </w:t>
      </w:r>
      <w:r w:rsidR="00927199">
        <w:rPr>
          <w:rFonts w:ascii="Times New Roman" w:hAnsi="Times New Roman"/>
          <w:sz w:val="28"/>
          <w:szCs w:val="28"/>
        </w:rPr>
        <w:t>c</w:t>
      </w:r>
      <w:r w:rsidR="00D66E7E">
        <w:rPr>
          <w:rFonts w:ascii="Times New Roman" w:hAnsi="Times New Roman"/>
          <w:sz w:val="28"/>
          <w:szCs w:val="28"/>
        </w:rPr>
        <w:t>ourt scale. I have dealt with the reasons for my order in the trial judgment.</w:t>
      </w:r>
      <w:r w:rsidR="004136A1">
        <w:rPr>
          <w:rFonts w:ascii="Times New Roman" w:hAnsi="Times New Roman"/>
          <w:sz w:val="28"/>
          <w:szCs w:val="28"/>
        </w:rPr>
        <w:t xml:space="preserve"> I do not intend to traverse those reasons for my findings as I have done so in some detail in the judgment. In short, I made an order that I considered was fair and reasonable in the circumstances.</w:t>
      </w:r>
    </w:p>
    <w:p w:rsidR="00487576" w:rsidRDefault="009D4A3E" w:rsidP="009D4A3E">
      <w:pPr>
        <w:pStyle w:val="LegalList1"/>
        <w:spacing w:line="360" w:lineRule="auto"/>
        <w:ind w:left="851" w:hanging="851"/>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247E2C">
        <w:rPr>
          <w:rFonts w:ascii="Times New Roman" w:hAnsi="Times New Roman"/>
          <w:sz w:val="28"/>
          <w:szCs w:val="28"/>
        </w:rPr>
        <w:t xml:space="preserve">My award </w:t>
      </w:r>
      <w:r w:rsidR="00FA799F">
        <w:rPr>
          <w:rFonts w:ascii="Times New Roman" w:hAnsi="Times New Roman"/>
          <w:sz w:val="28"/>
          <w:szCs w:val="28"/>
        </w:rPr>
        <w:t xml:space="preserve">for general damages was </w:t>
      </w:r>
      <w:r w:rsidR="00927199">
        <w:rPr>
          <w:rFonts w:ascii="Times New Roman" w:hAnsi="Times New Roman"/>
          <w:sz w:val="28"/>
          <w:szCs w:val="28"/>
        </w:rPr>
        <w:t xml:space="preserve">a </w:t>
      </w:r>
      <w:r w:rsidR="00FA799F">
        <w:rPr>
          <w:rFonts w:ascii="Times New Roman" w:hAnsi="Times New Roman"/>
          <w:sz w:val="28"/>
          <w:szCs w:val="28"/>
        </w:rPr>
        <w:t xml:space="preserve">globular </w:t>
      </w:r>
      <w:r w:rsidR="005442A3">
        <w:rPr>
          <w:rFonts w:ascii="Times New Roman" w:hAnsi="Times New Roman"/>
          <w:sz w:val="28"/>
          <w:szCs w:val="28"/>
        </w:rPr>
        <w:t xml:space="preserve">amount of R160 000 </w:t>
      </w:r>
      <w:r w:rsidR="00FE6CBD">
        <w:rPr>
          <w:rFonts w:ascii="Times New Roman" w:hAnsi="Times New Roman"/>
          <w:sz w:val="28"/>
          <w:szCs w:val="28"/>
        </w:rPr>
        <w:t xml:space="preserve">and included </w:t>
      </w:r>
      <w:r w:rsidR="00FE6CBD" w:rsidRPr="00DB3748">
        <w:rPr>
          <w:rFonts w:ascii="Times New Roman" w:hAnsi="Times New Roman"/>
          <w:i/>
          <w:sz w:val="28"/>
          <w:szCs w:val="28"/>
        </w:rPr>
        <w:t>contumelia</w:t>
      </w:r>
      <w:r w:rsidR="00FE6CBD">
        <w:rPr>
          <w:rFonts w:ascii="Times New Roman" w:hAnsi="Times New Roman"/>
          <w:sz w:val="28"/>
          <w:szCs w:val="28"/>
        </w:rPr>
        <w:t xml:space="preserve"> as a component thereof. The plaintiff submits that there is a reasonable prospect that a court of appeal will find that I was mistaken</w:t>
      </w:r>
      <w:r w:rsidR="00DB3748">
        <w:rPr>
          <w:rFonts w:ascii="Times New Roman" w:hAnsi="Times New Roman"/>
          <w:sz w:val="28"/>
          <w:szCs w:val="28"/>
        </w:rPr>
        <w:t>;</w:t>
      </w:r>
      <w:r w:rsidR="00FE6CBD">
        <w:rPr>
          <w:rFonts w:ascii="Times New Roman" w:hAnsi="Times New Roman"/>
          <w:sz w:val="28"/>
          <w:szCs w:val="28"/>
        </w:rPr>
        <w:t xml:space="preserve"> firstly</w:t>
      </w:r>
      <w:r w:rsidR="00DB3748">
        <w:rPr>
          <w:rFonts w:ascii="Times New Roman" w:hAnsi="Times New Roman"/>
          <w:sz w:val="28"/>
          <w:szCs w:val="28"/>
        </w:rPr>
        <w:t xml:space="preserve">, in my assessment of the amount awarded for general damages; and secondly, in failing to have made a separate award for </w:t>
      </w:r>
      <w:r w:rsidR="00DB3748" w:rsidRPr="00DB3748">
        <w:rPr>
          <w:rFonts w:ascii="Times New Roman" w:hAnsi="Times New Roman"/>
          <w:i/>
          <w:sz w:val="28"/>
          <w:szCs w:val="28"/>
        </w:rPr>
        <w:t>contumelia</w:t>
      </w:r>
      <w:r w:rsidR="00DB3748">
        <w:rPr>
          <w:rFonts w:ascii="Times New Roman" w:hAnsi="Times New Roman"/>
          <w:sz w:val="28"/>
          <w:szCs w:val="28"/>
        </w:rPr>
        <w:t>.</w:t>
      </w:r>
    </w:p>
    <w:p w:rsidR="00426D01" w:rsidRDefault="009D4A3E" w:rsidP="009D4A3E">
      <w:pPr>
        <w:pStyle w:val="LegalList1"/>
        <w:spacing w:line="360" w:lineRule="auto"/>
        <w:ind w:left="851" w:hanging="851"/>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DE0B32">
        <w:rPr>
          <w:rFonts w:ascii="Times New Roman" w:hAnsi="Times New Roman"/>
          <w:sz w:val="28"/>
          <w:szCs w:val="28"/>
        </w:rPr>
        <w:t>As to costs</w:t>
      </w:r>
      <w:r w:rsidR="004136A1">
        <w:rPr>
          <w:rFonts w:ascii="Times New Roman" w:hAnsi="Times New Roman"/>
          <w:sz w:val="28"/>
          <w:szCs w:val="28"/>
        </w:rPr>
        <w:t>,</w:t>
      </w:r>
      <w:r w:rsidR="00DE0B32">
        <w:rPr>
          <w:rFonts w:ascii="Times New Roman" w:hAnsi="Times New Roman"/>
          <w:sz w:val="28"/>
          <w:szCs w:val="28"/>
        </w:rPr>
        <w:t xml:space="preserve"> it was submitted that I </w:t>
      </w:r>
      <w:r w:rsidR="002F1A74">
        <w:rPr>
          <w:rFonts w:ascii="Times New Roman" w:hAnsi="Times New Roman"/>
          <w:sz w:val="28"/>
          <w:szCs w:val="28"/>
        </w:rPr>
        <w:t xml:space="preserve">failed to exercise my discretion in a judicial manner and </w:t>
      </w:r>
      <w:r w:rsidR="00DE0B32">
        <w:rPr>
          <w:rFonts w:ascii="Times New Roman" w:hAnsi="Times New Roman"/>
          <w:sz w:val="28"/>
          <w:szCs w:val="28"/>
        </w:rPr>
        <w:t xml:space="preserve">ought to have awarded these on the </w:t>
      </w:r>
      <w:r w:rsidR="00AA1C1F">
        <w:rPr>
          <w:rFonts w:ascii="Times New Roman" w:hAnsi="Times New Roman"/>
          <w:sz w:val="28"/>
          <w:szCs w:val="28"/>
        </w:rPr>
        <w:t>h</w:t>
      </w:r>
      <w:r w:rsidR="00DE0B32">
        <w:rPr>
          <w:rFonts w:ascii="Times New Roman" w:hAnsi="Times New Roman"/>
          <w:sz w:val="28"/>
          <w:szCs w:val="28"/>
        </w:rPr>
        <w:t xml:space="preserve">igh </w:t>
      </w:r>
      <w:r w:rsidR="00AA1C1F">
        <w:rPr>
          <w:rFonts w:ascii="Times New Roman" w:hAnsi="Times New Roman"/>
          <w:sz w:val="28"/>
          <w:szCs w:val="28"/>
        </w:rPr>
        <w:t>c</w:t>
      </w:r>
      <w:r w:rsidR="00DE0B32">
        <w:rPr>
          <w:rFonts w:ascii="Times New Roman" w:hAnsi="Times New Roman"/>
          <w:sz w:val="28"/>
          <w:szCs w:val="28"/>
        </w:rPr>
        <w:t xml:space="preserve">ourt scale </w:t>
      </w:r>
      <w:r w:rsidR="002F1A74">
        <w:rPr>
          <w:rFonts w:ascii="Times New Roman" w:hAnsi="Times New Roman"/>
          <w:sz w:val="28"/>
          <w:szCs w:val="28"/>
        </w:rPr>
        <w:t xml:space="preserve">where the defendant had </w:t>
      </w:r>
      <w:r w:rsidR="00487576">
        <w:rPr>
          <w:rFonts w:ascii="Times New Roman" w:hAnsi="Times New Roman"/>
          <w:sz w:val="28"/>
          <w:szCs w:val="28"/>
        </w:rPr>
        <w:t xml:space="preserve">not only </w:t>
      </w:r>
      <w:r w:rsidR="002F1A74">
        <w:rPr>
          <w:rFonts w:ascii="Times New Roman" w:hAnsi="Times New Roman"/>
          <w:sz w:val="28"/>
          <w:szCs w:val="28"/>
        </w:rPr>
        <w:t xml:space="preserve">agreed that it was </w:t>
      </w:r>
      <w:r w:rsidR="00487576">
        <w:rPr>
          <w:rFonts w:ascii="Times New Roman" w:hAnsi="Times New Roman"/>
          <w:sz w:val="28"/>
          <w:szCs w:val="28"/>
        </w:rPr>
        <w:t>un</w:t>
      </w:r>
      <w:r w:rsidR="002F1A74">
        <w:rPr>
          <w:rFonts w:ascii="Times New Roman" w:hAnsi="Times New Roman"/>
          <w:sz w:val="28"/>
          <w:szCs w:val="28"/>
        </w:rPr>
        <w:t xml:space="preserve">necessary for the action to </w:t>
      </w:r>
      <w:r w:rsidR="00487576">
        <w:rPr>
          <w:rFonts w:ascii="Times New Roman" w:hAnsi="Times New Roman"/>
          <w:sz w:val="28"/>
          <w:szCs w:val="28"/>
        </w:rPr>
        <w:t>be transferred to a lower court but obliged the plaintiff to run the trial by putting her to the proof of every aspect of her claim relevant to both liability and quantum.</w:t>
      </w:r>
    </w:p>
    <w:p w:rsidR="009C7A2C" w:rsidRPr="009C7A2C" w:rsidRDefault="009D4A3E" w:rsidP="009D4A3E">
      <w:pPr>
        <w:pStyle w:val="LegalList1"/>
        <w:spacing w:line="360" w:lineRule="auto"/>
        <w:ind w:left="851" w:hanging="851"/>
        <w:rPr>
          <w:rFonts w:ascii="Times New Roman" w:hAnsi="Times New Roman"/>
          <w:sz w:val="28"/>
          <w:szCs w:val="28"/>
        </w:rPr>
      </w:pPr>
      <w:r w:rsidRPr="009C7A2C">
        <w:rPr>
          <w:rFonts w:ascii="Times New Roman" w:hAnsi="Times New Roman"/>
          <w:sz w:val="28"/>
          <w:szCs w:val="28"/>
        </w:rPr>
        <w:t>[6]</w:t>
      </w:r>
      <w:r w:rsidRPr="009C7A2C">
        <w:rPr>
          <w:rFonts w:ascii="Times New Roman" w:hAnsi="Times New Roman"/>
          <w:sz w:val="28"/>
          <w:szCs w:val="28"/>
        </w:rPr>
        <w:tab/>
      </w:r>
      <w:r w:rsidR="00B63E4A">
        <w:rPr>
          <w:rFonts w:ascii="Times New Roman" w:hAnsi="Times New Roman"/>
          <w:sz w:val="28"/>
          <w:szCs w:val="28"/>
        </w:rPr>
        <w:t>To begin with, i</w:t>
      </w:r>
      <w:r w:rsidR="00387EB3" w:rsidRPr="00583C96">
        <w:rPr>
          <w:rFonts w:ascii="Times New Roman" w:hAnsi="Times New Roman"/>
          <w:sz w:val="28"/>
          <w:szCs w:val="28"/>
        </w:rPr>
        <w:t xml:space="preserve">t may be convenient to </w:t>
      </w:r>
      <w:r w:rsidR="00583C96" w:rsidRPr="00583C96">
        <w:rPr>
          <w:rFonts w:ascii="Times New Roman" w:hAnsi="Times New Roman"/>
          <w:sz w:val="28"/>
          <w:szCs w:val="28"/>
        </w:rPr>
        <w:t xml:space="preserve">refer to </w:t>
      </w:r>
      <w:r w:rsidR="00373173" w:rsidRPr="00583C96">
        <w:rPr>
          <w:rFonts w:ascii="Times New Roman" w:hAnsi="Times New Roman"/>
          <w:sz w:val="28"/>
          <w:szCs w:val="28"/>
        </w:rPr>
        <w:t>section 17(1) of the Superior Courts Act</w:t>
      </w:r>
      <w:r w:rsidR="00373173">
        <w:rPr>
          <w:rStyle w:val="FootnoteReference"/>
          <w:rFonts w:ascii="Times New Roman" w:hAnsi="Times New Roman"/>
          <w:sz w:val="28"/>
          <w:szCs w:val="28"/>
        </w:rPr>
        <w:footnoteReference w:id="1"/>
      </w:r>
      <w:r w:rsidR="00962FC1">
        <w:rPr>
          <w:rFonts w:ascii="Times New Roman" w:hAnsi="Times New Roman"/>
          <w:sz w:val="28"/>
          <w:szCs w:val="28"/>
        </w:rPr>
        <w:t xml:space="preserve"> (‘the Act’)</w:t>
      </w:r>
      <w:r w:rsidR="00583C96" w:rsidRPr="00583C96">
        <w:rPr>
          <w:rFonts w:ascii="Times New Roman" w:hAnsi="Times New Roman"/>
          <w:sz w:val="28"/>
          <w:szCs w:val="28"/>
        </w:rPr>
        <w:t xml:space="preserve">. </w:t>
      </w:r>
      <w:r w:rsidR="00B63E4A">
        <w:rPr>
          <w:rFonts w:ascii="Times New Roman" w:hAnsi="Times New Roman"/>
          <w:sz w:val="28"/>
          <w:szCs w:val="28"/>
        </w:rPr>
        <w:t>T</w:t>
      </w:r>
      <w:r w:rsidR="00583C96" w:rsidRPr="00583C96">
        <w:rPr>
          <w:rFonts w:ascii="Times New Roman" w:hAnsi="Times New Roman"/>
          <w:sz w:val="28"/>
          <w:szCs w:val="28"/>
        </w:rPr>
        <w:t xml:space="preserve">he section deals with the </w:t>
      </w:r>
      <w:r w:rsidR="00751F95" w:rsidRPr="00583C96">
        <w:rPr>
          <w:rFonts w:ascii="Times New Roman" w:hAnsi="Times New Roman"/>
          <w:sz w:val="28"/>
          <w:szCs w:val="28"/>
          <w:lang w:val="en-ZA"/>
        </w:rPr>
        <w:t>circumstances upon which leave to appeal may be granted.</w:t>
      </w:r>
    </w:p>
    <w:p w:rsidR="00751F95" w:rsidRPr="00583C96" w:rsidRDefault="009D4A3E" w:rsidP="009D4A3E">
      <w:pPr>
        <w:pStyle w:val="LegalList1"/>
        <w:spacing w:line="360" w:lineRule="auto"/>
        <w:ind w:left="851" w:hanging="851"/>
        <w:rPr>
          <w:rFonts w:ascii="Times New Roman" w:hAnsi="Times New Roman"/>
          <w:sz w:val="28"/>
          <w:szCs w:val="28"/>
        </w:rPr>
      </w:pPr>
      <w:r w:rsidRPr="00583C96">
        <w:rPr>
          <w:rFonts w:ascii="Times New Roman" w:hAnsi="Times New Roman"/>
          <w:sz w:val="28"/>
          <w:szCs w:val="28"/>
        </w:rPr>
        <w:lastRenderedPageBreak/>
        <w:t>[7]</w:t>
      </w:r>
      <w:r w:rsidRPr="00583C96">
        <w:rPr>
          <w:rFonts w:ascii="Times New Roman" w:hAnsi="Times New Roman"/>
          <w:sz w:val="28"/>
          <w:szCs w:val="28"/>
        </w:rPr>
        <w:tab/>
      </w:r>
      <w:r w:rsidR="00751F95" w:rsidRPr="00583C96">
        <w:rPr>
          <w:rFonts w:ascii="Times New Roman" w:hAnsi="Times New Roman"/>
          <w:sz w:val="28"/>
          <w:szCs w:val="28"/>
          <w:lang w:val="en-ZA"/>
        </w:rPr>
        <w:t xml:space="preserve">In summary, </w:t>
      </w:r>
      <w:r w:rsidR="009C7A2C">
        <w:rPr>
          <w:rFonts w:ascii="Times New Roman" w:hAnsi="Times New Roman"/>
          <w:sz w:val="28"/>
          <w:szCs w:val="28"/>
          <w:lang w:val="en-ZA"/>
        </w:rPr>
        <w:t>‘</w:t>
      </w:r>
      <w:r w:rsidR="00751F95" w:rsidRPr="00583C96">
        <w:rPr>
          <w:rFonts w:ascii="Times New Roman" w:hAnsi="Times New Roman"/>
          <w:sz w:val="28"/>
          <w:szCs w:val="28"/>
          <w:lang w:val="en-ZA"/>
        </w:rPr>
        <w:t xml:space="preserve">leave to appeal may only be given </w:t>
      </w:r>
      <w:r w:rsidR="009C7A2C">
        <w:rPr>
          <w:rFonts w:ascii="Times New Roman" w:hAnsi="Times New Roman"/>
          <w:sz w:val="28"/>
          <w:szCs w:val="28"/>
          <w:lang w:val="en-ZA"/>
        </w:rPr>
        <w:t xml:space="preserve">where the </w:t>
      </w:r>
      <w:r w:rsidR="00867C68">
        <w:rPr>
          <w:rFonts w:ascii="Times New Roman" w:hAnsi="Times New Roman"/>
          <w:sz w:val="28"/>
          <w:szCs w:val="28"/>
          <w:lang w:val="en-ZA"/>
        </w:rPr>
        <w:t xml:space="preserve">[court is] </w:t>
      </w:r>
      <w:r w:rsidR="009C7A2C">
        <w:rPr>
          <w:rFonts w:ascii="Times New Roman" w:hAnsi="Times New Roman"/>
          <w:sz w:val="28"/>
          <w:szCs w:val="28"/>
          <w:lang w:val="en-ZA"/>
        </w:rPr>
        <w:t>of the opinion that’</w:t>
      </w:r>
      <w:r w:rsidR="00751F95" w:rsidRPr="00583C96">
        <w:rPr>
          <w:rFonts w:ascii="Times New Roman" w:hAnsi="Times New Roman"/>
          <w:sz w:val="28"/>
          <w:szCs w:val="28"/>
          <w:lang w:val="en-ZA"/>
        </w:rPr>
        <w:t>:</w:t>
      </w:r>
    </w:p>
    <w:p w:rsidR="00751F95" w:rsidRDefault="00751F95" w:rsidP="00751F95">
      <w:pPr>
        <w:pStyle w:val="LegalList1"/>
        <w:spacing w:line="360" w:lineRule="auto"/>
        <w:ind w:left="1571" w:hanging="720"/>
        <w:rPr>
          <w:rFonts w:ascii="Times New Roman" w:hAnsi="Times New Roman"/>
          <w:sz w:val="28"/>
          <w:szCs w:val="28"/>
        </w:rPr>
      </w:pPr>
      <w:r>
        <w:rPr>
          <w:rFonts w:ascii="Times New Roman" w:hAnsi="Times New Roman"/>
          <w:sz w:val="28"/>
          <w:szCs w:val="28"/>
          <w:lang w:val="en-ZA"/>
        </w:rPr>
        <w:t>(a)</w:t>
      </w:r>
      <w:r>
        <w:rPr>
          <w:rFonts w:ascii="Times New Roman" w:hAnsi="Times New Roman"/>
          <w:sz w:val="28"/>
          <w:szCs w:val="28"/>
          <w:lang w:val="en-ZA"/>
        </w:rPr>
        <w:tab/>
        <w:t>the appeal would have a reasonable prospect of success</w:t>
      </w:r>
      <w:r w:rsidR="00583C96">
        <w:rPr>
          <w:rFonts w:ascii="Times New Roman" w:hAnsi="Times New Roman"/>
          <w:sz w:val="28"/>
          <w:szCs w:val="28"/>
          <w:lang w:val="en-ZA"/>
        </w:rPr>
        <w:t xml:space="preserve"> </w:t>
      </w:r>
      <w:r w:rsidRPr="00D079B4">
        <w:rPr>
          <w:rFonts w:ascii="Times New Roman" w:hAnsi="Times New Roman"/>
          <w:sz w:val="28"/>
          <w:szCs w:val="28"/>
        </w:rPr>
        <w:t>(section 17(1)(a)(i)</w:t>
      </w:r>
      <w:r>
        <w:rPr>
          <w:rFonts w:ascii="Times New Roman" w:hAnsi="Times New Roman"/>
          <w:sz w:val="28"/>
          <w:szCs w:val="28"/>
        </w:rPr>
        <w:t>)</w:t>
      </w:r>
      <w:r w:rsidRPr="00D079B4">
        <w:rPr>
          <w:rFonts w:ascii="Times New Roman" w:hAnsi="Times New Roman"/>
          <w:sz w:val="28"/>
          <w:szCs w:val="28"/>
        </w:rPr>
        <w:t>; or</w:t>
      </w:r>
    </w:p>
    <w:p w:rsidR="00751F95" w:rsidRDefault="00751F95" w:rsidP="00751F95">
      <w:pPr>
        <w:pStyle w:val="LegalList1"/>
        <w:spacing w:line="360" w:lineRule="auto"/>
        <w:ind w:left="1571" w:hanging="720"/>
        <w:rPr>
          <w:rFonts w:ascii="Times New Roman" w:hAnsi="Times New Roman"/>
          <w:sz w:val="28"/>
          <w:szCs w:val="28"/>
        </w:rPr>
      </w:pPr>
      <w:r>
        <w:rPr>
          <w:rFonts w:ascii="Times New Roman" w:hAnsi="Times New Roman"/>
          <w:sz w:val="28"/>
          <w:szCs w:val="28"/>
        </w:rPr>
        <w:t>(b)</w:t>
      </w:r>
      <w:r>
        <w:rPr>
          <w:rFonts w:ascii="Times New Roman" w:hAnsi="Times New Roman"/>
          <w:sz w:val="28"/>
          <w:szCs w:val="28"/>
        </w:rPr>
        <w:tab/>
        <w:t>there is some other compelling reason why the appeal should be heard, including conflicting judgments on the matter under consideration</w:t>
      </w:r>
      <w:r w:rsidR="00867C68">
        <w:rPr>
          <w:rFonts w:ascii="Times New Roman" w:hAnsi="Times New Roman"/>
          <w:sz w:val="28"/>
          <w:szCs w:val="28"/>
        </w:rPr>
        <w:t xml:space="preserve"> </w:t>
      </w:r>
      <w:r w:rsidRPr="00D079B4">
        <w:rPr>
          <w:rFonts w:ascii="Times New Roman" w:hAnsi="Times New Roman"/>
          <w:sz w:val="28"/>
          <w:szCs w:val="28"/>
        </w:rPr>
        <w:t>(section 17(1)(a)(ii)</w:t>
      </w:r>
      <w:r>
        <w:rPr>
          <w:rFonts w:ascii="Times New Roman" w:hAnsi="Times New Roman"/>
          <w:sz w:val="28"/>
          <w:szCs w:val="28"/>
        </w:rPr>
        <w:t>)</w:t>
      </w:r>
      <w:r w:rsidRPr="00D079B4">
        <w:rPr>
          <w:rFonts w:ascii="Times New Roman" w:hAnsi="Times New Roman"/>
          <w:sz w:val="28"/>
          <w:szCs w:val="28"/>
        </w:rPr>
        <w:t>;</w:t>
      </w:r>
    </w:p>
    <w:p w:rsidR="00751F95" w:rsidRDefault="00751F95" w:rsidP="00751F95">
      <w:pPr>
        <w:pStyle w:val="LegalList1"/>
        <w:spacing w:line="360" w:lineRule="auto"/>
        <w:ind w:left="1571" w:hanging="720"/>
        <w:rPr>
          <w:rFonts w:ascii="Times New Roman" w:hAnsi="Times New Roman"/>
          <w:sz w:val="28"/>
          <w:szCs w:val="28"/>
        </w:rPr>
      </w:pPr>
      <w:r>
        <w:rPr>
          <w:rFonts w:ascii="Times New Roman" w:hAnsi="Times New Roman"/>
          <w:sz w:val="28"/>
          <w:szCs w:val="28"/>
        </w:rPr>
        <w:t>(c)</w:t>
      </w:r>
      <w:r>
        <w:rPr>
          <w:rFonts w:ascii="Times New Roman" w:hAnsi="Times New Roman"/>
          <w:sz w:val="28"/>
          <w:szCs w:val="28"/>
        </w:rPr>
        <w:tab/>
        <w:t>the decision sought on appeal does not fall within the ambit of section 16(2)(a)</w:t>
      </w:r>
      <w:r w:rsidRPr="00B24233">
        <w:rPr>
          <w:rFonts w:ascii="Times New Roman" w:hAnsi="Times New Roman"/>
          <w:sz w:val="28"/>
          <w:szCs w:val="28"/>
        </w:rPr>
        <w:t xml:space="preserve"> </w:t>
      </w:r>
      <w:r w:rsidRPr="00D079B4">
        <w:rPr>
          <w:rFonts w:ascii="Times New Roman" w:hAnsi="Times New Roman"/>
          <w:sz w:val="28"/>
          <w:szCs w:val="28"/>
        </w:rPr>
        <w:t>(section 17(1)(b)</w:t>
      </w:r>
      <w:r>
        <w:rPr>
          <w:rFonts w:ascii="Times New Roman" w:hAnsi="Times New Roman"/>
          <w:sz w:val="28"/>
          <w:szCs w:val="28"/>
        </w:rPr>
        <w:t>)</w:t>
      </w:r>
      <w:r w:rsidRPr="00D079B4">
        <w:rPr>
          <w:rFonts w:ascii="Times New Roman" w:hAnsi="Times New Roman"/>
          <w:sz w:val="28"/>
          <w:szCs w:val="28"/>
        </w:rPr>
        <w:t>; and</w:t>
      </w:r>
    </w:p>
    <w:p w:rsidR="00751F95" w:rsidRPr="00D079B4" w:rsidRDefault="00751F95" w:rsidP="00751F95">
      <w:pPr>
        <w:pStyle w:val="LegalList1"/>
        <w:spacing w:line="360" w:lineRule="auto"/>
        <w:ind w:left="1571" w:hanging="720"/>
        <w:rPr>
          <w:rFonts w:ascii="Times New Roman" w:hAnsi="Times New Roman"/>
          <w:b/>
          <w:sz w:val="28"/>
          <w:szCs w:val="28"/>
        </w:rPr>
      </w:pPr>
      <w:r>
        <w:rPr>
          <w:rFonts w:ascii="Times New Roman" w:hAnsi="Times New Roman"/>
          <w:sz w:val="28"/>
          <w:szCs w:val="28"/>
        </w:rPr>
        <w:t>(d)</w:t>
      </w:r>
      <w:r>
        <w:rPr>
          <w:rFonts w:ascii="Times New Roman" w:hAnsi="Times New Roman"/>
          <w:sz w:val="28"/>
          <w:szCs w:val="28"/>
        </w:rPr>
        <w:tab/>
        <w:t>where the decision sought to be appealed does not dispose of all issues in the case, the appeal would lead to a just and prompt resolution of the real issues between the parties</w:t>
      </w:r>
      <w:r w:rsidRPr="00D079B4">
        <w:rPr>
          <w:rFonts w:ascii="Times New Roman" w:hAnsi="Times New Roman"/>
          <w:sz w:val="28"/>
          <w:szCs w:val="28"/>
        </w:rPr>
        <w:t>(section 17(1)(c)</w:t>
      </w:r>
      <w:r>
        <w:rPr>
          <w:rFonts w:ascii="Times New Roman" w:hAnsi="Times New Roman"/>
          <w:sz w:val="28"/>
          <w:szCs w:val="28"/>
        </w:rPr>
        <w:t>).</w:t>
      </w:r>
    </w:p>
    <w:p w:rsidR="00905448" w:rsidRDefault="009D4A3E" w:rsidP="009D4A3E">
      <w:pPr>
        <w:pStyle w:val="LegalList1"/>
        <w:spacing w:line="360" w:lineRule="auto"/>
        <w:ind w:left="851" w:hanging="851"/>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6F3279">
        <w:rPr>
          <w:rFonts w:ascii="Times New Roman" w:hAnsi="Times New Roman"/>
          <w:sz w:val="28"/>
          <w:szCs w:val="28"/>
        </w:rPr>
        <w:t>The previously applied test was whether there were reasonable prospects that another court ‘may’ come to a different conclusion</w:t>
      </w:r>
      <w:r w:rsidR="006F3279">
        <w:rPr>
          <w:rStyle w:val="FootnoteReference"/>
          <w:rFonts w:ascii="Times New Roman" w:hAnsi="Times New Roman"/>
          <w:sz w:val="28"/>
          <w:szCs w:val="28"/>
        </w:rPr>
        <w:footnoteReference w:id="2"/>
      </w:r>
      <w:r w:rsidR="006F3279">
        <w:rPr>
          <w:rFonts w:ascii="Times New Roman" w:hAnsi="Times New Roman"/>
          <w:sz w:val="28"/>
          <w:szCs w:val="28"/>
        </w:rPr>
        <w:t>. Section 17(1) provides that leave may ‘only’ be granted in the circum</w:t>
      </w:r>
      <w:r w:rsidR="00905448">
        <w:rPr>
          <w:rFonts w:ascii="Times New Roman" w:hAnsi="Times New Roman"/>
          <w:sz w:val="28"/>
          <w:szCs w:val="28"/>
        </w:rPr>
        <w:t>stances set out in the section.</w:t>
      </w:r>
    </w:p>
    <w:p w:rsidR="006F3279" w:rsidRDefault="009D4A3E" w:rsidP="009D4A3E">
      <w:pPr>
        <w:pStyle w:val="LegalList1"/>
        <w:spacing w:line="360" w:lineRule="auto"/>
        <w:ind w:left="851" w:hanging="851"/>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5D55E1">
        <w:rPr>
          <w:rFonts w:ascii="Times New Roman" w:hAnsi="Times New Roman"/>
          <w:sz w:val="28"/>
          <w:szCs w:val="28"/>
        </w:rPr>
        <w:t>Regarding the word ‘would’ as it appears in section17(1)(a), i</w:t>
      </w:r>
      <w:r w:rsidR="006F3279" w:rsidRPr="004F7739">
        <w:rPr>
          <w:rFonts w:ascii="Times New Roman" w:hAnsi="Times New Roman"/>
          <w:sz w:val="28"/>
          <w:szCs w:val="28"/>
        </w:rPr>
        <w:t xml:space="preserve">n </w:t>
      </w:r>
      <w:r w:rsidR="006F3279" w:rsidRPr="004F7739">
        <w:rPr>
          <w:rFonts w:ascii="Times New Roman" w:hAnsi="Times New Roman"/>
          <w:i/>
          <w:sz w:val="28"/>
          <w:szCs w:val="28"/>
        </w:rPr>
        <w:t>Valley of the Kings Thaba Motswere (Pty) Ltd and another v A L Mayya International</w:t>
      </w:r>
      <w:r w:rsidR="006F3279" w:rsidRPr="00813DAD">
        <w:rPr>
          <w:rStyle w:val="FootnoteReference"/>
          <w:rFonts w:ascii="Times New Roman" w:hAnsi="Times New Roman"/>
          <w:sz w:val="28"/>
          <w:szCs w:val="28"/>
        </w:rPr>
        <w:footnoteReference w:id="3"/>
      </w:r>
      <w:r w:rsidR="005D55E1">
        <w:rPr>
          <w:rFonts w:ascii="Times New Roman" w:hAnsi="Times New Roman"/>
          <w:i/>
          <w:sz w:val="28"/>
          <w:szCs w:val="28"/>
        </w:rPr>
        <w:t xml:space="preserve"> </w:t>
      </w:r>
      <w:r w:rsidR="006F3279" w:rsidRPr="004F7739">
        <w:rPr>
          <w:rFonts w:ascii="Times New Roman" w:hAnsi="Times New Roman"/>
          <w:sz w:val="28"/>
          <w:szCs w:val="28"/>
        </w:rPr>
        <w:t>Smith J aptly put it thus:</w:t>
      </w:r>
    </w:p>
    <w:p w:rsidR="006F3279" w:rsidRPr="004F7739" w:rsidRDefault="00905448" w:rsidP="00905448">
      <w:pPr>
        <w:pStyle w:val="LegalList1"/>
        <w:spacing w:line="360" w:lineRule="auto"/>
        <w:ind w:left="851"/>
        <w:rPr>
          <w:rFonts w:ascii="Times New Roman" w:hAnsi="Times New Roman"/>
          <w:sz w:val="28"/>
          <w:szCs w:val="28"/>
        </w:rPr>
      </w:pPr>
      <w:r>
        <w:rPr>
          <w:rFonts w:ascii="Times New Roman" w:hAnsi="Times New Roman"/>
        </w:rPr>
        <w:lastRenderedPageBreak/>
        <w:t>‘</w:t>
      </w:r>
      <w:r w:rsidR="006F3279" w:rsidRPr="004F7739">
        <w:rPr>
          <w:rFonts w:ascii="Times New Roman" w:hAnsi="Times New Roman"/>
        </w:rPr>
        <w:t>[4]</w:t>
      </w:r>
      <w:r w:rsidR="006F3279" w:rsidRPr="004F7739">
        <w:rPr>
          <w:rFonts w:ascii="Times New Roman" w:hAnsi="Times New Roman"/>
        </w:rPr>
        <w:tab/>
        <w:t xml:space="preserve">There can be little doubt that the use of the word ‘would’ in section 17(1)(a)(i) of the Superior Courts Act implies that the test for leave to appeal is now more onerous. The intention clearly being to avoid our courts of appeal being flooded with frivolous appeals that are doomed to fail. I am, however, of the respectful view that the ‘measure of certainty’ standard propounded by the learned judge in </w:t>
      </w:r>
      <w:r w:rsidR="006F3279" w:rsidRPr="004F7739">
        <w:rPr>
          <w:rFonts w:ascii="Times New Roman" w:hAnsi="Times New Roman"/>
          <w:i/>
        </w:rPr>
        <w:t>Mont Chevaux Trust</w:t>
      </w:r>
      <w:r w:rsidR="006F3279" w:rsidRPr="004F7739">
        <w:rPr>
          <w:rFonts w:ascii="Times New Roman" w:hAnsi="Times New Roman"/>
        </w:rPr>
        <w:t xml:space="preserve"> may be placing the bar too high. It would, in my respectful view, be unreasonably onerous to require an applicant for leave to appeal to convince a judge – who invariably would have provided extensive reasons for his or her findings and conclusions – that there is a ‘measure of certainty’ that another court will upset those findings. It seems to me that a contextual construction of the phrase ‘reasonable prospect of success’ still requires of the judge, whose judgment is sought to be appealed against, to consider, objectively and dispassionately, whether there are reasonable prospects that another court may well find merit in arguments advanced by the losing party. . .</w:t>
      </w:r>
      <w:r>
        <w:rPr>
          <w:rFonts w:ascii="Times New Roman" w:hAnsi="Times New Roman"/>
        </w:rPr>
        <w:t>’</w:t>
      </w:r>
    </w:p>
    <w:p w:rsidR="00762E2B" w:rsidRDefault="009D4A3E" w:rsidP="009D4A3E">
      <w:pPr>
        <w:pStyle w:val="LegalList1"/>
        <w:spacing w:line="360" w:lineRule="auto"/>
        <w:ind w:left="851" w:hanging="851"/>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00084E45">
        <w:rPr>
          <w:rFonts w:ascii="Times New Roman" w:hAnsi="Times New Roman"/>
          <w:sz w:val="28"/>
          <w:szCs w:val="28"/>
        </w:rPr>
        <w:t>Evident from the above is that the legislated test set out in section</w:t>
      </w:r>
      <w:r w:rsidR="006A54D2">
        <w:rPr>
          <w:rFonts w:ascii="Times New Roman" w:hAnsi="Times New Roman"/>
          <w:sz w:val="28"/>
          <w:szCs w:val="28"/>
        </w:rPr>
        <w:t xml:space="preserve"> </w:t>
      </w:r>
      <w:r w:rsidR="00084E45">
        <w:rPr>
          <w:rFonts w:ascii="Times New Roman" w:hAnsi="Times New Roman"/>
          <w:sz w:val="28"/>
          <w:szCs w:val="28"/>
        </w:rPr>
        <w:t xml:space="preserve">17(1)(a), </w:t>
      </w:r>
      <w:r w:rsidR="006A54D2">
        <w:rPr>
          <w:rFonts w:ascii="Times New Roman" w:hAnsi="Times New Roman"/>
          <w:sz w:val="28"/>
          <w:szCs w:val="28"/>
        </w:rPr>
        <w:t>is a higher test th</w:t>
      </w:r>
      <w:r w:rsidR="00762E2B">
        <w:rPr>
          <w:rFonts w:ascii="Times New Roman" w:hAnsi="Times New Roman"/>
          <w:sz w:val="28"/>
          <w:szCs w:val="28"/>
        </w:rPr>
        <w:t>an the test previously applied.</w:t>
      </w:r>
    </w:p>
    <w:p w:rsidR="00426D01" w:rsidRDefault="009D4A3E" w:rsidP="009D4A3E">
      <w:pPr>
        <w:pStyle w:val="LegalList1"/>
        <w:spacing w:line="360" w:lineRule="auto"/>
        <w:ind w:left="851" w:hanging="851"/>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6A54D2">
        <w:rPr>
          <w:rFonts w:ascii="Times New Roman" w:hAnsi="Times New Roman"/>
          <w:sz w:val="28"/>
          <w:szCs w:val="28"/>
        </w:rPr>
        <w:t>U</w:t>
      </w:r>
      <w:r w:rsidR="00426D01">
        <w:rPr>
          <w:rFonts w:ascii="Times New Roman" w:hAnsi="Times New Roman"/>
          <w:sz w:val="28"/>
          <w:szCs w:val="28"/>
        </w:rPr>
        <w:t>nreservedly, I agree therewith in principle.</w:t>
      </w:r>
    </w:p>
    <w:p w:rsidR="00762E2B" w:rsidRDefault="009D4A3E" w:rsidP="009D4A3E">
      <w:pPr>
        <w:pStyle w:val="LegalList1"/>
        <w:spacing w:line="360" w:lineRule="auto"/>
        <w:ind w:left="851" w:hanging="851"/>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31478E">
        <w:rPr>
          <w:rFonts w:ascii="Times New Roman" w:hAnsi="Times New Roman"/>
          <w:sz w:val="28"/>
          <w:szCs w:val="28"/>
        </w:rPr>
        <w:t xml:space="preserve">The plaintiff’s approach is grounded in the contention that </w:t>
      </w:r>
      <w:r w:rsidR="00FB00E7">
        <w:rPr>
          <w:rFonts w:ascii="Times New Roman" w:hAnsi="Times New Roman"/>
          <w:sz w:val="28"/>
          <w:szCs w:val="28"/>
        </w:rPr>
        <w:t xml:space="preserve">her appeal would have a reasonable prospect of success should leave be granted </w:t>
      </w:r>
      <w:r w:rsidR="00F9127F">
        <w:rPr>
          <w:rFonts w:ascii="Times New Roman" w:hAnsi="Times New Roman"/>
          <w:sz w:val="28"/>
          <w:szCs w:val="28"/>
        </w:rPr>
        <w:t xml:space="preserve">and that </w:t>
      </w:r>
      <w:r w:rsidR="00C052A3">
        <w:rPr>
          <w:rFonts w:ascii="Times New Roman" w:hAnsi="Times New Roman"/>
          <w:sz w:val="28"/>
          <w:szCs w:val="28"/>
        </w:rPr>
        <w:t xml:space="preserve">the usual test in </w:t>
      </w:r>
      <w:r w:rsidR="0031478E">
        <w:rPr>
          <w:rFonts w:ascii="Times New Roman" w:hAnsi="Times New Roman"/>
          <w:sz w:val="28"/>
          <w:szCs w:val="28"/>
        </w:rPr>
        <w:t xml:space="preserve">section </w:t>
      </w:r>
      <w:r w:rsidR="00F1637D">
        <w:rPr>
          <w:rFonts w:ascii="Times New Roman" w:hAnsi="Times New Roman"/>
          <w:sz w:val="28"/>
          <w:szCs w:val="28"/>
        </w:rPr>
        <w:t>17(1)(a)</w:t>
      </w:r>
      <w:r w:rsidR="00F1637D" w:rsidRPr="00D079B4">
        <w:rPr>
          <w:rFonts w:ascii="Times New Roman" w:hAnsi="Times New Roman"/>
          <w:sz w:val="28"/>
          <w:szCs w:val="28"/>
        </w:rPr>
        <w:t>(i)</w:t>
      </w:r>
      <w:r w:rsidR="00F1637D">
        <w:rPr>
          <w:rFonts w:ascii="Times New Roman" w:hAnsi="Times New Roman"/>
          <w:sz w:val="28"/>
          <w:szCs w:val="28"/>
        </w:rPr>
        <w:t xml:space="preserve"> is applicable</w:t>
      </w:r>
      <w:r w:rsidR="00762E2B">
        <w:rPr>
          <w:rFonts w:ascii="Times New Roman" w:hAnsi="Times New Roman"/>
          <w:sz w:val="28"/>
          <w:szCs w:val="28"/>
        </w:rPr>
        <w:t>.</w:t>
      </w:r>
    </w:p>
    <w:p w:rsidR="00986EF4" w:rsidRDefault="009D4A3E" w:rsidP="009D4A3E">
      <w:pPr>
        <w:pStyle w:val="LegalList1"/>
        <w:spacing w:line="360" w:lineRule="auto"/>
        <w:ind w:left="851" w:hanging="851"/>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C052A3">
        <w:rPr>
          <w:rFonts w:ascii="Times New Roman" w:hAnsi="Times New Roman"/>
          <w:sz w:val="28"/>
          <w:szCs w:val="28"/>
        </w:rPr>
        <w:t xml:space="preserve">I </w:t>
      </w:r>
      <w:r w:rsidR="00FB00E7">
        <w:rPr>
          <w:rFonts w:ascii="Times New Roman" w:hAnsi="Times New Roman"/>
          <w:sz w:val="28"/>
          <w:szCs w:val="28"/>
        </w:rPr>
        <w:t>disagree.</w:t>
      </w:r>
    </w:p>
    <w:p w:rsidR="0031478E" w:rsidRDefault="009D4A3E" w:rsidP="009D4A3E">
      <w:pPr>
        <w:pStyle w:val="LegalList1"/>
        <w:spacing w:line="360" w:lineRule="auto"/>
        <w:ind w:left="851" w:hanging="851"/>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r>
      <w:r w:rsidR="00FB00E7">
        <w:rPr>
          <w:rFonts w:ascii="Times New Roman" w:hAnsi="Times New Roman"/>
          <w:sz w:val="28"/>
          <w:szCs w:val="28"/>
        </w:rPr>
        <w:t xml:space="preserve">For reasons to follow, the appropriate test lies </w:t>
      </w:r>
      <w:r w:rsidR="00F9127F">
        <w:rPr>
          <w:rFonts w:ascii="Times New Roman" w:hAnsi="Times New Roman"/>
          <w:sz w:val="28"/>
          <w:szCs w:val="28"/>
        </w:rPr>
        <w:t xml:space="preserve">in employing </w:t>
      </w:r>
      <w:r w:rsidR="00986EF4">
        <w:rPr>
          <w:rFonts w:ascii="Times New Roman" w:hAnsi="Times New Roman"/>
          <w:sz w:val="28"/>
          <w:szCs w:val="28"/>
        </w:rPr>
        <w:t xml:space="preserve">a different approach, regard being had to the </w:t>
      </w:r>
      <w:r w:rsidR="00C052A3">
        <w:rPr>
          <w:rFonts w:ascii="Times New Roman" w:hAnsi="Times New Roman"/>
          <w:sz w:val="28"/>
          <w:szCs w:val="28"/>
        </w:rPr>
        <w:t>facts of this case.</w:t>
      </w:r>
    </w:p>
    <w:p w:rsidR="000F0DDB" w:rsidRPr="0094016D" w:rsidRDefault="009D4A3E" w:rsidP="009D4A3E">
      <w:pPr>
        <w:pStyle w:val="LegalList1"/>
        <w:spacing w:line="360" w:lineRule="auto"/>
        <w:ind w:left="851" w:hanging="851"/>
        <w:rPr>
          <w:rFonts w:ascii="Times New Roman" w:hAnsi="Times New Roman"/>
          <w:sz w:val="28"/>
          <w:szCs w:val="28"/>
        </w:rPr>
      </w:pPr>
      <w:r w:rsidRPr="0094016D">
        <w:rPr>
          <w:rFonts w:ascii="Times New Roman" w:hAnsi="Times New Roman"/>
          <w:sz w:val="28"/>
          <w:szCs w:val="28"/>
        </w:rPr>
        <w:t>[15]</w:t>
      </w:r>
      <w:r w:rsidRPr="0094016D">
        <w:rPr>
          <w:rFonts w:ascii="Times New Roman" w:hAnsi="Times New Roman"/>
          <w:sz w:val="28"/>
          <w:szCs w:val="28"/>
        </w:rPr>
        <w:tab/>
      </w:r>
      <w:r w:rsidR="000F0DDB" w:rsidRPr="0094016D">
        <w:rPr>
          <w:rFonts w:ascii="Times New Roman" w:hAnsi="Times New Roman"/>
          <w:sz w:val="28"/>
          <w:szCs w:val="28"/>
        </w:rPr>
        <w:t xml:space="preserve">To a large extent the plaintiff’s grounds of appeal are factual in nature. That being so, a court of appeal will not lightly interfere with the factual findings of a trial court unless there is a demonstrable and material </w:t>
      </w:r>
      <w:r w:rsidR="000F0DDB" w:rsidRPr="0094016D">
        <w:rPr>
          <w:rFonts w:ascii="Times New Roman" w:hAnsi="Times New Roman"/>
          <w:sz w:val="28"/>
          <w:szCs w:val="28"/>
        </w:rPr>
        <w:lastRenderedPageBreak/>
        <w:t>misdirection</w:t>
      </w:r>
      <w:r w:rsidR="0070306A" w:rsidRPr="0094016D">
        <w:rPr>
          <w:rFonts w:ascii="Times New Roman" w:hAnsi="Times New Roman"/>
          <w:sz w:val="28"/>
          <w:szCs w:val="28"/>
        </w:rPr>
        <w:t xml:space="preserve"> </w:t>
      </w:r>
      <w:r w:rsidR="000F0DDB" w:rsidRPr="0094016D">
        <w:rPr>
          <w:rFonts w:ascii="Times New Roman" w:hAnsi="Times New Roman"/>
          <w:sz w:val="28"/>
          <w:szCs w:val="28"/>
        </w:rPr>
        <w:t>and</w:t>
      </w:r>
      <w:r w:rsidR="0070306A" w:rsidRPr="0094016D">
        <w:rPr>
          <w:rFonts w:ascii="Times New Roman" w:hAnsi="Times New Roman"/>
          <w:sz w:val="28"/>
          <w:szCs w:val="28"/>
        </w:rPr>
        <w:t>/or</w:t>
      </w:r>
      <w:r w:rsidR="000F0DDB" w:rsidRPr="0094016D">
        <w:rPr>
          <w:rFonts w:ascii="Times New Roman" w:hAnsi="Times New Roman"/>
          <w:sz w:val="28"/>
          <w:szCs w:val="28"/>
        </w:rPr>
        <w:t xml:space="preserve"> a finding that is clearly wrong.</w:t>
      </w:r>
      <w:r w:rsidR="006B0BBF">
        <w:rPr>
          <w:rStyle w:val="FootnoteReference"/>
          <w:rFonts w:ascii="Times New Roman" w:hAnsi="Times New Roman"/>
          <w:sz w:val="28"/>
          <w:szCs w:val="28"/>
        </w:rPr>
        <w:footnoteReference w:id="4"/>
      </w:r>
      <w:r w:rsidR="006B0BBF" w:rsidRPr="0094016D">
        <w:rPr>
          <w:rFonts w:ascii="Times New Roman" w:hAnsi="Times New Roman"/>
          <w:sz w:val="28"/>
          <w:szCs w:val="28"/>
        </w:rPr>
        <w:t xml:space="preserve"> </w:t>
      </w:r>
      <w:r w:rsidR="000F0DDB" w:rsidRPr="0094016D">
        <w:rPr>
          <w:rFonts w:ascii="Times New Roman" w:hAnsi="Times New Roman"/>
          <w:sz w:val="28"/>
          <w:szCs w:val="28"/>
        </w:rPr>
        <w:t xml:space="preserve">The principles </w:t>
      </w:r>
      <w:r w:rsidR="006B0BBF" w:rsidRPr="0094016D">
        <w:rPr>
          <w:rFonts w:ascii="Times New Roman" w:hAnsi="Times New Roman"/>
          <w:sz w:val="28"/>
          <w:szCs w:val="28"/>
        </w:rPr>
        <w:t>giving guidance to a</w:t>
      </w:r>
      <w:r w:rsidR="000F0DDB" w:rsidRPr="0094016D">
        <w:rPr>
          <w:rFonts w:ascii="Times New Roman" w:hAnsi="Times New Roman"/>
          <w:sz w:val="28"/>
          <w:szCs w:val="28"/>
        </w:rPr>
        <w:t xml:space="preserve">n appeal court in dealing with an appeal purely on </w:t>
      </w:r>
      <w:r w:rsidR="006B0BBF" w:rsidRPr="0094016D">
        <w:rPr>
          <w:rFonts w:ascii="Times New Roman" w:hAnsi="Times New Roman"/>
          <w:sz w:val="28"/>
          <w:szCs w:val="28"/>
        </w:rPr>
        <w:t xml:space="preserve">factual issues </w:t>
      </w:r>
      <w:r w:rsidR="000F0DDB" w:rsidRPr="0094016D">
        <w:rPr>
          <w:rFonts w:ascii="Times New Roman" w:hAnsi="Times New Roman"/>
          <w:sz w:val="28"/>
          <w:szCs w:val="28"/>
        </w:rPr>
        <w:t xml:space="preserve">have been set out extensively in </w:t>
      </w:r>
      <w:r w:rsidR="000F0DDB" w:rsidRPr="0094016D">
        <w:rPr>
          <w:rFonts w:ascii="Times New Roman" w:hAnsi="Times New Roman"/>
          <w:i/>
          <w:sz w:val="28"/>
          <w:szCs w:val="28"/>
        </w:rPr>
        <w:t>R v Dhlumayo and Another</w:t>
      </w:r>
      <w:r w:rsidR="00AA1C1F">
        <w:rPr>
          <w:rStyle w:val="FootnoteReference"/>
          <w:rFonts w:ascii="Times New Roman" w:hAnsi="Times New Roman"/>
          <w:i/>
          <w:sz w:val="28"/>
          <w:szCs w:val="28"/>
        </w:rPr>
        <w:footnoteReference w:id="5"/>
      </w:r>
      <w:r w:rsidR="00682014">
        <w:rPr>
          <w:rFonts w:ascii="Times New Roman" w:hAnsi="Times New Roman"/>
          <w:sz w:val="28"/>
          <w:szCs w:val="28"/>
        </w:rPr>
        <w:t>.</w:t>
      </w:r>
    </w:p>
    <w:p w:rsidR="00751F95" w:rsidRPr="005442A3" w:rsidRDefault="005442A3" w:rsidP="005442A3">
      <w:pPr>
        <w:pStyle w:val="LegalList1"/>
        <w:spacing w:line="360" w:lineRule="auto"/>
        <w:ind w:left="131" w:firstLine="720"/>
        <w:rPr>
          <w:rFonts w:ascii="Times New Roman" w:hAnsi="Times New Roman"/>
          <w:b/>
          <w:sz w:val="28"/>
          <w:szCs w:val="28"/>
        </w:rPr>
      </w:pPr>
      <w:r w:rsidRPr="005442A3">
        <w:rPr>
          <w:rFonts w:ascii="Times New Roman" w:hAnsi="Times New Roman"/>
          <w:b/>
          <w:sz w:val="28"/>
          <w:szCs w:val="28"/>
        </w:rPr>
        <w:t>General Damages</w:t>
      </w:r>
      <w:r w:rsidR="00543A3F">
        <w:rPr>
          <w:rFonts w:ascii="Times New Roman" w:hAnsi="Times New Roman"/>
          <w:b/>
          <w:sz w:val="28"/>
          <w:szCs w:val="28"/>
        </w:rPr>
        <w:t xml:space="preserve"> and </w:t>
      </w:r>
      <w:r w:rsidR="00543A3F" w:rsidRPr="002B5C6E">
        <w:rPr>
          <w:rFonts w:ascii="Times New Roman" w:hAnsi="Times New Roman"/>
          <w:b/>
          <w:i/>
          <w:sz w:val="28"/>
          <w:szCs w:val="28"/>
        </w:rPr>
        <w:t>contumelia</w:t>
      </w:r>
    </w:p>
    <w:p w:rsidR="00751F95" w:rsidRDefault="009D4A3E" w:rsidP="009D4A3E">
      <w:pPr>
        <w:pStyle w:val="LegalList1"/>
        <w:spacing w:line="360" w:lineRule="auto"/>
        <w:ind w:left="851" w:hanging="851"/>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r>
      <w:r w:rsidR="00CF7825">
        <w:rPr>
          <w:rFonts w:ascii="Times New Roman" w:hAnsi="Times New Roman"/>
          <w:sz w:val="28"/>
          <w:szCs w:val="28"/>
        </w:rPr>
        <w:t xml:space="preserve">My award is criticised on the basis that I paid ‘lip service’ to the evidence relevant to quantum by failing to take into account </w:t>
      </w:r>
      <w:r w:rsidR="0002052F">
        <w:rPr>
          <w:rFonts w:ascii="Times New Roman" w:hAnsi="Times New Roman"/>
          <w:sz w:val="28"/>
          <w:szCs w:val="28"/>
        </w:rPr>
        <w:t xml:space="preserve">the evidence of the entirety of plaintiff’s physical injuries </w:t>
      </w:r>
      <w:r w:rsidR="007C0DF6">
        <w:rPr>
          <w:rFonts w:ascii="Times New Roman" w:hAnsi="Times New Roman"/>
          <w:sz w:val="28"/>
          <w:szCs w:val="28"/>
        </w:rPr>
        <w:t xml:space="preserve">documented </w:t>
      </w:r>
      <w:r w:rsidR="0002052F">
        <w:rPr>
          <w:rFonts w:ascii="Times New Roman" w:hAnsi="Times New Roman"/>
          <w:sz w:val="28"/>
          <w:szCs w:val="28"/>
        </w:rPr>
        <w:t xml:space="preserve">in a J88 report as also evidence that </w:t>
      </w:r>
      <w:r w:rsidR="00CF7825">
        <w:rPr>
          <w:rFonts w:ascii="Times New Roman" w:hAnsi="Times New Roman"/>
          <w:sz w:val="28"/>
          <w:szCs w:val="28"/>
        </w:rPr>
        <w:t xml:space="preserve">she </w:t>
      </w:r>
      <w:r w:rsidR="0002052F">
        <w:rPr>
          <w:rFonts w:ascii="Times New Roman" w:hAnsi="Times New Roman"/>
          <w:sz w:val="28"/>
          <w:szCs w:val="28"/>
        </w:rPr>
        <w:t>underwent a CT scan a</w:t>
      </w:r>
      <w:r w:rsidR="00796F10">
        <w:rPr>
          <w:rFonts w:ascii="Times New Roman" w:hAnsi="Times New Roman"/>
          <w:sz w:val="28"/>
          <w:szCs w:val="28"/>
        </w:rPr>
        <w:t>s well as</w:t>
      </w:r>
      <w:r w:rsidR="0002052F">
        <w:rPr>
          <w:rFonts w:ascii="Times New Roman" w:hAnsi="Times New Roman"/>
          <w:sz w:val="28"/>
          <w:szCs w:val="28"/>
        </w:rPr>
        <w:t xml:space="preserve"> </w:t>
      </w:r>
      <w:r w:rsidR="00CF7825">
        <w:rPr>
          <w:rFonts w:ascii="Times New Roman" w:hAnsi="Times New Roman"/>
          <w:sz w:val="28"/>
          <w:szCs w:val="28"/>
        </w:rPr>
        <w:t>several f</w:t>
      </w:r>
      <w:r w:rsidR="00796F10">
        <w:rPr>
          <w:rFonts w:ascii="Times New Roman" w:hAnsi="Times New Roman"/>
          <w:sz w:val="28"/>
          <w:szCs w:val="28"/>
        </w:rPr>
        <w:t>eatures</w:t>
      </w:r>
      <w:r w:rsidR="00CF7825">
        <w:rPr>
          <w:rFonts w:ascii="Times New Roman" w:hAnsi="Times New Roman"/>
          <w:sz w:val="28"/>
          <w:szCs w:val="28"/>
        </w:rPr>
        <w:t xml:space="preserve"> of the uncontested evidence by </w:t>
      </w:r>
      <w:r w:rsidR="0002052F">
        <w:rPr>
          <w:rFonts w:ascii="Times New Roman" w:hAnsi="Times New Roman"/>
          <w:sz w:val="28"/>
          <w:szCs w:val="28"/>
        </w:rPr>
        <w:t>her</w:t>
      </w:r>
      <w:r w:rsidR="00CF7825">
        <w:rPr>
          <w:rFonts w:ascii="Times New Roman" w:hAnsi="Times New Roman"/>
          <w:sz w:val="28"/>
          <w:szCs w:val="28"/>
        </w:rPr>
        <w:t xml:space="preserve"> expert witness Professor Young</w:t>
      </w:r>
      <w:r w:rsidR="0002052F">
        <w:rPr>
          <w:rFonts w:ascii="Times New Roman" w:hAnsi="Times New Roman"/>
          <w:sz w:val="28"/>
          <w:szCs w:val="28"/>
        </w:rPr>
        <w:t>.</w:t>
      </w:r>
      <w:r w:rsidR="00B866A6">
        <w:rPr>
          <w:rFonts w:ascii="Times New Roman" w:hAnsi="Times New Roman"/>
          <w:sz w:val="28"/>
          <w:szCs w:val="28"/>
        </w:rPr>
        <w:t xml:space="preserve"> </w:t>
      </w:r>
      <w:r w:rsidR="00993869">
        <w:rPr>
          <w:rFonts w:ascii="Times New Roman" w:hAnsi="Times New Roman"/>
          <w:sz w:val="28"/>
          <w:szCs w:val="28"/>
        </w:rPr>
        <w:t>In detailing those features in p</w:t>
      </w:r>
      <w:r w:rsidR="00B866A6">
        <w:rPr>
          <w:rFonts w:ascii="Times New Roman" w:hAnsi="Times New Roman"/>
          <w:sz w:val="28"/>
          <w:szCs w:val="28"/>
        </w:rPr>
        <w:t xml:space="preserve">aragraphs </w:t>
      </w:r>
      <w:r w:rsidR="00B932E1">
        <w:rPr>
          <w:rFonts w:ascii="Times New Roman" w:hAnsi="Times New Roman"/>
          <w:sz w:val="28"/>
          <w:szCs w:val="28"/>
        </w:rPr>
        <w:t xml:space="preserve">1 to 6 </w:t>
      </w:r>
      <w:r w:rsidR="00B866A6">
        <w:rPr>
          <w:rFonts w:ascii="Times New Roman" w:hAnsi="Times New Roman"/>
          <w:sz w:val="28"/>
          <w:szCs w:val="28"/>
        </w:rPr>
        <w:t xml:space="preserve">of the plaintiff’s </w:t>
      </w:r>
      <w:r w:rsidR="00AA1C1F">
        <w:rPr>
          <w:rFonts w:ascii="Times New Roman" w:hAnsi="Times New Roman"/>
          <w:sz w:val="28"/>
          <w:szCs w:val="28"/>
        </w:rPr>
        <w:t>application for leave to appeal</w:t>
      </w:r>
      <w:r w:rsidR="00796F10">
        <w:rPr>
          <w:rStyle w:val="FootnoteReference"/>
          <w:rFonts w:ascii="Times New Roman" w:hAnsi="Times New Roman"/>
          <w:sz w:val="28"/>
          <w:szCs w:val="28"/>
        </w:rPr>
        <w:footnoteReference w:id="6"/>
      </w:r>
      <w:r w:rsidR="00265B05">
        <w:rPr>
          <w:rFonts w:ascii="Times New Roman" w:hAnsi="Times New Roman"/>
          <w:sz w:val="28"/>
          <w:szCs w:val="28"/>
        </w:rPr>
        <w:t xml:space="preserve"> </w:t>
      </w:r>
      <w:r w:rsidR="00754F34">
        <w:rPr>
          <w:rFonts w:ascii="Times New Roman" w:hAnsi="Times New Roman"/>
          <w:sz w:val="28"/>
          <w:szCs w:val="28"/>
        </w:rPr>
        <w:t>her counsel</w:t>
      </w:r>
      <w:r w:rsidR="004100A8">
        <w:rPr>
          <w:rFonts w:ascii="Times New Roman" w:hAnsi="Times New Roman"/>
          <w:sz w:val="28"/>
          <w:szCs w:val="28"/>
        </w:rPr>
        <w:t xml:space="preserve"> contends </w:t>
      </w:r>
      <w:r w:rsidR="00CE13D5">
        <w:rPr>
          <w:rFonts w:ascii="Times New Roman" w:hAnsi="Times New Roman"/>
          <w:sz w:val="28"/>
          <w:szCs w:val="28"/>
        </w:rPr>
        <w:t xml:space="preserve">that </w:t>
      </w:r>
      <w:r w:rsidR="004100A8">
        <w:rPr>
          <w:rFonts w:ascii="Times New Roman" w:hAnsi="Times New Roman"/>
          <w:sz w:val="28"/>
          <w:szCs w:val="28"/>
        </w:rPr>
        <w:t xml:space="preserve">same </w:t>
      </w:r>
      <w:r w:rsidR="00CE13D5">
        <w:rPr>
          <w:rFonts w:ascii="Times New Roman" w:hAnsi="Times New Roman"/>
          <w:sz w:val="28"/>
          <w:szCs w:val="28"/>
        </w:rPr>
        <w:t>were not reflected in my assessment of her damages</w:t>
      </w:r>
      <w:r w:rsidR="00993869">
        <w:rPr>
          <w:rFonts w:ascii="Times New Roman" w:hAnsi="Times New Roman"/>
          <w:sz w:val="28"/>
          <w:szCs w:val="28"/>
        </w:rPr>
        <w:t xml:space="preserve"> and had th</w:t>
      </w:r>
      <w:r w:rsidR="004100A8">
        <w:rPr>
          <w:rFonts w:ascii="Times New Roman" w:hAnsi="Times New Roman"/>
          <w:sz w:val="28"/>
          <w:szCs w:val="28"/>
        </w:rPr>
        <w:t>at</w:t>
      </w:r>
      <w:r w:rsidR="00993869">
        <w:rPr>
          <w:rFonts w:ascii="Times New Roman" w:hAnsi="Times New Roman"/>
          <w:sz w:val="28"/>
          <w:szCs w:val="28"/>
        </w:rPr>
        <w:t xml:space="preserve"> been done I ought to have properly </w:t>
      </w:r>
      <w:r w:rsidR="004100A8">
        <w:rPr>
          <w:rFonts w:ascii="Times New Roman" w:hAnsi="Times New Roman"/>
          <w:sz w:val="28"/>
          <w:szCs w:val="28"/>
        </w:rPr>
        <w:t xml:space="preserve">made an assessment </w:t>
      </w:r>
      <w:r w:rsidR="00F4072C">
        <w:rPr>
          <w:rFonts w:ascii="Times New Roman" w:hAnsi="Times New Roman"/>
          <w:sz w:val="28"/>
          <w:szCs w:val="28"/>
        </w:rPr>
        <w:t xml:space="preserve">in the sum of R300 000 in recognition of the </w:t>
      </w:r>
      <w:r w:rsidR="00501A11">
        <w:rPr>
          <w:rFonts w:ascii="Times New Roman" w:hAnsi="Times New Roman"/>
          <w:sz w:val="28"/>
          <w:szCs w:val="28"/>
        </w:rPr>
        <w:t>‘lifelong after effects of her injury’.</w:t>
      </w:r>
    </w:p>
    <w:p w:rsidR="00E1705C" w:rsidRDefault="009D4A3E" w:rsidP="009D4A3E">
      <w:pPr>
        <w:pStyle w:val="LegalList1"/>
        <w:spacing w:line="360" w:lineRule="auto"/>
        <w:ind w:left="851" w:hanging="851"/>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sidR="002550AA" w:rsidRPr="002550AA">
        <w:rPr>
          <w:rFonts w:ascii="Times New Roman" w:hAnsi="Times New Roman"/>
          <w:sz w:val="28"/>
          <w:szCs w:val="28"/>
        </w:rPr>
        <w:t xml:space="preserve">An assessment of an award for general damages is discretionary and the degree of emphasis of any relevant fact is ordinarily a matter of discretion. </w:t>
      </w:r>
      <w:r w:rsidR="00D97F47">
        <w:rPr>
          <w:rFonts w:ascii="Times New Roman" w:hAnsi="Times New Roman"/>
          <w:sz w:val="28"/>
          <w:szCs w:val="28"/>
        </w:rPr>
        <w:t xml:space="preserve">There must of course be evidence to support an assessment and the question will always be one of sufficiency, and where the evidence </w:t>
      </w:r>
      <w:r w:rsidR="00D1254C">
        <w:rPr>
          <w:rFonts w:ascii="Times New Roman" w:hAnsi="Times New Roman"/>
          <w:sz w:val="28"/>
          <w:szCs w:val="28"/>
        </w:rPr>
        <w:t xml:space="preserve">a court considers relevant </w:t>
      </w:r>
      <w:r w:rsidR="00D97F47">
        <w:rPr>
          <w:rFonts w:ascii="Times New Roman" w:hAnsi="Times New Roman"/>
          <w:sz w:val="28"/>
          <w:szCs w:val="28"/>
        </w:rPr>
        <w:t>permits a reasonable estimate then</w:t>
      </w:r>
      <w:r w:rsidR="00DC6FF5">
        <w:rPr>
          <w:rFonts w:ascii="Times New Roman" w:hAnsi="Times New Roman"/>
          <w:sz w:val="28"/>
          <w:szCs w:val="28"/>
        </w:rPr>
        <w:t xml:space="preserve"> an award should and will be made.</w:t>
      </w:r>
      <w:r w:rsidR="004100A8">
        <w:rPr>
          <w:rFonts w:ascii="Times New Roman" w:hAnsi="Times New Roman"/>
          <w:sz w:val="28"/>
          <w:szCs w:val="28"/>
        </w:rPr>
        <w:t xml:space="preserve"> In my trial judgment at paragraphs</w:t>
      </w:r>
      <w:r w:rsidR="00BC6197">
        <w:rPr>
          <w:rFonts w:ascii="Times New Roman" w:hAnsi="Times New Roman"/>
          <w:sz w:val="28"/>
          <w:szCs w:val="28"/>
        </w:rPr>
        <w:t xml:space="preserve"> 28 to 42</w:t>
      </w:r>
      <w:r w:rsidR="008A5CF4">
        <w:rPr>
          <w:rFonts w:ascii="Times New Roman" w:hAnsi="Times New Roman"/>
          <w:sz w:val="28"/>
          <w:szCs w:val="28"/>
        </w:rPr>
        <w:t>,</w:t>
      </w:r>
      <w:r w:rsidR="00BC6197">
        <w:rPr>
          <w:rFonts w:ascii="Times New Roman" w:hAnsi="Times New Roman"/>
          <w:sz w:val="28"/>
          <w:szCs w:val="28"/>
        </w:rPr>
        <w:t xml:space="preserve"> I gave consideration</w:t>
      </w:r>
      <w:r w:rsidR="008A5CF4">
        <w:rPr>
          <w:rFonts w:ascii="Times New Roman" w:hAnsi="Times New Roman"/>
          <w:sz w:val="28"/>
          <w:szCs w:val="28"/>
        </w:rPr>
        <w:t xml:space="preserve"> to the evidence and the legal principles that influenced my assessment.</w:t>
      </w:r>
      <w:r w:rsidR="00E1705C">
        <w:rPr>
          <w:rFonts w:ascii="Times New Roman" w:hAnsi="Times New Roman"/>
          <w:sz w:val="28"/>
          <w:szCs w:val="28"/>
        </w:rPr>
        <w:t xml:space="preserve"> </w:t>
      </w:r>
      <w:r w:rsidR="005077B1" w:rsidRPr="00B56A07">
        <w:rPr>
          <w:rFonts w:ascii="Times New Roman" w:hAnsi="Times New Roman"/>
          <w:i/>
          <w:sz w:val="28"/>
          <w:szCs w:val="28"/>
        </w:rPr>
        <w:t>Dhlumayo</w:t>
      </w:r>
      <w:r w:rsidR="005077B1" w:rsidRPr="002550AA">
        <w:rPr>
          <w:rFonts w:ascii="Times New Roman" w:hAnsi="Times New Roman"/>
          <w:sz w:val="28"/>
          <w:szCs w:val="28"/>
        </w:rPr>
        <w:t xml:space="preserve"> </w:t>
      </w:r>
      <w:r w:rsidR="00B56A07">
        <w:rPr>
          <w:rFonts w:ascii="Times New Roman" w:hAnsi="Times New Roman"/>
          <w:sz w:val="28"/>
          <w:szCs w:val="28"/>
        </w:rPr>
        <w:t xml:space="preserve">proclaims </w:t>
      </w:r>
      <w:r w:rsidR="005077B1" w:rsidRPr="002550AA">
        <w:rPr>
          <w:rFonts w:ascii="Times New Roman" w:hAnsi="Times New Roman"/>
          <w:sz w:val="28"/>
          <w:szCs w:val="28"/>
        </w:rPr>
        <w:t>that no judgment can ever be all-embracing or perfect and it does not necessarily follow that because something has not been mentioned it has not been considered.</w:t>
      </w:r>
      <w:r w:rsidR="005077B1">
        <w:rPr>
          <w:rStyle w:val="FootnoteReference"/>
          <w:rFonts w:ascii="Times New Roman" w:hAnsi="Times New Roman"/>
          <w:sz w:val="28"/>
          <w:szCs w:val="28"/>
        </w:rPr>
        <w:footnoteReference w:id="7"/>
      </w:r>
      <w:r w:rsidR="00E1705C" w:rsidRPr="00E1705C">
        <w:rPr>
          <w:rFonts w:ascii="Times New Roman" w:hAnsi="Times New Roman"/>
          <w:sz w:val="28"/>
          <w:szCs w:val="28"/>
        </w:rPr>
        <w:t xml:space="preserve"> </w:t>
      </w:r>
      <w:r w:rsidR="00E1705C">
        <w:rPr>
          <w:rFonts w:ascii="Times New Roman" w:hAnsi="Times New Roman"/>
          <w:sz w:val="28"/>
          <w:szCs w:val="28"/>
        </w:rPr>
        <w:t xml:space="preserve">In my view </w:t>
      </w:r>
      <w:r w:rsidR="00E1705C">
        <w:rPr>
          <w:rFonts w:ascii="Times New Roman" w:hAnsi="Times New Roman"/>
          <w:sz w:val="28"/>
          <w:szCs w:val="28"/>
        </w:rPr>
        <w:lastRenderedPageBreak/>
        <w:t>this is particularly apposite</w:t>
      </w:r>
      <w:r w:rsidR="00674D46">
        <w:rPr>
          <w:rFonts w:ascii="Times New Roman" w:hAnsi="Times New Roman"/>
          <w:sz w:val="28"/>
          <w:szCs w:val="28"/>
        </w:rPr>
        <w:t xml:space="preserve"> if one considers that m</w:t>
      </w:r>
      <w:r w:rsidR="00E1705C">
        <w:rPr>
          <w:rFonts w:ascii="Times New Roman" w:hAnsi="Times New Roman"/>
          <w:sz w:val="28"/>
          <w:szCs w:val="28"/>
        </w:rPr>
        <w:t xml:space="preserve">oney can never be more than a crude </w:t>
      </w:r>
      <w:r w:rsidR="00E1705C" w:rsidRPr="004157B1">
        <w:rPr>
          <w:rFonts w:ascii="Times New Roman" w:hAnsi="Times New Roman"/>
          <w:i/>
          <w:sz w:val="28"/>
          <w:szCs w:val="28"/>
        </w:rPr>
        <w:t>solatium</w:t>
      </w:r>
      <w:r w:rsidR="00E1705C">
        <w:rPr>
          <w:rFonts w:ascii="Times New Roman" w:hAnsi="Times New Roman"/>
          <w:sz w:val="28"/>
          <w:szCs w:val="28"/>
        </w:rPr>
        <w:t xml:space="preserve"> for the deprivation of what in truth can never be restored</w:t>
      </w:r>
      <w:r w:rsidR="00674D46">
        <w:rPr>
          <w:rFonts w:ascii="Times New Roman" w:hAnsi="Times New Roman"/>
          <w:sz w:val="28"/>
          <w:szCs w:val="28"/>
        </w:rPr>
        <w:t>.</w:t>
      </w:r>
      <w:r w:rsidR="00E1705C">
        <w:rPr>
          <w:rFonts w:ascii="Times New Roman" w:hAnsi="Times New Roman"/>
          <w:sz w:val="28"/>
          <w:szCs w:val="28"/>
        </w:rPr>
        <w:t xml:space="preserve"> – there is no empirical measure for loss and </w:t>
      </w:r>
      <w:r w:rsidR="00DC6FF5">
        <w:rPr>
          <w:rFonts w:ascii="Times New Roman" w:hAnsi="Times New Roman"/>
          <w:sz w:val="28"/>
          <w:szCs w:val="28"/>
        </w:rPr>
        <w:t xml:space="preserve">a </w:t>
      </w:r>
      <w:r w:rsidR="00E1705C">
        <w:rPr>
          <w:rFonts w:ascii="Times New Roman" w:hAnsi="Times New Roman"/>
          <w:sz w:val="28"/>
          <w:szCs w:val="28"/>
        </w:rPr>
        <w:t>court should not be extravagant in compensating the loss</w:t>
      </w:r>
      <w:r w:rsidR="00DC6FF5">
        <w:rPr>
          <w:rFonts w:ascii="Times New Roman" w:hAnsi="Times New Roman"/>
          <w:sz w:val="28"/>
          <w:szCs w:val="28"/>
        </w:rPr>
        <w:t>.</w:t>
      </w:r>
    </w:p>
    <w:p w:rsidR="004F115E" w:rsidRDefault="009D4A3E" w:rsidP="009D4A3E">
      <w:pPr>
        <w:pStyle w:val="LegalList1"/>
        <w:spacing w:line="360" w:lineRule="auto"/>
        <w:ind w:left="851" w:hanging="851"/>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ab/>
      </w:r>
      <w:r w:rsidR="00C84F6E" w:rsidRPr="00FA3743">
        <w:rPr>
          <w:rFonts w:ascii="Times New Roman" w:hAnsi="Times New Roman"/>
          <w:sz w:val="28"/>
          <w:szCs w:val="28"/>
        </w:rPr>
        <w:t xml:space="preserve">The application for leave to appeal </w:t>
      </w:r>
      <w:r w:rsidR="006D28C5" w:rsidRPr="00FA3743">
        <w:rPr>
          <w:rFonts w:ascii="Times New Roman" w:hAnsi="Times New Roman"/>
          <w:sz w:val="28"/>
          <w:szCs w:val="28"/>
        </w:rPr>
        <w:t xml:space="preserve">is supported by heads of argument which </w:t>
      </w:r>
      <w:r w:rsidR="00C84F6E" w:rsidRPr="00FA3743">
        <w:rPr>
          <w:rFonts w:ascii="Times New Roman" w:hAnsi="Times New Roman"/>
          <w:sz w:val="28"/>
          <w:szCs w:val="28"/>
        </w:rPr>
        <w:t xml:space="preserve">includes reference to several awards featuring in </w:t>
      </w:r>
      <w:r w:rsidR="006D28C5" w:rsidRPr="00FA3743">
        <w:rPr>
          <w:rFonts w:ascii="Times New Roman" w:hAnsi="Times New Roman"/>
          <w:sz w:val="28"/>
          <w:szCs w:val="28"/>
        </w:rPr>
        <w:t>Corbett &amp; Honey’s Quantum of Damages</w:t>
      </w:r>
      <w:r w:rsidR="007B0849" w:rsidRPr="00FA3743">
        <w:rPr>
          <w:rFonts w:ascii="Times New Roman" w:hAnsi="Times New Roman"/>
          <w:sz w:val="28"/>
          <w:szCs w:val="28"/>
        </w:rPr>
        <w:t xml:space="preserve">. </w:t>
      </w:r>
      <w:r w:rsidR="0089643F" w:rsidRPr="00FA3743">
        <w:rPr>
          <w:rFonts w:ascii="Times New Roman" w:hAnsi="Times New Roman"/>
          <w:sz w:val="28"/>
          <w:szCs w:val="28"/>
        </w:rPr>
        <w:t xml:space="preserve">I am criticised for failing ‘to take into account the plethora of decided and reported cases’ included therein. The fallacy </w:t>
      </w:r>
      <w:r w:rsidR="00F974B5" w:rsidRPr="00FA3743">
        <w:rPr>
          <w:rFonts w:ascii="Times New Roman" w:hAnsi="Times New Roman"/>
          <w:sz w:val="28"/>
          <w:szCs w:val="28"/>
        </w:rPr>
        <w:t>in</w:t>
      </w:r>
      <w:r w:rsidR="0089643F" w:rsidRPr="00FA3743">
        <w:rPr>
          <w:rFonts w:ascii="Times New Roman" w:hAnsi="Times New Roman"/>
          <w:sz w:val="28"/>
          <w:szCs w:val="28"/>
        </w:rPr>
        <w:t xml:space="preserve"> this argument is that </w:t>
      </w:r>
      <w:r w:rsidR="00F974B5" w:rsidRPr="00FA3743">
        <w:rPr>
          <w:rFonts w:ascii="Times New Roman" w:hAnsi="Times New Roman"/>
          <w:sz w:val="28"/>
          <w:szCs w:val="28"/>
        </w:rPr>
        <w:t xml:space="preserve">none of these cases </w:t>
      </w:r>
      <w:r w:rsidR="001F624D" w:rsidRPr="00FA3743">
        <w:rPr>
          <w:rFonts w:ascii="Times New Roman" w:hAnsi="Times New Roman"/>
          <w:sz w:val="28"/>
          <w:szCs w:val="28"/>
        </w:rPr>
        <w:t xml:space="preserve">(or any other material) </w:t>
      </w:r>
      <w:r w:rsidR="00F974B5" w:rsidRPr="00FA3743">
        <w:rPr>
          <w:rFonts w:ascii="Times New Roman" w:hAnsi="Times New Roman"/>
          <w:sz w:val="28"/>
          <w:szCs w:val="28"/>
        </w:rPr>
        <w:t xml:space="preserve">were referred to </w:t>
      </w:r>
      <w:r w:rsidR="00D67913" w:rsidRPr="00FA3743">
        <w:rPr>
          <w:rFonts w:ascii="Times New Roman" w:hAnsi="Times New Roman"/>
          <w:sz w:val="28"/>
          <w:szCs w:val="28"/>
        </w:rPr>
        <w:t>during</w:t>
      </w:r>
      <w:r w:rsidR="00F974B5" w:rsidRPr="00FA3743">
        <w:rPr>
          <w:rFonts w:ascii="Times New Roman" w:hAnsi="Times New Roman"/>
          <w:sz w:val="28"/>
          <w:szCs w:val="28"/>
        </w:rPr>
        <w:t xml:space="preserve"> closing argument </w:t>
      </w:r>
      <w:r w:rsidR="00D67913" w:rsidRPr="00FA3743">
        <w:rPr>
          <w:rFonts w:ascii="Times New Roman" w:hAnsi="Times New Roman"/>
          <w:sz w:val="28"/>
          <w:szCs w:val="28"/>
        </w:rPr>
        <w:t xml:space="preserve">at the conclusion of the trial. </w:t>
      </w:r>
      <w:r w:rsidR="00FA3743" w:rsidRPr="00FA3743">
        <w:rPr>
          <w:rFonts w:ascii="Times New Roman" w:hAnsi="Times New Roman"/>
          <w:sz w:val="28"/>
          <w:szCs w:val="28"/>
        </w:rPr>
        <w:t xml:space="preserve">With respect, had the material now referred </w:t>
      </w:r>
      <w:r w:rsidR="007140C0">
        <w:rPr>
          <w:rFonts w:ascii="Times New Roman" w:hAnsi="Times New Roman"/>
          <w:sz w:val="28"/>
          <w:szCs w:val="28"/>
        </w:rPr>
        <w:t>to been brought to my attention</w:t>
      </w:r>
      <w:r w:rsidR="00FA3743" w:rsidRPr="00FA3743">
        <w:rPr>
          <w:rFonts w:ascii="Times New Roman" w:hAnsi="Times New Roman"/>
          <w:sz w:val="28"/>
          <w:szCs w:val="28"/>
        </w:rPr>
        <w:t xml:space="preserve"> the result might have been different</w:t>
      </w:r>
      <w:r w:rsidR="00FA3743">
        <w:rPr>
          <w:rFonts w:ascii="Times New Roman" w:hAnsi="Times New Roman"/>
          <w:sz w:val="28"/>
          <w:szCs w:val="28"/>
        </w:rPr>
        <w:t xml:space="preserve">. </w:t>
      </w:r>
      <w:r w:rsidR="006117EB" w:rsidRPr="00FA3743">
        <w:rPr>
          <w:rFonts w:ascii="Times New Roman" w:hAnsi="Times New Roman"/>
          <w:sz w:val="28"/>
          <w:szCs w:val="28"/>
        </w:rPr>
        <w:t>Th</w:t>
      </w:r>
      <w:r w:rsidR="00460B38" w:rsidRPr="00FA3743">
        <w:rPr>
          <w:rFonts w:ascii="Times New Roman" w:hAnsi="Times New Roman"/>
          <w:sz w:val="28"/>
          <w:szCs w:val="28"/>
        </w:rPr>
        <w:t xml:space="preserve">e introduction of </w:t>
      </w:r>
      <w:r w:rsidR="007140C0">
        <w:rPr>
          <w:rFonts w:ascii="Times New Roman" w:hAnsi="Times New Roman"/>
          <w:sz w:val="28"/>
          <w:szCs w:val="28"/>
        </w:rPr>
        <w:t>the</w:t>
      </w:r>
      <w:r w:rsidR="00460B38" w:rsidRPr="00FA3743">
        <w:rPr>
          <w:rFonts w:ascii="Times New Roman" w:hAnsi="Times New Roman"/>
          <w:sz w:val="28"/>
          <w:szCs w:val="28"/>
        </w:rPr>
        <w:t xml:space="preserve"> material at the appropriate time</w:t>
      </w:r>
      <w:r w:rsidR="006117EB" w:rsidRPr="00FA3743">
        <w:rPr>
          <w:rFonts w:ascii="Times New Roman" w:hAnsi="Times New Roman"/>
          <w:sz w:val="28"/>
          <w:szCs w:val="28"/>
        </w:rPr>
        <w:t xml:space="preserve"> ought to have been considered critical to assisting the court in its task of producing a just result.</w:t>
      </w:r>
      <w:r w:rsidR="004D06BD">
        <w:rPr>
          <w:rStyle w:val="FootnoteReference"/>
          <w:rFonts w:ascii="Times New Roman" w:hAnsi="Times New Roman"/>
          <w:sz w:val="28"/>
          <w:szCs w:val="28"/>
        </w:rPr>
        <w:footnoteReference w:id="8"/>
      </w:r>
    </w:p>
    <w:p w:rsidR="002004C4" w:rsidRDefault="009D4A3E" w:rsidP="009D4A3E">
      <w:pPr>
        <w:pStyle w:val="LegalList1"/>
        <w:spacing w:line="360" w:lineRule="auto"/>
        <w:ind w:left="851" w:hanging="851"/>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ab/>
      </w:r>
      <w:r w:rsidR="00D67913" w:rsidRPr="00FA3743">
        <w:rPr>
          <w:rFonts w:ascii="Times New Roman" w:hAnsi="Times New Roman"/>
          <w:sz w:val="28"/>
          <w:szCs w:val="28"/>
        </w:rPr>
        <w:t>M</w:t>
      </w:r>
      <w:r w:rsidR="006D2852" w:rsidRPr="00FA3743">
        <w:rPr>
          <w:rFonts w:ascii="Times New Roman" w:hAnsi="Times New Roman"/>
          <w:sz w:val="28"/>
          <w:szCs w:val="28"/>
        </w:rPr>
        <w:t xml:space="preserve">y impression of the present </w:t>
      </w:r>
      <w:r w:rsidR="00D67913" w:rsidRPr="00FA3743">
        <w:rPr>
          <w:rFonts w:ascii="Times New Roman" w:hAnsi="Times New Roman"/>
          <w:sz w:val="28"/>
          <w:szCs w:val="28"/>
        </w:rPr>
        <w:t xml:space="preserve">application is that </w:t>
      </w:r>
      <w:r w:rsidR="00DD69BE" w:rsidRPr="00FA3743">
        <w:rPr>
          <w:rFonts w:ascii="Times New Roman" w:hAnsi="Times New Roman"/>
          <w:sz w:val="28"/>
          <w:szCs w:val="28"/>
        </w:rPr>
        <w:t xml:space="preserve">it is misguided – the </w:t>
      </w:r>
      <w:r w:rsidR="001F624D" w:rsidRPr="00FA3743">
        <w:rPr>
          <w:rFonts w:ascii="Times New Roman" w:hAnsi="Times New Roman"/>
          <w:sz w:val="28"/>
          <w:szCs w:val="28"/>
        </w:rPr>
        <w:t xml:space="preserve">material placed before me goes beyond what was argued at the conclusion of the trial. </w:t>
      </w:r>
      <w:r w:rsidR="00FD3C30" w:rsidRPr="00FA3743">
        <w:rPr>
          <w:rFonts w:ascii="Times New Roman" w:hAnsi="Times New Roman"/>
          <w:sz w:val="28"/>
          <w:szCs w:val="28"/>
        </w:rPr>
        <w:t>This soaks through the entirety of the notice of application for leave to appeal.</w:t>
      </w:r>
      <w:r w:rsidR="00FD3C30">
        <w:rPr>
          <w:rStyle w:val="FootnoteReference"/>
          <w:rFonts w:ascii="Times New Roman" w:hAnsi="Times New Roman"/>
          <w:sz w:val="28"/>
          <w:szCs w:val="28"/>
        </w:rPr>
        <w:footnoteReference w:id="9"/>
      </w:r>
    </w:p>
    <w:p w:rsidR="00A923C8" w:rsidRPr="00FA3743" w:rsidRDefault="009D4A3E" w:rsidP="009D4A3E">
      <w:pPr>
        <w:pStyle w:val="LegalList1"/>
        <w:spacing w:line="360" w:lineRule="auto"/>
        <w:ind w:left="851" w:hanging="851"/>
        <w:rPr>
          <w:rFonts w:ascii="Times New Roman" w:hAnsi="Times New Roman"/>
          <w:sz w:val="28"/>
          <w:szCs w:val="28"/>
        </w:rPr>
      </w:pPr>
      <w:r w:rsidRPr="00FA3743">
        <w:rPr>
          <w:rFonts w:ascii="Times New Roman" w:hAnsi="Times New Roman"/>
          <w:sz w:val="28"/>
          <w:szCs w:val="28"/>
        </w:rPr>
        <w:t>[20]</w:t>
      </w:r>
      <w:r w:rsidRPr="00FA3743">
        <w:rPr>
          <w:rFonts w:ascii="Times New Roman" w:hAnsi="Times New Roman"/>
          <w:sz w:val="28"/>
          <w:szCs w:val="28"/>
        </w:rPr>
        <w:tab/>
      </w:r>
      <w:r w:rsidR="00B54FE9" w:rsidRPr="00FA3743">
        <w:rPr>
          <w:rFonts w:ascii="Times New Roman" w:hAnsi="Times New Roman"/>
          <w:sz w:val="28"/>
          <w:szCs w:val="28"/>
        </w:rPr>
        <w:t>An application for leave to appeal is not intended to afford a party the opportun</w:t>
      </w:r>
      <w:r w:rsidR="00EB677E" w:rsidRPr="00FA3743">
        <w:rPr>
          <w:rFonts w:ascii="Times New Roman" w:hAnsi="Times New Roman"/>
          <w:sz w:val="28"/>
          <w:szCs w:val="28"/>
        </w:rPr>
        <w:t xml:space="preserve">ity of arguing its case afresh on matter which ought properly </w:t>
      </w:r>
      <w:r w:rsidR="00FA0A7C" w:rsidRPr="00FA3743">
        <w:rPr>
          <w:rFonts w:ascii="Times New Roman" w:hAnsi="Times New Roman"/>
          <w:sz w:val="28"/>
          <w:szCs w:val="28"/>
        </w:rPr>
        <w:t xml:space="preserve">and dutifully </w:t>
      </w:r>
      <w:r w:rsidR="00EB677E" w:rsidRPr="00FA3743">
        <w:rPr>
          <w:rFonts w:ascii="Times New Roman" w:hAnsi="Times New Roman"/>
          <w:sz w:val="28"/>
          <w:szCs w:val="28"/>
        </w:rPr>
        <w:t>to have been placed befo</w:t>
      </w:r>
      <w:r w:rsidR="00CF56DD" w:rsidRPr="00FA3743">
        <w:rPr>
          <w:rFonts w:ascii="Times New Roman" w:hAnsi="Times New Roman"/>
          <w:sz w:val="28"/>
          <w:szCs w:val="28"/>
        </w:rPr>
        <w:t>re the court of first instance.</w:t>
      </w:r>
      <w:r w:rsidR="00FA3743">
        <w:rPr>
          <w:rFonts w:ascii="Times New Roman" w:hAnsi="Times New Roman"/>
          <w:sz w:val="28"/>
          <w:szCs w:val="28"/>
        </w:rPr>
        <w:t xml:space="preserve"> The amount claimed for general damages</w:t>
      </w:r>
      <w:r w:rsidR="00852D8C">
        <w:rPr>
          <w:rFonts w:ascii="Times New Roman" w:hAnsi="Times New Roman"/>
          <w:sz w:val="28"/>
          <w:szCs w:val="28"/>
        </w:rPr>
        <w:t xml:space="preserve"> as reflected in the particulars of claim ought to have been properly substantiated in argument. A court is entitled to accept that practit</w:t>
      </w:r>
      <w:r w:rsidR="002004C4">
        <w:rPr>
          <w:rFonts w:ascii="Times New Roman" w:hAnsi="Times New Roman"/>
          <w:sz w:val="28"/>
          <w:szCs w:val="28"/>
        </w:rPr>
        <w:t>i</w:t>
      </w:r>
      <w:r w:rsidR="00852D8C">
        <w:rPr>
          <w:rFonts w:ascii="Times New Roman" w:hAnsi="Times New Roman"/>
          <w:sz w:val="28"/>
          <w:szCs w:val="28"/>
        </w:rPr>
        <w:t>oners</w:t>
      </w:r>
      <w:r w:rsidR="002004C4">
        <w:rPr>
          <w:rFonts w:ascii="Times New Roman" w:hAnsi="Times New Roman"/>
          <w:sz w:val="28"/>
          <w:szCs w:val="28"/>
        </w:rPr>
        <w:t xml:space="preserve"> are aware or ought to be</w:t>
      </w:r>
      <w:r w:rsidR="004F115E">
        <w:rPr>
          <w:rFonts w:ascii="Times New Roman" w:hAnsi="Times New Roman"/>
          <w:sz w:val="28"/>
          <w:szCs w:val="28"/>
        </w:rPr>
        <w:t>,</w:t>
      </w:r>
      <w:r w:rsidR="002004C4">
        <w:rPr>
          <w:rFonts w:ascii="Times New Roman" w:hAnsi="Times New Roman"/>
          <w:sz w:val="28"/>
          <w:szCs w:val="28"/>
        </w:rPr>
        <w:t xml:space="preserve"> of what can reasonably be claimed with due regard to</w:t>
      </w:r>
      <w:r w:rsidR="004F115E">
        <w:rPr>
          <w:rFonts w:ascii="Times New Roman" w:hAnsi="Times New Roman"/>
          <w:sz w:val="28"/>
          <w:szCs w:val="28"/>
        </w:rPr>
        <w:t xml:space="preserve"> the facts and circumstances of </w:t>
      </w:r>
      <w:r w:rsidR="004F115E">
        <w:rPr>
          <w:rFonts w:ascii="Times New Roman" w:hAnsi="Times New Roman"/>
          <w:sz w:val="28"/>
          <w:szCs w:val="28"/>
        </w:rPr>
        <w:lastRenderedPageBreak/>
        <w:t>a particular case</w:t>
      </w:r>
      <w:r w:rsidR="004F115E">
        <w:rPr>
          <w:rStyle w:val="FootnoteReference"/>
          <w:rFonts w:ascii="Times New Roman" w:hAnsi="Times New Roman"/>
          <w:sz w:val="28"/>
          <w:szCs w:val="28"/>
        </w:rPr>
        <w:footnoteReference w:id="10"/>
      </w:r>
      <w:r w:rsidR="00D1254C">
        <w:rPr>
          <w:rFonts w:ascii="Times New Roman" w:hAnsi="Times New Roman"/>
          <w:sz w:val="28"/>
          <w:szCs w:val="28"/>
        </w:rPr>
        <w:t xml:space="preserve"> and that they are equipped with the necessary resource material</w:t>
      </w:r>
      <w:r w:rsidR="004704CD">
        <w:rPr>
          <w:rFonts w:ascii="Times New Roman" w:hAnsi="Times New Roman"/>
          <w:sz w:val="28"/>
          <w:szCs w:val="28"/>
        </w:rPr>
        <w:t xml:space="preserve"> to justify what is claimed.</w:t>
      </w:r>
    </w:p>
    <w:p w:rsidR="005077B1" w:rsidRDefault="009D4A3E" w:rsidP="009D4A3E">
      <w:pPr>
        <w:pStyle w:val="LegalList1"/>
        <w:spacing w:line="360" w:lineRule="auto"/>
        <w:ind w:left="851" w:hanging="851"/>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r>
      <w:r w:rsidR="00E43995">
        <w:rPr>
          <w:rFonts w:ascii="Times New Roman" w:hAnsi="Times New Roman"/>
          <w:sz w:val="28"/>
          <w:szCs w:val="28"/>
        </w:rPr>
        <w:t xml:space="preserve">The reasoning in my judgment for having assessed </w:t>
      </w:r>
      <w:r w:rsidR="00E74BB2">
        <w:rPr>
          <w:rFonts w:ascii="Times New Roman" w:hAnsi="Times New Roman"/>
          <w:sz w:val="28"/>
          <w:szCs w:val="28"/>
        </w:rPr>
        <w:t>R160 000 (inflation adjusted)</w:t>
      </w:r>
      <w:r w:rsidR="00E43995">
        <w:rPr>
          <w:rFonts w:ascii="Times New Roman" w:hAnsi="Times New Roman"/>
          <w:sz w:val="28"/>
          <w:szCs w:val="28"/>
        </w:rPr>
        <w:t xml:space="preserve"> is detailed. The </w:t>
      </w:r>
      <w:r w:rsidR="00641490">
        <w:rPr>
          <w:rFonts w:ascii="Times New Roman" w:hAnsi="Times New Roman"/>
          <w:sz w:val="28"/>
          <w:szCs w:val="28"/>
        </w:rPr>
        <w:t xml:space="preserve">reach of the </w:t>
      </w:r>
      <w:r w:rsidR="00E43995">
        <w:rPr>
          <w:rFonts w:ascii="Times New Roman" w:hAnsi="Times New Roman"/>
          <w:sz w:val="28"/>
          <w:szCs w:val="28"/>
        </w:rPr>
        <w:t xml:space="preserve">amount exceeds the updated range in all the cases to which I have had regard with the </w:t>
      </w:r>
      <w:r w:rsidR="00682014">
        <w:rPr>
          <w:rFonts w:ascii="Times New Roman" w:hAnsi="Times New Roman"/>
          <w:sz w:val="28"/>
          <w:szCs w:val="28"/>
        </w:rPr>
        <w:t xml:space="preserve">much </w:t>
      </w:r>
      <w:r w:rsidR="00456270">
        <w:rPr>
          <w:rFonts w:ascii="Times New Roman" w:hAnsi="Times New Roman"/>
          <w:sz w:val="28"/>
          <w:szCs w:val="28"/>
        </w:rPr>
        <w:t xml:space="preserve">appreciated </w:t>
      </w:r>
      <w:r w:rsidR="00E43995">
        <w:rPr>
          <w:rFonts w:ascii="Times New Roman" w:hAnsi="Times New Roman"/>
          <w:sz w:val="28"/>
          <w:szCs w:val="28"/>
        </w:rPr>
        <w:t xml:space="preserve">assistance </w:t>
      </w:r>
      <w:r w:rsidR="00AA2130">
        <w:rPr>
          <w:rFonts w:ascii="Times New Roman" w:hAnsi="Times New Roman"/>
          <w:sz w:val="28"/>
          <w:szCs w:val="28"/>
        </w:rPr>
        <w:t xml:space="preserve">of defendant’s counsel. It is not suggested that I was wrong in </w:t>
      </w:r>
      <w:r w:rsidR="00F9396C">
        <w:rPr>
          <w:rFonts w:ascii="Times New Roman" w:hAnsi="Times New Roman"/>
          <w:sz w:val="28"/>
          <w:szCs w:val="28"/>
        </w:rPr>
        <w:t xml:space="preserve">my approach. Nor </w:t>
      </w:r>
      <w:r w:rsidR="00E32920">
        <w:rPr>
          <w:rFonts w:ascii="Times New Roman" w:hAnsi="Times New Roman"/>
          <w:sz w:val="28"/>
          <w:szCs w:val="28"/>
        </w:rPr>
        <w:t>is plaintiff able to point to any respect in which the evidence was in tension with or failed to support</w:t>
      </w:r>
      <w:r w:rsidR="00641490">
        <w:rPr>
          <w:rFonts w:ascii="Times New Roman" w:hAnsi="Times New Roman"/>
          <w:sz w:val="28"/>
          <w:szCs w:val="28"/>
        </w:rPr>
        <w:t xml:space="preserve"> the reach ultimately assessed. </w:t>
      </w:r>
      <w:r w:rsidR="00F9396C">
        <w:rPr>
          <w:rFonts w:ascii="Times New Roman" w:hAnsi="Times New Roman"/>
          <w:sz w:val="28"/>
          <w:szCs w:val="28"/>
        </w:rPr>
        <w:t xml:space="preserve">What is argued is that </w:t>
      </w:r>
      <w:r w:rsidR="00FA0A7C">
        <w:rPr>
          <w:rFonts w:ascii="Times New Roman" w:hAnsi="Times New Roman"/>
          <w:sz w:val="28"/>
          <w:szCs w:val="28"/>
        </w:rPr>
        <w:t>I</w:t>
      </w:r>
      <w:r w:rsidR="007140C0">
        <w:rPr>
          <w:rFonts w:ascii="Times New Roman" w:hAnsi="Times New Roman"/>
          <w:sz w:val="28"/>
          <w:szCs w:val="28"/>
        </w:rPr>
        <w:t xml:space="preserve"> neglected features</w:t>
      </w:r>
      <w:r w:rsidR="000766FE">
        <w:rPr>
          <w:rFonts w:ascii="Times New Roman" w:hAnsi="Times New Roman"/>
          <w:sz w:val="28"/>
          <w:szCs w:val="28"/>
        </w:rPr>
        <w:t xml:space="preserve"> of the evidence and</w:t>
      </w:r>
      <w:r w:rsidR="00FA0A7C">
        <w:rPr>
          <w:rFonts w:ascii="Times New Roman" w:hAnsi="Times New Roman"/>
          <w:sz w:val="28"/>
          <w:szCs w:val="28"/>
        </w:rPr>
        <w:t xml:space="preserve"> </w:t>
      </w:r>
      <w:r w:rsidR="00F61644">
        <w:rPr>
          <w:rFonts w:ascii="Times New Roman" w:hAnsi="Times New Roman"/>
          <w:sz w:val="28"/>
          <w:szCs w:val="28"/>
        </w:rPr>
        <w:t xml:space="preserve">critically underestimated plaintiff’s damages and </w:t>
      </w:r>
      <w:r w:rsidR="00F9396C">
        <w:rPr>
          <w:rFonts w:ascii="Times New Roman" w:hAnsi="Times New Roman"/>
          <w:sz w:val="28"/>
          <w:szCs w:val="28"/>
        </w:rPr>
        <w:t xml:space="preserve">was wrong in failing to have regard to the material </w:t>
      </w:r>
      <w:r w:rsidR="00456270">
        <w:rPr>
          <w:rFonts w:ascii="Times New Roman" w:hAnsi="Times New Roman"/>
          <w:sz w:val="28"/>
          <w:szCs w:val="28"/>
        </w:rPr>
        <w:t xml:space="preserve">that is </w:t>
      </w:r>
      <w:r w:rsidR="00F9396C">
        <w:rPr>
          <w:rFonts w:ascii="Times New Roman" w:hAnsi="Times New Roman"/>
          <w:sz w:val="28"/>
          <w:szCs w:val="28"/>
        </w:rPr>
        <w:t>now place</w:t>
      </w:r>
      <w:r w:rsidR="00456270">
        <w:rPr>
          <w:rFonts w:ascii="Times New Roman" w:hAnsi="Times New Roman"/>
          <w:sz w:val="28"/>
          <w:szCs w:val="28"/>
        </w:rPr>
        <w:t>d</w:t>
      </w:r>
      <w:r w:rsidR="00F9396C">
        <w:rPr>
          <w:rFonts w:ascii="Times New Roman" w:hAnsi="Times New Roman"/>
          <w:sz w:val="28"/>
          <w:szCs w:val="28"/>
        </w:rPr>
        <w:t xml:space="preserve"> before me</w:t>
      </w:r>
      <w:r w:rsidR="00DD69BE">
        <w:rPr>
          <w:rFonts w:ascii="Times New Roman" w:hAnsi="Times New Roman"/>
          <w:sz w:val="28"/>
          <w:szCs w:val="28"/>
        </w:rPr>
        <w:t>.</w:t>
      </w:r>
    </w:p>
    <w:p w:rsidR="00543A3F" w:rsidRDefault="009D4A3E" w:rsidP="009D4A3E">
      <w:pPr>
        <w:pStyle w:val="LegalList1"/>
        <w:spacing w:line="360" w:lineRule="auto"/>
        <w:ind w:left="851" w:hanging="851"/>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r>
      <w:r w:rsidR="009F2D7E">
        <w:rPr>
          <w:rFonts w:ascii="Times New Roman" w:hAnsi="Times New Roman"/>
          <w:sz w:val="28"/>
          <w:szCs w:val="28"/>
        </w:rPr>
        <w:t>C</w:t>
      </w:r>
      <w:r w:rsidR="002F5301">
        <w:rPr>
          <w:rFonts w:ascii="Times New Roman" w:hAnsi="Times New Roman"/>
          <w:sz w:val="28"/>
          <w:szCs w:val="28"/>
        </w:rPr>
        <w:t xml:space="preserve">ase law distinguishes between satisfaction for </w:t>
      </w:r>
      <w:r w:rsidR="002F5301" w:rsidRPr="00E05A8A">
        <w:rPr>
          <w:rFonts w:ascii="Times New Roman" w:hAnsi="Times New Roman"/>
          <w:i/>
          <w:sz w:val="28"/>
          <w:szCs w:val="28"/>
        </w:rPr>
        <w:t>contumelia</w:t>
      </w:r>
      <w:r w:rsidR="002F5301">
        <w:rPr>
          <w:rFonts w:ascii="Times New Roman" w:hAnsi="Times New Roman"/>
          <w:sz w:val="28"/>
          <w:szCs w:val="28"/>
        </w:rPr>
        <w:t xml:space="preserve"> and compensation for physical pain and suffering</w:t>
      </w:r>
      <w:r w:rsidR="009F2D7E">
        <w:rPr>
          <w:rFonts w:ascii="Times New Roman" w:hAnsi="Times New Roman"/>
          <w:sz w:val="28"/>
          <w:szCs w:val="28"/>
        </w:rPr>
        <w:t xml:space="preserve"> but sometimes </w:t>
      </w:r>
      <w:r w:rsidR="00485D73">
        <w:rPr>
          <w:rFonts w:ascii="Times New Roman" w:hAnsi="Times New Roman"/>
          <w:sz w:val="28"/>
          <w:szCs w:val="28"/>
        </w:rPr>
        <w:t xml:space="preserve">courts </w:t>
      </w:r>
      <w:r w:rsidR="009F2D7E">
        <w:rPr>
          <w:rFonts w:ascii="Times New Roman" w:hAnsi="Times New Roman"/>
          <w:sz w:val="28"/>
          <w:szCs w:val="28"/>
        </w:rPr>
        <w:t>prefer making a single globular award</w:t>
      </w:r>
      <w:r w:rsidR="00254F7C">
        <w:rPr>
          <w:rFonts w:ascii="Times New Roman" w:hAnsi="Times New Roman"/>
          <w:sz w:val="28"/>
          <w:szCs w:val="28"/>
        </w:rPr>
        <w:t xml:space="preserve"> in which </w:t>
      </w:r>
      <w:r w:rsidR="00254F7C" w:rsidRPr="0036254F">
        <w:rPr>
          <w:rFonts w:ascii="Times New Roman" w:hAnsi="Times New Roman"/>
          <w:i/>
          <w:sz w:val="28"/>
          <w:szCs w:val="28"/>
        </w:rPr>
        <w:t>contumelia</w:t>
      </w:r>
      <w:r w:rsidR="00254F7C">
        <w:rPr>
          <w:rFonts w:ascii="Times New Roman" w:hAnsi="Times New Roman"/>
          <w:sz w:val="28"/>
          <w:szCs w:val="28"/>
        </w:rPr>
        <w:t xml:space="preserve"> is factored as a component of general damages</w:t>
      </w:r>
      <w:r w:rsidR="00923C2F">
        <w:rPr>
          <w:rFonts w:ascii="Times New Roman" w:hAnsi="Times New Roman"/>
          <w:sz w:val="28"/>
          <w:szCs w:val="28"/>
        </w:rPr>
        <w:t xml:space="preserve">. My approach was </w:t>
      </w:r>
      <w:r w:rsidR="00456270">
        <w:rPr>
          <w:rFonts w:ascii="Times New Roman" w:hAnsi="Times New Roman"/>
          <w:sz w:val="28"/>
          <w:szCs w:val="28"/>
        </w:rPr>
        <w:t>guided by considering that</w:t>
      </w:r>
      <w:r w:rsidR="00784042">
        <w:rPr>
          <w:rFonts w:ascii="Times New Roman" w:hAnsi="Times New Roman"/>
          <w:sz w:val="28"/>
          <w:szCs w:val="28"/>
        </w:rPr>
        <w:t xml:space="preserve"> the plaintiff’s damages are the consequence of the same wrongful act.</w:t>
      </w:r>
      <w:r w:rsidR="0036254F">
        <w:rPr>
          <w:rStyle w:val="FootnoteReference"/>
          <w:rFonts w:ascii="Times New Roman" w:hAnsi="Times New Roman"/>
          <w:sz w:val="28"/>
          <w:szCs w:val="28"/>
        </w:rPr>
        <w:footnoteReference w:id="11"/>
      </w:r>
      <w:r w:rsidR="00784042">
        <w:rPr>
          <w:rFonts w:ascii="Times New Roman" w:hAnsi="Times New Roman"/>
          <w:sz w:val="28"/>
          <w:szCs w:val="28"/>
        </w:rPr>
        <w:t xml:space="preserve"> I considered it pragmatic</w:t>
      </w:r>
      <w:r w:rsidR="00C216E1">
        <w:rPr>
          <w:rFonts w:ascii="Times New Roman" w:hAnsi="Times New Roman"/>
          <w:sz w:val="28"/>
          <w:szCs w:val="28"/>
        </w:rPr>
        <w:t xml:space="preserve"> to adopt a holistic process in terms of which a single award </w:t>
      </w:r>
      <w:r w:rsidR="00E05A8A">
        <w:rPr>
          <w:rFonts w:ascii="Times New Roman" w:hAnsi="Times New Roman"/>
          <w:sz w:val="28"/>
          <w:szCs w:val="28"/>
        </w:rPr>
        <w:t>for</w:t>
      </w:r>
      <w:r w:rsidR="00C216E1">
        <w:rPr>
          <w:rFonts w:ascii="Times New Roman" w:hAnsi="Times New Roman"/>
          <w:sz w:val="28"/>
          <w:szCs w:val="28"/>
        </w:rPr>
        <w:t xml:space="preserve"> damages is made</w:t>
      </w:r>
      <w:r w:rsidR="00B84DBD">
        <w:rPr>
          <w:rFonts w:ascii="Times New Roman" w:hAnsi="Times New Roman"/>
          <w:sz w:val="28"/>
          <w:szCs w:val="28"/>
        </w:rPr>
        <w:t xml:space="preserve"> to avoid overcompensation</w:t>
      </w:r>
      <w:r w:rsidR="00C216E1">
        <w:rPr>
          <w:rFonts w:ascii="Times New Roman" w:hAnsi="Times New Roman"/>
          <w:sz w:val="28"/>
          <w:szCs w:val="28"/>
        </w:rPr>
        <w:t>. The reach of my assessment went beyond the updated inflation adjusted range of the cases to which I had regard</w:t>
      </w:r>
      <w:r w:rsidR="00485D73">
        <w:rPr>
          <w:rFonts w:ascii="Times New Roman" w:hAnsi="Times New Roman"/>
          <w:sz w:val="28"/>
          <w:szCs w:val="28"/>
        </w:rPr>
        <w:t xml:space="preserve">.  In my view this </w:t>
      </w:r>
      <w:r w:rsidR="00436558">
        <w:rPr>
          <w:rFonts w:ascii="Times New Roman" w:hAnsi="Times New Roman"/>
          <w:sz w:val="28"/>
          <w:szCs w:val="28"/>
        </w:rPr>
        <w:t>gave</w:t>
      </w:r>
      <w:r w:rsidR="00485D73">
        <w:rPr>
          <w:rFonts w:ascii="Times New Roman" w:hAnsi="Times New Roman"/>
          <w:sz w:val="28"/>
          <w:szCs w:val="28"/>
        </w:rPr>
        <w:t xml:space="preserve"> adequate recognition to the </w:t>
      </w:r>
      <w:r w:rsidR="00485D73" w:rsidRPr="00485D73">
        <w:rPr>
          <w:rFonts w:ascii="Times New Roman" w:hAnsi="Times New Roman"/>
          <w:i/>
          <w:sz w:val="28"/>
          <w:szCs w:val="28"/>
        </w:rPr>
        <w:t>contumelia</w:t>
      </w:r>
      <w:r w:rsidR="00485D73">
        <w:rPr>
          <w:rFonts w:ascii="Times New Roman" w:hAnsi="Times New Roman"/>
          <w:sz w:val="28"/>
          <w:szCs w:val="28"/>
        </w:rPr>
        <w:t xml:space="preserve"> component.</w:t>
      </w:r>
    </w:p>
    <w:p w:rsidR="00107BBA" w:rsidRPr="00493ED3" w:rsidRDefault="009D4A3E" w:rsidP="009D4A3E">
      <w:pPr>
        <w:pStyle w:val="LegalList1"/>
        <w:spacing w:line="360" w:lineRule="auto"/>
        <w:ind w:left="851" w:hanging="851"/>
        <w:rPr>
          <w:rFonts w:ascii="Times New Roman" w:hAnsi="Times New Roman"/>
          <w:sz w:val="28"/>
          <w:szCs w:val="28"/>
        </w:rPr>
      </w:pPr>
      <w:r w:rsidRPr="00493ED3">
        <w:rPr>
          <w:rFonts w:ascii="Times New Roman" w:hAnsi="Times New Roman"/>
          <w:sz w:val="28"/>
          <w:szCs w:val="28"/>
        </w:rPr>
        <w:t>[23]</w:t>
      </w:r>
      <w:r w:rsidRPr="00493ED3">
        <w:rPr>
          <w:rFonts w:ascii="Times New Roman" w:hAnsi="Times New Roman"/>
          <w:sz w:val="28"/>
          <w:szCs w:val="28"/>
        </w:rPr>
        <w:tab/>
      </w:r>
      <w:r w:rsidR="00107BBA" w:rsidRPr="00493ED3">
        <w:rPr>
          <w:rFonts w:ascii="Times New Roman" w:hAnsi="Times New Roman"/>
          <w:sz w:val="28"/>
          <w:szCs w:val="28"/>
        </w:rPr>
        <w:t xml:space="preserve">Earlier in this judgment I dealt in some length with the test </w:t>
      </w:r>
      <w:r w:rsidR="0020593E">
        <w:rPr>
          <w:rFonts w:ascii="Times New Roman" w:hAnsi="Times New Roman"/>
          <w:sz w:val="28"/>
          <w:szCs w:val="28"/>
        </w:rPr>
        <w:t>the plaintiff advocates</w:t>
      </w:r>
      <w:r w:rsidR="0020593E" w:rsidRPr="00493ED3">
        <w:rPr>
          <w:rFonts w:ascii="Times New Roman" w:hAnsi="Times New Roman"/>
          <w:sz w:val="28"/>
          <w:szCs w:val="28"/>
        </w:rPr>
        <w:t xml:space="preserve"> </w:t>
      </w:r>
      <w:r w:rsidR="00107BBA" w:rsidRPr="00493ED3">
        <w:rPr>
          <w:rFonts w:ascii="Times New Roman" w:hAnsi="Times New Roman"/>
          <w:sz w:val="28"/>
          <w:szCs w:val="28"/>
        </w:rPr>
        <w:t xml:space="preserve">for </w:t>
      </w:r>
      <w:r w:rsidR="0020593E">
        <w:rPr>
          <w:rFonts w:ascii="Times New Roman" w:hAnsi="Times New Roman"/>
          <w:sz w:val="28"/>
          <w:szCs w:val="28"/>
        </w:rPr>
        <w:t xml:space="preserve">seeking </w:t>
      </w:r>
      <w:r w:rsidR="00107BBA" w:rsidRPr="00493ED3">
        <w:rPr>
          <w:rFonts w:ascii="Times New Roman" w:hAnsi="Times New Roman"/>
          <w:sz w:val="28"/>
          <w:szCs w:val="28"/>
        </w:rPr>
        <w:t>leave to appeal</w:t>
      </w:r>
      <w:r w:rsidR="0020593E">
        <w:rPr>
          <w:rFonts w:ascii="Times New Roman" w:hAnsi="Times New Roman"/>
          <w:sz w:val="28"/>
          <w:szCs w:val="28"/>
        </w:rPr>
        <w:t xml:space="preserve">. </w:t>
      </w:r>
      <w:r w:rsidR="00107BBA" w:rsidRPr="00493ED3">
        <w:rPr>
          <w:rFonts w:ascii="Times New Roman" w:hAnsi="Times New Roman"/>
          <w:sz w:val="28"/>
          <w:szCs w:val="28"/>
        </w:rPr>
        <w:t xml:space="preserve">To repeat, leave to appeal may only be granted where the court concerned is of the opinion that the appeal would have a reasonable prospect of success. While I remain unpersuaded </w:t>
      </w:r>
      <w:r w:rsidR="00107BBA" w:rsidRPr="00493ED3">
        <w:rPr>
          <w:rFonts w:ascii="Times New Roman" w:hAnsi="Times New Roman"/>
          <w:sz w:val="28"/>
          <w:szCs w:val="28"/>
        </w:rPr>
        <w:lastRenderedPageBreak/>
        <w:t xml:space="preserve">that there are prospects of success, I take cognisance of </w:t>
      </w:r>
      <w:r w:rsidR="002E1D73">
        <w:rPr>
          <w:rFonts w:ascii="Times New Roman" w:hAnsi="Times New Roman"/>
          <w:sz w:val="28"/>
          <w:szCs w:val="28"/>
        </w:rPr>
        <w:t xml:space="preserve">the pronouncement by the </w:t>
      </w:r>
      <w:r w:rsidR="002E1D73" w:rsidRPr="00493ED3">
        <w:rPr>
          <w:rFonts w:ascii="Times New Roman" w:hAnsi="Times New Roman"/>
          <w:sz w:val="28"/>
          <w:szCs w:val="28"/>
        </w:rPr>
        <w:t>Supreme Court of Appeal</w:t>
      </w:r>
      <w:r w:rsidR="002E1D73" w:rsidRPr="00493ED3">
        <w:rPr>
          <w:rFonts w:ascii="Times New Roman" w:hAnsi="Times New Roman"/>
          <w:i/>
          <w:sz w:val="28"/>
          <w:szCs w:val="28"/>
        </w:rPr>
        <w:t xml:space="preserve"> </w:t>
      </w:r>
      <w:r w:rsidR="002E1D73" w:rsidRPr="002E1D73">
        <w:rPr>
          <w:rFonts w:ascii="Times New Roman" w:hAnsi="Times New Roman"/>
          <w:sz w:val="28"/>
          <w:szCs w:val="28"/>
        </w:rPr>
        <w:t xml:space="preserve">in </w:t>
      </w:r>
      <w:r w:rsidR="00107BBA" w:rsidRPr="00493ED3">
        <w:rPr>
          <w:rFonts w:ascii="Times New Roman" w:hAnsi="Times New Roman"/>
          <w:i/>
          <w:sz w:val="28"/>
          <w:szCs w:val="28"/>
        </w:rPr>
        <w:t xml:space="preserve">Caratco </w:t>
      </w:r>
      <w:r w:rsidR="00107BBA" w:rsidRPr="00493ED3">
        <w:rPr>
          <w:rFonts w:ascii="Times New Roman" w:hAnsi="Times New Roman"/>
          <w:i/>
          <w:iCs/>
          <w:sz w:val="28"/>
          <w:szCs w:val="28"/>
          <w:lang w:val="en-ZA"/>
        </w:rPr>
        <w:t>(Pty) Ltd v Independent Advisory (Pty) Ltd</w:t>
      </w:r>
      <w:r w:rsidR="00107BBA" w:rsidRPr="00AA5336">
        <w:rPr>
          <w:rStyle w:val="FootnoteReference"/>
          <w:rFonts w:ascii="Times New Roman" w:hAnsi="Times New Roman"/>
          <w:sz w:val="28"/>
          <w:szCs w:val="28"/>
        </w:rPr>
        <w:footnoteReference w:id="12"/>
      </w:r>
      <w:r w:rsidR="002E1D73">
        <w:rPr>
          <w:rFonts w:ascii="Times New Roman" w:hAnsi="Times New Roman"/>
          <w:sz w:val="28"/>
          <w:szCs w:val="28"/>
        </w:rPr>
        <w:t xml:space="preserve"> where it is indicated </w:t>
      </w:r>
      <w:r w:rsidR="00107BBA" w:rsidRPr="00493ED3">
        <w:rPr>
          <w:rFonts w:ascii="Times New Roman" w:hAnsi="Times New Roman"/>
          <w:sz w:val="28"/>
          <w:szCs w:val="28"/>
        </w:rPr>
        <w:t xml:space="preserve">that if </w:t>
      </w:r>
      <w:r w:rsidR="00107BBA">
        <w:rPr>
          <w:rFonts w:ascii="Times New Roman" w:hAnsi="Times New Roman"/>
          <w:sz w:val="28"/>
          <w:szCs w:val="28"/>
        </w:rPr>
        <w:t xml:space="preserve">a </w:t>
      </w:r>
      <w:r w:rsidR="00107BBA" w:rsidRPr="00493ED3">
        <w:rPr>
          <w:rFonts w:ascii="Times New Roman" w:hAnsi="Times New Roman"/>
          <w:sz w:val="28"/>
          <w:szCs w:val="28"/>
        </w:rPr>
        <w:t>court is unpersuaded that there are prospects of success, it must still enquire into whether as to the provisions of s</w:t>
      </w:r>
      <w:r w:rsidR="001D00E2">
        <w:rPr>
          <w:rFonts w:ascii="Times New Roman" w:hAnsi="Times New Roman"/>
          <w:sz w:val="28"/>
          <w:szCs w:val="28"/>
        </w:rPr>
        <w:t xml:space="preserve">ection </w:t>
      </w:r>
      <w:r w:rsidR="00107BBA" w:rsidRPr="00493ED3">
        <w:rPr>
          <w:rFonts w:ascii="Times New Roman" w:hAnsi="Times New Roman"/>
          <w:sz w:val="28"/>
          <w:szCs w:val="28"/>
        </w:rPr>
        <w:t>17(1)</w:t>
      </w:r>
      <w:r w:rsidR="00107BBA" w:rsidRPr="00493ED3">
        <w:rPr>
          <w:rFonts w:ascii="Times New Roman" w:hAnsi="Times New Roman"/>
          <w:i/>
          <w:iCs/>
          <w:sz w:val="28"/>
          <w:szCs w:val="28"/>
        </w:rPr>
        <w:t>(a)</w:t>
      </w:r>
      <w:r w:rsidR="00107BBA" w:rsidRPr="00493ED3">
        <w:rPr>
          <w:rFonts w:ascii="Times New Roman" w:hAnsi="Times New Roman"/>
          <w:sz w:val="28"/>
          <w:szCs w:val="28"/>
        </w:rPr>
        <w:t>(ii) of the Act there is a compelling reason to entertain the appeal.</w:t>
      </w:r>
      <w:r w:rsidR="00107BBA">
        <w:rPr>
          <w:rFonts w:ascii="Times New Roman" w:hAnsi="Times New Roman"/>
          <w:sz w:val="28"/>
          <w:szCs w:val="28"/>
        </w:rPr>
        <w:t xml:space="preserve"> </w:t>
      </w:r>
      <w:r w:rsidR="00107BBA" w:rsidRPr="00493ED3">
        <w:rPr>
          <w:rFonts w:ascii="Times New Roman" w:hAnsi="Times New Roman"/>
          <w:sz w:val="28"/>
          <w:szCs w:val="28"/>
        </w:rPr>
        <w:t>Compelling reason would include an important question of law or a discrete issue of public importance that will have an effect on future disputes. But here, the merits as well, remain vitally important and are often decisive.</w:t>
      </w:r>
      <w:r w:rsidR="00107BBA" w:rsidRPr="002418C9">
        <w:rPr>
          <w:rStyle w:val="FootnoteReference"/>
          <w:rFonts w:ascii="Times New Roman" w:hAnsi="Times New Roman"/>
          <w:sz w:val="28"/>
          <w:szCs w:val="28"/>
        </w:rPr>
        <w:footnoteReference w:id="13"/>
      </w:r>
    </w:p>
    <w:p w:rsidR="00107BBA" w:rsidRPr="00A61153" w:rsidRDefault="009D4A3E" w:rsidP="009D4A3E">
      <w:pPr>
        <w:pStyle w:val="LegalList1"/>
        <w:spacing w:line="360" w:lineRule="auto"/>
        <w:ind w:left="851" w:hanging="851"/>
        <w:rPr>
          <w:rFonts w:ascii="Times New Roman" w:hAnsi="Times New Roman"/>
          <w:sz w:val="28"/>
          <w:szCs w:val="28"/>
        </w:rPr>
      </w:pPr>
      <w:r w:rsidRPr="00A61153">
        <w:rPr>
          <w:rFonts w:ascii="Times New Roman" w:hAnsi="Times New Roman"/>
          <w:sz w:val="28"/>
          <w:szCs w:val="28"/>
        </w:rPr>
        <w:t>[24]</w:t>
      </w:r>
      <w:r w:rsidRPr="00A61153">
        <w:rPr>
          <w:rFonts w:ascii="Times New Roman" w:hAnsi="Times New Roman"/>
          <w:sz w:val="28"/>
          <w:szCs w:val="28"/>
        </w:rPr>
        <w:tab/>
      </w:r>
      <w:r w:rsidR="00021F32">
        <w:rPr>
          <w:rFonts w:ascii="Times New Roman" w:hAnsi="Times New Roman"/>
          <w:sz w:val="28"/>
          <w:szCs w:val="28"/>
        </w:rPr>
        <w:t xml:space="preserve">Where I deal with the question of costs, and for reasons </w:t>
      </w:r>
      <w:r w:rsidR="00107BBA">
        <w:rPr>
          <w:rFonts w:ascii="Times New Roman" w:hAnsi="Times New Roman"/>
          <w:sz w:val="28"/>
          <w:szCs w:val="28"/>
        </w:rPr>
        <w:t>to follow I consider that there is ‘compelling reason’ to grant leave</w:t>
      </w:r>
      <w:r w:rsidR="001D00E2">
        <w:rPr>
          <w:rFonts w:ascii="Times New Roman" w:hAnsi="Times New Roman"/>
          <w:sz w:val="28"/>
          <w:szCs w:val="28"/>
        </w:rPr>
        <w:t xml:space="preserve">. </w:t>
      </w:r>
      <w:r w:rsidR="00107BBA">
        <w:rPr>
          <w:rFonts w:ascii="Times New Roman" w:hAnsi="Times New Roman"/>
          <w:sz w:val="28"/>
          <w:szCs w:val="28"/>
        </w:rPr>
        <w:t xml:space="preserve">I do so on the basis essentially set out in this judgment – but do not limit such leave exclusively to </w:t>
      </w:r>
      <w:r w:rsidR="001D00E2">
        <w:rPr>
          <w:rFonts w:ascii="Times New Roman" w:hAnsi="Times New Roman"/>
          <w:sz w:val="28"/>
          <w:szCs w:val="28"/>
        </w:rPr>
        <w:t xml:space="preserve">the costs </w:t>
      </w:r>
      <w:r w:rsidR="00107BBA">
        <w:rPr>
          <w:rFonts w:ascii="Times New Roman" w:hAnsi="Times New Roman"/>
          <w:sz w:val="28"/>
          <w:szCs w:val="28"/>
        </w:rPr>
        <w:t>issue as I consider that</w:t>
      </w:r>
      <w:r w:rsidR="00107BBA" w:rsidRPr="00A61153">
        <w:rPr>
          <w:rFonts w:ascii="Times New Roman" w:hAnsi="Times New Roman"/>
          <w:sz w:val="28"/>
          <w:szCs w:val="28"/>
        </w:rPr>
        <w:t xml:space="preserve"> it will be unjust to preclude interference on appeal </w:t>
      </w:r>
      <w:r w:rsidR="00107BBA">
        <w:rPr>
          <w:rFonts w:ascii="Times New Roman" w:hAnsi="Times New Roman"/>
          <w:sz w:val="28"/>
          <w:szCs w:val="28"/>
        </w:rPr>
        <w:t xml:space="preserve">with the award for damages </w:t>
      </w:r>
      <w:r w:rsidR="00107BBA" w:rsidRPr="00A61153">
        <w:rPr>
          <w:rFonts w:ascii="Times New Roman" w:hAnsi="Times New Roman"/>
          <w:sz w:val="28"/>
          <w:szCs w:val="28"/>
        </w:rPr>
        <w:t xml:space="preserve">if it is found that </w:t>
      </w:r>
      <w:r w:rsidR="00107BBA">
        <w:rPr>
          <w:rFonts w:ascii="Times New Roman" w:hAnsi="Times New Roman"/>
          <w:sz w:val="28"/>
          <w:szCs w:val="28"/>
        </w:rPr>
        <w:t xml:space="preserve">my assessment – on the material </w:t>
      </w:r>
      <w:r w:rsidR="003C1D7A">
        <w:rPr>
          <w:rFonts w:ascii="Times New Roman" w:hAnsi="Times New Roman"/>
          <w:sz w:val="28"/>
          <w:szCs w:val="28"/>
        </w:rPr>
        <w:t xml:space="preserve">as </w:t>
      </w:r>
      <w:r w:rsidR="00107BBA">
        <w:rPr>
          <w:rFonts w:ascii="Times New Roman" w:hAnsi="Times New Roman"/>
          <w:sz w:val="28"/>
          <w:szCs w:val="28"/>
        </w:rPr>
        <w:t xml:space="preserve">dealt with in my trial judgment – is </w:t>
      </w:r>
      <w:r w:rsidR="00107BBA" w:rsidRPr="00A61153">
        <w:rPr>
          <w:rFonts w:ascii="Times New Roman" w:hAnsi="Times New Roman"/>
          <w:sz w:val="28"/>
          <w:szCs w:val="28"/>
        </w:rPr>
        <w:t>obviously wrong</w:t>
      </w:r>
      <w:r w:rsidR="00107BBA">
        <w:rPr>
          <w:rFonts w:ascii="Times New Roman" w:hAnsi="Times New Roman"/>
          <w:sz w:val="28"/>
          <w:szCs w:val="28"/>
        </w:rPr>
        <w:t>.</w:t>
      </w:r>
      <w:r w:rsidR="00107BBA" w:rsidRPr="00A61153">
        <w:rPr>
          <w:rFonts w:ascii="Times New Roman" w:hAnsi="Times New Roman"/>
          <w:sz w:val="28"/>
          <w:szCs w:val="28"/>
        </w:rPr>
        <w:t xml:space="preserve"> </w:t>
      </w:r>
    </w:p>
    <w:p w:rsidR="003B565A" w:rsidRPr="00F17DDC" w:rsidRDefault="003B565A" w:rsidP="003B565A">
      <w:pPr>
        <w:pStyle w:val="LegalList1"/>
        <w:spacing w:line="360" w:lineRule="auto"/>
        <w:ind w:left="131" w:firstLine="720"/>
        <w:rPr>
          <w:rFonts w:ascii="Times New Roman" w:hAnsi="Times New Roman"/>
          <w:b/>
          <w:sz w:val="28"/>
          <w:szCs w:val="28"/>
        </w:rPr>
      </w:pPr>
      <w:r w:rsidRPr="00F17DDC">
        <w:rPr>
          <w:rFonts w:ascii="Times New Roman" w:hAnsi="Times New Roman"/>
          <w:b/>
          <w:sz w:val="28"/>
          <w:szCs w:val="28"/>
        </w:rPr>
        <w:t>Costs</w:t>
      </w:r>
    </w:p>
    <w:p w:rsidR="003B565A" w:rsidRDefault="009D4A3E" w:rsidP="009D4A3E">
      <w:pPr>
        <w:pStyle w:val="LegalList1"/>
        <w:spacing w:line="360" w:lineRule="auto"/>
        <w:ind w:left="851" w:hanging="851"/>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r>
      <w:r w:rsidR="003B565A">
        <w:rPr>
          <w:rFonts w:ascii="Times New Roman" w:hAnsi="Times New Roman"/>
          <w:sz w:val="28"/>
          <w:szCs w:val="28"/>
        </w:rPr>
        <w:t xml:space="preserve">In argument I was referred to the judgment of the full court </w:t>
      </w:r>
      <w:r w:rsidR="00B84DBD">
        <w:rPr>
          <w:rFonts w:ascii="Times New Roman" w:hAnsi="Times New Roman"/>
          <w:sz w:val="28"/>
          <w:szCs w:val="28"/>
        </w:rPr>
        <w:t>o</w:t>
      </w:r>
      <w:r w:rsidR="003B565A">
        <w:rPr>
          <w:rFonts w:ascii="Times New Roman" w:hAnsi="Times New Roman"/>
          <w:sz w:val="28"/>
          <w:szCs w:val="28"/>
        </w:rPr>
        <w:t xml:space="preserve">f this division in </w:t>
      </w:r>
      <w:r w:rsidR="003B565A" w:rsidRPr="00C4595F">
        <w:rPr>
          <w:rFonts w:ascii="Times New Roman" w:hAnsi="Times New Roman"/>
          <w:i/>
          <w:sz w:val="28"/>
          <w:szCs w:val="28"/>
        </w:rPr>
        <w:t>Rieger v van der Westhuizen</w:t>
      </w:r>
      <w:r w:rsidR="003B565A">
        <w:rPr>
          <w:rStyle w:val="FootnoteReference"/>
          <w:rFonts w:ascii="Times New Roman" w:hAnsi="Times New Roman"/>
          <w:sz w:val="28"/>
          <w:szCs w:val="28"/>
        </w:rPr>
        <w:footnoteReference w:id="14"/>
      </w:r>
      <w:r w:rsidR="003B565A">
        <w:rPr>
          <w:rFonts w:ascii="Times New Roman" w:hAnsi="Times New Roman"/>
          <w:sz w:val="28"/>
          <w:szCs w:val="28"/>
        </w:rPr>
        <w:t xml:space="preserve">. I concurred in that judgment. The broad injury sustained by the respondent in the course of an assault was that pepper spray had been discharged into his face. </w:t>
      </w:r>
      <w:r w:rsidR="0090602E">
        <w:rPr>
          <w:rFonts w:ascii="Times New Roman" w:hAnsi="Times New Roman"/>
          <w:sz w:val="28"/>
          <w:szCs w:val="28"/>
        </w:rPr>
        <w:t xml:space="preserve">He suffered ocular discomfort and </w:t>
      </w:r>
      <w:r w:rsidR="003B565A">
        <w:rPr>
          <w:rFonts w:ascii="Times New Roman" w:hAnsi="Times New Roman"/>
          <w:sz w:val="28"/>
          <w:szCs w:val="28"/>
        </w:rPr>
        <w:t xml:space="preserve">went a few hours later to the clinic for modest treatment and received an injection for a panic attack. There was no physical contact between the parties to the assault, it was not an instance of gender-based </w:t>
      </w:r>
      <w:r w:rsidR="003B565A">
        <w:rPr>
          <w:rFonts w:ascii="Times New Roman" w:hAnsi="Times New Roman"/>
          <w:sz w:val="28"/>
          <w:szCs w:val="28"/>
        </w:rPr>
        <w:lastRenderedPageBreak/>
        <w:t xml:space="preserve">violence (though racially motivated) and no </w:t>
      </w:r>
      <w:r w:rsidR="003B565A" w:rsidRPr="00C949BF">
        <w:rPr>
          <w:rFonts w:ascii="Times New Roman" w:hAnsi="Times New Roman"/>
          <w:i/>
          <w:sz w:val="28"/>
          <w:szCs w:val="28"/>
        </w:rPr>
        <w:t>sequelae</w:t>
      </w:r>
      <w:r w:rsidR="003B565A">
        <w:rPr>
          <w:rFonts w:ascii="Times New Roman" w:hAnsi="Times New Roman"/>
          <w:sz w:val="28"/>
          <w:szCs w:val="28"/>
        </w:rPr>
        <w:t xml:space="preserve"> followed. At the conclusion of the trial the respondent was awarded a quantum of R60 000, comprising of R50 000 for </w:t>
      </w:r>
      <w:r w:rsidR="003B565A" w:rsidRPr="0026015D">
        <w:rPr>
          <w:rFonts w:ascii="Times New Roman" w:hAnsi="Times New Roman"/>
          <w:i/>
          <w:sz w:val="28"/>
          <w:szCs w:val="28"/>
        </w:rPr>
        <w:t>iniuria</w:t>
      </w:r>
      <w:r w:rsidR="003B565A">
        <w:rPr>
          <w:rFonts w:ascii="Times New Roman" w:hAnsi="Times New Roman"/>
          <w:sz w:val="28"/>
          <w:szCs w:val="28"/>
        </w:rPr>
        <w:t xml:space="preserve"> and R10 000 for assault plus costs on the high court scale. </w:t>
      </w:r>
    </w:p>
    <w:p w:rsidR="003B565A" w:rsidRDefault="009D4A3E" w:rsidP="009D4A3E">
      <w:pPr>
        <w:pStyle w:val="LegalList1"/>
        <w:spacing w:line="360" w:lineRule="auto"/>
        <w:ind w:left="851" w:hanging="851"/>
        <w:rPr>
          <w:rFonts w:ascii="Times New Roman" w:hAnsi="Times New Roman"/>
          <w:sz w:val="28"/>
          <w:szCs w:val="28"/>
        </w:rPr>
      </w:pPr>
      <w:r>
        <w:rPr>
          <w:rFonts w:ascii="Times New Roman" w:hAnsi="Times New Roman"/>
          <w:sz w:val="28"/>
          <w:szCs w:val="28"/>
        </w:rPr>
        <w:t>[26]</w:t>
      </w:r>
      <w:r>
        <w:rPr>
          <w:rFonts w:ascii="Times New Roman" w:hAnsi="Times New Roman"/>
          <w:sz w:val="28"/>
          <w:szCs w:val="28"/>
        </w:rPr>
        <w:tab/>
      </w:r>
      <w:r w:rsidR="003B565A">
        <w:rPr>
          <w:rFonts w:ascii="Times New Roman" w:hAnsi="Times New Roman"/>
          <w:sz w:val="28"/>
          <w:szCs w:val="28"/>
        </w:rPr>
        <w:t>It was submitted further that I erred in failing to take into account that the essence of the plaintiff’s action centred around an incident of gender-based violence, the abuse of human rights and a clear act of collusion between multiple police officers who lied under oath.</w:t>
      </w:r>
    </w:p>
    <w:p w:rsidR="003B565A" w:rsidRDefault="009D4A3E" w:rsidP="009D4A3E">
      <w:pPr>
        <w:pStyle w:val="LegalList1"/>
        <w:spacing w:line="360" w:lineRule="auto"/>
        <w:ind w:left="851" w:hanging="851"/>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ab/>
      </w:r>
      <w:r w:rsidR="003B565A">
        <w:rPr>
          <w:rFonts w:ascii="Times New Roman" w:hAnsi="Times New Roman"/>
          <w:sz w:val="28"/>
          <w:szCs w:val="28"/>
        </w:rPr>
        <w:t xml:space="preserve">Leave to appeal was also motivated </w:t>
      </w:r>
      <w:r w:rsidR="00B84DBD">
        <w:rPr>
          <w:rFonts w:ascii="Times New Roman" w:hAnsi="Times New Roman"/>
          <w:sz w:val="28"/>
          <w:szCs w:val="28"/>
        </w:rPr>
        <w:t xml:space="preserve">by the submission </w:t>
      </w:r>
      <w:r w:rsidR="003B565A">
        <w:rPr>
          <w:rFonts w:ascii="Times New Roman" w:hAnsi="Times New Roman"/>
          <w:sz w:val="28"/>
          <w:szCs w:val="28"/>
        </w:rPr>
        <w:t>that</w:t>
      </w:r>
      <w:r w:rsidR="003B565A">
        <w:rPr>
          <w:rStyle w:val="FootnoteReference"/>
          <w:rFonts w:ascii="Times New Roman" w:hAnsi="Times New Roman"/>
          <w:sz w:val="28"/>
          <w:szCs w:val="28"/>
        </w:rPr>
        <w:footnoteReference w:id="15"/>
      </w:r>
      <w:r w:rsidR="003B565A">
        <w:rPr>
          <w:rFonts w:ascii="Times New Roman" w:hAnsi="Times New Roman"/>
          <w:sz w:val="28"/>
          <w:szCs w:val="28"/>
        </w:rPr>
        <w:t>:</w:t>
      </w:r>
    </w:p>
    <w:p w:rsidR="003B565A" w:rsidRPr="00A069E5" w:rsidRDefault="003B565A" w:rsidP="003B565A">
      <w:pPr>
        <w:pStyle w:val="LegalList1"/>
        <w:spacing w:line="360" w:lineRule="auto"/>
        <w:ind w:left="851"/>
        <w:rPr>
          <w:rFonts w:ascii="Times New Roman" w:hAnsi="Times New Roman"/>
        </w:rPr>
      </w:pPr>
      <w:r w:rsidRPr="00A069E5">
        <w:rPr>
          <w:rFonts w:ascii="Times New Roman" w:hAnsi="Times New Roman"/>
        </w:rPr>
        <w:t>‘</w:t>
      </w:r>
      <w:r>
        <w:rPr>
          <w:rFonts w:ascii="Times New Roman" w:hAnsi="Times New Roman"/>
        </w:rPr>
        <w:t>[O]</w:t>
      </w:r>
      <w:r w:rsidRPr="00A069E5">
        <w:rPr>
          <w:rFonts w:ascii="Times New Roman" w:hAnsi="Times New Roman"/>
        </w:rPr>
        <w:t>ur precedent law requires that there must be some balance between the qualities of judgments otherwise [legal representatives] simply do not know what to advise their clients … [and] … It is not acceptable that a woman, who has endured lifelong chronic serious sequel</w:t>
      </w:r>
      <w:r>
        <w:rPr>
          <w:rFonts w:ascii="Times New Roman" w:hAnsi="Times New Roman"/>
        </w:rPr>
        <w:t>ae</w:t>
      </w:r>
      <w:r w:rsidRPr="00A069E5">
        <w:rPr>
          <w:rFonts w:ascii="Times New Roman" w:hAnsi="Times New Roman"/>
        </w:rPr>
        <w:t xml:space="preserve"> as part of a serious physical assault upon her, could be awarded the same as a man who had one night of ocular discomfort only.’</w:t>
      </w:r>
    </w:p>
    <w:p w:rsidR="003B565A" w:rsidRDefault="009D4A3E" w:rsidP="009D4A3E">
      <w:pPr>
        <w:pStyle w:val="LegalList1"/>
        <w:spacing w:line="360" w:lineRule="auto"/>
        <w:ind w:left="851" w:hanging="851"/>
        <w:rPr>
          <w:rFonts w:ascii="Times New Roman" w:hAnsi="Times New Roman"/>
          <w:sz w:val="28"/>
          <w:szCs w:val="28"/>
        </w:rPr>
      </w:pPr>
      <w:r>
        <w:rPr>
          <w:rFonts w:ascii="Times New Roman" w:hAnsi="Times New Roman"/>
          <w:sz w:val="28"/>
          <w:szCs w:val="28"/>
        </w:rPr>
        <w:t>[28]</w:t>
      </w:r>
      <w:r>
        <w:rPr>
          <w:rFonts w:ascii="Times New Roman" w:hAnsi="Times New Roman"/>
          <w:sz w:val="28"/>
          <w:szCs w:val="28"/>
        </w:rPr>
        <w:tab/>
      </w:r>
      <w:r w:rsidR="003B565A">
        <w:rPr>
          <w:rFonts w:ascii="Times New Roman" w:hAnsi="Times New Roman"/>
          <w:sz w:val="28"/>
          <w:szCs w:val="28"/>
        </w:rPr>
        <w:t xml:space="preserve">Reference was further made to a rule 37 minute concluded between the parties wherein they agreed that it was not appropriate to have the trial of the matter transferred to another court, hence the litigation in the high court was cast in stone and my decision to award costs as I did was inappropriate and should be revisited. In support of the binding nature of a rule 37 minute plaintiff relied on the decision in </w:t>
      </w:r>
      <w:r w:rsidR="003B565A" w:rsidRPr="009B029B">
        <w:rPr>
          <w:rFonts w:ascii="Times New Roman" w:hAnsi="Times New Roman"/>
          <w:i/>
          <w:sz w:val="28"/>
          <w:szCs w:val="28"/>
        </w:rPr>
        <w:t>MEC for Economic Affairs v Kruizenga</w:t>
      </w:r>
      <w:r w:rsidR="003B565A">
        <w:rPr>
          <w:rStyle w:val="FootnoteReference"/>
          <w:rFonts w:ascii="Times New Roman" w:hAnsi="Times New Roman"/>
          <w:sz w:val="28"/>
          <w:szCs w:val="28"/>
        </w:rPr>
        <w:footnoteReference w:id="16"/>
      </w:r>
      <w:r w:rsidR="003B565A">
        <w:rPr>
          <w:rFonts w:ascii="Times New Roman" w:hAnsi="Times New Roman"/>
          <w:sz w:val="28"/>
          <w:szCs w:val="28"/>
        </w:rPr>
        <w:t>.</w:t>
      </w:r>
    </w:p>
    <w:p w:rsidR="003B565A" w:rsidRPr="00D807A2" w:rsidRDefault="009D4A3E" w:rsidP="009D4A3E">
      <w:pPr>
        <w:pStyle w:val="LegalList1"/>
        <w:spacing w:line="360" w:lineRule="auto"/>
        <w:ind w:left="851" w:hanging="851"/>
        <w:rPr>
          <w:rFonts w:ascii="Times New Roman" w:hAnsi="Times New Roman"/>
          <w:sz w:val="28"/>
          <w:szCs w:val="28"/>
        </w:rPr>
      </w:pPr>
      <w:r w:rsidRPr="00D807A2">
        <w:rPr>
          <w:rFonts w:ascii="Times New Roman" w:hAnsi="Times New Roman"/>
          <w:sz w:val="28"/>
          <w:szCs w:val="28"/>
        </w:rPr>
        <w:t>[29]</w:t>
      </w:r>
      <w:r w:rsidRPr="00D807A2">
        <w:rPr>
          <w:rFonts w:ascii="Times New Roman" w:hAnsi="Times New Roman"/>
          <w:sz w:val="28"/>
          <w:szCs w:val="28"/>
        </w:rPr>
        <w:tab/>
      </w:r>
      <w:r w:rsidR="003B565A">
        <w:rPr>
          <w:rFonts w:ascii="Times New Roman" w:hAnsi="Times New Roman"/>
          <w:sz w:val="28"/>
          <w:szCs w:val="28"/>
        </w:rPr>
        <w:t xml:space="preserve">Although I consider the facts in </w:t>
      </w:r>
      <w:r w:rsidR="003B565A" w:rsidRPr="0021279C">
        <w:rPr>
          <w:rFonts w:ascii="Times New Roman" w:hAnsi="Times New Roman"/>
          <w:i/>
          <w:sz w:val="28"/>
          <w:szCs w:val="28"/>
        </w:rPr>
        <w:t>Rieger</w:t>
      </w:r>
      <w:r w:rsidR="003B565A">
        <w:rPr>
          <w:rFonts w:ascii="Times New Roman" w:hAnsi="Times New Roman"/>
          <w:sz w:val="28"/>
          <w:szCs w:val="28"/>
        </w:rPr>
        <w:t xml:space="preserve"> to be distinguishable from the plaintiff’s case, its reference, I presume, was intended to demonstrate that I departed from applying a decision to which I am bound. Put otherwise, </w:t>
      </w:r>
      <w:r w:rsidR="003B565A">
        <w:rPr>
          <w:rFonts w:ascii="Times New Roman" w:hAnsi="Times New Roman"/>
          <w:sz w:val="28"/>
          <w:szCs w:val="28"/>
        </w:rPr>
        <w:lastRenderedPageBreak/>
        <w:t xml:space="preserve">where quantum </w:t>
      </w:r>
      <w:r w:rsidR="003B565A" w:rsidRPr="00077C7A">
        <w:rPr>
          <w:rFonts w:ascii="Times New Roman" w:hAnsi="Times New Roman"/>
          <w:sz w:val="28"/>
          <w:szCs w:val="28"/>
        </w:rPr>
        <w:t>falls below the jurisdictional ceiling of the magistrates’ courts</w:t>
      </w:r>
      <w:r w:rsidR="003B565A">
        <w:rPr>
          <w:rFonts w:ascii="Times New Roman" w:hAnsi="Times New Roman"/>
          <w:sz w:val="28"/>
          <w:szCs w:val="28"/>
        </w:rPr>
        <w:t xml:space="preserve">, I ought to have awarded costs on the high court scale. In heads of argument plaintiff </w:t>
      </w:r>
      <w:r w:rsidR="003B565A" w:rsidRPr="00D807A2">
        <w:rPr>
          <w:rFonts w:ascii="Times New Roman" w:hAnsi="Times New Roman"/>
          <w:sz w:val="28"/>
          <w:szCs w:val="28"/>
        </w:rPr>
        <w:t>makes reference to a plethora of awards in arrest and detention cases where damages substantially less than R100 000 attracted high court costs. I recognise that courts have granted costs on the high court scale despite low awards in the cases to which reference has been made. The analogy, though intriguing, loses sight of the established principle that applies when costs are awarded (see below).</w:t>
      </w:r>
    </w:p>
    <w:p w:rsidR="003B565A" w:rsidRDefault="009D4A3E" w:rsidP="009D4A3E">
      <w:pPr>
        <w:pStyle w:val="LegalList1"/>
        <w:spacing w:line="360" w:lineRule="auto"/>
        <w:ind w:left="851" w:hanging="851"/>
        <w:rPr>
          <w:rFonts w:ascii="Times New Roman" w:hAnsi="Times New Roman"/>
          <w:sz w:val="28"/>
          <w:szCs w:val="28"/>
        </w:rPr>
      </w:pPr>
      <w:r>
        <w:rPr>
          <w:rFonts w:ascii="Times New Roman" w:hAnsi="Times New Roman"/>
          <w:sz w:val="28"/>
          <w:szCs w:val="28"/>
        </w:rPr>
        <w:t>[30]</w:t>
      </w:r>
      <w:r>
        <w:rPr>
          <w:rFonts w:ascii="Times New Roman" w:hAnsi="Times New Roman"/>
          <w:sz w:val="28"/>
          <w:szCs w:val="28"/>
        </w:rPr>
        <w:tab/>
      </w:r>
      <w:r w:rsidR="003B565A" w:rsidRPr="00D807A2">
        <w:rPr>
          <w:rFonts w:ascii="Times New Roman" w:hAnsi="Times New Roman"/>
          <w:i/>
          <w:sz w:val="28"/>
          <w:szCs w:val="28"/>
        </w:rPr>
        <w:t>Kruizenga,</w:t>
      </w:r>
      <w:r w:rsidR="003B565A" w:rsidRPr="00D807A2">
        <w:rPr>
          <w:rFonts w:ascii="Times New Roman" w:hAnsi="Times New Roman"/>
          <w:sz w:val="28"/>
          <w:szCs w:val="28"/>
        </w:rPr>
        <w:t xml:space="preserve"> on the </w:t>
      </w:r>
      <w:r w:rsidR="003B565A">
        <w:rPr>
          <w:rFonts w:ascii="Times New Roman" w:hAnsi="Times New Roman"/>
          <w:sz w:val="28"/>
          <w:szCs w:val="28"/>
        </w:rPr>
        <w:t>other hand, was referred in support of the argument substantiating the binding nature of a rule 37 minute. As I understood the argument, it was impermissible for me to have gone beyond the consensus between the parties by having made a costs order suited to a forum in which they chose not to litigate or to transfer the matter.</w:t>
      </w:r>
    </w:p>
    <w:p w:rsidR="003B565A" w:rsidRDefault="009D4A3E" w:rsidP="009D4A3E">
      <w:pPr>
        <w:pStyle w:val="LegalList1"/>
        <w:spacing w:line="360" w:lineRule="auto"/>
        <w:ind w:left="851" w:hanging="851"/>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r>
      <w:r w:rsidR="003B565A">
        <w:rPr>
          <w:rFonts w:ascii="Times New Roman" w:hAnsi="Times New Roman"/>
          <w:sz w:val="28"/>
          <w:szCs w:val="28"/>
        </w:rPr>
        <w:t xml:space="preserve">These arguments, if indeed they were intended to achieve the purpose as I understood them, lose sight of the fact that a costs award reflects the exercising of a true discretion. That has and remains the position in our law. It is immutable – no hard and fast rules can be laid down to bind a court, and that is certainly not what </w:t>
      </w:r>
      <w:r w:rsidR="003B565A" w:rsidRPr="007F5CBA">
        <w:rPr>
          <w:rFonts w:ascii="Times New Roman" w:hAnsi="Times New Roman"/>
          <w:i/>
          <w:sz w:val="28"/>
          <w:szCs w:val="28"/>
        </w:rPr>
        <w:t>Rieger</w:t>
      </w:r>
      <w:r w:rsidR="003B565A">
        <w:rPr>
          <w:rFonts w:ascii="Times New Roman" w:hAnsi="Times New Roman"/>
          <w:sz w:val="28"/>
          <w:szCs w:val="28"/>
        </w:rPr>
        <w:t xml:space="preserve"> intended to achieve, nor did </w:t>
      </w:r>
      <w:r w:rsidR="003B565A" w:rsidRPr="007E3C58">
        <w:rPr>
          <w:rFonts w:ascii="Times New Roman" w:hAnsi="Times New Roman"/>
          <w:i/>
          <w:sz w:val="28"/>
          <w:szCs w:val="28"/>
        </w:rPr>
        <w:t>Kruizenga</w:t>
      </w:r>
      <w:r w:rsidR="003B565A" w:rsidRPr="007E3C58">
        <w:rPr>
          <w:rFonts w:ascii="Times New Roman" w:hAnsi="Times New Roman"/>
          <w:sz w:val="28"/>
          <w:szCs w:val="28"/>
        </w:rPr>
        <w:t>. A contention to the contrary is insupportable and loses sight of the immutable legal position.</w:t>
      </w:r>
    </w:p>
    <w:p w:rsidR="003B565A" w:rsidRPr="007E3C58" w:rsidRDefault="009D4A3E" w:rsidP="009D4A3E">
      <w:pPr>
        <w:pStyle w:val="LegalList1"/>
        <w:spacing w:line="360" w:lineRule="auto"/>
        <w:ind w:left="851" w:hanging="851"/>
        <w:rPr>
          <w:rFonts w:ascii="Times New Roman" w:hAnsi="Times New Roman"/>
          <w:sz w:val="28"/>
          <w:szCs w:val="28"/>
        </w:rPr>
      </w:pPr>
      <w:r w:rsidRPr="007E3C58">
        <w:rPr>
          <w:rFonts w:ascii="Times New Roman" w:hAnsi="Times New Roman"/>
          <w:sz w:val="28"/>
          <w:szCs w:val="28"/>
        </w:rPr>
        <w:t>[32]</w:t>
      </w:r>
      <w:r w:rsidRPr="007E3C58">
        <w:rPr>
          <w:rFonts w:ascii="Times New Roman" w:hAnsi="Times New Roman"/>
          <w:sz w:val="28"/>
          <w:szCs w:val="28"/>
        </w:rPr>
        <w:tab/>
      </w:r>
      <w:r w:rsidR="003B565A" w:rsidRPr="007E3C58">
        <w:rPr>
          <w:rFonts w:ascii="Times New Roman" w:hAnsi="Times New Roman"/>
          <w:sz w:val="28"/>
          <w:szCs w:val="28"/>
        </w:rPr>
        <w:t xml:space="preserve">In argument emphasis was </w:t>
      </w:r>
      <w:r w:rsidR="007401BF">
        <w:rPr>
          <w:rFonts w:ascii="Times New Roman" w:hAnsi="Times New Roman"/>
          <w:sz w:val="28"/>
          <w:szCs w:val="28"/>
        </w:rPr>
        <w:t>laid</w:t>
      </w:r>
      <w:r w:rsidR="003B565A" w:rsidRPr="007E3C58">
        <w:rPr>
          <w:rFonts w:ascii="Times New Roman" w:hAnsi="Times New Roman"/>
          <w:sz w:val="28"/>
          <w:szCs w:val="28"/>
        </w:rPr>
        <w:t xml:space="preserve"> on the fact that this matter involved the violation of important constitutional rights and rights of privacy and personal integrity of the plaintiff.  This case also bears a public interest element as, </w:t>
      </w:r>
      <w:r w:rsidR="003B565A" w:rsidRPr="007E3C58">
        <w:rPr>
          <w:rFonts w:ascii="Times New Roman" w:hAnsi="Times New Roman"/>
          <w:i/>
          <w:iCs/>
          <w:sz w:val="28"/>
          <w:szCs w:val="28"/>
        </w:rPr>
        <w:t>inter alia</w:t>
      </w:r>
      <w:r w:rsidR="003B565A" w:rsidRPr="007E3C58">
        <w:rPr>
          <w:rFonts w:ascii="Times New Roman" w:hAnsi="Times New Roman"/>
          <w:sz w:val="28"/>
          <w:szCs w:val="28"/>
        </w:rPr>
        <w:t xml:space="preserve">, it relates to unlawful conduct by the police and the protection of the rights of a citizen.  An attack on the rights of the individual is an attack on the community and the rasping of the rights of </w:t>
      </w:r>
      <w:r w:rsidR="003B565A" w:rsidRPr="007E3C58">
        <w:rPr>
          <w:rFonts w:ascii="Times New Roman" w:hAnsi="Times New Roman"/>
          <w:sz w:val="28"/>
          <w:szCs w:val="28"/>
        </w:rPr>
        <w:lastRenderedPageBreak/>
        <w:t xml:space="preserve">an individual erodes the rights of the community as a whole.  Therefore in this type of case the impact is not limited to the affected individual but extends to the community of which they form part.  This underscores the importance of the matter. </w:t>
      </w:r>
    </w:p>
    <w:p w:rsidR="003B565A" w:rsidRDefault="009D4A3E" w:rsidP="009D4A3E">
      <w:pPr>
        <w:pStyle w:val="LegalList1"/>
        <w:spacing w:line="360" w:lineRule="auto"/>
        <w:ind w:left="851" w:hanging="851"/>
        <w:rPr>
          <w:rFonts w:ascii="Times New Roman" w:hAnsi="Times New Roman"/>
          <w:sz w:val="28"/>
          <w:szCs w:val="28"/>
        </w:rPr>
      </w:pPr>
      <w:r>
        <w:rPr>
          <w:rFonts w:ascii="Times New Roman" w:hAnsi="Times New Roman"/>
          <w:sz w:val="28"/>
          <w:szCs w:val="28"/>
        </w:rPr>
        <w:t>[33]</w:t>
      </w:r>
      <w:r>
        <w:rPr>
          <w:rFonts w:ascii="Times New Roman" w:hAnsi="Times New Roman"/>
          <w:sz w:val="28"/>
          <w:szCs w:val="28"/>
        </w:rPr>
        <w:tab/>
      </w:r>
      <w:r w:rsidR="003B565A" w:rsidRPr="007E3C58">
        <w:rPr>
          <w:rFonts w:ascii="Times New Roman" w:hAnsi="Times New Roman"/>
          <w:sz w:val="28"/>
          <w:szCs w:val="28"/>
        </w:rPr>
        <w:t>Having considered the argument, I am persuaded that I awarded costs based merely on the quantum of damages and by doing so I misdir</w:t>
      </w:r>
      <w:r w:rsidR="003B565A">
        <w:rPr>
          <w:rFonts w:ascii="Times New Roman" w:hAnsi="Times New Roman"/>
          <w:sz w:val="28"/>
          <w:szCs w:val="28"/>
        </w:rPr>
        <w:t xml:space="preserve">ected myself. </w:t>
      </w:r>
      <w:r w:rsidR="007401BF">
        <w:rPr>
          <w:rFonts w:ascii="Times New Roman" w:hAnsi="Times New Roman"/>
          <w:sz w:val="28"/>
          <w:szCs w:val="28"/>
        </w:rPr>
        <w:t>I accept that t</w:t>
      </w:r>
      <w:r w:rsidR="003B565A">
        <w:rPr>
          <w:rFonts w:ascii="Times New Roman" w:hAnsi="Times New Roman"/>
          <w:sz w:val="28"/>
          <w:szCs w:val="28"/>
        </w:rPr>
        <w:t xml:space="preserve">he consequence of a failure to </w:t>
      </w:r>
      <w:r w:rsidR="003B565A" w:rsidRPr="007E3C58">
        <w:rPr>
          <w:rFonts w:ascii="Times New Roman" w:hAnsi="Times New Roman"/>
          <w:sz w:val="28"/>
          <w:szCs w:val="28"/>
        </w:rPr>
        <w:t>align myself with these considerations</w:t>
      </w:r>
      <w:r w:rsidR="003B565A">
        <w:rPr>
          <w:rFonts w:ascii="Times New Roman" w:hAnsi="Times New Roman"/>
          <w:sz w:val="28"/>
          <w:szCs w:val="28"/>
        </w:rPr>
        <w:t xml:space="preserve"> was a failure to have exercised my discretion judicially</w:t>
      </w:r>
      <w:r w:rsidR="003B565A" w:rsidRPr="007E3C58">
        <w:rPr>
          <w:rFonts w:ascii="Times New Roman" w:hAnsi="Times New Roman"/>
          <w:sz w:val="28"/>
          <w:szCs w:val="28"/>
        </w:rPr>
        <w:t>.</w:t>
      </w:r>
    </w:p>
    <w:p w:rsidR="003B565A" w:rsidRPr="005B06F4" w:rsidRDefault="009D4A3E" w:rsidP="009D4A3E">
      <w:pPr>
        <w:pStyle w:val="LegalList1"/>
        <w:spacing w:line="360" w:lineRule="auto"/>
        <w:ind w:left="851" w:hanging="851"/>
        <w:rPr>
          <w:rFonts w:ascii="Times New Roman" w:hAnsi="Times New Roman"/>
          <w:sz w:val="28"/>
          <w:szCs w:val="28"/>
        </w:rPr>
      </w:pPr>
      <w:r w:rsidRPr="005B06F4">
        <w:rPr>
          <w:rFonts w:ascii="Times New Roman" w:hAnsi="Times New Roman"/>
          <w:sz w:val="28"/>
          <w:szCs w:val="28"/>
        </w:rPr>
        <w:t>[34]</w:t>
      </w:r>
      <w:r w:rsidRPr="005B06F4">
        <w:rPr>
          <w:rFonts w:ascii="Times New Roman" w:hAnsi="Times New Roman"/>
          <w:sz w:val="28"/>
          <w:szCs w:val="28"/>
        </w:rPr>
        <w:tab/>
      </w:r>
      <w:r w:rsidR="003B565A" w:rsidRPr="007E3C58">
        <w:rPr>
          <w:rFonts w:ascii="Times New Roman" w:hAnsi="Times New Roman"/>
          <w:bCs/>
          <w:iCs/>
          <w:sz w:val="28"/>
          <w:szCs w:val="28"/>
        </w:rPr>
        <w:t xml:space="preserve">I think that it is also right to grant leave to appeal for two </w:t>
      </w:r>
      <w:r w:rsidR="003B565A">
        <w:rPr>
          <w:rFonts w:ascii="Times New Roman" w:hAnsi="Times New Roman"/>
          <w:bCs/>
          <w:iCs/>
          <w:sz w:val="28"/>
          <w:szCs w:val="28"/>
        </w:rPr>
        <w:t xml:space="preserve">further </w:t>
      </w:r>
      <w:r w:rsidR="003B565A" w:rsidRPr="007E3C58">
        <w:rPr>
          <w:rFonts w:ascii="Times New Roman" w:hAnsi="Times New Roman"/>
          <w:bCs/>
          <w:iCs/>
          <w:sz w:val="28"/>
          <w:szCs w:val="28"/>
        </w:rPr>
        <w:t xml:space="preserve">reasons: The first is that the hearing was unnecessarily prolonged </w:t>
      </w:r>
      <w:r w:rsidR="003B565A">
        <w:rPr>
          <w:rFonts w:ascii="Times New Roman" w:hAnsi="Times New Roman"/>
          <w:bCs/>
          <w:iCs/>
          <w:sz w:val="28"/>
          <w:szCs w:val="28"/>
        </w:rPr>
        <w:t xml:space="preserve">and </w:t>
      </w:r>
      <w:r w:rsidR="003B565A" w:rsidRPr="007E3C58">
        <w:rPr>
          <w:rFonts w:ascii="Times New Roman" w:hAnsi="Times New Roman"/>
          <w:bCs/>
          <w:iCs/>
          <w:sz w:val="28"/>
          <w:szCs w:val="28"/>
        </w:rPr>
        <w:t xml:space="preserve">extended by a full day by reason of the failure </w:t>
      </w:r>
      <w:r w:rsidR="003B565A">
        <w:rPr>
          <w:rFonts w:ascii="Times New Roman" w:hAnsi="Times New Roman"/>
          <w:bCs/>
          <w:iCs/>
          <w:sz w:val="28"/>
          <w:szCs w:val="28"/>
        </w:rPr>
        <w:t>of</w:t>
      </w:r>
      <w:r w:rsidR="003B565A" w:rsidRPr="007E3C58">
        <w:rPr>
          <w:rFonts w:ascii="Times New Roman" w:hAnsi="Times New Roman"/>
          <w:bCs/>
          <w:iCs/>
          <w:sz w:val="28"/>
          <w:szCs w:val="28"/>
        </w:rPr>
        <w:t xml:space="preserve"> the defendant</w:t>
      </w:r>
      <w:r w:rsidR="003B565A">
        <w:rPr>
          <w:rFonts w:ascii="Times New Roman" w:hAnsi="Times New Roman"/>
          <w:bCs/>
          <w:iCs/>
          <w:sz w:val="28"/>
          <w:szCs w:val="28"/>
        </w:rPr>
        <w:t>’</w:t>
      </w:r>
      <w:r w:rsidR="003B565A" w:rsidRPr="007E3C58">
        <w:rPr>
          <w:rFonts w:ascii="Times New Roman" w:hAnsi="Times New Roman"/>
          <w:bCs/>
          <w:iCs/>
          <w:sz w:val="28"/>
          <w:szCs w:val="28"/>
        </w:rPr>
        <w:t>s witnesses</w:t>
      </w:r>
      <w:r w:rsidR="003B565A">
        <w:rPr>
          <w:rFonts w:ascii="Times New Roman" w:hAnsi="Times New Roman"/>
          <w:bCs/>
          <w:iCs/>
          <w:sz w:val="28"/>
          <w:szCs w:val="28"/>
        </w:rPr>
        <w:t>,</w:t>
      </w:r>
      <w:r w:rsidR="003B565A" w:rsidRPr="007E3C58">
        <w:rPr>
          <w:rFonts w:ascii="Times New Roman" w:hAnsi="Times New Roman"/>
          <w:bCs/>
          <w:iCs/>
          <w:sz w:val="28"/>
          <w:szCs w:val="28"/>
        </w:rPr>
        <w:t xml:space="preserve"> Sergeant Patosi and Sergeant Johaar</w:t>
      </w:r>
      <w:r w:rsidR="003B565A">
        <w:rPr>
          <w:rFonts w:ascii="Times New Roman" w:hAnsi="Times New Roman"/>
          <w:bCs/>
          <w:iCs/>
          <w:sz w:val="28"/>
          <w:szCs w:val="28"/>
        </w:rPr>
        <w:t>,</w:t>
      </w:r>
      <w:r w:rsidR="003B565A" w:rsidRPr="007E3C58">
        <w:rPr>
          <w:rFonts w:ascii="Times New Roman" w:hAnsi="Times New Roman"/>
          <w:bCs/>
          <w:iCs/>
          <w:sz w:val="28"/>
          <w:szCs w:val="28"/>
        </w:rPr>
        <w:t xml:space="preserve"> to attend court on 23 May 2022</w:t>
      </w:r>
      <w:r w:rsidR="003B565A">
        <w:rPr>
          <w:rFonts w:ascii="Times New Roman" w:hAnsi="Times New Roman"/>
          <w:bCs/>
          <w:iCs/>
          <w:sz w:val="28"/>
          <w:szCs w:val="28"/>
        </w:rPr>
        <w:t>. The second and perhaps more weighty reason is that I was faced with the contradictory testimony of several policemen who may have conspired to put up a false version of what occurred.</w:t>
      </w:r>
    </w:p>
    <w:p w:rsidR="003B565A" w:rsidRPr="00C944FB" w:rsidRDefault="009D4A3E" w:rsidP="009D4A3E">
      <w:pPr>
        <w:pStyle w:val="LegalList1"/>
        <w:spacing w:line="360" w:lineRule="auto"/>
        <w:ind w:left="851" w:hanging="851"/>
        <w:rPr>
          <w:rFonts w:ascii="Times New Roman" w:hAnsi="Times New Roman"/>
          <w:sz w:val="28"/>
          <w:szCs w:val="28"/>
        </w:rPr>
      </w:pPr>
      <w:r w:rsidRPr="00C944FB">
        <w:rPr>
          <w:rFonts w:ascii="Times New Roman" w:hAnsi="Times New Roman"/>
          <w:sz w:val="28"/>
          <w:szCs w:val="28"/>
        </w:rPr>
        <w:t>[35]</w:t>
      </w:r>
      <w:r w:rsidRPr="00C944FB">
        <w:rPr>
          <w:rFonts w:ascii="Times New Roman" w:hAnsi="Times New Roman"/>
          <w:sz w:val="28"/>
          <w:szCs w:val="28"/>
        </w:rPr>
        <w:tab/>
      </w:r>
      <w:r w:rsidR="003B565A">
        <w:rPr>
          <w:rFonts w:ascii="Times New Roman" w:hAnsi="Times New Roman"/>
          <w:bCs/>
          <w:iCs/>
          <w:sz w:val="28"/>
          <w:szCs w:val="28"/>
        </w:rPr>
        <w:t>I acknowledge the weight of judicial authority to the effect that a court of appeal would be slow to interfere with a judgment on costs,</w:t>
      </w:r>
      <w:r w:rsidR="003B565A">
        <w:rPr>
          <w:rStyle w:val="FootnoteReference"/>
          <w:rFonts w:ascii="Times New Roman" w:hAnsi="Times New Roman"/>
          <w:bCs/>
          <w:iCs/>
          <w:sz w:val="28"/>
          <w:szCs w:val="28"/>
        </w:rPr>
        <w:footnoteReference w:id="17"/>
      </w:r>
      <w:r w:rsidR="003B565A">
        <w:rPr>
          <w:rFonts w:ascii="Times New Roman" w:hAnsi="Times New Roman"/>
          <w:bCs/>
          <w:iCs/>
          <w:sz w:val="28"/>
          <w:szCs w:val="28"/>
        </w:rPr>
        <w:t xml:space="preserve"> the impact of which is that leave to appeal based solely against costs orders, is rare.</w:t>
      </w:r>
      <w:r w:rsidR="003B565A">
        <w:rPr>
          <w:rStyle w:val="FootnoteReference"/>
          <w:rFonts w:ascii="Times New Roman" w:hAnsi="Times New Roman"/>
          <w:bCs/>
          <w:iCs/>
          <w:sz w:val="28"/>
          <w:szCs w:val="28"/>
        </w:rPr>
        <w:footnoteReference w:id="18"/>
      </w:r>
      <w:r w:rsidR="003B565A">
        <w:rPr>
          <w:rFonts w:ascii="Times New Roman" w:hAnsi="Times New Roman"/>
          <w:bCs/>
          <w:iCs/>
          <w:sz w:val="28"/>
          <w:szCs w:val="28"/>
        </w:rPr>
        <w:t xml:space="preserve"> </w:t>
      </w:r>
    </w:p>
    <w:p w:rsidR="00CE2E66" w:rsidRDefault="009D4A3E" w:rsidP="009D4A3E">
      <w:pPr>
        <w:pStyle w:val="LegalList1"/>
        <w:spacing w:line="360" w:lineRule="auto"/>
        <w:ind w:left="851" w:hanging="851"/>
        <w:rPr>
          <w:rFonts w:ascii="Times New Roman" w:hAnsi="Times New Roman"/>
          <w:sz w:val="28"/>
          <w:szCs w:val="28"/>
        </w:rPr>
      </w:pPr>
      <w:r>
        <w:rPr>
          <w:rFonts w:ascii="Times New Roman" w:hAnsi="Times New Roman"/>
          <w:sz w:val="28"/>
          <w:szCs w:val="28"/>
        </w:rPr>
        <w:t>[36]</w:t>
      </w:r>
      <w:r>
        <w:rPr>
          <w:rFonts w:ascii="Times New Roman" w:hAnsi="Times New Roman"/>
          <w:sz w:val="28"/>
          <w:szCs w:val="28"/>
        </w:rPr>
        <w:tab/>
      </w:r>
      <w:r w:rsidR="003B565A">
        <w:rPr>
          <w:rFonts w:ascii="Times New Roman" w:hAnsi="Times New Roman"/>
          <w:sz w:val="28"/>
          <w:szCs w:val="28"/>
        </w:rPr>
        <w:t xml:space="preserve">I am furthermore cognisant of the provisions of section 16(2)(a) of the Act which requires that exceptional circumstances must be established for the applicant to succeed in an application for leave to appeal on costs. ‘Very substantial’ costs (in this case incurred over a period of 5 days for </w:t>
      </w:r>
      <w:r w:rsidR="003B565A">
        <w:rPr>
          <w:rFonts w:ascii="Times New Roman" w:hAnsi="Times New Roman"/>
          <w:sz w:val="28"/>
          <w:szCs w:val="28"/>
        </w:rPr>
        <w:lastRenderedPageBreak/>
        <w:t>running the trial) could be a ground for finding exceptional circumstances.</w:t>
      </w:r>
      <w:r w:rsidR="003B565A">
        <w:rPr>
          <w:rStyle w:val="FootnoteReference"/>
          <w:rFonts w:ascii="Times New Roman" w:hAnsi="Times New Roman"/>
          <w:sz w:val="28"/>
          <w:szCs w:val="28"/>
        </w:rPr>
        <w:footnoteReference w:id="19"/>
      </w:r>
    </w:p>
    <w:p w:rsidR="003B565A" w:rsidRDefault="009D4A3E" w:rsidP="009D4A3E">
      <w:pPr>
        <w:pStyle w:val="LegalList1"/>
        <w:spacing w:line="360" w:lineRule="auto"/>
        <w:ind w:left="851" w:hanging="851"/>
        <w:rPr>
          <w:rFonts w:ascii="Times New Roman" w:hAnsi="Times New Roman"/>
          <w:sz w:val="28"/>
          <w:szCs w:val="28"/>
        </w:rPr>
      </w:pPr>
      <w:r>
        <w:rPr>
          <w:rFonts w:ascii="Times New Roman" w:hAnsi="Times New Roman"/>
          <w:sz w:val="28"/>
          <w:szCs w:val="28"/>
        </w:rPr>
        <w:t>[37]</w:t>
      </w:r>
      <w:r>
        <w:rPr>
          <w:rFonts w:ascii="Times New Roman" w:hAnsi="Times New Roman"/>
          <w:sz w:val="28"/>
          <w:szCs w:val="28"/>
        </w:rPr>
        <w:tab/>
      </w:r>
      <w:r w:rsidR="003B565A">
        <w:rPr>
          <w:rFonts w:ascii="Times New Roman" w:hAnsi="Times New Roman"/>
          <w:sz w:val="28"/>
          <w:szCs w:val="28"/>
        </w:rPr>
        <w:t>In the final analysis it seems to me that the prospects of demonstrating that I failed to exercise my discretion on costs judiciously brings one closer to finding exceptional circumstances.</w:t>
      </w:r>
    </w:p>
    <w:p w:rsidR="003B565A" w:rsidRDefault="009D4A3E" w:rsidP="009D4A3E">
      <w:pPr>
        <w:pStyle w:val="LegalList1"/>
        <w:spacing w:line="360" w:lineRule="auto"/>
        <w:ind w:left="851" w:hanging="851"/>
        <w:rPr>
          <w:rFonts w:ascii="Times New Roman" w:hAnsi="Times New Roman"/>
          <w:sz w:val="28"/>
          <w:szCs w:val="28"/>
        </w:rPr>
      </w:pPr>
      <w:r>
        <w:rPr>
          <w:rFonts w:ascii="Times New Roman" w:hAnsi="Times New Roman"/>
          <w:sz w:val="28"/>
          <w:szCs w:val="28"/>
        </w:rPr>
        <w:t>[38]</w:t>
      </w:r>
      <w:r>
        <w:rPr>
          <w:rFonts w:ascii="Times New Roman" w:hAnsi="Times New Roman"/>
          <w:sz w:val="28"/>
          <w:szCs w:val="28"/>
        </w:rPr>
        <w:tab/>
      </w:r>
      <w:r w:rsidR="003B565A">
        <w:rPr>
          <w:rFonts w:ascii="Times New Roman" w:hAnsi="Times New Roman"/>
          <w:sz w:val="28"/>
          <w:szCs w:val="28"/>
        </w:rPr>
        <w:t>In the result, the following order is made:</w:t>
      </w:r>
    </w:p>
    <w:p w:rsidR="003B565A" w:rsidRDefault="009D4A3E" w:rsidP="009D4A3E">
      <w:pPr>
        <w:pStyle w:val="LegalList1"/>
        <w:spacing w:line="360" w:lineRule="auto"/>
        <w:ind w:left="1211" w:hanging="3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3B565A">
        <w:rPr>
          <w:rFonts w:ascii="Times New Roman" w:hAnsi="Times New Roman"/>
          <w:sz w:val="28"/>
          <w:szCs w:val="28"/>
        </w:rPr>
        <w:t xml:space="preserve">The plaintiff is granted leave to appeal to the full court of this division against that portion of </w:t>
      </w:r>
      <w:r w:rsidR="00021F32">
        <w:rPr>
          <w:rFonts w:ascii="Times New Roman" w:hAnsi="Times New Roman"/>
          <w:sz w:val="28"/>
          <w:szCs w:val="28"/>
        </w:rPr>
        <w:t xml:space="preserve">the </w:t>
      </w:r>
      <w:r w:rsidR="003B565A">
        <w:rPr>
          <w:rFonts w:ascii="Times New Roman" w:hAnsi="Times New Roman"/>
          <w:sz w:val="28"/>
          <w:szCs w:val="28"/>
        </w:rPr>
        <w:t>judgment and order delivered on 2 August 2022 relevant to both quantum and the scale of costs.</w:t>
      </w:r>
    </w:p>
    <w:p w:rsidR="003B565A" w:rsidRPr="002A5FA4" w:rsidRDefault="009D4A3E" w:rsidP="009D4A3E">
      <w:pPr>
        <w:pStyle w:val="LegalList1"/>
        <w:spacing w:line="360" w:lineRule="auto"/>
        <w:ind w:left="1211" w:hanging="360"/>
        <w:rPr>
          <w:rFonts w:ascii="Times New Roman" w:hAnsi="Times New Roman"/>
          <w:sz w:val="28"/>
          <w:szCs w:val="28"/>
        </w:rPr>
      </w:pPr>
      <w:r w:rsidRPr="002A5FA4">
        <w:rPr>
          <w:rFonts w:ascii="Times New Roman" w:hAnsi="Times New Roman"/>
          <w:sz w:val="28"/>
          <w:szCs w:val="28"/>
        </w:rPr>
        <w:t>2.</w:t>
      </w:r>
      <w:r w:rsidRPr="002A5FA4">
        <w:rPr>
          <w:rFonts w:ascii="Times New Roman" w:hAnsi="Times New Roman"/>
          <w:sz w:val="28"/>
          <w:szCs w:val="28"/>
        </w:rPr>
        <w:tab/>
      </w:r>
      <w:r w:rsidR="003B565A" w:rsidRPr="002A5FA4">
        <w:rPr>
          <w:rFonts w:ascii="Times New Roman" w:hAnsi="Times New Roman"/>
          <w:sz w:val="28"/>
          <w:szCs w:val="28"/>
        </w:rPr>
        <w:t>The costs of this application shall be costs in the appeal.</w:t>
      </w:r>
    </w:p>
    <w:p w:rsidR="003B565A" w:rsidRDefault="003B565A" w:rsidP="00522840">
      <w:pPr>
        <w:rPr>
          <w:sz w:val="28"/>
          <w:szCs w:val="28"/>
        </w:rPr>
      </w:pPr>
    </w:p>
    <w:p w:rsidR="009E5612" w:rsidRDefault="009E5612" w:rsidP="009E5612">
      <w:pPr>
        <w:spacing w:line="360" w:lineRule="auto"/>
        <w:rPr>
          <w:sz w:val="28"/>
          <w:szCs w:val="28"/>
        </w:rPr>
      </w:pPr>
    </w:p>
    <w:p w:rsidR="00D807A2" w:rsidRDefault="00D807A2" w:rsidP="009E5612">
      <w:pPr>
        <w:spacing w:line="360" w:lineRule="auto"/>
        <w:rPr>
          <w:sz w:val="28"/>
          <w:szCs w:val="28"/>
        </w:rPr>
      </w:pPr>
    </w:p>
    <w:p w:rsidR="009E5612" w:rsidRDefault="009E5612" w:rsidP="009E5612">
      <w:pPr>
        <w:spacing w:line="360" w:lineRule="auto"/>
        <w:rPr>
          <w:sz w:val="28"/>
          <w:szCs w:val="28"/>
        </w:rPr>
      </w:pPr>
    </w:p>
    <w:p w:rsidR="009E5612" w:rsidRDefault="009E5612" w:rsidP="009E5612">
      <w:pPr>
        <w:pStyle w:val="LegalList1"/>
        <w:spacing w:line="240" w:lineRule="auto"/>
        <w:ind w:left="720"/>
        <w:rPr>
          <w:rFonts w:ascii="Times New Roman" w:hAnsi="Times New Roman"/>
          <w:sz w:val="28"/>
          <w:szCs w:val="28"/>
        </w:rPr>
      </w:pPr>
      <w:r>
        <w:rPr>
          <w:rFonts w:ascii="Times New Roman" w:hAnsi="Times New Roman"/>
          <w:sz w:val="28"/>
          <w:szCs w:val="28"/>
        </w:rPr>
        <w:t>____________________________</w:t>
      </w:r>
    </w:p>
    <w:p w:rsidR="009E5612" w:rsidRPr="009E483B" w:rsidRDefault="009E5612" w:rsidP="009E5612">
      <w:pPr>
        <w:pStyle w:val="LegalList1"/>
        <w:spacing w:line="240" w:lineRule="auto"/>
        <w:ind w:left="720"/>
        <w:rPr>
          <w:rFonts w:ascii="Times New Roman" w:hAnsi="Times New Roman"/>
          <w:b/>
          <w:sz w:val="28"/>
          <w:szCs w:val="28"/>
        </w:rPr>
      </w:pPr>
      <w:r>
        <w:rPr>
          <w:rFonts w:ascii="Times New Roman" w:hAnsi="Times New Roman"/>
          <w:b/>
          <w:sz w:val="28"/>
          <w:szCs w:val="28"/>
        </w:rPr>
        <w:t xml:space="preserve">M. </w:t>
      </w:r>
      <w:r w:rsidRPr="009E483B">
        <w:rPr>
          <w:rFonts w:ascii="Times New Roman" w:hAnsi="Times New Roman"/>
          <w:b/>
          <w:sz w:val="28"/>
          <w:szCs w:val="28"/>
        </w:rPr>
        <w:t>S. RUGUNANAN</w:t>
      </w:r>
    </w:p>
    <w:p w:rsidR="009E5612" w:rsidRPr="009E483B" w:rsidRDefault="009E5612" w:rsidP="009E5612">
      <w:pPr>
        <w:pStyle w:val="LegalList1"/>
        <w:spacing w:line="240" w:lineRule="auto"/>
        <w:ind w:left="720"/>
        <w:rPr>
          <w:rFonts w:ascii="Times New Roman" w:hAnsi="Times New Roman"/>
          <w:b/>
          <w:sz w:val="28"/>
          <w:szCs w:val="28"/>
        </w:rPr>
      </w:pPr>
      <w:r w:rsidRPr="009E483B">
        <w:rPr>
          <w:rFonts w:ascii="Times New Roman" w:hAnsi="Times New Roman"/>
          <w:b/>
          <w:sz w:val="28"/>
          <w:szCs w:val="28"/>
        </w:rPr>
        <w:t>JUDGE OF THE HIGH COURT</w:t>
      </w:r>
    </w:p>
    <w:p w:rsidR="00D807A2" w:rsidRDefault="00D807A2" w:rsidP="009E5612">
      <w:pPr>
        <w:pStyle w:val="LegalList1"/>
        <w:spacing w:line="240" w:lineRule="auto"/>
        <w:ind w:left="720"/>
        <w:rPr>
          <w:rFonts w:ascii="Times New Roman" w:hAnsi="Times New Roman"/>
          <w:sz w:val="28"/>
          <w:szCs w:val="28"/>
        </w:rPr>
      </w:pPr>
    </w:p>
    <w:p w:rsidR="007A3B2F" w:rsidRDefault="007A3B2F" w:rsidP="009E5612">
      <w:pPr>
        <w:pStyle w:val="LegalList1"/>
        <w:spacing w:line="240" w:lineRule="auto"/>
        <w:ind w:left="720"/>
        <w:rPr>
          <w:rFonts w:ascii="Times New Roman" w:hAnsi="Times New Roman"/>
          <w:sz w:val="28"/>
          <w:szCs w:val="28"/>
        </w:rPr>
      </w:pPr>
    </w:p>
    <w:p w:rsidR="007A3B2F" w:rsidRDefault="007A3B2F" w:rsidP="009E5612">
      <w:pPr>
        <w:pStyle w:val="LegalList1"/>
        <w:spacing w:line="240" w:lineRule="auto"/>
        <w:ind w:left="720"/>
        <w:rPr>
          <w:rFonts w:ascii="Times New Roman" w:hAnsi="Times New Roman"/>
          <w:sz w:val="28"/>
          <w:szCs w:val="28"/>
        </w:rPr>
      </w:pPr>
    </w:p>
    <w:p w:rsidR="007A3B2F" w:rsidRDefault="007A3B2F" w:rsidP="009E5612">
      <w:pPr>
        <w:pStyle w:val="LegalList1"/>
        <w:spacing w:line="240" w:lineRule="auto"/>
        <w:ind w:left="720"/>
        <w:rPr>
          <w:rFonts w:ascii="Times New Roman" w:hAnsi="Times New Roman"/>
          <w:sz w:val="28"/>
          <w:szCs w:val="28"/>
        </w:rPr>
      </w:pPr>
    </w:p>
    <w:p w:rsidR="00DC2EB4" w:rsidRDefault="00DC2EB4" w:rsidP="009E5612">
      <w:pPr>
        <w:pStyle w:val="LegalList1"/>
        <w:spacing w:line="240" w:lineRule="auto"/>
        <w:ind w:left="720"/>
        <w:rPr>
          <w:rFonts w:ascii="Times New Roman" w:hAnsi="Times New Roman"/>
          <w:sz w:val="28"/>
          <w:szCs w:val="28"/>
        </w:rPr>
      </w:pPr>
    </w:p>
    <w:p w:rsidR="009E5612" w:rsidRDefault="009E5612" w:rsidP="009E5612">
      <w:pPr>
        <w:pStyle w:val="LegalList1"/>
        <w:spacing w:line="240" w:lineRule="auto"/>
        <w:ind w:left="720"/>
        <w:rPr>
          <w:rFonts w:ascii="Times New Roman" w:hAnsi="Times New Roman"/>
          <w:sz w:val="28"/>
          <w:szCs w:val="28"/>
        </w:rPr>
      </w:pPr>
      <w:r w:rsidRPr="009E483B">
        <w:rPr>
          <w:rFonts w:ascii="Times New Roman" w:hAnsi="Times New Roman"/>
          <w:sz w:val="28"/>
          <w:szCs w:val="28"/>
        </w:rPr>
        <w:t>APPEARANCES:</w:t>
      </w:r>
    </w:p>
    <w:p w:rsidR="009E5612" w:rsidRPr="009E483B" w:rsidRDefault="009E5612" w:rsidP="009E5612">
      <w:pPr>
        <w:ind w:firstLine="720"/>
        <w:rPr>
          <w:rFonts w:ascii="Times New Roman" w:hAnsi="Times New Roman" w:cs="Times New Roman"/>
          <w:sz w:val="28"/>
          <w:szCs w:val="28"/>
        </w:rPr>
      </w:pPr>
      <w:r w:rsidRPr="00DE1B37">
        <w:rPr>
          <w:rFonts w:ascii="Times New Roman" w:hAnsi="Times New Roman" w:cs="Times New Roman"/>
          <w:sz w:val="28"/>
          <w:szCs w:val="28"/>
        </w:rPr>
        <w:t xml:space="preserve">For the </w:t>
      </w:r>
      <w:r w:rsidR="00CE2E66">
        <w:rPr>
          <w:rFonts w:ascii="Times New Roman" w:hAnsi="Times New Roman" w:cs="Times New Roman"/>
          <w:sz w:val="28"/>
          <w:szCs w:val="28"/>
        </w:rPr>
        <w:t>Applicant/</w:t>
      </w:r>
      <w:r>
        <w:rPr>
          <w:rFonts w:ascii="Times New Roman" w:hAnsi="Times New Roman" w:cs="Times New Roman"/>
          <w:sz w:val="28"/>
          <w:szCs w:val="28"/>
        </w:rPr>
        <w:t>Plaintiff</w:t>
      </w:r>
      <w:r w:rsidRPr="00DE1B37">
        <w:rPr>
          <w:rFonts w:ascii="Times New Roman" w:hAnsi="Times New Roman" w:cs="Times New Roman"/>
          <w:sz w:val="28"/>
          <w:szCs w:val="28"/>
        </w:rPr>
        <w:t>:</w:t>
      </w:r>
      <w:r>
        <w:rPr>
          <w:rFonts w:ascii="Times New Roman" w:hAnsi="Times New Roman" w:cs="Times New Roman"/>
          <w:sz w:val="28"/>
          <w:szCs w:val="28"/>
        </w:rPr>
        <w:tab/>
      </w:r>
      <w:r w:rsidR="00CE2E66">
        <w:rPr>
          <w:rFonts w:ascii="Times New Roman" w:hAnsi="Times New Roman" w:cs="Times New Roman"/>
          <w:sz w:val="28"/>
          <w:szCs w:val="28"/>
        </w:rPr>
        <w:tab/>
      </w:r>
      <w:r>
        <w:rPr>
          <w:rFonts w:ascii="Times New Roman" w:hAnsi="Times New Roman" w:cs="Times New Roman"/>
          <w:sz w:val="28"/>
          <w:szCs w:val="28"/>
        </w:rPr>
        <w:t>S. Cole SC</w:t>
      </w:r>
    </w:p>
    <w:p w:rsidR="009E5612" w:rsidRPr="009E483B" w:rsidRDefault="009E5612" w:rsidP="009E5612">
      <w:pPr>
        <w:ind w:left="851"/>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00CE2E66">
        <w:rPr>
          <w:rFonts w:ascii="Times New Roman" w:hAnsi="Times New Roman" w:cs="Times New Roman"/>
          <w:sz w:val="28"/>
          <w:szCs w:val="28"/>
        </w:rPr>
        <w:tab/>
      </w:r>
      <w:r w:rsidRPr="009E483B">
        <w:rPr>
          <w:rFonts w:ascii="Times New Roman" w:hAnsi="Times New Roman" w:cs="Times New Roman"/>
          <w:sz w:val="28"/>
          <w:szCs w:val="28"/>
        </w:rPr>
        <w:t>Instructed by</w:t>
      </w:r>
    </w:p>
    <w:p w:rsidR="009E5612" w:rsidRPr="009E483B" w:rsidRDefault="009E5612" w:rsidP="009E5612">
      <w:pPr>
        <w:ind w:left="851"/>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00CE2E66">
        <w:rPr>
          <w:rFonts w:ascii="Times New Roman" w:hAnsi="Times New Roman" w:cs="Times New Roman"/>
          <w:sz w:val="28"/>
          <w:szCs w:val="28"/>
        </w:rPr>
        <w:tab/>
      </w:r>
      <w:r>
        <w:rPr>
          <w:rFonts w:ascii="Times New Roman" w:hAnsi="Times New Roman" w:cs="Times New Roman"/>
          <w:sz w:val="28"/>
          <w:szCs w:val="28"/>
        </w:rPr>
        <w:t>Lionel Trichardt &amp; Associates</w:t>
      </w:r>
    </w:p>
    <w:p w:rsidR="009E5612" w:rsidRPr="009E483B" w:rsidRDefault="009E5612" w:rsidP="009E5612">
      <w:pPr>
        <w:ind w:left="85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E2E66">
        <w:rPr>
          <w:rFonts w:ascii="Times New Roman" w:hAnsi="Times New Roman" w:cs="Times New Roman"/>
          <w:sz w:val="28"/>
          <w:szCs w:val="28"/>
        </w:rPr>
        <w:tab/>
      </w:r>
      <w:r>
        <w:rPr>
          <w:rFonts w:ascii="Times New Roman" w:hAnsi="Times New Roman" w:cs="Times New Roman"/>
          <w:sz w:val="28"/>
          <w:szCs w:val="28"/>
        </w:rPr>
        <w:t>c/o Wheeldon Rushmere &amp; Cole</w:t>
      </w:r>
    </w:p>
    <w:p w:rsidR="009E5612" w:rsidRPr="009E483B" w:rsidRDefault="009E5612" w:rsidP="009E5612">
      <w:pPr>
        <w:ind w:left="851"/>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00CE2E66">
        <w:rPr>
          <w:rFonts w:ascii="Times New Roman" w:hAnsi="Times New Roman" w:cs="Times New Roman"/>
          <w:sz w:val="28"/>
          <w:szCs w:val="28"/>
        </w:rPr>
        <w:tab/>
      </w:r>
      <w:r>
        <w:rPr>
          <w:rFonts w:ascii="Times New Roman" w:hAnsi="Times New Roman" w:cs="Times New Roman"/>
          <w:sz w:val="28"/>
          <w:szCs w:val="28"/>
        </w:rPr>
        <w:t>119 High Street</w:t>
      </w:r>
    </w:p>
    <w:p w:rsidR="009E5612" w:rsidRPr="009E483B" w:rsidRDefault="009E5612" w:rsidP="009E5612">
      <w:pPr>
        <w:ind w:left="851"/>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00CE2E66">
        <w:rPr>
          <w:rFonts w:ascii="Times New Roman" w:hAnsi="Times New Roman" w:cs="Times New Roman"/>
          <w:sz w:val="28"/>
          <w:szCs w:val="28"/>
        </w:rPr>
        <w:tab/>
      </w:r>
      <w:r w:rsidRPr="009E483B">
        <w:rPr>
          <w:rFonts w:ascii="Times New Roman" w:hAnsi="Times New Roman" w:cs="Times New Roman"/>
          <w:sz w:val="28"/>
          <w:szCs w:val="28"/>
        </w:rPr>
        <w:t>Makhanda</w:t>
      </w:r>
    </w:p>
    <w:p w:rsidR="009E5612" w:rsidRDefault="009E5612" w:rsidP="009E5612">
      <w:pPr>
        <w:ind w:left="851"/>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00CE2E66">
        <w:rPr>
          <w:rFonts w:ascii="Times New Roman" w:hAnsi="Times New Roman" w:cs="Times New Roman"/>
          <w:sz w:val="28"/>
          <w:szCs w:val="28"/>
        </w:rPr>
        <w:tab/>
      </w:r>
      <w:r w:rsidRPr="009E483B">
        <w:rPr>
          <w:rFonts w:ascii="Times New Roman" w:hAnsi="Times New Roman" w:cs="Times New Roman"/>
          <w:sz w:val="28"/>
          <w:szCs w:val="28"/>
        </w:rPr>
        <w:t xml:space="preserve">(Ref: </w:t>
      </w:r>
      <w:r>
        <w:rPr>
          <w:rFonts w:ascii="Times New Roman" w:hAnsi="Times New Roman" w:cs="Times New Roman"/>
          <w:sz w:val="28"/>
          <w:szCs w:val="28"/>
        </w:rPr>
        <w:t>SA/Farenchia</w:t>
      </w:r>
      <w:r w:rsidRPr="009E483B">
        <w:rPr>
          <w:rFonts w:ascii="Times New Roman" w:hAnsi="Times New Roman" w:cs="Times New Roman"/>
          <w:sz w:val="28"/>
          <w:szCs w:val="28"/>
        </w:rPr>
        <w:t>)</w:t>
      </w:r>
    </w:p>
    <w:p w:rsidR="009E5612" w:rsidRPr="009E483B" w:rsidRDefault="009E5612" w:rsidP="009E5612">
      <w:pPr>
        <w:ind w:left="85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E2E66">
        <w:rPr>
          <w:rFonts w:ascii="Times New Roman" w:hAnsi="Times New Roman" w:cs="Times New Roman"/>
          <w:sz w:val="28"/>
          <w:szCs w:val="28"/>
        </w:rPr>
        <w:tab/>
      </w:r>
      <w:r>
        <w:rPr>
          <w:rFonts w:ascii="Times New Roman" w:hAnsi="Times New Roman" w:cs="Times New Roman"/>
          <w:sz w:val="28"/>
          <w:szCs w:val="28"/>
        </w:rPr>
        <w:t>Tel: 046-622 7005</w:t>
      </w:r>
    </w:p>
    <w:p w:rsidR="009E5612" w:rsidRPr="00DE1B37" w:rsidRDefault="009E5612" w:rsidP="009E5612">
      <w:pPr>
        <w:ind w:left="720"/>
        <w:rPr>
          <w:rFonts w:ascii="Times New Roman" w:hAnsi="Times New Roman" w:cs="Times New Roman"/>
          <w:sz w:val="28"/>
          <w:szCs w:val="28"/>
        </w:rPr>
      </w:pPr>
    </w:p>
    <w:p w:rsidR="009E5612" w:rsidRPr="00DE1B37" w:rsidRDefault="009E5612" w:rsidP="009E5612">
      <w:pPr>
        <w:ind w:left="720"/>
        <w:rPr>
          <w:rFonts w:ascii="Times New Roman" w:hAnsi="Times New Roman" w:cs="Times New Roman"/>
          <w:sz w:val="28"/>
          <w:szCs w:val="28"/>
        </w:rPr>
      </w:pPr>
      <w:r w:rsidRPr="00DE1B37">
        <w:rPr>
          <w:rFonts w:ascii="Times New Roman" w:hAnsi="Times New Roman" w:cs="Times New Roman"/>
          <w:sz w:val="28"/>
          <w:szCs w:val="28"/>
        </w:rPr>
        <w:t xml:space="preserve">For the </w:t>
      </w:r>
      <w:r w:rsidR="00CE2E66">
        <w:rPr>
          <w:rFonts w:ascii="Times New Roman" w:hAnsi="Times New Roman" w:cs="Times New Roman"/>
          <w:sz w:val="28"/>
          <w:szCs w:val="28"/>
        </w:rPr>
        <w:t>Respondent/</w:t>
      </w:r>
      <w:r>
        <w:rPr>
          <w:rFonts w:ascii="Times New Roman" w:hAnsi="Times New Roman" w:cs="Times New Roman"/>
          <w:sz w:val="28"/>
          <w:szCs w:val="28"/>
        </w:rPr>
        <w:t>Defendant</w:t>
      </w:r>
      <w:r w:rsidRPr="00DE1B37">
        <w:rPr>
          <w:rFonts w:ascii="Times New Roman" w:hAnsi="Times New Roman" w:cs="Times New Roman"/>
          <w:sz w:val="28"/>
          <w:szCs w:val="28"/>
        </w:rPr>
        <w:t>:</w:t>
      </w:r>
      <w:r w:rsidRPr="00DE1B37">
        <w:rPr>
          <w:rFonts w:ascii="Times New Roman" w:hAnsi="Times New Roman" w:cs="Times New Roman"/>
          <w:sz w:val="28"/>
          <w:szCs w:val="28"/>
        </w:rPr>
        <w:tab/>
      </w:r>
      <w:r w:rsidR="00CE2E66">
        <w:rPr>
          <w:rFonts w:ascii="Times New Roman" w:hAnsi="Times New Roman" w:cs="Times New Roman"/>
          <w:sz w:val="28"/>
          <w:szCs w:val="28"/>
        </w:rPr>
        <w:tab/>
      </w:r>
      <w:r>
        <w:rPr>
          <w:rFonts w:ascii="Times New Roman" w:hAnsi="Times New Roman" w:cs="Times New Roman"/>
          <w:sz w:val="28"/>
          <w:szCs w:val="28"/>
        </w:rPr>
        <w:t>J. Bester</w:t>
      </w:r>
    </w:p>
    <w:p w:rsidR="009E5612" w:rsidRPr="0077714F" w:rsidRDefault="009E5612" w:rsidP="00CE2E66">
      <w:pPr>
        <w:ind w:left="5040"/>
        <w:rPr>
          <w:rFonts w:ascii="Times New Roman" w:hAnsi="Times New Roman" w:cs="Times New Roman"/>
          <w:sz w:val="28"/>
          <w:szCs w:val="28"/>
        </w:rPr>
      </w:pPr>
      <w:r w:rsidRPr="00DE1B37">
        <w:rPr>
          <w:rFonts w:ascii="Times New Roman" w:hAnsi="Times New Roman" w:cs="Times New Roman"/>
          <w:sz w:val="28"/>
          <w:szCs w:val="28"/>
        </w:rPr>
        <w:t xml:space="preserve">Instructed by </w:t>
      </w:r>
      <w:r>
        <w:rPr>
          <w:rFonts w:ascii="Times New Roman" w:hAnsi="Times New Roman" w:cs="Times New Roman"/>
          <w:sz w:val="28"/>
          <w:szCs w:val="28"/>
        </w:rPr>
        <w:t xml:space="preserve">The Office of the </w:t>
      </w:r>
      <w:r w:rsidRPr="0077714F">
        <w:rPr>
          <w:rFonts w:ascii="Times New Roman" w:hAnsi="Times New Roman" w:cs="Times New Roman"/>
          <w:sz w:val="28"/>
          <w:szCs w:val="28"/>
        </w:rPr>
        <w:t>State Attorney</w:t>
      </w:r>
    </w:p>
    <w:p w:rsidR="009E5612" w:rsidRPr="0077714F" w:rsidRDefault="009E5612" w:rsidP="00CE2E66">
      <w:pPr>
        <w:ind w:left="4320" w:firstLine="720"/>
        <w:rPr>
          <w:rFonts w:ascii="Times New Roman" w:hAnsi="Times New Roman" w:cs="Times New Roman"/>
          <w:sz w:val="28"/>
          <w:szCs w:val="28"/>
        </w:rPr>
      </w:pPr>
      <w:r w:rsidRPr="0077714F">
        <w:rPr>
          <w:rFonts w:ascii="Times New Roman" w:hAnsi="Times New Roman" w:cs="Times New Roman"/>
          <w:sz w:val="28"/>
          <w:szCs w:val="28"/>
        </w:rPr>
        <w:t>c/o Yokwana Attorneys</w:t>
      </w:r>
    </w:p>
    <w:p w:rsidR="009E5612" w:rsidRPr="0077714F" w:rsidRDefault="009E5612" w:rsidP="00CE2E66">
      <w:pPr>
        <w:ind w:left="4320" w:firstLine="720"/>
        <w:rPr>
          <w:rFonts w:ascii="Times New Roman" w:hAnsi="Times New Roman" w:cs="Times New Roman"/>
          <w:sz w:val="28"/>
          <w:szCs w:val="28"/>
        </w:rPr>
      </w:pPr>
      <w:r w:rsidRPr="0077714F">
        <w:rPr>
          <w:rFonts w:ascii="Times New Roman" w:hAnsi="Times New Roman" w:cs="Times New Roman"/>
          <w:sz w:val="28"/>
          <w:szCs w:val="28"/>
        </w:rPr>
        <w:t>87 High Street</w:t>
      </w:r>
    </w:p>
    <w:p w:rsidR="009E5612" w:rsidRPr="0077714F" w:rsidRDefault="009E5612" w:rsidP="00CE2E66">
      <w:pPr>
        <w:ind w:left="4320" w:firstLine="720"/>
        <w:rPr>
          <w:rFonts w:ascii="Times New Roman" w:hAnsi="Times New Roman" w:cs="Times New Roman"/>
          <w:sz w:val="28"/>
          <w:szCs w:val="28"/>
        </w:rPr>
      </w:pPr>
      <w:r w:rsidRPr="0077714F">
        <w:rPr>
          <w:rFonts w:ascii="Times New Roman" w:hAnsi="Times New Roman" w:cs="Times New Roman"/>
          <w:sz w:val="28"/>
          <w:szCs w:val="28"/>
        </w:rPr>
        <w:t>Makhanda</w:t>
      </w:r>
    </w:p>
    <w:p w:rsidR="009E5612" w:rsidRPr="0077714F" w:rsidRDefault="009E5612" w:rsidP="00CE2E66">
      <w:pPr>
        <w:ind w:left="4320" w:firstLine="720"/>
        <w:rPr>
          <w:rFonts w:ascii="Times New Roman" w:hAnsi="Times New Roman" w:cs="Times New Roman"/>
          <w:sz w:val="28"/>
          <w:szCs w:val="28"/>
        </w:rPr>
      </w:pPr>
      <w:r w:rsidRPr="0077714F">
        <w:rPr>
          <w:rFonts w:ascii="Times New Roman" w:hAnsi="Times New Roman" w:cs="Times New Roman"/>
          <w:sz w:val="28"/>
          <w:szCs w:val="28"/>
        </w:rPr>
        <w:t>(Ref: N. Yokwana)</w:t>
      </w:r>
    </w:p>
    <w:p w:rsidR="009E5612" w:rsidRPr="0077714F" w:rsidRDefault="009E5612" w:rsidP="00CE2E66">
      <w:pPr>
        <w:ind w:left="4320" w:firstLine="720"/>
        <w:rPr>
          <w:rFonts w:ascii="Times New Roman" w:hAnsi="Times New Roman" w:cs="Times New Roman"/>
          <w:sz w:val="28"/>
          <w:szCs w:val="28"/>
        </w:rPr>
      </w:pPr>
      <w:r w:rsidRPr="0077714F">
        <w:rPr>
          <w:rFonts w:ascii="Times New Roman" w:hAnsi="Times New Roman" w:cs="Times New Roman"/>
          <w:sz w:val="28"/>
          <w:szCs w:val="28"/>
        </w:rPr>
        <w:t>Tel: 046-622 9928</w:t>
      </w:r>
    </w:p>
    <w:p w:rsidR="00B764FB" w:rsidRDefault="00B764FB" w:rsidP="00522840">
      <w:pPr>
        <w:rPr>
          <w:rFonts w:ascii="Times New Roman" w:hAnsi="Times New Roman" w:cs="Times New Roman"/>
          <w:sz w:val="28"/>
          <w:szCs w:val="28"/>
        </w:rPr>
      </w:pPr>
    </w:p>
    <w:p w:rsidR="00DC2EB4" w:rsidRPr="0077714F" w:rsidRDefault="00DC2EB4" w:rsidP="00522840">
      <w:pPr>
        <w:rPr>
          <w:rFonts w:ascii="Times New Roman" w:hAnsi="Times New Roman" w:cs="Times New Roman"/>
          <w:sz w:val="28"/>
          <w:szCs w:val="28"/>
        </w:rPr>
      </w:pPr>
    </w:p>
    <w:p w:rsidR="0077714F" w:rsidRPr="0077714F" w:rsidRDefault="0077714F" w:rsidP="00522840">
      <w:pPr>
        <w:rPr>
          <w:rFonts w:ascii="Times New Roman" w:hAnsi="Times New Roman" w:cs="Times New Roman"/>
          <w:sz w:val="28"/>
          <w:szCs w:val="28"/>
        </w:rPr>
      </w:pPr>
      <w:r w:rsidRPr="0077714F">
        <w:rPr>
          <w:rFonts w:ascii="Times New Roman" w:hAnsi="Times New Roman" w:cs="Times New Roman"/>
          <w:sz w:val="28"/>
          <w:szCs w:val="28"/>
        </w:rPr>
        <w:t xml:space="preserve">Date </w:t>
      </w:r>
      <w:r>
        <w:rPr>
          <w:rFonts w:ascii="Times New Roman" w:hAnsi="Times New Roman" w:cs="Times New Roman"/>
          <w:sz w:val="28"/>
          <w:szCs w:val="28"/>
        </w:rPr>
        <w:t>h</w:t>
      </w:r>
      <w:r w:rsidRPr="0077714F">
        <w:rPr>
          <w:rFonts w:ascii="Times New Roman" w:hAnsi="Times New Roman" w:cs="Times New Roman"/>
          <w:sz w:val="28"/>
          <w:szCs w:val="28"/>
        </w:rPr>
        <w:t>eard:</w:t>
      </w:r>
      <w:r w:rsidRPr="0077714F">
        <w:rPr>
          <w:rFonts w:ascii="Times New Roman" w:hAnsi="Times New Roman" w:cs="Times New Roman"/>
          <w:sz w:val="28"/>
          <w:szCs w:val="28"/>
        </w:rPr>
        <w:tab/>
      </w:r>
      <w:r w:rsidRPr="0077714F">
        <w:rPr>
          <w:rFonts w:ascii="Times New Roman" w:hAnsi="Times New Roman" w:cs="Times New Roman"/>
          <w:sz w:val="28"/>
          <w:szCs w:val="28"/>
        </w:rPr>
        <w:tab/>
      </w:r>
      <w:r w:rsidRPr="0077714F">
        <w:rPr>
          <w:rFonts w:ascii="Times New Roman" w:hAnsi="Times New Roman" w:cs="Times New Roman"/>
          <w:sz w:val="28"/>
          <w:szCs w:val="28"/>
        </w:rPr>
        <w:tab/>
      </w:r>
      <w:r w:rsidRPr="0077714F">
        <w:rPr>
          <w:rFonts w:ascii="Times New Roman" w:hAnsi="Times New Roman" w:cs="Times New Roman"/>
          <w:sz w:val="28"/>
          <w:szCs w:val="28"/>
        </w:rPr>
        <w:tab/>
      </w:r>
      <w:r w:rsidRPr="0077714F">
        <w:rPr>
          <w:rFonts w:ascii="Times New Roman" w:hAnsi="Times New Roman" w:cs="Times New Roman"/>
          <w:sz w:val="28"/>
          <w:szCs w:val="28"/>
        </w:rPr>
        <w:tab/>
      </w:r>
      <w:r>
        <w:rPr>
          <w:rFonts w:ascii="Times New Roman" w:hAnsi="Times New Roman" w:cs="Times New Roman"/>
          <w:sz w:val="28"/>
          <w:szCs w:val="28"/>
        </w:rPr>
        <w:tab/>
      </w:r>
      <w:r w:rsidRPr="0077714F">
        <w:rPr>
          <w:rFonts w:ascii="Times New Roman" w:hAnsi="Times New Roman" w:cs="Times New Roman"/>
          <w:sz w:val="28"/>
          <w:szCs w:val="28"/>
        </w:rPr>
        <w:t>07 November 2022.</w:t>
      </w:r>
    </w:p>
    <w:p w:rsidR="0077714F" w:rsidRPr="0077714F" w:rsidRDefault="0077714F" w:rsidP="00522840">
      <w:pPr>
        <w:rPr>
          <w:rFonts w:ascii="Times New Roman" w:hAnsi="Times New Roman" w:cs="Times New Roman"/>
          <w:sz w:val="28"/>
          <w:szCs w:val="28"/>
        </w:rPr>
      </w:pPr>
      <w:r w:rsidRPr="0077714F">
        <w:rPr>
          <w:rFonts w:ascii="Times New Roman" w:hAnsi="Times New Roman" w:cs="Times New Roman"/>
          <w:sz w:val="28"/>
          <w:szCs w:val="28"/>
        </w:rPr>
        <w:t xml:space="preserve">Date </w:t>
      </w:r>
      <w:r>
        <w:rPr>
          <w:rFonts w:ascii="Times New Roman" w:hAnsi="Times New Roman" w:cs="Times New Roman"/>
          <w:sz w:val="28"/>
          <w:szCs w:val="28"/>
        </w:rPr>
        <w:t>d</w:t>
      </w:r>
      <w:r w:rsidRPr="0077714F">
        <w:rPr>
          <w:rFonts w:ascii="Times New Roman" w:hAnsi="Times New Roman" w:cs="Times New Roman"/>
          <w:sz w:val="28"/>
          <w:szCs w:val="28"/>
        </w:rPr>
        <w:t>elivered:</w:t>
      </w:r>
      <w:r w:rsidRPr="0077714F">
        <w:rPr>
          <w:rFonts w:ascii="Times New Roman" w:hAnsi="Times New Roman" w:cs="Times New Roman"/>
          <w:sz w:val="28"/>
          <w:szCs w:val="28"/>
        </w:rPr>
        <w:tab/>
      </w:r>
      <w:r w:rsidRPr="0077714F">
        <w:rPr>
          <w:rFonts w:ascii="Times New Roman" w:hAnsi="Times New Roman" w:cs="Times New Roman"/>
          <w:sz w:val="28"/>
          <w:szCs w:val="28"/>
        </w:rPr>
        <w:tab/>
      </w:r>
      <w:r w:rsidRPr="0077714F">
        <w:rPr>
          <w:rFonts w:ascii="Times New Roman" w:hAnsi="Times New Roman" w:cs="Times New Roman"/>
          <w:sz w:val="28"/>
          <w:szCs w:val="28"/>
        </w:rPr>
        <w:tab/>
      </w:r>
      <w:r w:rsidRPr="0077714F">
        <w:rPr>
          <w:rFonts w:ascii="Times New Roman" w:hAnsi="Times New Roman" w:cs="Times New Roman"/>
          <w:sz w:val="28"/>
          <w:szCs w:val="28"/>
        </w:rPr>
        <w:tab/>
      </w:r>
      <w:r w:rsidRPr="0077714F">
        <w:rPr>
          <w:rFonts w:ascii="Times New Roman" w:hAnsi="Times New Roman" w:cs="Times New Roman"/>
          <w:sz w:val="28"/>
          <w:szCs w:val="28"/>
        </w:rPr>
        <w:tab/>
        <w:t>06 February 2023.</w:t>
      </w:r>
    </w:p>
    <w:sectPr w:rsidR="0077714F" w:rsidRPr="0077714F" w:rsidSect="00A572D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D5D" w:rsidRDefault="00760D5D" w:rsidP="00354A12">
      <w:pPr>
        <w:spacing w:line="240" w:lineRule="auto"/>
      </w:pPr>
      <w:r>
        <w:separator/>
      </w:r>
    </w:p>
  </w:endnote>
  <w:endnote w:type="continuationSeparator" w:id="0">
    <w:p w:rsidR="00760D5D" w:rsidRDefault="00760D5D"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D5D" w:rsidRDefault="00760D5D" w:rsidP="00354A12">
      <w:pPr>
        <w:spacing w:line="240" w:lineRule="auto"/>
      </w:pPr>
      <w:r>
        <w:separator/>
      </w:r>
    </w:p>
  </w:footnote>
  <w:footnote w:type="continuationSeparator" w:id="0">
    <w:p w:rsidR="00760D5D" w:rsidRDefault="00760D5D" w:rsidP="00354A12">
      <w:pPr>
        <w:spacing w:line="240" w:lineRule="auto"/>
      </w:pPr>
      <w:r>
        <w:continuationSeparator/>
      </w:r>
    </w:p>
  </w:footnote>
  <w:footnote w:id="1">
    <w:p w:rsidR="00373173" w:rsidRPr="001D00E2" w:rsidRDefault="00373173" w:rsidP="001D00E2">
      <w:pPr>
        <w:pStyle w:val="FootnoteText"/>
        <w:jc w:val="both"/>
        <w:rPr>
          <w:rFonts w:ascii="Times New Roman" w:hAnsi="Times New Roman" w:cs="Times New Roman"/>
        </w:rPr>
      </w:pPr>
      <w:r w:rsidRPr="001D00E2">
        <w:rPr>
          <w:rStyle w:val="FootnoteReference"/>
          <w:rFonts w:ascii="Times New Roman" w:hAnsi="Times New Roman" w:cs="Times New Roman"/>
        </w:rPr>
        <w:footnoteRef/>
      </w:r>
      <w:r w:rsidRPr="001D00E2">
        <w:rPr>
          <w:rFonts w:ascii="Times New Roman" w:hAnsi="Times New Roman" w:cs="Times New Roman"/>
        </w:rPr>
        <w:t xml:space="preserve"> Act 10 of 2013</w:t>
      </w:r>
      <w:r w:rsidR="00AA1C1F">
        <w:rPr>
          <w:rFonts w:ascii="Times New Roman" w:hAnsi="Times New Roman" w:cs="Times New Roman"/>
        </w:rPr>
        <w:t>.</w:t>
      </w:r>
    </w:p>
  </w:footnote>
  <w:footnote w:id="2">
    <w:p w:rsidR="006F3279" w:rsidRPr="001D00E2" w:rsidRDefault="006F3279" w:rsidP="001D00E2">
      <w:pPr>
        <w:pStyle w:val="FootnoteText"/>
        <w:jc w:val="both"/>
        <w:rPr>
          <w:rFonts w:ascii="Times New Roman" w:hAnsi="Times New Roman" w:cs="Times New Roman"/>
        </w:rPr>
      </w:pPr>
      <w:r w:rsidRPr="001D00E2">
        <w:rPr>
          <w:rStyle w:val="FootnoteReference"/>
          <w:rFonts w:ascii="Times New Roman" w:hAnsi="Times New Roman" w:cs="Times New Roman"/>
        </w:rPr>
        <w:footnoteRef/>
      </w:r>
      <w:r w:rsidRPr="001D00E2">
        <w:rPr>
          <w:rFonts w:ascii="Times New Roman" w:hAnsi="Times New Roman" w:cs="Times New Roman"/>
        </w:rPr>
        <w:t xml:space="preserve"> Commissioner of Inland Revenue v Tuck 1989 (4) SA 888 (T) at 890B.</w:t>
      </w:r>
    </w:p>
  </w:footnote>
  <w:footnote w:id="3">
    <w:p w:rsidR="006F3279" w:rsidRPr="001D00E2" w:rsidRDefault="006F3279" w:rsidP="001D00E2">
      <w:pPr>
        <w:pStyle w:val="FootnoteText"/>
        <w:jc w:val="both"/>
        <w:rPr>
          <w:rFonts w:ascii="Times New Roman" w:hAnsi="Times New Roman" w:cs="Times New Roman"/>
        </w:rPr>
      </w:pPr>
      <w:r w:rsidRPr="001D00E2">
        <w:rPr>
          <w:rStyle w:val="FootnoteReference"/>
          <w:rFonts w:ascii="Times New Roman" w:hAnsi="Times New Roman" w:cs="Times New Roman"/>
        </w:rPr>
        <w:footnoteRef/>
      </w:r>
      <w:r w:rsidRPr="001D00E2">
        <w:rPr>
          <w:rFonts w:ascii="Times New Roman" w:hAnsi="Times New Roman" w:cs="Times New Roman"/>
          <w:i/>
        </w:rPr>
        <w:t xml:space="preserve">Valley of the Kings Thaba Motswere (Pty) Ltd and another v A L Mayya International </w:t>
      </w:r>
      <w:r w:rsidRPr="001D00E2">
        <w:rPr>
          <w:rFonts w:ascii="Times New Roman" w:hAnsi="Times New Roman" w:cs="Times New Roman"/>
        </w:rPr>
        <w:t xml:space="preserve">[2016] ZAECGHC 137; Also see </w:t>
      </w:r>
      <w:r w:rsidRPr="001D00E2">
        <w:rPr>
          <w:rFonts w:ascii="Times New Roman" w:hAnsi="Times New Roman" w:cs="Times New Roman"/>
          <w:i/>
        </w:rPr>
        <w:t>MEC for Health, Eastern Cape v Neliswa Mbola</w:t>
      </w:r>
      <w:r w:rsidRPr="001D00E2">
        <w:rPr>
          <w:rFonts w:ascii="Times New Roman" w:hAnsi="Times New Roman" w:cs="Times New Roman"/>
        </w:rPr>
        <w:t xml:space="preserve"> obo </w:t>
      </w:r>
      <w:r w:rsidRPr="001D00E2">
        <w:rPr>
          <w:rFonts w:ascii="Times New Roman" w:hAnsi="Times New Roman" w:cs="Times New Roman"/>
          <w:i/>
        </w:rPr>
        <w:t>Asavela Mbola</w:t>
      </w:r>
      <w:r w:rsidRPr="001D00E2">
        <w:rPr>
          <w:rFonts w:ascii="Times New Roman" w:hAnsi="Times New Roman" w:cs="Times New Roman"/>
        </w:rPr>
        <w:t xml:space="preserve"> [2019] ZAECMHC 21, where, with reference to the Supreme Court of Appeal judgment in </w:t>
      </w:r>
      <w:r w:rsidRPr="001D00E2">
        <w:rPr>
          <w:rFonts w:ascii="Times New Roman" w:hAnsi="Times New Roman" w:cs="Times New Roman"/>
          <w:i/>
        </w:rPr>
        <w:t>MEC for Health, Eastern Cape v Mkitha</w:t>
      </w:r>
      <w:r w:rsidRPr="001D00E2">
        <w:rPr>
          <w:rFonts w:ascii="Times New Roman" w:hAnsi="Times New Roman" w:cs="Times New Roman"/>
        </w:rPr>
        <w:t xml:space="preserve"> [2016] ZASCA 176 at para 17, it was held:</w:t>
      </w:r>
      <w:r w:rsidR="000F64C8" w:rsidRPr="001D00E2">
        <w:rPr>
          <w:rFonts w:ascii="Times New Roman" w:hAnsi="Times New Roman" w:cs="Times New Roman"/>
        </w:rPr>
        <w:t xml:space="preserve"> ‘</w:t>
      </w:r>
      <w:r w:rsidRPr="001D00E2">
        <w:rPr>
          <w:rFonts w:ascii="Times New Roman" w:hAnsi="Times New Roman" w:cs="Times New Roman"/>
        </w:rPr>
        <w:t>. . . an applicant for leave to appeal must convince the court on proper grounds that there is a “reasonable prospect or realistic chance of success on appeal. A mere possibility of success, an arguable case, or one that is not hopeless, is not enough. There must be a sound basis to conclude that there is a reasonable prospect of success on appeal</w:t>
      </w:r>
      <w:r w:rsidR="000F64C8" w:rsidRPr="001D00E2">
        <w:rPr>
          <w:rFonts w:ascii="Times New Roman" w:hAnsi="Times New Roman" w:cs="Times New Roman"/>
        </w:rPr>
        <w:t>.’</w:t>
      </w:r>
    </w:p>
  </w:footnote>
  <w:footnote w:id="4">
    <w:p w:rsidR="006B0BBF" w:rsidRPr="001D00E2" w:rsidRDefault="006B0BBF" w:rsidP="001D00E2">
      <w:pPr>
        <w:pStyle w:val="FootnoteText"/>
        <w:jc w:val="both"/>
        <w:rPr>
          <w:rFonts w:ascii="Times New Roman" w:hAnsi="Times New Roman" w:cs="Times New Roman"/>
        </w:rPr>
      </w:pPr>
      <w:r w:rsidRPr="001D00E2">
        <w:rPr>
          <w:rStyle w:val="FootnoteReference"/>
          <w:rFonts w:ascii="Times New Roman" w:hAnsi="Times New Roman" w:cs="Times New Roman"/>
        </w:rPr>
        <w:footnoteRef/>
      </w:r>
      <w:r w:rsidRPr="001D00E2">
        <w:rPr>
          <w:rFonts w:ascii="Times New Roman" w:hAnsi="Times New Roman" w:cs="Times New Roman"/>
        </w:rPr>
        <w:t xml:space="preserve"> </w:t>
      </w:r>
      <w:r w:rsidRPr="00AA1C1F">
        <w:rPr>
          <w:rFonts w:ascii="Times New Roman" w:hAnsi="Times New Roman" w:cs="Times New Roman"/>
          <w:i/>
        </w:rPr>
        <w:t>Mashongwa v PRASA</w:t>
      </w:r>
      <w:r w:rsidRPr="001D00E2">
        <w:rPr>
          <w:rFonts w:ascii="Times New Roman" w:hAnsi="Times New Roman" w:cs="Times New Roman"/>
        </w:rPr>
        <w:t xml:space="preserve"> 2016 (3) SA 528 (CC) para 45.</w:t>
      </w:r>
    </w:p>
  </w:footnote>
  <w:footnote w:id="5">
    <w:p w:rsidR="00AA1C1F" w:rsidRDefault="00AA1C1F">
      <w:pPr>
        <w:pStyle w:val="FootnoteText"/>
      </w:pPr>
      <w:r>
        <w:rPr>
          <w:rStyle w:val="FootnoteReference"/>
        </w:rPr>
        <w:footnoteRef/>
      </w:r>
      <w:r>
        <w:t xml:space="preserve"> </w:t>
      </w:r>
      <w:r w:rsidRPr="001D00E2">
        <w:rPr>
          <w:rFonts w:ascii="Times New Roman" w:hAnsi="Times New Roman" w:cs="Times New Roman"/>
          <w:lang w:val="en-GB"/>
        </w:rPr>
        <w:t xml:space="preserve">1948 (2) SA 677 (A) at </w:t>
      </w:r>
      <w:r>
        <w:rPr>
          <w:rFonts w:ascii="Times New Roman" w:hAnsi="Times New Roman" w:cs="Times New Roman"/>
          <w:lang w:val="en-GB"/>
        </w:rPr>
        <w:t>705-706</w:t>
      </w:r>
    </w:p>
  </w:footnote>
  <w:footnote w:id="6">
    <w:p w:rsidR="00796F10" w:rsidRPr="00DA2521" w:rsidRDefault="00796F10">
      <w:pPr>
        <w:pStyle w:val="FootnoteText"/>
        <w:rPr>
          <w:rFonts w:ascii="Times New Roman" w:hAnsi="Times New Roman" w:cs="Times New Roman"/>
        </w:rPr>
      </w:pPr>
      <w:r w:rsidRPr="00DA2521">
        <w:rPr>
          <w:rStyle w:val="FootnoteReference"/>
          <w:rFonts w:ascii="Times New Roman" w:hAnsi="Times New Roman" w:cs="Times New Roman"/>
        </w:rPr>
        <w:footnoteRef/>
      </w:r>
      <w:r w:rsidRPr="00DA2521">
        <w:rPr>
          <w:rFonts w:ascii="Times New Roman" w:hAnsi="Times New Roman" w:cs="Times New Roman"/>
        </w:rPr>
        <w:t xml:space="preserve"> </w:t>
      </w:r>
      <w:r w:rsidR="00DA2521">
        <w:rPr>
          <w:rFonts w:ascii="Times New Roman" w:hAnsi="Times New Roman" w:cs="Times New Roman"/>
        </w:rPr>
        <w:t>A</w:t>
      </w:r>
      <w:r w:rsidRPr="00DA2521">
        <w:rPr>
          <w:rFonts w:ascii="Times New Roman" w:hAnsi="Times New Roman" w:cs="Times New Roman"/>
        </w:rPr>
        <w:t>nd in heads of argument submitted for the application for leave to appeal</w:t>
      </w:r>
      <w:r w:rsidR="00DA2521">
        <w:rPr>
          <w:rFonts w:ascii="Times New Roman" w:hAnsi="Times New Roman" w:cs="Times New Roman"/>
        </w:rPr>
        <w:t>.</w:t>
      </w:r>
    </w:p>
  </w:footnote>
  <w:footnote w:id="7">
    <w:p w:rsidR="005077B1" w:rsidRPr="001D00E2" w:rsidRDefault="005077B1" w:rsidP="001D00E2">
      <w:pPr>
        <w:pStyle w:val="FootnoteText"/>
        <w:jc w:val="both"/>
        <w:rPr>
          <w:rFonts w:ascii="Times New Roman" w:hAnsi="Times New Roman" w:cs="Times New Roman"/>
        </w:rPr>
      </w:pPr>
      <w:r w:rsidRPr="001D00E2">
        <w:rPr>
          <w:rStyle w:val="FootnoteReference"/>
          <w:rFonts w:ascii="Times New Roman" w:hAnsi="Times New Roman" w:cs="Times New Roman"/>
        </w:rPr>
        <w:footnoteRef/>
      </w:r>
      <w:r w:rsidRPr="001D00E2">
        <w:rPr>
          <w:rFonts w:ascii="Times New Roman" w:hAnsi="Times New Roman" w:cs="Times New Roman"/>
        </w:rPr>
        <w:t xml:space="preserve"> </w:t>
      </w:r>
      <w:r w:rsidRPr="003205C2">
        <w:rPr>
          <w:rFonts w:ascii="Times New Roman" w:hAnsi="Times New Roman" w:cs="Times New Roman"/>
          <w:i/>
        </w:rPr>
        <w:t>R v Dhlumayo and Another</w:t>
      </w:r>
      <w:r w:rsidRPr="001D00E2">
        <w:rPr>
          <w:rFonts w:ascii="Times New Roman" w:hAnsi="Times New Roman" w:cs="Times New Roman"/>
        </w:rPr>
        <w:t xml:space="preserve"> </w:t>
      </w:r>
      <w:r w:rsidR="00754F34">
        <w:rPr>
          <w:rFonts w:ascii="Times New Roman" w:hAnsi="Times New Roman" w:cs="Times New Roman"/>
          <w:lang w:val="en-GB"/>
        </w:rPr>
        <w:t xml:space="preserve">supra </w:t>
      </w:r>
      <w:r w:rsidRPr="001D00E2">
        <w:rPr>
          <w:rFonts w:ascii="Times New Roman" w:hAnsi="Times New Roman" w:cs="Times New Roman"/>
          <w:lang w:val="en-GB"/>
        </w:rPr>
        <w:t>at 678.</w:t>
      </w:r>
    </w:p>
  </w:footnote>
  <w:footnote w:id="8">
    <w:p w:rsidR="004D06BD" w:rsidRPr="001D00E2" w:rsidRDefault="004D06BD" w:rsidP="001D00E2">
      <w:pPr>
        <w:pStyle w:val="FootnoteText"/>
        <w:jc w:val="both"/>
        <w:rPr>
          <w:rFonts w:ascii="Times New Roman" w:hAnsi="Times New Roman" w:cs="Times New Roman"/>
        </w:rPr>
      </w:pPr>
      <w:r w:rsidRPr="001D00E2">
        <w:rPr>
          <w:rStyle w:val="FootnoteReference"/>
          <w:rFonts w:ascii="Times New Roman" w:hAnsi="Times New Roman" w:cs="Times New Roman"/>
        </w:rPr>
        <w:footnoteRef/>
      </w:r>
      <w:r w:rsidRPr="001D00E2">
        <w:rPr>
          <w:rFonts w:ascii="Times New Roman" w:hAnsi="Times New Roman" w:cs="Times New Roman"/>
        </w:rPr>
        <w:t xml:space="preserve"> Compare </w:t>
      </w:r>
      <w:r w:rsidRPr="003205C2">
        <w:rPr>
          <w:rFonts w:ascii="Times New Roman" w:hAnsi="Times New Roman" w:cs="Times New Roman"/>
          <w:i/>
        </w:rPr>
        <w:t>Saloman and Others v S</w:t>
      </w:r>
      <w:r w:rsidRPr="001D00E2">
        <w:rPr>
          <w:rFonts w:ascii="Times New Roman" w:hAnsi="Times New Roman" w:cs="Times New Roman"/>
        </w:rPr>
        <w:t xml:space="preserve"> [2013] ZAWCHC 111 para</w:t>
      </w:r>
      <w:r w:rsidR="00460B38" w:rsidRPr="001D00E2">
        <w:rPr>
          <w:rFonts w:ascii="Times New Roman" w:hAnsi="Times New Roman" w:cs="Times New Roman"/>
        </w:rPr>
        <w:t>s 17 and 18.</w:t>
      </w:r>
    </w:p>
  </w:footnote>
  <w:footnote w:id="9">
    <w:p w:rsidR="00FD3C30" w:rsidRPr="001D00E2" w:rsidRDefault="00FD3C30" w:rsidP="001D00E2">
      <w:pPr>
        <w:pStyle w:val="FootnoteText"/>
        <w:jc w:val="both"/>
        <w:rPr>
          <w:rFonts w:ascii="Times New Roman" w:hAnsi="Times New Roman" w:cs="Times New Roman"/>
        </w:rPr>
      </w:pPr>
      <w:r w:rsidRPr="001D00E2">
        <w:rPr>
          <w:rStyle w:val="FootnoteReference"/>
          <w:rFonts w:ascii="Times New Roman" w:hAnsi="Times New Roman" w:cs="Times New Roman"/>
        </w:rPr>
        <w:footnoteRef/>
      </w:r>
      <w:r w:rsidRPr="001D00E2">
        <w:rPr>
          <w:rFonts w:ascii="Times New Roman" w:hAnsi="Times New Roman" w:cs="Times New Roman"/>
        </w:rPr>
        <w:t xml:space="preserve"> Borrowing the phraseology used by De Villiers AJ in </w:t>
      </w:r>
      <w:r w:rsidR="006D2852" w:rsidRPr="003205C2">
        <w:rPr>
          <w:rFonts w:ascii="Times New Roman" w:hAnsi="Times New Roman" w:cs="Times New Roman"/>
          <w:i/>
        </w:rPr>
        <w:t>Van Zyl v Steyn</w:t>
      </w:r>
      <w:r w:rsidR="006D2852" w:rsidRPr="001D00E2">
        <w:rPr>
          <w:rFonts w:ascii="Times New Roman" w:hAnsi="Times New Roman" w:cs="Times New Roman"/>
        </w:rPr>
        <w:t xml:space="preserve"> [2022] ZAGPPHC 302 para 26.</w:t>
      </w:r>
    </w:p>
  </w:footnote>
  <w:footnote w:id="10">
    <w:p w:rsidR="004F115E" w:rsidRPr="00003738" w:rsidRDefault="004F115E">
      <w:pPr>
        <w:pStyle w:val="FootnoteText"/>
        <w:rPr>
          <w:rFonts w:ascii="Times New Roman" w:hAnsi="Times New Roman" w:cs="Times New Roman"/>
        </w:rPr>
      </w:pPr>
      <w:r w:rsidRPr="00003738">
        <w:rPr>
          <w:rStyle w:val="FootnoteReference"/>
          <w:rFonts w:ascii="Times New Roman" w:hAnsi="Times New Roman" w:cs="Times New Roman"/>
        </w:rPr>
        <w:footnoteRef/>
      </w:r>
      <w:r w:rsidRPr="00003738">
        <w:rPr>
          <w:rFonts w:ascii="Times New Roman" w:hAnsi="Times New Roman" w:cs="Times New Roman"/>
        </w:rPr>
        <w:t xml:space="preserve"> </w:t>
      </w:r>
      <w:r w:rsidR="00003738" w:rsidRPr="00003738">
        <w:rPr>
          <w:rFonts w:ascii="Times New Roman" w:hAnsi="Times New Roman" w:cs="Times New Roman"/>
          <w:i/>
        </w:rPr>
        <w:t>Diljan v Minister of Police</w:t>
      </w:r>
      <w:r w:rsidR="00003738">
        <w:rPr>
          <w:rFonts w:ascii="Times New Roman" w:hAnsi="Times New Roman" w:cs="Times New Roman"/>
        </w:rPr>
        <w:t xml:space="preserve"> </w:t>
      </w:r>
      <w:r w:rsidR="00003738" w:rsidRPr="00003738">
        <w:rPr>
          <w:rFonts w:ascii="Times New Roman" w:hAnsi="Times New Roman" w:cs="Times New Roman"/>
        </w:rPr>
        <w:t>[2022] ZASCA103 (23 June 2022) at para 20.</w:t>
      </w:r>
    </w:p>
  </w:footnote>
  <w:footnote w:id="11">
    <w:p w:rsidR="0036254F" w:rsidRPr="001D00E2" w:rsidRDefault="0036254F" w:rsidP="001D00E2">
      <w:pPr>
        <w:pStyle w:val="FootnoteText"/>
        <w:jc w:val="both"/>
        <w:rPr>
          <w:rFonts w:ascii="Times New Roman" w:hAnsi="Times New Roman" w:cs="Times New Roman"/>
        </w:rPr>
      </w:pPr>
      <w:r w:rsidRPr="001D00E2">
        <w:rPr>
          <w:rStyle w:val="FootnoteReference"/>
          <w:rFonts w:ascii="Times New Roman" w:hAnsi="Times New Roman" w:cs="Times New Roman"/>
        </w:rPr>
        <w:footnoteRef/>
      </w:r>
      <w:r w:rsidRPr="001D00E2">
        <w:rPr>
          <w:rFonts w:ascii="Times New Roman" w:hAnsi="Times New Roman" w:cs="Times New Roman"/>
        </w:rPr>
        <w:t xml:space="preserve"> Compare </w:t>
      </w:r>
      <w:r w:rsidRPr="003205C2">
        <w:rPr>
          <w:rFonts w:ascii="Times New Roman" w:hAnsi="Times New Roman" w:cs="Times New Roman"/>
          <w:i/>
        </w:rPr>
        <w:t>April v Minister of Safety and Security</w:t>
      </w:r>
      <w:r w:rsidRPr="001D00E2">
        <w:rPr>
          <w:rFonts w:ascii="Times New Roman" w:hAnsi="Times New Roman" w:cs="Times New Roman"/>
        </w:rPr>
        <w:t xml:space="preserve"> [2008] 3 All SA</w:t>
      </w:r>
      <w:r w:rsidR="00F17DDC" w:rsidRPr="001D00E2">
        <w:rPr>
          <w:rFonts w:ascii="Times New Roman" w:hAnsi="Times New Roman" w:cs="Times New Roman"/>
        </w:rPr>
        <w:t xml:space="preserve"> 270 (SE) at 283.</w:t>
      </w:r>
    </w:p>
  </w:footnote>
  <w:footnote w:id="12">
    <w:p w:rsidR="00107BBA" w:rsidRPr="001D00E2" w:rsidRDefault="00107BBA" w:rsidP="001D00E2">
      <w:pPr>
        <w:pStyle w:val="FootnoteText"/>
        <w:jc w:val="both"/>
        <w:rPr>
          <w:rFonts w:ascii="Times New Roman" w:hAnsi="Times New Roman" w:cs="Times New Roman"/>
        </w:rPr>
      </w:pPr>
      <w:r w:rsidRPr="001D00E2">
        <w:rPr>
          <w:rStyle w:val="FootnoteReference"/>
          <w:rFonts w:ascii="Times New Roman" w:hAnsi="Times New Roman" w:cs="Times New Roman"/>
        </w:rPr>
        <w:footnoteRef/>
      </w:r>
      <w:r w:rsidRPr="001D00E2">
        <w:rPr>
          <w:rFonts w:ascii="Times New Roman" w:hAnsi="Times New Roman" w:cs="Times New Roman"/>
        </w:rPr>
        <w:t xml:space="preserve"> [2020] ZASCA 17; 2020 (5) SA 35 (SCA) para 2.</w:t>
      </w:r>
    </w:p>
  </w:footnote>
  <w:footnote w:id="13">
    <w:p w:rsidR="00107BBA" w:rsidRPr="001D00E2" w:rsidRDefault="00107BBA" w:rsidP="001D00E2">
      <w:pPr>
        <w:pStyle w:val="FootnoteText"/>
        <w:jc w:val="both"/>
        <w:rPr>
          <w:rFonts w:ascii="Times New Roman" w:hAnsi="Times New Roman" w:cs="Times New Roman"/>
        </w:rPr>
      </w:pPr>
      <w:r w:rsidRPr="001D00E2">
        <w:rPr>
          <w:rStyle w:val="FootnoteReference"/>
          <w:rFonts w:ascii="Times New Roman" w:hAnsi="Times New Roman" w:cs="Times New Roman"/>
        </w:rPr>
        <w:footnoteRef/>
      </w:r>
      <w:r w:rsidRPr="001D00E2">
        <w:rPr>
          <w:rFonts w:ascii="Times New Roman" w:hAnsi="Times New Roman" w:cs="Times New Roman"/>
        </w:rPr>
        <w:t xml:space="preserve"> </w:t>
      </w:r>
      <w:r w:rsidRPr="001D00E2">
        <w:rPr>
          <w:rFonts w:ascii="Times New Roman" w:hAnsi="Times New Roman" w:cs="Times New Roman"/>
          <w:i/>
          <w:iCs/>
        </w:rPr>
        <w:t xml:space="preserve">Caratco ibid </w:t>
      </w:r>
      <w:r w:rsidRPr="001D00E2">
        <w:rPr>
          <w:rFonts w:ascii="Times New Roman" w:hAnsi="Times New Roman" w:cs="Times New Roman"/>
        </w:rPr>
        <w:t xml:space="preserve">para 2; also </w:t>
      </w:r>
      <w:r w:rsidRPr="001D00E2">
        <w:rPr>
          <w:rFonts w:ascii="Times New Roman" w:hAnsi="Times New Roman" w:cs="Times New Roman"/>
          <w:i/>
        </w:rPr>
        <w:t>Ramakatsa and Others v African National Congress and Another</w:t>
      </w:r>
      <w:r w:rsidRPr="001D00E2">
        <w:rPr>
          <w:rFonts w:ascii="Times New Roman" w:hAnsi="Times New Roman" w:cs="Times New Roman"/>
        </w:rPr>
        <w:t xml:space="preserve"> [2021] ZASCA 31 para 10.</w:t>
      </w:r>
    </w:p>
  </w:footnote>
  <w:footnote w:id="14">
    <w:p w:rsidR="003B565A" w:rsidRPr="001D00E2" w:rsidRDefault="003B565A" w:rsidP="001D00E2">
      <w:pPr>
        <w:pStyle w:val="FootnoteText"/>
        <w:jc w:val="both"/>
        <w:rPr>
          <w:rFonts w:ascii="Times New Roman" w:hAnsi="Times New Roman" w:cs="Times New Roman"/>
        </w:rPr>
      </w:pPr>
      <w:r w:rsidRPr="001D00E2">
        <w:rPr>
          <w:rStyle w:val="FootnoteReference"/>
          <w:rFonts w:ascii="Times New Roman" w:hAnsi="Times New Roman" w:cs="Times New Roman"/>
        </w:rPr>
        <w:footnoteRef/>
      </w:r>
      <w:r w:rsidRPr="001D00E2">
        <w:rPr>
          <w:rFonts w:ascii="Times New Roman" w:hAnsi="Times New Roman" w:cs="Times New Roman"/>
        </w:rPr>
        <w:t xml:space="preserve"> Unreported ECD Case No. CA 129/2019 delivered 21 July 2020.</w:t>
      </w:r>
    </w:p>
  </w:footnote>
  <w:footnote w:id="15">
    <w:p w:rsidR="003B565A" w:rsidRPr="001D00E2" w:rsidRDefault="003B565A" w:rsidP="001D00E2">
      <w:pPr>
        <w:pStyle w:val="FootnoteText"/>
        <w:jc w:val="both"/>
        <w:rPr>
          <w:rFonts w:ascii="Times New Roman" w:hAnsi="Times New Roman" w:cs="Times New Roman"/>
        </w:rPr>
      </w:pPr>
      <w:r w:rsidRPr="001D00E2">
        <w:rPr>
          <w:rStyle w:val="FootnoteReference"/>
          <w:rFonts w:ascii="Times New Roman" w:hAnsi="Times New Roman" w:cs="Times New Roman"/>
        </w:rPr>
        <w:footnoteRef/>
      </w:r>
      <w:r w:rsidRPr="001D00E2">
        <w:rPr>
          <w:rFonts w:ascii="Times New Roman" w:hAnsi="Times New Roman" w:cs="Times New Roman"/>
        </w:rPr>
        <w:t xml:space="preserve"> Heads of argument, para 1.3.3.</w:t>
      </w:r>
    </w:p>
  </w:footnote>
  <w:footnote w:id="16">
    <w:p w:rsidR="003B565A" w:rsidRPr="001D00E2" w:rsidRDefault="003B565A" w:rsidP="001D00E2">
      <w:pPr>
        <w:pStyle w:val="FootnoteText"/>
        <w:jc w:val="both"/>
        <w:rPr>
          <w:rFonts w:ascii="Times New Roman" w:hAnsi="Times New Roman" w:cs="Times New Roman"/>
        </w:rPr>
      </w:pPr>
      <w:r w:rsidRPr="001D00E2">
        <w:rPr>
          <w:rStyle w:val="FootnoteReference"/>
          <w:rFonts w:ascii="Times New Roman" w:hAnsi="Times New Roman" w:cs="Times New Roman"/>
        </w:rPr>
        <w:footnoteRef/>
      </w:r>
      <w:r w:rsidRPr="001D00E2">
        <w:rPr>
          <w:rFonts w:ascii="Times New Roman" w:hAnsi="Times New Roman" w:cs="Times New Roman"/>
        </w:rPr>
        <w:t xml:space="preserve"> 2010 (4) SA 122 (SCA) at 126E.</w:t>
      </w:r>
    </w:p>
  </w:footnote>
  <w:footnote w:id="17">
    <w:p w:rsidR="003B565A" w:rsidRPr="001D00E2" w:rsidRDefault="003B565A" w:rsidP="001D00E2">
      <w:pPr>
        <w:pStyle w:val="FootnoteText"/>
        <w:jc w:val="both"/>
        <w:rPr>
          <w:rFonts w:ascii="Times New Roman" w:hAnsi="Times New Roman" w:cs="Times New Roman"/>
        </w:rPr>
      </w:pPr>
      <w:r w:rsidRPr="001D00E2">
        <w:rPr>
          <w:rStyle w:val="FootnoteReference"/>
          <w:rFonts w:ascii="Times New Roman" w:hAnsi="Times New Roman" w:cs="Times New Roman"/>
        </w:rPr>
        <w:footnoteRef/>
      </w:r>
      <w:r w:rsidRPr="001D00E2">
        <w:rPr>
          <w:rFonts w:ascii="Times New Roman" w:hAnsi="Times New Roman" w:cs="Times New Roman"/>
        </w:rPr>
        <w:t xml:space="preserve"> </w:t>
      </w:r>
      <w:r w:rsidRPr="001D00E2">
        <w:rPr>
          <w:rFonts w:ascii="Times New Roman" w:hAnsi="Times New Roman" w:cs="Times New Roman"/>
          <w:i/>
        </w:rPr>
        <w:t>Hotz and Others v University of Cape Town</w:t>
      </w:r>
      <w:r w:rsidRPr="001D00E2">
        <w:rPr>
          <w:rFonts w:ascii="Times New Roman" w:hAnsi="Times New Roman" w:cs="Times New Roman"/>
        </w:rPr>
        <w:t xml:space="preserve"> 2018 (1) SA 369 (CC) paras 25 and 28.</w:t>
      </w:r>
      <w:r w:rsidR="00562F23">
        <w:rPr>
          <w:rFonts w:ascii="Times New Roman" w:hAnsi="Times New Roman" w:cs="Times New Roman"/>
        </w:rPr>
        <w:t xml:space="preserve"> See also Van Zyl v Steyn [2022] ZAGPPHC 322</w:t>
      </w:r>
      <w:r w:rsidR="00CD679E">
        <w:rPr>
          <w:rFonts w:ascii="Times New Roman" w:hAnsi="Times New Roman" w:cs="Times New Roman"/>
        </w:rPr>
        <w:t xml:space="preserve"> relevant to an application for leave to appeal against a costs order.</w:t>
      </w:r>
    </w:p>
  </w:footnote>
  <w:footnote w:id="18">
    <w:p w:rsidR="003B565A" w:rsidRPr="001D00E2" w:rsidRDefault="003B565A" w:rsidP="001D00E2">
      <w:pPr>
        <w:pStyle w:val="FootnoteText"/>
        <w:jc w:val="both"/>
        <w:rPr>
          <w:rFonts w:ascii="Times New Roman" w:hAnsi="Times New Roman" w:cs="Times New Roman"/>
        </w:rPr>
      </w:pPr>
      <w:r w:rsidRPr="001D00E2">
        <w:rPr>
          <w:rStyle w:val="FootnoteReference"/>
          <w:rFonts w:ascii="Times New Roman" w:hAnsi="Times New Roman" w:cs="Times New Roman"/>
        </w:rPr>
        <w:footnoteRef/>
      </w:r>
      <w:r w:rsidRPr="001D00E2">
        <w:rPr>
          <w:rFonts w:ascii="Times New Roman" w:hAnsi="Times New Roman" w:cs="Times New Roman"/>
        </w:rPr>
        <w:t xml:space="preserve"> </w:t>
      </w:r>
      <w:r w:rsidRPr="001D00E2">
        <w:rPr>
          <w:rFonts w:ascii="Times New Roman" w:hAnsi="Times New Roman" w:cs="Times New Roman"/>
          <w:i/>
        </w:rPr>
        <w:t>Tebeila Institute of Leadership, Education, Governance and Training v Limpopo College of Nursing and Another</w:t>
      </w:r>
      <w:r w:rsidRPr="001D00E2">
        <w:rPr>
          <w:rFonts w:ascii="Times New Roman" w:hAnsi="Times New Roman" w:cs="Times New Roman"/>
        </w:rPr>
        <w:t xml:space="preserve"> [2015] ZACC 4 para 13.</w:t>
      </w:r>
    </w:p>
  </w:footnote>
  <w:footnote w:id="19">
    <w:p w:rsidR="003B565A" w:rsidRDefault="003B565A" w:rsidP="001D00E2">
      <w:pPr>
        <w:pStyle w:val="FootnoteText"/>
        <w:jc w:val="both"/>
      </w:pPr>
      <w:r w:rsidRPr="001D00E2">
        <w:rPr>
          <w:rStyle w:val="FootnoteReference"/>
          <w:rFonts w:ascii="Times New Roman" w:hAnsi="Times New Roman" w:cs="Times New Roman"/>
        </w:rPr>
        <w:footnoteRef/>
      </w:r>
      <w:r w:rsidRPr="001D00E2">
        <w:rPr>
          <w:rFonts w:ascii="Times New Roman" w:hAnsi="Times New Roman" w:cs="Times New Roman"/>
        </w:rPr>
        <w:t xml:space="preserve"> </w:t>
      </w:r>
      <w:r w:rsidRPr="001D00E2">
        <w:rPr>
          <w:rFonts w:ascii="Times New Roman" w:hAnsi="Times New Roman" w:cs="Times New Roman"/>
          <w:i/>
        </w:rPr>
        <w:t>John Walker Pools v Consolidated Aone Trade &amp; Invest 6 (Pty) Ltd (in liquidation) and Another</w:t>
      </w:r>
      <w:r w:rsidRPr="001D00E2">
        <w:rPr>
          <w:rFonts w:ascii="Times New Roman" w:hAnsi="Times New Roman" w:cs="Times New Roman"/>
        </w:rPr>
        <w:t xml:space="preserve"> 2018 (4) SA 433 (SCA)</w:t>
      </w:r>
      <w:r w:rsidR="003967C1">
        <w:rPr>
          <w:rFonts w:ascii="Times New Roman" w:hAnsi="Times New Roman" w:cs="Times New Roman"/>
        </w:rPr>
        <w:t xml:space="preserve"> para </w:t>
      </w:r>
      <w:r w:rsidRPr="001D00E2">
        <w:rPr>
          <w:rFonts w:ascii="Times New Roman" w:hAnsi="Times New Roman" w:cs="Times New Roman"/>
        </w:rPr>
        <w:t>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365982"/>
      <w:docPartObj>
        <w:docPartGallery w:val="Page Numbers (Top of Page)"/>
        <w:docPartUnique/>
      </w:docPartObj>
    </w:sdtPr>
    <w:sdtEndPr>
      <w:rPr>
        <w:noProof/>
      </w:rPr>
    </w:sdtEndPr>
    <w:sdtContent>
      <w:p w:rsidR="00A572D4" w:rsidRDefault="00A572D4">
        <w:pPr>
          <w:pStyle w:val="Header"/>
          <w:jc w:val="center"/>
        </w:pPr>
        <w:r>
          <w:fldChar w:fldCharType="begin"/>
        </w:r>
        <w:r>
          <w:instrText xml:space="preserve"> PAGE   \* MERGEFORMAT </w:instrText>
        </w:r>
        <w:r>
          <w:fldChar w:fldCharType="separate"/>
        </w:r>
        <w:r w:rsidR="009D4A3E">
          <w:rPr>
            <w:noProof/>
          </w:rPr>
          <w:t>2</w:t>
        </w:r>
        <w:r>
          <w:rPr>
            <w:noProof/>
          </w:rPr>
          <w:fldChar w:fldCharType="end"/>
        </w:r>
      </w:p>
    </w:sdtContent>
  </w:sdt>
  <w:p w:rsidR="00A572D4" w:rsidRDefault="00A572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15:restartNumberingAfterBreak="0">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 w15:restartNumberingAfterBreak="0">
    <w:nsid w:val="5F9B0914"/>
    <w:multiLevelType w:val="hybridMultilevel"/>
    <w:tmpl w:val="4A2CD3AA"/>
    <w:lvl w:ilvl="0" w:tplc="1C09000F">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63FD245B"/>
    <w:multiLevelType w:val="hybridMultilevel"/>
    <w:tmpl w:val="DBB668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44D205C"/>
    <w:multiLevelType w:val="hybridMultilevel"/>
    <w:tmpl w:val="5C0829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1B50B9A-562E-4410-ABA6-C43C28194FFC}"/>
    <w:docVar w:name="dgnword-eventsink" w:val="75461672"/>
  </w:docVars>
  <w:rsids>
    <w:rsidRoot w:val="00354A12"/>
    <w:rsid w:val="000006AD"/>
    <w:rsid w:val="000027EC"/>
    <w:rsid w:val="00003738"/>
    <w:rsid w:val="000116B2"/>
    <w:rsid w:val="0002052F"/>
    <w:rsid w:val="00021F32"/>
    <w:rsid w:val="0002747D"/>
    <w:rsid w:val="00030600"/>
    <w:rsid w:val="00043F8D"/>
    <w:rsid w:val="00045073"/>
    <w:rsid w:val="00054502"/>
    <w:rsid w:val="0006145B"/>
    <w:rsid w:val="00064FBE"/>
    <w:rsid w:val="00065DED"/>
    <w:rsid w:val="00066F15"/>
    <w:rsid w:val="000766FE"/>
    <w:rsid w:val="00084E45"/>
    <w:rsid w:val="00095996"/>
    <w:rsid w:val="000B3BA1"/>
    <w:rsid w:val="000C4069"/>
    <w:rsid w:val="000D1DCE"/>
    <w:rsid w:val="000D4B80"/>
    <w:rsid w:val="000D6DA7"/>
    <w:rsid w:val="000D7F35"/>
    <w:rsid w:val="000E054D"/>
    <w:rsid w:val="000E67A6"/>
    <w:rsid w:val="000F0DDB"/>
    <w:rsid w:val="000F64C8"/>
    <w:rsid w:val="00107BBA"/>
    <w:rsid w:val="00114FDA"/>
    <w:rsid w:val="0012014C"/>
    <w:rsid w:val="00131176"/>
    <w:rsid w:val="0014464F"/>
    <w:rsid w:val="00145AF7"/>
    <w:rsid w:val="00167907"/>
    <w:rsid w:val="00167BDA"/>
    <w:rsid w:val="00176816"/>
    <w:rsid w:val="00187E23"/>
    <w:rsid w:val="00190D88"/>
    <w:rsid w:val="001974D1"/>
    <w:rsid w:val="001B21C4"/>
    <w:rsid w:val="001B2FE7"/>
    <w:rsid w:val="001D00E2"/>
    <w:rsid w:val="001D055A"/>
    <w:rsid w:val="001D4168"/>
    <w:rsid w:val="001F624D"/>
    <w:rsid w:val="002004C4"/>
    <w:rsid w:val="0020593E"/>
    <w:rsid w:val="002266F9"/>
    <w:rsid w:val="00247717"/>
    <w:rsid w:val="00247E2C"/>
    <w:rsid w:val="00254F7C"/>
    <w:rsid w:val="002550AA"/>
    <w:rsid w:val="0025677D"/>
    <w:rsid w:val="002642A5"/>
    <w:rsid w:val="00265B05"/>
    <w:rsid w:val="0028403C"/>
    <w:rsid w:val="002A0249"/>
    <w:rsid w:val="002A21A5"/>
    <w:rsid w:val="002B3DBF"/>
    <w:rsid w:val="002B5C6E"/>
    <w:rsid w:val="002B7A11"/>
    <w:rsid w:val="002D391B"/>
    <w:rsid w:val="002E1D73"/>
    <w:rsid w:val="002F1442"/>
    <w:rsid w:val="002F1A74"/>
    <w:rsid w:val="002F5301"/>
    <w:rsid w:val="0031478E"/>
    <w:rsid w:val="003205C2"/>
    <w:rsid w:val="00324991"/>
    <w:rsid w:val="003250EC"/>
    <w:rsid w:val="003328A3"/>
    <w:rsid w:val="00334E01"/>
    <w:rsid w:val="00354A12"/>
    <w:rsid w:val="003565B3"/>
    <w:rsid w:val="0036254F"/>
    <w:rsid w:val="00373173"/>
    <w:rsid w:val="00383166"/>
    <w:rsid w:val="003838E1"/>
    <w:rsid w:val="00385914"/>
    <w:rsid w:val="00386239"/>
    <w:rsid w:val="00386946"/>
    <w:rsid w:val="0038713E"/>
    <w:rsid w:val="00387EB3"/>
    <w:rsid w:val="003967C1"/>
    <w:rsid w:val="003A02CC"/>
    <w:rsid w:val="003A21BB"/>
    <w:rsid w:val="003B0985"/>
    <w:rsid w:val="003B565A"/>
    <w:rsid w:val="003C1D7A"/>
    <w:rsid w:val="003C3BAD"/>
    <w:rsid w:val="003E3543"/>
    <w:rsid w:val="004100A8"/>
    <w:rsid w:val="004136A1"/>
    <w:rsid w:val="004157B1"/>
    <w:rsid w:val="00426D01"/>
    <w:rsid w:val="00436558"/>
    <w:rsid w:val="004425D8"/>
    <w:rsid w:val="00456270"/>
    <w:rsid w:val="00460B38"/>
    <w:rsid w:val="00464583"/>
    <w:rsid w:val="004704CD"/>
    <w:rsid w:val="004804E0"/>
    <w:rsid w:val="00485D73"/>
    <w:rsid w:val="00487576"/>
    <w:rsid w:val="00493ED3"/>
    <w:rsid w:val="00497F31"/>
    <w:rsid w:val="004D06BD"/>
    <w:rsid w:val="004D49B9"/>
    <w:rsid w:val="004F115E"/>
    <w:rsid w:val="004F74AC"/>
    <w:rsid w:val="00501A11"/>
    <w:rsid w:val="005077B1"/>
    <w:rsid w:val="005125C0"/>
    <w:rsid w:val="005177DD"/>
    <w:rsid w:val="00522840"/>
    <w:rsid w:val="005364F7"/>
    <w:rsid w:val="00543A3F"/>
    <w:rsid w:val="005442A3"/>
    <w:rsid w:val="005553A7"/>
    <w:rsid w:val="00562F23"/>
    <w:rsid w:val="005635D2"/>
    <w:rsid w:val="00563A15"/>
    <w:rsid w:val="00566B71"/>
    <w:rsid w:val="00583C96"/>
    <w:rsid w:val="00591868"/>
    <w:rsid w:val="005B54A9"/>
    <w:rsid w:val="005B7B4F"/>
    <w:rsid w:val="005D35A5"/>
    <w:rsid w:val="005D55E1"/>
    <w:rsid w:val="005E2BCD"/>
    <w:rsid w:val="005E7404"/>
    <w:rsid w:val="005F7DFB"/>
    <w:rsid w:val="00601CF9"/>
    <w:rsid w:val="0060770F"/>
    <w:rsid w:val="00610062"/>
    <w:rsid w:val="006117EB"/>
    <w:rsid w:val="00613600"/>
    <w:rsid w:val="00617318"/>
    <w:rsid w:val="006211FC"/>
    <w:rsid w:val="00633710"/>
    <w:rsid w:val="00641490"/>
    <w:rsid w:val="006706DE"/>
    <w:rsid w:val="00670B4B"/>
    <w:rsid w:val="00674D46"/>
    <w:rsid w:val="00681EC7"/>
    <w:rsid w:val="00682014"/>
    <w:rsid w:val="00682870"/>
    <w:rsid w:val="00685344"/>
    <w:rsid w:val="00690FA2"/>
    <w:rsid w:val="006A2288"/>
    <w:rsid w:val="006A54D2"/>
    <w:rsid w:val="006B0BBF"/>
    <w:rsid w:val="006B4FDD"/>
    <w:rsid w:val="006D2852"/>
    <w:rsid w:val="006D28C5"/>
    <w:rsid w:val="006D58E4"/>
    <w:rsid w:val="006E6781"/>
    <w:rsid w:val="006F3279"/>
    <w:rsid w:val="0070306A"/>
    <w:rsid w:val="007140C0"/>
    <w:rsid w:val="0072595A"/>
    <w:rsid w:val="0073146F"/>
    <w:rsid w:val="007401BF"/>
    <w:rsid w:val="00747337"/>
    <w:rsid w:val="007479F5"/>
    <w:rsid w:val="00750A7F"/>
    <w:rsid w:val="00751F95"/>
    <w:rsid w:val="00754F34"/>
    <w:rsid w:val="00760D5D"/>
    <w:rsid w:val="00762E2B"/>
    <w:rsid w:val="0076752D"/>
    <w:rsid w:val="00772450"/>
    <w:rsid w:val="00775EA7"/>
    <w:rsid w:val="00776972"/>
    <w:rsid w:val="0077714F"/>
    <w:rsid w:val="00784042"/>
    <w:rsid w:val="00796F10"/>
    <w:rsid w:val="007A0517"/>
    <w:rsid w:val="007A11F7"/>
    <w:rsid w:val="007A3B2F"/>
    <w:rsid w:val="007A3D52"/>
    <w:rsid w:val="007B0849"/>
    <w:rsid w:val="007B1100"/>
    <w:rsid w:val="007C0DF6"/>
    <w:rsid w:val="007E1910"/>
    <w:rsid w:val="008125A3"/>
    <w:rsid w:val="00812F80"/>
    <w:rsid w:val="00820785"/>
    <w:rsid w:val="00852D8C"/>
    <w:rsid w:val="00867C68"/>
    <w:rsid w:val="008861AF"/>
    <w:rsid w:val="00886B3D"/>
    <w:rsid w:val="0089643F"/>
    <w:rsid w:val="008978BB"/>
    <w:rsid w:val="008A5CF4"/>
    <w:rsid w:val="008B72E1"/>
    <w:rsid w:val="008B74B7"/>
    <w:rsid w:val="008B7AC6"/>
    <w:rsid w:val="008C6E0F"/>
    <w:rsid w:val="008D19BC"/>
    <w:rsid w:val="008E2ECD"/>
    <w:rsid w:val="008E7B91"/>
    <w:rsid w:val="00905448"/>
    <w:rsid w:val="0090602E"/>
    <w:rsid w:val="00906DD1"/>
    <w:rsid w:val="00910716"/>
    <w:rsid w:val="00912ABB"/>
    <w:rsid w:val="00923C2F"/>
    <w:rsid w:val="00927199"/>
    <w:rsid w:val="0093042B"/>
    <w:rsid w:val="00932C3F"/>
    <w:rsid w:val="0094016D"/>
    <w:rsid w:val="009541A5"/>
    <w:rsid w:val="00962FC1"/>
    <w:rsid w:val="00974928"/>
    <w:rsid w:val="0098005D"/>
    <w:rsid w:val="00980272"/>
    <w:rsid w:val="00986EF4"/>
    <w:rsid w:val="00993869"/>
    <w:rsid w:val="009A177E"/>
    <w:rsid w:val="009A409E"/>
    <w:rsid w:val="009C48BC"/>
    <w:rsid w:val="009C7A2C"/>
    <w:rsid w:val="009D4A3E"/>
    <w:rsid w:val="009E4796"/>
    <w:rsid w:val="009E5612"/>
    <w:rsid w:val="009F2D7E"/>
    <w:rsid w:val="009F48A6"/>
    <w:rsid w:val="00A00DE7"/>
    <w:rsid w:val="00A07B01"/>
    <w:rsid w:val="00A115FA"/>
    <w:rsid w:val="00A24620"/>
    <w:rsid w:val="00A27D5A"/>
    <w:rsid w:val="00A572D4"/>
    <w:rsid w:val="00A604C0"/>
    <w:rsid w:val="00A62CE5"/>
    <w:rsid w:val="00A646E2"/>
    <w:rsid w:val="00A664FC"/>
    <w:rsid w:val="00A720E2"/>
    <w:rsid w:val="00A775E7"/>
    <w:rsid w:val="00A923C8"/>
    <w:rsid w:val="00A9467A"/>
    <w:rsid w:val="00AA1C1F"/>
    <w:rsid w:val="00AA2130"/>
    <w:rsid w:val="00AA79D3"/>
    <w:rsid w:val="00AD4ECD"/>
    <w:rsid w:val="00AD7016"/>
    <w:rsid w:val="00AE6157"/>
    <w:rsid w:val="00AF0451"/>
    <w:rsid w:val="00AF5FAB"/>
    <w:rsid w:val="00B14C07"/>
    <w:rsid w:val="00B27EF5"/>
    <w:rsid w:val="00B43022"/>
    <w:rsid w:val="00B505F9"/>
    <w:rsid w:val="00B54FE9"/>
    <w:rsid w:val="00B56A07"/>
    <w:rsid w:val="00B63E4A"/>
    <w:rsid w:val="00B65A86"/>
    <w:rsid w:val="00B6756B"/>
    <w:rsid w:val="00B701CD"/>
    <w:rsid w:val="00B764FB"/>
    <w:rsid w:val="00B800F5"/>
    <w:rsid w:val="00B84DBD"/>
    <w:rsid w:val="00B85312"/>
    <w:rsid w:val="00B866A6"/>
    <w:rsid w:val="00B932E1"/>
    <w:rsid w:val="00BA09F0"/>
    <w:rsid w:val="00BC0127"/>
    <w:rsid w:val="00BC6197"/>
    <w:rsid w:val="00BD7456"/>
    <w:rsid w:val="00BE0329"/>
    <w:rsid w:val="00BE3D8A"/>
    <w:rsid w:val="00C052A3"/>
    <w:rsid w:val="00C07060"/>
    <w:rsid w:val="00C216E1"/>
    <w:rsid w:val="00C26F2B"/>
    <w:rsid w:val="00C31A24"/>
    <w:rsid w:val="00C73ADC"/>
    <w:rsid w:val="00C82FD4"/>
    <w:rsid w:val="00C84F6E"/>
    <w:rsid w:val="00C857D9"/>
    <w:rsid w:val="00C86431"/>
    <w:rsid w:val="00C90E30"/>
    <w:rsid w:val="00CC2409"/>
    <w:rsid w:val="00CC3C69"/>
    <w:rsid w:val="00CC78B8"/>
    <w:rsid w:val="00CC7F3B"/>
    <w:rsid w:val="00CD35E7"/>
    <w:rsid w:val="00CD679E"/>
    <w:rsid w:val="00CE13D5"/>
    <w:rsid w:val="00CE1F27"/>
    <w:rsid w:val="00CE2E66"/>
    <w:rsid w:val="00CF56DD"/>
    <w:rsid w:val="00CF7825"/>
    <w:rsid w:val="00D01A4A"/>
    <w:rsid w:val="00D1254C"/>
    <w:rsid w:val="00D17232"/>
    <w:rsid w:val="00D22B5D"/>
    <w:rsid w:val="00D45647"/>
    <w:rsid w:val="00D5167A"/>
    <w:rsid w:val="00D602FA"/>
    <w:rsid w:val="00D66E7E"/>
    <w:rsid w:val="00D67913"/>
    <w:rsid w:val="00D807A2"/>
    <w:rsid w:val="00D81518"/>
    <w:rsid w:val="00D856C2"/>
    <w:rsid w:val="00D9251B"/>
    <w:rsid w:val="00D97F47"/>
    <w:rsid w:val="00DA2521"/>
    <w:rsid w:val="00DB3748"/>
    <w:rsid w:val="00DB5099"/>
    <w:rsid w:val="00DC2EB4"/>
    <w:rsid w:val="00DC6FF5"/>
    <w:rsid w:val="00DC7A3C"/>
    <w:rsid w:val="00DD38F4"/>
    <w:rsid w:val="00DD69BE"/>
    <w:rsid w:val="00DE0B32"/>
    <w:rsid w:val="00DE3DAC"/>
    <w:rsid w:val="00DF31A0"/>
    <w:rsid w:val="00E05A8A"/>
    <w:rsid w:val="00E16EEF"/>
    <w:rsid w:val="00E1705C"/>
    <w:rsid w:val="00E32920"/>
    <w:rsid w:val="00E41829"/>
    <w:rsid w:val="00E43995"/>
    <w:rsid w:val="00E57D23"/>
    <w:rsid w:val="00E74BB2"/>
    <w:rsid w:val="00E82D21"/>
    <w:rsid w:val="00E8347A"/>
    <w:rsid w:val="00E87DD2"/>
    <w:rsid w:val="00E92004"/>
    <w:rsid w:val="00E95379"/>
    <w:rsid w:val="00E95C8A"/>
    <w:rsid w:val="00EA33DE"/>
    <w:rsid w:val="00EB677E"/>
    <w:rsid w:val="00EC7867"/>
    <w:rsid w:val="00EC7A81"/>
    <w:rsid w:val="00EE0421"/>
    <w:rsid w:val="00EE1E9E"/>
    <w:rsid w:val="00EE5EC6"/>
    <w:rsid w:val="00EE6AFC"/>
    <w:rsid w:val="00F06351"/>
    <w:rsid w:val="00F12E8C"/>
    <w:rsid w:val="00F1637D"/>
    <w:rsid w:val="00F16AA8"/>
    <w:rsid w:val="00F17DDC"/>
    <w:rsid w:val="00F26C71"/>
    <w:rsid w:val="00F4072C"/>
    <w:rsid w:val="00F61644"/>
    <w:rsid w:val="00F61BA5"/>
    <w:rsid w:val="00F66332"/>
    <w:rsid w:val="00F81245"/>
    <w:rsid w:val="00F85BC0"/>
    <w:rsid w:val="00F87A6B"/>
    <w:rsid w:val="00F9127F"/>
    <w:rsid w:val="00F9396C"/>
    <w:rsid w:val="00F95D0E"/>
    <w:rsid w:val="00F974B5"/>
    <w:rsid w:val="00F97C22"/>
    <w:rsid w:val="00FA0A7C"/>
    <w:rsid w:val="00FA3743"/>
    <w:rsid w:val="00FA799F"/>
    <w:rsid w:val="00FB00E7"/>
    <w:rsid w:val="00FB0E3B"/>
    <w:rsid w:val="00FB53B7"/>
    <w:rsid w:val="00FB5562"/>
    <w:rsid w:val="00FC280A"/>
    <w:rsid w:val="00FD3C30"/>
    <w:rsid w:val="00FE338A"/>
    <w:rsid w:val="00FE4539"/>
    <w:rsid w:val="00FE6CBD"/>
    <w:rsid w:val="00FF31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1,Footnotes refss"/>
    <w:basedOn w:val="Normal"/>
    <w:link w:val="FootnoteTextChar"/>
    <w:uiPriority w:val="99"/>
    <w:unhideWhenUsed/>
    <w:rsid w:val="00354A12"/>
    <w:pPr>
      <w:spacing w:line="240" w:lineRule="auto"/>
    </w:pPr>
    <w:rPr>
      <w:sz w:val="20"/>
      <w:szCs w:val="20"/>
    </w:rPr>
  </w:style>
  <w:style w:type="character" w:customStyle="1" w:styleId="FootnoteTextChar">
    <w:name w:val="Footnote Text Char"/>
    <w:aliases w:val="Footnote Reference1 Char,Footnotes refss Char"/>
    <w:basedOn w:val="DefaultParagraphFont"/>
    <w:link w:val="FootnoteText"/>
    <w:uiPriority w:val="99"/>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left" w:pos="3402"/>
        <w:tab w:val="left" w:pos="3969"/>
      </w:tabs>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paragraph" w:styleId="NormalWeb">
    <w:name w:val="Normal (Web)"/>
    <w:basedOn w:val="Normal"/>
    <w:uiPriority w:val="99"/>
    <w:semiHidden/>
    <w:unhideWhenUsed/>
    <w:rsid w:val="00A720E2"/>
    <w:pPr>
      <w:spacing w:before="100" w:beforeAutospacing="1" w:after="100" w:afterAutospacing="1" w:line="240" w:lineRule="auto"/>
    </w:pPr>
    <w:rPr>
      <w:rFonts w:ascii="Times New Roman" w:eastAsia="Times New Roman" w:hAnsi="Times New Roman" w:cs="Times New Roman"/>
      <w:szCs w:val="24"/>
      <w:lang w:eastAsia="en-ZA"/>
    </w:rPr>
  </w:style>
  <w:style w:type="character" w:styleId="Hyperlink">
    <w:name w:val="Hyperlink"/>
    <w:basedOn w:val="DefaultParagraphFont"/>
    <w:uiPriority w:val="99"/>
    <w:semiHidden/>
    <w:unhideWhenUsed/>
    <w:rsid w:val="00A720E2"/>
    <w:rPr>
      <w:color w:val="0000FF"/>
      <w:u w:val="single"/>
    </w:rPr>
  </w:style>
  <w:style w:type="paragraph" w:styleId="BalloonText">
    <w:name w:val="Balloon Text"/>
    <w:basedOn w:val="Normal"/>
    <w:link w:val="BalloonTextChar"/>
    <w:uiPriority w:val="99"/>
    <w:semiHidden/>
    <w:unhideWhenUsed/>
    <w:rsid w:val="00B505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9743">
      <w:bodyDiv w:val="1"/>
      <w:marLeft w:val="0"/>
      <w:marRight w:val="0"/>
      <w:marTop w:val="0"/>
      <w:marBottom w:val="0"/>
      <w:divBdr>
        <w:top w:val="none" w:sz="0" w:space="0" w:color="auto"/>
        <w:left w:val="none" w:sz="0" w:space="0" w:color="auto"/>
        <w:bottom w:val="none" w:sz="0" w:space="0" w:color="auto"/>
        <w:right w:val="none" w:sz="0" w:space="0" w:color="auto"/>
      </w:divBdr>
    </w:div>
    <w:div w:id="250361941">
      <w:bodyDiv w:val="1"/>
      <w:marLeft w:val="0"/>
      <w:marRight w:val="0"/>
      <w:marTop w:val="0"/>
      <w:marBottom w:val="0"/>
      <w:divBdr>
        <w:top w:val="none" w:sz="0" w:space="0" w:color="auto"/>
        <w:left w:val="none" w:sz="0" w:space="0" w:color="auto"/>
        <w:bottom w:val="none" w:sz="0" w:space="0" w:color="auto"/>
        <w:right w:val="none" w:sz="0" w:space="0" w:color="auto"/>
      </w:divBdr>
    </w:div>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 w:id="1484540168">
      <w:bodyDiv w:val="1"/>
      <w:marLeft w:val="0"/>
      <w:marRight w:val="0"/>
      <w:marTop w:val="0"/>
      <w:marBottom w:val="0"/>
      <w:divBdr>
        <w:top w:val="none" w:sz="0" w:space="0" w:color="auto"/>
        <w:left w:val="none" w:sz="0" w:space="0" w:color="auto"/>
        <w:bottom w:val="none" w:sz="0" w:space="0" w:color="auto"/>
        <w:right w:val="none" w:sz="0" w:space="0" w:color="auto"/>
      </w:divBdr>
    </w:div>
    <w:div w:id="208302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DE4CB-8DD4-4AC6-B2DB-48A71C34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2684</Words>
  <Characters>15301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Mary Bruce</cp:lastModifiedBy>
  <cp:revision>3</cp:revision>
  <cp:lastPrinted>2023-02-04T16:53:00Z</cp:lastPrinted>
  <dcterms:created xsi:type="dcterms:W3CDTF">2023-02-07T10:50:00Z</dcterms:created>
  <dcterms:modified xsi:type="dcterms:W3CDTF">2023-02-17T13:51:00Z</dcterms:modified>
  <cp:contentStatus/>
</cp:coreProperties>
</file>