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2B9CC" w14:textId="77777777" w:rsidR="00330FAE" w:rsidRDefault="00330FAE" w:rsidP="00330FAE">
      <w:pPr>
        <w:spacing w:before="0" w:beforeAutospacing="0"/>
        <w:contextualSpacing/>
        <w:jc w:val="both"/>
        <w:rPr>
          <w:rFonts w:ascii="Times New Roman" w:hAnsi="Times New Roman"/>
          <w:b/>
          <w:sz w:val="28"/>
          <w:szCs w:val="28"/>
        </w:rPr>
      </w:pPr>
      <w:r w:rsidRPr="00095CCD">
        <w:rPr>
          <w:rFonts w:ascii="Times New Roman" w:hAnsi="Times New Roman"/>
          <w:noProof/>
          <w:sz w:val="28"/>
          <w:szCs w:val="28"/>
          <w:lang w:val="en-US" w:eastAsia="en-US"/>
        </w:rPr>
        <w:drawing>
          <wp:anchor distT="0" distB="0" distL="114300" distR="114300" simplePos="0" relativeHeight="251659264" behindDoc="0" locked="0" layoutInCell="1" allowOverlap="1" wp14:anchorId="44D86CFF" wp14:editId="3DDA39BE">
            <wp:simplePos x="0" y="0"/>
            <wp:positionH relativeFrom="column">
              <wp:posOffset>2032000</wp:posOffset>
            </wp:positionH>
            <wp:positionV relativeFrom="paragraph">
              <wp:posOffset>0</wp:posOffset>
            </wp:positionV>
            <wp:extent cx="1333500" cy="126682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266825"/>
                    </a:xfrm>
                    <a:prstGeom prst="rect">
                      <a:avLst/>
                    </a:prstGeom>
                    <a:noFill/>
                    <a:ln>
                      <a:noFill/>
                    </a:ln>
                  </pic:spPr>
                </pic:pic>
              </a:graphicData>
            </a:graphic>
          </wp:anchor>
        </w:drawing>
      </w:r>
    </w:p>
    <w:p w14:paraId="50CE93CC" w14:textId="77777777" w:rsidR="00330FAE" w:rsidRDefault="00330FAE" w:rsidP="00330FAE">
      <w:pPr>
        <w:spacing w:before="0" w:beforeAutospacing="0"/>
        <w:contextualSpacing/>
        <w:jc w:val="both"/>
        <w:rPr>
          <w:rFonts w:ascii="Times New Roman" w:hAnsi="Times New Roman"/>
          <w:b/>
          <w:sz w:val="28"/>
          <w:szCs w:val="28"/>
        </w:rPr>
      </w:pPr>
    </w:p>
    <w:p w14:paraId="2008E29C" w14:textId="77777777" w:rsidR="00330FAE" w:rsidRDefault="00330FAE" w:rsidP="00330FAE">
      <w:pPr>
        <w:spacing w:before="0" w:beforeAutospacing="0"/>
        <w:contextualSpacing/>
        <w:jc w:val="both"/>
        <w:rPr>
          <w:rFonts w:ascii="Times New Roman" w:hAnsi="Times New Roman"/>
          <w:b/>
          <w:sz w:val="28"/>
          <w:szCs w:val="28"/>
        </w:rPr>
      </w:pPr>
    </w:p>
    <w:p w14:paraId="0FEA4AEC" w14:textId="77777777" w:rsidR="00330FAE" w:rsidRDefault="00330FAE" w:rsidP="00330FAE">
      <w:pPr>
        <w:spacing w:before="0" w:beforeAutospacing="0"/>
        <w:contextualSpacing/>
        <w:jc w:val="both"/>
        <w:rPr>
          <w:rFonts w:ascii="Times New Roman" w:hAnsi="Times New Roman"/>
          <w:b/>
          <w:sz w:val="28"/>
          <w:szCs w:val="28"/>
        </w:rPr>
      </w:pPr>
    </w:p>
    <w:p w14:paraId="2A4907D1" w14:textId="77777777" w:rsidR="00330FAE" w:rsidRPr="00095CCD" w:rsidRDefault="00330FAE" w:rsidP="00330FAE">
      <w:pPr>
        <w:spacing w:before="0" w:beforeAutospacing="0"/>
        <w:contextualSpacing/>
        <w:jc w:val="both"/>
        <w:rPr>
          <w:rFonts w:ascii="Times New Roman" w:hAnsi="Times New Roman"/>
          <w:b/>
          <w:sz w:val="28"/>
          <w:szCs w:val="28"/>
        </w:rPr>
      </w:pPr>
    </w:p>
    <w:p w14:paraId="4EBDACB9" w14:textId="77777777" w:rsidR="00330FAE" w:rsidRPr="00095CCD" w:rsidRDefault="00330FAE" w:rsidP="00330FAE">
      <w:pPr>
        <w:spacing w:before="0" w:beforeAutospacing="0"/>
        <w:contextualSpacing/>
        <w:jc w:val="right"/>
        <w:rPr>
          <w:rFonts w:ascii="Times New Roman" w:hAnsi="Times New Roman"/>
          <w:b/>
          <w:sz w:val="28"/>
          <w:szCs w:val="28"/>
        </w:rPr>
      </w:pPr>
      <w:r w:rsidRPr="00095CCD">
        <w:rPr>
          <w:rFonts w:ascii="Times New Roman" w:hAnsi="Times New Roman"/>
          <w:b/>
          <w:sz w:val="28"/>
          <w:szCs w:val="28"/>
        </w:rPr>
        <w:t>NOT REPORTABLE</w:t>
      </w:r>
    </w:p>
    <w:p w14:paraId="5D982034" w14:textId="77777777" w:rsidR="00330FAE" w:rsidRDefault="00330FAE" w:rsidP="00330FAE">
      <w:pPr>
        <w:spacing w:before="0" w:beforeAutospacing="0"/>
        <w:contextualSpacing/>
        <w:jc w:val="both"/>
        <w:rPr>
          <w:rFonts w:ascii="Times New Roman" w:hAnsi="Times New Roman"/>
          <w:b/>
          <w:sz w:val="28"/>
          <w:szCs w:val="28"/>
        </w:rPr>
      </w:pPr>
    </w:p>
    <w:p w14:paraId="3044F242" w14:textId="2BDB8479" w:rsidR="00330FAE" w:rsidRDefault="00330FAE" w:rsidP="00A6636C">
      <w:pPr>
        <w:spacing w:before="0" w:beforeAutospacing="0"/>
        <w:contextualSpacing/>
        <w:jc w:val="both"/>
        <w:rPr>
          <w:rFonts w:ascii="Times New Roman" w:hAnsi="Times New Roman"/>
          <w:b/>
          <w:sz w:val="28"/>
          <w:szCs w:val="28"/>
        </w:rPr>
      </w:pPr>
      <w:r w:rsidRPr="00095CCD">
        <w:rPr>
          <w:rFonts w:ascii="Times New Roman" w:hAnsi="Times New Roman"/>
          <w:b/>
          <w:sz w:val="28"/>
          <w:szCs w:val="28"/>
        </w:rPr>
        <w:t>IN THE HIGH COURT OF SOUTH AFRICA</w:t>
      </w:r>
    </w:p>
    <w:p w14:paraId="4145C60A" w14:textId="77777777" w:rsidR="00A6636C" w:rsidRPr="00FE0355" w:rsidRDefault="00A6636C" w:rsidP="00A6636C">
      <w:pPr>
        <w:contextualSpacing/>
        <w:jc w:val="both"/>
        <w:rPr>
          <w:rFonts w:ascii="Times New Roman" w:hAnsi="Times New Roman" w:cs="Times New Roman"/>
          <w:b/>
          <w:sz w:val="28"/>
          <w:szCs w:val="28"/>
        </w:rPr>
      </w:pPr>
      <w:r w:rsidRPr="00FE0355">
        <w:rPr>
          <w:rFonts w:ascii="Times New Roman" w:hAnsi="Times New Roman" w:cs="Times New Roman"/>
          <w:b/>
          <w:sz w:val="28"/>
          <w:szCs w:val="28"/>
        </w:rPr>
        <w:t>(EASTERN CAPE DIVISION, MAKHANDA)</w:t>
      </w:r>
    </w:p>
    <w:p w14:paraId="600EA544" w14:textId="77777777" w:rsidR="00330FAE" w:rsidRPr="00095CCD" w:rsidRDefault="00330FAE" w:rsidP="00330FAE">
      <w:pPr>
        <w:spacing w:before="0" w:beforeAutospacing="0"/>
        <w:contextualSpacing/>
        <w:jc w:val="both"/>
        <w:rPr>
          <w:rFonts w:ascii="Times New Roman" w:hAnsi="Times New Roman"/>
          <w:b/>
          <w:sz w:val="28"/>
          <w:szCs w:val="28"/>
        </w:rPr>
      </w:pPr>
    </w:p>
    <w:p w14:paraId="2CE712FF" w14:textId="41FFDD7C" w:rsidR="00330FAE" w:rsidRDefault="00330FAE" w:rsidP="00330FAE">
      <w:pPr>
        <w:widowControl w:val="0"/>
        <w:autoSpaceDE w:val="0"/>
        <w:autoSpaceDN w:val="0"/>
        <w:adjustRightInd w:val="0"/>
        <w:spacing w:before="0" w:beforeAutospacing="0"/>
        <w:ind w:left="5040" w:firstLine="720"/>
        <w:contextualSpacing/>
        <w:jc w:val="both"/>
        <w:rPr>
          <w:rFonts w:ascii="Times New Roman" w:hAnsi="Times New Roman"/>
          <w:color w:val="000000"/>
          <w:sz w:val="28"/>
          <w:szCs w:val="28"/>
        </w:rPr>
      </w:pPr>
      <w:r w:rsidRPr="00095CCD">
        <w:rPr>
          <w:rFonts w:ascii="Times New Roman" w:hAnsi="Times New Roman"/>
          <w:color w:val="000000"/>
          <w:sz w:val="28"/>
          <w:szCs w:val="28"/>
        </w:rPr>
        <w:t xml:space="preserve">CASE NO. </w:t>
      </w:r>
      <w:r>
        <w:rPr>
          <w:rFonts w:ascii="Times New Roman" w:hAnsi="Times New Roman"/>
          <w:color w:val="000000"/>
          <w:sz w:val="28"/>
          <w:szCs w:val="28"/>
        </w:rPr>
        <w:t xml:space="preserve"> </w:t>
      </w:r>
      <w:r w:rsidR="00A6636C">
        <w:rPr>
          <w:rFonts w:ascii="Times New Roman" w:hAnsi="Times New Roman"/>
          <w:color w:val="000000"/>
          <w:sz w:val="28"/>
          <w:szCs w:val="28"/>
        </w:rPr>
        <w:t>CA213/2021</w:t>
      </w:r>
    </w:p>
    <w:p w14:paraId="368B1AEB" w14:textId="77777777" w:rsidR="00330FAE" w:rsidRPr="00095CCD" w:rsidRDefault="00330FAE" w:rsidP="00330FAE">
      <w:pPr>
        <w:widowControl w:val="0"/>
        <w:autoSpaceDE w:val="0"/>
        <w:autoSpaceDN w:val="0"/>
        <w:adjustRightInd w:val="0"/>
        <w:spacing w:before="0" w:beforeAutospacing="0"/>
        <w:ind w:left="5040" w:firstLine="720"/>
        <w:contextualSpacing/>
        <w:jc w:val="both"/>
        <w:rPr>
          <w:rFonts w:ascii="Times New Roman" w:hAnsi="Times New Roman"/>
          <w:color w:val="000000"/>
          <w:sz w:val="28"/>
          <w:szCs w:val="28"/>
        </w:rPr>
      </w:pPr>
    </w:p>
    <w:p w14:paraId="37D08CB1" w14:textId="77777777" w:rsidR="00330FAE" w:rsidRPr="00095CCD" w:rsidRDefault="00330FAE" w:rsidP="00330FAE">
      <w:pPr>
        <w:widowControl w:val="0"/>
        <w:autoSpaceDE w:val="0"/>
        <w:autoSpaceDN w:val="0"/>
        <w:adjustRightInd w:val="0"/>
        <w:spacing w:before="0" w:beforeAutospacing="0"/>
        <w:contextualSpacing/>
        <w:jc w:val="both"/>
        <w:rPr>
          <w:rFonts w:ascii="Times New Roman" w:hAnsi="Times New Roman"/>
          <w:color w:val="000000"/>
          <w:sz w:val="28"/>
          <w:szCs w:val="28"/>
        </w:rPr>
      </w:pPr>
      <w:r w:rsidRPr="00095CCD">
        <w:rPr>
          <w:rFonts w:ascii="Times New Roman" w:hAnsi="Times New Roman"/>
          <w:color w:val="000000"/>
          <w:sz w:val="28"/>
          <w:szCs w:val="28"/>
        </w:rPr>
        <w:t>In the matter between:</w:t>
      </w:r>
    </w:p>
    <w:p w14:paraId="56B223C9" w14:textId="77777777" w:rsidR="00330FAE" w:rsidRPr="00095CCD" w:rsidRDefault="00330FAE" w:rsidP="00330FAE">
      <w:pPr>
        <w:widowControl w:val="0"/>
        <w:autoSpaceDE w:val="0"/>
        <w:autoSpaceDN w:val="0"/>
        <w:adjustRightInd w:val="0"/>
        <w:spacing w:before="0" w:beforeAutospacing="0"/>
        <w:contextualSpacing/>
        <w:jc w:val="both"/>
        <w:rPr>
          <w:rFonts w:ascii="Arial" w:hAnsi="Arial" w:cs="Arial"/>
          <w:sz w:val="28"/>
          <w:szCs w:val="28"/>
        </w:rPr>
      </w:pPr>
      <w:r w:rsidRPr="00095CCD">
        <w:rPr>
          <w:rFonts w:ascii="Arial" w:hAnsi="Arial" w:cs="Arial"/>
          <w:sz w:val="28"/>
          <w:szCs w:val="28"/>
        </w:rPr>
        <w:t xml:space="preserve">     </w:t>
      </w:r>
    </w:p>
    <w:p w14:paraId="3A5A4292" w14:textId="4D544D77" w:rsidR="00A6636C" w:rsidRDefault="00A6636C" w:rsidP="00330FAE">
      <w:pPr>
        <w:widowControl w:val="0"/>
        <w:autoSpaceDE w:val="0"/>
        <w:autoSpaceDN w:val="0"/>
        <w:adjustRightInd w:val="0"/>
        <w:spacing w:before="0" w:beforeAutospacing="0"/>
        <w:contextualSpacing/>
        <w:jc w:val="both"/>
        <w:rPr>
          <w:rFonts w:ascii="Times New Roman" w:hAnsi="Times New Roman"/>
          <w:bCs/>
          <w:color w:val="000000"/>
          <w:sz w:val="28"/>
          <w:szCs w:val="28"/>
        </w:rPr>
      </w:pPr>
      <w:r>
        <w:rPr>
          <w:rFonts w:ascii="Times New Roman" w:hAnsi="Times New Roman"/>
          <w:bCs/>
          <w:color w:val="000000"/>
          <w:sz w:val="28"/>
          <w:szCs w:val="28"/>
        </w:rPr>
        <w:t xml:space="preserve">THE </w:t>
      </w:r>
      <w:r w:rsidR="00863B43">
        <w:rPr>
          <w:rFonts w:ascii="Times New Roman" w:hAnsi="Times New Roman"/>
          <w:bCs/>
          <w:color w:val="000000"/>
          <w:sz w:val="28"/>
          <w:szCs w:val="28"/>
        </w:rPr>
        <w:t>MINISTER:</w:t>
      </w:r>
      <w:r>
        <w:rPr>
          <w:rFonts w:ascii="Times New Roman" w:hAnsi="Times New Roman"/>
          <w:bCs/>
          <w:color w:val="000000"/>
          <w:sz w:val="28"/>
          <w:szCs w:val="28"/>
        </w:rPr>
        <w:t xml:space="preserve"> NATIONAL DEPARTMENT OF</w:t>
      </w:r>
    </w:p>
    <w:p w14:paraId="79F5D856" w14:textId="0705A93D" w:rsidR="00A6636C" w:rsidRDefault="00A6636C" w:rsidP="00330FAE">
      <w:pPr>
        <w:widowControl w:val="0"/>
        <w:autoSpaceDE w:val="0"/>
        <w:autoSpaceDN w:val="0"/>
        <w:adjustRightInd w:val="0"/>
        <w:spacing w:before="0" w:beforeAutospacing="0"/>
        <w:contextualSpacing/>
        <w:jc w:val="both"/>
        <w:rPr>
          <w:rFonts w:ascii="Times New Roman" w:hAnsi="Times New Roman"/>
          <w:bCs/>
          <w:color w:val="000000"/>
          <w:sz w:val="28"/>
          <w:szCs w:val="28"/>
        </w:rPr>
      </w:pPr>
      <w:r>
        <w:rPr>
          <w:rFonts w:ascii="Times New Roman" w:hAnsi="Times New Roman"/>
          <w:bCs/>
          <w:color w:val="000000"/>
          <w:sz w:val="28"/>
          <w:szCs w:val="28"/>
        </w:rPr>
        <w:t xml:space="preserve">PUBLIC WORKS &amp; INFRASTRUCTURE </w:t>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t>Appellant</w:t>
      </w:r>
    </w:p>
    <w:p w14:paraId="586EB667" w14:textId="77777777" w:rsidR="00330FAE" w:rsidRPr="00095CCD" w:rsidRDefault="00330FAE" w:rsidP="00330FAE">
      <w:pPr>
        <w:widowControl w:val="0"/>
        <w:autoSpaceDE w:val="0"/>
        <w:autoSpaceDN w:val="0"/>
        <w:adjustRightInd w:val="0"/>
        <w:spacing w:before="0" w:beforeAutospacing="0"/>
        <w:contextualSpacing/>
        <w:jc w:val="both"/>
        <w:rPr>
          <w:rFonts w:ascii="Times New Roman" w:hAnsi="Times New Roman"/>
          <w:color w:val="000000"/>
          <w:sz w:val="28"/>
          <w:szCs w:val="28"/>
        </w:rPr>
      </w:pPr>
    </w:p>
    <w:p w14:paraId="2A58792B" w14:textId="1B16EE08" w:rsidR="00330FAE" w:rsidRDefault="00A6636C" w:rsidP="00330FAE">
      <w:pPr>
        <w:widowControl w:val="0"/>
        <w:autoSpaceDE w:val="0"/>
        <w:autoSpaceDN w:val="0"/>
        <w:adjustRightInd w:val="0"/>
        <w:spacing w:before="0" w:beforeAutospacing="0"/>
        <w:contextualSpacing/>
        <w:jc w:val="both"/>
        <w:rPr>
          <w:rFonts w:ascii="Times New Roman" w:hAnsi="Times New Roman"/>
          <w:color w:val="000000"/>
          <w:sz w:val="28"/>
          <w:szCs w:val="28"/>
        </w:rPr>
      </w:pPr>
      <w:r>
        <w:rPr>
          <w:rFonts w:ascii="Times New Roman" w:hAnsi="Times New Roman"/>
          <w:color w:val="000000"/>
          <w:sz w:val="28"/>
          <w:szCs w:val="28"/>
        </w:rPr>
        <w:t>a</w:t>
      </w:r>
      <w:r w:rsidR="00330FAE" w:rsidRPr="00095CCD">
        <w:rPr>
          <w:rFonts w:ascii="Times New Roman" w:hAnsi="Times New Roman"/>
          <w:color w:val="000000"/>
          <w:sz w:val="28"/>
          <w:szCs w:val="28"/>
        </w:rPr>
        <w:t>nd</w:t>
      </w:r>
    </w:p>
    <w:p w14:paraId="1F2D21BE" w14:textId="77777777" w:rsidR="00330FAE" w:rsidRPr="00095CCD" w:rsidRDefault="00330FAE" w:rsidP="00330FAE">
      <w:pPr>
        <w:widowControl w:val="0"/>
        <w:autoSpaceDE w:val="0"/>
        <w:autoSpaceDN w:val="0"/>
        <w:adjustRightInd w:val="0"/>
        <w:spacing w:before="0" w:beforeAutospacing="0"/>
        <w:contextualSpacing/>
        <w:jc w:val="both"/>
        <w:rPr>
          <w:rFonts w:ascii="Times New Roman" w:hAnsi="Times New Roman"/>
          <w:color w:val="000000"/>
          <w:sz w:val="28"/>
          <w:szCs w:val="28"/>
        </w:rPr>
      </w:pPr>
    </w:p>
    <w:p w14:paraId="21743591" w14:textId="69ACA818" w:rsidR="00330FAE" w:rsidRDefault="00A6636C" w:rsidP="00330FAE">
      <w:pPr>
        <w:pBdr>
          <w:bottom w:val="single" w:sz="12" w:space="1" w:color="auto"/>
        </w:pBdr>
        <w:spacing w:before="0" w:beforeAutospacing="0"/>
        <w:contextualSpacing/>
        <w:jc w:val="both"/>
        <w:rPr>
          <w:rFonts w:ascii="Times New Roman" w:hAnsi="Times New Roman"/>
          <w:bCs/>
          <w:sz w:val="28"/>
          <w:szCs w:val="28"/>
        </w:rPr>
      </w:pPr>
      <w:r>
        <w:rPr>
          <w:rFonts w:ascii="Times New Roman" w:hAnsi="Times New Roman"/>
          <w:bCs/>
          <w:sz w:val="28"/>
          <w:szCs w:val="28"/>
        </w:rPr>
        <w:t xml:space="preserve">HBC CONSTRUCTION (PTY) LTD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sidR="00330FAE">
        <w:rPr>
          <w:rFonts w:ascii="Times New Roman" w:hAnsi="Times New Roman"/>
          <w:bCs/>
          <w:sz w:val="28"/>
          <w:szCs w:val="28"/>
        </w:rPr>
        <w:t>First Respondent</w:t>
      </w:r>
    </w:p>
    <w:p w14:paraId="3D134754" w14:textId="733893EE" w:rsidR="00A6636C" w:rsidRDefault="00A6636C" w:rsidP="00330FAE">
      <w:pPr>
        <w:pBdr>
          <w:bottom w:val="single" w:sz="12" w:space="1" w:color="auto"/>
        </w:pBdr>
        <w:spacing w:before="0" w:beforeAutospacing="0"/>
        <w:contextualSpacing/>
        <w:jc w:val="both"/>
        <w:rPr>
          <w:rFonts w:ascii="Times New Roman" w:hAnsi="Times New Roman"/>
          <w:bCs/>
          <w:sz w:val="28"/>
          <w:szCs w:val="28"/>
        </w:rPr>
      </w:pPr>
      <w:r>
        <w:rPr>
          <w:rFonts w:ascii="Times New Roman" w:hAnsi="Times New Roman"/>
          <w:bCs/>
          <w:sz w:val="28"/>
          <w:szCs w:val="28"/>
        </w:rPr>
        <w:t xml:space="preserve">RODPAUL CONSTRUCTION (PTY) LTD </w:t>
      </w:r>
      <w:r>
        <w:rPr>
          <w:rFonts w:ascii="Times New Roman" w:hAnsi="Times New Roman"/>
          <w:bCs/>
          <w:sz w:val="28"/>
          <w:szCs w:val="28"/>
        </w:rPr>
        <w:tab/>
      </w:r>
      <w:r>
        <w:rPr>
          <w:rFonts w:ascii="Times New Roman" w:hAnsi="Times New Roman"/>
          <w:bCs/>
          <w:sz w:val="28"/>
          <w:szCs w:val="28"/>
        </w:rPr>
        <w:tab/>
      </w:r>
      <w:r w:rsidR="00330FAE" w:rsidRPr="00095CCD">
        <w:rPr>
          <w:rFonts w:ascii="Times New Roman" w:hAnsi="Times New Roman"/>
          <w:bCs/>
          <w:sz w:val="28"/>
          <w:szCs w:val="28"/>
        </w:rPr>
        <w:tab/>
      </w:r>
      <w:r w:rsidR="00330FAE">
        <w:rPr>
          <w:rFonts w:ascii="Times New Roman" w:hAnsi="Times New Roman"/>
          <w:bCs/>
          <w:sz w:val="28"/>
          <w:szCs w:val="28"/>
        </w:rPr>
        <w:t>Second Respondent</w:t>
      </w:r>
    </w:p>
    <w:p w14:paraId="5C92C7A2" w14:textId="77777777" w:rsidR="00A6636C" w:rsidRDefault="00A6636C" w:rsidP="00330FAE">
      <w:pPr>
        <w:pBdr>
          <w:bottom w:val="single" w:sz="12" w:space="1" w:color="auto"/>
        </w:pBdr>
        <w:spacing w:before="0" w:beforeAutospacing="0"/>
        <w:contextualSpacing/>
        <w:jc w:val="both"/>
        <w:rPr>
          <w:rFonts w:ascii="Times New Roman" w:hAnsi="Times New Roman"/>
          <w:bCs/>
          <w:sz w:val="28"/>
          <w:szCs w:val="28"/>
        </w:rPr>
      </w:pPr>
      <w:r>
        <w:rPr>
          <w:rFonts w:ascii="Times New Roman" w:hAnsi="Times New Roman"/>
          <w:bCs/>
          <w:sz w:val="28"/>
          <w:szCs w:val="28"/>
        </w:rPr>
        <w:t>NDC GENERAL BUILDING CONSTRUCTION</w:t>
      </w:r>
    </w:p>
    <w:p w14:paraId="77ED06B0" w14:textId="77777777" w:rsidR="00A6636C" w:rsidRDefault="00A6636C" w:rsidP="00330FAE">
      <w:pPr>
        <w:pBdr>
          <w:bottom w:val="single" w:sz="12" w:space="1" w:color="auto"/>
        </w:pBdr>
        <w:spacing w:before="0" w:beforeAutospacing="0"/>
        <w:contextualSpacing/>
        <w:jc w:val="both"/>
        <w:rPr>
          <w:rFonts w:ascii="Times New Roman" w:hAnsi="Times New Roman"/>
          <w:bCs/>
          <w:sz w:val="28"/>
          <w:szCs w:val="28"/>
        </w:rPr>
      </w:pPr>
      <w:r>
        <w:rPr>
          <w:rFonts w:ascii="Times New Roman" w:hAnsi="Times New Roman"/>
          <w:bCs/>
          <w:sz w:val="28"/>
          <w:szCs w:val="28"/>
        </w:rPr>
        <w:t>SERVICES CC</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Third Respondent</w:t>
      </w:r>
    </w:p>
    <w:p w14:paraId="2D753AC6" w14:textId="6297E304" w:rsidR="00330FAE" w:rsidRPr="00095CCD" w:rsidRDefault="00330FAE" w:rsidP="00330FAE">
      <w:pPr>
        <w:pBdr>
          <w:bottom w:val="single" w:sz="12" w:space="1" w:color="auto"/>
        </w:pBdr>
        <w:spacing w:before="0" w:beforeAutospacing="0"/>
        <w:contextualSpacing/>
        <w:jc w:val="both"/>
        <w:rPr>
          <w:rFonts w:ascii="Times New Roman" w:hAnsi="Times New Roman"/>
          <w:bCs/>
          <w:sz w:val="28"/>
          <w:szCs w:val="28"/>
        </w:rPr>
      </w:pPr>
      <w:r w:rsidRPr="00095CCD">
        <w:rPr>
          <w:rFonts w:ascii="Times New Roman" w:hAnsi="Times New Roman"/>
          <w:bCs/>
          <w:sz w:val="28"/>
          <w:szCs w:val="28"/>
        </w:rPr>
        <w:tab/>
      </w:r>
      <w:r w:rsidRPr="00095CCD">
        <w:rPr>
          <w:rFonts w:ascii="Times New Roman" w:hAnsi="Times New Roman"/>
          <w:bCs/>
          <w:sz w:val="28"/>
          <w:szCs w:val="28"/>
        </w:rPr>
        <w:tab/>
      </w:r>
      <w:r w:rsidRPr="00095CCD">
        <w:rPr>
          <w:rFonts w:ascii="Times New Roman" w:hAnsi="Times New Roman"/>
          <w:bCs/>
          <w:sz w:val="28"/>
          <w:szCs w:val="28"/>
        </w:rPr>
        <w:tab/>
      </w:r>
      <w:r w:rsidRPr="00095CCD">
        <w:rPr>
          <w:rFonts w:ascii="Times New Roman" w:hAnsi="Times New Roman"/>
          <w:bCs/>
          <w:sz w:val="28"/>
          <w:szCs w:val="28"/>
        </w:rPr>
        <w:tab/>
      </w:r>
      <w:r w:rsidRPr="00095CCD">
        <w:rPr>
          <w:rFonts w:ascii="Times New Roman" w:hAnsi="Times New Roman"/>
          <w:bCs/>
          <w:sz w:val="28"/>
          <w:szCs w:val="28"/>
        </w:rPr>
        <w:tab/>
      </w:r>
      <w:r w:rsidRPr="00095CCD">
        <w:rPr>
          <w:rFonts w:ascii="Times New Roman" w:hAnsi="Times New Roman"/>
          <w:bCs/>
          <w:sz w:val="28"/>
          <w:szCs w:val="28"/>
        </w:rPr>
        <w:tab/>
      </w:r>
      <w:r w:rsidRPr="00095CCD">
        <w:rPr>
          <w:rFonts w:ascii="Times New Roman" w:hAnsi="Times New Roman"/>
          <w:bCs/>
          <w:sz w:val="28"/>
          <w:szCs w:val="28"/>
        </w:rPr>
        <w:tab/>
      </w:r>
      <w:r w:rsidRPr="00095CCD">
        <w:rPr>
          <w:rFonts w:ascii="Times New Roman" w:hAnsi="Times New Roman"/>
          <w:bCs/>
          <w:sz w:val="28"/>
          <w:szCs w:val="28"/>
        </w:rPr>
        <w:tab/>
      </w:r>
      <w:r w:rsidRPr="00095CCD">
        <w:rPr>
          <w:rFonts w:ascii="Times New Roman" w:hAnsi="Times New Roman"/>
          <w:bCs/>
          <w:sz w:val="28"/>
          <w:szCs w:val="28"/>
        </w:rPr>
        <w:tab/>
      </w:r>
      <w:r w:rsidRPr="00095CCD">
        <w:rPr>
          <w:rFonts w:ascii="Times New Roman" w:hAnsi="Times New Roman"/>
          <w:bCs/>
          <w:sz w:val="28"/>
          <w:szCs w:val="28"/>
        </w:rPr>
        <w:tab/>
      </w:r>
    </w:p>
    <w:p w14:paraId="055C7BC0" w14:textId="77777777" w:rsidR="00330FAE" w:rsidRPr="00095CCD" w:rsidRDefault="00330FAE" w:rsidP="00330FAE">
      <w:pPr>
        <w:spacing w:before="0" w:beforeAutospacing="0"/>
        <w:contextualSpacing/>
        <w:jc w:val="both"/>
        <w:rPr>
          <w:rFonts w:ascii="Times New Roman" w:hAnsi="Times New Roman"/>
          <w:sz w:val="28"/>
          <w:szCs w:val="28"/>
        </w:rPr>
      </w:pPr>
      <w:r w:rsidRPr="00095CCD">
        <w:rPr>
          <w:rFonts w:ascii="Times New Roman" w:hAnsi="Times New Roman"/>
          <w:sz w:val="28"/>
          <w:szCs w:val="28"/>
        </w:rPr>
        <w:t xml:space="preserve"> </w:t>
      </w:r>
    </w:p>
    <w:p w14:paraId="4804399C" w14:textId="421F2125" w:rsidR="00330FAE" w:rsidRPr="00095CCD" w:rsidRDefault="00330FAE" w:rsidP="00330FAE">
      <w:pPr>
        <w:pBdr>
          <w:bottom w:val="single" w:sz="12" w:space="1" w:color="auto"/>
        </w:pBdr>
        <w:spacing w:before="0" w:beforeAutospacing="0"/>
        <w:contextualSpacing/>
        <w:jc w:val="center"/>
        <w:rPr>
          <w:rFonts w:ascii="Times New Roman" w:hAnsi="Times New Roman"/>
          <w:b/>
          <w:sz w:val="28"/>
          <w:szCs w:val="28"/>
        </w:rPr>
      </w:pPr>
      <w:r>
        <w:rPr>
          <w:rFonts w:ascii="Times New Roman" w:hAnsi="Times New Roman"/>
          <w:b/>
          <w:sz w:val="28"/>
          <w:szCs w:val="28"/>
        </w:rPr>
        <w:t>APPEAL JUDGMENT</w:t>
      </w:r>
    </w:p>
    <w:p w14:paraId="5AA603C6" w14:textId="77777777" w:rsidR="00330FAE" w:rsidRPr="00095CCD" w:rsidRDefault="00330FAE" w:rsidP="00330FAE">
      <w:pPr>
        <w:pStyle w:val="ListParagraph"/>
        <w:tabs>
          <w:tab w:val="left" w:pos="0"/>
        </w:tabs>
        <w:spacing w:before="0" w:beforeAutospacing="0"/>
        <w:ind w:left="0"/>
        <w:jc w:val="both"/>
        <w:rPr>
          <w:rFonts w:ascii="Times New Roman" w:hAnsi="Times New Roman"/>
          <w:b/>
          <w:sz w:val="28"/>
          <w:szCs w:val="28"/>
        </w:rPr>
      </w:pPr>
      <w:r w:rsidRPr="00095CCD">
        <w:rPr>
          <w:rFonts w:ascii="Times New Roman" w:hAnsi="Times New Roman"/>
          <w:b/>
          <w:sz w:val="28"/>
          <w:szCs w:val="28"/>
        </w:rPr>
        <w:lastRenderedPageBreak/>
        <w:t>HARTLE J</w:t>
      </w:r>
    </w:p>
    <w:p w14:paraId="2DEBA9A8" w14:textId="77777777" w:rsidR="00330FAE" w:rsidRDefault="00330FAE" w:rsidP="00330FAE">
      <w:pPr>
        <w:spacing w:before="0" w:beforeAutospacing="0"/>
        <w:contextualSpacing/>
        <w:jc w:val="both"/>
        <w:rPr>
          <w:rFonts w:ascii="Times New Roman" w:hAnsi="Times New Roman" w:cs="Times New Roman"/>
          <w:b/>
          <w:sz w:val="28"/>
          <w:szCs w:val="28"/>
        </w:rPr>
      </w:pPr>
    </w:p>
    <w:p w14:paraId="05174E72" w14:textId="569CA5BB" w:rsidR="00330FAE" w:rsidRDefault="00330FAE" w:rsidP="00330FAE">
      <w:pPr>
        <w:spacing w:before="0" w:beforeAutospacing="0"/>
        <w:contextualSpacing/>
        <w:jc w:val="both"/>
        <w:rPr>
          <w:rFonts w:ascii="Times New Roman" w:hAnsi="Times New Roman" w:cs="Times New Roman"/>
          <w:sz w:val="28"/>
          <w:szCs w:val="28"/>
          <w:u w:val="single"/>
          <w:lang w:val="en-US"/>
        </w:rPr>
      </w:pPr>
      <w:r w:rsidRPr="00330FAE">
        <w:rPr>
          <w:rFonts w:ascii="Times New Roman" w:hAnsi="Times New Roman" w:cs="Times New Roman"/>
          <w:sz w:val="28"/>
          <w:szCs w:val="28"/>
          <w:u w:val="single"/>
          <w:lang w:val="en-US"/>
        </w:rPr>
        <w:t>Introduction</w:t>
      </w:r>
    </w:p>
    <w:p w14:paraId="34904D52" w14:textId="77777777" w:rsidR="00330FAE" w:rsidRPr="00330FAE" w:rsidRDefault="00330FAE" w:rsidP="00330FAE">
      <w:pPr>
        <w:spacing w:before="0" w:beforeAutospacing="0"/>
        <w:contextualSpacing/>
        <w:jc w:val="both"/>
        <w:rPr>
          <w:rFonts w:ascii="Times New Roman" w:hAnsi="Times New Roman" w:cs="Times New Roman"/>
          <w:sz w:val="28"/>
          <w:szCs w:val="28"/>
          <w:u w:val="single"/>
          <w:lang w:val="en-US"/>
        </w:rPr>
      </w:pPr>
    </w:p>
    <w:p w14:paraId="3C790C33" w14:textId="1BD476D8" w:rsidR="00330FAE" w:rsidRPr="000E2B31" w:rsidRDefault="000E2B31" w:rsidP="000E2B31">
      <w:pPr>
        <w:tabs>
          <w:tab w:val="left" w:pos="709"/>
        </w:tabs>
        <w:spacing w:before="0" w:beforeAutospacing="0"/>
        <w:jc w:val="both"/>
        <w:rPr>
          <w:rFonts w:ascii="Times New Roman" w:hAnsi="Times New Roman" w:cs="Times New Roman"/>
          <w:sz w:val="28"/>
          <w:szCs w:val="28"/>
          <w:u w:val="single"/>
          <w:lang w:val="en-US"/>
        </w:rPr>
      </w:pPr>
      <w:r w:rsidRPr="00330FAE">
        <w:rPr>
          <w:rFonts w:ascii="Times New Roman" w:hAnsi="Times New Roman" w:cs="Times New Roman"/>
          <w:sz w:val="28"/>
          <w:szCs w:val="28"/>
          <w:lang w:val="en-US"/>
        </w:rPr>
        <w:t>[</w:t>
      </w:r>
      <w:bookmarkStart w:id="0" w:name="_GoBack"/>
      <w:bookmarkEnd w:id="0"/>
      <w:r w:rsidRPr="00330FAE">
        <w:rPr>
          <w:rFonts w:ascii="Times New Roman" w:hAnsi="Times New Roman" w:cs="Times New Roman"/>
          <w:sz w:val="28"/>
          <w:szCs w:val="28"/>
          <w:lang w:val="en-US"/>
        </w:rPr>
        <w:t>1]</w:t>
      </w:r>
      <w:r w:rsidRPr="00330FAE">
        <w:rPr>
          <w:rFonts w:ascii="Times New Roman" w:hAnsi="Times New Roman" w:cs="Times New Roman"/>
          <w:sz w:val="28"/>
          <w:szCs w:val="28"/>
          <w:lang w:val="en-US"/>
        </w:rPr>
        <w:tab/>
      </w:r>
      <w:r w:rsidR="00863B43" w:rsidRPr="000E2B31">
        <w:rPr>
          <w:rFonts w:ascii="Times New Roman" w:hAnsi="Times New Roman" w:cs="Times New Roman"/>
          <w:sz w:val="28"/>
          <w:szCs w:val="28"/>
          <w:lang w:val="en-US"/>
        </w:rPr>
        <w:t>T</w:t>
      </w:r>
      <w:r w:rsidR="00330FAE" w:rsidRPr="000E2B31">
        <w:rPr>
          <w:rFonts w:ascii="Times New Roman" w:hAnsi="Times New Roman" w:cs="Times New Roman"/>
          <w:sz w:val="28"/>
          <w:szCs w:val="28"/>
          <w:lang w:val="en-US"/>
        </w:rPr>
        <w:t>he appellant appeals</w:t>
      </w:r>
      <w:r w:rsidR="00863B43" w:rsidRPr="000E2B31">
        <w:rPr>
          <w:rFonts w:ascii="Times New Roman" w:hAnsi="Times New Roman" w:cs="Times New Roman"/>
          <w:sz w:val="28"/>
          <w:szCs w:val="28"/>
          <w:lang w:val="en-US"/>
        </w:rPr>
        <w:t>,</w:t>
      </w:r>
      <w:r w:rsidR="00330FAE" w:rsidRPr="000E2B31">
        <w:rPr>
          <w:rFonts w:ascii="Times New Roman" w:hAnsi="Times New Roman" w:cs="Times New Roman"/>
          <w:sz w:val="28"/>
          <w:szCs w:val="28"/>
          <w:lang w:val="en-US"/>
        </w:rPr>
        <w:t xml:space="preserve"> </w:t>
      </w:r>
      <w:r w:rsidR="00863B43" w:rsidRPr="000E2B31">
        <w:rPr>
          <w:rFonts w:ascii="Times New Roman" w:hAnsi="Times New Roman" w:cs="Times New Roman"/>
          <w:sz w:val="28"/>
          <w:szCs w:val="28"/>
          <w:lang w:val="en-US"/>
        </w:rPr>
        <w:t xml:space="preserve">with the leave of the Supreme Court of Appeal, </w:t>
      </w:r>
      <w:r w:rsidR="00330FAE" w:rsidRPr="000E2B31">
        <w:rPr>
          <w:rFonts w:ascii="Times New Roman" w:hAnsi="Times New Roman" w:cs="Times New Roman"/>
          <w:sz w:val="28"/>
          <w:szCs w:val="28"/>
          <w:lang w:val="en-US"/>
        </w:rPr>
        <w:t>against the</w:t>
      </w:r>
      <w:r w:rsidR="004E0B94" w:rsidRPr="000E2B31">
        <w:rPr>
          <w:rFonts w:ascii="Times New Roman" w:hAnsi="Times New Roman" w:cs="Times New Roman"/>
          <w:sz w:val="28"/>
          <w:szCs w:val="28"/>
          <w:lang w:val="en-US"/>
        </w:rPr>
        <w:t xml:space="preserve"> whole of the judgment and</w:t>
      </w:r>
      <w:r w:rsidR="00330FAE" w:rsidRPr="000E2B31">
        <w:rPr>
          <w:rFonts w:ascii="Times New Roman" w:hAnsi="Times New Roman" w:cs="Times New Roman"/>
          <w:sz w:val="28"/>
          <w:szCs w:val="28"/>
          <w:lang w:val="en-US"/>
        </w:rPr>
        <w:t xml:space="preserve"> order</w:t>
      </w:r>
      <w:r w:rsidR="004E0B94" w:rsidRPr="000E2B31">
        <w:rPr>
          <w:rFonts w:ascii="Times New Roman" w:hAnsi="Times New Roman" w:cs="Times New Roman"/>
          <w:sz w:val="28"/>
          <w:szCs w:val="28"/>
          <w:lang w:val="en-US"/>
        </w:rPr>
        <w:t>s</w:t>
      </w:r>
      <w:r w:rsidR="00330FAE" w:rsidRPr="000E2B31">
        <w:rPr>
          <w:rFonts w:ascii="Times New Roman" w:hAnsi="Times New Roman" w:cs="Times New Roman"/>
          <w:sz w:val="28"/>
          <w:szCs w:val="28"/>
          <w:lang w:val="en-US"/>
        </w:rPr>
        <w:t xml:space="preserve"> of the court </w:t>
      </w:r>
      <w:r w:rsidR="00330FAE" w:rsidRPr="000E2B31">
        <w:rPr>
          <w:rFonts w:ascii="Times New Roman" w:hAnsi="Times New Roman" w:cs="Times New Roman"/>
          <w:i/>
          <w:iCs/>
          <w:sz w:val="28"/>
          <w:szCs w:val="28"/>
          <w:lang w:val="en-US"/>
        </w:rPr>
        <w:t>a quo</w:t>
      </w:r>
      <w:r w:rsidR="00330FAE" w:rsidRPr="000E2B31">
        <w:rPr>
          <w:rFonts w:ascii="Times New Roman" w:hAnsi="Times New Roman" w:cs="Times New Roman"/>
          <w:sz w:val="28"/>
          <w:szCs w:val="28"/>
          <w:lang w:val="en-US"/>
        </w:rPr>
        <w:t xml:space="preserve"> handed down on 10 November 2020 pursuant to an application for judicial review under the provisions of the Promotion of Administrative Justice Act, No. 3 of 2000 (“PAJA”)</w:t>
      </w:r>
      <w:r w:rsidR="004E0B94" w:rsidRPr="000E2B31">
        <w:rPr>
          <w:rFonts w:ascii="Times New Roman" w:hAnsi="Times New Roman" w:cs="Times New Roman"/>
          <w:sz w:val="28"/>
          <w:szCs w:val="28"/>
          <w:lang w:val="en-US"/>
        </w:rPr>
        <w:t xml:space="preserve">.  The </w:t>
      </w:r>
      <w:r w:rsidR="00863B43" w:rsidRPr="000E2B31">
        <w:rPr>
          <w:rFonts w:ascii="Times New Roman" w:hAnsi="Times New Roman" w:cs="Times New Roman"/>
          <w:sz w:val="28"/>
          <w:szCs w:val="28"/>
          <w:lang w:val="en-US"/>
        </w:rPr>
        <w:t xml:space="preserve">concerned </w:t>
      </w:r>
      <w:r w:rsidR="004E0B94" w:rsidRPr="000E2B31">
        <w:rPr>
          <w:rFonts w:ascii="Times New Roman" w:hAnsi="Times New Roman" w:cs="Times New Roman"/>
          <w:sz w:val="28"/>
          <w:szCs w:val="28"/>
          <w:lang w:val="en-US"/>
        </w:rPr>
        <w:t>orders read as follows</w:t>
      </w:r>
      <w:r w:rsidR="00330FAE" w:rsidRPr="000E2B31">
        <w:rPr>
          <w:rFonts w:ascii="Times New Roman" w:hAnsi="Times New Roman" w:cs="Times New Roman"/>
          <w:sz w:val="28"/>
          <w:szCs w:val="28"/>
          <w:lang w:val="en-US"/>
        </w:rPr>
        <w:t xml:space="preserve">: </w:t>
      </w:r>
    </w:p>
    <w:p w14:paraId="6F05A565" w14:textId="77777777" w:rsidR="00A6636C" w:rsidRDefault="00A6636C" w:rsidP="00330FAE">
      <w:pPr>
        <w:spacing w:before="0" w:beforeAutospacing="0"/>
        <w:ind w:firstLine="720"/>
        <w:contextualSpacing/>
        <w:jc w:val="both"/>
        <w:rPr>
          <w:rFonts w:ascii="Times New Roman" w:hAnsi="Times New Roman" w:cs="Times New Roman"/>
          <w:sz w:val="24"/>
          <w:szCs w:val="24"/>
          <w:lang w:val="en-US"/>
        </w:rPr>
      </w:pPr>
    </w:p>
    <w:p w14:paraId="57B543AD" w14:textId="5B267FE7" w:rsidR="00330FAE" w:rsidRPr="00DF353B" w:rsidRDefault="00330FAE" w:rsidP="00863B43">
      <w:pPr>
        <w:spacing w:before="0" w:beforeAutospacing="0" w:line="276" w:lineRule="auto"/>
        <w:ind w:firstLine="720"/>
        <w:contextualSpacing/>
        <w:jc w:val="both"/>
        <w:rPr>
          <w:rFonts w:ascii="Times New Roman" w:hAnsi="Times New Roman" w:cs="Times New Roman"/>
          <w:sz w:val="24"/>
          <w:szCs w:val="24"/>
          <w:lang w:val="en-US"/>
        </w:rPr>
      </w:pPr>
      <w:r w:rsidRPr="00DF353B">
        <w:rPr>
          <w:rFonts w:ascii="Times New Roman" w:hAnsi="Times New Roman" w:cs="Times New Roman"/>
          <w:sz w:val="24"/>
          <w:szCs w:val="24"/>
          <w:lang w:val="en-US"/>
        </w:rPr>
        <w:t>“1.</w:t>
      </w:r>
      <w:r w:rsidRPr="00DF353B">
        <w:rPr>
          <w:rFonts w:ascii="Times New Roman" w:hAnsi="Times New Roman" w:cs="Times New Roman"/>
          <w:sz w:val="24"/>
          <w:szCs w:val="24"/>
          <w:lang w:val="en-US"/>
        </w:rPr>
        <w:tab/>
        <w:t>The impugned decisions are reviewed and set aside.</w:t>
      </w:r>
    </w:p>
    <w:p w14:paraId="5FF21AFD" w14:textId="0C3EDA2B" w:rsidR="00330FAE" w:rsidRPr="00DF353B" w:rsidRDefault="004511A4" w:rsidP="004511A4">
      <w:pPr>
        <w:spacing w:before="0" w:beforeAutospacing="0" w:line="276" w:lineRule="auto"/>
        <w:ind w:left="1440" w:hanging="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30FAE" w:rsidRPr="00DF353B">
        <w:rPr>
          <w:rFonts w:ascii="Times New Roman" w:hAnsi="Times New Roman" w:cs="Times New Roman"/>
          <w:sz w:val="24"/>
          <w:szCs w:val="24"/>
          <w:lang w:val="en-US"/>
        </w:rPr>
        <w:t>2.</w:t>
      </w:r>
      <w:r w:rsidR="00330FAE" w:rsidRPr="00DF353B">
        <w:rPr>
          <w:rFonts w:ascii="Times New Roman" w:hAnsi="Times New Roman" w:cs="Times New Roman"/>
          <w:sz w:val="24"/>
          <w:szCs w:val="24"/>
          <w:lang w:val="en-US"/>
        </w:rPr>
        <w:tab/>
        <w:t>The tender is remitted back to the department for reconsideration in terms of the provisions of section 8 (1)(c)(i) of PAJA.</w:t>
      </w:r>
    </w:p>
    <w:p w14:paraId="66023F43" w14:textId="75BC69FF" w:rsidR="00330FAE" w:rsidRPr="00DF353B" w:rsidRDefault="004511A4" w:rsidP="00863B43">
      <w:pPr>
        <w:spacing w:before="0" w:beforeAutospacing="0" w:line="276" w:lineRule="auto"/>
        <w:ind w:left="1440" w:hanging="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30FAE" w:rsidRPr="00DF353B">
        <w:rPr>
          <w:rFonts w:ascii="Times New Roman" w:hAnsi="Times New Roman" w:cs="Times New Roman"/>
          <w:sz w:val="24"/>
          <w:szCs w:val="24"/>
          <w:lang w:val="en-US"/>
        </w:rPr>
        <w:t>3.</w:t>
      </w:r>
      <w:r w:rsidR="00330FAE" w:rsidRPr="00DF353B">
        <w:rPr>
          <w:rFonts w:ascii="Times New Roman" w:hAnsi="Times New Roman" w:cs="Times New Roman"/>
          <w:sz w:val="24"/>
          <w:szCs w:val="24"/>
          <w:lang w:val="en-US"/>
        </w:rPr>
        <w:tab/>
        <w:t xml:space="preserve">That the first respondent </w:t>
      </w:r>
      <w:r w:rsidR="00330FAE" w:rsidRPr="00863B43">
        <w:rPr>
          <w:rFonts w:ascii="Times New Roman" w:hAnsi="Times New Roman" w:cs="Times New Roman"/>
          <w:sz w:val="28"/>
          <w:szCs w:val="28"/>
          <w:lang w:val="en-US"/>
        </w:rPr>
        <w:t>(appellant)</w:t>
      </w:r>
      <w:r w:rsidR="00330FAE" w:rsidRPr="00DF353B">
        <w:rPr>
          <w:rFonts w:ascii="Times New Roman" w:hAnsi="Times New Roman" w:cs="Times New Roman"/>
          <w:sz w:val="24"/>
          <w:szCs w:val="24"/>
          <w:lang w:val="en-US"/>
        </w:rPr>
        <w:t xml:space="preserve"> shall pay the applicant’s </w:t>
      </w:r>
      <w:r w:rsidR="00330FAE" w:rsidRPr="00863B43">
        <w:rPr>
          <w:rFonts w:ascii="Times New Roman" w:hAnsi="Times New Roman" w:cs="Times New Roman"/>
          <w:sz w:val="28"/>
          <w:szCs w:val="28"/>
          <w:lang w:val="en-US"/>
        </w:rPr>
        <w:t>(first respondent on appeal)</w:t>
      </w:r>
      <w:r w:rsidR="00330FAE" w:rsidRPr="00DF353B">
        <w:rPr>
          <w:rFonts w:ascii="Times New Roman" w:hAnsi="Times New Roman" w:cs="Times New Roman"/>
          <w:sz w:val="24"/>
          <w:szCs w:val="24"/>
          <w:lang w:val="en-US"/>
        </w:rPr>
        <w:t xml:space="preserve"> taxed or agreed party and party costs in this application, as well as the applicant’s </w:t>
      </w:r>
      <w:r w:rsidR="00330FAE" w:rsidRPr="00863B43">
        <w:rPr>
          <w:rFonts w:ascii="Times New Roman" w:hAnsi="Times New Roman" w:cs="Times New Roman"/>
          <w:sz w:val="28"/>
          <w:szCs w:val="28"/>
          <w:lang w:val="en-US"/>
        </w:rPr>
        <w:t>(first respondent on appeal)</w:t>
      </w:r>
      <w:r w:rsidR="00330FAE" w:rsidRPr="00DF353B">
        <w:rPr>
          <w:rFonts w:ascii="Times New Roman" w:hAnsi="Times New Roman" w:cs="Times New Roman"/>
          <w:sz w:val="24"/>
          <w:szCs w:val="24"/>
          <w:lang w:val="en-US"/>
        </w:rPr>
        <w:t xml:space="preserve"> taxed or agreed party and party costs under case number 661 / 2020 in the Eastern Cape High Court, Grahamstown</w:t>
      </w:r>
      <w:r w:rsidR="00330FAE">
        <w:rPr>
          <w:rFonts w:ascii="Times New Roman" w:hAnsi="Times New Roman" w:cs="Times New Roman"/>
          <w:sz w:val="24"/>
          <w:szCs w:val="24"/>
          <w:lang w:val="en-US"/>
        </w:rPr>
        <w:t>.</w:t>
      </w:r>
      <w:r w:rsidR="00330FAE" w:rsidRPr="00DF353B">
        <w:rPr>
          <w:rFonts w:ascii="Times New Roman" w:hAnsi="Times New Roman" w:cs="Times New Roman"/>
          <w:sz w:val="24"/>
          <w:szCs w:val="24"/>
          <w:lang w:val="en-US"/>
        </w:rPr>
        <w:t>”</w:t>
      </w:r>
    </w:p>
    <w:p w14:paraId="4DD424DB" w14:textId="77777777" w:rsidR="00330FAE" w:rsidRPr="00330FAE" w:rsidRDefault="00330FAE" w:rsidP="00330FAE">
      <w:pPr>
        <w:pStyle w:val="ListParagraph"/>
        <w:tabs>
          <w:tab w:val="left" w:pos="709"/>
        </w:tabs>
        <w:spacing w:before="0" w:beforeAutospacing="0"/>
        <w:ind w:left="0"/>
        <w:jc w:val="both"/>
        <w:rPr>
          <w:rFonts w:ascii="Times New Roman" w:hAnsi="Times New Roman" w:cs="Times New Roman"/>
          <w:sz w:val="28"/>
          <w:szCs w:val="28"/>
          <w:u w:val="single"/>
          <w:lang w:val="en-US"/>
        </w:rPr>
      </w:pPr>
    </w:p>
    <w:p w14:paraId="4C575B77" w14:textId="756811B6" w:rsidR="00330FAE" w:rsidRPr="000E2B31" w:rsidRDefault="000E2B31" w:rsidP="000E2B31">
      <w:pPr>
        <w:tabs>
          <w:tab w:val="left" w:pos="709"/>
        </w:tabs>
        <w:spacing w:before="0" w:beforeAutospacing="0"/>
        <w:jc w:val="both"/>
        <w:rPr>
          <w:rFonts w:ascii="Times New Roman" w:hAnsi="Times New Roman" w:cs="Times New Roman"/>
          <w:sz w:val="28"/>
          <w:szCs w:val="28"/>
          <w:u w:val="single"/>
          <w:lang w:val="en-US"/>
        </w:rPr>
      </w:pPr>
      <w:r w:rsidRPr="00330FAE">
        <w:rPr>
          <w:rFonts w:ascii="Times New Roman" w:hAnsi="Times New Roman" w:cs="Times New Roman"/>
          <w:sz w:val="28"/>
          <w:szCs w:val="28"/>
          <w:lang w:val="en-US"/>
        </w:rPr>
        <w:t>[2]</w:t>
      </w:r>
      <w:r w:rsidRPr="00330FAE">
        <w:rPr>
          <w:rFonts w:ascii="Times New Roman" w:hAnsi="Times New Roman" w:cs="Times New Roman"/>
          <w:sz w:val="28"/>
          <w:szCs w:val="28"/>
          <w:lang w:val="en-US"/>
        </w:rPr>
        <w:tab/>
      </w:r>
      <w:r w:rsidR="00330FAE" w:rsidRPr="000E2B31">
        <w:rPr>
          <w:rFonts w:ascii="Times New Roman" w:hAnsi="Times New Roman" w:cs="Times New Roman"/>
          <w:sz w:val="28"/>
          <w:szCs w:val="28"/>
          <w:lang w:val="en-US"/>
        </w:rPr>
        <w:t xml:space="preserve">The </w:t>
      </w:r>
      <w:r w:rsidR="004E0B94" w:rsidRPr="000E2B31">
        <w:rPr>
          <w:rFonts w:ascii="Times New Roman" w:hAnsi="Times New Roman" w:cs="Times New Roman"/>
          <w:sz w:val="28"/>
          <w:szCs w:val="28"/>
          <w:lang w:val="en-US"/>
        </w:rPr>
        <w:t>“</w:t>
      </w:r>
      <w:r w:rsidR="00330FAE" w:rsidRPr="000E2B31">
        <w:rPr>
          <w:rFonts w:ascii="Times New Roman" w:hAnsi="Times New Roman" w:cs="Times New Roman"/>
          <w:sz w:val="28"/>
          <w:szCs w:val="28"/>
          <w:lang w:val="en-US"/>
        </w:rPr>
        <w:t>impugned decisions</w:t>
      </w:r>
      <w:r w:rsidR="004E0B94" w:rsidRPr="000E2B31">
        <w:rPr>
          <w:rFonts w:ascii="Times New Roman" w:hAnsi="Times New Roman" w:cs="Times New Roman"/>
          <w:sz w:val="28"/>
          <w:szCs w:val="28"/>
          <w:lang w:val="en-US"/>
        </w:rPr>
        <w:t>”</w:t>
      </w:r>
      <w:r w:rsidR="00330FAE" w:rsidRPr="000E2B31">
        <w:rPr>
          <w:rFonts w:ascii="Times New Roman" w:hAnsi="Times New Roman" w:cs="Times New Roman"/>
          <w:sz w:val="28"/>
          <w:szCs w:val="28"/>
          <w:lang w:val="en-US"/>
        </w:rPr>
        <w:t xml:space="preserve"> were made during the evaluation and award by the appellant as “employer” of a tender in the arena of public procurement. The </w:t>
      </w:r>
      <w:r w:rsidR="00872D51" w:rsidRPr="000E2B31">
        <w:rPr>
          <w:rFonts w:ascii="Times New Roman" w:hAnsi="Times New Roman" w:cs="Times New Roman"/>
          <w:sz w:val="28"/>
          <w:szCs w:val="28"/>
          <w:lang w:val="en-US"/>
        </w:rPr>
        <w:t>administrative action</w:t>
      </w:r>
      <w:r w:rsidR="00330FAE" w:rsidRPr="000E2B31">
        <w:rPr>
          <w:rFonts w:ascii="Times New Roman" w:hAnsi="Times New Roman" w:cs="Times New Roman"/>
          <w:sz w:val="28"/>
          <w:szCs w:val="28"/>
          <w:lang w:val="en-US"/>
        </w:rPr>
        <w:t xml:space="preserve"> under scrutiny</w:t>
      </w:r>
      <w:r w:rsidR="004E0B94" w:rsidRPr="000E2B31">
        <w:rPr>
          <w:rFonts w:ascii="Times New Roman" w:hAnsi="Times New Roman" w:cs="Times New Roman"/>
          <w:sz w:val="28"/>
          <w:szCs w:val="28"/>
          <w:lang w:val="en-US"/>
        </w:rPr>
        <w:t xml:space="preserve"> </w:t>
      </w:r>
      <w:r w:rsidR="00872D51" w:rsidRPr="000E2B31">
        <w:rPr>
          <w:rFonts w:ascii="Times New Roman" w:hAnsi="Times New Roman" w:cs="Times New Roman"/>
          <w:sz w:val="28"/>
          <w:szCs w:val="28"/>
          <w:lang w:val="en-US"/>
        </w:rPr>
        <w:t>entailed</w:t>
      </w:r>
      <w:r w:rsidR="004E0B94" w:rsidRPr="000E2B31">
        <w:rPr>
          <w:rFonts w:ascii="Times New Roman" w:hAnsi="Times New Roman" w:cs="Times New Roman"/>
          <w:sz w:val="28"/>
          <w:szCs w:val="28"/>
          <w:lang w:val="en-US"/>
        </w:rPr>
        <w:t xml:space="preserve"> the following</w:t>
      </w:r>
      <w:r w:rsidR="00330FAE" w:rsidRPr="000E2B31">
        <w:rPr>
          <w:rFonts w:ascii="Times New Roman" w:hAnsi="Times New Roman" w:cs="Times New Roman"/>
          <w:sz w:val="28"/>
          <w:szCs w:val="28"/>
          <w:lang w:val="en-US"/>
        </w:rPr>
        <w:t>:</w:t>
      </w:r>
    </w:p>
    <w:p w14:paraId="56988E59" w14:textId="77777777" w:rsidR="00330FAE" w:rsidRDefault="00330FAE" w:rsidP="00330FAE">
      <w:pPr>
        <w:pStyle w:val="ListParagraph"/>
        <w:tabs>
          <w:tab w:val="left" w:pos="709"/>
        </w:tabs>
        <w:spacing w:before="0" w:beforeAutospacing="0"/>
        <w:ind w:left="0"/>
        <w:jc w:val="both"/>
        <w:rPr>
          <w:rFonts w:ascii="Times New Roman" w:hAnsi="Times New Roman" w:cs="Times New Roman"/>
          <w:sz w:val="28"/>
          <w:szCs w:val="28"/>
          <w:u w:val="single"/>
          <w:lang w:val="en-US"/>
        </w:rPr>
      </w:pPr>
    </w:p>
    <w:p w14:paraId="5560CB14" w14:textId="202FB79F" w:rsidR="00330FAE" w:rsidRDefault="00330FAE" w:rsidP="00330FAE">
      <w:pPr>
        <w:spacing w:before="0" w:beforeAutospacing="0"/>
        <w:ind w:left="1440" w:hanging="72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2.1 </w:t>
      </w:r>
      <w:r>
        <w:rPr>
          <w:rFonts w:ascii="Times New Roman" w:hAnsi="Times New Roman" w:cs="Times New Roman"/>
          <w:sz w:val="28"/>
          <w:szCs w:val="28"/>
          <w:lang w:val="en-US"/>
        </w:rPr>
        <w:tab/>
      </w:r>
      <w:r w:rsidRPr="00751E83">
        <w:rPr>
          <w:rFonts w:ascii="Times New Roman" w:hAnsi="Times New Roman" w:cs="Times New Roman"/>
          <w:sz w:val="28"/>
          <w:szCs w:val="28"/>
          <w:lang w:val="en-US"/>
        </w:rPr>
        <w:t>the decision</w:t>
      </w:r>
      <w:r w:rsidR="00C100BD">
        <w:rPr>
          <w:rFonts w:ascii="Times New Roman" w:hAnsi="Times New Roman" w:cs="Times New Roman"/>
          <w:sz w:val="28"/>
          <w:szCs w:val="28"/>
          <w:lang w:val="en-US"/>
        </w:rPr>
        <w:t>s</w:t>
      </w:r>
      <w:r w:rsidRPr="00751E83">
        <w:rPr>
          <w:rFonts w:ascii="Times New Roman" w:hAnsi="Times New Roman" w:cs="Times New Roman"/>
          <w:sz w:val="28"/>
          <w:szCs w:val="28"/>
          <w:lang w:val="en-US"/>
        </w:rPr>
        <w:t xml:space="preserve"> to declare as administratively responsive</w:t>
      </w:r>
      <w:r w:rsidRPr="00324628">
        <w:rPr>
          <w:rFonts w:ascii="Times New Roman" w:hAnsi="Times New Roman" w:cs="Times New Roman"/>
          <w:sz w:val="28"/>
          <w:szCs w:val="28"/>
          <w:lang w:val="en-US"/>
        </w:rPr>
        <w:t xml:space="preserve"> the bids of the second and third respond</w:t>
      </w:r>
      <w:r>
        <w:rPr>
          <w:rFonts w:ascii="Times New Roman" w:hAnsi="Times New Roman" w:cs="Times New Roman"/>
          <w:sz w:val="28"/>
          <w:szCs w:val="28"/>
          <w:lang w:val="en-US"/>
        </w:rPr>
        <w:t>ents;</w:t>
      </w:r>
    </w:p>
    <w:p w14:paraId="066FBB7E" w14:textId="77777777" w:rsidR="00330FAE" w:rsidRDefault="00330FAE" w:rsidP="00330FAE">
      <w:pPr>
        <w:spacing w:before="0" w:beforeAutospacing="0"/>
        <w:ind w:left="72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2.2</w:t>
      </w:r>
      <w:r>
        <w:rPr>
          <w:rFonts w:ascii="Times New Roman" w:hAnsi="Times New Roman" w:cs="Times New Roman"/>
          <w:sz w:val="28"/>
          <w:szCs w:val="28"/>
          <w:lang w:val="en-US"/>
        </w:rPr>
        <w:tab/>
      </w:r>
      <w:r w:rsidRPr="00324628">
        <w:rPr>
          <w:rFonts w:ascii="Times New Roman" w:hAnsi="Times New Roman" w:cs="Times New Roman"/>
          <w:sz w:val="28"/>
          <w:szCs w:val="28"/>
          <w:lang w:val="en-US"/>
        </w:rPr>
        <w:t>the decision to award the tender to the second respondent</w:t>
      </w:r>
      <w:r>
        <w:rPr>
          <w:rFonts w:ascii="Times New Roman" w:hAnsi="Times New Roman" w:cs="Times New Roman"/>
          <w:sz w:val="28"/>
          <w:szCs w:val="28"/>
          <w:lang w:val="en-US"/>
        </w:rPr>
        <w:t xml:space="preserve">; and </w:t>
      </w:r>
    </w:p>
    <w:p w14:paraId="6F3DB557" w14:textId="38C8A01C" w:rsidR="00330FAE" w:rsidRDefault="00330FAE" w:rsidP="004511A4">
      <w:pPr>
        <w:spacing w:before="0" w:beforeAutospacing="0"/>
        <w:ind w:left="1440" w:hanging="72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2.3</w:t>
      </w:r>
      <w:r>
        <w:rPr>
          <w:rFonts w:ascii="Times New Roman" w:hAnsi="Times New Roman" w:cs="Times New Roman"/>
          <w:sz w:val="28"/>
          <w:szCs w:val="28"/>
          <w:lang w:val="en-US"/>
        </w:rPr>
        <w:tab/>
      </w:r>
      <w:r w:rsidRPr="00324628">
        <w:rPr>
          <w:rFonts w:ascii="Times New Roman" w:hAnsi="Times New Roman" w:cs="Times New Roman"/>
          <w:sz w:val="28"/>
          <w:szCs w:val="28"/>
          <w:lang w:val="en-US"/>
        </w:rPr>
        <w:t xml:space="preserve">the decision to declare the bid of the </w:t>
      </w:r>
      <w:r w:rsidR="004511A4">
        <w:rPr>
          <w:rFonts w:ascii="Times New Roman" w:hAnsi="Times New Roman" w:cs="Times New Roman"/>
          <w:sz w:val="28"/>
          <w:szCs w:val="28"/>
          <w:lang w:val="en-US"/>
        </w:rPr>
        <w:t>first respondent</w:t>
      </w:r>
      <w:r w:rsidRPr="00324628">
        <w:rPr>
          <w:rFonts w:ascii="Times New Roman" w:hAnsi="Times New Roman" w:cs="Times New Roman"/>
          <w:sz w:val="28"/>
          <w:szCs w:val="28"/>
          <w:lang w:val="en-US"/>
        </w:rPr>
        <w:t xml:space="preserve"> ineligible for the </w:t>
      </w:r>
      <w:r>
        <w:rPr>
          <w:rFonts w:ascii="Times New Roman" w:hAnsi="Times New Roman" w:cs="Times New Roman"/>
          <w:sz w:val="28"/>
          <w:szCs w:val="28"/>
          <w:lang w:val="en-US"/>
        </w:rPr>
        <w:t>t</w:t>
      </w:r>
      <w:r w:rsidRPr="00324628">
        <w:rPr>
          <w:rFonts w:ascii="Times New Roman" w:hAnsi="Times New Roman" w:cs="Times New Roman"/>
          <w:sz w:val="28"/>
          <w:szCs w:val="28"/>
          <w:lang w:val="en-US"/>
        </w:rPr>
        <w:t>ender</w:t>
      </w:r>
      <w:r>
        <w:rPr>
          <w:rFonts w:ascii="Times New Roman" w:hAnsi="Times New Roman" w:cs="Times New Roman"/>
          <w:sz w:val="28"/>
          <w:szCs w:val="28"/>
          <w:lang w:val="en-US"/>
        </w:rPr>
        <w:t>.</w:t>
      </w:r>
    </w:p>
    <w:p w14:paraId="69C6FB76" w14:textId="77777777" w:rsidR="00330FAE" w:rsidRDefault="00330FAE" w:rsidP="00330FAE">
      <w:pPr>
        <w:pStyle w:val="ListParagraph"/>
        <w:tabs>
          <w:tab w:val="left" w:pos="709"/>
        </w:tabs>
        <w:spacing w:before="0" w:beforeAutospacing="0"/>
        <w:ind w:left="0"/>
        <w:jc w:val="both"/>
        <w:rPr>
          <w:rFonts w:ascii="Times New Roman" w:hAnsi="Times New Roman" w:cs="Times New Roman"/>
          <w:sz w:val="28"/>
          <w:szCs w:val="28"/>
          <w:u w:val="single"/>
          <w:lang w:val="en-US"/>
        </w:rPr>
      </w:pPr>
    </w:p>
    <w:p w14:paraId="275B881F" w14:textId="77777777" w:rsidR="00C52A60" w:rsidRPr="00330FAE" w:rsidRDefault="00C52A60" w:rsidP="00330FAE">
      <w:pPr>
        <w:pStyle w:val="ListParagraph"/>
        <w:tabs>
          <w:tab w:val="left" w:pos="709"/>
        </w:tabs>
        <w:spacing w:before="0" w:beforeAutospacing="0"/>
        <w:ind w:left="0"/>
        <w:jc w:val="both"/>
        <w:rPr>
          <w:rFonts w:ascii="Times New Roman" w:hAnsi="Times New Roman" w:cs="Times New Roman"/>
          <w:sz w:val="28"/>
          <w:szCs w:val="28"/>
          <w:u w:val="single"/>
          <w:lang w:val="en-US"/>
        </w:rPr>
      </w:pPr>
    </w:p>
    <w:p w14:paraId="5DD0FE9F" w14:textId="7F2D12AF" w:rsidR="00330FAE" w:rsidRPr="000E2B31" w:rsidRDefault="000E2B31" w:rsidP="000E2B31">
      <w:pPr>
        <w:tabs>
          <w:tab w:val="left" w:pos="709"/>
        </w:tabs>
        <w:spacing w:before="0" w:beforeAutospacing="0"/>
        <w:jc w:val="both"/>
        <w:rPr>
          <w:rFonts w:ascii="Times New Roman" w:hAnsi="Times New Roman" w:cs="Times New Roman"/>
          <w:sz w:val="28"/>
          <w:szCs w:val="28"/>
          <w:u w:val="single"/>
          <w:lang w:val="en-US"/>
        </w:rPr>
      </w:pPr>
      <w:r w:rsidRPr="00330FAE">
        <w:rPr>
          <w:rFonts w:ascii="Times New Roman" w:hAnsi="Times New Roman" w:cs="Times New Roman"/>
          <w:sz w:val="28"/>
          <w:szCs w:val="28"/>
          <w:lang w:val="en-US"/>
        </w:rPr>
        <w:lastRenderedPageBreak/>
        <w:t>[3]</w:t>
      </w:r>
      <w:r w:rsidRPr="00330FAE">
        <w:rPr>
          <w:rFonts w:ascii="Times New Roman" w:hAnsi="Times New Roman" w:cs="Times New Roman"/>
          <w:sz w:val="28"/>
          <w:szCs w:val="28"/>
          <w:lang w:val="en-US"/>
        </w:rPr>
        <w:tab/>
      </w:r>
      <w:r w:rsidR="00330FAE" w:rsidRPr="000E2B31">
        <w:rPr>
          <w:rFonts w:ascii="Times New Roman" w:hAnsi="Times New Roman" w:cs="Times New Roman"/>
          <w:sz w:val="28"/>
          <w:szCs w:val="28"/>
          <w:lang w:val="en-US"/>
        </w:rPr>
        <w:t>The tender was described as for:</w:t>
      </w:r>
    </w:p>
    <w:p w14:paraId="641D7A70" w14:textId="77777777" w:rsidR="00330FAE" w:rsidRDefault="00330FAE" w:rsidP="00330FAE">
      <w:pPr>
        <w:pStyle w:val="ListParagraph"/>
        <w:tabs>
          <w:tab w:val="left" w:pos="709"/>
        </w:tabs>
        <w:spacing w:before="0" w:beforeAutospacing="0"/>
        <w:ind w:left="0"/>
        <w:jc w:val="both"/>
        <w:rPr>
          <w:rFonts w:ascii="Times New Roman" w:hAnsi="Times New Roman" w:cs="Times New Roman"/>
          <w:sz w:val="28"/>
          <w:szCs w:val="28"/>
          <w:u w:val="single"/>
          <w:lang w:val="en-US"/>
        </w:rPr>
      </w:pPr>
    </w:p>
    <w:p w14:paraId="00289099" w14:textId="62FC0A56" w:rsidR="00330FAE" w:rsidRDefault="00330FAE" w:rsidP="00D46402">
      <w:pPr>
        <w:spacing w:before="0" w:beforeAutospacing="0" w:line="276" w:lineRule="auto"/>
        <w:ind w:left="720"/>
        <w:contextualSpacing/>
        <w:jc w:val="both"/>
        <w:rPr>
          <w:rFonts w:ascii="Times New Roman" w:hAnsi="Times New Roman" w:cs="Times New Roman"/>
          <w:sz w:val="28"/>
          <w:szCs w:val="28"/>
          <w:lang w:val="en-US"/>
        </w:rPr>
      </w:pPr>
      <w:r w:rsidRPr="00986FE6">
        <w:rPr>
          <w:rFonts w:ascii="Times New Roman" w:hAnsi="Times New Roman" w:cs="Times New Roman"/>
          <w:sz w:val="24"/>
          <w:szCs w:val="24"/>
          <w:lang w:val="en-US"/>
        </w:rPr>
        <w:t xml:space="preserve">“Port Elizabeth Kwazakhele SAPS: Application for condition based maintenance of civil, electrical &amp; structural elements of Station and Official Quarters- Reference Number 19/2/4/2/2/6405/151” </w:t>
      </w:r>
      <w:r>
        <w:rPr>
          <w:rFonts w:ascii="Times New Roman" w:hAnsi="Times New Roman" w:cs="Times New Roman"/>
          <w:sz w:val="24"/>
          <w:szCs w:val="24"/>
          <w:lang w:val="en-US"/>
        </w:rPr>
        <w:t>(</w:t>
      </w:r>
      <w:r w:rsidRPr="004E5A5B">
        <w:rPr>
          <w:rFonts w:ascii="Times New Roman" w:hAnsi="Times New Roman" w:cs="Times New Roman"/>
          <w:sz w:val="28"/>
          <w:szCs w:val="28"/>
          <w:lang w:val="en-US"/>
        </w:rPr>
        <w:t>“the “tender”)</w:t>
      </w:r>
      <w:r>
        <w:rPr>
          <w:rFonts w:ascii="Times New Roman" w:hAnsi="Times New Roman" w:cs="Times New Roman"/>
          <w:sz w:val="28"/>
          <w:szCs w:val="28"/>
          <w:lang w:val="en-US"/>
        </w:rPr>
        <w:t>.</w:t>
      </w:r>
    </w:p>
    <w:p w14:paraId="31F01901" w14:textId="77777777" w:rsidR="00330FAE" w:rsidRDefault="00330FAE" w:rsidP="00330FAE">
      <w:pPr>
        <w:spacing w:before="0" w:beforeAutospacing="0"/>
        <w:ind w:left="720"/>
        <w:contextualSpacing/>
        <w:jc w:val="both"/>
        <w:rPr>
          <w:rFonts w:ascii="Times New Roman" w:hAnsi="Times New Roman" w:cs="Times New Roman"/>
          <w:sz w:val="24"/>
          <w:szCs w:val="24"/>
          <w:lang w:val="en-US"/>
        </w:rPr>
      </w:pPr>
    </w:p>
    <w:p w14:paraId="44712E37" w14:textId="18788FB1" w:rsidR="00330FAE" w:rsidRDefault="00330FAE" w:rsidP="00330FAE">
      <w:pPr>
        <w:spacing w:before="0" w:beforeAutospacing="0"/>
        <w:contextualSpacing/>
        <w:jc w:val="both"/>
        <w:rPr>
          <w:rFonts w:ascii="Times New Roman" w:hAnsi="Times New Roman" w:cs="Times New Roman"/>
          <w:sz w:val="28"/>
          <w:szCs w:val="28"/>
          <w:u w:val="single"/>
          <w:lang w:val="en-US"/>
        </w:rPr>
      </w:pPr>
      <w:r w:rsidRPr="007B6FA1">
        <w:rPr>
          <w:rFonts w:ascii="Times New Roman" w:hAnsi="Times New Roman" w:cs="Times New Roman"/>
          <w:sz w:val="28"/>
          <w:szCs w:val="28"/>
          <w:u w:val="single"/>
          <w:lang w:val="en-US"/>
        </w:rPr>
        <w:t>Salient facts</w:t>
      </w:r>
    </w:p>
    <w:p w14:paraId="09529C8F" w14:textId="77777777" w:rsidR="00330FAE" w:rsidRDefault="00330FAE" w:rsidP="00330FAE">
      <w:pPr>
        <w:spacing w:before="0" w:beforeAutospacing="0"/>
        <w:contextualSpacing/>
        <w:jc w:val="both"/>
        <w:rPr>
          <w:rFonts w:ascii="Times New Roman" w:hAnsi="Times New Roman" w:cs="Times New Roman"/>
          <w:sz w:val="28"/>
          <w:szCs w:val="28"/>
          <w:u w:val="single"/>
          <w:lang w:val="en-US"/>
        </w:rPr>
      </w:pPr>
    </w:p>
    <w:p w14:paraId="4C55A023" w14:textId="7579E3C9" w:rsidR="00CD7775" w:rsidRPr="000E2B31" w:rsidRDefault="000E2B31" w:rsidP="000E2B31">
      <w:pPr>
        <w:tabs>
          <w:tab w:val="left" w:pos="709"/>
        </w:tabs>
        <w:spacing w:before="0" w:beforeAutospacing="0"/>
        <w:jc w:val="both"/>
        <w:rPr>
          <w:rFonts w:ascii="Times New Roman" w:hAnsi="Times New Roman" w:cs="Times New Roman"/>
          <w:sz w:val="28"/>
          <w:szCs w:val="28"/>
          <w:u w:val="single"/>
          <w:lang w:val="en-US"/>
        </w:rPr>
      </w:pPr>
      <w:r w:rsidRPr="00CD7775">
        <w:rPr>
          <w:rFonts w:ascii="Times New Roman" w:hAnsi="Times New Roman" w:cs="Times New Roman"/>
          <w:sz w:val="28"/>
          <w:szCs w:val="28"/>
          <w:lang w:val="en-US"/>
        </w:rPr>
        <w:t>[4]</w:t>
      </w:r>
      <w:r w:rsidRPr="00CD7775">
        <w:rPr>
          <w:rFonts w:ascii="Times New Roman" w:hAnsi="Times New Roman" w:cs="Times New Roman"/>
          <w:sz w:val="28"/>
          <w:szCs w:val="28"/>
          <w:lang w:val="en-US"/>
        </w:rPr>
        <w:tab/>
      </w:r>
      <w:r w:rsidR="00330FAE" w:rsidRPr="000E2B31">
        <w:rPr>
          <w:rFonts w:ascii="Times New Roman" w:hAnsi="Times New Roman" w:cs="Times New Roman"/>
          <w:sz w:val="28"/>
          <w:szCs w:val="28"/>
          <w:lang w:val="en-US"/>
        </w:rPr>
        <w:t>The appellant placed an advertisement for the tender during April 2019 inviting bids from interested parties.</w:t>
      </w:r>
    </w:p>
    <w:p w14:paraId="29EF6B1C" w14:textId="77777777" w:rsidR="00CD7775" w:rsidRPr="00CD7775" w:rsidRDefault="00CD7775" w:rsidP="00CD7775">
      <w:pPr>
        <w:pStyle w:val="ListParagraph"/>
        <w:tabs>
          <w:tab w:val="left" w:pos="709"/>
        </w:tabs>
        <w:spacing w:before="0" w:beforeAutospacing="0"/>
        <w:ind w:left="0"/>
        <w:jc w:val="both"/>
        <w:rPr>
          <w:rFonts w:ascii="Times New Roman" w:hAnsi="Times New Roman" w:cs="Times New Roman"/>
          <w:sz w:val="28"/>
          <w:szCs w:val="28"/>
          <w:u w:val="single"/>
          <w:lang w:val="en-US"/>
        </w:rPr>
      </w:pPr>
    </w:p>
    <w:p w14:paraId="5DD37B28" w14:textId="370E96C7" w:rsidR="00330FAE" w:rsidRPr="000E2B31" w:rsidRDefault="000E2B31" w:rsidP="000E2B31">
      <w:pPr>
        <w:tabs>
          <w:tab w:val="left" w:pos="709"/>
        </w:tabs>
        <w:spacing w:before="0" w:beforeAutospacing="0"/>
        <w:jc w:val="both"/>
        <w:rPr>
          <w:rFonts w:ascii="Times New Roman" w:hAnsi="Times New Roman" w:cs="Times New Roman"/>
          <w:sz w:val="28"/>
          <w:szCs w:val="28"/>
          <w:u w:val="single"/>
          <w:lang w:val="en-US"/>
        </w:rPr>
      </w:pPr>
      <w:r w:rsidRPr="00330FAE">
        <w:rPr>
          <w:rFonts w:ascii="Times New Roman" w:hAnsi="Times New Roman" w:cs="Times New Roman"/>
          <w:sz w:val="28"/>
          <w:szCs w:val="28"/>
          <w:lang w:val="en-US"/>
        </w:rPr>
        <w:t>[5]</w:t>
      </w:r>
      <w:r w:rsidRPr="00330FAE">
        <w:rPr>
          <w:rFonts w:ascii="Times New Roman" w:hAnsi="Times New Roman" w:cs="Times New Roman"/>
          <w:sz w:val="28"/>
          <w:szCs w:val="28"/>
          <w:lang w:val="en-US"/>
        </w:rPr>
        <w:tab/>
      </w:r>
      <w:r w:rsidR="00330FAE" w:rsidRPr="000E2B31">
        <w:rPr>
          <w:rFonts w:ascii="Times New Roman" w:hAnsi="Times New Roman" w:cs="Times New Roman"/>
          <w:sz w:val="28"/>
          <w:szCs w:val="28"/>
          <w:lang w:val="en-US"/>
        </w:rPr>
        <w:t xml:space="preserve"> The bid invitation for the tender recorded that the bid would be evaluated in terms of the 80/20 preference points scoring system. To pre-qualify for the tender, bidders would have to have a B</w:t>
      </w:r>
      <w:r w:rsidR="00CD7775" w:rsidRPr="000E2B31">
        <w:rPr>
          <w:rFonts w:ascii="Times New Roman" w:hAnsi="Times New Roman" w:cs="Times New Roman"/>
          <w:sz w:val="28"/>
          <w:szCs w:val="28"/>
          <w:lang w:val="en-US"/>
        </w:rPr>
        <w:t>-</w:t>
      </w:r>
      <w:r w:rsidR="00330FAE" w:rsidRPr="000E2B31">
        <w:rPr>
          <w:rFonts w:ascii="Times New Roman" w:hAnsi="Times New Roman" w:cs="Times New Roman"/>
          <w:sz w:val="28"/>
          <w:szCs w:val="28"/>
          <w:lang w:val="en-US"/>
        </w:rPr>
        <w:t>BBEE status level of between 1 and 3 and would have to subcontract a minimum of 30% of the value of the tender to EME’s or QSE’s that are 51% owned by “black people”.</w:t>
      </w:r>
    </w:p>
    <w:p w14:paraId="4E683E7C" w14:textId="77777777" w:rsidR="00330FAE" w:rsidRPr="00330FAE" w:rsidRDefault="00330FAE" w:rsidP="00330FAE">
      <w:pPr>
        <w:pStyle w:val="ListParagraph"/>
        <w:tabs>
          <w:tab w:val="left" w:pos="709"/>
        </w:tabs>
        <w:spacing w:before="0" w:beforeAutospacing="0"/>
        <w:ind w:left="0"/>
        <w:jc w:val="both"/>
        <w:rPr>
          <w:rFonts w:ascii="Times New Roman" w:hAnsi="Times New Roman" w:cs="Times New Roman"/>
          <w:sz w:val="28"/>
          <w:szCs w:val="28"/>
          <w:u w:val="single"/>
          <w:lang w:val="en-US"/>
        </w:rPr>
      </w:pPr>
    </w:p>
    <w:p w14:paraId="546CF684" w14:textId="3C9768A1" w:rsidR="00330FAE" w:rsidRPr="000E2B31" w:rsidRDefault="000E2B31" w:rsidP="000E2B31">
      <w:pPr>
        <w:tabs>
          <w:tab w:val="left" w:pos="709"/>
        </w:tabs>
        <w:spacing w:before="0" w:beforeAutospacing="0"/>
        <w:jc w:val="both"/>
        <w:rPr>
          <w:rFonts w:ascii="Times New Roman" w:hAnsi="Times New Roman" w:cs="Times New Roman"/>
          <w:sz w:val="28"/>
          <w:szCs w:val="28"/>
          <w:u w:val="single"/>
          <w:lang w:val="en-US"/>
        </w:rPr>
      </w:pPr>
      <w:r w:rsidRPr="00330FAE">
        <w:rPr>
          <w:rFonts w:ascii="Times New Roman" w:hAnsi="Times New Roman" w:cs="Times New Roman"/>
          <w:sz w:val="28"/>
          <w:szCs w:val="28"/>
          <w:lang w:val="en-US"/>
        </w:rPr>
        <w:t>[6]</w:t>
      </w:r>
      <w:r w:rsidRPr="00330FAE">
        <w:rPr>
          <w:rFonts w:ascii="Times New Roman" w:hAnsi="Times New Roman" w:cs="Times New Roman"/>
          <w:sz w:val="28"/>
          <w:szCs w:val="28"/>
          <w:lang w:val="en-US"/>
        </w:rPr>
        <w:tab/>
      </w:r>
      <w:r w:rsidR="00330FAE" w:rsidRPr="000E2B31">
        <w:rPr>
          <w:rFonts w:ascii="Times New Roman" w:hAnsi="Times New Roman" w:cs="Times New Roman"/>
          <w:sz w:val="28"/>
          <w:szCs w:val="28"/>
          <w:lang w:val="en-US"/>
        </w:rPr>
        <w:t>A minimum functionality score of 50% in relation to the criteria set out in the bid invitation was required for further evaluation and only bidders that met the minimum threshold for local production and content would be considered.</w:t>
      </w:r>
    </w:p>
    <w:p w14:paraId="733A064F" w14:textId="77777777" w:rsidR="00330FAE" w:rsidRPr="00330FAE" w:rsidRDefault="00330FAE" w:rsidP="00330FAE">
      <w:pPr>
        <w:pStyle w:val="ListParagraph"/>
        <w:rPr>
          <w:rFonts w:ascii="Times New Roman" w:hAnsi="Times New Roman" w:cs="Times New Roman"/>
          <w:sz w:val="28"/>
          <w:szCs w:val="28"/>
          <w:lang w:val="en-US"/>
        </w:rPr>
      </w:pPr>
    </w:p>
    <w:p w14:paraId="3A33F2AA" w14:textId="4BA29600" w:rsidR="00330FAE" w:rsidRPr="000E2B31" w:rsidRDefault="000E2B31" w:rsidP="000E2B31">
      <w:pPr>
        <w:tabs>
          <w:tab w:val="left" w:pos="709"/>
        </w:tabs>
        <w:spacing w:before="0" w:beforeAutospacing="0"/>
        <w:jc w:val="both"/>
        <w:rPr>
          <w:rFonts w:ascii="Times New Roman" w:hAnsi="Times New Roman" w:cs="Times New Roman"/>
          <w:sz w:val="28"/>
          <w:szCs w:val="28"/>
          <w:u w:val="single"/>
          <w:lang w:val="en-US"/>
        </w:rPr>
      </w:pPr>
      <w:r w:rsidRPr="004E0B94">
        <w:rPr>
          <w:rFonts w:ascii="Times New Roman" w:hAnsi="Times New Roman" w:cs="Times New Roman"/>
          <w:sz w:val="28"/>
          <w:szCs w:val="28"/>
          <w:lang w:val="en-US"/>
        </w:rPr>
        <w:t>[7]</w:t>
      </w:r>
      <w:r w:rsidRPr="004E0B94">
        <w:rPr>
          <w:rFonts w:ascii="Times New Roman" w:hAnsi="Times New Roman" w:cs="Times New Roman"/>
          <w:sz w:val="28"/>
          <w:szCs w:val="28"/>
          <w:lang w:val="en-US"/>
        </w:rPr>
        <w:tab/>
      </w:r>
      <w:r w:rsidR="00330FAE" w:rsidRPr="000E2B31">
        <w:rPr>
          <w:rFonts w:ascii="Times New Roman" w:hAnsi="Times New Roman" w:cs="Times New Roman"/>
          <w:sz w:val="28"/>
          <w:szCs w:val="28"/>
          <w:lang w:val="en-US"/>
        </w:rPr>
        <w:t xml:space="preserve">A compulsory site meeting for prospective bidders held on 16 May 2019 for the purpose of clarification was duly attended by the first respondent and it submitted its bid </w:t>
      </w:r>
      <w:r w:rsidR="004E0B94" w:rsidRPr="000E2B31">
        <w:rPr>
          <w:rFonts w:ascii="Times New Roman" w:hAnsi="Times New Roman" w:cs="Times New Roman"/>
          <w:sz w:val="28"/>
          <w:szCs w:val="28"/>
          <w:lang w:val="en-US"/>
        </w:rPr>
        <w:t xml:space="preserve">together with 28 other tender hopefuls </w:t>
      </w:r>
      <w:r w:rsidR="00330FAE" w:rsidRPr="000E2B31">
        <w:rPr>
          <w:rFonts w:ascii="Times New Roman" w:hAnsi="Times New Roman" w:cs="Times New Roman"/>
          <w:sz w:val="28"/>
          <w:szCs w:val="28"/>
          <w:lang w:val="en-US"/>
        </w:rPr>
        <w:t>prior to the stipulated closing date for the bid o</w:t>
      </w:r>
      <w:r w:rsidR="00872D51" w:rsidRPr="000E2B31">
        <w:rPr>
          <w:rFonts w:ascii="Times New Roman" w:hAnsi="Times New Roman" w:cs="Times New Roman"/>
          <w:sz w:val="28"/>
          <w:szCs w:val="28"/>
          <w:lang w:val="en-US"/>
        </w:rPr>
        <w:t>f</w:t>
      </w:r>
      <w:r w:rsidR="00330FAE" w:rsidRPr="000E2B31">
        <w:rPr>
          <w:rFonts w:ascii="Times New Roman" w:hAnsi="Times New Roman" w:cs="Times New Roman"/>
          <w:sz w:val="28"/>
          <w:szCs w:val="28"/>
          <w:lang w:val="en-US"/>
        </w:rPr>
        <w:t xml:space="preserve"> 18 June 2019. </w:t>
      </w:r>
    </w:p>
    <w:p w14:paraId="4DF3B28B" w14:textId="77777777" w:rsidR="004E0B94" w:rsidRPr="004E0B94" w:rsidRDefault="004E0B94" w:rsidP="004E0B94">
      <w:pPr>
        <w:pStyle w:val="ListParagraph"/>
        <w:rPr>
          <w:rFonts w:ascii="Times New Roman" w:hAnsi="Times New Roman" w:cs="Times New Roman"/>
          <w:sz w:val="28"/>
          <w:szCs w:val="28"/>
          <w:u w:val="single"/>
          <w:lang w:val="en-US"/>
        </w:rPr>
      </w:pPr>
    </w:p>
    <w:p w14:paraId="117B9AF0" w14:textId="666BEC8B" w:rsidR="004E0B94" w:rsidRPr="000E2B31" w:rsidRDefault="000E2B31" w:rsidP="000E2B31">
      <w:pPr>
        <w:tabs>
          <w:tab w:val="left" w:pos="709"/>
        </w:tabs>
        <w:spacing w:before="0" w:beforeAutospacing="0"/>
        <w:jc w:val="both"/>
        <w:rPr>
          <w:rFonts w:ascii="Times New Roman" w:hAnsi="Times New Roman" w:cs="Times New Roman"/>
          <w:sz w:val="28"/>
          <w:szCs w:val="28"/>
          <w:u w:val="single"/>
          <w:lang w:val="en-US"/>
        </w:rPr>
      </w:pPr>
      <w:r w:rsidRPr="00330FAE">
        <w:rPr>
          <w:rFonts w:ascii="Times New Roman" w:hAnsi="Times New Roman" w:cs="Times New Roman"/>
          <w:sz w:val="28"/>
          <w:szCs w:val="28"/>
          <w:lang w:val="en-US"/>
        </w:rPr>
        <w:lastRenderedPageBreak/>
        <w:t>[8]</w:t>
      </w:r>
      <w:r w:rsidRPr="00330FAE">
        <w:rPr>
          <w:rFonts w:ascii="Times New Roman" w:hAnsi="Times New Roman" w:cs="Times New Roman"/>
          <w:sz w:val="28"/>
          <w:szCs w:val="28"/>
          <w:lang w:val="en-US"/>
        </w:rPr>
        <w:tab/>
      </w:r>
      <w:r w:rsidR="00872D51" w:rsidRPr="000E2B31">
        <w:rPr>
          <w:rFonts w:ascii="Times New Roman" w:hAnsi="Times New Roman" w:cs="Times New Roman"/>
          <w:sz w:val="28"/>
          <w:szCs w:val="28"/>
          <w:lang w:val="en-US"/>
        </w:rPr>
        <w:t>All three of t</w:t>
      </w:r>
      <w:r w:rsidR="004E0B94" w:rsidRPr="000E2B31">
        <w:rPr>
          <w:rFonts w:ascii="Times New Roman" w:hAnsi="Times New Roman" w:cs="Times New Roman"/>
          <w:sz w:val="28"/>
          <w:szCs w:val="28"/>
          <w:lang w:val="en-US"/>
        </w:rPr>
        <w:t>he respondents’ bids survived the responsive phase.  The other 26 bids were declared “administrative</w:t>
      </w:r>
      <w:r w:rsidR="00DB553D" w:rsidRPr="000E2B31">
        <w:rPr>
          <w:rFonts w:ascii="Times New Roman" w:hAnsi="Times New Roman" w:cs="Times New Roman"/>
          <w:sz w:val="28"/>
          <w:szCs w:val="28"/>
          <w:lang w:val="en-US"/>
        </w:rPr>
        <w:t>ly</w:t>
      </w:r>
      <w:r w:rsidR="004E0B94" w:rsidRPr="000E2B31">
        <w:rPr>
          <w:rFonts w:ascii="Times New Roman" w:hAnsi="Times New Roman" w:cs="Times New Roman"/>
          <w:sz w:val="28"/>
          <w:szCs w:val="28"/>
          <w:lang w:val="en-US"/>
        </w:rPr>
        <w:t xml:space="preserve"> non-responsive” for a variety of reasons including that mandatory pre-qualification criteria were not </w:t>
      </w:r>
      <w:r w:rsidR="00863B43" w:rsidRPr="000E2B31">
        <w:rPr>
          <w:rFonts w:ascii="Times New Roman" w:hAnsi="Times New Roman" w:cs="Times New Roman"/>
          <w:sz w:val="28"/>
          <w:szCs w:val="28"/>
          <w:lang w:val="en-US"/>
        </w:rPr>
        <w:t>met,</w:t>
      </w:r>
      <w:r w:rsidR="004E0B94" w:rsidRPr="000E2B31">
        <w:rPr>
          <w:rFonts w:ascii="Times New Roman" w:hAnsi="Times New Roman" w:cs="Times New Roman"/>
          <w:sz w:val="28"/>
          <w:szCs w:val="28"/>
          <w:lang w:val="en-US"/>
        </w:rPr>
        <w:t xml:space="preserve"> and mandatory documents were either not submitted at all or were</w:t>
      </w:r>
      <w:r w:rsidR="00872D51" w:rsidRPr="000E2B31">
        <w:rPr>
          <w:rFonts w:ascii="Times New Roman" w:hAnsi="Times New Roman" w:cs="Times New Roman"/>
          <w:sz w:val="28"/>
          <w:szCs w:val="28"/>
          <w:lang w:val="en-US"/>
        </w:rPr>
        <w:t xml:space="preserve"> not</w:t>
      </w:r>
      <w:r w:rsidR="004E0B94" w:rsidRPr="000E2B31">
        <w:rPr>
          <w:rFonts w:ascii="Times New Roman" w:hAnsi="Times New Roman" w:cs="Times New Roman"/>
          <w:sz w:val="28"/>
          <w:szCs w:val="28"/>
          <w:lang w:val="en-US"/>
        </w:rPr>
        <w:t xml:space="preserve"> correctly completed and submitted.</w:t>
      </w:r>
    </w:p>
    <w:p w14:paraId="75F12E75" w14:textId="77777777" w:rsidR="00330FAE" w:rsidRPr="00330FAE" w:rsidRDefault="00330FAE" w:rsidP="00330FAE">
      <w:pPr>
        <w:pStyle w:val="ListParagraph"/>
        <w:rPr>
          <w:rFonts w:ascii="Times New Roman" w:hAnsi="Times New Roman" w:cs="Times New Roman"/>
          <w:sz w:val="28"/>
          <w:szCs w:val="28"/>
          <w:lang w:val="en-US"/>
        </w:rPr>
      </w:pPr>
    </w:p>
    <w:p w14:paraId="7AC0BEBA" w14:textId="041606F3" w:rsidR="00330FAE" w:rsidRPr="000E2B31" w:rsidRDefault="000E2B31" w:rsidP="000E2B31">
      <w:pPr>
        <w:tabs>
          <w:tab w:val="left" w:pos="709"/>
        </w:tabs>
        <w:spacing w:before="0" w:beforeAutospacing="0"/>
        <w:jc w:val="both"/>
        <w:rPr>
          <w:rFonts w:ascii="Times New Roman" w:hAnsi="Times New Roman" w:cs="Times New Roman"/>
          <w:sz w:val="28"/>
          <w:szCs w:val="28"/>
          <w:u w:val="single"/>
          <w:lang w:val="en-US"/>
        </w:rPr>
      </w:pPr>
      <w:r w:rsidRPr="00330FAE">
        <w:rPr>
          <w:rFonts w:ascii="Times New Roman" w:hAnsi="Times New Roman" w:cs="Times New Roman"/>
          <w:sz w:val="28"/>
          <w:szCs w:val="28"/>
          <w:lang w:val="en-US"/>
        </w:rPr>
        <w:t>[9]</w:t>
      </w:r>
      <w:r w:rsidRPr="00330FAE">
        <w:rPr>
          <w:rFonts w:ascii="Times New Roman" w:hAnsi="Times New Roman" w:cs="Times New Roman"/>
          <w:sz w:val="28"/>
          <w:szCs w:val="28"/>
          <w:lang w:val="en-US"/>
        </w:rPr>
        <w:tab/>
      </w:r>
      <w:r w:rsidR="00330FAE" w:rsidRPr="000E2B31">
        <w:rPr>
          <w:rFonts w:ascii="Times New Roman" w:hAnsi="Times New Roman" w:cs="Times New Roman"/>
          <w:sz w:val="28"/>
          <w:szCs w:val="28"/>
          <w:lang w:val="en-US"/>
        </w:rPr>
        <w:t>In the</w:t>
      </w:r>
      <w:r w:rsidR="004E0B94" w:rsidRPr="000E2B31">
        <w:rPr>
          <w:rFonts w:ascii="Times New Roman" w:hAnsi="Times New Roman" w:cs="Times New Roman"/>
          <w:sz w:val="28"/>
          <w:szCs w:val="28"/>
          <w:lang w:val="en-US"/>
        </w:rPr>
        <w:t xml:space="preserve"> final</w:t>
      </w:r>
      <w:r w:rsidR="00330FAE" w:rsidRPr="000E2B31">
        <w:rPr>
          <w:rFonts w:ascii="Times New Roman" w:hAnsi="Times New Roman" w:cs="Times New Roman"/>
          <w:sz w:val="28"/>
          <w:szCs w:val="28"/>
          <w:lang w:val="en-US"/>
        </w:rPr>
        <w:t xml:space="preserve"> outcome the first respondent’s bid was declared ineligible by the appellant </w:t>
      </w:r>
      <w:r w:rsidR="00CD7775" w:rsidRPr="000E2B31">
        <w:rPr>
          <w:rFonts w:ascii="Times New Roman" w:hAnsi="Times New Roman" w:cs="Times New Roman"/>
          <w:sz w:val="28"/>
          <w:szCs w:val="28"/>
          <w:lang w:val="en-US"/>
        </w:rPr>
        <w:t xml:space="preserve">and </w:t>
      </w:r>
      <w:r w:rsidR="00330FAE" w:rsidRPr="000E2B31">
        <w:rPr>
          <w:rFonts w:ascii="Times New Roman" w:hAnsi="Times New Roman" w:cs="Times New Roman"/>
          <w:sz w:val="28"/>
          <w:szCs w:val="28"/>
          <w:lang w:val="en-US"/>
        </w:rPr>
        <w:t xml:space="preserve">the tender </w:t>
      </w:r>
      <w:r w:rsidR="00CD7775" w:rsidRPr="000E2B31">
        <w:rPr>
          <w:rFonts w:ascii="Times New Roman" w:hAnsi="Times New Roman" w:cs="Times New Roman"/>
          <w:sz w:val="28"/>
          <w:szCs w:val="28"/>
          <w:lang w:val="en-US"/>
        </w:rPr>
        <w:t xml:space="preserve">was awarded </w:t>
      </w:r>
      <w:r w:rsidR="00330FAE" w:rsidRPr="000E2B31">
        <w:rPr>
          <w:rFonts w:ascii="Times New Roman" w:hAnsi="Times New Roman" w:cs="Times New Roman"/>
          <w:sz w:val="28"/>
          <w:szCs w:val="28"/>
          <w:lang w:val="en-US"/>
        </w:rPr>
        <w:t xml:space="preserve">to the second respondent. </w:t>
      </w:r>
    </w:p>
    <w:p w14:paraId="4F61E865" w14:textId="77777777" w:rsidR="00330FAE" w:rsidRPr="00330FAE" w:rsidRDefault="00330FAE" w:rsidP="00330FAE">
      <w:pPr>
        <w:pStyle w:val="ListParagraph"/>
        <w:rPr>
          <w:rFonts w:ascii="Times New Roman" w:hAnsi="Times New Roman" w:cs="Times New Roman"/>
          <w:sz w:val="28"/>
          <w:szCs w:val="28"/>
          <w:lang w:val="en-US"/>
        </w:rPr>
      </w:pPr>
    </w:p>
    <w:p w14:paraId="1376AD53" w14:textId="0CCBB573" w:rsidR="00330FAE" w:rsidRPr="000E2B31" w:rsidRDefault="000E2B31" w:rsidP="000E2B31">
      <w:pPr>
        <w:tabs>
          <w:tab w:val="left" w:pos="709"/>
        </w:tabs>
        <w:spacing w:before="0" w:beforeAutospacing="0"/>
        <w:jc w:val="both"/>
        <w:rPr>
          <w:rFonts w:ascii="Times New Roman" w:hAnsi="Times New Roman" w:cs="Times New Roman"/>
          <w:sz w:val="28"/>
          <w:szCs w:val="28"/>
          <w:u w:val="single"/>
          <w:lang w:val="en-US"/>
        </w:rPr>
      </w:pPr>
      <w:r w:rsidRPr="00330FAE">
        <w:rPr>
          <w:rFonts w:ascii="Times New Roman" w:hAnsi="Times New Roman" w:cs="Times New Roman"/>
          <w:sz w:val="28"/>
          <w:szCs w:val="28"/>
          <w:lang w:val="en-US"/>
        </w:rPr>
        <w:t>[10]</w:t>
      </w:r>
      <w:r w:rsidRPr="00330FAE">
        <w:rPr>
          <w:rFonts w:ascii="Times New Roman" w:hAnsi="Times New Roman" w:cs="Times New Roman"/>
          <w:sz w:val="28"/>
          <w:szCs w:val="28"/>
          <w:lang w:val="en-US"/>
        </w:rPr>
        <w:tab/>
      </w:r>
      <w:r w:rsidR="00330FAE" w:rsidRPr="000E2B31">
        <w:rPr>
          <w:rFonts w:ascii="Times New Roman" w:hAnsi="Times New Roman" w:cs="Times New Roman"/>
          <w:sz w:val="28"/>
          <w:szCs w:val="28"/>
          <w:lang w:val="en-US"/>
        </w:rPr>
        <w:t xml:space="preserve">As an aside it was initially understood by the first respondent that it had been trounced from the bidding contest even before having been evaluated for price and preference. </w:t>
      </w:r>
      <w:r w:rsidR="004E0B94" w:rsidRPr="000E2B31">
        <w:rPr>
          <w:rFonts w:ascii="Times New Roman" w:hAnsi="Times New Roman" w:cs="Times New Roman"/>
          <w:sz w:val="28"/>
          <w:szCs w:val="28"/>
          <w:lang w:val="en-US"/>
        </w:rPr>
        <w:t xml:space="preserve">(Mr. Nepgen who appeared on its behalf however fairly </w:t>
      </w:r>
      <w:r w:rsidR="0073558E" w:rsidRPr="000E2B31">
        <w:rPr>
          <w:rFonts w:ascii="Times New Roman" w:hAnsi="Times New Roman" w:cs="Times New Roman"/>
          <w:sz w:val="28"/>
          <w:szCs w:val="28"/>
          <w:lang w:val="en-US"/>
        </w:rPr>
        <w:t>conceded</w:t>
      </w:r>
      <w:r w:rsidR="00872D51" w:rsidRPr="000E2B31">
        <w:rPr>
          <w:rFonts w:ascii="Times New Roman" w:hAnsi="Times New Roman" w:cs="Times New Roman"/>
          <w:sz w:val="28"/>
          <w:szCs w:val="28"/>
          <w:lang w:val="en-US"/>
        </w:rPr>
        <w:t xml:space="preserve"> that it ha</w:t>
      </w:r>
      <w:r w:rsidR="00462298" w:rsidRPr="000E2B31">
        <w:rPr>
          <w:rFonts w:ascii="Times New Roman" w:hAnsi="Times New Roman" w:cs="Times New Roman"/>
          <w:sz w:val="28"/>
          <w:szCs w:val="28"/>
          <w:lang w:val="en-US"/>
        </w:rPr>
        <w:t>d</w:t>
      </w:r>
      <w:r w:rsidR="00872D51" w:rsidRPr="000E2B31">
        <w:rPr>
          <w:rFonts w:ascii="Times New Roman" w:hAnsi="Times New Roman" w:cs="Times New Roman"/>
          <w:sz w:val="28"/>
          <w:szCs w:val="28"/>
          <w:lang w:val="en-US"/>
        </w:rPr>
        <w:t xml:space="preserve"> to be accepted, on the application of the </w:t>
      </w:r>
      <w:r w:rsidR="00872D51" w:rsidRPr="000E2B31">
        <w:rPr>
          <w:rFonts w:ascii="Times New Roman" w:hAnsi="Times New Roman" w:cs="Times New Roman"/>
          <w:i/>
          <w:iCs/>
          <w:sz w:val="28"/>
          <w:szCs w:val="28"/>
          <w:lang w:val="en-US"/>
        </w:rPr>
        <w:t>Plascon-Evans</w:t>
      </w:r>
      <w:r w:rsidR="00872D51" w:rsidRPr="000E2B31">
        <w:rPr>
          <w:rFonts w:ascii="Times New Roman" w:hAnsi="Times New Roman" w:cs="Times New Roman"/>
          <w:sz w:val="28"/>
          <w:szCs w:val="28"/>
          <w:lang w:val="en-US"/>
        </w:rPr>
        <w:t xml:space="preserve"> Rule, </w:t>
      </w:r>
      <w:r w:rsidR="00330FAE" w:rsidRPr="000E2B31">
        <w:rPr>
          <w:rFonts w:ascii="Times New Roman" w:hAnsi="Times New Roman" w:cs="Times New Roman"/>
          <w:sz w:val="28"/>
          <w:szCs w:val="28"/>
          <w:lang w:val="en-US"/>
        </w:rPr>
        <w:t xml:space="preserve">that </w:t>
      </w:r>
      <w:r w:rsidR="004E0B94" w:rsidRPr="000E2B31">
        <w:rPr>
          <w:rFonts w:ascii="Times New Roman" w:hAnsi="Times New Roman" w:cs="Times New Roman"/>
          <w:sz w:val="28"/>
          <w:szCs w:val="28"/>
          <w:lang w:val="en-US"/>
        </w:rPr>
        <w:t>the first respondent</w:t>
      </w:r>
      <w:r w:rsidR="00330FAE" w:rsidRPr="000E2B31">
        <w:rPr>
          <w:rFonts w:ascii="Times New Roman" w:hAnsi="Times New Roman" w:cs="Times New Roman"/>
          <w:sz w:val="28"/>
          <w:szCs w:val="28"/>
          <w:lang w:val="en-US"/>
        </w:rPr>
        <w:t xml:space="preserve"> had endured the </w:t>
      </w:r>
      <w:r w:rsidR="009C6FCE" w:rsidRPr="000E2B31">
        <w:rPr>
          <w:rFonts w:ascii="Times New Roman" w:hAnsi="Times New Roman" w:cs="Times New Roman"/>
          <w:sz w:val="28"/>
          <w:szCs w:val="28"/>
          <w:lang w:val="en-US"/>
        </w:rPr>
        <w:t>“</w:t>
      </w:r>
      <w:r w:rsidR="00330FAE" w:rsidRPr="000E2B31">
        <w:rPr>
          <w:rFonts w:ascii="Times New Roman" w:hAnsi="Times New Roman" w:cs="Times New Roman"/>
          <w:sz w:val="28"/>
          <w:szCs w:val="28"/>
          <w:lang w:val="en-US"/>
        </w:rPr>
        <w:t>race</w:t>
      </w:r>
      <w:r w:rsidR="009C6FCE" w:rsidRPr="000E2B31">
        <w:rPr>
          <w:rFonts w:ascii="Times New Roman" w:hAnsi="Times New Roman" w:cs="Times New Roman"/>
          <w:sz w:val="28"/>
          <w:szCs w:val="28"/>
          <w:lang w:val="en-US"/>
        </w:rPr>
        <w:t>”</w:t>
      </w:r>
      <w:r w:rsidR="00330FAE" w:rsidRPr="000E2B31">
        <w:rPr>
          <w:rFonts w:ascii="Times New Roman" w:hAnsi="Times New Roman" w:cs="Times New Roman"/>
          <w:sz w:val="28"/>
          <w:szCs w:val="28"/>
          <w:lang w:val="en-US"/>
        </w:rPr>
        <w:t xml:space="preserve"> until it was excluded as a result of</w:t>
      </w:r>
      <w:r w:rsidR="00872D51" w:rsidRPr="000E2B31">
        <w:rPr>
          <w:rFonts w:ascii="Times New Roman" w:hAnsi="Times New Roman" w:cs="Times New Roman"/>
          <w:sz w:val="28"/>
          <w:szCs w:val="28"/>
          <w:lang w:val="en-US"/>
        </w:rPr>
        <w:t xml:space="preserve"> a</w:t>
      </w:r>
      <w:r w:rsidR="00330FAE" w:rsidRPr="000E2B31">
        <w:rPr>
          <w:rFonts w:ascii="Times New Roman" w:hAnsi="Times New Roman" w:cs="Times New Roman"/>
          <w:sz w:val="28"/>
          <w:szCs w:val="28"/>
          <w:lang w:val="en-US"/>
        </w:rPr>
        <w:t xml:space="preserve"> risk </w:t>
      </w:r>
      <w:r w:rsidR="00C100BD" w:rsidRPr="000E2B31">
        <w:rPr>
          <w:rFonts w:ascii="Times New Roman" w:hAnsi="Times New Roman" w:cs="Times New Roman"/>
          <w:sz w:val="28"/>
          <w:szCs w:val="28"/>
          <w:lang w:val="en-US"/>
        </w:rPr>
        <w:t>determination</w:t>
      </w:r>
      <w:r w:rsidR="00330FAE" w:rsidRPr="000E2B31">
        <w:rPr>
          <w:rFonts w:ascii="Times New Roman" w:hAnsi="Times New Roman" w:cs="Times New Roman"/>
          <w:sz w:val="28"/>
          <w:szCs w:val="28"/>
          <w:lang w:val="en-US"/>
        </w:rPr>
        <w:t xml:space="preserve"> undertaken by the appellant in the final evaluation stage of the tender process</w:t>
      </w:r>
      <w:r w:rsidR="004E0B94" w:rsidRPr="000E2B31">
        <w:rPr>
          <w:rFonts w:ascii="Times New Roman" w:hAnsi="Times New Roman" w:cs="Times New Roman"/>
          <w:sz w:val="28"/>
          <w:szCs w:val="28"/>
          <w:lang w:val="en-US"/>
        </w:rPr>
        <w:t>, that is</w:t>
      </w:r>
      <w:r w:rsidR="00C100BD" w:rsidRPr="000E2B31">
        <w:rPr>
          <w:rFonts w:ascii="Times New Roman" w:hAnsi="Times New Roman" w:cs="Times New Roman"/>
          <w:sz w:val="28"/>
          <w:szCs w:val="28"/>
          <w:lang w:val="en-US"/>
        </w:rPr>
        <w:t>,</w:t>
      </w:r>
      <w:r w:rsidR="004E0B94" w:rsidRPr="000E2B31">
        <w:rPr>
          <w:rFonts w:ascii="Times New Roman" w:hAnsi="Times New Roman" w:cs="Times New Roman"/>
          <w:sz w:val="28"/>
          <w:szCs w:val="28"/>
          <w:lang w:val="en-US"/>
        </w:rPr>
        <w:t xml:space="preserve"> after it had been scored points for</w:t>
      </w:r>
      <w:r w:rsidR="00872D51" w:rsidRPr="000E2B31">
        <w:rPr>
          <w:rFonts w:ascii="Times New Roman" w:hAnsi="Times New Roman" w:cs="Times New Roman"/>
          <w:sz w:val="28"/>
          <w:szCs w:val="28"/>
          <w:lang w:val="en-US"/>
        </w:rPr>
        <w:t xml:space="preserve"> pri</w:t>
      </w:r>
      <w:r w:rsidR="006B1229" w:rsidRPr="000E2B31">
        <w:rPr>
          <w:rFonts w:ascii="Times New Roman" w:hAnsi="Times New Roman" w:cs="Times New Roman"/>
          <w:sz w:val="28"/>
          <w:szCs w:val="28"/>
          <w:lang w:val="en-US"/>
        </w:rPr>
        <w:t>c</w:t>
      </w:r>
      <w:r w:rsidR="00872D51" w:rsidRPr="000E2B31">
        <w:rPr>
          <w:rFonts w:ascii="Times New Roman" w:hAnsi="Times New Roman" w:cs="Times New Roman"/>
          <w:sz w:val="28"/>
          <w:szCs w:val="28"/>
          <w:lang w:val="en-US"/>
        </w:rPr>
        <w:t>e and preference</w:t>
      </w:r>
      <w:r w:rsidR="00330FAE" w:rsidRPr="000E2B31">
        <w:rPr>
          <w:rFonts w:ascii="Times New Roman" w:hAnsi="Times New Roman" w:cs="Times New Roman"/>
          <w:sz w:val="28"/>
          <w:szCs w:val="28"/>
          <w:lang w:val="en-US"/>
        </w:rPr>
        <w:t>.)</w:t>
      </w:r>
      <w:r w:rsidR="00C61A61">
        <w:rPr>
          <w:rStyle w:val="FootnoteReference"/>
          <w:rFonts w:ascii="Times New Roman" w:hAnsi="Times New Roman" w:cs="Times New Roman"/>
          <w:sz w:val="28"/>
          <w:szCs w:val="28"/>
          <w:lang w:val="en-US"/>
        </w:rPr>
        <w:footnoteReference w:id="1"/>
      </w:r>
      <w:r w:rsidR="00330FAE" w:rsidRPr="000E2B31">
        <w:rPr>
          <w:rFonts w:ascii="Times New Roman" w:hAnsi="Times New Roman" w:cs="Times New Roman"/>
          <w:sz w:val="28"/>
          <w:szCs w:val="28"/>
          <w:lang w:val="en-US"/>
        </w:rPr>
        <w:t xml:space="preserve"> </w:t>
      </w:r>
    </w:p>
    <w:p w14:paraId="4AE41415" w14:textId="77777777" w:rsidR="00330FAE" w:rsidRPr="00330FAE" w:rsidRDefault="00330FAE" w:rsidP="00330FAE">
      <w:pPr>
        <w:pStyle w:val="ListParagraph"/>
        <w:rPr>
          <w:rFonts w:ascii="Times New Roman" w:hAnsi="Times New Roman" w:cs="Times New Roman"/>
          <w:sz w:val="28"/>
          <w:szCs w:val="28"/>
          <w:lang w:val="en-US"/>
        </w:rPr>
      </w:pPr>
    </w:p>
    <w:p w14:paraId="4E7AA870" w14:textId="750AFD83" w:rsidR="00330FAE" w:rsidRPr="000E2B31" w:rsidRDefault="000E2B31" w:rsidP="000E2B31">
      <w:pPr>
        <w:tabs>
          <w:tab w:val="left" w:pos="709"/>
        </w:tabs>
        <w:spacing w:before="0" w:beforeAutospacing="0"/>
        <w:jc w:val="both"/>
        <w:rPr>
          <w:rFonts w:ascii="Times New Roman" w:hAnsi="Times New Roman" w:cs="Times New Roman"/>
          <w:sz w:val="28"/>
          <w:szCs w:val="28"/>
          <w:u w:val="single"/>
          <w:lang w:val="en-US"/>
        </w:rPr>
      </w:pPr>
      <w:r w:rsidRPr="00C61A61">
        <w:rPr>
          <w:rFonts w:ascii="Times New Roman" w:hAnsi="Times New Roman" w:cs="Times New Roman"/>
          <w:sz w:val="28"/>
          <w:szCs w:val="28"/>
          <w:lang w:val="en-US"/>
        </w:rPr>
        <w:t>[11]</w:t>
      </w:r>
      <w:r w:rsidRPr="00C61A61">
        <w:rPr>
          <w:rFonts w:ascii="Times New Roman" w:hAnsi="Times New Roman" w:cs="Times New Roman"/>
          <w:sz w:val="28"/>
          <w:szCs w:val="28"/>
          <w:lang w:val="en-US"/>
        </w:rPr>
        <w:tab/>
      </w:r>
      <w:r w:rsidR="00330FAE" w:rsidRPr="000E2B31">
        <w:rPr>
          <w:rFonts w:ascii="Times New Roman" w:hAnsi="Times New Roman" w:cs="Times New Roman"/>
          <w:sz w:val="28"/>
          <w:szCs w:val="28"/>
          <w:lang w:val="en-US"/>
        </w:rPr>
        <w:t>The</w:t>
      </w:r>
      <w:r w:rsidR="00C61A61" w:rsidRPr="000E2B31">
        <w:rPr>
          <w:rFonts w:ascii="Times New Roman" w:hAnsi="Times New Roman" w:cs="Times New Roman"/>
          <w:sz w:val="28"/>
          <w:szCs w:val="28"/>
          <w:lang w:val="en-US"/>
        </w:rPr>
        <w:t xml:space="preserve"> brief</w:t>
      </w:r>
      <w:r w:rsidR="00330FAE" w:rsidRPr="000E2B31">
        <w:rPr>
          <w:rFonts w:ascii="Times New Roman" w:hAnsi="Times New Roman" w:cs="Times New Roman"/>
          <w:sz w:val="28"/>
          <w:szCs w:val="28"/>
          <w:lang w:val="en-US"/>
        </w:rPr>
        <w:t xml:space="preserve"> reason</w:t>
      </w:r>
      <w:r w:rsidR="00C61A61" w:rsidRPr="000E2B31">
        <w:rPr>
          <w:rFonts w:ascii="Times New Roman" w:hAnsi="Times New Roman" w:cs="Times New Roman"/>
          <w:sz w:val="28"/>
          <w:szCs w:val="28"/>
          <w:lang w:val="en-US"/>
        </w:rPr>
        <w:t xml:space="preserve"> indicated to the first respondent for t</w:t>
      </w:r>
      <w:r w:rsidR="00330FAE" w:rsidRPr="000E2B31">
        <w:rPr>
          <w:rFonts w:ascii="Times New Roman" w:hAnsi="Times New Roman" w:cs="Times New Roman"/>
          <w:sz w:val="28"/>
          <w:szCs w:val="28"/>
          <w:lang w:val="en-US"/>
        </w:rPr>
        <w:t>he appellant</w:t>
      </w:r>
      <w:r w:rsidR="00C61A61" w:rsidRPr="000E2B31">
        <w:rPr>
          <w:rFonts w:ascii="Times New Roman" w:hAnsi="Times New Roman" w:cs="Times New Roman"/>
          <w:sz w:val="28"/>
          <w:szCs w:val="28"/>
          <w:lang w:val="en-US"/>
        </w:rPr>
        <w:t>’s</w:t>
      </w:r>
      <w:r w:rsidR="00330FAE" w:rsidRPr="000E2B31">
        <w:rPr>
          <w:rFonts w:ascii="Times New Roman" w:hAnsi="Times New Roman" w:cs="Times New Roman"/>
          <w:sz w:val="28"/>
          <w:szCs w:val="28"/>
          <w:lang w:val="en-US"/>
        </w:rPr>
        <w:t xml:space="preserve"> decision reached in the procurement process that </w:t>
      </w:r>
      <w:r w:rsidR="00C61A61" w:rsidRPr="000E2B31">
        <w:rPr>
          <w:rFonts w:ascii="Times New Roman" w:hAnsi="Times New Roman" w:cs="Times New Roman"/>
          <w:sz w:val="28"/>
          <w:szCs w:val="28"/>
          <w:lang w:val="en-US"/>
        </w:rPr>
        <w:t>it</w:t>
      </w:r>
      <w:r w:rsidR="00330FAE" w:rsidRPr="000E2B31">
        <w:rPr>
          <w:rFonts w:ascii="Times New Roman" w:hAnsi="Times New Roman" w:cs="Times New Roman"/>
          <w:sz w:val="28"/>
          <w:szCs w:val="28"/>
          <w:lang w:val="en-US"/>
        </w:rPr>
        <w:t xml:space="preserve"> had been unsuccessful (</w:t>
      </w:r>
      <w:r w:rsidR="00330FAE" w:rsidRPr="000E2B31">
        <w:rPr>
          <w:rFonts w:ascii="Times New Roman" w:hAnsi="Times New Roman" w:cs="Times New Roman"/>
          <w:i/>
          <w:iCs/>
          <w:sz w:val="28"/>
          <w:szCs w:val="28"/>
          <w:lang w:val="en-US"/>
        </w:rPr>
        <w:t>sans</w:t>
      </w:r>
      <w:r w:rsidR="00330FAE" w:rsidRPr="000E2B31">
        <w:rPr>
          <w:rFonts w:ascii="Times New Roman" w:hAnsi="Times New Roman" w:cs="Times New Roman"/>
          <w:sz w:val="28"/>
          <w:szCs w:val="28"/>
          <w:lang w:val="en-US"/>
        </w:rPr>
        <w:t xml:space="preserve"> any justification given for why the second respondent had instead been awarded the tender since it w</w:t>
      </w:r>
      <w:r w:rsidR="00C61A61" w:rsidRPr="000E2B31">
        <w:rPr>
          <w:rFonts w:ascii="Times New Roman" w:hAnsi="Times New Roman" w:cs="Times New Roman"/>
          <w:sz w:val="28"/>
          <w:szCs w:val="28"/>
          <w:lang w:val="en-US"/>
        </w:rPr>
        <w:t>as no</w:t>
      </w:r>
      <w:r w:rsidR="00330FAE" w:rsidRPr="000E2B31">
        <w:rPr>
          <w:rFonts w:ascii="Times New Roman" w:hAnsi="Times New Roman" w:cs="Times New Roman"/>
          <w:sz w:val="28"/>
          <w:szCs w:val="28"/>
          <w:lang w:val="en-US"/>
        </w:rPr>
        <w:t xml:space="preserve">t a bone of contention at </w:t>
      </w:r>
      <w:r w:rsidR="00C61A61" w:rsidRPr="000E2B31">
        <w:rPr>
          <w:rFonts w:ascii="Times New Roman" w:hAnsi="Times New Roman" w:cs="Times New Roman"/>
          <w:sz w:val="28"/>
          <w:szCs w:val="28"/>
          <w:lang w:val="en-US"/>
        </w:rPr>
        <w:t>the time</w:t>
      </w:r>
      <w:r w:rsidR="00330FAE" w:rsidRPr="000E2B31">
        <w:rPr>
          <w:rFonts w:ascii="Times New Roman" w:hAnsi="Times New Roman" w:cs="Times New Roman"/>
          <w:sz w:val="28"/>
          <w:szCs w:val="28"/>
          <w:lang w:val="en-US"/>
        </w:rPr>
        <w:t xml:space="preserve">) is that it had </w:t>
      </w:r>
      <w:r w:rsidR="00330FAE" w:rsidRPr="000E2B31">
        <w:rPr>
          <w:rFonts w:ascii="Times New Roman" w:hAnsi="Times New Roman" w:cs="Times New Roman"/>
          <w:i/>
          <w:iCs/>
          <w:sz w:val="28"/>
          <w:szCs w:val="28"/>
          <w:lang w:val="en-US"/>
        </w:rPr>
        <w:t>“Failed the risk assessment due to non-compliance with quality and adherence to contractual commitments.”</w:t>
      </w:r>
    </w:p>
    <w:p w14:paraId="22117641" w14:textId="77777777" w:rsidR="00C61A61" w:rsidRPr="00C61A61" w:rsidRDefault="00C61A61" w:rsidP="00C61A61">
      <w:pPr>
        <w:pStyle w:val="ListParagraph"/>
        <w:rPr>
          <w:rFonts w:ascii="Times New Roman" w:hAnsi="Times New Roman" w:cs="Times New Roman"/>
          <w:sz w:val="28"/>
          <w:szCs w:val="28"/>
          <w:u w:val="single"/>
          <w:lang w:val="en-US"/>
        </w:rPr>
      </w:pPr>
    </w:p>
    <w:p w14:paraId="529CAD39" w14:textId="77777777" w:rsidR="00330FAE" w:rsidRDefault="00330FAE" w:rsidP="00330FAE">
      <w:pPr>
        <w:pStyle w:val="ListParagraph"/>
        <w:rPr>
          <w:rFonts w:ascii="Times New Roman" w:hAnsi="Times New Roman" w:cs="Times New Roman"/>
          <w:sz w:val="28"/>
          <w:szCs w:val="28"/>
          <w:lang w:val="en-US"/>
        </w:rPr>
      </w:pPr>
    </w:p>
    <w:p w14:paraId="58C0FF4C" w14:textId="77777777" w:rsidR="00C962EE" w:rsidRDefault="00C962EE" w:rsidP="00330FAE">
      <w:pPr>
        <w:pStyle w:val="ListParagraph"/>
        <w:rPr>
          <w:rFonts w:ascii="Times New Roman" w:hAnsi="Times New Roman" w:cs="Times New Roman"/>
          <w:sz w:val="28"/>
          <w:szCs w:val="28"/>
          <w:lang w:val="en-US"/>
        </w:rPr>
      </w:pPr>
    </w:p>
    <w:p w14:paraId="77A5FA61" w14:textId="77777777" w:rsidR="00C962EE" w:rsidRDefault="00C962EE" w:rsidP="00330FAE">
      <w:pPr>
        <w:pStyle w:val="ListParagraph"/>
        <w:rPr>
          <w:rFonts w:ascii="Times New Roman" w:hAnsi="Times New Roman" w:cs="Times New Roman"/>
          <w:sz w:val="28"/>
          <w:szCs w:val="28"/>
          <w:lang w:val="en-US"/>
        </w:rPr>
      </w:pPr>
    </w:p>
    <w:p w14:paraId="5CD398B6" w14:textId="77777777" w:rsidR="00330FAE" w:rsidRPr="00837E82" w:rsidRDefault="00330FAE" w:rsidP="00330FAE">
      <w:pPr>
        <w:spacing w:before="0" w:beforeAutospacing="0"/>
        <w:contextualSpacing/>
        <w:jc w:val="both"/>
        <w:rPr>
          <w:rFonts w:ascii="Times New Roman" w:hAnsi="Times New Roman" w:cs="Times New Roman"/>
          <w:sz w:val="28"/>
          <w:szCs w:val="28"/>
          <w:u w:val="single"/>
          <w:lang w:val="en-US"/>
        </w:rPr>
      </w:pPr>
      <w:r w:rsidRPr="00837E82">
        <w:rPr>
          <w:rFonts w:ascii="Times New Roman" w:hAnsi="Times New Roman" w:cs="Times New Roman"/>
          <w:sz w:val="28"/>
          <w:szCs w:val="28"/>
          <w:u w:val="single"/>
          <w:lang w:val="en-US"/>
        </w:rPr>
        <w:t>The Tender</w:t>
      </w:r>
    </w:p>
    <w:p w14:paraId="1BA32B7B" w14:textId="77777777" w:rsidR="00A6636C" w:rsidRPr="00A6636C" w:rsidRDefault="00A6636C" w:rsidP="00A6636C">
      <w:pPr>
        <w:pStyle w:val="ListParagraph"/>
        <w:tabs>
          <w:tab w:val="left" w:pos="709"/>
        </w:tabs>
        <w:spacing w:before="0" w:beforeAutospacing="0"/>
        <w:ind w:left="0"/>
        <w:jc w:val="both"/>
        <w:rPr>
          <w:rFonts w:ascii="Times New Roman" w:hAnsi="Times New Roman" w:cs="Times New Roman"/>
          <w:sz w:val="28"/>
          <w:szCs w:val="28"/>
          <w:u w:val="single"/>
          <w:lang w:val="en-US"/>
        </w:rPr>
      </w:pPr>
    </w:p>
    <w:p w14:paraId="1440B25C" w14:textId="762EA697" w:rsidR="00330FAE" w:rsidRPr="000E2B31" w:rsidRDefault="000E2B31" w:rsidP="000E2B31">
      <w:pPr>
        <w:tabs>
          <w:tab w:val="left" w:pos="709"/>
        </w:tabs>
        <w:spacing w:before="0" w:beforeAutospacing="0"/>
        <w:jc w:val="both"/>
        <w:rPr>
          <w:rFonts w:ascii="Times New Roman" w:hAnsi="Times New Roman" w:cs="Times New Roman"/>
          <w:sz w:val="28"/>
          <w:szCs w:val="28"/>
          <w:u w:val="single"/>
          <w:lang w:val="en-US"/>
        </w:rPr>
      </w:pPr>
      <w:r w:rsidRPr="00330FAE">
        <w:rPr>
          <w:rFonts w:ascii="Times New Roman" w:hAnsi="Times New Roman" w:cs="Times New Roman"/>
          <w:sz w:val="28"/>
          <w:szCs w:val="28"/>
          <w:lang w:val="en-US"/>
        </w:rPr>
        <w:t>[12]</w:t>
      </w:r>
      <w:r w:rsidRPr="00330FAE">
        <w:rPr>
          <w:rFonts w:ascii="Times New Roman" w:hAnsi="Times New Roman" w:cs="Times New Roman"/>
          <w:sz w:val="28"/>
          <w:szCs w:val="28"/>
          <w:lang w:val="en-US"/>
        </w:rPr>
        <w:tab/>
      </w:r>
      <w:r w:rsidR="00330FAE" w:rsidRPr="000E2B31">
        <w:rPr>
          <w:rFonts w:ascii="Times New Roman" w:hAnsi="Times New Roman" w:cs="Times New Roman"/>
          <w:sz w:val="28"/>
          <w:szCs w:val="28"/>
          <w:lang w:val="en-US"/>
        </w:rPr>
        <w:t xml:space="preserve">In terms of the </w:t>
      </w:r>
      <w:r w:rsidR="00C61A61" w:rsidRPr="000E2B31">
        <w:rPr>
          <w:rFonts w:ascii="Times New Roman" w:hAnsi="Times New Roman" w:cs="Times New Roman"/>
          <w:sz w:val="28"/>
          <w:szCs w:val="28"/>
          <w:lang w:val="en-US"/>
        </w:rPr>
        <w:t>t</w:t>
      </w:r>
      <w:r w:rsidR="00330FAE" w:rsidRPr="000E2B31">
        <w:rPr>
          <w:rFonts w:ascii="Times New Roman" w:hAnsi="Times New Roman" w:cs="Times New Roman"/>
          <w:sz w:val="28"/>
          <w:szCs w:val="28"/>
          <w:lang w:val="en-US"/>
        </w:rPr>
        <w:t>ender Data, the Standard Conditions of Tender (SCT) as contained in Annexure “F” of the CIDB’s revised Standard for Uniformity in Construction Procurement (“the Standard</w:t>
      </w:r>
      <w:r w:rsidR="00A6636C" w:rsidRPr="000E2B31">
        <w:rPr>
          <w:rFonts w:ascii="Times New Roman" w:hAnsi="Times New Roman" w:cs="Times New Roman"/>
          <w:sz w:val="28"/>
          <w:szCs w:val="28"/>
          <w:lang w:val="en-US"/>
        </w:rPr>
        <w:t>”</w:t>
      </w:r>
      <w:r w:rsidR="00330FAE" w:rsidRPr="000E2B31">
        <w:rPr>
          <w:rFonts w:ascii="Times New Roman" w:hAnsi="Times New Roman" w:cs="Times New Roman"/>
          <w:sz w:val="28"/>
          <w:szCs w:val="28"/>
          <w:lang w:val="en-US"/>
        </w:rPr>
        <w:t>) promulgated in Government Gazette Number 29138 dated</w:t>
      </w:r>
      <w:r w:rsidR="00297B3E" w:rsidRPr="000E2B31">
        <w:rPr>
          <w:rFonts w:ascii="Times New Roman" w:hAnsi="Times New Roman" w:cs="Times New Roman"/>
          <w:sz w:val="28"/>
          <w:szCs w:val="28"/>
          <w:lang w:val="en-US"/>
        </w:rPr>
        <w:t xml:space="preserve"> </w:t>
      </w:r>
      <w:r w:rsidR="00330FAE" w:rsidRPr="000E2B31">
        <w:rPr>
          <w:rFonts w:ascii="Times New Roman" w:hAnsi="Times New Roman" w:cs="Times New Roman"/>
          <w:sz w:val="28"/>
          <w:szCs w:val="28"/>
          <w:lang w:val="en-US"/>
        </w:rPr>
        <w:t xml:space="preserve">18 August 2006, as amended from time to time, were applicable to the tender, as varied by the </w:t>
      </w:r>
      <w:r w:rsidR="00C61A61" w:rsidRPr="000E2B31">
        <w:rPr>
          <w:rFonts w:ascii="Times New Roman" w:hAnsi="Times New Roman" w:cs="Times New Roman"/>
          <w:sz w:val="28"/>
          <w:szCs w:val="28"/>
          <w:lang w:val="en-US"/>
        </w:rPr>
        <w:t>t</w:t>
      </w:r>
      <w:r w:rsidR="00330FAE" w:rsidRPr="000E2B31">
        <w:rPr>
          <w:rFonts w:ascii="Times New Roman" w:hAnsi="Times New Roman" w:cs="Times New Roman"/>
          <w:sz w:val="28"/>
          <w:szCs w:val="28"/>
          <w:lang w:val="en-US"/>
        </w:rPr>
        <w:t>ender Data.</w:t>
      </w:r>
      <w:r w:rsidR="00CD7775">
        <w:rPr>
          <w:rStyle w:val="FootnoteReference"/>
          <w:rFonts w:ascii="Times New Roman" w:hAnsi="Times New Roman" w:cs="Times New Roman"/>
          <w:sz w:val="28"/>
          <w:szCs w:val="28"/>
          <w:lang w:val="en-US"/>
        </w:rPr>
        <w:footnoteReference w:id="2"/>
      </w:r>
    </w:p>
    <w:p w14:paraId="5B019080" w14:textId="77777777" w:rsidR="00330FAE" w:rsidRPr="00330FAE" w:rsidRDefault="00330FAE" w:rsidP="00330FAE">
      <w:pPr>
        <w:pStyle w:val="ListParagraph"/>
        <w:tabs>
          <w:tab w:val="left" w:pos="709"/>
        </w:tabs>
        <w:spacing w:before="0" w:beforeAutospacing="0"/>
        <w:ind w:left="0"/>
        <w:jc w:val="both"/>
        <w:rPr>
          <w:rFonts w:ascii="Times New Roman" w:hAnsi="Times New Roman" w:cs="Times New Roman"/>
          <w:sz w:val="28"/>
          <w:szCs w:val="28"/>
          <w:u w:val="single"/>
          <w:lang w:val="en-US"/>
        </w:rPr>
      </w:pPr>
    </w:p>
    <w:p w14:paraId="325A3B4A" w14:textId="1E35C659" w:rsidR="00C61A61" w:rsidRPr="000E2B31" w:rsidRDefault="000E2B31" w:rsidP="000E2B31">
      <w:pPr>
        <w:tabs>
          <w:tab w:val="left" w:pos="709"/>
        </w:tabs>
        <w:spacing w:before="0" w:beforeAutospacing="0"/>
        <w:jc w:val="both"/>
        <w:rPr>
          <w:rFonts w:ascii="Times New Roman" w:hAnsi="Times New Roman" w:cs="Times New Roman"/>
          <w:sz w:val="28"/>
          <w:szCs w:val="28"/>
          <w:u w:val="single"/>
          <w:lang w:val="en-US"/>
        </w:rPr>
      </w:pPr>
      <w:r w:rsidRPr="007F2A79">
        <w:rPr>
          <w:rFonts w:ascii="Times New Roman" w:hAnsi="Times New Roman" w:cs="Times New Roman"/>
          <w:sz w:val="28"/>
          <w:szCs w:val="28"/>
          <w:lang w:val="en-US"/>
        </w:rPr>
        <w:t>[13]</w:t>
      </w:r>
      <w:r w:rsidRPr="007F2A79">
        <w:rPr>
          <w:rFonts w:ascii="Times New Roman" w:hAnsi="Times New Roman" w:cs="Times New Roman"/>
          <w:sz w:val="28"/>
          <w:szCs w:val="28"/>
          <w:lang w:val="en-US"/>
        </w:rPr>
        <w:tab/>
      </w:r>
      <w:r w:rsidR="00330FAE" w:rsidRPr="000E2B31">
        <w:rPr>
          <w:rFonts w:ascii="Times New Roman" w:hAnsi="Times New Roman" w:cs="Times New Roman"/>
          <w:sz w:val="28"/>
          <w:szCs w:val="28"/>
          <w:lang w:val="en-US"/>
        </w:rPr>
        <w:t xml:space="preserve">The </w:t>
      </w:r>
      <w:r w:rsidR="00C61A61" w:rsidRPr="000E2B31">
        <w:rPr>
          <w:rFonts w:ascii="Times New Roman" w:hAnsi="Times New Roman" w:cs="Times New Roman"/>
          <w:sz w:val="28"/>
          <w:szCs w:val="28"/>
          <w:lang w:val="en-US"/>
        </w:rPr>
        <w:t>t</w:t>
      </w:r>
      <w:r w:rsidR="00330FAE" w:rsidRPr="000E2B31">
        <w:rPr>
          <w:rFonts w:ascii="Times New Roman" w:hAnsi="Times New Roman" w:cs="Times New Roman"/>
          <w:sz w:val="28"/>
          <w:szCs w:val="28"/>
          <w:lang w:val="en-US"/>
        </w:rPr>
        <w:t xml:space="preserve">ender Data amended and supplemented the Standard Conditions of </w:t>
      </w:r>
      <w:r w:rsidR="00C61A61" w:rsidRPr="000E2B31">
        <w:rPr>
          <w:rFonts w:ascii="Times New Roman" w:hAnsi="Times New Roman" w:cs="Times New Roman"/>
          <w:sz w:val="28"/>
          <w:szCs w:val="28"/>
          <w:lang w:val="en-US"/>
        </w:rPr>
        <w:t>t</w:t>
      </w:r>
      <w:r w:rsidR="00330FAE" w:rsidRPr="000E2B31">
        <w:rPr>
          <w:rFonts w:ascii="Times New Roman" w:hAnsi="Times New Roman" w:cs="Times New Roman"/>
          <w:sz w:val="28"/>
          <w:szCs w:val="28"/>
          <w:lang w:val="en-US"/>
        </w:rPr>
        <w:t>ender and were required to have precedence in the interpretation of any ambiguity or inconsistency between it and the SCT.</w:t>
      </w:r>
    </w:p>
    <w:p w14:paraId="1EC8F5C6" w14:textId="77777777" w:rsidR="00330FAE" w:rsidRPr="00330FAE" w:rsidRDefault="00330FAE" w:rsidP="00330FAE">
      <w:pPr>
        <w:pStyle w:val="ListParagraph"/>
        <w:rPr>
          <w:rFonts w:ascii="Times New Roman" w:hAnsi="Times New Roman" w:cs="Times New Roman"/>
          <w:sz w:val="28"/>
          <w:szCs w:val="28"/>
          <w:lang w:val="en-US"/>
        </w:rPr>
      </w:pPr>
    </w:p>
    <w:p w14:paraId="79FF777E" w14:textId="6E1BC8A1" w:rsidR="00330FAE" w:rsidRPr="000E2B31" w:rsidRDefault="000E2B31" w:rsidP="000E2B31">
      <w:pPr>
        <w:tabs>
          <w:tab w:val="left" w:pos="709"/>
        </w:tabs>
        <w:spacing w:before="0" w:beforeAutospacing="0"/>
        <w:jc w:val="both"/>
        <w:rPr>
          <w:rFonts w:ascii="Times New Roman" w:hAnsi="Times New Roman" w:cs="Times New Roman"/>
          <w:sz w:val="28"/>
          <w:szCs w:val="28"/>
          <w:u w:val="single"/>
          <w:lang w:val="en-US"/>
        </w:rPr>
      </w:pPr>
      <w:r w:rsidRPr="00330FAE">
        <w:rPr>
          <w:rFonts w:ascii="Times New Roman" w:hAnsi="Times New Roman" w:cs="Times New Roman"/>
          <w:sz w:val="28"/>
          <w:szCs w:val="28"/>
          <w:lang w:val="en-US"/>
        </w:rPr>
        <w:t>[14]</w:t>
      </w:r>
      <w:r w:rsidRPr="00330FAE">
        <w:rPr>
          <w:rFonts w:ascii="Times New Roman" w:hAnsi="Times New Roman" w:cs="Times New Roman"/>
          <w:sz w:val="28"/>
          <w:szCs w:val="28"/>
          <w:lang w:val="en-US"/>
        </w:rPr>
        <w:tab/>
      </w:r>
      <w:r w:rsidR="00330FAE" w:rsidRPr="000E2B31">
        <w:rPr>
          <w:rFonts w:ascii="Times New Roman" w:hAnsi="Times New Roman" w:cs="Times New Roman"/>
          <w:sz w:val="28"/>
          <w:szCs w:val="28"/>
          <w:lang w:val="en-US"/>
        </w:rPr>
        <w:t xml:space="preserve">Clause F.2.1 of the </w:t>
      </w:r>
      <w:r w:rsidR="00193016" w:rsidRPr="000E2B31">
        <w:rPr>
          <w:rFonts w:ascii="Times New Roman" w:hAnsi="Times New Roman" w:cs="Times New Roman"/>
          <w:sz w:val="28"/>
          <w:szCs w:val="28"/>
          <w:lang w:val="en-US"/>
        </w:rPr>
        <w:t>t</w:t>
      </w:r>
      <w:r w:rsidR="00330FAE" w:rsidRPr="000E2B31">
        <w:rPr>
          <w:rFonts w:ascii="Times New Roman" w:hAnsi="Times New Roman" w:cs="Times New Roman"/>
          <w:sz w:val="28"/>
          <w:szCs w:val="28"/>
          <w:lang w:val="en-US"/>
        </w:rPr>
        <w:t>ender Data set out the eligibility criteria for the submission of a tender offer which included the following:</w:t>
      </w:r>
    </w:p>
    <w:p w14:paraId="58980C7E" w14:textId="77777777" w:rsidR="00330FAE" w:rsidRPr="00330FAE" w:rsidRDefault="00330FAE" w:rsidP="00330FAE">
      <w:pPr>
        <w:pStyle w:val="ListParagraph"/>
        <w:rPr>
          <w:rFonts w:ascii="Times New Roman" w:hAnsi="Times New Roman" w:cs="Times New Roman"/>
          <w:sz w:val="28"/>
          <w:szCs w:val="28"/>
          <w:lang w:val="en-US"/>
        </w:rPr>
      </w:pPr>
    </w:p>
    <w:p w14:paraId="1FA04B98" w14:textId="6DEE983E" w:rsidR="00330FAE" w:rsidRDefault="00C100BD" w:rsidP="00330FAE">
      <w:pPr>
        <w:spacing w:before="0" w:beforeAutospacing="0"/>
        <w:ind w:left="72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2D4EB8">
        <w:rPr>
          <w:rFonts w:ascii="Times New Roman" w:hAnsi="Times New Roman" w:cs="Times New Roman"/>
          <w:sz w:val="28"/>
          <w:szCs w:val="28"/>
          <w:lang w:val="en-US"/>
        </w:rPr>
        <w:t>4</w:t>
      </w:r>
      <w:r w:rsidR="00D46402">
        <w:rPr>
          <w:rFonts w:ascii="Times New Roman" w:hAnsi="Times New Roman" w:cs="Times New Roman"/>
          <w:sz w:val="28"/>
          <w:szCs w:val="28"/>
          <w:lang w:val="en-US"/>
        </w:rPr>
        <w:t>.</w:t>
      </w:r>
      <w:r w:rsidR="00330FAE">
        <w:rPr>
          <w:rFonts w:ascii="Times New Roman" w:hAnsi="Times New Roman" w:cs="Times New Roman"/>
          <w:sz w:val="28"/>
          <w:szCs w:val="28"/>
          <w:lang w:val="en-US"/>
        </w:rPr>
        <w:t>1</w:t>
      </w:r>
      <w:r w:rsidR="00330FAE">
        <w:rPr>
          <w:rFonts w:ascii="Times New Roman" w:hAnsi="Times New Roman" w:cs="Times New Roman"/>
          <w:sz w:val="28"/>
          <w:szCs w:val="28"/>
          <w:lang w:val="en-US"/>
        </w:rPr>
        <w:tab/>
      </w:r>
      <w:r w:rsidR="00330FAE" w:rsidRPr="00D34B94">
        <w:rPr>
          <w:rFonts w:ascii="Times New Roman" w:hAnsi="Times New Roman" w:cs="Times New Roman"/>
          <w:sz w:val="28"/>
          <w:szCs w:val="28"/>
          <w:lang w:val="en-US"/>
        </w:rPr>
        <w:t>eligibility requirements in relation to C</w:t>
      </w:r>
      <w:r w:rsidR="00330FAE">
        <w:rPr>
          <w:rFonts w:ascii="Times New Roman" w:hAnsi="Times New Roman" w:cs="Times New Roman"/>
          <w:sz w:val="28"/>
          <w:szCs w:val="28"/>
          <w:lang w:val="en-US"/>
        </w:rPr>
        <w:t>I</w:t>
      </w:r>
      <w:r w:rsidR="00330FAE" w:rsidRPr="00D34B94">
        <w:rPr>
          <w:rFonts w:ascii="Times New Roman" w:hAnsi="Times New Roman" w:cs="Times New Roman"/>
          <w:sz w:val="28"/>
          <w:szCs w:val="28"/>
          <w:lang w:val="en-US"/>
        </w:rPr>
        <w:t>D</w:t>
      </w:r>
      <w:r w:rsidR="00330FAE">
        <w:rPr>
          <w:rFonts w:ascii="Times New Roman" w:hAnsi="Times New Roman" w:cs="Times New Roman"/>
          <w:sz w:val="28"/>
          <w:szCs w:val="28"/>
          <w:lang w:val="en-US"/>
        </w:rPr>
        <w:t>B</w:t>
      </w:r>
      <w:r w:rsidR="00330FAE" w:rsidRPr="00D34B94">
        <w:rPr>
          <w:rFonts w:ascii="Times New Roman" w:hAnsi="Times New Roman" w:cs="Times New Roman"/>
          <w:sz w:val="28"/>
          <w:szCs w:val="28"/>
          <w:lang w:val="en-US"/>
        </w:rPr>
        <w:t xml:space="preserve"> grading in part A</w:t>
      </w:r>
      <w:r w:rsidR="00330FAE">
        <w:rPr>
          <w:rFonts w:ascii="Times New Roman" w:hAnsi="Times New Roman" w:cs="Times New Roman"/>
          <w:sz w:val="28"/>
          <w:szCs w:val="28"/>
          <w:lang w:val="en-US"/>
        </w:rPr>
        <w:t>;</w:t>
      </w:r>
    </w:p>
    <w:p w14:paraId="5C15F6B2" w14:textId="77777777" w:rsidR="00330FAE" w:rsidRDefault="00330FAE" w:rsidP="00330FAE">
      <w:pPr>
        <w:spacing w:before="0" w:beforeAutospacing="0"/>
        <w:ind w:left="720"/>
        <w:contextualSpacing/>
        <w:jc w:val="both"/>
        <w:rPr>
          <w:rFonts w:ascii="Times New Roman" w:hAnsi="Times New Roman" w:cs="Times New Roman"/>
          <w:sz w:val="28"/>
          <w:szCs w:val="28"/>
          <w:lang w:val="en-US"/>
        </w:rPr>
      </w:pPr>
    </w:p>
    <w:p w14:paraId="26A8436C" w14:textId="1A079E7C" w:rsidR="00330FAE" w:rsidRDefault="00C100BD" w:rsidP="00330FAE">
      <w:pPr>
        <w:spacing w:before="0" w:beforeAutospacing="0"/>
        <w:ind w:left="1440" w:hanging="72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2D4EB8">
        <w:rPr>
          <w:rFonts w:ascii="Times New Roman" w:hAnsi="Times New Roman" w:cs="Times New Roman"/>
          <w:sz w:val="28"/>
          <w:szCs w:val="28"/>
          <w:lang w:val="en-US"/>
        </w:rPr>
        <w:t>4</w:t>
      </w:r>
      <w:r w:rsidR="00330FAE">
        <w:rPr>
          <w:rFonts w:ascii="Times New Roman" w:hAnsi="Times New Roman" w:cs="Times New Roman"/>
          <w:sz w:val="28"/>
          <w:szCs w:val="28"/>
          <w:lang w:val="en-US"/>
        </w:rPr>
        <w:t>.2</w:t>
      </w:r>
      <w:r w:rsidR="00330FAE">
        <w:rPr>
          <w:rFonts w:ascii="Times New Roman" w:hAnsi="Times New Roman" w:cs="Times New Roman"/>
          <w:sz w:val="28"/>
          <w:szCs w:val="28"/>
          <w:lang w:val="en-US"/>
        </w:rPr>
        <w:tab/>
      </w:r>
      <w:r w:rsidR="00330FAE" w:rsidRPr="00D34B94">
        <w:rPr>
          <w:rFonts w:ascii="Times New Roman" w:hAnsi="Times New Roman" w:cs="Times New Roman"/>
          <w:sz w:val="28"/>
          <w:szCs w:val="28"/>
          <w:lang w:val="en-US"/>
        </w:rPr>
        <w:t>functionality criteria, weighting and threshold value in Part B, recording specifically</w:t>
      </w:r>
      <w:r w:rsidR="007F2A79">
        <w:rPr>
          <w:rFonts w:ascii="Times New Roman" w:hAnsi="Times New Roman" w:cs="Times New Roman"/>
          <w:sz w:val="28"/>
          <w:szCs w:val="28"/>
          <w:lang w:val="en-US"/>
        </w:rPr>
        <w:t xml:space="preserve"> </w:t>
      </w:r>
      <w:r w:rsidR="00ED5B87">
        <w:rPr>
          <w:rFonts w:ascii="Times New Roman" w:hAnsi="Times New Roman" w:cs="Times New Roman"/>
          <w:sz w:val="28"/>
          <w:szCs w:val="28"/>
          <w:lang w:val="en-US"/>
        </w:rPr>
        <w:t>that</w:t>
      </w:r>
      <w:r w:rsidR="007F2A79">
        <w:rPr>
          <w:rFonts w:ascii="Times New Roman" w:hAnsi="Times New Roman" w:cs="Times New Roman"/>
          <w:sz w:val="28"/>
          <w:szCs w:val="28"/>
          <w:lang w:val="en-US"/>
        </w:rPr>
        <w:t xml:space="preserve"> </w:t>
      </w:r>
      <w:r w:rsidR="00330FAE" w:rsidRPr="00072886">
        <w:rPr>
          <w:rFonts w:ascii="Times New Roman" w:hAnsi="Times New Roman" w:cs="Times New Roman"/>
          <w:i/>
          <w:iCs/>
          <w:sz w:val="28"/>
          <w:szCs w:val="28"/>
          <w:lang w:val="en-US"/>
        </w:rPr>
        <w:t>“Functionality may only be applied as a prequalification criterion. Such criteria establish minimum requirements whereafter bids will be evaluated solely on the basis of price and preference”</w:t>
      </w:r>
      <w:r w:rsidR="00330FAE">
        <w:rPr>
          <w:rFonts w:ascii="Times New Roman" w:hAnsi="Times New Roman" w:cs="Times New Roman"/>
          <w:sz w:val="28"/>
          <w:szCs w:val="28"/>
          <w:lang w:val="en-US"/>
        </w:rPr>
        <w:t>; and</w:t>
      </w:r>
    </w:p>
    <w:p w14:paraId="53D91255" w14:textId="77777777" w:rsidR="00330FAE" w:rsidRDefault="00330FAE" w:rsidP="00330FAE">
      <w:pPr>
        <w:spacing w:before="0" w:beforeAutospacing="0"/>
        <w:ind w:left="1440" w:hanging="720"/>
        <w:contextualSpacing/>
        <w:jc w:val="both"/>
        <w:rPr>
          <w:rFonts w:ascii="Times New Roman" w:hAnsi="Times New Roman" w:cs="Times New Roman"/>
          <w:sz w:val="28"/>
          <w:szCs w:val="28"/>
          <w:lang w:val="en-US"/>
        </w:rPr>
      </w:pPr>
    </w:p>
    <w:p w14:paraId="79624180" w14:textId="0F0DD6FB" w:rsidR="00330FAE" w:rsidRDefault="00C100BD" w:rsidP="00330FAE">
      <w:pPr>
        <w:spacing w:before="0" w:beforeAutospacing="0"/>
        <w:ind w:left="1440" w:hanging="72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2D4EB8">
        <w:rPr>
          <w:rFonts w:ascii="Times New Roman" w:hAnsi="Times New Roman" w:cs="Times New Roman"/>
          <w:sz w:val="28"/>
          <w:szCs w:val="28"/>
          <w:lang w:val="en-US"/>
        </w:rPr>
        <w:t>4</w:t>
      </w:r>
      <w:r w:rsidR="00330FAE">
        <w:rPr>
          <w:rFonts w:ascii="Times New Roman" w:hAnsi="Times New Roman" w:cs="Times New Roman"/>
          <w:sz w:val="28"/>
          <w:szCs w:val="28"/>
          <w:lang w:val="en-US"/>
        </w:rPr>
        <w:t>.3</w:t>
      </w:r>
      <w:r w:rsidR="00330FAE">
        <w:rPr>
          <w:rFonts w:ascii="Times New Roman" w:hAnsi="Times New Roman" w:cs="Times New Roman"/>
          <w:sz w:val="28"/>
          <w:szCs w:val="28"/>
          <w:lang w:val="en-US"/>
        </w:rPr>
        <w:tab/>
        <w:t xml:space="preserve">eligibility requirements </w:t>
      </w:r>
      <w:r w:rsidR="00330FAE" w:rsidRPr="001A63E0">
        <w:rPr>
          <w:rFonts w:ascii="Times New Roman" w:hAnsi="Times New Roman" w:cs="Times New Roman"/>
          <w:sz w:val="28"/>
          <w:szCs w:val="28"/>
          <w:lang w:val="en-US"/>
        </w:rPr>
        <w:t>in</w:t>
      </w:r>
      <w:r w:rsidR="00330FAE">
        <w:rPr>
          <w:rFonts w:ascii="Times New Roman" w:hAnsi="Times New Roman" w:cs="Times New Roman"/>
          <w:sz w:val="28"/>
          <w:szCs w:val="28"/>
          <w:lang w:val="en-US"/>
        </w:rPr>
        <w:t xml:space="preserve"> respect of </w:t>
      </w:r>
      <w:r w:rsidR="00330FAE" w:rsidRPr="00072886">
        <w:rPr>
          <w:rFonts w:ascii="Times New Roman" w:hAnsi="Times New Roman" w:cs="Times New Roman"/>
          <w:i/>
          <w:iCs/>
          <w:sz w:val="28"/>
          <w:szCs w:val="28"/>
          <w:lang w:val="en-US"/>
        </w:rPr>
        <w:t>“risk to employer”</w:t>
      </w:r>
      <w:r w:rsidR="00330FAE">
        <w:rPr>
          <w:rFonts w:ascii="Times New Roman" w:hAnsi="Times New Roman" w:cs="Times New Roman"/>
          <w:sz w:val="28"/>
          <w:szCs w:val="28"/>
          <w:lang w:val="en-US"/>
        </w:rPr>
        <w:t xml:space="preserve"> in </w:t>
      </w:r>
      <w:r w:rsidR="00330FAE" w:rsidRPr="001A63E0">
        <w:rPr>
          <w:rFonts w:ascii="Times New Roman" w:hAnsi="Times New Roman" w:cs="Times New Roman"/>
          <w:sz w:val="28"/>
          <w:szCs w:val="28"/>
          <w:lang w:val="en-US"/>
        </w:rPr>
        <w:t>Part</w:t>
      </w:r>
      <w:r w:rsidR="00330FAE">
        <w:rPr>
          <w:rFonts w:ascii="Times New Roman" w:hAnsi="Times New Roman" w:cs="Times New Roman"/>
          <w:sz w:val="28"/>
          <w:szCs w:val="28"/>
          <w:lang w:val="en-US"/>
        </w:rPr>
        <w:t xml:space="preserve"> C.</w:t>
      </w:r>
    </w:p>
    <w:p w14:paraId="13442931" w14:textId="77777777" w:rsidR="00330FAE" w:rsidRPr="00330FAE" w:rsidRDefault="00330FAE" w:rsidP="00330FAE">
      <w:pPr>
        <w:pStyle w:val="ListParagraph"/>
        <w:tabs>
          <w:tab w:val="left" w:pos="709"/>
        </w:tabs>
        <w:spacing w:before="0" w:beforeAutospacing="0"/>
        <w:ind w:left="0"/>
        <w:jc w:val="both"/>
        <w:rPr>
          <w:rFonts w:ascii="Times New Roman" w:hAnsi="Times New Roman" w:cs="Times New Roman"/>
          <w:sz w:val="28"/>
          <w:szCs w:val="28"/>
          <w:u w:val="single"/>
          <w:lang w:val="en-US"/>
        </w:rPr>
      </w:pPr>
    </w:p>
    <w:p w14:paraId="2B0CEC63" w14:textId="570C6B32" w:rsidR="00330FAE" w:rsidRPr="000E2B31" w:rsidRDefault="000E2B31" w:rsidP="000E2B31">
      <w:pPr>
        <w:tabs>
          <w:tab w:val="left" w:pos="709"/>
        </w:tabs>
        <w:spacing w:before="0" w:beforeAutospacing="0"/>
        <w:jc w:val="both"/>
        <w:rPr>
          <w:rFonts w:ascii="Times New Roman" w:hAnsi="Times New Roman" w:cs="Times New Roman"/>
          <w:sz w:val="28"/>
          <w:szCs w:val="28"/>
          <w:u w:val="single"/>
          <w:lang w:val="en-US"/>
        </w:rPr>
      </w:pPr>
      <w:r w:rsidRPr="00330FAE">
        <w:rPr>
          <w:rFonts w:ascii="Times New Roman" w:hAnsi="Times New Roman" w:cs="Times New Roman"/>
          <w:sz w:val="28"/>
          <w:szCs w:val="28"/>
          <w:lang w:val="en-US"/>
        </w:rPr>
        <w:t>[15]</w:t>
      </w:r>
      <w:r w:rsidRPr="00330FAE">
        <w:rPr>
          <w:rFonts w:ascii="Times New Roman" w:hAnsi="Times New Roman" w:cs="Times New Roman"/>
          <w:sz w:val="28"/>
          <w:szCs w:val="28"/>
          <w:lang w:val="en-US"/>
        </w:rPr>
        <w:tab/>
      </w:r>
      <w:r w:rsidR="00330FAE" w:rsidRPr="000E2B31">
        <w:rPr>
          <w:rFonts w:ascii="Times New Roman" w:hAnsi="Times New Roman" w:cs="Times New Roman"/>
          <w:sz w:val="28"/>
          <w:szCs w:val="28"/>
          <w:lang w:val="en-US"/>
        </w:rPr>
        <w:t xml:space="preserve">Clause F.3.11.1 of the </w:t>
      </w:r>
      <w:r w:rsidR="00193016" w:rsidRPr="000E2B31">
        <w:rPr>
          <w:rFonts w:ascii="Times New Roman" w:hAnsi="Times New Roman" w:cs="Times New Roman"/>
          <w:sz w:val="28"/>
          <w:szCs w:val="28"/>
          <w:lang w:val="en-US"/>
        </w:rPr>
        <w:t>t</w:t>
      </w:r>
      <w:r w:rsidR="00330FAE" w:rsidRPr="000E2B31">
        <w:rPr>
          <w:rFonts w:ascii="Times New Roman" w:hAnsi="Times New Roman" w:cs="Times New Roman"/>
          <w:sz w:val="28"/>
          <w:szCs w:val="28"/>
          <w:lang w:val="en-US"/>
        </w:rPr>
        <w:t xml:space="preserve">ender </w:t>
      </w:r>
      <w:r w:rsidR="007F2A79" w:rsidRPr="000E2B31">
        <w:rPr>
          <w:rFonts w:ascii="Times New Roman" w:hAnsi="Times New Roman" w:cs="Times New Roman"/>
          <w:sz w:val="28"/>
          <w:szCs w:val="28"/>
          <w:lang w:val="en-US"/>
        </w:rPr>
        <w:t>D</w:t>
      </w:r>
      <w:r w:rsidR="00330FAE" w:rsidRPr="000E2B31">
        <w:rPr>
          <w:rFonts w:ascii="Times New Roman" w:hAnsi="Times New Roman" w:cs="Times New Roman"/>
          <w:sz w:val="28"/>
          <w:szCs w:val="28"/>
          <w:lang w:val="en-US"/>
        </w:rPr>
        <w:t xml:space="preserve">ata recorded that </w:t>
      </w:r>
      <w:r w:rsidR="00330FAE" w:rsidRPr="000E2B31">
        <w:rPr>
          <w:rFonts w:ascii="Times New Roman" w:hAnsi="Times New Roman" w:cs="Times New Roman"/>
          <w:i/>
          <w:iCs/>
          <w:sz w:val="28"/>
          <w:szCs w:val="28"/>
          <w:lang w:val="en-US"/>
        </w:rPr>
        <w:t>“the evaluation of responsive tenders is Method 2.”</w:t>
      </w:r>
      <w:r w:rsidR="00C962EE" w:rsidRPr="00695B9B">
        <w:rPr>
          <w:rStyle w:val="FootnoteReference"/>
          <w:rFonts w:ascii="Times New Roman" w:hAnsi="Times New Roman" w:cs="Times New Roman"/>
          <w:sz w:val="28"/>
          <w:szCs w:val="28"/>
          <w:lang w:val="en-US"/>
        </w:rPr>
        <w:footnoteReference w:id="3"/>
      </w:r>
    </w:p>
    <w:p w14:paraId="79F4C242" w14:textId="77777777" w:rsidR="00330FAE" w:rsidRPr="00330FAE" w:rsidRDefault="00330FAE" w:rsidP="00330FAE">
      <w:pPr>
        <w:pStyle w:val="ListParagraph"/>
        <w:tabs>
          <w:tab w:val="left" w:pos="709"/>
        </w:tabs>
        <w:spacing w:before="0" w:beforeAutospacing="0"/>
        <w:ind w:left="0"/>
        <w:jc w:val="both"/>
        <w:rPr>
          <w:rFonts w:ascii="Times New Roman" w:hAnsi="Times New Roman" w:cs="Times New Roman"/>
          <w:sz w:val="28"/>
          <w:szCs w:val="28"/>
          <w:u w:val="single"/>
          <w:lang w:val="en-US"/>
        </w:rPr>
      </w:pPr>
    </w:p>
    <w:p w14:paraId="5E317753" w14:textId="430A231A" w:rsidR="00330FAE" w:rsidRPr="000E2B31" w:rsidRDefault="000E2B31" w:rsidP="000E2B31">
      <w:pPr>
        <w:tabs>
          <w:tab w:val="left" w:pos="709"/>
        </w:tabs>
        <w:spacing w:before="0" w:beforeAutospacing="0"/>
        <w:jc w:val="both"/>
        <w:rPr>
          <w:rFonts w:ascii="Times New Roman" w:hAnsi="Times New Roman" w:cs="Times New Roman"/>
          <w:sz w:val="28"/>
          <w:szCs w:val="28"/>
          <w:u w:val="single"/>
          <w:lang w:val="en-US"/>
        </w:rPr>
      </w:pPr>
      <w:r w:rsidRPr="00330FAE">
        <w:rPr>
          <w:rFonts w:ascii="Times New Roman" w:hAnsi="Times New Roman" w:cs="Times New Roman"/>
          <w:sz w:val="28"/>
          <w:szCs w:val="28"/>
          <w:lang w:val="en-US"/>
        </w:rPr>
        <w:t>[16]</w:t>
      </w:r>
      <w:r w:rsidRPr="00330FAE">
        <w:rPr>
          <w:rFonts w:ascii="Times New Roman" w:hAnsi="Times New Roman" w:cs="Times New Roman"/>
          <w:sz w:val="28"/>
          <w:szCs w:val="28"/>
          <w:lang w:val="en-US"/>
        </w:rPr>
        <w:tab/>
      </w:r>
      <w:r w:rsidR="00330FAE" w:rsidRPr="000E2B31">
        <w:rPr>
          <w:rFonts w:ascii="Times New Roman" w:hAnsi="Times New Roman" w:cs="Times New Roman"/>
          <w:sz w:val="28"/>
          <w:szCs w:val="28"/>
          <w:lang w:val="en-US"/>
        </w:rPr>
        <w:t xml:space="preserve">Clause F.3.11.1 of the STC sets out method 2 and records that </w:t>
      </w:r>
      <w:r w:rsidR="00330FAE" w:rsidRPr="000E2B31">
        <w:rPr>
          <w:rFonts w:ascii="Times New Roman" w:hAnsi="Times New Roman" w:cs="Times New Roman"/>
          <w:i/>
          <w:iCs/>
          <w:sz w:val="28"/>
          <w:szCs w:val="28"/>
          <w:lang w:val="en-US"/>
        </w:rPr>
        <w:t xml:space="preserve">“Tenders that have achieved the minimum </w:t>
      </w:r>
      <w:r w:rsidR="009C6FCE" w:rsidRPr="000E2B31">
        <w:rPr>
          <w:rFonts w:ascii="Times New Roman" w:hAnsi="Times New Roman" w:cs="Times New Roman"/>
          <w:i/>
          <w:iCs/>
          <w:sz w:val="28"/>
          <w:szCs w:val="28"/>
          <w:lang w:val="en-US"/>
        </w:rPr>
        <w:t xml:space="preserve">qualification </w:t>
      </w:r>
      <w:r w:rsidR="00330FAE" w:rsidRPr="000E2B31">
        <w:rPr>
          <w:rFonts w:ascii="Times New Roman" w:hAnsi="Times New Roman" w:cs="Times New Roman"/>
          <w:i/>
          <w:iCs/>
          <w:sz w:val="28"/>
          <w:szCs w:val="28"/>
          <w:lang w:val="en-US"/>
        </w:rPr>
        <w:t>score for functionality must be evaluated further in terms of the preference point system prescribed in paragraphs 4 and 5 below.”</w:t>
      </w:r>
      <w:r w:rsidR="00330FAE" w:rsidRPr="000E2B31">
        <w:rPr>
          <w:rFonts w:ascii="Times New Roman" w:hAnsi="Times New Roman" w:cs="Times New Roman"/>
          <w:sz w:val="28"/>
          <w:szCs w:val="28"/>
          <w:lang w:val="en-US"/>
        </w:rPr>
        <w:t xml:space="preserve"> This is </w:t>
      </w:r>
      <w:r w:rsidR="00C100BD" w:rsidRPr="000E2B31">
        <w:rPr>
          <w:rFonts w:ascii="Times New Roman" w:hAnsi="Times New Roman" w:cs="Times New Roman"/>
          <w:sz w:val="28"/>
          <w:szCs w:val="28"/>
          <w:lang w:val="en-US"/>
        </w:rPr>
        <w:t xml:space="preserve">indeed </w:t>
      </w:r>
      <w:r w:rsidR="00330FAE" w:rsidRPr="000E2B31">
        <w:rPr>
          <w:rFonts w:ascii="Times New Roman" w:hAnsi="Times New Roman" w:cs="Times New Roman"/>
          <w:sz w:val="28"/>
          <w:szCs w:val="28"/>
          <w:lang w:val="en-US"/>
        </w:rPr>
        <w:t xml:space="preserve">consistent with what is set out in Part B of F.2.1 of the </w:t>
      </w:r>
      <w:r w:rsidR="00874CF4" w:rsidRPr="000E2B31">
        <w:rPr>
          <w:rFonts w:ascii="Times New Roman" w:hAnsi="Times New Roman" w:cs="Times New Roman"/>
          <w:sz w:val="28"/>
          <w:szCs w:val="28"/>
          <w:lang w:val="en-US"/>
        </w:rPr>
        <w:t>t</w:t>
      </w:r>
      <w:r w:rsidR="00330FAE" w:rsidRPr="000E2B31">
        <w:rPr>
          <w:rFonts w:ascii="Times New Roman" w:hAnsi="Times New Roman" w:cs="Times New Roman"/>
          <w:sz w:val="28"/>
          <w:szCs w:val="28"/>
          <w:lang w:val="en-US"/>
        </w:rPr>
        <w:t xml:space="preserve">ender </w:t>
      </w:r>
      <w:r w:rsidR="007F2A79" w:rsidRPr="000E2B31">
        <w:rPr>
          <w:rFonts w:ascii="Times New Roman" w:hAnsi="Times New Roman" w:cs="Times New Roman"/>
          <w:sz w:val="28"/>
          <w:szCs w:val="28"/>
          <w:lang w:val="en-US"/>
        </w:rPr>
        <w:t>D</w:t>
      </w:r>
      <w:r w:rsidR="00330FAE" w:rsidRPr="000E2B31">
        <w:rPr>
          <w:rFonts w:ascii="Times New Roman" w:hAnsi="Times New Roman" w:cs="Times New Roman"/>
          <w:sz w:val="28"/>
          <w:szCs w:val="28"/>
          <w:lang w:val="en-US"/>
        </w:rPr>
        <w:t>ata.</w:t>
      </w:r>
    </w:p>
    <w:p w14:paraId="2ABBA284" w14:textId="77777777" w:rsidR="00330FAE" w:rsidRPr="00330FAE" w:rsidRDefault="00330FAE" w:rsidP="00330FAE">
      <w:pPr>
        <w:pStyle w:val="ListParagraph"/>
        <w:rPr>
          <w:rFonts w:ascii="Times New Roman" w:hAnsi="Times New Roman" w:cs="Times New Roman"/>
          <w:sz w:val="28"/>
          <w:szCs w:val="28"/>
          <w:lang w:val="en-US"/>
        </w:rPr>
      </w:pPr>
    </w:p>
    <w:p w14:paraId="4B7BA7B7" w14:textId="331286CF" w:rsidR="00330FAE" w:rsidRPr="000E2B31" w:rsidRDefault="000E2B31" w:rsidP="000E2B31">
      <w:pPr>
        <w:tabs>
          <w:tab w:val="left" w:pos="709"/>
        </w:tabs>
        <w:spacing w:before="0" w:beforeAutospacing="0"/>
        <w:jc w:val="both"/>
        <w:rPr>
          <w:rFonts w:ascii="Times New Roman" w:hAnsi="Times New Roman" w:cs="Times New Roman"/>
          <w:sz w:val="28"/>
          <w:szCs w:val="28"/>
          <w:u w:val="single"/>
          <w:lang w:val="en-US"/>
        </w:rPr>
      </w:pPr>
      <w:r w:rsidRPr="004C007D">
        <w:rPr>
          <w:rFonts w:ascii="Times New Roman" w:hAnsi="Times New Roman" w:cs="Times New Roman"/>
          <w:sz w:val="28"/>
          <w:szCs w:val="28"/>
          <w:lang w:val="en-US"/>
        </w:rPr>
        <w:t>[17]</w:t>
      </w:r>
      <w:r w:rsidRPr="004C007D">
        <w:rPr>
          <w:rFonts w:ascii="Times New Roman" w:hAnsi="Times New Roman" w:cs="Times New Roman"/>
          <w:sz w:val="28"/>
          <w:szCs w:val="28"/>
          <w:lang w:val="en-US"/>
        </w:rPr>
        <w:tab/>
      </w:r>
      <w:r w:rsidR="00330FAE" w:rsidRPr="000E2B31">
        <w:rPr>
          <w:rFonts w:ascii="Times New Roman" w:hAnsi="Times New Roman" w:cs="Times New Roman"/>
          <w:sz w:val="28"/>
          <w:szCs w:val="28"/>
          <w:lang w:val="en-US"/>
        </w:rPr>
        <w:t>Clause F.3.11.3 of the STC</w:t>
      </w:r>
      <w:r w:rsidR="00C100BD" w:rsidRPr="000E2B31">
        <w:rPr>
          <w:rFonts w:ascii="Times New Roman" w:hAnsi="Times New Roman" w:cs="Times New Roman"/>
          <w:sz w:val="28"/>
          <w:szCs w:val="28"/>
          <w:lang w:val="en-US"/>
        </w:rPr>
        <w:t xml:space="preserve">, under the </w:t>
      </w:r>
      <w:r w:rsidR="00461023" w:rsidRPr="000E2B31">
        <w:rPr>
          <w:rFonts w:ascii="Times New Roman" w:hAnsi="Times New Roman" w:cs="Times New Roman"/>
          <w:sz w:val="28"/>
          <w:szCs w:val="28"/>
          <w:lang w:val="en-US"/>
        </w:rPr>
        <w:t>rubric</w:t>
      </w:r>
      <w:r w:rsidR="00C100BD" w:rsidRPr="000E2B31">
        <w:rPr>
          <w:rFonts w:ascii="Times New Roman" w:hAnsi="Times New Roman" w:cs="Times New Roman"/>
          <w:sz w:val="28"/>
          <w:szCs w:val="28"/>
          <w:lang w:val="en-US"/>
        </w:rPr>
        <w:t xml:space="preserve"> of </w:t>
      </w:r>
      <w:r w:rsidR="001204D8" w:rsidRPr="000E2B31">
        <w:rPr>
          <w:rFonts w:ascii="Times New Roman" w:hAnsi="Times New Roman" w:cs="Times New Roman"/>
          <w:i/>
          <w:iCs/>
          <w:sz w:val="28"/>
          <w:szCs w:val="28"/>
          <w:lang w:val="en-US"/>
        </w:rPr>
        <w:t>“</w:t>
      </w:r>
      <w:r w:rsidR="00C100BD" w:rsidRPr="000E2B31">
        <w:rPr>
          <w:rFonts w:ascii="Times New Roman" w:hAnsi="Times New Roman" w:cs="Times New Roman"/>
          <w:i/>
          <w:iCs/>
          <w:sz w:val="28"/>
          <w:szCs w:val="28"/>
          <w:lang w:val="en-US"/>
        </w:rPr>
        <w:t>Method 2: Functionality</w:t>
      </w:r>
      <w:r w:rsidR="00BC633C" w:rsidRPr="000E2B31">
        <w:rPr>
          <w:rFonts w:ascii="Times New Roman" w:hAnsi="Times New Roman" w:cs="Times New Roman"/>
          <w:i/>
          <w:iCs/>
          <w:sz w:val="28"/>
          <w:szCs w:val="28"/>
          <w:lang w:val="en-US"/>
        </w:rPr>
        <w:t>,</w:t>
      </w:r>
      <w:r w:rsidR="00C100BD" w:rsidRPr="000E2B31">
        <w:rPr>
          <w:rFonts w:ascii="Times New Roman" w:hAnsi="Times New Roman" w:cs="Times New Roman"/>
          <w:i/>
          <w:iCs/>
          <w:sz w:val="28"/>
          <w:szCs w:val="28"/>
          <w:lang w:val="en-US"/>
        </w:rPr>
        <w:t xml:space="preserve"> Price </w:t>
      </w:r>
      <w:r w:rsidR="00461023" w:rsidRPr="000E2B31">
        <w:rPr>
          <w:rFonts w:ascii="Times New Roman" w:hAnsi="Times New Roman" w:cs="Times New Roman"/>
          <w:i/>
          <w:iCs/>
          <w:sz w:val="28"/>
          <w:szCs w:val="28"/>
          <w:lang w:val="en-US"/>
        </w:rPr>
        <w:t>and</w:t>
      </w:r>
      <w:r w:rsidR="00C100BD" w:rsidRPr="000E2B31">
        <w:rPr>
          <w:rFonts w:ascii="Times New Roman" w:hAnsi="Times New Roman" w:cs="Times New Roman"/>
          <w:i/>
          <w:iCs/>
          <w:sz w:val="28"/>
          <w:szCs w:val="28"/>
          <w:lang w:val="en-US"/>
        </w:rPr>
        <w:t xml:space="preserve"> Preference</w:t>
      </w:r>
      <w:r w:rsidR="001204D8" w:rsidRPr="000E2B31">
        <w:rPr>
          <w:rFonts w:ascii="Times New Roman" w:hAnsi="Times New Roman" w:cs="Times New Roman"/>
          <w:i/>
          <w:iCs/>
          <w:sz w:val="28"/>
          <w:szCs w:val="28"/>
          <w:lang w:val="en-US"/>
        </w:rPr>
        <w:t>”</w:t>
      </w:r>
      <w:r w:rsidR="00C100BD" w:rsidRPr="000E2B31">
        <w:rPr>
          <w:rFonts w:ascii="Times New Roman" w:hAnsi="Times New Roman" w:cs="Times New Roman"/>
          <w:sz w:val="28"/>
          <w:szCs w:val="28"/>
          <w:lang w:val="en-US"/>
        </w:rPr>
        <w:t>,</w:t>
      </w:r>
      <w:r w:rsidR="00330FAE" w:rsidRPr="000E2B31">
        <w:rPr>
          <w:rFonts w:ascii="Times New Roman" w:hAnsi="Times New Roman" w:cs="Times New Roman"/>
          <w:sz w:val="28"/>
          <w:szCs w:val="28"/>
          <w:lang w:val="en-US"/>
        </w:rPr>
        <w:t xml:space="preserve"> sets out the basis upon which points will be allocated for both price and preference and records at paragraph 4 (e) </w:t>
      </w:r>
      <w:r w:rsidR="007F2A79" w:rsidRPr="000E2B31">
        <w:rPr>
          <w:rFonts w:ascii="Times New Roman" w:hAnsi="Times New Roman" w:cs="Times New Roman"/>
          <w:sz w:val="28"/>
          <w:szCs w:val="28"/>
          <w:lang w:val="en-US"/>
        </w:rPr>
        <w:t xml:space="preserve">thereunder that </w:t>
      </w:r>
      <w:r w:rsidR="00330FAE" w:rsidRPr="000E2B31">
        <w:rPr>
          <w:rFonts w:ascii="Times New Roman" w:hAnsi="Times New Roman" w:cs="Times New Roman"/>
          <w:i/>
          <w:iCs/>
          <w:sz w:val="28"/>
          <w:szCs w:val="28"/>
          <w:lang w:val="en-US"/>
        </w:rPr>
        <w:t>“</w:t>
      </w:r>
      <w:r w:rsidR="00D128E7" w:rsidRPr="000E2B31">
        <w:rPr>
          <w:rFonts w:ascii="Times New Roman" w:hAnsi="Times New Roman" w:cs="Times New Roman"/>
          <w:i/>
          <w:iCs/>
          <w:sz w:val="28"/>
          <w:szCs w:val="28"/>
          <w:lang w:val="en-US"/>
        </w:rPr>
        <w:t>S</w:t>
      </w:r>
      <w:r w:rsidR="00330FAE" w:rsidRPr="000E2B31">
        <w:rPr>
          <w:rFonts w:ascii="Times New Roman" w:hAnsi="Times New Roman" w:cs="Times New Roman"/>
          <w:i/>
          <w:iCs/>
          <w:sz w:val="28"/>
          <w:szCs w:val="28"/>
          <w:lang w:val="en-US"/>
        </w:rPr>
        <w:t xml:space="preserve">ubject to paragraph 4.3.8 the contract must be awarded to the </w:t>
      </w:r>
      <w:r w:rsidR="00770751" w:rsidRPr="000E2B31">
        <w:rPr>
          <w:rFonts w:ascii="Times New Roman" w:hAnsi="Times New Roman" w:cs="Times New Roman"/>
          <w:i/>
          <w:iCs/>
          <w:sz w:val="28"/>
          <w:szCs w:val="28"/>
          <w:lang w:val="en-US"/>
        </w:rPr>
        <w:t>tender</w:t>
      </w:r>
      <w:r w:rsidR="00BC633C" w:rsidRPr="000E2B31">
        <w:rPr>
          <w:rFonts w:ascii="Times New Roman" w:hAnsi="Times New Roman" w:cs="Times New Roman"/>
          <w:i/>
          <w:iCs/>
          <w:sz w:val="28"/>
          <w:szCs w:val="28"/>
          <w:lang w:val="en-US"/>
        </w:rPr>
        <w:t xml:space="preserve"> </w:t>
      </w:r>
      <w:r w:rsidR="00BC633C" w:rsidRPr="000E2B31">
        <w:rPr>
          <w:rFonts w:ascii="Times New Roman" w:hAnsi="Times New Roman" w:cs="Times New Roman"/>
          <w:sz w:val="28"/>
          <w:szCs w:val="28"/>
          <w:lang w:val="en-US"/>
        </w:rPr>
        <w:t>(Sic)</w:t>
      </w:r>
      <w:r w:rsidR="00330FAE" w:rsidRPr="000E2B31">
        <w:rPr>
          <w:rFonts w:ascii="Times New Roman" w:hAnsi="Times New Roman" w:cs="Times New Roman"/>
          <w:i/>
          <w:iCs/>
          <w:sz w:val="28"/>
          <w:szCs w:val="28"/>
          <w:lang w:val="en-US"/>
        </w:rPr>
        <w:t xml:space="preserve"> who scores the highest total number of points.”</w:t>
      </w:r>
    </w:p>
    <w:p w14:paraId="61DDFD3B" w14:textId="77777777" w:rsidR="00330FAE" w:rsidRPr="00330FAE" w:rsidRDefault="00330FAE" w:rsidP="00330FAE">
      <w:pPr>
        <w:pStyle w:val="ListParagraph"/>
        <w:rPr>
          <w:rFonts w:ascii="Times New Roman" w:hAnsi="Times New Roman" w:cs="Times New Roman"/>
          <w:sz w:val="28"/>
          <w:szCs w:val="28"/>
          <w:lang w:val="en-US"/>
        </w:rPr>
      </w:pPr>
    </w:p>
    <w:p w14:paraId="03F8938F" w14:textId="2477086A" w:rsidR="00330FAE" w:rsidRPr="000E2B31" w:rsidRDefault="000E2B31" w:rsidP="000E2B31">
      <w:pPr>
        <w:tabs>
          <w:tab w:val="left" w:pos="709"/>
        </w:tabs>
        <w:spacing w:before="0" w:beforeAutospacing="0"/>
        <w:jc w:val="both"/>
        <w:rPr>
          <w:rFonts w:ascii="Times New Roman" w:hAnsi="Times New Roman" w:cs="Times New Roman"/>
          <w:sz w:val="28"/>
          <w:szCs w:val="28"/>
          <w:u w:val="single"/>
          <w:lang w:val="en-US"/>
        </w:rPr>
      </w:pPr>
      <w:r w:rsidRPr="00330FAE">
        <w:rPr>
          <w:rFonts w:ascii="Times New Roman" w:hAnsi="Times New Roman" w:cs="Times New Roman"/>
          <w:sz w:val="28"/>
          <w:szCs w:val="28"/>
          <w:lang w:val="en-US"/>
        </w:rPr>
        <w:t>[18]</w:t>
      </w:r>
      <w:r w:rsidRPr="00330FAE">
        <w:rPr>
          <w:rFonts w:ascii="Times New Roman" w:hAnsi="Times New Roman" w:cs="Times New Roman"/>
          <w:sz w:val="28"/>
          <w:szCs w:val="28"/>
          <w:lang w:val="en-US"/>
        </w:rPr>
        <w:tab/>
      </w:r>
      <w:r w:rsidR="00330FAE" w:rsidRPr="000E2B31">
        <w:rPr>
          <w:rFonts w:ascii="Times New Roman" w:hAnsi="Times New Roman" w:cs="Times New Roman"/>
          <w:sz w:val="28"/>
          <w:szCs w:val="28"/>
          <w:lang w:val="en-US"/>
        </w:rPr>
        <w:t>The reference to paragraph 4.3.8 is a reference to the Standard. This paragraph in the Standard records</w:t>
      </w:r>
      <w:r w:rsidR="007F2A79" w:rsidRPr="000E2B31">
        <w:rPr>
          <w:rFonts w:ascii="Times New Roman" w:hAnsi="Times New Roman" w:cs="Times New Roman"/>
          <w:sz w:val="28"/>
          <w:szCs w:val="28"/>
          <w:lang w:val="en-US"/>
        </w:rPr>
        <w:t xml:space="preserve"> that</w:t>
      </w:r>
      <w:r w:rsidR="00770751" w:rsidRPr="000E2B31">
        <w:rPr>
          <w:rFonts w:ascii="Times New Roman" w:hAnsi="Times New Roman" w:cs="Times New Roman"/>
          <w:sz w:val="28"/>
          <w:szCs w:val="28"/>
          <w:lang w:val="en-US"/>
        </w:rPr>
        <w:t>:</w:t>
      </w:r>
      <w:r w:rsidR="00330FAE" w:rsidRPr="000E2B31">
        <w:rPr>
          <w:rFonts w:ascii="Times New Roman" w:hAnsi="Times New Roman" w:cs="Times New Roman"/>
          <w:sz w:val="28"/>
          <w:szCs w:val="28"/>
          <w:lang w:val="en-US"/>
        </w:rPr>
        <w:t xml:space="preserve"> </w:t>
      </w:r>
      <w:r w:rsidR="00330FAE" w:rsidRPr="000E2B31">
        <w:rPr>
          <w:rFonts w:ascii="Times New Roman" w:hAnsi="Times New Roman" w:cs="Times New Roman"/>
          <w:i/>
          <w:iCs/>
          <w:sz w:val="28"/>
          <w:szCs w:val="28"/>
          <w:lang w:val="en-US"/>
        </w:rPr>
        <w:t>“</w:t>
      </w:r>
      <w:r w:rsidR="00770751" w:rsidRPr="000E2B31">
        <w:rPr>
          <w:rFonts w:ascii="Times New Roman" w:hAnsi="Times New Roman" w:cs="Times New Roman"/>
          <w:i/>
          <w:iCs/>
          <w:sz w:val="28"/>
          <w:szCs w:val="28"/>
          <w:lang w:val="en-US"/>
        </w:rPr>
        <w:t xml:space="preserve">A </w:t>
      </w:r>
      <w:r w:rsidR="00330FAE" w:rsidRPr="000E2B31">
        <w:rPr>
          <w:rFonts w:ascii="Times New Roman" w:hAnsi="Times New Roman" w:cs="Times New Roman"/>
          <w:i/>
          <w:iCs/>
          <w:sz w:val="28"/>
          <w:szCs w:val="28"/>
          <w:lang w:val="en-US"/>
        </w:rPr>
        <w:t>contract may be awarded to a tender</w:t>
      </w:r>
      <w:r w:rsidR="00B12E92" w:rsidRPr="000E2B31">
        <w:rPr>
          <w:rFonts w:ascii="Times New Roman" w:hAnsi="Times New Roman" w:cs="Times New Roman"/>
          <w:i/>
          <w:iCs/>
          <w:sz w:val="28"/>
          <w:szCs w:val="28"/>
          <w:lang w:val="en-US"/>
        </w:rPr>
        <w:t xml:space="preserve"> </w:t>
      </w:r>
      <w:r w:rsidR="00B12E92" w:rsidRPr="000E2B31">
        <w:rPr>
          <w:rFonts w:ascii="Times New Roman" w:hAnsi="Times New Roman" w:cs="Times New Roman"/>
          <w:sz w:val="28"/>
          <w:szCs w:val="28"/>
          <w:lang w:val="en-US"/>
        </w:rPr>
        <w:t>(Sic)</w:t>
      </w:r>
      <w:r w:rsidR="00330FAE" w:rsidRPr="000E2B31">
        <w:rPr>
          <w:rFonts w:ascii="Times New Roman" w:hAnsi="Times New Roman" w:cs="Times New Roman"/>
          <w:i/>
          <w:iCs/>
          <w:sz w:val="28"/>
          <w:szCs w:val="28"/>
          <w:lang w:val="en-US"/>
        </w:rPr>
        <w:t xml:space="preserve"> that did not score the highest points, only in accordance with section 2(1) (f) of the Preferential Policy Framework Act, 2000.”</w:t>
      </w:r>
    </w:p>
    <w:p w14:paraId="72419037" w14:textId="77777777" w:rsidR="00330FAE" w:rsidRPr="00330FAE" w:rsidRDefault="00330FAE" w:rsidP="00330FAE">
      <w:pPr>
        <w:pStyle w:val="ListParagraph"/>
        <w:rPr>
          <w:rFonts w:ascii="Times New Roman" w:hAnsi="Times New Roman" w:cs="Times New Roman"/>
          <w:sz w:val="28"/>
          <w:szCs w:val="28"/>
          <w:lang w:val="en-US"/>
        </w:rPr>
      </w:pPr>
    </w:p>
    <w:p w14:paraId="777AEBCB" w14:textId="23CA7EDB" w:rsidR="00330FAE" w:rsidRPr="000E2B31" w:rsidRDefault="000E2B31" w:rsidP="000E2B31">
      <w:pPr>
        <w:tabs>
          <w:tab w:val="left" w:pos="709"/>
        </w:tabs>
        <w:spacing w:before="0" w:beforeAutospacing="0"/>
        <w:jc w:val="both"/>
        <w:rPr>
          <w:rFonts w:ascii="Times New Roman" w:hAnsi="Times New Roman" w:cs="Times New Roman"/>
          <w:sz w:val="28"/>
          <w:szCs w:val="28"/>
          <w:u w:val="single"/>
          <w:lang w:val="en-US"/>
        </w:rPr>
      </w:pPr>
      <w:r w:rsidRPr="00330FAE">
        <w:rPr>
          <w:rFonts w:ascii="Times New Roman" w:hAnsi="Times New Roman" w:cs="Times New Roman"/>
          <w:sz w:val="28"/>
          <w:szCs w:val="28"/>
          <w:lang w:val="en-US"/>
        </w:rPr>
        <w:t>[19]</w:t>
      </w:r>
      <w:r w:rsidRPr="00330FAE">
        <w:rPr>
          <w:rFonts w:ascii="Times New Roman" w:hAnsi="Times New Roman" w:cs="Times New Roman"/>
          <w:sz w:val="28"/>
          <w:szCs w:val="28"/>
          <w:lang w:val="en-US"/>
        </w:rPr>
        <w:tab/>
      </w:r>
      <w:r w:rsidR="00330FAE" w:rsidRPr="000E2B31">
        <w:rPr>
          <w:rFonts w:ascii="Times New Roman" w:hAnsi="Times New Roman" w:cs="Times New Roman"/>
          <w:sz w:val="28"/>
          <w:szCs w:val="28"/>
          <w:lang w:val="en-US"/>
        </w:rPr>
        <w:t xml:space="preserve">Section 2 (1) (f) of the PPPFA in turn records </w:t>
      </w:r>
      <w:r w:rsidR="007F2A79" w:rsidRPr="000E2B31">
        <w:rPr>
          <w:rFonts w:ascii="Times New Roman" w:hAnsi="Times New Roman" w:cs="Times New Roman"/>
          <w:sz w:val="28"/>
          <w:szCs w:val="28"/>
          <w:lang w:val="en-US"/>
        </w:rPr>
        <w:t xml:space="preserve">that </w:t>
      </w:r>
      <w:r w:rsidR="00330FAE" w:rsidRPr="000E2B31">
        <w:rPr>
          <w:rFonts w:ascii="Times New Roman" w:hAnsi="Times New Roman" w:cs="Times New Roman"/>
          <w:i/>
          <w:iCs/>
          <w:sz w:val="28"/>
          <w:szCs w:val="28"/>
          <w:lang w:val="en-US"/>
        </w:rPr>
        <w:t>“the contract must be awarded to the tenderer who scores the highest points, unless objective criteria in addition to those contemplated in paragraph (d) and (e) justify the award to another tenderer.”</w:t>
      </w:r>
      <w:r w:rsidR="007F2A79">
        <w:rPr>
          <w:rStyle w:val="FootnoteReference"/>
          <w:rFonts w:ascii="Times New Roman" w:hAnsi="Times New Roman" w:cs="Times New Roman"/>
          <w:sz w:val="28"/>
          <w:szCs w:val="28"/>
          <w:lang w:val="en-US"/>
        </w:rPr>
        <w:footnoteReference w:id="4"/>
      </w:r>
      <w:r w:rsidR="00330FAE" w:rsidRPr="000E2B31">
        <w:rPr>
          <w:rFonts w:ascii="Times New Roman" w:hAnsi="Times New Roman" w:cs="Times New Roman"/>
          <w:sz w:val="28"/>
          <w:szCs w:val="28"/>
          <w:lang w:val="en-US"/>
        </w:rPr>
        <w:t xml:space="preserve">  </w:t>
      </w:r>
    </w:p>
    <w:p w14:paraId="41B4C3E8" w14:textId="77777777" w:rsidR="00330FAE" w:rsidRDefault="00330FAE" w:rsidP="002D4EB8">
      <w:pPr>
        <w:pStyle w:val="ListParagraph"/>
        <w:spacing w:before="0" w:beforeAutospacing="0"/>
        <w:rPr>
          <w:rFonts w:ascii="Times New Roman" w:hAnsi="Times New Roman" w:cs="Times New Roman"/>
          <w:sz w:val="28"/>
          <w:szCs w:val="28"/>
          <w:lang w:val="en-US"/>
        </w:rPr>
      </w:pPr>
    </w:p>
    <w:p w14:paraId="2819D377" w14:textId="21D59CA3" w:rsidR="00330FAE" w:rsidRDefault="00330FAE" w:rsidP="002D4EB8">
      <w:pPr>
        <w:spacing w:before="0" w:beforeAutospacing="0"/>
        <w:contextualSpacing/>
        <w:jc w:val="both"/>
        <w:rPr>
          <w:rFonts w:ascii="Times New Roman" w:hAnsi="Times New Roman" w:cs="Times New Roman"/>
          <w:sz w:val="28"/>
          <w:szCs w:val="28"/>
          <w:lang w:val="en-US"/>
        </w:rPr>
      </w:pPr>
      <w:r w:rsidRPr="0036375F">
        <w:rPr>
          <w:rFonts w:ascii="Times New Roman" w:hAnsi="Times New Roman" w:cs="Times New Roman"/>
          <w:sz w:val="28"/>
          <w:szCs w:val="28"/>
          <w:u w:val="single"/>
          <w:lang w:val="en-US"/>
        </w:rPr>
        <w:t>The Eligibility requirement in respect of risk to the employer</w:t>
      </w:r>
    </w:p>
    <w:p w14:paraId="07E5BA64" w14:textId="77777777" w:rsidR="00330FAE" w:rsidRPr="00330FAE" w:rsidRDefault="00330FAE" w:rsidP="002D4EB8">
      <w:pPr>
        <w:pStyle w:val="ListParagraph"/>
        <w:spacing w:before="0" w:beforeAutospacing="0"/>
        <w:rPr>
          <w:rFonts w:ascii="Times New Roman" w:hAnsi="Times New Roman" w:cs="Times New Roman"/>
          <w:sz w:val="28"/>
          <w:szCs w:val="28"/>
          <w:lang w:val="en-US"/>
        </w:rPr>
      </w:pPr>
    </w:p>
    <w:p w14:paraId="419933BE" w14:textId="67A85CBB" w:rsidR="00330FAE" w:rsidRPr="000E2B31" w:rsidRDefault="000E2B31" w:rsidP="000E2B31">
      <w:pPr>
        <w:tabs>
          <w:tab w:val="left" w:pos="709"/>
        </w:tabs>
        <w:spacing w:before="0" w:beforeAutospacing="0"/>
        <w:jc w:val="both"/>
        <w:rPr>
          <w:rFonts w:ascii="Times New Roman" w:hAnsi="Times New Roman" w:cs="Times New Roman"/>
          <w:sz w:val="28"/>
          <w:szCs w:val="28"/>
          <w:u w:val="single"/>
          <w:lang w:val="en-US"/>
        </w:rPr>
      </w:pPr>
      <w:r w:rsidRPr="00330FAE">
        <w:rPr>
          <w:rFonts w:ascii="Times New Roman" w:hAnsi="Times New Roman" w:cs="Times New Roman"/>
          <w:sz w:val="28"/>
          <w:szCs w:val="28"/>
          <w:lang w:val="en-US"/>
        </w:rPr>
        <w:t>[20]</w:t>
      </w:r>
      <w:r w:rsidRPr="00330FAE">
        <w:rPr>
          <w:rFonts w:ascii="Times New Roman" w:hAnsi="Times New Roman" w:cs="Times New Roman"/>
          <w:sz w:val="28"/>
          <w:szCs w:val="28"/>
          <w:lang w:val="en-US"/>
        </w:rPr>
        <w:tab/>
      </w:r>
      <w:r w:rsidR="00330FAE" w:rsidRPr="000E2B31">
        <w:rPr>
          <w:rFonts w:ascii="Times New Roman" w:hAnsi="Times New Roman" w:cs="Times New Roman"/>
          <w:sz w:val="28"/>
          <w:szCs w:val="28"/>
          <w:lang w:val="en-US"/>
        </w:rPr>
        <w:t xml:space="preserve">It is necessary to </w:t>
      </w:r>
      <w:r w:rsidR="00770751" w:rsidRPr="000E2B31">
        <w:rPr>
          <w:rFonts w:ascii="Times New Roman" w:hAnsi="Times New Roman" w:cs="Times New Roman"/>
          <w:sz w:val="28"/>
          <w:szCs w:val="28"/>
          <w:lang w:val="en-US"/>
        </w:rPr>
        <w:t>emphasize</w:t>
      </w:r>
      <w:r w:rsidR="00330FAE" w:rsidRPr="000E2B31">
        <w:rPr>
          <w:rFonts w:ascii="Times New Roman" w:hAnsi="Times New Roman" w:cs="Times New Roman"/>
          <w:sz w:val="28"/>
          <w:szCs w:val="28"/>
          <w:lang w:val="en-US"/>
        </w:rPr>
        <w:t xml:space="preserve"> what the tender </w:t>
      </w:r>
      <w:r w:rsidR="00ED5B87" w:rsidRPr="000E2B31">
        <w:rPr>
          <w:rFonts w:ascii="Times New Roman" w:hAnsi="Times New Roman" w:cs="Times New Roman"/>
          <w:sz w:val="28"/>
          <w:szCs w:val="28"/>
          <w:lang w:val="en-US"/>
        </w:rPr>
        <w:t>D</w:t>
      </w:r>
      <w:r w:rsidR="00330FAE" w:rsidRPr="000E2B31">
        <w:rPr>
          <w:rFonts w:ascii="Times New Roman" w:hAnsi="Times New Roman" w:cs="Times New Roman"/>
          <w:sz w:val="28"/>
          <w:szCs w:val="28"/>
          <w:lang w:val="en-US"/>
        </w:rPr>
        <w:t xml:space="preserve">ata provided in respect of the </w:t>
      </w:r>
      <w:r w:rsidR="00461023" w:rsidRPr="000E2B31">
        <w:rPr>
          <w:rFonts w:ascii="Times New Roman" w:hAnsi="Times New Roman" w:cs="Times New Roman"/>
          <w:sz w:val="28"/>
          <w:szCs w:val="28"/>
          <w:lang w:val="en-US"/>
        </w:rPr>
        <w:t xml:space="preserve">requirement </w:t>
      </w:r>
      <w:r w:rsidR="00330FAE" w:rsidRPr="000E2B31">
        <w:rPr>
          <w:rFonts w:ascii="Times New Roman" w:hAnsi="Times New Roman" w:cs="Times New Roman"/>
          <w:sz w:val="28"/>
          <w:szCs w:val="28"/>
          <w:lang w:val="en-US"/>
        </w:rPr>
        <w:t xml:space="preserve">of </w:t>
      </w:r>
      <w:r w:rsidR="00461023" w:rsidRPr="000E2B31">
        <w:rPr>
          <w:rFonts w:ascii="Times New Roman" w:hAnsi="Times New Roman" w:cs="Times New Roman"/>
          <w:sz w:val="28"/>
          <w:szCs w:val="28"/>
          <w:lang w:val="en-US"/>
        </w:rPr>
        <w:t xml:space="preserve">and </w:t>
      </w:r>
      <w:r w:rsidR="008E7BA8" w:rsidRPr="000E2B31">
        <w:rPr>
          <w:rFonts w:ascii="Times New Roman" w:hAnsi="Times New Roman" w:cs="Times New Roman"/>
          <w:sz w:val="28"/>
          <w:szCs w:val="28"/>
          <w:lang w:val="en-US"/>
        </w:rPr>
        <w:t xml:space="preserve">procedure for the </w:t>
      </w:r>
      <w:r w:rsidR="00461023" w:rsidRPr="000E2B31">
        <w:rPr>
          <w:rFonts w:ascii="Times New Roman" w:hAnsi="Times New Roman" w:cs="Times New Roman"/>
          <w:sz w:val="28"/>
          <w:szCs w:val="28"/>
          <w:lang w:val="en-US"/>
        </w:rPr>
        <w:t xml:space="preserve">determination of </w:t>
      </w:r>
      <w:r w:rsidR="00330FAE" w:rsidRPr="000E2B31">
        <w:rPr>
          <w:rFonts w:ascii="Times New Roman" w:hAnsi="Times New Roman" w:cs="Times New Roman"/>
          <w:sz w:val="28"/>
          <w:szCs w:val="28"/>
          <w:lang w:val="en-US"/>
        </w:rPr>
        <w:t xml:space="preserve">risk </w:t>
      </w:r>
      <w:r w:rsidR="00072886" w:rsidRPr="000E2B31">
        <w:rPr>
          <w:rFonts w:ascii="Times New Roman" w:hAnsi="Times New Roman" w:cs="Times New Roman"/>
          <w:sz w:val="28"/>
          <w:szCs w:val="28"/>
          <w:lang w:val="en-US"/>
        </w:rPr>
        <w:t>(referenced</w:t>
      </w:r>
      <w:r w:rsidR="00330FAE" w:rsidRPr="000E2B31">
        <w:rPr>
          <w:rFonts w:ascii="Times New Roman" w:hAnsi="Times New Roman" w:cs="Times New Roman"/>
          <w:sz w:val="28"/>
          <w:szCs w:val="28"/>
          <w:lang w:val="en-US"/>
        </w:rPr>
        <w:t xml:space="preserve"> in the review application as the </w:t>
      </w:r>
      <w:r w:rsidR="00330FAE" w:rsidRPr="000E2B31">
        <w:rPr>
          <w:rFonts w:ascii="Times New Roman" w:hAnsi="Times New Roman" w:cs="Times New Roman"/>
          <w:i/>
          <w:iCs/>
          <w:sz w:val="28"/>
          <w:szCs w:val="28"/>
          <w:lang w:val="en-US"/>
        </w:rPr>
        <w:t>“impugned process”</w:t>
      </w:r>
      <w:r w:rsidR="00BC633C" w:rsidRPr="000E2B31">
        <w:rPr>
          <w:rFonts w:ascii="Times New Roman" w:hAnsi="Times New Roman" w:cs="Times New Roman"/>
          <w:i/>
          <w:iCs/>
          <w:sz w:val="28"/>
          <w:szCs w:val="28"/>
          <w:lang w:val="en-US"/>
        </w:rPr>
        <w:t>)</w:t>
      </w:r>
      <w:r w:rsidR="00072886" w:rsidRPr="000E2B31">
        <w:rPr>
          <w:rFonts w:ascii="Times New Roman" w:hAnsi="Times New Roman" w:cs="Times New Roman"/>
          <w:sz w:val="28"/>
          <w:szCs w:val="28"/>
          <w:lang w:val="en-US"/>
        </w:rPr>
        <w:t xml:space="preserve"> that </w:t>
      </w:r>
      <w:r w:rsidR="008E7BA8" w:rsidRPr="000E2B31">
        <w:rPr>
          <w:rFonts w:ascii="Times New Roman" w:hAnsi="Times New Roman" w:cs="Times New Roman"/>
          <w:sz w:val="28"/>
          <w:szCs w:val="28"/>
          <w:lang w:val="en-US"/>
        </w:rPr>
        <w:t>was</w:t>
      </w:r>
      <w:r w:rsidR="00072886" w:rsidRPr="000E2B31">
        <w:rPr>
          <w:rFonts w:ascii="Times New Roman" w:hAnsi="Times New Roman" w:cs="Times New Roman"/>
          <w:sz w:val="28"/>
          <w:szCs w:val="28"/>
          <w:lang w:val="en-US"/>
        </w:rPr>
        <w:t xml:space="preserve"> adopted by </w:t>
      </w:r>
      <w:r w:rsidR="00461023" w:rsidRPr="000E2B31">
        <w:rPr>
          <w:rFonts w:ascii="Times New Roman" w:hAnsi="Times New Roman" w:cs="Times New Roman"/>
          <w:sz w:val="28"/>
          <w:szCs w:val="28"/>
          <w:lang w:val="en-US"/>
        </w:rPr>
        <w:t xml:space="preserve">the appellant </w:t>
      </w:r>
      <w:r w:rsidR="00072886" w:rsidRPr="000E2B31">
        <w:rPr>
          <w:rFonts w:ascii="Times New Roman" w:hAnsi="Times New Roman" w:cs="Times New Roman"/>
          <w:sz w:val="28"/>
          <w:szCs w:val="28"/>
          <w:lang w:val="en-US"/>
        </w:rPr>
        <w:t>in declaring the first respondent’s bid ineligible.</w:t>
      </w:r>
    </w:p>
    <w:p w14:paraId="4494A1B9" w14:textId="77777777" w:rsidR="00330FAE" w:rsidRPr="00330FAE" w:rsidRDefault="00330FAE" w:rsidP="00330FAE">
      <w:pPr>
        <w:pStyle w:val="ListParagraph"/>
        <w:tabs>
          <w:tab w:val="left" w:pos="709"/>
        </w:tabs>
        <w:spacing w:before="0" w:beforeAutospacing="0"/>
        <w:ind w:left="0"/>
        <w:jc w:val="both"/>
        <w:rPr>
          <w:rFonts w:ascii="Times New Roman" w:hAnsi="Times New Roman" w:cs="Times New Roman"/>
          <w:sz w:val="28"/>
          <w:szCs w:val="28"/>
          <w:u w:val="single"/>
          <w:lang w:val="en-US"/>
        </w:rPr>
      </w:pPr>
    </w:p>
    <w:p w14:paraId="3CE677A0" w14:textId="2E87741C" w:rsidR="00330FAE" w:rsidRPr="000E2B31" w:rsidRDefault="000E2B31" w:rsidP="000E2B31">
      <w:pPr>
        <w:tabs>
          <w:tab w:val="left" w:pos="709"/>
        </w:tabs>
        <w:spacing w:before="0" w:beforeAutospacing="0"/>
        <w:jc w:val="both"/>
        <w:rPr>
          <w:rFonts w:ascii="Times New Roman" w:hAnsi="Times New Roman" w:cs="Times New Roman"/>
          <w:sz w:val="28"/>
          <w:szCs w:val="28"/>
          <w:u w:val="single"/>
          <w:lang w:val="en-US"/>
        </w:rPr>
      </w:pPr>
      <w:r w:rsidRPr="00330FAE">
        <w:rPr>
          <w:rFonts w:ascii="Times New Roman" w:hAnsi="Times New Roman" w:cs="Times New Roman"/>
          <w:sz w:val="28"/>
          <w:szCs w:val="28"/>
          <w:lang w:val="en-US"/>
        </w:rPr>
        <w:t>[21]</w:t>
      </w:r>
      <w:r w:rsidRPr="00330FAE">
        <w:rPr>
          <w:rFonts w:ascii="Times New Roman" w:hAnsi="Times New Roman" w:cs="Times New Roman"/>
          <w:sz w:val="28"/>
          <w:szCs w:val="28"/>
          <w:lang w:val="en-US"/>
        </w:rPr>
        <w:tab/>
      </w:r>
      <w:r w:rsidR="00330FAE" w:rsidRPr="000E2B31">
        <w:rPr>
          <w:rFonts w:ascii="Times New Roman" w:hAnsi="Times New Roman" w:cs="Times New Roman"/>
          <w:sz w:val="28"/>
          <w:szCs w:val="28"/>
          <w:lang w:val="en-US"/>
        </w:rPr>
        <w:t>Clause C thereof states as follows:</w:t>
      </w:r>
    </w:p>
    <w:p w14:paraId="0697787D" w14:textId="77777777" w:rsidR="00330FAE" w:rsidRDefault="00330FAE" w:rsidP="00330FAE">
      <w:pPr>
        <w:spacing w:before="0" w:beforeAutospacing="0"/>
        <w:contextualSpacing/>
        <w:jc w:val="both"/>
        <w:rPr>
          <w:rFonts w:ascii="Times New Roman" w:hAnsi="Times New Roman" w:cs="Times New Roman"/>
          <w:sz w:val="28"/>
          <w:szCs w:val="28"/>
          <w:lang w:val="en-US"/>
        </w:rPr>
      </w:pPr>
    </w:p>
    <w:p w14:paraId="7BF5F87F" w14:textId="77777777" w:rsidR="00330FAE" w:rsidRPr="007E23D4" w:rsidRDefault="00330FAE" w:rsidP="00072886">
      <w:pPr>
        <w:spacing w:before="0" w:beforeAutospacing="0" w:line="276" w:lineRule="auto"/>
        <w:ind w:firstLine="720"/>
        <w:contextualSpacing/>
        <w:jc w:val="both"/>
        <w:rPr>
          <w:rFonts w:ascii="Times New Roman" w:hAnsi="Times New Roman" w:cs="Times New Roman"/>
          <w:sz w:val="24"/>
          <w:szCs w:val="24"/>
          <w:lang w:val="en-US"/>
        </w:rPr>
      </w:pPr>
      <w:r w:rsidRPr="007E23D4">
        <w:rPr>
          <w:rFonts w:ascii="Times New Roman" w:hAnsi="Times New Roman" w:cs="Times New Roman"/>
          <w:sz w:val="24"/>
          <w:szCs w:val="24"/>
          <w:lang w:val="en-US"/>
        </w:rPr>
        <w:t>“</w:t>
      </w:r>
      <w:r w:rsidRPr="007E23D4">
        <w:rPr>
          <w:rFonts w:ascii="Times New Roman" w:hAnsi="Times New Roman" w:cs="Times New Roman"/>
          <w:b/>
          <w:bCs/>
          <w:sz w:val="24"/>
          <w:szCs w:val="24"/>
          <w:lang w:val="en-US"/>
        </w:rPr>
        <w:t>C. ELIGIBILITY IN RESPECT OF RISK TO EMPLOYER:</w:t>
      </w:r>
    </w:p>
    <w:p w14:paraId="264B1CF8" w14:textId="77777777" w:rsidR="00330FAE" w:rsidRPr="007E23D4" w:rsidRDefault="00330FAE" w:rsidP="00072886">
      <w:pPr>
        <w:spacing w:before="0" w:beforeAutospacing="0" w:line="276" w:lineRule="auto"/>
        <w:ind w:firstLine="720"/>
        <w:contextualSpacing/>
        <w:jc w:val="both"/>
        <w:rPr>
          <w:rFonts w:ascii="Times New Roman" w:hAnsi="Times New Roman" w:cs="Times New Roman"/>
          <w:b/>
          <w:bCs/>
          <w:sz w:val="24"/>
          <w:szCs w:val="24"/>
          <w:lang w:val="en-US"/>
        </w:rPr>
      </w:pPr>
      <w:r w:rsidRPr="007E23D4">
        <w:rPr>
          <w:rFonts w:ascii="Times New Roman" w:hAnsi="Times New Roman" w:cs="Times New Roman"/>
          <w:b/>
          <w:bCs/>
          <w:sz w:val="24"/>
          <w:szCs w:val="24"/>
          <w:lang w:val="en-US"/>
        </w:rPr>
        <w:t>Provisions applicable to Evaluation Method 1 and 2:</w:t>
      </w:r>
    </w:p>
    <w:p w14:paraId="3DE7A1CD" w14:textId="77777777" w:rsidR="00330FAE" w:rsidRDefault="00330FAE" w:rsidP="00072886">
      <w:pPr>
        <w:spacing w:before="0" w:beforeAutospacing="0" w:line="276" w:lineRule="auto"/>
        <w:ind w:left="720"/>
        <w:contextualSpacing/>
        <w:jc w:val="both"/>
        <w:rPr>
          <w:rFonts w:ascii="Times New Roman" w:hAnsi="Times New Roman" w:cs="Times New Roman"/>
          <w:sz w:val="24"/>
          <w:szCs w:val="24"/>
          <w:lang w:val="en-US"/>
        </w:rPr>
      </w:pPr>
    </w:p>
    <w:p w14:paraId="2AA32140" w14:textId="11480FE6" w:rsidR="00330FAE" w:rsidRPr="007E23D4" w:rsidRDefault="00330FAE" w:rsidP="00072886">
      <w:pPr>
        <w:spacing w:before="0" w:beforeAutospacing="0" w:line="276" w:lineRule="auto"/>
        <w:ind w:left="720"/>
        <w:contextualSpacing/>
        <w:jc w:val="both"/>
        <w:rPr>
          <w:rFonts w:ascii="Times New Roman" w:hAnsi="Times New Roman" w:cs="Times New Roman"/>
          <w:sz w:val="24"/>
          <w:szCs w:val="24"/>
          <w:lang w:val="en-US"/>
        </w:rPr>
      </w:pPr>
      <w:r w:rsidRPr="007E23D4">
        <w:rPr>
          <w:rFonts w:ascii="Times New Roman" w:hAnsi="Times New Roman" w:cs="Times New Roman"/>
          <w:sz w:val="24"/>
          <w:szCs w:val="24"/>
          <w:lang w:val="en-US"/>
        </w:rPr>
        <w:t xml:space="preserve">Tender offers will be evaluated by an Evaluation Committee based on the technical and commercial risk criteria listed hereunder. Each criterion carries the same weight/importance and will be evaluated individually based on reports presented to the </w:t>
      </w:r>
      <w:r w:rsidRPr="007E23D4">
        <w:rPr>
          <w:rFonts w:ascii="Times New Roman" w:hAnsi="Times New Roman" w:cs="Times New Roman"/>
          <w:sz w:val="24"/>
          <w:szCs w:val="24"/>
          <w:lang w:val="en-US"/>
        </w:rPr>
        <w:lastRenderedPageBreak/>
        <w:t>Evaluation Committee by the Professional Team appointed on the project. A tender will be declared non-responsive and removed from any further evaluation if any one criterion is found to present an unacceptable risk to the Employer</w:t>
      </w:r>
      <w:r w:rsidR="00461023">
        <w:rPr>
          <w:rFonts w:ascii="Times New Roman" w:hAnsi="Times New Roman" w:cs="Times New Roman"/>
          <w:sz w:val="24"/>
          <w:szCs w:val="24"/>
          <w:lang w:val="en-US"/>
        </w:rPr>
        <w:t>.</w:t>
      </w:r>
    </w:p>
    <w:p w14:paraId="34B71099" w14:textId="77777777" w:rsidR="00330FAE" w:rsidRDefault="00330FAE" w:rsidP="00072886">
      <w:pPr>
        <w:spacing w:before="0" w:beforeAutospacing="0" w:line="276" w:lineRule="auto"/>
        <w:ind w:left="720"/>
        <w:contextualSpacing/>
        <w:jc w:val="both"/>
        <w:rPr>
          <w:rFonts w:ascii="Times New Roman" w:hAnsi="Times New Roman" w:cs="Times New Roman"/>
          <w:sz w:val="24"/>
          <w:szCs w:val="24"/>
          <w:lang w:val="en-US"/>
        </w:rPr>
      </w:pPr>
    </w:p>
    <w:p w14:paraId="4F3F4ED8" w14:textId="239E7700" w:rsidR="00330FAE" w:rsidRPr="007E23D4" w:rsidRDefault="00330FAE" w:rsidP="00072886">
      <w:pPr>
        <w:spacing w:before="0" w:beforeAutospacing="0" w:line="276" w:lineRule="auto"/>
        <w:ind w:left="720"/>
        <w:contextualSpacing/>
        <w:jc w:val="both"/>
        <w:rPr>
          <w:rFonts w:ascii="Times New Roman" w:hAnsi="Times New Roman" w:cs="Times New Roman"/>
          <w:sz w:val="24"/>
          <w:szCs w:val="24"/>
          <w:lang w:val="en-US"/>
        </w:rPr>
      </w:pPr>
      <w:r w:rsidRPr="007E23D4">
        <w:rPr>
          <w:rFonts w:ascii="Times New Roman" w:hAnsi="Times New Roman" w:cs="Times New Roman"/>
          <w:sz w:val="24"/>
          <w:szCs w:val="24"/>
          <w:lang w:val="en-US"/>
        </w:rPr>
        <w:t xml:space="preserve">In order for the evaluation reports to be prepared by the Professional Team, the Tenderer is obliged to provide comprehensive information on form DPW- 09 (EC). Failure to complete the said form will cause the tender to be declared non- responsive and removed from any further consideration. The employer reserves the right to request additional information over and above that which is provided by the Tenderer on said form. The information must be provided by the Tenderer within the stipulated time as determined by the Project Manager, failing which the tender offer will </w:t>
      </w:r>
      <w:r w:rsidRPr="005B4CCB">
        <w:rPr>
          <w:rFonts w:ascii="Times New Roman" w:hAnsi="Times New Roman" w:cs="Times New Roman"/>
          <w:i/>
          <w:iCs/>
          <w:sz w:val="24"/>
          <w:szCs w:val="24"/>
          <w:lang w:val="en-US"/>
        </w:rPr>
        <w:t>mutatis mutandis</w:t>
      </w:r>
      <w:r w:rsidRPr="007E23D4">
        <w:rPr>
          <w:rFonts w:ascii="Times New Roman" w:hAnsi="Times New Roman" w:cs="Times New Roman"/>
          <w:sz w:val="24"/>
          <w:szCs w:val="24"/>
          <w:lang w:val="en-US"/>
        </w:rPr>
        <w:t xml:space="preserve"> be declared non-responsive.</w:t>
      </w:r>
    </w:p>
    <w:p w14:paraId="4AC08FF5" w14:textId="77777777" w:rsidR="00330FAE" w:rsidRPr="007E23D4" w:rsidRDefault="00330FAE" w:rsidP="00072886">
      <w:pPr>
        <w:spacing w:before="0" w:beforeAutospacing="0" w:line="276" w:lineRule="auto"/>
        <w:contextualSpacing/>
        <w:jc w:val="both"/>
        <w:rPr>
          <w:rFonts w:ascii="Times New Roman" w:hAnsi="Times New Roman" w:cs="Times New Roman"/>
          <w:sz w:val="24"/>
          <w:szCs w:val="24"/>
          <w:lang w:val="en-US"/>
        </w:rPr>
      </w:pPr>
    </w:p>
    <w:p w14:paraId="585F7B86" w14:textId="77777777" w:rsidR="00330FAE" w:rsidRPr="007E23D4" w:rsidRDefault="00330FAE" w:rsidP="00072886">
      <w:pPr>
        <w:spacing w:before="0" w:beforeAutospacing="0" w:line="276" w:lineRule="auto"/>
        <w:ind w:firstLine="720"/>
        <w:contextualSpacing/>
        <w:jc w:val="both"/>
        <w:rPr>
          <w:rFonts w:ascii="Times New Roman" w:hAnsi="Times New Roman" w:cs="Times New Roman"/>
          <w:b/>
          <w:bCs/>
          <w:sz w:val="24"/>
          <w:szCs w:val="24"/>
          <w:lang w:val="en-US"/>
        </w:rPr>
      </w:pPr>
      <w:r w:rsidRPr="007E23D4">
        <w:rPr>
          <w:rFonts w:ascii="Times New Roman" w:hAnsi="Times New Roman" w:cs="Times New Roman"/>
          <w:b/>
          <w:bCs/>
          <w:sz w:val="24"/>
          <w:szCs w:val="24"/>
          <w:lang w:val="en-US"/>
        </w:rPr>
        <w:t>C.1 Technical Risks:</w:t>
      </w:r>
    </w:p>
    <w:p w14:paraId="6212B57E" w14:textId="77777777" w:rsidR="00330FAE" w:rsidRPr="007E23D4" w:rsidRDefault="00330FAE" w:rsidP="00072886">
      <w:pPr>
        <w:spacing w:before="0" w:beforeAutospacing="0" w:line="276" w:lineRule="auto"/>
        <w:ind w:firstLine="720"/>
        <w:contextualSpacing/>
        <w:jc w:val="both"/>
        <w:rPr>
          <w:rFonts w:ascii="Times New Roman" w:hAnsi="Times New Roman" w:cs="Times New Roman"/>
          <w:b/>
          <w:bCs/>
          <w:sz w:val="24"/>
          <w:szCs w:val="24"/>
          <w:lang w:val="en-US"/>
        </w:rPr>
      </w:pPr>
      <w:r w:rsidRPr="007E23D4">
        <w:rPr>
          <w:rFonts w:ascii="Times New Roman" w:hAnsi="Times New Roman" w:cs="Times New Roman"/>
          <w:b/>
          <w:bCs/>
          <w:sz w:val="24"/>
          <w:szCs w:val="24"/>
          <w:lang w:val="en-US"/>
        </w:rPr>
        <w:t>C.1.1 Criterion 1: Quality of current and previous work</w:t>
      </w:r>
    </w:p>
    <w:p w14:paraId="2A3FA52C" w14:textId="77777777" w:rsidR="00330FAE" w:rsidRDefault="00330FAE" w:rsidP="00072886">
      <w:pPr>
        <w:spacing w:before="0" w:beforeAutospacing="0" w:line="276" w:lineRule="auto"/>
        <w:ind w:left="720"/>
        <w:contextualSpacing/>
        <w:jc w:val="both"/>
        <w:rPr>
          <w:rFonts w:ascii="Times New Roman" w:hAnsi="Times New Roman" w:cs="Times New Roman"/>
          <w:sz w:val="24"/>
          <w:szCs w:val="24"/>
          <w:lang w:val="en-US"/>
        </w:rPr>
      </w:pPr>
    </w:p>
    <w:p w14:paraId="02C99F9C" w14:textId="7A36FAC7" w:rsidR="00330FAE" w:rsidRPr="007E23D4" w:rsidRDefault="00330FAE" w:rsidP="00072886">
      <w:pPr>
        <w:spacing w:before="0" w:beforeAutospacing="0" w:line="276" w:lineRule="auto"/>
        <w:ind w:left="720"/>
        <w:contextualSpacing/>
        <w:jc w:val="both"/>
        <w:rPr>
          <w:rFonts w:ascii="Times New Roman" w:hAnsi="Times New Roman" w:cs="Times New Roman"/>
          <w:sz w:val="24"/>
          <w:szCs w:val="24"/>
          <w:lang w:val="en-US"/>
        </w:rPr>
      </w:pPr>
      <w:r w:rsidRPr="007E23D4">
        <w:rPr>
          <w:rFonts w:ascii="Times New Roman" w:hAnsi="Times New Roman" w:cs="Times New Roman"/>
          <w:sz w:val="24"/>
          <w:szCs w:val="24"/>
          <w:lang w:val="en-US"/>
        </w:rPr>
        <w:t>Quality of current and previous work performed by the Tenderer in the class of construction work stated above as per the evaluation report prepared by the Professional Team, based on its research and inspection of a representative sample of the Tender’s current and previous work as reflected on form DPW 09 (EC), as well as, if necessary, of any additional work executed by the Tenderer, not reflected on form DPW- 09 (EC).</w:t>
      </w:r>
    </w:p>
    <w:p w14:paraId="0BFCC851" w14:textId="77777777" w:rsidR="00330FAE" w:rsidRPr="007E23D4" w:rsidRDefault="00330FAE" w:rsidP="00072886">
      <w:pPr>
        <w:spacing w:before="0" w:beforeAutospacing="0" w:line="276" w:lineRule="auto"/>
        <w:contextualSpacing/>
        <w:jc w:val="both"/>
        <w:rPr>
          <w:rFonts w:ascii="Times New Roman" w:hAnsi="Times New Roman" w:cs="Times New Roman"/>
          <w:sz w:val="24"/>
          <w:szCs w:val="24"/>
          <w:lang w:val="en-US"/>
        </w:rPr>
      </w:pPr>
    </w:p>
    <w:p w14:paraId="7B9D7815" w14:textId="77777777" w:rsidR="00330FAE" w:rsidRPr="007E23D4" w:rsidRDefault="00330FAE" w:rsidP="00072886">
      <w:pPr>
        <w:spacing w:before="0" w:beforeAutospacing="0" w:line="276" w:lineRule="auto"/>
        <w:ind w:firstLine="720"/>
        <w:contextualSpacing/>
        <w:jc w:val="both"/>
        <w:rPr>
          <w:rFonts w:ascii="Times New Roman" w:hAnsi="Times New Roman" w:cs="Times New Roman"/>
          <w:b/>
          <w:bCs/>
          <w:sz w:val="24"/>
          <w:szCs w:val="24"/>
          <w:lang w:val="en-US"/>
        </w:rPr>
      </w:pPr>
      <w:r w:rsidRPr="007E23D4">
        <w:rPr>
          <w:rFonts w:ascii="Times New Roman" w:hAnsi="Times New Roman" w:cs="Times New Roman"/>
          <w:b/>
          <w:bCs/>
          <w:sz w:val="24"/>
          <w:szCs w:val="24"/>
          <w:lang w:val="en-US"/>
        </w:rPr>
        <w:t>C.1.2 Criterion 2: Contractual commitment</w:t>
      </w:r>
    </w:p>
    <w:p w14:paraId="1479309C" w14:textId="77777777" w:rsidR="00330FAE" w:rsidRDefault="00330FAE" w:rsidP="00072886">
      <w:pPr>
        <w:spacing w:before="0" w:beforeAutospacing="0" w:line="276" w:lineRule="auto"/>
        <w:ind w:left="720"/>
        <w:contextualSpacing/>
        <w:jc w:val="both"/>
        <w:rPr>
          <w:rFonts w:ascii="Times New Roman" w:hAnsi="Times New Roman" w:cs="Times New Roman"/>
          <w:sz w:val="24"/>
          <w:szCs w:val="24"/>
          <w:lang w:val="en-US"/>
        </w:rPr>
      </w:pPr>
    </w:p>
    <w:p w14:paraId="6314B85A" w14:textId="66B04CA5" w:rsidR="00330FAE" w:rsidRPr="007E23D4" w:rsidRDefault="00330FAE" w:rsidP="00072886">
      <w:pPr>
        <w:spacing w:before="0" w:beforeAutospacing="0" w:line="276" w:lineRule="auto"/>
        <w:ind w:left="720"/>
        <w:contextualSpacing/>
        <w:jc w:val="both"/>
        <w:rPr>
          <w:rFonts w:ascii="Times New Roman" w:hAnsi="Times New Roman" w:cs="Times New Roman"/>
          <w:sz w:val="24"/>
          <w:szCs w:val="24"/>
          <w:lang w:val="en-US"/>
        </w:rPr>
      </w:pPr>
      <w:r w:rsidRPr="007E23D4">
        <w:rPr>
          <w:rFonts w:ascii="Times New Roman" w:hAnsi="Times New Roman" w:cs="Times New Roman"/>
          <w:sz w:val="24"/>
          <w:szCs w:val="24"/>
          <w:lang w:val="en-US"/>
        </w:rPr>
        <w:t>Adherence to contractual commitments, demonstrated by the Tenderer in the performance on current and previous work, evaluated in terms of:</w:t>
      </w:r>
    </w:p>
    <w:p w14:paraId="2CF133A2" w14:textId="19B4C57F" w:rsidR="00330FAE" w:rsidRPr="000E2B31" w:rsidRDefault="000E2B31" w:rsidP="000E2B31">
      <w:pPr>
        <w:spacing w:before="0" w:beforeAutospacing="0" w:line="276" w:lineRule="auto"/>
        <w:ind w:left="1080" w:hanging="360"/>
        <w:jc w:val="both"/>
        <w:rPr>
          <w:rFonts w:ascii="Times New Roman" w:hAnsi="Times New Roman" w:cs="Times New Roman"/>
          <w:sz w:val="24"/>
          <w:szCs w:val="24"/>
          <w:lang w:val="en-US"/>
        </w:rPr>
      </w:pPr>
      <w:r w:rsidRPr="007E23D4">
        <w:rPr>
          <w:rFonts w:ascii="Times New Roman" w:hAnsi="Times New Roman" w:cs="Times New Roman"/>
          <w:sz w:val="24"/>
          <w:szCs w:val="24"/>
          <w:lang w:val="en-US"/>
        </w:rPr>
        <w:t>a)</w:t>
      </w:r>
      <w:r w:rsidRPr="007E23D4">
        <w:rPr>
          <w:rFonts w:ascii="Times New Roman" w:hAnsi="Times New Roman" w:cs="Times New Roman"/>
          <w:sz w:val="24"/>
          <w:szCs w:val="24"/>
          <w:lang w:val="en-US"/>
        </w:rPr>
        <w:tab/>
      </w:r>
      <w:r w:rsidR="00330FAE" w:rsidRPr="000E2B31">
        <w:rPr>
          <w:rFonts w:ascii="Times New Roman" w:hAnsi="Times New Roman" w:cs="Times New Roman"/>
          <w:sz w:val="24"/>
          <w:szCs w:val="24"/>
          <w:lang w:val="en-US"/>
        </w:rPr>
        <w:t>the level of progress on current projects in relation to the project programme or, if such is not available/applicable, to the contractual construction period in general;</w:t>
      </w:r>
    </w:p>
    <w:p w14:paraId="3C5686A6" w14:textId="516DD02C" w:rsidR="00330FAE" w:rsidRPr="000E2B31" w:rsidRDefault="000E2B31" w:rsidP="000E2B31">
      <w:pPr>
        <w:spacing w:before="0" w:beforeAutospacing="0" w:line="276" w:lineRule="auto"/>
        <w:ind w:left="1080" w:hanging="360"/>
        <w:jc w:val="both"/>
        <w:rPr>
          <w:rFonts w:ascii="Times New Roman" w:hAnsi="Times New Roman" w:cs="Times New Roman"/>
          <w:sz w:val="24"/>
          <w:szCs w:val="24"/>
          <w:lang w:val="en-US"/>
        </w:rPr>
      </w:pPr>
      <w:r w:rsidRPr="007E23D4">
        <w:rPr>
          <w:rFonts w:ascii="Times New Roman" w:hAnsi="Times New Roman" w:cs="Times New Roman"/>
          <w:sz w:val="24"/>
          <w:szCs w:val="24"/>
          <w:lang w:val="en-US"/>
        </w:rPr>
        <w:t>b)</w:t>
      </w:r>
      <w:r w:rsidRPr="007E23D4">
        <w:rPr>
          <w:rFonts w:ascii="Times New Roman" w:hAnsi="Times New Roman" w:cs="Times New Roman"/>
          <w:sz w:val="24"/>
          <w:szCs w:val="24"/>
          <w:lang w:val="en-US"/>
        </w:rPr>
        <w:tab/>
      </w:r>
      <w:r w:rsidR="00330FAE" w:rsidRPr="000E2B31">
        <w:rPr>
          <w:rFonts w:ascii="Times New Roman" w:hAnsi="Times New Roman" w:cs="Times New Roman"/>
          <w:sz w:val="24"/>
          <w:szCs w:val="24"/>
          <w:lang w:val="en-US"/>
        </w:rPr>
        <w:t>the degree to which previous projects have been completed within the contractual completion periods and/or extensions thereto;</w:t>
      </w:r>
    </w:p>
    <w:p w14:paraId="5E785C01" w14:textId="62BA3771" w:rsidR="00330FAE" w:rsidRPr="000E2B31" w:rsidRDefault="000E2B31" w:rsidP="000E2B31">
      <w:pPr>
        <w:spacing w:before="0" w:beforeAutospacing="0" w:line="276" w:lineRule="auto"/>
        <w:ind w:left="1080" w:hanging="360"/>
        <w:jc w:val="both"/>
        <w:rPr>
          <w:rFonts w:ascii="Times New Roman" w:hAnsi="Times New Roman" w:cs="Times New Roman"/>
          <w:sz w:val="24"/>
          <w:szCs w:val="24"/>
          <w:lang w:val="en-US"/>
        </w:rPr>
      </w:pPr>
      <w:r w:rsidRPr="007E23D4">
        <w:rPr>
          <w:rFonts w:ascii="Times New Roman" w:hAnsi="Times New Roman" w:cs="Times New Roman"/>
          <w:sz w:val="24"/>
          <w:szCs w:val="24"/>
          <w:lang w:val="en-US"/>
        </w:rPr>
        <w:t>c)</w:t>
      </w:r>
      <w:r w:rsidRPr="007E23D4">
        <w:rPr>
          <w:rFonts w:ascii="Times New Roman" w:hAnsi="Times New Roman" w:cs="Times New Roman"/>
          <w:sz w:val="24"/>
          <w:szCs w:val="24"/>
          <w:lang w:val="en-US"/>
        </w:rPr>
        <w:tab/>
      </w:r>
      <w:r w:rsidR="00330FAE" w:rsidRPr="000E2B31">
        <w:rPr>
          <w:rFonts w:ascii="Times New Roman" w:hAnsi="Times New Roman" w:cs="Times New Roman"/>
          <w:sz w:val="24"/>
          <w:szCs w:val="24"/>
          <w:lang w:val="en-US"/>
        </w:rPr>
        <w:t xml:space="preserve">general contract administration, </w:t>
      </w:r>
      <w:r w:rsidR="008E7BA8" w:rsidRPr="000E2B31">
        <w:rPr>
          <w:rFonts w:ascii="Times New Roman" w:hAnsi="Times New Roman" w:cs="Times New Roman"/>
          <w:sz w:val="24"/>
          <w:szCs w:val="24"/>
          <w:lang w:val="en-US"/>
        </w:rPr>
        <w:t>i.e.,</w:t>
      </w:r>
      <w:r w:rsidR="00330FAE" w:rsidRPr="000E2B31">
        <w:rPr>
          <w:rFonts w:ascii="Times New Roman" w:hAnsi="Times New Roman" w:cs="Times New Roman"/>
          <w:sz w:val="24"/>
          <w:szCs w:val="24"/>
          <w:lang w:val="en-US"/>
        </w:rPr>
        <w:t xml:space="preserve"> compliance with contractual aspects such as laws and regulations, insurances, security, written contract instructions, subcontractors, time delay claims, etc</w:t>
      </w:r>
      <w:r w:rsidR="00A6636C" w:rsidRPr="000E2B31">
        <w:rPr>
          <w:rFonts w:ascii="Times New Roman" w:hAnsi="Times New Roman" w:cs="Times New Roman"/>
          <w:sz w:val="24"/>
          <w:szCs w:val="24"/>
          <w:lang w:val="en-US"/>
        </w:rPr>
        <w:t>.</w:t>
      </w:r>
      <w:r w:rsidR="00330FAE" w:rsidRPr="000E2B31">
        <w:rPr>
          <w:rFonts w:ascii="Times New Roman" w:hAnsi="Times New Roman" w:cs="Times New Roman"/>
          <w:sz w:val="24"/>
          <w:szCs w:val="24"/>
          <w:lang w:val="en-US"/>
        </w:rPr>
        <w:t xml:space="preserve"> as can generally be expected in standard/normal conditions of contract.</w:t>
      </w:r>
    </w:p>
    <w:p w14:paraId="4A6E7A10" w14:textId="77777777" w:rsidR="00330FAE" w:rsidRPr="007E23D4" w:rsidRDefault="00330FAE" w:rsidP="00072886">
      <w:pPr>
        <w:pStyle w:val="ListParagraph"/>
        <w:spacing w:before="0" w:beforeAutospacing="0" w:line="276" w:lineRule="auto"/>
        <w:jc w:val="both"/>
        <w:rPr>
          <w:rFonts w:ascii="Times New Roman" w:hAnsi="Times New Roman" w:cs="Times New Roman"/>
          <w:sz w:val="24"/>
          <w:szCs w:val="24"/>
          <w:lang w:val="en-US"/>
        </w:rPr>
      </w:pPr>
    </w:p>
    <w:p w14:paraId="0B4DA0A4" w14:textId="77777777" w:rsidR="00330FAE" w:rsidRPr="007E23D4" w:rsidRDefault="00330FAE" w:rsidP="00072886">
      <w:pPr>
        <w:spacing w:before="0" w:beforeAutospacing="0" w:line="276" w:lineRule="auto"/>
        <w:ind w:firstLine="720"/>
        <w:contextualSpacing/>
        <w:jc w:val="both"/>
        <w:rPr>
          <w:rFonts w:ascii="Times New Roman" w:hAnsi="Times New Roman" w:cs="Times New Roman"/>
          <w:b/>
          <w:bCs/>
          <w:sz w:val="24"/>
          <w:szCs w:val="24"/>
          <w:lang w:val="en-US"/>
        </w:rPr>
      </w:pPr>
      <w:r w:rsidRPr="007E23D4">
        <w:rPr>
          <w:rFonts w:ascii="Times New Roman" w:hAnsi="Times New Roman" w:cs="Times New Roman"/>
          <w:b/>
          <w:bCs/>
          <w:sz w:val="24"/>
          <w:szCs w:val="24"/>
          <w:lang w:val="en-US"/>
        </w:rPr>
        <w:t>C.2 Commercial risks:</w:t>
      </w:r>
    </w:p>
    <w:p w14:paraId="3C186B7A" w14:textId="77777777" w:rsidR="00330FAE" w:rsidRPr="007E23D4" w:rsidRDefault="00330FAE" w:rsidP="00072886">
      <w:pPr>
        <w:spacing w:before="0" w:beforeAutospacing="0" w:line="276" w:lineRule="auto"/>
        <w:ind w:left="720"/>
        <w:contextualSpacing/>
        <w:jc w:val="both"/>
        <w:rPr>
          <w:rFonts w:ascii="Times New Roman" w:hAnsi="Times New Roman" w:cs="Times New Roman"/>
          <w:sz w:val="24"/>
          <w:szCs w:val="24"/>
          <w:lang w:val="en-US"/>
        </w:rPr>
      </w:pPr>
      <w:r w:rsidRPr="007E23D4">
        <w:rPr>
          <w:rFonts w:ascii="Times New Roman" w:hAnsi="Times New Roman" w:cs="Times New Roman"/>
          <w:sz w:val="24"/>
          <w:szCs w:val="24"/>
          <w:lang w:val="en-US"/>
        </w:rPr>
        <w:t>The level to which agreement with the Tenderer is reached in respect of the adjustment of rates which are considered to be imbalanced or unreasonable and to eliminate errors or discrepancies without changing the tendered total price, over and above the correction of arithmetical errors as provided for in F.3.9</w:t>
      </w:r>
      <w:r>
        <w:rPr>
          <w:rFonts w:ascii="Times New Roman" w:hAnsi="Times New Roman" w:cs="Times New Roman"/>
          <w:sz w:val="24"/>
          <w:szCs w:val="24"/>
          <w:lang w:val="en-US"/>
        </w:rPr>
        <w:t>.</w:t>
      </w:r>
      <w:r w:rsidRPr="007E23D4">
        <w:rPr>
          <w:rFonts w:ascii="Times New Roman" w:hAnsi="Times New Roman" w:cs="Times New Roman"/>
          <w:sz w:val="24"/>
          <w:szCs w:val="24"/>
          <w:lang w:val="en-US"/>
        </w:rPr>
        <w:t>”</w:t>
      </w:r>
    </w:p>
    <w:p w14:paraId="2C8045B4" w14:textId="77777777" w:rsidR="00330FAE" w:rsidRPr="00330FAE" w:rsidRDefault="00330FAE" w:rsidP="00330FAE">
      <w:pPr>
        <w:pStyle w:val="ListParagraph"/>
        <w:tabs>
          <w:tab w:val="left" w:pos="709"/>
        </w:tabs>
        <w:spacing w:before="0" w:beforeAutospacing="0"/>
        <w:ind w:left="0"/>
        <w:jc w:val="both"/>
        <w:rPr>
          <w:rFonts w:ascii="Times New Roman" w:hAnsi="Times New Roman" w:cs="Times New Roman"/>
          <w:sz w:val="28"/>
          <w:szCs w:val="28"/>
          <w:u w:val="single"/>
          <w:lang w:val="en-US"/>
        </w:rPr>
      </w:pPr>
    </w:p>
    <w:p w14:paraId="1E5CBDB1" w14:textId="5B0E7238" w:rsidR="00C962EE" w:rsidRPr="000E2B31" w:rsidRDefault="000E2B31" w:rsidP="000E2B31">
      <w:pPr>
        <w:tabs>
          <w:tab w:val="left" w:pos="709"/>
        </w:tabs>
        <w:spacing w:before="0" w:beforeAutospacing="0"/>
        <w:jc w:val="both"/>
        <w:rPr>
          <w:rFonts w:ascii="Times New Roman" w:hAnsi="Times New Roman" w:cs="Times New Roman"/>
          <w:sz w:val="28"/>
          <w:szCs w:val="28"/>
          <w:u w:val="single"/>
          <w:lang w:val="en-US"/>
        </w:rPr>
      </w:pPr>
      <w:r w:rsidRPr="00C962EE">
        <w:rPr>
          <w:rFonts w:ascii="Times New Roman" w:hAnsi="Times New Roman" w:cs="Times New Roman"/>
          <w:sz w:val="28"/>
          <w:szCs w:val="28"/>
          <w:lang w:val="en-US"/>
        </w:rPr>
        <w:t>[22]</w:t>
      </w:r>
      <w:r w:rsidRPr="00C962EE">
        <w:rPr>
          <w:rFonts w:ascii="Times New Roman" w:hAnsi="Times New Roman" w:cs="Times New Roman"/>
          <w:sz w:val="28"/>
          <w:szCs w:val="28"/>
          <w:lang w:val="en-US"/>
        </w:rPr>
        <w:tab/>
      </w:r>
      <w:r w:rsidR="00394187" w:rsidRPr="000E2B31">
        <w:rPr>
          <w:rFonts w:ascii="Times New Roman" w:hAnsi="Times New Roman" w:cs="Times New Roman"/>
          <w:sz w:val="28"/>
          <w:szCs w:val="28"/>
          <w:lang w:val="en-US"/>
        </w:rPr>
        <w:t>D</w:t>
      </w:r>
      <w:r w:rsidR="00200A63" w:rsidRPr="000E2B31">
        <w:rPr>
          <w:rFonts w:ascii="Times New Roman" w:hAnsi="Times New Roman" w:cs="Times New Roman"/>
          <w:sz w:val="28"/>
          <w:szCs w:val="28"/>
          <w:lang w:val="en-US"/>
        </w:rPr>
        <w:t xml:space="preserve">espite the </w:t>
      </w:r>
      <w:r w:rsidR="00461023" w:rsidRPr="000E2B31">
        <w:rPr>
          <w:rFonts w:ascii="Times New Roman" w:hAnsi="Times New Roman" w:cs="Times New Roman"/>
          <w:sz w:val="28"/>
          <w:szCs w:val="28"/>
          <w:lang w:val="en-US"/>
        </w:rPr>
        <w:t xml:space="preserve">method and criteria for eligibility in respect of risk provided for </w:t>
      </w:r>
      <w:r w:rsidR="00AE4863" w:rsidRPr="000E2B31">
        <w:rPr>
          <w:rFonts w:ascii="Times New Roman" w:hAnsi="Times New Roman" w:cs="Times New Roman"/>
          <w:sz w:val="28"/>
          <w:szCs w:val="28"/>
          <w:lang w:val="en-US"/>
        </w:rPr>
        <w:t xml:space="preserve">separately </w:t>
      </w:r>
      <w:r w:rsidR="00190609" w:rsidRPr="000E2B31">
        <w:rPr>
          <w:rFonts w:ascii="Times New Roman" w:hAnsi="Times New Roman" w:cs="Times New Roman"/>
          <w:sz w:val="28"/>
          <w:szCs w:val="28"/>
          <w:lang w:val="en-US"/>
        </w:rPr>
        <w:t xml:space="preserve">under Part </w:t>
      </w:r>
      <w:r w:rsidR="00461023" w:rsidRPr="000E2B31">
        <w:rPr>
          <w:rFonts w:ascii="Times New Roman" w:hAnsi="Times New Roman" w:cs="Times New Roman"/>
          <w:sz w:val="28"/>
          <w:szCs w:val="28"/>
          <w:lang w:val="en-US"/>
        </w:rPr>
        <w:t xml:space="preserve">C, </w:t>
      </w:r>
      <w:r w:rsidR="00AE4863" w:rsidRPr="000E2B31">
        <w:rPr>
          <w:rFonts w:ascii="Times New Roman" w:hAnsi="Times New Roman" w:cs="Times New Roman"/>
          <w:sz w:val="28"/>
          <w:szCs w:val="28"/>
          <w:lang w:val="en-US"/>
        </w:rPr>
        <w:t>on the face of it there appears to be an</w:t>
      </w:r>
      <w:r w:rsidR="00461023" w:rsidRPr="000E2B31">
        <w:rPr>
          <w:rFonts w:ascii="Times New Roman" w:hAnsi="Times New Roman" w:cs="Times New Roman"/>
          <w:sz w:val="28"/>
          <w:szCs w:val="28"/>
          <w:lang w:val="en-US"/>
        </w:rPr>
        <w:t xml:space="preserve"> overlap of </w:t>
      </w:r>
      <w:r w:rsidR="00AE4863" w:rsidRPr="000E2B31">
        <w:rPr>
          <w:rFonts w:ascii="Times New Roman" w:hAnsi="Times New Roman" w:cs="Times New Roman"/>
          <w:sz w:val="28"/>
          <w:szCs w:val="28"/>
          <w:lang w:val="en-US"/>
        </w:rPr>
        <w:t xml:space="preserve">the </w:t>
      </w:r>
      <w:r w:rsidR="00461023" w:rsidRPr="000E2B31">
        <w:rPr>
          <w:rFonts w:ascii="Times New Roman" w:hAnsi="Times New Roman" w:cs="Times New Roman"/>
          <w:sz w:val="28"/>
          <w:szCs w:val="28"/>
          <w:lang w:val="en-US"/>
        </w:rPr>
        <w:t>criteria relating</w:t>
      </w:r>
      <w:r w:rsidR="00D74CB0" w:rsidRPr="000E2B31">
        <w:rPr>
          <w:rFonts w:ascii="Times New Roman" w:hAnsi="Times New Roman" w:cs="Times New Roman"/>
          <w:sz w:val="28"/>
          <w:szCs w:val="28"/>
          <w:lang w:val="en-US"/>
        </w:rPr>
        <w:t xml:space="preserve"> to quali</w:t>
      </w:r>
      <w:r w:rsidR="0022015F" w:rsidRPr="000E2B31">
        <w:rPr>
          <w:rFonts w:ascii="Times New Roman" w:hAnsi="Times New Roman" w:cs="Times New Roman"/>
          <w:sz w:val="28"/>
          <w:szCs w:val="28"/>
          <w:lang w:val="en-US"/>
        </w:rPr>
        <w:t>ty</w:t>
      </w:r>
      <w:r w:rsidR="00461023" w:rsidRPr="000E2B31">
        <w:rPr>
          <w:rFonts w:ascii="Times New Roman" w:hAnsi="Times New Roman" w:cs="Times New Roman"/>
          <w:sz w:val="28"/>
          <w:szCs w:val="28"/>
          <w:lang w:val="en-US"/>
        </w:rPr>
        <w:t>,</w:t>
      </w:r>
      <w:r w:rsidR="00D74CB0" w:rsidRPr="000E2B31">
        <w:rPr>
          <w:rFonts w:ascii="Times New Roman" w:hAnsi="Times New Roman" w:cs="Times New Roman"/>
          <w:sz w:val="28"/>
          <w:szCs w:val="28"/>
          <w:lang w:val="en-US"/>
        </w:rPr>
        <w:t xml:space="preserve"> contractual commitment</w:t>
      </w:r>
      <w:r w:rsidR="00461023" w:rsidRPr="000E2B31">
        <w:rPr>
          <w:rFonts w:ascii="Times New Roman" w:hAnsi="Times New Roman" w:cs="Times New Roman"/>
          <w:sz w:val="28"/>
          <w:szCs w:val="28"/>
          <w:lang w:val="en-US"/>
        </w:rPr>
        <w:t>,</w:t>
      </w:r>
      <w:r w:rsidR="006B1229" w:rsidRPr="000E2B31">
        <w:rPr>
          <w:rFonts w:ascii="Times New Roman" w:hAnsi="Times New Roman" w:cs="Times New Roman"/>
          <w:sz w:val="28"/>
          <w:szCs w:val="28"/>
          <w:lang w:val="en-US"/>
        </w:rPr>
        <w:t xml:space="preserve"> </w:t>
      </w:r>
      <w:r w:rsidR="00461023" w:rsidRPr="000E2B31">
        <w:rPr>
          <w:rFonts w:ascii="Times New Roman" w:hAnsi="Times New Roman" w:cs="Times New Roman"/>
          <w:sz w:val="28"/>
          <w:szCs w:val="28"/>
          <w:lang w:val="en-US"/>
        </w:rPr>
        <w:t xml:space="preserve">and financial capacity </w:t>
      </w:r>
      <w:r w:rsidR="00207D45" w:rsidRPr="000E2B31">
        <w:rPr>
          <w:rFonts w:ascii="Times New Roman" w:hAnsi="Times New Roman" w:cs="Times New Roman"/>
          <w:sz w:val="28"/>
          <w:szCs w:val="28"/>
          <w:lang w:val="en-US"/>
        </w:rPr>
        <w:t>listed under the table for the functionality criteria</w:t>
      </w:r>
      <w:r w:rsidR="007C59CD" w:rsidRPr="000E2B31">
        <w:rPr>
          <w:rFonts w:ascii="Times New Roman" w:hAnsi="Times New Roman" w:cs="Times New Roman"/>
          <w:sz w:val="28"/>
          <w:szCs w:val="28"/>
          <w:lang w:val="en-US"/>
        </w:rPr>
        <w:t xml:space="preserve"> corresponding to a particular weighting factor.  Thi</w:t>
      </w:r>
      <w:r w:rsidR="006D3501" w:rsidRPr="000E2B31">
        <w:rPr>
          <w:rFonts w:ascii="Times New Roman" w:hAnsi="Times New Roman" w:cs="Times New Roman"/>
          <w:sz w:val="28"/>
          <w:szCs w:val="28"/>
          <w:lang w:val="en-US"/>
        </w:rPr>
        <w:t>s imp</w:t>
      </w:r>
      <w:r w:rsidR="00D74CB0" w:rsidRPr="000E2B31">
        <w:rPr>
          <w:rFonts w:ascii="Times New Roman" w:hAnsi="Times New Roman" w:cs="Times New Roman"/>
          <w:sz w:val="28"/>
          <w:szCs w:val="28"/>
          <w:lang w:val="en-US"/>
        </w:rPr>
        <w:t>a</w:t>
      </w:r>
      <w:r w:rsidR="006D3501" w:rsidRPr="000E2B31">
        <w:rPr>
          <w:rFonts w:ascii="Times New Roman" w:hAnsi="Times New Roman" w:cs="Times New Roman"/>
          <w:sz w:val="28"/>
          <w:szCs w:val="28"/>
          <w:lang w:val="en-US"/>
        </w:rPr>
        <w:t xml:space="preserve">rts that these considerations </w:t>
      </w:r>
      <w:r w:rsidR="008A6E86" w:rsidRPr="000E2B31">
        <w:rPr>
          <w:rFonts w:ascii="Times New Roman" w:hAnsi="Times New Roman" w:cs="Times New Roman"/>
          <w:sz w:val="28"/>
          <w:szCs w:val="28"/>
          <w:lang w:val="en-US"/>
        </w:rPr>
        <w:t>were</w:t>
      </w:r>
      <w:r w:rsidR="00394187" w:rsidRPr="000E2B31">
        <w:rPr>
          <w:rFonts w:ascii="Times New Roman" w:hAnsi="Times New Roman" w:cs="Times New Roman"/>
          <w:sz w:val="28"/>
          <w:szCs w:val="28"/>
          <w:lang w:val="en-US"/>
        </w:rPr>
        <w:t xml:space="preserve"> required to</w:t>
      </w:r>
      <w:r w:rsidR="006D3501" w:rsidRPr="000E2B31">
        <w:rPr>
          <w:rFonts w:ascii="Times New Roman" w:hAnsi="Times New Roman" w:cs="Times New Roman"/>
          <w:sz w:val="28"/>
          <w:szCs w:val="28"/>
          <w:lang w:val="en-US"/>
        </w:rPr>
        <w:t xml:space="preserve"> be traversed in the </w:t>
      </w:r>
      <w:r w:rsidR="00746501" w:rsidRPr="000E2B31">
        <w:rPr>
          <w:rFonts w:ascii="Times New Roman" w:hAnsi="Times New Roman" w:cs="Times New Roman"/>
          <w:sz w:val="28"/>
          <w:szCs w:val="28"/>
          <w:lang w:val="en-US"/>
        </w:rPr>
        <w:t>responsive</w:t>
      </w:r>
      <w:r w:rsidR="00394187" w:rsidRPr="000E2B31">
        <w:rPr>
          <w:rFonts w:ascii="Times New Roman" w:hAnsi="Times New Roman" w:cs="Times New Roman"/>
          <w:sz w:val="28"/>
          <w:szCs w:val="28"/>
          <w:lang w:val="en-US"/>
        </w:rPr>
        <w:t xml:space="preserve"> or qualification</w:t>
      </w:r>
      <w:r w:rsidR="00746501" w:rsidRPr="000E2B31">
        <w:rPr>
          <w:rFonts w:ascii="Times New Roman" w:hAnsi="Times New Roman" w:cs="Times New Roman"/>
          <w:sz w:val="28"/>
          <w:szCs w:val="28"/>
          <w:lang w:val="en-US"/>
        </w:rPr>
        <w:t xml:space="preserve"> phase </w:t>
      </w:r>
      <w:r w:rsidR="00D74CB0" w:rsidRPr="000E2B31">
        <w:rPr>
          <w:rFonts w:ascii="Times New Roman" w:hAnsi="Times New Roman" w:cs="Times New Roman"/>
          <w:sz w:val="28"/>
          <w:szCs w:val="28"/>
          <w:lang w:val="en-US"/>
        </w:rPr>
        <w:t>as an incident of functionality</w:t>
      </w:r>
      <w:r w:rsidR="00AE4863" w:rsidRPr="000E2B31">
        <w:rPr>
          <w:rFonts w:ascii="Times New Roman" w:hAnsi="Times New Roman" w:cs="Times New Roman"/>
          <w:sz w:val="28"/>
          <w:szCs w:val="28"/>
          <w:lang w:val="en-US"/>
        </w:rPr>
        <w:t xml:space="preserve"> and may have been the reason the court </w:t>
      </w:r>
      <w:r w:rsidR="00AE4863" w:rsidRPr="000E2B31">
        <w:rPr>
          <w:rFonts w:ascii="Times New Roman" w:hAnsi="Times New Roman" w:cs="Times New Roman"/>
          <w:i/>
          <w:iCs/>
          <w:sz w:val="28"/>
          <w:szCs w:val="28"/>
          <w:lang w:val="en-US"/>
        </w:rPr>
        <w:t>a quo</w:t>
      </w:r>
      <w:r w:rsidR="00AE4863" w:rsidRPr="000E2B31">
        <w:rPr>
          <w:rFonts w:ascii="Times New Roman" w:hAnsi="Times New Roman" w:cs="Times New Roman"/>
          <w:sz w:val="28"/>
          <w:szCs w:val="28"/>
          <w:lang w:val="en-US"/>
        </w:rPr>
        <w:t xml:space="preserve"> determined that the risk assessment</w:t>
      </w:r>
      <w:r w:rsidR="00067EB4" w:rsidRPr="000E2B31">
        <w:rPr>
          <w:rFonts w:ascii="Times New Roman" w:hAnsi="Times New Roman" w:cs="Times New Roman"/>
          <w:sz w:val="28"/>
          <w:szCs w:val="28"/>
          <w:lang w:val="en-US"/>
        </w:rPr>
        <w:t xml:space="preserve"> that was applied in declaring the first respondent’s bid ineligible</w:t>
      </w:r>
      <w:r w:rsidR="00AE4863" w:rsidRPr="000E2B31">
        <w:rPr>
          <w:rFonts w:ascii="Times New Roman" w:hAnsi="Times New Roman" w:cs="Times New Roman"/>
          <w:sz w:val="28"/>
          <w:szCs w:val="28"/>
          <w:lang w:val="en-US"/>
        </w:rPr>
        <w:t xml:space="preserve"> was </w:t>
      </w:r>
      <w:r w:rsidR="00AE4863" w:rsidRPr="000E2B31">
        <w:rPr>
          <w:rFonts w:ascii="Times New Roman" w:hAnsi="Times New Roman" w:cs="Times New Roman"/>
          <w:i/>
          <w:iCs/>
          <w:sz w:val="28"/>
          <w:szCs w:val="28"/>
          <w:lang w:val="en-US"/>
        </w:rPr>
        <w:t xml:space="preserve">“part of the pre-qualifying criteria that </w:t>
      </w:r>
      <w:r w:rsidR="00AE4863" w:rsidRPr="000E2B31">
        <w:rPr>
          <w:rFonts w:ascii="Times New Roman" w:hAnsi="Times New Roman" w:cs="Times New Roman"/>
          <w:i/>
          <w:iCs/>
          <w:sz w:val="28"/>
          <w:szCs w:val="28"/>
          <w:lang w:val="en-GB"/>
        </w:rPr>
        <w:t>had to be used to evaluate the responsiveness of the submitted bids</w:t>
      </w:r>
      <w:r w:rsidR="00746501" w:rsidRPr="000E2B31">
        <w:rPr>
          <w:rFonts w:ascii="Times New Roman" w:hAnsi="Times New Roman" w:cs="Times New Roman"/>
          <w:i/>
          <w:iCs/>
          <w:sz w:val="28"/>
          <w:szCs w:val="28"/>
          <w:lang w:val="en-US"/>
        </w:rPr>
        <w:t>.</w:t>
      </w:r>
      <w:r w:rsidR="004A46B4" w:rsidRPr="000E2B31">
        <w:rPr>
          <w:rFonts w:ascii="Times New Roman" w:hAnsi="Times New Roman" w:cs="Times New Roman"/>
          <w:i/>
          <w:iCs/>
          <w:sz w:val="28"/>
          <w:szCs w:val="28"/>
          <w:lang w:val="en-US"/>
        </w:rPr>
        <w:t>”</w:t>
      </w:r>
      <w:r w:rsidR="00746501" w:rsidRPr="000E2B31">
        <w:rPr>
          <w:rFonts w:ascii="Times New Roman" w:hAnsi="Times New Roman" w:cs="Times New Roman"/>
          <w:sz w:val="28"/>
          <w:szCs w:val="28"/>
          <w:lang w:val="en-US"/>
        </w:rPr>
        <w:t xml:space="preserve">  </w:t>
      </w:r>
      <w:r w:rsidR="00424C38" w:rsidRPr="000E2B31">
        <w:rPr>
          <w:rFonts w:ascii="Times New Roman" w:hAnsi="Times New Roman" w:cs="Times New Roman"/>
          <w:sz w:val="28"/>
          <w:szCs w:val="28"/>
          <w:lang w:val="en-US"/>
        </w:rPr>
        <w:t>T</w:t>
      </w:r>
      <w:r w:rsidR="00394187" w:rsidRPr="000E2B31">
        <w:rPr>
          <w:rFonts w:ascii="Times New Roman" w:hAnsi="Times New Roman" w:cs="Times New Roman"/>
          <w:sz w:val="28"/>
          <w:szCs w:val="28"/>
          <w:lang w:val="en-US"/>
        </w:rPr>
        <w:t>he tender Data</w:t>
      </w:r>
      <w:r w:rsidR="00746501" w:rsidRPr="000E2B31">
        <w:rPr>
          <w:rFonts w:ascii="Times New Roman" w:hAnsi="Times New Roman" w:cs="Times New Roman"/>
          <w:sz w:val="28"/>
          <w:szCs w:val="28"/>
          <w:lang w:val="en-US"/>
        </w:rPr>
        <w:t xml:space="preserve"> </w:t>
      </w:r>
      <w:r w:rsidR="00424C38" w:rsidRPr="000E2B31">
        <w:rPr>
          <w:rFonts w:ascii="Times New Roman" w:hAnsi="Times New Roman" w:cs="Times New Roman"/>
          <w:sz w:val="28"/>
          <w:szCs w:val="28"/>
          <w:lang w:val="en-US"/>
        </w:rPr>
        <w:t>however warn</w:t>
      </w:r>
      <w:r w:rsidR="008A6E86" w:rsidRPr="000E2B31">
        <w:rPr>
          <w:rFonts w:ascii="Times New Roman" w:hAnsi="Times New Roman" w:cs="Times New Roman"/>
          <w:sz w:val="28"/>
          <w:szCs w:val="28"/>
          <w:lang w:val="en-US"/>
        </w:rPr>
        <w:t>ed</w:t>
      </w:r>
      <w:r w:rsidR="00424C38" w:rsidRPr="000E2B31">
        <w:rPr>
          <w:rFonts w:ascii="Times New Roman" w:hAnsi="Times New Roman" w:cs="Times New Roman"/>
          <w:sz w:val="28"/>
          <w:szCs w:val="28"/>
          <w:lang w:val="en-US"/>
        </w:rPr>
        <w:t xml:space="preserve"> that</w:t>
      </w:r>
      <w:r w:rsidR="00833F7C" w:rsidRPr="000E2B31">
        <w:rPr>
          <w:rFonts w:ascii="Times New Roman" w:hAnsi="Times New Roman" w:cs="Times New Roman"/>
          <w:sz w:val="28"/>
          <w:szCs w:val="28"/>
          <w:lang w:val="en-US"/>
        </w:rPr>
        <w:t xml:space="preserve"> </w:t>
      </w:r>
      <w:r w:rsidR="00D74CB0" w:rsidRPr="000E2B31">
        <w:rPr>
          <w:rFonts w:ascii="Times New Roman" w:hAnsi="Times New Roman" w:cs="Times New Roman"/>
          <w:sz w:val="28"/>
          <w:szCs w:val="28"/>
          <w:lang w:val="en-US"/>
        </w:rPr>
        <w:t>functionality</w:t>
      </w:r>
      <w:r w:rsidR="00833F7C" w:rsidRPr="000E2B31">
        <w:rPr>
          <w:rFonts w:ascii="Times New Roman" w:hAnsi="Times New Roman" w:cs="Times New Roman"/>
          <w:sz w:val="28"/>
          <w:szCs w:val="28"/>
          <w:lang w:val="en-US"/>
        </w:rPr>
        <w:t xml:space="preserve"> </w:t>
      </w:r>
      <w:r w:rsidR="008A6E86" w:rsidRPr="000E2B31">
        <w:rPr>
          <w:rFonts w:ascii="Times New Roman" w:hAnsi="Times New Roman" w:cs="Times New Roman"/>
          <w:sz w:val="28"/>
          <w:szCs w:val="28"/>
          <w:lang w:val="en-US"/>
        </w:rPr>
        <w:t>could</w:t>
      </w:r>
      <w:r w:rsidR="00833F7C" w:rsidRPr="000E2B31">
        <w:rPr>
          <w:rFonts w:ascii="Times New Roman" w:hAnsi="Times New Roman" w:cs="Times New Roman"/>
          <w:sz w:val="28"/>
          <w:szCs w:val="28"/>
          <w:lang w:val="en-US"/>
        </w:rPr>
        <w:t xml:space="preserve"> only be applied as a </w:t>
      </w:r>
      <w:r w:rsidR="00D74CB0" w:rsidRPr="000E2B31">
        <w:rPr>
          <w:rFonts w:ascii="Times New Roman" w:hAnsi="Times New Roman" w:cs="Times New Roman"/>
          <w:sz w:val="28"/>
          <w:szCs w:val="28"/>
          <w:lang w:val="en-US"/>
        </w:rPr>
        <w:t>pre-qualifying criteria</w:t>
      </w:r>
      <w:r w:rsidR="00833F7C" w:rsidRPr="000E2B31">
        <w:rPr>
          <w:rFonts w:ascii="Times New Roman" w:hAnsi="Times New Roman" w:cs="Times New Roman"/>
          <w:sz w:val="28"/>
          <w:szCs w:val="28"/>
          <w:lang w:val="en-US"/>
        </w:rPr>
        <w:t xml:space="preserve"> before proceeding to the evaluation</w:t>
      </w:r>
      <w:r w:rsidR="0022015F" w:rsidRPr="000E2B31">
        <w:rPr>
          <w:rFonts w:ascii="Times New Roman" w:hAnsi="Times New Roman" w:cs="Times New Roman"/>
          <w:sz w:val="28"/>
          <w:szCs w:val="28"/>
          <w:lang w:val="en-US"/>
        </w:rPr>
        <w:t xml:space="preserve"> that </w:t>
      </w:r>
      <w:r w:rsidR="008A6E86" w:rsidRPr="000E2B31">
        <w:rPr>
          <w:rFonts w:ascii="Times New Roman" w:hAnsi="Times New Roman" w:cs="Times New Roman"/>
          <w:sz w:val="28"/>
          <w:szCs w:val="28"/>
          <w:lang w:val="en-US"/>
        </w:rPr>
        <w:t>was</w:t>
      </w:r>
      <w:r w:rsidR="00424C38" w:rsidRPr="000E2B31">
        <w:rPr>
          <w:rFonts w:ascii="Times New Roman" w:hAnsi="Times New Roman" w:cs="Times New Roman"/>
          <w:sz w:val="28"/>
          <w:szCs w:val="28"/>
          <w:lang w:val="en-US"/>
        </w:rPr>
        <w:t xml:space="preserve"> to</w:t>
      </w:r>
      <w:r w:rsidR="0022015F" w:rsidRPr="000E2B31">
        <w:rPr>
          <w:rFonts w:ascii="Times New Roman" w:hAnsi="Times New Roman" w:cs="Times New Roman"/>
          <w:sz w:val="28"/>
          <w:szCs w:val="28"/>
          <w:lang w:val="en-US"/>
        </w:rPr>
        <w:t xml:space="preserve"> ensue thereupon</w:t>
      </w:r>
      <w:r w:rsidR="00833F7C" w:rsidRPr="000E2B31">
        <w:rPr>
          <w:rFonts w:ascii="Times New Roman" w:hAnsi="Times New Roman" w:cs="Times New Roman"/>
          <w:sz w:val="28"/>
          <w:szCs w:val="28"/>
          <w:lang w:val="en-US"/>
        </w:rPr>
        <w:t xml:space="preserve"> solely on the basis of </w:t>
      </w:r>
      <w:r w:rsidR="00D74CB0" w:rsidRPr="000E2B31">
        <w:rPr>
          <w:rFonts w:ascii="Times New Roman" w:hAnsi="Times New Roman" w:cs="Times New Roman"/>
          <w:sz w:val="28"/>
          <w:szCs w:val="28"/>
          <w:lang w:val="en-US"/>
        </w:rPr>
        <w:t xml:space="preserve">price and </w:t>
      </w:r>
      <w:r w:rsidR="00067EB4" w:rsidRPr="000E2B31">
        <w:rPr>
          <w:rFonts w:ascii="Times New Roman" w:hAnsi="Times New Roman" w:cs="Times New Roman"/>
          <w:sz w:val="28"/>
          <w:szCs w:val="28"/>
          <w:lang w:val="en-US"/>
        </w:rPr>
        <w:t>preference.</w:t>
      </w:r>
    </w:p>
    <w:p w14:paraId="0E439306" w14:textId="66E5DE94" w:rsidR="00E56206" w:rsidRPr="00C962EE" w:rsidRDefault="00E56206" w:rsidP="00C962EE">
      <w:pPr>
        <w:pStyle w:val="ListParagraph"/>
        <w:tabs>
          <w:tab w:val="left" w:pos="709"/>
        </w:tabs>
        <w:spacing w:before="0" w:beforeAutospacing="0"/>
        <w:ind w:left="0"/>
        <w:jc w:val="both"/>
        <w:rPr>
          <w:rFonts w:ascii="Times New Roman" w:hAnsi="Times New Roman" w:cs="Times New Roman"/>
          <w:sz w:val="28"/>
          <w:szCs w:val="28"/>
          <w:u w:val="single"/>
          <w:lang w:val="en-US"/>
        </w:rPr>
      </w:pPr>
    </w:p>
    <w:p w14:paraId="552DBCB3" w14:textId="1B2537AF" w:rsidR="00200A63" w:rsidRPr="000E2B31" w:rsidRDefault="000E2B31" w:rsidP="000E2B31">
      <w:pPr>
        <w:tabs>
          <w:tab w:val="left" w:pos="709"/>
        </w:tabs>
        <w:spacing w:before="0" w:beforeAutospacing="0"/>
        <w:jc w:val="both"/>
        <w:rPr>
          <w:rFonts w:ascii="Times New Roman" w:hAnsi="Times New Roman" w:cs="Times New Roman"/>
          <w:sz w:val="28"/>
          <w:szCs w:val="28"/>
          <w:u w:val="single"/>
          <w:lang w:val="en-US"/>
        </w:rPr>
      </w:pPr>
      <w:r w:rsidRPr="00E56206">
        <w:rPr>
          <w:rFonts w:ascii="Times New Roman" w:hAnsi="Times New Roman" w:cs="Times New Roman"/>
          <w:sz w:val="28"/>
          <w:szCs w:val="28"/>
          <w:lang w:val="en-US"/>
        </w:rPr>
        <w:t>[23]</w:t>
      </w:r>
      <w:r w:rsidRPr="00E56206">
        <w:rPr>
          <w:rFonts w:ascii="Times New Roman" w:hAnsi="Times New Roman" w:cs="Times New Roman"/>
          <w:sz w:val="28"/>
          <w:szCs w:val="28"/>
          <w:lang w:val="en-US"/>
        </w:rPr>
        <w:tab/>
      </w:r>
      <w:r w:rsidR="00D74CB0" w:rsidRPr="000E2B31">
        <w:rPr>
          <w:rFonts w:ascii="Times New Roman" w:hAnsi="Times New Roman" w:cs="Times New Roman"/>
          <w:sz w:val="28"/>
          <w:szCs w:val="28"/>
          <w:lang w:val="en-US"/>
        </w:rPr>
        <w:t>Clause B provide</w:t>
      </w:r>
      <w:r w:rsidR="008A1E7C" w:rsidRPr="000E2B31">
        <w:rPr>
          <w:rFonts w:ascii="Times New Roman" w:hAnsi="Times New Roman" w:cs="Times New Roman"/>
          <w:sz w:val="28"/>
          <w:szCs w:val="28"/>
          <w:lang w:val="en-US"/>
        </w:rPr>
        <w:t>d</w:t>
      </w:r>
      <w:r w:rsidR="00D74CB0" w:rsidRPr="000E2B31">
        <w:rPr>
          <w:rFonts w:ascii="Times New Roman" w:hAnsi="Times New Roman" w:cs="Times New Roman"/>
          <w:sz w:val="28"/>
          <w:szCs w:val="28"/>
          <w:lang w:val="en-US"/>
        </w:rPr>
        <w:t xml:space="preserve"> as follows</w:t>
      </w:r>
      <w:r w:rsidR="0022015F" w:rsidRPr="000E2B31">
        <w:rPr>
          <w:rFonts w:ascii="Times New Roman" w:hAnsi="Times New Roman" w:cs="Times New Roman"/>
          <w:sz w:val="28"/>
          <w:szCs w:val="28"/>
          <w:lang w:val="en-US"/>
        </w:rPr>
        <w:t xml:space="preserve"> in this respect</w:t>
      </w:r>
      <w:r w:rsidR="00577FD9" w:rsidRPr="000E2B31">
        <w:rPr>
          <w:rFonts w:ascii="Times New Roman" w:hAnsi="Times New Roman" w:cs="Times New Roman"/>
          <w:sz w:val="28"/>
          <w:szCs w:val="28"/>
          <w:lang w:val="en-US"/>
        </w:rPr>
        <w:t>:</w:t>
      </w:r>
    </w:p>
    <w:p w14:paraId="1CD86DA9" w14:textId="77777777" w:rsidR="00E56206" w:rsidRPr="00577FD9" w:rsidRDefault="00E56206" w:rsidP="00E56206">
      <w:pPr>
        <w:pStyle w:val="ListParagraph"/>
        <w:tabs>
          <w:tab w:val="left" w:pos="709"/>
        </w:tabs>
        <w:spacing w:before="0" w:beforeAutospacing="0"/>
        <w:ind w:left="0"/>
        <w:jc w:val="both"/>
        <w:rPr>
          <w:rFonts w:ascii="Times New Roman" w:hAnsi="Times New Roman" w:cs="Times New Roman"/>
          <w:sz w:val="28"/>
          <w:szCs w:val="28"/>
          <w:u w:val="single"/>
          <w:lang w:val="en-US"/>
        </w:rPr>
      </w:pPr>
    </w:p>
    <w:p w14:paraId="1442F8E7" w14:textId="427582E8" w:rsidR="00D74CB0" w:rsidRPr="00E56206" w:rsidRDefault="00540210" w:rsidP="00E56206">
      <w:pPr>
        <w:pStyle w:val="ListParagraph"/>
        <w:tabs>
          <w:tab w:val="left" w:pos="709"/>
        </w:tabs>
        <w:spacing w:before="0" w:beforeAutospacing="0" w:line="276"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74CB0" w:rsidRPr="00E56206">
        <w:rPr>
          <w:rFonts w:ascii="Times New Roman" w:hAnsi="Times New Roman" w:cs="Times New Roman"/>
          <w:sz w:val="24"/>
          <w:szCs w:val="24"/>
          <w:lang w:val="en-US"/>
        </w:rPr>
        <w:t>“</w:t>
      </w:r>
      <w:r w:rsidR="00E56206" w:rsidRPr="00E56206">
        <w:rPr>
          <w:rFonts w:ascii="Times New Roman" w:hAnsi="Times New Roman" w:cs="Times New Roman"/>
          <w:sz w:val="24"/>
          <w:szCs w:val="24"/>
          <w:u w:val="single"/>
          <w:lang w:val="en-US"/>
        </w:rPr>
        <w:t xml:space="preserve">B. </w:t>
      </w:r>
      <w:r w:rsidR="00D74CB0" w:rsidRPr="00E56206">
        <w:rPr>
          <w:rFonts w:ascii="Times New Roman" w:hAnsi="Times New Roman" w:cs="Times New Roman"/>
          <w:sz w:val="24"/>
          <w:szCs w:val="24"/>
          <w:u w:val="single"/>
          <w:lang w:val="en-US"/>
        </w:rPr>
        <w:t>INDICATE THE FUNCTIONALITY WEIGHTING APPLICABLE TO THIS BID</w:t>
      </w:r>
      <w:r w:rsidR="00E56206" w:rsidRPr="00E56206">
        <w:rPr>
          <w:rFonts w:ascii="Times New Roman" w:hAnsi="Times New Roman" w:cs="Times New Roman"/>
          <w:sz w:val="24"/>
          <w:szCs w:val="24"/>
          <w:lang w:val="en-US"/>
        </w:rPr>
        <w:t>:</w:t>
      </w:r>
      <w:r w:rsidR="00D74CB0" w:rsidRPr="00E56206">
        <w:rPr>
          <w:rFonts w:ascii="Times New Roman" w:hAnsi="Times New Roman" w:cs="Times New Roman"/>
          <w:sz w:val="24"/>
          <w:szCs w:val="24"/>
          <w:lang w:val="en-US"/>
        </w:rPr>
        <w:t xml:space="preserve"> </w:t>
      </w:r>
    </w:p>
    <w:p w14:paraId="2BC64AC6" w14:textId="77777777" w:rsidR="00E56206" w:rsidRPr="00E56206" w:rsidRDefault="00E56206" w:rsidP="00E56206">
      <w:pPr>
        <w:pStyle w:val="ListParagraph"/>
        <w:tabs>
          <w:tab w:val="left" w:pos="709"/>
        </w:tabs>
        <w:spacing w:before="0" w:beforeAutospacing="0" w:line="276" w:lineRule="auto"/>
        <w:ind w:left="0"/>
        <w:jc w:val="both"/>
        <w:rPr>
          <w:rFonts w:ascii="Times New Roman" w:hAnsi="Times New Roman" w:cs="Times New Roman"/>
          <w:sz w:val="24"/>
          <w:szCs w:val="24"/>
          <w:lang w:val="en-US"/>
        </w:rPr>
      </w:pPr>
    </w:p>
    <w:p w14:paraId="1407733A" w14:textId="312BCB3C" w:rsidR="00D74CB0" w:rsidRPr="00E56206" w:rsidRDefault="00540210" w:rsidP="00540210">
      <w:pPr>
        <w:pStyle w:val="ListParagraph"/>
        <w:tabs>
          <w:tab w:val="left" w:pos="709"/>
        </w:tabs>
        <w:spacing w:before="0" w:beforeAutospacing="0" w:line="276" w:lineRule="auto"/>
        <w:ind w:left="709"/>
        <w:jc w:val="both"/>
        <w:rPr>
          <w:rFonts w:ascii="Times New Roman" w:hAnsi="Times New Roman" w:cs="Times New Roman"/>
          <w:sz w:val="24"/>
          <w:szCs w:val="24"/>
          <w:lang w:val="en-US"/>
        </w:rPr>
      </w:pPr>
      <w:r>
        <w:rPr>
          <w:rFonts w:ascii="Times New Roman" w:hAnsi="Times New Roman" w:cs="Times New Roman"/>
          <w:i/>
          <w:iCs/>
          <w:sz w:val="24"/>
          <w:szCs w:val="24"/>
          <w:lang w:val="en-US"/>
        </w:rPr>
        <w:tab/>
      </w:r>
      <w:r w:rsidR="00D74CB0" w:rsidRPr="00E56206">
        <w:rPr>
          <w:rFonts w:ascii="Times New Roman" w:hAnsi="Times New Roman" w:cs="Times New Roman"/>
          <w:i/>
          <w:iCs/>
          <w:sz w:val="24"/>
          <w:szCs w:val="24"/>
          <w:lang w:val="en-US"/>
        </w:rPr>
        <w:t>Note: Functionality may only be applied as a prequalification criterion.  Such criteria is used to establish minimum requirements where after bids will be evaluated solely on the basis of price and preference</w:t>
      </w:r>
      <w:r w:rsidR="00D74CB0" w:rsidRPr="00E56206">
        <w:rPr>
          <w:rFonts w:ascii="Times New Roman" w:hAnsi="Times New Roman" w:cs="Times New Roman"/>
          <w:sz w:val="24"/>
          <w:szCs w:val="24"/>
          <w:lang w:val="en-US"/>
        </w:rPr>
        <w:t>.</w:t>
      </w:r>
    </w:p>
    <w:p w14:paraId="4150F1E3" w14:textId="77777777" w:rsidR="00E56206" w:rsidRPr="00E56206" w:rsidRDefault="00E56206" w:rsidP="00E56206">
      <w:pPr>
        <w:pStyle w:val="ListParagraph"/>
        <w:tabs>
          <w:tab w:val="left" w:pos="709"/>
        </w:tabs>
        <w:spacing w:before="0" w:beforeAutospacing="0" w:line="276" w:lineRule="auto"/>
        <w:ind w:left="0"/>
        <w:jc w:val="both"/>
        <w:rPr>
          <w:rFonts w:ascii="Times New Roman" w:hAnsi="Times New Roman" w:cs="Times New Roman"/>
          <w:sz w:val="24"/>
          <w:szCs w:val="24"/>
          <w:lang w:val="en-US"/>
        </w:rPr>
      </w:pPr>
    </w:p>
    <w:tbl>
      <w:tblPr>
        <w:tblStyle w:val="TableGrid"/>
        <w:tblW w:w="0" w:type="auto"/>
        <w:tblInd w:w="704" w:type="dxa"/>
        <w:tblLook w:val="04A0" w:firstRow="1" w:lastRow="0" w:firstColumn="1" w:lastColumn="0" w:noHBand="0" w:noVBand="1"/>
      </w:tblPr>
      <w:tblGrid>
        <w:gridCol w:w="6237"/>
        <w:gridCol w:w="2409"/>
      </w:tblGrid>
      <w:tr w:rsidR="00D75B88" w:rsidRPr="00E56206" w14:paraId="42D04546" w14:textId="77777777" w:rsidTr="00540210">
        <w:tc>
          <w:tcPr>
            <w:tcW w:w="6237" w:type="dxa"/>
          </w:tcPr>
          <w:p w14:paraId="03A94A3D" w14:textId="77777777" w:rsidR="00D75B88" w:rsidRPr="00E56206" w:rsidRDefault="00D75B88" w:rsidP="00E56206">
            <w:pPr>
              <w:spacing w:line="276" w:lineRule="auto"/>
              <w:contextualSpacing/>
              <w:rPr>
                <w:rFonts w:ascii="Times New Roman" w:hAnsi="Times New Roman" w:cs="Times New Roman"/>
                <w:i/>
                <w:iCs/>
                <w:sz w:val="24"/>
                <w:szCs w:val="24"/>
              </w:rPr>
            </w:pPr>
            <w:r w:rsidRPr="00E56206">
              <w:rPr>
                <w:rFonts w:ascii="Times New Roman" w:hAnsi="Times New Roman" w:cs="Times New Roman"/>
                <w:i/>
                <w:iCs/>
                <w:sz w:val="24"/>
                <w:szCs w:val="24"/>
              </w:rPr>
              <w:t>Functionality Criteria</w:t>
            </w:r>
          </w:p>
        </w:tc>
        <w:tc>
          <w:tcPr>
            <w:tcW w:w="2409" w:type="dxa"/>
          </w:tcPr>
          <w:p w14:paraId="1091C21B" w14:textId="77777777" w:rsidR="00D75B88" w:rsidRPr="00E56206" w:rsidRDefault="00D75B88" w:rsidP="00E56206">
            <w:pPr>
              <w:spacing w:line="276" w:lineRule="auto"/>
              <w:contextualSpacing/>
              <w:rPr>
                <w:rFonts w:ascii="Times New Roman" w:hAnsi="Times New Roman" w:cs="Times New Roman"/>
                <w:i/>
                <w:iCs/>
                <w:sz w:val="24"/>
                <w:szCs w:val="24"/>
              </w:rPr>
            </w:pPr>
            <w:r w:rsidRPr="00E56206">
              <w:rPr>
                <w:rFonts w:ascii="Times New Roman" w:hAnsi="Times New Roman" w:cs="Times New Roman"/>
                <w:i/>
                <w:iCs/>
                <w:sz w:val="24"/>
                <w:szCs w:val="24"/>
              </w:rPr>
              <w:t>Weighting Factor</w:t>
            </w:r>
          </w:p>
        </w:tc>
      </w:tr>
      <w:tr w:rsidR="00D75B88" w:rsidRPr="00E56206" w14:paraId="03DC8279" w14:textId="77777777" w:rsidTr="00540210">
        <w:tc>
          <w:tcPr>
            <w:tcW w:w="6237" w:type="dxa"/>
          </w:tcPr>
          <w:p w14:paraId="4AFE6280" w14:textId="77777777" w:rsidR="00D75B88" w:rsidRPr="00E56206" w:rsidRDefault="00D75B88" w:rsidP="00E56206">
            <w:pPr>
              <w:spacing w:line="276" w:lineRule="auto"/>
              <w:contextualSpacing/>
              <w:rPr>
                <w:rFonts w:ascii="Times New Roman" w:hAnsi="Times New Roman" w:cs="Times New Roman"/>
                <w:sz w:val="24"/>
                <w:szCs w:val="24"/>
              </w:rPr>
            </w:pPr>
            <w:r w:rsidRPr="00E56206">
              <w:rPr>
                <w:rFonts w:ascii="Times New Roman" w:hAnsi="Times New Roman" w:cs="Times New Roman"/>
                <w:sz w:val="24"/>
                <w:szCs w:val="24"/>
              </w:rPr>
              <w:t>RELEVANT CONSTRUCTION WORKS EXPERIENCE ON PREVIOUS CONTRACTS OF A SIMILAR NATURE, SCOPE AND/OR COMPLEXITY</w:t>
            </w:r>
          </w:p>
        </w:tc>
        <w:tc>
          <w:tcPr>
            <w:tcW w:w="2409" w:type="dxa"/>
          </w:tcPr>
          <w:p w14:paraId="1C159AB3" w14:textId="77777777" w:rsidR="00D75B88" w:rsidRPr="00E56206" w:rsidRDefault="00D75B88" w:rsidP="00E56206">
            <w:pPr>
              <w:spacing w:line="276" w:lineRule="auto"/>
              <w:contextualSpacing/>
              <w:rPr>
                <w:rFonts w:ascii="Times New Roman" w:hAnsi="Times New Roman" w:cs="Times New Roman"/>
                <w:sz w:val="24"/>
                <w:szCs w:val="24"/>
              </w:rPr>
            </w:pPr>
            <w:r w:rsidRPr="00E56206">
              <w:rPr>
                <w:rFonts w:ascii="Times New Roman" w:hAnsi="Times New Roman" w:cs="Times New Roman"/>
                <w:sz w:val="24"/>
                <w:szCs w:val="24"/>
              </w:rPr>
              <w:t>30</w:t>
            </w:r>
          </w:p>
        </w:tc>
      </w:tr>
      <w:tr w:rsidR="00D75B88" w:rsidRPr="00E56206" w14:paraId="3C990917" w14:textId="77777777" w:rsidTr="00540210">
        <w:tc>
          <w:tcPr>
            <w:tcW w:w="6237" w:type="dxa"/>
          </w:tcPr>
          <w:p w14:paraId="3D860D56" w14:textId="77777777" w:rsidR="00D75B88" w:rsidRPr="00E56206" w:rsidRDefault="00D75B88" w:rsidP="00E56206">
            <w:pPr>
              <w:spacing w:line="276" w:lineRule="auto"/>
              <w:contextualSpacing/>
              <w:rPr>
                <w:rFonts w:ascii="Times New Roman" w:hAnsi="Times New Roman" w:cs="Times New Roman"/>
                <w:sz w:val="24"/>
                <w:szCs w:val="24"/>
              </w:rPr>
            </w:pPr>
            <w:r w:rsidRPr="00E56206">
              <w:rPr>
                <w:rFonts w:ascii="Times New Roman" w:hAnsi="Times New Roman" w:cs="Times New Roman"/>
                <w:sz w:val="24"/>
                <w:szCs w:val="24"/>
              </w:rPr>
              <w:t>REFERENCES FROM CLIENTS/CONSULTANTS FOR PROJECTS OF SIMILAR IN NATURE AND SCOPE</w:t>
            </w:r>
          </w:p>
        </w:tc>
        <w:tc>
          <w:tcPr>
            <w:tcW w:w="2409" w:type="dxa"/>
          </w:tcPr>
          <w:p w14:paraId="5ABA6A9E" w14:textId="77777777" w:rsidR="00D75B88" w:rsidRPr="00E56206" w:rsidRDefault="00D75B88" w:rsidP="00E56206">
            <w:pPr>
              <w:spacing w:line="276" w:lineRule="auto"/>
              <w:contextualSpacing/>
              <w:rPr>
                <w:rFonts w:ascii="Times New Roman" w:hAnsi="Times New Roman" w:cs="Times New Roman"/>
                <w:sz w:val="24"/>
                <w:szCs w:val="24"/>
              </w:rPr>
            </w:pPr>
            <w:r w:rsidRPr="00E56206">
              <w:rPr>
                <w:rFonts w:ascii="Times New Roman" w:hAnsi="Times New Roman" w:cs="Times New Roman"/>
                <w:sz w:val="24"/>
                <w:szCs w:val="24"/>
              </w:rPr>
              <w:t>20</w:t>
            </w:r>
          </w:p>
        </w:tc>
      </w:tr>
      <w:tr w:rsidR="00D75B88" w:rsidRPr="00E56206" w14:paraId="07107164" w14:textId="77777777" w:rsidTr="00540210">
        <w:tc>
          <w:tcPr>
            <w:tcW w:w="6237" w:type="dxa"/>
          </w:tcPr>
          <w:p w14:paraId="55FE7B17" w14:textId="77777777" w:rsidR="00D75B88" w:rsidRPr="00E56206" w:rsidRDefault="00D75B88" w:rsidP="00E56206">
            <w:pPr>
              <w:spacing w:line="276" w:lineRule="auto"/>
              <w:contextualSpacing/>
              <w:rPr>
                <w:rFonts w:ascii="Times New Roman" w:hAnsi="Times New Roman" w:cs="Times New Roman"/>
                <w:sz w:val="24"/>
                <w:szCs w:val="24"/>
              </w:rPr>
            </w:pPr>
            <w:r w:rsidRPr="00E56206">
              <w:rPr>
                <w:rFonts w:ascii="Times New Roman" w:hAnsi="Times New Roman" w:cs="Times New Roman"/>
                <w:sz w:val="24"/>
                <w:szCs w:val="24"/>
              </w:rPr>
              <w:t xml:space="preserve">FINANCIAL CAPACITY </w:t>
            </w:r>
          </w:p>
        </w:tc>
        <w:tc>
          <w:tcPr>
            <w:tcW w:w="2409" w:type="dxa"/>
          </w:tcPr>
          <w:p w14:paraId="1EC502FD" w14:textId="77777777" w:rsidR="00D75B88" w:rsidRPr="00E56206" w:rsidRDefault="00D75B88" w:rsidP="00E56206">
            <w:pPr>
              <w:spacing w:line="276" w:lineRule="auto"/>
              <w:contextualSpacing/>
              <w:rPr>
                <w:rFonts w:ascii="Times New Roman" w:hAnsi="Times New Roman" w:cs="Times New Roman"/>
                <w:sz w:val="24"/>
                <w:szCs w:val="24"/>
              </w:rPr>
            </w:pPr>
            <w:r w:rsidRPr="00E56206">
              <w:rPr>
                <w:rFonts w:ascii="Times New Roman" w:hAnsi="Times New Roman" w:cs="Times New Roman"/>
                <w:sz w:val="24"/>
                <w:szCs w:val="24"/>
              </w:rPr>
              <w:t>30</w:t>
            </w:r>
          </w:p>
        </w:tc>
      </w:tr>
      <w:tr w:rsidR="00D75B88" w:rsidRPr="00E56206" w14:paraId="60CDFEE4" w14:textId="77777777" w:rsidTr="00540210">
        <w:tc>
          <w:tcPr>
            <w:tcW w:w="6237" w:type="dxa"/>
          </w:tcPr>
          <w:p w14:paraId="1CDAB5C3" w14:textId="77777777" w:rsidR="00D75B88" w:rsidRPr="00E56206" w:rsidRDefault="00D75B88" w:rsidP="00E56206">
            <w:pPr>
              <w:spacing w:line="276" w:lineRule="auto"/>
              <w:contextualSpacing/>
              <w:rPr>
                <w:rFonts w:ascii="Times New Roman" w:hAnsi="Times New Roman" w:cs="Times New Roman"/>
                <w:sz w:val="24"/>
                <w:szCs w:val="24"/>
              </w:rPr>
            </w:pPr>
            <w:r w:rsidRPr="00E56206">
              <w:rPr>
                <w:rFonts w:ascii="Times New Roman" w:hAnsi="Times New Roman" w:cs="Times New Roman"/>
                <w:sz w:val="24"/>
                <w:szCs w:val="24"/>
              </w:rPr>
              <w:t>COMPETENCE OF KEY PERSON(S), PROFESSIONAL AND TECHNICAL PERSONNEL</w:t>
            </w:r>
          </w:p>
        </w:tc>
        <w:tc>
          <w:tcPr>
            <w:tcW w:w="2409" w:type="dxa"/>
          </w:tcPr>
          <w:p w14:paraId="0D7BC8AB" w14:textId="77777777" w:rsidR="00D75B88" w:rsidRPr="00E56206" w:rsidRDefault="00D75B88" w:rsidP="00E56206">
            <w:pPr>
              <w:spacing w:line="276" w:lineRule="auto"/>
              <w:contextualSpacing/>
              <w:rPr>
                <w:rFonts w:ascii="Times New Roman" w:hAnsi="Times New Roman" w:cs="Times New Roman"/>
                <w:sz w:val="24"/>
                <w:szCs w:val="24"/>
              </w:rPr>
            </w:pPr>
            <w:r w:rsidRPr="00E56206">
              <w:rPr>
                <w:rFonts w:ascii="Times New Roman" w:hAnsi="Times New Roman" w:cs="Times New Roman"/>
                <w:sz w:val="24"/>
                <w:szCs w:val="24"/>
              </w:rPr>
              <w:t>20</w:t>
            </w:r>
          </w:p>
        </w:tc>
      </w:tr>
      <w:tr w:rsidR="00D75B88" w:rsidRPr="00E56206" w14:paraId="42FB7683" w14:textId="77777777" w:rsidTr="00540210">
        <w:tc>
          <w:tcPr>
            <w:tcW w:w="6237" w:type="dxa"/>
          </w:tcPr>
          <w:p w14:paraId="59B86890" w14:textId="77777777" w:rsidR="00D75B88" w:rsidRPr="00E56206" w:rsidRDefault="00D75B88" w:rsidP="00E56206">
            <w:pPr>
              <w:spacing w:line="276" w:lineRule="auto"/>
              <w:contextualSpacing/>
              <w:rPr>
                <w:rFonts w:ascii="Times New Roman" w:hAnsi="Times New Roman" w:cs="Times New Roman"/>
                <w:sz w:val="24"/>
                <w:szCs w:val="24"/>
              </w:rPr>
            </w:pPr>
          </w:p>
        </w:tc>
        <w:tc>
          <w:tcPr>
            <w:tcW w:w="2409" w:type="dxa"/>
          </w:tcPr>
          <w:p w14:paraId="12904032" w14:textId="77777777" w:rsidR="00D75B88" w:rsidRPr="00E56206" w:rsidRDefault="00D75B88" w:rsidP="00E56206">
            <w:pPr>
              <w:spacing w:line="276" w:lineRule="auto"/>
              <w:contextualSpacing/>
              <w:rPr>
                <w:rFonts w:ascii="Times New Roman" w:hAnsi="Times New Roman" w:cs="Times New Roman"/>
                <w:sz w:val="24"/>
                <w:szCs w:val="24"/>
              </w:rPr>
            </w:pPr>
          </w:p>
        </w:tc>
      </w:tr>
      <w:tr w:rsidR="00D75B88" w:rsidRPr="00E56206" w14:paraId="466AF0FC" w14:textId="77777777" w:rsidTr="00540210">
        <w:tc>
          <w:tcPr>
            <w:tcW w:w="6237" w:type="dxa"/>
          </w:tcPr>
          <w:p w14:paraId="43FE49D8" w14:textId="77777777" w:rsidR="00D75B88" w:rsidRPr="00E56206" w:rsidRDefault="00D75B88" w:rsidP="00E56206">
            <w:pPr>
              <w:spacing w:line="276" w:lineRule="auto"/>
              <w:contextualSpacing/>
              <w:rPr>
                <w:rFonts w:ascii="Times New Roman" w:hAnsi="Times New Roman" w:cs="Times New Roman"/>
                <w:sz w:val="24"/>
                <w:szCs w:val="24"/>
              </w:rPr>
            </w:pPr>
          </w:p>
        </w:tc>
        <w:tc>
          <w:tcPr>
            <w:tcW w:w="2409" w:type="dxa"/>
          </w:tcPr>
          <w:p w14:paraId="0D63BD89" w14:textId="77777777" w:rsidR="00D75B88" w:rsidRPr="00E56206" w:rsidRDefault="00D75B88" w:rsidP="00E56206">
            <w:pPr>
              <w:spacing w:line="276" w:lineRule="auto"/>
              <w:contextualSpacing/>
              <w:rPr>
                <w:rFonts w:ascii="Times New Roman" w:hAnsi="Times New Roman" w:cs="Times New Roman"/>
                <w:sz w:val="24"/>
                <w:szCs w:val="24"/>
              </w:rPr>
            </w:pPr>
          </w:p>
        </w:tc>
      </w:tr>
      <w:tr w:rsidR="00D75B88" w:rsidRPr="00E56206" w14:paraId="7D2F2B4C" w14:textId="77777777" w:rsidTr="00540210">
        <w:tc>
          <w:tcPr>
            <w:tcW w:w="6237" w:type="dxa"/>
          </w:tcPr>
          <w:p w14:paraId="0FABC094" w14:textId="77777777" w:rsidR="00D75B88" w:rsidRPr="00E56206" w:rsidRDefault="00D75B88" w:rsidP="00E56206">
            <w:pPr>
              <w:spacing w:before="0" w:beforeAutospacing="0" w:line="276" w:lineRule="auto"/>
              <w:contextualSpacing/>
              <w:rPr>
                <w:rFonts w:ascii="Times New Roman" w:hAnsi="Times New Roman" w:cs="Times New Roman"/>
                <w:sz w:val="24"/>
                <w:szCs w:val="24"/>
              </w:rPr>
            </w:pPr>
          </w:p>
        </w:tc>
        <w:tc>
          <w:tcPr>
            <w:tcW w:w="2409" w:type="dxa"/>
          </w:tcPr>
          <w:p w14:paraId="4B0796C0" w14:textId="77777777" w:rsidR="00D75B88" w:rsidRPr="00E56206" w:rsidRDefault="00D75B88" w:rsidP="00E56206">
            <w:pPr>
              <w:spacing w:before="0" w:beforeAutospacing="0" w:line="276" w:lineRule="auto"/>
              <w:contextualSpacing/>
              <w:rPr>
                <w:rFonts w:ascii="Times New Roman" w:hAnsi="Times New Roman" w:cs="Times New Roman"/>
                <w:sz w:val="24"/>
                <w:szCs w:val="24"/>
              </w:rPr>
            </w:pPr>
          </w:p>
        </w:tc>
      </w:tr>
      <w:tr w:rsidR="00D75B88" w:rsidRPr="00E56206" w14:paraId="6A3BFC86" w14:textId="77777777" w:rsidTr="00540210">
        <w:tc>
          <w:tcPr>
            <w:tcW w:w="6237" w:type="dxa"/>
          </w:tcPr>
          <w:p w14:paraId="159D03DD" w14:textId="77777777" w:rsidR="00D75B88" w:rsidRPr="00E56206" w:rsidRDefault="00D75B88" w:rsidP="00E56206">
            <w:pPr>
              <w:spacing w:before="0" w:beforeAutospacing="0" w:line="276" w:lineRule="auto"/>
              <w:contextualSpacing/>
              <w:rPr>
                <w:rFonts w:ascii="Times New Roman" w:hAnsi="Times New Roman" w:cs="Times New Roman"/>
                <w:sz w:val="24"/>
                <w:szCs w:val="24"/>
              </w:rPr>
            </w:pPr>
            <w:r w:rsidRPr="00E56206">
              <w:rPr>
                <w:rFonts w:ascii="Times New Roman" w:hAnsi="Times New Roman" w:cs="Times New Roman"/>
                <w:sz w:val="24"/>
                <w:szCs w:val="24"/>
              </w:rPr>
              <w:t xml:space="preserve">Total </w:t>
            </w:r>
          </w:p>
        </w:tc>
        <w:tc>
          <w:tcPr>
            <w:tcW w:w="2409" w:type="dxa"/>
          </w:tcPr>
          <w:p w14:paraId="43A9F580" w14:textId="77777777" w:rsidR="00D75B88" w:rsidRPr="00E56206" w:rsidRDefault="00D75B88" w:rsidP="00E56206">
            <w:pPr>
              <w:spacing w:before="0" w:beforeAutospacing="0" w:line="276" w:lineRule="auto"/>
              <w:contextualSpacing/>
              <w:rPr>
                <w:rFonts w:ascii="Times New Roman" w:hAnsi="Times New Roman" w:cs="Times New Roman"/>
                <w:sz w:val="24"/>
                <w:szCs w:val="24"/>
              </w:rPr>
            </w:pPr>
            <w:r w:rsidRPr="00E56206">
              <w:rPr>
                <w:rFonts w:ascii="Times New Roman" w:hAnsi="Times New Roman" w:cs="Times New Roman"/>
                <w:sz w:val="24"/>
                <w:szCs w:val="24"/>
              </w:rPr>
              <w:t>100 Points</w:t>
            </w:r>
          </w:p>
        </w:tc>
      </w:tr>
    </w:tbl>
    <w:p w14:paraId="1A539665" w14:textId="1B35EE77" w:rsidR="00D75B88" w:rsidRPr="00E56206" w:rsidRDefault="00D75B88" w:rsidP="00540210">
      <w:pPr>
        <w:spacing w:before="0" w:beforeAutospacing="0" w:line="276" w:lineRule="auto"/>
        <w:ind w:left="720"/>
        <w:rPr>
          <w:rFonts w:ascii="Times New Roman" w:hAnsi="Times New Roman" w:cs="Times New Roman"/>
          <w:i/>
          <w:iCs/>
          <w:sz w:val="24"/>
          <w:szCs w:val="24"/>
        </w:rPr>
      </w:pPr>
      <w:r w:rsidRPr="00E56206">
        <w:rPr>
          <w:rFonts w:ascii="Times New Roman" w:hAnsi="Times New Roman" w:cs="Times New Roman"/>
          <w:i/>
          <w:iCs/>
          <w:sz w:val="24"/>
          <w:szCs w:val="24"/>
        </w:rPr>
        <w:t>(Weightings will be multiplied by the scores allocated during the evaluation process to arrive at the total functionality points)</w:t>
      </w:r>
    </w:p>
    <w:tbl>
      <w:tblPr>
        <w:tblStyle w:val="TableGrid"/>
        <w:tblW w:w="0" w:type="auto"/>
        <w:tblInd w:w="704" w:type="dxa"/>
        <w:tblLook w:val="04A0" w:firstRow="1" w:lastRow="0" w:firstColumn="1" w:lastColumn="0" w:noHBand="0" w:noVBand="1"/>
      </w:tblPr>
      <w:tblGrid>
        <w:gridCol w:w="6237"/>
        <w:gridCol w:w="2409"/>
      </w:tblGrid>
      <w:tr w:rsidR="00D74CB0" w:rsidRPr="00E56206" w14:paraId="600191F4" w14:textId="77777777" w:rsidTr="00540210">
        <w:tc>
          <w:tcPr>
            <w:tcW w:w="6237" w:type="dxa"/>
          </w:tcPr>
          <w:p w14:paraId="4026BB2F" w14:textId="79D50238" w:rsidR="00D74CB0" w:rsidRPr="00E56206" w:rsidRDefault="00D74CB0" w:rsidP="00E56206">
            <w:pPr>
              <w:pStyle w:val="ListParagraph"/>
              <w:tabs>
                <w:tab w:val="left" w:pos="709"/>
              </w:tabs>
              <w:spacing w:before="0" w:beforeAutospacing="0" w:line="276" w:lineRule="auto"/>
              <w:ind w:left="0"/>
              <w:contextualSpacing w:val="0"/>
              <w:jc w:val="both"/>
              <w:rPr>
                <w:rFonts w:ascii="Times New Roman" w:hAnsi="Times New Roman" w:cs="Times New Roman"/>
                <w:sz w:val="24"/>
                <w:szCs w:val="24"/>
                <w:lang w:val="en-US"/>
              </w:rPr>
            </w:pPr>
            <w:r w:rsidRPr="00E56206">
              <w:rPr>
                <w:rFonts w:ascii="Times New Roman" w:hAnsi="Times New Roman" w:cs="Times New Roman"/>
                <w:sz w:val="24"/>
                <w:szCs w:val="24"/>
                <w:lang w:val="en-US"/>
              </w:rPr>
              <w:t>Minimum functionality score to qualify for further evaluation</w:t>
            </w:r>
          </w:p>
        </w:tc>
        <w:tc>
          <w:tcPr>
            <w:tcW w:w="2409" w:type="dxa"/>
          </w:tcPr>
          <w:p w14:paraId="28E7CF1F" w14:textId="5365C19D" w:rsidR="00D74CB0" w:rsidRPr="00E56206" w:rsidRDefault="00D74CB0" w:rsidP="00E56206">
            <w:pPr>
              <w:pStyle w:val="ListParagraph"/>
              <w:tabs>
                <w:tab w:val="left" w:pos="709"/>
              </w:tabs>
              <w:spacing w:before="0" w:beforeAutospacing="0" w:line="276" w:lineRule="auto"/>
              <w:ind w:left="0"/>
              <w:contextualSpacing w:val="0"/>
              <w:rPr>
                <w:rFonts w:ascii="Times New Roman" w:hAnsi="Times New Roman" w:cs="Times New Roman"/>
                <w:sz w:val="24"/>
                <w:szCs w:val="24"/>
                <w:lang w:val="en-US"/>
              </w:rPr>
            </w:pPr>
            <w:r w:rsidRPr="00E56206">
              <w:rPr>
                <w:rFonts w:ascii="Times New Roman" w:hAnsi="Times New Roman" w:cs="Times New Roman"/>
                <w:sz w:val="24"/>
                <w:szCs w:val="24"/>
                <w:lang w:val="en-US"/>
              </w:rPr>
              <w:t>50</w:t>
            </w:r>
          </w:p>
        </w:tc>
      </w:tr>
    </w:tbl>
    <w:p w14:paraId="40A77E44" w14:textId="16EE4F9B" w:rsidR="00200A63" w:rsidRDefault="00540210" w:rsidP="00540210">
      <w:pPr>
        <w:pStyle w:val="ListParagraph"/>
        <w:tabs>
          <w:tab w:val="left" w:pos="709"/>
        </w:tabs>
        <w:spacing w:before="0" w:beforeAutospacing="0"/>
        <w:ind w:left="0"/>
        <w:jc w:val="both"/>
        <w:rPr>
          <w:rFonts w:ascii="Times New Roman" w:hAnsi="Times New Roman" w:cs="Times New Roman"/>
          <w:sz w:val="24"/>
          <w:szCs w:val="24"/>
          <w:lang w:val="en-US"/>
        </w:rPr>
      </w:pPr>
      <w:r>
        <w:rPr>
          <w:rFonts w:ascii="Times New Roman" w:hAnsi="Times New Roman" w:cs="Times New Roman"/>
          <w:i/>
          <w:iCs/>
          <w:sz w:val="24"/>
          <w:szCs w:val="24"/>
          <w:lang w:val="en-US"/>
        </w:rPr>
        <w:tab/>
      </w:r>
      <w:r w:rsidR="00D74CB0" w:rsidRPr="00E56206">
        <w:rPr>
          <w:rFonts w:ascii="Times New Roman" w:hAnsi="Times New Roman" w:cs="Times New Roman"/>
          <w:i/>
          <w:iCs/>
          <w:sz w:val="24"/>
          <w:szCs w:val="24"/>
          <w:lang w:val="en-US"/>
        </w:rPr>
        <w:t>(Total minimum qualifying score for functionality is 50 Percent</w:t>
      </w:r>
      <w:r w:rsidR="00B12E92">
        <w:rPr>
          <w:rFonts w:ascii="Times New Roman" w:hAnsi="Times New Roman" w:cs="Times New Roman"/>
          <w:sz w:val="24"/>
          <w:szCs w:val="24"/>
          <w:lang w:val="en-US"/>
        </w:rPr>
        <w:t>)</w:t>
      </w:r>
      <w:r w:rsidR="00D74CB0" w:rsidRPr="00E5620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0122907D" w14:textId="77777777" w:rsidR="00067EB4" w:rsidRPr="00E56206" w:rsidRDefault="00067EB4" w:rsidP="00540210">
      <w:pPr>
        <w:pStyle w:val="ListParagraph"/>
        <w:tabs>
          <w:tab w:val="left" w:pos="709"/>
        </w:tabs>
        <w:spacing w:before="0" w:beforeAutospacing="0"/>
        <w:ind w:left="0"/>
        <w:jc w:val="both"/>
        <w:rPr>
          <w:rFonts w:ascii="Times New Roman" w:hAnsi="Times New Roman" w:cs="Times New Roman"/>
          <w:sz w:val="24"/>
          <w:szCs w:val="24"/>
          <w:lang w:val="en-US"/>
        </w:rPr>
      </w:pPr>
    </w:p>
    <w:p w14:paraId="52FD0B2E" w14:textId="042B5EA3" w:rsidR="00067EB4" w:rsidRPr="000E2B31" w:rsidRDefault="000E2B31" w:rsidP="000E2B31">
      <w:pPr>
        <w:tabs>
          <w:tab w:val="left" w:pos="709"/>
        </w:tabs>
        <w:spacing w:before="0" w:beforeAutospacing="0"/>
        <w:jc w:val="both"/>
        <w:rPr>
          <w:rFonts w:ascii="Times New Roman" w:hAnsi="Times New Roman" w:cs="Times New Roman"/>
          <w:sz w:val="28"/>
          <w:szCs w:val="28"/>
          <w:u w:val="single"/>
          <w:lang w:val="en-US"/>
        </w:rPr>
      </w:pPr>
      <w:r w:rsidRPr="00C962EE">
        <w:rPr>
          <w:rFonts w:ascii="Times New Roman" w:hAnsi="Times New Roman" w:cs="Times New Roman"/>
          <w:sz w:val="28"/>
          <w:szCs w:val="28"/>
          <w:lang w:val="en-US"/>
        </w:rPr>
        <w:t>[24]</w:t>
      </w:r>
      <w:r w:rsidRPr="00C962EE">
        <w:rPr>
          <w:rFonts w:ascii="Times New Roman" w:hAnsi="Times New Roman" w:cs="Times New Roman"/>
          <w:sz w:val="28"/>
          <w:szCs w:val="28"/>
          <w:lang w:val="en-US"/>
        </w:rPr>
        <w:tab/>
      </w:r>
      <w:r w:rsidR="00067EB4" w:rsidRPr="000E2B31">
        <w:rPr>
          <w:rFonts w:ascii="Times New Roman" w:hAnsi="Times New Roman" w:cs="Times New Roman"/>
          <w:sz w:val="28"/>
          <w:szCs w:val="28"/>
          <w:lang w:val="en-US"/>
        </w:rPr>
        <w:t xml:space="preserve">It is also relevant to note that the tender Data did not adopt the standard refrain employed in F.3.13 which enjoins an employer to accept the tender offer if in its opinion </w:t>
      </w:r>
      <w:r w:rsidR="00067EB4" w:rsidRPr="000E2B31">
        <w:rPr>
          <w:rFonts w:ascii="Times New Roman" w:hAnsi="Times New Roman" w:cs="Times New Roman"/>
          <w:i/>
          <w:iCs/>
          <w:sz w:val="28"/>
          <w:szCs w:val="28"/>
          <w:lang w:val="en-US"/>
        </w:rPr>
        <w:t>“it does not present any risk”</w:t>
      </w:r>
      <w:r w:rsidR="00067EB4" w:rsidRPr="000E2B31">
        <w:rPr>
          <w:rFonts w:ascii="Times New Roman" w:hAnsi="Times New Roman" w:cs="Times New Roman"/>
          <w:sz w:val="28"/>
          <w:szCs w:val="28"/>
          <w:lang w:val="en-US"/>
        </w:rPr>
        <w:t xml:space="preserve"> to it.  The tender Data provided instead as follows:</w:t>
      </w:r>
    </w:p>
    <w:p w14:paraId="50A2C292" w14:textId="77777777" w:rsidR="00067EB4" w:rsidRDefault="00067EB4" w:rsidP="00067EB4">
      <w:pPr>
        <w:pStyle w:val="ListParagraph"/>
        <w:rPr>
          <w:rFonts w:ascii="Times New Roman" w:hAnsi="Times New Roman" w:cs="Times New Roman"/>
          <w:sz w:val="28"/>
          <w:szCs w:val="28"/>
          <w:u w:val="single"/>
          <w:lang w:val="en-US"/>
        </w:rPr>
      </w:pPr>
    </w:p>
    <w:p w14:paraId="0F0F333C" w14:textId="77777777" w:rsidR="00067EB4" w:rsidRPr="00540210" w:rsidRDefault="00067EB4" w:rsidP="00067EB4">
      <w:pPr>
        <w:pStyle w:val="ListParagraph"/>
        <w:spacing w:line="240" w:lineRule="auto"/>
        <w:rPr>
          <w:rFonts w:ascii="Times New Roman" w:hAnsi="Times New Roman" w:cs="Times New Roman"/>
          <w:sz w:val="24"/>
          <w:szCs w:val="24"/>
          <w:lang w:val="en-US"/>
        </w:rPr>
      </w:pPr>
      <w:r w:rsidRPr="00540210">
        <w:rPr>
          <w:rFonts w:ascii="Times New Roman" w:hAnsi="Times New Roman" w:cs="Times New Roman"/>
          <w:sz w:val="24"/>
          <w:szCs w:val="24"/>
          <w:lang w:val="en-US"/>
        </w:rPr>
        <w:t>“Tender offers will only be accepted if:</w:t>
      </w:r>
    </w:p>
    <w:p w14:paraId="552D3041" w14:textId="7023CA17" w:rsidR="00067EB4" w:rsidRPr="000E2B31" w:rsidRDefault="000E2B31" w:rsidP="000E2B31">
      <w:pPr>
        <w:spacing w:line="240" w:lineRule="auto"/>
        <w:ind w:left="1080" w:hanging="360"/>
        <w:rPr>
          <w:rFonts w:ascii="Times New Roman" w:hAnsi="Times New Roman" w:cs="Times New Roman"/>
          <w:sz w:val="24"/>
          <w:szCs w:val="24"/>
          <w:lang w:val="en-US"/>
        </w:rPr>
      </w:pPr>
      <w:r w:rsidRPr="00540210">
        <w:rPr>
          <w:rFonts w:ascii="Times New Roman" w:hAnsi="Times New Roman" w:cs="Times New Roman"/>
          <w:sz w:val="24"/>
          <w:szCs w:val="24"/>
          <w:lang w:val="en-US"/>
        </w:rPr>
        <w:t>a)</w:t>
      </w:r>
      <w:r w:rsidRPr="00540210">
        <w:rPr>
          <w:rFonts w:ascii="Times New Roman" w:hAnsi="Times New Roman" w:cs="Times New Roman"/>
          <w:sz w:val="24"/>
          <w:szCs w:val="24"/>
          <w:lang w:val="en-US"/>
        </w:rPr>
        <w:tab/>
      </w:r>
      <w:r w:rsidR="00067EB4" w:rsidRPr="000E2B31">
        <w:rPr>
          <w:rFonts w:ascii="Times New Roman" w:hAnsi="Times New Roman" w:cs="Times New Roman"/>
          <w:sz w:val="24"/>
          <w:szCs w:val="24"/>
          <w:lang w:val="en-US"/>
        </w:rPr>
        <w:t>the tenderer or any of its directors is not listed on the Regist</w:t>
      </w:r>
      <w:r w:rsidR="009A0422" w:rsidRPr="000E2B31">
        <w:rPr>
          <w:rFonts w:ascii="Times New Roman" w:hAnsi="Times New Roman" w:cs="Times New Roman"/>
          <w:sz w:val="24"/>
          <w:szCs w:val="24"/>
          <w:lang w:val="en-US"/>
        </w:rPr>
        <w:t>er</w:t>
      </w:r>
      <w:r w:rsidR="00067EB4" w:rsidRPr="000E2B31">
        <w:rPr>
          <w:rFonts w:ascii="Times New Roman" w:hAnsi="Times New Roman" w:cs="Times New Roman"/>
          <w:sz w:val="24"/>
          <w:szCs w:val="24"/>
          <w:lang w:val="en-US"/>
        </w:rPr>
        <w:t xml:space="preserve"> of Tender Defaulters in terms of the Prevention and Combatting of Corrupt Activities Act, 2004 (Act No. 12 of 2004) as a person prohibited from doing business with the public sector;</w:t>
      </w:r>
    </w:p>
    <w:p w14:paraId="41A114F1" w14:textId="4996D72B" w:rsidR="00067EB4" w:rsidRPr="000E2B31" w:rsidRDefault="000E2B31" w:rsidP="000E2B31">
      <w:pPr>
        <w:spacing w:line="240" w:lineRule="auto"/>
        <w:ind w:left="1080" w:hanging="360"/>
        <w:rPr>
          <w:rFonts w:ascii="Times New Roman" w:hAnsi="Times New Roman" w:cs="Times New Roman"/>
          <w:sz w:val="24"/>
          <w:szCs w:val="24"/>
          <w:lang w:val="en-US"/>
        </w:rPr>
      </w:pPr>
      <w:r w:rsidRPr="00540210">
        <w:rPr>
          <w:rFonts w:ascii="Times New Roman" w:hAnsi="Times New Roman" w:cs="Times New Roman"/>
          <w:sz w:val="24"/>
          <w:szCs w:val="24"/>
          <w:lang w:val="en-US"/>
        </w:rPr>
        <w:t>b)</w:t>
      </w:r>
      <w:r w:rsidRPr="00540210">
        <w:rPr>
          <w:rFonts w:ascii="Times New Roman" w:hAnsi="Times New Roman" w:cs="Times New Roman"/>
          <w:sz w:val="24"/>
          <w:szCs w:val="24"/>
          <w:lang w:val="en-US"/>
        </w:rPr>
        <w:tab/>
      </w:r>
      <w:r w:rsidR="00067EB4" w:rsidRPr="000E2B31">
        <w:rPr>
          <w:rFonts w:ascii="Times New Roman" w:hAnsi="Times New Roman" w:cs="Times New Roman"/>
          <w:sz w:val="24"/>
          <w:szCs w:val="24"/>
          <w:lang w:val="en-US"/>
        </w:rPr>
        <w:t>the tenderer has not:</w:t>
      </w:r>
    </w:p>
    <w:p w14:paraId="5BAD2788" w14:textId="50606CBE" w:rsidR="00067EB4" w:rsidRPr="000E2B31" w:rsidRDefault="000E2B31" w:rsidP="000E2B31">
      <w:pPr>
        <w:spacing w:line="240" w:lineRule="auto"/>
        <w:ind w:left="1800" w:hanging="720"/>
        <w:rPr>
          <w:rFonts w:ascii="Times New Roman" w:hAnsi="Times New Roman" w:cs="Times New Roman"/>
          <w:sz w:val="24"/>
          <w:szCs w:val="24"/>
          <w:lang w:val="en-US"/>
        </w:rPr>
      </w:pPr>
      <w:r w:rsidRPr="00540210">
        <w:rPr>
          <w:rFonts w:ascii="Times New Roman" w:hAnsi="Times New Roman" w:cs="Times New Roman"/>
          <w:sz w:val="24"/>
          <w:szCs w:val="24"/>
          <w:lang w:val="en-US"/>
        </w:rPr>
        <w:t>i.</w:t>
      </w:r>
      <w:r w:rsidRPr="00540210">
        <w:rPr>
          <w:rFonts w:ascii="Times New Roman" w:hAnsi="Times New Roman" w:cs="Times New Roman"/>
          <w:sz w:val="24"/>
          <w:szCs w:val="24"/>
          <w:lang w:val="en-US"/>
        </w:rPr>
        <w:tab/>
      </w:r>
      <w:r w:rsidR="00067EB4" w:rsidRPr="000E2B31">
        <w:rPr>
          <w:rFonts w:ascii="Times New Roman" w:hAnsi="Times New Roman" w:cs="Times New Roman"/>
          <w:sz w:val="24"/>
          <w:szCs w:val="24"/>
          <w:lang w:val="en-US"/>
        </w:rPr>
        <w:t>abused the Employer’s Supply Chain Management System; or</w:t>
      </w:r>
    </w:p>
    <w:p w14:paraId="1CD27F46" w14:textId="734F769B" w:rsidR="00067EB4" w:rsidRPr="000E2B31" w:rsidRDefault="000E2B31" w:rsidP="000E2B31">
      <w:pPr>
        <w:spacing w:line="240" w:lineRule="auto"/>
        <w:ind w:left="1800" w:hanging="720"/>
        <w:rPr>
          <w:rFonts w:ascii="Times New Roman" w:hAnsi="Times New Roman" w:cs="Times New Roman"/>
          <w:sz w:val="24"/>
          <w:szCs w:val="24"/>
          <w:lang w:val="en-US"/>
        </w:rPr>
      </w:pPr>
      <w:r w:rsidRPr="00540210">
        <w:rPr>
          <w:rFonts w:ascii="Times New Roman" w:hAnsi="Times New Roman" w:cs="Times New Roman"/>
          <w:sz w:val="24"/>
          <w:szCs w:val="24"/>
          <w:lang w:val="en-US"/>
        </w:rPr>
        <w:t>ii.</w:t>
      </w:r>
      <w:r w:rsidRPr="00540210">
        <w:rPr>
          <w:rFonts w:ascii="Times New Roman" w:hAnsi="Times New Roman" w:cs="Times New Roman"/>
          <w:sz w:val="24"/>
          <w:szCs w:val="24"/>
          <w:lang w:val="en-US"/>
        </w:rPr>
        <w:tab/>
      </w:r>
      <w:r w:rsidR="00067EB4" w:rsidRPr="000E2B31">
        <w:rPr>
          <w:rFonts w:ascii="Times New Roman" w:hAnsi="Times New Roman" w:cs="Times New Roman"/>
          <w:sz w:val="24"/>
          <w:szCs w:val="24"/>
          <w:lang w:val="en-US"/>
        </w:rPr>
        <w:t>failed to perform on any previous contract and has been given a written notice to this effect;</w:t>
      </w:r>
    </w:p>
    <w:p w14:paraId="5269655D" w14:textId="1F7CDC8B" w:rsidR="00067EB4" w:rsidRPr="000E2B31" w:rsidRDefault="000E2B31" w:rsidP="000E2B31">
      <w:pPr>
        <w:spacing w:line="240" w:lineRule="auto"/>
        <w:ind w:left="1080" w:hanging="360"/>
        <w:rPr>
          <w:rFonts w:ascii="Times New Roman" w:hAnsi="Times New Roman" w:cs="Times New Roman"/>
          <w:sz w:val="24"/>
          <w:szCs w:val="24"/>
          <w:lang w:val="en-US"/>
        </w:rPr>
      </w:pPr>
      <w:r w:rsidRPr="00540210">
        <w:rPr>
          <w:rFonts w:ascii="Times New Roman" w:hAnsi="Times New Roman" w:cs="Times New Roman"/>
          <w:sz w:val="24"/>
          <w:szCs w:val="24"/>
          <w:lang w:val="en-US"/>
        </w:rPr>
        <w:t>c)</w:t>
      </w:r>
      <w:r w:rsidRPr="00540210">
        <w:rPr>
          <w:rFonts w:ascii="Times New Roman" w:hAnsi="Times New Roman" w:cs="Times New Roman"/>
          <w:sz w:val="24"/>
          <w:szCs w:val="24"/>
          <w:lang w:val="en-US"/>
        </w:rPr>
        <w:tab/>
      </w:r>
      <w:r w:rsidR="00067EB4" w:rsidRPr="000E2B31">
        <w:rPr>
          <w:rFonts w:ascii="Times New Roman" w:hAnsi="Times New Roman" w:cs="Times New Roman"/>
          <w:sz w:val="24"/>
          <w:szCs w:val="24"/>
          <w:lang w:val="en-US"/>
        </w:rPr>
        <w:t xml:space="preserve">the tenderer has completed, signed and submitted the PA-11 Declaration of Interest and Tenderer’s Past Supply Chain Management Practices and there are no conflicts of interest which may impact on the tenderer’s ability to perform the contract in the best interests of the employer or potentially compromise the tender process; and </w:t>
      </w:r>
    </w:p>
    <w:p w14:paraId="30627ED2" w14:textId="6AA57ED1" w:rsidR="00067EB4" w:rsidRPr="000E2B31" w:rsidRDefault="000E2B31" w:rsidP="000E2B31">
      <w:pPr>
        <w:spacing w:line="240" w:lineRule="auto"/>
        <w:ind w:left="1080" w:hanging="360"/>
        <w:rPr>
          <w:rFonts w:ascii="Times New Roman" w:hAnsi="Times New Roman" w:cs="Times New Roman"/>
          <w:sz w:val="24"/>
          <w:szCs w:val="24"/>
          <w:lang w:val="en-US"/>
        </w:rPr>
      </w:pPr>
      <w:r w:rsidRPr="00540210">
        <w:rPr>
          <w:rFonts w:ascii="Times New Roman" w:hAnsi="Times New Roman" w:cs="Times New Roman"/>
          <w:sz w:val="24"/>
          <w:szCs w:val="24"/>
          <w:lang w:val="en-US"/>
        </w:rPr>
        <w:t>d)</w:t>
      </w:r>
      <w:r w:rsidRPr="00540210">
        <w:rPr>
          <w:rFonts w:ascii="Times New Roman" w:hAnsi="Times New Roman" w:cs="Times New Roman"/>
          <w:sz w:val="24"/>
          <w:szCs w:val="24"/>
          <w:lang w:val="en-US"/>
        </w:rPr>
        <w:tab/>
      </w:r>
      <w:r w:rsidR="00067EB4" w:rsidRPr="000E2B31">
        <w:rPr>
          <w:rFonts w:ascii="Times New Roman" w:hAnsi="Times New Roman" w:cs="Times New Roman"/>
          <w:sz w:val="24"/>
          <w:szCs w:val="24"/>
          <w:lang w:val="en-US"/>
        </w:rPr>
        <w:t>the tenderer is registered with:</w:t>
      </w:r>
    </w:p>
    <w:p w14:paraId="4DA8168E" w14:textId="77777777" w:rsidR="00067EB4" w:rsidRPr="00540210" w:rsidRDefault="00067EB4" w:rsidP="00067EB4">
      <w:pPr>
        <w:pStyle w:val="ListParagraph"/>
        <w:spacing w:line="240" w:lineRule="auto"/>
        <w:ind w:left="1080"/>
        <w:rPr>
          <w:rFonts w:ascii="Times New Roman" w:hAnsi="Times New Roman" w:cs="Times New Roman"/>
          <w:sz w:val="24"/>
          <w:szCs w:val="24"/>
          <w:lang w:val="en-US"/>
        </w:rPr>
      </w:pPr>
      <w:r w:rsidRPr="00540210">
        <w:rPr>
          <w:rFonts w:ascii="Times New Roman" w:hAnsi="Times New Roman" w:cs="Times New Roman"/>
          <w:sz w:val="24"/>
          <w:szCs w:val="24"/>
          <w:lang w:val="en-US"/>
        </w:rPr>
        <w:t>i</w:t>
      </w:r>
      <w:r w:rsidRPr="00540210">
        <w:rPr>
          <w:rFonts w:ascii="Times New Roman" w:hAnsi="Times New Roman" w:cs="Times New Roman"/>
          <w:sz w:val="24"/>
          <w:szCs w:val="24"/>
          <w:lang w:val="en-US"/>
        </w:rPr>
        <w:tab/>
        <w:t>the Unemployment Insurance Fund (UIF); and</w:t>
      </w:r>
    </w:p>
    <w:p w14:paraId="44761E60" w14:textId="77777777" w:rsidR="00067EB4" w:rsidRPr="00695B9B" w:rsidRDefault="00067EB4" w:rsidP="002D4EB8">
      <w:pPr>
        <w:pStyle w:val="ListParagraph"/>
        <w:spacing w:before="0" w:beforeAutospacing="0"/>
        <w:ind w:left="1080"/>
        <w:rPr>
          <w:rFonts w:ascii="Times New Roman" w:hAnsi="Times New Roman" w:cs="Times New Roman"/>
          <w:sz w:val="28"/>
          <w:szCs w:val="28"/>
          <w:lang w:val="en-US"/>
        </w:rPr>
      </w:pPr>
      <w:r w:rsidRPr="00540210">
        <w:rPr>
          <w:rFonts w:ascii="Times New Roman" w:hAnsi="Times New Roman" w:cs="Times New Roman"/>
          <w:sz w:val="24"/>
          <w:szCs w:val="24"/>
          <w:lang w:val="en-US"/>
        </w:rPr>
        <w:t>ii)</w:t>
      </w:r>
      <w:r w:rsidRPr="00540210">
        <w:rPr>
          <w:rFonts w:ascii="Times New Roman" w:hAnsi="Times New Roman" w:cs="Times New Roman"/>
          <w:sz w:val="24"/>
          <w:szCs w:val="24"/>
          <w:lang w:val="en-US"/>
        </w:rPr>
        <w:tab/>
        <w:t>the Workmen’s Compensation Fund.”</w:t>
      </w:r>
    </w:p>
    <w:p w14:paraId="33EC4EC0" w14:textId="77777777" w:rsidR="00C962EE" w:rsidRPr="00E56206" w:rsidRDefault="00C962EE" w:rsidP="002D4EB8">
      <w:pPr>
        <w:pStyle w:val="ListParagraph"/>
        <w:tabs>
          <w:tab w:val="left" w:pos="709"/>
        </w:tabs>
        <w:spacing w:before="0" w:beforeAutospacing="0"/>
        <w:ind w:left="0"/>
        <w:jc w:val="both"/>
        <w:rPr>
          <w:rFonts w:ascii="Times New Roman" w:hAnsi="Times New Roman" w:cs="Times New Roman"/>
          <w:sz w:val="24"/>
          <w:szCs w:val="24"/>
          <w:lang w:val="en-US"/>
        </w:rPr>
      </w:pPr>
    </w:p>
    <w:p w14:paraId="74A3BF88" w14:textId="01537C08" w:rsidR="00200A63" w:rsidRPr="00200A63" w:rsidRDefault="00200A63" w:rsidP="002D4EB8">
      <w:pPr>
        <w:spacing w:before="0" w:beforeAutospacing="0"/>
        <w:contextualSpacing/>
        <w:jc w:val="both"/>
        <w:rPr>
          <w:rFonts w:ascii="Times New Roman" w:hAnsi="Times New Roman" w:cs="Times New Roman"/>
          <w:sz w:val="28"/>
          <w:szCs w:val="28"/>
          <w:u w:val="single"/>
          <w:lang w:val="en-US"/>
        </w:rPr>
      </w:pPr>
      <w:r w:rsidRPr="00200A63">
        <w:rPr>
          <w:rFonts w:ascii="Times New Roman" w:hAnsi="Times New Roman" w:cs="Times New Roman"/>
          <w:sz w:val="28"/>
          <w:szCs w:val="28"/>
          <w:u w:val="single"/>
          <w:lang w:val="en-US"/>
        </w:rPr>
        <w:t xml:space="preserve">The review application </w:t>
      </w:r>
    </w:p>
    <w:p w14:paraId="2C18AE19" w14:textId="77777777" w:rsidR="00330FAE" w:rsidRPr="00330FAE" w:rsidRDefault="00330FAE" w:rsidP="002D4EB8">
      <w:pPr>
        <w:pStyle w:val="ListParagraph"/>
        <w:tabs>
          <w:tab w:val="left" w:pos="709"/>
        </w:tabs>
        <w:spacing w:before="0" w:beforeAutospacing="0"/>
        <w:ind w:left="0"/>
        <w:jc w:val="both"/>
        <w:rPr>
          <w:rFonts w:ascii="Times New Roman" w:hAnsi="Times New Roman" w:cs="Times New Roman"/>
          <w:sz w:val="28"/>
          <w:szCs w:val="28"/>
          <w:u w:val="single"/>
          <w:lang w:val="en-US"/>
        </w:rPr>
      </w:pPr>
    </w:p>
    <w:p w14:paraId="4624C8C0" w14:textId="33BA4AF3" w:rsidR="00330FAE" w:rsidRPr="000E2B31" w:rsidRDefault="000E2B31" w:rsidP="000E2B31">
      <w:pPr>
        <w:tabs>
          <w:tab w:val="left" w:pos="709"/>
        </w:tabs>
        <w:spacing w:before="0" w:beforeAutospacing="0"/>
        <w:jc w:val="both"/>
        <w:rPr>
          <w:rFonts w:ascii="Times New Roman" w:hAnsi="Times New Roman" w:cs="Times New Roman"/>
          <w:sz w:val="28"/>
          <w:szCs w:val="28"/>
          <w:u w:val="single"/>
          <w:lang w:val="en-US"/>
        </w:rPr>
      </w:pPr>
      <w:r w:rsidRPr="00330FAE">
        <w:rPr>
          <w:rFonts w:ascii="Times New Roman" w:hAnsi="Times New Roman" w:cs="Times New Roman"/>
          <w:sz w:val="28"/>
          <w:szCs w:val="28"/>
          <w:lang w:val="en-US"/>
        </w:rPr>
        <w:t>[25]</w:t>
      </w:r>
      <w:r w:rsidRPr="00330FAE">
        <w:rPr>
          <w:rFonts w:ascii="Times New Roman" w:hAnsi="Times New Roman" w:cs="Times New Roman"/>
          <w:sz w:val="28"/>
          <w:szCs w:val="28"/>
          <w:lang w:val="en-US"/>
        </w:rPr>
        <w:tab/>
      </w:r>
      <w:r w:rsidR="00330FAE" w:rsidRPr="000E2B31">
        <w:rPr>
          <w:rFonts w:ascii="Times New Roman" w:hAnsi="Times New Roman" w:cs="Times New Roman"/>
          <w:sz w:val="28"/>
          <w:szCs w:val="28"/>
          <w:lang w:val="en-US"/>
        </w:rPr>
        <w:t xml:space="preserve">The orders </w:t>
      </w:r>
      <w:r w:rsidR="00E84EAD" w:rsidRPr="000E2B31">
        <w:rPr>
          <w:rFonts w:ascii="Times New Roman" w:hAnsi="Times New Roman" w:cs="Times New Roman"/>
          <w:sz w:val="28"/>
          <w:szCs w:val="28"/>
          <w:lang w:val="en-US"/>
        </w:rPr>
        <w:t xml:space="preserve">that are the subject of </w:t>
      </w:r>
      <w:r w:rsidR="00036420" w:rsidRPr="000E2B31">
        <w:rPr>
          <w:rFonts w:ascii="Times New Roman" w:hAnsi="Times New Roman" w:cs="Times New Roman"/>
          <w:sz w:val="28"/>
          <w:szCs w:val="28"/>
          <w:lang w:val="en-US"/>
        </w:rPr>
        <w:t xml:space="preserve">the present </w:t>
      </w:r>
      <w:r w:rsidR="00E84EAD" w:rsidRPr="000E2B31">
        <w:rPr>
          <w:rFonts w:ascii="Times New Roman" w:hAnsi="Times New Roman" w:cs="Times New Roman"/>
          <w:sz w:val="28"/>
          <w:szCs w:val="28"/>
          <w:lang w:val="en-US"/>
        </w:rPr>
        <w:t xml:space="preserve">appeal </w:t>
      </w:r>
      <w:r w:rsidR="00330FAE" w:rsidRPr="000E2B31">
        <w:rPr>
          <w:rFonts w:ascii="Times New Roman" w:hAnsi="Times New Roman" w:cs="Times New Roman"/>
          <w:sz w:val="28"/>
          <w:szCs w:val="28"/>
          <w:lang w:val="en-US"/>
        </w:rPr>
        <w:t xml:space="preserve">were granted in favour of the first respondent who </w:t>
      </w:r>
      <w:r w:rsidR="008A1E7C" w:rsidRPr="000E2B31">
        <w:rPr>
          <w:rFonts w:ascii="Times New Roman" w:hAnsi="Times New Roman" w:cs="Times New Roman"/>
          <w:sz w:val="28"/>
          <w:szCs w:val="28"/>
          <w:lang w:val="en-US"/>
        </w:rPr>
        <w:t xml:space="preserve">successfully </w:t>
      </w:r>
      <w:r w:rsidR="00330FAE" w:rsidRPr="000E2B31">
        <w:rPr>
          <w:rFonts w:ascii="Times New Roman" w:hAnsi="Times New Roman" w:cs="Times New Roman"/>
          <w:sz w:val="28"/>
          <w:szCs w:val="28"/>
          <w:lang w:val="en-US"/>
        </w:rPr>
        <w:t>challenge</w:t>
      </w:r>
      <w:r w:rsidR="00424C38" w:rsidRPr="000E2B31">
        <w:rPr>
          <w:rFonts w:ascii="Times New Roman" w:hAnsi="Times New Roman" w:cs="Times New Roman"/>
          <w:sz w:val="28"/>
          <w:szCs w:val="28"/>
          <w:lang w:val="en-US"/>
        </w:rPr>
        <w:t>d</w:t>
      </w:r>
      <w:r w:rsidR="00802382" w:rsidRPr="000E2B31">
        <w:rPr>
          <w:rFonts w:ascii="Times New Roman" w:hAnsi="Times New Roman" w:cs="Times New Roman"/>
          <w:sz w:val="28"/>
          <w:szCs w:val="28"/>
          <w:lang w:val="en-US"/>
        </w:rPr>
        <w:t xml:space="preserve"> </w:t>
      </w:r>
      <w:r w:rsidR="00956E47" w:rsidRPr="000E2B31">
        <w:rPr>
          <w:rFonts w:ascii="Times New Roman" w:hAnsi="Times New Roman" w:cs="Times New Roman"/>
          <w:sz w:val="28"/>
          <w:szCs w:val="28"/>
          <w:lang w:val="en-US"/>
        </w:rPr>
        <w:t xml:space="preserve">both </w:t>
      </w:r>
      <w:r w:rsidR="00802382" w:rsidRPr="000E2B31">
        <w:rPr>
          <w:rFonts w:ascii="Times New Roman" w:hAnsi="Times New Roman" w:cs="Times New Roman"/>
          <w:sz w:val="28"/>
          <w:szCs w:val="28"/>
          <w:lang w:val="en-US"/>
        </w:rPr>
        <w:t>the award of the tender by the appellant to the second respondent (the cul</w:t>
      </w:r>
      <w:r w:rsidR="00023679" w:rsidRPr="000E2B31">
        <w:rPr>
          <w:rFonts w:ascii="Times New Roman" w:hAnsi="Times New Roman" w:cs="Times New Roman"/>
          <w:sz w:val="28"/>
          <w:szCs w:val="28"/>
          <w:lang w:val="en-US"/>
        </w:rPr>
        <w:t xml:space="preserve">minating decision) </w:t>
      </w:r>
      <w:r w:rsidR="00956E47" w:rsidRPr="000E2B31">
        <w:rPr>
          <w:rFonts w:ascii="Times New Roman" w:hAnsi="Times New Roman" w:cs="Times New Roman"/>
          <w:sz w:val="28"/>
          <w:szCs w:val="28"/>
          <w:lang w:val="en-US"/>
        </w:rPr>
        <w:t>and the related decision</w:t>
      </w:r>
      <w:r w:rsidR="00A17A6F" w:rsidRPr="000E2B31">
        <w:rPr>
          <w:rFonts w:ascii="Times New Roman" w:hAnsi="Times New Roman" w:cs="Times New Roman"/>
          <w:sz w:val="28"/>
          <w:szCs w:val="28"/>
          <w:lang w:val="en-US"/>
        </w:rPr>
        <w:t xml:space="preserve"> </w:t>
      </w:r>
      <w:r w:rsidR="00E24C19" w:rsidRPr="000E2B31">
        <w:rPr>
          <w:rFonts w:ascii="Times New Roman" w:hAnsi="Times New Roman" w:cs="Times New Roman"/>
          <w:sz w:val="28"/>
          <w:szCs w:val="28"/>
          <w:lang w:val="en-US"/>
        </w:rPr>
        <w:t>declaring the first respondent’s bid ineligible</w:t>
      </w:r>
      <w:r w:rsidR="00956E47" w:rsidRPr="000E2B31">
        <w:rPr>
          <w:rFonts w:ascii="Times New Roman" w:hAnsi="Times New Roman" w:cs="Times New Roman"/>
          <w:sz w:val="28"/>
          <w:szCs w:val="28"/>
          <w:lang w:val="en-US"/>
        </w:rPr>
        <w:t xml:space="preserve"> pursuant to </w:t>
      </w:r>
      <w:r w:rsidR="00067EB4" w:rsidRPr="000E2B31">
        <w:rPr>
          <w:rFonts w:ascii="Times New Roman" w:hAnsi="Times New Roman" w:cs="Times New Roman"/>
          <w:sz w:val="28"/>
          <w:szCs w:val="28"/>
          <w:lang w:val="en-US"/>
        </w:rPr>
        <w:t>the</w:t>
      </w:r>
      <w:r w:rsidR="00956E47" w:rsidRPr="000E2B31">
        <w:rPr>
          <w:rFonts w:ascii="Times New Roman" w:hAnsi="Times New Roman" w:cs="Times New Roman"/>
          <w:sz w:val="28"/>
          <w:szCs w:val="28"/>
          <w:lang w:val="en-US"/>
        </w:rPr>
        <w:t xml:space="preserve"> risk assessment</w:t>
      </w:r>
      <w:r w:rsidR="008A1E7C" w:rsidRPr="000E2B31">
        <w:rPr>
          <w:rFonts w:ascii="Times New Roman" w:hAnsi="Times New Roman" w:cs="Times New Roman"/>
          <w:sz w:val="28"/>
          <w:szCs w:val="28"/>
          <w:lang w:val="en-US"/>
        </w:rPr>
        <w:t xml:space="preserve"> (the risk decision)</w:t>
      </w:r>
      <w:r w:rsidR="00067EB4" w:rsidRPr="000E2B31">
        <w:rPr>
          <w:rFonts w:ascii="Times New Roman" w:hAnsi="Times New Roman" w:cs="Times New Roman"/>
          <w:sz w:val="28"/>
          <w:szCs w:val="28"/>
          <w:lang w:val="en-US"/>
        </w:rPr>
        <w:t xml:space="preserve"> undertaken in terms of Clause C</w:t>
      </w:r>
      <w:r w:rsidR="008A1E7C" w:rsidRPr="000E2B31">
        <w:rPr>
          <w:rFonts w:ascii="Times New Roman" w:hAnsi="Times New Roman" w:cs="Times New Roman"/>
          <w:sz w:val="28"/>
          <w:szCs w:val="28"/>
          <w:lang w:val="en-US"/>
        </w:rPr>
        <w:t>.</w:t>
      </w:r>
      <w:r w:rsidR="00330FAE" w:rsidRPr="000E2B31">
        <w:rPr>
          <w:rFonts w:ascii="Times New Roman" w:hAnsi="Times New Roman" w:cs="Times New Roman"/>
          <w:sz w:val="28"/>
          <w:szCs w:val="28"/>
          <w:lang w:val="en-US"/>
        </w:rPr>
        <w:t xml:space="preserve"> </w:t>
      </w:r>
      <w:r w:rsidR="00AE4863" w:rsidRPr="000E2B31">
        <w:rPr>
          <w:rFonts w:ascii="Times New Roman" w:hAnsi="Times New Roman" w:cs="Times New Roman"/>
          <w:sz w:val="28"/>
          <w:szCs w:val="28"/>
          <w:lang w:val="en-US"/>
        </w:rPr>
        <w:t>In response to t</w:t>
      </w:r>
      <w:r w:rsidR="00036420" w:rsidRPr="000E2B31">
        <w:rPr>
          <w:rFonts w:ascii="Times New Roman" w:hAnsi="Times New Roman" w:cs="Times New Roman"/>
          <w:sz w:val="28"/>
          <w:szCs w:val="28"/>
          <w:lang w:val="en-US"/>
        </w:rPr>
        <w:t>he complaint that the second and third respondents should have been eliminated during the responsive phase</w:t>
      </w:r>
      <w:r w:rsidR="00E24C19" w:rsidRPr="000E2B31">
        <w:rPr>
          <w:rFonts w:ascii="Times New Roman" w:hAnsi="Times New Roman" w:cs="Times New Roman"/>
          <w:sz w:val="28"/>
          <w:szCs w:val="28"/>
          <w:lang w:val="en-US"/>
        </w:rPr>
        <w:t xml:space="preserve"> </w:t>
      </w:r>
      <w:r w:rsidR="00956E47" w:rsidRPr="000E2B31">
        <w:rPr>
          <w:rFonts w:ascii="Times New Roman" w:hAnsi="Times New Roman" w:cs="Times New Roman"/>
          <w:sz w:val="28"/>
          <w:szCs w:val="28"/>
          <w:lang w:val="en-US"/>
        </w:rPr>
        <w:t>already (</w:t>
      </w:r>
      <w:r w:rsidR="004C392C" w:rsidRPr="000E2B31">
        <w:rPr>
          <w:rFonts w:ascii="Times New Roman" w:hAnsi="Times New Roman" w:cs="Times New Roman"/>
          <w:sz w:val="28"/>
          <w:szCs w:val="28"/>
          <w:lang w:val="en-US"/>
        </w:rPr>
        <w:t>decisive</w:t>
      </w:r>
      <w:r w:rsidR="00036420" w:rsidRPr="000E2B31">
        <w:rPr>
          <w:rFonts w:ascii="Times New Roman" w:hAnsi="Times New Roman" w:cs="Times New Roman"/>
          <w:sz w:val="28"/>
          <w:szCs w:val="28"/>
          <w:lang w:val="en-US"/>
        </w:rPr>
        <w:t xml:space="preserve"> from the first respondent’s perspective </w:t>
      </w:r>
      <w:r w:rsidR="008A6E86" w:rsidRPr="000E2B31">
        <w:rPr>
          <w:rFonts w:ascii="Times New Roman" w:hAnsi="Times New Roman" w:cs="Times New Roman"/>
          <w:sz w:val="28"/>
          <w:szCs w:val="28"/>
          <w:lang w:val="en-US"/>
        </w:rPr>
        <w:t xml:space="preserve">as </w:t>
      </w:r>
      <w:r w:rsidR="00036420" w:rsidRPr="000E2B31">
        <w:rPr>
          <w:rFonts w:ascii="Times New Roman" w:hAnsi="Times New Roman" w:cs="Times New Roman"/>
          <w:sz w:val="28"/>
          <w:szCs w:val="28"/>
          <w:lang w:val="en-US"/>
        </w:rPr>
        <w:t xml:space="preserve">to what instead happened during the evaluation </w:t>
      </w:r>
      <w:r w:rsidR="00A17A6F" w:rsidRPr="000E2B31">
        <w:rPr>
          <w:rFonts w:ascii="Times New Roman" w:hAnsi="Times New Roman" w:cs="Times New Roman"/>
          <w:sz w:val="28"/>
          <w:szCs w:val="28"/>
          <w:lang w:val="en-US"/>
        </w:rPr>
        <w:t>or award</w:t>
      </w:r>
      <w:r w:rsidR="008A1E7C" w:rsidRPr="000E2B31">
        <w:rPr>
          <w:rFonts w:ascii="Times New Roman" w:hAnsi="Times New Roman" w:cs="Times New Roman"/>
          <w:sz w:val="28"/>
          <w:szCs w:val="28"/>
          <w:lang w:val="en-US"/>
        </w:rPr>
        <w:t xml:space="preserve"> </w:t>
      </w:r>
      <w:r w:rsidR="00A17A6F" w:rsidRPr="000E2B31">
        <w:rPr>
          <w:rFonts w:ascii="Times New Roman" w:hAnsi="Times New Roman" w:cs="Times New Roman"/>
          <w:sz w:val="28"/>
          <w:szCs w:val="28"/>
          <w:lang w:val="en-US"/>
        </w:rPr>
        <w:t>phase</w:t>
      </w:r>
      <w:r w:rsidR="00E24C19" w:rsidRPr="000E2B31">
        <w:rPr>
          <w:rFonts w:ascii="Times New Roman" w:hAnsi="Times New Roman" w:cs="Times New Roman"/>
          <w:sz w:val="28"/>
          <w:szCs w:val="28"/>
          <w:lang w:val="en-US"/>
        </w:rPr>
        <w:t xml:space="preserve"> and bearing on </w:t>
      </w:r>
      <w:r w:rsidR="00AE4863" w:rsidRPr="000E2B31">
        <w:rPr>
          <w:rFonts w:ascii="Times New Roman" w:hAnsi="Times New Roman" w:cs="Times New Roman"/>
          <w:sz w:val="28"/>
          <w:szCs w:val="28"/>
          <w:lang w:val="en-US"/>
        </w:rPr>
        <w:t>the issue of</w:t>
      </w:r>
      <w:r w:rsidR="00E24C19" w:rsidRPr="000E2B31">
        <w:rPr>
          <w:rFonts w:ascii="Times New Roman" w:hAnsi="Times New Roman" w:cs="Times New Roman"/>
          <w:sz w:val="28"/>
          <w:szCs w:val="28"/>
          <w:lang w:val="en-US"/>
        </w:rPr>
        <w:t xml:space="preserve"> prejudice to it)</w:t>
      </w:r>
      <w:r w:rsidR="00A17A6F" w:rsidRPr="000E2B31">
        <w:rPr>
          <w:rFonts w:ascii="Times New Roman" w:hAnsi="Times New Roman" w:cs="Times New Roman"/>
          <w:sz w:val="28"/>
          <w:szCs w:val="28"/>
          <w:lang w:val="en-US"/>
        </w:rPr>
        <w:t>,</w:t>
      </w:r>
      <w:r w:rsidR="00C962EE">
        <w:rPr>
          <w:rStyle w:val="FootnoteReference"/>
          <w:rFonts w:ascii="Times New Roman" w:hAnsi="Times New Roman" w:cs="Times New Roman"/>
          <w:sz w:val="28"/>
          <w:szCs w:val="28"/>
          <w:lang w:val="en-US"/>
        </w:rPr>
        <w:footnoteReference w:id="5"/>
      </w:r>
      <w:r w:rsidR="00A17A6F" w:rsidRPr="000E2B31">
        <w:rPr>
          <w:rFonts w:ascii="Times New Roman" w:hAnsi="Times New Roman" w:cs="Times New Roman"/>
          <w:sz w:val="28"/>
          <w:szCs w:val="28"/>
          <w:lang w:val="en-US"/>
        </w:rPr>
        <w:t xml:space="preserve"> </w:t>
      </w:r>
      <w:r w:rsidR="00956E47" w:rsidRPr="000E2B31">
        <w:rPr>
          <w:rFonts w:ascii="Times New Roman" w:hAnsi="Times New Roman" w:cs="Times New Roman"/>
          <w:sz w:val="28"/>
          <w:szCs w:val="28"/>
          <w:lang w:val="en-US"/>
        </w:rPr>
        <w:t xml:space="preserve">the court </w:t>
      </w:r>
      <w:r w:rsidR="00956E47" w:rsidRPr="000E2B31">
        <w:rPr>
          <w:rFonts w:ascii="Times New Roman" w:hAnsi="Times New Roman" w:cs="Times New Roman"/>
          <w:i/>
          <w:iCs/>
          <w:sz w:val="28"/>
          <w:szCs w:val="28"/>
          <w:lang w:val="en-US"/>
        </w:rPr>
        <w:t>a quo</w:t>
      </w:r>
      <w:r w:rsidR="00956E47" w:rsidRPr="000E2B31">
        <w:rPr>
          <w:rFonts w:ascii="Times New Roman" w:hAnsi="Times New Roman" w:cs="Times New Roman"/>
          <w:sz w:val="28"/>
          <w:szCs w:val="28"/>
          <w:lang w:val="en-US"/>
        </w:rPr>
        <w:t xml:space="preserve"> also set aside </w:t>
      </w:r>
      <w:r w:rsidR="00A17A6F" w:rsidRPr="000E2B31">
        <w:rPr>
          <w:rFonts w:ascii="Times New Roman" w:hAnsi="Times New Roman" w:cs="Times New Roman"/>
          <w:sz w:val="28"/>
          <w:szCs w:val="28"/>
          <w:lang w:val="en-US"/>
        </w:rPr>
        <w:t xml:space="preserve">two discrete </w:t>
      </w:r>
      <w:r w:rsidR="00AE4863" w:rsidRPr="000E2B31">
        <w:rPr>
          <w:rFonts w:ascii="Times New Roman" w:hAnsi="Times New Roman" w:cs="Times New Roman"/>
          <w:sz w:val="28"/>
          <w:szCs w:val="28"/>
          <w:lang w:val="en-US"/>
        </w:rPr>
        <w:t>decisions of the Bid Evaluation Committee (“BEC”) of the Department declaring these bids as administratively responsive</w:t>
      </w:r>
      <w:r w:rsidR="00A17A6F" w:rsidRPr="000E2B31">
        <w:rPr>
          <w:rFonts w:ascii="Times New Roman" w:hAnsi="Times New Roman" w:cs="Times New Roman"/>
          <w:sz w:val="28"/>
          <w:szCs w:val="28"/>
          <w:lang w:val="en-US"/>
        </w:rPr>
        <w:t>.</w:t>
      </w:r>
      <w:r w:rsidR="00956E47">
        <w:rPr>
          <w:rStyle w:val="FootnoteReference"/>
          <w:rFonts w:ascii="Times New Roman" w:hAnsi="Times New Roman" w:cs="Times New Roman"/>
          <w:sz w:val="28"/>
          <w:szCs w:val="28"/>
          <w:lang w:val="en-US"/>
        </w:rPr>
        <w:footnoteReference w:id="6"/>
      </w:r>
      <w:r w:rsidR="00A17A6F" w:rsidRPr="000E2B31">
        <w:rPr>
          <w:rFonts w:ascii="Times New Roman" w:hAnsi="Times New Roman" w:cs="Times New Roman"/>
          <w:sz w:val="28"/>
          <w:szCs w:val="28"/>
          <w:lang w:val="en-US"/>
        </w:rPr>
        <w:t xml:space="preserve"> </w:t>
      </w:r>
      <w:r w:rsidR="008A1E7C" w:rsidRPr="000E2B31">
        <w:rPr>
          <w:rFonts w:ascii="Times New Roman" w:hAnsi="Times New Roman" w:cs="Times New Roman"/>
          <w:sz w:val="28"/>
          <w:szCs w:val="28"/>
          <w:lang w:val="en-US"/>
        </w:rPr>
        <w:t xml:space="preserve"> </w:t>
      </w:r>
    </w:p>
    <w:p w14:paraId="0C36487E" w14:textId="77777777" w:rsidR="00330FAE" w:rsidRPr="00330FAE" w:rsidRDefault="00330FAE" w:rsidP="00330FAE">
      <w:pPr>
        <w:pStyle w:val="ListParagraph"/>
        <w:rPr>
          <w:rFonts w:ascii="Times New Roman" w:hAnsi="Times New Roman" w:cs="Times New Roman"/>
          <w:sz w:val="28"/>
          <w:szCs w:val="28"/>
          <w:lang w:val="en-US"/>
        </w:rPr>
      </w:pPr>
    </w:p>
    <w:p w14:paraId="5362702F" w14:textId="79DB9565" w:rsidR="00330FAE" w:rsidRPr="000E2B31" w:rsidRDefault="000E2B31" w:rsidP="000E2B31">
      <w:pPr>
        <w:tabs>
          <w:tab w:val="left" w:pos="709"/>
        </w:tabs>
        <w:spacing w:before="0" w:beforeAutospacing="0"/>
        <w:jc w:val="both"/>
        <w:rPr>
          <w:rFonts w:ascii="Times New Roman" w:hAnsi="Times New Roman" w:cs="Times New Roman"/>
          <w:sz w:val="28"/>
          <w:szCs w:val="28"/>
          <w:u w:val="single"/>
          <w:lang w:val="en-US"/>
        </w:rPr>
      </w:pPr>
      <w:r w:rsidRPr="00036420">
        <w:rPr>
          <w:rFonts w:ascii="Times New Roman" w:hAnsi="Times New Roman" w:cs="Times New Roman"/>
          <w:sz w:val="28"/>
          <w:szCs w:val="28"/>
          <w:lang w:val="en-US"/>
        </w:rPr>
        <w:t>[26]</w:t>
      </w:r>
      <w:r w:rsidRPr="00036420">
        <w:rPr>
          <w:rFonts w:ascii="Times New Roman" w:hAnsi="Times New Roman" w:cs="Times New Roman"/>
          <w:sz w:val="28"/>
          <w:szCs w:val="28"/>
          <w:lang w:val="en-US"/>
        </w:rPr>
        <w:tab/>
      </w:r>
      <w:r w:rsidR="00E84EAD" w:rsidRPr="000E2B31">
        <w:rPr>
          <w:rFonts w:ascii="Times New Roman" w:hAnsi="Times New Roman" w:cs="Times New Roman"/>
          <w:sz w:val="28"/>
          <w:szCs w:val="28"/>
          <w:lang w:val="en-US"/>
        </w:rPr>
        <w:t>T</w:t>
      </w:r>
      <w:r w:rsidR="00330FAE" w:rsidRPr="000E2B31">
        <w:rPr>
          <w:rFonts w:ascii="Times New Roman" w:hAnsi="Times New Roman" w:cs="Times New Roman"/>
          <w:sz w:val="28"/>
          <w:szCs w:val="28"/>
          <w:lang w:val="en-US"/>
        </w:rPr>
        <w:t>he first respondent competed with the second and third respondents</w:t>
      </w:r>
      <w:r w:rsidR="001B0F26" w:rsidRPr="000E2B31">
        <w:rPr>
          <w:rFonts w:ascii="Times New Roman" w:hAnsi="Times New Roman" w:cs="Times New Roman"/>
          <w:sz w:val="28"/>
          <w:szCs w:val="28"/>
          <w:lang w:val="en-US"/>
        </w:rPr>
        <w:t xml:space="preserve"> (who did not oppose any of the relief sought by the first respondent)</w:t>
      </w:r>
      <w:r w:rsidR="00330FAE" w:rsidRPr="000E2B31">
        <w:rPr>
          <w:rFonts w:ascii="Times New Roman" w:hAnsi="Times New Roman" w:cs="Times New Roman"/>
          <w:sz w:val="28"/>
          <w:szCs w:val="28"/>
          <w:lang w:val="en-US"/>
        </w:rPr>
        <w:t xml:space="preserve"> in the final contest for the award of the tender</w:t>
      </w:r>
      <w:r w:rsidR="00E84EAD" w:rsidRPr="000E2B31">
        <w:rPr>
          <w:rFonts w:ascii="Times New Roman" w:hAnsi="Times New Roman" w:cs="Times New Roman"/>
          <w:sz w:val="28"/>
          <w:szCs w:val="28"/>
          <w:lang w:val="en-US"/>
        </w:rPr>
        <w:t>,</w:t>
      </w:r>
      <w:r w:rsidR="00330FAE" w:rsidRPr="000E2B31">
        <w:rPr>
          <w:rFonts w:ascii="Times New Roman" w:hAnsi="Times New Roman" w:cs="Times New Roman"/>
          <w:sz w:val="28"/>
          <w:szCs w:val="28"/>
          <w:lang w:val="en-US"/>
        </w:rPr>
        <w:t xml:space="preserve"> </w:t>
      </w:r>
      <w:r w:rsidR="00603652" w:rsidRPr="000E2B31">
        <w:rPr>
          <w:rFonts w:ascii="Times New Roman" w:hAnsi="Times New Roman" w:cs="Times New Roman"/>
          <w:sz w:val="28"/>
          <w:szCs w:val="28"/>
          <w:lang w:val="en-US"/>
        </w:rPr>
        <w:t xml:space="preserve">that </w:t>
      </w:r>
      <w:r w:rsidR="00DC34B8" w:rsidRPr="000E2B31">
        <w:rPr>
          <w:rFonts w:ascii="Times New Roman" w:hAnsi="Times New Roman" w:cs="Times New Roman"/>
          <w:sz w:val="28"/>
          <w:szCs w:val="28"/>
          <w:lang w:val="en-US"/>
        </w:rPr>
        <w:t>is in the evaluation phase</w:t>
      </w:r>
      <w:r w:rsidR="00081AA4" w:rsidRPr="000E2B31">
        <w:rPr>
          <w:rFonts w:ascii="Times New Roman" w:hAnsi="Times New Roman" w:cs="Times New Roman"/>
          <w:sz w:val="28"/>
          <w:szCs w:val="28"/>
          <w:lang w:val="en-US"/>
        </w:rPr>
        <w:t>,</w:t>
      </w:r>
      <w:r w:rsidR="00AC1EC4" w:rsidRPr="000E2B31">
        <w:rPr>
          <w:rFonts w:ascii="Times New Roman" w:hAnsi="Times New Roman" w:cs="Times New Roman"/>
          <w:sz w:val="28"/>
          <w:szCs w:val="28"/>
          <w:lang w:val="en-US"/>
        </w:rPr>
        <w:t xml:space="preserve"> </w:t>
      </w:r>
      <w:r w:rsidR="00036420" w:rsidRPr="000E2B31">
        <w:rPr>
          <w:rFonts w:ascii="Times New Roman" w:hAnsi="Times New Roman" w:cs="Times New Roman"/>
          <w:sz w:val="28"/>
          <w:szCs w:val="28"/>
          <w:lang w:val="en-US"/>
        </w:rPr>
        <w:t xml:space="preserve">theirs </w:t>
      </w:r>
      <w:r w:rsidR="00330FAE" w:rsidRPr="000E2B31">
        <w:rPr>
          <w:rFonts w:ascii="Times New Roman" w:hAnsi="Times New Roman" w:cs="Times New Roman"/>
          <w:sz w:val="28"/>
          <w:szCs w:val="28"/>
          <w:lang w:val="en-US"/>
        </w:rPr>
        <w:t xml:space="preserve">being the only three </w:t>
      </w:r>
      <w:r w:rsidR="001B0F26" w:rsidRPr="000E2B31">
        <w:rPr>
          <w:rFonts w:ascii="Times New Roman" w:hAnsi="Times New Roman" w:cs="Times New Roman"/>
          <w:sz w:val="28"/>
          <w:szCs w:val="28"/>
          <w:lang w:val="en-US"/>
        </w:rPr>
        <w:t>bids</w:t>
      </w:r>
      <w:r w:rsidR="00081AA4" w:rsidRPr="000E2B31">
        <w:rPr>
          <w:rFonts w:ascii="Times New Roman" w:hAnsi="Times New Roman" w:cs="Times New Roman"/>
          <w:sz w:val="28"/>
          <w:szCs w:val="28"/>
          <w:lang w:val="en-US"/>
        </w:rPr>
        <w:t xml:space="preserve"> that</w:t>
      </w:r>
      <w:r w:rsidR="00330FAE" w:rsidRPr="000E2B31">
        <w:rPr>
          <w:rFonts w:ascii="Times New Roman" w:hAnsi="Times New Roman" w:cs="Times New Roman"/>
          <w:sz w:val="28"/>
          <w:szCs w:val="28"/>
          <w:lang w:val="en-US"/>
        </w:rPr>
        <w:t xml:space="preserve"> </w:t>
      </w:r>
      <w:r w:rsidR="00C962EE" w:rsidRPr="000E2B31">
        <w:rPr>
          <w:rFonts w:ascii="Times New Roman" w:hAnsi="Times New Roman" w:cs="Times New Roman"/>
          <w:sz w:val="28"/>
          <w:szCs w:val="28"/>
          <w:lang w:val="en-US"/>
        </w:rPr>
        <w:t>passed</w:t>
      </w:r>
      <w:r w:rsidR="00330FAE" w:rsidRPr="000E2B31">
        <w:rPr>
          <w:rFonts w:ascii="Times New Roman" w:hAnsi="Times New Roman" w:cs="Times New Roman"/>
          <w:sz w:val="28"/>
          <w:szCs w:val="28"/>
          <w:lang w:val="en-US"/>
        </w:rPr>
        <w:t xml:space="preserve"> the functionality threshold.</w:t>
      </w:r>
      <w:r w:rsidR="001B0F26">
        <w:rPr>
          <w:rStyle w:val="FootnoteReference"/>
          <w:rFonts w:ascii="Times New Roman" w:hAnsi="Times New Roman" w:cs="Times New Roman"/>
          <w:sz w:val="28"/>
          <w:szCs w:val="28"/>
          <w:lang w:val="en-US"/>
        </w:rPr>
        <w:footnoteReference w:id="7"/>
      </w:r>
      <w:r w:rsidR="00330FAE" w:rsidRPr="000E2B31">
        <w:rPr>
          <w:rFonts w:ascii="Times New Roman" w:hAnsi="Times New Roman" w:cs="Times New Roman"/>
          <w:sz w:val="28"/>
          <w:szCs w:val="28"/>
          <w:lang w:val="en-US"/>
        </w:rPr>
        <w:t xml:space="preserve"> The third respondent’s bid was disqualified </w:t>
      </w:r>
      <w:r w:rsidR="00081AA4" w:rsidRPr="000E2B31">
        <w:rPr>
          <w:rFonts w:ascii="Times New Roman" w:hAnsi="Times New Roman" w:cs="Times New Roman"/>
          <w:sz w:val="28"/>
          <w:szCs w:val="28"/>
          <w:lang w:val="en-US"/>
        </w:rPr>
        <w:t xml:space="preserve">in </w:t>
      </w:r>
      <w:r w:rsidR="00AC1EC4" w:rsidRPr="000E2B31">
        <w:rPr>
          <w:rFonts w:ascii="Times New Roman" w:hAnsi="Times New Roman" w:cs="Times New Roman"/>
          <w:sz w:val="28"/>
          <w:szCs w:val="28"/>
          <w:lang w:val="en-US"/>
        </w:rPr>
        <w:t>this final phase</w:t>
      </w:r>
      <w:r w:rsidR="00686276" w:rsidRPr="000E2B31">
        <w:rPr>
          <w:rFonts w:ascii="Times New Roman" w:hAnsi="Times New Roman" w:cs="Times New Roman"/>
          <w:sz w:val="28"/>
          <w:szCs w:val="28"/>
          <w:lang w:val="en-US"/>
        </w:rPr>
        <w:t xml:space="preserve"> purportedly due to commercial risk, and the </w:t>
      </w:r>
      <w:r w:rsidR="0069384A" w:rsidRPr="000E2B31">
        <w:rPr>
          <w:rFonts w:ascii="Times New Roman" w:hAnsi="Times New Roman" w:cs="Times New Roman"/>
          <w:sz w:val="28"/>
          <w:szCs w:val="28"/>
          <w:lang w:val="en-US"/>
        </w:rPr>
        <w:t>first respondent’s due to technical risk.</w:t>
      </w:r>
      <w:r w:rsidR="00686276" w:rsidRPr="000E2B31">
        <w:rPr>
          <w:rFonts w:ascii="Times New Roman" w:hAnsi="Times New Roman" w:cs="Times New Roman"/>
          <w:sz w:val="28"/>
          <w:szCs w:val="28"/>
          <w:lang w:val="en-US"/>
        </w:rPr>
        <w:t xml:space="preserve"> </w:t>
      </w:r>
    </w:p>
    <w:p w14:paraId="1C591E69" w14:textId="77777777" w:rsidR="00036420" w:rsidRPr="00036420" w:rsidRDefault="00036420" w:rsidP="00036420">
      <w:pPr>
        <w:pStyle w:val="ListParagraph"/>
        <w:tabs>
          <w:tab w:val="left" w:pos="709"/>
        </w:tabs>
        <w:spacing w:before="0" w:beforeAutospacing="0"/>
        <w:ind w:left="0"/>
        <w:jc w:val="both"/>
        <w:rPr>
          <w:rFonts w:ascii="Times New Roman" w:hAnsi="Times New Roman" w:cs="Times New Roman"/>
          <w:sz w:val="28"/>
          <w:szCs w:val="28"/>
          <w:u w:val="single"/>
          <w:lang w:val="en-US"/>
        </w:rPr>
      </w:pPr>
    </w:p>
    <w:p w14:paraId="3A6D8F4E" w14:textId="7C288F43" w:rsidR="00330FAE" w:rsidRPr="000E2B31" w:rsidRDefault="000E2B31" w:rsidP="000E2B31">
      <w:pPr>
        <w:tabs>
          <w:tab w:val="left" w:pos="709"/>
        </w:tabs>
        <w:spacing w:before="0" w:beforeAutospacing="0"/>
        <w:jc w:val="both"/>
        <w:rPr>
          <w:rFonts w:ascii="Times New Roman" w:hAnsi="Times New Roman" w:cs="Times New Roman"/>
          <w:sz w:val="28"/>
          <w:szCs w:val="28"/>
          <w:u w:val="single"/>
          <w:lang w:val="en-US"/>
        </w:rPr>
      </w:pPr>
      <w:r w:rsidRPr="00330FAE">
        <w:rPr>
          <w:rFonts w:ascii="Times New Roman" w:hAnsi="Times New Roman" w:cs="Times New Roman"/>
          <w:sz w:val="28"/>
          <w:szCs w:val="28"/>
          <w:lang w:val="en-US"/>
        </w:rPr>
        <w:t>[27]</w:t>
      </w:r>
      <w:r w:rsidRPr="00330FAE">
        <w:rPr>
          <w:rFonts w:ascii="Times New Roman" w:hAnsi="Times New Roman" w:cs="Times New Roman"/>
          <w:sz w:val="28"/>
          <w:szCs w:val="28"/>
          <w:lang w:val="en-US"/>
        </w:rPr>
        <w:tab/>
      </w:r>
      <w:r w:rsidR="00036420" w:rsidRPr="000E2B31">
        <w:rPr>
          <w:rFonts w:ascii="Times New Roman" w:hAnsi="Times New Roman" w:cs="Times New Roman"/>
          <w:sz w:val="28"/>
          <w:szCs w:val="28"/>
          <w:lang w:val="en-US"/>
        </w:rPr>
        <w:t xml:space="preserve">It </w:t>
      </w:r>
      <w:r w:rsidR="00AF62A7" w:rsidRPr="000E2B31">
        <w:rPr>
          <w:rFonts w:ascii="Times New Roman" w:hAnsi="Times New Roman" w:cs="Times New Roman"/>
          <w:sz w:val="28"/>
          <w:szCs w:val="28"/>
          <w:lang w:val="en-US"/>
        </w:rPr>
        <w:t>is the first</w:t>
      </w:r>
      <w:r w:rsidR="00330FAE" w:rsidRPr="000E2B31">
        <w:rPr>
          <w:rFonts w:ascii="Times New Roman" w:hAnsi="Times New Roman" w:cs="Times New Roman"/>
          <w:sz w:val="28"/>
          <w:szCs w:val="28"/>
          <w:lang w:val="en-US"/>
        </w:rPr>
        <w:t xml:space="preserve"> respondent</w:t>
      </w:r>
      <w:r w:rsidR="00036420" w:rsidRPr="000E2B31">
        <w:rPr>
          <w:rFonts w:ascii="Times New Roman" w:hAnsi="Times New Roman" w:cs="Times New Roman"/>
          <w:sz w:val="28"/>
          <w:szCs w:val="28"/>
          <w:lang w:val="en-US"/>
        </w:rPr>
        <w:t>’s case that</w:t>
      </w:r>
      <w:r w:rsidR="00330FAE" w:rsidRPr="000E2B31">
        <w:rPr>
          <w:rFonts w:ascii="Times New Roman" w:hAnsi="Times New Roman" w:cs="Times New Roman"/>
          <w:sz w:val="28"/>
          <w:szCs w:val="28"/>
          <w:lang w:val="en-US"/>
        </w:rPr>
        <w:t xml:space="preserve">, after having been scored positively for functionality in accordance with the </w:t>
      </w:r>
      <w:r w:rsidR="00081AA4" w:rsidRPr="000E2B31">
        <w:rPr>
          <w:rFonts w:ascii="Times New Roman" w:hAnsi="Times New Roman" w:cs="Times New Roman"/>
          <w:sz w:val="28"/>
          <w:szCs w:val="28"/>
          <w:lang w:val="en-US"/>
        </w:rPr>
        <w:t>t</w:t>
      </w:r>
      <w:r w:rsidR="00330FAE" w:rsidRPr="000E2B31">
        <w:rPr>
          <w:rFonts w:ascii="Times New Roman" w:hAnsi="Times New Roman" w:cs="Times New Roman"/>
          <w:sz w:val="28"/>
          <w:szCs w:val="28"/>
          <w:lang w:val="en-US"/>
        </w:rPr>
        <w:t xml:space="preserve">ender Data and applicable regulatory </w:t>
      </w:r>
      <w:r w:rsidR="00330FAE" w:rsidRPr="000E2B31">
        <w:rPr>
          <w:rFonts w:ascii="Times New Roman" w:hAnsi="Times New Roman" w:cs="Times New Roman"/>
          <w:sz w:val="28"/>
          <w:szCs w:val="28"/>
          <w:lang w:val="en-US"/>
        </w:rPr>
        <w:lastRenderedPageBreak/>
        <w:t xml:space="preserve">framework, its tender had only to be adjudicated based on price and preference, on which basis it should have prevailed as the winner since its bid was some </w:t>
      </w:r>
      <w:r w:rsidR="00523DB6" w:rsidRPr="000E2B31">
        <w:rPr>
          <w:rFonts w:ascii="Times New Roman" w:hAnsi="Times New Roman" w:cs="Times New Roman"/>
          <w:sz w:val="28"/>
          <w:szCs w:val="28"/>
          <w:lang w:val="en-US"/>
        </w:rPr>
        <w:t>R3 700 000.00</w:t>
      </w:r>
      <w:r w:rsidR="00330FAE" w:rsidRPr="000E2B31">
        <w:rPr>
          <w:rFonts w:ascii="Times New Roman" w:hAnsi="Times New Roman" w:cs="Times New Roman"/>
          <w:sz w:val="28"/>
          <w:szCs w:val="28"/>
          <w:lang w:val="en-US"/>
        </w:rPr>
        <w:t xml:space="preserve"> less expensive than the second respondent’s.</w:t>
      </w:r>
      <w:r w:rsidR="0069384A">
        <w:rPr>
          <w:rStyle w:val="FootnoteReference"/>
          <w:rFonts w:ascii="Times New Roman" w:hAnsi="Times New Roman" w:cs="Times New Roman"/>
          <w:sz w:val="28"/>
          <w:szCs w:val="28"/>
          <w:lang w:val="en-US"/>
        </w:rPr>
        <w:footnoteReference w:id="8"/>
      </w:r>
      <w:r w:rsidR="00330FAE" w:rsidRPr="000E2B31">
        <w:rPr>
          <w:rFonts w:ascii="Times New Roman" w:hAnsi="Times New Roman" w:cs="Times New Roman"/>
          <w:sz w:val="28"/>
          <w:szCs w:val="28"/>
          <w:lang w:val="en-US"/>
        </w:rPr>
        <w:t xml:space="preserve">  According to the appellant, however, </w:t>
      </w:r>
      <w:r w:rsidR="00DF79EB" w:rsidRPr="000E2B31">
        <w:rPr>
          <w:rFonts w:ascii="Times New Roman" w:hAnsi="Times New Roman" w:cs="Times New Roman"/>
          <w:sz w:val="28"/>
          <w:szCs w:val="28"/>
          <w:lang w:val="en-US"/>
        </w:rPr>
        <w:t>the three responsive bidders</w:t>
      </w:r>
      <w:r w:rsidR="0069384A" w:rsidRPr="000E2B31">
        <w:rPr>
          <w:rFonts w:ascii="Times New Roman" w:hAnsi="Times New Roman" w:cs="Times New Roman"/>
          <w:sz w:val="28"/>
          <w:szCs w:val="28"/>
          <w:lang w:val="en-US"/>
        </w:rPr>
        <w:t>, after scoring them points for price and preference,</w:t>
      </w:r>
      <w:r w:rsidR="00DF79EB" w:rsidRPr="000E2B31">
        <w:rPr>
          <w:rFonts w:ascii="Times New Roman" w:hAnsi="Times New Roman" w:cs="Times New Roman"/>
          <w:sz w:val="28"/>
          <w:szCs w:val="28"/>
          <w:lang w:val="en-US"/>
        </w:rPr>
        <w:t xml:space="preserve"> </w:t>
      </w:r>
      <w:r w:rsidR="00686276" w:rsidRPr="000E2B31">
        <w:rPr>
          <w:rFonts w:ascii="Times New Roman" w:hAnsi="Times New Roman" w:cs="Times New Roman"/>
          <w:sz w:val="28"/>
          <w:szCs w:val="28"/>
          <w:lang w:val="en-US"/>
        </w:rPr>
        <w:t>were in</w:t>
      </w:r>
      <w:r w:rsidR="00330FAE" w:rsidRPr="000E2B31">
        <w:rPr>
          <w:rFonts w:ascii="Times New Roman" w:hAnsi="Times New Roman" w:cs="Times New Roman"/>
          <w:sz w:val="28"/>
          <w:szCs w:val="28"/>
          <w:lang w:val="en-US"/>
        </w:rPr>
        <w:t xml:space="preserve"> any event </w:t>
      </w:r>
      <w:r w:rsidR="0069384A" w:rsidRPr="000E2B31">
        <w:rPr>
          <w:rFonts w:ascii="Times New Roman" w:hAnsi="Times New Roman" w:cs="Times New Roman"/>
          <w:sz w:val="28"/>
          <w:szCs w:val="28"/>
          <w:lang w:val="en-US"/>
        </w:rPr>
        <w:t xml:space="preserve">required still </w:t>
      </w:r>
      <w:r w:rsidR="00330FAE" w:rsidRPr="000E2B31">
        <w:rPr>
          <w:rFonts w:ascii="Times New Roman" w:hAnsi="Times New Roman" w:cs="Times New Roman"/>
          <w:sz w:val="28"/>
          <w:szCs w:val="28"/>
          <w:lang w:val="en-US"/>
        </w:rPr>
        <w:t xml:space="preserve">to be subjected to </w:t>
      </w:r>
      <w:r w:rsidR="00081AA4" w:rsidRPr="000E2B31">
        <w:rPr>
          <w:rFonts w:ascii="Times New Roman" w:hAnsi="Times New Roman" w:cs="Times New Roman"/>
          <w:sz w:val="28"/>
          <w:szCs w:val="28"/>
          <w:lang w:val="en-US"/>
        </w:rPr>
        <w:t>the</w:t>
      </w:r>
      <w:r w:rsidR="00330FAE" w:rsidRPr="000E2B31">
        <w:rPr>
          <w:rFonts w:ascii="Times New Roman" w:hAnsi="Times New Roman" w:cs="Times New Roman"/>
          <w:sz w:val="28"/>
          <w:szCs w:val="28"/>
          <w:lang w:val="en-US"/>
        </w:rPr>
        <w:t xml:space="preserve"> risk evaluation that had been well portended in the tender data under Part C, </w:t>
      </w:r>
      <w:r w:rsidR="0069384A" w:rsidRPr="000E2B31">
        <w:rPr>
          <w:rFonts w:ascii="Times New Roman" w:hAnsi="Times New Roman" w:cs="Times New Roman"/>
          <w:sz w:val="28"/>
          <w:szCs w:val="28"/>
          <w:lang w:val="en-US"/>
        </w:rPr>
        <w:t xml:space="preserve">as they in due course were, </w:t>
      </w:r>
      <w:r w:rsidR="00330FAE" w:rsidRPr="000E2B31">
        <w:rPr>
          <w:rFonts w:ascii="Times New Roman" w:hAnsi="Times New Roman" w:cs="Times New Roman"/>
          <w:sz w:val="28"/>
          <w:szCs w:val="28"/>
          <w:lang w:val="en-US"/>
        </w:rPr>
        <w:t xml:space="preserve">in respect of which </w:t>
      </w:r>
      <w:r w:rsidR="00DF79EB" w:rsidRPr="000E2B31">
        <w:rPr>
          <w:rFonts w:ascii="Times New Roman" w:hAnsi="Times New Roman" w:cs="Times New Roman"/>
          <w:sz w:val="28"/>
          <w:szCs w:val="28"/>
          <w:lang w:val="en-US"/>
        </w:rPr>
        <w:t xml:space="preserve">the first </w:t>
      </w:r>
      <w:r w:rsidR="0069384A" w:rsidRPr="000E2B31">
        <w:rPr>
          <w:rFonts w:ascii="Times New Roman" w:hAnsi="Times New Roman" w:cs="Times New Roman"/>
          <w:sz w:val="28"/>
          <w:szCs w:val="28"/>
          <w:lang w:val="en-US"/>
        </w:rPr>
        <w:t xml:space="preserve">and third </w:t>
      </w:r>
      <w:r w:rsidR="00DF79EB" w:rsidRPr="000E2B31">
        <w:rPr>
          <w:rFonts w:ascii="Times New Roman" w:hAnsi="Times New Roman" w:cs="Times New Roman"/>
          <w:sz w:val="28"/>
          <w:szCs w:val="28"/>
          <w:lang w:val="en-US"/>
        </w:rPr>
        <w:t>respondent</w:t>
      </w:r>
      <w:r w:rsidR="0069384A" w:rsidRPr="000E2B31">
        <w:rPr>
          <w:rFonts w:ascii="Times New Roman" w:hAnsi="Times New Roman" w:cs="Times New Roman"/>
          <w:sz w:val="28"/>
          <w:szCs w:val="28"/>
          <w:lang w:val="en-US"/>
        </w:rPr>
        <w:t>s</w:t>
      </w:r>
      <w:r w:rsidR="00DF79EB" w:rsidRPr="000E2B31">
        <w:rPr>
          <w:rFonts w:ascii="Times New Roman" w:hAnsi="Times New Roman" w:cs="Times New Roman"/>
          <w:sz w:val="28"/>
          <w:szCs w:val="28"/>
          <w:lang w:val="en-US"/>
        </w:rPr>
        <w:t xml:space="preserve"> </w:t>
      </w:r>
      <w:r w:rsidR="00330FAE" w:rsidRPr="000E2B31">
        <w:rPr>
          <w:rFonts w:ascii="Times New Roman" w:hAnsi="Times New Roman" w:cs="Times New Roman"/>
          <w:sz w:val="28"/>
          <w:szCs w:val="28"/>
          <w:lang w:val="en-US"/>
        </w:rPr>
        <w:t>came up short</w:t>
      </w:r>
      <w:r w:rsidR="00DF79EB" w:rsidRPr="000E2B31">
        <w:rPr>
          <w:rFonts w:ascii="Times New Roman" w:hAnsi="Times New Roman" w:cs="Times New Roman"/>
          <w:sz w:val="28"/>
          <w:szCs w:val="28"/>
          <w:lang w:val="en-US"/>
        </w:rPr>
        <w:t xml:space="preserve">, resulting in the BEC recommending the second respondent for appointment. </w:t>
      </w:r>
    </w:p>
    <w:p w14:paraId="181F66B3" w14:textId="77777777" w:rsidR="00330FAE" w:rsidRPr="00330FAE" w:rsidRDefault="00330FAE" w:rsidP="00330FAE">
      <w:pPr>
        <w:pStyle w:val="ListParagraph"/>
        <w:rPr>
          <w:rFonts w:ascii="Times New Roman" w:hAnsi="Times New Roman" w:cs="Times New Roman"/>
          <w:sz w:val="28"/>
          <w:szCs w:val="28"/>
          <w:lang w:val="en-US"/>
        </w:rPr>
      </w:pPr>
    </w:p>
    <w:p w14:paraId="08D8D2BD" w14:textId="22E9248E" w:rsidR="00330FAE" w:rsidRPr="000E2B31" w:rsidRDefault="000E2B31" w:rsidP="000E2B31">
      <w:pPr>
        <w:tabs>
          <w:tab w:val="left" w:pos="709"/>
        </w:tabs>
        <w:spacing w:before="0" w:beforeAutospacing="0"/>
        <w:jc w:val="both"/>
        <w:rPr>
          <w:rFonts w:ascii="Times New Roman" w:hAnsi="Times New Roman" w:cs="Times New Roman"/>
          <w:sz w:val="28"/>
          <w:szCs w:val="28"/>
          <w:u w:val="single"/>
          <w:lang w:val="en-US"/>
        </w:rPr>
      </w:pPr>
      <w:r w:rsidRPr="00330FAE">
        <w:rPr>
          <w:rFonts w:ascii="Times New Roman" w:hAnsi="Times New Roman" w:cs="Times New Roman"/>
          <w:sz w:val="28"/>
          <w:szCs w:val="28"/>
          <w:lang w:val="en-US"/>
        </w:rPr>
        <w:t>[28]</w:t>
      </w:r>
      <w:r w:rsidRPr="00330FAE">
        <w:rPr>
          <w:rFonts w:ascii="Times New Roman" w:hAnsi="Times New Roman" w:cs="Times New Roman"/>
          <w:sz w:val="28"/>
          <w:szCs w:val="28"/>
          <w:lang w:val="en-US"/>
        </w:rPr>
        <w:tab/>
      </w:r>
      <w:r w:rsidR="00AF62A7" w:rsidRPr="000E2B31">
        <w:rPr>
          <w:rFonts w:ascii="Times New Roman" w:hAnsi="Times New Roman" w:cs="Times New Roman"/>
          <w:sz w:val="28"/>
          <w:szCs w:val="28"/>
          <w:lang w:val="en-US"/>
        </w:rPr>
        <w:t>It is not in contention that</w:t>
      </w:r>
      <w:r w:rsidR="00330FAE" w:rsidRPr="000E2B31">
        <w:rPr>
          <w:rFonts w:ascii="Times New Roman" w:hAnsi="Times New Roman" w:cs="Times New Roman"/>
          <w:sz w:val="28"/>
          <w:szCs w:val="28"/>
          <w:lang w:val="en-US"/>
        </w:rPr>
        <w:t xml:space="preserve"> the first respondent’s tender was responsive and met the required </w:t>
      </w:r>
      <w:r w:rsidR="0069384A" w:rsidRPr="000E2B31">
        <w:rPr>
          <w:rFonts w:ascii="Times New Roman" w:hAnsi="Times New Roman" w:cs="Times New Roman"/>
          <w:sz w:val="28"/>
          <w:szCs w:val="28"/>
          <w:lang w:val="en-US"/>
        </w:rPr>
        <w:t>functionality and pre-qualification</w:t>
      </w:r>
      <w:r w:rsidR="00330FAE" w:rsidRPr="000E2B31">
        <w:rPr>
          <w:rFonts w:ascii="Times New Roman" w:hAnsi="Times New Roman" w:cs="Times New Roman"/>
          <w:sz w:val="28"/>
          <w:szCs w:val="28"/>
          <w:lang w:val="en-US"/>
        </w:rPr>
        <w:t xml:space="preserve"> criteria but, according to the appellant, it floundered when it came to the risk assessment.</w:t>
      </w:r>
      <w:r w:rsidR="00AF62A7">
        <w:rPr>
          <w:rStyle w:val="FootnoteReference"/>
          <w:rFonts w:ascii="Times New Roman" w:hAnsi="Times New Roman" w:cs="Times New Roman"/>
          <w:sz w:val="28"/>
          <w:szCs w:val="28"/>
          <w:lang w:val="en-US"/>
        </w:rPr>
        <w:footnoteReference w:id="9"/>
      </w:r>
      <w:r w:rsidR="00330FAE" w:rsidRPr="000E2B31">
        <w:rPr>
          <w:rFonts w:ascii="Times New Roman" w:hAnsi="Times New Roman" w:cs="Times New Roman"/>
          <w:sz w:val="28"/>
          <w:szCs w:val="28"/>
          <w:lang w:val="en-US"/>
        </w:rPr>
        <w:t xml:space="preserve"> </w:t>
      </w:r>
    </w:p>
    <w:p w14:paraId="0119408E" w14:textId="77777777" w:rsidR="00330FAE" w:rsidRPr="00330FAE" w:rsidRDefault="00330FAE" w:rsidP="00330FAE">
      <w:pPr>
        <w:pStyle w:val="ListParagraph"/>
        <w:rPr>
          <w:rFonts w:ascii="Times New Roman" w:hAnsi="Times New Roman" w:cs="Times New Roman"/>
          <w:sz w:val="28"/>
          <w:szCs w:val="28"/>
          <w:lang w:val="en-US"/>
        </w:rPr>
      </w:pPr>
    </w:p>
    <w:p w14:paraId="1BE55BD3" w14:textId="012D3D17" w:rsidR="00330FAE" w:rsidRPr="000E2B31" w:rsidRDefault="000E2B31" w:rsidP="000E2B31">
      <w:pPr>
        <w:tabs>
          <w:tab w:val="left" w:pos="709"/>
        </w:tabs>
        <w:spacing w:before="0" w:beforeAutospacing="0"/>
        <w:jc w:val="both"/>
        <w:rPr>
          <w:rFonts w:ascii="Times New Roman" w:hAnsi="Times New Roman" w:cs="Times New Roman"/>
          <w:sz w:val="28"/>
          <w:szCs w:val="28"/>
          <w:u w:val="single"/>
          <w:lang w:val="en-US"/>
        </w:rPr>
      </w:pPr>
      <w:r w:rsidRPr="00330FAE">
        <w:rPr>
          <w:rFonts w:ascii="Times New Roman" w:hAnsi="Times New Roman" w:cs="Times New Roman"/>
          <w:sz w:val="28"/>
          <w:szCs w:val="28"/>
          <w:lang w:val="en-US"/>
        </w:rPr>
        <w:t>[29]</w:t>
      </w:r>
      <w:r w:rsidRPr="00330FAE">
        <w:rPr>
          <w:rFonts w:ascii="Times New Roman" w:hAnsi="Times New Roman" w:cs="Times New Roman"/>
          <w:sz w:val="28"/>
          <w:szCs w:val="28"/>
          <w:lang w:val="en-US"/>
        </w:rPr>
        <w:tab/>
      </w:r>
      <w:r w:rsidR="00330FAE" w:rsidRPr="000E2B31">
        <w:rPr>
          <w:rFonts w:ascii="Times New Roman" w:hAnsi="Times New Roman" w:cs="Times New Roman"/>
          <w:sz w:val="28"/>
          <w:szCs w:val="28"/>
          <w:lang w:val="en-US"/>
        </w:rPr>
        <w:t xml:space="preserve">It is that risk evaluation that caused certain controversy in the matter and provided the impetus for the review in the first instance before the court </w:t>
      </w:r>
      <w:r w:rsidR="00330FAE" w:rsidRPr="000E2B31">
        <w:rPr>
          <w:rFonts w:ascii="Times New Roman" w:hAnsi="Times New Roman" w:cs="Times New Roman"/>
          <w:i/>
          <w:iCs/>
          <w:sz w:val="28"/>
          <w:szCs w:val="28"/>
          <w:lang w:val="en-US"/>
        </w:rPr>
        <w:t>a quo.</w:t>
      </w:r>
      <w:r w:rsidR="00330FAE" w:rsidRPr="000E2B31">
        <w:rPr>
          <w:rFonts w:ascii="Times New Roman" w:hAnsi="Times New Roman" w:cs="Times New Roman"/>
          <w:sz w:val="28"/>
          <w:szCs w:val="28"/>
          <w:lang w:val="en-US"/>
        </w:rPr>
        <w:t xml:space="preserve"> Although the first respondent perceived that it had been excluded from the contest even without having been scored on price and preference despite having passed on functionality</w:t>
      </w:r>
      <w:r w:rsidR="004C392C" w:rsidRPr="000E2B31">
        <w:rPr>
          <w:rFonts w:ascii="Times New Roman" w:hAnsi="Times New Roman" w:cs="Times New Roman"/>
          <w:sz w:val="28"/>
          <w:szCs w:val="28"/>
          <w:lang w:val="en-US"/>
        </w:rPr>
        <w:t xml:space="preserve"> (a claimed </w:t>
      </w:r>
      <w:r w:rsidR="002C1862" w:rsidRPr="000E2B31">
        <w:rPr>
          <w:rFonts w:ascii="Times New Roman" w:hAnsi="Times New Roman" w:cs="Times New Roman"/>
          <w:sz w:val="28"/>
          <w:szCs w:val="28"/>
          <w:lang w:val="en-US"/>
        </w:rPr>
        <w:t>irregularity all</w:t>
      </w:r>
      <w:r w:rsidR="004C392C" w:rsidRPr="000E2B31">
        <w:rPr>
          <w:rFonts w:ascii="Times New Roman" w:hAnsi="Times New Roman" w:cs="Times New Roman"/>
          <w:sz w:val="28"/>
          <w:szCs w:val="28"/>
          <w:lang w:val="en-US"/>
        </w:rPr>
        <w:t xml:space="preserve"> on its own according to it)</w:t>
      </w:r>
      <w:r w:rsidR="00330FAE" w:rsidRPr="000E2B31">
        <w:rPr>
          <w:rFonts w:ascii="Times New Roman" w:hAnsi="Times New Roman" w:cs="Times New Roman"/>
          <w:sz w:val="28"/>
          <w:szCs w:val="28"/>
          <w:lang w:val="en-US"/>
        </w:rPr>
        <w:t xml:space="preserve">, </w:t>
      </w:r>
      <w:r w:rsidR="00081AA4" w:rsidRPr="000E2B31">
        <w:rPr>
          <w:rFonts w:ascii="Times New Roman" w:hAnsi="Times New Roman" w:cs="Times New Roman"/>
          <w:sz w:val="28"/>
          <w:szCs w:val="28"/>
          <w:lang w:val="en-US"/>
        </w:rPr>
        <w:t>the app</w:t>
      </w:r>
      <w:r w:rsidR="004B095D" w:rsidRPr="000E2B31">
        <w:rPr>
          <w:rFonts w:ascii="Times New Roman" w:hAnsi="Times New Roman" w:cs="Times New Roman"/>
          <w:sz w:val="28"/>
          <w:szCs w:val="28"/>
          <w:lang w:val="en-US"/>
        </w:rPr>
        <w:t>ellant</w:t>
      </w:r>
      <w:r w:rsidR="00081AA4" w:rsidRPr="000E2B31">
        <w:rPr>
          <w:rFonts w:ascii="Times New Roman" w:hAnsi="Times New Roman" w:cs="Times New Roman"/>
          <w:sz w:val="28"/>
          <w:szCs w:val="28"/>
          <w:lang w:val="en-US"/>
        </w:rPr>
        <w:t xml:space="preserve"> pleaded that it </w:t>
      </w:r>
      <w:r w:rsidR="00330FAE" w:rsidRPr="000E2B31">
        <w:rPr>
          <w:rFonts w:ascii="Times New Roman" w:hAnsi="Times New Roman" w:cs="Times New Roman"/>
          <w:sz w:val="28"/>
          <w:szCs w:val="28"/>
          <w:lang w:val="en-US"/>
        </w:rPr>
        <w:t>had been disqualified only in the final stages of the process, and then</w:t>
      </w:r>
      <w:r w:rsidR="007D3A17" w:rsidRPr="000E2B31">
        <w:rPr>
          <w:rFonts w:ascii="Times New Roman" w:hAnsi="Times New Roman" w:cs="Times New Roman"/>
          <w:sz w:val="28"/>
          <w:szCs w:val="28"/>
          <w:lang w:val="en-US"/>
        </w:rPr>
        <w:t xml:space="preserve">, </w:t>
      </w:r>
      <w:r w:rsidR="00330FAE" w:rsidRPr="000E2B31">
        <w:rPr>
          <w:rFonts w:ascii="Times New Roman" w:hAnsi="Times New Roman" w:cs="Times New Roman"/>
          <w:sz w:val="28"/>
          <w:szCs w:val="28"/>
          <w:lang w:val="en-US"/>
        </w:rPr>
        <w:lastRenderedPageBreak/>
        <w:t xml:space="preserve">as a result of the risk </w:t>
      </w:r>
      <w:r w:rsidR="004C392C" w:rsidRPr="000E2B31">
        <w:rPr>
          <w:rFonts w:ascii="Times New Roman" w:hAnsi="Times New Roman" w:cs="Times New Roman"/>
          <w:sz w:val="28"/>
          <w:szCs w:val="28"/>
          <w:lang w:val="en-US"/>
        </w:rPr>
        <w:t xml:space="preserve">evaluation undertaken by it </w:t>
      </w:r>
      <w:r w:rsidR="002C1862" w:rsidRPr="000E2B31">
        <w:rPr>
          <w:rFonts w:ascii="Times New Roman" w:hAnsi="Times New Roman" w:cs="Times New Roman"/>
          <w:sz w:val="28"/>
          <w:szCs w:val="28"/>
          <w:lang w:val="en-US"/>
        </w:rPr>
        <w:t>as foreshadowed</w:t>
      </w:r>
      <w:r w:rsidR="00330FAE" w:rsidRPr="000E2B31">
        <w:rPr>
          <w:rFonts w:ascii="Times New Roman" w:hAnsi="Times New Roman" w:cs="Times New Roman"/>
          <w:sz w:val="28"/>
          <w:szCs w:val="28"/>
          <w:lang w:val="en-US"/>
        </w:rPr>
        <w:t xml:space="preserve"> in clause C of the tender </w:t>
      </w:r>
      <w:r w:rsidR="00FD0AD7" w:rsidRPr="000E2B31">
        <w:rPr>
          <w:rFonts w:ascii="Times New Roman" w:hAnsi="Times New Roman" w:cs="Times New Roman"/>
          <w:sz w:val="28"/>
          <w:szCs w:val="28"/>
          <w:lang w:val="en-US"/>
        </w:rPr>
        <w:t>D</w:t>
      </w:r>
      <w:r w:rsidR="00330FAE" w:rsidRPr="000E2B31">
        <w:rPr>
          <w:rFonts w:ascii="Times New Roman" w:hAnsi="Times New Roman" w:cs="Times New Roman"/>
          <w:sz w:val="28"/>
          <w:szCs w:val="28"/>
          <w:lang w:val="en-US"/>
        </w:rPr>
        <w:t>ata.</w:t>
      </w:r>
      <w:r w:rsidR="002C1862">
        <w:rPr>
          <w:rStyle w:val="FootnoteReference"/>
          <w:rFonts w:ascii="Times New Roman" w:hAnsi="Times New Roman" w:cs="Times New Roman"/>
          <w:sz w:val="28"/>
          <w:szCs w:val="28"/>
          <w:lang w:val="en-US"/>
        </w:rPr>
        <w:footnoteReference w:id="10"/>
      </w:r>
    </w:p>
    <w:p w14:paraId="49005C2F" w14:textId="77777777" w:rsidR="00330FAE" w:rsidRPr="00330FAE" w:rsidRDefault="00330FAE" w:rsidP="00330FAE">
      <w:pPr>
        <w:pStyle w:val="ListParagraph"/>
        <w:rPr>
          <w:rFonts w:ascii="Times New Roman" w:hAnsi="Times New Roman" w:cs="Times New Roman"/>
          <w:sz w:val="28"/>
          <w:szCs w:val="28"/>
          <w:lang w:val="en-US"/>
        </w:rPr>
      </w:pPr>
    </w:p>
    <w:p w14:paraId="40F9EB14" w14:textId="2B95C7D0" w:rsidR="00330FAE" w:rsidRPr="000E2B31" w:rsidRDefault="000E2B31" w:rsidP="000E2B31">
      <w:pPr>
        <w:tabs>
          <w:tab w:val="left" w:pos="709"/>
        </w:tabs>
        <w:spacing w:before="0" w:beforeAutospacing="0"/>
        <w:jc w:val="both"/>
        <w:rPr>
          <w:rFonts w:ascii="Times New Roman" w:hAnsi="Times New Roman" w:cs="Times New Roman"/>
          <w:sz w:val="28"/>
          <w:szCs w:val="28"/>
          <w:u w:val="single"/>
          <w:lang w:val="en-US"/>
        </w:rPr>
      </w:pPr>
      <w:r w:rsidRPr="00330FAE">
        <w:rPr>
          <w:rFonts w:ascii="Times New Roman" w:hAnsi="Times New Roman" w:cs="Times New Roman"/>
          <w:sz w:val="28"/>
          <w:szCs w:val="28"/>
          <w:lang w:val="en-US"/>
        </w:rPr>
        <w:t>[30]</w:t>
      </w:r>
      <w:r w:rsidRPr="00330FAE">
        <w:rPr>
          <w:rFonts w:ascii="Times New Roman" w:hAnsi="Times New Roman" w:cs="Times New Roman"/>
          <w:sz w:val="28"/>
          <w:szCs w:val="28"/>
          <w:lang w:val="en-US"/>
        </w:rPr>
        <w:tab/>
      </w:r>
      <w:r w:rsidR="00330FAE" w:rsidRPr="000E2B31">
        <w:rPr>
          <w:rFonts w:ascii="Times New Roman" w:hAnsi="Times New Roman" w:cs="Times New Roman"/>
          <w:sz w:val="28"/>
          <w:szCs w:val="28"/>
          <w:lang w:val="en-US"/>
        </w:rPr>
        <w:t xml:space="preserve">In its founding affidavit the first respondent </w:t>
      </w:r>
      <w:r w:rsidR="00AF62A7" w:rsidRPr="000E2B31">
        <w:rPr>
          <w:rFonts w:ascii="Times New Roman" w:hAnsi="Times New Roman" w:cs="Times New Roman"/>
          <w:sz w:val="28"/>
          <w:szCs w:val="28"/>
          <w:lang w:val="en-US"/>
        </w:rPr>
        <w:t>maintained</w:t>
      </w:r>
      <w:r w:rsidR="00330FAE" w:rsidRPr="000E2B31">
        <w:rPr>
          <w:rFonts w:ascii="Times New Roman" w:hAnsi="Times New Roman" w:cs="Times New Roman"/>
          <w:sz w:val="28"/>
          <w:szCs w:val="28"/>
          <w:lang w:val="en-US"/>
        </w:rPr>
        <w:t xml:space="preserve"> that once it had achieved the functionality threshold, the tender </w:t>
      </w:r>
      <w:r w:rsidR="00081AA4" w:rsidRPr="000E2B31">
        <w:rPr>
          <w:rFonts w:ascii="Times New Roman" w:hAnsi="Times New Roman" w:cs="Times New Roman"/>
          <w:sz w:val="28"/>
          <w:szCs w:val="28"/>
          <w:lang w:val="en-US"/>
        </w:rPr>
        <w:t>D</w:t>
      </w:r>
      <w:r w:rsidR="00330FAE" w:rsidRPr="000E2B31">
        <w:rPr>
          <w:rFonts w:ascii="Times New Roman" w:hAnsi="Times New Roman" w:cs="Times New Roman"/>
          <w:sz w:val="28"/>
          <w:szCs w:val="28"/>
          <w:lang w:val="en-US"/>
        </w:rPr>
        <w:t xml:space="preserve">ata and legislative framework required its bid to be allocated points for price and preference, but instead of doing so, the department </w:t>
      </w:r>
      <w:r w:rsidR="00330FAE" w:rsidRPr="000E2B31">
        <w:rPr>
          <w:rFonts w:ascii="Times New Roman" w:hAnsi="Times New Roman" w:cs="Times New Roman"/>
          <w:i/>
          <w:iCs/>
          <w:sz w:val="28"/>
          <w:szCs w:val="28"/>
          <w:lang w:val="en-US"/>
        </w:rPr>
        <w:t>“undertook the impugned process”</w:t>
      </w:r>
      <w:r w:rsidR="00330FAE" w:rsidRPr="000E2B31">
        <w:rPr>
          <w:rFonts w:ascii="Times New Roman" w:hAnsi="Times New Roman" w:cs="Times New Roman"/>
          <w:sz w:val="28"/>
          <w:szCs w:val="28"/>
          <w:lang w:val="en-US"/>
        </w:rPr>
        <w:t xml:space="preserve"> and declared its bid ineligible. The appellant averred to the contrary that</w:t>
      </w:r>
      <w:r w:rsidR="00081AA4" w:rsidRPr="000E2B31">
        <w:rPr>
          <w:rFonts w:ascii="Times New Roman" w:hAnsi="Times New Roman" w:cs="Times New Roman"/>
          <w:sz w:val="28"/>
          <w:szCs w:val="28"/>
          <w:lang w:val="en-US"/>
        </w:rPr>
        <w:t>,</w:t>
      </w:r>
      <w:r w:rsidR="00330FAE" w:rsidRPr="000E2B31">
        <w:rPr>
          <w:rFonts w:ascii="Times New Roman" w:hAnsi="Times New Roman" w:cs="Times New Roman"/>
          <w:sz w:val="28"/>
          <w:szCs w:val="28"/>
          <w:lang w:val="en-US"/>
        </w:rPr>
        <w:t xml:space="preserve"> in accordance with the statutory and tender contractual requirements</w:t>
      </w:r>
      <w:r w:rsidR="00081AA4" w:rsidRPr="000E2B31">
        <w:rPr>
          <w:rFonts w:ascii="Times New Roman" w:hAnsi="Times New Roman" w:cs="Times New Roman"/>
          <w:sz w:val="28"/>
          <w:szCs w:val="28"/>
          <w:lang w:val="en-US"/>
        </w:rPr>
        <w:t>,</w:t>
      </w:r>
      <w:r w:rsidR="00330FAE" w:rsidRPr="000E2B31">
        <w:rPr>
          <w:rFonts w:ascii="Times New Roman" w:hAnsi="Times New Roman" w:cs="Times New Roman"/>
          <w:sz w:val="28"/>
          <w:szCs w:val="28"/>
          <w:lang w:val="en-US"/>
        </w:rPr>
        <w:t xml:space="preserve"> it scored all three respondents for price and preference, in fact elevating the first respondent to the highest scoring</w:t>
      </w:r>
      <w:r w:rsidR="003C3A88" w:rsidRPr="000E2B31">
        <w:rPr>
          <w:rFonts w:ascii="Times New Roman" w:hAnsi="Times New Roman" w:cs="Times New Roman"/>
          <w:sz w:val="28"/>
          <w:szCs w:val="28"/>
          <w:lang w:val="en-US"/>
        </w:rPr>
        <w:t xml:space="preserve">, </w:t>
      </w:r>
      <w:r w:rsidR="00330FAE" w:rsidRPr="000E2B31">
        <w:rPr>
          <w:rFonts w:ascii="Times New Roman" w:hAnsi="Times New Roman" w:cs="Times New Roman"/>
          <w:sz w:val="28"/>
          <w:szCs w:val="28"/>
          <w:lang w:val="en-US"/>
        </w:rPr>
        <w:t>at least in relation to the second respondent who was in the penultimate contest with it</w:t>
      </w:r>
      <w:r w:rsidR="002C1862" w:rsidRPr="000E2B31">
        <w:rPr>
          <w:rFonts w:ascii="Times New Roman" w:hAnsi="Times New Roman" w:cs="Times New Roman"/>
          <w:sz w:val="28"/>
          <w:szCs w:val="28"/>
          <w:lang w:val="en-US"/>
        </w:rPr>
        <w:t xml:space="preserve"> after the third respondent’s bid was disqualified</w:t>
      </w:r>
      <w:r w:rsidR="00330FAE" w:rsidRPr="000E2B31">
        <w:rPr>
          <w:rFonts w:ascii="Times New Roman" w:hAnsi="Times New Roman" w:cs="Times New Roman"/>
          <w:sz w:val="28"/>
          <w:szCs w:val="28"/>
          <w:lang w:val="en-US"/>
        </w:rPr>
        <w:t>,</w:t>
      </w:r>
      <w:r w:rsidR="002C1862">
        <w:rPr>
          <w:rStyle w:val="FootnoteReference"/>
          <w:rFonts w:ascii="Times New Roman" w:hAnsi="Times New Roman" w:cs="Times New Roman"/>
          <w:sz w:val="28"/>
          <w:szCs w:val="28"/>
          <w:lang w:val="en-US"/>
        </w:rPr>
        <w:footnoteReference w:id="11"/>
      </w:r>
      <w:r w:rsidR="00330FAE" w:rsidRPr="000E2B31">
        <w:rPr>
          <w:rFonts w:ascii="Times New Roman" w:hAnsi="Times New Roman" w:cs="Times New Roman"/>
          <w:sz w:val="28"/>
          <w:szCs w:val="28"/>
          <w:lang w:val="en-US"/>
        </w:rPr>
        <w:t xml:space="preserve"> and lastly carried out its risk evaluation</w:t>
      </w:r>
      <w:r w:rsidR="00081AA4" w:rsidRPr="000E2B31">
        <w:rPr>
          <w:rFonts w:ascii="Times New Roman" w:hAnsi="Times New Roman" w:cs="Times New Roman"/>
          <w:sz w:val="28"/>
          <w:szCs w:val="28"/>
          <w:lang w:val="en-US"/>
        </w:rPr>
        <w:t>,</w:t>
      </w:r>
      <w:r w:rsidR="00330FAE" w:rsidRPr="000E2B31">
        <w:rPr>
          <w:rFonts w:ascii="Times New Roman" w:hAnsi="Times New Roman" w:cs="Times New Roman"/>
          <w:sz w:val="28"/>
          <w:szCs w:val="28"/>
          <w:lang w:val="en-US"/>
        </w:rPr>
        <w:t xml:space="preserve"> which is when it disqualified its bid.</w:t>
      </w:r>
    </w:p>
    <w:p w14:paraId="4EBC3ABA" w14:textId="77777777" w:rsidR="00330FAE" w:rsidRPr="00330FAE" w:rsidRDefault="00330FAE" w:rsidP="00330FAE">
      <w:pPr>
        <w:pStyle w:val="ListParagraph"/>
        <w:rPr>
          <w:rFonts w:ascii="Times New Roman" w:hAnsi="Times New Roman" w:cs="Times New Roman"/>
          <w:sz w:val="28"/>
          <w:szCs w:val="28"/>
          <w:lang w:val="en-US"/>
        </w:rPr>
      </w:pPr>
    </w:p>
    <w:p w14:paraId="2E0E6641" w14:textId="63455391" w:rsidR="00330FAE" w:rsidRPr="000E2B31" w:rsidRDefault="000E2B31" w:rsidP="000E2B31">
      <w:pPr>
        <w:tabs>
          <w:tab w:val="left" w:pos="709"/>
        </w:tabs>
        <w:spacing w:before="0" w:beforeAutospacing="0"/>
        <w:jc w:val="both"/>
        <w:rPr>
          <w:rFonts w:ascii="Times New Roman" w:hAnsi="Times New Roman" w:cs="Times New Roman"/>
          <w:sz w:val="24"/>
          <w:szCs w:val="24"/>
          <w:lang w:val="en-US"/>
        </w:rPr>
      </w:pPr>
      <w:r w:rsidRPr="00330FAE">
        <w:rPr>
          <w:rFonts w:ascii="Times New Roman" w:hAnsi="Times New Roman" w:cs="Times New Roman"/>
          <w:sz w:val="28"/>
          <w:szCs w:val="28"/>
          <w:lang w:val="en-US"/>
        </w:rPr>
        <w:t>[31]</w:t>
      </w:r>
      <w:r w:rsidRPr="00330FAE">
        <w:rPr>
          <w:rFonts w:ascii="Times New Roman" w:hAnsi="Times New Roman" w:cs="Times New Roman"/>
          <w:sz w:val="28"/>
          <w:szCs w:val="28"/>
          <w:lang w:val="en-US"/>
        </w:rPr>
        <w:tab/>
      </w:r>
      <w:r w:rsidR="00330FAE" w:rsidRPr="000E2B31">
        <w:rPr>
          <w:rFonts w:ascii="Times New Roman" w:hAnsi="Times New Roman" w:cs="Times New Roman"/>
          <w:sz w:val="28"/>
          <w:szCs w:val="28"/>
          <w:lang w:val="en-US"/>
        </w:rPr>
        <w:t>In its founding papers launching the review application the first respondent criticized the “impugned process” in trenchant terms:</w:t>
      </w:r>
    </w:p>
    <w:p w14:paraId="7975A30D" w14:textId="77777777" w:rsidR="00330FAE" w:rsidRDefault="00330FAE" w:rsidP="00330FAE">
      <w:pPr>
        <w:pStyle w:val="ListParagraph"/>
        <w:rPr>
          <w:rFonts w:ascii="Times New Roman" w:hAnsi="Times New Roman" w:cs="Times New Roman"/>
          <w:sz w:val="28"/>
          <w:szCs w:val="28"/>
          <w:lang w:val="en-US"/>
        </w:rPr>
      </w:pPr>
    </w:p>
    <w:p w14:paraId="508B1DDC" w14:textId="77777777" w:rsidR="00330FAE" w:rsidRPr="00AF62A7" w:rsidRDefault="00330FAE" w:rsidP="00AF62A7">
      <w:pPr>
        <w:spacing w:before="0" w:beforeAutospacing="0" w:line="276" w:lineRule="auto"/>
        <w:ind w:left="1440" w:hanging="720"/>
        <w:contextualSpacing/>
        <w:jc w:val="both"/>
        <w:rPr>
          <w:rFonts w:ascii="Times New Roman" w:hAnsi="Times New Roman" w:cs="Times New Roman"/>
          <w:sz w:val="24"/>
          <w:szCs w:val="24"/>
          <w:lang w:val="en-US"/>
        </w:rPr>
      </w:pPr>
      <w:r w:rsidRPr="00AF62A7">
        <w:rPr>
          <w:rFonts w:ascii="Times New Roman" w:hAnsi="Times New Roman" w:cs="Times New Roman"/>
          <w:sz w:val="24"/>
          <w:szCs w:val="24"/>
          <w:lang w:val="en-US"/>
        </w:rPr>
        <w:t>“20.</w:t>
      </w:r>
      <w:r w:rsidRPr="00AF62A7">
        <w:rPr>
          <w:rFonts w:ascii="Times New Roman" w:hAnsi="Times New Roman" w:cs="Times New Roman"/>
          <w:sz w:val="24"/>
          <w:szCs w:val="24"/>
          <w:lang w:val="en-US"/>
        </w:rPr>
        <w:tab/>
        <w:t>It has become standard practice for the Department to incorporate into its tender documentation, as occurred in this matter, a process to declare bidders ineligible as a result of “risk to the employer” (“the impugned process”).</w:t>
      </w:r>
    </w:p>
    <w:p w14:paraId="5E634665" w14:textId="77777777" w:rsidR="00330FAE" w:rsidRPr="00AF62A7" w:rsidRDefault="00330FAE" w:rsidP="00AF62A7">
      <w:pPr>
        <w:spacing w:before="0" w:beforeAutospacing="0" w:line="276" w:lineRule="auto"/>
        <w:ind w:left="1440" w:hanging="720"/>
        <w:contextualSpacing/>
        <w:jc w:val="both"/>
        <w:rPr>
          <w:rFonts w:ascii="Times New Roman" w:hAnsi="Times New Roman" w:cs="Times New Roman"/>
          <w:sz w:val="24"/>
          <w:szCs w:val="24"/>
          <w:lang w:val="en-US"/>
        </w:rPr>
      </w:pPr>
      <w:r w:rsidRPr="00AF62A7">
        <w:rPr>
          <w:rFonts w:ascii="Times New Roman" w:hAnsi="Times New Roman" w:cs="Times New Roman"/>
          <w:sz w:val="24"/>
          <w:szCs w:val="24"/>
          <w:lang w:val="en-US"/>
        </w:rPr>
        <w:t>21.</w:t>
      </w:r>
      <w:r w:rsidRPr="00AF62A7">
        <w:rPr>
          <w:rFonts w:ascii="Times New Roman" w:hAnsi="Times New Roman" w:cs="Times New Roman"/>
          <w:sz w:val="24"/>
          <w:szCs w:val="24"/>
          <w:lang w:val="en-US"/>
        </w:rPr>
        <w:tab/>
        <w:t xml:space="preserve">This application concerns, </w:t>
      </w:r>
      <w:r w:rsidRPr="00AF62A7">
        <w:rPr>
          <w:rFonts w:ascii="Times New Roman" w:hAnsi="Times New Roman" w:cs="Times New Roman"/>
          <w:i/>
          <w:iCs/>
          <w:sz w:val="24"/>
          <w:szCs w:val="24"/>
          <w:lang w:val="en-US"/>
        </w:rPr>
        <w:t>inter alia</w:t>
      </w:r>
      <w:r w:rsidRPr="00AF62A7">
        <w:rPr>
          <w:rFonts w:ascii="Times New Roman" w:hAnsi="Times New Roman" w:cs="Times New Roman"/>
          <w:sz w:val="24"/>
          <w:szCs w:val="24"/>
          <w:lang w:val="en-US"/>
        </w:rPr>
        <w:t xml:space="preserve">, the lawfulness of the utilization of this process, which utilization self-evidently results in acceptable bids otherwise being declared ineligible often at the expense of the South African taxpayer, as occurred </w:t>
      </w:r>
      <w:r w:rsidRPr="00AF62A7">
        <w:rPr>
          <w:rFonts w:ascii="Times New Roman" w:hAnsi="Times New Roman" w:cs="Times New Roman"/>
          <w:sz w:val="24"/>
          <w:szCs w:val="24"/>
          <w:lang w:val="en-US"/>
        </w:rPr>
        <w:lastRenderedPageBreak/>
        <w:t>in this matter, where the second respondent was awarded the tender at a price substantially more expensive than that of the Applicant.</w:t>
      </w:r>
    </w:p>
    <w:p w14:paraId="3FE2EC15" w14:textId="2D8E1940" w:rsidR="00330FAE" w:rsidRPr="00AF62A7" w:rsidRDefault="00330FAE" w:rsidP="00AF62A7">
      <w:pPr>
        <w:spacing w:before="0" w:beforeAutospacing="0" w:line="276" w:lineRule="auto"/>
        <w:ind w:left="1440" w:hanging="720"/>
        <w:contextualSpacing/>
        <w:jc w:val="both"/>
        <w:rPr>
          <w:rFonts w:ascii="Times New Roman" w:hAnsi="Times New Roman" w:cs="Times New Roman"/>
          <w:sz w:val="24"/>
          <w:szCs w:val="24"/>
          <w:lang w:val="en-US"/>
        </w:rPr>
      </w:pPr>
      <w:r w:rsidRPr="00AF62A7">
        <w:rPr>
          <w:rFonts w:ascii="Times New Roman" w:hAnsi="Times New Roman" w:cs="Times New Roman"/>
          <w:sz w:val="24"/>
          <w:szCs w:val="24"/>
          <w:lang w:val="en-US"/>
        </w:rPr>
        <w:t>22.</w:t>
      </w:r>
      <w:r w:rsidRPr="00AF62A7">
        <w:rPr>
          <w:rFonts w:ascii="Times New Roman" w:hAnsi="Times New Roman" w:cs="Times New Roman"/>
          <w:sz w:val="24"/>
          <w:szCs w:val="24"/>
          <w:lang w:val="en-US"/>
        </w:rPr>
        <w:tab/>
        <w:t xml:space="preserve">The prudent use of the resources of national government, especially after the </w:t>
      </w:r>
      <w:r w:rsidR="00FF7B18" w:rsidRPr="00AF62A7">
        <w:rPr>
          <w:rFonts w:ascii="Times New Roman" w:hAnsi="Times New Roman" w:cs="Times New Roman"/>
          <w:sz w:val="24"/>
          <w:szCs w:val="24"/>
          <w:lang w:val="en-US"/>
        </w:rPr>
        <w:t>much publicized</w:t>
      </w:r>
      <w:r w:rsidRPr="00AF62A7">
        <w:rPr>
          <w:rFonts w:ascii="Times New Roman" w:hAnsi="Times New Roman" w:cs="Times New Roman"/>
          <w:sz w:val="24"/>
          <w:szCs w:val="24"/>
          <w:lang w:val="en-US"/>
        </w:rPr>
        <w:t xml:space="preserve"> widescale state capture, is a national imperative.</w:t>
      </w:r>
    </w:p>
    <w:p w14:paraId="14D0E089" w14:textId="77777777" w:rsidR="00330FAE" w:rsidRPr="00AF62A7" w:rsidRDefault="00330FAE" w:rsidP="002D4EB8">
      <w:pPr>
        <w:spacing w:before="0" w:beforeAutospacing="0"/>
        <w:ind w:left="1440" w:hanging="720"/>
        <w:contextualSpacing/>
        <w:jc w:val="both"/>
        <w:rPr>
          <w:rFonts w:ascii="Times New Roman" w:hAnsi="Times New Roman" w:cs="Times New Roman"/>
          <w:sz w:val="24"/>
          <w:szCs w:val="24"/>
          <w:lang w:val="en-US"/>
        </w:rPr>
      </w:pPr>
      <w:r w:rsidRPr="00AF62A7">
        <w:rPr>
          <w:rFonts w:ascii="Times New Roman" w:hAnsi="Times New Roman" w:cs="Times New Roman"/>
          <w:sz w:val="24"/>
          <w:szCs w:val="24"/>
          <w:lang w:val="en-US"/>
        </w:rPr>
        <w:t>23.</w:t>
      </w:r>
      <w:r w:rsidRPr="00AF62A7">
        <w:rPr>
          <w:rFonts w:ascii="Times New Roman" w:hAnsi="Times New Roman" w:cs="Times New Roman"/>
          <w:sz w:val="24"/>
          <w:szCs w:val="24"/>
          <w:lang w:val="en-US"/>
        </w:rPr>
        <w:tab/>
        <w:t xml:space="preserve">It is respectfully submitted that the widescale use of the impugned process by the Department and the consequent impugned decisions which flowed therefrom amounts to administrative action which directly affected the constitutional rights and expectations of not only the applicant </w:t>
      </w:r>
      <w:r w:rsidRPr="00FF7B18">
        <w:rPr>
          <w:rFonts w:ascii="Times New Roman" w:hAnsi="Times New Roman" w:cs="Times New Roman"/>
          <w:sz w:val="28"/>
          <w:szCs w:val="28"/>
          <w:lang w:val="en-US"/>
        </w:rPr>
        <w:t>(first respondent on appeal)</w:t>
      </w:r>
      <w:r w:rsidRPr="00AF62A7">
        <w:rPr>
          <w:rFonts w:ascii="Times New Roman" w:hAnsi="Times New Roman" w:cs="Times New Roman"/>
          <w:sz w:val="24"/>
          <w:szCs w:val="24"/>
          <w:lang w:val="en-US"/>
        </w:rPr>
        <w:t xml:space="preserve"> but also taxpayers in general.”</w:t>
      </w:r>
    </w:p>
    <w:p w14:paraId="155E2E20" w14:textId="77777777" w:rsidR="00330FAE" w:rsidRDefault="00330FAE" w:rsidP="002D4EB8">
      <w:pPr>
        <w:pStyle w:val="ListParagraph"/>
        <w:tabs>
          <w:tab w:val="left" w:pos="709"/>
        </w:tabs>
        <w:spacing w:before="0" w:beforeAutospacing="0"/>
        <w:ind w:left="0"/>
        <w:jc w:val="both"/>
        <w:rPr>
          <w:rFonts w:ascii="Times New Roman" w:hAnsi="Times New Roman" w:cs="Times New Roman"/>
          <w:sz w:val="24"/>
          <w:szCs w:val="24"/>
          <w:lang w:val="en-US"/>
        </w:rPr>
      </w:pPr>
    </w:p>
    <w:p w14:paraId="60CA8FBC" w14:textId="37A351EC" w:rsidR="00330FAE" w:rsidRPr="000E2B31" w:rsidRDefault="000E2B31" w:rsidP="000E2B31">
      <w:pPr>
        <w:tabs>
          <w:tab w:val="left" w:pos="709"/>
        </w:tabs>
        <w:spacing w:before="0" w:beforeAutospacing="0"/>
        <w:jc w:val="both"/>
        <w:rPr>
          <w:rFonts w:ascii="Times New Roman" w:hAnsi="Times New Roman" w:cs="Times New Roman"/>
          <w:sz w:val="24"/>
          <w:szCs w:val="24"/>
          <w:lang w:val="en-US"/>
        </w:rPr>
      </w:pPr>
      <w:r w:rsidRPr="00330FAE">
        <w:rPr>
          <w:rFonts w:ascii="Times New Roman" w:hAnsi="Times New Roman" w:cs="Times New Roman"/>
          <w:sz w:val="28"/>
          <w:szCs w:val="28"/>
          <w:lang w:val="en-US"/>
        </w:rPr>
        <w:t>[32]</w:t>
      </w:r>
      <w:r w:rsidRPr="00330FAE">
        <w:rPr>
          <w:rFonts w:ascii="Times New Roman" w:hAnsi="Times New Roman" w:cs="Times New Roman"/>
          <w:sz w:val="28"/>
          <w:szCs w:val="28"/>
          <w:lang w:val="en-US"/>
        </w:rPr>
        <w:tab/>
      </w:r>
      <w:r w:rsidR="00330FAE" w:rsidRPr="000E2B31">
        <w:rPr>
          <w:rFonts w:ascii="Times New Roman" w:hAnsi="Times New Roman" w:cs="Times New Roman"/>
          <w:sz w:val="28"/>
          <w:szCs w:val="28"/>
          <w:lang w:val="en-US"/>
        </w:rPr>
        <w:t xml:space="preserve">To this opening salvo, the appellant retorted: </w:t>
      </w:r>
    </w:p>
    <w:p w14:paraId="4F90D650" w14:textId="77777777" w:rsidR="00330FAE" w:rsidRDefault="00330FAE" w:rsidP="00330FAE">
      <w:pPr>
        <w:pStyle w:val="ListParagraph"/>
        <w:tabs>
          <w:tab w:val="left" w:pos="709"/>
        </w:tabs>
        <w:spacing w:before="0" w:beforeAutospacing="0"/>
        <w:ind w:left="0"/>
        <w:jc w:val="both"/>
        <w:rPr>
          <w:rFonts w:ascii="Times New Roman" w:hAnsi="Times New Roman" w:cs="Times New Roman"/>
          <w:sz w:val="24"/>
          <w:szCs w:val="24"/>
          <w:lang w:val="en-US"/>
        </w:rPr>
      </w:pPr>
    </w:p>
    <w:p w14:paraId="67670396" w14:textId="18FF1179" w:rsidR="00330FAE" w:rsidRDefault="00330FAE" w:rsidP="00D46402">
      <w:pPr>
        <w:spacing w:before="0" w:beforeAutospacing="0" w:line="240" w:lineRule="auto"/>
        <w:ind w:left="1276" w:hanging="709"/>
        <w:contextualSpacing/>
        <w:jc w:val="both"/>
        <w:rPr>
          <w:rFonts w:ascii="Times New Roman" w:hAnsi="Times New Roman" w:cs="Times New Roman"/>
          <w:sz w:val="24"/>
          <w:szCs w:val="24"/>
          <w:lang w:val="en-US"/>
        </w:rPr>
      </w:pPr>
      <w:r w:rsidRPr="00DD4FF4">
        <w:rPr>
          <w:rFonts w:ascii="Times New Roman" w:hAnsi="Times New Roman" w:cs="Times New Roman"/>
          <w:sz w:val="24"/>
          <w:szCs w:val="24"/>
          <w:lang w:val="en-US"/>
        </w:rPr>
        <w:t>“14.1</w:t>
      </w:r>
      <w:r>
        <w:rPr>
          <w:rFonts w:ascii="Times New Roman" w:hAnsi="Times New Roman" w:cs="Times New Roman"/>
          <w:sz w:val="24"/>
          <w:szCs w:val="24"/>
          <w:lang w:val="en-US"/>
        </w:rPr>
        <w:t xml:space="preserve"> </w:t>
      </w:r>
      <w:r w:rsidR="002D4EB8">
        <w:rPr>
          <w:rFonts w:ascii="Times New Roman" w:hAnsi="Times New Roman" w:cs="Times New Roman"/>
          <w:sz w:val="24"/>
          <w:szCs w:val="24"/>
          <w:lang w:val="en-US"/>
        </w:rPr>
        <w:tab/>
      </w:r>
      <w:r>
        <w:rPr>
          <w:rFonts w:ascii="Times New Roman" w:hAnsi="Times New Roman" w:cs="Times New Roman"/>
          <w:sz w:val="24"/>
          <w:szCs w:val="24"/>
          <w:lang w:val="en-US"/>
        </w:rPr>
        <w:t>It</w:t>
      </w:r>
      <w:r w:rsidRPr="00DD4FF4">
        <w:rPr>
          <w:rFonts w:ascii="Times New Roman" w:hAnsi="Times New Roman" w:cs="Times New Roman"/>
          <w:sz w:val="24"/>
          <w:szCs w:val="24"/>
          <w:lang w:val="en-US"/>
        </w:rPr>
        <w:t xml:space="preserve"> is denied that the process whereby risk assessment is utilized is an “impugned</w:t>
      </w:r>
      <w:r>
        <w:rPr>
          <w:rFonts w:ascii="Times New Roman" w:hAnsi="Times New Roman" w:cs="Times New Roman"/>
          <w:sz w:val="24"/>
          <w:szCs w:val="24"/>
          <w:lang w:val="en-US"/>
        </w:rPr>
        <w:t xml:space="preserve"> </w:t>
      </w:r>
      <w:r w:rsidRPr="00DD4FF4">
        <w:rPr>
          <w:rFonts w:ascii="Times New Roman" w:hAnsi="Times New Roman" w:cs="Times New Roman"/>
          <w:sz w:val="24"/>
          <w:szCs w:val="24"/>
          <w:lang w:val="en-US"/>
        </w:rPr>
        <w:t>process” and denies therefore that utilization thereof justifies the present review application.</w:t>
      </w:r>
    </w:p>
    <w:p w14:paraId="617946B8" w14:textId="0EA2DE18" w:rsidR="00330FAE" w:rsidRDefault="00330FAE" w:rsidP="00D46402">
      <w:pPr>
        <w:spacing w:before="0" w:beforeAutospacing="0"/>
        <w:ind w:left="1276" w:hanging="556"/>
        <w:contextualSpacing/>
        <w:jc w:val="both"/>
        <w:rPr>
          <w:rFonts w:ascii="Times New Roman" w:hAnsi="Times New Roman" w:cs="Times New Roman"/>
          <w:sz w:val="24"/>
          <w:szCs w:val="24"/>
          <w:lang w:val="en-US"/>
        </w:rPr>
      </w:pPr>
      <w:r w:rsidRPr="00DD4FF4">
        <w:rPr>
          <w:rFonts w:ascii="Times New Roman" w:hAnsi="Times New Roman" w:cs="Times New Roman"/>
          <w:sz w:val="24"/>
          <w:szCs w:val="24"/>
          <w:lang w:val="en-US"/>
        </w:rPr>
        <w:t>14.2</w:t>
      </w:r>
      <w:r>
        <w:rPr>
          <w:rFonts w:ascii="Times New Roman" w:hAnsi="Times New Roman" w:cs="Times New Roman"/>
          <w:sz w:val="24"/>
          <w:szCs w:val="24"/>
          <w:lang w:val="en-US"/>
        </w:rPr>
        <w:tab/>
      </w:r>
      <w:r w:rsidRPr="00DD4FF4">
        <w:rPr>
          <w:rFonts w:ascii="Times New Roman" w:hAnsi="Times New Roman" w:cs="Times New Roman"/>
          <w:sz w:val="24"/>
          <w:szCs w:val="24"/>
          <w:lang w:val="en-US"/>
        </w:rPr>
        <w:t>It is in fact a constitutional imperative under section 217 of the Constitution,</w:t>
      </w:r>
      <w:r>
        <w:rPr>
          <w:rFonts w:ascii="Times New Roman" w:hAnsi="Times New Roman" w:cs="Times New Roman"/>
          <w:sz w:val="24"/>
          <w:szCs w:val="24"/>
          <w:lang w:val="en-US"/>
        </w:rPr>
        <w:t xml:space="preserve"> </w:t>
      </w:r>
      <w:r w:rsidRPr="00DD4FF4">
        <w:rPr>
          <w:rFonts w:ascii="Times New Roman" w:hAnsi="Times New Roman" w:cs="Times New Roman"/>
          <w:sz w:val="24"/>
          <w:szCs w:val="24"/>
          <w:lang w:val="en-US"/>
        </w:rPr>
        <w:t>particularly in relation to the principle of cost-effectiveness, that risk assessment forms an integral part of the evaluation process, more particularly as it is not cost-effective to award a tender to a party who simply scores favorably on price and preference but there are risks involved in executing the work, whether through lack of experience, adequate personnel or financial resources.”</w:t>
      </w:r>
    </w:p>
    <w:p w14:paraId="33087B18" w14:textId="77777777" w:rsidR="00330FAE" w:rsidRPr="00330FAE" w:rsidRDefault="00330FAE" w:rsidP="00D46402">
      <w:pPr>
        <w:pStyle w:val="ListParagraph"/>
        <w:tabs>
          <w:tab w:val="left" w:pos="709"/>
        </w:tabs>
        <w:spacing w:before="0" w:beforeAutospacing="0"/>
        <w:ind w:left="0"/>
        <w:jc w:val="both"/>
        <w:rPr>
          <w:rFonts w:ascii="Times New Roman" w:hAnsi="Times New Roman" w:cs="Times New Roman"/>
          <w:sz w:val="24"/>
          <w:szCs w:val="24"/>
          <w:lang w:val="en-US"/>
        </w:rPr>
      </w:pPr>
    </w:p>
    <w:p w14:paraId="4C8D3064" w14:textId="24FCA789" w:rsidR="00330FAE" w:rsidRPr="000E2B31" w:rsidRDefault="000E2B31" w:rsidP="000E2B31">
      <w:pPr>
        <w:tabs>
          <w:tab w:val="left" w:pos="709"/>
        </w:tabs>
        <w:spacing w:before="0" w:beforeAutospacing="0"/>
        <w:jc w:val="both"/>
        <w:rPr>
          <w:rFonts w:ascii="Times New Roman" w:hAnsi="Times New Roman" w:cs="Times New Roman"/>
          <w:sz w:val="24"/>
          <w:szCs w:val="24"/>
          <w:lang w:val="en-US"/>
        </w:rPr>
      </w:pPr>
      <w:r w:rsidRPr="002E609F">
        <w:rPr>
          <w:rFonts w:ascii="Times New Roman" w:hAnsi="Times New Roman" w:cs="Times New Roman"/>
          <w:sz w:val="28"/>
          <w:szCs w:val="28"/>
          <w:lang w:val="en-US"/>
        </w:rPr>
        <w:t>[33]</w:t>
      </w:r>
      <w:r w:rsidRPr="002E609F">
        <w:rPr>
          <w:rFonts w:ascii="Times New Roman" w:hAnsi="Times New Roman" w:cs="Times New Roman"/>
          <w:sz w:val="28"/>
          <w:szCs w:val="28"/>
          <w:lang w:val="en-US"/>
        </w:rPr>
        <w:tab/>
      </w:r>
      <w:r w:rsidR="00330FAE" w:rsidRPr="000E2B31">
        <w:rPr>
          <w:rFonts w:ascii="Times New Roman" w:hAnsi="Times New Roman" w:cs="Times New Roman"/>
          <w:sz w:val="28"/>
          <w:szCs w:val="28"/>
          <w:lang w:val="en-US"/>
        </w:rPr>
        <w:t xml:space="preserve">It is the question of the </w:t>
      </w:r>
      <w:r w:rsidR="002C1862" w:rsidRPr="000E2B31">
        <w:rPr>
          <w:rFonts w:ascii="Times New Roman" w:hAnsi="Times New Roman" w:cs="Times New Roman"/>
          <w:sz w:val="28"/>
          <w:szCs w:val="28"/>
          <w:lang w:val="en-US"/>
        </w:rPr>
        <w:t xml:space="preserve">legal </w:t>
      </w:r>
      <w:r w:rsidR="00330FAE" w:rsidRPr="000E2B31">
        <w:rPr>
          <w:rFonts w:ascii="Times New Roman" w:hAnsi="Times New Roman" w:cs="Times New Roman"/>
          <w:sz w:val="28"/>
          <w:szCs w:val="28"/>
          <w:lang w:val="en-US"/>
        </w:rPr>
        <w:t xml:space="preserve">permissibility of this process or practice </w:t>
      </w:r>
      <w:r w:rsidR="002C1862" w:rsidRPr="000E2B31">
        <w:rPr>
          <w:rFonts w:ascii="Times New Roman" w:hAnsi="Times New Roman" w:cs="Times New Roman"/>
          <w:sz w:val="28"/>
          <w:szCs w:val="28"/>
          <w:lang w:val="en-US"/>
        </w:rPr>
        <w:t xml:space="preserve">made provision for in its tender Data </w:t>
      </w:r>
      <w:r w:rsidR="00330FAE" w:rsidRPr="000E2B31">
        <w:rPr>
          <w:rFonts w:ascii="Times New Roman" w:hAnsi="Times New Roman" w:cs="Times New Roman"/>
          <w:sz w:val="28"/>
          <w:szCs w:val="28"/>
          <w:lang w:val="en-US"/>
        </w:rPr>
        <w:t xml:space="preserve">that the appellant </w:t>
      </w:r>
      <w:r w:rsidR="003C3A88" w:rsidRPr="000E2B31">
        <w:rPr>
          <w:rFonts w:ascii="Times New Roman" w:hAnsi="Times New Roman" w:cs="Times New Roman"/>
          <w:sz w:val="28"/>
          <w:szCs w:val="28"/>
          <w:lang w:val="en-US"/>
        </w:rPr>
        <w:t xml:space="preserve">says it </w:t>
      </w:r>
      <w:r w:rsidR="00330FAE" w:rsidRPr="000E2B31">
        <w:rPr>
          <w:rFonts w:ascii="Times New Roman" w:hAnsi="Times New Roman" w:cs="Times New Roman"/>
          <w:sz w:val="28"/>
          <w:szCs w:val="28"/>
          <w:lang w:val="en-US"/>
        </w:rPr>
        <w:t xml:space="preserve">adopts  as </w:t>
      </w:r>
      <w:r w:rsidR="002C1862" w:rsidRPr="000E2B31">
        <w:rPr>
          <w:rFonts w:ascii="Times New Roman" w:hAnsi="Times New Roman" w:cs="Times New Roman"/>
          <w:sz w:val="28"/>
          <w:szCs w:val="28"/>
          <w:lang w:val="en-US"/>
        </w:rPr>
        <w:t>an</w:t>
      </w:r>
      <w:r w:rsidR="00330FAE" w:rsidRPr="000E2B31">
        <w:rPr>
          <w:rFonts w:ascii="Times New Roman" w:hAnsi="Times New Roman" w:cs="Times New Roman"/>
          <w:sz w:val="28"/>
          <w:szCs w:val="28"/>
          <w:lang w:val="en-US"/>
        </w:rPr>
        <w:t xml:space="preserve"> </w:t>
      </w:r>
      <w:r w:rsidR="002C1862" w:rsidRPr="000E2B31">
        <w:rPr>
          <w:rFonts w:ascii="Times New Roman" w:hAnsi="Times New Roman" w:cs="Times New Roman"/>
          <w:sz w:val="28"/>
          <w:szCs w:val="28"/>
          <w:lang w:val="en-US"/>
        </w:rPr>
        <w:t>“</w:t>
      </w:r>
      <w:r w:rsidR="00330FAE" w:rsidRPr="000E2B31">
        <w:rPr>
          <w:rFonts w:ascii="Times New Roman" w:hAnsi="Times New Roman" w:cs="Times New Roman"/>
          <w:sz w:val="28"/>
          <w:szCs w:val="28"/>
          <w:lang w:val="en-US"/>
        </w:rPr>
        <w:t>integral part</w:t>
      </w:r>
      <w:r w:rsidR="002C1862" w:rsidRPr="000E2B31">
        <w:rPr>
          <w:rFonts w:ascii="Times New Roman" w:hAnsi="Times New Roman" w:cs="Times New Roman"/>
          <w:sz w:val="28"/>
          <w:szCs w:val="28"/>
          <w:lang w:val="en-US"/>
        </w:rPr>
        <w:t>”</w:t>
      </w:r>
      <w:r w:rsidR="00330FAE" w:rsidRPr="000E2B31">
        <w:rPr>
          <w:rFonts w:ascii="Times New Roman" w:hAnsi="Times New Roman" w:cs="Times New Roman"/>
          <w:sz w:val="28"/>
          <w:szCs w:val="28"/>
          <w:lang w:val="en-US"/>
        </w:rPr>
        <w:t xml:space="preserve"> of its evaluation process in awarding a tende</w:t>
      </w:r>
      <w:r w:rsidR="00744339" w:rsidRPr="000E2B31">
        <w:rPr>
          <w:rFonts w:ascii="Times New Roman" w:hAnsi="Times New Roman" w:cs="Times New Roman"/>
          <w:sz w:val="28"/>
          <w:szCs w:val="28"/>
          <w:lang w:val="en-US"/>
        </w:rPr>
        <w:t xml:space="preserve">r </w:t>
      </w:r>
      <w:r w:rsidR="00C82A2C" w:rsidRPr="000E2B31">
        <w:rPr>
          <w:rFonts w:ascii="Times New Roman" w:hAnsi="Times New Roman" w:cs="Times New Roman"/>
          <w:sz w:val="28"/>
          <w:szCs w:val="28"/>
          <w:lang w:val="en-US"/>
        </w:rPr>
        <w:t>(including the one under consideration)</w:t>
      </w:r>
      <w:r w:rsidR="008A6E86" w:rsidRPr="000E2B31">
        <w:rPr>
          <w:rFonts w:ascii="Times New Roman" w:hAnsi="Times New Roman" w:cs="Times New Roman"/>
          <w:sz w:val="28"/>
          <w:szCs w:val="28"/>
          <w:lang w:val="en-US"/>
        </w:rPr>
        <w:t>,</w:t>
      </w:r>
      <w:r w:rsidR="00C82A2C" w:rsidRPr="000E2B31">
        <w:rPr>
          <w:rFonts w:ascii="Times New Roman" w:hAnsi="Times New Roman" w:cs="Times New Roman"/>
          <w:sz w:val="28"/>
          <w:szCs w:val="28"/>
          <w:lang w:val="en-US"/>
        </w:rPr>
        <w:t xml:space="preserve"> and how it is</w:t>
      </w:r>
      <w:r w:rsidR="00A06B57" w:rsidRPr="000E2B31">
        <w:rPr>
          <w:rFonts w:ascii="Times New Roman" w:hAnsi="Times New Roman" w:cs="Times New Roman"/>
          <w:sz w:val="28"/>
          <w:szCs w:val="28"/>
          <w:lang w:val="en-US"/>
        </w:rPr>
        <w:t xml:space="preserve"> </w:t>
      </w:r>
      <w:r w:rsidR="008A6E86" w:rsidRPr="000E2B31">
        <w:rPr>
          <w:rFonts w:ascii="Times New Roman" w:hAnsi="Times New Roman" w:cs="Times New Roman"/>
          <w:sz w:val="28"/>
          <w:szCs w:val="28"/>
          <w:lang w:val="en-US"/>
        </w:rPr>
        <w:t>and was</w:t>
      </w:r>
      <w:r w:rsidR="00C82A2C" w:rsidRPr="000E2B31">
        <w:rPr>
          <w:rFonts w:ascii="Times New Roman" w:hAnsi="Times New Roman" w:cs="Times New Roman"/>
          <w:sz w:val="28"/>
          <w:szCs w:val="28"/>
          <w:lang w:val="en-US"/>
        </w:rPr>
        <w:t xml:space="preserve"> applied</w:t>
      </w:r>
      <w:r w:rsidR="002C1862" w:rsidRPr="000E2B31">
        <w:rPr>
          <w:rFonts w:ascii="Times New Roman" w:hAnsi="Times New Roman" w:cs="Times New Roman"/>
          <w:sz w:val="28"/>
          <w:szCs w:val="28"/>
          <w:lang w:val="en-US"/>
        </w:rPr>
        <w:t xml:space="preserve"> </w:t>
      </w:r>
      <w:r w:rsidR="00A06B57" w:rsidRPr="000E2B31">
        <w:rPr>
          <w:rFonts w:ascii="Times New Roman" w:hAnsi="Times New Roman" w:cs="Times New Roman"/>
          <w:sz w:val="28"/>
          <w:szCs w:val="28"/>
          <w:lang w:val="en-US"/>
        </w:rPr>
        <w:t xml:space="preserve">in this case </w:t>
      </w:r>
      <w:r w:rsidR="00330FAE" w:rsidRPr="000E2B31">
        <w:rPr>
          <w:rFonts w:ascii="Times New Roman" w:hAnsi="Times New Roman" w:cs="Times New Roman"/>
          <w:sz w:val="28"/>
          <w:szCs w:val="28"/>
          <w:lang w:val="en-US"/>
        </w:rPr>
        <w:t>(</w:t>
      </w:r>
      <w:r w:rsidR="00FF7B18" w:rsidRPr="000E2B31">
        <w:rPr>
          <w:rFonts w:ascii="Times New Roman" w:hAnsi="Times New Roman" w:cs="Times New Roman"/>
          <w:sz w:val="28"/>
          <w:szCs w:val="28"/>
          <w:lang w:val="en-US"/>
        </w:rPr>
        <w:t xml:space="preserve">not </w:t>
      </w:r>
      <w:r w:rsidR="003C3A88" w:rsidRPr="000E2B31">
        <w:rPr>
          <w:rFonts w:ascii="Times New Roman" w:hAnsi="Times New Roman" w:cs="Times New Roman"/>
          <w:sz w:val="28"/>
          <w:szCs w:val="28"/>
          <w:lang w:val="en-US"/>
        </w:rPr>
        <w:t xml:space="preserve">pertinently </w:t>
      </w:r>
      <w:r w:rsidR="00FF7B18" w:rsidRPr="000E2B31">
        <w:rPr>
          <w:rFonts w:ascii="Times New Roman" w:hAnsi="Times New Roman" w:cs="Times New Roman"/>
          <w:sz w:val="28"/>
          <w:szCs w:val="28"/>
          <w:lang w:val="en-US"/>
        </w:rPr>
        <w:t xml:space="preserve"> dealt with</w:t>
      </w:r>
      <w:r w:rsidR="00330FAE" w:rsidRPr="000E2B31">
        <w:rPr>
          <w:rFonts w:ascii="Times New Roman" w:hAnsi="Times New Roman" w:cs="Times New Roman"/>
          <w:sz w:val="28"/>
          <w:szCs w:val="28"/>
          <w:lang w:val="en-US"/>
        </w:rPr>
        <w:t xml:space="preserve"> by the court </w:t>
      </w:r>
      <w:r w:rsidR="00330FAE" w:rsidRPr="000E2B31">
        <w:rPr>
          <w:rFonts w:ascii="Times New Roman" w:hAnsi="Times New Roman" w:cs="Times New Roman"/>
          <w:i/>
          <w:iCs/>
          <w:sz w:val="28"/>
          <w:szCs w:val="28"/>
          <w:lang w:val="en-US"/>
        </w:rPr>
        <w:t>a quo</w:t>
      </w:r>
      <w:r w:rsidR="00330FAE" w:rsidRPr="000E2B31">
        <w:rPr>
          <w:rFonts w:ascii="Times New Roman" w:hAnsi="Times New Roman" w:cs="Times New Roman"/>
          <w:sz w:val="28"/>
          <w:szCs w:val="28"/>
          <w:lang w:val="en-US"/>
        </w:rPr>
        <w:t xml:space="preserve"> in </w:t>
      </w:r>
      <w:r w:rsidR="00FF7B18" w:rsidRPr="000E2B31">
        <w:rPr>
          <w:rFonts w:ascii="Times New Roman" w:hAnsi="Times New Roman" w:cs="Times New Roman"/>
          <w:sz w:val="28"/>
          <w:szCs w:val="28"/>
          <w:lang w:val="en-US"/>
        </w:rPr>
        <w:t>its judgment</w:t>
      </w:r>
      <w:r w:rsidR="00330FAE" w:rsidRPr="000E2B31">
        <w:rPr>
          <w:rFonts w:ascii="Times New Roman" w:hAnsi="Times New Roman" w:cs="Times New Roman"/>
          <w:sz w:val="28"/>
          <w:szCs w:val="28"/>
          <w:lang w:val="en-US"/>
        </w:rPr>
        <w:t xml:space="preserve">), that appears to have been a </w:t>
      </w:r>
      <w:r w:rsidR="00FF7B18" w:rsidRPr="000E2B31">
        <w:rPr>
          <w:rFonts w:ascii="Times New Roman" w:hAnsi="Times New Roman" w:cs="Times New Roman"/>
          <w:sz w:val="28"/>
          <w:szCs w:val="28"/>
          <w:lang w:val="en-US"/>
        </w:rPr>
        <w:t xml:space="preserve">further </w:t>
      </w:r>
      <w:r w:rsidR="00330FAE" w:rsidRPr="000E2B31">
        <w:rPr>
          <w:rFonts w:ascii="Times New Roman" w:hAnsi="Times New Roman" w:cs="Times New Roman"/>
          <w:sz w:val="28"/>
          <w:szCs w:val="28"/>
          <w:lang w:val="en-US"/>
        </w:rPr>
        <w:t xml:space="preserve">basis </w:t>
      </w:r>
      <w:r w:rsidR="003C3A88" w:rsidRPr="000E2B31">
        <w:rPr>
          <w:rFonts w:ascii="Times New Roman" w:hAnsi="Times New Roman" w:cs="Times New Roman"/>
          <w:sz w:val="28"/>
          <w:szCs w:val="28"/>
          <w:lang w:val="en-US"/>
        </w:rPr>
        <w:t xml:space="preserve">for it </w:t>
      </w:r>
      <w:r w:rsidR="00330FAE" w:rsidRPr="000E2B31">
        <w:rPr>
          <w:rFonts w:ascii="Times New Roman" w:hAnsi="Times New Roman" w:cs="Times New Roman"/>
          <w:sz w:val="28"/>
          <w:szCs w:val="28"/>
          <w:lang w:val="en-US"/>
        </w:rPr>
        <w:t xml:space="preserve">to </w:t>
      </w:r>
      <w:r w:rsidR="00462298" w:rsidRPr="000E2B31">
        <w:rPr>
          <w:rFonts w:ascii="Times New Roman" w:hAnsi="Times New Roman" w:cs="Times New Roman"/>
          <w:sz w:val="28"/>
          <w:szCs w:val="28"/>
          <w:lang w:val="en-US"/>
        </w:rPr>
        <w:t xml:space="preserve">have </w:t>
      </w:r>
      <w:r w:rsidR="00330FAE" w:rsidRPr="000E2B31">
        <w:rPr>
          <w:rFonts w:ascii="Times New Roman" w:hAnsi="Times New Roman" w:cs="Times New Roman"/>
          <w:sz w:val="28"/>
          <w:szCs w:val="28"/>
          <w:lang w:val="en-US"/>
        </w:rPr>
        <w:t>persuade</w:t>
      </w:r>
      <w:r w:rsidR="00462298" w:rsidRPr="000E2B31">
        <w:rPr>
          <w:rFonts w:ascii="Times New Roman" w:hAnsi="Times New Roman" w:cs="Times New Roman"/>
          <w:sz w:val="28"/>
          <w:szCs w:val="28"/>
          <w:lang w:val="en-US"/>
        </w:rPr>
        <w:t>d</w:t>
      </w:r>
      <w:r w:rsidR="00330FAE" w:rsidRPr="000E2B31">
        <w:rPr>
          <w:rFonts w:ascii="Times New Roman" w:hAnsi="Times New Roman" w:cs="Times New Roman"/>
          <w:sz w:val="28"/>
          <w:szCs w:val="28"/>
          <w:lang w:val="en-US"/>
        </w:rPr>
        <w:t xml:space="preserve"> the SCA</w:t>
      </w:r>
      <w:r w:rsidR="00FF7B18" w:rsidRPr="000E2B31">
        <w:rPr>
          <w:rFonts w:ascii="Times New Roman" w:hAnsi="Times New Roman" w:cs="Times New Roman"/>
          <w:sz w:val="28"/>
          <w:szCs w:val="28"/>
          <w:lang w:val="en-US"/>
        </w:rPr>
        <w:t xml:space="preserve">, </w:t>
      </w:r>
      <w:r w:rsidR="00C405A6" w:rsidRPr="000E2B31">
        <w:rPr>
          <w:rFonts w:ascii="Times New Roman" w:hAnsi="Times New Roman" w:cs="Times New Roman"/>
          <w:sz w:val="28"/>
          <w:szCs w:val="28"/>
          <w:lang w:val="en-US"/>
        </w:rPr>
        <w:t xml:space="preserve">this </w:t>
      </w:r>
      <w:r w:rsidR="00330FAE" w:rsidRPr="000E2B31">
        <w:rPr>
          <w:rFonts w:ascii="Times New Roman" w:hAnsi="Times New Roman" w:cs="Times New Roman"/>
          <w:sz w:val="28"/>
          <w:szCs w:val="28"/>
          <w:lang w:val="en-US"/>
        </w:rPr>
        <w:t xml:space="preserve">apart from </w:t>
      </w:r>
      <w:r w:rsidR="00C405A6" w:rsidRPr="000E2B31">
        <w:rPr>
          <w:rFonts w:ascii="Times New Roman" w:hAnsi="Times New Roman" w:cs="Times New Roman"/>
          <w:sz w:val="28"/>
          <w:szCs w:val="28"/>
          <w:lang w:val="en-US"/>
        </w:rPr>
        <w:t>its</w:t>
      </w:r>
      <w:r w:rsidR="00FF7B18" w:rsidRPr="000E2B31">
        <w:rPr>
          <w:rFonts w:ascii="Times New Roman" w:hAnsi="Times New Roman" w:cs="Times New Roman"/>
          <w:sz w:val="28"/>
          <w:szCs w:val="28"/>
          <w:lang w:val="en-US"/>
        </w:rPr>
        <w:t xml:space="preserve"> contention</w:t>
      </w:r>
      <w:r w:rsidR="00330FAE" w:rsidRPr="000E2B31">
        <w:rPr>
          <w:rFonts w:ascii="Times New Roman" w:hAnsi="Times New Roman" w:cs="Times New Roman"/>
          <w:sz w:val="28"/>
          <w:szCs w:val="28"/>
          <w:lang w:val="en-US"/>
        </w:rPr>
        <w:t xml:space="preserve"> that there were reasonable prospects of the appeal succeeding</w:t>
      </w:r>
      <w:r w:rsidR="00FF7B18" w:rsidRPr="000E2B31">
        <w:rPr>
          <w:rFonts w:ascii="Times New Roman" w:hAnsi="Times New Roman" w:cs="Times New Roman"/>
          <w:sz w:val="28"/>
          <w:szCs w:val="28"/>
          <w:lang w:val="en-US"/>
        </w:rPr>
        <w:t xml:space="preserve">, </w:t>
      </w:r>
      <w:r w:rsidR="00330FAE" w:rsidRPr="000E2B31">
        <w:rPr>
          <w:rFonts w:ascii="Times New Roman" w:hAnsi="Times New Roman" w:cs="Times New Roman"/>
          <w:sz w:val="28"/>
          <w:szCs w:val="28"/>
          <w:lang w:val="en-US"/>
        </w:rPr>
        <w:t xml:space="preserve">that the matter was one of substantial importance to the general public and constituted a compelling reason why the appeal should be heard. The appellant contended in the application for leave to appeal </w:t>
      </w:r>
      <w:r w:rsidR="00FF7B18" w:rsidRPr="000E2B31">
        <w:rPr>
          <w:rFonts w:ascii="Times New Roman" w:hAnsi="Times New Roman" w:cs="Times New Roman"/>
          <w:sz w:val="28"/>
          <w:szCs w:val="28"/>
          <w:lang w:val="en-US"/>
        </w:rPr>
        <w:t xml:space="preserve">in this respect </w:t>
      </w:r>
      <w:r w:rsidR="00330FAE" w:rsidRPr="000E2B31">
        <w:rPr>
          <w:rFonts w:ascii="Times New Roman" w:hAnsi="Times New Roman" w:cs="Times New Roman"/>
          <w:sz w:val="28"/>
          <w:szCs w:val="28"/>
          <w:lang w:val="en-US"/>
        </w:rPr>
        <w:lastRenderedPageBreak/>
        <w:t xml:space="preserve">that the matter involved </w:t>
      </w:r>
      <w:r w:rsidR="00330FAE" w:rsidRPr="000E2B31">
        <w:rPr>
          <w:rFonts w:ascii="Times New Roman" w:hAnsi="Times New Roman" w:cs="Times New Roman"/>
          <w:i/>
          <w:iCs/>
          <w:sz w:val="28"/>
          <w:szCs w:val="28"/>
          <w:lang w:val="en-US"/>
        </w:rPr>
        <w:t>“an important question of law and the administration of justice generally”</w:t>
      </w:r>
      <w:r w:rsidR="00330FAE" w:rsidRPr="000E2B31">
        <w:rPr>
          <w:rFonts w:ascii="Times New Roman" w:hAnsi="Times New Roman" w:cs="Times New Roman"/>
          <w:sz w:val="28"/>
          <w:szCs w:val="28"/>
          <w:lang w:val="en-US"/>
        </w:rPr>
        <w:t xml:space="preserve"> that particularly required the appeal to be heard before this court. </w:t>
      </w:r>
    </w:p>
    <w:p w14:paraId="7D552652" w14:textId="77777777" w:rsidR="002E609F" w:rsidRPr="002E609F" w:rsidRDefault="002E609F" w:rsidP="002E609F">
      <w:pPr>
        <w:pStyle w:val="ListParagraph"/>
        <w:tabs>
          <w:tab w:val="left" w:pos="709"/>
        </w:tabs>
        <w:spacing w:before="0" w:beforeAutospacing="0"/>
        <w:ind w:left="0"/>
        <w:jc w:val="both"/>
        <w:rPr>
          <w:rFonts w:ascii="Times New Roman" w:hAnsi="Times New Roman" w:cs="Times New Roman"/>
          <w:sz w:val="24"/>
          <w:szCs w:val="24"/>
          <w:lang w:val="en-US"/>
        </w:rPr>
      </w:pPr>
    </w:p>
    <w:p w14:paraId="6E529075" w14:textId="39123319" w:rsidR="002D4EB8" w:rsidRPr="000E2B31" w:rsidRDefault="000E2B31" w:rsidP="000E2B31">
      <w:pPr>
        <w:tabs>
          <w:tab w:val="left" w:pos="709"/>
        </w:tabs>
        <w:spacing w:before="0" w:beforeAutospacing="0"/>
        <w:jc w:val="both"/>
        <w:rPr>
          <w:rFonts w:ascii="Times New Roman" w:hAnsi="Times New Roman" w:cs="Times New Roman"/>
          <w:sz w:val="28"/>
          <w:szCs w:val="28"/>
          <w:lang w:val="en-US"/>
        </w:rPr>
      </w:pPr>
      <w:r w:rsidRPr="00D46402">
        <w:rPr>
          <w:rFonts w:ascii="Times New Roman" w:hAnsi="Times New Roman" w:cs="Times New Roman"/>
          <w:sz w:val="28"/>
          <w:szCs w:val="28"/>
          <w:lang w:val="en-US"/>
        </w:rPr>
        <w:t>[34]</w:t>
      </w:r>
      <w:r w:rsidRPr="00D46402">
        <w:rPr>
          <w:rFonts w:ascii="Times New Roman" w:hAnsi="Times New Roman" w:cs="Times New Roman"/>
          <w:sz w:val="28"/>
          <w:szCs w:val="28"/>
          <w:lang w:val="en-US"/>
        </w:rPr>
        <w:tab/>
      </w:r>
      <w:r w:rsidR="0060304D" w:rsidRPr="000E2B31">
        <w:rPr>
          <w:rFonts w:ascii="Times New Roman" w:hAnsi="Times New Roman" w:cs="Times New Roman"/>
          <w:sz w:val="28"/>
          <w:szCs w:val="28"/>
          <w:lang w:val="en-US"/>
        </w:rPr>
        <w:t xml:space="preserve">As is illuminated in </w:t>
      </w:r>
      <w:r w:rsidR="0060304D" w:rsidRPr="000E2B31">
        <w:rPr>
          <w:rFonts w:ascii="Times New Roman" w:hAnsi="Times New Roman" w:cs="Times New Roman"/>
          <w:i/>
          <w:iCs/>
          <w:sz w:val="28"/>
          <w:szCs w:val="28"/>
          <w:lang w:val="en-US"/>
        </w:rPr>
        <w:t>Watt Power Solutions CC v Transnet SOC Limited</w:t>
      </w:r>
      <w:r w:rsidR="00B0766B" w:rsidRPr="000E2B31">
        <w:rPr>
          <w:rFonts w:ascii="Times New Roman" w:hAnsi="Times New Roman" w:cs="Times New Roman"/>
          <w:i/>
          <w:iCs/>
          <w:sz w:val="28"/>
          <w:szCs w:val="28"/>
          <w:lang w:val="en-US"/>
        </w:rPr>
        <w:t xml:space="preserve"> </w:t>
      </w:r>
      <w:r w:rsidR="0060304D" w:rsidRPr="001F280D">
        <w:rPr>
          <w:rStyle w:val="FootnoteReference"/>
          <w:rFonts w:ascii="Times New Roman" w:hAnsi="Times New Roman" w:cs="Times New Roman"/>
          <w:sz w:val="28"/>
          <w:szCs w:val="28"/>
          <w:lang w:val="en-US"/>
        </w:rPr>
        <w:footnoteReference w:id="12"/>
      </w:r>
      <w:r w:rsidR="0060304D" w:rsidRPr="000E2B31">
        <w:rPr>
          <w:rFonts w:ascii="Times New Roman" w:hAnsi="Times New Roman" w:cs="Times New Roman"/>
          <w:sz w:val="28"/>
          <w:szCs w:val="28"/>
          <w:lang w:val="en-US"/>
        </w:rPr>
        <w:t xml:space="preserve"> t</w:t>
      </w:r>
      <w:r w:rsidR="002E609F" w:rsidRPr="000E2B31">
        <w:rPr>
          <w:rFonts w:ascii="Times New Roman" w:hAnsi="Times New Roman" w:cs="Times New Roman"/>
          <w:sz w:val="28"/>
          <w:szCs w:val="28"/>
          <w:lang w:val="en-US"/>
        </w:rPr>
        <w:t xml:space="preserve">hat question of law, evidently framed as whether functionality can be used </w:t>
      </w:r>
      <w:r w:rsidR="000E0BC5" w:rsidRPr="000E2B31">
        <w:rPr>
          <w:rFonts w:ascii="Times New Roman" w:hAnsi="Times New Roman" w:cs="Times New Roman"/>
          <w:sz w:val="28"/>
          <w:szCs w:val="28"/>
          <w:lang w:val="en-US"/>
        </w:rPr>
        <w:t xml:space="preserve">as an assessment tool in the adjudication of a tender in the award phase (since the </w:t>
      </w:r>
      <w:r w:rsidR="0060304D" w:rsidRPr="000E2B31">
        <w:rPr>
          <w:rFonts w:ascii="Times New Roman" w:hAnsi="Times New Roman" w:cs="Times New Roman"/>
          <w:sz w:val="28"/>
          <w:szCs w:val="28"/>
          <w:lang w:val="en-US"/>
        </w:rPr>
        <w:t xml:space="preserve">2017 </w:t>
      </w:r>
      <w:r w:rsidR="000E0BC5" w:rsidRPr="000E2B31">
        <w:rPr>
          <w:rFonts w:ascii="Times New Roman" w:hAnsi="Times New Roman" w:cs="Times New Roman"/>
          <w:sz w:val="28"/>
          <w:szCs w:val="28"/>
          <w:lang w:val="en-US"/>
        </w:rPr>
        <w:t xml:space="preserve"> Regulation</w:t>
      </w:r>
      <w:r w:rsidR="0060304D" w:rsidRPr="000E2B31">
        <w:rPr>
          <w:rFonts w:ascii="Times New Roman" w:hAnsi="Times New Roman" w:cs="Times New Roman"/>
          <w:sz w:val="28"/>
          <w:szCs w:val="28"/>
          <w:lang w:val="en-US"/>
        </w:rPr>
        <w:t xml:space="preserve">s applicable in this instance </w:t>
      </w:r>
      <w:r w:rsidR="000E0BC5" w:rsidRPr="000E2B31">
        <w:rPr>
          <w:rFonts w:ascii="Times New Roman" w:hAnsi="Times New Roman" w:cs="Times New Roman"/>
          <w:sz w:val="28"/>
          <w:szCs w:val="28"/>
          <w:lang w:val="en-US"/>
        </w:rPr>
        <w:t xml:space="preserve"> distinguished between </w:t>
      </w:r>
      <w:r w:rsidR="00641A28" w:rsidRPr="000E2B31">
        <w:rPr>
          <w:rFonts w:ascii="Times New Roman" w:hAnsi="Times New Roman" w:cs="Times New Roman"/>
          <w:sz w:val="28"/>
          <w:szCs w:val="28"/>
          <w:lang w:val="en-US"/>
        </w:rPr>
        <w:t xml:space="preserve">objective </w:t>
      </w:r>
      <w:r w:rsidR="007360A2" w:rsidRPr="000E2B31">
        <w:rPr>
          <w:rFonts w:ascii="Times New Roman" w:hAnsi="Times New Roman" w:cs="Times New Roman"/>
          <w:sz w:val="28"/>
          <w:szCs w:val="28"/>
          <w:lang w:val="en-US"/>
        </w:rPr>
        <w:t xml:space="preserve">functionality </w:t>
      </w:r>
      <w:r w:rsidR="00641A28" w:rsidRPr="000E2B31">
        <w:rPr>
          <w:rFonts w:ascii="Times New Roman" w:hAnsi="Times New Roman" w:cs="Times New Roman"/>
          <w:sz w:val="28"/>
          <w:szCs w:val="28"/>
          <w:lang w:val="en-US"/>
        </w:rPr>
        <w:t xml:space="preserve">criteria required to </w:t>
      </w:r>
      <w:r w:rsidR="0060304D" w:rsidRPr="000E2B31">
        <w:rPr>
          <w:rFonts w:ascii="Times New Roman" w:hAnsi="Times New Roman" w:cs="Times New Roman"/>
          <w:sz w:val="28"/>
          <w:szCs w:val="28"/>
          <w:lang w:val="en-US"/>
        </w:rPr>
        <w:t>meet</w:t>
      </w:r>
      <w:r w:rsidR="00641A28" w:rsidRPr="000E2B31">
        <w:rPr>
          <w:rFonts w:ascii="Times New Roman" w:hAnsi="Times New Roman" w:cs="Times New Roman"/>
          <w:sz w:val="28"/>
          <w:szCs w:val="28"/>
          <w:lang w:val="en-US"/>
        </w:rPr>
        <w:t xml:space="preserve"> the functionality threshold </w:t>
      </w:r>
      <w:r w:rsidR="007360A2" w:rsidRPr="000E2B31">
        <w:rPr>
          <w:rFonts w:ascii="Times New Roman" w:hAnsi="Times New Roman" w:cs="Times New Roman"/>
          <w:sz w:val="28"/>
          <w:szCs w:val="28"/>
          <w:lang w:val="en-US"/>
        </w:rPr>
        <w:t xml:space="preserve">and “objective criteria” applied </w:t>
      </w:r>
      <w:r w:rsidR="00641A28" w:rsidRPr="000E2B31">
        <w:rPr>
          <w:rFonts w:ascii="Times New Roman" w:hAnsi="Times New Roman" w:cs="Times New Roman"/>
          <w:sz w:val="28"/>
          <w:szCs w:val="28"/>
          <w:lang w:val="en-US"/>
        </w:rPr>
        <w:t xml:space="preserve">thereafter in the award phase </w:t>
      </w:r>
      <w:r w:rsidR="007360A2" w:rsidRPr="000E2B31">
        <w:rPr>
          <w:rFonts w:ascii="Times New Roman" w:hAnsi="Times New Roman" w:cs="Times New Roman"/>
          <w:sz w:val="28"/>
          <w:szCs w:val="28"/>
          <w:lang w:val="en-US"/>
        </w:rPr>
        <w:t>as a reason not to award a tender</w:t>
      </w:r>
      <w:r w:rsidR="00641A28" w:rsidRPr="000E2B31">
        <w:rPr>
          <w:rFonts w:ascii="Times New Roman" w:hAnsi="Times New Roman" w:cs="Times New Roman"/>
          <w:sz w:val="28"/>
          <w:szCs w:val="28"/>
          <w:lang w:val="en-US"/>
        </w:rPr>
        <w:t xml:space="preserve"> to a bidder scoring the highest</w:t>
      </w:r>
      <w:r w:rsidR="000E0BC5" w:rsidRPr="000E2B31">
        <w:rPr>
          <w:rFonts w:ascii="Times New Roman" w:hAnsi="Times New Roman" w:cs="Times New Roman"/>
          <w:sz w:val="28"/>
          <w:szCs w:val="28"/>
          <w:lang w:val="en-US"/>
        </w:rPr>
        <w:t>), has clearly generated controversy that has not yet been</w:t>
      </w:r>
    </w:p>
    <w:p w14:paraId="147B2103" w14:textId="2E64DBD7" w:rsidR="002E609F" w:rsidRPr="001F280D" w:rsidRDefault="000E0BC5" w:rsidP="002D4EB8">
      <w:pPr>
        <w:pStyle w:val="ListParagraph"/>
        <w:tabs>
          <w:tab w:val="left" w:pos="709"/>
        </w:tabs>
        <w:spacing w:before="0" w:beforeAutospacing="0"/>
        <w:ind w:left="0"/>
        <w:jc w:val="both"/>
        <w:rPr>
          <w:rFonts w:ascii="Times New Roman" w:hAnsi="Times New Roman" w:cs="Times New Roman"/>
          <w:sz w:val="28"/>
          <w:szCs w:val="28"/>
          <w:lang w:val="en-US"/>
        </w:rPr>
      </w:pPr>
      <w:r w:rsidRPr="001F280D">
        <w:rPr>
          <w:rFonts w:ascii="Times New Roman" w:hAnsi="Times New Roman" w:cs="Times New Roman"/>
          <w:sz w:val="28"/>
          <w:szCs w:val="28"/>
          <w:lang w:val="en-US"/>
        </w:rPr>
        <w:t>resolved by the courts.</w:t>
      </w:r>
      <w:r w:rsidR="003E49E0">
        <w:rPr>
          <w:rStyle w:val="FootnoteReference"/>
          <w:rFonts w:ascii="Times New Roman" w:hAnsi="Times New Roman" w:cs="Times New Roman"/>
          <w:sz w:val="28"/>
          <w:szCs w:val="28"/>
          <w:lang w:val="en-US"/>
        </w:rPr>
        <w:footnoteReference w:id="13"/>
      </w:r>
      <w:r w:rsidRPr="001F280D">
        <w:rPr>
          <w:rFonts w:ascii="Times New Roman" w:hAnsi="Times New Roman" w:cs="Times New Roman"/>
          <w:sz w:val="28"/>
          <w:szCs w:val="28"/>
          <w:lang w:val="en-US"/>
        </w:rPr>
        <w:t xml:space="preserve">   Whether the controversy still needs to be resolved however </w:t>
      </w:r>
      <w:r w:rsidR="004071EC" w:rsidRPr="001F280D">
        <w:rPr>
          <w:rFonts w:ascii="Times New Roman" w:hAnsi="Times New Roman" w:cs="Times New Roman"/>
          <w:sz w:val="28"/>
          <w:szCs w:val="28"/>
          <w:lang w:val="en-US"/>
        </w:rPr>
        <w:t xml:space="preserve">seems </w:t>
      </w:r>
      <w:r w:rsidRPr="001F280D">
        <w:rPr>
          <w:rFonts w:ascii="Times New Roman" w:hAnsi="Times New Roman" w:cs="Times New Roman"/>
          <w:sz w:val="28"/>
          <w:szCs w:val="28"/>
          <w:lang w:val="en-US"/>
        </w:rPr>
        <w:t>no longer to be an imperative in the light of the recent substitution of the 2017 regulations.</w:t>
      </w:r>
      <w:r w:rsidRPr="001F280D">
        <w:rPr>
          <w:rStyle w:val="FootnoteReference"/>
          <w:rFonts w:ascii="Times New Roman" w:hAnsi="Times New Roman" w:cs="Times New Roman"/>
          <w:sz w:val="28"/>
          <w:szCs w:val="28"/>
          <w:lang w:val="en-US"/>
        </w:rPr>
        <w:footnoteReference w:id="14"/>
      </w:r>
    </w:p>
    <w:p w14:paraId="5F863D53" w14:textId="77777777" w:rsidR="00330FAE" w:rsidRPr="00330FAE" w:rsidRDefault="00330FAE" w:rsidP="00330FAE">
      <w:pPr>
        <w:pStyle w:val="ListParagraph"/>
        <w:rPr>
          <w:rFonts w:ascii="Times New Roman" w:hAnsi="Times New Roman" w:cs="Times New Roman"/>
          <w:sz w:val="28"/>
          <w:szCs w:val="28"/>
          <w:lang w:val="en-US"/>
        </w:rPr>
      </w:pPr>
    </w:p>
    <w:p w14:paraId="232FBE11" w14:textId="306A1C95" w:rsidR="00B63179" w:rsidRPr="000E2B31" w:rsidRDefault="000E2B31" w:rsidP="000E2B31">
      <w:pPr>
        <w:tabs>
          <w:tab w:val="left" w:pos="709"/>
        </w:tabs>
        <w:spacing w:before="0" w:beforeAutospacing="0"/>
        <w:jc w:val="both"/>
        <w:rPr>
          <w:rFonts w:ascii="Times New Roman" w:hAnsi="Times New Roman" w:cs="Times New Roman"/>
          <w:sz w:val="24"/>
          <w:szCs w:val="24"/>
          <w:lang w:val="en-US"/>
        </w:rPr>
      </w:pPr>
      <w:r w:rsidRPr="00B63179">
        <w:rPr>
          <w:rFonts w:ascii="Times New Roman" w:hAnsi="Times New Roman" w:cs="Times New Roman"/>
          <w:sz w:val="28"/>
          <w:szCs w:val="28"/>
          <w:lang w:val="en-US"/>
        </w:rPr>
        <w:t>[35]</w:t>
      </w:r>
      <w:r w:rsidRPr="00B63179">
        <w:rPr>
          <w:rFonts w:ascii="Times New Roman" w:hAnsi="Times New Roman" w:cs="Times New Roman"/>
          <w:sz w:val="28"/>
          <w:szCs w:val="28"/>
          <w:lang w:val="en-US"/>
        </w:rPr>
        <w:tab/>
      </w:r>
      <w:r w:rsidR="00330FAE" w:rsidRPr="000E2B31">
        <w:rPr>
          <w:rFonts w:ascii="Times New Roman" w:hAnsi="Times New Roman" w:cs="Times New Roman"/>
          <w:sz w:val="28"/>
          <w:szCs w:val="28"/>
          <w:lang w:val="en-US"/>
        </w:rPr>
        <w:t>I</w:t>
      </w:r>
      <w:r w:rsidR="000E0BC5" w:rsidRPr="000E2B31">
        <w:rPr>
          <w:rFonts w:ascii="Times New Roman" w:hAnsi="Times New Roman" w:cs="Times New Roman"/>
          <w:sz w:val="28"/>
          <w:szCs w:val="28"/>
          <w:lang w:val="en-US"/>
        </w:rPr>
        <w:t xml:space="preserve">n any event </w:t>
      </w:r>
      <w:r w:rsidR="00330FAE" w:rsidRPr="000E2B31">
        <w:rPr>
          <w:rFonts w:ascii="Times New Roman" w:hAnsi="Times New Roman" w:cs="Times New Roman"/>
          <w:sz w:val="28"/>
          <w:szCs w:val="28"/>
          <w:lang w:val="en-US"/>
        </w:rPr>
        <w:t xml:space="preserve">the appellant laid the basis </w:t>
      </w:r>
      <w:r w:rsidR="000E0BC5" w:rsidRPr="000E2B31">
        <w:rPr>
          <w:rFonts w:ascii="Times New Roman" w:hAnsi="Times New Roman" w:cs="Times New Roman"/>
          <w:sz w:val="28"/>
          <w:szCs w:val="28"/>
          <w:lang w:val="en-US"/>
        </w:rPr>
        <w:t>concerning this challenge as follows</w:t>
      </w:r>
      <w:r w:rsidR="00330FAE" w:rsidRPr="000E2B31">
        <w:rPr>
          <w:rFonts w:ascii="Times New Roman" w:hAnsi="Times New Roman" w:cs="Times New Roman"/>
          <w:sz w:val="28"/>
          <w:szCs w:val="28"/>
          <w:lang w:val="en-US"/>
        </w:rPr>
        <w:t>:</w:t>
      </w:r>
    </w:p>
    <w:p w14:paraId="799B692A" w14:textId="77777777" w:rsidR="00B63179" w:rsidRPr="00B63179" w:rsidRDefault="00B63179" w:rsidP="00B63179">
      <w:pPr>
        <w:pStyle w:val="ListParagraph"/>
        <w:rPr>
          <w:rFonts w:ascii="Times New Roman" w:hAnsi="Times New Roman" w:cs="Times New Roman"/>
          <w:sz w:val="28"/>
          <w:szCs w:val="28"/>
          <w:lang w:val="en-US"/>
        </w:rPr>
      </w:pPr>
    </w:p>
    <w:p w14:paraId="722FD52B" w14:textId="77777777" w:rsidR="00B63179" w:rsidRPr="004462A9" w:rsidRDefault="00B63179" w:rsidP="00E603B0">
      <w:pPr>
        <w:spacing w:before="0" w:beforeAutospacing="0" w:line="276" w:lineRule="auto"/>
        <w:ind w:left="1440" w:hanging="720"/>
        <w:contextualSpacing/>
        <w:jc w:val="both"/>
        <w:rPr>
          <w:rFonts w:ascii="Times New Roman" w:hAnsi="Times New Roman" w:cs="Times New Roman"/>
          <w:sz w:val="24"/>
          <w:szCs w:val="24"/>
          <w:lang w:val="en-US"/>
        </w:rPr>
      </w:pPr>
      <w:r w:rsidRPr="004462A9">
        <w:rPr>
          <w:rFonts w:ascii="Times New Roman" w:hAnsi="Times New Roman" w:cs="Times New Roman"/>
          <w:sz w:val="24"/>
          <w:szCs w:val="24"/>
          <w:lang w:val="en-US"/>
        </w:rPr>
        <w:t>“31.</w:t>
      </w:r>
      <w:r w:rsidRPr="004462A9">
        <w:rPr>
          <w:rFonts w:ascii="Times New Roman" w:hAnsi="Times New Roman" w:cs="Times New Roman"/>
          <w:sz w:val="24"/>
          <w:szCs w:val="24"/>
          <w:lang w:val="en-US"/>
        </w:rPr>
        <w:tab/>
        <w:t>Inasmuch as the provisions related to risk assessment are contained in various tender documentation of the Applicant (Appellant) and are frequently used, a discrete issue of public importance arises which will have an effect on future matters.</w:t>
      </w:r>
    </w:p>
    <w:p w14:paraId="3011C57D" w14:textId="15410B43" w:rsidR="00B63179" w:rsidRPr="004462A9" w:rsidRDefault="00B63179" w:rsidP="00E603B0">
      <w:pPr>
        <w:spacing w:before="0" w:beforeAutospacing="0" w:line="276" w:lineRule="auto"/>
        <w:ind w:left="1440" w:hanging="720"/>
        <w:contextualSpacing/>
        <w:jc w:val="both"/>
        <w:rPr>
          <w:rFonts w:ascii="Times New Roman" w:hAnsi="Times New Roman" w:cs="Times New Roman"/>
          <w:sz w:val="24"/>
          <w:szCs w:val="24"/>
          <w:lang w:val="en-US"/>
        </w:rPr>
      </w:pPr>
      <w:r w:rsidRPr="004462A9">
        <w:rPr>
          <w:rFonts w:ascii="Times New Roman" w:hAnsi="Times New Roman" w:cs="Times New Roman"/>
          <w:sz w:val="24"/>
          <w:szCs w:val="24"/>
          <w:lang w:val="en-US"/>
        </w:rPr>
        <w:lastRenderedPageBreak/>
        <w:t>32.</w:t>
      </w:r>
      <w:r w:rsidRPr="004462A9">
        <w:rPr>
          <w:rFonts w:ascii="Times New Roman" w:hAnsi="Times New Roman" w:cs="Times New Roman"/>
          <w:sz w:val="24"/>
          <w:szCs w:val="24"/>
          <w:lang w:val="en-US"/>
        </w:rPr>
        <w:tab/>
        <w:t xml:space="preserve">This is particularly so as indicated, where members of the general public </w:t>
      </w:r>
      <w:r w:rsidR="00081AA4">
        <w:rPr>
          <w:rFonts w:ascii="Times New Roman" w:hAnsi="Times New Roman" w:cs="Times New Roman"/>
          <w:sz w:val="24"/>
          <w:szCs w:val="24"/>
          <w:lang w:val="en-US"/>
        </w:rPr>
        <w:t xml:space="preserve">who </w:t>
      </w:r>
      <w:r w:rsidRPr="004462A9">
        <w:rPr>
          <w:rFonts w:ascii="Times New Roman" w:hAnsi="Times New Roman" w:cs="Times New Roman"/>
          <w:sz w:val="24"/>
          <w:szCs w:val="24"/>
          <w:lang w:val="en-US"/>
        </w:rPr>
        <w:t>tender for</w:t>
      </w:r>
      <w:r>
        <w:rPr>
          <w:rFonts w:ascii="Times New Roman" w:hAnsi="Times New Roman" w:cs="Times New Roman"/>
          <w:sz w:val="24"/>
          <w:szCs w:val="24"/>
          <w:lang w:val="en-US"/>
        </w:rPr>
        <w:t xml:space="preserve"> </w:t>
      </w:r>
      <w:r w:rsidRPr="004462A9">
        <w:rPr>
          <w:rFonts w:ascii="Times New Roman" w:hAnsi="Times New Roman" w:cs="Times New Roman"/>
          <w:sz w:val="24"/>
          <w:szCs w:val="24"/>
          <w:lang w:val="en-US"/>
        </w:rPr>
        <w:t>works through the National Department of Public Works are faced with tender data which is widely used and which contains risk assessment procedures as is in the present instance.</w:t>
      </w:r>
    </w:p>
    <w:p w14:paraId="34D2116C" w14:textId="77777777" w:rsidR="00B63179" w:rsidRPr="004462A9" w:rsidRDefault="00B63179" w:rsidP="00E603B0">
      <w:pPr>
        <w:spacing w:before="0" w:beforeAutospacing="0" w:line="276" w:lineRule="auto"/>
        <w:ind w:left="1440" w:hanging="720"/>
        <w:contextualSpacing/>
        <w:jc w:val="both"/>
        <w:rPr>
          <w:rFonts w:ascii="Times New Roman" w:hAnsi="Times New Roman" w:cs="Times New Roman"/>
          <w:sz w:val="24"/>
          <w:szCs w:val="24"/>
          <w:lang w:val="en-US"/>
        </w:rPr>
      </w:pPr>
      <w:r w:rsidRPr="004462A9">
        <w:rPr>
          <w:rFonts w:ascii="Times New Roman" w:hAnsi="Times New Roman" w:cs="Times New Roman"/>
          <w:sz w:val="24"/>
          <w:szCs w:val="24"/>
          <w:lang w:val="en-US"/>
        </w:rPr>
        <w:t>33.</w:t>
      </w:r>
      <w:r w:rsidRPr="004462A9">
        <w:rPr>
          <w:rFonts w:ascii="Times New Roman" w:hAnsi="Times New Roman" w:cs="Times New Roman"/>
          <w:sz w:val="24"/>
          <w:szCs w:val="24"/>
          <w:lang w:val="en-US"/>
        </w:rPr>
        <w:tab/>
        <w:t>It is accordingly imperative to determine whether a risk assessment of a particular tenderer could only be validly employed as part of the functionality considerations or whether it can be utilized elsewhere.</w:t>
      </w:r>
      <w:r w:rsidRPr="004462A9">
        <w:rPr>
          <w:rFonts w:ascii="Times New Roman" w:hAnsi="Times New Roman" w:cs="Times New Roman"/>
          <w:sz w:val="24"/>
          <w:szCs w:val="24"/>
          <w:lang w:val="en-US"/>
        </w:rPr>
        <w:tab/>
      </w:r>
    </w:p>
    <w:p w14:paraId="79F31ADF" w14:textId="77777777" w:rsidR="00B63179" w:rsidRPr="004462A9" w:rsidRDefault="00B63179" w:rsidP="00E603B0">
      <w:pPr>
        <w:spacing w:before="0" w:beforeAutospacing="0" w:line="276" w:lineRule="auto"/>
        <w:ind w:left="1440" w:hanging="720"/>
        <w:contextualSpacing/>
        <w:jc w:val="both"/>
        <w:rPr>
          <w:rFonts w:ascii="Times New Roman" w:hAnsi="Times New Roman" w:cs="Times New Roman"/>
          <w:sz w:val="24"/>
          <w:szCs w:val="24"/>
          <w:lang w:val="en-US"/>
        </w:rPr>
      </w:pPr>
      <w:r w:rsidRPr="004462A9">
        <w:rPr>
          <w:rFonts w:ascii="Times New Roman" w:hAnsi="Times New Roman" w:cs="Times New Roman"/>
          <w:sz w:val="24"/>
          <w:szCs w:val="24"/>
          <w:lang w:val="en-US"/>
        </w:rPr>
        <w:t>34.</w:t>
      </w:r>
      <w:r w:rsidRPr="004462A9">
        <w:rPr>
          <w:rFonts w:ascii="Times New Roman" w:hAnsi="Times New Roman" w:cs="Times New Roman"/>
          <w:sz w:val="24"/>
          <w:szCs w:val="24"/>
          <w:lang w:val="en-US"/>
        </w:rPr>
        <w:tab/>
        <w:t>In this regard the provisions of section 217 of the Constitution are paramount and a contextual clarification by the above Honorable Court regarding the provisions of section 2</w:t>
      </w:r>
      <w:r>
        <w:rPr>
          <w:rFonts w:ascii="Times New Roman" w:hAnsi="Times New Roman" w:cs="Times New Roman"/>
          <w:sz w:val="24"/>
          <w:szCs w:val="24"/>
          <w:lang w:val="en-US"/>
        </w:rPr>
        <w:t xml:space="preserve"> </w:t>
      </w:r>
      <w:r w:rsidRPr="004462A9">
        <w:rPr>
          <w:rFonts w:ascii="Times New Roman" w:hAnsi="Times New Roman" w:cs="Times New Roman"/>
          <w:sz w:val="24"/>
          <w:szCs w:val="24"/>
          <w:lang w:val="en-US"/>
        </w:rPr>
        <w:t>(1)(</w:t>
      </w:r>
      <w:r>
        <w:rPr>
          <w:rFonts w:ascii="Times New Roman" w:hAnsi="Times New Roman" w:cs="Times New Roman"/>
          <w:sz w:val="24"/>
          <w:szCs w:val="24"/>
          <w:lang w:val="en-US"/>
        </w:rPr>
        <w:t>f</w:t>
      </w:r>
      <w:r w:rsidRPr="004462A9">
        <w:rPr>
          <w:rFonts w:ascii="Times New Roman" w:hAnsi="Times New Roman" w:cs="Times New Roman"/>
          <w:sz w:val="24"/>
          <w:szCs w:val="24"/>
          <w:lang w:val="en-US"/>
        </w:rPr>
        <w:t>) of the Preferential Procurement Policy Framework Act No. 5 of 2000 and the Regulations thereunder are necessary (in this regard this Honorable Court has recently found that certain of the Regulations are unconstitutional).</w:t>
      </w:r>
    </w:p>
    <w:p w14:paraId="7E5AD784" w14:textId="77777777" w:rsidR="00B63179" w:rsidRPr="004462A9" w:rsidRDefault="00B63179" w:rsidP="00E603B0">
      <w:pPr>
        <w:spacing w:before="0" w:beforeAutospacing="0" w:line="276" w:lineRule="auto"/>
        <w:ind w:left="1440" w:hanging="720"/>
        <w:contextualSpacing/>
        <w:jc w:val="both"/>
        <w:rPr>
          <w:rFonts w:ascii="Times New Roman" w:hAnsi="Times New Roman" w:cs="Times New Roman"/>
          <w:sz w:val="24"/>
          <w:szCs w:val="24"/>
          <w:lang w:val="en-US"/>
        </w:rPr>
      </w:pPr>
      <w:r w:rsidRPr="004462A9">
        <w:rPr>
          <w:rFonts w:ascii="Times New Roman" w:hAnsi="Times New Roman" w:cs="Times New Roman"/>
          <w:sz w:val="24"/>
          <w:szCs w:val="24"/>
          <w:lang w:val="en-US"/>
        </w:rPr>
        <w:t>35.</w:t>
      </w:r>
      <w:r w:rsidRPr="004462A9">
        <w:rPr>
          <w:rFonts w:ascii="Times New Roman" w:hAnsi="Times New Roman" w:cs="Times New Roman"/>
          <w:sz w:val="24"/>
          <w:szCs w:val="24"/>
          <w:lang w:val="en-US"/>
        </w:rPr>
        <w:tab/>
        <w:t>Regulation 11 of the Regulations provide that a contract may be awarded to a tenderer who did not score the highest points whilst regulation 5 (7) provides that each tenderer that obtained a minimum qualifying score for functionality must be evaluated further in terms of price and preference points and any objective criteria envisaged in regulation 11. The applicant contends that the risk assessment it employed complied with regulation 11.</w:t>
      </w:r>
    </w:p>
    <w:p w14:paraId="7E0AE28D" w14:textId="77777777" w:rsidR="00B63179" w:rsidRPr="004462A9" w:rsidRDefault="00B63179" w:rsidP="00E603B0">
      <w:pPr>
        <w:spacing w:before="0" w:beforeAutospacing="0" w:line="276" w:lineRule="auto"/>
        <w:ind w:left="1440" w:hanging="720"/>
        <w:contextualSpacing/>
        <w:jc w:val="both"/>
        <w:rPr>
          <w:rFonts w:ascii="Times New Roman" w:hAnsi="Times New Roman" w:cs="Times New Roman"/>
          <w:sz w:val="24"/>
          <w:szCs w:val="24"/>
          <w:lang w:val="en-US"/>
        </w:rPr>
      </w:pPr>
      <w:r w:rsidRPr="004462A9">
        <w:rPr>
          <w:rFonts w:ascii="Times New Roman" w:hAnsi="Times New Roman" w:cs="Times New Roman"/>
          <w:sz w:val="24"/>
          <w:szCs w:val="24"/>
          <w:lang w:val="en-US"/>
        </w:rPr>
        <w:t>36.</w:t>
      </w:r>
      <w:r w:rsidRPr="004462A9">
        <w:rPr>
          <w:rFonts w:ascii="Times New Roman" w:hAnsi="Times New Roman" w:cs="Times New Roman"/>
          <w:sz w:val="24"/>
          <w:szCs w:val="24"/>
          <w:lang w:val="en-US"/>
        </w:rPr>
        <w:tab/>
        <w:t xml:space="preserve">The Standard for Uniformity in Construction Procurement (July 2015) which formed part of the application papers also provides in clause 4.3.8 that a “…contract may be awarded to a tender that did not score the highest of points, only in accordance with Section 2 (1) </w:t>
      </w:r>
      <w:r>
        <w:rPr>
          <w:rFonts w:ascii="Times New Roman" w:hAnsi="Times New Roman" w:cs="Times New Roman"/>
          <w:sz w:val="24"/>
          <w:szCs w:val="24"/>
          <w:lang w:val="en-US"/>
        </w:rPr>
        <w:t>(</w:t>
      </w:r>
      <w:r w:rsidRPr="004462A9">
        <w:rPr>
          <w:rFonts w:ascii="Times New Roman" w:hAnsi="Times New Roman" w:cs="Times New Roman"/>
          <w:sz w:val="24"/>
          <w:szCs w:val="24"/>
          <w:lang w:val="en-US"/>
        </w:rPr>
        <w:t>f) of the Preferential Procurement Policy Framework Act 2000.</w:t>
      </w:r>
    </w:p>
    <w:p w14:paraId="02A24851" w14:textId="77777777" w:rsidR="00B63179" w:rsidRPr="004462A9" w:rsidRDefault="00B63179" w:rsidP="00D46402">
      <w:pPr>
        <w:spacing w:before="0" w:beforeAutospacing="0" w:line="276" w:lineRule="auto"/>
        <w:ind w:left="1440" w:hanging="720"/>
        <w:contextualSpacing/>
        <w:jc w:val="both"/>
        <w:rPr>
          <w:rFonts w:ascii="Times New Roman" w:hAnsi="Times New Roman" w:cs="Times New Roman"/>
          <w:sz w:val="24"/>
          <w:szCs w:val="24"/>
          <w:lang w:val="en-US"/>
        </w:rPr>
      </w:pPr>
      <w:r w:rsidRPr="004462A9">
        <w:rPr>
          <w:rFonts w:ascii="Times New Roman" w:hAnsi="Times New Roman" w:cs="Times New Roman"/>
          <w:sz w:val="24"/>
          <w:szCs w:val="24"/>
          <w:lang w:val="en-US"/>
        </w:rPr>
        <w:t>37.</w:t>
      </w:r>
      <w:r w:rsidRPr="004462A9">
        <w:rPr>
          <w:rFonts w:ascii="Times New Roman" w:hAnsi="Times New Roman" w:cs="Times New Roman"/>
          <w:sz w:val="24"/>
          <w:szCs w:val="24"/>
          <w:lang w:val="en-US"/>
        </w:rPr>
        <w:tab/>
        <w:t>The entire issue of risk assessment and whether or not it is part and parcel of functionality and how it is to be applied is of critical importance and this issue requires the attention with respect of the above Honourable Court.</w:t>
      </w:r>
    </w:p>
    <w:p w14:paraId="765DEC39" w14:textId="7FA4E550" w:rsidR="00026321" w:rsidRPr="004462A9" w:rsidRDefault="00B63179" w:rsidP="00D46402">
      <w:pPr>
        <w:spacing w:before="0" w:beforeAutospacing="0"/>
        <w:ind w:left="1440" w:hanging="720"/>
        <w:contextualSpacing/>
        <w:jc w:val="both"/>
        <w:rPr>
          <w:rFonts w:ascii="Times New Roman" w:hAnsi="Times New Roman" w:cs="Times New Roman"/>
          <w:sz w:val="24"/>
          <w:szCs w:val="24"/>
          <w:lang w:val="en-US"/>
        </w:rPr>
      </w:pPr>
      <w:r w:rsidRPr="004462A9">
        <w:rPr>
          <w:rFonts w:ascii="Times New Roman" w:hAnsi="Times New Roman" w:cs="Times New Roman"/>
          <w:sz w:val="24"/>
          <w:szCs w:val="24"/>
          <w:lang w:val="en-US"/>
        </w:rPr>
        <w:t>38.</w:t>
      </w:r>
      <w:r w:rsidRPr="004462A9">
        <w:rPr>
          <w:rFonts w:ascii="Times New Roman" w:hAnsi="Times New Roman" w:cs="Times New Roman"/>
          <w:sz w:val="24"/>
          <w:szCs w:val="24"/>
          <w:lang w:val="en-US"/>
        </w:rPr>
        <w:tab/>
        <w:t xml:space="preserve">There is in any event already strong indication in our law that risk assessment could be utilized in a tender process where functionality and price and preference has been considered (see Rainbow Civils CC v Minister </w:t>
      </w:r>
      <w:r w:rsidR="00FF7B18" w:rsidRPr="004462A9">
        <w:rPr>
          <w:rFonts w:ascii="Times New Roman" w:hAnsi="Times New Roman" w:cs="Times New Roman"/>
          <w:sz w:val="24"/>
          <w:szCs w:val="24"/>
          <w:lang w:val="en-US"/>
        </w:rPr>
        <w:t>of</w:t>
      </w:r>
      <w:r w:rsidRPr="004462A9">
        <w:rPr>
          <w:rFonts w:ascii="Times New Roman" w:hAnsi="Times New Roman" w:cs="Times New Roman"/>
          <w:sz w:val="24"/>
          <w:szCs w:val="24"/>
          <w:lang w:val="en-US"/>
        </w:rPr>
        <w:t xml:space="preserve"> Transport </w:t>
      </w:r>
      <w:r w:rsidR="00D55ED2" w:rsidRPr="004462A9">
        <w:rPr>
          <w:rFonts w:ascii="Times New Roman" w:hAnsi="Times New Roman" w:cs="Times New Roman"/>
          <w:sz w:val="24"/>
          <w:szCs w:val="24"/>
          <w:lang w:val="en-US"/>
        </w:rPr>
        <w:t>and</w:t>
      </w:r>
      <w:r w:rsidRPr="004462A9">
        <w:rPr>
          <w:rFonts w:ascii="Times New Roman" w:hAnsi="Times New Roman" w:cs="Times New Roman"/>
          <w:sz w:val="24"/>
          <w:szCs w:val="24"/>
          <w:lang w:val="en-US"/>
        </w:rPr>
        <w:t xml:space="preserve"> Public Works, Western Cape [2013]</w:t>
      </w:r>
      <w:r>
        <w:rPr>
          <w:rFonts w:ascii="Times New Roman" w:hAnsi="Times New Roman" w:cs="Times New Roman"/>
          <w:sz w:val="28"/>
          <w:szCs w:val="28"/>
          <w:lang w:val="en-US"/>
        </w:rPr>
        <w:t xml:space="preserve"> </w:t>
      </w:r>
      <w:r w:rsidRPr="004462A9">
        <w:rPr>
          <w:rFonts w:ascii="Times New Roman" w:hAnsi="Times New Roman" w:cs="Times New Roman"/>
          <w:sz w:val="24"/>
          <w:szCs w:val="24"/>
          <w:lang w:val="en-US"/>
        </w:rPr>
        <w:t>ZAWCHC  3 (February 2013).”</w:t>
      </w:r>
    </w:p>
    <w:p w14:paraId="4BB19AA8" w14:textId="77777777" w:rsidR="00B63179" w:rsidRPr="00B63179" w:rsidRDefault="00B63179" w:rsidP="00D46402">
      <w:pPr>
        <w:pStyle w:val="ListParagraph"/>
        <w:tabs>
          <w:tab w:val="left" w:pos="709"/>
        </w:tabs>
        <w:spacing w:before="0" w:beforeAutospacing="0"/>
        <w:ind w:left="0"/>
        <w:jc w:val="both"/>
        <w:rPr>
          <w:rFonts w:ascii="Times New Roman" w:hAnsi="Times New Roman" w:cs="Times New Roman"/>
          <w:sz w:val="24"/>
          <w:szCs w:val="24"/>
          <w:lang w:val="en-US"/>
        </w:rPr>
      </w:pPr>
    </w:p>
    <w:p w14:paraId="6DBD27A0" w14:textId="200018B1" w:rsidR="00026321" w:rsidRPr="000E2B31" w:rsidRDefault="000E2B31" w:rsidP="000E2B31">
      <w:pPr>
        <w:tabs>
          <w:tab w:val="left" w:pos="709"/>
        </w:tabs>
        <w:spacing w:before="0" w:beforeAutospacing="0"/>
        <w:jc w:val="both"/>
        <w:rPr>
          <w:rFonts w:ascii="Times New Roman" w:hAnsi="Times New Roman" w:cs="Times New Roman"/>
          <w:sz w:val="24"/>
          <w:szCs w:val="24"/>
          <w:lang w:val="en-US"/>
        </w:rPr>
      </w:pPr>
      <w:r w:rsidRPr="00026321">
        <w:rPr>
          <w:rFonts w:ascii="Times New Roman" w:hAnsi="Times New Roman" w:cs="Times New Roman"/>
          <w:sz w:val="28"/>
          <w:szCs w:val="28"/>
          <w:lang w:val="en-US"/>
        </w:rPr>
        <w:t>[36]</w:t>
      </w:r>
      <w:r w:rsidRPr="00026321">
        <w:rPr>
          <w:rFonts w:ascii="Times New Roman" w:hAnsi="Times New Roman" w:cs="Times New Roman"/>
          <w:sz w:val="28"/>
          <w:szCs w:val="28"/>
          <w:lang w:val="en-US"/>
        </w:rPr>
        <w:tab/>
      </w:r>
      <w:r w:rsidR="00330FAE" w:rsidRPr="000E2B31">
        <w:rPr>
          <w:rFonts w:ascii="Times New Roman" w:hAnsi="Times New Roman" w:cs="Times New Roman"/>
          <w:sz w:val="28"/>
          <w:szCs w:val="28"/>
          <w:lang w:val="en-US"/>
        </w:rPr>
        <w:t>In formulating its grounds for the PAJA review the first respondent initially</w:t>
      </w:r>
      <w:r w:rsidR="00FF7B18" w:rsidRPr="000E2B31">
        <w:rPr>
          <w:rFonts w:ascii="Times New Roman" w:hAnsi="Times New Roman" w:cs="Times New Roman"/>
          <w:sz w:val="28"/>
          <w:szCs w:val="28"/>
          <w:lang w:val="en-US"/>
        </w:rPr>
        <w:t xml:space="preserve"> </w:t>
      </w:r>
      <w:r w:rsidR="00330FAE" w:rsidRPr="000E2B31">
        <w:rPr>
          <w:rFonts w:ascii="Times New Roman" w:hAnsi="Times New Roman" w:cs="Times New Roman"/>
          <w:sz w:val="28"/>
          <w:szCs w:val="28"/>
          <w:lang w:val="en-US"/>
        </w:rPr>
        <w:t xml:space="preserve">complained primarily that the appellant had utilized the impugned process to declare its bid ineligible </w:t>
      </w:r>
      <w:r w:rsidR="00081AA4" w:rsidRPr="000E2B31">
        <w:rPr>
          <w:rFonts w:ascii="Times New Roman" w:hAnsi="Times New Roman" w:cs="Times New Roman"/>
          <w:i/>
          <w:iCs/>
          <w:sz w:val="28"/>
          <w:szCs w:val="28"/>
          <w:lang w:val="en-US"/>
        </w:rPr>
        <w:t>before</w:t>
      </w:r>
      <w:r w:rsidR="00330FAE" w:rsidRPr="000E2B31">
        <w:rPr>
          <w:rFonts w:ascii="Times New Roman" w:hAnsi="Times New Roman" w:cs="Times New Roman"/>
          <w:sz w:val="28"/>
          <w:szCs w:val="28"/>
          <w:lang w:val="en-US"/>
        </w:rPr>
        <w:t xml:space="preserve"> having scored it for price and preference</w:t>
      </w:r>
      <w:r w:rsidR="00081AA4" w:rsidRPr="000E2B31">
        <w:rPr>
          <w:rFonts w:ascii="Times New Roman" w:hAnsi="Times New Roman" w:cs="Times New Roman"/>
          <w:sz w:val="28"/>
          <w:szCs w:val="28"/>
          <w:lang w:val="en-US"/>
        </w:rPr>
        <w:t xml:space="preserve">. </w:t>
      </w:r>
      <w:r w:rsidR="00D55ED2" w:rsidRPr="000E2B31">
        <w:rPr>
          <w:rFonts w:ascii="Times New Roman" w:hAnsi="Times New Roman" w:cs="Times New Roman"/>
          <w:sz w:val="28"/>
          <w:szCs w:val="28"/>
          <w:lang w:val="en-US"/>
        </w:rPr>
        <w:t xml:space="preserve">It claimed that it was wrong to have ignored the prescripts of the law and the tender documentation relying on Method 2 that stipulated to the contrary that the appellant was obliged, </w:t>
      </w:r>
      <w:r w:rsidR="00D55ED2" w:rsidRPr="000E2B31">
        <w:rPr>
          <w:rFonts w:ascii="Times New Roman" w:hAnsi="Times New Roman" w:cs="Times New Roman"/>
          <w:sz w:val="28"/>
          <w:szCs w:val="28"/>
          <w:lang w:val="en-US"/>
        </w:rPr>
        <w:lastRenderedPageBreak/>
        <w:t xml:space="preserve">after it had met the functionality threshold, to </w:t>
      </w:r>
      <w:r w:rsidR="00A06B57" w:rsidRPr="000E2B31">
        <w:rPr>
          <w:rFonts w:ascii="Times New Roman" w:hAnsi="Times New Roman" w:cs="Times New Roman"/>
          <w:sz w:val="28"/>
          <w:szCs w:val="28"/>
          <w:lang w:val="en-US"/>
        </w:rPr>
        <w:t xml:space="preserve">so </w:t>
      </w:r>
      <w:r w:rsidR="00D55ED2" w:rsidRPr="000E2B31">
        <w:rPr>
          <w:rFonts w:ascii="Times New Roman" w:hAnsi="Times New Roman" w:cs="Times New Roman"/>
          <w:sz w:val="28"/>
          <w:szCs w:val="28"/>
          <w:lang w:val="en-US"/>
        </w:rPr>
        <w:t xml:space="preserve">have scored it. </w:t>
      </w:r>
      <w:r w:rsidR="00A06B57" w:rsidRPr="000E2B31">
        <w:rPr>
          <w:rFonts w:ascii="Times New Roman" w:hAnsi="Times New Roman" w:cs="Times New Roman"/>
          <w:sz w:val="28"/>
          <w:szCs w:val="28"/>
          <w:lang w:val="en-GB"/>
        </w:rPr>
        <w:t xml:space="preserve">Thus, a mandatory and material procedure or condition prescribed by an empowering provision (read </w:t>
      </w:r>
      <w:r w:rsidR="00C405A6" w:rsidRPr="000E2B31">
        <w:rPr>
          <w:rFonts w:ascii="Times New Roman" w:hAnsi="Times New Roman" w:cs="Times New Roman"/>
          <w:sz w:val="28"/>
          <w:szCs w:val="28"/>
          <w:lang w:val="en-GB"/>
        </w:rPr>
        <w:t xml:space="preserve">here </w:t>
      </w:r>
      <w:r w:rsidR="00A06B57" w:rsidRPr="000E2B31">
        <w:rPr>
          <w:rFonts w:ascii="Times New Roman" w:hAnsi="Times New Roman" w:cs="Times New Roman"/>
          <w:sz w:val="28"/>
          <w:szCs w:val="28"/>
          <w:lang w:val="en-GB"/>
        </w:rPr>
        <w:t xml:space="preserve">the cumulative provisions of the </w:t>
      </w:r>
      <w:r w:rsidR="00026321" w:rsidRPr="000E2B31">
        <w:rPr>
          <w:rFonts w:ascii="Times New Roman" w:hAnsi="Times New Roman" w:cs="Times New Roman"/>
          <w:sz w:val="28"/>
          <w:szCs w:val="28"/>
          <w:lang w:val="en-GB"/>
        </w:rPr>
        <w:t>Preferential Procurement Policy Framework Act, No</w:t>
      </w:r>
      <w:r w:rsidR="002D4EB8" w:rsidRPr="000E2B31">
        <w:rPr>
          <w:rFonts w:ascii="Times New Roman" w:hAnsi="Times New Roman" w:cs="Times New Roman"/>
          <w:sz w:val="28"/>
          <w:szCs w:val="28"/>
          <w:lang w:val="en-GB"/>
        </w:rPr>
        <w:t>.</w:t>
      </w:r>
      <w:r w:rsidR="00026321" w:rsidRPr="000E2B31">
        <w:rPr>
          <w:rFonts w:ascii="Times New Roman" w:hAnsi="Times New Roman" w:cs="Times New Roman"/>
          <w:sz w:val="28"/>
          <w:szCs w:val="28"/>
          <w:lang w:val="en-GB"/>
        </w:rPr>
        <w:t xml:space="preserve"> 5 of 2000 (“</w:t>
      </w:r>
      <w:r w:rsidR="00A06B57" w:rsidRPr="000E2B31">
        <w:rPr>
          <w:rFonts w:ascii="Times New Roman" w:hAnsi="Times New Roman" w:cs="Times New Roman"/>
          <w:sz w:val="28"/>
          <w:szCs w:val="28"/>
          <w:lang w:val="en-GB"/>
        </w:rPr>
        <w:t>PPPFA</w:t>
      </w:r>
      <w:r w:rsidR="00026321" w:rsidRPr="000E2B31">
        <w:rPr>
          <w:rFonts w:ascii="Times New Roman" w:hAnsi="Times New Roman" w:cs="Times New Roman"/>
          <w:sz w:val="28"/>
          <w:szCs w:val="28"/>
          <w:lang w:val="en-GB"/>
        </w:rPr>
        <w:t>”)</w:t>
      </w:r>
      <w:r w:rsidR="00A06B57" w:rsidRPr="000E2B31">
        <w:rPr>
          <w:rFonts w:ascii="Times New Roman" w:hAnsi="Times New Roman" w:cs="Times New Roman"/>
          <w:sz w:val="28"/>
          <w:szCs w:val="28"/>
          <w:lang w:val="en-GB"/>
        </w:rPr>
        <w:t xml:space="preserve">, the </w:t>
      </w:r>
      <w:r w:rsidR="00026321" w:rsidRPr="000E2B31">
        <w:rPr>
          <w:rFonts w:ascii="Times New Roman" w:hAnsi="Times New Roman" w:cs="Times New Roman"/>
          <w:sz w:val="28"/>
          <w:szCs w:val="28"/>
          <w:lang w:val="en-GB"/>
        </w:rPr>
        <w:t xml:space="preserve">Preferential Procurement </w:t>
      </w:r>
      <w:r w:rsidR="00A06B57" w:rsidRPr="000E2B31">
        <w:rPr>
          <w:rFonts w:ascii="Times New Roman" w:hAnsi="Times New Roman" w:cs="Times New Roman"/>
          <w:sz w:val="28"/>
          <w:szCs w:val="28"/>
          <w:lang w:val="en-GB"/>
        </w:rPr>
        <w:t>regulations</w:t>
      </w:r>
      <w:r w:rsidR="00026321" w:rsidRPr="000E2B31">
        <w:rPr>
          <w:rFonts w:ascii="Times New Roman" w:hAnsi="Times New Roman" w:cs="Times New Roman"/>
          <w:sz w:val="28"/>
          <w:szCs w:val="28"/>
          <w:lang w:val="en-GB"/>
        </w:rPr>
        <w:t>, 2017 (“the regulations”)</w:t>
      </w:r>
      <w:r w:rsidR="00026321">
        <w:rPr>
          <w:rStyle w:val="FootnoteReference"/>
          <w:rFonts w:ascii="Times New Roman" w:hAnsi="Times New Roman" w:cs="Times New Roman"/>
          <w:sz w:val="28"/>
          <w:szCs w:val="28"/>
          <w:lang w:val="en-GB"/>
        </w:rPr>
        <w:footnoteReference w:id="15"/>
      </w:r>
      <w:r w:rsidR="00A06B57" w:rsidRPr="000E2B31">
        <w:rPr>
          <w:rFonts w:ascii="Times New Roman" w:hAnsi="Times New Roman" w:cs="Times New Roman"/>
          <w:sz w:val="28"/>
          <w:szCs w:val="28"/>
          <w:lang w:val="en-GB"/>
        </w:rPr>
        <w:t xml:space="preserve"> and the tender document itself) was not complied with.</w:t>
      </w:r>
      <w:r w:rsidR="00A06B57">
        <w:rPr>
          <w:rStyle w:val="FootnoteReference"/>
          <w:rFonts w:ascii="Times New Roman" w:hAnsi="Times New Roman" w:cs="Times New Roman"/>
          <w:sz w:val="28"/>
          <w:szCs w:val="28"/>
          <w:lang w:val="en-GB"/>
        </w:rPr>
        <w:footnoteReference w:id="16"/>
      </w:r>
      <w:r w:rsidR="00A06B57" w:rsidRPr="000E2B31">
        <w:rPr>
          <w:rFonts w:ascii="Times New Roman" w:hAnsi="Times New Roman" w:cs="Times New Roman"/>
          <w:sz w:val="28"/>
          <w:szCs w:val="28"/>
          <w:lang w:val="en-GB"/>
        </w:rPr>
        <w:t xml:space="preserve"> </w:t>
      </w:r>
    </w:p>
    <w:p w14:paraId="66C48BAD" w14:textId="77777777" w:rsidR="00026321" w:rsidRPr="00026321" w:rsidRDefault="00026321" w:rsidP="00026321">
      <w:pPr>
        <w:pStyle w:val="ListParagraph"/>
        <w:tabs>
          <w:tab w:val="left" w:pos="709"/>
        </w:tabs>
        <w:spacing w:before="0" w:beforeAutospacing="0"/>
        <w:ind w:left="0"/>
        <w:jc w:val="both"/>
        <w:rPr>
          <w:rFonts w:ascii="Times New Roman" w:hAnsi="Times New Roman" w:cs="Times New Roman"/>
          <w:sz w:val="24"/>
          <w:szCs w:val="24"/>
          <w:lang w:val="en-US"/>
        </w:rPr>
      </w:pPr>
    </w:p>
    <w:p w14:paraId="0C92B177" w14:textId="757B834D" w:rsidR="00026321" w:rsidRPr="000E2B31" w:rsidRDefault="000E2B31" w:rsidP="000E2B31">
      <w:pPr>
        <w:tabs>
          <w:tab w:val="left" w:pos="709"/>
        </w:tabs>
        <w:spacing w:before="0" w:beforeAutospacing="0"/>
        <w:jc w:val="both"/>
        <w:rPr>
          <w:rFonts w:ascii="Times New Roman" w:hAnsi="Times New Roman" w:cs="Times New Roman"/>
          <w:sz w:val="24"/>
          <w:szCs w:val="24"/>
          <w:lang w:val="en-US"/>
        </w:rPr>
      </w:pPr>
      <w:r w:rsidRPr="00026321">
        <w:rPr>
          <w:rFonts w:ascii="Times New Roman" w:hAnsi="Times New Roman" w:cs="Times New Roman"/>
          <w:sz w:val="28"/>
          <w:szCs w:val="28"/>
          <w:lang w:val="en-US"/>
        </w:rPr>
        <w:t>[37]</w:t>
      </w:r>
      <w:r w:rsidRPr="00026321">
        <w:rPr>
          <w:rFonts w:ascii="Times New Roman" w:hAnsi="Times New Roman" w:cs="Times New Roman"/>
          <w:sz w:val="28"/>
          <w:szCs w:val="28"/>
          <w:lang w:val="en-US"/>
        </w:rPr>
        <w:tab/>
      </w:r>
      <w:r w:rsidR="00B7175B" w:rsidRPr="000E2B31">
        <w:rPr>
          <w:rFonts w:ascii="Times New Roman" w:hAnsi="Times New Roman" w:cs="Times New Roman"/>
          <w:sz w:val="28"/>
          <w:szCs w:val="28"/>
          <w:lang w:val="en-US"/>
        </w:rPr>
        <w:t xml:space="preserve">But even if </w:t>
      </w:r>
      <w:r w:rsidR="00297B3E" w:rsidRPr="000E2B31">
        <w:rPr>
          <w:rFonts w:ascii="Times New Roman" w:hAnsi="Times New Roman" w:cs="Times New Roman"/>
          <w:sz w:val="28"/>
          <w:szCs w:val="28"/>
          <w:lang w:val="en-US"/>
        </w:rPr>
        <w:t xml:space="preserve">it </w:t>
      </w:r>
      <w:r w:rsidR="00B7175B" w:rsidRPr="000E2B31">
        <w:rPr>
          <w:rFonts w:ascii="Times New Roman" w:hAnsi="Times New Roman" w:cs="Times New Roman"/>
          <w:sz w:val="28"/>
          <w:szCs w:val="28"/>
          <w:lang w:val="en-US"/>
        </w:rPr>
        <w:t xml:space="preserve">was acceptable for the appellant to have used </w:t>
      </w:r>
      <w:r w:rsidR="00A06B57" w:rsidRPr="000E2B31">
        <w:rPr>
          <w:rFonts w:ascii="Times New Roman" w:hAnsi="Times New Roman" w:cs="Times New Roman"/>
          <w:sz w:val="28"/>
          <w:szCs w:val="28"/>
          <w:lang w:val="en-US"/>
        </w:rPr>
        <w:t>such a process to have eliminated it from the race</w:t>
      </w:r>
      <w:r w:rsidR="00B7175B" w:rsidRPr="000E2B31">
        <w:rPr>
          <w:rFonts w:ascii="Times New Roman" w:hAnsi="Times New Roman" w:cs="Times New Roman"/>
          <w:sz w:val="28"/>
          <w:szCs w:val="28"/>
          <w:lang w:val="en-US"/>
        </w:rPr>
        <w:t>,</w:t>
      </w:r>
      <w:r w:rsidR="00330FAE" w:rsidRPr="000E2B31">
        <w:rPr>
          <w:rFonts w:ascii="Times New Roman" w:hAnsi="Times New Roman" w:cs="Times New Roman"/>
          <w:sz w:val="28"/>
          <w:szCs w:val="28"/>
          <w:lang w:val="en-US"/>
        </w:rPr>
        <w:t xml:space="preserve"> </w:t>
      </w:r>
      <w:r w:rsidR="00B7175B" w:rsidRPr="000E2B31">
        <w:rPr>
          <w:rFonts w:ascii="Times New Roman" w:hAnsi="Times New Roman" w:cs="Times New Roman"/>
          <w:sz w:val="28"/>
          <w:szCs w:val="28"/>
          <w:lang w:val="en-US"/>
        </w:rPr>
        <w:t xml:space="preserve">so it went on, </w:t>
      </w:r>
      <w:r w:rsidR="00330FAE" w:rsidRPr="000E2B31">
        <w:rPr>
          <w:rFonts w:ascii="Times New Roman" w:hAnsi="Times New Roman" w:cs="Times New Roman"/>
          <w:sz w:val="28"/>
          <w:szCs w:val="28"/>
          <w:lang w:val="en-US"/>
        </w:rPr>
        <w:t xml:space="preserve">nowhere in the tender documentation was this </w:t>
      </w:r>
      <w:r w:rsidR="008C62DA" w:rsidRPr="000E2B31">
        <w:rPr>
          <w:rFonts w:ascii="Times New Roman" w:hAnsi="Times New Roman" w:cs="Times New Roman"/>
          <w:sz w:val="28"/>
          <w:szCs w:val="28"/>
          <w:lang w:val="en-US"/>
        </w:rPr>
        <w:t xml:space="preserve">risk </w:t>
      </w:r>
      <w:r w:rsidR="00330FAE" w:rsidRPr="000E2B31">
        <w:rPr>
          <w:rFonts w:ascii="Times New Roman" w:hAnsi="Times New Roman" w:cs="Times New Roman"/>
          <w:sz w:val="28"/>
          <w:szCs w:val="28"/>
          <w:lang w:val="en-US"/>
        </w:rPr>
        <w:t>evaluation stipulated as objective criteria within the contemplation of regulation 11</w:t>
      </w:r>
      <w:r w:rsidR="003E49E0" w:rsidRPr="000E2B31">
        <w:rPr>
          <w:rFonts w:ascii="Times New Roman" w:hAnsi="Times New Roman" w:cs="Times New Roman"/>
          <w:sz w:val="28"/>
          <w:szCs w:val="28"/>
          <w:lang w:val="en-US"/>
        </w:rPr>
        <w:t xml:space="preserve"> (2)</w:t>
      </w:r>
      <w:r w:rsidR="00330FAE" w:rsidRPr="000E2B31">
        <w:rPr>
          <w:rFonts w:ascii="Times New Roman" w:hAnsi="Times New Roman" w:cs="Times New Roman"/>
          <w:sz w:val="28"/>
          <w:szCs w:val="28"/>
          <w:lang w:val="en-US"/>
        </w:rPr>
        <w:t xml:space="preserve"> of the PPPFA Regulations</w:t>
      </w:r>
      <w:r w:rsidR="0044115B" w:rsidRPr="000E2B31">
        <w:rPr>
          <w:rFonts w:ascii="Times New Roman" w:hAnsi="Times New Roman" w:cs="Times New Roman"/>
          <w:sz w:val="28"/>
          <w:szCs w:val="28"/>
          <w:lang w:val="en-US"/>
        </w:rPr>
        <w:t>,</w:t>
      </w:r>
      <w:r w:rsidR="00B7175B" w:rsidRPr="000E2B31">
        <w:rPr>
          <w:rFonts w:ascii="Times New Roman" w:hAnsi="Times New Roman" w:cs="Times New Roman"/>
          <w:sz w:val="28"/>
          <w:szCs w:val="28"/>
          <w:lang w:val="en-US"/>
        </w:rPr>
        <w:t xml:space="preserve"> </w:t>
      </w:r>
      <w:r w:rsidR="008C62DA" w:rsidRPr="000E2B31">
        <w:rPr>
          <w:rFonts w:ascii="Times New Roman" w:hAnsi="Times New Roman" w:cs="Times New Roman"/>
          <w:sz w:val="28"/>
          <w:szCs w:val="28"/>
          <w:lang w:val="en-US"/>
        </w:rPr>
        <w:t xml:space="preserve">that being the only recognized basis upon which </w:t>
      </w:r>
      <w:r w:rsidR="00B7175B" w:rsidRPr="000E2B31">
        <w:rPr>
          <w:rFonts w:ascii="Times New Roman" w:hAnsi="Times New Roman" w:cs="Times New Roman"/>
          <w:sz w:val="28"/>
          <w:szCs w:val="28"/>
          <w:lang w:val="en-US"/>
        </w:rPr>
        <w:t xml:space="preserve">it could be bested in the final contest as the tenderer </w:t>
      </w:r>
      <w:r w:rsidR="003E49E0" w:rsidRPr="000E2B31">
        <w:rPr>
          <w:rFonts w:ascii="Times New Roman" w:hAnsi="Times New Roman" w:cs="Times New Roman"/>
          <w:sz w:val="28"/>
          <w:szCs w:val="28"/>
          <w:lang w:val="en-US"/>
        </w:rPr>
        <w:t>“</w:t>
      </w:r>
      <w:r w:rsidR="00B7175B" w:rsidRPr="000E2B31">
        <w:rPr>
          <w:rFonts w:ascii="Times New Roman" w:hAnsi="Times New Roman" w:cs="Times New Roman"/>
          <w:sz w:val="28"/>
          <w:szCs w:val="28"/>
          <w:lang w:val="en-US"/>
        </w:rPr>
        <w:t>that had scored the highest total number of points</w:t>
      </w:r>
      <w:r w:rsidR="001D73FF" w:rsidRPr="000E2B31">
        <w:rPr>
          <w:rFonts w:ascii="Times New Roman" w:hAnsi="Times New Roman" w:cs="Times New Roman"/>
          <w:sz w:val="28"/>
          <w:szCs w:val="28"/>
          <w:lang w:val="en-US"/>
        </w:rPr>
        <w:t>.</w:t>
      </w:r>
      <w:r w:rsidR="003E49E0" w:rsidRPr="000E2B31">
        <w:rPr>
          <w:rFonts w:ascii="Times New Roman" w:hAnsi="Times New Roman" w:cs="Times New Roman"/>
          <w:sz w:val="28"/>
          <w:szCs w:val="28"/>
          <w:lang w:val="en-US"/>
        </w:rPr>
        <w:t>”</w:t>
      </w:r>
      <w:r w:rsidR="001D73FF">
        <w:rPr>
          <w:rStyle w:val="FootnoteReference"/>
          <w:rFonts w:ascii="Times New Roman" w:hAnsi="Times New Roman" w:cs="Times New Roman"/>
          <w:sz w:val="28"/>
          <w:szCs w:val="28"/>
          <w:lang w:val="en-US"/>
        </w:rPr>
        <w:footnoteReference w:id="17"/>
      </w:r>
      <w:r w:rsidR="00B0766B" w:rsidRPr="000E2B31">
        <w:rPr>
          <w:rFonts w:ascii="Times New Roman" w:hAnsi="Times New Roman" w:cs="Times New Roman"/>
          <w:sz w:val="28"/>
          <w:szCs w:val="28"/>
          <w:lang w:val="en-US"/>
        </w:rPr>
        <w:t xml:space="preserve"> </w:t>
      </w:r>
      <w:r w:rsidR="0096349F" w:rsidRPr="000E2B31">
        <w:rPr>
          <w:rFonts w:ascii="Times New Roman" w:hAnsi="Times New Roman" w:cs="Times New Roman"/>
          <w:sz w:val="28"/>
          <w:szCs w:val="28"/>
          <w:lang w:val="en-US"/>
        </w:rPr>
        <w:t>This too in its view constituted</w:t>
      </w:r>
      <w:r w:rsidR="00A06B57" w:rsidRPr="000E2B31">
        <w:rPr>
          <w:rFonts w:ascii="Times New Roman" w:hAnsi="Times New Roman" w:cs="Times New Roman"/>
          <w:sz w:val="28"/>
          <w:szCs w:val="28"/>
          <w:lang w:val="en-US"/>
        </w:rPr>
        <w:t xml:space="preserve"> a reviewable ground in terms of the provisions of section 6 (2) (b) of PAJA.</w:t>
      </w:r>
    </w:p>
    <w:p w14:paraId="72AED926" w14:textId="77777777" w:rsidR="00026321" w:rsidRPr="00026321" w:rsidRDefault="00026321" w:rsidP="00026321">
      <w:pPr>
        <w:pStyle w:val="ListParagraph"/>
        <w:rPr>
          <w:rFonts w:ascii="Times New Roman" w:hAnsi="Times New Roman" w:cs="Times New Roman"/>
          <w:sz w:val="28"/>
          <w:szCs w:val="28"/>
          <w:lang w:val="en-US"/>
        </w:rPr>
      </w:pPr>
    </w:p>
    <w:p w14:paraId="674031C6" w14:textId="7DE8FB5D" w:rsidR="00B63179" w:rsidRPr="000E2B31" w:rsidRDefault="000E2B31" w:rsidP="000E2B31">
      <w:pPr>
        <w:tabs>
          <w:tab w:val="left" w:pos="709"/>
        </w:tabs>
        <w:spacing w:before="0" w:beforeAutospacing="0"/>
        <w:jc w:val="both"/>
        <w:rPr>
          <w:rFonts w:ascii="Times New Roman" w:hAnsi="Times New Roman" w:cs="Times New Roman"/>
          <w:sz w:val="24"/>
          <w:szCs w:val="24"/>
          <w:lang w:val="en-US"/>
        </w:rPr>
      </w:pPr>
      <w:r w:rsidRPr="00B63179">
        <w:rPr>
          <w:rFonts w:ascii="Times New Roman" w:hAnsi="Times New Roman" w:cs="Times New Roman"/>
          <w:sz w:val="28"/>
          <w:szCs w:val="28"/>
          <w:lang w:val="en-US"/>
        </w:rPr>
        <w:t>[38]</w:t>
      </w:r>
      <w:r w:rsidRPr="00B63179">
        <w:rPr>
          <w:rFonts w:ascii="Times New Roman" w:hAnsi="Times New Roman" w:cs="Times New Roman"/>
          <w:sz w:val="28"/>
          <w:szCs w:val="28"/>
          <w:lang w:val="en-US"/>
        </w:rPr>
        <w:tab/>
      </w:r>
      <w:r w:rsidR="00B7175B" w:rsidRPr="000E2B31">
        <w:rPr>
          <w:rFonts w:ascii="Times New Roman" w:hAnsi="Times New Roman" w:cs="Times New Roman"/>
          <w:sz w:val="28"/>
          <w:szCs w:val="28"/>
          <w:lang w:val="en-US"/>
        </w:rPr>
        <w:t xml:space="preserve">It complained </w:t>
      </w:r>
      <w:r w:rsidR="00A06B57" w:rsidRPr="000E2B31">
        <w:rPr>
          <w:rFonts w:ascii="Times New Roman" w:hAnsi="Times New Roman" w:cs="Times New Roman"/>
          <w:sz w:val="28"/>
          <w:szCs w:val="28"/>
          <w:lang w:val="en-US"/>
        </w:rPr>
        <w:t xml:space="preserve">further </w:t>
      </w:r>
      <w:r w:rsidR="008C62DA" w:rsidRPr="000E2B31">
        <w:rPr>
          <w:rFonts w:ascii="Times New Roman" w:hAnsi="Times New Roman" w:cs="Times New Roman"/>
          <w:sz w:val="28"/>
          <w:szCs w:val="28"/>
          <w:lang w:val="en-US"/>
        </w:rPr>
        <w:t xml:space="preserve">that the appellant was materially influenced by an error of law in relying on the process it claimed it was both </w:t>
      </w:r>
      <w:r w:rsidR="00B7175B" w:rsidRPr="000E2B31">
        <w:rPr>
          <w:rFonts w:ascii="Times New Roman" w:hAnsi="Times New Roman" w:cs="Times New Roman"/>
          <w:sz w:val="28"/>
          <w:szCs w:val="28"/>
          <w:lang w:val="en-US"/>
        </w:rPr>
        <w:t>prudently obliged</w:t>
      </w:r>
      <w:r w:rsidR="008C62DA" w:rsidRPr="000E2B31">
        <w:rPr>
          <w:rFonts w:ascii="Times New Roman" w:hAnsi="Times New Roman" w:cs="Times New Roman"/>
          <w:sz w:val="28"/>
          <w:szCs w:val="28"/>
          <w:lang w:val="en-US"/>
        </w:rPr>
        <w:t xml:space="preserve"> and entitled to employ as a basis to have ruled it out of the competition</w:t>
      </w:r>
      <w:r w:rsidR="003D6101" w:rsidRPr="000E2B31">
        <w:rPr>
          <w:rFonts w:ascii="Times New Roman" w:hAnsi="Times New Roman" w:cs="Times New Roman"/>
          <w:sz w:val="28"/>
          <w:szCs w:val="28"/>
          <w:lang w:val="en-US"/>
        </w:rPr>
        <w:t xml:space="preserve"> and</w:t>
      </w:r>
      <w:r w:rsidR="00AB795F" w:rsidRPr="000E2B31">
        <w:rPr>
          <w:rFonts w:ascii="Times New Roman" w:hAnsi="Times New Roman" w:cs="Times New Roman"/>
          <w:sz w:val="28"/>
          <w:szCs w:val="28"/>
          <w:lang w:val="en-US"/>
        </w:rPr>
        <w:t>, generally,</w:t>
      </w:r>
      <w:r w:rsidR="003D6101" w:rsidRPr="000E2B31">
        <w:rPr>
          <w:rFonts w:ascii="Times New Roman" w:hAnsi="Times New Roman" w:cs="Times New Roman"/>
          <w:sz w:val="28"/>
          <w:szCs w:val="28"/>
          <w:lang w:val="en-US"/>
        </w:rPr>
        <w:t xml:space="preserve"> that it had </w:t>
      </w:r>
      <w:r w:rsidR="00AB795F" w:rsidRPr="000E2B31">
        <w:rPr>
          <w:rFonts w:ascii="Times New Roman" w:hAnsi="Times New Roman" w:cs="Times New Roman"/>
          <w:sz w:val="28"/>
          <w:szCs w:val="28"/>
          <w:lang w:val="en-US"/>
        </w:rPr>
        <w:t xml:space="preserve">made </w:t>
      </w:r>
      <w:r w:rsidR="003D6101" w:rsidRPr="000E2B31">
        <w:rPr>
          <w:rFonts w:ascii="Times New Roman" w:hAnsi="Times New Roman" w:cs="Times New Roman"/>
          <w:sz w:val="28"/>
          <w:szCs w:val="28"/>
          <w:lang w:val="en-US"/>
        </w:rPr>
        <w:t>it</w:t>
      </w:r>
      <w:r w:rsidR="00AB795F" w:rsidRPr="000E2B31">
        <w:rPr>
          <w:rFonts w:ascii="Times New Roman" w:hAnsi="Times New Roman" w:cs="Times New Roman"/>
          <w:sz w:val="28"/>
          <w:szCs w:val="28"/>
          <w:lang w:val="en-US"/>
        </w:rPr>
        <w:t>s</w:t>
      </w:r>
      <w:r w:rsidR="003D6101" w:rsidRPr="000E2B31">
        <w:rPr>
          <w:rFonts w:ascii="Times New Roman" w:hAnsi="Times New Roman" w:cs="Times New Roman"/>
          <w:sz w:val="28"/>
          <w:szCs w:val="28"/>
          <w:lang w:val="en-US"/>
        </w:rPr>
        <w:t xml:space="preserve"> decision</w:t>
      </w:r>
      <w:r w:rsidR="00AB795F" w:rsidRPr="000E2B31">
        <w:rPr>
          <w:rFonts w:ascii="Times New Roman" w:hAnsi="Times New Roman" w:cs="Times New Roman"/>
          <w:sz w:val="28"/>
          <w:szCs w:val="28"/>
          <w:lang w:val="en-US"/>
        </w:rPr>
        <w:t>s flowing from the process</w:t>
      </w:r>
      <w:r w:rsidR="003D6101" w:rsidRPr="000E2B31">
        <w:rPr>
          <w:rFonts w:ascii="Times New Roman" w:hAnsi="Times New Roman" w:cs="Times New Roman"/>
          <w:sz w:val="28"/>
          <w:szCs w:val="28"/>
          <w:lang w:val="en-US"/>
        </w:rPr>
        <w:t xml:space="preserve"> arbitrarily and capriciously</w:t>
      </w:r>
      <w:r w:rsidR="00AB795F" w:rsidRPr="000E2B31">
        <w:rPr>
          <w:rFonts w:ascii="Times New Roman" w:hAnsi="Times New Roman" w:cs="Times New Roman"/>
          <w:sz w:val="28"/>
          <w:szCs w:val="28"/>
          <w:lang w:val="en-US"/>
        </w:rPr>
        <w:t>, that they were irrational, unreasonably asserted</w:t>
      </w:r>
      <w:r w:rsidR="00E13A98" w:rsidRPr="000E2B31">
        <w:rPr>
          <w:rFonts w:ascii="Times New Roman" w:hAnsi="Times New Roman" w:cs="Times New Roman"/>
          <w:sz w:val="28"/>
          <w:szCs w:val="28"/>
          <w:lang w:val="en-US"/>
        </w:rPr>
        <w:t>,</w:t>
      </w:r>
      <w:r w:rsidR="00AB795F" w:rsidRPr="000E2B31">
        <w:rPr>
          <w:rFonts w:ascii="Times New Roman" w:hAnsi="Times New Roman" w:cs="Times New Roman"/>
          <w:sz w:val="28"/>
          <w:szCs w:val="28"/>
          <w:lang w:val="en-US"/>
        </w:rPr>
        <w:t xml:space="preserve"> or otherwise unconstitutional or unlawful</w:t>
      </w:r>
      <w:r w:rsidR="003D6101" w:rsidRPr="000E2B31">
        <w:rPr>
          <w:rFonts w:ascii="Times New Roman" w:hAnsi="Times New Roman" w:cs="Times New Roman"/>
          <w:sz w:val="28"/>
          <w:szCs w:val="28"/>
          <w:lang w:val="en-US"/>
        </w:rPr>
        <w:t>.</w:t>
      </w:r>
    </w:p>
    <w:p w14:paraId="5EA90CF7" w14:textId="77777777" w:rsidR="00C4681B" w:rsidRPr="00C4681B" w:rsidRDefault="00C4681B" w:rsidP="00C4681B">
      <w:pPr>
        <w:pStyle w:val="ListParagraph"/>
        <w:rPr>
          <w:rFonts w:ascii="Times New Roman" w:hAnsi="Times New Roman" w:cs="Times New Roman"/>
          <w:sz w:val="28"/>
          <w:szCs w:val="28"/>
          <w:lang w:val="en-US"/>
        </w:rPr>
      </w:pPr>
    </w:p>
    <w:p w14:paraId="6A75AA8E" w14:textId="626F17E9" w:rsidR="00AB795F" w:rsidRPr="000E2B31" w:rsidRDefault="000E2B31" w:rsidP="000E2B31">
      <w:pPr>
        <w:tabs>
          <w:tab w:val="left" w:pos="709"/>
        </w:tabs>
        <w:spacing w:before="0" w:beforeAutospacing="0"/>
        <w:jc w:val="both"/>
        <w:rPr>
          <w:rFonts w:ascii="Times New Roman" w:hAnsi="Times New Roman" w:cs="Times New Roman"/>
          <w:sz w:val="24"/>
          <w:szCs w:val="24"/>
          <w:lang w:val="en-US"/>
        </w:rPr>
      </w:pPr>
      <w:r w:rsidRPr="00AB795F">
        <w:rPr>
          <w:rFonts w:ascii="Times New Roman" w:hAnsi="Times New Roman" w:cs="Times New Roman"/>
          <w:sz w:val="28"/>
          <w:szCs w:val="28"/>
          <w:lang w:val="en-US"/>
        </w:rPr>
        <w:t>[39]</w:t>
      </w:r>
      <w:r w:rsidRPr="00AB795F">
        <w:rPr>
          <w:rFonts w:ascii="Times New Roman" w:hAnsi="Times New Roman" w:cs="Times New Roman"/>
          <w:sz w:val="28"/>
          <w:szCs w:val="28"/>
          <w:lang w:val="en-US"/>
        </w:rPr>
        <w:tab/>
      </w:r>
      <w:r w:rsidR="00714E06" w:rsidRPr="000E2B31">
        <w:rPr>
          <w:rFonts w:ascii="Times New Roman" w:hAnsi="Times New Roman" w:cs="Times New Roman"/>
          <w:sz w:val="28"/>
          <w:szCs w:val="28"/>
          <w:lang w:val="en-US"/>
        </w:rPr>
        <w:t>After having</w:t>
      </w:r>
      <w:r w:rsidR="00FF7B18" w:rsidRPr="000E2B31">
        <w:rPr>
          <w:rFonts w:ascii="Times New Roman" w:hAnsi="Times New Roman" w:cs="Times New Roman"/>
          <w:sz w:val="28"/>
          <w:szCs w:val="28"/>
          <w:lang w:val="en-US"/>
        </w:rPr>
        <w:t xml:space="preserve"> had sight of the review record </w:t>
      </w:r>
      <w:r w:rsidR="003D6101" w:rsidRPr="000E2B31">
        <w:rPr>
          <w:rFonts w:ascii="Times New Roman" w:hAnsi="Times New Roman" w:cs="Times New Roman"/>
          <w:sz w:val="28"/>
          <w:szCs w:val="28"/>
          <w:lang w:val="en-US"/>
        </w:rPr>
        <w:t>and in amplifying its papers, as it was entitled to,</w:t>
      </w:r>
      <w:r w:rsidR="006E693A" w:rsidRPr="000E2B31">
        <w:rPr>
          <w:rFonts w:ascii="Times New Roman" w:hAnsi="Times New Roman" w:cs="Times New Roman"/>
          <w:sz w:val="28"/>
          <w:szCs w:val="28"/>
          <w:lang w:val="en-US"/>
        </w:rPr>
        <w:t xml:space="preserve"> </w:t>
      </w:r>
      <w:r w:rsidR="00AB795F" w:rsidRPr="000E2B31">
        <w:rPr>
          <w:rFonts w:ascii="Times New Roman" w:hAnsi="Times New Roman" w:cs="Times New Roman"/>
          <w:sz w:val="28"/>
          <w:szCs w:val="28"/>
          <w:lang w:val="en-US"/>
        </w:rPr>
        <w:t>the first respondent raised for the first time the contention</w:t>
      </w:r>
      <w:r w:rsidR="006E693A" w:rsidRPr="000E2B31">
        <w:rPr>
          <w:rFonts w:ascii="Times New Roman" w:hAnsi="Times New Roman" w:cs="Times New Roman"/>
          <w:sz w:val="28"/>
          <w:szCs w:val="28"/>
          <w:lang w:val="en-US"/>
        </w:rPr>
        <w:t xml:space="preserve"> </w:t>
      </w:r>
      <w:r w:rsidR="00330FAE" w:rsidRPr="000E2B31">
        <w:rPr>
          <w:rFonts w:ascii="Times New Roman" w:hAnsi="Times New Roman" w:cs="Times New Roman"/>
          <w:sz w:val="28"/>
          <w:szCs w:val="28"/>
          <w:lang w:val="en-US"/>
        </w:rPr>
        <w:t xml:space="preserve">that the </w:t>
      </w:r>
      <w:r w:rsidR="00330FAE" w:rsidRPr="000E2B31">
        <w:rPr>
          <w:rFonts w:ascii="Times New Roman" w:hAnsi="Times New Roman" w:cs="Times New Roman"/>
          <w:sz w:val="28"/>
          <w:szCs w:val="28"/>
          <w:lang w:val="en-US"/>
        </w:rPr>
        <w:lastRenderedPageBreak/>
        <w:t xml:space="preserve">second </w:t>
      </w:r>
      <w:r w:rsidR="00714E06" w:rsidRPr="000E2B31">
        <w:rPr>
          <w:rFonts w:ascii="Times New Roman" w:hAnsi="Times New Roman" w:cs="Times New Roman"/>
          <w:sz w:val="28"/>
          <w:szCs w:val="28"/>
          <w:lang w:val="en-US"/>
        </w:rPr>
        <w:t xml:space="preserve">and third </w:t>
      </w:r>
      <w:r w:rsidR="00330FAE" w:rsidRPr="000E2B31">
        <w:rPr>
          <w:rFonts w:ascii="Times New Roman" w:hAnsi="Times New Roman" w:cs="Times New Roman"/>
          <w:sz w:val="28"/>
          <w:szCs w:val="28"/>
          <w:lang w:val="en-US"/>
        </w:rPr>
        <w:t>respondent’s bid</w:t>
      </w:r>
      <w:r w:rsidR="00714E06" w:rsidRPr="000E2B31">
        <w:rPr>
          <w:rFonts w:ascii="Times New Roman" w:hAnsi="Times New Roman" w:cs="Times New Roman"/>
          <w:sz w:val="28"/>
          <w:szCs w:val="28"/>
          <w:lang w:val="en-US"/>
        </w:rPr>
        <w:t>s</w:t>
      </w:r>
      <w:r w:rsidR="00330FAE" w:rsidRPr="000E2B31">
        <w:rPr>
          <w:rFonts w:ascii="Times New Roman" w:hAnsi="Times New Roman" w:cs="Times New Roman"/>
          <w:sz w:val="28"/>
          <w:szCs w:val="28"/>
          <w:lang w:val="en-US"/>
        </w:rPr>
        <w:t xml:space="preserve"> should co-incidentally not have been declared administratively responsive in any event</w:t>
      </w:r>
      <w:r w:rsidR="00714E06" w:rsidRPr="000E2B31">
        <w:rPr>
          <w:rFonts w:ascii="Times New Roman" w:hAnsi="Times New Roman" w:cs="Times New Roman"/>
          <w:sz w:val="28"/>
          <w:szCs w:val="28"/>
          <w:lang w:val="en-US"/>
        </w:rPr>
        <w:t>.</w:t>
      </w:r>
    </w:p>
    <w:p w14:paraId="3F1CE73F" w14:textId="77777777" w:rsidR="00AB795F" w:rsidRPr="00AB795F" w:rsidRDefault="00AB795F" w:rsidP="00AB795F">
      <w:pPr>
        <w:pStyle w:val="ListParagraph"/>
        <w:rPr>
          <w:rFonts w:ascii="Times New Roman" w:hAnsi="Times New Roman" w:cs="Times New Roman"/>
          <w:sz w:val="28"/>
          <w:szCs w:val="28"/>
          <w:lang w:val="en-US"/>
        </w:rPr>
      </w:pPr>
    </w:p>
    <w:p w14:paraId="3DCB0CC4" w14:textId="500BE7A4" w:rsidR="00AB795F" w:rsidRPr="000E2B31" w:rsidRDefault="000E2B31" w:rsidP="000E2B31">
      <w:pPr>
        <w:tabs>
          <w:tab w:val="left" w:pos="709"/>
        </w:tabs>
        <w:spacing w:before="0" w:beforeAutospacing="0"/>
        <w:jc w:val="both"/>
        <w:rPr>
          <w:rFonts w:ascii="Times New Roman" w:hAnsi="Times New Roman" w:cs="Times New Roman"/>
          <w:sz w:val="24"/>
          <w:szCs w:val="24"/>
          <w:lang w:val="en-US"/>
        </w:rPr>
      </w:pPr>
      <w:r w:rsidRPr="00AB795F">
        <w:rPr>
          <w:rFonts w:ascii="Times New Roman" w:hAnsi="Times New Roman" w:cs="Times New Roman"/>
          <w:sz w:val="28"/>
          <w:szCs w:val="28"/>
          <w:lang w:val="en-US"/>
        </w:rPr>
        <w:t>[40]</w:t>
      </w:r>
      <w:r w:rsidRPr="00AB795F">
        <w:rPr>
          <w:rFonts w:ascii="Times New Roman" w:hAnsi="Times New Roman" w:cs="Times New Roman"/>
          <w:sz w:val="28"/>
          <w:szCs w:val="28"/>
          <w:lang w:val="en-US"/>
        </w:rPr>
        <w:tab/>
      </w:r>
      <w:r w:rsidR="00AB795F" w:rsidRPr="000E2B31">
        <w:rPr>
          <w:rFonts w:ascii="Times New Roman" w:hAnsi="Times New Roman" w:cs="Times New Roman"/>
          <w:sz w:val="28"/>
          <w:szCs w:val="28"/>
          <w:lang w:val="en-US"/>
        </w:rPr>
        <w:t xml:space="preserve"> </w:t>
      </w:r>
      <w:r w:rsidR="00AB795F" w:rsidRPr="000E2B31">
        <w:rPr>
          <w:rFonts w:ascii="Times New Roman" w:hAnsi="Times New Roman" w:cs="Times New Roman"/>
          <w:sz w:val="28"/>
          <w:szCs w:val="28"/>
          <w:lang w:val="en-GB"/>
        </w:rPr>
        <w:t>It asserted that the BEC</w:t>
      </w:r>
      <w:r w:rsidR="0096349F" w:rsidRPr="000E2B31">
        <w:rPr>
          <w:rFonts w:ascii="Times New Roman" w:hAnsi="Times New Roman" w:cs="Times New Roman"/>
          <w:sz w:val="28"/>
          <w:szCs w:val="28"/>
          <w:lang w:val="en-GB"/>
        </w:rPr>
        <w:t>,</w:t>
      </w:r>
      <w:r w:rsidR="00AB795F" w:rsidRPr="000E2B31">
        <w:rPr>
          <w:rFonts w:ascii="Times New Roman" w:hAnsi="Times New Roman" w:cs="Times New Roman"/>
          <w:sz w:val="28"/>
          <w:szCs w:val="28"/>
          <w:lang w:val="en-GB"/>
        </w:rPr>
        <w:t xml:space="preserve"> and ultimately the B</w:t>
      </w:r>
      <w:r w:rsidR="0096349F" w:rsidRPr="000E2B31">
        <w:rPr>
          <w:rFonts w:ascii="Times New Roman" w:hAnsi="Times New Roman" w:cs="Times New Roman"/>
          <w:sz w:val="28"/>
          <w:szCs w:val="28"/>
          <w:lang w:val="en-GB"/>
        </w:rPr>
        <w:t xml:space="preserve">id </w:t>
      </w:r>
      <w:r w:rsidR="00AB795F" w:rsidRPr="000E2B31">
        <w:rPr>
          <w:rFonts w:ascii="Times New Roman" w:hAnsi="Times New Roman" w:cs="Times New Roman"/>
          <w:sz w:val="28"/>
          <w:szCs w:val="28"/>
          <w:lang w:val="en-GB"/>
        </w:rPr>
        <w:t>A</w:t>
      </w:r>
      <w:r w:rsidR="0096349F" w:rsidRPr="000E2B31">
        <w:rPr>
          <w:rFonts w:ascii="Times New Roman" w:hAnsi="Times New Roman" w:cs="Times New Roman"/>
          <w:sz w:val="28"/>
          <w:szCs w:val="28"/>
          <w:lang w:val="en-GB"/>
        </w:rPr>
        <w:t xml:space="preserve">ward </w:t>
      </w:r>
      <w:r w:rsidR="00AB795F" w:rsidRPr="000E2B31">
        <w:rPr>
          <w:rFonts w:ascii="Times New Roman" w:hAnsi="Times New Roman" w:cs="Times New Roman"/>
          <w:sz w:val="28"/>
          <w:szCs w:val="28"/>
          <w:lang w:val="en-GB"/>
        </w:rPr>
        <w:t>C</w:t>
      </w:r>
      <w:r w:rsidR="0096349F" w:rsidRPr="000E2B31">
        <w:rPr>
          <w:rFonts w:ascii="Times New Roman" w:hAnsi="Times New Roman" w:cs="Times New Roman"/>
          <w:sz w:val="28"/>
          <w:szCs w:val="28"/>
          <w:lang w:val="en-GB"/>
        </w:rPr>
        <w:t>ommittee (“BAC”)</w:t>
      </w:r>
      <w:r w:rsidR="00AB795F" w:rsidRPr="000E2B31">
        <w:rPr>
          <w:rFonts w:ascii="Times New Roman" w:hAnsi="Times New Roman" w:cs="Times New Roman"/>
          <w:sz w:val="28"/>
          <w:szCs w:val="28"/>
          <w:lang w:val="en-GB"/>
        </w:rPr>
        <w:t xml:space="preserve"> that endorsed </w:t>
      </w:r>
      <w:r w:rsidR="0096349F" w:rsidRPr="000E2B31">
        <w:rPr>
          <w:rFonts w:ascii="Times New Roman" w:hAnsi="Times New Roman" w:cs="Times New Roman"/>
          <w:sz w:val="28"/>
          <w:szCs w:val="28"/>
          <w:lang w:val="en-GB"/>
        </w:rPr>
        <w:t>its</w:t>
      </w:r>
      <w:r w:rsidR="00AB795F" w:rsidRPr="000E2B31">
        <w:rPr>
          <w:rFonts w:ascii="Times New Roman" w:hAnsi="Times New Roman" w:cs="Times New Roman"/>
          <w:sz w:val="28"/>
          <w:szCs w:val="28"/>
          <w:lang w:val="en-GB"/>
        </w:rPr>
        <w:t xml:space="preserve"> findings</w:t>
      </w:r>
      <w:r w:rsidR="0096349F" w:rsidRPr="000E2B31">
        <w:rPr>
          <w:rFonts w:ascii="Times New Roman" w:hAnsi="Times New Roman" w:cs="Times New Roman"/>
          <w:sz w:val="28"/>
          <w:szCs w:val="28"/>
          <w:lang w:val="en-GB"/>
        </w:rPr>
        <w:t>,</w:t>
      </w:r>
      <w:r w:rsidR="00AB795F" w:rsidRPr="000E2B31">
        <w:rPr>
          <w:rFonts w:ascii="Times New Roman" w:hAnsi="Times New Roman" w:cs="Times New Roman"/>
          <w:sz w:val="28"/>
          <w:szCs w:val="28"/>
          <w:lang w:val="en-GB"/>
        </w:rPr>
        <w:t xml:space="preserve"> had committed a reviewable irregularity when it declared </w:t>
      </w:r>
      <w:r w:rsidR="007A48A2" w:rsidRPr="000E2B31">
        <w:rPr>
          <w:rFonts w:ascii="Times New Roman" w:hAnsi="Times New Roman" w:cs="Times New Roman"/>
          <w:sz w:val="28"/>
          <w:szCs w:val="28"/>
          <w:lang w:val="en-GB"/>
        </w:rPr>
        <w:t xml:space="preserve">each of </w:t>
      </w:r>
      <w:r w:rsidR="00AB795F" w:rsidRPr="000E2B31">
        <w:rPr>
          <w:rFonts w:ascii="Times New Roman" w:hAnsi="Times New Roman" w:cs="Times New Roman"/>
          <w:sz w:val="28"/>
          <w:szCs w:val="28"/>
          <w:lang w:val="en-GB"/>
        </w:rPr>
        <w:t>their bids administratively responsive.</w:t>
      </w:r>
      <w:r w:rsidR="001E3443">
        <w:rPr>
          <w:rStyle w:val="FootnoteReference"/>
          <w:rFonts w:ascii="Times New Roman" w:hAnsi="Times New Roman" w:cs="Times New Roman"/>
          <w:sz w:val="28"/>
          <w:szCs w:val="28"/>
          <w:lang w:val="en-GB"/>
        </w:rPr>
        <w:footnoteReference w:id="18"/>
      </w:r>
    </w:p>
    <w:p w14:paraId="31B59425" w14:textId="77777777" w:rsidR="00AB795F" w:rsidRPr="00AB795F" w:rsidRDefault="00AB795F" w:rsidP="00AB795F">
      <w:pPr>
        <w:pStyle w:val="ListParagraph"/>
        <w:rPr>
          <w:rFonts w:ascii="Times New Roman" w:hAnsi="Times New Roman" w:cs="Times New Roman"/>
          <w:sz w:val="28"/>
          <w:szCs w:val="28"/>
          <w:lang w:val="en-US"/>
        </w:rPr>
      </w:pPr>
    </w:p>
    <w:p w14:paraId="3F8C8DDC" w14:textId="75A5A292" w:rsidR="00AB795F" w:rsidRPr="000E2B31" w:rsidRDefault="000E2B31" w:rsidP="000E2B31">
      <w:pPr>
        <w:tabs>
          <w:tab w:val="left" w:pos="709"/>
        </w:tabs>
        <w:spacing w:before="0" w:beforeAutospacing="0"/>
        <w:jc w:val="both"/>
        <w:rPr>
          <w:rFonts w:ascii="Times New Roman" w:hAnsi="Times New Roman" w:cs="Times New Roman"/>
          <w:sz w:val="24"/>
          <w:szCs w:val="24"/>
          <w:lang w:val="en-US"/>
        </w:rPr>
      </w:pPr>
      <w:r w:rsidRPr="00AE602B">
        <w:rPr>
          <w:rFonts w:ascii="Times New Roman" w:hAnsi="Times New Roman" w:cs="Times New Roman"/>
          <w:sz w:val="28"/>
          <w:szCs w:val="28"/>
          <w:lang w:val="en-US"/>
        </w:rPr>
        <w:t>[41]</w:t>
      </w:r>
      <w:r w:rsidRPr="00AE602B">
        <w:rPr>
          <w:rFonts w:ascii="Times New Roman" w:hAnsi="Times New Roman" w:cs="Times New Roman"/>
          <w:sz w:val="28"/>
          <w:szCs w:val="28"/>
          <w:lang w:val="en-US"/>
        </w:rPr>
        <w:tab/>
      </w:r>
      <w:r w:rsidR="00AB795F" w:rsidRPr="000E2B31">
        <w:rPr>
          <w:rFonts w:ascii="Times New Roman" w:hAnsi="Times New Roman" w:cs="Times New Roman"/>
          <w:sz w:val="28"/>
          <w:szCs w:val="28"/>
          <w:lang w:val="en-US"/>
        </w:rPr>
        <w:t xml:space="preserve">The reason advanced by it for seeking such an order, firstly concerning the second respondent, was essentially that there had been insufficient compliance by it with the PA-09 (EC): List of Returnable Documents that formed part of the tender document which listed which documents it was mandatory to submit with the bid.  </w:t>
      </w:r>
      <w:r w:rsidR="0096349F" w:rsidRPr="000E2B31">
        <w:rPr>
          <w:rFonts w:ascii="Times New Roman" w:hAnsi="Times New Roman" w:cs="Times New Roman"/>
          <w:sz w:val="28"/>
          <w:szCs w:val="28"/>
          <w:lang w:val="en-US"/>
        </w:rPr>
        <w:t>The tender conditions stated that</w:t>
      </w:r>
      <w:r w:rsidR="00AB795F" w:rsidRPr="000E2B31">
        <w:rPr>
          <w:rFonts w:ascii="Times New Roman" w:hAnsi="Times New Roman" w:cs="Times New Roman"/>
          <w:sz w:val="28"/>
          <w:szCs w:val="28"/>
          <w:lang w:val="en-US"/>
        </w:rPr>
        <w:t xml:space="preserve"> the fully completed sectional summary pages and the final summary page were required to be returned with the tender document. </w:t>
      </w:r>
      <w:r w:rsidR="001E3443" w:rsidRPr="000E2B31">
        <w:rPr>
          <w:rFonts w:ascii="Times New Roman" w:hAnsi="Times New Roman" w:cs="Times New Roman"/>
          <w:sz w:val="28"/>
          <w:szCs w:val="28"/>
          <w:lang w:val="en-US"/>
        </w:rPr>
        <w:t>It pointed out that p</w:t>
      </w:r>
      <w:r w:rsidR="00AB795F" w:rsidRPr="000E2B31">
        <w:rPr>
          <w:rFonts w:ascii="Times New Roman" w:hAnsi="Times New Roman" w:cs="Times New Roman"/>
          <w:sz w:val="28"/>
          <w:szCs w:val="28"/>
          <w:lang w:val="en-US"/>
        </w:rPr>
        <w:t xml:space="preserve">aragraph 1 of the PA-09 (EC): List of Returnable Documents provided unequivocally that </w:t>
      </w:r>
      <w:r w:rsidR="00AB795F" w:rsidRPr="000E2B31">
        <w:rPr>
          <w:rFonts w:ascii="Times New Roman" w:hAnsi="Times New Roman" w:cs="Times New Roman"/>
          <w:i/>
          <w:iCs/>
          <w:sz w:val="28"/>
          <w:szCs w:val="28"/>
          <w:lang w:val="en-US"/>
        </w:rPr>
        <w:t>“Failure to submit the applicable documents will result in the tender offer being disqualified from further consideration”</w:t>
      </w:r>
      <w:r w:rsidR="00AB795F" w:rsidRPr="000E2B31">
        <w:rPr>
          <w:rFonts w:ascii="Times New Roman" w:hAnsi="Times New Roman" w:cs="Times New Roman"/>
          <w:sz w:val="28"/>
          <w:szCs w:val="28"/>
          <w:lang w:val="en-US"/>
        </w:rPr>
        <w:t>.</w:t>
      </w:r>
    </w:p>
    <w:p w14:paraId="46B8791E" w14:textId="77777777" w:rsidR="00AE602B" w:rsidRPr="00AE602B" w:rsidRDefault="00AE602B" w:rsidP="00AE602B">
      <w:pPr>
        <w:pStyle w:val="ListParagraph"/>
        <w:rPr>
          <w:rFonts w:ascii="Times New Roman" w:hAnsi="Times New Roman" w:cs="Times New Roman"/>
          <w:sz w:val="24"/>
          <w:szCs w:val="24"/>
          <w:lang w:val="en-US"/>
        </w:rPr>
      </w:pPr>
    </w:p>
    <w:p w14:paraId="70A36076" w14:textId="7F5A2134" w:rsidR="00AE602B" w:rsidRPr="000E2B31" w:rsidRDefault="000E2B31" w:rsidP="000E2B31">
      <w:pPr>
        <w:tabs>
          <w:tab w:val="left" w:pos="709"/>
        </w:tabs>
        <w:spacing w:before="0" w:beforeAutospacing="0"/>
        <w:jc w:val="both"/>
        <w:rPr>
          <w:rFonts w:ascii="Times New Roman" w:hAnsi="Times New Roman" w:cs="Times New Roman"/>
          <w:sz w:val="24"/>
          <w:szCs w:val="24"/>
          <w:lang w:val="en-US"/>
        </w:rPr>
      </w:pPr>
      <w:r w:rsidRPr="00AE602B">
        <w:rPr>
          <w:rFonts w:ascii="Times New Roman" w:hAnsi="Times New Roman" w:cs="Times New Roman"/>
          <w:sz w:val="28"/>
          <w:szCs w:val="28"/>
          <w:lang w:val="en-US"/>
        </w:rPr>
        <w:t>[42]</w:t>
      </w:r>
      <w:r w:rsidRPr="00AE602B">
        <w:rPr>
          <w:rFonts w:ascii="Times New Roman" w:hAnsi="Times New Roman" w:cs="Times New Roman"/>
          <w:sz w:val="28"/>
          <w:szCs w:val="28"/>
          <w:lang w:val="en-US"/>
        </w:rPr>
        <w:tab/>
      </w:r>
      <w:r w:rsidR="00AE602B" w:rsidRPr="000E2B31">
        <w:rPr>
          <w:rFonts w:ascii="Times New Roman" w:hAnsi="Times New Roman" w:cs="Times New Roman"/>
          <w:sz w:val="28"/>
          <w:szCs w:val="28"/>
          <w:lang w:val="en-US"/>
        </w:rPr>
        <w:t>It contended as a result that the decision of the BEC to have declared the second respondent’s bid as administratively responsive was unlawful as the latter did not fully complete the sectional summary page but had instead inserted a globular total at the bottom of each section.</w:t>
      </w:r>
    </w:p>
    <w:p w14:paraId="7BB6358C" w14:textId="77777777" w:rsidR="00AB795F" w:rsidRPr="00AB795F" w:rsidRDefault="00AB795F" w:rsidP="00AB795F">
      <w:pPr>
        <w:pStyle w:val="ListParagraph"/>
        <w:rPr>
          <w:rFonts w:ascii="Times New Roman" w:hAnsi="Times New Roman" w:cs="Times New Roman"/>
          <w:sz w:val="24"/>
          <w:szCs w:val="24"/>
          <w:lang w:val="en-US"/>
        </w:rPr>
      </w:pPr>
    </w:p>
    <w:p w14:paraId="0F6A4A6F" w14:textId="0B27F7E4" w:rsidR="00AB795F" w:rsidRPr="000E2B31" w:rsidRDefault="000E2B31" w:rsidP="000E2B31">
      <w:pPr>
        <w:tabs>
          <w:tab w:val="left" w:pos="709"/>
        </w:tabs>
        <w:spacing w:before="0" w:beforeAutospacing="0"/>
        <w:jc w:val="both"/>
        <w:rPr>
          <w:rFonts w:ascii="Times New Roman" w:hAnsi="Times New Roman" w:cs="Times New Roman"/>
          <w:sz w:val="28"/>
          <w:szCs w:val="28"/>
          <w:lang w:val="en-US"/>
        </w:rPr>
      </w:pPr>
      <w:r w:rsidRPr="00AB795F">
        <w:rPr>
          <w:rFonts w:ascii="Times New Roman" w:hAnsi="Times New Roman" w:cs="Times New Roman"/>
          <w:sz w:val="28"/>
          <w:szCs w:val="28"/>
          <w:lang w:val="en-US"/>
        </w:rPr>
        <w:lastRenderedPageBreak/>
        <w:t>[43]</w:t>
      </w:r>
      <w:r w:rsidRPr="00AB795F">
        <w:rPr>
          <w:rFonts w:ascii="Times New Roman" w:hAnsi="Times New Roman" w:cs="Times New Roman"/>
          <w:sz w:val="28"/>
          <w:szCs w:val="28"/>
          <w:lang w:val="en-US"/>
        </w:rPr>
        <w:tab/>
      </w:r>
      <w:r w:rsidR="001E3443" w:rsidRPr="000E2B31">
        <w:rPr>
          <w:rFonts w:ascii="Times New Roman" w:hAnsi="Times New Roman" w:cs="Times New Roman"/>
          <w:sz w:val="28"/>
          <w:szCs w:val="28"/>
          <w:lang w:val="en-GB"/>
        </w:rPr>
        <w:t>The</w:t>
      </w:r>
      <w:r w:rsidR="00AB795F" w:rsidRPr="000E2B31">
        <w:rPr>
          <w:rFonts w:ascii="Times New Roman" w:hAnsi="Times New Roman" w:cs="Times New Roman"/>
          <w:sz w:val="28"/>
          <w:szCs w:val="28"/>
          <w:lang w:val="en-GB"/>
        </w:rPr>
        <w:t xml:space="preserve"> materiality contended for by </w:t>
      </w:r>
      <w:r w:rsidR="001E3443" w:rsidRPr="000E2B31">
        <w:rPr>
          <w:rFonts w:ascii="Times New Roman" w:hAnsi="Times New Roman" w:cs="Times New Roman"/>
          <w:sz w:val="28"/>
          <w:szCs w:val="28"/>
          <w:lang w:val="en-GB"/>
        </w:rPr>
        <w:t>th</w:t>
      </w:r>
      <w:r w:rsidR="00516FCA" w:rsidRPr="000E2B31">
        <w:rPr>
          <w:rFonts w:ascii="Times New Roman" w:hAnsi="Times New Roman" w:cs="Times New Roman"/>
          <w:sz w:val="28"/>
          <w:szCs w:val="28"/>
          <w:lang w:val="en-GB"/>
        </w:rPr>
        <w:t>is</w:t>
      </w:r>
      <w:r w:rsidR="00AB795F" w:rsidRPr="000E2B31">
        <w:rPr>
          <w:rFonts w:ascii="Times New Roman" w:hAnsi="Times New Roman" w:cs="Times New Roman"/>
          <w:sz w:val="28"/>
          <w:szCs w:val="28"/>
          <w:lang w:val="en-GB"/>
        </w:rPr>
        <w:t xml:space="preserve"> irregularit</w:t>
      </w:r>
      <w:r w:rsidR="00516FCA" w:rsidRPr="000E2B31">
        <w:rPr>
          <w:rFonts w:ascii="Times New Roman" w:hAnsi="Times New Roman" w:cs="Times New Roman"/>
          <w:sz w:val="28"/>
          <w:szCs w:val="28"/>
          <w:lang w:val="en-GB"/>
        </w:rPr>
        <w:t>y</w:t>
      </w:r>
      <w:r w:rsidR="00AB795F" w:rsidRPr="000E2B31">
        <w:rPr>
          <w:rFonts w:ascii="Times New Roman" w:hAnsi="Times New Roman" w:cs="Times New Roman"/>
          <w:sz w:val="28"/>
          <w:szCs w:val="28"/>
          <w:lang w:val="en-GB"/>
        </w:rPr>
        <w:t xml:space="preserve"> is that the condition</w:t>
      </w:r>
      <w:r w:rsidR="00516FCA" w:rsidRPr="000E2B31">
        <w:rPr>
          <w:rFonts w:ascii="Times New Roman" w:hAnsi="Times New Roman" w:cs="Times New Roman"/>
          <w:sz w:val="28"/>
          <w:szCs w:val="28"/>
          <w:lang w:val="en-GB"/>
        </w:rPr>
        <w:t>s with regard to the list of returnable documents</w:t>
      </w:r>
      <w:r w:rsidR="00AB795F" w:rsidRPr="000E2B31">
        <w:rPr>
          <w:rFonts w:ascii="Times New Roman" w:hAnsi="Times New Roman" w:cs="Times New Roman"/>
          <w:sz w:val="28"/>
          <w:szCs w:val="28"/>
          <w:lang w:val="en-GB"/>
        </w:rPr>
        <w:t xml:space="preserve"> required mandatory completion of the sectional summary pages and the final summary page</w:t>
      </w:r>
      <w:r w:rsidR="00516FCA" w:rsidRPr="000E2B31">
        <w:rPr>
          <w:rFonts w:ascii="Times New Roman" w:hAnsi="Times New Roman" w:cs="Times New Roman"/>
          <w:sz w:val="28"/>
          <w:szCs w:val="28"/>
          <w:lang w:val="en-GB"/>
        </w:rPr>
        <w:t xml:space="preserve"> and, moreover, t</w:t>
      </w:r>
      <w:r w:rsidR="001E3443" w:rsidRPr="000E2B31">
        <w:rPr>
          <w:rFonts w:ascii="Times New Roman" w:hAnsi="Times New Roman" w:cs="Times New Roman"/>
          <w:sz w:val="28"/>
          <w:szCs w:val="28"/>
          <w:lang w:val="en-GB"/>
        </w:rPr>
        <w:t xml:space="preserve">he BEC had held some bidders strictly </w:t>
      </w:r>
      <w:r w:rsidR="00516FCA" w:rsidRPr="000E2B31">
        <w:rPr>
          <w:rFonts w:ascii="Times New Roman" w:hAnsi="Times New Roman" w:cs="Times New Roman"/>
          <w:sz w:val="28"/>
          <w:szCs w:val="28"/>
          <w:lang w:val="en-GB"/>
        </w:rPr>
        <w:t>thereto</w:t>
      </w:r>
      <w:r w:rsidR="001E3443" w:rsidRPr="000E2B31">
        <w:rPr>
          <w:rFonts w:ascii="Times New Roman" w:hAnsi="Times New Roman" w:cs="Times New Roman"/>
          <w:sz w:val="28"/>
          <w:szCs w:val="28"/>
          <w:lang w:val="en-GB"/>
        </w:rPr>
        <w:t xml:space="preserve"> </w:t>
      </w:r>
      <w:r w:rsidR="00E13A98" w:rsidRPr="000E2B31">
        <w:rPr>
          <w:rFonts w:ascii="Times New Roman" w:hAnsi="Times New Roman" w:cs="Times New Roman"/>
          <w:sz w:val="28"/>
          <w:szCs w:val="28"/>
          <w:lang w:val="en-GB"/>
        </w:rPr>
        <w:t xml:space="preserve">by disqualifying them in the early stage of </w:t>
      </w:r>
      <w:r w:rsidR="00516FCA" w:rsidRPr="000E2B31">
        <w:rPr>
          <w:rFonts w:ascii="Times New Roman" w:hAnsi="Times New Roman" w:cs="Times New Roman"/>
          <w:sz w:val="28"/>
          <w:szCs w:val="28"/>
          <w:lang w:val="en-GB"/>
        </w:rPr>
        <w:t xml:space="preserve">pre-qualification </w:t>
      </w:r>
      <w:r w:rsidR="001E3443" w:rsidRPr="000E2B31">
        <w:rPr>
          <w:rFonts w:ascii="Times New Roman" w:hAnsi="Times New Roman" w:cs="Times New Roman"/>
          <w:sz w:val="28"/>
          <w:szCs w:val="28"/>
          <w:lang w:val="en-GB"/>
        </w:rPr>
        <w:t>(underscoring the materiality</w:t>
      </w:r>
      <w:r w:rsidR="00E13A98" w:rsidRPr="000E2B31">
        <w:rPr>
          <w:rFonts w:ascii="Times New Roman" w:hAnsi="Times New Roman" w:cs="Times New Roman"/>
          <w:sz w:val="28"/>
          <w:szCs w:val="28"/>
          <w:lang w:val="en-GB"/>
        </w:rPr>
        <w:t xml:space="preserve"> of these conditions</w:t>
      </w:r>
      <w:r w:rsidR="00516FCA" w:rsidRPr="000E2B31">
        <w:rPr>
          <w:rFonts w:ascii="Times New Roman" w:hAnsi="Times New Roman" w:cs="Times New Roman"/>
          <w:sz w:val="28"/>
          <w:szCs w:val="28"/>
          <w:lang w:val="en-GB"/>
        </w:rPr>
        <w:t xml:space="preserve"> certainly as it pertained to them</w:t>
      </w:r>
      <w:r w:rsidR="00E13A98" w:rsidRPr="000E2B31">
        <w:rPr>
          <w:rFonts w:ascii="Times New Roman" w:hAnsi="Times New Roman" w:cs="Times New Roman"/>
          <w:sz w:val="28"/>
          <w:szCs w:val="28"/>
          <w:lang w:val="en-GB"/>
        </w:rPr>
        <w:t>) yet</w:t>
      </w:r>
      <w:r w:rsidR="001E3443" w:rsidRPr="000E2B31">
        <w:rPr>
          <w:rFonts w:ascii="Times New Roman" w:hAnsi="Times New Roman" w:cs="Times New Roman"/>
          <w:sz w:val="28"/>
          <w:szCs w:val="28"/>
          <w:lang w:val="en-GB"/>
        </w:rPr>
        <w:t xml:space="preserve"> had given the</w:t>
      </w:r>
      <w:r w:rsidR="00AB795F" w:rsidRPr="000E2B31">
        <w:rPr>
          <w:rFonts w:ascii="Times New Roman" w:hAnsi="Times New Roman" w:cs="Times New Roman"/>
          <w:sz w:val="28"/>
          <w:szCs w:val="28"/>
          <w:lang w:val="en-GB"/>
        </w:rPr>
        <w:t xml:space="preserve"> </w:t>
      </w:r>
      <w:r w:rsidR="001E3443" w:rsidRPr="000E2B31">
        <w:rPr>
          <w:rFonts w:ascii="Times New Roman" w:hAnsi="Times New Roman" w:cs="Times New Roman"/>
          <w:sz w:val="28"/>
          <w:szCs w:val="28"/>
          <w:lang w:val="en-GB"/>
        </w:rPr>
        <w:t xml:space="preserve">second respondent a </w:t>
      </w:r>
      <w:r w:rsidR="00AB795F" w:rsidRPr="000E2B31">
        <w:rPr>
          <w:rFonts w:ascii="Times New Roman" w:hAnsi="Times New Roman" w:cs="Times New Roman"/>
          <w:sz w:val="28"/>
          <w:szCs w:val="28"/>
          <w:lang w:val="en-GB"/>
        </w:rPr>
        <w:t xml:space="preserve">free pass by condoning its </w:t>
      </w:r>
      <w:r w:rsidR="001E3443" w:rsidRPr="000E2B31">
        <w:rPr>
          <w:rFonts w:ascii="Times New Roman" w:hAnsi="Times New Roman" w:cs="Times New Roman"/>
          <w:sz w:val="28"/>
          <w:szCs w:val="28"/>
          <w:lang w:val="en-GB"/>
        </w:rPr>
        <w:t>noncompliance</w:t>
      </w:r>
      <w:r w:rsidR="00B42832" w:rsidRPr="000E2B31">
        <w:rPr>
          <w:rFonts w:ascii="Times New Roman" w:hAnsi="Times New Roman" w:cs="Times New Roman"/>
          <w:sz w:val="28"/>
          <w:szCs w:val="28"/>
          <w:lang w:val="en-GB"/>
        </w:rPr>
        <w:t xml:space="preserve"> for no special reason</w:t>
      </w:r>
      <w:r w:rsidR="00AB795F" w:rsidRPr="000E2B31">
        <w:rPr>
          <w:rFonts w:ascii="Times New Roman" w:hAnsi="Times New Roman" w:cs="Times New Roman"/>
          <w:sz w:val="28"/>
          <w:szCs w:val="28"/>
          <w:lang w:val="en-GB"/>
        </w:rPr>
        <w:t>. This in the first respondent</w:t>
      </w:r>
      <w:r w:rsidR="00B0766B" w:rsidRPr="000E2B31">
        <w:rPr>
          <w:rFonts w:ascii="Times New Roman" w:hAnsi="Times New Roman" w:cs="Times New Roman"/>
          <w:sz w:val="28"/>
          <w:szCs w:val="28"/>
          <w:lang w:val="en-GB"/>
        </w:rPr>
        <w:t>’</w:t>
      </w:r>
      <w:r w:rsidR="00AB795F" w:rsidRPr="000E2B31">
        <w:rPr>
          <w:rFonts w:ascii="Times New Roman" w:hAnsi="Times New Roman" w:cs="Times New Roman"/>
          <w:sz w:val="28"/>
          <w:szCs w:val="28"/>
          <w:lang w:val="en-GB"/>
        </w:rPr>
        <w:t xml:space="preserve">s view constituted a further ground for the decision awarding the bid to the second respondent to be </w:t>
      </w:r>
      <w:r w:rsidR="001E3443" w:rsidRPr="000E2B31">
        <w:rPr>
          <w:rFonts w:ascii="Times New Roman" w:hAnsi="Times New Roman" w:cs="Times New Roman"/>
          <w:sz w:val="28"/>
          <w:szCs w:val="28"/>
          <w:lang w:val="en-GB"/>
        </w:rPr>
        <w:t xml:space="preserve">declared unlawful and </w:t>
      </w:r>
      <w:r w:rsidR="00516FCA" w:rsidRPr="000E2B31">
        <w:rPr>
          <w:rFonts w:ascii="Times New Roman" w:hAnsi="Times New Roman" w:cs="Times New Roman"/>
          <w:sz w:val="28"/>
          <w:szCs w:val="28"/>
          <w:lang w:val="en-GB"/>
        </w:rPr>
        <w:t>set</w:t>
      </w:r>
      <w:r w:rsidR="00AB795F" w:rsidRPr="000E2B31">
        <w:rPr>
          <w:rFonts w:ascii="Times New Roman" w:hAnsi="Times New Roman" w:cs="Times New Roman"/>
          <w:sz w:val="28"/>
          <w:szCs w:val="28"/>
          <w:lang w:val="en-GB"/>
        </w:rPr>
        <w:t xml:space="preserve"> aside.</w:t>
      </w:r>
    </w:p>
    <w:p w14:paraId="0E2B1016" w14:textId="77777777" w:rsidR="00AB795F" w:rsidRPr="00AB795F" w:rsidRDefault="00AB795F" w:rsidP="00AB795F">
      <w:pPr>
        <w:pStyle w:val="ListParagraph"/>
        <w:rPr>
          <w:rFonts w:ascii="Times New Roman" w:hAnsi="Times New Roman" w:cs="Times New Roman"/>
          <w:sz w:val="28"/>
          <w:szCs w:val="28"/>
          <w:lang w:val="en-US"/>
        </w:rPr>
      </w:pPr>
    </w:p>
    <w:p w14:paraId="3BF29AC7" w14:textId="286205FE" w:rsidR="00B63179" w:rsidRPr="000E2B31" w:rsidRDefault="000E2B31" w:rsidP="000E2B31">
      <w:pPr>
        <w:tabs>
          <w:tab w:val="left" w:pos="709"/>
        </w:tabs>
        <w:spacing w:before="0" w:beforeAutospacing="0"/>
        <w:jc w:val="both"/>
        <w:rPr>
          <w:rFonts w:ascii="Times New Roman" w:hAnsi="Times New Roman" w:cs="Times New Roman"/>
          <w:sz w:val="24"/>
          <w:szCs w:val="24"/>
          <w:lang w:val="en-US"/>
        </w:rPr>
      </w:pPr>
      <w:r w:rsidRPr="007A48A2">
        <w:rPr>
          <w:rFonts w:ascii="Times New Roman" w:hAnsi="Times New Roman" w:cs="Times New Roman"/>
          <w:sz w:val="28"/>
          <w:szCs w:val="28"/>
          <w:lang w:val="en-US"/>
        </w:rPr>
        <w:t>[44]</w:t>
      </w:r>
      <w:r w:rsidRPr="007A48A2">
        <w:rPr>
          <w:rFonts w:ascii="Times New Roman" w:hAnsi="Times New Roman" w:cs="Times New Roman"/>
          <w:sz w:val="28"/>
          <w:szCs w:val="28"/>
          <w:lang w:val="en-US"/>
        </w:rPr>
        <w:tab/>
      </w:r>
      <w:r w:rsidR="00330FAE" w:rsidRPr="000E2B31">
        <w:rPr>
          <w:rFonts w:ascii="Times New Roman" w:hAnsi="Times New Roman" w:cs="Times New Roman"/>
          <w:sz w:val="28"/>
          <w:szCs w:val="28"/>
          <w:lang w:val="en-US"/>
        </w:rPr>
        <w:t xml:space="preserve"> </w:t>
      </w:r>
      <w:r w:rsidR="00714E06" w:rsidRPr="000E2B31">
        <w:rPr>
          <w:rFonts w:ascii="Times New Roman" w:hAnsi="Times New Roman" w:cs="Times New Roman"/>
          <w:sz w:val="28"/>
          <w:szCs w:val="28"/>
          <w:lang w:val="en-US"/>
        </w:rPr>
        <w:t>T</w:t>
      </w:r>
      <w:r w:rsidR="00330FAE" w:rsidRPr="000E2B31">
        <w:rPr>
          <w:rFonts w:ascii="Times New Roman" w:hAnsi="Times New Roman" w:cs="Times New Roman"/>
          <w:sz w:val="28"/>
          <w:szCs w:val="28"/>
          <w:lang w:val="en-US"/>
        </w:rPr>
        <w:t>he</w:t>
      </w:r>
      <w:r w:rsidR="00AE602B" w:rsidRPr="000E2B31">
        <w:rPr>
          <w:rFonts w:ascii="Times New Roman" w:hAnsi="Times New Roman" w:cs="Times New Roman"/>
          <w:sz w:val="28"/>
          <w:szCs w:val="28"/>
          <w:lang w:val="en-US"/>
        </w:rPr>
        <w:t xml:space="preserve"> prejudice to it caused by the appellant’s failure to have eliminated the second respondent at this point meant that it had </w:t>
      </w:r>
      <w:r w:rsidR="00516FCA" w:rsidRPr="000E2B31">
        <w:rPr>
          <w:rFonts w:ascii="Times New Roman" w:hAnsi="Times New Roman" w:cs="Times New Roman"/>
          <w:sz w:val="28"/>
          <w:szCs w:val="28"/>
          <w:lang w:val="en-US"/>
        </w:rPr>
        <w:t xml:space="preserve">unfairly had </w:t>
      </w:r>
      <w:r w:rsidR="00AE602B" w:rsidRPr="000E2B31">
        <w:rPr>
          <w:rFonts w:ascii="Times New Roman" w:hAnsi="Times New Roman" w:cs="Times New Roman"/>
          <w:sz w:val="28"/>
          <w:szCs w:val="28"/>
          <w:lang w:val="en-US"/>
        </w:rPr>
        <w:t xml:space="preserve">to contend with it as a competitor in the </w:t>
      </w:r>
      <w:r w:rsidR="00C216E8" w:rsidRPr="000E2B31">
        <w:rPr>
          <w:rFonts w:ascii="Times New Roman" w:hAnsi="Times New Roman" w:cs="Times New Roman"/>
          <w:sz w:val="28"/>
          <w:szCs w:val="28"/>
          <w:lang w:val="en-US"/>
        </w:rPr>
        <w:t xml:space="preserve">final </w:t>
      </w:r>
      <w:r w:rsidR="00AE602B" w:rsidRPr="000E2B31">
        <w:rPr>
          <w:rFonts w:ascii="Times New Roman" w:hAnsi="Times New Roman" w:cs="Times New Roman"/>
          <w:sz w:val="28"/>
          <w:szCs w:val="28"/>
          <w:lang w:val="en-US"/>
        </w:rPr>
        <w:t>evaluation round</w:t>
      </w:r>
      <w:r w:rsidR="001D73FF" w:rsidRPr="000E2B31">
        <w:rPr>
          <w:rFonts w:ascii="Times New Roman" w:hAnsi="Times New Roman" w:cs="Times New Roman"/>
          <w:sz w:val="28"/>
          <w:szCs w:val="28"/>
          <w:lang w:val="en-US"/>
        </w:rPr>
        <w:t xml:space="preserve"> and that the bid had as a fact been awarded to the latter as if its tender were responsive</w:t>
      </w:r>
      <w:r w:rsidR="00AE602B" w:rsidRPr="000E2B31">
        <w:rPr>
          <w:rFonts w:ascii="Times New Roman" w:hAnsi="Times New Roman" w:cs="Times New Roman"/>
          <w:sz w:val="28"/>
          <w:szCs w:val="28"/>
          <w:lang w:val="en-US"/>
        </w:rPr>
        <w:t xml:space="preserve">. </w:t>
      </w:r>
      <w:r w:rsidR="00516FCA" w:rsidRPr="000E2B31">
        <w:rPr>
          <w:rFonts w:ascii="Times New Roman" w:hAnsi="Times New Roman" w:cs="Times New Roman"/>
          <w:sz w:val="28"/>
          <w:szCs w:val="28"/>
          <w:lang w:val="en-US"/>
        </w:rPr>
        <w:t xml:space="preserve"> Additionally,</w:t>
      </w:r>
      <w:r w:rsidR="00516FCA" w:rsidRPr="000E2B31">
        <w:rPr>
          <w:rFonts w:ascii="Times New Roman" w:hAnsi="Times New Roman" w:cs="Times New Roman"/>
          <w:sz w:val="24"/>
          <w:szCs w:val="24"/>
          <w:lang w:val="en-US"/>
        </w:rPr>
        <w:t xml:space="preserve"> </w:t>
      </w:r>
      <w:r w:rsidR="00516FCA" w:rsidRPr="000E2B31">
        <w:rPr>
          <w:rFonts w:ascii="Times New Roman" w:hAnsi="Times New Roman" w:cs="Times New Roman"/>
          <w:sz w:val="28"/>
          <w:szCs w:val="28"/>
          <w:lang w:val="en-US"/>
        </w:rPr>
        <w:t>on the premise</w:t>
      </w:r>
      <w:r w:rsidR="00330FAE" w:rsidRPr="000E2B31">
        <w:rPr>
          <w:rFonts w:ascii="Times New Roman" w:hAnsi="Times New Roman" w:cs="Times New Roman"/>
          <w:sz w:val="28"/>
          <w:szCs w:val="28"/>
          <w:lang w:val="en-US"/>
        </w:rPr>
        <w:t xml:space="preserve"> that the third respondent’s bid had </w:t>
      </w:r>
      <w:r w:rsidR="00C216E8" w:rsidRPr="000E2B31">
        <w:rPr>
          <w:rFonts w:ascii="Times New Roman" w:hAnsi="Times New Roman" w:cs="Times New Roman"/>
          <w:sz w:val="28"/>
          <w:szCs w:val="28"/>
          <w:lang w:val="en-US"/>
        </w:rPr>
        <w:t xml:space="preserve">also </w:t>
      </w:r>
      <w:r w:rsidR="00330FAE" w:rsidRPr="000E2B31">
        <w:rPr>
          <w:rFonts w:ascii="Times New Roman" w:hAnsi="Times New Roman" w:cs="Times New Roman"/>
          <w:sz w:val="28"/>
          <w:szCs w:val="28"/>
          <w:lang w:val="en-US"/>
        </w:rPr>
        <w:t>as a fact been disqualified</w:t>
      </w:r>
      <w:r w:rsidR="00C93576" w:rsidRPr="000E2B31">
        <w:rPr>
          <w:rFonts w:ascii="Times New Roman" w:hAnsi="Times New Roman" w:cs="Times New Roman"/>
          <w:sz w:val="28"/>
          <w:szCs w:val="28"/>
          <w:lang w:val="en-US"/>
        </w:rPr>
        <w:t xml:space="preserve"> </w:t>
      </w:r>
      <w:r w:rsidR="00714E06" w:rsidRPr="000E2B31">
        <w:rPr>
          <w:rFonts w:ascii="Times New Roman" w:hAnsi="Times New Roman" w:cs="Times New Roman"/>
          <w:sz w:val="28"/>
          <w:szCs w:val="28"/>
          <w:lang w:val="en-US"/>
        </w:rPr>
        <w:t xml:space="preserve">in </w:t>
      </w:r>
      <w:r w:rsidR="00C216E8" w:rsidRPr="000E2B31">
        <w:rPr>
          <w:rFonts w:ascii="Times New Roman" w:hAnsi="Times New Roman" w:cs="Times New Roman"/>
          <w:sz w:val="28"/>
          <w:szCs w:val="28"/>
          <w:lang w:val="en-US"/>
        </w:rPr>
        <w:t xml:space="preserve">the </w:t>
      </w:r>
      <w:r w:rsidR="00AE602B" w:rsidRPr="000E2B31">
        <w:rPr>
          <w:rFonts w:ascii="Times New Roman" w:hAnsi="Times New Roman" w:cs="Times New Roman"/>
          <w:sz w:val="28"/>
          <w:szCs w:val="28"/>
          <w:lang w:val="en-US"/>
        </w:rPr>
        <w:t>final</w:t>
      </w:r>
      <w:r w:rsidR="00714E06" w:rsidRPr="000E2B31">
        <w:rPr>
          <w:rFonts w:ascii="Times New Roman" w:hAnsi="Times New Roman" w:cs="Times New Roman"/>
          <w:sz w:val="28"/>
          <w:szCs w:val="28"/>
          <w:lang w:val="en-US"/>
        </w:rPr>
        <w:t xml:space="preserve"> phase</w:t>
      </w:r>
      <w:r w:rsidR="00C216E8" w:rsidRPr="000E2B31">
        <w:rPr>
          <w:rFonts w:ascii="Times New Roman" w:hAnsi="Times New Roman" w:cs="Times New Roman"/>
          <w:sz w:val="28"/>
          <w:szCs w:val="28"/>
          <w:lang w:val="en-US"/>
        </w:rPr>
        <w:t xml:space="preserve"> (or on the further projected premise </w:t>
      </w:r>
      <w:r w:rsidR="00A76486" w:rsidRPr="000E2B31">
        <w:rPr>
          <w:rFonts w:ascii="Times New Roman" w:hAnsi="Times New Roman" w:cs="Times New Roman"/>
          <w:sz w:val="28"/>
          <w:szCs w:val="28"/>
          <w:lang w:val="en-US"/>
        </w:rPr>
        <w:t xml:space="preserve">that it </w:t>
      </w:r>
      <w:r w:rsidR="00C216E8" w:rsidRPr="000E2B31">
        <w:rPr>
          <w:rFonts w:ascii="Times New Roman" w:hAnsi="Times New Roman" w:cs="Times New Roman"/>
          <w:sz w:val="28"/>
          <w:szCs w:val="28"/>
          <w:lang w:val="en-US"/>
        </w:rPr>
        <w:t>should have been disqualified earlier)</w:t>
      </w:r>
      <w:r w:rsidR="00330FAE" w:rsidRPr="000E2B31">
        <w:rPr>
          <w:rFonts w:ascii="Times New Roman" w:hAnsi="Times New Roman" w:cs="Times New Roman"/>
          <w:sz w:val="28"/>
          <w:szCs w:val="28"/>
          <w:lang w:val="en-US"/>
        </w:rPr>
        <w:t xml:space="preserve">, </w:t>
      </w:r>
      <w:r w:rsidR="00AE602B" w:rsidRPr="000E2B31">
        <w:rPr>
          <w:rFonts w:ascii="Times New Roman" w:hAnsi="Times New Roman" w:cs="Times New Roman"/>
          <w:sz w:val="28"/>
          <w:szCs w:val="28"/>
          <w:lang w:val="en-US"/>
        </w:rPr>
        <w:t xml:space="preserve">it pointed out that </w:t>
      </w:r>
      <w:r w:rsidR="00330FAE" w:rsidRPr="000E2B31">
        <w:rPr>
          <w:rFonts w:ascii="Times New Roman" w:hAnsi="Times New Roman" w:cs="Times New Roman"/>
          <w:sz w:val="28"/>
          <w:szCs w:val="28"/>
          <w:lang w:val="en-US"/>
        </w:rPr>
        <w:t xml:space="preserve">there </w:t>
      </w:r>
      <w:r w:rsidR="00C216E8" w:rsidRPr="000E2B31">
        <w:rPr>
          <w:rFonts w:ascii="Times New Roman" w:hAnsi="Times New Roman" w:cs="Times New Roman"/>
          <w:sz w:val="28"/>
          <w:szCs w:val="28"/>
          <w:lang w:val="en-US"/>
        </w:rPr>
        <w:t xml:space="preserve">ought </w:t>
      </w:r>
      <w:r w:rsidR="00AE602B" w:rsidRPr="000E2B31">
        <w:rPr>
          <w:rFonts w:ascii="Times New Roman" w:hAnsi="Times New Roman" w:cs="Times New Roman"/>
          <w:sz w:val="28"/>
          <w:szCs w:val="28"/>
          <w:lang w:val="en-US"/>
        </w:rPr>
        <w:t xml:space="preserve">in any event </w:t>
      </w:r>
      <w:r w:rsidR="00C216E8" w:rsidRPr="000E2B31">
        <w:rPr>
          <w:rFonts w:ascii="Times New Roman" w:hAnsi="Times New Roman" w:cs="Times New Roman"/>
          <w:sz w:val="28"/>
          <w:szCs w:val="28"/>
          <w:lang w:val="en-US"/>
        </w:rPr>
        <w:t xml:space="preserve">to </w:t>
      </w:r>
      <w:r w:rsidR="00330FAE" w:rsidRPr="000E2B31">
        <w:rPr>
          <w:rFonts w:ascii="Times New Roman" w:hAnsi="Times New Roman" w:cs="Times New Roman"/>
          <w:sz w:val="28"/>
          <w:szCs w:val="28"/>
          <w:lang w:val="en-US"/>
        </w:rPr>
        <w:t>have been no call for the appellant to have had any resort to the objective criteria contemplated in regulation 11</w:t>
      </w:r>
      <w:r w:rsidR="003D6101" w:rsidRPr="000E2B31">
        <w:rPr>
          <w:rFonts w:ascii="Times New Roman" w:hAnsi="Times New Roman" w:cs="Times New Roman"/>
          <w:sz w:val="28"/>
          <w:szCs w:val="28"/>
          <w:lang w:val="en-US"/>
        </w:rPr>
        <w:t>,</w:t>
      </w:r>
      <w:r w:rsidR="00330FAE" w:rsidRPr="000E2B31">
        <w:rPr>
          <w:rFonts w:ascii="Times New Roman" w:hAnsi="Times New Roman" w:cs="Times New Roman"/>
          <w:sz w:val="28"/>
          <w:szCs w:val="28"/>
          <w:lang w:val="en-US"/>
        </w:rPr>
        <w:t xml:space="preserve"> as such criteria applies only where there are </w:t>
      </w:r>
      <w:r w:rsidR="009E465B" w:rsidRPr="000E2B31">
        <w:rPr>
          <w:rFonts w:ascii="Times New Roman" w:hAnsi="Times New Roman" w:cs="Times New Roman"/>
          <w:sz w:val="28"/>
          <w:szCs w:val="28"/>
          <w:lang w:val="en-US"/>
        </w:rPr>
        <w:t xml:space="preserve">at least two </w:t>
      </w:r>
      <w:r w:rsidR="007F5706" w:rsidRPr="000E2B31">
        <w:rPr>
          <w:rFonts w:ascii="Times New Roman" w:hAnsi="Times New Roman" w:cs="Times New Roman"/>
          <w:sz w:val="28"/>
          <w:szCs w:val="28"/>
          <w:lang w:val="en-US"/>
        </w:rPr>
        <w:t xml:space="preserve">(valid) </w:t>
      </w:r>
      <w:r w:rsidR="00330FAE" w:rsidRPr="000E2B31">
        <w:rPr>
          <w:rFonts w:ascii="Times New Roman" w:hAnsi="Times New Roman" w:cs="Times New Roman"/>
          <w:sz w:val="28"/>
          <w:szCs w:val="28"/>
          <w:lang w:val="en-US"/>
        </w:rPr>
        <w:t>competing bids</w:t>
      </w:r>
      <w:r w:rsidR="00D1140F" w:rsidRPr="000E2B31">
        <w:rPr>
          <w:rFonts w:ascii="Times New Roman" w:hAnsi="Times New Roman" w:cs="Times New Roman"/>
          <w:sz w:val="28"/>
          <w:szCs w:val="28"/>
          <w:lang w:val="en-US"/>
        </w:rPr>
        <w:t xml:space="preserve"> in contention at this juncture</w:t>
      </w:r>
      <w:r w:rsidR="00330FAE" w:rsidRPr="000E2B31">
        <w:rPr>
          <w:rFonts w:ascii="Times New Roman" w:hAnsi="Times New Roman" w:cs="Times New Roman"/>
          <w:sz w:val="28"/>
          <w:szCs w:val="28"/>
          <w:lang w:val="en-US"/>
        </w:rPr>
        <w:t xml:space="preserve">. Thus, so the contention went, </w:t>
      </w:r>
      <w:r w:rsidR="00C216E8" w:rsidRPr="000E2B31">
        <w:rPr>
          <w:rFonts w:ascii="Times New Roman" w:hAnsi="Times New Roman" w:cs="Times New Roman"/>
          <w:sz w:val="28"/>
          <w:szCs w:val="28"/>
          <w:lang w:val="en-US"/>
        </w:rPr>
        <w:t xml:space="preserve">if the process had been regular in respect of what the BEC was supposed to have found instead, </w:t>
      </w:r>
      <w:r w:rsidR="00330FAE" w:rsidRPr="000E2B31">
        <w:rPr>
          <w:rFonts w:ascii="Times New Roman" w:hAnsi="Times New Roman" w:cs="Times New Roman"/>
          <w:sz w:val="28"/>
          <w:szCs w:val="28"/>
          <w:lang w:val="en-US"/>
        </w:rPr>
        <w:t xml:space="preserve">the </w:t>
      </w:r>
      <w:r w:rsidR="00C216E8" w:rsidRPr="000E2B31">
        <w:rPr>
          <w:rFonts w:ascii="Times New Roman" w:hAnsi="Times New Roman" w:cs="Times New Roman"/>
          <w:sz w:val="28"/>
          <w:szCs w:val="28"/>
          <w:lang w:val="en-US"/>
        </w:rPr>
        <w:t xml:space="preserve">award of </w:t>
      </w:r>
      <w:r w:rsidR="0066047C" w:rsidRPr="000E2B31">
        <w:rPr>
          <w:rFonts w:ascii="Times New Roman" w:hAnsi="Times New Roman" w:cs="Times New Roman"/>
          <w:sz w:val="28"/>
          <w:szCs w:val="28"/>
          <w:lang w:val="en-US"/>
        </w:rPr>
        <w:t>the bid</w:t>
      </w:r>
      <w:r w:rsidR="00330FAE" w:rsidRPr="000E2B31">
        <w:rPr>
          <w:rFonts w:ascii="Times New Roman" w:hAnsi="Times New Roman" w:cs="Times New Roman"/>
          <w:sz w:val="28"/>
          <w:szCs w:val="28"/>
          <w:lang w:val="en-US"/>
        </w:rPr>
        <w:t xml:space="preserve"> </w:t>
      </w:r>
      <w:r w:rsidR="00C216E8" w:rsidRPr="000E2B31">
        <w:rPr>
          <w:rFonts w:ascii="Times New Roman" w:hAnsi="Times New Roman" w:cs="Times New Roman"/>
          <w:sz w:val="28"/>
          <w:szCs w:val="28"/>
          <w:lang w:val="en-US"/>
        </w:rPr>
        <w:t xml:space="preserve">to </w:t>
      </w:r>
      <w:r w:rsidR="0066047C" w:rsidRPr="000E2B31">
        <w:rPr>
          <w:rFonts w:ascii="Times New Roman" w:hAnsi="Times New Roman" w:cs="Times New Roman"/>
          <w:sz w:val="28"/>
          <w:szCs w:val="28"/>
          <w:lang w:val="en-US"/>
        </w:rPr>
        <w:t xml:space="preserve">the first respondent </w:t>
      </w:r>
      <w:r w:rsidR="00C216E8" w:rsidRPr="000E2B31">
        <w:rPr>
          <w:rFonts w:ascii="Times New Roman" w:hAnsi="Times New Roman" w:cs="Times New Roman"/>
          <w:sz w:val="28"/>
          <w:szCs w:val="28"/>
          <w:lang w:val="en-US"/>
        </w:rPr>
        <w:t>should have been a mere formality once it had achieved the functionality threshold.</w:t>
      </w:r>
      <w:r w:rsidR="00330FAE" w:rsidRPr="000E2B31">
        <w:rPr>
          <w:rFonts w:ascii="Times New Roman" w:hAnsi="Times New Roman" w:cs="Times New Roman"/>
          <w:sz w:val="28"/>
          <w:szCs w:val="28"/>
          <w:lang w:val="en-US"/>
        </w:rPr>
        <w:t xml:space="preserve"> </w:t>
      </w:r>
    </w:p>
    <w:p w14:paraId="49AC5C3E" w14:textId="77777777" w:rsidR="007A48A2" w:rsidRPr="007A48A2" w:rsidRDefault="007A48A2" w:rsidP="007A48A2">
      <w:pPr>
        <w:pStyle w:val="ListParagraph"/>
        <w:tabs>
          <w:tab w:val="left" w:pos="709"/>
        </w:tabs>
        <w:spacing w:before="0" w:beforeAutospacing="0"/>
        <w:ind w:left="0"/>
        <w:jc w:val="both"/>
        <w:rPr>
          <w:rFonts w:ascii="Times New Roman" w:hAnsi="Times New Roman" w:cs="Times New Roman"/>
          <w:sz w:val="24"/>
          <w:szCs w:val="24"/>
          <w:lang w:val="en-US"/>
        </w:rPr>
      </w:pPr>
    </w:p>
    <w:p w14:paraId="735363A0" w14:textId="744137D6" w:rsidR="00A94152" w:rsidRPr="000E2B31" w:rsidRDefault="000E2B31" w:rsidP="000E2B31">
      <w:pPr>
        <w:tabs>
          <w:tab w:val="left" w:pos="709"/>
        </w:tabs>
        <w:spacing w:before="0" w:beforeAutospacing="0"/>
        <w:jc w:val="both"/>
        <w:rPr>
          <w:rFonts w:ascii="Times New Roman" w:hAnsi="Times New Roman" w:cs="Times New Roman"/>
          <w:sz w:val="24"/>
          <w:szCs w:val="24"/>
          <w:lang w:val="en-US"/>
        </w:rPr>
      </w:pPr>
      <w:r w:rsidRPr="00A94152">
        <w:rPr>
          <w:rFonts w:ascii="Times New Roman" w:hAnsi="Times New Roman" w:cs="Times New Roman"/>
          <w:sz w:val="28"/>
          <w:szCs w:val="28"/>
          <w:lang w:val="en-US"/>
        </w:rPr>
        <w:t>[45]</w:t>
      </w:r>
      <w:r w:rsidRPr="00A94152">
        <w:rPr>
          <w:rFonts w:ascii="Times New Roman" w:hAnsi="Times New Roman" w:cs="Times New Roman"/>
          <w:sz w:val="28"/>
          <w:szCs w:val="28"/>
          <w:lang w:val="en-US"/>
        </w:rPr>
        <w:tab/>
      </w:r>
      <w:r w:rsidR="00AE602B" w:rsidRPr="000E2B31">
        <w:rPr>
          <w:rFonts w:ascii="Times New Roman" w:hAnsi="Times New Roman" w:cs="Times New Roman"/>
          <w:sz w:val="28"/>
          <w:szCs w:val="28"/>
          <w:lang w:val="en-US"/>
        </w:rPr>
        <w:t>The first respondent’s</w:t>
      </w:r>
      <w:r w:rsidR="00F577FF" w:rsidRPr="000E2B31">
        <w:rPr>
          <w:rFonts w:ascii="Times New Roman" w:hAnsi="Times New Roman" w:cs="Times New Roman"/>
          <w:sz w:val="28"/>
          <w:szCs w:val="28"/>
          <w:lang w:val="en-US"/>
        </w:rPr>
        <w:t xml:space="preserve"> </w:t>
      </w:r>
      <w:r w:rsidR="006E693A" w:rsidRPr="000E2B31">
        <w:rPr>
          <w:rFonts w:ascii="Times New Roman" w:hAnsi="Times New Roman" w:cs="Times New Roman"/>
          <w:sz w:val="28"/>
          <w:szCs w:val="28"/>
          <w:lang w:val="en-US"/>
        </w:rPr>
        <w:t>concern</w:t>
      </w:r>
      <w:r w:rsidR="00F577FF" w:rsidRPr="000E2B31">
        <w:rPr>
          <w:rFonts w:ascii="Times New Roman" w:hAnsi="Times New Roman" w:cs="Times New Roman"/>
          <w:sz w:val="28"/>
          <w:szCs w:val="28"/>
          <w:lang w:val="en-US"/>
        </w:rPr>
        <w:t xml:space="preserve"> with the third respondent is that it has </w:t>
      </w:r>
      <w:r w:rsidR="00330FAE" w:rsidRPr="000E2B31">
        <w:rPr>
          <w:rFonts w:ascii="Times New Roman" w:hAnsi="Times New Roman" w:cs="Times New Roman"/>
          <w:sz w:val="28"/>
          <w:szCs w:val="28"/>
          <w:lang w:val="en-US"/>
        </w:rPr>
        <w:t>a 6 GB CIDB grading limiting the value of the work that c</w:t>
      </w:r>
      <w:r w:rsidR="00405AD9" w:rsidRPr="000E2B31">
        <w:rPr>
          <w:rFonts w:ascii="Times New Roman" w:hAnsi="Times New Roman" w:cs="Times New Roman"/>
          <w:sz w:val="28"/>
          <w:szCs w:val="28"/>
          <w:lang w:val="en-US"/>
        </w:rPr>
        <w:t>ould</w:t>
      </w:r>
      <w:r w:rsidR="00330FAE" w:rsidRPr="000E2B31">
        <w:rPr>
          <w:rFonts w:ascii="Times New Roman" w:hAnsi="Times New Roman" w:cs="Times New Roman"/>
          <w:sz w:val="28"/>
          <w:szCs w:val="28"/>
          <w:lang w:val="en-US"/>
        </w:rPr>
        <w:t xml:space="preserve"> be completed by it up to</w:t>
      </w:r>
      <w:r w:rsidR="00405AD9" w:rsidRPr="000E2B31">
        <w:rPr>
          <w:rFonts w:ascii="Times New Roman" w:hAnsi="Times New Roman" w:cs="Times New Roman"/>
          <w:sz w:val="28"/>
          <w:szCs w:val="28"/>
          <w:lang w:val="en-US"/>
        </w:rPr>
        <w:t xml:space="preserve"> </w:t>
      </w:r>
      <w:r w:rsidR="00405AD9" w:rsidRPr="000E2B31">
        <w:rPr>
          <w:rFonts w:ascii="Times New Roman" w:hAnsi="Times New Roman" w:cs="Times New Roman"/>
          <w:sz w:val="28"/>
          <w:szCs w:val="28"/>
          <w:lang w:val="en-US"/>
        </w:rPr>
        <w:lastRenderedPageBreak/>
        <w:t>R20 000 000.00</w:t>
      </w:r>
      <w:r w:rsidR="00330FAE" w:rsidRPr="000E2B31">
        <w:rPr>
          <w:rFonts w:ascii="Times New Roman" w:hAnsi="Times New Roman" w:cs="Times New Roman"/>
          <w:sz w:val="28"/>
          <w:szCs w:val="28"/>
          <w:lang w:val="en-US"/>
        </w:rPr>
        <w:t>.</w:t>
      </w:r>
      <w:r w:rsidR="00714E06">
        <w:rPr>
          <w:rStyle w:val="FootnoteReference"/>
          <w:rFonts w:ascii="Times New Roman" w:hAnsi="Times New Roman" w:cs="Times New Roman"/>
          <w:sz w:val="28"/>
          <w:szCs w:val="28"/>
          <w:lang w:val="en-US"/>
        </w:rPr>
        <w:footnoteReference w:id="19"/>
      </w:r>
      <w:r w:rsidR="00330FAE" w:rsidRPr="000E2B31">
        <w:rPr>
          <w:rFonts w:ascii="Times New Roman" w:hAnsi="Times New Roman" w:cs="Times New Roman"/>
          <w:sz w:val="28"/>
          <w:szCs w:val="28"/>
          <w:lang w:val="en-US"/>
        </w:rPr>
        <w:t xml:space="preserve"> Although the third respondent </w:t>
      </w:r>
      <w:r w:rsidR="00405AD9" w:rsidRPr="000E2B31">
        <w:rPr>
          <w:rFonts w:ascii="Times New Roman" w:hAnsi="Times New Roman" w:cs="Times New Roman"/>
          <w:sz w:val="28"/>
          <w:szCs w:val="28"/>
          <w:lang w:val="en-US"/>
        </w:rPr>
        <w:t>wa</w:t>
      </w:r>
      <w:r w:rsidR="00330FAE" w:rsidRPr="000E2B31">
        <w:rPr>
          <w:rFonts w:ascii="Times New Roman" w:hAnsi="Times New Roman" w:cs="Times New Roman"/>
          <w:sz w:val="28"/>
          <w:szCs w:val="28"/>
          <w:lang w:val="en-US"/>
        </w:rPr>
        <w:t>s registered as a potentially emerging enterprise which allow</w:t>
      </w:r>
      <w:r w:rsidR="00405AD9" w:rsidRPr="000E2B31">
        <w:rPr>
          <w:rFonts w:ascii="Times New Roman" w:hAnsi="Times New Roman" w:cs="Times New Roman"/>
          <w:sz w:val="28"/>
          <w:szCs w:val="28"/>
          <w:lang w:val="en-US"/>
        </w:rPr>
        <w:t>ed</w:t>
      </w:r>
      <w:r w:rsidR="00330FAE" w:rsidRPr="000E2B31">
        <w:rPr>
          <w:rFonts w:ascii="Times New Roman" w:hAnsi="Times New Roman" w:cs="Times New Roman"/>
          <w:sz w:val="28"/>
          <w:szCs w:val="28"/>
          <w:lang w:val="en-US"/>
        </w:rPr>
        <w:t xml:space="preserve"> it to submit bids for work in a category higher than it </w:t>
      </w:r>
      <w:r w:rsidR="00F64252" w:rsidRPr="000E2B31">
        <w:rPr>
          <w:rFonts w:ascii="Times New Roman" w:hAnsi="Times New Roman" w:cs="Times New Roman"/>
          <w:sz w:val="28"/>
          <w:szCs w:val="28"/>
          <w:lang w:val="en-US"/>
        </w:rPr>
        <w:t>was</w:t>
      </w:r>
      <w:r w:rsidR="00330FAE" w:rsidRPr="000E2B31">
        <w:rPr>
          <w:rFonts w:ascii="Times New Roman" w:hAnsi="Times New Roman" w:cs="Times New Roman"/>
          <w:sz w:val="28"/>
          <w:szCs w:val="28"/>
          <w:lang w:val="en-US"/>
        </w:rPr>
        <w:t xml:space="preserve"> registered for</w:t>
      </w:r>
      <w:r w:rsidR="00F64252" w:rsidRPr="000E2B31">
        <w:rPr>
          <w:rFonts w:ascii="Times New Roman" w:hAnsi="Times New Roman" w:cs="Times New Roman"/>
          <w:sz w:val="28"/>
          <w:szCs w:val="28"/>
          <w:lang w:val="en-US"/>
        </w:rPr>
        <w:t xml:space="preserve"> at the time</w:t>
      </w:r>
      <w:r w:rsidR="00330FAE" w:rsidRPr="000E2B31">
        <w:rPr>
          <w:rFonts w:ascii="Times New Roman" w:hAnsi="Times New Roman" w:cs="Times New Roman"/>
          <w:sz w:val="28"/>
          <w:szCs w:val="28"/>
          <w:lang w:val="en-US"/>
        </w:rPr>
        <w:t xml:space="preserve">, in this instance 7 GB, </w:t>
      </w:r>
      <w:r w:rsidR="006E693A" w:rsidRPr="000E2B31">
        <w:rPr>
          <w:rFonts w:ascii="Times New Roman" w:hAnsi="Times New Roman" w:cs="Times New Roman"/>
          <w:sz w:val="28"/>
          <w:szCs w:val="28"/>
          <w:lang w:val="en-US"/>
        </w:rPr>
        <w:t xml:space="preserve">it clarified that </w:t>
      </w:r>
      <w:r w:rsidR="00330FAE" w:rsidRPr="000E2B31">
        <w:rPr>
          <w:rFonts w:ascii="Times New Roman" w:hAnsi="Times New Roman" w:cs="Times New Roman"/>
          <w:sz w:val="28"/>
          <w:szCs w:val="28"/>
          <w:lang w:val="en-US"/>
        </w:rPr>
        <w:t xml:space="preserve">this </w:t>
      </w:r>
      <w:r w:rsidR="006E693A" w:rsidRPr="000E2B31">
        <w:rPr>
          <w:rFonts w:ascii="Times New Roman" w:hAnsi="Times New Roman" w:cs="Times New Roman"/>
          <w:sz w:val="28"/>
          <w:szCs w:val="28"/>
          <w:lang w:val="en-US"/>
        </w:rPr>
        <w:t>wa</w:t>
      </w:r>
      <w:r w:rsidR="00330FAE" w:rsidRPr="000E2B31">
        <w:rPr>
          <w:rFonts w:ascii="Times New Roman" w:hAnsi="Times New Roman" w:cs="Times New Roman"/>
          <w:sz w:val="28"/>
          <w:szCs w:val="28"/>
          <w:lang w:val="en-US"/>
        </w:rPr>
        <w:t>s only permissible when certain preconditions are satisfied</w:t>
      </w:r>
      <w:r w:rsidR="006E693A" w:rsidRPr="000E2B31">
        <w:rPr>
          <w:rFonts w:ascii="Times New Roman" w:hAnsi="Times New Roman" w:cs="Times New Roman"/>
          <w:sz w:val="28"/>
          <w:szCs w:val="28"/>
          <w:lang w:val="en-US"/>
        </w:rPr>
        <w:t xml:space="preserve"> which were certainly</w:t>
      </w:r>
      <w:r w:rsidR="00330FAE" w:rsidRPr="000E2B31">
        <w:rPr>
          <w:rFonts w:ascii="Times New Roman" w:hAnsi="Times New Roman" w:cs="Times New Roman"/>
          <w:sz w:val="28"/>
          <w:szCs w:val="28"/>
          <w:lang w:val="en-US"/>
        </w:rPr>
        <w:t xml:space="preserve"> not met</w:t>
      </w:r>
      <w:r w:rsidR="006A4162" w:rsidRPr="000E2B31">
        <w:rPr>
          <w:rFonts w:ascii="Times New Roman" w:hAnsi="Times New Roman" w:cs="Times New Roman"/>
          <w:sz w:val="28"/>
          <w:szCs w:val="28"/>
          <w:lang w:val="en-US"/>
        </w:rPr>
        <w:t xml:space="preserve"> as far as it was concerned</w:t>
      </w:r>
      <w:r w:rsidR="00330FAE" w:rsidRPr="000E2B31">
        <w:rPr>
          <w:rFonts w:ascii="Times New Roman" w:hAnsi="Times New Roman" w:cs="Times New Roman"/>
          <w:sz w:val="28"/>
          <w:szCs w:val="28"/>
          <w:lang w:val="en-US"/>
        </w:rPr>
        <w:t xml:space="preserve">. </w:t>
      </w:r>
      <w:r w:rsidR="00A94152" w:rsidRPr="000E2B31">
        <w:rPr>
          <w:rFonts w:ascii="Times New Roman" w:hAnsi="Times New Roman" w:cs="Times New Roman"/>
          <w:sz w:val="28"/>
          <w:szCs w:val="28"/>
          <w:lang w:val="en-GB"/>
        </w:rPr>
        <w:t>The decision to accept its bid was thus reviewable on the basis that it was not authorised by Regulation 25 (8),</w:t>
      </w:r>
      <w:r w:rsidR="00A94152">
        <w:rPr>
          <w:rStyle w:val="FootnoteReference"/>
          <w:rFonts w:ascii="Times New Roman" w:hAnsi="Times New Roman" w:cs="Times New Roman"/>
          <w:sz w:val="28"/>
          <w:szCs w:val="28"/>
          <w:lang w:val="en-GB"/>
        </w:rPr>
        <w:footnoteReference w:id="20"/>
      </w:r>
      <w:r w:rsidR="00A94152" w:rsidRPr="000E2B31">
        <w:rPr>
          <w:rFonts w:ascii="Times New Roman" w:hAnsi="Times New Roman" w:cs="Times New Roman"/>
          <w:sz w:val="28"/>
          <w:szCs w:val="28"/>
          <w:lang w:val="en-GB"/>
        </w:rPr>
        <w:t xml:space="preserve"> or </w:t>
      </w:r>
      <w:r w:rsidR="0066047C" w:rsidRPr="000E2B31">
        <w:rPr>
          <w:rFonts w:ascii="Times New Roman" w:hAnsi="Times New Roman" w:cs="Times New Roman"/>
          <w:sz w:val="28"/>
          <w:szCs w:val="28"/>
          <w:lang w:val="en-GB"/>
        </w:rPr>
        <w:t xml:space="preserve">that it </w:t>
      </w:r>
      <w:r w:rsidR="00A94152" w:rsidRPr="000E2B31">
        <w:rPr>
          <w:rFonts w:ascii="Times New Roman" w:hAnsi="Times New Roman" w:cs="Times New Roman"/>
          <w:sz w:val="28"/>
          <w:szCs w:val="28"/>
          <w:lang w:val="en-GB"/>
        </w:rPr>
        <w:t>was influenced by an error of law</w:t>
      </w:r>
      <w:r w:rsidR="0066047C" w:rsidRPr="000E2B31">
        <w:rPr>
          <w:rFonts w:ascii="Times New Roman" w:hAnsi="Times New Roman" w:cs="Times New Roman"/>
          <w:sz w:val="28"/>
          <w:szCs w:val="28"/>
          <w:lang w:val="en-GB"/>
        </w:rPr>
        <w:t xml:space="preserve"> </w:t>
      </w:r>
      <w:r w:rsidR="001D73FF" w:rsidRPr="000E2B31">
        <w:rPr>
          <w:rFonts w:ascii="Times New Roman" w:hAnsi="Times New Roman" w:cs="Times New Roman"/>
          <w:sz w:val="28"/>
          <w:szCs w:val="28"/>
          <w:lang w:val="en-GB"/>
        </w:rPr>
        <w:t>in</w:t>
      </w:r>
      <w:r w:rsidR="0066047C" w:rsidRPr="000E2B31">
        <w:rPr>
          <w:rFonts w:ascii="Times New Roman" w:hAnsi="Times New Roman" w:cs="Times New Roman"/>
          <w:sz w:val="28"/>
          <w:szCs w:val="28"/>
          <w:lang w:val="en-GB"/>
        </w:rPr>
        <w:t xml:space="preserve"> accepting </w:t>
      </w:r>
      <w:r w:rsidR="00BD2D15" w:rsidRPr="000E2B31">
        <w:rPr>
          <w:rFonts w:ascii="Times New Roman" w:hAnsi="Times New Roman" w:cs="Times New Roman"/>
          <w:sz w:val="28"/>
          <w:szCs w:val="28"/>
          <w:lang w:val="en-GB"/>
        </w:rPr>
        <w:t xml:space="preserve">that it somehow qualified. </w:t>
      </w:r>
    </w:p>
    <w:p w14:paraId="6121E8B5" w14:textId="77777777" w:rsidR="00A94152" w:rsidRDefault="00A94152" w:rsidP="00A94152">
      <w:pPr>
        <w:pStyle w:val="ListParagraph"/>
        <w:rPr>
          <w:rFonts w:ascii="Times New Roman" w:hAnsi="Times New Roman" w:cs="Times New Roman"/>
          <w:sz w:val="28"/>
          <w:szCs w:val="28"/>
          <w:lang w:val="en-US"/>
        </w:rPr>
      </w:pPr>
    </w:p>
    <w:p w14:paraId="32188C6E" w14:textId="77777777" w:rsidR="00D46402" w:rsidRDefault="00D46402" w:rsidP="00A94152">
      <w:pPr>
        <w:pStyle w:val="ListParagraph"/>
        <w:rPr>
          <w:rFonts w:ascii="Times New Roman" w:hAnsi="Times New Roman" w:cs="Times New Roman"/>
          <w:sz w:val="28"/>
          <w:szCs w:val="28"/>
          <w:lang w:val="en-US"/>
        </w:rPr>
      </w:pPr>
    </w:p>
    <w:p w14:paraId="3564560E" w14:textId="77777777" w:rsidR="00D46402" w:rsidRDefault="00D46402" w:rsidP="00A94152">
      <w:pPr>
        <w:pStyle w:val="ListParagraph"/>
        <w:rPr>
          <w:rFonts w:ascii="Times New Roman" w:hAnsi="Times New Roman" w:cs="Times New Roman"/>
          <w:sz w:val="28"/>
          <w:szCs w:val="28"/>
          <w:lang w:val="en-US"/>
        </w:rPr>
      </w:pPr>
    </w:p>
    <w:p w14:paraId="4EE15C03" w14:textId="77777777" w:rsidR="00D46402" w:rsidRDefault="00D46402" w:rsidP="00A94152">
      <w:pPr>
        <w:pStyle w:val="ListParagraph"/>
        <w:rPr>
          <w:rFonts w:ascii="Times New Roman" w:hAnsi="Times New Roman" w:cs="Times New Roman"/>
          <w:sz w:val="28"/>
          <w:szCs w:val="28"/>
          <w:lang w:val="en-US"/>
        </w:rPr>
      </w:pPr>
    </w:p>
    <w:p w14:paraId="5ED6755A" w14:textId="77777777" w:rsidR="00D46402" w:rsidRPr="00A94152" w:rsidRDefault="00D46402" w:rsidP="00A94152">
      <w:pPr>
        <w:pStyle w:val="ListParagraph"/>
        <w:rPr>
          <w:rFonts w:ascii="Times New Roman" w:hAnsi="Times New Roman" w:cs="Times New Roman"/>
          <w:sz w:val="28"/>
          <w:szCs w:val="28"/>
          <w:lang w:val="en-US"/>
        </w:rPr>
      </w:pPr>
    </w:p>
    <w:p w14:paraId="273C2F14" w14:textId="072DB75A" w:rsidR="004C007D" w:rsidRPr="000E2B31" w:rsidRDefault="000E2B31" w:rsidP="000E2B31">
      <w:pPr>
        <w:tabs>
          <w:tab w:val="left" w:pos="709"/>
        </w:tabs>
        <w:spacing w:before="0" w:beforeAutospacing="0"/>
        <w:jc w:val="both"/>
        <w:rPr>
          <w:rFonts w:ascii="Times New Roman" w:hAnsi="Times New Roman" w:cs="Times New Roman"/>
          <w:sz w:val="24"/>
          <w:szCs w:val="24"/>
          <w:lang w:val="en-US"/>
        </w:rPr>
      </w:pPr>
      <w:r w:rsidRPr="007A48A2">
        <w:rPr>
          <w:rFonts w:ascii="Times New Roman" w:hAnsi="Times New Roman" w:cs="Times New Roman"/>
          <w:sz w:val="28"/>
          <w:szCs w:val="28"/>
          <w:lang w:val="en-US"/>
        </w:rPr>
        <w:t>[46]</w:t>
      </w:r>
      <w:r w:rsidRPr="007A48A2">
        <w:rPr>
          <w:rFonts w:ascii="Times New Roman" w:hAnsi="Times New Roman" w:cs="Times New Roman"/>
          <w:sz w:val="28"/>
          <w:szCs w:val="28"/>
          <w:lang w:val="en-US"/>
        </w:rPr>
        <w:tab/>
      </w:r>
      <w:r w:rsidR="00A94152" w:rsidRPr="000E2B31">
        <w:rPr>
          <w:rFonts w:ascii="Times New Roman" w:hAnsi="Times New Roman" w:cs="Times New Roman"/>
          <w:sz w:val="28"/>
          <w:szCs w:val="28"/>
          <w:lang w:val="en-US"/>
        </w:rPr>
        <w:t>It</w:t>
      </w:r>
      <w:r w:rsidR="00330FAE" w:rsidRPr="000E2B31">
        <w:rPr>
          <w:rFonts w:ascii="Times New Roman" w:hAnsi="Times New Roman" w:cs="Times New Roman"/>
          <w:sz w:val="28"/>
          <w:szCs w:val="28"/>
          <w:lang w:val="en-US"/>
        </w:rPr>
        <w:t xml:space="preserve"> complained further that the third respondent had </w:t>
      </w:r>
      <w:r w:rsidR="006E693A" w:rsidRPr="000E2B31">
        <w:rPr>
          <w:rFonts w:ascii="Times New Roman" w:hAnsi="Times New Roman" w:cs="Times New Roman"/>
          <w:sz w:val="28"/>
          <w:szCs w:val="28"/>
          <w:lang w:val="en-US"/>
        </w:rPr>
        <w:t xml:space="preserve">also </w:t>
      </w:r>
      <w:r w:rsidR="00330FAE" w:rsidRPr="000E2B31">
        <w:rPr>
          <w:rFonts w:ascii="Times New Roman" w:hAnsi="Times New Roman" w:cs="Times New Roman"/>
          <w:sz w:val="28"/>
          <w:szCs w:val="28"/>
          <w:lang w:val="en-US"/>
        </w:rPr>
        <w:t xml:space="preserve">failed to submit a mandatory returnable document, namely a sectional summary page in respect of </w:t>
      </w:r>
      <w:r w:rsidR="00330FAE" w:rsidRPr="000E2B31">
        <w:rPr>
          <w:rFonts w:ascii="Times New Roman" w:hAnsi="Times New Roman" w:cs="Times New Roman"/>
          <w:i/>
          <w:iCs/>
          <w:sz w:val="28"/>
          <w:szCs w:val="28"/>
          <w:lang w:val="en-US"/>
        </w:rPr>
        <w:t>“Earthing and Lighting Protection”</w:t>
      </w:r>
      <w:r w:rsidR="00A94152" w:rsidRPr="000E2B31">
        <w:rPr>
          <w:rFonts w:ascii="Times New Roman" w:hAnsi="Times New Roman" w:cs="Times New Roman"/>
          <w:sz w:val="28"/>
          <w:szCs w:val="28"/>
          <w:lang w:val="en-US"/>
        </w:rPr>
        <w:t>, this requirement similarly being a material one.</w:t>
      </w:r>
      <w:r w:rsidR="00F64252">
        <w:rPr>
          <w:rStyle w:val="FootnoteReference"/>
          <w:rFonts w:ascii="Times New Roman" w:hAnsi="Times New Roman" w:cs="Times New Roman"/>
          <w:sz w:val="28"/>
          <w:szCs w:val="28"/>
          <w:lang w:val="en-US"/>
        </w:rPr>
        <w:footnoteReference w:id="21"/>
      </w:r>
    </w:p>
    <w:p w14:paraId="355FDEB8" w14:textId="77777777" w:rsidR="007A48A2" w:rsidRPr="007A48A2" w:rsidRDefault="007A48A2" w:rsidP="007A48A2">
      <w:pPr>
        <w:pStyle w:val="ListParagraph"/>
        <w:tabs>
          <w:tab w:val="left" w:pos="709"/>
        </w:tabs>
        <w:spacing w:before="0" w:beforeAutospacing="0"/>
        <w:ind w:left="0"/>
        <w:jc w:val="both"/>
        <w:rPr>
          <w:rFonts w:ascii="Times New Roman" w:hAnsi="Times New Roman" w:cs="Times New Roman"/>
          <w:sz w:val="24"/>
          <w:szCs w:val="24"/>
          <w:lang w:val="en-US"/>
        </w:rPr>
      </w:pPr>
    </w:p>
    <w:p w14:paraId="7433FEBC" w14:textId="142F0B5B" w:rsidR="00BD2D15" w:rsidRPr="000E2B31" w:rsidRDefault="000E2B31" w:rsidP="000E2B31">
      <w:pPr>
        <w:tabs>
          <w:tab w:val="left" w:pos="709"/>
        </w:tabs>
        <w:spacing w:before="0" w:beforeAutospacing="0"/>
        <w:jc w:val="both"/>
        <w:rPr>
          <w:rFonts w:ascii="Times New Roman" w:hAnsi="Times New Roman" w:cs="Times New Roman"/>
          <w:sz w:val="28"/>
          <w:szCs w:val="28"/>
          <w:lang w:val="en-GB"/>
        </w:rPr>
      </w:pPr>
      <w:r>
        <w:rPr>
          <w:rFonts w:ascii="Times New Roman" w:hAnsi="Times New Roman" w:cs="Times New Roman"/>
          <w:sz w:val="28"/>
          <w:szCs w:val="28"/>
          <w:lang w:val="en-GB"/>
        </w:rPr>
        <w:t>[47]</w:t>
      </w:r>
      <w:r>
        <w:rPr>
          <w:rFonts w:ascii="Times New Roman" w:hAnsi="Times New Roman" w:cs="Times New Roman"/>
          <w:sz w:val="28"/>
          <w:szCs w:val="28"/>
          <w:lang w:val="en-GB"/>
        </w:rPr>
        <w:tab/>
      </w:r>
      <w:r w:rsidR="004C007D" w:rsidRPr="000E2B31">
        <w:rPr>
          <w:rFonts w:ascii="Times New Roman" w:hAnsi="Times New Roman" w:cs="Times New Roman"/>
          <w:sz w:val="28"/>
          <w:szCs w:val="28"/>
          <w:lang w:val="en-GB"/>
        </w:rPr>
        <w:t xml:space="preserve">As for the review grounds concerning the application of the risk assessment, the first respondent in its supplementary affidavit </w:t>
      </w:r>
      <w:r w:rsidR="00BD2D15" w:rsidRPr="000E2B31">
        <w:rPr>
          <w:rFonts w:ascii="Times New Roman" w:hAnsi="Times New Roman" w:cs="Times New Roman"/>
          <w:sz w:val="28"/>
          <w:szCs w:val="28"/>
          <w:lang w:val="en-GB"/>
        </w:rPr>
        <w:t>repeated its complaint</w:t>
      </w:r>
      <w:r w:rsidR="004C007D" w:rsidRPr="000E2B31">
        <w:rPr>
          <w:rFonts w:ascii="Times New Roman" w:hAnsi="Times New Roman" w:cs="Times New Roman"/>
          <w:sz w:val="28"/>
          <w:szCs w:val="28"/>
          <w:lang w:val="en-GB"/>
        </w:rPr>
        <w:t xml:space="preserve"> that the use of </w:t>
      </w:r>
      <w:r w:rsidR="00AC41F9" w:rsidRPr="000E2B31">
        <w:rPr>
          <w:rFonts w:ascii="Times New Roman" w:hAnsi="Times New Roman" w:cs="Times New Roman"/>
          <w:sz w:val="28"/>
          <w:szCs w:val="28"/>
          <w:lang w:val="en-GB"/>
        </w:rPr>
        <w:t>such a process</w:t>
      </w:r>
      <w:r w:rsidR="004C007D" w:rsidRPr="000E2B31">
        <w:rPr>
          <w:rFonts w:ascii="Times New Roman" w:hAnsi="Times New Roman" w:cs="Times New Roman"/>
          <w:sz w:val="28"/>
          <w:szCs w:val="28"/>
          <w:lang w:val="en-GB"/>
        </w:rPr>
        <w:t xml:space="preserve"> undertaken by or on behalf of the department was unlawful, irregular and </w:t>
      </w:r>
      <w:r w:rsidR="001C0C78" w:rsidRPr="000E2B31">
        <w:rPr>
          <w:rFonts w:ascii="Times New Roman" w:hAnsi="Times New Roman" w:cs="Times New Roman"/>
          <w:sz w:val="28"/>
          <w:szCs w:val="28"/>
          <w:lang w:val="en-GB"/>
        </w:rPr>
        <w:t>contrary</w:t>
      </w:r>
      <w:r w:rsidR="004C007D" w:rsidRPr="000E2B31">
        <w:rPr>
          <w:rFonts w:ascii="Times New Roman" w:hAnsi="Times New Roman" w:cs="Times New Roman"/>
          <w:sz w:val="28"/>
          <w:szCs w:val="28"/>
          <w:lang w:val="en-GB"/>
        </w:rPr>
        <w:t xml:space="preserve"> to the legislative framework</w:t>
      </w:r>
      <w:r w:rsidR="00A94152" w:rsidRPr="000E2B31">
        <w:rPr>
          <w:rFonts w:ascii="Times New Roman" w:hAnsi="Times New Roman" w:cs="Times New Roman"/>
          <w:sz w:val="28"/>
          <w:szCs w:val="28"/>
          <w:lang w:val="en-GB"/>
        </w:rPr>
        <w:t xml:space="preserve"> applicable to public procurement</w:t>
      </w:r>
      <w:r w:rsidR="004C007D" w:rsidRPr="000E2B31">
        <w:rPr>
          <w:rFonts w:ascii="Times New Roman" w:hAnsi="Times New Roman" w:cs="Times New Roman"/>
          <w:sz w:val="28"/>
          <w:szCs w:val="28"/>
          <w:lang w:val="en-GB"/>
        </w:rPr>
        <w:t xml:space="preserve">. </w:t>
      </w:r>
      <w:r w:rsidR="00BD2D15" w:rsidRPr="000E2B31">
        <w:rPr>
          <w:rFonts w:ascii="Times New Roman" w:hAnsi="Times New Roman" w:cs="Times New Roman"/>
          <w:sz w:val="28"/>
          <w:szCs w:val="28"/>
          <w:lang w:val="en-GB"/>
        </w:rPr>
        <w:lastRenderedPageBreak/>
        <w:t>It asserted that it</w:t>
      </w:r>
      <w:r w:rsidR="00A94152" w:rsidRPr="000E2B31">
        <w:rPr>
          <w:rFonts w:ascii="Times New Roman" w:hAnsi="Times New Roman" w:cs="Times New Roman"/>
          <w:sz w:val="28"/>
          <w:szCs w:val="28"/>
          <w:lang w:val="en-GB"/>
        </w:rPr>
        <w:t xml:space="preserve"> did not form part of the functionality </w:t>
      </w:r>
      <w:r w:rsidR="008A7D5A" w:rsidRPr="000E2B31">
        <w:rPr>
          <w:rFonts w:ascii="Times New Roman" w:hAnsi="Times New Roman" w:cs="Times New Roman"/>
          <w:sz w:val="28"/>
          <w:szCs w:val="28"/>
          <w:lang w:val="en-GB"/>
        </w:rPr>
        <w:t>assessment (</w:t>
      </w:r>
      <w:r w:rsidR="00BD2D15" w:rsidRPr="000E2B31">
        <w:rPr>
          <w:rFonts w:ascii="Times New Roman" w:hAnsi="Times New Roman" w:cs="Times New Roman"/>
          <w:sz w:val="28"/>
          <w:szCs w:val="28"/>
          <w:lang w:val="en-GB"/>
        </w:rPr>
        <w:t xml:space="preserve">a postulate that the appellant </w:t>
      </w:r>
      <w:r w:rsidR="00531487" w:rsidRPr="000E2B31">
        <w:rPr>
          <w:rFonts w:ascii="Times New Roman" w:hAnsi="Times New Roman" w:cs="Times New Roman"/>
          <w:sz w:val="28"/>
          <w:szCs w:val="28"/>
          <w:lang w:val="en-GB"/>
        </w:rPr>
        <w:t>accepted) but contended</w:t>
      </w:r>
      <w:r w:rsidR="00BD2D15" w:rsidRPr="000E2B31">
        <w:rPr>
          <w:rFonts w:ascii="Times New Roman" w:hAnsi="Times New Roman" w:cs="Times New Roman"/>
          <w:sz w:val="28"/>
          <w:szCs w:val="28"/>
          <w:lang w:val="en-GB"/>
        </w:rPr>
        <w:t xml:space="preserve"> that </w:t>
      </w:r>
      <w:r w:rsidR="00531487" w:rsidRPr="000E2B31">
        <w:rPr>
          <w:rFonts w:ascii="Times New Roman" w:hAnsi="Times New Roman" w:cs="Times New Roman"/>
          <w:sz w:val="28"/>
          <w:szCs w:val="28"/>
          <w:lang w:val="en-GB"/>
        </w:rPr>
        <w:t xml:space="preserve">if </w:t>
      </w:r>
      <w:r w:rsidR="001C0C78" w:rsidRPr="000E2B31">
        <w:rPr>
          <w:rFonts w:ascii="Times New Roman" w:hAnsi="Times New Roman" w:cs="Times New Roman"/>
          <w:sz w:val="28"/>
          <w:szCs w:val="28"/>
          <w:lang w:val="en-GB"/>
        </w:rPr>
        <w:t xml:space="preserve">it </w:t>
      </w:r>
      <w:r w:rsidR="00531487" w:rsidRPr="000E2B31">
        <w:rPr>
          <w:rFonts w:ascii="Times New Roman" w:hAnsi="Times New Roman" w:cs="Times New Roman"/>
          <w:sz w:val="28"/>
          <w:szCs w:val="28"/>
          <w:lang w:val="en-GB"/>
        </w:rPr>
        <w:t xml:space="preserve">instead </w:t>
      </w:r>
      <w:r w:rsidR="001C0C78" w:rsidRPr="000E2B31">
        <w:rPr>
          <w:rFonts w:ascii="Times New Roman" w:hAnsi="Times New Roman" w:cs="Times New Roman"/>
          <w:sz w:val="28"/>
          <w:szCs w:val="28"/>
          <w:lang w:val="en-GB"/>
        </w:rPr>
        <w:t>formed part of the award phase, it was certainly not capable of having been used as an objective reason not to award the tender to the highest point scoring bidder.</w:t>
      </w:r>
    </w:p>
    <w:p w14:paraId="09C070A1" w14:textId="77777777" w:rsidR="00BD2D15" w:rsidRPr="00BD2D15" w:rsidRDefault="00BD2D15" w:rsidP="00BD2D15">
      <w:pPr>
        <w:pStyle w:val="ListParagraph"/>
        <w:rPr>
          <w:rFonts w:ascii="Times New Roman" w:hAnsi="Times New Roman" w:cs="Times New Roman"/>
          <w:sz w:val="28"/>
          <w:szCs w:val="28"/>
          <w:lang w:val="en-GB"/>
        </w:rPr>
      </w:pPr>
    </w:p>
    <w:p w14:paraId="17D884A1" w14:textId="124099EC" w:rsidR="00A475CE" w:rsidRPr="000E2B31" w:rsidRDefault="000E2B31" w:rsidP="000E2B31">
      <w:pPr>
        <w:tabs>
          <w:tab w:val="left" w:pos="709"/>
        </w:tabs>
        <w:spacing w:before="0" w:beforeAutospacing="0"/>
        <w:jc w:val="both"/>
        <w:rPr>
          <w:rFonts w:ascii="Times New Roman" w:hAnsi="Times New Roman" w:cs="Times New Roman"/>
          <w:sz w:val="28"/>
          <w:szCs w:val="28"/>
          <w:lang w:val="en-GB"/>
        </w:rPr>
      </w:pPr>
      <w:r w:rsidRPr="00A475CE">
        <w:rPr>
          <w:rFonts w:ascii="Times New Roman" w:hAnsi="Times New Roman" w:cs="Times New Roman"/>
          <w:sz w:val="28"/>
          <w:szCs w:val="28"/>
          <w:lang w:val="en-GB"/>
        </w:rPr>
        <w:t>[48]</w:t>
      </w:r>
      <w:r w:rsidRPr="00A475CE">
        <w:rPr>
          <w:rFonts w:ascii="Times New Roman" w:hAnsi="Times New Roman" w:cs="Times New Roman"/>
          <w:sz w:val="28"/>
          <w:szCs w:val="28"/>
          <w:lang w:val="en-GB"/>
        </w:rPr>
        <w:tab/>
      </w:r>
      <w:r w:rsidR="001C0C78" w:rsidRPr="000E2B31">
        <w:rPr>
          <w:rFonts w:ascii="Times New Roman" w:hAnsi="Times New Roman" w:cs="Times New Roman"/>
          <w:sz w:val="28"/>
          <w:szCs w:val="28"/>
          <w:lang w:val="en-GB"/>
        </w:rPr>
        <w:t xml:space="preserve"> Leave aside the fact that according to </w:t>
      </w:r>
      <w:r w:rsidR="00531487" w:rsidRPr="000E2B31">
        <w:rPr>
          <w:rFonts w:ascii="Times New Roman" w:hAnsi="Times New Roman" w:cs="Times New Roman"/>
          <w:sz w:val="28"/>
          <w:szCs w:val="28"/>
          <w:lang w:val="en-GB"/>
        </w:rPr>
        <w:t xml:space="preserve">the first respondent </w:t>
      </w:r>
      <w:r w:rsidR="001C0C78" w:rsidRPr="000E2B31">
        <w:rPr>
          <w:rFonts w:ascii="Times New Roman" w:hAnsi="Times New Roman" w:cs="Times New Roman"/>
          <w:sz w:val="28"/>
          <w:szCs w:val="28"/>
          <w:lang w:val="en-GB"/>
        </w:rPr>
        <w:t xml:space="preserve">it had not at all been scored for price and preference before its disqualification, it bemoaned the fact that the Department had </w:t>
      </w:r>
      <w:r w:rsidR="00BD2D15" w:rsidRPr="000E2B31">
        <w:rPr>
          <w:rFonts w:ascii="Times New Roman" w:hAnsi="Times New Roman" w:cs="Times New Roman"/>
          <w:sz w:val="28"/>
          <w:szCs w:val="28"/>
          <w:lang w:val="en-GB"/>
        </w:rPr>
        <w:t>in any event</w:t>
      </w:r>
      <w:r w:rsidR="001C0C78" w:rsidRPr="000E2B31">
        <w:rPr>
          <w:rFonts w:ascii="Times New Roman" w:hAnsi="Times New Roman" w:cs="Times New Roman"/>
          <w:sz w:val="28"/>
          <w:szCs w:val="28"/>
          <w:lang w:val="en-GB"/>
        </w:rPr>
        <w:t xml:space="preserve"> carried out a comparative risk assessment to determine which of the three standing bidders posed the least risk rather than concluding that its </w:t>
      </w:r>
      <w:r w:rsidR="00BD2D15" w:rsidRPr="000E2B31">
        <w:rPr>
          <w:rFonts w:ascii="Times New Roman" w:hAnsi="Times New Roman" w:cs="Times New Roman"/>
          <w:sz w:val="28"/>
          <w:szCs w:val="28"/>
          <w:lang w:val="en-GB"/>
        </w:rPr>
        <w:t xml:space="preserve">own </w:t>
      </w:r>
      <w:r w:rsidR="001C0C78" w:rsidRPr="000E2B31">
        <w:rPr>
          <w:rFonts w:ascii="Times New Roman" w:hAnsi="Times New Roman" w:cs="Times New Roman"/>
          <w:sz w:val="28"/>
          <w:szCs w:val="28"/>
          <w:lang w:val="en-GB"/>
        </w:rPr>
        <w:t>risk profile somehow presented an “unacceptable risk” to it on the basis of its supposed risk eligibility criteria</w:t>
      </w:r>
      <w:r w:rsidR="00A475CE" w:rsidRPr="000E2B31">
        <w:rPr>
          <w:rFonts w:ascii="Times New Roman" w:hAnsi="Times New Roman" w:cs="Times New Roman"/>
          <w:sz w:val="28"/>
          <w:szCs w:val="28"/>
          <w:lang w:val="en-GB"/>
        </w:rPr>
        <w:t xml:space="preserve">. </w:t>
      </w:r>
      <w:r w:rsidR="00371A9B" w:rsidRPr="000E2B31">
        <w:rPr>
          <w:rFonts w:ascii="Times New Roman" w:hAnsi="Times New Roman" w:cs="Times New Roman"/>
          <w:sz w:val="28"/>
          <w:szCs w:val="28"/>
          <w:lang w:val="en-GB"/>
        </w:rPr>
        <w:t>In</w:t>
      </w:r>
      <w:r w:rsidR="001C0C78" w:rsidRPr="000E2B31">
        <w:rPr>
          <w:rFonts w:ascii="Times New Roman" w:hAnsi="Times New Roman" w:cs="Times New Roman"/>
          <w:sz w:val="28"/>
          <w:szCs w:val="28"/>
          <w:lang w:val="en-GB"/>
        </w:rPr>
        <w:t xml:space="preserve"> </w:t>
      </w:r>
      <w:r w:rsidR="00A475CE" w:rsidRPr="000E2B31">
        <w:rPr>
          <w:rFonts w:ascii="Times New Roman" w:hAnsi="Times New Roman" w:cs="Times New Roman"/>
          <w:sz w:val="28"/>
          <w:szCs w:val="28"/>
          <w:lang w:val="en-GB"/>
        </w:rPr>
        <w:t>this regard it noted</w:t>
      </w:r>
      <w:r w:rsidR="001C0C78" w:rsidRPr="000E2B31">
        <w:rPr>
          <w:rFonts w:ascii="Times New Roman" w:hAnsi="Times New Roman" w:cs="Times New Roman"/>
          <w:sz w:val="28"/>
          <w:szCs w:val="28"/>
          <w:lang w:val="en-GB"/>
        </w:rPr>
        <w:t xml:space="preserve"> tha</w:t>
      </w:r>
      <w:r w:rsidR="00BD2D15" w:rsidRPr="000E2B31">
        <w:rPr>
          <w:rFonts w:ascii="Times New Roman" w:hAnsi="Times New Roman" w:cs="Times New Roman"/>
          <w:sz w:val="28"/>
          <w:szCs w:val="28"/>
          <w:lang w:val="en-GB"/>
        </w:rPr>
        <w:t xml:space="preserve">t </w:t>
      </w:r>
      <w:r w:rsidR="001C0C78" w:rsidRPr="000E2B31">
        <w:rPr>
          <w:rFonts w:ascii="Times New Roman" w:hAnsi="Times New Roman" w:cs="Times New Roman"/>
          <w:sz w:val="28"/>
          <w:szCs w:val="28"/>
          <w:lang w:val="en-GB"/>
        </w:rPr>
        <w:t>the risk assessment</w:t>
      </w:r>
      <w:r w:rsidR="00BD2D15" w:rsidRPr="000E2B31">
        <w:rPr>
          <w:rFonts w:ascii="Times New Roman" w:hAnsi="Times New Roman" w:cs="Times New Roman"/>
          <w:sz w:val="28"/>
          <w:szCs w:val="28"/>
          <w:lang w:val="en-GB"/>
        </w:rPr>
        <w:t xml:space="preserve"> (assuming it to </w:t>
      </w:r>
      <w:r w:rsidR="004938E8" w:rsidRPr="000E2B31">
        <w:rPr>
          <w:rFonts w:ascii="Times New Roman" w:hAnsi="Times New Roman" w:cs="Times New Roman"/>
          <w:sz w:val="28"/>
          <w:szCs w:val="28"/>
          <w:lang w:val="en-GB"/>
        </w:rPr>
        <w:t xml:space="preserve">be </w:t>
      </w:r>
      <w:r w:rsidR="00A475CE" w:rsidRPr="000E2B31">
        <w:rPr>
          <w:rFonts w:ascii="Times New Roman" w:hAnsi="Times New Roman" w:cs="Times New Roman"/>
          <w:sz w:val="28"/>
          <w:szCs w:val="28"/>
          <w:lang w:val="en-GB"/>
        </w:rPr>
        <w:t>legally permissible)</w:t>
      </w:r>
      <w:r w:rsidR="001C0C78" w:rsidRPr="000E2B31">
        <w:rPr>
          <w:rFonts w:ascii="Times New Roman" w:hAnsi="Times New Roman" w:cs="Times New Roman"/>
          <w:sz w:val="28"/>
          <w:szCs w:val="28"/>
          <w:lang w:val="en-GB"/>
        </w:rPr>
        <w:t xml:space="preserve"> even on its own terms was problematic in relation to its wording</w:t>
      </w:r>
      <w:r w:rsidR="00AC41F9" w:rsidRPr="000E2B31">
        <w:rPr>
          <w:rFonts w:ascii="Times New Roman" w:hAnsi="Times New Roman" w:cs="Times New Roman"/>
          <w:sz w:val="28"/>
          <w:szCs w:val="28"/>
          <w:lang w:val="en-GB"/>
        </w:rPr>
        <w:t xml:space="preserve"> set out in Clause C</w:t>
      </w:r>
      <w:r w:rsidR="00A475CE" w:rsidRPr="000E2B31">
        <w:rPr>
          <w:rFonts w:ascii="Times New Roman" w:hAnsi="Times New Roman" w:cs="Times New Roman"/>
          <w:sz w:val="28"/>
          <w:szCs w:val="28"/>
          <w:lang w:val="en-GB"/>
        </w:rPr>
        <w:t xml:space="preserve">, in not meeting the standard envisaged by regulation 11 </w:t>
      </w:r>
      <w:r w:rsidR="00260603" w:rsidRPr="000E2B31">
        <w:rPr>
          <w:rFonts w:ascii="Times New Roman" w:hAnsi="Times New Roman" w:cs="Times New Roman"/>
          <w:sz w:val="28"/>
          <w:szCs w:val="28"/>
          <w:lang w:val="en-GB"/>
        </w:rPr>
        <w:t>(</w:t>
      </w:r>
      <w:r w:rsidR="00371A9B" w:rsidRPr="000E2B31">
        <w:rPr>
          <w:rFonts w:ascii="Times New Roman" w:hAnsi="Times New Roman" w:cs="Times New Roman"/>
          <w:sz w:val="28"/>
          <w:szCs w:val="28"/>
          <w:lang w:val="en-GB"/>
        </w:rPr>
        <w:t>2)</w:t>
      </w:r>
      <w:r w:rsidR="00A475CE" w:rsidRPr="000E2B31">
        <w:rPr>
          <w:rFonts w:ascii="Times New Roman" w:hAnsi="Times New Roman" w:cs="Times New Roman"/>
          <w:sz w:val="28"/>
          <w:szCs w:val="28"/>
          <w:lang w:val="en-GB"/>
        </w:rPr>
        <w:t xml:space="preserve"> that requires objective criteria to be relied upon to be stipulated in the tender document. </w:t>
      </w:r>
    </w:p>
    <w:p w14:paraId="6864C976" w14:textId="77777777" w:rsidR="00A475CE" w:rsidRPr="00A475CE" w:rsidRDefault="00A475CE" w:rsidP="00A475CE">
      <w:pPr>
        <w:pStyle w:val="ListParagraph"/>
        <w:rPr>
          <w:rFonts w:ascii="Times New Roman" w:hAnsi="Times New Roman" w:cs="Times New Roman"/>
          <w:sz w:val="28"/>
          <w:szCs w:val="28"/>
          <w:lang w:val="en-GB"/>
        </w:rPr>
      </w:pPr>
    </w:p>
    <w:p w14:paraId="674321A7" w14:textId="2076A7C8" w:rsidR="000D71C5" w:rsidRPr="000E2B31" w:rsidRDefault="000E2B31" w:rsidP="000E2B31">
      <w:pPr>
        <w:tabs>
          <w:tab w:val="left" w:pos="709"/>
        </w:tabs>
        <w:spacing w:before="0" w:beforeAutospacing="0"/>
        <w:jc w:val="both"/>
        <w:rPr>
          <w:rFonts w:ascii="Times New Roman" w:hAnsi="Times New Roman" w:cs="Times New Roman"/>
          <w:sz w:val="28"/>
          <w:szCs w:val="28"/>
          <w:lang w:val="en-US"/>
        </w:rPr>
      </w:pPr>
      <w:r w:rsidRPr="00FA36F1">
        <w:rPr>
          <w:rFonts w:ascii="Times New Roman" w:hAnsi="Times New Roman" w:cs="Times New Roman"/>
          <w:sz w:val="28"/>
          <w:szCs w:val="28"/>
          <w:lang w:val="en-US"/>
        </w:rPr>
        <w:t>[49]</w:t>
      </w:r>
      <w:r w:rsidRPr="00FA36F1">
        <w:rPr>
          <w:rFonts w:ascii="Times New Roman" w:hAnsi="Times New Roman" w:cs="Times New Roman"/>
          <w:sz w:val="28"/>
          <w:szCs w:val="28"/>
          <w:lang w:val="en-US"/>
        </w:rPr>
        <w:tab/>
      </w:r>
      <w:r w:rsidR="00A475CE" w:rsidRPr="000E2B31">
        <w:rPr>
          <w:rFonts w:ascii="Times New Roman" w:hAnsi="Times New Roman" w:cs="Times New Roman"/>
          <w:sz w:val="28"/>
          <w:szCs w:val="28"/>
          <w:lang w:val="en-GB"/>
        </w:rPr>
        <w:t xml:space="preserve"> </w:t>
      </w:r>
      <w:r w:rsidR="00260603" w:rsidRPr="000E2B31">
        <w:rPr>
          <w:rFonts w:ascii="Times New Roman" w:hAnsi="Times New Roman" w:cs="Times New Roman"/>
          <w:sz w:val="28"/>
          <w:szCs w:val="28"/>
          <w:lang w:val="en-GB"/>
        </w:rPr>
        <w:t>Finally,</w:t>
      </w:r>
      <w:r w:rsidR="00A475CE" w:rsidRPr="000E2B31">
        <w:rPr>
          <w:rFonts w:ascii="Times New Roman" w:hAnsi="Times New Roman" w:cs="Times New Roman"/>
          <w:sz w:val="28"/>
          <w:szCs w:val="28"/>
          <w:lang w:val="en-GB"/>
        </w:rPr>
        <w:t xml:space="preserve"> it asserted that the </w:t>
      </w:r>
      <w:r w:rsidR="00260603" w:rsidRPr="000E2B31">
        <w:rPr>
          <w:rFonts w:ascii="Times New Roman" w:hAnsi="Times New Roman" w:cs="Times New Roman"/>
          <w:sz w:val="28"/>
          <w:szCs w:val="28"/>
          <w:lang w:val="en-GB"/>
        </w:rPr>
        <w:t>tender process</w:t>
      </w:r>
      <w:r w:rsidR="00A475CE" w:rsidRPr="000E2B31">
        <w:rPr>
          <w:rFonts w:ascii="Times New Roman" w:hAnsi="Times New Roman" w:cs="Times New Roman"/>
          <w:sz w:val="28"/>
          <w:szCs w:val="28"/>
          <w:lang w:val="en-GB"/>
        </w:rPr>
        <w:t xml:space="preserve"> </w:t>
      </w:r>
      <w:r w:rsidR="0044115B" w:rsidRPr="000E2B31">
        <w:rPr>
          <w:rFonts w:ascii="Times New Roman" w:hAnsi="Times New Roman" w:cs="Times New Roman"/>
          <w:sz w:val="28"/>
          <w:szCs w:val="28"/>
          <w:lang w:val="en-GB"/>
        </w:rPr>
        <w:t xml:space="preserve">fell </w:t>
      </w:r>
      <w:r w:rsidR="00AC41F9" w:rsidRPr="000E2B31">
        <w:rPr>
          <w:rFonts w:ascii="Times New Roman" w:hAnsi="Times New Roman" w:cs="Times New Roman"/>
          <w:sz w:val="28"/>
          <w:szCs w:val="28"/>
          <w:lang w:val="en-GB"/>
        </w:rPr>
        <w:t xml:space="preserve">woefully </w:t>
      </w:r>
      <w:r w:rsidR="0044115B" w:rsidRPr="000E2B31">
        <w:rPr>
          <w:rFonts w:ascii="Times New Roman" w:hAnsi="Times New Roman" w:cs="Times New Roman"/>
          <w:sz w:val="28"/>
          <w:szCs w:val="28"/>
          <w:lang w:val="en-GB"/>
        </w:rPr>
        <w:t xml:space="preserve">short of </w:t>
      </w:r>
      <w:r w:rsidR="00260603" w:rsidRPr="000E2B31">
        <w:rPr>
          <w:rFonts w:ascii="Times New Roman" w:hAnsi="Times New Roman" w:cs="Times New Roman"/>
          <w:sz w:val="28"/>
          <w:szCs w:val="28"/>
          <w:lang w:val="en-GB"/>
        </w:rPr>
        <w:t>being</w:t>
      </w:r>
      <w:r w:rsidR="0044115B" w:rsidRPr="000E2B31">
        <w:rPr>
          <w:rFonts w:ascii="Times New Roman" w:hAnsi="Times New Roman" w:cs="Times New Roman"/>
          <w:sz w:val="28"/>
          <w:szCs w:val="28"/>
          <w:lang w:val="en-GB"/>
        </w:rPr>
        <w:t xml:space="preserve"> procedurally </w:t>
      </w:r>
      <w:r w:rsidR="00A475CE" w:rsidRPr="000E2B31">
        <w:rPr>
          <w:rFonts w:ascii="Times New Roman" w:hAnsi="Times New Roman" w:cs="Times New Roman"/>
          <w:sz w:val="28"/>
          <w:szCs w:val="28"/>
          <w:lang w:val="en-GB"/>
        </w:rPr>
        <w:t xml:space="preserve">or substantively </w:t>
      </w:r>
      <w:r w:rsidR="0044115B" w:rsidRPr="000E2B31">
        <w:rPr>
          <w:rFonts w:ascii="Times New Roman" w:hAnsi="Times New Roman" w:cs="Times New Roman"/>
          <w:sz w:val="28"/>
          <w:szCs w:val="28"/>
          <w:lang w:val="en-GB"/>
        </w:rPr>
        <w:t>fair</w:t>
      </w:r>
      <w:r w:rsidR="000D71C5" w:rsidRPr="000E2B31">
        <w:rPr>
          <w:rFonts w:ascii="Times New Roman" w:hAnsi="Times New Roman" w:cs="Times New Roman"/>
          <w:sz w:val="28"/>
          <w:szCs w:val="28"/>
          <w:lang w:val="en-GB"/>
        </w:rPr>
        <w:t xml:space="preserve"> in </w:t>
      </w:r>
      <w:r w:rsidR="00A76486" w:rsidRPr="000E2B31">
        <w:rPr>
          <w:rFonts w:ascii="Times New Roman" w:hAnsi="Times New Roman" w:cs="Times New Roman"/>
          <w:sz w:val="28"/>
          <w:szCs w:val="28"/>
          <w:lang w:val="en-GB"/>
        </w:rPr>
        <w:t>the appellant’s</w:t>
      </w:r>
      <w:r w:rsidR="000D71C5" w:rsidRPr="000E2B31">
        <w:rPr>
          <w:rFonts w:ascii="Times New Roman" w:hAnsi="Times New Roman" w:cs="Times New Roman"/>
          <w:sz w:val="28"/>
          <w:szCs w:val="28"/>
          <w:lang w:val="en-GB"/>
        </w:rPr>
        <w:t xml:space="preserve"> </w:t>
      </w:r>
      <w:r w:rsidR="00A76486" w:rsidRPr="000E2B31">
        <w:rPr>
          <w:rFonts w:ascii="Times New Roman" w:hAnsi="Times New Roman" w:cs="Times New Roman"/>
          <w:sz w:val="28"/>
          <w:szCs w:val="28"/>
          <w:lang w:val="en-GB"/>
        </w:rPr>
        <w:t>purported</w:t>
      </w:r>
      <w:r w:rsidR="000D71C5" w:rsidRPr="000E2B31">
        <w:rPr>
          <w:rFonts w:ascii="Times New Roman" w:hAnsi="Times New Roman" w:cs="Times New Roman"/>
          <w:sz w:val="28"/>
          <w:szCs w:val="28"/>
          <w:lang w:val="en-GB"/>
        </w:rPr>
        <w:t xml:space="preserve"> </w:t>
      </w:r>
      <w:r w:rsidR="00FA36F1" w:rsidRPr="000E2B31">
        <w:rPr>
          <w:rFonts w:ascii="Times New Roman" w:hAnsi="Times New Roman" w:cs="Times New Roman"/>
          <w:sz w:val="28"/>
          <w:szCs w:val="28"/>
          <w:lang w:val="en-GB"/>
        </w:rPr>
        <w:t>utilization</w:t>
      </w:r>
      <w:r w:rsidR="000D71C5" w:rsidRPr="000E2B31">
        <w:rPr>
          <w:rFonts w:ascii="Times New Roman" w:hAnsi="Times New Roman" w:cs="Times New Roman"/>
          <w:sz w:val="28"/>
          <w:szCs w:val="28"/>
          <w:lang w:val="en-GB"/>
        </w:rPr>
        <w:t xml:space="preserve"> </w:t>
      </w:r>
      <w:r w:rsidR="00A76486" w:rsidRPr="000E2B31">
        <w:rPr>
          <w:rFonts w:ascii="Times New Roman" w:hAnsi="Times New Roman" w:cs="Times New Roman"/>
          <w:sz w:val="28"/>
          <w:szCs w:val="28"/>
          <w:lang w:val="en-GB"/>
        </w:rPr>
        <w:t>of the risk assessment</w:t>
      </w:r>
      <w:r w:rsidR="000D71C5" w:rsidRPr="000E2B31">
        <w:rPr>
          <w:rFonts w:ascii="Times New Roman" w:hAnsi="Times New Roman" w:cs="Times New Roman"/>
          <w:sz w:val="28"/>
          <w:szCs w:val="28"/>
          <w:lang w:val="en-GB"/>
        </w:rPr>
        <w:t>.</w:t>
      </w:r>
      <w:r w:rsidR="00FA36F1" w:rsidRPr="000E2B31">
        <w:rPr>
          <w:rFonts w:ascii="Times New Roman" w:hAnsi="Times New Roman" w:cs="Times New Roman"/>
          <w:sz w:val="28"/>
          <w:szCs w:val="28"/>
          <w:lang w:val="en-GB"/>
        </w:rPr>
        <w:t xml:space="preserve"> </w:t>
      </w:r>
      <w:r w:rsidR="00260603" w:rsidRPr="000E2B31">
        <w:rPr>
          <w:rFonts w:ascii="Times New Roman" w:hAnsi="Times New Roman" w:cs="Times New Roman"/>
          <w:sz w:val="28"/>
          <w:szCs w:val="28"/>
          <w:lang w:val="en-GB"/>
        </w:rPr>
        <w:t>In this regard it had, for example,</w:t>
      </w:r>
      <w:r w:rsidR="00A475CE" w:rsidRPr="000E2B31">
        <w:rPr>
          <w:rFonts w:ascii="Times New Roman" w:hAnsi="Times New Roman" w:cs="Times New Roman"/>
          <w:sz w:val="28"/>
          <w:szCs w:val="28"/>
          <w:lang w:val="en-GB"/>
        </w:rPr>
        <w:t xml:space="preserve"> come to its conclusion unfavourable to the first respondent on the basis of </w:t>
      </w:r>
      <w:r w:rsidR="00260603" w:rsidRPr="000E2B31">
        <w:rPr>
          <w:rFonts w:ascii="Times New Roman" w:hAnsi="Times New Roman" w:cs="Times New Roman"/>
          <w:sz w:val="28"/>
          <w:szCs w:val="28"/>
          <w:lang w:val="en-GB"/>
        </w:rPr>
        <w:t xml:space="preserve">a </w:t>
      </w:r>
      <w:r w:rsidR="00A475CE" w:rsidRPr="000E2B31">
        <w:rPr>
          <w:rFonts w:ascii="Times New Roman" w:hAnsi="Times New Roman" w:cs="Times New Roman"/>
          <w:sz w:val="28"/>
          <w:szCs w:val="28"/>
          <w:lang w:val="en-GB"/>
        </w:rPr>
        <w:t>subjective</w:t>
      </w:r>
      <w:r w:rsidR="00260603" w:rsidRPr="000E2B31">
        <w:rPr>
          <w:rFonts w:ascii="Times New Roman" w:hAnsi="Times New Roman" w:cs="Times New Roman"/>
          <w:sz w:val="28"/>
          <w:szCs w:val="28"/>
          <w:lang w:val="en-GB"/>
        </w:rPr>
        <w:t xml:space="preserve"> opinion.</w:t>
      </w:r>
    </w:p>
    <w:p w14:paraId="300EE33E" w14:textId="77777777" w:rsidR="00FA36F1" w:rsidRPr="00FA36F1" w:rsidRDefault="00FA36F1" w:rsidP="00FA36F1">
      <w:pPr>
        <w:pStyle w:val="ListParagraph"/>
        <w:tabs>
          <w:tab w:val="left" w:pos="709"/>
        </w:tabs>
        <w:spacing w:before="0" w:beforeAutospacing="0"/>
        <w:ind w:left="0"/>
        <w:jc w:val="both"/>
        <w:rPr>
          <w:rFonts w:ascii="Times New Roman" w:hAnsi="Times New Roman" w:cs="Times New Roman"/>
          <w:sz w:val="28"/>
          <w:szCs w:val="28"/>
          <w:lang w:val="en-US"/>
        </w:rPr>
      </w:pPr>
    </w:p>
    <w:p w14:paraId="0BEB91C0" w14:textId="0EF31CB0" w:rsidR="000D71C5" w:rsidRPr="000E2B31" w:rsidRDefault="000E2B31" w:rsidP="000E2B31">
      <w:pPr>
        <w:tabs>
          <w:tab w:val="left" w:pos="709"/>
        </w:tabs>
        <w:spacing w:before="0" w:beforeAutospacing="0"/>
        <w:jc w:val="both"/>
        <w:rPr>
          <w:rFonts w:ascii="Times New Roman" w:hAnsi="Times New Roman" w:cs="Times New Roman"/>
          <w:sz w:val="28"/>
          <w:szCs w:val="28"/>
          <w:lang w:val="en-US"/>
        </w:rPr>
      </w:pPr>
      <w:r w:rsidRPr="007320D1">
        <w:rPr>
          <w:rFonts w:ascii="Times New Roman" w:hAnsi="Times New Roman" w:cs="Times New Roman"/>
          <w:sz w:val="28"/>
          <w:szCs w:val="28"/>
          <w:lang w:val="en-US"/>
        </w:rPr>
        <w:t>[50]</w:t>
      </w:r>
      <w:r w:rsidRPr="007320D1">
        <w:rPr>
          <w:rFonts w:ascii="Times New Roman" w:hAnsi="Times New Roman" w:cs="Times New Roman"/>
          <w:sz w:val="28"/>
          <w:szCs w:val="28"/>
          <w:lang w:val="en-US"/>
        </w:rPr>
        <w:tab/>
      </w:r>
      <w:r w:rsidR="000D71C5" w:rsidRPr="000E2B31">
        <w:rPr>
          <w:rFonts w:ascii="Times New Roman" w:hAnsi="Times New Roman" w:cs="Times New Roman"/>
          <w:sz w:val="28"/>
          <w:szCs w:val="28"/>
          <w:lang w:val="en-GB"/>
        </w:rPr>
        <w:t>I</w:t>
      </w:r>
      <w:r w:rsidR="004938E8" w:rsidRPr="000E2B31">
        <w:rPr>
          <w:rFonts w:ascii="Times New Roman" w:hAnsi="Times New Roman" w:cs="Times New Roman"/>
          <w:sz w:val="28"/>
          <w:szCs w:val="28"/>
          <w:lang w:val="en-GB"/>
        </w:rPr>
        <w:t>t</w:t>
      </w:r>
      <w:r w:rsidR="000D71C5" w:rsidRPr="000E2B31">
        <w:rPr>
          <w:rFonts w:ascii="Times New Roman" w:hAnsi="Times New Roman" w:cs="Times New Roman"/>
          <w:sz w:val="28"/>
          <w:szCs w:val="28"/>
          <w:lang w:val="en-GB"/>
        </w:rPr>
        <w:t xml:space="preserve"> </w:t>
      </w:r>
      <w:r w:rsidR="00260603" w:rsidRPr="000E2B31">
        <w:rPr>
          <w:rFonts w:ascii="Times New Roman" w:hAnsi="Times New Roman" w:cs="Times New Roman"/>
          <w:sz w:val="28"/>
          <w:szCs w:val="28"/>
          <w:lang w:val="en-GB"/>
        </w:rPr>
        <w:t>transpired in this regard that</w:t>
      </w:r>
      <w:r w:rsidR="000D71C5" w:rsidRPr="000E2B31">
        <w:rPr>
          <w:rFonts w:ascii="Times New Roman" w:hAnsi="Times New Roman" w:cs="Times New Roman"/>
          <w:sz w:val="28"/>
          <w:szCs w:val="28"/>
          <w:lang w:val="en-GB"/>
        </w:rPr>
        <w:t xml:space="preserve"> on 18 September 2019, the </w:t>
      </w:r>
      <w:r w:rsidR="00FA36F1" w:rsidRPr="000E2B31">
        <w:rPr>
          <w:rFonts w:ascii="Times New Roman" w:hAnsi="Times New Roman" w:cs="Times New Roman"/>
          <w:sz w:val="28"/>
          <w:szCs w:val="28"/>
          <w:lang w:val="en-GB"/>
        </w:rPr>
        <w:t>D</w:t>
      </w:r>
      <w:r w:rsidR="000D71C5" w:rsidRPr="000E2B31">
        <w:rPr>
          <w:rFonts w:ascii="Times New Roman" w:hAnsi="Times New Roman" w:cs="Times New Roman"/>
          <w:sz w:val="28"/>
          <w:szCs w:val="28"/>
          <w:lang w:val="en-GB"/>
        </w:rPr>
        <w:t>epartment had instructed the princip</w:t>
      </w:r>
      <w:r w:rsidR="00FA36F1" w:rsidRPr="000E2B31">
        <w:rPr>
          <w:rFonts w:ascii="Times New Roman" w:hAnsi="Times New Roman" w:cs="Times New Roman"/>
          <w:sz w:val="28"/>
          <w:szCs w:val="28"/>
          <w:lang w:val="en-GB"/>
        </w:rPr>
        <w:t>al</w:t>
      </w:r>
      <w:r w:rsidR="000D71C5" w:rsidRPr="000E2B31">
        <w:rPr>
          <w:rFonts w:ascii="Times New Roman" w:hAnsi="Times New Roman" w:cs="Times New Roman"/>
          <w:sz w:val="28"/>
          <w:szCs w:val="28"/>
          <w:lang w:val="en-GB"/>
        </w:rPr>
        <w:t xml:space="preserve"> agent</w:t>
      </w:r>
      <w:r w:rsidR="000717F6" w:rsidRPr="000E2B31">
        <w:rPr>
          <w:rFonts w:ascii="Times New Roman" w:hAnsi="Times New Roman" w:cs="Times New Roman"/>
          <w:sz w:val="28"/>
          <w:szCs w:val="28"/>
          <w:lang w:val="en-GB"/>
        </w:rPr>
        <w:t xml:space="preserve"> (</w:t>
      </w:r>
      <w:r w:rsidR="00260603" w:rsidRPr="000E2B31">
        <w:rPr>
          <w:rFonts w:ascii="Times New Roman" w:hAnsi="Times New Roman" w:cs="Times New Roman"/>
          <w:sz w:val="28"/>
          <w:szCs w:val="28"/>
          <w:lang w:val="en-GB"/>
        </w:rPr>
        <w:t>“</w:t>
      </w:r>
      <w:r w:rsidR="000717F6" w:rsidRPr="000E2B31">
        <w:rPr>
          <w:rFonts w:ascii="Times New Roman" w:hAnsi="Times New Roman" w:cs="Times New Roman"/>
          <w:sz w:val="28"/>
          <w:szCs w:val="28"/>
          <w:lang w:val="en-GB"/>
        </w:rPr>
        <w:t>BNM</w:t>
      </w:r>
      <w:r w:rsidR="00260603" w:rsidRPr="000E2B31">
        <w:rPr>
          <w:rFonts w:ascii="Times New Roman" w:hAnsi="Times New Roman" w:cs="Times New Roman"/>
          <w:sz w:val="28"/>
          <w:szCs w:val="28"/>
          <w:lang w:val="en-GB"/>
        </w:rPr>
        <w:t>”</w:t>
      </w:r>
      <w:r w:rsidR="000717F6" w:rsidRPr="000E2B31">
        <w:rPr>
          <w:rFonts w:ascii="Times New Roman" w:hAnsi="Times New Roman" w:cs="Times New Roman"/>
          <w:sz w:val="28"/>
          <w:szCs w:val="28"/>
          <w:lang w:val="en-GB"/>
        </w:rPr>
        <w:t>)</w:t>
      </w:r>
      <w:r w:rsidR="000D71C5" w:rsidRPr="000E2B31">
        <w:rPr>
          <w:rFonts w:ascii="Times New Roman" w:hAnsi="Times New Roman" w:cs="Times New Roman"/>
          <w:sz w:val="28"/>
          <w:szCs w:val="28"/>
          <w:lang w:val="en-GB"/>
        </w:rPr>
        <w:t xml:space="preserve"> to undertake a technical risk assessment of the first </w:t>
      </w:r>
      <w:r w:rsidR="000717F6" w:rsidRPr="000E2B31">
        <w:rPr>
          <w:rFonts w:ascii="Times New Roman" w:hAnsi="Times New Roman" w:cs="Times New Roman"/>
          <w:sz w:val="28"/>
          <w:szCs w:val="28"/>
          <w:lang w:val="en-GB"/>
        </w:rPr>
        <w:t xml:space="preserve">and </w:t>
      </w:r>
      <w:r w:rsidR="000D71C5" w:rsidRPr="000E2B31">
        <w:rPr>
          <w:rFonts w:ascii="Times New Roman" w:hAnsi="Times New Roman" w:cs="Times New Roman"/>
          <w:sz w:val="28"/>
          <w:szCs w:val="28"/>
          <w:lang w:val="en-GB"/>
        </w:rPr>
        <w:t>second respondent</w:t>
      </w:r>
      <w:r w:rsidR="00FA36F1" w:rsidRPr="000E2B31">
        <w:rPr>
          <w:rFonts w:ascii="Times New Roman" w:hAnsi="Times New Roman" w:cs="Times New Roman"/>
          <w:sz w:val="28"/>
          <w:szCs w:val="28"/>
          <w:lang w:val="en-GB"/>
        </w:rPr>
        <w:t xml:space="preserve">s. </w:t>
      </w:r>
      <w:r w:rsidR="00260603" w:rsidRPr="000E2B31">
        <w:rPr>
          <w:rFonts w:ascii="Times New Roman" w:hAnsi="Times New Roman" w:cs="Times New Roman"/>
          <w:sz w:val="28"/>
          <w:szCs w:val="28"/>
          <w:lang w:val="en-GB"/>
        </w:rPr>
        <w:t xml:space="preserve">(The third respondent was not assessed together with the first and second respondents but had instead been subjected to an earlier </w:t>
      </w:r>
      <w:r w:rsidR="00260603" w:rsidRPr="000E2B31">
        <w:rPr>
          <w:rFonts w:ascii="Times New Roman" w:hAnsi="Times New Roman" w:cs="Times New Roman"/>
          <w:sz w:val="28"/>
          <w:szCs w:val="28"/>
          <w:lang w:val="en-GB"/>
        </w:rPr>
        <w:lastRenderedPageBreak/>
        <w:t xml:space="preserve">technical risk assessment together with </w:t>
      </w:r>
      <w:r w:rsidR="00371A9B" w:rsidRPr="000E2B31">
        <w:rPr>
          <w:rFonts w:ascii="Times New Roman" w:hAnsi="Times New Roman" w:cs="Times New Roman"/>
          <w:sz w:val="28"/>
          <w:szCs w:val="28"/>
          <w:lang w:val="en-GB"/>
        </w:rPr>
        <w:t>Sinclaire Gershan Troskie Construction (“SGT”) and Blue Disa Trading 754 CC t/a Ulutsha Trading (“Ulutsha Trading”)</w:t>
      </w:r>
      <w:r w:rsidR="007A48A2" w:rsidRPr="000E2B31">
        <w:rPr>
          <w:rFonts w:ascii="Times New Roman" w:hAnsi="Times New Roman" w:cs="Times New Roman"/>
          <w:sz w:val="28"/>
          <w:szCs w:val="28"/>
          <w:lang w:val="en-GB"/>
        </w:rPr>
        <w:t>,</w:t>
      </w:r>
      <w:r w:rsidR="00371A9B" w:rsidRPr="000E2B31">
        <w:rPr>
          <w:rFonts w:ascii="Times New Roman" w:hAnsi="Times New Roman" w:cs="Times New Roman"/>
          <w:sz w:val="28"/>
          <w:szCs w:val="28"/>
          <w:lang w:val="en-GB"/>
        </w:rPr>
        <w:t xml:space="preserve"> </w:t>
      </w:r>
      <w:r w:rsidR="00A76486" w:rsidRPr="000E2B31">
        <w:rPr>
          <w:rFonts w:ascii="Times New Roman" w:hAnsi="Times New Roman" w:cs="Times New Roman"/>
          <w:sz w:val="28"/>
          <w:szCs w:val="28"/>
          <w:lang w:val="en-GB"/>
        </w:rPr>
        <w:t>both of who’s</w:t>
      </w:r>
      <w:r w:rsidR="00260603" w:rsidRPr="000E2B31">
        <w:rPr>
          <w:rFonts w:ascii="Times New Roman" w:hAnsi="Times New Roman" w:cs="Times New Roman"/>
          <w:sz w:val="28"/>
          <w:szCs w:val="28"/>
          <w:lang w:val="en-GB"/>
        </w:rPr>
        <w:t xml:space="preserve"> bids had been declared administratively </w:t>
      </w:r>
      <w:r w:rsidR="004749F1" w:rsidRPr="000E2B31">
        <w:rPr>
          <w:rFonts w:ascii="Times New Roman" w:hAnsi="Times New Roman" w:cs="Times New Roman"/>
          <w:sz w:val="28"/>
          <w:szCs w:val="28"/>
          <w:lang w:val="en-GB"/>
        </w:rPr>
        <w:t>nonresponsive yet</w:t>
      </w:r>
      <w:r w:rsidR="00260603" w:rsidRPr="000E2B31">
        <w:rPr>
          <w:rFonts w:ascii="Times New Roman" w:hAnsi="Times New Roman" w:cs="Times New Roman"/>
          <w:sz w:val="28"/>
          <w:szCs w:val="28"/>
          <w:lang w:val="en-GB"/>
        </w:rPr>
        <w:t xml:space="preserve"> </w:t>
      </w:r>
      <w:r w:rsidR="00371A9B" w:rsidRPr="000E2B31">
        <w:rPr>
          <w:rFonts w:ascii="Times New Roman" w:hAnsi="Times New Roman" w:cs="Times New Roman"/>
          <w:sz w:val="28"/>
          <w:szCs w:val="28"/>
          <w:lang w:val="en-GB"/>
        </w:rPr>
        <w:t xml:space="preserve">they </w:t>
      </w:r>
      <w:r w:rsidR="00260603" w:rsidRPr="000E2B31">
        <w:rPr>
          <w:rFonts w:ascii="Times New Roman" w:hAnsi="Times New Roman" w:cs="Times New Roman"/>
          <w:sz w:val="28"/>
          <w:szCs w:val="28"/>
          <w:lang w:val="en-GB"/>
        </w:rPr>
        <w:t xml:space="preserve">were strangely </w:t>
      </w:r>
      <w:r w:rsidR="004749F1" w:rsidRPr="000E2B31">
        <w:rPr>
          <w:rFonts w:ascii="Times New Roman" w:hAnsi="Times New Roman" w:cs="Times New Roman"/>
          <w:sz w:val="28"/>
          <w:szCs w:val="28"/>
          <w:lang w:val="en-GB"/>
        </w:rPr>
        <w:t xml:space="preserve">assessed </w:t>
      </w:r>
      <w:r w:rsidR="00260603" w:rsidRPr="000E2B31">
        <w:rPr>
          <w:rFonts w:ascii="Times New Roman" w:hAnsi="Times New Roman" w:cs="Times New Roman"/>
          <w:sz w:val="28"/>
          <w:szCs w:val="28"/>
          <w:lang w:val="en-GB"/>
        </w:rPr>
        <w:t xml:space="preserve">together with </w:t>
      </w:r>
      <w:r w:rsidR="004749F1" w:rsidRPr="000E2B31">
        <w:rPr>
          <w:rFonts w:ascii="Times New Roman" w:hAnsi="Times New Roman" w:cs="Times New Roman"/>
          <w:sz w:val="28"/>
          <w:szCs w:val="28"/>
          <w:lang w:val="en-GB"/>
        </w:rPr>
        <w:t>the third respondent</w:t>
      </w:r>
      <w:r w:rsidR="00531487" w:rsidRPr="000E2B31">
        <w:rPr>
          <w:rFonts w:ascii="Times New Roman" w:hAnsi="Times New Roman" w:cs="Times New Roman"/>
          <w:sz w:val="28"/>
          <w:szCs w:val="28"/>
          <w:lang w:val="en-GB"/>
        </w:rPr>
        <w:t xml:space="preserve"> for risk</w:t>
      </w:r>
      <w:r w:rsidR="00260603" w:rsidRPr="000E2B31">
        <w:rPr>
          <w:rFonts w:ascii="Times New Roman" w:hAnsi="Times New Roman" w:cs="Times New Roman"/>
          <w:sz w:val="28"/>
          <w:szCs w:val="28"/>
          <w:lang w:val="en-GB"/>
        </w:rPr>
        <w:t>).</w:t>
      </w:r>
      <w:r w:rsidR="00260603">
        <w:rPr>
          <w:rStyle w:val="FootnoteReference"/>
          <w:rFonts w:ascii="Times New Roman" w:hAnsi="Times New Roman" w:cs="Times New Roman"/>
          <w:sz w:val="28"/>
          <w:szCs w:val="28"/>
          <w:lang w:val="en-GB"/>
        </w:rPr>
        <w:footnoteReference w:id="22"/>
      </w:r>
      <w:r w:rsidR="00260603" w:rsidRPr="000E2B31">
        <w:rPr>
          <w:rFonts w:ascii="Times New Roman" w:hAnsi="Times New Roman" w:cs="Times New Roman"/>
          <w:sz w:val="28"/>
          <w:szCs w:val="28"/>
          <w:lang w:val="en-GB"/>
        </w:rPr>
        <w:t xml:space="preserve"> </w:t>
      </w:r>
      <w:r w:rsidR="00FA36F1" w:rsidRPr="000E2B31">
        <w:rPr>
          <w:rFonts w:ascii="Times New Roman" w:hAnsi="Times New Roman" w:cs="Times New Roman"/>
          <w:sz w:val="28"/>
          <w:szCs w:val="28"/>
          <w:lang w:val="en-GB"/>
        </w:rPr>
        <w:t>BNM</w:t>
      </w:r>
      <w:r w:rsidR="000D71C5" w:rsidRPr="000E2B31">
        <w:rPr>
          <w:rFonts w:ascii="Times New Roman" w:hAnsi="Times New Roman" w:cs="Times New Roman"/>
          <w:sz w:val="28"/>
          <w:szCs w:val="28"/>
          <w:lang w:val="en-GB"/>
        </w:rPr>
        <w:t xml:space="preserve"> prepared a report </w:t>
      </w:r>
      <w:r w:rsidR="00260603" w:rsidRPr="000E2B31">
        <w:rPr>
          <w:rFonts w:ascii="Times New Roman" w:hAnsi="Times New Roman" w:cs="Times New Roman"/>
          <w:sz w:val="28"/>
          <w:szCs w:val="28"/>
          <w:lang w:val="en-GB"/>
        </w:rPr>
        <w:t xml:space="preserve">dated 27 September </w:t>
      </w:r>
      <w:r w:rsidR="000D71C5" w:rsidRPr="000E2B31">
        <w:rPr>
          <w:rFonts w:ascii="Times New Roman" w:hAnsi="Times New Roman" w:cs="Times New Roman"/>
          <w:sz w:val="28"/>
          <w:szCs w:val="28"/>
          <w:lang w:val="en-GB"/>
        </w:rPr>
        <w:t>indicating that the second respondent</w:t>
      </w:r>
      <w:r w:rsidR="004749F1" w:rsidRPr="000E2B31">
        <w:rPr>
          <w:rFonts w:ascii="Times New Roman" w:hAnsi="Times New Roman" w:cs="Times New Roman"/>
          <w:sz w:val="28"/>
          <w:szCs w:val="28"/>
          <w:lang w:val="en-GB"/>
        </w:rPr>
        <w:t xml:space="preserve"> </w:t>
      </w:r>
      <w:r w:rsidR="000D71C5" w:rsidRPr="000E2B31">
        <w:rPr>
          <w:rFonts w:ascii="Times New Roman" w:hAnsi="Times New Roman" w:cs="Times New Roman"/>
          <w:sz w:val="28"/>
          <w:szCs w:val="28"/>
          <w:lang w:val="en-GB"/>
        </w:rPr>
        <w:t>“appears to be the favourable bid</w:t>
      </w:r>
      <w:r w:rsidR="00FA36F1" w:rsidRPr="000E2B31">
        <w:rPr>
          <w:rFonts w:ascii="Times New Roman" w:hAnsi="Times New Roman" w:cs="Times New Roman"/>
          <w:sz w:val="28"/>
          <w:szCs w:val="28"/>
          <w:lang w:val="en-GB"/>
        </w:rPr>
        <w:t>der</w:t>
      </w:r>
      <w:r w:rsidR="000D71C5" w:rsidRPr="000E2B31">
        <w:rPr>
          <w:rFonts w:ascii="Times New Roman" w:hAnsi="Times New Roman" w:cs="Times New Roman"/>
          <w:sz w:val="28"/>
          <w:szCs w:val="28"/>
          <w:lang w:val="en-GB"/>
        </w:rPr>
        <w:t>”</w:t>
      </w:r>
      <w:r w:rsidR="004749F1" w:rsidRPr="000E2B31">
        <w:rPr>
          <w:rFonts w:ascii="Times New Roman" w:hAnsi="Times New Roman" w:cs="Times New Roman"/>
          <w:sz w:val="28"/>
          <w:szCs w:val="28"/>
          <w:lang w:val="en-GB"/>
        </w:rPr>
        <w:t xml:space="preserve"> as between it and the first respondent.</w:t>
      </w:r>
      <w:r w:rsidR="000717F6" w:rsidRPr="000E2B31">
        <w:rPr>
          <w:rFonts w:ascii="Times New Roman" w:hAnsi="Times New Roman" w:cs="Times New Roman"/>
          <w:sz w:val="28"/>
          <w:szCs w:val="28"/>
          <w:lang w:val="en-GB"/>
        </w:rPr>
        <w:t xml:space="preserve"> </w:t>
      </w:r>
      <w:r w:rsidR="004749F1" w:rsidRPr="000E2B31">
        <w:rPr>
          <w:rFonts w:ascii="Times New Roman" w:hAnsi="Times New Roman" w:cs="Times New Roman"/>
          <w:sz w:val="28"/>
          <w:szCs w:val="28"/>
          <w:lang w:val="en-GB"/>
        </w:rPr>
        <w:t>It further advised that “</w:t>
      </w:r>
      <w:r w:rsidR="00FA36F1" w:rsidRPr="000E2B31">
        <w:rPr>
          <w:rFonts w:ascii="Times New Roman" w:hAnsi="Times New Roman" w:cs="Times New Roman"/>
          <w:sz w:val="28"/>
          <w:szCs w:val="28"/>
          <w:lang w:val="en-GB"/>
        </w:rPr>
        <w:t>F</w:t>
      </w:r>
      <w:r w:rsidR="000D71C5" w:rsidRPr="000E2B31">
        <w:rPr>
          <w:rFonts w:ascii="Times New Roman" w:hAnsi="Times New Roman" w:cs="Times New Roman"/>
          <w:sz w:val="28"/>
          <w:szCs w:val="28"/>
          <w:lang w:val="en-GB"/>
        </w:rPr>
        <w:t xml:space="preserve">rom the information available, it appears that the </w:t>
      </w:r>
      <w:r w:rsidR="00FA36F1" w:rsidRPr="000E2B31">
        <w:rPr>
          <w:rFonts w:ascii="Times New Roman" w:hAnsi="Times New Roman" w:cs="Times New Roman"/>
          <w:sz w:val="28"/>
          <w:szCs w:val="28"/>
          <w:lang w:val="en-GB"/>
        </w:rPr>
        <w:t>C</w:t>
      </w:r>
      <w:r w:rsidR="000D71C5" w:rsidRPr="000E2B31">
        <w:rPr>
          <w:rFonts w:ascii="Times New Roman" w:hAnsi="Times New Roman" w:cs="Times New Roman"/>
          <w:sz w:val="28"/>
          <w:szCs w:val="28"/>
          <w:lang w:val="en-GB"/>
        </w:rPr>
        <w:t>ontractor</w:t>
      </w:r>
      <w:r w:rsidR="00A76486" w:rsidRPr="000E2B31">
        <w:rPr>
          <w:rFonts w:ascii="Times New Roman" w:hAnsi="Times New Roman" w:cs="Times New Roman"/>
          <w:sz w:val="28"/>
          <w:szCs w:val="28"/>
          <w:lang w:val="en-GB"/>
        </w:rPr>
        <w:t xml:space="preserve"> (meaning the first respondent)</w:t>
      </w:r>
      <w:r w:rsidR="000D71C5" w:rsidRPr="000E2B31">
        <w:rPr>
          <w:rFonts w:ascii="Times New Roman" w:hAnsi="Times New Roman" w:cs="Times New Roman"/>
          <w:sz w:val="28"/>
          <w:szCs w:val="28"/>
          <w:lang w:val="en-GB"/>
        </w:rPr>
        <w:t xml:space="preserve"> is </w:t>
      </w:r>
      <w:r w:rsidR="00FA36F1" w:rsidRPr="000E2B31">
        <w:rPr>
          <w:rFonts w:ascii="Times New Roman" w:hAnsi="Times New Roman" w:cs="Times New Roman"/>
          <w:sz w:val="28"/>
          <w:szCs w:val="28"/>
          <w:lang w:val="en-GB"/>
        </w:rPr>
        <w:t>NOT</w:t>
      </w:r>
      <w:r w:rsidR="000D71C5" w:rsidRPr="000E2B31">
        <w:rPr>
          <w:rFonts w:ascii="Times New Roman" w:hAnsi="Times New Roman" w:cs="Times New Roman"/>
          <w:sz w:val="28"/>
          <w:szCs w:val="28"/>
          <w:lang w:val="en-GB"/>
        </w:rPr>
        <w:t xml:space="preserve"> recommended by 50% of referees</w:t>
      </w:r>
      <w:r w:rsidR="00FA36F1" w:rsidRPr="000E2B31">
        <w:rPr>
          <w:rFonts w:ascii="Times New Roman" w:hAnsi="Times New Roman" w:cs="Times New Roman"/>
          <w:sz w:val="28"/>
          <w:szCs w:val="28"/>
          <w:lang w:val="en-GB"/>
        </w:rPr>
        <w:t>.</w:t>
      </w:r>
      <w:r w:rsidR="000D71C5" w:rsidRPr="000E2B31">
        <w:rPr>
          <w:rFonts w:ascii="Times New Roman" w:hAnsi="Times New Roman" w:cs="Times New Roman"/>
          <w:sz w:val="28"/>
          <w:szCs w:val="28"/>
          <w:lang w:val="en-GB"/>
        </w:rPr>
        <w:t>”</w:t>
      </w:r>
    </w:p>
    <w:p w14:paraId="1C25C7CF" w14:textId="77777777" w:rsidR="007320D1" w:rsidRPr="007320D1" w:rsidRDefault="007320D1" w:rsidP="007320D1">
      <w:pPr>
        <w:pStyle w:val="ListParagraph"/>
        <w:rPr>
          <w:rFonts w:ascii="Times New Roman" w:hAnsi="Times New Roman" w:cs="Times New Roman"/>
          <w:sz w:val="28"/>
          <w:szCs w:val="28"/>
          <w:lang w:val="en-US"/>
        </w:rPr>
      </w:pPr>
    </w:p>
    <w:p w14:paraId="6CE1DDA8" w14:textId="2C8D2D6A" w:rsidR="007320D1" w:rsidRPr="000E2B31" w:rsidRDefault="000E2B31" w:rsidP="000E2B31">
      <w:pPr>
        <w:tabs>
          <w:tab w:val="left" w:pos="709"/>
        </w:tabs>
        <w:spacing w:before="0" w:beforeAutospacing="0"/>
        <w:jc w:val="both"/>
        <w:rPr>
          <w:rFonts w:ascii="Times New Roman" w:hAnsi="Times New Roman" w:cs="Times New Roman"/>
          <w:sz w:val="28"/>
          <w:szCs w:val="28"/>
          <w:u w:val="single"/>
          <w:lang w:val="en-US"/>
        </w:rPr>
      </w:pPr>
      <w:r w:rsidRPr="00ED5B87">
        <w:rPr>
          <w:rFonts w:ascii="Times New Roman" w:hAnsi="Times New Roman" w:cs="Times New Roman"/>
          <w:sz w:val="28"/>
          <w:szCs w:val="28"/>
          <w:lang w:val="en-US"/>
        </w:rPr>
        <w:t>[51]</w:t>
      </w:r>
      <w:r w:rsidRPr="00ED5B87">
        <w:rPr>
          <w:rFonts w:ascii="Times New Roman" w:hAnsi="Times New Roman" w:cs="Times New Roman"/>
          <w:sz w:val="28"/>
          <w:szCs w:val="28"/>
          <w:lang w:val="en-US"/>
        </w:rPr>
        <w:tab/>
      </w:r>
      <w:r w:rsidR="004749F1" w:rsidRPr="000E2B31">
        <w:rPr>
          <w:rFonts w:ascii="Times New Roman" w:hAnsi="Times New Roman" w:cs="Times New Roman"/>
          <w:sz w:val="28"/>
          <w:szCs w:val="28"/>
          <w:lang w:val="en-US"/>
        </w:rPr>
        <w:t>By the appellant’s own admission such report was merely a “guideline” and not binding on it. It assured the court that Mr. Ndwandwa</w:t>
      </w:r>
      <w:r w:rsidR="00CF569D" w:rsidRPr="000E2B31">
        <w:rPr>
          <w:rFonts w:ascii="Times New Roman" w:hAnsi="Times New Roman" w:cs="Times New Roman"/>
          <w:sz w:val="28"/>
          <w:szCs w:val="28"/>
          <w:lang w:val="en-US"/>
        </w:rPr>
        <w:t>, the Department’s own</w:t>
      </w:r>
      <w:r w:rsidR="004749F1" w:rsidRPr="000E2B31">
        <w:rPr>
          <w:rFonts w:ascii="Times New Roman" w:hAnsi="Times New Roman" w:cs="Times New Roman"/>
          <w:sz w:val="28"/>
          <w:szCs w:val="28"/>
          <w:lang w:val="en-US"/>
        </w:rPr>
        <w:t xml:space="preserve"> project manager</w:t>
      </w:r>
      <w:r w:rsidR="00F678B4" w:rsidRPr="000E2B31">
        <w:rPr>
          <w:rFonts w:ascii="Times New Roman" w:hAnsi="Times New Roman" w:cs="Times New Roman"/>
          <w:sz w:val="28"/>
          <w:szCs w:val="28"/>
          <w:lang w:val="en-US"/>
        </w:rPr>
        <w:t xml:space="preserve"> (who was said to have then still been in training despite the Department’s critical technical skill contended for that made </w:t>
      </w:r>
      <w:r w:rsidR="00F678B4" w:rsidRPr="000E2B31">
        <w:rPr>
          <w:rFonts w:ascii="Times New Roman" w:hAnsi="Times New Roman" w:cs="Times New Roman"/>
          <w:i/>
          <w:iCs/>
          <w:sz w:val="28"/>
          <w:szCs w:val="28"/>
          <w:lang w:val="en-US"/>
        </w:rPr>
        <w:t>it</w:t>
      </w:r>
      <w:r w:rsidR="00F678B4" w:rsidRPr="000E2B31">
        <w:rPr>
          <w:rFonts w:ascii="Times New Roman" w:hAnsi="Times New Roman" w:cs="Times New Roman"/>
          <w:sz w:val="28"/>
          <w:szCs w:val="28"/>
          <w:lang w:val="en-US"/>
        </w:rPr>
        <w:t xml:space="preserve"> rather than the court better suited to determine any risk to it)</w:t>
      </w:r>
      <w:r w:rsidR="004749F1" w:rsidRPr="000E2B31">
        <w:rPr>
          <w:rFonts w:ascii="Times New Roman" w:hAnsi="Times New Roman" w:cs="Times New Roman"/>
          <w:sz w:val="28"/>
          <w:szCs w:val="28"/>
          <w:lang w:val="en-US"/>
        </w:rPr>
        <w:t xml:space="preserve"> had </w:t>
      </w:r>
      <w:r w:rsidR="00F678B4" w:rsidRPr="000E2B31">
        <w:rPr>
          <w:rFonts w:ascii="Times New Roman" w:hAnsi="Times New Roman" w:cs="Times New Roman"/>
          <w:sz w:val="28"/>
          <w:szCs w:val="28"/>
          <w:lang w:val="en-US"/>
        </w:rPr>
        <w:t xml:space="preserve">undertaken his “own final risk assessment”.  </w:t>
      </w:r>
      <w:r w:rsidR="004749F1" w:rsidRPr="000E2B31">
        <w:rPr>
          <w:rFonts w:ascii="Times New Roman" w:hAnsi="Times New Roman" w:cs="Times New Roman"/>
          <w:sz w:val="28"/>
          <w:szCs w:val="28"/>
          <w:lang w:val="en-US"/>
        </w:rPr>
        <w:t xml:space="preserve"> </w:t>
      </w:r>
      <w:r w:rsidR="009B7366" w:rsidRPr="000E2B31">
        <w:rPr>
          <w:rFonts w:ascii="Times New Roman" w:hAnsi="Times New Roman" w:cs="Times New Roman"/>
          <w:sz w:val="28"/>
          <w:szCs w:val="28"/>
          <w:lang w:val="en-US"/>
        </w:rPr>
        <w:t>But in</w:t>
      </w:r>
      <w:r w:rsidR="007320D1" w:rsidRPr="000E2B31">
        <w:rPr>
          <w:rFonts w:ascii="Times New Roman" w:hAnsi="Times New Roman" w:cs="Times New Roman"/>
          <w:sz w:val="28"/>
          <w:szCs w:val="28"/>
          <w:lang w:val="en-US"/>
        </w:rPr>
        <w:t xml:space="preserve"> his report submitted to the </w:t>
      </w:r>
      <w:r w:rsidR="009B7366" w:rsidRPr="000E2B31">
        <w:rPr>
          <w:rFonts w:ascii="Times New Roman" w:hAnsi="Times New Roman" w:cs="Times New Roman"/>
          <w:sz w:val="28"/>
          <w:szCs w:val="28"/>
          <w:lang w:val="en-US"/>
        </w:rPr>
        <w:t>BEC</w:t>
      </w:r>
      <w:r w:rsidR="007320D1" w:rsidRPr="000E2B31">
        <w:rPr>
          <w:rFonts w:ascii="Times New Roman" w:hAnsi="Times New Roman" w:cs="Times New Roman"/>
          <w:sz w:val="28"/>
          <w:szCs w:val="28"/>
          <w:lang w:val="en-US"/>
        </w:rPr>
        <w:t xml:space="preserve"> </w:t>
      </w:r>
      <w:r w:rsidR="00A76486" w:rsidRPr="000E2B31">
        <w:rPr>
          <w:rFonts w:ascii="Times New Roman" w:hAnsi="Times New Roman" w:cs="Times New Roman"/>
          <w:sz w:val="28"/>
          <w:szCs w:val="28"/>
          <w:lang w:val="en-US"/>
        </w:rPr>
        <w:t>this purported</w:t>
      </w:r>
      <w:r w:rsidR="009B7366" w:rsidRPr="000E2B31">
        <w:rPr>
          <w:rFonts w:ascii="Times New Roman" w:hAnsi="Times New Roman" w:cs="Times New Roman"/>
          <w:sz w:val="28"/>
          <w:szCs w:val="28"/>
          <w:lang w:val="en-US"/>
        </w:rPr>
        <w:t xml:space="preserve"> evaluation </w:t>
      </w:r>
      <w:r w:rsidR="00A76486" w:rsidRPr="000E2B31">
        <w:rPr>
          <w:rFonts w:ascii="Times New Roman" w:hAnsi="Times New Roman" w:cs="Times New Roman"/>
          <w:sz w:val="28"/>
          <w:szCs w:val="28"/>
          <w:lang w:val="en-US"/>
        </w:rPr>
        <w:t xml:space="preserve">by him </w:t>
      </w:r>
      <w:r w:rsidR="009B7366" w:rsidRPr="000E2B31">
        <w:rPr>
          <w:rFonts w:ascii="Times New Roman" w:hAnsi="Times New Roman" w:cs="Times New Roman"/>
          <w:sz w:val="28"/>
          <w:szCs w:val="28"/>
          <w:lang w:val="en-US"/>
        </w:rPr>
        <w:t>was</w:t>
      </w:r>
      <w:r w:rsidR="007320D1" w:rsidRPr="000E2B31">
        <w:rPr>
          <w:rFonts w:ascii="Times New Roman" w:hAnsi="Times New Roman" w:cs="Times New Roman"/>
          <w:sz w:val="28"/>
          <w:szCs w:val="28"/>
          <w:lang w:val="en-US"/>
        </w:rPr>
        <w:t xml:space="preserve"> not elaborated upon.  </w:t>
      </w:r>
      <w:r w:rsidR="00531487" w:rsidRPr="000E2B31">
        <w:rPr>
          <w:rFonts w:ascii="Times New Roman" w:hAnsi="Times New Roman" w:cs="Times New Roman"/>
          <w:sz w:val="28"/>
          <w:szCs w:val="28"/>
          <w:lang w:val="en-US"/>
        </w:rPr>
        <w:t>Instead,</w:t>
      </w:r>
      <w:r w:rsidR="007A48A2" w:rsidRPr="000E2B31">
        <w:rPr>
          <w:rFonts w:ascii="Times New Roman" w:hAnsi="Times New Roman" w:cs="Times New Roman"/>
          <w:sz w:val="28"/>
          <w:szCs w:val="28"/>
          <w:lang w:val="en-US"/>
        </w:rPr>
        <w:t xml:space="preserve"> </w:t>
      </w:r>
      <w:r w:rsidR="007320D1" w:rsidRPr="000E2B31">
        <w:rPr>
          <w:rFonts w:ascii="Times New Roman" w:hAnsi="Times New Roman" w:cs="Times New Roman"/>
          <w:sz w:val="28"/>
          <w:szCs w:val="28"/>
          <w:lang w:val="en-US"/>
        </w:rPr>
        <w:t xml:space="preserve">he merely summarized the subjective </w:t>
      </w:r>
      <w:r w:rsidR="00A76486" w:rsidRPr="000E2B31">
        <w:rPr>
          <w:rFonts w:ascii="Times New Roman" w:hAnsi="Times New Roman" w:cs="Times New Roman"/>
          <w:sz w:val="28"/>
          <w:szCs w:val="28"/>
          <w:lang w:val="en-US"/>
        </w:rPr>
        <w:t>reflections</w:t>
      </w:r>
      <w:r w:rsidR="007320D1" w:rsidRPr="000E2B31">
        <w:rPr>
          <w:rFonts w:ascii="Times New Roman" w:hAnsi="Times New Roman" w:cs="Times New Roman"/>
          <w:sz w:val="28"/>
          <w:szCs w:val="28"/>
          <w:lang w:val="en-US"/>
        </w:rPr>
        <w:t xml:space="preserve"> of</w:t>
      </w:r>
      <w:r w:rsidR="009B7366" w:rsidRPr="000E2B31">
        <w:rPr>
          <w:rFonts w:ascii="Times New Roman" w:hAnsi="Times New Roman" w:cs="Times New Roman"/>
          <w:sz w:val="28"/>
          <w:szCs w:val="28"/>
          <w:lang w:val="en-US"/>
        </w:rPr>
        <w:t xml:space="preserve"> BNM</w:t>
      </w:r>
      <w:r w:rsidR="007320D1" w:rsidRPr="000E2B31">
        <w:rPr>
          <w:rFonts w:ascii="Times New Roman" w:hAnsi="Times New Roman" w:cs="Times New Roman"/>
          <w:sz w:val="28"/>
          <w:szCs w:val="28"/>
          <w:lang w:val="en-US"/>
        </w:rPr>
        <w:t xml:space="preserve">, which had been especially qualified with the proviso that its views were </w:t>
      </w:r>
      <w:r w:rsidR="007320D1" w:rsidRPr="000E2B31">
        <w:rPr>
          <w:rFonts w:ascii="Times New Roman" w:hAnsi="Times New Roman" w:cs="Times New Roman"/>
          <w:i/>
          <w:iCs/>
          <w:sz w:val="28"/>
          <w:szCs w:val="28"/>
          <w:lang w:val="en-US"/>
        </w:rPr>
        <w:t>“not to be used for adjudication and appointment purposes as this is subjective and based on opinions of respondents”</w:t>
      </w:r>
      <w:r w:rsidR="007320D1" w:rsidRPr="000E2B31">
        <w:rPr>
          <w:rFonts w:ascii="Times New Roman" w:hAnsi="Times New Roman" w:cs="Times New Roman"/>
          <w:sz w:val="28"/>
          <w:szCs w:val="28"/>
          <w:lang w:val="en-US"/>
        </w:rPr>
        <w:t xml:space="preserve">.  </w:t>
      </w:r>
    </w:p>
    <w:p w14:paraId="300164ED" w14:textId="77777777" w:rsidR="007320D1" w:rsidRPr="00ED5B87" w:rsidRDefault="007320D1" w:rsidP="007320D1">
      <w:pPr>
        <w:pStyle w:val="ListParagraph"/>
        <w:rPr>
          <w:rFonts w:ascii="Times New Roman" w:hAnsi="Times New Roman" w:cs="Times New Roman"/>
          <w:sz w:val="28"/>
          <w:szCs w:val="28"/>
          <w:lang w:val="en-US"/>
        </w:rPr>
      </w:pPr>
    </w:p>
    <w:p w14:paraId="4089AB58" w14:textId="6BE042A7" w:rsidR="007320D1" w:rsidRPr="000E2B31" w:rsidRDefault="000E2B31" w:rsidP="000E2B31">
      <w:pPr>
        <w:tabs>
          <w:tab w:val="left" w:pos="709"/>
        </w:tabs>
        <w:spacing w:before="0" w:beforeAutospacing="0"/>
        <w:jc w:val="both"/>
        <w:rPr>
          <w:rFonts w:ascii="Times New Roman" w:hAnsi="Times New Roman" w:cs="Times New Roman"/>
          <w:sz w:val="28"/>
          <w:szCs w:val="28"/>
          <w:u w:val="single"/>
          <w:lang w:val="en-US"/>
        </w:rPr>
      </w:pPr>
      <w:r w:rsidRPr="00872D51">
        <w:rPr>
          <w:rFonts w:ascii="Times New Roman" w:hAnsi="Times New Roman" w:cs="Times New Roman"/>
          <w:sz w:val="28"/>
          <w:szCs w:val="28"/>
          <w:lang w:val="en-US"/>
        </w:rPr>
        <w:t>[52]</w:t>
      </w:r>
      <w:r w:rsidRPr="00872D51">
        <w:rPr>
          <w:rFonts w:ascii="Times New Roman" w:hAnsi="Times New Roman" w:cs="Times New Roman"/>
          <w:sz w:val="28"/>
          <w:szCs w:val="28"/>
          <w:lang w:val="en-US"/>
        </w:rPr>
        <w:tab/>
      </w:r>
      <w:r w:rsidR="007320D1" w:rsidRPr="000E2B31">
        <w:rPr>
          <w:rFonts w:ascii="Times New Roman" w:hAnsi="Times New Roman" w:cs="Times New Roman"/>
          <w:sz w:val="28"/>
          <w:szCs w:val="28"/>
          <w:lang w:val="en-US"/>
        </w:rPr>
        <w:t xml:space="preserve">The alleged </w:t>
      </w:r>
      <w:r w:rsidR="007320D1" w:rsidRPr="000E2B31">
        <w:rPr>
          <w:rFonts w:ascii="Times New Roman" w:hAnsi="Times New Roman" w:cs="Times New Roman"/>
          <w:i/>
          <w:iCs/>
          <w:sz w:val="28"/>
          <w:szCs w:val="28"/>
          <w:lang w:val="en-US"/>
        </w:rPr>
        <w:t>“extensive discussions”</w:t>
      </w:r>
      <w:r w:rsidR="007320D1" w:rsidRPr="000E2B31">
        <w:rPr>
          <w:rFonts w:ascii="Times New Roman" w:hAnsi="Times New Roman" w:cs="Times New Roman"/>
          <w:sz w:val="28"/>
          <w:szCs w:val="28"/>
          <w:lang w:val="en-US"/>
        </w:rPr>
        <w:t xml:space="preserve"> that were </w:t>
      </w:r>
      <w:r w:rsidR="00531487" w:rsidRPr="000E2B31">
        <w:rPr>
          <w:rFonts w:ascii="Times New Roman" w:hAnsi="Times New Roman" w:cs="Times New Roman"/>
          <w:sz w:val="28"/>
          <w:szCs w:val="28"/>
          <w:lang w:val="en-US"/>
        </w:rPr>
        <w:t xml:space="preserve">supposedly </w:t>
      </w:r>
      <w:r w:rsidR="007320D1" w:rsidRPr="000E2B31">
        <w:rPr>
          <w:rFonts w:ascii="Times New Roman" w:hAnsi="Times New Roman" w:cs="Times New Roman"/>
          <w:sz w:val="28"/>
          <w:szCs w:val="28"/>
          <w:lang w:val="en-US"/>
        </w:rPr>
        <w:t xml:space="preserve">had concerning the risk </w:t>
      </w:r>
      <w:r w:rsidR="00A76486" w:rsidRPr="000E2B31">
        <w:rPr>
          <w:rFonts w:ascii="Times New Roman" w:hAnsi="Times New Roman" w:cs="Times New Roman"/>
          <w:sz w:val="28"/>
          <w:szCs w:val="28"/>
          <w:lang w:val="en-US"/>
        </w:rPr>
        <w:t xml:space="preserve">that the first respondent’s bid posed to the </w:t>
      </w:r>
      <w:r w:rsidR="00202A52" w:rsidRPr="000E2B31">
        <w:rPr>
          <w:rFonts w:ascii="Times New Roman" w:hAnsi="Times New Roman" w:cs="Times New Roman"/>
          <w:sz w:val="28"/>
          <w:szCs w:val="28"/>
          <w:lang w:val="en-US"/>
        </w:rPr>
        <w:t>appellant</w:t>
      </w:r>
      <w:r w:rsidR="00A76486" w:rsidRPr="000E2B31">
        <w:rPr>
          <w:rFonts w:ascii="Times New Roman" w:hAnsi="Times New Roman" w:cs="Times New Roman"/>
          <w:sz w:val="28"/>
          <w:szCs w:val="28"/>
          <w:lang w:val="en-US"/>
        </w:rPr>
        <w:t xml:space="preserve"> </w:t>
      </w:r>
      <w:r w:rsidR="007320D1" w:rsidRPr="000E2B31">
        <w:rPr>
          <w:rFonts w:ascii="Times New Roman" w:hAnsi="Times New Roman" w:cs="Times New Roman"/>
          <w:sz w:val="28"/>
          <w:szCs w:val="28"/>
          <w:lang w:val="en-US"/>
        </w:rPr>
        <w:t xml:space="preserve">during meetings of the BEC </w:t>
      </w:r>
      <w:r w:rsidR="007320D1" w:rsidRPr="000E2B31">
        <w:rPr>
          <w:rFonts w:ascii="Times New Roman" w:hAnsi="Times New Roman" w:cs="Times New Roman"/>
          <w:sz w:val="28"/>
          <w:szCs w:val="28"/>
          <w:lang w:val="en-US"/>
        </w:rPr>
        <w:lastRenderedPageBreak/>
        <w:t xml:space="preserve">and </w:t>
      </w:r>
      <w:r w:rsidR="009B7366" w:rsidRPr="000E2B31">
        <w:rPr>
          <w:rFonts w:ascii="Times New Roman" w:hAnsi="Times New Roman" w:cs="Times New Roman"/>
          <w:sz w:val="28"/>
          <w:szCs w:val="28"/>
          <w:lang w:val="en-US"/>
        </w:rPr>
        <w:t>BAC</w:t>
      </w:r>
      <w:r w:rsidR="007320D1" w:rsidRPr="000E2B31">
        <w:rPr>
          <w:rFonts w:ascii="Times New Roman" w:hAnsi="Times New Roman" w:cs="Times New Roman"/>
          <w:sz w:val="28"/>
          <w:szCs w:val="28"/>
          <w:lang w:val="en-US"/>
        </w:rPr>
        <w:t xml:space="preserve"> were not confirmed in evidence by any member of the committees neither was it borne out by the minutes of the relevant meetings.  </w:t>
      </w:r>
      <w:r w:rsidR="00A86BC1" w:rsidRPr="000E2B31">
        <w:rPr>
          <w:rFonts w:ascii="Times New Roman" w:hAnsi="Times New Roman" w:cs="Times New Roman"/>
          <w:sz w:val="28"/>
          <w:szCs w:val="28"/>
          <w:lang w:val="en-US"/>
        </w:rPr>
        <w:t>Indeed,</w:t>
      </w:r>
      <w:r w:rsidR="007A48A2" w:rsidRPr="000E2B31">
        <w:rPr>
          <w:rFonts w:ascii="Times New Roman" w:hAnsi="Times New Roman" w:cs="Times New Roman"/>
          <w:sz w:val="28"/>
          <w:szCs w:val="28"/>
          <w:lang w:val="en-US"/>
        </w:rPr>
        <w:t xml:space="preserve"> no </w:t>
      </w:r>
      <w:r w:rsidR="00531487" w:rsidRPr="000E2B31">
        <w:rPr>
          <w:rFonts w:ascii="Times New Roman" w:hAnsi="Times New Roman" w:cs="Times New Roman"/>
          <w:sz w:val="28"/>
          <w:szCs w:val="28"/>
          <w:lang w:val="en-US"/>
        </w:rPr>
        <w:t>person on behalf of the Department</w:t>
      </w:r>
      <w:r w:rsidR="007A48A2" w:rsidRPr="000E2B31">
        <w:rPr>
          <w:rFonts w:ascii="Times New Roman" w:hAnsi="Times New Roman" w:cs="Times New Roman"/>
          <w:sz w:val="28"/>
          <w:szCs w:val="28"/>
          <w:lang w:val="en-US"/>
        </w:rPr>
        <w:t xml:space="preserve"> ventured a reason </w:t>
      </w:r>
      <w:r w:rsidR="00A86BC1" w:rsidRPr="000E2B31">
        <w:rPr>
          <w:rFonts w:ascii="Times New Roman" w:hAnsi="Times New Roman" w:cs="Times New Roman"/>
          <w:sz w:val="28"/>
          <w:szCs w:val="28"/>
          <w:lang w:val="en-US"/>
        </w:rPr>
        <w:t xml:space="preserve">at all </w:t>
      </w:r>
      <w:r w:rsidR="007A48A2" w:rsidRPr="000E2B31">
        <w:rPr>
          <w:rFonts w:ascii="Times New Roman" w:hAnsi="Times New Roman" w:cs="Times New Roman"/>
          <w:sz w:val="28"/>
          <w:szCs w:val="28"/>
          <w:lang w:val="en-US"/>
        </w:rPr>
        <w:t>why the first respondent’s bid</w:t>
      </w:r>
      <w:r w:rsidR="00A86BC1" w:rsidRPr="000E2B31">
        <w:rPr>
          <w:rFonts w:ascii="Times New Roman" w:hAnsi="Times New Roman" w:cs="Times New Roman"/>
          <w:sz w:val="28"/>
          <w:szCs w:val="28"/>
          <w:lang w:val="en-US"/>
        </w:rPr>
        <w:t>,</w:t>
      </w:r>
      <w:r w:rsidR="007A48A2" w:rsidRPr="000E2B31">
        <w:rPr>
          <w:rFonts w:ascii="Times New Roman" w:hAnsi="Times New Roman" w:cs="Times New Roman"/>
          <w:sz w:val="28"/>
          <w:szCs w:val="28"/>
          <w:lang w:val="en-US"/>
        </w:rPr>
        <w:t xml:space="preserve"> on its own merit, presented an “unacceptable risk” to it by its acceptance</w:t>
      </w:r>
      <w:r w:rsidR="00A86BC1" w:rsidRPr="000E2B31">
        <w:rPr>
          <w:rFonts w:ascii="Times New Roman" w:hAnsi="Times New Roman" w:cs="Times New Roman"/>
          <w:sz w:val="28"/>
          <w:szCs w:val="28"/>
          <w:lang w:val="en-US"/>
        </w:rPr>
        <w:t xml:space="preserve"> as it were</w:t>
      </w:r>
      <w:r w:rsidR="007A48A2" w:rsidRPr="000E2B31">
        <w:rPr>
          <w:rFonts w:ascii="Times New Roman" w:hAnsi="Times New Roman" w:cs="Times New Roman"/>
          <w:sz w:val="28"/>
          <w:szCs w:val="28"/>
          <w:lang w:val="en-US"/>
        </w:rPr>
        <w:t>.</w:t>
      </w:r>
    </w:p>
    <w:p w14:paraId="7C7F213D" w14:textId="77777777" w:rsidR="007320D1" w:rsidRPr="008551E0" w:rsidRDefault="007320D1" w:rsidP="007320D1">
      <w:pPr>
        <w:pStyle w:val="ListParagraph"/>
        <w:rPr>
          <w:rFonts w:ascii="Times New Roman" w:hAnsi="Times New Roman" w:cs="Times New Roman"/>
          <w:sz w:val="28"/>
          <w:szCs w:val="28"/>
          <w:lang w:val="en-US"/>
        </w:rPr>
      </w:pPr>
    </w:p>
    <w:p w14:paraId="22E3E71B" w14:textId="14587375" w:rsidR="007320D1" w:rsidRPr="000E2B31" w:rsidRDefault="000E2B31" w:rsidP="000E2B31">
      <w:pPr>
        <w:tabs>
          <w:tab w:val="left" w:pos="709"/>
        </w:tabs>
        <w:spacing w:before="0" w:beforeAutospacing="0"/>
        <w:jc w:val="both"/>
        <w:rPr>
          <w:rFonts w:ascii="Times New Roman" w:hAnsi="Times New Roman" w:cs="Times New Roman"/>
          <w:sz w:val="28"/>
          <w:szCs w:val="28"/>
          <w:u w:val="single"/>
          <w:lang w:val="en-US"/>
        </w:rPr>
      </w:pPr>
      <w:r w:rsidRPr="000717F6">
        <w:rPr>
          <w:rFonts w:ascii="Times New Roman" w:hAnsi="Times New Roman" w:cs="Times New Roman"/>
          <w:sz w:val="28"/>
          <w:szCs w:val="28"/>
          <w:lang w:val="en-US"/>
        </w:rPr>
        <w:t>[53]</w:t>
      </w:r>
      <w:r w:rsidRPr="000717F6">
        <w:rPr>
          <w:rFonts w:ascii="Times New Roman" w:hAnsi="Times New Roman" w:cs="Times New Roman"/>
          <w:sz w:val="28"/>
          <w:szCs w:val="28"/>
          <w:lang w:val="en-US"/>
        </w:rPr>
        <w:tab/>
      </w:r>
      <w:r w:rsidR="007320D1" w:rsidRPr="000E2B31">
        <w:rPr>
          <w:rFonts w:ascii="Times New Roman" w:hAnsi="Times New Roman" w:cs="Times New Roman"/>
          <w:sz w:val="28"/>
          <w:szCs w:val="28"/>
          <w:lang w:val="en-US"/>
        </w:rPr>
        <w:t>Mr. Ndwandwa perfunctorily filed a confirmatory affidavit, without any elaboration of the role played by him in conducing to the decision made by the evaluation committees that the first respondent’s bid should be disqualified, neither were the photographs he supposedly presented of sites worked on by the first and second respondents</w:t>
      </w:r>
      <w:r w:rsidR="00202A52" w:rsidRPr="000E2B31">
        <w:rPr>
          <w:rFonts w:ascii="Times New Roman" w:hAnsi="Times New Roman" w:cs="Times New Roman"/>
          <w:sz w:val="28"/>
          <w:szCs w:val="28"/>
          <w:lang w:val="en-US"/>
        </w:rPr>
        <w:t>,</w:t>
      </w:r>
      <w:r w:rsidR="007320D1" w:rsidRPr="000E2B31">
        <w:rPr>
          <w:rFonts w:ascii="Times New Roman" w:hAnsi="Times New Roman" w:cs="Times New Roman"/>
          <w:sz w:val="28"/>
          <w:szCs w:val="28"/>
          <w:lang w:val="en-US"/>
        </w:rPr>
        <w:t xml:space="preserve"> offered as a visual aide in making their decision</w:t>
      </w:r>
      <w:r w:rsidR="00371A9B" w:rsidRPr="000E2B31">
        <w:rPr>
          <w:rFonts w:ascii="Times New Roman" w:hAnsi="Times New Roman" w:cs="Times New Roman"/>
          <w:sz w:val="28"/>
          <w:szCs w:val="28"/>
          <w:lang w:val="en-US"/>
        </w:rPr>
        <w:t xml:space="preserve"> and especially condemning the first respondent on the basis of the technical criteria stipulated in clause C</w:t>
      </w:r>
      <w:r w:rsidR="007320D1" w:rsidRPr="000E2B31">
        <w:rPr>
          <w:rFonts w:ascii="Times New Roman" w:hAnsi="Times New Roman" w:cs="Times New Roman"/>
          <w:sz w:val="28"/>
          <w:szCs w:val="28"/>
          <w:lang w:val="en-US"/>
        </w:rPr>
        <w:t>, put up in evidence.</w:t>
      </w:r>
    </w:p>
    <w:p w14:paraId="7151BC07" w14:textId="77777777" w:rsidR="000D71C5" w:rsidRPr="000D71C5" w:rsidRDefault="000D71C5" w:rsidP="000D71C5">
      <w:pPr>
        <w:pStyle w:val="ListParagraph"/>
        <w:rPr>
          <w:rFonts w:ascii="Times New Roman" w:hAnsi="Times New Roman" w:cs="Times New Roman"/>
          <w:sz w:val="28"/>
          <w:szCs w:val="28"/>
          <w:lang w:val="en-US"/>
        </w:rPr>
      </w:pPr>
    </w:p>
    <w:p w14:paraId="48293E8E" w14:textId="58129384" w:rsidR="000D71C5" w:rsidRPr="000E2B31" w:rsidRDefault="000E2B31" w:rsidP="000E2B31">
      <w:pPr>
        <w:tabs>
          <w:tab w:val="left" w:pos="709"/>
        </w:tabs>
        <w:spacing w:before="0" w:beforeAutospacing="0"/>
        <w:jc w:val="both"/>
        <w:rPr>
          <w:rFonts w:ascii="Times New Roman" w:hAnsi="Times New Roman" w:cs="Times New Roman"/>
          <w:sz w:val="28"/>
          <w:szCs w:val="28"/>
          <w:lang w:val="en-US"/>
        </w:rPr>
      </w:pPr>
      <w:r w:rsidRPr="000717F6">
        <w:rPr>
          <w:rFonts w:ascii="Times New Roman" w:hAnsi="Times New Roman" w:cs="Times New Roman"/>
          <w:sz w:val="28"/>
          <w:szCs w:val="28"/>
          <w:lang w:val="en-US"/>
        </w:rPr>
        <w:t>[54]</w:t>
      </w:r>
      <w:r w:rsidRPr="000717F6">
        <w:rPr>
          <w:rFonts w:ascii="Times New Roman" w:hAnsi="Times New Roman" w:cs="Times New Roman"/>
          <w:sz w:val="28"/>
          <w:szCs w:val="28"/>
          <w:lang w:val="en-US"/>
        </w:rPr>
        <w:tab/>
      </w:r>
      <w:r w:rsidR="009B7366" w:rsidRPr="000E2B31">
        <w:rPr>
          <w:rFonts w:ascii="Times New Roman" w:hAnsi="Times New Roman" w:cs="Times New Roman"/>
          <w:sz w:val="28"/>
          <w:szCs w:val="28"/>
          <w:lang w:val="en-GB"/>
        </w:rPr>
        <w:t>Th</w:t>
      </w:r>
      <w:r w:rsidR="00371A9B" w:rsidRPr="000E2B31">
        <w:rPr>
          <w:rFonts w:ascii="Times New Roman" w:hAnsi="Times New Roman" w:cs="Times New Roman"/>
          <w:sz w:val="28"/>
          <w:szCs w:val="28"/>
          <w:lang w:val="en-GB"/>
        </w:rPr>
        <w:t xml:space="preserve">e first respondent thus </w:t>
      </w:r>
      <w:r w:rsidR="000D71C5" w:rsidRPr="000E2B31">
        <w:rPr>
          <w:rFonts w:ascii="Times New Roman" w:hAnsi="Times New Roman" w:cs="Times New Roman"/>
          <w:sz w:val="28"/>
          <w:szCs w:val="28"/>
          <w:lang w:val="en-GB"/>
        </w:rPr>
        <w:t>contended that the risk assessment and its application was vague, arbitrary, unfair, entirely subjective (as confirmed by the principal agent) and irrational.</w:t>
      </w:r>
    </w:p>
    <w:p w14:paraId="4090ADC4" w14:textId="77777777" w:rsidR="000717F6" w:rsidRPr="00B965E0" w:rsidRDefault="000717F6" w:rsidP="000717F6">
      <w:pPr>
        <w:pStyle w:val="ListParagraph"/>
        <w:tabs>
          <w:tab w:val="left" w:pos="709"/>
        </w:tabs>
        <w:spacing w:before="0" w:beforeAutospacing="0"/>
        <w:ind w:left="0"/>
        <w:jc w:val="both"/>
        <w:rPr>
          <w:rFonts w:ascii="Times New Roman" w:hAnsi="Times New Roman" w:cs="Times New Roman"/>
          <w:sz w:val="28"/>
          <w:szCs w:val="28"/>
          <w:lang w:val="en-US"/>
        </w:rPr>
      </w:pPr>
    </w:p>
    <w:p w14:paraId="6B1D4B3F" w14:textId="27603366" w:rsidR="00B965E0" w:rsidRPr="000E2B31" w:rsidRDefault="000E2B31" w:rsidP="000E2B31">
      <w:pPr>
        <w:tabs>
          <w:tab w:val="left" w:pos="709"/>
        </w:tabs>
        <w:spacing w:before="0" w:beforeAutospacing="0"/>
        <w:jc w:val="both"/>
        <w:rPr>
          <w:rFonts w:ascii="Times New Roman" w:hAnsi="Times New Roman" w:cs="Times New Roman"/>
          <w:sz w:val="28"/>
          <w:szCs w:val="28"/>
          <w:lang w:val="en-US"/>
        </w:rPr>
      </w:pPr>
      <w:r w:rsidRPr="007A48A2">
        <w:rPr>
          <w:rFonts w:ascii="Times New Roman" w:hAnsi="Times New Roman" w:cs="Times New Roman"/>
          <w:sz w:val="28"/>
          <w:szCs w:val="28"/>
          <w:lang w:val="en-US"/>
        </w:rPr>
        <w:t>[55]</w:t>
      </w:r>
      <w:r w:rsidRPr="007A48A2">
        <w:rPr>
          <w:rFonts w:ascii="Times New Roman" w:hAnsi="Times New Roman" w:cs="Times New Roman"/>
          <w:sz w:val="28"/>
          <w:szCs w:val="28"/>
          <w:lang w:val="en-US"/>
        </w:rPr>
        <w:tab/>
      </w:r>
      <w:r w:rsidR="00B965E0" w:rsidRPr="000E2B31">
        <w:rPr>
          <w:rFonts w:ascii="Times New Roman" w:hAnsi="Times New Roman" w:cs="Times New Roman"/>
          <w:sz w:val="28"/>
          <w:szCs w:val="28"/>
          <w:lang w:val="en-GB"/>
        </w:rPr>
        <w:t xml:space="preserve">I should add with regard to the </w:t>
      </w:r>
      <w:r w:rsidR="000717F6" w:rsidRPr="000E2B31">
        <w:rPr>
          <w:rFonts w:ascii="Times New Roman" w:hAnsi="Times New Roman" w:cs="Times New Roman"/>
          <w:sz w:val="28"/>
          <w:szCs w:val="28"/>
          <w:lang w:val="en-GB"/>
        </w:rPr>
        <w:t>process</w:t>
      </w:r>
      <w:r w:rsidR="00B965E0" w:rsidRPr="000E2B31">
        <w:rPr>
          <w:rFonts w:ascii="Times New Roman" w:hAnsi="Times New Roman" w:cs="Times New Roman"/>
          <w:sz w:val="28"/>
          <w:szCs w:val="28"/>
          <w:lang w:val="en-GB"/>
        </w:rPr>
        <w:t xml:space="preserve"> that had pertained in the tender process</w:t>
      </w:r>
      <w:r w:rsidR="00371A9B" w:rsidRPr="000E2B31">
        <w:rPr>
          <w:rFonts w:ascii="Times New Roman" w:hAnsi="Times New Roman" w:cs="Times New Roman"/>
          <w:sz w:val="28"/>
          <w:szCs w:val="28"/>
          <w:lang w:val="en-GB"/>
        </w:rPr>
        <w:t xml:space="preserve"> that other anomalies were also relied upon by the first respondent</w:t>
      </w:r>
      <w:r w:rsidR="007A48A2" w:rsidRPr="000E2B31">
        <w:rPr>
          <w:rFonts w:ascii="Times New Roman" w:hAnsi="Times New Roman" w:cs="Times New Roman"/>
          <w:sz w:val="28"/>
          <w:szCs w:val="28"/>
          <w:lang w:val="en-GB"/>
        </w:rPr>
        <w:t xml:space="preserve"> none of which are especially relevant for present purposes.  </w:t>
      </w:r>
      <w:r w:rsidR="00371A9B" w:rsidRPr="000E2B31">
        <w:rPr>
          <w:rFonts w:ascii="Times New Roman" w:hAnsi="Times New Roman" w:cs="Times New Roman"/>
          <w:sz w:val="28"/>
          <w:szCs w:val="28"/>
          <w:lang w:val="en-GB"/>
        </w:rPr>
        <w:t xml:space="preserve">I </w:t>
      </w:r>
      <w:r w:rsidR="007A48A2" w:rsidRPr="000E2B31">
        <w:rPr>
          <w:rFonts w:ascii="Times New Roman" w:hAnsi="Times New Roman" w:cs="Times New Roman"/>
          <w:sz w:val="28"/>
          <w:szCs w:val="28"/>
          <w:lang w:val="en-GB"/>
        </w:rPr>
        <w:t xml:space="preserve">do however wish to highlight the first respondent’s </w:t>
      </w:r>
      <w:r w:rsidR="00371A9B" w:rsidRPr="000E2B31">
        <w:rPr>
          <w:rFonts w:ascii="Times New Roman" w:hAnsi="Times New Roman" w:cs="Times New Roman"/>
          <w:sz w:val="28"/>
          <w:szCs w:val="28"/>
          <w:lang w:val="en-GB"/>
        </w:rPr>
        <w:t xml:space="preserve">complaint </w:t>
      </w:r>
      <w:r w:rsidR="007256C1" w:rsidRPr="000E2B31">
        <w:rPr>
          <w:rFonts w:ascii="Times New Roman" w:hAnsi="Times New Roman" w:cs="Times New Roman"/>
          <w:sz w:val="28"/>
          <w:szCs w:val="28"/>
          <w:lang w:val="en-GB"/>
        </w:rPr>
        <w:t>that the</w:t>
      </w:r>
      <w:r w:rsidR="00371A9B" w:rsidRPr="000E2B31">
        <w:rPr>
          <w:rFonts w:ascii="Times New Roman" w:hAnsi="Times New Roman" w:cs="Times New Roman"/>
          <w:sz w:val="28"/>
          <w:szCs w:val="28"/>
          <w:lang w:val="en-GB"/>
        </w:rPr>
        <w:t xml:space="preserve"> </w:t>
      </w:r>
      <w:r w:rsidR="000717F6" w:rsidRPr="000E2B31">
        <w:rPr>
          <w:rFonts w:ascii="Times New Roman" w:hAnsi="Times New Roman" w:cs="Times New Roman"/>
          <w:sz w:val="28"/>
          <w:szCs w:val="28"/>
          <w:lang w:val="en-GB"/>
        </w:rPr>
        <w:t>D</w:t>
      </w:r>
      <w:r w:rsidR="00B965E0" w:rsidRPr="000E2B31">
        <w:rPr>
          <w:rFonts w:ascii="Times New Roman" w:hAnsi="Times New Roman" w:cs="Times New Roman"/>
          <w:sz w:val="28"/>
          <w:szCs w:val="28"/>
          <w:lang w:val="en-GB"/>
        </w:rPr>
        <w:t xml:space="preserve">epartment had instructed BNM to undertake a risk assessment of </w:t>
      </w:r>
      <w:r w:rsidR="007256C1" w:rsidRPr="000E2B31">
        <w:rPr>
          <w:rFonts w:ascii="Times New Roman" w:hAnsi="Times New Roman" w:cs="Times New Roman"/>
          <w:sz w:val="28"/>
          <w:szCs w:val="28"/>
          <w:lang w:val="en-GB"/>
        </w:rPr>
        <w:t>SGT and</w:t>
      </w:r>
      <w:r w:rsidR="00371A9B" w:rsidRPr="000E2B31">
        <w:rPr>
          <w:rFonts w:ascii="Times New Roman" w:hAnsi="Times New Roman" w:cs="Times New Roman"/>
          <w:sz w:val="28"/>
          <w:szCs w:val="28"/>
          <w:lang w:val="en-GB"/>
        </w:rPr>
        <w:t xml:space="preserve"> </w:t>
      </w:r>
      <w:r w:rsidR="000717F6" w:rsidRPr="000E2B31">
        <w:rPr>
          <w:rFonts w:ascii="Times New Roman" w:hAnsi="Times New Roman" w:cs="Times New Roman"/>
          <w:sz w:val="28"/>
          <w:szCs w:val="28"/>
          <w:lang w:val="en-GB"/>
        </w:rPr>
        <w:t>Ulutsha Trading</w:t>
      </w:r>
      <w:r w:rsidR="00B965E0" w:rsidRPr="000E2B31">
        <w:rPr>
          <w:rFonts w:ascii="Times New Roman" w:hAnsi="Times New Roman" w:cs="Times New Roman"/>
          <w:sz w:val="28"/>
          <w:szCs w:val="28"/>
          <w:lang w:val="en-GB"/>
        </w:rPr>
        <w:t xml:space="preserve"> </w:t>
      </w:r>
      <w:r w:rsidR="007256C1" w:rsidRPr="000E2B31">
        <w:rPr>
          <w:rFonts w:ascii="Times New Roman" w:hAnsi="Times New Roman" w:cs="Times New Roman"/>
          <w:sz w:val="28"/>
          <w:szCs w:val="28"/>
          <w:lang w:val="en-GB"/>
        </w:rPr>
        <w:t>(together with</w:t>
      </w:r>
      <w:r w:rsidR="00B965E0" w:rsidRPr="000E2B31">
        <w:rPr>
          <w:rFonts w:ascii="Times New Roman" w:hAnsi="Times New Roman" w:cs="Times New Roman"/>
          <w:sz w:val="28"/>
          <w:szCs w:val="28"/>
          <w:lang w:val="en-GB"/>
        </w:rPr>
        <w:t xml:space="preserve"> the third respondent</w:t>
      </w:r>
      <w:r w:rsidR="007256C1" w:rsidRPr="000E2B31">
        <w:rPr>
          <w:rFonts w:ascii="Times New Roman" w:hAnsi="Times New Roman" w:cs="Times New Roman"/>
          <w:sz w:val="28"/>
          <w:szCs w:val="28"/>
          <w:lang w:val="en-GB"/>
        </w:rPr>
        <w:t>)</w:t>
      </w:r>
      <w:r w:rsidR="00B965E0" w:rsidRPr="000E2B31">
        <w:rPr>
          <w:rFonts w:ascii="Times New Roman" w:hAnsi="Times New Roman" w:cs="Times New Roman"/>
          <w:sz w:val="28"/>
          <w:szCs w:val="28"/>
          <w:lang w:val="en-GB"/>
        </w:rPr>
        <w:t xml:space="preserve"> on 7 August 2019, that is after </w:t>
      </w:r>
      <w:r w:rsidR="007256C1" w:rsidRPr="000E2B31">
        <w:rPr>
          <w:rFonts w:ascii="Times New Roman" w:hAnsi="Times New Roman" w:cs="Times New Roman"/>
          <w:sz w:val="28"/>
          <w:szCs w:val="28"/>
          <w:lang w:val="en-GB"/>
        </w:rPr>
        <w:t>their bids had been declared administratively nonresponsive</w:t>
      </w:r>
      <w:r w:rsidR="000717F6" w:rsidRPr="000E2B31">
        <w:rPr>
          <w:rFonts w:ascii="Times New Roman" w:hAnsi="Times New Roman" w:cs="Times New Roman"/>
          <w:sz w:val="28"/>
          <w:szCs w:val="28"/>
          <w:lang w:val="en-GB"/>
        </w:rPr>
        <w:t xml:space="preserve">. </w:t>
      </w:r>
      <w:r w:rsidR="00B965E0" w:rsidRPr="000E2B31">
        <w:rPr>
          <w:rFonts w:ascii="Times New Roman" w:hAnsi="Times New Roman" w:cs="Times New Roman"/>
          <w:sz w:val="28"/>
          <w:szCs w:val="28"/>
          <w:lang w:val="en-GB"/>
        </w:rPr>
        <w:t xml:space="preserve"> </w:t>
      </w:r>
      <w:r w:rsidR="000717F6" w:rsidRPr="000E2B31">
        <w:rPr>
          <w:rFonts w:ascii="Times New Roman" w:hAnsi="Times New Roman" w:cs="Times New Roman"/>
          <w:sz w:val="28"/>
          <w:szCs w:val="28"/>
          <w:lang w:val="en-GB"/>
        </w:rPr>
        <w:t>L</w:t>
      </w:r>
      <w:r w:rsidR="00B965E0" w:rsidRPr="000E2B31">
        <w:rPr>
          <w:rFonts w:ascii="Times New Roman" w:hAnsi="Times New Roman" w:cs="Times New Roman"/>
          <w:sz w:val="28"/>
          <w:szCs w:val="28"/>
          <w:lang w:val="en-GB"/>
        </w:rPr>
        <w:t xml:space="preserve">eaving aside the arbitrary and irrational nature of </w:t>
      </w:r>
      <w:r w:rsidR="000717F6" w:rsidRPr="000E2B31">
        <w:rPr>
          <w:rFonts w:ascii="Times New Roman" w:hAnsi="Times New Roman" w:cs="Times New Roman"/>
          <w:sz w:val="28"/>
          <w:szCs w:val="28"/>
          <w:lang w:val="en-GB"/>
        </w:rPr>
        <w:t xml:space="preserve">that technical risk </w:t>
      </w:r>
      <w:r w:rsidR="00B965E0" w:rsidRPr="000E2B31">
        <w:rPr>
          <w:rFonts w:ascii="Times New Roman" w:hAnsi="Times New Roman" w:cs="Times New Roman"/>
          <w:sz w:val="28"/>
          <w:szCs w:val="28"/>
          <w:lang w:val="en-GB"/>
        </w:rPr>
        <w:t xml:space="preserve">assessment revealed in the </w:t>
      </w:r>
      <w:r w:rsidR="007256C1" w:rsidRPr="000E2B31">
        <w:rPr>
          <w:rFonts w:ascii="Times New Roman" w:hAnsi="Times New Roman" w:cs="Times New Roman"/>
          <w:sz w:val="28"/>
          <w:szCs w:val="28"/>
          <w:lang w:val="en-GB"/>
        </w:rPr>
        <w:t>review record</w:t>
      </w:r>
      <w:r w:rsidR="00B965E0" w:rsidRPr="000E2B31">
        <w:rPr>
          <w:rFonts w:ascii="Times New Roman" w:hAnsi="Times New Roman" w:cs="Times New Roman"/>
          <w:sz w:val="28"/>
          <w:szCs w:val="28"/>
          <w:lang w:val="en-GB"/>
        </w:rPr>
        <w:t xml:space="preserve">, the first respondent </w:t>
      </w:r>
      <w:r w:rsidR="007256C1" w:rsidRPr="000E2B31">
        <w:rPr>
          <w:rFonts w:ascii="Times New Roman" w:hAnsi="Times New Roman" w:cs="Times New Roman"/>
          <w:sz w:val="28"/>
          <w:szCs w:val="28"/>
          <w:lang w:val="en-GB"/>
        </w:rPr>
        <w:t xml:space="preserve">especially </w:t>
      </w:r>
      <w:r w:rsidR="00B965E0" w:rsidRPr="000E2B31">
        <w:rPr>
          <w:rFonts w:ascii="Times New Roman" w:hAnsi="Times New Roman" w:cs="Times New Roman"/>
          <w:sz w:val="28"/>
          <w:szCs w:val="28"/>
          <w:lang w:val="en-GB"/>
        </w:rPr>
        <w:lastRenderedPageBreak/>
        <w:t xml:space="preserve">questioned how </w:t>
      </w:r>
      <w:r w:rsidR="007256C1" w:rsidRPr="000E2B31">
        <w:rPr>
          <w:rFonts w:ascii="Times New Roman" w:hAnsi="Times New Roman" w:cs="Times New Roman"/>
          <w:sz w:val="28"/>
          <w:szCs w:val="28"/>
          <w:lang w:val="en-GB"/>
        </w:rPr>
        <w:t>those tenderer’s</w:t>
      </w:r>
      <w:r w:rsidR="000717F6" w:rsidRPr="000E2B31">
        <w:rPr>
          <w:rFonts w:ascii="Times New Roman" w:hAnsi="Times New Roman" w:cs="Times New Roman"/>
          <w:sz w:val="28"/>
          <w:szCs w:val="28"/>
          <w:lang w:val="en-GB"/>
        </w:rPr>
        <w:t xml:space="preserve"> </w:t>
      </w:r>
      <w:r w:rsidR="00B965E0" w:rsidRPr="000E2B31">
        <w:rPr>
          <w:rFonts w:ascii="Times New Roman" w:hAnsi="Times New Roman" w:cs="Times New Roman"/>
          <w:sz w:val="28"/>
          <w:szCs w:val="28"/>
          <w:lang w:val="en-GB"/>
        </w:rPr>
        <w:t xml:space="preserve">bids could have progressed to a technical risk assessment at the instruction of the </w:t>
      </w:r>
      <w:r w:rsidR="000717F6" w:rsidRPr="000E2B31">
        <w:rPr>
          <w:rFonts w:ascii="Times New Roman" w:hAnsi="Times New Roman" w:cs="Times New Roman"/>
          <w:sz w:val="28"/>
          <w:szCs w:val="28"/>
          <w:lang w:val="en-GB"/>
        </w:rPr>
        <w:t>D</w:t>
      </w:r>
      <w:r w:rsidR="00B965E0" w:rsidRPr="000E2B31">
        <w:rPr>
          <w:rFonts w:ascii="Times New Roman" w:hAnsi="Times New Roman" w:cs="Times New Roman"/>
          <w:sz w:val="28"/>
          <w:szCs w:val="28"/>
          <w:lang w:val="en-GB"/>
        </w:rPr>
        <w:t xml:space="preserve">epartment at all since their bids had already been declared administratively </w:t>
      </w:r>
      <w:r w:rsidR="000717F6" w:rsidRPr="000E2B31">
        <w:rPr>
          <w:rFonts w:ascii="Times New Roman" w:hAnsi="Times New Roman" w:cs="Times New Roman"/>
          <w:sz w:val="28"/>
          <w:szCs w:val="28"/>
          <w:lang w:val="en-GB"/>
        </w:rPr>
        <w:t>nonresponsive</w:t>
      </w:r>
      <w:r w:rsidR="007256C1" w:rsidRPr="000E2B31">
        <w:rPr>
          <w:rFonts w:ascii="Times New Roman" w:hAnsi="Times New Roman" w:cs="Times New Roman"/>
          <w:sz w:val="28"/>
          <w:szCs w:val="28"/>
          <w:lang w:val="en-GB"/>
        </w:rPr>
        <w:t xml:space="preserve"> (even if they had tendered more beneficially in respect of price)</w:t>
      </w:r>
      <w:r w:rsidR="000717F6" w:rsidRPr="000E2B31">
        <w:rPr>
          <w:rFonts w:ascii="Times New Roman" w:hAnsi="Times New Roman" w:cs="Times New Roman"/>
          <w:sz w:val="28"/>
          <w:szCs w:val="28"/>
          <w:lang w:val="en-GB"/>
        </w:rPr>
        <w:t xml:space="preserve">. </w:t>
      </w:r>
      <w:r w:rsidR="007256C1" w:rsidRPr="000E2B31">
        <w:rPr>
          <w:rFonts w:ascii="Times New Roman" w:hAnsi="Times New Roman" w:cs="Times New Roman"/>
          <w:sz w:val="28"/>
          <w:szCs w:val="28"/>
          <w:lang w:val="en-GB"/>
        </w:rPr>
        <w:t>If it was a mistake to have revived their bids, which the appellant readily conceded, the question remains why theirs were singled out amongst all the other bidders who were similarly disqualified for want of complying with mandatory pre-</w:t>
      </w:r>
      <w:r w:rsidR="00D708F1" w:rsidRPr="000E2B31">
        <w:rPr>
          <w:rFonts w:ascii="Times New Roman" w:hAnsi="Times New Roman" w:cs="Times New Roman"/>
          <w:sz w:val="28"/>
          <w:szCs w:val="28"/>
          <w:lang w:val="en-GB"/>
        </w:rPr>
        <w:t>qualification</w:t>
      </w:r>
      <w:r w:rsidR="007256C1" w:rsidRPr="000E2B31">
        <w:rPr>
          <w:rFonts w:ascii="Times New Roman" w:hAnsi="Times New Roman" w:cs="Times New Roman"/>
          <w:sz w:val="28"/>
          <w:szCs w:val="28"/>
          <w:lang w:val="en-GB"/>
        </w:rPr>
        <w:t xml:space="preserve"> criteria.</w:t>
      </w:r>
      <w:r w:rsidR="007A48A2" w:rsidRPr="000E2B31">
        <w:rPr>
          <w:rFonts w:ascii="Times New Roman" w:hAnsi="Times New Roman" w:cs="Times New Roman"/>
          <w:sz w:val="28"/>
          <w:szCs w:val="28"/>
          <w:lang w:val="en-GB"/>
        </w:rPr>
        <w:t xml:space="preserve">  </w:t>
      </w:r>
      <w:r w:rsidR="000717F6" w:rsidRPr="000E2B31">
        <w:rPr>
          <w:rFonts w:ascii="Times New Roman" w:hAnsi="Times New Roman" w:cs="Times New Roman"/>
          <w:sz w:val="28"/>
          <w:szCs w:val="28"/>
          <w:lang w:val="en-GB"/>
        </w:rPr>
        <w:t>A</w:t>
      </w:r>
      <w:r w:rsidR="00B42832" w:rsidRPr="000E2B31">
        <w:rPr>
          <w:rFonts w:ascii="Times New Roman" w:hAnsi="Times New Roman" w:cs="Times New Roman"/>
          <w:sz w:val="28"/>
          <w:szCs w:val="28"/>
          <w:lang w:val="en-GB"/>
        </w:rPr>
        <w:t xml:space="preserve"> financial risk assessment by the appellant also ensued in respect of the </w:t>
      </w:r>
      <w:r w:rsidR="00951946" w:rsidRPr="000E2B31">
        <w:rPr>
          <w:rFonts w:ascii="Times New Roman" w:hAnsi="Times New Roman" w:cs="Times New Roman"/>
          <w:sz w:val="28"/>
          <w:szCs w:val="28"/>
          <w:lang w:val="en-GB"/>
        </w:rPr>
        <w:t>latter</w:t>
      </w:r>
      <w:r w:rsidR="00B42832" w:rsidRPr="000E2B31">
        <w:rPr>
          <w:rFonts w:ascii="Times New Roman" w:hAnsi="Times New Roman" w:cs="Times New Roman"/>
          <w:sz w:val="28"/>
          <w:szCs w:val="28"/>
          <w:lang w:val="en-GB"/>
        </w:rPr>
        <w:t xml:space="preserve"> two bidders. </w:t>
      </w:r>
      <w:r w:rsidR="00FA659B" w:rsidRPr="000E2B31">
        <w:rPr>
          <w:rFonts w:ascii="Times New Roman" w:hAnsi="Times New Roman" w:cs="Times New Roman"/>
          <w:sz w:val="28"/>
          <w:szCs w:val="28"/>
          <w:lang w:val="en-GB"/>
        </w:rPr>
        <w:t>Except to admit t</w:t>
      </w:r>
      <w:r w:rsidR="00B42832" w:rsidRPr="000E2B31">
        <w:rPr>
          <w:rFonts w:ascii="Times New Roman" w:hAnsi="Times New Roman" w:cs="Times New Roman"/>
          <w:sz w:val="28"/>
          <w:szCs w:val="28"/>
          <w:lang w:val="en-GB"/>
        </w:rPr>
        <w:t>he</w:t>
      </w:r>
      <w:r w:rsidR="00FA659B" w:rsidRPr="000E2B31">
        <w:rPr>
          <w:rFonts w:ascii="Times New Roman" w:hAnsi="Times New Roman" w:cs="Times New Roman"/>
          <w:sz w:val="28"/>
          <w:szCs w:val="28"/>
          <w:lang w:val="en-GB"/>
        </w:rPr>
        <w:t xml:space="preserve"> mistake, the</w:t>
      </w:r>
      <w:r w:rsidR="00B42832" w:rsidRPr="000E2B31">
        <w:rPr>
          <w:rFonts w:ascii="Times New Roman" w:hAnsi="Times New Roman" w:cs="Times New Roman"/>
          <w:sz w:val="28"/>
          <w:szCs w:val="28"/>
          <w:lang w:val="en-GB"/>
        </w:rPr>
        <w:t xml:space="preserve"> invitation to the </w:t>
      </w:r>
      <w:r w:rsidR="007A48A2" w:rsidRPr="000E2B31">
        <w:rPr>
          <w:rFonts w:ascii="Times New Roman" w:hAnsi="Times New Roman" w:cs="Times New Roman"/>
          <w:sz w:val="28"/>
          <w:szCs w:val="28"/>
          <w:lang w:val="en-GB"/>
        </w:rPr>
        <w:t>appellant</w:t>
      </w:r>
      <w:r w:rsidR="00B42832" w:rsidRPr="000E2B31">
        <w:rPr>
          <w:rFonts w:ascii="Times New Roman" w:hAnsi="Times New Roman" w:cs="Times New Roman"/>
          <w:sz w:val="28"/>
          <w:szCs w:val="28"/>
          <w:lang w:val="en-GB"/>
        </w:rPr>
        <w:t xml:space="preserve"> to explain how this had happened was simply </w:t>
      </w:r>
      <w:r w:rsidR="00951946" w:rsidRPr="000E2B31">
        <w:rPr>
          <w:rFonts w:ascii="Times New Roman" w:hAnsi="Times New Roman" w:cs="Times New Roman"/>
          <w:sz w:val="28"/>
          <w:szCs w:val="28"/>
          <w:lang w:val="en-GB"/>
        </w:rPr>
        <w:t>glossed</w:t>
      </w:r>
      <w:r w:rsidR="00B42832" w:rsidRPr="000E2B31">
        <w:rPr>
          <w:rFonts w:ascii="Times New Roman" w:hAnsi="Times New Roman" w:cs="Times New Roman"/>
          <w:sz w:val="28"/>
          <w:szCs w:val="28"/>
          <w:lang w:val="en-GB"/>
        </w:rPr>
        <w:t xml:space="preserve"> over in the answering papers</w:t>
      </w:r>
      <w:r w:rsidR="00D708F1" w:rsidRPr="000E2B31">
        <w:rPr>
          <w:rFonts w:ascii="Times New Roman" w:hAnsi="Times New Roman" w:cs="Times New Roman"/>
          <w:sz w:val="28"/>
          <w:szCs w:val="28"/>
          <w:lang w:val="en-GB"/>
        </w:rPr>
        <w:t>.</w:t>
      </w:r>
    </w:p>
    <w:p w14:paraId="230667F2" w14:textId="77777777" w:rsidR="00797599" w:rsidRDefault="00797599" w:rsidP="00797599">
      <w:pPr>
        <w:pStyle w:val="ListParagraph"/>
        <w:rPr>
          <w:rFonts w:ascii="Times New Roman" w:hAnsi="Times New Roman" w:cs="Times New Roman"/>
          <w:sz w:val="28"/>
          <w:szCs w:val="28"/>
          <w:lang w:val="en-US"/>
        </w:rPr>
      </w:pPr>
    </w:p>
    <w:p w14:paraId="74A65881" w14:textId="77777777" w:rsidR="00D46402" w:rsidRDefault="00D46402" w:rsidP="00797599">
      <w:pPr>
        <w:pStyle w:val="ListParagraph"/>
        <w:rPr>
          <w:rFonts w:ascii="Times New Roman" w:hAnsi="Times New Roman" w:cs="Times New Roman"/>
          <w:sz w:val="28"/>
          <w:szCs w:val="28"/>
          <w:lang w:val="en-US"/>
        </w:rPr>
      </w:pPr>
    </w:p>
    <w:p w14:paraId="4EC32526" w14:textId="77777777" w:rsidR="00D46402" w:rsidRDefault="00D46402" w:rsidP="00797599">
      <w:pPr>
        <w:pStyle w:val="ListParagraph"/>
        <w:rPr>
          <w:rFonts w:ascii="Times New Roman" w:hAnsi="Times New Roman" w:cs="Times New Roman"/>
          <w:sz w:val="28"/>
          <w:szCs w:val="28"/>
          <w:lang w:val="en-US"/>
        </w:rPr>
      </w:pPr>
    </w:p>
    <w:p w14:paraId="35F8F885" w14:textId="77777777" w:rsidR="00D46402" w:rsidRPr="00797599" w:rsidRDefault="00D46402" w:rsidP="00797599">
      <w:pPr>
        <w:pStyle w:val="ListParagraph"/>
        <w:rPr>
          <w:rFonts w:ascii="Times New Roman" w:hAnsi="Times New Roman" w:cs="Times New Roman"/>
          <w:sz w:val="28"/>
          <w:szCs w:val="28"/>
          <w:lang w:val="en-US"/>
        </w:rPr>
      </w:pPr>
    </w:p>
    <w:p w14:paraId="78DF211E" w14:textId="0248C70F" w:rsidR="00797599" w:rsidRDefault="00797599" w:rsidP="00797599">
      <w:pPr>
        <w:pStyle w:val="ListParagraph"/>
        <w:tabs>
          <w:tab w:val="left" w:pos="709"/>
        </w:tabs>
        <w:spacing w:before="0" w:beforeAutospacing="0"/>
        <w:ind w:left="0"/>
        <w:jc w:val="both"/>
        <w:rPr>
          <w:rFonts w:ascii="Times New Roman" w:hAnsi="Times New Roman" w:cs="Times New Roman"/>
          <w:sz w:val="28"/>
          <w:szCs w:val="28"/>
          <w:u w:val="single"/>
          <w:lang w:val="en-US"/>
        </w:rPr>
      </w:pPr>
      <w:r w:rsidRPr="00797599">
        <w:rPr>
          <w:rFonts w:ascii="Times New Roman" w:hAnsi="Times New Roman" w:cs="Times New Roman"/>
          <w:sz w:val="28"/>
          <w:szCs w:val="28"/>
          <w:u w:val="single"/>
          <w:lang w:val="en-US"/>
        </w:rPr>
        <w:t>The appellant’s case</w:t>
      </w:r>
      <w:r w:rsidR="00BD6864">
        <w:rPr>
          <w:rFonts w:ascii="Times New Roman" w:hAnsi="Times New Roman" w:cs="Times New Roman"/>
          <w:sz w:val="28"/>
          <w:szCs w:val="28"/>
          <w:u w:val="single"/>
          <w:lang w:val="en-US"/>
        </w:rPr>
        <w:t>:</w:t>
      </w:r>
    </w:p>
    <w:p w14:paraId="6948FD7A" w14:textId="77777777" w:rsidR="00797599" w:rsidRPr="00797599" w:rsidRDefault="00797599" w:rsidP="00797599">
      <w:pPr>
        <w:pStyle w:val="ListParagraph"/>
        <w:tabs>
          <w:tab w:val="left" w:pos="709"/>
        </w:tabs>
        <w:spacing w:before="0" w:beforeAutospacing="0"/>
        <w:ind w:left="0"/>
        <w:jc w:val="both"/>
        <w:rPr>
          <w:rFonts w:ascii="Times New Roman" w:hAnsi="Times New Roman" w:cs="Times New Roman"/>
          <w:sz w:val="28"/>
          <w:szCs w:val="28"/>
          <w:u w:val="single"/>
          <w:lang w:val="en-US"/>
        </w:rPr>
      </w:pPr>
    </w:p>
    <w:p w14:paraId="055CAAA4" w14:textId="5143B3C0" w:rsidR="00C137A2" w:rsidRPr="000E2B31" w:rsidRDefault="000E2B31" w:rsidP="000E2B31">
      <w:pPr>
        <w:tabs>
          <w:tab w:val="left" w:pos="709"/>
        </w:tabs>
        <w:spacing w:before="0" w:beforeAutospacing="0"/>
        <w:jc w:val="both"/>
        <w:rPr>
          <w:rFonts w:ascii="Times New Roman" w:hAnsi="Times New Roman" w:cs="Times New Roman"/>
          <w:sz w:val="28"/>
          <w:szCs w:val="28"/>
          <w:lang w:val="en-US"/>
        </w:rPr>
      </w:pPr>
      <w:r w:rsidRPr="00797599">
        <w:rPr>
          <w:rFonts w:ascii="Times New Roman" w:hAnsi="Times New Roman" w:cs="Times New Roman"/>
          <w:sz w:val="28"/>
          <w:szCs w:val="28"/>
          <w:lang w:val="en-US"/>
        </w:rPr>
        <w:t>[56]</w:t>
      </w:r>
      <w:r w:rsidRPr="00797599">
        <w:rPr>
          <w:rFonts w:ascii="Times New Roman" w:hAnsi="Times New Roman" w:cs="Times New Roman"/>
          <w:sz w:val="28"/>
          <w:szCs w:val="28"/>
          <w:lang w:val="en-US"/>
        </w:rPr>
        <w:tab/>
      </w:r>
      <w:r w:rsidR="00C137A2" w:rsidRPr="000E2B31">
        <w:rPr>
          <w:rFonts w:ascii="Times New Roman" w:hAnsi="Times New Roman" w:cs="Times New Roman"/>
          <w:sz w:val="28"/>
          <w:szCs w:val="28"/>
          <w:lang w:val="en-GB"/>
        </w:rPr>
        <w:t>T</w:t>
      </w:r>
      <w:r w:rsidR="00B42832" w:rsidRPr="000E2B31">
        <w:rPr>
          <w:rFonts w:ascii="Times New Roman" w:hAnsi="Times New Roman" w:cs="Times New Roman"/>
          <w:sz w:val="28"/>
          <w:szCs w:val="28"/>
          <w:lang w:val="en-GB"/>
        </w:rPr>
        <w:t xml:space="preserve">he appellant in its </w:t>
      </w:r>
      <w:r w:rsidR="00951946" w:rsidRPr="000E2B31">
        <w:rPr>
          <w:rFonts w:ascii="Times New Roman" w:hAnsi="Times New Roman" w:cs="Times New Roman"/>
          <w:sz w:val="28"/>
          <w:szCs w:val="28"/>
          <w:lang w:val="en-GB"/>
        </w:rPr>
        <w:t>answering</w:t>
      </w:r>
      <w:r w:rsidR="00B42832" w:rsidRPr="000E2B31">
        <w:rPr>
          <w:rFonts w:ascii="Times New Roman" w:hAnsi="Times New Roman" w:cs="Times New Roman"/>
          <w:sz w:val="28"/>
          <w:szCs w:val="28"/>
          <w:lang w:val="en-GB"/>
        </w:rPr>
        <w:t xml:space="preserve"> affidavit made no bones about the fact that it had </w:t>
      </w:r>
      <w:r w:rsidR="00D708F1" w:rsidRPr="000E2B31">
        <w:rPr>
          <w:rFonts w:ascii="Times New Roman" w:hAnsi="Times New Roman" w:cs="Times New Roman"/>
          <w:sz w:val="28"/>
          <w:szCs w:val="28"/>
          <w:lang w:val="en-GB"/>
        </w:rPr>
        <w:t>declared</w:t>
      </w:r>
      <w:r w:rsidR="00951946" w:rsidRPr="000E2B31">
        <w:rPr>
          <w:rFonts w:ascii="Times New Roman" w:hAnsi="Times New Roman" w:cs="Times New Roman"/>
          <w:sz w:val="28"/>
          <w:szCs w:val="28"/>
          <w:lang w:val="en-GB"/>
        </w:rPr>
        <w:t xml:space="preserve"> the</w:t>
      </w:r>
      <w:r w:rsidR="00B42832" w:rsidRPr="000E2B31">
        <w:rPr>
          <w:rFonts w:ascii="Times New Roman" w:hAnsi="Times New Roman" w:cs="Times New Roman"/>
          <w:sz w:val="28"/>
          <w:szCs w:val="28"/>
          <w:lang w:val="en-GB"/>
        </w:rPr>
        <w:t xml:space="preserve"> first respondent</w:t>
      </w:r>
      <w:r w:rsidR="00D708F1" w:rsidRPr="000E2B31">
        <w:rPr>
          <w:rFonts w:ascii="Times New Roman" w:hAnsi="Times New Roman" w:cs="Times New Roman"/>
          <w:sz w:val="28"/>
          <w:szCs w:val="28"/>
          <w:lang w:val="en-GB"/>
        </w:rPr>
        <w:t>’s</w:t>
      </w:r>
      <w:r w:rsidR="00B42832" w:rsidRPr="000E2B31">
        <w:rPr>
          <w:rFonts w:ascii="Times New Roman" w:hAnsi="Times New Roman" w:cs="Times New Roman"/>
          <w:sz w:val="28"/>
          <w:szCs w:val="28"/>
          <w:lang w:val="en-GB"/>
        </w:rPr>
        <w:t xml:space="preserve"> </w:t>
      </w:r>
      <w:r w:rsidR="00D708F1" w:rsidRPr="000E2B31">
        <w:rPr>
          <w:rFonts w:ascii="Times New Roman" w:hAnsi="Times New Roman" w:cs="Times New Roman"/>
          <w:sz w:val="28"/>
          <w:szCs w:val="28"/>
          <w:lang w:val="en-GB"/>
        </w:rPr>
        <w:t>bid nonresponsive</w:t>
      </w:r>
      <w:r w:rsidR="00951946" w:rsidRPr="000E2B31">
        <w:rPr>
          <w:rFonts w:ascii="Times New Roman" w:hAnsi="Times New Roman" w:cs="Times New Roman"/>
          <w:sz w:val="28"/>
          <w:szCs w:val="28"/>
          <w:lang w:val="en-GB"/>
        </w:rPr>
        <w:t xml:space="preserve"> on the basis of the technical risk assessment</w:t>
      </w:r>
      <w:r w:rsidR="00797599" w:rsidRPr="000E2B31">
        <w:rPr>
          <w:rFonts w:ascii="Times New Roman" w:hAnsi="Times New Roman" w:cs="Times New Roman"/>
          <w:sz w:val="28"/>
          <w:szCs w:val="28"/>
          <w:lang w:val="en-GB"/>
        </w:rPr>
        <w:t>.  It asserted that</w:t>
      </w:r>
      <w:r w:rsidR="00951946" w:rsidRPr="000E2B31">
        <w:rPr>
          <w:rFonts w:ascii="Times New Roman" w:hAnsi="Times New Roman" w:cs="Times New Roman"/>
          <w:sz w:val="28"/>
          <w:szCs w:val="28"/>
          <w:lang w:val="en-GB"/>
        </w:rPr>
        <w:t xml:space="preserve"> it had done so only in the last stage </w:t>
      </w:r>
      <w:r w:rsidR="00DD4F60" w:rsidRPr="000E2B31">
        <w:rPr>
          <w:rFonts w:ascii="Times New Roman" w:hAnsi="Times New Roman" w:cs="Times New Roman"/>
          <w:sz w:val="28"/>
          <w:szCs w:val="28"/>
          <w:lang w:val="en-GB"/>
        </w:rPr>
        <w:t xml:space="preserve">of the tender process </w:t>
      </w:r>
      <w:r w:rsidR="00951946" w:rsidRPr="000E2B31">
        <w:rPr>
          <w:rFonts w:ascii="Times New Roman" w:hAnsi="Times New Roman" w:cs="Times New Roman"/>
          <w:sz w:val="28"/>
          <w:szCs w:val="28"/>
          <w:lang w:val="en-GB"/>
        </w:rPr>
        <w:t xml:space="preserve">and on the basis that the requirements for the exercise entailed objective criteria made allowance for in Regulation 11 read together with the provisions of section 2 (1) (f) of the PPPFA.  </w:t>
      </w:r>
      <w:r w:rsidR="00C137A2" w:rsidRPr="000E2B31">
        <w:rPr>
          <w:rFonts w:ascii="Times New Roman" w:hAnsi="Times New Roman" w:cs="Times New Roman"/>
          <w:sz w:val="28"/>
          <w:szCs w:val="28"/>
          <w:lang w:val="en-GB"/>
        </w:rPr>
        <w:t xml:space="preserve">It denied that the </w:t>
      </w:r>
      <w:r w:rsidR="00DD4F60" w:rsidRPr="000E2B31">
        <w:rPr>
          <w:rFonts w:ascii="Times New Roman" w:hAnsi="Times New Roman" w:cs="Times New Roman"/>
          <w:sz w:val="28"/>
          <w:szCs w:val="28"/>
          <w:lang w:val="en-GB"/>
        </w:rPr>
        <w:t>evaluation</w:t>
      </w:r>
      <w:r w:rsidR="00C137A2" w:rsidRPr="000E2B31">
        <w:rPr>
          <w:rFonts w:ascii="Times New Roman" w:hAnsi="Times New Roman" w:cs="Times New Roman"/>
          <w:sz w:val="28"/>
          <w:szCs w:val="28"/>
          <w:lang w:val="en-GB"/>
        </w:rPr>
        <w:t xml:space="preserve"> was applied as a part of the original functionality</w:t>
      </w:r>
      <w:r w:rsidR="00C91AD2" w:rsidRPr="000E2B31">
        <w:rPr>
          <w:rFonts w:ascii="Times New Roman" w:hAnsi="Times New Roman" w:cs="Times New Roman"/>
          <w:sz w:val="28"/>
          <w:szCs w:val="28"/>
          <w:lang w:val="en-GB"/>
        </w:rPr>
        <w:t xml:space="preserve"> assessment</w:t>
      </w:r>
      <w:r w:rsidR="00C137A2" w:rsidRPr="000E2B31">
        <w:rPr>
          <w:rFonts w:ascii="Times New Roman" w:hAnsi="Times New Roman" w:cs="Times New Roman"/>
          <w:sz w:val="28"/>
          <w:szCs w:val="28"/>
          <w:lang w:val="en-GB"/>
        </w:rPr>
        <w:t>.</w:t>
      </w:r>
    </w:p>
    <w:p w14:paraId="73946F84" w14:textId="77777777" w:rsidR="00797599" w:rsidRPr="00B42832" w:rsidRDefault="00797599" w:rsidP="00797599">
      <w:pPr>
        <w:pStyle w:val="ListParagraph"/>
        <w:tabs>
          <w:tab w:val="left" w:pos="709"/>
        </w:tabs>
        <w:spacing w:before="0" w:beforeAutospacing="0"/>
        <w:ind w:left="0"/>
        <w:jc w:val="both"/>
        <w:rPr>
          <w:rFonts w:ascii="Times New Roman" w:hAnsi="Times New Roman" w:cs="Times New Roman"/>
          <w:sz w:val="28"/>
          <w:szCs w:val="28"/>
          <w:lang w:val="en-US"/>
        </w:rPr>
      </w:pPr>
    </w:p>
    <w:p w14:paraId="32EEC052" w14:textId="599E3AD7" w:rsidR="00B42832" w:rsidRPr="000E2B31" w:rsidRDefault="000E2B31" w:rsidP="000E2B31">
      <w:pPr>
        <w:tabs>
          <w:tab w:val="left" w:pos="709"/>
        </w:tabs>
        <w:spacing w:before="0" w:beforeAutospacing="0"/>
        <w:jc w:val="both"/>
        <w:rPr>
          <w:rFonts w:ascii="Times New Roman" w:hAnsi="Times New Roman" w:cs="Times New Roman"/>
          <w:sz w:val="28"/>
          <w:szCs w:val="28"/>
          <w:lang w:val="en-US"/>
        </w:rPr>
      </w:pPr>
      <w:r w:rsidRPr="00797599">
        <w:rPr>
          <w:rFonts w:ascii="Times New Roman" w:hAnsi="Times New Roman" w:cs="Times New Roman"/>
          <w:sz w:val="28"/>
          <w:szCs w:val="28"/>
          <w:lang w:val="en-US"/>
        </w:rPr>
        <w:t>[57]</w:t>
      </w:r>
      <w:r w:rsidRPr="00797599">
        <w:rPr>
          <w:rFonts w:ascii="Times New Roman" w:hAnsi="Times New Roman" w:cs="Times New Roman"/>
          <w:sz w:val="28"/>
          <w:szCs w:val="28"/>
          <w:lang w:val="en-US"/>
        </w:rPr>
        <w:tab/>
      </w:r>
      <w:r w:rsidR="00951946" w:rsidRPr="000E2B31">
        <w:rPr>
          <w:rFonts w:ascii="Times New Roman" w:hAnsi="Times New Roman" w:cs="Times New Roman"/>
          <w:sz w:val="28"/>
          <w:szCs w:val="28"/>
          <w:lang w:val="en-GB"/>
        </w:rPr>
        <w:t>As far as it was concerned the basis upon which the risk determination would ensue for all responsive bidders</w:t>
      </w:r>
      <w:r w:rsidR="00DD4F60" w:rsidRPr="000E2B31">
        <w:rPr>
          <w:rFonts w:ascii="Times New Roman" w:hAnsi="Times New Roman" w:cs="Times New Roman"/>
          <w:sz w:val="28"/>
          <w:szCs w:val="28"/>
          <w:lang w:val="en-GB"/>
        </w:rPr>
        <w:t xml:space="preserve"> (even if there had been only one</w:t>
      </w:r>
      <w:r w:rsidR="003914E0" w:rsidRPr="000E2B31">
        <w:rPr>
          <w:rFonts w:ascii="Times New Roman" w:hAnsi="Times New Roman" w:cs="Times New Roman"/>
          <w:sz w:val="28"/>
          <w:szCs w:val="28"/>
          <w:lang w:val="en-GB"/>
        </w:rPr>
        <w:t xml:space="preserve"> in the final run</w:t>
      </w:r>
      <w:r w:rsidR="00DD4F60" w:rsidRPr="000E2B31">
        <w:rPr>
          <w:rFonts w:ascii="Times New Roman" w:hAnsi="Times New Roman" w:cs="Times New Roman"/>
          <w:sz w:val="28"/>
          <w:szCs w:val="28"/>
          <w:lang w:val="en-GB"/>
        </w:rPr>
        <w:t>)</w:t>
      </w:r>
      <w:r w:rsidR="00951946" w:rsidRPr="000E2B31">
        <w:rPr>
          <w:rFonts w:ascii="Times New Roman" w:hAnsi="Times New Roman" w:cs="Times New Roman"/>
          <w:sz w:val="28"/>
          <w:szCs w:val="28"/>
          <w:lang w:val="en-GB"/>
        </w:rPr>
        <w:t xml:space="preserve"> </w:t>
      </w:r>
      <w:r w:rsidR="00951946" w:rsidRPr="000E2B31">
        <w:rPr>
          <w:rFonts w:ascii="Times New Roman" w:hAnsi="Times New Roman" w:cs="Times New Roman"/>
          <w:sz w:val="28"/>
          <w:szCs w:val="28"/>
          <w:lang w:val="en-GB"/>
        </w:rPr>
        <w:lastRenderedPageBreak/>
        <w:t xml:space="preserve">was unequivocally heralded by the provisions of Clause C. </w:t>
      </w:r>
      <w:r w:rsidR="00C137A2" w:rsidRPr="000E2B31">
        <w:rPr>
          <w:rFonts w:ascii="Times New Roman" w:hAnsi="Times New Roman" w:cs="Times New Roman"/>
          <w:sz w:val="28"/>
          <w:szCs w:val="28"/>
          <w:lang w:val="en-GB"/>
        </w:rPr>
        <w:t xml:space="preserve"> Although conceding that the wording set out in Clause C </w:t>
      </w:r>
      <w:r w:rsidR="00DD4F60" w:rsidRPr="000E2B31">
        <w:rPr>
          <w:rFonts w:ascii="Times New Roman" w:hAnsi="Times New Roman" w:cs="Times New Roman"/>
          <w:sz w:val="28"/>
          <w:szCs w:val="28"/>
          <w:lang w:val="en-GB"/>
        </w:rPr>
        <w:t>was</w:t>
      </w:r>
      <w:r w:rsidR="00C137A2" w:rsidRPr="000E2B31">
        <w:rPr>
          <w:rFonts w:ascii="Times New Roman" w:hAnsi="Times New Roman" w:cs="Times New Roman"/>
          <w:sz w:val="28"/>
          <w:szCs w:val="28"/>
          <w:lang w:val="en-GB"/>
        </w:rPr>
        <w:t xml:space="preserve"> not a model of </w:t>
      </w:r>
      <w:r w:rsidR="00DD4F60" w:rsidRPr="000E2B31">
        <w:rPr>
          <w:rFonts w:ascii="Times New Roman" w:hAnsi="Times New Roman" w:cs="Times New Roman"/>
          <w:sz w:val="28"/>
          <w:szCs w:val="28"/>
          <w:lang w:val="en-GB"/>
        </w:rPr>
        <w:t>precision</w:t>
      </w:r>
      <w:r w:rsidR="00C137A2" w:rsidRPr="000E2B31">
        <w:rPr>
          <w:rFonts w:ascii="Times New Roman" w:hAnsi="Times New Roman" w:cs="Times New Roman"/>
          <w:sz w:val="28"/>
          <w:szCs w:val="28"/>
          <w:lang w:val="en-GB"/>
        </w:rPr>
        <w:t>, it maintained that on a purposeful and constitutional interpretation of the tender Data that its object</w:t>
      </w:r>
      <w:r w:rsidR="00DD4F60" w:rsidRPr="000E2B31">
        <w:rPr>
          <w:rFonts w:ascii="Times New Roman" w:hAnsi="Times New Roman" w:cs="Times New Roman"/>
          <w:sz w:val="28"/>
          <w:szCs w:val="28"/>
          <w:lang w:val="en-GB"/>
        </w:rPr>
        <w:t xml:space="preserve">ive, whilst coincidentally also serving as a </w:t>
      </w:r>
      <w:r w:rsidR="00965D26" w:rsidRPr="000E2B31">
        <w:rPr>
          <w:rFonts w:ascii="Times New Roman" w:hAnsi="Times New Roman" w:cs="Times New Roman"/>
          <w:sz w:val="28"/>
          <w:szCs w:val="28"/>
          <w:lang w:val="en-GB"/>
        </w:rPr>
        <w:t xml:space="preserve">condition for the award of the tender, </w:t>
      </w:r>
      <w:r w:rsidR="00C137A2" w:rsidRPr="000E2B31">
        <w:rPr>
          <w:rFonts w:ascii="Times New Roman" w:hAnsi="Times New Roman" w:cs="Times New Roman"/>
          <w:sz w:val="28"/>
          <w:szCs w:val="28"/>
          <w:lang w:val="en-GB"/>
        </w:rPr>
        <w:t xml:space="preserve">was formulated with sufficient </w:t>
      </w:r>
      <w:r w:rsidR="00DD4F60" w:rsidRPr="000E2B31">
        <w:rPr>
          <w:rFonts w:ascii="Times New Roman" w:hAnsi="Times New Roman" w:cs="Times New Roman"/>
          <w:sz w:val="28"/>
          <w:szCs w:val="28"/>
          <w:lang w:val="en-GB"/>
        </w:rPr>
        <w:t>clarity to be applied as objective criteria such as is envisaged in regulation 11</w:t>
      </w:r>
      <w:r w:rsidR="00C137A2" w:rsidRPr="000E2B31">
        <w:rPr>
          <w:rFonts w:ascii="Times New Roman" w:hAnsi="Times New Roman" w:cs="Times New Roman"/>
          <w:sz w:val="28"/>
          <w:szCs w:val="28"/>
          <w:lang w:val="en-GB"/>
        </w:rPr>
        <w:t xml:space="preserve">. </w:t>
      </w:r>
      <w:r w:rsidR="00965D26" w:rsidRPr="000E2B31">
        <w:rPr>
          <w:rFonts w:ascii="Times New Roman" w:hAnsi="Times New Roman" w:cs="Times New Roman"/>
          <w:sz w:val="28"/>
          <w:szCs w:val="28"/>
          <w:lang w:val="en-GB"/>
        </w:rPr>
        <w:t>I</w:t>
      </w:r>
      <w:r w:rsidR="00797599" w:rsidRPr="000E2B31">
        <w:rPr>
          <w:rFonts w:ascii="Times New Roman" w:hAnsi="Times New Roman" w:cs="Times New Roman"/>
          <w:sz w:val="28"/>
          <w:szCs w:val="28"/>
          <w:lang w:val="en-GB"/>
        </w:rPr>
        <w:t>ndeed,</w:t>
      </w:r>
      <w:r w:rsidR="00C137A2" w:rsidRPr="000E2B31">
        <w:rPr>
          <w:rFonts w:ascii="Times New Roman" w:hAnsi="Times New Roman" w:cs="Times New Roman"/>
          <w:sz w:val="28"/>
          <w:szCs w:val="28"/>
          <w:lang w:val="en-GB"/>
        </w:rPr>
        <w:t xml:space="preserve"> </w:t>
      </w:r>
      <w:r w:rsidR="00965D26" w:rsidRPr="000E2B31">
        <w:rPr>
          <w:rFonts w:ascii="Times New Roman" w:hAnsi="Times New Roman" w:cs="Times New Roman"/>
          <w:sz w:val="28"/>
          <w:szCs w:val="28"/>
          <w:lang w:val="en-GB"/>
        </w:rPr>
        <w:t>so the argument went, if</w:t>
      </w:r>
      <w:r w:rsidR="00C137A2" w:rsidRPr="000E2B31">
        <w:rPr>
          <w:rFonts w:ascii="Times New Roman" w:hAnsi="Times New Roman" w:cs="Times New Roman"/>
          <w:sz w:val="28"/>
          <w:szCs w:val="28"/>
          <w:lang w:val="en-GB"/>
        </w:rPr>
        <w:t xml:space="preserve"> it were simply a question of passing functionality and having </w:t>
      </w:r>
      <w:r w:rsidR="00797599" w:rsidRPr="000E2B31">
        <w:rPr>
          <w:rFonts w:ascii="Times New Roman" w:hAnsi="Times New Roman" w:cs="Times New Roman"/>
          <w:sz w:val="28"/>
          <w:szCs w:val="28"/>
          <w:lang w:val="en-GB"/>
        </w:rPr>
        <w:t>an</w:t>
      </w:r>
      <w:r w:rsidR="00C137A2" w:rsidRPr="000E2B31">
        <w:rPr>
          <w:rFonts w:ascii="Times New Roman" w:hAnsi="Times New Roman" w:cs="Times New Roman"/>
          <w:sz w:val="28"/>
          <w:szCs w:val="28"/>
          <w:lang w:val="en-GB"/>
        </w:rPr>
        <w:t xml:space="preserve"> acceptable price and preference rating it would not have been necessary </w:t>
      </w:r>
      <w:r w:rsidR="00BD6864" w:rsidRPr="000E2B31">
        <w:rPr>
          <w:rFonts w:ascii="Times New Roman" w:hAnsi="Times New Roman" w:cs="Times New Roman"/>
          <w:sz w:val="28"/>
          <w:szCs w:val="28"/>
          <w:lang w:val="en-GB"/>
        </w:rPr>
        <w:t xml:space="preserve">for it </w:t>
      </w:r>
      <w:r w:rsidR="00965D26" w:rsidRPr="000E2B31">
        <w:rPr>
          <w:rFonts w:ascii="Times New Roman" w:hAnsi="Times New Roman" w:cs="Times New Roman"/>
          <w:sz w:val="28"/>
          <w:szCs w:val="28"/>
          <w:lang w:val="en-GB"/>
        </w:rPr>
        <w:t>to</w:t>
      </w:r>
      <w:r w:rsidR="00C137A2" w:rsidRPr="000E2B31">
        <w:rPr>
          <w:rFonts w:ascii="Times New Roman" w:hAnsi="Times New Roman" w:cs="Times New Roman"/>
          <w:sz w:val="28"/>
          <w:szCs w:val="28"/>
          <w:lang w:val="en-GB"/>
        </w:rPr>
        <w:t xml:space="preserve"> </w:t>
      </w:r>
      <w:r w:rsidR="00BD6864" w:rsidRPr="000E2B31">
        <w:rPr>
          <w:rFonts w:ascii="Times New Roman" w:hAnsi="Times New Roman" w:cs="Times New Roman"/>
          <w:sz w:val="28"/>
          <w:szCs w:val="28"/>
          <w:lang w:val="en-GB"/>
        </w:rPr>
        <w:t xml:space="preserve">have </w:t>
      </w:r>
      <w:r w:rsidR="00C137A2" w:rsidRPr="000E2B31">
        <w:rPr>
          <w:rFonts w:ascii="Times New Roman" w:hAnsi="Times New Roman" w:cs="Times New Roman"/>
          <w:sz w:val="28"/>
          <w:szCs w:val="28"/>
          <w:lang w:val="en-GB"/>
        </w:rPr>
        <w:t>include</w:t>
      </w:r>
      <w:r w:rsidR="00BD6864" w:rsidRPr="000E2B31">
        <w:rPr>
          <w:rFonts w:ascii="Times New Roman" w:hAnsi="Times New Roman" w:cs="Times New Roman"/>
          <w:sz w:val="28"/>
          <w:szCs w:val="28"/>
          <w:lang w:val="en-GB"/>
        </w:rPr>
        <w:t>d</w:t>
      </w:r>
      <w:r w:rsidR="00C137A2" w:rsidRPr="000E2B31">
        <w:rPr>
          <w:rFonts w:ascii="Times New Roman" w:hAnsi="Times New Roman" w:cs="Times New Roman"/>
          <w:sz w:val="28"/>
          <w:szCs w:val="28"/>
          <w:lang w:val="en-GB"/>
        </w:rPr>
        <w:t xml:space="preserve"> i</w:t>
      </w:r>
      <w:r w:rsidR="00797599" w:rsidRPr="000E2B31">
        <w:rPr>
          <w:rFonts w:ascii="Times New Roman" w:hAnsi="Times New Roman" w:cs="Times New Roman"/>
          <w:sz w:val="28"/>
          <w:szCs w:val="28"/>
          <w:lang w:val="en-GB"/>
        </w:rPr>
        <w:t>t</w:t>
      </w:r>
      <w:r w:rsidR="00C137A2" w:rsidRPr="000E2B31">
        <w:rPr>
          <w:rFonts w:ascii="Times New Roman" w:hAnsi="Times New Roman" w:cs="Times New Roman"/>
          <w:sz w:val="28"/>
          <w:szCs w:val="28"/>
          <w:lang w:val="en-GB"/>
        </w:rPr>
        <w:t xml:space="preserve"> </w:t>
      </w:r>
      <w:r w:rsidR="00C91AD2" w:rsidRPr="000E2B31">
        <w:rPr>
          <w:rFonts w:ascii="Times New Roman" w:hAnsi="Times New Roman" w:cs="Times New Roman"/>
          <w:sz w:val="28"/>
          <w:szCs w:val="28"/>
          <w:lang w:val="en-GB"/>
        </w:rPr>
        <w:t xml:space="preserve">in </w:t>
      </w:r>
      <w:r w:rsidR="00C137A2" w:rsidRPr="000E2B31">
        <w:rPr>
          <w:rFonts w:ascii="Times New Roman" w:hAnsi="Times New Roman" w:cs="Times New Roman"/>
          <w:sz w:val="28"/>
          <w:szCs w:val="28"/>
          <w:lang w:val="en-GB"/>
        </w:rPr>
        <w:t xml:space="preserve">the tender </w:t>
      </w:r>
      <w:r w:rsidR="00797599" w:rsidRPr="000E2B31">
        <w:rPr>
          <w:rFonts w:ascii="Times New Roman" w:hAnsi="Times New Roman" w:cs="Times New Roman"/>
          <w:sz w:val="28"/>
          <w:szCs w:val="28"/>
          <w:lang w:val="en-GB"/>
        </w:rPr>
        <w:t>Data.</w:t>
      </w:r>
      <w:r w:rsidR="00797599" w:rsidRPr="000E2B31">
        <w:rPr>
          <w:rFonts w:ascii="Times New Roman" w:hAnsi="Times New Roman" w:cs="Times New Roman"/>
          <w:sz w:val="28"/>
          <w:szCs w:val="28"/>
          <w:lang w:val="en-US"/>
        </w:rPr>
        <w:t xml:space="preserve"> It further saw </w:t>
      </w:r>
      <w:r w:rsidR="00797599" w:rsidRPr="000E2B31">
        <w:rPr>
          <w:rFonts w:ascii="Times New Roman" w:hAnsi="Times New Roman" w:cs="Times New Roman"/>
          <w:sz w:val="28"/>
          <w:szCs w:val="28"/>
          <w:lang w:val="en-GB"/>
        </w:rPr>
        <w:t>no</w:t>
      </w:r>
      <w:r w:rsidR="00C137A2" w:rsidRPr="000E2B31">
        <w:rPr>
          <w:rFonts w:ascii="Times New Roman" w:hAnsi="Times New Roman" w:cs="Times New Roman"/>
          <w:sz w:val="28"/>
          <w:szCs w:val="28"/>
          <w:lang w:val="en-GB"/>
        </w:rPr>
        <w:t xml:space="preserve"> n</w:t>
      </w:r>
      <w:r w:rsidR="00965D26" w:rsidRPr="000E2B31">
        <w:rPr>
          <w:rFonts w:ascii="Times New Roman" w:hAnsi="Times New Roman" w:cs="Times New Roman"/>
          <w:sz w:val="28"/>
          <w:szCs w:val="28"/>
          <w:lang w:val="en-GB"/>
        </w:rPr>
        <w:t>o</w:t>
      </w:r>
      <w:r w:rsidR="00C137A2" w:rsidRPr="000E2B31">
        <w:rPr>
          <w:rFonts w:ascii="Times New Roman" w:hAnsi="Times New Roman" w:cs="Times New Roman"/>
          <w:sz w:val="28"/>
          <w:szCs w:val="28"/>
          <w:lang w:val="en-GB"/>
        </w:rPr>
        <w:t>tional impediment or objection to the risk assessment being applied to all qualifying tenders</w:t>
      </w:r>
      <w:r w:rsidR="00965D26" w:rsidRPr="000E2B31">
        <w:rPr>
          <w:rFonts w:ascii="Times New Roman" w:hAnsi="Times New Roman" w:cs="Times New Roman"/>
          <w:sz w:val="28"/>
          <w:szCs w:val="28"/>
          <w:lang w:val="en-GB"/>
        </w:rPr>
        <w:t>,</w:t>
      </w:r>
      <w:r w:rsidR="00C137A2" w:rsidRPr="000E2B31">
        <w:rPr>
          <w:rFonts w:ascii="Times New Roman" w:hAnsi="Times New Roman" w:cs="Times New Roman"/>
          <w:sz w:val="28"/>
          <w:szCs w:val="28"/>
          <w:lang w:val="en-GB"/>
        </w:rPr>
        <w:t xml:space="preserve"> and not only the highest scoring </w:t>
      </w:r>
      <w:r w:rsidR="00797599" w:rsidRPr="000E2B31">
        <w:rPr>
          <w:rFonts w:ascii="Times New Roman" w:hAnsi="Times New Roman" w:cs="Times New Roman"/>
          <w:sz w:val="28"/>
          <w:szCs w:val="28"/>
          <w:lang w:val="en-GB"/>
        </w:rPr>
        <w:t>tender</w:t>
      </w:r>
      <w:r w:rsidR="00965D26" w:rsidRPr="000E2B31">
        <w:rPr>
          <w:rFonts w:ascii="Times New Roman" w:hAnsi="Times New Roman" w:cs="Times New Roman"/>
          <w:sz w:val="28"/>
          <w:szCs w:val="28"/>
          <w:lang w:val="en-GB"/>
        </w:rPr>
        <w:t>,</w:t>
      </w:r>
      <w:r w:rsidR="00797599" w:rsidRPr="000E2B31">
        <w:rPr>
          <w:rFonts w:ascii="Times New Roman" w:hAnsi="Times New Roman" w:cs="Times New Roman"/>
          <w:sz w:val="28"/>
          <w:szCs w:val="28"/>
          <w:lang w:val="en-GB"/>
        </w:rPr>
        <w:t xml:space="preserve"> as a </w:t>
      </w:r>
      <w:r w:rsidR="00724539" w:rsidRPr="000E2B31">
        <w:rPr>
          <w:rFonts w:ascii="Times New Roman" w:hAnsi="Times New Roman" w:cs="Times New Roman"/>
          <w:sz w:val="28"/>
          <w:szCs w:val="28"/>
          <w:lang w:val="en-GB"/>
        </w:rPr>
        <w:t>further</w:t>
      </w:r>
      <w:r w:rsidR="00797599" w:rsidRPr="000E2B31">
        <w:rPr>
          <w:rFonts w:ascii="Times New Roman" w:hAnsi="Times New Roman" w:cs="Times New Roman"/>
          <w:sz w:val="28"/>
          <w:szCs w:val="28"/>
          <w:lang w:val="en-GB"/>
        </w:rPr>
        <w:t xml:space="preserve"> </w:t>
      </w:r>
      <w:r w:rsidR="00BD6864" w:rsidRPr="000E2B31">
        <w:rPr>
          <w:rFonts w:ascii="Times New Roman" w:hAnsi="Times New Roman" w:cs="Times New Roman"/>
          <w:sz w:val="28"/>
          <w:szCs w:val="28"/>
          <w:lang w:val="en-GB"/>
        </w:rPr>
        <w:t>requirement</w:t>
      </w:r>
      <w:r w:rsidR="00797599" w:rsidRPr="000E2B31">
        <w:rPr>
          <w:rFonts w:ascii="Times New Roman" w:hAnsi="Times New Roman" w:cs="Times New Roman"/>
          <w:sz w:val="28"/>
          <w:szCs w:val="28"/>
          <w:lang w:val="en-GB"/>
        </w:rPr>
        <w:t xml:space="preserve"> after scoring on price and preference</w:t>
      </w:r>
      <w:r w:rsidR="00724539" w:rsidRPr="000E2B31">
        <w:rPr>
          <w:rFonts w:ascii="Times New Roman" w:hAnsi="Times New Roman" w:cs="Times New Roman"/>
          <w:sz w:val="28"/>
          <w:szCs w:val="28"/>
          <w:lang w:val="en-GB"/>
        </w:rPr>
        <w:t>,</w:t>
      </w:r>
      <w:r w:rsidR="00965D26" w:rsidRPr="000E2B31">
        <w:rPr>
          <w:rFonts w:ascii="Times New Roman" w:hAnsi="Times New Roman" w:cs="Times New Roman"/>
          <w:sz w:val="28"/>
          <w:szCs w:val="28"/>
          <w:lang w:val="en-GB"/>
        </w:rPr>
        <w:t xml:space="preserve"> as a clearly stipulated condition of the tender</w:t>
      </w:r>
      <w:r w:rsidR="00797599" w:rsidRPr="000E2B31">
        <w:rPr>
          <w:rFonts w:ascii="Times New Roman" w:hAnsi="Times New Roman" w:cs="Times New Roman"/>
          <w:sz w:val="28"/>
          <w:szCs w:val="28"/>
          <w:lang w:val="en-GB"/>
        </w:rPr>
        <w:t>.</w:t>
      </w:r>
    </w:p>
    <w:p w14:paraId="57809654" w14:textId="77777777" w:rsidR="00797599" w:rsidRPr="00797599" w:rsidRDefault="00797599" w:rsidP="00797599">
      <w:pPr>
        <w:pStyle w:val="ListParagraph"/>
        <w:rPr>
          <w:rFonts w:ascii="Times New Roman" w:hAnsi="Times New Roman" w:cs="Times New Roman"/>
          <w:sz w:val="28"/>
          <w:szCs w:val="28"/>
          <w:lang w:val="en-US"/>
        </w:rPr>
      </w:pPr>
    </w:p>
    <w:p w14:paraId="7383DA66" w14:textId="628EC43B" w:rsidR="00B42832" w:rsidRPr="000E2B31" w:rsidRDefault="000E2B31" w:rsidP="000E2B31">
      <w:pPr>
        <w:tabs>
          <w:tab w:val="left" w:pos="709"/>
        </w:tabs>
        <w:spacing w:before="0" w:beforeAutospacing="0"/>
        <w:jc w:val="both"/>
        <w:rPr>
          <w:rFonts w:ascii="Times New Roman" w:hAnsi="Times New Roman" w:cs="Times New Roman"/>
          <w:sz w:val="28"/>
          <w:szCs w:val="28"/>
          <w:lang w:val="en-US"/>
        </w:rPr>
      </w:pPr>
      <w:r w:rsidRPr="00965D26">
        <w:rPr>
          <w:rFonts w:ascii="Times New Roman" w:hAnsi="Times New Roman" w:cs="Times New Roman"/>
          <w:sz w:val="28"/>
          <w:szCs w:val="28"/>
          <w:lang w:val="en-US"/>
        </w:rPr>
        <w:t>[58]</w:t>
      </w:r>
      <w:r w:rsidRPr="00965D26">
        <w:rPr>
          <w:rFonts w:ascii="Times New Roman" w:hAnsi="Times New Roman" w:cs="Times New Roman"/>
          <w:sz w:val="28"/>
          <w:szCs w:val="28"/>
          <w:lang w:val="en-US"/>
        </w:rPr>
        <w:tab/>
      </w:r>
      <w:r w:rsidR="00951946" w:rsidRPr="000E2B31">
        <w:rPr>
          <w:rFonts w:ascii="Times New Roman" w:hAnsi="Times New Roman" w:cs="Times New Roman"/>
          <w:sz w:val="28"/>
          <w:szCs w:val="28"/>
          <w:lang w:val="en-GB"/>
        </w:rPr>
        <w:t xml:space="preserve">It defended </w:t>
      </w:r>
      <w:r w:rsidR="00C137A2" w:rsidRPr="000E2B31">
        <w:rPr>
          <w:rFonts w:ascii="Times New Roman" w:hAnsi="Times New Roman" w:cs="Times New Roman"/>
          <w:sz w:val="28"/>
          <w:szCs w:val="28"/>
          <w:lang w:val="en-GB"/>
        </w:rPr>
        <w:t>its utilisation of the tool</w:t>
      </w:r>
      <w:r w:rsidR="00B42832" w:rsidRPr="000E2B31">
        <w:rPr>
          <w:rFonts w:ascii="Times New Roman" w:hAnsi="Times New Roman" w:cs="Times New Roman"/>
          <w:sz w:val="28"/>
          <w:szCs w:val="28"/>
          <w:lang w:val="en-GB"/>
        </w:rPr>
        <w:t xml:space="preserve"> to evaluate tenders on elements of risk </w:t>
      </w:r>
      <w:r w:rsidR="00C137A2" w:rsidRPr="000E2B31">
        <w:rPr>
          <w:rFonts w:ascii="Times New Roman" w:hAnsi="Times New Roman" w:cs="Times New Roman"/>
          <w:sz w:val="28"/>
          <w:szCs w:val="28"/>
          <w:lang w:val="en-GB"/>
        </w:rPr>
        <w:t>as one that was constitutionally compliant</w:t>
      </w:r>
      <w:r w:rsidR="00797599" w:rsidRPr="000E2B31">
        <w:rPr>
          <w:rFonts w:ascii="Times New Roman" w:hAnsi="Times New Roman" w:cs="Times New Roman"/>
          <w:sz w:val="28"/>
          <w:szCs w:val="28"/>
          <w:lang w:val="en-GB"/>
        </w:rPr>
        <w:t xml:space="preserve"> and necessary</w:t>
      </w:r>
      <w:r w:rsidR="00965D26" w:rsidRPr="000E2B31">
        <w:rPr>
          <w:rFonts w:ascii="Times New Roman" w:hAnsi="Times New Roman" w:cs="Times New Roman"/>
          <w:sz w:val="28"/>
          <w:szCs w:val="28"/>
          <w:lang w:val="en-GB"/>
        </w:rPr>
        <w:t xml:space="preserve">.  It </w:t>
      </w:r>
      <w:r w:rsidR="00965D26" w:rsidRPr="000E2B31">
        <w:rPr>
          <w:rFonts w:ascii="Times New Roman" w:hAnsi="Times New Roman" w:cs="Times New Roman"/>
          <w:sz w:val="28"/>
          <w:szCs w:val="28"/>
          <w:lang w:val="en-US"/>
        </w:rPr>
        <w:t xml:space="preserve">further asserted that </w:t>
      </w:r>
      <w:r w:rsidR="00B42832" w:rsidRPr="000E2B31">
        <w:rPr>
          <w:rFonts w:ascii="Times New Roman" w:hAnsi="Times New Roman" w:cs="Times New Roman"/>
          <w:sz w:val="28"/>
          <w:szCs w:val="28"/>
          <w:lang w:val="en-GB"/>
        </w:rPr>
        <w:t xml:space="preserve">the risk </w:t>
      </w:r>
      <w:r w:rsidR="00965D26" w:rsidRPr="000E2B31">
        <w:rPr>
          <w:rFonts w:ascii="Times New Roman" w:hAnsi="Times New Roman" w:cs="Times New Roman"/>
          <w:sz w:val="28"/>
          <w:szCs w:val="28"/>
          <w:lang w:val="en-GB"/>
        </w:rPr>
        <w:t>evaluation was</w:t>
      </w:r>
      <w:r w:rsidR="00B42832" w:rsidRPr="000E2B31">
        <w:rPr>
          <w:rFonts w:ascii="Times New Roman" w:hAnsi="Times New Roman" w:cs="Times New Roman"/>
          <w:sz w:val="28"/>
          <w:szCs w:val="28"/>
          <w:lang w:val="en-GB"/>
        </w:rPr>
        <w:t xml:space="preserve"> fairly undertaken and </w:t>
      </w:r>
      <w:r w:rsidR="00C137A2" w:rsidRPr="000E2B31">
        <w:rPr>
          <w:rFonts w:ascii="Times New Roman" w:hAnsi="Times New Roman" w:cs="Times New Roman"/>
          <w:sz w:val="28"/>
          <w:szCs w:val="28"/>
          <w:lang w:val="en-GB"/>
        </w:rPr>
        <w:t xml:space="preserve">that it </w:t>
      </w:r>
      <w:r w:rsidR="00797599" w:rsidRPr="000E2B31">
        <w:rPr>
          <w:rFonts w:ascii="Times New Roman" w:hAnsi="Times New Roman" w:cs="Times New Roman"/>
          <w:sz w:val="28"/>
          <w:szCs w:val="28"/>
          <w:lang w:val="en-GB"/>
        </w:rPr>
        <w:t>was not</w:t>
      </w:r>
      <w:r w:rsidR="00B42832" w:rsidRPr="000E2B31">
        <w:rPr>
          <w:rFonts w:ascii="Times New Roman" w:hAnsi="Times New Roman" w:cs="Times New Roman"/>
          <w:sz w:val="28"/>
          <w:szCs w:val="28"/>
          <w:lang w:val="en-GB"/>
        </w:rPr>
        <w:t xml:space="preserve"> open to the court to second guess </w:t>
      </w:r>
      <w:r w:rsidR="00965D26" w:rsidRPr="000E2B31">
        <w:rPr>
          <w:rFonts w:ascii="Times New Roman" w:hAnsi="Times New Roman" w:cs="Times New Roman"/>
          <w:sz w:val="28"/>
          <w:szCs w:val="28"/>
          <w:lang w:val="en-GB"/>
        </w:rPr>
        <w:t>either its requirements as to eligibility</w:t>
      </w:r>
      <w:r w:rsidR="00BD6864" w:rsidRPr="000E2B31">
        <w:rPr>
          <w:rFonts w:ascii="Times New Roman" w:hAnsi="Times New Roman" w:cs="Times New Roman"/>
          <w:sz w:val="28"/>
          <w:szCs w:val="28"/>
          <w:lang w:val="en-GB"/>
        </w:rPr>
        <w:t xml:space="preserve"> stated in the tender Data</w:t>
      </w:r>
      <w:r w:rsidR="00965D26" w:rsidRPr="000E2B31">
        <w:rPr>
          <w:rFonts w:ascii="Times New Roman" w:hAnsi="Times New Roman" w:cs="Times New Roman"/>
          <w:sz w:val="28"/>
          <w:szCs w:val="28"/>
          <w:lang w:val="en-GB"/>
        </w:rPr>
        <w:t>, or its ability to recognise and measure what it needed technically as far as it concerned the work to be performed or how it would uniquely evaluate what in its opinion might pose a risk to it in accepting the tender.</w:t>
      </w:r>
      <w:r w:rsidR="003914E0">
        <w:rPr>
          <w:rStyle w:val="FootnoteReference"/>
          <w:rFonts w:ascii="Times New Roman" w:hAnsi="Times New Roman" w:cs="Times New Roman"/>
          <w:sz w:val="28"/>
          <w:szCs w:val="28"/>
          <w:lang w:val="en-GB"/>
        </w:rPr>
        <w:footnoteReference w:id="23"/>
      </w:r>
    </w:p>
    <w:p w14:paraId="22B3F736" w14:textId="77777777" w:rsidR="00797599" w:rsidRPr="00C137A2" w:rsidRDefault="00797599" w:rsidP="00797599">
      <w:pPr>
        <w:pStyle w:val="ListParagraph"/>
        <w:tabs>
          <w:tab w:val="left" w:pos="709"/>
        </w:tabs>
        <w:spacing w:before="0" w:beforeAutospacing="0"/>
        <w:ind w:left="0"/>
        <w:jc w:val="both"/>
        <w:rPr>
          <w:rFonts w:ascii="Times New Roman" w:hAnsi="Times New Roman" w:cs="Times New Roman"/>
          <w:sz w:val="28"/>
          <w:szCs w:val="28"/>
          <w:lang w:val="en-US"/>
        </w:rPr>
      </w:pPr>
    </w:p>
    <w:p w14:paraId="656137B8" w14:textId="16862384" w:rsidR="003914E0" w:rsidRPr="000E2B31" w:rsidRDefault="000E2B31" w:rsidP="000E2B31">
      <w:pPr>
        <w:tabs>
          <w:tab w:val="left" w:pos="709"/>
        </w:tabs>
        <w:spacing w:before="0" w:beforeAutospacing="0"/>
        <w:jc w:val="both"/>
        <w:rPr>
          <w:rFonts w:ascii="Times New Roman" w:hAnsi="Times New Roman" w:cs="Times New Roman"/>
          <w:sz w:val="28"/>
          <w:szCs w:val="28"/>
          <w:lang w:val="en-US"/>
        </w:rPr>
      </w:pPr>
      <w:r w:rsidRPr="003914E0">
        <w:rPr>
          <w:rFonts w:ascii="Times New Roman" w:hAnsi="Times New Roman" w:cs="Times New Roman"/>
          <w:sz w:val="28"/>
          <w:szCs w:val="28"/>
          <w:lang w:val="en-US"/>
        </w:rPr>
        <w:t>[59]</w:t>
      </w:r>
      <w:r w:rsidRPr="003914E0">
        <w:rPr>
          <w:rFonts w:ascii="Times New Roman" w:hAnsi="Times New Roman" w:cs="Times New Roman"/>
          <w:sz w:val="28"/>
          <w:szCs w:val="28"/>
          <w:lang w:val="en-US"/>
        </w:rPr>
        <w:tab/>
      </w:r>
      <w:r w:rsidR="00797599" w:rsidRPr="000E2B31">
        <w:rPr>
          <w:rFonts w:ascii="Times New Roman" w:hAnsi="Times New Roman" w:cs="Times New Roman"/>
          <w:sz w:val="28"/>
          <w:szCs w:val="28"/>
          <w:lang w:val="en-GB"/>
        </w:rPr>
        <w:t>It added that its</w:t>
      </w:r>
      <w:r w:rsidR="00B42832" w:rsidRPr="000E2B31">
        <w:rPr>
          <w:rFonts w:ascii="Times New Roman" w:hAnsi="Times New Roman" w:cs="Times New Roman"/>
          <w:sz w:val="28"/>
          <w:szCs w:val="28"/>
          <w:lang w:val="en-GB"/>
        </w:rPr>
        <w:t xml:space="preserve"> entitlement to subject all responsive </w:t>
      </w:r>
      <w:r w:rsidR="00797599" w:rsidRPr="000E2B31">
        <w:rPr>
          <w:rFonts w:ascii="Times New Roman" w:hAnsi="Times New Roman" w:cs="Times New Roman"/>
          <w:sz w:val="28"/>
          <w:szCs w:val="28"/>
          <w:lang w:val="en-GB"/>
        </w:rPr>
        <w:t>tenders</w:t>
      </w:r>
      <w:r w:rsidR="00B42832" w:rsidRPr="000E2B31">
        <w:rPr>
          <w:rFonts w:ascii="Times New Roman" w:hAnsi="Times New Roman" w:cs="Times New Roman"/>
          <w:sz w:val="28"/>
          <w:szCs w:val="28"/>
          <w:lang w:val="en-GB"/>
        </w:rPr>
        <w:t xml:space="preserve"> to the risk assessment is underscored by the provisions of clause </w:t>
      </w:r>
      <w:r w:rsidR="00797599" w:rsidRPr="000E2B31">
        <w:rPr>
          <w:rFonts w:ascii="Times New Roman" w:hAnsi="Times New Roman" w:cs="Times New Roman"/>
          <w:sz w:val="28"/>
          <w:szCs w:val="28"/>
          <w:lang w:val="en-GB"/>
        </w:rPr>
        <w:t>F13.3</w:t>
      </w:r>
      <w:r w:rsidR="00B42832" w:rsidRPr="000E2B31">
        <w:rPr>
          <w:rFonts w:ascii="Times New Roman" w:hAnsi="Times New Roman" w:cs="Times New Roman"/>
          <w:sz w:val="28"/>
          <w:szCs w:val="28"/>
          <w:lang w:val="en-GB"/>
        </w:rPr>
        <w:t xml:space="preserve"> of the </w:t>
      </w:r>
      <w:r w:rsidR="00797599" w:rsidRPr="000E2B31">
        <w:rPr>
          <w:rFonts w:ascii="Times New Roman" w:hAnsi="Times New Roman" w:cs="Times New Roman"/>
          <w:sz w:val="28"/>
          <w:szCs w:val="28"/>
          <w:lang w:val="en-GB"/>
        </w:rPr>
        <w:t>S</w:t>
      </w:r>
      <w:r w:rsidR="00B42832" w:rsidRPr="000E2B31">
        <w:rPr>
          <w:rFonts w:ascii="Times New Roman" w:hAnsi="Times New Roman" w:cs="Times New Roman"/>
          <w:sz w:val="28"/>
          <w:szCs w:val="28"/>
          <w:lang w:val="en-GB"/>
        </w:rPr>
        <w:t>tandard</w:t>
      </w:r>
      <w:r w:rsidR="00797599" w:rsidRPr="000E2B31">
        <w:rPr>
          <w:rFonts w:ascii="Times New Roman" w:hAnsi="Times New Roman" w:cs="Times New Roman"/>
          <w:sz w:val="28"/>
          <w:szCs w:val="28"/>
          <w:lang w:val="en-GB"/>
        </w:rPr>
        <w:t xml:space="preserve"> which </w:t>
      </w:r>
      <w:r w:rsidR="003914E0" w:rsidRPr="000E2B31">
        <w:rPr>
          <w:rFonts w:ascii="Times New Roman" w:hAnsi="Times New Roman" w:cs="Times New Roman"/>
          <w:sz w:val="28"/>
          <w:szCs w:val="28"/>
          <w:lang w:val="en-GB"/>
        </w:rPr>
        <w:lastRenderedPageBreak/>
        <w:t>urges it to</w:t>
      </w:r>
      <w:r w:rsidR="00797599" w:rsidRPr="000E2B31">
        <w:rPr>
          <w:rFonts w:ascii="Times New Roman" w:hAnsi="Times New Roman" w:cs="Times New Roman"/>
          <w:sz w:val="28"/>
          <w:szCs w:val="28"/>
          <w:lang w:val="en-GB"/>
        </w:rPr>
        <w:t>:</w:t>
      </w:r>
      <w:r w:rsidR="003914E0" w:rsidRPr="000E2B31">
        <w:rPr>
          <w:rFonts w:ascii="Times New Roman" w:hAnsi="Times New Roman" w:cs="Times New Roman"/>
          <w:sz w:val="28"/>
          <w:szCs w:val="28"/>
          <w:lang w:val="en-GB"/>
        </w:rPr>
        <w:t xml:space="preserve"> </w:t>
      </w:r>
      <w:r w:rsidR="003914E0" w:rsidRPr="000E2B31">
        <w:rPr>
          <w:rFonts w:ascii="Times New Roman" w:hAnsi="Times New Roman" w:cs="Times New Roman"/>
          <w:i/>
          <w:iCs/>
          <w:sz w:val="28"/>
          <w:szCs w:val="28"/>
          <w:lang w:val="en-GB"/>
        </w:rPr>
        <w:t>“</w:t>
      </w:r>
      <w:r w:rsidR="003914E0" w:rsidRPr="000E2B31">
        <w:rPr>
          <w:rFonts w:ascii="Times New Roman" w:hAnsi="Times New Roman" w:cs="Times New Roman"/>
          <w:i/>
          <w:iCs/>
          <w:sz w:val="28"/>
          <w:szCs w:val="28"/>
        </w:rPr>
        <w:t>Accept the tender offer, if in the opinion of the employer, it does not present any risk.”</w:t>
      </w:r>
      <w:r w:rsidR="001F280D" w:rsidRPr="001F280D">
        <w:rPr>
          <w:rStyle w:val="FootnoteReference"/>
          <w:rFonts w:ascii="Times New Roman" w:hAnsi="Times New Roman" w:cs="Times New Roman"/>
          <w:sz w:val="28"/>
          <w:szCs w:val="28"/>
        </w:rPr>
        <w:footnoteReference w:id="24"/>
      </w:r>
    </w:p>
    <w:p w14:paraId="4A813A18" w14:textId="404055A6" w:rsidR="005E6A35" w:rsidRPr="003914E0" w:rsidRDefault="005E6A35" w:rsidP="001F280D">
      <w:pPr>
        <w:pStyle w:val="ListParagraph"/>
        <w:spacing w:before="0" w:beforeAutospacing="0"/>
        <w:rPr>
          <w:rFonts w:ascii="Times New Roman" w:hAnsi="Times New Roman" w:cs="Times New Roman"/>
          <w:sz w:val="24"/>
          <w:szCs w:val="24"/>
        </w:rPr>
      </w:pPr>
    </w:p>
    <w:p w14:paraId="20DBEFB9" w14:textId="384429F6" w:rsidR="003914E0" w:rsidRPr="000E2B31" w:rsidRDefault="000E2B31" w:rsidP="000E2B31">
      <w:pPr>
        <w:tabs>
          <w:tab w:val="left" w:pos="709"/>
        </w:tabs>
        <w:spacing w:before="0" w:beforeAutospacing="0"/>
        <w:jc w:val="both"/>
        <w:rPr>
          <w:rFonts w:ascii="Times New Roman" w:hAnsi="Times New Roman" w:cs="Times New Roman"/>
          <w:sz w:val="28"/>
          <w:szCs w:val="28"/>
          <w:lang w:val="en-GB"/>
        </w:rPr>
      </w:pPr>
      <w:r w:rsidRPr="003914E0">
        <w:rPr>
          <w:rFonts w:ascii="Times New Roman" w:hAnsi="Times New Roman" w:cs="Times New Roman"/>
          <w:sz w:val="28"/>
          <w:szCs w:val="28"/>
          <w:lang w:val="en-GB"/>
        </w:rPr>
        <w:t>[60]</w:t>
      </w:r>
      <w:r w:rsidRPr="003914E0">
        <w:rPr>
          <w:rFonts w:ascii="Times New Roman" w:hAnsi="Times New Roman" w:cs="Times New Roman"/>
          <w:sz w:val="28"/>
          <w:szCs w:val="28"/>
          <w:lang w:val="en-GB"/>
        </w:rPr>
        <w:tab/>
      </w:r>
      <w:r w:rsidR="001F4E44" w:rsidRPr="000E2B31">
        <w:rPr>
          <w:rFonts w:ascii="Times New Roman" w:hAnsi="Times New Roman" w:cs="Times New Roman"/>
          <w:sz w:val="28"/>
          <w:szCs w:val="28"/>
          <w:lang w:val="en-GB"/>
        </w:rPr>
        <w:t xml:space="preserve">On the issue of the non-responsiveness of the </w:t>
      </w:r>
      <w:r w:rsidR="003914E0" w:rsidRPr="000E2B31">
        <w:rPr>
          <w:rFonts w:ascii="Times New Roman" w:hAnsi="Times New Roman" w:cs="Times New Roman"/>
          <w:sz w:val="28"/>
          <w:szCs w:val="28"/>
          <w:lang w:val="en-GB"/>
        </w:rPr>
        <w:t>second respondent’s bid</w:t>
      </w:r>
      <w:r w:rsidR="00202A52" w:rsidRPr="000E2B31">
        <w:rPr>
          <w:rFonts w:ascii="Times New Roman" w:hAnsi="Times New Roman" w:cs="Times New Roman"/>
          <w:sz w:val="28"/>
          <w:szCs w:val="28"/>
          <w:lang w:val="en-US"/>
        </w:rPr>
        <w:t xml:space="preserve">, </w:t>
      </w:r>
      <w:r w:rsidR="003914E0" w:rsidRPr="000E2B31">
        <w:rPr>
          <w:rFonts w:ascii="Times New Roman" w:hAnsi="Times New Roman" w:cs="Times New Roman"/>
          <w:sz w:val="28"/>
          <w:szCs w:val="28"/>
          <w:lang w:val="en-US"/>
        </w:rPr>
        <w:t xml:space="preserve">the appellant readily conceded that the second respondent did not fully complete the sectional summary pages of one of </w:t>
      </w:r>
      <w:r w:rsidR="00202A52" w:rsidRPr="000E2B31">
        <w:rPr>
          <w:rFonts w:ascii="Times New Roman" w:hAnsi="Times New Roman" w:cs="Times New Roman"/>
          <w:sz w:val="28"/>
          <w:szCs w:val="28"/>
          <w:lang w:val="en-US"/>
        </w:rPr>
        <w:t>the</w:t>
      </w:r>
      <w:r w:rsidR="003914E0" w:rsidRPr="000E2B31">
        <w:rPr>
          <w:rFonts w:ascii="Times New Roman" w:hAnsi="Times New Roman" w:cs="Times New Roman"/>
          <w:sz w:val="28"/>
          <w:szCs w:val="28"/>
          <w:lang w:val="en-US"/>
        </w:rPr>
        <w:t xml:space="preserve"> mandatory returnable documents, instead simply inserting a globular total at the bottom of each section.</w:t>
      </w:r>
    </w:p>
    <w:p w14:paraId="30884B86" w14:textId="77777777" w:rsidR="003914E0" w:rsidRPr="002D4EB8" w:rsidRDefault="003914E0" w:rsidP="003914E0">
      <w:pPr>
        <w:pStyle w:val="ListParagraph"/>
        <w:tabs>
          <w:tab w:val="left" w:pos="709"/>
        </w:tabs>
        <w:spacing w:before="0" w:beforeAutospacing="0"/>
        <w:ind w:left="0"/>
        <w:jc w:val="both"/>
        <w:rPr>
          <w:rFonts w:ascii="Times New Roman" w:hAnsi="Times New Roman" w:cs="Times New Roman"/>
          <w:sz w:val="28"/>
          <w:szCs w:val="28"/>
          <w:lang w:val="en-GB"/>
        </w:rPr>
      </w:pPr>
    </w:p>
    <w:p w14:paraId="77C619CF" w14:textId="512CACEF" w:rsidR="003914E0" w:rsidRPr="000E2B31" w:rsidRDefault="000E2B31" w:rsidP="000E2B31">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[61]</w:t>
      </w:r>
      <w:r>
        <w:rPr>
          <w:rFonts w:ascii="Times New Roman" w:hAnsi="Times New Roman" w:cs="Times New Roman"/>
          <w:sz w:val="28"/>
          <w:szCs w:val="28"/>
          <w:lang w:val="en-US"/>
        </w:rPr>
        <w:tab/>
      </w:r>
      <w:r w:rsidR="002679F6" w:rsidRPr="000E2B31">
        <w:rPr>
          <w:rFonts w:ascii="Times New Roman" w:hAnsi="Times New Roman" w:cs="Times New Roman"/>
          <w:sz w:val="28"/>
          <w:szCs w:val="28"/>
          <w:lang w:val="en-US"/>
        </w:rPr>
        <w:t>It however</w:t>
      </w:r>
      <w:r w:rsidR="003914E0" w:rsidRPr="000E2B31">
        <w:rPr>
          <w:rFonts w:ascii="Times New Roman" w:hAnsi="Times New Roman" w:cs="Times New Roman"/>
          <w:sz w:val="28"/>
          <w:szCs w:val="28"/>
          <w:lang w:val="en-US"/>
        </w:rPr>
        <w:t xml:space="preserve"> contended in this respect, as if the element of materiality was there for its convenience only, that there </w:t>
      </w:r>
      <w:r w:rsidR="002679F6" w:rsidRPr="000E2B31">
        <w:rPr>
          <w:rFonts w:ascii="Times New Roman" w:hAnsi="Times New Roman" w:cs="Times New Roman"/>
          <w:sz w:val="28"/>
          <w:szCs w:val="28"/>
          <w:lang w:val="en-US"/>
        </w:rPr>
        <w:t>had been</w:t>
      </w:r>
      <w:r w:rsidR="003914E0" w:rsidRPr="000E2B31">
        <w:rPr>
          <w:rFonts w:ascii="Times New Roman" w:hAnsi="Times New Roman" w:cs="Times New Roman"/>
          <w:sz w:val="28"/>
          <w:szCs w:val="28"/>
          <w:lang w:val="en-US"/>
        </w:rPr>
        <w:t xml:space="preserve"> sufficient compliance </w:t>
      </w:r>
      <w:r w:rsidR="003914E0" w:rsidRPr="000E2B31">
        <w:rPr>
          <w:rFonts w:ascii="Times New Roman" w:hAnsi="Times New Roman" w:cs="Times New Roman"/>
          <w:i/>
          <w:iCs/>
          <w:sz w:val="28"/>
          <w:szCs w:val="28"/>
          <w:lang w:val="en-US"/>
        </w:rPr>
        <w:t xml:space="preserve">“in that at the foot of each page the amounts or the particular items were recorded and the Department was in a position to evaluate the tender based on the price and other considerations”; </w:t>
      </w:r>
      <w:r w:rsidR="003914E0" w:rsidRPr="000E2B31">
        <w:rPr>
          <w:rFonts w:ascii="Times New Roman" w:hAnsi="Times New Roman" w:cs="Times New Roman"/>
          <w:sz w:val="28"/>
          <w:szCs w:val="28"/>
          <w:lang w:val="en-US"/>
        </w:rPr>
        <w:t xml:space="preserve">and that </w:t>
      </w:r>
      <w:r w:rsidR="003914E0" w:rsidRPr="000E2B31">
        <w:rPr>
          <w:rFonts w:ascii="Times New Roman" w:hAnsi="Times New Roman" w:cs="Times New Roman"/>
          <w:i/>
          <w:iCs/>
          <w:sz w:val="28"/>
          <w:szCs w:val="28"/>
          <w:lang w:val="en-US"/>
        </w:rPr>
        <w:t>“(t)he instances where there were disqualifications as a result of tenderers being non-responsive cannot be compared with the completion by the second respondent of the section</w:t>
      </w:r>
      <w:r w:rsidR="00EF6AF4" w:rsidRPr="000E2B31">
        <w:rPr>
          <w:rFonts w:ascii="Times New Roman" w:hAnsi="Times New Roman" w:cs="Times New Roman"/>
          <w:i/>
          <w:iCs/>
          <w:sz w:val="28"/>
          <w:szCs w:val="28"/>
          <w:lang w:val="en-US"/>
        </w:rPr>
        <w:t>al</w:t>
      </w:r>
      <w:r w:rsidR="003914E0" w:rsidRPr="000E2B31">
        <w:rPr>
          <w:rFonts w:ascii="Times New Roman" w:hAnsi="Times New Roman" w:cs="Times New Roman"/>
          <w:i/>
          <w:iCs/>
          <w:sz w:val="28"/>
          <w:szCs w:val="28"/>
          <w:lang w:val="en-US"/>
        </w:rPr>
        <w:t xml:space="preserve"> summary where there was sufficient compliance”</w:t>
      </w:r>
      <w:r w:rsidR="003914E0" w:rsidRPr="000E2B31">
        <w:rPr>
          <w:rFonts w:ascii="Times New Roman" w:hAnsi="Times New Roman" w:cs="Times New Roman"/>
          <w:sz w:val="28"/>
          <w:szCs w:val="28"/>
          <w:lang w:val="en-US"/>
        </w:rPr>
        <w:t>.</w:t>
      </w:r>
    </w:p>
    <w:p w14:paraId="46E267B4" w14:textId="77777777" w:rsidR="002679F6" w:rsidRPr="002679F6" w:rsidRDefault="002679F6" w:rsidP="002679F6">
      <w:pPr>
        <w:pStyle w:val="ListParagraph"/>
        <w:rPr>
          <w:rFonts w:ascii="Times New Roman" w:hAnsi="Times New Roman" w:cs="Times New Roman"/>
          <w:sz w:val="28"/>
          <w:szCs w:val="28"/>
          <w:lang w:val="en-US"/>
        </w:rPr>
      </w:pPr>
    </w:p>
    <w:p w14:paraId="2F927695" w14:textId="711CFC45" w:rsidR="003914E0" w:rsidRPr="000E2B31" w:rsidRDefault="000E2B31" w:rsidP="000E2B31">
      <w:pPr>
        <w:tabs>
          <w:tab w:val="left" w:pos="709"/>
        </w:tabs>
        <w:spacing w:before="0" w:beforeAutospacing="0"/>
        <w:jc w:val="both"/>
        <w:rPr>
          <w:rFonts w:ascii="Times New Roman" w:hAnsi="Times New Roman" w:cs="Times New Roman"/>
          <w:sz w:val="28"/>
          <w:szCs w:val="28"/>
          <w:lang w:val="en-US"/>
        </w:rPr>
      </w:pPr>
      <w:r w:rsidRPr="002679F6">
        <w:rPr>
          <w:rFonts w:ascii="Times New Roman" w:hAnsi="Times New Roman" w:cs="Times New Roman"/>
          <w:sz w:val="28"/>
          <w:szCs w:val="28"/>
          <w:lang w:val="en-US"/>
        </w:rPr>
        <w:t>[62]</w:t>
      </w:r>
      <w:r w:rsidRPr="002679F6">
        <w:rPr>
          <w:rFonts w:ascii="Times New Roman" w:hAnsi="Times New Roman" w:cs="Times New Roman"/>
          <w:sz w:val="28"/>
          <w:szCs w:val="28"/>
          <w:lang w:val="en-US"/>
        </w:rPr>
        <w:tab/>
      </w:r>
      <w:r w:rsidR="002679F6" w:rsidRPr="000E2B31">
        <w:rPr>
          <w:rFonts w:ascii="Times New Roman" w:hAnsi="Times New Roman" w:cs="Times New Roman"/>
          <w:sz w:val="28"/>
          <w:szCs w:val="28"/>
          <w:lang w:val="en-US"/>
        </w:rPr>
        <w:t>In</w:t>
      </w:r>
      <w:r w:rsidR="00E93D38" w:rsidRPr="000E2B31">
        <w:rPr>
          <w:rFonts w:ascii="Times New Roman" w:hAnsi="Times New Roman" w:cs="Times New Roman"/>
          <w:sz w:val="28"/>
          <w:szCs w:val="28"/>
          <w:lang w:val="en-US"/>
        </w:rPr>
        <w:t xml:space="preserve"> </w:t>
      </w:r>
      <w:r w:rsidR="002679F6" w:rsidRPr="000E2B31">
        <w:rPr>
          <w:rFonts w:ascii="Times New Roman" w:hAnsi="Times New Roman" w:cs="Times New Roman"/>
          <w:sz w:val="28"/>
          <w:szCs w:val="28"/>
          <w:lang w:val="en-US"/>
        </w:rPr>
        <w:t>as</w:t>
      </w:r>
      <w:r w:rsidR="00E93D38" w:rsidRPr="000E2B31">
        <w:rPr>
          <w:rFonts w:ascii="Times New Roman" w:hAnsi="Times New Roman" w:cs="Times New Roman"/>
          <w:sz w:val="28"/>
          <w:szCs w:val="28"/>
          <w:lang w:val="en-US"/>
        </w:rPr>
        <w:t xml:space="preserve"> </w:t>
      </w:r>
      <w:r w:rsidR="002679F6" w:rsidRPr="000E2B31">
        <w:rPr>
          <w:rFonts w:ascii="Times New Roman" w:hAnsi="Times New Roman" w:cs="Times New Roman"/>
          <w:sz w:val="28"/>
          <w:szCs w:val="28"/>
          <w:lang w:val="en-US"/>
        </w:rPr>
        <w:t>much as there might have been any differences</w:t>
      </w:r>
      <w:r w:rsidR="00724539" w:rsidRPr="000E2B31">
        <w:rPr>
          <w:rFonts w:ascii="Times New Roman" w:hAnsi="Times New Roman" w:cs="Times New Roman"/>
          <w:sz w:val="28"/>
          <w:szCs w:val="28"/>
          <w:lang w:val="en-US"/>
        </w:rPr>
        <w:t>,</w:t>
      </w:r>
      <w:r w:rsidR="002679F6" w:rsidRPr="000E2B31">
        <w:rPr>
          <w:rFonts w:ascii="Times New Roman" w:hAnsi="Times New Roman" w:cs="Times New Roman"/>
          <w:sz w:val="28"/>
          <w:szCs w:val="28"/>
          <w:lang w:val="en-US"/>
        </w:rPr>
        <w:t xml:space="preserve"> it failed to take the court </w:t>
      </w:r>
      <w:r w:rsidR="002679F6" w:rsidRPr="000E2B31">
        <w:rPr>
          <w:rFonts w:ascii="Times New Roman" w:hAnsi="Times New Roman" w:cs="Times New Roman"/>
          <w:i/>
          <w:iCs/>
          <w:sz w:val="28"/>
          <w:szCs w:val="28"/>
          <w:lang w:val="en-US"/>
        </w:rPr>
        <w:t>a quo</w:t>
      </w:r>
      <w:r w:rsidR="002679F6" w:rsidRPr="000E2B31">
        <w:rPr>
          <w:rFonts w:ascii="Times New Roman" w:hAnsi="Times New Roman" w:cs="Times New Roman"/>
          <w:sz w:val="28"/>
          <w:szCs w:val="28"/>
          <w:lang w:val="en-US"/>
        </w:rPr>
        <w:t xml:space="preserve"> into its confidence </w:t>
      </w:r>
      <w:r w:rsidR="003914E0" w:rsidRPr="000E2B31">
        <w:rPr>
          <w:rFonts w:ascii="Times New Roman" w:hAnsi="Times New Roman" w:cs="Times New Roman"/>
          <w:sz w:val="28"/>
          <w:szCs w:val="28"/>
          <w:lang w:val="en-US"/>
        </w:rPr>
        <w:t>regarding what those differences were in the comparison to demonstrate exactly why it thought certain disqualifications mattered and why the non-compliance by the second respondent with a mandatory requirement for qualification was inconsequential.</w:t>
      </w:r>
      <w:r w:rsidR="00724539">
        <w:rPr>
          <w:rStyle w:val="FootnoteReference"/>
          <w:rFonts w:ascii="Times New Roman" w:hAnsi="Times New Roman" w:cs="Times New Roman"/>
          <w:sz w:val="28"/>
          <w:szCs w:val="28"/>
          <w:lang w:val="en-US"/>
        </w:rPr>
        <w:footnoteReference w:id="25"/>
      </w:r>
    </w:p>
    <w:p w14:paraId="232CB5E7" w14:textId="77777777" w:rsidR="001F4E44" w:rsidRPr="001F4E44" w:rsidRDefault="001F4E44" w:rsidP="001F4E44">
      <w:pPr>
        <w:pStyle w:val="ListParagraph"/>
        <w:rPr>
          <w:rFonts w:ascii="Times New Roman" w:hAnsi="Times New Roman" w:cs="Times New Roman"/>
          <w:sz w:val="28"/>
          <w:szCs w:val="28"/>
          <w:lang w:val="en-GB"/>
        </w:rPr>
      </w:pPr>
    </w:p>
    <w:p w14:paraId="601510A7" w14:textId="7D23FE60" w:rsidR="001F4E44" w:rsidRPr="000E2B31" w:rsidRDefault="000E2B31" w:rsidP="000E2B31">
      <w:pPr>
        <w:tabs>
          <w:tab w:val="left" w:pos="709"/>
        </w:tabs>
        <w:spacing w:before="0" w:beforeAutospacing="0"/>
        <w:jc w:val="both"/>
        <w:rPr>
          <w:rFonts w:ascii="Times New Roman" w:hAnsi="Times New Roman" w:cs="Times New Roman"/>
          <w:sz w:val="28"/>
          <w:szCs w:val="28"/>
          <w:lang w:val="en-GB"/>
        </w:rPr>
      </w:pPr>
      <w:r>
        <w:rPr>
          <w:rFonts w:ascii="Times New Roman" w:hAnsi="Times New Roman" w:cs="Times New Roman"/>
          <w:sz w:val="28"/>
          <w:szCs w:val="28"/>
          <w:lang w:val="en-GB"/>
        </w:rPr>
        <w:t>[63]</w:t>
      </w:r>
      <w:r>
        <w:rPr>
          <w:rFonts w:ascii="Times New Roman" w:hAnsi="Times New Roman" w:cs="Times New Roman"/>
          <w:sz w:val="28"/>
          <w:szCs w:val="28"/>
          <w:lang w:val="en-GB"/>
        </w:rPr>
        <w:tab/>
      </w:r>
      <w:r w:rsidR="001F4E44" w:rsidRPr="000E2B31">
        <w:rPr>
          <w:rFonts w:ascii="Times New Roman" w:hAnsi="Times New Roman" w:cs="Times New Roman"/>
          <w:sz w:val="28"/>
          <w:szCs w:val="28"/>
          <w:lang w:val="en-GB"/>
        </w:rPr>
        <w:t>Concerning the position of the third respondent</w:t>
      </w:r>
      <w:r w:rsidR="002679F6" w:rsidRPr="000E2B31">
        <w:rPr>
          <w:rFonts w:ascii="Times New Roman" w:hAnsi="Times New Roman" w:cs="Times New Roman"/>
          <w:sz w:val="28"/>
          <w:szCs w:val="28"/>
          <w:lang w:val="en-GB"/>
        </w:rPr>
        <w:t xml:space="preserve">, it simply brushed aside the first respondent’s </w:t>
      </w:r>
      <w:r w:rsidR="00202A52" w:rsidRPr="000E2B31">
        <w:rPr>
          <w:rFonts w:ascii="Times New Roman" w:hAnsi="Times New Roman" w:cs="Times New Roman"/>
          <w:sz w:val="28"/>
          <w:szCs w:val="28"/>
          <w:lang w:val="en-GB"/>
        </w:rPr>
        <w:t>concern raised</w:t>
      </w:r>
      <w:r w:rsidR="002679F6" w:rsidRPr="000E2B31">
        <w:rPr>
          <w:rFonts w:ascii="Times New Roman" w:hAnsi="Times New Roman" w:cs="Times New Roman"/>
          <w:sz w:val="28"/>
          <w:szCs w:val="28"/>
          <w:lang w:val="en-GB"/>
        </w:rPr>
        <w:t xml:space="preserve"> that its bid should have been declared nonresponsive especially for want of compliance with the tender’s requirements under Part A</w:t>
      </w:r>
      <w:r w:rsidR="00EF6AF4" w:rsidRPr="000E2B31">
        <w:rPr>
          <w:rFonts w:ascii="Times New Roman" w:hAnsi="Times New Roman" w:cs="Times New Roman"/>
          <w:sz w:val="28"/>
          <w:szCs w:val="28"/>
          <w:lang w:val="en-GB"/>
        </w:rPr>
        <w:t xml:space="preserve"> because it had been disqualified on risk in any event.</w:t>
      </w:r>
    </w:p>
    <w:p w14:paraId="3212E1AC" w14:textId="343EC25F" w:rsidR="0044115B" w:rsidRPr="007320D1" w:rsidRDefault="0044115B" w:rsidP="00B965E0">
      <w:pPr>
        <w:pStyle w:val="ListParagraph"/>
        <w:tabs>
          <w:tab w:val="left" w:pos="709"/>
        </w:tabs>
        <w:spacing w:before="0" w:beforeAutospacing="0"/>
        <w:ind w:left="0"/>
        <w:jc w:val="both"/>
        <w:rPr>
          <w:rFonts w:ascii="Times New Roman" w:hAnsi="Times New Roman" w:cs="Times New Roman"/>
          <w:sz w:val="28"/>
          <w:szCs w:val="28"/>
          <w:lang w:val="en-US"/>
        </w:rPr>
      </w:pPr>
      <w:r w:rsidRPr="007320D1">
        <w:rPr>
          <w:rFonts w:ascii="Times New Roman" w:hAnsi="Times New Roman" w:cs="Times New Roman"/>
          <w:sz w:val="28"/>
          <w:szCs w:val="28"/>
          <w:lang w:val="en-GB"/>
        </w:rPr>
        <w:t xml:space="preserve"> </w:t>
      </w:r>
    </w:p>
    <w:p w14:paraId="5EBDCA9D" w14:textId="2F6BC5EF" w:rsidR="0044115B" w:rsidRDefault="0044115B" w:rsidP="0044115B">
      <w:pPr>
        <w:pStyle w:val="ListParagraph"/>
        <w:tabs>
          <w:tab w:val="left" w:pos="709"/>
        </w:tabs>
        <w:spacing w:before="0" w:beforeAutospacing="0"/>
        <w:ind w:left="0"/>
        <w:jc w:val="both"/>
        <w:rPr>
          <w:rFonts w:ascii="Times New Roman" w:hAnsi="Times New Roman" w:cs="Times New Roman"/>
          <w:sz w:val="28"/>
          <w:szCs w:val="28"/>
          <w:u w:val="single"/>
          <w:lang w:val="en-US"/>
        </w:rPr>
      </w:pPr>
      <w:r w:rsidRPr="0044115B">
        <w:rPr>
          <w:rFonts w:ascii="Times New Roman" w:hAnsi="Times New Roman" w:cs="Times New Roman"/>
          <w:sz w:val="28"/>
          <w:szCs w:val="28"/>
          <w:u w:val="single"/>
          <w:lang w:val="en-US"/>
        </w:rPr>
        <w:t xml:space="preserve">The reasoning and judgment of the court </w:t>
      </w:r>
      <w:r w:rsidRPr="00724539">
        <w:rPr>
          <w:rFonts w:ascii="Times New Roman" w:hAnsi="Times New Roman" w:cs="Times New Roman"/>
          <w:i/>
          <w:iCs/>
          <w:sz w:val="28"/>
          <w:szCs w:val="28"/>
          <w:u w:val="single"/>
          <w:lang w:val="en-US"/>
        </w:rPr>
        <w:t>a quo</w:t>
      </w:r>
    </w:p>
    <w:p w14:paraId="7BAE9F78" w14:textId="77777777" w:rsidR="0044115B" w:rsidRPr="0044115B" w:rsidRDefault="0044115B" w:rsidP="0044115B">
      <w:pPr>
        <w:pStyle w:val="ListParagraph"/>
        <w:tabs>
          <w:tab w:val="left" w:pos="709"/>
        </w:tabs>
        <w:spacing w:before="0" w:beforeAutospacing="0"/>
        <w:ind w:left="0"/>
        <w:jc w:val="both"/>
        <w:rPr>
          <w:rFonts w:ascii="Times New Roman" w:hAnsi="Times New Roman" w:cs="Times New Roman"/>
          <w:sz w:val="28"/>
          <w:szCs w:val="28"/>
          <w:u w:val="single"/>
          <w:lang w:val="en-US"/>
        </w:rPr>
      </w:pPr>
    </w:p>
    <w:p w14:paraId="7E73A056" w14:textId="78CFA9D5" w:rsidR="0044115B" w:rsidRPr="000E2B31" w:rsidRDefault="000E2B31" w:rsidP="000E2B31">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[64]</w:t>
      </w:r>
      <w:r>
        <w:rPr>
          <w:rFonts w:ascii="Times New Roman" w:hAnsi="Times New Roman" w:cs="Times New Roman"/>
          <w:sz w:val="28"/>
          <w:szCs w:val="28"/>
          <w:lang w:val="en-US"/>
        </w:rPr>
        <w:tab/>
      </w:r>
      <w:r w:rsidR="002679F6" w:rsidRPr="000E2B31">
        <w:rPr>
          <w:rFonts w:ascii="Times New Roman" w:hAnsi="Times New Roman" w:cs="Times New Roman"/>
          <w:sz w:val="28"/>
          <w:szCs w:val="28"/>
          <w:lang w:val="en-US"/>
        </w:rPr>
        <w:t xml:space="preserve">The court </w:t>
      </w:r>
      <w:r w:rsidR="002679F6" w:rsidRPr="000E2B31">
        <w:rPr>
          <w:rFonts w:ascii="Times New Roman" w:hAnsi="Times New Roman" w:cs="Times New Roman"/>
          <w:i/>
          <w:iCs/>
          <w:sz w:val="28"/>
          <w:szCs w:val="28"/>
          <w:lang w:val="en-US"/>
        </w:rPr>
        <w:t>a quo</w:t>
      </w:r>
      <w:r w:rsidR="002679F6" w:rsidRPr="000E2B31">
        <w:rPr>
          <w:rFonts w:ascii="Times New Roman" w:hAnsi="Times New Roman" w:cs="Times New Roman"/>
          <w:sz w:val="28"/>
          <w:szCs w:val="28"/>
          <w:lang w:val="en-US"/>
        </w:rPr>
        <w:t xml:space="preserve"> gave short shrift to </w:t>
      </w:r>
      <w:r w:rsidR="00B965E0" w:rsidRPr="000E2B31">
        <w:rPr>
          <w:rFonts w:ascii="Times New Roman" w:hAnsi="Times New Roman" w:cs="Times New Roman"/>
          <w:sz w:val="28"/>
          <w:szCs w:val="28"/>
          <w:lang w:val="en-US"/>
        </w:rPr>
        <w:t xml:space="preserve">the appellant’s </w:t>
      </w:r>
      <w:r w:rsidR="002679F6" w:rsidRPr="000E2B31">
        <w:rPr>
          <w:rFonts w:ascii="Times New Roman" w:hAnsi="Times New Roman" w:cs="Times New Roman"/>
          <w:sz w:val="28"/>
          <w:szCs w:val="28"/>
          <w:lang w:val="en-US"/>
        </w:rPr>
        <w:t xml:space="preserve">pithy </w:t>
      </w:r>
      <w:r w:rsidR="00B965E0" w:rsidRPr="000E2B31">
        <w:rPr>
          <w:rFonts w:ascii="Times New Roman" w:hAnsi="Times New Roman" w:cs="Times New Roman"/>
          <w:sz w:val="28"/>
          <w:szCs w:val="28"/>
          <w:lang w:val="en-US"/>
        </w:rPr>
        <w:t xml:space="preserve">explanation </w:t>
      </w:r>
      <w:r w:rsidR="002679F6" w:rsidRPr="000E2B31">
        <w:rPr>
          <w:rFonts w:ascii="Times New Roman" w:hAnsi="Times New Roman" w:cs="Times New Roman"/>
          <w:sz w:val="28"/>
          <w:szCs w:val="28"/>
          <w:lang w:val="en-US"/>
        </w:rPr>
        <w:t xml:space="preserve">as to why it gave a special pass to </w:t>
      </w:r>
      <w:r w:rsidR="00202A52" w:rsidRPr="000E2B31">
        <w:rPr>
          <w:rFonts w:ascii="Times New Roman" w:hAnsi="Times New Roman" w:cs="Times New Roman"/>
          <w:sz w:val="28"/>
          <w:szCs w:val="28"/>
          <w:lang w:val="en-US"/>
        </w:rPr>
        <w:t>the second</w:t>
      </w:r>
      <w:r w:rsidR="001F4E44" w:rsidRPr="000E2B31">
        <w:rPr>
          <w:rFonts w:ascii="Times New Roman" w:hAnsi="Times New Roman" w:cs="Times New Roman"/>
          <w:sz w:val="28"/>
          <w:szCs w:val="28"/>
          <w:lang w:val="en-US"/>
        </w:rPr>
        <w:t xml:space="preserve"> respondent</w:t>
      </w:r>
      <w:r w:rsidR="002679F6" w:rsidRPr="000E2B31">
        <w:rPr>
          <w:rFonts w:ascii="Times New Roman" w:hAnsi="Times New Roman" w:cs="Times New Roman"/>
          <w:sz w:val="28"/>
          <w:szCs w:val="28"/>
          <w:lang w:val="en-US"/>
        </w:rPr>
        <w:t xml:space="preserve"> despite its accepted noncompliance with the mandatory tender conditions regarding the returnable documents </w:t>
      </w:r>
      <w:r w:rsidR="0044115B" w:rsidRPr="000E2B31">
        <w:rPr>
          <w:rFonts w:ascii="Times New Roman" w:hAnsi="Times New Roman" w:cs="Times New Roman"/>
          <w:sz w:val="28"/>
          <w:szCs w:val="28"/>
          <w:lang w:val="en-US"/>
        </w:rPr>
        <w:t>as follows:</w:t>
      </w:r>
    </w:p>
    <w:p w14:paraId="34DB0B03" w14:textId="77777777" w:rsidR="0044115B" w:rsidRDefault="0044115B" w:rsidP="0044115B">
      <w:pPr>
        <w:pStyle w:val="ListParagraph"/>
        <w:rPr>
          <w:rFonts w:ascii="Times New Roman" w:hAnsi="Times New Roman" w:cs="Times New Roman"/>
          <w:sz w:val="28"/>
          <w:szCs w:val="28"/>
          <w:lang w:val="en-US"/>
        </w:rPr>
      </w:pPr>
    </w:p>
    <w:p w14:paraId="52425106" w14:textId="77777777" w:rsidR="0044115B" w:rsidRDefault="0044115B" w:rsidP="00AD0A92">
      <w:pPr>
        <w:spacing w:before="0" w:beforeAutospacing="0" w:line="240" w:lineRule="auto"/>
        <w:ind w:left="720"/>
        <w:contextualSpacing/>
        <w:jc w:val="both"/>
        <w:rPr>
          <w:rFonts w:ascii="Times New Roman" w:hAnsi="Times New Roman" w:cs="Times New Roman"/>
          <w:sz w:val="24"/>
          <w:szCs w:val="24"/>
          <w:lang w:val="en-US"/>
        </w:rPr>
      </w:pPr>
      <w:r w:rsidRPr="001A4681">
        <w:rPr>
          <w:rFonts w:ascii="Times New Roman" w:hAnsi="Times New Roman" w:cs="Times New Roman"/>
          <w:sz w:val="24"/>
          <w:szCs w:val="24"/>
          <w:lang w:val="en-US"/>
        </w:rPr>
        <w:t>“[34]</w:t>
      </w:r>
      <w:r w:rsidRPr="001A4681">
        <w:rPr>
          <w:rFonts w:ascii="Times New Roman" w:hAnsi="Times New Roman" w:cs="Times New Roman"/>
          <w:sz w:val="24"/>
          <w:szCs w:val="24"/>
          <w:lang w:val="en-US"/>
        </w:rPr>
        <w:tab/>
        <w:t>the only reasonable inference that can be drawn from the fact that the bid document, in particular PA-09, the list of returnable documents requires “</w:t>
      </w:r>
      <w:r w:rsidRPr="001A4681">
        <w:rPr>
          <w:rFonts w:ascii="Times New Roman" w:hAnsi="Times New Roman" w:cs="Times New Roman"/>
          <w:b/>
          <w:bCs/>
          <w:sz w:val="24"/>
          <w:szCs w:val="24"/>
          <w:lang w:val="en-US"/>
        </w:rPr>
        <w:t>fully completed sectional summary pages…</w:t>
      </w:r>
      <w:r w:rsidRPr="001A4681">
        <w:rPr>
          <w:rFonts w:ascii="Times New Roman" w:hAnsi="Times New Roman" w:cs="Times New Roman"/>
          <w:sz w:val="24"/>
          <w:szCs w:val="24"/>
          <w:lang w:val="en-US"/>
        </w:rPr>
        <w:t xml:space="preserve">” is that it is precisely what was required. I'm therefore not persuaded by submissions on behalf of the department </w:t>
      </w:r>
      <w:r w:rsidRPr="001902B5">
        <w:rPr>
          <w:rFonts w:ascii="Times New Roman" w:hAnsi="Times New Roman" w:cs="Times New Roman"/>
          <w:sz w:val="28"/>
          <w:szCs w:val="28"/>
          <w:lang w:val="en-US"/>
        </w:rPr>
        <w:t>(the appellant)</w:t>
      </w:r>
      <w:r>
        <w:rPr>
          <w:rFonts w:ascii="Times New Roman" w:hAnsi="Times New Roman" w:cs="Times New Roman"/>
          <w:sz w:val="24"/>
          <w:szCs w:val="24"/>
          <w:lang w:val="en-US"/>
        </w:rPr>
        <w:t xml:space="preserve"> </w:t>
      </w:r>
      <w:r w:rsidRPr="001A4681">
        <w:rPr>
          <w:rFonts w:ascii="Times New Roman" w:hAnsi="Times New Roman" w:cs="Times New Roman"/>
          <w:sz w:val="24"/>
          <w:szCs w:val="24"/>
          <w:lang w:val="en-US"/>
        </w:rPr>
        <w:t>that there was sufficient compliance by the second respondent and for this reason, its bid should have been disqualified.”</w:t>
      </w:r>
    </w:p>
    <w:p w14:paraId="552B3256" w14:textId="77777777" w:rsidR="0044115B" w:rsidRPr="001A4681" w:rsidRDefault="0044115B" w:rsidP="002D4EB8">
      <w:pPr>
        <w:spacing w:before="0" w:beforeAutospacing="0"/>
        <w:ind w:left="720"/>
        <w:contextualSpacing/>
        <w:jc w:val="both"/>
        <w:rPr>
          <w:rFonts w:ascii="Times New Roman" w:hAnsi="Times New Roman" w:cs="Times New Roman"/>
          <w:sz w:val="24"/>
          <w:szCs w:val="24"/>
          <w:lang w:val="en-US"/>
        </w:rPr>
      </w:pPr>
    </w:p>
    <w:p w14:paraId="7537014E" w14:textId="43B6AFE6" w:rsidR="0044115B" w:rsidRPr="000E2B31" w:rsidRDefault="000E2B31" w:rsidP="000E2B31">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[65]</w:t>
      </w:r>
      <w:r>
        <w:rPr>
          <w:rFonts w:ascii="Times New Roman" w:hAnsi="Times New Roman" w:cs="Times New Roman"/>
          <w:sz w:val="28"/>
          <w:szCs w:val="28"/>
          <w:lang w:val="en-US"/>
        </w:rPr>
        <w:tab/>
      </w:r>
      <w:r w:rsidR="0044115B" w:rsidRPr="000E2B31">
        <w:rPr>
          <w:rFonts w:ascii="Times New Roman" w:hAnsi="Times New Roman" w:cs="Times New Roman"/>
          <w:sz w:val="28"/>
          <w:szCs w:val="28"/>
          <w:lang w:val="en-US"/>
        </w:rPr>
        <w:t xml:space="preserve">Concerning the weightier complaint against the third respondent that it had been </w:t>
      </w:r>
      <w:r w:rsidR="0044115B" w:rsidRPr="000E2B31">
        <w:rPr>
          <w:rFonts w:ascii="Times New Roman" w:hAnsi="Times New Roman" w:cs="Times New Roman"/>
          <w:i/>
          <w:iCs/>
          <w:sz w:val="28"/>
          <w:szCs w:val="28"/>
          <w:lang w:val="en-US"/>
        </w:rPr>
        <w:t>entirely</w:t>
      </w:r>
      <w:r w:rsidR="0044115B" w:rsidRPr="000E2B31">
        <w:rPr>
          <w:rFonts w:ascii="Times New Roman" w:hAnsi="Times New Roman" w:cs="Times New Roman"/>
          <w:sz w:val="28"/>
          <w:szCs w:val="28"/>
          <w:lang w:val="en-US"/>
        </w:rPr>
        <w:t xml:space="preserve"> ineligible for consideration and should not have gotten past the </w:t>
      </w:r>
      <w:r w:rsidR="002679F6" w:rsidRPr="000E2B31">
        <w:rPr>
          <w:rFonts w:ascii="Times New Roman" w:hAnsi="Times New Roman" w:cs="Times New Roman"/>
          <w:sz w:val="28"/>
          <w:szCs w:val="28"/>
          <w:lang w:val="en-US"/>
        </w:rPr>
        <w:t xml:space="preserve">prequalification </w:t>
      </w:r>
      <w:r w:rsidR="0044115B" w:rsidRPr="000E2B31">
        <w:rPr>
          <w:rFonts w:ascii="Times New Roman" w:hAnsi="Times New Roman" w:cs="Times New Roman"/>
          <w:sz w:val="28"/>
          <w:szCs w:val="28"/>
          <w:lang w:val="en-US"/>
        </w:rPr>
        <w:t xml:space="preserve">threshold, the court </w:t>
      </w:r>
      <w:r w:rsidR="0044115B" w:rsidRPr="000E2B31">
        <w:rPr>
          <w:rFonts w:ascii="Times New Roman" w:hAnsi="Times New Roman" w:cs="Times New Roman"/>
          <w:i/>
          <w:iCs/>
          <w:sz w:val="28"/>
          <w:szCs w:val="28"/>
          <w:lang w:val="en-US"/>
        </w:rPr>
        <w:t>a quo</w:t>
      </w:r>
      <w:r w:rsidR="0044115B" w:rsidRPr="000E2B31">
        <w:rPr>
          <w:rFonts w:ascii="Times New Roman" w:hAnsi="Times New Roman" w:cs="Times New Roman"/>
          <w:sz w:val="28"/>
          <w:szCs w:val="28"/>
          <w:lang w:val="en-US"/>
        </w:rPr>
        <w:t xml:space="preserve"> </w:t>
      </w:r>
      <w:r w:rsidR="002679F6" w:rsidRPr="000E2B31">
        <w:rPr>
          <w:rFonts w:ascii="Times New Roman" w:hAnsi="Times New Roman" w:cs="Times New Roman"/>
          <w:sz w:val="28"/>
          <w:szCs w:val="28"/>
          <w:lang w:val="en-US"/>
        </w:rPr>
        <w:t xml:space="preserve">criticized it for its failure </w:t>
      </w:r>
      <w:r w:rsidR="0044115B" w:rsidRPr="000E2B31">
        <w:rPr>
          <w:rFonts w:ascii="Times New Roman" w:hAnsi="Times New Roman" w:cs="Times New Roman"/>
          <w:sz w:val="28"/>
          <w:szCs w:val="28"/>
          <w:lang w:val="en-US"/>
        </w:rPr>
        <w:t xml:space="preserve">to </w:t>
      </w:r>
      <w:r w:rsidR="002679F6" w:rsidRPr="000E2B31">
        <w:rPr>
          <w:rFonts w:ascii="Times New Roman" w:hAnsi="Times New Roman" w:cs="Times New Roman"/>
          <w:sz w:val="28"/>
          <w:szCs w:val="28"/>
          <w:lang w:val="en-US"/>
        </w:rPr>
        <w:t xml:space="preserve">have </w:t>
      </w:r>
      <w:r w:rsidR="00CA218A" w:rsidRPr="000E2B31">
        <w:rPr>
          <w:rFonts w:ascii="Times New Roman" w:hAnsi="Times New Roman" w:cs="Times New Roman"/>
          <w:sz w:val="28"/>
          <w:szCs w:val="28"/>
          <w:lang w:val="en-US"/>
        </w:rPr>
        <w:t>provided any</w:t>
      </w:r>
      <w:r w:rsidR="0044115B" w:rsidRPr="000E2B31">
        <w:rPr>
          <w:rFonts w:ascii="Times New Roman" w:hAnsi="Times New Roman" w:cs="Times New Roman"/>
          <w:sz w:val="28"/>
          <w:szCs w:val="28"/>
          <w:lang w:val="en-US"/>
        </w:rPr>
        <w:t xml:space="preserve"> substantiation for its bald assertion that the third respondent qualified to be recognized as a 7 GB grading. It </w:t>
      </w:r>
      <w:r w:rsidR="00CA218A" w:rsidRPr="000E2B31">
        <w:rPr>
          <w:rFonts w:ascii="Times New Roman" w:hAnsi="Times New Roman" w:cs="Times New Roman"/>
          <w:sz w:val="28"/>
          <w:szCs w:val="28"/>
          <w:lang w:val="en-US"/>
        </w:rPr>
        <w:t>properly held against the</w:t>
      </w:r>
      <w:r w:rsidR="0044115B" w:rsidRPr="000E2B31">
        <w:rPr>
          <w:rFonts w:ascii="Times New Roman" w:hAnsi="Times New Roman" w:cs="Times New Roman"/>
          <w:sz w:val="28"/>
          <w:szCs w:val="28"/>
          <w:lang w:val="en-US"/>
        </w:rPr>
        <w:t xml:space="preserve"> appellant </w:t>
      </w:r>
      <w:r w:rsidR="00CA218A" w:rsidRPr="000E2B31">
        <w:rPr>
          <w:rFonts w:ascii="Times New Roman" w:hAnsi="Times New Roman" w:cs="Times New Roman"/>
          <w:sz w:val="28"/>
          <w:szCs w:val="28"/>
          <w:lang w:val="en-US"/>
        </w:rPr>
        <w:t xml:space="preserve">its </w:t>
      </w:r>
      <w:r w:rsidR="00202A52" w:rsidRPr="000E2B31">
        <w:rPr>
          <w:rFonts w:ascii="Times New Roman" w:hAnsi="Times New Roman" w:cs="Times New Roman"/>
          <w:sz w:val="28"/>
          <w:szCs w:val="28"/>
          <w:lang w:val="en-US"/>
        </w:rPr>
        <w:t>election not</w:t>
      </w:r>
      <w:r w:rsidR="0044115B" w:rsidRPr="000E2B31">
        <w:rPr>
          <w:rFonts w:ascii="Times New Roman" w:hAnsi="Times New Roman" w:cs="Times New Roman"/>
          <w:sz w:val="28"/>
          <w:szCs w:val="28"/>
          <w:lang w:val="en-US"/>
        </w:rPr>
        <w:t xml:space="preserve"> to respond to the other grounds relied upon as to why the latter’s bid should not in the unique circumstances have been declared administratively non-responsive</w:t>
      </w:r>
      <w:r w:rsidR="00EF6AF4" w:rsidRPr="000E2B31">
        <w:rPr>
          <w:rFonts w:ascii="Times New Roman" w:hAnsi="Times New Roman" w:cs="Times New Roman"/>
          <w:sz w:val="28"/>
          <w:szCs w:val="28"/>
          <w:lang w:val="en-US"/>
        </w:rPr>
        <w:t xml:space="preserve"> (or have been scored favorably for B-BBEE points)</w:t>
      </w:r>
      <w:r w:rsidR="0044115B" w:rsidRPr="000E2B31">
        <w:rPr>
          <w:rFonts w:ascii="Times New Roman" w:hAnsi="Times New Roman" w:cs="Times New Roman"/>
          <w:sz w:val="28"/>
          <w:szCs w:val="28"/>
          <w:lang w:val="en-US"/>
        </w:rPr>
        <w:t xml:space="preserve"> and </w:t>
      </w:r>
      <w:r w:rsidR="003213D9" w:rsidRPr="000E2B31">
        <w:rPr>
          <w:rFonts w:ascii="Times New Roman" w:hAnsi="Times New Roman" w:cs="Times New Roman"/>
          <w:sz w:val="28"/>
          <w:szCs w:val="28"/>
          <w:lang w:val="en-US"/>
        </w:rPr>
        <w:t>determined</w:t>
      </w:r>
      <w:r w:rsidR="0044115B" w:rsidRPr="000E2B31">
        <w:rPr>
          <w:rFonts w:ascii="Times New Roman" w:hAnsi="Times New Roman" w:cs="Times New Roman"/>
          <w:sz w:val="28"/>
          <w:szCs w:val="28"/>
          <w:lang w:val="en-US"/>
        </w:rPr>
        <w:t xml:space="preserve"> that </w:t>
      </w:r>
      <w:r w:rsidR="003213D9" w:rsidRPr="000E2B31">
        <w:rPr>
          <w:rFonts w:ascii="Times New Roman" w:hAnsi="Times New Roman" w:cs="Times New Roman"/>
          <w:sz w:val="28"/>
          <w:szCs w:val="28"/>
          <w:lang w:val="en-US"/>
        </w:rPr>
        <w:t xml:space="preserve">the BAC’s contrary decision reached that its eligibility to have properly advanced to the award </w:t>
      </w:r>
      <w:r w:rsidR="003213D9" w:rsidRPr="000E2B31">
        <w:rPr>
          <w:rFonts w:ascii="Times New Roman" w:hAnsi="Times New Roman" w:cs="Times New Roman"/>
          <w:sz w:val="28"/>
          <w:szCs w:val="28"/>
          <w:lang w:val="en-US"/>
        </w:rPr>
        <w:lastRenderedPageBreak/>
        <w:t xml:space="preserve">phase (where it in fact competed with the first and second respondent in the final </w:t>
      </w:r>
      <w:r w:rsidR="001F3E9A" w:rsidRPr="000E2B31">
        <w:rPr>
          <w:rFonts w:ascii="Times New Roman" w:hAnsi="Times New Roman" w:cs="Times New Roman"/>
          <w:sz w:val="28"/>
          <w:szCs w:val="28"/>
          <w:lang w:val="en-US"/>
        </w:rPr>
        <w:t>round) was</w:t>
      </w:r>
      <w:r w:rsidR="003213D9" w:rsidRPr="000E2B31">
        <w:rPr>
          <w:rFonts w:ascii="Times New Roman" w:hAnsi="Times New Roman" w:cs="Times New Roman"/>
          <w:sz w:val="28"/>
          <w:szCs w:val="28"/>
          <w:lang w:val="en-US"/>
        </w:rPr>
        <w:t xml:space="preserve"> undefendable</w:t>
      </w:r>
      <w:r w:rsidR="0044115B" w:rsidRPr="000E2B31">
        <w:rPr>
          <w:rFonts w:ascii="Times New Roman" w:hAnsi="Times New Roman" w:cs="Times New Roman"/>
          <w:sz w:val="28"/>
          <w:szCs w:val="28"/>
          <w:lang w:val="en-US"/>
        </w:rPr>
        <w:t xml:space="preserve">.  </w:t>
      </w:r>
    </w:p>
    <w:p w14:paraId="5A39F509" w14:textId="77777777" w:rsidR="0044115B" w:rsidRDefault="0044115B" w:rsidP="0044115B">
      <w:pPr>
        <w:pStyle w:val="ListParagraph"/>
        <w:tabs>
          <w:tab w:val="left" w:pos="709"/>
        </w:tabs>
        <w:spacing w:before="0" w:beforeAutospacing="0"/>
        <w:ind w:left="0"/>
        <w:jc w:val="both"/>
        <w:rPr>
          <w:rFonts w:ascii="Times New Roman" w:hAnsi="Times New Roman" w:cs="Times New Roman"/>
          <w:sz w:val="28"/>
          <w:szCs w:val="28"/>
          <w:lang w:val="en-US"/>
        </w:rPr>
      </w:pPr>
    </w:p>
    <w:p w14:paraId="7C7A4317" w14:textId="0318B96D" w:rsidR="0044115B" w:rsidRPr="000E2B31" w:rsidRDefault="000E2B31" w:rsidP="000E2B31">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[66]</w:t>
      </w:r>
      <w:r>
        <w:rPr>
          <w:rFonts w:ascii="Times New Roman" w:hAnsi="Times New Roman" w:cs="Times New Roman"/>
          <w:sz w:val="28"/>
          <w:szCs w:val="28"/>
          <w:lang w:val="en-US"/>
        </w:rPr>
        <w:tab/>
      </w:r>
      <w:r w:rsidR="0044115B" w:rsidRPr="000E2B31">
        <w:rPr>
          <w:rFonts w:ascii="Times New Roman" w:hAnsi="Times New Roman" w:cs="Times New Roman"/>
          <w:sz w:val="28"/>
          <w:szCs w:val="28"/>
          <w:lang w:val="en-US"/>
        </w:rPr>
        <w:t xml:space="preserve">As an aside, despite a difference of opinion between the parties regarding when and how the third respondent’s bid should have fallen by the wayside, it was not seriously contended before this court that the fact of </w:t>
      </w:r>
      <w:r w:rsidR="001F3E9A" w:rsidRPr="000E2B31">
        <w:rPr>
          <w:rFonts w:ascii="Times New Roman" w:hAnsi="Times New Roman" w:cs="Times New Roman"/>
          <w:sz w:val="28"/>
          <w:szCs w:val="28"/>
          <w:lang w:val="en-US"/>
        </w:rPr>
        <w:t>the third respondent’s</w:t>
      </w:r>
      <w:r w:rsidR="0044115B" w:rsidRPr="000E2B31">
        <w:rPr>
          <w:rFonts w:ascii="Times New Roman" w:hAnsi="Times New Roman" w:cs="Times New Roman"/>
          <w:sz w:val="28"/>
          <w:szCs w:val="28"/>
          <w:lang w:val="en-US"/>
        </w:rPr>
        <w:t xml:space="preserve"> </w:t>
      </w:r>
      <w:r w:rsidR="0044115B" w:rsidRPr="000E2B31">
        <w:rPr>
          <w:rFonts w:ascii="Times New Roman" w:hAnsi="Times New Roman" w:cs="Times New Roman"/>
          <w:i/>
          <w:iCs/>
          <w:sz w:val="28"/>
          <w:szCs w:val="28"/>
          <w:lang w:val="en-US"/>
        </w:rPr>
        <w:t xml:space="preserve">exclusion </w:t>
      </w:r>
      <w:r w:rsidR="0044115B" w:rsidRPr="000E2B31">
        <w:rPr>
          <w:rFonts w:ascii="Times New Roman" w:hAnsi="Times New Roman" w:cs="Times New Roman"/>
          <w:sz w:val="28"/>
          <w:szCs w:val="28"/>
          <w:lang w:val="en-US"/>
        </w:rPr>
        <w:t xml:space="preserve">from the running </w:t>
      </w:r>
      <w:r w:rsidR="006A4162" w:rsidRPr="000E2B31">
        <w:rPr>
          <w:rFonts w:ascii="Times New Roman" w:hAnsi="Times New Roman" w:cs="Times New Roman"/>
          <w:sz w:val="28"/>
          <w:szCs w:val="28"/>
          <w:lang w:val="en-US"/>
        </w:rPr>
        <w:t>should not have happened</w:t>
      </w:r>
      <w:r w:rsidR="0044115B" w:rsidRPr="000E2B31">
        <w:rPr>
          <w:rFonts w:ascii="Times New Roman" w:hAnsi="Times New Roman" w:cs="Times New Roman"/>
          <w:sz w:val="28"/>
          <w:szCs w:val="28"/>
          <w:lang w:val="en-US"/>
        </w:rPr>
        <w:t>.  The appellant</w:t>
      </w:r>
      <w:r w:rsidR="001F4E44" w:rsidRPr="000E2B31">
        <w:rPr>
          <w:rFonts w:ascii="Times New Roman" w:hAnsi="Times New Roman" w:cs="Times New Roman"/>
          <w:sz w:val="28"/>
          <w:szCs w:val="28"/>
          <w:lang w:val="en-US"/>
        </w:rPr>
        <w:t>’s case in this regard was that</w:t>
      </w:r>
      <w:r w:rsidR="0044115B" w:rsidRPr="000E2B31">
        <w:rPr>
          <w:rFonts w:ascii="Times New Roman" w:hAnsi="Times New Roman" w:cs="Times New Roman"/>
          <w:sz w:val="28"/>
          <w:szCs w:val="28"/>
          <w:lang w:val="en-US"/>
        </w:rPr>
        <w:t xml:space="preserve"> the third respondent’s bid </w:t>
      </w:r>
      <w:r w:rsidR="001F4E44" w:rsidRPr="000E2B31">
        <w:rPr>
          <w:rFonts w:ascii="Times New Roman" w:hAnsi="Times New Roman" w:cs="Times New Roman"/>
          <w:sz w:val="28"/>
          <w:szCs w:val="28"/>
          <w:lang w:val="en-US"/>
        </w:rPr>
        <w:t xml:space="preserve">had been </w:t>
      </w:r>
      <w:r w:rsidR="0044115B" w:rsidRPr="000E2B31">
        <w:rPr>
          <w:rFonts w:ascii="Times New Roman" w:hAnsi="Times New Roman" w:cs="Times New Roman"/>
          <w:sz w:val="28"/>
          <w:szCs w:val="28"/>
          <w:lang w:val="en-US"/>
        </w:rPr>
        <w:t xml:space="preserve">declared ineligible only in the </w:t>
      </w:r>
      <w:r w:rsidR="00CA218A" w:rsidRPr="000E2B31">
        <w:rPr>
          <w:rFonts w:ascii="Times New Roman" w:hAnsi="Times New Roman" w:cs="Times New Roman"/>
          <w:sz w:val="28"/>
          <w:szCs w:val="28"/>
          <w:lang w:val="en-US"/>
        </w:rPr>
        <w:t xml:space="preserve">final </w:t>
      </w:r>
      <w:r w:rsidR="0044115B" w:rsidRPr="000E2B31">
        <w:rPr>
          <w:rFonts w:ascii="Times New Roman" w:hAnsi="Times New Roman" w:cs="Times New Roman"/>
          <w:sz w:val="28"/>
          <w:szCs w:val="28"/>
          <w:lang w:val="en-US"/>
        </w:rPr>
        <w:t xml:space="preserve">award phase </w:t>
      </w:r>
      <w:r w:rsidR="001F4E44" w:rsidRPr="000E2B31">
        <w:rPr>
          <w:rFonts w:ascii="Times New Roman" w:hAnsi="Times New Roman" w:cs="Times New Roman"/>
          <w:sz w:val="28"/>
          <w:szCs w:val="28"/>
          <w:lang w:val="en-US"/>
        </w:rPr>
        <w:t>when</w:t>
      </w:r>
      <w:r w:rsidR="0044115B" w:rsidRPr="000E2B31">
        <w:rPr>
          <w:rFonts w:ascii="Times New Roman" w:hAnsi="Times New Roman" w:cs="Times New Roman"/>
          <w:sz w:val="28"/>
          <w:szCs w:val="28"/>
          <w:lang w:val="en-US"/>
        </w:rPr>
        <w:t xml:space="preserve"> it failed </w:t>
      </w:r>
      <w:r w:rsidR="00CA218A" w:rsidRPr="000E2B31">
        <w:rPr>
          <w:rFonts w:ascii="Times New Roman" w:hAnsi="Times New Roman" w:cs="Times New Roman"/>
          <w:sz w:val="28"/>
          <w:szCs w:val="28"/>
          <w:lang w:val="en-US"/>
        </w:rPr>
        <w:t xml:space="preserve">it </w:t>
      </w:r>
      <w:r w:rsidR="0044115B" w:rsidRPr="000E2B31">
        <w:rPr>
          <w:rFonts w:ascii="Times New Roman" w:hAnsi="Times New Roman" w:cs="Times New Roman"/>
          <w:sz w:val="28"/>
          <w:szCs w:val="28"/>
          <w:lang w:val="en-US"/>
        </w:rPr>
        <w:t>on commercial risk</w:t>
      </w:r>
      <w:r w:rsidR="001F3E9A" w:rsidRPr="000E2B31">
        <w:rPr>
          <w:rFonts w:ascii="Times New Roman" w:hAnsi="Times New Roman" w:cs="Times New Roman"/>
          <w:sz w:val="28"/>
          <w:szCs w:val="28"/>
          <w:lang w:val="en-US"/>
        </w:rPr>
        <w:t>.  T</w:t>
      </w:r>
      <w:r w:rsidR="0044115B" w:rsidRPr="000E2B31">
        <w:rPr>
          <w:rFonts w:ascii="Times New Roman" w:hAnsi="Times New Roman" w:cs="Times New Roman"/>
          <w:sz w:val="28"/>
          <w:szCs w:val="28"/>
          <w:lang w:val="en-US"/>
        </w:rPr>
        <w:t xml:space="preserve">he first respondent </w:t>
      </w:r>
      <w:r w:rsidR="001F4E44" w:rsidRPr="000E2B31">
        <w:rPr>
          <w:rFonts w:ascii="Times New Roman" w:hAnsi="Times New Roman" w:cs="Times New Roman"/>
          <w:sz w:val="28"/>
          <w:szCs w:val="28"/>
          <w:lang w:val="en-US"/>
        </w:rPr>
        <w:t>argued</w:t>
      </w:r>
      <w:r w:rsidR="0044115B" w:rsidRPr="000E2B31">
        <w:rPr>
          <w:rFonts w:ascii="Times New Roman" w:hAnsi="Times New Roman" w:cs="Times New Roman"/>
          <w:sz w:val="28"/>
          <w:szCs w:val="28"/>
          <w:lang w:val="en-US"/>
        </w:rPr>
        <w:t xml:space="preserve"> </w:t>
      </w:r>
      <w:r w:rsidR="00CA218A" w:rsidRPr="000E2B31">
        <w:rPr>
          <w:rFonts w:ascii="Times New Roman" w:hAnsi="Times New Roman" w:cs="Times New Roman"/>
          <w:sz w:val="28"/>
          <w:szCs w:val="28"/>
          <w:lang w:val="en-US"/>
        </w:rPr>
        <w:t xml:space="preserve">however </w:t>
      </w:r>
      <w:r w:rsidR="0044115B" w:rsidRPr="000E2B31">
        <w:rPr>
          <w:rFonts w:ascii="Times New Roman" w:hAnsi="Times New Roman" w:cs="Times New Roman"/>
          <w:sz w:val="28"/>
          <w:szCs w:val="28"/>
          <w:lang w:val="en-US"/>
        </w:rPr>
        <w:t>that it</w:t>
      </w:r>
      <w:r w:rsidR="001F4E44" w:rsidRPr="000E2B31">
        <w:rPr>
          <w:rFonts w:ascii="Times New Roman" w:hAnsi="Times New Roman" w:cs="Times New Roman"/>
          <w:sz w:val="28"/>
          <w:szCs w:val="28"/>
          <w:lang w:val="en-US"/>
        </w:rPr>
        <w:t>s bid</w:t>
      </w:r>
      <w:r w:rsidR="0044115B" w:rsidRPr="000E2B31">
        <w:rPr>
          <w:rFonts w:ascii="Times New Roman" w:hAnsi="Times New Roman" w:cs="Times New Roman"/>
          <w:sz w:val="28"/>
          <w:szCs w:val="28"/>
          <w:lang w:val="en-US"/>
        </w:rPr>
        <w:t xml:space="preserve"> was ineligible from the outset and should not have proceeded beyond the qualification stage into the final round. </w:t>
      </w:r>
      <w:r w:rsidR="00724539" w:rsidRPr="000E2B31">
        <w:rPr>
          <w:rFonts w:ascii="Times New Roman" w:hAnsi="Times New Roman" w:cs="Times New Roman"/>
          <w:sz w:val="28"/>
          <w:szCs w:val="28"/>
          <w:lang w:val="en-US"/>
        </w:rPr>
        <w:t xml:space="preserve"> The latter submission was entirely relevant to its claim of prejudice by the review</w:t>
      </w:r>
      <w:r w:rsidR="00EF6AF4" w:rsidRPr="000E2B31">
        <w:rPr>
          <w:rFonts w:ascii="Times New Roman" w:hAnsi="Times New Roman" w:cs="Times New Roman"/>
          <w:sz w:val="28"/>
          <w:szCs w:val="28"/>
          <w:lang w:val="en-US"/>
        </w:rPr>
        <w:t xml:space="preserve"> ground(s) relied</w:t>
      </w:r>
      <w:r w:rsidR="00724539" w:rsidRPr="000E2B31">
        <w:rPr>
          <w:rFonts w:ascii="Times New Roman" w:hAnsi="Times New Roman" w:cs="Times New Roman"/>
          <w:sz w:val="28"/>
          <w:szCs w:val="28"/>
          <w:lang w:val="en-US"/>
        </w:rPr>
        <w:t xml:space="preserve"> upon in this respect.  </w:t>
      </w:r>
    </w:p>
    <w:p w14:paraId="0B05D181" w14:textId="796CCDFA" w:rsidR="00B63179" w:rsidRDefault="00B63179" w:rsidP="00F04F46">
      <w:pPr>
        <w:pStyle w:val="ListParagraph"/>
        <w:tabs>
          <w:tab w:val="left" w:pos="709"/>
        </w:tabs>
        <w:spacing w:before="0" w:beforeAutospacing="0"/>
        <w:ind w:left="0"/>
        <w:jc w:val="both"/>
        <w:rPr>
          <w:rFonts w:ascii="Times New Roman" w:hAnsi="Times New Roman" w:cs="Times New Roman"/>
          <w:sz w:val="28"/>
          <w:szCs w:val="28"/>
          <w:lang w:val="en-US"/>
        </w:rPr>
      </w:pPr>
    </w:p>
    <w:p w14:paraId="183DEBC5" w14:textId="587FFADD" w:rsidR="00617EC5" w:rsidRPr="000E2B31" w:rsidRDefault="000E2B31" w:rsidP="000E2B31">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[67]</w:t>
      </w:r>
      <w:r>
        <w:rPr>
          <w:rFonts w:ascii="Times New Roman" w:hAnsi="Times New Roman" w:cs="Times New Roman"/>
          <w:sz w:val="28"/>
          <w:szCs w:val="28"/>
          <w:lang w:val="en-US"/>
        </w:rPr>
        <w:tab/>
      </w:r>
      <w:r w:rsidR="00330FAE" w:rsidRPr="000E2B31">
        <w:rPr>
          <w:rFonts w:ascii="Times New Roman" w:hAnsi="Times New Roman" w:cs="Times New Roman"/>
          <w:sz w:val="28"/>
          <w:szCs w:val="28"/>
          <w:lang w:val="en-US"/>
        </w:rPr>
        <w:t xml:space="preserve">The court </w:t>
      </w:r>
      <w:r w:rsidR="00330FAE" w:rsidRPr="000E2B31">
        <w:rPr>
          <w:rFonts w:ascii="Times New Roman" w:hAnsi="Times New Roman" w:cs="Times New Roman"/>
          <w:i/>
          <w:iCs/>
          <w:sz w:val="28"/>
          <w:szCs w:val="28"/>
          <w:lang w:val="en-US"/>
        </w:rPr>
        <w:t>a quo’s</w:t>
      </w:r>
      <w:r w:rsidR="00330FAE" w:rsidRPr="000E2B31">
        <w:rPr>
          <w:rFonts w:ascii="Times New Roman" w:hAnsi="Times New Roman" w:cs="Times New Roman"/>
          <w:sz w:val="28"/>
          <w:szCs w:val="28"/>
          <w:lang w:val="en-US"/>
        </w:rPr>
        <w:t xml:space="preserve"> reasoning</w:t>
      </w:r>
      <w:r w:rsidR="002C5476" w:rsidRPr="000E2B31">
        <w:rPr>
          <w:rFonts w:ascii="Times New Roman" w:hAnsi="Times New Roman" w:cs="Times New Roman"/>
          <w:sz w:val="28"/>
          <w:szCs w:val="28"/>
          <w:lang w:val="en-US"/>
        </w:rPr>
        <w:t xml:space="preserve"> in the judgment</w:t>
      </w:r>
      <w:r w:rsidR="00330FAE" w:rsidRPr="000E2B31">
        <w:rPr>
          <w:rFonts w:ascii="Times New Roman" w:hAnsi="Times New Roman" w:cs="Times New Roman"/>
          <w:sz w:val="28"/>
          <w:szCs w:val="28"/>
          <w:lang w:val="en-US"/>
        </w:rPr>
        <w:t xml:space="preserve"> regarding why it concluded that the application of the risk assessment </w:t>
      </w:r>
      <w:r w:rsidR="00CA218A" w:rsidRPr="000E2B31">
        <w:rPr>
          <w:rFonts w:ascii="Times New Roman" w:hAnsi="Times New Roman" w:cs="Times New Roman"/>
          <w:sz w:val="28"/>
          <w:szCs w:val="28"/>
          <w:lang w:val="en-US"/>
        </w:rPr>
        <w:t xml:space="preserve">“as applied by the department was </w:t>
      </w:r>
      <w:r w:rsidR="00330FAE" w:rsidRPr="000E2B31">
        <w:rPr>
          <w:rFonts w:ascii="Times New Roman" w:hAnsi="Times New Roman" w:cs="Times New Roman"/>
          <w:sz w:val="28"/>
          <w:szCs w:val="28"/>
          <w:lang w:val="en-US"/>
        </w:rPr>
        <w:t>irregular resulting in the entire process being unlawful”</w:t>
      </w:r>
      <w:r w:rsidR="006E693A" w:rsidRPr="000E2B31">
        <w:rPr>
          <w:rFonts w:ascii="Times New Roman" w:hAnsi="Times New Roman" w:cs="Times New Roman"/>
          <w:sz w:val="28"/>
          <w:szCs w:val="28"/>
          <w:lang w:val="en-US"/>
        </w:rPr>
        <w:t xml:space="preserve"> was</w:t>
      </w:r>
      <w:r w:rsidR="0044115B" w:rsidRPr="000E2B31">
        <w:rPr>
          <w:rFonts w:ascii="Times New Roman" w:hAnsi="Times New Roman" w:cs="Times New Roman"/>
          <w:sz w:val="28"/>
          <w:szCs w:val="28"/>
          <w:lang w:val="en-US"/>
        </w:rPr>
        <w:t xml:space="preserve"> however</w:t>
      </w:r>
      <w:r w:rsidR="006E693A" w:rsidRPr="000E2B31">
        <w:rPr>
          <w:rFonts w:ascii="Times New Roman" w:hAnsi="Times New Roman" w:cs="Times New Roman"/>
          <w:sz w:val="28"/>
          <w:szCs w:val="28"/>
          <w:lang w:val="en-US"/>
        </w:rPr>
        <w:t xml:space="preserve"> somewhat confusing.</w:t>
      </w:r>
    </w:p>
    <w:p w14:paraId="1A8AB08C" w14:textId="77777777" w:rsidR="00617EC5" w:rsidRPr="00617EC5" w:rsidRDefault="00617EC5" w:rsidP="00617EC5">
      <w:pPr>
        <w:pStyle w:val="ListParagraph"/>
        <w:rPr>
          <w:rFonts w:ascii="Times New Roman" w:hAnsi="Times New Roman" w:cs="Times New Roman"/>
          <w:sz w:val="28"/>
          <w:szCs w:val="28"/>
          <w:lang w:val="en-US"/>
        </w:rPr>
      </w:pPr>
    </w:p>
    <w:p w14:paraId="70A8147D" w14:textId="6AD3ACF9" w:rsidR="00A27B2E" w:rsidRPr="000E2B31" w:rsidRDefault="000E2B31" w:rsidP="000E2B31">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[68]</w:t>
      </w:r>
      <w:r>
        <w:rPr>
          <w:rFonts w:ascii="Times New Roman" w:hAnsi="Times New Roman" w:cs="Times New Roman"/>
          <w:sz w:val="28"/>
          <w:szCs w:val="28"/>
          <w:lang w:val="en-US"/>
        </w:rPr>
        <w:tab/>
      </w:r>
      <w:r w:rsidR="00330FAE" w:rsidRPr="000E2B31">
        <w:rPr>
          <w:rFonts w:ascii="Times New Roman" w:hAnsi="Times New Roman" w:cs="Times New Roman"/>
          <w:sz w:val="28"/>
          <w:szCs w:val="28"/>
          <w:lang w:val="en-US"/>
        </w:rPr>
        <w:t xml:space="preserve">On the one hand </w:t>
      </w:r>
      <w:r w:rsidR="00A66241" w:rsidRPr="000E2B31">
        <w:rPr>
          <w:rFonts w:ascii="Times New Roman" w:hAnsi="Times New Roman" w:cs="Times New Roman"/>
          <w:sz w:val="28"/>
          <w:szCs w:val="28"/>
          <w:lang w:val="en-US"/>
        </w:rPr>
        <w:t>it</w:t>
      </w:r>
      <w:r w:rsidR="00330FAE" w:rsidRPr="000E2B31">
        <w:rPr>
          <w:rFonts w:ascii="Times New Roman" w:hAnsi="Times New Roman" w:cs="Times New Roman"/>
          <w:sz w:val="28"/>
          <w:szCs w:val="28"/>
          <w:lang w:val="en-US"/>
        </w:rPr>
        <w:t xml:space="preserve"> appeared to accept </w:t>
      </w:r>
      <w:r w:rsidR="00617EC5" w:rsidRPr="000E2B31">
        <w:rPr>
          <w:rFonts w:ascii="Times New Roman" w:hAnsi="Times New Roman" w:cs="Times New Roman"/>
          <w:sz w:val="28"/>
          <w:szCs w:val="28"/>
          <w:lang w:val="en-US"/>
        </w:rPr>
        <w:t xml:space="preserve">that it was permissible for the appellant to have utilized </w:t>
      </w:r>
      <w:r w:rsidR="00330FAE" w:rsidRPr="000E2B31">
        <w:rPr>
          <w:rFonts w:ascii="Times New Roman" w:hAnsi="Times New Roman" w:cs="Times New Roman"/>
          <w:sz w:val="28"/>
          <w:szCs w:val="28"/>
          <w:lang w:val="en-US"/>
        </w:rPr>
        <w:t>the</w:t>
      </w:r>
      <w:r w:rsidR="00617EC5" w:rsidRPr="000E2B31">
        <w:rPr>
          <w:rFonts w:ascii="Times New Roman" w:hAnsi="Times New Roman" w:cs="Times New Roman"/>
          <w:sz w:val="28"/>
          <w:szCs w:val="28"/>
          <w:lang w:val="en-US"/>
        </w:rPr>
        <w:t xml:space="preserve"> risk assessment as an award criteria</w:t>
      </w:r>
      <w:r w:rsidR="00330FAE" w:rsidRPr="000E2B31">
        <w:rPr>
          <w:rFonts w:ascii="Times New Roman" w:hAnsi="Times New Roman" w:cs="Times New Roman"/>
          <w:sz w:val="28"/>
          <w:szCs w:val="28"/>
          <w:lang w:val="en-US"/>
        </w:rPr>
        <w:t xml:space="preserve"> </w:t>
      </w:r>
      <w:r w:rsidR="00617EC5" w:rsidRPr="000E2B31">
        <w:rPr>
          <w:rFonts w:ascii="Times New Roman" w:hAnsi="Times New Roman" w:cs="Times New Roman"/>
          <w:sz w:val="28"/>
          <w:szCs w:val="28"/>
          <w:lang w:val="en-US"/>
        </w:rPr>
        <w:t xml:space="preserve">but condemned it for having </w:t>
      </w:r>
      <w:r w:rsidR="00330FAE" w:rsidRPr="000E2B31">
        <w:rPr>
          <w:rFonts w:ascii="Times New Roman" w:hAnsi="Times New Roman" w:cs="Times New Roman"/>
          <w:sz w:val="28"/>
          <w:szCs w:val="28"/>
          <w:lang w:val="en-US"/>
        </w:rPr>
        <w:t xml:space="preserve">applied </w:t>
      </w:r>
      <w:r w:rsidR="00617EC5" w:rsidRPr="000E2B31">
        <w:rPr>
          <w:rFonts w:ascii="Times New Roman" w:hAnsi="Times New Roman" w:cs="Times New Roman"/>
          <w:sz w:val="28"/>
          <w:szCs w:val="28"/>
          <w:lang w:val="en-US"/>
        </w:rPr>
        <w:t xml:space="preserve">it </w:t>
      </w:r>
      <w:r w:rsidR="004755FF" w:rsidRPr="000E2B31">
        <w:rPr>
          <w:rFonts w:ascii="Times New Roman" w:hAnsi="Times New Roman" w:cs="Times New Roman"/>
          <w:sz w:val="28"/>
          <w:szCs w:val="28"/>
          <w:lang w:val="en-US"/>
        </w:rPr>
        <w:t xml:space="preserve">wrongly </w:t>
      </w:r>
      <w:r w:rsidR="00330FAE" w:rsidRPr="000E2B31">
        <w:rPr>
          <w:rFonts w:ascii="Times New Roman" w:hAnsi="Times New Roman" w:cs="Times New Roman"/>
          <w:sz w:val="28"/>
          <w:szCs w:val="28"/>
          <w:lang w:val="en-US"/>
        </w:rPr>
        <w:t xml:space="preserve">as a subjective comparison of bidders to determine which bidder posed the least risk, and/or </w:t>
      </w:r>
      <w:r w:rsidR="00617EC5" w:rsidRPr="000E2B31">
        <w:rPr>
          <w:rFonts w:ascii="Times New Roman" w:hAnsi="Times New Roman" w:cs="Times New Roman"/>
          <w:sz w:val="28"/>
          <w:szCs w:val="28"/>
          <w:lang w:val="en-US"/>
        </w:rPr>
        <w:t xml:space="preserve">because it did not apply it </w:t>
      </w:r>
      <w:r w:rsidR="00330FAE" w:rsidRPr="000E2B31">
        <w:rPr>
          <w:rFonts w:ascii="Times New Roman" w:hAnsi="Times New Roman" w:cs="Times New Roman"/>
          <w:sz w:val="28"/>
          <w:szCs w:val="28"/>
          <w:lang w:val="en-US"/>
        </w:rPr>
        <w:t xml:space="preserve">in a consistent manner in so far as all responsive </w:t>
      </w:r>
      <w:r w:rsidR="004C007D" w:rsidRPr="000E2B31">
        <w:rPr>
          <w:rFonts w:ascii="Times New Roman" w:hAnsi="Times New Roman" w:cs="Times New Roman"/>
          <w:sz w:val="28"/>
          <w:szCs w:val="28"/>
          <w:lang w:val="en-US"/>
        </w:rPr>
        <w:t>bidders were</w:t>
      </w:r>
      <w:r w:rsidR="00330FAE" w:rsidRPr="000E2B31">
        <w:rPr>
          <w:rFonts w:ascii="Times New Roman" w:hAnsi="Times New Roman" w:cs="Times New Roman"/>
          <w:sz w:val="28"/>
          <w:szCs w:val="28"/>
          <w:lang w:val="en-US"/>
        </w:rPr>
        <w:t xml:space="preserve"> concerned</w:t>
      </w:r>
      <w:r w:rsidR="00A27B2E" w:rsidRPr="000E2B31">
        <w:rPr>
          <w:rFonts w:ascii="Times New Roman" w:hAnsi="Times New Roman" w:cs="Times New Roman"/>
          <w:sz w:val="28"/>
          <w:szCs w:val="28"/>
          <w:lang w:val="en-US"/>
        </w:rPr>
        <w:t>.</w:t>
      </w:r>
      <w:r w:rsidR="00EF6AF4">
        <w:rPr>
          <w:rStyle w:val="FootnoteReference"/>
          <w:rFonts w:ascii="Times New Roman" w:hAnsi="Times New Roman" w:cs="Times New Roman"/>
          <w:sz w:val="28"/>
          <w:szCs w:val="28"/>
          <w:lang w:val="en-US"/>
        </w:rPr>
        <w:footnoteReference w:id="26"/>
      </w:r>
    </w:p>
    <w:p w14:paraId="7B26FAF7" w14:textId="77777777" w:rsidR="00A27B2E" w:rsidRPr="00A27B2E" w:rsidRDefault="00A27B2E" w:rsidP="00A27B2E">
      <w:pPr>
        <w:pStyle w:val="ListParagraph"/>
        <w:rPr>
          <w:rFonts w:ascii="Times New Roman" w:hAnsi="Times New Roman" w:cs="Times New Roman"/>
          <w:sz w:val="28"/>
          <w:szCs w:val="28"/>
          <w:lang w:val="en-US"/>
        </w:rPr>
      </w:pPr>
    </w:p>
    <w:p w14:paraId="453B9134" w14:textId="285F445B" w:rsidR="00172A69" w:rsidRPr="000E2B31" w:rsidRDefault="000E2B31" w:rsidP="000E2B31">
      <w:pPr>
        <w:tabs>
          <w:tab w:val="left" w:pos="709"/>
        </w:tabs>
        <w:spacing w:before="0" w:beforeAutospacing="0"/>
        <w:jc w:val="both"/>
        <w:rPr>
          <w:rFonts w:ascii="Times New Roman" w:hAnsi="Times New Roman" w:cs="Times New Roman"/>
          <w:sz w:val="28"/>
          <w:szCs w:val="28"/>
          <w:lang w:val="en-US"/>
        </w:rPr>
      </w:pPr>
      <w:r w:rsidRPr="00A66241">
        <w:rPr>
          <w:rFonts w:ascii="Times New Roman" w:hAnsi="Times New Roman" w:cs="Times New Roman"/>
          <w:sz w:val="28"/>
          <w:szCs w:val="28"/>
          <w:lang w:val="en-US"/>
        </w:rPr>
        <w:t>[69]</w:t>
      </w:r>
      <w:r w:rsidRPr="00A66241">
        <w:rPr>
          <w:rFonts w:ascii="Times New Roman" w:hAnsi="Times New Roman" w:cs="Times New Roman"/>
          <w:sz w:val="28"/>
          <w:szCs w:val="28"/>
          <w:lang w:val="en-US"/>
        </w:rPr>
        <w:tab/>
      </w:r>
      <w:r w:rsidR="00A27B2E" w:rsidRPr="000E2B31">
        <w:rPr>
          <w:rFonts w:ascii="Times New Roman" w:hAnsi="Times New Roman" w:cs="Times New Roman"/>
          <w:sz w:val="28"/>
          <w:szCs w:val="28"/>
          <w:lang w:val="en-US"/>
        </w:rPr>
        <w:t>O</w:t>
      </w:r>
      <w:r w:rsidR="00A66241" w:rsidRPr="000E2B31">
        <w:rPr>
          <w:rFonts w:ascii="Times New Roman" w:hAnsi="Times New Roman" w:cs="Times New Roman"/>
          <w:sz w:val="28"/>
          <w:szCs w:val="28"/>
          <w:lang w:val="en-US"/>
        </w:rPr>
        <w:t>n the other</w:t>
      </w:r>
      <w:r w:rsidR="00A27B2E" w:rsidRPr="000E2B31">
        <w:rPr>
          <w:rFonts w:ascii="Times New Roman" w:hAnsi="Times New Roman" w:cs="Times New Roman"/>
          <w:sz w:val="28"/>
          <w:szCs w:val="28"/>
          <w:lang w:val="en-US"/>
        </w:rPr>
        <w:t xml:space="preserve"> hand however</w:t>
      </w:r>
      <w:r w:rsidR="00330FAE" w:rsidRPr="000E2B31">
        <w:rPr>
          <w:rFonts w:ascii="Times New Roman" w:hAnsi="Times New Roman" w:cs="Times New Roman"/>
          <w:sz w:val="28"/>
          <w:szCs w:val="28"/>
          <w:lang w:val="en-US"/>
        </w:rPr>
        <w:t xml:space="preserve"> it also found that “upon a proper reading of the tender data”, it was </w:t>
      </w:r>
      <w:r w:rsidR="00330FAE" w:rsidRPr="000E2B31">
        <w:rPr>
          <w:rFonts w:ascii="Times New Roman" w:hAnsi="Times New Roman" w:cs="Times New Roman"/>
          <w:i/>
          <w:iCs/>
          <w:sz w:val="28"/>
          <w:szCs w:val="28"/>
          <w:lang w:val="en-US"/>
        </w:rPr>
        <w:t>“evident that the risk assessment was part of the pre-qualification criteria that had to be used to evaluate the responsiveness of the submitted bids</w:t>
      </w:r>
      <w:r w:rsidR="00CA218A" w:rsidRPr="000E2B31">
        <w:rPr>
          <w:rFonts w:ascii="Times New Roman" w:hAnsi="Times New Roman" w:cs="Times New Roman"/>
          <w:i/>
          <w:iCs/>
          <w:sz w:val="28"/>
          <w:szCs w:val="28"/>
          <w:lang w:val="en-US"/>
        </w:rPr>
        <w:t>,</w:t>
      </w:r>
      <w:r w:rsidR="00330FAE" w:rsidRPr="000E2B31">
        <w:rPr>
          <w:rFonts w:ascii="Times New Roman" w:hAnsi="Times New Roman" w:cs="Times New Roman"/>
          <w:i/>
          <w:iCs/>
          <w:sz w:val="28"/>
          <w:szCs w:val="28"/>
          <w:lang w:val="en-US"/>
        </w:rPr>
        <w:t>”</w:t>
      </w:r>
      <w:r w:rsidR="00330FAE" w:rsidRPr="000E2B31">
        <w:rPr>
          <w:rFonts w:ascii="Times New Roman" w:hAnsi="Times New Roman" w:cs="Times New Roman"/>
          <w:sz w:val="28"/>
          <w:szCs w:val="28"/>
          <w:lang w:val="en-US"/>
        </w:rPr>
        <w:t xml:space="preserve"> </w:t>
      </w:r>
      <w:r w:rsidR="00CA218A" w:rsidRPr="000E2B31">
        <w:rPr>
          <w:rFonts w:ascii="Times New Roman" w:hAnsi="Times New Roman" w:cs="Times New Roman"/>
          <w:sz w:val="28"/>
          <w:szCs w:val="28"/>
          <w:lang w:val="en-US"/>
        </w:rPr>
        <w:t xml:space="preserve">evidently </w:t>
      </w:r>
      <w:r w:rsidR="00A27B2E" w:rsidRPr="000E2B31">
        <w:rPr>
          <w:rFonts w:ascii="Times New Roman" w:hAnsi="Times New Roman" w:cs="Times New Roman"/>
          <w:sz w:val="28"/>
          <w:szCs w:val="28"/>
          <w:lang w:val="en-US"/>
        </w:rPr>
        <w:t>agreeing with the first respondent</w:t>
      </w:r>
      <w:r w:rsidR="00330FAE" w:rsidRPr="000E2B31">
        <w:rPr>
          <w:rFonts w:ascii="Times New Roman" w:hAnsi="Times New Roman" w:cs="Times New Roman"/>
          <w:sz w:val="28"/>
          <w:szCs w:val="28"/>
          <w:lang w:val="en-US"/>
        </w:rPr>
        <w:t xml:space="preserve"> that this should have been surpassed by each of the </w:t>
      </w:r>
      <w:r w:rsidR="00A27B2E" w:rsidRPr="000E2B31">
        <w:rPr>
          <w:rFonts w:ascii="Times New Roman" w:hAnsi="Times New Roman" w:cs="Times New Roman"/>
          <w:sz w:val="28"/>
          <w:szCs w:val="28"/>
          <w:lang w:val="en-US"/>
        </w:rPr>
        <w:t xml:space="preserve">present </w:t>
      </w:r>
      <w:r w:rsidR="00330FAE" w:rsidRPr="000E2B31">
        <w:rPr>
          <w:rFonts w:ascii="Times New Roman" w:hAnsi="Times New Roman" w:cs="Times New Roman"/>
          <w:sz w:val="28"/>
          <w:szCs w:val="28"/>
          <w:lang w:val="en-US"/>
        </w:rPr>
        <w:t xml:space="preserve">respondents achieving the required functionality threshold whereafter method 2 required them thence to be evaluated further </w:t>
      </w:r>
      <w:r w:rsidR="00E715CD" w:rsidRPr="000E2B31">
        <w:rPr>
          <w:rFonts w:ascii="Times New Roman" w:hAnsi="Times New Roman" w:cs="Times New Roman"/>
          <w:sz w:val="28"/>
          <w:szCs w:val="28"/>
          <w:lang w:val="en-US"/>
        </w:rPr>
        <w:t xml:space="preserve">only </w:t>
      </w:r>
      <w:r w:rsidR="00330FAE" w:rsidRPr="000E2B31">
        <w:rPr>
          <w:rFonts w:ascii="Times New Roman" w:hAnsi="Times New Roman" w:cs="Times New Roman"/>
          <w:sz w:val="28"/>
          <w:szCs w:val="28"/>
          <w:lang w:val="en-US"/>
        </w:rPr>
        <w:t xml:space="preserve">in terms of price and preference, </w:t>
      </w:r>
      <w:r w:rsidR="00330FAE" w:rsidRPr="000E2B31">
        <w:rPr>
          <w:rFonts w:ascii="Times New Roman" w:hAnsi="Times New Roman" w:cs="Times New Roman"/>
          <w:i/>
          <w:iCs/>
          <w:sz w:val="28"/>
          <w:szCs w:val="28"/>
          <w:lang w:val="en-US"/>
        </w:rPr>
        <w:t>sans</w:t>
      </w:r>
      <w:r w:rsidR="00330FAE" w:rsidRPr="000E2B31">
        <w:rPr>
          <w:rFonts w:ascii="Times New Roman" w:hAnsi="Times New Roman" w:cs="Times New Roman"/>
          <w:sz w:val="28"/>
          <w:szCs w:val="28"/>
          <w:lang w:val="en-US"/>
        </w:rPr>
        <w:t xml:space="preserve"> any consideration of risk to the employer. </w:t>
      </w:r>
    </w:p>
    <w:p w14:paraId="41ADE591" w14:textId="77777777" w:rsidR="0073131E" w:rsidRPr="0073131E" w:rsidRDefault="0073131E" w:rsidP="0073131E">
      <w:pPr>
        <w:pStyle w:val="ListParagraph"/>
        <w:rPr>
          <w:rFonts w:ascii="Times New Roman" w:hAnsi="Times New Roman" w:cs="Times New Roman"/>
          <w:sz w:val="28"/>
          <w:szCs w:val="28"/>
          <w:lang w:val="en-US"/>
        </w:rPr>
      </w:pPr>
    </w:p>
    <w:p w14:paraId="02EF5D79" w14:textId="5E6255A5" w:rsidR="00E715CD" w:rsidRPr="000E2B31" w:rsidRDefault="000E2B31" w:rsidP="000E2B31">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[70]</w:t>
      </w:r>
      <w:r>
        <w:rPr>
          <w:rFonts w:ascii="Times New Roman" w:hAnsi="Times New Roman" w:cs="Times New Roman"/>
          <w:sz w:val="28"/>
          <w:szCs w:val="28"/>
          <w:lang w:val="en-US"/>
        </w:rPr>
        <w:tab/>
      </w:r>
      <w:r w:rsidR="0073131E" w:rsidRPr="000E2B31">
        <w:rPr>
          <w:rFonts w:ascii="Times New Roman" w:hAnsi="Times New Roman" w:cs="Times New Roman"/>
          <w:sz w:val="28"/>
          <w:szCs w:val="28"/>
          <w:lang w:val="en-US"/>
        </w:rPr>
        <w:t xml:space="preserve">The impression is created </w:t>
      </w:r>
      <w:r w:rsidR="00433878" w:rsidRPr="000E2B31">
        <w:rPr>
          <w:rFonts w:ascii="Times New Roman" w:hAnsi="Times New Roman" w:cs="Times New Roman"/>
          <w:sz w:val="28"/>
          <w:szCs w:val="28"/>
          <w:lang w:val="en-US"/>
        </w:rPr>
        <w:t xml:space="preserve">that the court </w:t>
      </w:r>
      <w:r w:rsidR="006A4162" w:rsidRPr="000E2B31">
        <w:rPr>
          <w:rFonts w:ascii="Times New Roman" w:hAnsi="Times New Roman" w:cs="Times New Roman"/>
          <w:i/>
          <w:iCs/>
          <w:sz w:val="28"/>
          <w:szCs w:val="28"/>
          <w:lang w:val="en-US"/>
        </w:rPr>
        <w:t>a quo</w:t>
      </w:r>
      <w:r w:rsidR="006A4162" w:rsidRPr="000E2B31">
        <w:rPr>
          <w:rFonts w:ascii="Times New Roman" w:hAnsi="Times New Roman" w:cs="Times New Roman"/>
          <w:sz w:val="28"/>
          <w:szCs w:val="28"/>
          <w:lang w:val="en-US"/>
        </w:rPr>
        <w:t xml:space="preserve"> </w:t>
      </w:r>
      <w:r w:rsidR="00330FAE" w:rsidRPr="000E2B31">
        <w:rPr>
          <w:rFonts w:ascii="Times New Roman" w:hAnsi="Times New Roman" w:cs="Times New Roman"/>
          <w:sz w:val="28"/>
          <w:szCs w:val="28"/>
          <w:lang w:val="en-US"/>
        </w:rPr>
        <w:t xml:space="preserve">meant to </w:t>
      </w:r>
      <w:r w:rsidR="00433878" w:rsidRPr="000E2B31">
        <w:rPr>
          <w:rFonts w:ascii="Times New Roman" w:hAnsi="Times New Roman" w:cs="Times New Roman"/>
          <w:sz w:val="28"/>
          <w:szCs w:val="28"/>
          <w:lang w:val="en-US"/>
        </w:rPr>
        <w:t>conclude</w:t>
      </w:r>
      <w:r w:rsidR="00330FAE" w:rsidRPr="000E2B31">
        <w:rPr>
          <w:rFonts w:ascii="Times New Roman" w:hAnsi="Times New Roman" w:cs="Times New Roman"/>
          <w:sz w:val="28"/>
          <w:szCs w:val="28"/>
          <w:lang w:val="en-US"/>
        </w:rPr>
        <w:t xml:space="preserve"> that any concerns </w:t>
      </w:r>
      <w:r w:rsidR="00A66241" w:rsidRPr="000E2B31">
        <w:rPr>
          <w:rFonts w:ascii="Times New Roman" w:hAnsi="Times New Roman" w:cs="Times New Roman"/>
          <w:sz w:val="28"/>
          <w:szCs w:val="28"/>
          <w:lang w:val="en-US"/>
        </w:rPr>
        <w:t>of</w:t>
      </w:r>
      <w:r w:rsidR="00330FAE" w:rsidRPr="000E2B31">
        <w:rPr>
          <w:rFonts w:ascii="Times New Roman" w:hAnsi="Times New Roman" w:cs="Times New Roman"/>
          <w:sz w:val="28"/>
          <w:szCs w:val="28"/>
          <w:lang w:val="en-US"/>
        </w:rPr>
        <w:t xml:space="preserve"> any risk to the </w:t>
      </w:r>
      <w:r w:rsidR="0073131E" w:rsidRPr="000E2B31">
        <w:rPr>
          <w:rFonts w:ascii="Times New Roman" w:hAnsi="Times New Roman" w:cs="Times New Roman"/>
          <w:sz w:val="28"/>
          <w:szCs w:val="28"/>
          <w:lang w:val="en-US"/>
        </w:rPr>
        <w:t xml:space="preserve">employer </w:t>
      </w:r>
      <w:r w:rsidR="00330FAE" w:rsidRPr="000E2B31">
        <w:rPr>
          <w:rFonts w:ascii="Times New Roman" w:hAnsi="Times New Roman" w:cs="Times New Roman"/>
          <w:sz w:val="28"/>
          <w:szCs w:val="28"/>
          <w:lang w:val="en-US"/>
        </w:rPr>
        <w:t>should have been properly dealt with under the mantle of functionality</w:t>
      </w:r>
      <w:r w:rsidR="00724539" w:rsidRPr="000E2B31">
        <w:rPr>
          <w:rFonts w:ascii="Times New Roman" w:hAnsi="Times New Roman" w:cs="Times New Roman"/>
          <w:sz w:val="28"/>
          <w:szCs w:val="28"/>
          <w:lang w:val="en-US"/>
        </w:rPr>
        <w:t xml:space="preserve"> (perhaps not surprisingly since by Mr. </w:t>
      </w:r>
      <w:r w:rsidR="00AB601F" w:rsidRPr="000E2B31">
        <w:rPr>
          <w:rFonts w:ascii="Times New Roman" w:hAnsi="Times New Roman" w:cs="Times New Roman"/>
          <w:sz w:val="28"/>
          <w:szCs w:val="28"/>
          <w:lang w:val="en-US"/>
        </w:rPr>
        <w:t>Beyleveld</w:t>
      </w:r>
      <w:r w:rsidR="00724539" w:rsidRPr="000E2B31">
        <w:rPr>
          <w:rFonts w:ascii="Times New Roman" w:hAnsi="Times New Roman" w:cs="Times New Roman"/>
          <w:sz w:val="28"/>
          <w:szCs w:val="28"/>
          <w:lang w:val="en-US"/>
        </w:rPr>
        <w:t xml:space="preserve"> conce</w:t>
      </w:r>
      <w:r w:rsidR="00AB601F" w:rsidRPr="000E2B31">
        <w:rPr>
          <w:rFonts w:ascii="Times New Roman" w:hAnsi="Times New Roman" w:cs="Times New Roman"/>
          <w:sz w:val="28"/>
          <w:szCs w:val="28"/>
          <w:lang w:val="en-US"/>
        </w:rPr>
        <w:t xml:space="preserve">ded that </w:t>
      </w:r>
      <w:r w:rsidR="00724539" w:rsidRPr="000E2B31">
        <w:rPr>
          <w:rFonts w:ascii="Times New Roman" w:hAnsi="Times New Roman" w:cs="Times New Roman"/>
          <w:sz w:val="28"/>
          <w:szCs w:val="28"/>
          <w:lang w:val="en-US"/>
        </w:rPr>
        <w:t xml:space="preserve">the tender Data </w:t>
      </w:r>
      <w:r w:rsidR="00AB601F" w:rsidRPr="000E2B31">
        <w:rPr>
          <w:rFonts w:ascii="Times New Roman" w:hAnsi="Times New Roman" w:cs="Times New Roman"/>
          <w:sz w:val="28"/>
          <w:szCs w:val="28"/>
          <w:lang w:val="en-US"/>
        </w:rPr>
        <w:t>was</w:t>
      </w:r>
      <w:r w:rsidR="00724539" w:rsidRPr="000E2B31">
        <w:rPr>
          <w:rFonts w:ascii="Times New Roman" w:hAnsi="Times New Roman" w:cs="Times New Roman"/>
          <w:sz w:val="28"/>
          <w:szCs w:val="28"/>
          <w:lang w:val="en-US"/>
        </w:rPr>
        <w:t xml:space="preserve"> not a model of clarity)</w:t>
      </w:r>
      <w:r w:rsidR="00433878" w:rsidRPr="000E2B31">
        <w:rPr>
          <w:rFonts w:ascii="Times New Roman" w:hAnsi="Times New Roman" w:cs="Times New Roman"/>
          <w:sz w:val="28"/>
          <w:szCs w:val="28"/>
          <w:lang w:val="en-US"/>
        </w:rPr>
        <w:t xml:space="preserve"> </w:t>
      </w:r>
      <w:r w:rsidR="00330FAE" w:rsidRPr="000E2B31">
        <w:rPr>
          <w:rFonts w:ascii="Times New Roman" w:hAnsi="Times New Roman" w:cs="Times New Roman"/>
          <w:sz w:val="28"/>
          <w:szCs w:val="28"/>
          <w:lang w:val="en-US"/>
        </w:rPr>
        <w:t>and the only consideration going forward would, or should rather, solely have been focused on scoring the responsive bidders on the basis of price and preference.</w:t>
      </w:r>
      <w:r w:rsidR="00091BF9" w:rsidRPr="000E2B31">
        <w:rPr>
          <w:rFonts w:ascii="Times New Roman" w:hAnsi="Times New Roman" w:cs="Times New Roman"/>
          <w:sz w:val="28"/>
          <w:szCs w:val="28"/>
          <w:lang w:val="en-US"/>
        </w:rPr>
        <w:t xml:space="preserve">  In other words</w:t>
      </w:r>
      <w:r w:rsidR="0073131E" w:rsidRPr="000E2B31">
        <w:rPr>
          <w:rFonts w:ascii="Times New Roman" w:hAnsi="Times New Roman" w:cs="Times New Roman"/>
          <w:sz w:val="28"/>
          <w:szCs w:val="28"/>
          <w:lang w:val="en-US"/>
        </w:rPr>
        <w:t>,</w:t>
      </w:r>
      <w:r w:rsidR="00091BF9" w:rsidRPr="000E2B31">
        <w:rPr>
          <w:rFonts w:ascii="Times New Roman" w:hAnsi="Times New Roman" w:cs="Times New Roman"/>
          <w:sz w:val="28"/>
          <w:szCs w:val="28"/>
          <w:lang w:val="en-US"/>
        </w:rPr>
        <w:t xml:space="preserve"> there was </w:t>
      </w:r>
      <w:r w:rsidR="0073131E" w:rsidRPr="000E2B31">
        <w:rPr>
          <w:rFonts w:ascii="Times New Roman" w:hAnsi="Times New Roman" w:cs="Times New Roman"/>
          <w:sz w:val="28"/>
          <w:szCs w:val="28"/>
          <w:lang w:val="en-US"/>
        </w:rPr>
        <w:t xml:space="preserve">in its view </w:t>
      </w:r>
      <w:r w:rsidR="00091BF9" w:rsidRPr="000E2B31">
        <w:rPr>
          <w:rFonts w:ascii="Times New Roman" w:hAnsi="Times New Roman" w:cs="Times New Roman"/>
          <w:sz w:val="28"/>
          <w:szCs w:val="28"/>
          <w:lang w:val="en-US"/>
        </w:rPr>
        <w:t>no room to reconsider or re-evaluate</w:t>
      </w:r>
      <w:r w:rsidR="00882B7E" w:rsidRPr="000E2B31">
        <w:rPr>
          <w:rFonts w:ascii="Times New Roman" w:hAnsi="Times New Roman" w:cs="Times New Roman"/>
          <w:sz w:val="28"/>
          <w:szCs w:val="28"/>
          <w:lang w:val="en-US"/>
        </w:rPr>
        <w:t xml:space="preserve"> functionality (despite what Clause C in the tender Data </w:t>
      </w:r>
      <w:r w:rsidR="00116371" w:rsidRPr="000E2B31">
        <w:rPr>
          <w:rFonts w:ascii="Times New Roman" w:hAnsi="Times New Roman" w:cs="Times New Roman"/>
          <w:sz w:val="28"/>
          <w:szCs w:val="28"/>
          <w:lang w:val="en-US"/>
        </w:rPr>
        <w:t>might have otherwise indicated</w:t>
      </w:r>
      <w:r w:rsidR="00882B7E" w:rsidRPr="000E2B31">
        <w:rPr>
          <w:rFonts w:ascii="Times New Roman" w:hAnsi="Times New Roman" w:cs="Times New Roman"/>
          <w:sz w:val="28"/>
          <w:szCs w:val="28"/>
          <w:lang w:val="en-US"/>
        </w:rPr>
        <w:t xml:space="preserve">) once the </w:t>
      </w:r>
      <w:r w:rsidR="00E715CD" w:rsidRPr="000E2B31">
        <w:rPr>
          <w:rFonts w:ascii="Times New Roman" w:hAnsi="Times New Roman" w:cs="Times New Roman"/>
          <w:sz w:val="28"/>
          <w:szCs w:val="28"/>
          <w:lang w:val="en-US"/>
        </w:rPr>
        <w:t>functionality</w:t>
      </w:r>
      <w:r w:rsidR="00882B7E" w:rsidRPr="000E2B31">
        <w:rPr>
          <w:rFonts w:ascii="Times New Roman" w:hAnsi="Times New Roman" w:cs="Times New Roman"/>
          <w:sz w:val="28"/>
          <w:szCs w:val="28"/>
          <w:lang w:val="en-US"/>
        </w:rPr>
        <w:t xml:space="preserve"> </w:t>
      </w:r>
      <w:r w:rsidR="00687967" w:rsidRPr="000E2B31">
        <w:rPr>
          <w:rFonts w:ascii="Times New Roman" w:hAnsi="Times New Roman" w:cs="Times New Roman"/>
          <w:sz w:val="28"/>
          <w:szCs w:val="28"/>
          <w:lang w:val="en-US"/>
        </w:rPr>
        <w:t>threshold had been surpassed.</w:t>
      </w:r>
    </w:p>
    <w:p w14:paraId="047F61FF" w14:textId="77777777" w:rsidR="00E715CD" w:rsidRDefault="00E715CD" w:rsidP="00E715CD">
      <w:pPr>
        <w:pStyle w:val="ListParagraph"/>
        <w:tabs>
          <w:tab w:val="left" w:pos="709"/>
        </w:tabs>
        <w:spacing w:before="0" w:beforeAutospacing="0"/>
        <w:ind w:left="0"/>
        <w:jc w:val="both"/>
        <w:rPr>
          <w:rFonts w:ascii="Times New Roman" w:hAnsi="Times New Roman" w:cs="Times New Roman"/>
          <w:sz w:val="28"/>
          <w:szCs w:val="28"/>
          <w:lang w:val="en-US"/>
        </w:rPr>
      </w:pPr>
    </w:p>
    <w:p w14:paraId="210237A6" w14:textId="1FC72CA8" w:rsidR="00E715CD" w:rsidRPr="000E2B31" w:rsidRDefault="000E2B31" w:rsidP="000E2B31">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[71]</w:t>
      </w:r>
      <w:r>
        <w:rPr>
          <w:rFonts w:ascii="Times New Roman" w:hAnsi="Times New Roman" w:cs="Times New Roman"/>
          <w:sz w:val="28"/>
          <w:szCs w:val="28"/>
          <w:lang w:val="en-US"/>
        </w:rPr>
        <w:tab/>
      </w:r>
      <w:r w:rsidR="00E715CD" w:rsidRPr="000E2B31">
        <w:rPr>
          <w:rFonts w:ascii="Times New Roman" w:hAnsi="Times New Roman" w:cs="Times New Roman"/>
          <w:sz w:val="28"/>
          <w:szCs w:val="28"/>
          <w:lang w:val="en-US"/>
        </w:rPr>
        <w:t xml:space="preserve"> It further </w:t>
      </w:r>
      <w:r w:rsidR="00CA218A" w:rsidRPr="000E2B31">
        <w:rPr>
          <w:rFonts w:ascii="Times New Roman" w:hAnsi="Times New Roman" w:cs="Times New Roman"/>
          <w:sz w:val="28"/>
          <w:szCs w:val="28"/>
          <w:lang w:val="en-US"/>
        </w:rPr>
        <w:t xml:space="preserve">appeared to </w:t>
      </w:r>
      <w:r w:rsidR="00E715CD" w:rsidRPr="000E2B31">
        <w:rPr>
          <w:rFonts w:ascii="Times New Roman" w:hAnsi="Times New Roman" w:cs="Times New Roman"/>
          <w:sz w:val="28"/>
          <w:szCs w:val="28"/>
          <w:lang w:val="en-US"/>
        </w:rPr>
        <w:t xml:space="preserve">accept the first respondent’s version (in terms of which a dispute of fact existed on the papers </w:t>
      </w:r>
      <w:r w:rsidR="00CA218A" w:rsidRPr="000E2B31">
        <w:rPr>
          <w:rFonts w:ascii="Times New Roman" w:hAnsi="Times New Roman" w:cs="Times New Roman"/>
          <w:sz w:val="28"/>
          <w:szCs w:val="28"/>
          <w:lang w:val="en-US"/>
        </w:rPr>
        <w:t>that</w:t>
      </w:r>
      <w:r w:rsidR="00E715CD" w:rsidRPr="000E2B31">
        <w:rPr>
          <w:rFonts w:ascii="Times New Roman" w:hAnsi="Times New Roman" w:cs="Times New Roman"/>
          <w:sz w:val="28"/>
          <w:szCs w:val="28"/>
          <w:lang w:val="en-US"/>
        </w:rPr>
        <w:t xml:space="preserve"> ought to have properly been resolved in the appellant’s favour) that its decision to disqualify </w:t>
      </w:r>
      <w:r w:rsidR="001F3E9A" w:rsidRPr="000E2B31">
        <w:rPr>
          <w:rFonts w:ascii="Times New Roman" w:hAnsi="Times New Roman" w:cs="Times New Roman"/>
          <w:sz w:val="28"/>
          <w:szCs w:val="28"/>
          <w:lang w:val="en-US"/>
        </w:rPr>
        <w:t>the first respondent</w:t>
      </w:r>
      <w:r w:rsidR="00E715CD" w:rsidRPr="000E2B31">
        <w:rPr>
          <w:rFonts w:ascii="Times New Roman" w:hAnsi="Times New Roman" w:cs="Times New Roman"/>
          <w:sz w:val="28"/>
          <w:szCs w:val="28"/>
          <w:lang w:val="en-US"/>
        </w:rPr>
        <w:t xml:space="preserve"> was taken prior to the allocation of points to it for price and preference.  This was </w:t>
      </w:r>
      <w:r w:rsidR="00CA218A" w:rsidRPr="000E2B31">
        <w:rPr>
          <w:rFonts w:ascii="Times New Roman" w:hAnsi="Times New Roman" w:cs="Times New Roman"/>
          <w:sz w:val="28"/>
          <w:szCs w:val="28"/>
          <w:lang w:val="en-US"/>
        </w:rPr>
        <w:t xml:space="preserve">evidently </w:t>
      </w:r>
      <w:r w:rsidR="00E715CD" w:rsidRPr="000E2B31">
        <w:rPr>
          <w:rFonts w:ascii="Times New Roman" w:hAnsi="Times New Roman" w:cs="Times New Roman"/>
          <w:sz w:val="28"/>
          <w:szCs w:val="28"/>
          <w:lang w:val="en-US"/>
        </w:rPr>
        <w:t>in its view in itself irregular and enough reason to set aside the decision regarding the purported ineligibility</w:t>
      </w:r>
      <w:r w:rsidR="001F3E9A" w:rsidRPr="000E2B31">
        <w:rPr>
          <w:rFonts w:ascii="Times New Roman" w:hAnsi="Times New Roman" w:cs="Times New Roman"/>
          <w:sz w:val="28"/>
          <w:szCs w:val="28"/>
          <w:lang w:val="en-US"/>
        </w:rPr>
        <w:t xml:space="preserve"> of </w:t>
      </w:r>
      <w:r w:rsidR="00AB601F" w:rsidRPr="000E2B31">
        <w:rPr>
          <w:rFonts w:ascii="Times New Roman" w:hAnsi="Times New Roman" w:cs="Times New Roman"/>
          <w:sz w:val="28"/>
          <w:szCs w:val="28"/>
          <w:lang w:val="en-US"/>
        </w:rPr>
        <w:t xml:space="preserve">the first respondent’s </w:t>
      </w:r>
      <w:r w:rsidR="001F3E9A" w:rsidRPr="000E2B31">
        <w:rPr>
          <w:rFonts w:ascii="Times New Roman" w:hAnsi="Times New Roman" w:cs="Times New Roman"/>
          <w:sz w:val="28"/>
          <w:szCs w:val="28"/>
          <w:lang w:val="en-US"/>
        </w:rPr>
        <w:t>bid</w:t>
      </w:r>
      <w:r w:rsidR="00E715CD" w:rsidRPr="000E2B31">
        <w:rPr>
          <w:rFonts w:ascii="Times New Roman" w:hAnsi="Times New Roman" w:cs="Times New Roman"/>
          <w:sz w:val="28"/>
          <w:szCs w:val="28"/>
          <w:lang w:val="en-US"/>
        </w:rPr>
        <w:t>.</w:t>
      </w:r>
    </w:p>
    <w:p w14:paraId="357860ED" w14:textId="77777777" w:rsidR="00E715CD" w:rsidRDefault="00E715CD" w:rsidP="00E715CD">
      <w:pPr>
        <w:pStyle w:val="ListParagraph"/>
        <w:tabs>
          <w:tab w:val="left" w:pos="709"/>
        </w:tabs>
        <w:spacing w:before="0" w:beforeAutospacing="0"/>
        <w:ind w:left="0"/>
        <w:jc w:val="both"/>
        <w:rPr>
          <w:rFonts w:ascii="Times New Roman" w:hAnsi="Times New Roman" w:cs="Times New Roman"/>
          <w:sz w:val="28"/>
          <w:szCs w:val="28"/>
          <w:lang w:val="en-US"/>
        </w:rPr>
      </w:pPr>
    </w:p>
    <w:p w14:paraId="6449D720" w14:textId="53F37F62" w:rsidR="00B63179" w:rsidRPr="000E2B31" w:rsidRDefault="000E2B31" w:rsidP="000E2B31">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[72]</w:t>
      </w:r>
      <w:r>
        <w:rPr>
          <w:rFonts w:ascii="Times New Roman" w:hAnsi="Times New Roman" w:cs="Times New Roman"/>
          <w:sz w:val="28"/>
          <w:szCs w:val="28"/>
          <w:lang w:val="en-US"/>
        </w:rPr>
        <w:tab/>
      </w:r>
      <w:r w:rsidR="00880EC8" w:rsidRPr="000E2B31">
        <w:rPr>
          <w:rFonts w:ascii="Times New Roman" w:hAnsi="Times New Roman" w:cs="Times New Roman"/>
          <w:sz w:val="28"/>
          <w:szCs w:val="28"/>
          <w:lang w:val="en-US"/>
        </w:rPr>
        <w:t xml:space="preserve">The conclusion that the tender process in effect </w:t>
      </w:r>
      <w:r w:rsidR="00BB18FE" w:rsidRPr="000E2B31">
        <w:rPr>
          <w:rFonts w:ascii="Times New Roman" w:hAnsi="Times New Roman" w:cs="Times New Roman"/>
          <w:sz w:val="28"/>
          <w:szCs w:val="28"/>
          <w:lang w:val="en-US"/>
        </w:rPr>
        <w:t>had</w:t>
      </w:r>
      <w:r w:rsidR="00880EC8" w:rsidRPr="000E2B31">
        <w:rPr>
          <w:rFonts w:ascii="Times New Roman" w:hAnsi="Times New Roman" w:cs="Times New Roman"/>
          <w:sz w:val="28"/>
          <w:szCs w:val="28"/>
          <w:lang w:val="en-US"/>
        </w:rPr>
        <w:t xml:space="preserve"> to be set aside for this reason primarily</w:t>
      </w:r>
      <w:r w:rsidR="00CA218A" w:rsidRPr="000E2B31">
        <w:rPr>
          <w:rFonts w:ascii="Times New Roman" w:hAnsi="Times New Roman" w:cs="Times New Roman"/>
          <w:sz w:val="28"/>
          <w:szCs w:val="28"/>
          <w:lang w:val="en-US"/>
        </w:rPr>
        <w:t xml:space="preserve"> (without </w:t>
      </w:r>
      <w:r w:rsidR="00AB601F" w:rsidRPr="000E2B31">
        <w:rPr>
          <w:rFonts w:ascii="Times New Roman" w:hAnsi="Times New Roman" w:cs="Times New Roman"/>
          <w:sz w:val="28"/>
          <w:szCs w:val="28"/>
          <w:lang w:val="en-US"/>
        </w:rPr>
        <w:t>the court below</w:t>
      </w:r>
      <w:r w:rsidR="00CA218A" w:rsidRPr="000E2B31">
        <w:rPr>
          <w:rFonts w:ascii="Times New Roman" w:hAnsi="Times New Roman" w:cs="Times New Roman"/>
          <w:sz w:val="28"/>
          <w:szCs w:val="28"/>
          <w:lang w:val="en-US"/>
        </w:rPr>
        <w:t xml:space="preserve"> having pertinently pronounced on the issue </w:t>
      </w:r>
      <w:r w:rsidR="00202A52" w:rsidRPr="000E2B31">
        <w:rPr>
          <w:rFonts w:ascii="Times New Roman" w:hAnsi="Times New Roman" w:cs="Times New Roman"/>
          <w:sz w:val="28"/>
          <w:szCs w:val="28"/>
          <w:lang w:val="en-US"/>
        </w:rPr>
        <w:t>of the</w:t>
      </w:r>
      <w:r w:rsidR="00BB18FE" w:rsidRPr="000E2B31">
        <w:rPr>
          <w:rFonts w:ascii="Times New Roman" w:hAnsi="Times New Roman" w:cs="Times New Roman"/>
          <w:sz w:val="28"/>
          <w:szCs w:val="28"/>
          <w:lang w:val="en-US"/>
        </w:rPr>
        <w:t xml:space="preserve"> application of the impugned risk assessment</w:t>
      </w:r>
      <w:r w:rsidR="00724539" w:rsidRPr="000E2B31">
        <w:rPr>
          <w:rFonts w:ascii="Times New Roman" w:hAnsi="Times New Roman" w:cs="Times New Roman"/>
          <w:sz w:val="28"/>
          <w:szCs w:val="28"/>
          <w:lang w:val="en-US"/>
        </w:rPr>
        <w:t xml:space="preserve"> or the concept of objective criteria</w:t>
      </w:r>
      <w:r w:rsidR="00253FDD" w:rsidRPr="000E2B31">
        <w:rPr>
          <w:rFonts w:ascii="Times New Roman" w:hAnsi="Times New Roman" w:cs="Times New Roman"/>
          <w:sz w:val="28"/>
          <w:szCs w:val="28"/>
          <w:lang w:val="en-US"/>
        </w:rPr>
        <w:t>)</w:t>
      </w:r>
      <w:r w:rsidR="00BB18FE" w:rsidRPr="000E2B31">
        <w:rPr>
          <w:rFonts w:ascii="Times New Roman" w:hAnsi="Times New Roman" w:cs="Times New Roman"/>
          <w:sz w:val="28"/>
          <w:szCs w:val="28"/>
          <w:lang w:val="en-US"/>
        </w:rPr>
        <w:t xml:space="preserve"> led to an </w:t>
      </w:r>
      <w:r w:rsidR="00253FDD" w:rsidRPr="000E2B31">
        <w:rPr>
          <w:rFonts w:ascii="Times New Roman" w:hAnsi="Times New Roman" w:cs="Times New Roman"/>
          <w:sz w:val="28"/>
          <w:szCs w:val="28"/>
          <w:lang w:val="en-US"/>
        </w:rPr>
        <w:t>unsatisfactory</w:t>
      </w:r>
      <w:r w:rsidR="00BB18FE" w:rsidRPr="000E2B31">
        <w:rPr>
          <w:rFonts w:ascii="Times New Roman" w:hAnsi="Times New Roman" w:cs="Times New Roman"/>
          <w:sz w:val="28"/>
          <w:szCs w:val="28"/>
          <w:lang w:val="en-US"/>
        </w:rPr>
        <w:t xml:space="preserve"> outcome. </w:t>
      </w:r>
      <w:r w:rsidR="00880EC8" w:rsidRPr="000E2B31">
        <w:rPr>
          <w:rFonts w:ascii="Times New Roman" w:hAnsi="Times New Roman" w:cs="Times New Roman"/>
          <w:sz w:val="28"/>
          <w:szCs w:val="28"/>
          <w:lang w:val="en-US"/>
        </w:rPr>
        <w:t xml:space="preserve"> </w:t>
      </w:r>
      <w:r w:rsidR="00BB18FE" w:rsidRPr="000E2B31">
        <w:rPr>
          <w:rFonts w:ascii="Times New Roman" w:hAnsi="Times New Roman" w:cs="Times New Roman"/>
          <w:sz w:val="28"/>
          <w:szCs w:val="28"/>
          <w:lang w:val="en-US"/>
        </w:rPr>
        <w:t>In this regard,</w:t>
      </w:r>
      <w:r w:rsidR="000F1AEE" w:rsidRPr="000E2B31">
        <w:rPr>
          <w:rFonts w:ascii="Times New Roman" w:hAnsi="Times New Roman" w:cs="Times New Roman"/>
          <w:sz w:val="28"/>
          <w:szCs w:val="28"/>
          <w:lang w:val="en-US"/>
        </w:rPr>
        <w:t xml:space="preserve"> although the court </w:t>
      </w:r>
      <w:r w:rsidR="000F1AEE" w:rsidRPr="000E2B31">
        <w:rPr>
          <w:rFonts w:ascii="Times New Roman" w:hAnsi="Times New Roman" w:cs="Times New Roman"/>
          <w:i/>
          <w:iCs/>
          <w:sz w:val="28"/>
          <w:szCs w:val="28"/>
          <w:lang w:val="en-US"/>
        </w:rPr>
        <w:t>a quo</w:t>
      </w:r>
      <w:r w:rsidR="000F1AEE" w:rsidRPr="000E2B31">
        <w:rPr>
          <w:rFonts w:ascii="Times New Roman" w:hAnsi="Times New Roman" w:cs="Times New Roman"/>
          <w:sz w:val="28"/>
          <w:szCs w:val="28"/>
          <w:lang w:val="en-US"/>
        </w:rPr>
        <w:t xml:space="preserve"> had </w:t>
      </w:r>
      <w:r w:rsidR="00BB18FE" w:rsidRPr="000E2B31">
        <w:rPr>
          <w:rFonts w:ascii="Times New Roman" w:hAnsi="Times New Roman" w:cs="Times New Roman"/>
          <w:sz w:val="28"/>
          <w:szCs w:val="28"/>
          <w:lang w:val="en-US"/>
        </w:rPr>
        <w:t xml:space="preserve">discretely </w:t>
      </w:r>
      <w:r w:rsidR="000F1AEE" w:rsidRPr="000E2B31">
        <w:rPr>
          <w:rFonts w:ascii="Times New Roman" w:hAnsi="Times New Roman" w:cs="Times New Roman"/>
          <w:sz w:val="28"/>
          <w:szCs w:val="28"/>
          <w:lang w:val="en-US"/>
        </w:rPr>
        <w:t>found that the second and third respondents</w:t>
      </w:r>
      <w:r w:rsidR="00BB18FE" w:rsidRPr="000E2B31">
        <w:rPr>
          <w:rFonts w:ascii="Times New Roman" w:hAnsi="Times New Roman" w:cs="Times New Roman"/>
          <w:sz w:val="28"/>
          <w:szCs w:val="28"/>
          <w:lang w:val="en-US"/>
        </w:rPr>
        <w:t>’ bids</w:t>
      </w:r>
      <w:r w:rsidR="000F1AEE" w:rsidRPr="000E2B31">
        <w:rPr>
          <w:rFonts w:ascii="Times New Roman" w:hAnsi="Times New Roman" w:cs="Times New Roman"/>
          <w:sz w:val="28"/>
          <w:szCs w:val="28"/>
          <w:lang w:val="en-US"/>
        </w:rPr>
        <w:t xml:space="preserve"> should have been disqualified,</w:t>
      </w:r>
      <w:r w:rsidR="00724539" w:rsidRPr="000E2B31">
        <w:rPr>
          <w:rFonts w:ascii="Times New Roman" w:hAnsi="Times New Roman" w:cs="Times New Roman"/>
          <w:sz w:val="28"/>
          <w:szCs w:val="28"/>
          <w:lang w:val="en-US"/>
        </w:rPr>
        <w:t xml:space="preserve"> and by implication that the tender as a matter of formality should have been awarded to the first respondent who was the highest scoring bidder,</w:t>
      </w:r>
      <w:r w:rsidR="000F1AEE" w:rsidRPr="000E2B31">
        <w:rPr>
          <w:rFonts w:ascii="Times New Roman" w:hAnsi="Times New Roman" w:cs="Times New Roman"/>
          <w:sz w:val="28"/>
          <w:szCs w:val="28"/>
          <w:lang w:val="en-US"/>
        </w:rPr>
        <w:t xml:space="preserve"> </w:t>
      </w:r>
      <w:r w:rsidR="00BB18FE" w:rsidRPr="000E2B31">
        <w:rPr>
          <w:rFonts w:ascii="Times New Roman" w:hAnsi="Times New Roman" w:cs="Times New Roman"/>
          <w:sz w:val="28"/>
          <w:szCs w:val="28"/>
          <w:lang w:val="en-US"/>
        </w:rPr>
        <w:t>it</w:t>
      </w:r>
      <w:r w:rsidR="000F1AEE" w:rsidRPr="000E2B31">
        <w:rPr>
          <w:rFonts w:ascii="Times New Roman" w:hAnsi="Times New Roman" w:cs="Times New Roman"/>
          <w:sz w:val="28"/>
          <w:szCs w:val="28"/>
          <w:lang w:val="en-US"/>
        </w:rPr>
        <w:t xml:space="preserve"> ordered that the matter be referred back to the Department for </w:t>
      </w:r>
      <w:r w:rsidR="00BB18FE" w:rsidRPr="000E2B31">
        <w:rPr>
          <w:rFonts w:ascii="Times New Roman" w:hAnsi="Times New Roman" w:cs="Times New Roman"/>
          <w:i/>
          <w:iCs/>
          <w:sz w:val="28"/>
          <w:szCs w:val="28"/>
          <w:lang w:val="en-US"/>
        </w:rPr>
        <w:t>reconsideration</w:t>
      </w:r>
      <w:r w:rsidR="001F3E9A" w:rsidRPr="000E2B31">
        <w:rPr>
          <w:rFonts w:ascii="Times New Roman" w:hAnsi="Times New Roman" w:cs="Times New Roman"/>
          <w:sz w:val="28"/>
          <w:szCs w:val="28"/>
          <w:lang w:val="en-US"/>
        </w:rPr>
        <w:t>.</w:t>
      </w:r>
    </w:p>
    <w:p w14:paraId="3D4C7DC7" w14:textId="77777777" w:rsidR="00B63179" w:rsidRDefault="00B63179" w:rsidP="00B63179">
      <w:pPr>
        <w:pStyle w:val="ListParagraph"/>
        <w:tabs>
          <w:tab w:val="left" w:pos="709"/>
        </w:tabs>
        <w:spacing w:before="0" w:beforeAutospacing="0"/>
        <w:ind w:left="0"/>
        <w:jc w:val="both"/>
        <w:rPr>
          <w:rFonts w:ascii="Times New Roman" w:hAnsi="Times New Roman" w:cs="Times New Roman"/>
          <w:sz w:val="28"/>
          <w:szCs w:val="28"/>
          <w:lang w:val="en-US"/>
        </w:rPr>
      </w:pPr>
    </w:p>
    <w:p w14:paraId="7C04A36B" w14:textId="36CA351A" w:rsidR="00B63179" w:rsidRDefault="00B63179" w:rsidP="00B63179">
      <w:pPr>
        <w:spacing w:before="0" w:beforeAutospacing="0"/>
        <w:contextualSpacing/>
        <w:jc w:val="both"/>
        <w:rPr>
          <w:rFonts w:ascii="Times New Roman" w:hAnsi="Times New Roman" w:cs="Times New Roman"/>
          <w:sz w:val="28"/>
          <w:szCs w:val="28"/>
          <w:u w:val="single"/>
          <w:lang w:val="en-US"/>
        </w:rPr>
      </w:pPr>
      <w:r w:rsidRPr="00C825A0">
        <w:rPr>
          <w:rFonts w:ascii="Times New Roman" w:hAnsi="Times New Roman" w:cs="Times New Roman"/>
          <w:sz w:val="28"/>
          <w:szCs w:val="28"/>
          <w:u w:val="single"/>
          <w:lang w:val="en-US"/>
        </w:rPr>
        <w:t>The appeal</w:t>
      </w:r>
      <w:r w:rsidR="00A6636C">
        <w:rPr>
          <w:rFonts w:ascii="Times New Roman" w:hAnsi="Times New Roman" w:cs="Times New Roman"/>
          <w:sz w:val="28"/>
          <w:szCs w:val="28"/>
          <w:u w:val="single"/>
          <w:lang w:val="en-US"/>
        </w:rPr>
        <w:t>:</w:t>
      </w:r>
    </w:p>
    <w:p w14:paraId="2A749668" w14:textId="77777777" w:rsidR="00B63179" w:rsidRDefault="00B63179" w:rsidP="00B63179">
      <w:pPr>
        <w:pStyle w:val="ListParagraph"/>
        <w:tabs>
          <w:tab w:val="left" w:pos="709"/>
        </w:tabs>
        <w:spacing w:before="0" w:beforeAutospacing="0"/>
        <w:ind w:left="0"/>
        <w:jc w:val="both"/>
        <w:rPr>
          <w:rFonts w:ascii="Times New Roman" w:hAnsi="Times New Roman" w:cs="Times New Roman"/>
          <w:sz w:val="28"/>
          <w:szCs w:val="28"/>
          <w:lang w:val="en-US"/>
        </w:rPr>
      </w:pPr>
    </w:p>
    <w:p w14:paraId="267C2B8E" w14:textId="4FEAB837" w:rsidR="009366C9" w:rsidRPr="000E2B31" w:rsidRDefault="000E2B31" w:rsidP="000E2B31">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[73]</w:t>
      </w:r>
      <w:r>
        <w:rPr>
          <w:rFonts w:ascii="Times New Roman" w:hAnsi="Times New Roman" w:cs="Times New Roman"/>
          <w:sz w:val="28"/>
          <w:szCs w:val="28"/>
          <w:lang w:val="en-US"/>
        </w:rPr>
        <w:tab/>
      </w:r>
      <w:r w:rsidR="00330FAE" w:rsidRPr="000E2B31">
        <w:rPr>
          <w:rFonts w:ascii="Times New Roman" w:hAnsi="Times New Roman" w:cs="Times New Roman"/>
          <w:sz w:val="28"/>
          <w:szCs w:val="28"/>
          <w:lang w:val="en-US"/>
        </w:rPr>
        <w:t>The parties fairly agreed that whatever reasoning the court</w:t>
      </w:r>
      <w:r w:rsidR="00687967" w:rsidRPr="000E2B31">
        <w:rPr>
          <w:rFonts w:ascii="Times New Roman" w:hAnsi="Times New Roman" w:cs="Times New Roman"/>
          <w:sz w:val="28"/>
          <w:szCs w:val="28"/>
          <w:lang w:val="en-US"/>
        </w:rPr>
        <w:t xml:space="preserve"> </w:t>
      </w:r>
      <w:r w:rsidR="00687967" w:rsidRPr="000E2B31">
        <w:rPr>
          <w:rFonts w:ascii="Times New Roman" w:hAnsi="Times New Roman" w:cs="Times New Roman"/>
          <w:i/>
          <w:iCs/>
          <w:sz w:val="28"/>
          <w:szCs w:val="28"/>
          <w:lang w:val="en-US"/>
        </w:rPr>
        <w:t>a quo</w:t>
      </w:r>
      <w:r w:rsidR="00330FAE" w:rsidRPr="000E2B31">
        <w:rPr>
          <w:rFonts w:ascii="Times New Roman" w:hAnsi="Times New Roman" w:cs="Times New Roman"/>
          <w:sz w:val="28"/>
          <w:szCs w:val="28"/>
          <w:lang w:val="en-US"/>
        </w:rPr>
        <w:t xml:space="preserve"> had applied</w:t>
      </w:r>
      <w:r w:rsidR="00687967" w:rsidRPr="000E2B31">
        <w:rPr>
          <w:rFonts w:ascii="Times New Roman" w:hAnsi="Times New Roman" w:cs="Times New Roman"/>
          <w:sz w:val="28"/>
          <w:szCs w:val="28"/>
          <w:lang w:val="en-US"/>
        </w:rPr>
        <w:t>,</w:t>
      </w:r>
      <w:r w:rsidR="00330FAE" w:rsidRPr="000E2B31">
        <w:rPr>
          <w:rFonts w:ascii="Times New Roman" w:hAnsi="Times New Roman" w:cs="Times New Roman"/>
          <w:sz w:val="28"/>
          <w:szCs w:val="28"/>
          <w:lang w:val="en-US"/>
        </w:rPr>
        <w:t xml:space="preserve"> </w:t>
      </w:r>
      <w:r w:rsidR="0014398B" w:rsidRPr="000E2B31">
        <w:rPr>
          <w:rFonts w:ascii="Times New Roman" w:hAnsi="Times New Roman" w:cs="Times New Roman"/>
          <w:sz w:val="28"/>
          <w:szCs w:val="28"/>
          <w:lang w:val="en-US"/>
        </w:rPr>
        <w:t xml:space="preserve">the focus </w:t>
      </w:r>
      <w:r w:rsidR="000E467A" w:rsidRPr="000E2B31">
        <w:rPr>
          <w:rFonts w:ascii="Times New Roman" w:hAnsi="Times New Roman" w:cs="Times New Roman"/>
          <w:sz w:val="28"/>
          <w:szCs w:val="28"/>
          <w:lang w:val="en-US"/>
        </w:rPr>
        <w:t xml:space="preserve">on appeal </w:t>
      </w:r>
      <w:r w:rsidR="0014398B" w:rsidRPr="000E2B31">
        <w:rPr>
          <w:rFonts w:ascii="Times New Roman" w:hAnsi="Times New Roman" w:cs="Times New Roman"/>
          <w:sz w:val="28"/>
          <w:szCs w:val="28"/>
          <w:lang w:val="en-US"/>
        </w:rPr>
        <w:t xml:space="preserve">should rather be on determining whether </w:t>
      </w:r>
      <w:r w:rsidR="00F5253A" w:rsidRPr="000E2B31">
        <w:rPr>
          <w:rFonts w:ascii="Times New Roman" w:hAnsi="Times New Roman" w:cs="Times New Roman"/>
          <w:sz w:val="28"/>
          <w:szCs w:val="28"/>
          <w:lang w:val="en-US"/>
        </w:rPr>
        <w:t xml:space="preserve">it </w:t>
      </w:r>
      <w:r w:rsidR="000E467A" w:rsidRPr="000E2B31">
        <w:rPr>
          <w:rFonts w:ascii="Times New Roman" w:hAnsi="Times New Roman" w:cs="Times New Roman"/>
          <w:sz w:val="28"/>
          <w:szCs w:val="28"/>
          <w:lang w:val="en-US"/>
        </w:rPr>
        <w:t xml:space="preserve">had </w:t>
      </w:r>
      <w:r w:rsidR="00DF6FCD" w:rsidRPr="000E2B31">
        <w:rPr>
          <w:rFonts w:ascii="Times New Roman" w:hAnsi="Times New Roman" w:cs="Times New Roman"/>
          <w:sz w:val="28"/>
          <w:szCs w:val="28"/>
          <w:lang w:val="en-US"/>
        </w:rPr>
        <w:t xml:space="preserve">reached </w:t>
      </w:r>
      <w:r w:rsidR="00F5253A" w:rsidRPr="000E2B31">
        <w:rPr>
          <w:rFonts w:ascii="Times New Roman" w:hAnsi="Times New Roman" w:cs="Times New Roman"/>
          <w:sz w:val="28"/>
          <w:szCs w:val="28"/>
          <w:lang w:val="en-US"/>
        </w:rPr>
        <w:t>the proper outcome</w:t>
      </w:r>
      <w:r w:rsidR="00DF6FCD" w:rsidRPr="000E2B31">
        <w:rPr>
          <w:rFonts w:ascii="Times New Roman" w:hAnsi="Times New Roman" w:cs="Times New Roman"/>
          <w:sz w:val="28"/>
          <w:szCs w:val="28"/>
          <w:lang w:val="en-US"/>
        </w:rPr>
        <w:t xml:space="preserve"> in the circumstances</w:t>
      </w:r>
      <w:r w:rsidR="0073131E" w:rsidRPr="000E2B31">
        <w:rPr>
          <w:rFonts w:ascii="Times New Roman" w:hAnsi="Times New Roman" w:cs="Times New Roman"/>
          <w:sz w:val="28"/>
          <w:szCs w:val="28"/>
          <w:lang w:val="en-US"/>
        </w:rPr>
        <w:t xml:space="preserve"> by setting aside</w:t>
      </w:r>
      <w:r w:rsidR="00724539" w:rsidRPr="000E2B31">
        <w:rPr>
          <w:rFonts w:ascii="Times New Roman" w:hAnsi="Times New Roman" w:cs="Times New Roman"/>
          <w:sz w:val="28"/>
          <w:szCs w:val="28"/>
          <w:lang w:val="en-US"/>
        </w:rPr>
        <w:t xml:space="preserve"> each of</w:t>
      </w:r>
      <w:r w:rsidR="0073131E" w:rsidRPr="000E2B31">
        <w:rPr>
          <w:rFonts w:ascii="Times New Roman" w:hAnsi="Times New Roman" w:cs="Times New Roman"/>
          <w:sz w:val="28"/>
          <w:szCs w:val="28"/>
          <w:lang w:val="en-US"/>
        </w:rPr>
        <w:t xml:space="preserve"> the impugned </w:t>
      </w:r>
      <w:r w:rsidR="000D2202" w:rsidRPr="000E2B31">
        <w:rPr>
          <w:rFonts w:ascii="Times New Roman" w:hAnsi="Times New Roman" w:cs="Times New Roman"/>
          <w:sz w:val="28"/>
          <w:szCs w:val="28"/>
          <w:lang w:val="en-US"/>
        </w:rPr>
        <w:t>decisions under</w:t>
      </w:r>
      <w:r w:rsidR="0073131E" w:rsidRPr="000E2B31">
        <w:rPr>
          <w:rFonts w:ascii="Times New Roman" w:hAnsi="Times New Roman" w:cs="Times New Roman"/>
          <w:sz w:val="28"/>
          <w:szCs w:val="28"/>
          <w:lang w:val="en-US"/>
        </w:rPr>
        <w:t xml:space="preserve"> scrutiny before it</w:t>
      </w:r>
      <w:r w:rsidR="00DF6FCD" w:rsidRPr="000E2B31">
        <w:rPr>
          <w:rFonts w:ascii="Times New Roman" w:hAnsi="Times New Roman" w:cs="Times New Roman"/>
          <w:sz w:val="28"/>
          <w:szCs w:val="28"/>
          <w:lang w:val="en-US"/>
        </w:rPr>
        <w:t>.</w:t>
      </w:r>
    </w:p>
    <w:p w14:paraId="7EFC4EE5" w14:textId="77777777" w:rsidR="009366C9" w:rsidRDefault="009366C9" w:rsidP="009366C9">
      <w:pPr>
        <w:pStyle w:val="ListParagraph"/>
        <w:tabs>
          <w:tab w:val="left" w:pos="709"/>
        </w:tabs>
        <w:spacing w:before="0" w:beforeAutospacing="0"/>
        <w:ind w:left="0"/>
        <w:jc w:val="both"/>
        <w:rPr>
          <w:rFonts w:ascii="Times New Roman" w:hAnsi="Times New Roman" w:cs="Times New Roman"/>
          <w:sz w:val="28"/>
          <w:szCs w:val="28"/>
          <w:lang w:val="en-US"/>
        </w:rPr>
      </w:pPr>
    </w:p>
    <w:p w14:paraId="25E09B5C" w14:textId="32A2CC0A" w:rsidR="000E467A" w:rsidRPr="000E2B31" w:rsidRDefault="000E2B31" w:rsidP="000E2B31">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[74]</w:t>
      </w:r>
      <w:r>
        <w:rPr>
          <w:rFonts w:ascii="Times New Roman" w:hAnsi="Times New Roman" w:cs="Times New Roman"/>
          <w:sz w:val="28"/>
          <w:szCs w:val="28"/>
          <w:lang w:val="en-US"/>
        </w:rPr>
        <w:tab/>
      </w:r>
      <w:r w:rsidR="00DF6FCD" w:rsidRPr="000E2B31">
        <w:rPr>
          <w:rFonts w:ascii="Times New Roman" w:hAnsi="Times New Roman" w:cs="Times New Roman"/>
          <w:sz w:val="28"/>
          <w:szCs w:val="28"/>
          <w:lang w:val="en-US"/>
        </w:rPr>
        <w:t xml:space="preserve"> </w:t>
      </w:r>
      <w:r w:rsidR="0073131E" w:rsidRPr="000E2B31">
        <w:rPr>
          <w:rFonts w:ascii="Times New Roman" w:hAnsi="Times New Roman" w:cs="Times New Roman"/>
          <w:sz w:val="28"/>
          <w:szCs w:val="28"/>
          <w:lang w:val="en-US"/>
        </w:rPr>
        <w:t>That le</w:t>
      </w:r>
      <w:r w:rsidR="000D2202" w:rsidRPr="000E2B31">
        <w:rPr>
          <w:rFonts w:ascii="Times New Roman" w:hAnsi="Times New Roman" w:cs="Times New Roman"/>
          <w:sz w:val="28"/>
          <w:szCs w:val="28"/>
          <w:lang w:val="en-US"/>
        </w:rPr>
        <w:t>aves</w:t>
      </w:r>
      <w:r w:rsidR="0073131E" w:rsidRPr="000E2B31">
        <w:rPr>
          <w:rFonts w:ascii="Times New Roman" w:hAnsi="Times New Roman" w:cs="Times New Roman"/>
          <w:sz w:val="28"/>
          <w:szCs w:val="28"/>
          <w:lang w:val="en-US"/>
        </w:rPr>
        <w:t xml:space="preserve"> the next consideration</w:t>
      </w:r>
      <w:r w:rsidR="002156C0" w:rsidRPr="000E2B31">
        <w:rPr>
          <w:rFonts w:ascii="Times New Roman" w:hAnsi="Times New Roman" w:cs="Times New Roman"/>
          <w:sz w:val="28"/>
          <w:szCs w:val="28"/>
          <w:lang w:val="en-US"/>
        </w:rPr>
        <w:t>,</w:t>
      </w:r>
      <w:r w:rsidR="0073131E" w:rsidRPr="000E2B31">
        <w:rPr>
          <w:rFonts w:ascii="Times New Roman" w:hAnsi="Times New Roman" w:cs="Times New Roman"/>
          <w:sz w:val="28"/>
          <w:szCs w:val="28"/>
          <w:lang w:val="en-US"/>
        </w:rPr>
        <w:t xml:space="preserve"> which </w:t>
      </w:r>
      <w:r w:rsidR="002156C0" w:rsidRPr="000E2B31">
        <w:rPr>
          <w:rFonts w:ascii="Times New Roman" w:hAnsi="Times New Roman" w:cs="Times New Roman"/>
          <w:sz w:val="28"/>
          <w:szCs w:val="28"/>
          <w:lang w:val="en-US"/>
        </w:rPr>
        <w:t xml:space="preserve">is whether the court </w:t>
      </w:r>
      <w:r w:rsidR="00253FDD" w:rsidRPr="000E2B31">
        <w:rPr>
          <w:rFonts w:ascii="Times New Roman" w:hAnsi="Times New Roman" w:cs="Times New Roman"/>
          <w:i/>
          <w:iCs/>
          <w:sz w:val="28"/>
          <w:szCs w:val="28"/>
          <w:lang w:val="en-US"/>
        </w:rPr>
        <w:t>a quo</w:t>
      </w:r>
      <w:r w:rsidR="00253FDD" w:rsidRPr="000E2B31">
        <w:rPr>
          <w:rFonts w:ascii="Times New Roman" w:hAnsi="Times New Roman" w:cs="Times New Roman"/>
          <w:sz w:val="28"/>
          <w:szCs w:val="28"/>
          <w:lang w:val="en-US"/>
        </w:rPr>
        <w:t xml:space="preserve"> </w:t>
      </w:r>
      <w:r w:rsidR="002156C0" w:rsidRPr="000E2B31">
        <w:rPr>
          <w:rFonts w:ascii="Times New Roman" w:hAnsi="Times New Roman" w:cs="Times New Roman"/>
          <w:sz w:val="28"/>
          <w:szCs w:val="28"/>
          <w:lang w:val="en-US"/>
        </w:rPr>
        <w:t xml:space="preserve">was correct to have granted the </w:t>
      </w:r>
      <w:r w:rsidR="0073131E" w:rsidRPr="000E2B31">
        <w:rPr>
          <w:rFonts w:ascii="Times New Roman" w:hAnsi="Times New Roman" w:cs="Times New Roman"/>
          <w:sz w:val="28"/>
          <w:szCs w:val="28"/>
          <w:lang w:val="en-US"/>
        </w:rPr>
        <w:t xml:space="preserve">remedy </w:t>
      </w:r>
      <w:r w:rsidR="002156C0" w:rsidRPr="000E2B31">
        <w:rPr>
          <w:rFonts w:ascii="Times New Roman" w:hAnsi="Times New Roman" w:cs="Times New Roman"/>
          <w:sz w:val="28"/>
          <w:szCs w:val="28"/>
          <w:lang w:val="en-US"/>
        </w:rPr>
        <w:t xml:space="preserve">it did, assuming </w:t>
      </w:r>
      <w:r w:rsidR="004D7B7A" w:rsidRPr="000E2B31">
        <w:rPr>
          <w:rFonts w:ascii="Times New Roman" w:hAnsi="Times New Roman" w:cs="Times New Roman"/>
          <w:sz w:val="28"/>
          <w:szCs w:val="28"/>
          <w:lang w:val="en-US"/>
        </w:rPr>
        <w:t xml:space="preserve">that </w:t>
      </w:r>
      <w:r w:rsidR="002156C0" w:rsidRPr="000E2B31">
        <w:rPr>
          <w:rFonts w:ascii="Times New Roman" w:hAnsi="Times New Roman" w:cs="Times New Roman"/>
          <w:sz w:val="28"/>
          <w:szCs w:val="28"/>
          <w:lang w:val="en-US"/>
        </w:rPr>
        <w:t>its</w:t>
      </w:r>
      <w:r w:rsidR="0073131E" w:rsidRPr="000E2B31">
        <w:rPr>
          <w:rFonts w:ascii="Times New Roman" w:hAnsi="Times New Roman" w:cs="Times New Roman"/>
          <w:sz w:val="28"/>
          <w:szCs w:val="28"/>
          <w:lang w:val="en-US"/>
        </w:rPr>
        <w:t xml:space="preserve"> </w:t>
      </w:r>
      <w:r w:rsidR="002156C0" w:rsidRPr="000E2B31">
        <w:rPr>
          <w:rFonts w:ascii="Times New Roman" w:hAnsi="Times New Roman" w:cs="Times New Roman"/>
          <w:sz w:val="28"/>
          <w:szCs w:val="28"/>
          <w:lang w:val="en-US"/>
        </w:rPr>
        <w:t>primary finding</w:t>
      </w:r>
      <w:r w:rsidR="007F7628" w:rsidRPr="000E2B31">
        <w:rPr>
          <w:rFonts w:ascii="Times New Roman" w:hAnsi="Times New Roman" w:cs="Times New Roman"/>
          <w:sz w:val="28"/>
          <w:szCs w:val="28"/>
          <w:lang w:val="en-US"/>
        </w:rPr>
        <w:t xml:space="preserve">s in respect of </w:t>
      </w:r>
      <w:r w:rsidR="00AB601F" w:rsidRPr="000E2B31">
        <w:rPr>
          <w:rFonts w:ascii="Times New Roman" w:hAnsi="Times New Roman" w:cs="Times New Roman"/>
          <w:sz w:val="28"/>
          <w:szCs w:val="28"/>
          <w:lang w:val="en-US"/>
        </w:rPr>
        <w:t xml:space="preserve">each of </w:t>
      </w:r>
      <w:r w:rsidR="00724539" w:rsidRPr="000E2B31">
        <w:rPr>
          <w:rFonts w:ascii="Times New Roman" w:hAnsi="Times New Roman" w:cs="Times New Roman"/>
          <w:sz w:val="28"/>
          <w:szCs w:val="28"/>
          <w:lang w:val="en-US"/>
        </w:rPr>
        <w:t xml:space="preserve">the </w:t>
      </w:r>
      <w:r w:rsidR="007F7628" w:rsidRPr="000E2B31">
        <w:rPr>
          <w:rFonts w:ascii="Times New Roman" w:hAnsi="Times New Roman" w:cs="Times New Roman"/>
          <w:sz w:val="28"/>
          <w:szCs w:val="28"/>
          <w:lang w:val="en-US"/>
        </w:rPr>
        <w:t>impugned decision</w:t>
      </w:r>
      <w:r w:rsidR="00724539" w:rsidRPr="000E2B31">
        <w:rPr>
          <w:rFonts w:ascii="Times New Roman" w:hAnsi="Times New Roman" w:cs="Times New Roman"/>
          <w:sz w:val="28"/>
          <w:szCs w:val="28"/>
          <w:lang w:val="en-US"/>
        </w:rPr>
        <w:t>s</w:t>
      </w:r>
      <w:r w:rsidR="007F7628" w:rsidRPr="000E2B31">
        <w:rPr>
          <w:rFonts w:ascii="Times New Roman" w:hAnsi="Times New Roman" w:cs="Times New Roman"/>
          <w:sz w:val="28"/>
          <w:szCs w:val="28"/>
          <w:lang w:val="en-US"/>
        </w:rPr>
        <w:t xml:space="preserve"> were</w:t>
      </w:r>
      <w:r w:rsidR="002156C0" w:rsidRPr="000E2B31">
        <w:rPr>
          <w:rFonts w:ascii="Times New Roman" w:hAnsi="Times New Roman" w:cs="Times New Roman"/>
          <w:sz w:val="28"/>
          <w:szCs w:val="28"/>
          <w:lang w:val="en-US"/>
        </w:rPr>
        <w:t xml:space="preserve"> correct</w:t>
      </w:r>
      <w:r w:rsidR="000D2202" w:rsidRPr="000E2B31">
        <w:rPr>
          <w:rFonts w:ascii="Times New Roman" w:hAnsi="Times New Roman" w:cs="Times New Roman"/>
          <w:sz w:val="28"/>
          <w:szCs w:val="28"/>
          <w:lang w:val="en-US"/>
        </w:rPr>
        <w:t>.</w:t>
      </w:r>
      <w:r w:rsidR="00253FDD">
        <w:rPr>
          <w:rStyle w:val="FootnoteReference"/>
          <w:rFonts w:ascii="Times New Roman" w:hAnsi="Times New Roman" w:cs="Times New Roman"/>
          <w:sz w:val="28"/>
          <w:szCs w:val="28"/>
          <w:lang w:val="en-US"/>
        </w:rPr>
        <w:footnoteReference w:id="27"/>
      </w:r>
    </w:p>
    <w:p w14:paraId="34B4CE39" w14:textId="77777777" w:rsidR="000E467A" w:rsidRPr="000E467A" w:rsidRDefault="000E467A" w:rsidP="000E467A">
      <w:pPr>
        <w:pStyle w:val="ListParagraph"/>
        <w:rPr>
          <w:rFonts w:ascii="Times New Roman" w:hAnsi="Times New Roman" w:cs="Times New Roman"/>
          <w:sz w:val="28"/>
          <w:szCs w:val="28"/>
          <w:lang w:val="en-US"/>
        </w:rPr>
      </w:pPr>
    </w:p>
    <w:p w14:paraId="2DDE7CB5" w14:textId="783CC308" w:rsidR="00CB74B0" w:rsidRPr="000E2B31" w:rsidRDefault="000E2B31" w:rsidP="000E2B31">
      <w:pPr>
        <w:tabs>
          <w:tab w:val="left" w:pos="709"/>
        </w:tabs>
        <w:spacing w:before="0" w:beforeAutospacing="0"/>
        <w:jc w:val="both"/>
        <w:rPr>
          <w:rFonts w:ascii="Times New Roman" w:hAnsi="Times New Roman" w:cs="Times New Roman"/>
          <w:sz w:val="28"/>
          <w:szCs w:val="28"/>
          <w:lang w:val="en-US"/>
        </w:rPr>
      </w:pPr>
      <w:r w:rsidRPr="009366C9">
        <w:rPr>
          <w:rFonts w:ascii="Times New Roman" w:hAnsi="Times New Roman" w:cs="Times New Roman"/>
          <w:sz w:val="28"/>
          <w:szCs w:val="28"/>
          <w:lang w:val="en-US"/>
        </w:rPr>
        <w:t>[75]</w:t>
      </w:r>
      <w:r w:rsidRPr="009366C9">
        <w:rPr>
          <w:rFonts w:ascii="Times New Roman" w:hAnsi="Times New Roman" w:cs="Times New Roman"/>
          <w:sz w:val="28"/>
          <w:szCs w:val="28"/>
          <w:lang w:val="en-US"/>
        </w:rPr>
        <w:tab/>
      </w:r>
      <w:r w:rsidR="00503165" w:rsidRPr="000E2B31">
        <w:rPr>
          <w:rFonts w:ascii="Times New Roman" w:hAnsi="Times New Roman" w:cs="Times New Roman"/>
          <w:sz w:val="28"/>
          <w:szCs w:val="28"/>
          <w:lang w:val="en-US"/>
        </w:rPr>
        <w:t xml:space="preserve">In its application for leave to appeal the appellant </w:t>
      </w:r>
      <w:r w:rsidR="00116371" w:rsidRPr="000E2B31">
        <w:rPr>
          <w:rFonts w:ascii="Times New Roman" w:hAnsi="Times New Roman" w:cs="Times New Roman"/>
          <w:sz w:val="28"/>
          <w:szCs w:val="28"/>
          <w:lang w:val="en-US"/>
        </w:rPr>
        <w:t>complained that</w:t>
      </w:r>
      <w:r w:rsidR="00DF6FCD" w:rsidRPr="000E2B31">
        <w:rPr>
          <w:rFonts w:ascii="Times New Roman" w:hAnsi="Times New Roman" w:cs="Times New Roman"/>
          <w:sz w:val="28"/>
          <w:szCs w:val="28"/>
          <w:lang w:val="en-US"/>
        </w:rPr>
        <w:t xml:space="preserve"> </w:t>
      </w:r>
      <w:r w:rsidR="00503165" w:rsidRPr="000E2B31">
        <w:rPr>
          <w:rFonts w:ascii="Times New Roman" w:hAnsi="Times New Roman" w:cs="Times New Roman"/>
          <w:sz w:val="28"/>
          <w:szCs w:val="28"/>
          <w:lang w:val="en-US"/>
        </w:rPr>
        <w:t>a rehearing was</w:t>
      </w:r>
      <w:r w:rsidR="009366C9" w:rsidRPr="000E2B31">
        <w:rPr>
          <w:rFonts w:ascii="Times New Roman" w:hAnsi="Times New Roman" w:cs="Times New Roman"/>
          <w:sz w:val="28"/>
          <w:szCs w:val="28"/>
          <w:lang w:val="en-US"/>
        </w:rPr>
        <w:t xml:space="preserve"> necessary</w:t>
      </w:r>
      <w:r w:rsidR="002156C0" w:rsidRPr="000E2B31">
        <w:rPr>
          <w:rFonts w:ascii="Times New Roman" w:hAnsi="Times New Roman" w:cs="Times New Roman"/>
          <w:sz w:val="28"/>
          <w:szCs w:val="28"/>
          <w:lang w:val="en-US"/>
        </w:rPr>
        <w:t xml:space="preserve"> </w:t>
      </w:r>
      <w:r w:rsidR="00DF6FCD" w:rsidRPr="000E2B31">
        <w:rPr>
          <w:rFonts w:ascii="Times New Roman" w:hAnsi="Times New Roman" w:cs="Times New Roman"/>
          <w:sz w:val="28"/>
          <w:szCs w:val="28"/>
          <w:lang w:val="en-US"/>
        </w:rPr>
        <w:t xml:space="preserve">because of the order of the court </w:t>
      </w:r>
      <w:r w:rsidR="00DF6FCD" w:rsidRPr="000E2B31">
        <w:rPr>
          <w:rFonts w:ascii="Times New Roman" w:hAnsi="Times New Roman" w:cs="Times New Roman"/>
          <w:i/>
          <w:iCs/>
          <w:sz w:val="28"/>
          <w:szCs w:val="28"/>
          <w:lang w:val="en-US"/>
        </w:rPr>
        <w:t>a quo</w:t>
      </w:r>
      <w:r w:rsidR="00DF6FCD" w:rsidRPr="000E2B31">
        <w:rPr>
          <w:rFonts w:ascii="Times New Roman" w:hAnsi="Times New Roman" w:cs="Times New Roman"/>
          <w:sz w:val="28"/>
          <w:szCs w:val="28"/>
          <w:lang w:val="en-US"/>
        </w:rPr>
        <w:t xml:space="preserve"> referring the </w:t>
      </w:r>
      <w:r w:rsidR="00330FAE" w:rsidRPr="000E2B31">
        <w:rPr>
          <w:rFonts w:ascii="Times New Roman" w:hAnsi="Times New Roman" w:cs="Times New Roman"/>
          <w:sz w:val="28"/>
          <w:szCs w:val="28"/>
          <w:lang w:val="en-US"/>
        </w:rPr>
        <w:t>matter back to the Department for</w:t>
      </w:r>
      <w:r w:rsidR="00330FAE" w:rsidRPr="000E2B31">
        <w:rPr>
          <w:rFonts w:ascii="Times New Roman" w:hAnsi="Times New Roman" w:cs="Times New Roman"/>
          <w:i/>
          <w:iCs/>
          <w:sz w:val="28"/>
          <w:szCs w:val="28"/>
          <w:lang w:val="en-US"/>
        </w:rPr>
        <w:t xml:space="preserve"> reconsideration</w:t>
      </w:r>
      <w:r w:rsidR="00330FAE" w:rsidRPr="000E2B31">
        <w:rPr>
          <w:rFonts w:ascii="Times New Roman" w:hAnsi="Times New Roman" w:cs="Times New Roman"/>
          <w:sz w:val="28"/>
          <w:szCs w:val="28"/>
          <w:lang w:val="en-US"/>
        </w:rPr>
        <w:t xml:space="preserve"> in terms of the provisions of </w:t>
      </w:r>
      <w:r w:rsidR="000D2202" w:rsidRPr="000E2B31">
        <w:rPr>
          <w:rFonts w:ascii="Times New Roman" w:hAnsi="Times New Roman" w:cs="Times New Roman"/>
          <w:sz w:val="28"/>
          <w:szCs w:val="28"/>
          <w:lang w:val="en-US"/>
        </w:rPr>
        <w:t>s</w:t>
      </w:r>
      <w:r w:rsidR="00330FAE" w:rsidRPr="000E2B31">
        <w:rPr>
          <w:rFonts w:ascii="Times New Roman" w:hAnsi="Times New Roman" w:cs="Times New Roman"/>
          <w:sz w:val="28"/>
          <w:szCs w:val="28"/>
          <w:lang w:val="en-US"/>
        </w:rPr>
        <w:t xml:space="preserve">ection 8 (1)(c)(i) </w:t>
      </w:r>
      <w:r w:rsidR="00330FAE" w:rsidRPr="000E2B31">
        <w:rPr>
          <w:rFonts w:ascii="Times New Roman" w:hAnsi="Times New Roman" w:cs="Times New Roman"/>
          <w:sz w:val="28"/>
          <w:szCs w:val="28"/>
          <w:lang w:val="en-US"/>
        </w:rPr>
        <w:lastRenderedPageBreak/>
        <w:t>of PAJA</w:t>
      </w:r>
      <w:r w:rsidR="009366C9" w:rsidRPr="000E2B31">
        <w:rPr>
          <w:rFonts w:ascii="Times New Roman" w:hAnsi="Times New Roman" w:cs="Times New Roman"/>
          <w:sz w:val="28"/>
          <w:szCs w:val="28"/>
          <w:lang w:val="en-US"/>
        </w:rPr>
        <w:t xml:space="preserve">. </w:t>
      </w:r>
      <w:r w:rsidR="00DF6FCD" w:rsidRPr="000E2B31">
        <w:rPr>
          <w:rFonts w:ascii="Times New Roman" w:hAnsi="Times New Roman" w:cs="Times New Roman"/>
          <w:sz w:val="28"/>
          <w:szCs w:val="28"/>
          <w:lang w:val="en-US"/>
        </w:rPr>
        <w:t xml:space="preserve"> </w:t>
      </w:r>
      <w:r w:rsidR="009366C9" w:rsidRPr="000E2B31">
        <w:rPr>
          <w:rFonts w:ascii="Times New Roman" w:hAnsi="Times New Roman" w:cs="Times New Roman"/>
          <w:sz w:val="28"/>
          <w:szCs w:val="28"/>
          <w:lang w:val="en-US"/>
        </w:rPr>
        <w:t>The appellant complained that this</w:t>
      </w:r>
      <w:r w:rsidR="00637F68" w:rsidRPr="000E2B31">
        <w:rPr>
          <w:rFonts w:ascii="Times New Roman" w:hAnsi="Times New Roman" w:cs="Times New Roman"/>
          <w:sz w:val="28"/>
          <w:szCs w:val="28"/>
          <w:lang w:val="en-US"/>
        </w:rPr>
        <w:t xml:space="preserve"> in itself </w:t>
      </w:r>
      <w:r w:rsidR="009366C9" w:rsidRPr="000E2B31">
        <w:rPr>
          <w:rFonts w:ascii="Times New Roman" w:hAnsi="Times New Roman" w:cs="Times New Roman"/>
          <w:sz w:val="28"/>
          <w:szCs w:val="28"/>
          <w:lang w:val="en-US"/>
        </w:rPr>
        <w:t>cause</w:t>
      </w:r>
      <w:r w:rsidR="00A10050" w:rsidRPr="000E2B31">
        <w:rPr>
          <w:rFonts w:ascii="Times New Roman" w:hAnsi="Times New Roman" w:cs="Times New Roman"/>
          <w:sz w:val="28"/>
          <w:szCs w:val="28"/>
          <w:lang w:val="en-US"/>
        </w:rPr>
        <w:t>d</w:t>
      </w:r>
      <w:r w:rsidR="00637F68" w:rsidRPr="000E2B31">
        <w:rPr>
          <w:rFonts w:ascii="Times New Roman" w:hAnsi="Times New Roman" w:cs="Times New Roman"/>
          <w:sz w:val="28"/>
          <w:szCs w:val="28"/>
          <w:lang w:val="en-US"/>
        </w:rPr>
        <w:t xml:space="preserve"> a conundrum to </w:t>
      </w:r>
      <w:r w:rsidR="009366C9" w:rsidRPr="000E2B31">
        <w:rPr>
          <w:rFonts w:ascii="Times New Roman" w:hAnsi="Times New Roman" w:cs="Times New Roman"/>
          <w:sz w:val="28"/>
          <w:szCs w:val="28"/>
          <w:lang w:val="en-US"/>
        </w:rPr>
        <w:t>i</w:t>
      </w:r>
      <w:r w:rsidR="000D2202" w:rsidRPr="000E2B31">
        <w:rPr>
          <w:rFonts w:ascii="Times New Roman" w:hAnsi="Times New Roman" w:cs="Times New Roman"/>
          <w:sz w:val="28"/>
          <w:szCs w:val="28"/>
          <w:lang w:val="en-US"/>
        </w:rPr>
        <w:t>t</w:t>
      </w:r>
      <w:r w:rsidR="00253FDD" w:rsidRPr="000E2B31">
        <w:rPr>
          <w:rFonts w:ascii="Times New Roman" w:hAnsi="Times New Roman" w:cs="Times New Roman"/>
          <w:sz w:val="28"/>
          <w:szCs w:val="28"/>
          <w:lang w:val="en-US"/>
        </w:rPr>
        <w:t xml:space="preserve"> yet Mr. Beyleveld who appeared for the appellant had </w:t>
      </w:r>
      <w:r w:rsidR="00B007B0" w:rsidRPr="000E2B31">
        <w:rPr>
          <w:rFonts w:ascii="Times New Roman" w:hAnsi="Times New Roman" w:cs="Times New Roman"/>
          <w:sz w:val="28"/>
          <w:szCs w:val="28"/>
          <w:lang w:val="en-US"/>
        </w:rPr>
        <w:t>ironically</w:t>
      </w:r>
      <w:r w:rsidR="00253FDD" w:rsidRPr="000E2B31">
        <w:rPr>
          <w:rFonts w:ascii="Times New Roman" w:hAnsi="Times New Roman" w:cs="Times New Roman"/>
          <w:sz w:val="28"/>
          <w:szCs w:val="28"/>
          <w:lang w:val="en-US"/>
        </w:rPr>
        <w:t xml:space="preserve"> contended in argument before the court </w:t>
      </w:r>
      <w:r w:rsidR="00253FDD" w:rsidRPr="000E2B31">
        <w:rPr>
          <w:rFonts w:ascii="Times New Roman" w:hAnsi="Times New Roman" w:cs="Times New Roman"/>
          <w:i/>
          <w:iCs/>
          <w:sz w:val="28"/>
          <w:szCs w:val="28"/>
          <w:lang w:val="en-US"/>
        </w:rPr>
        <w:t>a quo</w:t>
      </w:r>
      <w:r w:rsidR="00253FDD" w:rsidRPr="000E2B31">
        <w:rPr>
          <w:rFonts w:ascii="Times New Roman" w:hAnsi="Times New Roman" w:cs="Times New Roman"/>
          <w:sz w:val="28"/>
          <w:szCs w:val="28"/>
          <w:lang w:val="en-US"/>
        </w:rPr>
        <w:t xml:space="preserve"> that the only appropriate order for </w:t>
      </w:r>
      <w:r w:rsidR="004D7B7A" w:rsidRPr="000E2B31">
        <w:rPr>
          <w:rFonts w:ascii="Times New Roman" w:hAnsi="Times New Roman" w:cs="Times New Roman"/>
          <w:sz w:val="28"/>
          <w:szCs w:val="28"/>
          <w:lang w:val="en-US"/>
        </w:rPr>
        <w:t>it</w:t>
      </w:r>
      <w:r w:rsidR="00253FDD" w:rsidRPr="000E2B31">
        <w:rPr>
          <w:rFonts w:ascii="Times New Roman" w:hAnsi="Times New Roman" w:cs="Times New Roman"/>
          <w:sz w:val="28"/>
          <w:szCs w:val="28"/>
          <w:lang w:val="en-US"/>
        </w:rPr>
        <w:t xml:space="preserve"> to have made consequent to a finding that the process was flawed was </w:t>
      </w:r>
      <w:r w:rsidR="00202A52" w:rsidRPr="000E2B31">
        <w:rPr>
          <w:rFonts w:ascii="Times New Roman" w:hAnsi="Times New Roman" w:cs="Times New Roman"/>
          <w:sz w:val="28"/>
          <w:szCs w:val="28"/>
          <w:lang w:val="en-US"/>
        </w:rPr>
        <w:t xml:space="preserve">indeed </w:t>
      </w:r>
      <w:r w:rsidR="00253FDD" w:rsidRPr="000E2B31">
        <w:rPr>
          <w:rFonts w:ascii="Times New Roman" w:hAnsi="Times New Roman" w:cs="Times New Roman"/>
          <w:sz w:val="28"/>
          <w:szCs w:val="28"/>
          <w:lang w:val="en-US"/>
        </w:rPr>
        <w:t xml:space="preserve">to have referred </w:t>
      </w:r>
      <w:r w:rsidR="00B007B0" w:rsidRPr="000E2B31">
        <w:rPr>
          <w:rFonts w:ascii="Times New Roman" w:hAnsi="Times New Roman" w:cs="Times New Roman"/>
          <w:sz w:val="28"/>
          <w:szCs w:val="28"/>
          <w:lang w:val="en-US"/>
        </w:rPr>
        <w:t>the matter</w:t>
      </w:r>
      <w:r w:rsidR="00253FDD" w:rsidRPr="000E2B31">
        <w:rPr>
          <w:rFonts w:ascii="Times New Roman" w:hAnsi="Times New Roman" w:cs="Times New Roman"/>
          <w:sz w:val="28"/>
          <w:szCs w:val="28"/>
          <w:lang w:val="en-US"/>
        </w:rPr>
        <w:t xml:space="preserve"> back to the </w:t>
      </w:r>
      <w:r w:rsidR="00203C52" w:rsidRPr="000E2B31">
        <w:rPr>
          <w:rFonts w:ascii="Times New Roman" w:hAnsi="Times New Roman" w:cs="Times New Roman"/>
          <w:sz w:val="28"/>
          <w:szCs w:val="28"/>
          <w:lang w:val="en-US"/>
        </w:rPr>
        <w:t>D</w:t>
      </w:r>
      <w:r w:rsidR="00253FDD" w:rsidRPr="000E2B31">
        <w:rPr>
          <w:rFonts w:ascii="Times New Roman" w:hAnsi="Times New Roman" w:cs="Times New Roman"/>
          <w:sz w:val="28"/>
          <w:szCs w:val="28"/>
          <w:lang w:val="en-US"/>
        </w:rPr>
        <w:t>epartment for reconsideration</w:t>
      </w:r>
      <w:r w:rsidR="000D2202" w:rsidRPr="000E2B31">
        <w:rPr>
          <w:rFonts w:ascii="Times New Roman" w:hAnsi="Times New Roman" w:cs="Times New Roman"/>
          <w:sz w:val="28"/>
          <w:szCs w:val="28"/>
          <w:lang w:val="en-US"/>
        </w:rPr>
        <w:t>.</w:t>
      </w:r>
      <w:r w:rsidR="00A1602F">
        <w:rPr>
          <w:rStyle w:val="FootnoteReference"/>
          <w:rFonts w:ascii="Times New Roman" w:hAnsi="Times New Roman" w:cs="Times New Roman"/>
          <w:sz w:val="28"/>
          <w:szCs w:val="28"/>
          <w:lang w:val="en-US"/>
        </w:rPr>
        <w:footnoteReference w:id="28"/>
      </w:r>
    </w:p>
    <w:p w14:paraId="30B50B93" w14:textId="77777777" w:rsidR="00CB74B0" w:rsidRDefault="00CB74B0" w:rsidP="00CB74B0">
      <w:pPr>
        <w:pStyle w:val="ListParagraph"/>
        <w:tabs>
          <w:tab w:val="left" w:pos="709"/>
        </w:tabs>
        <w:spacing w:before="0" w:beforeAutospacing="0"/>
        <w:ind w:left="0"/>
        <w:jc w:val="both"/>
        <w:rPr>
          <w:rFonts w:ascii="Times New Roman" w:hAnsi="Times New Roman" w:cs="Times New Roman"/>
          <w:sz w:val="28"/>
          <w:szCs w:val="28"/>
          <w:lang w:val="en-US"/>
        </w:rPr>
      </w:pPr>
    </w:p>
    <w:p w14:paraId="49F96541" w14:textId="4533BA4A" w:rsidR="00B63179" w:rsidRPr="000E2B31" w:rsidRDefault="000E2B31" w:rsidP="000E2B31">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[76]</w:t>
      </w:r>
      <w:r>
        <w:rPr>
          <w:rFonts w:ascii="Times New Roman" w:hAnsi="Times New Roman" w:cs="Times New Roman"/>
          <w:sz w:val="28"/>
          <w:szCs w:val="28"/>
          <w:lang w:val="en-US"/>
        </w:rPr>
        <w:tab/>
      </w:r>
      <w:r w:rsidR="007F7628" w:rsidRPr="000E2B31">
        <w:rPr>
          <w:rFonts w:ascii="Times New Roman" w:hAnsi="Times New Roman" w:cs="Times New Roman"/>
          <w:sz w:val="28"/>
          <w:szCs w:val="28"/>
          <w:lang w:val="en-US"/>
        </w:rPr>
        <w:t xml:space="preserve">It </w:t>
      </w:r>
      <w:r w:rsidR="00824539" w:rsidRPr="000E2B31">
        <w:rPr>
          <w:rFonts w:ascii="Times New Roman" w:hAnsi="Times New Roman" w:cs="Times New Roman"/>
          <w:sz w:val="28"/>
          <w:szCs w:val="28"/>
          <w:lang w:val="en-US"/>
        </w:rPr>
        <w:t xml:space="preserve">was </w:t>
      </w:r>
      <w:r w:rsidR="007F7628" w:rsidRPr="000E2B31">
        <w:rPr>
          <w:rFonts w:ascii="Times New Roman" w:hAnsi="Times New Roman" w:cs="Times New Roman"/>
          <w:sz w:val="28"/>
          <w:szCs w:val="28"/>
          <w:lang w:val="en-US"/>
        </w:rPr>
        <w:t xml:space="preserve">contended </w:t>
      </w:r>
      <w:r w:rsidR="00824539" w:rsidRPr="000E2B31">
        <w:rPr>
          <w:rFonts w:ascii="Times New Roman" w:hAnsi="Times New Roman" w:cs="Times New Roman"/>
          <w:sz w:val="28"/>
          <w:szCs w:val="28"/>
          <w:lang w:val="en-US"/>
        </w:rPr>
        <w:t xml:space="preserve">in the appeal </w:t>
      </w:r>
      <w:r w:rsidR="00B007B0" w:rsidRPr="000E2B31">
        <w:rPr>
          <w:rFonts w:ascii="Times New Roman" w:hAnsi="Times New Roman" w:cs="Times New Roman"/>
          <w:sz w:val="28"/>
          <w:szCs w:val="28"/>
          <w:lang w:val="en-US"/>
        </w:rPr>
        <w:t>however</w:t>
      </w:r>
      <w:r w:rsidR="00824539" w:rsidRPr="000E2B31">
        <w:rPr>
          <w:rFonts w:ascii="Times New Roman" w:hAnsi="Times New Roman" w:cs="Times New Roman"/>
          <w:sz w:val="28"/>
          <w:szCs w:val="28"/>
          <w:lang w:val="en-US"/>
        </w:rPr>
        <w:t xml:space="preserve"> that the court </w:t>
      </w:r>
      <w:r w:rsidR="00824539" w:rsidRPr="000E2B31">
        <w:rPr>
          <w:rFonts w:ascii="Times New Roman" w:hAnsi="Times New Roman" w:cs="Times New Roman"/>
          <w:i/>
          <w:iCs/>
          <w:sz w:val="28"/>
          <w:szCs w:val="28"/>
          <w:lang w:val="en-US"/>
        </w:rPr>
        <w:t>a quo</w:t>
      </w:r>
      <w:r w:rsidR="00824539" w:rsidRPr="000E2B31">
        <w:rPr>
          <w:rFonts w:ascii="Times New Roman" w:hAnsi="Times New Roman" w:cs="Times New Roman"/>
          <w:sz w:val="28"/>
          <w:szCs w:val="28"/>
          <w:lang w:val="en-US"/>
        </w:rPr>
        <w:t>, in</w:t>
      </w:r>
      <w:r w:rsidR="00330FAE" w:rsidRPr="000E2B31">
        <w:rPr>
          <w:rFonts w:ascii="Times New Roman" w:hAnsi="Times New Roman" w:cs="Times New Roman"/>
          <w:sz w:val="28"/>
          <w:szCs w:val="28"/>
          <w:lang w:val="en-US"/>
        </w:rPr>
        <w:t xml:space="preserve"> relegating the risk assessment to a pre-qualification functionality evaluation, </w:t>
      </w:r>
      <w:r w:rsidR="00824539" w:rsidRPr="000E2B31">
        <w:rPr>
          <w:rFonts w:ascii="Times New Roman" w:hAnsi="Times New Roman" w:cs="Times New Roman"/>
          <w:sz w:val="28"/>
          <w:szCs w:val="28"/>
          <w:lang w:val="en-US"/>
        </w:rPr>
        <w:t>had</w:t>
      </w:r>
      <w:r w:rsidR="00330FAE" w:rsidRPr="000E2B31">
        <w:rPr>
          <w:rFonts w:ascii="Times New Roman" w:hAnsi="Times New Roman" w:cs="Times New Roman"/>
          <w:sz w:val="28"/>
          <w:szCs w:val="28"/>
          <w:lang w:val="en-US"/>
        </w:rPr>
        <w:t xml:space="preserve"> </w:t>
      </w:r>
      <w:r w:rsidR="009366C9" w:rsidRPr="000E2B31">
        <w:rPr>
          <w:rFonts w:ascii="Times New Roman" w:hAnsi="Times New Roman" w:cs="Times New Roman"/>
          <w:sz w:val="28"/>
          <w:szCs w:val="28"/>
          <w:lang w:val="en-US"/>
        </w:rPr>
        <w:t xml:space="preserve">left </w:t>
      </w:r>
      <w:r w:rsidR="00330FAE" w:rsidRPr="000E2B31">
        <w:rPr>
          <w:rFonts w:ascii="Times New Roman" w:hAnsi="Times New Roman" w:cs="Times New Roman"/>
          <w:sz w:val="28"/>
          <w:szCs w:val="28"/>
          <w:lang w:val="en-US"/>
        </w:rPr>
        <w:t xml:space="preserve">begging what purpose </w:t>
      </w:r>
      <w:r w:rsidR="00041768" w:rsidRPr="000E2B31">
        <w:rPr>
          <w:rFonts w:ascii="Times New Roman" w:hAnsi="Times New Roman" w:cs="Times New Roman"/>
          <w:sz w:val="28"/>
          <w:szCs w:val="28"/>
          <w:lang w:val="en-US"/>
        </w:rPr>
        <w:t>c</w:t>
      </w:r>
      <w:r w:rsidR="00330FAE" w:rsidRPr="000E2B31">
        <w:rPr>
          <w:rFonts w:ascii="Times New Roman" w:hAnsi="Times New Roman" w:cs="Times New Roman"/>
          <w:sz w:val="28"/>
          <w:szCs w:val="28"/>
          <w:lang w:val="en-US"/>
        </w:rPr>
        <w:t xml:space="preserve">ould be served </w:t>
      </w:r>
      <w:r w:rsidR="00DF6FCD" w:rsidRPr="000E2B31">
        <w:rPr>
          <w:rFonts w:ascii="Times New Roman" w:hAnsi="Times New Roman" w:cs="Times New Roman"/>
          <w:sz w:val="28"/>
          <w:szCs w:val="28"/>
          <w:lang w:val="en-US"/>
        </w:rPr>
        <w:t>by</w:t>
      </w:r>
      <w:r w:rsidR="00330FAE" w:rsidRPr="000E2B31">
        <w:rPr>
          <w:rFonts w:ascii="Times New Roman" w:hAnsi="Times New Roman" w:cs="Times New Roman"/>
          <w:sz w:val="28"/>
          <w:szCs w:val="28"/>
          <w:lang w:val="en-US"/>
        </w:rPr>
        <w:t xml:space="preserve"> referring the matter back for </w:t>
      </w:r>
      <w:r w:rsidR="00330FAE" w:rsidRPr="000E2B31">
        <w:rPr>
          <w:rFonts w:ascii="Times New Roman" w:hAnsi="Times New Roman" w:cs="Times New Roman"/>
          <w:i/>
          <w:iCs/>
          <w:sz w:val="28"/>
          <w:szCs w:val="28"/>
          <w:lang w:val="en-US"/>
        </w:rPr>
        <w:t>reconsideration</w:t>
      </w:r>
      <w:r w:rsidR="00DF6FCD" w:rsidRPr="000E2B31">
        <w:rPr>
          <w:rFonts w:ascii="Times New Roman" w:hAnsi="Times New Roman" w:cs="Times New Roman"/>
          <w:sz w:val="28"/>
          <w:szCs w:val="28"/>
          <w:lang w:val="en-US"/>
        </w:rPr>
        <w:t xml:space="preserve"> as opposed to setting </w:t>
      </w:r>
      <w:r w:rsidR="000E467A" w:rsidRPr="000E2B31">
        <w:rPr>
          <w:rFonts w:ascii="Times New Roman" w:hAnsi="Times New Roman" w:cs="Times New Roman"/>
          <w:sz w:val="28"/>
          <w:szCs w:val="28"/>
          <w:lang w:val="en-US"/>
        </w:rPr>
        <w:t>the tender process</w:t>
      </w:r>
      <w:r w:rsidR="00DF6FCD" w:rsidRPr="000E2B31">
        <w:rPr>
          <w:rFonts w:ascii="Times New Roman" w:hAnsi="Times New Roman" w:cs="Times New Roman"/>
          <w:sz w:val="28"/>
          <w:szCs w:val="28"/>
          <w:lang w:val="en-US"/>
        </w:rPr>
        <w:t xml:space="preserve"> aside in its entirety</w:t>
      </w:r>
      <w:r w:rsidR="00824539" w:rsidRPr="000E2B31">
        <w:rPr>
          <w:rFonts w:ascii="Times New Roman" w:hAnsi="Times New Roman" w:cs="Times New Roman"/>
          <w:sz w:val="28"/>
          <w:szCs w:val="28"/>
          <w:lang w:val="en-US"/>
        </w:rPr>
        <w:t xml:space="preserve"> exactly because the permissibility </w:t>
      </w:r>
      <w:r w:rsidR="00724539" w:rsidRPr="000E2B31">
        <w:rPr>
          <w:rFonts w:ascii="Times New Roman" w:hAnsi="Times New Roman" w:cs="Times New Roman"/>
          <w:sz w:val="28"/>
          <w:szCs w:val="28"/>
          <w:lang w:val="en-US"/>
        </w:rPr>
        <w:t xml:space="preserve">and application </w:t>
      </w:r>
      <w:r w:rsidR="00824539" w:rsidRPr="000E2B31">
        <w:rPr>
          <w:rFonts w:ascii="Times New Roman" w:hAnsi="Times New Roman" w:cs="Times New Roman"/>
          <w:sz w:val="28"/>
          <w:szCs w:val="28"/>
          <w:lang w:val="en-US"/>
        </w:rPr>
        <w:t>of the risk assessment had not been pertinently addressed in the judgment</w:t>
      </w:r>
      <w:r w:rsidR="005F002F" w:rsidRPr="000E2B31">
        <w:rPr>
          <w:rFonts w:ascii="Times New Roman" w:hAnsi="Times New Roman" w:cs="Times New Roman"/>
          <w:sz w:val="28"/>
          <w:szCs w:val="28"/>
          <w:lang w:val="en-US"/>
        </w:rPr>
        <w:t xml:space="preserve"> and would still have to be contended with in any rerun of the tender process as it were</w:t>
      </w:r>
      <w:r w:rsidR="00330FAE" w:rsidRPr="000E2B31">
        <w:rPr>
          <w:rFonts w:ascii="Times New Roman" w:hAnsi="Times New Roman" w:cs="Times New Roman"/>
          <w:sz w:val="28"/>
          <w:szCs w:val="28"/>
          <w:lang w:val="en-US"/>
        </w:rPr>
        <w:t xml:space="preserve">. </w:t>
      </w:r>
      <w:r w:rsidR="005F002F" w:rsidRPr="000E2B31">
        <w:rPr>
          <w:rFonts w:ascii="Times New Roman" w:hAnsi="Times New Roman" w:cs="Times New Roman"/>
          <w:sz w:val="28"/>
          <w:szCs w:val="28"/>
          <w:lang w:val="en-US"/>
        </w:rPr>
        <w:t>It was asked</w:t>
      </w:r>
      <w:r w:rsidR="00330FAE" w:rsidRPr="000E2B31">
        <w:rPr>
          <w:rFonts w:ascii="Times New Roman" w:hAnsi="Times New Roman" w:cs="Times New Roman"/>
          <w:sz w:val="28"/>
          <w:szCs w:val="28"/>
          <w:lang w:val="en-US"/>
        </w:rPr>
        <w:t xml:space="preserve">, for example, whether </w:t>
      </w:r>
      <w:r w:rsidR="003C056A" w:rsidRPr="000E2B31">
        <w:rPr>
          <w:rFonts w:ascii="Times New Roman" w:hAnsi="Times New Roman" w:cs="Times New Roman"/>
          <w:sz w:val="28"/>
          <w:szCs w:val="28"/>
          <w:lang w:val="en-US"/>
        </w:rPr>
        <w:t>the appellant</w:t>
      </w:r>
      <w:r w:rsidR="00330FAE" w:rsidRPr="000E2B31">
        <w:rPr>
          <w:rFonts w:ascii="Times New Roman" w:hAnsi="Times New Roman" w:cs="Times New Roman"/>
          <w:sz w:val="28"/>
          <w:szCs w:val="28"/>
          <w:lang w:val="en-US"/>
        </w:rPr>
        <w:t xml:space="preserve"> had in terms of the</w:t>
      </w:r>
      <w:r w:rsidR="00A56B45" w:rsidRPr="000E2B31">
        <w:rPr>
          <w:rFonts w:ascii="Times New Roman" w:hAnsi="Times New Roman" w:cs="Times New Roman"/>
          <w:sz w:val="28"/>
          <w:szCs w:val="28"/>
          <w:lang w:val="en-US"/>
        </w:rPr>
        <w:t xml:space="preserve"> court</w:t>
      </w:r>
      <w:r w:rsidR="009366C9" w:rsidRPr="000E2B31">
        <w:rPr>
          <w:rFonts w:ascii="Times New Roman" w:hAnsi="Times New Roman" w:cs="Times New Roman"/>
          <w:sz w:val="28"/>
          <w:szCs w:val="28"/>
          <w:lang w:val="en-US"/>
        </w:rPr>
        <w:t xml:space="preserve"> </w:t>
      </w:r>
      <w:r w:rsidR="009366C9" w:rsidRPr="000E2B31">
        <w:rPr>
          <w:rFonts w:ascii="Times New Roman" w:hAnsi="Times New Roman" w:cs="Times New Roman"/>
          <w:i/>
          <w:iCs/>
          <w:sz w:val="28"/>
          <w:szCs w:val="28"/>
          <w:lang w:val="en-US"/>
        </w:rPr>
        <w:t>a quo</w:t>
      </w:r>
      <w:r w:rsidR="00A56B45" w:rsidRPr="000E2B31">
        <w:rPr>
          <w:rFonts w:ascii="Times New Roman" w:hAnsi="Times New Roman" w:cs="Times New Roman"/>
          <w:i/>
          <w:iCs/>
          <w:sz w:val="28"/>
          <w:szCs w:val="28"/>
          <w:lang w:val="en-US"/>
        </w:rPr>
        <w:t>’s</w:t>
      </w:r>
      <w:r w:rsidR="00A56B45" w:rsidRPr="000E2B31">
        <w:rPr>
          <w:rFonts w:ascii="Times New Roman" w:hAnsi="Times New Roman" w:cs="Times New Roman"/>
          <w:sz w:val="28"/>
          <w:szCs w:val="28"/>
          <w:lang w:val="en-US"/>
        </w:rPr>
        <w:t xml:space="preserve"> </w:t>
      </w:r>
      <w:r w:rsidR="00E16E2B" w:rsidRPr="000E2B31">
        <w:rPr>
          <w:rFonts w:ascii="Times New Roman" w:hAnsi="Times New Roman" w:cs="Times New Roman"/>
          <w:sz w:val="28"/>
          <w:szCs w:val="28"/>
          <w:lang w:val="en-US"/>
        </w:rPr>
        <w:t>unclear</w:t>
      </w:r>
      <w:r w:rsidR="00330FAE" w:rsidRPr="000E2B31">
        <w:rPr>
          <w:rFonts w:ascii="Times New Roman" w:hAnsi="Times New Roman" w:cs="Times New Roman"/>
          <w:sz w:val="28"/>
          <w:szCs w:val="28"/>
          <w:lang w:val="en-US"/>
        </w:rPr>
        <w:t xml:space="preserve"> judgment</w:t>
      </w:r>
      <w:r w:rsidR="002F63D7" w:rsidRPr="000E2B31">
        <w:rPr>
          <w:rFonts w:ascii="Times New Roman" w:hAnsi="Times New Roman" w:cs="Times New Roman"/>
          <w:sz w:val="28"/>
          <w:szCs w:val="28"/>
          <w:lang w:val="en-US"/>
        </w:rPr>
        <w:t xml:space="preserve"> </w:t>
      </w:r>
      <w:r w:rsidR="00202A52" w:rsidRPr="000E2B31">
        <w:rPr>
          <w:rFonts w:ascii="Times New Roman" w:hAnsi="Times New Roman" w:cs="Times New Roman"/>
          <w:sz w:val="28"/>
          <w:szCs w:val="28"/>
          <w:lang w:val="en-US"/>
        </w:rPr>
        <w:t>to now</w:t>
      </w:r>
      <w:r w:rsidR="00330FAE" w:rsidRPr="000E2B31">
        <w:rPr>
          <w:rFonts w:ascii="Times New Roman" w:hAnsi="Times New Roman" w:cs="Times New Roman"/>
          <w:sz w:val="28"/>
          <w:szCs w:val="28"/>
          <w:lang w:val="en-US"/>
        </w:rPr>
        <w:t xml:space="preserve"> only adjudicate the first, second and third respondents on price and preference</w:t>
      </w:r>
      <w:r w:rsidR="002F3FF0" w:rsidRPr="000E2B31">
        <w:rPr>
          <w:rFonts w:ascii="Times New Roman" w:hAnsi="Times New Roman" w:cs="Times New Roman"/>
          <w:sz w:val="28"/>
          <w:szCs w:val="28"/>
          <w:lang w:val="en-US"/>
        </w:rPr>
        <w:t xml:space="preserve"> (</w:t>
      </w:r>
      <w:r w:rsidR="002F3FF0" w:rsidRPr="000E2B31">
        <w:rPr>
          <w:rFonts w:ascii="Times New Roman" w:hAnsi="Times New Roman" w:cs="Times New Roman"/>
          <w:i/>
          <w:iCs/>
          <w:sz w:val="28"/>
          <w:szCs w:val="28"/>
          <w:lang w:val="en-US"/>
        </w:rPr>
        <w:t>sans</w:t>
      </w:r>
      <w:r w:rsidR="002F3FF0" w:rsidRPr="000E2B31">
        <w:rPr>
          <w:rFonts w:ascii="Times New Roman" w:hAnsi="Times New Roman" w:cs="Times New Roman"/>
          <w:sz w:val="28"/>
          <w:szCs w:val="28"/>
          <w:lang w:val="en-US"/>
        </w:rPr>
        <w:t xml:space="preserve"> any risk assessment)</w:t>
      </w:r>
      <w:r w:rsidR="00330FAE" w:rsidRPr="000E2B31">
        <w:rPr>
          <w:rFonts w:ascii="Times New Roman" w:hAnsi="Times New Roman" w:cs="Times New Roman"/>
          <w:sz w:val="28"/>
          <w:szCs w:val="28"/>
          <w:lang w:val="en-US"/>
        </w:rPr>
        <w:t>, in which case</w:t>
      </w:r>
      <w:r w:rsidR="00AB601F" w:rsidRPr="000E2B31">
        <w:rPr>
          <w:rFonts w:ascii="Times New Roman" w:hAnsi="Times New Roman" w:cs="Times New Roman"/>
          <w:sz w:val="28"/>
          <w:szCs w:val="28"/>
          <w:lang w:val="en-US"/>
        </w:rPr>
        <w:t>,</w:t>
      </w:r>
      <w:r w:rsidR="00330FAE" w:rsidRPr="000E2B31">
        <w:rPr>
          <w:rFonts w:ascii="Times New Roman" w:hAnsi="Times New Roman" w:cs="Times New Roman"/>
          <w:sz w:val="28"/>
          <w:szCs w:val="28"/>
          <w:lang w:val="en-US"/>
        </w:rPr>
        <w:t xml:space="preserve"> </w:t>
      </w:r>
      <w:r w:rsidR="00AB601F" w:rsidRPr="000E2B31">
        <w:rPr>
          <w:rFonts w:ascii="Times New Roman" w:hAnsi="Times New Roman" w:cs="Times New Roman"/>
          <w:sz w:val="28"/>
          <w:szCs w:val="28"/>
          <w:lang w:val="en-US"/>
        </w:rPr>
        <w:t xml:space="preserve">so it was theorized, </w:t>
      </w:r>
      <w:r w:rsidR="00330FAE" w:rsidRPr="000E2B31">
        <w:rPr>
          <w:rFonts w:ascii="Times New Roman" w:hAnsi="Times New Roman" w:cs="Times New Roman"/>
          <w:sz w:val="28"/>
          <w:szCs w:val="28"/>
          <w:lang w:val="en-US"/>
        </w:rPr>
        <w:t xml:space="preserve">the tender would be awarded to the third respondent </w:t>
      </w:r>
      <w:r w:rsidR="00B007B0" w:rsidRPr="000E2B31">
        <w:rPr>
          <w:rFonts w:ascii="Times New Roman" w:hAnsi="Times New Roman" w:cs="Times New Roman"/>
          <w:sz w:val="28"/>
          <w:szCs w:val="28"/>
          <w:lang w:val="en-US"/>
        </w:rPr>
        <w:t>which</w:t>
      </w:r>
      <w:r w:rsidR="00330FAE" w:rsidRPr="000E2B31">
        <w:rPr>
          <w:rFonts w:ascii="Times New Roman" w:hAnsi="Times New Roman" w:cs="Times New Roman"/>
          <w:sz w:val="28"/>
          <w:szCs w:val="28"/>
          <w:lang w:val="en-US"/>
        </w:rPr>
        <w:t xml:space="preserve"> had </w:t>
      </w:r>
      <w:r w:rsidR="00B007B0" w:rsidRPr="000E2B31">
        <w:rPr>
          <w:rFonts w:ascii="Times New Roman" w:hAnsi="Times New Roman" w:cs="Times New Roman"/>
          <w:sz w:val="28"/>
          <w:szCs w:val="28"/>
          <w:lang w:val="en-US"/>
        </w:rPr>
        <w:t>as a</w:t>
      </w:r>
      <w:r w:rsidR="00503165" w:rsidRPr="000E2B31">
        <w:rPr>
          <w:rFonts w:ascii="Times New Roman" w:hAnsi="Times New Roman" w:cs="Times New Roman"/>
          <w:sz w:val="28"/>
          <w:szCs w:val="28"/>
          <w:lang w:val="en-US"/>
        </w:rPr>
        <w:t xml:space="preserve"> fact </w:t>
      </w:r>
      <w:r w:rsidR="00330FAE" w:rsidRPr="000E2B31">
        <w:rPr>
          <w:rFonts w:ascii="Times New Roman" w:hAnsi="Times New Roman" w:cs="Times New Roman"/>
          <w:sz w:val="28"/>
          <w:szCs w:val="28"/>
          <w:lang w:val="en-US"/>
        </w:rPr>
        <w:t>come in with the best price</w:t>
      </w:r>
      <w:r w:rsidR="002F63D7" w:rsidRPr="000E2B31">
        <w:rPr>
          <w:rFonts w:ascii="Times New Roman" w:hAnsi="Times New Roman" w:cs="Times New Roman"/>
          <w:sz w:val="28"/>
          <w:szCs w:val="28"/>
          <w:lang w:val="en-US"/>
        </w:rPr>
        <w:t xml:space="preserve"> (risk aside)</w:t>
      </w:r>
      <w:r w:rsidR="00824539" w:rsidRPr="000E2B31">
        <w:rPr>
          <w:rFonts w:ascii="Times New Roman" w:hAnsi="Times New Roman" w:cs="Times New Roman"/>
          <w:sz w:val="28"/>
          <w:szCs w:val="28"/>
          <w:lang w:val="en-US"/>
        </w:rPr>
        <w:t xml:space="preserve">. </w:t>
      </w:r>
      <w:r w:rsidR="00B007B0" w:rsidRPr="000E2B31">
        <w:rPr>
          <w:rFonts w:ascii="Times New Roman" w:hAnsi="Times New Roman" w:cs="Times New Roman"/>
          <w:sz w:val="28"/>
          <w:szCs w:val="28"/>
          <w:lang w:val="en-US"/>
        </w:rPr>
        <w:t xml:space="preserve"> It was </w:t>
      </w:r>
      <w:r w:rsidR="00AB601F" w:rsidRPr="000E2B31">
        <w:rPr>
          <w:rFonts w:ascii="Times New Roman" w:hAnsi="Times New Roman" w:cs="Times New Roman"/>
          <w:sz w:val="28"/>
          <w:szCs w:val="28"/>
          <w:lang w:val="en-US"/>
        </w:rPr>
        <w:t xml:space="preserve">also </w:t>
      </w:r>
      <w:r w:rsidR="00B007B0" w:rsidRPr="000E2B31">
        <w:rPr>
          <w:rFonts w:ascii="Times New Roman" w:hAnsi="Times New Roman" w:cs="Times New Roman"/>
          <w:sz w:val="28"/>
          <w:szCs w:val="28"/>
          <w:lang w:val="en-US"/>
        </w:rPr>
        <w:t>certainly not clear</w:t>
      </w:r>
      <w:r w:rsidR="00824539" w:rsidRPr="000E2B31">
        <w:rPr>
          <w:rFonts w:ascii="Times New Roman" w:hAnsi="Times New Roman" w:cs="Times New Roman"/>
          <w:sz w:val="28"/>
          <w:szCs w:val="28"/>
          <w:lang w:val="en-US"/>
        </w:rPr>
        <w:t xml:space="preserve"> </w:t>
      </w:r>
      <w:r w:rsidR="00330FAE" w:rsidRPr="000E2B31">
        <w:rPr>
          <w:rFonts w:ascii="Times New Roman" w:hAnsi="Times New Roman" w:cs="Times New Roman"/>
          <w:sz w:val="28"/>
          <w:szCs w:val="28"/>
          <w:lang w:val="en-US"/>
        </w:rPr>
        <w:t>whether the second and third respondents were</w:t>
      </w:r>
      <w:r w:rsidR="002F3FF0" w:rsidRPr="000E2B31">
        <w:rPr>
          <w:rFonts w:ascii="Times New Roman" w:hAnsi="Times New Roman" w:cs="Times New Roman"/>
          <w:sz w:val="28"/>
          <w:szCs w:val="28"/>
          <w:lang w:val="en-US"/>
        </w:rPr>
        <w:t xml:space="preserve"> </w:t>
      </w:r>
      <w:r w:rsidR="00330FAE" w:rsidRPr="000E2B31">
        <w:rPr>
          <w:rFonts w:ascii="Times New Roman" w:hAnsi="Times New Roman" w:cs="Times New Roman"/>
          <w:sz w:val="28"/>
          <w:szCs w:val="28"/>
          <w:lang w:val="en-US"/>
        </w:rPr>
        <w:t>to be excluded</w:t>
      </w:r>
      <w:r w:rsidR="005F002F" w:rsidRPr="000E2B31">
        <w:rPr>
          <w:rFonts w:ascii="Times New Roman" w:hAnsi="Times New Roman" w:cs="Times New Roman"/>
          <w:sz w:val="28"/>
          <w:szCs w:val="28"/>
          <w:lang w:val="en-US"/>
        </w:rPr>
        <w:t xml:space="preserve"> in a rerun</w:t>
      </w:r>
      <w:r w:rsidR="00824539" w:rsidRPr="000E2B31">
        <w:rPr>
          <w:rFonts w:ascii="Times New Roman" w:hAnsi="Times New Roman" w:cs="Times New Roman"/>
          <w:sz w:val="28"/>
          <w:szCs w:val="28"/>
          <w:lang w:val="en-US"/>
        </w:rPr>
        <w:t xml:space="preserve">, this as a result of </w:t>
      </w:r>
      <w:r w:rsidR="002F3FF0" w:rsidRPr="000E2B31">
        <w:rPr>
          <w:rFonts w:ascii="Times New Roman" w:hAnsi="Times New Roman" w:cs="Times New Roman"/>
          <w:sz w:val="28"/>
          <w:szCs w:val="28"/>
          <w:lang w:val="en-US"/>
        </w:rPr>
        <w:t xml:space="preserve">the court </w:t>
      </w:r>
      <w:r w:rsidR="002F3FF0" w:rsidRPr="000E2B31">
        <w:rPr>
          <w:rFonts w:ascii="Times New Roman" w:hAnsi="Times New Roman" w:cs="Times New Roman"/>
          <w:i/>
          <w:iCs/>
          <w:sz w:val="28"/>
          <w:szCs w:val="28"/>
          <w:lang w:val="en-US"/>
        </w:rPr>
        <w:t>a quo’s</w:t>
      </w:r>
      <w:r w:rsidR="002F3FF0" w:rsidRPr="000E2B31">
        <w:rPr>
          <w:rFonts w:ascii="Times New Roman" w:hAnsi="Times New Roman" w:cs="Times New Roman"/>
          <w:sz w:val="28"/>
          <w:szCs w:val="28"/>
          <w:lang w:val="en-US"/>
        </w:rPr>
        <w:t xml:space="preserve"> conflicting finding that </w:t>
      </w:r>
      <w:r w:rsidR="00A1602F" w:rsidRPr="000E2B31">
        <w:rPr>
          <w:rFonts w:ascii="Times New Roman" w:hAnsi="Times New Roman" w:cs="Times New Roman"/>
          <w:sz w:val="28"/>
          <w:szCs w:val="28"/>
          <w:lang w:val="en-US"/>
        </w:rPr>
        <w:t xml:space="preserve">because in its view the risk assessment was part of the pre-qualification criteria to be used to evaluate the responsiveness of bids, it followed logically that: </w:t>
      </w:r>
      <w:r w:rsidR="00A1602F" w:rsidRPr="000E2B31">
        <w:rPr>
          <w:rFonts w:ascii="Times New Roman" w:hAnsi="Times New Roman" w:cs="Times New Roman"/>
          <w:i/>
          <w:iCs/>
          <w:sz w:val="28"/>
          <w:szCs w:val="28"/>
          <w:lang w:val="en-US"/>
        </w:rPr>
        <w:t>“all three bids (of the applicant, second respondent and third respondents) should have been declared responsive as to functionality”</w:t>
      </w:r>
      <w:r w:rsidR="00824539" w:rsidRPr="000E2B31">
        <w:rPr>
          <w:rFonts w:ascii="Times New Roman" w:hAnsi="Times New Roman" w:cs="Times New Roman"/>
          <w:sz w:val="28"/>
          <w:szCs w:val="28"/>
          <w:lang w:val="en-US"/>
        </w:rPr>
        <w:t xml:space="preserve"> (</w:t>
      </w:r>
      <w:r w:rsidR="004D7B7A" w:rsidRPr="000E2B31">
        <w:rPr>
          <w:rFonts w:ascii="Times New Roman" w:hAnsi="Times New Roman" w:cs="Times New Roman"/>
          <w:sz w:val="28"/>
          <w:szCs w:val="28"/>
          <w:lang w:val="en-US"/>
        </w:rPr>
        <w:t>S</w:t>
      </w:r>
      <w:r w:rsidR="00824539" w:rsidRPr="000E2B31">
        <w:rPr>
          <w:rFonts w:ascii="Times New Roman" w:hAnsi="Times New Roman" w:cs="Times New Roman"/>
          <w:sz w:val="28"/>
          <w:szCs w:val="28"/>
          <w:lang w:val="en-US"/>
        </w:rPr>
        <w:t xml:space="preserve">ic).  </w:t>
      </w:r>
      <w:r w:rsidR="00202A52" w:rsidRPr="000E2B31">
        <w:rPr>
          <w:rFonts w:ascii="Times New Roman" w:hAnsi="Times New Roman" w:cs="Times New Roman"/>
          <w:sz w:val="28"/>
          <w:szCs w:val="28"/>
          <w:lang w:val="en-US"/>
        </w:rPr>
        <w:t xml:space="preserve">Assuming their bids </w:t>
      </w:r>
      <w:r w:rsidR="005A4C9A" w:rsidRPr="000E2B31">
        <w:rPr>
          <w:rFonts w:ascii="Times New Roman" w:hAnsi="Times New Roman" w:cs="Times New Roman"/>
          <w:sz w:val="28"/>
          <w:szCs w:val="28"/>
          <w:lang w:val="en-US"/>
        </w:rPr>
        <w:t>were to the contrary to be excluded,</w:t>
      </w:r>
      <w:r w:rsidR="005F002F" w:rsidRPr="000E2B31">
        <w:rPr>
          <w:rFonts w:ascii="Times New Roman" w:hAnsi="Times New Roman" w:cs="Times New Roman"/>
          <w:sz w:val="28"/>
          <w:szCs w:val="28"/>
          <w:lang w:val="en-US"/>
        </w:rPr>
        <w:t xml:space="preserve"> so the argument went, </w:t>
      </w:r>
      <w:r w:rsidR="005A4C9A" w:rsidRPr="000E2B31">
        <w:rPr>
          <w:rFonts w:ascii="Times New Roman" w:hAnsi="Times New Roman" w:cs="Times New Roman"/>
          <w:sz w:val="28"/>
          <w:szCs w:val="28"/>
          <w:lang w:val="en-US"/>
        </w:rPr>
        <w:t xml:space="preserve">it </w:t>
      </w:r>
      <w:r w:rsidR="005A4C9A" w:rsidRPr="000E2B31">
        <w:rPr>
          <w:rFonts w:ascii="Times New Roman" w:hAnsi="Times New Roman" w:cs="Times New Roman"/>
          <w:sz w:val="28"/>
          <w:szCs w:val="28"/>
          <w:lang w:val="en-US"/>
        </w:rPr>
        <w:lastRenderedPageBreak/>
        <w:t>would</w:t>
      </w:r>
      <w:r w:rsidR="00FA3F23" w:rsidRPr="000E2B31">
        <w:rPr>
          <w:rFonts w:ascii="Times New Roman" w:hAnsi="Times New Roman" w:cs="Times New Roman"/>
          <w:sz w:val="28"/>
          <w:szCs w:val="28"/>
          <w:lang w:val="en-US"/>
        </w:rPr>
        <w:t xml:space="preserve"> follow that the </w:t>
      </w:r>
      <w:r w:rsidR="00330FAE" w:rsidRPr="000E2B31">
        <w:rPr>
          <w:rFonts w:ascii="Times New Roman" w:hAnsi="Times New Roman" w:cs="Times New Roman"/>
          <w:sz w:val="28"/>
          <w:szCs w:val="28"/>
          <w:lang w:val="en-US"/>
        </w:rPr>
        <w:t xml:space="preserve">first respondent </w:t>
      </w:r>
      <w:r w:rsidR="00B007B0" w:rsidRPr="000E2B31">
        <w:rPr>
          <w:rFonts w:ascii="Times New Roman" w:hAnsi="Times New Roman" w:cs="Times New Roman"/>
          <w:sz w:val="28"/>
          <w:szCs w:val="28"/>
          <w:lang w:val="en-US"/>
        </w:rPr>
        <w:t>would be</w:t>
      </w:r>
      <w:r w:rsidR="00FA3F23" w:rsidRPr="000E2B31">
        <w:rPr>
          <w:rFonts w:ascii="Times New Roman" w:hAnsi="Times New Roman" w:cs="Times New Roman"/>
          <w:sz w:val="28"/>
          <w:szCs w:val="28"/>
          <w:lang w:val="en-US"/>
        </w:rPr>
        <w:t xml:space="preserve"> the only </w:t>
      </w:r>
      <w:r w:rsidR="00330FAE" w:rsidRPr="000E2B31">
        <w:rPr>
          <w:rFonts w:ascii="Times New Roman" w:hAnsi="Times New Roman" w:cs="Times New Roman"/>
          <w:sz w:val="28"/>
          <w:szCs w:val="28"/>
          <w:lang w:val="en-US"/>
        </w:rPr>
        <w:t>remaining tenderer, in which event, the remitting would serve no purpose</w:t>
      </w:r>
      <w:r w:rsidR="00FA3F23" w:rsidRPr="000E2B31">
        <w:rPr>
          <w:rFonts w:ascii="Times New Roman" w:hAnsi="Times New Roman" w:cs="Times New Roman"/>
          <w:sz w:val="28"/>
          <w:szCs w:val="28"/>
          <w:lang w:val="en-US"/>
        </w:rPr>
        <w:t>.</w:t>
      </w:r>
      <w:r w:rsidR="00FA3F23">
        <w:rPr>
          <w:rStyle w:val="FootnoteReference"/>
          <w:rFonts w:ascii="Times New Roman" w:hAnsi="Times New Roman" w:cs="Times New Roman"/>
          <w:sz w:val="28"/>
          <w:szCs w:val="28"/>
          <w:lang w:val="en-US"/>
        </w:rPr>
        <w:footnoteReference w:id="29"/>
      </w:r>
    </w:p>
    <w:p w14:paraId="5EBEFD8C" w14:textId="77777777" w:rsidR="00B63179" w:rsidRDefault="00B63179" w:rsidP="00B63179">
      <w:pPr>
        <w:pStyle w:val="ListParagraph"/>
        <w:tabs>
          <w:tab w:val="left" w:pos="709"/>
        </w:tabs>
        <w:spacing w:before="0" w:beforeAutospacing="0"/>
        <w:ind w:left="0"/>
        <w:jc w:val="both"/>
        <w:rPr>
          <w:rFonts w:ascii="Times New Roman" w:hAnsi="Times New Roman" w:cs="Times New Roman"/>
          <w:sz w:val="28"/>
          <w:szCs w:val="28"/>
          <w:lang w:val="en-US"/>
        </w:rPr>
      </w:pPr>
    </w:p>
    <w:p w14:paraId="4AEA6D4F" w14:textId="5DD0ABC9" w:rsidR="00B63179" w:rsidRPr="000E2B31" w:rsidRDefault="000E2B31" w:rsidP="000E2B31">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[77]</w:t>
      </w:r>
      <w:r>
        <w:rPr>
          <w:rFonts w:ascii="Times New Roman" w:hAnsi="Times New Roman" w:cs="Times New Roman"/>
          <w:sz w:val="28"/>
          <w:szCs w:val="28"/>
          <w:lang w:val="en-US"/>
        </w:rPr>
        <w:tab/>
      </w:r>
      <w:r w:rsidR="002F63D7" w:rsidRPr="000E2B31">
        <w:rPr>
          <w:rFonts w:ascii="Times New Roman" w:hAnsi="Times New Roman" w:cs="Times New Roman"/>
          <w:sz w:val="28"/>
          <w:szCs w:val="28"/>
          <w:lang w:val="en-US"/>
        </w:rPr>
        <w:t xml:space="preserve">Mr. Beyleveld </w:t>
      </w:r>
      <w:r w:rsidR="002F3FF0" w:rsidRPr="000E2B31">
        <w:rPr>
          <w:rFonts w:ascii="Times New Roman" w:hAnsi="Times New Roman" w:cs="Times New Roman"/>
          <w:sz w:val="28"/>
          <w:szCs w:val="28"/>
          <w:lang w:val="en-US"/>
        </w:rPr>
        <w:t xml:space="preserve">argued </w:t>
      </w:r>
      <w:r w:rsidR="00FA3F23" w:rsidRPr="000E2B31">
        <w:rPr>
          <w:rFonts w:ascii="Times New Roman" w:hAnsi="Times New Roman" w:cs="Times New Roman"/>
          <w:sz w:val="28"/>
          <w:szCs w:val="28"/>
          <w:lang w:val="en-US"/>
        </w:rPr>
        <w:t xml:space="preserve">before this court </w:t>
      </w:r>
      <w:r w:rsidR="002F3FF0" w:rsidRPr="000E2B31">
        <w:rPr>
          <w:rFonts w:ascii="Times New Roman" w:hAnsi="Times New Roman" w:cs="Times New Roman"/>
          <w:sz w:val="28"/>
          <w:szCs w:val="28"/>
          <w:lang w:val="en-US"/>
        </w:rPr>
        <w:t>against a remittal back</w:t>
      </w:r>
      <w:r w:rsidR="00330FAE" w:rsidRPr="000E2B31">
        <w:rPr>
          <w:rFonts w:ascii="Times New Roman" w:hAnsi="Times New Roman" w:cs="Times New Roman"/>
          <w:sz w:val="28"/>
          <w:szCs w:val="28"/>
          <w:lang w:val="en-US"/>
        </w:rPr>
        <w:t xml:space="preserve"> to the Department for reconsideration. </w:t>
      </w:r>
      <w:r w:rsidR="00DF38DE" w:rsidRPr="000E2B31">
        <w:rPr>
          <w:rFonts w:ascii="Times New Roman" w:hAnsi="Times New Roman" w:cs="Times New Roman"/>
          <w:sz w:val="28"/>
          <w:szCs w:val="28"/>
          <w:lang w:val="en-US"/>
        </w:rPr>
        <w:t xml:space="preserve"> He contended </w:t>
      </w:r>
      <w:r w:rsidR="00330FAE" w:rsidRPr="000E2B31">
        <w:rPr>
          <w:rFonts w:ascii="Times New Roman" w:hAnsi="Times New Roman" w:cs="Times New Roman"/>
          <w:sz w:val="28"/>
          <w:szCs w:val="28"/>
          <w:lang w:val="en-US"/>
        </w:rPr>
        <w:t xml:space="preserve">that if the finding </w:t>
      </w:r>
      <w:r w:rsidR="003C056A" w:rsidRPr="000E2B31">
        <w:rPr>
          <w:rFonts w:ascii="Times New Roman" w:hAnsi="Times New Roman" w:cs="Times New Roman"/>
          <w:sz w:val="28"/>
          <w:szCs w:val="28"/>
          <w:lang w:val="en-US"/>
        </w:rPr>
        <w:t xml:space="preserve">upon appeal </w:t>
      </w:r>
      <w:r w:rsidR="00330FAE" w:rsidRPr="000E2B31">
        <w:rPr>
          <w:rFonts w:ascii="Times New Roman" w:hAnsi="Times New Roman" w:cs="Times New Roman"/>
          <w:sz w:val="28"/>
          <w:szCs w:val="28"/>
          <w:lang w:val="en-US"/>
        </w:rPr>
        <w:t>was that the risk evaluation offends constitutional imperatives and the provisions of the PPPFA and the regulations thereunder,</w:t>
      </w:r>
      <w:r w:rsidR="005F002F">
        <w:rPr>
          <w:rStyle w:val="FootnoteReference"/>
          <w:rFonts w:ascii="Times New Roman" w:hAnsi="Times New Roman" w:cs="Times New Roman"/>
          <w:sz w:val="28"/>
          <w:szCs w:val="28"/>
          <w:lang w:val="en-US"/>
        </w:rPr>
        <w:footnoteReference w:id="30"/>
      </w:r>
      <w:r w:rsidR="00330FAE" w:rsidRPr="000E2B31">
        <w:rPr>
          <w:rFonts w:ascii="Times New Roman" w:hAnsi="Times New Roman" w:cs="Times New Roman"/>
          <w:sz w:val="28"/>
          <w:szCs w:val="28"/>
          <w:lang w:val="en-US"/>
        </w:rPr>
        <w:t xml:space="preserve"> it would amount to the entire process being flawed and the only appropriate order would be one similar to that which was upheld in </w:t>
      </w:r>
      <w:r w:rsidR="00330FAE" w:rsidRPr="000E2B31">
        <w:rPr>
          <w:rFonts w:ascii="Times New Roman" w:hAnsi="Times New Roman" w:cs="Times New Roman"/>
          <w:i/>
          <w:iCs/>
          <w:sz w:val="28"/>
          <w:szCs w:val="28"/>
          <w:lang w:val="en-US"/>
        </w:rPr>
        <w:t xml:space="preserve">Minister </w:t>
      </w:r>
      <w:r w:rsidR="00B63179" w:rsidRPr="000E2B31">
        <w:rPr>
          <w:rFonts w:ascii="Times New Roman" w:hAnsi="Times New Roman" w:cs="Times New Roman"/>
          <w:i/>
          <w:iCs/>
          <w:sz w:val="28"/>
          <w:szCs w:val="28"/>
          <w:lang w:val="en-US"/>
        </w:rPr>
        <w:t>o</w:t>
      </w:r>
      <w:r w:rsidR="00330FAE" w:rsidRPr="000E2B31">
        <w:rPr>
          <w:rFonts w:ascii="Times New Roman" w:hAnsi="Times New Roman" w:cs="Times New Roman"/>
          <w:i/>
          <w:iCs/>
          <w:sz w:val="28"/>
          <w:szCs w:val="28"/>
          <w:lang w:val="en-US"/>
        </w:rPr>
        <w:t xml:space="preserve">f Social </w:t>
      </w:r>
      <w:r w:rsidR="005D471B" w:rsidRPr="000E2B31">
        <w:rPr>
          <w:rFonts w:ascii="Times New Roman" w:hAnsi="Times New Roman" w:cs="Times New Roman"/>
          <w:i/>
          <w:iCs/>
          <w:sz w:val="28"/>
          <w:szCs w:val="28"/>
          <w:lang w:val="en-US"/>
        </w:rPr>
        <w:t>and</w:t>
      </w:r>
      <w:r w:rsidR="00330FAE" w:rsidRPr="000E2B31">
        <w:rPr>
          <w:rFonts w:ascii="Times New Roman" w:hAnsi="Times New Roman" w:cs="Times New Roman"/>
          <w:i/>
          <w:iCs/>
          <w:sz w:val="28"/>
          <w:szCs w:val="28"/>
          <w:lang w:val="en-US"/>
        </w:rPr>
        <w:t xml:space="preserve"> Development and Others v Phoenix Cash and Carry</w:t>
      </w:r>
      <w:r w:rsidR="00330FAE" w:rsidRPr="000E2B31">
        <w:rPr>
          <w:rFonts w:ascii="Times New Roman" w:hAnsi="Times New Roman" w:cs="Times New Roman"/>
          <w:sz w:val="28"/>
          <w:szCs w:val="28"/>
          <w:lang w:val="en-US"/>
        </w:rPr>
        <w:t>.</w:t>
      </w:r>
      <w:r w:rsidR="00B63179">
        <w:rPr>
          <w:rStyle w:val="FootnoteReference"/>
          <w:rFonts w:ascii="Times New Roman" w:hAnsi="Times New Roman" w:cs="Times New Roman"/>
          <w:sz w:val="28"/>
          <w:szCs w:val="28"/>
          <w:lang w:val="en-US"/>
        </w:rPr>
        <w:footnoteReference w:id="31"/>
      </w:r>
    </w:p>
    <w:p w14:paraId="1E703FF3" w14:textId="77777777" w:rsidR="00B63179" w:rsidRPr="00B63179" w:rsidRDefault="00B63179" w:rsidP="00B63179">
      <w:pPr>
        <w:pStyle w:val="ListParagraph"/>
        <w:rPr>
          <w:rFonts w:ascii="Times New Roman" w:hAnsi="Times New Roman" w:cs="Times New Roman"/>
          <w:sz w:val="28"/>
          <w:szCs w:val="28"/>
          <w:lang w:val="en-US"/>
        </w:rPr>
      </w:pPr>
    </w:p>
    <w:p w14:paraId="41732156" w14:textId="06E62C4E" w:rsidR="009B4CEF" w:rsidRPr="000E2B31" w:rsidRDefault="000E2B31" w:rsidP="000E2B31">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[78]</w:t>
      </w:r>
      <w:r>
        <w:rPr>
          <w:rFonts w:ascii="Times New Roman" w:hAnsi="Times New Roman" w:cs="Times New Roman"/>
          <w:sz w:val="28"/>
          <w:szCs w:val="28"/>
          <w:lang w:val="en-US"/>
        </w:rPr>
        <w:tab/>
      </w:r>
      <w:r w:rsidR="00330FAE" w:rsidRPr="000E2B31">
        <w:rPr>
          <w:rFonts w:ascii="Times New Roman" w:hAnsi="Times New Roman" w:cs="Times New Roman"/>
          <w:sz w:val="28"/>
          <w:szCs w:val="28"/>
          <w:lang w:val="en-US"/>
        </w:rPr>
        <w:t>Mr</w:t>
      </w:r>
      <w:r w:rsidR="00B63179" w:rsidRPr="000E2B31">
        <w:rPr>
          <w:rFonts w:ascii="Times New Roman" w:hAnsi="Times New Roman" w:cs="Times New Roman"/>
          <w:sz w:val="28"/>
          <w:szCs w:val="28"/>
          <w:lang w:val="en-US"/>
        </w:rPr>
        <w:t>.</w:t>
      </w:r>
      <w:r w:rsidR="00330FAE" w:rsidRPr="000E2B31">
        <w:rPr>
          <w:rFonts w:ascii="Times New Roman" w:hAnsi="Times New Roman" w:cs="Times New Roman"/>
          <w:sz w:val="28"/>
          <w:szCs w:val="28"/>
          <w:lang w:val="en-US"/>
        </w:rPr>
        <w:t xml:space="preserve"> Nepgen contended </w:t>
      </w:r>
      <w:r w:rsidR="00FA3F23" w:rsidRPr="000E2B31">
        <w:rPr>
          <w:rFonts w:ascii="Times New Roman" w:hAnsi="Times New Roman" w:cs="Times New Roman"/>
          <w:sz w:val="28"/>
          <w:szCs w:val="28"/>
          <w:lang w:val="en-US"/>
        </w:rPr>
        <w:t xml:space="preserve">conversely </w:t>
      </w:r>
      <w:r w:rsidR="00330FAE" w:rsidRPr="000E2B31">
        <w:rPr>
          <w:rFonts w:ascii="Times New Roman" w:hAnsi="Times New Roman" w:cs="Times New Roman"/>
          <w:sz w:val="28"/>
          <w:szCs w:val="28"/>
          <w:lang w:val="en-US"/>
        </w:rPr>
        <w:t xml:space="preserve">that if this court was inclined to uphold the court </w:t>
      </w:r>
      <w:r w:rsidR="00330FAE" w:rsidRPr="000E2B31">
        <w:rPr>
          <w:rFonts w:ascii="Times New Roman" w:hAnsi="Times New Roman" w:cs="Times New Roman"/>
          <w:i/>
          <w:iCs/>
          <w:sz w:val="28"/>
          <w:szCs w:val="28"/>
          <w:lang w:val="en-US"/>
        </w:rPr>
        <w:t xml:space="preserve">a quo’s </w:t>
      </w:r>
      <w:r w:rsidR="00330FAE" w:rsidRPr="000E2B31">
        <w:rPr>
          <w:rFonts w:ascii="Times New Roman" w:hAnsi="Times New Roman" w:cs="Times New Roman"/>
          <w:sz w:val="28"/>
          <w:szCs w:val="28"/>
          <w:lang w:val="en-US"/>
        </w:rPr>
        <w:t xml:space="preserve">order setting aside the award of the tender in effect under paragraph 1, a substitution order </w:t>
      </w:r>
      <w:r w:rsidR="00350ADB" w:rsidRPr="000E2B31">
        <w:rPr>
          <w:rFonts w:ascii="Times New Roman" w:hAnsi="Times New Roman" w:cs="Times New Roman"/>
          <w:sz w:val="28"/>
          <w:szCs w:val="28"/>
          <w:lang w:val="en-US"/>
        </w:rPr>
        <w:t>might</w:t>
      </w:r>
      <w:r w:rsidR="00330FAE" w:rsidRPr="000E2B31">
        <w:rPr>
          <w:rFonts w:ascii="Times New Roman" w:hAnsi="Times New Roman" w:cs="Times New Roman"/>
          <w:sz w:val="28"/>
          <w:szCs w:val="28"/>
          <w:lang w:val="en-US"/>
        </w:rPr>
        <w:t xml:space="preserve"> be more appropriate in the unique circumstances </w:t>
      </w:r>
      <w:r w:rsidR="001A5237" w:rsidRPr="000E2B31">
        <w:rPr>
          <w:rFonts w:ascii="Times New Roman" w:hAnsi="Times New Roman" w:cs="Times New Roman"/>
          <w:sz w:val="28"/>
          <w:szCs w:val="28"/>
          <w:lang w:val="en-US"/>
        </w:rPr>
        <w:t>as</w:t>
      </w:r>
      <w:r w:rsidR="00350ADB" w:rsidRPr="000E2B31">
        <w:rPr>
          <w:rFonts w:ascii="Times New Roman" w:hAnsi="Times New Roman" w:cs="Times New Roman"/>
          <w:sz w:val="28"/>
          <w:szCs w:val="28"/>
          <w:lang w:val="en-US"/>
        </w:rPr>
        <w:t xml:space="preserve"> had been </w:t>
      </w:r>
      <w:r w:rsidR="00330FAE" w:rsidRPr="000E2B31">
        <w:rPr>
          <w:rFonts w:ascii="Times New Roman" w:hAnsi="Times New Roman" w:cs="Times New Roman"/>
          <w:sz w:val="28"/>
          <w:szCs w:val="28"/>
          <w:lang w:val="en-US"/>
        </w:rPr>
        <w:t>contended for by him</w:t>
      </w:r>
      <w:r w:rsidR="00350ADB" w:rsidRPr="000E2B31">
        <w:rPr>
          <w:rFonts w:ascii="Times New Roman" w:hAnsi="Times New Roman" w:cs="Times New Roman"/>
          <w:sz w:val="28"/>
          <w:szCs w:val="28"/>
          <w:lang w:val="en-US"/>
        </w:rPr>
        <w:t xml:space="preserve"> </w:t>
      </w:r>
      <w:r w:rsidR="001A5237" w:rsidRPr="000E2B31">
        <w:rPr>
          <w:rFonts w:ascii="Times New Roman" w:hAnsi="Times New Roman" w:cs="Times New Roman"/>
          <w:sz w:val="28"/>
          <w:szCs w:val="28"/>
          <w:lang w:val="en-US"/>
        </w:rPr>
        <w:t>in</w:t>
      </w:r>
      <w:r w:rsidR="00350ADB" w:rsidRPr="000E2B31">
        <w:rPr>
          <w:rFonts w:ascii="Times New Roman" w:hAnsi="Times New Roman" w:cs="Times New Roman"/>
          <w:sz w:val="28"/>
          <w:szCs w:val="28"/>
          <w:lang w:val="en-US"/>
        </w:rPr>
        <w:t xml:space="preserve"> the court </w:t>
      </w:r>
      <w:r w:rsidR="001A5237" w:rsidRPr="000E2B31">
        <w:rPr>
          <w:rFonts w:ascii="Times New Roman" w:hAnsi="Times New Roman" w:cs="Times New Roman"/>
          <w:sz w:val="28"/>
          <w:szCs w:val="28"/>
          <w:lang w:val="en-US"/>
        </w:rPr>
        <w:t>below</w:t>
      </w:r>
      <w:r w:rsidR="00690605" w:rsidRPr="000E2B31">
        <w:rPr>
          <w:rFonts w:ascii="Times New Roman" w:hAnsi="Times New Roman" w:cs="Times New Roman"/>
          <w:sz w:val="28"/>
          <w:szCs w:val="28"/>
          <w:lang w:val="en-US"/>
        </w:rPr>
        <w:t xml:space="preserve">, </w:t>
      </w:r>
      <w:r w:rsidR="005D471B" w:rsidRPr="000E2B31">
        <w:rPr>
          <w:rFonts w:ascii="Times New Roman" w:hAnsi="Times New Roman" w:cs="Times New Roman"/>
          <w:sz w:val="28"/>
          <w:szCs w:val="28"/>
          <w:lang w:val="en-US"/>
        </w:rPr>
        <w:t xml:space="preserve">because it </w:t>
      </w:r>
      <w:r w:rsidR="007F7628" w:rsidRPr="000E2B31">
        <w:rPr>
          <w:rFonts w:ascii="Times New Roman" w:hAnsi="Times New Roman" w:cs="Times New Roman"/>
          <w:sz w:val="28"/>
          <w:szCs w:val="28"/>
          <w:lang w:val="en-US"/>
        </w:rPr>
        <w:t>was</w:t>
      </w:r>
      <w:r w:rsidR="00690605" w:rsidRPr="000E2B31">
        <w:rPr>
          <w:rFonts w:ascii="Times New Roman" w:hAnsi="Times New Roman" w:cs="Times New Roman"/>
          <w:sz w:val="28"/>
          <w:szCs w:val="28"/>
          <w:lang w:val="en-US"/>
        </w:rPr>
        <w:t xml:space="preserve"> a foregone conclusion</w:t>
      </w:r>
      <w:r w:rsidR="005D471B" w:rsidRPr="000E2B31">
        <w:rPr>
          <w:rFonts w:ascii="Times New Roman" w:hAnsi="Times New Roman" w:cs="Times New Roman"/>
          <w:sz w:val="28"/>
          <w:szCs w:val="28"/>
          <w:lang w:val="en-US"/>
        </w:rPr>
        <w:t>, so he submitted,</w:t>
      </w:r>
      <w:r w:rsidR="00690605" w:rsidRPr="000E2B31">
        <w:rPr>
          <w:rFonts w:ascii="Times New Roman" w:hAnsi="Times New Roman" w:cs="Times New Roman"/>
          <w:sz w:val="28"/>
          <w:szCs w:val="28"/>
          <w:lang w:val="en-US"/>
        </w:rPr>
        <w:t xml:space="preserve"> that the first respondent ought to have been the only bidder left standing in the final running</w:t>
      </w:r>
      <w:r w:rsidR="005D471B" w:rsidRPr="000E2B31">
        <w:rPr>
          <w:rFonts w:ascii="Times New Roman" w:hAnsi="Times New Roman" w:cs="Times New Roman"/>
          <w:sz w:val="28"/>
          <w:szCs w:val="28"/>
          <w:lang w:val="en-US"/>
        </w:rPr>
        <w:t xml:space="preserve"> who should </w:t>
      </w:r>
      <w:r w:rsidR="00503165" w:rsidRPr="000E2B31">
        <w:rPr>
          <w:rFonts w:ascii="Times New Roman" w:hAnsi="Times New Roman" w:cs="Times New Roman"/>
          <w:sz w:val="28"/>
          <w:szCs w:val="28"/>
          <w:lang w:val="en-US"/>
        </w:rPr>
        <w:t xml:space="preserve">further </w:t>
      </w:r>
      <w:r w:rsidR="005D471B" w:rsidRPr="000E2B31">
        <w:rPr>
          <w:rFonts w:ascii="Times New Roman" w:hAnsi="Times New Roman" w:cs="Times New Roman"/>
          <w:sz w:val="28"/>
          <w:szCs w:val="28"/>
          <w:lang w:val="en-US"/>
        </w:rPr>
        <w:t>not have been disqualified by virtue of the impugned process</w:t>
      </w:r>
      <w:r w:rsidR="00D179B0" w:rsidRPr="000E2B31">
        <w:rPr>
          <w:rFonts w:ascii="Times New Roman" w:hAnsi="Times New Roman" w:cs="Times New Roman"/>
          <w:sz w:val="28"/>
          <w:szCs w:val="28"/>
          <w:lang w:val="en-US"/>
        </w:rPr>
        <w:t>.</w:t>
      </w:r>
      <w:r w:rsidR="00E322DF">
        <w:rPr>
          <w:rStyle w:val="FootnoteReference"/>
          <w:rFonts w:ascii="Times New Roman" w:hAnsi="Times New Roman" w:cs="Times New Roman"/>
          <w:sz w:val="28"/>
          <w:szCs w:val="28"/>
          <w:lang w:val="en-US"/>
        </w:rPr>
        <w:footnoteReference w:id="32"/>
      </w:r>
    </w:p>
    <w:p w14:paraId="78D2BC1A" w14:textId="77777777" w:rsidR="009B4CEF" w:rsidRPr="009B4CEF" w:rsidRDefault="009B4CEF" w:rsidP="009B4CEF">
      <w:pPr>
        <w:pStyle w:val="ListParagraph"/>
        <w:rPr>
          <w:rFonts w:ascii="Times New Roman" w:hAnsi="Times New Roman" w:cs="Times New Roman"/>
          <w:sz w:val="28"/>
          <w:szCs w:val="28"/>
          <w:lang w:val="en-US"/>
        </w:rPr>
      </w:pPr>
    </w:p>
    <w:p w14:paraId="65392BC6" w14:textId="563940BF" w:rsidR="009B4CEF" w:rsidRPr="000E2B31" w:rsidRDefault="000E2B31" w:rsidP="000E2B31">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[79]</w:t>
      </w:r>
      <w:r>
        <w:rPr>
          <w:rFonts w:ascii="Times New Roman" w:hAnsi="Times New Roman" w:cs="Times New Roman"/>
          <w:sz w:val="28"/>
          <w:szCs w:val="28"/>
          <w:lang w:val="en-US"/>
        </w:rPr>
        <w:tab/>
      </w:r>
      <w:r w:rsidR="009B4CEF" w:rsidRPr="000E2B31">
        <w:rPr>
          <w:rFonts w:ascii="Times New Roman" w:hAnsi="Times New Roman" w:cs="Times New Roman"/>
          <w:sz w:val="28"/>
          <w:szCs w:val="28"/>
          <w:lang w:val="en-US"/>
        </w:rPr>
        <w:t xml:space="preserve">Although one is tempted concerning this house of cards to begin with the enquiry whether the appellant acted lawfully by invoking the risk assessment and in its factual application thereof, it seems to me to be necessary to instead begin with what happened in the earlier responsive or qualification phase and more particularly with reference to the appellant’s grounds of appeal that the court </w:t>
      </w:r>
      <w:r w:rsidR="009B4CEF" w:rsidRPr="000E2B31">
        <w:rPr>
          <w:rFonts w:ascii="Times New Roman" w:hAnsi="Times New Roman" w:cs="Times New Roman"/>
          <w:i/>
          <w:iCs/>
          <w:sz w:val="28"/>
          <w:szCs w:val="28"/>
          <w:lang w:val="en-US"/>
        </w:rPr>
        <w:t>a quo</w:t>
      </w:r>
      <w:r w:rsidR="009B4CEF" w:rsidRPr="000E2B31">
        <w:rPr>
          <w:rFonts w:ascii="Times New Roman" w:hAnsi="Times New Roman" w:cs="Times New Roman"/>
          <w:sz w:val="28"/>
          <w:szCs w:val="28"/>
          <w:lang w:val="en-US"/>
        </w:rPr>
        <w:t xml:space="preserve"> erred, firstly in not finding that the second respondent’s bid was responsive in all respects and, secondly, in finding that the third respondent’s bid should also have been declared as administratively unresponsive.</w:t>
      </w:r>
    </w:p>
    <w:p w14:paraId="5D5133FA" w14:textId="77777777" w:rsidR="009B4CEF" w:rsidRPr="009B4CEF" w:rsidRDefault="009B4CEF" w:rsidP="009B4CEF">
      <w:pPr>
        <w:pStyle w:val="ListParagraph"/>
        <w:rPr>
          <w:rFonts w:ascii="Times New Roman" w:hAnsi="Times New Roman" w:cs="Times New Roman"/>
          <w:sz w:val="28"/>
          <w:szCs w:val="28"/>
          <w:lang w:val="en-US"/>
        </w:rPr>
      </w:pPr>
    </w:p>
    <w:p w14:paraId="0A405548" w14:textId="115274C7" w:rsidR="009B4CEF" w:rsidRPr="000E2B31" w:rsidRDefault="000E2B31" w:rsidP="000E2B31">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[80]</w:t>
      </w:r>
      <w:r>
        <w:rPr>
          <w:rFonts w:ascii="Times New Roman" w:hAnsi="Times New Roman" w:cs="Times New Roman"/>
          <w:sz w:val="28"/>
          <w:szCs w:val="28"/>
          <w:lang w:val="en-US"/>
        </w:rPr>
        <w:tab/>
      </w:r>
      <w:r w:rsidR="009B4CEF" w:rsidRPr="000E2B31">
        <w:rPr>
          <w:rFonts w:ascii="Times New Roman" w:hAnsi="Times New Roman" w:cs="Times New Roman"/>
          <w:sz w:val="28"/>
          <w:szCs w:val="28"/>
          <w:lang w:val="en-US"/>
        </w:rPr>
        <w:t>In the concatenation of events, if the administrative decision concerning the second respondent’s bid is found to be inconsistent with the provisions of PAJA, it will</w:t>
      </w:r>
      <w:r w:rsidR="00350ADB" w:rsidRPr="000E2B31">
        <w:rPr>
          <w:rFonts w:ascii="Times New Roman" w:hAnsi="Times New Roman" w:cs="Times New Roman"/>
          <w:sz w:val="28"/>
          <w:szCs w:val="28"/>
          <w:lang w:val="en-US"/>
        </w:rPr>
        <w:t xml:space="preserve"> in my view</w:t>
      </w:r>
      <w:r w:rsidR="009B4CEF" w:rsidRPr="000E2B31">
        <w:rPr>
          <w:rFonts w:ascii="Times New Roman" w:hAnsi="Times New Roman" w:cs="Times New Roman"/>
          <w:sz w:val="28"/>
          <w:szCs w:val="28"/>
          <w:lang w:val="en-US"/>
        </w:rPr>
        <w:t xml:space="preserve"> be unnecessary to consider the other </w:t>
      </w:r>
      <w:r w:rsidR="001A5237" w:rsidRPr="000E2B31">
        <w:rPr>
          <w:rFonts w:ascii="Times New Roman" w:hAnsi="Times New Roman" w:cs="Times New Roman"/>
          <w:sz w:val="28"/>
          <w:szCs w:val="28"/>
          <w:lang w:val="en-US"/>
        </w:rPr>
        <w:t xml:space="preserve">review </w:t>
      </w:r>
      <w:r w:rsidR="009B4CEF" w:rsidRPr="000E2B31">
        <w:rPr>
          <w:rFonts w:ascii="Times New Roman" w:hAnsi="Times New Roman" w:cs="Times New Roman"/>
          <w:sz w:val="28"/>
          <w:szCs w:val="28"/>
          <w:lang w:val="en-US"/>
        </w:rPr>
        <w:t xml:space="preserve">grounds </w:t>
      </w:r>
      <w:r w:rsidR="001A5237" w:rsidRPr="000E2B31">
        <w:rPr>
          <w:rFonts w:ascii="Times New Roman" w:hAnsi="Times New Roman" w:cs="Times New Roman"/>
          <w:sz w:val="28"/>
          <w:szCs w:val="28"/>
          <w:lang w:val="en-US"/>
        </w:rPr>
        <w:t xml:space="preserve">relied </w:t>
      </w:r>
      <w:r w:rsidR="008F5F7C" w:rsidRPr="000E2B31">
        <w:rPr>
          <w:rFonts w:ascii="Times New Roman" w:hAnsi="Times New Roman" w:cs="Times New Roman"/>
          <w:sz w:val="28"/>
          <w:szCs w:val="28"/>
          <w:lang w:val="en-US"/>
        </w:rPr>
        <w:t>upon except</w:t>
      </w:r>
      <w:r w:rsidR="009B4CEF" w:rsidRPr="000E2B31">
        <w:rPr>
          <w:rFonts w:ascii="Times New Roman" w:hAnsi="Times New Roman" w:cs="Times New Roman"/>
          <w:sz w:val="28"/>
          <w:szCs w:val="28"/>
          <w:lang w:val="en-US"/>
        </w:rPr>
        <w:t xml:space="preserve"> to reflect on what should </w:t>
      </w:r>
      <w:r w:rsidR="001A5237" w:rsidRPr="000E2B31">
        <w:rPr>
          <w:rFonts w:ascii="Times New Roman" w:hAnsi="Times New Roman" w:cs="Times New Roman"/>
          <w:sz w:val="28"/>
          <w:szCs w:val="28"/>
          <w:lang w:val="en-US"/>
        </w:rPr>
        <w:t>instead</w:t>
      </w:r>
      <w:r w:rsidR="009B4CEF" w:rsidRPr="000E2B31">
        <w:rPr>
          <w:rFonts w:ascii="Times New Roman" w:hAnsi="Times New Roman" w:cs="Times New Roman"/>
          <w:sz w:val="28"/>
          <w:szCs w:val="28"/>
          <w:lang w:val="en-US"/>
        </w:rPr>
        <w:t xml:space="preserve"> have ensued in the final award stage of the tender.</w:t>
      </w:r>
      <w:r w:rsidR="00350ADB" w:rsidRPr="000E2B31">
        <w:rPr>
          <w:rFonts w:ascii="Times New Roman" w:hAnsi="Times New Roman" w:cs="Times New Roman"/>
          <w:sz w:val="28"/>
          <w:szCs w:val="28"/>
          <w:lang w:val="en-US"/>
        </w:rPr>
        <w:t xml:space="preserve">  This is necessary to determine the issue of prejudice to the first respondent and how best to ameliorate its effect in the circumstances.</w:t>
      </w:r>
    </w:p>
    <w:p w14:paraId="61146560" w14:textId="77777777" w:rsidR="009B4CEF" w:rsidRPr="009B4CEF" w:rsidRDefault="009B4CEF" w:rsidP="009B4CEF">
      <w:pPr>
        <w:pStyle w:val="ListParagraph"/>
        <w:rPr>
          <w:rFonts w:ascii="Times New Roman" w:hAnsi="Times New Roman" w:cs="Times New Roman"/>
          <w:sz w:val="28"/>
          <w:szCs w:val="28"/>
          <w:lang w:val="en-US"/>
        </w:rPr>
      </w:pPr>
    </w:p>
    <w:p w14:paraId="415DBA56" w14:textId="0F09571E" w:rsidR="009B4CEF" w:rsidRPr="000E2B31" w:rsidRDefault="000E2B31" w:rsidP="000E2B31">
      <w:pPr>
        <w:tabs>
          <w:tab w:val="left" w:pos="709"/>
        </w:tabs>
        <w:spacing w:before="0" w:beforeAutospacing="0"/>
        <w:jc w:val="both"/>
        <w:rPr>
          <w:rFonts w:ascii="Times New Roman" w:hAnsi="Times New Roman" w:cs="Times New Roman"/>
          <w:sz w:val="28"/>
          <w:szCs w:val="28"/>
          <w:lang w:val="en-US"/>
        </w:rPr>
      </w:pPr>
      <w:r w:rsidRPr="009B4CEF">
        <w:rPr>
          <w:rFonts w:ascii="Times New Roman" w:hAnsi="Times New Roman" w:cs="Times New Roman"/>
          <w:sz w:val="28"/>
          <w:szCs w:val="28"/>
          <w:lang w:val="en-US"/>
        </w:rPr>
        <w:t>[81]</w:t>
      </w:r>
      <w:r w:rsidRPr="009B4CEF">
        <w:rPr>
          <w:rFonts w:ascii="Times New Roman" w:hAnsi="Times New Roman" w:cs="Times New Roman"/>
          <w:sz w:val="28"/>
          <w:szCs w:val="28"/>
          <w:lang w:val="en-US"/>
        </w:rPr>
        <w:tab/>
      </w:r>
      <w:r w:rsidR="009B4CEF" w:rsidRPr="000E2B31">
        <w:rPr>
          <w:rFonts w:ascii="Times New Roman" w:hAnsi="Times New Roman" w:cs="Times New Roman"/>
          <w:sz w:val="28"/>
          <w:szCs w:val="28"/>
          <w:lang w:val="en-US"/>
        </w:rPr>
        <w:t xml:space="preserve">That of course also requires a consideration of the issue whether the third respondent’s bid properly passed beyond the qualification stage, otherwise the </w:t>
      </w:r>
      <w:r w:rsidR="00350ADB" w:rsidRPr="000E2B31">
        <w:rPr>
          <w:rFonts w:ascii="Times New Roman" w:hAnsi="Times New Roman" w:cs="Times New Roman"/>
          <w:sz w:val="28"/>
          <w:szCs w:val="28"/>
          <w:lang w:val="en-US"/>
        </w:rPr>
        <w:t xml:space="preserve">question of the prejudice to the </w:t>
      </w:r>
      <w:r w:rsidR="009B4CEF" w:rsidRPr="000E2B31">
        <w:rPr>
          <w:rFonts w:ascii="Times New Roman" w:hAnsi="Times New Roman" w:cs="Times New Roman"/>
          <w:sz w:val="28"/>
          <w:szCs w:val="28"/>
          <w:lang w:val="en-US"/>
        </w:rPr>
        <w:t xml:space="preserve">first respondent must be decided against the background that the two of them fairly competed with each other to the end. </w:t>
      </w:r>
      <w:r w:rsidR="009B4CEF" w:rsidRPr="000E2B31">
        <w:rPr>
          <w:rFonts w:ascii="Times New Roman" w:hAnsi="Times New Roman" w:cs="Times New Roman"/>
          <w:sz w:val="28"/>
          <w:szCs w:val="28"/>
        </w:rPr>
        <w:t xml:space="preserve">Either of these “decisions” (there was in reality only one decision of the BEC on </w:t>
      </w:r>
      <w:r w:rsidR="00350ADB" w:rsidRPr="000E2B31">
        <w:rPr>
          <w:rFonts w:ascii="Times New Roman" w:hAnsi="Times New Roman" w:cs="Times New Roman"/>
          <w:sz w:val="28"/>
          <w:szCs w:val="28"/>
        </w:rPr>
        <w:t xml:space="preserve">26 </w:t>
      </w:r>
      <w:r w:rsidR="009B4CEF" w:rsidRPr="000E2B31">
        <w:rPr>
          <w:rFonts w:ascii="Times New Roman" w:hAnsi="Times New Roman" w:cs="Times New Roman"/>
          <w:sz w:val="28"/>
          <w:szCs w:val="28"/>
        </w:rPr>
        <w:t>July 2019 concerning which bidders met the pre-qualification criteria) had implications all on their own</w:t>
      </w:r>
      <w:r w:rsidR="001A5237" w:rsidRPr="000E2B31">
        <w:rPr>
          <w:rFonts w:ascii="Times New Roman" w:hAnsi="Times New Roman" w:cs="Times New Roman"/>
          <w:sz w:val="28"/>
          <w:szCs w:val="28"/>
        </w:rPr>
        <w:t>.</w:t>
      </w:r>
      <w:r w:rsidR="009B4CEF" w:rsidRPr="000E2B31">
        <w:rPr>
          <w:rFonts w:ascii="Times New Roman" w:hAnsi="Times New Roman" w:cs="Times New Roman"/>
          <w:sz w:val="28"/>
          <w:szCs w:val="28"/>
        </w:rPr>
        <w:t xml:space="preserve"> </w:t>
      </w:r>
      <w:r w:rsidR="001A5237" w:rsidRPr="000E2B31">
        <w:rPr>
          <w:rFonts w:ascii="Times New Roman" w:hAnsi="Times New Roman" w:cs="Times New Roman"/>
          <w:sz w:val="28"/>
          <w:szCs w:val="28"/>
        </w:rPr>
        <w:t xml:space="preserve">Interestingly though the first respondent’s case was not that these </w:t>
      </w:r>
      <w:r w:rsidR="001A5237" w:rsidRPr="000E2B31">
        <w:rPr>
          <w:rFonts w:ascii="Times New Roman" w:hAnsi="Times New Roman" w:cs="Times New Roman"/>
          <w:sz w:val="28"/>
          <w:szCs w:val="28"/>
        </w:rPr>
        <w:lastRenderedPageBreak/>
        <w:t xml:space="preserve">“bad decisions” entirely vitiated the tender proceedings even though it might be said </w:t>
      </w:r>
      <w:r w:rsidR="00156A86" w:rsidRPr="000E2B31">
        <w:rPr>
          <w:rFonts w:ascii="Times New Roman" w:hAnsi="Times New Roman" w:cs="Times New Roman"/>
          <w:sz w:val="28"/>
          <w:szCs w:val="28"/>
        </w:rPr>
        <w:t xml:space="preserve">that </w:t>
      </w:r>
      <w:r w:rsidR="009A1480" w:rsidRPr="000E2B31">
        <w:rPr>
          <w:rFonts w:ascii="Times New Roman" w:hAnsi="Times New Roman" w:cs="Times New Roman"/>
          <w:sz w:val="28"/>
          <w:szCs w:val="28"/>
        </w:rPr>
        <w:t>they are symptoms on their own</w:t>
      </w:r>
      <w:r w:rsidR="009B4CEF" w:rsidRPr="000E2B31">
        <w:rPr>
          <w:rFonts w:ascii="Times New Roman" w:hAnsi="Times New Roman" w:cs="Times New Roman"/>
          <w:sz w:val="28"/>
          <w:szCs w:val="28"/>
        </w:rPr>
        <w:t xml:space="preserve"> of a tainted process.  </w:t>
      </w:r>
    </w:p>
    <w:p w14:paraId="003FCACF" w14:textId="77777777" w:rsidR="009B4CEF" w:rsidRPr="009B4CEF" w:rsidRDefault="009B4CEF" w:rsidP="009B4CEF">
      <w:pPr>
        <w:pStyle w:val="ListParagraph"/>
        <w:rPr>
          <w:rFonts w:ascii="Times New Roman" w:hAnsi="Times New Roman" w:cs="Times New Roman"/>
          <w:sz w:val="28"/>
          <w:szCs w:val="28"/>
          <w:lang w:val="en-US"/>
        </w:rPr>
      </w:pPr>
    </w:p>
    <w:p w14:paraId="75C57A97" w14:textId="18CE8980" w:rsidR="000B1FFC" w:rsidRPr="00443EF6" w:rsidRDefault="000B1FFC" w:rsidP="000B1FFC">
      <w:pPr>
        <w:pStyle w:val="ListParagraph"/>
        <w:tabs>
          <w:tab w:val="left" w:pos="709"/>
        </w:tabs>
        <w:spacing w:before="0" w:beforeAutospacing="0"/>
        <w:ind w:left="0"/>
        <w:jc w:val="both"/>
        <w:rPr>
          <w:rFonts w:ascii="Times New Roman" w:hAnsi="Times New Roman" w:cs="Times New Roman"/>
          <w:sz w:val="28"/>
          <w:szCs w:val="28"/>
          <w:u w:val="single"/>
          <w:lang w:val="en-US"/>
        </w:rPr>
      </w:pPr>
      <w:r>
        <w:rPr>
          <w:rFonts w:ascii="Times New Roman" w:hAnsi="Times New Roman" w:cs="Times New Roman"/>
          <w:sz w:val="28"/>
          <w:szCs w:val="28"/>
          <w:u w:val="single"/>
          <w:lang w:val="en-US"/>
        </w:rPr>
        <w:t>The r</w:t>
      </w:r>
      <w:r w:rsidRPr="00443EF6">
        <w:rPr>
          <w:rFonts w:ascii="Times New Roman" w:hAnsi="Times New Roman" w:cs="Times New Roman"/>
          <w:sz w:val="28"/>
          <w:szCs w:val="28"/>
          <w:u w:val="single"/>
          <w:lang w:val="en-US"/>
        </w:rPr>
        <w:t xml:space="preserve">esponsiveness of the second </w:t>
      </w:r>
      <w:r>
        <w:rPr>
          <w:rFonts w:ascii="Times New Roman" w:hAnsi="Times New Roman" w:cs="Times New Roman"/>
          <w:sz w:val="28"/>
          <w:szCs w:val="28"/>
          <w:u w:val="single"/>
          <w:lang w:val="en-US"/>
        </w:rPr>
        <w:t xml:space="preserve">and third </w:t>
      </w:r>
      <w:r w:rsidRPr="00443EF6">
        <w:rPr>
          <w:rFonts w:ascii="Times New Roman" w:hAnsi="Times New Roman" w:cs="Times New Roman"/>
          <w:sz w:val="28"/>
          <w:szCs w:val="28"/>
          <w:u w:val="single"/>
          <w:lang w:val="en-US"/>
        </w:rPr>
        <w:t>respondent’s bid</w:t>
      </w:r>
      <w:r>
        <w:rPr>
          <w:rFonts w:ascii="Times New Roman" w:hAnsi="Times New Roman" w:cs="Times New Roman"/>
          <w:sz w:val="28"/>
          <w:szCs w:val="28"/>
          <w:u w:val="single"/>
          <w:lang w:val="en-US"/>
        </w:rPr>
        <w:t>s</w:t>
      </w:r>
      <w:r w:rsidRPr="00443EF6">
        <w:rPr>
          <w:rFonts w:ascii="Times New Roman" w:hAnsi="Times New Roman" w:cs="Times New Roman"/>
          <w:sz w:val="28"/>
          <w:szCs w:val="28"/>
          <w:u w:val="single"/>
          <w:lang w:val="en-US"/>
        </w:rPr>
        <w:t xml:space="preserve"> </w:t>
      </w:r>
    </w:p>
    <w:p w14:paraId="33FCFA2D" w14:textId="77777777" w:rsidR="000B1FFC" w:rsidRPr="00A009BB" w:rsidRDefault="000B1FFC" w:rsidP="000B1FFC">
      <w:pPr>
        <w:pStyle w:val="ListParagraph"/>
        <w:tabs>
          <w:tab w:val="left" w:pos="709"/>
        </w:tabs>
        <w:spacing w:before="0" w:beforeAutospacing="0"/>
        <w:ind w:left="709"/>
        <w:jc w:val="both"/>
        <w:rPr>
          <w:rFonts w:ascii="Times New Roman" w:hAnsi="Times New Roman" w:cs="Times New Roman"/>
          <w:sz w:val="24"/>
          <w:szCs w:val="24"/>
          <w:lang w:val="en-US"/>
        </w:rPr>
      </w:pPr>
    </w:p>
    <w:p w14:paraId="4B6F6C4E" w14:textId="04B22A97" w:rsidR="000B1FFC" w:rsidRPr="000E2B31" w:rsidRDefault="000E2B31" w:rsidP="000E2B31">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[82]</w:t>
      </w:r>
      <w:r>
        <w:rPr>
          <w:rFonts w:ascii="Times New Roman" w:hAnsi="Times New Roman" w:cs="Times New Roman"/>
          <w:sz w:val="28"/>
          <w:szCs w:val="28"/>
          <w:lang w:val="en-US"/>
        </w:rPr>
        <w:tab/>
      </w:r>
      <w:r w:rsidR="000B1FFC" w:rsidRPr="000E2B31">
        <w:rPr>
          <w:rFonts w:ascii="Times New Roman" w:hAnsi="Times New Roman" w:cs="Times New Roman"/>
          <w:sz w:val="28"/>
          <w:szCs w:val="28"/>
          <w:lang w:val="en-US"/>
        </w:rPr>
        <w:t>The primary question is this regard is whether the second and third respondent’s bids complied with the specifications of the tender.</w:t>
      </w:r>
    </w:p>
    <w:p w14:paraId="0CDAAF93" w14:textId="77777777" w:rsidR="008A1F57" w:rsidRDefault="008A1F57" w:rsidP="008A1F57">
      <w:pPr>
        <w:pStyle w:val="ListParagraph"/>
        <w:tabs>
          <w:tab w:val="left" w:pos="709"/>
        </w:tabs>
        <w:spacing w:before="0" w:beforeAutospacing="0"/>
        <w:ind w:left="0"/>
        <w:jc w:val="both"/>
        <w:rPr>
          <w:rFonts w:ascii="Times New Roman" w:hAnsi="Times New Roman" w:cs="Times New Roman"/>
          <w:sz w:val="28"/>
          <w:szCs w:val="28"/>
          <w:lang w:val="en-US"/>
        </w:rPr>
      </w:pPr>
    </w:p>
    <w:p w14:paraId="1447ABF2" w14:textId="2599C3EC" w:rsidR="008A1F57" w:rsidRPr="000E2B31" w:rsidRDefault="000E2B31" w:rsidP="000E2B31">
      <w:pPr>
        <w:tabs>
          <w:tab w:val="left" w:pos="709"/>
        </w:tabs>
        <w:spacing w:before="0" w:beforeAutospacing="0"/>
        <w:jc w:val="both"/>
        <w:rPr>
          <w:rFonts w:ascii="Times New Roman" w:hAnsi="Times New Roman" w:cs="Times New Roman"/>
          <w:sz w:val="28"/>
          <w:szCs w:val="28"/>
          <w:u w:val="single"/>
          <w:lang w:val="en-US"/>
        </w:rPr>
      </w:pPr>
      <w:r w:rsidRPr="008A1F57">
        <w:rPr>
          <w:rFonts w:ascii="Times New Roman" w:hAnsi="Times New Roman" w:cs="Times New Roman"/>
          <w:sz w:val="28"/>
          <w:szCs w:val="28"/>
          <w:lang w:val="en-US"/>
        </w:rPr>
        <w:t>[83]</w:t>
      </w:r>
      <w:r w:rsidRPr="008A1F57">
        <w:rPr>
          <w:rFonts w:ascii="Times New Roman" w:hAnsi="Times New Roman" w:cs="Times New Roman"/>
          <w:sz w:val="28"/>
          <w:szCs w:val="28"/>
          <w:lang w:val="en-US"/>
        </w:rPr>
        <w:tab/>
      </w:r>
      <w:r w:rsidR="008A1F57" w:rsidRPr="000E2B31">
        <w:rPr>
          <w:rFonts w:ascii="Times New Roman" w:hAnsi="Times New Roman" w:cs="Times New Roman"/>
          <w:sz w:val="28"/>
          <w:szCs w:val="28"/>
          <w:lang w:val="en-US"/>
        </w:rPr>
        <w:t xml:space="preserve">There is no question that the evaluation and award of a tender constitutes administrative action and is reviewable under PAJA, hence the first’s respondent’s </w:t>
      </w:r>
      <w:r w:rsidR="00103AB0" w:rsidRPr="000E2B31">
        <w:rPr>
          <w:rFonts w:ascii="Times New Roman" w:hAnsi="Times New Roman" w:cs="Times New Roman"/>
          <w:sz w:val="28"/>
          <w:szCs w:val="28"/>
          <w:lang w:val="en-US"/>
        </w:rPr>
        <w:t>principal</w:t>
      </w:r>
      <w:r w:rsidR="005A4C9A" w:rsidRPr="000E2B31">
        <w:rPr>
          <w:rFonts w:ascii="Times New Roman" w:hAnsi="Times New Roman" w:cs="Times New Roman"/>
          <w:sz w:val="28"/>
          <w:szCs w:val="28"/>
          <w:lang w:val="en-US"/>
        </w:rPr>
        <w:t xml:space="preserve"> </w:t>
      </w:r>
      <w:r w:rsidR="002E09E4" w:rsidRPr="000E2B31">
        <w:rPr>
          <w:rFonts w:ascii="Times New Roman" w:hAnsi="Times New Roman" w:cs="Times New Roman"/>
          <w:sz w:val="28"/>
          <w:szCs w:val="28"/>
          <w:lang w:val="en-US"/>
        </w:rPr>
        <w:t>reliance</w:t>
      </w:r>
      <w:r w:rsidR="008A1F57" w:rsidRPr="000E2B31">
        <w:rPr>
          <w:rFonts w:ascii="Times New Roman" w:hAnsi="Times New Roman" w:cs="Times New Roman"/>
          <w:sz w:val="28"/>
          <w:szCs w:val="28"/>
          <w:lang w:val="en-US"/>
        </w:rPr>
        <w:t xml:space="preserve"> in the review </w:t>
      </w:r>
      <w:r w:rsidR="002E09E4" w:rsidRPr="000E2B31">
        <w:rPr>
          <w:rFonts w:ascii="Times New Roman" w:hAnsi="Times New Roman" w:cs="Times New Roman"/>
          <w:sz w:val="28"/>
          <w:szCs w:val="28"/>
          <w:lang w:val="en-US"/>
        </w:rPr>
        <w:t xml:space="preserve">application on section 6 (2) (b) of PAJA to the effect </w:t>
      </w:r>
      <w:r w:rsidR="008A1F57" w:rsidRPr="000E2B31">
        <w:rPr>
          <w:rFonts w:ascii="Times New Roman" w:hAnsi="Times New Roman" w:cs="Times New Roman"/>
          <w:sz w:val="28"/>
          <w:szCs w:val="28"/>
          <w:lang w:val="en-US"/>
        </w:rPr>
        <w:t>that the appellant had not complied with a mandatory and material procedure or condition prescribed by an empowering provision.</w:t>
      </w:r>
      <w:r w:rsidR="008A1F57">
        <w:rPr>
          <w:rStyle w:val="FootnoteReference"/>
          <w:rFonts w:ascii="Times New Roman" w:hAnsi="Times New Roman" w:cs="Times New Roman"/>
          <w:sz w:val="28"/>
          <w:szCs w:val="28"/>
          <w:lang w:val="en-US"/>
        </w:rPr>
        <w:footnoteReference w:id="33"/>
      </w:r>
    </w:p>
    <w:p w14:paraId="3CB594D9" w14:textId="77777777" w:rsidR="008A1F57" w:rsidRPr="008A1F57" w:rsidRDefault="008A1F57" w:rsidP="008A1F57">
      <w:pPr>
        <w:pStyle w:val="ListParagraph"/>
        <w:rPr>
          <w:rFonts w:ascii="Times New Roman" w:hAnsi="Times New Roman" w:cs="Times New Roman"/>
          <w:sz w:val="28"/>
          <w:szCs w:val="28"/>
          <w:u w:val="single"/>
          <w:lang w:val="en-US"/>
        </w:rPr>
      </w:pPr>
    </w:p>
    <w:p w14:paraId="4B32F6AE" w14:textId="3FE0E010" w:rsidR="002E09E4" w:rsidRPr="000E2B31" w:rsidRDefault="000E2B31" w:rsidP="000E2B31">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[84]</w:t>
      </w:r>
      <w:r>
        <w:rPr>
          <w:rFonts w:ascii="Times New Roman" w:hAnsi="Times New Roman" w:cs="Times New Roman"/>
          <w:sz w:val="28"/>
          <w:szCs w:val="28"/>
          <w:lang w:val="en-US"/>
        </w:rPr>
        <w:tab/>
      </w:r>
      <w:r w:rsidR="002E09E4" w:rsidRPr="000E2B31">
        <w:rPr>
          <w:rFonts w:ascii="Times New Roman" w:hAnsi="Times New Roman" w:cs="Times New Roman"/>
          <w:sz w:val="28"/>
          <w:szCs w:val="28"/>
          <w:lang w:val="en-US"/>
        </w:rPr>
        <w:t>Section 217 of the Constitution prescribes that the procurement of goods and services by an organ of state must be carried out in terms of the principles set out in section 217 (1) of the Constitution, which reads:</w:t>
      </w:r>
    </w:p>
    <w:p w14:paraId="7D2E4E45" w14:textId="77777777" w:rsidR="002E09E4" w:rsidRDefault="002E09E4" w:rsidP="002E09E4">
      <w:pPr>
        <w:pStyle w:val="ListParagraph"/>
        <w:tabs>
          <w:tab w:val="left" w:pos="709"/>
        </w:tabs>
        <w:spacing w:before="0" w:beforeAutospacing="0"/>
        <w:ind w:left="0"/>
        <w:jc w:val="both"/>
        <w:rPr>
          <w:rFonts w:ascii="Times New Roman" w:hAnsi="Times New Roman" w:cs="Times New Roman"/>
          <w:sz w:val="28"/>
          <w:szCs w:val="28"/>
          <w:lang w:val="en-US"/>
        </w:rPr>
      </w:pPr>
    </w:p>
    <w:p w14:paraId="747D9DD5" w14:textId="77777777" w:rsidR="002E09E4" w:rsidRPr="00EC4186" w:rsidRDefault="002E09E4" w:rsidP="00A55F48">
      <w:pPr>
        <w:pStyle w:val="lg-section"/>
        <w:shd w:val="clear" w:color="auto" w:fill="FFFFFF"/>
        <w:spacing w:before="0" w:beforeAutospacing="0" w:after="0" w:afterAutospacing="0"/>
        <w:ind w:left="720"/>
        <w:contextualSpacing/>
        <w:jc w:val="both"/>
        <w:rPr>
          <w:color w:val="000000"/>
        </w:rPr>
      </w:pPr>
      <w:r>
        <w:rPr>
          <w:color w:val="000000"/>
        </w:rPr>
        <w:t>“</w:t>
      </w:r>
      <w:r w:rsidRPr="00EC4186">
        <w:rPr>
          <w:color w:val="000000"/>
        </w:rPr>
        <w:t>When an organ of state in the national, provincial or local sphere of government, or any other institution identified in national legislation, contracts for goods or services, it must do so in accordance with a system which is fair, equitable, transparent, competitive and cost-effective.</w:t>
      </w:r>
      <w:r>
        <w:rPr>
          <w:color w:val="000000"/>
        </w:rPr>
        <w:t>”</w:t>
      </w:r>
    </w:p>
    <w:p w14:paraId="2B01DB20" w14:textId="77777777" w:rsidR="00350ADB" w:rsidRDefault="00350ADB" w:rsidP="00350ADB">
      <w:pPr>
        <w:pStyle w:val="ListParagraph"/>
        <w:tabs>
          <w:tab w:val="left" w:pos="709"/>
        </w:tabs>
        <w:spacing w:before="0" w:beforeAutospacing="0"/>
        <w:ind w:left="0"/>
        <w:jc w:val="both"/>
        <w:rPr>
          <w:rFonts w:ascii="Times New Roman" w:hAnsi="Times New Roman" w:cs="Times New Roman"/>
          <w:sz w:val="28"/>
          <w:szCs w:val="28"/>
          <w:lang w:val="en-US"/>
        </w:rPr>
      </w:pPr>
    </w:p>
    <w:p w14:paraId="12680C89" w14:textId="528C85FC" w:rsidR="008A1F57" w:rsidRPr="000E2B31" w:rsidRDefault="000E2B31" w:rsidP="000E2B31">
      <w:pPr>
        <w:tabs>
          <w:tab w:val="left" w:pos="709"/>
        </w:tabs>
        <w:spacing w:before="0" w:beforeAutospacing="0"/>
        <w:jc w:val="both"/>
        <w:rPr>
          <w:rFonts w:ascii="Times New Roman" w:hAnsi="Times New Roman" w:cs="Times New Roman"/>
          <w:sz w:val="28"/>
          <w:szCs w:val="28"/>
          <w:lang w:val="en-US"/>
        </w:rPr>
      </w:pPr>
      <w:r w:rsidRPr="002E09E4">
        <w:rPr>
          <w:rFonts w:ascii="Times New Roman" w:hAnsi="Times New Roman" w:cs="Times New Roman"/>
          <w:sz w:val="28"/>
          <w:szCs w:val="28"/>
          <w:lang w:val="en-US"/>
        </w:rPr>
        <w:lastRenderedPageBreak/>
        <w:t>[85]</w:t>
      </w:r>
      <w:r w:rsidRPr="002E09E4">
        <w:rPr>
          <w:rFonts w:ascii="Times New Roman" w:hAnsi="Times New Roman" w:cs="Times New Roman"/>
          <w:sz w:val="28"/>
          <w:szCs w:val="28"/>
          <w:lang w:val="en-US"/>
        </w:rPr>
        <w:tab/>
      </w:r>
      <w:r w:rsidR="002E09E4" w:rsidRPr="000E2B31">
        <w:rPr>
          <w:rFonts w:ascii="Times New Roman" w:hAnsi="Times New Roman" w:cs="Times New Roman"/>
          <w:sz w:val="28"/>
          <w:szCs w:val="28"/>
          <w:lang w:val="en-US"/>
        </w:rPr>
        <w:t>Section 217 (3) requires that national legislation must prescribe a framework for the implementation of a preferential procurement policy. The PPPFA is legislation pursuant to this injunction.</w:t>
      </w:r>
    </w:p>
    <w:p w14:paraId="29583685" w14:textId="77777777" w:rsidR="000B1FFC" w:rsidRDefault="000B1FFC" w:rsidP="000B1FFC">
      <w:pPr>
        <w:pStyle w:val="ListParagraph"/>
        <w:tabs>
          <w:tab w:val="left" w:pos="709"/>
        </w:tabs>
        <w:spacing w:before="0" w:beforeAutospacing="0"/>
        <w:ind w:left="0"/>
        <w:jc w:val="both"/>
        <w:rPr>
          <w:rFonts w:ascii="Times New Roman" w:hAnsi="Times New Roman" w:cs="Times New Roman"/>
          <w:sz w:val="28"/>
          <w:szCs w:val="28"/>
          <w:lang w:val="en-US"/>
        </w:rPr>
      </w:pPr>
    </w:p>
    <w:p w14:paraId="0B166BFD" w14:textId="2272A04D" w:rsidR="000B1FFC" w:rsidRPr="000E2B31" w:rsidRDefault="000E2B31" w:rsidP="000E2B31">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[86]</w:t>
      </w:r>
      <w:r>
        <w:rPr>
          <w:rFonts w:ascii="Times New Roman" w:hAnsi="Times New Roman" w:cs="Times New Roman"/>
          <w:sz w:val="28"/>
          <w:szCs w:val="28"/>
          <w:lang w:val="en-US"/>
        </w:rPr>
        <w:tab/>
      </w:r>
      <w:r w:rsidR="000B1FFC" w:rsidRPr="000E2B31">
        <w:rPr>
          <w:rFonts w:ascii="Times New Roman" w:hAnsi="Times New Roman" w:cs="Times New Roman"/>
          <w:sz w:val="28"/>
          <w:szCs w:val="28"/>
          <w:lang w:val="en-US"/>
        </w:rPr>
        <w:t xml:space="preserve">An “acceptable tender” is defined in </w:t>
      </w:r>
      <w:r w:rsidR="002E09E4" w:rsidRPr="000E2B31">
        <w:rPr>
          <w:rFonts w:ascii="Times New Roman" w:hAnsi="Times New Roman" w:cs="Times New Roman"/>
          <w:sz w:val="28"/>
          <w:szCs w:val="28"/>
          <w:lang w:val="en-US"/>
        </w:rPr>
        <w:t xml:space="preserve">section 1 of </w:t>
      </w:r>
      <w:r w:rsidR="000B1FFC" w:rsidRPr="000E2B31">
        <w:rPr>
          <w:rFonts w:ascii="Times New Roman" w:hAnsi="Times New Roman" w:cs="Times New Roman"/>
          <w:sz w:val="28"/>
          <w:szCs w:val="28"/>
          <w:lang w:val="en-US"/>
        </w:rPr>
        <w:t>the PPPFA as any “tender which, in all respects, complies with the specifications and conditions of tender as set out in the tender document”.  In this regard the tender Data forewarned that any material non-compliance with the tender requirements would render the bid non-responsive.</w:t>
      </w:r>
      <w:r w:rsidR="000B1FFC">
        <w:rPr>
          <w:rStyle w:val="FootnoteReference"/>
          <w:rFonts w:ascii="Times New Roman" w:hAnsi="Times New Roman" w:cs="Times New Roman"/>
          <w:sz w:val="28"/>
          <w:szCs w:val="28"/>
          <w:lang w:val="en-US"/>
        </w:rPr>
        <w:footnoteReference w:id="34"/>
      </w:r>
    </w:p>
    <w:p w14:paraId="76398201" w14:textId="77777777" w:rsidR="000B1FFC" w:rsidRDefault="000B1FFC" w:rsidP="000B1FFC">
      <w:pPr>
        <w:pStyle w:val="ListParagraph"/>
        <w:tabs>
          <w:tab w:val="left" w:pos="709"/>
        </w:tabs>
        <w:spacing w:before="0" w:beforeAutospacing="0"/>
        <w:ind w:left="0"/>
        <w:jc w:val="both"/>
        <w:rPr>
          <w:rFonts w:ascii="Times New Roman" w:hAnsi="Times New Roman" w:cs="Times New Roman"/>
          <w:sz w:val="28"/>
          <w:szCs w:val="28"/>
          <w:lang w:val="en-US"/>
        </w:rPr>
      </w:pPr>
    </w:p>
    <w:p w14:paraId="173D49F1" w14:textId="544300C1" w:rsidR="000B1FFC" w:rsidRPr="000E2B31" w:rsidRDefault="000E2B31" w:rsidP="000E2B31">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[87]</w:t>
      </w:r>
      <w:r>
        <w:rPr>
          <w:rFonts w:ascii="Times New Roman" w:hAnsi="Times New Roman" w:cs="Times New Roman"/>
          <w:sz w:val="28"/>
          <w:szCs w:val="28"/>
          <w:lang w:val="en-US"/>
        </w:rPr>
        <w:tab/>
      </w:r>
      <w:r w:rsidR="000B1FFC" w:rsidRPr="000E2B31">
        <w:rPr>
          <w:rFonts w:ascii="Times New Roman" w:hAnsi="Times New Roman" w:cs="Times New Roman"/>
          <w:sz w:val="28"/>
          <w:szCs w:val="28"/>
          <w:lang w:val="en-US"/>
        </w:rPr>
        <w:t xml:space="preserve">PA-09 (EC): List of Returnable Documents that formed part of the tender documents listed which documents it was mandatory for </w:t>
      </w:r>
      <w:r w:rsidR="00C948B1" w:rsidRPr="000E2B31">
        <w:rPr>
          <w:rFonts w:ascii="Times New Roman" w:hAnsi="Times New Roman" w:cs="Times New Roman"/>
          <w:sz w:val="28"/>
          <w:szCs w:val="28"/>
          <w:lang w:val="en-US"/>
        </w:rPr>
        <w:t>the tenderers</w:t>
      </w:r>
      <w:r w:rsidR="000B1FFC" w:rsidRPr="000E2B31">
        <w:rPr>
          <w:rFonts w:ascii="Times New Roman" w:hAnsi="Times New Roman" w:cs="Times New Roman"/>
          <w:sz w:val="28"/>
          <w:szCs w:val="28"/>
          <w:lang w:val="en-US"/>
        </w:rPr>
        <w:t xml:space="preserve"> to submit with a bid.</w:t>
      </w:r>
    </w:p>
    <w:p w14:paraId="254A537B" w14:textId="77777777" w:rsidR="000B1FFC" w:rsidRPr="00CE4BDF" w:rsidRDefault="000B1FFC" w:rsidP="000B1FFC">
      <w:pPr>
        <w:pStyle w:val="ListParagraph"/>
        <w:rPr>
          <w:rFonts w:ascii="Times New Roman" w:hAnsi="Times New Roman" w:cs="Times New Roman"/>
          <w:sz w:val="28"/>
          <w:szCs w:val="28"/>
          <w:lang w:val="en-US"/>
        </w:rPr>
      </w:pPr>
    </w:p>
    <w:p w14:paraId="2F71609D" w14:textId="3777E31A" w:rsidR="000B1FFC" w:rsidRPr="000E2B31" w:rsidRDefault="000E2B31" w:rsidP="000E2B31">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[88]</w:t>
      </w:r>
      <w:r>
        <w:rPr>
          <w:rFonts w:ascii="Times New Roman" w:hAnsi="Times New Roman" w:cs="Times New Roman"/>
          <w:sz w:val="28"/>
          <w:szCs w:val="28"/>
          <w:lang w:val="en-US"/>
        </w:rPr>
        <w:tab/>
      </w:r>
      <w:r w:rsidR="000B1FFC" w:rsidRPr="000E2B31">
        <w:rPr>
          <w:rFonts w:ascii="Times New Roman" w:hAnsi="Times New Roman" w:cs="Times New Roman"/>
          <w:sz w:val="28"/>
          <w:szCs w:val="28"/>
          <w:lang w:val="en-US"/>
        </w:rPr>
        <w:t>Two of the documents required to be submitted were:</w:t>
      </w:r>
    </w:p>
    <w:p w14:paraId="2B943317" w14:textId="77777777" w:rsidR="000B1FFC" w:rsidRPr="00CE4BDF" w:rsidRDefault="000B1FFC" w:rsidP="000B1FFC">
      <w:pPr>
        <w:pStyle w:val="ListParagraph"/>
        <w:rPr>
          <w:rFonts w:ascii="Times New Roman" w:hAnsi="Times New Roman" w:cs="Times New Roman"/>
          <w:sz w:val="28"/>
          <w:szCs w:val="28"/>
          <w:lang w:val="en-US"/>
        </w:rPr>
      </w:pPr>
    </w:p>
    <w:p w14:paraId="6F78BAD7" w14:textId="5072A5C6" w:rsidR="000B1FFC" w:rsidRDefault="000B1FFC" w:rsidP="000B1FFC">
      <w:pPr>
        <w:pStyle w:val="ListParagraph"/>
        <w:tabs>
          <w:tab w:val="left" w:pos="709"/>
        </w:tabs>
        <w:spacing w:before="0" w:beforeAutospacing="0"/>
        <w:ind w:left="1440" w:hanging="1440"/>
        <w:jc w:val="both"/>
        <w:rPr>
          <w:rFonts w:ascii="Times New Roman" w:hAnsi="Times New Roman" w:cs="Times New Roman"/>
          <w:sz w:val="28"/>
          <w:szCs w:val="28"/>
          <w:lang w:val="en-US"/>
        </w:rPr>
      </w:pPr>
      <w:r>
        <w:rPr>
          <w:rFonts w:ascii="Times New Roman" w:hAnsi="Times New Roman" w:cs="Times New Roman"/>
          <w:sz w:val="28"/>
          <w:szCs w:val="28"/>
          <w:lang w:val="en-US"/>
        </w:rPr>
        <w:tab/>
        <w:t>8</w:t>
      </w:r>
      <w:r w:rsidR="00350ADB">
        <w:rPr>
          <w:rFonts w:ascii="Times New Roman" w:hAnsi="Times New Roman" w:cs="Times New Roman"/>
          <w:sz w:val="28"/>
          <w:szCs w:val="28"/>
          <w:lang w:val="en-US"/>
        </w:rPr>
        <w:t>8</w:t>
      </w:r>
      <w:r>
        <w:rPr>
          <w:rFonts w:ascii="Times New Roman" w:hAnsi="Times New Roman" w:cs="Times New Roman"/>
          <w:sz w:val="28"/>
          <w:szCs w:val="28"/>
          <w:lang w:val="en-US"/>
        </w:rPr>
        <w:t>.1</w:t>
      </w:r>
      <w:r>
        <w:rPr>
          <w:rFonts w:ascii="Times New Roman" w:hAnsi="Times New Roman" w:cs="Times New Roman"/>
          <w:sz w:val="28"/>
          <w:szCs w:val="28"/>
          <w:lang w:val="en-US"/>
        </w:rPr>
        <w:tab/>
      </w:r>
      <w:r w:rsidRPr="008A523E">
        <w:rPr>
          <w:rFonts w:ascii="Times New Roman" w:hAnsi="Times New Roman" w:cs="Times New Roman"/>
          <w:i/>
          <w:iCs/>
          <w:sz w:val="28"/>
          <w:szCs w:val="28"/>
          <w:lang w:val="en-US"/>
        </w:rPr>
        <w:t>“Submission of PA-36: Declaration Certificate for Local Production and Content for Designated Sectors and Annexure C thereof”.</w:t>
      </w:r>
    </w:p>
    <w:p w14:paraId="05A4C0DF" w14:textId="77777777" w:rsidR="000B1FFC" w:rsidRDefault="000B1FFC" w:rsidP="000B1FFC">
      <w:pPr>
        <w:pStyle w:val="ListParagraph"/>
        <w:tabs>
          <w:tab w:val="left" w:pos="709"/>
        </w:tabs>
        <w:spacing w:before="0" w:beforeAutospacing="0"/>
        <w:ind w:left="0"/>
        <w:jc w:val="both"/>
        <w:rPr>
          <w:rFonts w:ascii="Times New Roman" w:hAnsi="Times New Roman" w:cs="Times New Roman"/>
          <w:sz w:val="28"/>
          <w:szCs w:val="28"/>
          <w:lang w:val="en-US"/>
        </w:rPr>
      </w:pPr>
    </w:p>
    <w:p w14:paraId="1C87DABE" w14:textId="35934E2F" w:rsidR="000B1FFC" w:rsidRDefault="000B1FFC" w:rsidP="000B1FFC">
      <w:pPr>
        <w:pStyle w:val="ListParagraph"/>
        <w:tabs>
          <w:tab w:val="left" w:pos="709"/>
        </w:tabs>
        <w:spacing w:before="0" w:beforeAutospacing="0"/>
        <w:ind w:left="1440" w:hanging="1440"/>
        <w:jc w:val="both"/>
        <w:rPr>
          <w:rFonts w:ascii="Times New Roman" w:hAnsi="Times New Roman" w:cs="Times New Roman"/>
          <w:sz w:val="28"/>
          <w:szCs w:val="28"/>
          <w:lang w:val="en-US"/>
        </w:rPr>
      </w:pPr>
      <w:r>
        <w:rPr>
          <w:rFonts w:ascii="Times New Roman" w:hAnsi="Times New Roman" w:cs="Times New Roman"/>
          <w:sz w:val="28"/>
          <w:szCs w:val="28"/>
          <w:lang w:val="en-US"/>
        </w:rPr>
        <w:tab/>
        <w:t>8</w:t>
      </w:r>
      <w:r w:rsidR="00350ADB">
        <w:rPr>
          <w:rFonts w:ascii="Times New Roman" w:hAnsi="Times New Roman" w:cs="Times New Roman"/>
          <w:sz w:val="28"/>
          <w:szCs w:val="28"/>
          <w:lang w:val="en-US"/>
        </w:rPr>
        <w:t>8</w:t>
      </w:r>
      <w:r>
        <w:rPr>
          <w:rFonts w:ascii="Times New Roman" w:hAnsi="Times New Roman" w:cs="Times New Roman"/>
          <w:sz w:val="28"/>
          <w:szCs w:val="28"/>
          <w:lang w:val="en-US"/>
        </w:rPr>
        <w:t>.2</w:t>
      </w:r>
      <w:r>
        <w:rPr>
          <w:rFonts w:ascii="Times New Roman" w:hAnsi="Times New Roman" w:cs="Times New Roman"/>
          <w:sz w:val="28"/>
          <w:szCs w:val="28"/>
          <w:lang w:val="en-US"/>
        </w:rPr>
        <w:tab/>
      </w:r>
      <w:r w:rsidRPr="008A523E">
        <w:rPr>
          <w:rFonts w:ascii="Times New Roman" w:hAnsi="Times New Roman" w:cs="Times New Roman"/>
          <w:i/>
          <w:iCs/>
          <w:sz w:val="28"/>
          <w:szCs w:val="28"/>
          <w:lang w:val="en-US"/>
        </w:rPr>
        <w:t>“Fully completed sectional summary pages and the Final Summary page with the returnable tender document”</w:t>
      </w:r>
      <w:r>
        <w:rPr>
          <w:rFonts w:ascii="Times New Roman" w:hAnsi="Times New Roman" w:cs="Times New Roman"/>
          <w:sz w:val="28"/>
          <w:szCs w:val="28"/>
          <w:lang w:val="en-US"/>
        </w:rPr>
        <w:t>.</w:t>
      </w:r>
    </w:p>
    <w:p w14:paraId="22DF798D" w14:textId="77777777" w:rsidR="000B1FFC" w:rsidRPr="0088612A" w:rsidRDefault="000B1FFC" w:rsidP="000B1FFC">
      <w:pPr>
        <w:pStyle w:val="ListParagraph"/>
        <w:rPr>
          <w:rFonts w:ascii="Times New Roman" w:hAnsi="Times New Roman" w:cs="Times New Roman"/>
          <w:sz w:val="28"/>
          <w:szCs w:val="28"/>
          <w:lang w:val="en-US"/>
        </w:rPr>
      </w:pPr>
    </w:p>
    <w:p w14:paraId="30943C74" w14:textId="453105F8" w:rsidR="00C948B1" w:rsidRPr="000E2B31" w:rsidRDefault="000E2B31" w:rsidP="000E2B31">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[89]</w:t>
      </w:r>
      <w:r>
        <w:rPr>
          <w:rFonts w:ascii="Times New Roman" w:hAnsi="Times New Roman" w:cs="Times New Roman"/>
          <w:sz w:val="28"/>
          <w:szCs w:val="28"/>
          <w:lang w:val="en-US"/>
        </w:rPr>
        <w:tab/>
      </w:r>
      <w:r w:rsidR="00C948B1" w:rsidRPr="000E2B31">
        <w:rPr>
          <w:rFonts w:ascii="Times New Roman" w:hAnsi="Times New Roman" w:cs="Times New Roman"/>
          <w:sz w:val="28"/>
          <w:szCs w:val="28"/>
          <w:lang w:val="en-US"/>
        </w:rPr>
        <w:t xml:space="preserve">It is common cause as stated above that the second respondent failed to complete the summary pages, reflecting only the globular totals </w:t>
      </w:r>
      <w:r w:rsidR="00350ADB" w:rsidRPr="000E2B31">
        <w:rPr>
          <w:rFonts w:ascii="Times New Roman" w:hAnsi="Times New Roman" w:cs="Times New Roman"/>
          <w:sz w:val="28"/>
          <w:szCs w:val="28"/>
          <w:lang w:val="en-US"/>
        </w:rPr>
        <w:t xml:space="preserve">of each section </w:t>
      </w:r>
      <w:r w:rsidR="00C948B1" w:rsidRPr="000E2B31">
        <w:rPr>
          <w:rFonts w:ascii="Times New Roman" w:hAnsi="Times New Roman" w:cs="Times New Roman"/>
          <w:sz w:val="28"/>
          <w:szCs w:val="28"/>
          <w:lang w:val="en-US"/>
        </w:rPr>
        <w:t xml:space="preserve">which the appellant brushed off as immaterial because all it needed was the </w:t>
      </w:r>
      <w:r w:rsidR="00350ADB" w:rsidRPr="000E2B31">
        <w:rPr>
          <w:rFonts w:ascii="Times New Roman" w:hAnsi="Times New Roman" w:cs="Times New Roman"/>
          <w:sz w:val="28"/>
          <w:szCs w:val="28"/>
          <w:lang w:val="en-US"/>
        </w:rPr>
        <w:t xml:space="preserve">final </w:t>
      </w:r>
      <w:r w:rsidR="00C948B1" w:rsidRPr="000E2B31">
        <w:rPr>
          <w:rFonts w:ascii="Times New Roman" w:hAnsi="Times New Roman" w:cs="Times New Roman"/>
          <w:sz w:val="28"/>
          <w:szCs w:val="28"/>
          <w:lang w:val="en-US"/>
        </w:rPr>
        <w:t>total</w:t>
      </w:r>
      <w:r w:rsidR="00350ADB" w:rsidRPr="000E2B31">
        <w:rPr>
          <w:rFonts w:ascii="Times New Roman" w:hAnsi="Times New Roman" w:cs="Times New Roman"/>
          <w:sz w:val="28"/>
          <w:szCs w:val="28"/>
          <w:lang w:val="en-US"/>
        </w:rPr>
        <w:t>(</w:t>
      </w:r>
      <w:r w:rsidR="00C948B1" w:rsidRPr="000E2B31">
        <w:rPr>
          <w:rFonts w:ascii="Times New Roman" w:hAnsi="Times New Roman" w:cs="Times New Roman"/>
          <w:sz w:val="28"/>
          <w:szCs w:val="28"/>
          <w:lang w:val="en-US"/>
        </w:rPr>
        <w:t>s</w:t>
      </w:r>
      <w:r w:rsidR="00350ADB" w:rsidRPr="000E2B31">
        <w:rPr>
          <w:rFonts w:ascii="Times New Roman" w:hAnsi="Times New Roman" w:cs="Times New Roman"/>
          <w:sz w:val="28"/>
          <w:szCs w:val="28"/>
          <w:lang w:val="en-US"/>
        </w:rPr>
        <w:t>)</w:t>
      </w:r>
      <w:r w:rsidR="00C948B1" w:rsidRPr="000E2B31">
        <w:rPr>
          <w:rFonts w:ascii="Times New Roman" w:hAnsi="Times New Roman" w:cs="Times New Roman"/>
          <w:sz w:val="28"/>
          <w:szCs w:val="28"/>
          <w:lang w:val="en-US"/>
        </w:rPr>
        <w:t xml:space="preserve"> to make its decision based on price, but this begs the question why the requirement for fully completed sectional pages was stated as a mandatory requirement in the tender conditions </w:t>
      </w:r>
      <w:r w:rsidR="00C6241A" w:rsidRPr="000E2B31">
        <w:rPr>
          <w:rFonts w:ascii="Times New Roman" w:hAnsi="Times New Roman" w:cs="Times New Roman"/>
          <w:sz w:val="28"/>
          <w:szCs w:val="28"/>
          <w:lang w:val="en-US"/>
        </w:rPr>
        <w:t xml:space="preserve">in the first place </w:t>
      </w:r>
      <w:r w:rsidR="00C948B1" w:rsidRPr="000E2B31">
        <w:rPr>
          <w:rFonts w:ascii="Times New Roman" w:hAnsi="Times New Roman" w:cs="Times New Roman"/>
          <w:sz w:val="28"/>
          <w:szCs w:val="28"/>
          <w:lang w:val="en-US"/>
        </w:rPr>
        <w:t>with a clear indication of what would ensue in the case of non-compliance.  These minimum standards, obviously to be fair and equitable to all who wanted to compete for the bid, applied to every tenderer alike</w:t>
      </w:r>
      <w:r w:rsidR="00C6241A" w:rsidRPr="000E2B31">
        <w:rPr>
          <w:rFonts w:ascii="Times New Roman" w:hAnsi="Times New Roman" w:cs="Times New Roman"/>
          <w:sz w:val="28"/>
          <w:szCs w:val="28"/>
          <w:lang w:val="en-US"/>
        </w:rPr>
        <w:t>,</w:t>
      </w:r>
      <w:r w:rsidR="00C948B1" w:rsidRPr="000E2B31">
        <w:rPr>
          <w:rFonts w:ascii="Times New Roman" w:hAnsi="Times New Roman" w:cs="Times New Roman"/>
          <w:sz w:val="28"/>
          <w:szCs w:val="28"/>
          <w:lang w:val="en-US"/>
        </w:rPr>
        <w:t xml:space="preserve"> and </w:t>
      </w:r>
      <w:r w:rsidR="00C6241A" w:rsidRPr="000E2B31">
        <w:rPr>
          <w:rFonts w:ascii="Times New Roman" w:hAnsi="Times New Roman" w:cs="Times New Roman"/>
          <w:sz w:val="28"/>
          <w:szCs w:val="28"/>
          <w:lang w:val="en-US"/>
        </w:rPr>
        <w:t xml:space="preserve">the requirement of transparency would ensure for each tender hopeful that the Department would </w:t>
      </w:r>
      <w:r w:rsidR="00103AB0" w:rsidRPr="000E2B31">
        <w:rPr>
          <w:rFonts w:ascii="Times New Roman" w:hAnsi="Times New Roman" w:cs="Times New Roman"/>
          <w:sz w:val="28"/>
          <w:szCs w:val="28"/>
          <w:lang w:val="en-US"/>
        </w:rPr>
        <w:t>adopt</w:t>
      </w:r>
      <w:r w:rsidR="00C6241A" w:rsidRPr="000E2B31">
        <w:rPr>
          <w:rFonts w:ascii="Times New Roman" w:hAnsi="Times New Roman" w:cs="Times New Roman"/>
          <w:sz w:val="28"/>
          <w:szCs w:val="28"/>
          <w:lang w:val="en-US"/>
        </w:rPr>
        <w:t xml:space="preserve"> an even hand in applying the standard consistently.</w:t>
      </w:r>
    </w:p>
    <w:p w14:paraId="0AB81C84" w14:textId="77777777" w:rsidR="00C948B1" w:rsidRPr="00C948B1" w:rsidRDefault="00C948B1" w:rsidP="00C948B1">
      <w:pPr>
        <w:pStyle w:val="ListParagraph"/>
        <w:tabs>
          <w:tab w:val="left" w:pos="709"/>
        </w:tabs>
        <w:spacing w:before="0" w:beforeAutospacing="0"/>
        <w:ind w:left="0"/>
        <w:jc w:val="both"/>
        <w:rPr>
          <w:rFonts w:ascii="Times New Roman" w:hAnsi="Times New Roman" w:cs="Times New Roman"/>
          <w:sz w:val="28"/>
          <w:szCs w:val="28"/>
          <w:lang w:val="en-US"/>
        </w:rPr>
      </w:pPr>
    </w:p>
    <w:p w14:paraId="107B2D74" w14:textId="5018B403" w:rsidR="000B1FFC" w:rsidRPr="000E2B31" w:rsidRDefault="000E2B31" w:rsidP="000E2B31">
      <w:pPr>
        <w:tabs>
          <w:tab w:val="left" w:pos="709"/>
        </w:tabs>
        <w:spacing w:before="0" w:beforeAutospacing="0"/>
        <w:jc w:val="both"/>
        <w:rPr>
          <w:rFonts w:ascii="Times New Roman" w:hAnsi="Times New Roman" w:cs="Times New Roman"/>
          <w:sz w:val="28"/>
          <w:szCs w:val="28"/>
          <w:u w:val="single"/>
          <w:lang w:val="en-US"/>
        </w:rPr>
      </w:pPr>
      <w:r w:rsidRPr="00BA6CA7">
        <w:rPr>
          <w:rFonts w:ascii="Times New Roman" w:hAnsi="Times New Roman" w:cs="Times New Roman"/>
          <w:sz w:val="28"/>
          <w:szCs w:val="28"/>
          <w:lang w:val="en-US"/>
        </w:rPr>
        <w:t>[90]</w:t>
      </w:r>
      <w:r w:rsidRPr="00BA6CA7">
        <w:rPr>
          <w:rFonts w:ascii="Times New Roman" w:hAnsi="Times New Roman" w:cs="Times New Roman"/>
          <w:sz w:val="28"/>
          <w:szCs w:val="28"/>
          <w:lang w:val="en-US"/>
        </w:rPr>
        <w:tab/>
      </w:r>
      <w:r w:rsidR="00C6241A" w:rsidRPr="000E2B31">
        <w:rPr>
          <w:rFonts w:ascii="Times New Roman" w:hAnsi="Times New Roman" w:cs="Times New Roman"/>
          <w:sz w:val="28"/>
          <w:szCs w:val="28"/>
          <w:lang w:val="en-US"/>
        </w:rPr>
        <w:t>Although we are presently concerned only with the requirement highlighted in paragraph 8</w:t>
      </w:r>
      <w:r w:rsidR="00350ADB" w:rsidRPr="000E2B31">
        <w:rPr>
          <w:rFonts w:ascii="Times New Roman" w:hAnsi="Times New Roman" w:cs="Times New Roman"/>
          <w:sz w:val="28"/>
          <w:szCs w:val="28"/>
          <w:lang w:val="en-US"/>
        </w:rPr>
        <w:t>8</w:t>
      </w:r>
      <w:r w:rsidR="00C6241A" w:rsidRPr="000E2B31">
        <w:rPr>
          <w:rFonts w:ascii="Times New Roman" w:hAnsi="Times New Roman" w:cs="Times New Roman"/>
          <w:sz w:val="28"/>
          <w:szCs w:val="28"/>
          <w:lang w:val="en-US"/>
        </w:rPr>
        <w:t>.2 above, one cannot ignore how the appellant in fact dealt with issues of noncompliance that</w:t>
      </w:r>
      <w:r w:rsidR="00FD78F3" w:rsidRPr="000E2B31">
        <w:rPr>
          <w:rFonts w:ascii="Times New Roman" w:hAnsi="Times New Roman" w:cs="Times New Roman"/>
          <w:sz w:val="28"/>
          <w:szCs w:val="28"/>
          <w:lang w:val="en-US"/>
        </w:rPr>
        <w:t xml:space="preserve"> it was bound to encounter in </w:t>
      </w:r>
      <w:r w:rsidR="00C419F0" w:rsidRPr="000E2B31">
        <w:rPr>
          <w:rFonts w:ascii="Times New Roman" w:hAnsi="Times New Roman" w:cs="Times New Roman"/>
          <w:sz w:val="28"/>
          <w:szCs w:val="28"/>
          <w:lang w:val="en-US"/>
        </w:rPr>
        <w:t>its</w:t>
      </w:r>
      <w:r w:rsidR="00FD78F3" w:rsidRPr="000E2B31">
        <w:rPr>
          <w:rFonts w:ascii="Times New Roman" w:hAnsi="Times New Roman" w:cs="Times New Roman"/>
          <w:sz w:val="28"/>
          <w:szCs w:val="28"/>
          <w:lang w:val="en-US"/>
        </w:rPr>
        <w:t xml:space="preserve"> process</w:t>
      </w:r>
      <w:r w:rsidR="00C419F0" w:rsidRPr="000E2B31">
        <w:rPr>
          <w:rFonts w:ascii="Times New Roman" w:hAnsi="Times New Roman" w:cs="Times New Roman"/>
          <w:sz w:val="28"/>
          <w:szCs w:val="28"/>
          <w:lang w:val="en-US"/>
        </w:rPr>
        <w:t>es</w:t>
      </w:r>
      <w:r w:rsidR="00FD78F3" w:rsidRPr="000E2B31">
        <w:rPr>
          <w:rFonts w:ascii="Times New Roman" w:hAnsi="Times New Roman" w:cs="Times New Roman"/>
          <w:sz w:val="28"/>
          <w:szCs w:val="28"/>
          <w:lang w:val="en-US"/>
        </w:rPr>
        <w:t>.</w:t>
      </w:r>
      <w:r w:rsidR="00C6241A" w:rsidRPr="000E2B31">
        <w:rPr>
          <w:rFonts w:ascii="Times New Roman" w:hAnsi="Times New Roman" w:cs="Times New Roman"/>
          <w:sz w:val="28"/>
          <w:szCs w:val="28"/>
          <w:lang w:val="en-US"/>
        </w:rPr>
        <w:t xml:space="preserve"> </w:t>
      </w:r>
      <w:r w:rsidR="000B1FFC" w:rsidRPr="000E2B31">
        <w:rPr>
          <w:rFonts w:ascii="Times New Roman" w:hAnsi="Times New Roman" w:cs="Times New Roman"/>
          <w:sz w:val="28"/>
          <w:szCs w:val="28"/>
          <w:lang w:val="en-US"/>
        </w:rPr>
        <w:t>The requirement for the submission of PA-36 was not qualified by the necessity that it be “Fully completed” yet the record</w:t>
      </w:r>
      <w:r w:rsidR="00350ADB" w:rsidRPr="000E2B31">
        <w:rPr>
          <w:rFonts w:ascii="Times New Roman" w:hAnsi="Times New Roman" w:cs="Times New Roman"/>
          <w:sz w:val="28"/>
          <w:szCs w:val="28"/>
          <w:lang w:val="en-US"/>
        </w:rPr>
        <w:t xml:space="preserve"> reveal</w:t>
      </w:r>
      <w:r w:rsidR="00A55F48" w:rsidRPr="000E2B31">
        <w:rPr>
          <w:rFonts w:ascii="Times New Roman" w:hAnsi="Times New Roman" w:cs="Times New Roman"/>
          <w:sz w:val="28"/>
          <w:szCs w:val="28"/>
          <w:lang w:val="en-US"/>
        </w:rPr>
        <w:t>s</w:t>
      </w:r>
      <w:r w:rsidR="000B1FFC" w:rsidRPr="000E2B31">
        <w:rPr>
          <w:rFonts w:ascii="Times New Roman" w:hAnsi="Times New Roman" w:cs="Times New Roman"/>
          <w:sz w:val="28"/>
          <w:szCs w:val="28"/>
          <w:lang w:val="en-US"/>
        </w:rPr>
        <w:t xml:space="preserve"> that no fewer than 4 bidders were declared administratively non-responsive because PA-36 was not “Fully completed”. </w:t>
      </w:r>
      <w:r w:rsidR="00FD78F3" w:rsidRPr="000E2B31">
        <w:rPr>
          <w:rFonts w:ascii="Times New Roman" w:hAnsi="Times New Roman" w:cs="Times New Roman"/>
          <w:sz w:val="28"/>
          <w:szCs w:val="28"/>
          <w:lang w:val="en-US"/>
        </w:rPr>
        <w:t>Two such bidders</w:t>
      </w:r>
      <w:r w:rsidR="00156A86" w:rsidRPr="000E2B31">
        <w:rPr>
          <w:rFonts w:ascii="Times New Roman" w:hAnsi="Times New Roman" w:cs="Times New Roman"/>
          <w:sz w:val="28"/>
          <w:szCs w:val="28"/>
          <w:lang w:val="en-US"/>
        </w:rPr>
        <w:t xml:space="preserve"> </w:t>
      </w:r>
      <w:r w:rsidR="00FD78F3" w:rsidRPr="000E2B31">
        <w:rPr>
          <w:rFonts w:ascii="Times New Roman" w:hAnsi="Times New Roman" w:cs="Times New Roman"/>
          <w:sz w:val="28"/>
          <w:szCs w:val="28"/>
          <w:lang w:val="en-US"/>
        </w:rPr>
        <w:t xml:space="preserve">made a reappearance after the pre-qualifying stage and were subjected to a risk assessment as if their disqualifications counted for nothing. The appellant in its answering affidavit </w:t>
      </w:r>
      <w:r w:rsidR="00C419F0" w:rsidRPr="000E2B31">
        <w:rPr>
          <w:rFonts w:ascii="Times New Roman" w:hAnsi="Times New Roman" w:cs="Times New Roman"/>
          <w:sz w:val="28"/>
          <w:szCs w:val="28"/>
          <w:lang w:val="en-US"/>
        </w:rPr>
        <w:t xml:space="preserve">however </w:t>
      </w:r>
      <w:r w:rsidR="00FD78F3" w:rsidRPr="000E2B31">
        <w:rPr>
          <w:rFonts w:ascii="Times New Roman" w:hAnsi="Times New Roman" w:cs="Times New Roman"/>
          <w:sz w:val="28"/>
          <w:szCs w:val="28"/>
          <w:lang w:val="en-US"/>
        </w:rPr>
        <w:t>acknowledged that this had been a mistake</w:t>
      </w:r>
      <w:r w:rsidR="001C5EB0" w:rsidRPr="000E2B31">
        <w:rPr>
          <w:rFonts w:ascii="Times New Roman" w:hAnsi="Times New Roman" w:cs="Times New Roman"/>
          <w:sz w:val="28"/>
          <w:szCs w:val="28"/>
          <w:lang w:val="en-US"/>
        </w:rPr>
        <w:t xml:space="preserve"> that should not have </w:t>
      </w:r>
      <w:r w:rsidR="00BA6CA7" w:rsidRPr="000E2B31">
        <w:rPr>
          <w:rFonts w:ascii="Times New Roman" w:hAnsi="Times New Roman" w:cs="Times New Roman"/>
          <w:sz w:val="28"/>
          <w:szCs w:val="28"/>
          <w:lang w:val="en-US"/>
        </w:rPr>
        <w:t>happened,</w:t>
      </w:r>
      <w:r w:rsidR="00103AB0" w:rsidRPr="000E2B31">
        <w:rPr>
          <w:rFonts w:ascii="Times New Roman" w:hAnsi="Times New Roman" w:cs="Times New Roman"/>
          <w:sz w:val="28"/>
          <w:szCs w:val="28"/>
          <w:lang w:val="en-US"/>
        </w:rPr>
        <w:t xml:space="preserve"> </w:t>
      </w:r>
      <w:r w:rsidR="00BA6CA7" w:rsidRPr="000E2B31">
        <w:rPr>
          <w:rFonts w:ascii="Times New Roman" w:hAnsi="Times New Roman" w:cs="Times New Roman"/>
          <w:sz w:val="28"/>
          <w:szCs w:val="28"/>
          <w:lang w:val="en-US"/>
        </w:rPr>
        <w:t>and which</w:t>
      </w:r>
      <w:r w:rsidR="0000221D" w:rsidRPr="000E2B31">
        <w:rPr>
          <w:rFonts w:ascii="Times New Roman" w:hAnsi="Times New Roman" w:cs="Times New Roman"/>
          <w:sz w:val="28"/>
          <w:szCs w:val="28"/>
          <w:lang w:val="en-US"/>
        </w:rPr>
        <w:t xml:space="preserve"> </w:t>
      </w:r>
      <w:r w:rsidR="00BA6CA7" w:rsidRPr="000E2B31">
        <w:rPr>
          <w:rFonts w:ascii="Times New Roman" w:hAnsi="Times New Roman" w:cs="Times New Roman"/>
          <w:sz w:val="28"/>
          <w:szCs w:val="28"/>
          <w:lang w:val="en-US"/>
        </w:rPr>
        <w:t xml:space="preserve">it </w:t>
      </w:r>
      <w:r w:rsidR="00103AB0" w:rsidRPr="000E2B31">
        <w:rPr>
          <w:rFonts w:ascii="Times New Roman" w:hAnsi="Times New Roman" w:cs="Times New Roman"/>
          <w:sz w:val="28"/>
          <w:szCs w:val="28"/>
          <w:lang w:val="en-US"/>
        </w:rPr>
        <w:t xml:space="preserve">ultimately </w:t>
      </w:r>
      <w:r w:rsidR="0000221D" w:rsidRPr="000E2B31">
        <w:rPr>
          <w:rFonts w:ascii="Times New Roman" w:hAnsi="Times New Roman" w:cs="Times New Roman"/>
          <w:sz w:val="28"/>
          <w:szCs w:val="28"/>
          <w:lang w:val="en-US"/>
        </w:rPr>
        <w:t>self-corrected</w:t>
      </w:r>
      <w:r w:rsidR="00203C52" w:rsidRPr="000E2B31">
        <w:rPr>
          <w:rFonts w:ascii="Times New Roman" w:hAnsi="Times New Roman" w:cs="Times New Roman"/>
          <w:sz w:val="28"/>
          <w:szCs w:val="28"/>
          <w:lang w:val="en-US"/>
        </w:rPr>
        <w:t>,</w:t>
      </w:r>
      <w:r w:rsidR="00BA6CA7" w:rsidRPr="000E2B31">
        <w:rPr>
          <w:rFonts w:ascii="Times New Roman" w:hAnsi="Times New Roman" w:cs="Times New Roman"/>
          <w:sz w:val="28"/>
          <w:szCs w:val="28"/>
          <w:lang w:val="en-US"/>
        </w:rPr>
        <w:t xml:space="preserve"> underscoring the importance of following the script to the letter of the law.</w:t>
      </w:r>
      <w:r w:rsidR="00BA6CA7">
        <w:rPr>
          <w:rStyle w:val="FootnoteReference"/>
          <w:rFonts w:ascii="Times New Roman" w:hAnsi="Times New Roman" w:cs="Times New Roman"/>
          <w:sz w:val="28"/>
          <w:szCs w:val="28"/>
          <w:lang w:val="en-US"/>
        </w:rPr>
        <w:footnoteReference w:id="35"/>
      </w:r>
    </w:p>
    <w:p w14:paraId="09F9BB81" w14:textId="77777777" w:rsidR="00BA6CA7" w:rsidRPr="00BA6CA7" w:rsidRDefault="00BA6CA7" w:rsidP="00156A86">
      <w:pPr>
        <w:pStyle w:val="ListParagraph"/>
        <w:tabs>
          <w:tab w:val="left" w:pos="709"/>
        </w:tabs>
        <w:spacing w:before="0" w:beforeAutospacing="0"/>
        <w:ind w:left="0"/>
        <w:jc w:val="both"/>
        <w:rPr>
          <w:rFonts w:ascii="Times New Roman" w:hAnsi="Times New Roman" w:cs="Times New Roman"/>
          <w:sz w:val="28"/>
          <w:szCs w:val="28"/>
          <w:u w:val="single"/>
          <w:lang w:val="en-US"/>
        </w:rPr>
      </w:pPr>
    </w:p>
    <w:p w14:paraId="608B6925" w14:textId="364A20BE" w:rsidR="000B1FFC" w:rsidRPr="000E2B31" w:rsidRDefault="000E2B31" w:rsidP="000E2B31">
      <w:pPr>
        <w:tabs>
          <w:tab w:val="left" w:pos="709"/>
        </w:tabs>
        <w:spacing w:before="0" w:beforeAutospacing="0"/>
        <w:jc w:val="both"/>
        <w:rPr>
          <w:rFonts w:ascii="Times New Roman" w:hAnsi="Times New Roman" w:cs="Times New Roman"/>
          <w:sz w:val="28"/>
          <w:szCs w:val="28"/>
          <w:u w:val="single"/>
          <w:lang w:val="en-US"/>
        </w:rPr>
      </w:pPr>
      <w:r w:rsidRPr="00DF522E">
        <w:rPr>
          <w:rFonts w:ascii="Times New Roman" w:hAnsi="Times New Roman" w:cs="Times New Roman"/>
          <w:sz w:val="28"/>
          <w:szCs w:val="28"/>
          <w:lang w:val="en-US"/>
        </w:rPr>
        <w:t>[91]</w:t>
      </w:r>
      <w:r w:rsidRPr="00DF522E">
        <w:rPr>
          <w:rFonts w:ascii="Times New Roman" w:hAnsi="Times New Roman" w:cs="Times New Roman"/>
          <w:sz w:val="28"/>
          <w:szCs w:val="28"/>
          <w:lang w:val="en-US"/>
        </w:rPr>
        <w:tab/>
      </w:r>
      <w:r w:rsidR="000B1FFC" w:rsidRPr="000E2B31">
        <w:rPr>
          <w:rFonts w:ascii="Times New Roman" w:hAnsi="Times New Roman" w:cs="Times New Roman"/>
          <w:sz w:val="28"/>
          <w:szCs w:val="28"/>
          <w:lang w:val="en-US"/>
        </w:rPr>
        <w:t xml:space="preserve"> </w:t>
      </w:r>
      <w:r w:rsidR="0000221D" w:rsidRPr="000E2B31">
        <w:rPr>
          <w:rFonts w:ascii="Times New Roman" w:hAnsi="Times New Roman" w:cs="Times New Roman"/>
          <w:sz w:val="28"/>
          <w:szCs w:val="28"/>
          <w:lang w:val="en-US"/>
        </w:rPr>
        <w:t>When it came to the second respondent</w:t>
      </w:r>
      <w:r w:rsidR="00350ADB" w:rsidRPr="000E2B31">
        <w:rPr>
          <w:rFonts w:ascii="Times New Roman" w:hAnsi="Times New Roman" w:cs="Times New Roman"/>
          <w:sz w:val="28"/>
          <w:szCs w:val="28"/>
          <w:lang w:val="en-US"/>
        </w:rPr>
        <w:t>, however</w:t>
      </w:r>
      <w:r w:rsidR="0000221D" w:rsidRPr="000E2B31">
        <w:rPr>
          <w:rFonts w:ascii="Times New Roman" w:hAnsi="Times New Roman" w:cs="Times New Roman"/>
          <w:sz w:val="28"/>
          <w:szCs w:val="28"/>
          <w:lang w:val="en-US"/>
        </w:rPr>
        <w:t xml:space="preserve"> it self-evidently treated its noncompliance </w:t>
      </w:r>
      <w:r w:rsidR="00156A86" w:rsidRPr="000E2B31">
        <w:rPr>
          <w:rFonts w:ascii="Times New Roman" w:hAnsi="Times New Roman" w:cs="Times New Roman"/>
          <w:sz w:val="28"/>
          <w:szCs w:val="28"/>
          <w:lang w:val="en-US"/>
        </w:rPr>
        <w:t>differently</w:t>
      </w:r>
      <w:r w:rsidR="0000221D" w:rsidRPr="000E2B31">
        <w:rPr>
          <w:rFonts w:ascii="Times New Roman" w:hAnsi="Times New Roman" w:cs="Times New Roman"/>
          <w:sz w:val="28"/>
          <w:szCs w:val="28"/>
          <w:lang w:val="en-US"/>
        </w:rPr>
        <w:t xml:space="preserve"> than other bid contenders</w:t>
      </w:r>
      <w:r w:rsidR="00350ADB" w:rsidRPr="000E2B31">
        <w:rPr>
          <w:rFonts w:ascii="Times New Roman" w:hAnsi="Times New Roman" w:cs="Times New Roman"/>
          <w:sz w:val="28"/>
          <w:szCs w:val="28"/>
          <w:lang w:val="en-US"/>
        </w:rPr>
        <w:t xml:space="preserve"> and therein lies the “rub”.  It offered no insight into its reasoning process ex</w:t>
      </w:r>
      <w:r w:rsidR="00A55F48" w:rsidRPr="000E2B31">
        <w:rPr>
          <w:rFonts w:ascii="Times New Roman" w:hAnsi="Times New Roman" w:cs="Times New Roman"/>
          <w:sz w:val="28"/>
          <w:szCs w:val="28"/>
          <w:lang w:val="en-US"/>
        </w:rPr>
        <w:t>cept</w:t>
      </w:r>
      <w:r w:rsidR="00350ADB" w:rsidRPr="000E2B31">
        <w:rPr>
          <w:rFonts w:ascii="Times New Roman" w:hAnsi="Times New Roman" w:cs="Times New Roman"/>
          <w:sz w:val="28"/>
          <w:szCs w:val="28"/>
          <w:lang w:val="en-US"/>
        </w:rPr>
        <w:t xml:space="preserve"> to remark that the second respondent’s non-compliance was not material as far as it was concerned.  It </w:t>
      </w:r>
      <w:r w:rsidR="00103AB0" w:rsidRPr="000E2B31">
        <w:rPr>
          <w:rFonts w:ascii="Times New Roman" w:hAnsi="Times New Roman" w:cs="Times New Roman"/>
          <w:sz w:val="28"/>
          <w:szCs w:val="28"/>
          <w:lang w:val="en-US"/>
        </w:rPr>
        <w:t xml:space="preserve">further </w:t>
      </w:r>
      <w:r w:rsidR="0000221D" w:rsidRPr="000E2B31">
        <w:rPr>
          <w:rFonts w:ascii="Times New Roman" w:hAnsi="Times New Roman" w:cs="Times New Roman"/>
          <w:sz w:val="28"/>
          <w:szCs w:val="28"/>
          <w:lang w:val="en-US"/>
        </w:rPr>
        <w:t xml:space="preserve">failed to take the court into its confidence regarding why it could make an exception for </w:t>
      </w:r>
      <w:r w:rsidR="00350ADB" w:rsidRPr="000E2B31">
        <w:rPr>
          <w:rFonts w:ascii="Times New Roman" w:hAnsi="Times New Roman" w:cs="Times New Roman"/>
          <w:sz w:val="28"/>
          <w:szCs w:val="28"/>
          <w:lang w:val="en-US"/>
        </w:rPr>
        <w:t xml:space="preserve">the second respondent’s shortcomings in its </w:t>
      </w:r>
      <w:r w:rsidR="00FA139D" w:rsidRPr="000E2B31">
        <w:rPr>
          <w:rFonts w:ascii="Times New Roman" w:hAnsi="Times New Roman" w:cs="Times New Roman"/>
          <w:sz w:val="28"/>
          <w:szCs w:val="28"/>
          <w:lang w:val="en-US"/>
        </w:rPr>
        <w:t xml:space="preserve">bid </w:t>
      </w:r>
      <w:r w:rsidR="00350ADB" w:rsidRPr="000E2B31">
        <w:rPr>
          <w:rFonts w:ascii="Times New Roman" w:hAnsi="Times New Roman" w:cs="Times New Roman"/>
          <w:sz w:val="28"/>
          <w:szCs w:val="28"/>
          <w:lang w:val="en-US"/>
        </w:rPr>
        <w:t>submission</w:t>
      </w:r>
      <w:r w:rsidR="0041120E" w:rsidRPr="000E2B31">
        <w:rPr>
          <w:rFonts w:ascii="Times New Roman" w:hAnsi="Times New Roman" w:cs="Times New Roman"/>
          <w:sz w:val="28"/>
          <w:szCs w:val="28"/>
          <w:lang w:val="en-US"/>
        </w:rPr>
        <w:t xml:space="preserve"> save to offer the reason that it could determine the competitiveness of its bid simply from the globular total</w:t>
      </w:r>
      <w:r w:rsidR="00FA139D" w:rsidRPr="000E2B31">
        <w:rPr>
          <w:rFonts w:ascii="Times New Roman" w:hAnsi="Times New Roman" w:cs="Times New Roman"/>
          <w:sz w:val="28"/>
          <w:szCs w:val="28"/>
          <w:lang w:val="en-US"/>
        </w:rPr>
        <w:t>(</w:t>
      </w:r>
      <w:r w:rsidR="0041120E" w:rsidRPr="000E2B31">
        <w:rPr>
          <w:rFonts w:ascii="Times New Roman" w:hAnsi="Times New Roman" w:cs="Times New Roman"/>
          <w:sz w:val="28"/>
          <w:szCs w:val="28"/>
          <w:lang w:val="en-US"/>
        </w:rPr>
        <w:t>s</w:t>
      </w:r>
      <w:r w:rsidR="00FA139D" w:rsidRPr="000E2B31">
        <w:rPr>
          <w:rFonts w:ascii="Times New Roman" w:hAnsi="Times New Roman" w:cs="Times New Roman"/>
          <w:sz w:val="28"/>
          <w:szCs w:val="28"/>
          <w:lang w:val="en-US"/>
        </w:rPr>
        <w:t>)</w:t>
      </w:r>
      <w:r w:rsidR="0041120E" w:rsidRPr="000E2B31">
        <w:rPr>
          <w:rFonts w:ascii="Times New Roman" w:hAnsi="Times New Roman" w:cs="Times New Roman"/>
          <w:sz w:val="28"/>
          <w:szCs w:val="28"/>
          <w:lang w:val="en-US"/>
        </w:rPr>
        <w:t xml:space="preserve"> and that it was unnecessary to consider the line-item totals</w:t>
      </w:r>
      <w:r w:rsidR="00350ADB" w:rsidRPr="000E2B31">
        <w:rPr>
          <w:rFonts w:ascii="Times New Roman" w:hAnsi="Times New Roman" w:cs="Times New Roman"/>
          <w:sz w:val="28"/>
          <w:szCs w:val="28"/>
          <w:lang w:val="en-US"/>
        </w:rPr>
        <w:t xml:space="preserve"> or absent figures</w:t>
      </w:r>
      <w:r w:rsidR="0041120E" w:rsidRPr="000E2B31">
        <w:rPr>
          <w:rFonts w:ascii="Times New Roman" w:hAnsi="Times New Roman" w:cs="Times New Roman"/>
          <w:sz w:val="28"/>
          <w:szCs w:val="28"/>
          <w:lang w:val="en-US"/>
        </w:rPr>
        <w:t xml:space="preserve">.  As for the explanation that the first </w:t>
      </w:r>
      <w:r w:rsidR="00B84100" w:rsidRPr="000E2B31">
        <w:rPr>
          <w:rFonts w:ascii="Times New Roman" w:hAnsi="Times New Roman" w:cs="Times New Roman"/>
          <w:sz w:val="28"/>
          <w:szCs w:val="28"/>
          <w:lang w:val="en-US"/>
        </w:rPr>
        <w:t>respondent’s non</w:t>
      </w:r>
      <w:r w:rsidR="0041120E" w:rsidRPr="000E2B31">
        <w:rPr>
          <w:rFonts w:ascii="Times New Roman" w:hAnsi="Times New Roman" w:cs="Times New Roman"/>
          <w:sz w:val="28"/>
          <w:szCs w:val="28"/>
          <w:lang w:val="en-US"/>
        </w:rPr>
        <w:t xml:space="preserve">compliance could </w:t>
      </w:r>
      <w:r w:rsidR="00B84100" w:rsidRPr="000E2B31">
        <w:rPr>
          <w:rFonts w:ascii="Times New Roman" w:hAnsi="Times New Roman" w:cs="Times New Roman"/>
          <w:sz w:val="28"/>
          <w:szCs w:val="28"/>
          <w:lang w:val="en-US"/>
        </w:rPr>
        <w:t>not b</w:t>
      </w:r>
      <w:r w:rsidR="0041120E" w:rsidRPr="000E2B31">
        <w:rPr>
          <w:rFonts w:ascii="Times New Roman" w:hAnsi="Times New Roman" w:cs="Times New Roman"/>
          <w:sz w:val="28"/>
          <w:szCs w:val="28"/>
          <w:lang w:val="en-US"/>
        </w:rPr>
        <w:t xml:space="preserve">e held up to a comparison of those bids that were </w:t>
      </w:r>
      <w:r w:rsidR="00FA139D" w:rsidRPr="000E2B31">
        <w:rPr>
          <w:rFonts w:ascii="Times New Roman" w:hAnsi="Times New Roman" w:cs="Times New Roman"/>
          <w:sz w:val="28"/>
          <w:szCs w:val="28"/>
          <w:lang w:val="en-US"/>
        </w:rPr>
        <w:t xml:space="preserve">in fact </w:t>
      </w:r>
      <w:r w:rsidR="0041120E" w:rsidRPr="000E2B31">
        <w:rPr>
          <w:rFonts w:ascii="Times New Roman" w:hAnsi="Times New Roman" w:cs="Times New Roman"/>
          <w:sz w:val="28"/>
          <w:szCs w:val="28"/>
          <w:lang w:val="en-US"/>
        </w:rPr>
        <w:t>disqualified by reason of noncompliance, t</w:t>
      </w:r>
      <w:r w:rsidR="000B1FFC" w:rsidRPr="000E2B31">
        <w:rPr>
          <w:rFonts w:ascii="Times New Roman" w:hAnsi="Times New Roman" w:cs="Times New Roman"/>
          <w:sz w:val="28"/>
          <w:szCs w:val="28"/>
          <w:lang w:val="en-US"/>
        </w:rPr>
        <w:t>he appellant did not even try to explain the reason for the differentiation.</w:t>
      </w:r>
      <w:r w:rsidR="0041120E" w:rsidRPr="000E2B31">
        <w:rPr>
          <w:rFonts w:ascii="Times New Roman" w:hAnsi="Times New Roman" w:cs="Times New Roman"/>
          <w:sz w:val="28"/>
          <w:szCs w:val="28"/>
          <w:lang w:val="en-US"/>
        </w:rPr>
        <w:t xml:space="preserve"> </w:t>
      </w:r>
    </w:p>
    <w:p w14:paraId="5F4D9E82" w14:textId="77777777" w:rsidR="000B1FFC" w:rsidRPr="00DF522E" w:rsidRDefault="000B1FFC" w:rsidP="000B1FFC">
      <w:pPr>
        <w:pStyle w:val="ListParagraph"/>
        <w:rPr>
          <w:rFonts w:ascii="Times New Roman" w:hAnsi="Times New Roman" w:cs="Times New Roman"/>
          <w:sz w:val="28"/>
          <w:szCs w:val="28"/>
          <w:u w:val="single"/>
          <w:lang w:val="en-US"/>
        </w:rPr>
      </w:pPr>
    </w:p>
    <w:p w14:paraId="35B5A199" w14:textId="6E0EFFF4" w:rsidR="00B84100" w:rsidRPr="000E2B31" w:rsidRDefault="000E2B31" w:rsidP="000E2B31">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[92]</w:t>
      </w:r>
      <w:r>
        <w:rPr>
          <w:rFonts w:ascii="Times New Roman" w:hAnsi="Times New Roman" w:cs="Times New Roman"/>
          <w:sz w:val="28"/>
          <w:szCs w:val="28"/>
          <w:lang w:val="en-US"/>
        </w:rPr>
        <w:tab/>
      </w:r>
      <w:r w:rsidR="00B84100" w:rsidRPr="000E2B31">
        <w:rPr>
          <w:rFonts w:ascii="Times New Roman" w:hAnsi="Times New Roman" w:cs="Times New Roman"/>
          <w:sz w:val="28"/>
          <w:szCs w:val="28"/>
          <w:lang w:val="en-US"/>
        </w:rPr>
        <w:t xml:space="preserve">In </w:t>
      </w:r>
      <w:r w:rsidR="00B84100" w:rsidRPr="000E2B31">
        <w:rPr>
          <w:rFonts w:ascii="Times New Roman" w:hAnsi="Times New Roman" w:cs="Times New Roman"/>
          <w:i/>
          <w:iCs/>
          <w:sz w:val="28"/>
          <w:szCs w:val="28"/>
          <w:lang w:val="en-US"/>
        </w:rPr>
        <w:t>Overstrand Municipality v Water and Sanitation Services South Africa (Pty) Ltd</w:t>
      </w:r>
      <w:r w:rsidR="00B84100">
        <w:rPr>
          <w:rStyle w:val="FootnoteReference"/>
          <w:rFonts w:ascii="Times New Roman" w:hAnsi="Times New Roman" w:cs="Times New Roman"/>
          <w:sz w:val="28"/>
          <w:szCs w:val="28"/>
          <w:lang w:val="en-US"/>
        </w:rPr>
        <w:footnoteReference w:id="36"/>
      </w:r>
      <w:r w:rsidR="00B84100" w:rsidRPr="000E2B31">
        <w:rPr>
          <w:rFonts w:ascii="Times New Roman" w:hAnsi="Times New Roman" w:cs="Times New Roman"/>
          <w:sz w:val="28"/>
          <w:szCs w:val="28"/>
          <w:lang w:val="en-US"/>
        </w:rPr>
        <w:t xml:space="preserve"> the SCA considered the question whether our law permits condonation of noncompliance with peremptory bid requirements as follows:</w:t>
      </w:r>
    </w:p>
    <w:p w14:paraId="7AA806E6" w14:textId="0CEFDECE" w:rsidR="00551B89" w:rsidRPr="00350ADB" w:rsidRDefault="00551B89" w:rsidP="00551B89">
      <w:pPr>
        <w:shd w:val="clear" w:color="auto" w:fill="FFFFFF"/>
        <w:spacing w:line="240" w:lineRule="auto"/>
        <w:ind w:left="567"/>
        <w:jc w:val="both"/>
        <w:rPr>
          <w:rFonts w:ascii="Times New Roman" w:eastAsia="Times New Roman" w:hAnsi="Times New Roman" w:cs="Times New Roman"/>
          <w:color w:val="000000"/>
          <w:sz w:val="24"/>
          <w:szCs w:val="24"/>
          <w:lang w:eastAsia="en-ZA"/>
        </w:rPr>
      </w:pPr>
      <w:r w:rsidRPr="00350ADB">
        <w:rPr>
          <w:rFonts w:ascii="Times New Roman" w:hAnsi="Times New Roman" w:cs="Times New Roman"/>
          <w:sz w:val="24"/>
          <w:szCs w:val="24"/>
          <w:lang w:val="en-US"/>
        </w:rPr>
        <w:t>“</w:t>
      </w:r>
      <w:r w:rsidRPr="00350ADB">
        <w:rPr>
          <w:rFonts w:ascii="Times New Roman" w:eastAsia="Times New Roman" w:hAnsi="Times New Roman" w:cs="Times New Roman"/>
          <w:color w:val="000000"/>
          <w:sz w:val="24"/>
          <w:szCs w:val="24"/>
          <w:lang w:eastAsia="en-ZA"/>
        </w:rPr>
        <w:t>For reasons that will become apparent, it is not necessary to resolve the apparent differences in the</w:t>
      </w:r>
      <w:r w:rsidR="00AD0A92">
        <w:rPr>
          <w:rFonts w:ascii="Times New Roman" w:eastAsia="Times New Roman" w:hAnsi="Times New Roman" w:cs="Times New Roman"/>
          <w:color w:val="000000"/>
          <w:sz w:val="24"/>
          <w:szCs w:val="24"/>
          <w:lang w:eastAsia="en-ZA"/>
        </w:rPr>
        <w:t xml:space="preserve"> </w:t>
      </w:r>
      <w:r w:rsidRPr="00350ADB">
        <w:rPr>
          <w:rFonts w:ascii="Times New Roman" w:eastAsia="Times New Roman" w:hAnsi="Times New Roman" w:cs="Times New Roman"/>
          <w:color w:val="000000"/>
          <w:sz w:val="24"/>
          <w:szCs w:val="24"/>
          <w:lang w:eastAsia="en-ZA"/>
        </w:rPr>
        <w:t>decisions of this Court in </w:t>
      </w:r>
      <w:r w:rsidRPr="00350ADB">
        <w:rPr>
          <w:rFonts w:ascii="Times New Roman" w:eastAsia="Times New Roman" w:hAnsi="Times New Roman" w:cs="Times New Roman"/>
          <w:i/>
          <w:iCs/>
          <w:color w:val="000000"/>
          <w:sz w:val="24"/>
          <w:szCs w:val="24"/>
          <w:lang w:eastAsia="en-ZA"/>
        </w:rPr>
        <w:t>Millennium Waste Management </w:t>
      </w:r>
      <w:r w:rsidRPr="00350ADB">
        <w:rPr>
          <w:rFonts w:ascii="Times New Roman" w:eastAsia="Times New Roman" w:hAnsi="Times New Roman" w:cs="Times New Roman"/>
          <w:color w:val="000000"/>
          <w:sz w:val="24"/>
          <w:szCs w:val="24"/>
          <w:lang w:eastAsia="en-ZA"/>
        </w:rPr>
        <w:t>(</w:t>
      </w:r>
      <w:r w:rsidRPr="00350ADB">
        <w:rPr>
          <w:rFonts w:ascii="Times New Roman" w:eastAsia="Times New Roman" w:hAnsi="Times New Roman" w:cs="Times New Roman"/>
          <w:i/>
          <w:iCs/>
          <w:color w:val="000000"/>
          <w:sz w:val="24"/>
          <w:szCs w:val="24"/>
          <w:lang w:eastAsia="en-ZA"/>
        </w:rPr>
        <w:t>Pty</w:t>
      </w:r>
      <w:r w:rsidRPr="00350ADB">
        <w:rPr>
          <w:rFonts w:ascii="Times New Roman" w:eastAsia="Times New Roman" w:hAnsi="Times New Roman" w:cs="Times New Roman"/>
          <w:color w:val="000000"/>
          <w:sz w:val="24"/>
          <w:szCs w:val="24"/>
          <w:lang w:eastAsia="en-ZA"/>
        </w:rPr>
        <w:t>) </w:t>
      </w:r>
      <w:r w:rsidRPr="00350ADB">
        <w:rPr>
          <w:rFonts w:ascii="Times New Roman" w:eastAsia="Times New Roman" w:hAnsi="Times New Roman" w:cs="Times New Roman"/>
          <w:i/>
          <w:iCs/>
          <w:color w:val="000000"/>
          <w:sz w:val="24"/>
          <w:szCs w:val="24"/>
          <w:lang w:eastAsia="en-ZA"/>
        </w:rPr>
        <w:t>Ltd v Chairperson</w:t>
      </w:r>
      <w:r w:rsidRPr="00350ADB">
        <w:rPr>
          <w:rFonts w:ascii="Times New Roman" w:eastAsia="Times New Roman" w:hAnsi="Times New Roman" w:cs="Times New Roman"/>
          <w:color w:val="000000"/>
          <w:sz w:val="24"/>
          <w:szCs w:val="24"/>
          <w:lang w:eastAsia="en-ZA"/>
        </w:rPr>
        <w:t>, </w:t>
      </w:r>
      <w:r w:rsidRPr="00350ADB">
        <w:rPr>
          <w:rFonts w:ascii="Times New Roman" w:eastAsia="Times New Roman" w:hAnsi="Times New Roman" w:cs="Times New Roman"/>
          <w:i/>
          <w:iCs/>
          <w:color w:val="000000"/>
          <w:sz w:val="24"/>
          <w:szCs w:val="24"/>
          <w:lang w:eastAsia="en-ZA"/>
        </w:rPr>
        <w:t>Tender Board</w:t>
      </w:r>
      <w:r w:rsidRPr="00350ADB">
        <w:rPr>
          <w:rFonts w:ascii="Times New Roman" w:eastAsia="Times New Roman" w:hAnsi="Times New Roman" w:cs="Times New Roman"/>
          <w:color w:val="000000"/>
          <w:sz w:val="24"/>
          <w:szCs w:val="24"/>
          <w:lang w:eastAsia="en-ZA"/>
        </w:rPr>
        <w:t>: </w:t>
      </w:r>
      <w:r w:rsidRPr="00350ADB">
        <w:rPr>
          <w:rFonts w:ascii="Times New Roman" w:eastAsia="Times New Roman" w:hAnsi="Times New Roman" w:cs="Times New Roman"/>
          <w:i/>
          <w:iCs/>
          <w:color w:val="000000"/>
          <w:sz w:val="24"/>
          <w:szCs w:val="24"/>
          <w:lang w:eastAsia="en-ZA"/>
        </w:rPr>
        <w:t>Limpopo Province and others </w:t>
      </w:r>
      <w:r w:rsidRPr="00350ADB">
        <w:rPr>
          <w:rFonts w:ascii="Times New Roman" w:eastAsia="Times New Roman" w:hAnsi="Times New Roman" w:cs="Times New Roman"/>
          <w:color w:val="000000"/>
          <w:sz w:val="24"/>
          <w:szCs w:val="24"/>
          <w:lang w:eastAsia="en-ZA"/>
        </w:rPr>
        <w:t>2008 (2) SA 481 (SCA) and </w:t>
      </w:r>
      <w:r w:rsidRPr="00350ADB">
        <w:rPr>
          <w:rFonts w:ascii="Times New Roman" w:eastAsia="Times New Roman" w:hAnsi="Times New Roman" w:cs="Times New Roman"/>
          <w:i/>
          <w:iCs/>
          <w:color w:val="000000"/>
          <w:sz w:val="24"/>
          <w:szCs w:val="24"/>
          <w:lang w:eastAsia="en-ZA"/>
        </w:rPr>
        <w:t>Dr J S Moroka Municipality v Betram </w:t>
      </w:r>
      <w:r w:rsidRPr="00350ADB">
        <w:rPr>
          <w:rFonts w:ascii="Times New Roman" w:eastAsia="Times New Roman" w:hAnsi="Times New Roman" w:cs="Times New Roman"/>
          <w:color w:val="000000"/>
          <w:sz w:val="24"/>
          <w:szCs w:val="24"/>
          <w:lang w:eastAsia="en-ZA"/>
        </w:rPr>
        <w:t>(</w:t>
      </w:r>
      <w:r w:rsidRPr="00350ADB">
        <w:rPr>
          <w:rFonts w:ascii="Times New Roman" w:eastAsia="Times New Roman" w:hAnsi="Times New Roman" w:cs="Times New Roman"/>
          <w:i/>
          <w:iCs/>
          <w:color w:val="000000"/>
          <w:sz w:val="24"/>
          <w:szCs w:val="24"/>
          <w:lang w:eastAsia="en-ZA"/>
        </w:rPr>
        <w:t>Pty</w:t>
      </w:r>
      <w:r w:rsidRPr="00350ADB">
        <w:rPr>
          <w:rFonts w:ascii="Times New Roman" w:eastAsia="Times New Roman" w:hAnsi="Times New Roman" w:cs="Times New Roman"/>
          <w:color w:val="000000"/>
          <w:sz w:val="24"/>
          <w:szCs w:val="24"/>
          <w:lang w:eastAsia="en-ZA"/>
        </w:rPr>
        <w:t>) </w:t>
      </w:r>
      <w:r w:rsidRPr="00350ADB">
        <w:rPr>
          <w:rFonts w:ascii="Times New Roman" w:eastAsia="Times New Roman" w:hAnsi="Times New Roman" w:cs="Times New Roman"/>
          <w:i/>
          <w:iCs/>
          <w:color w:val="000000"/>
          <w:sz w:val="24"/>
          <w:szCs w:val="24"/>
          <w:lang w:eastAsia="en-ZA"/>
        </w:rPr>
        <w:t>Ltd and another </w:t>
      </w:r>
      <w:r w:rsidRPr="00350ADB">
        <w:rPr>
          <w:rFonts w:ascii="Times New Roman" w:eastAsia="Times New Roman" w:hAnsi="Times New Roman" w:cs="Times New Roman"/>
          <w:color w:val="000000"/>
          <w:sz w:val="24"/>
          <w:szCs w:val="24"/>
          <w:lang w:eastAsia="en-ZA"/>
        </w:rPr>
        <w:t>2014 (1) SA 545 (SCA). This Court, in </w:t>
      </w:r>
      <w:r w:rsidRPr="00350ADB">
        <w:rPr>
          <w:rFonts w:ascii="Times New Roman" w:eastAsia="Times New Roman" w:hAnsi="Times New Roman" w:cs="Times New Roman"/>
          <w:i/>
          <w:iCs/>
          <w:color w:val="000000"/>
          <w:sz w:val="24"/>
          <w:szCs w:val="24"/>
          <w:lang w:eastAsia="en-ZA"/>
        </w:rPr>
        <w:t>Millennium</w:t>
      </w:r>
      <w:r w:rsidRPr="00350ADB">
        <w:rPr>
          <w:rFonts w:ascii="Times New Roman" w:eastAsia="Times New Roman" w:hAnsi="Times New Roman" w:cs="Times New Roman"/>
          <w:color w:val="000000"/>
          <w:sz w:val="24"/>
          <w:szCs w:val="24"/>
          <w:lang w:eastAsia="en-ZA"/>
        </w:rPr>
        <w:t>, said at paragraph 17:</w:t>
      </w:r>
    </w:p>
    <w:p w14:paraId="1B1DA709" w14:textId="77777777" w:rsidR="00551B89" w:rsidRPr="00350ADB" w:rsidRDefault="00551B89" w:rsidP="00AD0A92">
      <w:pPr>
        <w:shd w:val="clear" w:color="auto" w:fill="FFFFFF"/>
        <w:spacing w:before="0" w:beforeAutospacing="0" w:line="240" w:lineRule="auto"/>
        <w:ind w:left="851"/>
        <w:contextualSpacing/>
        <w:jc w:val="both"/>
        <w:rPr>
          <w:rFonts w:ascii="Times New Roman" w:eastAsia="Times New Roman" w:hAnsi="Times New Roman" w:cs="Times New Roman"/>
          <w:color w:val="000000"/>
          <w:sz w:val="24"/>
          <w:szCs w:val="24"/>
          <w:lang w:eastAsia="en-ZA"/>
        </w:rPr>
      </w:pPr>
      <w:r w:rsidRPr="00350ADB">
        <w:rPr>
          <w:rFonts w:ascii="Times New Roman" w:eastAsia="Times New Roman" w:hAnsi="Times New Roman" w:cs="Times New Roman"/>
          <w:color w:val="000000"/>
          <w:sz w:val="24"/>
          <w:szCs w:val="24"/>
          <w:lang w:eastAsia="en-ZA"/>
        </w:rPr>
        <w:t>“[O]ur law permits condonation of non-compliance with peremptory requirements in cases where condonation is not incompatible with public interest and if such condonation is granted by the body in whose benefit the provision was enacted.” (Citation omitted.)</w:t>
      </w:r>
    </w:p>
    <w:p w14:paraId="5B9DB2F3" w14:textId="49463DA8" w:rsidR="00551B89" w:rsidRPr="00350ADB" w:rsidRDefault="00551B89" w:rsidP="00AD0A92">
      <w:pPr>
        <w:shd w:val="clear" w:color="auto" w:fill="FFFFFF"/>
        <w:spacing w:before="0" w:beforeAutospacing="0" w:line="240" w:lineRule="auto"/>
        <w:ind w:left="567"/>
        <w:contextualSpacing/>
        <w:jc w:val="both"/>
        <w:rPr>
          <w:rFonts w:ascii="Times New Roman" w:eastAsia="Times New Roman" w:hAnsi="Times New Roman" w:cs="Times New Roman"/>
          <w:color w:val="000000"/>
          <w:sz w:val="24"/>
          <w:szCs w:val="24"/>
          <w:lang w:eastAsia="en-ZA"/>
        </w:rPr>
      </w:pPr>
      <w:r w:rsidRPr="00350ADB">
        <w:rPr>
          <w:rFonts w:ascii="Times New Roman" w:eastAsia="Times New Roman" w:hAnsi="Times New Roman" w:cs="Times New Roman"/>
          <w:color w:val="000000"/>
          <w:sz w:val="24"/>
          <w:szCs w:val="24"/>
          <w:lang w:eastAsia="en-ZA"/>
        </w:rPr>
        <w:lastRenderedPageBreak/>
        <w:t>Under the heading “A flexible approach”, P Volmink</w:t>
      </w:r>
      <w:r w:rsidRPr="00350ADB">
        <w:rPr>
          <w:rStyle w:val="FootnoteReference"/>
          <w:rFonts w:ascii="Times New Roman" w:eastAsia="Times New Roman" w:hAnsi="Times New Roman" w:cs="Times New Roman"/>
          <w:color w:val="000000"/>
          <w:sz w:val="24"/>
          <w:szCs w:val="24"/>
          <w:lang w:eastAsia="en-ZA"/>
        </w:rPr>
        <w:footnoteReference w:id="37"/>
      </w:r>
      <w:r w:rsidRPr="00350ADB">
        <w:rPr>
          <w:rFonts w:ascii="Times New Roman" w:eastAsia="Times New Roman" w:hAnsi="Times New Roman" w:cs="Times New Roman"/>
          <w:color w:val="000000"/>
          <w:sz w:val="24"/>
          <w:szCs w:val="24"/>
          <w:lang w:eastAsia="en-ZA"/>
        </w:rPr>
        <w:t xml:space="preserve"> described the effect of the decision in </w:t>
      </w:r>
      <w:r w:rsidRPr="00350ADB">
        <w:rPr>
          <w:rFonts w:ascii="Times New Roman" w:eastAsia="Times New Roman" w:hAnsi="Times New Roman" w:cs="Times New Roman"/>
          <w:i/>
          <w:iCs/>
          <w:color w:val="000000"/>
          <w:sz w:val="24"/>
          <w:szCs w:val="24"/>
          <w:lang w:eastAsia="en-ZA"/>
        </w:rPr>
        <w:t>Moroka Municipality</w:t>
      </w:r>
      <w:r w:rsidRPr="00350ADB">
        <w:rPr>
          <w:rFonts w:ascii="Times New Roman" w:eastAsia="Times New Roman" w:hAnsi="Times New Roman" w:cs="Times New Roman"/>
          <w:color w:val="000000"/>
          <w:sz w:val="24"/>
          <w:szCs w:val="24"/>
          <w:lang w:eastAsia="en-ZA"/>
        </w:rPr>
        <w:t>, as follows:</w:t>
      </w:r>
    </w:p>
    <w:p w14:paraId="4BE6F456" w14:textId="703472E8" w:rsidR="00551B89" w:rsidRPr="008548C9" w:rsidRDefault="00551B89" w:rsidP="00AD0A92">
      <w:pPr>
        <w:shd w:val="clear" w:color="auto" w:fill="FFFFFF"/>
        <w:spacing w:before="0" w:beforeAutospacing="0" w:line="240" w:lineRule="auto"/>
        <w:ind w:left="851"/>
        <w:contextualSpacing/>
        <w:jc w:val="both"/>
        <w:rPr>
          <w:rFonts w:ascii="Verdana" w:eastAsia="Times New Roman" w:hAnsi="Verdana" w:cs="Times New Roman"/>
          <w:color w:val="000000"/>
          <w:sz w:val="16"/>
          <w:szCs w:val="16"/>
          <w:lang w:eastAsia="en-ZA"/>
        </w:rPr>
      </w:pPr>
      <w:r w:rsidRPr="00350ADB">
        <w:rPr>
          <w:rFonts w:ascii="Times New Roman" w:eastAsia="Times New Roman" w:hAnsi="Times New Roman" w:cs="Times New Roman"/>
          <w:color w:val="000000"/>
          <w:sz w:val="24"/>
          <w:szCs w:val="24"/>
          <w:lang w:eastAsia="en-ZA"/>
        </w:rPr>
        <w:t>“[A]dministrative bodies do not enjoy a blanket discretion to condone non-compliance with mandatory bid requirements in all instances. Rather, they have the power to condone non-compliance with mandatory provisions only when they have been afforded the discretion to do so in the RFP document or some other enabling provision.””</w:t>
      </w:r>
      <w:r w:rsidRPr="00551B89">
        <w:rPr>
          <w:rFonts w:ascii="Times New Roman" w:eastAsia="Times New Roman" w:hAnsi="Times New Roman" w:cs="Times New Roman"/>
          <w:color w:val="000000"/>
          <w:sz w:val="28"/>
          <w:szCs w:val="28"/>
          <w:lang w:eastAsia="en-ZA"/>
        </w:rPr>
        <w:t xml:space="preserve"> </w:t>
      </w:r>
      <w:r w:rsidRPr="00551B89">
        <w:rPr>
          <w:rStyle w:val="FootnoteReference"/>
          <w:rFonts w:ascii="Times New Roman" w:eastAsia="Times New Roman" w:hAnsi="Times New Roman" w:cs="Times New Roman"/>
          <w:color w:val="000000"/>
          <w:sz w:val="28"/>
          <w:szCs w:val="28"/>
          <w:lang w:eastAsia="en-ZA"/>
        </w:rPr>
        <w:footnoteReference w:id="38"/>
      </w:r>
    </w:p>
    <w:p w14:paraId="4BE8511C" w14:textId="77777777" w:rsidR="000B1FFC" w:rsidRPr="00773E12" w:rsidRDefault="000B1FFC" w:rsidP="000B1FFC">
      <w:pPr>
        <w:pStyle w:val="ListParagraph"/>
        <w:rPr>
          <w:rFonts w:ascii="Times New Roman" w:hAnsi="Times New Roman" w:cs="Times New Roman"/>
          <w:sz w:val="28"/>
          <w:szCs w:val="28"/>
          <w:lang w:val="en-US"/>
        </w:rPr>
      </w:pPr>
    </w:p>
    <w:p w14:paraId="2A7C6A67" w14:textId="7AD8EE4B" w:rsidR="000B1FFC" w:rsidRPr="000E2B31" w:rsidRDefault="000E2B31" w:rsidP="000E2B31">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[93]</w:t>
      </w:r>
      <w:r>
        <w:rPr>
          <w:rFonts w:ascii="Times New Roman" w:hAnsi="Times New Roman" w:cs="Times New Roman"/>
          <w:sz w:val="28"/>
          <w:szCs w:val="28"/>
          <w:lang w:val="en-US"/>
        </w:rPr>
        <w:tab/>
      </w:r>
      <w:r w:rsidR="00551B89" w:rsidRPr="000E2B31">
        <w:rPr>
          <w:rFonts w:ascii="Times New Roman" w:hAnsi="Times New Roman" w:cs="Times New Roman"/>
          <w:sz w:val="28"/>
          <w:szCs w:val="28"/>
          <w:lang w:val="en-US"/>
        </w:rPr>
        <w:t>In this regard the Standard</w:t>
      </w:r>
      <w:r w:rsidR="00FA0EFD">
        <w:rPr>
          <w:rStyle w:val="FootnoteReference"/>
          <w:rFonts w:ascii="Times New Roman" w:hAnsi="Times New Roman" w:cs="Times New Roman"/>
          <w:sz w:val="28"/>
          <w:szCs w:val="28"/>
          <w:lang w:val="en-US"/>
        </w:rPr>
        <w:footnoteReference w:id="39"/>
      </w:r>
      <w:r w:rsidR="00551B89" w:rsidRPr="000E2B31">
        <w:rPr>
          <w:rFonts w:ascii="Times New Roman" w:hAnsi="Times New Roman" w:cs="Times New Roman"/>
          <w:sz w:val="28"/>
          <w:szCs w:val="28"/>
          <w:lang w:val="en-US"/>
        </w:rPr>
        <w:t xml:space="preserve"> </w:t>
      </w:r>
      <w:r w:rsidR="00156A86" w:rsidRPr="000E2B31">
        <w:rPr>
          <w:rFonts w:ascii="Times New Roman" w:hAnsi="Times New Roman" w:cs="Times New Roman"/>
          <w:sz w:val="28"/>
          <w:szCs w:val="28"/>
          <w:lang w:val="en-US"/>
        </w:rPr>
        <w:t xml:space="preserve">generically </w:t>
      </w:r>
      <w:r w:rsidR="00054858" w:rsidRPr="000E2B31">
        <w:rPr>
          <w:rFonts w:ascii="Times New Roman" w:hAnsi="Times New Roman" w:cs="Times New Roman"/>
          <w:sz w:val="28"/>
          <w:szCs w:val="28"/>
          <w:lang w:val="en-US"/>
        </w:rPr>
        <w:t>endorses some leeway</w:t>
      </w:r>
      <w:r w:rsidR="00551B89" w:rsidRPr="000E2B31">
        <w:rPr>
          <w:rFonts w:ascii="Times New Roman" w:hAnsi="Times New Roman" w:cs="Times New Roman"/>
          <w:sz w:val="28"/>
          <w:szCs w:val="28"/>
          <w:lang w:val="en-US"/>
        </w:rPr>
        <w:t xml:space="preserve"> as follows</w:t>
      </w:r>
      <w:r w:rsidR="009A1480" w:rsidRPr="000E2B31">
        <w:rPr>
          <w:rFonts w:ascii="Times New Roman" w:hAnsi="Times New Roman" w:cs="Times New Roman"/>
          <w:sz w:val="28"/>
          <w:szCs w:val="28"/>
          <w:lang w:val="en-US"/>
        </w:rPr>
        <w:t xml:space="preserve"> although the appellant did not even address the issue whether it was competent for it to have condoned any noncompliance </w:t>
      </w:r>
      <w:r w:rsidR="00BE5FA6" w:rsidRPr="000E2B31">
        <w:rPr>
          <w:rFonts w:ascii="Times New Roman" w:hAnsi="Times New Roman" w:cs="Times New Roman"/>
          <w:sz w:val="28"/>
          <w:szCs w:val="28"/>
          <w:lang w:val="en-US"/>
        </w:rPr>
        <w:t>with mandatory requirements stated in the tender Data</w:t>
      </w:r>
      <w:r w:rsidR="00551B89" w:rsidRPr="000E2B31">
        <w:rPr>
          <w:rFonts w:ascii="Times New Roman" w:hAnsi="Times New Roman" w:cs="Times New Roman"/>
          <w:sz w:val="28"/>
          <w:szCs w:val="28"/>
          <w:lang w:val="en-US"/>
        </w:rPr>
        <w:t>:</w:t>
      </w:r>
      <w:r w:rsidR="009F553C">
        <w:rPr>
          <w:rStyle w:val="FootnoteReference"/>
          <w:rFonts w:ascii="Times New Roman" w:hAnsi="Times New Roman" w:cs="Times New Roman"/>
          <w:sz w:val="28"/>
          <w:szCs w:val="28"/>
          <w:lang w:val="en-US"/>
        </w:rPr>
        <w:footnoteReference w:id="40"/>
      </w:r>
      <w:r w:rsidR="008C4895" w:rsidRPr="000E2B31">
        <w:rPr>
          <w:rFonts w:ascii="Times New Roman" w:hAnsi="Times New Roman" w:cs="Times New Roman"/>
          <w:sz w:val="28"/>
          <w:szCs w:val="28"/>
          <w:lang w:val="en-US"/>
        </w:rPr>
        <w:t xml:space="preserve">  </w:t>
      </w:r>
    </w:p>
    <w:p w14:paraId="020AB2FC" w14:textId="77777777" w:rsidR="000B1FFC" w:rsidRPr="00773E12" w:rsidRDefault="000B1FFC" w:rsidP="000B1FFC">
      <w:pPr>
        <w:pStyle w:val="ListParagraph"/>
        <w:rPr>
          <w:rFonts w:ascii="Times New Roman" w:hAnsi="Times New Roman" w:cs="Times New Roman"/>
          <w:sz w:val="28"/>
          <w:szCs w:val="28"/>
          <w:lang w:val="en-US"/>
        </w:rPr>
      </w:pPr>
    </w:p>
    <w:p w14:paraId="6F811E8C" w14:textId="4DE18D19" w:rsidR="000B1FFC" w:rsidRPr="00094389" w:rsidRDefault="00551B89" w:rsidP="00AD0A92">
      <w:pPr>
        <w:spacing w:before="0" w:beforeAutospacing="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0B1FFC" w:rsidRPr="00094389">
        <w:rPr>
          <w:rFonts w:ascii="Times New Roman" w:hAnsi="Times New Roman" w:cs="Times New Roman"/>
          <w:sz w:val="24"/>
          <w:szCs w:val="24"/>
        </w:rPr>
        <w:t>F.3.8 Test for responsiveness</w:t>
      </w:r>
    </w:p>
    <w:p w14:paraId="477DD91F" w14:textId="77777777" w:rsidR="000B1FFC" w:rsidRPr="00094389" w:rsidRDefault="000B1FFC" w:rsidP="00AD0A92">
      <w:pPr>
        <w:spacing w:before="0" w:beforeAutospacing="0" w:line="240" w:lineRule="auto"/>
        <w:ind w:left="720"/>
        <w:contextualSpacing/>
        <w:rPr>
          <w:rFonts w:ascii="Times New Roman" w:hAnsi="Times New Roman" w:cs="Times New Roman"/>
          <w:sz w:val="24"/>
          <w:szCs w:val="24"/>
        </w:rPr>
      </w:pPr>
      <w:r w:rsidRPr="00094389">
        <w:rPr>
          <w:rFonts w:ascii="Times New Roman" w:hAnsi="Times New Roman" w:cs="Times New Roman"/>
          <w:sz w:val="24"/>
          <w:szCs w:val="24"/>
        </w:rPr>
        <w:t>F.3.8.1 Determine, after opening and before detailed evaluation, whether each tender offer properly received:</w:t>
      </w:r>
    </w:p>
    <w:p w14:paraId="41FF5932" w14:textId="77777777" w:rsidR="000B1FFC" w:rsidRPr="00094389" w:rsidRDefault="000B1FFC" w:rsidP="00AD0A92">
      <w:pPr>
        <w:spacing w:before="0" w:beforeAutospacing="0" w:line="240" w:lineRule="auto"/>
        <w:contextualSpacing/>
        <w:rPr>
          <w:rFonts w:ascii="Times New Roman" w:hAnsi="Times New Roman" w:cs="Times New Roman"/>
          <w:sz w:val="24"/>
          <w:szCs w:val="24"/>
        </w:rPr>
      </w:pPr>
      <w:r w:rsidRPr="00094389">
        <w:rPr>
          <w:rFonts w:ascii="Times New Roman" w:hAnsi="Times New Roman" w:cs="Times New Roman"/>
          <w:sz w:val="24"/>
          <w:szCs w:val="24"/>
        </w:rPr>
        <w:t xml:space="preserve"> </w:t>
      </w:r>
      <w:r>
        <w:rPr>
          <w:rFonts w:ascii="Times New Roman" w:hAnsi="Times New Roman" w:cs="Times New Roman"/>
          <w:sz w:val="24"/>
          <w:szCs w:val="24"/>
        </w:rPr>
        <w:tab/>
      </w:r>
      <w:r w:rsidRPr="00094389">
        <w:rPr>
          <w:rFonts w:ascii="Times New Roman" w:hAnsi="Times New Roman" w:cs="Times New Roman"/>
          <w:sz w:val="24"/>
          <w:szCs w:val="24"/>
        </w:rPr>
        <w:t>a) complies with the requirements of these Conditions of Tender,</w:t>
      </w:r>
    </w:p>
    <w:p w14:paraId="7C0DB252" w14:textId="77777777" w:rsidR="000B1FFC" w:rsidRPr="00094389" w:rsidRDefault="000B1FFC" w:rsidP="00AD0A92">
      <w:pPr>
        <w:spacing w:before="0" w:beforeAutospacing="0" w:line="240" w:lineRule="auto"/>
        <w:contextualSpacing/>
        <w:rPr>
          <w:rFonts w:ascii="Times New Roman" w:hAnsi="Times New Roman" w:cs="Times New Roman"/>
          <w:sz w:val="24"/>
          <w:szCs w:val="24"/>
        </w:rPr>
      </w:pPr>
      <w:r w:rsidRPr="00094389">
        <w:rPr>
          <w:rFonts w:ascii="Times New Roman" w:hAnsi="Times New Roman" w:cs="Times New Roman"/>
          <w:sz w:val="24"/>
          <w:szCs w:val="24"/>
        </w:rPr>
        <w:t xml:space="preserve"> </w:t>
      </w:r>
      <w:r>
        <w:rPr>
          <w:rFonts w:ascii="Times New Roman" w:hAnsi="Times New Roman" w:cs="Times New Roman"/>
          <w:sz w:val="24"/>
          <w:szCs w:val="24"/>
        </w:rPr>
        <w:tab/>
      </w:r>
      <w:r w:rsidRPr="00094389">
        <w:rPr>
          <w:rFonts w:ascii="Times New Roman" w:hAnsi="Times New Roman" w:cs="Times New Roman"/>
          <w:sz w:val="24"/>
          <w:szCs w:val="24"/>
        </w:rPr>
        <w:t>b) has been properly and fully completed and signed, and</w:t>
      </w:r>
    </w:p>
    <w:p w14:paraId="347EE7DB" w14:textId="77777777" w:rsidR="000B1FFC" w:rsidRPr="00094389" w:rsidRDefault="000B1FFC" w:rsidP="00AD0A92">
      <w:pPr>
        <w:spacing w:before="0" w:beforeAutospacing="0" w:line="240" w:lineRule="auto"/>
        <w:contextualSpacing/>
        <w:rPr>
          <w:rFonts w:ascii="Times New Roman" w:hAnsi="Times New Roman" w:cs="Times New Roman"/>
          <w:sz w:val="24"/>
          <w:szCs w:val="24"/>
        </w:rPr>
      </w:pPr>
      <w:r w:rsidRPr="00094389">
        <w:rPr>
          <w:rFonts w:ascii="Times New Roman" w:hAnsi="Times New Roman" w:cs="Times New Roman"/>
          <w:sz w:val="24"/>
          <w:szCs w:val="24"/>
        </w:rPr>
        <w:t xml:space="preserve"> </w:t>
      </w:r>
      <w:r>
        <w:rPr>
          <w:rFonts w:ascii="Times New Roman" w:hAnsi="Times New Roman" w:cs="Times New Roman"/>
          <w:sz w:val="24"/>
          <w:szCs w:val="24"/>
        </w:rPr>
        <w:tab/>
      </w:r>
      <w:r w:rsidRPr="00094389">
        <w:rPr>
          <w:rFonts w:ascii="Times New Roman" w:hAnsi="Times New Roman" w:cs="Times New Roman"/>
          <w:sz w:val="24"/>
          <w:szCs w:val="24"/>
        </w:rPr>
        <w:t>c) is responsive to the other requirements of the tender documents.</w:t>
      </w:r>
    </w:p>
    <w:p w14:paraId="03917DFA" w14:textId="77777777" w:rsidR="000B1FFC" w:rsidRPr="00054858" w:rsidRDefault="000B1FFC" w:rsidP="00AD0A92">
      <w:pPr>
        <w:spacing w:before="0" w:beforeAutospacing="0" w:line="240" w:lineRule="auto"/>
        <w:ind w:left="720"/>
        <w:contextualSpacing/>
        <w:rPr>
          <w:rFonts w:ascii="Times New Roman" w:hAnsi="Times New Roman" w:cs="Times New Roman"/>
          <w:sz w:val="24"/>
          <w:szCs w:val="24"/>
        </w:rPr>
      </w:pPr>
      <w:r w:rsidRPr="00094389">
        <w:rPr>
          <w:rFonts w:ascii="Times New Roman" w:hAnsi="Times New Roman" w:cs="Times New Roman"/>
          <w:sz w:val="24"/>
          <w:szCs w:val="24"/>
        </w:rPr>
        <w:t xml:space="preserve"> F.3.8.2 A responsive tender is one that conforms to all the terms, conditions, and specifications of the tender documents </w:t>
      </w:r>
      <w:r w:rsidRPr="00551B89">
        <w:rPr>
          <w:rFonts w:ascii="Times New Roman" w:hAnsi="Times New Roman" w:cs="Times New Roman"/>
          <w:i/>
          <w:iCs/>
          <w:sz w:val="24"/>
          <w:szCs w:val="24"/>
        </w:rPr>
        <w:t>without material deviation or qualification</w:t>
      </w:r>
      <w:r w:rsidRPr="00054858">
        <w:rPr>
          <w:rFonts w:ascii="Times New Roman" w:hAnsi="Times New Roman" w:cs="Times New Roman"/>
          <w:sz w:val="24"/>
          <w:szCs w:val="24"/>
        </w:rPr>
        <w:t>. A material deviation or qualification is one which, in the Employer's opinion, would:</w:t>
      </w:r>
    </w:p>
    <w:p w14:paraId="7F9A82E2" w14:textId="77777777" w:rsidR="000B1FFC" w:rsidRPr="00054858" w:rsidRDefault="000B1FFC" w:rsidP="00AD0A92">
      <w:pPr>
        <w:spacing w:before="0" w:beforeAutospacing="0" w:line="240" w:lineRule="auto"/>
        <w:ind w:left="720" w:firstLine="60"/>
        <w:contextualSpacing/>
        <w:rPr>
          <w:rFonts w:ascii="Times New Roman" w:hAnsi="Times New Roman" w:cs="Times New Roman"/>
          <w:sz w:val="24"/>
          <w:szCs w:val="24"/>
        </w:rPr>
      </w:pPr>
      <w:r w:rsidRPr="00054858">
        <w:rPr>
          <w:rFonts w:ascii="Times New Roman" w:hAnsi="Times New Roman" w:cs="Times New Roman"/>
          <w:sz w:val="24"/>
          <w:szCs w:val="24"/>
        </w:rPr>
        <w:t>a) detrimentally affect the scope, quality, or performance of the works, services or supply identified in the Scope of Work,</w:t>
      </w:r>
    </w:p>
    <w:p w14:paraId="659C189A" w14:textId="77777777" w:rsidR="000B1FFC" w:rsidRPr="00054858" w:rsidRDefault="000B1FFC" w:rsidP="00AD0A92">
      <w:pPr>
        <w:spacing w:before="0" w:beforeAutospacing="0" w:line="240" w:lineRule="auto"/>
        <w:ind w:left="720"/>
        <w:contextualSpacing/>
        <w:rPr>
          <w:rFonts w:ascii="Times New Roman" w:hAnsi="Times New Roman" w:cs="Times New Roman"/>
          <w:sz w:val="24"/>
          <w:szCs w:val="24"/>
        </w:rPr>
      </w:pPr>
      <w:r w:rsidRPr="00054858">
        <w:rPr>
          <w:rFonts w:ascii="Times New Roman" w:hAnsi="Times New Roman" w:cs="Times New Roman"/>
          <w:sz w:val="24"/>
          <w:szCs w:val="24"/>
        </w:rPr>
        <w:t>b) significantly change the Employer's or the tenderer's risks and responsibilities under the contract, or</w:t>
      </w:r>
    </w:p>
    <w:p w14:paraId="3068B991" w14:textId="77777777" w:rsidR="000B1FFC" w:rsidRPr="00054858" w:rsidRDefault="000B1FFC" w:rsidP="00AD0A92">
      <w:pPr>
        <w:spacing w:before="0" w:beforeAutospacing="0" w:line="240" w:lineRule="auto"/>
        <w:ind w:left="720"/>
        <w:contextualSpacing/>
        <w:rPr>
          <w:rFonts w:ascii="Times New Roman" w:hAnsi="Times New Roman" w:cs="Times New Roman"/>
          <w:sz w:val="24"/>
          <w:szCs w:val="24"/>
        </w:rPr>
      </w:pPr>
      <w:r w:rsidRPr="00054858">
        <w:rPr>
          <w:rFonts w:ascii="Times New Roman" w:hAnsi="Times New Roman" w:cs="Times New Roman"/>
          <w:sz w:val="24"/>
          <w:szCs w:val="24"/>
        </w:rPr>
        <w:t xml:space="preserve">c) affect the competitive position of other tenderers presenting responsive tenders, if it were to be rectified. </w:t>
      </w:r>
    </w:p>
    <w:p w14:paraId="3CA3BF8D" w14:textId="289474C1" w:rsidR="000B1FFC" w:rsidRPr="00094389" w:rsidRDefault="000B1FFC" w:rsidP="00AD0A92">
      <w:pPr>
        <w:spacing w:before="0" w:beforeAutospacing="0" w:line="240" w:lineRule="auto"/>
        <w:ind w:left="720"/>
        <w:contextualSpacing/>
        <w:rPr>
          <w:rFonts w:ascii="Times New Roman" w:hAnsi="Times New Roman" w:cs="Times New Roman"/>
          <w:sz w:val="24"/>
          <w:szCs w:val="24"/>
        </w:rPr>
      </w:pPr>
      <w:r w:rsidRPr="00094389">
        <w:rPr>
          <w:rFonts w:ascii="Times New Roman" w:hAnsi="Times New Roman" w:cs="Times New Roman"/>
          <w:sz w:val="24"/>
          <w:szCs w:val="24"/>
        </w:rPr>
        <w:t>Reject a non-responsive tender offer, and not allow it to be subsequently made responsive by correction or withdrawal of the non-conforming deviation or reservation.</w:t>
      </w:r>
      <w:r w:rsidR="00551B89">
        <w:rPr>
          <w:rFonts w:ascii="Times New Roman" w:hAnsi="Times New Roman" w:cs="Times New Roman"/>
          <w:sz w:val="24"/>
          <w:szCs w:val="24"/>
        </w:rPr>
        <w:t>”</w:t>
      </w:r>
    </w:p>
    <w:p w14:paraId="70F84FD3" w14:textId="463B4215" w:rsidR="000B1FFC" w:rsidRPr="00773E12" w:rsidRDefault="00054858" w:rsidP="00AD0A92">
      <w:pPr>
        <w:tabs>
          <w:tab w:val="left" w:pos="709"/>
        </w:tabs>
        <w:spacing w:before="0" w:beforeAutospacing="0" w:line="240" w:lineRule="auto"/>
        <w:ind w:left="72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(Emphasis added)</w:t>
      </w:r>
    </w:p>
    <w:p w14:paraId="6AAA2B92" w14:textId="77777777" w:rsidR="00054858" w:rsidRPr="001F133C" w:rsidRDefault="00054858" w:rsidP="00FA0EFD">
      <w:pPr>
        <w:pStyle w:val="ListParagraph"/>
        <w:tabs>
          <w:tab w:val="left" w:pos="709"/>
        </w:tabs>
        <w:spacing w:before="0" w:beforeAutospacing="0"/>
        <w:ind w:left="709"/>
        <w:jc w:val="both"/>
        <w:rPr>
          <w:rFonts w:ascii="Times New Roman" w:hAnsi="Times New Roman" w:cs="Times New Roman"/>
          <w:sz w:val="24"/>
          <w:szCs w:val="24"/>
          <w:lang w:val="en-US"/>
        </w:rPr>
      </w:pPr>
    </w:p>
    <w:p w14:paraId="1719C967" w14:textId="4432CFF3" w:rsidR="000B1FFC" w:rsidRPr="000E2B31" w:rsidRDefault="000E2B31" w:rsidP="000E2B31">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[94]</w:t>
      </w:r>
      <w:r>
        <w:rPr>
          <w:rFonts w:ascii="Times New Roman" w:hAnsi="Times New Roman" w:cs="Times New Roman"/>
          <w:sz w:val="28"/>
          <w:szCs w:val="28"/>
          <w:lang w:val="en-US"/>
        </w:rPr>
        <w:tab/>
      </w:r>
      <w:r w:rsidR="00054858" w:rsidRPr="000E2B31">
        <w:rPr>
          <w:rFonts w:ascii="Times New Roman" w:hAnsi="Times New Roman" w:cs="Times New Roman"/>
          <w:sz w:val="28"/>
          <w:szCs w:val="28"/>
          <w:lang w:val="en-US"/>
        </w:rPr>
        <w:t xml:space="preserve">In order to assess whether it was permissible for the Department to have overlooked the </w:t>
      </w:r>
      <w:r w:rsidR="007606F3" w:rsidRPr="000E2B31">
        <w:rPr>
          <w:rFonts w:ascii="Times New Roman" w:hAnsi="Times New Roman" w:cs="Times New Roman"/>
          <w:sz w:val="28"/>
          <w:szCs w:val="28"/>
          <w:lang w:val="en-US"/>
        </w:rPr>
        <w:t xml:space="preserve">second respondent’s </w:t>
      </w:r>
      <w:r w:rsidR="00054858" w:rsidRPr="000E2B31">
        <w:rPr>
          <w:rFonts w:ascii="Times New Roman" w:hAnsi="Times New Roman" w:cs="Times New Roman"/>
          <w:sz w:val="28"/>
          <w:szCs w:val="28"/>
          <w:lang w:val="en-US"/>
        </w:rPr>
        <w:t>non</w:t>
      </w:r>
      <w:r w:rsidR="003F1EB6" w:rsidRPr="000E2B31">
        <w:rPr>
          <w:rFonts w:ascii="Times New Roman" w:hAnsi="Times New Roman" w:cs="Times New Roman"/>
          <w:sz w:val="28"/>
          <w:szCs w:val="28"/>
          <w:lang w:val="en-US"/>
        </w:rPr>
        <w:t>-</w:t>
      </w:r>
      <w:r w:rsidR="00054858" w:rsidRPr="000E2B31">
        <w:rPr>
          <w:rFonts w:ascii="Times New Roman" w:hAnsi="Times New Roman" w:cs="Times New Roman"/>
          <w:sz w:val="28"/>
          <w:szCs w:val="28"/>
          <w:lang w:val="en-US"/>
        </w:rPr>
        <w:t xml:space="preserve">compliance it is not clear how it </w:t>
      </w:r>
      <w:r w:rsidR="007606F3" w:rsidRPr="000E2B31">
        <w:rPr>
          <w:rFonts w:ascii="Times New Roman" w:hAnsi="Times New Roman" w:cs="Times New Roman"/>
          <w:sz w:val="28"/>
          <w:szCs w:val="28"/>
          <w:lang w:val="en-US"/>
        </w:rPr>
        <w:t xml:space="preserve">was going </w:t>
      </w:r>
      <w:r w:rsidR="005A4C9A" w:rsidRPr="000E2B31">
        <w:rPr>
          <w:rFonts w:ascii="Times New Roman" w:hAnsi="Times New Roman" w:cs="Times New Roman"/>
          <w:sz w:val="28"/>
          <w:szCs w:val="28"/>
          <w:lang w:val="en-US"/>
        </w:rPr>
        <w:t xml:space="preserve">to </w:t>
      </w:r>
      <w:r w:rsidR="007606F3" w:rsidRPr="000E2B31">
        <w:rPr>
          <w:rFonts w:ascii="Times New Roman" w:hAnsi="Times New Roman" w:cs="Times New Roman"/>
          <w:sz w:val="28"/>
          <w:szCs w:val="28"/>
          <w:lang w:val="en-US"/>
        </w:rPr>
        <w:t xml:space="preserve">argue that the competitive position of the first respondent (leave aside for the moment the </w:t>
      </w:r>
      <w:r w:rsidR="00FA0EFD" w:rsidRPr="000E2B31">
        <w:rPr>
          <w:rFonts w:ascii="Times New Roman" w:hAnsi="Times New Roman" w:cs="Times New Roman"/>
          <w:sz w:val="28"/>
          <w:szCs w:val="28"/>
          <w:lang w:val="en-US"/>
        </w:rPr>
        <w:t xml:space="preserve">question whether </w:t>
      </w:r>
      <w:r w:rsidR="007606F3" w:rsidRPr="000E2B31">
        <w:rPr>
          <w:rFonts w:ascii="Times New Roman" w:hAnsi="Times New Roman" w:cs="Times New Roman"/>
          <w:sz w:val="28"/>
          <w:szCs w:val="28"/>
          <w:lang w:val="en-US"/>
        </w:rPr>
        <w:t>the third respondent</w:t>
      </w:r>
      <w:r w:rsidR="00FA0EFD" w:rsidRPr="000E2B31">
        <w:rPr>
          <w:rFonts w:ascii="Times New Roman" w:hAnsi="Times New Roman" w:cs="Times New Roman"/>
          <w:sz w:val="28"/>
          <w:szCs w:val="28"/>
          <w:lang w:val="en-US"/>
        </w:rPr>
        <w:t xml:space="preserve"> should have been in the running</w:t>
      </w:r>
      <w:r w:rsidR="007606F3" w:rsidRPr="000E2B31">
        <w:rPr>
          <w:rFonts w:ascii="Times New Roman" w:hAnsi="Times New Roman" w:cs="Times New Roman"/>
          <w:sz w:val="28"/>
          <w:szCs w:val="28"/>
          <w:lang w:val="en-US"/>
        </w:rPr>
        <w:t xml:space="preserve">), would not be affected by letting its bid through into the next phase.  Perhaps </w:t>
      </w:r>
      <w:r w:rsidR="001F06A7" w:rsidRPr="000E2B31">
        <w:rPr>
          <w:rFonts w:ascii="Times New Roman" w:hAnsi="Times New Roman" w:cs="Times New Roman"/>
          <w:sz w:val="28"/>
          <w:szCs w:val="28"/>
          <w:lang w:val="en-US"/>
        </w:rPr>
        <w:t xml:space="preserve">it was the case that the second respondent could  easily have been scored points for price on the nominal total bid price (in the anticipated scoring exercise) and that </w:t>
      </w:r>
      <w:r w:rsidR="007606F3" w:rsidRPr="000E2B31">
        <w:rPr>
          <w:rFonts w:ascii="Times New Roman" w:hAnsi="Times New Roman" w:cs="Times New Roman"/>
          <w:sz w:val="28"/>
          <w:szCs w:val="28"/>
          <w:lang w:val="en-US"/>
        </w:rPr>
        <w:t xml:space="preserve">the detail in respect of </w:t>
      </w:r>
      <w:r w:rsidR="001F06A7" w:rsidRPr="000E2B31">
        <w:rPr>
          <w:rFonts w:ascii="Times New Roman" w:hAnsi="Times New Roman" w:cs="Times New Roman"/>
          <w:sz w:val="28"/>
          <w:szCs w:val="28"/>
          <w:lang w:val="en-US"/>
        </w:rPr>
        <w:t xml:space="preserve">the </w:t>
      </w:r>
      <w:r w:rsidR="007606F3" w:rsidRPr="000E2B31">
        <w:rPr>
          <w:rFonts w:ascii="Times New Roman" w:hAnsi="Times New Roman" w:cs="Times New Roman"/>
          <w:sz w:val="28"/>
          <w:szCs w:val="28"/>
          <w:lang w:val="en-US"/>
        </w:rPr>
        <w:t>line items would only have been relevant when it came to a risk assessment under criterion 2</w:t>
      </w:r>
      <w:r w:rsidR="001F06A7" w:rsidRPr="000E2B31">
        <w:rPr>
          <w:rFonts w:ascii="Times New Roman" w:hAnsi="Times New Roman" w:cs="Times New Roman"/>
          <w:sz w:val="28"/>
          <w:szCs w:val="28"/>
          <w:lang w:val="en-US"/>
        </w:rPr>
        <w:t xml:space="preserve"> of Clause C </w:t>
      </w:r>
      <w:r w:rsidR="007606F3" w:rsidRPr="000E2B31">
        <w:rPr>
          <w:rFonts w:ascii="Times New Roman" w:hAnsi="Times New Roman" w:cs="Times New Roman"/>
          <w:sz w:val="28"/>
          <w:szCs w:val="28"/>
          <w:lang w:val="en-US"/>
        </w:rPr>
        <w:t xml:space="preserve">that the appellant contended for, but all of this is </w:t>
      </w:r>
      <w:r w:rsidR="001F06A7" w:rsidRPr="000E2B31">
        <w:rPr>
          <w:rFonts w:ascii="Times New Roman" w:hAnsi="Times New Roman" w:cs="Times New Roman"/>
          <w:sz w:val="28"/>
          <w:szCs w:val="28"/>
          <w:lang w:val="en-US"/>
        </w:rPr>
        <w:t xml:space="preserve">pure </w:t>
      </w:r>
      <w:r w:rsidR="007606F3" w:rsidRPr="000E2B31">
        <w:rPr>
          <w:rFonts w:ascii="Times New Roman" w:hAnsi="Times New Roman" w:cs="Times New Roman"/>
          <w:sz w:val="28"/>
          <w:szCs w:val="28"/>
          <w:lang w:val="en-US"/>
        </w:rPr>
        <w:t xml:space="preserve">speculation because </w:t>
      </w:r>
      <w:r w:rsidR="000B1FFC" w:rsidRPr="000E2B31">
        <w:rPr>
          <w:rFonts w:ascii="Times New Roman" w:hAnsi="Times New Roman" w:cs="Times New Roman"/>
          <w:sz w:val="28"/>
          <w:szCs w:val="28"/>
          <w:lang w:val="en-US"/>
        </w:rPr>
        <w:t xml:space="preserve">the appellant failed to take the court </w:t>
      </w:r>
      <w:r w:rsidR="000B1FFC" w:rsidRPr="000E2B31">
        <w:rPr>
          <w:rFonts w:ascii="Times New Roman" w:hAnsi="Times New Roman" w:cs="Times New Roman"/>
          <w:i/>
          <w:iCs/>
          <w:sz w:val="28"/>
          <w:szCs w:val="28"/>
          <w:lang w:val="en-US"/>
        </w:rPr>
        <w:t>a quo</w:t>
      </w:r>
      <w:r w:rsidR="000B1FFC" w:rsidRPr="000E2B31">
        <w:rPr>
          <w:rFonts w:ascii="Times New Roman" w:hAnsi="Times New Roman" w:cs="Times New Roman"/>
          <w:sz w:val="28"/>
          <w:szCs w:val="28"/>
          <w:lang w:val="en-US"/>
        </w:rPr>
        <w:t xml:space="preserve"> into its confidence regarding </w:t>
      </w:r>
      <w:r w:rsidR="0094656E" w:rsidRPr="000E2B31">
        <w:rPr>
          <w:rFonts w:ascii="Times New Roman" w:hAnsi="Times New Roman" w:cs="Times New Roman"/>
          <w:sz w:val="28"/>
          <w:szCs w:val="28"/>
          <w:lang w:val="en-US"/>
        </w:rPr>
        <w:t xml:space="preserve">why it decided to be charitable </w:t>
      </w:r>
      <w:r w:rsidR="001F06A7" w:rsidRPr="000E2B31">
        <w:rPr>
          <w:rFonts w:ascii="Times New Roman" w:hAnsi="Times New Roman" w:cs="Times New Roman"/>
          <w:sz w:val="28"/>
          <w:szCs w:val="28"/>
          <w:lang w:val="en-US"/>
        </w:rPr>
        <w:t>towards</w:t>
      </w:r>
      <w:r w:rsidR="0094656E" w:rsidRPr="000E2B31">
        <w:rPr>
          <w:rFonts w:ascii="Times New Roman" w:hAnsi="Times New Roman" w:cs="Times New Roman"/>
          <w:sz w:val="28"/>
          <w:szCs w:val="28"/>
          <w:lang w:val="en-US"/>
        </w:rPr>
        <w:t xml:space="preserve"> the second respondent or to explain </w:t>
      </w:r>
      <w:r w:rsidR="000B1FFC" w:rsidRPr="000E2B31">
        <w:rPr>
          <w:rFonts w:ascii="Times New Roman" w:hAnsi="Times New Roman" w:cs="Times New Roman"/>
          <w:sz w:val="28"/>
          <w:szCs w:val="28"/>
          <w:lang w:val="en-US"/>
        </w:rPr>
        <w:t xml:space="preserve">what </w:t>
      </w:r>
      <w:r w:rsidR="007606F3" w:rsidRPr="000E2B31">
        <w:rPr>
          <w:rFonts w:ascii="Times New Roman" w:hAnsi="Times New Roman" w:cs="Times New Roman"/>
          <w:sz w:val="28"/>
          <w:szCs w:val="28"/>
          <w:lang w:val="en-US"/>
        </w:rPr>
        <w:t>the</w:t>
      </w:r>
      <w:r w:rsidR="000B1FFC" w:rsidRPr="000E2B31">
        <w:rPr>
          <w:rFonts w:ascii="Times New Roman" w:hAnsi="Times New Roman" w:cs="Times New Roman"/>
          <w:sz w:val="28"/>
          <w:szCs w:val="28"/>
          <w:lang w:val="en-US"/>
        </w:rPr>
        <w:t xml:space="preserve"> differences were in the comparison </w:t>
      </w:r>
      <w:r w:rsidR="007606F3" w:rsidRPr="000E2B31">
        <w:rPr>
          <w:rFonts w:ascii="Times New Roman" w:hAnsi="Times New Roman" w:cs="Times New Roman"/>
          <w:sz w:val="28"/>
          <w:szCs w:val="28"/>
          <w:lang w:val="en-US"/>
        </w:rPr>
        <w:t xml:space="preserve">of each </w:t>
      </w:r>
      <w:r w:rsidR="001F06A7" w:rsidRPr="000E2B31">
        <w:rPr>
          <w:rFonts w:ascii="Times New Roman" w:hAnsi="Times New Roman" w:cs="Times New Roman"/>
          <w:sz w:val="28"/>
          <w:szCs w:val="28"/>
          <w:lang w:val="en-US"/>
        </w:rPr>
        <w:t xml:space="preserve">of the </w:t>
      </w:r>
      <w:r w:rsidR="00660F2E" w:rsidRPr="000E2B31">
        <w:rPr>
          <w:rFonts w:ascii="Times New Roman" w:hAnsi="Times New Roman" w:cs="Times New Roman"/>
          <w:sz w:val="28"/>
          <w:szCs w:val="28"/>
          <w:lang w:val="en-US"/>
        </w:rPr>
        <w:t>other</w:t>
      </w:r>
      <w:r w:rsidR="007606F3" w:rsidRPr="000E2B31">
        <w:rPr>
          <w:rFonts w:ascii="Times New Roman" w:hAnsi="Times New Roman" w:cs="Times New Roman"/>
          <w:sz w:val="28"/>
          <w:szCs w:val="28"/>
          <w:lang w:val="en-US"/>
        </w:rPr>
        <w:t xml:space="preserve"> disqualified bid</w:t>
      </w:r>
      <w:r w:rsidR="001F06A7" w:rsidRPr="000E2B31">
        <w:rPr>
          <w:rFonts w:ascii="Times New Roman" w:hAnsi="Times New Roman" w:cs="Times New Roman"/>
          <w:sz w:val="28"/>
          <w:szCs w:val="28"/>
          <w:lang w:val="en-US"/>
        </w:rPr>
        <w:t>s</w:t>
      </w:r>
      <w:r w:rsidR="007606F3" w:rsidRPr="000E2B31">
        <w:rPr>
          <w:rFonts w:ascii="Times New Roman" w:hAnsi="Times New Roman" w:cs="Times New Roman"/>
          <w:sz w:val="28"/>
          <w:szCs w:val="28"/>
          <w:lang w:val="en-US"/>
        </w:rPr>
        <w:t xml:space="preserve"> </w:t>
      </w:r>
      <w:r w:rsidR="000B1FFC" w:rsidRPr="000E2B31">
        <w:rPr>
          <w:rFonts w:ascii="Times New Roman" w:hAnsi="Times New Roman" w:cs="Times New Roman"/>
          <w:sz w:val="28"/>
          <w:szCs w:val="28"/>
          <w:lang w:val="en-US"/>
        </w:rPr>
        <w:t xml:space="preserve">to demonstrate exactly why it thought </w:t>
      </w:r>
      <w:r w:rsidR="00660F2E" w:rsidRPr="000E2B31">
        <w:rPr>
          <w:rFonts w:ascii="Times New Roman" w:hAnsi="Times New Roman" w:cs="Times New Roman"/>
          <w:sz w:val="28"/>
          <w:szCs w:val="28"/>
          <w:lang w:val="en-US"/>
        </w:rPr>
        <w:t xml:space="preserve">that </w:t>
      </w:r>
      <w:r w:rsidR="00FA0EFD" w:rsidRPr="000E2B31">
        <w:rPr>
          <w:rFonts w:ascii="Times New Roman" w:hAnsi="Times New Roman" w:cs="Times New Roman"/>
          <w:sz w:val="28"/>
          <w:szCs w:val="28"/>
          <w:lang w:val="en-US"/>
        </w:rPr>
        <w:t>those</w:t>
      </w:r>
      <w:r w:rsidR="000B1FFC" w:rsidRPr="000E2B31">
        <w:rPr>
          <w:rFonts w:ascii="Times New Roman" w:hAnsi="Times New Roman" w:cs="Times New Roman"/>
          <w:sz w:val="28"/>
          <w:szCs w:val="28"/>
          <w:lang w:val="en-US"/>
        </w:rPr>
        <w:t xml:space="preserve"> disqualifications mattered</w:t>
      </w:r>
      <w:r w:rsidR="00FA0EFD" w:rsidRPr="000E2B31">
        <w:rPr>
          <w:rFonts w:ascii="Times New Roman" w:hAnsi="Times New Roman" w:cs="Times New Roman"/>
          <w:sz w:val="28"/>
          <w:szCs w:val="28"/>
          <w:lang w:val="en-US"/>
        </w:rPr>
        <w:t>,</w:t>
      </w:r>
      <w:r w:rsidR="000B1FFC" w:rsidRPr="000E2B31">
        <w:rPr>
          <w:rFonts w:ascii="Times New Roman" w:hAnsi="Times New Roman" w:cs="Times New Roman"/>
          <w:sz w:val="28"/>
          <w:szCs w:val="28"/>
          <w:lang w:val="en-US"/>
        </w:rPr>
        <w:t xml:space="preserve"> </w:t>
      </w:r>
      <w:r w:rsidR="00660F2E" w:rsidRPr="000E2B31">
        <w:rPr>
          <w:rFonts w:ascii="Times New Roman" w:hAnsi="Times New Roman" w:cs="Times New Roman"/>
          <w:sz w:val="28"/>
          <w:szCs w:val="28"/>
          <w:lang w:val="en-US"/>
        </w:rPr>
        <w:t>but</w:t>
      </w:r>
      <w:r w:rsidR="000B1FFC" w:rsidRPr="000E2B31">
        <w:rPr>
          <w:rFonts w:ascii="Times New Roman" w:hAnsi="Times New Roman" w:cs="Times New Roman"/>
          <w:sz w:val="28"/>
          <w:szCs w:val="28"/>
          <w:lang w:val="en-US"/>
        </w:rPr>
        <w:t xml:space="preserve"> </w:t>
      </w:r>
      <w:r w:rsidR="005A4C9A" w:rsidRPr="000E2B31">
        <w:rPr>
          <w:rFonts w:ascii="Times New Roman" w:hAnsi="Times New Roman" w:cs="Times New Roman"/>
          <w:sz w:val="28"/>
          <w:szCs w:val="28"/>
          <w:lang w:val="en-US"/>
        </w:rPr>
        <w:t>that</w:t>
      </w:r>
      <w:r w:rsidR="000B1FFC" w:rsidRPr="000E2B31">
        <w:rPr>
          <w:rFonts w:ascii="Times New Roman" w:hAnsi="Times New Roman" w:cs="Times New Roman"/>
          <w:sz w:val="28"/>
          <w:szCs w:val="28"/>
          <w:lang w:val="en-US"/>
        </w:rPr>
        <w:t xml:space="preserve"> the non-compliance by </w:t>
      </w:r>
      <w:r w:rsidR="00C419F0" w:rsidRPr="000E2B31">
        <w:rPr>
          <w:rFonts w:ascii="Times New Roman" w:hAnsi="Times New Roman" w:cs="Times New Roman"/>
          <w:sz w:val="28"/>
          <w:szCs w:val="28"/>
          <w:lang w:val="en-US"/>
        </w:rPr>
        <w:t>it</w:t>
      </w:r>
      <w:r w:rsidR="000B1FFC" w:rsidRPr="000E2B31">
        <w:rPr>
          <w:rFonts w:ascii="Times New Roman" w:hAnsi="Times New Roman" w:cs="Times New Roman"/>
          <w:sz w:val="28"/>
          <w:szCs w:val="28"/>
          <w:lang w:val="en-US"/>
        </w:rPr>
        <w:t xml:space="preserve"> with a mandatory requirement for qualification was inconsequential.</w:t>
      </w:r>
    </w:p>
    <w:p w14:paraId="53502A24" w14:textId="77777777" w:rsidR="000B1FFC" w:rsidRPr="00974AB2" w:rsidRDefault="000B1FFC" w:rsidP="000B1FFC">
      <w:pPr>
        <w:pStyle w:val="ListParagraph"/>
        <w:rPr>
          <w:rFonts w:ascii="Times New Roman" w:hAnsi="Times New Roman" w:cs="Times New Roman"/>
          <w:sz w:val="28"/>
          <w:szCs w:val="28"/>
          <w:lang w:val="en-US"/>
        </w:rPr>
      </w:pPr>
    </w:p>
    <w:p w14:paraId="2DCFE9BA" w14:textId="35D83B3B" w:rsidR="00660F2E" w:rsidRPr="000E2B31" w:rsidRDefault="000E2B31" w:rsidP="000E2B31">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[95]</w:t>
      </w:r>
      <w:r>
        <w:rPr>
          <w:rFonts w:ascii="Times New Roman" w:hAnsi="Times New Roman" w:cs="Times New Roman"/>
          <w:sz w:val="28"/>
          <w:szCs w:val="28"/>
          <w:lang w:val="en-US"/>
        </w:rPr>
        <w:tab/>
      </w:r>
      <w:r w:rsidR="00660F2E" w:rsidRPr="000E2B31">
        <w:rPr>
          <w:rFonts w:ascii="Times New Roman" w:hAnsi="Times New Roman" w:cs="Times New Roman"/>
          <w:sz w:val="28"/>
          <w:szCs w:val="28"/>
          <w:lang w:val="en-US"/>
        </w:rPr>
        <w:t>In this instance, a</w:t>
      </w:r>
      <w:r w:rsidR="000B1FFC" w:rsidRPr="000E2B31">
        <w:rPr>
          <w:rFonts w:ascii="Times New Roman" w:hAnsi="Times New Roman" w:cs="Times New Roman"/>
          <w:sz w:val="28"/>
          <w:szCs w:val="28"/>
          <w:lang w:val="en-US"/>
        </w:rPr>
        <w:t xml:space="preserve">bsent any cogent explanation </w:t>
      </w:r>
      <w:r w:rsidR="00660F2E" w:rsidRPr="000E2B31">
        <w:rPr>
          <w:rFonts w:ascii="Times New Roman" w:hAnsi="Times New Roman" w:cs="Times New Roman"/>
          <w:sz w:val="28"/>
          <w:szCs w:val="28"/>
          <w:lang w:val="en-US"/>
        </w:rPr>
        <w:t xml:space="preserve">offered by the appellant </w:t>
      </w:r>
      <w:r w:rsidR="005A4C9A" w:rsidRPr="000E2B31">
        <w:rPr>
          <w:rFonts w:ascii="Times New Roman" w:hAnsi="Times New Roman" w:cs="Times New Roman"/>
          <w:sz w:val="28"/>
          <w:szCs w:val="28"/>
          <w:lang w:val="en-US"/>
        </w:rPr>
        <w:t>for its different treatment of the bids that</w:t>
      </w:r>
      <w:r w:rsidR="00FA0EFD" w:rsidRPr="000E2B31">
        <w:rPr>
          <w:rFonts w:ascii="Times New Roman" w:hAnsi="Times New Roman" w:cs="Times New Roman"/>
          <w:sz w:val="28"/>
          <w:szCs w:val="28"/>
          <w:lang w:val="en-US"/>
        </w:rPr>
        <w:t xml:space="preserve"> it rejected as</w:t>
      </w:r>
      <w:r w:rsidR="005A4C9A" w:rsidRPr="000E2B31">
        <w:rPr>
          <w:rFonts w:ascii="Times New Roman" w:hAnsi="Times New Roman" w:cs="Times New Roman"/>
          <w:sz w:val="28"/>
          <w:szCs w:val="28"/>
          <w:lang w:val="en-US"/>
        </w:rPr>
        <w:t xml:space="preserve"> non</w:t>
      </w:r>
      <w:r w:rsidR="00FA0EFD" w:rsidRPr="000E2B31">
        <w:rPr>
          <w:rFonts w:ascii="Times New Roman" w:hAnsi="Times New Roman" w:cs="Times New Roman"/>
          <w:sz w:val="28"/>
          <w:szCs w:val="28"/>
          <w:lang w:val="en-US"/>
        </w:rPr>
        <w:t>-</w:t>
      </w:r>
      <w:r w:rsidR="005A4C9A" w:rsidRPr="000E2B31">
        <w:rPr>
          <w:rFonts w:ascii="Times New Roman" w:hAnsi="Times New Roman" w:cs="Times New Roman"/>
          <w:sz w:val="28"/>
          <w:szCs w:val="28"/>
          <w:lang w:val="en-US"/>
        </w:rPr>
        <w:t>compliant</w:t>
      </w:r>
      <w:r w:rsidR="00FA0EFD" w:rsidRPr="000E2B31">
        <w:rPr>
          <w:rFonts w:ascii="Times New Roman" w:hAnsi="Times New Roman" w:cs="Times New Roman"/>
          <w:sz w:val="28"/>
          <w:szCs w:val="28"/>
          <w:lang w:val="en-US"/>
        </w:rPr>
        <w:t xml:space="preserve"> in comparison with the second respondent’s</w:t>
      </w:r>
      <w:r w:rsidR="00FA139D" w:rsidRPr="000E2B31">
        <w:rPr>
          <w:rFonts w:ascii="Times New Roman" w:hAnsi="Times New Roman" w:cs="Times New Roman"/>
          <w:sz w:val="28"/>
          <w:szCs w:val="28"/>
          <w:lang w:val="en-US"/>
        </w:rPr>
        <w:t xml:space="preserve"> </w:t>
      </w:r>
      <w:r w:rsidR="006F2576" w:rsidRPr="000E2B31">
        <w:rPr>
          <w:rFonts w:ascii="Times New Roman" w:hAnsi="Times New Roman" w:cs="Times New Roman"/>
          <w:sz w:val="28"/>
          <w:szCs w:val="28"/>
          <w:lang w:val="en-US"/>
        </w:rPr>
        <w:t xml:space="preserve">bid </w:t>
      </w:r>
      <w:r w:rsidR="00FA139D" w:rsidRPr="000E2B31">
        <w:rPr>
          <w:rFonts w:ascii="Times New Roman" w:hAnsi="Times New Roman" w:cs="Times New Roman"/>
          <w:sz w:val="28"/>
          <w:szCs w:val="28"/>
          <w:lang w:val="en-US"/>
        </w:rPr>
        <w:t>that it passed</w:t>
      </w:r>
      <w:r w:rsidR="006F2576" w:rsidRPr="000E2B31">
        <w:rPr>
          <w:rFonts w:ascii="Times New Roman" w:hAnsi="Times New Roman" w:cs="Times New Roman"/>
          <w:sz w:val="28"/>
          <w:szCs w:val="28"/>
          <w:lang w:val="en-US"/>
        </w:rPr>
        <w:t xml:space="preserve"> on to the next stage of evaluation</w:t>
      </w:r>
      <w:r w:rsidR="000B1FFC" w:rsidRPr="000E2B31">
        <w:rPr>
          <w:rFonts w:ascii="Times New Roman" w:hAnsi="Times New Roman" w:cs="Times New Roman"/>
          <w:sz w:val="28"/>
          <w:szCs w:val="28"/>
          <w:lang w:val="en-US"/>
        </w:rPr>
        <w:t>, it can fairly be assumed</w:t>
      </w:r>
      <w:r w:rsidR="00FA0EFD" w:rsidRPr="000E2B31">
        <w:rPr>
          <w:rFonts w:ascii="Times New Roman" w:hAnsi="Times New Roman" w:cs="Times New Roman"/>
          <w:sz w:val="28"/>
          <w:szCs w:val="28"/>
          <w:lang w:val="en-US"/>
        </w:rPr>
        <w:t xml:space="preserve">, </w:t>
      </w:r>
      <w:r w:rsidR="00FA139D" w:rsidRPr="000E2B31">
        <w:rPr>
          <w:rFonts w:ascii="Times New Roman" w:hAnsi="Times New Roman" w:cs="Times New Roman"/>
          <w:sz w:val="28"/>
          <w:szCs w:val="28"/>
          <w:lang w:val="en-US"/>
        </w:rPr>
        <w:t xml:space="preserve">based on the fact that </w:t>
      </w:r>
      <w:r w:rsidR="000B1FFC" w:rsidRPr="000E2B31">
        <w:rPr>
          <w:rFonts w:ascii="Times New Roman" w:hAnsi="Times New Roman" w:cs="Times New Roman"/>
          <w:sz w:val="28"/>
          <w:szCs w:val="28"/>
          <w:lang w:val="en-US"/>
        </w:rPr>
        <w:t>the</w:t>
      </w:r>
      <w:r w:rsidR="00FA0EFD" w:rsidRPr="000E2B31">
        <w:rPr>
          <w:rFonts w:ascii="Times New Roman" w:hAnsi="Times New Roman" w:cs="Times New Roman"/>
          <w:sz w:val="28"/>
          <w:szCs w:val="28"/>
          <w:lang w:val="en-US"/>
        </w:rPr>
        <w:t xml:space="preserve"> other tenders</w:t>
      </w:r>
      <w:r w:rsidR="000B1FFC" w:rsidRPr="000E2B31">
        <w:rPr>
          <w:rFonts w:ascii="Times New Roman" w:hAnsi="Times New Roman" w:cs="Times New Roman"/>
          <w:sz w:val="28"/>
          <w:szCs w:val="28"/>
          <w:lang w:val="en-US"/>
        </w:rPr>
        <w:t xml:space="preserve"> were</w:t>
      </w:r>
      <w:r w:rsidR="00FA0EFD" w:rsidRPr="000E2B31">
        <w:rPr>
          <w:rFonts w:ascii="Times New Roman" w:hAnsi="Times New Roman" w:cs="Times New Roman"/>
          <w:sz w:val="28"/>
          <w:szCs w:val="28"/>
          <w:lang w:val="en-US"/>
        </w:rPr>
        <w:t xml:space="preserve"> as a fact</w:t>
      </w:r>
      <w:r w:rsidR="000B1FFC" w:rsidRPr="000E2B31">
        <w:rPr>
          <w:rFonts w:ascii="Times New Roman" w:hAnsi="Times New Roman" w:cs="Times New Roman"/>
          <w:sz w:val="28"/>
          <w:szCs w:val="28"/>
          <w:lang w:val="en-US"/>
        </w:rPr>
        <w:t xml:space="preserve"> excluded for want of compliance with </w:t>
      </w:r>
      <w:r w:rsidR="006F2576" w:rsidRPr="000E2B31">
        <w:rPr>
          <w:rFonts w:ascii="Times New Roman" w:hAnsi="Times New Roman" w:cs="Times New Roman"/>
          <w:sz w:val="28"/>
          <w:szCs w:val="28"/>
          <w:lang w:val="en-US"/>
        </w:rPr>
        <w:t>mandatory requirement</w:t>
      </w:r>
      <w:r w:rsidR="0094656E" w:rsidRPr="000E2B31">
        <w:rPr>
          <w:rFonts w:ascii="Times New Roman" w:hAnsi="Times New Roman" w:cs="Times New Roman"/>
          <w:sz w:val="28"/>
          <w:szCs w:val="28"/>
          <w:lang w:val="en-US"/>
        </w:rPr>
        <w:t>s</w:t>
      </w:r>
      <w:r w:rsidR="00FA139D" w:rsidRPr="000E2B31">
        <w:rPr>
          <w:rFonts w:ascii="Times New Roman" w:hAnsi="Times New Roman" w:cs="Times New Roman"/>
          <w:sz w:val="28"/>
          <w:szCs w:val="28"/>
          <w:lang w:val="en-US"/>
        </w:rPr>
        <w:t>,</w:t>
      </w:r>
      <w:r w:rsidR="000B1FFC" w:rsidRPr="000E2B31">
        <w:rPr>
          <w:rFonts w:ascii="Times New Roman" w:hAnsi="Times New Roman" w:cs="Times New Roman"/>
          <w:sz w:val="28"/>
          <w:szCs w:val="28"/>
          <w:lang w:val="en-US"/>
        </w:rPr>
        <w:t xml:space="preserve"> that </w:t>
      </w:r>
      <w:r w:rsidR="00FA139D" w:rsidRPr="000E2B31">
        <w:rPr>
          <w:rFonts w:ascii="Times New Roman" w:hAnsi="Times New Roman" w:cs="Times New Roman"/>
          <w:sz w:val="28"/>
          <w:szCs w:val="28"/>
          <w:lang w:val="en-US"/>
        </w:rPr>
        <w:t>it</w:t>
      </w:r>
      <w:r w:rsidR="00660F2E" w:rsidRPr="000E2B31">
        <w:rPr>
          <w:rFonts w:ascii="Times New Roman" w:hAnsi="Times New Roman" w:cs="Times New Roman"/>
          <w:sz w:val="28"/>
          <w:szCs w:val="28"/>
          <w:lang w:val="en-US"/>
        </w:rPr>
        <w:t xml:space="preserve"> considered </w:t>
      </w:r>
      <w:r w:rsidR="006F2576" w:rsidRPr="000E2B31">
        <w:rPr>
          <w:rFonts w:ascii="Times New Roman" w:hAnsi="Times New Roman" w:cs="Times New Roman"/>
          <w:sz w:val="28"/>
          <w:szCs w:val="28"/>
          <w:lang w:val="en-US"/>
        </w:rPr>
        <w:t>the noncompliance of a mandatory term</w:t>
      </w:r>
      <w:r w:rsidR="000B1FFC" w:rsidRPr="000E2B31">
        <w:rPr>
          <w:rFonts w:ascii="Times New Roman" w:hAnsi="Times New Roman" w:cs="Times New Roman"/>
          <w:sz w:val="28"/>
          <w:szCs w:val="28"/>
          <w:lang w:val="en-US"/>
        </w:rPr>
        <w:t xml:space="preserve"> </w:t>
      </w:r>
      <w:r w:rsidR="0094656E" w:rsidRPr="000E2B31">
        <w:rPr>
          <w:rFonts w:ascii="Times New Roman" w:hAnsi="Times New Roman" w:cs="Times New Roman"/>
          <w:sz w:val="28"/>
          <w:szCs w:val="28"/>
          <w:lang w:val="en-US"/>
        </w:rPr>
        <w:t xml:space="preserve">of the tender document </w:t>
      </w:r>
      <w:r w:rsidR="000B1FFC" w:rsidRPr="000E2B31">
        <w:rPr>
          <w:rFonts w:ascii="Times New Roman" w:hAnsi="Times New Roman" w:cs="Times New Roman"/>
          <w:sz w:val="28"/>
          <w:szCs w:val="28"/>
          <w:lang w:val="en-US"/>
        </w:rPr>
        <w:t xml:space="preserve">material in </w:t>
      </w:r>
      <w:r w:rsidR="006F2576" w:rsidRPr="000E2B31">
        <w:rPr>
          <w:rFonts w:ascii="Times New Roman" w:hAnsi="Times New Roman" w:cs="Times New Roman"/>
          <w:sz w:val="28"/>
          <w:szCs w:val="28"/>
          <w:lang w:val="en-US"/>
        </w:rPr>
        <w:t>itself</w:t>
      </w:r>
      <w:r w:rsidR="000B1FFC" w:rsidRPr="000E2B31">
        <w:rPr>
          <w:rFonts w:ascii="Times New Roman" w:hAnsi="Times New Roman" w:cs="Times New Roman"/>
          <w:sz w:val="28"/>
          <w:szCs w:val="28"/>
          <w:lang w:val="en-US"/>
        </w:rPr>
        <w:t>. One need</w:t>
      </w:r>
      <w:r w:rsidR="00E93D38" w:rsidRPr="000E2B31">
        <w:rPr>
          <w:rFonts w:ascii="Times New Roman" w:hAnsi="Times New Roman" w:cs="Times New Roman"/>
          <w:sz w:val="28"/>
          <w:szCs w:val="28"/>
          <w:lang w:val="en-US"/>
        </w:rPr>
        <w:t xml:space="preserve"> not</w:t>
      </w:r>
      <w:r w:rsidR="000B1FFC" w:rsidRPr="000E2B31">
        <w:rPr>
          <w:rFonts w:ascii="Times New Roman" w:hAnsi="Times New Roman" w:cs="Times New Roman"/>
          <w:sz w:val="28"/>
          <w:szCs w:val="28"/>
          <w:lang w:val="en-US"/>
        </w:rPr>
        <w:t xml:space="preserve"> strain to imagine what the purpose of the provision </w:t>
      </w:r>
      <w:r w:rsidR="00660F2E" w:rsidRPr="000E2B31">
        <w:rPr>
          <w:rFonts w:ascii="Times New Roman" w:hAnsi="Times New Roman" w:cs="Times New Roman"/>
          <w:sz w:val="28"/>
          <w:szCs w:val="28"/>
          <w:lang w:val="en-US"/>
        </w:rPr>
        <w:t>was,</w:t>
      </w:r>
      <w:r w:rsidR="000B1FFC" w:rsidRPr="000E2B31">
        <w:rPr>
          <w:rFonts w:ascii="Times New Roman" w:hAnsi="Times New Roman" w:cs="Times New Roman"/>
          <w:sz w:val="28"/>
          <w:szCs w:val="28"/>
          <w:lang w:val="en-US"/>
        </w:rPr>
        <w:t xml:space="preserve"> especially since it </w:t>
      </w:r>
      <w:r w:rsidR="000B1FFC" w:rsidRPr="000E2B31">
        <w:rPr>
          <w:rFonts w:ascii="Times New Roman" w:hAnsi="Times New Roman" w:cs="Times New Roman"/>
          <w:sz w:val="28"/>
          <w:szCs w:val="28"/>
          <w:lang w:val="en-US"/>
        </w:rPr>
        <w:lastRenderedPageBreak/>
        <w:t>was stated to be a mandatory returnable document fully completed that each bidder was required to particularize</w:t>
      </w:r>
      <w:r w:rsidR="006F2576" w:rsidRPr="000E2B31">
        <w:rPr>
          <w:rFonts w:ascii="Times New Roman" w:hAnsi="Times New Roman" w:cs="Times New Roman"/>
          <w:sz w:val="28"/>
          <w:szCs w:val="28"/>
          <w:lang w:val="en-US"/>
        </w:rPr>
        <w:t xml:space="preserve"> in the respects indicated.</w:t>
      </w:r>
      <w:r w:rsidR="006F2576">
        <w:rPr>
          <w:rStyle w:val="FootnoteReference"/>
          <w:rFonts w:ascii="Times New Roman" w:hAnsi="Times New Roman" w:cs="Times New Roman"/>
          <w:sz w:val="28"/>
          <w:szCs w:val="28"/>
          <w:lang w:val="en-US"/>
        </w:rPr>
        <w:footnoteReference w:id="41"/>
      </w:r>
    </w:p>
    <w:p w14:paraId="188640A6" w14:textId="77777777" w:rsidR="00FA139D" w:rsidRPr="00FA139D" w:rsidRDefault="00FA139D" w:rsidP="00FA139D">
      <w:pPr>
        <w:pStyle w:val="ListParagraph"/>
        <w:rPr>
          <w:rFonts w:ascii="Times New Roman" w:hAnsi="Times New Roman" w:cs="Times New Roman"/>
          <w:sz w:val="28"/>
          <w:szCs w:val="28"/>
          <w:lang w:val="en-US"/>
        </w:rPr>
      </w:pPr>
    </w:p>
    <w:p w14:paraId="3788DCAA" w14:textId="3538F08E" w:rsidR="00FA139D" w:rsidRPr="000E2B31" w:rsidRDefault="000E2B31" w:rsidP="000E2B31">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[96]</w:t>
      </w:r>
      <w:r>
        <w:rPr>
          <w:rFonts w:ascii="Times New Roman" w:hAnsi="Times New Roman" w:cs="Times New Roman"/>
          <w:sz w:val="28"/>
          <w:szCs w:val="28"/>
          <w:lang w:val="en-US"/>
        </w:rPr>
        <w:tab/>
      </w:r>
      <w:r w:rsidR="00FA139D" w:rsidRPr="000E2B31">
        <w:rPr>
          <w:rFonts w:ascii="Times New Roman" w:hAnsi="Times New Roman" w:cs="Times New Roman"/>
          <w:sz w:val="28"/>
          <w:szCs w:val="28"/>
          <w:lang w:val="en-US"/>
        </w:rPr>
        <w:t>Beyond this the appellant did not even enter into a debate concerning the possible sufficiency of substantial or adequate compliance with what, in conventional terms</w:t>
      </w:r>
      <w:r w:rsidR="006F2576" w:rsidRPr="000E2B31">
        <w:rPr>
          <w:rFonts w:ascii="Times New Roman" w:hAnsi="Times New Roman" w:cs="Times New Roman"/>
          <w:sz w:val="28"/>
          <w:szCs w:val="28"/>
          <w:lang w:val="en-US"/>
        </w:rPr>
        <w:t>,</w:t>
      </w:r>
      <w:r w:rsidR="00FA139D" w:rsidRPr="000E2B31">
        <w:rPr>
          <w:rFonts w:ascii="Times New Roman" w:hAnsi="Times New Roman" w:cs="Times New Roman"/>
          <w:sz w:val="28"/>
          <w:szCs w:val="28"/>
          <w:lang w:val="en-US"/>
        </w:rPr>
        <w:t xml:space="preserve"> is described as mandatory requirements.</w:t>
      </w:r>
      <w:r w:rsidR="006F2576">
        <w:rPr>
          <w:rStyle w:val="FootnoteReference"/>
          <w:rFonts w:ascii="Times New Roman" w:hAnsi="Times New Roman" w:cs="Times New Roman"/>
          <w:sz w:val="28"/>
          <w:szCs w:val="28"/>
          <w:lang w:val="en-US"/>
        </w:rPr>
        <w:footnoteReference w:id="42"/>
      </w:r>
    </w:p>
    <w:p w14:paraId="4EDDBF24" w14:textId="77777777" w:rsidR="00660F2E" w:rsidRDefault="00660F2E" w:rsidP="00660F2E">
      <w:pPr>
        <w:pStyle w:val="ListParagraph"/>
        <w:tabs>
          <w:tab w:val="left" w:pos="709"/>
        </w:tabs>
        <w:spacing w:before="0" w:beforeAutospacing="0"/>
        <w:ind w:left="0"/>
        <w:jc w:val="both"/>
        <w:rPr>
          <w:rFonts w:ascii="Times New Roman" w:hAnsi="Times New Roman" w:cs="Times New Roman"/>
          <w:sz w:val="28"/>
          <w:szCs w:val="28"/>
          <w:lang w:val="en-US"/>
        </w:rPr>
      </w:pPr>
    </w:p>
    <w:p w14:paraId="7AF0E5B4" w14:textId="52FDB41C" w:rsidR="000B1FFC" w:rsidRPr="000E2B31" w:rsidRDefault="000E2B31" w:rsidP="000E2B31">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[97]</w:t>
      </w:r>
      <w:r>
        <w:rPr>
          <w:rFonts w:ascii="Times New Roman" w:hAnsi="Times New Roman" w:cs="Times New Roman"/>
          <w:sz w:val="28"/>
          <w:szCs w:val="28"/>
          <w:lang w:val="en-US"/>
        </w:rPr>
        <w:tab/>
      </w:r>
      <w:r w:rsidR="00FA0EFD" w:rsidRPr="000E2B31">
        <w:rPr>
          <w:rFonts w:ascii="Times New Roman" w:hAnsi="Times New Roman" w:cs="Times New Roman"/>
          <w:sz w:val="28"/>
          <w:szCs w:val="28"/>
          <w:lang w:val="en-US"/>
        </w:rPr>
        <w:t xml:space="preserve">As was emphasized on behalf of the first respondent, and correctly noted by the court </w:t>
      </w:r>
      <w:r w:rsidR="00FA0EFD" w:rsidRPr="000E2B31">
        <w:rPr>
          <w:rFonts w:ascii="Times New Roman" w:hAnsi="Times New Roman" w:cs="Times New Roman"/>
          <w:i/>
          <w:iCs/>
          <w:sz w:val="28"/>
          <w:szCs w:val="28"/>
          <w:lang w:val="en-US"/>
        </w:rPr>
        <w:t>a quo</w:t>
      </w:r>
      <w:r w:rsidR="0094656E" w:rsidRPr="000E2B31">
        <w:rPr>
          <w:rFonts w:ascii="Times New Roman" w:hAnsi="Times New Roman" w:cs="Times New Roman"/>
          <w:i/>
          <w:iCs/>
          <w:sz w:val="28"/>
          <w:szCs w:val="28"/>
          <w:lang w:val="en-US"/>
        </w:rPr>
        <w:t>,</w:t>
      </w:r>
      <w:r w:rsidR="00FA0EFD" w:rsidRPr="000E2B31">
        <w:rPr>
          <w:rFonts w:ascii="Times New Roman" w:hAnsi="Times New Roman" w:cs="Times New Roman"/>
          <w:sz w:val="28"/>
          <w:szCs w:val="28"/>
          <w:lang w:val="en-US"/>
        </w:rPr>
        <w:t xml:space="preserve"> </w:t>
      </w:r>
      <w:r w:rsidR="00E035F1" w:rsidRPr="000E2B31">
        <w:rPr>
          <w:rFonts w:ascii="Times New Roman" w:hAnsi="Times New Roman" w:cs="Times New Roman"/>
          <w:sz w:val="28"/>
          <w:szCs w:val="28"/>
          <w:lang w:val="en-US"/>
        </w:rPr>
        <w:t>t</w:t>
      </w:r>
      <w:r w:rsidR="000B1FFC" w:rsidRPr="000E2B31">
        <w:rPr>
          <w:rFonts w:ascii="Times New Roman" w:hAnsi="Times New Roman" w:cs="Times New Roman"/>
          <w:sz w:val="28"/>
          <w:szCs w:val="28"/>
          <w:lang w:val="en-US"/>
        </w:rPr>
        <w:t>he fact that the requirement prepared by the Bid Specification Committee of the appellant required “Fully completed sectional summary pages” to be submitted</w:t>
      </w:r>
      <w:r w:rsidR="00E035F1" w:rsidRPr="000E2B31">
        <w:rPr>
          <w:rFonts w:ascii="Times New Roman" w:hAnsi="Times New Roman" w:cs="Times New Roman"/>
          <w:sz w:val="28"/>
          <w:szCs w:val="28"/>
          <w:lang w:val="en-US"/>
        </w:rPr>
        <w:t>,</w:t>
      </w:r>
      <w:r w:rsidR="000B1FFC" w:rsidRPr="000E2B31">
        <w:rPr>
          <w:rFonts w:ascii="Times New Roman" w:hAnsi="Times New Roman" w:cs="Times New Roman"/>
          <w:sz w:val="28"/>
          <w:szCs w:val="28"/>
          <w:lang w:val="en-US"/>
        </w:rPr>
        <w:t xml:space="preserve"> must be interpreted to mean that this is in fact precisely what it wanted</w:t>
      </w:r>
      <w:r w:rsidR="006F2576" w:rsidRPr="000E2B31">
        <w:rPr>
          <w:rFonts w:ascii="Times New Roman" w:hAnsi="Times New Roman" w:cs="Times New Roman"/>
          <w:sz w:val="28"/>
          <w:szCs w:val="28"/>
          <w:lang w:val="en-US"/>
        </w:rPr>
        <w:t xml:space="preserve"> and needed to justify </w:t>
      </w:r>
      <w:r w:rsidR="00C419F0" w:rsidRPr="000E2B31">
        <w:rPr>
          <w:rFonts w:ascii="Times New Roman" w:hAnsi="Times New Roman" w:cs="Times New Roman"/>
          <w:sz w:val="28"/>
          <w:szCs w:val="28"/>
          <w:lang w:val="en-US"/>
        </w:rPr>
        <w:t>its purposes</w:t>
      </w:r>
      <w:r w:rsidR="000B1FFC" w:rsidRPr="000E2B31">
        <w:rPr>
          <w:rFonts w:ascii="Times New Roman" w:hAnsi="Times New Roman" w:cs="Times New Roman"/>
          <w:sz w:val="28"/>
          <w:szCs w:val="28"/>
          <w:lang w:val="en-US"/>
        </w:rPr>
        <w:t xml:space="preserve"> (and not only the “Final Summary page”)</w:t>
      </w:r>
      <w:r w:rsidR="00C419F0" w:rsidRPr="000E2B31">
        <w:rPr>
          <w:rFonts w:ascii="Times New Roman" w:hAnsi="Times New Roman" w:cs="Times New Roman"/>
          <w:sz w:val="28"/>
          <w:szCs w:val="28"/>
          <w:lang w:val="en-US"/>
        </w:rPr>
        <w:t xml:space="preserve">.  In that respect the second respondent’s </w:t>
      </w:r>
      <w:r w:rsidR="006F2576" w:rsidRPr="000E2B31">
        <w:rPr>
          <w:rFonts w:ascii="Times New Roman" w:hAnsi="Times New Roman" w:cs="Times New Roman"/>
          <w:sz w:val="28"/>
          <w:szCs w:val="28"/>
          <w:lang w:val="en-US"/>
        </w:rPr>
        <w:t xml:space="preserve">noncompliance </w:t>
      </w:r>
      <w:r w:rsidR="00C419F0" w:rsidRPr="000E2B31">
        <w:rPr>
          <w:rFonts w:ascii="Times New Roman" w:hAnsi="Times New Roman" w:cs="Times New Roman"/>
          <w:sz w:val="28"/>
          <w:szCs w:val="28"/>
          <w:lang w:val="en-US"/>
        </w:rPr>
        <w:t>with a mandatory specification could not</w:t>
      </w:r>
      <w:r w:rsidR="006F2576" w:rsidRPr="000E2B31">
        <w:rPr>
          <w:rFonts w:ascii="Times New Roman" w:hAnsi="Times New Roman" w:cs="Times New Roman"/>
          <w:sz w:val="28"/>
          <w:szCs w:val="28"/>
          <w:lang w:val="en-US"/>
        </w:rPr>
        <w:t xml:space="preserve"> </w:t>
      </w:r>
      <w:r w:rsidR="00C419F0" w:rsidRPr="000E2B31">
        <w:rPr>
          <w:rFonts w:ascii="Times New Roman" w:hAnsi="Times New Roman" w:cs="Times New Roman"/>
          <w:sz w:val="28"/>
          <w:szCs w:val="28"/>
          <w:lang w:val="en-US"/>
        </w:rPr>
        <w:t xml:space="preserve">be considered to be </w:t>
      </w:r>
      <w:r w:rsidR="006F2576" w:rsidRPr="000E2B31">
        <w:rPr>
          <w:rFonts w:ascii="Times New Roman" w:hAnsi="Times New Roman" w:cs="Times New Roman"/>
          <w:sz w:val="28"/>
          <w:szCs w:val="28"/>
          <w:lang w:val="en-US"/>
        </w:rPr>
        <w:t>of a trivial or minor nature</w:t>
      </w:r>
      <w:r w:rsidR="000B1FFC" w:rsidRPr="000E2B31">
        <w:rPr>
          <w:rFonts w:ascii="Times New Roman" w:hAnsi="Times New Roman" w:cs="Times New Roman"/>
          <w:sz w:val="28"/>
          <w:szCs w:val="28"/>
          <w:lang w:val="en-US"/>
        </w:rPr>
        <w:t>.</w:t>
      </w:r>
      <w:r w:rsidR="00C419F0" w:rsidRPr="000E2B31">
        <w:rPr>
          <w:rFonts w:ascii="Times New Roman" w:hAnsi="Times New Roman" w:cs="Times New Roman"/>
          <w:sz w:val="28"/>
          <w:szCs w:val="28"/>
          <w:lang w:val="en-US"/>
        </w:rPr>
        <w:t xml:space="preserve"> </w:t>
      </w:r>
      <w:r w:rsidR="00156A86" w:rsidRPr="000E2B31">
        <w:rPr>
          <w:rFonts w:ascii="Times New Roman" w:hAnsi="Times New Roman" w:cs="Times New Roman"/>
          <w:sz w:val="28"/>
          <w:szCs w:val="28"/>
          <w:lang w:val="en-US"/>
        </w:rPr>
        <w:t>Instead,</w:t>
      </w:r>
      <w:r w:rsidR="00C419F0" w:rsidRPr="000E2B31">
        <w:rPr>
          <w:rFonts w:ascii="Times New Roman" w:hAnsi="Times New Roman" w:cs="Times New Roman"/>
          <w:sz w:val="28"/>
          <w:szCs w:val="28"/>
          <w:lang w:val="en-US"/>
        </w:rPr>
        <w:t xml:space="preserve"> </w:t>
      </w:r>
      <w:r w:rsidR="00156A86" w:rsidRPr="000E2B31">
        <w:rPr>
          <w:rFonts w:ascii="Times New Roman" w:hAnsi="Times New Roman" w:cs="Times New Roman"/>
          <w:sz w:val="28"/>
          <w:szCs w:val="28"/>
          <w:lang w:val="en-US"/>
        </w:rPr>
        <w:t xml:space="preserve">its </w:t>
      </w:r>
      <w:r w:rsidR="00C419F0" w:rsidRPr="000E2B31">
        <w:rPr>
          <w:rFonts w:ascii="Times New Roman" w:hAnsi="Times New Roman" w:cs="Times New Roman"/>
          <w:sz w:val="28"/>
          <w:szCs w:val="28"/>
          <w:lang w:val="en-US"/>
        </w:rPr>
        <w:t xml:space="preserve">tender was not an acceptable one within the contemplation of the PPPFA and did not “in all respects” comply with the specifications and conditions </w:t>
      </w:r>
      <w:r w:rsidR="00156A86" w:rsidRPr="000E2B31">
        <w:rPr>
          <w:rFonts w:ascii="Times New Roman" w:hAnsi="Times New Roman" w:cs="Times New Roman"/>
          <w:sz w:val="28"/>
          <w:szCs w:val="28"/>
          <w:lang w:val="en-US"/>
        </w:rPr>
        <w:t xml:space="preserve">of tender as set out in the tender document. Hence the first respondent properly laid its basis for the challenge in terms of section 6 (2) (b) </w:t>
      </w:r>
      <w:r w:rsidR="003F588A" w:rsidRPr="000E2B31">
        <w:rPr>
          <w:rFonts w:ascii="Times New Roman" w:hAnsi="Times New Roman" w:cs="Times New Roman"/>
          <w:sz w:val="28"/>
          <w:szCs w:val="28"/>
          <w:lang w:val="en-US"/>
        </w:rPr>
        <w:t>of PAJA.</w:t>
      </w:r>
      <w:r w:rsidR="00BE5FA6" w:rsidRPr="000E2B31">
        <w:rPr>
          <w:rFonts w:ascii="Times New Roman" w:hAnsi="Times New Roman" w:cs="Times New Roman"/>
          <w:sz w:val="28"/>
          <w:szCs w:val="28"/>
          <w:lang w:val="en-US"/>
        </w:rPr>
        <w:t xml:space="preserve"> </w:t>
      </w:r>
    </w:p>
    <w:p w14:paraId="3EA0430E" w14:textId="77777777" w:rsidR="00D2691F" w:rsidRPr="00D2691F" w:rsidRDefault="00D2691F" w:rsidP="00D2691F">
      <w:pPr>
        <w:pStyle w:val="ListParagraph"/>
        <w:rPr>
          <w:rFonts w:ascii="Times New Roman" w:hAnsi="Times New Roman" w:cs="Times New Roman"/>
          <w:sz w:val="28"/>
          <w:szCs w:val="28"/>
          <w:lang w:val="en-US"/>
        </w:rPr>
      </w:pPr>
    </w:p>
    <w:p w14:paraId="3F80789F" w14:textId="2754F1C8" w:rsidR="00D2691F" w:rsidRPr="000E2B31" w:rsidRDefault="000E2B31" w:rsidP="000E2B31">
      <w:pPr>
        <w:tabs>
          <w:tab w:val="left" w:pos="709"/>
        </w:tabs>
        <w:spacing w:before="0" w:beforeAutospacing="0"/>
        <w:jc w:val="both"/>
        <w:rPr>
          <w:rFonts w:ascii="Times New Roman" w:hAnsi="Times New Roman" w:cs="Times New Roman"/>
          <w:sz w:val="28"/>
          <w:szCs w:val="28"/>
          <w:lang w:val="en-US"/>
        </w:rPr>
      </w:pPr>
      <w:r w:rsidRPr="00AD0A92">
        <w:rPr>
          <w:rFonts w:ascii="Times New Roman" w:hAnsi="Times New Roman" w:cs="Times New Roman"/>
          <w:sz w:val="28"/>
          <w:szCs w:val="28"/>
          <w:lang w:val="en-US"/>
        </w:rPr>
        <w:lastRenderedPageBreak/>
        <w:t>[98]</w:t>
      </w:r>
      <w:r w:rsidRPr="00AD0A92">
        <w:rPr>
          <w:rFonts w:ascii="Times New Roman" w:hAnsi="Times New Roman" w:cs="Times New Roman"/>
          <w:sz w:val="28"/>
          <w:szCs w:val="28"/>
          <w:lang w:val="en-US"/>
        </w:rPr>
        <w:tab/>
      </w:r>
      <w:r w:rsidR="00D2691F" w:rsidRPr="000E2B31">
        <w:rPr>
          <w:rFonts w:ascii="Times New Roman" w:hAnsi="Times New Roman" w:cs="Times New Roman"/>
          <w:sz w:val="28"/>
          <w:szCs w:val="28"/>
          <w:lang w:val="en-US"/>
        </w:rPr>
        <w:t>I accordingly conclude that the order of the court a quo setting aside the BEC’s declaration that the second respondent’s bid was responsive was a correct one to have been made in all the circumstances</w:t>
      </w:r>
      <w:r w:rsidR="008E0CA6" w:rsidRPr="000E2B31">
        <w:rPr>
          <w:rFonts w:ascii="Times New Roman" w:hAnsi="Times New Roman" w:cs="Times New Roman"/>
          <w:sz w:val="28"/>
          <w:szCs w:val="28"/>
          <w:lang w:val="en-US"/>
        </w:rPr>
        <w:t xml:space="preserve"> and that it was appropriate to deal with the adverse consequences thereof by setting it aside</w:t>
      </w:r>
      <w:r w:rsidR="008C4895" w:rsidRPr="000E2B31">
        <w:rPr>
          <w:rFonts w:ascii="Times New Roman" w:hAnsi="Times New Roman" w:cs="Times New Roman"/>
          <w:sz w:val="28"/>
          <w:szCs w:val="28"/>
          <w:lang w:val="en-US"/>
        </w:rPr>
        <w:t xml:space="preserve"> and in effect directing a rerun of the process against a construct that its bid is non responsive</w:t>
      </w:r>
      <w:r w:rsidR="003F588A" w:rsidRPr="000E2B31">
        <w:rPr>
          <w:rFonts w:ascii="Times New Roman" w:hAnsi="Times New Roman" w:cs="Times New Roman"/>
          <w:sz w:val="28"/>
          <w:szCs w:val="28"/>
          <w:lang w:val="en-US"/>
        </w:rPr>
        <w:t>.</w:t>
      </w:r>
      <w:r w:rsidR="008E0CA6">
        <w:rPr>
          <w:rStyle w:val="FootnoteReference"/>
          <w:rFonts w:ascii="Times New Roman" w:hAnsi="Times New Roman" w:cs="Times New Roman"/>
          <w:sz w:val="28"/>
          <w:szCs w:val="28"/>
          <w:lang w:val="en-US"/>
        </w:rPr>
        <w:footnoteReference w:id="43"/>
      </w:r>
    </w:p>
    <w:p w14:paraId="32E9CCCF" w14:textId="77777777" w:rsidR="00660F2E" w:rsidRPr="00660F2E" w:rsidRDefault="00660F2E" w:rsidP="00660F2E">
      <w:pPr>
        <w:pStyle w:val="ListParagraph"/>
        <w:rPr>
          <w:rFonts w:ascii="Times New Roman" w:hAnsi="Times New Roman" w:cs="Times New Roman"/>
          <w:sz w:val="28"/>
          <w:szCs w:val="28"/>
          <w:lang w:val="en-US"/>
        </w:rPr>
      </w:pPr>
    </w:p>
    <w:p w14:paraId="29F9E415" w14:textId="225354F4" w:rsidR="00AE6CB3" w:rsidRPr="000E2B31" w:rsidRDefault="000E2B31" w:rsidP="000E2B31">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[99]</w:t>
      </w:r>
      <w:r>
        <w:rPr>
          <w:rFonts w:ascii="Times New Roman" w:hAnsi="Times New Roman" w:cs="Times New Roman"/>
          <w:sz w:val="28"/>
          <w:szCs w:val="28"/>
          <w:lang w:val="en-US"/>
        </w:rPr>
        <w:tab/>
      </w:r>
      <w:r w:rsidR="00660F2E" w:rsidRPr="000E2B31">
        <w:rPr>
          <w:rFonts w:ascii="Times New Roman" w:hAnsi="Times New Roman" w:cs="Times New Roman"/>
          <w:sz w:val="28"/>
          <w:szCs w:val="28"/>
          <w:lang w:val="en-US"/>
        </w:rPr>
        <w:t xml:space="preserve">The situation of the third respondent was slightly nuanced but the appellant failed to engage with the issue of its bid not being responsive for the three reasons </w:t>
      </w:r>
      <w:r w:rsidR="00D2691F" w:rsidRPr="000E2B31">
        <w:rPr>
          <w:rFonts w:ascii="Times New Roman" w:hAnsi="Times New Roman" w:cs="Times New Roman"/>
          <w:sz w:val="28"/>
          <w:szCs w:val="28"/>
          <w:lang w:val="en-US"/>
        </w:rPr>
        <w:t>advanced by</w:t>
      </w:r>
      <w:r w:rsidR="00660F2E" w:rsidRPr="000E2B31">
        <w:rPr>
          <w:rFonts w:ascii="Times New Roman" w:hAnsi="Times New Roman" w:cs="Times New Roman"/>
          <w:sz w:val="28"/>
          <w:szCs w:val="28"/>
          <w:lang w:val="en-US"/>
        </w:rPr>
        <w:t xml:space="preserve"> the </w:t>
      </w:r>
      <w:r w:rsidR="00D2691F" w:rsidRPr="000E2B31">
        <w:rPr>
          <w:rFonts w:ascii="Times New Roman" w:hAnsi="Times New Roman" w:cs="Times New Roman"/>
          <w:sz w:val="28"/>
          <w:szCs w:val="28"/>
          <w:lang w:val="en-US"/>
        </w:rPr>
        <w:t xml:space="preserve">first </w:t>
      </w:r>
      <w:r w:rsidR="00660F2E" w:rsidRPr="000E2B31">
        <w:rPr>
          <w:rFonts w:ascii="Times New Roman" w:hAnsi="Times New Roman" w:cs="Times New Roman"/>
          <w:sz w:val="28"/>
          <w:szCs w:val="28"/>
          <w:lang w:val="en-US"/>
        </w:rPr>
        <w:t>respondent</w:t>
      </w:r>
      <w:r w:rsidR="00D2691F" w:rsidRPr="000E2B31">
        <w:rPr>
          <w:rFonts w:ascii="Times New Roman" w:hAnsi="Times New Roman" w:cs="Times New Roman"/>
          <w:sz w:val="28"/>
          <w:szCs w:val="28"/>
          <w:lang w:val="en-US"/>
        </w:rPr>
        <w:t xml:space="preserve"> at all and the court </w:t>
      </w:r>
      <w:r w:rsidR="00D2691F" w:rsidRPr="000E2B31">
        <w:rPr>
          <w:rFonts w:ascii="Times New Roman" w:hAnsi="Times New Roman" w:cs="Times New Roman"/>
          <w:i/>
          <w:iCs/>
          <w:sz w:val="28"/>
          <w:szCs w:val="28"/>
          <w:lang w:val="en-US"/>
        </w:rPr>
        <w:t>a quo</w:t>
      </w:r>
      <w:r w:rsidR="00D2691F" w:rsidRPr="000E2B31">
        <w:rPr>
          <w:rFonts w:ascii="Times New Roman" w:hAnsi="Times New Roman" w:cs="Times New Roman"/>
          <w:sz w:val="28"/>
          <w:szCs w:val="28"/>
          <w:lang w:val="en-US"/>
        </w:rPr>
        <w:t xml:space="preserve"> was in my view justified in deciding this aspect on the first respondent’s version.  One would have expected an answer even generally to allay the perception of a flawed process, but none was forthcoming.</w:t>
      </w:r>
      <w:r w:rsidR="00E035F1">
        <w:rPr>
          <w:rStyle w:val="FootnoteReference"/>
          <w:rFonts w:ascii="Times New Roman" w:hAnsi="Times New Roman" w:cs="Times New Roman"/>
          <w:sz w:val="28"/>
          <w:szCs w:val="28"/>
          <w:lang w:val="en-US"/>
        </w:rPr>
        <w:footnoteReference w:id="44"/>
      </w:r>
      <w:r w:rsidR="00D2691F" w:rsidRPr="000E2B31">
        <w:rPr>
          <w:rFonts w:ascii="Times New Roman" w:hAnsi="Times New Roman" w:cs="Times New Roman"/>
          <w:sz w:val="28"/>
          <w:szCs w:val="28"/>
          <w:lang w:val="en-US"/>
        </w:rPr>
        <w:t xml:space="preserve">  The first respondent was confident to maintain however that the BEC’s decision in this regard fell to be reviewed on the basis </w:t>
      </w:r>
      <w:r w:rsidR="00874047" w:rsidRPr="000E2B31">
        <w:rPr>
          <w:rFonts w:ascii="Times New Roman" w:hAnsi="Times New Roman" w:cs="Times New Roman"/>
          <w:sz w:val="28"/>
          <w:szCs w:val="28"/>
          <w:lang w:val="en-US"/>
        </w:rPr>
        <w:t xml:space="preserve">that it laboured under a misconception of the law regarding its </w:t>
      </w:r>
      <w:r w:rsidR="00AE6CB3" w:rsidRPr="000E2B31">
        <w:rPr>
          <w:rFonts w:ascii="Times New Roman" w:hAnsi="Times New Roman" w:cs="Times New Roman"/>
          <w:sz w:val="28"/>
          <w:szCs w:val="28"/>
          <w:lang w:val="en-US"/>
        </w:rPr>
        <w:t>contention that</w:t>
      </w:r>
      <w:r w:rsidR="00874047" w:rsidRPr="000E2B31">
        <w:rPr>
          <w:rFonts w:ascii="Times New Roman" w:hAnsi="Times New Roman" w:cs="Times New Roman"/>
          <w:sz w:val="28"/>
          <w:szCs w:val="28"/>
          <w:lang w:val="en-US"/>
        </w:rPr>
        <w:t xml:space="preserve"> the third respondent was eligible to compete despite its lower grading</w:t>
      </w:r>
      <w:r w:rsidR="00AE6CB3" w:rsidRPr="000E2B31">
        <w:rPr>
          <w:rFonts w:ascii="Times New Roman" w:hAnsi="Times New Roman" w:cs="Times New Roman"/>
          <w:sz w:val="28"/>
          <w:szCs w:val="28"/>
          <w:lang w:val="en-US"/>
        </w:rPr>
        <w:t xml:space="preserve">, and that it had also given it a free pass at its expense regarding its material noncompliance with a mandatory condition of the tender.  On both scores the court </w:t>
      </w:r>
      <w:r w:rsidR="00AE6CB3" w:rsidRPr="000E2B31">
        <w:rPr>
          <w:rFonts w:ascii="Times New Roman" w:hAnsi="Times New Roman" w:cs="Times New Roman"/>
          <w:i/>
          <w:iCs/>
          <w:sz w:val="28"/>
          <w:szCs w:val="28"/>
          <w:lang w:val="en-US"/>
        </w:rPr>
        <w:t>a quo</w:t>
      </w:r>
      <w:r w:rsidR="00AE6CB3" w:rsidRPr="000E2B31">
        <w:rPr>
          <w:rFonts w:ascii="Times New Roman" w:hAnsi="Times New Roman" w:cs="Times New Roman"/>
          <w:sz w:val="28"/>
          <w:szCs w:val="28"/>
          <w:lang w:val="en-US"/>
        </w:rPr>
        <w:t xml:space="preserve"> correctly found in my view that the BEC’s declaration that the third respondent was a responsive bidder was reviewable and </w:t>
      </w:r>
      <w:r w:rsidR="008E0CA6" w:rsidRPr="000E2B31">
        <w:rPr>
          <w:rFonts w:ascii="Times New Roman" w:hAnsi="Times New Roman" w:cs="Times New Roman"/>
          <w:sz w:val="28"/>
          <w:szCs w:val="28"/>
          <w:lang w:val="en-US"/>
        </w:rPr>
        <w:t xml:space="preserve">also appropriately </w:t>
      </w:r>
      <w:r w:rsidR="00AE6CB3" w:rsidRPr="000E2B31">
        <w:rPr>
          <w:rFonts w:ascii="Times New Roman" w:hAnsi="Times New Roman" w:cs="Times New Roman"/>
          <w:sz w:val="28"/>
          <w:szCs w:val="28"/>
          <w:lang w:val="en-US"/>
        </w:rPr>
        <w:t>fell to be set aside on the bases relied upon by the first respondent in this respect.</w:t>
      </w:r>
    </w:p>
    <w:p w14:paraId="7922F671" w14:textId="77777777" w:rsidR="00E035F1" w:rsidRPr="00E035F1" w:rsidRDefault="00E035F1" w:rsidP="00E035F1">
      <w:pPr>
        <w:pStyle w:val="ListParagraph"/>
        <w:rPr>
          <w:rFonts w:ascii="Times New Roman" w:hAnsi="Times New Roman" w:cs="Times New Roman"/>
          <w:sz w:val="28"/>
          <w:szCs w:val="28"/>
          <w:lang w:val="en-US"/>
        </w:rPr>
      </w:pPr>
    </w:p>
    <w:p w14:paraId="1A3D8024" w14:textId="2E2AC1DE" w:rsidR="003F588A" w:rsidRPr="000E2B31" w:rsidRDefault="000E2B31" w:rsidP="000E2B31">
      <w:pPr>
        <w:tabs>
          <w:tab w:val="left" w:pos="709"/>
        </w:tabs>
        <w:spacing w:before="0" w:beforeAutospacing="0"/>
        <w:jc w:val="both"/>
        <w:rPr>
          <w:rFonts w:ascii="Times New Roman" w:hAnsi="Times New Roman" w:cs="Times New Roman"/>
          <w:sz w:val="28"/>
          <w:szCs w:val="28"/>
          <w:lang w:val="en-US"/>
        </w:rPr>
      </w:pPr>
      <w:r w:rsidRPr="001F5988">
        <w:rPr>
          <w:rFonts w:ascii="Times New Roman" w:hAnsi="Times New Roman" w:cs="Times New Roman"/>
          <w:sz w:val="28"/>
          <w:szCs w:val="28"/>
          <w:lang w:val="en-US"/>
        </w:rPr>
        <w:lastRenderedPageBreak/>
        <w:t>[100]</w:t>
      </w:r>
      <w:r w:rsidRPr="001F5988">
        <w:rPr>
          <w:rFonts w:ascii="Times New Roman" w:hAnsi="Times New Roman" w:cs="Times New Roman"/>
          <w:sz w:val="28"/>
          <w:szCs w:val="28"/>
          <w:lang w:val="en-US"/>
        </w:rPr>
        <w:tab/>
      </w:r>
      <w:r w:rsidR="003F588A" w:rsidRPr="000E2B31">
        <w:rPr>
          <w:rFonts w:ascii="Times New Roman" w:hAnsi="Times New Roman" w:cs="Times New Roman"/>
          <w:sz w:val="28"/>
          <w:szCs w:val="28"/>
          <w:lang w:val="en-US"/>
        </w:rPr>
        <w:t>A</w:t>
      </w:r>
      <w:r w:rsidR="00E035F1" w:rsidRPr="000E2B31">
        <w:rPr>
          <w:rFonts w:ascii="Times New Roman" w:hAnsi="Times New Roman" w:cs="Times New Roman"/>
          <w:sz w:val="28"/>
          <w:szCs w:val="28"/>
          <w:lang w:val="en-US"/>
        </w:rPr>
        <w:t xml:space="preserve">lthough the court </w:t>
      </w:r>
      <w:r w:rsidR="00E035F1" w:rsidRPr="000E2B31">
        <w:rPr>
          <w:rFonts w:ascii="Times New Roman" w:hAnsi="Times New Roman" w:cs="Times New Roman"/>
          <w:i/>
          <w:iCs/>
          <w:sz w:val="28"/>
          <w:szCs w:val="28"/>
          <w:lang w:val="en-US"/>
        </w:rPr>
        <w:t xml:space="preserve">a quo </w:t>
      </w:r>
      <w:r w:rsidR="00E035F1" w:rsidRPr="000E2B31">
        <w:rPr>
          <w:rFonts w:ascii="Times New Roman" w:hAnsi="Times New Roman" w:cs="Times New Roman"/>
          <w:sz w:val="28"/>
          <w:szCs w:val="28"/>
          <w:lang w:val="en-US"/>
        </w:rPr>
        <w:t xml:space="preserve">extended its introspection into the award phase, it was unnecessary </w:t>
      </w:r>
      <w:r w:rsidR="003F588A" w:rsidRPr="000E2B31">
        <w:rPr>
          <w:rFonts w:ascii="Times New Roman" w:hAnsi="Times New Roman" w:cs="Times New Roman"/>
          <w:sz w:val="28"/>
          <w:szCs w:val="28"/>
          <w:lang w:val="en-US"/>
        </w:rPr>
        <w:t xml:space="preserve">in my view </w:t>
      </w:r>
      <w:r w:rsidR="00E035F1" w:rsidRPr="000E2B31">
        <w:rPr>
          <w:rFonts w:ascii="Times New Roman" w:hAnsi="Times New Roman" w:cs="Times New Roman"/>
          <w:sz w:val="28"/>
          <w:szCs w:val="28"/>
          <w:lang w:val="en-US"/>
        </w:rPr>
        <w:t>to have gone any further.</w:t>
      </w:r>
      <w:r w:rsidR="003F588A" w:rsidRPr="000E2B31">
        <w:rPr>
          <w:rFonts w:ascii="Times New Roman" w:hAnsi="Times New Roman" w:cs="Times New Roman"/>
          <w:sz w:val="28"/>
          <w:szCs w:val="28"/>
          <w:lang w:val="en-US"/>
        </w:rPr>
        <w:t xml:space="preserve">  By necessary implication the tender could not have been awarded to the second respondent, and the third respondent should not have passed the pre-qualification stage.</w:t>
      </w:r>
    </w:p>
    <w:p w14:paraId="77733823" w14:textId="77777777" w:rsidR="003F588A" w:rsidRPr="003F588A" w:rsidRDefault="003F588A" w:rsidP="003F588A">
      <w:pPr>
        <w:pStyle w:val="ListParagraph"/>
        <w:tabs>
          <w:tab w:val="left" w:pos="709"/>
        </w:tabs>
        <w:spacing w:before="0" w:beforeAutospacing="0"/>
        <w:ind w:left="0"/>
        <w:jc w:val="both"/>
        <w:rPr>
          <w:rFonts w:ascii="Times New Roman" w:hAnsi="Times New Roman" w:cs="Times New Roman"/>
          <w:sz w:val="28"/>
          <w:szCs w:val="28"/>
          <w:lang w:val="en-US"/>
        </w:rPr>
      </w:pPr>
    </w:p>
    <w:p w14:paraId="4234A822" w14:textId="0CC6086A" w:rsidR="00E035F1" w:rsidRPr="000E2B31" w:rsidRDefault="000E2B31" w:rsidP="000E2B31">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[101]</w:t>
      </w:r>
      <w:r>
        <w:rPr>
          <w:rFonts w:ascii="Times New Roman" w:hAnsi="Times New Roman" w:cs="Times New Roman"/>
          <w:sz w:val="28"/>
          <w:szCs w:val="28"/>
          <w:lang w:val="en-US"/>
        </w:rPr>
        <w:tab/>
      </w:r>
      <w:r w:rsidR="008F5F7C" w:rsidRPr="000E2B31">
        <w:rPr>
          <w:rFonts w:ascii="Times New Roman" w:hAnsi="Times New Roman" w:cs="Times New Roman"/>
          <w:sz w:val="28"/>
          <w:szCs w:val="28"/>
          <w:lang w:val="en-US"/>
        </w:rPr>
        <w:t>That having been said,</w:t>
      </w:r>
      <w:r w:rsidR="003F588A" w:rsidRPr="000E2B31">
        <w:rPr>
          <w:rFonts w:ascii="Times New Roman" w:hAnsi="Times New Roman" w:cs="Times New Roman"/>
          <w:sz w:val="28"/>
          <w:szCs w:val="28"/>
          <w:lang w:val="en-US"/>
        </w:rPr>
        <w:t xml:space="preserve"> it</w:t>
      </w:r>
      <w:r w:rsidR="00E035F1" w:rsidRPr="000E2B31">
        <w:rPr>
          <w:rFonts w:ascii="Times New Roman" w:hAnsi="Times New Roman" w:cs="Times New Roman"/>
          <w:sz w:val="28"/>
          <w:szCs w:val="28"/>
          <w:lang w:val="en-US"/>
        </w:rPr>
        <w:t xml:space="preserve"> was not inappropriate in these peculiar circumstances in my view </w:t>
      </w:r>
      <w:r w:rsidR="003F588A" w:rsidRPr="000E2B31">
        <w:rPr>
          <w:rFonts w:ascii="Times New Roman" w:hAnsi="Times New Roman" w:cs="Times New Roman"/>
          <w:sz w:val="28"/>
          <w:szCs w:val="28"/>
          <w:lang w:val="en-US"/>
        </w:rPr>
        <w:t xml:space="preserve">for the court below </w:t>
      </w:r>
      <w:r w:rsidR="00E035F1" w:rsidRPr="000E2B31">
        <w:rPr>
          <w:rFonts w:ascii="Times New Roman" w:hAnsi="Times New Roman" w:cs="Times New Roman"/>
          <w:sz w:val="28"/>
          <w:szCs w:val="28"/>
          <w:lang w:val="en-US"/>
        </w:rPr>
        <w:t xml:space="preserve">to have referred the matter back to the </w:t>
      </w:r>
      <w:r w:rsidR="003F588A" w:rsidRPr="000E2B31">
        <w:rPr>
          <w:rFonts w:ascii="Times New Roman" w:hAnsi="Times New Roman" w:cs="Times New Roman"/>
          <w:sz w:val="28"/>
          <w:szCs w:val="28"/>
          <w:lang w:val="en-US"/>
        </w:rPr>
        <w:t>D</w:t>
      </w:r>
      <w:r w:rsidR="00E035F1" w:rsidRPr="000E2B31">
        <w:rPr>
          <w:rFonts w:ascii="Times New Roman" w:hAnsi="Times New Roman" w:cs="Times New Roman"/>
          <w:sz w:val="28"/>
          <w:szCs w:val="28"/>
          <w:lang w:val="en-US"/>
        </w:rPr>
        <w:t xml:space="preserve">epartment for </w:t>
      </w:r>
      <w:r w:rsidR="003F588A" w:rsidRPr="000E2B31">
        <w:rPr>
          <w:rFonts w:ascii="Times New Roman" w:hAnsi="Times New Roman" w:cs="Times New Roman"/>
          <w:sz w:val="28"/>
          <w:szCs w:val="28"/>
          <w:lang w:val="en-US"/>
        </w:rPr>
        <w:t xml:space="preserve">a </w:t>
      </w:r>
      <w:r w:rsidR="001F5988" w:rsidRPr="000E2B31">
        <w:rPr>
          <w:rFonts w:ascii="Times New Roman" w:hAnsi="Times New Roman" w:cs="Times New Roman"/>
          <w:sz w:val="28"/>
          <w:szCs w:val="28"/>
          <w:lang w:val="en-US"/>
        </w:rPr>
        <w:t>rerun of the process to</w:t>
      </w:r>
      <w:r w:rsidR="00E035F1" w:rsidRPr="000E2B31">
        <w:rPr>
          <w:rFonts w:ascii="Times New Roman" w:hAnsi="Times New Roman" w:cs="Times New Roman"/>
          <w:sz w:val="28"/>
          <w:szCs w:val="28"/>
          <w:lang w:val="en-US"/>
        </w:rPr>
        <w:t xml:space="preserve"> properly determine the final outcome against the expectation of the first respondent now being the sole surviving responsive bidder</w:t>
      </w:r>
      <w:r w:rsidR="00595E10" w:rsidRPr="000E2B31">
        <w:rPr>
          <w:rFonts w:ascii="Times New Roman" w:hAnsi="Times New Roman" w:cs="Times New Roman"/>
          <w:sz w:val="28"/>
          <w:szCs w:val="28"/>
          <w:lang w:val="en-US"/>
        </w:rPr>
        <w:t>, neither should the order as it stands present any problem in its implementation</w:t>
      </w:r>
      <w:r w:rsidR="00E035F1" w:rsidRPr="000E2B31">
        <w:rPr>
          <w:rFonts w:ascii="Times New Roman" w:hAnsi="Times New Roman" w:cs="Times New Roman"/>
          <w:sz w:val="28"/>
          <w:szCs w:val="28"/>
          <w:lang w:val="en-US"/>
        </w:rPr>
        <w:t>.</w:t>
      </w:r>
      <w:r w:rsidR="00B33A03">
        <w:rPr>
          <w:rStyle w:val="FootnoteReference"/>
          <w:rFonts w:ascii="Times New Roman" w:hAnsi="Times New Roman" w:cs="Times New Roman"/>
          <w:sz w:val="28"/>
          <w:szCs w:val="28"/>
          <w:lang w:val="en-US"/>
        </w:rPr>
        <w:footnoteReference w:id="45"/>
      </w:r>
      <w:r w:rsidR="00E035F1" w:rsidRPr="000E2B31">
        <w:rPr>
          <w:rFonts w:ascii="Times New Roman" w:hAnsi="Times New Roman" w:cs="Times New Roman"/>
          <w:sz w:val="28"/>
          <w:szCs w:val="28"/>
          <w:lang w:val="en-US"/>
        </w:rPr>
        <w:t xml:space="preserve">  </w:t>
      </w:r>
      <w:r w:rsidR="001F5988" w:rsidRPr="000E2B31">
        <w:rPr>
          <w:rFonts w:ascii="Times New Roman" w:hAnsi="Times New Roman" w:cs="Times New Roman"/>
          <w:sz w:val="28"/>
          <w:szCs w:val="28"/>
          <w:lang w:val="en-US"/>
        </w:rPr>
        <w:t>Indeed,</w:t>
      </w:r>
      <w:r w:rsidR="00E035F1" w:rsidRPr="000E2B31">
        <w:rPr>
          <w:rFonts w:ascii="Times New Roman" w:hAnsi="Times New Roman" w:cs="Times New Roman"/>
          <w:sz w:val="28"/>
          <w:szCs w:val="28"/>
          <w:lang w:val="en-US"/>
        </w:rPr>
        <w:t xml:space="preserve"> </w:t>
      </w:r>
      <w:r w:rsidR="00595E10" w:rsidRPr="000E2B31">
        <w:rPr>
          <w:rFonts w:ascii="Times New Roman" w:hAnsi="Times New Roman" w:cs="Times New Roman"/>
          <w:sz w:val="28"/>
          <w:szCs w:val="28"/>
          <w:lang w:val="en-US"/>
        </w:rPr>
        <w:t>the fate of the second and third respondent’s be</w:t>
      </w:r>
      <w:r w:rsidR="00FD362D" w:rsidRPr="000E2B31">
        <w:rPr>
          <w:rFonts w:ascii="Times New Roman" w:hAnsi="Times New Roman" w:cs="Times New Roman"/>
          <w:sz w:val="28"/>
          <w:szCs w:val="28"/>
          <w:lang w:val="en-US"/>
        </w:rPr>
        <w:t>i</w:t>
      </w:r>
      <w:r w:rsidR="00595E10" w:rsidRPr="000E2B31">
        <w:rPr>
          <w:rFonts w:ascii="Times New Roman" w:hAnsi="Times New Roman" w:cs="Times New Roman"/>
          <w:sz w:val="28"/>
          <w:szCs w:val="28"/>
          <w:lang w:val="en-US"/>
        </w:rPr>
        <w:t>n</w:t>
      </w:r>
      <w:r w:rsidR="00FD362D" w:rsidRPr="000E2B31">
        <w:rPr>
          <w:rFonts w:ascii="Times New Roman" w:hAnsi="Times New Roman" w:cs="Times New Roman"/>
          <w:sz w:val="28"/>
          <w:szCs w:val="28"/>
          <w:lang w:val="en-US"/>
        </w:rPr>
        <w:t>g</w:t>
      </w:r>
      <w:r w:rsidR="00595E10" w:rsidRPr="000E2B31">
        <w:rPr>
          <w:rFonts w:ascii="Times New Roman" w:hAnsi="Times New Roman" w:cs="Times New Roman"/>
          <w:sz w:val="28"/>
          <w:szCs w:val="28"/>
          <w:lang w:val="en-US"/>
        </w:rPr>
        <w:t xml:space="preserve"> ruled out of the competition</w:t>
      </w:r>
      <w:r w:rsidR="00E035F1" w:rsidRPr="000E2B31">
        <w:rPr>
          <w:rFonts w:ascii="Times New Roman" w:hAnsi="Times New Roman" w:cs="Times New Roman"/>
          <w:sz w:val="28"/>
          <w:szCs w:val="28"/>
          <w:lang w:val="en-US"/>
        </w:rPr>
        <w:t xml:space="preserve"> is in keeping with the expectation indicated at the foot of clause F.3.8 </w:t>
      </w:r>
      <w:r w:rsidR="004030EB" w:rsidRPr="000E2B31">
        <w:rPr>
          <w:rFonts w:ascii="Times New Roman" w:hAnsi="Times New Roman" w:cs="Times New Roman"/>
          <w:sz w:val="28"/>
          <w:szCs w:val="28"/>
          <w:lang w:val="en-US"/>
        </w:rPr>
        <w:t xml:space="preserve">of the Standard </w:t>
      </w:r>
      <w:r w:rsidR="001F5988" w:rsidRPr="000E2B31">
        <w:rPr>
          <w:rFonts w:ascii="Times New Roman" w:hAnsi="Times New Roman" w:cs="Times New Roman"/>
          <w:sz w:val="28"/>
          <w:szCs w:val="28"/>
          <w:lang w:val="en-US"/>
        </w:rPr>
        <w:t xml:space="preserve">enjoining </w:t>
      </w:r>
      <w:r w:rsidR="004030EB" w:rsidRPr="000E2B31">
        <w:rPr>
          <w:rFonts w:ascii="Times New Roman" w:hAnsi="Times New Roman" w:cs="Times New Roman"/>
          <w:sz w:val="28"/>
          <w:szCs w:val="28"/>
          <w:lang w:val="en-US"/>
        </w:rPr>
        <w:t xml:space="preserve">the </w:t>
      </w:r>
      <w:r w:rsidR="001F5988" w:rsidRPr="000E2B31">
        <w:rPr>
          <w:rFonts w:ascii="Times New Roman" w:hAnsi="Times New Roman" w:cs="Times New Roman"/>
          <w:sz w:val="28"/>
          <w:szCs w:val="28"/>
          <w:lang w:val="en-US"/>
        </w:rPr>
        <w:t>employer</w:t>
      </w:r>
      <w:r w:rsidR="004030EB" w:rsidRPr="000E2B31">
        <w:rPr>
          <w:rFonts w:ascii="Times New Roman" w:hAnsi="Times New Roman" w:cs="Times New Roman"/>
          <w:sz w:val="28"/>
          <w:szCs w:val="28"/>
          <w:lang w:val="en-US"/>
        </w:rPr>
        <w:t xml:space="preserve"> itself</w:t>
      </w:r>
      <w:r w:rsidR="001F5988" w:rsidRPr="000E2B31">
        <w:rPr>
          <w:rFonts w:ascii="Times New Roman" w:hAnsi="Times New Roman" w:cs="Times New Roman"/>
          <w:sz w:val="28"/>
          <w:szCs w:val="28"/>
          <w:lang w:val="en-US"/>
        </w:rPr>
        <w:t xml:space="preserve"> to </w:t>
      </w:r>
      <w:r w:rsidR="001F5988" w:rsidRPr="000E2B31">
        <w:rPr>
          <w:rFonts w:ascii="Times New Roman" w:hAnsi="Times New Roman" w:cs="Times New Roman"/>
          <w:i/>
          <w:iCs/>
          <w:sz w:val="28"/>
          <w:szCs w:val="28"/>
          <w:lang w:val="en-US"/>
        </w:rPr>
        <w:t>“(r)</w:t>
      </w:r>
      <w:r w:rsidR="001F5988" w:rsidRPr="000E2B31">
        <w:rPr>
          <w:rFonts w:ascii="Times New Roman" w:hAnsi="Times New Roman" w:cs="Times New Roman"/>
          <w:i/>
          <w:iCs/>
          <w:sz w:val="28"/>
          <w:szCs w:val="28"/>
        </w:rPr>
        <w:t>eject a non-responsive tender offer, and not allow it to be subsequently made responsive by correction or withdrawal of the non-conforming deviation or reservation</w:t>
      </w:r>
      <w:r w:rsidR="00FD362D" w:rsidRPr="000E2B31">
        <w:rPr>
          <w:rFonts w:ascii="Times New Roman" w:hAnsi="Times New Roman" w:cs="Times New Roman"/>
          <w:i/>
          <w:iCs/>
          <w:sz w:val="28"/>
          <w:szCs w:val="28"/>
        </w:rPr>
        <w:t>.</w:t>
      </w:r>
      <w:r w:rsidR="001F5988" w:rsidRPr="000E2B31">
        <w:rPr>
          <w:rFonts w:ascii="Times New Roman" w:hAnsi="Times New Roman" w:cs="Times New Roman"/>
          <w:i/>
          <w:iCs/>
          <w:sz w:val="28"/>
          <w:szCs w:val="28"/>
        </w:rPr>
        <w:t>”</w:t>
      </w:r>
      <w:r w:rsidR="00FD362D" w:rsidRPr="000E2B31">
        <w:rPr>
          <w:rFonts w:ascii="Times New Roman" w:hAnsi="Times New Roman" w:cs="Times New Roman"/>
          <w:i/>
          <w:iCs/>
          <w:sz w:val="28"/>
          <w:szCs w:val="28"/>
        </w:rPr>
        <w:t xml:space="preserve"> </w:t>
      </w:r>
      <w:r w:rsidR="004030EB" w:rsidRPr="000E2B31">
        <w:rPr>
          <w:rFonts w:ascii="Times New Roman" w:hAnsi="Times New Roman" w:cs="Times New Roman"/>
          <w:sz w:val="28"/>
          <w:szCs w:val="28"/>
        </w:rPr>
        <w:t>T</w:t>
      </w:r>
      <w:r w:rsidR="00E035F1" w:rsidRPr="000E2B31">
        <w:rPr>
          <w:rFonts w:ascii="Times New Roman" w:hAnsi="Times New Roman" w:cs="Times New Roman"/>
          <w:sz w:val="28"/>
          <w:szCs w:val="28"/>
          <w:lang w:val="en-US"/>
        </w:rPr>
        <w:t xml:space="preserve">here </w:t>
      </w:r>
      <w:r w:rsidR="004030EB" w:rsidRPr="000E2B31">
        <w:rPr>
          <w:rFonts w:ascii="Times New Roman" w:hAnsi="Times New Roman" w:cs="Times New Roman"/>
          <w:sz w:val="28"/>
          <w:szCs w:val="28"/>
          <w:lang w:val="en-US"/>
        </w:rPr>
        <w:t>ought properly</w:t>
      </w:r>
      <w:r w:rsidR="001F5988" w:rsidRPr="000E2B31">
        <w:rPr>
          <w:rFonts w:ascii="Times New Roman" w:hAnsi="Times New Roman" w:cs="Times New Roman"/>
          <w:sz w:val="28"/>
          <w:szCs w:val="28"/>
          <w:lang w:val="en-US"/>
        </w:rPr>
        <w:t xml:space="preserve"> </w:t>
      </w:r>
      <w:r w:rsidR="00FD362D" w:rsidRPr="000E2B31">
        <w:rPr>
          <w:rFonts w:ascii="Times New Roman" w:hAnsi="Times New Roman" w:cs="Times New Roman"/>
          <w:sz w:val="28"/>
          <w:szCs w:val="28"/>
          <w:lang w:val="en-US"/>
        </w:rPr>
        <w:t xml:space="preserve">therefore </w:t>
      </w:r>
      <w:r w:rsidR="004030EB" w:rsidRPr="000E2B31">
        <w:rPr>
          <w:rFonts w:ascii="Times New Roman" w:hAnsi="Times New Roman" w:cs="Times New Roman"/>
          <w:sz w:val="28"/>
          <w:szCs w:val="28"/>
          <w:lang w:val="en-US"/>
        </w:rPr>
        <w:t xml:space="preserve">to </w:t>
      </w:r>
      <w:r w:rsidR="001F5988" w:rsidRPr="000E2B31">
        <w:rPr>
          <w:rFonts w:ascii="Times New Roman" w:hAnsi="Times New Roman" w:cs="Times New Roman"/>
          <w:sz w:val="28"/>
          <w:szCs w:val="28"/>
          <w:lang w:val="en-US"/>
        </w:rPr>
        <w:t>be</w:t>
      </w:r>
      <w:r w:rsidR="00E035F1" w:rsidRPr="000E2B31">
        <w:rPr>
          <w:rFonts w:ascii="Times New Roman" w:hAnsi="Times New Roman" w:cs="Times New Roman"/>
          <w:sz w:val="28"/>
          <w:szCs w:val="28"/>
          <w:lang w:val="en-US"/>
        </w:rPr>
        <w:t xml:space="preserve"> no </w:t>
      </w:r>
      <w:r w:rsidR="00595E10" w:rsidRPr="000E2B31">
        <w:rPr>
          <w:rFonts w:ascii="Times New Roman" w:hAnsi="Times New Roman" w:cs="Times New Roman"/>
          <w:sz w:val="28"/>
          <w:szCs w:val="28"/>
          <w:lang w:val="en-US"/>
        </w:rPr>
        <w:t>claw back</w:t>
      </w:r>
      <w:r w:rsidR="00E035F1" w:rsidRPr="000E2B31">
        <w:rPr>
          <w:rFonts w:ascii="Times New Roman" w:hAnsi="Times New Roman" w:cs="Times New Roman"/>
          <w:sz w:val="28"/>
          <w:szCs w:val="28"/>
          <w:lang w:val="en-US"/>
        </w:rPr>
        <w:t xml:space="preserve"> as it were from such a </w:t>
      </w:r>
      <w:r w:rsidR="004030EB" w:rsidRPr="000E2B31">
        <w:rPr>
          <w:rFonts w:ascii="Times New Roman" w:hAnsi="Times New Roman" w:cs="Times New Roman"/>
          <w:sz w:val="28"/>
          <w:szCs w:val="28"/>
          <w:lang w:val="en-US"/>
        </w:rPr>
        <w:t>premise</w:t>
      </w:r>
      <w:r w:rsidR="00E035F1" w:rsidRPr="000E2B31">
        <w:rPr>
          <w:rFonts w:ascii="Times New Roman" w:hAnsi="Times New Roman" w:cs="Times New Roman"/>
          <w:sz w:val="28"/>
          <w:szCs w:val="28"/>
          <w:lang w:val="en-US"/>
        </w:rPr>
        <w:t>.</w:t>
      </w:r>
    </w:p>
    <w:p w14:paraId="785A6D1E" w14:textId="77777777" w:rsidR="000914A3" w:rsidRPr="000914A3" w:rsidRDefault="000914A3" w:rsidP="000914A3">
      <w:pPr>
        <w:pStyle w:val="ListParagraph"/>
        <w:rPr>
          <w:rFonts w:ascii="Times New Roman" w:hAnsi="Times New Roman" w:cs="Times New Roman"/>
          <w:sz w:val="28"/>
          <w:szCs w:val="28"/>
          <w:lang w:val="en-US"/>
        </w:rPr>
      </w:pPr>
    </w:p>
    <w:p w14:paraId="18F7E009" w14:textId="778AA04C" w:rsidR="000914A3" w:rsidRPr="000E2B31" w:rsidRDefault="000E2B31" w:rsidP="000E2B31">
      <w:pPr>
        <w:tabs>
          <w:tab w:val="left" w:pos="709"/>
        </w:tabs>
        <w:spacing w:before="0" w:beforeAutospacing="0"/>
        <w:jc w:val="both"/>
        <w:rPr>
          <w:rFonts w:ascii="Times New Roman" w:hAnsi="Times New Roman" w:cs="Times New Roman"/>
          <w:sz w:val="28"/>
          <w:szCs w:val="28"/>
          <w:lang w:val="en-US"/>
        </w:rPr>
      </w:pPr>
      <w:r w:rsidRPr="00E93D38">
        <w:rPr>
          <w:rFonts w:ascii="Times New Roman" w:hAnsi="Times New Roman" w:cs="Times New Roman"/>
          <w:sz w:val="28"/>
          <w:szCs w:val="28"/>
          <w:lang w:val="en-US"/>
        </w:rPr>
        <w:t>[102]</w:t>
      </w:r>
      <w:r w:rsidRPr="00E93D38">
        <w:rPr>
          <w:rFonts w:ascii="Times New Roman" w:hAnsi="Times New Roman" w:cs="Times New Roman"/>
          <w:sz w:val="28"/>
          <w:szCs w:val="28"/>
          <w:lang w:val="en-US"/>
        </w:rPr>
        <w:tab/>
      </w:r>
      <w:r w:rsidR="000914A3" w:rsidRPr="000E2B31">
        <w:rPr>
          <w:rFonts w:ascii="Times New Roman" w:hAnsi="Times New Roman" w:cs="Times New Roman"/>
          <w:sz w:val="28"/>
          <w:szCs w:val="28"/>
          <w:lang w:val="en-US"/>
        </w:rPr>
        <w:t xml:space="preserve">I cannot agree with Mr. Beyleveld’s contention that it would somehow now be appropriate to direct that the </w:t>
      </w:r>
      <w:r w:rsidR="00963213" w:rsidRPr="000E2B31">
        <w:rPr>
          <w:rFonts w:ascii="Times New Roman" w:hAnsi="Times New Roman" w:cs="Times New Roman"/>
          <w:sz w:val="28"/>
          <w:szCs w:val="28"/>
          <w:lang w:val="en-US"/>
        </w:rPr>
        <w:t xml:space="preserve">tender </w:t>
      </w:r>
      <w:r w:rsidR="000914A3" w:rsidRPr="000E2B31">
        <w:rPr>
          <w:rFonts w:ascii="Times New Roman" w:hAnsi="Times New Roman" w:cs="Times New Roman"/>
          <w:sz w:val="28"/>
          <w:szCs w:val="28"/>
          <w:lang w:val="en-US"/>
        </w:rPr>
        <w:t xml:space="preserve">process be </w:t>
      </w:r>
      <w:r w:rsidR="00963213" w:rsidRPr="000E2B31">
        <w:rPr>
          <w:rFonts w:ascii="Times New Roman" w:hAnsi="Times New Roman" w:cs="Times New Roman"/>
          <w:sz w:val="28"/>
          <w:szCs w:val="28"/>
          <w:lang w:val="en-US"/>
        </w:rPr>
        <w:t>started</w:t>
      </w:r>
      <w:r w:rsidR="000914A3" w:rsidRPr="000E2B31">
        <w:rPr>
          <w:rFonts w:ascii="Times New Roman" w:hAnsi="Times New Roman" w:cs="Times New Roman"/>
          <w:sz w:val="28"/>
          <w:szCs w:val="28"/>
          <w:lang w:val="en-US"/>
        </w:rPr>
        <w:t xml:space="preserve"> anew</w:t>
      </w:r>
      <w:r w:rsidR="00963213" w:rsidRPr="000E2B31">
        <w:rPr>
          <w:rFonts w:ascii="Times New Roman" w:hAnsi="Times New Roman" w:cs="Times New Roman"/>
          <w:sz w:val="28"/>
          <w:szCs w:val="28"/>
          <w:lang w:val="en-US"/>
        </w:rPr>
        <w:t xml:space="preserve"> as if the </w:t>
      </w:r>
      <w:r w:rsidR="00963213" w:rsidRPr="000E2B31">
        <w:rPr>
          <w:rFonts w:ascii="Times New Roman" w:hAnsi="Times New Roman" w:cs="Times New Roman"/>
          <w:i/>
          <w:iCs/>
          <w:sz w:val="28"/>
          <w:szCs w:val="28"/>
          <w:lang w:val="en-US"/>
        </w:rPr>
        <w:t>entire</w:t>
      </w:r>
      <w:r w:rsidR="00963213" w:rsidRPr="000E2B31">
        <w:rPr>
          <w:rFonts w:ascii="Times New Roman" w:hAnsi="Times New Roman" w:cs="Times New Roman"/>
          <w:sz w:val="28"/>
          <w:szCs w:val="28"/>
          <w:lang w:val="en-US"/>
        </w:rPr>
        <w:t xml:space="preserve"> process was vitiated</w:t>
      </w:r>
      <w:r w:rsidR="000914A3" w:rsidRPr="000E2B31">
        <w:rPr>
          <w:rFonts w:ascii="Times New Roman" w:hAnsi="Times New Roman" w:cs="Times New Roman"/>
          <w:sz w:val="28"/>
          <w:szCs w:val="28"/>
          <w:lang w:val="en-US"/>
        </w:rPr>
        <w:t>.  In my view the court below was alive to the prejudice to the first respondent by such an order</w:t>
      </w:r>
      <w:r w:rsidR="00681EF9" w:rsidRPr="000E2B31">
        <w:rPr>
          <w:rFonts w:ascii="Times New Roman" w:hAnsi="Times New Roman" w:cs="Times New Roman"/>
          <w:sz w:val="28"/>
          <w:szCs w:val="28"/>
          <w:lang w:val="en-US"/>
        </w:rPr>
        <w:t xml:space="preserve"> and intended to effectively vindicate its fair and administrative right violated by the Department’s failure to have eliminated the second and third respondents from the competition when this was justifiably required to happen.  Indeed, it behooves a </w:t>
      </w:r>
      <w:r w:rsidR="00963213" w:rsidRPr="000E2B31">
        <w:rPr>
          <w:rFonts w:ascii="Times New Roman" w:hAnsi="Times New Roman" w:cs="Times New Roman"/>
          <w:sz w:val="28"/>
          <w:szCs w:val="28"/>
          <w:lang w:val="en-US"/>
        </w:rPr>
        <w:t>court when</w:t>
      </w:r>
      <w:r w:rsidR="00681EF9" w:rsidRPr="000E2B31">
        <w:rPr>
          <w:rFonts w:ascii="Times New Roman" w:hAnsi="Times New Roman" w:cs="Times New Roman"/>
          <w:sz w:val="28"/>
          <w:szCs w:val="28"/>
          <w:lang w:val="en-US"/>
        </w:rPr>
        <w:t xml:space="preserve"> fashioning an appropriate </w:t>
      </w:r>
      <w:r w:rsidR="00681EF9" w:rsidRPr="000E2B31">
        <w:rPr>
          <w:rFonts w:ascii="Times New Roman" w:hAnsi="Times New Roman" w:cs="Times New Roman"/>
          <w:sz w:val="28"/>
          <w:szCs w:val="28"/>
          <w:lang w:val="en-US"/>
        </w:rPr>
        <w:lastRenderedPageBreak/>
        <w:t xml:space="preserve">remedy pursuant to the provisions of section 8 of PAJA to ensure that the remedy fits the injury. In </w:t>
      </w:r>
      <w:r w:rsidR="00681EF9" w:rsidRPr="000E2B31">
        <w:rPr>
          <w:rFonts w:ascii="Times New Roman" w:hAnsi="Times New Roman" w:cs="Times New Roman"/>
          <w:i/>
          <w:iCs/>
          <w:sz w:val="28"/>
          <w:szCs w:val="28"/>
          <w:lang w:val="en-US"/>
        </w:rPr>
        <w:t>Steenkamp NO v Provincial Tender Board, Eastern Cape</w:t>
      </w:r>
      <w:r w:rsidR="00681EF9">
        <w:rPr>
          <w:rStyle w:val="FootnoteReference"/>
          <w:rFonts w:ascii="Times New Roman" w:hAnsi="Times New Roman" w:cs="Times New Roman"/>
          <w:sz w:val="28"/>
          <w:szCs w:val="28"/>
          <w:lang w:val="en-US"/>
        </w:rPr>
        <w:footnoteReference w:id="46"/>
      </w:r>
      <w:r w:rsidR="00681EF9" w:rsidRPr="000E2B31">
        <w:rPr>
          <w:rFonts w:ascii="Times New Roman" w:hAnsi="Times New Roman" w:cs="Times New Roman"/>
          <w:sz w:val="28"/>
          <w:szCs w:val="28"/>
          <w:lang w:val="en-US"/>
        </w:rPr>
        <w:t xml:space="preserve"> </w:t>
      </w:r>
      <w:r w:rsidR="00963213" w:rsidRPr="000E2B31">
        <w:rPr>
          <w:rFonts w:ascii="Times New Roman" w:hAnsi="Times New Roman" w:cs="Times New Roman"/>
          <w:sz w:val="28"/>
          <w:szCs w:val="28"/>
          <w:lang w:val="en-US"/>
        </w:rPr>
        <w:t xml:space="preserve">the Constitutional Court observed that the </w:t>
      </w:r>
      <w:r w:rsidR="00963213" w:rsidRPr="000E2B31">
        <w:rPr>
          <w:rFonts w:ascii="Times New Roman" w:hAnsi="Times New Roman" w:cs="Times New Roman"/>
          <w:i/>
          <w:iCs/>
          <w:sz w:val="28"/>
          <w:szCs w:val="28"/>
          <w:lang w:val="en-US"/>
        </w:rPr>
        <w:t>“remedy must be fair to those affected by it and yet vindicate effectively the right violated. It must be just and equitable in the light of the facts, the implicated constitutional principles, if any, and the controlling law</w:t>
      </w:r>
      <w:r w:rsidR="009C07EA" w:rsidRPr="000E2B31">
        <w:rPr>
          <w:rFonts w:ascii="Times New Roman" w:hAnsi="Times New Roman" w:cs="Times New Roman"/>
          <w:i/>
          <w:iCs/>
          <w:sz w:val="28"/>
          <w:szCs w:val="28"/>
          <w:lang w:val="en-US"/>
        </w:rPr>
        <w:t>….</w:t>
      </w:r>
      <w:r w:rsidR="00963213" w:rsidRPr="000E2B31">
        <w:rPr>
          <w:rFonts w:ascii="Times New Roman" w:hAnsi="Times New Roman" w:cs="Times New Roman"/>
          <w:i/>
          <w:iCs/>
          <w:sz w:val="28"/>
          <w:szCs w:val="28"/>
          <w:lang w:val="en-US"/>
        </w:rPr>
        <w:t>Ultimately the purpose of a public remedy is to afford the prejudiced party administrative justice, to advance efficient and effective public administration compelled by constitutional precepts and at a broader level, to entrench the rule of law.”</w:t>
      </w:r>
    </w:p>
    <w:p w14:paraId="143B8F05" w14:textId="77777777" w:rsidR="00E93D38" w:rsidRPr="00963213" w:rsidRDefault="00E93D38" w:rsidP="00E93D38">
      <w:pPr>
        <w:pStyle w:val="ListParagraph"/>
        <w:tabs>
          <w:tab w:val="left" w:pos="709"/>
        </w:tabs>
        <w:spacing w:before="0" w:beforeAutospacing="0"/>
        <w:ind w:left="0"/>
        <w:jc w:val="both"/>
        <w:rPr>
          <w:rFonts w:ascii="Times New Roman" w:hAnsi="Times New Roman" w:cs="Times New Roman"/>
          <w:sz w:val="28"/>
          <w:szCs w:val="28"/>
          <w:lang w:val="en-US"/>
        </w:rPr>
      </w:pPr>
    </w:p>
    <w:p w14:paraId="7CEF1050" w14:textId="1FEF34C6" w:rsidR="004E1908" w:rsidRPr="000E2B31" w:rsidRDefault="000E2B31" w:rsidP="000E2B31">
      <w:pPr>
        <w:tabs>
          <w:tab w:val="left" w:pos="709"/>
        </w:tabs>
        <w:spacing w:before="0" w:beforeAutospacing="0"/>
        <w:jc w:val="both"/>
        <w:rPr>
          <w:rFonts w:ascii="Times New Roman" w:hAnsi="Times New Roman" w:cs="Times New Roman"/>
          <w:sz w:val="28"/>
          <w:szCs w:val="28"/>
          <w:lang w:val="en-US"/>
        </w:rPr>
      </w:pPr>
      <w:r w:rsidRPr="004E1908">
        <w:rPr>
          <w:rFonts w:ascii="Times New Roman" w:hAnsi="Times New Roman" w:cs="Times New Roman"/>
          <w:sz w:val="28"/>
          <w:szCs w:val="28"/>
          <w:lang w:val="en-US"/>
        </w:rPr>
        <w:t>[103]</w:t>
      </w:r>
      <w:r w:rsidRPr="004E1908">
        <w:rPr>
          <w:rFonts w:ascii="Times New Roman" w:hAnsi="Times New Roman" w:cs="Times New Roman"/>
          <w:sz w:val="28"/>
          <w:szCs w:val="28"/>
          <w:lang w:val="en-US"/>
        </w:rPr>
        <w:tab/>
      </w:r>
      <w:r w:rsidR="00963213" w:rsidRPr="000E2B31">
        <w:rPr>
          <w:rFonts w:ascii="Times New Roman" w:hAnsi="Times New Roman" w:cs="Times New Roman"/>
          <w:sz w:val="28"/>
          <w:szCs w:val="28"/>
          <w:lang w:val="en-US"/>
        </w:rPr>
        <w:t xml:space="preserve">In this instance the first respondent was the only party affected by the impugned administrative action of allowing the second and third respondent’s to have passed into the evaluation phase. </w:t>
      </w:r>
      <w:r w:rsidR="00A97D93" w:rsidRPr="000E2B31">
        <w:rPr>
          <w:rFonts w:ascii="Times New Roman" w:hAnsi="Times New Roman" w:cs="Times New Roman"/>
          <w:sz w:val="28"/>
          <w:szCs w:val="28"/>
          <w:lang w:val="en-US"/>
        </w:rPr>
        <w:t xml:space="preserve"> That was the injury primarily relied upon in the first respondent’s supplemented case.</w:t>
      </w:r>
      <w:r w:rsidR="001973EA">
        <w:rPr>
          <w:rStyle w:val="FootnoteReference"/>
          <w:rFonts w:ascii="Times New Roman" w:hAnsi="Times New Roman" w:cs="Times New Roman"/>
          <w:sz w:val="28"/>
          <w:szCs w:val="28"/>
          <w:lang w:val="en-US"/>
        </w:rPr>
        <w:footnoteReference w:id="47"/>
      </w:r>
      <w:r w:rsidR="00963213" w:rsidRPr="000E2B31">
        <w:rPr>
          <w:rFonts w:ascii="Times New Roman" w:hAnsi="Times New Roman" w:cs="Times New Roman"/>
          <w:sz w:val="28"/>
          <w:szCs w:val="28"/>
          <w:lang w:val="en-US"/>
        </w:rPr>
        <w:t xml:space="preserve"> For the rest, the </w:t>
      </w:r>
      <w:r w:rsidR="00392EA3" w:rsidRPr="000E2B31">
        <w:rPr>
          <w:rFonts w:ascii="Times New Roman" w:hAnsi="Times New Roman" w:cs="Times New Roman"/>
          <w:sz w:val="28"/>
          <w:szCs w:val="28"/>
          <w:lang w:val="en-US"/>
        </w:rPr>
        <w:t>Department acted correctly in disqualifying the other tenderers who similarly failed to meet the mandatory conditions of the tender. The remedy imposed by the court below put everyone on an equal footing which is in my view the correct premise against which to rerun the tender process.</w:t>
      </w:r>
      <w:r w:rsidR="00392EA3">
        <w:rPr>
          <w:rStyle w:val="FootnoteReference"/>
          <w:rFonts w:ascii="Times New Roman" w:hAnsi="Times New Roman" w:cs="Times New Roman"/>
          <w:sz w:val="28"/>
          <w:szCs w:val="28"/>
          <w:lang w:val="en-US"/>
        </w:rPr>
        <w:footnoteReference w:id="48"/>
      </w:r>
      <w:r w:rsidR="00A53642" w:rsidRPr="000E2B31">
        <w:rPr>
          <w:rFonts w:ascii="Times New Roman" w:hAnsi="Times New Roman" w:cs="Times New Roman"/>
          <w:sz w:val="28"/>
          <w:szCs w:val="28"/>
          <w:lang w:val="en-US"/>
        </w:rPr>
        <w:t xml:space="preserve">  To require the process to commence anew (if the Department feels up to it)</w:t>
      </w:r>
      <w:r w:rsidR="00A53642">
        <w:rPr>
          <w:rStyle w:val="FootnoteReference"/>
          <w:rFonts w:ascii="Times New Roman" w:hAnsi="Times New Roman" w:cs="Times New Roman"/>
          <w:sz w:val="28"/>
          <w:szCs w:val="28"/>
          <w:lang w:val="en-US"/>
        </w:rPr>
        <w:footnoteReference w:id="49"/>
      </w:r>
      <w:r w:rsidR="00A53642" w:rsidRPr="000E2B31">
        <w:rPr>
          <w:rFonts w:ascii="Times New Roman" w:hAnsi="Times New Roman" w:cs="Times New Roman"/>
          <w:sz w:val="28"/>
          <w:szCs w:val="28"/>
          <w:lang w:val="en-US"/>
        </w:rPr>
        <w:t xml:space="preserve"> would conversely be prejudicial to the first respondent who ought to </w:t>
      </w:r>
      <w:r w:rsidR="0098694F" w:rsidRPr="000E2B31">
        <w:rPr>
          <w:rFonts w:ascii="Times New Roman" w:hAnsi="Times New Roman" w:cs="Times New Roman"/>
          <w:sz w:val="28"/>
          <w:szCs w:val="28"/>
          <w:lang w:val="en-US"/>
        </w:rPr>
        <w:t xml:space="preserve">have </w:t>
      </w:r>
      <w:r w:rsidR="00A53642" w:rsidRPr="000E2B31">
        <w:rPr>
          <w:rFonts w:ascii="Times New Roman" w:hAnsi="Times New Roman" w:cs="Times New Roman"/>
          <w:sz w:val="28"/>
          <w:szCs w:val="28"/>
          <w:lang w:val="en-US"/>
        </w:rPr>
        <w:t>be</w:t>
      </w:r>
      <w:r w:rsidR="0098694F" w:rsidRPr="000E2B31">
        <w:rPr>
          <w:rFonts w:ascii="Times New Roman" w:hAnsi="Times New Roman" w:cs="Times New Roman"/>
          <w:sz w:val="28"/>
          <w:szCs w:val="28"/>
          <w:lang w:val="en-US"/>
        </w:rPr>
        <w:t>en</w:t>
      </w:r>
      <w:r w:rsidR="00A53642" w:rsidRPr="000E2B31">
        <w:rPr>
          <w:rFonts w:ascii="Times New Roman" w:hAnsi="Times New Roman" w:cs="Times New Roman"/>
          <w:sz w:val="28"/>
          <w:szCs w:val="28"/>
          <w:lang w:val="en-US"/>
        </w:rPr>
        <w:t xml:space="preserve"> reckoned </w:t>
      </w:r>
      <w:r w:rsidR="00A97D93" w:rsidRPr="000E2B31">
        <w:rPr>
          <w:rFonts w:ascii="Times New Roman" w:hAnsi="Times New Roman" w:cs="Times New Roman"/>
          <w:sz w:val="28"/>
          <w:szCs w:val="28"/>
          <w:lang w:val="en-US"/>
        </w:rPr>
        <w:t xml:space="preserve">with </w:t>
      </w:r>
      <w:r w:rsidR="00A53642" w:rsidRPr="000E2B31">
        <w:rPr>
          <w:rFonts w:ascii="Times New Roman" w:hAnsi="Times New Roman" w:cs="Times New Roman"/>
          <w:sz w:val="28"/>
          <w:szCs w:val="28"/>
          <w:lang w:val="en-US"/>
        </w:rPr>
        <w:t>as the only responsive bidder in the final evaluation stage</w:t>
      </w:r>
      <w:r w:rsidR="004E1908" w:rsidRPr="000E2B31">
        <w:rPr>
          <w:rFonts w:ascii="Times New Roman" w:hAnsi="Times New Roman" w:cs="Times New Roman"/>
          <w:sz w:val="28"/>
          <w:szCs w:val="28"/>
          <w:lang w:val="en-US"/>
        </w:rPr>
        <w:t xml:space="preserve"> with no competition from the second and third respondents who </w:t>
      </w:r>
      <w:r w:rsidR="004E1908" w:rsidRPr="000E2B31">
        <w:rPr>
          <w:rFonts w:ascii="Times New Roman" w:hAnsi="Times New Roman" w:cs="Times New Roman"/>
          <w:sz w:val="28"/>
          <w:szCs w:val="28"/>
          <w:lang w:val="en-US"/>
        </w:rPr>
        <w:lastRenderedPageBreak/>
        <w:t>were treated differentially and in breach of its right to fair and just administrative action.</w:t>
      </w:r>
    </w:p>
    <w:p w14:paraId="7114B17C" w14:textId="77777777" w:rsidR="004030EB" w:rsidRPr="004030EB" w:rsidRDefault="004030EB" w:rsidP="004030EB">
      <w:pPr>
        <w:pStyle w:val="ListParagraph"/>
        <w:rPr>
          <w:rFonts w:ascii="Times New Roman" w:hAnsi="Times New Roman" w:cs="Times New Roman"/>
          <w:sz w:val="28"/>
          <w:szCs w:val="28"/>
          <w:lang w:val="en-US"/>
        </w:rPr>
      </w:pPr>
    </w:p>
    <w:p w14:paraId="757D327E" w14:textId="3B2B9721" w:rsidR="004030EB" w:rsidRPr="000E2B31" w:rsidRDefault="000E2B31" w:rsidP="000E2B31">
      <w:pPr>
        <w:tabs>
          <w:tab w:val="left" w:pos="709"/>
        </w:tabs>
        <w:spacing w:before="0" w:beforeAutospacing="0"/>
        <w:jc w:val="both"/>
        <w:rPr>
          <w:rFonts w:ascii="Times New Roman" w:hAnsi="Times New Roman" w:cs="Times New Roman"/>
          <w:sz w:val="28"/>
          <w:szCs w:val="28"/>
          <w:lang w:val="en-US"/>
        </w:rPr>
      </w:pPr>
      <w:r w:rsidRPr="004030EB">
        <w:rPr>
          <w:rFonts w:ascii="Times New Roman" w:hAnsi="Times New Roman" w:cs="Times New Roman"/>
          <w:sz w:val="28"/>
          <w:szCs w:val="28"/>
          <w:lang w:val="en-US"/>
        </w:rPr>
        <w:t>[104]</w:t>
      </w:r>
      <w:r w:rsidRPr="004030EB">
        <w:rPr>
          <w:rFonts w:ascii="Times New Roman" w:hAnsi="Times New Roman" w:cs="Times New Roman"/>
          <w:sz w:val="28"/>
          <w:szCs w:val="28"/>
          <w:lang w:val="en-US"/>
        </w:rPr>
        <w:tab/>
      </w:r>
      <w:r w:rsidR="004030EB" w:rsidRPr="000E2B31">
        <w:rPr>
          <w:rFonts w:ascii="Times New Roman" w:hAnsi="Times New Roman" w:cs="Times New Roman"/>
          <w:sz w:val="28"/>
          <w:szCs w:val="28"/>
          <w:lang w:val="en-GB"/>
        </w:rPr>
        <w:t>The question whether the first respondent's bid was lawfully declared ineligible (in a 3 responsive bidders’ contest at the end) is an academic exercise. So to</w:t>
      </w:r>
      <w:r w:rsidR="00B33A03" w:rsidRPr="000E2B31">
        <w:rPr>
          <w:rFonts w:ascii="Times New Roman" w:hAnsi="Times New Roman" w:cs="Times New Roman"/>
          <w:sz w:val="28"/>
          <w:szCs w:val="28"/>
          <w:lang w:val="en-GB"/>
        </w:rPr>
        <w:t>o</w:t>
      </w:r>
      <w:r w:rsidR="000C60EA" w:rsidRPr="000E2B31">
        <w:rPr>
          <w:rFonts w:ascii="Times New Roman" w:hAnsi="Times New Roman" w:cs="Times New Roman"/>
          <w:sz w:val="28"/>
          <w:szCs w:val="28"/>
          <w:lang w:val="en-GB"/>
        </w:rPr>
        <w:t>,</w:t>
      </w:r>
      <w:r w:rsidR="004030EB" w:rsidRPr="000E2B31">
        <w:rPr>
          <w:rFonts w:ascii="Times New Roman" w:hAnsi="Times New Roman" w:cs="Times New Roman"/>
          <w:sz w:val="28"/>
          <w:szCs w:val="28"/>
          <w:lang w:val="en-GB"/>
        </w:rPr>
        <w:t xml:space="preserve"> the fact that objective criteria were purportedly applied to justify the exclusion of the first respondents bid in a theoretical situation where it should have been the sole standing responsive bidder does not serve any purpose.</w:t>
      </w:r>
      <w:r w:rsidR="00B33A03">
        <w:rPr>
          <w:rStyle w:val="FootnoteReference"/>
          <w:rFonts w:ascii="Times New Roman" w:hAnsi="Times New Roman" w:cs="Times New Roman"/>
          <w:sz w:val="28"/>
          <w:szCs w:val="28"/>
          <w:lang w:val="en-GB"/>
        </w:rPr>
        <w:footnoteReference w:id="50"/>
      </w:r>
    </w:p>
    <w:p w14:paraId="5F06FDE3" w14:textId="77777777" w:rsidR="004030EB" w:rsidRPr="004030EB" w:rsidRDefault="004030EB" w:rsidP="004030EB">
      <w:pPr>
        <w:pStyle w:val="ListParagraph"/>
        <w:rPr>
          <w:rFonts w:ascii="Times New Roman" w:hAnsi="Times New Roman" w:cs="Times New Roman"/>
          <w:sz w:val="28"/>
          <w:szCs w:val="28"/>
          <w:lang w:val="en-GB"/>
        </w:rPr>
      </w:pPr>
    </w:p>
    <w:p w14:paraId="7D24014A" w14:textId="4BD4E212" w:rsidR="00842E63" w:rsidRPr="000E2B31" w:rsidRDefault="000E2B31" w:rsidP="000E2B31">
      <w:pPr>
        <w:tabs>
          <w:tab w:val="left" w:pos="709"/>
        </w:tabs>
        <w:spacing w:before="0" w:beforeAutospacing="0"/>
        <w:jc w:val="both"/>
        <w:rPr>
          <w:rFonts w:ascii="Times New Roman" w:hAnsi="Times New Roman" w:cs="Times New Roman"/>
          <w:sz w:val="28"/>
          <w:szCs w:val="28"/>
          <w:lang w:val="en-US"/>
        </w:rPr>
      </w:pPr>
      <w:r w:rsidRPr="00842E63">
        <w:rPr>
          <w:rFonts w:ascii="Times New Roman" w:hAnsi="Times New Roman" w:cs="Times New Roman"/>
          <w:sz w:val="28"/>
          <w:szCs w:val="28"/>
          <w:lang w:val="en-US"/>
        </w:rPr>
        <w:t>[105]</w:t>
      </w:r>
      <w:r w:rsidRPr="00842E63">
        <w:rPr>
          <w:rFonts w:ascii="Times New Roman" w:hAnsi="Times New Roman" w:cs="Times New Roman"/>
          <w:sz w:val="28"/>
          <w:szCs w:val="28"/>
          <w:lang w:val="en-US"/>
        </w:rPr>
        <w:tab/>
      </w:r>
      <w:r w:rsidR="004030EB" w:rsidRPr="000E2B31">
        <w:rPr>
          <w:rFonts w:ascii="Times New Roman" w:hAnsi="Times New Roman" w:cs="Times New Roman"/>
          <w:sz w:val="28"/>
          <w:szCs w:val="28"/>
          <w:lang w:val="en-GB"/>
        </w:rPr>
        <w:t>Concerning the application of the risk assessment, how the court below perceived it and dealt with it</w:t>
      </w:r>
      <w:r w:rsidR="000C60EA" w:rsidRPr="000E2B31">
        <w:rPr>
          <w:rFonts w:ascii="Times New Roman" w:hAnsi="Times New Roman" w:cs="Times New Roman"/>
          <w:sz w:val="28"/>
          <w:szCs w:val="28"/>
          <w:lang w:val="en-GB"/>
        </w:rPr>
        <w:t xml:space="preserve"> and </w:t>
      </w:r>
      <w:r w:rsidR="004030EB" w:rsidRPr="000E2B31">
        <w:rPr>
          <w:rFonts w:ascii="Times New Roman" w:hAnsi="Times New Roman" w:cs="Times New Roman"/>
          <w:sz w:val="28"/>
          <w:szCs w:val="28"/>
          <w:lang w:val="en-GB"/>
        </w:rPr>
        <w:t xml:space="preserve">whether it in effect excised clause C </w:t>
      </w:r>
      <w:r w:rsidR="008F5F7C" w:rsidRPr="000E2B31">
        <w:rPr>
          <w:rFonts w:ascii="Times New Roman" w:hAnsi="Times New Roman" w:cs="Times New Roman"/>
          <w:sz w:val="28"/>
          <w:szCs w:val="28"/>
          <w:lang w:val="en-GB"/>
        </w:rPr>
        <w:t>in reckoning with</w:t>
      </w:r>
      <w:r w:rsidR="004030EB" w:rsidRPr="000E2B31">
        <w:rPr>
          <w:rFonts w:ascii="Times New Roman" w:hAnsi="Times New Roman" w:cs="Times New Roman"/>
          <w:sz w:val="28"/>
          <w:szCs w:val="28"/>
          <w:lang w:val="en-GB"/>
        </w:rPr>
        <w:t xml:space="preserve"> its </w:t>
      </w:r>
      <w:r w:rsidR="00842E63" w:rsidRPr="000E2B31">
        <w:rPr>
          <w:rFonts w:ascii="Times New Roman" w:hAnsi="Times New Roman" w:cs="Times New Roman"/>
          <w:sz w:val="28"/>
          <w:szCs w:val="28"/>
          <w:lang w:val="en-GB"/>
        </w:rPr>
        <w:t xml:space="preserve">expected </w:t>
      </w:r>
      <w:r w:rsidR="004030EB" w:rsidRPr="000E2B31">
        <w:rPr>
          <w:rFonts w:ascii="Times New Roman" w:hAnsi="Times New Roman" w:cs="Times New Roman"/>
          <w:sz w:val="28"/>
          <w:szCs w:val="28"/>
          <w:lang w:val="en-GB"/>
        </w:rPr>
        <w:t>application</w:t>
      </w:r>
      <w:r w:rsidR="00842E63" w:rsidRPr="000E2B31">
        <w:rPr>
          <w:rFonts w:ascii="Times New Roman" w:hAnsi="Times New Roman" w:cs="Times New Roman"/>
          <w:sz w:val="28"/>
          <w:szCs w:val="28"/>
          <w:lang w:val="en-GB"/>
        </w:rPr>
        <w:t>,</w:t>
      </w:r>
      <w:r w:rsidR="000C60EA" w:rsidRPr="000E2B31">
        <w:rPr>
          <w:rFonts w:ascii="Times New Roman" w:hAnsi="Times New Roman" w:cs="Times New Roman"/>
          <w:sz w:val="28"/>
          <w:szCs w:val="28"/>
          <w:lang w:val="en-GB"/>
        </w:rPr>
        <w:t xml:space="preserve"> </w:t>
      </w:r>
      <w:r w:rsidR="004030EB" w:rsidRPr="000E2B31">
        <w:rPr>
          <w:rFonts w:ascii="Times New Roman" w:hAnsi="Times New Roman" w:cs="Times New Roman"/>
          <w:sz w:val="28"/>
          <w:szCs w:val="28"/>
          <w:lang w:val="en-GB"/>
        </w:rPr>
        <w:t xml:space="preserve">is similarly in my view a hypothetical exercise. </w:t>
      </w:r>
      <w:r w:rsidR="00842E63" w:rsidRPr="000E2B31">
        <w:rPr>
          <w:rFonts w:ascii="Times New Roman" w:hAnsi="Times New Roman" w:cs="Times New Roman"/>
          <w:sz w:val="28"/>
          <w:szCs w:val="28"/>
          <w:lang w:val="en-GB"/>
        </w:rPr>
        <w:t>Indeed,</w:t>
      </w:r>
      <w:r w:rsidR="004030EB" w:rsidRPr="000E2B31">
        <w:rPr>
          <w:rFonts w:ascii="Times New Roman" w:hAnsi="Times New Roman" w:cs="Times New Roman"/>
          <w:sz w:val="28"/>
          <w:szCs w:val="28"/>
          <w:lang w:val="en-GB"/>
        </w:rPr>
        <w:t xml:space="preserve"> most of the grounds of appeal based on its significance are framed as challenges concerning what the court did not find</w:t>
      </w:r>
      <w:r w:rsidR="003C1DDC" w:rsidRPr="000E2B31">
        <w:rPr>
          <w:rFonts w:ascii="Times New Roman" w:hAnsi="Times New Roman" w:cs="Times New Roman"/>
          <w:sz w:val="28"/>
          <w:szCs w:val="28"/>
          <w:lang w:val="en-GB"/>
        </w:rPr>
        <w:t>,</w:t>
      </w:r>
      <w:r w:rsidR="004030EB" w:rsidRPr="000E2B31">
        <w:rPr>
          <w:rFonts w:ascii="Times New Roman" w:hAnsi="Times New Roman" w:cs="Times New Roman"/>
          <w:sz w:val="28"/>
          <w:szCs w:val="28"/>
          <w:lang w:val="en-GB"/>
        </w:rPr>
        <w:t xml:space="preserve"> </w:t>
      </w:r>
      <w:r w:rsidR="003C1DDC" w:rsidRPr="000E2B31">
        <w:rPr>
          <w:rFonts w:ascii="Times New Roman" w:hAnsi="Times New Roman" w:cs="Times New Roman"/>
          <w:sz w:val="28"/>
          <w:szCs w:val="28"/>
          <w:lang w:val="en-GB"/>
        </w:rPr>
        <w:t>alternatively</w:t>
      </w:r>
      <w:r w:rsidR="004030EB" w:rsidRPr="000E2B31">
        <w:rPr>
          <w:rFonts w:ascii="Times New Roman" w:hAnsi="Times New Roman" w:cs="Times New Roman"/>
          <w:sz w:val="28"/>
          <w:szCs w:val="28"/>
          <w:lang w:val="en-GB"/>
        </w:rPr>
        <w:t xml:space="preserve"> </w:t>
      </w:r>
      <w:r w:rsidR="00842E63" w:rsidRPr="000E2B31">
        <w:rPr>
          <w:rFonts w:ascii="Times New Roman" w:hAnsi="Times New Roman" w:cs="Times New Roman"/>
          <w:sz w:val="28"/>
          <w:szCs w:val="28"/>
          <w:lang w:val="en-GB"/>
        </w:rPr>
        <w:t xml:space="preserve">are based on </w:t>
      </w:r>
      <w:r w:rsidR="004030EB" w:rsidRPr="000E2B31">
        <w:rPr>
          <w:rFonts w:ascii="Times New Roman" w:hAnsi="Times New Roman" w:cs="Times New Roman"/>
          <w:sz w:val="28"/>
          <w:szCs w:val="28"/>
          <w:lang w:val="en-GB"/>
        </w:rPr>
        <w:t>imagine</w:t>
      </w:r>
      <w:r w:rsidR="00842E63" w:rsidRPr="000E2B31">
        <w:rPr>
          <w:rFonts w:ascii="Times New Roman" w:hAnsi="Times New Roman" w:cs="Times New Roman"/>
          <w:sz w:val="28"/>
          <w:szCs w:val="28"/>
          <w:lang w:val="en-GB"/>
        </w:rPr>
        <w:t>d</w:t>
      </w:r>
      <w:r w:rsidR="004030EB" w:rsidRPr="000E2B31">
        <w:rPr>
          <w:rFonts w:ascii="Times New Roman" w:hAnsi="Times New Roman" w:cs="Times New Roman"/>
          <w:sz w:val="28"/>
          <w:szCs w:val="28"/>
          <w:lang w:val="en-GB"/>
        </w:rPr>
        <w:t xml:space="preserve"> conclusions</w:t>
      </w:r>
      <w:r w:rsidR="00842E63" w:rsidRPr="000E2B31">
        <w:rPr>
          <w:rFonts w:ascii="Times New Roman" w:hAnsi="Times New Roman" w:cs="Times New Roman"/>
          <w:sz w:val="28"/>
          <w:szCs w:val="28"/>
          <w:lang w:val="en-GB"/>
        </w:rPr>
        <w:t>,</w:t>
      </w:r>
      <w:r w:rsidR="004030EB" w:rsidRPr="000E2B31">
        <w:rPr>
          <w:rFonts w:ascii="Times New Roman" w:hAnsi="Times New Roman" w:cs="Times New Roman"/>
          <w:sz w:val="28"/>
          <w:szCs w:val="28"/>
          <w:lang w:val="en-GB"/>
        </w:rPr>
        <w:t xml:space="preserve"> given the </w:t>
      </w:r>
      <w:r w:rsidR="00E16E2B" w:rsidRPr="000E2B31">
        <w:rPr>
          <w:rFonts w:ascii="Times New Roman" w:hAnsi="Times New Roman" w:cs="Times New Roman"/>
          <w:sz w:val="28"/>
          <w:szCs w:val="28"/>
          <w:lang w:val="en-GB"/>
        </w:rPr>
        <w:t>unclear</w:t>
      </w:r>
      <w:r w:rsidR="004030EB" w:rsidRPr="000E2B31">
        <w:rPr>
          <w:rFonts w:ascii="Times New Roman" w:hAnsi="Times New Roman" w:cs="Times New Roman"/>
          <w:sz w:val="28"/>
          <w:szCs w:val="28"/>
          <w:lang w:val="en-GB"/>
        </w:rPr>
        <w:t xml:space="preserve"> judgement. The ground </w:t>
      </w:r>
      <w:r w:rsidR="00842E63" w:rsidRPr="000E2B31">
        <w:rPr>
          <w:rFonts w:ascii="Times New Roman" w:hAnsi="Times New Roman" w:cs="Times New Roman"/>
          <w:sz w:val="28"/>
          <w:szCs w:val="28"/>
          <w:lang w:val="en-GB"/>
        </w:rPr>
        <w:t xml:space="preserve">of appeal </w:t>
      </w:r>
      <w:r w:rsidR="004030EB" w:rsidRPr="000E2B31">
        <w:rPr>
          <w:rFonts w:ascii="Times New Roman" w:hAnsi="Times New Roman" w:cs="Times New Roman"/>
          <w:sz w:val="28"/>
          <w:szCs w:val="28"/>
          <w:lang w:val="en-GB"/>
        </w:rPr>
        <w:t xml:space="preserve">premised </w:t>
      </w:r>
      <w:r w:rsidR="00842E63" w:rsidRPr="000E2B31">
        <w:rPr>
          <w:rFonts w:ascii="Times New Roman" w:hAnsi="Times New Roman" w:cs="Times New Roman"/>
          <w:sz w:val="28"/>
          <w:szCs w:val="28"/>
          <w:lang w:val="en-GB"/>
        </w:rPr>
        <w:t xml:space="preserve">in this respect </w:t>
      </w:r>
      <w:r w:rsidR="004030EB" w:rsidRPr="000E2B31">
        <w:rPr>
          <w:rFonts w:ascii="Times New Roman" w:hAnsi="Times New Roman" w:cs="Times New Roman"/>
          <w:sz w:val="28"/>
          <w:szCs w:val="28"/>
          <w:lang w:val="en-GB"/>
        </w:rPr>
        <w:t xml:space="preserve">on the </w:t>
      </w:r>
      <w:r w:rsidR="003C1DDC" w:rsidRPr="000E2B31">
        <w:rPr>
          <w:rFonts w:ascii="Times New Roman" w:hAnsi="Times New Roman" w:cs="Times New Roman"/>
          <w:sz w:val="28"/>
          <w:szCs w:val="28"/>
          <w:lang w:val="en-GB"/>
        </w:rPr>
        <w:t xml:space="preserve">supposed </w:t>
      </w:r>
      <w:r w:rsidR="000C60EA" w:rsidRPr="000E2B31">
        <w:rPr>
          <w:rFonts w:ascii="Times New Roman" w:hAnsi="Times New Roman" w:cs="Times New Roman"/>
          <w:sz w:val="28"/>
          <w:szCs w:val="28"/>
          <w:lang w:val="en-GB"/>
        </w:rPr>
        <w:t>basis</w:t>
      </w:r>
      <w:r w:rsidR="004030EB" w:rsidRPr="000E2B31">
        <w:rPr>
          <w:rFonts w:ascii="Times New Roman" w:hAnsi="Times New Roman" w:cs="Times New Roman"/>
          <w:sz w:val="28"/>
          <w:szCs w:val="28"/>
          <w:lang w:val="en-GB"/>
        </w:rPr>
        <w:t xml:space="preserve"> that the court </w:t>
      </w:r>
      <w:r w:rsidR="004030EB" w:rsidRPr="000E2B31">
        <w:rPr>
          <w:rFonts w:ascii="Times New Roman" w:hAnsi="Times New Roman" w:cs="Times New Roman"/>
          <w:i/>
          <w:iCs/>
          <w:sz w:val="28"/>
          <w:szCs w:val="28"/>
          <w:lang w:val="en-GB"/>
        </w:rPr>
        <w:t>found</w:t>
      </w:r>
      <w:r w:rsidR="004030EB" w:rsidRPr="000E2B31">
        <w:rPr>
          <w:rFonts w:ascii="Times New Roman" w:hAnsi="Times New Roman" w:cs="Times New Roman"/>
          <w:sz w:val="28"/>
          <w:szCs w:val="28"/>
          <w:lang w:val="en-GB"/>
        </w:rPr>
        <w:t xml:space="preserve"> that the risk assessment was irregular is not worth pursuing, since it is not clear how that conclusion was reached, but as stated above it has become </w:t>
      </w:r>
      <w:r w:rsidR="00842E63" w:rsidRPr="000E2B31">
        <w:rPr>
          <w:rFonts w:ascii="Times New Roman" w:hAnsi="Times New Roman" w:cs="Times New Roman"/>
          <w:sz w:val="28"/>
          <w:szCs w:val="28"/>
          <w:lang w:val="en-GB"/>
        </w:rPr>
        <w:t xml:space="preserve">a </w:t>
      </w:r>
      <w:r w:rsidR="004030EB" w:rsidRPr="000E2B31">
        <w:rPr>
          <w:rFonts w:ascii="Times New Roman" w:hAnsi="Times New Roman" w:cs="Times New Roman"/>
          <w:sz w:val="28"/>
          <w:szCs w:val="28"/>
          <w:lang w:val="en-GB"/>
        </w:rPr>
        <w:t>moot</w:t>
      </w:r>
      <w:r w:rsidR="00842E63" w:rsidRPr="000E2B31">
        <w:rPr>
          <w:rFonts w:ascii="Times New Roman" w:hAnsi="Times New Roman" w:cs="Times New Roman"/>
          <w:sz w:val="28"/>
          <w:szCs w:val="28"/>
          <w:lang w:val="en-GB"/>
        </w:rPr>
        <w:t xml:space="preserve"> exercise</w:t>
      </w:r>
      <w:r w:rsidR="004030EB" w:rsidRPr="000E2B31">
        <w:rPr>
          <w:rFonts w:ascii="Times New Roman" w:hAnsi="Times New Roman" w:cs="Times New Roman"/>
          <w:sz w:val="28"/>
          <w:szCs w:val="28"/>
          <w:lang w:val="en-GB"/>
        </w:rPr>
        <w:t xml:space="preserve">. The parties at least appear to be in agreement that the </w:t>
      </w:r>
      <w:r w:rsidR="00842E63" w:rsidRPr="000E2B31">
        <w:rPr>
          <w:rFonts w:ascii="Times New Roman" w:hAnsi="Times New Roman" w:cs="Times New Roman"/>
          <w:sz w:val="28"/>
          <w:szCs w:val="28"/>
          <w:lang w:val="en-GB"/>
        </w:rPr>
        <w:t>court’s</w:t>
      </w:r>
      <w:r w:rsidR="004030EB" w:rsidRPr="000E2B31">
        <w:rPr>
          <w:rFonts w:ascii="Times New Roman" w:hAnsi="Times New Roman" w:cs="Times New Roman"/>
          <w:sz w:val="28"/>
          <w:szCs w:val="28"/>
          <w:lang w:val="en-GB"/>
        </w:rPr>
        <w:t xml:space="preserve"> factual finding that the first respondent was </w:t>
      </w:r>
      <w:r w:rsidR="00842E63" w:rsidRPr="000E2B31">
        <w:rPr>
          <w:rFonts w:ascii="Times New Roman" w:hAnsi="Times New Roman" w:cs="Times New Roman"/>
          <w:sz w:val="28"/>
          <w:szCs w:val="28"/>
          <w:lang w:val="en-GB"/>
        </w:rPr>
        <w:t>dis</w:t>
      </w:r>
      <w:r w:rsidR="004030EB" w:rsidRPr="000E2B31">
        <w:rPr>
          <w:rFonts w:ascii="Times New Roman" w:hAnsi="Times New Roman" w:cs="Times New Roman"/>
          <w:sz w:val="28"/>
          <w:szCs w:val="28"/>
          <w:lang w:val="en-GB"/>
        </w:rPr>
        <w:t>qualified before being scored points for price and preference was wrong</w:t>
      </w:r>
      <w:r w:rsidR="00842E63" w:rsidRPr="000E2B31">
        <w:rPr>
          <w:rFonts w:ascii="Times New Roman" w:hAnsi="Times New Roman" w:cs="Times New Roman"/>
          <w:sz w:val="28"/>
          <w:szCs w:val="28"/>
          <w:lang w:val="en-GB"/>
        </w:rPr>
        <w:t xml:space="preserve">, </w:t>
      </w:r>
      <w:r w:rsidR="004030EB" w:rsidRPr="000E2B31">
        <w:rPr>
          <w:rFonts w:ascii="Times New Roman" w:hAnsi="Times New Roman" w:cs="Times New Roman"/>
          <w:sz w:val="28"/>
          <w:szCs w:val="28"/>
          <w:lang w:val="en-GB"/>
        </w:rPr>
        <w:t>but that</w:t>
      </w:r>
      <w:r w:rsidR="00842E63" w:rsidRPr="000E2B31">
        <w:rPr>
          <w:rFonts w:ascii="Times New Roman" w:hAnsi="Times New Roman" w:cs="Times New Roman"/>
          <w:sz w:val="28"/>
          <w:szCs w:val="28"/>
          <w:lang w:val="en-GB"/>
        </w:rPr>
        <w:t xml:space="preserve"> concession on its own</w:t>
      </w:r>
      <w:r w:rsidR="004030EB" w:rsidRPr="000E2B31">
        <w:rPr>
          <w:rFonts w:ascii="Times New Roman" w:hAnsi="Times New Roman" w:cs="Times New Roman"/>
          <w:sz w:val="28"/>
          <w:szCs w:val="28"/>
          <w:lang w:val="en-GB"/>
        </w:rPr>
        <w:t xml:space="preserve"> </w:t>
      </w:r>
      <w:r w:rsidR="003C1DDC" w:rsidRPr="000E2B31">
        <w:rPr>
          <w:rFonts w:ascii="Times New Roman" w:hAnsi="Times New Roman" w:cs="Times New Roman"/>
          <w:sz w:val="28"/>
          <w:szCs w:val="28"/>
          <w:lang w:val="en-GB"/>
        </w:rPr>
        <w:t xml:space="preserve">has no impact on the </w:t>
      </w:r>
      <w:r w:rsidR="000C60EA" w:rsidRPr="000E2B31">
        <w:rPr>
          <w:rFonts w:ascii="Times New Roman" w:hAnsi="Times New Roman" w:cs="Times New Roman"/>
          <w:sz w:val="28"/>
          <w:szCs w:val="28"/>
          <w:lang w:val="en-GB"/>
        </w:rPr>
        <w:t>matter</w:t>
      </w:r>
      <w:r w:rsidR="004030EB" w:rsidRPr="000E2B31">
        <w:rPr>
          <w:rFonts w:ascii="Times New Roman" w:hAnsi="Times New Roman" w:cs="Times New Roman"/>
          <w:sz w:val="28"/>
          <w:szCs w:val="28"/>
          <w:lang w:val="en-GB"/>
        </w:rPr>
        <w:t>.</w:t>
      </w:r>
    </w:p>
    <w:p w14:paraId="69526CAA" w14:textId="77777777" w:rsidR="00842E63" w:rsidRPr="00842E63" w:rsidRDefault="00842E63" w:rsidP="00842E63">
      <w:pPr>
        <w:pStyle w:val="ListParagraph"/>
        <w:rPr>
          <w:rFonts w:ascii="Times New Roman" w:hAnsi="Times New Roman" w:cs="Times New Roman"/>
          <w:sz w:val="28"/>
          <w:szCs w:val="28"/>
          <w:lang w:val="en-GB"/>
        </w:rPr>
      </w:pPr>
    </w:p>
    <w:p w14:paraId="5056C08C" w14:textId="084B60AE" w:rsidR="003F1EB6" w:rsidRPr="000E2B31" w:rsidRDefault="000E2B31" w:rsidP="000E2B31">
      <w:pPr>
        <w:tabs>
          <w:tab w:val="left" w:pos="709"/>
        </w:tabs>
        <w:spacing w:before="0" w:beforeAutospacing="0"/>
        <w:jc w:val="both"/>
        <w:rPr>
          <w:rFonts w:ascii="Times New Roman" w:hAnsi="Times New Roman" w:cs="Times New Roman"/>
          <w:sz w:val="28"/>
          <w:szCs w:val="28"/>
          <w:lang w:val="en-US"/>
        </w:rPr>
      </w:pPr>
      <w:r w:rsidRPr="00204B48">
        <w:rPr>
          <w:rFonts w:ascii="Times New Roman" w:hAnsi="Times New Roman" w:cs="Times New Roman"/>
          <w:sz w:val="28"/>
          <w:szCs w:val="28"/>
          <w:lang w:val="en-US"/>
        </w:rPr>
        <w:lastRenderedPageBreak/>
        <w:t>[106]</w:t>
      </w:r>
      <w:r w:rsidRPr="00204B48">
        <w:rPr>
          <w:rFonts w:ascii="Times New Roman" w:hAnsi="Times New Roman" w:cs="Times New Roman"/>
          <w:sz w:val="28"/>
          <w:szCs w:val="28"/>
          <w:lang w:val="en-US"/>
        </w:rPr>
        <w:tab/>
      </w:r>
      <w:r w:rsidR="004030EB" w:rsidRPr="000E2B31">
        <w:rPr>
          <w:rFonts w:ascii="Times New Roman" w:hAnsi="Times New Roman" w:cs="Times New Roman"/>
          <w:sz w:val="28"/>
          <w:szCs w:val="28"/>
          <w:lang w:val="en-GB"/>
        </w:rPr>
        <w:t>That notwithstanding</w:t>
      </w:r>
      <w:r w:rsidR="00842E63" w:rsidRPr="000E2B31">
        <w:rPr>
          <w:rFonts w:ascii="Times New Roman" w:hAnsi="Times New Roman" w:cs="Times New Roman"/>
          <w:sz w:val="28"/>
          <w:szCs w:val="28"/>
          <w:lang w:val="en-GB"/>
        </w:rPr>
        <w:t>,</w:t>
      </w:r>
      <w:r w:rsidR="004030EB" w:rsidRPr="000E2B31">
        <w:rPr>
          <w:rFonts w:ascii="Times New Roman" w:hAnsi="Times New Roman" w:cs="Times New Roman"/>
          <w:sz w:val="28"/>
          <w:szCs w:val="28"/>
          <w:lang w:val="en-GB"/>
        </w:rPr>
        <w:t xml:space="preserve"> it appears that something needs to be said about the anticipated risk assessment that must still ensue</w:t>
      </w:r>
      <w:r w:rsidR="00842E63" w:rsidRPr="000E2B31">
        <w:rPr>
          <w:rFonts w:ascii="Times New Roman" w:hAnsi="Times New Roman" w:cs="Times New Roman"/>
          <w:sz w:val="28"/>
          <w:szCs w:val="28"/>
          <w:lang w:val="en-GB"/>
        </w:rPr>
        <w:t xml:space="preserve"> in the reconsideration exercise.</w:t>
      </w:r>
    </w:p>
    <w:p w14:paraId="5A8A36EC" w14:textId="77777777" w:rsidR="003F1EB6" w:rsidRDefault="003F1EB6" w:rsidP="003907A3">
      <w:pPr>
        <w:pStyle w:val="ListParagraph"/>
        <w:rPr>
          <w:rFonts w:ascii="Times New Roman" w:hAnsi="Times New Roman" w:cs="Times New Roman"/>
          <w:sz w:val="28"/>
          <w:szCs w:val="28"/>
          <w:lang w:val="en-US"/>
        </w:rPr>
      </w:pPr>
    </w:p>
    <w:p w14:paraId="541C0EAC" w14:textId="77777777" w:rsidR="00AD0A92" w:rsidRDefault="00AD0A92" w:rsidP="003907A3">
      <w:pPr>
        <w:pStyle w:val="ListParagraph"/>
        <w:rPr>
          <w:rFonts w:ascii="Times New Roman" w:hAnsi="Times New Roman" w:cs="Times New Roman"/>
          <w:sz w:val="28"/>
          <w:szCs w:val="28"/>
          <w:lang w:val="en-US"/>
        </w:rPr>
      </w:pPr>
    </w:p>
    <w:p w14:paraId="664CBF2D" w14:textId="77777777" w:rsidR="00AD0A92" w:rsidRDefault="00AD0A92" w:rsidP="003907A3">
      <w:pPr>
        <w:pStyle w:val="ListParagraph"/>
        <w:rPr>
          <w:rFonts w:ascii="Times New Roman" w:hAnsi="Times New Roman" w:cs="Times New Roman"/>
          <w:sz w:val="28"/>
          <w:szCs w:val="28"/>
          <w:lang w:val="en-US"/>
        </w:rPr>
      </w:pPr>
    </w:p>
    <w:p w14:paraId="589F343C" w14:textId="77777777" w:rsidR="00AD0A92" w:rsidRPr="003907A3" w:rsidRDefault="00AD0A92" w:rsidP="003907A3">
      <w:pPr>
        <w:pStyle w:val="ListParagraph"/>
        <w:rPr>
          <w:rFonts w:ascii="Times New Roman" w:hAnsi="Times New Roman" w:cs="Times New Roman"/>
          <w:sz w:val="28"/>
          <w:szCs w:val="28"/>
          <w:lang w:val="en-US"/>
        </w:rPr>
      </w:pPr>
    </w:p>
    <w:p w14:paraId="1005B9CD" w14:textId="3D6C36F8" w:rsidR="003907A3" w:rsidRPr="003907A3" w:rsidRDefault="003907A3" w:rsidP="003907A3">
      <w:pPr>
        <w:pStyle w:val="ListParagraph"/>
        <w:tabs>
          <w:tab w:val="left" w:pos="709"/>
        </w:tabs>
        <w:spacing w:before="0" w:beforeAutospacing="0"/>
        <w:ind w:left="0"/>
        <w:jc w:val="both"/>
        <w:rPr>
          <w:rFonts w:ascii="Times New Roman" w:hAnsi="Times New Roman" w:cs="Times New Roman"/>
          <w:sz w:val="28"/>
          <w:szCs w:val="28"/>
          <w:u w:val="single"/>
          <w:lang w:val="en-US"/>
        </w:rPr>
      </w:pPr>
      <w:r w:rsidRPr="003907A3">
        <w:rPr>
          <w:rFonts w:ascii="Times New Roman" w:hAnsi="Times New Roman" w:cs="Times New Roman"/>
          <w:sz w:val="28"/>
          <w:szCs w:val="28"/>
          <w:u w:val="single"/>
          <w:lang w:val="en-US"/>
        </w:rPr>
        <w:t xml:space="preserve">The risk </w:t>
      </w:r>
      <w:r>
        <w:rPr>
          <w:rFonts w:ascii="Times New Roman" w:hAnsi="Times New Roman" w:cs="Times New Roman"/>
          <w:sz w:val="28"/>
          <w:szCs w:val="28"/>
          <w:u w:val="single"/>
          <w:lang w:val="en-US"/>
        </w:rPr>
        <w:t>assessment:</w:t>
      </w:r>
    </w:p>
    <w:p w14:paraId="7E9D55D6" w14:textId="77777777" w:rsidR="003907A3" w:rsidRPr="003907A3" w:rsidRDefault="003907A3" w:rsidP="003907A3">
      <w:pPr>
        <w:pStyle w:val="ListParagraph"/>
        <w:rPr>
          <w:rFonts w:ascii="Times New Roman" w:hAnsi="Times New Roman" w:cs="Times New Roman"/>
          <w:sz w:val="28"/>
          <w:szCs w:val="28"/>
          <w:lang w:val="en-US"/>
        </w:rPr>
      </w:pPr>
    </w:p>
    <w:p w14:paraId="0C0D345C" w14:textId="19DEE8F6" w:rsidR="003A7581" w:rsidRPr="000E2B31" w:rsidRDefault="000E2B31" w:rsidP="000E2B31">
      <w:pPr>
        <w:tabs>
          <w:tab w:val="left" w:pos="709"/>
        </w:tabs>
        <w:spacing w:before="0" w:beforeAutospacing="0"/>
        <w:jc w:val="both"/>
        <w:rPr>
          <w:rFonts w:ascii="Times New Roman" w:hAnsi="Times New Roman" w:cs="Times New Roman"/>
          <w:sz w:val="28"/>
          <w:szCs w:val="28"/>
          <w:lang w:val="en-US"/>
        </w:rPr>
      </w:pPr>
      <w:r w:rsidRPr="003A7581">
        <w:rPr>
          <w:rFonts w:ascii="Times New Roman" w:hAnsi="Times New Roman" w:cs="Times New Roman"/>
          <w:sz w:val="28"/>
          <w:szCs w:val="28"/>
          <w:lang w:val="en-US"/>
        </w:rPr>
        <w:t>[107]</w:t>
      </w:r>
      <w:r w:rsidRPr="003A7581">
        <w:rPr>
          <w:rFonts w:ascii="Times New Roman" w:hAnsi="Times New Roman" w:cs="Times New Roman"/>
          <w:sz w:val="28"/>
          <w:szCs w:val="28"/>
          <w:lang w:val="en-US"/>
        </w:rPr>
        <w:tab/>
      </w:r>
      <w:r w:rsidR="00842E63" w:rsidRPr="000E2B31">
        <w:rPr>
          <w:rFonts w:ascii="Times New Roman" w:hAnsi="Times New Roman" w:cs="Times New Roman"/>
          <w:sz w:val="28"/>
          <w:szCs w:val="28"/>
          <w:lang w:val="en-US"/>
        </w:rPr>
        <w:t>Being well aware that it is not the function of the court to evaluate and award tenders, t</w:t>
      </w:r>
      <w:r w:rsidR="00E035F1" w:rsidRPr="000E2B31">
        <w:rPr>
          <w:rFonts w:ascii="Times New Roman" w:hAnsi="Times New Roman" w:cs="Times New Roman"/>
          <w:sz w:val="28"/>
          <w:szCs w:val="28"/>
          <w:lang w:val="en-US"/>
        </w:rPr>
        <w:t>he comments made below are purely for guidance</w:t>
      </w:r>
      <w:r w:rsidR="00842E63" w:rsidRPr="000E2B31">
        <w:rPr>
          <w:rFonts w:ascii="Times New Roman" w:hAnsi="Times New Roman" w:cs="Times New Roman"/>
          <w:sz w:val="28"/>
          <w:szCs w:val="28"/>
          <w:lang w:val="en-US"/>
        </w:rPr>
        <w:t xml:space="preserve"> </w:t>
      </w:r>
      <w:r w:rsidR="00E035F1" w:rsidRPr="000E2B31">
        <w:rPr>
          <w:rFonts w:ascii="Times New Roman" w:hAnsi="Times New Roman" w:cs="Times New Roman"/>
          <w:sz w:val="28"/>
          <w:szCs w:val="28"/>
          <w:lang w:val="en-US"/>
        </w:rPr>
        <w:t xml:space="preserve">concerning the </w:t>
      </w:r>
      <w:r w:rsidR="003907A3" w:rsidRPr="000E2B31">
        <w:rPr>
          <w:rFonts w:ascii="Times New Roman" w:hAnsi="Times New Roman" w:cs="Times New Roman"/>
          <w:sz w:val="28"/>
          <w:szCs w:val="28"/>
          <w:lang w:val="en-US"/>
        </w:rPr>
        <w:t xml:space="preserve">vexed issue whether the risk assessment </w:t>
      </w:r>
      <w:r w:rsidR="00842E63" w:rsidRPr="000E2B31">
        <w:rPr>
          <w:rFonts w:ascii="Times New Roman" w:hAnsi="Times New Roman" w:cs="Times New Roman"/>
          <w:sz w:val="28"/>
          <w:szCs w:val="28"/>
          <w:lang w:val="en-US"/>
        </w:rPr>
        <w:t xml:space="preserve">process </w:t>
      </w:r>
      <w:r w:rsidR="00B2728E" w:rsidRPr="000E2B31">
        <w:rPr>
          <w:rFonts w:ascii="Times New Roman" w:hAnsi="Times New Roman" w:cs="Times New Roman"/>
          <w:sz w:val="28"/>
          <w:szCs w:val="28"/>
          <w:lang w:val="en-US"/>
        </w:rPr>
        <w:t xml:space="preserve">suggested under Clause </w:t>
      </w:r>
      <w:r w:rsidR="00204B48" w:rsidRPr="000E2B31">
        <w:rPr>
          <w:rFonts w:ascii="Times New Roman" w:hAnsi="Times New Roman" w:cs="Times New Roman"/>
          <w:sz w:val="28"/>
          <w:szCs w:val="28"/>
          <w:lang w:val="en-US"/>
        </w:rPr>
        <w:t>C is</w:t>
      </w:r>
      <w:r w:rsidR="003907A3" w:rsidRPr="000E2B31">
        <w:rPr>
          <w:rFonts w:ascii="Times New Roman" w:hAnsi="Times New Roman" w:cs="Times New Roman"/>
          <w:sz w:val="28"/>
          <w:szCs w:val="28"/>
          <w:lang w:val="en-US"/>
        </w:rPr>
        <w:t xml:space="preserve"> legally permissible</w:t>
      </w:r>
      <w:r w:rsidR="00B2728E" w:rsidRPr="000E2B31">
        <w:rPr>
          <w:rFonts w:ascii="Times New Roman" w:hAnsi="Times New Roman" w:cs="Times New Roman"/>
          <w:sz w:val="28"/>
          <w:szCs w:val="28"/>
          <w:lang w:val="en-US"/>
        </w:rPr>
        <w:t xml:space="preserve"> </w:t>
      </w:r>
      <w:r w:rsidR="001F5988" w:rsidRPr="000E2B31">
        <w:rPr>
          <w:rFonts w:ascii="Times New Roman" w:hAnsi="Times New Roman" w:cs="Times New Roman"/>
          <w:sz w:val="28"/>
          <w:szCs w:val="28"/>
          <w:lang w:val="en-US"/>
        </w:rPr>
        <w:t xml:space="preserve">and how the objective criteria </w:t>
      </w:r>
      <w:r w:rsidR="003A7581" w:rsidRPr="000E2B31">
        <w:rPr>
          <w:rFonts w:ascii="Times New Roman" w:hAnsi="Times New Roman" w:cs="Times New Roman"/>
          <w:sz w:val="28"/>
          <w:szCs w:val="28"/>
          <w:lang w:val="en-US"/>
        </w:rPr>
        <w:t xml:space="preserve">contended </w:t>
      </w:r>
      <w:r w:rsidR="001F5988" w:rsidRPr="000E2B31">
        <w:rPr>
          <w:rFonts w:ascii="Times New Roman" w:hAnsi="Times New Roman" w:cs="Times New Roman"/>
          <w:sz w:val="28"/>
          <w:szCs w:val="28"/>
          <w:lang w:val="en-US"/>
        </w:rPr>
        <w:t>for should be applied</w:t>
      </w:r>
      <w:r w:rsidR="00E035F1" w:rsidRPr="000E2B31">
        <w:rPr>
          <w:rFonts w:ascii="Times New Roman" w:hAnsi="Times New Roman" w:cs="Times New Roman"/>
          <w:sz w:val="28"/>
          <w:szCs w:val="28"/>
          <w:lang w:val="en-US"/>
        </w:rPr>
        <w:t xml:space="preserve">.  </w:t>
      </w:r>
    </w:p>
    <w:p w14:paraId="12B87C3A" w14:textId="77777777" w:rsidR="00F40910" w:rsidRPr="00F40910" w:rsidRDefault="00F40910" w:rsidP="00F40910">
      <w:pPr>
        <w:pStyle w:val="ListParagraph"/>
        <w:rPr>
          <w:rFonts w:ascii="Times New Roman" w:hAnsi="Times New Roman" w:cs="Times New Roman"/>
          <w:sz w:val="28"/>
          <w:szCs w:val="28"/>
          <w:lang w:val="en-US"/>
        </w:rPr>
      </w:pPr>
    </w:p>
    <w:p w14:paraId="4C978E11" w14:textId="311BBFAE" w:rsidR="00DE309B" w:rsidRPr="000E2B31" w:rsidRDefault="000E2B31" w:rsidP="000E2B31">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[108]</w:t>
      </w:r>
      <w:r>
        <w:rPr>
          <w:rFonts w:ascii="Times New Roman" w:hAnsi="Times New Roman" w:cs="Times New Roman"/>
          <w:sz w:val="28"/>
          <w:szCs w:val="28"/>
          <w:lang w:val="en-US"/>
        </w:rPr>
        <w:tab/>
      </w:r>
      <w:r w:rsidR="00F40910" w:rsidRPr="000E2B31">
        <w:rPr>
          <w:rFonts w:ascii="Times New Roman" w:hAnsi="Times New Roman" w:cs="Times New Roman"/>
          <w:sz w:val="28"/>
          <w:szCs w:val="28"/>
          <w:lang w:val="en-US"/>
        </w:rPr>
        <w:t xml:space="preserve">For better or worse the </w:t>
      </w:r>
      <w:r w:rsidR="003A7581" w:rsidRPr="000E2B31">
        <w:rPr>
          <w:rFonts w:ascii="Times New Roman" w:hAnsi="Times New Roman" w:cs="Times New Roman"/>
          <w:sz w:val="28"/>
          <w:szCs w:val="28"/>
          <w:lang w:val="en-US"/>
        </w:rPr>
        <w:t xml:space="preserve">risk </w:t>
      </w:r>
      <w:r w:rsidR="00B2728E" w:rsidRPr="000E2B31">
        <w:rPr>
          <w:rFonts w:ascii="Times New Roman" w:hAnsi="Times New Roman" w:cs="Times New Roman"/>
          <w:sz w:val="28"/>
          <w:szCs w:val="28"/>
          <w:lang w:val="en-US"/>
        </w:rPr>
        <w:t>“</w:t>
      </w:r>
      <w:r w:rsidR="003A7581" w:rsidRPr="000E2B31">
        <w:rPr>
          <w:rFonts w:ascii="Times New Roman" w:hAnsi="Times New Roman" w:cs="Times New Roman"/>
          <w:sz w:val="28"/>
          <w:szCs w:val="28"/>
          <w:lang w:val="en-US"/>
        </w:rPr>
        <w:t>eligibility</w:t>
      </w:r>
      <w:r w:rsidR="00B2728E" w:rsidRPr="000E2B31">
        <w:rPr>
          <w:rFonts w:ascii="Times New Roman" w:hAnsi="Times New Roman" w:cs="Times New Roman"/>
          <w:sz w:val="28"/>
          <w:szCs w:val="28"/>
          <w:lang w:val="en-US"/>
        </w:rPr>
        <w:t>”</w:t>
      </w:r>
      <w:r w:rsidR="003A7581" w:rsidRPr="000E2B31">
        <w:rPr>
          <w:rFonts w:ascii="Times New Roman" w:hAnsi="Times New Roman" w:cs="Times New Roman"/>
          <w:sz w:val="28"/>
          <w:szCs w:val="28"/>
          <w:lang w:val="en-US"/>
        </w:rPr>
        <w:t xml:space="preserve"> requirement</w:t>
      </w:r>
      <w:r w:rsidR="003A31BD" w:rsidRPr="000E2B31">
        <w:rPr>
          <w:rFonts w:ascii="Times New Roman" w:hAnsi="Times New Roman" w:cs="Times New Roman"/>
          <w:sz w:val="28"/>
          <w:szCs w:val="28"/>
          <w:lang w:val="en-US"/>
        </w:rPr>
        <w:t>s</w:t>
      </w:r>
      <w:r w:rsidR="003A7581" w:rsidRPr="000E2B31">
        <w:rPr>
          <w:rFonts w:ascii="Times New Roman" w:hAnsi="Times New Roman" w:cs="Times New Roman"/>
          <w:sz w:val="28"/>
          <w:szCs w:val="28"/>
          <w:lang w:val="en-US"/>
        </w:rPr>
        <w:t xml:space="preserve"> </w:t>
      </w:r>
      <w:r w:rsidR="003A31BD" w:rsidRPr="000E2B31">
        <w:rPr>
          <w:rFonts w:ascii="Times New Roman" w:hAnsi="Times New Roman" w:cs="Times New Roman"/>
          <w:sz w:val="28"/>
          <w:szCs w:val="28"/>
          <w:lang w:val="en-US"/>
        </w:rPr>
        <w:t>are</w:t>
      </w:r>
      <w:r w:rsidR="00F40910" w:rsidRPr="000E2B31">
        <w:rPr>
          <w:rFonts w:ascii="Times New Roman" w:hAnsi="Times New Roman" w:cs="Times New Roman"/>
          <w:sz w:val="28"/>
          <w:szCs w:val="28"/>
          <w:lang w:val="en-US"/>
        </w:rPr>
        <w:t xml:space="preserve"> stated in the tender </w:t>
      </w:r>
      <w:r w:rsidR="00204B48" w:rsidRPr="000E2B31">
        <w:rPr>
          <w:rFonts w:ascii="Times New Roman" w:hAnsi="Times New Roman" w:cs="Times New Roman"/>
          <w:sz w:val="28"/>
          <w:szCs w:val="28"/>
          <w:lang w:val="en-US"/>
        </w:rPr>
        <w:t xml:space="preserve">Data </w:t>
      </w:r>
      <w:r w:rsidR="00F40910" w:rsidRPr="000E2B31">
        <w:rPr>
          <w:rFonts w:ascii="Times New Roman" w:hAnsi="Times New Roman" w:cs="Times New Roman"/>
          <w:sz w:val="28"/>
          <w:szCs w:val="28"/>
          <w:lang w:val="en-US"/>
        </w:rPr>
        <w:t xml:space="preserve">and </w:t>
      </w:r>
      <w:r w:rsidR="003A31BD" w:rsidRPr="000E2B31">
        <w:rPr>
          <w:rFonts w:ascii="Times New Roman" w:hAnsi="Times New Roman" w:cs="Times New Roman"/>
          <w:sz w:val="28"/>
          <w:szCs w:val="28"/>
          <w:lang w:val="en-US"/>
        </w:rPr>
        <w:t>their</w:t>
      </w:r>
      <w:r w:rsidR="00F40910" w:rsidRPr="000E2B31">
        <w:rPr>
          <w:rFonts w:ascii="Times New Roman" w:hAnsi="Times New Roman" w:cs="Times New Roman"/>
          <w:sz w:val="28"/>
          <w:szCs w:val="28"/>
          <w:lang w:val="en-US"/>
        </w:rPr>
        <w:t xml:space="preserve"> effect </w:t>
      </w:r>
      <w:r w:rsidR="00DE309B" w:rsidRPr="000E2B31">
        <w:rPr>
          <w:rFonts w:ascii="Times New Roman" w:hAnsi="Times New Roman" w:cs="Times New Roman"/>
          <w:sz w:val="28"/>
          <w:szCs w:val="28"/>
          <w:lang w:val="en-US"/>
        </w:rPr>
        <w:t>cannot</w:t>
      </w:r>
      <w:r w:rsidR="00F40910" w:rsidRPr="000E2B31">
        <w:rPr>
          <w:rFonts w:ascii="Times New Roman" w:hAnsi="Times New Roman" w:cs="Times New Roman"/>
          <w:sz w:val="28"/>
          <w:szCs w:val="28"/>
          <w:lang w:val="en-US"/>
        </w:rPr>
        <w:t xml:space="preserve"> </w:t>
      </w:r>
      <w:r w:rsidR="003A31BD" w:rsidRPr="000E2B31">
        <w:rPr>
          <w:rFonts w:ascii="Times New Roman" w:hAnsi="Times New Roman" w:cs="Times New Roman"/>
          <w:sz w:val="28"/>
          <w:szCs w:val="28"/>
          <w:lang w:val="en-US"/>
        </w:rPr>
        <w:t xml:space="preserve">simply </w:t>
      </w:r>
      <w:r w:rsidR="00F40910" w:rsidRPr="000E2B31">
        <w:rPr>
          <w:rFonts w:ascii="Times New Roman" w:hAnsi="Times New Roman" w:cs="Times New Roman"/>
          <w:sz w:val="28"/>
          <w:szCs w:val="28"/>
          <w:lang w:val="en-US"/>
        </w:rPr>
        <w:t>be wished away</w:t>
      </w:r>
      <w:r w:rsidR="003A31BD" w:rsidRPr="000E2B31">
        <w:rPr>
          <w:rFonts w:ascii="Times New Roman" w:hAnsi="Times New Roman" w:cs="Times New Roman"/>
          <w:sz w:val="28"/>
          <w:szCs w:val="28"/>
          <w:lang w:val="en-US"/>
        </w:rPr>
        <w:t>,</w:t>
      </w:r>
      <w:r w:rsidR="003A7581" w:rsidRPr="000E2B31">
        <w:rPr>
          <w:rFonts w:ascii="Times New Roman" w:hAnsi="Times New Roman" w:cs="Times New Roman"/>
          <w:sz w:val="28"/>
          <w:szCs w:val="28"/>
          <w:lang w:val="en-US"/>
        </w:rPr>
        <w:t xml:space="preserve"> as inelegantly stated as </w:t>
      </w:r>
      <w:r w:rsidR="003A31BD" w:rsidRPr="000E2B31">
        <w:rPr>
          <w:rFonts w:ascii="Times New Roman" w:hAnsi="Times New Roman" w:cs="Times New Roman"/>
          <w:sz w:val="28"/>
          <w:szCs w:val="28"/>
          <w:lang w:val="en-US"/>
        </w:rPr>
        <w:t>clause C might be</w:t>
      </w:r>
      <w:r w:rsidR="003A7581" w:rsidRPr="000E2B31">
        <w:rPr>
          <w:rFonts w:ascii="Times New Roman" w:hAnsi="Times New Roman" w:cs="Times New Roman"/>
          <w:sz w:val="28"/>
          <w:szCs w:val="28"/>
          <w:lang w:val="en-US"/>
        </w:rPr>
        <w:t>.</w:t>
      </w:r>
      <w:r w:rsidR="00B2728E">
        <w:rPr>
          <w:rStyle w:val="FootnoteReference"/>
          <w:rFonts w:ascii="Times New Roman" w:hAnsi="Times New Roman" w:cs="Times New Roman"/>
          <w:sz w:val="28"/>
          <w:szCs w:val="28"/>
          <w:lang w:val="en-US"/>
        </w:rPr>
        <w:footnoteReference w:id="51"/>
      </w:r>
      <w:r w:rsidR="00F40910" w:rsidRPr="000E2B31">
        <w:rPr>
          <w:rFonts w:ascii="Times New Roman" w:hAnsi="Times New Roman" w:cs="Times New Roman"/>
          <w:sz w:val="28"/>
          <w:szCs w:val="28"/>
          <w:lang w:val="en-US"/>
        </w:rPr>
        <w:t xml:space="preserve">  Mr. Beyleveld criticized the first respondent for not having </w:t>
      </w:r>
      <w:r w:rsidR="00DE309B" w:rsidRPr="000E2B31">
        <w:rPr>
          <w:rFonts w:ascii="Times New Roman" w:hAnsi="Times New Roman" w:cs="Times New Roman"/>
          <w:sz w:val="28"/>
          <w:szCs w:val="28"/>
          <w:lang w:val="en-US"/>
        </w:rPr>
        <w:t xml:space="preserve">sought </w:t>
      </w:r>
      <w:r w:rsidR="003A31BD" w:rsidRPr="000E2B31">
        <w:rPr>
          <w:rFonts w:ascii="Times New Roman" w:hAnsi="Times New Roman" w:cs="Times New Roman"/>
          <w:sz w:val="28"/>
          <w:szCs w:val="28"/>
          <w:lang w:val="en-US"/>
        </w:rPr>
        <w:t>its</w:t>
      </w:r>
      <w:r w:rsidR="00DE309B" w:rsidRPr="000E2B31">
        <w:rPr>
          <w:rFonts w:ascii="Times New Roman" w:hAnsi="Times New Roman" w:cs="Times New Roman"/>
          <w:sz w:val="28"/>
          <w:szCs w:val="28"/>
          <w:lang w:val="en-US"/>
        </w:rPr>
        <w:t xml:space="preserve"> excision </w:t>
      </w:r>
      <w:r w:rsidR="003A31BD" w:rsidRPr="000E2B31">
        <w:rPr>
          <w:rFonts w:ascii="Times New Roman" w:hAnsi="Times New Roman" w:cs="Times New Roman"/>
          <w:sz w:val="28"/>
          <w:szCs w:val="28"/>
          <w:lang w:val="en-US"/>
        </w:rPr>
        <w:t>from the tender Data</w:t>
      </w:r>
      <w:r w:rsidR="003F1EB6" w:rsidRPr="000E2B31">
        <w:rPr>
          <w:rFonts w:ascii="Times New Roman" w:hAnsi="Times New Roman" w:cs="Times New Roman"/>
          <w:sz w:val="28"/>
          <w:szCs w:val="28"/>
          <w:lang w:val="en-US"/>
        </w:rPr>
        <w:t>,</w:t>
      </w:r>
      <w:r w:rsidR="00E035F1" w:rsidRPr="000E2B31">
        <w:rPr>
          <w:rFonts w:ascii="Times New Roman" w:hAnsi="Times New Roman" w:cs="Times New Roman"/>
          <w:sz w:val="28"/>
          <w:szCs w:val="28"/>
          <w:lang w:val="en-US"/>
        </w:rPr>
        <w:t xml:space="preserve"> which otherwise must be contended with as a condition for </w:t>
      </w:r>
      <w:r w:rsidR="00B2728E" w:rsidRPr="000E2B31">
        <w:rPr>
          <w:rFonts w:ascii="Times New Roman" w:hAnsi="Times New Roman" w:cs="Times New Roman"/>
          <w:sz w:val="28"/>
          <w:szCs w:val="28"/>
          <w:lang w:val="en-US"/>
        </w:rPr>
        <w:t>“</w:t>
      </w:r>
      <w:r w:rsidR="00E035F1" w:rsidRPr="000E2B31">
        <w:rPr>
          <w:rFonts w:ascii="Times New Roman" w:hAnsi="Times New Roman" w:cs="Times New Roman"/>
          <w:sz w:val="28"/>
          <w:szCs w:val="28"/>
          <w:lang w:val="en-US"/>
        </w:rPr>
        <w:t>eligibility</w:t>
      </w:r>
      <w:r w:rsidR="00B2728E" w:rsidRPr="000E2B31">
        <w:rPr>
          <w:rFonts w:ascii="Times New Roman" w:hAnsi="Times New Roman" w:cs="Times New Roman"/>
          <w:sz w:val="28"/>
          <w:szCs w:val="28"/>
          <w:lang w:val="en-US"/>
        </w:rPr>
        <w:t>” (Sic)</w:t>
      </w:r>
      <w:r w:rsidR="00E035F1" w:rsidRPr="000E2B31">
        <w:rPr>
          <w:rFonts w:ascii="Times New Roman" w:hAnsi="Times New Roman" w:cs="Times New Roman"/>
          <w:sz w:val="28"/>
          <w:szCs w:val="28"/>
          <w:lang w:val="en-US"/>
        </w:rPr>
        <w:t xml:space="preserve"> within the stated terms set out in the tender Data</w:t>
      </w:r>
      <w:r w:rsidR="00E256F5" w:rsidRPr="000E2B31">
        <w:rPr>
          <w:rFonts w:ascii="Times New Roman" w:hAnsi="Times New Roman" w:cs="Times New Roman"/>
          <w:sz w:val="28"/>
          <w:szCs w:val="28"/>
          <w:lang w:val="en-US"/>
        </w:rPr>
        <w:t>,</w:t>
      </w:r>
      <w:r w:rsidR="00595E10" w:rsidRPr="000E2B31">
        <w:rPr>
          <w:rFonts w:ascii="Times New Roman" w:hAnsi="Times New Roman" w:cs="Times New Roman"/>
          <w:sz w:val="28"/>
          <w:szCs w:val="28"/>
          <w:lang w:val="en-US"/>
        </w:rPr>
        <w:t xml:space="preserve"> </w:t>
      </w:r>
      <w:r w:rsidR="002F4DD1" w:rsidRPr="000E2B31">
        <w:rPr>
          <w:rFonts w:ascii="Times New Roman" w:hAnsi="Times New Roman" w:cs="Times New Roman"/>
          <w:sz w:val="28"/>
          <w:szCs w:val="28"/>
          <w:lang w:val="en-US"/>
        </w:rPr>
        <w:t>such as they do not conflict</w:t>
      </w:r>
      <w:r w:rsidR="00595E10" w:rsidRPr="000E2B31">
        <w:rPr>
          <w:rFonts w:ascii="Times New Roman" w:hAnsi="Times New Roman" w:cs="Times New Roman"/>
          <w:sz w:val="28"/>
          <w:szCs w:val="28"/>
          <w:lang w:val="en-US"/>
        </w:rPr>
        <w:t xml:space="preserve"> with the applicable legal framework</w:t>
      </w:r>
      <w:r w:rsidR="003A7581" w:rsidRPr="000E2B31">
        <w:rPr>
          <w:rFonts w:ascii="Times New Roman" w:hAnsi="Times New Roman" w:cs="Times New Roman"/>
          <w:sz w:val="28"/>
          <w:szCs w:val="28"/>
          <w:lang w:val="en-US"/>
        </w:rPr>
        <w:t>, no more and no less.</w:t>
      </w:r>
      <w:r w:rsidR="00B2728E" w:rsidRPr="000E2B31">
        <w:rPr>
          <w:rFonts w:ascii="Times New Roman" w:hAnsi="Times New Roman" w:cs="Times New Roman"/>
          <w:sz w:val="28"/>
          <w:szCs w:val="28"/>
          <w:lang w:val="en-US"/>
        </w:rPr>
        <w:t xml:space="preserve"> </w:t>
      </w:r>
      <w:r w:rsidR="0098694F">
        <w:rPr>
          <w:rStyle w:val="FootnoteReference"/>
          <w:rFonts w:ascii="Times New Roman" w:hAnsi="Times New Roman" w:cs="Times New Roman"/>
          <w:sz w:val="28"/>
          <w:szCs w:val="28"/>
          <w:lang w:val="en-US"/>
        </w:rPr>
        <w:footnoteReference w:id="52"/>
      </w:r>
    </w:p>
    <w:p w14:paraId="5C401C92" w14:textId="77777777" w:rsidR="003C1DDC" w:rsidRPr="003C1DDC" w:rsidRDefault="003C1DDC" w:rsidP="003C1DDC">
      <w:pPr>
        <w:pStyle w:val="ListParagraph"/>
        <w:tabs>
          <w:tab w:val="left" w:pos="709"/>
        </w:tabs>
        <w:spacing w:before="0" w:beforeAutospacing="0"/>
        <w:ind w:left="0"/>
        <w:jc w:val="both"/>
        <w:rPr>
          <w:rFonts w:ascii="Times New Roman" w:hAnsi="Times New Roman" w:cs="Times New Roman"/>
          <w:sz w:val="28"/>
          <w:szCs w:val="28"/>
          <w:lang w:val="en-US"/>
        </w:rPr>
      </w:pPr>
    </w:p>
    <w:p w14:paraId="0D63E6BD" w14:textId="6779D634" w:rsidR="00DE309B" w:rsidRPr="000E2B31" w:rsidRDefault="000E2B31" w:rsidP="000E2B31">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[109]</w:t>
      </w:r>
      <w:r>
        <w:rPr>
          <w:rFonts w:ascii="Times New Roman" w:hAnsi="Times New Roman" w:cs="Times New Roman"/>
          <w:sz w:val="28"/>
          <w:szCs w:val="28"/>
          <w:lang w:val="en-US"/>
        </w:rPr>
        <w:tab/>
      </w:r>
      <w:r w:rsidR="00DE309B" w:rsidRPr="000E2B31">
        <w:rPr>
          <w:rFonts w:ascii="Times New Roman" w:hAnsi="Times New Roman" w:cs="Times New Roman"/>
          <w:sz w:val="28"/>
          <w:szCs w:val="28"/>
          <w:lang w:val="en-US"/>
        </w:rPr>
        <w:t xml:space="preserve">In any event it was conceded on behalf of the appellant that </w:t>
      </w:r>
      <w:r w:rsidR="0076731A" w:rsidRPr="000E2B31">
        <w:rPr>
          <w:rFonts w:ascii="Times New Roman" w:hAnsi="Times New Roman" w:cs="Times New Roman"/>
          <w:sz w:val="28"/>
          <w:szCs w:val="28"/>
          <w:lang w:val="en-US"/>
        </w:rPr>
        <w:t>the</w:t>
      </w:r>
      <w:r w:rsidR="00DE309B" w:rsidRPr="000E2B31">
        <w:rPr>
          <w:rFonts w:ascii="Times New Roman" w:hAnsi="Times New Roman" w:cs="Times New Roman"/>
          <w:sz w:val="28"/>
          <w:szCs w:val="28"/>
          <w:lang w:val="en-US"/>
        </w:rPr>
        <w:t xml:space="preserve"> utilization</w:t>
      </w:r>
      <w:r w:rsidR="0076731A" w:rsidRPr="000E2B31">
        <w:rPr>
          <w:rFonts w:ascii="Times New Roman" w:hAnsi="Times New Roman" w:cs="Times New Roman"/>
          <w:sz w:val="28"/>
          <w:szCs w:val="28"/>
          <w:lang w:val="en-US"/>
        </w:rPr>
        <w:t xml:space="preserve"> of the risk </w:t>
      </w:r>
      <w:r w:rsidR="00D60467" w:rsidRPr="000E2B31">
        <w:rPr>
          <w:rFonts w:ascii="Times New Roman" w:hAnsi="Times New Roman" w:cs="Times New Roman"/>
          <w:sz w:val="28"/>
          <w:szCs w:val="28"/>
          <w:lang w:val="en-US"/>
        </w:rPr>
        <w:t>evaluation in</w:t>
      </w:r>
      <w:r w:rsidR="00DE309B" w:rsidRPr="000E2B31">
        <w:rPr>
          <w:rFonts w:ascii="Times New Roman" w:hAnsi="Times New Roman" w:cs="Times New Roman"/>
          <w:sz w:val="28"/>
          <w:szCs w:val="28"/>
          <w:lang w:val="en-US"/>
        </w:rPr>
        <w:t xml:space="preserve"> the award phase</w:t>
      </w:r>
      <w:r w:rsidR="003A7581" w:rsidRPr="000E2B31">
        <w:rPr>
          <w:rFonts w:ascii="Times New Roman" w:hAnsi="Times New Roman" w:cs="Times New Roman"/>
          <w:sz w:val="28"/>
          <w:szCs w:val="28"/>
          <w:lang w:val="en-US"/>
        </w:rPr>
        <w:t xml:space="preserve"> (</w:t>
      </w:r>
      <w:r w:rsidR="003C1DDC" w:rsidRPr="000E2B31">
        <w:rPr>
          <w:rFonts w:ascii="Times New Roman" w:hAnsi="Times New Roman" w:cs="Times New Roman"/>
          <w:sz w:val="28"/>
          <w:szCs w:val="28"/>
          <w:lang w:val="en-US"/>
        </w:rPr>
        <w:t>having regard to the unique</w:t>
      </w:r>
      <w:r w:rsidR="009B3B36" w:rsidRPr="000E2B31">
        <w:rPr>
          <w:rFonts w:ascii="Times New Roman" w:hAnsi="Times New Roman" w:cs="Times New Roman"/>
          <w:sz w:val="28"/>
          <w:szCs w:val="28"/>
          <w:lang w:val="en-US"/>
        </w:rPr>
        <w:t xml:space="preserve"> statutory and regulatory public procurement framework applicable at the time)</w:t>
      </w:r>
      <w:r w:rsidR="00DE309B" w:rsidRPr="000E2B31">
        <w:rPr>
          <w:rFonts w:ascii="Times New Roman" w:hAnsi="Times New Roman" w:cs="Times New Roman"/>
          <w:sz w:val="28"/>
          <w:szCs w:val="28"/>
          <w:lang w:val="en-US"/>
        </w:rPr>
        <w:t xml:space="preserve">, can only be justified within the context of what regulation 11 </w:t>
      </w:r>
      <w:r w:rsidR="003A31BD" w:rsidRPr="000E2B31">
        <w:rPr>
          <w:rFonts w:ascii="Times New Roman" w:hAnsi="Times New Roman" w:cs="Times New Roman"/>
          <w:sz w:val="28"/>
          <w:szCs w:val="28"/>
          <w:lang w:val="en-US"/>
        </w:rPr>
        <w:t xml:space="preserve">of the 2017 regulations </w:t>
      </w:r>
      <w:r w:rsidR="00DE309B" w:rsidRPr="000E2B31">
        <w:rPr>
          <w:rFonts w:ascii="Times New Roman" w:hAnsi="Times New Roman" w:cs="Times New Roman"/>
          <w:sz w:val="28"/>
          <w:szCs w:val="28"/>
          <w:lang w:val="en-US"/>
        </w:rPr>
        <w:t>provide</w:t>
      </w:r>
      <w:r w:rsidR="003A31BD" w:rsidRPr="000E2B31">
        <w:rPr>
          <w:rFonts w:ascii="Times New Roman" w:hAnsi="Times New Roman" w:cs="Times New Roman"/>
          <w:sz w:val="28"/>
          <w:szCs w:val="28"/>
          <w:lang w:val="en-US"/>
        </w:rPr>
        <w:t>s</w:t>
      </w:r>
      <w:r w:rsidR="00D60467" w:rsidRPr="000E2B31">
        <w:rPr>
          <w:rFonts w:ascii="Times New Roman" w:hAnsi="Times New Roman" w:cs="Times New Roman"/>
          <w:sz w:val="28"/>
          <w:szCs w:val="28"/>
          <w:lang w:val="en-US"/>
        </w:rPr>
        <w:t xml:space="preserve"> in this respect</w:t>
      </w:r>
      <w:r w:rsidR="00DE309B" w:rsidRPr="000E2B31">
        <w:rPr>
          <w:rFonts w:ascii="Times New Roman" w:hAnsi="Times New Roman" w:cs="Times New Roman"/>
          <w:sz w:val="28"/>
          <w:szCs w:val="28"/>
          <w:lang w:val="en-US"/>
        </w:rPr>
        <w:t>.</w:t>
      </w:r>
    </w:p>
    <w:p w14:paraId="38F3610C" w14:textId="77777777" w:rsidR="00AD4347" w:rsidRDefault="00AD4347" w:rsidP="00AD4347">
      <w:pPr>
        <w:pStyle w:val="ListParagraph"/>
        <w:rPr>
          <w:rFonts w:ascii="Times New Roman" w:hAnsi="Times New Roman" w:cs="Times New Roman"/>
          <w:sz w:val="28"/>
          <w:szCs w:val="28"/>
          <w:lang w:val="en-US"/>
        </w:rPr>
      </w:pPr>
    </w:p>
    <w:p w14:paraId="1B620261" w14:textId="77777777" w:rsidR="00AD0A92" w:rsidRPr="00AD4347" w:rsidRDefault="00AD0A92" w:rsidP="00AD4347">
      <w:pPr>
        <w:pStyle w:val="ListParagraph"/>
        <w:rPr>
          <w:rFonts w:ascii="Times New Roman" w:hAnsi="Times New Roman" w:cs="Times New Roman"/>
          <w:sz w:val="28"/>
          <w:szCs w:val="28"/>
          <w:lang w:val="en-US"/>
        </w:rPr>
      </w:pPr>
    </w:p>
    <w:p w14:paraId="7A9ECB8A" w14:textId="5325C2D1" w:rsidR="00AD4347" w:rsidRPr="000E2B31" w:rsidRDefault="000E2B31" w:rsidP="000E2B31">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[110]</w:t>
      </w:r>
      <w:r>
        <w:rPr>
          <w:rFonts w:ascii="Times New Roman" w:hAnsi="Times New Roman" w:cs="Times New Roman"/>
          <w:sz w:val="28"/>
          <w:szCs w:val="28"/>
          <w:lang w:val="en-US"/>
        </w:rPr>
        <w:tab/>
      </w:r>
      <w:r w:rsidR="00AD4347" w:rsidRPr="000E2B31">
        <w:rPr>
          <w:rFonts w:ascii="Times New Roman" w:hAnsi="Times New Roman" w:cs="Times New Roman"/>
          <w:sz w:val="28"/>
          <w:szCs w:val="28"/>
          <w:lang w:val="en-US"/>
        </w:rPr>
        <w:t xml:space="preserve">Regulation 11 (2) </w:t>
      </w:r>
      <w:r w:rsidR="00FD362D" w:rsidRPr="000E2B31">
        <w:rPr>
          <w:rFonts w:ascii="Times New Roman" w:hAnsi="Times New Roman" w:cs="Times New Roman"/>
          <w:sz w:val="28"/>
          <w:szCs w:val="28"/>
          <w:lang w:val="en-US"/>
        </w:rPr>
        <w:t>states</w:t>
      </w:r>
      <w:r w:rsidR="00AD4347" w:rsidRPr="000E2B31">
        <w:rPr>
          <w:rFonts w:ascii="Times New Roman" w:hAnsi="Times New Roman" w:cs="Times New Roman"/>
          <w:sz w:val="28"/>
          <w:szCs w:val="28"/>
          <w:lang w:val="en-US"/>
        </w:rPr>
        <w:t xml:space="preserve"> that:</w:t>
      </w:r>
    </w:p>
    <w:p w14:paraId="1653CF2B" w14:textId="77777777" w:rsidR="00AD4347" w:rsidRDefault="00AD4347" w:rsidP="00AD4347">
      <w:pPr>
        <w:pStyle w:val="ListParagraph"/>
        <w:rPr>
          <w:rFonts w:ascii="Times New Roman" w:hAnsi="Times New Roman" w:cs="Times New Roman"/>
          <w:sz w:val="28"/>
          <w:szCs w:val="28"/>
          <w:lang w:val="en-US"/>
        </w:rPr>
      </w:pPr>
    </w:p>
    <w:p w14:paraId="63C643DA" w14:textId="069887D8" w:rsidR="00AD4347" w:rsidRPr="00520015" w:rsidRDefault="00AD4347" w:rsidP="00AD0A92">
      <w:pPr>
        <w:spacing w:before="0" w:beforeAutospacing="0"/>
        <w:ind w:left="720"/>
        <w:contextualSpacing/>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w:t>
      </w:r>
      <w:r w:rsidRPr="00520015">
        <w:rPr>
          <w:rFonts w:ascii="Times New Roman" w:eastAsia="Times New Roman" w:hAnsi="Times New Roman" w:cs="Times New Roman"/>
          <w:sz w:val="24"/>
          <w:szCs w:val="24"/>
          <w:lang w:eastAsia="en-ZA"/>
        </w:rPr>
        <w:t>If an organ of state intends to apply objective criteria in terms of section 2 (1)</w:t>
      </w:r>
      <w:r>
        <w:rPr>
          <w:rFonts w:ascii="Times New Roman" w:eastAsia="Times New Roman" w:hAnsi="Times New Roman" w:cs="Times New Roman"/>
          <w:i/>
          <w:iCs/>
          <w:sz w:val="24"/>
          <w:szCs w:val="24"/>
          <w:lang w:eastAsia="en-ZA"/>
        </w:rPr>
        <w:t>(</w:t>
      </w:r>
      <w:r w:rsidRPr="00520015">
        <w:rPr>
          <w:rFonts w:ascii="Times New Roman" w:eastAsia="Times New Roman" w:hAnsi="Times New Roman" w:cs="Times New Roman"/>
          <w:i/>
          <w:iCs/>
          <w:sz w:val="24"/>
          <w:szCs w:val="24"/>
          <w:lang w:eastAsia="en-ZA"/>
        </w:rPr>
        <w:t>f</w:t>
      </w:r>
      <w:r w:rsidRPr="00520015">
        <w:rPr>
          <w:rFonts w:ascii="Times New Roman" w:eastAsia="Times New Roman" w:hAnsi="Times New Roman" w:cs="Times New Roman"/>
          <w:sz w:val="24"/>
          <w:szCs w:val="24"/>
          <w:lang w:eastAsia="en-ZA"/>
        </w:rPr>
        <w:t>) of the Act, the organ of state must stipulate the objective criteria in the tender documents.</w:t>
      </w:r>
      <w:r w:rsidR="00C52A60">
        <w:rPr>
          <w:rFonts w:ascii="Times New Roman" w:eastAsia="Times New Roman" w:hAnsi="Times New Roman" w:cs="Times New Roman"/>
          <w:sz w:val="24"/>
          <w:szCs w:val="24"/>
          <w:lang w:eastAsia="en-ZA"/>
        </w:rPr>
        <w:t>”</w:t>
      </w:r>
    </w:p>
    <w:p w14:paraId="60AC8380" w14:textId="77777777" w:rsidR="005E6A35" w:rsidRPr="009B3B36" w:rsidRDefault="005E6A35" w:rsidP="00AD0A92">
      <w:pPr>
        <w:spacing w:before="0" w:beforeAutospacing="0"/>
        <w:rPr>
          <w:rFonts w:ascii="Times New Roman" w:hAnsi="Times New Roman" w:cs="Times New Roman"/>
          <w:sz w:val="28"/>
          <w:szCs w:val="28"/>
          <w:lang w:val="en-US"/>
        </w:rPr>
      </w:pPr>
    </w:p>
    <w:p w14:paraId="1480D691" w14:textId="5001FF39" w:rsidR="009B3B36" w:rsidRPr="000E2B31" w:rsidRDefault="000E2B31" w:rsidP="000E2B31">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[111]</w:t>
      </w:r>
      <w:r>
        <w:rPr>
          <w:rFonts w:ascii="Times New Roman" w:hAnsi="Times New Roman" w:cs="Times New Roman"/>
          <w:sz w:val="28"/>
          <w:szCs w:val="28"/>
          <w:lang w:val="en-US"/>
        </w:rPr>
        <w:tab/>
      </w:r>
      <w:r w:rsidR="003A7581" w:rsidRPr="000E2B31">
        <w:rPr>
          <w:rFonts w:ascii="Times New Roman" w:hAnsi="Times New Roman" w:cs="Times New Roman"/>
          <w:sz w:val="28"/>
          <w:szCs w:val="28"/>
          <w:lang w:val="en-US"/>
        </w:rPr>
        <w:t xml:space="preserve">This the appellant contends the tender </w:t>
      </w:r>
      <w:r w:rsidR="009B3B36" w:rsidRPr="000E2B31">
        <w:rPr>
          <w:rFonts w:ascii="Times New Roman" w:hAnsi="Times New Roman" w:cs="Times New Roman"/>
          <w:sz w:val="28"/>
          <w:szCs w:val="28"/>
          <w:lang w:val="en-US"/>
        </w:rPr>
        <w:t xml:space="preserve">Data purports to do.  I agree that it is unnecessary for the tender document to utilize the words “objective criteria” themselves as long as </w:t>
      </w:r>
      <w:r w:rsidR="000C60EA" w:rsidRPr="000E2B31">
        <w:rPr>
          <w:rFonts w:ascii="Times New Roman" w:hAnsi="Times New Roman" w:cs="Times New Roman"/>
          <w:sz w:val="28"/>
          <w:szCs w:val="28"/>
          <w:lang w:val="en-US"/>
        </w:rPr>
        <w:t>objective</w:t>
      </w:r>
      <w:r w:rsidR="009B3B36" w:rsidRPr="000E2B31">
        <w:rPr>
          <w:rFonts w:ascii="Times New Roman" w:hAnsi="Times New Roman" w:cs="Times New Roman"/>
          <w:sz w:val="28"/>
          <w:szCs w:val="28"/>
          <w:lang w:val="en-US"/>
        </w:rPr>
        <w:t xml:space="preserve"> criteria </w:t>
      </w:r>
      <w:r w:rsidR="000C60EA" w:rsidRPr="000E2B31">
        <w:rPr>
          <w:rFonts w:ascii="Times New Roman" w:hAnsi="Times New Roman" w:cs="Times New Roman"/>
          <w:sz w:val="28"/>
          <w:szCs w:val="28"/>
          <w:lang w:val="en-US"/>
        </w:rPr>
        <w:t>can be discerned</w:t>
      </w:r>
      <w:r w:rsidR="009B3B36" w:rsidRPr="000E2B31">
        <w:rPr>
          <w:rFonts w:ascii="Times New Roman" w:hAnsi="Times New Roman" w:cs="Times New Roman"/>
          <w:sz w:val="28"/>
          <w:szCs w:val="28"/>
          <w:lang w:val="en-US"/>
        </w:rPr>
        <w:t xml:space="preserve"> </w:t>
      </w:r>
      <w:r w:rsidR="000C60EA" w:rsidRPr="000E2B31">
        <w:rPr>
          <w:rFonts w:ascii="Times New Roman" w:hAnsi="Times New Roman" w:cs="Times New Roman"/>
          <w:sz w:val="28"/>
          <w:szCs w:val="28"/>
          <w:lang w:val="en-US"/>
        </w:rPr>
        <w:t xml:space="preserve">from the tender’s </w:t>
      </w:r>
      <w:r w:rsidR="00DD50D7" w:rsidRPr="000E2B31">
        <w:rPr>
          <w:rFonts w:ascii="Times New Roman" w:hAnsi="Times New Roman" w:cs="Times New Roman"/>
          <w:sz w:val="28"/>
          <w:szCs w:val="28"/>
          <w:lang w:val="en-US"/>
        </w:rPr>
        <w:t>conditions.</w:t>
      </w:r>
    </w:p>
    <w:p w14:paraId="4B24D52F" w14:textId="69D7BD2A" w:rsidR="003A7581" w:rsidRDefault="009B3B36" w:rsidP="009B3B36">
      <w:pPr>
        <w:pStyle w:val="ListParagraph"/>
        <w:tabs>
          <w:tab w:val="left" w:pos="709"/>
        </w:tabs>
        <w:spacing w:before="0" w:beforeAutospacing="0"/>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14:paraId="553DAE06" w14:textId="75592D01" w:rsidR="005E6A35" w:rsidRPr="000E2B31" w:rsidRDefault="000E2B31" w:rsidP="000E2B31">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[112]</w:t>
      </w:r>
      <w:r>
        <w:rPr>
          <w:rFonts w:ascii="Times New Roman" w:hAnsi="Times New Roman" w:cs="Times New Roman"/>
          <w:sz w:val="28"/>
          <w:szCs w:val="28"/>
          <w:lang w:val="en-US"/>
        </w:rPr>
        <w:tab/>
      </w:r>
      <w:r w:rsidR="00DE309B" w:rsidRPr="000E2B31">
        <w:rPr>
          <w:rFonts w:ascii="Times New Roman" w:hAnsi="Times New Roman" w:cs="Times New Roman"/>
          <w:sz w:val="28"/>
          <w:szCs w:val="28"/>
          <w:lang w:val="en-US"/>
        </w:rPr>
        <w:t>R</w:t>
      </w:r>
      <w:r w:rsidR="005E6A35" w:rsidRPr="000E2B31">
        <w:rPr>
          <w:rFonts w:ascii="Times New Roman" w:hAnsi="Times New Roman" w:cs="Times New Roman"/>
          <w:sz w:val="28"/>
          <w:szCs w:val="28"/>
          <w:lang w:val="en-US"/>
        </w:rPr>
        <w:t>eg</w:t>
      </w:r>
      <w:r w:rsidR="0076731A" w:rsidRPr="000E2B31">
        <w:rPr>
          <w:rFonts w:ascii="Times New Roman" w:hAnsi="Times New Roman" w:cs="Times New Roman"/>
          <w:sz w:val="28"/>
          <w:szCs w:val="28"/>
          <w:lang w:val="en-US"/>
        </w:rPr>
        <w:t>arding the imperative for the risk assessment portended in the tender Data being undertaken, Reg</w:t>
      </w:r>
      <w:r w:rsidR="005E6A35" w:rsidRPr="000E2B31">
        <w:rPr>
          <w:rFonts w:ascii="Times New Roman" w:hAnsi="Times New Roman" w:cs="Times New Roman"/>
          <w:sz w:val="28"/>
          <w:szCs w:val="28"/>
          <w:lang w:val="en-US"/>
        </w:rPr>
        <w:t xml:space="preserve">ulation 11 </w:t>
      </w:r>
      <w:r w:rsidR="00AD4347" w:rsidRPr="000E2B31">
        <w:rPr>
          <w:rFonts w:ascii="Times New Roman" w:hAnsi="Times New Roman" w:cs="Times New Roman"/>
          <w:sz w:val="28"/>
          <w:szCs w:val="28"/>
          <w:lang w:val="en-US"/>
        </w:rPr>
        <w:t xml:space="preserve">(1) </w:t>
      </w:r>
      <w:r w:rsidR="005E6A35" w:rsidRPr="000E2B31">
        <w:rPr>
          <w:rFonts w:ascii="Times New Roman" w:hAnsi="Times New Roman" w:cs="Times New Roman"/>
          <w:sz w:val="28"/>
          <w:szCs w:val="28"/>
          <w:lang w:val="en-US"/>
        </w:rPr>
        <w:t>of the P</w:t>
      </w:r>
      <w:r w:rsidR="00AD4347" w:rsidRPr="000E2B31">
        <w:rPr>
          <w:rFonts w:ascii="Times New Roman" w:hAnsi="Times New Roman" w:cs="Times New Roman"/>
          <w:sz w:val="28"/>
          <w:szCs w:val="28"/>
          <w:lang w:val="en-US"/>
        </w:rPr>
        <w:t>PP</w:t>
      </w:r>
      <w:r w:rsidR="005E6A35" w:rsidRPr="000E2B31">
        <w:rPr>
          <w:rFonts w:ascii="Times New Roman" w:hAnsi="Times New Roman" w:cs="Times New Roman"/>
          <w:sz w:val="28"/>
          <w:szCs w:val="28"/>
          <w:lang w:val="en-US"/>
        </w:rPr>
        <w:t xml:space="preserve">FA regulations </w:t>
      </w:r>
      <w:r w:rsidR="00DE309B" w:rsidRPr="000E2B31">
        <w:rPr>
          <w:rFonts w:ascii="Times New Roman" w:hAnsi="Times New Roman" w:cs="Times New Roman"/>
          <w:sz w:val="28"/>
          <w:szCs w:val="28"/>
          <w:lang w:val="en-US"/>
        </w:rPr>
        <w:t xml:space="preserve">provides </w:t>
      </w:r>
      <w:r w:rsidR="00AD4347" w:rsidRPr="000E2B31">
        <w:rPr>
          <w:rFonts w:ascii="Times New Roman" w:hAnsi="Times New Roman" w:cs="Times New Roman"/>
          <w:sz w:val="28"/>
          <w:szCs w:val="28"/>
          <w:lang w:val="en-US"/>
        </w:rPr>
        <w:t>that</w:t>
      </w:r>
      <w:r w:rsidR="005E6A35" w:rsidRPr="000E2B31">
        <w:rPr>
          <w:rFonts w:ascii="Times New Roman" w:hAnsi="Times New Roman" w:cs="Times New Roman"/>
          <w:sz w:val="28"/>
          <w:szCs w:val="28"/>
          <w:lang w:val="en-US"/>
        </w:rPr>
        <w:t>:</w:t>
      </w:r>
    </w:p>
    <w:p w14:paraId="3A4A04EE" w14:textId="77777777" w:rsidR="005E6A35" w:rsidRDefault="005E6A35" w:rsidP="005E6A35">
      <w:pPr>
        <w:pStyle w:val="ListParagraph"/>
        <w:rPr>
          <w:rFonts w:ascii="Times New Roman" w:hAnsi="Times New Roman" w:cs="Times New Roman"/>
          <w:sz w:val="28"/>
          <w:szCs w:val="28"/>
          <w:lang w:val="en-US"/>
        </w:rPr>
      </w:pPr>
    </w:p>
    <w:p w14:paraId="44ABF5C1" w14:textId="513D0516" w:rsidR="005E6A35" w:rsidRPr="00AD4347" w:rsidRDefault="005E6A35" w:rsidP="00AD0A92">
      <w:pPr>
        <w:spacing w:before="0" w:beforeAutospacing="0" w:line="240" w:lineRule="auto"/>
        <w:ind w:left="601"/>
        <w:contextualSpacing/>
        <w:jc w:val="both"/>
        <w:rPr>
          <w:rFonts w:ascii="Times New Roman" w:eastAsia="Times New Roman" w:hAnsi="Times New Roman" w:cs="Times New Roman"/>
          <w:sz w:val="24"/>
          <w:szCs w:val="24"/>
          <w:lang w:eastAsia="en-ZA"/>
        </w:rPr>
      </w:pPr>
      <w:r w:rsidRPr="00A65A48">
        <w:rPr>
          <w:rFonts w:ascii="Times New Roman" w:eastAsia="Times New Roman" w:hAnsi="Times New Roman" w:cs="Times New Roman"/>
          <w:b/>
          <w:bCs/>
          <w:sz w:val="24"/>
          <w:szCs w:val="24"/>
          <w:lang w:eastAsia="en-ZA"/>
        </w:rPr>
        <w:t>“</w:t>
      </w:r>
      <w:r w:rsidRPr="00520015">
        <w:rPr>
          <w:rFonts w:ascii="Times New Roman" w:eastAsia="Times New Roman" w:hAnsi="Times New Roman" w:cs="Times New Roman"/>
          <w:b/>
          <w:bCs/>
          <w:sz w:val="24"/>
          <w:szCs w:val="24"/>
          <w:lang w:eastAsia="en-ZA"/>
        </w:rPr>
        <w:t>11.</w:t>
      </w:r>
      <w:r>
        <w:rPr>
          <w:rFonts w:ascii="Times New Roman" w:eastAsia="Times New Roman" w:hAnsi="Times New Roman" w:cs="Times New Roman"/>
          <w:b/>
          <w:bCs/>
          <w:sz w:val="24"/>
          <w:szCs w:val="24"/>
          <w:lang w:eastAsia="en-ZA"/>
        </w:rPr>
        <w:tab/>
      </w:r>
      <w:r w:rsidRPr="00520015">
        <w:rPr>
          <w:rFonts w:ascii="Times New Roman" w:eastAsia="Times New Roman" w:hAnsi="Times New Roman" w:cs="Times New Roman"/>
          <w:b/>
          <w:bCs/>
          <w:sz w:val="24"/>
          <w:szCs w:val="24"/>
          <w:lang w:eastAsia="en-ZA"/>
        </w:rPr>
        <w:t xml:space="preserve">Award of contracts to tenderers </w:t>
      </w:r>
      <w:r w:rsidRPr="00AD4347">
        <w:rPr>
          <w:rFonts w:ascii="Times New Roman" w:eastAsia="Times New Roman" w:hAnsi="Times New Roman" w:cs="Times New Roman"/>
          <w:b/>
          <w:bCs/>
          <w:sz w:val="24"/>
          <w:szCs w:val="24"/>
          <w:lang w:eastAsia="en-ZA"/>
        </w:rPr>
        <w:t xml:space="preserve">not scoring highest </w:t>
      </w:r>
      <w:r w:rsidR="009B3B36" w:rsidRPr="00AD4347">
        <w:rPr>
          <w:rFonts w:ascii="Times New Roman" w:eastAsia="Times New Roman" w:hAnsi="Times New Roman" w:cs="Times New Roman"/>
          <w:b/>
          <w:bCs/>
          <w:sz w:val="24"/>
          <w:szCs w:val="24"/>
          <w:lang w:eastAsia="en-ZA"/>
        </w:rPr>
        <w:t>points.</w:t>
      </w:r>
      <w:r w:rsidR="009B3B36" w:rsidRPr="00AD4347">
        <w:rPr>
          <w:rFonts w:ascii="Times New Roman" w:eastAsia="Times New Roman" w:hAnsi="Times New Roman" w:cs="Times New Roman"/>
          <w:sz w:val="24"/>
          <w:szCs w:val="24"/>
          <w:lang w:eastAsia="en-ZA"/>
        </w:rPr>
        <w:t xml:space="preserve"> —</w:t>
      </w:r>
    </w:p>
    <w:p w14:paraId="13FFB80B" w14:textId="66ACB098" w:rsidR="005E6A35" w:rsidRPr="00AD4347" w:rsidRDefault="005E6A35" w:rsidP="00AD0A92">
      <w:pPr>
        <w:tabs>
          <w:tab w:val="left" w:pos="1134"/>
        </w:tabs>
        <w:spacing w:before="0" w:beforeAutospacing="0"/>
        <w:ind w:left="1440"/>
        <w:contextualSpacing/>
        <w:jc w:val="both"/>
        <w:rPr>
          <w:rFonts w:ascii="Times New Roman" w:eastAsia="Times New Roman" w:hAnsi="Times New Roman" w:cs="Times New Roman"/>
          <w:sz w:val="24"/>
          <w:szCs w:val="24"/>
          <w:lang w:eastAsia="en-ZA"/>
        </w:rPr>
      </w:pPr>
      <w:r w:rsidRPr="00AD4347">
        <w:rPr>
          <w:rFonts w:ascii="Times New Roman" w:eastAsia="Times New Roman" w:hAnsi="Times New Roman" w:cs="Times New Roman"/>
          <w:sz w:val="24"/>
          <w:szCs w:val="24"/>
          <w:lang w:eastAsia="en-ZA"/>
        </w:rPr>
        <w:t>(1)  A contract may be awarded to a tenderer that did not score the highest points only in accordance with section 2 (1)(f) of the Act.</w:t>
      </w:r>
      <w:r w:rsidR="00AD4347">
        <w:rPr>
          <w:rFonts w:ascii="Times New Roman" w:eastAsia="Times New Roman" w:hAnsi="Times New Roman" w:cs="Times New Roman"/>
          <w:sz w:val="24"/>
          <w:szCs w:val="24"/>
          <w:lang w:eastAsia="en-ZA"/>
        </w:rPr>
        <w:t>”</w:t>
      </w:r>
    </w:p>
    <w:p w14:paraId="1E45AE04" w14:textId="77777777" w:rsidR="007D38F1" w:rsidRPr="00AD4347" w:rsidRDefault="007D38F1" w:rsidP="00AD0A92">
      <w:pPr>
        <w:pStyle w:val="ListParagraph"/>
        <w:tabs>
          <w:tab w:val="left" w:pos="709"/>
        </w:tabs>
        <w:spacing w:before="0" w:beforeAutospacing="0"/>
        <w:ind w:left="0"/>
        <w:jc w:val="both"/>
        <w:rPr>
          <w:rFonts w:ascii="Times New Roman" w:hAnsi="Times New Roman" w:cs="Times New Roman"/>
          <w:sz w:val="28"/>
          <w:szCs w:val="28"/>
        </w:rPr>
      </w:pPr>
    </w:p>
    <w:p w14:paraId="51A5CBFC" w14:textId="7C554F4E" w:rsidR="007D38F1" w:rsidRPr="000E2B31" w:rsidRDefault="000E2B31" w:rsidP="000E2B31">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[113]</w:t>
      </w:r>
      <w:r>
        <w:rPr>
          <w:rFonts w:ascii="Times New Roman" w:hAnsi="Times New Roman" w:cs="Times New Roman"/>
          <w:sz w:val="28"/>
          <w:szCs w:val="28"/>
          <w:lang w:val="en-US"/>
        </w:rPr>
        <w:tab/>
      </w:r>
      <w:r w:rsidR="007D38F1" w:rsidRPr="000E2B31">
        <w:rPr>
          <w:rFonts w:ascii="Times New Roman" w:hAnsi="Times New Roman" w:cs="Times New Roman"/>
          <w:sz w:val="28"/>
          <w:szCs w:val="28"/>
          <w:lang w:val="en-US"/>
        </w:rPr>
        <w:t>Section 2 (1) (f) of the PPPF</w:t>
      </w:r>
      <w:r w:rsidR="00AD4347" w:rsidRPr="000E2B31">
        <w:rPr>
          <w:rFonts w:ascii="Times New Roman" w:hAnsi="Times New Roman" w:cs="Times New Roman"/>
          <w:sz w:val="28"/>
          <w:szCs w:val="28"/>
          <w:lang w:val="en-US"/>
        </w:rPr>
        <w:t>A</w:t>
      </w:r>
      <w:r w:rsidR="007D38F1" w:rsidRPr="000E2B31">
        <w:rPr>
          <w:rFonts w:ascii="Times New Roman" w:hAnsi="Times New Roman" w:cs="Times New Roman"/>
          <w:sz w:val="28"/>
          <w:szCs w:val="28"/>
          <w:lang w:val="en-US"/>
        </w:rPr>
        <w:t>, in turn, reads as follows:</w:t>
      </w:r>
    </w:p>
    <w:p w14:paraId="1731FEAC" w14:textId="77777777" w:rsidR="003F1EB6" w:rsidRDefault="007D38F1" w:rsidP="003F1EB6">
      <w:pPr>
        <w:spacing w:before="0" w:beforeAutospacing="0" w:line="240" w:lineRule="auto"/>
        <w:ind w:left="1360" w:hanging="68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b/>
      </w:r>
    </w:p>
    <w:p w14:paraId="5C00D762" w14:textId="4EA47BE6" w:rsidR="00AD4347" w:rsidRPr="008A3A85" w:rsidRDefault="007D38F1" w:rsidP="00AD0A92">
      <w:pPr>
        <w:spacing w:before="0" w:beforeAutospacing="0" w:line="240" w:lineRule="auto"/>
        <w:ind w:left="1360" w:hanging="680"/>
        <w:contextualSpacing/>
        <w:jc w:val="both"/>
        <w:rPr>
          <w:rFonts w:ascii="Verdana" w:eastAsia="Times New Roman" w:hAnsi="Verdana" w:cs="Times New Roman"/>
          <w:color w:val="000000"/>
          <w:sz w:val="18"/>
          <w:szCs w:val="18"/>
          <w:lang w:eastAsia="en-ZA"/>
        </w:rPr>
      </w:pPr>
      <w:r w:rsidRPr="00AD4347">
        <w:rPr>
          <w:rFonts w:ascii="Times New Roman" w:hAnsi="Times New Roman" w:cs="Times New Roman"/>
          <w:sz w:val="24"/>
          <w:szCs w:val="24"/>
          <w:lang w:val="en-US"/>
        </w:rPr>
        <w:t>“</w:t>
      </w:r>
      <w:r w:rsidRPr="00AD4347">
        <w:rPr>
          <w:rFonts w:ascii="Times New Roman" w:eastAsia="Times New Roman" w:hAnsi="Times New Roman" w:cs="Times New Roman"/>
          <w:color w:val="000000"/>
          <w:sz w:val="24"/>
          <w:szCs w:val="24"/>
          <w:lang w:eastAsia="en-ZA"/>
        </w:rPr>
        <w:t>(</w:t>
      </w:r>
      <w:r w:rsidRPr="00AD4347">
        <w:rPr>
          <w:rFonts w:ascii="Times New Roman" w:eastAsia="Times New Roman" w:hAnsi="Times New Roman" w:cs="Times New Roman"/>
          <w:i/>
          <w:iCs/>
          <w:color w:val="000000"/>
          <w:sz w:val="24"/>
          <w:szCs w:val="24"/>
          <w:lang w:eastAsia="en-ZA"/>
        </w:rPr>
        <w:t>f</w:t>
      </w:r>
      <w:r w:rsidRPr="00AD4347">
        <w:rPr>
          <w:rFonts w:ascii="Times New Roman" w:eastAsia="Times New Roman" w:hAnsi="Times New Roman" w:cs="Times New Roman"/>
          <w:color w:val="000000"/>
          <w:sz w:val="24"/>
          <w:szCs w:val="24"/>
          <w:lang w:eastAsia="en-ZA"/>
        </w:rPr>
        <w:t>)</w:t>
      </w:r>
      <w:r w:rsidRPr="00AD4347">
        <w:rPr>
          <w:rFonts w:ascii="Times New Roman" w:eastAsia="Times New Roman" w:hAnsi="Times New Roman" w:cs="Times New Roman"/>
          <w:color w:val="000000"/>
          <w:sz w:val="24"/>
          <w:szCs w:val="24"/>
          <w:lang w:eastAsia="en-ZA"/>
        </w:rPr>
        <w:tab/>
        <w:t>the contract must be awarded to the tenderer who scores the highest points, unless objective criteria in addition to those contemplated in </w:t>
      </w:r>
      <w:hyperlink r:id="rId9" w:anchor="g7" w:history="1">
        <w:r w:rsidRPr="008A3A85">
          <w:rPr>
            <w:rFonts w:ascii="Times New Roman" w:eastAsia="Times New Roman" w:hAnsi="Times New Roman" w:cs="Times New Roman"/>
            <w:sz w:val="24"/>
            <w:szCs w:val="24"/>
            <w:lang w:eastAsia="en-ZA"/>
          </w:rPr>
          <w:t>paragraphs (</w:t>
        </w:r>
        <w:r w:rsidRPr="008A3A85">
          <w:rPr>
            <w:rFonts w:ascii="Times New Roman" w:eastAsia="Times New Roman" w:hAnsi="Times New Roman" w:cs="Times New Roman"/>
            <w:i/>
            <w:iCs/>
            <w:sz w:val="24"/>
            <w:szCs w:val="24"/>
            <w:lang w:eastAsia="en-ZA"/>
          </w:rPr>
          <w:t>d</w:t>
        </w:r>
        <w:r w:rsidRPr="008A3A85">
          <w:rPr>
            <w:rFonts w:ascii="Times New Roman" w:eastAsia="Times New Roman" w:hAnsi="Times New Roman" w:cs="Times New Roman"/>
            <w:sz w:val="24"/>
            <w:szCs w:val="24"/>
            <w:lang w:eastAsia="en-ZA"/>
          </w:rPr>
          <w:t>)</w:t>
        </w:r>
      </w:hyperlink>
      <w:r w:rsidRPr="008A3A85">
        <w:rPr>
          <w:rFonts w:ascii="Times New Roman" w:eastAsia="Times New Roman" w:hAnsi="Times New Roman" w:cs="Times New Roman"/>
          <w:sz w:val="24"/>
          <w:szCs w:val="24"/>
          <w:lang w:eastAsia="en-ZA"/>
        </w:rPr>
        <w:t> and </w:t>
      </w:r>
      <w:hyperlink r:id="rId10" w:anchor="ga" w:history="1">
        <w:r w:rsidRPr="008A3A85">
          <w:rPr>
            <w:rFonts w:ascii="Times New Roman" w:eastAsia="Times New Roman" w:hAnsi="Times New Roman" w:cs="Times New Roman"/>
            <w:sz w:val="24"/>
            <w:szCs w:val="24"/>
            <w:lang w:eastAsia="en-ZA"/>
          </w:rPr>
          <w:t>(</w:t>
        </w:r>
        <w:r w:rsidRPr="008A3A85">
          <w:rPr>
            <w:rFonts w:ascii="Times New Roman" w:eastAsia="Times New Roman" w:hAnsi="Times New Roman" w:cs="Times New Roman"/>
            <w:i/>
            <w:iCs/>
            <w:sz w:val="24"/>
            <w:szCs w:val="24"/>
            <w:lang w:eastAsia="en-ZA"/>
          </w:rPr>
          <w:t>e</w:t>
        </w:r>
        <w:r w:rsidRPr="008A3A85">
          <w:rPr>
            <w:rFonts w:ascii="Times New Roman" w:eastAsia="Times New Roman" w:hAnsi="Times New Roman" w:cs="Times New Roman"/>
            <w:sz w:val="24"/>
            <w:szCs w:val="24"/>
            <w:lang w:eastAsia="en-ZA"/>
          </w:rPr>
          <w:t>)</w:t>
        </w:r>
      </w:hyperlink>
      <w:r w:rsidRPr="008A3A85">
        <w:rPr>
          <w:rFonts w:ascii="Times New Roman" w:eastAsia="Times New Roman" w:hAnsi="Times New Roman" w:cs="Times New Roman"/>
          <w:color w:val="000000"/>
          <w:sz w:val="24"/>
          <w:szCs w:val="24"/>
          <w:lang w:eastAsia="en-ZA"/>
        </w:rPr>
        <w:t> justify the award to another tenderer;”</w:t>
      </w:r>
      <w:r w:rsidR="00AD4347" w:rsidRPr="008A3A85">
        <w:rPr>
          <w:rFonts w:ascii="Verdana" w:eastAsia="Times New Roman" w:hAnsi="Verdana" w:cs="Times New Roman"/>
          <w:color w:val="000000"/>
          <w:sz w:val="18"/>
          <w:szCs w:val="18"/>
          <w:lang w:eastAsia="en-ZA"/>
        </w:rPr>
        <w:t xml:space="preserve"> </w:t>
      </w:r>
    </w:p>
    <w:p w14:paraId="68A03E57" w14:textId="77777777" w:rsidR="009B3B36" w:rsidRDefault="009B3B36" w:rsidP="003F1EB6">
      <w:pPr>
        <w:spacing w:before="0" w:beforeAutospacing="0" w:line="240" w:lineRule="auto"/>
        <w:ind w:left="1360" w:hanging="680"/>
        <w:contextualSpacing/>
        <w:jc w:val="both"/>
        <w:rPr>
          <w:rFonts w:ascii="Verdana" w:eastAsia="Times New Roman" w:hAnsi="Verdana" w:cs="Times New Roman"/>
          <w:color w:val="000000"/>
          <w:sz w:val="18"/>
          <w:szCs w:val="18"/>
          <w:lang w:eastAsia="en-ZA"/>
        </w:rPr>
      </w:pPr>
    </w:p>
    <w:p w14:paraId="62D60BE5" w14:textId="77777777" w:rsidR="009B3B36" w:rsidRPr="00BD23CF" w:rsidRDefault="009B3B36" w:rsidP="009B3B36">
      <w:pPr>
        <w:pStyle w:val="ListParagraph"/>
        <w:tabs>
          <w:tab w:val="left" w:pos="709"/>
        </w:tabs>
        <w:spacing w:before="0" w:beforeAutospacing="0"/>
        <w:ind w:left="0"/>
        <w:jc w:val="both"/>
        <w:rPr>
          <w:rFonts w:ascii="Times New Roman" w:hAnsi="Times New Roman" w:cs="Times New Roman"/>
          <w:sz w:val="28"/>
          <w:szCs w:val="28"/>
          <w:lang w:val="en-US"/>
        </w:rPr>
      </w:pPr>
    </w:p>
    <w:p w14:paraId="68646603" w14:textId="10AD788E" w:rsidR="005E6A35" w:rsidRPr="000E2B31" w:rsidRDefault="000E2B31" w:rsidP="000E2B31">
      <w:pPr>
        <w:tabs>
          <w:tab w:val="left" w:pos="709"/>
        </w:tabs>
        <w:spacing w:before="0" w:beforeAutospacing="0"/>
        <w:jc w:val="both"/>
        <w:rPr>
          <w:rFonts w:ascii="Times New Roman" w:hAnsi="Times New Roman" w:cs="Times New Roman"/>
          <w:sz w:val="28"/>
          <w:szCs w:val="28"/>
          <w:lang w:val="en-US"/>
        </w:rPr>
      </w:pPr>
      <w:r w:rsidRPr="00AD4347">
        <w:rPr>
          <w:rFonts w:ascii="Times New Roman" w:hAnsi="Times New Roman" w:cs="Times New Roman"/>
          <w:sz w:val="28"/>
          <w:szCs w:val="28"/>
          <w:lang w:val="en-US"/>
        </w:rPr>
        <w:t>[114]</w:t>
      </w:r>
      <w:r w:rsidRPr="00AD4347">
        <w:rPr>
          <w:rFonts w:ascii="Times New Roman" w:hAnsi="Times New Roman" w:cs="Times New Roman"/>
          <w:sz w:val="28"/>
          <w:szCs w:val="28"/>
          <w:lang w:val="en-US"/>
        </w:rPr>
        <w:tab/>
      </w:r>
      <w:r w:rsidR="005E6A35" w:rsidRPr="000E2B31">
        <w:rPr>
          <w:rFonts w:ascii="Times New Roman" w:hAnsi="Times New Roman" w:cs="Times New Roman"/>
          <w:sz w:val="28"/>
          <w:szCs w:val="28"/>
          <w:lang w:val="en-US"/>
        </w:rPr>
        <w:t>Paragraph 21 of the implementation guide to the PPPFA Regulations reads:</w:t>
      </w:r>
    </w:p>
    <w:p w14:paraId="6EAA7D78" w14:textId="77777777" w:rsidR="005E6A35" w:rsidRDefault="005E6A35" w:rsidP="005E6A35">
      <w:pPr>
        <w:pStyle w:val="ListParagraph"/>
        <w:tabs>
          <w:tab w:val="left" w:pos="709"/>
        </w:tabs>
        <w:spacing w:before="0" w:beforeAutospacing="0"/>
        <w:ind w:left="0"/>
        <w:jc w:val="both"/>
        <w:rPr>
          <w:rFonts w:ascii="Times New Roman" w:hAnsi="Times New Roman" w:cs="Times New Roman"/>
          <w:sz w:val="28"/>
          <w:szCs w:val="28"/>
          <w:lang w:val="en-US"/>
        </w:rPr>
      </w:pPr>
    </w:p>
    <w:p w14:paraId="1D9C5284" w14:textId="77777777" w:rsidR="005E6A35" w:rsidRPr="0089380A" w:rsidRDefault="005E6A35" w:rsidP="00AD0A92">
      <w:pPr>
        <w:spacing w:before="0" w:beforeAutospacing="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w:t>
      </w:r>
      <w:r w:rsidRPr="0089380A">
        <w:rPr>
          <w:rFonts w:ascii="Times New Roman" w:hAnsi="Times New Roman" w:cs="Times New Roman"/>
          <w:sz w:val="24"/>
          <w:szCs w:val="24"/>
        </w:rPr>
        <w:t>AWARD OF CONTRACTS TO TENDERER NOT SCORING THE HIGHEST TOTAL POINTS</w:t>
      </w:r>
    </w:p>
    <w:p w14:paraId="1116576A" w14:textId="77777777" w:rsidR="005E6A35" w:rsidRPr="0089380A" w:rsidRDefault="005E6A35" w:rsidP="00AD0A92">
      <w:pPr>
        <w:spacing w:before="0" w:beforeAutospacing="0" w:line="240" w:lineRule="auto"/>
        <w:ind w:left="720"/>
        <w:contextualSpacing/>
        <w:jc w:val="both"/>
        <w:rPr>
          <w:rFonts w:ascii="Times New Roman" w:hAnsi="Times New Roman" w:cs="Times New Roman"/>
          <w:sz w:val="24"/>
          <w:szCs w:val="24"/>
        </w:rPr>
      </w:pPr>
      <w:r w:rsidRPr="0089380A">
        <w:rPr>
          <w:rFonts w:ascii="Times New Roman" w:hAnsi="Times New Roman" w:cs="Times New Roman"/>
          <w:sz w:val="24"/>
          <w:szCs w:val="24"/>
        </w:rPr>
        <w:t xml:space="preserve">21.1. A tender must be awarded to the tenderer who scored the highest total number of points in terms of the preference point systems (price and B-BBEE points), </w:t>
      </w:r>
      <w:r w:rsidRPr="0076731A">
        <w:rPr>
          <w:rFonts w:ascii="Times New Roman" w:hAnsi="Times New Roman" w:cs="Times New Roman"/>
          <w:i/>
          <w:iCs/>
          <w:sz w:val="24"/>
          <w:szCs w:val="24"/>
        </w:rPr>
        <w:t>unless objective criteria in terms of section 2(1)(f) of the Act justify the award of the tender to another tenderer.</w:t>
      </w:r>
      <w:r w:rsidRPr="0089380A">
        <w:rPr>
          <w:rFonts w:ascii="Times New Roman" w:hAnsi="Times New Roman" w:cs="Times New Roman"/>
          <w:sz w:val="24"/>
          <w:szCs w:val="24"/>
        </w:rPr>
        <w:t xml:space="preserve"> </w:t>
      </w:r>
    </w:p>
    <w:p w14:paraId="21243F99" w14:textId="77777777" w:rsidR="005E6A35" w:rsidRPr="00595E10" w:rsidRDefault="005E6A35" w:rsidP="00AD0A92">
      <w:pPr>
        <w:spacing w:before="0" w:beforeAutospacing="0" w:line="240" w:lineRule="auto"/>
        <w:ind w:left="720"/>
        <w:contextualSpacing/>
        <w:jc w:val="both"/>
        <w:rPr>
          <w:rFonts w:ascii="Times New Roman" w:hAnsi="Times New Roman" w:cs="Times New Roman"/>
          <w:sz w:val="24"/>
          <w:szCs w:val="24"/>
        </w:rPr>
      </w:pPr>
      <w:r w:rsidRPr="0089380A">
        <w:rPr>
          <w:rFonts w:ascii="Times New Roman" w:hAnsi="Times New Roman" w:cs="Times New Roman"/>
          <w:sz w:val="24"/>
          <w:szCs w:val="24"/>
        </w:rPr>
        <w:t xml:space="preserve">21.2. If an institution intends to apply objective criteria in terms of section 2(1)(f) of the Act, </w:t>
      </w:r>
      <w:r w:rsidRPr="00595E10">
        <w:rPr>
          <w:rFonts w:ascii="Times New Roman" w:hAnsi="Times New Roman" w:cs="Times New Roman"/>
          <w:sz w:val="24"/>
          <w:szCs w:val="24"/>
        </w:rPr>
        <w:t>the institution must state what those objective criteria are in the tender documents.</w:t>
      </w:r>
    </w:p>
    <w:p w14:paraId="06A88C01" w14:textId="49573833" w:rsidR="005E6A35" w:rsidRDefault="005E6A35" w:rsidP="00AD0A92">
      <w:pPr>
        <w:spacing w:before="0" w:beforeAutospacing="0" w:line="240" w:lineRule="auto"/>
        <w:ind w:left="720"/>
        <w:contextualSpacing/>
        <w:jc w:val="both"/>
        <w:rPr>
          <w:rFonts w:ascii="Times New Roman" w:hAnsi="Times New Roman" w:cs="Times New Roman"/>
          <w:sz w:val="28"/>
          <w:szCs w:val="28"/>
        </w:rPr>
      </w:pPr>
      <w:r w:rsidRPr="0089380A">
        <w:rPr>
          <w:rFonts w:ascii="Times New Roman" w:hAnsi="Times New Roman" w:cs="Times New Roman"/>
          <w:sz w:val="24"/>
          <w:szCs w:val="24"/>
        </w:rPr>
        <w:t>21.3. Functionality and any element of the B-BBEE scorecard may not be used as objective criteria.</w:t>
      </w:r>
      <w:r>
        <w:rPr>
          <w:rFonts w:ascii="Times New Roman" w:hAnsi="Times New Roman" w:cs="Times New Roman"/>
          <w:sz w:val="24"/>
          <w:szCs w:val="24"/>
        </w:rPr>
        <w:t xml:space="preserve">”  </w:t>
      </w:r>
    </w:p>
    <w:p w14:paraId="03BB6AD8" w14:textId="11325F40" w:rsidR="007D38F1" w:rsidRPr="0076731A" w:rsidRDefault="0076731A" w:rsidP="005E6A35">
      <w:pPr>
        <w:spacing w:before="0" w:beforeAutospacing="0"/>
        <w:ind w:left="720"/>
        <w:contextualSpacing/>
        <w:jc w:val="both"/>
        <w:rPr>
          <w:rFonts w:ascii="Times New Roman" w:hAnsi="Times New Roman" w:cs="Times New Roman"/>
          <w:sz w:val="28"/>
          <w:szCs w:val="28"/>
        </w:rPr>
      </w:pPr>
      <w:r w:rsidRPr="0076731A">
        <w:rPr>
          <w:rFonts w:ascii="Times New Roman" w:hAnsi="Times New Roman" w:cs="Times New Roman"/>
          <w:sz w:val="28"/>
          <w:szCs w:val="28"/>
        </w:rPr>
        <w:t>(Emphasis added)</w:t>
      </w:r>
    </w:p>
    <w:p w14:paraId="19E59E32" w14:textId="77777777" w:rsidR="003A31BD" w:rsidRDefault="003A31BD" w:rsidP="003A31BD">
      <w:pPr>
        <w:pStyle w:val="ListParagraph"/>
        <w:tabs>
          <w:tab w:val="left" w:pos="709"/>
        </w:tabs>
        <w:spacing w:before="0" w:beforeAutospacing="0"/>
        <w:ind w:left="0"/>
        <w:jc w:val="both"/>
        <w:rPr>
          <w:rFonts w:ascii="Times New Roman" w:hAnsi="Times New Roman" w:cs="Times New Roman"/>
          <w:sz w:val="28"/>
          <w:szCs w:val="28"/>
          <w:lang w:val="en-US"/>
        </w:rPr>
      </w:pPr>
    </w:p>
    <w:p w14:paraId="6BB8D90A" w14:textId="0967A8CB" w:rsidR="003A31BD" w:rsidRPr="000E2B31" w:rsidRDefault="000E2B31" w:rsidP="000E2B31">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[115]</w:t>
      </w:r>
      <w:r>
        <w:rPr>
          <w:rFonts w:ascii="Times New Roman" w:hAnsi="Times New Roman" w:cs="Times New Roman"/>
          <w:sz w:val="28"/>
          <w:szCs w:val="28"/>
          <w:lang w:val="en-US"/>
        </w:rPr>
        <w:tab/>
      </w:r>
      <w:r w:rsidR="00AD4347" w:rsidRPr="000E2B31">
        <w:rPr>
          <w:rFonts w:ascii="Times New Roman" w:hAnsi="Times New Roman" w:cs="Times New Roman"/>
          <w:sz w:val="28"/>
          <w:szCs w:val="28"/>
          <w:lang w:val="en-US"/>
        </w:rPr>
        <w:t xml:space="preserve">All of these provisions make it clear that it is intended </w:t>
      </w:r>
      <w:r w:rsidR="003A31BD" w:rsidRPr="000E2B31">
        <w:rPr>
          <w:rFonts w:ascii="Times New Roman" w:hAnsi="Times New Roman" w:cs="Times New Roman"/>
          <w:sz w:val="28"/>
          <w:szCs w:val="28"/>
          <w:lang w:val="en-US"/>
        </w:rPr>
        <w:t>by</w:t>
      </w:r>
      <w:r w:rsidR="00D06B2D" w:rsidRPr="000E2B31">
        <w:rPr>
          <w:rFonts w:ascii="Times New Roman" w:hAnsi="Times New Roman" w:cs="Times New Roman"/>
          <w:sz w:val="28"/>
          <w:szCs w:val="28"/>
          <w:lang w:val="en-US"/>
        </w:rPr>
        <w:t xml:space="preserve"> the implementation of </w:t>
      </w:r>
      <w:r w:rsidR="0076731A" w:rsidRPr="000E2B31">
        <w:rPr>
          <w:rFonts w:ascii="Times New Roman" w:hAnsi="Times New Roman" w:cs="Times New Roman"/>
          <w:sz w:val="28"/>
          <w:szCs w:val="28"/>
          <w:lang w:val="en-US"/>
        </w:rPr>
        <w:t>the adopted preference point system</w:t>
      </w:r>
      <w:r w:rsidR="00F96B1A" w:rsidRPr="000E2B31">
        <w:rPr>
          <w:rFonts w:ascii="Times New Roman" w:hAnsi="Times New Roman" w:cs="Times New Roman"/>
          <w:sz w:val="28"/>
          <w:szCs w:val="28"/>
          <w:lang w:val="en-US"/>
        </w:rPr>
        <w:t xml:space="preserve"> </w:t>
      </w:r>
      <w:r w:rsidR="003A31BD" w:rsidRPr="000E2B31">
        <w:rPr>
          <w:rFonts w:ascii="Times New Roman" w:hAnsi="Times New Roman" w:cs="Times New Roman"/>
          <w:sz w:val="28"/>
          <w:szCs w:val="28"/>
          <w:lang w:val="en-US"/>
        </w:rPr>
        <w:t>(putting the functionality criteria beyond the pale once this threshold has been surpassed</w:t>
      </w:r>
      <w:r w:rsidR="00595E10" w:rsidRPr="000E2B31">
        <w:rPr>
          <w:rFonts w:ascii="Times New Roman" w:hAnsi="Times New Roman" w:cs="Times New Roman"/>
          <w:sz w:val="28"/>
          <w:szCs w:val="28"/>
          <w:lang w:val="en-US"/>
        </w:rPr>
        <w:t xml:space="preserve"> so that these considerations do</w:t>
      </w:r>
      <w:r w:rsidR="00112C30" w:rsidRPr="000E2B31">
        <w:rPr>
          <w:rFonts w:ascii="Times New Roman" w:hAnsi="Times New Roman" w:cs="Times New Roman"/>
          <w:sz w:val="28"/>
          <w:szCs w:val="28"/>
          <w:lang w:val="en-US"/>
        </w:rPr>
        <w:t xml:space="preserve"> no</w:t>
      </w:r>
      <w:r w:rsidR="00595E10" w:rsidRPr="000E2B31">
        <w:rPr>
          <w:rFonts w:ascii="Times New Roman" w:hAnsi="Times New Roman" w:cs="Times New Roman"/>
          <w:sz w:val="28"/>
          <w:szCs w:val="28"/>
          <w:lang w:val="en-US"/>
        </w:rPr>
        <w:t xml:space="preserve">t resurface in the award phase under the guise of </w:t>
      </w:r>
      <w:r w:rsidR="00F96B1A" w:rsidRPr="000E2B31">
        <w:rPr>
          <w:rFonts w:ascii="Times New Roman" w:hAnsi="Times New Roman" w:cs="Times New Roman"/>
          <w:sz w:val="28"/>
          <w:szCs w:val="28"/>
          <w:lang w:val="en-US"/>
        </w:rPr>
        <w:t>“</w:t>
      </w:r>
      <w:r w:rsidR="00595E10" w:rsidRPr="000E2B31">
        <w:rPr>
          <w:rFonts w:ascii="Times New Roman" w:hAnsi="Times New Roman" w:cs="Times New Roman"/>
          <w:sz w:val="28"/>
          <w:szCs w:val="28"/>
          <w:lang w:val="en-US"/>
        </w:rPr>
        <w:t>objective criteria</w:t>
      </w:r>
      <w:r w:rsidR="00F96B1A" w:rsidRPr="000E2B31">
        <w:rPr>
          <w:rFonts w:ascii="Times New Roman" w:hAnsi="Times New Roman" w:cs="Times New Roman"/>
          <w:sz w:val="28"/>
          <w:szCs w:val="28"/>
          <w:lang w:val="en-US"/>
        </w:rPr>
        <w:t>”</w:t>
      </w:r>
      <w:r w:rsidR="00595E10" w:rsidRPr="000E2B31">
        <w:rPr>
          <w:rFonts w:ascii="Times New Roman" w:hAnsi="Times New Roman" w:cs="Times New Roman"/>
          <w:sz w:val="28"/>
          <w:szCs w:val="28"/>
          <w:lang w:val="en-US"/>
        </w:rPr>
        <w:t xml:space="preserve"> contended for in regulation 11</w:t>
      </w:r>
      <w:r w:rsidR="003A31BD" w:rsidRPr="000E2B31">
        <w:rPr>
          <w:rFonts w:ascii="Times New Roman" w:hAnsi="Times New Roman" w:cs="Times New Roman"/>
          <w:sz w:val="28"/>
          <w:szCs w:val="28"/>
          <w:lang w:val="en-US"/>
        </w:rPr>
        <w:t xml:space="preserve">) </w:t>
      </w:r>
      <w:r w:rsidR="00D06B2D" w:rsidRPr="000E2B31">
        <w:rPr>
          <w:rFonts w:ascii="Times New Roman" w:hAnsi="Times New Roman" w:cs="Times New Roman"/>
          <w:sz w:val="28"/>
          <w:szCs w:val="28"/>
          <w:lang w:val="en-US"/>
        </w:rPr>
        <w:t xml:space="preserve">should </w:t>
      </w:r>
      <w:r w:rsidR="003A31BD" w:rsidRPr="000E2B31">
        <w:rPr>
          <w:rFonts w:ascii="Times New Roman" w:hAnsi="Times New Roman" w:cs="Times New Roman"/>
          <w:sz w:val="28"/>
          <w:szCs w:val="28"/>
          <w:lang w:val="en-US"/>
        </w:rPr>
        <w:t>conduce to the</w:t>
      </w:r>
      <w:r w:rsidR="00AD4347" w:rsidRPr="000E2B31">
        <w:rPr>
          <w:rFonts w:ascii="Times New Roman" w:hAnsi="Times New Roman" w:cs="Times New Roman"/>
          <w:sz w:val="28"/>
          <w:szCs w:val="28"/>
          <w:lang w:val="en-US"/>
        </w:rPr>
        <w:t xml:space="preserve"> highest scoring bidder </w:t>
      </w:r>
      <w:r w:rsidR="003A31BD" w:rsidRPr="000E2B31">
        <w:rPr>
          <w:rFonts w:ascii="Times New Roman" w:hAnsi="Times New Roman" w:cs="Times New Roman"/>
          <w:sz w:val="28"/>
          <w:szCs w:val="28"/>
          <w:lang w:val="en-US"/>
        </w:rPr>
        <w:t>being</w:t>
      </w:r>
      <w:r w:rsidR="00AD4347" w:rsidRPr="000E2B31">
        <w:rPr>
          <w:rFonts w:ascii="Times New Roman" w:hAnsi="Times New Roman" w:cs="Times New Roman"/>
          <w:sz w:val="28"/>
          <w:szCs w:val="28"/>
          <w:lang w:val="en-US"/>
        </w:rPr>
        <w:t xml:space="preserve"> awarded the bid</w:t>
      </w:r>
      <w:r w:rsidR="003A31BD" w:rsidRPr="000E2B31">
        <w:rPr>
          <w:rFonts w:ascii="Times New Roman" w:hAnsi="Times New Roman" w:cs="Times New Roman"/>
          <w:sz w:val="28"/>
          <w:szCs w:val="28"/>
          <w:lang w:val="en-US"/>
        </w:rPr>
        <w:t xml:space="preserve">. The framework recognizes however that the </w:t>
      </w:r>
      <w:r w:rsidR="00FD362D" w:rsidRPr="000E2B31">
        <w:rPr>
          <w:rFonts w:ascii="Times New Roman" w:hAnsi="Times New Roman" w:cs="Times New Roman"/>
          <w:sz w:val="28"/>
          <w:szCs w:val="28"/>
          <w:lang w:val="en-US"/>
        </w:rPr>
        <w:t xml:space="preserve">highest scoring </w:t>
      </w:r>
      <w:r w:rsidR="003A31BD" w:rsidRPr="000E2B31">
        <w:rPr>
          <w:rFonts w:ascii="Times New Roman" w:hAnsi="Times New Roman" w:cs="Times New Roman"/>
          <w:sz w:val="28"/>
          <w:szCs w:val="28"/>
          <w:lang w:val="en-US"/>
        </w:rPr>
        <w:t xml:space="preserve">tenderer may not be the </w:t>
      </w:r>
      <w:r w:rsidR="00FD362D" w:rsidRPr="000E2B31">
        <w:rPr>
          <w:rFonts w:ascii="Times New Roman" w:hAnsi="Times New Roman" w:cs="Times New Roman"/>
          <w:sz w:val="28"/>
          <w:szCs w:val="28"/>
          <w:lang w:val="en-US"/>
        </w:rPr>
        <w:t xml:space="preserve">successful </w:t>
      </w:r>
      <w:r w:rsidR="003A31BD" w:rsidRPr="000E2B31">
        <w:rPr>
          <w:rFonts w:ascii="Times New Roman" w:hAnsi="Times New Roman" w:cs="Times New Roman"/>
          <w:sz w:val="28"/>
          <w:szCs w:val="28"/>
          <w:lang w:val="en-US"/>
        </w:rPr>
        <w:t>one</w:t>
      </w:r>
      <w:r w:rsidR="00776759" w:rsidRPr="000E2B31">
        <w:rPr>
          <w:rFonts w:ascii="Times New Roman" w:hAnsi="Times New Roman" w:cs="Times New Roman"/>
          <w:sz w:val="28"/>
          <w:szCs w:val="28"/>
          <w:lang w:val="en-US"/>
        </w:rPr>
        <w:t>, but such a scenario can only pertain in highly constrained circumstances.</w:t>
      </w:r>
      <w:r w:rsidR="00F96B1A">
        <w:rPr>
          <w:rStyle w:val="FootnoteReference"/>
          <w:rFonts w:ascii="Times New Roman" w:hAnsi="Times New Roman" w:cs="Times New Roman"/>
          <w:sz w:val="28"/>
          <w:szCs w:val="28"/>
          <w:lang w:val="en-US"/>
        </w:rPr>
        <w:footnoteReference w:id="53"/>
      </w:r>
      <w:r w:rsidR="00776759" w:rsidRPr="000E2B31">
        <w:rPr>
          <w:rFonts w:ascii="Times New Roman" w:hAnsi="Times New Roman" w:cs="Times New Roman"/>
          <w:sz w:val="28"/>
          <w:szCs w:val="28"/>
          <w:lang w:val="en-US"/>
        </w:rPr>
        <w:t xml:space="preserve"> </w:t>
      </w:r>
      <w:r w:rsidR="00595E10" w:rsidRPr="000E2B31">
        <w:rPr>
          <w:rFonts w:ascii="Times New Roman" w:hAnsi="Times New Roman" w:cs="Times New Roman"/>
          <w:sz w:val="28"/>
          <w:szCs w:val="28"/>
          <w:lang w:val="en-US"/>
        </w:rPr>
        <w:t>Thus,</w:t>
      </w:r>
      <w:r w:rsidR="00776759" w:rsidRPr="000E2B31">
        <w:rPr>
          <w:rFonts w:ascii="Times New Roman" w:hAnsi="Times New Roman" w:cs="Times New Roman"/>
          <w:sz w:val="28"/>
          <w:szCs w:val="28"/>
          <w:lang w:val="en-US"/>
        </w:rPr>
        <w:t xml:space="preserve"> </w:t>
      </w:r>
      <w:r w:rsidR="00F96B1A" w:rsidRPr="000E2B31">
        <w:rPr>
          <w:rFonts w:ascii="Times New Roman" w:hAnsi="Times New Roman" w:cs="Times New Roman"/>
          <w:sz w:val="28"/>
          <w:szCs w:val="28"/>
          <w:lang w:val="en-US"/>
        </w:rPr>
        <w:t>a</w:t>
      </w:r>
      <w:r w:rsidR="00776759" w:rsidRPr="000E2B31">
        <w:rPr>
          <w:rFonts w:ascii="Times New Roman" w:hAnsi="Times New Roman" w:cs="Times New Roman"/>
          <w:sz w:val="28"/>
          <w:szCs w:val="28"/>
          <w:lang w:val="en-US"/>
        </w:rPr>
        <w:t xml:space="preserve"> tender </w:t>
      </w:r>
      <w:r w:rsidR="00F96B1A" w:rsidRPr="000E2B31">
        <w:rPr>
          <w:rFonts w:ascii="Times New Roman" w:hAnsi="Times New Roman" w:cs="Times New Roman"/>
          <w:sz w:val="28"/>
          <w:szCs w:val="28"/>
          <w:lang w:val="en-US"/>
        </w:rPr>
        <w:t>ought to</w:t>
      </w:r>
      <w:r w:rsidR="00776759" w:rsidRPr="000E2B31">
        <w:rPr>
          <w:rFonts w:ascii="Times New Roman" w:hAnsi="Times New Roman" w:cs="Times New Roman"/>
          <w:sz w:val="28"/>
          <w:szCs w:val="28"/>
          <w:lang w:val="en-US"/>
        </w:rPr>
        <w:t xml:space="preserve"> be awarded to the tenderer who scores the highest points unless objective criteria (that have been </w:t>
      </w:r>
      <w:r w:rsidR="00F96B1A" w:rsidRPr="000E2B31">
        <w:rPr>
          <w:rFonts w:ascii="Times New Roman" w:hAnsi="Times New Roman" w:cs="Times New Roman"/>
          <w:sz w:val="28"/>
          <w:szCs w:val="28"/>
          <w:lang w:val="en-US"/>
        </w:rPr>
        <w:t xml:space="preserve">unequivocally </w:t>
      </w:r>
      <w:r w:rsidR="00776759" w:rsidRPr="000E2B31">
        <w:rPr>
          <w:rFonts w:ascii="Times New Roman" w:hAnsi="Times New Roman" w:cs="Times New Roman"/>
          <w:sz w:val="28"/>
          <w:szCs w:val="28"/>
          <w:lang w:val="en-US"/>
        </w:rPr>
        <w:t xml:space="preserve">foreshadowed in the tender Data) other than the criteria </w:t>
      </w:r>
      <w:r w:rsidR="006D35B7" w:rsidRPr="000E2B31">
        <w:rPr>
          <w:rFonts w:ascii="Times New Roman" w:hAnsi="Times New Roman" w:cs="Times New Roman"/>
          <w:sz w:val="28"/>
          <w:szCs w:val="28"/>
          <w:lang w:val="en-US"/>
        </w:rPr>
        <w:t xml:space="preserve">contemplated in paragraph (d) and (e) (not applicable for present </w:t>
      </w:r>
      <w:r w:rsidR="00595E10" w:rsidRPr="000E2B31">
        <w:rPr>
          <w:rFonts w:ascii="Times New Roman" w:hAnsi="Times New Roman" w:cs="Times New Roman"/>
          <w:sz w:val="28"/>
          <w:szCs w:val="28"/>
          <w:lang w:val="en-US"/>
        </w:rPr>
        <w:t>purposes)</w:t>
      </w:r>
      <w:r w:rsidR="00F96B1A" w:rsidRPr="000E2B31">
        <w:rPr>
          <w:rFonts w:ascii="Times New Roman" w:hAnsi="Times New Roman" w:cs="Times New Roman"/>
          <w:sz w:val="28"/>
          <w:szCs w:val="28"/>
          <w:lang w:val="en-US"/>
        </w:rPr>
        <w:t>,</w:t>
      </w:r>
      <w:r w:rsidR="00595E10" w:rsidRPr="000E2B31">
        <w:rPr>
          <w:rFonts w:ascii="Times New Roman" w:hAnsi="Times New Roman" w:cs="Times New Roman"/>
          <w:sz w:val="28"/>
          <w:szCs w:val="28"/>
          <w:lang w:val="en-US"/>
        </w:rPr>
        <w:t xml:space="preserve"> justify</w:t>
      </w:r>
      <w:r w:rsidR="006D35B7" w:rsidRPr="000E2B31">
        <w:rPr>
          <w:rFonts w:ascii="Times New Roman" w:hAnsi="Times New Roman" w:cs="Times New Roman"/>
          <w:sz w:val="28"/>
          <w:szCs w:val="28"/>
          <w:lang w:val="en-US"/>
        </w:rPr>
        <w:t xml:space="preserve"> the award to “another tenderer” (who by </w:t>
      </w:r>
      <w:r w:rsidR="006D35B7" w:rsidRPr="000E2B31">
        <w:rPr>
          <w:rFonts w:ascii="Times New Roman" w:hAnsi="Times New Roman" w:cs="Times New Roman"/>
          <w:sz w:val="28"/>
          <w:szCs w:val="28"/>
          <w:lang w:val="en-US"/>
        </w:rPr>
        <w:lastRenderedPageBreak/>
        <w:t xml:space="preserve">necessary implication can only be a tenderer that is in the final reckoning together with the highest scoring tenderer). </w:t>
      </w:r>
      <w:r w:rsidR="00D25237" w:rsidRPr="000E2B31">
        <w:rPr>
          <w:rFonts w:ascii="Times New Roman" w:hAnsi="Times New Roman" w:cs="Times New Roman"/>
          <w:sz w:val="28"/>
          <w:szCs w:val="28"/>
          <w:lang w:val="en-US"/>
        </w:rPr>
        <w:t>Although it is not stated so plainly, I imagine that the second highest scoring bidder will be the next tenderer in the offing, in the usual order of a runner u</w:t>
      </w:r>
      <w:r w:rsidR="00DD50D7" w:rsidRPr="000E2B31">
        <w:rPr>
          <w:rFonts w:ascii="Times New Roman" w:hAnsi="Times New Roman" w:cs="Times New Roman"/>
          <w:sz w:val="28"/>
          <w:szCs w:val="28"/>
          <w:lang w:val="en-US"/>
        </w:rPr>
        <w:t xml:space="preserve">p so to speak, as happens in practice.  The framework does not reference a second highest scoring bidder at all, but it makes logical sense that if the highest scoring bidder is disqualified, that the second highest point scorer will be elevated to first position </w:t>
      </w:r>
      <w:r w:rsidR="00AD6E85" w:rsidRPr="000E2B31">
        <w:rPr>
          <w:rFonts w:ascii="Times New Roman" w:hAnsi="Times New Roman" w:cs="Times New Roman"/>
          <w:sz w:val="28"/>
          <w:szCs w:val="28"/>
          <w:lang w:val="en-US"/>
        </w:rPr>
        <w:t>by such elimination.</w:t>
      </w:r>
      <w:r w:rsidR="00112C30">
        <w:rPr>
          <w:rStyle w:val="FootnoteReference"/>
          <w:rFonts w:ascii="Times New Roman" w:hAnsi="Times New Roman" w:cs="Times New Roman"/>
          <w:sz w:val="28"/>
          <w:szCs w:val="28"/>
          <w:lang w:val="en-US"/>
        </w:rPr>
        <w:footnoteReference w:id="54"/>
      </w:r>
    </w:p>
    <w:p w14:paraId="19676261" w14:textId="77777777" w:rsidR="00D25237" w:rsidRDefault="00D25237" w:rsidP="00D25237">
      <w:pPr>
        <w:pStyle w:val="ListParagraph"/>
        <w:tabs>
          <w:tab w:val="left" w:pos="709"/>
        </w:tabs>
        <w:spacing w:before="0" w:beforeAutospacing="0"/>
        <w:ind w:left="0"/>
        <w:jc w:val="both"/>
        <w:rPr>
          <w:rFonts w:ascii="Times New Roman" w:hAnsi="Times New Roman" w:cs="Times New Roman"/>
          <w:sz w:val="28"/>
          <w:szCs w:val="28"/>
          <w:lang w:val="en-US"/>
        </w:rPr>
      </w:pPr>
    </w:p>
    <w:p w14:paraId="1C2D2F4E" w14:textId="313E6C4F" w:rsidR="00AF0210" w:rsidRPr="000E2B31" w:rsidRDefault="000E2B31" w:rsidP="000E2B31">
      <w:pPr>
        <w:tabs>
          <w:tab w:val="left" w:pos="709"/>
        </w:tabs>
        <w:spacing w:before="0" w:beforeAutospacing="0"/>
        <w:jc w:val="both"/>
        <w:rPr>
          <w:rFonts w:ascii="Times New Roman" w:hAnsi="Times New Roman" w:cs="Times New Roman"/>
          <w:sz w:val="28"/>
          <w:szCs w:val="28"/>
          <w:lang w:val="en-US"/>
        </w:rPr>
      </w:pPr>
      <w:r w:rsidRPr="00AF0210">
        <w:rPr>
          <w:rFonts w:ascii="Times New Roman" w:hAnsi="Times New Roman" w:cs="Times New Roman"/>
          <w:sz w:val="28"/>
          <w:szCs w:val="28"/>
          <w:lang w:val="en-US"/>
        </w:rPr>
        <w:t>[116]</w:t>
      </w:r>
      <w:r w:rsidRPr="00AF0210">
        <w:rPr>
          <w:rFonts w:ascii="Times New Roman" w:hAnsi="Times New Roman" w:cs="Times New Roman"/>
          <w:sz w:val="28"/>
          <w:szCs w:val="28"/>
          <w:lang w:val="en-US"/>
        </w:rPr>
        <w:tab/>
      </w:r>
      <w:r w:rsidR="00595E10" w:rsidRPr="000E2B31">
        <w:rPr>
          <w:rFonts w:ascii="Times New Roman" w:hAnsi="Times New Roman" w:cs="Times New Roman"/>
          <w:sz w:val="28"/>
          <w:szCs w:val="28"/>
          <w:lang w:val="en-US"/>
        </w:rPr>
        <w:t xml:space="preserve">When </w:t>
      </w:r>
      <w:r w:rsidR="00AF0210" w:rsidRPr="000E2B31">
        <w:rPr>
          <w:rFonts w:ascii="Times New Roman" w:hAnsi="Times New Roman" w:cs="Times New Roman"/>
          <w:sz w:val="28"/>
          <w:szCs w:val="28"/>
          <w:lang w:val="en-US"/>
        </w:rPr>
        <w:t xml:space="preserve">section 2 (1) (f) of the PPPFA is </w:t>
      </w:r>
      <w:r w:rsidR="00595E10" w:rsidRPr="000E2B31">
        <w:rPr>
          <w:rFonts w:ascii="Times New Roman" w:hAnsi="Times New Roman" w:cs="Times New Roman"/>
          <w:sz w:val="28"/>
          <w:szCs w:val="28"/>
          <w:lang w:val="en-US"/>
        </w:rPr>
        <w:t xml:space="preserve">read together with </w:t>
      </w:r>
      <w:r w:rsidR="00AF0210" w:rsidRPr="000E2B31">
        <w:rPr>
          <w:rFonts w:ascii="Times New Roman" w:hAnsi="Times New Roman" w:cs="Times New Roman"/>
          <w:sz w:val="28"/>
          <w:szCs w:val="28"/>
          <w:lang w:val="en-US"/>
        </w:rPr>
        <w:t xml:space="preserve">what Clause C </w:t>
      </w:r>
      <w:r w:rsidR="00595E10" w:rsidRPr="000E2B31">
        <w:rPr>
          <w:rFonts w:ascii="Times New Roman" w:hAnsi="Times New Roman" w:cs="Times New Roman"/>
          <w:sz w:val="28"/>
          <w:szCs w:val="28"/>
          <w:lang w:val="en-US"/>
        </w:rPr>
        <w:t>provide</w:t>
      </w:r>
      <w:r w:rsidR="00AF0210" w:rsidRPr="000E2B31">
        <w:rPr>
          <w:rFonts w:ascii="Times New Roman" w:hAnsi="Times New Roman" w:cs="Times New Roman"/>
          <w:sz w:val="28"/>
          <w:szCs w:val="28"/>
          <w:lang w:val="en-US"/>
        </w:rPr>
        <w:t>s</w:t>
      </w:r>
      <w:r w:rsidR="00D62C1A" w:rsidRPr="000E2B31">
        <w:rPr>
          <w:rFonts w:ascii="Times New Roman" w:hAnsi="Times New Roman" w:cs="Times New Roman"/>
          <w:sz w:val="28"/>
          <w:szCs w:val="28"/>
          <w:lang w:val="en-US"/>
        </w:rPr>
        <w:t xml:space="preserve"> for</w:t>
      </w:r>
      <w:r w:rsidR="00D25237" w:rsidRPr="000E2B31">
        <w:rPr>
          <w:rFonts w:ascii="Times New Roman" w:hAnsi="Times New Roman" w:cs="Times New Roman"/>
          <w:sz w:val="28"/>
          <w:szCs w:val="28"/>
          <w:lang w:val="en-US"/>
        </w:rPr>
        <w:t xml:space="preserve"> </w:t>
      </w:r>
      <w:r w:rsidR="00D62C1A" w:rsidRPr="000E2B31">
        <w:rPr>
          <w:rFonts w:ascii="Times New Roman" w:hAnsi="Times New Roman" w:cs="Times New Roman"/>
          <w:sz w:val="28"/>
          <w:szCs w:val="28"/>
          <w:lang w:val="en-US"/>
        </w:rPr>
        <w:t xml:space="preserve">in this instance </w:t>
      </w:r>
      <w:r w:rsidR="00D25237" w:rsidRPr="000E2B31">
        <w:rPr>
          <w:rFonts w:ascii="Times New Roman" w:hAnsi="Times New Roman" w:cs="Times New Roman"/>
          <w:sz w:val="28"/>
          <w:szCs w:val="28"/>
          <w:lang w:val="en-US"/>
        </w:rPr>
        <w:t>(assuming the</w:t>
      </w:r>
      <w:r w:rsidR="008C066D" w:rsidRPr="000E2B31">
        <w:rPr>
          <w:rFonts w:ascii="Times New Roman" w:hAnsi="Times New Roman" w:cs="Times New Roman"/>
          <w:sz w:val="28"/>
          <w:szCs w:val="28"/>
          <w:lang w:val="en-US"/>
        </w:rPr>
        <w:t xml:space="preserve"> criteria </w:t>
      </w:r>
      <w:r w:rsidR="00F96B1A" w:rsidRPr="000E2B31">
        <w:rPr>
          <w:rFonts w:ascii="Times New Roman" w:hAnsi="Times New Roman" w:cs="Times New Roman"/>
          <w:sz w:val="28"/>
          <w:szCs w:val="28"/>
          <w:lang w:val="en-US"/>
        </w:rPr>
        <w:t xml:space="preserve">relied upon </w:t>
      </w:r>
      <w:r w:rsidR="008C066D" w:rsidRPr="000E2B31">
        <w:rPr>
          <w:rFonts w:ascii="Times New Roman" w:hAnsi="Times New Roman" w:cs="Times New Roman"/>
          <w:sz w:val="28"/>
          <w:szCs w:val="28"/>
          <w:lang w:val="en-US"/>
        </w:rPr>
        <w:t>can be construed as objective criteria)</w:t>
      </w:r>
      <w:r w:rsidR="00D62C1A" w:rsidRPr="000E2B31">
        <w:rPr>
          <w:rFonts w:ascii="Times New Roman" w:hAnsi="Times New Roman" w:cs="Times New Roman"/>
          <w:sz w:val="28"/>
          <w:szCs w:val="28"/>
          <w:lang w:val="en-US"/>
        </w:rPr>
        <w:t>,</w:t>
      </w:r>
      <w:r w:rsidR="008C066D" w:rsidRPr="000E2B31">
        <w:rPr>
          <w:rFonts w:ascii="Times New Roman" w:hAnsi="Times New Roman" w:cs="Times New Roman"/>
          <w:sz w:val="28"/>
          <w:szCs w:val="28"/>
          <w:lang w:val="en-US"/>
        </w:rPr>
        <w:t xml:space="preserve"> </w:t>
      </w:r>
      <w:r w:rsidR="00595E10" w:rsidRPr="000E2B31">
        <w:rPr>
          <w:rFonts w:ascii="Times New Roman" w:hAnsi="Times New Roman" w:cs="Times New Roman"/>
          <w:sz w:val="28"/>
          <w:szCs w:val="28"/>
          <w:lang w:val="en-US"/>
        </w:rPr>
        <w:t xml:space="preserve">it follows that the reason for </w:t>
      </w:r>
      <w:r w:rsidR="00D25237" w:rsidRPr="000E2B31">
        <w:rPr>
          <w:rFonts w:ascii="Times New Roman" w:hAnsi="Times New Roman" w:cs="Times New Roman"/>
          <w:sz w:val="28"/>
          <w:szCs w:val="28"/>
          <w:lang w:val="en-US"/>
        </w:rPr>
        <w:t>not awarding the tender to the highest scoring bidder</w:t>
      </w:r>
      <w:r w:rsidR="000C60EA" w:rsidRPr="000E2B31">
        <w:rPr>
          <w:rFonts w:ascii="Times New Roman" w:hAnsi="Times New Roman" w:cs="Times New Roman"/>
          <w:sz w:val="28"/>
          <w:szCs w:val="28"/>
          <w:lang w:val="en-US"/>
        </w:rPr>
        <w:t>,</w:t>
      </w:r>
      <w:r w:rsidR="00D25237" w:rsidRPr="000E2B31">
        <w:rPr>
          <w:rFonts w:ascii="Times New Roman" w:hAnsi="Times New Roman" w:cs="Times New Roman"/>
          <w:sz w:val="28"/>
          <w:szCs w:val="28"/>
          <w:lang w:val="en-US"/>
        </w:rPr>
        <w:t xml:space="preserve"> </w:t>
      </w:r>
      <w:r w:rsidR="000C60EA" w:rsidRPr="000E2B31">
        <w:rPr>
          <w:rFonts w:ascii="Times New Roman" w:hAnsi="Times New Roman" w:cs="Times New Roman"/>
          <w:sz w:val="28"/>
          <w:szCs w:val="28"/>
          <w:lang w:val="en-US"/>
        </w:rPr>
        <w:t>which</w:t>
      </w:r>
      <w:r w:rsidR="00D25237" w:rsidRPr="000E2B31">
        <w:rPr>
          <w:rFonts w:ascii="Times New Roman" w:hAnsi="Times New Roman" w:cs="Times New Roman"/>
          <w:sz w:val="28"/>
          <w:szCs w:val="28"/>
          <w:lang w:val="en-US"/>
        </w:rPr>
        <w:t xml:space="preserve"> has after all duly achieved </w:t>
      </w:r>
      <w:r w:rsidR="000C60EA" w:rsidRPr="000E2B31">
        <w:rPr>
          <w:rFonts w:ascii="Times New Roman" w:hAnsi="Times New Roman" w:cs="Times New Roman"/>
          <w:sz w:val="28"/>
          <w:szCs w:val="28"/>
          <w:lang w:val="en-US"/>
        </w:rPr>
        <w:t>its</w:t>
      </w:r>
      <w:r w:rsidR="00D25237" w:rsidRPr="000E2B31">
        <w:rPr>
          <w:rFonts w:ascii="Times New Roman" w:hAnsi="Times New Roman" w:cs="Times New Roman"/>
          <w:sz w:val="28"/>
          <w:szCs w:val="28"/>
          <w:lang w:val="en-US"/>
        </w:rPr>
        <w:t xml:space="preserve"> place t</w:t>
      </w:r>
      <w:r w:rsidR="00E16E2B" w:rsidRPr="000E2B31">
        <w:rPr>
          <w:rFonts w:ascii="Times New Roman" w:hAnsi="Times New Roman" w:cs="Times New Roman"/>
          <w:sz w:val="28"/>
          <w:szCs w:val="28"/>
          <w:lang w:val="en-US"/>
        </w:rPr>
        <w:t>hrough</w:t>
      </w:r>
      <w:r w:rsidR="00D25237" w:rsidRPr="000E2B31">
        <w:rPr>
          <w:rFonts w:ascii="Times New Roman" w:hAnsi="Times New Roman" w:cs="Times New Roman"/>
          <w:sz w:val="28"/>
          <w:szCs w:val="28"/>
          <w:lang w:val="en-US"/>
        </w:rPr>
        <w:t xml:space="preserve"> the application of the </w:t>
      </w:r>
      <w:r w:rsidR="00F96B1A" w:rsidRPr="000E2B31">
        <w:rPr>
          <w:rFonts w:ascii="Times New Roman" w:hAnsi="Times New Roman" w:cs="Times New Roman"/>
          <w:sz w:val="28"/>
          <w:szCs w:val="28"/>
          <w:lang w:val="en-US"/>
        </w:rPr>
        <w:t xml:space="preserve">adopted </w:t>
      </w:r>
      <w:r w:rsidR="00D25237" w:rsidRPr="000E2B31">
        <w:rPr>
          <w:rFonts w:ascii="Times New Roman" w:hAnsi="Times New Roman" w:cs="Times New Roman"/>
          <w:sz w:val="28"/>
          <w:szCs w:val="28"/>
          <w:lang w:val="en-US"/>
        </w:rPr>
        <w:t>method</w:t>
      </w:r>
      <w:r w:rsidR="005E4619" w:rsidRPr="000E2B31">
        <w:rPr>
          <w:rFonts w:ascii="Times New Roman" w:hAnsi="Times New Roman" w:cs="Times New Roman"/>
          <w:sz w:val="28"/>
          <w:szCs w:val="28"/>
          <w:lang w:val="en-US"/>
        </w:rPr>
        <w:t>,</w:t>
      </w:r>
      <w:r w:rsidR="00D25237" w:rsidRPr="000E2B31">
        <w:rPr>
          <w:rFonts w:ascii="Times New Roman" w:hAnsi="Times New Roman" w:cs="Times New Roman"/>
          <w:sz w:val="28"/>
          <w:szCs w:val="28"/>
          <w:lang w:val="en-US"/>
        </w:rPr>
        <w:t xml:space="preserve"> </w:t>
      </w:r>
      <w:r w:rsidR="00AF0210" w:rsidRPr="000E2B31">
        <w:rPr>
          <w:rFonts w:ascii="Times New Roman" w:hAnsi="Times New Roman" w:cs="Times New Roman"/>
          <w:sz w:val="28"/>
          <w:szCs w:val="28"/>
          <w:lang w:val="en-US"/>
        </w:rPr>
        <w:t>must be</w:t>
      </w:r>
      <w:r w:rsidR="008C066D" w:rsidRPr="000E2B31">
        <w:rPr>
          <w:rFonts w:ascii="Times New Roman" w:hAnsi="Times New Roman" w:cs="Times New Roman"/>
          <w:sz w:val="28"/>
          <w:szCs w:val="28"/>
          <w:lang w:val="en-US"/>
        </w:rPr>
        <w:t xml:space="preserve"> </w:t>
      </w:r>
      <w:r w:rsidR="00D62C1A" w:rsidRPr="000E2B31">
        <w:rPr>
          <w:rFonts w:ascii="Times New Roman" w:hAnsi="Times New Roman" w:cs="Times New Roman"/>
          <w:sz w:val="28"/>
          <w:szCs w:val="28"/>
          <w:lang w:val="en-US"/>
        </w:rPr>
        <w:t>one</w:t>
      </w:r>
      <w:r w:rsidR="008C066D" w:rsidRPr="000E2B31">
        <w:rPr>
          <w:rFonts w:ascii="Times New Roman" w:hAnsi="Times New Roman" w:cs="Times New Roman"/>
          <w:sz w:val="28"/>
          <w:szCs w:val="28"/>
          <w:lang w:val="en-US"/>
        </w:rPr>
        <w:t xml:space="preserve"> inherently related to </w:t>
      </w:r>
      <w:r w:rsidR="00D62C1A" w:rsidRPr="000E2B31">
        <w:rPr>
          <w:rFonts w:ascii="Times New Roman" w:hAnsi="Times New Roman" w:cs="Times New Roman"/>
          <w:sz w:val="28"/>
          <w:szCs w:val="28"/>
          <w:lang w:val="en-US"/>
        </w:rPr>
        <w:t>its</w:t>
      </w:r>
      <w:r w:rsidR="00F96B1A" w:rsidRPr="000E2B31">
        <w:rPr>
          <w:rFonts w:ascii="Times New Roman" w:hAnsi="Times New Roman" w:cs="Times New Roman"/>
          <w:sz w:val="28"/>
          <w:szCs w:val="28"/>
          <w:lang w:val="en-US"/>
        </w:rPr>
        <w:t xml:space="preserve"> own risk profile. </w:t>
      </w:r>
      <w:r w:rsidR="00F96B1A" w:rsidRPr="000E2B31">
        <w:rPr>
          <w:rFonts w:ascii="Times New Roman" w:hAnsi="Times New Roman" w:cs="Times New Roman"/>
          <w:sz w:val="28"/>
          <w:szCs w:val="28"/>
          <w:lang w:val="en-GB"/>
        </w:rPr>
        <w:t>The question must ultimately be whether an objective reason exists to disqualify the high</w:t>
      </w:r>
      <w:r w:rsidR="00D62C1A" w:rsidRPr="000E2B31">
        <w:rPr>
          <w:rFonts w:ascii="Times New Roman" w:hAnsi="Times New Roman" w:cs="Times New Roman"/>
          <w:sz w:val="28"/>
          <w:szCs w:val="28"/>
          <w:lang w:val="en-GB"/>
        </w:rPr>
        <w:t>est</w:t>
      </w:r>
      <w:r w:rsidR="00F96B1A" w:rsidRPr="000E2B31">
        <w:rPr>
          <w:rFonts w:ascii="Times New Roman" w:hAnsi="Times New Roman" w:cs="Times New Roman"/>
          <w:sz w:val="28"/>
          <w:szCs w:val="28"/>
          <w:lang w:val="en-GB"/>
        </w:rPr>
        <w:t xml:space="preserve"> scoring tender</w:t>
      </w:r>
      <w:r w:rsidR="00D62C1A" w:rsidRPr="000E2B31">
        <w:rPr>
          <w:rFonts w:ascii="Times New Roman" w:hAnsi="Times New Roman" w:cs="Times New Roman"/>
          <w:sz w:val="28"/>
          <w:szCs w:val="28"/>
          <w:lang w:val="en-GB"/>
        </w:rPr>
        <w:t>er’</w:t>
      </w:r>
      <w:r w:rsidR="00F96B1A" w:rsidRPr="000E2B31">
        <w:rPr>
          <w:rFonts w:ascii="Times New Roman" w:hAnsi="Times New Roman" w:cs="Times New Roman"/>
          <w:sz w:val="28"/>
          <w:szCs w:val="28"/>
          <w:lang w:val="en-GB"/>
        </w:rPr>
        <w:t>s bid</w:t>
      </w:r>
      <w:r w:rsidR="00AF0210" w:rsidRPr="000E2B31">
        <w:rPr>
          <w:rFonts w:ascii="Times New Roman" w:hAnsi="Times New Roman" w:cs="Times New Roman"/>
          <w:sz w:val="28"/>
          <w:szCs w:val="28"/>
          <w:lang w:val="en-GB"/>
        </w:rPr>
        <w:t xml:space="preserve"> based on </w:t>
      </w:r>
      <w:r w:rsidR="00AD6E85" w:rsidRPr="000E2B31">
        <w:rPr>
          <w:rFonts w:ascii="Times New Roman" w:hAnsi="Times New Roman" w:cs="Times New Roman"/>
          <w:sz w:val="28"/>
          <w:szCs w:val="28"/>
          <w:lang w:val="en-GB"/>
        </w:rPr>
        <w:t>that</w:t>
      </w:r>
      <w:r w:rsidR="00AF0210" w:rsidRPr="000E2B31">
        <w:rPr>
          <w:rFonts w:ascii="Times New Roman" w:hAnsi="Times New Roman" w:cs="Times New Roman"/>
          <w:sz w:val="28"/>
          <w:szCs w:val="28"/>
          <w:lang w:val="en-GB"/>
        </w:rPr>
        <w:t xml:space="preserve"> risk profile</w:t>
      </w:r>
      <w:r w:rsidR="00F96B1A" w:rsidRPr="000E2B31">
        <w:rPr>
          <w:rFonts w:ascii="Times New Roman" w:hAnsi="Times New Roman" w:cs="Times New Roman"/>
          <w:sz w:val="28"/>
          <w:szCs w:val="28"/>
          <w:lang w:val="en-GB"/>
        </w:rPr>
        <w:t xml:space="preserve">. </w:t>
      </w:r>
    </w:p>
    <w:p w14:paraId="0C7C7877" w14:textId="77777777" w:rsidR="00AF0210" w:rsidRPr="00AF0210" w:rsidRDefault="00AF0210" w:rsidP="00AF0210">
      <w:pPr>
        <w:pStyle w:val="ListParagraph"/>
        <w:rPr>
          <w:rFonts w:ascii="Times New Roman" w:hAnsi="Times New Roman" w:cs="Times New Roman"/>
          <w:sz w:val="28"/>
          <w:szCs w:val="28"/>
          <w:lang w:val="en-GB"/>
        </w:rPr>
      </w:pPr>
    </w:p>
    <w:p w14:paraId="50CFF79D" w14:textId="3D55C447" w:rsidR="00D62C1A" w:rsidRPr="000E2B31" w:rsidRDefault="000E2B31" w:rsidP="000E2B31">
      <w:pPr>
        <w:tabs>
          <w:tab w:val="left" w:pos="709"/>
        </w:tabs>
        <w:spacing w:before="0" w:beforeAutospacing="0"/>
        <w:jc w:val="both"/>
        <w:rPr>
          <w:rFonts w:ascii="Times New Roman" w:hAnsi="Times New Roman" w:cs="Times New Roman"/>
          <w:sz w:val="28"/>
          <w:szCs w:val="28"/>
          <w:lang w:val="en-US"/>
        </w:rPr>
      </w:pPr>
      <w:r w:rsidRPr="00AF0210">
        <w:rPr>
          <w:rFonts w:ascii="Times New Roman" w:hAnsi="Times New Roman" w:cs="Times New Roman"/>
          <w:sz w:val="28"/>
          <w:szCs w:val="28"/>
          <w:lang w:val="en-US"/>
        </w:rPr>
        <w:t>[117]</w:t>
      </w:r>
      <w:r w:rsidRPr="00AF0210">
        <w:rPr>
          <w:rFonts w:ascii="Times New Roman" w:hAnsi="Times New Roman" w:cs="Times New Roman"/>
          <w:sz w:val="28"/>
          <w:szCs w:val="28"/>
          <w:lang w:val="en-US"/>
        </w:rPr>
        <w:tab/>
      </w:r>
      <w:r w:rsidR="000C60EA" w:rsidRPr="000E2B31">
        <w:rPr>
          <w:rFonts w:ascii="Times New Roman" w:hAnsi="Times New Roman" w:cs="Times New Roman"/>
          <w:sz w:val="28"/>
          <w:szCs w:val="28"/>
          <w:lang w:val="en-GB"/>
        </w:rPr>
        <w:t>In other words,</w:t>
      </w:r>
      <w:r w:rsidR="00AF0210" w:rsidRPr="000E2B31">
        <w:rPr>
          <w:rFonts w:ascii="Times New Roman" w:hAnsi="Times New Roman" w:cs="Times New Roman"/>
          <w:sz w:val="28"/>
          <w:szCs w:val="28"/>
          <w:lang w:val="en-GB"/>
        </w:rPr>
        <w:t xml:space="preserve"> the </w:t>
      </w:r>
      <w:r w:rsidR="00F96B1A" w:rsidRPr="000E2B31">
        <w:rPr>
          <w:rFonts w:ascii="Times New Roman" w:hAnsi="Times New Roman" w:cs="Times New Roman"/>
          <w:sz w:val="28"/>
          <w:szCs w:val="28"/>
          <w:lang w:val="en-GB"/>
        </w:rPr>
        <w:t xml:space="preserve">employer is </w:t>
      </w:r>
      <w:r w:rsidR="00D62C1A" w:rsidRPr="000E2B31">
        <w:rPr>
          <w:rFonts w:ascii="Times New Roman" w:hAnsi="Times New Roman" w:cs="Times New Roman"/>
          <w:sz w:val="28"/>
          <w:szCs w:val="28"/>
          <w:lang w:val="en-GB"/>
        </w:rPr>
        <w:t xml:space="preserve">not </w:t>
      </w:r>
      <w:r w:rsidR="00F96B1A" w:rsidRPr="000E2B31">
        <w:rPr>
          <w:rFonts w:ascii="Times New Roman" w:hAnsi="Times New Roman" w:cs="Times New Roman"/>
          <w:sz w:val="28"/>
          <w:szCs w:val="28"/>
          <w:lang w:val="en-GB"/>
        </w:rPr>
        <w:t xml:space="preserve">expected </w:t>
      </w:r>
      <w:r w:rsidR="00D62C1A" w:rsidRPr="000E2B31">
        <w:rPr>
          <w:rFonts w:ascii="Times New Roman" w:hAnsi="Times New Roman" w:cs="Times New Roman"/>
          <w:sz w:val="28"/>
          <w:szCs w:val="28"/>
          <w:lang w:val="en-GB"/>
        </w:rPr>
        <w:t>to</w:t>
      </w:r>
      <w:r w:rsidR="00F96B1A" w:rsidRPr="000E2B31">
        <w:rPr>
          <w:rFonts w:ascii="Times New Roman" w:hAnsi="Times New Roman" w:cs="Times New Roman"/>
          <w:sz w:val="28"/>
          <w:szCs w:val="28"/>
          <w:lang w:val="en-GB"/>
        </w:rPr>
        <w:t xml:space="preserve"> justify the award to the </w:t>
      </w:r>
      <w:r w:rsidR="00D62C1A" w:rsidRPr="000E2B31">
        <w:rPr>
          <w:rFonts w:ascii="Times New Roman" w:hAnsi="Times New Roman" w:cs="Times New Roman"/>
          <w:sz w:val="28"/>
          <w:szCs w:val="28"/>
          <w:lang w:val="en-GB"/>
        </w:rPr>
        <w:t>“</w:t>
      </w:r>
      <w:r w:rsidR="00F96B1A" w:rsidRPr="000E2B31">
        <w:rPr>
          <w:rFonts w:ascii="Times New Roman" w:hAnsi="Times New Roman" w:cs="Times New Roman"/>
          <w:sz w:val="28"/>
          <w:szCs w:val="28"/>
          <w:lang w:val="en-GB"/>
        </w:rPr>
        <w:t>other tenderer</w:t>
      </w:r>
      <w:r w:rsidR="00D62C1A" w:rsidRPr="000E2B31">
        <w:rPr>
          <w:rFonts w:ascii="Times New Roman" w:hAnsi="Times New Roman" w:cs="Times New Roman"/>
          <w:sz w:val="28"/>
          <w:szCs w:val="28"/>
          <w:lang w:val="en-GB"/>
        </w:rPr>
        <w:t>” it is entitled in the constrained circumstances to benefit as a runner up</w:t>
      </w:r>
      <w:r w:rsidR="00F96B1A" w:rsidRPr="000E2B31">
        <w:rPr>
          <w:rFonts w:ascii="Times New Roman" w:hAnsi="Times New Roman" w:cs="Times New Roman"/>
          <w:sz w:val="28"/>
          <w:szCs w:val="28"/>
          <w:lang w:val="en-GB"/>
        </w:rPr>
        <w:t xml:space="preserve"> </w:t>
      </w:r>
      <w:r w:rsidR="00AF0210" w:rsidRPr="000E2B31">
        <w:rPr>
          <w:rFonts w:ascii="Times New Roman" w:hAnsi="Times New Roman" w:cs="Times New Roman"/>
          <w:sz w:val="28"/>
          <w:szCs w:val="28"/>
          <w:lang w:val="en-GB"/>
        </w:rPr>
        <w:t>on a basis that</w:t>
      </w:r>
      <w:r w:rsidR="00F96B1A" w:rsidRPr="000E2B31">
        <w:rPr>
          <w:rFonts w:ascii="Times New Roman" w:hAnsi="Times New Roman" w:cs="Times New Roman"/>
          <w:sz w:val="28"/>
          <w:szCs w:val="28"/>
          <w:lang w:val="en-GB"/>
        </w:rPr>
        <w:t xml:space="preserve"> it is </w:t>
      </w:r>
      <w:r w:rsidR="00F96B1A" w:rsidRPr="000E2B31">
        <w:rPr>
          <w:rFonts w:ascii="Times New Roman" w:hAnsi="Times New Roman" w:cs="Times New Roman"/>
          <w:i/>
          <w:iCs/>
          <w:sz w:val="28"/>
          <w:szCs w:val="28"/>
          <w:lang w:val="en-GB"/>
        </w:rPr>
        <w:t>more deserving</w:t>
      </w:r>
      <w:r w:rsidR="00AF0210" w:rsidRPr="000E2B31">
        <w:rPr>
          <w:rFonts w:ascii="Times New Roman" w:hAnsi="Times New Roman" w:cs="Times New Roman"/>
          <w:sz w:val="28"/>
          <w:szCs w:val="28"/>
          <w:lang w:val="en-GB"/>
        </w:rPr>
        <w:t xml:space="preserve"> than the one it considers it necessary to disqualify for whatever </w:t>
      </w:r>
      <w:r w:rsidR="00EB7C7C" w:rsidRPr="000E2B31">
        <w:rPr>
          <w:rFonts w:ascii="Times New Roman" w:hAnsi="Times New Roman" w:cs="Times New Roman"/>
          <w:sz w:val="28"/>
          <w:szCs w:val="28"/>
          <w:lang w:val="en-GB"/>
        </w:rPr>
        <w:t>objective reason may pertain in the circumstances</w:t>
      </w:r>
      <w:r w:rsidR="00D62C1A" w:rsidRPr="000E2B31">
        <w:rPr>
          <w:rFonts w:ascii="Times New Roman" w:hAnsi="Times New Roman" w:cs="Times New Roman"/>
          <w:sz w:val="28"/>
          <w:szCs w:val="28"/>
          <w:lang w:val="en-GB"/>
        </w:rPr>
        <w:t>,</w:t>
      </w:r>
      <w:r w:rsidR="00F96B1A" w:rsidRPr="000E2B31">
        <w:rPr>
          <w:rFonts w:ascii="Times New Roman" w:hAnsi="Times New Roman" w:cs="Times New Roman"/>
          <w:sz w:val="28"/>
          <w:szCs w:val="28"/>
          <w:lang w:val="en-GB"/>
        </w:rPr>
        <w:t xml:space="preserve"> but rather to justify why it can</w:t>
      </w:r>
      <w:r w:rsidR="00E16E2B" w:rsidRPr="000E2B31">
        <w:rPr>
          <w:rFonts w:ascii="Times New Roman" w:hAnsi="Times New Roman" w:cs="Times New Roman"/>
          <w:sz w:val="28"/>
          <w:szCs w:val="28"/>
          <w:lang w:val="en-GB"/>
        </w:rPr>
        <w:t>not</w:t>
      </w:r>
      <w:r w:rsidR="00EB7C7C" w:rsidRPr="000E2B31">
        <w:rPr>
          <w:rFonts w:ascii="Times New Roman" w:hAnsi="Times New Roman" w:cs="Times New Roman"/>
          <w:sz w:val="28"/>
          <w:szCs w:val="28"/>
          <w:lang w:val="en-GB"/>
        </w:rPr>
        <w:t>,</w:t>
      </w:r>
      <w:r w:rsidR="00D62C1A" w:rsidRPr="000E2B31">
        <w:rPr>
          <w:rFonts w:ascii="Times New Roman" w:hAnsi="Times New Roman" w:cs="Times New Roman"/>
          <w:sz w:val="28"/>
          <w:szCs w:val="28"/>
          <w:lang w:val="en-GB"/>
        </w:rPr>
        <w:t xml:space="preserve"> </w:t>
      </w:r>
      <w:r w:rsidR="00EB7C7C" w:rsidRPr="000E2B31">
        <w:rPr>
          <w:rFonts w:ascii="Times New Roman" w:hAnsi="Times New Roman" w:cs="Times New Roman"/>
          <w:sz w:val="28"/>
          <w:szCs w:val="28"/>
          <w:lang w:val="en-GB"/>
        </w:rPr>
        <w:t xml:space="preserve">by virtue of </w:t>
      </w:r>
      <w:r w:rsidR="009C07EA" w:rsidRPr="000E2B31">
        <w:rPr>
          <w:rFonts w:ascii="Times New Roman" w:hAnsi="Times New Roman" w:cs="Times New Roman"/>
          <w:sz w:val="28"/>
          <w:szCs w:val="28"/>
          <w:lang w:val="en-GB"/>
        </w:rPr>
        <w:t xml:space="preserve">its </w:t>
      </w:r>
      <w:r w:rsidR="00EB7C7C" w:rsidRPr="000E2B31">
        <w:rPr>
          <w:rFonts w:ascii="Times New Roman" w:hAnsi="Times New Roman" w:cs="Times New Roman"/>
          <w:sz w:val="28"/>
          <w:szCs w:val="28"/>
          <w:lang w:val="en-GB"/>
        </w:rPr>
        <w:t xml:space="preserve">supposed </w:t>
      </w:r>
      <w:r w:rsidR="009C07EA" w:rsidRPr="000E2B31">
        <w:rPr>
          <w:rFonts w:ascii="Times New Roman" w:hAnsi="Times New Roman" w:cs="Times New Roman"/>
          <w:sz w:val="28"/>
          <w:szCs w:val="28"/>
          <w:lang w:val="en-GB"/>
        </w:rPr>
        <w:t xml:space="preserve">objective </w:t>
      </w:r>
      <w:r w:rsidR="00EB7C7C" w:rsidRPr="000E2B31">
        <w:rPr>
          <w:rFonts w:ascii="Times New Roman" w:hAnsi="Times New Roman" w:cs="Times New Roman"/>
          <w:sz w:val="28"/>
          <w:szCs w:val="28"/>
          <w:lang w:val="en-GB"/>
        </w:rPr>
        <w:t>reason</w:t>
      </w:r>
      <w:r w:rsidR="00D62C1A" w:rsidRPr="000E2B31">
        <w:rPr>
          <w:rFonts w:ascii="Times New Roman" w:hAnsi="Times New Roman" w:cs="Times New Roman"/>
          <w:sz w:val="28"/>
          <w:szCs w:val="28"/>
          <w:lang w:val="en-GB"/>
        </w:rPr>
        <w:t xml:space="preserve">, </w:t>
      </w:r>
      <w:r w:rsidR="00EB7C7C" w:rsidRPr="000E2B31">
        <w:rPr>
          <w:rFonts w:ascii="Times New Roman" w:hAnsi="Times New Roman" w:cs="Times New Roman"/>
          <w:sz w:val="28"/>
          <w:szCs w:val="28"/>
          <w:lang w:val="en-GB"/>
        </w:rPr>
        <w:t xml:space="preserve">and </w:t>
      </w:r>
      <w:r w:rsidR="00D62C1A" w:rsidRPr="000E2B31">
        <w:rPr>
          <w:rFonts w:ascii="Times New Roman" w:hAnsi="Times New Roman" w:cs="Times New Roman"/>
          <w:sz w:val="28"/>
          <w:szCs w:val="28"/>
          <w:lang w:val="en-GB"/>
        </w:rPr>
        <w:t>despite</w:t>
      </w:r>
      <w:r w:rsidR="00F96B1A" w:rsidRPr="000E2B31">
        <w:rPr>
          <w:rFonts w:ascii="Times New Roman" w:hAnsi="Times New Roman" w:cs="Times New Roman"/>
          <w:sz w:val="28"/>
          <w:szCs w:val="28"/>
          <w:lang w:val="en-GB"/>
        </w:rPr>
        <w:t xml:space="preserve"> </w:t>
      </w:r>
      <w:r w:rsidR="00EB7C7C" w:rsidRPr="000E2B31">
        <w:rPr>
          <w:rFonts w:ascii="Times New Roman" w:hAnsi="Times New Roman" w:cs="Times New Roman"/>
          <w:sz w:val="28"/>
          <w:szCs w:val="28"/>
          <w:lang w:val="en-GB"/>
        </w:rPr>
        <w:t>that bidder being the</w:t>
      </w:r>
      <w:r w:rsidR="00D62C1A" w:rsidRPr="000E2B31">
        <w:rPr>
          <w:rFonts w:ascii="Times New Roman" w:hAnsi="Times New Roman" w:cs="Times New Roman"/>
          <w:sz w:val="28"/>
          <w:szCs w:val="28"/>
          <w:lang w:val="en-GB"/>
        </w:rPr>
        <w:t xml:space="preserve"> highest point scorer</w:t>
      </w:r>
      <w:r w:rsidR="00F96B1A" w:rsidRPr="000E2B31">
        <w:rPr>
          <w:rFonts w:ascii="Times New Roman" w:hAnsi="Times New Roman" w:cs="Times New Roman"/>
          <w:sz w:val="28"/>
          <w:szCs w:val="28"/>
          <w:lang w:val="en-GB"/>
        </w:rPr>
        <w:t xml:space="preserve">, award the tender to </w:t>
      </w:r>
      <w:r w:rsidR="00DD070D" w:rsidRPr="000E2B31">
        <w:rPr>
          <w:rFonts w:ascii="Times New Roman" w:hAnsi="Times New Roman" w:cs="Times New Roman"/>
          <w:sz w:val="28"/>
          <w:szCs w:val="28"/>
          <w:lang w:val="en-GB"/>
        </w:rPr>
        <w:t>it</w:t>
      </w:r>
      <w:r w:rsidR="00F96B1A" w:rsidRPr="000E2B31">
        <w:rPr>
          <w:rFonts w:ascii="Times New Roman" w:hAnsi="Times New Roman" w:cs="Times New Roman"/>
          <w:sz w:val="28"/>
          <w:szCs w:val="28"/>
          <w:lang w:val="en-GB"/>
        </w:rPr>
        <w:t xml:space="preserve"> after all. </w:t>
      </w:r>
    </w:p>
    <w:p w14:paraId="555B1115" w14:textId="77777777" w:rsidR="00D62C1A" w:rsidRPr="00D62C1A" w:rsidRDefault="00D62C1A" w:rsidP="00D62C1A">
      <w:pPr>
        <w:pStyle w:val="ListParagraph"/>
        <w:rPr>
          <w:rFonts w:ascii="Times New Roman" w:hAnsi="Times New Roman" w:cs="Times New Roman"/>
          <w:sz w:val="28"/>
          <w:szCs w:val="28"/>
          <w:lang w:val="en-GB"/>
        </w:rPr>
      </w:pPr>
    </w:p>
    <w:p w14:paraId="04BA91E3" w14:textId="0F7F3D01" w:rsidR="00D62C1A" w:rsidRPr="000E2B31" w:rsidRDefault="000E2B31" w:rsidP="000E2B31">
      <w:pPr>
        <w:tabs>
          <w:tab w:val="left" w:pos="709"/>
        </w:tabs>
        <w:spacing w:before="0" w:beforeAutospacing="0"/>
        <w:jc w:val="both"/>
        <w:rPr>
          <w:rFonts w:ascii="Times New Roman" w:hAnsi="Times New Roman" w:cs="Times New Roman"/>
          <w:sz w:val="28"/>
          <w:szCs w:val="28"/>
          <w:lang w:val="en-US"/>
        </w:rPr>
      </w:pPr>
      <w:r w:rsidRPr="00D62C1A">
        <w:rPr>
          <w:rFonts w:ascii="Times New Roman" w:hAnsi="Times New Roman" w:cs="Times New Roman"/>
          <w:sz w:val="28"/>
          <w:szCs w:val="28"/>
          <w:lang w:val="en-US"/>
        </w:rPr>
        <w:lastRenderedPageBreak/>
        <w:t>[118]</w:t>
      </w:r>
      <w:r w:rsidRPr="00D62C1A">
        <w:rPr>
          <w:rFonts w:ascii="Times New Roman" w:hAnsi="Times New Roman" w:cs="Times New Roman"/>
          <w:sz w:val="28"/>
          <w:szCs w:val="28"/>
          <w:lang w:val="en-US"/>
        </w:rPr>
        <w:tab/>
      </w:r>
      <w:r w:rsidR="00EB7C7C" w:rsidRPr="000E2B31">
        <w:rPr>
          <w:rFonts w:ascii="Times New Roman" w:hAnsi="Times New Roman" w:cs="Times New Roman"/>
          <w:sz w:val="28"/>
          <w:szCs w:val="28"/>
          <w:lang w:val="en-GB"/>
        </w:rPr>
        <w:t>In</w:t>
      </w:r>
      <w:r w:rsidR="00F96B1A" w:rsidRPr="000E2B31">
        <w:rPr>
          <w:rFonts w:ascii="Times New Roman" w:hAnsi="Times New Roman" w:cs="Times New Roman"/>
          <w:sz w:val="28"/>
          <w:szCs w:val="28"/>
          <w:lang w:val="en-GB"/>
        </w:rPr>
        <w:t xml:space="preserve"> my view </w:t>
      </w:r>
      <w:r w:rsidR="00EB7C7C" w:rsidRPr="000E2B31">
        <w:rPr>
          <w:rFonts w:ascii="Times New Roman" w:hAnsi="Times New Roman" w:cs="Times New Roman"/>
          <w:sz w:val="28"/>
          <w:szCs w:val="28"/>
          <w:lang w:val="en-GB"/>
        </w:rPr>
        <w:t xml:space="preserve">there is </w:t>
      </w:r>
      <w:r w:rsidR="00F96B1A" w:rsidRPr="000E2B31">
        <w:rPr>
          <w:rFonts w:ascii="Times New Roman" w:hAnsi="Times New Roman" w:cs="Times New Roman"/>
          <w:sz w:val="28"/>
          <w:szCs w:val="28"/>
          <w:lang w:val="en-GB"/>
        </w:rPr>
        <w:t xml:space="preserve">no suggestion that it comes down to a further contest between the remaining </w:t>
      </w:r>
      <w:r w:rsidR="00D62C1A" w:rsidRPr="000E2B31">
        <w:rPr>
          <w:rFonts w:ascii="Times New Roman" w:hAnsi="Times New Roman" w:cs="Times New Roman"/>
          <w:sz w:val="28"/>
          <w:szCs w:val="28"/>
          <w:lang w:val="en-GB"/>
        </w:rPr>
        <w:t>bidders to ascertain</w:t>
      </w:r>
      <w:r w:rsidR="00F96B1A" w:rsidRPr="000E2B31">
        <w:rPr>
          <w:rFonts w:ascii="Times New Roman" w:hAnsi="Times New Roman" w:cs="Times New Roman"/>
          <w:sz w:val="28"/>
          <w:szCs w:val="28"/>
          <w:lang w:val="en-GB"/>
        </w:rPr>
        <w:t xml:space="preserve"> which of them in the pool poses the least risk</w:t>
      </w:r>
      <w:r w:rsidR="00D62C1A" w:rsidRPr="000E2B31">
        <w:rPr>
          <w:rFonts w:ascii="Times New Roman" w:hAnsi="Times New Roman" w:cs="Times New Roman"/>
          <w:sz w:val="28"/>
          <w:szCs w:val="28"/>
          <w:lang w:val="en-GB"/>
        </w:rPr>
        <w:t xml:space="preserve">.  </w:t>
      </w:r>
      <w:r w:rsidR="00EB7C7C" w:rsidRPr="000E2B31">
        <w:rPr>
          <w:rFonts w:ascii="Times New Roman" w:hAnsi="Times New Roman" w:cs="Times New Roman"/>
          <w:sz w:val="28"/>
          <w:szCs w:val="28"/>
          <w:lang w:val="en-GB"/>
        </w:rPr>
        <w:t>Indeed,</w:t>
      </w:r>
      <w:r w:rsidR="00F96B1A" w:rsidRPr="000E2B31">
        <w:rPr>
          <w:rFonts w:ascii="Times New Roman" w:hAnsi="Times New Roman" w:cs="Times New Roman"/>
          <w:sz w:val="28"/>
          <w:szCs w:val="28"/>
          <w:lang w:val="en-GB"/>
        </w:rPr>
        <w:t xml:space="preserve"> in my view the runner</w:t>
      </w:r>
      <w:r w:rsidR="00D62C1A" w:rsidRPr="000E2B31">
        <w:rPr>
          <w:rFonts w:ascii="Times New Roman" w:hAnsi="Times New Roman" w:cs="Times New Roman"/>
          <w:sz w:val="28"/>
          <w:szCs w:val="28"/>
          <w:lang w:val="en-GB"/>
        </w:rPr>
        <w:t>s</w:t>
      </w:r>
      <w:r w:rsidR="00F96B1A" w:rsidRPr="000E2B31">
        <w:rPr>
          <w:rFonts w:ascii="Times New Roman" w:hAnsi="Times New Roman" w:cs="Times New Roman"/>
          <w:sz w:val="28"/>
          <w:szCs w:val="28"/>
          <w:lang w:val="en-GB"/>
        </w:rPr>
        <w:t xml:space="preserve"> up </w:t>
      </w:r>
      <w:r w:rsidR="00EB7C7C" w:rsidRPr="000E2B31">
        <w:rPr>
          <w:rFonts w:ascii="Times New Roman" w:hAnsi="Times New Roman" w:cs="Times New Roman"/>
          <w:sz w:val="28"/>
          <w:szCs w:val="28"/>
          <w:lang w:val="en-GB"/>
        </w:rPr>
        <w:t>have</w:t>
      </w:r>
      <w:r w:rsidR="00F96B1A" w:rsidRPr="000E2B31">
        <w:rPr>
          <w:rFonts w:ascii="Times New Roman" w:hAnsi="Times New Roman" w:cs="Times New Roman"/>
          <w:sz w:val="28"/>
          <w:szCs w:val="28"/>
          <w:lang w:val="en-GB"/>
        </w:rPr>
        <w:t xml:space="preserve"> no vested interest in the process at all</w:t>
      </w:r>
      <w:r w:rsidR="00AD6E85" w:rsidRPr="000E2B31">
        <w:rPr>
          <w:rFonts w:ascii="Times New Roman" w:hAnsi="Times New Roman" w:cs="Times New Roman"/>
          <w:sz w:val="28"/>
          <w:szCs w:val="28"/>
          <w:lang w:val="en-GB"/>
        </w:rPr>
        <w:t xml:space="preserve"> although, as I suggest above</w:t>
      </w:r>
      <w:r w:rsidR="008A3A85" w:rsidRPr="000E2B31">
        <w:rPr>
          <w:rFonts w:ascii="Times New Roman" w:hAnsi="Times New Roman" w:cs="Times New Roman"/>
          <w:sz w:val="28"/>
          <w:szCs w:val="28"/>
          <w:lang w:val="en-GB"/>
        </w:rPr>
        <w:t>,</w:t>
      </w:r>
      <w:r w:rsidR="00AD6E85" w:rsidRPr="000E2B31">
        <w:rPr>
          <w:rFonts w:ascii="Times New Roman" w:hAnsi="Times New Roman" w:cs="Times New Roman"/>
          <w:sz w:val="28"/>
          <w:szCs w:val="28"/>
          <w:lang w:val="en-GB"/>
        </w:rPr>
        <w:t xml:space="preserve"> a disqualification of the lead point scorer may elevate the second highest point scorer to first place. </w:t>
      </w:r>
    </w:p>
    <w:p w14:paraId="047B5AFB" w14:textId="77777777" w:rsidR="00D62C1A" w:rsidRPr="00D62C1A" w:rsidRDefault="00D62C1A" w:rsidP="00D62C1A">
      <w:pPr>
        <w:pStyle w:val="ListParagraph"/>
        <w:rPr>
          <w:rFonts w:ascii="Times New Roman" w:hAnsi="Times New Roman" w:cs="Times New Roman"/>
          <w:sz w:val="28"/>
          <w:szCs w:val="28"/>
          <w:lang w:val="en-GB"/>
        </w:rPr>
      </w:pPr>
    </w:p>
    <w:p w14:paraId="2131D8E6" w14:textId="16015E83" w:rsidR="00F96B1A" w:rsidRPr="000E2B31" w:rsidRDefault="000E2B31" w:rsidP="000E2B31">
      <w:pPr>
        <w:tabs>
          <w:tab w:val="left" w:pos="709"/>
        </w:tabs>
        <w:spacing w:before="0" w:beforeAutospacing="0"/>
        <w:jc w:val="both"/>
        <w:rPr>
          <w:rFonts w:ascii="Times New Roman" w:hAnsi="Times New Roman" w:cs="Times New Roman"/>
          <w:sz w:val="28"/>
          <w:szCs w:val="28"/>
          <w:lang w:val="en-US"/>
        </w:rPr>
      </w:pPr>
      <w:r w:rsidRPr="00F96B1A">
        <w:rPr>
          <w:rFonts w:ascii="Times New Roman" w:hAnsi="Times New Roman" w:cs="Times New Roman"/>
          <w:sz w:val="28"/>
          <w:szCs w:val="28"/>
          <w:lang w:val="en-US"/>
        </w:rPr>
        <w:t>[119]</w:t>
      </w:r>
      <w:r w:rsidRPr="00F96B1A">
        <w:rPr>
          <w:rFonts w:ascii="Times New Roman" w:hAnsi="Times New Roman" w:cs="Times New Roman"/>
          <w:sz w:val="28"/>
          <w:szCs w:val="28"/>
          <w:lang w:val="en-US"/>
        </w:rPr>
        <w:tab/>
      </w:r>
      <w:r w:rsidR="00F96B1A" w:rsidRPr="000E2B31">
        <w:rPr>
          <w:rFonts w:ascii="Times New Roman" w:hAnsi="Times New Roman" w:cs="Times New Roman"/>
          <w:sz w:val="28"/>
          <w:szCs w:val="28"/>
          <w:lang w:val="en-GB"/>
        </w:rPr>
        <w:t xml:space="preserve"> </w:t>
      </w:r>
      <w:r w:rsidR="00AD6E85" w:rsidRPr="000E2B31">
        <w:rPr>
          <w:rFonts w:ascii="Times New Roman" w:hAnsi="Times New Roman" w:cs="Times New Roman"/>
          <w:sz w:val="28"/>
          <w:szCs w:val="28"/>
          <w:lang w:val="en-GB"/>
        </w:rPr>
        <w:t>T</w:t>
      </w:r>
      <w:r w:rsidR="00DD070D" w:rsidRPr="000E2B31">
        <w:rPr>
          <w:rFonts w:ascii="Times New Roman" w:hAnsi="Times New Roman" w:cs="Times New Roman"/>
          <w:sz w:val="28"/>
          <w:szCs w:val="28"/>
          <w:lang w:val="en-GB"/>
        </w:rPr>
        <w:t>he only compunction is to recognize the highest scoring bidder unless there is a good</w:t>
      </w:r>
      <w:r w:rsidR="00AD6E85" w:rsidRPr="000E2B31">
        <w:rPr>
          <w:rFonts w:ascii="Times New Roman" w:hAnsi="Times New Roman" w:cs="Times New Roman"/>
          <w:sz w:val="28"/>
          <w:szCs w:val="28"/>
          <w:lang w:val="en-GB"/>
        </w:rPr>
        <w:t>,</w:t>
      </w:r>
      <w:r w:rsidR="00DD070D" w:rsidRPr="000E2B31">
        <w:rPr>
          <w:rFonts w:ascii="Times New Roman" w:hAnsi="Times New Roman" w:cs="Times New Roman"/>
          <w:sz w:val="28"/>
          <w:szCs w:val="28"/>
          <w:lang w:val="en-GB"/>
        </w:rPr>
        <w:t xml:space="preserve"> objective</w:t>
      </w:r>
      <w:r w:rsidR="00AD6E85" w:rsidRPr="000E2B31">
        <w:rPr>
          <w:rFonts w:ascii="Times New Roman" w:hAnsi="Times New Roman" w:cs="Times New Roman"/>
          <w:sz w:val="28"/>
          <w:szCs w:val="28"/>
          <w:lang w:val="en-GB"/>
        </w:rPr>
        <w:t>, pre-disclosed</w:t>
      </w:r>
      <w:r w:rsidR="008A3A85" w:rsidRPr="000E2B31">
        <w:rPr>
          <w:rFonts w:ascii="Times New Roman" w:hAnsi="Times New Roman" w:cs="Times New Roman"/>
          <w:sz w:val="28"/>
          <w:szCs w:val="28"/>
          <w:lang w:val="en-GB"/>
        </w:rPr>
        <w:t>,</w:t>
      </w:r>
      <w:r w:rsidR="00DD070D" w:rsidRPr="000E2B31">
        <w:rPr>
          <w:rFonts w:ascii="Times New Roman" w:hAnsi="Times New Roman" w:cs="Times New Roman"/>
          <w:sz w:val="28"/>
          <w:szCs w:val="28"/>
          <w:lang w:val="en-GB"/>
        </w:rPr>
        <w:t xml:space="preserve"> reason why the employer cannot award the bid to it. There is no obligation on the employer to award </w:t>
      </w:r>
      <w:r w:rsidR="00DD50D7" w:rsidRPr="000E2B31">
        <w:rPr>
          <w:rFonts w:ascii="Times New Roman" w:hAnsi="Times New Roman" w:cs="Times New Roman"/>
          <w:sz w:val="28"/>
          <w:szCs w:val="28"/>
          <w:lang w:val="en-GB"/>
        </w:rPr>
        <w:t>the bid</w:t>
      </w:r>
      <w:r w:rsidR="00DD070D" w:rsidRPr="000E2B31">
        <w:rPr>
          <w:rFonts w:ascii="Times New Roman" w:hAnsi="Times New Roman" w:cs="Times New Roman"/>
          <w:sz w:val="28"/>
          <w:szCs w:val="28"/>
          <w:lang w:val="en-GB"/>
        </w:rPr>
        <w:t xml:space="preserve"> to another tenderer but it is authorised by </w:t>
      </w:r>
      <w:r w:rsidR="00AD6E85" w:rsidRPr="000E2B31">
        <w:rPr>
          <w:rFonts w:ascii="Times New Roman" w:hAnsi="Times New Roman" w:cs="Times New Roman"/>
          <w:sz w:val="28"/>
          <w:szCs w:val="28"/>
          <w:lang w:val="en-GB"/>
        </w:rPr>
        <w:t xml:space="preserve">regulation 11 (1) to award the contract to another tenderer (the word “may” is employed) in a scenario where it is justified in not giving it to the lead scorer. </w:t>
      </w:r>
      <w:r w:rsidR="00F96B1A" w:rsidRPr="000E2B31">
        <w:rPr>
          <w:rFonts w:ascii="Times New Roman" w:hAnsi="Times New Roman" w:cs="Times New Roman"/>
          <w:sz w:val="28"/>
          <w:szCs w:val="28"/>
          <w:lang w:val="en-GB"/>
        </w:rPr>
        <w:t xml:space="preserve">It is it therefore </w:t>
      </w:r>
      <w:r w:rsidR="00EB7C7C" w:rsidRPr="000E2B31">
        <w:rPr>
          <w:rFonts w:ascii="Times New Roman" w:hAnsi="Times New Roman" w:cs="Times New Roman"/>
          <w:sz w:val="28"/>
          <w:szCs w:val="28"/>
          <w:lang w:val="en-GB"/>
        </w:rPr>
        <w:t>irrelevant that there might be only one responsive bidder in the final evaluation stage.</w:t>
      </w:r>
      <w:r w:rsidR="00DF2903" w:rsidRPr="000E2B31">
        <w:rPr>
          <w:rFonts w:ascii="Times New Roman" w:hAnsi="Times New Roman" w:cs="Times New Roman"/>
          <w:sz w:val="28"/>
          <w:szCs w:val="28"/>
          <w:lang w:val="en-GB"/>
        </w:rPr>
        <w:t xml:space="preserve"> </w:t>
      </w:r>
      <w:r w:rsidR="00AD6E85" w:rsidRPr="000E2B31">
        <w:rPr>
          <w:rFonts w:ascii="Times New Roman" w:hAnsi="Times New Roman" w:cs="Times New Roman"/>
          <w:sz w:val="28"/>
          <w:szCs w:val="28"/>
          <w:lang w:val="en-GB"/>
        </w:rPr>
        <w:t xml:space="preserve">As the appellant fairly suggested, if a good reason </w:t>
      </w:r>
      <w:r w:rsidR="008A3A85" w:rsidRPr="000E2B31">
        <w:rPr>
          <w:rFonts w:ascii="Times New Roman" w:hAnsi="Times New Roman" w:cs="Times New Roman"/>
          <w:sz w:val="28"/>
          <w:szCs w:val="28"/>
          <w:lang w:val="en-GB"/>
        </w:rPr>
        <w:t>existed to disqualify the first respondent for risk on the assumption that its bid was the only one that advanced to the final evaluation stage, that would be the end of the competition and the Department would have to issue out a fresh bid invitation.</w:t>
      </w:r>
    </w:p>
    <w:p w14:paraId="469080C0" w14:textId="77777777" w:rsidR="00F96B1A" w:rsidRPr="00F96B1A" w:rsidRDefault="00F96B1A" w:rsidP="00F96B1A">
      <w:pPr>
        <w:pStyle w:val="ListParagraph"/>
        <w:rPr>
          <w:rFonts w:ascii="Times New Roman" w:hAnsi="Times New Roman" w:cs="Times New Roman"/>
          <w:sz w:val="28"/>
          <w:szCs w:val="28"/>
          <w:lang w:val="en-US"/>
        </w:rPr>
      </w:pPr>
    </w:p>
    <w:p w14:paraId="4358A226" w14:textId="50FF545A" w:rsidR="00857A5D" w:rsidRPr="000E2B31" w:rsidRDefault="000E2B31" w:rsidP="000E2B31">
      <w:pPr>
        <w:tabs>
          <w:tab w:val="left" w:pos="709"/>
        </w:tabs>
        <w:spacing w:before="0" w:beforeAutospacing="0"/>
        <w:jc w:val="both"/>
        <w:rPr>
          <w:rFonts w:ascii="Times New Roman" w:hAnsi="Times New Roman" w:cs="Times New Roman"/>
          <w:sz w:val="28"/>
          <w:szCs w:val="28"/>
          <w:lang w:val="en-US"/>
        </w:rPr>
      </w:pPr>
      <w:r w:rsidRPr="00857A5D">
        <w:rPr>
          <w:rFonts w:ascii="Times New Roman" w:hAnsi="Times New Roman" w:cs="Times New Roman"/>
          <w:sz w:val="28"/>
          <w:szCs w:val="28"/>
          <w:lang w:val="en-US"/>
        </w:rPr>
        <w:t>[120]</w:t>
      </w:r>
      <w:r w:rsidRPr="00857A5D">
        <w:rPr>
          <w:rFonts w:ascii="Times New Roman" w:hAnsi="Times New Roman" w:cs="Times New Roman"/>
          <w:sz w:val="28"/>
          <w:szCs w:val="28"/>
          <w:lang w:val="en-US"/>
        </w:rPr>
        <w:tab/>
      </w:r>
      <w:r w:rsidR="00F96B1A" w:rsidRPr="000E2B31">
        <w:rPr>
          <w:rFonts w:ascii="Times New Roman" w:hAnsi="Times New Roman" w:cs="Times New Roman"/>
          <w:sz w:val="28"/>
          <w:szCs w:val="28"/>
          <w:lang w:val="en-GB"/>
        </w:rPr>
        <w:t xml:space="preserve">As for the utilisation of </w:t>
      </w:r>
      <w:r w:rsidR="00857A5D" w:rsidRPr="000E2B31">
        <w:rPr>
          <w:rFonts w:ascii="Times New Roman" w:hAnsi="Times New Roman" w:cs="Times New Roman"/>
          <w:sz w:val="28"/>
          <w:szCs w:val="28"/>
          <w:lang w:val="en-GB"/>
        </w:rPr>
        <w:t xml:space="preserve">a </w:t>
      </w:r>
      <w:r w:rsidR="00F96B1A" w:rsidRPr="000E2B31">
        <w:rPr>
          <w:rFonts w:ascii="Times New Roman" w:hAnsi="Times New Roman" w:cs="Times New Roman"/>
          <w:sz w:val="28"/>
          <w:szCs w:val="28"/>
          <w:lang w:val="en-GB"/>
        </w:rPr>
        <w:t xml:space="preserve">risk </w:t>
      </w:r>
      <w:r w:rsidR="00857A5D" w:rsidRPr="000E2B31">
        <w:rPr>
          <w:rFonts w:ascii="Times New Roman" w:hAnsi="Times New Roman" w:cs="Times New Roman"/>
          <w:sz w:val="28"/>
          <w:szCs w:val="28"/>
          <w:lang w:val="en-GB"/>
        </w:rPr>
        <w:t>evaluation process such as</w:t>
      </w:r>
      <w:r w:rsidR="00F96B1A" w:rsidRPr="000E2B31">
        <w:rPr>
          <w:rFonts w:ascii="Times New Roman" w:hAnsi="Times New Roman" w:cs="Times New Roman"/>
          <w:sz w:val="28"/>
          <w:szCs w:val="28"/>
          <w:lang w:val="en-GB"/>
        </w:rPr>
        <w:t xml:space="preserve"> the tender </w:t>
      </w:r>
      <w:r w:rsidR="00857A5D" w:rsidRPr="000E2B31">
        <w:rPr>
          <w:rFonts w:ascii="Times New Roman" w:hAnsi="Times New Roman" w:cs="Times New Roman"/>
          <w:sz w:val="28"/>
          <w:szCs w:val="28"/>
          <w:lang w:val="en-GB"/>
        </w:rPr>
        <w:t>Data</w:t>
      </w:r>
      <w:r w:rsidR="00F96B1A" w:rsidRPr="000E2B31">
        <w:rPr>
          <w:rFonts w:ascii="Times New Roman" w:hAnsi="Times New Roman" w:cs="Times New Roman"/>
          <w:sz w:val="28"/>
          <w:szCs w:val="28"/>
          <w:lang w:val="en-GB"/>
        </w:rPr>
        <w:t xml:space="preserve"> in this instance makes provision for, </w:t>
      </w:r>
      <w:r w:rsidR="00857A5D" w:rsidRPr="000E2B31">
        <w:rPr>
          <w:rFonts w:ascii="Times New Roman" w:hAnsi="Times New Roman" w:cs="Times New Roman"/>
          <w:sz w:val="28"/>
          <w:szCs w:val="28"/>
          <w:lang w:val="en-GB"/>
        </w:rPr>
        <w:t xml:space="preserve">our </w:t>
      </w:r>
      <w:r w:rsidR="00F96B1A" w:rsidRPr="000E2B31">
        <w:rPr>
          <w:rFonts w:ascii="Times New Roman" w:hAnsi="Times New Roman" w:cs="Times New Roman"/>
          <w:sz w:val="28"/>
          <w:szCs w:val="28"/>
          <w:lang w:val="en-GB"/>
        </w:rPr>
        <w:t>court</w:t>
      </w:r>
      <w:r w:rsidR="00857A5D" w:rsidRPr="000E2B31">
        <w:rPr>
          <w:rFonts w:ascii="Times New Roman" w:hAnsi="Times New Roman" w:cs="Times New Roman"/>
          <w:sz w:val="28"/>
          <w:szCs w:val="28"/>
          <w:lang w:val="en-GB"/>
        </w:rPr>
        <w:t>s</w:t>
      </w:r>
      <w:r w:rsidR="00F96B1A" w:rsidRPr="000E2B31">
        <w:rPr>
          <w:rFonts w:ascii="Times New Roman" w:hAnsi="Times New Roman" w:cs="Times New Roman"/>
          <w:sz w:val="28"/>
          <w:szCs w:val="28"/>
          <w:lang w:val="en-GB"/>
        </w:rPr>
        <w:t xml:space="preserve"> </w:t>
      </w:r>
      <w:r w:rsidR="00857A5D" w:rsidRPr="000E2B31">
        <w:rPr>
          <w:rFonts w:ascii="Times New Roman" w:hAnsi="Times New Roman" w:cs="Times New Roman"/>
          <w:sz w:val="28"/>
          <w:szCs w:val="28"/>
          <w:lang w:val="en-GB"/>
        </w:rPr>
        <w:t>appear generally</w:t>
      </w:r>
      <w:r w:rsidR="00F96B1A" w:rsidRPr="000E2B31">
        <w:rPr>
          <w:rFonts w:ascii="Times New Roman" w:hAnsi="Times New Roman" w:cs="Times New Roman"/>
          <w:sz w:val="28"/>
          <w:szCs w:val="28"/>
          <w:lang w:val="en-GB"/>
        </w:rPr>
        <w:t xml:space="preserve"> to accept that these are permissible in </w:t>
      </w:r>
      <w:r w:rsidR="00857A5D" w:rsidRPr="000E2B31">
        <w:rPr>
          <w:rFonts w:ascii="Times New Roman" w:hAnsi="Times New Roman" w:cs="Times New Roman"/>
          <w:sz w:val="28"/>
          <w:szCs w:val="28"/>
          <w:lang w:val="en-GB"/>
        </w:rPr>
        <w:t xml:space="preserve">the </w:t>
      </w:r>
      <w:r w:rsidR="00F96B1A" w:rsidRPr="000E2B31">
        <w:rPr>
          <w:rFonts w:ascii="Times New Roman" w:hAnsi="Times New Roman" w:cs="Times New Roman"/>
          <w:sz w:val="28"/>
          <w:szCs w:val="28"/>
          <w:lang w:val="en-GB"/>
        </w:rPr>
        <w:t xml:space="preserve">pursuit of determining whether objective criteria might disqualify an otherwise eligible </w:t>
      </w:r>
      <w:r w:rsidR="00857A5D" w:rsidRPr="000E2B31">
        <w:rPr>
          <w:rFonts w:ascii="Times New Roman" w:hAnsi="Times New Roman" w:cs="Times New Roman"/>
          <w:sz w:val="28"/>
          <w:szCs w:val="28"/>
          <w:lang w:val="en-GB"/>
        </w:rPr>
        <w:t>bidder</w:t>
      </w:r>
      <w:r w:rsidR="00F96B1A" w:rsidRPr="000E2B31">
        <w:rPr>
          <w:rFonts w:ascii="Times New Roman" w:hAnsi="Times New Roman" w:cs="Times New Roman"/>
          <w:sz w:val="28"/>
          <w:szCs w:val="28"/>
          <w:lang w:val="en-GB"/>
        </w:rPr>
        <w:t xml:space="preserve"> </w:t>
      </w:r>
      <w:r w:rsidR="00857A5D" w:rsidRPr="000E2B31">
        <w:rPr>
          <w:rFonts w:ascii="Times New Roman" w:hAnsi="Times New Roman" w:cs="Times New Roman"/>
          <w:sz w:val="28"/>
          <w:szCs w:val="28"/>
          <w:lang w:val="en-GB"/>
        </w:rPr>
        <w:t>who</w:t>
      </w:r>
      <w:r w:rsidR="00F96B1A" w:rsidRPr="000E2B31">
        <w:rPr>
          <w:rFonts w:ascii="Times New Roman" w:hAnsi="Times New Roman" w:cs="Times New Roman"/>
          <w:sz w:val="28"/>
          <w:szCs w:val="28"/>
          <w:lang w:val="en-GB"/>
        </w:rPr>
        <w:t xml:space="preserve"> has run the gauntlet to the end of the tender process</w:t>
      </w:r>
      <w:r w:rsidR="00857A5D" w:rsidRPr="000E2B31">
        <w:rPr>
          <w:rFonts w:ascii="Times New Roman" w:hAnsi="Times New Roman" w:cs="Times New Roman"/>
          <w:sz w:val="28"/>
          <w:szCs w:val="28"/>
          <w:lang w:val="en-GB"/>
        </w:rPr>
        <w:t xml:space="preserve"> and expect</w:t>
      </w:r>
      <w:r w:rsidR="000F1E03" w:rsidRPr="000E2B31">
        <w:rPr>
          <w:rFonts w:ascii="Times New Roman" w:hAnsi="Times New Roman" w:cs="Times New Roman"/>
          <w:sz w:val="28"/>
          <w:szCs w:val="28"/>
          <w:lang w:val="en-GB"/>
        </w:rPr>
        <w:t>s</w:t>
      </w:r>
      <w:r w:rsidR="00857A5D" w:rsidRPr="000E2B31">
        <w:rPr>
          <w:rFonts w:ascii="Times New Roman" w:hAnsi="Times New Roman" w:cs="Times New Roman"/>
          <w:sz w:val="28"/>
          <w:szCs w:val="28"/>
          <w:lang w:val="en-GB"/>
        </w:rPr>
        <w:t xml:space="preserve"> to be awarded the contract as the bidder scoring the highest points</w:t>
      </w:r>
      <w:r w:rsidR="00F96B1A" w:rsidRPr="000E2B31">
        <w:rPr>
          <w:rFonts w:ascii="Times New Roman" w:hAnsi="Times New Roman" w:cs="Times New Roman"/>
          <w:sz w:val="28"/>
          <w:szCs w:val="28"/>
          <w:lang w:val="en-GB"/>
        </w:rPr>
        <w:t>.</w:t>
      </w:r>
      <w:r w:rsidR="000F1E03">
        <w:rPr>
          <w:rStyle w:val="FootnoteReference"/>
          <w:rFonts w:ascii="Times New Roman" w:hAnsi="Times New Roman" w:cs="Times New Roman"/>
          <w:sz w:val="28"/>
          <w:szCs w:val="28"/>
          <w:lang w:val="en-GB"/>
        </w:rPr>
        <w:footnoteReference w:id="55"/>
      </w:r>
      <w:r w:rsidR="00F96B1A" w:rsidRPr="000E2B31">
        <w:rPr>
          <w:rFonts w:ascii="Times New Roman" w:hAnsi="Times New Roman" w:cs="Times New Roman"/>
          <w:sz w:val="28"/>
          <w:szCs w:val="28"/>
          <w:lang w:val="en-GB"/>
        </w:rPr>
        <w:t xml:space="preserve"> </w:t>
      </w:r>
      <w:r w:rsidR="00857A5D" w:rsidRPr="000E2B31">
        <w:rPr>
          <w:rFonts w:ascii="Times New Roman" w:hAnsi="Times New Roman" w:cs="Times New Roman"/>
          <w:sz w:val="28"/>
          <w:szCs w:val="28"/>
          <w:lang w:val="en-GB"/>
        </w:rPr>
        <w:t>There can</w:t>
      </w:r>
      <w:r w:rsidR="00F96B1A" w:rsidRPr="000E2B31">
        <w:rPr>
          <w:rFonts w:ascii="Times New Roman" w:hAnsi="Times New Roman" w:cs="Times New Roman"/>
          <w:sz w:val="28"/>
          <w:szCs w:val="28"/>
          <w:lang w:val="en-GB"/>
        </w:rPr>
        <w:t xml:space="preserve"> notionally be no objection to an employer requesting an </w:t>
      </w:r>
      <w:r w:rsidR="00F96B1A" w:rsidRPr="000E2B31">
        <w:rPr>
          <w:rFonts w:ascii="Times New Roman" w:hAnsi="Times New Roman" w:cs="Times New Roman"/>
          <w:sz w:val="28"/>
          <w:szCs w:val="28"/>
          <w:lang w:val="en-GB"/>
        </w:rPr>
        <w:lastRenderedPageBreak/>
        <w:t xml:space="preserve">evaluation of all the bidders remaining in the final </w:t>
      </w:r>
      <w:r w:rsidR="008A3A85" w:rsidRPr="000E2B31">
        <w:rPr>
          <w:rFonts w:ascii="Times New Roman" w:hAnsi="Times New Roman" w:cs="Times New Roman"/>
          <w:sz w:val="28"/>
          <w:szCs w:val="28"/>
          <w:lang w:val="en-GB"/>
        </w:rPr>
        <w:t>stage of the tender process</w:t>
      </w:r>
      <w:r w:rsidR="00F96B1A" w:rsidRPr="000E2B31">
        <w:rPr>
          <w:rFonts w:ascii="Times New Roman" w:hAnsi="Times New Roman" w:cs="Times New Roman"/>
          <w:sz w:val="28"/>
          <w:szCs w:val="28"/>
          <w:lang w:val="en-GB"/>
        </w:rPr>
        <w:t>, simply as a matter of convenience</w:t>
      </w:r>
      <w:r w:rsidR="00857A5D" w:rsidRPr="000E2B31">
        <w:rPr>
          <w:rFonts w:ascii="Times New Roman" w:hAnsi="Times New Roman" w:cs="Times New Roman"/>
          <w:sz w:val="28"/>
          <w:szCs w:val="28"/>
          <w:lang w:val="en-GB"/>
        </w:rPr>
        <w:t xml:space="preserve"> to it</w:t>
      </w:r>
      <w:r w:rsidR="00F96B1A" w:rsidRPr="000E2B31">
        <w:rPr>
          <w:rFonts w:ascii="Times New Roman" w:hAnsi="Times New Roman" w:cs="Times New Roman"/>
          <w:sz w:val="28"/>
          <w:szCs w:val="28"/>
          <w:lang w:val="en-GB"/>
        </w:rPr>
        <w:t xml:space="preserve">, but </w:t>
      </w:r>
      <w:r w:rsidR="00857A5D" w:rsidRPr="000E2B31">
        <w:rPr>
          <w:rFonts w:ascii="Times New Roman" w:hAnsi="Times New Roman" w:cs="Times New Roman"/>
          <w:sz w:val="28"/>
          <w:szCs w:val="28"/>
          <w:lang w:val="en-GB"/>
        </w:rPr>
        <w:t xml:space="preserve">this should not provide a basis for any comparison </w:t>
      </w:r>
      <w:r w:rsidR="00DF2903" w:rsidRPr="000E2B31">
        <w:rPr>
          <w:rFonts w:ascii="Times New Roman" w:hAnsi="Times New Roman" w:cs="Times New Roman"/>
          <w:sz w:val="28"/>
          <w:szCs w:val="28"/>
          <w:lang w:val="en-GB"/>
        </w:rPr>
        <w:t>of risk</w:t>
      </w:r>
      <w:r w:rsidR="00F96B1A" w:rsidRPr="000E2B31">
        <w:rPr>
          <w:rFonts w:ascii="Times New Roman" w:hAnsi="Times New Roman" w:cs="Times New Roman"/>
          <w:sz w:val="28"/>
          <w:szCs w:val="28"/>
          <w:lang w:val="en-GB"/>
        </w:rPr>
        <w:t xml:space="preserve"> profiles. </w:t>
      </w:r>
      <w:r w:rsidR="008A3A85" w:rsidRPr="000E2B31">
        <w:rPr>
          <w:rFonts w:ascii="Times New Roman" w:hAnsi="Times New Roman" w:cs="Times New Roman"/>
          <w:sz w:val="28"/>
          <w:szCs w:val="28"/>
          <w:lang w:val="en-GB"/>
        </w:rPr>
        <w:t>That would be entirely inimical to the points and preference post functionality methodology</w:t>
      </w:r>
      <w:r w:rsidR="000F1E03" w:rsidRPr="000E2B31">
        <w:rPr>
          <w:rFonts w:ascii="Times New Roman" w:hAnsi="Times New Roman" w:cs="Times New Roman"/>
          <w:sz w:val="28"/>
          <w:szCs w:val="28"/>
          <w:lang w:val="en-GB"/>
        </w:rPr>
        <w:t xml:space="preserve"> employed</w:t>
      </w:r>
      <w:r w:rsidR="008A3A85" w:rsidRPr="000E2B31">
        <w:rPr>
          <w:rFonts w:ascii="Times New Roman" w:hAnsi="Times New Roman" w:cs="Times New Roman"/>
          <w:sz w:val="28"/>
          <w:szCs w:val="28"/>
          <w:lang w:val="en-GB"/>
        </w:rPr>
        <w:t xml:space="preserve">. </w:t>
      </w:r>
    </w:p>
    <w:p w14:paraId="3A5156F5" w14:textId="77777777" w:rsidR="00857A5D" w:rsidRPr="00857A5D" w:rsidRDefault="00857A5D" w:rsidP="00857A5D">
      <w:pPr>
        <w:pStyle w:val="ListParagraph"/>
        <w:rPr>
          <w:rFonts w:ascii="Times New Roman" w:hAnsi="Times New Roman" w:cs="Times New Roman"/>
          <w:sz w:val="28"/>
          <w:szCs w:val="28"/>
          <w:lang w:val="en-GB"/>
        </w:rPr>
      </w:pPr>
    </w:p>
    <w:p w14:paraId="73F10060" w14:textId="5F4A6DC0" w:rsidR="00F96B1A" w:rsidRPr="000E2B31" w:rsidRDefault="000E2B31" w:rsidP="000E2B31">
      <w:pPr>
        <w:tabs>
          <w:tab w:val="left" w:pos="709"/>
        </w:tabs>
        <w:spacing w:before="0" w:beforeAutospacing="0"/>
        <w:jc w:val="both"/>
        <w:rPr>
          <w:rFonts w:ascii="Times New Roman" w:hAnsi="Times New Roman" w:cs="Times New Roman"/>
          <w:sz w:val="28"/>
          <w:szCs w:val="28"/>
          <w:lang w:val="en-US"/>
        </w:rPr>
      </w:pPr>
      <w:r w:rsidRPr="000F1E03">
        <w:rPr>
          <w:rFonts w:ascii="Times New Roman" w:hAnsi="Times New Roman" w:cs="Times New Roman"/>
          <w:sz w:val="28"/>
          <w:szCs w:val="28"/>
          <w:lang w:val="en-US"/>
        </w:rPr>
        <w:t>[121]</w:t>
      </w:r>
      <w:r w:rsidRPr="000F1E03">
        <w:rPr>
          <w:rFonts w:ascii="Times New Roman" w:hAnsi="Times New Roman" w:cs="Times New Roman"/>
          <w:sz w:val="28"/>
          <w:szCs w:val="28"/>
          <w:lang w:val="en-US"/>
        </w:rPr>
        <w:tab/>
      </w:r>
      <w:r w:rsidR="00857A5D" w:rsidRPr="000E2B31">
        <w:rPr>
          <w:rFonts w:ascii="Times New Roman" w:hAnsi="Times New Roman" w:cs="Times New Roman"/>
          <w:sz w:val="28"/>
          <w:szCs w:val="28"/>
          <w:lang w:val="en-GB"/>
        </w:rPr>
        <w:t>By its</w:t>
      </w:r>
      <w:r w:rsidR="00F96B1A" w:rsidRPr="000E2B31">
        <w:rPr>
          <w:rFonts w:ascii="Times New Roman" w:hAnsi="Times New Roman" w:cs="Times New Roman"/>
          <w:sz w:val="28"/>
          <w:szCs w:val="28"/>
          <w:lang w:val="en-GB"/>
        </w:rPr>
        <w:t xml:space="preserve"> own concession</w:t>
      </w:r>
      <w:r w:rsidR="00857A5D" w:rsidRPr="000E2B31">
        <w:rPr>
          <w:rFonts w:ascii="Times New Roman" w:hAnsi="Times New Roman" w:cs="Times New Roman"/>
          <w:sz w:val="28"/>
          <w:szCs w:val="28"/>
          <w:lang w:val="en-GB"/>
        </w:rPr>
        <w:t xml:space="preserve"> the appellant</w:t>
      </w:r>
      <w:r w:rsidR="00F96B1A" w:rsidRPr="000E2B31">
        <w:rPr>
          <w:rFonts w:ascii="Times New Roman" w:hAnsi="Times New Roman" w:cs="Times New Roman"/>
          <w:sz w:val="28"/>
          <w:szCs w:val="28"/>
          <w:lang w:val="en-GB"/>
        </w:rPr>
        <w:t xml:space="preserve"> is not </w:t>
      </w:r>
      <w:r w:rsidR="00857A5D" w:rsidRPr="000E2B31">
        <w:rPr>
          <w:rFonts w:ascii="Times New Roman" w:hAnsi="Times New Roman" w:cs="Times New Roman"/>
          <w:sz w:val="28"/>
          <w:szCs w:val="28"/>
          <w:lang w:val="en-GB"/>
        </w:rPr>
        <w:t>here concerned</w:t>
      </w:r>
      <w:r w:rsidR="00F96B1A" w:rsidRPr="000E2B31">
        <w:rPr>
          <w:rFonts w:ascii="Times New Roman" w:hAnsi="Times New Roman" w:cs="Times New Roman"/>
          <w:sz w:val="28"/>
          <w:szCs w:val="28"/>
          <w:lang w:val="en-GB"/>
        </w:rPr>
        <w:t xml:space="preserve"> with a last minute eligibility leg. The winning bidder would have </w:t>
      </w:r>
      <w:r w:rsidR="00B33A03" w:rsidRPr="000E2B31">
        <w:rPr>
          <w:rFonts w:ascii="Times New Roman" w:hAnsi="Times New Roman" w:cs="Times New Roman"/>
          <w:sz w:val="28"/>
          <w:szCs w:val="28"/>
          <w:lang w:val="en-GB"/>
        </w:rPr>
        <w:t>jumped</w:t>
      </w:r>
      <w:r w:rsidR="00F96B1A" w:rsidRPr="000E2B31">
        <w:rPr>
          <w:rFonts w:ascii="Times New Roman" w:hAnsi="Times New Roman" w:cs="Times New Roman"/>
          <w:sz w:val="28"/>
          <w:szCs w:val="28"/>
          <w:lang w:val="en-GB"/>
        </w:rPr>
        <w:t xml:space="preserve"> that hurdle earlier in the process and come to the finishing line with the expectation that </w:t>
      </w:r>
      <w:r w:rsidR="00B33A03" w:rsidRPr="000E2B31">
        <w:rPr>
          <w:rFonts w:ascii="Times New Roman" w:hAnsi="Times New Roman" w:cs="Times New Roman"/>
          <w:sz w:val="28"/>
          <w:szCs w:val="28"/>
          <w:lang w:val="en-GB"/>
        </w:rPr>
        <w:t>its</w:t>
      </w:r>
      <w:r w:rsidR="00F96B1A" w:rsidRPr="000E2B31">
        <w:rPr>
          <w:rFonts w:ascii="Times New Roman" w:hAnsi="Times New Roman" w:cs="Times New Roman"/>
          <w:sz w:val="28"/>
          <w:szCs w:val="28"/>
          <w:lang w:val="en-GB"/>
        </w:rPr>
        <w:t xml:space="preserve"> </w:t>
      </w:r>
      <w:r w:rsidR="00857A5D" w:rsidRPr="000E2B31">
        <w:rPr>
          <w:rFonts w:ascii="Times New Roman" w:hAnsi="Times New Roman" w:cs="Times New Roman"/>
          <w:sz w:val="28"/>
          <w:szCs w:val="28"/>
          <w:lang w:val="en-GB"/>
        </w:rPr>
        <w:t xml:space="preserve">status as the </w:t>
      </w:r>
      <w:r w:rsidR="00F96B1A" w:rsidRPr="000E2B31">
        <w:rPr>
          <w:rFonts w:ascii="Times New Roman" w:hAnsi="Times New Roman" w:cs="Times New Roman"/>
          <w:sz w:val="28"/>
          <w:szCs w:val="28"/>
          <w:lang w:val="en-GB"/>
        </w:rPr>
        <w:t>high</w:t>
      </w:r>
      <w:r w:rsidR="00857A5D" w:rsidRPr="000E2B31">
        <w:rPr>
          <w:rFonts w:ascii="Times New Roman" w:hAnsi="Times New Roman" w:cs="Times New Roman"/>
          <w:sz w:val="28"/>
          <w:szCs w:val="28"/>
          <w:lang w:val="en-GB"/>
        </w:rPr>
        <w:t>est</w:t>
      </w:r>
      <w:r w:rsidR="00F96B1A" w:rsidRPr="000E2B31">
        <w:rPr>
          <w:rFonts w:ascii="Times New Roman" w:hAnsi="Times New Roman" w:cs="Times New Roman"/>
          <w:sz w:val="28"/>
          <w:szCs w:val="28"/>
          <w:lang w:val="en-GB"/>
        </w:rPr>
        <w:t xml:space="preserve"> point </w:t>
      </w:r>
      <w:r w:rsidR="00857A5D" w:rsidRPr="000E2B31">
        <w:rPr>
          <w:rFonts w:ascii="Times New Roman" w:hAnsi="Times New Roman" w:cs="Times New Roman"/>
          <w:sz w:val="28"/>
          <w:szCs w:val="28"/>
          <w:lang w:val="en-GB"/>
        </w:rPr>
        <w:t>score</w:t>
      </w:r>
      <w:r w:rsidR="00635F43" w:rsidRPr="000E2B31">
        <w:rPr>
          <w:rFonts w:ascii="Times New Roman" w:hAnsi="Times New Roman" w:cs="Times New Roman"/>
          <w:sz w:val="28"/>
          <w:szCs w:val="28"/>
          <w:lang w:val="en-GB"/>
        </w:rPr>
        <w:t>r</w:t>
      </w:r>
      <w:r w:rsidR="00857A5D" w:rsidRPr="000E2B31">
        <w:rPr>
          <w:rFonts w:ascii="Times New Roman" w:hAnsi="Times New Roman" w:cs="Times New Roman"/>
          <w:sz w:val="28"/>
          <w:szCs w:val="28"/>
          <w:lang w:val="en-GB"/>
        </w:rPr>
        <w:t xml:space="preserve"> </w:t>
      </w:r>
      <w:r w:rsidR="008A3A85" w:rsidRPr="000E2B31">
        <w:rPr>
          <w:rFonts w:ascii="Times New Roman" w:hAnsi="Times New Roman" w:cs="Times New Roman"/>
          <w:sz w:val="28"/>
          <w:szCs w:val="28"/>
          <w:lang w:val="en-GB"/>
        </w:rPr>
        <w:t>ought</w:t>
      </w:r>
      <w:r w:rsidR="00857A5D" w:rsidRPr="000E2B31">
        <w:rPr>
          <w:rFonts w:ascii="Times New Roman" w:hAnsi="Times New Roman" w:cs="Times New Roman"/>
          <w:sz w:val="28"/>
          <w:szCs w:val="28"/>
          <w:lang w:val="en-GB"/>
        </w:rPr>
        <w:t xml:space="preserve"> </w:t>
      </w:r>
      <w:r w:rsidR="00B33A03" w:rsidRPr="000E2B31">
        <w:rPr>
          <w:rFonts w:ascii="Times New Roman" w:hAnsi="Times New Roman" w:cs="Times New Roman"/>
          <w:sz w:val="28"/>
          <w:szCs w:val="28"/>
          <w:lang w:val="en-GB"/>
        </w:rPr>
        <w:t xml:space="preserve">generally </w:t>
      </w:r>
      <w:r w:rsidR="008A3A85" w:rsidRPr="000E2B31">
        <w:rPr>
          <w:rFonts w:ascii="Times New Roman" w:hAnsi="Times New Roman" w:cs="Times New Roman"/>
          <w:sz w:val="28"/>
          <w:szCs w:val="28"/>
          <w:lang w:val="en-GB"/>
        </w:rPr>
        <w:t xml:space="preserve">to </w:t>
      </w:r>
      <w:r w:rsidR="00635F43" w:rsidRPr="000E2B31">
        <w:rPr>
          <w:rFonts w:ascii="Times New Roman" w:hAnsi="Times New Roman" w:cs="Times New Roman"/>
          <w:sz w:val="28"/>
          <w:szCs w:val="28"/>
          <w:lang w:val="en-GB"/>
        </w:rPr>
        <w:t>guarantee</w:t>
      </w:r>
      <w:r w:rsidR="00F96B1A" w:rsidRPr="000E2B31">
        <w:rPr>
          <w:rFonts w:ascii="Times New Roman" w:hAnsi="Times New Roman" w:cs="Times New Roman"/>
          <w:sz w:val="28"/>
          <w:szCs w:val="28"/>
          <w:lang w:val="en-GB"/>
        </w:rPr>
        <w:t xml:space="preserve"> it its win.</w:t>
      </w:r>
    </w:p>
    <w:p w14:paraId="0CCF74ED" w14:textId="77777777" w:rsidR="00857A5D" w:rsidRPr="00857A5D" w:rsidRDefault="00857A5D" w:rsidP="00857A5D">
      <w:pPr>
        <w:pStyle w:val="ListParagraph"/>
        <w:rPr>
          <w:rFonts w:ascii="Times New Roman" w:hAnsi="Times New Roman" w:cs="Times New Roman"/>
          <w:sz w:val="28"/>
          <w:szCs w:val="28"/>
          <w:lang w:val="en-US"/>
        </w:rPr>
      </w:pPr>
    </w:p>
    <w:p w14:paraId="51E79CB1" w14:textId="7593D9AA" w:rsidR="001352DD" w:rsidRPr="000E2B31" w:rsidRDefault="000E2B31" w:rsidP="000E2B31">
      <w:pPr>
        <w:tabs>
          <w:tab w:val="left" w:pos="709"/>
        </w:tabs>
        <w:spacing w:before="0" w:beforeAutospacing="0"/>
        <w:jc w:val="both"/>
        <w:rPr>
          <w:rFonts w:ascii="Times New Roman" w:hAnsi="Times New Roman" w:cs="Times New Roman"/>
          <w:sz w:val="28"/>
          <w:szCs w:val="28"/>
          <w:lang w:val="en-US"/>
        </w:rPr>
      </w:pPr>
      <w:r w:rsidRPr="001352DD">
        <w:rPr>
          <w:rFonts w:ascii="Times New Roman" w:hAnsi="Times New Roman" w:cs="Times New Roman"/>
          <w:sz w:val="28"/>
          <w:szCs w:val="28"/>
          <w:lang w:val="en-US"/>
        </w:rPr>
        <w:t>[122]</w:t>
      </w:r>
      <w:r w:rsidRPr="001352DD">
        <w:rPr>
          <w:rFonts w:ascii="Times New Roman" w:hAnsi="Times New Roman" w:cs="Times New Roman"/>
          <w:sz w:val="28"/>
          <w:szCs w:val="28"/>
          <w:lang w:val="en-US"/>
        </w:rPr>
        <w:tab/>
      </w:r>
      <w:r w:rsidR="00B33A03" w:rsidRPr="000E2B31">
        <w:rPr>
          <w:rFonts w:ascii="Times New Roman" w:hAnsi="Times New Roman" w:cs="Times New Roman"/>
          <w:sz w:val="28"/>
          <w:szCs w:val="28"/>
          <w:lang w:val="en-GB"/>
        </w:rPr>
        <w:t xml:space="preserve">The ultimate objective </w:t>
      </w:r>
      <w:r w:rsidR="00DF2903" w:rsidRPr="000E2B31">
        <w:rPr>
          <w:rFonts w:ascii="Times New Roman" w:hAnsi="Times New Roman" w:cs="Times New Roman"/>
          <w:sz w:val="28"/>
          <w:szCs w:val="28"/>
          <w:lang w:val="en-GB"/>
        </w:rPr>
        <w:t xml:space="preserve">of </w:t>
      </w:r>
      <w:r w:rsidR="00B33A03" w:rsidRPr="000E2B31">
        <w:rPr>
          <w:rFonts w:ascii="Times New Roman" w:hAnsi="Times New Roman" w:cs="Times New Roman"/>
          <w:sz w:val="28"/>
          <w:szCs w:val="28"/>
          <w:lang w:val="en-GB"/>
        </w:rPr>
        <w:t>looking for an</w:t>
      </w:r>
      <w:r w:rsidR="00DF2903" w:rsidRPr="000E2B31">
        <w:rPr>
          <w:rFonts w:ascii="Times New Roman" w:hAnsi="Times New Roman" w:cs="Times New Roman"/>
          <w:sz w:val="28"/>
          <w:szCs w:val="28"/>
          <w:lang w:val="en-GB"/>
        </w:rPr>
        <w:t>y</w:t>
      </w:r>
      <w:r w:rsidR="00B33A03" w:rsidRPr="000E2B31">
        <w:rPr>
          <w:rFonts w:ascii="Times New Roman" w:hAnsi="Times New Roman" w:cs="Times New Roman"/>
          <w:sz w:val="28"/>
          <w:szCs w:val="28"/>
          <w:lang w:val="en-GB"/>
        </w:rPr>
        <w:t xml:space="preserve"> </w:t>
      </w:r>
      <w:r w:rsidR="00B33A03" w:rsidRPr="000E2B31">
        <w:rPr>
          <w:rFonts w:ascii="Times New Roman" w:hAnsi="Times New Roman" w:cs="Times New Roman"/>
          <w:i/>
          <w:iCs/>
          <w:sz w:val="28"/>
          <w:szCs w:val="28"/>
          <w:lang w:val="en-GB"/>
        </w:rPr>
        <w:t>unacceptable</w:t>
      </w:r>
      <w:r w:rsidR="00B33A03" w:rsidRPr="000E2B31">
        <w:rPr>
          <w:rFonts w:ascii="Times New Roman" w:hAnsi="Times New Roman" w:cs="Times New Roman"/>
          <w:sz w:val="28"/>
          <w:szCs w:val="28"/>
          <w:lang w:val="en-GB"/>
        </w:rPr>
        <w:t xml:space="preserve"> risk </w:t>
      </w:r>
      <w:r w:rsidR="00DF2903" w:rsidRPr="000E2B31">
        <w:rPr>
          <w:rFonts w:ascii="Times New Roman" w:hAnsi="Times New Roman" w:cs="Times New Roman"/>
          <w:sz w:val="28"/>
          <w:szCs w:val="28"/>
          <w:lang w:val="en-GB"/>
        </w:rPr>
        <w:t xml:space="preserve">in the risk evaluation </w:t>
      </w:r>
      <w:r w:rsidR="00B33A03" w:rsidRPr="000E2B31">
        <w:rPr>
          <w:rFonts w:ascii="Times New Roman" w:hAnsi="Times New Roman" w:cs="Times New Roman"/>
          <w:sz w:val="28"/>
          <w:szCs w:val="28"/>
          <w:lang w:val="en-GB"/>
        </w:rPr>
        <w:t>seems to me to set the bar for disqualification very high</w:t>
      </w:r>
      <w:r w:rsidR="00DF2903" w:rsidRPr="000E2B31">
        <w:rPr>
          <w:rFonts w:ascii="Times New Roman" w:hAnsi="Times New Roman" w:cs="Times New Roman"/>
          <w:sz w:val="28"/>
          <w:szCs w:val="28"/>
          <w:lang w:val="en-GB"/>
        </w:rPr>
        <w:t>.</w:t>
      </w:r>
      <w:r w:rsidR="00B33A03" w:rsidRPr="000E2B31">
        <w:rPr>
          <w:rFonts w:ascii="Times New Roman" w:hAnsi="Times New Roman" w:cs="Times New Roman"/>
          <w:sz w:val="28"/>
          <w:szCs w:val="28"/>
          <w:lang w:val="en-GB"/>
        </w:rPr>
        <w:t xml:space="preserve"> </w:t>
      </w:r>
      <w:r w:rsidR="00DF2903" w:rsidRPr="000E2B31">
        <w:rPr>
          <w:rFonts w:ascii="Times New Roman" w:hAnsi="Times New Roman" w:cs="Times New Roman"/>
          <w:sz w:val="28"/>
          <w:szCs w:val="28"/>
          <w:lang w:val="en-GB"/>
        </w:rPr>
        <w:t>Indeed,</w:t>
      </w:r>
      <w:r w:rsidR="00B33A03" w:rsidRPr="000E2B31">
        <w:rPr>
          <w:rFonts w:ascii="Times New Roman" w:hAnsi="Times New Roman" w:cs="Times New Roman"/>
          <w:sz w:val="28"/>
          <w:szCs w:val="28"/>
          <w:lang w:val="en-GB"/>
        </w:rPr>
        <w:t xml:space="preserve"> it would be difficult in practise for </w:t>
      </w:r>
      <w:r w:rsidR="00DF2903" w:rsidRPr="000E2B31">
        <w:rPr>
          <w:rFonts w:ascii="Times New Roman" w:hAnsi="Times New Roman" w:cs="Times New Roman"/>
          <w:sz w:val="28"/>
          <w:szCs w:val="28"/>
          <w:lang w:val="en-GB"/>
        </w:rPr>
        <w:t>the Department on the basis of what Clause C provides to</w:t>
      </w:r>
      <w:r w:rsidR="00B33A03" w:rsidRPr="000E2B31">
        <w:rPr>
          <w:rFonts w:ascii="Times New Roman" w:hAnsi="Times New Roman" w:cs="Times New Roman"/>
          <w:sz w:val="28"/>
          <w:szCs w:val="28"/>
          <w:lang w:val="en-GB"/>
        </w:rPr>
        <w:t xml:space="preserve"> </w:t>
      </w:r>
      <w:r w:rsidR="00DF2903" w:rsidRPr="000E2B31">
        <w:rPr>
          <w:rFonts w:ascii="Times New Roman" w:hAnsi="Times New Roman" w:cs="Times New Roman"/>
          <w:sz w:val="28"/>
          <w:szCs w:val="28"/>
          <w:lang w:val="en-GB"/>
        </w:rPr>
        <w:t xml:space="preserve">trounce the highest point scorer. </w:t>
      </w:r>
    </w:p>
    <w:p w14:paraId="3D731C7A" w14:textId="77777777" w:rsidR="001352DD" w:rsidRPr="001352DD" w:rsidRDefault="001352DD" w:rsidP="001352DD">
      <w:pPr>
        <w:pStyle w:val="ListParagraph"/>
        <w:rPr>
          <w:rFonts w:ascii="Times New Roman" w:hAnsi="Times New Roman" w:cs="Times New Roman"/>
          <w:sz w:val="28"/>
          <w:szCs w:val="28"/>
          <w:lang w:val="en-GB"/>
        </w:rPr>
      </w:pPr>
    </w:p>
    <w:p w14:paraId="6FAE4B80" w14:textId="5845D2F6" w:rsidR="005C1717" w:rsidRDefault="001352DD" w:rsidP="001352DD">
      <w:pPr>
        <w:pStyle w:val="ListParagraph"/>
        <w:tabs>
          <w:tab w:val="left" w:pos="709"/>
        </w:tabs>
        <w:spacing w:before="0" w:beforeAutospacing="0"/>
        <w:ind w:left="0"/>
        <w:jc w:val="both"/>
        <w:rPr>
          <w:rFonts w:ascii="Times New Roman" w:hAnsi="Times New Roman" w:cs="Times New Roman"/>
          <w:sz w:val="28"/>
          <w:szCs w:val="28"/>
          <w:u w:val="single"/>
          <w:lang w:val="en-US"/>
        </w:rPr>
      </w:pPr>
      <w:r w:rsidRPr="001352DD">
        <w:rPr>
          <w:rFonts w:ascii="Times New Roman" w:hAnsi="Times New Roman" w:cs="Times New Roman"/>
          <w:sz w:val="28"/>
          <w:szCs w:val="28"/>
          <w:u w:val="single"/>
          <w:lang w:val="en-US"/>
        </w:rPr>
        <w:t>Conclusion</w:t>
      </w:r>
      <w:r w:rsidR="005E4619" w:rsidRPr="001352DD">
        <w:rPr>
          <w:rFonts w:ascii="Times New Roman" w:hAnsi="Times New Roman" w:cs="Times New Roman"/>
          <w:sz w:val="28"/>
          <w:szCs w:val="28"/>
          <w:u w:val="single"/>
          <w:lang w:val="en-US"/>
        </w:rPr>
        <w:t xml:space="preserve"> </w:t>
      </w:r>
    </w:p>
    <w:p w14:paraId="687D2527" w14:textId="77777777" w:rsidR="001352DD" w:rsidRPr="001352DD" w:rsidRDefault="001352DD" w:rsidP="001352DD">
      <w:pPr>
        <w:pStyle w:val="ListParagraph"/>
        <w:tabs>
          <w:tab w:val="left" w:pos="709"/>
        </w:tabs>
        <w:spacing w:before="0" w:beforeAutospacing="0"/>
        <w:ind w:left="0"/>
        <w:jc w:val="both"/>
        <w:rPr>
          <w:rFonts w:ascii="Times New Roman" w:hAnsi="Times New Roman" w:cs="Times New Roman"/>
          <w:sz w:val="28"/>
          <w:szCs w:val="28"/>
          <w:u w:val="single"/>
          <w:lang w:val="en-US"/>
        </w:rPr>
      </w:pPr>
    </w:p>
    <w:p w14:paraId="1828C302" w14:textId="487853D2" w:rsidR="00410ADE" w:rsidRPr="000E2B31" w:rsidRDefault="000E2B31" w:rsidP="000E2B31">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[123]</w:t>
      </w:r>
      <w:r>
        <w:rPr>
          <w:rFonts w:ascii="Times New Roman" w:hAnsi="Times New Roman" w:cs="Times New Roman"/>
          <w:sz w:val="28"/>
          <w:szCs w:val="28"/>
          <w:lang w:val="en-US"/>
        </w:rPr>
        <w:tab/>
      </w:r>
      <w:r w:rsidR="00410ADE" w:rsidRPr="000E2B31">
        <w:rPr>
          <w:rFonts w:ascii="Times New Roman" w:hAnsi="Times New Roman" w:cs="Times New Roman"/>
          <w:sz w:val="28"/>
          <w:szCs w:val="28"/>
          <w:lang w:val="en-US"/>
        </w:rPr>
        <w:t xml:space="preserve">In the premises there is no reason not to uphold the court </w:t>
      </w:r>
      <w:r w:rsidR="00410ADE" w:rsidRPr="000E2B31">
        <w:rPr>
          <w:rFonts w:ascii="Times New Roman" w:hAnsi="Times New Roman" w:cs="Times New Roman"/>
          <w:i/>
          <w:iCs/>
          <w:sz w:val="28"/>
          <w:szCs w:val="28"/>
          <w:lang w:val="en-US"/>
        </w:rPr>
        <w:t>a quo’s</w:t>
      </w:r>
      <w:r w:rsidR="00410ADE" w:rsidRPr="000E2B31">
        <w:rPr>
          <w:rFonts w:ascii="Times New Roman" w:hAnsi="Times New Roman" w:cs="Times New Roman"/>
          <w:sz w:val="28"/>
          <w:szCs w:val="28"/>
          <w:lang w:val="en-US"/>
        </w:rPr>
        <w:t xml:space="preserve"> orders.</w:t>
      </w:r>
    </w:p>
    <w:p w14:paraId="1671F638" w14:textId="77777777" w:rsidR="00410ADE" w:rsidRPr="00410ADE" w:rsidRDefault="00410ADE" w:rsidP="00410ADE">
      <w:pPr>
        <w:pStyle w:val="ListParagraph"/>
        <w:rPr>
          <w:rFonts w:ascii="Times New Roman" w:hAnsi="Times New Roman" w:cs="Times New Roman"/>
          <w:sz w:val="28"/>
          <w:szCs w:val="28"/>
          <w:lang w:val="en-US"/>
        </w:rPr>
      </w:pPr>
    </w:p>
    <w:p w14:paraId="6D1D41CB" w14:textId="3E42AB23" w:rsidR="00410ADE" w:rsidRPr="000E2B31" w:rsidRDefault="000E2B31" w:rsidP="000E2B31">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[124]</w:t>
      </w:r>
      <w:r>
        <w:rPr>
          <w:rFonts w:ascii="Times New Roman" w:hAnsi="Times New Roman" w:cs="Times New Roman"/>
          <w:sz w:val="28"/>
          <w:szCs w:val="28"/>
          <w:lang w:val="en-US"/>
        </w:rPr>
        <w:tab/>
      </w:r>
      <w:r w:rsidR="00410ADE" w:rsidRPr="000E2B31">
        <w:rPr>
          <w:rFonts w:ascii="Times New Roman" w:hAnsi="Times New Roman" w:cs="Times New Roman"/>
          <w:sz w:val="28"/>
          <w:szCs w:val="28"/>
          <w:lang w:val="en-US"/>
        </w:rPr>
        <w:t>The first respondent was careful in framing its papers in the review application not to seek an order setting aside the entire tender process, but to focus instead on challenging the bad decisions that in the end conduced to the wrong outcome</w:t>
      </w:r>
      <w:r w:rsidR="009C07EA" w:rsidRPr="000E2B31">
        <w:rPr>
          <w:rFonts w:ascii="Times New Roman" w:hAnsi="Times New Roman" w:cs="Times New Roman"/>
          <w:sz w:val="28"/>
          <w:szCs w:val="28"/>
          <w:lang w:val="en-US"/>
        </w:rPr>
        <w:t xml:space="preserve"> to its considerable prejudice.</w:t>
      </w:r>
      <w:r w:rsidR="00410ADE" w:rsidRPr="000E2B31">
        <w:rPr>
          <w:rFonts w:ascii="Times New Roman" w:hAnsi="Times New Roman" w:cs="Times New Roman"/>
          <w:sz w:val="28"/>
          <w:szCs w:val="28"/>
          <w:lang w:val="en-US"/>
        </w:rPr>
        <w:t xml:space="preserve">  </w:t>
      </w:r>
    </w:p>
    <w:p w14:paraId="45682C91" w14:textId="77777777" w:rsidR="00410ADE" w:rsidRPr="00410ADE" w:rsidRDefault="00410ADE" w:rsidP="00410ADE">
      <w:pPr>
        <w:pStyle w:val="ListParagraph"/>
        <w:rPr>
          <w:rFonts w:ascii="Times New Roman" w:hAnsi="Times New Roman" w:cs="Times New Roman"/>
          <w:sz w:val="28"/>
          <w:szCs w:val="28"/>
          <w:lang w:val="en-US"/>
        </w:rPr>
      </w:pPr>
    </w:p>
    <w:p w14:paraId="3C416B49" w14:textId="17B496DD" w:rsidR="00410ADE" w:rsidRPr="000E2B31" w:rsidRDefault="000E2B31" w:rsidP="000E2B31">
      <w:pPr>
        <w:tabs>
          <w:tab w:val="left" w:pos="709"/>
        </w:tabs>
        <w:spacing w:before="0" w:beforeAutospacing="0"/>
        <w:jc w:val="both"/>
        <w:rPr>
          <w:rFonts w:ascii="Times New Roman" w:hAnsi="Times New Roman" w:cs="Times New Roman"/>
          <w:sz w:val="28"/>
          <w:szCs w:val="28"/>
          <w:lang w:val="en-US"/>
        </w:rPr>
      </w:pPr>
      <w:r w:rsidRPr="00410ADE">
        <w:rPr>
          <w:rFonts w:ascii="Times New Roman" w:hAnsi="Times New Roman" w:cs="Times New Roman"/>
          <w:sz w:val="28"/>
          <w:szCs w:val="28"/>
          <w:lang w:val="en-US"/>
        </w:rPr>
        <w:lastRenderedPageBreak/>
        <w:t>[125]</w:t>
      </w:r>
      <w:r w:rsidRPr="00410ADE">
        <w:rPr>
          <w:rFonts w:ascii="Times New Roman" w:hAnsi="Times New Roman" w:cs="Times New Roman"/>
          <w:sz w:val="28"/>
          <w:szCs w:val="28"/>
          <w:lang w:val="en-US"/>
        </w:rPr>
        <w:tab/>
      </w:r>
      <w:r w:rsidR="00410ADE" w:rsidRPr="000E2B31">
        <w:rPr>
          <w:rFonts w:ascii="Times New Roman" w:hAnsi="Times New Roman" w:cs="Times New Roman"/>
          <w:sz w:val="28"/>
          <w:szCs w:val="28"/>
          <w:lang w:val="en-US"/>
        </w:rPr>
        <w:t xml:space="preserve">There is no merit in the applicant’s argument that a reconsideration against this peculiar background is </w:t>
      </w:r>
      <w:r w:rsidR="001352DD" w:rsidRPr="000E2B31">
        <w:rPr>
          <w:rFonts w:ascii="Times New Roman" w:hAnsi="Times New Roman" w:cs="Times New Roman"/>
          <w:sz w:val="28"/>
          <w:szCs w:val="28"/>
          <w:lang w:val="en-US"/>
        </w:rPr>
        <w:t>impossible</w:t>
      </w:r>
      <w:r w:rsidR="00410ADE" w:rsidRPr="000E2B31">
        <w:rPr>
          <w:rFonts w:ascii="Times New Roman" w:hAnsi="Times New Roman" w:cs="Times New Roman"/>
          <w:sz w:val="28"/>
          <w:szCs w:val="28"/>
          <w:lang w:val="en-US"/>
        </w:rPr>
        <w:t>.</w:t>
      </w:r>
      <w:r w:rsidR="001352DD" w:rsidRPr="000E2B31">
        <w:rPr>
          <w:rFonts w:ascii="Times New Roman" w:hAnsi="Times New Roman" w:cs="Times New Roman"/>
          <w:sz w:val="28"/>
          <w:szCs w:val="28"/>
          <w:lang w:val="en-US"/>
        </w:rPr>
        <w:t xml:space="preserve">  To the </w:t>
      </w:r>
      <w:r w:rsidR="000F1E03" w:rsidRPr="000E2B31">
        <w:rPr>
          <w:rFonts w:ascii="Times New Roman" w:hAnsi="Times New Roman" w:cs="Times New Roman"/>
          <w:sz w:val="28"/>
          <w:szCs w:val="28"/>
          <w:lang w:val="en-US"/>
        </w:rPr>
        <w:t>contrary,</w:t>
      </w:r>
      <w:r w:rsidR="001352DD" w:rsidRPr="000E2B31">
        <w:rPr>
          <w:rFonts w:ascii="Times New Roman" w:hAnsi="Times New Roman" w:cs="Times New Roman"/>
          <w:sz w:val="28"/>
          <w:szCs w:val="28"/>
          <w:lang w:val="en-US"/>
        </w:rPr>
        <w:t xml:space="preserve"> the remedy is the best fitting one.</w:t>
      </w:r>
    </w:p>
    <w:p w14:paraId="6ECDD3E7" w14:textId="77777777" w:rsidR="00410ADE" w:rsidRPr="00410ADE" w:rsidRDefault="00410ADE" w:rsidP="00410ADE">
      <w:pPr>
        <w:pStyle w:val="ListParagraph"/>
        <w:rPr>
          <w:rFonts w:ascii="Times New Roman" w:hAnsi="Times New Roman" w:cs="Times New Roman"/>
          <w:sz w:val="28"/>
          <w:szCs w:val="28"/>
          <w:lang w:val="en-US"/>
        </w:rPr>
      </w:pPr>
    </w:p>
    <w:p w14:paraId="5833FE7F" w14:textId="5637E82F" w:rsidR="00330FAE" w:rsidRPr="000E2B31" w:rsidRDefault="000E2B31" w:rsidP="000E2B31">
      <w:pPr>
        <w:tabs>
          <w:tab w:val="left" w:pos="709"/>
        </w:tabs>
        <w:spacing w:before="0" w:beforeAutospacing="0"/>
        <w:jc w:val="both"/>
        <w:rPr>
          <w:rFonts w:ascii="Times New Roman" w:hAnsi="Times New Roman" w:cs="Times New Roman"/>
          <w:sz w:val="28"/>
          <w:szCs w:val="28"/>
          <w:lang w:val="en-US"/>
        </w:rPr>
      </w:pPr>
      <w:r w:rsidRPr="005C1717">
        <w:rPr>
          <w:rFonts w:ascii="Times New Roman" w:hAnsi="Times New Roman" w:cs="Times New Roman"/>
          <w:sz w:val="28"/>
          <w:szCs w:val="28"/>
          <w:lang w:val="en-US"/>
        </w:rPr>
        <w:t>[126]</w:t>
      </w:r>
      <w:r w:rsidRPr="005C1717">
        <w:rPr>
          <w:rFonts w:ascii="Times New Roman" w:hAnsi="Times New Roman" w:cs="Times New Roman"/>
          <w:sz w:val="28"/>
          <w:szCs w:val="28"/>
          <w:lang w:val="en-US"/>
        </w:rPr>
        <w:tab/>
      </w:r>
      <w:r w:rsidR="00330FAE" w:rsidRPr="000E2B31">
        <w:rPr>
          <w:rFonts w:ascii="Times New Roman" w:hAnsi="Times New Roman" w:cs="Times New Roman"/>
          <w:sz w:val="28"/>
          <w:szCs w:val="28"/>
          <w:lang w:val="en-US"/>
        </w:rPr>
        <w:t>In the result I make the following order:</w:t>
      </w:r>
    </w:p>
    <w:p w14:paraId="5DB72CFF" w14:textId="77777777" w:rsidR="00330FAE" w:rsidRDefault="00330FAE" w:rsidP="00330FAE">
      <w:pPr>
        <w:spacing w:before="0" w:beforeAutospacing="0"/>
        <w:contextualSpacing/>
        <w:jc w:val="both"/>
        <w:rPr>
          <w:rFonts w:ascii="Times New Roman" w:hAnsi="Times New Roman" w:cs="Times New Roman"/>
          <w:sz w:val="28"/>
          <w:szCs w:val="28"/>
          <w:lang w:val="en-US"/>
        </w:rPr>
      </w:pPr>
    </w:p>
    <w:p w14:paraId="74BCACB7" w14:textId="0816706D" w:rsidR="00181EAA" w:rsidRPr="000E2B31" w:rsidRDefault="000E2B31" w:rsidP="000E2B31">
      <w:pPr>
        <w:spacing w:before="0" w:beforeAutospacing="0"/>
        <w:ind w:left="1080" w:hanging="360"/>
        <w:jc w:val="both"/>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r>
      <w:r w:rsidR="001352DD" w:rsidRPr="000E2B31">
        <w:rPr>
          <w:rFonts w:ascii="Times New Roman" w:hAnsi="Times New Roman" w:cs="Times New Roman"/>
          <w:sz w:val="28"/>
          <w:szCs w:val="28"/>
          <w:lang w:val="en-US"/>
        </w:rPr>
        <w:t>The appeal is dismissed with costs.</w:t>
      </w:r>
    </w:p>
    <w:p w14:paraId="3BF561AD" w14:textId="77777777" w:rsidR="00181EAA" w:rsidRDefault="00181EAA" w:rsidP="00181EAA">
      <w:pPr>
        <w:pStyle w:val="ListParagraph"/>
        <w:spacing w:before="0" w:beforeAutospacing="0"/>
        <w:ind w:left="1080"/>
        <w:jc w:val="both"/>
        <w:rPr>
          <w:rFonts w:ascii="Times New Roman" w:hAnsi="Times New Roman" w:cs="Times New Roman"/>
          <w:sz w:val="28"/>
          <w:szCs w:val="28"/>
          <w:lang w:val="en-US"/>
        </w:rPr>
      </w:pPr>
    </w:p>
    <w:p w14:paraId="7AC88B0E" w14:textId="39B3B294" w:rsidR="00112C88" w:rsidRPr="000E2B31" w:rsidRDefault="000E2B31" w:rsidP="000E2B31">
      <w:pPr>
        <w:spacing w:before="0" w:beforeAutospacing="0"/>
        <w:ind w:left="1080" w:hanging="360"/>
        <w:jc w:val="both"/>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r>
      <w:r w:rsidR="00410ADE" w:rsidRPr="000E2B31">
        <w:rPr>
          <w:rFonts w:ascii="Times New Roman" w:hAnsi="Times New Roman" w:cs="Times New Roman"/>
          <w:sz w:val="28"/>
          <w:szCs w:val="28"/>
          <w:lang w:val="en-US"/>
        </w:rPr>
        <w:t xml:space="preserve">The reconsideration envisaged by </w:t>
      </w:r>
      <w:r w:rsidR="00112C88" w:rsidRPr="000E2B31">
        <w:rPr>
          <w:rFonts w:ascii="Times New Roman" w:hAnsi="Times New Roman" w:cs="Times New Roman"/>
          <w:sz w:val="28"/>
          <w:szCs w:val="28"/>
          <w:lang w:val="en-US"/>
        </w:rPr>
        <w:t>paragraph</w:t>
      </w:r>
      <w:r w:rsidR="00410ADE" w:rsidRPr="000E2B31">
        <w:rPr>
          <w:rFonts w:ascii="Times New Roman" w:hAnsi="Times New Roman" w:cs="Times New Roman"/>
          <w:sz w:val="28"/>
          <w:szCs w:val="28"/>
          <w:lang w:val="en-US"/>
        </w:rPr>
        <w:t xml:space="preserve"> 2 of the order of the court </w:t>
      </w:r>
      <w:r w:rsidR="00410ADE" w:rsidRPr="000E2B31">
        <w:rPr>
          <w:rFonts w:ascii="Times New Roman" w:hAnsi="Times New Roman" w:cs="Times New Roman"/>
          <w:i/>
          <w:iCs/>
          <w:sz w:val="28"/>
          <w:szCs w:val="28"/>
          <w:lang w:val="en-US"/>
        </w:rPr>
        <w:t>a quo</w:t>
      </w:r>
      <w:r w:rsidR="00410ADE" w:rsidRPr="000E2B31">
        <w:rPr>
          <w:rFonts w:ascii="Times New Roman" w:hAnsi="Times New Roman" w:cs="Times New Roman"/>
          <w:sz w:val="28"/>
          <w:szCs w:val="28"/>
          <w:lang w:val="en-US"/>
        </w:rPr>
        <w:t xml:space="preserve"> shall be premised on the basis that</w:t>
      </w:r>
      <w:r w:rsidR="00112C88" w:rsidRPr="000E2B31">
        <w:rPr>
          <w:rFonts w:ascii="Times New Roman" w:hAnsi="Times New Roman" w:cs="Times New Roman"/>
          <w:sz w:val="28"/>
          <w:szCs w:val="28"/>
          <w:lang w:val="en-US"/>
        </w:rPr>
        <w:t>:</w:t>
      </w:r>
    </w:p>
    <w:p w14:paraId="7A8B924A" w14:textId="77777777" w:rsidR="00112C88" w:rsidRPr="00112C88" w:rsidRDefault="00112C88" w:rsidP="00112C88">
      <w:pPr>
        <w:pStyle w:val="ListParagraph"/>
        <w:rPr>
          <w:rFonts w:ascii="Times New Roman" w:hAnsi="Times New Roman" w:cs="Times New Roman"/>
          <w:sz w:val="28"/>
          <w:szCs w:val="28"/>
          <w:lang w:val="en-US"/>
        </w:rPr>
      </w:pPr>
    </w:p>
    <w:p w14:paraId="5B993546" w14:textId="599FA0D9" w:rsidR="00C52A60" w:rsidRPr="000E2B31" w:rsidRDefault="000E2B31" w:rsidP="000E2B31">
      <w:pPr>
        <w:spacing w:before="0" w:beforeAutospacing="0"/>
        <w:ind w:left="1701" w:hanging="567"/>
        <w:jc w:val="both"/>
        <w:rPr>
          <w:rFonts w:ascii="Times New Roman" w:hAnsi="Times New Roman" w:cs="Times New Roman"/>
          <w:sz w:val="28"/>
          <w:szCs w:val="28"/>
          <w:lang w:val="en-US"/>
        </w:rPr>
      </w:pPr>
      <w:r>
        <w:rPr>
          <w:rFonts w:ascii="Times New Roman" w:hAnsi="Times New Roman" w:cs="Times New Roman"/>
          <w:sz w:val="28"/>
          <w:szCs w:val="28"/>
          <w:lang w:val="en-US"/>
        </w:rPr>
        <w:t>2.1</w:t>
      </w:r>
      <w:r>
        <w:rPr>
          <w:rFonts w:ascii="Times New Roman" w:hAnsi="Times New Roman" w:cs="Times New Roman"/>
          <w:sz w:val="28"/>
          <w:szCs w:val="28"/>
          <w:lang w:val="en-US"/>
        </w:rPr>
        <w:tab/>
      </w:r>
      <w:r w:rsidR="00410ADE" w:rsidRPr="000E2B31">
        <w:rPr>
          <w:rFonts w:ascii="Times New Roman" w:hAnsi="Times New Roman" w:cs="Times New Roman"/>
          <w:sz w:val="28"/>
          <w:szCs w:val="28"/>
          <w:lang w:val="en-US"/>
        </w:rPr>
        <w:t>the bids of the second and third respondents are administratively non-responsive</w:t>
      </w:r>
      <w:r w:rsidR="001240DC" w:rsidRPr="000E2B31">
        <w:rPr>
          <w:rFonts w:ascii="Times New Roman" w:hAnsi="Times New Roman" w:cs="Times New Roman"/>
          <w:sz w:val="28"/>
          <w:szCs w:val="28"/>
          <w:lang w:val="en-US"/>
        </w:rPr>
        <w:t>;</w:t>
      </w:r>
      <w:r w:rsidR="00410ADE" w:rsidRPr="000E2B31">
        <w:rPr>
          <w:rFonts w:ascii="Times New Roman" w:hAnsi="Times New Roman" w:cs="Times New Roman"/>
          <w:sz w:val="28"/>
          <w:szCs w:val="28"/>
          <w:lang w:val="en-US"/>
        </w:rPr>
        <w:t xml:space="preserve"> and </w:t>
      </w:r>
    </w:p>
    <w:p w14:paraId="42F8CF5A" w14:textId="172B389C" w:rsidR="00E456FF" w:rsidRPr="000E2B31" w:rsidRDefault="000E2B31" w:rsidP="000E2B31">
      <w:pPr>
        <w:spacing w:before="0" w:beforeAutospacing="0"/>
        <w:ind w:left="1701" w:hanging="567"/>
        <w:jc w:val="both"/>
        <w:rPr>
          <w:rFonts w:ascii="Times New Roman" w:hAnsi="Times New Roman" w:cs="Times New Roman"/>
          <w:sz w:val="28"/>
          <w:szCs w:val="28"/>
          <w:lang w:val="en-US"/>
        </w:rPr>
      </w:pPr>
      <w:r w:rsidRPr="00C52A60">
        <w:rPr>
          <w:rFonts w:ascii="Times New Roman" w:hAnsi="Times New Roman" w:cs="Times New Roman"/>
          <w:sz w:val="28"/>
          <w:szCs w:val="28"/>
          <w:lang w:val="en-US"/>
        </w:rPr>
        <w:t>2.2</w:t>
      </w:r>
      <w:r w:rsidRPr="00C52A60">
        <w:rPr>
          <w:rFonts w:ascii="Times New Roman" w:hAnsi="Times New Roman" w:cs="Times New Roman"/>
          <w:sz w:val="28"/>
          <w:szCs w:val="28"/>
          <w:lang w:val="en-US"/>
        </w:rPr>
        <w:tab/>
      </w:r>
      <w:r w:rsidR="00410ADE" w:rsidRPr="000E2B31">
        <w:rPr>
          <w:rFonts w:ascii="Times New Roman" w:hAnsi="Times New Roman" w:cs="Times New Roman"/>
          <w:sz w:val="28"/>
          <w:szCs w:val="28"/>
          <w:lang w:val="en-US"/>
        </w:rPr>
        <w:t>the first respondent is de</w:t>
      </w:r>
      <w:r w:rsidR="009427F0" w:rsidRPr="000E2B31">
        <w:rPr>
          <w:rFonts w:ascii="Times New Roman" w:hAnsi="Times New Roman" w:cs="Times New Roman"/>
          <w:sz w:val="28"/>
          <w:szCs w:val="28"/>
          <w:lang w:val="en-US"/>
        </w:rPr>
        <w:t>emed to be the only remaining tenderer in the evaluation stage.</w:t>
      </w:r>
    </w:p>
    <w:p w14:paraId="682AF509" w14:textId="77777777" w:rsidR="005C1717" w:rsidRDefault="005C1717" w:rsidP="00330FAE">
      <w:pPr>
        <w:spacing w:before="0" w:beforeAutospacing="0"/>
        <w:contextualSpacing/>
        <w:jc w:val="both"/>
      </w:pPr>
    </w:p>
    <w:p w14:paraId="5BB68AAC" w14:textId="77777777" w:rsidR="005C1717" w:rsidRDefault="005C1717" w:rsidP="00330FAE">
      <w:pPr>
        <w:spacing w:before="0" w:beforeAutospacing="0"/>
        <w:contextualSpacing/>
        <w:jc w:val="both"/>
      </w:pPr>
    </w:p>
    <w:p w14:paraId="711B500E" w14:textId="77777777" w:rsidR="005C1717" w:rsidRDefault="005C1717" w:rsidP="00330FAE">
      <w:pPr>
        <w:spacing w:before="0" w:beforeAutospacing="0"/>
        <w:contextualSpacing/>
        <w:jc w:val="both"/>
      </w:pPr>
    </w:p>
    <w:p w14:paraId="4597D808" w14:textId="77777777" w:rsidR="00AD0A92" w:rsidRDefault="00AD0A92" w:rsidP="00330FAE">
      <w:pPr>
        <w:spacing w:before="0" w:beforeAutospacing="0"/>
        <w:contextualSpacing/>
        <w:jc w:val="both"/>
      </w:pPr>
    </w:p>
    <w:p w14:paraId="1C929855" w14:textId="77777777" w:rsidR="005C1717" w:rsidRPr="00FE0355" w:rsidRDefault="005C1717" w:rsidP="005C1717">
      <w:pPr>
        <w:contextualSpacing/>
        <w:jc w:val="both"/>
        <w:rPr>
          <w:rFonts w:ascii="Times New Roman" w:hAnsi="Times New Roman" w:cs="Times New Roman"/>
          <w:b/>
          <w:sz w:val="28"/>
          <w:szCs w:val="28"/>
        </w:rPr>
      </w:pPr>
      <w:r w:rsidRPr="00FE0355">
        <w:rPr>
          <w:rFonts w:ascii="Times New Roman" w:hAnsi="Times New Roman" w:cs="Times New Roman"/>
          <w:b/>
          <w:sz w:val="28"/>
          <w:szCs w:val="28"/>
        </w:rPr>
        <w:t>_________________</w:t>
      </w:r>
    </w:p>
    <w:p w14:paraId="3EEAC07B" w14:textId="77777777" w:rsidR="005C1717" w:rsidRPr="00FE0355" w:rsidRDefault="005C1717" w:rsidP="005C1717">
      <w:pPr>
        <w:contextualSpacing/>
        <w:jc w:val="both"/>
        <w:rPr>
          <w:rFonts w:ascii="Times New Roman" w:hAnsi="Times New Roman" w:cs="Times New Roman"/>
          <w:sz w:val="28"/>
          <w:szCs w:val="28"/>
        </w:rPr>
      </w:pPr>
      <w:r w:rsidRPr="00FE0355">
        <w:rPr>
          <w:rFonts w:ascii="Times New Roman" w:hAnsi="Times New Roman" w:cs="Times New Roman"/>
          <w:sz w:val="28"/>
          <w:szCs w:val="28"/>
        </w:rPr>
        <w:t xml:space="preserve">B   HARTLE </w:t>
      </w:r>
    </w:p>
    <w:p w14:paraId="4EE71316" w14:textId="77777777" w:rsidR="005C1717" w:rsidRPr="00FE0355" w:rsidRDefault="005C1717" w:rsidP="005C1717">
      <w:pPr>
        <w:contextualSpacing/>
        <w:jc w:val="both"/>
        <w:rPr>
          <w:rFonts w:ascii="Times New Roman" w:hAnsi="Times New Roman" w:cs="Times New Roman"/>
          <w:sz w:val="28"/>
          <w:szCs w:val="28"/>
        </w:rPr>
      </w:pPr>
      <w:r w:rsidRPr="00FE0355">
        <w:rPr>
          <w:rFonts w:ascii="Times New Roman" w:hAnsi="Times New Roman" w:cs="Times New Roman"/>
          <w:sz w:val="28"/>
          <w:szCs w:val="28"/>
        </w:rPr>
        <w:t>JUDGE OF THE HIGH COURT</w:t>
      </w:r>
    </w:p>
    <w:p w14:paraId="11D41C1F" w14:textId="77777777" w:rsidR="005C1717" w:rsidRDefault="005C1717" w:rsidP="005C1717">
      <w:pPr>
        <w:contextualSpacing/>
        <w:rPr>
          <w:rFonts w:ascii="Times New Roman" w:hAnsi="Times New Roman" w:cs="Times New Roman"/>
          <w:sz w:val="28"/>
          <w:szCs w:val="28"/>
        </w:rPr>
      </w:pPr>
    </w:p>
    <w:p w14:paraId="0E1E414E" w14:textId="77777777" w:rsidR="00AD0A92" w:rsidRDefault="00AD0A92" w:rsidP="005C1717">
      <w:pPr>
        <w:contextualSpacing/>
        <w:rPr>
          <w:rFonts w:ascii="Times New Roman" w:hAnsi="Times New Roman" w:cs="Times New Roman"/>
          <w:sz w:val="28"/>
          <w:szCs w:val="28"/>
        </w:rPr>
      </w:pPr>
    </w:p>
    <w:p w14:paraId="175B931D" w14:textId="77777777" w:rsidR="005C1717" w:rsidRPr="00FE0355" w:rsidRDefault="005C1717" w:rsidP="005C1717">
      <w:pPr>
        <w:contextualSpacing/>
        <w:rPr>
          <w:rFonts w:ascii="Times New Roman" w:hAnsi="Times New Roman" w:cs="Times New Roman"/>
          <w:sz w:val="28"/>
          <w:szCs w:val="28"/>
        </w:rPr>
      </w:pPr>
      <w:r w:rsidRPr="00FE0355">
        <w:rPr>
          <w:rFonts w:ascii="Times New Roman" w:hAnsi="Times New Roman" w:cs="Times New Roman"/>
          <w:sz w:val="28"/>
          <w:szCs w:val="28"/>
        </w:rPr>
        <w:t>I AGREE,</w:t>
      </w:r>
    </w:p>
    <w:p w14:paraId="2F27788F" w14:textId="77777777" w:rsidR="005C1717" w:rsidRPr="00FE0355" w:rsidRDefault="005C1717" w:rsidP="005C1717">
      <w:pPr>
        <w:contextualSpacing/>
        <w:rPr>
          <w:rFonts w:ascii="Times New Roman" w:hAnsi="Times New Roman" w:cs="Times New Roman"/>
          <w:sz w:val="28"/>
          <w:szCs w:val="28"/>
        </w:rPr>
      </w:pPr>
    </w:p>
    <w:p w14:paraId="3A4EAD24" w14:textId="77777777" w:rsidR="005C1717" w:rsidRPr="00FE0355" w:rsidRDefault="005C1717" w:rsidP="005C1717">
      <w:pPr>
        <w:pStyle w:val="ListParagraph"/>
        <w:tabs>
          <w:tab w:val="left" w:pos="0"/>
        </w:tabs>
        <w:ind w:left="0"/>
        <w:jc w:val="both"/>
        <w:rPr>
          <w:rFonts w:ascii="Times New Roman" w:hAnsi="Times New Roman" w:cs="Times New Roman"/>
          <w:sz w:val="28"/>
          <w:szCs w:val="28"/>
        </w:rPr>
      </w:pPr>
    </w:p>
    <w:p w14:paraId="775501A9" w14:textId="77777777" w:rsidR="005C1717" w:rsidRPr="00FE0355" w:rsidRDefault="005C1717" w:rsidP="005C1717">
      <w:pPr>
        <w:contextualSpacing/>
        <w:jc w:val="both"/>
        <w:rPr>
          <w:rFonts w:ascii="Times New Roman" w:hAnsi="Times New Roman" w:cs="Times New Roman"/>
          <w:sz w:val="28"/>
          <w:szCs w:val="28"/>
        </w:rPr>
      </w:pPr>
      <w:r w:rsidRPr="00FE0355">
        <w:rPr>
          <w:rFonts w:ascii="Times New Roman" w:hAnsi="Times New Roman" w:cs="Times New Roman"/>
          <w:sz w:val="28"/>
          <w:szCs w:val="28"/>
        </w:rPr>
        <w:t>_________________</w:t>
      </w:r>
    </w:p>
    <w:p w14:paraId="132DAA75" w14:textId="76211FDE" w:rsidR="005C1717" w:rsidRPr="00FE0355" w:rsidRDefault="004F57B9" w:rsidP="005C1717">
      <w:pPr>
        <w:contextualSpacing/>
        <w:jc w:val="both"/>
        <w:rPr>
          <w:rFonts w:ascii="Times New Roman" w:hAnsi="Times New Roman" w:cs="Times New Roman"/>
          <w:sz w:val="28"/>
          <w:szCs w:val="28"/>
        </w:rPr>
      </w:pPr>
      <w:r>
        <w:rPr>
          <w:rFonts w:ascii="Times New Roman" w:hAnsi="Times New Roman" w:cs="Times New Roman"/>
          <w:sz w:val="28"/>
          <w:szCs w:val="28"/>
        </w:rPr>
        <w:t>B MAJIKI</w:t>
      </w:r>
      <w:r w:rsidR="005C1717" w:rsidRPr="00FE0355">
        <w:rPr>
          <w:rFonts w:ascii="Times New Roman" w:hAnsi="Times New Roman" w:cs="Times New Roman"/>
          <w:sz w:val="28"/>
          <w:szCs w:val="28"/>
        </w:rPr>
        <w:t xml:space="preserve"> </w:t>
      </w:r>
    </w:p>
    <w:p w14:paraId="59F0F9EF" w14:textId="77777777" w:rsidR="005C1717" w:rsidRPr="00FE0355" w:rsidRDefault="005C1717" w:rsidP="005C1717">
      <w:pPr>
        <w:contextualSpacing/>
        <w:jc w:val="both"/>
        <w:rPr>
          <w:rFonts w:ascii="Times New Roman" w:hAnsi="Times New Roman" w:cs="Times New Roman"/>
          <w:sz w:val="28"/>
          <w:szCs w:val="28"/>
        </w:rPr>
      </w:pPr>
      <w:r w:rsidRPr="00FE0355">
        <w:rPr>
          <w:rFonts w:ascii="Times New Roman" w:hAnsi="Times New Roman" w:cs="Times New Roman"/>
          <w:sz w:val="28"/>
          <w:szCs w:val="28"/>
        </w:rPr>
        <w:t>JUDGE OF THE HIGH COURT</w:t>
      </w:r>
    </w:p>
    <w:p w14:paraId="0CB11ED8" w14:textId="77777777" w:rsidR="005C1717" w:rsidRPr="00FE0355" w:rsidRDefault="005C1717" w:rsidP="005C1717">
      <w:pPr>
        <w:contextualSpacing/>
        <w:rPr>
          <w:rFonts w:ascii="Times New Roman" w:hAnsi="Times New Roman" w:cs="Times New Roman"/>
          <w:sz w:val="28"/>
          <w:szCs w:val="28"/>
        </w:rPr>
      </w:pPr>
    </w:p>
    <w:p w14:paraId="01F8EFDB" w14:textId="77777777" w:rsidR="005C1717" w:rsidRDefault="005C1717" w:rsidP="005C1717">
      <w:pPr>
        <w:contextualSpacing/>
        <w:rPr>
          <w:rFonts w:ascii="Times New Roman" w:hAnsi="Times New Roman" w:cs="Times New Roman"/>
          <w:sz w:val="28"/>
          <w:szCs w:val="28"/>
        </w:rPr>
      </w:pPr>
    </w:p>
    <w:p w14:paraId="23E3A95A" w14:textId="52550639" w:rsidR="004F57B9" w:rsidRPr="00FE0355" w:rsidRDefault="00181EAA" w:rsidP="004F57B9">
      <w:pPr>
        <w:contextualSpacing/>
        <w:rPr>
          <w:rFonts w:ascii="Times New Roman" w:hAnsi="Times New Roman" w:cs="Times New Roman"/>
          <w:sz w:val="28"/>
          <w:szCs w:val="28"/>
        </w:rPr>
      </w:pPr>
      <w:r>
        <w:rPr>
          <w:rFonts w:ascii="Times New Roman" w:hAnsi="Times New Roman" w:cs="Times New Roman"/>
          <w:sz w:val="28"/>
          <w:szCs w:val="28"/>
        </w:rPr>
        <w:t>I</w:t>
      </w:r>
      <w:r w:rsidR="004F57B9" w:rsidRPr="00FE0355">
        <w:rPr>
          <w:rFonts w:ascii="Times New Roman" w:hAnsi="Times New Roman" w:cs="Times New Roman"/>
          <w:sz w:val="28"/>
          <w:szCs w:val="28"/>
        </w:rPr>
        <w:t xml:space="preserve"> AGREE,</w:t>
      </w:r>
    </w:p>
    <w:p w14:paraId="6FE4AECB" w14:textId="77777777" w:rsidR="004F57B9" w:rsidRPr="00FE0355" w:rsidRDefault="004F57B9" w:rsidP="004F57B9">
      <w:pPr>
        <w:contextualSpacing/>
        <w:rPr>
          <w:rFonts w:ascii="Times New Roman" w:hAnsi="Times New Roman" w:cs="Times New Roman"/>
          <w:sz w:val="28"/>
          <w:szCs w:val="28"/>
        </w:rPr>
      </w:pPr>
    </w:p>
    <w:p w14:paraId="6C549F06" w14:textId="77777777" w:rsidR="004F57B9" w:rsidRPr="00FE0355" w:rsidRDefault="004F57B9" w:rsidP="004F57B9">
      <w:pPr>
        <w:pStyle w:val="ListParagraph"/>
        <w:tabs>
          <w:tab w:val="left" w:pos="0"/>
        </w:tabs>
        <w:ind w:left="0"/>
        <w:jc w:val="both"/>
        <w:rPr>
          <w:rFonts w:ascii="Times New Roman" w:hAnsi="Times New Roman" w:cs="Times New Roman"/>
          <w:sz w:val="28"/>
          <w:szCs w:val="28"/>
        </w:rPr>
      </w:pPr>
    </w:p>
    <w:p w14:paraId="0565AACF" w14:textId="77777777" w:rsidR="004F57B9" w:rsidRPr="00FE0355" w:rsidRDefault="004F57B9" w:rsidP="004F57B9">
      <w:pPr>
        <w:contextualSpacing/>
        <w:jc w:val="both"/>
        <w:rPr>
          <w:rFonts w:ascii="Times New Roman" w:hAnsi="Times New Roman" w:cs="Times New Roman"/>
          <w:sz w:val="28"/>
          <w:szCs w:val="28"/>
        </w:rPr>
      </w:pPr>
      <w:r w:rsidRPr="00FE0355">
        <w:rPr>
          <w:rFonts w:ascii="Times New Roman" w:hAnsi="Times New Roman" w:cs="Times New Roman"/>
          <w:sz w:val="28"/>
          <w:szCs w:val="28"/>
        </w:rPr>
        <w:t>_________________</w:t>
      </w:r>
    </w:p>
    <w:p w14:paraId="285683F8" w14:textId="7B0918A8" w:rsidR="004F57B9" w:rsidRPr="00FE0355" w:rsidRDefault="004F57B9" w:rsidP="004F57B9">
      <w:pPr>
        <w:contextualSpacing/>
        <w:jc w:val="both"/>
        <w:rPr>
          <w:rFonts w:ascii="Times New Roman" w:hAnsi="Times New Roman" w:cs="Times New Roman"/>
          <w:sz w:val="28"/>
          <w:szCs w:val="28"/>
        </w:rPr>
      </w:pPr>
      <w:r>
        <w:rPr>
          <w:rFonts w:ascii="Times New Roman" w:hAnsi="Times New Roman" w:cs="Times New Roman"/>
          <w:sz w:val="28"/>
          <w:szCs w:val="28"/>
        </w:rPr>
        <w:t>I BANDS</w:t>
      </w:r>
      <w:r w:rsidRPr="00FE0355">
        <w:rPr>
          <w:rFonts w:ascii="Times New Roman" w:hAnsi="Times New Roman" w:cs="Times New Roman"/>
          <w:sz w:val="28"/>
          <w:szCs w:val="28"/>
        </w:rPr>
        <w:t xml:space="preserve"> </w:t>
      </w:r>
    </w:p>
    <w:p w14:paraId="1A11807C" w14:textId="77777777" w:rsidR="004F57B9" w:rsidRPr="00FE0355" w:rsidRDefault="004F57B9" w:rsidP="004F57B9">
      <w:pPr>
        <w:contextualSpacing/>
        <w:jc w:val="both"/>
        <w:rPr>
          <w:rFonts w:ascii="Times New Roman" w:hAnsi="Times New Roman" w:cs="Times New Roman"/>
          <w:sz w:val="28"/>
          <w:szCs w:val="28"/>
        </w:rPr>
      </w:pPr>
      <w:r w:rsidRPr="00FE0355">
        <w:rPr>
          <w:rFonts w:ascii="Times New Roman" w:hAnsi="Times New Roman" w:cs="Times New Roman"/>
          <w:sz w:val="28"/>
          <w:szCs w:val="28"/>
        </w:rPr>
        <w:t>JUDGE OF THE HIGH COURT</w:t>
      </w:r>
    </w:p>
    <w:p w14:paraId="569EA039" w14:textId="77777777" w:rsidR="004F57B9" w:rsidRDefault="004F57B9" w:rsidP="005C1717">
      <w:pPr>
        <w:contextualSpacing/>
        <w:rPr>
          <w:rFonts w:ascii="Times New Roman" w:hAnsi="Times New Roman" w:cs="Times New Roman"/>
          <w:sz w:val="28"/>
          <w:szCs w:val="28"/>
        </w:rPr>
      </w:pPr>
    </w:p>
    <w:p w14:paraId="1C9BC9D8" w14:textId="77777777" w:rsidR="004F57B9" w:rsidRDefault="004F57B9" w:rsidP="005C1717">
      <w:pPr>
        <w:contextualSpacing/>
        <w:rPr>
          <w:rFonts w:ascii="Times New Roman" w:hAnsi="Times New Roman" w:cs="Times New Roman"/>
          <w:sz w:val="28"/>
          <w:szCs w:val="28"/>
        </w:rPr>
      </w:pPr>
    </w:p>
    <w:p w14:paraId="1FF3A3BD" w14:textId="77777777" w:rsidR="004F57B9" w:rsidRPr="00FE0355" w:rsidRDefault="004F57B9" w:rsidP="005C1717">
      <w:pPr>
        <w:contextualSpacing/>
        <w:rPr>
          <w:rFonts w:ascii="Times New Roman" w:hAnsi="Times New Roman" w:cs="Times New Roman"/>
          <w:sz w:val="28"/>
          <w:szCs w:val="28"/>
        </w:rPr>
      </w:pPr>
    </w:p>
    <w:p w14:paraId="46165E8E" w14:textId="6AF14BB0" w:rsidR="005C1717" w:rsidRPr="00FE0355" w:rsidRDefault="005C1717" w:rsidP="005C1717">
      <w:pPr>
        <w:contextualSpacing/>
        <w:rPr>
          <w:rFonts w:ascii="Times New Roman" w:hAnsi="Times New Roman" w:cs="Times New Roman"/>
          <w:sz w:val="28"/>
          <w:szCs w:val="28"/>
        </w:rPr>
      </w:pPr>
      <w:r w:rsidRPr="00FE0355">
        <w:rPr>
          <w:rFonts w:ascii="Times New Roman" w:hAnsi="Times New Roman" w:cs="Times New Roman"/>
          <w:sz w:val="28"/>
          <w:szCs w:val="28"/>
        </w:rPr>
        <w:t xml:space="preserve">DATE OF APPEAL </w:t>
      </w:r>
      <w:r w:rsidRPr="00FE0355">
        <w:rPr>
          <w:rFonts w:ascii="Times New Roman" w:hAnsi="Times New Roman" w:cs="Times New Roman"/>
          <w:sz w:val="28"/>
          <w:szCs w:val="28"/>
        </w:rPr>
        <w:tab/>
      </w:r>
      <w:r w:rsidRPr="00FE0355">
        <w:rPr>
          <w:rFonts w:ascii="Times New Roman" w:hAnsi="Times New Roman" w:cs="Times New Roman"/>
          <w:sz w:val="28"/>
          <w:szCs w:val="28"/>
        </w:rPr>
        <w:tab/>
        <w:t>:</w:t>
      </w:r>
      <w:r w:rsidRPr="00FE0355">
        <w:rPr>
          <w:rFonts w:ascii="Times New Roman" w:hAnsi="Times New Roman" w:cs="Times New Roman"/>
          <w:sz w:val="28"/>
          <w:szCs w:val="28"/>
        </w:rPr>
        <w:tab/>
        <w:t>2</w:t>
      </w:r>
      <w:r>
        <w:rPr>
          <w:rFonts w:ascii="Times New Roman" w:hAnsi="Times New Roman" w:cs="Times New Roman"/>
          <w:sz w:val="28"/>
          <w:szCs w:val="28"/>
        </w:rPr>
        <w:t xml:space="preserve">1 November </w:t>
      </w:r>
      <w:r w:rsidRPr="00FE0355">
        <w:rPr>
          <w:rFonts w:ascii="Times New Roman" w:hAnsi="Times New Roman" w:cs="Times New Roman"/>
          <w:sz w:val="28"/>
          <w:szCs w:val="28"/>
        </w:rPr>
        <w:t>2022</w:t>
      </w:r>
    </w:p>
    <w:p w14:paraId="633637B1" w14:textId="33BF49CA" w:rsidR="005C1717" w:rsidRPr="00FE0355" w:rsidRDefault="005C1717" w:rsidP="005C1717">
      <w:pPr>
        <w:contextualSpacing/>
        <w:rPr>
          <w:rFonts w:ascii="Times New Roman" w:hAnsi="Times New Roman" w:cs="Times New Roman"/>
          <w:sz w:val="28"/>
          <w:szCs w:val="28"/>
        </w:rPr>
      </w:pPr>
      <w:r w:rsidRPr="00FE0355">
        <w:rPr>
          <w:rFonts w:ascii="Times New Roman" w:hAnsi="Times New Roman" w:cs="Times New Roman"/>
          <w:sz w:val="28"/>
          <w:szCs w:val="28"/>
        </w:rPr>
        <w:t xml:space="preserve">DATE OF JUDGMENT </w:t>
      </w:r>
      <w:r w:rsidRPr="00FE0355">
        <w:rPr>
          <w:rFonts w:ascii="Times New Roman" w:hAnsi="Times New Roman" w:cs="Times New Roman"/>
          <w:sz w:val="28"/>
          <w:szCs w:val="28"/>
        </w:rPr>
        <w:tab/>
      </w:r>
      <w:r w:rsidRPr="00FE0355">
        <w:rPr>
          <w:rFonts w:ascii="Times New Roman" w:hAnsi="Times New Roman" w:cs="Times New Roman"/>
          <w:sz w:val="28"/>
          <w:szCs w:val="28"/>
        </w:rPr>
        <w:tab/>
        <w:t xml:space="preserve">: </w:t>
      </w:r>
      <w:r w:rsidRPr="00FE0355">
        <w:rPr>
          <w:rFonts w:ascii="Times New Roman" w:hAnsi="Times New Roman" w:cs="Times New Roman"/>
          <w:sz w:val="28"/>
          <w:szCs w:val="28"/>
        </w:rPr>
        <w:tab/>
      </w:r>
      <w:r w:rsidR="00112C88">
        <w:rPr>
          <w:rFonts w:ascii="Times New Roman" w:hAnsi="Times New Roman" w:cs="Times New Roman"/>
          <w:sz w:val="28"/>
          <w:szCs w:val="28"/>
        </w:rPr>
        <w:t>3 August</w:t>
      </w:r>
      <w:r>
        <w:rPr>
          <w:rFonts w:ascii="Times New Roman" w:hAnsi="Times New Roman" w:cs="Times New Roman"/>
          <w:sz w:val="28"/>
          <w:szCs w:val="28"/>
        </w:rPr>
        <w:t xml:space="preserve"> 2023</w:t>
      </w:r>
    </w:p>
    <w:p w14:paraId="3203646F" w14:textId="77777777" w:rsidR="005C1717" w:rsidRDefault="005C1717" w:rsidP="005C1717">
      <w:pPr>
        <w:contextualSpacing/>
        <w:rPr>
          <w:rFonts w:ascii="Times New Roman" w:hAnsi="Times New Roman" w:cs="Times New Roman"/>
          <w:b/>
          <w:sz w:val="24"/>
          <w:szCs w:val="24"/>
        </w:rPr>
      </w:pPr>
    </w:p>
    <w:p w14:paraId="4730B5B7" w14:textId="77777777" w:rsidR="005C1717" w:rsidRDefault="005C1717" w:rsidP="005C1717">
      <w:pPr>
        <w:contextualSpacing/>
        <w:rPr>
          <w:rFonts w:ascii="Times New Roman" w:hAnsi="Times New Roman" w:cs="Times New Roman"/>
          <w:b/>
          <w:sz w:val="24"/>
          <w:szCs w:val="24"/>
        </w:rPr>
      </w:pPr>
    </w:p>
    <w:p w14:paraId="7DE709B7" w14:textId="77777777" w:rsidR="00C52A60" w:rsidRDefault="00C52A60" w:rsidP="005C1717">
      <w:pPr>
        <w:contextualSpacing/>
        <w:rPr>
          <w:rFonts w:ascii="Times New Roman" w:hAnsi="Times New Roman" w:cs="Times New Roman"/>
          <w:b/>
          <w:sz w:val="24"/>
          <w:szCs w:val="24"/>
        </w:rPr>
      </w:pPr>
    </w:p>
    <w:p w14:paraId="1B25E11E" w14:textId="77777777" w:rsidR="00C52A60" w:rsidRPr="00A01EA9" w:rsidRDefault="00C52A60" w:rsidP="005C1717">
      <w:pPr>
        <w:contextualSpacing/>
        <w:rPr>
          <w:rFonts w:ascii="Times New Roman" w:hAnsi="Times New Roman" w:cs="Times New Roman"/>
          <w:b/>
          <w:sz w:val="24"/>
          <w:szCs w:val="24"/>
        </w:rPr>
      </w:pPr>
    </w:p>
    <w:p w14:paraId="32B7FA95" w14:textId="77777777" w:rsidR="005C1717" w:rsidRPr="00A01EA9" w:rsidRDefault="005C1717" w:rsidP="005C1717">
      <w:pPr>
        <w:contextualSpacing/>
        <w:jc w:val="both"/>
        <w:rPr>
          <w:rFonts w:ascii="Times New Roman" w:hAnsi="Times New Roman" w:cs="Times New Roman"/>
          <w:i/>
          <w:sz w:val="24"/>
          <w:szCs w:val="24"/>
          <w:u w:val="single"/>
        </w:rPr>
      </w:pPr>
      <w:r w:rsidRPr="00A01EA9">
        <w:rPr>
          <w:rFonts w:ascii="Times New Roman" w:hAnsi="Times New Roman" w:cs="Times New Roman"/>
          <w:i/>
          <w:sz w:val="24"/>
          <w:szCs w:val="24"/>
          <w:u w:val="single"/>
        </w:rPr>
        <w:t xml:space="preserve">Appearances: </w:t>
      </w:r>
    </w:p>
    <w:p w14:paraId="5714FC72" w14:textId="77777777" w:rsidR="005C1717" w:rsidRPr="00A01EA9" w:rsidRDefault="005C1717" w:rsidP="005C1717">
      <w:pPr>
        <w:contextualSpacing/>
        <w:jc w:val="both"/>
        <w:rPr>
          <w:rFonts w:ascii="Times New Roman" w:hAnsi="Times New Roman" w:cs="Times New Roman"/>
          <w:i/>
          <w:sz w:val="24"/>
          <w:szCs w:val="24"/>
        </w:rPr>
      </w:pPr>
      <w:r w:rsidRPr="00A01EA9">
        <w:rPr>
          <w:rFonts w:ascii="Times New Roman" w:hAnsi="Times New Roman" w:cs="Times New Roman"/>
          <w:i/>
          <w:sz w:val="24"/>
          <w:szCs w:val="24"/>
        </w:rPr>
        <w:tab/>
      </w:r>
      <w:r w:rsidRPr="00A01EA9">
        <w:rPr>
          <w:rFonts w:ascii="Times New Roman" w:hAnsi="Times New Roman" w:cs="Times New Roman"/>
          <w:i/>
          <w:sz w:val="24"/>
          <w:szCs w:val="24"/>
        </w:rPr>
        <w:tab/>
      </w:r>
      <w:r w:rsidRPr="00A01EA9">
        <w:rPr>
          <w:rFonts w:ascii="Times New Roman" w:hAnsi="Times New Roman" w:cs="Times New Roman"/>
          <w:i/>
          <w:sz w:val="24"/>
          <w:szCs w:val="24"/>
        </w:rPr>
        <w:tab/>
      </w:r>
    </w:p>
    <w:p w14:paraId="5B2584D8" w14:textId="2D9D9C5A" w:rsidR="005C1717" w:rsidRPr="00A01EA9" w:rsidRDefault="005C1717" w:rsidP="005C1717">
      <w:pPr>
        <w:contextualSpacing/>
        <w:jc w:val="both"/>
        <w:rPr>
          <w:rFonts w:ascii="Times New Roman" w:hAnsi="Times New Roman" w:cs="Times New Roman"/>
          <w:i/>
          <w:sz w:val="24"/>
          <w:szCs w:val="24"/>
        </w:rPr>
      </w:pPr>
      <w:r>
        <w:rPr>
          <w:rFonts w:ascii="Times New Roman" w:hAnsi="Times New Roman" w:cs="Times New Roman"/>
          <w:i/>
          <w:sz w:val="24"/>
          <w:szCs w:val="24"/>
        </w:rPr>
        <w:t>For the Appellant:</w:t>
      </w:r>
      <w:r>
        <w:rPr>
          <w:rFonts w:ascii="Times New Roman" w:hAnsi="Times New Roman" w:cs="Times New Roman"/>
          <w:i/>
          <w:sz w:val="24"/>
          <w:szCs w:val="24"/>
        </w:rPr>
        <w:tab/>
        <w:t xml:space="preserve">Mr. A </w:t>
      </w:r>
      <w:r w:rsidR="001352DD">
        <w:rPr>
          <w:rFonts w:ascii="Times New Roman" w:hAnsi="Times New Roman" w:cs="Times New Roman"/>
          <w:i/>
          <w:sz w:val="24"/>
          <w:szCs w:val="24"/>
        </w:rPr>
        <w:t>Beyleveld SC</w:t>
      </w:r>
      <w:r w:rsidR="00616E7E">
        <w:rPr>
          <w:rFonts w:ascii="Times New Roman" w:hAnsi="Times New Roman" w:cs="Times New Roman"/>
          <w:i/>
          <w:sz w:val="24"/>
          <w:szCs w:val="24"/>
        </w:rPr>
        <w:t xml:space="preserve"> </w:t>
      </w:r>
      <w:r>
        <w:rPr>
          <w:rFonts w:ascii="Times New Roman" w:hAnsi="Times New Roman" w:cs="Times New Roman"/>
          <w:i/>
          <w:sz w:val="24"/>
          <w:szCs w:val="24"/>
        </w:rPr>
        <w:t>instructed by The State Attorney, Gqeberha</w:t>
      </w:r>
      <w:r w:rsidR="009427F0">
        <w:rPr>
          <w:rFonts w:ascii="Times New Roman" w:hAnsi="Times New Roman" w:cs="Times New Roman"/>
          <w:i/>
          <w:sz w:val="24"/>
          <w:szCs w:val="24"/>
        </w:rPr>
        <w:t xml:space="preserve"> (ref. 0525/2020/</w:t>
      </w:r>
      <w:r w:rsidR="00112C88">
        <w:rPr>
          <w:rFonts w:ascii="Times New Roman" w:hAnsi="Times New Roman" w:cs="Times New Roman"/>
          <w:i/>
          <w:sz w:val="24"/>
          <w:szCs w:val="24"/>
        </w:rPr>
        <w:t>4)</w:t>
      </w:r>
      <w:r w:rsidR="009427F0">
        <w:rPr>
          <w:rFonts w:ascii="Times New Roman" w:hAnsi="Times New Roman" w:cs="Times New Roman"/>
          <w:i/>
          <w:sz w:val="24"/>
          <w:szCs w:val="24"/>
        </w:rPr>
        <w:t xml:space="preserve"> care of Whitesides Attorneys, Makhanda (ref. Mr. Barrow/C12937)</w:t>
      </w:r>
    </w:p>
    <w:p w14:paraId="496C0CD4" w14:textId="402E5F94" w:rsidR="005C1717" w:rsidRDefault="005C1717" w:rsidP="005C1717">
      <w:pPr>
        <w:contextualSpacing/>
        <w:jc w:val="both"/>
        <w:rPr>
          <w:rFonts w:ascii="Times New Roman" w:hAnsi="Times New Roman" w:cs="Times New Roman"/>
          <w:i/>
          <w:sz w:val="24"/>
          <w:szCs w:val="24"/>
        </w:rPr>
      </w:pPr>
      <w:r w:rsidRPr="00A01EA9">
        <w:rPr>
          <w:rFonts w:ascii="Times New Roman" w:hAnsi="Times New Roman" w:cs="Times New Roman"/>
          <w:i/>
          <w:sz w:val="24"/>
          <w:szCs w:val="24"/>
        </w:rPr>
        <w:lastRenderedPageBreak/>
        <w:t>For the</w:t>
      </w:r>
      <w:r>
        <w:rPr>
          <w:rFonts w:ascii="Times New Roman" w:hAnsi="Times New Roman" w:cs="Times New Roman"/>
          <w:i/>
          <w:sz w:val="24"/>
          <w:szCs w:val="24"/>
        </w:rPr>
        <w:t xml:space="preserve"> First</w:t>
      </w:r>
      <w:r w:rsidRPr="00A01EA9">
        <w:rPr>
          <w:rFonts w:ascii="Times New Roman" w:hAnsi="Times New Roman" w:cs="Times New Roman"/>
          <w:i/>
          <w:sz w:val="24"/>
          <w:szCs w:val="24"/>
        </w:rPr>
        <w:t xml:space="preserve"> Respondent: </w:t>
      </w:r>
      <w:r w:rsidRPr="00A01EA9">
        <w:rPr>
          <w:rFonts w:ascii="Times New Roman" w:hAnsi="Times New Roman" w:cs="Times New Roman"/>
          <w:i/>
          <w:sz w:val="24"/>
          <w:szCs w:val="24"/>
        </w:rPr>
        <w:tab/>
        <w:t>M</w:t>
      </w:r>
      <w:r>
        <w:rPr>
          <w:rFonts w:ascii="Times New Roman" w:hAnsi="Times New Roman" w:cs="Times New Roman"/>
          <w:i/>
          <w:sz w:val="24"/>
          <w:szCs w:val="24"/>
        </w:rPr>
        <w:t>r. J Nepgen instructed by Joubert Galpin &amp; Searle c/o Huxtable Attorneys, Makhanda (</w:t>
      </w:r>
      <w:r w:rsidR="009427F0">
        <w:rPr>
          <w:rFonts w:ascii="Times New Roman" w:hAnsi="Times New Roman" w:cs="Times New Roman"/>
          <w:i/>
          <w:sz w:val="24"/>
          <w:szCs w:val="24"/>
        </w:rPr>
        <w:t xml:space="preserve">Ref. </w:t>
      </w:r>
      <w:r>
        <w:rPr>
          <w:rFonts w:ascii="Times New Roman" w:hAnsi="Times New Roman" w:cs="Times New Roman"/>
          <w:i/>
          <w:sz w:val="24"/>
          <w:szCs w:val="24"/>
        </w:rPr>
        <w:t>Mr</w:t>
      </w:r>
      <w:r w:rsidR="009427F0">
        <w:rPr>
          <w:rFonts w:ascii="Times New Roman" w:hAnsi="Times New Roman" w:cs="Times New Roman"/>
          <w:i/>
          <w:sz w:val="24"/>
          <w:szCs w:val="24"/>
        </w:rPr>
        <w:t>.</w:t>
      </w:r>
      <w:r>
        <w:rPr>
          <w:rFonts w:ascii="Times New Roman" w:hAnsi="Times New Roman" w:cs="Times New Roman"/>
          <w:i/>
          <w:sz w:val="24"/>
          <w:szCs w:val="24"/>
        </w:rPr>
        <w:t xml:space="preserve"> O Huxtable) </w:t>
      </w:r>
    </w:p>
    <w:p w14:paraId="514561AC" w14:textId="77777777" w:rsidR="005C1717" w:rsidRDefault="005C1717" w:rsidP="00330FAE">
      <w:pPr>
        <w:spacing w:before="0" w:beforeAutospacing="0"/>
        <w:contextualSpacing/>
        <w:jc w:val="both"/>
      </w:pPr>
    </w:p>
    <w:sectPr w:rsidR="005C171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C6BAA" w14:textId="77777777" w:rsidR="00197C8A" w:rsidRDefault="00197C8A" w:rsidP="00B63179">
      <w:pPr>
        <w:spacing w:before="0" w:line="240" w:lineRule="auto"/>
      </w:pPr>
      <w:r>
        <w:separator/>
      </w:r>
    </w:p>
  </w:endnote>
  <w:endnote w:type="continuationSeparator" w:id="0">
    <w:p w14:paraId="5C845A4F" w14:textId="77777777" w:rsidR="00197C8A" w:rsidRDefault="00197C8A" w:rsidP="00B631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41E4C" w14:textId="77777777" w:rsidR="00197C8A" w:rsidRDefault="00197C8A" w:rsidP="00B63179">
      <w:pPr>
        <w:spacing w:before="0" w:line="240" w:lineRule="auto"/>
      </w:pPr>
      <w:r>
        <w:separator/>
      </w:r>
    </w:p>
  </w:footnote>
  <w:footnote w:type="continuationSeparator" w:id="0">
    <w:p w14:paraId="77E4D1C8" w14:textId="77777777" w:rsidR="00197C8A" w:rsidRDefault="00197C8A" w:rsidP="00B63179">
      <w:pPr>
        <w:spacing w:before="0" w:line="240" w:lineRule="auto"/>
      </w:pPr>
      <w:r>
        <w:continuationSeparator/>
      </w:r>
    </w:p>
  </w:footnote>
  <w:footnote w:id="1">
    <w:p w14:paraId="4962A411" w14:textId="335B963A" w:rsidR="00C61A61" w:rsidRPr="00C962EE" w:rsidRDefault="00C61A61" w:rsidP="00C52A60">
      <w:pPr>
        <w:pStyle w:val="FootnoteText"/>
        <w:spacing w:beforeAutospacing="0"/>
        <w:contextualSpacing/>
        <w:jc w:val="both"/>
        <w:rPr>
          <w:rFonts w:cstheme="minorHAnsi"/>
          <w:lang w:val="en-US"/>
        </w:rPr>
      </w:pPr>
      <w:r w:rsidRPr="00C962EE">
        <w:rPr>
          <w:rStyle w:val="FootnoteReference"/>
          <w:rFonts w:cstheme="minorHAnsi"/>
        </w:rPr>
        <w:footnoteRef/>
      </w:r>
      <w:r w:rsidRPr="00C962EE">
        <w:rPr>
          <w:rFonts w:cstheme="minorHAnsi"/>
        </w:rPr>
        <w:t xml:space="preserve"> </w:t>
      </w:r>
      <w:r w:rsidRPr="00C962EE">
        <w:rPr>
          <w:rFonts w:cstheme="minorHAnsi"/>
          <w:lang w:val="en-US"/>
        </w:rPr>
        <w:t xml:space="preserve">This conclusion follows </w:t>
      </w:r>
      <w:r w:rsidR="00863B43" w:rsidRPr="00C962EE">
        <w:rPr>
          <w:rFonts w:cstheme="minorHAnsi"/>
          <w:lang w:val="en-US"/>
        </w:rPr>
        <w:t xml:space="preserve">properly </w:t>
      </w:r>
      <w:r w:rsidRPr="00C962EE">
        <w:rPr>
          <w:rFonts w:cstheme="minorHAnsi"/>
          <w:lang w:val="en-US"/>
        </w:rPr>
        <w:t xml:space="preserve">upon </w:t>
      </w:r>
      <w:r w:rsidR="00863B43" w:rsidRPr="00C962EE">
        <w:rPr>
          <w:rFonts w:cstheme="minorHAnsi"/>
          <w:lang w:val="en-US"/>
        </w:rPr>
        <w:t>an</w:t>
      </w:r>
      <w:r w:rsidRPr="00C962EE">
        <w:rPr>
          <w:rFonts w:cstheme="minorHAnsi"/>
          <w:lang w:val="en-US"/>
        </w:rPr>
        <w:t xml:space="preserve"> application of the </w:t>
      </w:r>
      <w:r w:rsidRPr="00C962EE">
        <w:rPr>
          <w:rFonts w:cstheme="minorHAnsi"/>
          <w:i/>
          <w:iCs/>
          <w:lang w:val="en-US"/>
        </w:rPr>
        <w:t>Plascon-Evans</w:t>
      </w:r>
      <w:r w:rsidRPr="00C962EE">
        <w:rPr>
          <w:rFonts w:cstheme="minorHAnsi"/>
          <w:lang w:val="en-US"/>
        </w:rPr>
        <w:t xml:space="preserve"> Rule </w:t>
      </w:r>
      <w:r w:rsidR="00462298" w:rsidRPr="00C962EE">
        <w:rPr>
          <w:rFonts w:cstheme="minorHAnsi"/>
          <w:lang w:val="en-US"/>
        </w:rPr>
        <w:t>referred to</w:t>
      </w:r>
      <w:r w:rsidRPr="00C962EE">
        <w:rPr>
          <w:rFonts w:cstheme="minorHAnsi"/>
          <w:lang w:val="en-US"/>
        </w:rPr>
        <w:t xml:space="preserve"> </w:t>
      </w:r>
      <w:r w:rsidRPr="00C962EE">
        <w:rPr>
          <w:rFonts w:cstheme="minorHAnsi"/>
          <w:i/>
          <w:iCs/>
          <w:lang w:val="en-US"/>
        </w:rPr>
        <w:t xml:space="preserve">in Plascon-Evans Paints </w:t>
      </w:r>
      <w:r w:rsidR="00742B97" w:rsidRPr="00C962EE">
        <w:rPr>
          <w:rFonts w:cstheme="minorHAnsi"/>
          <w:i/>
          <w:iCs/>
          <w:lang w:val="en-US"/>
        </w:rPr>
        <w:t>v Van Riebee</w:t>
      </w:r>
      <w:r w:rsidR="00B81C7C" w:rsidRPr="00C962EE">
        <w:rPr>
          <w:rFonts w:cstheme="minorHAnsi"/>
          <w:i/>
          <w:iCs/>
          <w:lang w:val="en-US"/>
        </w:rPr>
        <w:t>c</w:t>
      </w:r>
      <w:r w:rsidR="00742B97" w:rsidRPr="00C962EE">
        <w:rPr>
          <w:rFonts w:cstheme="minorHAnsi"/>
          <w:i/>
          <w:iCs/>
          <w:lang w:val="en-US"/>
        </w:rPr>
        <w:t>k Paints</w:t>
      </w:r>
      <w:r w:rsidR="00B81C7C" w:rsidRPr="00C962EE">
        <w:rPr>
          <w:rFonts w:cstheme="minorHAnsi"/>
          <w:lang w:val="en-US"/>
        </w:rPr>
        <w:t xml:space="preserve"> </w:t>
      </w:r>
      <w:r w:rsidRPr="00C962EE">
        <w:rPr>
          <w:rFonts w:cstheme="minorHAnsi"/>
          <w:lang w:val="en-US"/>
        </w:rPr>
        <w:t>1984 (3) SA 623 (A) at 631 I – 635 C.</w:t>
      </w:r>
    </w:p>
  </w:footnote>
  <w:footnote w:id="2">
    <w:p w14:paraId="637BC83C" w14:textId="5940D912" w:rsidR="00CD7775" w:rsidRPr="00C962EE" w:rsidRDefault="00C962EE" w:rsidP="00C52A60">
      <w:pPr>
        <w:pStyle w:val="normal-text"/>
        <w:shd w:val="clear" w:color="auto" w:fill="FFFFFF"/>
        <w:spacing w:before="0" w:beforeAutospacing="0" w:after="0" w:afterAutospacing="0"/>
        <w:contextualSpacing/>
        <w:jc w:val="both"/>
        <w:rPr>
          <w:rFonts w:asciiTheme="minorHAnsi" w:hAnsiTheme="minorHAnsi" w:cstheme="minorHAnsi"/>
          <w:color w:val="000000"/>
          <w:sz w:val="20"/>
          <w:szCs w:val="20"/>
        </w:rPr>
      </w:pPr>
      <w:r>
        <w:rPr>
          <w:rStyle w:val="FootnoteReference"/>
          <w:rFonts w:asciiTheme="minorHAnsi" w:eastAsiaTheme="minorEastAsia" w:hAnsiTheme="minorHAnsi" w:cstheme="minorBidi"/>
          <w:sz w:val="20"/>
          <w:szCs w:val="20"/>
          <w:lang w:eastAsia="en-GB"/>
          <w14:ligatures w14:val="none"/>
        </w:rPr>
        <w:footnoteRef/>
      </w:r>
      <w:r>
        <w:rPr>
          <w:rStyle w:val="FootnoteReference"/>
          <w:rFonts w:asciiTheme="minorHAnsi" w:eastAsiaTheme="minorEastAsia" w:hAnsiTheme="minorHAnsi" w:cstheme="minorBidi"/>
          <w:sz w:val="20"/>
          <w:szCs w:val="20"/>
          <w:lang w:eastAsia="en-GB"/>
          <w14:ligatures w14:val="none"/>
        </w:rPr>
        <w:footnoteRef/>
      </w:r>
      <w:r w:rsidR="00CD7775" w:rsidRPr="00C962EE">
        <w:rPr>
          <w:rStyle w:val="FootnoteReference"/>
          <w:rFonts w:asciiTheme="minorHAnsi" w:hAnsiTheme="minorHAnsi" w:cstheme="minorHAnsi"/>
          <w:sz w:val="20"/>
          <w:szCs w:val="20"/>
        </w:rPr>
        <w:footnoteRef/>
      </w:r>
      <w:r w:rsidR="00CD7775" w:rsidRPr="00C962EE">
        <w:rPr>
          <w:rFonts w:asciiTheme="minorHAnsi" w:hAnsiTheme="minorHAnsi" w:cstheme="minorHAnsi"/>
          <w:sz w:val="20"/>
          <w:szCs w:val="20"/>
        </w:rPr>
        <w:t xml:space="preserve"> </w:t>
      </w:r>
      <w:r w:rsidR="00CD7775" w:rsidRPr="00C962EE">
        <w:rPr>
          <w:rFonts w:asciiTheme="minorHAnsi" w:hAnsiTheme="minorHAnsi" w:cstheme="minorHAnsi"/>
          <w:color w:val="000000"/>
          <w:sz w:val="20"/>
          <w:szCs w:val="20"/>
        </w:rPr>
        <w:t>The standard is issued in terms of sections 4 (</w:t>
      </w:r>
      <w:r w:rsidR="00CD7775" w:rsidRPr="00C962EE">
        <w:rPr>
          <w:rFonts w:asciiTheme="minorHAnsi" w:hAnsiTheme="minorHAnsi" w:cstheme="minorHAnsi"/>
          <w:i/>
          <w:iCs/>
          <w:color w:val="000000"/>
          <w:sz w:val="20"/>
          <w:szCs w:val="20"/>
        </w:rPr>
        <w:t>f)</w:t>
      </w:r>
      <w:r w:rsidR="00CD7775" w:rsidRPr="00C962EE">
        <w:rPr>
          <w:rFonts w:asciiTheme="minorHAnsi" w:hAnsiTheme="minorHAnsi" w:cstheme="minorHAnsi"/>
          <w:color w:val="000000"/>
          <w:sz w:val="20"/>
          <w:szCs w:val="20"/>
        </w:rPr>
        <w:t>, 5 (3) (</w:t>
      </w:r>
      <w:r w:rsidR="00CD7775" w:rsidRPr="00C962EE">
        <w:rPr>
          <w:rFonts w:asciiTheme="minorHAnsi" w:hAnsiTheme="minorHAnsi" w:cstheme="minorHAnsi"/>
          <w:i/>
          <w:iCs/>
          <w:color w:val="000000"/>
          <w:sz w:val="20"/>
          <w:szCs w:val="20"/>
        </w:rPr>
        <w:t>c</w:t>
      </w:r>
      <w:r w:rsidR="00CD7775" w:rsidRPr="00C962EE">
        <w:rPr>
          <w:rFonts w:asciiTheme="minorHAnsi" w:hAnsiTheme="minorHAnsi" w:cstheme="minorHAnsi"/>
          <w:color w:val="000000"/>
          <w:sz w:val="20"/>
          <w:szCs w:val="20"/>
        </w:rPr>
        <w:t>) and 5 (4) (</w:t>
      </w:r>
      <w:r w:rsidR="00CD7775" w:rsidRPr="00C962EE">
        <w:rPr>
          <w:rFonts w:asciiTheme="minorHAnsi" w:hAnsiTheme="minorHAnsi" w:cstheme="minorHAnsi"/>
          <w:i/>
          <w:iCs/>
          <w:color w:val="000000"/>
          <w:sz w:val="20"/>
          <w:szCs w:val="20"/>
        </w:rPr>
        <w:t>b</w:t>
      </w:r>
      <w:r w:rsidR="00CD7775" w:rsidRPr="00C962EE">
        <w:rPr>
          <w:rFonts w:asciiTheme="minorHAnsi" w:hAnsiTheme="minorHAnsi" w:cstheme="minorHAnsi"/>
          <w:color w:val="000000"/>
          <w:sz w:val="20"/>
          <w:szCs w:val="20"/>
        </w:rPr>
        <w:t>) of the Construction Industry Development Board Act 38 of 2000 read with Regulation 24 of the Construction Industry Development Regulations, 2004 (as amended) issued in terms of section 33. The Standard for Uniformity in Construction Procurement was first published in Board Notice 62 of 2004 in </w:t>
      </w:r>
      <w:r w:rsidR="00CD7775" w:rsidRPr="00C962EE">
        <w:rPr>
          <w:rFonts w:asciiTheme="minorHAnsi" w:hAnsiTheme="minorHAnsi" w:cstheme="minorHAnsi"/>
          <w:i/>
          <w:iCs/>
          <w:color w:val="000000"/>
          <w:sz w:val="20"/>
          <w:szCs w:val="20"/>
        </w:rPr>
        <w:t>Government Gazette </w:t>
      </w:r>
      <w:r w:rsidR="00CD7775" w:rsidRPr="00C962EE">
        <w:rPr>
          <w:rFonts w:asciiTheme="minorHAnsi" w:hAnsiTheme="minorHAnsi" w:cstheme="minorHAnsi"/>
          <w:color w:val="000000"/>
          <w:sz w:val="20"/>
          <w:szCs w:val="20"/>
        </w:rPr>
        <w:t>No 26427 of 9 June 2004. It was subsequently amended in Board Notice 67 of 2005 in </w:t>
      </w:r>
      <w:r w:rsidR="00CD7775" w:rsidRPr="00C962EE">
        <w:rPr>
          <w:rFonts w:asciiTheme="minorHAnsi" w:hAnsiTheme="minorHAnsi" w:cstheme="minorHAnsi"/>
          <w:i/>
          <w:iCs/>
          <w:color w:val="000000"/>
          <w:sz w:val="20"/>
          <w:szCs w:val="20"/>
        </w:rPr>
        <w:t>Government Gazette </w:t>
      </w:r>
      <w:r w:rsidR="00CD7775" w:rsidRPr="00C962EE">
        <w:rPr>
          <w:rFonts w:asciiTheme="minorHAnsi" w:hAnsiTheme="minorHAnsi" w:cstheme="minorHAnsi"/>
          <w:color w:val="000000"/>
          <w:sz w:val="20"/>
          <w:szCs w:val="20"/>
        </w:rPr>
        <w:t>No 27831 of 22 July 2005, Board Notice 99 of 2005 in </w:t>
      </w:r>
      <w:r w:rsidR="00CD7775" w:rsidRPr="00C962EE">
        <w:rPr>
          <w:rFonts w:asciiTheme="minorHAnsi" w:hAnsiTheme="minorHAnsi" w:cstheme="minorHAnsi"/>
          <w:i/>
          <w:iCs/>
          <w:color w:val="000000"/>
          <w:sz w:val="20"/>
          <w:szCs w:val="20"/>
        </w:rPr>
        <w:t>Government Gazette </w:t>
      </w:r>
      <w:r w:rsidR="00CD7775" w:rsidRPr="00C962EE">
        <w:rPr>
          <w:rFonts w:asciiTheme="minorHAnsi" w:hAnsiTheme="minorHAnsi" w:cstheme="minorHAnsi"/>
          <w:color w:val="000000"/>
          <w:sz w:val="20"/>
          <w:szCs w:val="20"/>
        </w:rPr>
        <w:t>No 28127 of 14 October 2005, Board Notice 93 of 2006 in </w:t>
      </w:r>
      <w:r w:rsidR="00CD7775" w:rsidRPr="00C962EE">
        <w:rPr>
          <w:rFonts w:asciiTheme="minorHAnsi" w:hAnsiTheme="minorHAnsi" w:cstheme="minorHAnsi"/>
          <w:i/>
          <w:iCs/>
          <w:color w:val="000000"/>
          <w:sz w:val="20"/>
          <w:szCs w:val="20"/>
        </w:rPr>
        <w:t>Government Gazette </w:t>
      </w:r>
      <w:r w:rsidR="00CD7775" w:rsidRPr="00C962EE">
        <w:rPr>
          <w:rFonts w:asciiTheme="minorHAnsi" w:hAnsiTheme="minorHAnsi" w:cstheme="minorHAnsi"/>
          <w:color w:val="000000"/>
          <w:sz w:val="20"/>
          <w:szCs w:val="20"/>
        </w:rPr>
        <w:t>No 29138 of 18 August 2006, Board Notice 9 of 2008 in </w:t>
      </w:r>
      <w:r w:rsidR="00CD7775" w:rsidRPr="00C962EE">
        <w:rPr>
          <w:rFonts w:asciiTheme="minorHAnsi" w:hAnsiTheme="minorHAnsi" w:cstheme="minorHAnsi"/>
          <w:i/>
          <w:iCs/>
          <w:color w:val="000000"/>
          <w:sz w:val="20"/>
          <w:szCs w:val="20"/>
        </w:rPr>
        <w:t>Government Gazette </w:t>
      </w:r>
      <w:r w:rsidR="00CD7775" w:rsidRPr="00C962EE">
        <w:rPr>
          <w:rFonts w:asciiTheme="minorHAnsi" w:hAnsiTheme="minorHAnsi" w:cstheme="minorHAnsi"/>
          <w:color w:val="000000"/>
          <w:sz w:val="20"/>
          <w:szCs w:val="20"/>
        </w:rPr>
        <w:t>No 30692, of 1 February 2008, Board Notice 11 of 2009 in </w:t>
      </w:r>
      <w:r w:rsidR="00CD7775" w:rsidRPr="00C962EE">
        <w:rPr>
          <w:rFonts w:asciiTheme="minorHAnsi" w:hAnsiTheme="minorHAnsi" w:cstheme="minorHAnsi"/>
          <w:i/>
          <w:iCs/>
          <w:color w:val="000000"/>
          <w:sz w:val="20"/>
          <w:szCs w:val="20"/>
        </w:rPr>
        <w:t>Government Gazette </w:t>
      </w:r>
      <w:r w:rsidR="00CD7775" w:rsidRPr="00C962EE">
        <w:rPr>
          <w:rFonts w:asciiTheme="minorHAnsi" w:hAnsiTheme="minorHAnsi" w:cstheme="minorHAnsi"/>
          <w:color w:val="000000"/>
          <w:sz w:val="20"/>
          <w:szCs w:val="20"/>
        </w:rPr>
        <w:t>No 31823 of 30 January 2009, Board Notice 86 of 2010 in </w:t>
      </w:r>
      <w:r w:rsidR="00CD7775" w:rsidRPr="00C962EE">
        <w:rPr>
          <w:rFonts w:asciiTheme="minorHAnsi" w:hAnsiTheme="minorHAnsi" w:cstheme="minorHAnsi"/>
          <w:i/>
          <w:iCs/>
          <w:color w:val="000000"/>
          <w:sz w:val="20"/>
          <w:szCs w:val="20"/>
        </w:rPr>
        <w:t>Government Gazette </w:t>
      </w:r>
      <w:r w:rsidR="00CD7775" w:rsidRPr="00C962EE">
        <w:rPr>
          <w:rFonts w:asciiTheme="minorHAnsi" w:hAnsiTheme="minorHAnsi" w:cstheme="minorHAnsi"/>
          <w:color w:val="000000"/>
          <w:sz w:val="20"/>
          <w:szCs w:val="20"/>
        </w:rPr>
        <w:t>No 33239 of 28 May 2010 and Board Notice 136 of 2015 in Government</w:t>
      </w:r>
      <w:r w:rsidR="00CD7775" w:rsidRPr="00C962EE">
        <w:rPr>
          <w:rFonts w:asciiTheme="minorHAnsi" w:hAnsiTheme="minorHAnsi" w:cstheme="minorHAnsi"/>
          <w:i/>
          <w:iCs/>
          <w:color w:val="000000"/>
          <w:sz w:val="20"/>
          <w:szCs w:val="20"/>
        </w:rPr>
        <w:t xml:space="preserve"> Gazette </w:t>
      </w:r>
      <w:r w:rsidR="00CD7775" w:rsidRPr="00C962EE">
        <w:rPr>
          <w:rFonts w:asciiTheme="minorHAnsi" w:hAnsiTheme="minorHAnsi" w:cstheme="minorHAnsi"/>
          <w:color w:val="000000"/>
          <w:sz w:val="20"/>
          <w:szCs w:val="20"/>
        </w:rPr>
        <w:t>38960 of 10 July 2015.</w:t>
      </w:r>
    </w:p>
  </w:footnote>
  <w:footnote w:id="3">
    <w:p w14:paraId="1A4990AC" w14:textId="464C1EE4" w:rsidR="00C962EE" w:rsidRPr="00C962EE" w:rsidRDefault="00C962EE" w:rsidP="00C52A60">
      <w:pPr>
        <w:pStyle w:val="FootnoteText"/>
        <w:spacing w:beforeAutospacing="0"/>
        <w:contextualSpacing/>
        <w:jc w:val="both"/>
      </w:pPr>
      <w:r>
        <w:rPr>
          <w:rStyle w:val="FootnoteReference"/>
        </w:rPr>
        <w:footnoteRef/>
      </w:r>
      <w:r>
        <w:t xml:space="preserve"> This must however be read together with </w:t>
      </w:r>
      <w:r w:rsidR="00067EB4">
        <w:t xml:space="preserve">the corresponding clause </w:t>
      </w:r>
      <w:r>
        <w:t>F</w:t>
      </w:r>
      <w:r w:rsidR="00695B9B">
        <w:t>.</w:t>
      </w:r>
      <w:r>
        <w:t xml:space="preserve">3.11.1 of the </w:t>
      </w:r>
      <w:r w:rsidR="004511A4">
        <w:t>S</w:t>
      </w:r>
      <w:r>
        <w:t>tandard which apart from requiring the employer to indicate which method is to be applied, enjoin</w:t>
      </w:r>
      <w:r w:rsidR="004511A4">
        <w:t xml:space="preserve">s </w:t>
      </w:r>
      <w:r w:rsidR="00067EB4">
        <w:t>it in</w:t>
      </w:r>
      <w:r>
        <w:t xml:space="preserve"> evaluating tender offers to </w:t>
      </w:r>
      <w:r w:rsidRPr="001204D8">
        <w:rPr>
          <w:i/>
          <w:iCs/>
        </w:rPr>
        <w:t>“</w:t>
      </w:r>
      <w:r w:rsidR="00695B9B" w:rsidRPr="001204D8">
        <w:rPr>
          <w:i/>
          <w:iCs/>
        </w:rPr>
        <w:t>evaluate them using the tender evaluation methods and associated evaluation criteria and weightings that are specified in the tender data</w:t>
      </w:r>
      <w:r w:rsidRPr="001204D8">
        <w:rPr>
          <w:i/>
          <w:iCs/>
        </w:rPr>
        <w:t>.”</w:t>
      </w:r>
    </w:p>
  </w:footnote>
  <w:footnote w:id="4">
    <w:p w14:paraId="012F4609" w14:textId="0B972C22" w:rsidR="007F2A79" w:rsidRPr="00C962EE" w:rsidRDefault="007F2A79" w:rsidP="00C52A60">
      <w:pPr>
        <w:pStyle w:val="FootnoteText"/>
        <w:spacing w:beforeAutospacing="0"/>
        <w:contextualSpacing/>
        <w:jc w:val="both"/>
        <w:rPr>
          <w:rFonts w:cstheme="minorHAnsi"/>
          <w:lang w:val="en-US"/>
        </w:rPr>
      </w:pPr>
      <w:r w:rsidRPr="00C962EE">
        <w:rPr>
          <w:rStyle w:val="FootnoteReference"/>
          <w:rFonts w:cstheme="minorHAnsi"/>
        </w:rPr>
        <w:footnoteRef/>
      </w:r>
      <w:r w:rsidRPr="00C962EE">
        <w:rPr>
          <w:rFonts w:cstheme="minorHAnsi"/>
        </w:rPr>
        <w:t xml:space="preserve"> </w:t>
      </w:r>
      <w:r w:rsidR="00ED5B87" w:rsidRPr="00C962EE">
        <w:rPr>
          <w:rFonts w:cstheme="minorHAnsi"/>
          <w:lang w:val="en-US"/>
        </w:rPr>
        <w:t xml:space="preserve">These </w:t>
      </w:r>
      <w:r w:rsidRPr="00C962EE">
        <w:rPr>
          <w:rFonts w:cstheme="minorHAnsi"/>
          <w:lang w:val="en-US"/>
        </w:rPr>
        <w:t>sub-provisions</w:t>
      </w:r>
      <w:r w:rsidR="00770751" w:rsidRPr="00C962EE">
        <w:rPr>
          <w:rFonts w:cstheme="minorHAnsi"/>
          <w:lang w:val="en-US"/>
        </w:rPr>
        <w:t xml:space="preserve"> relate to the recognition of specific goals to be outlined in a preferential procurement framework</w:t>
      </w:r>
      <w:r w:rsidRPr="00C962EE">
        <w:rPr>
          <w:rFonts w:cstheme="minorHAnsi"/>
          <w:lang w:val="en-US"/>
        </w:rPr>
        <w:t xml:space="preserve"> </w:t>
      </w:r>
      <w:r w:rsidR="00AE4863" w:rsidRPr="00C962EE">
        <w:rPr>
          <w:rFonts w:cstheme="minorHAnsi"/>
          <w:lang w:val="en-US"/>
        </w:rPr>
        <w:t>that</w:t>
      </w:r>
      <w:r w:rsidR="00770751" w:rsidRPr="00C962EE">
        <w:rPr>
          <w:rFonts w:cstheme="minorHAnsi"/>
          <w:lang w:val="en-US"/>
        </w:rPr>
        <w:t xml:space="preserve"> are not of </w:t>
      </w:r>
      <w:r w:rsidR="004511A4">
        <w:rPr>
          <w:rFonts w:cstheme="minorHAnsi"/>
          <w:lang w:val="en-US"/>
        </w:rPr>
        <w:t>relevance f</w:t>
      </w:r>
      <w:r w:rsidR="00770751" w:rsidRPr="00C962EE">
        <w:rPr>
          <w:rFonts w:cstheme="minorHAnsi"/>
          <w:lang w:val="en-US"/>
        </w:rPr>
        <w:t>or present purposes</w:t>
      </w:r>
      <w:r w:rsidRPr="00C962EE">
        <w:rPr>
          <w:rFonts w:cstheme="minorHAnsi"/>
          <w:lang w:val="en-US"/>
        </w:rPr>
        <w:t>.</w:t>
      </w:r>
    </w:p>
  </w:footnote>
  <w:footnote w:id="5">
    <w:p w14:paraId="14266615" w14:textId="66E7714C" w:rsidR="00C962EE" w:rsidRPr="00C962EE" w:rsidRDefault="00C962EE" w:rsidP="00C52A60">
      <w:pPr>
        <w:pStyle w:val="FootnoteText"/>
        <w:spacing w:beforeAutospacing="0"/>
        <w:contextualSpacing/>
        <w:jc w:val="both"/>
      </w:pPr>
      <w:r>
        <w:rPr>
          <w:rStyle w:val="FootnoteReference"/>
        </w:rPr>
        <w:footnoteRef/>
      </w:r>
      <w:r>
        <w:t xml:space="preserve"> </w:t>
      </w:r>
      <w:r w:rsidRPr="00540210">
        <w:rPr>
          <w:i/>
          <w:iCs/>
        </w:rPr>
        <w:t>S</w:t>
      </w:r>
      <w:r w:rsidR="00540210" w:rsidRPr="00540210">
        <w:rPr>
          <w:i/>
          <w:iCs/>
        </w:rPr>
        <w:t>outh African National Road Agency</w:t>
      </w:r>
      <w:r w:rsidRPr="00540210">
        <w:rPr>
          <w:i/>
          <w:iCs/>
        </w:rPr>
        <w:t xml:space="preserve"> Limited v The Toll Collect Consortium &amp; Another</w:t>
      </w:r>
      <w:r>
        <w:t xml:space="preserve"> [2013] 4 All SA 393 SCA</w:t>
      </w:r>
      <w:r w:rsidR="00067EB4">
        <w:t xml:space="preserve"> </w:t>
      </w:r>
      <w:r w:rsidR="00067EB4" w:rsidRPr="00067EB4">
        <w:rPr>
          <w:i/>
          <w:iCs/>
        </w:rPr>
        <w:t>(“Tolcon”)</w:t>
      </w:r>
      <w:r w:rsidRPr="00067EB4">
        <w:rPr>
          <w:i/>
          <w:iCs/>
        </w:rPr>
        <w:t>.</w:t>
      </w:r>
    </w:p>
  </w:footnote>
  <w:footnote w:id="6">
    <w:p w14:paraId="1BCCBA5B" w14:textId="12F9EF05" w:rsidR="00956E47" w:rsidRPr="00C962EE" w:rsidRDefault="00956E47" w:rsidP="00C52A60">
      <w:pPr>
        <w:pStyle w:val="FootnoteText"/>
        <w:spacing w:beforeAutospacing="0"/>
        <w:contextualSpacing/>
        <w:jc w:val="both"/>
        <w:rPr>
          <w:rFonts w:cstheme="minorHAnsi"/>
          <w:lang w:val="en-GB"/>
        </w:rPr>
      </w:pPr>
      <w:r w:rsidRPr="00C962EE">
        <w:rPr>
          <w:rStyle w:val="FootnoteReference"/>
          <w:rFonts w:cstheme="minorHAnsi"/>
        </w:rPr>
        <w:footnoteRef/>
      </w:r>
      <w:r w:rsidRPr="00C962EE">
        <w:rPr>
          <w:rFonts w:cstheme="minorHAnsi"/>
        </w:rPr>
        <w:t xml:space="preserve"> The four decisions, although discrete, are inextricably interrelated</w:t>
      </w:r>
      <w:r w:rsidR="00686276" w:rsidRPr="00C962EE">
        <w:rPr>
          <w:rFonts w:cstheme="minorHAnsi"/>
        </w:rPr>
        <w:t>.</w:t>
      </w:r>
    </w:p>
  </w:footnote>
  <w:footnote w:id="7">
    <w:p w14:paraId="70F66EB9" w14:textId="4363D61C" w:rsidR="001B0F26" w:rsidRPr="00C962EE" w:rsidRDefault="001B0F26" w:rsidP="00C52A60">
      <w:pPr>
        <w:pStyle w:val="FootnoteText"/>
        <w:spacing w:beforeAutospacing="0"/>
        <w:contextualSpacing/>
        <w:jc w:val="both"/>
        <w:rPr>
          <w:rFonts w:cstheme="minorHAnsi"/>
          <w:lang w:val="en-GB"/>
        </w:rPr>
      </w:pPr>
      <w:r w:rsidRPr="00C962EE">
        <w:rPr>
          <w:rStyle w:val="FootnoteReference"/>
          <w:rFonts w:cstheme="minorHAnsi"/>
        </w:rPr>
        <w:footnoteRef/>
      </w:r>
      <w:r w:rsidRPr="00C962EE">
        <w:rPr>
          <w:rFonts w:cstheme="minorHAnsi"/>
        </w:rPr>
        <w:t xml:space="preserve"> </w:t>
      </w:r>
      <w:r w:rsidRPr="00C962EE">
        <w:rPr>
          <w:rFonts w:cstheme="minorHAnsi"/>
          <w:lang w:val="en-GB"/>
        </w:rPr>
        <w:t xml:space="preserve">In </w:t>
      </w:r>
      <w:r w:rsidR="00686276" w:rsidRPr="00C962EE">
        <w:rPr>
          <w:rFonts w:cstheme="minorHAnsi"/>
          <w:lang w:val="en-GB"/>
        </w:rPr>
        <w:t>the early</w:t>
      </w:r>
      <w:r w:rsidRPr="00C962EE">
        <w:rPr>
          <w:rFonts w:cstheme="minorHAnsi"/>
          <w:lang w:val="en-GB"/>
        </w:rPr>
        <w:t xml:space="preserve"> outlining of what its case was, the appellant's treatment of the second and third respondents as responsive bidders was not in issue.  Indeed, the premise was </w:t>
      </w:r>
      <w:r w:rsidR="00686276" w:rsidRPr="00C962EE">
        <w:rPr>
          <w:rFonts w:cstheme="minorHAnsi"/>
          <w:lang w:val="en-GB"/>
        </w:rPr>
        <w:t xml:space="preserve">initially </w:t>
      </w:r>
      <w:r w:rsidRPr="00C962EE">
        <w:rPr>
          <w:rFonts w:cstheme="minorHAnsi"/>
          <w:lang w:val="en-GB"/>
        </w:rPr>
        <w:t xml:space="preserve">accepted </w:t>
      </w:r>
      <w:r w:rsidR="00686276" w:rsidRPr="00C962EE">
        <w:rPr>
          <w:rFonts w:cstheme="minorHAnsi"/>
          <w:lang w:val="en-GB"/>
        </w:rPr>
        <w:t xml:space="preserve">by the first respondent </w:t>
      </w:r>
      <w:r w:rsidRPr="00C962EE">
        <w:rPr>
          <w:rFonts w:cstheme="minorHAnsi"/>
          <w:lang w:val="en-GB"/>
        </w:rPr>
        <w:t xml:space="preserve">that </w:t>
      </w:r>
      <w:r w:rsidR="00686276" w:rsidRPr="00C962EE">
        <w:rPr>
          <w:rFonts w:cstheme="minorHAnsi"/>
          <w:lang w:val="en-GB"/>
        </w:rPr>
        <w:t>both</w:t>
      </w:r>
      <w:r w:rsidRPr="00C962EE">
        <w:rPr>
          <w:rFonts w:cstheme="minorHAnsi"/>
          <w:lang w:val="en-GB"/>
        </w:rPr>
        <w:t xml:space="preserve"> had fairly achieved the functional</w:t>
      </w:r>
      <w:r w:rsidR="00686276" w:rsidRPr="00C962EE">
        <w:rPr>
          <w:rFonts w:cstheme="minorHAnsi"/>
          <w:lang w:val="en-GB"/>
        </w:rPr>
        <w:t>ity</w:t>
      </w:r>
      <w:r w:rsidRPr="00C962EE">
        <w:rPr>
          <w:rFonts w:cstheme="minorHAnsi"/>
          <w:lang w:val="en-GB"/>
        </w:rPr>
        <w:t xml:space="preserve"> threshold.</w:t>
      </w:r>
    </w:p>
  </w:footnote>
  <w:footnote w:id="8">
    <w:p w14:paraId="6F92EB26" w14:textId="0C184AB4" w:rsidR="0069384A" w:rsidRPr="00C962EE" w:rsidRDefault="0069384A" w:rsidP="00C52A60">
      <w:pPr>
        <w:pStyle w:val="FootnoteText"/>
        <w:spacing w:beforeAutospacing="0"/>
        <w:contextualSpacing/>
        <w:jc w:val="both"/>
        <w:rPr>
          <w:rFonts w:cstheme="minorHAnsi"/>
          <w:lang w:val="en-GB"/>
        </w:rPr>
      </w:pPr>
      <w:r w:rsidRPr="00C962EE">
        <w:rPr>
          <w:rStyle w:val="FootnoteReference"/>
          <w:rFonts w:cstheme="minorHAnsi"/>
        </w:rPr>
        <w:footnoteRef/>
      </w:r>
      <w:r w:rsidRPr="00C962EE">
        <w:rPr>
          <w:rFonts w:cstheme="minorHAnsi"/>
        </w:rPr>
        <w:t xml:space="preserve"> </w:t>
      </w:r>
      <w:r w:rsidRPr="00C962EE">
        <w:rPr>
          <w:rFonts w:cstheme="minorHAnsi"/>
          <w:lang w:val="en-GB"/>
        </w:rPr>
        <w:t xml:space="preserve">It was not less expensive than the third respondent’s bid but the first respondent was happy to theorize that the third respondent was out of the race by this point, having been eliminated by the same risk assessment that it took issue with as being legally impermissible </w:t>
      </w:r>
      <w:r w:rsidRPr="00540210">
        <w:rPr>
          <w:rFonts w:cstheme="minorHAnsi"/>
          <w:i/>
          <w:iCs/>
          <w:lang w:val="en-GB"/>
        </w:rPr>
        <w:t>vis-à-vis</w:t>
      </w:r>
      <w:r w:rsidRPr="00C962EE">
        <w:rPr>
          <w:rFonts w:cstheme="minorHAnsi"/>
          <w:lang w:val="en-GB"/>
        </w:rPr>
        <w:t xml:space="preserve"> itself.</w:t>
      </w:r>
    </w:p>
  </w:footnote>
  <w:footnote w:id="9">
    <w:p w14:paraId="3D1175CF" w14:textId="60392389" w:rsidR="00AF62A7" w:rsidRPr="00C962EE" w:rsidRDefault="00AF62A7" w:rsidP="00C52A60">
      <w:pPr>
        <w:pStyle w:val="FootnoteText"/>
        <w:spacing w:beforeAutospacing="0"/>
        <w:contextualSpacing/>
        <w:jc w:val="both"/>
        <w:rPr>
          <w:rFonts w:cstheme="minorHAnsi"/>
          <w:lang w:val="en-GB"/>
        </w:rPr>
      </w:pPr>
      <w:r w:rsidRPr="00C962EE">
        <w:rPr>
          <w:rStyle w:val="FootnoteReference"/>
          <w:rFonts w:cstheme="minorHAnsi"/>
        </w:rPr>
        <w:footnoteRef/>
      </w:r>
      <w:r w:rsidRPr="00C962EE">
        <w:rPr>
          <w:rFonts w:cstheme="minorHAnsi"/>
        </w:rPr>
        <w:t xml:space="preserve"> The first respondent achieved a functionality score of 78%. The second and third respondents achieved scores of 64% and 60% respectively, both considerably lower than the first respondent.</w:t>
      </w:r>
      <w:r w:rsidR="00DF79EB" w:rsidRPr="00C962EE">
        <w:rPr>
          <w:rFonts w:cstheme="minorHAnsi"/>
          <w:lang w:val="en-GB"/>
        </w:rPr>
        <w:t xml:space="preserve"> All three were thereafter scored for price and points, which put the third respondent in the lead. The third respondent fell out of the race due to the same impugned process that the first respondent complained was unfair</w:t>
      </w:r>
      <w:r w:rsidR="003C3A88" w:rsidRPr="00C962EE">
        <w:rPr>
          <w:rFonts w:cstheme="minorHAnsi"/>
          <w:lang w:val="en-GB"/>
        </w:rPr>
        <w:t>ly utilized to disqualify it</w:t>
      </w:r>
      <w:r w:rsidR="00DF79EB" w:rsidRPr="00C962EE">
        <w:rPr>
          <w:rFonts w:cstheme="minorHAnsi"/>
          <w:lang w:val="en-GB"/>
        </w:rPr>
        <w:t>.</w:t>
      </w:r>
    </w:p>
  </w:footnote>
  <w:footnote w:id="10">
    <w:p w14:paraId="7473C54F" w14:textId="47C9F8B8" w:rsidR="002C1862" w:rsidRPr="00C962EE" w:rsidRDefault="002C1862" w:rsidP="00C52A60">
      <w:pPr>
        <w:pStyle w:val="FootnoteText"/>
        <w:spacing w:beforeAutospacing="0"/>
        <w:contextualSpacing/>
        <w:jc w:val="both"/>
        <w:rPr>
          <w:rFonts w:cstheme="minorHAnsi"/>
          <w:lang w:val="en-GB"/>
        </w:rPr>
      </w:pPr>
      <w:r w:rsidRPr="00C962EE">
        <w:rPr>
          <w:rStyle w:val="FootnoteReference"/>
          <w:rFonts w:cstheme="minorHAnsi"/>
        </w:rPr>
        <w:footnoteRef/>
      </w:r>
      <w:r w:rsidRPr="00C962EE">
        <w:rPr>
          <w:rFonts w:cstheme="minorHAnsi"/>
        </w:rPr>
        <w:t xml:space="preserve"> </w:t>
      </w:r>
      <w:r w:rsidRPr="00C962EE">
        <w:rPr>
          <w:rFonts w:cstheme="minorHAnsi"/>
          <w:lang w:val="en-GB"/>
        </w:rPr>
        <w:t>The appellant referenced four stages in the tender process: 1) the checking on pre-qualification items, 2) the functionality evaluation, 3) the evaluation on price and preference points, and 4) the determination of risk.</w:t>
      </w:r>
    </w:p>
  </w:footnote>
  <w:footnote w:id="11">
    <w:p w14:paraId="7B3C3739" w14:textId="1F1E5EC5" w:rsidR="002C1862" w:rsidRPr="00C962EE" w:rsidRDefault="002C1862" w:rsidP="00C52A60">
      <w:pPr>
        <w:pStyle w:val="FootnoteText"/>
        <w:spacing w:beforeAutospacing="0"/>
        <w:contextualSpacing/>
        <w:jc w:val="both"/>
        <w:rPr>
          <w:rFonts w:cstheme="minorHAnsi"/>
          <w:lang w:val="en-GB"/>
        </w:rPr>
      </w:pPr>
      <w:r w:rsidRPr="00C962EE">
        <w:rPr>
          <w:rStyle w:val="FootnoteReference"/>
          <w:rFonts w:cstheme="minorHAnsi"/>
        </w:rPr>
        <w:footnoteRef/>
      </w:r>
      <w:r w:rsidRPr="00C962EE">
        <w:rPr>
          <w:rFonts w:cstheme="minorHAnsi"/>
        </w:rPr>
        <w:t xml:space="preserve"> </w:t>
      </w:r>
      <w:r w:rsidR="003C3A88" w:rsidRPr="00C962EE">
        <w:rPr>
          <w:rFonts w:cstheme="minorHAnsi"/>
          <w:lang w:val="en-GB"/>
        </w:rPr>
        <w:t>The</w:t>
      </w:r>
      <w:r w:rsidRPr="00C962EE">
        <w:rPr>
          <w:rFonts w:cstheme="minorHAnsi"/>
          <w:lang w:val="en-GB"/>
        </w:rPr>
        <w:t xml:space="preserve"> </w:t>
      </w:r>
      <w:r w:rsidR="003C3A88" w:rsidRPr="00C962EE">
        <w:rPr>
          <w:rFonts w:cstheme="minorHAnsi"/>
          <w:lang w:val="en-GB"/>
        </w:rPr>
        <w:t xml:space="preserve">technical </w:t>
      </w:r>
      <w:r w:rsidRPr="00C962EE">
        <w:rPr>
          <w:rFonts w:cstheme="minorHAnsi"/>
          <w:lang w:val="en-GB"/>
        </w:rPr>
        <w:t>risk assessment in respect of the third respondent was carried out earlier than that of the first and second respondents</w:t>
      </w:r>
      <w:r w:rsidR="003C3A88" w:rsidRPr="00C962EE">
        <w:rPr>
          <w:rFonts w:cstheme="minorHAnsi"/>
          <w:lang w:val="en-GB"/>
        </w:rPr>
        <w:t xml:space="preserve"> but not the commercial risk one.  The ultimate date when the third respondent was disqualified is unclear but it appears from the record </w:t>
      </w:r>
      <w:r w:rsidR="007360A2">
        <w:rPr>
          <w:rFonts w:cstheme="minorHAnsi"/>
          <w:lang w:val="en-GB"/>
        </w:rPr>
        <w:t xml:space="preserve">of decision </w:t>
      </w:r>
      <w:r w:rsidR="003C3A88" w:rsidRPr="00C962EE">
        <w:rPr>
          <w:rFonts w:cstheme="minorHAnsi"/>
          <w:lang w:val="en-GB"/>
        </w:rPr>
        <w:t xml:space="preserve">that the third respondent was regarded as the highest scoring bidder </w:t>
      </w:r>
      <w:r w:rsidR="007360A2">
        <w:rPr>
          <w:rFonts w:cstheme="minorHAnsi"/>
          <w:lang w:val="en-GB"/>
        </w:rPr>
        <w:t xml:space="preserve">among the three of </w:t>
      </w:r>
      <w:r w:rsidR="00B12E92">
        <w:rPr>
          <w:rFonts w:cstheme="minorHAnsi"/>
          <w:lang w:val="en-GB"/>
        </w:rPr>
        <w:t>them</w:t>
      </w:r>
      <w:r w:rsidR="00B0766B">
        <w:rPr>
          <w:rFonts w:cstheme="minorHAnsi"/>
          <w:lang w:val="en-GB"/>
        </w:rPr>
        <w:t xml:space="preserve"> so must have been reckoned in as a responsive bidder until the end</w:t>
      </w:r>
      <w:r w:rsidR="00B12E92">
        <w:rPr>
          <w:rFonts w:cstheme="minorHAnsi"/>
          <w:lang w:val="en-GB"/>
        </w:rPr>
        <w:t>.</w:t>
      </w:r>
    </w:p>
  </w:footnote>
  <w:footnote w:id="12">
    <w:p w14:paraId="14724182" w14:textId="77777777" w:rsidR="0060304D" w:rsidRPr="000E0BC5" w:rsidRDefault="0060304D" w:rsidP="00C52A60">
      <w:pPr>
        <w:pStyle w:val="FootnoteText"/>
        <w:spacing w:beforeAutospacing="0"/>
        <w:contextualSpacing/>
        <w:jc w:val="both"/>
        <w:rPr>
          <w:lang w:val="en-US"/>
        </w:rPr>
      </w:pPr>
      <w:r>
        <w:rPr>
          <w:rStyle w:val="FootnoteReference"/>
        </w:rPr>
        <w:footnoteRef/>
      </w:r>
      <w:r>
        <w:t xml:space="preserve"> </w:t>
      </w:r>
      <w:r>
        <w:rPr>
          <w:lang w:val="en-US"/>
        </w:rPr>
        <w:t>[2022] 1 All SA 892 (KZD) at para [17].</w:t>
      </w:r>
    </w:p>
  </w:footnote>
  <w:footnote w:id="13">
    <w:p w14:paraId="38CD345B" w14:textId="05E5614F" w:rsidR="003E49E0" w:rsidRPr="002D4EB8" w:rsidRDefault="003E49E0" w:rsidP="00C52A60">
      <w:pPr>
        <w:shd w:val="clear" w:color="auto" w:fill="FFFFFF"/>
        <w:spacing w:before="0" w:beforeAutospacing="0" w:line="240" w:lineRule="auto"/>
        <w:contextualSpacing/>
        <w:jc w:val="both"/>
        <w:outlineLvl w:val="1"/>
        <w:rPr>
          <w:rFonts w:eastAsia="Times New Roman" w:cstheme="minorHAnsi"/>
          <w:color w:val="64473A"/>
          <w:sz w:val="20"/>
          <w:szCs w:val="20"/>
        </w:rPr>
      </w:pPr>
      <w:r>
        <w:rPr>
          <w:rStyle w:val="FootnoteReference"/>
        </w:rPr>
        <w:footnoteRef/>
      </w:r>
      <w:r>
        <w:t xml:space="preserve"> </w:t>
      </w:r>
      <w:r w:rsidRPr="00561E98">
        <w:rPr>
          <w:sz w:val="20"/>
          <w:szCs w:val="20"/>
          <w:lang w:val="en-GB"/>
        </w:rPr>
        <w:t xml:space="preserve">See in this regard </w:t>
      </w:r>
      <w:r w:rsidRPr="002D4EB8">
        <w:rPr>
          <w:i/>
          <w:iCs/>
          <w:sz w:val="20"/>
          <w:szCs w:val="20"/>
          <w:lang w:val="en-GB"/>
        </w:rPr>
        <w:t>Rainbow Civils CC v Minister of Transport and Public Works, Western Cape</w:t>
      </w:r>
      <w:r w:rsidRPr="00561E98">
        <w:rPr>
          <w:sz w:val="20"/>
          <w:szCs w:val="20"/>
          <w:lang w:val="en-GB"/>
        </w:rPr>
        <w:t xml:space="preserve"> (21158/2012) [2013] ZAWCHC 3 (6 February 2013) in which the court held that functionality criteria must play a role also after the award of points for price and preference. In other </w:t>
      </w:r>
      <w:r w:rsidR="008A7D5A" w:rsidRPr="00561E98">
        <w:rPr>
          <w:sz w:val="20"/>
          <w:szCs w:val="20"/>
          <w:lang w:val="en-GB"/>
        </w:rPr>
        <w:t>words,</w:t>
      </w:r>
      <w:r w:rsidRPr="00561E98">
        <w:rPr>
          <w:sz w:val="20"/>
          <w:szCs w:val="20"/>
          <w:lang w:val="en-GB"/>
        </w:rPr>
        <w:t xml:space="preserve"> it must serve as both qualification and award criteria.</w:t>
      </w:r>
      <w:r w:rsidR="00561E98" w:rsidRPr="00561E98">
        <w:rPr>
          <w:sz w:val="20"/>
          <w:szCs w:val="20"/>
          <w:lang w:val="en-GB"/>
        </w:rPr>
        <w:t xml:space="preserve"> </w:t>
      </w:r>
      <w:r w:rsidR="00533355">
        <w:rPr>
          <w:sz w:val="20"/>
          <w:szCs w:val="20"/>
          <w:lang w:val="en-GB"/>
        </w:rPr>
        <w:t>A</w:t>
      </w:r>
      <w:r w:rsidR="00561E98" w:rsidRPr="00561E98">
        <w:rPr>
          <w:sz w:val="20"/>
          <w:szCs w:val="20"/>
          <w:lang w:val="en-GB"/>
        </w:rPr>
        <w:t xml:space="preserve"> controversy regarding the </w:t>
      </w:r>
      <w:r w:rsidR="00533355">
        <w:rPr>
          <w:sz w:val="20"/>
          <w:szCs w:val="20"/>
          <w:lang w:val="en-GB"/>
        </w:rPr>
        <w:t>import</w:t>
      </w:r>
      <w:r w:rsidR="00561E98" w:rsidRPr="00561E98">
        <w:rPr>
          <w:sz w:val="20"/>
          <w:szCs w:val="20"/>
          <w:lang w:val="en-GB"/>
        </w:rPr>
        <w:t xml:space="preserve"> of the 2017 Regulations is also discussed in </w:t>
      </w:r>
      <w:r w:rsidR="00561E98" w:rsidRPr="00561E98">
        <w:rPr>
          <w:rFonts w:cstheme="minorHAnsi"/>
          <w:i/>
          <w:iCs/>
          <w:sz w:val="20"/>
          <w:szCs w:val="20"/>
          <w:shd w:val="clear" w:color="auto" w:fill="FFFFFF"/>
        </w:rPr>
        <w:t>Minister of Finance v Sakeliga NPS (previously Afribusiness NPC) and Others  </w:t>
      </w:r>
      <w:hyperlink r:id="rId1" w:tooltip="View LawCiteRecord" w:history="1">
        <w:r w:rsidR="00561E98" w:rsidRPr="00561E98">
          <w:rPr>
            <w:rStyle w:val="Hyperlink"/>
            <w:rFonts w:cstheme="minorHAnsi"/>
            <w:color w:val="auto"/>
            <w:sz w:val="20"/>
            <w:szCs w:val="20"/>
            <w:u w:val="none"/>
            <w:shd w:val="clear" w:color="auto" w:fill="FFFFFF"/>
          </w:rPr>
          <w:t>2022</w:t>
        </w:r>
        <w:r w:rsidR="00D46402">
          <w:rPr>
            <w:rStyle w:val="Hyperlink"/>
            <w:rFonts w:cstheme="minorHAnsi"/>
            <w:color w:val="auto"/>
            <w:sz w:val="20"/>
            <w:szCs w:val="20"/>
            <w:u w:val="none"/>
            <w:shd w:val="clear" w:color="auto" w:fill="FFFFFF"/>
          </w:rPr>
          <w:t xml:space="preserve"> (</w:t>
        </w:r>
        <w:r w:rsidR="00561E98" w:rsidRPr="00561E98">
          <w:rPr>
            <w:rStyle w:val="Hyperlink"/>
            <w:rFonts w:cstheme="minorHAnsi"/>
            <w:color w:val="auto"/>
            <w:sz w:val="20"/>
            <w:szCs w:val="20"/>
            <w:u w:val="none"/>
            <w:shd w:val="clear" w:color="auto" w:fill="FFFFFF"/>
          </w:rPr>
          <w:t>4</w:t>
        </w:r>
      </w:hyperlink>
      <w:r w:rsidR="00561E98" w:rsidRPr="00561E98">
        <w:rPr>
          <w:rFonts w:cstheme="minorHAnsi"/>
          <w:sz w:val="20"/>
          <w:szCs w:val="20"/>
          <w:shd w:val="clear" w:color="auto" w:fill="FFFFFF"/>
        </w:rPr>
        <w:t xml:space="preserve">) SA </w:t>
      </w:r>
      <w:r w:rsidR="00561E98">
        <w:rPr>
          <w:rFonts w:cstheme="minorHAnsi"/>
          <w:sz w:val="20"/>
          <w:szCs w:val="20"/>
          <w:shd w:val="clear" w:color="auto" w:fill="FFFFFF"/>
        </w:rPr>
        <w:t>362</w:t>
      </w:r>
      <w:r w:rsidR="00561E98" w:rsidRPr="00561E98">
        <w:rPr>
          <w:rFonts w:cstheme="minorHAnsi"/>
          <w:sz w:val="20"/>
          <w:szCs w:val="20"/>
          <w:shd w:val="clear" w:color="auto" w:fill="FFFFFF"/>
        </w:rPr>
        <w:t xml:space="preserve"> (CC)</w:t>
      </w:r>
      <w:r w:rsidR="00561E98">
        <w:rPr>
          <w:rFonts w:cstheme="minorHAnsi"/>
          <w:sz w:val="20"/>
          <w:szCs w:val="20"/>
          <w:shd w:val="clear" w:color="auto" w:fill="FFFFFF"/>
        </w:rPr>
        <w:t xml:space="preserve"> </w:t>
      </w:r>
      <w:r w:rsidR="00533355">
        <w:rPr>
          <w:rFonts w:cstheme="minorHAnsi"/>
          <w:sz w:val="20"/>
          <w:szCs w:val="20"/>
          <w:shd w:val="clear" w:color="auto" w:fill="FFFFFF"/>
        </w:rPr>
        <w:t xml:space="preserve">but relates instead to </w:t>
      </w:r>
      <w:r w:rsidR="00561E98" w:rsidRPr="00BE09C4">
        <w:rPr>
          <w:rFonts w:cstheme="minorHAnsi"/>
          <w:color w:val="000000"/>
          <w:sz w:val="20"/>
          <w:szCs w:val="20"/>
          <w:shd w:val="clear" w:color="auto" w:fill="FFFFFF"/>
        </w:rPr>
        <w:t>the use of pre-qualification criteria in the procurement process to achieve the Constitution’s transformational goals</w:t>
      </w:r>
      <w:r w:rsidR="00561E98">
        <w:rPr>
          <w:rFonts w:cstheme="minorHAnsi"/>
          <w:sz w:val="20"/>
          <w:szCs w:val="20"/>
          <w:shd w:val="clear" w:color="auto" w:fill="FFFFFF"/>
        </w:rPr>
        <w:t>.</w:t>
      </w:r>
      <w:r w:rsidR="00533355">
        <w:rPr>
          <w:rFonts w:cstheme="minorHAnsi"/>
          <w:sz w:val="20"/>
          <w:szCs w:val="20"/>
          <w:shd w:val="clear" w:color="auto" w:fill="FFFFFF"/>
        </w:rPr>
        <w:t xml:space="preserve"> In any event the order of the SCA in </w:t>
      </w:r>
      <w:r w:rsidR="00533355" w:rsidRPr="00AF6BFE">
        <w:rPr>
          <w:rFonts w:eastAsia="Times New Roman" w:cstheme="minorHAnsi"/>
          <w:i/>
          <w:iCs/>
          <w:sz w:val="20"/>
          <w:szCs w:val="20"/>
        </w:rPr>
        <w:t>Afribusiness NPC v Minister of Finance</w:t>
      </w:r>
      <w:r w:rsidR="00533355" w:rsidRPr="00AF6BFE">
        <w:rPr>
          <w:rFonts w:eastAsia="Times New Roman" w:cstheme="minorHAnsi"/>
          <w:sz w:val="20"/>
          <w:szCs w:val="20"/>
        </w:rPr>
        <w:t xml:space="preserve"> 2021 (1) SA 325 (SCA) </w:t>
      </w:r>
      <w:r w:rsidR="00533355" w:rsidRPr="00AF6BFE">
        <w:rPr>
          <w:rFonts w:cstheme="minorHAnsi"/>
          <w:color w:val="242121"/>
          <w:sz w:val="20"/>
          <w:szCs w:val="20"/>
          <w:shd w:val="clear" w:color="auto" w:fill="FFFFFF"/>
        </w:rPr>
        <w:t>declar</w:t>
      </w:r>
      <w:r w:rsidR="00533355">
        <w:rPr>
          <w:rFonts w:cstheme="minorHAnsi"/>
          <w:color w:val="242121"/>
          <w:sz w:val="20"/>
          <w:szCs w:val="20"/>
          <w:shd w:val="clear" w:color="auto" w:fill="FFFFFF"/>
        </w:rPr>
        <w:t>ing</w:t>
      </w:r>
      <w:r w:rsidR="00533355" w:rsidRPr="00AF6BFE">
        <w:rPr>
          <w:rFonts w:cstheme="minorHAnsi"/>
          <w:color w:val="242121"/>
          <w:sz w:val="20"/>
          <w:szCs w:val="20"/>
          <w:shd w:val="clear" w:color="auto" w:fill="FFFFFF"/>
        </w:rPr>
        <w:t xml:space="preserve"> that the Preferential Procurement Regulations, 2017 are inconsistent with the </w:t>
      </w:r>
      <w:hyperlink r:id="rId2" w:history="1">
        <w:r w:rsidR="00533355" w:rsidRPr="00AF6BFE">
          <w:rPr>
            <w:rStyle w:val="Hyperlink"/>
            <w:rFonts w:cstheme="minorHAnsi"/>
            <w:color w:val="auto"/>
            <w:sz w:val="20"/>
            <w:szCs w:val="20"/>
            <w:u w:val="none"/>
            <w:shd w:val="clear" w:color="auto" w:fill="FFFFFF"/>
          </w:rPr>
          <w:t>Preferential Procurement Policy Framework Act 5 of 2000</w:t>
        </w:r>
      </w:hyperlink>
      <w:r w:rsidR="00533355" w:rsidRPr="00AF6BFE">
        <w:rPr>
          <w:rFonts w:cstheme="minorHAnsi"/>
          <w:color w:val="242121"/>
          <w:sz w:val="20"/>
          <w:szCs w:val="20"/>
          <w:shd w:val="clear" w:color="auto" w:fill="FFFFFF"/>
        </w:rPr>
        <w:t> and are invalid</w:t>
      </w:r>
      <w:r w:rsidR="00533355">
        <w:rPr>
          <w:rFonts w:cstheme="minorHAnsi"/>
          <w:color w:val="242121"/>
          <w:sz w:val="20"/>
          <w:szCs w:val="20"/>
          <w:shd w:val="clear" w:color="auto" w:fill="FFFFFF"/>
        </w:rPr>
        <w:t xml:space="preserve"> was upheld by the Constitutional Court. The ancillary order of the SCA that the declaration of validity was suspended for a period of 12 months from the date of its order expired on 16 January 2023. </w:t>
      </w:r>
    </w:p>
  </w:footnote>
  <w:footnote w:id="14">
    <w:p w14:paraId="0D8229B8" w14:textId="6768CC0A" w:rsidR="000E0BC5" w:rsidRPr="000E0BC5" w:rsidRDefault="000E0BC5" w:rsidP="00C52A60">
      <w:pPr>
        <w:pStyle w:val="FootnoteText"/>
        <w:spacing w:beforeAutospacing="0"/>
        <w:contextualSpacing/>
        <w:jc w:val="both"/>
      </w:pPr>
      <w:r>
        <w:rPr>
          <w:rStyle w:val="FootnoteReference"/>
        </w:rPr>
        <w:footnoteRef/>
      </w:r>
      <w:r>
        <w:t xml:space="preserve"> The challenge may still require reflection when considering </w:t>
      </w:r>
      <w:r w:rsidR="003E49E0">
        <w:t>a challenge to the award of a</w:t>
      </w:r>
      <w:r>
        <w:t xml:space="preserve"> tender under the 2017 </w:t>
      </w:r>
      <w:r w:rsidR="001F280D">
        <w:t>R</w:t>
      </w:r>
      <w:r>
        <w:t>egulations, but in this instance it is really an academic exercise given our decision herein.</w:t>
      </w:r>
      <w:r w:rsidR="00297B3E">
        <w:t xml:space="preserve"> </w:t>
      </w:r>
    </w:p>
  </w:footnote>
  <w:footnote w:id="15">
    <w:p w14:paraId="6F6867C8" w14:textId="489AE478" w:rsidR="00026321" w:rsidRPr="007A48A2" w:rsidRDefault="00026321" w:rsidP="00C52A60">
      <w:pPr>
        <w:spacing w:before="0" w:beforeAutospacing="0" w:line="240" w:lineRule="auto"/>
        <w:contextualSpacing/>
        <w:jc w:val="both"/>
        <w:rPr>
          <w:rFonts w:eastAsia="Times New Roman" w:cstheme="minorHAnsi"/>
          <w:sz w:val="20"/>
          <w:szCs w:val="20"/>
          <w:lang w:eastAsia="en-ZA"/>
        </w:rPr>
      </w:pPr>
      <w:r w:rsidRPr="00C962EE">
        <w:rPr>
          <w:rStyle w:val="FootnoteReference"/>
          <w:rFonts w:cstheme="minorHAnsi"/>
          <w:sz w:val="20"/>
          <w:szCs w:val="20"/>
        </w:rPr>
        <w:footnoteRef/>
      </w:r>
      <w:r w:rsidRPr="00C962EE">
        <w:rPr>
          <w:rFonts w:cstheme="minorHAnsi"/>
          <w:sz w:val="20"/>
          <w:szCs w:val="20"/>
        </w:rPr>
        <w:t xml:space="preserve"> </w:t>
      </w:r>
      <w:r w:rsidRPr="00C962EE">
        <w:rPr>
          <w:rFonts w:eastAsia="Times New Roman" w:cstheme="minorHAnsi"/>
          <w:sz w:val="20"/>
          <w:szCs w:val="20"/>
          <w:lang w:eastAsia="en-ZA"/>
        </w:rPr>
        <w:t>GNR.32 of 20 January 2017:  Preferential Procurement Regulations, 2017 (</w:t>
      </w:r>
      <w:r w:rsidRPr="00C962EE">
        <w:rPr>
          <w:rFonts w:eastAsia="Times New Roman" w:cstheme="minorHAnsi"/>
          <w:i/>
          <w:iCs/>
          <w:sz w:val="20"/>
          <w:szCs w:val="20"/>
          <w:lang w:eastAsia="en-ZA"/>
        </w:rPr>
        <w:t>Government Gazette </w:t>
      </w:r>
      <w:r w:rsidRPr="00C962EE">
        <w:rPr>
          <w:rFonts w:eastAsia="Times New Roman" w:cstheme="minorHAnsi"/>
          <w:sz w:val="20"/>
          <w:szCs w:val="20"/>
          <w:lang w:eastAsia="en-ZA"/>
        </w:rPr>
        <w:t>No. 40553), since repealed by GN 2721 published in </w:t>
      </w:r>
      <w:r w:rsidRPr="00C962EE">
        <w:rPr>
          <w:rFonts w:eastAsia="Times New Roman" w:cstheme="minorHAnsi"/>
          <w:i/>
          <w:iCs/>
          <w:sz w:val="20"/>
          <w:szCs w:val="20"/>
          <w:lang w:eastAsia="en-ZA"/>
        </w:rPr>
        <w:t>Government Gazette </w:t>
      </w:r>
      <w:r w:rsidRPr="00C962EE">
        <w:rPr>
          <w:rFonts w:eastAsia="Times New Roman" w:cstheme="minorHAnsi"/>
          <w:sz w:val="20"/>
          <w:szCs w:val="20"/>
          <w:lang w:eastAsia="en-ZA"/>
        </w:rPr>
        <w:t>47452 of 4 November 2022</w:t>
      </w:r>
      <w:r w:rsidR="007A48A2">
        <w:rPr>
          <w:rFonts w:eastAsia="Times New Roman" w:cstheme="minorHAnsi"/>
          <w:sz w:val="20"/>
          <w:szCs w:val="20"/>
          <w:lang w:eastAsia="en-ZA"/>
        </w:rPr>
        <w:t>.</w:t>
      </w:r>
    </w:p>
  </w:footnote>
  <w:footnote w:id="16">
    <w:p w14:paraId="58720332" w14:textId="5601E01D" w:rsidR="00A06B57" w:rsidRPr="00C962EE" w:rsidRDefault="00A06B57" w:rsidP="00C52A60">
      <w:pPr>
        <w:pStyle w:val="FootnoteText"/>
        <w:spacing w:beforeAutospacing="0"/>
        <w:contextualSpacing/>
        <w:jc w:val="both"/>
        <w:rPr>
          <w:rFonts w:cstheme="minorHAnsi"/>
          <w:lang w:val="en-GB"/>
        </w:rPr>
      </w:pPr>
      <w:r w:rsidRPr="00C962EE">
        <w:rPr>
          <w:rStyle w:val="FootnoteReference"/>
          <w:rFonts w:cstheme="minorHAnsi"/>
        </w:rPr>
        <w:footnoteRef/>
      </w:r>
      <w:r w:rsidRPr="00C962EE">
        <w:rPr>
          <w:rFonts w:cstheme="minorHAnsi"/>
        </w:rPr>
        <w:t xml:space="preserve"> S</w:t>
      </w:r>
      <w:r w:rsidR="00026321" w:rsidRPr="00C962EE">
        <w:rPr>
          <w:rFonts w:cstheme="minorHAnsi"/>
        </w:rPr>
        <w:t>ee in this respect s</w:t>
      </w:r>
      <w:r w:rsidRPr="00C962EE">
        <w:rPr>
          <w:rFonts w:cstheme="minorHAnsi"/>
        </w:rPr>
        <w:t>ection 6 (2) (b) of PAJA.</w:t>
      </w:r>
    </w:p>
  </w:footnote>
  <w:footnote w:id="17">
    <w:p w14:paraId="1F0366AC" w14:textId="080E2C1B" w:rsidR="001D73FF" w:rsidRPr="001D73FF" w:rsidRDefault="001D73FF" w:rsidP="00C52A60">
      <w:pPr>
        <w:pStyle w:val="FootnoteText"/>
        <w:spacing w:beforeAutospacing="0"/>
        <w:contextualSpacing/>
        <w:jc w:val="both"/>
        <w:rPr>
          <w:lang w:val="en-GB"/>
        </w:rPr>
      </w:pPr>
      <w:r>
        <w:rPr>
          <w:rStyle w:val="FootnoteReference"/>
        </w:rPr>
        <w:footnoteRef/>
      </w:r>
      <w:r>
        <w:t xml:space="preserve"> According to the record of decision it was not in fact the highest scoring tenderer amongst the three responsive bids.  The third respondent scored best but the appellant seemed happy to theorize that the end contest was between the first and second respondents, with the former scoring the highest points.</w:t>
      </w:r>
    </w:p>
  </w:footnote>
  <w:footnote w:id="18">
    <w:p w14:paraId="7F01A2FC" w14:textId="5661574D" w:rsidR="001E3443" w:rsidRPr="00C962EE" w:rsidRDefault="001E3443" w:rsidP="00C52A60">
      <w:pPr>
        <w:pStyle w:val="FootnoteText"/>
        <w:spacing w:beforeAutospacing="0"/>
        <w:contextualSpacing/>
        <w:jc w:val="both"/>
        <w:rPr>
          <w:rFonts w:cstheme="minorHAnsi"/>
          <w:lang w:val="en-GB"/>
        </w:rPr>
      </w:pPr>
      <w:r w:rsidRPr="00C962EE">
        <w:rPr>
          <w:rStyle w:val="FootnoteReference"/>
          <w:rFonts w:cstheme="minorHAnsi"/>
        </w:rPr>
        <w:footnoteRef/>
      </w:r>
      <w:r w:rsidRPr="00C962EE">
        <w:rPr>
          <w:rFonts w:cstheme="minorHAnsi"/>
        </w:rPr>
        <w:t xml:space="preserve"> </w:t>
      </w:r>
      <w:r w:rsidR="0096349F" w:rsidRPr="00C962EE">
        <w:rPr>
          <w:rFonts w:cstheme="minorHAnsi"/>
          <w:lang w:val="en-GB"/>
        </w:rPr>
        <w:t>The provisions of section 6</w:t>
      </w:r>
      <w:r w:rsidRPr="00C962EE">
        <w:rPr>
          <w:rFonts w:cstheme="minorHAnsi"/>
          <w:lang w:val="en-GB"/>
        </w:rPr>
        <w:t xml:space="preserve"> (2) (b) of PAJA </w:t>
      </w:r>
      <w:r w:rsidR="0096349F" w:rsidRPr="00C962EE">
        <w:rPr>
          <w:rFonts w:cstheme="minorHAnsi"/>
          <w:lang w:val="en-GB"/>
        </w:rPr>
        <w:t>were</w:t>
      </w:r>
      <w:r w:rsidRPr="00C962EE">
        <w:rPr>
          <w:rFonts w:cstheme="minorHAnsi"/>
          <w:lang w:val="en-GB"/>
        </w:rPr>
        <w:t xml:space="preserve"> </w:t>
      </w:r>
      <w:r w:rsidR="00E13A98" w:rsidRPr="00C962EE">
        <w:rPr>
          <w:rFonts w:cstheme="minorHAnsi"/>
          <w:lang w:val="en-GB"/>
        </w:rPr>
        <w:t xml:space="preserve">also </w:t>
      </w:r>
      <w:r w:rsidRPr="00C962EE">
        <w:rPr>
          <w:rFonts w:cstheme="minorHAnsi"/>
          <w:lang w:val="en-GB"/>
        </w:rPr>
        <w:t>relied upon in this respect.</w:t>
      </w:r>
    </w:p>
  </w:footnote>
  <w:footnote w:id="19">
    <w:p w14:paraId="3372B6A1" w14:textId="4E3AFFAC" w:rsidR="00714E06" w:rsidRPr="00C962EE" w:rsidRDefault="00714E06" w:rsidP="00C52A60">
      <w:pPr>
        <w:pStyle w:val="FootnoteText"/>
        <w:spacing w:beforeAutospacing="0"/>
        <w:contextualSpacing/>
        <w:jc w:val="both"/>
        <w:rPr>
          <w:rFonts w:cstheme="minorHAnsi"/>
          <w:lang w:val="en-GB"/>
        </w:rPr>
      </w:pPr>
      <w:r w:rsidRPr="00C962EE">
        <w:rPr>
          <w:rStyle w:val="FootnoteReference"/>
          <w:rFonts w:cstheme="minorHAnsi"/>
        </w:rPr>
        <w:footnoteRef/>
      </w:r>
      <w:r w:rsidRPr="00C962EE">
        <w:rPr>
          <w:rFonts w:cstheme="minorHAnsi"/>
        </w:rPr>
        <w:t xml:space="preserve"> </w:t>
      </w:r>
      <w:r w:rsidRPr="00C962EE">
        <w:rPr>
          <w:rFonts w:cstheme="minorHAnsi"/>
          <w:lang w:val="en-GB"/>
        </w:rPr>
        <w:t xml:space="preserve">The value of the </w:t>
      </w:r>
      <w:r w:rsidR="00A94152" w:rsidRPr="00C962EE">
        <w:rPr>
          <w:rFonts w:cstheme="minorHAnsi"/>
          <w:lang w:val="en-GB"/>
        </w:rPr>
        <w:t>bid</w:t>
      </w:r>
      <w:r w:rsidRPr="00C962EE">
        <w:rPr>
          <w:rFonts w:cstheme="minorHAnsi"/>
          <w:lang w:val="en-GB"/>
        </w:rPr>
        <w:t xml:space="preserve"> in this instance exceeded </w:t>
      </w:r>
      <w:r w:rsidR="00A94152" w:rsidRPr="00C962EE">
        <w:rPr>
          <w:rFonts w:cstheme="minorHAnsi"/>
          <w:lang w:val="en-GB"/>
        </w:rPr>
        <w:t>R20</w:t>
      </w:r>
      <w:r w:rsidRPr="00C962EE">
        <w:rPr>
          <w:rFonts w:cstheme="minorHAnsi"/>
          <w:lang w:val="en-GB"/>
        </w:rPr>
        <w:t xml:space="preserve"> million.</w:t>
      </w:r>
    </w:p>
  </w:footnote>
  <w:footnote w:id="20">
    <w:p w14:paraId="42667B57" w14:textId="034E958E" w:rsidR="00A94152" w:rsidRPr="00C962EE" w:rsidRDefault="00A94152" w:rsidP="00C52A60">
      <w:pPr>
        <w:pStyle w:val="FootnoteText"/>
        <w:spacing w:beforeAutospacing="0"/>
        <w:contextualSpacing/>
        <w:jc w:val="both"/>
        <w:rPr>
          <w:rFonts w:cstheme="minorHAnsi"/>
          <w:lang w:val="en-GB"/>
        </w:rPr>
      </w:pPr>
      <w:r w:rsidRPr="00C962EE">
        <w:rPr>
          <w:rStyle w:val="FootnoteReference"/>
          <w:rFonts w:cstheme="minorHAnsi"/>
        </w:rPr>
        <w:footnoteRef/>
      </w:r>
      <w:r w:rsidRPr="00C962EE">
        <w:rPr>
          <w:rFonts w:cstheme="minorHAnsi"/>
        </w:rPr>
        <w:t xml:space="preserve"> </w:t>
      </w:r>
      <w:r w:rsidR="007A48A2">
        <w:rPr>
          <w:rFonts w:cstheme="minorHAnsi"/>
        </w:rPr>
        <w:t>Const</w:t>
      </w:r>
      <w:r w:rsidR="001F280D">
        <w:rPr>
          <w:rFonts w:cstheme="minorHAnsi"/>
        </w:rPr>
        <w:t>ruction</w:t>
      </w:r>
      <w:r w:rsidR="007A48A2">
        <w:rPr>
          <w:rFonts w:cstheme="minorHAnsi"/>
        </w:rPr>
        <w:t xml:space="preserve"> Industry Development Regulations, Government Notice GN 692 of 9 June 2004 published in Government Gazette No. 26427.</w:t>
      </w:r>
    </w:p>
  </w:footnote>
  <w:footnote w:id="21">
    <w:p w14:paraId="3832CD46" w14:textId="697EB467" w:rsidR="00F64252" w:rsidRPr="00C962EE" w:rsidRDefault="00F64252" w:rsidP="00C52A60">
      <w:pPr>
        <w:pStyle w:val="FootnoteText"/>
        <w:spacing w:beforeAutospacing="0"/>
        <w:contextualSpacing/>
        <w:jc w:val="both"/>
        <w:rPr>
          <w:rFonts w:cstheme="minorHAnsi"/>
          <w:lang w:val="en-US"/>
        </w:rPr>
      </w:pPr>
      <w:r w:rsidRPr="00C962EE">
        <w:rPr>
          <w:rStyle w:val="FootnoteReference"/>
          <w:rFonts w:cstheme="minorHAnsi"/>
        </w:rPr>
        <w:footnoteRef/>
      </w:r>
      <w:r w:rsidRPr="00C962EE">
        <w:rPr>
          <w:rFonts w:cstheme="minorHAnsi"/>
        </w:rPr>
        <w:t xml:space="preserve"> </w:t>
      </w:r>
      <w:r w:rsidRPr="00C962EE">
        <w:rPr>
          <w:rFonts w:cstheme="minorHAnsi"/>
          <w:lang w:val="en-US"/>
        </w:rPr>
        <w:t xml:space="preserve">This second ground that the first respondent relied upon </w:t>
      </w:r>
      <w:r w:rsidR="007F5706" w:rsidRPr="00C962EE">
        <w:rPr>
          <w:rFonts w:cstheme="minorHAnsi"/>
          <w:lang w:val="en-US"/>
        </w:rPr>
        <w:t>enveloped</w:t>
      </w:r>
      <w:r w:rsidRPr="00C962EE">
        <w:rPr>
          <w:rFonts w:cstheme="minorHAnsi"/>
          <w:lang w:val="en-US"/>
        </w:rPr>
        <w:t xml:space="preserve"> the first</w:t>
      </w:r>
      <w:r w:rsidR="007F5706" w:rsidRPr="00C962EE">
        <w:rPr>
          <w:rFonts w:cstheme="minorHAnsi"/>
          <w:lang w:val="en-US"/>
        </w:rPr>
        <w:t>. Its primary contention was that</w:t>
      </w:r>
      <w:r w:rsidRPr="00C962EE">
        <w:rPr>
          <w:rFonts w:cstheme="minorHAnsi"/>
          <w:lang w:val="en-US"/>
        </w:rPr>
        <w:t xml:space="preserve"> </w:t>
      </w:r>
      <w:r w:rsidR="003D6101" w:rsidRPr="00C962EE">
        <w:rPr>
          <w:rFonts w:cstheme="minorHAnsi"/>
          <w:lang w:val="en-US"/>
        </w:rPr>
        <w:t>the th</w:t>
      </w:r>
      <w:r w:rsidR="003623CF" w:rsidRPr="00C962EE">
        <w:rPr>
          <w:rFonts w:cstheme="minorHAnsi"/>
          <w:lang w:val="en-US"/>
        </w:rPr>
        <w:t>ird respondent had been</w:t>
      </w:r>
      <w:r w:rsidR="007F5706" w:rsidRPr="00C962EE">
        <w:rPr>
          <w:rFonts w:cstheme="minorHAnsi"/>
          <w:lang w:val="en-US"/>
        </w:rPr>
        <w:t xml:space="preserve"> </w:t>
      </w:r>
      <w:r w:rsidRPr="00C962EE">
        <w:rPr>
          <w:rFonts w:cstheme="minorHAnsi"/>
          <w:lang w:val="en-US"/>
        </w:rPr>
        <w:t xml:space="preserve">entirely ineligible </w:t>
      </w:r>
      <w:r w:rsidR="007F5706" w:rsidRPr="00C962EE">
        <w:rPr>
          <w:rFonts w:cstheme="minorHAnsi"/>
          <w:lang w:val="en-US"/>
        </w:rPr>
        <w:t>to</w:t>
      </w:r>
      <w:r w:rsidR="00DE181E" w:rsidRPr="00C962EE">
        <w:rPr>
          <w:rFonts w:cstheme="minorHAnsi"/>
          <w:lang w:val="en-US"/>
        </w:rPr>
        <w:t xml:space="preserve"> </w:t>
      </w:r>
      <w:r w:rsidR="003623CF" w:rsidRPr="00C962EE">
        <w:rPr>
          <w:rFonts w:cstheme="minorHAnsi"/>
          <w:lang w:val="en-US"/>
        </w:rPr>
        <w:t xml:space="preserve">have </w:t>
      </w:r>
      <w:r w:rsidR="00DE181E" w:rsidRPr="00C962EE">
        <w:rPr>
          <w:rFonts w:cstheme="minorHAnsi"/>
          <w:lang w:val="en-US"/>
        </w:rPr>
        <w:t>comp</w:t>
      </w:r>
      <w:r w:rsidR="006E693A" w:rsidRPr="00C962EE">
        <w:rPr>
          <w:rFonts w:cstheme="minorHAnsi"/>
          <w:lang w:val="en-US"/>
        </w:rPr>
        <w:t>eted</w:t>
      </w:r>
      <w:r w:rsidR="007F5706" w:rsidRPr="00C962EE">
        <w:rPr>
          <w:rFonts w:cstheme="minorHAnsi"/>
          <w:lang w:val="en-US"/>
        </w:rPr>
        <w:t xml:space="preserve"> for the bid</w:t>
      </w:r>
      <w:r w:rsidR="006E693A" w:rsidRPr="00C962EE">
        <w:rPr>
          <w:rFonts w:cstheme="minorHAnsi"/>
          <w:lang w:val="en-US"/>
        </w:rPr>
        <w:t>.</w:t>
      </w:r>
      <w:r w:rsidR="007F5706" w:rsidRPr="00C962EE">
        <w:rPr>
          <w:rFonts w:cstheme="minorHAnsi"/>
          <w:lang w:val="en-US"/>
        </w:rPr>
        <w:t xml:space="preserve"> It raised in its supplementary affidavit a further issue that the third respondent’s BBBEE affidavit was </w:t>
      </w:r>
      <w:r w:rsidR="00135C02" w:rsidRPr="00C962EE">
        <w:rPr>
          <w:rFonts w:cstheme="minorHAnsi"/>
          <w:lang w:val="en-US"/>
        </w:rPr>
        <w:t xml:space="preserve">also </w:t>
      </w:r>
      <w:r w:rsidR="003623CF" w:rsidRPr="00C962EE">
        <w:rPr>
          <w:rFonts w:cstheme="minorHAnsi"/>
          <w:lang w:val="en-US"/>
        </w:rPr>
        <w:t>invalid and that it was thus not entitled to have been allocated points for BBBEE, an aspect that the appellant simply avoided dealing with in its answering affidavit at all</w:t>
      </w:r>
      <w:r w:rsidR="007F5706" w:rsidRPr="00C962EE">
        <w:rPr>
          <w:rFonts w:cstheme="minorHAnsi"/>
          <w:lang w:val="en-US"/>
        </w:rPr>
        <w:t xml:space="preserve">.  The </w:t>
      </w:r>
      <w:r w:rsidR="00135C02" w:rsidRPr="00C962EE">
        <w:rPr>
          <w:rFonts w:cstheme="minorHAnsi"/>
          <w:lang w:val="en-US"/>
        </w:rPr>
        <w:t xml:space="preserve">appellant purported to gloss over </w:t>
      </w:r>
      <w:r w:rsidR="003623CF" w:rsidRPr="00C962EE">
        <w:rPr>
          <w:rFonts w:cstheme="minorHAnsi"/>
          <w:lang w:val="en-US"/>
        </w:rPr>
        <w:t xml:space="preserve">even </w:t>
      </w:r>
      <w:r w:rsidR="00A94152" w:rsidRPr="00C962EE">
        <w:rPr>
          <w:rFonts w:cstheme="minorHAnsi"/>
          <w:lang w:val="en-US"/>
        </w:rPr>
        <w:t>the first respondent’s</w:t>
      </w:r>
      <w:r w:rsidR="003623CF" w:rsidRPr="00C962EE">
        <w:rPr>
          <w:rFonts w:cstheme="minorHAnsi"/>
          <w:lang w:val="en-US"/>
        </w:rPr>
        <w:t xml:space="preserve"> primary</w:t>
      </w:r>
      <w:r w:rsidR="00135C02" w:rsidRPr="00C962EE">
        <w:rPr>
          <w:rFonts w:cstheme="minorHAnsi"/>
          <w:lang w:val="en-US"/>
        </w:rPr>
        <w:t xml:space="preserve"> concern as an inconsequential one and of mere academic interest</w:t>
      </w:r>
      <w:r w:rsidR="00AC41F9" w:rsidRPr="00C962EE">
        <w:rPr>
          <w:rFonts w:cstheme="minorHAnsi"/>
          <w:lang w:val="en-US"/>
        </w:rPr>
        <w:t xml:space="preserve"> </w:t>
      </w:r>
      <w:r w:rsidR="00BD2D15" w:rsidRPr="00C962EE">
        <w:rPr>
          <w:rFonts w:cstheme="minorHAnsi"/>
          <w:lang w:val="en-US"/>
        </w:rPr>
        <w:t>since the third respondent’s bid had in any event been disqualified</w:t>
      </w:r>
      <w:r w:rsidR="00AC41F9" w:rsidRPr="00C962EE">
        <w:rPr>
          <w:rFonts w:cstheme="minorHAnsi"/>
          <w:lang w:val="en-US"/>
        </w:rPr>
        <w:t>.</w:t>
      </w:r>
      <w:bookmarkStart w:id="1" w:name="_Hlk140933375"/>
    </w:p>
    <w:bookmarkEnd w:id="1"/>
  </w:footnote>
  <w:footnote w:id="22">
    <w:p w14:paraId="569BBF37" w14:textId="1D255D8C" w:rsidR="00260603" w:rsidRPr="00C962EE" w:rsidRDefault="00260603" w:rsidP="00C52A60">
      <w:pPr>
        <w:pStyle w:val="FootnoteText"/>
        <w:spacing w:beforeAutospacing="0"/>
        <w:contextualSpacing/>
        <w:jc w:val="both"/>
        <w:rPr>
          <w:rFonts w:cstheme="minorHAnsi"/>
          <w:lang w:val="en-GB"/>
        </w:rPr>
      </w:pPr>
      <w:r w:rsidRPr="00C962EE">
        <w:rPr>
          <w:rStyle w:val="FootnoteReference"/>
          <w:rFonts w:cstheme="minorHAnsi"/>
        </w:rPr>
        <w:footnoteRef/>
      </w:r>
      <w:r w:rsidRPr="00C962EE">
        <w:rPr>
          <w:rFonts w:cstheme="minorHAnsi"/>
        </w:rPr>
        <w:t xml:space="preserve"> </w:t>
      </w:r>
      <w:r w:rsidR="00E72559" w:rsidRPr="00C962EE">
        <w:rPr>
          <w:rFonts w:cstheme="minorHAnsi"/>
          <w:lang w:val="en-GB"/>
        </w:rPr>
        <w:t>The appellant volunteered this information in its answering affidavit claiming it to have been a mistake.  Evidently it seems that th</w:t>
      </w:r>
      <w:r w:rsidR="00FA659B">
        <w:rPr>
          <w:rFonts w:cstheme="minorHAnsi"/>
          <w:lang w:val="en-GB"/>
        </w:rPr>
        <w:t>is</w:t>
      </w:r>
      <w:r w:rsidR="00E72559" w:rsidRPr="00C962EE">
        <w:rPr>
          <w:rFonts w:cstheme="minorHAnsi"/>
          <w:lang w:val="en-GB"/>
        </w:rPr>
        <w:t xml:space="preserve"> trio</w:t>
      </w:r>
      <w:r w:rsidR="00FA659B">
        <w:rPr>
          <w:rFonts w:cstheme="minorHAnsi"/>
          <w:lang w:val="en-GB"/>
        </w:rPr>
        <w:t xml:space="preserve"> of bidders</w:t>
      </w:r>
      <w:r w:rsidR="00E72559" w:rsidRPr="00C962EE">
        <w:rPr>
          <w:rFonts w:cstheme="minorHAnsi"/>
          <w:lang w:val="en-GB"/>
        </w:rPr>
        <w:t xml:space="preserve"> (including the third respondent) had tendered more beneficially in respect of price.  Why the rules were bent to permit the two nonresponsive tenders back into the contest </w:t>
      </w:r>
      <w:r w:rsidR="004938E8">
        <w:rPr>
          <w:rFonts w:cstheme="minorHAnsi"/>
          <w:lang w:val="en-GB"/>
        </w:rPr>
        <w:t xml:space="preserve">remains a mystery, but the taint in respect of SGT and Ulusha Trading </w:t>
      </w:r>
      <w:r w:rsidR="00C91AD2">
        <w:rPr>
          <w:rFonts w:cstheme="minorHAnsi"/>
          <w:lang w:val="en-GB"/>
        </w:rPr>
        <w:t>at least was self-remedied</w:t>
      </w:r>
      <w:r w:rsidR="00E72559" w:rsidRPr="00C962EE">
        <w:rPr>
          <w:rFonts w:cstheme="minorHAnsi"/>
          <w:lang w:val="en-GB"/>
        </w:rPr>
        <w:t>.  From the review record it appears that these five tenderers were thereafter subjected to the commercial risk assessment</w:t>
      </w:r>
      <w:r w:rsidR="004749F1" w:rsidRPr="00C962EE">
        <w:rPr>
          <w:rFonts w:cstheme="minorHAnsi"/>
          <w:lang w:val="en-GB"/>
        </w:rPr>
        <w:t xml:space="preserve"> all together</w:t>
      </w:r>
      <w:r w:rsidR="00E72559" w:rsidRPr="00C962EE">
        <w:rPr>
          <w:rFonts w:cstheme="minorHAnsi"/>
          <w:lang w:val="en-GB"/>
        </w:rPr>
        <w:t>.</w:t>
      </w:r>
      <w:r w:rsidR="004938E8">
        <w:rPr>
          <w:rFonts w:cstheme="minorHAnsi"/>
          <w:lang w:val="en-GB"/>
        </w:rPr>
        <w:t xml:space="preserve"> </w:t>
      </w:r>
    </w:p>
  </w:footnote>
  <w:footnote w:id="23">
    <w:p w14:paraId="01E23601" w14:textId="1F36F454" w:rsidR="003914E0" w:rsidRPr="001F280D" w:rsidRDefault="003914E0" w:rsidP="00C52A60">
      <w:pPr>
        <w:pStyle w:val="ListParagraph"/>
        <w:tabs>
          <w:tab w:val="left" w:pos="709"/>
        </w:tabs>
        <w:spacing w:before="0" w:beforeAutospacing="0" w:line="240" w:lineRule="auto"/>
        <w:ind w:left="0"/>
        <w:jc w:val="both"/>
        <w:rPr>
          <w:rFonts w:cstheme="minorHAnsi"/>
          <w:sz w:val="20"/>
          <w:szCs w:val="20"/>
          <w:lang w:val="en-US"/>
        </w:rPr>
      </w:pPr>
      <w:r w:rsidRPr="00C962EE">
        <w:rPr>
          <w:rStyle w:val="FootnoteReference"/>
          <w:rFonts w:cstheme="minorHAnsi"/>
          <w:sz w:val="20"/>
          <w:szCs w:val="20"/>
        </w:rPr>
        <w:footnoteRef/>
      </w:r>
      <w:r w:rsidRPr="00C962EE">
        <w:rPr>
          <w:rFonts w:cstheme="minorHAnsi"/>
          <w:sz w:val="20"/>
          <w:szCs w:val="20"/>
        </w:rPr>
        <w:t xml:space="preserve"> </w:t>
      </w:r>
      <w:r w:rsidRPr="00C962EE">
        <w:rPr>
          <w:rFonts w:cstheme="minorHAnsi"/>
          <w:sz w:val="20"/>
          <w:szCs w:val="20"/>
          <w:lang w:val="en-US"/>
        </w:rPr>
        <w:t xml:space="preserve">See </w:t>
      </w:r>
      <w:r w:rsidRPr="00C962EE">
        <w:rPr>
          <w:rFonts w:cstheme="minorHAnsi"/>
          <w:i/>
          <w:iCs/>
          <w:sz w:val="20"/>
          <w:szCs w:val="20"/>
          <w:lang w:val="en-US"/>
        </w:rPr>
        <w:t>Dr JS Moroka Municipality &amp; Others v Betram (Pty) Ltd &amp; Another (</w:t>
      </w:r>
      <w:r w:rsidRPr="00C962EE">
        <w:rPr>
          <w:rFonts w:cstheme="minorHAnsi"/>
          <w:sz w:val="20"/>
          <w:szCs w:val="20"/>
        </w:rPr>
        <w:t xml:space="preserve">2014 (1) All SA 545 (SCA) at para 10, read with the orbiter remarks in </w:t>
      </w:r>
      <w:r w:rsidRPr="00724539">
        <w:rPr>
          <w:rFonts w:cstheme="minorHAnsi"/>
          <w:i/>
          <w:iCs/>
          <w:sz w:val="20"/>
          <w:szCs w:val="20"/>
        </w:rPr>
        <w:t>Millennium Waste Management</w:t>
      </w:r>
      <w:r w:rsidRPr="00C962EE">
        <w:rPr>
          <w:rFonts w:cstheme="minorHAnsi"/>
          <w:sz w:val="20"/>
          <w:szCs w:val="20"/>
        </w:rPr>
        <w:t xml:space="preserve"> </w:t>
      </w:r>
      <w:r w:rsidRPr="00C962EE">
        <w:rPr>
          <w:rFonts w:cstheme="minorHAnsi"/>
          <w:i/>
          <w:iCs/>
          <w:sz w:val="20"/>
          <w:szCs w:val="20"/>
        </w:rPr>
        <w:t>Supra</w:t>
      </w:r>
      <w:r w:rsidRPr="00C962EE">
        <w:rPr>
          <w:rFonts w:cstheme="minorHAnsi"/>
          <w:sz w:val="20"/>
          <w:szCs w:val="20"/>
        </w:rPr>
        <w:t xml:space="preserve"> at para 16,</w:t>
      </w:r>
      <w:r w:rsidRPr="00C962EE">
        <w:rPr>
          <w:rFonts w:cstheme="minorHAnsi"/>
          <w:i/>
          <w:iCs/>
          <w:sz w:val="20"/>
          <w:szCs w:val="20"/>
          <w:lang w:val="en-US"/>
        </w:rPr>
        <w:t xml:space="preserve"> </w:t>
      </w:r>
      <w:r w:rsidRPr="00C962EE">
        <w:rPr>
          <w:rFonts w:cstheme="minorHAnsi"/>
          <w:sz w:val="20"/>
          <w:szCs w:val="20"/>
          <w:lang w:val="en-US"/>
        </w:rPr>
        <w:t>where</w:t>
      </w:r>
      <w:r w:rsidRPr="00C962EE">
        <w:rPr>
          <w:rFonts w:cstheme="minorHAnsi"/>
          <w:i/>
          <w:iCs/>
          <w:sz w:val="20"/>
          <w:szCs w:val="20"/>
          <w:lang w:val="en-US"/>
        </w:rPr>
        <w:t xml:space="preserve"> </w:t>
      </w:r>
      <w:r w:rsidRPr="00C962EE">
        <w:rPr>
          <w:rFonts w:cstheme="minorHAnsi"/>
          <w:sz w:val="20"/>
          <w:szCs w:val="20"/>
          <w:lang w:val="en-US"/>
        </w:rPr>
        <w:t xml:space="preserve">the </w:t>
      </w:r>
      <w:r w:rsidR="00BD6864">
        <w:rPr>
          <w:rFonts w:cstheme="minorHAnsi"/>
          <w:sz w:val="20"/>
          <w:szCs w:val="20"/>
          <w:lang w:val="en-US"/>
        </w:rPr>
        <w:t>SCA</w:t>
      </w:r>
      <w:r w:rsidRPr="00C962EE">
        <w:rPr>
          <w:rFonts w:cstheme="minorHAnsi"/>
          <w:sz w:val="20"/>
          <w:szCs w:val="20"/>
          <w:lang w:val="en-US"/>
        </w:rPr>
        <w:t xml:space="preserve"> held that: </w:t>
      </w:r>
      <w:r w:rsidRPr="00C962EE">
        <w:rPr>
          <w:rFonts w:cstheme="minorHAnsi"/>
          <w:i/>
          <w:iCs/>
          <w:sz w:val="20"/>
          <w:szCs w:val="20"/>
          <w:lang w:val="en-US"/>
        </w:rPr>
        <w:t>“It was for the municipality, and not the court to decide what should be a prerequisite for a valid tender…”</w:t>
      </w:r>
      <w:r w:rsidR="00724539">
        <w:rPr>
          <w:rFonts w:cstheme="minorHAnsi"/>
          <w:i/>
          <w:iCs/>
          <w:sz w:val="20"/>
          <w:szCs w:val="20"/>
          <w:lang w:val="en-US"/>
        </w:rPr>
        <w:t xml:space="preserve">  </w:t>
      </w:r>
      <w:r w:rsidR="00BD6864">
        <w:rPr>
          <w:rFonts w:cstheme="minorHAnsi"/>
          <w:sz w:val="20"/>
          <w:szCs w:val="20"/>
          <w:lang w:val="en-US"/>
        </w:rPr>
        <w:t>Also,</w:t>
      </w:r>
      <w:r w:rsidR="00724539">
        <w:rPr>
          <w:rFonts w:cstheme="minorHAnsi"/>
          <w:sz w:val="20"/>
          <w:szCs w:val="20"/>
          <w:lang w:val="en-US"/>
        </w:rPr>
        <w:t xml:space="preserve"> in respect of the unique work cut out for bid evaluation committees, our court apply due deference. </w:t>
      </w:r>
      <w:r w:rsidR="00BD6864">
        <w:rPr>
          <w:rFonts w:cstheme="minorHAnsi"/>
          <w:sz w:val="20"/>
          <w:szCs w:val="20"/>
          <w:lang w:val="en-US"/>
        </w:rPr>
        <w:t>(</w:t>
      </w:r>
      <w:r w:rsidR="00724539" w:rsidRPr="00724539">
        <w:rPr>
          <w:rFonts w:cstheme="minorHAnsi"/>
          <w:i/>
          <w:iCs/>
          <w:sz w:val="20"/>
          <w:szCs w:val="20"/>
          <w:lang w:val="en-US"/>
        </w:rPr>
        <w:t xml:space="preserve">Tolcon </w:t>
      </w:r>
      <w:r w:rsidR="00724539">
        <w:rPr>
          <w:rFonts w:cstheme="minorHAnsi"/>
          <w:sz w:val="20"/>
          <w:szCs w:val="20"/>
          <w:lang w:val="en-US"/>
        </w:rPr>
        <w:t>at [27]</w:t>
      </w:r>
      <w:r w:rsidR="00BD6864">
        <w:rPr>
          <w:rFonts w:cstheme="minorHAnsi"/>
          <w:sz w:val="20"/>
          <w:szCs w:val="20"/>
          <w:lang w:val="en-US"/>
        </w:rPr>
        <w:t>)</w:t>
      </w:r>
      <w:r w:rsidR="00724539">
        <w:rPr>
          <w:rFonts w:cstheme="minorHAnsi"/>
          <w:sz w:val="20"/>
          <w:szCs w:val="20"/>
          <w:lang w:val="en-US"/>
        </w:rPr>
        <w:t>.</w:t>
      </w:r>
    </w:p>
  </w:footnote>
  <w:footnote w:id="24">
    <w:p w14:paraId="63417C75" w14:textId="2F5423DB" w:rsidR="001F280D" w:rsidRPr="001F280D" w:rsidRDefault="001F280D" w:rsidP="00C52A60">
      <w:pPr>
        <w:pStyle w:val="FootnoteText"/>
        <w:spacing w:beforeAutospacing="0"/>
        <w:contextualSpacing/>
        <w:jc w:val="both"/>
      </w:pPr>
      <w:r>
        <w:rPr>
          <w:rStyle w:val="FootnoteReference"/>
        </w:rPr>
        <w:footnoteRef/>
      </w:r>
      <w:r>
        <w:t xml:space="preserve"> </w:t>
      </w:r>
      <w:r w:rsidR="00BD6864">
        <w:t>However,</w:t>
      </w:r>
      <w:r>
        <w:t xml:space="preserve"> see </w:t>
      </w:r>
      <w:r w:rsidRPr="00BD6864">
        <w:t>paragraph 2</w:t>
      </w:r>
      <w:r w:rsidR="00BD6864" w:rsidRPr="00BD6864">
        <w:t>4</w:t>
      </w:r>
      <w:r w:rsidRPr="00BD6864">
        <w:t xml:space="preserve"> above</w:t>
      </w:r>
      <w:r w:rsidR="00BD6864">
        <w:t xml:space="preserve"> concerning the corresponding provision of the Standard that was </w:t>
      </w:r>
      <w:r w:rsidR="00C91AD2">
        <w:t xml:space="preserve">instead </w:t>
      </w:r>
      <w:r w:rsidR="00BD6864">
        <w:t xml:space="preserve">included in the tender Data. </w:t>
      </w:r>
      <w:r w:rsidR="008A7D5A">
        <w:t xml:space="preserve"> </w:t>
      </w:r>
      <w:r w:rsidR="00BD6864">
        <w:t xml:space="preserve"> It is further notable that there is </w:t>
      </w:r>
      <w:r w:rsidR="00FA659B">
        <w:t xml:space="preserve">a </w:t>
      </w:r>
      <w:r w:rsidR="00BD6864">
        <w:t>significant difference between “any risk” and an “unacceptable risk” postulated in Clause C under the risk eligibility criteria.</w:t>
      </w:r>
      <w:r w:rsidR="008A7D5A">
        <w:t xml:space="preserve"> See paragraph 13 above regarding how that conflict ought to be resolved.</w:t>
      </w:r>
    </w:p>
  </w:footnote>
  <w:footnote w:id="25">
    <w:p w14:paraId="0B802DD0" w14:textId="21BA6A30" w:rsidR="00724539" w:rsidRPr="00724539" w:rsidRDefault="00724539" w:rsidP="00C52A60">
      <w:pPr>
        <w:pStyle w:val="FootnoteText"/>
        <w:spacing w:beforeAutospacing="0"/>
        <w:contextualSpacing/>
        <w:jc w:val="both"/>
      </w:pPr>
      <w:r>
        <w:rPr>
          <w:rStyle w:val="FootnoteReference"/>
        </w:rPr>
        <w:footnoteRef/>
      </w:r>
      <w:r>
        <w:t xml:space="preserve"> This must be seen against the background that it was not consistent in its approach regarding the assessment of nonresponsive tenders, especially since it purported to give </w:t>
      </w:r>
      <w:r w:rsidRPr="00EF6AF4">
        <w:rPr>
          <w:i/>
          <w:iCs/>
        </w:rPr>
        <w:t>SGT</w:t>
      </w:r>
      <w:r>
        <w:t xml:space="preserve"> and </w:t>
      </w:r>
      <w:r w:rsidRPr="00A55F48">
        <w:rPr>
          <w:i/>
          <w:iCs/>
        </w:rPr>
        <w:t>Ulusha Trading</w:t>
      </w:r>
      <w:r>
        <w:t xml:space="preserve"> another go at it as it were.</w:t>
      </w:r>
      <w:r w:rsidR="00C91AD2">
        <w:t xml:space="preserve"> As indicated above, however, the mistake in respect of the latter two tenderers was noted and corrected.  </w:t>
      </w:r>
    </w:p>
  </w:footnote>
  <w:footnote w:id="26">
    <w:p w14:paraId="49662C04" w14:textId="706E4F1A" w:rsidR="00EF6AF4" w:rsidRPr="00EF6AF4" w:rsidRDefault="00EF6AF4" w:rsidP="00C52A60">
      <w:pPr>
        <w:pStyle w:val="FootnoteText"/>
        <w:spacing w:beforeAutospacing="0"/>
        <w:contextualSpacing/>
        <w:jc w:val="both"/>
        <w:rPr>
          <w:lang w:val="en-GB"/>
        </w:rPr>
      </w:pPr>
      <w:r>
        <w:rPr>
          <w:rStyle w:val="FootnoteReference"/>
        </w:rPr>
        <w:footnoteRef/>
      </w:r>
      <w:r>
        <w:t xml:space="preserve"> </w:t>
      </w:r>
      <w:r>
        <w:rPr>
          <w:lang w:val="en-GB"/>
        </w:rPr>
        <w:t>Although it is an academic exercise I consider this to be a persuasive reason</w:t>
      </w:r>
      <w:r w:rsidR="00AB601F">
        <w:rPr>
          <w:lang w:val="en-GB"/>
        </w:rPr>
        <w:t xml:space="preserve"> why the risk assessment was not applied as Clause C forewarned it would be. </w:t>
      </w:r>
      <w:r>
        <w:rPr>
          <w:lang w:val="en-GB"/>
        </w:rPr>
        <w:t xml:space="preserve"> </w:t>
      </w:r>
      <w:r w:rsidR="004D7B7A">
        <w:rPr>
          <w:lang w:val="en-GB"/>
        </w:rPr>
        <w:t xml:space="preserve">In any event one is still left wondering what about the purported risk determination justified the Department in concluding that an acceptance of the first respondent’s bid posed an </w:t>
      </w:r>
      <w:r w:rsidR="004D7B7A" w:rsidRPr="004D7B7A">
        <w:rPr>
          <w:i/>
          <w:iCs/>
          <w:lang w:val="en-GB"/>
        </w:rPr>
        <w:t>unacceptable</w:t>
      </w:r>
      <w:r w:rsidR="004D7B7A">
        <w:rPr>
          <w:lang w:val="en-GB"/>
        </w:rPr>
        <w:t xml:space="preserve"> risk to it on its own merit.</w:t>
      </w:r>
    </w:p>
  </w:footnote>
  <w:footnote w:id="27">
    <w:p w14:paraId="26FE3519" w14:textId="3DE2DF81" w:rsidR="00253FDD" w:rsidRPr="00C962EE" w:rsidRDefault="00253FDD" w:rsidP="00C52A60">
      <w:pPr>
        <w:pStyle w:val="FootnoteText"/>
        <w:spacing w:beforeAutospacing="0"/>
        <w:contextualSpacing/>
        <w:jc w:val="both"/>
        <w:rPr>
          <w:rFonts w:cstheme="minorHAnsi"/>
          <w:lang w:val="en-GB"/>
        </w:rPr>
      </w:pPr>
      <w:r w:rsidRPr="00C962EE">
        <w:rPr>
          <w:rStyle w:val="FootnoteReference"/>
          <w:rFonts w:cstheme="minorHAnsi"/>
        </w:rPr>
        <w:footnoteRef/>
      </w:r>
      <w:r w:rsidRPr="00C962EE">
        <w:rPr>
          <w:rFonts w:cstheme="minorHAnsi"/>
        </w:rPr>
        <w:t xml:space="preserve"> </w:t>
      </w:r>
      <w:r w:rsidRPr="00C962EE">
        <w:rPr>
          <w:rFonts w:cstheme="minorHAnsi"/>
          <w:lang w:val="en-GB"/>
        </w:rPr>
        <w:t>As indicated elsewhere, although these were pleaded discretely, each decision was entirely interrelated.</w:t>
      </w:r>
    </w:p>
  </w:footnote>
  <w:footnote w:id="28">
    <w:p w14:paraId="669EF7D7" w14:textId="4FD14E6D" w:rsidR="00A1602F" w:rsidRPr="00C962EE" w:rsidRDefault="00A1602F" w:rsidP="00C52A60">
      <w:pPr>
        <w:pStyle w:val="FootnoteText"/>
        <w:spacing w:beforeAutospacing="0"/>
        <w:contextualSpacing/>
        <w:jc w:val="both"/>
        <w:rPr>
          <w:rFonts w:cstheme="minorHAnsi"/>
          <w:lang w:val="en-GB"/>
        </w:rPr>
      </w:pPr>
      <w:r w:rsidRPr="00C962EE">
        <w:rPr>
          <w:rStyle w:val="FootnoteReference"/>
          <w:rFonts w:cstheme="minorHAnsi"/>
        </w:rPr>
        <w:footnoteRef/>
      </w:r>
      <w:r w:rsidRPr="00C962EE">
        <w:rPr>
          <w:rFonts w:cstheme="minorHAnsi"/>
        </w:rPr>
        <w:t xml:space="preserve"> </w:t>
      </w:r>
      <w:r w:rsidR="00253FDD" w:rsidRPr="00C962EE">
        <w:rPr>
          <w:rFonts w:cstheme="minorHAnsi"/>
        </w:rPr>
        <w:t xml:space="preserve">See paragraph [49] of the judgment.  </w:t>
      </w:r>
      <w:r w:rsidRPr="00C962EE">
        <w:rPr>
          <w:rFonts w:cstheme="minorHAnsi"/>
          <w:lang w:val="en-GB"/>
        </w:rPr>
        <w:t xml:space="preserve">The order as it stands </w:t>
      </w:r>
      <w:r w:rsidR="00253FDD" w:rsidRPr="00C962EE">
        <w:rPr>
          <w:rFonts w:cstheme="minorHAnsi"/>
          <w:lang w:val="en-GB"/>
        </w:rPr>
        <w:t>ought to</w:t>
      </w:r>
      <w:r w:rsidRPr="00C962EE">
        <w:rPr>
          <w:rFonts w:cstheme="minorHAnsi"/>
          <w:lang w:val="en-GB"/>
        </w:rPr>
        <w:t xml:space="preserve"> have caused </w:t>
      </w:r>
      <w:r w:rsidR="003C056A" w:rsidRPr="00C962EE">
        <w:rPr>
          <w:rFonts w:cstheme="minorHAnsi"/>
          <w:lang w:val="en-GB"/>
        </w:rPr>
        <w:t>consternation</w:t>
      </w:r>
      <w:r w:rsidRPr="00C962EE">
        <w:rPr>
          <w:rFonts w:cstheme="minorHAnsi"/>
          <w:lang w:val="en-GB"/>
        </w:rPr>
        <w:t xml:space="preserve"> for the first respondent as well but Mr</w:t>
      </w:r>
      <w:r w:rsidR="00A55F48">
        <w:rPr>
          <w:rFonts w:cstheme="minorHAnsi"/>
          <w:lang w:val="en-GB"/>
        </w:rPr>
        <w:t>.</w:t>
      </w:r>
      <w:r w:rsidRPr="00C962EE">
        <w:rPr>
          <w:rFonts w:cstheme="minorHAnsi"/>
          <w:lang w:val="en-GB"/>
        </w:rPr>
        <w:t xml:space="preserve"> Nepgen</w:t>
      </w:r>
      <w:r w:rsidR="00253FDD" w:rsidRPr="00C962EE">
        <w:rPr>
          <w:rFonts w:cstheme="minorHAnsi"/>
          <w:lang w:val="en-GB"/>
        </w:rPr>
        <w:t xml:space="preserve"> who appeared for the first respondent</w:t>
      </w:r>
      <w:r w:rsidRPr="00C962EE">
        <w:rPr>
          <w:rFonts w:cstheme="minorHAnsi"/>
          <w:lang w:val="en-GB"/>
        </w:rPr>
        <w:t xml:space="preserve"> contended that it had been unnecessary </w:t>
      </w:r>
      <w:r w:rsidR="00B007B0" w:rsidRPr="00C962EE">
        <w:rPr>
          <w:rFonts w:cstheme="minorHAnsi"/>
          <w:lang w:val="en-GB"/>
        </w:rPr>
        <w:t xml:space="preserve">for it </w:t>
      </w:r>
      <w:r w:rsidRPr="00C962EE">
        <w:rPr>
          <w:rFonts w:cstheme="minorHAnsi"/>
          <w:lang w:val="en-GB"/>
        </w:rPr>
        <w:t xml:space="preserve">to cross appeal because </w:t>
      </w:r>
      <w:r w:rsidR="003C056A" w:rsidRPr="00C962EE">
        <w:rPr>
          <w:rFonts w:cstheme="minorHAnsi"/>
          <w:lang w:val="en-GB"/>
        </w:rPr>
        <w:t xml:space="preserve">the effect of the remitting </w:t>
      </w:r>
      <w:r w:rsidR="00253FDD" w:rsidRPr="00C962EE">
        <w:rPr>
          <w:rFonts w:cstheme="minorHAnsi"/>
          <w:lang w:val="en-GB"/>
        </w:rPr>
        <w:t xml:space="preserve">together with the other orders granted </w:t>
      </w:r>
      <w:r w:rsidR="00824539" w:rsidRPr="00C962EE">
        <w:rPr>
          <w:rFonts w:cstheme="minorHAnsi"/>
          <w:lang w:val="en-GB"/>
        </w:rPr>
        <w:t>should</w:t>
      </w:r>
      <w:r w:rsidR="003C056A" w:rsidRPr="00C962EE">
        <w:rPr>
          <w:rFonts w:cstheme="minorHAnsi"/>
          <w:lang w:val="en-GB"/>
        </w:rPr>
        <w:t xml:space="preserve"> in effect have had as a result that </w:t>
      </w:r>
      <w:r w:rsidR="00253FDD" w:rsidRPr="00C962EE">
        <w:rPr>
          <w:rFonts w:cstheme="minorHAnsi"/>
          <w:lang w:val="en-GB"/>
        </w:rPr>
        <w:t xml:space="preserve">his client </w:t>
      </w:r>
      <w:r w:rsidR="003C056A" w:rsidRPr="00C962EE">
        <w:rPr>
          <w:rFonts w:cstheme="minorHAnsi"/>
          <w:lang w:val="en-GB"/>
        </w:rPr>
        <w:t xml:space="preserve">would </w:t>
      </w:r>
      <w:r w:rsidR="00253FDD" w:rsidRPr="00C962EE">
        <w:rPr>
          <w:rFonts w:cstheme="minorHAnsi"/>
          <w:lang w:val="en-GB"/>
        </w:rPr>
        <w:t xml:space="preserve">have </w:t>
      </w:r>
      <w:r w:rsidR="00824539" w:rsidRPr="00C962EE">
        <w:rPr>
          <w:rFonts w:cstheme="minorHAnsi"/>
          <w:lang w:val="en-GB"/>
        </w:rPr>
        <w:t>been the</w:t>
      </w:r>
      <w:r w:rsidR="003C056A" w:rsidRPr="00C962EE">
        <w:rPr>
          <w:rFonts w:cstheme="minorHAnsi"/>
          <w:lang w:val="en-GB"/>
        </w:rPr>
        <w:t xml:space="preserve"> only remaining bidder who was legally eligible to be awarded the contract.</w:t>
      </w:r>
      <w:r w:rsidR="00824539" w:rsidRPr="00C962EE">
        <w:rPr>
          <w:rFonts w:cstheme="minorHAnsi"/>
          <w:lang w:val="en-GB"/>
        </w:rPr>
        <w:t xml:space="preserve"> From the appellant’s perspective however the elephant in the room, being the </w:t>
      </w:r>
      <w:r w:rsidR="004F3A48" w:rsidRPr="00C962EE">
        <w:rPr>
          <w:rFonts w:cstheme="minorHAnsi"/>
          <w:lang w:val="en-GB"/>
        </w:rPr>
        <w:t xml:space="preserve">issue of </w:t>
      </w:r>
      <w:r w:rsidR="00824539" w:rsidRPr="00C962EE">
        <w:rPr>
          <w:rFonts w:cstheme="minorHAnsi"/>
          <w:lang w:val="en-GB"/>
        </w:rPr>
        <w:t xml:space="preserve">legal permissibility of the risk determination as </w:t>
      </w:r>
      <w:r w:rsidR="00824539" w:rsidRPr="00A55F48">
        <w:rPr>
          <w:rFonts w:cstheme="minorHAnsi"/>
          <w:lang w:val="en-GB"/>
        </w:rPr>
        <w:t>an eligibility criteria,</w:t>
      </w:r>
      <w:r w:rsidR="00824539" w:rsidRPr="00C962EE">
        <w:rPr>
          <w:rFonts w:cstheme="minorHAnsi"/>
          <w:lang w:val="en-GB"/>
        </w:rPr>
        <w:t xml:space="preserve"> will continue to vex the parties going forward.</w:t>
      </w:r>
    </w:p>
  </w:footnote>
  <w:footnote w:id="29">
    <w:p w14:paraId="352DE8AF" w14:textId="168F2E70" w:rsidR="00FA3F23" w:rsidRPr="00C962EE" w:rsidRDefault="00FA3F23" w:rsidP="00C52A60">
      <w:pPr>
        <w:pStyle w:val="FootnoteText"/>
        <w:spacing w:beforeAutospacing="0"/>
        <w:contextualSpacing/>
        <w:jc w:val="both"/>
        <w:rPr>
          <w:rFonts w:cstheme="minorHAnsi"/>
          <w:lang w:val="en-GB"/>
        </w:rPr>
      </w:pPr>
      <w:r w:rsidRPr="00C962EE">
        <w:rPr>
          <w:rStyle w:val="FootnoteReference"/>
          <w:rFonts w:cstheme="minorHAnsi"/>
        </w:rPr>
        <w:footnoteRef/>
      </w:r>
      <w:r w:rsidRPr="00C962EE">
        <w:rPr>
          <w:rFonts w:cstheme="minorHAnsi"/>
        </w:rPr>
        <w:t xml:space="preserve"> </w:t>
      </w:r>
      <w:r w:rsidRPr="00C962EE">
        <w:rPr>
          <w:rFonts w:cstheme="minorHAnsi"/>
          <w:lang w:val="en-GB"/>
        </w:rPr>
        <w:t>This comment is in conflict with the court's orders setting aside the BEC's findings that the 2nd and 3rd respondents’ bids were administratively responsive, meaning that they should not have proceeded to a functionality evaluation.</w:t>
      </w:r>
    </w:p>
  </w:footnote>
  <w:footnote w:id="30">
    <w:p w14:paraId="0C11984B" w14:textId="253005F1" w:rsidR="005F002F" w:rsidRPr="005F002F" w:rsidRDefault="005F002F" w:rsidP="00C52A60">
      <w:pPr>
        <w:pStyle w:val="FootnoteText"/>
        <w:spacing w:beforeAutospacing="0"/>
        <w:contextualSpacing/>
        <w:jc w:val="both"/>
        <w:rPr>
          <w:lang w:val="en-GB"/>
        </w:rPr>
      </w:pPr>
      <w:r>
        <w:rPr>
          <w:rStyle w:val="FootnoteReference"/>
        </w:rPr>
        <w:footnoteRef/>
      </w:r>
      <w:r>
        <w:t xml:space="preserve"> </w:t>
      </w:r>
      <w:r>
        <w:rPr>
          <w:lang w:val="en-GB"/>
        </w:rPr>
        <w:t xml:space="preserve">He made this suggestion well knowing that the first respondent had not sought to set aside the tender documentation or focused primarily on the fact that the criteria had been vaguely framed in the tender </w:t>
      </w:r>
      <w:r w:rsidR="001A5237">
        <w:rPr>
          <w:lang w:val="en-GB"/>
        </w:rPr>
        <w:t>document but</w:t>
      </w:r>
      <w:r>
        <w:rPr>
          <w:lang w:val="en-GB"/>
        </w:rPr>
        <w:t xml:space="preserve"> had instead relied on the fact that the actual utilisation of the risk assessment was vague, arbitrary and irrational and that the process of evaluation was unfair and biased.</w:t>
      </w:r>
    </w:p>
  </w:footnote>
  <w:footnote w:id="31">
    <w:p w14:paraId="4CAC9753" w14:textId="73C630EE" w:rsidR="00B63179" w:rsidRPr="00C962EE" w:rsidRDefault="00B63179" w:rsidP="00C52A60">
      <w:pPr>
        <w:shd w:val="clear" w:color="auto" w:fill="FFFFFF"/>
        <w:spacing w:before="0" w:beforeAutospacing="0" w:line="240" w:lineRule="auto"/>
        <w:contextualSpacing/>
        <w:jc w:val="both"/>
        <w:rPr>
          <w:rFonts w:cstheme="minorHAnsi"/>
          <w:sz w:val="20"/>
          <w:szCs w:val="20"/>
          <w:lang w:val="en-US"/>
        </w:rPr>
      </w:pPr>
      <w:r w:rsidRPr="00C962EE">
        <w:rPr>
          <w:rStyle w:val="FootnoteReference"/>
          <w:rFonts w:cstheme="minorHAnsi"/>
          <w:sz w:val="20"/>
          <w:szCs w:val="20"/>
        </w:rPr>
        <w:footnoteRef/>
      </w:r>
      <w:r w:rsidRPr="00C962EE">
        <w:rPr>
          <w:rFonts w:cstheme="minorHAnsi"/>
          <w:sz w:val="20"/>
          <w:szCs w:val="20"/>
        </w:rPr>
        <w:t xml:space="preserve"> [2007] SCA 26 (RSA) 189/2006 &amp; 244/2006</w:t>
      </w:r>
      <w:r w:rsidR="00A10050" w:rsidRPr="00C962EE">
        <w:rPr>
          <w:rFonts w:cstheme="minorHAnsi"/>
          <w:sz w:val="20"/>
          <w:szCs w:val="20"/>
        </w:rPr>
        <w:t xml:space="preserve"> at par 4 under par (c)</w:t>
      </w:r>
      <w:r w:rsidR="003C056A" w:rsidRPr="00C962EE">
        <w:rPr>
          <w:rFonts w:cstheme="minorHAnsi"/>
          <w:sz w:val="20"/>
          <w:szCs w:val="20"/>
        </w:rPr>
        <w:t xml:space="preserve"> of the order there referred to</w:t>
      </w:r>
      <w:r w:rsidR="00A10050" w:rsidRPr="00C962EE">
        <w:rPr>
          <w:rFonts w:cstheme="minorHAnsi"/>
          <w:sz w:val="20"/>
          <w:szCs w:val="20"/>
        </w:rPr>
        <w:t>.</w:t>
      </w:r>
      <w:r w:rsidR="00E975F3">
        <w:rPr>
          <w:rFonts w:cstheme="minorHAnsi"/>
          <w:sz w:val="20"/>
          <w:szCs w:val="20"/>
        </w:rPr>
        <w:t xml:space="preserve"> In that matter</w:t>
      </w:r>
      <w:r w:rsidR="00C10279">
        <w:rPr>
          <w:rFonts w:cstheme="minorHAnsi"/>
          <w:sz w:val="20"/>
          <w:szCs w:val="20"/>
        </w:rPr>
        <w:t xml:space="preserve"> the order concerned (which was subject to confirmation on the return date) entailed that the employer would invite fresh tenders for the supply and delivery of food hampers should it have </w:t>
      </w:r>
      <w:r w:rsidR="00C10279" w:rsidRPr="00C10279">
        <w:rPr>
          <w:rFonts w:cstheme="minorHAnsi"/>
          <w:i/>
          <w:iCs/>
          <w:sz w:val="20"/>
          <w:szCs w:val="20"/>
        </w:rPr>
        <w:t>decided to pursue</w:t>
      </w:r>
      <w:r w:rsidR="00C10279">
        <w:rPr>
          <w:rFonts w:cstheme="minorHAnsi"/>
          <w:sz w:val="20"/>
          <w:szCs w:val="20"/>
        </w:rPr>
        <w:t xml:space="preserve"> such a service going forward in terms of a National </w:t>
      </w:r>
      <w:r w:rsidR="004E1908">
        <w:rPr>
          <w:rFonts w:cstheme="minorHAnsi"/>
          <w:sz w:val="20"/>
          <w:szCs w:val="20"/>
        </w:rPr>
        <w:t>Food Emergency Scheme</w:t>
      </w:r>
      <w:r w:rsidR="00C10279">
        <w:rPr>
          <w:rFonts w:cstheme="minorHAnsi"/>
          <w:sz w:val="20"/>
          <w:szCs w:val="20"/>
        </w:rPr>
        <w:t xml:space="preserve"> and to take cognizance of the court’s judgment in that event in forming new tender terms and conditions. </w:t>
      </w:r>
    </w:p>
  </w:footnote>
  <w:footnote w:id="32">
    <w:p w14:paraId="26A4C6C6" w14:textId="0945EF21" w:rsidR="00E322DF" w:rsidRPr="00C962EE" w:rsidRDefault="00E322DF" w:rsidP="00C52A60">
      <w:pPr>
        <w:pStyle w:val="FootnoteText"/>
        <w:spacing w:beforeAutospacing="0"/>
        <w:contextualSpacing/>
        <w:jc w:val="both"/>
        <w:rPr>
          <w:rFonts w:cstheme="minorHAnsi"/>
          <w:lang w:val="en-US"/>
        </w:rPr>
      </w:pPr>
      <w:r w:rsidRPr="00C962EE">
        <w:rPr>
          <w:rStyle w:val="FootnoteReference"/>
          <w:rFonts w:cstheme="minorHAnsi"/>
        </w:rPr>
        <w:footnoteRef/>
      </w:r>
      <w:r w:rsidRPr="00C962EE">
        <w:rPr>
          <w:rFonts w:cstheme="minorHAnsi"/>
        </w:rPr>
        <w:t xml:space="preserve"> </w:t>
      </w:r>
      <w:r w:rsidR="00EE5C71" w:rsidRPr="00C962EE">
        <w:rPr>
          <w:rFonts w:cstheme="minorHAnsi"/>
          <w:lang w:val="en-US"/>
        </w:rPr>
        <w:t>According to t</w:t>
      </w:r>
      <w:r w:rsidRPr="00C962EE">
        <w:rPr>
          <w:rFonts w:cstheme="minorHAnsi"/>
          <w:lang w:val="en-US"/>
        </w:rPr>
        <w:t>he first respondent</w:t>
      </w:r>
      <w:r w:rsidR="00EE5C71" w:rsidRPr="00C962EE">
        <w:rPr>
          <w:rFonts w:cstheme="minorHAnsi"/>
          <w:lang w:val="en-US"/>
        </w:rPr>
        <w:t>’s contention, it</w:t>
      </w:r>
      <w:r w:rsidRPr="00C962EE">
        <w:rPr>
          <w:rFonts w:cstheme="minorHAnsi"/>
          <w:lang w:val="en-US"/>
        </w:rPr>
        <w:t xml:space="preserve"> would (by the elimination of the second and third respondent</w:t>
      </w:r>
      <w:r w:rsidR="00F21C9F" w:rsidRPr="00C962EE">
        <w:rPr>
          <w:rFonts w:cstheme="minorHAnsi"/>
          <w:lang w:val="en-US"/>
        </w:rPr>
        <w:t xml:space="preserve"> as </w:t>
      </w:r>
      <w:r w:rsidR="00782212" w:rsidRPr="00C962EE">
        <w:rPr>
          <w:rFonts w:cstheme="minorHAnsi"/>
          <w:lang w:val="en-US"/>
        </w:rPr>
        <w:t>non</w:t>
      </w:r>
      <w:r w:rsidR="00F21C9F" w:rsidRPr="00C962EE">
        <w:rPr>
          <w:rFonts w:cstheme="minorHAnsi"/>
          <w:lang w:val="en-US"/>
        </w:rPr>
        <w:t>responsive tenderers</w:t>
      </w:r>
      <w:r w:rsidR="00782212" w:rsidRPr="00C962EE">
        <w:rPr>
          <w:rFonts w:cstheme="minorHAnsi"/>
          <w:lang w:val="en-US"/>
        </w:rPr>
        <w:t xml:space="preserve"> in the first phase</w:t>
      </w:r>
      <w:r w:rsidR="00F21C9F" w:rsidRPr="00C962EE">
        <w:rPr>
          <w:rFonts w:cstheme="minorHAnsi"/>
          <w:lang w:val="en-US"/>
        </w:rPr>
        <w:t>) be deemed to be the only tenderer</w:t>
      </w:r>
      <w:r w:rsidR="00041768" w:rsidRPr="00C962EE">
        <w:rPr>
          <w:rFonts w:cstheme="minorHAnsi"/>
          <w:lang w:val="en-US"/>
        </w:rPr>
        <w:t xml:space="preserve"> left in the final evaluation phase</w:t>
      </w:r>
      <w:r w:rsidR="00EE5C71" w:rsidRPr="00C962EE">
        <w:rPr>
          <w:rFonts w:cstheme="minorHAnsi"/>
          <w:lang w:val="en-US"/>
        </w:rPr>
        <w:t>.</w:t>
      </w:r>
    </w:p>
  </w:footnote>
  <w:footnote w:id="33">
    <w:p w14:paraId="73432920" w14:textId="1486094C" w:rsidR="008A1F57" w:rsidRPr="00C962EE" w:rsidRDefault="008A1F57" w:rsidP="00C52A60">
      <w:pPr>
        <w:pStyle w:val="FootnoteText"/>
        <w:spacing w:beforeAutospacing="0"/>
        <w:contextualSpacing/>
        <w:jc w:val="both"/>
        <w:rPr>
          <w:rFonts w:cstheme="minorHAnsi"/>
          <w:lang w:val="en-US"/>
        </w:rPr>
      </w:pPr>
      <w:r w:rsidRPr="00C962EE">
        <w:rPr>
          <w:rStyle w:val="FootnoteReference"/>
          <w:rFonts w:cstheme="minorHAnsi"/>
        </w:rPr>
        <w:footnoteRef/>
      </w:r>
      <w:r w:rsidRPr="00C962EE">
        <w:rPr>
          <w:rFonts w:cstheme="minorHAnsi"/>
          <w:lang w:val="en-US"/>
        </w:rPr>
        <w:t xml:space="preserve"> </w:t>
      </w:r>
      <w:r w:rsidRPr="00C962EE">
        <w:rPr>
          <w:rFonts w:cstheme="minorHAnsi"/>
          <w:i/>
          <w:iCs/>
          <w:lang w:val="en-US"/>
        </w:rPr>
        <w:t>Steenkamp N.O. v Provincial Tender Board</w:t>
      </w:r>
      <w:r w:rsidRPr="00C962EE">
        <w:rPr>
          <w:rFonts w:cstheme="minorHAnsi"/>
          <w:lang w:val="en-US"/>
        </w:rPr>
        <w:t xml:space="preserve"> </w:t>
      </w:r>
      <w:r w:rsidRPr="00C962EE">
        <w:rPr>
          <w:rFonts w:cstheme="minorHAnsi"/>
          <w:i/>
          <w:iCs/>
          <w:lang w:val="en-US"/>
        </w:rPr>
        <w:t>EC</w:t>
      </w:r>
      <w:r w:rsidRPr="00C962EE">
        <w:rPr>
          <w:rFonts w:cstheme="minorHAnsi"/>
          <w:lang w:val="en-US"/>
        </w:rPr>
        <w:t>, 2007 (3) SA 121 (CC) at par 21</w:t>
      </w:r>
      <w:r w:rsidRPr="00C962EE">
        <w:rPr>
          <w:rFonts w:cstheme="minorHAnsi"/>
          <w:i/>
          <w:iCs/>
          <w:lang w:val="en-US"/>
        </w:rPr>
        <w:t>.  Millenium Waste Management (Pty) Ltd v C</w:t>
      </w:r>
      <w:r w:rsidR="00350ADB">
        <w:rPr>
          <w:rFonts w:cstheme="minorHAnsi"/>
          <w:i/>
          <w:iCs/>
          <w:lang w:val="en-US"/>
        </w:rPr>
        <w:t>h</w:t>
      </w:r>
      <w:r w:rsidRPr="00C962EE">
        <w:rPr>
          <w:rFonts w:cstheme="minorHAnsi"/>
          <w:i/>
          <w:iCs/>
          <w:lang w:val="en-US"/>
        </w:rPr>
        <w:t>airperson, Tender Board, Limpopo Province &amp; Others</w:t>
      </w:r>
      <w:r w:rsidRPr="00C962EE">
        <w:rPr>
          <w:rFonts w:cstheme="minorHAnsi"/>
          <w:lang w:val="en-US"/>
        </w:rPr>
        <w:t xml:space="preserve"> 2008 (2) 481 (SCA) at par 4.</w:t>
      </w:r>
    </w:p>
  </w:footnote>
  <w:footnote w:id="34">
    <w:p w14:paraId="15D29D46" w14:textId="35F10D75" w:rsidR="000B1FFC" w:rsidRPr="00C52A60" w:rsidRDefault="000B1FFC" w:rsidP="00C52A60">
      <w:pPr>
        <w:pStyle w:val="ListParagraph"/>
        <w:tabs>
          <w:tab w:val="left" w:pos="709"/>
        </w:tabs>
        <w:spacing w:before="0" w:beforeAutospacing="0" w:line="240" w:lineRule="auto"/>
        <w:ind w:left="0"/>
        <w:jc w:val="both"/>
        <w:rPr>
          <w:rFonts w:cstheme="minorHAnsi"/>
          <w:sz w:val="20"/>
          <w:szCs w:val="20"/>
          <w:lang w:val="en-US"/>
        </w:rPr>
      </w:pPr>
      <w:r w:rsidRPr="00C962EE">
        <w:rPr>
          <w:rStyle w:val="FootnoteReference"/>
          <w:rFonts w:cstheme="minorHAnsi"/>
          <w:sz w:val="20"/>
          <w:szCs w:val="20"/>
        </w:rPr>
        <w:footnoteRef/>
      </w:r>
      <w:r w:rsidRPr="00C962EE">
        <w:rPr>
          <w:rFonts w:cstheme="minorHAnsi"/>
          <w:sz w:val="20"/>
          <w:szCs w:val="20"/>
        </w:rPr>
        <w:t xml:space="preserve"> </w:t>
      </w:r>
      <w:r w:rsidRPr="00C962EE">
        <w:rPr>
          <w:rFonts w:cstheme="minorHAnsi"/>
          <w:sz w:val="20"/>
          <w:szCs w:val="20"/>
          <w:lang w:val="en-US"/>
        </w:rPr>
        <w:t>In relation to the documents listed in paragraph 1 of PA-09 (EC): List of Returnable Documents, the tender recorded especially that “</w:t>
      </w:r>
      <w:r w:rsidRPr="00C962EE">
        <w:rPr>
          <w:rFonts w:cstheme="minorHAnsi"/>
          <w:i/>
          <w:iCs/>
          <w:sz w:val="20"/>
          <w:szCs w:val="20"/>
          <w:lang w:val="en-US"/>
        </w:rPr>
        <w:t>Failure to submit the applicable documents will result in the tender offer being disqualified from further consideration”</w:t>
      </w:r>
      <w:r w:rsidRPr="00C962EE">
        <w:rPr>
          <w:rFonts w:cstheme="minorHAnsi"/>
          <w:sz w:val="20"/>
          <w:szCs w:val="20"/>
          <w:lang w:val="en-US"/>
        </w:rPr>
        <w:t>.</w:t>
      </w:r>
    </w:p>
  </w:footnote>
  <w:footnote w:id="35">
    <w:p w14:paraId="75A52818" w14:textId="71A9FD90" w:rsidR="00BA6CA7" w:rsidRPr="00BA6CA7" w:rsidRDefault="00BA6CA7" w:rsidP="00C52A60">
      <w:pPr>
        <w:pStyle w:val="FootnoteText"/>
        <w:spacing w:beforeAutospacing="0"/>
        <w:contextualSpacing/>
        <w:jc w:val="both"/>
        <w:rPr>
          <w:lang w:val="en-GB"/>
        </w:rPr>
      </w:pPr>
      <w:r>
        <w:rPr>
          <w:rStyle w:val="FootnoteReference"/>
        </w:rPr>
        <w:footnoteRef/>
      </w:r>
      <w:r>
        <w:t xml:space="preserve"> </w:t>
      </w:r>
      <w:r>
        <w:rPr>
          <w:lang w:val="en-GB"/>
        </w:rPr>
        <w:t>Included in the record of decision is an internal memorandum addressed by the BEC to the Regional BAC dated 22 October 2019</w:t>
      </w:r>
      <w:r w:rsidR="00B22097">
        <w:rPr>
          <w:lang w:val="en-GB"/>
        </w:rPr>
        <w:t xml:space="preserve"> (at page 1638 of the record) which</w:t>
      </w:r>
      <w:r>
        <w:rPr>
          <w:lang w:val="en-GB"/>
        </w:rPr>
        <w:t xml:space="preserve"> appears to have been </w:t>
      </w:r>
      <w:r w:rsidR="00B22097">
        <w:rPr>
          <w:lang w:val="en-GB"/>
        </w:rPr>
        <w:t>written in</w:t>
      </w:r>
      <w:r>
        <w:rPr>
          <w:lang w:val="en-GB"/>
        </w:rPr>
        <w:t xml:space="preserve"> response to a request by the BAC to review the nonresponsive bids of Alfdav Construction CC and Ulutsha Trading which had initially been disqualified because “PA 36 not fully completed”</w:t>
      </w:r>
      <w:r w:rsidR="00B22097">
        <w:rPr>
          <w:lang w:val="en-GB"/>
        </w:rPr>
        <w:t xml:space="preserve"> ahead of finally accepting its recommendation to award the bid to the second respondent.  The BEC’s approach is commendable in that it advises the BAC that its own strict and uniform approach of “applying the approved procurement strategy” should prevail even though in that instance the bidders might have been misdirected regarding what was required of them to fill out</w:t>
      </w:r>
      <w:r w:rsidR="00156A86">
        <w:rPr>
          <w:lang w:val="en-GB"/>
        </w:rPr>
        <w:t xml:space="preserve"> in tables</w:t>
      </w:r>
      <w:r w:rsidR="00B22097">
        <w:rPr>
          <w:lang w:val="en-GB"/>
        </w:rPr>
        <w:t xml:space="preserve"> on the forms </w:t>
      </w:r>
      <w:r w:rsidR="009A1480">
        <w:rPr>
          <w:lang w:val="en-GB"/>
        </w:rPr>
        <w:t>supplied and despite the fact that</w:t>
      </w:r>
      <w:r w:rsidR="00B22097">
        <w:rPr>
          <w:lang w:val="en-GB"/>
        </w:rPr>
        <w:t xml:space="preserve"> the detail missed could be supplemented or sourced from other documents. The BEC was clearly not in that instance </w:t>
      </w:r>
      <w:r w:rsidR="00156A86">
        <w:rPr>
          <w:lang w:val="en-GB"/>
        </w:rPr>
        <w:t xml:space="preserve">persuaded that it was proper that their bids be </w:t>
      </w:r>
      <w:r w:rsidR="00156A86" w:rsidRPr="009A1480">
        <w:rPr>
          <w:i/>
          <w:iCs/>
          <w:lang w:val="en-GB"/>
        </w:rPr>
        <w:t>deemed</w:t>
      </w:r>
      <w:r w:rsidR="00156A86">
        <w:rPr>
          <w:lang w:val="en-GB"/>
        </w:rPr>
        <w:t xml:space="preserve"> to be complete.</w:t>
      </w:r>
    </w:p>
  </w:footnote>
  <w:footnote w:id="36">
    <w:p w14:paraId="653CBD07" w14:textId="3348E6BF" w:rsidR="00B84100" w:rsidRPr="00C962EE" w:rsidRDefault="00B84100" w:rsidP="00C52A60">
      <w:pPr>
        <w:pStyle w:val="FootnoteText"/>
        <w:spacing w:beforeAutospacing="0"/>
        <w:contextualSpacing/>
        <w:jc w:val="both"/>
        <w:rPr>
          <w:rFonts w:cstheme="minorHAnsi"/>
          <w:lang w:val="en-GB"/>
        </w:rPr>
      </w:pPr>
      <w:r w:rsidRPr="00C962EE">
        <w:rPr>
          <w:rStyle w:val="FootnoteReference"/>
          <w:rFonts w:cstheme="minorHAnsi"/>
        </w:rPr>
        <w:footnoteRef/>
      </w:r>
      <w:r w:rsidRPr="00C962EE">
        <w:rPr>
          <w:rFonts w:cstheme="minorHAnsi"/>
        </w:rPr>
        <w:t xml:space="preserve"> </w:t>
      </w:r>
      <w:r w:rsidRPr="00C962EE">
        <w:rPr>
          <w:rFonts w:cstheme="minorHAnsi"/>
          <w:lang w:val="en-GB"/>
        </w:rPr>
        <w:t>[2018] 2 All SA 644 (SCA)</w:t>
      </w:r>
      <w:r w:rsidR="00551B89" w:rsidRPr="00C962EE">
        <w:rPr>
          <w:rFonts w:cstheme="minorHAnsi"/>
          <w:lang w:val="en-GB"/>
        </w:rPr>
        <w:t>.</w:t>
      </w:r>
    </w:p>
  </w:footnote>
  <w:footnote w:id="37">
    <w:p w14:paraId="26B832A5" w14:textId="778FAABC" w:rsidR="00551B89" w:rsidRPr="00C962EE" w:rsidRDefault="00551B89" w:rsidP="00C52A60">
      <w:pPr>
        <w:pStyle w:val="FootnoteText"/>
        <w:spacing w:beforeAutospacing="0"/>
        <w:contextualSpacing/>
        <w:jc w:val="both"/>
        <w:rPr>
          <w:rFonts w:cstheme="minorHAnsi"/>
          <w:lang w:val="en-GB"/>
        </w:rPr>
      </w:pPr>
      <w:r w:rsidRPr="00C962EE">
        <w:rPr>
          <w:rStyle w:val="FootnoteReference"/>
          <w:rFonts w:cstheme="minorHAnsi"/>
        </w:rPr>
        <w:footnoteRef/>
      </w:r>
      <w:r w:rsidRPr="00C962EE">
        <w:rPr>
          <w:rFonts w:cstheme="minorHAnsi"/>
        </w:rPr>
        <w:t xml:space="preserve"> </w:t>
      </w:r>
      <w:r w:rsidRPr="00C962EE">
        <w:rPr>
          <w:rFonts w:eastAsia="Times New Roman" w:cstheme="minorHAnsi"/>
          <w:color w:val="000000"/>
          <w:lang w:eastAsia="en-ZA"/>
        </w:rPr>
        <w:t>P Volmink, “</w:t>
      </w:r>
      <w:r w:rsidRPr="00A55F48">
        <w:rPr>
          <w:rFonts w:eastAsia="Times New Roman" w:cstheme="minorHAnsi"/>
          <w:i/>
          <w:iCs/>
          <w:color w:val="000000"/>
          <w:lang w:eastAsia="en-ZA"/>
        </w:rPr>
        <w:t>Legal Consequences of Non Compliance with Bid Requirements</w:t>
      </w:r>
      <w:r w:rsidRPr="00C962EE">
        <w:rPr>
          <w:rFonts w:eastAsia="Times New Roman" w:cstheme="minorHAnsi"/>
          <w:color w:val="000000"/>
          <w:lang w:eastAsia="en-ZA"/>
        </w:rPr>
        <w:t>” (2014) 1 </w:t>
      </w:r>
      <w:r w:rsidRPr="00C962EE">
        <w:rPr>
          <w:rFonts w:eastAsia="Times New Roman" w:cstheme="minorHAnsi"/>
          <w:i/>
          <w:iCs/>
          <w:color w:val="000000"/>
          <w:lang w:eastAsia="en-ZA"/>
        </w:rPr>
        <w:t>African Public Procurement Law Journal </w:t>
      </w:r>
      <w:r w:rsidRPr="00C962EE">
        <w:rPr>
          <w:rFonts w:eastAsia="Times New Roman" w:cstheme="minorHAnsi"/>
          <w:color w:val="000000"/>
          <w:lang w:eastAsia="en-ZA"/>
        </w:rPr>
        <w:t>41, 49. See also paras [16] and [18] of </w:t>
      </w:r>
      <w:r w:rsidRPr="00C962EE">
        <w:rPr>
          <w:rFonts w:eastAsia="Times New Roman" w:cstheme="minorHAnsi"/>
          <w:i/>
          <w:iCs/>
          <w:color w:val="000000"/>
          <w:lang w:eastAsia="en-ZA"/>
        </w:rPr>
        <w:t>Moroka Municipality</w:t>
      </w:r>
      <w:r w:rsidRPr="00C962EE">
        <w:rPr>
          <w:rFonts w:eastAsia="Times New Roman" w:cstheme="minorHAnsi"/>
          <w:color w:val="000000"/>
          <w:lang w:eastAsia="en-ZA"/>
        </w:rPr>
        <w:t>.</w:t>
      </w:r>
    </w:p>
  </w:footnote>
  <w:footnote w:id="38">
    <w:p w14:paraId="7BA17D81" w14:textId="1E4E0CAC" w:rsidR="00551B89" w:rsidRPr="00C962EE" w:rsidRDefault="00551B89" w:rsidP="00C52A60">
      <w:pPr>
        <w:pStyle w:val="FootnoteText"/>
        <w:spacing w:beforeAutospacing="0"/>
        <w:contextualSpacing/>
        <w:jc w:val="both"/>
        <w:rPr>
          <w:rFonts w:cstheme="minorHAnsi"/>
          <w:lang w:val="en-GB"/>
        </w:rPr>
      </w:pPr>
      <w:r w:rsidRPr="00C962EE">
        <w:rPr>
          <w:rStyle w:val="FootnoteReference"/>
          <w:rFonts w:cstheme="minorHAnsi"/>
        </w:rPr>
        <w:footnoteRef/>
      </w:r>
      <w:r w:rsidRPr="00C962EE">
        <w:rPr>
          <w:rFonts w:cstheme="minorHAnsi"/>
        </w:rPr>
        <w:t xml:space="preserve"> </w:t>
      </w:r>
      <w:r w:rsidRPr="00FA0EFD">
        <w:rPr>
          <w:rFonts w:cstheme="minorHAnsi"/>
          <w:i/>
          <w:iCs/>
        </w:rPr>
        <w:t>Supra</w:t>
      </w:r>
      <w:r w:rsidRPr="00C962EE">
        <w:rPr>
          <w:rFonts w:cstheme="minorHAnsi"/>
        </w:rPr>
        <w:t>, at par [46].</w:t>
      </w:r>
    </w:p>
  </w:footnote>
  <w:footnote w:id="39">
    <w:p w14:paraId="649D71FE" w14:textId="1A9E1822" w:rsidR="00FA0EFD" w:rsidRPr="00FA0EFD" w:rsidRDefault="00FA0EFD" w:rsidP="00C52A60">
      <w:pPr>
        <w:pStyle w:val="FootnoteText"/>
        <w:spacing w:beforeAutospacing="0"/>
        <w:contextualSpacing/>
        <w:jc w:val="both"/>
      </w:pPr>
      <w:r>
        <w:rPr>
          <w:rStyle w:val="FootnoteReference"/>
        </w:rPr>
        <w:footnoteRef/>
      </w:r>
      <w:r>
        <w:t xml:space="preserve"> The only reference in the tender Data to this corresponding provision is th</w:t>
      </w:r>
      <w:r w:rsidR="00FA139D">
        <w:t>e</w:t>
      </w:r>
      <w:r>
        <w:t xml:space="preserve"> qualification that “responsive tender” and “acceptable tender” shall be construed to have the same meaning.</w:t>
      </w:r>
    </w:p>
  </w:footnote>
  <w:footnote w:id="40">
    <w:p w14:paraId="1646C916" w14:textId="7B9E0B61" w:rsidR="009F553C" w:rsidRPr="009F553C" w:rsidRDefault="009F553C" w:rsidP="00C52A60">
      <w:pPr>
        <w:pStyle w:val="FootnoteText"/>
        <w:spacing w:beforeAutospacing="0"/>
        <w:contextualSpacing/>
        <w:jc w:val="both"/>
        <w:rPr>
          <w:lang w:val="en-GB"/>
        </w:rPr>
      </w:pPr>
      <w:r>
        <w:rPr>
          <w:rStyle w:val="FootnoteReference"/>
        </w:rPr>
        <w:footnoteRef/>
      </w:r>
      <w:r>
        <w:t xml:space="preserve"> </w:t>
      </w:r>
      <w:r>
        <w:rPr>
          <w:lang w:val="en-GB"/>
        </w:rPr>
        <w:t>In the ordinary course an employer’s ability to condone a failure to comply with a peremptory tender condition is dependent on a proper construction of the documents forming part of the bid invitation but this court was not directed</w:t>
      </w:r>
      <w:r w:rsidR="008C4895">
        <w:rPr>
          <w:lang w:val="en-GB"/>
        </w:rPr>
        <w:t xml:space="preserve"> to any such import.  To the contrary, Mr</w:t>
      </w:r>
      <w:r w:rsidR="00C52A60">
        <w:rPr>
          <w:lang w:val="en-GB"/>
        </w:rPr>
        <w:t>.</w:t>
      </w:r>
      <w:r w:rsidR="008C4895">
        <w:rPr>
          <w:lang w:val="en-GB"/>
        </w:rPr>
        <w:t xml:space="preserve"> Beyleveld contended that the scenario in which the Department was faced and the decision it took to overlook the fact that </w:t>
      </w:r>
      <w:r w:rsidR="00E93D38">
        <w:rPr>
          <w:lang w:val="en-GB"/>
        </w:rPr>
        <w:t>the second respondent’s bid</w:t>
      </w:r>
      <w:r w:rsidR="008C4895">
        <w:rPr>
          <w:lang w:val="en-GB"/>
        </w:rPr>
        <w:t xml:space="preserve"> did not have fully completed sectional summaries was akin to the waiver of a suspensive condition.  This is </w:t>
      </w:r>
      <w:r w:rsidR="00E93D38">
        <w:rPr>
          <w:lang w:val="en-GB"/>
        </w:rPr>
        <w:t xml:space="preserve">however in my view </w:t>
      </w:r>
      <w:r w:rsidR="008C4895">
        <w:rPr>
          <w:lang w:val="en-GB"/>
        </w:rPr>
        <w:t xml:space="preserve">completely anathematic to a public tender process. </w:t>
      </w:r>
    </w:p>
  </w:footnote>
  <w:footnote w:id="41">
    <w:p w14:paraId="6D8D63BD" w14:textId="4727222E" w:rsidR="006F2576" w:rsidRPr="006F2576" w:rsidRDefault="006F2576" w:rsidP="00C52A60">
      <w:pPr>
        <w:pStyle w:val="FootnoteText"/>
        <w:spacing w:beforeAutospacing="0"/>
        <w:contextualSpacing/>
        <w:jc w:val="both"/>
        <w:rPr>
          <w:lang w:val="en-GB"/>
        </w:rPr>
      </w:pPr>
      <w:r>
        <w:rPr>
          <w:rStyle w:val="FootnoteReference"/>
        </w:rPr>
        <w:footnoteRef/>
      </w:r>
      <w:r>
        <w:t xml:space="preserve"> </w:t>
      </w:r>
      <w:r>
        <w:rPr>
          <w:lang w:val="en-GB"/>
        </w:rPr>
        <w:t>One can also speculate that a tender scored on price would require the bidder to show how the end total is made up to determine if the price that it boasts as being the best in the competitive bidding process is actually sustainable with reference to the summarised parts.</w:t>
      </w:r>
    </w:p>
  </w:footnote>
  <w:footnote w:id="42">
    <w:p w14:paraId="7D281AFC" w14:textId="79278C2F" w:rsidR="006F2576" w:rsidRPr="00C52A60" w:rsidRDefault="006F2576" w:rsidP="00C52A60">
      <w:pPr>
        <w:shd w:val="clear" w:color="auto" w:fill="FFFFFF"/>
        <w:spacing w:before="0" w:beforeAutospacing="0" w:line="240" w:lineRule="auto"/>
        <w:contextualSpacing/>
        <w:jc w:val="both"/>
        <w:rPr>
          <w:rFonts w:eastAsia="Times New Roman" w:cstheme="minorHAnsi"/>
          <w:color w:val="000000"/>
          <w:sz w:val="20"/>
          <w:szCs w:val="20"/>
          <w:lang w:eastAsia="en-ZA"/>
        </w:rPr>
      </w:pPr>
      <w:r>
        <w:rPr>
          <w:rStyle w:val="FootnoteReference"/>
        </w:rPr>
        <w:footnoteRef/>
      </w:r>
      <w:r>
        <w:t xml:space="preserve"> </w:t>
      </w:r>
      <w:r w:rsidRPr="001F06A7">
        <w:rPr>
          <w:rFonts w:cstheme="minorHAnsi"/>
          <w:i/>
          <w:iCs/>
          <w:sz w:val="20"/>
          <w:szCs w:val="20"/>
          <w:lang w:val="en-GB"/>
        </w:rPr>
        <w:t>Over</w:t>
      </w:r>
      <w:r w:rsidR="001F06A7" w:rsidRPr="001F06A7">
        <w:rPr>
          <w:rFonts w:cstheme="minorHAnsi"/>
          <w:i/>
          <w:iCs/>
          <w:sz w:val="20"/>
          <w:szCs w:val="20"/>
          <w:lang w:val="en-GB"/>
        </w:rPr>
        <w:t>strand</w:t>
      </w:r>
      <w:r w:rsidR="0094656E" w:rsidRPr="001F06A7">
        <w:rPr>
          <w:rFonts w:cstheme="minorHAnsi"/>
          <w:i/>
          <w:iCs/>
          <w:sz w:val="20"/>
          <w:szCs w:val="20"/>
          <w:lang w:val="en-GB"/>
        </w:rPr>
        <w:t xml:space="preserve"> Municipality</w:t>
      </w:r>
      <w:r w:rsidR="0094656E" w:rsidRPr="001F06A7">
        <w:rPr>
          <w:rFonts w:cstheme="minorHAnsi"/>
          <w:sz w:val="20"/>
          <w:szCs w:val="20"/>
          <w:lang w:val="en-GB"/>
        </w:rPr>
        <w:t xml:space="preserve">, </w:t>
      </w:r>
      <w:r w:rsidR="0094656E" w:rsidRPr="001F06A7">
        <w:rPr>
          <w:rFonts w:cstheme="minorHAnsi"/>
          <w:i/>
          <w:iCs/>
          <w:sz w:val="20"/>
          <w:szCs w:val="20"/>
          <w:lang w:val="en-GB"/>
        </w:rPr>
        <w:t>Supra</w:t>
      </w:r>
      <w:r w:rsidR="0094656E" w:rsidRPr="001F06A7">
        <w:rPr>
          <w:rFonts w:cstheme="minorHAnsi"/>
          <w:sz w:val="20"/>
          <w:szCs w:val="20"/>
          <w:lang w:val="en-GB"/>
        </w:rPr>
        <w:t xml:space="preserve">, </w:t>
      </w:r>
      <w:r w:rsidRPr="001F06A7">
        <w:rPr>
          <w:rFonts w:cstheme="minorHAnsi"/>
          <w:sz w:val="20"/>
          <w:szCs w:val="20"/>
          <w:lang w:val="en-GB"/>
        </w:rPr>
        <w:t>at [50].</w:t>
      </w:r>
      <w:r w:rsidR="0094656E" w:rsidRPr="001F06A7">
        <w:rPr>
          <w:rFonts w:cstheme="minorHAnsi"/>
          <w:sz w:val="20"/>
          <w:szCs w:val="20"/>
          <w:lang w:val="en-GB"/>
        </w:rPr>
        <w:t xml:space="preserve"> A court is enjoined to guard against invalidating a tender that contains minor deviations that do not materially alter or depart from the characteristics, terms, conditions and other requirements set out in tender documents.</w:t>
      </w:r>
      <w:r w:rsidR="001F06A7" w:rsidRPr="001F06A7">
        <w:rPr>
          <w:rFonts w:eastAsia="Times New Roman" w:cstheme="minorHAnsi"/>
          <w:color w:val="000000"/>
          <w:sz w:val="20"/>
          <w:szCs w:val="20"/>
          <w:lang w:eastAsia="en-ZA"/>
        </w:rPr>
        <w:t xml:space="preserve"> In this regard see C Hoexter </w:t>
      </w:r>
      <w:r w:rsidR="001F06A7" w:rsidRPr="001F06A7">
        <w:rPr>
          <w:rFonts w:eastAsia="Times New Roman" w:cstheme="minorHAnsi"/>
          <w:i/>
          <w:iCs/>
          <w:color w:val="000000"/>
          <w:sz w:val="20"/>
          <w:szCs w:val="20"/>
          <w:lang w:eastAsia="en-ZA"/>
        </w:rPr>
        <w:t>Administrative Law in South Africa </w:t>
      </w:r>
      <w:r w:rsidR="001F06A7" w:rsidRPr="001F06A7">
        <w:rPr>
          <w:rFonts w:eastAsia="Times New Roman" w:cstheme="minorHAnsi"/>
          <w:color w:val="000000"/>
          <w:sz w:val="20"/>
          <w:szCs w:val="20"/>
          <w:lang w:eastAsia="en-ZA"/>
        </w:rPr>
        <w:t>(2ed) (2012) at 292–295 and P Bolton “Disqualification for non-compliance with public tender conditions” (2014) 17(6) Potchefstroom Electronic Law Journal 2313, 2344.</w:t>
      </w:r>
    </w:p>
  </w:footnote>
  <w:footnote w:id="43">
    <w:p w14:paraId="18E28AEF" w14:textId="640F4BD3" w:rsidR="008E0CA6" w:rsidRPr="00C52A60" w:rsidRDefault="008E0CA6" w:rsidP="00C52A60">
      <w:pPr>
        <w:tabs>
          <w:tab w:val="left" w:pos="709"/>
        </w:tabs>
        <w:spacing w:before="0" w:beforeAutospacing="0" w:line="240" w:lineRule="auto"/>
        <w:contextualSpacing/>
        <w:jc w:val="both"/>
        <w:rPr>
          <w:rFonts w:cstheme="minorHAnsi"/>
          <w:sz w:val="20"/>
          <w:szCs w:val="20"/>
          <w:lang w:val="en-US"/>
        </w:rPr>
      </w:pPr>
      <w:r>
        <w:rPr>
          <w:rStyle w:val="FootnoteReference"/>
        </w:rPr>
        <w:footnoteRef/>
      </w:r>
      <w:r>
        <w:t xml:space="preserve"> </w:t>
      </w:r>
      <w:r w:rsidR="008F5F7C">
        <w:t xml:space="preserve">See </w:t>
      </w:r>
      <w:r w:rsidRPr="008E0CA6">
        <w:rPr>
          <w:rFonts w:cstheme="minorHAnsi"/>
          <w:i/>
          <w:iCs/>
          <w:sz w:val="20"/>
          <w:szCs w:val="20"/>
          <w:lang w:val="en-US"/>
        </w:rPr>
        <w:t>Allpay Consolidated Investment Holdings (Pty) Ltd and Others v Chief Executive Officer of the South African Social Security Agency and Others</w:t>
      </w:r>
      <w:r w:rsidRPr="008E0CA6">
        <w:rPr>
          <w:rFonts w:cstheme="minorHAnsi"/>
          <w:sz w:val="20"/>
          <w:szCs w:val="20"/>
          <w:lang w:val="en-US"/>
        </w:rPr>
        <w:t xml:space="preserve"> 2014 (1) SA 604 (CC) at para 25 where the court held that: </w:t>
      </w:r>
      <w:r w:rsidRPr="008E0CA6">
        <w:rPr>
          <w:rFonts w:cstheme="minorHAnsi"/>
          <w:i/>
          <w:iCs/>
          <w:sz w:val="20"/>
          <w:szCs w:val="20"/>
          <w:lang w:val="en-US"/>
        </w:rPr>
        <w:tab/>
        <w:t>“Once a ground of review under PAJA has been established there is no room for shying away from it.  Section 172 (1)(a) of the Constitution requires the decision to be declared unlawful.  The consequences of the declaration of unlawfulness must be dealt with in a just and equitable order under section 172 (1)(b).”</w:t>
      </w:r>
    </w:p>
  </w:footnote>
  <w:footnote w:id="44">
    <w:p w14:paraId="7F2D452E" w14:textId="784F0AD1" w:rsidR="00E035F1" w:rsidRPr="00E035F1" w:rsidRDefault="00E035F1" w:rsidP="00C52A60">
      <w:pPr>
        <w:pStyle w:val="FootnoteText"/>
        <w:spacing w:beforeAutospacing="0"/>
        <w:contextualSpacing/>
        <w:jc w:val="both"/>
        <w:rPr>
          <w:lang w:val="en-US"/>
        </w:rPr>
      </w:pPr>
      <w:r>
        <w:rPr>
          <w:rStyle w:val="FootnoteReference"/>
        </w:rPr>
        <w:footnoteRef/>
      </w:r>
      <w:r>
        <w:t xml:space="preserve"> </w:t>
      </w:r>
      <w:r w:rsidR="00FD362D">
        <w:t>I</w:t>
      </w:r>
      <w:r>
        <w:rPr>
          <w:lang w:val="en-US"/>
        </w:rPr>
        <w:t xml:space="preserve">t appears that the </w:t>
      </w:r>
      <w:r w:rsidR="003F588A">
        <w:rPr>
          <w:lang w:val="en-US"/>
        </w:rPr>
        <w:t>Department</w:t>
      </w:r>
      <w:r>
        <w:rPr>
          <w:lang w:val="en-US"/>
        </w:rPr>
        <w:t xml:space="preserve"> was seduced by the low price of the</w:t>
      </w:r>
      <w:r w:rsidR="003F588A">
        <w:rPr>
          <w:lang w:val="en-US"/>
        </w:rPr>
        <w:t xml:space="preserve"> third </w:t>
      </w:r>
      <w:r w:rsidR="001F5988">
        <w:rPr>
          <w:lang w:val="en-US"/>
        </w:rPr>
        <w:t>respondent’s bid</w:t>
      </w:r>
      <w:r>
        <w:rPr>
          <w:lang w:val="en-US"/>
        </w:rPr>
        <w:t xml:space="preserve"> which it ultimately rejected on the basis that </w:t>
      </w:r>
      <w:r w:rsidR="00E93D38">
        <w:rPr>
          <w:lang w:val="en-US"/>
        </w:rPr>
        <w:t xml:space="preserve">it </w:t>
      </w:r>
      <w:r>
        <w:rPr>
          <w:lang w:val="en-US"/>
        </w:rPr>
        <w:t xml:space="preserve">posed a commercial risk to </w:t>
      </w:r>
      <w:r w:rsidR="00E93D38">
        <w:rPr>
          <w:lang w:val="en-US"/>
        </w:rPr>
        <w:t>accept it</w:t>
      </w:r>
      <w:r>
        <w:rPr>
          <w:lang w:val="en-US"/>
        </w:rPr>
        <w:t>.</w:t>
      </w:r>
    </w:p>
  </w:footnote>
  <w:footnote w:id="45">
    <w:p w14:paraId="1324D234" w14:textId="39DCC428" w:rsidR="00B33A03" w:rsidRPr="00B33A03" w:rsidRDefault="00B33A03" w:rsidP="00C52A60">
      <w:pPr>
        <w:pStyle w:val="FootnoteText"/>
        <w:spacing w:beforeAutospacing="0"/>
        <w:contextualSpacing/>
        <w:jc w:val="both"/>
        <w:rPr>
          <w:lang w:val="en-GB"/>
        </w:rPr>
      </w:pPr>
      <w:r>
        <w:rPr>
          <w:rStyle w:val="FootnoteReference"/>
        </w:rPr>
        <w:footnoteRef/>
      </w:r>
      <w:r>
        <w:t xml:space="preserve"> </w:t>
      </w:r>
      <w:r>
        <w:rPr>
          <w:lang w:val="en-GB"/>
        </w:rPr>
        <w:t>Mr</w:t>
      </w:r>
      <w:r w:rsidR="00C52A60">
        <w:rPr>
          <w:lang w:val="en-GB"/>
        </w:rPr>
        <w:t>.</w:t>
      </w:r>
      <w:r>
        <w:rPr>
          <w:lang w:val="en-GB"/>
        </w:rPr>
        <w:t xml:space="preserve"> Beyleveld fairly pointed out that the first respondent did not file a cross appeal against the </w:t>
      </w:r>
      <w:r w:rsidR="008F5F7C">
        <w:rPr>
          <w:lang w:val="en-GB"/>
        </w:rPr>
        <w:t>remedy the</w:t>
      </w:r>
      <w:r>
        <w:rPr>
          <w:lang w:val="en-GB"/>
        </w:rPr>
        <w:t xml:space="preserve"> court below thought </w:t>
      </w:r>
      <w:r w:rsidR="008F5F7C">
        <w:rPr>
          <w:lang w:val="en-GB"/>
        </w:rPr>
        <w:t>was</w:t>
      </w:r>
      <w:r>
        <w:rPr>
          <w:lang w:val="en-GB"/>
        </w:rPr>
        <w:t xml:space="preserve"> just and equitable to make in the unique circumstances of the matter.</w:t>
      </w:r>
    </w:p>
  </w:footnote>
  <w:footnote w:id="46">
    <w:p w14:paraId="52885AD5" w14:textId="43CCF93A" w:rsidR="00681EF9" w:rsidRPr="00681EF9" w:rsidRDefault="00681EF9" w:rsidP="00C52A60">
      <w:pPr>
        <w:pStyle w:val="FootnoteText"/>
        <w:spacing w:beforeAutospacing="0"/>
        <w:contextualSpacing/>
        <w:jc w:val="both"/>
        <w:rPr>
          <w:lang w:val="en-GB"/>
        </w:rPr>
      </w:pPr>
      <w:r>
        <w:rPr>
          <w:rStyle w:val="FootnoteReference"/>
        </w:rPr>
        <w:footnoteRef/>
      </w:r>
      <w:r>
        <w:t xml:space="preserve"> </w:t>
      </w:r>
      <w:r>
        <w:rPr>
          <w:lang w:val="en-GB"/>
        </w:rPr>
        <w:t xml:space="preserve">2007 (3) SA 121 (CC) </w:t>
      </w:r>
      <w:r w:rsidR="00963213">
        <w:rPr>
          <w:lang w:val="en-GB"/>
        </w:rPr>
        <w:t>at paragraph [29].</w:t>
      </w:r>
    </w:p>
  </w:footnote>
  <w:footnote w:id="47">
    <w:p w14:paraId="21A05E34" w14:textId="04526DB6" w:rsidR="001973EA" w:rsidRPr="001973EA" w:rsidRDefault="001973EA" w:rsidP="00C52A60">
      <w:pPr>
        <w:pStyle w:val="FootnoteText"/>
        <w:spacing w:beforeAutospacing="0"/>
        <w:contextualSpacing/>
        <w:jc w:val="both"/>
        <w:rPr>
          <w:lang w:val="en-GB"/>
        </w:rPr>
      </w:pPr>
      <w:r>
        <w:rPr>
          <w:rStyle w:val="FootnoteReference"/>
        </w:rPr>
        <w:footnoteRef/>
      </w:r>
      <w:r>
        <w:t xml:space="preserve"> </w:t>
      </w:r>
      <w:r>
        <w:rPr>
          <w:lang w:val="en-GB"/>
        </w:rPr>
        <w:t>The appellant’s earlier concern had been with the application of the risk assessment in a reconsideration scenario, I assume because it was from its perspective unclear how it would deal with this in a rerun of the process.</w:t>
      </w:r>
    </w:p>
  </w:footnote>
  <w:footnote w:id="48">
    <w:p w14:paraId="55191B92" w14:textId="79550F96" w:rsidR="00392EA3" w:rsidRPr="00392EA3" w:rsidRDefault="00392EA3" w:rsidP="00C52A60">
      <w:pPr>
        <w:pStyle w:val="FootnoteText"/>
        <w:spacing w:beforeAutospacing="0"/>
        <w:contextualSpacing/>
        <w:jc w:val="both"/>
        <w:rPr>
          <w:lang w:val="en-GB"/>
        </w:rPr>
      </w:pPr>
      <w:r>
        <w:rPr>
          <w:rStyle w:val="FootnoteReference"/>
        </w:rPr>
        <w:footnoteRef/>
      </w:r>
      <w:r>
        <w:t xml:space="preserve"> </w:t>
      </w:r>
      <w:r>
        <w:rPr>
          <w:lang w:val="en-GB"/>
        </w:rPr>
        <w:t>The scenario that pertains here is the converse of the situation that applied for example in both</w:t>
      </w:r>
      <w:r w:rsidR="00A53642">
        <w:rPr>
          <w:lang w:val="en-GB"/>
        </w:rPr>
        <w:t xml:space="preserve"> </w:t>
      </w:r>
      <w:r w:rsidRPr="00A53642">
        <w:rPr>
          <w:i/>
          <w:iCs/>
          <w:lang w:val="en-GB"/>
        </w:rPr>
        <w:t>Tekoa Consulting Engineers (Pty) Ltd v Alfred Nzo District Municipality and Others</w:t>
      </w:r>
      <w:r>
        <w:rPr>
          <w:lang w:val="en-GB"/>
        </w:rPr>
        <w:t xml:space="preserve"> [2022]</w:t>
      </w:r>
      <w:r w:rsidR="00A53642">
        <w:rPr>
          <w:lang w:val="en-GB"/>
        </w:rPr>
        <w:t xml:space="preserve"> 3 All SA 892 (ECG) at [93] and </w:t>
      </w:r>
      <w:r w:rsidR="00A53642" w:rsidRPr="00A53642">
        <w:rPr>
          <w:i/>
          <w:iCs/>
          <w:lang w:val="en-GB"/>
        </w:rPr>
        <w:t>Spec</w:t>
      </w:r>
      <w:r w:rsidRPr="00A53642">
        <w:rPr>
          <w:i/>
          <w:iCs/>
          <w:lang w:val="en-GB"/>
        </w:rPr>
        <w:t xml:space="preserve"> Joint Venture v The Minister: Department of Water and Sanitation and two others</w:t>
      </w:r>
      <w:r>
        <w:rPr>
          <w:lang w:val="en-GB"/>
        </w:rPr>
        <w:t xml:space="preserve"> (Gqeberha Case no. 2806/2022)</w:t>
      </w:r>
      <w:r w:rsidR="00A53642">
        <w:rPr>
          <w:lang w:val="en-GB"/>
        </w:rPr>
        <w:t xml:space="preserve"> at [34].</w:t>
      </w:r>
      <w:r w:rsidR="004E1908">
        <w:rPr>
          <w:lang w:val="en-GB"/>
        </w:rPr>
        <w:t xml:space="preserve">  In this instance the Department treated the second and third respondents differentially</w:t>
      </w:r>
      <w:r w:rsidR="009C07EA">
        <w:rPr>
          <w:lang w:val="en-GB"/>
        </w:rPr>
        <w:t xml:space="preserve"> from everyone else’s</w:t>
      </w:r>
      <w:r w:rsidR="004E1908">
        <w:rPr>
          <w:lang w:val="en-GB"/>
        </w:rPr>
        <w:t xml:space="preserve">. </w:t>
      </w:r>
    </w:p>
  </w:footnote>
  <w:footnote w:id="49">
    <w:p w14:paraId="36B031D1" w14:textId="16E8BFB3" w:rsidR="00A53642" w:rsidRPr="00A53642" w:rsidRDefault="00A53642" w:rsidP="00C52A60">
      <w:pPr>
        <w:pStyle w:val="FootnoteText"/>
        <w:spacing w:beforeAutospacing="0"/>
        <w:contextualSpacing/>
        <w:jc w:val="both"/>
        <w:rPr>
          <w:lang w:val="en-GB"/>
        </w:rPr>
      </w:pPr>
      <w:r>
        <w:rPr>
          <w:rStyle w:val="FootnoteReference"/>
        </w:rPr>
        <w:footnoteRef/>
      </w:r>
      <w:r>
        <w:t xml:space="preserve"> </w:t>
      </w:r>
      <w:r>
        <w:rPr>
          <w:lang w:val="en-GB"/>
        </w:rPr>
        <w:t>One gleans the impression that it has lost its taste for the project proceeding</w:t>
      </w:r>
      <w:r w:rsidR="004E1908">
        <w:rPr>
          <w:lang w:val="en-GB"/>
        </w:rPr>
        <w:t xml:space="preserve"> and might not, given the lapse of time and budgetary constraints, want to proceed if it were up to it. </w:t>
      </w:r>
    </w:p>
  </w:footnote>
  <w:footnote w:id="50">
    <w:p w14:paraId="1806EAF4" w14:textId="21BD2784" w:rsidR="00B33A03" w:rsidRPr="00B33A03" w:rsidRDefault="00B33A03" w:rsidP="00C52A60">
      <w:pPr>
        <w:pStyle w:val="FootnoteText"/>
        <w:spacing w:beforeAutospacing="0"/>
        <w:contextualSpacing/>
        <w:jc w:val="both"/>
        <w:rPr>
          <w:lang w:val="en-GB"/>
        </w:rPr>
      </w:pPr>
      <w:r>
        <w:rPr>
          <w:rStyle w:val="FootnoteReference"/>
        </w:rPr>
        <w:footnoteRef/>
      </w:r>
      <w:r>
        <w:t xml:space="preserve"> The first respondent contended in this regard that the provisions of regulation 11 are not of application unless there is more than one valid bid still in contention.</w:t>
      </w:r>
    </w:p>
  </w:footnote>
  <w:footnote w:id="51">
    <w:p w14:paraId="2BE010A3" w14:textId="61168C53" w:rsidR="00B2728E" w:rsidRPr="002F4DD1" w:rsidRDefault="00B2728E" w:rsidP="00C52A60">
      <w:pPr>
        <w:pStyle w:val="FootnoteText"/>
        <w:spacing w:beforeAutospacing="0"/>
        <w:contextualSpacing/>
        <w:jc w:val="both"/>
        <w:rPr>
          <w:lang w:val="en-US"/>
        </w:rPr>
      </w:pPr>
      <w:r>
        <w:rPr>
          <w:rStyle w:val="FootnoteReference"/>
        </w:rPr>
        <w:footnoteRef/>
      </w:r>
      <w:r>
        <w:t xml:space="preserve"> </w:t>
      </w:r>
      <w:r w:rsidR="002F4DD1">
        <w:t xml:space="preserve">Apart from the apparent overlap </w:t>
      </w:r>
      <w:r w:rsidR="00E256F5">
        <w:t>with functionality criteria I mention</w:t>
      </w:r>
      <w:r>
        <w:t xml:space="preserve">, for example, </w:t>
      </w:r>
      <w:r w:rsidR="00E256F5">
        <w:t xml:space="preserve">that </w:t>
      </w:r>
      <w:r w:rsidRPr="009C07EA">
        <w:rPr>
          <w:i/>
          <w:iCs/>
          <w:lang w:val="en-US"/>
        </w:rPr>
        <w:t>“unacceptable risk</w:t>
      </w:r>
      <w:r>
        <w:rPr>
          <w:lang w:val="en-US"/>
        </w:rPr>
        <w:t xml:space="preserve">” is not defined </w:t>
      </w:r>
      <w:r w:rsidR="003C1DDC">
        <w:rPr>
          <w:lang w:val="en-US"/>
        </w:rPr>
        <w:t>and</w:t>
      </w:r>
      <w:r>
        <w:rPr>
          <w:lang w:val="en-US"/>
        </w:rPr>
        <w:t xml:space="preserve"> more importantly there is a failure in the tender Data to record what the objective standard (scope or measure) is that will be used to determine whether a bid presents an “</w:t>
      </w:r>
      <w:r w:rsidRPr="009C07EA">
        <w:rPr>
          <w:i/>
          <w:iCs/>
          <w:lang w:val="en-US"/>
        </w:rPr>
        <w:t>unacceptable risk</w:t>
      </w:r>
      <w:r>
        <w:rPr>
          <w:lang w:val="en-US"/>
        </w:rPr>
        <w:t xml:space="preserve">” to the Department. </w:t>
      </w:r>
    </w:p>
  </w:footnote>
  <w:footnote w:id="52">
    <w:p w14:paraId="2DECBF59" w14:textId="2B56BC85" w:rsidR="0098694F" w:rsidRPr="0098694F" w:rsidRDefault="0098694F" w:rsidP="00C52A60">
      <w:pPr>
        <w:pStyle w:val="FootnoteText"/>
        <w:spacing w:beforeAutospacing="0"/>
        <w:contextualSpacing/>
        <w:jc w:val="both"/>
        <w:rPr>
          <w:lang w:val="en-GB"/>
        </w:rPr>
      </w:pPr>
      <w:r>
        <w:rPr>
          <w:rStyle w:val="FootnoteReference"/>
        </w:rPr>
        <w:footnoteRef/>
      </w:r>
      <w:r>
        <w:t xml:space="preserve"> </w:t>
      </w:r>
      <w:r>
        <w:rPr>
          <w:lang w:val="en-GB"/>
        </w:rPr>
        <w:t xml:space="preserve">The BEC and BAC would do well to heed the warning of the Constitutional Court in </w:t>
      </w:r>
      <w:r w:rsidRPr="0098694F">
        <w:rPr>
          <w:i/>
          <w:iCs/>
          <w:lang w:val="en-GB"/>
        </w:rPr>
        <w:t>Allpay</w:t>
      </w:r>
      <w:r>
        <w:rPr>
          <w:lang w:val="en-GB"/>
        </w:rPr>
        <w:t xml:space="preserve">, </w:t>
      </w:r>
      <w:r w:rsidRPr="0098694F">
        <w:rPr>
          <w:i/>
          <w:iCs/>
          <w:lang w:val="en-GB"/>
        </w:rPr>
        <w:t>Supra</w:t>
      </w:r>
      <w:r>
        <w:rPr>
          <w:lang w:val="en-GB"/>
        </w:rPr>
        <w:t xml:space="preserve">, at [88] – [90] regarding the clarity of administrative action that is required.  See also the dictum in </w:t>
      </w:r>
      <w:r w:rsidRPr="0098694F">
        <w:rPr>
          <w:i/>
          <w:iCs/>
          <w:lang w:val="en-GB"/>
        </w:rPr>
        <w:t>Tekoa Consulting Engineers</w:t>
      </w:r>
      <w:r>
        <w:rPr>
          <w:lang w:val="en-GB"/>
        </w:rPr>
        <w:t xml:space="preserve">, </w:t>
      </w:r>
      <w:r w:rsidRPr="0098694F">
        <w:rPr>
          <w:i/>
          <w:iCs/>
          <w:lang w:val="en-GB"/>
        </w:rPr>
        <w:t>Supra</w:t>
      </w:r>
      <w:r>
        <w:rPr>
          <w:lang w:val="en-GB"/>
        </w:rPr>
        <w:t>, at [57] where the court noted that the conditions of tender must spell out, clearly and unambiguously, what is required of a bidder</w:t>
      </w:r>
      <w:r w:rsidRPr="00112C30">
        <w:rPr>
          <w:i/>
          <w:iCs/>
          <w:lang w:val="en-GB"/>
        </w:rPr>
        <w:t>: “</w:t>
      </w:r>
      <w:r w:rsidR="00112C30" w:rsidRPr="00112C30">
        <w:rPr>
          <w:i/>
          <w:iCs/>
          <w:lang w:val="en-GB"/>
        </w:rPr>
        <w:t>There must</w:t>
      </w:r>
      <w:r w:rsidRPr="00112C30">
        <w:rPr>
          <w:i/>
          <w:iCs/>
          <w:lang w:val="en-GB"/>
        </w:rPr>
        <w:t xml:space="preserve"> be no vagueness or lack of clarity about what const</w:t>
      </w:r>
      <w:r w:rsidR="009C07EA">
        <w:rPr>
          <w:i/>
          <w:iCs/>
          <w:lang w:val="en-GB"/>
        </w:rPr>
        <w:t>itut</w:t>
      </w:r>
      <w:r w:rsidRPr="00112C30">
        <w:rPr>
          <w:i/>
          <w:iCs/>
          <w:lang w:val="en-GB"/>
        </w:rPr>
        <w:t>es the “rules of the game</w:t>
      </w:r>
      <w:r w:rsidR="00112C30" w:rsidRPr="00112C30">
        <w:rPr>
          <w:i/>
          <w:iCs/>
          <w:lang w:val="en-GB"/>
        </w:rPr>
        <w:t>,</w:t>
      </w:r>
      <w:r w:rsidRPr="00112C30">
        <w:rPr>
          <w:i/>
          <w:iCs/>
          <w:lang w:val="en-GB"/>
        </w:rPr>
        <w:t>” so to speak.”</w:t>
      </w:r>
    </w:p>
  </w:footnote>
  <w:footnote w:id="53">
    <w:p w14:paraId="7FFAB101" w14:textId="65C55027" w:rsidR="00F96B1A" w:rsidRPr="00F96B1A" w:rsidRDefault="00F96B1A" w:rsidP="00C52A60">
      <w:pPr>
        <w:pStyle w:val="FootnoteText"/>
        <w:spacing w:beforeAutospacing="0"/>
        <w:contextualSpacing/>
        <w:jc w:val="both"/>
        <w:rPr>
          <w:lang w:val="en-GB"/>
        </w:rPr>
      </w:pPr>
      <w:r>
        <w:rPr>
          <w:rStyle w:val="FootnoteReference"/>
        </w:rPr>
        <w:footnoteRef/>
      </w:r>
      <w:r>
        <w:t xml:space="preserve"> </w:t>
      </w:r>
      <w:r w:rsidR="00D60467">
        <w:t xml:space="preserve">See in this regard </w:t>
      </w:r>
      <w:r w:rsidR="00D60467" w:rsidRPr="00D60467">
        <w:rPr>
          <w:i/>
          <w:iCs/>
        </w:rPr>
        <w:t>“An analysis of the criteria used to evaluate and award public tenders”</w:t>
      </w:r>
      <w:r w:rsidR="00D60467">
        <w:t xml:space="preserve"> by Prof Pheobe Bolton 2014 (1) </w:t>
      </w:r>
      <w:r w:rsidR="00D60467" w:rsidRPr="00D60467">
        <w:rPr>
          <w:i/>
          <w:iCs/>
        </w:rPr>
        <w:t>Speculum Juris</w:t>
      </w:r>
      <w:r w:rsidR="00D60467">
        <w:rPr>
          <w:i/>
          <w:iCs/>
        </w:rPr>
        <w:t>,</w:t>
      </w:r>
      <w:r w:rsidR="00D60467">
        <w:t xml:space="preserve"> who has helpfully analysed the relevant reported judgements pertaining to the issue of “objective criteria” and its application in practice.</w:t>
      </w:r>
    </w:p>
  </w:footnote>
  <w:footnote w:id="54">
    <w:p w14:paraId="6D240A03" w14:textId="6C669523" w:rsidR="00112C30" w:rsidRPr="00112C30" w:rsidRDefault="00112C30" w:rsidP="00C52A60">
      <w:pPr>
        <w:pStyle w:val="FootnoteText"/>
        <w:spacing w:beforeAutospacing="0"/>
        <w:contextualSpacing/>
        <w:jc w:val="both"/>
        <w:rPr>
          <w:lang w:val="en-GB"/>
        </w:rPr>
      </w:pPr>
      <w:r>
        <w:rPr>
          <w:rStyle w:val="FootnoteReference"/>
        </w:rPr>
        <w:footnoteRef/>
      </w:r>
      <w:r>
        <w:t xml:space="preserve"> </w:t>
      </w:r>
      <w:r>
        <w:rPr>
          <w:lang w:val="en-GB"/>
        </w:rPr>
        <w:t xml:space="preserve">This is consistent with the present tense utilised in </w:t>
      </w:r>
      <w:r w:rsidR="00635F43">
        <w:rPr>
          <w:lang w:val="en-GB"/>
        </w:rPr>
        <w:t>section 2 (1) (f) of the PPPFA as follows: “…</w:t>
      </w:r>
      <w:r w:rsidR="00635F43" w:rsidRPr="00695A01">
        <w:rPr>
          <w:rFonts w:eastAsia="Times New Roman" w:cstheme="minorHAnsi"/>
          <w:color w:val="000000"/>
          <w:sz w:val="18"/>
          <w:szCs w:val="18"/>
          <w:lang w:eastAsia="en-ZA"/>
        </w:rPr>
        <w:t xml:space="preserve">the contract must be awarded to the tenderer who </w:t>
      </w:r>
      <w:r w:rsidR="00635F43" w:rsidRPr="00635F43">
        <w:rPr>
          <w:rFonts w:eastAsia="Times New Roman" w:cstheme="minorHAnsi"/>
          <w:i/>
          <w:iCs/>
          <w:color w:val="000000"/>
          <w:sz w:val="18"/>
          <w:szCs w:val="18"/>
          <w:lang w:eastAsia="en-ZA"/>
        </w:rPr>
        <w:t xml:space="preserve">scores </w:t>
      </w:r>
      <w:r w:rsidR="00635F43" w:rsidRPr="00695A01">
        <w:rPr>
          <w:rFonts w:eastAsia="Times New Roman" w:cstheme="minorHAnsi"/>
          <w:color w:val="000000"/>
          <w:sz w:val="18"/>
          <w:szCs w:val="18"/>
          <w:lang w:eastAsia="en-ZA"/>
        </w:rPr>
        <w:t>the highest points</w:t>
      </w:r>
      <w:r w:rsidR="00635F43">
        <w:rPr>
          <w:rFonts w:eastAsia="Times New Roman" w:cstheme="minorHAnsi"/>
          <w:color w:val="000000"/>
          <w:sz w:val="18"/>
          <w:szCs w:val="18"/>
          <w:lang w:eastAsia="en-ZA"/>
        </w:rPr>
        <w:t>…”</w:t>
      </w:r>
    </w:p>
  </w:footnote>
  <w:footnote w:id="55">
    <w:p w14:paraId="77426CDB" w14:textId="6F4508DE" w:rsidR="000F1E03" w:rsidRPr="000F1E03" w:rsidRDefault="000F1E03" w:rsidP="00C52A60">
      <w:pPr>
        <w:pStyle w:val="FootnoteText"/>
        <w:spacing w:beforeAutospacing="0"/>
        <w:contextualSpacing/>
        <w:jc w:val="both"/>
        <w:rPr>
          <w:lang w:val="en-GB"/>
        </w:rPr>
      </w:pPr>
      <w:r>
        <w:rPr>
          <w:rStyle w:val="FootnoteReference"/>
        </w:rPr>
        <w:footnoteRef/>
      </w:r>
      <w:r>
        <w:t xml:space="preserve"> See </w:t>
      </w:r>
      <w:r w:rsidRPr="00635F43">
        <w:rPr>
          <w:i/>
          <w:iCs/>
        </w:rPr>
        <w:t>Wattpow</w:t>
      </w:r>
      <w:r w:rsidR="00635F43" w:rsidRPr="00635F43">
        <w:rPr>
          <w:i/>
          <w:iCs/>
        </w:rPr>
        <w:t>er Solutions CC</w:t>
      </w:r>
      <w:r w:rsidR="00635F43">
        <w:t xml:space="preserve">, </w:t>
      </w:r>
      <w:r w:rsidR="00635F43" w:rsidRPr="00635F43">
        <w:rPr>
          <w:i/>
          <w:iCs/>
        </w:rPr>
        <w:t>Supra</w:t>
      </w:r>
      <w:r w:rsidR="00635F43">
        <w:t>, for exam</w:t>
      </w:r>
      <w:r w:rsidR="00A97D93">
        <w:t xml:space="preserve">ple.  The issue is not with a due diligence exercise as long as the objective stays within the bounds of regulation 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729499"/>
      <w:docPartObj>
        <w:docPartGallery w:val="Page Numbers (Top of Page)"/>
        <w:docPartUnique/>
      </w:docPartObj>
    </w:sdtPr>
    <w:sdtEndPr>
      <w:rPr>
        <w:noProof/>
      </w:rPr>
    </w:sdtEndPr>
    <w:sdtContent>
      <w:p w14:paraId="544B6C39" w14:textId="3D2A07C0" w:rsidR="00A6636C" w:rsidRDefault="00A6636C">
        <w:pPr>
          <w:pStyle w:val="Header"/>
          <w:jc w:val="center"/>
        </w:pPr>
        <w:r>
          <w:fldChar w:fldCharType="begin"/>
        </w:r>
        <w:r>
          <w:instrText xml:space="preserve"> PAGE   \* MERGEFORMAT </w:instrText>
        </w:r>
        <w:r>
          <w:fldChar w:fldCharType="separate"/>
        </w:r>
        <w:r w:rsidR="000E2B31">
          <w:rPr>
            <w:noProof/>
          </w:rPr>
          <w:t>2</w:t>
        </w:r>
        <w:r>
          <w:rPr>
            <w:noProof/>
          </w:rPr>
          <w:fldChar w:fldCharType="end"/>
        </w:r>
      </w:p>
    </w:sdtContent>
  </w:sdt>
  <w:p w14:paraId="7691F2B4" w14:textId="77777777" w:rsidR="00A6636C" w:rsidRDefault="00A663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4"/>
    <w:multiLevelType w:val="multilevel"/>
    <w:tmpl w:val="FFFFFFFF"/>
    <w:lvl w:ilvl="0">
      <w:start w:val="18"/>
      <w:numFmt w:val="decimal"/>
      <w:lvlText w:val="[%1]"/>
      <w:lvlJc w:val="left"/>
      <w:pPr>
        <w:ind w:left="140" w:hanging="720"/>
      </w:pPr>
      <w:rPr>
        <w:rFonts w:ascii="Arial" w:hAnsi="Arial" w:cs="Arial"/>
        <w:b w:val="0"/>
        <w:bCs w:val="0"/>
        <w:i w:val="0"/>
        <w:iCs w:val="0"/>
        <w:w w:val="99"/>
        <w:sz w:val="24"/>
        <w:szCs w:val="24"/>
      </w:rPr>
    </w:lvl>
    <w:lvl w:ilvl="1">
      <w:numFmt w:val="bullet"/>
      <w:lvlText w:val="•"/>
      <w:lvlJc w:val="left"/>
      <w:pPr>
        <w:ind w:left="1058" w:hanging="720"/>
      </w:pPr>
    </w:lvl>
    <w:lvl w:ilvl="2">
      <w:numFmt w:val="bullet"/>
      <w:lvlText w:val="•"/>
      <w:lvlJc w:val="left"/>
      <w:pPr>
        <w:ind w:left="1977" w:hanging="720"/>
      </w:pPr>
    </w:lvl>
    <w:lvl w:ilvl="3">
      <w:numFmt w:val="bullet"/>
      <w:lvlText w:val="•"/>
      <w:lvlJc w:val="left"/>
      <w:pPr>
        <w:ind w:left="2895" w:hanging="720"/>
      </w:pPr>
    </w:lvl>
    <w:lvl w:ilvl="4">
      <w:numFmt w:val="bullet"/>
      <w:lvlText w:val="•"/>
      <w:lvlJc w:val="left"/>
      <w:pPr>
        <w:ind w:left="3814" w:hanging="720"/>
      </w:pPr>
    </w:lvl>
    <w:lvl w:ilvl="5">
      <w:numFmt w:val="bullet"/>
      <w:lvlText w:val="•"/>
      <w:lvlJc w:val="left"/>
      <w:pPr>
        <w:ind w:left="4733" w:hanging="720"/>
      </w:pPr>
    </w:lvl>
    <w:lvl w:ilvl="6">
      <w:numFmt w:val="bullet"/>
      <w:lvlText w:val="•"/>
      <w:lvlJc w:val="left"/>
      <w:pPr>
        <w:ind w:left="5651" w:hanging="720"/>
      </w:pPr>
    </w:lvl>
    <w:lvl w:ilvl="7">
      <w:numFmt w:val="bullet"/>
      <w:lvlText w:val="•"/>
      <w:lvlJc w:val="left"/>
      <w:pPr>
        <w:ind w:left="6570" w:hanging="720"/>
      </w:pPr>
    </w:lvl>
    <w:lvl w:ilvl="8">
      <w:numFmt w:val="bullet"/>
      <w:lvlText w:val="•"/>
      <w:lvlJc w:val="left"/>
      <w:pPr>
        <w:ind w:left="7489" w:hanging="720"/>
      </w:pPr>
    </w:lvl>
  </w:abstractNum>
  <w:abstractNum w:abstractNumId="1">
    <w:nsid w:val="05400580"/>
    <w:multiLevelType w:val="hybridMultilevel"/>
    <w:tmpl w:val="032E4BA4"/>
    <w:lvl w:ilvl="0" w:tplc="1C090017">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3C235191"/>
    <w:multiLevelType w:val="multilevel"/>
    <w:tmpl w:val="82C437A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
    <w:nsid w:val="3F6C46F4"/>
    <w:multiLevelType w:val="multilevel"/>
    <w:tmpl w:val="A1E6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D4E6162"/>
    <w:multiLevelType w:val="hybridMultilevel"/>
    <w:tmpl w:val="91F6EF4A"/>
    <w:lvl w:ilvl="0" w:tplc="6C4E5B14">
      <w:start w:val="1"/>
      <w:numFmt w:val="decimal"/>
      <w:lvlText w:val="[%1]"/>
      <w:lvlJc w:val="left"/>
      <w:pPr>
        <w:ind w:left="720" w:hanging="360"/>
      </w:pPr>
      <w:rPr>
        <w:rFonts w:hint="default"/>
        <w:i w:val="0"/>
        <w:i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E35B99"/>
    <w:multiLevelType w:val="hybridMultilevel"/>
    <w:tmpl w:val="431CF25E"/>
    <w:lvl w:ilvl="0" w:tplc="294EDA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D1D5A8F"/>
    <w:multiLevelType w:val="hybridMultilevel"/>
    <w:tmpl w:val="EDBCD1EA"/>
    <w:lvl w:ilvl="0" w:tplc="E11A2F8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EFE1393"/>
    <w:multiLevelType w:val="hybridMultilevel"/>
    <w:tmpl w:val="B3569A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C174444"/>
    <w:multiLevelType w:val="hybridMultilevel"/>
    <w:tmpl w:val="217AC3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D934A2B"/>
    <w:multiLevelType w:val="hybridMultilevel"/>
    <w:tmpl w:val="515C96F2"/>
    <w:lvl w:ilvl="0" w:tplc="08090001">
      <w:start w:val="1"/>
      <w:numFmt w:val="bullet"/>
      <w:lvlText w:val=""/>
      <w:lvlJc w:val="left"/>
      <w:pPr>
        <w:ind w:left="720" w:hanging="360"/>
      </w:pPr>
      <w:rPr>
        <w:rFonts w:ascii="Symbol" w:hAnsi="Symbol" w:hint="default"/>
        <w:i w:val="0"/>
        <w:iCs w:val="0"/>
        <w:sz w:val="28"/>
        <w:szCs w:val="2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2"/>
  </w:num>
  <w:num w:numId="5">
    <w:abstractNumId w:val="4"/>
  </w:num>
  <w:num w:numId="6">
    <w:abstractNumId w:val="3"/>
  </w:num>
  <w:num w:numId="7">
    <w:abstractNumId w:val="9"/>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AE"/>
    <w:rsid w:val="00000A80"/>
    <w:rsid w:val="0000221D"/>
    <w:rsid w:val="00003C07"/>
    <w:rsid w:val="000068DB"/>
    <w:rsid w:val="000109D1"/>
    <w:rsid w:val="0001211B"/>
    <w:rsid w:val="00023679"/>
    <w:rsid w:val="00026321"/>
    <w:rsid w:val="00036420"/>
    <w:rsid w:val="00041768"/>
    <w:rsid w:val="00046790"/>
    <w:rsid w:val="00054858"/>
    <w:rsid w:val="000630D3"/>
    <w:rsid w:val="00067EB4"/>
    <w:rsid w:val="000717F6"/>
    <w:rsid w:val="00072886"/>
    <w:rsid w:val="000777BD"/>
    <w:rsid w:val="00081AA4"/>
    <w:rsid w:val="000914A3"/>
    <w:rsid w:val="00091BF9"/>
    <w:rsid w:val="000A6775"/>
    <w:rsid w:val="000B1FFC"/>
    <w:rsid w:val="000B4091"/>
    <w:rsid w:val="000B71C2"/>
    <w:rsid w:val="000C1870"/>
    <w:rsid w:val="000C60EA"/>
    <w:rsid w:val="000D2202"/>
    <w:rsid w:val="000D525D"/>
    <w:rsid w:val="000D71C5"/>
    <w:rsid w:val="000E0BC5"/>
    <w:rsid w:val="000E2B31"/>
    <w:rsid w:val="000E3683"/>
    <w:rsid w:val="000E467A"/>
    <w:rsid w:val="000E6460"/>
    <w:rsid w:val="000E735F"/>
    <w:rsid w:val="000F0F99"/>
    <w:rsid w:val="000F1AEE"/>
    <w:rsid w:val="000F1E03"/>
    <w:rsid w:val="000F4B8A"/>
    <w:rsid w:val="00102F9A"/>
    <w:rsid w:val="00103AB0"/>
    <w:rsid w:val="0010678A"/>
    <w:rsid w:val="00107FD8"/>
    <w:rsid w:val="00112C30"/>
    <w:rsid w:val="00112C88"/>
    <w:rsid w:val="00116371"/>
    <w:rsid w:val="00117121"/>
    <w:rsid w:val="001204D8"/>
    <w:rsid w:val="001240DC"/>
    <w:rsid w:val="001352DD"/>
    <w:rsid w:val="00135C02"/>
    <w:rsid w:val="00140319"/>
    <w:rsid w:val="0014398B"/>
    <w:rsid w:val="00156A86"/>
    <w:rsid w:val="001660C9"/>
    <w:rsid w:val="00172A69"/>
    <w:rsid w:val="001748E9"/>
    <w:rsid w:val="00181EAA"/>
    <w:rsid w:val="001902B5"/>
    <w:rsid w:val="00190609"/>
    <w:rsid w:val="00193016"/>
    <w:rsid w:val="001973EA"/>
    <w:rsid w:val="00197C8A"/>
    <w:rsid w:val="001A5237"/>
    <w:rsid w:val="001B0F26"/>
    <w:rsid w:val="001C0C78"/>
    <w:rsid w:val="001C5EB0"/>
    <w:rsid w:val="001D0521"/>
    <w:rsid w:val="001D73FF"/>
    <w:rsid w:val="001E3443"/>
    <w:rsid w:val="001F06A7"/>
    <w:rsid w:val="001F133C"/>
    <w:rsid w:val="001F280D"/>
    <w:rsid w:val="001F3E9A"/>
    <w:rsid w:val="001F4E44"/>
    <w:rsid w:val="001F5988"/>
    <w:rsid w:val="00200A63"/>
    <w:rsid w:val="00202A52"/>
    <w:rsid w:val="00203C52"/>
    <w:rsid w:val="00203EF3"/>
    <w:rsid w:val="00204B48"/>
    <w:rsid w:val="00207D45"/>
    <w:rsid w:val="002156C0"/>
    <w:rsid w:val="00216556"/>
    <w:rsid w:val="0022015F"/>
    <w:rsid w:val="0024154D"/>
    <w:rsid w:val="00246AA6"/>
    <w:rsid w:val="00251810"/>
    <w:rsid w:val="00253FDD"/>
    <w:rsid w:val="00260603"/>
    <w:rsid w:val="002679F6"/>
    <w:rsid w:val="00280579"/>
    <w:rsid w:val="00287C75"/>
    <w:rsid w:val="00297B3E"/>
    <w:rsid w:val="002A7852"/>
    <w:rsid w:val="002B0E60"/>
    <w:rsid w:val="002B6837"/>
    <w:rsid w:val="002C1862"/>
    <w:rsid w:val="002C5476"/>
    <w:rsid w:val="002D4EB8"/>
    <w:rsid w:val="002E09E4"/>
    <w:rsid w:val="002E1AE9"/>
    <w:rsid w:val="002E609F"/>
    <w:rsid w:val="002F3FF0"/>
    <w:rsid w:val="002F4DD1"/>
    <w:rsid w:val="002F63D7"/>
    <w:rsid w:val="00302EAB"/>
    <w:rsid w:val="003213D9"/>
    <w:rsid w:val="003252D9"/>
    <w:rsid w:val="00330FAE"/>
    <w:rsid w:val="00334FC6"/>
    <w:rsid w:val="00335119"/>
    <w:rsid w:val="00347348"/>
    <w:rsid w:val="00350ADB"/>
    <w:rsid w:val="00350F1C"/>
    <w:rsid w:val="003623CF"/>
    <w:rsid w:val="00366A1D"/>
    <w:rsid w:val="00371A9B"/>
    <w:rsid w:val="00383164"/>
    <w:rsid w:val="003907A3"/>
    <w:rsid w:val="003914E0"/>
    <w:rsid w:val="00391974"/>
    <w:rsid w:val="00392EA3"/>
    <w:rsid w:val="00394187"/>
    <w:rsid w:val="003A31BD"/>
    <w:rsid w:val="003A7581"/>
    <w:rsid w:val="003C056A"/>
    <w:rsid w:val="003C1DDC"/>
    <w:rsid w:val="003C3A88"/>
    <w:rsid w:val="003D6101"/>
    <w:rsid w:val="003D7E8F"/>
    <w:rsid w:val="003E49E0"/>
    <w:rsid w:val="003F1EB6"/>
    <w:rsid w:val="003F588A"/>
    <w:rsid w:val="003F5B24"/>
    <w:rsid w:val="004030EB"/>
    <w:rsid w:val="00405AD9"/>
    <w:rsid w:val="004071EC"/>
    <w:rsid w:val="00410ADE"/>
    <w:rsid w:val="00411208"/>
    <w:rsid w:val="0041120E"/>
    <w:rsid w:val="00421EFE"/>
    <w:rsid w:val="00424C38"/>
    <w:rsid w:val="00433878"/>
    <w:rsid w:val="0044115B"/>
    <w:rsid w:val="00443EF6"/>
    <w:rsid w:val="004511A4"/>
    <w:rsid w:val="00453AE9"/>
    <w:rsid w:val="00461023"/>
    <w:rsid w:val="00462298"/>
    <w:rsid w:val="00462A99"/>
    <w:rsid w:val="00472B95"/>
    <w:rsid w:val="004749F1"/>
    <w:rsid w:val="004755FF"/>
    <w:rsid w:val="00482667"/>
    <w:rsid w:val="00487B85"/>
    <w:rsid w:val="004938E8"/>
    <w:rsid w:val="004A1706"/>
    <w:rsid w:val="004A46B4"/>
    <w:rsid w:val="004B095D"/>
    <w:rsid w:val="004B7E6C"/>
    <w:rsid w:val="004C007D"/>
    <w:rsid w:val="004C392C"/>
    <w:rsid w:val="004D7B7A"/>
    <w:rsid w:val="004E0B94"/>
    <w:rsid w:val="004E1908"/>
    <w:rsid w:val="004E28DC"/>
    <w:rsid w:val="004E7F6E"/>
    <w:rsid w:val="004F3A48"/>
    <w:rsid w:val="004F57B9"/>
    <w:rsid w:val="00503165"/>
    <w:rsid w:val="0050636C"/>
    <w:rsid w:val="00516FCA"/>
    <w:rsid w:val="00523DB6"/>
    <w:rsid w:val="00531487"/>
    <w:rsid w:val="00533355"/>
    <w:rsid w:val="00540210"/>
    <w:rsid w:val="00544FE5"/>
    <w:rsid w:val="00551B89"/>
    <w:rsid w:val="00561E98"/>
    <w:rsid w:val="00563947"/>
    <w:rsid w:val="00563BB4"/>
    <w:rsid w:val="00570C5F"/>
    <w:rsid w:val="00573D76"/>
    <w:rsid w:val="00577FD9"/>
    <w:rsid w:val="00593B6D"/>
    <w:rsid w:val="00595E10"/>
    <w:rsid w:val="00597603"/>
    <w:rsid w:val="005A0D31"/>
    <w:rsid w:val="005A20DA"/>
    <w:rsid w:val="005A3561"/>
    <w:rsid w:val="005A3BF6"/>
    <w:rsid w:val="005A4C9A"/>
    <w:rsid w:val="005B05B7"/>
    <w:rsid w:val="005B3EC1"/>
    <w:rsid w:val="005B4603"/>
    <w:rsid w:val="005B4CCB"/>
    <w:rsid w:val="005B6A9E"/>
    <w:rsid w:val="005C1717"/>
    <w:rsid w:val="005D471B"/>
    <w:rsid w:val="005E2C08"/>
    <w:rsid w:val="005E4619"/>
    <w:rsid w:val="005E6A35"/>
    <w:rsid w:val="005F002F"/>
    <w:rsid w:val="005F32A4"/>
    <w:rsid w:val="005F7627"/>
    <w:rsid w:val="00600722"/>
    <w:rsid w:val="006016AA"/>
    <w:rsid w:val="0060304D"/>
    <w:rsid w:val="00603652"/>
    <w:rsid w:val="00616E7E"/>
    <w:rsid w:val="00617EC5"/>
    <w:rsid w:val="006213DD"/>
    <w:rsid w:val="0062451C"/>
    <w:rsid w:val="00635F43"/>
    <w:rsid w:val="00637F68"/>
    <w:rsid w:val="00641A28"/>
    <w:rsid w:val="00642187"/>
    <w:rsid w:val="00644EEE"/>
    <w:rsid w:val="0066047C"/>
    <w:rsid w:val="00660F2E"/>
    <w:rsid w:val="00666A20"/>
    <w:rsid w:val="0067264B"/>
    <w:rsid w:val="00677A61"/>
    <w:rsid w:val="00681EF9"/>
    <w:rsid w:val="00686276"/>
    <w:rsid w:val="00687967"/>
    <w:rsid w:val="0069009D"/>
    <w:rsid w:val="00690605"/>
    <w:rsid w:val="006912D5"/>
    <w:rsid w:val="0069384A"/>
    <w:rsid w:val="00695B9B"/>
    <w:rsid w:val="00697D23"/>
    <w:rsid w:val="006A4162"/>
    <w:rsid w:val="006B1229"/>
    <w:rsid w:val="006D3501"/>
    <w:rsid w:val="006D35B7"/>
    <w:rsid w:val="006D3ACB"/>
    <w:rsid w:val="006E1763"/>
    <w:rsid w:val="006E60C5"/>
    <w:rsid w:val="006E693A"/>
    <w:rsid w:val="006F2576"/>
    <w:rsid w:val="007015C8"/>
    <w:rsid w:val="00714E06"/>
    <w:rsid w:val="00717826"/>
    <w:rsid w:val="007226ED"/>
    <w:rsid w:val="00724539"/>
    <w:rsid w:val="007256C1"/>
    <w:rsid w:val="0073131E"/>
    <w:rsid w:val="00731FA9"/>
    <w:rsid w:val="007320D1"/>
    <w:rsid w:val="0073558E"/>
    <w:rsid w:val="007360A2"/>
    <w:rsid w:val="0073656D"/>
    <w:rsid w:val="00742B97"/>
    <w:rsid w:val="00744339"/>
    <w:rsid w:val="00746501"/>
    <w:rsid w:val="00756E74"/>
    <w:rsid w:val="007606F3"/>
    <w:rsid w:val="0076731A"/>
    <w:rsid w:val="00770751"/>
    <w:rsid w:val="00773E12"/>
    <w:rsid w:val="0077606C"/>
    <w:rsid w:val="00776759"/>
    <w:rsid w:val="00777FF1"/>
    <w:rsid w:val="00782212"/>
    <w:rsid w:val="0078612D"/>
    <w:rsid w:val="00797599"/>
    <w:rsid w:val="007A48A2"/>
    <w:rsid w:val="007B02E6"/>
    <w:rsid w:val="007B7098"/>
    <w:rsid w:val="007B7DE6"/>
    <w:rsid w:val="007C59CD"/>
    <w:rsid w:val="007D023B"/>
    <w:rsid w:val="007D38F1"/>
    <w:rsid w:val="007D3A17"/>
    <w:rsid w:val="007F2A79"/>
    <w:rsid w:val="007F2B69"/>
    <w:rsid w:val="007F5706"/>
    <w:rsid w:val="007F7628"/>
    <w:rsid w:val="00802382"/>
    <w:rsid w:val="00804837"/>
    <w:rsid w:val="00824539"/>
    <w:rsid w:val="00833F7C"/>
    <w:rsid w:val="00833FBB"/>
    <w:rsid w:val="00842E63"/>
    <w:rsid w:val="00844CB1"/>
    <w:rsid w:val="008551E0"/>
    <w:rsid w:val="00857A5D"/>
    <w:rsid w:val="00863B43"/>
    <w:rsid w:val="00866BCD"/>
    <w:rsid w:val="00872D51"/>
    <w:rsid w:val="00874047"/>
    <w:rsid w:val="00874CF4"/>
    <w:rsid w:val="00880EC8"/>
    <w:rsid w:val="00882B7E"/>
    <w:rsid w:val="0088612A"/>
    <w:rsid w:val="008A1E7C"/>
    <w:rsid w:val="008A1F57"/>
    <w:rsid w:val="008A3A85"/>
    <w:rsid w:val="008A523E"/>
    <w:rsid w:val="008A6E86"/>
    <w:rsid w:val="008A7D5A"/>
    <w:rsid w:val="008B6FEC"/>
    <w:rsid w:val="008C066D"/>
    <w:rsid w:val="008C16EB"/>
    <w:rsid w:val="008C4895"/>
    <w:rsid w:val="008C62DA"/>
    <w:rsid w:val="008E0CA6"/>
    <w:rsid w:val="008E27D0"/>
    <w:rsid w:val="008E7BA8"/>
    <w:rsid w:val="008F2025"/>
    <w:rsid w:val="008F5F7C"/>
    <w:rsid w:val="0092229D"/>
    <w:rsid w:val="0093463F"/>
    <w:rsid w:val="009366C9"/>
    <w:rsid w:val="009427F0"/>
    <w:rsid w:val="0094656E"/>
    <w:rsid w:val="00951946"/>
    <w:rsid w:val="00956E47"/>
    <w:rsid w:val="00961B77"/>
    <w:rsid w:val="00963213"/>
    <w:rsid w:val="0096349F"/>
    <w:rsid w:val="00965D26"/>
    <w:rsid w:val="00965DB5"/>
    <w:rsid w:val="00965ECC"/>
    <w:rsid w:val="00974AB2"/>
    <w:rsid w:val="0098694F"/>
    <w:rsid w:val="009A0422"/>
    <w:rsid w:val="009A1480"/>
    <w:rsid w:val="009B36E9"/>
    <w:rsid w:val="009B3B36"/>
    <w:rsid w:val="009B4CEF"/>
    <w:rsid w:val="009B7366"/>
    <w:rsid w:val="009C07EA"/>
    <w:rsid w:val="009C6FCE"/>
    <w:rsid w:val="009D06AE"/>
    <w:rsid w:val="009D16AA"/>
    <w:rsid w:val="009D1B14"/>
    <w:rsid w:val="009D386C"/>
    <w:rsid w:val="009E465B"/>
    <w:rsid w:val="009F553C"/>
    <w:rsid w:val="00A009BB"/>
    <w:rsid w:val="00A04460"/>
    <w:rsid w:val="00A06B57"/>
    <w:rsid w:val="00A10050"/>
    <w:rsid w:val="00A1602F"/>
    <w:rsid w:val="00A17A6F"/>
    <w:rsid w:val="00A27B2E"/>
    <w:rsid w:val="00A372E6"/>
    <w:rsid w:val="00A475CE"/>
    <w:rsid w:val="00A515D6"/>
    <w:rsid w:val="00A53642"/>
    <w:rsid w:val="00A55F48"/>
    <w:rsid w:val="00A56B45"/>
    <w:rsid w:val="00A66241"/>
    <w:rsid w:val="00A6636C"/>
    <w:rsid w:val="00A66CF5"/>
    <w:rsid w:val="00A7258D"/>
    <w:rsid w:val="00A7615A"/>
    <w:rsid w:val="00A76486"/>
    <w:rsid w:val="00A86BC1"/>
    <w:rsid w:val="00A94152"/>
    <w:rsid w:val="00A97D93"/>
    <w:rsid w:val="00AA0F75"/>
    <w:rsid w:val="00AA1738"/>
    <w:rsid w:val="00AB601F"/>
    <w:rsid w:val="00AB795F"/>
    <w:rsid w:val="00AC1EC4"/>
    <w:rsid w:val="00AC41F9"/>
    <w:rsid w:val="00AD0A92"/>
    <w:rsid w:val="00AD2112"/>
    <w:rsid w:val="00AD4347"/>
    <w:rsid w:val="00AD6E85"/>
    <w:rsid w:val="00AD70CE"/>
    <w:rsid w:val="00AE142F"/>
    <w:rsid w:val="00AE4863"/>
    <w:rsid w:val="00AE602B"/>
    <w:rsid w:val="00AE6CB3"/>
    <w:rsid w:val="00AF0210"/>
    <w:rsid w:val="00AF62A7"/>
    <w:rsid w:val="00B007B0"/>
    <w:rsid w:val="00B00C76"/>
    <w:rsid w:val="00B0766B"/>
    <w:rsid w:val="00B12E92"/>
    <w:rsid w:val="00B22097"/>
    <w:rsid w:val="00B2728E"/>
    <w:rsid w:val="00B33A03"/>
    <w:rsid w:val="00B3758B"/>
    <w:rsid w:val="00B42832"/>
    <w:rsid w:val="00B63179"/>
    <w:rsid w:val="00B6749D"/>
    <w:rsid w:val="00B7175B"/>
    <w:rsid w:val="00B81C7C"/>
    <w:rsid w:val="00B84100"/>
    <w:rsid w:val="00B85E60"/>
    <w:rsid w:val="00B95C29"/>
    <w:rsid w:val="00B965E0"/>
    <w:rsid w:val="00BA6CA7"/>
    <w:rsid w:val="00BB18FE"/>
    <w:rsid w:val="00BC633C"/>
    <w:rsid w:val="00BD23CF"/>
    <w:rsid w:val="00BD2D15"/>
    <w:rsid w:val="00BD6864"/>
    <w:rsid w:val="00BE5FA6"/>
    <w:rsid w:val="00C100BD"/>
    <w:rsid w:val="00C10279"/>
    <w:rsid w:val="00C137A2"/>
    <w:rsid w:val="00C15F4B"/>
    <w:rsid w:val="00C17FD8"/>
    <w:rsid w:val="00C216E8"/>
    <w:rsid w:val="00C405A6"/>
    <w:rsid w:val="00C410AF"/>
    <w:rsid w:val="00C419F0"/>
    <w:rsid w:val="00C4681B"/>
    <w:rsid w:val="00C52A60"/>
    <w:rsid w:val="00C61A61"/>
    <w:rsid w:val="00C6241A"/>
    <w:rsid w:val="00C667F1"/>
    <w:rsid w:val="00C82A2C"/>
    <w:rsid w:val="00C91AD2"/>
    <w:rsid w:val="00C93576"/>
    <w:rsid w:val="00C936F1"/>
    <w:rsid w:val="00C948B1"/>
    <w:rsid w:val="00C956A2"/>
    <w:rsid w:val="00C962EE"/>
    <w:rsid w:val="00C96D9E"/>
    <w:rsid w:val="00CA218A"/>
    <w:rsid w:val="00CB3C64"/>
    <w:rsid w:val="00CB44A2"/>
    <w:rsid w:val="00CB456A"/>
    <w:rsid w:val="00CB6422"/>
    <w:rsid w:val="00CB74B0"/>
    <w:rsid w:val="00CD7775"/>
    <w:rsid w:val="00CE4BDF"/>
    <w:rsid w:val="00CF5500"/>
    <w:rsid w:val="00CF569D"/>
    <w:rsid w:val="00D06B2D"/>
    <w:rsid w:val="00D1140F"/>
    <w:rsid w:val="00D128E7"/>
    <w:rsid w:val="00D179B0"/>
    <w:rsid w:val="00D206DE"/>
    <w:rsid w:val="00D210A7"/>
    <w:rsid w:val="00D25237"/>
    <w:rsid w:val="00D2691F"/>
    <w:rsid w:val="00D404B3"/>
    <w:rsid w:val="00D44C26"/>
    <w:rsid w:val="00D46402"/>
    <w:rsid w:val="00D47B2F"/>
    <w:rsid w:val="00D55ED2"/>
    <w:rsid w:val="00D55F3D"/>
    <w:rsid w:val="00D60467"/>
    <w:rsid w:val="00D62C1A"/>
    <w:rsid w:val="00D708F1"/>
    <w:rsid w:val="00D74CB0"/>
    <w:rsid w:val="00D75B88"/>
    <w:rsid w:val="00DA782D"/>
    <w:rsid w:val="00DB2316"/>
    <w:rsid w:val="00DB48C6"/>
    <w:rsid w:val="00DB553D"/>
    <w:rsid w:val="00DC34B8"/>
    <w:rsid w:val="00DC7CDA"/>
    <w:rsid w:val="00DD070D"/>
    <w:rsid w:val="00DD3C47"/>
    <w:rsid w:val="00DD4F60"/>
    <w:rsid w:val="00DD50D7"/>
    <w:rsid w:val="00DE181E"/>
    <w:rsid w:val="00DE309B"/>
    <w:rsid w:val="00DF2903"/>
    <w:rsid w:val="00DF38DE"/>
    <w:rsid w:val="00DF522E"/>
    <w:rsid w:val="00DF6FCD"/>
    <w:rsid w:val="00DF79EB"/>
    <w:rsid w:val="00E035F1"/>
    <w:rsid w:val="00E13A98"/>
    <w:rsid w:val="00E16E2B"/>
    <w:rsid w:val="00E24C19"/>
    <w:rsid w:val="00E2540F"/>
    <w:rsid w:val="00E256F5"/>
    <w:rsid w:val="00E322DF"/>
    <w:rsid w:val="00E3691A"/>
    <w:rsid w:val="00E456FF"/>
    <w:rsid w:val="00E47B1D"/>
    <w:rsid w:val="00E56206"/>
    <w:rsid w:val="00E603B0"/>
    <w:rsid w:val="00E67DF9"/>
    <w:rsid w:val="00E715CD"/>
    <w:rsid w:val="00E72559"/>
    <w:rsid w:val="00E84C4D"/>
    <w:rsid w:val="00E84EAD"/>
    <w:rsid w:val="00E93D38"/>
    <w:rsid w:val="00E975F3"/>
    <w:rsid w:val="00EB0142"/>
    <w:rsid w:val="00EB5E9B"/>
    <w:rsid w:val="00EB7C7C"/>
    <w:rsid w:val="00ED5B87"/>
    <w:rsid w:val="00EE5C71"/>
    <w:rsid w:val="00EF6AF4"/>
    <w:rsid w:val="00F04F46"/>
    <w:rsid w:val="00F05C7B"/>
    <w:rsid w:val="00F1051C"/>
    <w:rsid w:val="00F21C9F"/>
    <w:rsid w:val="00F30219"/>
    <w:rsid w:val="00F40910"/>
    <w:rsid w:val="00F46D3E"/>
    <w:rsid w:val="00F5253A"/>
    <w:rsid w:val="00F559E0"/>
    <w:rsid w:val="00F5755B"/>
    <w:rsid w:val="00F577FF"/>
    <w:rsid w:val="00F6054A"/>
    <w:rsid w:val="00F64252"/>
    <w:rsid w:val="00F678B4"/>
    <w:rsid w:val="00F71754"/>
    <w:rsid w:val="00F947EA"/>
    <w:rsid w:val="00F96B1A"/>
    <w:rsid w:val="00FA0EFD"/>
    <w:rsid w:val="00FA139D"/>
    <w:rsid w:val="00FA36F1"/>
    <w:rsid w:val="00FA3F23"/>
    <w:rsid w:val="00FA659B"/>
    <w:rsid w:val="00FC1CFD"/>
    <w:rsid w:val="00FD0AD7"/>
    <w:rsid w:val="00FD362D"/>
    <w:rsid w:val="00FD52FC"/>
    <w:rsid w:val="00FD78F3"/>
    <w:rsid w:val="00FF10F9"/>
    <w:rsid w:val="00FF282F"/>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E3958"/>
  <w15:chartTrackingRefBased/>
  <w15:docId w15:val="{7E0C71AC-8A93-4658-9DE1-5CB7185E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FAE"/>
    <w:pPr>
      <w:spacing w:before="100" w:beforeAutospacing="1" w:after="0" w:line="360" w:lineRule="auto"/>
    </w:pPr>
    <w:rPr>
      <w:rFonts w:eastAsiaTheme="minorEastAsia"/>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87B85"/>
    <w:pPr>
      <w:spacing w:line="240" w:lineRule="auto"/>
    </w:pPr>
    <w:rPr>
      <w:rFonts w:asciiTheme="majorHAnsi" w:eastAsiaTheme="majorEastAsia" w:hAnsiTheme="majorHAnsi" w:cstheme="majorBidi"/>
      <w:sz w:val="20"/>
      <w:szCs w:val="20"/>
    </w:rPr>
  </w:style>
  <w:style w:type="paragraph" w:styleId="ListParagraph">
    <w:name w:val="List Paragraph"/>
    <w:basedOn w:val="Normal"/>
    <w:uiPriority w:val="34"/>
    <w:qFormat/>
    <w:rsid w:val="00330FAE"/>
    <w:pPr>
      <w:ind w:left="720"/>
      <w:contextualSpacing/>
    </w:pPr>
  </w:style>
  <w:style w:type="paragraph" w:customStyle="1" w:styleId="lg-section">
    <w:name w:val="lg-section"/>
    <w:basedOn w:val="Normal"/>
    <w:rsid w:val="00330FAE"/>
    <w:pPr>
      <w:spacing w:after="100" w:afterAutospacing="1" w:line="240" w:lineRule="auto"/>
    </w:pPr>
    <w:rPr>
      <w:rFonts w:ascii="Times New Roman" w:eastAsia="Times New Roman" w:hAnsi="Times New Roman" w:cs="Times New Roman"/>
      <w:sz w:val="24"/>
      <w:szCs w:val="24"/>
      <w:lang w:eastAsia="en-ZA"/>
      <w14:ligatures w14:val="standardContextual"/>
    </w:rPr>
  </w:style>
  <w:style w:type="paragraph" w:styleId="FootnoteText">
    <w:name w:val="footnote text"/>
    <w:basedOn w:val="Normal"/>
    <w:link w:val="FootnoteTextChar"/>
    <w:uiPriority w:val="99"/>
    <w:semiHidden/>
    <w:unhideWhenUsed/>
    <w:rsid w:val="00B63179"/>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63179"/>
    <w:rPr>
      <w:rFonts w:eastAsiaTheme="minorEastAsia"/>
      <w:sz w:val="20"/>
      <w:szCs w:val="20"/>
      <w:lang w:val="en-ZA" w:eastAsia="en-GB"/>
    </w:rPr>
  </w:style>
  <w:style w:type="character" w:styleId="FootnoteReference">
    <w:name w:val="footnote reference"/>
    <w:basedOn w:val="DefaultParagraphFont"/>
    <w:uiPriority w:val="99"/>
    <w:semiHidden/>
    <w:unhideWhenUsed/>
    <w:rsid w:val="00B63179"/>
    <w:rPr>
      <w:vertAlign w:val="superscript"/>
    </w:rPr>
  </w:style>
  <w:style w:type="character" w:styleId="Strong">
    <w:name w:val="Strong"/>
    <w:basedOn w:val="DefaultParagraphFont"/>
    <w:uiPriority w:val="22"/>
    <w:qFormat/>
    <w:rsid w:val="00B63179"/>
    <w:rPr>
      <w:b/>
      <w:bCs/>
    </w:rPr>
  </w:style>
  <w:style w:type="paragraph" w:styleId="Header">
    <w:name w:val="header"/>
    <w:basedOn w:val="Normal"/>
    <w:link w:val="HeaderChar"/>
    <w:uiPriority w:val="99"/>
    <w:unhideWhenUsed/>
    <w:rsid w:val="00A6636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A6636C"/>
    <w:rPr>
      <w:rFonts w:eastAsiaTheme="minorEastAsia"/>
      <w:lang w:val="en-ZA" w:eastAsia="en-GB"/>
    </w:rPr>
  </w:style>
  <w:style w:type="paragraph" w:styleId="Footer">
    <w:name w:val="footer"/>
    <w:basedOn w:val="Normal"/>
    <w:link w:val="FooterChar"/>
    <w:uiPriority w:val="99"/>
    <w:unhideWhenUsed/>
    <w:rsid w:val="00A6636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A6636C"/>
    <w:rPr>
      <w:rFonts w:eastAsiaTheme="minorEastAsia"/>
      <w:lang w:val="en-ZA" w:eastAsia="en-GB"/>
    </w:rPr>
  </w:style>
  <w:style w:type="table" w:styleId="TableGrid">
    <w:name w:val="Table Grid"/>
    <w:basedOn w:val="TableNormal"/>
    <w:uiPriority w:val="39"/>
    <w:rsid w:val="00D75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text"/>
    <w:basedOn w:val="Normal"/>
    <w:rsid w:val="00CD7775"/>
    <w:pPr>
      <w:spacing w:after="100" w:afterAutospacing="1" w:line="240" w:lineRule="auto"/>
    </w:pPr>
    <w:rPr>
      <w:rFonts w:ascii="Times New Roman" w:eastAsia="Times New Roman" w:hAnsi="Times New Roman" w:cs="Times New Roman"/>
      <w:sz w:val="24"/>
      <w:szCs w:val="24"/>
      <w:lang w:eastAsia="en-ZA"/>
      <w14:ligatures w14:val="standardContextual"/>
    </w:rPr>
  </w:style>
  <w:style w:type="paragraph" w:customStyle="1" w:styleId="Default">
    <w:name w:val="Default"/>
    <w:rsid w:val="003914E0"/>
    <w:pPr>
      <w:autoSpaceDE w:val="0"/>
      <w:autoSpaceDN w:val="0"/>
      <w:adjustRightInd w:val="0"/>
      <w:spacing w:after="0" w:line="240" w:lineRule="auto"/>
    </w:pPr>
    <w:rPr>
      <w:rFonts w:ascii="Arial" w:hAnsi="Arial" w:cs="Arial"/>
      <w:color w:val="000000"/>
      <w:sz w:val="24"/>
      <w:szCs w:val="24"/>
      <w:lang w:val="en-GB"/>
    </w:rPr>
  </w:style>
  <w:style w:type="paragraph" w:customStyle="1" w:styleId="wd-head1">
    <w:name w:val="wd-head1"/>
    <w:basedOn w:val="Normal"/>
    <w:rsid w:val="007D38F1"/>
    <w:pPr>
      <w:spacing w:after="100" w:afterAutospacing="1" w:line="240" w:lineRule="auto"/>
    </w:pPr>
    <w:rPr>
      <w:rFonts w:ascii="Times New Roman" w:eastAsia="Times New Roman" w:hAnsi="Times New Roman" w:cs="Times New Roman"/>
      <w:sz w:val="24"/>
      <w:szCs w:val="24"/>
      <w:lang w:eastAsia="en-ZA"/>
      <w14:ligatures w14:val="standardContextual"/>
    </w:rPr>
  </w:style>
  <w:style w:type="paragraph" w:styleId="BodyText">
    <w:name w:val="Body Text"/>
    <w:basedOn w:val="Normal"/>
    <w:link w:val="BodyTextChar"/>
    <w:uiPriority w:val="1"/>
    <w:qFormat/>
    <w:rsid w:val="00410ADE"/>
    <w:pPr>
      <w:widowControl w:val="0"/>
      <w:autoSpaceDE w:val="0"/>
      <w:autoSpaceDN w:val="0"/>
      <w:adjustRightInd w:val="0"/>
      <w:spacing w:before="0" w:beforeAutospacing="0" w:line="240" w:lineRule="auto"/>
    </w:pPr>
    <w:rPr>
      <w:rFonts w:ascii="Arial" w:hAnsi="Arial" w:cs="Arial"/>
      <w:sz w:val="24"/>
      <w:szCs w:val="24"/>
      <w:lang w:eastAsia="en-ZA"/>
    </w:rPr>
  </w:style>
  <w:style w:type="character" w:customStyle="1" w:styleId="BodyTextChar">
    <w:name w:val="Body Text Char"/>
    <w:basedOn w:val="DefaultParagraphFont"/>
    <w:link w:val="BodyText"/>
    <w:uiPriority w:val="1"/>
    <w:rsid w:val="00410ADE"/>
    <w:rPr>
      <w:rFonts w:ascii="Arial" w:eastAsiaTheme="minorEastAsia" w:hAnsi="Arial" w:cs="Arial"/>
      <w:sz w:val="24"/>
      <w:szCs w:val="24"/>
      <w:lang w:val="en-ZA" w:eastAsia="en-ZA"/>
    </w:rPr>
  </w:style>
  <w:style w:type="character" w:styleId="Hyperlink">
    <w:name w:val="Hyperlink"/>
    <w:basedOn w:val="DefaultParagraphFont"/>
    <w:uiPriority w:val="99"/>
    <w:semiHidden/>
    <w:unhideWhenUsed/>
    <w:rsid w:val="00561E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6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ylexisnexis.co.za/Content/CustomViewNew.aspx" TargetMode="External"/><Relationship Id="rId4" Type="http://schemas.openxmlformats.org/officeDocument/2006/relationships/settings" Target="settings.xml"/><Relationship Id="rId9" Type="http://schemas.openxmlformats.org/officeDocument/2006/relationships/hyperlink" Target="https://www.mylexisnexis.co.za/Content/CustomViewNew.asp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aflii.org/za/legis/num_act/pppfa2000450/" TargetMode="External"/><Relationship Id="rId1" Type="http://schemas.openxmlformats.org/officeDocument/2006/relationships/hyperlink" Target="http://www.saflii.org/cgi-bin/LawCite?cit=%5b2022%5d%20ZACC%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FBFCD-B1FB-45D3-B959-47A2CA11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11538</Words>
  <Characters>65767</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Shakira Frost</dc:creator>
  <cp:keywords/>
  <dc:description/>
  <cp:lastModifiedBy>Mokone</cp:lastModifiedBy>
  <cp:revision>3</cp:revision>
  <cp:lastPrinted>2023-07-27T20:00:00Z</cp:lastPrinted>
  <dcterms:created xsi:type="dcterms:W3CDTF">2023-10-10T09:41:00Z</dcterms:created>
  <dcterms:modified xsi:type="dcterms:W3CDTF">2023-10-10T09:45:00Z</dcterms:modified>
</cp:coreProperties>
</file>