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8C84" w14:textId="77777777" w:rsidR="001C24F5" w:rsidRPr="003304AD" w:rsidRDefault="001C24F5" w:rsidP="001C24F5">
      <w:pPr>
        <w:widowControl w:val="0"/>
        <w:spacing w:after="0" w:line="360" w:lineRule="auto"/>
        <w:jc w:val="center"/>
        <w:rPr>
          <w:rFonts w:ascii="Arial" w:eastAsia="Times New Roman" w:hAnsi="Arial" w:cs="Arial"/>
          <w:sz w:val="24"/>
          <w:szCs w:val="24"/>
        </w:rPr>
      </w:pPr>
      <w:r w:rsidRPr="003304AD">
        <w:rPr>
          <w:rFonts w:ascii="Arial" w:eastAsia="Times New Roman" w:hAnsi="Arial" w:cs="Arial"/>
          <w:noProof/>
          <w:sz w:val="24"/>
          <w:szCs w:val="24"/>
          <w:lang w:val="en-US"/>
        </w:rPr>
        <w:drawing>
          <wp:inline distT="0" distB="0" distL="0" distR="0" wp14:anchorId="30B1A875" wp14:editId="2A986B8B">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300E66B7" w14:textId="77777777" w:rsidR="001C24F5" w:rsidRPr="003304AD" w:rsidRDefault="001C24F5" w:rsidP="001C24F5">
      <w:pPr>
        <w:widowControl w:val="0"/>
        <w:spacing w:after="0" w:line="360" w:lineRule="auto"/>
        <w:jc w:val="center"/>
        <w:rPr>
          <w:rFonts w:ascii="Arial" w:eastAsia="Times New Roman" w:hAnsi="Arial" w:cs="Arial"/>
          <w:b/>
          <w:sz w:val="24"/>
          <w:szCs w:val="24"/>
        </w:rPr>
      </w:pPr>
      <w:r w:rsidRPr="003304AD">
        <w:rPr>
          <w:rFonts w:ascii="Arial" w:eastAsia="Times New Roman" w:hAnsi="Arial" w:cs="Arial"/>
          <w:b/>
          <w:sz w:val="24"/>
          <w:szCs w:val="24"/>
        </w:rPr>
        <w:t>IN THE HIGH COURT OF SOUTH AFRICA</w:t>
      </w:r>
    </w:p>
    <w:p w14:paraId="33874E40" w14:textId="77777777" w:rsidR="001C24F5" w:rsidRPr="003304AD" w:rsidRDefault="001C24F5" w:rsidP="001C24F5">
      <w:pPr>
        <w:widowControl w:val="0"/>
        <w:tabs>
          <w:tab w:val="right" w:pos="9213"/>
        </w:tabs>
        <w:spacing w:line="720" w:lineRule="auto"/>
        <w:jc w:val="center"/>
        <w:rPr>
          <w:rFonts w:ascii="Arial" w:hAnsi="Arial" w:cs="Arial"/>
          <w:sz w:val="24"/>
          <w:szCs w:val="24"/>
        </w:rPr>
      </w:pPr>
      <w:r w:rsidRPr="003304AD">
        <w:rPr>
          <w:rFonts w:ascii="Arial" w:hAnsi="Arial" w:cs="Arial"/>
          <w:b/>
          <w:sz w:val="24"/>
          <w:szCs w:val="24"/>
        </w:rPr>
        <w:t xml:space="preserve">EASTERN CAPE DIVISION, </w:t>
      </w:r>
      <w:r>
        <w:rPr>
          <w:rFonts w:ascii="Arial" w:hAnsi="Arial" w:cs="Arial"/>
          <w:b/>
          <w:sz w:val="24"/>
          <w:szCs w:val="24"/>
        </w:rPr>
        <w:t>MAKHANDA</w:t>
      </w:r>
    </w:p>
    <w:p w14:paraId="68D1C9EF" w14:textId="77777777" w:rsidR="001C24F5" w:rsidRDefault="001C24F5" w:rsidP="001C24F5">
      <w:pPr>
        <w:widowControl w:val="0"/>
        <w:tabs>
          <w:tab w:val="right" w:pos="9213"/>
        </w:tabs>
        <w:spacing w:line="240" w:lineRule="auto"/>
        <w:rPr>
          <w:rFonts w:ascii="Arial" w:hAnsi="Arial" w:cs="Arial"/>
          <w:sz w:val="24"/>
          <w:szCs w:val="24"/>
        </w:rPr>
      </w:pPr>
      <w:r w:rsidRPr="003304AD">
        <w:rPr>
          <w:rFonts w:ascii="Arial" w:hAnsi="Arial" w:cs="Arial"/>
          <w:sz w:val="24"/>
          <w:szCs w:val="24"/>
        </w:rPr>
        <w:tab/>
        <w:t xml:space="preserve">CASE NO. </w:t>
      </w:r>
      <w:r>
        <w:rPr>
          <w:rFonts w:ascii="Arial" w:hAnsi="Arial" w:cs="Arial"/>
          <w:sz w:val="24"/>
          <w:szCs w:val="24"/>
        </w:rPr>
        <w:t>CA&amp;R 31/2023</w:t>
      </w:r>
    </w:p>
    <w:p w14:paraId="533CCA1D" w14:textId="77777777" w:rsidR="001C24F5" w:rsidRDefault="001C24F5" w:rsidP="001C24F5">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5E2290C7" w14:textId="77777777" w:rsidR="001C24F5" w:rsidRDefault="001C24F5" w:rsidP="001C24F5">
      <w:pPr>
        <w:widowControl w:val="0"/>
        <w:tabs>
          <w:tab w:val="right" w:pos="9213"/>
        </w:tabs>
        <w:spacing w:line="240" w:lineRule="auto"/>
        <w:rPr>
          <w:rFonts w:ascii="Arial" w:hAnsi="Arial" w:cs="Arial"/>
          <w:b/>
          <w:sz w:val="24"/>
          <w:szCs w:val="24"/>
        </w:rPr>
      </w:pPr>
      <w:r>
        <w:rPr>
          <w:rFonts w:ascii="Arial" w:hAnsi="Arial" w:cs="Arial"/>
          <w:b/>
          <w:sz w:val="24"/>
          <w:szCs w:val="24"/>
        </w:rPr>
        <w:t>MZIKAYISE JULY</w:t>
      </w:r>
      <w:r w:rsidRPr="003304AD">
        <w:rPr>
          <w:rFonts w:ascii="Arial" w:hAnsi="Arial" w:cs="Arial"/>
          <w:b/>
          <w:sz w:val="24"/>
          <w:szCs w:val="24"/>
        </w:rPr>
        <w:tab/>
      </w:r>
      <w:r>
        <w:rPr>
          <w:rFonts w:ascii="Arial" w:hAnsi="Arial" w:cs="Arial"/>
          <w:b/>
          <w:sz w:val="24"/>
          <w:szCs w:val="24"/>
        </w:rPr>
        <w:t>Appellant</w:t>
      </w:r>
    </w:p>
    <w:p w14:paraId="6F18FEC0" w14:textId="77777777" w:rsidR="001C24F5" w:rsidRDefault="001C24F5" w:rsidP="001C24F5">
      <w:pPr>
        <w:widowControl w:val="0"/>
        <w:tabs>
          <w:tab w:val="right" w:pos="9213"/>
        </w:tabs>
        <w:spacing w:line="240" w:lineRule="auto"/>
        <w:rPr>
          <w:rFonts w:ascii="Arial" w:hAnsi="Arial" w:cs="Arial"/>
          <w:b/>
          <w:sz w:val="24"/>
          <w:szCs w:val="24"/>
        </w:rPr>
      </w:pPr>
    </w:p>
    <w:p w14:paraId="2CF21180" w14:textId="77777777" w:rsidR="001C24F5" w:rsidRDefault="001C24F5" w:rsidP="001C24F5">
      <w:pPr>
        <w:widowControl w:val="0"/>
        <w:tabs>
          <w:tab w:val="right" w:pos="9213"/>
        </w:tabs>
        <w:spacing w:line="240" w:lineRule="auto"/>
        <w:rPr>
          <w:rFonts w:ascii="Arial" w:hAnsi="Arial" w:cs="Arial"/>
          <w:sz w:val="24"/>
          <w:szCs w:val="24"/>
        </w:rPr>
      </w:pPr>
      <w:r>
        <w:rPr>
          <w:rFonts w:ascii="Arial" w:hAnsi="Arial" w:cs="Arial"/>
          <w:sz w:val="24"/>
          <w:szCs w:val="24"/>
        </w:rPr>
        <w:t>and</w:t>
      </w:r>
    </w:p>
    <w:p w14:paraId="5D9617D1" w14:textId="77777777" w:rsidR="001C24F5" w:rsidRDefault="001C24F5" w:rsidP="001C24F5">
      <w:pPr>
        <w:widowControl w:val="0"/>
        <w:tabs>
          <w:tab w:val="right" w:pos="9213"/>
        </w:tabs>
        <w:spacing w:line="240" w:lineRule="auto"/>
        <w:rPr>
          <w:rFonts w:ascii="Arial" w:hAnsi="Arial" w:cs="Arial"/>
          <w:sz w:val="24"/>
          <w:szCs w:val="24"/>
        </w:rPr>
      </w:pPr>
    </w:p>
    <w:p w14:paraId="621C8F3B" w14:textId="77777777" w:rsidR="001C24F5" w:rsidRPr="00E80AB7" w:rsidRDefault="001C24F5" w:rsidP="001C24F5">
      <w:pPr>
        <w:widowControl w:val="0"/>
        <w:tabs>
          <w:tab w:val="right" w:pos="9213"/>
        </w:tabs>
        <w:spacing w:line="240" w:lineRule="auto"/>
        <w:rPr>
          <w:rFonts w:ascii="Arial" w:hAnsi="Arial" w:cs="Arial"/>
          <w:b/>
          <w:sz w:val="24"/>
          <w:szCs w:val="24"/>
          <w:lang w:val="en-GB"/>
        </w:rPr>
      </w:pPr>
      <w:r>
        <w:rPr>
          <w:rFonts w:ascii="Arial" w:hAnsi="Arial" w:cs="Arial"/>
          <w:b/>
          <w:sz w:val="24"/>
          <w:szCs w:val="24"/>
        </w:rPr>
        <w:t>THE STATE</w:t>
      </w:r>
      <w:r w:rsidRPr="003304AD">
        <w:rPr>
          <w:rFonts w:ascii="Arial" w:hAnsi="Arial" w:cs="Arial"/>
          <w:b/>
          <w:sz w:val="24"/>
          <w:szCs w:val="24"/>
        </w:rPr>
        <w:tab/>
      </w:r>
      <w:r>
        <w:rPr>
          <w:rFonts w:ascii="Arial" w:hAnsi="Arial" w:cs="Arial"/>
          <w:b/>
          <w:sz w:val="24"/>
          <w:szCs w:val="24"/>
        </w:rPr>
        <w:t>Respondent</w:t>
      </w:r>
    </w:p>
    <w:p w14:paraId="7CAFB042" w14:textId="77777777" w:rsidR="00537AB8" w:rsidRPr="00537AB8" w:rsidRDefault="00537AB8" w:rsidP="00537AB8">
      <w:pPr>
        <w:spacing w:line="360" w:lineRule="auto"/>
        <w:rPr>
          <w:rFonts w:ascii="Arial" w:hAnsi="Arial" w:cs="Arial"/>
          <w:sz w:val="24"/>
          <w:szCs w:val="24"/>
        </w:rPr>
      </w:pPr>
      <w:r w:rsidRPr="00537AB8">
        <w:rPr>
          <w:rFonts w:ascii="Arial" w:hAnsi="Arial" w:cs="Arial"/>
          <w:sz w:val="24"/>
          <w:szCs w:val="24"/>
        </w:rPr>
        <w:t>______________________________________________________________________</w:t>
      </w:r>
    </w:p>
    <w:p w14:paraId="7B09CE68" w14:textId="77777777" w:rsidR="00537AB8" w:rsidRPr="00537AB8" w:rsidRDefault="00537AB8" w:rsidP="00537AB8">
      <w:pPr>
        <w:spacing w:line="360" w:lineRule="auto"/>
        <w:jc w:val="center"/>
        <w:rPr>
          <w:rFonts w:ascii="Arial" w:hAnsi="Arial" w:cs="Arial"/>
          <w:b/>
          <w:bCs/>
          <w:sz w:val="24"/>
          <w:szCs w:val="24"/>
        </w:rPr>
      </w:pPr>
      <w:r w:rsidRPr="00537AB8">
        <w:rPr>
          <w:rFonts w:ascii="Arial" w:hAnsi="Arial" w:cs="Arial"/>
          <w:b/>
          <w:bCs/>
          <w:sz w:val="24"/>
          <w:szCs w:val="24"/>
        </w:rPr>
        <w:t>JUDGMENT</w:t>
      </w:r>
    </w:p>
    <w:p w14:paraId="4240647E" w14:textId="77777777" w:rsidR="00537AB8" w:rsidRPr="00537AB8" w:rsidRDefault="00537AB8" w:rsidP="00537AB8">
      <w:pPr>
        <w:spacing w:line="360" w:lineRule="auto"/>
        <w:rPr>
          <w:rFonts w:ascii="Arial" w:hAnsi="Arial" w:cs="Arial"/>
          <w:sz w:val="24"/>
          <w:szCs w:val="24"/>
        </w:rPr>
      </w:pPr>
      <w:r w:rsidRPr="00537AB8">
        <w:rPr>
          <w:rFonts w:ascii="Arial" w:hAnsi="Arial" w:cs="Arial"/>
          <w:sz w:val="24"/>
          <w:szCs w:val="24"/>
        </w:rPr>
        <w:t>______________________________________________________________________</w:t>
      </w:r>
    </w:p>
    <w:p w14:paraId="3B5C013A" w14:textId="77777777" w:rsidR="00537AB8" w:rsidRPr="00537AB8" w:rsidRDefault="00537AB8" w:rsidP="00537AB8">
      <w:pPr>
        <w:spacing w:line="360" w:lineRule="auto"/>
        <w:rPr>
          <w:rFonts w:ascii="Arial" w:hAnsi="Arial" w:cs="Arial"/>
          <w:b/>
          <w:bCs/>
          <w:sz w:val="24"/>
          <w:szCs w:val="24"/>
        </w:rPr>
      </w:pPr>
      <w:r w:rsidRPr="00537AB8">
        <w:rPr>
          <w:rFonts w:ascii="Arial" w:hAnsi="Arial" w:cs="Arial"/>
          <w:b/>
          <w:bCs/>
          <w:sz w:val="24"/>
          <w:szCs w:val="24"/>
        </w:rPr>
        <w:t>LAING J</w:t>
      </w:r>
    </w:p>
    <w:p w14:paraId="53A7E489" w14:textId="77777777" w:rsidR="009411EB" w:rsidRDefault="009411EB" w:rsidP="00537AB8">
      <w:pPr>
        <w:spacing w:line="360" w:lineRule="auto"/>
        <w:rPr>
          <w:rFonts w:ascii="Arial" w:hAnsi="Arial" w:cs="Arial"/>
          <w:sz w:val="24"/>
          <w:szCs w:val="24"/>
        </w:rPr>
      </w:pPr>
    </w:p>
    <w:p w14:paraId="6AF74D22" w14:textId="0C99994F" w:rsidR="00537AB8" w:rsidRPr="00242CFF" w:rsidRDefault="00242CFF" w:rsidP="00242CFF">
      <w:pPr>
        <w:spacing w:line="360" w:lineRule="auto"/>
        <w:jc w:val="both"/>
        <w:rPr>
          <w:rFonts w:ascii="Arial" w:hAnsi="Arial" w:cs="Arial"/>
          <w:sz w:val="24"/>
          <w:szCs w:val="24"/>
        </w:rPr>
      </w:pPr>
      <w:r>
        <w:rPr>
          <w:rFonts w:ascii="Arial" w:hAnsi="Arial" w:cs="Arial"/>
          <w:sz w:val="24"/>
          <w:szCs w:val="24"/>
        </w:rPr>
        <w:t>[</w:t>
      </w:r>
      <w:bookmarkStart w:id="0" w:name="_GoBack"/>
      <w:bookmarkEnd w:id="0"/>
      <w:r>
        <w:rPr>
          <w:rFonts w:ascii="Arial" w:hAnsi="Arial" w:cs="Arial"/>
          <w:sz w:val="24"/>
          <w:szCs w:val="24"/>
        </w:rPr>
        <w:t>1]</w:t>
      </w:r>
      <w:r>
        <w:rPr>
          <w:rFonts w:ascii="Arial" w:hAnsi="Arial" w:cs="Arial"/>
          <w:sz w:val="24"/>
          <w:szCs w:val="24"/>
        </w:rPr>
        <w:tab/>
      </w:r>
      <w:r w:rsidR="00537AB8" w:rsidRPr="00242CFF">
        <w:rPr>
          <w:rFonts w:ascii="Arial" w:hAnsi="Arial" w:cs="Arial"/>
          <w:sz w:val="24"/>
          <w:szCs w:val="24"/>
        </w:rPr>
        <w:t xml:space="preserve">This is an appeal against </w:t>
      </w:r>
      <w:r w:rsidR="00DA4098" w:rsidRPr="00242CFF">
        <w:rPr>
          <w:rFonts w:ascii="Arial" w:hAnsi="Arial" w:cs="Arial"/>
          <w:sz w:val="24"/>
          <w:szCs w:val="24"/>
        </w:rPr>
        <w:t xml:space="preserve">the appellant’s </w:t>
      </w:r>
      <w:r w:rsidR="00020EBC" w:rsidRPr="00242CFF">
        <w:rPr>
          <w:rFonts w:ascii="Arial" w:hAnsi="Arial" w:cs="Arial"/>
          <w:sz w:val="24"/>
          <w:szCs w:val="24"/>
        </w:rPr>
        <w:t xml:space="preserve">conviction </w:t>
      </w:r>
      <w:r w:rsidR="00DA4098" w:rsidRPr="00242CFF">
        <w:rPr>
          <w:rFonts w:ascii="Arial" w:hAnsi="Arial" w:cs="Arial"/>
          <w:sz w:val="24"/>
          <w:szCs w:val="24"/>
        </w:rPr>
        <w:t xml:space="preserve">for the rape of a minor, </w:t>
      </w:r>
      <w:r w:rsidR="001424A2" w:rsidRPr="00242CFF">
        <w:rPr>
          <w:rFonts w:ascii="Arial" w:hAnsi="Arial" w:cs="Arial"/>
          <w:sz w:val="24"/>
          <w:szCs w:val="24"/>
        </w:rPr>
        <w:t>decided</w:t>
      </w:r>
      <w:r w:rsidR="00537AB8" w:rsidRPr="00242CFF">
        <w:rPr>
          <w:rFonts w:ascii="Arial" w:hAnsi="Arial" w:cs="Arial"/>
          <w:sz w:val="24"/>
          <w:szCs w:val="24"/>
        </w:rPr>
        <w:t xml:space="preserve"> </w:t>
      </w:r>
      <w:r w:rsidR="00AE4398" w:rsidRPr="00242CFF">
        <w:rPr>
          <w:rFonts w:ascii="Arial" w:hAnsi="Arial" w:cs="Arial"/>
          <w:sz w:val="24"/>
          <w:szCs w:val="24"/>
        </w:rPr>
        <w:t xml:space="preserve">in </w:t>
      </w:r>
      <w:r w:rsidR="00537AB8" w:rsidRPr="00242CFF">
        <w:rPr>
          <w:rFonts w:ascii="Arial" w:hAnsi="Arial" w:cs="Arial"/>
          <w:sz w:val="24"/>
          <w:szCs w:val="24"/>
        </w:rPr>
        <w:t>the Gqeberha Regional Court</w:t>
      </w:r>
      <w:r w:rsidR="00AE4398" w:rsidRPr="00242CFF">
        <w:rPr>
          <w:rFonts w:ascii="Arial" w:hAnsi="Arial" w:cs="Arial"/>
          <w:sz w:val="24"/>
          <w:szCs w:val="24"/>
        </w:rPr>
        <w:t>.</w:t>
      </w:r>
      <w:r w:rsidR="00DA4098" w:rsidRPr="00242CFF">
        <w:rPr>
          <w:rFonts w:ascii="Arial" w:hAnsi="Arial" w:cs="Arial"/>
          <w:sz w:val="24"/>
          <w:szCs w:val="24"/>
        </w:rPr>
        <w:t xml:space="preserve"> The appellant also appeals against his sentence of eight years’ imprisonment.</w:t>
      </w:r>
    </w:p>
    <w:p w14:paraId="2C570ABD" w14:textId="77777777" w:rsidR="00782580" w:rsidRPr="009411EB" w:rsidRDefault="00782580" w:rsidP="00782580">
      <w:pPr>
        <w:pStyle w:val="ListParagraph"/>
        <w:spacing w:line="360" w:lineRule="auto"/>
        <w:ind w:left="0"/>
        <w:jc w:val="both"/>
        <w:rPr>
          <w:rFonts w:ascii="Arial" w:hAnsi="Arial" w:cs="Arial"/>
          <w:sz w:val="24"/>
          <w:szCs w:val="24"/>
        </w:rPr>
      </w:pPr>
    </w:p>
    <w:p w14:paraId="2243B207" w14:textId="77777777" w:rsidR="004652E1" w:rsidRDefault="004652E1" w:rsidP="009411EB">
      <w:pPr>
        <w:spacing w:line="360" w:lineRule="auto"/>
        <w:jc w:val="both"/>
        <w:rPr>
          <w:rFonts w:ascii="Arial" w:hAnsi="Arial" w:cs="Arial"/>
          <w:b/>
          <w:bCs/>
          <w:i/>
          <w:iCs/>
          <w:sz w:val="24"/>
          <w:szCs w:val="24"/>
        </w:rPr>
      </w:pPr>
      <w:r>
        <w:rPr>
          <w:rFonts w:ascii="Arial" w:hAnsi="Arial" w:cs="Arial"/>
          <w:b/>
          <w:bCs/>
          <w:sz w:val="24"/>
          <w:szCs w:val="24"/>
        </w:rPr>
        <w:t xml:space="preserve">Proceedings in the court </w:t>
      </w:r>
      <w:r w:rsidRPr="004652E1">
        <w:rPr>
          <w:rFonts w:ascii="Arial" w:hAnsi="Arial" w:cs="Arial"/>
          <w:b/>
          <w:bCs/>
          <w:i/>
          <w:iCs/>
          <w:sz w:val="24"/>
          <w:szCs w:val="24"/>
        </w:rPr>
        <w:t>a quo</w:t>
      </w:r>
    </w:p>
    <w:p w14:paraId="1A118751" w14:textId="77777777" w:rsidR="00782580" w:rsidRPr="004652E1" w:rsidRDefault="00782580" w:rsidP="009411EB">
      <w:pPr>
        <w:spacing w:line="360" w:lineRule="auto"/>
        <w:jc w:val="both"/>
        <w:rPr>
          <w:rFonts w:ascii="Arial" w:hAnsi="Arial" w:cs="Arial"/>
          <w:b/>
          <w:bCs/>
          <w:sz w:val="24"/>
          <w:szCs w:val="24"/>
        </w:rPr>
      </w:pPr>
    </w:p>
    <w:p w14:paraId="2D8100EC" w14:textId="1B4C0491" w:rsidR="009411EB" w:rsidRPr="00242CFF" w:rsidRDefault="00242CFF" w:rsidP="00242CFF">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9B088E" w:rsidRPr="00242CFF">
        <w:rPr>
          <w:rFonts w:ascii="Arial" w:hAnsi="Arial" w:cs="Arial"/>
          <w:sz w:val="24"/>
          <w:szCs w:val="24"/>
        </w:rPr>
        <w:t>It was</w:t>
      </w:r>
      <w:r w:rsidR="004652E1" w:rsidRPr="00242CFF">
        <w:rPr>
          <w:rFonts w:ascii="Arial" w:hAnsi="Arial" w:cs="Arial"/>
          <w:sz w:val="24"/>
          <w:szCs w:val="24"/>
        </w:rPr>
        <w:t xml:space="preserve"> alleged that</w:t>
      </w:r>
      <w:r w:rsidR="009B088E" w:rsidRPr="00242CFF">
        <w:rPr>
          <w:rFonts w:ascii="Arial" w:hAnsi="Arial" w:cs="Arial"/>
          <w:sz w:val="24"/>
          <w:szCs w:val="24"/>
        </w:rPr>
        <w:t>, during 2018,</w:t>
      </w:r>
      <w:r w:rsidR="004652E1" w:rsidRPr="00242CFF">
        <w:rPr>
          <w:rFonts w:ascii="Arial" w:hAnsi="Arial" w:cs="Arial"/>
          <w:sz w:val="24"/>
          <w:szCs w:val="24"/>
        </w:rPr>
        <w:t xml:space="preserve"> </w:t>
      </w:r>
      <w:r w:rsidR="009B088E" w:rsidRPr="00242CFF">
        <w:rPr>
          <w:rFonts w:ascii="Arial" w:hAnsi="Arial" w:cs="Arial"/>
          <w:sz w:val="24"/>
          <w:szCs w:val="24"/>
        </w:rPr>
        <w:t>t</w:t>
      </w:r>
      <w:r w:rsidR="004652E1" w:rsidRPr="00242CFF">
        <w:rPr>
          <w:rFonts w:ascii="Arial" w:hAnsi="Arial" w:cs="Arial"/>
          <w:sz w:val="24"/>
          <w:szCs w:val="24"/>
        </w:rPr>
        <w:t xml:space="preserve">he </w:t>
      </w:r>
      <w:r w:rsidR="009B088E" w:rsidRPr="00242CFF">
        <w:rPr>
          <w:rFonts w:ascii="Arial" w:hAnsi="Arial" w:cs="Arial"/>
          <w:sz w:val="24"/>
          <w:szCs w:val="24"/>
        </w:rPr>
        <w:t xml:space="preserve">appellant </w:t>
      </w:r>
      <w:r w:rsidR="004652E1" w:rsidRPr="00242CFF">
        <w:rPr>
          <w:rFonts w:ascii="Arial" w:hAnsi="Arial" w:cs="Arial"/>
          <w:sz w:val="24"/>
          <w:szCs w:val="24"/>
        </w:rPr>
        <w:t xml:space="preserve">raped the complainant, SM, when she was nine years old. </w:t>
      </w:r>
      <w:r w:rsidR="009B088E" w:rsidRPr="00242CFF">
        <w:rPr>
          <w:rFonts w:ascii="Arial" w:hAnsi="Arial" w:cs="Arial"/>
          <w:sz w:val="24"/>
          <w:szCs w:val="24"/>
        </w:rPr>
        <w:t xml:space="preserve">The appellant </w:t>
      </w:r>
      <w:r w:rsidR="00AE4398" w:rsidRPr="00242CFF">
        <w:rPr>
          <w:rFonts w:ascii="Arial" w:hAnsi="Arial" w:cs="Arial"/>
          <w:sz w:val="24"/>
          <w:szCs w:val="24"/>
        </w:rPr>
        <w:t xml:space="preserve">had been 14 years old at the time. He </w:t>
      </w:r>
      <w:r w:rsidR="009B088E" w:rsidRPr="00242CFF">
        <w:rPr>
          <w:rFonts w:ascii="Arial" w:hAnsi="Arial" w:cs="Arial"/>
          <w:sz w:val="24"/>
          <w:szCs w:val="24"/>
        </w:rPr>
        <w:t>pleaded not guilty to the charge</w:t>
      </w:r>
      <w:r w:rsidR="00AE4398" w:rsidRPr="00242CFF">
        <w:rPr>
          <w:rFonts w:ascii="Arial" w:hAnsi="Arial" w:cs="Arial"/>
          <w:sz w:val="24"/>
          <w:szCs w:val="24"/>
        </w:rPr>
        <w:t xml:space="preserve"> and t</w:t>
      </w:r>
      <w:r w:rsidR="004652E1" w:rsidRPr="00242CFF">
        <w:rPr>
          <w:rFonts w:ascii="Arial" w:hAnsi="Arial" w:cs="Arial"/>
          <w:sz w:val="24"/>
          <w:szCs w:val="24"/>
        </w:rPr>
        <w:t>he matter proceeded to trial</w:t>
      </w:r>
      <w:r w:rsidR="001A07B6" w:rsidRPr="00242CFF">
        <w:rPr>
          <w:rFonts w:ascii="Arial" w:hAnsi="Arial" w:cs="Arial"/>
          <w:sz w:val="24"/>
          <w:szCs w:val="24"/>
        </w:rPr>
        <w:t>.</w:t>
      </w:r>
    </w:p>
    <w:p w14:paraId="490D370C" w14:textId="77777777" w:rsidR="00782580" w:rsidRDefault="00782580" w:rsidP="00782580">
      <w:pPr>
        <w:pStyle w:val="ListParagraph"/>
        <w:spacing w:line="360" w:lineRule="auto"/>
        <w:ind w:left="0"/>
        <w:jc w:val="both"/>
        <w:rPr>
          <w:rFonts w:ascii="Arial" w:hAnsi="Arial" w:cs="Arial"/>
          <w:sz w:val="24"/>
          <w:szCs w:val="24"/>
        </w:rPr>
      </w:pPr>
    </w:p>
    <w:p w14:paraId="1B05B4FB" w14:textId="18680CE9"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A07B6" w:rsidRPr="00242CFF">
        <w:rPr>
          <w:rFonts w:ascii="Arial" w:hAnsi="Arial" w:cs="Arial"/>
          <w:sz w:val="24"/>
          <w:szCs w:val="24"/>
        </w:rPr>
        <w:t>T</w:t>
      </w:r>
      <w:r w:rsidR="004652E1" w:rsidRPr="00242CFF">
        <w:rPr>
          <w:rFonts w:ascii="Arial" w:hAnsi="Arial" w:cs="Arial"/>
          <w:sz w:val="24"/>
          <w:szCs w:val="24"/>
        </w:rPr>
        <w:t>he state led the evidence of the complainant in camera</w:t>
      </w:r>
      <w:r w:rsidR="00813FC5" w:rsidRPr="00242CFF">
        <w:rPr>
          <w:rFonts w:ascii="Arial" w:hAnsi="Arial" w:cs="Arial"/>
          <w:sz w:val="24"/>
          <w:szCs w:val="24"/>
        </w:rPr>
        <w:t xml:space="preserve"> via an intermediary</w:t>
      </w:r>
      <w:r w:rsidR="004652E1" w:rsidRPr="00242CFF">
        <w:rPr>
          <w:rFonts w:ascii="Arial" w:hAnsi="Arial" w:cs="Arial"/>
          <w:sz w:val="24"/>
          <w:szCs w:val="24"/>
        </w:rPr>
        <w:t xml:space="preserve">. She testified that she had visited her friend’s house </w:t>
      </w:r>
      <w:r w:rsidR="009B088E" w:rsidRPr="00242CFF">
        <w:rPr>
          <w:rFonts w:ascii="Arial" w:hAnsi="Arial" w:cs="Arial"/>
          <w:sz w:val="24"/>
          <w:szCs w:val="24"/>
        </w:rPr>
        <w:t>sometime in 2018</w:t>
      </w:r>
      <w:r w:rsidR="0019478E" w:rsidRPr="00242CFF">
        <w:rPr>
          <w:rFonts w:ascii="Arial" w:hAnsi="Arial" w:cs="Arial"/>
          <w:sz w:val="24"/>
          <w:szCs w:val="24"/>
        </w:rPr>
        <w:t>. It had been late</w:t>
      </w:r>
      <w:r w:rsidR="00BA071E" w:rsidRPr="00242CFF">
        <w:rPr>
          <w:rFonts w:ascii="Arial" w:hAnsi="Arial" w:cs="Arial"/>
          <w:sz w:val="24"/>
          <w:szCs w:val="24"/>
        </w:rPr>
        <w:t xml:space="preserve"> in the day, after sunset</w:t>
      </w:r>
      <w:r w:rsidR="0019478E" w:rsidRPr="00242CFF">
        <w:rPr>
          <w:rFonts w:ascii="Arial" w:hAnsi="Arial" w:cs="Arial"/>
          <w:sz w:val="24"/>
          <w:szCs w:val="24"/>
        </w:rPr>
        <w:t xml:space="preserve">. </w:t>
      </w:r>
      <w:r w:rsidR="00BA071E" w:rsidRPr="00242CFF">
        <w:rPr>
          <w:rFonts w:ascii="Arial" w:hAnsi="Arial" w:cs="Arial"/>
          <w:sz w:val="24"/>
          <w:szCs w:val="24"/>
        </w:rPr>
        <w:t>T</w:t>
      </w:r>
      <w:r w:rsidR="0019478E" w:rsidRPr="00242CFF">
        <w:rPr>
          <w:rFonts w:ascii="Arial" w:hAnsi="Arial" w:cs="Arial"/>
          <w:sz w:val="24"/>
          <w:szCs w:val="24"/>
        </w:rPr>
        <w:t xml:space="preserve">he </w:t>
      </w:r>
      <w:r w:rsidR="00BA071E" w:rsidRPr="00242CFF">
        <w:rPr>
          <w:rFonts w:ascii="Arial" w:hAnsi="Arial" w:cs="Arial"/>
          <w:sz w:val="24"/>
          <w:szCs w:val="24"/>
        </w:rPr>
        <w:t xml:space="preserve">complainant </w:t>
      </w:r>
      <w:r w:rsidR="0019478E" w:rsidRPr="00242CFF">
        <w:rPr>
          <w:rFonts w:ascii="Arial" w:hAnsi="Arial" w:cs="Arial"/>
          <w:sz w:val="24"/>
          <w:szCs w:val="24"/>
        </w:rPr>
        <w:t xml:space="preserve">had knocked on the door and had been </w:t>
      </w:r>
      <w:r w:rsidR="00813FC5" w:rsidRPr="00242CFF">
        <w:rPr>
          <w:rFonts w:ascii="Arial" w:hAnsi="Arial" w:cs="Arial"/>
          <w:sz w:val="24"/>
          <w:szCs w:val="24"/>
        </w:rPr>
        <w:t xml:space="preserve">admitted inside by her friend’s brother, the appellant. He told her that her friend was at home and that she would find her in </w:t>
      </w:r>
      <w:r w:rsidR="0020274B" w:rsidRPr="00242CFF">
        <w:rPr>
          <w:rFonts w:ascii="Arial" w:hAnsi="Arial" w:cs="Arial"/>
          <w:sz w:val="24"/>
          <w:szCs w:val="24"/>
        </w:rPr>
        <w:t>the</w:t>
      </w:r>
      <w:r w:rsidR="00813FC5" w:rsidRPr="00242CFF">
        <w:rPr>
          <w:rFonts w:ascii="Arial" w:hAnsi="Arial" w:cs="Arial"/>
          <w:sz w:val="24"/>
          <w:szCs w:val="24"/>
        </w:rPr>
        <w:t xml:space="preserve"> </w:t>
      </w:r>
      <w:r w:rsidR="00A0442B" w:rsidRPr="00242CFF">
        <w:rPr>
          <w:rFonts w:ascii="Arial" w:hAnsi="Arial" w:cs="Arial"/>
          <w:sz w:val="24"/>
          <w:szCs w:val="24"/>
        </w:rPr>
        <w:t>bed</w:t>
      </w:r>
      <w:r w:rsidR="00813FC5" w:rsidRPr="00242CFF">
        <w:rPr>
          <w:rFonts w:ascii="Arial" w:hAnsi="Arial" w:cs="Arial"/>
          <w:sz w:val="24"/>
          <w:szCs w:val="24"/>
        </w:rPr>
        <w:t xml:space="preserve">room. The complainant </w:t>
      </w:r>
      <w:r w:rsidR="00A0442B" w:rsidRPr="00242CFF">
        <w:rPr>
          <w:rFonts w:ascii="Arial" w:hAnsi="Arial" w:cs="Arial"/>
          <w:sz w:val="24"/>
          <w:szCs w:val="24"/>
        </w:rPr>
        <w:t>went to the bedroom</w:t>
      </w:r>
      <w:r w:rsidR="00813FC5" w:rsidRPr="00242CFF">
        <w:rPr>
          <w:rFonts w:ascii="Arial" w:hAnsi="Arial" w:cs="Arial"/>
          <w:sz w:val="24"/>
          <w:szCs w:val="24"/>
        </w:rPr>
        <w:t xml:space="preserve"> but was followed by the </w:t>
      </w:r>
      <w:r w:rsidR="00B74E10" w:rsidRPr="00242CFF">
        <w:rPr>
          <w:rFonts w:ascii="Arial" w:hAnsi="Arial" w:cs="Arial"/>
          <w:sz w:val="24"/>
          <w:szCs w:val="24"/>
        </w:rPr>
        <w:t>appellant</w:t>
      </w:r>
      <w:r w:rsidR="006A2C9E" w:rsidRPr="00242CFF">
        <w:rPr>
          <w:rFonts w:ascii="Arial" w:hAnsi="Arial" w:cs="Arial"/>
          <w:sz w:val="24"/>
          <w:szCs w:val="24"/>
        </w:rPr>
        <w:t xml:space="preserve">. </w:t>
      </w:r>
      <w:r w:rsidR="00813FC5" w:rsidRPr="00242CFF">
        <w:rPr>
          <w:rFonts w:ascii="Arial" w:hAnsi="Arial" w:cs="Arial"/>
          <w:sz w:val="24"/>
          <w:szCs w:val="24"/>
        </w:rPr>
        <w:t xml:space="preserve">Her friend was not inside. The appellant closed the </w:t>
      </w:r>
      <w:r w:rsidR="00B74E10" w:rsidRPr="00242CFF">
        <w:rPr>
          <w:rFonts w:ascii="Arial" w:hAnsi="Arial" w:cs="Arial"/>
          <w:sz w:val="24"/>
          <w:szCs w:val="24"/>
        </w:rPr>
        <w:t xml:space="preserve">bedroom </w:t>
      </w:r>
      <w:r w:rsidR="00813FC5" w:rsidRPr="00242CFF">
        <w:rPr>
          <w:rFonts w:ascii="Arial" w:hAnsi="Arial" w:cs="Arial"/>
          <w:sz w:val="24"/>
          <w:szCs w:val="24"/>
        </w:rPr>
        <w:t>door</w:t>
      </w:r>
      <w:r w:rsidR="001A07B6" w:rsidRPr="00242CFF">
        <w:rPr>
          <w:rFonts w:ascii="Arial" w:hAnsi="Arial" w:cs="Arial"/>
          <w:sz w:val="24"/>
          <w:szCs w:val="24"/>
        </w:rPr>
        <w:t xml:space="preserve">, </w:t>
      </w:r>
      <w:r w:rsidR="000853AA" w:rsidRPr="00242CFF">
        <w:rPr>
          <w:rFonts w:ascii="Arial" w:hAnsi="Arial" w:cs="Arial"/>
          <w:sz w:val="24"/>
          <w:szCs w:val="24"/>
        </w:rPr>
        <w:t>forc</w:t>
      </w:r>
      <w:r w:rsidR="001A07B6" w:rsidRPr="00242CFF">
        <w:rPr>
          <w:rFonts w:ascii="Arial" w:hAnsi="Arial" w:cs="Arial"/>
          <w:sz w:val="24"/>
          <w:szCs w:val="24"/>
        </w:rPr>
        <w:t>ed the complainant on</w:t>
      </w:r>
      <w:r w:rsidR="00160629" w:rsidRPr="00242CFF">
        <w:rPr>
          <w:rFonts w:ascii="Arial" w:hAnsi="Arial" w:cs="Arial"/>
          <w:sz w:val="24"/>
          <w:szCs w:val="24"/>
        </w:rPr>
        <w:t>to</w:t>
      </w:r>
      <w:r w:rsidR="001A07B6" w:rsidRPr="00242CFF">
        <w:rPr>
          <w:rFonts w:ascii="Arial" w:hAnsi="Arial" w:cs="Arial"/>
          <w:sz w:val="24"/>
          <w:szCs w:val="24"/>
        </w:rPr>
        <w:t xml:space="preserve"> the bed, </w:t>
      </w:r>
      <w:r w:rsidR="00813FC5" w:rsidRPr="00242CFF">
        <w:rPr>
          <w:rFonts w:ascii="Arial" w:hAnsi="Arial" w:cs="Arial"/>
          <w:sz w:val="24"/>
          <w:szCs w:val="24"/>
        </w:rPr>
        <w:t xml:space="preserve">undressed </w:t>
      </w:r>
      <w:r w:rsidR="001A07B6" w:rsidRPr="00242CFF">
        <w:rPr>
          <w:rFonts w:ascii="Arial" w:hAnsi="Arial" w:cs="Arial"/>
          <w:sz w:val="24"/>
          <w:szCs w:val="24"/>
        </w:rPr>
        <w:t>her, and placed his penis inside her vagina. She testified that she had screamed because of the pain. She left the house after the appellant had warned her not to tell anyone. During cross-examination, the complainant described the house where the incident had taken place</w:t>
      </w:r>
      <w:r w:rsidR="00BF76E8" w:rsidRPr="00242CFF">
        <w:rPr>
          <w:rFonts w:ascii="Arial" w:hAnsi="Arial" w:cs="Arial"/>
          <w:sz w:val="24"/>
          <w:szCs w:val="24"/>
        </w:rPr>
        <w:t xml:space="preserve">, mentioning that there was a dog that she </w:t>
      </w:r>
      <w:r w:rsidR="009B088E" w:rsidRPr="00242CFF">
        <w:rPr>
          <w:rFonts w:ascii="Arial" w:hAnsi="Arial" w:cs="Arial"/>
          <w:sz w:val="24"/>
          <w:szCs w:val="24"/>
        </w:rPr>
        <w:t xml:space="preserve">had </w:t>
      </w:r>
      <w:r w:rsidR="00BF76E8" w:rsidRPr="00242CFF">
        <w:rPr>
          <w:rFonts w:ascii="Arial" w:hAnsi="Arial" w:cs="Arial"/>
          <w:sz w:val="24"/>
          <w:szCs w:val="24"/>
        </w:rPr>
        <w:t>feared because it used to bite. The dog had been tied up at the time of the incident.</w:t>
      </w:r>
      <w:r w:rsidR="009B088E" w:rsidRPr="00242CFF">
        <w:rPr>
          <w:rFonts w:ascii="Arial" w:hAnsi="Arial" w:cs="Arial"/>
          <w:sz w:val="24"/>
          <w:szCs w:val="24"/>
        </w:rPr>
        <w:t xml:space="preserve"> She never mentioned the rape to anyone because she had been afraid that the appellant would repeat what he had done. The complainant testified that she had later told representatives from the No Means No</w:t>
      </w:r>
      <w:r w:rsidR="006A2C9E" w:rsidRPr="00242CFF">
        <w:rPr>
          <w:rFonts w:ascii="Arial" w:hAnsi="Arial" w:cs="Arial"/>
          <w:sz w:val="24"/>
          <w:szCs w:val="24"/>
        </w:rPr>
        <w:t>-</w:t>
      </w:r>
      <w:r w:rsidR="009B088E" w:rsidRPr="00242CFF">
        <w:rPr>
          <w:rFonts w:ascii="Arial" w:hAnsi="Arial" w:cs="Arial"/>
          <w:sz w:val="24"/>
          <w:szCs w:val="24"/>
        </w:rPr>
        <w:t xml:space="preserve"> educational </w:t>
      </w:r>
      <w:r w:rsidR="009B088E" w:rsidRPr="00242CFF">
        <w:rPr>
          <w:rFonts w:ascii="Arial" w:hAnsi="Arial" w:cs="Arial"/>
          <w:color w:val="000000" w:themeColor="text1"/>
          <w:sz w:val="24"/>
          <w:szCs w:val="24"/>
        </w:rPr>
        <w:t>programme</w:t>
      </w:r>
      <w:r w:rsidR="00B74E10" w:rsidRPr="00242CFF">
        <w:rPr>
          <w:rFonts w:ascii="Arial" w:hAnsi="Arial" w:cs="Arial"/>
          <w:sz w:val="24"/>
          <w:szCs w:val="24"/>
        </w:rPr>
        <w:t xml:space="preserve"> (</w:t>
      </w:r>
      <w:r w:rsidR="006A2C9E" w:rsidRPr="00242CFF">
        <w:rPr>
          <w:rFonts w:ascii="Arial" w:hAnsi="Arial" w:cs="Arial"/>
          <w:sz w:val="24"/>
          <w:szCs w:val="24"/>
        </w:rPr>
        <w:t>‘</w:t>
      </w:r>
      <w:r w:rsidR="00B74E10" w:rsidRPr="00242CFF">
        <w:rPr>
          <w:rFonts w:ascii="Arial" w:hAnsi="Arial" w:cs="Arial"/>
          <w:sz w:val="24"/>
          <w:szCs w:val="24"/>
        </w:rPr>
        <w:t>the programme</w:t>
      </w:r>
      <w:r w:rsidR="006A2C9E" w:rsidRPr="00242CFF">
        <w:rPr>
          <w:rFonts w:ascii="Arial" w:hAnsi="Arial" w:cs="Arial"/>
          <w:sz w:val="24"/>
          <w:szCs w:val="24"/>
        </w:rPr>
        <w:t>’</w:t>
      </w:r>
      <w:r w:rsidR="00B74E10" w:rsidRPr="00242CFF">
        <w:rPr>
          <w:rFonts w:ascii="Arial" w:hAnsi="Arial" w:cs="Arial"/>
          <w:sz w:val="24"/>
          <w:szCs w:val="24"/>
        </w:rPr>
        <w:t>)</w:t>
      </w:r>
      <w:r w:rsidR="009B088E" w:rsidRPr="00242CFF">
        <w:rPr>
          <w:rFonts w:ascii="Arial" w:hAnsi="Arial" w:cs="Arial"/>
          <w:sz w:val="24"/>
          <w:szCs w:val="24"/>
        </w:rPr>
        <w:t>, by letter, about the incident.</w:t>
      </w:r>
    </w:p>
    <w:p w14:paraId="44FCD10F" w14:textId="77777777" w:rsidR="009411EB" w:rsidRDefault="009411EB" w:rsidP="009411EB">
      <w:pPr>
        <w:pStyle w:val="ListParagraph"/>
        <w:spacing w:line="360" w:lineRule="auto"/>
        <w:ind w:left="0"/>
        <w:jc w:val="both"/>
        <w:rPr>
          <w:rFonts w:ascii="Arial" w:hAnsi="Arial" w:cs="Arial"/>
          <w:sz w:val="24"/>
          <w:szCs w:val="24"/>
        </w:rPr>
      </w:pPr>
    </w:p>
    <w:p w14:paraId="31ECF80E" w14:textId="4C49DD50"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F16FE" w:rsidRPr="00242CFF">
        <w:rPr>
          <w:rFonts w:ascii="Arial" w:hAnsi="Arial" w:cs="Arial"/>
          <w:sz w:val="24"/>
          <w:szCs w:val="24"/>
        </w:rPr>
        <w:t xml:space="preserve">A representative from the </w:t>
      </w:r>
      <w:r w:rsidR="002F16FE" w:rsidRPr="00242CFF">
        <w:rPr>
          <w:rFonts w:ascii="Arial" w:hAnsi="Arial" w:cs="Arial"/>
          <w:color w:val="000000" w:themeColor="text1"/>
          <w:sz w:val="24"/>
          <w:szCs w:val="24"/>
        </w:rPr>
        <w:t>programme</w:t>
      </w:r>
      <w:r w:rsidR="00B74E10" w:rsidRPr="00242CFF">
        <w:rPr>
          <w:rFonts w:ascii="Arial" w:hAnsi="Arial" w:cs="Arial"/>
          <w:color w:val="FF0000"/>
          <w:sz w:val="24"/>
          <w:szCs w:val="24"/>
        </w:rPr>
        <w:t xml:space="preserve"> </w:t>
      </w:r>
      <w:r w:rsidR="002F16FE" w:rsidRPr="00242CFF">
        <w:rPr>
          <w:rFonts w:ascii="Arial" w:hAnsi="Arial" w:cs="Arial"/>
          <w:sz w:val="24"/>
          <w:szCs w:val="24"/>
        </w:rPr>
        <w:t>, Ms Siphokasi Zdiya, stated that she had been at the complainant’s school on 8 April 2021. The complainant had approached her</w:t>
      </w:r>
      <w:r w:rsidR="00382152" w:rsidRPr="00242CFF">
        <w:rPr>
          <w:rFonts w:ascii="Arial" w:hAnsi="Arial" w:cs="Arial"/>
          <w:sz w:val="24"/>
          <w:szCs w:val="24"/>
        </w:rPr>
        <w:t xml:space="preserve"> in tears,</w:t>
      </w:r>
      <w:r w:rsidR="002F16FE" w:rsidRPr="00242CFF">
        <w:rPr>
          <w:rFonts w:ascii="Arial" w:hAnsi="Arial" w:cs="Arial"/>
          <w:sz w:val="24"/>
          <w:szCs w:val="24"/>
        </w:rPr>
        <w:t xml:space="preserve"> with a friend</w:t>
      </w:r>
      <w:r w:rsidR="00382152" w:rsidRPr="00242CFF">
        <w:rPr>
          <w:rFonts w:ascii="Arial" w:hAnsi="Arial" w:cs="Arial"/>
          <w:sz w:val="24"/>
          <w:szCs w:val="24"/>
        </w:rPr>
        <w:t xml:space="preserve">, and </w:t>
      </w:r>
      <w:r w:rsidR="002F16FE" w:rsidRPr="00242CFF">
        <w:rPr>
          <w:rFonts w:ascii="Arial" w:hAnsi="Arial" w:cs="Arial"/>
          <w:sz w:val="24"/>
          <w:szCs w:val="24"/>
        </w:rPr>
        <w:t xml:space="preserve">had presented the letter. Ms Zdiya confirmed that the </w:t>
      </w:r>
      <w:r w:rsidR="002F16FE" w:rsidRPr="00242CFF">
        <w:rPr>
          <w:rFonts w:ascii="Arial" w:hAnsi="Arial" w:cs="Arial"/>
          <w:color w:val="000000" w:themeColor="text1"/>
          <w:sz w:val="24"/>
          <w:szCs w:val="24"/>
        </w:rPr>
        <w:t>programme</w:t>
      </w:r>
      <w:r w:rsidR="00B74E10" w:rsidRPr="00242CFF">
        <w:rPr>
          <w:rFonts w:ascii="Arial" w:hAnsi="Arial" w:cs="Arial"/>
          <w:sz w:val="24"/>
          <w:szCs w:val="24"/>
        </w:rPr>
        <w:t xml:space="preserve"> </w:t>
      </w:r>
      <w:r w:rsidR="00DC7797" w:rsidRPr="00242CFF">
        <w:rPr>
          <w:rFonts w:ascii="Arial" w:hAnsi="Arial" w:cs="Arial"/>
          <w:sz w:val="24"/>
          <w:szCs w:val="24"/>
        </w:rPr>
        <w:t xml:space="preserve">had </w:t>
      </w:r>
      <w:r w:rsidR="002F16FE" w:rsidRPr="00242CFF">
        <w:rPr>
          <w:rFonts w:ascii="Arial" w:hAnsi="Arial" w:cs="Arial"/>
          <w:sz w:val="24"/>
          <w:szCs w:val="24"/>
        </w:rPr>
        <w:t xml:space="preserve">encouraged children to speak up about sexual and emotional abuse and to do so by placing </w:t>
      </w:r>
      <w:r w:rsidR="00446F6C" w:rsidRPr="00242CFF">
        <w:rPr>
          <w:rFonts w:ascii="Arial" w:hAnsi="Arial" w:cs="Arial"/>
          <w:sz w:val="24"/>
          <w:szCs w:val="24"/>
        </w:rPr>
        <w:t>such</w:t>
      </w:r>
      <w:r w:rsidR="002F16FE" w:rsidRPr="00242CFF">
        <w:rPr>
          <w:rFonts w:ascii="Arial" w:hAnsi="Arial" w:cs="Arial"/>
          <w:sz w:val="24"/>
          <w:szCs w:val="24"/>
        </w:rPr>
        <w:t xml:space="preserve"> information in writing.</w:t>
      </w:r>
      <w:r w:rsidR="00C5284E" w:rsidRPr="00242CFF">
        <w:rPr>
          <w:rFonts w:ascii="Arial" w:hAnsi="Arial" w:cs="Arial"/>
          <w:sz w:val="24"/>
          <w:szCs w:val="24"/>
        </w:rPr>
        <w:t xml:space="preserve"> The complainant had consequently told Ms Zdiya, when the police visited the school, that the appellant had raped her. Under cross-examination, Ms Zdiya indicated that the aim of the programme was to provide a platform </w:t>
      </w:r>
      <w:r w:rsidR="00446F6C" w:rsidRPr="00242CFF">
        <w:rPr>
          <w:rFonts w:ascii="Arial" w:hAnsi="Arial" w:cs="Arial"/>
          <w:sz w:val="24"/>
          <w:szCs w:val="24"/>
        </w:rPr>
        <w:t>for</w:t>
      </w:r>
      <w:r w:rsidR="00C5284E" w:rsidRPr="00242CFF">
        <w:rPr>
          <w:rFonts w:ascii="Arial" w:hAnsi="Arial" w:cs="Arial"/>
          <w:sz w:val="24"/>
          <w:szCs w:val="24"/>
        </w:rPr>
        <w:t xml:space="preserve"> young girls to e</w:t>
      </w:r>
      <w:r w:rsidR="00446F6C" w:rsidRPr="00242CFF">
        <w:rPr>
          <w:rFonts w:ascii="Arial" w:hAnsi="Arial" w:cs="Arial"/>
          <w:sz w:val="24"/>
          <w:szCs w:val="24"/>
        </w:rPr>
        <w:t>nable</w:t>
      </w:r>
      <w:r w:rsidR="00C5284E" w:rsidRPr="00242CFF">
        <w:rPr>
          <w:rFonts w:ascii="Arial" w:hAnsi="Arial" w:cs="Arial"/>
          <w:sz w:val="24"/>
          <w:szCs w:val="24"/>
        </w:rPr>
        <w:t xml:space="preserve"> them to deal with aspects of gender-based violence, including sexual grooming and rape.</w:t>
      </w:r>
      <w:r w:rsidR="0091015E" w:rsidRPr="00242CFF">
        <w:rPr>
          <w:rFonts w:ascii="Arial" w:hAnsi="Arial" w:cs="Arial"/>
          <w:sz w:val="24"/>
          <w:szCs w:val="24"/>
        </w:rPr>
        <w:t xml:space="preserve"> She explained that she had not reported the matter </w:t>
      </w:r>
      <w:r w:rsidR="0091015E" w:rsidRPr="00242CFF">
        <w:rPr>
          <w:rFonts w:ascii="Arial" w:hAnsi="Arial" w:cs="Arial"/>
          <w:sz w:val="24"/>
          <w:szCs w:val="24"/>
        </w:rPr>
        <w:lastRenderedPageBreak/>
        <w:t>immediately. This was because she had first wished to obtain the complainant’s consent, which was a concept that they taught to the children as part of the programme.</w:t>
      </w:r>
    </w:p>
    <w:p w14:paraId="6AF4EF20" w14:textId="3EE72789"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364470" w:rsidRPr="00242CFF">
        <w:rPr>
          <w:rFonts w:ascii="Arial" w:hAnsi="Arial" w:cs="Arial"/>
          <w:sz w:val="24"/>
          <w:szCs w:val="24"/>
        </w:rPr>
        <w:t>A forensic nurse, Ms Nompelo Vellum, testified that she had examined the complainant on 21 April 2021</w:t>
      </w:r>
      <w:r w:rsidR="0071055D" w:rsidRPr="00242CFF">
        <w:rPr>
          <w:rFonts w:ascii="Arial" w:hAnsi="Arial" w:cs="Arial"/>
          <w:sz w:val="24"/>
          <w:szCs w:val="24"/>
        </w:rPr>
        <w:t xml:space="preserve">. She stated that she had </w:t>
      </w:r>
      <w:r w:rsidR="00364470" w:rsidRPr="00242CFF">
        <w:rPr>
          <w:rFonts w:ascii="Arial" w:hAnsi="Arial" w:cs="Arial"/>
          <w:sz w:val="24"/>
          <w:szCs w:val="24"/>
        </w:rPr>
        <w:t>completed a J88 medico-legal report</w:t>
      </w:r>
      <w:r w:rsidR="0071055D" w:rsidRPr="00242CFF">
        <w:rPr>
          <w:rFonts w:ascii="Arial" w:hAnsi="Arial" w:cs="Arial"/>
          <w:sz w:val="24"/>
          <w:szCs w:val="24"/>
        </w:rPr>
        <w:t xml:space="preserve"> and </w:t>
      </w:r>
      <w:r w:rsidR="0068058B" w:rsidRPr="00242CFF">
        <w:rPr>
          <w:rFonts w:ascii="Arial" w:hAnsi="Arial" w:cs="Arial"/>
          <w:sz w:val="24"/>
          <w:szCs w:val="24"/>
        </w:rPr>
        <w:t xml:space="preserve">confirmed that she had not found any external injuries to the complainant’s genitalia. She </w:t>
      </w:r>
      <w:r w:rsidR="00DA3CDB" w:rsidRPr="00242CFF">
        <w:rPr>
          <w:rFonts w:ascii="Arial" w:hAnsi="Arial" w:cs="Arial"/>
          <w:sz w:val="24"/>
          <w:szCs w:val="24"/>
        </w:rPr>
        <w:t>had observed</w:t>
      </w:r>
      <w:r w:rsidR="0068058B" w:rsidRPr="00242CFF">
        <w:rPr>
          <w:rFonts w:ascii="Arial" w:hAnsi="Arial" w:cs="Arial"/>
          <w:sz w:val="24"/>
          <w:szCs w:val="24"/>
        </w:rPr>
        <w:t>, however, that the complainant’s hymen had been ruptured</w:t>
      </w:r>
      <w:r w:rsidR="00E012D6" w:rsidRPr="00242CFF">
        <w:rPr>
          <w:rFonts w:ascii="Arial" w:hAnsi="Arial" w:cs="Arial"/>
          <w:sz w:val="24"/>
          <w:szCs w:val="24"/>
        </w:rPr>
        <w:t xml:space="preserve">; </w:t>
      </w:r>
      <w:r w:rsidR="009F28BB" w:rsidRPr="00242CFF">
        <w:rPr>
          <w:rFonts w:ascii="Arial" w:hAnsi="Arial" w:cs="Arial"/>
          <w:sz w:val="24"/>
          <w:szCs w:val="24"/>
        </w:rPr>
        <w:t>the</w:t>
      </w:r>
      <w:r w:rsidR="0068058B" w:rsidRPr="00242CFF">
        <w:rPr>
          <w:rFonts w:ascii="Arial" w:hAnsi="Arial" w:cs="Arial"/>
          <w:sz w:val="24"/>
          <w:szCs w:val="24"/>
        </w:rPr>
        <w:t xml:space="preserve"> </w:t>
      </w:r>
      <w:r w:rsidR="00E012D6" w:rsidRPr="00242CFF">
        <w:rPr>
          <w:rFonts w:ascii="Arial" w:hAnsi="Arial" w:cs="Arial"/>
          <w:sz w:val="24"/>
          <w:szCs w:val="24"/>
        </w:rPr>
        <w:t xml:space="preserve">associated </w:t>
      </w:r>
      <w:r w:rsidR="0068058B" w:rsidRPr="00242CFF">
        <w:rPr>
          <w:rFonts w:ascii="Arial" w:hAnsi="Arial" w:cs="Arial"/>
          <w:sz w:val="24"/>
          <w:szCs w:val="24"/>
        </w:rPr>
        <w:t>cleft</w:t>
      </w:r>
      <w:r w:rsidR="00920482" w:rsidRPr="00242CFF">
        <w:rPr>
          <w:rFonts w:ascii="Arial" w:hAnsi="Arial" w:cs="Arial"/>
          <w:sz w:val="24"/>
          <w:szCs w:val="24"/>
        </w:rPr>
        <w:t xml:space="preserve"> </w:t>
      </w:r>
      <w:r w:rsidR="0068058B" w:rsidRPr="00242CFF">
        <w:rPr>
          <w:rFonts w:ascii="Arial" w:hAnsi="Arial" w:cs="Arial"/>
          <w:sz w:val="24"/>
          <w:szCs w:val="24"/>
        </w:rPr>
        <w:t>indicat</w:t>
      </w:r>
      <w:r w:rsidR="00920482" w:rsidRPr="00242CFF">
        <w:rPr>
          <w:rFonts w:ascii="Arial" w:hAnsi="Arial" w:cs="Arial"/>
          <w:sz w:val="24"/>
          <w:szCs w:val="24"/>
        </w:rPr>
        <w:t>ed</w:t>
      </w:r>
      <w:r w:rsidR="0068058B" w:rsidRPr="00242CFF">
        <w:rPr>
          <w:rFonts w:ascii="Arial" w:hAnsi="Arial" w:cs="Arial"/>
          <w:sz w:val="24"/>
          <w:szCs w:val="24"/>
        </w:rPr>
        <w:t xml:space="preserve"> an old injury. </w:t>
      </w:r>
      <w:r w:rsidR="009F28BB" w:rsidRPr="00242CFF">
        <w:rPr>
          <w:rFonts w:ascii="Arial" w:hAnsi="Arial" w:cs="Arial"/>
          <w:sz w:val="24"/>
          <w:szCs w:val="24"/>
        </w:rPr>
        <w:t>Ms Vellum said</w:t>
      </w:r>
      <w:r w:rsidR="00E012D6" w:rsidRPr="00242CFF">
        <w:rPr>
          <w:rFonts w:ascii="Arial" w:hAnsi="Arial" w:cs="Arial"/>
          <w:sz w:val="24"/>
          <w:szCs w:val="24"/>
        </w:rPr>
        <w:t xml:space="preserve">, in general, </w:t>
      </w:r>
      <w:r w:rsidR="009F28BB" w:rsidRPr="00242CFF">
        <w:rPr>
          <w:rFonts w:ascii="Arial" w:hAnsi="Arial" w:cs="Arial"/>
          <w:sz w:val="24"/>
          <w:szCs w:val="24"/>
        </w:rPr>
        <w:t>that</w:t>
      </w:r>
      <w:r w:rsidR="00E012D6" w:rsidRPr="00242CFF">
        <w:rPr>
          <w:rFonts w:ascii="Arial" w:hAnsi="Arial" w:cs="Arial"/>
          <w:sz w:val="24"/>
          <w:szCs w:val="24"/>
        </w:rPr>
        <w:t xml:space="preserve"> </w:t>
      </w:r>
      <w:r w:rsidR="009F28BB" w:rsidRPr="00242CFF">
        <w:rPr>
          <w:rFonts w:ascii="Arial" w:hAnsi="Arial" w:cs="Arial"/>
          <w:sz w:val="24"/>
          <w:szCs w:val="24"/>
        </w:rPr>
        <w:t>children heal</w:t>
      </w:r>
      <w:r w:rsidR="006E5A57" w:rsidRPr="00242CFF">
        <w:rPr>
          <w:rFonts w:ascii="Arial" w:hAnsi="Arial" w:cs="Arial"/>
          <w:sz w:val="24"/>
          <w:szCs w:val="24"/>
        </w:rPr>
        <w:t>ed</w:t>
      </w:r>
      <w:r w:rsidR="009F28BB" w:rsidRPr="00242CFF">
        <w:rPr>
          <w:rFonts w:ascii="Arial" w:hAnsi="Arial" w:cs="Arial"/>
          <w:sz w:val="24"/>
          <w:szCs w:val="24"/>
        </w:rPr>
        <w:t xml:space="preserve"> quickly after sustaining gynaecological injuries</w:t>
      </w:r>
      <w:r w:rsidR="00E012D6" w:rsidRPr="00242CFF">
        <w:rPr>
          <w:rFonts w:ascii="Arial" w:hAnsi="Arial" w:cs="Arial"/>
          <w:sz w:val="24"/>
          <w:szCs w:val="24"/>
        </w:rPr>
        <w:t>, requiring no more than a week or so</w:t>
      </w:r>
      <w:r w:rsidR="0020274B" w:rsidRPr="00242CFF">
        <w:rPr>
          <w:rFonts w:ascii="Arial" w:hAnsi="Arial" w:cs="Arial"/>
          <w:sz w:val="24"/>
          <w:szCs w:val="24"/>
        </w:rPr>
        <w:t xml:space="preserve"> to recover physically</w:t>
      </w:r>
      <w:r w:rsidR="009F28BB" w:rsidRPr="00242CFF">
        <w:rPr>
          <w:rFonts w:ascii="Arial" w:hAnsi="Arial" w:cs="Arial"/>
          <w:sz w:val="24"/>
          <w:szCs w:val="24"/>
        </w:rPr>
        <w:t xml:space="preserve">. </w:t>
      </w:r>
      <w:r w:rsidR="005855B2" w:rsidRPr="00242CFF">
        <w:rPr>
          <w:rFonts w:ascii="Arial" w:hAnsi="Arial" w:cs="Arial"/>
          <w:sz w:val="24"/>
          <w:szCs w:val="24"/>
        </w:rPr>
        <w:t>She</w:t>
      </w:r>
      <w:r w:rsidR="00E012D6" w:rsidRPr="00242CFF">
        <w:rPr>
          <w:rFonts w:ascii="Arial" w:hAnsi="Arial" w:cs="Arial"/>
          <w:sz w:val="24"/>
          <w:szCs w:val="24"/>
        </w:rPr>
        <w:t xml:space="preserve"> stated, during cross-examination, that an injury to the vagina could be caused by anything that resembled a penis.</w:t>
      </w:r>
      <w:r w:rsidR="00987C45" w:rsidRPr="00242CFF">
        <w:rPr>
          <w:rFonts w:ascii="Arial" w:hAnsi="Arial" w:cs="Arial"/>
          <w:sz w:val="24"/>
          <w:szCs w:val="24"/>
        </w:rPr>
        <w:t xml:space="preserve"> She could not, in </w:t>
      </w:r>
      <w:r w:rsidR="005855B2" w:rsidRPr="00242CFF">
        <w:rPr>
          <w:rFonts w:ascii="Arial" w:hAnsi="Arial" w:cs="Arial"/>
          <w:sz w:val="24"/>
          <w:szCs w:val="24"/>
        </w:rPr>
        <w:t>relation to the complainant,</w:t>
      </w:r>
      <w:r w:rsidR="00987C45" w:rsidRPr="00242CFF">
        <w:rPr>
          <w:rFonts w:ascii="Arial" w:hAnsi="Arial" w:cs="Arial"/>
          <w:sz w:val="24"/>
          <w:szCs w:val="24"/>
        </w:rPr>
        <w:t xml:space="preserve"> exclude the possibility of sexual penetration.</w:t>
      </w:r>
    </w:p>
    <w:p w14:paraId="518687C0" w14:textId="77777777" w:rsidR="009411EB" w:rsidRDefault="009411EB" w:rsidP="009411EB">
      <w:pPr>
        <w:pStyle w:val="ListParagraph"/>
        <w:spacing w:line="360" w:lineRule="auto"/>
        <w:ind w:left="0"/>
        <w:jc w:val="both"/>
        <w:rPr>
          <w:rFonts w:ascii="Arial" w:hAnsi="Arial" w:cs="Arial"/>
          <w:sz w:val="24"/>
          <w:szCs w:val="24"/>
        </w:rPr>
      </w:pPr>
    </w:p>
    <w:p w14:paraId="3112A499" w14:textId="0FC4C449"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71055D" w:rsidRPr="00242CFF">
        <w:rPr>
          <w:rFonts w:ascii="Arial" w:hAnsi="Arial" w:cs="Arial"/>
          <w:sz w:val="24"/>
          <w:szCs w:val="24"/>
        </w:rPr>
        <w:t xml:space="preserve">The appellant testified on his own behalf. He said that he was one of six children, all of whom stayed with </w:t>
      </w:r>
      <w:r w:rsidR="00446F6C" w:rsidRPr="00242CFF">
        <w:rPr>
          <w:rFonts w:ascii="Arial" w:hAnsi="Arial" w:cs="Arial"/>
          <w:sz w:val="24"/>
          <w:szCs w:val="24"/>
        </w:rPr>
        <w:t xml:space="preserve">his </w:t>
      </w:r>
      <w:r w:rsidR="0071055D" w:rsidRPr="00242CFF">
        <w:rPr>
          <w:rFonts w:ascii="Arial" w:hAnsi="Arial" w:cs="Arial"/>
          <w:sz w:val="24"/>
          <w:szCs w:val="24"/>
        </w:rPr>
        <w:t>parents. The youngest child was a friend of the complainant, whom he knew</w:t>
      </w:r>
      <w:r w:rsidR="0019478E" w:rsidRPr="00242CFF">
        <w:rPr>
          <w:rFonts w:ascii="Arial" w:hAnsi="Arial" w:cs="Arial"/>
          <w:sz w:val="24"/>
          <w:szCs w:val="24"/>
        </w:rPr>
        <w:t>,</w:t>
      </w:r>
      <w:r w:rsidR="0071055D" w:rsidRPr="00242CFF">
        <w:rPr>
          <w:rFonts w:ascii="Arial" w:hAnsi="Arial" w:cs="Arial"/>
          <w:sz w:val="24"/>
          <w:szCs w:val="24"/>
        </w:rPr>
        <w:t xml:space="preserve"> but </w:t>
      </w:r>
      <w:r w:rsidR="0019478E" w:rsidRPr="00242CFF">
        <w:rPr>
          <w:rFonts w:ascii="Arial" w:hAnsi="Arial" w:cs="Arial"/>
          <w:sz w:val="24"/>
          <w:szCs w:val="24"/>
        </w:rPr>
        <w:t xml:space="preserve">not well. </w:t>
      </w:r>
      <w:r w:rsidR="00B234DD" w:rsidRPr="00242CFF">
        <w:rPr>
          <w:rFonts w:ascii="Arial" w:hAnsi="Arial" w:cs="Arial"/>
          <w:sz w:val="24"/>
          <w:szCs w:val="24"/>
        </w:rPr>
        <w:t xml:space="preserve">There was a gate to his parents’ property that was kept unlocked, but for </w:t>
      </w:r>
      <w:r w:rsidR="0019478E" w:rsidRPr="00242CFF">
        <w:rPr>
          <w:rFonts w:ascii="Arial" w:hAnsi="Arial" w:cs="Arial"/>
          <w:sz w:val="24"/>
          <w:szCs w:val="24"/>
        </w:rPr>
        <w:t xml:space="preserve">anyone to enter it would </w:t>
      </w:r>
      <w:r w:rsidR="0020274B" w:rsidRPr="00242CFF">
        <w:rPr>
          <w:rFonts w:ascii="Arial" w:hAnsi="Arial" w:cs="Arial"/>
          <w:sz w:val="24"/>
          <w:szCs w:val="24"/>
        </w:rPr>
        <w:t xml:space="preserve">have </w:t>
      </w:r>
      <w:r w:rsidR="0019478E" w:rsidRPr="00242CFF">
        <w:rPr>
          <w:rFonts w:ascii="Arial" w:hAnsi="Arial" w:cs="Arial"/>
          <w:sz w:val="24"/>
          <w:szCs w:val="24"/>
        </w:rPr>
        <w:t>be</w:t>
      </w:r>
      <w:r w:rsidR="0020274B" w:rsidRPr="00242CFF">
        <w:rPr>
          <w:rFonts w:ascii="Arial" w:hAnsi="Arial" w:cs="Arial"/>
          <w:sz w:val="24"/>
          <w:szCs w:val="24"/>
        </w:rPr>
        <w:t>en necessary for them to have c</w:t>
      </w:r>
      <w:r w:rsidR="0019478E" w:rsidRPr="00242CFF">
        <w:rPr>
          <w:rFonts w:ascii="Arial" w:hAnsi="Arial" w:cs="Arial"/>
          <w:sz w:val="24"/>
          <w:szCs w:val="24"/>
        </w:rPr>
        <w:t>all</w:t>
      </w:r>
      <w:r w:rsidR="0020274B" w:rsidRPr="00242CFF">
        <w:rPr>
          <w:rFonts w:ascii="Arial" w:hAnsi="Arial" w:cs="Arial"/>
          <w:sz w:val="24"/>
          <w:szCs w:val="24"/>
        </w:rPr>
        <w:t>ed</w:t>
      </w:r>
      <w:r w:rsidR="0019478E" w:rsidRPr="00242CFF">
        <w:rPr>
          <w:rFonts w:ascii="Arial" w:hAnsi="Arial" w:cs="Arial"/>
          <w:sz w:val="24"/>
          <w:szCs w:val="24"/>
        </w:rPr>
        <w:t xml:space="preserve"> out. </w:t>
      </w:r>
      <w:r w:rsidR="00B234DD" w:rsidRPr="00242CFF">
        <w:rPr>
          <w:rFonts w:ascii="Arial" w:hAnsi="Arial" w:cs="Arial"/>
          <w:sz w:val="24"/>
          <w:szCs w:val="24"/>
        </w:rPr>
        <w:t>This was because his parents kept a pair of dogs</w:t>
      </w:r>
      <w:r w:rsidR="00F0639C" w:rsidRPr="00242CFF">
        <w:rPr>
          <w:rFonts w:ascii="Arial" w:hAnsi="Arial" w:cs="Arial"/>
          <w:sz w:val="24"/>
          <w:szCs w:val="24"/>
        </w:rPr>
        <w:t xml:space="preserve">, which </w:t>
      </w:r>
      <w:r w:rsidR="00B234DD" w:rsidRPr="00242CFF">
        <w:rPr>
          <w:rFonts w:ascii="Arial" w:hAnsi="Arial" w:cs="Arial"/>
          <w:sz w:val="24"/>
          <w:szCs w:val="24"/>
        </w:rPr>
        <w:t xml:space="preserve">would bite visitors. </w:t>
      </w:r>
      <w:r w:rsidR="0019478E" w:rsidRPr="00242CFF">
        <w:rPr>
          <w:rFonts w:ascii="Arial" w:hAnsi="Arial" w:cs="Arial"/>
          <w:sz w:val="24"/>
          <w:szCs w:val="24"/>
        </w:rPr>
        <w:t xml:space="preserve">It would not have been possible for the complainant to have knocked on the front door as she had alleged. The appellant denied that the incident had taken place. He </w:t>
      </w:r>
      <w:r w:rsidR="0065745E" w:rsidRPr="00242CFF">
        <w:rPr>
          <w:rFonts w:ascii="Arial" w:hAnsi="Arial" w:cs="Arial"/>
          <w:sz w:val="24"/>
          <w:szCs w:val="24"/>
        </w:rPr>
        <w:t>indicat</w:t>
      </w:r>
      <w:r w:rsidR="0019478E" w:rsidRPr="00242CFF">
        <w:rPr>
          <w:rFonts w:ascii="Arial" w:hAnsi="Arial" w:cs="Arial"/>
          <w:sz w:val="24"/>
          <w:szCs w:val="24"/>
        </w:rPr>
        <w:t>ed that his mother and a brother were usually at home during the day, the entire family was at home in the evenings.</w:t>
      </w:r>
      <w:r w:rsidR="00BA071E" w:rsidRPr="00242CFF">
        <w:rPr>
          <w:rFonts w:ascii="Arial" w:hAnsi="Arial" w:cs="Arial"/>
          <w:sz w:val="24"/>
          <w:szCs w:val="24"/>
        </w:rPr>
        <w:t xml:space="preserve"> He accused the complainant of having fabricated the incident. Under cross-examination, the </w:t>
      </w:r>
      <w:r w:rsidR="0065745E" w:rsidRPr="00242CFF">
        <w:rPr>
          <w:rFonts w:ascii="Arial" w:hAnsi="Arial" w:cs="Arial"/>
          <w:sz w:val="24"/>
          <w:szCs w:val="24"/>
        </w:rPr>
        <w:t>appell</w:t>
      </w:r>
      <w:r w:rsidR="00BA071E" w:rsidRPr="00242CFF">
        <w:rPr>
          <w:rFonts w:ascii="Arial" w:hAnsi="Arial" w:cs="Arial"/>
          <w:sz w:val="24"/>
          <w:szCs w:val="24"/>
        </w:rPr>
        <w:t>ant stated that his mother operated a tuck shop from the house. She would tie up the dog</w:t>
      </w:r>
      <w:r w:rsidR="00F0639C" w:rsidRPr="00242CFF">
        <w:rPr>
          <w:rFonts w:ascii="Arial" w:hAnsi="Arial" w:cs="Arial"/>
          <w:sz w:val="24"/>
          <w:szCs w:val="24"/>
        </w:rPr>
        <w:t>s</w:t>
      </w:r>
      <w:r w:rsidR="00BA071E" w:rsidRPr="00242CFF">
        <w:rPr>
          <w:rFonts w:ascii="Arial" w:hAnsi="Arial" w:cs="Arial"/>
          <w:sz w:val="24"/>
          <w:szCs w:val="24"/>
        </w:rPr>
        <w:t xml:space="preserve"> before allowing a customer to enter the property.</w:t>
      </w:r>
      <w:r w:rsidR="00B234DD" w:rsidRPr="00242CFF">
        <w:rPr>
          <w:rFonts w:ascii="Arial" w:hAnsi="Arial" w:cs="Arial"/>
          <w:sz w:val="24"/>
          <w:szCs w:val="24"/>
        </w:rPr>
        <w:t xml:space="preserve"> The </w:t>
      </w:r>
      <w:r w:rsidR="0065745E" w:rsidRPr="00242CFF">
        <w:rPr>
          <w:rFonts w:ascii="Arial" w:hAnsi="Arial" w:cs="Arial"/>
          <w:sz w:val="24"/>
          <w:szCs w:val="24"/>
        </w:rPr>
        <w:t xml:space="preserve">appellant </w:t>
      </w:r>
      <w:r w:rsidR="00B234DD" w:rsidRPr="00242CFF">
        <w:rPr>
          <w:rFonts w:ascii="Arial" w:hAnsi="Arial" w:cs="Arial"/>
          <w:sz w:val="24"/>
          <w:szCs w:val="24"/>
        </w:rPr>
        <w:t>emphasised that no-one knocked at the door to the house because it was well-known in the area that the dog</w:t>
      </w:r>
      <w:r w:rsidR="00F0639C" w:rsidRPr="00242CFF">
        <w:rPr>
          <w:rFonts w:ascii="Arial" w:hAnsi="Arial" w:cs="Arial"/>
          <w:sz w:val="24"/>
          <w:szCs w:val="24"/>
        </w:rPr>
        <w:t>s</w:t>
      </w:r>
      <w:r w:rsidR="00B234DD" w:rsidRPr="00242CFF">
        <w:rPr>
          <w:rFonts w:ascii="Arial" w:hAnsi="Arial" w:cs="Arial"/>
          <w:sz w:val="24"/>
          <w:szCs w:val="24"/>
        </w:rPr>
        <w:t xml:space="preserve"> would bite.</w:t>
      </w:r>
      <w:r w:rsidR="00C03DD5" w:rsidRPr="00242CFF">
        <w:rPr>
          <w:rFonts w:ascii="Arial" w:hAnsi="Arial" w:cs="Arial"/>
          <w:sz w:val="24"/>
          <w:szCs w:val="24"/>
        </w:rPr>
        <w:t xml:space="preserve"> He admitted that the complainant was a regular visitor to the house and knew the dogs, but pointed out that the</w:t>
      </w:r>
      <w:r w:rsidR="00E1682B" w:rsidRPr="00242CFF">
        <w:rPr>
          <w:rFonts w:ascii="Arial" w:hAnsi="Arial" w:cs="Arial"/>
          <w:sz w:val="24"/>
          <w:szCs w:val="24"/>
        </w:rPr>
        <w:t xml:space="preserve"> dogs</w:t>
      </w:r>
      <w:r w:rsidR="00107B7F" w:rsidRPr="00242CFF">
        <w:rPr>
          <w:rFonts w:ascii="Arial" w:hAnsi="Arial" w:cs="Arial"/>
          <w:sz w:val="24"/>
          <w:szCs w:val="24"/>
        </w:rPr>
        <w:t xml:space="preserve"> </w:t>
      </w:r>
      <w:r w:rsidR="0065745E" w:rsidRPr="00242CFF">
        <w:rPr>
          <w:rFonts w:ascii="Arial" w:hAnsi="Arial" w:cs="Arial"/>
          <w:sz w:val="24"/>
          <w:szCs w:val="24"/>
        </w:rPr>
        <w:t xml:space="preserve">were </w:t>
      </w:r>
      <w:r w:rsidR="00C03DD5" w:rsidRPr="00242CFF">
        <w:rPr>
          <w:rFonts w:ascii="Arial" w:hAnsi="Arial" w:cs="Arial"/>
          <w:sz w:val="24"/>
          <w:szCs w:val="24"/>
        </w:rPr>
        <w:t>not used to people.</w:t>
      </w:r>
      <w:r w:rsidR="0065745E" w:rsidRPr="00242CFF">
        <w:rPr>
          <w:rFonts w:ascii="Arial" w:hAnsi="Arial" w:cs="Arial"/>
          <w:sz w:val="24"/>
          <w:szCs w:val="24"/>
        </w:rPr>
        <w:t xml:space="preserve"> The complainant would call out from the gate when she visited. It would not have been possible for her to have entered the property and knocked at the front door. </w:t>
      </w:r>
      <w:r w:rsidR="00B2471D" w:rsidRPr="00242CFF">
        <w:rPr>
          <w:rFonts w:ascii="Arial" w:hAnsi="Arial" w:cs="Arial"/>
          <w:sz w:val="24"/>
          <w:szCs w:val="24"/>
        </w:rPr>
        <w:t>Th</w:t>
      </w:r>
      <w:r w:rsidR="0065745E" w:rsidRPr="00242CFF">
        <w:rPr>
          <w:rFonts w:ascii="Arial" w:hAnsi="Arial" w:cs="Arial"/>
          <w:sz w:val="24"/>
          <w:szCs w:val="24"/>
        </w:rPr>
        <w:t xml:space="preserve">e </w:t>
      </w:r>
      <w:r w:rsidR="00B2471D" w:rsidRPr="00242CFF">
        <w:rPr>
          <w:rFonts w:ascii="Arial" w:hAnsi="Arial" w:cs="Arial"/>
          <w:sz w:val="24"/>
          <w:szCs w:val="24"/>
        </w:rPr>
        <w:t xml:space="preserve">appellant </w:t>
      </w:r>
      <w:r w:rsidR="0065745E" w:rsidRPr="00242CFF">
        <w:rPr>
          <w:rFonts w:ascii="Arial" w:hAnsi="Arial" w:cs="Arial"/>
          <w:sz w:val="24"/>
          <w:szCs w:val="24"/>
        </w:rPr>
        <w:t>denied that he had raped the complainant.</w:t>
      </w:r>
      <w:r w:rsidR="00B2471D" w:rsidRPr="00242CFF">
        <w:rPr>
          <w:rFonts w:ascii="Arial" w:hAnsi="Arial" w:cs="Arial"/>
          <w:sz w:val="24"/>
          <w:szCs w:val="24"/>
        </w:rPr>
        <w:t xml:space="preserve"> She had never visited the house when he was alone. He admitted that there had been no problems at all between himself </w:t>
      </w:r>
      <w:r w:rsidR="00B2471D" w:rsidRPr="00242CFF">
        <w:rPr>
          <w:rFonts w:ascii="Arial" w:hAnsi="Arial" w:cs="Arial"/>
          <w:sz w:val="24"/>
          <w:szCs w:val="24"/>
        </w:rPr>
        <w:lastRenderedPageBreak/>
        <w:t xml:space="preserve">and the complainant. He further stated, during re-examination, that the complainant had </w:t>
      </w:r>
      <w:r w:rsidR="00F558CE" w:rsidRPr="00242CFF">
        <w:rPr>
          <w:rFonts w:ascii="Arial" w:hAnsi="Arial" w:cs="Arial"/>
          <w:sz w:val="24"/>
          <w:szCs w:val="24"/>
        </w:rPr>
        <w:t xml:space="preserve">subsequently </w:t>
      </w:r>
      <w:r w:rsidR="00B2471D" w:rsidRPr="00242CFF">
        <w:rPr>
          <w:rFonts w:ascii="Arial" w:hAnsi="Arial" w:cs="Arial"/>
          <w:sz w:val="24"/>
          <w:szCs w:val="24"/>
        </w:rPr>
        <w:t xml:space="preserve">visited his sister at the house </w:t>
      </w:r>
      <w:r w:rsidR="00F558CE" w:rsidRPr="00242CFF">
        <w:rPr>
          <w:rFonts w:ascii="Arial" w:hAnsi="Arial" w:cs="Arial"/>
          <w:sz w:val="24"/>
          <w:szCs w:val="24"/>
        </w:rPr>
        <w:t>after</w:t>
      </w:r>
      <w:r w:rsidR="00B2471D" w:rsidRPr="00242CFF">
        <w:rPr>
          <w:rFonts w:ascii="Arial" w:hAnsi="Arial" w:cs="Arial"/>
          <w:sz w:val="24"/>
          <w:szCs w:val="24"/>
        </w:rPr>
        <w:t xml:space="preserve"> the </w:t>
      </w:r>
      <w:r w:rsidR="0020274B" w:rsidRPr="00242CFF">
        <w:rPr>
          <w:rFonts w:ascii="Arial" w:hAnsi="Arial" w:cs="Arial"/>
          <w:sz w:val="24"/>
          <w:szCs w:val="24"/>
        </w:rPr>
        <w:t>year during which the incident is alleged to have taken place</w:t>
      </w:r>
      <w:r w:rsidR="00B2471D" w:rsidRPr="00242CFF">
        <w:rPr>
          <w:rFonts w:ascii="Arial" w:hAnsi="Arial" w:cs="Arial"/>
          <w:sz w:val="24"/>
          <w:szCs w:val="24"/>
        </w:rPr>
        <w:t>.</w:t>
      </w:r>
    </w:p>
    <w:p w14:paraId="33413EE0" w14:textId="7FC57D0D"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F558CE" w:rsidRPr="00242CFF">
        <w:rPr>
          <w:rFonts w:ascii="Arial" w:hAnsi="Arial" w:cs="Arial"/>
          <w:sz w:val="24"/>
          <w:szCs w:val="24"/>
        </w:rPr>
        <w:t xml:space="preserve">The next witness for the defence was the appellant’s mother, Ms Nonsikelelo July. She testified that she sold items to children from a stand that she operated at the property. She was adamant that no-one would gain access </w:t>
      </w:r>
      <w:r w:rsidR="00A05656" w:rsidRPr="00242CFF">
        <w:rPr>
          <w:rFonts w:ascii="Arial" w:hAnsi="Arial" w:cs="Arial"/>
          <w:sz w:val="24"/>
          <w:szCs w:val="24"/>
        </w:rPr>
        <w:t xml:space="preserve">to the property </w:t>
      </w:r>
      <w:r w:rsidR="00F558CE" w:rsidRPr="00242CFF">
        <w:rPr>
          <w:rFonts w:ascii="Arial" w:hAnsi="Arial" w:cs="Arial"/>
          <w:sz w:val="24"/>
          <w:szCs w:val="24"/>
        </w:rPr>
        <w:t>on his or her own. A visitor would call out from the gate because of the dogs. Ms July confirmed that the complainant would visit her youngest child from time to time</w:t>
      </w:r>
      <w:r w:rsidR="00F0639C" w:rsidRPr="00242CFF">
        <w:rPr>
          <w:rFonts w:ascii="Arial" w:hAnsi="Arial" w:cs="Arial"/>
          <w:sz w:val="24"/>
          <w:szCs w:val="24"/>
        </w:rPr>
        <w:t>, and that t</w:t>
      </w:r>
      <w:r w:rsidR="00F558CE" w:rsidRPr="00242CFF">
        <w:rPr>
          <w:rFonts w:ascii="Arial" w:hAnsi="Arial" w:cs="Arial"/>
          <w:sz w:val="24"/>
          <w:szCs w:val="24"/>
        </w:rPr>
        <w:t xml:space="preserve">his </w:t>
      </w:r>
      <w:r w:rsidR="00F0639C" w:rsidRPr="00242CFF">
        <w:rPr>
          <w:rFonts w:ascii="Arial" w:hAnsi="Arial" w:cs="Arial"/>
          <w:sz w:val="24"/>
          <w:szCs w:val="24"/>
        </w:rPr>
        <w:t xml:space="preserve">had continued to </w:t>
      </w:r>
      <w:r w:rsidR="00F558CE" w:rsidRPr="00242CFF">
        <w:rPr>
          <w:rFonts w:ascii="Arial" w:hAnsi="Arial" w:cs="Arial"/>
          <w:sz w:val="24"/>
          <w:szCs w:val="24"/>
        </w:rPr>
        <w:t xml:space="preserve">happen even after the year of the </w:t>
      </w:r>
      <w:r w:rsidR="0020274B" w:rsidRPr="00242CFF">
        <w:rPr>
          <w:rFonts w:ascii="Arial" w:hAnsi="Arial" w:cs="Arial"/>
          <w:sz w:val="24"/>
          <w:szCs w:val="24"/>
        </w:rPr>
        <w:t xml:space="preserve">alleged </w:t>
      </w:r>
      <w:r w:rsidR="00F558CE" w:rsidRPr="00242CFF">
        <w:rPr>
          <w:rFonts w:ascii="Arial" w:hAnsi="Arial" w:cs="Arial"/>
          <w:sz w:val="24"/>
          <w:szCs w:val="24"/>
        </w:rPr>
        <w:t>incident. She also confirmed that she cooked supper for the family</w:t>
      </w:r>
      <w:r w:rsidR="00F0639C" w:rsidRPr="00242CFF">
        <w:rPr>
          <w:rFonts w:ascii="Arial" w:hAnsi="Arial" w:cs="Arial"/>
          <w:sz w:val="24"/>
          <w:szCs w:val="24"/>
        </w:rPr>
        <w:t xml:space="preserve"> in the evenings. It was very seldom that someone was not at home. She confirmed, too, that the</w:t>
      </w:r>
      <w:r w:rsidR="00446F6C" w:rsidRPr="00242CFF">
        <w:rPr>
          <w:rFonts w:ascii="Arial" w:hAnsi="Arial" w:cs="Arial"/>
          <w:sz w:val="24"/>
          <w:szCs w:val="24"/>
        </w:rPr>
        <w:t xml:space="preserve"> </w:t>
      </w:r>
      <w:r w:rsidR="00F0639C" w:rsidRPr="00242CFF">
        <w:rPr>
          <w:rFonts w:ascii="Arial" w:hAnsi="Arial" w:cs="Arial"/>
          <w:sz w:val="24"/>
          <w:szCs w:val="24"/>
        </w:rPr>
        <w:t>dogs would bite. Children could only enter the property if the dogs were controlled by a member of the family or if they were tied up.</w:t>
      </w:r>
      <w:r w:rsidR="006D672C" w:rsidRPr="00242CFF">
        <w:rPr>
          <w:rFonts w:ascii="Arial" w:hAnsi="Arial" w:cs="Arial"/>
          <w:sz w:val="24"/>
          <w:szCs w:val="24"/>
        </w:rPr>
        <w:t xml:space="preserve"> It would have been impossible for the complainant to have entered the property and to have knocked at the door. The dogs were known </w:t>
      </w:r>
      <w:r w:rsidR="00446F6C" w:rsidRPr="00242CFF">
        <w:rPr>
          <w:rFonts w:ascii="Arial" w:hAnsi="Arial" w:cs="Arial"/>
          <w:sz w:val="24"/>
          <w:szCs w:val="24"/>
        </w:rPr>
        <w:t>for their aggression</w:t>
      </w:r>
      <w:r w:rsidR="006D672C" w:rsidRPr="00242CFF">
        <w:rPr>
          <w:rFonts w:ascii="Arial" w:hAnsi="Arial" w:cs="Arial"/>
          <w:sz w:val="24"/>
          <w:szCs w:val="24"/>
        </w:rPr>
        <w:t xml:space="preserve"> and were feared by the community. Ms July admitted, under cross-examination, that there were times when she was not at the house, and that it was possible that the appellant could have been at home on his own. </w:t>
      </w:r>
      <w:r w:rsidR="007F7442" w:rsidRPr="00242CFF">
        <w:rPr>
          <w:rFonts w:ascii="Arial" w:hAnsi="Arial" w:cs="Arial"/>
          <w:sz w:val="24"/>
          <w:szCs w:val="24"/>
        </w:rPr>
        <w:t xml:space="preserve">She </w:t>
      </w:r>
      <w:r w:rsidR="00F83150" w:rsidRPr="00242CFF">
        <w:rPr>
          <w:rFonts w:ascii="Arial" w:hAnsi="Arial" w:cs="Arial"/>
          <w:sz w:val="24"/>
          <w:szCs w:val="24"/>
        </w:rPr>
        <w:t xml:space="preserve">was unable to </w:t>
      </w:r>
      <w:r w:rsidR="007F7442" w:rsidRPr="00242CFF">
        <w:rPr>
          <w:rFonts w:ascii="Arial" w:hAnsi="Arial" w:cs="Arial"/>
          <w:sz w:val="24"/>
          <w:szCs w:val="24"/>
        </w:rPr>
        <w:t xml:space="preserve">dispute that the complainant could indeed have been at the house, alone with the appellant. </w:t>
      </w:r>
      <w:r w:rsidR="006D672C" w:rsidRPr="00242CFF">
        <w:rPr>
          <w:rFonts w:ascii="Arial" w:hAnsi="Arial" w:cs="Arial"/>
          <w:sz w:val="24"/>
          <w:szCs w:val="24"/>
        </w:rPr>
        <w:t>There had</w:t>
      </w:r>
      <w:r w:rsidR="00F83150" w:rsidRPr="00242CFF">
        <w:rPr>
          <w:rFonts w:ascii="Arial" w:hAnsi="Arial" w:cs="Arial"/>
          <w:sz w:val="24"/>
          <w:szCs w:val="24"/>
        </w:rPr>
        <w:t>, however,</w:t>
      </w:r>
      <w:r w:rsidR="006D672C" w:rsidRPr="00242CFF">
        <w:rPr>
          <w:rFonts w:ascii="Arial" w:hAnsi="Arial" w:cs="Arial"/>
          <w:sz w:val="24"/>
          <w:szCs w:val="24"/>
        </w:rPr>
        <w:t xml:space="preserve"> never been any problems with the complainant</w:t>
      </w:r>
      <w:r w:rsidR="00F83150" w:rsidRPr="00242CFF">
        <w:rPr>
          <w:rFonts w:ascii="Arial" w:hAnsi="Arial" w:cs="Arial"/>
          <w:sz w:val="24"/>
          <w:szCs w:val="24"/>
        </w:rPr>
        <w:t xml:space="preserve">; she </w:t>
      </w:r>
      <w:r w:rsidR="007F7442" w:rsidRPr="00242CFF">
        <w:rPr>
          <w:rFonts w:ascii="Arial" w:hAnsi="Arial" w:cs="Arial"/>
          <w:sz w:val="24"/>
          <w:szCs w:val="24"/>
        </w:rPr>
        <w:t>was not a regular visitor.</w:t>
      </w:r>
    </w:p>
    <w:p w14:paraId="6915E12D" w14:textId="77777777" w:rsidR="009411EB" w:rsidRDefault="009411EB" w:rsidP="009411EB">
      <w:pPr>
        <w:pStyle w:val="ListParagraph"/>
        <w:spacing w:line="360" w:lineRule="auto"/>
        <w:ind w:left="0"/>
        <w:jc w:val="both"/>
        <w:rPr>
          <w:rFonts w:ascii="Arial" w:hAnsi="Arial" w:cs="Arial"/>
          <w:sz w:val="24"/>
          <w:szCs w:val="24"/>
        </w:rPr>
      </w:pPr>
    </w:p>
    <w:p w14:paraId="076C7855" w14:textId="56113635" w:rsidR="00F83150" w:rsidRPr="00242CFF" w:rsidRDefault="00242CFF" w:rsidP="00242CFF">
      <w:pPr>
        <w:spacing w:line="360" w:lineRule="auto"/>
        <w:jc w:val="both"/>
        <w:rPr>
          <w:rFonts w:ascii="Arial" w:hAnsi="Arial" w:cs="Arial"/>
          <w:sz w:val="24"/>
          <w:szCs w:val="24"/>
        </w:rPr>
      </w:pPr>
      <w:r w:rsidRPr="009411EB">
        <w:rPr>
          <w:rFonts w:ascii="Arial" w:hAnsi="Arial" w:cs="Arial"/>
          <w:sz w:val="24"/>
          <w:szCs w:val="24"/>
        </w:rPr>
        <w:t>[8]</w:t>
      </w:r>
      <w:r w:rsidRPr="009411EB">
        <w:rPr>
          <w:rFonts w:ascii="Arial" w:hAnsi="Arial" w:cs="Arial"/>
          <w:sz w:val="24"/>
          <w:szCs w:val="24"/>
        </w:rPr>
        <w:tab/>
      </w:r>
      <w:r w:rsidR="00F83150" w:rsidRPr="00242CFF">
        <w:rPr>
          <w:rFonts w:ascii="Arial" w:hAnsi="Arial" w:cs="Arial"/>
          <w:sz w:val="24"/>
          <w:szCs w:val="24"/>
        </w:rPr>
        <w:t>The final witness for the defence was the investigating officer, Mr Luleka Hlangane</w:t>
      </w:r>
      <w:r w:rsidR="00BE2200" w:rsidRPr="00242CFF">
        <w:rPr>
          <w:rFonts w:ascii="Arial" w:hAnsi="Arial" w:cs="Arial"/>
          <w:sz w:val="24"/>
          <w:szCs w:val="24"/>
        </w:rPr>
        <w:t>. He</w:t>
      </w:r>
      <w:r w:rsidR="00F83150" w:rsidRPr="00242CFF">
        <w:rPr>
          <w:rFonts w:ascii="Arial" w:hAnsi="Arial" w:cs="Arial"/>
          <w:sz w:val="24"/>
          <w:szCs w:val="24"/>
        </w:rPr>
        <w:t xml:space="preserve"> testified that he had received a report on the incident on 23 April 2021</w:t>
      </w:r>
      <w:r w:rsidR="00BE2200" w:rsidRPr="00242CFF">
        <w:rPr>
          <w:rFonts w:ascii="Arial" w:hAnsi="Arial" w:cs="Arial"/>
          <w:sz w:val="24"/>
          <w:szCs w:val="24"/>
        </w:rPr>
        <w:t xml:space="preserve"> and </w:t>
      </w:r>
      <w:r w:rsidR="00F83150" w:rsidRPr="00242CFF">
        <w:rPr>
          <w:rFonts w:ascii="Arial" w:hAnsi="Arial" w:cs="Arial"/>
          <w:sz w:val="24"/>
          <w:szCs w:val="24"/>
        </w:rPr>
        <w:t>had interviewed the complainant a few weeks later</w:t>
      </w:r>
      <w:r w:rsidR="00BE2200" w:rsidRPr="00242CFF">
        <w:rPr>
          <w:rFonts w:ascii="Arial" w:hAnsi="Arial" w:cs="Arial"/>
          <w:sz w:val="24"/>
          <w:szCs w:val="24"/>
        </w:rPr>
        <w:t xml:space="preserve">. She had told him that her friend’s brother was responsible. They </w:t>
      </w:r>
      <w:r w:rsidR="00F83150" w:rsidRPr="00242CFF">
        <w:rPr>
          <w:rFonts w:ascii="Arial" w:hAnsi="Arial" w:cs="Arial"/>
          <w:sz w:val="24"/>
          <w:szCs w:val="24"/>
        </w:rPr>
        <w:t>had then gone to the appellant’s home on 12 July 2021</w:t>
      </w:r>
      <w:r w:rsidR="00BE2200" w:rsidRPr="00242CFF">
        <w:rPr>
          <w:rFonts w:ascii="Arial" w:hAnsi="Arial" w:cs="Arial"/>
          <w:sz w:val="24"/>
          <w:szCs w:val="24"/>
        </w:rPr>
        <w:t xml:space="preserve"> where t</w:t>
      </w:r>
      <w:r w:rsidR="00F83150" w:rsidRPr="00242CFF">
        <w:rPr>
          <w:rFonts w:ascii="Arial" w:hAnsi="Arial" w:cs="Arial"/>
          <w:sz w:val="24"/>
          <w:szCs w:val="24"/>
        </w:rPr>
        <w:t xml:space="preserve">he complainant had identified </w:t>
      </w:r>
      <w:r w:rsidR="00BE2200" w:rsidRPr="00242CFF">
        <w:rPr>
          <w:rFonts w:ascii="Arial" w:hAnsi="Arial" w:cs="Arial"/>
          <w:sz w:val="24"/>
          <w:szCs w:val="24"/>
        </w:rPr>
        <w:t>the appellant without hesitation.</w:t>
      </w:r>
    </w:p>
    <w:p w14:paraId="67510774" w14:textId="77777777" w:rsidR="00CF1E19" w:rsidRDefault="00CF1E19" w:rsidP="00537AB8">
      <w:pPr>
        <w:spacing w:line="360" w:lineRule="auto"/>
        <w:rPr>
          <w:rFonts w:ascii="Arial" w:hAnsi="Arial" w:cs="Arial"/>
          <w:sz w:val="24"/>
          <w:szCs w:val="24"/>
        </w:rPr>
      </w:pPr>
    </w:p>
    <w:p w14:paraId="2A97DE49" w14:textId="77777777" w:rsidR="00CF1E19" w:rsidRPr="00CF1E19" w:rsidRDefault="006F0DBA" w:rsidP="009411EB">
      <w:pPr>
        <w:spacing w:line="360" w:lineRule="auto"/>
        <w:jc w:val="both"/>
        <w:rPr>
          <w:rFonts w:ascii="Arial" w:hAnsi="Arial" w:cs="Arial"/>
          <w:b/>
          <w:bCs/>
          <w:sz w:val="24"/>
          <w:szCs w:val="24"/>
        </w:rPr>
      </w:pPr>
      <w:r>
        <w:rPr>
          <w:rFonts w:ascii="Arial" w:hAnsi="Arial" w:cs="Arial"/>
          <w:b/>
          <w:bCs/>
          <w:sz w:val="24"/>
          <w:szCs w:val="24"/>
        </w:rPr>
        <w:t>F</w:t>
      </w:r>
      <w:r w:rsidR="00CF1E19" w:rsidRPr="00CF1E19">
        <w:rPr>
          <w:rFonts w:ascii="Arial" w:hAnsi="Arial" w:cs="Arial"/>
          <w:b/>
          <w:bCs/>
          <w:sz w:val="24"/>
          <w:szCs w:val="24"/>
        </w:rPr>
        <w:t xml:space="preserve">indings </w:t>
      </w:r>
      <w:r>
        <w:rPr>
          <w:rFonts w:ascii="Arial" w:hAnsi="Arial" w:cs="Arial"/>
          <w:b/>
          <w:bCs/>
          <w:sz w:val="24"/>
          <w:szCs w:val="24"/>
        </w:rPr>
        <w:t>on the merits</w:t>
      </w:r>
    </w:p>
    <w:p w14:paraId="1F3754A3" w14:textId="77777777" w:rsidR="00CF1E19" w:rsidRDefault="00CF1E19" w:rsidP="00537AB8">
      <w:pPr>
        <w:spacing w:line="360" w:lineRule="auto"/>
        <w:rPr>
          <w:rFonts w:ascii="Arial" w:hAnsi="Arial" w:cs="Arial"/>
          <w:sz w:val="24"/>
          <w:szCs w:val="24"/>
        </w:rPr>
      </w:pPr>
    </w:p>
    <w:p w14:paraId="28B6BAF2" w14:textId="5A6C94A9" w:rsidR="009411EB" w:rsidRPr="00242CFF" w:rsidRDefault="00242CFF" w:rsidP="00242CFF">
      <w:pPr>
        <w:spacing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CF1E19" w:rsidRPr="00242CFF">
        <w:rPr>
          <w:rFonts w:ascii="Arial" w:hAnsi="Arial" w:cs="Arial"/>
          <w:sz w:val="24"/>
          <w:szCs w:val="24"/>
        </w:rPr>
        <w:t xml:space="preserve">The </w:t>
      </w:r>
      <w:r w:rsidR="004A4214" w:rsidRPr="00242CFF">
        <w:rPr>
          <w:rFonts w:ascii="Arial" w:hAnsi="Arial" w:cs="Arial"/>
          <w:sz w:val="24"/>
          <w:szCs w:val="24"/>
        </w:rPr>
        <w:t xml:space="preserve">court </w:t>
      </w:r>
      <w:r w:rsidR="004A4214" w:rsidRPr="00242CFF">
        <w:rPr>
          <w:rFonts w:ascii="Arial" w:hAnsi="Arial" w:cs="Arial"/>
          <w:i/>
          <w:iCs/>
          <w:sz w:val="24"/>
          <w:szCs w:val="24"/>
        </w:rPr>
        <w:t>a quo</w:t>
      </w:r>
      <w:r w:rsidR="00CF1E19" w:rsidRPr="00242CFF">
        <w:rPr>
          <w:rFonts w:ascii="Arial" w:hAnsi="Arial" w:cs="Arial"/>
          <w:sz w:val="24"/>
          <w:szCs w:val="24"/>
        </w:rPr>
        <w:t xml:space="preserve"> </w:t>
      </w:r>
      <w:r w:rsidR="00166412" w:rsidRPr="00242CFF">
        <w:rPr>
          <w:rFonts w:ascii="Arial" w:hAnsi="Arial" w:cs="Arial"/>
          <w:sz w:val="24"/>
          <w:szCs w:val="24"/>
        </w:rPr>
        <w:t>held that it was common cause that the complainant and the appellant were known to each other. The complainant was a friend of the appellant’s sister and would visit the house to play and to watch television. It was also not in dispute</w:t>
      </w:r>
      <w:r w:rsidR="004A4214" w:rsidRPr="00242CFF">
        <w:rPr>
          <w:rFonts w:ascii="Arial" w:hAnsi="Arial" w:cs="Arial"/>
          <w:sz w:val="24"/>
          <w:szCs w:val="24"/>
        </w:rPr>
        <w:t xml:space="preserve"> that the complainant had been raped. The court </w:t>
      </w:r>
      <w:r w:rsidR="004A4214" w:rsidRPr="00242CFF">
        <w:rPr>
          <w:rFonts w:ascii="Arial" w:hAnsi="Arial" w:cs="Arial"/>
          <w:i/>
          <w:iCs/>
          <w:sz w:val="24"/>
          <w:szCs w:val="24"/>
        </w:rPr>
        <w:t>a quo</w:t>
      </w:r>
      <w:r w:rsidR="004A4214" w:rsidRPr="00242CFF">
        <w:rPr>
          <w:rFonts w:ascii="Arial" w:hAnsi="Arial" w:cs="Arial"/>
          <w:sz w:val="24"/>
          <w:szCs w:val="24"/>
        </w:rPr>
        <w:t xml:space="preserve"> held that the question to be decided was whether the appellant was responsible for the offence.</w:t>
      </w:r>
      <w:r w:rsidR="00CF1E19" w:rsidRPr="00242CFF">
        <w:rPr>
          <w:rFonts w:ascii="Arial" w:hAnsi="Arial" w:cs="Arial"/>
          <w:sz w:val="24"/>
          <w:szCs w:val="24"/>
        </w:rPr>
        <w:t xml:space="preserve"> </w:t>
      </w:r>
    </w:p>
    <w:p w14:paraId="052EA591" w14:textId="295199A6"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A4214" w:rsidRPr="00242CFF">
        <w:rPr>
          <w:rFonts w:ascii="Arial" w:hAnsi="Arial" w:cs="Arial"/>
          <w:sz w:val="24"/>
          <w:szCs w:val="24"/>
        </w:rPr>
        <w:t xml:space="preserve">Whereas the complainant’s evidence was that of a single witness, the court </w:t>
      </w:r>
      <w:r w:rsidR="004A4214" w:rsidRPr="00242CFF">
        <w:rPr>
          <w:rFonts w:ascii="Arial" w:hAnsi="Arial" w:cs="Arial"/>
          <w:i/>
          <w:iCs/>
          <w:sz w:val="24"/>
          <w:szCs w:val="24"/>
        </w:rPr>
        <w:t>a quo</w:t>
      </w:r>
      <w:r w:rsidR="004A4214" w:rsidRPr="00242CFF">
        <w:rPr>
          <w:rFonts w:ascii="Arial" w:hAnsi="Arial" w:cs="Arial"/>
          <w:sz w:val="24"/>
          <w:szCs w:val="24"/>
        </w:rPr>
        <w:t xml:space="preserve"> found that she </w:t>
      </w:r>
      <w:r w:rsidR="004A409D" w:rsidRPr="00242CFF">
        <w:rPr>
          <w:rFonts w:ascii="Arial" w:hAnsi="Arial" w:cs="Arial"/>
          <w:sz w:val="24"/>
          <w:szCs w:val="24"/>
        </w:rPr>
        <w:t xml:space="preserve">had </w:t>
      </w:r>
      <w:r w:rsidR="004A4214" w:rsidRPr="00242CFF">
        <w:rPr>
          <w:rFonts w:ascii="Arial" w:hAnsi="Arial" w:cs="Arial"/>
          <w:sz w:val="24"/>
          <w:szCs w:val="24"/>
        </w:rPr>
        <w:t>g</w:t>
      </w:r>
      <w:r w:rsidR="004A409D" w:rsidRPr="00242CFF">
        <w:rPr>
          <w:rFonts w:ascii="Arial" w:hAnsi="Arial" w:cs="Arial"/>
          <w:sz w:val="24"/>
          <w:szCs w:val="24"/>
        </w:rPr>
        <w:t>iven</w:t>
      </w:r>
      <w:r w:rsidR="004A4214" w:rsidRPr="00242CFF">
        <w:rPr>
          <w:rFonts w:ascii="Arial" w:hAnsi="Arial" w:cs="Arial"/>
          <w:sz w:val="24"/>
          <w:szCs w:val="24"/>
        </w:rPr>
        <w:t xml:space="preserve"> credible and reliable testimony. It also found, with reference to section 59 of the </w:t>
      </w:r>
      <w:r w:rsidR="00D1005E" w:rsidRPr="00242CFF">
        <w:rPr>
          <w:rFonts w:ascii="Arial" w:hAnsi="Arial" w:cs="Arial"/>
          <w:sz w:val="24"/>
          <w:szCs w:val="24"/>
        </w:rPr>
        <w:t xml:space="preserve">Criminal Law (Sexual Offences and Related Matters) Amendment Act 32 of 2007 (‘SORMA’), </w:t>
      </w:r>
      <w:r w:rsidR="00446F6C" w:rsidRPr="00242CFF">
        <w:rPr>
          <w:rFonts w:ascii="Arial" w:hAnsi="Arial" w:cs="Arial"/>
          <w:sz w:val="24"/>
          <w:szCs w:val="24"/>
        </w:rPr>
        <w:t xml:space="preserve">that </w:t>
      </w:r>
      <w:r w:rsidR="00D1005E" w:rsidRPr="00242CFF">
        <w:rPr>
          <w:rFonts w:ascii="Arial" w:hAnsi="Arial" w:cs="Arial"/>
          <w:sz w:val="24"/>
          <w:szCs w:val="24"/>
        </w:rPr>
        <w:t xml:space="preserve">no inference could be drawn </w:t>
      </w:r>
      <w:r w:rsidR="009648C5" w:rsidRPr="00242CFF">
        <w:rPr>
          <w:rFonts w:ascii="Arial" w:hAnsi="Arial" w:cs="Arial"/>
          <w:sz w:val="24"/>
          <w:szCs w:val="24"/>
        </w:rPr>
        <w:t>sole</w:t>
      </w:r>
      <w:r w:rsidR="00D1005E" w:rsidRPr="00242CFF">
        <w:rPr>
          <w:rFonts w:ascii="Arial" w:hAnsi="Arial" w:cs="Arial"/>
          <w:sz w:val="24"/>
          <w:szCs w:val="24"/>
        </w:rPr>
        <w:t xml:space="preserve">ly from the length of delay between the alleged commission of </w:t>
      </w:r>
      <w:r w:rsidR="004A409D" w:rsidRPr="00242CFF">
        <w:rPr>
          <w:rFonts w:ascii="Arial" w:hAnsi="Arial" w:cs="Arial"/>
          <w:sz w:val="24"/>
          <w:szCs w:val="24"/>
        </w:rPr>
        <w:t>the</w:t>
      </w:r>
      <w:r w:rsidR="00D1005E" w:rsidRPr="00242CFF">
        <w:rPr>
          <w:rFonts w:ascii="Arial" w:hAnsi="Arial" w:cs="Arial"/>
          <w:sz w:val="24"/>
          <w:szCs w:val="24"/>
        </w:rPr>
        <w:t xml:space="preserve"> offence and the reporting thereof. The complainant </w:t>
      </w:r>
      <w:r w:rsidR="00B805EB" w:rsidRPr="00242CFF">
        <w:rPr>
          <w:rFonts w:ascii="Arial" w:hAnsi="Arial" w:cs="Arial"/>
          <w:sz w:val="24"/>
          <w:szCs w:val="24"/>
        </w:rPr>
        <w:t xml:space="preserve">had </w:t>
      </w:r>
      <w:r w:rsidR="00D1005E" w:rsidRPr="00242CFF">
        <w:rPr>
          <w:rFonts w:ascii="Arial" w:hAnsi="Arial" w:cs="Arial"/>
          <w:sz w:val="24"/>
          <w:szCs w:val="24"/>
        </w:rPr>
        <w:t xml:space="preserve">provided a plausible explanation for such delay. </w:t>
      </w:r>
    </w:p>
    <w:p w14:paraId="6992625F" w14:textId="77777777" w:rsidR="009411EB" w:rsidRDefault="009411EB" w:rsidP="009411EB">
      <w:pPr>
        <w:pStyle w:val="ListParagraph"/>
        <w:spacing w:line="360" w:lineRule="auto"/>
        <w:ind w:left="0"/>
        <w:jc w:val="both"/>
        <w:rPr>
          <w:rFonts w:ascii="Arial" w:hAnsi="Arial" w:cs="Arial"/>
          <w:sz w:val="24"/>
          <w:szCs w:val="24"/>
        </w:rPr>
      </w:pPr>
    </w:p>
    <w:p w14:paraId="2FD4C748" w14:textId="2D524888" w:rsidR="004A4214" w:rsidRPr="00242CFF" w:rsidRDefault="00242CFF" w:rsidP="00242CFF">
      <w:pPr>
        <w:spacing w:line="360" w:lineRule="auto"/>
        <w:jc w:val="both"/>
        <w:rPr>
          <w:rFonts w:ascii="Arial" w:hAnsi="Arial" w:cs="Arial"/>
          <w:sz w:val="24"/>
          <w:szCs w:val="24"/>
        </w:rPr>
      </w:pPr>
      <w:r w:rsidRPr="009411EB">
        <w:rPr>
          <w:rFonts w:ascii="Arial" w:hAnsi="Arial" w:cs="Arial"/>
          <w:sz w:val="24"/>
          <w:szCs w:val="24"/>
        </w:rPr>
        <w:t>[11]</w:t>
      </w:r>
      <w:r w:rsidRPr="009411EB">
        <w:rPr>
          <w:rFonts w:ascii="Arial" w:hAnsi="Arial" w:cs="Arial"/>
          <w:sz w:val="24"/>
          <w:szCs w:val="24"/>
        </w:rPr>
        <w:tab/>
      </w:r>
      <w:r w:rsidR="00D1005E" w:rsidRPr="00242CFF">
        <w:rPr>
          <w:rFonts w:ascii="Arial" w:hAnsi="Arial" w:cs="Arial"/>
          <w:sz w:val="24"/>
          <w:szCs w:val="24"/>
        </w:rPr>
        <w:t xml:space="preserve">The court </w:t>
      </w:r>
      <w:r w:rsidR="00D1005E" w:rsidRPr="00242CFF">
        <w:rPr>
          <w:rFonts w:ascii="Arial" w:hAnsi="Arial" w:cs="Arial"/>
          <w:i/>
          <w:iCs/>
          <w:sz w:val="24"/>
          <w:szCs w:val="24"/>
        </w:rPr>
        <w:t>a quo</w:t>
      </w:r>
      <w:r w:rsidR="00D1005E" w:rsidRPr="00242CFF">
        <w:rPr>
          <w:rFonts w:ascii="Arial" w:hAnsi="Arial" w:cs="Arial"/>
          <w:sz w:val="24"/>
          <w:szCs w:val="24"/>
        </w:rPr>
        <w:t xml:space="preserve"> found that</w:t>
      </w:r>
      <w:r w:rsidR="0020274B" w:rsidRPr="00242CFF">
        <w:rPr>
          <w:rFonts w:ascii="Arial" w:hAnsi="Arial" w:cs="Arial"/>
          <w:sz w:val="24"/>
          <w:szCs w:val="24"/>
        </w:rPr>
        <w:t>, too,</w:t>
      </w:r>
      <w:r w:rsidR="00D1005E" w:rsidRPr="00242CFF">
        <w:rPr>
          <w:rFonts w:ascii="Arial" w:hAnsi="Arial" w:cs="Arial"/>
          <w:sz w:val="24"/>
          <w:szCs w:val="24"/>
        </w:rPr>
        <w:t xml:space="preserve"> Ms Dziya and Ms Vellum </w:t>
      </w:r>
      <w:r w:rsidR="008179CD" w:rsidRPr="00242CFF">
        <w:rPr>
          <w:rFonts w:ascii="Arial" w:hAnsi="Arial" w:cs="Arial"/>
          <w:sz w:val="24"/>
          <w:szCs w:val="24"/>
        </w:rPr>
        <w:t>had been</w:t>
      </w:r>
      <w:r w:rsidR="00D1005E" w:rsidRPr="00242CFF">
        <w:rPr>
          <w:rFonts w:ascii="Arial" w:hAnsi="Arial" w:cs="Arial"/>
          <w:sz w:val="24"/>
          <w:szCs w:val="24"/>
        </w:rPr>
        <w:t xml:space="preserve"> credible and reliable witnesses. In contrast, the appellant and Ms July </w:t>
      </w:r>
      <w:r w:rsidR="008179CD" w:rsidRPr="00242CFF">
        <w:rPr>
          <w:rFonts w:ascii="Arial" w:hAnsi="Arial" w:cs="Arial"/>
          <w:sz w:val="24"/>
          <w:szCs w:val="24"/>
        </w:rPr>
        <w:t xml:space="preserve">had been </w:t>
      </w:r>
      <w:r w:rsidR="00D1005E" w:rsidRPr="00242CFF">
        <w:rPr>
          <w:rFonts w:ascii="Arial" w:hAnsi="Arial" w:cs="Arial"/>
          <w:sz w:val="24"/>
          <w:szCs w:val="24"/>
        </w:rPr>
        <w:t xml:space="preserve">evasive; they </w:t>
      </w:r>
      <w:r w:rsidR="008179CD" w:rsidRPr="00242CFF">
        <w:rPr>
          <w:rFonts w:ascii="Arial" w:hAnsi="Arial" w:cs="Arial"/>
          <w:sz w:val="24"/>
          <w:szCs w:val="24"/>
        </w:rPr>
        <w:t xml:space="preserve">had </w:t>
      </w:r>
      <w:r w:rsidR="00D1005E" w:rsidRPr="00242CFF">
        <w:rPr>
          <w:rFonts w:ascii="Arial" w:hAnsi="Arial" w:cs="Arial"/>
          <w:sz w:val="24"/>
          <w:szCs w:val="24"/>
        </w:rPr>
        <w:t xml:space="preserve">failed to respond to questions, </w:t>
      </w:r>
      <w:r w:rsidR="008179CD" w:rsidRPr="00242CFF">
        <w:rPr>
          <w:rFonts w:ascii="Arial" w:hAnsi="Arial" w:cs="Arial"/>
          <w:sz w:val="24"/>
          <w:szCs w:val="24"/>
        </w:rPr>
        <w:t xml:space="preserve">had </w:t>
      </w:r>
      <w:r w:rsidR="00D1005E" w:rsidRPr="00242CFF">
        <w:rPr>
          <w:rFonts w:ascii="Arial" w:hAnsi="Arial" w:cs="Arial"/>
          <w:sz w:val="24"/>
          <w:szCs w:val="24"/>
        </w:rPr>
        <w:t xml:space="preserve">not </w:t>
      </w:r>
      <w:r w:rsidR="008179CD" w:rsidRPr="00242CFF">
        <w:rPr>
          <w:rFonts w:ascii="Arial" w:hAnsi="Arial" w:cs="Arial"/>
          <w:sz w:val="24"/>
          <w:szCs w:val="24"/>
        </w:rPr>
        <w:t xml:space="preserve">been </w:t>
      </w:r>
      <w:r w:rsidR="00D1005E" w:rsidRPr="00242CFF">
        <w:rPr>
          <w:rFonts w:ascii="Arial" w:hAnsi="Arial" w:cs="Arial"/>
          <w:sz w:val="24"/>
          <w:szCs w:val="24"/>
        </w:rPr>
        <w:t xml:space="preserve">willing to make concessions, and </w:t>
      </w:r>
      <w:r w:rsidR="00517D52" w:rsidRPr="00242CFF">
        <w:rPr>
          <w:rFonts w:ascii="Arial" w:hAnsi="Arial" w:cs="Arial"/>
          <w:sz w:val="24"/>
          <w:szCs w:val="24"/>
        </w:rPr>
        <w:t xml:space="preserve">had </w:t>
      </w:r>
      <w:r w:rsidR="00D1005E" w:rsidRPr="00242CFF">
        <w:rPr>
          <w:rFonts w:ascii="Arial" w:hAnsi="Arial" w:cs="Arial"/>
          <w:sz w:val="24"/>
          <w:szCs w:val="24"/>
        </w:rPr>
        <w:t xml:space="preserve">contradicted each other. The court </w:t>
      </w:r>
      <w:r w:rsidR="00D1005E" w:rsidRPr="00242CFF">
        <w:rPr>
          <w:rFonts w:ascii="Arial" w:hAnsi="Arial" w:cs="Arial"/>
          <w:i/>
          <w:iCs/>
          <w:sz w:val="24"/>
          <w:szCs w:val="24"/>
        </w:rPr>
        <w:t>a quo</w:t>
      </w:r>
      <w:r w:rsidR="00D1005E" w:rsidRPr="00242CFF">
        <w:rPr>
          <w:rFonts w:ascii="Arial" w:hAnsi="Arial" w:cs="Arial"/>
          <w:sz w:val="24"/>
          <w:szCs w:val="24"/>
        </w:rPr>
        <w:t xml:space="preserve"> found that the appellant’s version </w:t>
      </w:r>
      <w:r w:rsidR="00517D52" w:rsidRPr="00242CFF">
        <w:rPr>
          <w:rFonts w:ascii="Arial" w:hAnsi="Arial" w:cs="Arial"/>
          <w:sz w:val="24"/>
          <w:szCs w:val="24"/>
        </w:rPr>
        <w:t xml:space="preserve">had been </w:t>
      </w:r>
      <w:r w:rsidR="00D1005E" w:rsidRPr="00242CFF">
        <w:rPr>
          <w:rFonts w:ascii="Arial" w:hAnsi="Arial" w:cs="Arial"/>
          <w:sz w:val="24"/>
          <w:szCs w:val="24"/>
        </w:rPr>
        <w:t xml:space="preserve">highly improbable, it </w:t>
      </w:r>
      <w:r w:rsidR="00517D52" w:rsidRPr="00242CFF">
        <w:rPr>
          <w:rFonts w:ascii="Arial" w:hAnsi="Arial" w:cs="Arial"/>
          <w:sz w:val="24"/>
          <w:szCs w:val="24"/>
        </w:rPr>
        <w:t xml:space="preserve">had </w:t>
      </w:r>
      <w:r w:rsidR="00D1005E" w:rsidRPr="00242CFF">
        <w:rPr>
          <w:rFonts w:ascii="Arial" w:hAnsi="Arial" w:cs="Arial"/>
          <w:sz w:val="24"/>
          <w:szCs w:val="24"/>
        </w:rPr>
        <w:t xml:space="preserve">not </w:t>
      </w:r>
      <w:r w:rsidR="00517D52" w:rsidRPr="00242CFF">
        <w:rPr>
          <w:rFonts w:ascii="Arial" w:hAnsi="Arial" w:cs="Arial"/>
          <w:sz w:val="24"/>
          <w:szCs w:val="24"/>
        </w:rPr>
        <w:t xml:space="preserve">been </w:t>
      </w:r>
      <w:r w:rsidR="00D1005E" w:rsidRPr="00242CFF">
        <w:rPr>
          <w:rFonts w:ascii="Arial" w:hAnsi="Arial" w:cs="Arial"/>
          <w:sz w:val="24"/>
          <w:szCs w:val="24"/>
        </w:rPr>
        <w:t>reasonably possibly true.</w:t>
      </w:r>
      <w:r w:rsidR="006F0DBA" w:rsidRPr="00242CFF">
        <w:rPr>
          <w:rFonts w:ascii="Arial" w:hAnsi="Arial" w:cs="Arial"/>
          <w:sz w:val="24"/>
          <w:szCs w:val="24"/>
        </w:rPr>
        <w:t xml:space="preserve"> It found</w:t>
      </w:r>
      <w:r w:rsidR="009648C5" w:rsidRPr="00242CFF">
        <w:rPr>
          <w:rFonts w:ascii="Arial" w:hAnsi="Arial" w:cs="Arial"/>
          <w:sz w:val="24"/>
          <w:szCs w:val="24"/>
        </w:rPr>
        <w:t>, ultimately,</w:t>
      </w:r>
      <w:r w:rsidR="006F0DBA" w:rsidRPr="00242CFF">
        <w:rPr>
          <w:rFonts w:ascii="Arial" w:hAnsi="Arial" w:cs="Arial"/>
          <w:sz w:val="24"/>
          <w:szCs w:val="24"/>
        </w:rPr>
        <w:t xml:space="preserve"> that the state had proved its case beyond reasonable doubt.</w:t>
      </w:r>
    </w:p>
    <w:p w14:paraId="10EDD6CC" w14:textId="77777777" w:rsidR="006F0DBA" w:rsidRDefault="006F0DBA" w:rsidP="00537AB8">
      <w:pPr>
        <w:spacing w:line="360" w:lineRule="auto"/>
        <w:rPr>
          <w:rFonts w:ascii="Arial" w:hAnsi="Arial" w:cs="Arial"/>
          <w:sz w:val="24"/>
          <w:szCs w:val="24"/>
        </w:rPr>
      </w:pPr>
    </w:p>
    <w:p w14:paraId="0F560816" w14:textId="77777777" w:rsidR="006F0DBA" w:rsidRPr="006F0DBA" w:rsidRDefault="006F0DBA" w:rsidP="009411EB">
      <w:pPr>
        <w:spacing w:line="360" w:lineRule="auto"/>
        <w:jc w:val="both"/>
        <w:rPr>
          <w:rFonts w:ascii="Arial" w:hAnsi="Arial" w:cs="Arial"/>
          <w:b/>
          <w:bCs/>
          <w:sz w:val="24"/>
          <w:szCs w:val="24"/>
        </w:rPr>
      </w:pPr>
      <w:r>
        <w:rPr>
          <w:rFonts w:ascii="Arial" w:hAnsi="Arial" w:cs="Arial"/>
          <w:b/>
          <w:bCs/>
          <w:sz w:val="24"/>
          <w:szCs w:val="24"/>
        </w:rPr>
        <w:t>D</w:t>
      </w:r>
      <w:r w:rsidRPr="006F0DBA">
        <w:rPr>
          <w:rFonts w:ascii="Arial" w:hAnsi="Arial" w:cs="Arial"/>
          <w:b/>
          <w:bCs/>
          <w:sz w:val="24"/>
          <w:szCs w:val="24"/>
        </w:rPr>
        <w:t>ecision on sentence</w:t>
      </w:r>
    </w:p>
    <w:p w14:paraId="7280DB67" w14:textId="77777777" w:rsidR="006F0DBA" w:rsidRDefault="006F0DBA" w:rsidP="00537AB8">
      <w:pPr>
        <w:spacing w:line="360" w:lineRule="auto"/>
        <w:rPr>
          <w:rFonts w:ascii="Arial" w:hAnsi="Arial" w:cs="Arial"/>
          <w:sz w:val="24"/>
          <w:szCs w:val="24"/>
        </w:rPr>
      </w:pPr>
    </w:p>
    <w:p w14:paraId="546DED16" w14:textId="76027C52"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648C5" w:rsidRPr="00242CFF">
        <w:rPr>
          <w:rFonts w:ascii="Arial" w:hAnsi="Arial" w:cs="Arial"/>
          <w:sz w:val="24"/>
          <w:szCs w:val="24"/>
        </w:rPr>
        <w:t xml:space="preserve">A pre-sentence report informed </w:t>
      </w:r>
      <w:r w:rsidR="001040E9" w:rsidRPr="00242CFF">
        <w:rPr>
          <w:rFonts w:ascii="Arial" w:hAnsi="Arial" w:cs="Arial"/>
          <w:sz w:val="24"/>
          <w:szCs w:val="24"/>
        </w:rPr>
        <w:t xml:space="preserve">the proceedings in relation to sentence. </w:t>
      </w:r>
      <w:r w:rsidR="00F50339" w:rsidRPr="00242CFF">
        <w:rPr>
          <w:rFonts w:ascii="Arial" w:hAnsi="Arial" w:cs="Arial"/>
          <w:sz w:val="24"/>
          <w:szCs w:val="24"/>
        </w:rPr>
        <w:t>T</w:t>
      </w:r>
      <w:r w:rsidR="001040E9" w:rsidRPr="00242CFF">
        <w:rPr>
          <w:rFonts w:ascii="Arial" w:hAnsi="Arial" w:cs="Arial"/>
          <w:sz w:val="24"/>
          <w:szCs w:val="24"/>
        </w:rPr>
        <w:t>he probation officer who compiled the report, a Mr Lindile Melamane, investigated a range of possible options. He noted</w:t>
      </w:r>
      <w:r w:rsidR="00F50339" w:rsidRPr="00242CFF">
        <w:rPr>
          <w:rFonts w:ascii="Arial" w:hAnsi="Arial" w:cs="Arial"/>
          <w:sz w:val="24"/>
          <w:szCs w:val="24"/>
        </w:rPr>
        <w:t>, firstly,</w:t>
      </w:r>
      <w:r w:rsidR="001040E9" w:rsidRPr="00242CFF">
        <w:rPr>
          <w:rFonts w:ascii="Arial" w:hAnsi="Arial" w:cs="Arial"/>
          <w:sz w:val="24"/>
          <w:szCs w:val="24"/>
        </w:rPr>
        <w:t xml:space="preserve"> that direct imprisonment would not be inappropriate but should be implemented only as a measure of last resort and for the shortest possible period. </w:t>
      </w:r>
      <w:r w:rsidR="000D4810" w:rsidRPr="00242CFF">
        <w:rPr>
          <w:rFonts w:ascii="Arial" w:hAnsi="Arial" w:cs="Arial"/>
          <w:sz w:val="24"/>
          <w:szCs w:val="24"/>
        </w:rPr>
        <w:t>He noted, secondly, that correctional supervision would be in the best interests of the appellant</w:t>
      </w:r>
      <w:r w:rsidR="00246359" w:rsidRPr="00242CFF">
        <w:rPr>
          <w:rFonts w:ascii="Arial" w:hAnsi="Arial" w:cs="Arial"/>
          <w:sz w:val="24"/>
          <w:szCs w:val="24"/>
        </w:rPr>
        <w:t xml:space="preserve"> </w:t>
      </w:r>
      <w:r w:rsidR="000D4810" w:rsidRPr="00242CFF">
        <w:rPr>
          <w:rFonts w:ascii="Arial" w:hAnsi="Arial" w:cs="Arial"/>
          <w:sz w:val="24"/>
          <w:szCs w:val="24"/>
        </w:rPr>
        <w:t xml:space="preserve">for several reasons, notwithstanding the fact that he </w:t>
      </w:r>
      <w:r w:rsidR="00E73D24" w:rsidRPr="00242CFF">
        <w:rPr>
          <w:rFonts w:ascii="Arial" w:hAnsi="Arial" w:cs="Arial"/>
          <w:sz w:val="24"/>
          <w:szCs w:val="24"/>
        </w:rPr>
        <w:t xml:space="preserve">had </w:t>
      </w:r>
      <w:r w:rsidR="000D4810" w:rsidRPr="00242CFF">
        <w:rPr>
          <w:rFonts w:ascii="Arial" w:hAnsi="Arial" w:cs="Arial"/>
          <w:sz w:val="24"/>
          <w:szCs w:val="24"/>
        </w:rPr>
        <w:t>not accept</w:t>
      </w:r>
      <w:r w:rsidR="00E73D24" w:rsidRPr="00242CFF">
        <w:rPr>
          <w:rFonts w:ascii="Arial" w:hAnsi="Arial" w:cs="Arial"/>
          <w:sz w:val="24"/>
          <w:szCs w:val="24"/>
        </w:rPr>
        <w:t>ed</w:t>
      </w:r>
      <w:r w:rsidR="000D4810" w:rsidRPr="00242CFF">
        <w:rPr>
          <w:rFonts w:ascii="Arial" w:hAnsi="Arial" w:cs="Arial"/>
          <w:sz w:val="24"/>
          <w:szCs w:val="24"/>
        </w:rPr>
        <w:t xml:space="preserve"> responsibility for the offence. </w:t>
      </w:r>
      <w:r w:rsidR="00F50339" w:rsidRPr="00242CFF">
        <w:rPr>
          <w:rFonts w:ascii="Arial" w:hAnsi="Arial" w:cs="Arial"/>
          <w:sz w:val="24"/>
          <w:szCs w:val="24"/>
        </w:rPr>
        <w:t xml:space="preserve">He </w:t>
      </w:r>
      <w:r w:rsidR="000D4810" w:rsidRPr="00242CFF">
        <w:rPr>
          <w:rFonts w:ascii="Arial" w:hAnsi="Arial" w:cs="Arial"/>
          <w:sz w:val="24"/>
          <w:szCs w:val="24"/>
        </w:rPr>
        <w:t>noted, thirdly</w:t>
      </w:r>
      <w:r w:rsidR="00F50339" w:rsidRPr="00242CFF">
        <w:rPr>
          <w:rFonts w:ascii="Arial" w:hAnsi="Arial" w:cs="Arial"/>
          <w:sz w:val="24"/>
          <w:szCs w:val="24"/>
        </w:rPr>
        <w:t xml:space="preserve">, that a postponed sentence was a suitable </w:t>
      </w:r>
      <w:r w:rsidR="00F50339" w:rsidRPr="00242CFF">
        <w:rPr>
          <w:rFonts w:ascii="Arial" w:hAnsi="Arial" w:cs="Arial"/>
          <w:sz w:val="24"/>
          <w:szCs w:val="24"/>
        </w:rPr>
        <w:lastRenderedPageBreak/>
        <w:t>option, provided that the appellant was placed under the supervision of a probation officer. Mr Melamane recommended</w:t>
      </w:r>
      <w:r w:rsidR="000D4810" w:rsidRPr="00242CFF">
        <w:rPr>
          <w:rFonts w:ascii="Arial" w:hAnsi="Arial" w:cs="Arial"/>
          <w:sz w:val="24"/>
          <w:szCs w:val="24"/>
        </w:rPr>
        <w:t>, ultimately, that the provisions of section 78(3) of the Child Justice Act 35 of 2008 (‘CJA’) be applied</w:t>
      </w:r>
      <w:r w:rsidR="00635738" w:rsidRPr="00242CFF">
        <w:rPr>
          <w:rFonts w:ascii="Arial" w:hAnsi="Arial" w:cs="Arial"/>
          <w:sz w:val="24"/>
          <w:szCs w:val="24"/>
        </w:rPr>
        <w:t>; these</w:t>
      </w:r>
      <w:r w:rsidR="000D4810" w:rsidRPr="00242CFF">
        <w:rPr>
          <w:rFonts w:ascii="Arial" w:hAnsi="Arial" w:cs="Arial"/>
          <w:sz w:val="24"/>
          <w:szCs w:val="24"/>
        </w:rPr>
        <w:t xml:space="preserve"> pertain</w:t>
      </w:r>
      <w:r w:rsidR="00635738" w:rsidRPr="00242CFF">
        <w:rPr>
          <w:rFonts w:ascii="Arial" w:hAnsi="Arial" w:cs="Arial"/>
          <w:sz w:val="24"/>
          <w:szCs w:val="24"/>
        </w:rPr>
        <w:t>ed</w:t>
      </w:r>
      <w:r w:rsidR="000D4810" w:rsidRPr="00242CFF">
        <w:rPr>
          <w:rFonts w:ascii="Arial" w:hAnsi="Arial" w:cs="Arial"/>
          <w:sz w:val="24"/>
          <w:szCs w:val="24"/>
        </w:rPr>
        <w:t xml:space="preserve"> to the postponement of the passing of sentence.</w:t>
      </w:r>
    </w:p>
    <w:p w14:paraId="182D49C6" w14:textId="77777777" w:rsidR="009411EB" w:rsidRDefault="009411EB" w:rsidP="009411EB">
      <w:pPr>
        <w:pStyle w:val="ListParagraph"/>
        <w:spacing w:line="360" w:lineRule="auto"/>
        <w:ind w:left="0"/>
        <w:jc w:val="both"/>
        <w:rPr>
          <w:rFonts w:ascii="Arial" w:hAnsi="Arial" w:cs="Arial"/>
          <w:sz w:val="24"/>
          <w:szCs w:val="24"/>
        </w:rPr>
      </w:pPr>
    </w:p>
    <w:p w14:paraId="1C73F02C" w14:textId="1813608A"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35738" w:rsidRPr="00242CFF">
        <w:rPr>
          <w:rFonts w:ascii="Arial" w:hAnsi="Arial" w:cs="Arial"/>
          <w:sz w:val="24"/>
          <w:szCs w:val="24"/>
        </w:rPr>
        <w:t xml:space="preserve">The court </w:t>
      </w:r>
      <w:r w:rsidR="00635738" w:rsidRPr="00242CFF">
        <w:rPr>
          <w:rFonts w:ascii="Arial" w:hAnsi="Arial" w:cs="Arial"/>
          <w:i/>
          <w:iCs/>
          <w:sz w:val="24"/>
          <w:szCs w:val="24"/>
        </w:rPr>
        <w:t>a quo</w:t>
      </w:r>
      <w:r w:rsidR="00635738" w:rsidRPr="00242CFF">
        <w:rPr>
          <w:rFonts w:ascii="Arial" w:hAnsi="Arial" w:cs="Arial"/>
          <w:sz w:val="24"/>
          <w:szCs w:val="24"/>
        </w:rPr>
        <w:t xml:space="preserve"> </w:t>
      </w:r>
      <w:r w:rsidR="0058624F" w:rsidRPr="00242CFF">
        <w:rPr>
          <w:rFonts w:ascii="Arial" w:hAnsi="Arial" w:cs="Arial"/>
          <w:sz w:val="24"/>
          <w:szCs w:val="24"/>
        </w:rPr>
        <w:t>mentioned</w:t>
      </w:r>
      <w:r w:rsidR="00635738" w:rsidRPr="00242CFF">
        <w:rPr>
          <w:rFonts w:ascii="Arial" w:hAnsi="Arial" w:cs="Arial"/>
          <w:sz w:val="24"/>
          <w:szCs w:val="24"/>
        </w:rPr>
        <w:t xml:space="preserve"> the sentencing provisions contained in chapter 10 of the CJA</w:t>
      </w:r>
      <w:r w:rsidR="0058624F" w:rsidRPr="00242CFF">
        <w:rPr>
          <w:rFonts w:ascii="Arial" w:hAnsi="Arial" w:cs="Arial"/>
          <w:sz w:val="24"/>
          <w:szCs w:val="24"/>
        </w:rPr>
        <w:t xml:space="preserve">, especially the objectives and related factors indicated under section 69. It held that the impact of the offence on the complainant had not been properly considered by either Mr Melamane or the defence. </w:t>
      </w:r>
      <w:r w:rsidR="002659C3" w:rsidRPr="00242CFF">
        <w:rPr>
          <w:rFonts w:ascii="Arial" w:hAnsi="Arial" w:cs="Arial"/>
          <w:sz w:val="24"/>
          <w:szCs w:val="24"/>
        </w:rPr>
        <w:t>Moreover, n</w:t>
      </w:r>
      <w:r w:rsidR="0058624F" w:rsidRPr="00242CFF">
        <w:rPr>
          <w:rFonts w:ascii="Arial" w:hAnsi="Arial" w:cs="Arial"/>
          <w:sz w:val="24"/>
          <w:szCs w:val="24"/>
        </w:rPr>
        <w:t xml:space="preserve">either had properly considered the interests of society. </w:t>
      </w:r>
      <w:r w:rsidR="00020EBC" w:rsidRPr="00242CFF">
        <w:rPr>
          <w:rFonts w:ascii="Arial" w:hAnsi="Arial" w:cs="Arial"/>
          <w:sz w:val="24"/>
          <w:szCs w:val="24"/>
        </w:rPr>
        <w:t xml:space="preserve">The court </w:t>
      </w:r>
      <w:r w:rsidR="00020EBC" w:rsidRPr="00242CFF">
        <w:rPr>
          <w:rFonts w:ascii="Arial" w:hAnsi="Arial" w:cs="Arial"/>
          <w:i/>
          <w:iCs/>
          <w:sz w:val="24"/>
          <w:szCs w:val="24"/>
        </w:rPr>
        <w:t>a quo</w:t>
      </w:r>
      <w:r w:rsidR="00020EBC" w:rsidRPr="00242CFF">
        <w:rPr>
          <w:rFonts w:ascii="Arial" w:hAnsi="Arial" w:cs="Arial"/>
          <w:sz w:val="24"/>
          <w:szCs w:val="24"/>
        </w:rPr>
        <w:t xml:space="preserve"> found that serious aggravating factors had been present, far outweighing the mitigating factors, and that the appellant had showed no remorse. It criticised Mr Melamane’s recommendation and held that a sentence imposed in terms of section 78(3) of the CJA would have been inappropriate.</w:t>
      </w:r>
    </w:p>
    <w:p w14:paraId="26D18727" w14:textId="77777777" w:rsidR="009411EB" w:rsidRPr="009411EB" w:rsidRDefault="009411EB" w:rsidP="009411EB">
      <w:pPr>
        <w:pStyle w:val="ListParagraph"/>
        <w:rPr>
          <w:rFonts w:ascii="Arial" w:hAnsi="Arial" w:cs="Arial"/>
          <w:sz w:val="24"/>
          <w:szCs w:val="24"/>
        </w:rPr>
      </w:pPr>
    </w:p>
    <w:p w14:paraId="4F3A9B5D" w14:textId="041842DB" w:rsidR="00020EBC" w:rsidRPr="00242CFF" w:rsidRDefault="00242CFF" w:rsidP="00242CFF">
      <w:pPr>
        <w:spacing w:line="360" w:lineRule="auto"/>
        <w:jc w:val="both"/>
        <w:rPr>
          <w:rFonts w:ascii="Arial" w:hAnsi="Arial" w:cs="Arial"/>
          <w:sz w:val="24"/>
          <w:szCs w:val="24"/>
        </w:rPr>
      </w:pPr>
      <w:r w:rsidRPr="009411EB">
        <w:rPr>
          <w:rFonts w:ascii="Arial" w:hAnsi="Arial" w:cs="Arial"/>
          <w:sz w:val="24"/>
          <w:szCs w:val="24"/>
        </w:rPr>
        <w:t>[14]</w:t>
      </w:r>
      <w:r w:rsidRPr="009411EB">
        <w:rPr>
          <w:rFonts w:ascii="Arial" w:hAnsi="Arial" w:cs="Arial"/>
          <w:sz w:val="24"/>
          <w:szCs w:val="24"/>
        </w:rPr>
        <w:tab/>
      </w:r>
      <w:r w:rsidR="00020EBC" w:rsidRPr="00242CFF">
        <w:rPr>
          <w:rFonts w:ascii="Arial" w:hAnsi="Arial" w:cs="Arial"/>
          <w:sz w:val="24"/>
          <w:szCs w:val="24"/>
        </w:rPr>
        <w:t>The appellant was sentenced in accordance with the provisions of section 77(1) of the CJA to eight years’</w:t>
      </w:r>
      <w:r w:rsidR="00782580" w:rsidRPr="00242CFF">
        <w:rPr>
          <w:rFonts w:ascii="Arial" w:hAnsi="Arial" w:cs="Arial"/>
          <w:sz w:val="24"/>
          <w:szCs w:val="24"/>
        </w:rPr>
        <w:t xml:space="preserve"> imprisonment. The sentence was</w:t>
      </w:r>
      <w:r w:rsidR="00AE4398" w:rsidRPr="00242CFF">
        <w:rPr>
          <w:rFonts w:ascii="Arial" w:hAnsi="Arial" w:cs="Arial"/>
          <w:sz w:val="24"/>
          <w:szCs w:val="24"/>
        </w:rPr>
        <w:t xml:space="preserve"> </w:t>
      </w:r>
      <w:r w:rsidR="00020EBC" w:rsidRPr="00242CFF">
        <w:rPr>
          <w:rFonts w:ascii="Arial" w:hAnsi="Arial" w:cs="Arial"/>
          <w:sz w:val="24"/>
          <w:szCs w:val="24"/>
        </w:rPr>
        <w:t xml:space="preserve">subject to review. </w:t>
      </w:r>
    </w:p>
    <w:p w14:paraId="16672178" w14:textId="77777777" w:rsidR="00AE4398" w:rsidRDefault="00AE4398" w:rsidP="00537AB8">
      <w:pPr>
        <w:spacing w:line="360" w:lineRule="auto"/>
        <w:rPr>
          <w:rFonts w:ascii="Arial" w:hAnsi="Arial" w:cs="Arial"/>
          <w:sz w:val="24"/>
          <w:szCs w:val="24"/>
        </w:rPr>
      </w:pPr>
    </w:p>
    <w:p w14:paraId="0D7BB48A" w14:textId="77777777" w:rsidR="00AE4398" w:rsidRPr="00AE4398" w:rsidRDefault="00AE4398" w:rsidP="009411EB">
      <w:pPr>
        <w:spacing w:line="360" w:lineRule="auto"/>
        <w:jc w:val="both"/>
        <w:rPr>
          <w:rFonts w:ascii="Arial" w:hAnsi="Arial" w:cs="Arial"/>
          <w:b/>
          <w:bCs/>
          <w:sz w:val="24"/>
          <w:szCs w:val="24"/>
        </w:rPr>
      </w:pPr>
      <w:r w:rsidRPr="00AE4398">
        <w:rPr>
          <w:rFonts w:ascii="Arial" w:hAnsi="Arial" w:cs="Arial"/>
          <w:b/>
          <w:bCs/>
          <w:sz w:val="24"/>
          <w:szCs w:val="24"/>
        </w:rPr>
        <w:t>Grounds of appeal</w:t>
      </w:r>
    </w:p>
    <w:p w14:paraId="5DC9D198" w14:textId="77777777" w:rsidR="00AE4398" w:rsidRDefault="00AE4398" w:rsidP="00537AB8">
      <w:pPr>
        <w:spacing w:line="360" w:lineRule="auto"/>
        <w:rPr>
          <w:rFonts w:ascii="Arial" w:hAnsi="Arial" w:cs="Arial"/>
          <w:sz w:val="24"/>
          <w:szCs w:val="24"/>
        </w:rPr>
      </w:pPr>
    </w:p>
    <w:p w14:paraId="227AAEA7" w14:textId="3A36C53C"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AE4398" w:rsidRPr="00242CFF">
        <w:rPr>
          <w:rFonts w:ascii="Arial" w:hAnsi="Arial" w:cs="Arial"/>
          <w:sz w:val="24"/>
          <w:szCs w:val="24"/>
        </w:rPr>
        <w:t>The appellant filed his appeal late but applied for condonation</w:t>
      </w:r>
      <w:r w:rsidR="00782580" w:rsidRPr="00242CFF">
        <w:rPr>
          <w:rFonts w:ascii="Arial" w:hAnsi="Arial" w:cs="Arial"/>
          <w:sz w:val="24"/>
          <w:szCs w:val="24"/>
        </w:rPr>
        <w:t xml:space="preserve">. The state did not oppose. This </w:t>
      </w:r>
      <w:r w:rsidR="00AE4398" w:rsidRPr="00242CFF">
        <w:rPr>
          <w:rFonts w:ascii="Arial" w:hAnsi="Arial" w:cs="Arial"/>
          <w:sz w:val="24"/>
          <w:szCs w:val="24"/>
        </w:rPr>
        <w:t>court was satisfied that the appellant had set out a basis for the relief sought and granted an order to that effect.</w:t>
      </w:r>
    </w:p>
    <w:p w14:paraId="578B0EDD" w14:textId="77777777" w:rsidR="009411EB" w:rsidRDefault="009411EB" w:rsidP="009411EB">
      <w:pPr>
        <w:pStyle w:val="ListParagraph"/>
        <w:spacing w:line="360" w:lineRule="auto"/>
        <w:ind w:left="0"/>
        <w:jc w:val="both"/>
        <w:rPr>
          <w:rFonts w:ascii="Arial" w:hAnsi="Arial" w:cs="Arial"/>
          <w:sz w:val="24"/>
          <w:szCs w:val="24"/>
        </w:rPr>
      </w:pPr>
    </w:p>
    <w:p w14:paraId="0CC61818" w14:textId="5AF9831D"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AE4398" w:rsidRPr="00242CFF">
        <w:rPr>
          <w:rFonts w:ascii="Arial" w:hAnsi="Arial" w:cs="Arial"/>
          <w:sz w:val="24"/>
          <w:szCs w:val="24"/>
        </w:rPr>
        <w:t xml:space="preserve">In his appeal, the appellant contends, </w:t>
      </w:r>
      <w:r w:rsidR="007941A3" w:rsidRPr="00242CFF">
        <w:rPr>
          <w:rFonts w:ascii="Arial" w:hAnsi="Arial" w:cs="Arial"/>
          <w:sz w:val="24"/>
          <w:szCs w:val="24"/>
        </w:rPr>
        <w:t>at the outset</w:t>
      </w:r>
      <w:r w:rsidR="00AE4398" w:rsidRPr="00242CFF">
        <w:rPr>
          <w:rFonts w:ascii="Arial" w:hAnsi="Arial" w:cs="Arial"/>
          <w:sz w:val="24"/>
          <w:szCs w:val="24"/>
        </w:rPr>
        <w:t xml:space="preserve">, that the court </w:t>
      </w:r>
      <w:r w:rsidR="00AE4398" w:rsidRPr="00242CFF">
        <w:rPr>
          <w:rFonts w:ascii="Arial" w:hAnsi="Arial" w:cs="Arial"/>
          <w:i/>
          <w:iCs/>
          <w:sz w:val="24"/>
          <w:szCs w:val="24"/>
        </w:rPr>
        <w:t>a quo</w:t>
      </w:r>
      <w:r w:rsidR="00AE4398" w:rsidRPr="00242CFF">
        <w:rPr>
          <w:rFonts w:ascii="Arial" w:hAnsi="Arial" w:cs="Arial"/>
          <w:sz w:val="24"/>
          <w:szCs w:val="24"/>
        </w:rPr>
        <w:t xml:space="preserve"> failed to apply</w:t>
      </w:r>
      <w:r w:rsidR="007E3FAC" w:rsidRPr="00242CFF">
        <w:rPr>
          <w:rFonts w:ascii="Arial" w:hAnsi="Arial" w:cs="Arial"/>
          <w:sz w:val="24"/>
          <w:szCs w:val="24"/>
        </w:rPr>
        <w:t>, properly, the provisions of</w:t>
      </w:r>
      <w:r w:rsidR="00AE4398" w:rsidRPr="00242CFF">
        <w:rPr>
          <w:rFonts w:ascii="Arial" w:hAnsi="Arial" w:cs="Arial"/>
          <w:sz w:val="24"/>
          <w:szCs w:val="24"/>
        </w:rPr>
        <w:t xml:space="preserve"> </w:t>
      </w:r>
      <w:r w:rsidR="007E3FAC" w:rsidRPr="00242CFF">
        <w:rPr>
          <w:rFonts w:ascii="Arial" w:hAnsi="Arial" w:cs="Arial"/>
          <w:sz w:val="24"/>
          <w:szCs w:val="24"/>
        </w:rPr>
        <w:t xml:space="preserve">section 164 of the Criminal Procedure Act 51 of 1977 (‘CPA’). He asserts that the </w:t>
      </w:r>
      <w:r w:rsidR="00B16FEF" w:rsidRPr="00242CFF">
        <w:rPr>
          <w:rFonts w:ascii="Arial" w:hAnsi="Arial" w:cs="Arial"/>
          <w:sz w:val="24"/>
          <w:szCs w:val="24"/>
        </w:rPr>
        <w:t xml:space="preserve">court </w:t>
      </w:r>
      <w:r w:rsidR="00B16FEF" w:rsidRPr="00242CFF">
        <w:rPr>
          <w:rFonts w:ascii="Arial" w:hAnsi="Arial" w:cs="Arial"/>
          <w:i/>
          <w:iCs/>
          <w:sz w:val="24"/>
          <w:szCs w:val="24"/>
        </w:rPr>
        <w:t>a quo</w:t>
      </w:r>
      <w:r w:rsidR="00B16FEF" w:rsidRPr="00242CFF">
        <w:rPr>
          <w:rFonts w:ascii="Arial" w:hAnsi="Arial" w:cs="Arial"/>
          <w:sz w:val="24"/>
          <w:szCs w:val="24"/>
        </w:rPr>
        <w:t xml:space="preserve"> </w:t>
      </w:r>
      <w:r w:rsidR="00FD257F" w:rsidRPr="00242CFF">
        <w:rPr>
          <w:rFonts w:ascii="Arial" w:hAnsi="Arial" w:cs="Arial"/>
          <w:sz w:val="24"/>
          <w:szCs w:val="24"/>
        </w:rPr>
        <w:t xml:space="preserve">did </w:t>
      </w:r>
      <w:r w:rsidR="007E3FAC" w:rsidRPr="00242CFF">
        <w:rPr>
          <w:rFonts w:ascii="Arial" w:hAnsi="Arial" w:cs="Arial"/>
          <w:sz w:val="24"/>
          <w:szCs w:val="24"/>
        </w:rPr>
        <w:t xml:space="preserve">not ascertain whether the complainant </w:t>
      </w:r>
      <w:r w:rsidR="00D3593F" w:rsidRPr="00242CFF">
        <w:rPr>
          <w:rFonts w:ascii="Arial" w:hAnsi="Arial" w:cs="Arial"/>
          <w:sz w:val="24"/>
          <w:szCs w:val="24"/>
        </w:rPr>
        <w:t>had been</w:t>
      </w:r>
      <w:r w:rsidR="007E3FAC" w:rsidRPr="00242CFF">
        <w:rPr>
          <w:rFonts w:ascii="Arial" w:hAnsi="Arial" w:cs="Arial"/>
          <w:sz w:val="24"/>
          <w:szCs w:val="24"/>
        </w:rPr>
        <w:t xml:space="preserve"> competent to give evidence </w:t>
      </w:r>
      <w:r w:rsidR="0086508F" w:rsidRPr="00242CFF">
        <w:rPr>
          <w:rFonts w:ascii="Arial" w:hAnsi="Arial" w:cs="Arial"/>
          <w:sz w:val="24"/>
          <w:szCs w:val="24"/>
        </w:rPr>
        <w:t>truthfully and</w:t>
      </w:r>
      <w:r w:rsidR="00FD257F" w:rsidRPr="00242CFF">
        <w:rPr>
          <w:rFonts w:ascii="Arial" w:hAnsi="Arial" w:cs="Arial"/>
          <w:sz w:val="24"/>
          <w:szCs w:val="24"/>
        </w:rPr>
        <w:t xml:space="preserve"> </w:t>
      </w:r>
      <w:r w:rsidR="007E3FAC" w:rsidRPr="00242CFF">
        <w:rPr>
          <w:rFonts w:ascii="Arial" w:hAnsi="Arial" w:cs="Arial"/>
          <w:sz w:val="24"/>
          <w:szCs w:val="24"/>
        </w:rPr>
        <w:t xml:space="preserve">administered the prescribed oath inappropriately. </w:t>
      </w:r>
    </w:p>
    <w:p w14:paraId="26970219" w14:textId="77777777" w:rsidR="009411EB" w:rsidRPr="009411EB" w:rsidRDefault="009411EB" w:rsidP="009411EB">
      <w:pPr>
        <w:pStyle w:val="ListParagraph"/>
        <w:rPr>
          <w:rFonts w:ascii="Arial" w:hAnsi="Arial" w:cs="Arial"/>
          <w:sz w:val="24"/>
          <w:szCs w:val="24"/>
        </w:rPr>
      </w:pPr>
    </w:p>
    <w:p w14:paraId="0A384776" w14:textId="502CC129"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E3FAC" w:rsidRPr="00242CFF">
        <w:rPr>
          <w:rFonts w:ascii="Arial" w:hAnsi="Arial" w:cs="Arial"/>
          <w:sz w:val="24"/>
          <w:szCs w:val="24"/>
        </w:rPr>
        <w:t xml:space="preserve">The appellant goes on to say that the </w:t>
      </w:r>
      <w:r w:rsidR="003F0F76" w:rsidRPr="00242CFF">
        <w:rPr>
          <w:rFonts w:ascii="Arial" w:hAnsi="Arial" w:cs="Arial"/>
          <w:sz w:val="24"/>
          <w:szCs w:val="24"/>
        </w:rPr>
        <w:t xml:space="preserve">court </w:t>
      </w:r>
      <w:r w:rsidR="003F0F76" w:rsidRPr="00242CFF">
        <w:rPr>
          <w:rFonts w:ascii="Arial" w:hAnsi="Arial" w:cs="Arial"/>
          <w:i/>
          <w:iCs/>
          <w:sz w:val="24"/>
          <w:szCs w:val="24"/>
        </w:rPr>
        <w:t>a quo</w:t>
      </w:r>
      <w:r w:rsidR="003F0F76" w:rsidRPr="00242CFF">
        <w:rPr>
          <w:rFonts w:ascii="Arial" w:hAnsi="Arial" w:cs="Arial"/>
          <w:sz w:val="24"/>
          <w:szCs w:val="24"/>
        </w:rPr>
        <w:t xml:space="preserve"> </w:t>
      </w:r>
      <w:r w:rsidR="007E3FAC" w:rsidRPr="00242CFF">
        <w:rPr>
          <w:rFonts w:ascii="Arial" w:hAnsi="Arial" w:cs="Arial"/>
          <w:sz w:val="24"/>
          <w:szCs w:val="24"/>
        </w:rPr>
        <w:t xml:space="preserve">failed to </w:t>
      </w:r>
      <w:r w:rsidR="007941A3" w:rsidRPr="00242CFF">
        <w:rPr>
          <w:rFonts w:ascii="Arial" w:hAnsi="Arial" w:cs="Arial"/>
          <w:sz w:val="24"/>
          <w:szCs w:val="24"/>
        </w:rPr>
        <w:t>appreciate</w:t>
      </w:r>
      <w:r w:rsidR="007E3FAC" w:rsidRPr="00242CFF">
        <w:rPr>
          <w:rFonts w:ascii="Arial" w:hAnsi="Arial" w:cs="Arial"/>
          <w:sz w:val="24"/>
          <w:szCs w:val="24"/>
        </w:rPr>
        <w:t xml:space="preserve"> the contradictions between the complainant’s letter to Ms Dziya and her testimony at trial. The </w:t>
      </w:r>
      <w:r w:rsidR="007C20B4" w:rsidRPr="00242CFF">
        <w:rPr>
          <w:rFonts w:ascii="Arial" w:hAnsi="Arial" w:cs="Arial"/>
          <w:sz w:val="24"/>
          <w:szCs w:val="24"/>
        </w:rPr>
        <w:t xml:space="preserve">court </w:t>
      </w:r>
      <w:r w:rsidR="007C20B4" w:rsidRPr="00242CFF">
        <w:rPr>
          <w:rFonts w:ascii="Arial" w:hAnsi="Arial" w:cs="Arial"/>
          <w:i/>
          <w:iCs/>
          <w:sz w:val="24"/>
          <w:szCs w:val="24"/>
        </w:rPr>
        <w:t>a quo</w:t>
      </w:r>
      <w:r w:rsidR="007C20B4" w:rsidRPr="00242CFF">
        <w:rPr>
          <w:rFonts w:ascii="Arial" w:hAnsi="Arial" w:cs="Arial"/>
          <w:sz w:val="24"/>
          <w:szCs w:val="24"/>
        </w:rPr>
        <w:t xml:space="preserve"> </w:t>
      </w:r>
      <w:r w:rsidR="007E3FAC" w:rsidRPr="00242CFF">
        <w:rPr>
          <w:rFonts w:ascii="Arial" w:hAnsi="Arial" w:cs="Arial"/>
          <w:sz w:val="24"/>
          <w:szCs w:val="24"/>
        </w:rPr>
        <w:t xml:space="preserve">also failed to exercise the cautionary rule in relation to, </w:t>
      </w:r>
      <w:r w:rsidR="007E3FAC" w:rsidRPr="00242CFF">
        <w:rPr>
          <w:rFonts w:ascii="Arial" w:hAnsi="Arial" w:cs="Arial"/>
          <w:i/>
          <w:iCs/>
          <w:sz w:val="24"/>
          <w:szCs w:val="24"/>
        </w:rPr>
        <w:t>inter alia</w:t>
      </w:r>
      <w:r w:rsidR="007E3FAC" w:rsidRPr="00242CFF">
        <w:rPr>
          <w:rFonts w:ascii="Arial" w:hAnsi="Arial" w:cs="Arial"/>
          <w:sz w:val="24"/>
          <w:szCs w:val="24"/>
        </w:rPr>
        <w:t xml:space="preserve">, the complainant’s admission that she </w:t>
      </w:r>
      <w:r w:rsidR="007C20B4" w:rsidRPr="00242CFF">
        <w:rPr>
          <w:rFonts w:ascii="Arial" w:hAnsi="Arial" w:cs="Arial"/>
          <w:sz w:val="24"/>
          <w:szCs w:val="24"/>
        </w:rPr>
        <w:t xml:space="preserve">had </w:t>
      </w:r>
      <w:r w:rsidR="007E3FAC" w:rsidRPr="00242CFF">
        <w:rPr>
          <w:rFonts w:ascii="Arial" w:hAnsi="Arial" w:cs="Arial"/>
          <w:sz w:val="24"/>
          <w:szCs w:val="24"/>
        </w:rPr>
        <w:t>told lies</w:t>
      </w:r>
      <w:r w:rsidR="0045528B" w:rsidRPr="00242CFF">
        <w:rPr>
          <w:rFonts w:ascii="Arial" w:hAnsi="Arial" w:cs="Arial"/>
          <w:sz w:val="24"/>
          <w:szCs w:val="24"/>
        </w:rPr>
        <w:t xml:space="preserve">. The </w:t>
      </w:r>
      <w:r w:rsidR="00C75A71" w:rsidRPr="00242CFF">
        <w:rPr>
          <w:rFonts w:ascii="Arial" w:hAnsi="Arial" w:cs="Arial"/>
          <w:sz w:val="24"/>
          <w:szCs w:val="24"/>
        </w:rPr>
        <w:t xml:space="preserve">court </w:t>
      </w:r>
      <w:r w:rsidR="00C75A71" w:rsidRPr="00242CFF">
        <w:rPr>
          <w:rFonts w:ascii="Arial" w:hAnsi="Arial" w:cs="Arial"/>
          <w:i/>
          <w:iCs/>
          <w:sz w:val="24"/>
          <w:szCs w:val="24"/>
        </w:rPr>
        <w:t>a quo</w:t>
      </w:r>
      <w:r w:rsidR="0045528B" w:rsidRPr="00242CFF">
        <w:rPr>
          <w:rFonts w:ascii="Arial" w:hAnsi="Arial" w:cs="Arial"/>
          <w:sz w:val="24"/>
          <w:szCs w:val="24"/>
        </w:rPr>
        <w:t xml:space="preserve"> ought to have found that the complainant’s allegations of rape </w:t>
      </w:r>
      <w:r w:rsidR="00900F1C" w:rsidRPr="00242CFF">
        <w:rPr>
          <w:rFonts w:ascii="Arial" w:hAnsi="Arial" w:cs="Arial"/>
          <w:sz w:val="24"/>
          <w:szCs w:val="24"/>
        </w:rPr>
        <w:t>had been</w:t>
      </w:r>
      <w:r w:rsidR="0045528B" w:rsidRPr="00242CFF">
        <w:rPr>
          <w:rFonts w:ascii="Arial" w:hAnsi="Arial" w:cs="Arial"/>
          <w:sz w:val="24"/>
          <w:szCs w:val="24"/>
        </w:rPr>
        <w:t xml:space="preserve"> influenced by the suggestive nature of the No Means No</w:t>
      </w:r>
      <w:r w:rsidR="001C7EB1" w:rsidRPr="00242CFF">
        <w:rPr>
          <w:rFonts w:ascii="Arial" w:hAnsi="Arial" w:cs="Arial"/>
          <w:sz w:val="24"/>
          <w:szCs w:val="24"/>
        </w:rPr>
        <w:t xml:space="preserve">- </w:t>
      </w:r>
      <w:r w:rsidR="0045528B" w:rsidRPr="00242CFF">
        <w:rPr>
          <w:rFonts w:ascii="Arial" w:hAnsi="Arial" w:cs="Arial"/>
          <w:sz w:val="24"/>
          <w:szCs w:val="24"/>
        </w:rPr>
        <w:t xml:space="preserve">programme and </w:t>
      </w:r>
      <w:r w:rsidR="000B5C07" w:rsidRPr="00242CFF">
        <w:rPr>
          <w:rFonts w:ascii="Arial" w:hAnsi="Arial" w:cs="Arial"/>
          <w:sz w:val="24"/>
          <w:szCs w:val="24"/>
        </w:rPr>
        <w:t xml:space="preserve">had </w:t>
      </w:r>
      <w:r w:rsidR="0045528B" w:rsidRPr="00242CFF">
        <w:rPr>
          <w:rFonts w:ascii="Arial" w:hAnsi="Arial" w:cs="Arial"/>
          <w:sz w:val="24"/>
          <w:szCs w:val="24"/>
        </w:rPr>
        <w:t xml:space="preserve">therefore </w:t>
      </w:r>
      <w:r w:rsidR="000B5C07" w:rsidRPr="00242CFF">
        <w:rPr>
          <w:rFonts w:ascii="Arial" w:hAnsi="Arial" w:cs="Arial"/>
          <w:sz w:val="24"/>
          <w:szCs w:val="24"/>
        </w:rPr>
        <w:t xml:space="preserve">been </w:t>
      </w:r>
      <w:r w:rsidR="0045528B" w:rsidRPr="00242CFF">
        <w:rPr>
          <w:rFonts w:ascii="Arial" w:hAnsi="Arial" w:cs="Arial"/>
          <w:sz w:val="24"/>
          <w:szCs w:val="24"/>
        </w:rPr>
        <w:t>unreliable.</w:t>
      </w:r>
    </w:p>
    <w:p w14:paraId="2C1A2D32" w14:textId="77777777" w:rsidR="009411EB" w:rsidRPr="009411EB" w:rsidRDefault="009411EB" w:rsidP="009411EB">
      <w:pPr>
        <w:pStyle w:val="ListParagraph"/>
        <w:rPr>
          <w:rFonts w:ascii="Arial" w:hAnsi="Arial" w:cs="Arial"/>
          <w:sz w:val="24"/>
          <w:szCs w:val="24"/>
        </w:rPr>
      </w:pPr>
    </w:p>
    <w:p w14:paraId="03449AE7" w14:textId="2E8CEA85"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5528B" w:rsidRPr="00242CFF">
        <w:rPr>
          <w:rFonts w:ascii="Arial" w:hAnsi="Arial" w:cs="Arial"/>
          <w:sz w:val="24"/>
          <w:szCs w:val="24"/>
        </w:rPr>
        <w:t xml:space="preserve">The appellant argues that the </w:t>
      </w:r>
      <w:r w:rsidR="00D950AB" w:rsidRPr="00242CFF">
        <w:rPr>
          <w:rFonts w:ascii="Arial" w:hAnsi="Arial" w:cs="Arial"/>
          <w:sz w:val="24"/>
          <w:szCs w:val="24"/>
        </w:rPr>
        <w:t xml:space="preserve">court </w:t>
      </w:r>
      <w:r w:rsidR="00D950AB" w:rsidRPr="00242CFF">
        <w:rPr>
          <w:rFonts w:ascii="Arial" w:hAnsi="Arial" w:cs="Arial"/>
          <w:i/>
          <w:iCs/>
          <w:sz w:val="24"/>
          <w:szCs w:val="24"/>
        </w:rPr>
        <w:t>a quo</w:t>
      </w:r>
      <w:r w:rsidR="00D950AB" w:rsidRPr="00242CFF">
        <w:rPr>
          <w:rFonts w:ascii="Arial" w:hAnsi="Arial" w:cs="Arial"/>
          <w:sz w:val="24"/>
          <w:szCs w:val="24"/>
        </w:rPr>
        <w:t xml:space="preserve"> </w:t>
      </w:r>
      <w:r w:rsidR="0045528B" w:rsidRPr="00242CFF">
        <w:rPr>
          <w:rFonts w:ascii="Arial" w:hAnsi="Arial" w:cs="Arial"/>
          <w:sz w:val="24"/>
          <w:szCs w:val="24"/>
        </w:rPr>
        <w:t xml:space="preserve">erred in not finding that his version </w:t>
      </w:r>
      <w:r w:rsidR="00D950AB" w:rsidRPr="00242CFF">
        <w:rPr>
          <w:rFonts w:ascii="Arial" w:hAnsi="Arial" w:cs="Arial"/>
          <w:sz w:val="24"/>
          <w:szCs w:val="24"/>
        </w:rPr>
        <w:t xml:space="preserve">had been </w:t>
      </w:r>
      <w:r w:rsidR="0045528B" w:rsidRPr="00242CFF">
        <w:rPr>
          <w:rFonts w:ascii="Arial" w:hAnsi="Arial" w:cs="Arial"/>
          <w:sz w:val="24"/>
          <w:szCs w:val="24"/>
        </w:rPr>
        <w:t>reasonably possibly true, and in finding (ultimately) that the state had proved its case beyond reasonable doubt.</w:t>
      </w:r>
    </w:p>
    <w:p w14:paraId="79F74B2F" w14:textId="77777777" w:rsidR="009411EB" w:rsidRPr="009411EB" w:rsidRDefault="009411EB" w:rsidP="009411EB">
      <w:pPr>
        <w:pStyle w:val="ListParagraph"/>
        <w:rPr>
          <w:rFonts w:ascii="Arial" w:hAnsi="Arial" w:cs="Arial"/>
          <w:sz w:val="24"/>
          <w:szCs w:val="24"/>
        </w:rPr>
      </w:pPr>
    </w:p>
    <w:p w14:paraId="1F0C3DEB" w14:textId="55E00BDA"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5528B" w:rsidRPr="00242CFF">
        <w:rPr>
          <w:rFonts w:ascii="Arial" w:hAnsi="Arial" w:cs="Arial"/>
          <w:sz w:val="24"/>
          <w:szCs w:val="24"/>
        </w:rPr>
        <w:t xml:space="preserve">A further point taken by the appellant is that he </w:t>
      </w:r>
      <w:r w:rsidR="00187478" w:rsidRPr="00242CFF">
        <w:rPr>
          <w:rFonts w:ascii="Arial" w:hAnsi="Arial" w:cs="Arial"/>
          <w:sz w:val="24"/>
          <w:szCs w:val="24"/>
        </w:rPr>
        <w:t>did</w:t>
      </w:r>
      <w:r w:rsidR="0045528B" w:rsidRPr="00242CFF">
        <w:rPr>
          <w:rFonts w:ascii="Arial" w:hAnsi="Arial" w:cs="Arial"/>
          <w:sz w:val="24"/>
          <w:szCs w:val="24"/>
        </w:rPr>
        <w:t xml:space="preserve"> not receive adequate legal representation. His attorney </w:t>
      </w:r>
      <w:r w:rsidR="00E74014" w:rsidRPr="00242CFF">
        <w:rPr>
          <w:rFonts w:ascii="Arial" w:hAnsi="Arial" w:cs="Arial"/>
          <w:sz w:val="24"/>
          <w:szCs w:val="24"/>
        </w:rPr>
        <w:t xml:space="preserve">had </w:t>
      </w:r>
      <w:r w:rsidR="0045528B" w:rsidRPr="00242CFF">
        <w:rPr>
          <w:rFonts w:ascii="Arial" w:hAnsi="Arial" w:cs="Arial"/>
          <w:sz w:val="24"/>
          <w:szCs w:val="24"/>
        </w:rPr>
        <w:t xml:space="preserve">failed to </w:t>
      </w:r>
      <w:r w:rsidR="00612A8B" w:rsidRPr="00242CFF">
        <w:rPr>
          <w:rFonts w:ascii="Arial" w:hAnsi="Arial" w:cs="Arial"/>
          <w:sz w:val="24"/>
          <w:szCs w:val="24"/>
        </w:rPr>
        <w:t xml:space="preserve">cross-examine the complainant </w:t>
      </w:r>
      <w:r w:rsidR="0030563A" w:rsidRPr="00242CFF">
        <w:rPr>
          <w:rFonts w:ascii="Arial" w:hAnsi="Arial" w:cs="Arial"/>
          <w:sz w:val="24"/>
          <w:szCs w:val="24"/>
        </w:rPr>
        <w:t>properly and</w:t>
      </w:r>
      <w:r w:rsidR="00612A8B" w:rsidRPr="00242CFF">
        <w:rPr>
          <w:rFonts w:ascii="Arial" w:hAnsi="Arial" w:cs="Arial"/>
          <w:sz w:val="24"/>
          <w:szCs w:val="24"/>
        </w:rPr>
        <w:t xml:space="preserve"> </w:t>
      </w:r>
      <w:r w:rsidR="00E74014" w:rsidRPr="00242CFF">
        <w:rPr>
          <w:rFonts w:ascii="Arial" w:hAnsi="Arial" w:cs="Arial"/>
          <w:sz w:val="24"/>
          <w:szCs w:val="24"/>
        </w:rPr>
        <w:t xml:space="preserve">had </w:t>
      </w:r>
      <w:r w:rsidR="00612A8B" w:rsidRPr="00242CFF">
        <w:rPr>
          <w:rFonts w:ascii="Arial" w:hAnsi="Arial" w:cs="Arial"/>
          <w:sz w:val="24"/>
          <w:szCs w:val="24"/>
        </w:rPr>
        <w:t xml:space="preserve">failed to put his version to the various witnesses so that it could be tested properly. </w:t>
      </w:r>
      <w:r w:rsidR="007941A3" w:rsidRPr="00242CFF">
        <w:rPr>
          <w:rFonts w:ascii="Arial" w:hAnsi="Arial" w:cs="Arial"/>
          <w:sz w:val="24"/>
          <w:szCs w:val="24"/>
        </w:rPr>
        <w:t>C</w:t>
      </w:r>
      <w:r w:rsidR="00612A8B" w:rsidRPr="00242CFF">
        <w:rPr>
          <w:rFonts w:ascii="Arial" w:hAnsi="Arial" w:cs="Arial"/>
          <w:sz w:val="24"/>
          <w:szCs w:val="24"/>
        </w:rPr>
        <w:t xml:space="preserve">onsequently, asserts the appellant, he </w:t>
      </w:r>
      <w:r w:rsidR="00B730DF" w:rsidRPr="00242CFF">
        <w:rPr>
          <w:rFonts w:ascii="Arial" w:hAnsi="Arial" w:cs="Arial"/>
          <w:sz w:val="24"/>
          <w:szCs w:val="24"/>
        </w:rPr>
        <w:t>di</w:t>
      </w:r>
      <w:r w:rsidR="0030563A" w:rsidRPr="00242CFF">
        <w:rPr>
          <w:rFonts w:ascii="Arial" w:hAnsi="Arial" w:cs="Arial"/>
          <w:sz w:val="24"/>
          <w:szCs w:val="24"/>
        </w:rPr>
        <w:t xml:space="preserve">d </w:t>
      </w:r>
      <w:r w:rsidR="00612A8B" w:rsidRPr="00242CFF">
        <w:rPr>
          <w:rFonts w:ascii="Arial" w:hAnsi="Arial" w:cs="Arial"/>
          <w:sz w:val="24"/>
          <w:szCs w:val="24"/>
        </w:rPr>
        <w:t>not receive a fair trial.</w:t>
      </w:r>
    </w:p>
    <w:p w14:paraId="33B023E2" w14:textId="77777777" w:rsidR="009411EB" w:rsidRPr="009411EB" w:rsidRDefault="009411EB" w:rsidP="009411EB">
      <w:pPr>
        <w:pStyle w:val="ListParagraph"/>
        <w:rPr>
          <w:rFonts w:ascii="Arial" w:hAnsi="Arial" w:cs="Arial"/>
          <w:sz w:val="24"/>
          <w:szCs w:val="24"/>
        </w:rPr>
      </w:pPr>
    </w:p>
    <w:p w14:paraId="075D61D5" w14:textId="5F3F1BF3" w:rsidR="00612A8B" w:rsidRPr="00242CFF" w:rsidRDefault="00242CFF" w:rsidP="00242CFF">
      <w:pPr>
        <w:spacing w:line="360" w:lineRule="auto"/>
        <w:jc w:val="both"/>
        <w:rPr>
          <w:rFonts w:ascii="Arial" w:hAnsi="Arial" w:cs="Arial"/>
          <w:sz w:val="24"/>
          <w:szCs w:val="24"/>
        </w:rPr>
      </w:pPr>
      <w:r w:rsidRPr="009411EB">
        <w:rPr>
          <w:rFonts w:ascii="Arial" w:hAnsi="Arial" w:cs="Arial"/>
          <w:sz w:val="24"/>
          <w:szCs w:val="24"/>
        </w:rPr>
        <w:t>[20]</w:t>
      </w:r>
      <w:r w:rsidRPr="009411EB">
        <w:rPr>
          <w:rFonts w:ascii="Arial" w:hAnsi="Arial" w:cs="Arial"/>
          <w:sz w:val="24"/>
          <w:szCs w:val="24"/>
        </w:rPr>
        <w:tab/>
      </w:r>
      <w:r w:rsidR="00A05656" w:rsidRPr="00242CFF">
        <w:rPr>
          <w:rFonts w:ascii="Arial" w:hAnsi="Arial" w:cs="Arial"/>
          <w:sz w:val="24"/>
          <w:szCs w:val="24"/>
        </w:rPr>
        <w:t>Regarding</w:t>
      </w:r>
      <w:r w:rsidR="00612A8B" w:rsidRPr="00242CFF">
        <w:rPr>
          <w:rFonts w:ascii="Arial" w:hAnsi="Arial" w:cs="Arial"/>
          <w:sz w:val="24"/>
          <w:szCs w:val="24"/>
        </w:rPr>
        <w:t xml:space="preserve"> sentence,</w:t>
      </w:r>
      <w:r w:rsidR="007941A3" w:rsidRPr="00242CFF">
        <w:rPr>
          <w:rFonts w:ascii="Arial" w:hAnsi="Arial" w:cs="Arial"/>
          <w:sz w:val="24"/>
          <w:szCs w:val="24"/>
        </w:rPr>
        <w:t xml:space="preserve"> the appellant contends that the </w:t>
      </w:r>
      <w:r w:rsidR="0030563A" w:rsidRPr="00242CFF">
        <w:rPr>
          <w:rFonts w:ascii="Arial" w:hAnsi="Arial" w:cs="Arial"/>
          <w:sz w:val="24"/>
          <w:szCs w:val="24"/>
        </w:rPr>
        <w:t xml:space="preserve">court </w:t>
      </w:r>
      <w:r w:rsidR="0030563A" w:rsidRPr="00242CFF">
        <w:rPr>
          <w:rFonts w:ascii="Arial" w:hAnsi="Arial" w:cs="Arial"/>
          <w:i/>
          <w:iCs/>
          <w:sz w:val="24"/>
          <w:szCs w:val="24"/>
        </w:rPr>
        <w:t>a quo</w:t>
      </w:r>
      <w:r w:rsidR="0030563A" w:rsidRPr="00242CFF">
        <w:rPr>
          <w:rFonts w:ascii="Arial" w:hAnsi="Arial" w:cs="Arial"/>
          <w:sz w:val="24"/>
          <w:szCs w:val="24"/>
        </w:rPr>
        <w:t xml:space="preserve"> </w:t>
      </w:r>
      <w:r w:rsidR="007941A3" w:rsidRPr="00242CFF">
        <w:rPr>
          <w:rFonts w:ascii="Arial" w:hAnsi="Arial" w:cs="Arial"/>
          <w:sz w:val="24"/>
          <w:szCs w:val="24"/>
        </w:rPr>
        <w:t>over-emphasized the seriousness of the offence and</w:t>
      </w:r>
      <w:r w:rsidR="009E6023" w:rsidRPr="00242CFF">
        <w:rPr>
          <w:rFonts w:ascii="Arial" w:hAnsi="Arial" w:cs="Arial"/>
          <w:sz w:val="24"/>
          <w:szCs w:val="24"/>
        </w:rPr>
        <w:t xml:space="preserve"> </w:t>
      </w:r>
      <w:r w:rsidR="007941A3" w:rsidRPr="00242CFF">
        <w:rPr>
          <w:rFonts w:ascii="Arial" w:hAnsi="Arial" w:cs="Arial"/>
          <w:sz w:val="24"/>
          <w:szCs w:val="24"/>
        </w:rPr>
        <w:t xml:space="preserve">ignored the interests of the appellant, who had been 14 years old at the time. The probation officer’s recommended sentence </w:t>
      </w:r>
      <w:r w:rsidR="009E6023" w:rsidRPr="00242CFF">
        <w:rPr>
          <w:rFonts w:ascii="Arial" w:hAnsi="Arial" w:cs="Arial"/>
          <w:sz w:val="24"/>
          <w:szCs w:val="24"/>
        </w:rPr>
        <w:t>had been</w:t>
      </w:r>
      <w:r w:rsidR="007941A3" w:rsidRPr="00242CFF">
        <w:rPr>
          <w:rFonts w:ascii="Arial" w:hAnsi="Arial" w:cs="Arial"/>
          <w:sz w:val="24"/>
          <w:szCs w:val="24"/>
        </w:rPr>
        <w:t xml:space="preserve"> appropriate to the circumstances</w:t>
      </w:r>
      <w:r w:rsidR="00EF2DDB" w:rsidRPr="00242CFF">
        <w:rPr>
          <w:rFonts w:ascii="Arial" w:hAnsi="Arial" w:cs="Arial"/>
          <w:sz w:val="24"/>
          <w:szCs w:val="24"/>
        </w:rPr>
        <w:t>, t</w:t>
      </w:r>
      <w:r w:rsidR="007941A3" w:rsidRPr="00242CFF">
        <w:rPr>
          <w:rFonts w:ascii="Arial" w:hAnsi="Arial" w:cs="Arial"/>
          <w:sz w:val="24"/>
          <w:szCs w:val="24"/>
        </w:rPr>
        <w:t xml:space="preserve">here </w:t>
      </w:r>
      <w:r w:rsidR="00D5044E" w:rsidRPr="00242CFF">
        <w:rPr>
          <w:rFonts w:ascii="Arial" w:hAnsi="Arial" w:cs="Arial"/>
          <w:sz w:val="24"/>
          <w:szCs w:val="24"/>
        </w:rPr>
        <w:t xml:space="preserve">had been </w:t>
      </w:r>
      <w:r w:rsidR="007941A3" w:rsidRPr="00242CFF">
        <w:rPr>
          <w:rFonts w:ascii="Arial" w:hAnsi="Arial" w:cs="Arial"/>
          <w:sz w:val="24"/>
          <w:szCs w:val="24"/>
        </w:rPr>
        <w:t xml:space="preserve">no </w:t>
      </w:r>
      <w:r w:rsidR="00EF2DDB" w:rsidRPr="00242CFF">
        <w:rPr>
          <w:rFonts w:ascii="Arial" w:hAnsi="Arial" w:cs="Arial"/>
          <w:sz w:val="24"/>
          <w:szCs w:val="24"/>
        </w:rPr>
        <w:t xml:space="preserve">aggravating circumstances to have justified direct imprisonment. The appellant points out that the </w:t>
      </w:r>
      <w:r w:rsidR="00D5044E" w:rsidRPr="00242CFF">
        <w:rPr>
          <w:rFonts w:ascii="Arial" w:hAnsi="Arial" w:cs="Arial"/>
          <w:sz w:val="24"/>
          <w:szCs w:val="24"/>
        </w:rPr>
        <w:t xml:space="preserve">court </w:t>
      </w:r>
      <w:r w:rsidR="00D5044E" w:rsidRPr="00242CFF">
        <w:rPr>
          <w:rFonts w:ascii="Arial" w:hAnsi="Arial" w:cs="Arial"/>
          <w:i/>
          <w:iCs/>
          <w:sz w:val="24"/>
          <w:szCs w:val="24"/>
        </w:rPr>
        <w:t>a quo</w:t>
      </w:r>
      <w:r w:rsidR="00D5044E" w:rsidRPr="00242CFF">
        <w:rPr>
          <w:rFonts w:ascii="Arial" w:hAnsi="Arial" w:cs="Arial"/>
          <w:sz w:val="24"/>
          <w:szCs w:val="24"/>
        </w:rPr>
        <w:t xml:space="preserve"> </w:t>
      </w:r>
      <w:r w:rsidR="00EF2DDB" w:rsidRPr="00242CFF">
        <w:rPr>
          <w:rFonts w:ascii="Arial" w:hAnsi="Arial" w:cs="Arial"/>
          <w:sz w:val="24"/>
          <w:szCs w:val="24"/>
        </w:rPr>
        <w:t xml:space="preserve">failed to explain </w:t>
      </w:r>
      <w:r w:rsidR="000A1C9D" w:rsidRPr="00242CFF">
        <w:rPr>
          <w:rFonts w:ascii="Arial" w:hAnsi="Arial" w:cs="Arial"/>
          <w:sz w:val="24"/>
          <w:szCs w:val="24"/>
        </w:rPr>
        <w:t>its</w:t>
      </w:r>
      <w:r w:rsidR="00EF2DDB" w:rsidRPr="00242CFF">
        <w:rPr>
          <w:rFonts w:ascii="Arial" w:hAnsi="Arial" w:cs="Arial"/>
          <w:sz w:val="24"/>
          <w:szCs w:val="24"/>
        </w:rPr>
        <w:t xml:space="preserve"> findings in relation to his alleged lack of remorse. There </w:t>
      </w:r>
      <w:r w:rsidR="000A1C9D" w:rsidRPr="00242CFF">
        <w:rPr>
          <w:rFonts w:ascii="Arial" w:hAnsi="Arial" w:cs="Arial"/>
          <w:sz w:val="24"/>
          <w:szCs w:val="24"/>
        </w:rPr>
        <w:t>had been</w:t>
      </w:r>
      <w:r w:rsidR="00EF2DDB" w:rsidRPr="00242CFF">
        <w:rPr>
          <w:rFonts w:ascii="Arial" w:hAnsi="Arial" w:cs="Arial"/>
          <w:sz w:val="24"/>
          <w:szCs w:val="24"/>
        </w:rPr>
        <w:t xml:space="preserve"> no evidence to that effect.</w:t>
      </w:r>
    </w:p>
    <w:p w14:paraId="247EDBDB" w14:textId="77777777" w:rsidR="00EF2DDB" w:rsidRDefault="00EF2DDB" w:rsidP="00537AB8">
      <w:pPr>
        <w:spacing w:line="360" w:lineRule="auto"/>
        <w:rPr>
          <w:rFonts w:ascii="Arial" w:hAnsi="Arial" w:cs="Arial"/>
          <w:sz w:val="24"/>
          <w:szCs w:val="24"/>
        </w:rPr>
      </w:pPr>
    </w:p>
    <w:p w14:paraId="31C5323B" w14:textId="77777777" w:rsidR="00EF2DDB" w:rsidRPr="00EF2DDB" w:rsidRDefault="00EF2DDB" w:rsidP="009411EB">
      <w:pPr>
        <w:spacing w:line="360" w:lineRule="auto"/>
        <w:jc w:val="both"/>
        <w:rPr>
          <w:rFonts w:ascii="Arial" w:hAnsi="Arial" w:cs="Arial"/>
          <w:b/>
          <w:bCs/>
          <w:sz w:val="24"/>
          <w:szCs w:val="24"/>
        </w:rPr>
      </w:pPr>
      <w:r w:rsidRPr="00EF2DDB">
        <w:rPr>
          <w:rFonts w:ascii="Arial" w:hAnsi="Arial" w:cs="Arial"/>
          <w:b/>
          <w:bCs/>
          <w:sz w:val="24"/>
          <w:szCs w:val="24"/>
        </w:rPr>
        <w:t>Issues for determination</w:t>
      </w:r>
    </w:p>
    <w:p w14:paraId="7524DAD2" w14:textId="77777777" w:rsidR="00EF2DDB" w:rsidRDefault="00EF2DDB" w:rsidP="00537AB8">
      <w:pPr>
        <w:spacing w:line="360" w:lineRule="auto"/>
        <w:rPr>
          <w:rFonts w:ascii="Arial" w:hAnsi="Arial" w:cs="Arial"/>
          <w:sz w:val="24"/>
          <w:szCs w:val="24"/>
        </w:rPr>
      </w:pPr>
    </w:p>
    <w:p w14:paraId="21EB9EE1" w14:textId="366B7262" w:rsidR="009411EB" w:rsidRPr="00242CFF" w:rsidRDefault="00242CFF" w:rsidP="00242CFF">
      <w:pPr>
        <w:spacing w:line="36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EF2DDB" w:rsidRPr="00242CFF">
        <w:rPr>
          <w:rFonts w:ascii="Arial" w:hAnsi="Arial" w:cs="Arial"/>
          <w:sz w:val="24"/>
          <w:szCs w:val="24"/>
        </w:rPr>
        <w:t xml:space="preserve">The first point to be determined, on appeal, is whether the </w:t>
      </w:r>
      <w:r w:rsidR="001424A2" w:rsidRPr="00242CFF">
        <w:rPr>
          <w:rFonts w:ascii="Arial" w:hAnsi="Arial" w:cs="Arial"/>
          <w:sz w:val="24"/>
          <w:szCs w:val="24"/>
        </w:rPr>
        <w:t xml:space="preserve">complainant </w:t>
      </w:r>
      <w:r w:rsidR="000A1C9D" w:rsidRPr="00242CFF">
        <w:rPr>
          <w:rFonts w:ascii="Arial" w:hAnsi="Arial" w:cs="Arial"/>
          <w:sz w:val="24"/>
          <w:szCs w:val="24"/>
        </w:rPr>
        <w:t xml:space="preserve">had been </w:t>
      </w:r>
      <w:r w:rsidR="00C037C7" w:rsidRPr="00242CFF">
        <w:rPr>
          <w:rFonts w:ascii="Arial" w:hAnsi="Arial" w:cs="Arial"/>
          <w:sz w:val="24"/>
          <w:szCs w:val="24"/>
        </w:rPr>
        <w:t xml:space="preserve">a </w:t>
      </w:r>
      <w:r w:rsidR="001424A2" w:rsidRPr="00242CFF">
        <w:rPr>
          <w:rFonts w:ascii="Arial" w:hAnsi="Arial" w:cs="Arial"/>
          <w:sz w:val="24"/>
          <w:szCs w:val="24"/>
        </w:rPr>
        <w:t xml:space="preserve">competent </w:t>
      </w:r>
      <w:r w:rsidR="00C037C7" w:rsidRPr="00242CFF">
        <w:rPr>
          <w:rFonts w:ascii="Arial" w:hAnsi="Arial" w:cs="Arial"/>
          <w:sz w:val="24"/>
          <w:szCs w:val="24"/>
        </w:rPr>
        <w:t>witness</w:t>
      </w:r>
      <w:r w:rsidR="001424A2" w:rsidRPr="00242CFF">
        <w:rPr>
          <w:rFonts w:ascii="Arial" w:hAnsi="Arial" w:cs="Arial"/>
          <w:sz w:val="24"/>
          <w:szCs w:val="24"/>
        </w:rPr>
        <w:t xml:space="preserve">. If so, then it must be decided whether the </w:t>
      </w:r>
      <w:r w:rsidR="00065043" w:rsidRPr="00242CFF">
        <w:rPr>
          <w:rFonts w:ascii="Arial" w:hAnsi="Arial" w:cs="Arial"/>
          <w:sz w:val="24"/>
          <w:szCs w:val="24"/>
        </w:rPr>
        <w:t xml:space="preserve">court </w:t>
      </w:r>
      <w:r w:rsidR="00065043" w:rsidRPr="00242CFF">
        <w:rPr>
          <w:rFonts w:ascii="Arial" w:hAnsi="Arial" w:cs="Arial"/>
          <w:i/>
          <w:iCs/>
          <w:sz w:val="24"/>
          <w:szCs w:val="24"/>
        </w:rPr>
        <w:t>a quo</w:t>
      </w:r>
      <w:r w:rsidR="00065043" w:rsidRPr="00242CFF">
        <w:rPr>
          <w:rFonts w:ascii="Arial" w:hAnsi="Arial" w:cs="Arial"/>
          <w:sz w:val="24"/>
          <w:szCs w:val="24"/>
        </w:rPr>
        <w:t xml:space="preserve"> </w:t>
      </w:r>
      <w:r w:rsidR="00620139" w:rsidRPr="00242CFF">
        <w:rPr>
          <w:rFonts w:ascii="Arial" w:hAnsi="Arial" w:cs="Arial"/>
          <w:sz w:val="24"/>
          <w:szCs w:val="24"/>
        </w:rPr>
        <w:t xml:space="preserve">had </w:t>
      </w:r>
      <w:r w:rsidR="00065043" w:rsidRPr="00242CFF">
        <w:rPr>
          <w:rFonts w:ascii="Arial" w:hAnsi="Arial" w:cs="Arial"/>
          <w:sz w:val="24"/>
          <w:szCs w:val="24"/>
        </w:rPr>
        <w:t xml:space="preserve">misdirected itself in finding that the state had proved its case beyond reasonable doubt. This will entail a consideration of the factors mentioned by the appellant, viz. the alleged contradictions in </w:t>
      </w:r>
      <w:r w:rsidR="001424A2" w:rsidRPr="00242CFF">
        <w:rPr>
          <w:rFonts w:ascii="Arial" w:hAnsi="Arial" w:cs="Arial"/>
          <w:sz w:val="24"/>
          <w:szCs w:val="24"/>
        </w:rPr>
        <w:t>the complainant’s</w:t>
      </w:r>
      <w:r w:rsidR="00065043" w:rsidRPr="00242CFF">
        <w:rPr>
          <w:rFonts w:ascii="Arial" w:hAnsi="Arial" w:cs="Arial"/>
          <w:sz w:val="24"/>
          <w:szCs w:val="24"/>
        </w:rPr>
        <w:t xml:space="preserve"> evidence, the reliability thereof, and the proper exercise of the cautionary rule. It will also be necessary to consider the adequacy of the appellant’s legal representation.</w:t>
      </w:r>
    </w:p>
    <w:p w14:paraId="673AE97D" w14:textId="77777777" w:rsidR="009411EB" w:rsidRDefault="009411EB" w:rsidP="009411EB">
      <w:pPr>
        <w:pStyle w:val="ListParagraph"/>
        <w:spacing w:line="360" w:lineRule="auto"/>
        <w:ind w:left="0"/>
        <w:jc w:val="both"/>
        <w:rPr>
          <w:rFonts w:ascii="Arial" w:hAnsi="Arial" w:cs="Arial"/>
          <w:sz w:val="24"/>
          <w:szCs w:val="24"/>
        </w:rPr>
      </w:pPr>
    </w:p>
    <w:p w14:paraId="5A1C52C0" w14:textId="636845F9" w:rsidR="009411EB" w:rsidRPr="00242CFF" w:rsidRDefault="00242CFF" w:rsidP="00242CFF">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65043" w:rsidRPr="00242CFF">
        <w:rPr>
          <w:rFonts w:ascii="Arial" w:hAnsi="Arial" w:cs="Arial"/>
          <w:sz w:val="24"/>
          <w:szCs w:val="24"/>
        </w:rPr>
        <w:t xml:space="preserve">The second point to be determined, but only if there is no basis to the appellant's contentions regarding conviction, is whether the court </w:t>
      </w:r>
      <w:r w:rsidR="00065043" w:rsidRPr="00242CFF">
        <w:rPr>
          <w:rFonts w:ascii="Arial" w:hAnsi="Arial" w:cs="Arial"/>
          <w:i/>
          <w:iCs/>
          <w:sz w:val="24"/>
          <w:szCs w:val="24"/>
        </w:rPr>
        <w:t>a quo</w:t>
      </w:r>
      <w:r w:rsidR="00065043" w:rsidRPr="00242CFF">
        <w:rPr>
          <w:rFonts w:ascii="Arial" w:hAnsi="Arial" w:cs="Arial"/>
          <w:sz w:val="24"/>
          <w:szCs w:val="24"/>
        </w:rPr>
        <w:t xml:space="preserve"> misdirected itself in relation to sentence. This will entail a consideration of the r</w:t>
      </w:r>
      <w:r w:rsidR="00375432" w:rsidRPr="00242CFF">
        <w:rPr>
          <w:rFonts w:ascii="Arial" w:hAnsi="Arial" w:cs="Arial"/>
          <w:sz w:val="24"/>
          <w:szCs w:val="24"/>
        </w:rPr>
        <w:t>elevant</w:t>
      </w:r>
      <w:r w:rsidR="00065043" w:rsidRPr="00242CFF">
        <w:rPr>
          <w:rFonts w:ascii="Arial" w:hAnsi="Arial" w:cs="Arial"/>
          <w:sz w:val="24"/>
          <w:szCs w:val="24"/>
        </w:rPr>
        <w:t xml:space="preserve"> provisions of the CJA and the case law.</w:t>
      </w:r>
    </w:p>
    <w:p w14:paraId="0B9F70A3" w14:textId="77777777" w:rsidR="009411EB" w:rsidRPr="009411EB" w:rsidRDefault="009411EB" w:rsidP="009411EB">
      <w:pPr>
        <w:pStyle w:val="ListParagraph"/>
        <w:rPr>
          <w:rFonts w:ascii="Arial" w:hAnsi="Arial" w:cs="Arial"/>
          <w:sz w:val="24"/>
          <w:szCs w:val="24"/>
        </w:rPr>
      </w:pPr>
    </w:p>
    <w:p w14:paraId="7EB0CB5E" w14:textId="21FBC20D" w:rsidR="00065043" w:rsidRPr="00242CFF" w:rsidRDefault="00242CFF" w:rsidP="00242CFF">
      <w:pPr>
        <w:spacing w:line="360" w:lineRule="auto"/>
        <w:jc w:val="both"/>
        <w:rPr>
          <w:rFonts w:ascii="Arial" w:hAnsi="Arial" w:cs="Arial"/>
          <w:sz w:val="24"/>
          <w:szCs w:val="24"/>
        </w:rPr>
      </w:pPr>
      <w:r w:rsidRPr="009411EB">
        <w:rPr>
          <w:rFonts w:ascii="Arial" w:hAnsi="Arial" w:cs="Arial"/>
          <w:sz w:val="24"/>
          <w:szCs w:val="24"/>
        </w:rPr>
        <w:t>[23]</w:t>
      </w:r>
      <w:r w:rsidRPr="009411EB">
        <w:rPr>
          <w:rFonts w:ascii="Arial" w:hAnsi="Arial" w:cs="Arial"/>
          <w:sz w:val="24"/>
          <w:szCs w:val="24"/>
        </w:rPr>
        <w:tab/>
      </w:r>
      <w:r w:rsidR="00EE0A85" w:rsidRPr="00242CFF">
        <w:rPr>
          <w:rFonts w:ascii="Arial" w:hAnsi="Arial" w:cs="Arial"/>
          <w:sz w:val="24"/>
          <w:szCs w:val="24"/>
        </w:rPr>
        <w:t>A brief discussion of the general principles follows.</w:t>
      </w:r>
      <w:r w:rsidR="00065043" w:rsidRPr="00242CFF">
        <w:rPr>
          <w:rFonts w:ascii="Arial" w:hAnsi="Arial" w:cs="Arial"/>
          <w:sz w:val="24"/>
          <w:szCs w:val="24"/>
        </w:rPr>
        <w:t xml:space="preserve"> </w:t>
      </w:r>
    </w:p>
    <w:p w14:paraId="5F76D127" w14:textId="77777777" w:rsidR="00EE0A85" w:rsidRDefault="00EE0A85" w:rsidP="00537AB8">
      <w:pPr>
        <w:spacing w:line="360" w:lineRule="auto"/>
        <w:rPr>
          <w:rFonts w:ascii="Arial" w:hAnsi="Arial" w:cs="Arial"/>
          <w:sz w:val="24"/>
          <w:szCs w:val="24"/>
        </w:rPr>
      </w:pPr>
    </w:p>
    <w:p w14:paraId="6C42B6AF" w14:textId="77777777" w:rsidR="00EE0A85" w:rsidRPr="00EE0A85" w:rsidRDefault="00EE0A85" w:rsidP="009411EB">
      <w:pPr>
        <w:spacing w:line="360" w:lineRule="auto"/>
        <w:jc w:val="both"/>
        <w:rPr>
          <w:rFonts w:ascii="Arial" w:hAnsi="Arial" w:cs="Arial"/>
          <w:b/>
          <w:bCs/>
          <w:sz w:val="24"/>
          <w:szCs w:val="24"/>
        </w:rPr>
      </w:pPr>
      <w:r w:rsidRPr="00EE0A85">
        <w:rPr>
          <w:rFonts w:ascii="Arial" w:hAnsi="Arial" w:cs="Arial"/>
          <w:b/>
          <w:bCs/>
          <w:sz w:val="24"/>
          <w:szCs w:val="24"/>
        </w:rPr>
        <w:t>Legal framework</w:t>
      </w:r>
    </w:p>
    <w:p w14:paraId="56673888" w14:textId="77777777" w:rsidR="00EE0A85" w:rsidRDefault="00EE0A85" w:rsidP="00537AB8">
      <w:pPr>
        <w:spacing w:line="360" w:lineRule="auto"/>
        <w:rPr>
          <w:rFonts w:ascii="Arial" w:hAnsi="Arial" w:cs="Arial"/>
          <w:sz w:val="24"/>
          <w:szCs w:val="24"/>
        </w:rPr>
      </w:pPr>
    </w:p>
    <w:p w14:paraId="50F0950B" w14:textId="0D635148" w:rsidR="00EE0A85" w:rsidRPr="00242CFF" w:rsidRDefault="00242CFF" w:rsidP="00242CFF">
      <w:pPr>
        <w:spacing w:line="360" w:lineRule="auto"/>
        <w:jc w:val="both"/>
        <w:rPr>
          <w:rFonts w:ascii="Arial" w:hAnsi="Arial" w:cs="Arial"/>
          <w:sz w:val="24"/>
          <w:szCs w:val="24"/>
        </w:rPr>
      </w:pPr>
      <w:r w:rsidRPr="009411EB">
        <w:rPr>
          <w:rFonts w:ascii="Arial" w:hAnsi="Arial" w:cs="Arial"/>
          <w:sz w:val="24"/>
          <w:szCs w:val="24"/>
        </w:rPr>
        <w:t>[24]</w:t>
      </w:r>
      <w:r w:rsidRPr="009411EB">
        <w:rPr>
          <w:rFonts w:ascii="Arial" w:hAnsi="Arial" w:cs="Arial"/>
          <w:sz w:val="24"/>
          <w:szCs w:val="24"/>
        </w:rPr>
        <w:tab/>
      </w:r>
      <w:r w:rsidR="00EE0A85" w:rsidRPr="00242CFF">
        <w:rPr>
          <w:rFonts w:ascii="Arial" w:hAnsi="Arial" w:cs="Arial"/>
          <w:sz w:val="24"/>
          <w:szCs w:val="24"/>
        </w:rPr>
        <w:t xml:space="preserve">The </w:t>
      </w:r>
      <w:r w:rsidR="00375432" w:rsidRPr="00242CFF">
        <w:rPr>
          <w:rFonts w:ascii="Arial" w:hAnsi="Arial" w:cs="Arial"/>
          <w:sz w:val="24"/>
          <w:szCs w:val="24"/>
        </w:rPr>
        <w:t xml:space="preserve">principles to guide an appeal court </w:t>
      </w:r>
      <w:r w:rsidR="00A236CB" w:rsidRPr="00242CFF">
        <w:rPr>
          <w:rFonts w:ascii="Arial" w:hAnsi="Arial" w:cs="Arial"/>
          <w:sz w:val="24"/>
          <w:szCs w:val="24"/>
        </w:rPr>
        <w:t>when dealing with an appeal purely on fact were usefully set out by Davis AJA</w:t>
      </w:r>
      <w:r w:rsidR="00EE0A85" w:rsidRPr="00242CFF">
        <w:rPr>
          <w:rFonts w:ascii="Arial" w:hAnsi="Arial" w:cs="Arial"/>
          <w:sz w:val="24"/>
          <w:szCs w:val="24"/>
        </w:rPr>
        <w:t xml:space="preserve"> in </w:t>
      </w:r>
      <w:r w:rsidR="00375432" w:rsidRPr="00242CFF">
        <w:rPr>
          <w:rFonts w:ascii="Arial" w:hAnsi="Arial" w:cs="Arial"/>
          <w:i/>
          <w:iCs/>
          <w:sz w:val="24"/>
          <w:szCs w:val="24"/>
        </w:rPr>
        <w:t>R v Dhumayo and another</w:t>
      </w:r>
      <w:r w:rsidR="00A236CB" w:rsidRPr="00242CFF">
        <w:rPr>
          <w:rFonts w:ascii="Arial" w:hAnsi="Arial" w:cs="Arial"/>
          <w:sz w:val="24"/>
          <w:szCs w:val="24"/>
        </w:rPr>
        <w:t>.</w:t>
      </w:r>
      <w:r w:rsidR="00375432">
        <w:rPr>
          <w:rStyle w:val="FootnoteReference"/>
          <w:rFonts w:ascii="Arial" w:hAnsi="Arial" w:cs="Arial"/>
          <w:sz w:val="24"/>
          <w:szCs w:val="24"/>
        </w:rPr>
        <w:footnoteReference w:id="1"/>
      </w:r>
      <w:r w:rsidR="00375432" w:rsidRPr="00242CFF">
        <w:rPr>
          <w:rFonts w:ascii="Arial" w:hAnsi="Arial" w:cs="Arial"/>
          <w:sz w:val="24"/>
          <w:szCs w:val="24"/>
        </w:rPr>
        <w:t xml:space="preserve"> </w:t>
      </w:r>
      <w:r w:rsidR="00A236CB" w:rsidRPr="00242CFF">
        <w:rPr>
          <w:rFonts w:ascii="Arial" w:hAnsi="Arial" w:cs="Arial"/>
          <w:sz w:val="24"/>
          <w:szCs w:val="24"/>
        </w:rPr>
        <w:t>They include the following:</w:t>
      </w:r>
    </w:p>
    <w:p w14:paraId="3892A675" w14:textId="77777777" w:rsidR="00A236CB" w:rsidRDefault="00A236CB" w:rsidP="00537AB8">
      <w:pPr>
        <w:spacing w:line="360" w:lineRule="auto"/>
        <w:rPr>
          <w:rFonts w:ascii="Arial" w:hAnsi="Arial" w:cs="Arial"/>
          <w:sz w:val="24"/>
          <w:szCs w:val="24"/>
        </w:rPr>
      </w:pPr>
    </w:p>
    <w:p w14:paraId="6D0899B6" w14:textId="77777777" w:rsidR="00A236CB" w:rsidRPr="00072729" w:rsidRDefault="00A236CB" w:rsidP="002D6711">
      <w:pPr>
        <w:spacing w:line="360" w:lineRule="auto"/>
        <w:ind w:left="720"/>
        <w:jc w:val="both"/>
        <w:rPr>
          <w:rFonts w:ascii="Arial" w:hAnsi="Arial" w:cs="Arial"/>
          <w:sz w:val="20"/>
          <w:szCs w:val="20"/>
        </w:rPr>
      </w:pPr>
      <w:r w:rsidRPr="00072729">
        <w:rPr>
          <w:rFonts w:ascii="Arial" w:hAnsi="Arial" w:cs="Arial"/>
          <w:sz w:val="20"/>
          <w:szCs w:val="20"/>
        </w:rPr>
        <w:t>‘…3. The trial Judge has advantages- which the appellate court cannot have- in seeing and hearing the witnesses and in being steeped in the atmosphere of the trial. Not only has he had the opportunity of observing their demeanour, but also their appearance and whole personality. This should never be overlooked.</w:t>
      </w:r>
    </w:p>
    <w:p w14:paraId="7DFDD8B2" w14:textId="77777777" w:rsidR="00A236CB" w:rsidRPr="00072729" w:rsidRDefault="00A236CB" w:rsidP="002D6711">
      <w:pPr>
        <w:spacing w:line="360" w:lineRule="auto"/>
        <w:ind w:left="720"/>
        <w:jc w:val="both"/>
        <w:rPr>
          <w:rFonts w:ascii="Arial" w:hAnsi="Arial" w:cs="Arial"/>
          <w:sz w:val="20"/>
          <w:szCs w:val="20"/>
        </w:rPr>
      </w:pPr>
      <w:r w:rsidRPr="00072729">
        <w:rPr>
          <w:rFonts w:ascii="Arial" w:hAnsi="Arial" w:cs="Arial"/>
          <w:sz w:val="20"/>
          <w:szCs w:val="20"/>
        </w:rPr>
        <w:t>4. Consequently the appellate court is very reluctant to upset the findings of the trial Judge.</w:t>
      </w:r>
    </w:p>
    <w:p w14:paraId="0E6F0EFE" w14:textId="77777777" w:rsidR="00A236CB" w:rsidRPr="00072729" w:rsidRDefault="006C5214" w:rsidP="002D6711">
      <w:pPr>
        <w:spacing w:line="360" w:lineRule="auto"/>
        <w:ind w:left="720"/>
        <w:jc w:val="both"/>
        <w:rPr>
          <w:rFonts w:ascii="Arial" w:hAnsi="Arial" w:cs="Arial"/>
          <w:sz w:val="20"/>
          <w:szCs w:val="20"/>
        </w:rPr>
      </w:pPr>
      <w:r w:rsidRPr="00072729">
        <w:rPr>
          <w:rFonts w:ascii="Arial" w:hAnsi="Arial" w:cs="Arial"/>
          <w:sz w:val="20"/>
          <w:szCs w:val="20"/>
        </w:rPr>
        <w:lastRenderedPageBreak/>
        <w:t>…8. Where there has been no misdirection on fact by the trial Judge, the presumption is that his conclusion is correct; the appellate court will only reverse it where it is convinced that it is wrong.</w:t>
      </w:r>
    </w:p>
    <w:p w14:paraId="559ED028" w14:textId="77777777" w:rsidR="006C5214" w:rsidRPr="00072729" w:rsidRDefault="006C5214" w:rsidP="002D6711">
      <w:pPr>
        <w:spacing w:line="360" w:lineRule="auto"/>
        <w:ind w:left="720"/>
        <w:jc w:val="both"/>
        <w:rPr>
          <w:rFonts w:ascii="Arial" w:hAnsi="Arial" w:cs="Arial"/>
          <w:sz w:val="20"/>
          <w:szCs w:val="20"/>
        </w:rPr>
      </w:pPr>
      <w:r w:rsidRPr="00072729">
        <w:rPr>
          <w:rFonts w:ascii="Arial" w:hAnsi="Arial" w:cs="Arial"/>
          <w:sz w:val="20"/>
          <w:szCs w:val="20"/>
        </w:rPr>
        <w:t>9. In such a case, if the appellate court is merely left in doubt as to the correctness of the conclusion, then it will uphold it.</w:t>
      </w:r>
    </w:p>
    <w:p w14:paraId="48A47CFA" w14:textId="77777777" w:rsidR="006C5214" w:rsidRPr="00072729" w:rsidRDefault="006C5214" w:rsidP="002D6711">
      <w:pPr>
        <w:spacing w:line="360" w:lineRule="auto"/>
        <w:ind w:left="720"/>
        <w:jc w:val="both"/>
        <w:rPr>
          <w:rFonts w:ascii="Arial" w:hAnsi="Arial" w:cs="Arial"/>
          <w:sz w:val="20"/>
          <w:szCs w:val="20"/>
        </w:rPr>
      </w:pPr>
      <w:r w:rsidRPr="00072729">
        <w:rPr>
          <w:rFonts w:ascii="Arial" w:hAnsi="Arial" w:cs="Arial"/>
          <w:sz w:val="20"/>
          <w:szCs w:val="20"/>
        </w:rPr>
        <w:t>10. There may be a misdirection on fact by the trial Judge where the reasons are either on their face unsatisfactory or where the record shows them to be such; there may be such a misdirection also where, though the reasons as far as they go are satisfactory, he is shown to have overlooked other facts or probabilities.</w:t>
      </w:r>
    </w:p>
    <w:p w14:paraId="695B529E" w14:textId="77777777" w:rsidR="006C5214" w:rsidRPr="00072729" w:rsidRDefault="006C5214" w:rsidP="002D6711">
      <w:pPr>
        <w:spacing w:line="360" w:lineRule="auto"/>
        <w:ind w:left="720"/>
        <w:jc w:val="both"/>
        <w:rPr>
          <w:rFonts w:ascii="Arial" w:hAnsi="Arial" w:cs="Arial"/>
          <w:sz w:val="20"/>
          <w:szCs w:val="20"/>
        </w:rPr>
      </w:pPr>
      <w:r w:rsidRPr="00072729">
        <w:rPr>
          <w:rFonts w:ascii="Arial" w:hAnsi="Arial" w:cs="Arial"/>
          <w:sz w:val="20"/>
          <w:szCs w:val="20"/>
        </w:rPr>
        <w:t xml:space="preserve">11. The appellate court is then at large to disregard his findings on fact, even though based on credibility, in whole or in part according to the nature of the misdirection and the circumstances of the particular case, and so come to its own conclusion </w:t>
      </w:r>
      <w:r w:rsidR="00DB7377" w:rsidRPr="00072729">
        <w:rPr>
          <w:rFonts w:ascii="Arial" w:hAnsi="Arial" w:cs="Arial"/>
          <w:sz w:val="20"/>
          <w:szCs w:val="20"/>
        </w:rPr>
        <w:t>on the matter.</w:t>
      </w:r>
    </w:p>
    <w:p w14:paraId="6F7D6265" w14:textId="77777777" w:rsidR="00DB7377" w:rsidRPr="00072729" w:rsidRDefault="00DB7377" w:rsidP="002D6711">
      <w:pPr>
        <w:spacing w:line="360" w:lineRule="auto"/>
        <w:ind w:left="720"/>
        <w:jc w:val="both"/>
        <w:rPr>
          <w:rFonts w:ascii="Arial" w:hAnsi="Arial" w:cs="Arial"/>
          <w:sz w:val="20"/>
          <w:szCs w:val="20"/>
        </w:rPr>
      </w:pPr>
      <w:r w:rsidRPr="00072729">
        <w:rPr>
          <w:rFonts w:ascii="Arial" w:hAnsi="Arial" w:cs="Arial"/>
          <w:sz w:val="20"/>
          <w:szCs w:val="20"/>
        </w:rPr>
        <w:t>12. An appellate court should not seek anxiously to discover reasons adverse to the conclusions of the trial Judge. No judgment can ever be perfect and all-embracing, and it does not necessarily follow that, because something has not been mentioned, therefore it has not been considered.</w:t>
      </w:r>
    </w:p>
    <w:p w14:paraId="3834A538" w14:textId="77777777" w:rsidR="00DB7377" w:rsidRPr="00072729" w:rsidRDefault="00DB7377" w:rsidP="002D6711">
      <w:pPr>
        <w:spacing w:line="360" w:lineRule="auto"/>
        <w:ind w:left="720"/>
        <w:jc w:val="both"/>
        <w:rPr>
          <w:rFonts w:ascii="Arial" w:hAnsi="Arial" w:cs="Arial"/>
          <w:sz w:val="20"/>
          <w:szCs w:val="20"/>
        </w:rPr>
      </w:pPr>
      <w:r w:rsidRPr="00072729">
        <w:rPr>
          <w:rFonts w:ascii="Arial" w:hAnsi="Arial" w:cs="Arial"/>
          <w:sz w:val="20"/>
          <w:szCs w:val="20"/>
        </w:rPr>
        <w:t>13. Where the appellate court is constrained to decide the case purely on the record, the question of onus becomes all-important, whether in a civil or criminal case…’</w:t>
      </w:r>
      <w:r w:rsidRPr="00072729">
        <w:rPr>
          <w:rStyle w:val="FootnoteReference"/>
          <w:rFonts w:ascii="Arial" w:hAnsi="Arial" w:cs="Arial"/>
          <w:sz w:val="20"/>
          <w:szCs w:val="20"/>
        </w:rPr>
        <w:footnoteReference w:id="2"/>
      </w:r>
    </w:p>
    <w:p w14:paraId="56B317CE" w14:textId="77777777" w:rsidR="0045528B" w:rsidRDefault="0045528B" w:rsidP="00537AB8">
      <w:pPr>
        <w:spacing w:line="360" w:lineRule="auto"/>
        <w:rPr>
          <w:rFonts w:ascii="Arial" w:hAnsi="Arial" w:cs="Arial"/>
          <w:sz w:val="24"/>
          <w:szCs w:val="24"/>
        </w:rPr>
      </w:pPr>
    </w:p>
    <w:p w14:paraId="2FA51819" w14:textId="34C32A32" w:rsidR="00DB7377" w:rsidRPr="00242CFF" w:rsidRDefault="00242CFF" w:rsidP="00242CFF">
      <w:pPr>
        <w:spacing w:line="360" w:lineRule="auto"/>
        <w:jc w:val="both"/>
        <w:rPr>
          <w:rFonts w:ascii="Arial" w:hAnsi="Arial" w:cs="Arial"/>
          <w:sz w:val="24"/>
          <w:szCs w:val="24"/>
          <w:lang w:val="en-GB"/>
        </w:rPr>
      </w:pPr>
      <w:r w:rsidRPr="002D6711">
        <w:rPr>
          <w:rFonts w:ascii="Arial" w:hAnsi="Arial" w:cs="Arial"/>
          <w:sz w:val="24"/>
          <w:szCs w:val="24"/>
          <w:lang w:val="en-GB"/>
        </w:rPr>
        <w:t>[25]</w:t>
      </w:r>
      <w:r w:rsidRPr="002D6711">
        <w:rPr>
          <w:rFonts w:ascii="Arial" w:hAnsi="Arial" w:cs="Arial"/>
          <w:sz w:val="24"/>
          <w:szCs w:val="24"/>
          <w:lang w:val="en-GB"/>
        </w:rPr>
        <w:tab/>
      </w:r>
      <w:r w:rsidR="00072729" w:rsidRPr="00242CFF">
        <w:rPr>
          <w:rFonts w:ascii="Arial" w:hAnsi="Arial" w:cs="Arial"/>
          <w:sz w:val="24"/>
          <w:szCs w:val="24"/>
          <w:lang w:val="en-GB"/>
        </w:rPr>
        <w:t>A</w:t>
      </w:r>
      <w:r w:rsidR="00DB7377" w:rsidRPr="00242CFF">
        <w:rPr>
          <w:rFonts w:ascii="Arial" w:hAnsi="Arial" w:cs="Arial"/>
          <w:sz w:val="24"/>
          <w:szCs w:val="24"/>
          <w:lang w:val="en-GB"/>
        </w:rPr>
        <w:t xml:space="preserve">n appeal court will </w:t>
      </w:r>
      <w:r w:rsidR="00072729" w:rsidRPr="00242CFF">
        <w:rPr>
          <w:rFonts w:ascii="Arial" w:hAnsi="Arial" w:cs="Arial"/>
          <w:sz w:val="24"/>
          <w:szCs w:val="24"/>
          <w:lang w:val="en-GB"/>
        </w:rPr>
        <w:t xml:space="preserve">not readily </w:t>
      </w:r>
      <w:r w:rsidR="00DB7377" w:rsidRPr="00242CFF">
        <w:rPr>
          <w:rFonts w:ascii="Arial" w:hAnsi="Arial" w:cs="Arial"/>
          <w:sz w:val="24"/>
          <w:szCs w:val="24"/>
          <w:lang w:val="en-GB"/>
        </w:rPr>
        <w:t xml:space="preserve">disturb the factual findings of the trial court in relation to oral evidence unless there are sound reasons </w:t>
      </w:r>
      <w:r w:rsidR="00072729" w:rsidRPr="00242CFF">
        <w:rPr>
          <w:rFonts w:ascii="Arial" w:hAnsi="Arial" w:cs="Arial"/>
          <w:sz w:val="24"/>
          <w:szCs w:val="24"/>
          <w:lang w:val="en-GB"/>
        </w:rPr>
        <w:t>for doing so</w:t>
      </w:r>
      <w:r w:rsidR="00DB7377" w:rsidRPr="00242CFF">
        <w:rPr>
          <w:rFonts w:ascii="Arial" w:hAnsi="Arial" w:cs="Arial"/>
          <w:sz w:val="24"/>
          <w:szCs w:val="24"/>
          <w:lang w:val="en-GB"/>
        </w:rPr>
        <w:t>.</w:t>
      </w:r>
      <w:r w:rsidR="00072729">
        <w:rPr>
          <w:rStyle w:val="FootnoteReference"/>
          <w:rFonts w:ascii="Arial" w:hAnsi="Arial" w:cs="Arial"/>
          <w:sz w:val="24"/>
          <w:szCs w:val="24"/>
          <w:lang w:val="en-GB"/>
        </w:rPr>
        <w:footnoteReference w:id="3"/>
      </w:r>
      <w:r w:rsidR="00DB7377" w:rsidRPr="00242CFF">
        <w:rPr>
          <w:rFonts w:ascii="Arial" w:hAnsi="Arial" w:cs="Arial"/>
          <w:sz w:val="24"/>
          <w:szCs w:val="24"/>
          <w:lang w:val="en-GB"/>
        </w:rPr>
        <w:t xml:space="preserve"> More recently, the erstwhile Appellate Division held, in </w:t>
      </w:r>
      <w:r w:rsidR="00DB7377" w:rsidRPr="00242CFF">
        <w:rPr>
          <w:rFonts w:ascii="Arial" w:hAnsi="Arial" w:cs="Arial"/>
          <w:i/>
          <w:sz w:val="24"/>
          <w:szCs w:val="24"/>
          <w:lang w:val="en-GB"/>
        </w:rPr>
        <w:t>S v Francis</w:t>
      </w:r>
      <w:r w:rsidR="00DB7377" w:rsidRPr="00242CFF">
        <w:rPr>
          <w:rFonts w:ascii="Arial" w:hAnsi="Arial" w:cs="Arial"/>
          <w:sz w:val="24"/>
          <w:szCs w:val="24"/>
          <w:lang w:val="en-GB"/>
        </w:rPr>
        <w:t>,</w:t>
      </w:r>
      <w:r w:rsidR="00072729">
        <w:rPr>
          <w:rStyle w:val="FootnoteReference"/>
          <w:rFonts w:ascii="Arial" w:hAnsi="Arial" w:cs="Arial"/>
          <w:sz w:val="24"/>
          <w:szCs w:val="24"/>
          <w:lang w:val="en-GB"/>
        </w:rPr>
        <w:footnoteReference w:id="4"/>
      </w:r>
      <w:r w:rsidR="00DB7377" w:rsidRPr="00242CFF">
        <w:rPr>
          <w:rFonts w:ascii="Arial" w:hAnsi="Arial" w:cs="Arial"/>
          <w:sz w:val="24"/>
          <w:szCs w:val="24"/>
          <w:lang w:val="en-GB"/>
        </w:rPr>
        <w:t xml:space="preserve"> that:</w:t>
      </w:r>
    </w:p>
    <w:p w14:paraId="6B9A3DE3" w14:textId="77777777" w:rsidR="00072729" w:rsidRDefault="00072729" w:rsidP="00072729">
      <w:pPr>
        <w:spacing w:line="360" w:lineRule="auto"/>
        <w:ind w:left="720"/>
        <w:rPr>
          <w:rFonts w:ascii="Arial" w:hAnsi="Arial" w:cs="Arial"/>
          <w:sz w:val="24"/>
          <w:szCs w:val="24"/>
          <w:lang w:val="en-GB"/>
        </w:rPr>
      </w:pPr>
    </w:p>
    <w:p w14:paraId="17452042" w14:textId="77777777" w:rsidR="00DB7377" w:rsidRPr="00DB7377" w:rsidRDefault="00DB7377" w:rsidP="002D6711">
      <w:pPr>
        <w:spacing w:line="360" w:lineRule="auto"/>
        <w:ind w:left="720"/>
        <w:jc w:val="both"/>
        <w:rPr>
          <w:rFonts w:ascii="Arial" w:hAnsi="Arial" w:cs="Arial"/>
          <w:sz w:val="20"/>
          <w:szCs w:val="20"/>
          <w:lang w:val="en-GB"/>
        </w:rPr>
      </w:pPr>
      <w:r w:rsidRPr="00DB7377">
        <w:rPr>
          <w:rFonts w:ascii="Arial" w:hAnsi="Arial" w:cs="Arial"/>
          <w:sz w:val="20"/>
          <w:szCs w:val="20"/>
          <w:lang w:val="en-GB"/>
        </w:rPr>
        <w:t xml:space="preserve">‘The powers of a court to interfere with the findings of fact of a trial court are limited. In the absence of any misdirection the trial court’s conclusion, including its acceptance of a witness’s evidence, is presumed to be correct. In order to succeed on appeal, the appellant must therefore convince the court of appeal on adequate grounds that the trial court was wrong in accepting the witness’s evidence- a reasonable doubt will not suffice to justify interference with its findings. Bearing in mind the advantage which a trial court has of seeing, hearing and appraising a witness, it is only in </w:t>
      </w:r>
      <w:r w:rsidRPr="00DB7377">
        <w:rPr>
          <w:rFonts w:ascii="Arial" w:hAnsi="Arial" w:cs="Arial"/>
          <w:sz w:val="20"/>
          <w:szCs w:val="20"/>
          <w:lang w:val="en-GB"/>
        </w:rPr>
        <w:lastRenderedPageBreak/>
        <w:t>exceptional cases that the court of appeal will be entitled to interfere with a trial court’s evaluation of oral testimony.’</w:t>
      </w:r>
      <w:r w:rsidR="00072729" w:rsidRPr="00072729">
        <w:rPr>
          <w:rStyle w:val="FootnoteReference"/>
          <w:rFonts w:ascii="Arial" w:hAnsi="Arial" w:cs="Arial"/>
          <w:sz w:val="20"/>
          <w:szCs w:val="20"/>
          <w:lang w:val="en-GB"/>
        </w:rPr>
        <w:footnoteReference w:id="5"/>
      </w:r>
    </w:p>
    <w:p w14:paraId="51F341F1" w14:textId="77777777" w:rsidR="00072729" w:rsidRDefault="00072729" w:rsidP="00DB7377">
      <w:pPr>
        <w:spacing w:line="360" w:lineRule="auto"/>
        <w:rPr>
          <w:rFonts w:ascii="Arial" w:hAnsi="Arial" w:cs="Arial"/>
          <w:sz w:val="24"/>
          <w:szCs w:val="24"/>
          <w:lang w:val="en-GB"/>
        </w:rPr>
      </w:pPr>
    </w:p>
    <w:p w14:paraId="7C359CB4" w14:textId="4F58B611" w:rsidR="000F7AEF" w:rsidRPr="00242CFF" w:rsidRDefault="00242CFF" w:rsidP="00242CFF">
      <w:pPr>
        <w:spacing w:line="360" w:lineRule="auto"/>
        <w:jc w:val="both"/>
        <w:rPr>
          <w:rFonts w:ascii="Arial" w:hAnsi="Arial" w:cs="Arial"/>
          <w:sz w:val="24"/>
          <w:szCs w:val="24"/>
          <w:lang w:val="en-GB"/>
        </w:rPr>
      </w:pPr>
      <w:r w:rsidRPr="002D6711">
        <w:rPr>
          <w:rFonts w:ascii="Arial" w:hAnsi="Arial" w:cs="Arial"/>
          <w:sz w:val="24"/>
          <w:szCs w:val="24"/>
          <w:lang w:val="en-GB"/>
        </w:rPr>
        <w:t>[26]</w:t>
      </w:r>
      <w:r w:rsidRPr="002D6711">
        <w:rPr>
          <w:rFonts w:ascii="Arial" w:hAnsi="Arial" w:cs="Arial"/>
          <w:sz w:val="24"/>
          <w:szCs w:val="24"/>
          <w:lang w:val="en-GB"/>
        </w:rPr>
        <w:tab/>
      </w:r>
      <w:r w:rsidR="00072729" w:rsidRPr="00242CFF">
        <w:rPr>
          <w:rFonts w:ascii="Arial" w:hAnsi="Arial" w:cs="Arial"/>
          <w:sz w:val="24"/>
          <w:szCs w:val="24"/>
          <w:lang w:val="en-GB"/>
        </w:rPr>
        <w:t>W</w:t>
      </w:r>
      <w:r w:rsidR="00DB7377" w:rsidRPr="00242CFF">
        <w:rPr>
          <w:rFonts w:ascii="Arial" w:hAnsi="Arial" w:cs="Arial"/>
          <w:sz w:val="24"/>
          <w:szCs w:val="24"/>
          <w:lang w:val="en-GB"/>
        </w:rPr>
        <w:t xml:space="preserve">here the factual findings of the trial court are </w:t>
      </w:r>
      <w:r w:rsidR="000F7AEF" w:rsidRPr="00242CFF">
        <w:rPr>
          <w:rFonts w:ascii="Arial" w:hAnsi="Arial" w:cs="Arial"/>
          <w:sz w:val="24"/>
          <w:szCs w:val="24"/>
          <w:lang w:val="en-GB"/>
        </w:rPr>
        <w:t>clear</w:t>
      </w:r>
      <w:r w:rsidR="00DB7377" w:rsidRPr="00242CFF">
        <w:rPr>
          <w:rFonts w:ascii="Arial" w:hAnsi="Arial" w:cs="Arial"/>
          <w:sz w:val="24"/>
          <w:szCs w:val="24"/>
          <w:lang w:val="en-GB"/>
        </w:rPr>
        <w:t>ly wrong, the appeal court must indeed interfere.</w:t>
      </w:r>
      <w:r w:rsidR="00DB7377" w:rsidRPr="00DB7377">
        <w:rPr>
          <w:vertAlign w:val="superscript"/>
          <w:lang w:val="en-GB"/>
        </w:rPr>
        <w:footnoteReference w:id="6"/>
      </w:r>
      <w:r w:rsidR="00072729" w:rsidRPr="00242CFF">
        <w:rPr>
          <w:rFonts w:ascii="Arial" w:hAnsi="Arial" w:cs="Arial"/>
          <w:sz w:val="24"/>
          <w:szCs w:val="24"/>
          <w:lang w:val="en-GB"/>
        </w:rPr>
        <w:t xml:space="preserve"> The principle hardly needs restatin</w:t>
      </w:r>
      <w:r w:rsidR="000F7AEF" w:rsidRPr="00242CFF">
        <w:rPr>
          <w:rFonts w:ascii="Arial" w:hAnsi="Arial" w:cs="Arial"/>
          <w:sz w:val="24"/>
          <w:szCs w:val="24"/>
          <w:lang w:val="en-GB"/>
        </w:rPr>
        <w:t>g.</w:t>
      </w:r>
      <w:r w:rsidR="00A56729" w:rsidRPr="00242CFF">
        <w:rPr>
          <w:rFonts w:ascii="Arial" w:hAnsi="Arial" w:cs="Arial"/>
          <w:sz w:val="24"/>
          <w:szCs w:val="24"/>
          <w:lang w:val="en-GB"/>
        </w:rPr>
        <w:t xml:space="preserve"> </w:t>
      </w:r>
      <w:r w:rsidR="000F7AEF" w:rsidRPr="00242CFF">
        <w:rPr>
          <w:rFonts w:ascii="Arial" w:hAnsi="Arial" w:cs="Arial"/>
          <w:sz w:val="24"/>
          <w:szCs w:val="24"/>
          <w:lang w:val="en-GB"/>
        </w:rPr>
        <w:t>Similarly</w:t>
      </w:r>
      <w:r w:rsidR="00072729" w:rsidRPr="00242CFF">
        <w:rPr>
          <w:rFonts w:ascii="Arial" w:hAnsi="Arial" w:cs="Arial"/>
          <w:sz w:val="24"/>
          <w:szCs w:val="24"/>
          <w:lang w:val="en-GB"/>
        </w:rPr>
        <w:t>, it is trite that a</w:t>
      </w:r>
      <w:r w:rsidR="000F7AEF" w:rsidRPr="00242CFF">
        <w:rPr>
          <w:rFonts w:ascii="Arial" w:hAnsi="Arial" w:cs="Arial"/>
          <w:sz w:val="24"/>
          <w:szCs w:val="24"/>
          <w:lang w:val="en-GB"/>
        </w:rPr>
        <w:t xml:space="preserve">n </w:t>
      </w:r>
      <w:r w:rsidR="00072729" w:rsidRPr="00242CFF">
        <w:rPr>
          <w:rFonts w:ascii="Arial" w:hAnsi="Arial" w:cs="Arial"/>
          <w:sz w:val="24"/>
          <w:szCs w:val="24"/>
          <w:lang w:val="en-GB"/>
        </w:rPr>
        <w:t xml:space="preserve">appeal </w:t>
      </w:r>
      <w:r w:rsidR="000F7AEF" w:rsidRPr="00242CFF">
        <w:rPr>
          <w:rFonts w:ascii="Arial" w:hAnsi="Arial" w:cs="Arial"/>
          <w:sz w:val="24"/>
          <w:szCs w:val="24"/>
          <w:lang w:val="en-GB"/>
        </w:rPr>
        <w:t xml:space="preserve">court </w:t>
      </w:r>
      <w:r w:rsidR="00072729" w:rsidRPr="00242CFF">
        <w:rPr>
          <w:rFonts w:ascii="Arial" w:hAnsi="Arial" w:cs="Arial"/>
          <w:sz w:val="24"/>
          <w:szCs w:val="24"/>
          <w:lang w:val="en-GB"/>
        </w:rPr>
        <w:t>will not interfere lightly with the trial court’s exercise of its discretion</w:t>
      </w:r>
      <w:r w:rsidR="000F7AEF" w:rsidRPr="00242CFF">
        <w:rPr>
          <w:rFonts w:ascii="Arial" w:hAnsi="Arial" w:cs="Arial"/>
          <w:sz w:val="24"/>
          <w:szCs w:val="24"/>
          <w:lang w:val="en-GB"/>
        </w:rPr>
        <w:t xml:space="preserve"> in relation to sentence</w:t>
      </w:r>
      <w:r w:rsidR="00072729" w:rsidRPr="00242CFF">
        <w:rPr>
          <w:rFonts w:ascii="Arial" w:hAnsi="Arial" w:cs="Arial"/>
          <w:sz w:val="24"/>
          <w:szCs w:val="24"/>
          <w:lang w:val="en-GB"/>
        </w:rPr>
        <w:t>.</w:t>
      </w:r>
      <w:r w:rsidR="00072729" w:rsidRPr="00072729">
        <w:rPr>
          <w:vertAlign w:val="superscript"/>
          <w:lang w:val="en-GB"/>
        </w:rPr>
        <w:footnoteReference w:id="7"/>
      </w:r>
      <w:r w:rsidR="00072729" w:rsidRPr="00242CFF">
        <w:rPr>
          <w:rFonts w:ascii="Arial" w:hAnsi="Arial" w:cs="Arial"/>
          <w:sz w:val="24"/>
          <w:szCs w:val="24"/>
          <w:lang w:val="en-GB"/>
        </w:rPr>
        <w:t xml:space="preserve"> </w:t>
      </w:r>
    </w:p>
    <w:p w14:paraId="2FC9A3A5" w14:textId="7E83A611" w:rsidR="000F7AEF" w:rsidRPr="00242CFF" w:rsidRDefault="00242CFF" w:rsidP="00242CFF">
      <w:pPr>
        <w:spacing w:line="360" w:lineRule="auto"/>
        <w:jc w:val="both"/>
        <w:rPr>
          <w:rFonts w:ascii="Arial" w:hAnsi="Arial" w:cs="Arial"/>
          <w:sz w:val="24"/>
          <w:szCs w:val="24"/>
          <w:lang w:val="en-GB"/>
        </w:rPr>
      </w:pPr>
      <w:r w:rsidRPr="002D6711">
        <w:rPr>
          <w:rFonts w:ascii="Arial" w:hAnsi="Arial" w:cs="Arial"/>
          <w:sz w:val="24"/>
          <w:szCs w:val="24"/>
          <w:lang w:val="en-GB"/>
        </w:rPr>
        <w:t>[27]</w:t>
      </w:r>
      <w:r w:rsidRPr="002D6711">
        <w:rPr>
          <w:rFonts w:ascii="Arial" w:hAnsi="Arial" w:cs="Arial"/>
          <w:sz w:val="24"/>
          <w:szCs w:val="24"/>
          <w:lang w:val="en-GB"/>
        </w:rPr>
        <w:tab/>
      </w:r>
      <w:r w:rsidR="000F7AEF" w:rsidRPr="00242CFF">
        <w:rPr>
          <w:rFonts w:ascii="Arial" w:hAnsi="Arial" w:cs="Arial"/>
          <w:sz w:val="24"/>
          <w:szCs w:val="24"/>
          <w:lang w:val="en-GB"/>
        </w:rPr>
        <w:t>The above principles comprise the basic framework for the determination of the issues identified earlier. Their application is set out below</w:t>
      </w:r>
      <w:r w:rsidR="001D7A98" w:rsidRPr="00242CFF">
        <w:rPr>
          <w:rFonts w:ascii="Arial" w:hAnsi="Arial" w:cs="Arial"/>
          <w:sz w:val="24"/>
          <w:szCs w:val="24"/>
          <w:lang w:val="en-GB"/>
        </w:rPr>
        <w:t xml:space="preserve">, beginning with the </w:t>
      </w:r>
      <w:r w:rsidR="00F37B2A" w:rsidRPr="00242CFF">
        <w:rPr>
          <w:rFonts w:ascii="Arial" w:hAnsi="Arial" w:cs="Arial"/>
          <w:sz w:val="24"/>
          <w:szCs w:val="24"/>
          <w:lang w:val="en-GB"/>
        </w:rPr>
        <w:t>impact of the CJA on the matter</w:t>
      </w:r>
      <w:r w:rsidR="000F7AEF" w:rsidRPr="00242CFF">
        <w:rPr>
          <w:rFonts w:ascii="Arial" w:hAnsi="Arial" w:cs="Arial"/>
          <w:sz w:val="24"/>
          <w:szCs w:val="24"/>
          <w:lang w:val="en-GB"/>
        </w:rPr>
        <w:t>.</w:t>
      </w:r>
    </w:p>
    <w:p w14:paraId="6597CD53" w14:textId="77777777" w:rsidR="000F7AEF" w:rsidRDefault="000F7AEF" w:rsidP="000F7AEF">
      <w:pPr>
        <w:spacing w:line="360" w:lineRule="auto"/>
        <w:rPr>
          <w:rFonts w:ascii="Arial" w:hAnsi="Arial" w:cs="Arial"/>
          <w:sz w:val="24"/>
          <w:szCs w:val="24"/>
          <w:lang w:val="en-GB"/>
        </w:rPr>
      </w:pPr>
    </w:p>
    <w:p w14:paraId="0BACE7EF" w14:textId="6677F85F" w:rsidR="000F7AEF" w:rsidRDefault="001D2E92" w:rsidP="002D6711">
      <w:pPr>
        <w:spacing w:line="360" w:lineRule="auto"/>
        <w:jc w:val="both"/>
        <w:rPr>
          <w:rFonts w:ascii="Arial" w:hAnsi="Arial" w:cs="Arial"/>
          <w:b/>
          <w:bCs/>
          <w:sz w:val="24"/>
          <w:szCs w:val="24"/>
          <w:lang w:val="en-GB"/>
        </w:rPr>
      </w:pPr>
      <w:r>
        <w:rPr>
          <w:rFonts w:ascii="Arial" w:hAnsi="Arial" w:cs="Arial"/>
          <w:b/>
          <w:bCs/>
          <w:sz w:val="24"/>
          <w:szCs w:val="24"/>
          <w:lang w:val="en-GB"/>
        </w:rPr>
        <w:t>The CJA</w:t>
      </w:r>
    </w:p>
    <w:p w14:paraId="034A7C31" w14:textId="77777777" w:rsidR="00E875EA" w:rsidRDefault="00E875EA" w:rsidP="000F7AEF">
      <w:pPr>
        <w:spacing w:line="360" w:lineRule="auto"/>
        <w:rPr>
          <w:rFonts w:ascii="Arial" w:hAnsi="Arial" w:cs="Arial"/>
          <w:b/>
          <w:bCs/>
          <w:sz w:val="24"/>
          <w:szCs w:val="24"/>
          <w:lang w:val="en-GB"/>
        </w:rPr>
      </w:pPr>
    </w:p>
    <w:p w14:paraId="685761FB" w14:textId="342FA1AF" w:rsidR="001F1A6E" w:rsidRPr="005432C5" w:rsidRDefault="0074177C" w:rsidP="005432C5">
      <w:pPr>
        <w:spacing w:line="360" w:lineRule="auto"/>
        <w:jc w:val="both"/>
        <w:rPr>
          <w:rFonts w:ascii="Arial" w:hAnsi="Arial" w:cs="Arial"/>
          <w:sz w:val="24"/>
          <w:szCs w:val="24"/>
          <w:lang w:val="en-GB"/>
        </w:rPr>
      </w:pPr>
      <w:r w:rsidRPr="005432C5">
        <w:rPr>
          <w:rFonts w:ascii="Arial" w:hAnsi="Arial" w:cs="Arial"/>
          <w:sz w:val="24"/>
          <w:szCs w:val="24"/>
          <w:lang w:val="en-GB"/>
        </w:rPr>
        <w:t xml:space="preserve">[28] </w:t>
      </w:r>
      <w:r w:rsidRPr="005432C5">
        <w:rPr>
          <w:rFonts w:ascii="Arial" w:hAnsi="Arial" w:cs="Arial"/>
          <w:sz w:val="24"/>
          <w:szCs w:val="24"/>
          <w:lang w:val="en-GB"/>
        </w:rPr>
        <w:tab/>
      </w:r>
      <w:r w:rsidR="001F1A6E" w:rsidRPr="005432C5">
        <w:rPr>
          <w:rFonts w:ascii="Arial" w:hAnsi="Arial" w:cs="Arial"/>
          <w:sz w:val="24"/>
          <w:szCs w:val="24"/>
          <w:lang w:val="en-GB"/>
        </w:rPr>
        <w:t>O</w:t>
      </w:r>
      <w:r w:rsidR="00600319" w:rsidRPr="005432C5">
        <w:rPr>
          <w:rFonts w:ascii="Arial" w:hAnsi="Arial" w:cs="Arial"/>
          <w:sz w:val="24"/>
          <w:szCs w:val="24"/>
          <w:lang w:val="en-GB"/>
        </w:rPr>
        <w:t xml:space="preserve">f </w:t>
      </w:r>
      <w:r w:rsidR="00221F35" w:rsidRPr="005432C5">
        <w:rPr>
          <w:rFonts w:ascii="Arial" w:hAnsi="Arial" w:cs="Arial"/>
          <w:sz w:val="24"/>
          <w:szCs w:val="24"/>
          <w:lang w:val="en-GB"/>
        </w:rPr>
        <w:t>immediate</w:t>
      </w:r>
      <w:r w:rsidR="00600319" w:rsidRPr="005432C5">
        <w:rPr>
          <w:rFonts w:ascii="Arial" w:hAnsi="Arial" w:cs="Arial"/>
          <w:sz w:val="24"/>
          <w:szCs w:val="24"/>
          <w:lang w:val="en-GB"/>
        </w:rPr>
        <w:t xml:space="preserve"> concern</w:t>
      </w:r>
      <w:r w:rsidR="00221F35" w:rsidRPr="005432C5">
        <w:rPr>
          <w:rFonts w:ascii="Arial" w:hAnsi="Arial" w:cs="Arial"/>
          <w:sz w:val="24"/>
          <w:szCs w:val="24"/>
          <w:lang w:val="en-GB"/>
        </w:rPr>
        <w:t xml:space="preserve"> </w:t>
      </w:r>
      <w:r w:rsidR="00600319" w:rsidRPr="005432C5">
        <w:rPr>
          <w:rFonts w:ascii="Arial" w:hAnsi="Arial" w:cs="Arial"/>
          <w:sz w:val="24"/>
          <w:szCs w:val="24"/>
          <w:lang w:val="en-GB"/>
        </w:rPr>
        <w:t>is that the appellant</w:t>
      </w:r>
      <w:r w:rsidR="00FE1782" w:rsidRPr="005432C5">
        <w:rPr>
          <w:rFonts w:ascii="Arial" w:hAnsi="Arial" w:cs="Arial"/>
          <w:sz w:val="24"/>
          <w:szCs w:val="24"/>
          <w:lang w:val="en-GB"/>
        </w:rPr>
        <w:t xml:space="preserve"> was 17 years old at the time that he pleaded to the charge on 6 December 2021.</w:t>
      </w:r>
      <w:r w:rsidR="001F1A6E" w:rsidRPr="005432C5">
        <w:rPr>
          <w:rFonts w:ascii="Arial" w:hAnsi="Arial" w:cs="Arial"/>
          <w:sz w:val="24"/>
          <w:szCs w:val="24"/>
          <w:vertAlign w:val="superscript"/>
          <w:lang w:val="en-GB"/>
        </w:rPr>
        <w:footnoteReference w:id="8"/>
      </w:r>
      <w:r w:rsidR="00FE1782" w:rsidRPr="005432C5">
        <w:rPr>
          <w:rFonts w:ascii="Arial" w:hAnsi="Arial" w:cs="Arial"/>
          <w:sz w:val="24"/>
          <w:szCs w:val="24"/>
          <w:lang w:val="en-GB"/>
        </w:rPr>
        <w:t xml:space="preserve"> The </w:t>
      </w:r>
      <w:r w:rsidR="00294693" w:rsidRPr="005432C5">
        <w:rPr>
          <w:rFonts w:ascii="Arial" w:hAnsi="Arial" w:cs="Arial"/>
          <w:sz w:val="24"/>
          <w:szCs w:val="24"/>
          <w:lang w:val="en-GB"/>
        </w:rPr>
        <w:t xml:space="preserve">court </w:t>
      </w:r>
      <w:r w:rsidR="00294693" w:rsidRPr="005432C5">
        <w:rPr>
          <w:rFonts w:ascii="Arial" w:hAnsi="Arial" w:cs="Arial"/>
          <w:i/>
          <w:iCs/>
          <w:sz w:val="24"/>
          <w:szCs w:val="24"/>
          <w:lang w:val="en-GB"/>
        </w:rPr>
        <w:t>a quo</w:t>
      </w:r>
      <w:r w:rsidR="00294693" w:rsidRPr="005432C5">
        <w:rPr>
          <w:rFonts w:ascii="Arial" w:hAnsi="Arial" w:cs="Arial"/>
          <w:sz w:val="24"/>
          <w:szCs w:val="24"/>
          <w:lang w:val="en-GB"/>
        </w:rPr>
        <w:t xml:space="preserve"> </w:t>
      </w:r>
      <w:r w:rsidR="00FE1782" w:rsidRPr="005432C5">
        <w:rPr>
          <w:rFonts w:ascii="Arial" w:hAnsi="Arial" w:cs="Arial"/>
          <w:sz w:val="24"/>
          <w:szCs w:val="24"/>
          <w:lang w:val="en-GB"/>
        </w:rPr>
        <w:t>required him to plead without first having explained to him the allegations made</w:t>
      </w:r>
      <w:r w:rsidR="002361F4">
        <w:rPr>
          <w:rFonts w:ascii="Arial" w:hAnsi="Arial" w:cs="Arial"/>
          <w:sz w:val="24"/>
          <w:szCs w:val="24"/>
          <w:lang w:val="en-GB"/>
        </w:rPr>
        <w:t xml:space="preserve"> against him</w:t>
      </w:r>
      <w:r w:rsidR="00822740">
        <w:rPr>
          <w:rFonts w:ascii="Arial" w:hAnsi="Arial" w:cs="Arial"/>
          <w:sz w:val="24"/>
          <w:szCs w:val="24"/>
          <w:lang w:val="en-GB"/>
        </w:rPr>
        <w:t>,</w:t>
      </w:r>
      <w:r w:rsidR="003B66D0" w:rsidRPr="005432C5">
        <w:rPr>
          <w:rFonts w:ascii="Arial" w:hAnsi="Arial" w:cs="Arial"/>
          <w:sz w:val="24"/>
          <w:szCs w:val="24"/>
          <w:lang w:val="en-GB"/>
        </w:rPr>
        <w:t xml:space="preserve"> his rights, or the procedures that would follow. </w:t>
      </w:r>
      <w:r w:rsidR="00506A3E" w:rsidRPr="005432C5">
        <w:rPr>
          <w:rFonts w:ascii="Arial" w:hAnsi="Arial" w:cs="Arial"/>
          <w:sz w:val="24"/>
          <w:szCs w:val="24"/>
          <w:lang w:val="en-GB"/>
        </w:rPr>
        <w:t>A</w:t>
      </w:r>
      <w:r w:rsidR="003B66D0" w:rsidRPr="005432C5">
        <w:rPr>
          <w:rFonts w:ascii="Arial" w:hAnsi="Arial" w:cs="Arial"/>
          <w:sz w:val="24"/>
          <w:szCs w:val="24"/>
          <w:lang w:val="en-GB"/>
        </w:rPr>
        <w:t>fter the state had read the charge</w:t>
      </w:r>
      <w:r w:rsidR="00506A3E" w:rsidRPr="005432C5">
        <w:rPr>
          <w:rFonts w:ascii="Arial" w:hAnsi="Arial" w:cs="Arial"/>
          <w:sz w:val="24"/>
          <w:szCs w:val="24"/>
          <w:lang w:val="en-GB"/>
        </w:rPr>
        <w:t>, the following exchange ensue</w:t>
      </w:r>
      <w:r w:rsidR="003B66D0" w:rsidRPr="005432C5">
        <w:rPr>
          <w:rFonts w:ascii="Arial" w:hAnsi="Arial" w:cs="Arial"/>
          <w:sz w:val="24"/>
          <w:szCs w:val="24"/>
          <w:lang w:val="en-GB"/>
        </w:rPr>
        <w:t>d:</w:t>
      </w:r>
    </w:p>
    <w:p w14:paraId="7B56C255" w14:textId="77777777" w:rsidR="001F1A6E" w:rsidRPr="005432C5" w:rsidRDefault="001F1A6E" w:rsidP="005432C5">
      <w:pPr>
        <w:spacing w:line="360" w:lineRule="auto"/>
        <w:jc w:val="both"/>
        <w:rPr>
          <w:rFonts w:ascii="Arial" w:hAnsi="Arial" w:cs="Arial"/>
          <w:sz w:val="24"/>
          <w:szCs w:val="24"/>
          <w:lang w:val="en-GB"/>
        </w:rPr>
      </w:pPr>
    </w:p>
    <w:p w14:paraId="4A6A2326" w14:textId="7CDBB259" w:rsidR="001F1A6E" w:rsidRPr="005432C5" w:rsidRDefault="003B66D0" w:rsidP="005432C5">
      <w:pPr>
        <w:spacing w:line="360" w:lineRule="auto"/>
        <w:ind w:left="720"/>
        <w:jc w:val="both"/>
        <w:rPr>
          <w:rFonts w:ascii="Arial" w:hAnsi="Arial" w:cs="Arial"/>
          <w:sz w:val="20"/>
          <w:szCs w:val="20"/>
          <w:lang w:val="en-GB"/>
        </w:rPr>
      </w:pPr>
      <w:r w:rsidRPr="005432C5">
        <w:rPr>
          <w:rFonts w:ascii="Arial" w:hAnsi="Arial" w:cs="Arial"/>
          <w:sz w:val="20"/>
          <w:szCs w:val="20"/>
          <w:lang w:val="en-GB"/>
        </w:rPr>
        <w:t>‘COURT:</w:t>
      </w:r>
      <w:r w:rsidRPr="005432C5">
        <w:rPr>
          <w:rFonts w:ascii="Arial" w:hAnsi="Arial" w:cs="Arial"/>
          <w:sz w:val="20"/>
          <w:szCs w:val="20"/>
          <w:lang w:val="en-GB"/>
        </w:rPr>
        <w:tab/>
      </w:r>
      <w:r w:rsidRPr="005432C5">
        <w:rPr>
          <w:rFonts w:ascii="Arial" w:hAnsi="Arial" w:cs="Arial"/>
          <w:sz w:val="20"/>
          <w:szCs w:val="20"/>
          <w:lang w:val="en-GB"/>
        </w:rPr>
        <w:tab/>
        <w:t>Mr July, do you understand the charge against you?</w:t>
      </w:r>
    </w:p>
    <w:p w14:paraId="5A0E4395" w14:textId="2A2D6BA7" w:rsidR="000D7F67" w:rsidRPr="005432C5" w:rsidRDefault="000D7F67" w:rsidP="005432C5">
      <w:pPr>
        <w:spacing w:line="360" w:lineRule="auto"/>
        <w:ind w:firstLine="720"/>
        <w:jc w:val="both"/>
        <w:rPr>
          <w:rFonts w:ascii="Arial" w:hAnsi="Arial" w:cs="Arial"/>
          <w:sz w:val="20"/>
          <w:szCs w:val="20"/>
          <w:lang w:val="en-GB"/>
        </w:rPr>
      </w:pPr>
      <w:r w:rsidRPr="005432C5">
        <w:rPr>
          <w:rFonts w:ascii="Arial" w:hAnsi="Arial" w:cs="Arial"/>
          <w:sz w:val="20"/>
          <w:szCs w:val="20"/>
          <w:lang w:val="en-GB"/>
        </w:rPr>
        <w:t>ACCUSED:</w:t>
      </w:r>
      <w:r w:rsidRPr="005432C5">
        <w:rPr>
          <w:rFonts w:ascii="Arial" w:hAnsi="Arial" w:cs="Arial"/>
          <w:sz w:val="20"/>
          <w:szCs w:val="20"/>
          <w:lang w:val="en-GB"/>
        </w:rPr>
        <w:tab/>
      </w:r>
      <w:r w:rsidRPr="005432C5">
        <w:rPr>
          <w:rFonts w:ascii="Arial" w:hAnsi="Arial" w:cs="Arial"/>
          <w:sz w:val="20"/>
          <w:szCs w:val="20"/>
          <w:lang w:val="en-GB"/>
        </w:rPr>
        <w:tab/>
      </w:r>
      <w:r w:rsidR="00DD3283" w:rsidRPr="005432C5">
        <w:rPr>
          <w:rFonts w:ascii="Arial" w:hAnsi="Arial" w:cs="Arial"/>
          <w:sz w:val="20"/>
          <w:szCs w:val="20"/>
          <w:lang w:val="en-GB"/>
        </w:rPr>
        <w:t>Yes, Your Worship.</w:t>
      </w:r>
    </w:p>
    <w:p w14:paraId="1029E2A7" w14:textId="1637FE73" w:rsidR="00DD3283" w:rsidRPr="005432C5" w:rsidRDefault="00DD3283" w:rsidP="005432C5">
      <w:pPr>
        <w:spacing w:line="360" w:lineRule="auto"/>
        <w:ind w:firstLine="720"/>
        <w:jc w:val="both"/>
        <w:rPr>
          <w:rFonts w:ascii="Arial" w:hAnsi="Arial" w:cs="Arial"/>
          <w:sz w:val="20"/>
          <w:szCs w:val="20"/>
          <w:lang w:val="en-GB"/>
        </w:rPr>
      </w:pPr>
      <w:r w:rsidRPr="005432C5">
        <w:rPr>
          <w:rFonts w:ascii="Arial" w:hAnsi="Arial" w:cs="Arial"/>
          <w:sz w:val="20"/>
          <w:szCs w:val="20"/>
          <w:lang w:val="en-GB"/>
        </w:rPr>
        <w:t>COURT:</w:t>
      </w:r>
      <w:r w:rsidRPr="005432C5">
        <w:rPr>
          <w:rFonts w:ascii="Arial" w:hAnsi="Arial" w:cs="Arial"/>
          <w:sz w:val="20"/>
          <w:szCs w:val="20"/>
          <w:lang w:val="en-GB"/>
        </w:rPr>
        <w:tab/>
      </w:r>
      <w:r w:rsidRPr="005432C5">
        <w:rPr>
          <w:rFonts w:ascii="Arial" w:hAnsi="Arial" w:cs="Arial"/>
          <w:sz w:val="20"/>
          <w:szCs w:val="20"/>
          <w:lang w:val="en-GB"/>
        </w:rPr>
        <w:tab/>
        <w:t>How do you plead to the charge?</w:t>
      </w:r>
    </w:p>
    <w:p w14:paraId="32E3D9A7" w14:textId="5A6C5E99" w:rsidR="00DD3283" w:rsidRPr="005432C5" w:rsidRDefault="009A0E61" w:rsidP="005432C5">
      <w:pPr>
        <w:spacing w:line="360" w:lineRule="auto"/>
        <w:ind w:firstLine="720"/>
        <w:jc w:val="both"/>
        <w:rPr>
          <w:rFonts w:ascii="Arial" w:hAnsi="Arial" w:cs="Arial"/>
          <w:sz w:val="20"/>
          <w:szCs w:val="20"/>
          <w:lang w:val="en-GB"/>
        </w:rPr>
      </w:pPr>
      <w:r w:rsidRPr="005432C5">
        <w:rPr>
          <w:rFonts w:ascii="Arial" w:hAnsi="Arial" w:cs="Arial"/>
          <w:sz w:val="20"/>
          <w:szCs w:val="20"/>
          <w:lang w:val="en-GB"/>
        </w:rPr>
        <w:t>ACCUSED:</w:t>
      </w:r>
      <w:r w:rsidRPr="005432C5">
        <w:rPr>
          <w:rFonts w:ascii="Arial" w:hAnsi="Arial" w:cs="Arial"/>
          <w:sz w:val="20"/>
          <w:szCs w:val="20"/>
          <w:lang w:val="en-GB"/>
        </w:rPr>
        <w:tab/>
      </w:r>
      <w:r w:rsidRPr="005432C5">
        <w:rPr>
          <w:rFonts w:ascii="Arial" w:hAnsi="Arial" w:cs="Arial"/>
          <w:sz w:val="20"/>
          <w:szCs w:val="20"/>
          <w:lang w:val="en-GB"/>
        </w:rPr>
        <w:tab/>
        <w:t>I plead not guilty, Your Worship.’</w:t>
      </w:r>
    </w:p>
    <w:p w14:paraId="4EDF2582" w14:textId="77777777" w:rsidR="001F1A6E" w:rsidRPr="005432C5" w:rsidRDefault="001F1A6E" w:rsidP="005432C5">
      <w:pPr>
        <w:spacing w:line="360" w:lineRule="auto"/>
        <w:jc w:val="both"/>
        <w:rPr>
          <w:rFonts w:ascii="Arial" w:hAnsi="Arial" w:cs="Arial"/>
          <w:sz w:val="24"/>
          <w:szCs w:val="24"/>
          <w:lang w:val="en-GB"/>
        </w:rPr>
      </w:pPr>
    </w:p>
    <w:p w14:paraId="1A682652" w14:textId="780E5C3F" w:rsidR="001F1A6E" w:rsidRPr="001F1A6E" w:rsidRDefault="00B528D6" w:rsidP="005432C5">
      <w:pPr>
        <w:spacing w:line="360" w:lineRule="auto"/>
        <w:jc w:val="both"/>
        <w:rPr>
          <w:rFonts w:ascii="Arial" w:hAnsi="Arial" w:cs="Arial"/>
          <w:sz w:val="24"/>
          <w:szCs w:val="24"/>
          <w:lang w:val="en-GB"/>
        </w:rPr>
      </w:pPr>
      <w:r w:rsidRPr="005432C5">
        <w:rPr>
          <w:rFonts w:ascii="Arial" w:hAnsi="Arial" w:cs="Arial"/>
          <w:sz w:val="24"/>
          <w:szCs w:val="24"/>
          <w:lang w:val="en-GB"/>
        </w:rPr>
        <w:t xml:space="preserve">[29] </w:t>
      </w:r>
      <w:r w:rsidRPr="005432C5">
        <w:rPr>
          <w:rFonts w:ascii="Arial" w:hAnsi="Arial" w:cs="Arial"/>
          <w:sz w:val="24"/>
          <w:szCs w:val="24"/>
          <w:lang w:val="en-GB"/>
        </w:rPr>
        <w:tab/>
      </w:r>
      <w:r w:rsidR="001F1A6E" w:rsidRPr="005432C5">
        <w:rPr>
          <w:rFonts w:ascii="Arial" w:hAnsi="Arial" w:cs="Arial"/>
          <w:sz w:val="24"/>
          <w:szCs w:val="24"/>
          <w:lang w:val="en-GB"/>
        </w:rPr>
        <w:t>It is apparent</w:t>
      </w:r>
      <w:r w:rsidR="00FC2AC7">
        <w:rPr>
          <w:rFonts w:ascii="Arial" w:hAnsi="Arial" w:cs="Arial"/>
          <w:sz w:val="24"/>
          <w:szCs w:val="24"/>
          <w:lang w:val="en-GB"/>
        </w:rPr>
        <w:t xml:space="preserve"> </w:t>
      </w:r>
      <w:r w:rsidR="001F1A6E" w:rsidRPr="005432C5">
        <w:rPr>
          <w:rFonts w:ascii="Arial" w:hAnsi="Arial" w:cs="Arial"/>
          <w:sz w:val="24"/>
          <w:szCs w:val="24"/>
          <w:lang w:val="en-GB"/>
        </w:rPr>
        <w:t>from the record that a preliminary enquiry was held, but that is a separate matter entirely.</w:t>
      </w:r>
      <w:r w:rsidR="001F1A6E" w:rsidRPr="005432C5">
        <w:rPr>
          <w:rFonts w:ascii="Arial" w:hAnsi="Arial" w:cs="Arial"/>
          <w:sz w:val="24"/>
          <w:szCs w:val="24"/>
          <w:vertAlign w:val="superscript"/>
          <w:lang w:val="en-GB"/>
        </w:rPr>
        <w:footnoteReference w:id="9"/>
      </w:r>
      <w:r w:rsidR="001F1A6E" w:rsidRPr="005432C5">
        <w:rPr>
          <w:rFonts w:ascii="Arial" w:hAnsi="Arial" w:cs="Arial"/>
          <w:sz w:val="24"/>
          <w:szCs w:val="24"/>
          <w:lang w:val="en-GB"/>
        </w:rPr>
        <w:t xml:space="preserve"> The CJA provides in peremptory terms that the presiding officer must, before plea in a child justice court, inform the child of the nature of the allegations against him</w:t>
      </w:r>
      <w:r w:rsidR="00FC2AC7">
        <w:rPr>
          <w:rFonts w:ascii="Arial" w:hAnsi="Arial" w:cs="Arial"/>
          <w:sz w:val="24"/>
          <w:szCs w:val="24"/>
          <w:lang w:val="en-GB"/>
        </w:rPr>
        <w:t xml:space="preserve"> or her</w:t>
      </w:r>
      <w:r w:rsidR="001F1A6E" w:rsidRPr="005432C5">
        <w:rPr>
          <w:rFonts w:ascii="Arial" w:hAnsi="Arial" w:cs="Arial"/>
          <w:sz w:val="24"/>
          <w:szCs w:val="24"/>
          <w:lang w:val="en-GB"/>
        </w:rPr>
        <w:t>, inform the child of his</w:t>
      </w:r>
      <w:r w:rsidR="00FC2AC7">
        <w:rPr>
          <w:rFonts w:ascii="Arial" w:hAnsi="Arial" w:cs="Arial"/>
          <w:sz w:val="24"/>
          <w:szCs w:val="24"/>
          <w:lang w:val="en-GB"/>
        </w:rPr>
        <w:t xml:space="preserve"> or her</w:t>
      </w:r>
      <w:r w:rsidR="001F1A6E" w:rsidRPr="005432C5">
        <w:rPr>
          <w:rFonts w:ascii="Arial" w:hAnsi="Arial" w:cs="Arial"/>
          <w:sz w:val="24"/>
          <w:szCs w:val="24"/>
          <w:lang w:val="en-GB"/>
        </w:rPr>
        <w:t xml:space="preserve"> rights, and explain to the child the further procedures to be followed in terms of the CJA.</w:t>
      </w:r>
      <w:r w:rsidR="001F1A6E" w:rsidRPr="005432C5">
        <w:rPr>
          <w:rFonts w:ascii="Arial" w:hAnsi="Arial" w:cs="Arial"/>
          <w:sz w:val="24"/>
          <w:szCs w:val="24"/>
          <w:vertAlign w:val="superscript"/>
          <w:lang w:val="en-GB"/>
        </w:rPr>
        <w:footnoteReference w:id="10"/>
      </w:r>
      <w:r w:rsidR="001F1A6E" w:rsidRPr="005432C5">
        <w:rPr>
          <w:rFonts w:ascii="Arial" w:hAnsi="Arial" w:cs="Arial"/>
          <w:sz w:val="24"/>
          <w:szCs w:val="24"/>
          <w:lang w:val="en-GB"/>
        </w:rPr>
        <w:t xml:space="preserve"> This must all be done in the prescribed manner.</w:t>
      </w:r>
      <w:r w:rsidR="001F1A6E" w:rsidRPr="005432C5">
        <w:rPr>
          <w:rFonts w:ascii="Arial" w:hAnsi="Arial" w:cs="Arial"/>
          <w:sz w:val="24"/>
          <w:szCs w:val="24"/>
          <w:vertAlign w:val="superscript"/>
          <w:lang w:val="en-GB"/>
        </w:rPr>
        <w:footnoteReference w:id="11"/>
      </w:r>
      <w:r w:rsidR="001F1A6E" w:rsidRPr="005432C5">
        <w:rPr>
          <w:rFonts w:ascii="Arial" w:hAnsi="Arial" w:cs="Arial"/>
          <w:sz w:val="24"/>
          <w:szCs w:val="24"/>
          <w:lang w:val="en-GB"/>
        </w:rPr>
        <w:t xml:space="preserve"> </w:t>
      </w:r>
      <w:r w:rsidR="00D46E41" w:rsidRPr="005432C5">
        <w:rPr>
          <w:rFonts w:ascii="Arial" w:hAnsi="Arial" w:cs="Arial"/>
          <w:sz w:val="24"/>
          <w:szCs w:val="24"/>
          <w:lang w:val="en-GB"/>
        </w:rPr>
        <w:t>It cannot be said</w:t>
      </w:r>
      <w:r w:rsidR="00314DE3" w:rsidRPr="005432C5">
        <w:rPr>
          <w:rFonts w:ascii="Arial" w:hAnsi="Arial" w:cs="Arial"/>
          <w:sz w:val="24"/>
          <w:szCs w:val="24"/>
          <w:lang w:val="en-GB"/>
        </w:rPr>
        <w:t>, in the present matter,</w:t>
      </w:r>
      <w:r w:rsidR="00D46E41" w:rsidRPr="005432C5">
        <w:rPr>
          <w:rFonts w:ascii="Arial" w:hAnsi="Arial" w:cs="Arial"/>
          <w:sz w:val="24"/>
          <w:szCs w:val="24"/>
          <w:lang w:val="en-GB"/>
        </w:rPr>
        <w:t xml:space="preserve"> that </w:t>
      </w:r>
      <w:r w:rsidR="005A6E7E" w:rsidRPr="005432C5">
        <w:rPr>
          <w:rFonts w:ascii="Arial" w:hAnsi="Arial" w:cs="Arial"/>
          <w:sz w:val="24"/>
          <w:szCs w:val="24"/>
          <w:lang w:val="en-GB"/>
        </w:rPr>
        <w:t>there was compliance.</w:t>
      </w:r>
    </w:p>
    <w:p w14:paraId="5B8B1866" w14:textId="1277C1D2" w:rsidR="00E1638E" w:rsidRPr="002D6711" w:rsidRDefault="003E37E7" w:rsidP="003E37E7">
      <w:pPr>
        <w:pStyle w:val="ListParagraph"/>
        <w:spacing w:line="360" w:lineRule="auto"/>
        <w:ind w:left="0"/>
        <w:jc w:val="both"/>
        <w:rPr>
          <w:rFonts w:ascii="Arial" w:hAnsi="Arial" w:cs="Arial"/>
          <w:sz w:val="24"/>
          <w:szCs w:val="24"/>
          <w:lang w:val="en-GB"/>
        </w:rPr>
      </w:pPr>
      <w:r>
        <w:rPr>
          <w:rFonts w:ascii="Arial" w:hAnsi="Arial" w:cs="Arial"/>
          <w:sz w:val="24"/>
          <w:szCs w:val="24"/>
          <w:lang w:val="en-GB"/>
        </w:rPr>
        <w:t xml:space="preserve">[30] </w:t>
      </w:r>
      <w:r>
        <w:rPr>
          <w:rFonts w:ascii="Arial" w:hAnsi="Arial" w:cs="Arial"/>
          <w:sz w:val="24"/>
          <w:szCs w:val="24"/>
          <w:lang w:val="en-GB"/>
        </w:rPr>
        <w:tab/>
      </w:r>
      <w:r w:rsidR="00C037C7" w:rsidRPr="002D6711">
        <w:rPr>
          <w:rFonts w:ascii="Arial" w:hAnsi="Arial" w:cs="Arial"/>
          <w:sz w:val="24"/>
          <w:szCs w:val="24"/>
          <w:lang w:val="en-GB"/>
        </w:rPr>
        <w:t>It was not disputed</w:t>
      </w:r>
      <w:r w:rsidR="004D1C64">
        <w:rPr>
          <w:rFonts w:ascii="Arial" w:hAnsi="Arial" w:cs="Arial"/>
          <w:sz w:val="24"/>
          <w:szCs w:val="24"/>
          <w:lang w:val="en-GB"/>
        </w:rPr>
        <w:t>, furthermore,</w:t>
      </w:r>
      <w:r w:rsidR="00C037C7" w:rsidRPr="002D6711">
        <w:rPr>
          <w:rFonts w:ascii="Arial" w:hAnsi="Arial" w:cs="Arial"/>
          <w:sz w:val="24"/>
          <w:szCs w:val="24"/>
          <w:lang w:val="en-GB"/>
        </w:rPr>
        <w:t xml:space="preserve"> that the complainant </w:t>
      </w:r>
      <w:r w:rsidR="00BE34A2" w:rsidRPr="002D6711">
        <w:rPr>
          <w:rFonts w:ascii="Arial" w:hAnsi="Arial" w:cs="Arial"/>
          <w:sz w:val="24"/>
          <w:szCs w:val="24"/>
          <w:lang w:val="en-GB"/>
        </w:rPr>
        <w:t>had been</w:t>
      </w:r>
      <w:r w:rsidR="00C037C7" w:rsidRPr="002D6711">
        <w:rPr>
          <w:rFonts w:ascii="Arial" w:hAnsi="Arial" w:cs="Arial"/>
          <w:sz w:val="24"/>
          <w:szCs w:val="24"/>
          <w:lang w:val="en-GB"/>
        </w:rPr>
        <w:t xml:space="preserve"> 13 years old at the time that she </w:t>
      </w:r>
      <w:r w:rsidR="00BE34A2" w:rsidRPr="002D6711">
        <w:rPr>
          <w:rFonts w:ascii="Arial" w:hAnsi="Arial" w:cs="Arial"/>
          <w:sz w:val="24"/>
          <w:szCs w:val="24"/>
          <w:lang w:val="en-GB"/>
        </w:rPr>
        <w:t xml:space="preserve">had been </w:t>
      </w:r>
      <w:r w:rsidR="00C037C7" w:rsidRPr="002D6711">
        <w:rPr>
          <w:rFonts w:ascii="Arial" w:hAnsi="Arial" w:cs="Arial"/>
          <w:sz w:val="24"/>
          <w:szCs w:val="24"/>
          <w:lang w:val="en-GB"/>
        </w:rPr>
        <w:t xml:space="preserve">called to give evidence. </w:t>
      </w:r>
      <w:r w:rsidR="000F7AEF" w:rsidRPr="002D6711">
        <w:rPr>
          <w:rFonts w:ascii="Arial" w:hAnsi="Arial" w:cs="Arial"/>
          <w:sz w:val="24"/>
          <w:szCs w:val="24"/>
          <w:lang w:val="en-GB"/>
        </w:rPr>
        <w:t>The appellant</w:t>
      </w:r>
      <w:r w:rsidR="00A028B6" w:rsidRPr="002D6711">
        <w:rPr>
          <w:rFonts w:ascii="Arial" w:hAnsi="Arial" w:cs="Arial"/>
          <w:sz w:val="24"/>
          <w:szCs w:val="24"/>
          <w:lang w:val="en-GB"/>
        </w:rPr>
        <w:t xml:space="preserve"> contends that the court </w:t>
      </w:r>
      <w:r w:rsidR="00A028B6" w:rsidRPr="002D6711">
        <w:rPr>
          <w:rFonts w:ascii="Arial" w:hAnsi="Arial" w:cs="Arial"/>
          <w:i/>
          <w:iCs/>
          <w:sz w:val="24"/>
          <w:szCs w:val="24"/>
          <w:lang w:val="en-GB"/>
        </w:rPr>
        <w:t>a quo</w:t>
      </w:r>
      <w:r w:rsidR="00A028B6" w:rsidRPr="002D6711">
        <w:rPr>
          <w:rFonts w:ascii="Arial" w:hAnsi="Arial" w:cs="Arial"/>
          <w:sz w:val="24"/>
          <w:szCs w:val="24"/>
          <w:lang w:val="en-GB"/>
        </w:rPr>
        <w:t xml:space="preserve"> failed to apply, properly, the pro</w:t>
      </w:r>
      <w:r w:rsidR="00E1638E" w:rsidRPr="002D6711">
        <w:rPr>
          <w:rFonts w:ascii="Arial" w:hAnsi="Arial" w:cs="Arial"/>
          <w:sz w:val="24"/>
          <w:szCs w:val="24"/>
          <w:lang w:val="en-GB"/>
        </w:rPr>
        <w:t>visions of section 164 of the CPA. Th</w:t>
      </w:r>
      <w:r w:rsidR="001C331D" w:rsidRPr="002D6711">
        <w:rPr>
          <w:rFonts w:ascii="Arial" w:hAnsi="Arial" w:cs="Arial"/>
          <w:sz w:val="24"/>
          <w:szCs w:val="24"/>
          <w:lang w:val="en-GB"/>
        </w:rPr>
        <w:t xml:space="preserve">e relevant portion </w:t>
      </w:r>
      <w:r w:rsidR="00E1638E" w:rsidRPr="002D6711">
        <w:rPr>
          <w:rFonts w:ascii="Arial" w:hAnsi="Arial" w:cs="Arial"/>
          <w:sz w:val="24"/>
          <w:szCs w:val="24"/>
          <w:lang w:val="en-GB"/>
        </w:rPr>
        <w:t>states as follows:</w:t>
      </w:r>
    </w:p>
    <w:p w14:paraId="0233EE88" w14:textId="77777777" w:rsidR="00E1638E" w:rsidRPr="00151624" w:rsidRDefault="00E1638E" w:rsidP="000F7AEF">
      <w:pPr>
        <w:spacing w:line="360" w:lineRule="auto"/>
        <w:rPr>
          <w:rFonts w:ascii="Arial" w:hAnsi="Arial" w:cs="Arial"/>
          <w:sz w:val="20"/>
          <w:szCs w:val="20"/>
          <w:lang w:val="en-GB"/>
        </w:rPr>
      </w:pPr>
    </w:p>
    <w:p w14:paraId="1D5289FC" w14:textId="77777777" w:rsidR="000F7AEF" w:rsidRPr="00151624" w:rsidRDefault="00E1638E" w:rsidP="002D6711">
      <w:pPr>
        <w:spacing w:line="360" w:lineRule="auto"/>
        <w:ind w:left="720"/>
        <w:jc w:val="both"/>
        <w:rPr>
          <w:rFonts w:ascii="Arial" w:hAnsi="Arial" w:cs="Arial"/>
          <w:sz w:val="20"/>
          <w:szCs w:val="20"/>
          <w:lang w:val="en-GB"/>
        </w:rPr>
      </w:pPr>
      <w:r w:rsidRPr="00151624">
        <w:rPr>
          <w:rFonts w:ascii="Arial" w:hAnsi="Arial" w:cs="Arial"/>
          <w:sz w:val="20"/>
          <w:szCs w:val="20"/>
          <w:lang w:val="en-GB"/>
        </w:rPr>
        <w:t>‘</w:t>
      </w:r>
      <w:r w:rsidRPr="00151624">
        <w:rPr>
          <w:rFonts w:ascii="Arial" w:hAnsi="Arial" w:cs="Arial"/>
          <w:b/>
          <w:bCs/>
          <w:sz w:val="20"/>
          <w:szCs w:val="20"/>
          <w:lang w:val="en-GB"/>
        </w:rPr>
        <w:t>164.</w:t>
      </w:r>
      <w:r w:rsidRPr="00151624">
        <w:rPr>
          <w:rFonts w:ascii="Arial" w:hAnsi="Arial" w:cs="Arial"/>
          <w:b/>
          <w:bCs/>
          <w:sz w:val="20"/>
          <w:szCs w:val="20"/>
          <w:lang w:val="en-GB"/>
        </w:rPr>
        <w:tab/>
        <w:t xml:space="preserve">When unsworn </w:t>
      </w:r>
      <w:r w:rsidR="001C331D" w:rsidRPr="00151624">
        <w:rPr>
          <w:rFonts w:ascii="Arial" w:hAnsi="Arial" w:cs="Arial"/>
          <w:b/>
          <w:bCs/>
          <w:sz w:val="20"/>
          <w:szCs w:val="20"/>
          <w:lang w:val="en-GB"/>
        </w:rPr>
        <w:t>or unaffirmed evidence admissible.</w:t>
      </w:r>
      <w:r w:rsidR="001C331D" w:rsidRPr="00151624">
        <w:rPr>
          <w:rFonts w:ascii="Arial" w:hAnsi="Arial" w:cs="Arial"/>
          <w:sz w:val="20"/>
          <w:szCs w:val="20"/>
          <w:lang w:val="en-GB"/>
        </w:rPr>
        <w:t>—(1) Any person who, is found not to understand the nature and import of the oath or the affirmation, may be admitted to give evidence in criminal proceedings without taking the oath or making the affirmation: Provided that such person shall, in lieu of the oath or affirmation, be admonished by the presiding judge or judicial officer to speak the truth.</w:t>
      </w:r>
      <w:r w:rsidR="00A028B6" w:rsidRPr="00151624">
        <w:rPr>
          <w:rFonts w:ascii="Arial" w:hAnsi="Arial" w:cs="Arial"/>
          <w:sz w:val="20"/>
          <w:szCs w:val="20"/>
          <w:lang w:val="en-GB"/>
        </w:rPr>
        <w:t xml:space="preserve"> </w:t>
      </w:r>
    </w:p>
    <w:p w14:paraId="02845355" w14:textId="77777777" w:rsidR="001C331D" w:rsidRPr="00151624" w:rsidRDefault="001C331D" w:rsidP="002D6711">
      <w:pPr>
        <w:spacing w:line="360" w:lineRule="auto"/>
        <w:jc w:val="both"/>
        <w:rPr>
          <w:rFonts w:ascii="Arial" w:hAnsi="Arial" w:cs="Arial"/>
          <w:sz w:val="20"/>
          <w:szCs w:val="20"/>
          <w:lang w:val="en-GB"/>
        </w:rPr>
      </w:pPr>
      <w:r w:rsidRPr="00151624">
        <w:rPr>
          <w:rFonts w:ascii="Arial" w:hAnsi="Arial" w:cs="Arial"/>
          <w:sz w:val="20"/>
          <w:szCs w:val="20"/>
          <w:lang w:val="en-GB"/>
        </w:rPr>
        <w:tab/>
        <w:t>(2) …’</w:t>
      </w:r>
    </w:p>
    <w:p w14:paraId="297D92A3" w14:textId="77777777" w:rsidR="00151624" w:rsidRDefault="00151624" w:rsidP="000F7AEF">
      <w:pPr>
        <w:spacing w:line="360" w:lineRule="auto"/>
        <w:rPr>
          <w:rFonts w:ascii="Arial" w:hAnsi="Arial" w:cs="Arial"/>
          <w:sz w:val="24"/>
          <w:szCs w:val="24"/>
          <w:lang w:val="en-GB"/>
        </w:rPr>
      </w:pPr>
    </w:p>
    <w:p w14:paraId="516F37E1" w14:textId="45C94347" w:rsidR="008E2705" w:rsidRPr="003E37E7" w:rsidRDefault="003E37E7" w:rsidP="003E37E7">
      <w:pPr>
        <w:spacing w:line="360" w:lineRule="auto"/>
        <w:jc w:val="both"/>
        <w:rPr>
          <w:rFonts w:ascii="Arial" w:hAnsi="Arial" w:cs="Arial"/>
          <w:sz w:val="24"/>
          <w:szCs w:val="24"/>
          <w:lang w:val="en-GB"/>
        </w:rPr>
      </w:pPr>
      <w:r>
        <w:rPr>
          <w:rFonts w:ascii="Arial" w:hAnsi="Arial" w:cs="Arial"/>
          <w:sz w:val="24"/>
          <w:szCs w:val="24"/>
          <w:lang w:val="en-GB"/>
        </w:rPr>
        <w:t>[31]</w:t>
      </w:r>
      <w:r>
        <w:rPr>
          <w:rFonts w:ascii="Arial" w:hAnsi="Arial" w:cs="Arial"/>
          <w:sz w:val="24"/>
          <w:szCs w:val="24"/>
          <w:lang w:val="en-GB"/>
        </w:rPr>
        <w:tab/>
      </w:r>
      <w:r w:rsidR="008E2705" w:rsidRPr="003E37E7">
        <w:rPr>
          <w:rFonts w:ascii="Arial" w:hAnsi="Arial" w:cs="Arial"/>
          <w:sz w:val="24"/>
          <w:szCs w:val="24"/>
          <w:lang w:val="en-GB"/>
        </w:rPr>
        <w:t xml:space="preserve">The above provisions came under scrutiny in </w:t>
      </w:r>
      <w:r w:rsidR="008E2705" w:rsidRPr="003E37E7">
        <w:rPr>
          <w:rFonts w:ascii="Arial" w:hAnsi="Arial" w:cs="Arial"/>
          <w:i/>
          <w:iCs/>
          <w:sz w:val="24"/>
          <w:szCs w:val="24"/>
          <w:lang w:val="en-GB"/>
        </w:rPr>
        <w:t>Director of Public Prosecutions, Transvaal v Minister of Justice and Constitutional Development, and others</w:t>
      </w:r>
      <w:r w:rsidR="008E2705" w:rsidRPr="003E37E7">
        <w:rPr>
          <w:rFonts w:ascii="Arial" w:hAnsi="Arial" w:cs="Arial"/>
          <w:sz w:val="24"/>
          <w:szCs w:val="24"/>
          <w:lang w:val="en-GB"/>
        </w:rPr>
        <w:t>.</w:t>
      </w:r>
      <w:r w:rsidR="008E2705">
        <w:rPr>
          <w:rStyle w:val="FootnoteReference"/>
          <w:rFonts w:ascii="Arial" w:hAnsi="Arial" w:cs="Arial"/>
          <w:sz w:val="24"/>
          <w:szCs w:val="24"/>
          <w:lang w:val="en-GB"/>
        </w:rPr>
        <w:footnoteReference w:id="12"/>
      </w:r>
      <w:r w:rsidR="008E2705" w:rsidRPr="003E37E7">
        <w:rPr>
          <w:rFonts w:ascii="Arial" w:hAnsi="Arial" w:cs="Arial"/>
          <w:sz w:val="24"/>
          <w:szCs w:val="24"/>
          <w:lang w:val="en-GB"/>
        </w:rPr>
        <w:t xml:space="preserve"> </w:t>
      </w:r>
      <w:r w:rsidR="00BA79E9" w:rsidRPr="003E37E7">
        <w:rPr>
          <w:rFonts w:ascii="Arial" w:hAnsi="Arial" w:cs="Arial"/>
          <w:sz w:val="24"/>
          <w:szCs w:val="24"/>
          <w:lang w:val="en-GB"/>
        </w:rPr>
        <w:t>The High Court had previously found that section 164(1) was inconsistent with section 28(2) of the Constitution,</w:t>
      </w:r>
      <w:r w:rsidR="00BA79E9">
        <w:rPr>
          <w:rStyle w:val="FootnoteReference"/>
          <w:rFonts w:ascii="Arial" w:hAnsi="Arial" w:cs="Arial"/>
          <w:sz w:val="24"/>
          <w:szCs w:val="24"/>
          <w:lang w:val="en-GB"/>
        </w:rPr>
        <w:footnoteReference w:id="13"/>
      </w:r>
      <w:r w:rsidR="00BA79E9" w:rsidRPr="003E37E7">
        <w:rPr>
          <w:rFonts w:ascii="Arial" w:hAnsi="Arial" w:cs="Arial"/>
          <w:sz w:val="24"/>
          <w:szCs w:val="24"/>
          <w:lang w:val="en-GB"/>
        </w:rPr>
        <w:t xml:space="preserve"> but in a closely reasoned judgment, the Constitutional Court </w:t>
      </w:r>
      <w:r w:rsidR="002E6F86" w:rsidRPr="003E37E7">
        <w:rPr>
          <w:rFonts w:ascii="Arial" w:hAnsi="Arial" w:cs="Arial"/>
          <w:sz w:val="24"/>
          <w:szCs w:val="24"/>
          <w:lang w:val="en-GB"/>
        </w:rPr>
        <w:t>held that the High Court’s finding could not be sustained. N</w:t>
      </w:r>
      <w:r w:rsidR="00352C6B" w:rsidRPr="003E37E7">
        <w:rPr>
          <w:rFonts w:ascii="Arial" w:hAnsi="Arial" w:cs="Arial"/>
          <w:sz w:val="24"/>
          <w:szCs w:val="24"/>
          <w:lang w:val="en-GB"/>
        </w:rPr>
        <w:t>g</w:t>
      </w:r>
      <w:r w:rsidR="002E6F86" w:rsidRPr="003E37E7">
        <w:rPr>
          <w:rFonts w:ascii="Arial" w:hAnsi="Arial" w:cs="Arial"/>
          <w:sz w:val="24"/>
          <w:szCs w:val="24"/>
          <w:lang w:val="en-GB"/>
        </w:rPr>
        <w:t>cobo J stated:</w:t>
      </w:r>
    </w:p>
    <w:p w14:paraId="32BF9A37" w14:textId="77777777" w:rsidR="002E6F86" w:rsidRDefault="002E6F86" w:rsidP="000F7AEF">
      <w:pPr>
        <w:spacing w:line="360" w:lineRule="auto"/>
        <w:rPr>
          <w:rFonts w:ascii="Arial" w:hAnsi="Arial" w:cs="Arial"/>
          <w:sz w:val="24"/>
          <w:szCs w:val="24"/>
          <w:lang w:val="en-GB"/>
        </w:rPr>
      </w:pPr>
    </w:p>
    <w:p w14:paraId="7B8C03E6" w14:textId="77777777" w:rsidR="002E6F86" w:rsidRPr="0017183C" w:rsidRDefault="002E6F86" w:rsidP="002D6711">
      <w:pPr>
        <w:spacing w:line="360" w:lineRule="auto"/>
        <w:ind w:left="720"/>
        <w:jc w:val="both"/>
        <w:rPr>
          <w:rFonts w:ascii="Arial" w:hAnsi="Arial" w:cs="Arial"/>
          <w:sz w:val="20"/>
          <w:szCs w:val="20"/>
          <w:lang w:val="en-GB"/>
        </w:rPr>
      </w:pPr>
      <w:r w:rsidRPr="0017183C">
        <w:rPr>
          <w:rFonts w:ascii="Arial" w:hAnsi="Arial" w:cs="Arial"/>
          <w:sz w:val="20"/>
          <w:szCs w:val="20"/>
          <w:lang w:val="en-GB"/>
        </w:rPr>
        <w:t>‘The practice followed in courts is for the judicial officer to question the child in order to determine whether the child understands what it means to speak the truth. As pointed out above, some of these questions are very theoretical and seek to determine the child’s understanding of the abstract concepts of truth and falsehood. The questioning may at times be very confusing and even terrifying for a child. The result is that the judicial officer may be left with the impression that the child does not understand what it means to speak the truth and then disqualify the child from giving evidence. Yet with skilful questioning, that child may be able to convey in his or own child language, to the presiding officer that he or she understands what it means to speak the truth. What the section requires is not the knowledge of abstract concepts of truth or falsehood. What the proviso requires is that the child will speak the truth. As the High Court observed, the child may not know the intellectual concepts of truth or falsehood, but will understand what it means to be required to relate what happened and nothing else.</w:t>
      </w:r>
    </w:p>
    <w:p w14:paraId="457E792D" w14:textId="77777777" w:rsidR="002E6F86" w:rsidRPr="0017183C" w:rsidRDefault="002E6F86" w:rsidP="002D6711">
      <w:pPr>
        <w:spacing w:line="360" w:lineRule="auto"/>
        <w:ind w:left="720"/>
        <w:jc w:val="both"/>
        <w:rPr>
          <w:rFonts w:ascii="Arial" w:hAnsi="Arial" w:cs="Arial"/>
          <w:sz w:val="20"/>
          <w:szCs w:val="20"/>
          <w:lang w:val="en-GB"/>
        </w:rPr>
      </w:pPr>
      <w:r w:rsidRPr="0017183C">
        <w:rPr>
          <w:rFonts w:ascii="Arial" w:hAnsi="Arial" w:cs="Arial"/>
          <w:sz w:val="20"/>
          <w:szCs w:val="20"/>
          <w:lang w:val="en-GB"/>
        </w:rPr>
        <w:t xml:space="preserve">…The reason for evidence to be given under oath or affirmation </w:t>
      </w:r>
      <w:r w:rsidR="0017183C" w:rsidRPr="0017183C">
        <w:rPr>
          <w:rFonts w:ascii="Arial" w:hAnsi="Arial" w:cs="Arial"/>
          <w:sz w:val="20"/>
          <w:szCs w:val="20"/>
          <w:lang w:val="en-GB"/>
        </w:rPr>
        <w:t>or for a person to be admonished to speak the truth is to ensure that the evidence given is reliable. Knowledge that a child knows and understands what it means to tell the truth gives the assurance that the evidence can be relied upon. It is in fact a pre-condition for admonishing a child to tell the truth that the child can comprehend what it means to tell the truth. The evidence of a child who does not understand what it means to tell the truth is not reliable. It would undermine the accused’s right to a fair trial were such evidence to be admitted. To my mind, it does not amount to a violation of section 28(2) to exclude the evidence of such a child. The risk of a conviction based on unreliable evidence is too great to permit a child who does not understand what it means to speak the truth to testify. This would indeed have serious consequences for the administration of justice.’</w:t>
      </w:r>
      <w:r w:rsidR="0017183C" w:rsidRPr="0017183C">
        <w:rPr>
          <w:rStyle w:val="FootnoteReference"/>
          <w:rFonts w:ascii="Arial" w:hAnsi="Arial" w:cs="Arial"/>
          <w:sz w:val="20"/>
          <w:szCs w:val="20"/>
          <w:lang w:val="en-GB"/>
        </w:rPr>
        <w:footnoteReference w:id="14"/>
      </w:r>
    </w:p>
    <w:p w14:paraId="798E7FB3" w14:textId="77777777" w:rsidR="003E37E7" w:rsidRDefault="003E37E7" w:rsidP="003E37E7">
      <w:pPr>
        <w:pStyle w:val="ListParagraph"/>
        <w:spacing w:line="360" w:lineRule="auto"/>
        <w:ind w:left="0"/>
        <w:jc w:val="both"/>
        <w:rPr>
          <w:rFonts w:ascii="Arial" w:hAnsi="Arial" w:cs="Arial"/>
          <w:sz w:val="24"/>
          <w:szCs w:val="24"/>
          <w:lang w:val="en-GB"/>
        </w:rPr>
      </w:pPr>
    </w:p>
    <w:p w14:paraId="13219C8F" w14:textId="48A78768" w:rsidR="002D6711" w:rsidRDefault="003E37E7" w:rsidP="003E37E7">
      <w:pPr>
        <w:pStyle w:val="ListParagraph"/>
        <w:spacing w:line="360" w:lineRule="auto"/>
        <w:ind w:left="0"/>
        <w:jc w:val="both"/>
        <w:rPr>
          <w:rFonts w:ascii="Arial" w:hAnsi="Arial" w:cs="Arial"/>
          <w:sz w:val="24"/>
          <w:szCs w:val="24"/>
          <w:lang w:val="en-GB"/>
        </w:rPr>
      </w:pPr>
      <w:r>
        <w:rPr>
          <w:rFonts w:ascii="Arial" w:hAnsi="Arial" w:cs="Arial"/>
          <w:sz w:val="24"/>
          <w:szCs w:val="24"/>
          <w:lang w:val="en-GB"/>
        </w:rPr>
        <w:t>[32]</w:t>
      </w:r>
      <w:r>
        <w:rPr>
          <w:rFonts w:ascii="Arial" w:hAnsi="Arial" w:cs="Arial"/>
          <w:sz w:val="24"/>
          <w:szCs w:val="24"/>
          <w:lang w:val="en-GB"/>
        </w:rPr>
        <w:tab/>
      </w:r>
      <w:r w:rsidR="007D1310" w:rsidRPr="002D6711">
        <w:rPr>
          <w:rFonts w:ascii="Arial" w:hAnsi="Arial" w:cs="Arial"/>
          <w:sz w:val="24"/>
          <w:szCs w:val="24"/>
          <w:lang w:val="en-GB"/>
        </w:rPr>
        <w:t>The Constitutional Court made it clear that the purpose of section 164(1) was to ensure that the evidence of a child witness was reliable. This entailed a determination of whether the child understood what it meant to speak the truth.</w:t>
      </w:r>
    </w:p>
    <w:p w14:paraId="0B7FC4E3" w14:textId="77777777" w:rsidR="002D6711" w:rsidRDefault="002D6711" w:rsidP="002D6711">
      <w:pPr>
        <w:pStyle w:val="ListParagraph"/>
        <w:spacing w:line="360" w:lineRule="auto"/>
        <w:ind w:left="0"/>
        <w:jc w:val="both"/>
        <w:rPr>
          <w:rFonts w:ascii="Arial" w:hAnsi="Arial" w:cs="Arial"/>
          <w:sz w:val="24"/>
          <w:szCs w:val="24"/>
          <w:lang w:val="en-GB"/>
        </w:rPr>
      </w:pPr>
    </w:p>
    <w:p w14:paraId="3FB0EF03" w14:textId="05BEDCB6" w:rsidR="00D31AA3" w:rsidRPr="002D6711" w:rsidRDefault="001B3447" w:rsidP="001B3447">
      <w:pPr>
        <w:pStyle w:val="ListParagraph"/>
        <w:spacing w:line="360" w:lineRule="auto"/>
        <w:ind w:left="0"/>
        <w:jc w:val="both"/>
        <w:rPr>
          <w:rFonts w:ascii="Arial" w:hAnsi="Arial" w:cs="Arial"/>
          <w:sz w:val="24"/>
          <w:szCs w:val="24"/>
          <w:lang w:val="en-GB"/>
        </w:rPr>
      </w:pPr>
      <w:r>
        <w:rPr>
          <w:rFonts w:ascii="Arial" w:hAnsi="Arial" w:cs="Arial"/>
          <w:sz w:val="24"/>
          <w:szCs w:val="24"/>
          <w:lang w:val="en-GB"/>
        </w:rPr>
        <w:t>[33]</w:t>
      </w:r>
      <w:r>
        <w:rPr>
          <w:rFonts w:ascii="Arial" w:hAnsi="Arial" w:cs="Arial"/>
          <w:sz w:val="24"/>
          <w:szCs w:val="24"/>
          <w:lang w:val="en-GB"/>
        </w:rPr>
        <w:tab/>
      </w:r>
      <w:r w:rsidR="007D1310" w:rsidRPr="002D6711">
        <w:rPr>
          <w:rFonts w:ascii="Arial" w:hAnsi="Arial" w:cs="Arial"/>
          <w:sz w:val="24"/>
          <w:szCs w:val="24"/>
          <w:lang w:val="en-GB"/>
        </w:rPr>
        <w:t xml:space="preserve">It is critical, however, for a distinction to be drawn between the determination of whether a child understands the difference between truth and a falsehood, and whether a child understands the nature and import of the oath or affirmation. The first enquiry pertains to the competency of a child witness, the second pertains to whether the child </w:t>
      </w:r>
      <w:r w:rsidR="007D1310" w:rsidRPr="002D6711">
        <w:rPr>
          <w:rFonts w:ascii="Arial" w:hAnsi="Arial" w:cs="Arial"/>
          <w:sz w:val="24"/>
          <w:szCs w:val="24"/>
          <w:lang w:val="en-GB"/>
        </w:rPr>
        <w:lastRenderedPageBreak/>
        <w:t xml:space="preserve">must be admonished, as required </w:t>
      </w:r>
      <w:r w:rsidR="00D31AA3" w:rsidRPr="002D6711">
        <w:rPr>
          <w:rFonts w:ascii="Arial" w:hAnsi="Arial" w:cs="Arial"/>
          <w:sz w:val="24"/>
          <w:szCs w:val="24"/>
          <w:lang w:val="en-GB"/>
        </w:rPr>
        <w:t>by</w:t>
      </w:r>
      <w:r w:rsidR="007D1310" w:rsidRPr="002D6711">
        <w:rPr>
          <w:rFonts w:ascii="Arial" w:hAnsi="Arial" w:cs="Arial"/>
          <w:sz w:val="24"/>
          <w:szCs w:val="24"/>
          <w:lang w:val="en-GB"/>
        </w:rPr>
        <w:t xml:space="preserve"> section 164(1).</w:t>
      </w:r>
      <w:r w:rsidR="00D31AA3">
        <w:rPr>
          <w:rStyle w:val="FootnoteReference"/>
          <w:rFonts w:ascii="Arial" w:hAnsi="Arial" w:cs="Arial"/>
          <w:sz w:val="24"/>
          <w:szCs w:val="24"/>
          <w:lang w:val="en-GB"/>
        </w:rPr>
        <w:footnoteReference w:id="15"/>
      </w:r>
      <w:r w:rsidR="007D1310" w:rsidRPr="002D6711">
        <w:rPr>
          <w:rFonts w:ascii="Arial" w:hAnsi="Arial" w:cs="Arial"/>
          <w:sz w:val="24"/>
          <w:szCs w:val="24"/>
          <w:lang w:val="en-GB"/>
        </w:rPr>
        <w:t xml:space="preserve"> </w:t>
      </w:r>
      <w:r w:rsidR="00D31AA3" w:rsidRPr="002D6711">
        <w:rPr>
          <w:rFonts w:ascii="Arial" w:hAnsi="Arial" w:cs="Arial"/>
          <w:sz w:val="24"/>
          <w:szCs w:val="24"/>
          <w:lang w:val="en-GB"/>
        </w:rPr>
        <w:t>The two enquiries must not be conflated.</w:t>
      </w:r>
    </w:p>
    <w:p w14:paraId="1F6C83CC" w14:textId="77777777" w:rsidR="00B92F98" w:rsidRDefault="00B92F98" w:rsidP="00B92F98">
      <w:pPr>
        <w:pStyle w:val="ListParagraph"/>
        <w:spacing w:line="360" w:lineRule="auto"/>
        <w:ind w:left="0"/>
        <w:jc w:val="both"/>
        <w:rPr>
          <w:rFonts w:ascii="Arial" w:hAnsi="Arial" w:cs="Arial"/>
          <w:sz w:val="24"/>
          <w:szCs w:val="24"/>
          <w:lang w:val="en-GB"/>
        </w:rPr>
      </w:pPr>
    </w:p>
    <w:p w14:paraId="01CE28ED" w14:textId="0EE68AA0" w:rsidR="00D31AA3" w:rsidRPr="002D6711" w:rsidRDefault="001B3447" w:rsidP="001B3447">
      <w:pPr>
        <w:pStyle w:val="ListParagraph"/>
        <w:spacing w:line="360" w:lineRule="auto"/>
        <w:ind w:left="0"/>
        <w:jc w:val="both"/>
        <w:rPr>
          <w:rFonts w:ascii="Arial" w:hAnsi="Arial" w:cs="Arial"/>
          <w:sz w:val="24"/>
          <w:szCs w:val="24"/>
          <w:lang w:val="en-GB"/>
        </w:rPr>
      </w:pPr>
      <w:r>
        <w:rPr>
          <w:rFonts w:ascii="Arial" w:hAnsi="Arial" w:cs="Arial"/>
          <w:sz w:val="24"/>
          <w:szCs w:val="24"/>
          <w:lang w:val="en-GB"/>
        </w:rPr>
        <w:t>[34]</w:t>
      </w:r>
      <w:r>
        <w:rPr>
          <w:rFonts w:ascii="Arial" w:hAnsi="Arial" w:cs="Arial"/>
          <w:sz w:val="24"/>
          <w:szCs w:val="24"/>
          <w:lang w:val="en-GB"/>
        </w:rPr>
        <w:tab/>
      </w:r>
      <w:r w:rsidR="00D31AA3" w:rsidRPr="002D6711">
        <w:rPr>
          <w:rFonts w:ascii="Arial" w:hAnsi="Arial" w:cs="Arial"/>
          <w:sz w:val="24"/>
          <w:szCs w:val="24"/>
          <w:lang w:val="en-GB"/>
        </w:rPr>
        <w:t xml:space="preserve">The distinction was </w:t>
      </w:r>
      <w:r w:rsidR="00FA025E" w:rsidRPr="002D6711">
        <w:rPr>
          <w:rFonts w:ascii="Arial" w:hAnsi="Arial" w:cs="Arial"/>
          <w:sz w:val="24"/>
          <w:szCs w:val="24"/>
          <w:lang w:val="en-GB"/>
        </w:rPr>
        <w:t>highlighted</w:t>
      </w:r>
      <w:r w:rsidR="005A0D1A" w:rsidRPr="002D6711">
        <w:rPr>
          <w:rFonts w:ascii="Arial" w:hAnsi="Arial" w:cs="Arial"/>
          <w:sz w:val="24"/>
          <w:szCs w:val="24"/>
          <w:lang w:val="en-GB"/>
        </w:rPr>
        <w:t xml:space="preserve"> by the Supreme Court of Appeal in </w:t>
      </w:r>
      <w:r w:rsidR="00D31AA3" w:rsidRPr="002D6711">
        <w:rPr>
          <w:rFonts w:ascii="Arial" w:hAnsi="Arial" w:cs="Arial"/>
          <w:i/>
          <w:iCs/>
          <w:sz w:val="24"/>
          <w:szCs w:val="24"/>
          <w:lang w:val="en-GB"/>
        </w:rPr>
        <w:t>S v Matshivha</w:t>
      </w:r>
      <w:r w:rsidR="005A0D1A" w:rsidRPr="002D6711">
        <w:rPr>
          <w:rFonts w:ascii="Arial" w:hAnsi="Arial" w:cs="Arial"/>
          <w:sz w:val="24"/>
          <w:szCs w:val="24"/>
          <w:lang w:val="en-GB"/>
        </w:rPr>
        <w:t>.</w:t>
      </w:r>
      <w:r w:rsidR="00D31AA3">
        <w:rPr>
          <w:rStyle w:val="FootnoteReference"/>
          <w:rFonts w:ascii="Arial" w:hAnsi="Arial" w:cs="Arial"/>
          <w:sz w:val="24"/>
          <w:szCs w:val="24"/>
          <w:lang w:val="en-GB"/>
        </w:rPr>
        <w:footnoteReference w:id="16"/>
      </w:r>
      <w:r w:rsidR="005A0D1A" w:rsidRPr="002D6711">
        <w:rPr>
          <w:rFonts w:ascii="Arial" w:hAnsi="Arial" w:cs="Arial"/>
          <w:sz w:val="24"/>
          <w:szCs w:val="24"/>
          <w:lang w:val="en-GB"/>
        </w:rPr>
        <w:t xml:space="preserve"> In that matter, the state’s case had rested entirely on the identification evidence of the complainant and her brother, who had been eight and 13 years old, respectively, when they </w:t>
      </w:r>
      <w:r w:rsidR="004408D4" w:rsidRPr="002D6711">
        <w:rPr>
          <w:rFonts w:ascii="Arial" w:hAnsi="Arial" w:cs="Arial"/>
          <w:sz w:val="24"/>
          <w:szCs w:val="24"/>
          <w:lang w:val="en-GB"/>
        </w:rPr>
        <w:t xml:space="preserve">had </w:t>
      </w:r>
      <w:r w:rsidR="005A0D1A" w:rsidRPr="002D6711">
        <w:rPr>
          <w:rFonts w:ascii="Arial" w:hAnsi="Arial" w:cs="Arial"/>
          <w:sz w:val="24"/>
          <w:szCs w:val="24"/>
          <w:lang w:val="en-GB"/>
        </w:rPr>
        <w:t>testified. Zondi AJA held:</w:t>
      </w:r>
    </w:p>
    <w:p w14:paraId="5D04AF9D" w14:textId="77777777" w:rsidR="005A0D1A" w:rsidRDefault="005A0D1A" w:rsidP="002D6711">
      <w:pPr>
        <w:spacing w:line="360" w:lineRule="auto"/>
        <w:jc w:val="both"/>
        <w:rPr>
          <w:rFonts w:ascii="Arial" w:hAnsi="Arial" w:cs="Arial"/>
          <w:sz w:val="24"/>
          <w:szCs w:val="24"/>
          <w:lang w:val="en-GB"/>
        </w:rPr>
      </w:pPr>
    </w:p>
    <w:p w14:paraId="17D1F7A0" w14:textId="77777777" w:rsidR="005A0D1A" w:rsidRPr="00F432F1" w:rsidRDefault="005A0D1A" w:rsidP="002D6711">
      <w:pPr>
        <w:spacing w:line="360" w:lineRule="auto"/>
        <w:ind w:left="720"/>
        <w:jc w:val="both"/>
        <w:rPr>
          <w:rFonts w:ascii="Arial" w:hAnsi="Arial" w:cs="Arial"/>
          <w:sz w:val="20"/>
          <w:szCs w:val="20"/>
          <w:lang w:val="en-GB"/>
        </w:rPr>
      </w:pPr>
      <w:r w:rsidRPr="00F432F1">
        <w:rPr>
          <w:rFonts w:ascii="Arial" w:hAnsi="Arial" w:cs="Arial"/>
          <w:sz w:val="20"/>
          <w:szCs w:val="20"/>
          <w:lang w:val="en-GB"/>
        </w:rPr>
        <w:t>‘Section 164(1) is resorted to when a court is dealing with the admission of evidence of a witness, who from ignorance arising from youth</w:t>
      </w:r>
      <w:r w:rsidR="00F432F1" w:rsidRPr="00F432F1">
        <w:rPr>
          <w:rFonts w:ascii="Arial" w:hAnsi="Arial" w:cs="Arial"/>
          <w:sz w:val="20"/>
          <w:szCs w:val="20"/>
          <w:lang w:val="en-GB"/>
        </w:rPr>
        <w:t>, defective education or other cause, is found not to understand the nature and import of the oath or the affirmation. Such a witness must instead of being sworn in or affirmed, be admonished by the judicial officer to speak the truth. It is clear from the reading of section 164(1) that for it to be triggered there must be a finding that the witness does not understand the nature and import of the oath. The finding must be preceded by some form of enquiry by the judicial officer, to establish whether the witness understands the nature and import of the oath. If the judicial officer should find after such an enquiry that the witness does not possess the required capacity to understand the nature and import of the oath, he or she should establish whether the witness can distinguish between truth and lies and if the enquiry yields a positive outcome, admonish the witness to speak the truth.’</w:t>
      </w:r>
      <w:r w:rsidR="00F432F1" w:rsidRPr="00F432F1">
        <w:rPr>
          <w:rStyle w:val="FootnoteReference"/>
          <w:rFonts w:ascii="Arial" w:hAnsi="Arial" w:cs="Arial"/>
          <w:sz w:val="20"/>
          <w:szCs w:val="20"/>
          <w:lang w:val="en-GB"/>
        </w:rPr>
        <w:footnoteReference w:id="17"/>
      </w:r>
    </w:p>
    <w:p w14:paraId="6D157A95" w14:textId="77777777" w:rsidR="00F432F1" w:rsidRDefault="00F432F1" w:rsidP="000F7AEF">
      <w:pPr>
        <w:spacing w:line="360" w:lineRule="auto"/>
        <w:rPr>
          <w:rFonts w:ascii="Arial" w:hAnsi="Arial" w:cs="Arial"/>
          <w:sz w:val="24"/>
          <w:szCs w:val="24"/>
          <w:lang w:val="en-GB"/>
        </w:rPr>
      </w:pPr>
    </w:p>
    <w:p w14:paraId="6C0C8E94" w14:textId="617723A1" w:rsidR="002D6711" w:rsidRDefault="001B3447" w:rsidP="001B3447">
      <w:pPr>
        <w:pStyle w:val="ListParagraph"/>
        <w:spacing w:line="360" w:lineRule="auto"/>
        <w:ind w:left="0"/>
        <w:jc w:val="both"/>
        <w:rPr>
          <w:rFonts w:ascii="Arial" w:hAnsi="Arial" w:cs="Arial"/>
          <w:sz w:val="24"/>
          <w:szCs w:val="24"/>
          <w:lang w:val="en-GB"/>
        </w:rPr>
      </w:pPr>
      <w:r>
        <w:rPr>
          <w:rFonts w:ascii="Arial" w:hAnsi="Arial" w:cs="Arial"/>
          <w:sz w:val="24"/>
          <w:szCs w:val="24"/>
          <w:lang w:val="en-GB"/>
        </w:rPr>
        <w:t>[35]</w:t>
      </w:r>
      <w:r>
        <w:rPr>
          <w:rFonts w:ascii="Arial" w:hAnsi="Arial" w:cs="Arial"/>
          <w:sz w:val="24"/>
          <w:szCs w:val="24"/>
          <w:lang w:val="en-GB"/>
        </w:rPr>
        <w:tab/>
      </w:r>
      <w:r w:rsidR="00164E88" w:rsidRPr="002D6711">
        <w:rPr>
          <w:rFonts w:ascii="Arial" w:hAnsi="Arial" w:cs="Arial"/>
          <w:sz w:val="24"/>
          <w:szCs w:val="24"/>
          <w:lang w:val="en-GB"/>
        </w:rPr>
        <w:t xml:space="preserve">To summarise, a court must first decide whether a child witness is competent to give evidence. This </w:t>
      </w:r>
      <w:r w:rsidR="00A22120" w:rsidRPr="002D6711">
        <w:rPr>
          <w:rFonts w:ascii="Arial" w:hAnsi="Arial" w:cs="Arial"/>
          <w:sz w:val="24"/>
          <w:szCs w:val="24"/>
          <w:lang w:val="en-GB"/>
        </w:rPr>
        <w:t>necessitate</w:t>
      </w:r>
      <w:r w:rsidR="00164E88" w:rsidRPr="002D6711">
        <w:rPr>
          <w:rFonts w:ascii="Arial" w:hAnsi="Arial" w:cs="Arial"/>
          <w:sz w:val="24"/>
          <w:szCs w:val="24"/>
          <w:lang w:val="en-GB"/>
        </w:rPr>
        <w:t>s a determination</w:t>
      </w:r>
      <w:r w:rsidR="00A22120" w:rsidRPr="002D6711">
        <w:rPr>
          <w:rFonts w:ascii="Arial" w:hAnsi="Arial" w:cs="Arial"/>
          <w:sz w:val="24"/>
          <w:szCs w:val="24"/>
          <w:lang w:val="en-GB"/>
        </w:rPr>
        <w:t xml:space="preserve">, using skilful questioning, </w:t>
      </w:r>
      <w:r w:rsidR="00A77DEC" w:rsidRPr="002D6711">
        <w:rPr>
          <w:rFonts w:ascii="Arial" w:hAnsi="Arial" w:cs="Arial"/>
          <w:sz w:val="24"/>
          <w:szCs w:val="24"/>
          <w:lang w:val="en-GB"/>
        </w:rPr>
        <w:t xml:space="preserve">of </w:t>
      </w:r>
      <w:r w:rsidR="00164E88" w:rsidRPr="002D6711">
        <w:rPr>
          <w:rFonts w:ascii="Arial" w:hAnsi="Arial" w:cs="Arial"/>
          <w:sz w:val="24"/>
          <w:szCs w:val="24"/>
          <w:lang w:val="en-GB"/>
        </w:rPr>
        <w:t>whether the child understands what it means to speak the truth. If so, then a court must decide</w:t>
      </w:r>
      <w:r w:rsidR="00A22120" w:rsidRPr="002D6711">
        <w:rPr>
          <w:rFonts w:ascii="Arial" w:hAnsi="Arial" w:cs="Arial"/>
          <w:sz w:val="24"/>
          <w:szCs w:val="24"/>
          <w:lang w:val="en-GB"/>
        </w:rPr>
        <w:t>, secondly, and for purposes of section 162(1),</w:t>
      </w:r>
      <w:r w:rsidR="00A22120" w:rsidRPr="00A22120">
        <w:rPr>
          <w:vertAlign w:val="superscript"/>
          <w:lang w:val="en-GB"/>
        </w:rPr>
        <w:footnoteReference w:id="18"/>
      </w:r>
      <w:r w:rsidR="00A22120" w:rsidRPr="002D6711">
        <w:rPr>
          <w:rFonts w:ascii="Arial" w:hAnsi="Arial" w:cs="Arial"/>
          <w:sz w:val="24"/>
          <w:szCs w:val="24"/>
          <w:lang w:val="en-GB"/>
        </w:rPr>
        <w:t xml:space="preserve"> </w:t>
      </w:r>
      <w:r w:rsidR="00164E88" w:rsidRPr="002D6711">
        <w:rPr>
          <w:rFonts w:ascii="Arial" w:hAnsi="Arial" w:cs="Arial"/>
          <w:sz w:val="24"/>
          <w:szCs w:val="24"/>
          <w:lang w:val="en-GB"/>
        </w:rPr>
        <w:t xml:space="preserve"> whether the child understands the nature and import of the oath or affirmation. If </w:t>
      </w:r>
      <w:r w:rsidR="00A22120" w:rsidRPr="002D6711">
        <w:rPr>
          <w:rFonts w:ascii="Arial" w:hAnsi="Arial" w:cs="Arial"/>
          <w:sz w:val="24"/>
          <w:szCs w:val="24"/>
          <w:lang w:val="en-GB"/>
        </w:rPr>
        <w:t>not,</w:t>
      </w:r>
      <w:r w:rsidR="00164E88" w:rsidRPr="002D6711">
        <w:rPr>
          <w:rFonts w:ascii="Arial" w:hAnsi="Arial" w:cs="Arial"/>
          <w:sz w:val="24"/>
          <w:szCs w:val="24"/>
          <w:lang w:val="en-GB"/>
        </w:rPr>
        <w:t xml:space="preserve"> then</w:t>
      </w:r>
      <w:r w:rsidR="00A22120" w:rsidRPr="002D6711">
        <w:rPr>
          <w:rFonts w:ascii="Arial" w:hAnsi="Arial" w:cs="Arial"/>
          <w:sz w:val="24"/>
          <w:szCs w:val="24"/>
          <w:lang w:val="en-GB"/>
        </w:rPr>
        <w:t xml:space="preserve"> the court must admonish the child to speak the truth before the child can be admitted to give evidence. The requirements of </w:t>
      </w:r>
      <w:r w:rsidR="00A22120" w:rsidRPr="002D6711">
        <w:rPr>
          <w:rFonts w:ascii="Arial" w:hAnsi="Arial" w:cs="Arial"/>
          <w:sz w:val="24"/>
          <w:szCs w:val="24"/>
          <w:lang w:val="en-GB"/>
        </w:rPr>
        <w:lastRenderedPageBreak/>
        <w:t>section 164(1) are peremptory.</w:t>
      </w:r>
      <w:r w:rsidR="00A77DEC">
        <w:rPr>
          <w:rStyle w:val="FootnoteReference"/>
          <w:rFonts w:ascii="Arial" w:hAnsi="Arial" w:cs="Arial"/>
          <w:sz w:val="24"/>
          <w:szCs w:val="24"/>
          <w:lang w:val="en-GB"/>
        </w:rPr>
        <w:footnoteReference w:id="19"/>
      </w:r>
      <w:r w:rsidR="00A77DEC" w:rsidRPr="002D6711">
        <w:rPr>
          <w:rFonts w:ascii="Arial" w:hAnsi="Arial" w:cs="Arial"/>
          <w:sz w:val="24"/>
          <w:szCs w:val="24"/>
          <w:lang w:val="en-GB"/>
        </w:rPr>
        <w:t xml:space="preserve"> As apparent from N</w:t>
      </w:r>
      <w:r w:rsidR="00670254">
        <w:rPr>
          <w:rFonts w:ascii="Arial" w:hAnsi="Arial" w:cs="Arial"/>
          <w:sz w:val="24"/>
          <w:szCs w:val="24"/>
          <w:lang w:val="en-GB"/>
        </w:rPr>
        <w:t>g</w:t>
      </w:r>
      <w:r w:rsidR="00A77DEC" w:rsidRPr="002D6711">
        <w:rPr>
          <w:rFonts w:ascii="Arial" w:hAnsi="Arial" w:cs="Arial"/>
          <w:sz w:val="24"/>
          <w:szCs w:val="24"/>
          <w:lang w:val="en-GB"/>
        </w:rPr>
        <w:t xml:space="preserve">cobo J’s remarks in </w:t>
      </w:r>
      <w:bookmarkStart w:id="1" w:name="_Hlk146876486"/>
      <w:r w:rsidR="00A77DEC" w:rsidRPr="002D6711">
        <w:rPr>
          <w:rFonts w:ascii="Arial" w:hAnsi="Arial" w:cs="Arial"/>
          <w:i/>
          <w:iCs/>
          <w:sz w:val="24"/>
          <w:szCs w:val="24"/>
          <w:lang w:val="en-GB"/>
        </w:rPr>
        <w:t>Director of Public Prosecutions, Transvaal</w:t>
      </w:r>
      <w:bookmarkEnd w:id="1"/>
      <w:r w:rsidR="00A77DEC" w:rsidRPr="002D6711">
        <w:rPr>
          <w:rFonts w:ascii="Arial" w:hAnsi="Arial" w:cs="Arial"/>
          <w:sz w:val="24"/>
          <w:szCs w:val="24"/>
          <w:lang w:val="en-GB"/>
        </w:rPr>
        <w:t xml:space="preserve">, the difficulty lies not so much in the </w:t>
      </w:r>
      <w:r w:rsidR="00A77DEC" w:rsidRPr="002D6711">
        <w:rPr>
          <w:rFonts w:ascii="Arial" w:hAnsi="Arial" w:cs="Arial"/>
          <w:i/>
          <w:iCs/>
          <w:sz w:val="24"/>
          <w:szCs w:val="24"/>
          <w:lang w:val="en-GB"/>
        </w:rPr>
        <w:t>what</w:t>
      </w:r>
      <w:r w:rsidR="00A77DEC" w:rsidRPr="002D6711">
        <w:rPr>
          <w:rFonts w:ascii="Arial" w:hAnsi="Arial" w:cs="Arial"/>
          <w:sz w:val="24"/>
          <w:szCs w:val="24"/>
          <w:lang w:val="en-GB"/>
        </w:rPr>
        <w:t xml:space="preserve"> of the process as the </w:t>
      </w:r>
      <w:r w:rsidR="00A77DEC" w:rsidRPr="002D6711">
        <w:rPr>
          <w:rFonts w:ascii="Arial" w:hAnsi="Arial" w:cs="Arial"/>
          <w:i/>
          <w:iCs/>
          <w:sz w:val="24"/>
          <w:szCs w:val="24"/>
          <w:lang w:val="en-GB"/>
        </w:rPr>
        <w:t>how</w:t>
      </w:r>
      <w:r w:rsidR="005A430F" w:rsidRPr="002D6711">
        <w:rPr>
          <w:rFonts w:ascii="Arial" w:hAnsi="Arial" w:cs="Arial"/>
          <w:sz w:val="24"/>
          <w:szCs w:val="24"/>
          <w:lang w:val="en-GB"/>
        </w:rPr>
        <w:t>. I</w:t>
      </w:r>
      <w:r w:rsidR="00A77DEC" w:rsidRPr="002D6711">
        <w:rPr>
          <w:rFonts w:ascii="Arial" w:hAnsi="Arial" w:cs="Arial"/>
          <w:sz w:val="24"/>
          <w:szCs w:val="24"/>
          <w:lang w:val="en-GB"/>
        </w:rPr>
        <w:t>t requires unique skills that are not always possessed by a presiding officer.</w:t>
      </w:r>
    </w:p>
    <w:p w14:paraId="6D39AA32" w14:textId="77777777" w:rsidR="00B92F98" w:rsidRDefault="00B92F98" w:rsidP="00B92F98">
      <w:pPr>
        <w:pStyle w:val="ListParagraph"/>
        <w:spacing w:line="360" w:lineRule="auto"/>
        <w:ind w:left="0"/>
        <w:jc w:val="both"/>
        <w:rPr>
          <w:rFonts w:ascii="Arial" w:hAnsi="Arial" w:cs="Arial"/>
          <w:sz w:val="24"/>
          <w:szCs w:val="24"/>
          <w:lang w:val="en-GB"/>
        </w:rPr>
      </w:pPr>
    </w:p>
    <w:p w14:paraId="38C6A5B3" w14:textId="6A2A1D97" w:rsidR="002D6711" w:rsidRDefault="001B3447" w:rsidP="001B3447">
      <w:pPr>
        <w:pStyle w:val="ListParagraph"/>
        <w:spacing w:line="360" w:lineRule="auto"/>
        <w:ind w:left="0"/>
        <w:jc w:val="both"/>
        <w:rPr>
          <w:rFonts w:ascii="Arial" w:hAnsi="Arial" w:cs="Arial"/>
          <w:sz w:val="24"/>
          <w:szCs w:val="24"/>
          <w:lang w:val="en-GB"/>
        </w:rPr>
      </w:pPr>
      <w:r>
        <w:rPr>
          <w:rFonts w:ascii="Arial" w:hAnsi="Arial" w:cs="Arial"/>
          <w:sz w:val="24"/>
          <w:szCs w:val="24"/>
          <w:lang w:val="en-GB"/>
        </w:rPr>
        <w:t>[36]</w:t>
      </w:r>
      <w:r>
        <w:rPr>
          <w:rFonts w:ascii="Arial" w:hAnsi="Arial" w:cs="Arial"/>
          <w:sz w:val="24"/>
          <w:szCs w:val="24"/>
          <w:lang w:val="en-GB"/>
        </w:rPr>
        <w:tab/>
      </w:r>
      <w:r w:rsidR="00A77DEC" w:rsidRPr="002D6711">
        <w:rPr>
          <w:rFonts w:ascii="Arial" w:hAnsi="Arial" w:cs="Arial"/>
          <w:sz w:val="24"/>
          <w:szCs w:val="24"/>
          <w:lang w:val="en-GB"/>
        </w:rPr>
        <w:t xml:space="preserve">Turning to the matter at hand, </w:t>
      </w:r>
      <w:r w:rsidR="00151624" w:rsidRPr="002D6711">
        <w:rPr>
          <w:rFonts w:ascii="Arial" w:hAnsi="Arial" w:cs="Arial"/>
          <w:sz w:val="24"/>
          <w:szCs w:val="24"/>
          <w:lang w:val="en-GB"/>
        </w:rPr>
        <w:t xml:space="preserve">the appellant asserts that the </w:t>
      </w:r>
      <w:r w:rsidR="0083588F" w:rsidRPr="002D6711">
        <w:rPr>
          <w:rFonts w:ascii="Arial" w:hAnsi="Arial" w:cs="Arial"/>
          <w:sz w:val="24"/>
          <w:szCs w:val="24"/>
          <w:lang w:val="en-GB"/>
        </w:rPr>
        <w:t xml:space="preserve">court </w:t>
      </w:r>
      <w:r w:rsidR="0083588F" w:rsidRPr="002D6711">
        <w:rPr>
          <w:rFonts w:ascii="Arial" w:hAnsi="Arial" w:cs="Arial"/>
          <w:i/>
          <w:iCs/>
          <w:sz w:val="24"/>
          <w:szCs w:val="24"/>
          <w:lang w:val="en-GB"/>
        </w:rPr>
        <w:t>a quo</w:t>
      </w:r>
      <w:r w:rsidR="0083588F" w:rsidRPr="002D6711">
        <w:rPr>
          <w:rFonts w:ascii="Arial" w:hAnsi="Arial" w:cs="Arial"/>
          <w:sz w:val="24"/>
          <w:szCs w:val="24"/>
          <w:lang w:val="en-GB"/>
        </w:rPr>
        <w:t xml:space="preserve"> </w:t>
      </w:r>
      <w:r w:rsidR="004E2887">
        <w:rPr>
          <w:rFonts w:ascii="Arial" w:hAnsi="Arial" w:cs="Arial"/>
          <w:sz w:val="24"/>
          <w:szCs w:val="24"/>
          <w:lang w:val="en-GB"/>
        </w:rPr>
        <w:t>di</w:t>
      </w:r>
      <w:r w:rsidR="0083588F" w:rsidRPr="002D6711">
        <w:rPr>
          <w:rFonts w:ascii="Arial" w:hAnsi="Arial" w:cs="Arial"/>
          <w:sz w:val="24"/>
          <w:szCs w:val="24"/>
          <w:lang w:val="en-GB"/>
        </w:rPr>
        <w:t>d</w:t>
      </w:r>
      <w:r w:rsidR="00151624" w:rsidRPr="002D6711">
        <w:rPr>
          <w:rFonts w:ascii="Arial" w:hAnsi="Arial" w:cs="Arial"/>
          <w:sz w:val="24"/>
          <w:szCs w:val="24"/>
          <w:lang w:val="en-GB"/>
        </w:rPr>
        <w:t xml:space="preserve"> not conduct proper questioning of the complainant to satisfy </w:t>
      </w:r>
      <w:r w:rsidR="00390B79" w:rsidRPr="002D6711">
        <w:rPr>
          <w:rFonts w:ascii="Arial" w:hAnsi="Arial" w:cs="Arial"/>
          <w:sz w:val="24"/>
          <w:szCs w:val="24"/>
          <w:lang w:val="en-GB"/>
        </w:rPr>
        <w:t>it</w:t>
      </w:r>
      <w:r w:rsidR="00151624" w:rsidRPr="002D6711">
        <w:rPr>
          <w:rFonts w:ascii="Arial" w:hAnsi="Arial" w:cs="Arial"/>
          <w:sz w:val="24"/>
          <w:szCs w:val="24"/>
          <w:lang w:val="en-GB"/>
        </w:rPr>
        <w:t xml:space="preserve">self that she </w:t>
      </w:r>
      <w:r w:rsidR="00390B79" w:rsidRPr="002D6711">
        <w:rPr>
          <w:rFonts w:ascii="Arial" w:hAnsi="Arial" w:cs="Arial"/>
          <w:sz w:val="24"/>
          <w:szCs w:val="24"/>
          <w:lang w:val="en-GB"/>
        </w:rPr>
        <w:t xml:space="preserve">had been </w:t>
      </w:r>
      <w:r w:rsidR="00151624" w:rsidRPr="002D6711">
        <w:rPr>
          <w:rFonts w:ascii="Arial" w:hAnsi="Arial" w:cs="Arial"/>
          <w:sz w:val="24"/>
          <w:szCs w:val="24"/>
          <w:lang w:val="en-GB"/>
        </w:rPr>
        <w:t xml:space="preserve">able to testify truthfully. The questioning </w:t>
      </w:r>
      <w:r w:rsidR="00390B79" w:rsidRPr="002D6711">
        <w:rPr>
          <w:rFonts w:ascii="Arial" w:hAnsi="Arial" w:cs="Arial"/>
          <w:sz w:val="24"/>
          <w:szCs w:val="24"/>
          <w:lang w:val="en-GB"/>
        </w:rPr>
        <w:t xml:space="preserve">had </w:t>
      </w:r>
      <w:r w:rsidR="00151624" w:rsidRPr="002D6711">
        <w:rPr>
          <w:rFonts w:ascii="Arial" w:hAnsi="Arial" w:cs="Arial"/>
          <w:sz w:val="24"/>
          <w:szCs w:val="24"/>
          <w:lang w:val="en-GB"/>
        </w:rPr>
        <w:t>not reveal</w:t>
      </w:r>
      <w:r w:rsidR="00390B79" w:rsidRPr="002D6711">
        <w:rPr>
          <w:rFonts w:ascii="Arial" w:hAnsi="Arial" w:cs="Arial"/>
          <w:sz w:val="24"/>
          <w:szCs w:val="24"/>
          <w:lang w:val="en-GB"/>
        </w:rPr>
        <w:t>ed</w:t>
      </w:r>
      <w:r w:rsidR="00151624" w:rsidRPr="002D6711">
        <w:rPr>
          <w:rFonts w:ascii="Arial" w:hAnsi="Arial" w:cs="Arial"/>
          <w:sz w:val="24"/>
          <w:szCs w:val="24"/>
          <w:lang w:val="en-GB"/>
        </w:rPr>
        <w:t xml:space="preserve"> whether the complainant </w:t>
      </w:r>
      <w:r w:rsidR="00632D79" w:rsidRPr="002D6711">
        <w:rPr>
          <w:rFonts w:ascii="Arial" w:hAnsi="Arial" w:cs="Arial"/>
          <w:sz w:val="24"/>
          <w:szCs w:val="24"/>
          <w:lang w:val="en-GB"/>
        </w:rPr>
        <w:t xml:space="preserve">had </w:t>
      </w:r>
      <w:r w:rsidR="00151624" w:rsidRPr="002D6711">
        <w:rPr>
          <w:rFonts w:ascii="Arial" w:hAnsi="Arial" w:cs="Arial"/>
          <w:sz w:val="24"/>
          <w:szCs w:val="24"/>
          <w:lang w:val="en-GB"/>
        </w:rPr>
        <w:t xml:space="preserve">understood what it meant to tell the truth, the difference between a truth and a falsehood, the consequences of not telling the truth, and the meaning of the oath. </w:t>
      </w:r>
    </w:p>
    <w:p w14:paraId="37CF8717" w14:textId="77777777" w:rsidR="002D6711" w:rsidRDefault="002D6711" w:rsidP="002D6711">
      <w:pPr>
        <w:pStyle w:val="ListParagraph"/>
        <w:spacing w:line="360" w:lineRule="auto"/>
        <w:ind w:left="0"/>
        <w:jc w:val="both"/>
        <w:rPr>
          <w:rFonts w:ascii="Arial" w:hAnsi="Arial" w:cs="Arial"/>
          <w:sz w:val="24"/>
          <w:szCs w:val="24"/>
          <w:lang w:val="en-GB"/>
        </w:rPr>
      </w:pPr>
    </w:p>
    <w:p w14:paraId="2F7E46A3" w14:textId="53E6E6AF" w:rsidR="00E56F3E" w:rsidRPr="002D6711" w:rsidRDefault="001B3447" w:rsidP="001B3447">
      <w:pPr>
        <w:pStyle w:val="ListParagraph"/>
        <w:spacing w:line="360" w:lineRule="auto"/>
        <w:ind w:left="0"/>
        <w:jc w:val="both"/>
        <w:rPr>
          <w:rFonts w:ascii="Arial" w:hAnsi="Arial" w:cs="Arial"/>
          <w:sz w:val="24"/>
          <w:szCs w:val="24"/>
          <w:lang w:val="en-GB"/>
        </w:rPr>
      </w:pPr>
      <w:r>
        <w:rPr>
          <w:rFonts w:ascii="Arial" w:hAnsi="Arial" w:cs="Arial"/>
          <w:sz w:val="24"/>
          <w:szCs w:val="24"/>
          <w:lang w:val="en-GB"/>
        </w:rPr>
        <w:t>[37]</w:t>
      </w:r>
      <w:r>
        <w:rPr>
          <w:rFonts w:ascii="Arial" w:hAnsi="Arial" w:cs="Arial"/>
          <w:sz w:val="24"/>
          <w:szCs w:val="24"/>
          <w:lang w:val="en-GB"/>
        </w:rPr>
        <w:tab/>
      </w:r>
      <w:r w:rsidR="00151624" w:rsidRPr="002D6711">
        <w:rPr>
          <w:rFonts w:ascii="Arial" w:hAnsi="Arial" w:cs="Arial"/>
          <w:sz w:val="24"/>
          <w:szCs w:val="24"/>
          <w:lang w:val="en-GB"/>
        </w:rPr>
        <w:t xml:space="preserve">The record indicates that the </w:t>
      </w:r>
      <w:r w:rsidR="00CF27EA" w:rsidRPr="002D6711">
        <w:rPr>
          <w:rFonts w:ascii="Arial" w:hAnsi="Arial" w:cs="Arial"/>
          <w:sz w:val="24"/>
          <w:szCs w:val="24"/>
          <w:lang w:val="en-GB"/>
        </w:rPr>
        <w:t>presiding officer</w:t>
      </w:r>
      <w:r w:rsidR="00632D79" w:rsidRPr="002D6711">
        <w:rPr>
          <w:rFonts w:ascii="Arial" w:hAnsi="Arial" w:cs="Arial"/>
          <w:sz w:val="24"/>
          <w:szCs w:val="24"/>
          <w:lang w:val="en-GB"/>
        </w:rPr>
        <w:t xml:space="preserve"> </w:t>
      </w:r>
      <w:r w:rsidR="00151624" w:rsidRPr="002D6711">
        <w:rPr>
          <w:rFonts w:ascii="Arial" w:hAnsi="Arial" w:cs="Arial"/>
          <w:sz w:val="24"/>
          <w:szCs w:val="24"/>
          <w:lang w:val="en-GB"/>
        </w:rPr>
        <w:t xml:space="preserve">posed a series of </w:t>
      </w:r>
      <w:r w:rsidR="00F86FEF">
        <w:rPr>
          <w:rFonts w:ascii="Arial" w:hAnsi="Arial" w:cs="Arial"/>
          <w:sz w:val="24"/>
          <w:szCs w:val="24"/>
          <w:lang w:val="en-GB"/>
        </w:rPr>
        <w:t>elementary</w:t>
      </w:r>
      <w:r w:rsidR="00E56F3E" w:rsidRPr="002D6711">
        <w:rPr>
          <w:rFonts w:ascii="Arial" w:hAnsi="Arial" w:cs="Arial"/>
          <w:sz w:val="24"/>
          <w:szCs w:val="24"/>
          <w:lang w:val="en-GB"/>
        </w:rPr>
        <w:t xml:space="preserve"> </w:t>
      </w:r>
      <w:r w:rsidR="00151624" w:rsidRPr="002D6711">
        <w:rPr>
          <w:rFonts w:ascii="Arial" w:hAnsi="Arial" w:cs="Arial"/>
          <w:sz w:val="24"/>
          <w:szCs w:val="24"/>
          <w:lang w:val="en-GB"/>
        </w:rPr>
        <w:t xml:space="preserve">questions to the complainant, </w:t>
      </w:r>
      <w:r w:rsidR="00747BF0" w:rsidRPr="002D6711">
        <w:rPr>
          <w:rFonts w:ascii="Arial" w:hAnsi="Arial" w:cs="Arial"/>
          <w:sz w:val="24"/>
          <w:szCs w:val="24"/>
          <w:lang w:val="en-GB"/>
        </w:rPr>
        <w:t>requir</w:t>
      </w:r>
      <w:r w:rsidR="00E56F3E" w:rsidRPr="002D6711">
        <w:rPr>
          <w:rFonts w:ascii="Arial" w:hAnsi="Arial" w:cs="Arial"/>
          <w:sz w:val="24"/>
          <w:szCs w:val="24"/>
          <w:lang w:val="en-GB"/>
        </w:rPr>
        <w:t>ing</w:t>
      </w:r>
      <w:r w:rsidR="00747BF0" w:rsidRPr="002D6711">
        <w:rPr>
          <w:rFonts w:ascii="Arial" w:hAnsi="Arial" w:cs="Arial"/>
          <w:sz w:val="24"/>
          <w:szCs w:val="24"/>
          <w:lang w:val="en-GB"/>
        </w:rPr>
        <w:t xml:space="preserve"> </w:t>
      </w:r>
      <w:r w:rsidR="00E56F3E" w:rsidRPr="002D6711">
        <w:rPr>
          <w:rFonts w:ascii="Arial" w:hAnsi="Arial" w:cs="Arial"/>
          <w:sz w:val="24"/>
          <w:szCs w:val="24"/>
          <w:lang w:val="en-GB"/>
        </w:rPr>
        <w:t>nothing</w:t>
      </w:r>
      <w:r w:rsidR="00747BF0" w:rsidRPr="002D6711">
        <w:rPr>
          <w:rFonts w:ascii="Arial" w:hAnsi="Arial" w:cs="Arial"/>
          <w:sz w:val="24"/>
          <w:szCs w:val="24"/>
          <w:lang w:val="en-GB"/>
        </w:rPr>
        <w:t xml:space="preserve"> more than factual response</w:t>
      </w:r>
      <w:r w:rsidR="00E56F3E" w:rsidRPr="002D6711">
        <w:rPr>
          <w:rFonts w:ascii="Arial" w:hAnsi="Arial" w:cs="Arial"/>
          <w:sz w:val="24"/>
          <w:szCs w:val="24"/>
          <w:lang w:val="en-GB"/>
        </w:rPr>
        <w:t>s</w:t>
      </w:r>
      <w:r w:rsidR="00747BF0" w:rsidRPr="002D6711">
        <w:rPr>
          <w:rFonts w:ascii="Arial" w:hAnsi="Arial" w:cs="Arial"/>
          <w:sz w:val="24"/>
          <w:szCs w:val="24"/>
          <w:lang w:val="en-GB"/>
        </w:rPr>
        <w:t xml:space="preserve">, which </w:t>
      </w:r>
      <w:r w:rsidR="00763190" w:rsidRPr="002D6711">
        <w:rPr>
          <w:rFonts w:ascii="Arial" w:hAnsi="Arial" w:cs="Arial"/>
          <w:sz w:val="24"/>
          <w:szCs w:val="24"/>
          <w:lang w:val="en-GB"/>
        </w:rPr>
        <w:t>were</w:t>
      </w:r>
      <w:r w:rsidR="00747BF0" w:rsidRPr="002D6711">
        <w:rPr>
          <w:rFonts w:ascii="Arial" w:hAnsi="Arial" w:cs="Arial"/>
          <w:sz w:val="24"/>
          <w:szCs w:val="24"/>
          <w:lang w:val="en-GB"/>
        </w:rPr>
        <w:t xml:space="preserve"> accepted at face value</w:t>
      </w:r>
      <w:r w:rsidR="00E56F3E" w:rsidRPr="002D6711">
        <w:rPr>
          <w:rFonts w:ascii="Arial" w:hAnsi="Arial" w:cs="Arial"/>
          <w:sz w:val="24"/>
          <w:szCs w:val="24"/>
          <w:lang w:val="en-GB"/>
        </w:rPr>
        <w:t xml:space="preserve"> </w:t>
      </w:r>
      <w:r w:rsidR="009C7A05" w:rsidRPr="002D6711">
        <w:rPr>
          <w:rFonts w:ascii="Arial" w:hAnsi="Arial" w:cs="Arial"/>
          <w:sz w:val="24"/>
          <w:szCs w:val="24"/>
          <w:lang w:val="en-GB"/>
        </w:rPr>
        <w:t xml:space="preserve">and </w:t>
      </w:r>
      <w:r w:rsidR="00E56F3E" w:rsidRPr="002D6711">
        <w:rPr>
          <w:rFonts w:ascii="Arial" w:hAnsi="Arial" w:cs="Arial"/>
          <w:sz w:val="24"/>
          <w:szCs w:val="24"/>
          <w:lang w:val="en-GB"/>
        </w:rPr>
        <w:t>without further evaluation or assessment</w:t>
      </w:r>
      <w:r w:rsidR="00747BF0" w:rsidRPr="002D6711">
        <w:rPr>
          <w:rFonts w:ascii="Arial" w:hAnsi="Arial" w:cs="Arial"/>
          <w:sz w:val="24"/>
          <w:szCs w:val="24"/>
          <w:lang w:val="en-GB"/>
        </w:rPr>
        <w:t xml:space="preserve">. </w:t>
      </w:r>
      <w:r w:rsidR="00E56F3E" w:rsidRPr="002D6711">
        <w:rPr>
          <w:rFonts w:ascii="Arial" w:hAnsi="Arial" w:cs="Arial"/>
          <w:sz w:val="24"/>
          <w:szCs w:val="24"/>
          <w:lang w:val="en-GB"/>
        </w:rPr>
        <w:t>This is illustrated in the following extract:</w:t>
      </w:r>
    </w:p>
    <w:p w14:paraId="1A68A76B" w14:textId="77777777" w:rsidR="00E56F3E" w:rsidRDefault="00E56F3E" w:rsidP="000F7AEF">
      <w:pPr>
        <w:spacing w:line="360" w:lineRule="auto"/>
        <w:rPr>
          <w:rFonts w:ascii="Arial" w:hAnsi="Arial" w:cs="Arial"/>
          <w:sz w:val="24"/>
          <w:szCs w:val="24"/>
          <w:lang w:val="en-GB"/>
        </w:rPr>
      </w:pPr>
      <w:r>
        <w:rPr>
          <w:rFonts w:ascii="Arial" w:hAnsi="Arial" w:cs="Arial"/>
          <w:sz w:val="24"/>
          <w:szCs w:val="24"/>
          <w:lang w:val="en-GB"/>
        </w:rPr>
        <w:tab/>
      </w:r>
    </w:p>
    <w:p w14:paraId="3BEB834C" w14:textId="77777777" w:rsidR="00E56F3E" w:rsidRPr="00E56F3E" w:rsidRDefault="00E56F3E" w:rsidP="002D6711">
      <w:pPr>
        <w:spacing w:line="360" w:lineRule="auto"/>
        <w:ind w:firstLine="720"/>
        <w:jc w:val="both"/>
        <w:rPr>
          <w:rFonts w:ascii="Arial" w:hAnsi="Arial" w:cs="Arial"/>
          <w:sz w:val="20"/>
          <w:szCs w:val="20"/>
          <w:lang w:val="en-GB"/>
        </w:rPr>
      </w:pPr>
      <w:r w:rsidRPr="00E56F3E">
        <w:rPr>
          <w:rFonts w:ascii="Arial" w:hAnsi="Arial" w:cs="Arial"/>
          <w:sz w:val="20"/>
          <w:szCs w:val="20"/>
          <w:lang w:val="en-GB"/>
        </w:rPr>
        <w:t>‘COURT:</w:t>
      </w:r>
      <w:r w:rsidRPr="00E56F3E">
        <w:rPr>
          <w:rFonts w:ascii="Arial" w:hAnsi="Arial" w:cs="Arial"/>
          <w:sz w:val="20"/>
          <w:szCs w:val="20"/>
          <w:lang w:val="en-GB"/>
        </w:rPr>
        <w:tab/>
      </w:r>
      <w:r w:rsidRPr="00E56F3E">
        <w:rPr>
          <w:rFonts w:ascii="Arial" w:hAnsi="Arial" w:cs="Arial"/>
          <w:sz w:val="20"/>
          <w:szCs w:val="20"/>
          <w:lang w:val="en-GB"/>
        </w:rPr>
        <w:tab/>
        <w:t>Do you go to school?</w:t>
      </w:r>
    </w:p>
    <w:p w14:paraId="5518C2C4"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MS M:</w:t>
      </w:r>
      <w:r w:rsidRPr="00E56F3E">
        <w:rPr>
          <w:rFonts w:ascii="Arial" w:hAnsi="Arial" w:cs="Arial"/>
          <w:sz w:val="20"/>
          <w:szCs w:val="20"/>
          <w:lang w:val="en-GB"/>
        </w:rPr>
        <w:tab/>
      </w:r>
      <w:r w:rsidRPr="00E56F3E">
        <w:rPr>
          <w:rFonts w:ascii="Arial" w:hAnsi="Arial" w:cs="Arial"/>
          <w:sz w:val="20"/>
          <w:szCs w:val="20"/>
          <w:lang w:val="en-GB"/>
        </w:rPr>
        <w:tab/>
      </w:r>
      <w:r w:rsidRPr="00E56F3E">
        <w:rPr>
          <w:rFonts w:ascii="Arial" w:hAnsi="Arial" w:cs="Arial"/>
          <w:sz w:val="20"/>
          <w:szCs w:val="20"/>
          <w:lang w:val="en-GB"/>
        </w:rPr>
        <w:tab/>
        <w:t>Yes.</w:t>
      </w:r>
    </w:p>
    <w:p w14:paraId="31F4AFF9"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COURT:</w:t>
      </w:r>
      <w:r w:rsidRPr="00E56F3E">
        <w:rPr>
          <w:rFonts w:ascii="Arial" w:hAnsi="Arial" w:cs="Arial"/>
          <w:sz w:val="20"/>
          <w:szCs w:val="20"/>
          <w:lang w:val="en-GB"/>
        </w:rPr>
        <w:tab/>
      </w:r>
      <w:r w:rsidRPr="00E56F3E">
        <w:rPr>
          <w:rFonts w:ascii="Arial" w:hAnsi="Arial" w:cs="Arial"/>
          <w:sz w:val="20"/>
          <w:szCs w:val="20"/>
          <w:lang w:val="en-GB"/>
        </w:rPr>
        <w:tab/>
        <w:t>And which school do you go to?</w:t>
      </w:r>
    </w:p>
    <w:p w14:paraId="130FA3F9"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MS M:</w:t>
      </w:r>
      <w:r w:rsidRPr="00E56F3E">
        <w:rPr>
          <w:rFonts w:ascii="Arial" w:hAnsi="Arial" w:cs="Arial"/>
          <w:sz w:val="20"/>
          <w:szCs w:val="20"/>
          <w:lang w:val="en-GB"/>
        </w:rPr>
        <w:tab/>
      </w:r>
      <w:r w:rsidRPr="00E56F3E">
        <w:rPr>
          <w:rFonts w:ascii="Arial" w:hAnsi="Arial" w:cs="Arial"/>
          <w:sz w:val="20"/>
          <w:szCs w:val="20"/>
          <w:lang w:val="en-GB"/>
        </w:rPr>
        <w:tab/>
      </w:r>
      <w:r w:rsidRPr="00E56F3E">
        <w:rPr>
          <w:rFonts w:ascii="Arial" w:hAnsi="Arial" w:cs="Arial"/>
          <w:sz w:val="20"/>
          <w:szCs w:val="20"/>
          <w:lang w:val="en-GB"/>
        </w:rPr>
        <w:tab/>
        <w:t>Sysie Primary School.</w:t>
      </w:r>
    </w:p>
    <w:p w14:paraId="5A1249FE"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COURT:</w:t>
      </w:r>
      <w:r w:rsidRPr="00E56F3E">
        <w:rPr>
          <w:rFonts w:ascii="Arial" w:hAnsi="Arial" w:cs="Arial"/>
          <w:sz w:val="20"/>
          <w:szCs w:val="20"/>
          <w:lang w:val="en-GB"/>
        </w:rPr>
        <w:tab/>
      </w:r>
      <w:r w:rsidRPr="00E56F3E">
        <w:rPr>
          <w:rFonts w:ascii="Arial" w:hAnsi="Arial" w:cs="Arial"/>
          <w:sz w:val="20"/>
          <w:szCs w:val="20"/>
          <w:lang w:val="en-GB"/>
        </w:rPr>
        <w:tab/>
        <w:t>In which grade are you?</w:t>
      </w:r>
    </w:p>
    <w:p w14:paraId="0AAD7A81"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MS M:</w:t>
      </w:r>
      <w:r w:rsidRPr="00E56F3E">
        <w:rPr>
          <w:rFonts w:ascii="Arial" w:hAnsi="Arial" w:cs="Arial"/>
          <w:sz w:val="20"/>
          <w:szCs w:val="20"/>
          <w:lang w:val="en-GB"/>
        </w:rPr>
        <w:tab/>
      </w:r>
      <w:r w:rsidRPr="00E56F3E">
        <w:rPr>
          <w:rFonts w:ascii="Arial" w:hAnsi="Arial" w:cs="Arial"/>
          <w:sz w:val="20"/>
          <w:szCs w:val="20"/>
          <w:lang w:val="en-GB"/>
        </w:rPr>
        <w:tab/>
      </w:r>
      <w:r w:rsidRPr="00E56F3E">
        <w:rPr>
          <w:rFonts w:ascii="Arial" w:hAnsi="Arial" w:cs="Arial"/>
          <w:sz w:val="20"/>
          <w:szCs w:val="20"/>
          <w:lang w:val="en-GB"/>
        </w:rPr>
        <w:tab/>
        <w:t>Grade 7.</w:t>
      </w:r>
    </w:p>
    <w:p w14:paraId="3C41698D"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COURT:</w:t>
      </w:r>
      <w:r w:rsidRPr="00E56F3E">
        <w:rPr>
          <w:rFonts w:ascii="Arial" w:hAnsi="Arial" w:cs="Arial"/>
          <w:sz w:val="20"/>
          <w:szCs w:val="20"/>
          <w:lang w:val="en-GB"/>
        </w:rPr>
        <w:tab/>
      </w:r>
      <w:r w:rsidRPr="00E56F3E">
        <w:rPr>
          <w:rFonts w:ascii="Arial" w:hAnsi="Arial" w:cs="Arial"/>
          <w:sz w:val="20"/>
          <w:szCs w:val="20"/>
          <w:lang w:val="en-GB"/>
        </w:rPr>
        <w:tab/>
        <w:t>What do you like to do at school?</w:t>
      </w:r>
    </w:p>
    <w:p w14:paraId="347B1306"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MS M:</w:t>
      </w:r>
      <w:r w:rsidRPr="00E56F3E">
        <w:rPr>
          <w:rFonts w:ascii="Arial" w:hAnsi="Arial" w:cs="Arial"/>
          <w:sz w:val="20"/>
          <w:szCs w:val="20"/>
          <w:lang w:val="en-GB"/>
        </w:rPr>
        <w:tab/>
      </w:r>
      <w:r w:rsidRPr="00E56F3E">
        <w:rPr>
          <w:rFonts w:ascii="Arial" w:hAnsi="Arial" w:cs="Arial"/>
          <w:sz w:val="20"/>
          <w:szCs w:val="20"/>
          <w:lang w:val="en-GB"/>
        </w:rPr>
        <w:tab/>
      </w:r>
      <w:r w:rsidRPr="00E56F3E">
        <w:rPr>
          <w:rFonts w:ascii="Arial" w:hAnsi="Arial" w:cs="Arial"/>
          <w:sz w:val="20"/>
          <w:szCs w:val="20"/>
          <w:lang w:val="en-GB"/>
        </w:rPr>
        <w:tab/>
        <w:t>English.</w:t>
      </w:r>
    </w:p>
    <w:p w14:paraId="7095ADFC"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COURT:</w:t>
      </w:r>
      <w:r w:rsidRPr="00E56F3E">
        <w:rPr>
          <w:rFonts w:ascii="Arial" w:hAnsi="Arial" w:cs="Arial"/>
          <w:sz w:val="20"/>
          <w:szCs w:val="20"/>
          <w:lang w:val="en-GB"/>
        </w:rPr>
        <w:tab/>
      </w:r>
      <w:r w:rsidRPr="00E56F3E">
        <w:rPr>
          <w:rFonts w:ascii="Arial" w:hAnsi="Arial" w:cs="Arial"/>
          <w:sz w:val="20"/>
          <w:szCs w:val="20"/>
          <w:lang w:val="en-GB"/>
        </w:rPr>
        <w:tab/>
        <w:t>Is English your favourite subject?</w:t>
      </w:r>
    </w:p>
    <w:p w14:paraId="39409076"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MS M:</w:t>
      </w:r>
      <w:r w:rsidRPr="00E56F3E">
        <w:rPr>
          <w:rFonts w:ascii="Arial" w:hAnsi="Arial" w:cs="Arial"/>
          <w:sz w:val="20"/>
          <w:szCs w:val="20"/>
          <w:lang w:val="en-GB"/>
        </w:rPr>
        <w:tab/>
      </w:r>
      <w:r w:rsidRPr="00E56F3E">
        <w:rPr>
          <w:rFonts w:ascii="Arial" w:hAnsi="Arial" w:cs="Arial"/>
          <w:sz w:val="20"/>
          <w:szCs w:val="20"/>
          <w:lang w:val="en-GB"/>
        </w:rPr>
        <w:tab/>
      </w:r>
      <w:r w:rsidRPr="00E56F3E">
        <w:rPr>
          <w:rFonts w:ascii="Arial" w:hAnsi="Arial" w:cs="Arial"/>
          <w:sz w:val="20"/>
          <w:szCs w:val="20"/>
          <w:lang w:val="en-GB"/>
        </w:rPr>
        <w:tab/>
        <w:t>Yes.</w:t>
      </w:r>
    </w:p>
    <w:p w14:paraId="7CF2D8B4"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COURT:</w:t>
      </w:r>
      <w:r w:rsidRPr="00E56F3E">
        <w:rPr>
          <w:rFonts w:ascii="Arial" w:hAnsi="Arial" w:cs="Arial"/>
          <w:sz w:val="20"/>
          <w:szCs w:val="20"/>
          <w:lang w:val="en-GB"/>
        </w:rPr>
        <w:tab/>
      </w:r>
      <w:r w:rsidRPr="00E56F3E">
        <w:rPr>
          <w:rFonts w:ascii="Arial" w:hAnsi="Arial" w:cs="Arial"/>
          <w:sz w:val="20"/>
          <w:szCs w:val="20"/>
          <w:lang w:val="en-GB"/>
        </w:rPr>
        <w:tab/>
        <w:t>Do you do any sport or activities at school?</w:t>
      </w:r>
    </w:p>
    <w:p w14:paraId="0B70696E"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lastRenderedPageBreak/>
        <w:tab/>
        <w:t>MS M:</w:t>
      </w:r>
      <w:r w:rsidRPr="00E56F3E">
        <w:rPr>
          <w:rFonts w:ascii="Arial" w:hAnsi="Arial" w:cs="Arial"/>
          <w:sz w:val="20"/>
          <w:szCs w:val="20"/>
          <w:lang w:val="en-GB"/>
        </w:rPr>
        <w:tab/>
      </w:r>
      <w:r w:rsidRPr="00E56F3E">
        <w:rPr>
          <w:rFonts w:ascii="Arial" w:hAnsi="Arial" w:cs="Arial"/>
          <w:sz w:val="20"/>
          <w:szCs w:val="20"/>
          <w:lang w:val="en-GB"/>
        </w:rPr>
        <w:tab/>
      </w:r>
      <w:r w:rsidRPr="00E56F3E">
        <w:rPr>
          <w:rFonts w:ascii="Arial" w:hAnsi="Arial" w:cs="Arial"/>
          <w:sz w:val="20"/>
          <w:szCs w:val="20"/>
          <w:lang w:val="en-GB"/>
        </w:rPr>
        <w:tab/>
        <w:t>Sport.</w:t>
      </w:r>
    </w:p>
    <w:p w14:paraId="72895422"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COURT:</w:t>
      </w:r>
      <w:r w:rsidRPr="00E56F3E">
        <w:rPr>
          <w:rFonts w:ascii="Arial" w:hAnsi="Arial" w:cs="Arial"/>
          <w:sz w:val="20"/>
          <w:szCs w:val="20"/>
          <w:lang w:val="en-GB"/>
        </w:rPr>
        <w:tab/>
      </w:r>
      <w:r w:rsidRPr="00E56F3E">
        <w:rPr>
          <w:rFonts w:ascii="Arial" w:hAnsi="Arial" w:cs="Arial"/>
          <w:sz w:val="20"/>
          <w:szCs w:val="20"/>
          <w:lang w:val="en-GB"/>
        </w:rPr>
        <w:tab/>
        <w:t>Which sport do you participate in?</w:t>
      </w:r>
    </w:p>
    <w:p w14:paraId="196D9EE1"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MS M:</w:t>
      </w:r>
      <w:r w:rsidRPr="00E56F3E">
        <w:rPr>
          <w:rFonts w:ascii="Arial" w:hAnsi="Arial" w:cs="Arial"/>
          <w:sz w:val="20"/>
          <w:szCs w:val="20"/>
          <w:lang w:val="en-GB"/>
        </w:rPr>
        <w:tab/>
      </w:r>
      <w:r w:rsidRPr="00E56F3E">
        <w:rPr>
          <w:rFonts w:ascii="Arial" w:hAnsi="Arial" w:cs="Arial"/>
          <w:sz w:val="20"/>
          <w:szCs w:val="20"/>
          <w:lang w:val="en-GB"/>
        </w:rPr>
        <w:tab/>
      </w:r>
      <w:r w:rsidRPr="00E56F3E">
        <w:rPr>
          <w:rFonts w:ascii="Arial" w:hAnsi="Arial" w:cs="Arial"/>
          <w:sz w:val="20"/>
          <w:szCs w:val="20"/>
          <w:lang w:val="en-GB"/>
        </w:rPr>
        <w:tab/>
        <w:t>Netball.</w:t>
      </w:r>
    </w:p>
    <w:p w14:paraId="1D74E167"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COURT:</w:t>
      </w:r>
      <w:r w:rsidRPr="00E56F3E">
        <w:rPr>
          <w:rFonts w:ascii="Arial" w:hAnsi="Arial" w:cs="Arial"/>
          <w:sz w:val="20"/>
          <w:szCs w:val="20"/>
          <w:lang w:val="en-GB"/>
        </w:rPr>
        <w:tab/>
      </w:r>
      <w:r w:rsidRPr="00E56F3E">
        <w:rPr>
          <w:rFonts w:ascii="Arial" w:hAnsi="Arial" w:cs="Arial"/>
          <w:sz w:val="20"/>
          <w:szCs w:val="20"/>
          <w:lang w:val="en-GB"/>
        </w:rPr>
        <w:tab/>
        <w:t>Do you like netball?</w:t>
      </w:r>
    </w:p>
    <w:p w14:paraId="27F7E0B8"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MS M:</w:t>
      </w:r>
      <w:r w:rsidRPr="00E56F3E">
        <w:rPr>
          <w:rFonts w:ascii="Arial" w:hAnsi="Arial" w:cs="Arial"/>
          <w:sz w:val="20"/>
          <w:szCs w:val="20"/>
          <w:lang w:val="en-GB"/>
        </w:rPr>
        <w:tab/>
      </w:r>
      <w:r w:rsidRPr="00E56F3E">
        <w:rPr>
          <w:rFonts w:ascii="Arial" w:hAnsi="Arial" w:cs="Arial"/>
          <w:sz w:val="20"/>
          <w:szCs w:val="20"/>
          <w:lang w:val="en-GB"/>
        </w:rPr>
        <w:tab/>
      </w:r>
      <w:r w:rsidRPr="00E56F3E">
        <w:rPr>
          <w:rFonts w:ascii="Arial" w:hAnsi="Arial" w:cs="Arial"/>
          <w:sz w:val="20"/>
          <w:szCs w:val="20"/>
          <w:lang w:val="en-GB"/>
        </w:rPr>
        <w:tab/>
        <w:t>Yes.</w:t>
      </w:r>
    </w:p>
    <w:p w14:paraId="6B74C470"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COURT:</w:t>
      </w:r>
      <w:r w:rsidRPr="00E56F3E">
        <w:rPr>
          <w:rFonts w:ascii="Arial" w:hAnsi="Arial" w:cs="Arial"/>
          <w:sz w:val="20"/>
          <w:szCs w:val="20"/>
          <w:lang w:val="en-GB"/>
        </w:rPr>
        <w:tab/>
      </w:r>
      <w:r w:rsidRPr="00E56F3E">
        <w:rPr>
          <w:rFonts w:ascii="Arial" w:hAnsi="Arial" w:cs="Arial"/>
          <w:sz w:val="20"/>
          <w:szCs w:val="20"/>
          <w:lang w:val="en-GB"/>
        </w:rPr>
        <w:tab/>
        <w:t>Do you have friends at school?</w:t>
      </w:r>
    </w:p>
    <w:p w14:paraId="79A0F578" w14:textId="77777777" w:rsidR="00E56F3E" w:rsidRPr="00E56F3E" w:rsidRDefault="00E56F3E" w:rsidP="002D6711">
      <w:pPr>
        <w:spacing w:line="360" w:lineRule="auto"/>
        <w:jc w:val="both"/>
        <w:rPr>
          <w:rFonts w:ascii="Arial" w:hAnsi="Arial" w:cs="Arial"/>
          <w:sz w:val="20"/>
          <w:szCs w:val="20"/>
          <w:lang w:val="en-GB"/>
        </w:rPr>
      </w:pPr>
      <w:r w:rsidRPr="00E56F3E">
        <w:rPr>
          <w:rFonts w:ascii="Arial" w:hAnsi="Arial" w:cs="Arial"/>
          <w:sz w:val="20"/>
          <w:szCs w:val="20"/>
          <w:lang w:val="en-GB"/>
        </w:rPr>
        <w:tab/>
        <w:t>MS M:</w:t>
      </w:r>
      <w:r w:rsidRPr="00E56F3E">
        <w:rPr>
          <w:rFonts w:ascii="Arial" w:hAnsi="Arial" w:cs="Arial"/>
          <w:sz w:val="20"/>
          <w:szCs w:val="20"/>
          <w:lang w:val="en-GB"/>
        </w:rPr>
        <w:tab/>
      </w:r>
      <w:r w:rsidRPr="00E56F3E">
        <w:rPr>
          <w:rFonts w:ascii="Arial" w:hAnsi="Arial" w:cs="Arial"/>
          <w:sz w:val="20"/>
          <w:szCs w:val="20"/>
          <w:lang w:val="en-GB"/>
        </w:rPr>
        <w:tab/>
      </w:r>
      <w:r w:rsidRPr="00E56F3E">
        <w:rPr>
          <w:rFonts w:ascii="Arial" w:hAnsi="Arial" w:cs="Arial"/>
          <w:sz w:val="20"/>
          <w:szCs w:val="20"/>
          <w:lang w:val="en-GB"/>
        </w:rPr>
        <w:tab/>
        <w:t>Yes.’</w:t>
      </w:r>
      <w:r w:rsidR="00FA025E">
        <w:rPr>
          <w:rStyle w:val="FootnoteReference"/>
          <w:rFonts w:ascii="Arial" w:hAnsi="Arial" w:cs="Arial"/>
          <w:sz w:val="20"/>
          <w:szCs w:val="20"/>
          <w:lang w:val="en-GB"/>
        </w:rPr>
        <w:footnoteReference w:id="20"/>
      </w:r>
    </w:p>
    <w:p w14:paraId="2EF5F54E" w14:textId="77777777" w:rsidR="00E56F3E" w:rsidRPr="002D6711" w:rsidRDefault="00E56F3E" w:rsidP="002D6711">
      <w:pPr>
        <w:pStyle w:val="ListParagraph"/>
        <w:spacing w:line="360" w:lineRule="auto"/>
        <w:jc w:val="both"/>
        <w:rPr>
          <w:rFonts w:ascii="Arial" w:hAnsi="Arial" w:cs="Arial"/>
          <w:sz w:val="24"/>
          <w:szCs w:val="24"/>
          <w:lang w:val="en-GB"/>
        </w:rPr>
      </w:pPr>
    </w:p>
    <w:p w14:paraId="2CD07CCA" w14:textId="0D9653C9" w:rsidR="009C7A05" w:rsidRPr="002D6711" w:rsidRDefault="001B3447" w:rsidP="001B3447">
      <w:pPr>
        <w:pStyle w:val="ListParagraph"/>
        <w:spacing w:line="360" w:lineRule="auto"/>
        <w:ind w:left="0"/>
        <w:jc w:val="both"/>
        <w:rPr>
          <w:rFonts w:ascii="Arial" w:hAnsi="Arial" w:cs="Arial"/>
          <w:sz w:val="24"/>
          <w:szCs w:val="24"/>
          <w:lang w:val="en-GB"/>
        </w:rPr>
      </w:pPr>
      <w:r>
        <w:rPr>
          <w:rFonts w:ascii="Arial" w:hAnsi="Arial" w:cs="Arial"/>
          <w:sz w:val="24"/>
          <w:szCs w:val="24"/>
          <w:lang w:val="en-GB"/>
        </w:rPr>
        <w:t>[38]</w:t>
      </w:r>
      <w:r>
        <w:rPr>
          <w:rFonts w:ascii="Arial" w:hAnsi="Arial" w:cs="Arial"/>
          <w:sz w:val="24"/>
          <w:szCs w:val="24"/>
          <w:lang w:val="en-GB"/>
        </w:rPr>
        <w:tab/>
      </w:r>
      <w:r w:rsidR="00E56F3E" w:rsidRPr="002D6711">
        <w:rPr>
          <w:rFonts w:ascii="Arial" w:hAnsi="Arial" w:cs="Arial"/>
          <w:sz w:val="24"/>
          <w:szCs w:val="24"/>
          <w:lang w:val="en-GB"/>
        </w:rPr>
        <w:t xml:space="preserve">The same style of questioning </w:t>
      </w:r>
      <w:r w:rsidR="00F24144" w:rsidRPr="002D6711">
        <w:rPr>
          <w:rFonts w:ascii="Arial" w:hAnsi="Arial" w:cs="Arial"/>
          <w:sz w:val="24"/>
          <w:szCs w:val="24"/>
          <w:lang w:val="en-GB"/>
        </w:rPr>
        <w:t xml:space="preserve">was </w:t>
      </w:r>
      <w:r w:rsidR="004034EC">
        <w:rPr>
          <w:rFonts w:ascii="Arial" w:hAnsi="Arial" w:cs="Arial"/>
          <w:sz w:val="24"/>
          <w:szCs w:val="24"/>
          <w:lang w:val="en-GB"/>
        </w:rPr>
        <w:t>follow</w:t>
      </w:r>
      <w:r w:rsidR="00E56F3E" w:rsidRPr="002D6711">
        <w:rPr>
          <w:rFonts w:ascii="Arial" w:hAnsi="Arial" w:cs="Arial"/>
          <w:sz w:val="24"/>
          <w:szCs w:val="24"/>
          <w:lang w:val="en-GB"/>
        </w:rPr>
        <w:t xml:space="preserve">ed in relation to the </w:t>
      </w:r>
      <w:r w:rsidR="009C7A05" w:rsidRPr="002D6711">
        <w:rPr>
          <w:rFonts w:ascii="Arial" w:hAnsi="Arial" w:cs="Arial"/>
          <w:sz w:val="24"/>
          <w:szCs w:val="24"/>
          <w:lang w:val="en-GB"/>
        </w:rPr>
        <w:t xml:space="preserve">complainant’s home environment. </w:t>
      </w:r>
      <w:r w:rsidR="00195294" w:rsidRPr="002D6711">
        <w:rPr>
          <w:rFonts w:ascii="Arial" w:hAnsi="Arial" w:cs="Arial"/>
          <w:sz w:val="24"/>
          <w:szCs w:val="24"/>
          <w:lang w:val="en-GB"/>
        </w:rPr>
        <w:t xml:space="preserve">The prosecutor declined to put any questions. </w:t>
      </w:r>
      <w:r w:rsidR="00747BF0" w:rsidRPr="002D6711">
        <w:rPr>
          <w:rFonts w:ascii="Arial" w:hAnsi="Arial" w:cs="Arial"/>
          <w:sz w:val="24"/>
          <w:szCs w:val="24"/>
          <w:lang w:val="en-GB"/>
        </w:rPr>
        <w:t>The appellant’s legal representative</w:t>
      </w:r>
      <w:r w:rsidR="00E55333">
        <w:rPr>
          <w:rFonts w:ascii="Arial" w:hAnsi="Arial" w:cs="Arial"/>
          <w:sz w:val="24"/>
          <w:szCs w:val="24"/>
          <w:lang w:val="en-GB"/>
        </w:rPr>
        <w:t xml:space="preserve"> </w:t>
      </w:r>
      <w:r w:rsidR="00D72E32">
        <w:rPr>
          <w:rFonts w:ascii="Arial" w:hAnsi="Arial" w:cs="Arial"/>
          <w:sz w:val="24"/>
          <w:szCs w:val="24"/>
          <w:lang w:val="en-GB"/>
        </w:rPr>
        <w:t>merely</w:t>
      </w:r>
      <w:r w:rsidR="007E5C63">
        <w:rPr>
          <w:rFonts w:ascii="Arial" w:hAnsi="Arial" w:cs="Arial"/>
          <w:sz w:val="24"/>
          <w:szCs w:val="24"/>
          <w:lang w:val="en-GB"/>
        </w:rPr>
        <w:t xml:space="preserve"> adopted a similar </w:t>
      </w:r>
      <w:r w:rsidR="00FA025E" w:rsidRPr="002D6711">
        <w:rPr>
          <w:rFonts w:ascii="Arial" w:hAnsi="Arial" w:cs="Arial"/>
          <w:sz w:val="24"/>
          <w:szCs w:val="24"/>
          <w:lang w:val="en-GB"/>
        </w:rPr>
        <w:t xml:space="preserve">approach </w:t>
      </w:r>
      <w:r w:rsidR="007E5C63">
        <w:rPr>
          <w:rFonts w:ascii="Arial" w:hAnsi="Arial" w:cs="Arial"/>
          <w:sz w:val="24"/>
          <w:szCs w:val="24"/>
          <w:lang w:val="en-GB"/>
        </w:rPr>
        <w:t xml:space="preserve">to that </w:t>
      </w:r>
      <w:r w:rsidR="00FA025E" w:rsidRPr="002D6711">
        <w:rPr>
          <w:rFonts w:ascii="Arial" w:hAnsi="Arial" w:cs="Arial"/>
          <w:sz w:val="24"/>
          <w:szCs w:val="24"/>
          <w:lang w:val="en-GB"/>
        </w:rPr>
        <w:t xml:space="preserve">taken by the </w:t>
      </w:r>
      <w:r w:rsidR="00F8095F" w:rsidRPr="002D6711">
        <w:rPr>
          <w:rFonts w:ascii="Arial" w:hAnsi="Arial" w:cs="Arial"/>
          <w:sz w:val="24"/>
          <w:szCs w:val="24"/>
          <w:lang w:val="en-GB"/>
        </w:rPr>
        <w:t>presiding officer</w:t>
      </w:r>
      <w:r w:rsidR="009C7A05" w:rsidRPr="002D6711">
        <w:rPr>
          <w:rFonts w:ascii="Arial" w:hAnsi="Arial" w:cs="Arial"/>
          <w:sz w:val="24"/>
          <w:szCs w:val="24"/>
          <w:lang w:val="en-GB"/>
        </w:rPr>
        <w:t>, as apparent from the extract below</w:t>
      </w:r>
      <w:r w:rsidR="00747BF0" w:rsidRPr="002D6711">
        <w:rPr>
          <w:rFonts w:ascii="Arial" w:hAnsi="Arial" w:cs="Arial"/>
          <w:sz w:val="24"/>
          <w:szCs w:val="24"/>
          <w:lang w:val="en-GB"/>
        </w:rPr>
        <w:t xml:space="preserve">. </w:t>
      </w:r>
    </w:p>
    <w:p w14:paraId="555027D9" w14:textId="77777777" w:rsidR="009C7A05" w:rsidRDefault="009C7A05" w:rsidP="000F7AEF">
      <w:pPr>
        <w:spacing w:line="360" w:lineRule="auto"/>
        <w:rPr>
          <w:rFonts w:ascii="Arial" w:hAnsi="Arial" w:cs="Arial"/>
          <w:sz w:val="24"/>
          <w:szCs w:val="24"/>
          <w:lang w:val="en-GB"/>
        </w:rPr>
      </w:pPr>
    </w:p>
    <w:p w14:paraId="7F15A132" w14:textId="77777777" w:rsidR="009C7A05" w:rsidRPr="00195294" w:rsidRDefault="009C7A05" w:rsidP="002D6711">
      <w:pPr>
        <w:spacing w:line="360" w:lineRule="auto"/>
        <w:ind w:left="2880" w:hanging="2160"/>
        <w:jc w:val="both"/>
        <w:rPr>
          <w:rFonts w:ascii="Arial" w:hAnsi="Arial" w:cs="Arial"/>
          <w:sz w:val="20"/>
          <w:szCs w:val="20"/>
          <w:lang w:val="en-GB"/>
        </w:rPr>
      </w:pPr>
      <w:r w:rsidRPr="00195294">
        <w:rPr>
          <w:rFonts w:ascii="Arial" w:hAnsi="Arial" w:cs="Arial"/>
          <w:sz w:val="20"/>
          <w:szCs w:val="20"/>
          <w:lang w:val="en-GB"/>
        </w:rPr>
        <w:t>‘MS TASSEN:</w:t>
      </w:r>
      <w:r w:rsidRPr="00195294">
        <w:rPr>
          <w:rFonts w:ascii="Arial" w:hAnsi="Arial" w:cs="Arial"/>
          <w:sz w:val="20"/>
          <w:szCs w:val="20"/>
          <w:lang w:val="en-GB"/>
        </w:rPr>
        <w:tab/>
        <w:t xml:space="preserve">…I would like to know how old </w:t>
      </w:r>
      <w:r w:rsidR="00195294" w:rsidRPr="00195294">
        <w:rPr>
          <w:rFonts w:ascii="Arial" w:hAnsi="Arial" w:cs="Arial"/>
          <w:sz w:val="20"/>
          <w:szCs w:val="20"/>
          <w:lang w:val="en-GB"/>
        </w:rPr>
        <w:t>her</w:t>
      </w:r>
      <w:r w:rsidRPr="00195294">
        <w:rPr>
          <w:rFonts w:ascii="Arial" w:hAnsi="Arial" w:cs="Arial"/>
          <w:sz w:val="20"/>
          <w:szCs w:val="20"/>
          <w:lang w:val="en-GB"/>
        </w:rPr>
        <w:t xml:space="preserve"> first cousin is, how old the cousin is, Your Worship.</w:t>
      </w:r>
    </w:p>
    <w:p w14:paraId="7BD5F48B" w14:textId="77777777" w:rsidR="009C7A05" w:rsidRPr="00195294" w:rsidRDefault="009C7A05" w:rsidP="002D6711">
      <w:pPr>
        <w:spacing w:line="360" w:lineRule="auto"/>
        <w:ind w:left="2880" w:hanging="2160"/>
        <w:jc w:val="both"/>
        <w:rPr>
          <w:rFonts w:ascii="Arial" w:hAnsi="Arial" w:cs="Arial"/>
          <w:sz w:val="20"/>
          <w:szCs w:val="20"/>
          <w:lang w:val="en-GB"/>
        </w:rPr>
      </w:pPr>
      <w:r w:rsidRPr="00195294">
        <w:rPr>
          <w:rFonts w:ascii="Arial" w:hAnsi="Arial" w:cs="Arial"/>
          <w:sz w:val="20"/>
          <w:szCs w:val="20"/>
          <w:lang w:val="en-GB"/>
        </w:rPr>
        <w:t>MS M:</w:t>
      </w:r>
      <w:r w:rsidRPr="00195294">
        <w:rPr>
          <w:rFonts w:ascii="Arial" w:hAnsi="Arial" w:cs="Arial"/>
          <w:sz w:val="20"/>
          <w:szCs w:val="20"/>
          <w:lang w:val="en-GB"/>
        </w:rPr>
        <w:tab/>
        <w:t>15 years of age.</w:t>
      </w:r>
    </w:p>
    <w:p w14:paraId="5A138296" w14:textId="77777777" w:rsidR="009C7A05" w:rsidRPr="00195294" w:rsidRDefault="009C7A05" w:rsidP="002D6711">
      <w:pPr>
        <w:spacing w:line="360" w:lineRule="auto"/>
        <w:ind w:left="2880" w:hanging="2160"/>
        <w:jc w:val="both"/>
        <w:rPr>
          <w:rFonts w:ascii="Arial" w:hAnsi="Arial" w:cs="Arial"/>
          <w:sz w:val="20"/>
          <w:szCs w:val="20"/>
          <w:lang w:val="en-GB"/>
        </w:rPr>
      </w:pPr>
      <w:r w:rsidRPr="00195294">
        <w:rPr>
          <w:rFonts w:ascii="Arial" w:hAnsi="Arial" w:cs="Arial"/>
          <w:sz w:val="20"/>
          <w:szCs w:val="20"/>
          <w:lang w:val="en-GB"/>
        </w:rPr>
        <w:t>MS TASSEN:</w:t>
      </w:r>
      <w:r w:rsidRPr="00195294">
        <w:rPr>
          <w:rFonts w:ascii="Arial" w:hAnsi="Arial" w:cs="Arial"/>
          <w:sz w:val="20"/>
          <w:szCs w:val="20"/>
          <w:lang w:val="en-GB"/>
        </w:rPr>
        <w:tab/>
        <w:t>And is the cousin a male or a female?</w:t>
      </w:r>
    </w:p>
    <w:p w14:paraId="3985ABB4" w14:textId="77777777" w:rsidR="009C7A05" w:rsidRPr="00195294" w:rsidRDefault="009C7A05" w:rsidP="002D6711">
      <w:pPr>
        <w:spacing w:line="360" w:lineRule="auto"/>
        <w:ind w:left="2880" w:hanging="2160"/>
        <w:jc w:val="both"/>
        <w:rPr>
          <w:rFonts w:ascii="Arial" w:hAnsi="Arial" w:cs="Arial"/>
          <w:sz w:val="20"/>
          <w:szCs w:val="20"/>
          <w:lang w:val="en-GB"/>
        </w:rPr>
      </w:pPr>
      <w:r w:rsidRPr="00195294">
        <w:rPr>
          <w:rFonts w:ascii="Arial" w:hAnsi="Arial" w:cs="Arial"/>
          <w:sz w:val="20"/>
          <w:szCs w:val="20"/>
          <w:lang w:val="en-GB"/>
        </w:rPr>
        <w:t>MS M:</w:t>
      </w:r>
      <w:r w:rsidRPr="00195294">
        <w:rPr>
          <w:rFonts w:ascii="Arial" w:hAnsi="Arial" w:cs="Arial"/>
          <w:sz w:val="20"/>
          <w:szCs w:val="20"/>
          <w:lang w:val="en-GB"/>
        </w:rPr>
        <w:tab/>
        <w:t>A girl.</w:t>
      </w:r>
    </w:p>
    <w:p w14:paraId="5818F1DB" w14:textId="77777777" w:rsidR="009C7A05" w:rsidRPr="00195294" w:rsidRDefault="009C7A05" w:rsidP="002D6711">
      <w:pPr>
        <w:spacing w:line="360" w:lineRule="auto"/>
        <w:ind w:left="2880" w:hanging="2160"/>
        <w:jc w:val="both"/>
        <w:rPr>
          <w:rFonts w:ascii="Arial" w:hAnsi="Arial" w:cs="Arial"/>
          <w:sz w:val="20"/>
          <w:szCs w:val="20"/>
          <w:lang w:val="en-GB"/>
        </w:rPr>
      </w:pPr>
      <w:r w:rsidRPr="00195294">
        <w:rPr>
          <w:rFonts w:ascii="Arial" w:hAnsi="Arial" w:cs="Arial"/>
          <w:sz w:val="20"/>
          <w:szCs w:val="20"/>
          <w:lang w:val="en-GB"/>
        </w:rPr>
        <w:t>MS TASSEN:</w:t>
      </w:r>
      <w:r w:rsidRPr="00195294">
        <w:rPr>
          <w:rFonts w:ascii="Arial" w:hAnsi="Arial" w:cs="Arial"/>
          <w:sz w:val="20"/>
          <w:szCs w:val="20"/>
          <w:lang w:val="en-GB"/>
        </w:rPr>
        <w:tab/>
        <w:t>And her younger cousin, how old are they?</w:t>
      </w:r>
    </w:p>
    <w:p w14:paraId="500333C0" w14:textId="77777777" w:rsidR="009C7A05" w:rsidRPr="00195294" w:rsidRDefault="009C7A05" w:rsidP="002D6711">
      <w:pPr>
        <w:spacing w:line="360" w:lineRule="auto"/>
        <w:ind w:left="2880" w:hanging="2160"/>
        <w:jc w:val="both"/>
        <w:rPr>
          <w:rFonts w:ascii="Arial" w:hAnsi="Arial" w:cs="Arial"/>
          <w:sz w:val="20"/>
          <w:szCs w:val="20"/>
          <w:lang w:val="en-GB"/>
        </w:rPr>
      </w:pPr>
      <w:r w:rsidRPr="00195294">
        <w:rPr>
          <w:rFonts w:ascii="Arial" w:hAnsi="Arial" w:cs="Arial"/>
          <w:sz w:val="20"/>
          <w:szCs w:val="20"/>
          <w:lang w:val="en-GB"/>
        </w:rPr>
        <w:t>MS M:</w:t>
      </w:r>
      <w:r w:rsidRPr="00195294">
        <w:rPr>
          <w:rFonts w:ascii="Arial" w:hAnsi="Arial" w:cs="Arial"/>
          <w:sz w:val="20"/>
          <w:szCs w:val="20"/>
          <w:lang w:val="en-GB"/>
        </w:rPr>
        <w:tab/>
        <w:t>11 years of age.</w:t>
      </w:r>
    </w:p>
    <w:p w14:paraId="25E53ABF" w14:textId="77777777" w:rsidR="009C7A05" w:rsidRPr="00195294" w:rsidRDefault="009C7A05" w:rsidP="002D6711">
      <w:pPr>
        <w:spacing w:line="360" w:lineRule="auto"/>
        <w:ind w:left="2880" w:hanging="2160"/>
        <w:jc w:val="both"/>
        <w:rPr>
          <w:rFonts w:ascii="Arial" w:hAnsi="Arial" w:cs="Arial"/>
          <w:sz w:val="20"/>
          <w:szCs w:val="20"/>
          <w:lang w:val="en-GB"/>
        </w:rPr>
      </w:pPr>
      <w:r w:rsidRPr="00195294">
        <w:rPr>
          <w:rFonts w:ascii="Arial" w:hAnsi="Arial" w:cs="Arial"/>
          <w:sz w:val="20"/>
          <w:szCs w:val="20"/>
          <w:lang w:val="en-GB"/>
        </w:rPr>
        <w:t>MS TASSEN:</w:t>
      </w:r>
      <w:r w:rsidRPr="00195294">
        <w:rPr>
          <w:rFonts w:ascii="Arial" w:hAnsi="Arial" w:cs="Arial"/>
          <w:sz w:val="20"/>
          <w:szCs w:val="20"/>
          <w:lang w:val="en-GB"/>
        </w:rPr>
        <w:tab/>
        <w:t>And are they male or female?</w:t>
      </w:r>
    </w:p>
    <w:p w14:paraId="660B7DBD" w14:textId="77777777" w:rsidR="009C7A05" w:rsidRPr="00195294" w:rsidRDefault="009C7A05" w:rsidP="002D6711">
      <w:pPr>
        <w:spacing w:line="360" w:lineRule="auto"/>
        <w:ind w:left="2880" w:hanging="2160"/>
        <w:jc w:val="both"/>
        <w:rPr>
          <w:rFonts w:ascii="Arial" w:hAnsi="Arial" w:cs="Arial"/>
          <w:sz w:val="20"/>
          <w:szCs w:val="20"/>
          <w:lang w:val="en-GB"/>
        </w:rPr>
      </w:pPr>
      <w:r w:rsidRPr="00195294">
        <w:rPr>
          <w:rFonts w:ascii="Arial" w:hAnsi="Arial" w:cs="Arial"/>
          <w:sz w:val="20"/>
          <w:szCs w:val="20"/>
          <w:lang w:val="en-GB"/>
        </w:rPr>
        <w:t>MS M:</w:t>
      </w:r>
      <w:r w:rsidRPr="00195294">
        <w:rPr>
          <w:rFonts w:ascii="Arial" w:hAnsi="Arial" w:cs="Arial"/>
          <w:sz w:val="20"/>
          <w:szCs w:val="20"/>
          <w:lang w:val="en-GB"/>
        </w:rPr>
        <w:tab/>
        <w:t>A boy.</w:t>
      </w:r>
    </w:p>
    <w:p w14:paraId="61E39905" w14:textId="77777777" w:rsidR="009C7A05" w:rsidRPr="00195294" w:rsidRDefault="00195294" w:rsidP="002D6711">
      <w:pPr>
        <w:spacing w:line="360" w:lineRule="auto"/>
        <w:ind w:left="2880" w:hanging="2160"/>
        <w:jc w:val="both"/>
        <w:rPr>
          <w:rFonts w:ascii="Arial" w:hAnsi="Arial" w:cs="Arial"/>
          <w:sz w:val="20"/>
          <w:szCs w:val="20"/>
          <w:lang w:val="en-GB"/>
        </w:rPr>
      </w:pPr>
      <w:r w:rsidRPr="00195294">
        <w:rPr>
          <w:rFonts w:ascii="Arial" w:hAnsi="Arial" w:cs="Arial"/>
          <w:sz w:val="20"/>
          <w:szCs w:val="20"/>
          <w:lang w:val="en-GB"/>
        </w:rPr>
        <w:t>MS TASSEN:</w:t>
      </w:r>
      <w:r w:rsidRPr="00195294">
        <w:rPr>
          <w:rFonts w:ascii="Arial" w:hAnsi="Arial" w:cs="Arial"/>
          <w:sz w:val="20"/>
          <w:szCs w:val="20"/>
          <w:lang w:val="en-GB"/>
        </w:rPr>
        <w:tab/>
        <w:t>Does she play with her cousins?</w:t>
      </w:r>
    </w:p>
    <w:p w14:paraId="73723B17" w14:textId="77777777" w:rsidR="00195294" w:rsidRPr="00195294" w:rsidRDefault="00195294" w:rsidP="002D6711">
      <w:pPr>
        <w:spacing w:line="360" w:lineRule="auto"/>
        <w:ind w:left="2880" w:hanging="2160"/>
        <w:jc w:val="both"/>
        <w:rPr>
          <w:rFonts w:ascii="Arial" w:hAnsi="Arial" w:cs="Arial"/>
          <w:sz w:val="20"/>
          <w:szCs w:val="20"/>
          <w:lang w:val="en-GB"/>
        </w:rPr>
      </w:pPr>
      <w:r w:rsidRPr="00195294">
        <w:rPr>
          <w:rFonts w:ascii="Arial" w:hAnsi="Arial" w:cs="Arial"/>
          <w:sz w:val="20"/>
          <w:szCs w:val="20"/>
          <w:lang w:val="en-GB"/>
        </w:rPr>
        <w:t>MS M:</w:t>
      </w:r>
      <w:r w:rsidRPr="00195294">
        <w:rPr>
          <w:rFonts w:ascii="Arial" w:hAnsi="Arial" w:cs="Arial"/>
          <w:sz w:val="20"/>
          <w:szCs w:val="20"/>
          <w:lang w:val="en-GB"/>
        </w:rPr>
        <w:tab/>
        <w:t>Yes.</w:t>
      </w:r>
    </w:p>
    <w:p w14:paraId="0051DF3D" w14:textId="77777777" w:rsidR="00195294" w:rsidRPr="00195294" w:rsidRDefault="00195294" w:rsidP="002D6711">
      <w:pPr>
        <w:spacing w:line="360" w:lineRule="auto"/>
        <w:ind w:left="2880" w:hanging="2160"/>
        <w:jc w:val="both"/>
        <w:rPr>
          <w:rFonts w:ascii="Arial" w:hAnsi="Arial" w:cs="Arial"/>
          <w:sz w:val="20"/>
          <w:szCs w:val="20"/>
          <w:lang w:val="en-GB"/>
        </w:rPr>
      </w:pPr>
      <w:r w:rsidRPr="00195294">
        <w:rPr>
          <w:rFonts w:ascii="Arial" w:hAnsi="Arial" w:cs="Arial"/>
          <w:sz w:val="20"/>
          <w:szCs w:val="20"/>
          <w:lang w:val="en-GB"/>
        </w:rPr>
        <w:t>MS TASSEN:</w:t>
      </w:r>
      <w:r w:rsidRPr="00195294">
        <w:rPr>
          <w:rFonts w:ascii="Arial" w:hAnsi="Arial" w:cs="Arial"/>
          <w:sz w:val="20"/>
          <w:szCs w:val="20"/>
          <w:lang w:val="en-GB"/>
        </w:rPr>
        <w:tab/>
        <w:t>What games do they like to play?</w:t>
      </w:r>
    </w:p>
    <w:p w14:paraId="5FEDE0A1" w14:textId="77777777" w:rsidR="00195294" w:rsidRPr="00195294" w:rsidRDefault="00195294" w:rsidP="002D6711">
      <w:pPr>
        <w:spacing w:line="360" w:lineRule="auto"/>
        <w:ind w:left="2880" w:hanging="2160"/>
        <w:jc w:val="both"/>
        <w:rPr>
          <w:rFonts w:ascii="Arial" w:hAnsi="Arial" w:cs="Arial"/>
          <w:sz w:val="20"/>
          <w:szCs w:val="20"/>
          <w:lang w:val="en-GB"/>
        </w:rPr>
      </w:pPr>
      <w:r w:rsidRPr="00195294">
        <w:rPr>
          <w:rFonts w:ascii="Arial" w:hAnsi="Arial" w:cs="Arial"/>
          <w:sz w:val="20"/>
          <w:szCs w:val="20"/>
          <w:lang w:val="en-GB"/>
        </w:rPr>
        <w:lastRenderedPageBreak/>
        <w:t>MS M:</w:t>
      </w:r>
      <w:r w:rsidRPr="00195294">
        <w:rPr>
          <w:rFonts w:ascii="Arial" w:hAnsi="Arial" w:cs="Arial"/>
          <w:sz w:val="20"/>
          <w:szCs w:val="20"/>
          <w:lang w:val="en-GB"/>
        </w:rPr>
        <w:tab/>
        <w:t>Whatever we want to play.’</w:t>
      </w:r>
    </w:p>
    <w:p w14:paraId="43CF668B" w14:textId="77777777" w:rsidR="009C7A05" w:rsidRDefault="009C7A05" w:rsidP="000F7AEF">
      <w:pPr>
        <w:spacing w:line="360" w:lineRule="auto"/>
        <w:rPr>
          <w:rFonts w:ascii="Arial" w:hAnsi="Arial" w:cs="Arial"/>
          <w:sz w:val="24"/>
          <w:szCs w:val="24"/>
          <w:lang w:val="en-GB"/>
        </w:rPr>
      </w:pPr>
    </w:p>
    <w:p w14:paraId="069DB37F" w14:textId="01ACB270" w:rsidR="00151624" w:rsidRPr="002D6711" w:rsidRDefault="001B3447" w:rsidP="001B3447">
      <w:pPr>
        <w:pStyle w:val="ListParagraph"/>
        <w:spacing w:line="360" w:lineRule="auto"/>
        <w:ind w:left="0"/>
        <w:jc w:val="both"/>
        <w:rPr>
          <w:rFonts w:ascii="Arial" w:hAnsi="Arial" w:cs="Arial"/>
          <w:sz w:val="24"/>
          <w:szCs w:val="24"/>
          <w:lang w:val="en-GB"/>
        </w:rPr>
      </w:pPr>
      <w:r>
        <w:rPr>
          <w:rFonts w:ascii="Arial" w:hAnsi="Arial" w:cs="Arial"/>
          <w:sz w:val="24"/>
          <w:szCs w:val="24"/>
          <w:lang w:val="en-GB"/>
        </w:rPr>
        <w:t>[39]</w:t>
      </w:r>
      <w:r>
        <w:rPr>
          <w:rFonts w:ascii="Arial" w:hAnsi="Arial" w:cs="Arial"/>
          <w:sz w:val="24"/>
          <w:szCs w:val="24"/>
          <w:lang w:val="en-GB"/>
        </w:rPr>
        <w:tab/>
      </w:r>
      <w:r w:rsidR="00A62184" w:rsidRPr="002D6711">
        <w:rPr>
          <w:rFonts w:ascii="Arial" w:hAnsi="Arial" w:cs="Arial"/>
          <w:sz w:val="24"/>
          <w:szCs w:val="24"/>
          <w:lang w:val="en-GB"/>
        </w:rPr>
        <w:t xml:space="preserve">It cannot be said, in any way, that a proper determination was made as to whether the complainant understood what it meant to speak the truth. </w:t>
      </w:r>
      <w:r w:rsidR="00747BF0" w:rsidRPr="002D6711">
        <w:rPr>
          <w:rFonts w:ascii="Arial" w:hAnsi="Arial" w:cs="Arial"/>
          <w:sz w:val="24"/>
          <w:szCs w:val="24"/>
          <w:lang w:val="en-GB"/>
        </w:rPr>
        <w:t>The</w:t>
      </w:r>
      <w:r w:rsidR="00A62184" w:rsidRPr="002D6711">
        <w:rPr>
          <w:rFonts w:ascii="Arial" w:hAnsi="Arial" w:cs="Arial"/>
          <w:sz w:val="24"/>
          <w:szCs w:val="24"/>
          <w:lang w:val="en-GB"/>
        </w:rPr>
        <w:t xml:space="preserve"> </w:t>
      </w:r>
      <w:r w:rsidR="00066D10" w:rsidRPr="002D6711">
        <w:rPr>
          <w:rFonts w:ascii="Arial" w:hAnsi="Arial" w:cs="Arial"/>
          <w:sz w:val="24"/>
          <w:szCs w:val="24"/>
          <w:lang w:val="en-GB"/>
        </w:rPr>
        <w:t>presiding officer</w:t>
      </w:r>
      <w:r w:rsidR="00A62184" w:rsidRPr="002D6711">
        <w:rPr>
          <w:rFonts w:ascii="Arial" w:hAnsi="Arial" w:cs="Arial"/>
          <w:sz w:val="24"/>
          <w:szCs w:val="24"/>
          <w:lang w:val="en-GB"/>
        </w:rPr>
        <w:t xml:space="preserve"> concluded as follows:</w:t>
      </w:r>
    </w:p>
    <w:p w14:paraId="3C65BF3C" w14:textId="77777777" w:rsidR="000B21F3" w:rsidRDefault="000B21F3" w:rsidP="002D6711">
      <w:pPr>
        <w:spacing w:line="360" w:lineRule="auto"/>
        <w:ind w:left="2880" w:hanging="2160"/>
        <w:jc w:val="both"/>
        <w:rPr>
          <w:rFonts w:ascii="Arial" w:hAnsi="Arial" w:cs="Arial"/>
          <w:sz w:val="20"/>
          <w:szCs w:val="20"/>
          <w:lang w:val="en-GB"/>
        </w:rPr>
      </w:pPr>
    </w:p>
    <w:p w14:paraId="6AFBD02C" w14:textId="15B0D846" w:rsidR="00A62184" w:rsidRDefault="00747BF0" w:rsidP="002D6711">
      <w:pPr>
        <w:spacing w:line="360" w:lineRule="auto"/>
        <w:ind w:left="2880" w:hanging="2160"/>
        <w:jc w:val="both"/>
        <w:rPr>
          <w:rFonts w:ascii="Arial" w:hAnsi="Arial" w:cs="Arial"/>
          <w:sz w:val="20"/>
          <w:szCs w:val="20"/>
          <w:lang w:val="en-GB"/>
        </w:rPr>
      </w:pPr>
      <w:r w:rsidRPr="00EE071B">
        <w:rPr>
          <w:rFonts w:ascii="Arial" w:hAnsi="Arial" w:cs="Arial"/>
          <w:sz w:val="20"/>
          <w:szCs w:val="20"/>
          <w:lang w:val="en-GB"/>
        </w:rPr>
        <w:t>‘COURT:</w:t>
      </w:r>
      <w:r w:rsidRPr="00EE071B">
        <w:rPr>
          <w:rFonts w:ascii="Arial" w:hAnsi="Arial" w:cs="Arial"/>
          <w:sz w:val="20"/>
          <w:szCs w:val="20"/>
          <w:lang w:val="en-GB"/>
        </w:rPr>
        <w:tab/>
        <w:t xml:space="preserve">Thank you. The court </w:t>
      </w:r>
      <w:r w:rsidR="00EE071B" w:rsidRPr="00EE071B">
        <w:rPr>
          <w:rFonts w:ascii="Arial" w:hAnsi="Arial" w:cs="Arial"/>
          <w:sz w:val="20"/>
          <w:szCs w:val="20"/>
          <w:lang w:val="en-GB"/>
        </w:rPr>
        <w:t>finds that the witness has the ability to observe events, to recollect and communicate them, to understand the questions, and to formulate intelligent answers</w:t>
      </w:r>
      <w:r w:rsidR="00A62184">
        <w:rPr>
          <w:rFonts w:ascii="Arial" w:hAnsi="Arial" w:cs="Arial"/>
          <w:sz w:val="20"/>
          <w:szCs w:val="20"/>
          <w:lang w:val="en-GB"/>
        </w:rPr>
        <w:t>…’</w:t>
      </w:r>
    </w:p>
    <w:p w14:paraId="596E1B4C" w14:textId="77777777" w:rsidR="00A62184" w:rsidRDefault="00A62184" w:rsidP="00A62184">
      <w:pPr>
        <w:spacing w:line="360" w:lineRule="auto"/>
        <w:rPr>
          <w:rFonts w:ascii="Arial" w:hAnsi="Arial" w:cs="Arial"/>
          <w:sz w:val="20"/>
          <w:szCs w:val="20"/>
          <w:lang w:val="en-GB"/>
        </w:rPr>
      </w:pPr>
    </w:p>
    <w:p w14:paraId="701A216D" w14:textId="6C3D95E7" w:rsidR="002D6711" w:rsidRDefault="000B21F3" w:rsidP="000B21F3">
      <w:pPr>
        <w:pStyle w:val="ListParagraph"/>
        <w:spacing w:line="360" w:lineRule="auto"/>
        <w:ind w:left="0"/>
        <w:jc w:val="both"/>
        <w:rPr>
          <w:rFonts w:ascii="Arial" w:hAnsi="Arial" w:cs="Arial"/>
          <w:sz w:val="24"/>
          <w:szCs w:val="24"/>
          <w:lang w:val="en-GB"/>
        </w:rPr>
      </w:pPr>
      <w:r>
        <w:rPr>
          <w:rFonts w:ascii="Arial" w:hAnsi="Arial" w:cs="Arial"/>
          <w:sz w:val="24"/>
          <w:szCs w:val="24"/>
          <w:lang w:val="en-GB"/>
        </w:rPr>
        <w:t>[40]</w:t>
      </w:r>
      <w:r>
        <w:rPr>
          <w:rFonts w:ascii="Arial" w:hAnsi="Arial" w:cs="Arial"/>
          <w:sz w:val="24"/>
          <w:szCs w:val="24"/>
          <w:lang w:val="en-GB"/>
        </w:rPr>
        <w:tab/>
      </w:r>
      <w:r w:rsidR="00A62184" w:rsidRPr="002D6711">
        <w:rPr>
          <w:rFonts w:ascii="Arial" w:hAnsi="Arial" w:cs="Arial"/>
          <w:sz w:val="24"/>
          <w:szCs w:val="24"/>
          <w:lang w:val="en-GB"/>
        </w:rPr>
        <w:t xml:space="preserve">A finding to the effect that the complainant could observe, recollect, and communicate events does not equate to a determination of whether the complainant understood the difference between </w:t>
      </w:r>
      <w:r w:rsidR="006D6749" w:rsidRPr="002D6711">
        <w:rPr>
          <w:rFonts w:ascii="Arial" w:hAnsi="Arial" w:cs="Arial"/>
          <w:sz w:val="24"/>
          <w:szCs w:val="24"/>
          <w:lang w:val="en-GB"/>
        </w:rPr>
        <w:t>truth and a falsehood. The same can be said in relation to a finding that the complainant could understand questions put to her and formulate intelligent answers. No determination was made regarding whether the complainant understood what it meant to speak the truth.</w:t>
      </w:r>
    </w:p>
    <w:p w14:paraId="3581453D" w14:textId="77777777" w:rsidR="002D6711" w:rsidRDefault="002D6711" w:rsidP="002D6711">
      <w:pPr>
        <w:pStyle w:val="ListParagraph"/>
        <w:spacing w:line="360" w:lineRule="auto"/>
        <w:ind w:left="0"/>
        <w:jc w:val="both"/>
        <w:rPr>
          <w:rFonts w:ascii="Arial" w:hAnsi="Arial" w:cs="Arial"/>
          <w:sz w:val="24"/>
          <w:szCs w:val="24"/>
          <w:lang w:val="en-GB"/>
        </w:rPr>
      </w:pPr>
    </w:p>
    <w:p w14:paraId="3B4A0BB4" w14:textId="687BB606" w:rsidR="006D6749" w:rsidRPr="002D6711" w:rsidRDefault="000B21F3" w:rsidP="000B21F3">
      <w:pPr>
        <w:pStyle w:val="ListParagraph"/>
        <w:spacing w:line="360" w:lineRule="auto"/>
        <w:ind w:left="0"/>
        <w:jc w:val="both"/>
        <w:rPr>
          <w:rFonts w:ascii="Arial" w:hAnsi="Arial" w:cs="Arial"/>
          <w:sz w:val="24"/>
          <w:szCs w:val="24"/>
          <w:lang w:val="en-GB"/>
        </w:rPr>
      </w:pPr>
      <w:r>
        <w:rPr>
          <w:rFonts w:ascii="Arial" w:hAnsi="Arial" w:cs="Arial"/>
          <w:sz w:val="24"/>
          <w:szCs w:val="24"/>
          <w:lang w:val="en-GB"/>
        </w:rPr>
        <w:t>[41]</w:t>
      </w:r>
      <w:r>
        <w:rPr>
          <w:rFonts w:ascii="Arial" w:hAnsi="Arial" w:cs="Arial"/>
          <w:sz w:val="24"/>
          <w:szCs w:val="24"/>
          <w:lang w:val="en-GB"/>
        </w:rPr>
        <w:tab/>
      </w:r>
      <w:r w:rsidR="006D6749" w:rsidRPr="002D6711">
        <w:rPr>
          <w:rFonts w:ascii="Arial" w:hAnsi="Arial" w:cs="Arial"/>
          <w:sz w:val="24"/>
          <w:szCs w:val="24"/>
          <w:lang w:val="en-GB"/>
        </w:rPr>
        <w:t xml:space="preserve">The </w:t>
      </w:r>
      <w:r w:rsidR="009C4B5C" w:rsidRPr="002D6711">
        <w:rPr>
          <w:rFonts w:ascii="Arial" w:hAnsi="Arial" w:cs="Arial"/>
          <w:sz w:val="24"/>
          <w:szCs w:val="24"/>
          <w:lang w:val="en-GB"/>
        </w:rPr>
        <w:t>presiding officer</w:t>
      </w:r>
      <w:r w:rsidR="006D6749" w:rsidRPr="002D6711">
        <w:rPr>
          <w:rFonts w:ascii="Arial" w:hAnsi="Arial" w:cs="Arial"/>
          <w:sz w:val="24"/>
          <w:szCs w:val="24"/>
          <w:lang w:val="en-GB"/>
        </w:rPr>
        <w:t xml:space="preserve"> then proceeded to explore the complainant’s understanding of the oath. The following exchange is of importance:</w:t>
      </w:r>
    </w:p>
    <w:p w14:paraId="22AFCA5D" w14:textId="77777777" w:rsidR="006D6749" w:rsidRDefault="006D6749" w:rsidP="00A62184">
      <w:pPr>
        <w:spacing w:line="360" w:lineRule="auto"/>
        <w:rPr>
          <w:rFonts w:ascii="Arial" w:hAnsi="Arial" w:cs="Arial"/>
          <w:sz w:val="20"/>
          <w:szCs w:val="20"/>
          <w:lang w:val="en-GB"/>
        </w:rPr>
      </w:pPr>
    </w:p>
    <w:p w14:paraId="4CF320AF" w14:textId="77777777" w:rsidR="00747BF0" w:rsidRPr="00EE071B" w:rsidRDefault="00A62184" w:rsidP="002D6711">
      <w:pPr>
        <w:spacing w:line="360" w:lineRule="auto"/>
        <w:ind w:left="2880" w:hanging="2160"/>
        <w:jc w:val="both"/>
        <w:rPr>
          <w:rFonts w:ascii="Arial" w:hAnsi="Arial" w:cs="Arial"/>
          <w:sz w:val="20"/>
          <w:szCs w:val="20"/>
          <w:lang w:val="en-GB"/>
        </w:rPr>
      </w:pPr>
      <w:r>
        <w:rPr>
          <w:rFonts w:ascii="Arial" w:hAnsi="Arial" w:cs="Arial"/>
          <w:sz w:val="20"/>
          <w:szCs w:val="20"/>
          <w:lang w:val="en-GB"/>
        </w:rPr>
        <w:t>COURT:</w:t>
      </w:r>
      <w:r>
        <w:rPr>
          <w:rFonts w:ascii="Arial" w:hAnsi="Arial" w:cs="Arial"/>
          <w:sz w:val="20"/>
          <w:szCs w:val="20"/>
          <w:lang w:val="en-GB"/>
        </w:rPr>
        <w:tab/>
      </w:r>
      <w:r w:rsidR="00EE071B" w:rsidRPr="00EE071B">
        <w:rPr>
          <w:rFonts w:ascii="Arial" w:hAnsi="Arial" w:cs="Arial"/>
          <w:sz w:val="20"/>
          <w:szCs w:val="20"/>
          <w:lang w:val="en-GB"/>
        </w:rPr>
        <w:t>[Ms M], do you know what it means to take an oath?</w:t>
      </w:r>
    </w:p>
    <w:p w14:paraId="2639BDAE"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MS M:</w:t>
      </w:r>
      <w:r w:rsidRPr="00EE071B">
        <w:rPr>
          <w:rFonts w:ascii="Arial" w:hAnsi="Arial" w:cs="Arial"/>
          <w:sz w:val="20"/>
          <w:szCs w:val="20"/>
          <w:lang w:val="en-GB"/>
        </w:rPr>
        <w:tab/>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Yes.</w:t>
      </w:r>
    </w:p>
    <w:p w14:paraId="102E8977"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COURT:</w:t>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Please tell me?</w:t>
      </w:r>
    </w:p>
    <w:p w14:paraId="645C581F"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MS M:</w:t>
      </w:r>
      <w:r w:rsidRPr="00EE071B">
        <w:rPr>
          <w:rFonts w:ascii="Arial" w:hAnsi="Arial" w:cs="Arial"/>
          <w:sz w:val="20"/>
          <w:szCs w:val="20"/>
          <w:lang w:val="en-GB"/>
        </w:rPr>
        <w:tab/>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It is talking the truth in front of God.</w:t>
      </w:r>
    </w:p>
    <w:p w14:paraId="45AD7873"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COURT:</w:t>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Do you [go] to church?</w:t>
      </w:r>
    </w:p>
    <w:p w14:paraId="2AF2AFCA"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MS M:</w:t>
      </w:r>
      <w:r w:rsidRPr="00EE071B">
        <w:rPr>
          <w:rFonts w:ascii="Arial" w:hAnsi="Arial" w:cs="Arial"/>
          <w:sz w:val="20"/>
          <w:szCs w:val="20"/>
          <w:lang w:val="en-GB"/>
        </w:rPr>
        <w:tab/>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Yes.</w:t>
      </w:r>
    </w:p>
    <w:p w14:paraId="3B4EB452"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COURT:</w:t>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Which church do you go to?</w:t>
      </w:r>
    </w:p>
    <w:p w14:paraId="556882C2"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MS M:</w:t>
      </w:r>
      <w:r w:rsidRPr="00EE071B">
        <w:rPr>
          <w:rFonts w:ascii="Arial" w:hAnsi="Arial" w:cs="Arial"/>
          <w:sz w:val="20"/>
          <w:szCs w:val="20"/>
          <w:lang w:val="en-GB"/>
        </w:rPr>
        <w:tab/>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Apostolic Church.</w:t>
      </w:r>
    </w:p>
    <w:p w14:paraId="256D2591"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lastRenderedPageBreak/>
        <w:tab/>
        <w:t>COURT:</w:t>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Do you believe in God?</w:t>
      </w:r>
    </w:p>
    <w:p w14:paraId="67470464"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MS M:</w:t>
      </w:r>
      <w:r w:rsidRPr="00EE071B">
        <w:rPr>
          <w:rFonts w:ascii="Arial" w:hAnsi="Arial" w:cs="Arial"/>
          <w:sz w:val="20"/>
          <w:szCs w:val="20"/>
          <w:lang w:val="en-GB"/>
        </w:rPr>
        <w:tab/>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A lot.</w:t>
      </w:r>
    </w:p>
    <w:p w14:paraId="2A804C91" w14:textId="77777777" w:rsidR="00EE071B" w:rsidRPr="00EE071B" w:rsidRDefault="00EE071B" w:rsidP="002D6711">
      <w:pPr>
        <w:spacing w:line="360" w:lineRule="auto"/>
        <w:ind w:left="2880" w:hanging="2160"/>
        <w:jc w:val="both"/>
        <w:rPr>
          <w:rFonts w:ascii="Arial" w:hAnsi="Arial" w:cs="Arial"/>
          <w:sz w:val="20"/>
          <w:szCs w:val="20"/>
          <w:lang w:val="en-GB"/>
        </w:rPr>
      </w:pPr>
      <w:r w:rsidRPr="00EE071B">
        <w:rPr>
          <w:rFonts w:ascii="Arial" w:hAnsi="Arial" w:cs="Arial"/>
          <w:sz w:val="20"/>
          <w:szCs w:val="20"/>
          <w:lang w:val="en-GB"/>
        </w:rPr>
        <w:t>COURT:</w:t>
      </w:r>
      <w:r w:rsidRPr="00EE071B">
        <w:rPr>
          <w:rFonts w:ascii="Arial" w:hAnsi="Arial" w:cs="Arial"/>
          <w:sz w:val="20"/>
          <w:szCs w:val="20"/>
          <w:lang w:val="en-GB"/>
        </w:rPr>
        <w:tab/>
        <w:t>If somebody promises to tell the truth before God and that person does not keep that promise, do you know what happens to the person?</w:t>
      </w:r>
    </w:p>
    <w:p w14:paraId="17062128"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MS M:</w:t>
      </w:r>
      <w:r w:rsidRPr="00EE071B">
        <w:rPr>
          <w:rFonts w:ascii="Arial" w:hAnsi="Arial" w:cs="Arial"/>
          <w:sz w:val="20"/>
          <w:szCs w:val="20"/>
          <w:lang w:val="en-GB"/>
        </w:rPr>
        <w:tab/>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Yes.</w:t>
      </w:r>
    </w:p>
    <w:p w14:paraId="6132C423"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COURT:</w:t>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Please tell me.</w:t>
      </w:r>
    </w:p>
    <w:p w14:paraId="739B4CED"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MS M:</w:t>
      </w:r>
      <w:r w:rsidRPr="00EE071B">
        <w:rPr>
          <w:rFonts w:ascii="Arial" w:hAnsi="Arial" w:cs="Arial"/>
          <w:sz w:val="20"/>
          <w:szCs w:val="20"/>
          <w:lang w:val="en-GB"/>
        </w:rPr>
        <w:tab/>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Being punished.</w:t>
      </w:r>
    </w:p>
    <w:p w14:paraId="27E3149D"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COURT:</w:t>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Who punishes the person?</w:t>
      </w:r>
    </w:p>
    <w:p w14:paraId="4D9A8FE5"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MS M:</w:t>
      </w:r>
      <w:r w:rsidRPr="00EE071B">
        <w:rPr>
          <w:rFonts w:ascii="Arial" w:hAnsi="Arial" w:cs="Arial"/>
          <w:sz w:val="20"/>
          <w:szCs w:val="20"/>
          <w:lang w:val="en-GB"/>
        </w:rPr>
        <w:tab/>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God.</w:t>
      </w:r>
    </w:p>
    <w:p w14:paraId="3D8F1B42" w14:textId="77777777" w:rsidR="00EE071B" w:rsidRPr="00EE071B" w:rsidRDefault="00EE071B" w:rsidP="002D6711">
      <w:pPr>
        <w:spacing w:line="360" w:lineRule="auto"/>
        <w:ind w:left="2880" w:hanging="2160"/>
        <w:jc w:val="both"/>
        <w:rPr>
          <w:rFonts w:ascii="Arial" w:hAnsi="Arial" w:cs="Arial"/>
          <w:sz w:val="20"/>
          <w:szCs w:val="20"/>
          <w:lang w:val="en-GB"/>
        </w:rPr>
      </w:pPr>
      <w:r w:rsidRPr="00EE071B">
        <w:rPr>
          <w:rFonts w:ascii="Arial" w:hAnsi="Arial" w:cs="Arial"/>
          <w:sz w:val="20"/>
          <w:szCs w:val="20"/>
          <w:lang w:val="en-GB"/>
        </w:rPr>
        <w:t>COURT:</w:t>
      </w:r>
      <w:r w:rsidRPr="00EE071B">
        <w:rPr>
          <w:rFonts w:ascii="Arial" w:hAnsi="Arial" w:cs="Arial"/>
          <w:sz w:val="20"/>
          <w:szCs w:val="20"/>
          <w:lang w:val="en-GB"/>
        </w:rPr>
        <w:tab/>
        <w:t>You, yourself, have you ever made a promise before God and did not keep that promise?</w:t>
      </w:r>
    </w:p>
    <w:p w14:paraId="36158F5D" w14:textId="77777777" w:rsidR="00EE071B" w:rsidRPr="00EE071B" w:rsidRDefault="00EE071B" w:rsidP="002D6711">
      <w:pPr>
        <w:spacing w:line="360" w:lineRule="auto"/>
        <w:jc w:val="both"/>
        <w:rPr>
          <w:rFonts w:ascii="Arial" w:hAnsi="Arial" w:cs="Arial"/>
          <w:sz w:val="20"/>
          <w:szCs w:val="20"/>
          <w:lang w:val="en-GB"/>
        </w:rPr>
      </w:pPr>
      <w:r w:rsidRPr="00EE071B">
        <w:rPr>
          <w:rFonts w:ascii="Arial" w:hAnsi="Arial" w:cs="Arial"/>
          <w:sz w:val="20"/>
          <w:szCs w:val="20"/>
          <w:lang w:val="en-GB"/>
        </w:rPr>
        <w:tab/>
        <w:t>MS M:</w:t>
      </w:r>
      <w:r w:rsidRPr="00EE071B">
        <w:rPr>
          <w:rFonts w:ascii="Arial" w:hAnsi="Arial" w:cs="Arial"/>
          <w:sz w:val="20"/>
          <w:szCs w:val="20"/>
          <w:lang w:val="en-GB"/>
        </w:rPr>
        <w:tab/>
      </w:r>
      <w:r w:rsidRPr="00EE071B">
        <w:rPr>
          <w:rFonts w:ascii="Arial" w:hAnsi="Arial" w:cs="Arial"/>
          <w:sz w:val="20"/>
          <w:szCs w:val="20"/>
          <w:lang w:val="en-GB"/>
        </w:rPr>
        <w:tab/>
      </w:r>
      <w:r w:rsidR="00104659">
        <w:rPr>
          <w:rFonts w:ascii="Arial" w:hAnsi="Arial" w:cs="Arial"/>
          <w:sz w:val="20"/>
          <w:szCs w:val="20"/>
          <w:lang w:val="en-GB"/>
        </w:rPr>
        <w:tab/>
      </w:r>
      <w:r w:rsidRPr="00EE071B">
        <w:rPr>
          <w:rFonts w:ascii="Arial" w:hAnsi="Arial" w:cs="Arial"/>
          <w:sz w:val="20"/>
          <w:szCs w:val="20"/>
          <w:lang w:val="en-GB"/>
        </w:rPr>
        <w:t>No, never.’</w:t>
      </w:r>
    </w:p>
    <w:p w14:paraId="7429BB33" w14:textId="77777777" w:rsidR="00DB7377" w:rsidRDefault="00DB7377" w:rsidP="00537AB8">
      <w:pPr>
        <w:spacing w:line="360" w:lineRule="auto"/>
        <w:rPr>
          <w:rFonts w:ascii="Arial" w:hAnsi="Arial" w:cs="Arial"/>
          <w:sz w:val="24"/>
          <w:szCs w:val="24"/>
          <w:lang w:val="en-GB"/>
        </w:rPr>
      </w:pPr>
    </w:p>
    <w:p w14:paraId="7FFF7A40" w14:textId="3DAC27BC" w:rsidR="002D6711" w:rsidRDefault="000B21F3" w:rsidP="000B21F3">
      <w:pPr>
        <w:pStyle w:val="ListParagraph"/>
        <w:spacing w:line="360" w:lineRule="auto"/>
        <w:ind w:left="0"/>
        <w:jc w:val="both"/>
        <w:rPr>
          <w:rFonts w:ascii="Arial" w:hAnsi="Arial" w:cs="Arial"/>
          <w:sz w:val="24"/>
          <w:szCs w:val="24"/>
          <w:lang w:val="en-GB"/>
        </w:rPr>
      </w:pPr>
      <w:r>
        <w:rPr>
          <w:rFonts w:ascii="Arial" w:hAnsi="Arial" w:cs="Arial"/>
          <w:sz w:val="24"/>
          <w:szCs w:val="24"/>
          <w:lang w:val="en-GB"/>
        </w:rPr>
        <w:t>[42]</w:t>
      </w:r>
      <w:r>
        <w:rPr>
          <w:rFonts w:ascii="Arial" w:hAnsi="Arial" w:cs="Arial"/>
          <w:sz w:val="24"/>
          <w:szCs w:val="24"/>
          <w:lang w:val="en-GB"/>
        </w:rPr>
        <w:tab/>
      </w:r>
      <w:r w:rsidR="00104659" w:rsidRPr="002D6711">
        <w:rPr>
          <w:rFonts w:ascii="Arial" w:hAnsi="Arial" w:cs="Arial"/>
          <w:sz w:val="24"/>
          <w:szCs w:val="24"/>
          <w:lang w:val="en-GB"/>
        </w:rPr>
        <w:t>I</w:t>
      </w:r>
      <w:r w:rsidR="00EE071B" w:rsidRPr="002D6711">
        <w:rPr>
          <w:rFonts w:ascii="Arial" w:hAnsi="Arial" w:cs="Arial"/>
          <w:sz w:val="24"/>
          <w:szCs w:val="24"/>
          <w:lang w:val="en-GB"/>
        </w:rPr>
        <w:t xml:space="preserve">t is </w:t>
      </w:r>
      <w:r w:rsidR="00104659" w:rsidRPr="002D6711">
        <w:rPr>
          <w:rFonts w:ascii="Arial" w:hAnsi="Arial" w:cs="Arial"/>
          <w:sz w:val="24"/>
          <w:szCs w:val="24"/>
          <w:lang w:val="en-GB"/>
        </w:rPr>
        <w:t xml:space="preserve">apparent that the complainant knew, in broad terms, what it meant to take an oath. She also knew the consequences of breaking an oath. But such knowledge was demonstrated only within the context of </w:t>
      </w:r>
      <w:r w:rsidR="006D6749" w:rsidRPr="002D6711">
        <w:rPr>
          <w:rFonts w:ascii="Arial" w:hAnsi="Arial" w:cs="Arial"/>
          <w:sz w:val="24"/>
          <w:szCs w:val="24"/>
          <w:lang w:val="en-GB"/>
        </w:rPr>
        <w:t>her</w:t>
      </w:r>
      <w:r w:rsidR="00104659" w:rsidRPr="002D6711">
        <w:rPr>
          <w:rFonts w:ascii="Arial" w:hAnsi="Arial" w:cs="Arial"/>
          <w:sz w:val="24"/>
          <w:szCs w:val="24"/>
          <w:lang w:val="en-GB"/>
        </w:rPr>
        <w:t xml:space="preserve"> religious belief</w:t>
      </w:r>
      <w:r w:rsidR="006D6749" w:rsidRPr="002D6711">
        <w:rPr>
          <w:rFonts w:ascii="Arial" w:hAnsi="Arial" w:cs="Arial"/>
          <w:sz w:val="24"/>
          <w:szCs w:val="24"/>
          <w:lang w:val="en-GB"/>
        </w:rPr>
        <w:t>s</w:t>
      </w:r>
      <w:r w:rsidR="00104659" w:rsidRPr="002D6711">
        <w:rPr>
          <w:rFonts w:ascii="Arial" w:hAnsi="Arial" w:cs="Arial"/>
          <w:sz w:val="24"/>
          <w:szCs w:val="24"/>
          <w:lang w:val="en-GB"/>
        </w:rPr>
        <w:t xml:space="preserve">. </w:t>
      </w:r>
    </w:p>
    <w:p w14:paraId="0701EAA8" w14:textId="77777777" w:rsidR="002D6711" w:rsidRDefault="002D6711" w:rsidP="002D6711">
      <w:pPr>
        <w:pStyle w:val="ListParagraph"/>
        <w:spacing w:line="360" w:lineRule="auto"/>
        <w:ind w:left="0"/>
        <w:jc w:val="both"/>
        <w:rPr>
          <w:rFonts w:ascii="Arial" w:hAnsi="Arial" w:cs="Arial"/>
          <w:sz w:val="24"/>
          <w:szCs w:val="24"/>
          <w:lang w:val="en-GB"/>
        </w:rPr>
      </w:pPr>
    </w:p>
    <w:p w14:paraId="6F93D6D1" w14:textId="7270DF7C" w:rsidR="00EE071B" w:rsidRPr="002D6711" w:rsidRDefault="000B21F3" w:rsidP="000B21F3">
      <w:pPr>
        <w:pStyle w:val="ListParagraph"/>
        <w:spacing w:line="360" w:lineRule="auto"/>
        <w:ind w:left="0"/>
        <w:jc w:val="both"/>
        <w:rPr>
          <w:rFonts w:ascii="Arial" w:hAnsi="Arial" w:cs="Arial"/>
          <w:sz w:val="24"/>
          <w:szCs w:val="24"/>
          <w:lang w:val="en-GB"/>
        </w:rPr>
      </w:pPr>
      <w:r>
        <w:rPr>
          <w:rFonts w:ascii="Arial" w:hAnsi="Arial" w:cs="Arial"/>
          <w:sz w:val="24"/>
          <w:szCs w:val="24"/>
          <w:lang w:val="en-GB"/>
        </w:rPr>
        <w:t>[43]</w:t>
      </w:r>
      <w:r>
        <w:rPr>
          <w:rFonts w:ascii="Arial" w:hAnsi="Arial" w:cs="Arial"/>
          <w:sz w:val="24"/>
          <w:szCs w:val="24"/>
          <w:lang w:val="en-GB"/>
        </w:rPr>
        <w:tab/>
      </w:r>
      <w:r w:rsidR="00104659" w:rsidRPr="002D6711">
        <w:rPr>
          <w:rFonts w:ascii="Arial" w:hAnsi="Arial" w:cs="Arial"/>
          <w:sz w:val="24"/>
          <w:szCs w:val="24"/>
          <w:lang w:val="en-GB"/>
        </w:rPr>
        <w:t>The exchange continued as follows:</w:t>
      </w:r>
    </w:p>
    <w:p w14:paraId="15A4FB13" w14:textId="77777777" w:rsidR="00104659" w:rsidRDefault="00104659" w:rsidP="002D6711">
      <w:pPr>
        <w:spacing w:line="360" w:lineRule="auto"/>
        <w:jc w:val="both"/>
        <w:rPr>
          <w:rFonts w:ascii="Arial" w:hAnsi="Arial" w:cs="Arial"/>
          <w:sz w:val="24"/>
          <w:szCs w:val="24"/>
          <w:lang w:val="en-GB"/>
        </w:rPr>
      </w:pPr>
    </w:p>
    <w:p w14:paraId="7540D826" w14:textId="77777777" w:rsidR="00104659" w:rsidRPr="00E9291E" w:rsidRDefault="00104659" w:rsidP="002D6711">
      <w:pPr>
        <w:spacing w:line="360" w:lineRule="auto"/>
        <w:jc w:val="both"/>
        <w:rPr>
          <w:rFonts w:ascii="Arial" w:hAnsi="Arial" w:cs="Arial"/>
          <w:sz w:val="20"/>
          <w:szCs w:val="20"/>
          <w:lang w:val="en-GB"/>
        </w:rPr>
      </w:pPr>
      <w:r w:rsidRPr="00E9291E">
        <w:rPr>
          <w:rFonts w:ascii="Arial" w:hAnsi="Arial" w:cs="Arial"/>
          <w:sz w:val="20"/>
          <w:szCs w:val="20"/>
          <w:lang w:val="en-GB"/>
        </w:rPr>
        <w:tab/>
        <w:t>‘COURT:</w:t>
      </w:r>
      <w:r w:rsidRPr="00E9291E">
        <w:rPr>
          <w:rFonts w:ascii="Arial" w:hAnsi="Arial" w:cs="Arial"/>
          <w:sz w:val="20"/>
          <w:szCs w:val="20"/>
          <w:lang w:val="en-GB"/>
        </w:rPr>
        <w:tab/>
      </w:r>
      <w:r w:rsidRPr="00E9291E">
        <w:rPr>
          <w:rFonts w:ascii="Arial" w:hAnsi="Arial" w:cs="Arial"/>
          <w:sz w:val="20"/>
          <w:szCs w:val="20"/>
          <w:lang w:val="en-GB"/>
        </w:rPr>
        <w:tab/>
        <w:t>So, do you know what it means to take an oath in court?</w:t>
      </w:r>
    </w:p>
    <w:p w14:paraId="53B11840" w14:textId="77777777" w:rsidR="00104659" w:rsidRPr="00E9291E" w:rsidRDefault="00104659" w:rsidP="002D6711">
      <w:pPr>
        <w:spacing w:line="360" w:lineRule="auto"/>
        <w:jc w:val="both"/>
        <w:rPr>
          <w:rFonts w:ascii="Arial" w:hAnsi="Arial" w:cs="Arial"/>
          <w:sz w:val="20"/>
          <w:szCs w:val="20"/>
          <w:lang w:val="en-GB"/>
        </w:rPr>
      </w:pPr>
      <w:r w:rsidRPr="00E9291E">
        <w:rPr>
          <w:rFonts w:ascii="Arial" w:hAnsi="Arial" w:cs="Arial"/>
          <w:sz w:val="20"/>
          <w:szCs w:val="20"/>
          <w:lang w:val="en-GB"/>
        </w:rPr>
        <w:tab/>
        <w:t>MS M:</w:t>
      </w:r>
      <w:r w:rsidRPr="00E9291E">
        <w:rPr>
          <w:rFonts w:ascii="Arial" w:hAnsi="Arial" w:cs="Arial"/>
          <w:sz w:val="20"/>
          <w:szCs w:val="20"/>
          <w:lang w:val="en-GB"/>
        </w:rPr>
        <w:tab/>
      </w:r>
      <w:r w:rsidRPr="00E9291E">
        <w:rPr>
          <w:rFonts w:ascii="Arial" w:hAnsi="Arial" w:cs="Arial"/>
          <w:sz w:val="20"/>
          <w:szCs w:val="20"/>
          <w:lang w:val="en-GB"/>
        </w:rPr>
        <w:tab/>
      </w:r>
      <w:r w:rsidRPr="00E9291E">
        <w:rPr>
          <w:rFonts w:ascii="Arial" w:hAnsi="Arial" w:cs="Arial"/>
          <w:sz w:val="20"/>
          <w:szCs w:val="20"/>
          <w:lang w:val="en-GB"/>
        </w:rPr>
        <w:tab/>
        <w:t>No.</w:t>
      </w:r>
    </w:p>
    <w:p w14:paraId="4BFC1F33" w14:textId="77777777" w:rsidR="00104659" w:rsidRPr="00E9291E" w:rsidRDefault="00104659" w:rsidP="002D6711">
      <w:pPr>
        <w:spacing w:line="360" w:lineRule="auto"/>
        <w:jc w:val="both"/>
        <w:rPr>
          <w:rFonts w:ascii="Arial" w:hAnsi="Arial" w:cs="Arial"/>
          <w:sz w:val="20"/>
          <w:szCs w:val="20"/>
          <w:lang w:val="en-GB"/>
        </w:rPr>
      </w:pPr>
      <w:r w:rsidRPr="00E9291E">
        <w:rPr>
          <w:rFonts w:ascii="Arial" w:hAnsi="Arial" w:cs="Arial"/>
          <w:sz w:val="20"/>
          <w:szCs w:val="20"/>
          <w:lang w:val="en-GB"/>
        </w:rPr>
        <w:tab/>
        <w:t>INTERPRETER:</w:t>
      </w:r>
      <w:r w:rsidRPr="00E9291E">
        <w:rPr>
          <w:rFonts w:ascii="Arial" w:hAnsi="Arial" w:cs="Arial"/>
          <w:sz w:val="20"/>
          <w:szCs w:val="20"/>
          <w:lang w:val="en-GB"/>
        </w:rPr>
        <w:tab/>
        <w:t>She also demonstrates no.</w:t>
      </w:r>
    </w:p>
    <w:p w14:paraId="2245BA1A" w14:textId="77777777" w:rsidR="00104659" w:rsidRPr="00E9291E" w:rsidRDefault="00104659" w:rsidP="002D6711">
      <w:pPr>
        <w:spacing w:line="360" w:lineRule="auto"/>
        <w:jc w:val="both"/>
        <w:rPr>
          <w:rFonts w:ascii="Arial" w:hAnsi="Arial" w:cs="Arial"/>
          <w:sz w:val="20"/>
          <w:szCs w:val="20"/>
          <w:lang w:val="en-GB"/>
        </w:rPr>
      </w:pPr>
      <w:r w:rsidRPr="00E9291E">
        <w:rPr>
          <w:rFonts w:ascii="Arial" w:hAnsi="Arial" w:cs="Arial"/>
          <w:sz w:val="20"/>
          <w:szCs w:val="20"/>
          <w:lang w:val="en-GB"/>
        </w:rPr>
        <w:tab/>
        <w:t>COURT:</w:t>
      </w:r>
      <w:r w:rsidRPr="00E9291E">
        <w:rPr>
          <w:rFonts w:ascii="Arial" w:hAnsi="Arial" w:cs="Arial"/>
          <w:sz w:val="20"/>
          <w:szCs w:val="20"/>
          <w:lang w:val="en-GB"/>
        </w:rPr>
        <w:tab/>
      </w:r>
      <w:r w:rsidRPr="00E9291E">
        <w:rPr>
          <w:rFonts w:ascii="Arial" w:hAnsi="Arial" w:cs="Arial"/>
          <w:sz w:val="20"/>
          <w:szCs w:val="20"/>
          <w:lang w:val="en-GB"/>
        </w:rPr>
        <w:tab/>
        <w:t>Do you watch TV?</w:t>
      </w:r>
    </w:p>
    <w:p w14:paraId="6801315D" w14:textId="77777777" w:rsidR="00104659" w:rsidRPr="00E9291E" w:rsidRDefault="00104659" w:rsidP="002D6711">
      <w:pPr>
        <w:spacing w:line="360" w:lineRule="auto"/>
        <w:jc w:val="both"/>
        <w:rPr>
          <w:rFonts w:ascii="Arial" w:hAnsi="Arial" w:cs="Arial"/>
          <w:sz w:val="20"/>
          <w:szCs w:val="20"/>
          <w:lang w:val="en-GB"/>
        </w:rPr>
      </w:pPr>
      <w:r w:rsidRPr="00E9291E">
        <w:rPr>
          <w:rFonts w:ascii="Arial" w:hAnsi="Arial" w:cs="Arial"/>
          <w:sz w:val="20"/>
          <w:szCs w:val="20"/>
          <w:lang w:val="en-GB"/>
        </w:rPr>
        <w:tab/>
        <w:t>MS M:</w:t>
      </w:r>
      <w:r w:rsidRPr="00E9291E">
        <w:rPr>
          <w:rFonts w:ascii="Arial" w:hAnsi="Arial" w:cs="Arial"/>
          <w:sz w:val="20"/>
          <w:szCs w:val="20"/>
          <w:lang w:val="en-GB"/>
        </w:rPr>
        <w:tab/>
      </w:r>
      <w:r w:rsidRPr="00E9291E">
        <w:rPr>
          <w:rFonts w:ascii="Arial" w:hAnsi="Arial" w:cs="Arial"/>
          <w:sz w:val="20"/>
          <w:szCs w:val="20"/>
          <w:lang w:val="en-GB"/>
        </w:rPr>
        <w:tab/>
      </w:r>
      <w:r w:rsidRPr="00E9291E">
        <w:rPr>
          <w:rFonts w:ascii="Arial" w:hAnsi="Arial" w:cs="Arial"/>
          <w:sz w:val="20"/>
          <w:szCs w:val="20"/>
          <w:lang w:val="en-GB"/>
        </w:rPr>
        <w:tab/>
        <w:t>Yes.</w:t>
      </w:r>
    </w:p>
    <w:p w14:paraId="10CFA64A" w14:textId="77777777" w:rsidR="00104659" w:rsidRPr="00E9291E" w:rsidRDefault="00104659" w:rsidP="002D6711">
      <w:pPr>
        <w:spacing w:line="360" w:lineRule="auto"/>
        <w:ind w:left="2880" w:hanging="2160"/>
        <w:jc w:val="both"/>
        <w:rPr>
          <w:rFonts w:ascii="Arial" w:hAnsi="Arial" w:cs="Arial"/>
          <w:sz w:val="20"/>
          <w:szCs w:val="20"/>
          <w:lang w:val="en-GB"/>
        </w:rPr>
      </w:pPr>
      <w:r w:rsidRPr="00E9291E">
        <w:rPr>
          <w:rFonts w:ascii="Arial" w:hAnsi="Arial" w:cs="Arial"/>
          <w:sz w:val="20"/>
          <w:szCs w:val="20"/>
          <w:lang w:val="en-GB"/>
        </w:rPr>
        <w:t>COURT:</w:t>
      </w:r>
      <w:r w:rsidRPr="00E9291E">
        <w:rPr>
          <w:rFonts w:ascii="Arial" w:hAnsi="Arial" w:cs="Arial"/>
          <w:sz w:val="20"/>
          <w:szCs w:val="20"/>
          <w:lang w:val="en-GB"/>
        </w:rPr>
        <w:tab/>
        <w:t>Have you ever watched any movies on TV where there will be a court that is appearing on the TV?</w:t>
      </w:r>
    </w:p>
    <w:p w14:paraId="092B0EC5" w14:textId="77777777" w:rsidR="004053A9" w:rsidRDefault="00E9291E" w:rsidP="002D6711">
      <w:pPr>
        <w:spacing w:line="360" w:lineRule="auto"/>
        <w:ind w:left="2880" w:hanging="2160"/>
        <w:jc w:val="both"/>
        <w:rPr>
          <w:rFonts w:ascii="Arial" w:hAnsi="Arial" w:cs="Arial"/>
          <w:sz w:val="20"/>
          <w:szCs w:val="20"/>
          <w:lang w:val="en-GB"/>
        </w:rPr>
      </w:pPr>
      <w:r w:rsidRPr="00E9291E">
        <w:rPr>
          <w:rFonts w:ascii="Arial" w:hAnsi="Arial" w:cs="Arial"/>
          <w:sz w:val="20"/>
          <w:szCs w:val="20"/>
          <w:lang w:val="en-GB"/>
        </w:rPr>
        <w:t>MS M:</w:t>
      </w:r>
      <w:r w:rsidRPr="00E9291E">
        <w:rPr>
          <w:rFonts w:ascii="Arial" w:hAnsi="Arial" w:cs="Arial"/>
          <w:sz w:val="20"/>
          <w:szCs w:val="20"/>
          <w:lang w:val="en-GB"/>
        </w:rPr>
        <w:tab/>
        <w:t>No.</w:t>
      </w:r>
    </w:p>
    <w:p w14:paraId="53E263A6" w14:textId="77777777" w:rsidR="00E9291E" w:rsidRPr="00E9291E" w:rsidRDefault="004053A9" w:rsidP="002D6711">
      <w:pPr>
        <w:spacing w:line="360" w:lineRule="auto"/>
        <w:ind w:left="2880" w:hanging="2160"/>
        <w:jc w:val="both"/>
        <w:rPr>
          <w:rFonts w:ascii="Arial" w:hAnsi="Arial" w:cs="Arial"/>
          <w:sz w:val="20"/>
          <w:szCs w:val="20"/>
          <w:lang w:val="en-GB"/>
        </w:rPr>
      </w:pPr>
      <w:r>
        <w:rPr>
          <w:rFonts w:ascii="Arial" w:hAnsi="Arial" w:cs="Arial"/>
          <w:sz w:val="20"/>
          <w:szCs w:val="20"/>
          <w:lang w:val="en-GB"/>
        </w:rPr>
        <w:lastRenderedPageBreak/>
        <w:t>COURT:</w:t>
      </w:r>
      <w:r>
        <w:rPr>
          <w:rFonts w:ascii="Arial" w:hAnsi="Arial" w:cs="Arial"/>
          <w:sz w:val="20"/>
          <w:szCs w:val="20"/>
          <w:lang w:val="en-GB"/>
        </w:rPr>
        <w:tab/>
        <w:t>Then it is fine…’</w:t>
      </w:r>
    </w:p>
    <w:p w14:paraId="2F15A71B" w14:textId="77777777" w:rsidR="00E9291E" w:rsidRDefault="00E9291E" w:rsidP="002D6711">
      <w:pPr>
        <w:spacing w:line="360" w:lineRule="auto"/>
        <w:jc w:val="both"/>
        <w:rPr>
          <w:rFonts w:ascii="Arial" w:hAnsi="Arial" w:cs="Arial"/>
          <w:sz w:val="24"/>
          <w:szCs w:val="24"/>
          <w:lang w:val="en-GB"/>
        </w:rPr>
      </w:pPr>
    </w:p>
    <w:p w14:paraId="6CB87B71" w14:textId="4C74FC9D" w:rsidR="002D6711" w:rsidRDefault="000B21F3" w:rsidP="000B21F3">
      <w:pPr>
        <w:pStyle w:val="ListParagraph"/>
        <w:spacing w:line="360" w:lineRule="auto"/>
        <w:ind w:left="0"/>
        <w:jc w:val="both"/>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r>
      <w:r w:rsidR="00FA025E" w:rsidRPr="002D6711">
        <w:rPr>
          <w:rFonts w:ascii="Arial" w:hAnsi="Arial" w:cs="Arial"/>
          <w:sz w:val="24"/>
          <w:szCs w:val="24"/>
          <w:lang w:val="en-GB"/>
        </w:rPr>
        <w:t>The extract raises</w:t>
      </w:r>
      <w:r w:rsidR="006D6749" w:rsidRPr="002D6711">
        <w:rPr>
          <w:rFonts w:ascii="Arial" w:hAnsi="Arial" w:cs="Arial"/>
          <w:sz w:val="24"/>
          <w:szCs w:val="24"/>
          <w:lang w:val="en-GB"/>
        </w:rPr>
        <w:t xml:space="preserve"> </w:t>
      </w:r>
      <w:r w:rsidR="00E9291E" w:rsidRPr="002D6711">
        <w:rPr>
          <w:rFonts w:ascii="Arial" w:hAnsi="Arial" w:cs="Arial"/>
          <w:sz w:val="24"/>
          <w:szCs w:val="24"/>
          <w:lang w:val="en-GB"/>
        </w:rPr>
        <w:t xml:space="preserve">a red flag. The complainant clearly did not comprehend or appreciate the significance of taking an oath within the context of giving evidence in </w:t>
      </w:r>
      <w:r w:rsidR="00E91A86" w:rsidRPr="002D6711">
        <w:rPr>
          <w:rFonts w:ascii="Arial" w:hAnsi="Arial" w:cs="Arial"/>
          <w:sz w:val="24"/>
          <w:szCs w:val="24"/>
          <w:lang w:val="en-GB"/>
        </w:rPr>
        <w:t xml:space="preserve">a </w:t>
      </w:r>
      <w:r w:rsidR="00E9291E" w:rsidRPr="002D6711">
        <w:rPr>
          <w:rFonts w:ascii="Arial" w:hAnsi="Arial" w:cs="Arial"/>
          <w:sz w:val="24"/>
          <w:szCs w:val="24"/>
          <w:lang w:val="en-GB"/>
        </w:rPr>
        <w:t xml:space="preserve">criminal </w:t>
      </w:r>
      <w:r w:rsidR="00E91A86" w:rsidRPr="002D6711">
        <w:rPr>
          <w:rFonts w:ascii="Arial" w:hAnsi="Arial" w:cs="Arial"/>
          <w:sz w:val="24"/>
          <w:szCs w:val="24"/>
          <w:lang w:val="en-GB"/>
        </w:rPr>
        <w:t>trial</w:t>
      </w:r>
      <w:r w:rsidR="00E9291E" w:rsidRPr="002D6711">
        <w:rPr>
          <w:rFonts w:ascii="Arial" w:hAnsi="Arial" w:cs="Arial"/>
          <w:sz w:val="24"/>
          <w:szCs w:val="24"/>
          <w:lang w:val="en-GB"/>
        </w:rPr>
        <w:t xml:space="preserve">. The </w:t>
      </w:r>
      <w:r w:rsidR="000952C4" w:rsidRPr="002D6711">
        <w:rPr>
          <w:rFonts w:ascii="Arial" w:hAnsi="Arial" w:cs="Arial"/>
          <w:sz w:val="24"/>
          <w:szCs w:val="24"/>
          <w:lang w:val="en-GB"/>
        </w:rPr>
        <w:t>presiding officer</w:t>
      </w:r>
      <w:r w:rsidR="00E9291E" w:rsidRPr="002D6711">
        <w:rPr>
          <w:rFonts w:ascii="Arial" w:hAnsi="Arial" w:cs="Arial"/>
          <w:sz w:val="24"/>
          <w:szCs w:val="24"/>
          <w:lang w:val="en-GB"/>
        </w:rPr>
        <w:t xml:space="preserve"> embarked upon further investigation into the</w:t>
      </w:r>
      <w:r w:rsidR="00EA07D1" w:rsidRPr="002D6711">
        <w:rPr>
          <w:rFonts w:ascii="Arial" w:hAnsi="Arial" w:cs="Arial"/>
          <w:sz w:val="24"/>
          <w:szCs w:val="24"/>
          <w:lang w:val="en-GB"/>
        </w:rPr>
        <w:t xml:space="preserve"> </w:t>
      </w:r>
      <w:r w:rsidR="00E9291E" w:rsidRPr="002D6711">
        <w:rPr>
          <w:rFonts w:ascii="Arial" w:hAnsi="Arial" w:cs="Arial"/>
          <w:sz w:val="24"/>
          <w:szCs w:val="24"/>
          <w:lang w:val="en-GB"/>
        </w:rPr>
        <w:t>complainant</w:t>
      </w:r>
      <w:r w:rsidR="00EA07D1" w:rsidRPr="002D6711">
        <w:rPr>
          <w:rFonts w:ascii="Arial" w:hAnsi="Arial" w:cs="Arial"/>
          <w:sz w:val="24"/>
          <w:szCs w:val="24"/>
          <w:lang w:val="en-GB"/>
        </w:rPr>
        <w:t>’s understanding</w:t>
      </w:r>
      <w:r w:rsidR="00E9291E" w:rsidRPr="002D6711">
        <w:rPr>
          <w:rFonts w:ascii="Arial" w:hAnsi="Arial" w:cs="Arial"/>
          <w:sz w:val="24"/>
          <w:szCs w:val="24"/>
          <w:lang w:val="en-GB"/>
        </w:rPr>
        <w:t>, only to abandon her efforts almost as soon as she had started. Quite why</w:t>
      </w:r>
      <w:r w:rsidR="004053A9" w:rsidRPr="002D6711">
        <w:rPr>
          <w:rFonts w:ascii="Arial" w:hAnsi="Arial" w:cs="Arial"/>
          <w:sz w:val="24"/>
          <w:szCs w:val="24"/>
          <w:lang w:val="en-GB"/>
        </w:rPr>
        <w:t>,</w:t>
      </w:r>
      <w:r w:rsidR="00E9291E" w:rsidRPr="002D6711">
        <w:rPr>
          <w:rFonts w:ascii="Arial" w:hAnsi="Arial" w:cs="Arial"/>
          <w:sz w:val="24"/>
          <w:szCs w:val="24"/>
          <w:lang w:val="en-GB"/>
        </w:rPr>
        <w:t xml:space="preserve"> is not apparent. </w:t>
      </w:r>
    </w:p>
    <w:p w14:paraId="22642C2E" w14:textId="77777777" w:rsidR="000B21F3" w:rsidRDefault="000B21F3" w:rsidP="000B21F3">
      <w:pPr>
        <w:pStyle w:val="ListParagraph"/>
        <w:spacing w:line="360" w:lineRule="auto"/>
        <w:ind w:left="0"/>
        <w:jc w:val="both"/>
        <w:rPr>
          <w:rFonts w:ascii="Arial" w:hAnsi="Arial" w:cs="Arial"/>
          <w:sz w:val="24"/>
          <w:szCs w:val="24"/>
          <w:lang w:val="en-GB"/>
        </w:rPr>
      </w:pPr>
    </w:p>
    <w:p w14:paraId="378B9E3A" w14:textId="24EB0CFD" w:rsidR="00E9291E" w:rsidRPr="002D6711" w:rsidRDefault="000B21F3" w:rsidP="000B21F3">
      <w:pPr>
        <w:pStyle w:val="ListParagraph"/>
        <w:spacing w:line="360" w:lineRule="auto"/>
        <w:ind w:left="0"/>
        <w:jc w:val="both"/>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r>
      <w:r w:rsidR="00E9291E" w:rsidRPr="002D6711">
        <w:rPr>
          <w:rFonts w:ascii="Arial" w:hAnsi="Arial" w:cs="Arial"/>
          <w:sz w:val="24"/>
          <w:szCs w:val="24"/>
          <w:lang w:val="en-GB"/>
        </w:rPr>
        <w:t xml:space="preserve">The </w:t>
      </w:r>
      <w:r w:rsidR="00042409" w:rsidRPr="002D6711">
        <w:rPr>
          <w:rFonts w:ascii="Arial" w:hAnsi="Arial" w:cs="Arial"/>
          <w:sz w:val="24"/>
          <w:szCs w:val="24"/>
          <w:lang w:val="en-GB"/>
        </w:rPr>
        <w:t>presiding officer</w:t>
      </w:r>
      <w:r w:rsidR="004053A9" w:rsidRPr="002D6711">
        <w:rPr>
          <w:rFonts w:ascii="Arial" w:hAnsi="Arial" w:cs="Arial"/>
          <w:sz w:val="24"/>
          <w:szCs w:val="24"/>
          <w:lang w:val="en-GB"/>
        </w:rPr>
        <w:t xml:space="preserve"> thereupon invited comments </w:t>
      </w:r>
      <w:r w:rsidR="000D5980">
        <w:rPr>
          <w:rFonts w:ascii="Arial" w:hAnsi="Arial" w:cs="Arial"/>
          <w:sz w:val="24"/>
          <w:szCs w:val="24"/>
          <w:lang w:val="en-GB"/>
        </w:rPr>
        <w:t>from</w:t>
      </w:r>
      <w:r w:rsidR="004053A9" w:rsidRPr="002D6711">
        <w:rPr>
          <w:rFonts w:ascii="Arial" w:hAnsi="Arial" w:cs="Arial"/>
          <w:sz w:val="24"/>
          <w:szCs w:val="24"/>
          <w:lang w:val="en-GB"/>
        </w:rPr>
        <w:t xml:space="preserve"> the state:</w:t>
      </w:r>
    </w:p>
    <w:p w14:paraId="3770648F" w14:textId="77777777" w:rsidR="004053A9" w:rsidRPr="004053A9" w:rsidRDefault="004053A9" w:rsidP="002D6711">
      <w:pPr>
        <w:spacing w:line="360" w:lineRule="auto"/>
        <w:ind w:left="2880" w:hanging="2160"/>
        <w:jc w:val="both"/>
        <w:rPr>
          <w:rFonts w:ascii="Arial" w:hAnsi="Arial" w:cs="Arial"/>
          <w:sz w:val="20"/>
          <w:szCs w:val="20"/>
          <w:lang w:val="en-GB"/>
        </w:rPr>
      </w:pPr>
      <w:r w:rsidRPr="004053A9">
        <w:rPr>
          <w:rFonts w:ascii="Arial" w:hAnsi="Arial" w:cs="Arial"/>
          <w:sz w:val="20"/>
          <w:szCs w:val="20"/>
          <w:lang w:val="en-GB"/>
        </w:rPr>
        <w:t>‘COURT:</w:t>
      </w:r>
      <w:r w:rsidRPr="004053A9">
        <w:rPr>
          <w:rFonts w:ascii="Arial" w:hAnsi="Arial" w:cs="Arial"/>
          <w:sz w:val="20"/>
          <w:szCs w:val="20"/>
          <w:lang w:val="en-GB"/>
        </w:rPr>
        <w:tab/>
        <w:t>…Mr van Biljon [indistinct].</w:t>
      </w:r>
    </w:p>
    <w:p w14:paraId="6DCE8A41" w14:textId="77777777" w:rsidR="00E9291E" w:rsidRPr="004053A9" w:rsidRDefault="00E9291E" w:rsidP="002D6711">
      <w:pPr>
        <w:spacing w:line="360" w:lineRule="auto"/>
        <w:ind w:left="2880" w:hanging="2160"/>
        <w:jc w:val="both"/>
        <w:rPr>
          <w:rFonts w:ascii="Arial" w:hAnsi="Arial" w:cs="Arial"/>
          <w:sz w:val="20"/>
          <w:szCs w:val="20"/>
          <w:lang w:val="en-GB"/>
        </w:rPr>
      </w:pPr>
      <w:r w:rsidRPr="004053A9">
        <w:rPr>
          <w:rFonts w:ascii="Arial" w:hAnsi="Arial" w:cs="Arial"/>
          <w:sz w:val="20"/>
          <w:szCs w:val="20"/>
          <w:lang w:val="en-GB"/>
        </w:rPr>
        <w:t>PROSECUTOR:</w:t>
      </w:r>
      <w:r w:rsidRPr="004053A9">
        <w:rPr>
          <w:rFonts w:ascii="Arial" w:hAnsi="Arial" w:cs="Arial"/>
          <w:sz w:val="20"/>
          <w:szCs w:val="20"/>
          <w:lang w:val="en-GB"/>
        </w:rPr>
        <w:tab/>
        <w:t>Your Worship, I am of the view, it seems that she understands the meaning of an oath</w:t>
      </w:r>
      <w:r w:rsidR="004053A9" w:rsidRPr="004053A9">
        <w:rPr>
          <w:rFonts w:ascii="Arial" w:hAnsi="Arial" w:cs="Arial"/>
          <w:sz w:val="20"/>
          <w:szCs w:val="20"/>
          <w:lang w:val="en-GB"/>
        </w:rPr>
        <w:t xml:space="preserve"> although she does not understand the terminology. She was able to distinguish between right and wrong, a truth and a lie, and understand the moral consequences thereof. That is my submission.’</w:t>
      </w:r>
    </w:p>
    <w:p w14:paraId="279ADB52" w14:textId="77777777" w:rsidR="004053A9" w:rsidRDefault="004053A9" w:rsidP="004053A9">
      <w:pPr>
        <w:spacing w:line="360" w:lineRule="auto"/>
        <w:rPr>
          <w:rFonts w:ascii="Arial" w:hAnsi="Arial" w:cs="Arial"/>
          <w:sz w:val="24"/>
          <w:szCs w:val="24"/>
          <w:lang w:val="en-GB"/>
        </w:rPr>
      </w:pPr>
    </w:p>
    <w:p w14:paraId="7ADCAE6E" w14:textId="4FDFDC77" w:rsidR="002D6711" w:rsidRDefault="000B21F3" w:rsidP="000B21F3">
      <w:pPr>
        <w:pStyle w:val="ListParagraph"/>
        <w:spacing w:line="360" w:lineRule="auto"/>
        <w:ind w:left="0"/>
        <w:jc w:val="both"/>
        <w:rPr>
          <w:rFonts w:ascii="Arial" w:hAnsi="Arial" w:cs="Arial"/>
          <w:sz w:val="24"/>
          <w:szCs w:val="24"/>
          <w:lang w:val="en-GB"/>
        </w:rPr>
      </w:pPr>
      <w:r>
        <w:rPr>
          <w:rFonts w:ascii="Arial" w:hAnsi="Arial" w:cs="Arial"/>
          <w:sz w:val="24"/>
          <w:szCs w:val="24"/>
          <w:lang w:val="en-GB"/>
        </w:rPr>
        <w:t>[46]</w:t>
      </w:r>
      <w:r>
        <w:rPr>
          <w:rFonts w:ascii="Arial" w:hAnsi="Arial" w:cs="Arial"/>
          <w:sz w:val="24"/>
          <w:szCs w:val="24"/>
          <w:lang w:val="en-GB"/>
        </w:rPr>
        <w:tab/>
      </w:r>
      <w:r w:rsidR="004053A9" w:rsidRPr="002D6711">
        <w:rPr>
          <w:rFonts w:ascii="Arial" w:hAnsi="Arial" w:cs="Arial"/>
          <w:sz w:val="24"/>
          <w:szCs w:val="24"/>
          <w:lang w:val="en-GB"/>
        </w:rPr>
        <w:t xml:space="preserve">The submission is, of course, </w:t>
      </w:r>
      <w:r w:rsidR="00EA07D1" w:rsidRPr="002D6711">
        <w:rPr>
          <w:rFonts w:ascii="Arial" w:hAnsi="Arial" w:cs="Arial"/>
          <w:sz w:val="24"/>
          <w:szCs w:val="24"/>
          <w:lang w:val="en-GB"/>
        </w:rPr>
        <w:t xml:space="preserve">entirely </w:t>
      </w:r>
      <w:r w:rsidR="004053A9" w:rsidRPr="002D6711">
        <w:rPr>
          <w:rFonts w:ascii="Arial" w:hAnsi="Arial" w:cs="Arial"/>
          <w:sz w:val="24"/>
          <w:szCs w:val="24"/>
          <w:lang w:val="en-GB"/>
        </w:rPr>
        <w:t>inaccurate</w:t>
      </w:r>
      <w:r w:rsidR="00C43E81" w:rsidRPr="002D6711">
        <w:rPr>
          <w:rFonts w:ascii="Arial" w:hAnsi="Arial" w:cs="Arial"/>
          <w:sz w:val="24"/>
          <w:szCs w:val="24"/>
          <w:lang w:val="en-GB"/>
        </w:rPr>
        <w:t xml:space="preserve">. The complainant plainly said that she </w:t>
      </w:r>
      <w:r w:rsidR="008E488C">
        <w:rPr>
          <w:rFonts w:ascii="Arial" w:hAnsi="Arial" w:cs="Arial"/>
          <w:sz w:val="24"/>
          <w:szCs w:val="24"/>
          <w:lang w:val="en-GB"/>
        </w:rPr>
        <w:t>did</w:t>
      </w:r>
      <w:r w:rsidR="00042409" w:rsidRPr="002D6711">
        <w:rPr>
          <w:rFonts w:ascii="Arial" w:hAnsi="Arial" w:cs="Arial"/>
          <w:sz w:val="24"/>
          <w:szCs w:val="24"/>
          <w:lang w:val="en-GB"/>
        </w:rPr>
        <w:t xml:space="preserve"> </w:t>
      </w:r>
      <w:r w:rsidR="00C43E81" w:rsidRPr="002D6711">
        <w:rPr>
          <w:rFonts w:ascii="Arial" w:hAnsi="Arial" w:cs="Arial"/>
          <w:sz w:val="24"/>
          <w:szCs w:val="24"/>
          <w:lang w:val="en-GB"/>
        </w:rPr>
        <w:t>not underst</w:t>
      </w:r>
      <w:r w:rsidR="008E488C">
        <w:rPr>
          <w:rFonts w:ascii="Arial" w:hAnsi="Arial" w:cs="Arial"/>
          <w:sz w:val="24"/>
          <w:szCs w:val="24"/>
          <w:lang w:val="en-GB"/>
        </w:rPr>
        <w:t>an</w:t>
      </w:r>
      <w:r w:rsidR="009936AC" w:rsidRPr="002D6711">
        <w:rPr>
          <w:rFonts w:ascii="Arial" w:hAnsi="Arial" w:cs="Arial"/>
          <w:sz w:val="24"/>
          <w:szCs w:val="24"/>
          <w:lang w:val="en-GB"/>
        </w:rPr>
        <w:t>d</w:t>
      </w:r>
      <w:r w:rsidR="00C43E81" w:rsidRPr="002D6711">
        <w:rPr>
          <w:rFonts w:ascii="Arial" w:hAnsi="Arial" w:cs="Arial"/>
          <w:sz w:val="24"/>
          <w:szCs w:val="24"/>
          <w:lang w:val="en-GB"/>
        </w:rPr>
        <w:t xml:space="preserve"> what it meant to take an oath in court. There is no indication</w:t>
      </w:r>
      <w:r w:rsidR="007521DC" w:rsidRPr="002D6711">
        <w:rPr>
          <w:rFonts w:ascii="Arial" w:hAnsi="Arial" w:cs="Arial"/>
          <w:sz w:val="24"/>
          <w:szCs w:val="24"/>
          <w:lang w:val="en-GB"/>
        </w:rPr>
        <w:t xml:space="preserve"> whatsoever</w:t>
      </w:r>
      <w:r w:rsidR="00C43E81" w:rsidRPr="002D6711">
        <w:rPr>
          <w:rFonts w:ascii="Arial" w:hAnsi="Arial" w:cs="Arial"/>
          <w:sz w:val="24"/>
          <w:szCs w:val="24"/>
          <w:lang w:val="en-GB"/>
        </w:rPr>
        <w:t xml:space="preserve"> from the record that the complainant could distinguish between right and wrong or between</w:t>
      </w:r>
      <w:r w:rsidR="00EE3CA8" w:rsidRPr="002D6711">
        <w:rPr>
          <w:rFonts w:ascii="Arial" w:hAnsi="Arial" w:cs="Arial"/>
          <w:sz w:val="24"/>
          <w:szCs w:val="24"/>
          <w:lang w:val="en-GB"/>
        </w:rPr>
        <w:t xml:space="preserve"> a </w:t>
      </w:r>
      <w:r w:rsidR="00C43E81" w:rsidRPr="002D6711">
        <w:rPr>
          <w:rFonts w:ascii="Arial" w:hAnsi="Arial" w:cs="Arial"/>
          <w:sz w:val="24"/>
          <w:szCs w:val="24"/>
          <w:lang w:val="en-GB"/>
        </w:rPr>
        <w:t xml:space="preserve">truth and a lie. The </w:t>
      </w:r>
      <w:r w:rsidR="00EE3CA8" w:rsidRPr="002D6711">
        <w:rPr>
          <w:rFonts w:ascii="Arial" w:hAnsi="Arial" w:cs="Arial"/>
          <w:sz w:val="24"/>
          <w:szCs w:val="24"/>
          <w:lang w:val="en-GB"/>
        </w:rPr>
        <w:t>presiding officer</w:t>
      </w:r>
      <w:r w:rsidR="007521DC" w:rsidRPr="002D6711">
        <w:rPr>
          <w:rFonts w:ascii="Arial" w:hAnsi="Arial" w:cs="Arial"/>
          <w:sz w:val="24"/>
          <w:szCs w:val="24"/>
          <w:lang w:val="en-GB"/>
        </w:rPr>
        <w:t xml:space="preserve"> put </w:t>
      </w:r>
      <w:r w:rsidR="00C43E81" w:rsidRPr="002D6711">
        <w:rPr>
          <w:rFonts w:ascii="Arial" w:hAnsi="Arial" w:cs="Arial"/>
          <w:sz w:val="24"/>
          <w:szCs w:val="24"/>
          <w:lang w:val="en-GB"/>
        </w:rPr>
        <w:t xml:space="preserve">questions to the complainant </w:t>
      </w:r>
      <w:r w:rsidR="007521DC" w:rsidRPr="002D6711">
        <w:rPr>
          <w:rFonts w:ascii="Arial" w:hAnsi="Arial" w:cs="Arial"/>
          <w:sz w:val="24"/>
          <w:szCs w:val="24"/>
          <w:lang w:val="en-GB"/>
        </w:rPr>
        <w:t xml:space="preserve">that </w:t>
      </w:r>
      <w:r w:rsidR="00C43E81" w:rsidRPr="002D6711">
        <w:rPr>
          <w:rFonts w:ascii="Arial" w:hAnsi="Arial" w:cs="Arial"/>
          <w:sz w:val="24"/>
          <w:szCs w:val="24"/>
          <w:lang w:val="en-GB"/>
        </w:rPr>
        <w:t xml:space="preserve">required nothing more than a factual response, e.g., what was her date of birth, what school </w:t>
      </w:r>
      <w:r w:rsidR="003B049B" w:rsidRPr="002D6711">
        <w:rPr>
          <w:rFonts w:ascii="Arial" w:hAnsi="Arial" w:cs="Arial"/>
          <w:sz w:val="24"/>
          <w:szCs w:val="24"/>
          <w:lang w:val="en-GB"/>
        </w:rPr>
        <w:t xml:space="preserve">did </w:t>
      </w:r>
      <w:r w:rsidR="00C43E81" w:rsidRPr="002D6711">
        <w:rPr>
          <w:rFonts w:ascii="Arial" w:hAnsi="Arial" w:cs="Arial"/>
          <w:sz w:val="24"/>
          <w:szCs w:val="24"/>
          <w:lang w:val="en-GB"/>
        </w:rPr>
        <w:t xml:space="preserve">she attend, </w:t>
      </w:r>
      <w:r w:rsidR="007521DC" w:rsidRPr="002D6711">
        <w:rPr>
          <w:rFonts w:ascii="Arial" w:hAnsi="Arial" w:cs="Arial"/>
          <w:sz w:val="24"/>
          <w:szCs w:val="24"/>
          <w:lang w:val="en-GB"/>
        </w:rPr>
        <w:t>who stayed with her at home. Similarly, the complainant’s legal representative asked her the ages and gender of her cousins, what games she liked to play, and so forth. The prosecutor asked no questions at all.</w:t>
      </w:r>
      <w:r w:rsidR="00EA07D1" w:rsidRPr="002D6711">
        <w:rPr>
          <w:rFonts w:ascii="Arial" w:hAnsi="Arial" w:cs="Arial"/>
          <w:sz w:val="24"/>
          <w:szCs w:val="24"/>
          <w:lang w:val="en-GB"/>
        </w:rPr>
        <w:t xml:space="preserve"> No </w:t>
      </w:r>
      <w:r w:rsidR="007D659C">
        <w:rPr>
          <w:rFonts w:ascii="Arial" w:hAnsi="Arial" w:cs="Arial"/>
          <w:sz w:val="24"/>
          <w:szCs w:val="24"/>
          <w:lang w:val="en-GB"/>
        </w:rPr>
        <w:t xml:space="preserve">investigation or </w:t>
      </w:r>
      <w:r w:rsidR="00EA07D1" w:rsidRPr="002D6711">
        <w:rPr>
          <w:rFonts w:ascii="Arial" w:hAnsi="Arial" w:cs="Arial"/>
          <w:sz w:val="24"/>
          <w:szCs w:val="24"/>
          <w:lang w:val="en-GB"/>
        </w:rPr>
        <w:t>determination was made in relation to whether the complainant understood what it meant to speak the truth.</w:t>
      </w:r>
      <w:r w:rsidR="00FA025E" w:rsidRPr="002D6711">
        <w:rPr>
          <w:rFonts w:ascii="Arial" w:hAnsi="Arial" w:cs="Arial"/>
          <w:sz w:val="24"/>
          <w:szCs w:val="24"/>
          <w:lang w:val="en-GB"/>
        </w:rPr>
        <w:t xml:space="preserve"> </w:t>
      </w:r>
      <w:r w:rsidR="007521DC" w:rsidRPr="002D6711">
        <w:rPr>
          <w:rFonts w:ascii="Arial" w:hAnsi="Arial" w:cs="Arial"/>
          <w:sz w:val="24"/>
          <w:szCs w:val="24"/>
          <w:lang w:val="en-GB"/>
        </w:rPr>
        <w:t>The complainant may well have understood, within the context of her religious belief</w:t>
      </w:r>
      <w:r w:rsidR="00EA07D1" w:rsidRPr="002D6711">
        <w:rPr>
          <w:rFonts w:ascii="Arial" w:hAnsi="Arial" w:cs="Arial"/>
          <w:sz w:val="24"/>
          <w:szCs w:val="24"/>
          <w:lang w:val="en-GB"/>
        </w:rPr>
        <w:t>s</w:t>
      </w:r>
      <w:r w:rsidR="007521DC" w:rsidRPr="002D6711">
        <w:rPr>
          <w:rFonts w:ascii="Arial" w:hAnsi="Arial" w:cs="Arial"/>
          <w:sz w:val="24"/>
          <w:szCs w:val="24"/>
          <w:lang w:val="en-GB"/>
        </w:rPr>
        <w:t>, that God would punish a person who failed to keep his or her promise to tell the truth</w:t>
      </w:r>
      <w:r w:rsidR="00E91A86" w:rsidRPr="002D6711">
        <w:rPr>
          <w:rFonts w:ascii="Arial" w:hAnsi="Arial" w:cs="Arial"/>
          <w:sz w:val="24"/>
          <w:szCs w:val="24"/>
          <w:lang w:val="en-GB"/>
        </w:rPr>
        <w:t>. This</w:t>
      </w:r>
      <w:r w:rsidR="007521DC" w:rsidRPr="002D6711">
        <w:rPr>
          <w:rFonts w:ascii="Arial" w:hAnsi="Arial" w:cs="Arial"/>
          <w:sz w:val="24"/>
          <w:szCs w:val="24"/>
          <w:lang w:val="en-GB"/>
        </w:rPr>
        <w:t xml:space="preserve"> cannot</w:t>
      </w:r>
      <w:r w:rsidR="00E91A86" w:rsidRPr="002D6711">
        <w:rPr>
          <w:rFonts w:ascii="Arial" w:hAnsi="Arial" w:cs="Arial"/>
          <w:sz w:val="24"/>
          <w:szCs w:val="24"/>
          <w:lang w:val="en-GB"/>
        </w:rPr>
        <w:t>, however,</w:t>
      </w:r>
      <w:r w:rsidR="007521DC" w:rsidRPr="002D6711">
        <w:rPr>
          <w:rFonts w:ascii="Arial" w:hAnsi="Arial" w:cs="Arial"/>
          <w:sz w:val="24"/>
          <w:szCs w:val="24"/>
          <w:lang w:val="en-GB"/>
        </w:rPr>
        <w:t xml:space="preserve"> be </w:t>
      </w:r>
      <w:r w:rsidR="00E91A86" w:rsidRPr="002D6711">
        <w:rPr>
          <w:rFonts w:ascii="Arial" w:hAnsi="Arial" w:cs="Arial"/>
          <w:sz w:val="24"/>
          <w:szCs w:val="24"/>
          <w:lang w:val="en-GB"/>
        </w:rPr>
        <w:t xml:space="preserve">said to reveal </w:t>
      </w:r>
      <w:r w:rsidR="007521DC" w:rsidRPr="002D6711">
        <w:rPr>
          <w:rFonts w:ascii="Arial" w:hAnsi="Arial" w:cs="Arial"/>
          <w:sz w:val="24"/>
          <w:szCs w:val="24"/>
          <w:lang w:val="en-GB"/>
        </w:rPr>
        <w:t xml:space="preserve">the </w:t>
      </w:r>
      <w:r w:rsidR="00E91A86" w:rsidRPr="002D6711">
        <w:rPr>
          <w:rFonts w:ascii="Arial" w:hAnsi="Arial" w:cs="Arial"/>
          <w:sz w:val="24"/>
          <w:szCs w:val="24"/>
          <w:lang w:val="en-GB"/>
        </w:rPr>
        <w:t>complainant’s morality, let alone her understanding of what it meant to take an oath within the context of court proceedings.</w:t>
      </w:r>
    </w:p>
    <w:p w14:paraId="7F1CA366" w14:textId="77777777" w:rsidR="002D6711" w:rsidRDefault="002D6711" w:rsidP="002D6711">
      <w:pPr>
        <w:pStyle w:val="ListParagraph"/>
        <w:spacing w:line="360" w:lineRule="auto"/>
        <w:ind w:left="0"/>
        <w:jc w:val="both"/>
        <w:rPr>
          <w:rFonts w:ascii="Arial" w:hAnsi="Arial" w:cs="Arial"/>
          <w:sz w:val="24"/>
          <w:szCs w:val="24"/>
          <w:lang w:val="en-GB"/>
        </w:rPr>
      </w:pPr>
    </w:p>
    <w:p w14:paraId="08B5808F" w14:textId="07D0D209" w:rsidR="002D6711" w:rsidRDefault="000B21F3" w:rsidP="000B21F3">
      <w:pPr>
        <w:pStyle w:val="ListParagraph"/>
        <w:spacing w:line="360" w:lineRule="auto"/>
        <w:ind w:left="0"/>
        <w:jc w:val="both"/>
        <w:rPr>
          <w:rFonts w:ascii="Arial" w:hAnsi="Arial" w:cs="Arial"/>
          <w:sz w:val="24"/>
          <w:szCs w:val="24"/>
          <w:lang w:val="en-GB"/>
        </w:rPr>
      </w:pPr>
      <w:r>
        <w:rPr>
          <w:rFonts w:ascii="Arial" w:hAnsi="Arial" w:cs="Arial"/>
          <w:sz w:val="24"/>
          <w:szCs w:val="24"/>
          <w:lang w:val="en-GB"/>
        </w:rPr>
        <w:lastRenderedPageBreak/>
        <w:t>[47]</w:t>
      </w:r>
      <w:r>
        <w:rPr>
          <w:rFonts w:ascii="Arial" w:hAnsi="Arial" w:cs="Arial"/>
          <w:sz w:val="24"/>
          <w:szCs w:val="24"/>
          <w:lang w:val="en-GB"/>
        </w:rPr>
        <w:tab/>
      </w:r>
      <w:r w:rsidR="00E91A86" w:rsidRPr="002D6711">
        <w:rPr>
          <w:rFonts w:ascii="Arial" w:hAnsi="Arial" w:cs="Arial"/>
          <w:sz w:val="24"/>
          <w:szCs w:val="24"/>
          <w:lang w:val="en-GB"/>
        </w:rPr>
        <w:t xml:space="preserve">Interestingly, the record indicates that the complainant’s legal representative raised concerns with the </w:t>
      </w:r>
      <w:r w:rsidR="007157D7" w:rsidRPr="002D6711">
        <w:rPr>
          <w:rFonts w:ascii="Arial" w:hAnsi="Arial" w:cs="Arial"/>
          <w:sz w:val="24"/>
          <w:szCs w:val="24"/>
          <w:lang w:val="en-GB"/>
        </w:rPr>
        <w:t>presiding officer</w:t>
      </w:r>
      <w:r w:rsidR="00E91A86" w:rsidRPr="002D6711">
        <w:rPr>
          <w:rFonts w:ascii="Arial" w:hAnsi="Arial" w:cs="Arial"/>
          <w:sz w:val="24"/>
          <w:szCs w:val="24"/>
          <w:lang w:val="en-GB"/>
        </w:rPr>
        <w:t>. The</w:t>
      </w:r>
      <w:r w:rsidR="00EA07D1" w:rsidRPr="002D6711">
        <w:rPr>
          <w:rFonts w:ascii="Arial" w:hAnsi="Arial" w:cs="Arial"/>
          <w:sz w:val="24"/>
          <w:szCs w:val="24"/>
          <w:lang w:val="en-GB"/>
        </w:rPr>
        <w:t xml:space="preserve">se were, however, dismissed. The </w:t>
      </w:r>
      <w:r w:rsidR="00660D2B" w:rsidRPr="002D6711">
        <w:rPr>
          <w:rFonts w:ascii="Arial" w:hAnsi="Arial" w:cs="Arial"/>
          <w:sz w:val="24"/>
          <w:szCs w:val="24"/>
          <w:lang w:val="en-GB"/>
        </w:rPr>
        <w:t xml:space="preserve">presiding officer </w:t>
      </w:r>
      <w:r w:rsidR="00EA07D1" w:rsidRPr="002D6711">
        <w:rPr>
          <w:rFonts w:ascii="Arial" w:hAnsi="Arial" w:cs="Arial"/>
          <w:sz w:val="24"/>
          <w:szCs w:val="24"/>
          <w:lang w:val="en-GB"/>
        </w:rPr>
        <w:t xml:space="preserve">found that the complainant </w:t>
      </w:r>
      <w:r w:rsidR="00660D2B" w:rsidRPr="002D6711">
        <w:rPr>
          <w:rFonts w:ascii="Arial" w:hAnsi="Arial" w:cs="Arial"/>
          <w:sz w:val="24"/>
          <w:szCs w:val="24"/>
          <w:lang w:val="en-GB"/>
        </w:rPr>
        <w:t xml:space="preserve">had </w:t>
      </w:r>
      <w:r w:rsidR="00EA07D1" w:rsidRPr="002D6711">
        <w:rPr>
          <w:rFonts w:ascii="Arial" w:hAnsi="Arial" w:cs="Arial"/>
          <w:sz w:val="24"/>
          <w:szCs w:val="24"/>
          <w:lang w:val="en-GB"/>
        </w:rPr>
        <w:t xml:space="preserve">understood the nature and import of the oath, and that she </w:t>
      </w:r>
      <w:r w:rsidR="00EB7B08" w:rsidRPr="002D6711">
        <w:rPr>
          <w:rFonts w:ascii="Arial" w:hAnsi="Arial" w:cs="Arial"/>
          <w:sz w:val="24"/>
          <w:szCs w:val="24"/>
          <w:lang w:val="en-GB"/>
        </w:rPr>
        <w:t>had been</w:t>
      </w:r>
      <w:r w:rsidR="00EA07D1" w:rsidRPr="002D6711">
        <w:rPr>
          <w:rFonts w:ascii="Arial" w:hAnsi="Arial" w:cs="Arial"/>
          <w:sz w:val="24"/>
          <w:szCs w:val="24"/>
          <w:lang w:val="en-GB"/>
        </w:rPr>
        <w:t xml:space="preserve"> a competent witness. The oath was consequently administered.</w:t>
      </w:r>
    </w:p>
    <w:p w14:paraId="3611B535" w14:textId="77777777" w:rsidR="002D6711" w:rsidRPr="002D6711" w:rsidRDefault="002D6711" w:rsidP="002D6711">
      <w:pPr>
        <w:pStyle w:val="ListParagraph"/>
        <w:rPr>
          <w:rFonts w:ascii="Arial" w:hAnsi="Arial" w:cs="Arial"/>
          <w:sz w:val="24"/>
          <w:szCs w:val="24"/>
          <w:lang w:val="en-GB"/>
        </w:rPr>
      </w:pPr>
    </w:p>
    <w:p w14:paraId="60618220" w14:textId="383FC045" w:rsidR="002D6711" w:rsidRDefault="000B21F3" w:rsidP="000B21F3">
      <w:pPr>
        <w:pStyle w:val="ListParagraph"/>
        <w:spacing w:line="360" w:lineRule="auto"/>
        <w:ind w:left="0"/>
        <w:jc w:val="both"/>
        <w:rPr>
          <w:rFonts w:ascii="Arial" w:hAnsi="Arial" w:cs="Arial"/>
          <w:sz w:val="24"/>
          <w:szCs w:val="24"/>
          <w:lang w:val="en-GB"/>
        </w:rPr>
      </w:pPr>
      <w:r>
        <w:rPr>
          <w:rFonts w:ascii="Arial" w:hAnsi="Arial" w:cs="Arial"/>
          <w:sz w:val="24"/>
          <w:szCs w:val="24"/>
          <w:lang w:val="en-GB"/>
        </w:rPr>
        <w:t>[48]</w:t>
      </w:r>
      <w:r>
        <w:rPr>
          <w:rFonts w:ascii="Arial" w:hAnsi="Arial" w:cs="Arial"/>
          <w:sz w:val="24"/>
          <w:szCs w:val="24"/>
          <w:lang w:val="en-GB"/>
        </w:rPr>
        <w:tab/>
      </w:r>
      <w:r w:rsidR="006841DF" w:rsidRPr="002D6711">
        <w:rPr>
          <w:rFonts w:ascii="Arial" w:hAnsi="Arial" w:cs="Arial"/>
          <w:sz w:val="24"/>
          <w:szCs w:val="24"/>
          <w:lang w:val="en-GB"/>
        </w:rPr>
        <w:t xml:space="preserve">Mindful of the purpose of section 164(1), as described in </w:t>
      </w:r>
      <w:bookmarkStart w:id="2" w:name="_Hlk146897470"/>
      <w:r w:rsidR="006841DF" w:rsidRPr="002D6711">
        <w:rPr>
          <w:rFonts w:ascii="Arial" w:hAnsi="Arial" w:cs="Arial"/>
          <w:i/>
          <w:iCs/>
          <w:sz w:val="24"/>
          <w:szCs w:val="24"/>
          <w:lang w:val="en-GB"/>
        </w:rPr>
        <w:t>Director of Public Prosecutions, Transvaal</w:t>
      </w:r>
      <w:r w:rsidR="006841DF" w:rsidRPr="002D6711">
        <w:rPr>
          <w:rFonts w:ascii="Arial" w:hAnsi="Arial" w:cs="Arial"/>
          <w:sz w:val="24"/>
          <w:szCs w:val="24"/>
          <w:lang w:val="en-GB"/>
        </w:rPr>
        <w:t>,</w:t>
      </w:r>
      <w:bookmarkEnd w:id="2"/>
      <w:r w:rsidR="006841DF" w:rsidRPr="002D6711">
        <w:rPr>
          <w:rFonts w:ascii="Arial" w:hAnsi="Arial" w:cs="Arial"/>
          <w:sz w:val="24"/>
          <w:szCs w:val="24"/>
          <w:lang w:val="en-GB"/>
        </w:rPr>
        <w:t xml:space="preserve"> and</w:t>
      </w:r>
      <w:r w:rsidR="006841DF" w:rsidRPr="002D6711">
        <w:rPr>
          <w:rFonts w:ascii="Arial" w:hAnsi="Arial" w:cs="Arial"/>
          <w:i/>
          <w:iCs/>
          <w:sz w:val="24"/>
          <w:szCs w:val="24"/>
          <w:lang w:val="en-GB"/>
        </w:rPr>
        <w:t xml:space="preserve"> </w:t>
      </w:r>
      <w:r w:rsidR="006841DF" w:rsidRPr="002D6711">
        <w:rPr>
          <w:rFonts w:ascii="Arial" w:hAnsi="Arial" w:cs="Arial"/>
          <w:sz w:val="24"/>
          <w:szCs w:val="24"/>
          <w:lang w:val="en-GB"/>
        </w:rPr>
        <w:t xml:space="preserve">the distinction to be drawn between the competency of a child witness and his or her understanding of the nature and import of the oath or affirmation, as highlighted in </w:t>
      </w:r>
      <w:r w:rsidR="006841DF" w:rsidRPr="002D6711">
        <w:rPr>
          <w:rFonts w:ascii="Arial" w:hAnsi="Arial" w:cs="Arial"/>
          <w:i/>
          <w:iCs/>
          <w:sz w:val="24"/>
          <w:szCs w:val="24"/>
          <w:lang w:val="en-GB"/>
        </w:rPr>
        <w:t>Matshivha</w:t>
      </w:r>
      <w:r w:rsidR="006841DF" w:rsidRPr="002D6711">
        <w:rPr>
          <w:rFonts w:ascii="Arial" w:hAnsi="Arial" w:cs="Arial"/>
          <w:sz w:val="24"/>
          <w:szCs w:val="24"/>
          <w:lang w:val="en-GB"/>
        </w:rPr>
        <w:t xml:space="preserve">, I am not satisfied that the court </w:t>
      </w:r>
      <w:r w:rsidR="006841DF" w:rsidRPr="002D6711">
        <w:rPr>
          <w:rFonts w:ascii="Arial" w:hAnsi="Arial" w:cs="Arial"/>
          <w:i/>
          <w:iCs/>
          <w:sz w:val="24"/>
          <w:szCs w:val="24"/>
          <w:lang w:val="en-GB"/>
        </w:rPr>
        <w:t>a quo</w:t>
      </w:r>
      <w:r w:rsidR="006841DF" w:rsidRPr="002D6711">
        <w:rPr>
          <w:rFonts w:ascii="Arial" w:hAnsi="Arial" w:cs="Arial"/>
          <w:sz w:val="24"/>
          <w:szCs w:val="24"/>
          <w:lang w:val="en-GB"/>
        </w:rPr>
        <w:t xml:space="preserve"> made the necessary determinations before admitting the complainant’s evidence. As the Supreme Court of Appeal found in </w:t>
      </w:r>
      <w:r w:rsidR="006841DF" w:rsidRPr="002D6711">
        <w:rPr>
          <w:rFonts w:ascii="Arial" w:hAnsi="Arial" w:cs="Arial"/>
          <w:i/>
          <w:iCs/>
          <w:sz w:val="24"/>
          <w:szCs w:val="24"/>
          <w:lang w:val="en-GB"/>
        </w:rPr>
        <w:t>Haarhof</w:t>
      </w:r>
      <w:r w:rsidR="008F7E78">
        <w:rPr>
          <w:rFonts w:ascii="Arial" w:hAnsi="Arial" w:cs="Arial"/>
          <w:i/>
          <w:iCs/>
          <w:sz w:val="24"/>
          <w:szCs w:val="24"/>
          <w:lang w:val="en-GB"/>
        </w:rPr>
        <w:t>f</w:t>
      </w:r>
      <w:r w:rsidR="006841DF" w:rsidRPr="002D6711">
        <w:rPr>
          <w:rFonts w:ascii="Arial" w:hAnsi="Arial" w:cs="Arial"/>
          <w:i/>
          <w:iCs/>
          <w:sz w:val="24"/>
          <w:szCs w:val="24"/>
          <w:lang w:val="en-GB"/>
        </w:rPr>
        <w:t xml:space="preserve"> and another v Director of Public Prosecutions, Eastern Cape</w:t>
      </w:r>
      <w:r w:rsidR="006841DF" w:rsidRPr="002D6711">
        <w:rPr>
          <w:rFonts w:ascii="Arial" w:hAnsi="Arial" w:cs="Arial"/>
          <w:sz w:val="24"/>
          <w:szCs w:val="24"/>
          <w:lang w:val="en-GB"/>
        </w:rPr>
        <w:t>,</w:t>
      </w:r>
      <w:r w:rsidR="006841DF">
        <w:rPr>
          <w:rStyle w:val="FootnoteReference"/>
          <w:rFonts w:ascii="Arial" w:hAnsi="Arial" w:cs="Arial"/>
          <w:sz w:val="24"/>
          <w:szCs w:val="24"/>
          <w:lang w:val="en-GB"/>
        </w:rPr>
        <w:footnoteReference w:id="21"/>
      </w:r>
      <w:r w:rsidR="006841DF" w:rsidRPr="002D6711">
        <w:rPr>
          <w:rFonts w:ascii="Arial" w:hAnsi="Arial" w:cs="Arial"/>
          <w:sz w:val="24"/>
          <w:szCs w:val="24"/>
          <w:lang w:val="en-GB"/>
        </w:rPr>
        <w:t xml:space="preserve"> a court </w:t>
      </w:r>
      <w:r w:rsidR="00105588" w:rsidRPr="002D6711">
        <w:rPr>
          <w:rFonts w:ascii="Arial" w:hAnsi="Arial" w:cs="Arial"/>
          <w:sz w:val="24"/>
          <w:szCs w:val="24"/>
          <w:lang w:val="en-GB"/>
        </w:rPr>
        <w:t>must deal with the question of the competency of a witness at the outset. That was simply never done in the present matter. The evidence given by the complainant was inadmissible.</w:t>
      </w:r>
      <w:r w:rsidR="00B75BB2" w:rsidRPr="002D6711">
        <w:rPr>
          <w:rFonts w:ascii="Arial" w:hAnsi="Arial" w:cs="Arial"/>
          <w:sz w:val="24"/>
          <w:szCs w:val="24"/>
          <w:lang w:val="en-GB"/>
        </w:rPr>
        <w:t xml:space="preserve"> </w:t>
      </w:r>
    </w:p>
    <w:p w14:paraId="17C9F798" w14:textId="77777777" w:rsidR="002D6711" w:rsidRPr="002D6711" w:rsidRDefault="002D6711" w:rsidP="002D6711">
      <w:pPr>
        <w:pStyle w:val="ListParagraph"/>
        <w:rPr>
          <w:rFonts w:ascii="Arial" w:hAnsi="Arial" w:cs="Arial"/>
          <w:sz w:val="24"/>
          <w:szCs w:val="24"/>
          <w:lang w:val="en-GB"/>
        </w:rPr>
      </w:pPr>
    </w:p>
    <w:p w14:paraId="3A2C4043" w14:textId="0530BD9F" w:rsidR="00C037C7" w:rsidRPr="002D6711" w:rsidRDefault="000B21F3" w:rsidP="000B21F3">
      <w:pPr>
        <w:pStyle w:val="ListParagraph"/>
        <w:spacing w:line="360" w:lineRule="auto"/>
        <w:ind w:left="0"/>
        <w:jc w:val="both"/>
        <w:rPr>
          <w:rFonts w:ascii="Arial" w:hAnsi="Arial" w:cs="Arial"/>
          <w:sz w:val="24"/>
          <w:szCs w:val="24"/>
          <w:lang w:val="en-GB"/>
        </w:rPr>
      </w:pPr>
      <w:r>
        <w:rPr>
          <w:rFonts w:ascii="Arial" w:hAnsi="Arial" w:cs="Arial"/>
          <w:sz w:val="24"/>
          <w:szCs w:val="24"/>
          <w:lang w:val="en-GB"/>
        </w:rPr>
        <w:t>[49]</w:t>
      </w:r>
      <w:r>
        <w:rPr>
          <w:rFonts w:ascii="Arial" w:hAnsi="Arial" w:cs="Arial"/>
          <w:sz w:val="24"/>
          <w:szCs w:val="24"/>
          <w:lang w:val="en-GB"/>
        </w:rPr>
        <w:tab/>
      </w:r>
      <w:r w:rsidR="00C037C7" w:rsidRPr="002D6711">
        <w:rPr>
          <w:rFonts w:ascii="Arial" w:hAnsi="Arial" w:cs="Arial"/>
          <w:sz w:val="24"/>
          <w:szCs w:val="24"/>
          <w:lang w:val="en-GB"/>
        </w:rPr>
        <w:t xml:space="preserve">If the court </w:t>
      </w:r>
      <w:r w:rsidR="00C037C7" w:rsidRPr="002D6711">
        <w:rPr>
          <w:rFonts w:ascii="Arial" w:hAnsi="Arial" w:cs="Arial"/>
          <w:i/>
          <w:iCs/>
          <w:sz w:val="24"/>
          <w:szCs w:val="24"/>
          <w:lang w:val="en-GB"/>
        </w:rPr>
        <w:t>a quo</w:t>
      </w:r>
      <w:r w:rsidR="00C037C7" w:rsidRPr="002D6711">
        <w:rPr>
          <w:rFonts w:ascii="Arial" w:hAnsi="Arial" w:cs="Arial"/>
          <w:sz w:val="24"/>
          <w:szCs w:val="24"/>
          <w:lang w:val="en-GB"/>
        </w:rPr>
        <w:t xml:space="preserve"> had relied on the skills of a properly trained intermediary to make the necessary determinations, then the complainant’s </w:t>
      </w:r>
      <w:r w:rsidR="00231569" w:rsidRPr="002D6711">
        <w:rPr>
          <w:rFonts w:ascii="Arial" w:hAnsi="Arial" w:cs="Arial"/>
          <w:sz w:val="24"/>
          <w:szCs w:val="24"/>
          <w:lang w:val="en-GB"/>
        </w:rPr>
        <w:t xml:space="preserve">competency could well have been </w:t>
      </w:r>
      <w:r w:rsidR="00472AA4">
        <w:rPr>
          <w:rFonts w:ascii="Arial" w:hAnsi="Arial" w:cs="Arial"/>
          <w:sz w:val="24"/>
          <w:szCs w:val="24"/>
          <w:lang w:val="en-GB"/>
        </w:rPr>
        <w:t xml:space="preserve">correctly </w:t>
      </w:r>
      <w:r w:rsidR="00231569" w:rsidRPr="002D6711">
        <w:rPr>
          <w:rFonts w:ascii="Arial" w:hAnsi="Arial" w:cs="Arial"/>
          <w:sz w:val="24"/>
          <w:szCs w:val="24"/>
          <w:lang w:val="en-GB"/>
        </w:rPr>
        <w:t>decided. It is apposite to repeat the observations made by N</w:t>
      </w:r>
      <w:r w:rsidR="00A00C1D">
        <w:rPr>
          <w:rFonts w:ascii="Arial" w:hAnsi="Arial" w:cs="Arial"/>
          <w:sz w:val="24"/>
          <w:szCs w:val="24"/>
          <w:lang w:val="en-GB"/>
        </w:rPr>
        <w:t>g</w:t>
      </w:r>
      <w:r w:rsidR="00231569" w:rsidRPr="002D6711">
        <w:rPr>
          <w:rFonts w:ascii="Arial" w:hAnsi="Arial" w:cs="Arial"/>
          <w:sz w:val="24"/>
          <w:szCs w:val="24"/>
          <w:lang w:val="en-GB"/>
        </w:rPr>
        <w:t xml:space="preserve">cobo J in </w:t>
      </w:r>
      <w:r w:rsidR="00231569" w:rsidRPr="002D6711">
        <w:rPr>
          <w:rFonts w:ascii="Arial" w:hAnsi="Arial" w:cs="Arial"/>
          <w:i/>
          <w:iCs/>
          <w:sz w:val="24"/>
          <w:szCs w:val="24"/>
          <w:lang w:val="en-GB"/>
        </w:rPr>
        <w:t>Director of Public Prosecutions, Transvaal</w:t>
      </w:r>
      <w:r w:rsidR="00231569" w:rsidRPr="002D6711">
        <w:rPr>
          <w:rFonts w:ascii="Arial" w:hAnsi="Arial" w:cs="Arial"/>
          <w:sz w:val="24"/>
          <w:szCs w:val="24"/>
          <w:lang w:val="en-GB"/>
        </w:rPr>
        <w:t>:</w:t>
      </w:r>
    </w:p>
    <w:p w14:paraId="4EAA0D1A" w14:textId="77777777" w:rsidR="00231569" w:rsidRDefault="00231569" w:rsidP="004053A9">
      <w:pPr>
        <w:spacing w:line="360" w:lineRule="auto"/>
        <w:rPr>
          <w:rFonts w:ascii="Arial" w:hAnsi="Arial" w:cs="Arial"/>
          <w:sz w:val="24"/>
          <w:szCs w:val="24"/>
          <w:lang w:val="en-GB"/>
        </w:rPr>
      </w:pPr>
    </w:p>
    <w:p w14:paraId="6CC57236" w14:textId="77777777" w:rsidR="00231569" w:rsidRPr="00357EDB" w:rsidRDefault="00231569" w:rsidP="002D6711">
      <w:pPr>
        <w:spacing w:line="360" w:lineRule="auto"/>
        <w:ind w:left="720"/>
        <w:jc w:val="both"/>
        <w:rPr>
          <w:rFonts w:ascii="Arial" w:hAnsi="Arial" w:cs="Arial"/>
          <w:sz w:val="20"/>
          <w:szCs w:val="20"/>
          <w:lang w:val="en-GB"/>
        </w:rPr>
      </w:pPr>
      <w:r w:rsidRPr="00357EDB">
        <w:rPr>
          <w:rFonts w:ascii="Arial" w:hAnsi="Arial" w:cs="Arial"/>
          <w:sz w:val="20"/>
          <w:szCs w:val="20"/>
          <w:lang w:val="en-GB"/>
        </w:rPr>
        <w:t>‘When a child, in the court’s words, cannot convey the appreciation of</w:t>
      </w:r>
      <w:r w:rsidR="00357EDB" w:rsidRPr="00357EDB">
        <w:rPr>
          <w:rFonts w:ascii="Arial" w:hAnsi="Arial" w:cs="Arial"/>
          <w:sz w:val="20"/>
          <w:szCs w:val="20"/>
          <w:lang w:val="en-GB"/>
        </w:rPr>
        <w:t xml:space="preserve"> the abstract concepts of truth and falsehood to the court, the solution does not lie in allowing every child to testify in court. The solution lies in the proper questioning of children; in particular, younger children. The purpose of questioning a child is not to get the child to demonstrate knowledge of the abstract concepts of truth and falsehood. The purpose is to determine whether the child understands what it means to speak the truth. Here the manner in which the child is questioned is crucial to the enquiry. It is here where the role of an intermediary becomes vital. The intermediary will ensure that questions by the court to the child are conveyed in a manner that the child can comprehend and that the answers given by the child are conveyed in a manner that the court will understand.’</w:t>
      </w:r>
      <w:r w:rsidR="00357EDB" w:rsidRPr="00357EDB">
        <w:rPr>
          <w:rStyle w:val="FootnoteReference"/>
          <w:rFonts w:ascii="Arial" w:hAnsi="Arial" w:cs="Arial"/>
          <w:sz w:val="20"/>
          <w:szCs w:val="20"/>
          <w:lang w:val="en-GB"/>
        </w:rPr>
        <w:footnoteReference w:id="22"/>
      </w:r>
    </w:p>
    <w:p w14:paraId="6DBB84AA" w14:textId="77777777" w:rsidR="006D0D2E" w:rsidRDefault="006D0D2E" w:rsidP="004053A9">
      <w:pPr>
        <w:spacing w:line="360" w:lineRule="auto"/>
        <w:rPr>
          <w:rFonts w:ascii="Arial" w:hAnsi="Arial" w:cs="Arial"/>
          <w:sz w:val="24"/>
          <w:szCs w:val="24"/>
          <w:lang w:val="en-GB"/>
        </w:rPr>
      </w:pPr>
    </w:p>
    <w:p w14:paraId="4DDD621F" w14:textId="3CAECED6" w:rsidR="004F24B9" w:rsidRPr="002D6711" w:rsidRDefault="000B21F3" w:rsidP="000B21F3">
      <w:pPr>
        <w:pStyle w:val="ListParagraph"/>
        <w:spacing w:line="360" w:lineRule="auto"/>
        <w:ind w:left="0"/>
        <w:jc w:val="both"/>
        <w:rPr>
          <w:rFonts w:ascii="Arial" w:hAnsi="Arial" w:cs="Arial"/>
          <w:sz w:val="24"/>
          <w:szCs w:val="24"/>
          <w:lang w:val="en-GB"/>
        </w:rPr>
      </w:pPr>
      <w:r>
        <w:rPr>
          <w:rFonts w:ascii="Arial" w:hAnsi="Arial" w:cs="Arial"/>
          <w:sz w:val="24"/>
          <w:szCs w:val="24"/>
          <w:lang w:val="en-GB"/>
        </w:rPr>
        <w:t>[50]</w:t>
      </w:r>
      <w:r>
        <w:rPr>
          <w:rFonts w:ascii="Arial" w:hAnsi="Arial" w:cs="Arial"/>
          <w:sz w:val="24"/>
          <w:szCs w:val="24"/>
          <w:lang w:val="en-GB"/>
        </w:rPr>
        <w:tab/>
      </w:r>
      <w:r w:rsidR="00357EDB" w:rsidRPr="002D6711">
        <w:rPr>
          <w:rFonts w:ascii="Arial" w:hAnsi="Arial" w:cs="Arial"/>
          <w:sz w:val="24"/>
          <w:szCs w:val="24"/>
          <w:lang w:val="en-GB"/>
        </w:rPr>
        <w:t xml:space="preserve">Few presiding officers possess the necessary training or </w:t>
      </w:r>
      <w:r w:rsidR="00826EA4" w:rsidRPr="002D6711">
        <w:rPr>
          <w:rFonts w:ascii="Arial" w:hAnsi="Arial" w:cs="Arial"/>
          <w:sz w:val="24"/>
          <w:szCs w:val="24"/>
          <w:lang w:val="en-GB"/>
        </w:rPr>
        <w:t>skills</w:t>
      </w:r>
      <w:r w:rsidR="00357EDB" w:rsidRPr="002D6711">
        <w:rPr>
          <w:rFonts w:ascii="Arial" w:hAnsi="Arial" w:cs="Arial"/>
          <w:sz w:val="24"/>
          <w:szCs w:val="24"/>
          <w:lang w:val="en-GB"/>
        </w:rPr>
        <w:t xml:space="preserve"> to </w:t>
      </w:r>
      <w:r w:rsidR="00826EA4" w:rsidRPr="002D6711">
        <w:rPr>
          <w:rFonts w:ascii="Arial" w:hAnsi="Arial" w:cs="Arial"/>
          <w:sz w:val="24"/>
          <w:szCs w:val="24"/>
          <w:lang w:val="en-GB"/>
        </w:rPr>
        <w:t>engage with a child witness meaningfully. An intermediary, in contrast, is usually someone with qualifications or experience in the fields of psychology or social work or education, as was the case in the present matter.</w:t>
      </w:r>
      <w:r w:rsidR="00826EA4">
        <w:rPr>
          <w:rStyle w:val="FootnoteReference"/>
          <w:rFonts w:ascii="Arial" w:hAnsi="Arial" w:cs="Arial"/>
          <w:sz w:val="24"/>
          <w:szCs w:val="24"/>
          <w:lang w:val="en-GB"/>
        </w:rPr>
        <w:footnoteReference w:id="23"/>
      </w:r>
      <w:r w:rsidR="00826EA4" w:rsidRPr="002D6711">
        <w:rPr>
          <w:rFonts w:ascii="Arial" w:hAnsi="Arial" w:cs="Arial"/>
          <w:sz w:val="24"/>
          <w:szCs w:val="24"/>
          <w:lang w:val="en-GB"/>
        </w:rPr>
        <w:t xml:space="preserve"> He or she is significantly better equipped than</w:t>
      </w:r>
      <w:r w:rsidR="004F24B9" w:rsidRPr="002D6711">
        <w:rPr>
          <w:rFonts w:ascii="Arial" w:hAnsi="Arial" w:cs="Arial"/>
          <w:sz w:val="24"/>
          <w:szCs w:val="24"/>
          <w:lang w:val="en-GB"/>
        </w:rPr>
        <w:t xml:space="preserve"> </w:t>
      </w:r>
      <w:r w:rsidR="001F7A33" w:rsidRPr="002D6711">
        <w:rPr>
          <w:rFonts w:ascii="Arial" w:hAnsi="Arial" w:cs="Arial"/>
          <w:sz w:val="24"/>
          <w:szCs w:val="24"/>
          <w:lang w:val="en-GB"/>
        </w:rPr>
        <w:t>a</w:t>
      </w:r>
      <w:r w:rsidR="004F24B9" w:rsidRPr="002D6711">
        <w:rPr>
          <w:rFonts w:ascii="Arial" w:hAnsi="Arial" w:cs="Arial"/>
          <w:sz w:val="24"/>
          <w:szCs w:val="24"/>
          <w:lang w:val="en-GB"/>
        </w:rPr>
        <w:t xml:space="preserve"> presiding officer to understand a child witness and to determine whether the child witness appreciates and realises what it means to speak the truth, especially within the context of court proceedings. Whereas the presiding officer retains the duty to make a final determination on the competency of a child witness, the intermediary can (and must) play a vital role in reaching such a decision.</w:t>
      </w:r>
    </w:p>
    <w:p w14:paraId="410A1C8C" w14:textId="77777777" w:rsidR="004F24B9" w:rsidRDefault="004F24B9" w:rsidP="004053A9">
      <w:pPr>
        <w:spacing w:line="360" w:lineRule="auto"/>
        <w:rPr>
          <w:rFonts w:ascii="Arial" w:hAnsi="Arial" w:cs="Arial"/>
          <w:sz w:val="24"/>
          <w:szCs w:val="24"/>
          <w:lang w:val="en-GB"/>
        </w:rPr>
      </w:pPr>
    </w:p>
    <w:p w14:paraId="3BF6062B" w14:textId="77777777" w:rsidR="004F24B9" w:rsidRPr="007F2DFF" w:rsidRDefault="004F24B9" w:rsidP="002D6711">
      <w:pPr>
        <w:spacing w:line="360" w:lineRule="auto"/>
        <w:jc w:val="both"/>
        <w:rPr>
          <w:rFonts w:ascii="Arial" w:hAnsi="Arial" w:cs="Arial"/>
          <w:b/>
          <w:bCs/>
          <w:sz w:val="24"/>
          <w:szCs w:val="24"/>
          <w:lang w:val="en-GB"/>
        </w:rPr>
      </w:pPr>
      <w:r w:rsidRPr="007F2DFF">
        <w:rPr>
          <w:rFonts w:ascii="Arial" w:hAnsi="Arial" w:cs="Arial"/>
          <w:b/>
          <w:bCs/>
          <w:sz w:val="24"/>
          <w:szCs w:val="24"/>
          <w:lang w:val="en-GB"/>
        </w:rPr>
        <w:t>Relief and order</w:t>
      </w:r>
    </w:p>
    <w:p w14:paraId="3D522139" w14:textId="77777777" w:rsidR="00F547C2" w:rsidRPr="00F547C2" w:rsidRDefault="00F547C2" w:rsidP="00F547C2">
      <w:pPr>
        <w:pStyle w:val="ListParagraph"/>
        <w:spacing w:line="360" w:lineRule="auto"/>
        <w:jc w:val="both"/>
        <w:rPr>
          <w:rFonts w:ascii="Arial" w:hAnsi="Arial" w:cs="Arial"/>
          <w:sz w:val="24"/>
          <w:szCs w:val="24"/>
          <w:lang w:val="en-GB"/>
        </w:rPr>
      </w:pPr>
    </w:p>
    <w:p w14:paraId="7F20726F" w14:textId="723F6243" w:rsidR="002D6711" w:rsidRDefault="00A62352" w:rsidP="0043590F">
      <w:pPr>
        <w:pStyle w:val="ListParagraph"/>
        <w:spacing w:line="360" w:lineRule="auto"/>
        <w:ind w:left="0"/>
        <w:jc w:val="both"/>
        <w:rPr>
          <w:rFonts w:ascii="Arial" w:hAnsi="Arial" w:cs="Arial"/>
          <w:sz w:val="24"/>
          <w:szCs w:val="24"/>
          <w:lang w:val="en-GB"/>
        </w:rPr>
      </w:pPr>
      <w:r>
        <w:rPr>
          <w:rFonts w:ascii="Arial" w:hAnsi="Arial" w:cs="Arial"/>
          <w:sz w:val="24"/>
          <w:szCs w:val="24"/>
          <w:lang w:val="en-GB"/>
        </w:rPr>
        <w:t>[51]</w:t>
      </w:r>
      <w:r w:rsidR="0043590F">
        <w:rPr>
          <w:rFonts w:ascii="Arial" w:hAnsi="Arial" w:cs="Arial"/>
          <w:sz w:val="24"/>
          <w:szCs w:val="24"/>
          <w:lang w:val="en-GB"/>
        </w:rPr>
        <w:t xml:space="preserve"> </w:t>
      </w:r>
      <w:r w:rsidR="0043590F">
        <w:rPr>
          <w:rFonts w:ascii="Arial" w:hAnsi="Arial" w:cs="Arial"/>
          <w:sz w:val="24"/>
          <w:szCs w:val="24"/>
          <w:lang w:val="en-GB"/>
        </w:rPr>
        <w:tab/>
      </w:r>
      <w:r w:rsidR="007F2DFF" w:rsidRPr="002D6711">
        <w:rPr>
          <w:rFonts w:ascii="Arial" w:hAnsi="Arial" w:cs="Arial"/>
          <w:sz w:val="24"/>
          <w:szCs w:val="24"/>
          <w:lang w:val="en-GB"/>
        </w:rPr>
        <w:t>T</w:t>
      </w:r>
      <w:r w:rsidR="004F24B9" w:rsidRPr="002D6711">
        <w:rPr>
          <w:rFonts w:ascii="Arial" w:hAnsi="Arial" w:cs="Arial"/>
          <w:sz w:val="24"/>
          <w:szCs w:val="24"/>
          <w:lang w:val="en-GB"/>
        </w:rPr>
        <w:t xml:space="preserve">he record raises further concerns. It was common cause that the appellant’s </w:t>
      </w:r>
      <w:r w:rsidR="007F2DFF" w:rsidRPr="002D6711">
        <w:rPr>
          <w:rFonts w:ascii="Arial" w:hAnsi="Arial" w:cs="Arial"/>
          <w:sz w:val="24"/>
          <w:szCs w:val="24"/>
          <w:lang w:val="en-GB"/>
        </w:rPr>
        <w:t xml:space="preserve">family </w:t>
      </w:r>
      <w:r w:rsidR="00A44683" w:rsidRPr="002D6711">
        <w:rPr>
          <w:rFonts w:ascii="Arial" w:hAnsi="Arial" w:cs="Arial"/>
          <w:sz w:val="24"/>
          <w:szCs w:val="24"/>
          <w:lang w:val="en-GB"/>
        </w:rPr>
        <w:t xml:space="preserve">had </w:t>
      </w:r>
      <w:r w:rsidR="007F2DFF" w:rsidRPr="002D6711">
        <w:rPr>
          <w:rFonts w:ascii="Arial" w:hAnsi="Arial" w:cs="Arial"/>
          <w:sz w:val="24"/>
          <w:szCs w:val="24"/>
          <w:lang w:val="en-GB"/>
        </w:rPr>
        <w:t xml:space="preserve">kept a pair of aggressive dogs on the property, notorious for biting visitors. The complainant herself testified that she </w:t>
      </w:r>
      <w:r w:rsidR="008E5FA8" w:rsidRPr="002D6711">
        <w:rPr>
          <w:rFonts w:ascii="Arial" w:hAnsi="Arial" w:cs="Arial"/>
          <w:sz w:val="24"/>
          <w:szCs w:val="24"/>
          <w:lang w:val="en-GB"/>
        </w:rPr>
        <w:t xml:space="preserve">had </w:t>
      </w:r>
      <w:r w:rsidR="00A44683" w:rsidRPr="002D6711">
        <w:rPr>
          <w:rFonts w:ascii="Arial" w:hAnsi="Arial" w:cs="Arial"/>
          <w:sz w:val="24"/>
          <w:szCs w:val="24"/>
          <w:lang w:val="en-GB"/>
        </w:rPr>
        <w:t xml:space="preserve">been </w:t>
      </w:r>
      <w:r w:rsidR="007F2DFF" w:rsidRPr="002D6711">
        <w:rPr>
          <w:rFonts w:ascii="Arial" w:hAnsi="Arial" w:cs="Arial"/>
          <w:sz w:val="24"/>
          <w:szCs w:val="24"/>
          <w:lang w:val="en-GB"/>
        </w:rPr>
        <w:t xml:space="preserve">afraid of the dogs. It was also common cause that </w:t>
      </w:r>
      <w:r w:rsidR="00EE5275" w:rsidRPr="002D6711">
        <w:rPr>
          <w:rFonts w:ascii="Arial" w:hAnsi="Arial" w:cs="Arial"/>
          <w:sz w:val="24"/>
          <w:szCs w:val="24"/>
          <w:lang w:val="en-GB"/>
        </w:rPr>
        <w:t xml:space="preserve">most of </w:t>
      </w:r>
      <w:r w:rsidR="007F2DFF" w:rsidRPr="002D6711">
        <w:rPr>
          <w:rFonts w:ascii="Arial" w:hAnsi="Arial" w:cs="Arial"/>
          <w:sz w:val="24"/>
          <w:szCs w:val="24"/>
          <w:lang w:val="en-GB"/>
        </w:rPr>
        <w:t xml:space="preserve">the </w:t>
      </w:r>
      <w:r w:rsidR="00EE5275" w:rsidRPr="002D6711">
        <w:rPr>
          <w:rFonts w:ascii="Arial" w:hAnsi="Arial" w:cs="Arial"/>
          <w:sz w:val="24"/>
          <w:szCs w:val="24"/>
          <w:lang w:val="en-GB"/>
        </w:rPr>
        <w:t xml:space="preserve">appellant’s </w:t>
      </w:r>
      <w:r w:rsidR="007F2DFF" w:rsidRPr="002D6711">
        <w:rPr>
          <w:rFonts w:ascii="Arial" w:hAnsi="Arial" w:cs="Arial"/>
          <w:sz w:val="24"/>
          <w:szCs w:val="24"/>
          <w:lang w:val="en-GB"/>
        </w:rPr>
        <w:t xml:space="preserve">family </w:t>
      </w:r>
      <w:r w:rsidR="00A44683" w:rsidRPr="002D6711">
        <w:rPr>
          <w:rFonts w:ascii="Arial" w:hAnsi="Arial" w:cs="Arial"/>
          <w:sz w:val="24"/>
          <w:szCs w:val="24"/>
          <w:lang w:val="en-GB"/>
        </w:rPr>
        <w:t>had been</w:t>
      </w:r>
      <w:r w:rsidR="00EE5275" w:rsidRPr="002D6711">
        <w:rPr>
          <w:rFonts w:ascii="Arial" w:hAnsi="Arial" w:cs="Arial"/>
          <w:sz w:val="24"/>
          <w:szCs w:val="24"/>
          <w:lang w:val="en-GB"/>
        </w:rPr>
        <w:t xml:space="preserve"> </w:t>
      </w:r>
      <w:r w:rsidR="007F2DFF" w:rsidRPr="002D6711">
        <w:rPr>
          <w:rFonts w:ascii="Arial" w:hAnsi="Arial" w:cs="Arial"/>
          <w:sz w:val="24"/>
          <w:szCs w:val="24"/>
          <w:lang w:val="en-GB"/>
        </w:rPr>
        <w:t xml:space="preserve">at home in the evenings. Mindful of the above, it is </w:t>
      </w:r>
      <w:r w:rsidR="00EE5275" w:rsidRPr="002D6711">
        <w:rPr>
          <w:rFonts w:ascii="Arial" w:hAnsi="Arial" w:cs="Arial"/>
          <w:sz w:val="24"/>
          <w:szCs w:val="24"/>
          <w:lang w:val="en-GB"/>
        </w:rPr>
        <w:t xml:space="preserve">difficult to believe, </w:t>
      </w:r>
      <w:r w:rsidR="00782580">
        <w:rPr>
          <w:rFonts w:ascii="Arial" w:hAnsi="Arial" w:cs="Arial"/>
          <w:sz w:val="24"/>
          <w:szCs w:val="24"/>
          <w:lang w:val="en-GB"/>
        </w:rPr>
        <w:t>beyond reasonable doubt</w:t>
      </w:r>
      <w:r w:rsidR="00EE5275" w:rsidRPr="002D6711">
        <w:rPr>
          <w:rFonts w:ascii="Arial" w:hAnsi="Arial" w:cs="Arial"/>
          <w:sz w:val="24"/>
          <w:szCs w:val="24"/>
          <w:lang w:val="en-GB"/>
        </w:rPr>
        <w:t xml:space="preserve">, </w:t>
      </w:r>
      <w:r w:rsidR="007F2DFF" w:rsidRPr="002D6711">
        <w:rPr>
          <w:rFonts w:ascii="Arial" w:hAnsi="Arial" w:cs="Arial"/>
          <w:sz w:val="24"/>
          <w:szCs w:val="24"/>
          <w:lang w:val="en-GB"/>
        </w:rPr>
        <w:t>that the complainant would have visited the property after dark, risked attack by the dogs</w:t>
      </w:r>
      <w:r w:rsidR="00BD3C5D" w:rsidRPr="002D6711">
        <w:rPr>
          <w:rFonts w:ascii="Arial" w:hAnsi="Arial" w:cs="Arial"/>
          <w:sz w:val="24"/>
          <w:szCs w:val="24"/>
          <w:lang w:val="en-GB"/>
        </w:rPr>
        <w:t xml:space="preserve">, </w:t>
      </w:r>
      <w:r w:rsidR="007F2DFF" w:rsidRPr="002D6711">
        <w:rPr>
          <w:rFonts w:ascii="Arial" w:hAnsi="Arial" w:cs="Arial"/>
          <w:sz w:val="24"/>
          <w:szCs w:val="24"/>
          <w:lang w:val="en-GB"/>
        </w:rPr>
        <w:t>knock</w:t>
      </w:r>
      <w:r w:rsidR="00EE5275" w:rsidRPr="002D6711">
        <w:rPr>
          <w:rFonts w:ascii="Arial" w:hAnsi="Arial" w:cs="Arial"/>
          <w:sz w:val="24"/>
          <w:szCs w:val="24"/>
          <w:lang w:val="en-GB"/>
        </w:rPr>
        <w:t>ed</w:t>
      </w:r>
      <w:r w:rsidR="007F2DFF" w:rsidRPr="002D6711">
        <w:rPr>
          <w:rFonts w:ascii="Arial" w:hAnsi="Arial" w:cs="Arial"/>
          <w:sz w:val="24"/>
          <w:szCs w:val="24"/>
          <w:lang w:val="en-GB"/>
        </w:rPr>
        <w:t xml:space="preserve"> on the door, </w:t>
      </w:r>
      <w:r w:rsidR="00EE5275" w:rsidRPr="002D6711">
        <w:rPr>
          <w:rFonts w:ascii="Arial" w:hAnsi="Arial" w:cs="Arial"/>
          <w:sz w:val="24"/>
          <w:szCs w:val="24"/>
          <w:lang w:val="en-GB"/>
        </w:rPr>
        <w:t xml:space="preserve">and entered </w:t>
      </w:r>
      <w:r w:rsidR="007F2DFF" w:rsidRPr="002D6711">
        <w:rPr>
          <w:rFonts w:ascii="Arial" w:hAnsi="Arial" w:cs="Arial"/>
          <w:sz w:val="24"/>
          <w:szCs w:val="24"/>
          <w:lang w:val="en-GB"/>
        </w:rPr>
        <w:t xml:space="preserve">a house occupied </w:t>
      </w:r>
      <w:r w:rsidR="00EE5275" w:rsidRPr="002D6711">
        <w:rPr>
          <w:rFonts w:ascii="Arial" w:hAnsi="Arial" w:cs="Arial"/>
          <w:sz w:val="24"/>
          <w:szCs w:val="24"/>
          <w:lang w:val="en-GB"/>
        </w:rPr>
        <w:t xml:space="preserve">solely </w:t>
      </w:r>
      <w:r w:rsidR="007F2DFF" w:rsidRPr="002D6711">
        <w:rPr>
          <w:rFonts w:ascii="Arial" w:hAnsi="Arial" w:cs="Arial"/>
          <w:sz w:val="24"/>
          <w:szCs w:val="24"/>
          <w:lang w:val="en-GB"/>
        </w:rPr>
        <w:t xml:space="preserve">by the appellant. Add to this the </w:t>
      </w:r>
      <w:r w:rsidR="00634662" w:rsidRPr="002D6711">
        <w:rPr>
          <w:rFonts w:ascii="Arial" w:hAnsi="Arial" w:cs="Arial"/>
          <w:sz w:val="24"/>
          <w:szCs w:val="24"/>
          <w:lang w:val="en-GB"/>
        </w:rPr>
        <w:t xml:space="preserve">three-year </w:t>
      </w:r>
      <w:r w:rsidR="007F2DFF" w:rsidRPr="002D6711">
        <w:rPr>
          <w:rFonts w:ascii="Arial" w:hAnsi="Arial" w:cs="Arial"/>
          <w:sz w:val="24"/>
          <w:szCs w:val="24"/>
          <w:lang w:val="en-GB"/>
        </w:rPr>
        <w:t xml:space="preserve">delay in reporting the incident, the </w:t>
      </w:r>
      <w:r w:rsidR="00EE5275" w:rsidRPr="002D6711">
        <w:rPr>
          <w:rFonts w:ascii="Arial" w:hAnsi="Arial" w:cs="Arial"/>
          <w:sz w:val="24"/>
          <w:szCs w:val="24"/>
          <w:lang w:val="en-GB"/>
        </w:rPr>
        <w:t xml:space="preserve">possible influence </w:t>
      </w:r>
      <w:r w:rsidR="007F2DFF" w:rsidRPr="002D6711">
        <w:rPr>
          <w:rFonts w:ascii="Arial" w:hAnsi="Arial" w:cs="Arial"/>
          <w:sz w:val="24"/>
          <w:szCs w:val="24"/>
          <w:lang w:val="en-GB"/>
        </w:rPr>
        <w:t>of the No Means No</w:t>
      </w:r>
      <w:r w:rsidR="00A761A2">
        <w:rPr>
          <w:rFonts w:ascii="Arial" w:hAnsi="Arial" w:cs="Arial"/>
          <w:sz w:val="24"/>
          <w:szCs w:val="24"/>
          <w:lang w:val="en-GB"/>
        </w:rPr>
        <w:t>-</w:t>
      </w:r>
      <w:r w:rsidR="007F2DFF" w:rsidRPr="002D6711">
        <w:rPr>
          <w:rFonts w:ascii="Arial" w:hAnsi="Arial" w:cs="Arial"/>
          <w:sz w:val="24"/>
          <w:szCs w:val="24"/>
          <w:lang w:val="en-GB"/>
        </w:rPr>
        <w:t xml:space="preserve"> programme, and the testimony of both the appellant and Ms July that the complainant </w:t>
      </w:r>
      <w:r w:rsidR="00297916" w:rsidRPr="002D6711">
        <w:rPr>
          <w:rFonts w:ascii="Arial" w:hAnsi="Arial" w:cs="Arial"/>
          <w:sz w:val="24"/>
          <w:szCs w:val="24"/>
          <w:lang w:val="en-GB"/>
        </w:rPr>
        <w:t xml:space="preserve">had </w:t>
      </w:r>
      <w:r w:rsidR="007F2DFF" w:rsidRPr="002D6711">
        <w:rPr>
          <w:rFonts w:ascii="Arial" w:hAnsi="Arial" w:cs="Arial"/>
          <w:sz w:val="24"/>
          <w:szCs w:val="24"/>
          <w:lang w:val="en-GB"/>
        </w:rPr>
        <w:t>continued to visit the property after</w:t>
      </w:r>
      <w:r w:rsidR="00EE5275" w:rsidRPr="002D6711">
        <w:rPr>
          <w:rFonts w:ascii="Arial" w:hAnsi="Arial" w:cs="Arial"/>
          <w:sz w:val="24"/>
          <w:szCs w:val="24"/>
          <w:lang w:val="en-GB"/>
        </w:rPr>
        <w:t xml:space="preserve"> 2018, and the appellant’s version starts to look</w:t>
      </w:r>
      <w:r w:rsidR="00693C10" w:rsidRPr="002D6711">
        <w:rPr>
          <w:rFonts w:ascii="Arial" w:hAnsi="Arial" w:cs="Arial"/>
          <w:sz w:val="24"/>
          <w:szCs w:val="24"/>
          <w:lang w:val="en-GB"/>
        </w:rPr>
        <w:t>,</w:t>
      </w:r>
      <w:r w:rsidR="00192305" w:rsidRPr="002D6711">
        <w:rPr>
          <w:rFonts w:ascii="Arial" w:hAnsi="Arial" w:cs="Arial"/>
          <w:sz w:val="24"/>
          <w:szCs w:val="24"/>
          <w:lang w:val="en-GB"/>
        </w:rPr>
        <w:t xml:space="preserve"> </w:t>
      </w:r>
      <w:r w:rsidR="00BD3C5D" w:rsidRPr="002D6711">
        <w:rPr>
          <w:rFonts w:ascii="Arial" w:hAnsi="Arial" w:cs="Arial"/>
          <w:sz w:val="24"/>
          <w:szCs w:val="24"/>
          <w:lang w:val="en-GB"/>
        </w:rPr>
        <w:t>increasingly</w:t>
      </w:r>
      <w:r w:rsidR="00693C10" w:rsidRPr="002D6711">
        <w:rPr>
          <w:rFonts w:ascii="Arial" w:hAnsi="Arial" w:cs="Arial"/>
          <w:sz w:val="24"/>
          <w:szCs w:val="24"/>
          <w:lang w:val="en-GB"/>
        </w:rPr>
        <w:t>,</w:t>
      </w:r>
      <w:r w:rsidR="00BD3C5D" w:rsidRPr="002D6711">
        <w:rPr>
          <w:rFonts w:ascii="Arial" w:hAnsi="Arial" w:cs="Arial"/>
          <w:sz w:val="24"/>
          <w:szCs w:val="24"/>
          <w:lang w:val="en-GB"/>
        </w:rPr>
        <w:t xml:space="preserve"> </w:t>
      </w:r>
      <w:r w:rsidR="00192305" w:rsidRPr="002D6711">
        <w:rPr>
          <w:rFonts w:ascii="Arial" w:hAnsi="Arial" w:cs="Arial"/>
          <w:sz w:val="24"/>
          <w:szCs w:val="24"/>
          <w:lang w:val="en-GB"/>
        </w:rPr>
        <w:t xml:space="preserve">reasonably possibly true. </w:t>
      </w:r>
      <w:r w:rsidR="00782580">
        <w:rPr>
          <w:rFonts w:ascii="Arial" w:hAnsi="Arial" w:cs="Arial"/>
          <w:sz w:val="24"/>
          <w:szCs w:val="24"/>
          <w:lang w:val="en-GB"/>
        </w:rPr>
        <w:t>I am not convinced that the state discharged the onus.</w:t>
      </w:r>
    </w:p>
    <w:p w14:paraId="06C3CFBD" w14:textId="77777777" w:rsidR="00DA10FA" w:rsidRDefault="00DA10FA" w:rsidP="00DA10FA">
      <w:pPr>
        <w:pStyle w:val="ListParagraph"/>
        <w:spacing w:line="360" w:lineRule="auto"/>
        <w:ind w:left="0"/>
        <w:jc w:val="both"/>
        <w:rPr>
          <w:rFonts w:ascii="Arial" w:hAnsi="Arial" w:cs="Arial"/>
          <w:sz w:val="24"/>
          <w:szCs w:val="24"/>
          <w:lang w:val="en-GB"/>
        </w:rPr>
      </w:pPr>
    </w:p>
    <w:p w14:paraId="2A304FD9" w14:textId="248969EE" w:rsidR="002D6711" w:rsidRPr="0055209B" w:rsidRDefault="0055209B" w:rsidP="0055209B">
      <w:pPr>
        <w:spacing w:line="360" w:lineRule="auto"/>
        <w:jc w:val="both"/>
        <w:rPr>
          <w:rFonts w:ascii="Arial" w:hAnsi="Arial" w:cs="Arial"/>
          <w:sz w:val="24"/>
          <w:szCs w:val="24"/>
          <w:lang w:val="en-GB"/>
        </w:rPr>
      </w:pPr>
      <w:r>
        <w:rPr>
          <w:rFonts w:ascii="Arial" w:hAnsi="Arial" w:cs="Arial"/>
          <w:sz w:val="24"/>
          <w:szCs w:val="24"/>
          <w:lang w:val="en-GB"/>
        </w:rPr>
        <w:lastRenderedPageBreak/>
        <w:t>[5</w:t>
      </w:r>
      <w:r w:rsidR="00A62352">
        <w:rPr>
          <w:rFonts w:ascii="Arial" w:hAnsi="Arial" w:cs="Arial"/>
          <w:sz w:val="24"/>
          <w:szCs w:val="24"/>
          <w:lang w:val="en-GB"/>
        </w:rPr>
        <w:t>2</w:t>
      </w:r>
      <w:r>
        <w:rPr>
          <w:rFonts w:ascii="Arial" w:hAnsi="Arial" w:cs="Arial"/>
          <w:sz w:val="24"/>
          <w:szCs w:val="24"/>
          <w:lang w:val="en-GB"/>
        </w:rPr>
        <w:t xml:space="preserve">] </w:t>
      </w:r>
      <w:r>
        <w:rPr>
          <w:rFonts w:ascii="Arial" w:hAnsi="Arial" w:cs="Arial"/>
          <w:sz w:val="24"/>
          <w:szCs w:val="24"/>
          <w:lang w:val="en-GB"/>
        </w:rPr>
        <w:tab/>
      </w:r>
      <w:r w:rsidR="00192305" w:rsidRPr="0055209B">
        <w:rPr>
          <w:rFonts w:ascii="Arial" w:hAnsi="Arial" w:cs="Arial"/>
          <w:sz w:val="24"/>
          <w:szCs w:val="24"/>
          <w:lang w:val="en-GB"/>
        </w:rPr>
        <w:t xml:space="preserve">Regarding sentence, it is necessary to remark that section 77(1)(b) of the CJA makes it </w:t>
      </w:r>
      <w:r w:rsidR="00BD3C5D" w:rsidRPr="0055209B">
        <w:rPr>
          <w:rFonts w:ascii="Arial" w:hAnsi="Arial" w:cs="Arial"/>
          <w:sz w:val="24"/>
          <w:szCs w:val="24"/>
          <w:lang w:val="en-GB"/>
        </w:rPr>
        <w:t>abundantl</w:t>
      </w:r>
      <w:r w:rsidR="00192305" w:rsidRPr="0055209B">
        <w:rPr>
          <w:rFonts w:ascii="Arial" w:hAnsi="Arial" w:cs="Arial"/>
          <w:sz w:val="24"/>
          <w:szCs w:val="24"/>
          <w:lang w:val="en-GB"/>
        </w:rPr>
        <w:t>y clear that a sentence of imprisonment must be ‘a measure of last resort and for the shortest appropriate period of time’.</w:t>
      </w:r>
      <w:r w:rsidR="007F2DFF" w:rsidRPr="0055209B">
        <w:rPr>
          <w:rFonts w:ascii="Arial" w:hAnsi="Arial" w:cs="Arial"/>
          <w:sz w:val="24"/>
          <w:szCs w:val="24"/>
          <w:lang w:val="en-GB"/>
        </w:rPr>
        <w:t xml:space="preserve"> </w:t>
      </w:r>
      <w:r w:rsidR="00BD3C5D" w:rsidRPr="0055209B">
        <w:rPr>
          <w:rFonts w:ascii="Arial" w:hAnsi="Arial" w:cs="Arial"/>
          <w:sz w:val="24"/>
          <w:szCs w:val="24"/>
          <w:lang w:val="en-GB"/>
        </w:rPr>
        <w:t xml:space="preserve">The </w:t>
      </w:r>
      <w:r w:rsidR="00F57508" w:rsidRPr="0055209B">
        <w:rPr>
          <w:rFonts w:ascii="Arial" w:hAnsi="Arial" w:cs="Arial"/>
          <w:sz w:val="24"/>
          <w:szCs w:val="24"/>
          <w:lang w:val="en-GB"/>
        </w:rPr>
        <w:t>expression,</w:t>
      </w:r>
      <w:r w:rsidR="00BD3C5D" w:rsidRPr="0055209B">
        <w:rPr>
          <w:rFonts w:ascii="Arial" w:hAnsi="Arial" w:cs="Arial"/>
          <w:sz w:val="24"/>
          <w:szCs w:val="24"/>
          <w:lang w:val="en-GB"/>
        </w:rPr>
        <w:t xml:space="preserve"> ‘last resort’</w:t>
      </w:r>
      <w:r w:rsidR="00F57508" w:rsidRPr="0055209B">
        <w:rPr>
          <w:rFonts w:ascii="Arial" w:hAnsi="Arial" w:cs="Arial"/>
          <w:sz w:val="24"/>
          <w:szCs w:val="24"/>
          <w:lang w:val="en-GB"/>
        </w:rPr>
        <w:t xml:space="preserve">, means </w:t>
      </w:r>
      <w:r w:rsidR="00BD3C5D" w:rsidRPr="0055209B">
        <w:rPr>
          <w:rFonts w:ascii="Arial" w:hAnsi="Arial" w:cs="Arial"/>
          <w:sz w:val="24"/>
          <w:szCs w:val="24"/>
          <w:lang w:val="en-GB"/>
        </w:rPr>
        <w:t>when all else has failed</w:t>
      </w:r>
      <w:r w:rsidR="003A5123" w:rsidRPr="0055209B">
        <w:rPr>
          <w:rFonts w:ascii="Arial" w:hAnsi="Arial" w:cs="Arial"/>
          <w:sz w:val="24"/>
          <w:szCs w:val="24"/>
          <w:lang w:val="en-GB"/>
        </w:rPr>
        <w:t>.</w:t>
      </w:r>
      <w:r w:rsidR="00BD3C5D">
        <w:rPr>
          <w:rStyle w:val="FootnoteReference"/>
          <w:rFonts w:ascii="Arial" w:hAnsi="Arial" w:cs="Arial"/>
          <w:sz w:val="24"/>
          <w:szCs w:val="24"/>
          <w:lang w:val="en-GB"/>
        </w:rPr>
        <w:footnoteReference w:id="24"/>
      </w:r>
      <w:r w:rsidR="00BD3C5D" w:rsidRPr="0055209B">
        <w:rPr>
          <w:rFonts w:ascii="Arial" w:hAnsi="Arial" w:cs="Arial"/>
          <w:sz w:val="24"/>
          <w:szCs w:val="24"/>
          <w:lang w:val="en-GB"/>
        </w:rPr>
        <w:t xml:space="preserve"> </w:t>
      </w:r>
      <w:r w:rsidR="00192305" w:rsidRPr="0055209B">
        <w:rPr>
          <w:rFonts w:ascii="Arial" w:hAnsi="Arial" w:cs="Arial"/>
          <w:sz w:val="24"/>
          <w:szCs w:val="24"/>
          <w:lang w:val="en-GB"/>
        </w:rPr>
        <w:t xml:space="preserve">The pre-sentence report </w:t>
      </w:r>
      <w:r w:rsidR="00BD3C5D" w:rsidRPr="0055209B">
        <w:rPr>
          <w:rFonts w:ascii="Arial" w:hAnsi="Arial" w:cs="Arial"/>
          <w:sz w:val="24"/>
          <w:szCs w:val="24"/>
          <w:lang w:val="en-GB"/>
        </w:rPr>
        <w:t xml:space="preserve">recommended </w:t>
      </w:r>
      <w:r w:rsidR="00F46F2E" w:rsidRPr="0055209B">
        <w:rPr>
          <w:rFonts w:ascii="Arial" w:hAnsi="Arial" w:cs="Arial"/>
          <w:sz w:val="24"/>
          <w:szCs w:val="24"/>
          <w:lang w:val="en-GB"/>
        </w:rPr>
        <w:t xml:space="preserve">the imposition of a sentence in terms of section 78(3) of the </w:t>
      </w:r>
      <w:r w:rsidRPr="0055209B">
        <w:rPr>
          <w:rFonts w:ascii="Arial" w:hAnsi="Arial" w:cs="Arial"/>
          <w:sz w:val="24"/>
          <w:szCs w:val="24"/>
          <w:lang w:val="en-GB"/>
        </w:rPr>
        <w:t>CJA,</w:t>
      </w:r>
      <w:r w:rsidR="00F46F2E" w:rsidRPr="0055209B">
        <w:rPr>
          <w:rFonts w:ascii="Arial" w:hAnsi="Arial" w:cs="Arial"/>
          <w:sz w:val="24"/>
          <w:szCs w:val="24"/>
          <w:lang w:val="en-GB"/>
        </w:rPr>
        <w:t xml:space="preserve"> but this was rejected by the court </w:t>
      </w:r>
      <w:r w:rsidR="00F46F2E" w:rsidRPr="0055209B">
        <w:rPr>
          <w:rFonts w:ascii="Arial" w:hAnsi="Arial" w:cs="Arial"/>
          <w:i/>
          <w:iCs/>
          <w:sz w:val="24"/>
          <w:szCs w:val="24"/>
          <w:lang w:val="en-GB"/>
        </w:rPr>
        <w:t>a quo</w:t>
      </w:r>
      <w:r w:rsidR="00F46F2E" w:rsidRPr="0055209B">
        <w:rPr>
          <w:rFonts w:ascii="Arial" w:hAnsi="Arial" w:cs="Arial"/>
          <w:sz w:val="24"/>
          <w:szCs w:val="24"/>
          <w:lang w:val="en-GB"/>
        </w:rPr>
        <w:t xml:space="preserve"> predominantly </w:t>
      </w:r>
      <w:r w:rsidR="00EB7B05" w:rsidRPr="0055209B">
        <w:rPr>
          <w:rFonts w:ascii="Arial" w:hAnsi="Arial" w:cs="Arial"/>
          <w:sz w:val="24"/>
          <w:szCs w:val="24"/>
          <w:lang w:val="en-GB"/>
        </w:rPr>
        <w:t>because of</w:t>
      </w:r>
      <w:r w:rsidR="00F46F2E" w:rsidRPr="0055209B">
        <w:rPr>
          <w:rFonts w:ascii="Arial" w:hAnsi="Arial" w:cs="Arial"/>
          <w:sz w:val="24"/>
          <w:szCs w:val="24"/>
          <w:lang w:val="en-GB"/>
        </w:rPr>
        <w:t xml:space="preserve"> the aggravating factors mentioned in the record and the appellant’s alleged lack of remorse. It is not apparent that the court </w:t>
      </w:r>
      <w:r w:rsidR="00F46F2E" w:rsidRPr="0055209B">
        <w:rPr>
          <w:rFonts w:ascii="Arial" w:hAnsi="Arial" w:cs="Arial"/>
          <w:i/>
          <w:iCs/>
          <w:sz w:val="24"/>
          <w:szCs w:val="24"/>
          <w:lang w:val="en-GB"/>
        </w:rPr>
        <w:t>a quo</w:t>
      </w:r>
      <w:r w:rsidR="00F46F2E" w:rsidRPr="0055209B">
        <w:rPr>
          <w:rFonts w:ascii="Arial" w:hAnsi="Arial" w:cs="Arial"/>
          <w:sz w:val="24"/>
          <w:szCs w:val="24"/>
          <w:lang w:val="en-GB"/>
        </w:rPr>
        <w:t xml:space="preserve"> considered, properly, the alternatives presented in the report, either individually or in combination, and why the court </w:t>
      </w:r>
      <w:r w:rsidR="00F46F2E" w:rsidRPr="0055209B">
        <w:rPr>
          <w:rFonts w:ascii="Arial" w:hAnsi="Arial" w:cs="Arial"/>
          <w:i/>
          <w:iCs/>
          <w:sz w:val="24"/>
          <w:szCs w:val="24"/>
          <w:lang w:val="en-GB"/>
        </w:rPr>
        <w:t>a quo</w:t>
      </w:r>
      <w:r w:rsidR="00F46F2E" w:rsidRPr="0055209B">
        <w:rPr>
          <w:rFonts w:ascii="Arial" w:hAnsi="Arial" w:cs="Arial"/>
          <w:sz w:val="24"/>
          <w:szCs w:val="24"/>
          <w:lang w:val="en-GB"/>
        </w:rPr>
        <w:t xml:space="preserve"> deemed such alternatives to have been doomed to failure</w:t>
      </w:r>
      <w:r w:rsidR="00016E4C" w:rsidRPr="0055209B">
        <w:rPr>
          <w:rFonts w:ascii="Arial" w:hAnsi="Arial" w:cs="Arial"/>
          <w:sz w:val="24"/>
          <w:szCs w:val="24"/>
          <w:lang w:val="en-GB"/>
        </w:rPr>
        <w:t xml:space="preserve"> from the start</w:t>
      </w:r>
      <w:r w:rsidR="00F46F2E" w:rsidRPr="0055209B">
        <w:rPr>
          <w:rFonts w:ascii="Arial" w:hAnsi="Arial" w:cs="Arial"/>
          <w:sz w:val="24"/>
          <w:szCs w:val="24"/>
          <w:lang w:val="en-GB"/>
        </w:rPr>
        <w:t xml:space="preserve">. It is, in other words, not apparent why imprisonment was the last resort available to the court </w:t>
      </w:r>
      <w:r w:rsidR="00F46F2E" w:rsidRPr="0055209B">
        <w:rPr>
          <w:rFonts w:ascii="Arial" w:hAnsi="Arial" w:cs="Arial"/>
          <w:i/>
          <w:iCs/>
          <w:sz w:val="24"/>
          <w:szCs w:val="24"/>
          <w:lang w:val="en-GB"/>
        </w:rPr>
        <w:t xml:space="preserve">a quo </w:t>
      </w:r>
      <w:r w:rsidR="00F46F2E" w:rsidRPr="0055209B">
        <w:rPr>
          <w:rFonts w:ascii="Arial" w:hAnsi="Arial" w:cs="Arial"/>
          <w:sz w:val="24"/>
          <w:szCs w:val="24"/>
          <w:lang w:val="en-GB"/>
        </w:rPr>
        <w:t xml:space="preserve">in relation to the sentencing of the appellant.   </w:t>
      </w:r>
    </w:p>
    <w:p w14:paraId="6F9ABEE4" w14:textId="51E9B882" w:rsidR="002D6711" w:rsidRDefault="0055209B" w:rsidP="0055209B">
      <w:pPr>
        <w:pStyle w:val="ListParagraph"/>
        <w:spacing w:line="360" w:lineRule="auto"/>
        <w:ind w:left="0"/>
        <w:jc w:val="both"/>
        <w:rPr>
          <w:rFonts w:ascii="Arial" w:hAnsi="Arial" w:cs="Arial"/>
          <w:sz w:val="24"/>
          <w:szCs w:val="24"/>
          <w:lang w:val="en-GB"/>
        </w:rPr>
      </w:pPr>
      <w:r>
        <w:rPr>
          <w:rFonts w:ascii="Arial" w:hAnsi="Arial" w:cs="Arial"/>
          <w:sz w:val="24"/>
          <w:szCs w:val="24"/>
          <w:lang w:val="en-GB"/>
        </w:rPr>
        <w:t>[5</w:t>
      </w:r>
      <w:r w:rsidR="00A62352">
        <w:rPr>
          <w:rFonts w:ascii="Arial" w:hAnsi="Arial" w:cs="Arial"/>
          <w:sz w:val="24"/>
          <w:szCs w:val="24"/>
          <w:lang w:val="en-GB"/>
        </w:rPr>
        <w:t>3</w:t>
      </w:r>
      <w:r>
        <w:rPr>
          <w:rFonts w:ascii="Arial" w:hAnsi="Arial" w:cs="Arial"/>
          <w:sz w:val="24"/>
          <w:szCs w:val="24"/>
          <w:lang w:val="en-GB"/>
        </w:rPr>
        <w:t xml:space="preserve">] </w:t>
      </w:r>
      <w:r>
        <w:rPr>
          <w:rFonts w:ascii="Arial" w:hAnsi="Arial" w:cs="Arial"/>
          <w:sz w:val="24"/>
          <w:szCs w:val="24"/>
          <w:lang w:val="en-GB"/>
        </w:rPr>
        <w:tab/>
      </w:r>
      <w:r w:rsidR="00016E4C" w:rsidRPr="002D6711">
        <w:rPr>
          <w:rFonts w:ascii="Arial" w:hAnsi="Arial" w:cs="Arial"/>
          <w:sz w:val="24"/>
          <w:szCs w:val="24"/>
          <w:lang w:val="en-GB"/>
        </w:rPr>
        <w:t xml:space="preserve">Ultimately, however, the procedural irregularity in relation to the provisions of section 164(1) of the CPA remains an insurmountable hurdle. </w:t>
      </w:r>
      <w:r w:rsidR="00B75BB2" w:rsidRPr="002D6711">
        <w:rPr>
          <w:rFonts w:ascii="Arial" w:hAnsi="Arial" w:cs="Arial"/>
          <w:sz w:val="24"/>
          <w:szCs w:val="24"/>
          <w:lang w:val="en-GB"/>
        </w:rPr>
        <w:t xml:space="preserve">By reason of the centrality of the complainant’s evidence to the state’s case, the irregularity cannot </w:t>
      </w:r>
      <w:r w:rsidR="00A56729" w:rsidRPr="002D6711">
        <w:rPr>
          <w:rFonts w:ascii="Arial" w:hAnsi="Arial" w:cs="Arial"/>
          <w:sz w:val="24"/>
          <w:szCs w:val="24"/>
          <w:lang w:val="en-GB"/>
        </w:rPr>
        <w:t xml:space="preserve">simply </w:t>
      </w:r>
      <w:r w:rsidR="00B75BB2" w:rsidRPr="002D6711">
        <w:rPr>
          <w:rFonts w:ascii="Arial" w:hAnsi="Arial" w:cs="Arial"/>
          <w:sz w:val="24"/>
          <w:szCs w:val="24"/>
          <w:lang w:val="en-GB"/>
        </w:rPr>
        <w:t>be brushed aside</w:t>
      </w:r>
      <w:r w:rsidR="00A56729" w:rsidRPr="002D6711">
        <w:rPr>
          <w:rFonts w:ascii="Arial" w:hAnsi="Arial" w:cs="Arial"/>
          <w:sz w:val="24"/>
          <w:szCs w:val="24"/>
          <w:lang w:val="en-GB"/>
        </w:rPr>
        <w:t xml:space="preserve">. The </w:t>
      </w:r>
      <w:r w:rsidR="00016E4C" w:rsidRPr="002D6711">
        <w:rPr>
          <w:rFonts w:ascii="Arial" w:hAnsi="Arial" w:cs="Arial"/>
          <w:sz w:val="24"/>
          <w:szCs w:val="24"/>
          <w:lang w:val="en-GB"/>
        </w:rPr>
        <w:t xml:space="preserve">court </w:t>
      </w:r>
      <w:r w:rsidR="00016E4C" w:rsidRPr="002D6711">
        <w:rPr>
          <w:rFonts w:ascii="Arial" w:hAnsi="Arial" w:cs="Arial"/>
          <w:i/>
          <w:iCs/>
          <w:sz w:val="24"/>
          <w:szCs w:val="24"/>
          <w:lang w:val="en-GB"/>
        </w:rPr>
        <w:t>a quo</w:t>
      </w:r>
      <w:r w:rsidR="00016E4C" w:rsidRPr="002D6711">
        <w:rPr>
          <w:rFonts w:ascii="Arial" w:hAnsi="Arial" w:cs="Arial"/>
          <w:sz w:val="24"/>
          <w:szCs w:val="24"/>
          <w:lang w:val="en-GB"/>
        </w:rPr>
        <w:t xml:space="preserve"> misdirected itself in admitting the complainant’s evidence without </w:t>
      </w:r>
      <w:r w:rsidR="00C9039E" w:rsidRPr="002D6711">
        <w:rPr>
          <w:rFonts w:ascii="Arial" w:hAnsi="Arial" w:cs="Arial"/>
          <w:sz w:val="24"/>
          <w:szCs w:val="24"/>
          <w:lang w:val="en-GB"/>
        </w:rPr>
        <w:t xml:space="preserve">having </w:t>
      </w:r>
      <w:r w:rsidR="00016E4C" w:rsidRPr="002D6711">
        <w:rPr>
          <w:rFonts w:ascii="Arial" w:hAnsi="Arial" w:cs="Arial"/>
          <w:sz w:val="24"/>
          <w:szCs w:val="24"/>
          <w:lang w:val="en-GB"/>
        </w:rPr>
        <w:t xml:space="preserve">establishing her competency as a child witness. The </w:t>
      </w:r>
      <w:r w:rsidR="00A56729" w:rsidRPr="002D6711">
        <w:rPr>
          <w:rFonts w:ascii="Arial" w:hAnsi="Arial" w:cs="Arial"/>
          <w:sz w:val="24"/>
          <w:szCs w:val="24"/>
          <w:lang w:val="en-GB"/>
        </w:rPr>
        <w:t>appellant’s right to a fair trial, in terms of section 35(3) of the Constitution, was compromised. I am not persuaded that the conviction should be allowed to stand.</w:t>
      </w:r>
    </w:p>
    <w:p w14:paraId="1E9A18AE" w14:textId="77777777" w:rsidR="002D6711" w:rsidRPr="002D6711" w:rsidRDefault="002D6711" w:rsidP="002D6711">
      <w:pPr>
        <w:pStyle w:val="ListParagraph"/>
        <w:rPr>
          <w:rFonts w:ascii="Arial" w:hAnsi="Arial" w:cs="Arial"/>
          <w:sz w:val="24"/>
          <w:szCs w:val="24"/>
          <w:lang w:val="en-GB"/>
        </w:rPr>
      </w:pPr>
    </w:p>
    <w:p w14:paraId="18B19BC3" w14:textId="69C27FF4" w:rsidR="00105588" w:rsidRPr="0055209B" w:rsidRDefault="0055209B" w:rsidP="0055209B">
      <w:pPr>
        <w:spacing w:line="360" w:lineRule="auto"/>
        <w:jc w:val="both"/>
        <w:rPr>
          <w:rFonts w:ascii="Arial" w:hAnsi="Arial" w:cs="Arial"/>
          <w:sz w:val="24"/>
          <w:szCs w:val="24"/>
          <w:lang w:val="en-GB"/>
        </w:rPr>
      </w:pPr>
      <w:r>
        <w:rPr>
          <w:rFonts w:ascii="Arial" w:hAnsi="Arial" w:cs="Arial"/>
          <w:sz w:val="24"/>
          <w:szCs w:val="24"/>
          <w:lang w:val="en-GB"/>
        </w:rPr>
        <w:t>[5</w:t>
      </w:r>
      <w:r w:rsidR="00A62352">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r>
      <w:r w:rsidR="00A56729" w:rsidRPr="0055209B">
        <w:rPr>
          <w:rFonts w:ascii="Arial" w:hAnsi="Arial" w:cs="Arial"/>
          <w:sz w:val="24"/>
          <w:szCs w:val="24"/>
          <w:lang w:val="en-GB"/>
        </w:rPr>
        <w:t xml:space="preserve">In the circumstances, I </w:t>
      </w:r>
      <w:r w:rsidR="001424A2" w:rsidRPr="0055209B">
        <w:rPr>
          <w:rFonts w:ascii="Arial" w:hAnsi="Arial" w:cs="Arial"/>
          <w:sz w:val="24"/>
          <w:szCs w:val="24"/>
          <w:lang w:val="en-GB"/>
        </w:rPr>
        <w:t xml:space="preserve">would </w:t>
      </w:r>
      <w:r w:rsidR="00A56729" w:rsidRPr="0055209B">
        <w:rPr>
          <w:rFonts w:ascii="Arial" w:hAnsi="Arial" w:cs="Arial"/>
          <w:sz w:val="24"/>
          <w:szCs w:val="24"/>
          <w:lang w:val="en-GB"/>
        </w:rPr>
        <w:t>make the following order:</w:t>
      </w:r>
    </w:p>
    <w:p w14:paraId="70B1456E" w14:textId="77777777" w:rsidR="001424A2" w:rsidRDefault="001424A2" w:rsidP="002D6711">
      <w:pPr>
        <w:pStyle w:val="ListParagraph"/>
        <w:spacing w:line="360" w:lineRule="auto"/>
        <w:jc w:val="both"/>
        <w:rPr>
          <w:rFonts w:ascii="Arial" w:hAnsi="Arial" w:cs="Arial"/>
          <w:sz w:val="24"/>
          <w:szCs w:val="24"/>
          <w:lang w:val="en-GB"/>
        </w:rPr>
      </w:pPr>
    </w:p>
    <w:p w14:paraId="5BC172A3" w14:textId="2722A6D8" w:rsidR="002D6711" w:rsidRPr="00242CFF" w:rsidRDefault="00242CFF" w:rsidP="00242CFF">
      <w:pPr>
        <w:spacing w:line="360" w:lineRule="auto"/>
        <w:ind w:left="1276" w:hanging="567"/>
        <w:jc w:val="both"/>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r>
      <w:r w:rsidR="001424A2" w:rsidRPr="00242CFF">
        <w:rPr>
          <w:rFonts w:ascii="Arial" w:hAnsi="Arial" w:cs="Arial"/>
          <w:sz w:val="24"/>
          <w:szCs w:val="24"/>
          <w:lang w:val="en-GB"/>
        </w:rPr>
        <w:t>the appeal is upheld; and</w:t>
      </w:r>
    </w:p>
    <w:p w14:paraId="2757C3CA" w14:textId="77777777" w:rsidR="002D6711" w:rsidRDefault="002D6711" w:rsidP="002D6711">
      <w:pPr>
        <w:pStyle w:val="ListParagraph"/>
        <w:spacing w:line="360" w:lineRule="auto"/>
        <w:ind w:left="1276"/>
        <w:jc w:val="both"/>
        <w:rPr>
          <w:rFonts w:ascii="Arial" w:hAnsi="Arial" w:cs="Arial"/>
          <w:sz w:val="24"/>
          <w:szCs w:val="24"/>
          <w:lang w:val="en-GB"/>
        </w:rPr>
      </w:pPr>
    </w:p>
    <w:p w14:paraId="6CFED76D" w14:textId="3216D0B8" w:rsidR="00120A9C" w:rsidRPr="00242CFF" w:rsidRDefault="00242CFF" w:rsidP="00242CFF">
      <w:pPr>
        <w:spacing w:line="360" w:lineRule="auto"/>
        <w:ind w:left="1276" w:hanging="567"/>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r>
      <w:r w:rsidR="001424A2" w:rsidRPr="00242CFF">
        <w:rPr>
          <w:rFonts w:ascii="Arial" w:hAnsi="Arial" w:cs="Arial"/>
          <w:sz w:val="24"/>
          <w:szCs w:val="24"/>
          <w:lang w:val="en-GB"/>
        </w:rPr>
        <w:t>the conviction and sentence are set aside.</w:t>
      </w:r>
    </w:p>
    <w:p w14:paraId="079B4F89" w14:textId="77777777" w:rsidR="00120A9C" w:rsidRDefault="00120A9C" w:rsidP="00120A9C">
      <w:pPr>
        <w:pStyle w:val="ListParagraph"/>
        <w:rPr>
          <w:rFonts w:ascii="Arial" w:hAnsi="Arial" w:cs="Arial"/>
          <w:sz w:val="24"/>
          <w:szCs w:val="24"/>
          <w:lang w:val="en-GB"/>
        </w:rPr>
      </w:pPr>
    </w:p>
    <w:p w14:paraId="6C46F3A3" w14:textId="77777777" w:rsidR="00782580" w:rsidRPr="00120A9C" w:rsidRDefault="00782580" w:rsidP="00120A9C">
      <w:pPr>
        <w:pStyle w:val="ListParagraph"/>
        <w:rPr>
          <w:rFonts w:ascii="Arial" w:hAnsi="Arial" w:cs="Arial"/>
          <w:sz w:val="24"/>
          <w:szCs w:val="24"/>
          <w:lang w:val="en-GB"/>
        </w:rPr>
      </w:pPr>
    </w:p>
    <w:p w14:paraId="78FDAF3E" w14:textId="77777777" w:rsidR="00120A9C" w:rsidRDefault="00120A9C" w:rsidP="00120A9C">
      <w:pPr>
        <w:spacing w:line="240" w:lineRule="auto"/>
        <w:jc w:val="both"/>
        <w:rPr>
          <w:rFonts w:ascii="Arial" w:hAnsi="Arial" w:cs="Arial"/>
          <w:sz w:val="24"/>
          <w:szCs w:val="24"/>
          <w:lang w:val="en-GB"/>
        </w:rPr>
      </w:pPr>
      <w:r>
        <w:rPr>
          <w:rFonts w:ascii="Arial" w:hAnsi="Arial" w:cs="Arial"/>
          <w:sz w:val="24"/>
          <w:szCs w:val="24"/>
          <w:lang w:val="en-GB"/>
        </w:rPr>
        <w:t>_________________________</w:t>
      </w:r>
    </w:p>
    <w:p w14:paraId="3738E79E" w14:textId="77777777" w:rsidR="00120A9C" w:rsidRDefault="00120A9C" w:rsidP="00120A9C">
      <w:pPr>
        <w:spacing w:line="240" w:lineRule="auto"/>
        <w:jc w:val="both"/>
        <w:rPr>
          <w:rFonts w:ascii="Arial" w:hAnsi="Arial" w:cs="Arial"/>
          <w:sz w:val="24"/>
          <w:szCs w:val="24"/>
          <w:lang w:val="en-GB"/>
        </w:rPr>
      </w:pPr>
      <w:r>
        <w:rPr>
          <w:rFonts w:ascii="Arial" w:hAnsi="Arial" w:cs="Arial"/>
          <w:sz w:val="24"/>
          <w:szCs w:val="24"/>
          <w:lang w:val="en-GB"/>
        </w:rPr>
        <w:lastRenderedPageBreak/>
        <w:t>JGA LAING</w:t>
      </w:r>
    </w:p>
    <w:p w14:paraId="1D1A6940" w14:textId="77777777" w:rsidR="00120A9C" w:rsidRDefault="00120A9C" w:rsidP="00120A9C">
      <w:pPr>
        <w:spacing w:line="240" w:lineRule="auto"/>
        <w:jc w:val="both"/>
        <w:rPr>
          <w:rFonts w:ascii="Arial" w:hAnsi="Arial" w:cs="Arial"/>
          <w:sz w:val="24"/>
          <w:szCs w:val="24"/>
          <w:lang w:val="en-GB"/>
        </w:rPr>
      </w:pPr>
      <w:r>
        <w:rPr>
          <w:rFonts w:ascii="Arial" w:hAnsi="Arial" w:cs="Arial"/>
          <w:sz w:val="24"/>
          <w:szCs w:val="24"/>
          <w:lang w:val="en-GB"/>
        </w:rPr>
        <w:t>JUDGE OF THE HIGH COURT</w:t>
      </w:r>
    </w:p>
    <w:p w14:paraId="19446F5B" w14:textId="77777777" w:rsidR="00120A9C" w:rsidRDefault="00120A9C" w:rsidP="00120A9C">
      <w:pPr>
        <w:spacing w:line="240" w:lineRule="auto"/>
        <w:jc w:val="both"/>
        <w:rPr>
          <w:rFonts w:ascii="Arial" w:hAnsi="Arial" w:cs="Arial"/>
          <w:sz w:val="24"/>
          <w:szCs w:val="24"/>
          <w:lang w:val="en-GB"/>
        </w:rPr>
      </w:pPr>
    </w:p>
    <w:p w14:paraId="7170A4E3" w14:textId="77777777" w:rsidR="00120A9C" w:rsidRDefault="00120A9C" w:rsidP="00120A9C">
      <w:pPr>
        <w:spacing w:line="240" w:lineRule="auto"/>
        <w:jc w:val="both"/>
        <w:rPr>
          <w:rFonts w:ascii="Arial" w:hAnsi="Arial" w:cs="Arial"/>
          <w:sz w:val="24"/>
          <w:szCs w:val="24"/>
          <w:lang w:val="en-GB"/>
        </w:rPr>
      </w:pPr>
      <w:r>
        <w:rPr>
          <w:rFonts w:ascii="Arial" w:hAnsi="Arial" w:cs="Arial"/>
          <w:sz w:val="24"/>
          <w:szCs w:val="24"/>
          <w:lang w:val="en-GB"/>
        </w:rPr>
        <w:t xml:space="preserve">I agree. </w:t>
      </w:r>
    </w:p>
    <w:p w14:paraId="09728677" w14:textId="77777777" w:rsidR="00120A9C" w:rsidRDefault="00120A9C" w:rsidP="00120A9C">
      <w:pPr>
        <w:spacing w:line="240" w:lineRule="auto"/>
        <w:jc w:val="both"/>
        <w:rPr>
          <w:rFonts w:ascii="Arial" w:hAnsi="Arial" w:cs="Arial"/>
          <w:sz w:val="24"/>
          <w:szCs w:val="24"/>
          <w:lang w:val="en-GB"/>
        </w:rPr>
      </w:pPr>
    </w:p>
    <w:p w14:paraId="099D2939" w14:textId="77777777" w:rsidR="00120A9C" w:rsidRDefault="00120A9C" w:rsidP="00120A9C">
      <w:pPr>
        <w:spacing w:line="240" w:lineRule="auto"/>
        <w:jc w:val="both"/>
        <w:rPr>
          <w:rFonts w:ascii="Arial" w:hAnsi="Arial" w:cs="Arial"/>
          <w:sz w:val="24"/>
          <w:szCs w:val="24"/>
          <w:lang w:val="en-GB"/>
        </w:rPr>
      </w:pPr>
      <w:r>
        <w:rPr>
          <w:rFonts w:ascii="Arial" w:hAnsi="Arial" w:cs="Arial"/>
          <w:sz w:val="24"/>
          <w:szCs w:val="24"/>
          <w:lang w:val="en-GB"/>
        </w:rPr>
        <w:t>_________________________</w:t>
      </w:r>
    </w:p>
    <w:p w14:paraId="6D4326B4" w14:textId="77777777" w:rsidR="00120A9C" w:rsidRDefault="00120A9C" w:rsidP="00120A9C">
      <w:pPr>
        <w:spacing w:line="240" w:lineRule="auto"/>
        <w:jc w:val="both"/>
        <w:rPr>
          <w:rFonts w:ascii="Arial" w:hAnsi="Arial" w:cs="Arial"/>
          <w:sz w:val="24"/>
          <w:szCs w:val="24"/>
          <w:lang w:val="en-GB"/>
        </w:rPr>
      </w:pPr>
      <w:r>
        <w:rPr>
          <w:rFonts w:ascii="Arial" w:hAnsi="Arial" w:cs="Arial"/>
          <w:sz w:val="24"/>
          <w:szCs w:val="24"/>
          <w:lang w:val="en-GB"/>
        </w:rPr>
        <w:t>ZZ MATEBESE</w:t>
      </w:r>
    </w:p>
    <w:p w14:paraId="4430ADAB" w14:textId="77777777" w:rsidR="002D6711" w:rsidRDefault="00120A9C" w:rsidP="00782580">
      <w:pPr>
        <w:spacing w:line="240" w:lineRule="auto"/>
        <w:jc w:val="both"/>
        <w:rPr>
          <w:rFonts w:ascii="Arial" w:hAnsi="Arial" w:cs="Arial"/>
          <w:sz w:val="24"/>
          <w:szCs w:val="24"/>
          <w:lang w:val="en-GB"/>
        </w:rPr>
      </w:pPr>
      <w:r>
        <w:rPr>
          <w:rFonts w:ascii="Arial" w:hAnsi="Arial" w:cs="Arial"/>
          <w:sz w:val="24"/>
          <w:szCs w:val="24"/>
          <w:lang w:val="en-GB"/>
        </w:rPr>
        <w:t>ACTING JUDGE OF THE HIGH COURT</w:t>
      </w:r>
    </w:p>
    <w:p w14:paraId="0513CB37" w14:textId="77777777" w:rsidR="00677E4E" w:rsidRDefault="00677E4E" w:rsidP="00782580">
      <w:pPr>
        <w:spacing w:line="240" w:lineRule="auto"/>
        <w:jc w:val="both"/>
        <w:rPr>
          <w:rFonts w:ascii="Arial" w:hAnsi="Arial" w:cs="Arial"/>
          <w:sz w:val="24"/>
          <w:szCs w:val="24"/>
          <w:lang w:val="en-GB"/>
        </w:rPr>
      </w:pPr>
    </w:p>
    <w:p w14:paraId="1DC95495" w14:textId="77777777" w:rsidR="00677E4E" w:rsidRDefault="00677E4E" w:rsidP="00782580">
      <w:pPr>
        <w:spacing w:line="240" w:lineRule="auto"/>
        <w:jc w:val="both"/>
        <w:rPr>
          <w:rFonts w:ascii="Arial" w:hAnsi="Arial" w:cs="Arial"/>
          <w:sz w:val="24"/>
          <w:szCs w:val="24"/>
          <w:lang w:val="en-GB"/>
        </w:rPr>
      </w:pPr>
    </w:p>
    <w:p w14:paraId="5C4667BF" w14:textId="77777777" w:rsidR="00677E4E" w:rsidRDefault="00677E4E" w:rsidP="00782580">
      <w:pPr>
        <w:spacing w:line="240" w:lineRule="auto"/>
        <w:jc w:val="both"/>
        <w:rPr>
          <w:rFonts w:ascii="Arial" w:hAnsi="Arial" w:cs="Arial"/>
          <w:sz w:val="24"/>
          <w:szCs w:val="24"/>
          <w:lang w:val="en-GB"/>
        </w:rPr>
      </w:pPr>
    </w:p>
    <w:p w14:paraId="3F9F22DD" w14:textId="77777777" w:rsidR="002B131E" w:rsidRDefault="002B131E" w:rsidP="00782580">
      <w:pPr>
        <w:spacing w:line="240" w:lineRule="auto"/>
        <w:jc w:val="both"/>
        <w:rPr>
          <w:rFonts w:ascii="Arial" w:hAnsi="Arial" w:cs="Arial"/>
          <w:sz w:val="24"/>
          <w:szCs w:val="24"/>
          <w:lang w:val="en-GB"/>
        </w:rPr>
      </w:pPr>
    </w:p>
    <w:p w14:paraId="692BE2B2" w14:textId="77777777" w:rsidR="00677E4E" w:rsidRDefault="00677E4E" w:rsidP="00782580">
      <w:pPr>
        <w:spacing w:line="240" w:lineRule="auto"/>
        <w:jc w:val="both"/>
        <w:rPr>
          <w:rFonts w:ascii="Arial" w:hAnsi="Arial" w:cs="Arial"/>
          <w:sz w:val="24"/>
          <w:szCs w:val="24"/>
          <w:lang w:val="en-GB"/>
        </w:rPr>
      </w:pPr>
    </w:p>
    <w:p w14:paraId="6F9F9029" w14:textId="77777777" w:rsidR="00677E4E" w:rsidRDefault="00677E4E" w:rsidP="00782580">
      <w:pPr>
        <w:spacing w:line="240" w:lineRule="auto"/>
        <w:jc w:val="both"/>
        <w:rPr>
          <w:rFonts w:ascii="Arial" w:hAnsi="Arial" w:cs="Arial"/>
          <w:sz w:val="24"/>
          <w:szCs w:val="24"/>
          <w:lang w:val="en-GB"/>
        </w:rPr>
      </w:pPr>
    </w:p>
    <w:p w14:paraId="1A8350B7" w14:textId="77777777" w:rsidR="002D6711" w:rsidRPr="002D6711" w:rsidRDefault="002D6711" w:rsidP="00120A9C">
      <w:pPr>
        <w:spacing w:line="360" w:lineRule="auto"/>
        <w:jc w:val="both"/>
        <w:rPr>
          <w:rFonts w:ascii="Arial" w:hAnsi="Arial" w:cs="Arial"/>
          <w:sz w:val="24"/>
          <w:szCs w:val="24"/>
          <w:lang w:val="en-GB"/>
        </w:rPr>
      </w:pPr>
      <w:r>
        <w:rPr>
          <w:rFonts w:ascii="Arial" w:hAnsi="Arial" w:cs="Arial"/>
          <w:sz w:val="24"/>
          <w:szCs w:val="24"/>
          <w:lang w:val="en-GB"/>
        </w:rPr>
        <w:t>APPEARANCE</w:t>
      </w:r>
    </w:p>
    <w:p w14:paraId="3ABC3CEB" w14:textId="77777777" w:rsidR="002D6711" w:rsidRPr="002D6711" w:rsidRDefault="002D6711" w:rsidP="002D6711">
      <w:pPr>
        <w:spacing w:line="240" w:lineRule="auto"/>
        <w:jc w:val="both"/>
        <w:rPr>
          <w:rFonts w:ascii="Arial" w:hAnsi="Arial" w:cs="Arial"/>
          <w:kern w:val="0"/>
          <w:sz w:val="24"/>
          <w:szCs w:val="24"/>
          <w:lang w:val="en-US"/>
          <w14:ligatures w14:val="none"/>
        </w:rPr>
      </w:pPr>
      <w:r w:rsidRPr="002D6711">
        <w:rPr>
          <w:rFonts w:ascii="Arial" w:hAnsi="Arial" w:cs="Arial"/>
          <w:kern w:val="0"/>
          <w:sz w:val="24"/>
          <w:szCs w:val="24"/>
          <w:lang w:val="en-US"/>
          <w14:ligatures w14:val="none"/>
        </w:rPr>
        <w:t>Counsel for the appellant</w:t>
      </w:r>
      <w:r w:rsidRPr="002D6711">
        <w:rPr>
          <w:rFonts w:ascii="Arial" w:hAnsi="Arial" w:cs="Arial"/>
          <w:kern w:val="0"/>
          <w:sz w:val="24"/>
          <w:szCs w:val="24"/>
          <w:lang w:val="en-US"/>
          <w14:ligatures w14:val="none"/>
        </w:rPr>
        <w:tab/>
      </w:r>
      <w:r w:rsidRPr="002D6711">
        <w:rPr>
          <w:rFonts w:ascii="Arial" w:hAnsi="Arial" w:cs="Arial"/>
          <w:kern w:val="0"/>
          <w:sz w:val="24"/>
          <w:szCs w:val="24"/>
          <w:lang w:val="en-US"/>
          <w14:ligatures w14:val="none"/>
        </w:rPr>
        <w:tab/>
        <w:t>:</w:t>
      </w:r>
      <w:r w:rsidRPr="002D6711">
        <w:rPr>
          <w:rFonts w:ascii="Arial" w:hAnsi="Arial" w:cs="Arial"/>
          <w:kern w:val="0"/>
          <w:sz w:val="24"/>
          <w:szCs w:val="24"/>
          <w:lang w:val="en-US"/>
          <w14:ligatures w14:val="none"/>
        </w:rPr>
        <w:tab/>
        <w:t xml:space="preserve">Mr. Charles, instructed by the Legal Aid </w:t>
      </w:r>
    </w:p>
    <w:p w14:paraId="6279E54D" w14:textId="77777777" w:rsidR="002D6711" w:rsidRPr="002D6711" w:rsidRDefault="002D6711" w:rsidP="002D6711">
      <w:pPr>
        <w:spacing w:line="240" w:lineRule="auto"/>
        <w:jc w:val="both"/>
        <w:rPr>
          <w:rFonts w:ascii="Arial" w:hAnsi="Arial" w:cs="Arial"/>
          <w:kern w:val="0"/>
          <w:sz w:val="24"/>
          <w:szCs w:val="24"/>
          <w:lang w:val="en-US"/>
          <w14:ligatures w14:val="none"/>
        </w:rPr>
      </w:pPr>
      <w:r w:rsidRPr="002D6711">
        <w:rPr>
          <w:rFonts w:ascii="Arial" w:hAnsi="Arial" w:cs="Arial"/>
          <w:kern w:val="0"/>
          <w:sz w:val="24"/>
          <w:szCs w:val="24"/>
          <w:lang w:val="en-US"/>
          <w14:ligatures w14:val="none"/>
        </w:rPr>
        <w:tab/>
      </w:r>
      <w:r w:rsidRPr="002D6711">
        <w:rPr>
          <w:rFonts w:ascii="Arial" w:hAnsi="Arial" w:cs="Arial"/>
          <w:kern w:val="0"/>
          <w:sz w:val="24"/>
          <w:szCs w:val="24"/>
          <w:lang w:val="en-US"/>
          <w14:ligatures w14:val="none"/>
        </w:rPr>
        <w:tab/>
      </w:r>
      <w:r w:rsidRPr="002D6711">
        <w:rPr>
          <w:rFonts w:ascii="Arial" w:hAnsi="Arial" w:cs="Arial"/>
          <w:kern w:val="0"/>
          <w:sz w:val="24"/>
          <w:szCs w:val="24"/>
          <w:lang w:val="en-US"/>
          <w14:ligatures w14:val="none"/>
        </w:rPr>
        <w:tab/>
      </w:r>
      <w:r w:rsidRPr="002D6711">
        <w:rPr>
          <w:rFonts w:ascii="Arial" w:hAnsi="Arial" w:cs="Arial"/>
          <w:kern w:val="0"/>
          <w:sz w:val="24"/>
          <w:szCs w:val="24"/>
          <w:lang w:val="en-US"/>
          <w14:ligatures w14:val="none"/>
        </w:rPr>
        <w:tab/>
      </w:r>
      <w:r w:rsidRPr="002D6711">
        <w:rPr>
          <w:rFonts w:ascii="Arial" w:hAnsi="Arial" w:cs="Arial"/>
          <w:kern w:val="0"/>
          <w:sz w:val="24"/>
          <w:szCs w:val="24"/>
          <w:lang w:val="en-US"/>
          <w14:ligatures w14:val="none"/>
        </w:rPr>
        <w:tab/>
      </w:r>
      <w:r w:rsidRPr="002D6711">
        <w:rPr>
          <w:rFonts w:ascii="Arial" w:hAnsi="Arial" w:cs="Arial"/>
          <w:kern w:val="0"/>
          <w:sz w:val="24"/>
          <w:szCs w:val="24"/>
          <w:lang w:val="en-US"/>
          <w14:ligatures w14:val="none"/>
        </w:rPr>
        <w:tab/>
        <w:t xml:space="preserve">Board, </w:t>
      </w:r>
      <w:r>
        <w:rPr>
          <w:rFonts w:ascii="Arial" w:hAnsi="Arial" w:cs="Arial"/>
          <w:kern w:val="0"/>
          <w:sz w:val="24"/>
          <w:szCs w:val="24"/>
          <w:lang w:val="en-US"/>
          <w14:ligatures w14:val="none"/>
        </w:rPr>
        <w:t>Makhanda</w:t>
      </w:r>
      <w:r w:rsidRPr="002D6711">
        <w:rPr>
          <w:rFonts w:ascii="Arial" w:hAnsi="Arial" w:cs="Arial"/>
          <w:kern w:val="0"/>
          <w:sz w:val="24"/>
          <w:szCs w:val="24"/>
          <w:lang w:val="en-US"/>
          <w14:ligatures w14:val="none"/>
        </w:rPr>
        <w:t xml:space="preserve">. </w:t>
      </w:r>
    </w:p>
    <w:p w14:paraId="795EA452" w14:textId="77777777" w:rsidR="002D6711" w:rsidRPr="002D6711" w:rsidRDefault="002D6711" w:rsidP="002D6711">
      <w:pPr>
        <w:spacing w:line="240" w:lineRule="auto"/>
        <w:jc w:val="both"/>
        <w:rPr>
          <w:rFonts w:ascii="Arial" w:hAnsi="Arial" w:cs="Arial"/>
          <w:kern w:val="0"/>
          <w:sz w:val="24"/>
          <w:szCs w:val="24"/>
          <w:lang w:val="en-US"/>
          <w14:ligatures w14:val="none"/>
        </w:rPr>
      </w:pPr>
    </w:p>
    <w:p w14:paraId="3ED2C677" w14:textId="77777777" w:rsidR="002D6711" w:rsidRPr="002D6711" w:rsidRDefault="002D6711" w:rsidP="002D6711">
      <w:pPr>
        <w:spacing w:line="240" w:lineRule="auto"/>
        <w:jc w:val="both"/>
        <w:rPr>
          <w:rFonts w:ascii="Arial" w:hAnsi="Arial" w:cs="Arial"/>
          <w:kern w:val="0"/>
          <w:sz w:val="24"/>
          <w:szCs w:val="24"/>
          <w:lang w:val="en-US"/>
          <w14:ligatures w14:val="none"/>
        </w:rPr>
      </w:pPr>
      <w:r w:rsidRPr="002D6711">
        <w:rPr>
          <w:rFonts w:ascii="Arial" w:hAnsi="Arial" w:cs="Arial"/>
          <w:kern w:val="0"/>
          <w:sz w:val="24"/>
          <w:szCs w:val="24"/>
          <w:lang w:val="en-US"/>
          <w14:ligatures w14:val="none"/>
        </w:rPr>
        <w:t>Counsel for the respondent</w:t>
      </w:r>
      <w:r w:rsidRPr="002D6711">
        <w:rPr>
          <w:rFonts w:ascii="Arial" w:hAnsi="Arial" w:cs="Arial"/>
          <w:kern w:val="0"/>
          <w:sz w:val="24"/>
          <w:szCs w:val="24"/>
          <w:lang w:val="en-US"/>
          <w14:ligatures w14:val="none"/>
        </w:rPr>
        <w:tab/>
        <w:t>:</w:t>
      </w:r>
      <w:r w:rsidRPr="002D6711">
        <w:rPr>
          <w:rFonts w:ascii="Arial" w:hAnsi="Arial" w:cs="Arial"/>
          <w:kern w:val="0"/>
          <w:sz w:val="24"/>
          <w:szCs w:val="24"/>
          <w:lang w:val="en-US"/>
          <w14:ligatures w14:val="none"/>
        </w:rPr>
        <w:tab/>
        <w:t xml:space="preserve">Adv </w:t>
      </w:r>
      <w:r>
        <w:rPr>
          <w:rFonts w:ascii="Arial" w:hAnsi="Arial" w:cs="Arial"/>
          <w:kern w:val="0"/>
          <w:sz w:val="24"/>
          <w:szCs w:val="24"/>
          <w:lang w:val="en-US"/>
          <w14:ligatures w14:val="none"/>
        </w:rPr>
        <w:t>Mtsila</w:t>
      </w:r>
      <w:r w:rsidRPr="002D6711">
        <w:rPr>
          <w:rFonts w:ascii="Arial" w:hAnsi="Arial" w:cs="Arial"/>
          <w:kern w:val="0"/>
          <w:sz w:val="24"/>
          <w:szCs w:val="24"/>
          <w:lang w:val="en-US"/>
          <w14:ligatures w14:val="none"/>
        </w:rPr>
        <w:t xml:space="preserve">, instructed by the Director of </w:t>
      </w:r>
    </w:p>
    <w:p w14:paraId="371493A1" w14:textId="77777777" w:rsidR="002D6711" w:rsidRPr="002D6711" w:rsidRDefault="002D6711" w:rsidP="002D6711">
      <w:pPr>
        <w:spacing w:line="240" w:lineRule="auto"/>
        <w:jc w:val="both"/>
        <w:rPr>
          <w:rFonts w:ascii="Arial" w:hAnsi="Arial" w:cs="Arial"/>
          <w:kern w:val="0"/>
          <w:sz w:val="24"/>
          <w:szCs w:val="24"/>
          <w:lang w:val="en-US"/>
          <w14:ligatures w14:val="none"/>
        </w:rPr>
      </w:pPr>
      <w:r w:rsidRPr="002D6711">
        <w:rPr>
          <w:rFonts w:ascii="Arial" w:hAnsi="Arial" w:cs="Arial"/>
          <w:kern w:val="0"/>
          <w:sz w:val="24"/>
          <w:szCs w:val="24"/>
          <w:lang w:val="en-US"/>
          <w14:ligatures w14:val="none"/>
        </w:rPr>
        <w:tab/>
      </w:r>
      <w:r w:rsidRPr="002D6711">
        <w:rPr>
          <w:rFonts w:ascii="Arial" w:hAnsi="Arial" w:cs="Arial"/>
          <w:kern w:val="0"/>
          <w:sz w:val="24"/>
          <w:szCs w:val="24"/>
          <w:lang w:val="en-US"/>
          <w14:ligatures w14:val="none"/>
        </w:rPr>
        <w:tab/>
      </w:r>
      <w:r w:rsidRPr="002D6711">
        <w:rPr>
          <w:rFonts w:ascii="Arial" w:hAnsi="Arial" w:cs="Arial"/>
          <w:kern w:val="0"/>
          <w:sz w:val="24"/>
          <w:szCs w:val="24"/>
          <w:lang w:val="en-US"/>
          <w14:ligatures w14:val="none"/>
        </w:rPr>
        <w:tab/>
      </w:r>
      <w:r w:rsidRPr="002D6711">
        <w:rPr>
          <w:rFonts w:ascii="Arial" w:hAnsi="Arial" w:cs="Arial"/>
          <w:kern w:val="0"/>
          <w:sz w:val="24"/>
          <w:szCs w:val="24"/>
          <w:lang w:val="en-US"/>
          <w14:ligatures w14:val="none"/>
        </w:rPr>
        <w:tab/>
      </w:r>
      <w:r w:rsidRPr="002D6711">
        <w:rPr>
          <w:rFonts w:ascii="Arial" w:hAnsi="Arial" w:cs="Arial"/>
          <w:kern w:val="0"/>
          <w:sz w:val="24"/>
          <w:szCs w:val="24"/>
          <w:lang w:val="en-US"/>
          <w14:ligatures w14:val="none"/>
        </w:rPr>
        <w:tab/>
      </w:r>
      <w:r w:rsidRPr="002D6711">
        <w:rPr>
          <w:rFonts w:ascii="Arial" w:hAnsi="Arial" w:cs="Arial"/>
          <w:kern w:val="0"/>
          <w:sz w:val="24"/>
          <w:szCs w:val="24"/>
          <w:lang w:val="en-US"/>
          <w14:ligatures w14:val="none"/>
        </w:rPr>
        <w:tab/>
        <w:t xml:space="preserve">Public Prosecution, </w:t>
      </w:r>
      <w:r w:rsidR="00D054B4">
        <w:rPr>
          <w:rFonts w:ascii="Arial" w:hAnsi="Arial" w:cs="Arial"/>
          <w:kern w:val="0"/>
          <w:sz w:val="24"/>
          <w:szCs w:val="24"/>
          <w:lang w:val="en-US"/>
          <w14:ligatures w14:val="none"/>
        </w:rPr>
        <w:t>Makhanda</w:t>
      </w:r>
      <w:r w:rsidRPr="002D6711">
        <w:rPr>
          <w:rFonts w:ascii="Arial" w:hAnsi="Arial" w:cs="Arial"/>
          <w:kern w:val="0"/>
          <w:sz w:val="24"/>
          <w:szCs w:val="24"/>
          <w:lang w:val="en-US"/>
          <w14:ligatures w14:val="none"/>
        </w:rPr>
        <w:t xml:space="preserve">. </w:t>
      </w:r>
    </w:p>
    <w:p w14:paraId="2B705D82" w14:textId="77777777" w:rsidR="002D6711" w:rsidRPr="002D6711" w:rsidRDefault="002D6711" w:rsidP="002D6711">
      <w:pPr>
        <w:spacing w:line="240" w:lineRule="auto"/>
        <w:jc w:val="both"/>
        <w:rPr>
          <w:rFonts w:ascii="Arial" w:hAnsi="Arial" w:cs="Arial"/>
          <w:kern w:val="0"/>
          <w:sz w:val="24"/>
          <w:szCs w:val="24"/>
          <w:lang w:val="en-US"/>
          <w14:ligatures w14:val="none"/>
        </w:rPr>
      </w:pPr>
    </w:p>
    <w:p w14:paraId="10C00BC9" w14:textId="77777777" w:rsidR="002D6711" w:rsidRPr="002D6711" w:rsidRDefault="002D6711" w:rsidP="002D6711">
      <w:pPr>
        <w:spacing w:line="240" w:lineRule="auto"/>
        <w:jc w:val="both"/>
        <w:rPr>
          <w:rFonts w:ascii="Arial" w:hAnsi="Arial" w:cs="Arial"/>
          <w:kern w:val="0"/>
          <w:sz w:val="24"/>
          <w:szCs w:val="24"/>
          <w:lang w:val="en-US"/>
          <w14:ligatures w14:val="none"/>
        </w:rPr>
      </w:pPr>
      <w:r w:rsidRPr="002D6711">
        <w:rPr>
          <w:rFonts w:ascii="Arial" w:hAnsi="Arial" w:cs="Arial"/>
          <w:kern w:val="0"/>
          <w:sz w:val="24"/>
          <w:szCs w:val="24"/>
          <w:lang w:val="en-US"/>
          <w14:ligatures w14:val="none"/>
        </w:rPr>
        <w:t>Date of hearing</w:t>
      </w:r>
      <w:r w:rsidRPr="002D6711">
        <w:rPr>
          <w:rFonts w:ascii="Arial" w:hAnsi="Arial" w:cs="Arial"/>
          <w:kern w:val="0"/>
          <w:sz w:val="24"/>
          <w:szCs w:val="24"/>
          <w:lang w:val="en-US"/>
          <w14:ligatures w14:val="none"/>
        </w:rPr>
        <w:tab/>
      </w:r>
      <w:r w:rsidRPr="002D6711">
        <w:rPr>
          <w:rFonts w:ascii="Arial" w:hAnsi="Arial" w:cs="Arial"/>
          <w:kern w:val="0"/>
          <w:sz w:val="24"/>
          <w:szCs w:val="24"/>
          <w:lang w:val="en-US"/>
          <w14:ligatures w14:val="none"/>
        </w:rPr>
        <w:tab/>
      </w:r>
      <w:r w:rsidRPr="002D6711">
        <w:rPr>
          <w:rFonts w:ascii="Arial" w:hAnsi="Arial" w:cs="Arial"/>
          <w:kern w:val="0"/>
          <w:sz w:val="24"/>
          <w:szCs w:val="24"/>
          <w:lang w:val="en-US"/>
          <w14:ligatures w14:val="none"/>
        </w:rPr>
        <w:tab/>
        <w:t>:</w:t>
      </w:r>
      <w:r w:rsidRPr="002D6711">
        <w:rPr>
          <w:rFonts w:ascii="Arial" w:hAnsi="Arial" w:cs="Arial"/>
          <w:kern w:val="0"/>
          <w:sz w:val="24"/>
          <w:szCs w:val="24"/>
          <w:lang w:val="en-US"/>
          <w14:ligatures w14:val="none"/>
        </w:rPr>
        <w:tab/>
      </w:r>
      <w:r w:rsidR="00120A9C">
        <w:rPr>
          <w:rFonts w:ascii="Arial" w:hAnsi="Arial" w:cs="Arial"/>
          <w:kern w:val="0"/>
          <w:sz w:val="24"/>
          <w:szCs w:val="24"/>
          <w:lang w:val="en-US"/>
          <w14:ligatures w14:val="none"/>
        </w:rPr>
        <w:t>06 September</w:t>
      </w:r>
      <w:r w:rsidRPr="002D6711">
        <w:rPr>
          <w:rFonts w:ascii="Arial" w:hAnsi="Arial" w:cs="Arial"/>
          <w:kern w:val="0"/>
          <w:sz w:val="24"/>
          <w:szCs w:val="24"/>
          <w:lang w:val="en-US"/>
          <w14:ligatures w14:val="none"/>
        </w:rPr>
        <w:t xml:space="preserve"> 202</w:t>
      </w:r>
      <w:r w:rsidR="00120A9C">
        <w:rPr>
          <w:rFonts w:ascii="Arial" w:hAnsi="Arial" w:cs="Arial"/>
          <w:kern w:val="0"/>
          <w:sz w:val="24"/>
          <w:szCs w:val="24"/>
          <w:lang w:val="en-US"/>
          <w14:ligatures w14:val="none"/>
        </w:rPr>
        <w:t>3.</w:t>
      </w:r>
    </w:p>
    <w:p w14:paraId="3290E367" w14:textId="067D35CC" w:rsidR="002D6711" w:rsidRPr="002D6711" w:rsidRDefault="002D6711" w:rsidP="002D6711">
      <w:pPr>
        <w:spacing w:line="240" w:lineRule="auto"/>
        <w:jc w:val="both"/>
        <w:rPr>
          <w:rFonts w:ascii="Arial" w:hAnsi="Arial" w:cs="Arial"/>
          <w:kern w:val="0"/>
          <w:sz w:val="24"/>
          <w:szCs w:val="24"/>
          <w:lang w:val="en-US"/>
          <w14:ligatures w14:val="none"/>
        </w:rPr>
      </w:pPr>
      <w:r w:rsidRPr="002D6711">
        <w:rPr>
          <w:rFonts w:ascii="Arial" w:hAnsi="Arial" w:cs="Arial"/>
          <w:kern w:val="0"/>
          <w:sz w:val="24"/>
          <w:szCs w:val="24"/>
          <w:lang w:val="en-US"/>
          <w14:ligatures w14:val="none"/>
        </w:rPr>
        <w:t>Date of delivery of judgment</w:t>
      </w:r>
      <w:r w:rsidRPr="002D6711">
        <w:rPr>
          <w:rFonts w:ascii="Arial" w:hAnsi="Arial" w:cs="Arial"/>
          <w:kern w:val="0"/>
          <w:sz w:val="24"/>
          <w:szCs w:val="24"/>
          <w:lang w:val="en-US"/>
          <w14:ligatures w14:val="none"/>
        </w:rPr>
        <w:tab/>
        <w:t>:</w:t>
      </w:r>
      <w:r w:rsidRPr="002D6711">
        <w:rPr>
          <w:rFonts w:ascii="Arial" w:hAnsi="Arial" w:cs="Arial"/>
          <w:kern w:val="0"/>
          <w:sz w:val="24"/>
          <w:szCs w:val="24"/>
          <w:lang w:val="en-US"/>
          <w14:ligatures w14:val="none"/>
        </w:rPr>
        <w:tab/>
      </w:r>
      <w:r w:rsidR="006851AF">
        <w:rPr>
          <w:rFonts w:ascii="Arial" w:hAnsi="Arial" w:cs="Arial"/>
          <w:kern w:val="0"/>
          <w:sz w:val="24"/>
          <w:szCs w:val="24"/>
          <w:lang w:val="en-US"/>
          <w14:ligatures w14:val="none"/>
        </w:rPr>
        <w:t>1</w:t>
      </w:r>
      <w:r w:rsidR="00333BDB">
        <w:rPr>
          <w:rFonts w:ascii="Arial" w:hAnsi="Arial" w:cs="Arial"/>
          <w:kern w:val="0"/>
          <w:sz w:val="24"/>
          <w:szCs w:val="24"/>
          <w:lang w:val="en-US"/>
          <w14:ligatures w14:val="none"/>
        </w:rPr>
        <w:t>1</w:t>
      </w:r>
      <w:r w:rsidR="00120A9C">
        <w:rPr>
          <w:rFonts w:ascii="Arial" w:hAnsi="Arial" w:cs="Arial"/>
          <w:kern w:val="0"/>
          <w:sz w:val="24"/>
          <w:szCs w:val="24"/>
          <w:lang w:val="en-US"/>
          <w14:ligatures w14:val="none"/>
        </w:rPr>
        <w:t xml:space="preserve"> October 2023.</w:t>
      </w:r>
    </w:p>
    <w:p w14:paraId="7B70C7E5" w14:textId="77777777" w:rsidR="002D6711" w:rsidRPr="002D6711" w:rsidRDefault="002D6711" w:rsidP="002D6711">
      <w:pPr>
        <w:spacing w:line="360" w:lineRule="auto"/>
        <w:jc w:val="both"/>
        <w:rPr>
          <w:rFonts w:ascii="Arial" w:hAnsi="Arial" w:cs="Arial"/>
          <w:sz w:val="24"/>
          <w:szCs w:val="24"/>
          <w:lang w:val="en-GB"/>
        </w:rPr>
      </w:pPr>
    </w:p>
    <w:sectPr w:rsidR="002D6711" w:rsidRPr="002D6711" w:rsidSect="009411E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8F279" w14:textId="77777777" w:rsidR="00761FE1" w:rsidRDefault="00761FE1" w:rsidP="00375432">
      <w:pPr>
        <w:spacing w:after="0" w:line="240" w:lineRule="auto"/>
      </w:pPr>
      <w:r>
        <w:separator/>
      </w:r>
    </w:p>
  </w:endnote>
  <w:endnote w:type="continuationSeparator" w:id="0">
    <w:p w14:paraId="2C6C26E3" w14:textId="77777777" w:rsidR="00761FE1" w:rsidRDefault="00761FE1" w:rsidP="0037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D47E0" w14:textId="77777777" w:rsidR="00761FE1" w:rsidRDefault="00761FE1" w:rsidP="00375432">
      <w:pPr>
        <w:spacing w:after="0" w:line="240" w:lineRule="auto"/>
      </w:pPr>
      <w:r>
        <w:separator/>
      </w:r>
    </w:p>
  </w:footnote>
  <w:footnote w:type="continuationSeparator" w:id="0">
    <w:p w14:paraId="5408CDC8" w14:textId="77777777" w:rsidR="00761FE1" w:rsidRDefault="00761FE1" w:rsidP="00375432">
      <w:pPr>
        <w:spacing w:after="0" w:line="240" w:lineRule="auto"/>
      </w:pPr>
      <w:r>
        <w:continuationSeparator/>
      </w:r>
    </w:p>
  </w:footnote>
  <w:footnote w:id="1">
    <w:p w14:paraId="17486B87" w14:textId="77777777" w:rsidR="00375432" w:rsidRPr="00375432" w:rsidRDefault="00375432" w:rsidP="002D6711">
      <w:pPr>
        <w:pStyle w:val="FootnoteText"/>
        <w:jc w:val="both"/>
        <w:rPr>
          <w:lang w:val="en-US"/>
        </w:rPr>
      </w:pPr>
      <w:r>
        <w:rPr>
          <w:rStyle w:val="FootnoteReference"/>
        </w:rPr>
        <w:footnoteRef/>
      </w:r>
      <w:r>
        <w:t xml:space="preserve"> </w:t>
      </w:r>
      <w:r>
        <w:rPr>
          <w:lang w:val="en-US"/>
        </w:rPr>
        <w:t>1948 (2) SA 677 (A).</w:t>
      </w:r>
    </w:p>
  </w:footnote>
  <w:footnote w:id="2">
    <w:p w14:paraId="5051C74D" w14:textId="77777777" w:rsidR="00DB7377" w:rsidRPr="00DB7377" w:rsidRDefault="00DB7377" w:rsidP="002D6711">
      <w:pPr>
        <w:pStyle w:val="FootnoteText"/>
        <w:jc w:val="both"/>
        <w:rPr>
          <w:lang w:val="en-US"/>
        </w:rPr>
      </w:pPr>
      <w:r>
        <w:rPr>
          <w:rStyle w:val="FootnoteReference"/>
        </w:rPr>
        <w:footnoteRef/>
      </w:r>
      <w:r>
        <w:t xml:space="preserve"> </w:t>
      </w:r>
      <w:r>
        <w:rPr>
          <w:lang w:val="en-US"/>
        </w:rPr>
        <w:t>At 705-6.</w:t>
      </w:r>
    </w:p>
  </w:footnote>
  <w:footnote w:id="3">
    <w:p w14:paraId="6C57A3B8" w14:textId="77777777" w:rsidR="00072729" w:rsidRPr="00072729" w:rsidRDefault="00072729" w:rsidP="002D6711">
      <w:pPr>
        <w:pStyle w:val="FootnoteText"/>
        <w:jc w:val="both"/>
        <w:rPr>
          <w:lang w:val="en-US"/>
        </w:rPr>
      </w:pPr>
      <w:r>
        <w:rPr>
          <w:rStyle w:val="FootnoteReference"/>
        </w:rPr>
        <w:footnoteRef/>
      </w:r>
      <w:r>
        <w:t xml:space="preserve"> </w:t>
      </w:r>
      <w:r>
        <w:rPr>
          <w:lang w:val="en-US"/>
        </w:rPr>
        <w:t xml:space="preserve">See </w:t>
      </w:r>
      <w:r w:rsidRPr="00DB7377">
        <w:rPr>
          <w:i/>
          <w:lang w:val="en-GB"/>
        </w:rPr>
        <w:t>Swain v Society of Advocates, Natal</w:t>
      </w:r>
      <w:r w:rsidRPr="00DB7377">
        <w:rPr>
          <w:lang w:val="en-GB"/>
        </w:rPr>
        <w:t xml:space="preserve"> 1973 (4) SA 784 (A), at 790H.</w:t>
      </w:r>
    </w:p>
  </w:footnote>
  <w:footnote w:id="4">
    <w:p w14:paraId="7930C65F" w14:textId="77777777" w:rsidR="00072729" w:rsidRPr="00072729" w:rsidRDefault="00072729" w:rsidP="002D6711">
      <w:pPr>
        <w:pStyle w:val="FootnoteText"/>
        <w:jc w:val="both"/>
        <w:rPr>
          <w:lang w:val="en-US"/>
        </w:rPr>
      </w:pPr>
      <w:r>
        <w:rPr>
          <w:rStyle w:val="FootnoteReference"/>
        </w:rPr>
        <w:footnoteRef/>
      </w:r>
      <w:r>
        <w:t xml:space="preserve"> </w:t>
      </w:r>
      <w:r w:rsidRPr="00DB7377">
        <w:rPr>
          <w:lang w:val="en-GB"/>
        </w:rPr>
        <w:t>1991 (1) SACR 198 (A)</w:t>
      </w:r>
      <w:r>
        <w:rPr>
          <w:lang w:val="en-GB"/>
        </w:rPr>
        <w:t>.</w:t>
      </w:r>
    </w:p>
  </w:footnote>
  <w:footnote w:id="5">
    <w:p w14:paraId="5F372684" w14:textId="77777777" w:rsidR="00072729" w:rsidRPr="00072729" w:rsidRDefault="00072729" w:rsidP="002D6711">
      <w:pPr>
        <w:pStyle w:val="FootnoteText"/>
        <w:jc w:val="both"/>
        <w:rPr>
          <w:lang w:val="en-US"/>
        </w:rPr>
      </w:pPr>
      <w:r>
        <w:rPr>
          <w:rStyle w:val="FootnoteReference"/>
        </w:rPr>
        <w:footnoteRef/>
      </w:r>
      <w:r>
        <w:t xml:space="preserve"> </w:t>
      </w:r>
      <w:r>
        <w:rPr>
          <w:lang w:val="en-US"/>
        </w:rPr>
        <w:t>At 198j-199g.</w:t>
      </w:r>
    </w:p>
  </w:footnote>
  <w:footnote w:id="6">
    <w:p w14:paraId="61CD8778" w14:textId="77777777" w:rsidR="00DB7377" w:rsidRPr="00925658" w:rsidRDefault="00DB7377" w:rsidP="002D6711">
      <w:pPr>
        <w:pStyle w:val="FootnoteText"/>
        <w:jc w:val="both"/>
        <w:rPr>
          <w:lang w:val="en-GB"/>
        </w:rPr>
      </w:pPr>
      <w:r>
        <w:rPr>
          <w:rStyle w:val="FootnoteReference"/>
        </w:rPr>
        <w:footnoteRef/>
      </w:r>
      <w:r>
        <w:t xml:space="preserve"> </w:t>
      </w:r>
      <w:r>
        <w:rPr>
          <w:lang w:val="en-GB"/>
        </w:rPr>
        <w:t xml:space="preserve">Du Toit (et al), </w:t>
      </w:r>
      <w:r w:rsidRPr="00925658">
        <w:rPr>
          <w:i/>
          <w:lang w:val="en-GB"/>
        </w:rPr>
        <w:t>Commentary on the Criminal Procedure Act</w:t>
      </w:r>
      <w:r>
        <w:rPr>
          <w:lang w:val="en-GB"/>
        </w:rPr>
        <w:t xml:space="preserve"> (Jutastat, RS 66, 2021 ch30- p40). The learned writer</w:t>
      </w:r>
      <w:r w:rsidR="00775262">
        <w:rPr>
          <w:lang w:val="en-GB"/>
        </w:rPr>
        <w:t>s</w:t>
      </w:r>
      <w:r>
        <w:rPr>
          <w:lang w:val="en-GB"/>
        </w:rPr>
        <w:t xml:space="preserve"> also refer</w:t>
      </w:r>
      <w:r w:rsidR="00775262">
        <w:rPr>
          <w:lang w:val="en-GB"/>
        </w:rPr>
        <w:t xml:space="preserve"> </w:t>
      </w:r>
      <w:r>
        <w:rPr>
          <w:lang w:val="en-GB"/>
        </w:rPr>
        <w:t xml:space="preserve">to </w:t>
      </w:r>
      <w:r w:rsidRPr="0030622A">
        <w:rPr>
          <w:i/>
          <w:lang w:val="en-GB"/>
        </w:rPr>
        <w:t>S v Siphoro</w:t>
      </w:r>
      <w:r>
        <w:rPr>
          <w:lang w:val="en-GB"/>
        </w:rPr>
        <w:t xml:space="preserve"> (unreported, GJ case no A399/2012, 14 August 2014), at [7], relying on </w:t>
      </w:r>
      <w:r w:rsidRPr="0030622A">
        <w:rPr>
          <w:i/>
          <w:lang w:val="en-GB"/>
        </w:rPr>
        <w:t>Santam Bpk v Biddulph</w:t>
      </w:r>
      <w:r>
        <w:rPr>
          <w:lang w:val="en-GB"/>
        </w:rPr>
        <w:t xml:space="preserve"> 2004 (5) SA 586 (SCA) and </w:t>
      </w:r>
      <w:r w:rsidRPr="0030622A">
        <w:rPr>
          <w:i/>
          <w:lang w:val="en-GB"/>
        </w:rPr>
        <w:t>Roux v Hattingh</w:t>
      </w:r>
      <w:r>
        <w:rPr>
          <w:lang w:val="en-GB"/>
        </w:rPr>
        <w:t xml:space="preserve"> 2012 (6) SA 428 (SCA).</w:t>
      </w:r>
    </w:p>
  </w:footnote>
  <w:footnote w:id="7">
    <w:p w14:paraId="24D2E78E" w14:textId="77777777" w:rsidR="00072729" w:rsidRPr="0000433C" w:rsidRDefault="00072729" w:rsidP="002D6711">
      <w:pPr>
        <w:pStyle w:val="FootnoteText"/>
        <w:jc w:val="both"/>
        <w:rPr>
          <w:lang w:val="en-US"/>
        </w:rPr>
      </w:pPr>
      <w:r>
        <w:rPr>
          <w:rStyle w:val="FootnoteReference"/>
        </w:rPr>
        <w:footnoteRef/>
      </w:r>
      <w:r>
        <w:t xml:space="preserve"> </w:t>
      </w:r>
      <w:r>
        <w:rPr>
          <w:lang w:val="en-US"/>
        </w:rPr>
        <w:t xml:space="preserve">See </w:t>
      </w:r>
      <w:r w:rsidRPr="00760C49">
        <w:rPr>
          <w:i/>
          <w:iCs/>
          <w:lang w:val="en-US"/>
        </w:rPr>
        <w:t>S v Romer</w:t>
      </w:r>
      <w:r w:rsidRPr="00760C49">
        <w:rPr>
          <w:lang w:val="en-US"/>
        </w:rPr>
        <w:t xml:space="preserve"> 2011 (2) SACR 153 (SCA); </w:t>
      </w:r>
      <w:r w:rsidRPr="00760C49">
        <w:rPr>
          <w:i/>
          <w:iCs/>
          <w:lang w:val="en-US"/>
        </w:rPr>
        <w:t>S v Hewitt</w:t>
      </w:r>
      <w:r w:rsidRPr="00760C49">
        <w:rPr>
          <w:lang w:val="en-US"/>
        </w:rPr>
        <w:t xml:space="preserve"> 2017 (1) SACR 309 (SCA); and </w:t>
      </w:r>
      <w:r w:rsidRPr="00760C49">
        <w:rPr>
          <w:i/>
          <w:iCs/>
          <w:lang w:val="en-US"/>
        </w:rPr>
        <w:t>S v Livanje</w:t>
      </w:r>
      <w:r w:rsidRPr="00760C49">
        <w:rPr>
          <w:lang w:val="en-US"/>
        </w:rPr>
        <w:t xml:space="preserve"> 2020 (2) SACR 451 (SCA).</w:t>
      </w:r>
    </w:p>
  </w:footnote>
  <w:footnote w:id="8">
    <w:p w14:paraId="2892CAF8" w14:textId="77777777" w:rsidR="001F1A6E" w:rsidRPr="00F85EC0" w:rsidRDefault="001F1A6E" w:rsidP="001F1A6E">
      <w:pPr>
        <w:pStyle w:val="FootnoteText"/>
        <w:rPr>
          <w:lang w:val="en-US"/>
        </w:rPr>
      </w:pPr>
      <w:r>
        <w:rPr>
          <w:rStyle w:val="FootnoteReference"/>
        </w:rPr>
        <w:footnoteRef/>
      </w:r>
      <w:r>
        <w:t xml:space="preserve"> </w:t>
      </w:r>
      <w:r>
        <w:rPr>
          <w:lang w:val="en-US"/>
        </w:rPr>
        <w:t>The appellant’s date of birth, from the record, is 4 January 2004.</w:t>
      </w:r>
    </w:p>
  </w:footnote>
  <w:footnote w:id="9">
    <w:p w14:paraId="228141E5" w14:textId="77777777" w:rsidR="001F1A6E" w:rsidRPr="008E5EA2" w:rsidRDefault="001F1A6E" w:rsidP="001F1A6E">
      <w:pPr>
        <w:pStyle w:val="FootnoteText"/>
        <w:rPr>
          <w:lang w:val="en-US"/>
        </w:rPr>
      </w:pPr>
      <w:r>
        <w:rPr>
          <w:rStyle w:val="FootnoteReference"/>
        </w:rPr>
        <w:footnoteRef/>
      </w:r>
      <w:r>
        <w:t xml:space="preserve"> </w:t>
      </w:r>
      <w:r>
        <w:rPr>
          <w:lang w:val="en-US"/>
        </w:rPr>
        <w:t>Section 47 of the CJA.</w:t>
      </w:r>
    </w:p>
  </w:footnote>
  <w:footnote w:id="10">
    <w:p w14:paraId="53C9B1B3" w14:textId="77777777" w:rsidR="001F1A6E" w:rsidRPr="00DA10FA" w:rsidRDefault="001F1A6E" w:rsidP="001F1A6E">
      <w:pPr>
        <w:pStyle w:val="FootnoteText"/>
        <w:rPr>
          <w:lang w:val="en-US"/>
        </w:rPr>
      </w:pPr>
      <w:r w:rsidRPr="005432C5">
        <w:rPr>
          <w:rStyle w:val="FootnoteReference"/>
        </w:rPr>
        <w:footnoteRef/>
      </w:r>
      <w:r w:rsidRPr="005432C5">
        <w:t xml:space="preserve"> </w:t>
      </w:r>
      <w:r w:rsidRPr="005432C5">
        <w:rPr>
          <w:lang w:val="en-US"/>
        </w:rPr>
        <w:t xml:space="preserve">Section 63(3). See, too, </w:t>
      </w:r>
      <w:r w:rsidRPr="005432C5">
        <w:rPr>
          <w:i/>
          <w:iCs/>
          <w:lang w:val="en-US"/>
        </w:rPr>
        <w:t>S v LJ</w:t>
      </w:r>
      <w:r w:rsidRPr="005432C5">
        <w:rPr>
          <w:lang w:val="en-US"/>
        </w:rPr>
        <w:t xml:space="preserve"> 2023 (1) SACR 396 (WCC), at paragraph [44].</w:t>
      </w:r>
    </w:p>
  </w:footnote>
  <w:footnote w:id="11">
    <w:p w14:paraId="7BB3131D" w14:textId="77777777" w:rsidR="001F1A6E" w:rsidRPr="00383619" w:rsidRDefault="001F1A6E" w:rsidP="001F1A6E">
      <w:pPr>
        <w:pStyle w:val="FootnoteText"/>
        <w:rPr>
          <w:lang w:val="en-US"/>
        </w:rPr>
      </w:pPr>
      <w:r>
        <w:rPr>
          <w:rStyle w:val="FootnoteReference"/>
        </w:rPr>
        <w:footnoteRef/>
      </w:r>
      <w:r>
        <w:t xml:space="preserve"> </w:t>
      </w:r>
      <w:r>
        <w:rPr>
          <w:lang w:val="en-US"/>
        </w:rPr>
        <w:t>The prescribed manner is set out under regulation 37 of the Regulations relating to Child Justice, GNR. 251 of 31 March 2010.</w:t>
      </w:r>
    </w:p>
  </w:footnote>
  <w:footnote w:id="12">
    <w:p w14:paraId="4A09E7B6" w14:textId="77777777" w:rsidR="008E2705" w:rsidRPr="008E2705" w:rsidRDefault="008E2705" w:rsidP="002D6711">
      <w:pPr>
        <w:pStyle w:val="FootnoteText"/>
        <w:jc w:val="both"/>
        <w:rPr>
          <w:lang w:val="en-US"/>
        </w:rPr>
      </w:pPr>
      <w:r>
        <w:rPr>
          <w:rStyle w:val="FootnoteReference"/>
        </w:rPr>
        <w:footnoteRef/>
      </w:r>
      <w:r>
        <w:t xml:space="preserve"> </w:t>
      </w:r>
      <w:r>
        <w:rPr>
          <w:lang w:val="en-US"/>
        </w:rPr>
        <w:t>2009 (2) SACR 130 (CC).</w:t>
      </w:r>
    </w:p>
  </w:footnote>
  <w:footnote w:id="13">
    <w:p w14:paraId="790B02A3" w14:textId="77777777" w:rsidR="00BA79E9" w:rsidRPr="00BA79E9" w:rsidRDefault="00BA79E9" w:rsidP="002D6711">
      <w:pPr>
        <w:pStyle w:val="FootnoteText"/>
        <w:jc w:val="both"/>
        <w:rPr>
          <w:lang w:val="en-US"/>
        </w:rPr>
      </w:pPr>
      <w:r>
        <w:rPr>
          <w:rStyle w:val="FootnoteReference"/>
        </w:rPr>
        <w:footnoteRef/>
      </w:r>
      <w:r>
        <w:t xml:space="preserve"> </w:t>
      </w:r>
      <w:r>
        <w:rPr>
          <w:lang w:val="en-US"/>
        </w:rPr>
        <w:t>Section 28(2) provides that a child’s best interests are of paramount importance in every matter concerning the child.</w:t>
      </w:r>
    </w:p>
  </w:footnote>
  <w:footnote w:id="14">
    <w:p w14:paraId="36711908" w14:textId="77777777" w:rsidR="0017183C" w:rsidRPr="0017183C" w:rsidRDefault="0017183C" w:rsidP="002D6711">
      <w:pPr>
        <w:pStyle w:val="FootnoteText"/>
        <w:jc w:val="both"/>
        <w:rPr>
          <w:lang w:val="en-US"/>
        </w:rPr>
      </w:pPr>
      <w:r>
        <w:rPr>
          <w:rStyle w:val="FootnoteReference"/>
        </w:rPr>
        <w:footnoteRef/>
      </w:r>
      <w:r>
        <w:t xml:space="preserve"> </w:t>
      </w:r>
      <w:r>
        <w:rPr>
          <w:lang w:val="en-US"/>
        </w:rPr>
        <w:t>At paragraphs [165] and [166].</w:t>
      </w:r>
    </w:p>
  </w:footnote>
  <w:footnote w:id="15">
    <w:p w14:paraId="2BDA1E73" w14:textId="75290887" w:rsidR="00D31AA3" w:rsidRPr="00D31AA3" w:rsidRDefault="00D31AA3" w:rsidP="002D6711">
      <w:pPr>
        <w:pStyle w:val="FootnoteText"/>
        <w:jc w:val="both"/>
        <w:rPr>
          <w:lang w:val="en-US"/>
        </w:rPr>
      </w:pPr>
      <w:r>
        <w:rPr>
          <w:rStyle w:val="FootnoteReference"/>
        </w:rPr>
        <w:footnoteRef/>
      </w:r>
      <w:r>
        <w:t xml:space="preserve"> The matter is discussed in detail in Du Toit (n 6 above, RS 70, 2023 ch22</w:t>
      </w:r>
      <w:r w:rsidR="000C02C1">
        <w:t>)</w:t>
      </w:r>
      <w:r w:rsidR="000B26CB">
        <w:t>,</w:t>
      </w:r>
      <w:r w:rsidR="000C02C1">
        <w:t xml:space="preserve"> at </w:t>
      </w:r>
      <w:r>
        <w:t xml:space="preserve">p70-74D </w:t>
      </w:r>
      <w:r w:rsidRPr="00D31AA3">
        <w:rPr>
          <w:i/>
          <w:iCs/>
        </w:rPr>
        <w:t>et seq</w:t>
      </w:r>
      <w:r w:rsidR="000C02C1">
        <w:rPr>
          <w:i/>
          <w:iCs/>
        </w:rPr>
        <w:t>.</w:t>
      </w:r>
    </w:p>
  </w:footnote>
  <w:footnote w:id="16">
    <w:p w14:paraId="69CEF3BF" w14:textId="77777777" w:rsidR="00D31AA3" w:rsidRPr="00D31AA3" w:rsidRDefault="00D31AA3" w:rsidP="002D6711">
      <w:pPr>
        <w:pStyle w:val="FootnoteText"/>
        <w:jc w:val="both"/>
        <w:rPr>
          <w:lang w:val="en-US"/>
        </w:rPr>
      </w:pPr>
      <w:r>
        <w:rPr>
          <w:rStyle w:val="FootnoteReference"/>
        </w:rPr>
        <w:footnoteRef/>
      </w:r>
      <w:r>
        <w:t xml:space="preserve"> </w:t>
      </w:r>
      <w:r>
        <w:rPr>
          <w:lang w:val="en-US"/>
        </w:rPr>
        <w:t>2014 (1) SACR 29 (SCA).</w:t>
      </w:r>
    </w:p>
  </w:footnote>
  <w:footnote w:id="17">
    <w:p w14:paraId="4369DBA6" w14:textId="77777777" w:rsidR="00F432F1" w:rsidRPr="00F432F1" w:rsidRDefault="00F432F1" w:rsidP="002D6711">
      <w:pPr>
        <w:pStyle w:val="FootnoteText"/>
        <w:jc w:val="both"/>
        <w:rPr>
          <w:lang w:val="en-US"/>
        </w:rPr>
      </w:pPr>
      <w:r>
        <w:rPr>
          <w:rStyle w:val="FootnoteReference"/>
        </w:rPr>
        <w:footnoteRef/>
      </w:r>
      <w:r>
        <w:t xml:space="preserve"> </w:t>
      </w:r>
      <w:r>
        <w:rPr>
          <w:lang w:val="en-US"/>
        </w:rPr>
        <w:t>At paragraph [11].</w:t>
      </w:r>
    </w:p>
  </w:footnote>
  <w:footnote w:id="18">
    <w:p w14:paraId="4F1C5369" w14:textId="77777777" w:rsidR="00A22120" w:rsidRPr="00164E88" w:rsidRDefault="00A22120" w:rsidP="002D6711">
      <w:pPr>
        <w:pStyle w:val="FootnoteText"/>
        <w:jc w:val="both"/>
        <w:rPr>
          <w:lang w:val="en-US"/>
        </w:rPr>
      </w:pPr>
      <w:r>
        <w:rPr>
          <w:rStyle w:val="FootnoteReference"/>
        </w:rPr>
        <w:footnoteRef/>
      </w:r>
      <w:r>
        <w:t xml:space="preserve"> </w:t>
      </w:r>
      <w:r>
        <w:rPr>
          <w:lang w:val="en-US"/>
        </w:rPr>
        <w:t>In terms of section 162(1) of the CPA, no person shall be examined as a witness in criminal proceedings unless he or she is under oath, but subject to section 163, which provides for the making of an affirmation in lieu of the oath, and section 164, as already discussed.</w:t>
      </w:r>
    </w:p>
  </w:footnote>
  <w:footnote w:id="19">
    <w:p w14:paraId="0CB8B066" w14:textId="77777777" w:rsidR="00A77DEC" w:rsidRPr="00A77DEC" w:rsidRDefault="00A77DEC" w:rsidP="002D6711">
      <w:pPr>
        <w:pStyle w:val="FootnoteText"/>
        <w:jc w:val="both"/>
        <w:rPr>
          <w:lang w:val="en-US"/>
        </w:rPr>
      </w:pPr>
      <w:r>
        <w:rPr>
          <w:rStyle w:val="FootnoteReference"/>
        </w:rPr>
        <w:footnoteRef/>
      </w:r>
      <w:r>
        <w:t xml:space="preserve"> </w:t>
      </w:r>
      <w:r>
        <w:rPr>
          <w:lang w:val="en-US"/>
        </w:rPr>
        <w:t xml:space="preserve">See </w:t>
      </w:r>
      <w:r w:rsidRPr="00A77DEC">
        <w:rPr>
          <w:i/>
          <w:iCs/>
          <w:lang w:val="en-US"/>
        </w:rPr>
        <w:t>S v Mbokazi</w:t>
      </w:r>
      <w:r>
        <w:rPr>
          <w:lang w:val="en-US"/>
        </w:rPr>
        <w:t xml:space="preserve"> (unreported, KZP case no AR581/14, 17 July 2015), at paragraph [7]; </w:t>
      </w:r>
      <w:r w:rsidRPr="00A62184">
        <w:rPr>
          <w:i/>
          <w:iCs/>
          <w:lang w:val="en-US"/>
        </w:rPr>
        <w:t>S v Ndaba</w:t>
      </w:r>
      <w:r>
        <w:rPr>
          <w:lang w:val="en-US"/>
        </w:rPr>
        <w:t xml:space="preserve"> (unreported, KZP case no AR528/17, 18 May 2018), at paragraph [12]; and </w:t>
      </w:r>
      <w:r w:rsidRPr="00A62184">
        <w:rPr>
          <w:i/>
          <w:iCs/>
          <w:lang w:val="en-US"/>
        </w:rPr>
        <w:t>S v SJ</w:t>
      </w:r>
      <w:r>
        <w:rPr>
          <w:lang w:val="en-US"/>
        </w:rPr>
        <w:t xml:space="preserve"> 2023 (1) SACR 380 (ECB), at paragraph [24].</w:t>
      </w:r>
    </w:p>
  </w:footnote>
  <w:footnote w:id="20">
    <w:p w14:paraId="2453F6F3" w14:textId="77777777" w:rsidR="00FA025E" w:rsidRPr="00FA025E" w:rsidRDefault="00FA025E" w:rsidP="002D6711">
      <w:pPr>
        <w:pStyle w:val="FootnoteText"/>
        <w:jc w:val="both"/>
        <w:rPr>
          <w:lang w:val="en-US"/>
        </w:rPr>
      </w:pPr>
      <w:r>
        <w:rPr>
          <w:rStyle w:val="FootnoteReference"/>
        </w:rPr>
        <w:footnoteRef/>
      </w:r>
      <w:r>
        <w:t xml:space="preserve"> </w:t>
      </w:r>
      <w:r>
        <w:rPr>
          <w:lang w:val="en-US"/>
        </w:rPr>
        <w:t>Sic. The identity of the complainant has been concealed.</w:t>
      </w:r>
    </w:p>
  </w:footnote>
  <w:footnote w:id="21">
    <w:p w14:paraId="44357D1A" w14:textId="77777777" w:rsidR="006841DF" w:rsidRPr="006841DF" w:rsidRDefault="006841DF" w:rsidP="002D6711">
      <w:pPr>
        <w:pStyle w:val="FootnoteText"/>
        <w:jc w:val="both"/>
        <w:rPr>
          <w:lang w:val="en-US"/>
        </w:rPr>
      </w:pPr>
      <w:r>
        <w:rPr>
          <w:rStyle w:val="FootnoteReference"/>
        </w:rPr>
        <w:footnoteRef/>
      </w:r>
      <w:r>
        <w:t xml:space="preserve"> </w:t>
      </w:r>
      <w:r>
        <w:rPr>
          <w:lang w:val="en-US"/>
        </w:rPr>
        <w:t>2019 (1) SACR 371 (SCA)</w:t>
      </w:r>
      <w:r w:rsidR="00105588">
        <w:rPr>
          <w:lang w:val="en-US"/>
        </w:rPr>
        <w:t>, at paragraph [17]</w:t>
      </w:r>
      <w:r>
        <w:rPr>
          <w:lang w:val="en-US"/>
        </w:rPr>
        <w:t>.</w:t>
      </w:r>
    </w:p>
  </w:footnote>
  <w:footnote w:id="22">
    <w:p w14:paraId="530D2A75" w14:textId="77777777" w:rsidR="00357EDB" w:rsidRPr="00357EDB" w:rsidRDefault="00357EDB" w:rsidP="002D6711">
      <w:pPr>
        <w:pStyle w:val="FootnoteText"/>
        <w:jc w:val="both"/>
        <w:rPr>
          <w:lang w:val="en-US"/>
        </w:rPr>
      </w:pPr>
      <w:r>
        <w:rPr>
          <w:rStyle w:val="FootnoteReference"/>
        </w:rPr>
        <w:footnoteRef/>
      </w:r>
      <w:r>
        <w:t xml:space="preserve"> </w:t>
      </w:r>
      <w:r w:rsidRPr="00357EDB">
        <w:rPr>
          <w:i/>
          <w:iCs/>
        </w:rPr>
        <w:t>Director of Public Prosecutions, Transvaal</w:t>
      </w:r>
      <w:r>
        <w:t>, a</w:t>
      </w:r>
      <w:r>
        <w:rPr>
          <w:lang w:val="en-US"/>
        </w:rPr>
        <w:t>t paragraph [167].</w:t>
      </w:r>
    </w:p>
  </w:footnote>
  <w:footnote w:id="23">
    <w:p w14:paraId="3B22A671" w14:textId="77777777" w:rsidR="00826EA4" w:rsidRPr="00826EA4" w:rsidRDefault="00826EA4" w:rsidP="002D6711">
      <w:pPr>
        <w:pStyle w:val="FootnoteText"/>
        <w:jc w:val="both"/>
        <w:rPr>
          <w:lang w:val="en-US"/>
        </w:rPr>
      </w:pPr>
      <w:r>
        <w:rPr>
          <w:rStyle w:val="FootnoteReference"/>
        </w:rPr>
        <w:footnoteRef/>
      </w:r>
      <w:r>
        <w:t xml:space="preserve"> </w:t>
      </w:r>
      <w:r>
        <w:rPr>
          <w:lang w:val="en-US"/>
        </w:rPr>
        <w:t xml:space="preserve">The intermediary, Ms Lisiwe Tenge, testified that she had obtained a diploma in secondary education and an advanced certificate in education before working as an educator. She had then become an intermediary, employed by the Department of Justice and Constitutional Development. She indicated that she had </w:t>
      </w:r>
      <w:r w:rsidR="003A5123">
        <w:rPr>
          <w:lang w:val="en-US"/>
        </w:rPr>
        <w:t xml:space="preserve">gained </w:t>
      </w:r>
      <w:r>
        <w:rPr>
          <w:lang w:val="en-US"/>
        </w:rPr>
        <w:t>experience in more than one hundred case</w:t>
      </w:r>
      <w:r w:rsidR="00CC1193">
        <w:rPr>
          <w:lang w:val="en-US"/>
        </w:rPr>
        <w:t>s</w:t>
      </w:r>
      <w:r>
        <w:rPr>
          <w:lang w:val="en-US"/>
        </w:rPr>
        <w:t xml:space="preserve"> involving the rape of a minor.</w:t>
      </w:r>
    </w:p>
  </w:footnote>
  <w:footnote w:id="24">
    <w:p w14:paraId="3B581205" w14:textId="77777777" w:rsidR="00BD3C5D" w:rsidRPr="00BD3C5D" w:rsidRDefault="00BD3C5D" w:rsidP="002D6711">
      <w:pPr>
        <w:pStyle w:val="FootnoteText"/>
        <w:jc w:val="both"/>
        <w:rPr>
          <w:lang w:val="en-US"/>
        </w:rPr>
      </w:pPr>
      <w:r>
        <w:rPr>
          <w:rStyle w:val="FootnoteReference"/>
        </w:rPr>
        <w:footnoteRef/>
      </w:r>
      <w:r>
        <w:t xml:space="preserve"> </w:t>
      </w:r>
      <w:r>
        <w:rPr>
          <w:lang w:val="en-US"/>
        </w:rPr>
        <w:t xml:space="preserve">Judy Pearsall (ed), </w:t>
      </w:r>
      <w:r w:rsidRPr="00BD3C5D">
        <w:rPr>
          <w:i/>
          <w:iCs/>
          <w:lang w:val="en-US"/>
        </w:rPr>
        <w:t>The Concise Oxford Dictionary</w:t>
      </w:r>
      <w:r>
        <w:rPr>
          <w:lang w:val="en-US"/>
        </w:rPr>
        <w:t xml:space="preserve"> (Oxford University Press, 10</w:t>
      </w:r>
      <w:r w:rsidRPr="00BD3C5D">
        <w:rPr>
          <w:vertAlign w:val="superscript"/>
          <w:lang w:val="en-US"/>
        </w:rPr>
        <w:t>th</w:t>
      </w:r>
      <w:r>
        <w:rPr>
          <w:lang w:val="en-US"/>
        </w:rPr>
        <w:t xml:space="preserve"> revised edition, 2001), at 1219.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9988"/>
      <w:docPartObj>
        <w:docPartGallery w:val="Page Numbers (Top of Page)"/>
        <w:docPartUnique/>
      </w:docPartObj>
    </w:sdtPr>
    <w:sdtEndPr>
      <w:rPr>
        <w:noProof/>
      </w:rPr>
    </w:sdtEndPr>
    <w:sdtContent>
      <w:p w14:paraId="23334941" w14:textId="4BA4644C" w:rsidR="009411EB" w:rsidRDefault="009411EB">
        <w:pPr>
          <w:pStyle w:val="Header"/>
          <w:jc w:val="center"/>
        </w:pPr>
        <w:r>
          <w:fldChar w:fldCharType="begin"/>
        </w:r>
        <w:r>
          <w:instrText xml:space="preserve"> PAGE   \* MERGEFORMAT </w:instrText>
        </w:r>
        <w:r>
          <w:fldChar w:fldCharType="separate"/>
        </w:r>
        <w:r w:rsidR="00242CFF">
          <w:rPr>
            <w:noProof/>
          </w:rPr>
          <w:t>2</w:t>
        </w:r>
        <w:r>
          <w:rPr>
            <w:noProof/>
          </w:rPr>
          <w:fldChar w:fldCharType="end"/>
        </w:r>
      </w:p>
    </w:sdtContent>
  </w:sdt>
  <w:p w14:paraId="018E012F" w14:textId="77777777" w:rsidR="009411EB" w:rsidRDefault="00941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3470D"/>
    <w:multiLevelType w:val="hybridMultilevel"/>
    <w:tmpl w:val="DC787EAA"/>
    <w:lvl w:ilvl="0" w:tplc="980ED3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BC564D"/>
    <w:multiLevelType w:val="hybridMultilevel"/>
    <w:tmpl w:val="FFA40334"/>
    <w:lvl w:ilvl="0" w:tplc="980ED3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0D1578"/>
    <w:multiLevelType w:val="hybridMultilevel"/>
    <w:tmpl w:val="8618D8D8"/>
    <w:lvl w:ilvl="0" w:tplc="980ED3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2A472C4"/>
    <w:multiLevelType w:val="hybridMultilevel"/>
    <w:tmpl w:val="85D0F83C"/>
    <w:lvl w:ilvl="0" w:tplc="E4042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73B50"/>
    <w:multiLevelType w:val="hybridMultilevel"/>
    <w:tmpl w:val="4C164638"/>
    <w:lvl w:ilvl="0" w:tplc="980ED3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93103BC"/>
    <w:multiLevelType w:val="hybridMultilevel"/>
    <w:tmpl w:val="C5746D28"/>
    <w:lvl w:ilvl="0" w:tplc="980ED3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ABD4F53"/>
    <w:multiLevelType w:val="hybridMultilevel"/>
    <w:tmpl w:val="E6E436B2"/>
    <w:lvl w:ilvl="0" w:tplc="980ED3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B8"/>
    <w:rsid w:val="00007CC9"/>
    <w:rsid w:val="00016448"/>
    <w:rsid w:val="00016E4C"/>
    <w:rsid w:val="00020EBC"/>
    <w:rsid w:val="00026B49"/>
    <w:rsid w:val="00042409"/>
    <w:rsid w:val="00065043"/>
    <w:rsid w:val="00066D10"/>
    <w:rsid w:val="00072729"/>
    <w:rsid w:val="000853AA"/>
    <w:rsid w:val="00092CF2"/>
    <w:rsid w:val="000952C4"/>
    <w:rsid w:val="000A1C9D"/>
    <w:rsid w:val="000A6997"/>
    <w:rsid w:val="000B21F3"/>
    <w:rsid w:val="000B26CB"/>
    <w:rsid w:val="000B5C07"/>
    <w:rsid w:val="000B793F"/>
    <w:rsid w:val="000C02C1"/>
    <w:rsid w:val="000D4810"/>
    <w:rsid w:val="000D5980"/>
    <w:rsid w:val="000D7F67"/>
    <w:rsid w:val="000F4200"/>
    <w:rsid w:val="000F7AEF"/>
    <w:rsid w:val="001040E9"/>
    <w:rsid w:val="00104659"/>
    <w:rsid w:val="00105588"/>
    <w:rsid w:val="00107B7F"/>
    <w:rsid w:val="00116723"/>
    <w:rsid w:val="00120A9C"/>
    <w:rsid w:val="00140F1E"/>
    <w:rsid w:val="001424A2"/>
    <w:rsid w:val="00151624"/>
    <w:rsid w:val="00160629"/>
    <w:rsid w:val="00164E88"/>
    <w:rsid w:val="00166412"/>
    <w:rsid w:val="0017183C"/>
    <w:rsid w:val="001843C9"/>
    <w:rsid w:val="00187478"/>
    <w:rsid w:val="00191747"/>
    <w:rsid w:val="00192305"/>
    <w:rsid w:val="0019478E"/>
    <w:rsid w:val="00195294"/>
    <w:rsid w:val="001A07B6"/>
    <w:rsid w:val="001B3447"/>
    <w:rsid w:val="001B6269"/>
    <w:rsid w:val="001C24F5"/>
    <w:rsid w:val="001C331D"/>
    <w:rsid w:val="001C7EB1"/>
    <w:rsid w:val="001D2E92"/>
    <w:rsid w:val="001D7A98"/>
    <w:rsid w:val="001E31A9"/>
    <w:rsid w:val="001F0A29"/>
    <w:rsid w:val="001F1A6E"/>
    <w:rsid w:val="001F47F0"/>
    <w:rsid w:val="001F4F11"/>
    <w:rsid w:val="001F5C37"/>
    <w:rsid w:val="001F7A33"/>
    <w:rsid w:val="001F7B60"/>
    <w:rsid w:val="0020274B"/>
    <w:rsid w:val="00221F35"/>
    <w:rsid w:val="002264B3"/>
    <w:rsid w:val="00231569"/>
    <w:rsid w:val="002361F4"/>
    <w:rsid w:val="00242CFF"/>
    <w:rsid w:val="00246359"/>
    <w:rsid w:val="002659C3"/>
    <w:rsid w:val="00285564"/>
    <w:rsid w:val="00294693"/>
    <w:rsid w:val="00297916"/>
    <w:rsid w:val="002B131E"/>
    <w:rsid w:val="002D6711"/>
    <w:rsid w:val="002E6F86"/>
    <w:rsid w:val="002F16FE"/>
    <w:rsid w:val="00302D7A"/>
    <w:rsid w:val="0030563A"/>
    <w:rsid w:val="0030608F"/>
    <w:rsid w:val="00314DE3"/>
    <w:rsid w:val="0033048C"/>
    <w:rsid w:val="00333BDB"/>
    <w:rsid w:val="00352C6B"/>
    <w:rsid w:val="00357EDB"/>
    <w:rsid w:val="00364470"/>
    <w:rsid w:val="00375432"/>
    <w:rsid w:val="00382152"/>
    <w:rsid w:val="00383619"/>
    <w:rsid w:val="00390B79"/>
    <w:rsid w:val="003927FD"/>
    <w:rsid w:val="003A5123"/>
    <w:rsid w:val="003B049B"/>
    <w:rsid w:val="003B57EF"/>
    <w:rsid w:val="003B66D0"/>
    <w:rsid w:val="003E37E7"/>
    <w:rsid w:val="003F0F76"/>
    <w:rsid w:val="003F77C4"/>
    <w:rsid w:val="004034EC"/>
    <w:rsid w:val="004053A9"/>
    <w:rsid w:val="0043590F"/>
    <w:rsid w:val="004408D4"/>
    <w:rsid w:val="00446F6C"/>
    <w:rsid w:val="0045528B"/>
    <w:rsid w:val="00464CBE"/>
    <w:rsid w:val="004652E1"/>
    <w:rsid w:val="00472AA4"/>
    <w:rsid w:val="004A409D"/>
    <w:rsid w:val="004A4214"/>
    <w:rsid w:val="004B78D4"/>
    <w:rsid w:val="004D1C64"/>
    <w:rsid w:val="004D54DD"/>
    <w:rsid w:val="004D601B"/>
    <w:rsid w:val="004E2887"/>
    <w:rsid w:val="004F24B9"/>
    <w:rsid w:val="005063F1"/>
    <w:rsid w:val="00506A3E"/>
    <w:rsid w:val="00517D52"/>
    <w:rsid w:val="00532BF9"/>
    <w:rsid w:val="00537AB8"/>
    <w:rsid w:val="005432C5"/>
    <w:rsid w:val="0055209B"/>
    <w:rsid w:val="0055236F"/>
    <w:rsid w:val="00577B36"/>
    <w:rsid w:val="00582C3E"/>
    <w:rsid w:val="005855B2"/>
    <w:rsid w:val="0058624F"/>
    <w:rsid w:val="005A0D1A"/>
    <w:rsid w:val="005A430F"/>
    <w:rsid w:val="005A6E7E"/>
    <w:rsid w:val="005E10D5"/>
    <w:rsid w:val="005F2D7F"/>
    <w:rsid w:val="005F64A8"/>
    <w:rsid w:val="00600319"/>
    <w:rsid w:val="00612A8B"/>
    <w:rsid w:val="00616128"/>
    <w:rsid w:val="00620139"/>
    <w:rsid w:val="00626C4E"/>
    <w:rsid w:val="00632D79"/>
    <w:rsid w:val="00634662"/>
    <w:rsid w:val="00635738"/>
    <w:rsid w:val="00646842"/>
    <w:rsid w:val="006563C0"/>
    <w:rsid w:val="0065745E"/>
    <w:rsid w:val="00660D2B"/>
    <w:rsid w:val="00663BB8"/>
    <w:rsid w:val="00670254"/>
    <w:rsid w:val="00677E4E"/>
    <w:rsid w:val="0068058B"/>
    <w:rsid w:val="006841DF"/>
    <w:rsid w:val="006851AF"/>
    <w:rsid w:val="00690F9D"/>
    <w:rsid w:val="00693C10"/>
    <w:rsid w:val="00696B10"/>
    <w:rsid w:val="006A2C9E"/>
    <w:rsid w:val="006C5214"/>
    <w:rsid w:val="006D0D2E"/>
    <w:rsid w:val="006D672C"/>
    <w:rsid w:val="006D6749"/>
    <w:rsid w:val="006E5A57"/>
    <w:rsid w:val="006F0DBA"/>
    <w:rsid w:val="0071055D"/>
    <w:rsid w:val="007155FA"/>
    <w:rsid w:val="007157D7"/>
    <w:rsid w:val="00726047"/>
    <w:rsid w:val="007277C2"/>
    <w:rsid w:val="0074177C"/>
    <w:rsid w:val="00747BF0"/>
    <w:rsid w:val="007521DC"/>
    <w:rsid w:val="00753366"/>
    <w:rsid w:val="00753D29"/>
    <w:rsid w:val="00761FE1"/>
    <w:rsid w:val="00763190"/>
    <w:rsid w:val="00775262"/>
    <w:rsid w:val="0078212E"/>
    <w:rsid w:val="00782580"/>
    <w:rsid w:val="00783990"/>
    <w:rsid w:val="007941A3"/>
    <w:rsid w:val="007A61E0"/>
    <w:rsid w:val="007C20B4"/>
    <w:rsid w:val="007D1310"/>
    <w:rsid w:val="007D4B27"/>
    <w:rsid w:val="007D659C"/>
    <w:rsid w:val="007E2869"/>
    <w:rsid w:val="007E3FAC"/>
    <w:rsid w:val="007E5C63"/>
    <w:rsid w:val="007E6742"/>
    <w:rsid w:val="007F2DFF"/>
    <w:rsid w:val="007F3FC0"/>
    <w:rsid w:val="007F7442"/>
    <w:rsid w:val="00810AB2"/>
    <w:rsid w:val="00813FC5"/>
    <w:rsid w:val="008179CD"/>
    <w:rsid w:val="00822740"/>
    <w:rsid w:val="00826EA4"/>
    <w:rsid w:val="00832D94"/>
    <w:rsid w:val="0083588F"/>
    <w:rsid w:val="00854BBF"/>
    <w:rsid w:val="0086508F"/>
    <w:rsid w:val="00884C35"/>
    <w:rsid w:val="00891959"/>
    <w:rsid w:val="00896473"/>
    <w:rsid w:val="008D28FF"/>
    <w:rsid w:val="008E2705"/>
    <w:rsid w:val="008E488C"/>
    <w:rsid w:val="008E5EA2"/>
    <w:rsid w:val="008E5FA8"/>
    <w:rsid w:val="008F2991"/>
    <w:rsid w:val="008F7E78"/>
    <w:rsid w:val="00900F1C"/>
    <w:rsid w:val="0091015E"/>
    <w:rsid w:val="00920482"/>
    <w:rsid w:val="009411EB"/>
    <w:rsid w:val="009511A1"/>
    <w:rsid w:val="009642B5"/>
    <w:rsid w:val="009648C5"/>
    <w:rsid w:val="00966662"/>
    <w:rsid w:val="009709A2"/>
    <w:rsid w:val="00987C45"/>
    <w:rsid w:val="009936AC"/>
    <w:rsid w:val="00993AB7"/>
    <w:rsid w:val="009A0E61"/>
    <w:rsid w:val="009B088E"/>
    <w:rsid w:val="009C4B5C"/>
    <w:rsid w:val="009C7A05"/>
    <w:rsid w:val="009E6023"/>
    <w:rsid w:val="009E6E5C"/>
    <w:rsid w:val="009F28BB"/>
    <w:rsid w:val="00A00C1D"/>
    <w:rsid w:val="00A028B6"/>
    <w:rsid w:val="00A0442B"/>
    <w:rsid w:val="00A05656"/>
    <w:rsid w:val="00A15942"/>
    <w:rsid w:val="00A22120"/>
    <w:rsid w:val="00A236CB"/>
    <w:rsid w:val="00A34AEA"/>
    <w:rsid w:val="00A34E28"/>
    <w:rsid w:val="00A41CDB"/>
    <w:rsid w:val="00A44683"/>
    <w:rsid w:val="00A5117F"/>
    <w:rsid w:val="00A56729"/>
    <w:rsid w:val="00A60403"/>
    <w:rsid w:val="00A62184"/>
    <w:rsid w:val="00A62352"/>
    <w:rsid w:val="00A65700"/>
    <w:rsid w:val="00A761A2"/>
    <w:rsid w:val="00A77DEC"/>
    <w:rsid w:val="00AE1847"/>
    <w:rsid w:val="00AE4398"/>
    <w:rsid w:val="00B04053"/>
    <w:rsid w:val="00B10C30"/>
    <w:rsid w:val="00B16FEF"/>
    <w:rsid w:val="00B234DD"/>
    <w:rsid w:val="00B2471D"/>
    <w:rsid w:val="00B37EAA"/>
    <w:rsid w:val="00B528D6"/>
    <w:rsid w:val="00B730DF"/>
    <w:rsid w:val="00B74E10"/>
    <w:rsid w:val="00B75BB2"/>
    <w:rsid w:val="00B805EB"/>
    <w:rsid w:val="00B83974"/>
    <w:rsid w:val="00B92F98"/>
    <w:rsid w:val="00BA071E"/>
    <w:rsid w:val="00BA79E9"/>
    <w:rsid w:val="00BD3C5D"/>
    <w:rsid w:val="00BE2200"/>
    <w:rsid w:val="00BE34A2"/>
    <w:rsid w:val="00BF76E8"/>
    <w:rsid w:val="00C037C7"/>
    <w:rsid w:val="00C03DD5"/>
    <w:rsid w:val="00C30C8A"/>
    <w:rsid w:val="00C43E81"/>
    <w:rsid w:val="00C4431F"/>
    <w:rsid w:val="00C5284E"/>
    <w:rsid w:val="00C75A71"/>
    <w:rsid w:val="00C76664"/>
    <w:rsid w:val="00C9039E"/>
    <w:rsid w:val="00CA64CE"/>
    <w:rsid w:val="00CC1193"/>
    <w:rsid w:val="00CF1E19"/>
    <w:rsid w:val="00CF20CE"/>
    <w:rsid w:val="00CF27EA"/>
    <w:rsid w:val="00CF4579"/>
    <w:rsid w:val="00D054B4"/>
    <w:rsid w:val="00D1005E"/>
    <w:rsid w:val="00D21B63"/>
    <w:rsid w:val="00D31AA3"/>
    <w:rsid w:val="00D321D1"/>
    <w:rsid w:val="00D3593F"/>
    <w:rsid w:val="00D46E41"/>
    <w:rsid w:val="00D5044E"/>
    <w:rsid w:val="00D54742"/>
    <w:rsid w:val="00D6531D"/>
    <w:rsid w:val="00D72E32"/>
    <w:rsid w:val="00D950AB"/>
    <w:rsid w:val="00DA10FA"/>
    <w:rsid w:val="00DA3CDB"/>
    <w:rsid w:val="00DA4098"/>
    <w:rsid w:val="00DB7377"/>
    <w:rsid w:val="00DC7797"/>
    <w:rsid w:val="00DD3283"/>
    <w:rsid w:val="00DE396D"/>
    <w:rsid w:val="00E0123C"/>
    <w:rsid w:val="00E012D6"/>
    <w:rsid w:val="00E128B7"/>
    <w:rsid w:val="00E1638E"/>
    <w:rsid w:val="00E1682B"/>
    <w:rsid w:val="00E55333"/>
    <w:rsid w:val="00E56F3E"/>
    <w:rsid w:val="00E73D24"/>
    <w:rsid w:val="00E74014"/>
    <w:rsid w:val="00E81D72"/>
    <w:rsid w:val="00E875EA"/>
    <w:rsid w:val="00E91A86"/>
    <w:rsid w:val="00E9291E"/>
    <w:rsid w:val="00EA07D1"/>
    <w:rsid w:val="00EB7B05"/>
    <w:rsid w:val="00EB7B08"/>
    <w:rsid w:val="00EE071B"/>
    <w:rsid w:val="00EE0A85"/>
    <w:rsid w:val="00EE3CA8"/>
    <w:rsid w:val="00EE5275"/>
    <w:rsid w:val="00EF2DDB"/>
    <w:rsid w:val="00F0639C"/>
    <w:rsid w:val="00F24144"/>
    <w:rsid w:val="00F300E4"/>
    <w:rsid w:val="00F3682D"/>
    <w:rsid w:val="00F37B2A"/>
    <w:rsid w:val="00F432F1"/>
    <w:rsid w:val="00F433CF"/>
    <w:rsid w:val="00F46F2E"/>
    <w:rsid w:val="00F50339"/>
    <w:rsid w:val="00F547C2"/>
    <w:rsid w:val="00F558CE"/>
    <w:rsid w:val="00F57508"/>
    <w:rsid w:val="00F8095F"/>
    <w:rsid w:val="00F83150"/>
    <w:rsid w:val="00F85EC0"/>
    <w:rsid w:val="00F86FEF"/>
    <w:rsid w:val="00FA025E"/>
    <w:rsid w:val="00FC2AC7"/>
    <w:rsid w:val="00FD257F"/>
    <w:rsid w:val="00FE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70E1"/>
  <w15:chartTrackingRefBased/>
  <w15:docId w15:val="{057D92C4-DBE4-4464-A482-68E666FA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5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432"/>
    <w:rPr>
      <w:sz w:val="20"/>
      <w:szCs w:val="20"/>
      <w:lang w:val="en-ZA"/>
    </w:rPr>
  </w:style>
  <w:style w:type="character" w:styleId="FootnoteReference">
    <w:name w:val="footnote reference"/>
    <w:basedOn w:val="DefaultParagraphFont"/>
    <w:uiPriority w:val="99"/>
    <w:semiHidden/>
    <w:unhideWhenUsed/>
    <w:rsid w:val="00375432"/>
    <w:rPr>
      <w:vertAlign w:val="superscript"/>
    </w:rPr>
  </w:style>
  <w:style w:type="paragraph" w:styleId="ListParagraph">
    <w:name w:val="List Paragraph"/>
    <w:basedOn w:val="Normal"/>
    <w:uiPriority w:val="34"/>
    <w:qFormat/>
    <w:rsid w:val="001424A2"/>
    <w:pPr>
      <w:ind w:left="720"/>
      <w:contextualSpacing/>
    </w:pPr>
  </w:style>
  <w:style w:type="paragraph" w:styleId="Header">
    <w:name w:val="header"/>
    <w:basedOn w:val="Normal"/>
    <w:link w:val="HeaderChar"/>
    <w:uiPriority w:val="99"/>
    <w:unhideWhenUsed/>
    <w:rsid w:val="00941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1EB"/>
    <w:rPr>
      <w:lang w:val="en-ZA"/>
    </w:rPr>
  </w:style>
  <w:style w:type="paragraph" w:styleId="Footer">
    <w:name w:val="footer"/>
    <w:basedOn w:val="Normal"/>
    <w:link w:val="FooterChar"/>
    <w:uiPriority w:val="99"/>
    <w:unhideWhenUsed/>
    <w:rsid w:val="00941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1EB"/>
    <w:rPr>
      <w:lang w:val="en-ZA"/>
    </w:rPr>
  </w:style>
  <w:style w:type="paragraph" w:styleId="BalloonText">
    <w:name w:val="Balloon Text"/>
    <w:basedOn w:val="Normal"/>
    <w:link w:val="BalloonTextChar"/>
    <w:uiPriority w:val="99"/>
    <w:semiHidden/>
    <w:unhideWhenUsed/>
    <w:rsid w:val="001C2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F5"/>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A69A-54D0-414A-B4C7-832597B6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5418</Words>
  <Characters>30886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Tyhali</dc:creator>
  <cp:keywords/>
  <dc:description/>
  <cp:lastModifiedBy>Mokone</cp:lastModifiedBy>
  <cp:revision>2</cp:revision>
  <cp:lastPrinted>2023-10-03T07:23:00Z</cp:lastPrinted>
  <dcterms:created xsi:type="dcterms:W3CDTF">2023-10-16T07:29:00Z</dcterms:created>
  <dcterms:modified xsi:type="dcterms:W3CDTF">2023-10-16T07:29:00Z</dcterms:modified>
</cp:coreProperties>
</file>