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46367" w14:textId="77777777" w:rsidR="00D450B5" w:rsidRPr="00AA0F6D" w:rsidRDefault="00D450B5" w:rsidP="00772E4B">
      <w:pPr>
        <w:jc w:val="center"/>
      </w:pPr>
      <w:bookmarkStart w:id="0" w:name="_GoBack"/>
      <w:bookmarkEnd w:id="0"/>
      <w:r w:rsidRPr="00AA0F6D">
        <w:rPr>
          <w:noProof/>
          <w:lang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AA0F6D" w:rsidRDefault="00D450B5" w:rsidP="00772E4B">
      <w:pPr>
        <w:jc w:val="center"/>
        <w:rPr>
          <w:b/>
          <w:bCs/>
        </w:rPr>
      </w:pPr>
      <w:r w:rsidRPr="00AA0F6D">
        <w:rPr>
          <w:b/>
          <w:bCs/>
        </w:rPr>
        <w:t>IN THE HIGH COURT OF SOUTH AFRICA</w:t>
      </w:r>
    </w:p>
    <w:p w14:paraId="130E4897" w14:textId="21EE9C22" w:rsidR="00D450B5" w:rsidRPr="00AA0F6D" w:rsidRDefault="0003094F" w:rsidP="00772E4B">
      <w:pPr>
        <w:jc w:val="center"/>
        <w:rPr>
          <w:b/>
          <w:bCs/>
        </w:rPr>
      </w:pPr>
      <w:r w:rsidRPr="00AA0F6D">
        <w:rPr>
          <w:b/>
          <w:bCs/>
        </w:rPr>
        <w:t>(</w:t>
      </w:r>
      <w:r w:rsidR="00D450B5" w:rsidRPr="00AA0F6D">
        <w:rPr>
          <w:b/>
          <w:bCs/>
        </w:rPr>
        <w:t>EASTERN CAPE DIVISION,</w:t>
      </w:r>
      <w:r w:rsidR="00CA22C7" w:rsidRPr="00AA0F6D">
        <w:rPr>
          <w:b/>
          <w:bCs/>
        </w:rPr>
        <w:t xml:space="preserve"> </w:t>
      </w:r>
      <w:r w:rsidR="002E0B56" w:rsidRPr="00AA0F6D">
        <w:rPr>
          <w:b/>
          <w:bCs/>
        </w:rPr>
        <w:t>MAKHANDA</w:t>
      </w:r>
      <w:r w:rsidRPr="00AA0F6D">
        <w:rPr>
          <w:b/>
          <w:bCs/>
        </w:rPr>
        <w:t>)</w:t>
      </w:r>
    </w:p>
    <w:p w14:paraId="260381A7" w14:textId="77777777" w:rsidR="00D450B5" w:rsidRPr="00AA0F6D" w:rsidRDefault="00D450B5" w:rsidP="00772E4B">
      <w:pPr>
        <w:widowControl w:val="0"/>
        <w:jc w:val="both"/>
        <w:rPr>
          <w:spacing w:val="14"/>
          <w:kern w:val="2"/>
          <w:u w:val="single"/>
        </w:rPr>
      </w:pPr>
    </w:p>
    <w:p w14:paraId="101AD6EF" w14:textId="21775264" w:rsidR="008A75F3" w:rsidRPr="00554EE2" w:rsidRDefault="00D450B5" w:rsidP="00554EE2">
      <w:pPr>
        <w:ind w:right="515"/>
        <w:jc w:val="right"/>
        <w:rPr>
          <w:b/>
          <w:bCs/>
        </w:rPr>
      </w:pPr>
      <w:r w:rsidRPr="00AA0F6D">
        <w:t xml:space="preserve">                                                                                           </w:t>
      </w:r>
      <w:r w:rsidR="0002300E" w:rsidRPr="00AA0F6D">
        <w:rPr>
          <w:b/>
          <w:bCs/>
        </w:rPr>
        <w:t>OF INTEREST</w:t>
      </w:r>
      <w:r w:rsidRPr="00AA0F6D">
        <w:rPr>
          <w:b/>
          <w:bCs/>
        </w:rPr>
        <w:t xml:space="preserve">                                     </w:t>
      </w:r>
      <w:r w:rsidR="00E44987" w:rsidRPr="00AA0F6D">
        <w:t xml:space="preserve">                                                                                                  </w:t>
      </w:r>
    </w:p>
    <w:p w14:paraId="33B0CBC3" w14:textId="77777777" w:rsidR="00554EE2" w:rsidRDefault="00554EE2" w:rsidP="00AA0F6D">
      <w:pPr>
        <w:ind w:left="5760" w:firstLine="720"/>
        <w:jc w:val="right"/>
      </w:pPr>
    </w:p>
    <w:p w14:paraId="4934DB4B" w14:textId="797C6161" w:rsidR="00E44987" w:rsidRPr="00AA0F6D" w:rsidRDefault="00E44987" w:rsidP="00AA0F6D">
      <w:pPr>
        <w:ind w:left="5760" w:firstLine="720"/>
        <w:jc w:val="right"/>
      </w:pPr>
      <w:r w:rsidRPr="00AA0F6D">
        <w:t xml:space="preserve">Case </w:t>
      </w:r>
      <w:r w:rsidR="00AA7D35" w:rsidRPr="00AA0F6D">
        <w:t>N</w:t>
      </w:r>
      <w:r w:rsidRPr="00AA0F6D">
        <w:t xml:space="preserve">o: </w:t>
      </w:r>
      <w:r w:rsidR="00AA7D35" w:rsidRPr="00AA0F6D">
        <w:t>2567/2021</w:t>
      </w:r>
    </w:p>
    <w:p w14:paraId="14681F10" w14:textId="77777777" w:rsidR="00554EE2" w:rsidRDefault="00554EE2" w:rsidP="00772E4B">
      <w:pPr>
        <w:widowControl w:val="0"/>
        <w:jc w:val="both"/>
        <w:rPr>
          <w:spacing w:val="14"/>
          <w:kern w:val="2"/>
        </w:rPr>
      </w:pPr>
    </w:p>
    <w:p w14:paraId="49070A0E" w14:textId="3D522BD3" w:rsidR="00D450B5" w:rsidRPr="00AA0F6D" w:rsidRDefault="00D450B5" w:rsidP="00772E4B">
      <w:pPr>
        <w:widowControl w:val="0"/>
        <w:jc w:val="both"/>
        <w:rPr>
          <w:spacing w:val="14"/>
          <w:kern w:val="2"/>
        </w:rPr>
      </w:pPr>
      <w:r w:rsidRPr="00AA0F6D">
        <w:rPr>
          <w:spacing w:val="14"/>
          <w:kern w:val="2"/>
        </w:rPr>
        <w:t>In the matter between</w:t>
      </w:r>
      <w:r w:rsidR="00E44987" w:rsidRPr="00AA0F6D">
        <w:rPr>
          <w:spacing w:val="14"/>
          <w:kern w:val="2"/>
        </w:rPr>
        <w:t>:</w:t>
      </w:r>
    </w:p>
    <w:p w14:paraId="2E198784" w14:textId="2CE4C2C0" w:rsidR="00D450B5" w:rsidRPr="00AA0F6D" w:rsidRDefault="00D450B5" w:rsidP="00772E4B">
      <w:pPr>
        <w:widowControl w:val="0"/>
        <w:tabs>
          <w:tab w:val="right" w:pos="8198"/>
        </w:tabs>
        <w:jc w:val="both"/>
        <w:rPr>
          <w:spacing w:val="14"/>
          <w:kern w:val="2"/>
        </w:rPr>
      </w:pPr>
    </w:p>
    <w:p w14:paraId="0D746988" w14:textId="6D02FD87" w:rsidR="00D450B5" w:rsidRPr="00AA0F6D" w:rsidRDefault="00AA7D35" w:rsidP="00772E4B">
      <w:pPr>
        <w:tabs>
          <w:tab w:val="right" w:pos="9072"/>
        </w:tabs>
        <w:suppressAutoHyphens/>
        <w:jc w:val="both"/>
        <w:rPr>
          <w:b/>
          <w:bCs/>
        </w:rPr>
      </w:pPr>
      <w:r w:rsidRPr="00AA0F6D">
        <w:rPr>
          <w:b/>
          <w:bCs/>
        </w:rPr>
        <w:t>TERER BELEGGINGS (PTY) LTD</w:t>
      </w:r>
      <w:r w:rsidRPr="00AA0F6D">
        <w:rPr>
          <w:b/>
          <w:bCs/>
        </w:rPr>
        <w:tab/>
        <w:t>PLAINTIFF</w:t>
      </w:r>
    </w:p>
    <w:p w14:paraId="50A760EA" w14:textId="77777777" w:rsidR="00F565D0" w:rsidRPr="00AA0F6D" w:rsidRDefault="00F565D0" w:rsidP="00772E4B">
      <w:pPr>
        <w:tabs>
          <w:tab w:val="right" w:pos="9072"/>
        </w:tabs>
        <w:suppressAutoHyphens/>
        <w:jc w:val="both"/>
      </w:pPr>
    </w:p>
    <w:p w14:paraId="460137EF" w14:textId="77777777" w:rsidR="00D450B5" w:rsidRPr="00AA0F6D" w:rsidRDefault="00D450B5" w:rsidP="00772E4B">
      <w:pPr>
        <w:jc w:val="both"/>
      </w:pPr>
      <w:r w:rsidRPr="00AA0F6D">
        <w:t>and</w:t>
      </w:r>
    </w:p>
    <w:p w14:paraId="37CBA823" w14:textId="4B4FCA3C" w:rsidR="00D450B5" w:rsidRPr="00AA0F6D" w:rsidRDefault="00D450B5" w:rsidP="00772E4B">
      <w:pPr>
        <w:jc w:val="both"/>
      </w:pPr>
    </w:p>
    <w:p w14:paraId="4F0E2CE6" w14:textId="741AB5E9" w:rsidR="00C246F2" w:rsidRPr="00AA0F6D" w:rsidRDefault="00AA7D35" w:rsidP="00772E4B">
      <w:pPr>
        <w:jc w:val="both"/>
        <w:rPr>
          <w:b/>
          <w:bCs/>
        </w:rPr>
      </w:pPr>
      <w:r w:rsidRPr="00AA0F6D">
        <w:rPr>
          <w:b/>
          <w:bCs/>
        </w:rPr>
        <w:t>HOUGHAMDALE TRADING (PTY) LTD</w:t>
      </w:r>
      <w:r w:rsidRPr="00AA0F6D">
        <w:rPr>
          <w:b/>
          <w:bCs/>
        </w:rPr>
        <w:tab/>
      </w:r>
      <w:r w:rsidRPr="00AA0F6D">
        <w:rPr>
          <w:b/>
          <w:bCs/>
        </w:rPr>
        <w:tab/>
      </w:r>
      <w:r w:rsidRPr="00AA0F6D">
        <w:rPr>
          <w:b/>
          <w:bCs/>
        </w:rPr>
        <w:tab/>
      </w:r>
      <w:r w:rsidRPr="00AA0F6D">
        <w:rPr>
          <w:b/>
          <w:bCs/>
        </w:rPr>
        <w:tab/>
        <w:t xml:space="preserve">    FIRST DEFENDANT</w:t>
      </w:r>
    </w:p>
    <w:p w14:paraId="0E2910D6" w14:textId="01FD252C" w:rsidR="00AA7D35" w:rsidRPr="00AA0F6D" w:rsidRDefault="00AA7D35" w:rsidP="00772E4B">
      <w:pPr>
        <w:jc w:val="both"/>
        <w:rPr>
          <w:b/>
          <w:bCs/>
        </w:rPr>
      </w:pPr>
      <w:r w:rsidRPr="00AA0F6D">
        <w:rPr>
          <w:b/>
          <w:bCs/>
        </w:rPr>
        <w:t>HUMANSDORP COOPERATIVE LTD</w:t>
      </w:r>
      <w:r w:rsidRPr="00AA0F6D">
        <w:rPr>
          <w:b/>
          <w:bCs/>
        </w:rPr>
        <w:tab/>
      </w:r>
      <w:r w:rsidRPr="00AA0F6D">
        <w:rPr>
          <w:b/>
          <w:bCs/>
        </w:rPr>
        <w:tab/>
      </w:r>
      <w:r w:rsidRPr="00AA0F6D">
        <w:rPr>
          <w:b/>
          <w:bCs/>
        </w:rPr>
        <w:tab/>
        <w:t xml:space="preserve">          SECOND DEFENDANT</w:t>
      </w:r>
    </w:p>
    <w:p w14:paraId="5FB2E0D7" w14:textId="084DF5BD" w:rsidR="00AA7D35" w:rsidRPr="00AA0F6D" w:rsidRDefault="00AA7D35" w:rsidP="00772E4B">
      <w:pPr>
        <w:jc w:val="both"/>
        <w:rPr>
          <w:b/>
          <w:bCs/>
        </w:rPr>
      </w:pPr>
      <w:r w:rsidRPr="00AA0F6D">
        <w:rPr>
          <w:b/>
          <w:bCs/>
        </w:rPr>
        <w:t>ABSA BANK LTD</w:t>
      </w:r>
      <w:r w:rsidRPr="00AA0F6D">
        <w:rPr>
          <w:b/>
          <w:bCs/>
        </w:rPr>
        <w:tab/>
      </w:r>
      <w:r w:rsidRPr="00AA0F6D">
        <w:rPr>
          <w:b/>
          <w:bCs/>
        </w:rPr>
        <w:tab/>
      </w:r>
      <w:r w:rsidRPr="00AA0F6D">
        <w:rPr>
          <w:b/>
          <w:bCs/>
        </w:rPr>
        <w:tab/>
      </w:r>
      <w:r w:rsidRPr="00AA0F6D">
        <w:rPr>
          <w:b/>
          <w:bCs/>
        </w:rPr>
        <w:tab/>
      </w:r>
      <w:r w:rsidRPr="00AA0F6D">
        <w:rPr>
          <w:b/>
          <w:bCs/>
        </w:rPr>
        <w:tab/>
      </w:r>
      <w:r w:rsidRPr="00AA0F6D">
        <w:rPr>
          <w:b/>
          <w:bCs/>
        </w:rPr>
        <w:tab/>
      </w:r>
      <w:r w:rsidRPr="00AA0F6D">
        <w:rPr>
          <w:b/>
          <w:bCs/>
        </w:rPr>
        <w:tab/>
        <w:t xml:space="preserve">    THIRD DEFENDANT</w:t>
      </w:r>
    </w:p>
    <w:p w14:paraId="19B67682" w14:textId="787E5801" w:rsidR="00AA7D35" w:rsidRPr="00AA0F6D" w:rsidRDefault="00AA7D35" w:rsidP="00772E4B">
      <w:pPr>
        <w:jc w:val="both"/>
        <w:rPr>
          <w:b/>
          <w:bCs/>
        </w:rPr>
      </w:pPr>
      <w:r w:rsidRPr="00AA0F6D">
        <w:rPr>
          <w:b/>
          <w:bCs/>
        </w:rPr>
        <w:t>THE REGISTRAR OF DEEDS,</w:t>
      </w:r>
    </w:p>
    <w:p w14:paraId="11A7BC94" w14:textId="6DB32371" w:rsidR="00AA7D35" w:rsidRPr="00AA0F6D" w:rsidRDefault="00AA7D35" w:rsidP="00772E4B">
      <w:pPr>
        <w:jc w:val="both"/>
        <w:rPr>
          <w:b/>
          <w:bCs/>
        </w:rPr>
      </w:pPr>
      <w:r w:rsidRPr="00AA0F6D">
        <w:rPr>
          <w:b/>
          <w:bCs/>
        </w:rPr>
        <w:t>KING WILLIAM’S TOWN</w:t>
      </w:r>
      <w:r w:rsidRPr="00AA0F6D">
        <w:rPr>
          <w:b/>
          <w:bCs/>
        </w:rPr>
        <w:tab/>
      </w:r>
      <w:r w:rsidRPr="00AA0F6D">
        <w:rPr>
          <w:b/>
          <w:bCs/>
        </w:rPr>
        <w:tab/>
      </w:r>
      <w:r w:rsidRPr="00AA0F6D">
        <w:rPr>
          <w:b/>
          <w:bCs/>
        </w:rPr>
        <w:tab/>
      </w:r>
      <w:r w:rsidRPr="00AA0F6D">
        <w:rPr>
          <w:b/>
          <w:bCs/>
        </w:rPr>
        <w:tab/>
      </w:r>
      <w:r w:rsidRPr="00AA0F6D">
        <w:rPr>
          <w:b/>
          <w:bCs/>
        </w:rPr>
        <w:tab/>
      </w:r>
      <w:r w:rsidRPr="00AA0F6D">
        <w:rPr>
          <w:b/>
          <w:bCs/>
        </w:rPr>
        <w:tab/>
        <w:t>FOURTH DEFENDANT</w:t>
      </w:r>
    </w:p>
    <w:p w14:paraId="76889E9C" w14:textId="24974D08" w:rsidR="00D450B5" w:rsidRPr="00AA0F6D" w:rsidRDefault="00D450B5" w:rsidP="00772E4B">
      <w:pPr>
        <w:jc w:val="both"/>
      </w:pPr>
      <w:r w:rsidRPr="00AA0F6D">
        <w:t>__________________________________________________________________</w:t>
      </w:r>
      <w:r w:rsidR="006B1DCE" w:rsidRPr="00AA0F6D">
        <w:t>_</w:t>
      </w:r>
    </w:p>
    <w:p w14:paraId="37FFD90E" w14:textId="77777777" w:rsidR="0009497C" w:rsidRPr="00AA0F6D" w:rsidRDefault="0009497C" w:rsidP="00772E4B">
      <w:pPr>
        <w:jc w:val="center"/>
      </w:pPr>
    </w:p>
    <w:p w14:paraId="7239B7A9" w14:textId="3FC196CB" w:rsidR="00D450B5" w:rsidRPr="00AA0F6D" w:rsidRDefault="00D450B5" w:rsidP="00772E4B">
      <w:pPr>
        <w:jc w:val="center"/>
        <w:rPr>
          <w:b/>
          <w:bCs/>
        </w:rPr>
      </w:pPr>
      <w:r w:rsidRPr="00AA0F6D">
        <w:rPr>
          <w:b/>
          <w:bCs/>
        </w:rPr>
        <w:t>JUDGMENT</w:t>
      </w:r>
    </w:p>
    <w:p w14:paraId="2B47CB4D" w14:textId="77777777" w:rsidR="00D450B5" w:rsidRPr="00AA0F6D" w:rsidRDefault="00D450B5" w:rsidP="00772E4B">
      <w:pPr>
        <w:jc w:val="both"/>
      </w:pPr>
      <w:r w:rsidRPr="00AA0F6D">
        <w:t>___________________________________________________________________</w:t>
      </w:r>
    </w:p>
    <w:p w14:paraId="7C4F1B04" w14:textId="25864082" w:rsidR="00D450B5" w:rsidRPr="00AA0F6D" w:rsidRDefault="00E57C72" w:rsidP="00772E4B">
      <w:pPr>
        <w:jc w:val="both"/>
        <w:rPr>
          <w:b/>
          <w:bCs/>
        </w:rPr>
      </w:pPr>
      <w:r w:rsidRPr="00AA0F6D">
        <w:rPr>
          <w:b/>
          <w:bCs/>
        </w:rPr>
        <w:t>Govindjee</w:t>
      </w:r>
      <w:r w:rsidR="00D450B5" w:rsidRPr="00AA0F6D">
        <w:rPr>
          <w:b/>
          <w:bCs/>
        </w:rPr>
        <w:t xml:space="preserve"> J</w:t>
      </w:r>
    </w:p>
    <w:p w14:paraId="3BA0626F" w14:textId="09581FEE" w:rsidR="001436D9" w:rsidRPr="00AA0F6D" w:rsidRDefault="001436D9" w:rsidP="00682CE5">
      <w:pPr>
        <w:autoSpaceDE w:val="0"/>
        <w:autoSpaceDN w:val="0"/>
        <w:adjustRightInd w:val="0"/>
        <w:jc w:val="both"/>
        <w:rPr>
          <w:b/>
          <w:bCs/>
        </w:rPr>
      </w:pPr>
    </w:p>
    <w:p w14:paraId="46FDE693" w14:textId="77777777" w:rsidR="00554EE2" w:rsidRDefault="00554EE2" w:rsidP="00682CE5">
      <w:pPr>
        <w:autoSpaceDE w:val="0"/>
        <w:autoSpaceDN w:val="0"/>
        <w:adjustRightInd w:val="0"/>
        <w:jc w:val="both"/>
        <w:rPr>
          <w:b/>
          <w:bCs/>
        </w:rPr>
      </w:pPr>
    </w:p>
    <w:p w14:paraId="6F52238E" w14:textId="77777777" w:rsidR="00554EE2" w:rsidRDefault="00554EE2" w:rsidP="00682CE5">
      <w:pPr>
        <w:autoSpaceDE w:val="0"/>
        <w:autoSpaceDN w:val="0"/>
        <w:adjustRightInd w:val="0"/>
        <w:jc w:val="both"/>
        <w:rPr>
          <w:b/>
          <w:bCs/>
        </w:rPr>
      </w:pPr>
    </w:p>
    <w:p w14:paraId="31950A23" w14:textId="77777777" w:rsidR="00554EE2" w:rsidRDefault="00554EE2" w:rsidP="00682CE5">
      <w:pPr>
        <w:autoSpaceDE w:val="0"/>
        <w:autoSpaceDN w:val="0"/>
        <w:adjustRightInd w:val="0"/>
        <w:jc w:val="both"/>
        <w:rPr>
          <w:b/>
          <w:bCs/>
        </w:rPr>
      </w:pPr>
    </w:p>
    <w:p w14:paraId="0A1968E1" w14:textId="77777777" w:rsidR="00554EE2" w:rsidRDefault="00554EE2" w:rsidP="00682CE5">
      <w:pPr>
        <w:autoSpaceDE w:val="0"/>
        <w:autoSpaceDN w:val="0"/>
        <w:adjustRightInd w:val="0"/>
        <w:jc w:val="both"/>
        <w:rPr>
          <w:b/>
          <w:bCs/>
        </w:rPr>
      </w:pPr>
    </w:p>
    <w:p w14:paraId="4C91C70D" w14:textId="3DB2A965" w:rsidR="001436D9" w:rsidRPr="00AA0F6D" w:rsidRDefault="00A44385" w:rsidP="00682CE5">
      <w:pPr>
        <w:autoSpaceDE w:val="0"/>
        <w:autoSpaceDN w:val="0"/>
        <w:adjustRightInd w:val="0"/>
        <w:jc w:val="both"/>
        <w:rPr>
          <w:b/>
          <w:bCs/>
        </w:rPr>
      </w:pPr>
      <w:r w:rsidRPr="00AA0F6D">
        <w:rPr>
          <w:b/>
          <w:bCs/>
        </w:rPr>
        <w:lastRenderedPageBreak/>
        <w:t>Introduction</w:t>
      </w:r>
    </w:p>
    <w:p w14:paraId="57978931" w14:textId="77777777" w:rsidR="00A44385" w:rsidRPr="00AA0F6D" w:rsidRDefault="00A44385" w:rsidP="00682CE5">
      <w:pPr>
        <w:autoSpaceDE w:val="0"/>
        <w:autoSpaceDN w:val="0"/>
        <w:adjustRightInd w:val="0"/>
        <w:jc w:val="both"/>
        <w:rPr>
          <w:b/>
          <w:bCs/>
        </w:rPr>
      </w:pPr>
    </w:p>
    <w:p w14:paraId="1F067339" w14:textId="01506C3B" w:rsidR="00D85C03" w:rsidRPr="00AA0F6D" w:rsidRDefault="00A011F8" w:rsidP="00A011F8">
      <w:pPr>
        <w:autoSpaceDE w:val="0"/>
        <w:autoSpaceDN w:val="0"/>
        <w:adjustRightInd w:val="0"/>
        <w:jc w:val="both"/>
      </w:pPr>
      <w:r w:rsidRPr="00AA0F6D">
        <w:t>[1]</w:t>
      </w:r>
      <w:r w:rsidRPr="00AA0F6D">
        <w:tab/>
      </w:r>
      <w:r w:rsidR="00D85C03" w:rsidRPr="00AA0F6D">
        <w:t>The Subdivision of Agricultural Land Act, 1970</w:t>
      </w:r>
      <w:r w:rsidR="001D7534" w:rsidRPr="00AA0F6D">
        <w:rPr>
          <w:rStyle w:val="FootnoteReference"/>
        </w:rPr>
        <w:footnoteReference w:id="1"/>
      </w:r>
      <w:r w:rsidR="00DC4AF3" w:rsidRPr="00AA0F6D">
        <w:t xml:space="preserve"> (‘the Act’)</w:t>
      </w:r>
      <w:r w:rsidR="00D85C03" w:rsidRPr="00AA0F6D">
        <w:t xml:space="preserve"> prohibits the subdivision of agricultural land absent the consent of the Minister of Agriculture</w:t>
      </w:r>
      <w:r w:rsidR="00FD5E4C" w:rsidRPr="00AA0F6D">
        <w:t xml:space="preserve">, </w:t>
      </w:r>
      <w:r w:rsidR="009E326D">
        <w:t>Land Reform and Rural Development</w:t>
      </w:r>
      <w:r w:rsidR="00D85C03" w:rsidRPr="00AA0F6D">
        <w:t>.</w:t>
      </w:r>
      <w:r w:rsidR="009270D9" w:rsidRPr="00AA0F6D">
        <w:t xml:space="preserve"> This matter concerns claims for restoration of </w:t>
      </w:r>
      <w:r w:rsidR="00BC251D" w:rsidRPr="00AA0F6D">
        <w:t>agricultural land</w:t>
      </w:r>
      <w:r w:rsidR="009270D9" w:rsidRPr="00AA0F6D">
        <w:t xml:space="preserve"> transferred by the plaintiff to the </w:t>
      </w:r>
      <w:r w:rsidR="0047210D" w:rsidRPr="00AA0F6D">
        <w:t xml:space="preserve">first </w:t>
      </w:r>
      <w:r w:rsidR="009270D9" w:rsidRPr="00AA0F6D">
        <w:t>defendant during 2008</w:t>
      </w:r>
      <w:r w:rsidR="008F094B" w:rsidRPr="00AA0F6D">
        <w:t>, either on the basis that the deed of sale was illegal and void</w:t>
      </w:r>
      <w:r w:rsidR="00553708" w:rsidRPr="00AA0F6D">
        <w:t xml:space="preserve"> ab initio,</w:t>
      </w:r>
      <w:r w:rsidR="00DB3669" w:rsidRPr="00AA0F6D">
        <w:t xml:space="preserve"> due to the absence of the Minister’s consent,</w:t>
      </w:r>
      <w:r w:rsidR="00553708" w:rsidRPr="00AA0F6D">
        <w:t xml:space="preserve"> alternatively because the plaintiff has always remained owner of the immovable property </w:t>
      </w:r>
      <w:r w:rsidR="00FB22F4" w:rsidRPr="00AA0F6D">
        <w:t>due to</w:t>
      </w:r>
      <w:r w:rsidR="00553708" w:rsidRPr="00AA0F6D">
        <w:t xml:space="preserve"> the parties’ absence of intention to transfer ownership.</w:t>
      </w:r>
      <w:r w:rsidR="00DD7131" w:rsidRPr="00AA0F6D">
        <w:t xml:space="preserve"> Various complex issues require determination.</w:t>
      </w:r>
      <w:r w:rsidR="001A0FF9" w:rsidRPr="00AA0F6D">
        <w:rPr>
          <w:rStyle w:val="FootnoteReference"/>
        </w:rPr>
        <w:footnoteReference w:id="2"/>
      </w:r>
      <w:r w:rsidR="00DD7131" w:rsidRPr="00AA0F6D">
        <w:t xml:space="preserve"> These include the proper categorisation of the plaintiff’s main claim, also for purposes of determining the special plea of prescription</w:t>
      </w:r>
      <w:r w:rsidR="003C2EF2" w:rsidRPr="00AA0F6D">
        <w:t>,</w:t>
      </w:r>
      <w:r w:rsidR="0056537C" w:rsidRPr="00AA0F6D">
        <w:rPr>
          <w:rStyle w:val="FootnoteReference"/>
        </w:rPr>
        <w:footnoteReference w:id="3"/>
      </w:r>
      <w:r w:rsidR="003C2EF2" w:rsidRPr="00AA0F6D">
        <w:t xml:space="preserve"> the </w:t>
      </w:r>
      <w:r w:rsidR="00951EFE" w:rsidRPr="00AA0F6D">
        <w:t xml:space="preserve">so-called </w:t>
      </w:r>
      <w:r w:rsidR="003C2EF2" w:rsidRPr="00AA0F6D">
        <w:t>‘real agreement’</w:t>
      </w:r>
      <w:r w:rsidR="00087CDF" w:rsidRPr="00AA0F6D">
        <w:t xml:space="preserve"> as part of the abstract system of transfer of immovable property</w:t>
      </w:r>
      <w:r w:rsidR="003A7052" w:rsidRPr="00AA0F6D">
        <w:t>, the impact of any invalidity in the deed of sale on the real agreement and whether an offending clause may be severable.</w:t>
      </w:r>
    </w:p>
    <w:p w14:paraId="5915B0E1" w14:textId="77777777" w:rsidR="00D85C03" w:rsidRPr="00AA0F6D" w:rsidRDefault="00D85C03" w:rsidP="00D85C03">
      <w:pPr>
        <w:pStyle w:val="ListParagraph"/>
        <w:autoSpaceDE w:val="0"/>
        <w:autoSpaceDN w:val="0"/>
        <w:adjustRightInd w:val="0"/>
        <w:ind w:left="0"/>
        <w:jc w:val="both"/>
      </w:pPr>
    </w:p>
    <w:p w14:paraId="351C44B5" w14:textId="07CEB0A5" w:rsidR="00D85C03" w:rsidRPr="00AA0F6D" w:rsidRDefault="00D85C03" w:rsidP="00D85C03">
      <w:pPr>
        <w:pStyle w:val="ListParagraph"/>
        <w:autoSpaceDE w:val="0"/>
        <w:autoSpaceDN w:val="0"/>
        <w:adjustRightInd w:val="0"/>
        <w:ind w:left="0"/>
        <w:jc w:val="both"/>
        <w:rPr>
          <w:b/>
          <w:bCs/>
        </w:rPr>
      </w:pPr>
      <w:r w:rsidRPr="00AA0F6D">
        <w:rPr>
          <w:b/>
          <w:bCs/>
        </w:rPr>
        <w:t>The parties</w:t>
      </w:r>
    </w:p>
    <w:p w14:paraId="5DFEC13E" w14:textId="77777777" w:rsidR="00911F48" w:rsidRPr="00AA0F6D" w:rsidRDefault="00911F48" w:rsidP="00911F48">
      <w:pPr>
        <w:pStyle w:val="ListParagraph"/>
        <w:autoSpaceDE w:val="0"/>
        <w:autoSpaceDN w:val="0"/>
        <w:adjustRightInd w:val="0"/>
        <w:ind w:left="0"/>
        <w:jc w:val="both"/>
      </w:pPr>
    </w:p>
    <w:p w14:paraId="15057235" w14:textId="7C6C14EC" w:rsidR="00823CFE" w:rsidRPr="00AA0F6D" w:rsidRDefault="00A011F8" w:rsidP="00A011F8">
      <w:pPr>
        <w:autoSpaceDE w:val="0"/>
        <w:autoSpaceDN w:val="0"/>
        <w:adjustRightInd w:val="0"/>
        <w:jc w:val="both"/>
      </w:pPr>
      <w:r w:rsidRPr="00AA0F6D">
        <w:t>[2]</w:t>
      </w:r>
      <w:r w:rsidRPr="00AA0F6D">
        <w:tab/>
      </w:r>
      <w:r w:rsidR="006A7DA6" w:rsidRPr="00AA0F6D">
        <w:t>T</w:t>
      </w:r>
      <w:r w:rsidR="00C771E1" w:rsidRPr="00AA0F6D">
        <w:t xml:space="preserve">erer Beleggings (Pty) Ltd (‘the plaintiff’) was the registered owner of the immovable property described as ‘remainder of portion 7 of the farm Houghamdale North Nr 341’ (‘the </w:t>
      </w:r>
      <w:r w:rsidR="00147911" w:rsidRPr="00AA0F6D">
        <w:t xml:space="preserve">immovable </w:t>
      </w:r>
      <w:r w:rsidR="00C771E1" w:rsidRPr="00AA0F6D">
        <w:t xml:space="preserve">property’). The </w:t>
      </w:r>
      <w:r w:rsidR="00440D52" w:rsidRPr="00AA0F6D">
        <w:t xml:space="preserve">immovable </w:t>
      </w:r>
      <w:r w:rsidR="00C771E1" w:rsidRPr="00AA0F6D">
        <w:t>property is situated in the Blue Crane Route Munic</w:t>
      </w:r>
      <w:r w:rsidR="00520D77" w:rsidRPr="00AA0F6D">
        <w:t>i</w:t>
      </w:r>
      <w:r w:rsidR="00C771E1" w:rsidRPr="00AA0F6D">
        <w:t>pality in Somerset East and is 552.0256 hectares in extent, held by title deed number T85686/98.</w:t>
      </w:r>
    </w:p>
    <w:p w14:paraId="325C05A9" w14:textId="77777777" w:rsidR="00C771E1" w:rsidRPr="00AA0F6D" w:rsidRDefault="00C771E1" w:rsidP="00C771E1">
      <w:pPr>
        <w:pStyle w:val="ListParagraph"/>
        <w:autoSpaceDE w:val="0"/>
        <w:autoSpaceDN w:val="0"/>
        <w:adjustRightInd w:val="0"/>
        <w:ind w:left="0"/>
        <w:jc w:val="both"/>
      </w:pPr>
    </w:p>
    <w:p w14:paraId="234B331A" w14:textId="761961F8" w:rsidR="00C771E1" w:rsidRPr="00AA0F6D" w:rsidRDefault="00A011F8" w:rsidP="00A011F8">
      <w:pPr>
        <w:autoSpaceDE w:val="0"/>
        <w:autoSpaceDN w:val="0"/>
        <w:adjustRightInd w:val="0"/>
        <w:jc w:val="both"/>
      </w:pPr>
      <w:r w:rsidRPr="00AA0F6D">
        <w:t>[3]</w:t>
      </w:r>
      <w:r w:rsidRPr="00AA0F6D">
        <w:tab/>
      </w:r>
      <w:r w:rsidR="00335712" w:rsidRPr="00AA0F6D">
        <w:t xml:space="preserve">The plaintiff, represented by Mr Willem </w:t>
      </w:r>
      <w:r w:rsidR="004046F1" w:rsidRPr="00AA0F6D">
        <w:t>v</w:t>
      </w:r>
      <w:r w:rsidR="00335712" w:rsidRPr="00AA0F6D">
        <w:t xml:space="preserve">an Bergen, and the first defendant, then known as RZT Zeply 5196 (Pty) Ltd (‘the defendant’) entered into a written deed of sale on 19 November 2007. The defendant was represented by Mr Mark Holliday. Subsequently, the plaintiff transferred the </w:t>
      </w:r>
      <w:r w:rsidR="00147911" w:rsidRPr="00AA0F6D">
        <w:t xml:space="preserve">immovable </w:t>
      </w:r>
      <w:r w:rsidR="00335712" w:rsidRPr="00AA0F6D">
        <w:t>property</w:t>
      </w:r>
      <w:r w:rsidR="001352F5" w:rsidRPr="00AA0F6D">
        <w:t xml:space="preserve"> to the defendant and received payment of </w:t>
      </w:r>
      <w:r w:rsidR="0014183D" w:rsidRPr="00AA0F6D">
        <w:t>R9,1 million</w:t>
      </w:r>
      <w:r w:rsidR="001352F5" w:rsidRPr="00AA0F6D">
        <w:t xml:space="preserve"> plus VAT</w:t>
      </w:r>
      <w:r w:rsidR="0014183D" w:rsidRPr="00AA0F6D">
        <w:t xml:space="preserve"> (‘the purchase price’)</w:t>
      </w:r>
      <w:r w:rsidR="001352F5" w:rsidRPr="00AA0F6D">
        <w:t>.</w:t>
      </w:r>
    </w:p>
    <w:p w14:paraId="5BFDE471" w14:textId="77D7A51C" w:rsidR="00335712" w:rsidRPr="00AA0F6D" w:rsidRDefault="00335712" w:rsidP="001436D9"/>
    <w:p w14:paraId="26E62134" w14:textId="670012E8" w:rsidR="001436D9" w:rsidRPr="00AA0F6D" w:rsidRDefault="001436D9" w:rsidP="001436D9">
      <w:pPr>
        <w:rPr>
          <w:b/>
          <w:bCs/>
        </w:rPr>
      </w:pPr>
      <w:r w:rsidRPr="00AA0F6D">
        <w:rPr>
          <w:b/>
          <w:bCs/>
        </w:rPr>
        <w:lastRenderedPageBreak/>
        <w:t>The pleadings</w:t>
      </w:r>
    </w:p>
    <w:p w14:paraId="08E243B3" w14:textId="77777777" w:rsidR="001436D9" w:rsidRPr="00AA0F6D" w:rsidRDefault="001436D9" w:rsidP="001436D9">
      <w:pPr>
        <w:rPr>
          <w:i/>
          <w:iCs/>
        </w:rPr>
      </w:pPr>
    </w:p>
    <w:p w14:paraId="5A1B14E8" w14:textId="048F6C71" w:rsidR="00335712" w:rsidRPr="00AA0F6D" w:rsidRDefault="00A011F8" w:rsidP="00A011F8">
      <w:pPr>
        <w:autoSpaceDE w:val="0"/>
        <w:autoSpaceDN w:val="0"/>
        <w:adjustRightInd w:val="0"/>
        <w:jc w:val="both"/>
      </w:pPr>
      <w:r w:rsidRPr="00AA0F6D">
        <w:t>[4]</w:t>
      </w:r>
      <w:r w:rsidRPr="00AA0F6D">
        <w:tab/>
      </w:r>
      <w:r w:rsidR="00357B51" w:rsidRPr="00AA0F6D">
        <w:t xml:space="preserve">The plaintiff instituted action during </w:t>
      </w:r>
      <w:r w:rsidR="00ED5C28" w:rsidRPr="00AA0F6D">
        <w:t>August</w:t>
      </w:r>
      <w:r w:rsidR="00357B51" w:rsidRPr="00AA0F6D">
        <w:t xml:space="preserve"> 202</w:t>
      </w:r>
      <w:r w:rsidR="00ED5C28" w:rsidRPr="00AA0F6D">
        <w:t>1</w:t>
      </w:r>
      <w:r w:rsidR="002C1779" w:rsidRPr="00AA0F6D">
        <w:t xml:space="preserve">. It averred </w:t>
      </w:r>
      <w:r w:rsidR="00357B51" w:rsidRPr="00AA0F6D">
        <w:t xml:space="preserve">that the </w:t>
      </w:r>
      <w:r w:rsidR="002C1779" w:rsidRPr="00AA0F6D">
        <w:t xml:space="preserve">subject matter of the </w:t>
      </w:r>
      <w:r w:rsidR="00357B51" w:rsidRPr="00AA0F6D">
        <w:t xml:space="preserve">deed of sale </w:t>
      </w:r>
      <w:r w:rsidR="002C1779" w:rsidRPr="00AA0F6D">
        <w:t>was ‘an undivided portion of the immovable property</w:t>
      </w:r>
      <w:r w:rsidR="004F2E89" w:rsidRPr="00AA0F6D">
        <w:t>’, comprising 474 hectares,</w:t>
      </w:r>
      <w:r w:rsidR="002C1779" w:rsidRPr="00AA0F6D">
        <w:t xml:space="preserve"> </w:t>
      </w:r>
      <w:r w:rsidR="00D26504" w:rsidRPr="00AA0F6D">
        <w:t xml:space="preserve">(‘the undivided portion’) </w:t>
      </w:r>
      <w:r w:rsidR="002C1779" w:rsidRPr="00AA0F6D">
        <w:t>together with a portion of the plaintiff’s water rights</w:t>
      </w:r>
      <w:r w:rsidR="004F2E89" w:rsidRPr="00AA0F6D">
        <w:t>.</w:t>
      </w:r>
      <w:r w:rsidR="002F7293" w:rsidRPr="00AA0F6D">
        <w:t xml:space="preserve"> The plaintiff pleaded that it was in the process of sub-dividing and selling a </w:t>
      </w:r>
      <w:r w:rsidR="00421C74" w:rsidRPr="00AA0F6D">
        <w:t>52-hectare</w:t>
      </w:r>
      <w:r w:rsidR="002F7293" w:rsidRPr="00AA0F6D">
        <w:t xml:space="preserve"> portion of the immovable property, intending to consolidate that land with another piece of land</w:t>
      </w:r>
      <w:r w:rsidR="00421C74" w:rsidRPr="00AA0F6D">
        <w:t xml:space="preserve">. </w:t>
      </w:r>
      <w:r w:rsidR="00A35FD8" w:rsidRPr="00AA0F6D">
        <w:t>In terms of clause 24.5 of the deed of sale,</w:t>
      </w:r>
      <w:r w:rsidR="00421C74" w:rsidRPr="00AA0F6D">
        <w:t xml:space="preserve"> the defendant agreed to sign all the necessary documentation to enable to plaintiff to proceed with the sub-division and consolidation</w:t>
      </w:r>
      <w:r w:rsidR="00185DEB" w:rsidRPr="00AA0F6D">
        <w:t xml:space="preserve">. The plaintiff highlights this clause to demonstrate </w:t>
      </w:r>
      <w:r w:rsidR="00421C74" w:rsidRPr="00AA0F6D">
        <w:t>that the defendant would not receive ownership of the immovable property</w:t>
      </w:r>
      <w:r w:rsidR="00A2576A" w:rsidRPr="00AA0F6D">
        <w:t xml:space="preserve"> in its full extent</w:t>
      </w:r>
      <w:r w:rsidR="00421C74" w:rsidRPr="00AA0F6D">
        <w:t>.</w:t>
      </w:r>
      <w:r w:rsidR="0014183D" w:rsidRPr="00AA0F6D">
        <w:t xml:space="preserve"> The agreement, according to the plaintiff, was that the defendant agreed to pay the purchase price to the plaintiff in return for the undivided portion and water rights</w:t>
      </w:r>
      <w:r w:rsidR="00566000" w:rsidRPr="00AA0F6D">
        <w:t xml:space="preserve">, </w:t>
      </w:r>
      <w:r w:rsidR="00532E05" w:rsidRPr="00AA0F6D">
        <w:t>up</w:t>
      </w:r>
      <w:r w:rsidR="00566000" w:rsidRPr="00AA0F6D">
        <w:t>on registration of transfer of the immovable property in its name.</w:t>
      </w:r>
    </w:p>
    <w:p w14:paraId="04EA37C7" w14:textId="77777777" w:rsidR="004A5D2A" w:rsidRPr="00AA0F6D" w:rsidRDefault="004A5D2A" w:rsidP="00AA0F6D"/>
    <w:p w14:paraId="34A6FAA4" w14:textId="0CA8B7C4" w:rsidR="004A5D2A" w:rsidRPr="00AA0F6D" w:rsidRDefault="00A011F8" w:rsidP="00A011F8">
      <w:pPr>
        <w:autoSpaceDE w:val="0"/>
        <w:autoSpaceDN w:val="0"/>
        <w:adjustRightInd w:val="0"/>
        <w:jc w:val="both"/>
      </w:pPr>
      <w:r w:rsidRPr="00AA0F6D">
        <w:t>[5]</w:t>
      </w:r>
      <w:r w:rsidRPr="00AA0F6D">
        <w:tab/>
      </w:r>
      <w:r w:rsidR="004A5D2A" w:rsidRPr="00AA0F6D">
        <w:t>The crux of the plaintiff’s main claim is that the deed of sale is illegal and void ab initio because it contravenes s 3</w:t>
      </w:r>
      <w:r w:rsidR="004A5D2A" w:rsidRPr="00A011F8">
        <w:rPr>
          <w:i/>
          <w:iCs/>
        </w:rPr>
        <w:t>(e)</w:t>
      </w:r>
      <w:r w:rsidR="004A5D2A" w:rsidRPr="00AA0F6D">
        <w:t>(i) of t</w:t>
      </w:r>
      <w:r w:rsidR="008203EA" w:rsidRPr="00AA0F6D">
        <w:t>he Act</w:t>
      </w:r>
      <w:r w:rsidR="004A5D2A" w:rsidRPr="00AA0F6D">
        <w:t>.</w:t>
      </w:r>
      <w:r w:rsidR="004A5D2A" w:rsidRPr="00AA0F6D">
        <w:rPr>
          <w:rStyle w:val="FootnoteReference"/>
        </w:rPr>
        <w:footnoteReference w:id="4"/>
      </w:r>
      <w:r w:rsidR="00DF7EF4" w:rsidRPr="00AA0F6D">
        <w:t xml:space="preserve"> This is on the basis that it constituted the sale of an undivided portion of agricultural land without the written consent of the Minister.</w:t>
      </w:r>
      <w:r w:rsidR="004F73FF" w:rsidRPr="00AA0F6D">
        <w:t xml:space="preserve"> As a result, the subsequent transfer and registration of the immovable property falls to be set aside, the status quo ante to the deed of sale to be restored.</w:t>
      </w:r>
    </w:p>
    <w:p w14:paraId="6DD1572F" w14:textId="77777777" w:rsidR="002D1EB8" w:rsidRPr="00AA0F6D" w:rsidRDefault="002D1EB8" w:rsidP="00AA0F6D"/>
    <w:p w14:paraId="437154DC" w14:textId="08C0D707" w:rsidR="002D1EB8" w:rsidRPr="00AA0F6D" w:rsidRDefault="00A011F8" w:rsidP="00A011F8">
      <w:pPr>
        <w:autoSpaceDE w:val="0"/>
        <w:autoSpaceDN w:val="0"/>
        <w:adjustRightInd w:val="0"/>
        <w:jc w:val="both"/>
      </w:pPr>
      <w:r w:rsidRPr="00AA0F6D">
        <w:t>[6]</w:t>
      </w:r>
      <w:r w:rsidRPr="00AA0F6D">
        <w:tab/>
      </w:r>
      <w:r w:rsidR="002D1EB8" w:rsidRPr="00AA0F6D">
        <w:t>The plaintiff’s alternative claim is that, at the time of contracting, neither party intended that the defendant would become owner of the whole of the immovable property. The intention was that the defendant would become owner only of the undivided portion</w:t>
      </w:r>
      <w:r w:rsidR="00DF2D99" w:rsidRPr="00AA0F6D">
        <w:t xml:space="preserve"> but that, as a result of the statutory prohibition against sale of an undivided portion of agricultural land, transfer of the immovable property was effected</w:t>
      </w:r>
      <w:r w:rsidR="002D1EB8" w:rsidRPr="00AA0F6D">
        <w:t>.</w:t>
      </w:r>
      <w:r w:rsidR="00496336" w:rsidRPr="00AA0F6D">
        <w:t xml:space="preserve"> </w:t>
      </w:r>
      <w:r w:rsidR="00496336" w:rsidRPr="00AA0F6D">
        <w:lastRenderedPageBreak/>
        <w:t>As the parties never intended the transfer of ownership of the immovable property to the defendant, ownership never passed on registration of transfer</w:t>
      </w:r>
      <w:r w:rsidR="00C352A5" w:rsidRPr="00AA0F6D">
        <w:t>, so that the plaintiff ‘remained owner of the immovable property and is entitled to its return through rectification of the Deeds Registry to reflect its ownership’.</w:t>
      </w:r>
      <w:r w:rsidR="005D785B" w:rsidRPr="00AA0F6D">
        <w:rPr>
          <w:rStyle w:val="FootnoteReference"/>
        </w:rPr>
        <w:footnoteReference w:id="5"/>
      </w:r>
    </w:p>
    <w:p w14:paraId="429FCEE5" w14:textId="77777777" w:rsidR="007D541F" w:rsidRPr="00AA0F6D" w:rsidRDefault="007D541F" w:rsidP="00AA0F6D"/>
    <w:p w14:paraId="4D33430B" w14:textId="29495BBD" w:rsidR="007D541F" w:rsidRPr="00AA0F6D" w:rsidRDefault="00A011F8" w:rsidP="00A011F8">
      <w:pPr>
        <w:autoSpaceDE w:val="0"/>
        <w:autoSpaceDN w:val="0"/>
        <w:adjustRightInd w:val="0"/>
        <w:jc w:val="both"/>
      </w:pPr>
      <w:r w:rsidRPr="00AA0F6D">
        <w:t>[7]</w:t>
      </w:r>
      <w:r w:rsidRPr="00AA0F6D">
        <w:tab/>
      </w:r>
      <w:r w:rsidR="007D541F" w:rsidRPr="00AA0F6D">
        <w:t xml:space="preserve">The defendant denied that the deed of sale was in respect of </w:t>
      </w:r>
      <w:r w:rsidR="003B2A2D" w:rsidRPr="00AA0F6D">
        <w:t>only the undivided portion</w:t>
      </w:r>
      <w:r w:rsidR="002B5CE9" w:rsidRPr="00AA0F6D">
        <w:t xml:space="preserve"> or that it would not receive ownership of the immovable property</w:t>
      </w:r>
      <w:r w:rsidR="00F04C4D" w:rsidRPr="00AA0F6D">
        <w:t xml:space="preserve"> in terms thereof</w:t>
      </w:r>
      <w:r w:rsidR="003B2A2D" w:rsidRPr="00AA0F6D">
        <w:t>. It pleaded</w:t>
      </w:r>
      <w:r w:rsidR="007D6B57" w:rsidRPr="00AA0F6D">
        <w:t>, in essence,</w:t>
      </w:r>
      <w:r w:rsidR="003B2A2D" w:rsidRPr="00AA0F6D">
        <w:t xml:space="preserve"> that the deed of sale </w:t>
      </w:r>
      <w:r w:rsidR="002D25B5" w:rsidRPr="00AA0F6D">
        <w:t>pertained to</w:t>
      </w:r>
      <w:r w:rsidR="003B2A2D" w:rsidRPr="00AA0F6D">
        <w:t xml:space="preserve"> the immovable property</w:t>
      </w:r>
      <w:r w:rsidR="00EA24FF" w:rsidRPr="00AA0F6D">
        <w:t>, which had been transferred to it,</w:t>
      </w:r>
      <w:r w:rsidR="007D541F" w:rsidRPr="00AA0F6D">
        <w:t xml:space="preserve"> </w:t>
      </w:r>
      <w:r w:rsidR="00EA24FF" w:rsidRPr="00AA0F6D">
        <w:t xml:space="preserve">and that reference to 474 hectares </w:t>
      </w:r>
      <w:r w:rsidR="00EE5925" w:rsidRPr="00AA0F6D">
        <w:t xml:space="preserve">in the deed of sale </w:t>
      </w:r>
      <w:r w:rsidR="00EA24FF" w:rsidRPr="00AA0F6D">
        <w:t>was immaterial upon proper interpretation.</w:t>
      </w:r>
      <w:r w:rsidR="005B2911" w:rsidRPr="00AA0F6D">
        <w:t xml:space="preserve"> The purchase price had been paid</w:t>
      </w:r>
      <w:r w:rsidR="003103F6" w:rsidRPr="00AA0F6D">
        <w:t xml:space="preserve"> </w:t>
      </w:r>
      <w:r w:rsidR="005B2911" w:rsidRPr="00AA0F6D">
        <w:t xml:space="preserve">in consideration </w:t>
      </w:r>
      <w:r w:rsidR="00B573A4" w:rsidRPr="00AA0F6D">
        <w:t>of</w:t>
      </w:r>
      <w:r w:rsidR="005B2911" w:rsidRPr="00AA0F6D">
        <w:t xml:space="preserve"> transfer of the immovable property</w:t>
      </w:r>
      <w:r w:rsidR="0099435F" w:rsidRPr="00AA0F6D">
        <w:t xml:space="preserve"> and ministerial consent was unnecessary prior to transfer</w:t>
      </w:r>
      <w:r w:rsidR="005B2911" w:rsidRPr="00AA0F6D">
        <w:t>.</w:t>
      </w:r>
      <w:r w:rsidR="00EA24FF" w:rsidRPr="00AA0F6D">
        <w:t xml:space="preserve"> </w:t>
      </w:r>
      <w:r w:rsidR="00D1565C" w:rsidRPr="00AA0F6D">
        <w:t>It advanced an interpretation</w:t>
      </w:r>
      <w:r w:rsidR="005F6E96" w:rsidRPr="00AA0F6D">
        <w:t xml:space="preserve"> of clause 24.5 to support its contention, pleading that </w:t>
      </w:r>
      <w:r w:rsidR="00DD4151" w:rsidRPr="00AA0F6D">
        <w:t>the clause extended a personal right to the plaintiff to make application for a sub-division and consolidation with other property, and that it was severable from the remaining clauses</w:t>
      </w:r>
      <w:r w:rsidR="002710CE" w:rsidRPr="00AA0F6D">
        <w:t xml:space="preserve"> of the deed of sale</w:t>
      </w:r>
      <w:r w:rsidR="001C1162" w:rsidRPr="00AA0F6D">
        <w:t xml:space="preserve">, void and unenforceable </w:t>
      </w:r>
      <w:r w:rsidR="00BE7E3A" w:rsidRPr="00AA0F6D">
        <w:t>by virtue</w:t>
      </w:r>
      <w:r w:rsidR="001C1162" w:rsidRPr="00AA0F6D">
        <w:t xml:space="preserve"> of </w:t>
      </w:r>
      <w:r w:rsidR="00BE7E3A" w:rsidRPr="00AA0F6D">
        <w:t>s 3</w:t>
      </w:r>
      <w:r w:rsidR="00BE7E3A" w:rsidRPr="00A011F8">
        <w:rPr>
          <w:i/>
          <w:iCs/>
        </w:rPr>
        <w:t>(e)</w:t>
      </w:r>
      <w:r w:rsidR="00BE7E3A" w:rsidRPr="00AA0F6D">
        <w:t>(i) of the</w:t>
      </w:r>
      <w:r w:rsidR="001C1162" w:rsidRPr="00AA0F6D">
        <w:t xml:space="preserve"> Act.</w:t>
      </w:r>
    </w:p>
    <w:p w14:paraId="208CCB88" w14:textId="77777777" w:rsidR="00F6205A" w:rsidRPr="00AA0F6D" w:rsidRDefault="00F6205A" w:rsidP="00AA0F6D"/>
    <w:p w14:paraId="1350DF22" w14:textId="7F230C93" w:rsidR="00F6205A" w:rsidRPr="00AA0F6D" w:rsidRDefault="00A011F8" w:rsidP="00A011F8">
      <w:pPr>
        <w:autoSpaceDE w:val="0"/>
        <w:autoSpaceDN w:val="0"/>
        <w:adjustRightInd w:val="0"/>
        <w:jc w:val="both"/>
      </w:pPr>
      <w:r w:rsidRPr="00AA0F6D">
        <w:t>[8]</w:t>
      </w:r>
      <w:r w:rsidRPr="00AA0F6D">
        <w:tab/>
      </w:r>
      <w:r w:rsidR="00F6205A" w:rsidRPr="00AA0F6D">
        <w:t xml:space="preserve">In respect of the alternative claim, the defendant pleaded that it intended to become the owner of the immovable property upon registration of transfer, denying that the parties had intended ownership of only </w:t>
      </w:r>
      <w:r w:rsidR="00BC3167" w:rsidRPr="00AA0F6D">
        <w:t>the</w:t>
      </w:r>
      <w:r w:rsidR="00F6205A" w:rsidRPr="00AA0F6D">
        <w:t xml:space="preserve"> undivided portion to pass</w:t>
      </w:r>
      <w:r w:rsidR="00487674" w:rsidRPr="00AA0F6D">
        <w:t xml:space="preserve"> and referring to the statutory prohibition in support of this.</w:t>
      </w:r>
      <w:r w:rsidR="00291DE0" w:rsidRPr="00AA0F6D">
        <w:t xml:space="preserve"> The plaintiff had transferred the immovable property with the conscious intention of doing so and the defendant had received such transfer with the </w:t>
      </w:r>
      <w:r w:rsidR="00DD5892" w:rsidRPr="00AA0F6D">
        <w:t>same intention</w:t>
      </w:r>
      <w:r w:rsidR="00897843" w:rsidRPr="00AA0F6D">
        <w:t>.</w:t>
      </w:r>
    </w:p>
    <w:p w14:paraId="7249246B" w14:textId="77777777" w:rsidR="00AC20D0" w:rsidRPr="00AA0F6D" w:rsidRDefault="00AC20D0" w:rsidP="00AC20D0">
      <w:pPr>
        <w:rPr>
          <w:i/>
          <w:iCs/>
        </w:rPr>
      </w:pPr>
    </w:p>
    <w:p w14:paraId="0062D6D8" w14:textId="007EB528" w:rsidR="00AC20D0" w:rsidRPr="00AA0F6D" w:rsidRDefault="00AC20D0" w:rsidP="00AC20D0">
      <w:pPr>
        <w:rPr>
          <w:b/>
          <w:bCs/>
        </w:rPr>
      </w:pPr>
      <w:r w:rsidRPr="00AA0F6D">
        <w:rPr>
          <w:b/>
          <w:bCs/>
        </w:rPr>
        <w:t>The special plea</w:t>
      </w:r>
    </w:p>
    <w:p w14:paraId="4E2D2F3C" w14:textId="77777777" w:rsidR="00AC20D0" w:rsidRPr="00AA0F6D" w:rsidRDefault="00AC20D0" w:rsidP="00AC20D0">
      <w:pPr>
        <w:rPr>
          <w:i/>
          <w:iCs/>
        </w:rPr>
      </w:pPr>
    </w:p>
    <w:p w14:paraId="4CE86AFF" w14:textId="01CDE4C8" w:rsidR="004C3075" w:rsidRPr="00AA0F6D" w:rsidRDefault="00A011F8" w:rsidP="00A011F8">
      <w:pPr>
        <w:autoSpaceDE w:val="0"/>
        <w:autoSpaceDN w:val="0"/>
        <w:adjustRightInd w:val="0"/>
        <w:jc w:val="both"/>
      </w:pPr>
      <w:r w:rsidRPr="00AA0F6D">
        <w:t>[9]</w:t>
      </w:r>
      <w:r w:rsidRPr="00AA0F6D">
        <w:tab/>
      </w:r>
      <w:r w:rsidR="00AC20D0" w:rsidRPr="00AA0F6D">
        <w:t>The defendant entered a special plea that the main claim was premised upon an erroneous interpretation of the deed of sale. That claim was for a declaratory order, together with consequential relief, and was extinguished by prescription on either 20</w:t>
      </w:r>
      <w:r w:rsidR="00036BAC" w:rsidRPr="00AA0F6D">
        <w:t> </w:t>
      </w:r>
      <w:r w:rsidR="00AC20D0" w:rsidRPr="00AA0F6D">
        <w:t>November 2010 or 12 April 2011.</w:t>
      </w:r>
      <w:r w:rsidR="006D18FD" w:rsidRPr="00AA0F6D">
        <w:rPr>
          <w:rStyle w:val="FootnoteReference"/>
        </w:rPr>
        <w:footnoteReference w:id="6"/>
      </w:r>
    </w:p>
    <w:p w14:paraId="626AABA7" w14:textId="3C761D39" w:rsidR="001C5230" w:rsidRPr="00AA0F6D" w:rsidRDefault="00A011F8" w:rsidP="00A011F8">
      <w:pPr>
        <w:autoSpaceDE w:val="0"/>
        <w:autoSpaceDN w:val="0"/>
        <w:adjustRightInd w:val="0"/>
        <w:jc w:val="both"/>
      </w:pPr>
      <w:r w:rsidRPr="00AA0F6D">
        <w:lastRenderedPageBreak/>
        <w:t>[10]</w:t>
      </w:r>
      <w:r w:rsidRPr="00AA0F6D">
        <w:tab/>
      </w:r>
      <w:r w:rsidR="004C3075" w:rsidRPr="00AA0F6D">
        <w:t>The plaintiff replicated to the special plea</w:t>
      </w:r>
      <w:r w:rsidR="001360C5" w:rsidRPr="00AA0F6D">
        <w:t>, pleading that its claim was a vindicatory action for the return of immovable property</w:t>
      </w:r>
      <w:r w:rsidR="001F0821" w:rsidRPr="00AA0F6D">
        <w:t xml:space="preserve"> through the rectification of the Register of Deeds</w:t>
      </w:r>
      <w:r w:rsidR="001360C5" w:rsidRPr="00AA0F6D">
        <w:t>, and did not constitute a debt for purposes of the Prescription Act, 1969.</w:t>
      </w:r>
      <w:r w:rsidR="001360C5" w:rsidRPr="00AA0F6D">
        <w:rPr>
          <w:rStyle w:val="FootnoteReference"/>
        </w:rPr>
        <w:footnoteReference w:id="7"/>
      </w:r>
      <w:r w:rsidR="00932EF2" w:rsidRPr="00AA0F6D">
        <w:t xml:space="preserve"> </w:t>
      </w:r>
      <w:r w:rsidR="006C4D5A" w:rsidRPr="00AA0F6D">
        <w:t>T</w:t>
      </w:r>
      <w:r w:rsidR="00932EF2" w:rsidRPr="00AA0F6D">
        <w:t xml:space="preserve">he defendant </w:t>
      </w:r>
      <w:r w:rsidR="00B14940" w:rsidRPr="00AA0F6D">
        <w:t>denied</w:t>
      </w:r>
      <w:r w:rsidR="00932EF2" w:rsidRPr="00AA0F6D">
        <w:t xml:space="preserve"> </w:t>
      </w:r>
      <w:r w:rsidR="006C4D5A" w:rsidRPr="00AA0F6D">
        <w:t>this in its rejoinder</w:t>
      </w:r>
      <w:r w:rsidR="00F8004F" w:rsidRPr="00AA0F6D">
        <w:t>, on the basis that the plaintiff had not alleged that it was the owner of the</w:t>
      </w:r>
      <w:r w:rsidR="006D18FD" w:rsidRPr="00AA0F6D">
        <w:t xml:space="preserve"> immovable</w:t>
      </w:r>
      <w:r w:rsidR="00F8004F" w:rsidRPr="00AA0F6D">
        <w:t xml:space="preserve"> property and had not advanced a claim for its return on the basis of ownership</w:t>
      </w:r>
      <w:r w:rsidR="006C4D5A" w:rsidRPr="00AA0F6D">
        <w:t>.</w:t>
      </w:r>
      <w:r w:rsidR="00BF34DE" w:rsidRPr="00AA0F6D">
        <w:t xml:space="preserve"> </w:t>
      </w:r>
      <w:r w:rsidR="00F8004F" w:rsidRPr="00AA0F6D">
        <w:t xml:space="preserve">It averred that the plaintiff’s claim was advanced in terms of the </w:t>
      </w:r>
      <w:r w:rsidR="00F8004F" w:rsidRPr="00A011F8">
        <w:rPr>
          <w:i/>
          <w:iCs/>
        </w:rPr>
        <w:t xml:space="preserve">condictio ob </w:t>
      </w:r>
      <w:r w:rsidR="005138CD" w:rsidRPr="00A011F8">
        <w:rPr>
          <w:i/>
          <w:iCs/>
        </w:rPr>
        <w:t xml:space="preserve">turpem </w:t>
      </w:r>
      <w:r w:rsidR="00F8004F" w:rsidRPr="00A011F8">
        <w:rPr>
          <w:i/>
          <w:iCs/>
        </w:rPr>
        <w:t>vel iniustam causam</w:t>
      </w:r>
      <w:r w:rsidR="00F05F08" w:rsidRPr="00A011F8">
        <w:rPr>
          <w:i/>
          <w:iCs/>
        </w:rPr>
        <w:t xml:space="preserve"> </w:t>
      </w:r>
      <w:r w:rsidR="00F05F08" w:rsidRPr="00AA0F6D">
        <w:t xml:space="preserve">(‘the </w:t>
      </w:r>
      <w:r w:rsidR="00F05F08" w:rsidRPr="00A011F8">
        <w:rPr>
          <w:i/>
          <w:iCs/>
        </w:rPr>
        <w:t>condictio</w:t>
      </w:r>
      <w:r w:rsidR="00F05F08" w:rsidRPr="00AA0F6D">
        <w:t>’)</w:t>
      </w:r>
      <w:r w:rsidR="00F8004F" w:rsidRPr="00AA0F6D">
        <w:t>.</w:t>
      </w:r>
    </w:p>
    <w:p w14:paraId="5DD88360" w14:textId="77777777" w:rsidR="000E5B25" w:rsidRPr="00AA0F6D" w:rsidRDefault="000E5B25" w:rsidP="000E5B25">
      <w:pPr>
        <w:pStyle w:val="ListParagraph"/>
        <w:autoSpaceDE w:val="0"/>
        <w:autoSpaceDN w:val="0"/>
        <w:adjustRightInd w:val="0"/>
        <w:ind w:left="0"/>
        <w:jc w:val="both"/>
      </w:pPr>
    </w:p>
    <w:p w14:paraId="565E27FA" w14:textId="2C68C21B" w:rsidR="001436D9" w:rsidRPr="00AA0F6D" w:rsidRDefault="001436D9" w:rsidP="001C5230">
      <w:pPr>
        <w:pStyle w:val="ListParagraph"/>
        <w:autoSpaceDE w:val="0"/>
        <w:autoSpaceDN w:val="0"/>
        <w:adjustRightInd w:val="0"/>
        <w:ind w:left="0"/>
        <w:jc w:val="both"/>
        <w:rPr>
          <w:b/>
          <w:bCs/>
        </w:rPr>
      </w:pPr>
      <w:r w:rsidRPr="00AA0F6D">
        <w:rPr>
          <w:b/>
          <w:bCs/>
        </w:rPr>
        <w:t>Separation of issues</w:t>
      </w:r>
    </w:p>
    <w:p w14:paraId="49EB50BD" w14:textId="77777777" w:rsidR="001436D9" w:rsidRPr="00AA0F6D" w:rsidRDefault="001436D9" w:rsidP="001C5230">
      <w:pPr>
        <w:pStyle w:val="ListParagraph"/>
        <w:autoSpaceDE w:val="0"/>
        <w:autoSpaceDN w:val="0"/>
        <w:adjustRightInd w:val="0"/>
        <w:ind w:left="0"/>
        <w:jc w:val="both"/>
        <w:rPr>
          <w:i/>
          <w:iCs/>
        </w:rPr>
      </w:pPr>
    </w:p>
    <w:p w14:paraId="454143B2" w14:textId="5163D567" w:rsidR="001C5230" w:rsidRPr="00AA0F6D" w:rsidRDefault="00A011F8" w:rsidP="00A011F8">
      <w:pPr>
        <w:autoSpaceDE w:val="0"/>
        <w:autoSpaceDN w:val="0"/>
        <w:adjustRightInd w:val="0"/>
        <w:jc w:val="both"/>
      </w:pPr>
      <w:r w:rsidRPr="00AA0F6D">
        <w:t>[11]</w:t>
      </w:r>
      <w:r w:rsidRPr="00AA0F6D">
        <w:tab/>
      </w:r>
      <w:r w:rsidR="001C5230" w:rsidRPr="00AA0F6D">
        <w:t xml:space="preserve">The parties agreed that a conditional counterclaim, filed by the defendant, should be separated from the merits of the plaintiff’s claim and the special plea of prescription. I granted an order of separation in terms of Uniform </w:t>
      </w:r>
      <w:r w:rsidR="00814877" w:rsidRPr="00AA0F6D">
        <w:t>r</w:t>
      </w:r>
      <w:r w:rsidR="001C5230" w:rsidRPr="00AA0F6D">
        <w:t>ule 33(4) at the onset of the trial</w:t>
      </w:r>
      <w:r w:rsidR="00EC2406" w:rsidRPr="00AA0F6D">
        <w:t xml:space="preserve"> and t</w:t>
      </w:r>
      <w:r w:rsidR="001C5230" w:rsidRPr="00AA0F6D">
        <w:t>he matter proceed</w:t>
      </w:r>
      <w:r w:rsidR="00EC2406" w:rsidRPr="00AA0F6D">
        <w:t>ed</w:t>
      </w:r>
      <w:r w:rsidR="001C5230" w:rsidRPr="00AA0F6D">
        <w:t xml:space="preserve"> on this basis.</w:t>
      </w:r>
    </w:p>
    <w:p w14:paraId="67F9AAD1" w14:textId="77777777" w:rsidR="00D77466" w:rsidRPr="00AA0F6D" w:rsidRDefault="00D77466" w:rsidP="00951A23">
      <w:pPr>
        <w:pStyle w:val="ListParagraph"/>
        <w:autoSpaceDE w:val="0"/>
        <w:autoSpaceDN w:val="0"/>
        <w:adjustRightInd w:val="0"/>
        <w:ind w:left="0"/>
        <w:jc w:val="both"/>
        <w:rPr>
          <w:b/>
          <w:bCs/>
        </w:rPr>
      </w:pPr>
    </w:p>
    <w:p w14:paraId="20ADBAB8" w14:textId="7BD9298F" w:rsidR="00951A23" w:rsidRPr="00AA0F6D" w:rsidRDefault="00951A23" w:rsidP="00951A23">
      <w:pPr>
        <w:pStyle w:val="ListParagraph"/>
        <w:autoSpaceDE w:val="0"/>
        <w:autoSpaceDN w:val="0"/>
        <w:adjustRightInd w:val="0"/>
        <w:ind w:left="0"/>
        <w:jc w:val="both"/>
        <w:rPr>
          <w:b/>
          <w:bCs/>
        </w:rPr>
      </w:pPr>
      <w:r w:rsidRPr="00AA0F6D">
        <w:rPr>
          <w:b/>
          <w:bCs/>
        </w:rPr>
        <w:t xml:space="preserve">The </w:t>
      </w:r>
      <w:r w:rsidR="00514B1C" w:rsidRPr="00AA0F6D">
        <w:rPr>
          <w:b/>
          <w:bCs/>
        </w:rPr>
        <w:t xml:space="preserve">plaintiff’s </w:t>
      </w:r>
      <w:r w:rsidRPr="00AA0F6D">
        <w:rPr>
          <w:b/>
          <w:bCs/>
        </w:rPr>
        <w:t>evidence</w:t>
      </w:r>
    </w:p>
    <w:p w14:paraId="5B5E0BF2" w14:textId="77777777" w:rsidR="00951A23" w:rsidRPr="00AA0F6D" w:rsidRDefault="00951A23" w:rsidP="00951A23">
      <w:pPr>
        <w:pStyle w:val="ListParagraph"/>
        <w:autoSpaceDE w:val="0"/>
        <w:autoSpaceDN w:val="0"/>
        <w:adjustRightInd w:val="0"/>
        <w:ind w:left="0"/>
        <w:jc w:val="both"/>
        <w:rPr>
          <w:b/>
          <w:bCs/>
        </w:rPr>
      </w:pPr>
    </w:p>
    <w:p w14:paraId="3A490B56" w14:textId="7877A212" w:rsidR="002E179F" w:rsidRPr="00AA0F6D" w:rsidRDefault="00A011F8" w:rsidP="00A011F8">
      <w:pPr>
        <w:autoSpaceDE w:val="0"/>
        <w:autoSpaceDN w:val="0"/>
        <w:adjustRightInd w:val="0"/>
        <w:jc w:val="both"/>
      </w:pPr>
      <w:r w:rsidRPr="00AA0F6D">
        <w:t>[12]</w:t>
      </w:r>
      <w:r w:rsidRPr="00AA0F6D">
        <w:tab/>
      </w:r>
      <w:r w:rsidR="007973C6" w:rsidRPr="00AA0F6D">
        <w:t xml:space="preserve">Mr </w:t>
      </w:r>
      <w:r w:rsidR="004046F1" w:rsidRPr="00AA0F6D">
        <w:t>V</w:t>
      </w:r>
      <w:r w:rsidR="007973C6" w:rsidRPr="00AA0F6D">
        <w:t xml:space="preserve">an Bergen testified that he was the only director and sole shareholder of the plaintiff. </w:t>
      </w:r>
      <w:r w:rsidR="00AF5A44" w:rsidRPr="00AA0F6D">
        <w:t xml:space="preserve">He had purchased the immovable property from Mr </w:t>
      </w:r>
      <w:r w:rsidR="00A76F7F" w:rsidRPr="00AA0F6D">
        <w:t>Carel</w:t>
      </w:r>
      <w:r w:rsidR="00AF5A44" w:rsidRPr="00AA0F6D">
        <w:t xml:space="preserve"> Otto and</w:t>
      </w:r>
      <w:r w:rsidR="00834A05" w:rsidRPr="00AA0F6D">
        <w:t xml:space="preserve"> Swartot Beleggings B</w:t>
      </w:r>
      <w:r w:rsidR="000F45AC">
        <w:t>K</w:t>
      </w:r>
      <w:r w:rsidR="00834A05" w:rsidRPr="00AA0F6D">
        <w:t>,</w:t>
      </w:r>
      <w:r w:rsidR="00AF5A44" w:rsidRPr="00AA0F6D">
        <w:t xml:space="preserve"> an entity represented </w:t>
      </w:r>
      <w:r w:rsidR="0095011B" w:rsidRPr="00AA0F6D">
        <w:t xml:space="preserve">by </w:t>
      </w:r>
      <w:r w:rsidR="00F95794" w:rsidRPr="00AA0F6D">
        <w:t xml:space="preserve">Mr </w:t>
      </w:r>
      <w:r w:rsidR="00627084" w:rsidRPr="00AA0F6D">
        <w:t>Otto</w:t>
      </w:r>
      <w:r w:rsidR="0095011B" w:rsidRPr="00AA0F6D">
        <w:t xml:space="preserve"> (‘Otto’)</w:t>
      </w:r>
      <w:r w:rsidR="009A1912" w:rsidRPr="00AA0F6D">
        <w:t xml:space="preserve"> during 2004</w:t>
      </w:r>
      <w:r w:rsidR="0095011B" w:rsidRPr="00AA0F6D">
        <w:t>. Otto was the owner of the land neighbouring the immovable property</w:t>
      </w:r>
      <w:r w:rsidR="00F85925" w:rsidRPr="00AA0F6D">
        <w:t>, which contained a number of centre pivots for purposes of irrigation.</w:t>
      </w:r>
      <w:r w:rsidR="0095011B" w:rsidRPr="00AA0F6D">
        <w:t xml:space="preserve"> </w:t>
      </w:r>
      <w:r w:rsidR="00035710" w:rsidRPr="00AA0F6D">
        <w:t>Some</w:t>
      </w:r>
      <w:r w:rsidR="00B62B27" w:rsidRPr="00AA0F6D">
        <w:t xml:space="preserve"> of the centre pivots that had been installed by Otto</w:t>
      </w:r>
      <w:r w:rsidR="00035710" w:rsidRPr="00AA0F6D">
        <w:t>, and used by him,</w:t>
      </w:r>
      <w:r w:rsidR="00B62B27" w:rsidRPr="00AA0F6D">
        <w:t xml:space="preserve"> overlapped onto the land </w:t>
      </w:r>
      <w:r w:rsidR="00035710" w:rsidRPr="00AA0F6D">
        <w:t xml:space="preserve">Mr </w:t>
      </w:r>
      <w:r w:rsidR="004046F1" w:rsidRPr="00AA0F6D">
        <w:t>V</w:t>
      </w:r>
      <w:r w:rsidR="00035710" w:rsidRPr="00AA0F6D">
        <w:t xml:space="preserve">an Bergen had purchased. </w:t>
      </w:r>
      <w:r w:rsidR="002E179F" w:rsidRPr="00AA0F6D">
        <w:t xml:space="preserve">The agreement was </w:t>
      </w:r>
      <w:r w:rsidR="00FC7BF1" w:rsidRPr="00AA0F6D">
        <w:t xml:space="preserve">for Mr </w:t>
      </w:r>
      <w:r w:rsidR="004046F1" w:rsidRPr="00AA0F6D">
        <w:t>V</w:t>
      </w:r>
      <w:r w:rsidR="00FC7BF1" w:rsidRPr="00AA0F6D">
        <w:t xml:space="preserve">an Bergen to purchase the entire </w:t>
      </w:r>
      <w:r w:rsidR="00B434AB" w:rsidRPr="00AA0F6D">
        <w:t xml:space="preserve">Farm </w:t>
      </w:r>
      <w:r w:rsidR="00FC7BF1" w:rsidRPr="00AA0F6D">
        <w:t>No.</w:t>
      </w:r>
      <w:r w:rsidR="00814877" w:rsidRPr="00AA0F6D">
        <w:t> </w:t>
      </w:r>
      <w:r w:rsidR="00FC7BF1" w:rsidRPr="00AA0F6D">
        <w:t>341/7, but not the pieces used by Otto, which were to be retained by him.</w:t>
      </w:r>
      <w:r w:rsidR="00B434AB" w:rsidRPr="00AA0F6D">
        <w:t xml:space="preserve"> In exchange</w:t>
      </w:r>
      <w:r w:rsidR="00050F6B" w:rsidRPr="00AA0F6D">
        <w:t xml:space="preserve"> for this concession</w:t>
      </w:r>
      <w:r w:rsidR="00B434AB" w:rsidRPr="00AA0F6D">
        <w:t xml:space="preserve">, </w:t>
      </w:r>
      <w:r w:rsidR="00973A74" w:rsidRPr="00AA0F6D">
        <w:t>Farm No. 341/14</w:t>
      </w:r>
      <w:r w:rsidR="00825700" w:rsidRPr="00AA0F6D">
        <w:t xml:space="preserve">, which was a </w:t>
      </w:r>
      <w:r w:rsidR="00394350">
        <w:t>narrow portion</w:t>
      </w:r>
      <w:r w:rsidR="00825700" w:rsidRPr="00AA0F6D">
        <w:t xml:space="preserve"> of land in the midst of Farm No</w:t>
      </w:r>
      <w:r w:rsidR="00814877" w:rsidRPr="00AA0F6D">
        <w:t>.</w:t>
      </w:r>
      <w:r w:rsidR="00825700" w:rsidRPr="00AA0F6D">
        <w:t xml:space="preserve"> 341/7</w:t>
      </w:r>
      <w:r w:rsidR="00F8134C" w:rsidRPr="00AA0F6D">
        <w:t>,</w:t>
      </w:r>
      <w:r w:rsidR="00825700" w:rsidRPr="00AA0F6D">
        <w:t xml:space="preserve"> </w:t>
      </w:r>
      <w:r w:rsidR="00050F6B" w:rsidRPr="00AA0F6D">
        <w:t xml:space="preserve">was given to </w:t>
      </w:r>
      <w:r w:rsidR="0015385E" w:rsidRPr="00AA0F6D">
        <w:t xml:space="preserve">Mr </w:t>
      </w:r>
      <w:r w:rsidR="00CB6435" w:rsidRPr="00AA0F6D">
        <w:t>V</w:t>
      </w:r>
      <w:r w:rsidR="0015385E" w:rsidRPr="00AA0F6D">
        <w:t>an Bergen.</w:t>
      </w:r>
      <w:r w:rsidR="00FF7FF1" w:rsidRPr="00AA0F6D">
        <w:t xml:space="preserve"> A contract written in Mr</w:t>
      </w:r>
      <w:r w:rsidR="00814877" w:rsidRPr="00AA0F6D">
        <w:t> </w:t>
      </w:r>
      <w:r w:rsidR="00CB6435" w:rsidRPr="00AA0F6D">
        <w:t>V</w:t>
      </w:r>
      <w:r w:rsidR="00FF7FF1" w:rsidRPr="00AA0F6D">
        <w:t>an Bergen’s hand purported to give effect to this arrangement.</w:t>
      </w:r>
      <w:r w:rsidR="00CE4B24" w:rsidRPr="00AA0F6D">
        <w:t xml:space="preserve"> An unsigned, typed contract included a clause referring to Mr </w:t>
      </w:r>
      <w:r w:rsidR="00CB6435" w:rsidRPr="00AA0F6D">
        <w:t>V</w:t>
      </w:r>
      <w:r w:rsidR="00CE4B24" w:rsidRPr="00AA0F6D">
        <w:t xml:space="preserve">an Bergen and Mr Otto’s intention to </w:t>
      </w:r>
      <w:r w:rsidR="00CE4B24" w:rsidRPr="00AA0F6D">
        <w:lastRenderedPageBreak/>
        <w:t>formally apply to subdivide and consolidate their land to give effect to their arrangement</w:t>
      </w:r>
      <w:r w:rsidR="00EA0200" w:rsidRPr="00AA0F6D">
        <w:t xml:space="preserve"> (‘clause 18’)</w:t>
      </w:r>
      <w:r w:rsidR="00CE4B24" w:rsidRPr="00AA0F6D">
        <w:t>.</w:t>
      </w:r>
      <w:r w:rsidR="00CE4B24" w:rsidRPr="00AA0F6D">
        <w:rPr>
          <w:rStyle w:val="FootnoteReference"/>
        </w:rPr>
        <w:footnoteReference w:id="8"/>
      </w:r>
    </w:p>
    <w:p w14:paraId="0267F37E" w14:textId="77777777" w:rsidR="0077333F" w:rsidRPr="00AA0F6D" w:rsidRDefault="0077333F" w:rsidP="0077333F">
      <w:pPr>
        <w:pStyle w:val="ListParagraph"/>
        <w:autoSpaceDE w:val="0"/>
        <w:autoSpaceDN w:val="0"/>
        <w:adjustRightInd w:val="0"/>
        <w:ind w:left="0"/>
        <w:jc w:val="both"/>
      </w:pPr>
    </w:p>
    <w:p w14:paraId="360AEF95" w14:textId="4B1A5C97" w:rsidR="0077333F" w:rsidRPr="00AA0F6D" w:rsidRDefault="00A011F8" w:rsidP="00A011F8">
      <w:pPr>
        <w:autoSpaceDE w:val="0"/>
        <w:autoSpaceDN w:val="0"/>
        <w:adjustRightInd w:val="0"/>
        <w:jc w:val="both"/>
      </w:pPr>
      <w:r w:rsidRPr="00AA0F6D">
        <w:t>[13]</w:t>
      </w:r>
      <w:r w:rsidRPr="00AA0F6D">
        <w:tab/>
      </w:r>
      <w:r w:rsidR="0077333F" w:rsidRPr="00AA0F6D">
        <w:t xml:space="preserve">Mr </w:t>
      </w:r>
      <w:r w:rsidR="00CB6435" w:rsidRPr="00AA0F6D">
        <w:t>V</w:t>
      </w:r>
      <w:r w:rsidR="0077333F" w:rsidRPr="00AA0F6D">
        <w:t>an Bergen explained that the typed contract had not been concluded and had remained unsigned. Correspondence from his attorney, Mr Schutte, dated 16</w:t>
      </w:r>
      <w:r w:rsidR="00D102C2" w:rsidRPr="00AA0F6D">
        <w:t> </w:t>
      </w:r>
      <w:r w:rsidR="0077333F" w:rsidRPr="00AA0F6D">
        <w:t xml:space="preserve">August 2004, had </w:t>
      </w:r>
      <w:r w:rsidR="00D8780C" w:rsidRPr="00AA0F6D">
        <w:t xml:space="preserve">drawn his attention to the conflict between clause 18 of that draft contract, and the Act, </w:t>
      </w:r>
      <w:r w:rsidR="00B67AB5" w:rsidRPr="00AA0F6D">
        <w:t xml:space="preserve">as interpreted by the courts, </w:t>
      </w:r>
      <w:r w:rsidR="00D8780C" w:rsidRPr="00AA0F6D">
        <w:t xml:space="preserve">in </w:t>
      </w:r>
      <w:r w:rsidR="00B67AB5" w:rsidRPr="00AA0F6D">
        <w:t>clear</w:t>
      </w:r>
      <w:r w:rsidR="00D8780C" w:rsidRPr="00AA0F6D">
        <w:t xml:space="preserve"> terms</w:t>
      </w:r>
      <w:r w:rsidR="00B67AB5" w:rsidRPr="00AA0F6D">
        <w:t>.</w:t>
      </w:r>
    </w:p>
    <w:p w14:paraId="171F801D" w14:textId="77777777" w:rsidR="00D8780C" w:rsidRPr="00AA0F6D" w:rsidRDefault="00D8780C" w:rsidP="00D8780C">
      <w:pPr>
        <w:rPr>
          <w:sz w:val="22"/>
          <w:szCs w:val="22"/>
        </w:rPr>
      </w:pPr>
    </w:p>
    <w:p w14:paraId="060EE21A" w14:textId="0545F9A0" w:rsidR="00D8780C" w:rsidRPr="00AA0F6D" w:rsidRDefault="00A011F8" w:rsidP="00A011F8">
      <w:pPr>
        <w:autoSpaceDE w:val="0"/>
        <w:autoSpaceDN w:val="0"/>
        <w:adjustRightInd w:val="0"/>
        <w:jc w:val="both"/>
      </w:pPr>
      <w:r w:rsidRPr="00AA0F6D">
        <w:t>[14]</w:t>
      </w:r>
      <w:r w:rsidRPr="00AA0F6D">
        <w:tab/>
      </w:r>
      <w:r w:rsidR="00EA0200" w:rsidRPr="00AA0F6D">
        <w:t xml:space="preserve">The plaintiff and Swartot Beleggings BK, represented by Otto, subsequently concluded a contract of sale </w:t>
      </w:r>
      <w:r w:rsidR="000040B7" w:rsidRPr="00AA0F6D">
        <w:t>of</w:t>
      </w:r>
      <w:r w:rsidR="00EA0200" w:rsidRPr="00AA0F6D">
        <w:t xml:space="preserve"> the immovable property</w:t>
      </w:r>
      <w:r w:rsidR="000040B7" w:rsidRPr="00AA0F6D">
        <w:t xml:space="preserve"> on 10 September 2004</w:t>
      </w:r>
      <w:r w:rsidR="00EA0200" w:rsidRPr="00AA0F6D">
        <w:t xml:space="preserve">. The problematic clause </w:t>
      </w:r>
      <w:r w:rsidR="001276FC" w:rsidRPr="00AA0F6D">
        <w:t>18 had</w:t>
      </w:r>
      <w:r w:rsidR="004E0749" w:rsidRPr="00AA0F6D">
        <w:t>, on the advice of Mr Schutte,</w:t>
      </w:r>
      <w:r w:rsidR="001276FC" w:rsidRPr="00AA0F6D">
        <w:t xml:space="preserve"> been removed.</w:t>
      </w:r>
      <w:r w:rsidR="00904564" w:rsidRPr="00AA0F6D">
        <w:t xml:space="preserve"> The plaintiff took occupation and started farming the land, </w:t>
      </w:r>
      <w:r w:rsidR="008E4518" w:rsidRPr="00AA0F6D">
        <w:t xml:space="preserve">excluding </w:t>
      </w:r>
      <w:r w:rsidR="00904564" w:rsidRPr="00AA0F6D">
        <w:t>that portion that Otto still used.</w:t>
      </w:r>
      <w:r w:rsidR="00A00A2A" w:rsidRPr="00AA0F6D">
        <w:t xml:space="preserve"> Mr </w:t>
      </w:r>
      <w:r w:rsidR="00CB6435" w:rsidRPr="00AA0F6D">
        <w:t>V</w:t>
      </w:r>
      <w:r w:rsidR="00A00A2A" w:rsidRPr="00AA0F6D">
        <w:t>an Bergen understood that he and Otto had reached agreement regarding future subdivision in accordance with what had been contained in clause 18</w:t>
      </w:r>
      <w:r w:rsidR="005B38E9" w:rsidRPr="00AA0F6D">
        <w:t>, and Otto farmed those portions of the immovable property on which his centre pivots encroached</w:t>
      </w:r>
      <w:r w:rsidR="006A478A" w:rsidRPr="00AA0F6D">
        <w:t>, rent free,</w:t>
      </w:r>
      <w:r w:rsidR="005B38E9" w:rsidRPr="00AA0F6D">
        <w:t xml:space="preserve"> as if it was his own.</w:t>
      </w:r>
    </w:p>
    <w:p w14:paraId="21AC27C0" w14:textId="77777777" w:rsidR="00FF7FF1" w:rsidRPr="00AA0F6D" w:rsidRDefault="00FF7FF1" w:rsidP="00FF7FF1">
      <w:pPr>
        <w:pStyle w:val="ListParagraph"/>
        <w:autoSpaceDE w:val="0"/>
        <w:autoSpaceDN w:val="0"/>
        <w:adjustRightInd w:val="0"/>
        <w:ind w:left="0"/>
        <w:jc w:val="both"/>
      </w:pPr>
    </w:p>
    <w:p w14:paraId="5C63175D" w14:textId="29378C41" w:rsidR="00AB5981" w:rsidRPr="00AA0F6D" w:rsidRDefault="00A011F8" w:rsidP="00A011F8">
      <w:pPr>
        <w:autoSpaceDE w:val="0"/>
        <w:autoSpaceDN w:val="0"/>
        <w:adjustRightInd w:val="0"/>
        <w:jc w:val="both"/>
      </w:pPr>
      <w:r w:rsidRPr="00AA0F6D">
        <w:t>[15]</w:t>
      </w:r>
      <w:r w:rsidRPr="00AA0F6D">
        <w:tab/>
      </w:r>
      <w:r w:rsidR="001A3072" w:rsidRPr="00AA0F6D">
        <w:t xml:space="preserve">A memorandum of agreement </w:t>
      </w:r>
      <w:r w:rsidR="00AB5981" w:rsidRPr="00AA0F6D">
        <w:t xml:space="preserve">was </w:t>
      </w:r>
      <w:r w:rsidR="005A5F50" w:rsidRPr="00AA0F6D">
        <w:t xml:space="preserve">subsequently </w:t>
      </w:r>
      <w:r w:rsidR="001A3072" w:rsidRPr="00AA0F6D">
        <w:t xml:space="preserve">entered into between the Kallie Otto Seuns Trust, represented by Otto, and the plaintiff </w:t>
      </w:r>
      <w:r w:rsidR="00AB5981" w:rsidRPr="00AA0F6D">
        <w:t>on 1 August 2007. This document reflected the agreement of the parties to transfer certain undivided portions of property listed in the agreement to each other</w:t>
      </w:r>
      <w:r w:rsidR="00662967" w:rsidRPr="00AA0F6D">
        <w:t xml:space="preserve"> without any compensation payable</w:t>
      </w:r>
      <w:r w:rsidR="00AB5981" w:rsidRPr="00AA0F6D">
        <w:t>.</w:t>
      </w:r>
      <w:r w:rsidR="000506CA" w:rsidRPr="00AA0F6D">
        <w:t xml:space="preserve"> Mr </w:t>
      </w:r>
      <w:r w:rsidR="00CB6435" w:rsidRPr="00AA0F6D">
        <w:t>V</w:t>
      </w:r>
      <w:r w:rsidR="000506CA" w:rsidRPr="00AA0F6D">
        <w:t xml:space="preserve">an Bergen confirmed that the </w:t>
      </w:r>
      <w:r w:rsidR="00345E50" w:rsidRPr="00AA0F6D">
        <w:t xml:space="preserve">portions of </w:t>
      </w:r>
      <w:r w:rsidR="000506CA" w:rsidRPr="00AA0F6D">
        <w:t xml:space="preserve">property in question </w:t>
      </w:r>
      <w:r w:rsidR="005E5B46" w:rsidRPr="00AA0F6D">
        <w:t>were</w:t>
      </w:r>
      <w:r w:rsidR="000506CA" w:rsidRPr="00AA0F6D">
        <w:t xml:space="preserve"> the same as per the 2004 understanding.</w:t>
      </w:r>
      <w:r w:rsidR="00D20258" w:rsidRPr="00AA0F6D">
        <w:t xml:space="preserve"> </w:t>
      </w:r>
      <w:r w:rsidR="00181339">
        <w:t>However, a</w:t>
      </w:r>
      <w:r w:rsidR="00FB726B" w:rsidRPr="00AA0F6D">
        <w:t>pproximately a month prior</w:t>
      </w:r>
      <w:r w:rsidR="00457E0E" w:rsidRPr="00AA0F6D">
        <w:t xml:space="preserve"> to entering into </w:t>
      </w:r>
      <w:r w:rsidR="00457E0E" w:rsidRPr="00AA0F6D">
        <w:lastRenderedPageBreak/>
        <w:t>this agreement</w:t>
      </w:r>
      <w:r w:rsidR="00E76AC1" w:rsidRPr="00AA0F6D">
        <w:t xml:space="preserve">, </w:t>
      </w:r>
      <w:r w:rsidR="00D20258" w:rsidRPr="00AA0F6D">
        <w:t xml:space="preserve">Otto sold the </w:t>
      </w:r>
      <w:r w:rsidR="00FD56F4" w:rsidRPr="00AA0F6D">
        <w:t xml:space="preserve">portions of land he owned </w:t>
      </w:r>
      <w:r w:rsidR="00D20258" w:rsidRPr="00AA0F6D">
        <w:t>to No 2 Piggeries (Pty) Ltd</w:t>
      </w:r>
      <w:r w:rsidR="00961D47" w:rsidRPr="00AA0F6D">
        <w:t xml:space="preserve"> (‘Piggeries’)</w:t>
      </w:r>
      <w:r w:rsidR="00A60D37" w:rsidRPr="00AA0F6D">
        <w:t>.</w:t>
      </w:r>
    </w:p>
    <w:p w14:paraId="78774D63" w14:textId="77777777" w:rsidR="00345E50" w:rsidRPr="00AA0F6D" w:rsidRDefault="00345E50" w:rsidP="00AA0F6D"/>
    <w:p w14:paraId="1E4CF1DD" w14:textId="6878EC6E" w:rsidR="000D6CFA" w:rsidRPr="00AA0F6D" w:rsidRDefault="00A011F8" w:rsidP="00A011F8">
      <w:pPr>
        <w:autoSpaceDE w:val="0"/>
        <w:autoSpaceDN w:val="0"/>
        <w:adjustRightInd w:val="0"/>
        <w:jc w:val="both"/>
      </w:pPr>
      <w:r w:rsidRPr="00AA0F6D">
        <w:t>[16]</w:t>
      </w:r>
      <w:r w:rsidRPr="00AA0F6D">
        <w:tab/>
      </w:r>
      <w:r w:rsidR="00413DB3" w:rsidRPr="00AA0F6D">
        <w:t xml:space="preserve">The immovable property was subsequently sold to the defendant. </w:t>
      </w:r>
      <w:r w:rsidR="00822939" w:rsidRPr="00AA0F6D">
        <w:t xml:space="preserve">Mr </w:t>
      </w:r>
      <w:r w:rsidR="00CB6435" w:rsidRPr="00AA0F6D">
        <w:t>V</w:t>
      </w:r>
      <w:r w:rsidR="00822939" w:rsidRPr="00AA0F6D">
        <w:t xml:space="preserve">an Bergen explained that </w:t>
      </w:r>
      <w:r w:rsidR="0008244B">
        <w:t xml:space="preserve">an estate agent contacted him and that he mainly engaged with her. </w:t>
      </w:r>
      <w:r w:rsidR="00822939" w:rsidRPr="00AA0F6D">
        <w:t xml:space="preserve">Mr Holliday, representing the defendant, had subsequently met with Mr </w:t>
      </w:r>
      <w:r w:rsidR="00053860" w:rsidRPr="00AA0F6D">
        <w:t>V</w:t>
      </w:r>
      <w:r w:rsidR="00822939" w:rsidRPr="00AA0F6D">
        <w:t>an Bergen and the agent at the farm to clinch the deal.</w:t>
      </w:r>
      <w:r w:rsidR="00DA1D6A" w:rsidRPr="00AA0F6D">
        <w:t xml:space="preserve"> </w:t>
      </w:r>
      <w:r w:rsidR="008C0800" w:rsidRPr="00AA0F6D">
        <w:t xml:space="preserve">According to Mr </w:t>
      </w:r>
      <w:r w:rsidR="00053860" w:rsidRPr="00AA0F6D">
        <w:t>V</w:t>
      </w:r>
      <w:r w:rsidR="008C0800" w:rsidRPr="00AA0F6D">
        <w:t>an Bergen, it was only the undivided portion that had been sold, which was the land that he had been farming and the undeveloped part of the farm without centre pivot</w:t>
      </w:r>
      <w:r w:rsidR="00253D1C">
        <w:t>s</w:t>
      </w:r>
      <w:r w:rsidR="008C0800" w:rsidRPr="00AA0F6D">
        <w:t>.</w:t>
      </w:r>
      <w:r w:rsidR="006E28B2" w:rsidRPr="00AA0F6D">
        <w:t xml:space="preserve"> Mr Holliday had understood that the parts of the farm covered by Otto’s centre pivots were ‘not negotiable’</w:t>
      </w:r>
      <w:r w:rsidR="00E21EB3" w:rsidRPr="00AA0F6D">
        <w:t>.</w:t>
      </w:r>
      <w:r w:rsidR="0088613D" w:rsidRPr="00AA0F6D">
        <w:t xml:space="preserve"> This explained the reference in the deed of sale</w:t>
      </w:r>
      <w:r w:rsidR="006A4D0B" w:rsidRPr="00AA0F6D">
        <w:t>, which had been drafted by Mr Schutte,</w:t>
      </w:r>
      <w:r w:rsidR="0088613D" w:rsidRPr="00AA0F6D">
        <w:t xml:space="preserve"> to the extent of the farm being only approximately 474 hectares, as opposed to the entire extent of the immovable property</w:t>
      </w:r>
      <w:r w:rsidR="000F29F5" w:rsidRPr="00AA0F6D">
        <w:t xml:space="preserve"> (552 hectares).</w:t>
      </w:r>
      <w:r w:rsidR="0097257C" w:rsidRPr="00AA0F6D">
        <w:t xml:space="preserve"> </w:t>
      </w:r>
      <w:r w:rsidR="005462E0" w:rsidRPr="00AA0F6D">
        <w:t>The defendant had purchased only the undivided portion and 200 hectares of water rights for R9,1</w:t>
      </w:r>
      <w:r w:rsidR="00AC43C5" w:rsidRPr="00AA0F6D">
        <w:t> </w:t>
      </w:r>
      <w:r w:rsidR="005462E0" w:rsidRPr="00AA0F6D">
        <w:t>million.</w:t>
      </w:r>
      <w:r w:rsidR="00ED290F" w:rsidRPr="00AA0F6D">
        <w:t xml:space="preserve"> The defendant </w:t>
      </w:r>
      <w:r w:rsidR="005F69C3">
        <w:t>took</w:t>
      </w:r>
      <w:r w:rsidR="00ED290F" w:rsidRPr="00AA0F6D">
        <w:t xml:space="preserve"> occupation of the undivided portion soon thereafter and Otto</w:t>
      </w:r>
      <w:r w:rsidR="00DA1D6A" w:rsidRPr="00AA0F6D">
        <w:t>, or his successor,</w:t>
      </w:r>
      <w:r w:rsidR="00ED290F" w:rsidRPr="00AA0F6D">
        <w:t xml:space="preserve"> continued to farm those parts of the immovable property covered by </w:t>
      </w:r>
      <w:r w:rsidR="00660FF6" w:rsidRPr="00AA0F6D">
        <w:t>his centre pivots</w:t>
      </w:r>
      <w:r w:rsidR="006238F7" w:rsidRPr="00AA0F6D">
        <w:t>,</w:t>
      </w:r>
      <w:r w:rsidR="006238F7" w:rsidRPr="00A011F8">
        <w:rPr>
          <w:b/>
          <w:bCs/>
        </w:rPr>
        <w:t xml:space="preserve"> </w:t>
      </w:r>
      <w:r w:rsidR="006238F7" w:rsidRPr="00AA0F6D">
        <w:t>which remain</w:t>
      </w:r>
      <w:r w:rsidR="001464F3">
        <w:t>s</w:t>
      </w:r>
      <w:r w:rsidR="006238F7" w:rsidRPr="00AA0F6D">
        <w:t xml:space="preserve"> the current position.</w:t>
      </w:r>
      <w:r w:rsidR="00B341C8" w:rsidRPr="00AA0F6D">
        <w:t xml:space="preserve"> </w:t>
      </w:r>
      <w:r w:rsidR="006D0221" w:rsidRPr="00AA0F6D">
        <w:t xml:space="preserve">The deed of sale </w:t>
      </w:r>
      <w:r w:rsidR="000275C9" w:rsidRPr="00AA0F6D">
        <w:t>included the following clause</w:t>
      </w:r>
      <w:r w:rsidR="0012733C" w:rsidRPr="00AA0F6D">
        <w:t xml:space="preserve"> (‘clause 24.5’)</w:t>
      </w:r>
      <w:r w:rsidR="000275C9" w:rsidRPr="00AA0F6D">
        <w:t>:</w:t>
      </w:r>
    </w:p>
    <w:p w14:paraId="19F891C2" w14:textId="77777777" w:rsidR="0023027B" w:rsidRPr="00AA0F6D" w:rsidRDefault="0023027B" w:rsidP="00AA0F6D"/>
    <w:p w14:paraId="50850408" w14:textId="6F6FB6F6" w:rsidR="0023027B" w:rsidRPr="00AA0F6D" w:rsidRDefault="000275C9" w:rsidP="000275C9">
      <w:pPr>
        <w:pStyle w:val="ListParagraph"/>
        <w:autoSpaceDE w:val="0"/>
        <w:autoSpaceDN w:val="0"/>
        <w:adjustRightInd w:val="0"/>
        <w:ind w:left="0"/>
        <w:jc w:val="both"/>
        <w:rPr>
          <w:sz w:val="22"/>
          <w:szCs w:val="22"/>
        </w:rPr>
      </w:pPr>
      <w:r w:rsidRPr="00AA0F6D">
        <w:rPr>
          <w:sz w:val="22"/>
          <w:szCs w:val="22"/>
        </w:rPr>
        <w:t>‘The Seller records that he is in the process of sub-dividing and selling a piece of the land hereby sold, approximately 52 hectares in extent</w:t>
      </w:r>
      <w:r w:rsidR="0008387C" w:rsidRPr="00AA0F6D">
        <w:rPr>
          <w:sz w:val="22"/>
          <w:szCs w:val="22"/>
        </w:rPr>
        <w:t>,</w:t>
      </w:r>
      <w:r w:rsidRPr="00AA0F6D">
        <w:rPr>
          <w:sz w:val="22"/>
          <w:szCs w:val="22"/>
        </w:rPr>
        <w:t xml:space="preserve"> and to consolidate the said land with another piece of land as will more fully appear on the diagram attached to this agreement, marked Annexure B and initialed for identification purposes by the parties. The costs for this sub</w:t>
      </w:r>
      <w:r w:rsidR="0008387C" w:rsidRPr="00AA0F6D">
        <w:rPr>
          <w:sz w:val="22"/>
          <w:szCs w:val="22"/>
        </w:rPr>
        <w:noBreakHyphen/>
      </w:r>
      <w:r w:rsidRPr="00AA0F6D">
        <w:rPr>
          <w:sz w:val="22"/>
          <w:szCs w:val="22"/>
        </w:rPr>
        <w:t>division and consolidation will be for the account of the Seller. The Purchaser agrees to sign all the necessary documentation to enable the Seller to proceed with the aforesaid.</w:t>
      </w:r>
      <w:r w:rsidR="007C59BE" w:rsidRPr="00AA0F6D">
        <w:rPr>
          <w:sz w:val="22"/>
          <w:szCs w:val="22"/>
        </w:rPr>
        <w:t>’</w:t>
      </w:r>
    </w:p>
    <w:p w14:paraId="2F22DA3B" w14:textId="77777777" w:rsidR="00810045" w:rsidRPr="00AA0F6D" w:rsidRDefault="00810045" w:rsidP="00AA0F6D"/>
    <w:p w14:paraId="417A5A49" w14:textId="697181FA" w:rsidR="00797473" w:rsidRPr="00AA0F6D" w:rsidRDefault="00A011F8" w:rsidP="00A011F8">
      <w:pPr>
        <w:autoSpaceDE w:val="0"/>
        <w:autoSpaceDN w:val="0"/>
        <w:adjustRightInd w:val="0"/>
        <w:jc w:val="both"/>
      </w:pPr>
      <w:r w:rsidRPr="00AA0F6D">
        <w:t>[17]</w:t>
      </w:r>
      <w:r w:rsidRPr="00AA0F6D">
        <w:tab/>
      </w:r>
      <w:r w:rsidR="00D61736" w:rsidRPr="00AA0F6D">
        <w:t xml:space="preserve">A diagram attached to the deed of sale and signed by the parties contained </w:t>
      </w:r>
      <w:r w:rsidR="00EC05CA" w:rsidRPr="00AA0F6D">
        <w:t xml:space="preserve">a handwritten note by Mr </w:t>
      </w:r>
      <w:r w:rsidR="00734613" w:rsidRPr="00AA0F6D">
        <w:t>V</w:t>
      </w:r>
      <w:r w:rsidR="00EC05CA" w:rsidRPr="00AA0F6D">
        <w:t>an Bergen making reference to ‘die gedeelte met die kruisies is die gedeelte wat by M</w:t>
      </w:r>
      <w:r w:rsidR="00DA7E0C" w:rsidRPr="00AA0F6D">
        <w:t>n</w:t>
      </w:r>
      <w:r w:rsidR="00EC05CA" w:rsidRPr="00AA0F6D">
        <w:t>r Otto bly.</w:t>
      </w:r>
      <w:r w:rsidR="00734613" w:rsidRPr="00AA0F6D">
        <w:t xml:space="preserve"> Mnr Du Preez </w:t>
      </w:r>
      <w:r w:rsidR="00933494" w:rsidRPr="00AA0F6D">
        <w:t>in Somerset is besig met die onderverdeling’</w:t>
      </w:r>
      <w:r w:rsidR="00745A93" w:rsidRPr="00AA0F6D">
        <w:t>.</w:t>
      </w:r>
      <w:r w:rsidR="002D6B1F" w:rsidRPr="00AA0F6D">
        <w:t xml:space="preserve"> </w:t>
      </w:r>
      <w:r w:rsidR="00C6562D">
        <w:t xml:space="preserve">To translate, ‘the part with the crosses is the part that stays with Mr Otto. Mr Du Preez in Somerset is busy with the subdivision’. </w:t>
      </w:r>
      <w:r w:rsidR="002D6B1F" w:rsidRPr="00AA0F6D">
        <w:t>Crosses appeared on the sketch reflecting the ‘Otto part’.</w:t>
      </w:r>
      <w:r w:rsidR="00897F76" w:rsidRPr="00AA0F6D">
        <w:t xml:space="preserve"> </w:t>
      </w:r>
      <w:r w:rsidR="003E5BB2" w:rsidRPr="00AA0F6D">
        <w:t xml:space="preserve">Mr Van Bergen reiterated that his intention was to sell only the </w:t>
      </w:r>
      <w:r w:rsidR="00697D69" w:rsidRPr="00AA0F6D">
        <w:t>undivided portion</w:t>
      </w:r>
      <w:r w:rsidR="00DF3D68" w:rsidRPr="00AA0F6D">
        <w:t>.</w:t>
      </w:r>
      <w:r w:rsidR="00B5001F" w:rsidRPr="00AA0F6D">
        <w:t xml:space="preserve"> Even though the immovable property, in its entirety, had </w:t>
      </w:r>
      <w:r w:rsidR="00B5001F" w:rsidRPr="00AA0F6D">
        <w:lastRenderedPageBreak/>
        <w:t>been transferred to the defendant, they had never taken occupation of the portion Mr Van Bergen would exchange with Otto.</w:t>
      </w:r>
    </w:p>
    <w:p w14:paraId="3A355088" w14:textId="77777777" w:rsidR="00290804" w:rsidRPr="00AA0F6D" w:rsidRDefault="00290804" w:rsidP="00D20258"/>
    <w:p w14:paraId="48D85ADE" w14:textId="3C5DB826" w:rsidR="00810045" w:rsidRPr="00AA0F6D" w:rsidRDefault="00A011F8" w:rsidP="00A011F8">
      <w:pPr>
        <w:autoSpaceDE w:val="0"/>
        <w:autoSpaceDN w:val="0"/>
        <w:adjustRightInd w:val="0"/>
        <w:jc w:val="both"/>
      </w:pPr>
      <w:r w:rsidRPr="00AA0F6D">
        <w:t>[18]</w:t>
      </w:r>
      <w:r w:rsidRPr="00AA0F6D">
        <w:tab/>
      </w:r>
      <w:r w:rsidR="00290804" w:rsidRPr="00AA0F6D">
        <w:t>Mr Van Bergen testified that a</w:t>
      </w:r>
      <w:r w:rsidR="005D1EEE" w:rsidRPr="00AA0F6D">
        <w:t xml:space="preserve">ny efforts to subdivide the immovable property in terms of </w:t>
      </w:r>
      <w:r w:rsidR="00581598" w:rsidRPr="00AA0F6D">
        <w:t>his arrangement with</w:t>
      </w:r>
      <w:r w:rsidR="005D1EEE" w:rsidRPr="00AA0F6D">
        <w:t xml:space="preserve"> Otto had subsequently stalled.</w:t>
      </w:r>
      <w:r w:rsidR="002079F3" w:rsidRPr="00AA0F6D">
        <w:t xml:space="preserve"> </w:t>
      </w:r>
      <w:r w:rsidR="0065138C" w:rsidRPr="00AA0F6D">
        <w:t>The papers reveal that a</w:t>
      </w:r>
      <w:r w:rsidR="00E2365A" w:rsidRPr="00AA0F6D">
        <w:t xml:space="preserve">n application </w:t>
      </w:r>
      <w:r w:rsidR="0065138C" w:rsidRPr="00AA0F6D">
        <w:t>to</w:t>
      </w:r>
      <w:r w:rsidR="00E2365A" w:rsidRPr="00AA0F6D">
        <w:t xml:space="preserve"> subdivide the immovable property</w:t>
      </w:r>
      <w:r w:rsidR="0065138C" w:rsidRPr="00AA0F6D">
        <w:t xml:space="preserve">, </w:t>
      </w:r>
      <w:r w:rsidR="007B4D33" w:rsidRPr="00AA0F6D">
        <w:t>as well as</w:t>
      </w:r>
      <w:r w:rsidR="0065138C" w:rsidRPr="00AA0F6D">
        <w:t xml:space="preserve"> other portions of </w:t>
      </w:r>
      <w:r w:rsidR="007B4D33" w:rsidRPr="00AA0F6D">
        <w:t>the Farm Houghamdale No. 341,</w:t>
      </w:r>
      <w:r w:rsidR="00E2365A" w:rsidRPr="00AA0F6D">
        <w:t xml:space="preserve"> in terms of the Act appears to have been submitted </w:t>
      </w:r>
      <w:r w:rsidR="0065138C" w:rsidRPr="00AA0F6D">
        <w:t xml:space="preserve">to the Department of Agriculture, </w:t>
      </w:r>
      <w:r w:rsidR="00511705">
        <w:t>Land Reform and Rural Development</w:t>
      </w:r>
      <w:r w:rsidR="0065138C" w:rsidRPr="00AA0F6D">
        <w:t xml:space="preserve"> during March 2017. Correspondence from the Acting Chief Director: Natural Resources Management, as ‘delegate of the Minister’</w:t>
      </w:r>
      <w:r w:rsidR="00030F06" w:rsidRPr="00AA0F6D">
        <w:t>,</w:t>
      </w:r>
      <w:r w:rsidR="0065138C" w:rsidRPr="00AA0F6D">
        <w:t xml:space="preserve"> indicates that </w:t>
      </w:r>
      <w:r w:rsidR="00322E67" w:rsidRPr="00AA0F6D">
        <w:t>the application had been granted</w:t>
      </w:r>
      <w:r w:rsidR="00D6376A" w:rsidRPr="00AA0F6D">
        <w:t xml:space="preserve"> during June 2017</w:t>
      </w:r>
      <w:r w:rsidR="00322E67" w:rsidRPr="00AA0F6D">
        <w:t>.</w:t>
      </w:r>
      <w:r w:rsidR="00722F0D" w:rsidRPr="00AA0F6D">
        <w:t xml:space="preserve"> This included consent to subdivide the immovable property into two portions measuring approximately 79 hectares and 473 hectares respectively.</w:t>
      </w:r>
      <w:r w:rsidR="002C75A7" w:rsidRPr="00AA0F6D">
        <w:t xml:space="preserve"> Mr Van Bergen confirmed that this attempt to sort out the encroachments had been on the part of Piggeries and the defendant, rather than by the plaintiff and Otto.</w:t>
      </w:r>
      <w:r w:rsidR="009E24F9" w:rsidRPr="00AA0F6D">
        <w:t xml:space="preserve"> </w:t>
      </w:r>
      <w:r w:rsidR="00F71D92" w:rsidRPr="00AA0F6D">
        <w:t>He had, for various reasons, insisted that the subdivision be placed on hold pending these proceedings.</w:t>
      </w:r>
    </w:p>
    <w:p w14:paraId="3C0EAC15" w14:textId="77777777" w:rsidR="00AD0197" w:rsidRPr="00AA0F6D" w:rsidRDefault="00AD0197" w:rsidP="00AA0F6D"/>
    <w:p w14:paraId="5CAEE186" w14:textId="52BC751E" w:rsidR="00AD0197" w:rsidRPr="00AA0F6D" w:rsidRDefault="00A011F8" w:rsidP="00A011F8">
      <w:pPr>
        <w:autoSpaceDE w:val="0"/>
        <w:autoSpaceDN w:val="0"/>
        <w:adjustRightInd w:val="0"/>
        <w:jc w:val="both"/>
      </w:pPr>
      <w:r w:rsidRPr="00AA0F6D">
        <w:t>[19]</w:t>
      </w:r>
      <w:r w:rsidRPr="00AA0F6D">
        <w:tab/>
      </w:r>
      <w:r w:rsidR="00AD0197" w:rsidRPr="00AA0F6D">
        <w:t xml:space="preserve">During cross-examination, </w:t>
      </w:r>
      <w:r w:rsidR="005E0431" w:rsidRPr="00AA0F6D">
        <w:t>Mr Van Bergen confirmed that he purchased the immovable property from Otto on the understanding that the boundaries would be resolved later by way of an application for subdivision and consolidation, and with the permission of the Minister. This never happened</w:t>
      </w:r>
      <w:r w:rsidR="0078290C" w:rsidRPr="00AA0F6D">
        <w:t xml:space="preserve"> and both he and Otto sold their properties separately during 2007.</w:t>
      </w:r>
      <w:r w:rsidR="00200D0B" w:rsidRPr="00AA0F6D">
        <w:t xml:space="preserve"> Any exchange of land subsequent to this was </w:t>
      </w:r>
      <w:r w:rsidR="00A74B84" w:rsidRPr="00AA0F6D">
        <w:t>a matter of concern to the new owners, namely the defendant and Piggeries.</w:t>
      </w:r>
    </w:p>
    <w:p w14:paraId="61AA9A7B" w14:textId="77777777" w:rsidR="00970649" w:rsidRPr="00AA0F6D" w:rsidRDefault="00970649" w:rsidP="00AA0F6D"/>
    <w:p w14:paraId="488CEE9B" w14:textId="46C09653" w:rsidR="00970649" w:rsidRPr="00AA0F6D" w:rsidRDefault="00A011F8" w:rsidP="00A011F8">
      <w:pPr>
        <w:autoSpaceDE w:val="0"/>
        <w:autoSpaceDN w:val="0"/>
        <w:adjustRightInd w:val="0"/>
        <w:jc w:val="both"/>
      </w:pPr>
      <w:r w:rsidRPr="00AA0F6D">
        <w:t>[20]</w:t>
      </w:r>
      <w:r w:rsidRPr="00AA0F6D">
        <w:tab/>
      </w:r>
      <w:r w:rsidR="00970649" w:rsidRPr="00AA0F6D">
        <w:t xml:space="preserve">Mr Van Bergen conceded that he had knowingly transferred the immovable property, in its entirety to the defendant. </w:t>
      </w:r>
      <w:r w:rsidR="0063513F" w:rsidRPr="00AA0F6D">
        <w:t>A power of attorney appointing a</w:t>
      </w:r>
      <w:r w:rsidR="00440D52" w:rsidRPr="00AA0F6D">
        <w:t xml:space="preserve">n attorney to </w:t>
      </w:r>
      <w:r w:rsidR="009F7605" w:rsidRPr="00AA0F6D">
        <w:t>pass transfer of</w:t>
      </w:r>
      <w:r w:rsidR="00440D52" w:rsidRPr="00AA0F6D">
        <w:t xml:space="preserve"> the immovable property</w:t>
      </w:r>
      <w:r w:rsidR="009F7605" w:rsidRPr="00AA0F6D">
        <w:t xml:space="preserve"> </w:t>
      </w:r>
      <w:r w:rsidR="00440D52" w:rsidRPr="00AA0F6D">
        <w:t>to the defendant</w:t>
      </w:r>
      <w:r w:rsidR="00291861" w:rsidRPr="00AA0F6D">
        <w:t xml:space="preserve"> reflects this. The power of attorney</w:t>
      </w:r>
      <w:r w:rsidR="00440D52" w:rsidRPr="00AA0F6D">
        <w:t xml:space="preserve"> was signed by Mr Van Bergen at Hopetown on 24 December 2007. It refers to the R9,1 million purchase price and</w:t>
      </w:r>
      <w:r w:rsidR="00F76CD9" w:rsidRPr="00AA0F6D">
        <w:t>, contrary to the deed of sale,</w:t>
      </w:r>
      <w:r w:rsidR="00440D52" w:rsidRPr="00AA0F6D">
        <w:t xml:space="preserve"> describes the immovable property </w:t>
      </w:r>
      <w:r w:rsidR="00231589" w:rsidRPr="00AA0F6D">
        <w:t>in its full extent (552.0256 hectares)</w:t>
      </w:r>
      <w:r w:rsidR="00F76CD9" w:rsidRPr="00AA0F6D">
        <w:t>.</w:t>
      </w:r>
      <w:r w:rsidR="009026A3" w:rsidRPr="00AA0F6D">
        <w:t xml:space="preserve"> Mr Van Bergen explained that he knew </w:t>
      </w:r>
      <w:r w:rsidR="006E3BE4" w:rsidRPr="00AA0F6D">
        <w:t xml:space="preserve">that </w:t>
      </w:r>
      <w:r w:rsidR="0074672A" w:rsidRPr="00AA0F6D">
        <w:t>the power of attorney pertained to the entire extent of the immovable property</w:t>
      </w:r>
      <w:r w:rsidR="009026A3" w:rsidRPr="00AA0F6D">
        <w:t xml:space="preserve"> and had been forced to do so to enable the defendant to ‘put the ground on his name’. </w:t>
      </w:r>
      <w:r w:rsidR="009A0015">
        <w:t>However, h</w:t>
      </w:r>
      <w:r w:rsidR="009026A3" w:rsidRPr="00AA0F6D">
        <w:t xml:space="preserve">e maintained </w:t>
      </w:r>
      <w:r w:rsidR="009A0015">
        <w:t>t</w:t>
      </w:r>
      <w:r w:rsidR="009026A3" w:rsidRPr="00AA0F6D">
        <w:t>hat he had not sold that part of the farm used by Otto</w:t>
      </w:r>
      <w:r w:rsidR="002B4B61" w:rsidRPr="00AA0F6D">
        <w:t>, adding:</w:t>
      </w:r>
    </w:p>
    <w:p w14:paraId="516FB2D9" w14:textId="12BDFFBF" w:rsidR="002B4B61" w:rsidRPr="00AA0F6D" w:rsidRDefault="002B4B61" w:rsidP="002B4B61"/>
    <w:p w14:paraId="1E090BBE" w14:textId="1DA0D791" w:rsidR="002B4B61" w:rsidRPr="00AA0F6D" w:rsidRDefault="002B4B61" w:rsidP="00BF0E1B">
      <w:pPr>
        <w:jc w:val="both"/>
        <w:rPr>
          <w:sz w:val="22"/>
          <w:szCs w:val="22"/>
        </w:rPr>
      </w:pPr>
      <w:r w:rsidRPr="00AA0F6D">
        <w:rPr>
          <w:sz w:val="22"/>
          <w:szCs w:val="22"/>
        </w:rPr>
        <w:t>‘We agreed that part to be taken off should be done after this, we can’t do that if the farm is not on his name … the rest [was] to be done later</w:t>
      </w:r>
      <w:r w:rsidR="00CF0094" w:rsidRPr="00AA0F6D">
        <w:rPr>
          <w:sz w:val="22"/>
          <w:szCs w:val="22"/>
        </w:rPr>
        <w:t xml:space="preserve"> … From my view we just did that to get </w:t>
      </w:r>
      <w:r w:rsidR="001C2BCC">
        <w:rPr>
          <w:sz w:val="22"/>
          <w:szCs w:val="22"/>
        </w:rPr>
        <w:t xml:space="preserve">the </w:t>
      </w:r>
      <w:r w:rsidR="00CF0094" w:rsidRPr="00AA0F6D">
        <w:rPr>
          <w:sz w:val="22"/>
          <w:szCs w:val="22"/>
        </w:rPr>
        <w:t>farm into his name and then we subdivide it</w:t>
      </w:r>
      <w:r w:rsidR="00C03203" w:rsidRPr="00AA0F6D">
        <w:rPr>
          <w:sz w:val="22"/>
          <w:szCs w:val="22"/>
        </w:rPr>
        <w:t xml:space="preserve"> … </w:t>
      </w:r>
      <w:r w:rsidR="000E7097" w:rsidRPr="00AA0F6D">
        <w:rPr>
          <w:sz w:val="22"/>
          <w:szCs w:val="22"/>
        </w:rPr>
        <w:t>[we] had to do that because [in terms of the law] we could not pass it over if subdivided … it was not my intention [to transfer the entire farm but] I had to do it to help Holliday.</w:t>
      </w:r>
      <w:r w:rsidRPr="00AA0F6D">
        <w:rPr>
          <w:sz w:val="22"/>
          <w:szCs w:val="22"/>
        </w:rPr>
        <w:t>’</w:t>
      </w:r>
    </w:p>
    <w:p w14:paraId="2557785E" w14:textId="77777777" w:rsidR="00BF0E1B" w:rsidRPr="00AA0F6D" w:rsidRDefault="00BF0E1B" w:rsidP="00BF0E1B">
      <w:pPr>
        <w:jc w:val="both"/>
        <w:rPr>
          <w:sz w:val="22"/>
          <w:szCs w:val="22"/>
        </w:rPr>
      </w:pPr>
    </w:p>
    <w:p w14:paraId="4EFC8061" w14:textId="2B436E15" w:rsidR="00883683" w:rsidRPr="00AA0F6D" w:rsidRDefault="00A011F8" w:rsidP="00A011F8">
      <w:pPr>
        <w:autoSpaceDE w:val="0"/>
        <w:autoSpaceDN w:val="0"/>
        <w:adjustRightInd w:val="0"/>
        <w:jc w:val="both"/>
      </w:pPr>
      <w:r w:rsidRPr="00AA0F6D">
        <w:t>[21]</w:t>
      </w:r>
      <w:r w:rsidRPr="00AA0F6D">
        <w:tab/>
      </w:r>
      <w:r w:rsidR="005B5A72" w:rsidRPr="00AA0F6D">
        <w:t xml:space="preserve">With reference to clause 24.5, Mr Van Bergen explained that the intention was to secure future cooperation for purposes of subdivision and consolidation, once the </w:t>
      </w:r>
      <w:r w:rsidR="004D4FA2" w:rsidRPr="00AA0F6D">
        <w:t xml:space="preserve">(entire) </w:t>
      </w:r>
      <w:r w:rsidR="005B5A72" w:rsidRPr="00AA0F6D">
        <w:t>immovable property had been transferred</w:t>
      </w:r>
      <w:r w:rsidR="00410922" w:rsidRPr="00AA0F6D">
        <w:t>.</w:t>
      </w:r>
      <w:r w:rsidR="00D94831" w:rsidRPr="00AA0F6D">
        <w:t xml:space="preserve"> </w:t>
      </w:r>
      <w:r w:rsidR="009D2269" w:rsidRPr="00AA0F6D">
        <w:t xml:space="preserve">The defendant </w:t>
      </w:r>
      <w:r w:rsidR="00062EAE">
        <w:t>was</w:t>
      </w:r>
      <w:r w:rsidR="009D2269" w:rsidRPr="00AA0F6D">
        <w:t xml:space="preserve"> never approached by Mr Van Bergen for implementation of this clause.</w:t>
      </w:r>
      <w:r w:rsidR="00295EC5" w:rsidRPr="00AA0F6D">
        <w:t xml:space="preserve"> </w:t>
      </w:r>
      <w:r w:rsidR="00985F80" w:rsidRPr="00AA0F6D">
        <w:t xml:space="preserve">Mr Van Bergen also </w:t>
      </w:r>
      <w:r w:rsidR="007E25ED" w:rsidRPr="00AA0F6D">
        <w:t>indicated</w:t>
      </w:r>
      <w:r w:rsidR="00985F80" w:rsidRPr="00AA0F6D">
        <w:t xml:space="preserve"> that what he had intended and achieved was to sell and transfer the whole farm, with a secondary agreement</w:t>
      </w:r>
      <w:r w:rsidR="00770372" w:rsidRPr="00AA0F6D">
        <w:t xml:space="preserve"> </w:t>
      </w:r>
      <w:r w:rsidR="00796561" w:rsidRPr="00AA0F6D">
        <w:t>that both parties would cooperate ‘to effect subdivisions and consolidations with the permission of the Minister’.</w:t>
      </w:r>
      <w:r w:rsidR="00DE02F6" w:rsidRPr="00AA0F6D">
        <w:t xml:space="preserve"> The sale and transfer had deliberately been of the immovable property as a whole</w:t>
      </w:r>
      <w:r w:rsidR="00BA645C" w:rsidRPr="00AA0F6D">
        <w:t>.</w:t>
      </w:r>
      <w:r w:rsidR="00030182" w:rsidRPr="00AA0F6D">
        <w:t xml:space="preserve"> </w:t>
      </w:r>
      <w:r w:rsidR="00E4160C" w:rsidRPr="00AA0F6D">
        <w:t xml:space="preserve">Mr Van Bergen, understandably considering the </w:t>
      </w:r>
      <w:r w:rsidR="00174996" w:rsidRPr="00AA0F6D">
        <w:t>passage of time</w:t>
      </w:r>
      <w:r w:rsidR="00E4160C" w:rsidRPr="00AA0F6D">
        <w:t xml:space="preserve">, had little recollection of the single meeting </w:t>
      </w:r>
      <w:r w:rsidR="00964F36" w:rsidRPr="00AA0F6D">
        <w:t>he had with</w:t>
      </w:r>
      <w:r w:rsidR="00E4160C" w:rsidRPr="00AA0F6D">
        <w:t xml:space="preserve"> Mr Holliday prior to the sale</w:t>
      </w:r>
      <w:r w:rsidR="008A5D97" w:rsidRPr="00AA0F6D">
        <w:t>.</w:t>
      </w:r>
    </w:p>
    <w:p w14:paraId="0C3D47E7" w14:textId="35C827B1" w:rsidR="00E4160C" w:rsidRPr="00AA0F6D" w:rsidRDefault="00E4160C" w:rsidP="009F2926"/>
    <w:p w14:paraId="5AA770FD" w14:textId="041F4AD4" w:rsidR="009F2926" w:rsidRPr="00AA0F6D" w:rsidRDefault="009F2926" w:rsidP="009F2926">
      <w:pPr>
        <w:rPr>
          <w:b/>
          <w:bCs/>
        </w:rPr>
      </w:pPr>
      <w:r w:rsidRPr="00AA0F6D">
        <w:rPr>
          <w:b/>
          <w:bCs/>
        </w:rPr>
        <w:t>The defendant’s evidence</w:t>
      </w:r>
    </w:p>
    <w:p w14:paraId="3F8657CC" w14:textId="77777777" w:rsidR="009F2926" w:rsidRPr="00AA0F6D" w:rsidRDefault="009F2926" w:rsidP="009F2926">
      <w:pPr>
        <w:rPr>
          <w:b/>
          <w:bCs/>
        </w:rPr>
      </w:pPr>
    </w:p>
    <w:p w14:paraId="49D1AF42" w14:textId="0139A698" w:rsidR="00E4160C" w:rsidRPr="00AA0F6D" w:rsidRDefault="00A011F8" w:rsidP="00A011F8">
      <w:pPr>
        <w:autoSpaceDE w:val="0"/>
        <w:autoSpaceDN w:val="0"/>
        <w:adjustRightInd w:val="0"/>
        <w:jc w:val="both"/>
      </w:pPr>
      <w:r w:rsidRPr="00AA0F6D">
        <w:t>[22]</w:t>
      </w:r>
      <w:r w:rsidRPr="00AA0F6D">
        <w:tab/>
      </w:r>
      <w:r w:rsidR="007839D9" w:rsidRPr="00AA0F6D">
        <w:t>Mr</w:t>
      </w:r>
      <w:r w:rsidR="00010F20" w:rsidRPr="00AA0F6D">
        <w:t xml:space="preserve"> </w:t>
      </w:r>
      <w:r w:rsidR="00E5091E" w:rsidRPr="00AA0F6D">
        <w:t>Holliday</w:t>
      </w:r>
      <w:r w:rsidR="0000141B" w:rsidRPr="00AA0F6D">
        <w:t xml:space="preserve"> explained the circumstances that resulted in the purchase of the immovable property. He and </w:t>
      </w:r>
      <w:r w:rsidR="009639F6">
        <w:t xml:space="preserve">Mr </w:t>
      </w:r>
      <w:r w:rsidR="0000141B" w:rsidRPr="00AA0F6D">
        <w:t>Lourens Fourie agreed to form a dairy partnership and he contacted an agent to identify a farm for this purpose</w:t>
      </w:r>
      <w:r w:rsidR="00514C36" w:rsidRPr="00AA0F6D">
        <w:t xml:space="preserve"> during August to October 2007.</w:t>
      </w:r>
      <w:r w:rsidR="00095EAA" w:rsidRPr="00AA0F6D">
        <w:t xml:space="preserve"> He and the agent met with the farm manager on site and </w:t>
      </w:r>
      <w:r w:rsidR="00E01FD2">
        <w:t>drove</w:t>
      </w:r>
      <w:r w:rsidR="00095EAA" w:rsidRPr="00AA0F6D">
        <w:t xml:space="preserve"> around the farm together. As the intention was to establish a dairy, </w:t>
      </w:r>
      <w:r w:rsidR="00BC3E56" w:rsidRPr="00AA0F6D">
        <w:t xml:space="preserve">acquisition of </w:t>
      </w:r>
      <w:r w:rsidR="00095EAA" w:rsidRPr="00AA0F6D">
        <w:t>irrigated land with centre pivots</w:t>
      </w:r>
      <w:r w:rsidR="00B10243" w:rsidRPr="00AA0F6D">
        <w:t>,</w:t>
      </w:r>
      <w:r w:rsidR="00095EAA" w:rsidRPr="00AA0F6D">
        <w:t xml:space="preserve"> or land on which centre pivots could be installed</w:t>
      </w:r>
      <w:r w:rsidR="00B10243" w:rsidRPr="00AA0F6D">
        <w:t>,</w:t>
      </w:r>
      <w:r w:rsidR="00095EAA" w:rsidRPr="00AA0F6D">
        <w:t xml:space="preserve"> </w:t>
      </w:r>
      <w:r w:rsidR="006734D0" w:rsidRPr="00AA0F6D">
        <w:t>was the focus.</w:t>
      </w:r>
      <w:r w:rsidR="00095EAA" w:rsidRPr="00AA0F6D">
        <w:t xml:space="preserve"> He subsequently </w:t>
      </w:r>
      <w:r w:rsidR="00980EFA" w:rsidRPr="00AA0F6D">
        <w:t>met with Mr Van Bergen at the farmhouse</w:t>
      </w:r>
      <w:r w:rsidR="008205D0" w:rsidRPr="00AA0F6D">
        <w:t xml:space="preserve"> and a</w:t>
      </w:r>
      <w:r w:rsidR="00CA3B10" w:rsidRPr="00AA0F6D">
        <w:t>n</w:t>
      </w:r>
      <w:r w:rsidR="008205D0" w:rsidRPr="00AA0F6D">
        <w:t xml:space="preserve"> </w:t>
      </w:r>
      <w:r w:rsidR="00CA3B10" w:rsidRPr="00AA0F6D">
        <w:t>agreement</w:t>
      </w:r>
      <w:r w:rsidR="008205D0" w:rsidRPr="00AA0F6D">
        <w:t xml:space="preserve"> </w:t>
      </w:r>
      <w:r w:rsidR="00030182" w:rsidRPr="00AA0F6D">
        <w:t xml:space="preserve">in principle </w:t>
      </w:r>
      <w:r w:rsidR="00057450">
        <w:t>was</w:t>
      </w:r>
      <w:r w:rsidR="008205D0" w:rsidRPr="00AA0F6D">
        <w:t xml:space="preserve"> </w:t>
      </w:r>
      <w:r w:rsidR="00CA3B10" w:rsidRPr="00AA0F6D">
        <w:t>reached</w:t>
      </w:r>
      <w:r w:rsidR="00742EA5" w:rsidRPr="00AA0F6D">
        <w:t xml:space="preserve"> in respect of </w:t>
      </w:r>
      <w:r w:rsidR="00CC7BD2" w:rsidRPr="00AA0F6D">
        <w:t>purchase price and existing crops. The understanding was that lawyers would be engaged on both sides to take matters forward</w:t>
      </w:r>
      <w:r w:rsidR="00B202B9" w:rsidRPr="00AA0F6D">
        <w:t xml:space="preserve"> and conclude a deed of sale.</w:t>
      </w:r>
      <w:r w:rsidR="00DA5826" w:rsidRPr="00AA0F6D">
        <w:t xml:space="preserve"> He received clear advice that the entire property had to be purchased ‘altogether’.</w:t>
      </w:r>
    </w:p>
    <w:p w14:paraId="347CDA30" w14:textId="77777777" w:rsidR="00D524BA" w:rsidRPr="00AA0F6D" w:rsidRDefault="00D524BA" w:rsidP="00D524BA">
      <w:pPr>
        <w:pStyle w:val="ListParagraph"/>
        <w:autoSpaceDE w:val="0"/>
        <w:autoSpaceDN w:val="0"/>
        <w:adjustRightInd w:val="0"/>
        <w:ind w:left="0"/>
        <w:jc w:val="both"/>
      </w:pPr>
    </w:p>
    <w:p w14:paraId="54AE7F00" w14:textId="584204C8" w:rsidR="00896DA2" w:rsidRPr="00AA0F6D" w:rsidRDefault="00A011F8" w:rsidP="00A011F8">
      <w:pPr>
        <w:autoSpaceDE w:val="0"/>
        <w:autoSpaceDN w:val="0"/>
        <w:adjustRightInd w:val="0"/>
        <w:jc w:val="both"/>
      </w:pPr>
      <w:r w:rsidRPr="00AA0F6D">
        <w:t>[23]</w:t>
      </w:r>
      <w:r w:rsidRPr="00AA0F6D">
        <w:tab/>
      </w:r>
      <w:r w:rsidR="00275AE0" w:rsidRPr="00AA0F6D">
        <w:t>Clause 24.5 had, for the first time, been added to the final draft</w:t>
      </w:r>
      <w:r w:rsidR="001E36CB" w:rsidRPr="00AA0F6D">
        <w:t xml:space="preserve"> of the deed of sale. </w:t>
      </w:r>
      <w:r w:rsidR="00896DA2" w:rsidRPr="00AA0F6D">
        <w:t xml:space="preserve">Mr Holliday was unconcerned </w:t>
      </w:r>
      <w:r w:rsidR="005A2C31" w:rsidRPr="00AA0F6D">
        <w:t xml:space="preserve">by </w:t>
      </w:r>
      <w:r w:rsidR="00765641" w:rsidRPr="00AA0F6D">
        <w:t>its inclusion</w:t>
      </w:r>
      <w:r w:rsidR="005A2C31" w:rsidRPr="00AA0F6D">
        <w:t xml:space="preserve"> </w:t>
      </w:r>
      <w:r w:rsidR="00896DA2" w:rsidRPr="00AA0F6D">
        <w:t xml:space="preserve">given that he had examined a map </w:t>
      </w:r>
      <w:r w:rsidR="00896DA2" w:rsidRPr="00AA0F6D">
        <w:lastRenderedPageBreak/>
        <w:t>of the property provided by the farm manager during his initial visit</w:t>
      </w:r>
      <w:r w:rsidR="001E1B88" w:rsidRPr="00AA0F6D">
        <w:t xml:space="preserve">. As owner of the property he took the view that he </w:t>
      </w:r>
      <w:r w:rsidR="00DD1753" w:rsidRPr="00AA0F6D">
        <w:t>would retain</w:t>
      </w:r>
      <w:r w:rsidR="00180593" w:rsidRPr="00AA0F6D">
        <w:t xml:space="preserve"> </w:t>
      </w:r>
      <w:r w:rsidR="00DD1753" w:rsidRPr="00AA0F6D">
        <w:t>a</w:t>
      </w:r>
      <w:r w:rsidR="00180593" w:rsidRPr="00AA0F6D">
        <w:t xml:space="preserve"> right to refuse </w:t>
      </w:r>
      <w:r w:rsidR="006F749A" w:rsidRPr="00AA0F6D">
        <w:t>anything more than cooperation, and was satisfied as long as his intended centre pivots could proceed for purposes of dairy farming.</w:t>
      </w:r>
      <w:r w:rsidR="008746CD" w:rsidRPr="00AA0F6D">
        <w:t xml:space="preserve"> This </w:t>
      </w:r>
      <w:r w:rsidR="00E6204D" w:rsidRPr="00AA0F6D">
        <w:t xml:space="preserve">planned development </w:t>
      </w:r>
      <w:r w:rsidR="008746CD" w:rsidRPr="00AA0F6D">
        <w:t>was on the western part of the property and the boundaries in question were on the eastern side.</w:t>
      </w:r>
    </w:p>
    <w:p w14:paraId="1286115C" w14:textId="77777777" w:rsidR="0043064C" w:rsidRPr="00AA0F6D" w:rsidRDefault="0043064C" w:rsidP="00AA0F6D"/>
    <w:p w14:paraId="4F5532AE" w14:textId="26E4FFFA" w:rsidR="0043064C" w:rsidRPr="00AA0F6D" w:rsidRDefault="00A011F8" w:rsidP="00A011F8">
      <w:pPr>
        <w:autoSpaceDE w:val="0"/>
        <w:autoSpaceDN w:val="0"/>
        <w:adjustRightInd w:val="0"/>
        <w:jc w:val="both"/>
      </w:pPr>
      <w:r w:rsidRPr="00AA0F6D">
        <w:t>[24]</w:t>
      </w:r>
      <w:r w:rsidRPr="00AA0F6D">
        <w:tab/>
      </w:r>
      <w:r w:rsidR="0043064C" w:rsidRPr="00AA0F6D">
        <w:t>Mr Van Bergen contacted Mr Holliday sometime during 2013/2014 in re</w:t>
      </w:r>
      <w:r w:rsidR="00C67CFC" w:rsidRPr="00AA0F6D">
        <w:t>spect of possible transfer of water rights.</w:t>
      </w:r>
      <w:r w:rsidR="00B91812" w:rsidRPr="00AA0F6D">
        <w:t xml:space="preserve"> Although 200 hectares of water rights had been the subject of the deed of sale, only 174 hectares were in fact re</w:t>
      </w:r>
      <w:r w:rsidR="00210FA9" w:rsidRPr="00AA0F6D">
        <w:t xml:space="preserve">cognised by the </w:t>
      </w:r>
      <w:r w:rsidR="00D86A7C" w:rsidRPr="00AA0F6D">
        <w:t xml:space="preserve">relevant </w:t>
      </w:r>
      <w:r w:rsidR="00210FA9" w:rsidRPr="00AA0F6D">
        <w:t>Department.</w:t>
      </w:r>
      <w:r w:rsidR="005B5E35" w:rsidRPr="00AA0F6D">
        <w:t xml:space="preserve"> The defendant </w:t>
      </w:r>
      <w:r w:rsidR="00D10C17">
        <w:t>was</w:t>
      </w:r>
      <w:r w:rsidR="005B5E35" w:rsidRPr="00AA0F6D">
        <w:t xml:space="preserve"> aware that Otto sold his property to Piggeries. The encroachment persisted and was allowed despite the absence</w:t>
      </w:r>
      <w:r w:rsidR="00E13BFF" w:rsidRPr="00AA0F6D">
        <w:t xml:space="preserve"> of a formal arrangement.</w:t>
      </w:r>
      <w:r w:rsidR="000E0295" w:rsidRPr="00AA0F6D">
        <w:t xml:space="preserve"> Attempts to formalise the arrangement </w:t>
      </w:r>
      <w:r w:rsidR="00FB4B02" w:rsidRPr="00AA0F6D">
        <w:t>to reflect</w:t>
      </w:r>
      <w:r w:rsidR="000E0295" w:rsidRPr="00AA0F6D">
        <w:t xml:space="preserve"> </w:t>
      </w:r>
      <w:r w:rsidR="00893CF5" w:rsidRPr="00AA0F6D">
        <w:t>‘</w:t>
      </w:r>
      <w:r w:rsidR="000E0295" w:rsidRPr="00AA0F6D">
        <w:t>the existing boundaries</w:t>
      </w:r>
      <w:r w:rsidR="00893CF5" w:rsidRPr="00AA0F6D">
        <w:t>’</w:t>
      </w:r>
      <w:r w:rsidR="00791C4E" w:rsidRPr="00AA0F6D">
        <w:t xml:space="preserve"> </w:t>
      </w:r>
      <w:r w:rsidR="000E0295" w:rsidRPr="00AA0F6D">
        <w:t xml:space="preserve">had </w:t>
      </w:r>
      <w:r w:rsidR="00723863" w:rsidRPr="00AA0F6D">
        <w:t>commenced</w:t>
      </w:r>
      <w:r w:rsidR="000E0295" w:rsidRPr="00AA0F6D">
        <w:t xml:space="preserve"> during 2011, but </w:t>
      </w:r>
      <w:r w:rsidR="00833CD1" w:rsidRPr="00AA0F6D">
        <w:t>had not been completed</w:t>
      </w:r>
      <w:r w:rsidR="00723863" w:rsidRPr="00AA0F6D">
        <w:t xml:space="preserve"> for various reasons. </w:t>
      </w:r>
      <w:r w:rsidR="000803AF" w:rsidRPr="00AA0F6D">
        <w:t>The intention of the new owners appears to have been exactly the same as that of Mr Van Bergen and Otto</w:t>
      </w:r>
      <w:r w:rsidR="00C92754" w:rsidRPr="00AA0F6D">
        <w:t>, namely to subdivide and consolidate the land to enable Piggeries to own the portion of the immovable property on which its centre pivots encroached</w:t>
      </w:r>
      <w:r w:rsidR="00AE0E35" w:rsidRPr="00AA0F6D">
        <w:t xml:space="preserve"> (amounting to almost 80 hectares)</w:t>
      </w:r>
      <w:r w:rsidR="0076719B" w:rsidRPr="00AA0F6D">
        <w:t xml:space="preserve">, in exchange for the defendant </w:t>
      </w:r>
      <w:r w:rsidR="00D65424" w:rsidRPr="00AA0F6D">
        <w:t xml:space="preserve">obtaining </w:t>
      </w:r>
      <w:r w:rsidR="001C309E" w:rsidRPr="00AA0F6D">
        <w:t xml:space="preserve">the tongue of </w:t>
      </w:r>
      <w:r w:rsidR="00D65424" w:rsidRPr="00AA0F6D">
        <w:t xml:space="preserve">land </w:t>
      </w:r>
      <w:r w:rsidR="001C309E" w:rsidRPr="00AA0F6D">
        <w:t xml:space="preserve">owned </w:t>
      </w:r>
      <w:r w:rsidR="00AE227D" w:rsidRPr="00AA0F6D">
        <w:t xml:space="preserve">but not used </w:t>
      </w:r>
      <w:r w:rsidR="001C309E" w:rsidRPr="00AA0F6D">
        <w:t>by Piggeries</w:t>
      </w:r>
      <w:r w:rsidR="007870E3" w:rsidRPr="00AA0F6D">
        <w:t xml:space="preserve"> in the midst of the immovable property</w:t>
      </w:r>
      <w:r w:rsidR="00710290" w:rsidRPr="00AA0F6D">
        <w:t xml:space="preserve"> (amounting to approximately 20 hectares)</w:t>
      </w:r>
      <w:r w:rsidR="007870E3" w:rsidRPr="00AA0F6D">
        <w:t>.</w:t>
      </w:r>
    </w:p>
    <w:p w14:paraId="58D784B6" w14:textId="77777777" w:rsidR="007B0FEA" w:rsidRPr="00AA0F6D" w:rsidRDefault="007B0FEA" w:rsidP="00AA0F6D"/>
    <w:p w14:paraId="6C41DBEE" w14:textId="1A0BF4C3" w:rsidR="004D1904" w:rsidRPr="00AA0F6D" w:rsidRDefault="00A011F8" w:rsidP="00A011F8">
      <w:pPr>
        <w:autoSpaceDE w:val="0"/>
        <w:autoSpaceDN w:val="0"/>
        <w:adjustRightInd w:val="0"/>
        <w:jc w:val="both"/>
      </w:pPr>
      <w:r w:rsidRPr="00AA0F6D">
        <w:t>[25]</w:t>
      </w:r>
      <w:r w:rsidRPr="00AA0F6D">
        <w:tab/>
      </w:r>
      <w:r w:rsidR="0070389B" w:rsidRPr="00AA0F6D">
        <w:t xml:space="preserve">The crux of </w:t>
      </w:r>
      <w:r w:rsidR="009F3786" w:rsidRPr="00AA0F6D">
        <w:t xml:space="preserve">Mr </w:t>
      </w:r>
      <w:r w:rsidR="0070389B" w:rsidRPr="00AA0F6D">
        <w:t xml:space="preserve">Holliday’s evidence was that he purchased the immovable property in its entirety. According to the legal advice he received, this was the only possibility in the absence of </w:t>
      </w:r>
      <w:r w:rsidR="00CC7F6E" w:rsidRPr="00AA0F6D">
        <w:t xml:space="preserve">surveys of subdivisions and </w:t>
      </w:r>
      <w:r w:rsidR="00046D66" w:rsidRPr="00AA0F6D">
        <w:t>additional</w:t>
      </w:r>
      <w:r w:rsidR="00CC7F6E" w:rsidRPr="00AA0F6D">
        <w:t xml:space="preserve"> formalities</w:t>
      </w:r>
      <w:r w:rsidR="003811FA" w:rsidRPr="00AA0F6D">
        <w:t xml:space="preserve">. </w:t>
      </w:r>
      <w:r w:rsidR="00540F2D" w:rsidRPr="00AA0F6D">
        <w:t xml:space="preserve">He </w:t>
      </w:r>
      <w:r w:rsidR="00D11222" w:rsidRPr="00AA0F6D">
        <w:t>testified</w:t>
      </w:r>
      <w:r w:rsidR="009F3786" w:rsidRPr="00AA0F6D">
        <w:t xml:space="preserve">, during cross-examination, that </w:t>
      </w:r>
      <w:r w:rsidR="009339E1" w:rsidRPr="00AA0F6D">
        <w:t xml:space="preserve">the </w:t>
      </w:r>
      <w:r w:rsidR="008A005F" w:rsidRPr="00AA0F6D">
        <w:t xml:space="preserve">neighbour’s </w:t>
      </w:r>
      <w:r w:rsidR="009339E1" w:rsidRPr="00AA0F6D">
        <w:t xml:space="preserve">encroachment had occurred continuously since the defendant </w:t>
      </w:r>
      <w:r w:rsidR="00D1675E">
        <w:t>took</w:t>
      </w:r>
      <w:r w:rsidR="009339E1" w:rsidRPr="00AA0F6D">
        <w:t xml:space="preserve"> occupation of the immovable property.</w:t>
      </w:r>
      <w:r w:rsidR="003F1E28" w:rsidRPr="00AA0F6D">
        <w:t xml:space="preserve"> The effect was that a part of the property purchased was being farmed by someone other </w:t>
      </w:r>
      <w:r w:rsidR="00B81BBA" w:rsidRPr="00AA0F6D">
        <w:t xml:space="preserve">than </w:t>
      </w:r>
      <w:r w:rsidR="00377F75" w:rsidRPr="00AA0F6D">
        <w:t>the defendant from the time of purchase.</w:t>
      </w:r>
      <w:r w:rsidR="003B254C" w:rsidRPr="00AA0F6D">
        <w:t xml:space="preserve"> Mr Holliday’s attention </w:t>
      </w:r>
      <w:r w:rsidR="0007150E">
        <w:t>was</w:t>
      </w:r>
      <w:r w:rsidR="003B254C" w:rsidRPr="00AA0F6D">
        <w:t xml:space="preserve"> drawn to this with the inclusion of clause 24.5 in the final version of the deed of sale.</w:t>
      </w:r>
      <w:r w:rsidR="005069BA" w:rsidRPr="00AA0F6D">
        <w:t xml:space="preserve"> The portion that the defendant had occupied and farmed was that which had been shown to Mr Holliday by the farm manager on his first visit.</w:t>
      </w:r>
    </w:p>
    <w:p w14:paraId="1C17282D" w14:textId="77777777" w:rsidR="00770D12" w:rsidRPr="00AA0F6D" w:rsidRDefault="00770D12" w:rsidP="00AA0F6D"/>
    <w:p w14:paraId="5F10B294" w14:textId="4F27BD80" w:rsidR="007839D9" w:rsidRPr="00AA0F6D" w:rsidRDefault="00A011F8" w:rsidP="00A011F8">
      <w:pPr>
        <w:autoSpaceDE w:val="0"/>
        <w:autoSpaceDN w:val="0"/>
        <w:adjustRightInd w:val="0"/>
        <w:jc w:val="both"/>
      </w:pPr>
      <w:r w:rsidRPr="00AA0F6D">
        <w:t>[26]</w:t>
      </w:r>
      <w:r w:rsidRPr="00AA0F6D">
        <w:tab/>
      </w:r>
      <w:r w:rsidR="00770D12" w:rsidRPr="00AA0F6D">
        <w:t xml:space="preserve">In terms of the proposed subdivision, </w:t>
      </w:r>
      <w:r w:rsidR="00A419A8" w:rsidRPr="00AA0F6D">
        <w:t xml:space="preserve">Piggeries would receive </w:t>
      </w:r>
      <w:r w:rsidR="0079065B" w:rsidRPr="00AA0F6D">
        <w:t>more than</w:t>
      </w:r>
      <w:r w:rsidR="00A419A8" w:rsidRPr="00AA0F6D">
        <w:t xml:space="preserve"> 80</w:t>
      </w:r>
      <w:r w:rsidR="00181AE1" w:rsidRPr="00AA0F6D">
        <w:t> </w:t>
      </w:r>
      <w:r w:rsidR="00A419A8" w:rsidRPr="00AA0F6D">
        <w:t>hectares of land</w:t>
      </w:r>
      <w:r w:rsidR="00BF6BFC" w:rsidRPr="00AA0F6D">
        <w:t>, including centre pivots,</w:t>
      </w:r>
      <w:r w:rsidR="00A419A8" w:rsidRPr="00AA0F6D">
        <w:t xml:space="preserve"> in exchange for a portion of </w:t>
      </w:r>
      <w:r w:rsidR="00DC139F" w:rsidRPr="00AA0F6D">
        <w:t xml:space="preserve">only </w:t>
      </w:r>
      <w:r w:rsidR="00A419A8" w:rsidRPr="00AA0F6D">
        <w:t>20</w:t>
      </w:r>
      <w:r w:rsidR="00181AE1" w:rsidRPr="00AA0F6D">
        <w:t> </w:t>
      </w:r>
      <w:r w:rsidR="00A419A8" w:rsidRPr="00AA0F6D">
        <w:t>hectares</w:t>
      </w:r>
      <w:r w:rsidR="00DC139F" w:rsidRPr="00AA0F6D">
        <w:t xml:space="preserve"> without compensation.</w:t>
      </w:r>
      <w:r w:rsidR="00AB322D" w:rsidRPr="00AA0F6D">
        <w:t xml:space="preserve"> Mr Holliday explained that while the land to be </w:t>
      </w:r>
      <w:r w:rsidR="00AB322D" w:rsidRPr="00AA0F6D">
        <w:lastRenderedPageBreak/>
        <w:t>subdivided and effectively given away was not being farmed</w:t>
      </w:r>
      <w:r w:rsidR="00E45CDB" w:rsidRPr="00AA0F6D">
        <w:t xml:space="preserve"> or used</w:t>
      </w:r>
      <w:r w:rsidR="00AB322D" w:rsidRPr="00AA0F6D">
        <w:t xml:space="preserve"> by the defendant, they would have to sign the paperwork as owner. </w:t>
      </w:r>
      <w:r w:rsidR="00EA7014" w:rsidRPr="00AA0F6D">
        <w:t xml:space="preserve">In response to </w:t>
      </w:r>
      <w:r w:rsidR="00C64627" w:rsidRPr="00AA0F6D">
        <w:t>the</w:t>
      </w:r>
      <w:r w:rsidR="00EA7014" w:rsidRPr="00AA0F6D">
        <w:t xml:space="preserve"> proposition that this arrangement demonstrated a lack of intention to take ownership of the undivided portion, Mr Holliday indicated that it was explained to him that the defendant had to take ownership of the entire property, even if they </w:t>
      </w:r>
      <w:r w:rsidR="00360257" w:rsidRPr="00AA0F6D">
        <w:t>never</w:t>
      </w:r>
      <w:r w:rsidR="00EA7014" w:rsidRPr="00AA0F6D">
        <w:t xml:space="preserve"> occup</w:t>
      </w:r>
      <w:r w:rsidR="00360257" w:rsidRPr="00AA0F6D">
        <w:t>ied</w:t>
      </w:r>
      <w:r w:rsidR="00EA7014" w:rsidRPr="00AA0F6D">
        <w:t xml:space="preserve"> it.</w:t>
      </w:r>
      <w:r w:rsidR="00FD6D32" w:rsidRPr="00AA0F6D">
        <w:t xml:space="preserve"> While none of the rights of ownership had ever been exercised, this did not mean that the defendant’s intention was not to take ownership of the entire property.</w:t>
      </w:r>
      <w:r w:rsidR="0004554A" w:rsidRPr="00AA0F6D">
        <w:t xml:space="preserve"> </w:t>
      </w:r>
      <w:r w:rsidR="00CB7525" w:rsidRPr="00AA0F6D">
        <w:t>The occupational interest paid was, according to Mr Holliday’s understanding, in respect of the property bought, rather than the part occupied.</w:t>
      </w:r>
    </w:p>
    <w:p w14:paraId="7628B067" w14:textId="36AE51AB" w:rsidR="00F21E75" w:rsidRPr="00AA0F6D" w:rsidRDefault="00F21E75" w:rsidP="00AF7EB8"/>
    <w:p w14:paraId="587FD9FF" w14:textId="053CFC8D" w:rsidR="00AF7EB8" w:rsidRPr="00AA0F6D" w:rsidRDefault="00AF7EB8" w:rsidP="00AF7EB8">
      <w:pPr>
        <w:rPr>
          <w:b/>
          <w:bCs/>
        </w:rPr>
      </w:pPr>
      <w:r w:rsidRPr="00AA0F6D">
        <w:rPr>
          <w:b/>
          <w:bCs/>
        </w:rPr>
        <w:t>Analysis</w:t>
      </w:r>
    </w:p>
    <w:p w14:paraId="0FB161AD" w14:textId="3340FCC1" w:rsidR="00AF7EB8" w:rsidRPr="00AA0F6D" w:rsidRDefault="00AF7EB8" w:rsidP="00AF7EB8">
      <w:pPr>
        <w:rPr>
          <w:b/>
          <w:bCs/>
        </w:rPr>
      </w:pPr>
    </w:p>
    <w:p w14:paraId="5F2D376D" w14:textId="2E356B12" w:rsidR="00776F65" w:rsidRPr="00AA0F6D" w:rsidRDefault="00776F65" w:rsidP="00AF7EB8">
      <w:pPr>
        <w:rPr>
          <w:b/>
          <w:bCs/>
          <w:i/>
          <w:iCs/>
        </w:rPr>
      </w:pPr>
      <w:r w:rsidRPr="00AA0F6D">
        <w:rPr>
          <w:b/>
          <w:bCs/>
          <w:i/>
          <w:iCs/>
        </w:rPr>
        <w:t>The alternative claim</w:t>
      </w:r>
    </w:p>
    <w:p w14:paraId="525969CE" w14:textId="77777777" w:rsidR="00776F65" w:rsidRPr="00AA0F6D" w:rsidRDefault="00776F65" w:rsidP="00AF7EB8">
      <w:pPr>
        <w:rPr>
          <w:b/>
          <w:bCs/>
          <w:i/>
          <w:iCs/>
        </w:rPr>
      </w:pPr>
    </w:p>
    <w:p w14:paraId="58885498" w14:textId="5C87C005" w:rsidR="00E8137E" w:rsidRPr="00AA0F6D" w:rsidRDefault="00A011F8" w:rsidP="00A011F8">
      <w:pPr>
        <w:autoSpaceDE w:val="0"/>
        <w:autoSpaceDN w:val="0"/>
        <w:adjustRightInd w:val="0"/>
        <w:jc w:val="both"/>
      </w:pPr>
      <w:r w:rsidRPr="00AA0F6D">
        <w:t>[27]</w:t>
      </w:r>
      <w:r w:rsidRPr="00AA0F6D">
        <w:tab/>
      </w:r>
      <w:r w:rsidR="00361923" w:rsidRPr="00AA0F6D">
        <w:t xml:space="preserve">It is convenient to deal with the alternative </w:t>
      </w:r>
      <w:r w:rsidR="00466079" w:rsidRPr="00AA0F6D">
        <w:t>claim</w:t>
      </w:r>
      <w:r w:rsidR="00955742">
        <w:t xml:space="preserve"> first - namely</w:t>
      </w:r>
      <w:r w:rsidR="003B7471" w:rsidRPr="00AA0F6D">
        <w:t xml:space="preserve"> that </w:t>
      </w:r>
      <w:r w:rsidR="00292A42" w:rsidRPr="00AA0F6D">
        <w:t xml:space="preserve">ownership never passed on registration of transfer based on absence of </w:t>
      </w:r>
      <w:r w:rsidR="004429F0" w:rsidRPr="00AA0F6D">
        <w:t>intention.</w:t>
      </w:r>
      <w:r w:rsidR="002A38A7" w:rsidRPr="00AA0F6D">
        <w:rPr>
          <w:rStyle w:val="FootnoteReference"/>
        </w:rPr>
        <w:footnoteReference w:id="9"/>
      </w:r>
      <w:r w:rsidR="004429F0" w:rsidRPr="00AA0F6D">
        <w:t xml:space="preserve"> </w:t>
      </w:r>
      <w:r w:rsidR="00DC0F56" w:rsidRPr="00AA0F6D">
        <w:t>The core issue raised is whether the plaintiff had the intention to transfer ownership of the immovable property, as a whole, and whether the defendant intended to receive such ownership.</w:t>
      </w:r>
      <w:r w:rsidR="0029003C" w:rsidRPr="00AA0F6D">
        <w:rPr>
          <w:rStyle w:val="FootnoteReference"/>
        </w:rPr>
        <w:footnoteReference w:id="10"/>
      </w:r>
    </w:p>
    <w:p w14:paraId="18222909" w14:textId="77777777" w:rsidR="00E8137E" w:rsidRPr="00AA0F6D" w:rsidRDefault="00E8137E" w:rsidP="00E8137E">
      <w:pPr>
        <w:pStyle w:val="ListParagraph"/>
        <w:autoSpaceDE w:val="0"/>
        <w:autoSpaceDN w:val="0"/>
        <w:adjustRightInd w:val="0"/>
        <w:ind w:left="0"/>
        <w:jc w:val="both"/>
      </w:pPr>
    </w:p>
    <w:p w14:paraId="4CD2EFB7" w14:textId="722A079C" w:rsidR="005A030F" w:rsidRPr="00AA0F6D" w:rsidRDefault="00A011F8" w:rsidP="00A011F8">
      <w:pPr>
        <w:autoSpaceDE w:val="0"/>
        <w:autoSpaceDN w:val="0"/>
        <w:adjustRightInd w:val="0"/>
        <w:jc w:val="both"/>
      </w:pPr>
      <w:r w:rsidRPr="00AA0F6D">
        <w:t>[28]</w:t>
      </w:r>
      <w:r w:rsidRPr="00AA0F6D">
        <w:tab/>
      </w:r>
      <w:r w:rsidR="00AA228B" w:rsidRPr="00AA0F6D">
        <w:t>One of the essential elements of transfer of real rights by registration is that the transferor must have the intention to transfer the land or rights to it, and the transferee must have the intention to receive transfer of it.</w:t>
      </w:r>
      <w:r w:rsidR="00C948BE" w:rsidRPr="00AA0F6D">
        <w:rPr>
          <w:rStyle w:val="FootnoteReference"/>
        </w:rPr>
        <w:footnoteReference w:id="11"/>
      </w:r>
      <w:r w:rsidR="00AA228B" w:rsidRPr="00AA0F6D">
        <w:t xml:space="preserve"> </w:t>
      </w:r>
      <w:r w:rsidR="00C44A66" w:rsidRPr="00AA0F6D">
        <w:t>Consensus between the parties is required</w:t>
      </w:r>
      <w:r w:rsidR="006B7767" w:rsidRPr="00AA0F6D">
        <w:t>, with reference to</w:t>
      </w:r>
      <w:r w:rsidR="004718E1" w:rsidRPr="00AA0F6D">
        <w:t xml:space="preserve"> the so-called ‘real agreement’</w:t>
      </w:r>
      <w:r w:rsidR="00F60AFA" w:rsidRPr="00AA0F6D">
        <w:t xml:space="preserve"> to pass ownership</w:t>
      </w:r>
      <w:r w:rsidR="002E02FB" w:rsidRPr="00AA0F6D">
        <w:t>.</w:t>
      </w:r>
      <w:r w:rsidR="00E32F50" w:rsidRPr="00AA0F6D">
        <w:rPr>
          <w:rStyle w:val="FootnoteReference"/>
        </w:rPr>
        <w:footnoteReference w:id="12"/>
      </w:r>
      <w:r w:rsidR="005710BD" w:rsidRPr="00AA0F6D">
        <w:t xml:space="preserve"> Broadly speaking, the principles applicable to agreements in general also apply to real agreements.</w:t>
      </w:r>
      <w:r w:rsidR="00870489" w:rsidRPr="00AA0F6D">
        <w:rPr>
          <w:rStyle w:val="FootnoteReference"/>
        </w:rPr>
        <w:footnoteReference w:id="13"/>
      </w:r>
    </w:p>
    <w:p w14:paraId="53431439" w14:textId="77777777" w:rsidR="005A030F" w:rsidRPr="00AA0F6D" w:rsidRDefault="005A030F" w:rsidP="00AA0F6D"/>
    <w:p w14:paraId="7C8E1162" w14:textId="50C4D496" w:rsidR="005A030F" w:rsidRPr="00AA0F6D" w:rsidRDefault="00A011F8" w:rsidP="00A011F8">
      <w:pPr>
        <w:autoSpaceDE w:val="0"/>
        <w:autoSpaceDN w:val="0"/>
        <w:adjustRightInd w:val="0"/>
        <w:jc w:val="both"/>
      </w:pPr>
      <w:r w:rsidRPr="00AA0F6D">
        <w:t>[29]</w:t>
      </w:r>
      <w:r w:rsidRPr="00AA0F6D">
        <w:tab/>
      </w:r>
      <w:r w:rsidR="00E25ADA" w:rsidRPr="00AA0F6D">
        <w:t xml:space="preserve">Under the </w:t>
      </w:r>
      <w:r w:rsidR="00144140" w:rsidRPr="00AA0F6D">
        <w:t xml:space="preserve">applicable </w:t>
      </w:r>
      <w:r w:rsidR="00E25ADA" w:rsidRPr="00AA0F6D">
        <w:t>abstract system of transfer</w:t>
      </w:r>
      <w:r w:rsidR="0075381F" w:rsidRPr="00AA0F6D">
        <w:t xml:space="preserve"> of</w:t>
      </w:r>
      <w:r w:rsidR="00E84595" w:rsidRPr="00AA0F6D">
        <w:t xml:space="preserve"> ownership of</w:t>
      </w:r>
      <w:r w:rsidR="0075381F" w:rsidRPr="00AA0F6D">
        <w:t xml:space="preserve"> immovable property, </w:t>
      </w:r>
      <w:r w:rsidR="00E25ADA" w:rsidRPr="00AA0F6D">
        <w:t>the passing of ownership is wholly abstracted from the agreement giving rise to the transfer</w:t>
      </w:r>
      <w:r w:rsidR="009242CB" w:rsidRPr="00AA0F6D">
        <w:t xml:space="preserve"> (in this case, the deed of sale)</w:t>
      </w:r>
      <w:r w:rsidR="00E25ADA" w:rsidRPr="00AA0F6D">
        <w:t>, irrespective of whether the latter agreement is void, voidable, putative or fictional.</w:t>
      </w:r>
      <w:r w:rsidR="0022418D" w:rsidRPr="00AA0F6D">
        <w:rPr>
          <w:rStyle w:val="FootnoteReference"/>
        </w:rPr>
        <w:footnoteReference w:id="14"/>
      </w:r>
      <w:r w:rsidR="005A030F" w:rsidRPr="00AA0F6D">
        <w:t xml:space="preserve"> </w:t>
      </w:r>
      <w:r w:rsidR="00E50658" w:rsidRPr="00AA0F6D">
        <w:t>A clear distinction is drawn between the contractual agreement creating the obligation to transfer and the real agreement by which the parties agree to pass ownership. Significantly, the invalidity of the contractual agreement does not affect the validity of the real agreement.</w:t>
      </w:r>
      <w:r w:rsidR="00552CE8" w:rsidRPr="00AA0F6D">
        <w:rPr>
          <w:rStyle w:val="FootnoteReference"/>
        </w:rPr>
        <w:footnoteReference w:id="15"/>
      </w:r>
      <w:r w:rsidR="0069408D" w:rsidRPr="00AA0F6D">
        <w:t xml:space="preserve"> The importance of this is clear when considering the position of an innocent third party relying in good faith on the records in the Deeds Office: voidness of a contract of sale that was the cause for registering the land in the name of the transferee would be immaterial.</w:t>
      </w:r>
      <w:r w:rsidR="005A2601" w:rsidRPr="00AA0F6D">
        <w:rPr>
          <w:rStyle w:val="FootnoteReference"/>
        </w:rPr>
        <w:footnoteReference w:id="16"/>
      </w:r>
    </w:p>
    <w:p w14:paraId="713DDF0D" w14:textId="77777777" w:rsidR="005A030F" w:rsidRPr="00AA0F6D" w:rsidRDefault="005A030F" w:rsidP="00AA0F6D"/>
    <w:p w14:paraId="45FB45BD" w14:textId="657661E6" w:rsidR="00B2048E" w:rsidRPr="00AA0F6D" w:rsidRDefault="00A011F8" w:rsidP="00A011F8">
      <w:pPr>
        <w:autoSpaceDE w:val="0"/>
        <w:autoSpaceDN w:val="0"/>
        <w:adjustRightInd w:val="0"/>
        <w:jc w:val="both"/>
      </w:pPr>
      <w:r w:rsidRPr="00AA0F6D">
        <w:t>[30]</w:t>
      </w:r>
      <w:r w:rsidRPr="00AA0F6D">
        <w:tab/>
      </w:r>
      <w:r w:rsidR="005A030F" w:rsidRPr="00AA0F6D">
        <w:t>In the context of registration of land, the intention to transfer is usually apparent from the power of attorney granted to the conveyancer to effect transfer and registration in the name of the transferee.</w:t>
      </w:r>
      <w:r w:rsidR="005A030F" w:rsidRPr="00AA0F6D">
        <w:rPr>
          <w:rStyle w:val="FootnoteReference"/>
        </w:rPr>
        <w:footnoteReference w:id="17"/>
      </w:r>
      <w:r w:rsidR="0018360E" w:rsidRPr="00AA0F6D">
        <w:t xml:space="preserve"> </w:t>
      </w:r>
      <w:r w:rsidR="00263AA3" w:rsidRPr="00AA0F6D">
        <w:t xml:space="preserve">The </w:t>
      </w:r>
      <w:r w:rsidR="00D430BA" w:rsidRPr="00AA0F6D">
        <w:t>P</w:t>
      </w:r>
      <w:r w:rsidR="00263AA3" w:rsidRPr="00AA0F6D">
        <w:t xml:space="preserve">ower of </w:t>
      </w:r>
      <w:r w:rsidR="00D430BA" w:rsidRPr="00AA0F6D">
        <w:t>A</w:t>
      </w:r>
      <w:r w:rsidR="00263AA3" w:rsidRPr="00AA0F6D">
        <w:t xml:space="preserve">ttorney </w:t>
      </w:r>
      <w:r w:rsidR="00D430BA" w:rsidRPr="00AA0F6D">
        <w:t>to Transfer</w:t>
      </w:r>
      <w:r w:rsidR="007B3992" w:rsidRPr="00AA0F6D">
        <w:t>,</w:t>
      </w:r>
      <w:r w:rsidR="00D430BA" w:rsidRPr="00AA0F6D">
        <w:t xml:space="preserve"> </w:t>
      </w:r>
      <w:r w:rsidR="00263AA3" w:rsidRPr="00AA0F6D">
        <w:t xml:space="preserve">granted by Mr Van Bergen in favour of his attorney </w:t>
      </w:r>
      <w:r w:rsidR="00DC6E7B" w:rsidRPr="00AA0F6D">
        <w:t>on 24 December 2007</w:t>
      </w:r>
      <w:r w:rsidR="007B3992" w:rsidRPr="00AA0F6D">
        <w:t>,</w:t>
      </w:r>
      <w:r w:rsidR="00DC6E7B" w:rsidRPr="00AA0F6D">
        <w:t xml:space="preserve"> </w:t>
      </w:r>
      <w:r w:rsidR="00263AA3" w:rsidRPr="00AA0F6D">
        <w:t xml:space="preserve">reflects a clear intention to transfer the immovable property in its full extent. </w:t>
      </w:r>
      <w:r w:rsidR="00F45A29" w:rsidRPr="00AA0F6D">
        <w:t xml:space="preserve">The </w:t>
      </w:r>
      <w:r w:rsidR="00665EB5" w:rsidRPr="00AA0F6D">
        <w:t>D</w:t>
      </w:r>
      <w:r w:rsidR="00F45A29" w:rsidRPr="00AA0F6D">
        <w:t xml:space="preserve">eed of </w:t>
      </w:r>
      <w:r w:rsidR="00665EB5" w:rsidRPr="00AA0F6D">
        <w:t>T</w:t>
      </w:r>
      <w:r w:rsidR="00F45A29" w:rsidRPr="00AA0F6D">
        <w:t>ransfer</w:t>
      </w:r>
      <w:r w:rsidR="005463BA" w:rsidRPr="00AA0F6D">
        <w:t xml:space="preserve">, dated 11 April 2008, </w:t>
      </w:r>
      <w:r w:rsidR="0048236E" w:rsidRPr="00AA0F6D">
        <w:t xml:space="preserve">refers to that power of attorney and </w:t>
      </w:r>
      <w:r w:rsidR="007B3992" w:rsidRPr="00AA0F6D">
        <w:t>confirms</w:t>
      </w:r>
      <w:r w:rsidR="00F45A29" w:rsidRPr="00AA0F6D">
        <w:t xml:space="preserve"> the plaintiff’s intention to sell and transfer the immovable property</w:t>
      </w:r>
      <w:r w:rsidR="00B753A6" w:rsidRPr="00AA0F6D">
        <w:t xml:space="preserve"> ‘full and free’.</w:t>
      </w:r>
      <w:r w:rsidR="00323477" w:rsidRPr="00AA0F6D">
        <w:t xml:space="preserve"> </w:t>
      </w:r>
      <w:r w:rsidR="00953E9C" w:rsidRPr="00AA0F6D">
        <w:t>As with the power of attorney, t</w:t>
      </w:r>
      <w:r w:rsidR="00323477" w:rsidRPr="00AA0F6D">
        <w:t xml:space="preserve">he extent is </w:t>
      </w:r>
      <w:r w:rsidR="003F0A9B" w:rsidRPr="00AA0F6D">
        <w:t xml:space="preserve">expressly </w:t>
      </w:r>
      <w:r w:rsidR="00323477" w:rsidRPr="00AA0F6D">
        <w:t>confirmed to be 552,0256 hectares</w:t>
      </w:r>
      <w:r w:rsidR="006573F7" w:rsidRPr="00AA0F6D">
        <w:t xml:space="preserve"> (</w:t>
      </w:r>
      <w:r w:rsidR="00BD214A" w:rsidRPr="00AA0F6D">
        <w:t>that is,</w:t>
      </w:r>
      <w:r w:rsidR="006573F7" w:rsidRPr="00AA0F6D">
        <w:t xml:space="preserve"> the full extent)</w:t>
      </w:r>
      <w:r w:rsidR="00AE3DA1" w:rsidRPr="00AA0F6D">
        <w:t>. T</w:t>
      </w:r>
      <w:r w:rsidR="00323477" w:rsidRPr="00AA0F6D">
        <w:t xml:space="preserve">he plaintiff renounced ‘all the right and title’ which it had previously had to the property. The Deed of Transfer confirms that the plaintiff acknowledged that it was ‘entirely dispossessed of, and disentitled to’ the immovable property against payment </w:t>
      </w:r>
      <w:r w:rsidR="00323477" w:rsidRPr="00AA0F6D">
        <w:lastRenderedPageBreak/>
        <w:t>of the purchase price.</w:t>
      </w:r>
      <w:r w:rsidR="0073074B" w:rsidRPr="00AA0F6D">
        <w:t xml:space="preserve"> </w:t>
      </w:r>
      <w:r w:rsidR="00E236B2" w:rsidRPr="00AA0F6D">
        <w:t>The Deed of Transfer further referenced the deed of sale, signed by Mr Holliday on 19 November 2007, as the basis for the sale of the immovable property.</w:t>
      </w:r>
    </w:p>
    <w:p w14:paraId="53AF3F72" w14:textId="77777777" w:rsidR="00B2048E" w:rsidRPr="00AA0F6D" w:rsidRDefault="00B2048E" w:rsidP="00AA0F6D"/>
    <w:p w14:paraId="660558B3" w14:textId="3621B031" w:rsidR="00F21E75" w:rsidRPr="00AA0F6D" w:rsidRDefault="00A011F8" w:rsidP="00A011F8">
      <w:pPr>
        <w:autoSpaceDE w:val="0"/>
        <w:autoSpaceDN w:val="0"/>
        <w:adjustRightInd w:val="0"/>
        <w:jc w:val="both"/>
      </w:pPr>
      <w:r w:rsidRPr="00AA0F6D">
        <w:t>[31]</w:t>
      </w:r>
      <w:r w:rsidRPr="00AA0F6D">
        <w:tab/>
      </w:r>
      <w:r w:rsidR="0073074B" w:rsidRPr="00AA0F6D">
        <w:t xml:space="preserve">The effect of </w:t>
      </w:r>
      <w:r w:rsidR="002A763B" w:rsidRPr="00AA0F6D">
        <w:t xml:space="preserve">the </w:t>
      </w:r>
      <w:r w:rsidR="0073074B" w:rsidRPr="00AA0F6D">
        <w:t>exp</w:t>
      </w:r>
      <w:r w:rsidR="00277411" w:rsidRPr="00AA0F6D">
        <w:t>ress declaration</w:t>
      </w:r>
      <w:r w:rsidR="002A763B" w:rsidRPr="00AA0F6D">
        <w:t xml:space="preserve"> contained in the Deed of Transfer</w:t>
      </w:r>
      <w:r w:rsidR="00277411" w:rsidRPr="00AA0F6D">
        <w:t xml:space="preserve">, coupled with the fact of the transfer, has been </w:t>
      </w:r>
      <w:r w:rsidR="00EA200B" w:rsidRPr="00AA0F6D">
        <w:t>emphasised</w:t>
      </w:r>
      <w:r w:rsidR="00277411" w:rsidRPr="00AA0F6D">
        <w:t xml:space="preserve"> in </w:t>
      </w:r>
      <w:r w:rsidR="00277411" w:rsidRPr="00A011F8">
        <w:rPr>
          <w:i/>
          <w:iCs/>
        </w:rPr>
        <w:t>Gardens Estate Ltd v Lewis</w:t>
      </w:r>
      <w:r w:rsidR="00EA200B" w:rsidRPr="00AA0F6D">
        <w:t>.</w:t>
      </w:r>
      <w:r w:rsidR="00277411" w:rsidRPr="00AA0F6D">
        <w:rPr>
          <w:rStyle w:val="FootnoteReference"/>
        </w:rPr>
        <w:footnoteReference w:id="18"/>
      </w:r>
      <w:r w:rsidR="00CF0412" w:rsidRPr="00AA0F6D">
        <w:t xml:space="preserve"> Prima facie, </w:t>
      </w:r>
      <w:r w:rsidR="0048236E" w:rsidRPr="00AA0F6D">
        <w:t xml:space="preserve">the plaintiff was divested </w:t>
      </w:r>
      <w:r w:rsidR="008051F9" w:rsidRPr="00AA0F6D">
        <w:t>of the dominium of the immovable property</w:t>
      </w:r>
      <w:r w:rsidR="00C37C39" w:rsidRPr="00AA0F6D">
        <w:t>.</w:t>
      </w:r>
      <w:r w:rsidR="00B70A99" w:rsidRPr="00AA0F6D">
        <w:rPr>
          <w:rStyle w:val="FootnoteReference"/>
        </w:rPr>
        <w:footnoteReference w:id="19"/>
      </w:r>
      <w:r w:rsidR="000F2D1C" w:rsidRPr="00AA0F6D">
        <w:t xml:space="preserve"> This is b</w:t>
      </w:r>
      <w:r w:rsidR="00EA7D9D" w:rsidRPr="00AA0F6D">
        <w:t xml:space="preserve">ecause of the ‘clear inference’ </w:t>
      </w:r>
      <w:r w:rsidR="0038271E" w:rsidRPr="00AA0F6D">
        <w:t xml:space="preserve">to be drawn from the plaintiff’s agent’s declaration </w:t>
      </w:r>
      <w:r w:rsidR="005E700A" w:rsidRPr="00AA0F6D">
        <w:t xml:space="preserve">that the </w:t>
      </w:r>
      <w:r w:rsidR="00442C91" w:rsidRPr="00AA0F6D">
        <w:t xml:space="preserve">immovable property in its entirety </w:t>
      </w:r>
      <w:r w:rsidR="0056487C" w:rsidRPr="00AA0F6D">
        <w:t>had been sold, coupled with the actual transfer of the immovable property</w:t>
      </w:r>
      <w:r w:rsidR="00BD60E8" w:rsidRPr="00AA0F6D">
        <w:t>.</w:t>
      </w:r>
      <w:r w:rsidR="00C5287F" w:rsidRPr="00AA0F6D">
        <w:rPr>
          <w:rStyle w:val="FootnoteReference"/>
        </w:rPr>
        <w:footnoteReference w:id="20"/>
      </w:r>
      <w:r w:rsidR="00663031" w:rsidRPr="00AA0F6D">
        <w:t xml:space="preserve"> The purchaser obtained transfer of the immovable property</w:t>
      </w:r>
      <w:r w:rsidR="00824D6B" w:rsidRPr="00AA0F6D">
        <w:t>. Had</w:t>
      </w:r>
      <w:r w:rsidR="00663031" w:rsidRPr="00AA0F6D">
        <w:t xml:space="preserve"> the intention been to retain the dominium of </w:t>
      </w:r>
      <w:r w:rsidR="00D55693" w:rsidRPr="00AA0F6D">
        <w:t>a portion of the immovable property</w:t>
      </w:r>
      <w:r w:rsidR="00E611B1" w:rsidRPr="00AA0F6D">
        <w:t xml:space="preserve">, </w:t>
      </w:r>
      <w:r w:rsidR="00D40CE0" w:rsidRPr="00AA0F6D">
        <w:t xml:space="preserve">the plaintiff </w:t>
      </w:r>
      <w:r w:rsidR="00537A77" w:rsidRPr="00AA0F6D">
        <w:t>should</w:t>
      </w:r>
      <w:r w:rsidR="001A3AE4" w:rsidRPr="00AA0F6D">
        <w:t xml:space="preserve"> not</w:t>
      </w:r>
      <w:r w:rsidR="00D40CE0" w:rsidRPr="00AA0F6D">
        <w:t xml:space="preserve"> have passed transfer of the whole.</w:t>
      </w:r>
      <w:r w:rsidR="002A19C0" w:rsidRPr="00AA0F6D">
        <w:rPr>
          <w:rStyle w:val="FootnoteReference"/>
        </w:rPr>
        <w:footnoteReference w:id="21"/>
      </w:r>
    </w:p>
    <w:p w14:paraId="3DB31A06" w14:textId="77777777" w:rsidR="004E490D" w:rsidRPr="00AA0F6D" w:rsidRDefault="004E490D" w:rsidP="004E490D">
      <w:pPr>
        <w:pStyle w:val="ListParagraph"/>
        <w:autoSpaceDE w:val="0"/>
        <w:autoSpaceDN w:val="0"/>
        <w:adjustRightInd w:val="0"/>
        <w:ind w:left="0"/>
        <w:jc w:val="both"/>
      </w:pPr>
    </w:p>
    <w:p w14:paraId="36702559" w14:textId="10F42022" w:rsidR="00A3010F" w:rsidRPr="00AA0F6D" w:rsidRDefault="00A011F8" w:rsidP="00A011F8">
      <w:pPr>
        <w:autoSpaceDE w:val="0"/>
        <w:autoSpaceDN w:val="0"/>
        <w:adjustRightInd w:val="0"/>
        <w:jc w:val="both"/>
      </w:pPr>
      <w:r w:rsidRPr="00AA0F6D">
        <w:t>[32]</w:t>
      </w:r>
      <w:r w:rsidRPr="00AA0F6D">
        <w:tab/>
      </w:r>
      <w:r w:rsidR="00CB5C01" w:rsidRPr="00AA0F6D">
        <w:t>Leaving aside the wording of the power of attorney and Deed of Transfer, r</w:t>
      </w:r>
      <w:r w:rsidR="00127BB4" w:rsidRPr="00AA0F6D">
        <w:t>eal agreement to pass ownership of the immovable property is also readily apparent from the evidence</w:t>
      </w:r>
      <w:r w:rsidR="001125AD" w:rsidRPr="00AA0F6D">
        <w:t xml:space="preserve"> led by both parties. </w:t>
      </w:r>
      <w:r w:rsidR="00B24DFB" w:rsidRPr="00AA0F6D">
        <w:t xml:space="preserve">It will be recalled that Mr Van Bergen and Otto’s original intention was to exchange pieces of land and for </w:t>
      </w:r>
      <w:r w:rsidR="005C634B" w:rsidRPr="00AA0F6D">
        <w:t>that</w:t>
      </w:r>
      <w:r w:rsidR="00B24DFB" w:rsidRPr="00AA0F6D">
        <w:t xml:space="preserve"> sale to exclude </w:t>
      </w:r>
      <w:r w:rsidR="000C7620" w:rsidRPr="00AA0F6D">
        <w:t xml:space="preserve">the portions to be retained by Otto. </w:t>
      </w:r>
      <w:r w:rsidR="006076FD" w:rsidRPr="00AA0F6D">
        <w:t xml:space="preserve">An agreement couched in those terms had been </w:t>
      </w:r>
      <w:r w:rsidR="00B278FC" w:rsidRPr="00AA0F6D">
        <w:t xml:space="preserve">removed from their contract of sale and </w:t>
      </w:r>
      <w:r w:rsidR="00836944" w:rsidRPr="00AA0F6D">
        <w:t>addressed separately</w:t>
      </w:r>
      <w:r w:rsidR="006076FD" w:rsidRPr="00AA0F6D">
        <w:t xml:space="preserve"> precisely because of </w:t>
      </w:r>
      <w:r w:rsidR="009358E0" w:rsidRPr="00AA0F6D">
        <w:t>the provisions of the Act.</w:t>
      </w:r>
      <w:r w:rsidR="00A853CE" w:rsidRPr="00AA0F6D">
        <w:t xml:space="preserve"> </w:t>
      </w:r>
      <w:r w:rsidR="00AE1961" w:rsidRPr="00AA0F6D">
        <w:t>B</w:t>
      </w:r>
      <w:r w:rsidR="0080296A" w:rsidRPr="00AA0F6D">
        <w:t xml:space="preserve">ased on the legal advice obtained, </w:t>
      </w:r>
      <w:r w:rsidR="00A853CE" w:rsidRPr="00AA0F6D">
        <w:t xml:space="preserve">the plaintiff </w:t>
      </w:r>
      <w:r w:rsidR="00357798">
        <w:t>was</w:t>
      </w:r>
      <w:r w:rsidR="006E4D6B" w:rsidRPr="00AA0F6D">
        <w:t xml:space="preserve"> </w:t>
      </w:r>
      <w:r w:rsidR="005700B8" w:rsidRPr="00AA0F6D">
        <w:t>content</w:t>
      </w:r>
      <w:r w:rsidR="006E4D6B" w:rsidRPr="00AA0F6D">
        <w:t xml:space="preserve"> to purchase</w:t>
      </w:r>
      <w:r w:rsidR="00A853CE" w:rsidRPr="00AA0F6D">
        <w:t xml:space="preserve"> the immovable property as a whole</w:t>
      </w:r>
      <w:r w:rsidR="00F33DA0" w:rsidRPr="00AA0F6D">
        <w:t xml:space="preserve"> during 2004</w:t>
      </w:r>
      <w:r w:rsidR="005B1CD9" w:rsidRPr="00AA0F6D">
        <w:t>, while Otto continued to farm portions of that property</w:t>
      </w:r>
      <w:r w:rsidR="004F0176" w:rsidRPr="00AA0F6D">
        <w:t xml:space="preserve"> as if it </w:t>
      </w:r>
      <w:r w:rsidR="00EE20A8" w:rsidRPr="00AA0F6D">
        <w:t>were his own.</w:t>
      </w:r>
    </w:p>
    <w:p w14:paraId="0755A346" w14:textId="77777777" w:rsidR="00A3010F" w:rsidRPr="00AA0F6D" w:rsidRDefault="00A3010F" w:rsidP="00AA0F6D"/>
    <w:p w14:paraId="5FAA96F4" w14:textId="4B189B1F" w:rsidR="0083257F" w:rsidRPr="00AA0F6D" w:rsidRDefault="00A011F8" w:rsidP="00A011F8">
      <w:pPr>
        <w:autoSpaceDE w:val="0"/>
        <w:autoSpaceDN w:val="0"/>
        <w:adjustRightInd w:val="0"/>
        <w:jc w:val="both"/>
      </w:pPr>
      <w:r w:rsidRPr="00AA0F6D">
        <w:t>[33]</w:t>
      </w:r>
      <w:r w:rsidRPr="00AA0F6D">
        <w:tab/>
      </w:r>
      <w:r w:rsidR="00B80C3D" w:rsidRPr="00AA0F6D">
        <w:t xml:space="preserve">The subsequent memorandum of agreement entered into between Otto and the plaintiff reflects their intention to transfer or exchange </w:t>
      </w:r>
      <w:r w:rsidR="007D2DCD" w:rsidRPr="00AA0F6D">
        <w:t>certain pieces of land to one another</w:t>
      </w:r>
      <w:r w:rsidR="002E7F55" w:rsidRPr="00AA0F6D">
        <w:t xml:space="preserve"> </w:t>
      </w:r>
      <w:r w:rsidR="009B47C7" w:rsidRPr="00AA0F6D">
        <w:t>without any compensation payable.</w:t>
      </w:r>
      <w:r w:rsidR="0083257F" w:rsidRPr="00AA0F6D">
        <w:t xml:space="preserve"> </w:t>
      </w:r>
      <w:r w:rsidR="00AA23E8" w:rsidRPr="00AA0F6D">
        <w:t>Mr Van Bergen confirmed during cross</w:t>
      </w:r>
      <w:r w:rsidR="00497FDD" w:rsidRPr="00AA0F6D">
        <w:noBreakHyphen/>
      </w:r>
      <w:r w:rsidR="00AA23E8" w:rsidRPr="00AA0F6D">
        <w:t xml:space="preserve">examination that, despite this issue, he had purchased the </w:t>
      </w:r>
      <w:r w:rsidR="005249E3" w:rsidRPr="00AA0F6D">
        <w:t xml:space="preserve">immovable property </w:t>
      </w:r>
      <w:r w:rsidR="005249E3" w:rsidRPr="00AA0F6D">
        <w:lastRenderedPageBreak/>
        <w:t xml:space="preserve">as a whole, </w:t>
      </w:r>
      <w:r w:rsidR="00E54BCA" w:rsidRPr="00AA0F6D">
        <w:t xml:space="preserve">satisfied that the resolution of boundaries could be </w:t>
      </w:r>
      <w:r w:rsidR="00BD1E37" w:rsidRPr="00AA0F6D">
        <w:t>addressed separately and subsequently.</w:t>
      </w:r>
    </w:p>
    <w:p w14:paraId="2E6DF811" w14:textId="77777777" w:rsidR="0083257F" w:rsidRPr="00AA0F6D" w:rsidRDefault="0083257F" w:rsidP="00AA0F6D"/>
    <w:p w14:paraId="531D7495" w14:textId="0452EB3B" w:rsidR="004E490D" w:rsidRPr="00AA0F6D" w:rsidRDefault="00A011F8" w:rsidP="00A011F8">
      <w:pPr>
        <w:autoSpaceDE w:val="0"/>
        <w:autoSpaceDN w:val="0"/>
        <w:adjustRightInd w:val="0"/>
        <w:jc w:val="both"/>
      </w:pPr>
      <w:r w:rsidRPr="00AA0F6D">
        <w:t>[34]</w:t>
      </w:r>
      <w:r w:rsidRPr="00AA0F6D">
        <w:tab/>
      </w:r>
      <w:r w:rsidR="00DB4A59" w:rsidRPr="00AA0F6D">
        <w:t xml:space="preserve">It is evident that </w:t>
      </w:r>
      <w:r w:rsidR="00C57955" w:rsidRPr="00AA0F6D">
        <w:t>the same</w:t>
      </w:r>
      <w:r w:rsidR="00DB4A59" w:rsidRPr="00AA0F6D">
        <w:t xml:space="preserve"> approach </w:t>
      </w:r>
      <w:r w:rsidR="00C57955" w:rsidRPr="00AA0F6D">
        <w:t xml:space="preserve">was adopted in his dealings with the defendant. </w:t>
      </w:r>
      <w:r w:rsidR="00C645EE" w:rsidRPr="00AA0F6D">
        <w:t xml:space="preserve">He testified honestly that </w:t>
      </w:r>
      <w:r w:rsidR="005F3C13" w:rsidRPr="00AA0F6D">
        <w:t xml:space="preserve">he had knowingly </w:t>
      </w:r>
      <w:r w:rsidR="00324FAF" w:rsidRPr="00AA0F6D">
        <w:t>given power of attorney for the sale of the immovable property in its entirety</w:t>
      </w:r>
      <w:r w:rsidR="00E61A74" w:rsidRPr="00AA0F6D">
        <w:t xml:space="preserve">, and proceeded with that sale. Rather than </w:t>
      </w:r>
      <w:r w:rsidR="00E83659" w:rsidRPr="00AA0F6D">
        <w:t>making</w:t>
      </w:r>
      <w:r w:rsidR="00E61A74" w:rsidRPr="00AA0F6D">
        <w:t xml:space="preserve"> reservation </w:t>
      </w:r>
      <w:r w:rsidR="00E83659" w:rsidRPr="00AA0F6D">
        <w:t xml:space="preserve">for the </w:t>
      </w:r>
      <w:r w:rsidR="00EA317F" w:rsidRPr="00AA0F6D">
        <w:t xml:space="preserve">portions being farmed by Otto, or Otto’s successors, </w:t>
      </w:r>
      <w:r w:rsidR="003A38A5" w:rsidRPr="00AA0F6D">
        <w:t xml:space="preserve">the </w:t>
      </w:r>
      <w:r w:rsidR="00E11D80" w:rsidRPr="00AA0F6D">
        <w:t>predominant</w:t>
      </w:r>
      <w:r w:rsidR="00D21601" w:rsidRPr="00AA0F6D">
        <w:t xml:space="preserve"> </w:t>
      </w:r>
      <w:r w:rsidR="003A38A5" w:rsidRPr="00AA0F6D">
        <w:t>intention</w:t>
      </w:r>
      <w:r w:rsidR="004E3A23" w:rsidRPr="00AA0F6D">
        <w:t>, on his own version,</w:t>
      </w:r>
      <w:r w:rsidR="003A38A5" w:rsidRPr="00AA0F6D">
        <w:t xml:space="preserve"> was for the immovable property to be placed in the name of the defendant</w:t>
      </w:r>
      <w:r w:rsidR="003F78D8" w:rsidRPr="00AA0F6D">
        <w:t xml:space="preserve">. As had been the approach in his dealings with Otto, </w:t>
      </w:r>
      <w:r w:rsidR="00AF1DD3" w:rsidRPr="00AA0F6D">
        <w:t xml:space="preserve">he </w:t>
      </w:r>
      <w:r w:rsidR="003167B6" w:rsidRPr="00AA0F6D">
        <w:t>was happy</w:t>
      </w:r>
      <w:r w:rsidR="00AF1DD3" w:rsidRPr="00AA0F6D">
        <w:t xml:space="preserve"> to </w:t>
      </w:r>
      <w:r w:rsidR="00266DA0" w:rsidRPr="00AA0F6D">
        <w:t xml:space="preserve">address </w:t>
      </w:r>
      <w:r w:rsidR="00C410FE" w:rsidRPr="00AA0F6D">
        <w:t>the issue of boundaries, including the exchange of land</w:t>
      </w:r>
      <w:r w:rsidR="00704CF2" w:rsidRPr="00AA0F6D">
        <w:t>, later</w:t>
      </w:r>
      <w:r w:rsidR="00BA52B1" w:rsidRPr="00AA0F6D">
        <w:t>, and separately from the sale of the immovable property</w:t>
      </w:r>
      <w:r w:rsidR="00704CF2" w:rsidRPr="00AA0F6D">
        <w:t xml:space="preserve">. </w:t>
      </w:r>
      <w:r w:rsidR="003167B6" w:rsidRPr="00AA0F6D">
        <w:t xml:space="preserve">In all probability this was so that he could secure </w:t>
      </w:r>
      <w:r w:rsidR="001955BB" w:rsidRPr="00AA0F6D">
        <w:t xml:space="preserve">the sale and </w:t>
      </w:r>
      <w:r w:rsidR="003167B6" w:rsidRPr="00AA0F6D">
        <w:t xml:space="preserve">payment of </w:t>
      </w:r>
      <w:r w:rsidR="00F8435A" w:rsidRPr="00AA0F6D">
        <w:t>his</w:t>
      </w:r>
      <w:r w:rsidR="003167B6" w:rsidRPr="00AA0F6D">
        <w:t xml:space="preserve"> purchase price without </w:t>
      </w:r>
      <w:r w:rsidR="0065748F" w:rsidRPr="00AA0F6D">
        <w:t xml:space="preserve">having to first attend to the formalities </w:t>
      </w:r>
      <w:r w:rsidR="00BA23E4" w:rsidRPr="00AA0F6D">
        <w:t xml:space="preserve">necessary for </w:t>
      </w:r>
      <w:r w:rsidR="003D776B" w:rsidRPr="00AA0F6D">
        <w:t>consolidation</w:t>
      </w:r>
      <w:r w:rsidR="000C7EB2" w:rsidRPr="00AA0F6D">
        <w:t xml:space="preserve"> in terms of the Act.</w:t>
      </w:r>
    </w:p>
    <w:p w14:paraId="353AE7A9" w14:textId="77777777" w:rsidR="00AC0AF7" w:rsidRPr="00AA0F6D" w:rsidRDefault="00AC0AF7" w:rsidP="00AC0AF7">
      <w:pPr>
        <w:pStyle w:val="ListParagraph"/>
        <w:autoSpaceDE w:val="0"/>
        <w:autoSpaceDN w:val="0"/>
        <w:adjustRightInd w:val="0"/>
        <w:ind w:left="0"/>
        <w:jc w:val="both"/>
      </w:pPr>
    </w:p>
    <w:p w14:paraId="0AED3F8C" w14:textId="0AB5CAF0" w:rsidR="00AC0AF7" w:rsidRPr="00AA0F6D" w:rsidRDefault="00A011F8" w:rsidP="00A011F8">
      <w:pPr>
        <w:autoSpaceDE w:val="0"/>
        <w:autoSpaceDN w:val="0"/>
        <w:adjustRightInd w:val="0"/>
        <w:jc w:val="both"/>
      </w:pPr>
      <w:r w:rsidRPr="00AA0F6D">
        <w:t>[35]</w:t>
      </w:r>
      <w:r w:rsidRPr="00AA0F6D">
        <w:tab/>
      </w:r>
      <w:r w:rsidR="00AC0AF7" w:rsidRPr="00AA0F6D">
        <w:t xml:space="preserve">Mr Holliday’s evidence accords with this position. </w:t>
      </w:r>
      <w:r w:rsidR="00C83FA3" w:rsidRPr="00AA0F6D">
        <w:t>His focus was on establishing a dairy</w:t>
      </w:r>
      <w:r w:rsidR="00FA1A94" w:rsidRPr="00AA0F6D">
        <w:t xml:space="preserve"> farm. He relied firstly on an agent to identify a farm, and, secondly, on his attorney, to attend to the associated legalities. </w:t>
      </w:r>
      <w:r w:rsidR="00E84055" w:rsidRPr="00AA0F6D">
        <w:t>H</w:t>
      </w:r>
      <w:r w:rsidR="00D60EBC" w:rsidRPr="00AA0F6D">
        <w:t>e appears to have known that the property had to be purchased as a whole</w:t>
      </w:r>
      <w:r w:rsidR="004802DE" w:rsidRPr="00AA0F6D">
        <w:t xml:space="preserve"> and confirmed this repeatedly during cross</w:t>
      </w:r>
      <w:r w:rsidR="00FF4E93" w:rsidRPr="00AA0F6D">
        <w:noBreakHyphen/>
      </w:r>
      <w:r w:rsidR="004802DE" w:rsidRPr="00AA0F6D">
        <w:t xml:space="preserve">examination. He too </w:t>
      </w:r>
      <w:r w:rsidR="00D60EBC" w:rsidRPr="00AA0F6D">
        <w:t xml:space="preserve">understood </w:t>
      </w:r>
      <w:r w:rsidR="0042037E" w:rsidRPr="00AA0F6D">
        <w:t>future</w:t>
      </w:r>
      <w:r w:rsidR="007D727F" w:rsidRPr="00AA0F6D">
        <w:t xml:space="preserve"> exchange of land</w:t>
      </w:r>
      <w:r w:rsidR="00541F84" w:rsidRPr="00AA0F6D">
        <w:t>, with whatever that entailed,</w:t>
      </w:r>
      <w:r w:rsidR="00D60EBC" w:rsidRPr="00AA0F6D">
        <w:t xml:space="preserve"> to </w:t>
      </w:r>
      <w:r w:rsidR="000D69CE" w:rsidRPr="00AA0F6D">
        <w:t xml:space="preserve">be a separate </w:t>
      </w:r>
      <w:r w:rsidR="00DC44F2" w:rsidRPr="00AA0F6D">
        <w:t xml:space="preserve">matter to be addressed subsequent to the </w:t>
      </w:r>
      <w:r w:rsidR="00BC5A21" w:rsidRPr="00AA0F6D">
        <w:t xml:space="preserve">transfer of the immovable property. </w:t>
      </w:r>
      <w:r w:rsidR="007D5F8E" w:rsidRPr="00AA0F6D">
        <w:t xml:space="preserve">He was understandably vague on the specifics and legal nuances at play. </w:t>
      </w:r>
      <w:r w:rsidR="008A3FA6" w:rsidRPr="00AA0F6D">
        <w:t>He had wanted a property for a dairy farm and, with the relevant assistance, had managed to identify</w:t>
      </w:r>
      <w:r w:rsidR="003A72A2" w:rsidRPr="00AA0F6D">
        <w:t xml:space="preserve"> and purchase one, which he and his partner had farmed for a number of years. </w:t>
      </w:r>
      <w:r w:rsidR="000501AC" w:rsidRPr="00AA0F6D">
        <w:t>As for the inclusion of</w:t>
      </w:r>
      <w:r w:rsidR="0027706A" w:rsidRPr="00AA0F6D">
        <w:t xml:space="preserve"> the disputed clause, he contented himself in the knowledge that the boundaries in issue were not </w:t>
      </w:r>
      <w:r w:rsidR="001618D1" w:rsidRPr="00AA0F6D">
        <w:t xml:space="preserve">in the area of his operation and </w:t>
      </w:r>
      <w:r w:rsidR="004C5FC7" w:rsidRPr="00AA0F6D">
        <w:t xml:space="preserve">believed he would be able to refuse any unreasonable requests when the time came. </w:t>
      </w:r>
      <w:r w:rsidR="00DB4875" w:rsidRPr="00AA0F6D">
        <w:t xml:space="preserve">As for his neighbour’s encroachment and use of part of his property, </w:t>
      </w:r>
      <w:r w:rsidR="00BC557C" w:rsidRPr="00AA0F6D">
        <w:t>he had simply perpetuated what his predecessor in title had permitted.</w:t>
      </w:r>
    </w:p>
    <w:p w14:paraId="7AA33549" w14:textId="77777777" w:rsidR="0022168C" w:rsidRPr="00AA0F6D" w:rsidRDefault="0022168C" w:rsidP="0022168C">
      <w:pPr>
        <w:pStyle w:val="ListParagraph"/>
        <w:autoSpaceDE w:val="0"/>
        <w:autoSpaceDN w:val="0"/>
        <w:adjustRightInd w:val="0"/>
        <w:ind w:left="0"/>
        <w:jc w:val="both"/>
      </w:pPr>
    </w:p>
    <w:p w14:paraId="7DF3196E" w14:textId="3B08FAED" w:rsidR="009E5BC3" w:rsidRPr="00AA0F6D" w:rsidRDefault="00A011F8" w:rsidP="00A011F8">
      <w:pPr>
        <w:autoSpaceDE w:val="0"/>
        <w:autoSpaceDN w:val="0"/>
        <w:adjustRightInd w:val="0"/>
        <w:jc w:val="both"/>
      </w:pPr>
      <w:r w:rsidRPr="00AA0F6D">
        <w:t>[36]</w:t>
      </w:r>
      <w:r w:rsidRPr="00AA0F6D">
        <w:tab/>
      </w:r>
      <w:r w:rsidR="0022168C" w:rsidRPr="00AA0F6D">
        <w:t xml:space="preserve">The consequence is </w:t>
      </w:r>
      <w:r w:rsidR="00B3492A" w:rsidRPr="00AA0F6D">
        <w:t xml:space="preserve">that </w:t>
      </w:r>
      <w:r w:rsidR="00F54735" w:rsidRPr="00AA0F6D">
        <w:t>there is ample</w:t>
      </w:r>
      <w:r w:rsidR="00DC1AB0" w:rsidRPr="00AA0F6D">
        <w:t xml:space="preserve"> direct</w:t>
      </w:r>
      <w:r w:rsidR="00F54735" w:rsidRPr="00AA0F6D">
        <w:t xml:space="preserve"> evidence to show that </w:t>
      </w:r>
      <w:r w:rsidR="00B3492A" w:rsidRPr="00AA0F6D">
        <w:t xml:space="preserve">both parties </w:t>
      </w:r>
      <w:r w:rsidR="0002350E" w:rsidRPr="00AA0F6D">
        <w:t xml:space="preserve">genuinely </w:t>
      </w:r>
      <w:r w:rsidR="00B3492A" w:rsidRPr="00AA0F6D">
        <w:t xml:space="preserve">intended for the plaintiff to sell </w:t>
      </w:r>
      <w:r w:rsidR="00B52A61" w:rsidRPr="00AA0F6D">
        <w:t xml:space="preserve">(and the defendant to purchase) </w:t>
      </w:r>
      <w:r w:rsidR="00B3492A" w:rsidRPr="00AA0F6D">
        <w:t xml:space="preserve">the immovable property </w:t>
      </w:r>
      <w:r w:rsidR="00B92D69" w:rsidRPr="00AA0F6D">
        <w:t xml:space="preserve">as a whole </w:t>
      </w:r>
      <w:r w:rsidR="00B3492A" w:rsidRPr="00AA0F6D">
        <w:t xml:space="preserve">and that the process of transfer of ownership </w:t>
      </w:r>
      <w:r w:rsidR="00B974A4" w:rsidRPr="00AA0F6D">
        <w:t xml:space="preserve">of that </w:t>
      </w:r>
      <w:r w:rsidR="00B974A4" w:rsidRPr="00AA0F6D">
        <w:lastRenderedPageBreak/>
        <w:t>property</w:t>
      </w:r>
      <w:r w:rsidR="006B2337" w:rsidRPr="00AA0F6D">
        <w:t xml:space="preserve"> </w:t>
      </w:r>
      <w:r w:rsidR="00B3492A" w:rsidRPr="00AA0F6D">
        <w:t xml:space="preserve">was completed </w:t>
      </w:r>
      <w:r w:rsidR="003A679F" w:rsidRPr="00AA0F6D">
        <w:t>when the act of registration occurred.</w:t>
      </w:r>
      <w:r w:rsidR="00A52C3E" w:rsidRPr="00AA0F6D">
        <w:rPr>
          <w:rStyle w:val="FootnoteReference"/>
        </w:rPr>
        <w:footnoteReference w:id="22"/>
      </w:r>
      <w:r w:rsidR="003A679F" w:rsidRPr="00AA0F6D">
        <w:t xml:space="preserve"> </w:t>
      </w:r>
      <w:r w:rsidR="00C17266" w:rsidRPr="00AA0F6D">
        <w:t xml:space="preserve">Come the time of </w:t>
      </w:r>
      <w:r w:rsidR="008407DB" w:rsidRPr="00AA0F6D">
        <w:t xml:space="preserve">execution of the deed of transfer, and delivery of the immovable property by registration, there was </w:t>
      </w:r>
      <w:r w:rsidR="009F4595" w:rsidRPr="00AA0F6D">
        <w:t>simply no error or doubt about the extent of the property being sold.</w:t>
      </w:r>
      <w:r w:rsidR="00BA38F8" w:rsidRPr="00AA0F6D">
        <w:rPr>
          <w:rStyle w:val="FootnoteReference"/>
        </w:rPr>
        <w:footnoteReference w:id="23"/>
      </w:r>
      <w:r w:rsidR="009F4595" w:rsidRPr="00AA0F6D">
        <w:t xml:space="preserve"> </w:t>
      </w:r>
      <w:r w:rsidR="007E4988" w:rsidRPr="00AA0F6D">
        <w:t>The object of the real agreement was legal and no other defect attached to that agreement, so that the real right of ownership passed on transfer.</w:t>
      </w:r>
    </w:p>
    <w:p w14:paraId="5505FAF8" w14:textId="77777777" w:rsidR="00A773C9" w:rsidRPr="00AA0F6D" w:rsidRDefault="00A773C9" w:rsidP="00A773C9">
      <w:pPr>
        <w:pStyle w:val="ListParagraph"/>
        <w:autoSpaceDE w:val="0"/>
        <w:autoSpaceDN w:val="0"/>
        <w:adjustRightInd w:val="0"/>
        <w:ind w:left="0"/>
        <w:jc w:val="both"/>
      </w:pPr>
    </w:p>
    <w:p w14:paraId="3F98A1BC" w14:textId="148DD171" w:rsidR="00A773C9" w:rsidRPr="00AA0F6D" w:rsidRDefault="00A011F8" w:rsidP="00A011F8">
      <w:pPr>
        <w:autoSpaceDE w:val="0"/>
        <w:autoSpaceDN w:val="0"/>
        <w:adjustRightInd w:val="0"/>
        <w:jc w:val="both"/>
      </w:pPr>
      <w:r w:rsidRPr="00AA0F6D">
        <w:t>[37]</w:t>
      </w:r>
      <w:r w:rsidRPr="00AA0F6D">
        <w:tab/>
      </w:r>
      <w:r w:rsidR="00585250" w:rsidRPr="00AA0F6D">
        <w:t>In terms of the abstract system, there is authority that neither the voidness nor the voidability of a preceding contract (i.e. the deed of sale) can affect the question whether a real right indeed passed to the defendant on delivery.</w:t>
      </w:r>
      <w:r w:rsidR="00585250" w:rsidRPr="00AA0F6D">
        <w:rPr>
          <w:rStyle w:val="FootnoteReference"/>
        </w:rPr>
        <w:footnoteReference w:id="24"/>
      </w:r>
      <w:r w:rsidR="00585250" w:rsidRPr="00AA0F6D">
        <w:t xml:space="preserve"> </w:t>
      </w:r>
      <w:r w:rsidR="003304B7" w:rsidRPr="00AA0F6D">
        <w:t>Considering the evidence</w:t>
      </w:r>
      <w:r w:rsidR="009749EF" w:rsidRPr="00AA0F6D">
        <w:t xml:space="preserve"> as to real agreement</w:t>
      </w:r>
      <w:r w:rsidR="003304B7" w:rsidRPr="00AA0F6D">
        <w:t xml:space="preserve">, it is unsurprising that the plaintiff was constrained to argue the case on the basis that the contract of sale was invalid to the extent that this vitiated the real agreement, alternatively was relevant to the question of the parties’ true intentions and real agreement. </w:t>
      </w:r>
      <w:r w:rsidR="007616B2" w:rsidRPr="00AA0F6D">
        <w:t>C</w:t>
      </w:r>
      <w:r w:rsidR="00A773C9" w:rsidRPr="00AA0F6D">
        <w:t>onsidering the factual matrix in its entirety, this is not an instance where it can be said that any flaw in the preceding contract of sale was so potent as to also affect the real agreement.</w:t>
      </w:r>
      <w:r w:rsidR="00A773C9" w:rsidRPr="00A011F8">
        <w:rPr>
          <w:i/>
          <w:iCs/>
        </w:rPr>
        <w:t xml:space="preserve"> </w:t>
      </w:r>
      <w:r w:rsidR="00334C27" w:rsidRPr="00AA0F6D">
        <w:t>T</w:t>
      </w:r>
      <w:r w:rsidR="009F75DC" w:rsidRPr="00AA0F6D">
        <w:t xml:space="preserve">his is </w:t>
      </w:r>
      <w:r w:rsidR="00537853" w:rsidRPr="00AA0F6D">
        <w:t xml:space="preserve">also </w:t>
      </w:r>
      <w:r w:rsidR="009F75DC" w:rsidRPr="00AA0F6D">
        <w:t xml:space="preserve">not an instance of some unexpressed agreement or tacit understanding rendering the transaction </w:t>
      </w:r>
      <w:r w:rsidR="009F75DC" w:rsidRPr="00A011F8">
        <w:rPr>
          <w:i/>
          <w:iCs/>
        </w:rPr>
        <w:t>in fraudem legis</w:t>
      </w:r>
      <w:r w:rsidR="009F75DC" w:rsidRPr="00AA0F6D">
        <w:t>.</w:t>
      </w:r>
      <w:r w:rsidR="009F75DC" w:rsidRPr="00AA0F6D">
        <w:rPr>
          <w:rStyle w:val="FootnoteReference"/>
        </w:rPr>
        <w:footnoteReference w:id="25"/>
      </w:r>
    </w:p>
    <w:p w14:paraId="6FA7B9E8" w14:textId="77777777" w:rsidR="000B7E3F" w:rsidRPr="00AA0F6D" w:rsidRDefault="000B7E3F" w:rsidP="000B7E3F">
      <w:pPr>
        <w:pStyle w:val="ListParagraph"/>
        <w:autoSpaceDE w:val="0"/>
        <w:autoSpaceDN w:val="0"/>
        <w:adjustRightInd w:val="0"/>
        <w:ind w:left="0"/>
        <w:jc w:val="both"/>
      </w:pPr>
    </w:p>
    <w:p w14:paraId="7EDB026A" w14:textId="7412FE75" w:rsidR="00AB0723" w:rsidRPr="00AA0F6D" w:rsidRDefault="00A011F8" w:rsidP="00A011F8">
      <w:pPr>
        <w:autoSpaceDE w:val="0"/>
        <w:autoSpaceDN w:val="0"/>
        <w:adjustRightInd w:val="0"/>
        <w:jc w:val="both"/>
      </w:pPr>
      <w:r w:rsidRPr="00AA0F6D">
        <w:t>[38]</w:t>
      </w:r>
      <w:r w:rsidRPr="00AA0F6D">
        <w:tab/>
      </w:r>
      <w:r w:rsidR="009E5BC3" w:rsidRPr="00AA0F6D">
        <w:t xml:space="preserve">I am in any event unconvinced by the argument that </w:t>
      </w:r>
      <w:r w:rsidR="00583353" w:rsidRPr="00AA0F6D">
        <w:t>the contract of sale</w:t>
      </w:r>
      <w:r w:rsidR="000A43C5" w:rsidRPr="00AA0F6D">
        <w:t>, properly interpreted,</w:t>
      </w:r>
      <w:r w:rsidR="00DF5250" w:rsidRPr="00AA0F6D">
        <w:rPr>
          <w:rStyle w:val="FootnoteReference"/>
        </w:rPr>
        <w:footnoteReference w:id="26"/>
      </w:r>
      <w:r w:rsidR="00583353" w:rsidRPr="00AA0F6D">
        <w:t xml:space="preserve"> was in respect of only the undivided portion and, consequently, i</w:t>
      </w:r>
      <w:r w:rsidR="00AA33D1" w:rsidRPr="00AA0F6D">
        <w:t xml:space="preserve">n contravention of the Act. </w:t>
      </w:r>
      <w:r w:rsidR="002D1C26" w:rsidRPr="00AA0F6D">
        <w:t xml:space="preserve">Other than the reference to the property’s extent being ‘approximately 474 hectares’, in clause 1.1, there is little to support that reading, particularly when considering the remaining language adopted in the contract, read in </w:t>
      </w:r>
      <w:r w:rsidR="002D1C26" w:rsidRPr="00AA0F6D">
        <w:lastRenderedPageBreak/>
        <w:t xml:space="preserve">the context </w:t>
      </w:r>
      <w:r w:rsidR="00132B4B" w:rsidRPr="00AA0F6D">
        <w:t>of the circumstances in which the document came into being</w:t>
      </w:r>
      <w:r w:rsidR="005D5F0D" w:rsidRPr="00AA0F6D">
        <w:t xml:space="preserve"> as well as the parties’ subsequent conduct</w:t>
      </w:r>
      <w:r w:rsidR="00084677" w:rsidRPr="00AA0F6D">
        <w:t xml:space="preserve"> in implementing the agreement</w:t>
      </w:r>
      <w:r w:rsidR="00284532" w:rsidRPr="00AA0F6D">
        <w:t>, which is decisive.</w:t>
      </w:r>
    </w:p>
    <w:p w14:paraId="35C0030E" w14:textId="77777777" w:rsidR="008517C8" w:rsidRPr="00AA0F6D" w:rsidRDefault="008517C8" w:rsidP="00AA0F6D"/>
    <w:p w14:paraId="5A728A29" w14:textId="5C218466" w:rsidR="001331F5" w:rsidRPr="00AA0F6D" w:rsidRDefault="00A011F8" w:rsidP="00A011F8">
      <w:pPr>
        <w:autoSpaceDE w:val="0"/>
        <w:autoSpaceDN w:val="0"/>
        <w:adjustRightInd w:val="0"/>
        <w:jc w:val="both"/>
      </w:pPr>
      <w:r w:rsidRPr="00AA0F6D">
        <w:t>[39]</w:t>
      </w:r>
      <w:r w:rsidRPr="00AA0F6D">
        <w:tab/>
      </w:r>
      <w:r w:rsidR="008517C8" w:rsidRPr="00AA0F6D">
        <w:t xml:space="preserve">As for the ordinary language used, the reference to the reduced extent is coupled with </w:t>
      </w:r>
      <w:r w:rsidR="00E874C9" w:rsidRPr="00AA0F6D">
        <w:t>reference to the correct description of the immovable property and title deed number.</w:t>
      </w:r>
      <w:r w:rsidR="00DE1226" w:rsidRPr="00AA0F6D">
        <w:t xml:space="preserve"> </w:t>
      </w:r>
      <w:r w:rsidR="003618FC" w:rsidRPr="00AA0F6D">
        <w:t xml:space="preserve">Leaving aside the reference to 474 hectares, there is no mention of a sale of a ‘portion’ or of an ‘undivided portion’. </w:t>
      </w:r>
      <w:r w:rsidR="00B543E3" w:rsidRPr="00AA0F6D">
        <w:t xml:space="preserve">What is being sold, in effect, </w:t>
      </w:r>
      <w:r w:rsidR="005D62FD" w:rsidRPr="00AA0F6D">
        <w:t xml:space="preserve">is </w:t>
      </w:r>
      <w:r w:rsidR="00B543E3" w:rsidRPr="00AA0F6D">
        <w:t>the property held by that title deed</w:t>
      </w:r>
      <w:r w:rsidR="00253799" w:rsidRPr="00AA0F6D">
        <w:t xml:space="preserve">. </w:t>
      </w:r>
      <w:r w:rsidR="004D1E32" w:rsidRPr="00AA0F6D">
        <w:t xml:space="preserve">As </w:t>
      </w:r>
      <w:r w:rsidR="004D1E32" w:rsidRPr="00A011F8">
        <w:rPr>
          <w:i/>
          <w:iCs/>
        </w:rPr>
        <w:t>Mr De La Harpe</w:t>
      </w:r>
      <w:r w:rsidR="002C5A45" w:rsidRPr="00AA0F6D">
        <w:t>, for the defendant,</w:t>
      </w:r>
      <w:r w:rsidR="004D1E32" w:rsidRPr="00A011F8">
        <w:rPr>
          <w:i/>
          <w:iCs/>
        </w:rPr>
        <w:t xml:space="preserve"> </w:t>
      </w:r>
      <w:r w:rsidR="004D1E32" w:rsidRPr="00AA0F6D">
        <w:t>pointed out, t</w:t>
      </w:r>
      <w:r w:rsidR="00253799" w:rsidRPr="00AA0F6D">
        <w:t xml:space="preserve">hat reading is supported by clause 7, which adds that ‘the property is sold in the extent as it now lies and </w:t>
      </w:r>
      <w:r w:rsidR="00253799" w:rsidRPr="00A011F8">
        <w:rPr>
          <w:i/>
          <w:iCs/>
        </w:rPr>
        <w:t>is described</w:t>
      </w:r>
      <w:r w:rsidR="00253799" w:rsidRPr="00AA0F6D">
        <w:t xml:space="preserve"> </w:t>
      </w:r>
      <w:r w:rsidR="00253799" w:rsidRPr="00A011F8">
        <w:rPr>
          <w:i/>
          <w:iCs/>
        </w:rPr>
        <w:t>in the current title deed</w:t>
      </w:r>
      <w:r w:rsidR="00253799" w:rsidRPr="00AA0F6D">
        <w:t xml:space="preserve"> …’</w:t>
      </w:r>
      <w:r w:rsidR="00555AB0" w:rsidRPr="00AA0F6D">
        <w:t>.</w:t>
      </w:r>
      <w:r w:rsidR="00E15876" w:rsidRPr="00AA0F6D">
        <w:rPr>
          <w:rStyle w:val="FootnoteReference"/>
        </w:rPr>
        <w:footnoteReference w:id="27"/>
      </w:r>
      <w:r w:rsidR="007F5026" w:rsidRPr="00AA0F6D">
        <w:t xml:space="preserve"> </w:t>
      </w:r>
      <w:r w:rsidR="00D549C1" w:rsidRPr="00AA0F6D">
        <w:t xml:space="preserve">(Own emphasis.) </w:t>
      </w:r>
      <w:r w:rsidR="00314C77" w:rsidRPr="00AA0F6D">
        <w:t xml:space="preserve">Furthermore, that clause provides that </w:t>
      </w:r>
      <w:r w:rsidR="0023740C" w:rsidRPr="00AA0F6D">
        <w:t>‘…neither shall [</w:t>
      </w:r>
      <w:r w:rsidR="00314C77" w:rsidRPr="00AA0F6D">
        <w:t xml:space="preserve">the </w:t>
      </w:r>
      <w:r w:rsidR="0023740C" w:rsidRPr="00AA0F6D">
        <w:t>plaintiff]</w:t>
      </w:r>
      <w:r w:rsidR="000B1670" w:rsidRPr="00AA0F6D">
        <w:t xml:space="preserve"> </w:t>
      </w:r>
      <w:r w:rsidR="0023740C" w:rsidRPr="00AA0F6D">
        <w:t>be entitled to claim additional compensation for any excess’.</w:t>
      </w:r>
      <w:r w:rsidR="00323354" w:rsidRPr="00AA0F6D">
        <w:t xml:space="preserve"> It bears repeating that the ‘current title deed’ description was of the immovable property in its full extent.</w:t>
      </w:r>
    </w:p>
    <w:p w14:paraId="772B26BA" w14:textId="77777777" w:rsidR="001331F5" w:rsidRPr="00AA0F6D" w:rsidRDefault="001331F5" w:rsidP="00AA0F6D"/>
    <w:p w14:paraId="2E664466" w14:textId="46426179" w:rsidR="006625FF" w:rsidRPr="00AA0F6D" w:rsidRDefault="00A011F8" w:rsidP="00A011F8">
      <w:pPr>
        <w:autoSpaceDE w:val="0"/>
        <w:autoSpaceDN w:val="0"/>
        <w:adjustRightInd w:val="0"/>
        <w:jc w:val="both"/>
      </w:pPr>
      <w:r w:rsidRPr="00AA0F6D">
        <w:t>[40]</w:t>
      </w:r>
      <w:r w:rsidRPr="00AA0F6D">
        <w:tab/>
      </w:r>
      <w:r w:rsidR="006625FF" w:rsidRPr="00AA0F6D">
        <w:t>The plaintiff placed great reliance on t</w:t>
      </w:r>
      <w:r w:rsidR="007F5026" w:rsidRPr="00AA0F6D">
        <w:t>he disputed clause 24.5</w:t>
      </w:r>
      <w:r w:rsidR="006625FF" w:rsidRPr="00AA0F6D">
        <w:t xml:space="preserve"> in support of its case.</w:t>
      </w:r>
      <w:r w:rsidR="00D60C2B" w:rsidRPr="00AA0F6D">
        <w:rPr>
          <w:rStyle w:val="FootnoteReference"/>
        </w:rPr>
        <w:footnoteReference w:id="28"/>
      </w:r>
      <w:r w:rsidR="006625FF" w:rsidRPr="00AA0F6D">
        <w:t xml:space="preserve"> </w:t>
      </w:r>
      <w:r w:rsidR="004B13FB" w:rsidRPr="00AA0F6D">
        <w:t xml:space="preserve">That clause is </w:t>
      </w:r>
      <w:r w:rsidR="007F5026" w:rsidRPr="00AA0F6D">
        <w:t>itself clear in its construction: the plaintiff recorded that it was ‘in the process of sub-dividing and selling a piece of the land hereby sold…’</w:t>
      </w:r>
      <w:r w:rsidR="00783ADE" w:rsidRPr="00AA0F6D">
        <w:t xml:space="preserve"> </w:t>
      </w:r>
      <w:r w:rsidR="002378A2" w:rsidRPr="00AA0F6D">
        <w:t xml:space="preserve">On an </w:t>
      </w:r>
      <w:r w:rsidR="00743F52" w:rsidRPr="00AA0F6D">
        <w:t>ordinary reading, the word</w:t>
      </w:r>
      <w:r w:rsidR="002D4734" w:rsidRPr="00AA0F6D">
        <w:t>s</w:t>
      </w:r>
      <w:r w:rsidR="00743F52" w:rsidRPr="00AA0F6D">
        <w:t xml:space="preserve"> ‘</w:t>
      </w:r>
      <w:r w:rsidR="002D4734" w:rsidRPr="00AA0F6D">
        <w:t xml:space="preserve">land hereby </w:t>
      </w:r>
      <w:r w:rsidR="00743F52" w:rsidRPr="00AA0F6D">
        <w:t xml:space="preserve">sold’ </w:t>
      </w:r>
      <w:r w:rsidR="002D4734" w:rsidRPr="00AA0F6D">
        <w:t xml:space="preserve">precedes, in time, the </w:t>
      </w:r>
      <w:r w:rsidR="00697CC7" w:rsidRPr="00AA0F6D">
        <w:t>ongoing</w:t>
      </w:r>
      <w:r w:rsidR="00632158" w:rsidRPr="00AA0F6D">
        <w:t xml:space="preserve"> </w:t>
      </w:r>
      <w:r w:rsidR="002D4734" w:rsidRPr="00AA0F6D">
        <w:t>separate process of sub-division and ‘selling’</w:t>
      </w:r>
      <w:r w:rsidR="00FA1F90" w:rsidRPr="00AA0F6D">
        <w:t xml:space="preserve"> of a piece of land. </w:t>
      </w:r>
      <w:r w:rsidR="002266C2" w:rsidRPr="00AA0F6D">
        <w:t>Supporting this interpretation, t</w:t>
      </w:r>
      <w:r w:rsidR="00255293" w:rsidRPr="00AA0F6D">
        <w:t xml:space="preserve">he inclusion of reference to the </w:t>
      </w:r>
      <w:r w:rsidR="000B7830" w:rsidRPr="00AA0F6D">
        <w:t>purchaser’s</w:t>
      </w:r>
      <w:r w:rsidR="00255293" w:rsidRPr="00AA0F6D">
        <w:t xml:space="preserve"> agreement ‘to sign all the necessary documentation to enable the seller to proceed with the aforesaid’ would have been unnecessary had the intention been for the plaintiff</w:t>
      </w:r>
      <w:r w:rsidR="008115DC" w:rsidRPr="00AA0F6D">
        <w:t xml:space="preserve"> to have retained ownership of a piece of the land.</w:t>
      </w:r>
    </w:p>
    <w:p w14:paraId="245ADBEA" w14:textId="77777777" w:rsidR="006625FF" w:rsidRPr="00AA0F6D" w:rsidRDefault="006625FF" w:rsidP="00AA0F6D"/>
    <w:p w14:paraId="6DB43772" w14:textId="14A21435" w:rsidR="008517C8" w:rsidRPr="00AA0F6D" w:rsidRDefault="00A011F8" w:rsidP="00A011F8">
      <w:pPr>
        <w:autoSpaceDE w:val="0"/>
        <w:autoSpaceDN w:val="0"/>
        <w:adjustRightInd w:val="0"/>
        <w:jc w:val="both"/>
      </w:pPr>
      <w:r w:rsidRPr="00AA0F6D">
        <w:t>[41]</w:t>
      </w:r>
      <w:r w:rsidRPr="00AA0F6D">
        <w:tab/>
      </w:r>
      <w:r w:rsidR="00912CB4" w:rsidRPr="00AA0F6D">
        <w:t xml:space="preserve">The context in which the provision appears is that already described and </w:t>
      </w:r>
      <w:r w:rsidR="00CB61C7" w:rsidRPr="00AA0F6D">
        <w:t xml:space="preserve">a sensible, business-like meaning supports a reading that treats this clause as the seller’s wish for the purchaser’s cooperation in respect of events that </w:t>
      </w:r>
      <w:r w:rsidR="00E43061" w:rsidRPr="00AA0F6D">
        <w:t>would</w:t>
      </w:r>
      <w:r w:rsidR="00CB61C7" w:rsidRPr="00AA0F6D">
        <w:t xml:space="preserve"> follow the actual sale of the immovable property. </w:t>
      </w:r>
      <w:r w:rsidR="00646EC5" w:rsidRPr="00AA0F6D">
        <w:t xml:space="preserve">In reaching this conclusion, it cannot be ignored that the ‘material known’ to the party responsible for inclusion of the clause </w:t>
      </w:r>
      <w:r w:rsidR="0047651C" w:rsidRPr="00AA0F6D">
        <w:t xml:space="preserve">was that </w:t>
      </w:r>
      <w:r w:rsidR="00EB5448" w:rsidRPr="00AA0F6D">
        <w:t>the immovable property had to be sold as a whole in order for the sale to be valid</w:t>
      </w:r>
      <w:r w:rsidR="00525D8C" w:rsidRPr="00AA0F6D">
        <w:t xml:space="preserve">, and </w:t>
      </w:r>
      <w:r w:rsidR="00525D8C" w:rsidRPr="00AA0F6D">
        <w:lastRenderedPageBreak/>
        <w:t xml:space="preserve">that the plaintiff had itself purchased the property from Otto in this fashion, concluding a </w:t>
      </w:r>
      <w:r w:rsidR="00994579" w:rsidRPr="00AA0F6D">
        <w:t>separate agreement in respect of the intended land swop.</w:t>
      </w:r>
      <w:r w:rsidR="00D26D98" w:rsidRPr="00AA0F6D">
        <w:t xml:space="preserve"> </w:t>
      </w:r>
      <w:r w:rsidR="008A24B0" w:rsidRPr="00AA0F6D">
        <w:t>Considering the passing of time</w:t>
      </w:r>
      <w:r w:rsidR="00833E35" w:rsidRPr="00AA0F6D">
        <w:t xml:space="preserve"> and the vague recollection of</w:t>
      </w:r>
      <w:r w:rsidR="00C405B5" w:rsidRPr="00AA0F6D">
        <w:t xml:space="preserve"> </w:t>
      </w:r>
      <w:r w:rsidR="00047840" w:rsidRPr="00AA0F6D">
        <w:t>both witnesses</w:t>
      </w:r>
      <w:r w:rsidR="00C405B5" w:rsidRPr="00AA0F6D">
        <w:t>,</w:t>
      </w:r>
      <w:r w:rsidR="008A24B0" w:rsidRPr="00AA0F6D">
        <w:t xml:space="preserve"> </w:t>
      </w:r>
      <w:r w:rsidR="00E70496" w:rsidRPr="00AA0F6D">
        <w:t>there is little more of substance to be</w:t>
      </w:r>
      <w:r w:rsidR="008A24B0" w:rsidRPr="00AA0F6D">
        <w:t xml:space="preserve"> gleaned from the circumstances as they were at the time the deed of sale was concluded</w:t>
      </w:r>
      <w:r w:rsidR="00F7244E" w:rsidRPr="00AA0F6D">
        <w:t>.</w:t>
      </w:r>
      <w:r w:rsidR="000E5080" w:rsidRPr="00AA0F6D">
        <w:t xml:space="preserve"> What is apparent is that Mr Holliday did not have sight of the title deed </w:t>
      </w:r>
      <w:r w:rsidR="00A75DB2" w:rsidRPr="00AA0F6D">
        <w:t>and that it was left to the parties’ legal representatives to attend to a relatively ordinary transfer of immovable property held by title deed.</w:t>
      </w:r>
    </w:p>
    <w:p w14:paraId="43E17392" w14:textId="77777777" w:rsidR="00D26D98" w:rsidRPr="00AA0F6D" w:rsidRDefault="00D26D98" w:rsidP="00D26D98">
      <w:pPr>
        <w:pStyle w:val="ListParagraph"/>
        <w:autoSpaceDE w:val="0"/>
        <w:autoSpaceDN w:val="0"/>
        <w:adjustRightInd w:val="0"/>
        <w:ind w:left="0"/>
        <w:jc w:val="both"/>
      </w:pPr>
    </w:p>
    <w:p w14:paraId="04E70CB5" w14:textId="49D42A3A" w:rsidR="00D26D98" w:rsidRPr="00AA0F6D" w:rsidRDefault="00A011F8" w:rsidP="00A011F8">
      <w:pPr>
        <w:autoSpaceDE w:val="0"/>
        <w:autoSpaceDN w:val="0"/>
        <w:adjustRightInd w:val="0"/>
        <w:jc w:val="both"/>
      </w:pPr>
      <w:r w:rsidRPr="00AA0F6D">
        <w:t>[42]</w:t>
      </w:r>
      <w:r w:rsidRPr="00AA0F6D">
        <w:tab/>
      </w:r>
      <w:r w:rsidR="00D26D98" w:rsidRPr="00AA0F6D">
        <w:t>The subsequent conduct of the parties in implementing the agreement is particularly telling.</w:t>
      </w:r>
      <w:r w:rsidR="00D26D98" w:rsidRPr="00AA0F6D">
        <w:rPr>
          <w:rStyle w:val="FootnoteReference"/>
        </w:rPr>
        <w:footnoteReference w:id="29"/>
      </w:r>
      <w:r w:rsidR="00A36628" w:rsidRPr="00AA0F6D">
        <w:t xml:space="preserve"> </w:t>
      </w:r>
      <w:r w:rsidR="00AF5D77" w:rsidRPr="00AA0F6D">
        <w:t xml:space="preserve">In </w:t>
      </w:r>
      <w:r w:rsidR="00AF5D77" w:rsidRPr="00A011F8">
        <w:rPr>
          <w:i/>
          <w:iCs/>
        </w:rPr>
        <w:t>Comwezi Security Services (Pty) Ltd &amp; Another v Cape Empowerment Trust Ltd</w:t>
      </w:r>
      <w:r w:rsidR="004A7387" w:rsidRPr="00AA0F6D">
        <w:t>,</w:t>
      </w:r>
      <w:r w:rsidR="00AF5D77" w:rsidRPr="00AA0F6D">
        <w:rPr>
          <w:rStyle w:val="FootnoteReference"/>
        </w:rPr>
        <w:footnoteReference w:id="30"/>
      </w:r>
      <w:r w:rsidR="004A7387" w:rsidRPr="00AA0F6D">
        <w:t xml:space="preserve"> Wallis JA emphasised the importance of this </w:t>
      </w:r>
      <w:r w:rsidR="003E52DA" w:rsidRPr="00AA0F6D">
        <w:t xml:space="preserve">consideration </w:t>
      </w:r>
      <w:r w:rsidR="004A7387" w:rsidRPr="00AA0F6D">
        <w:t>as follows:</w:t>
      </w:r>
    </w:p>
    <w:p w14:paraId="2D5E1EFE" w14:textId="6E463E8A" w:rsidR="004A7387" w:rsidRPr="00AA0F6D" w:rsidRDefault="004A7387" w:rsidP="004A7387"/>
    <w:p w14:paraId="27C927FE" w14:textId="44989712" w:rsidR="004A7387" w:rsidRPr="00AA0F6D" w:rsidRDefault="00BD7A8A" w:rsidP="00BD7A8A">
      <w:pPr>
        <w:jc w:val="both"/>
        <w:rPr>
          <w:sz w:val="22"/>
          <w:szCs w:val="22"/>
        </w:rPr>
      </w:pPr>
      <w:r w:rsidRPr="00AA0F6D">
        <w:rPr>
          <w:sz w:val="22"/>
          <w:szCs w:val="22"/>
        </w:rPr>
        <w:t>‘Now that regard is had to all relevant context, irrespective of whether there is a perceived ambiguity, there is no reason not to look at the conduct of the parties in implementing the agreement.</w:t>
      </w:r>
      <w:r w:rsidR="00000C26" w:rsidRPr="00AA0F6D">
        <w:rPr>
          <w:sz w:val="22"/>
          <w:szCs w:val="22"/>
        </w:rPr>
        <w:t xml:space="preserve"> Where it is clear that they have both taken the same approach to its implementation, and hence the meaning of the provision in dispute, their conduct provides clear evidence of how reasonable business people situated as they were and knowing what they knew, would construe the disputed provision. It is therefore relevant to an objective determination of the meaning of the words they have used and the selection of the appropriate meaning from among those postulated by the parties.</w:t>
      </w:r>
      <w:r w:rsidR="000A554F" w:rsidRPr="00AA0F6D">
        <w:rPr>
          <w:sz w:val="22"/>
          <w:szCs w:val="22"/>
        </w:rPr>
        <w:t>’</w:t>
      </w:r>
    </w:p>
    <w:p w14:paraId="2D38968F" w14:textId="77777777" w:rsidR="00000C26" w:rsidRPr="00AA0F6D" w:rsidRDefault="00000C26" w:rsidP="00BD7A8A">
      <w:pPr>
        <w:jc w:val="both"/>
        <w:rPr>
          <w:sz w:val="22"/>
          <w:szCs w:val="22"/>
        </w:rPr>
      </w:pPr>
    </w:p>
    <w:p w14:paraId="6C7AE86C" w14:textId="315AACA8" w:rsidR="00896440" w:rsidRPr="00AA0F6D" w:rsidRDefault="00A011F8" w:rsidP="00A011F8">
      <w:pPr>
        <w:autoSpaceDE w:val="0"/>
        <w:autoSpaceDN w:val="0"/>
        <w:adjustRightInd w:val="0"/>
        <w:jc w:val="both"/>
      </w:pPr>
      <w:r w:rsidRPr="00AA0F6D">
        <w:t>[43]</w:t>
      </w:r>
      <w:r w:rsidRPr="00AA0F6D">
        <w:tab/>
      </w:r>
      <w:r w:rsidR="000B613D" w:rsidRPr="00AA0F6D">
        <w:t xml:space="preserve">Approximately a month after conclusion of the contract of sale, Mr Van Bergen </w:t>
      </w:r>
      <w:r w:rsidR="00B95B4E" w:rsidRPr="00AA0F6D">
        <w:t xml:space="preserve">knowingly </w:t>
      </w:r>
      <w:r w:rsidR="000B613D" w:rsidRPr="00AA0F6D">
        <w:t>gave power of attorney to transfer the immovable property, in its full extent</w:t>
      </w:r>
      <w:r w:rsidR="00B95B4E" w:rsidRPr="00AA0F6D">
        <w:t xml:space="preserve"> of 552,0256 hectares, to an appointed agent</w:t>
      </w:r>
      <w:r w:rsidR="005856D9" w:rsidRPr="00AA0F6D">
        <w:t xml:space="preserve">. </w:t>
      </w:r>
      <w:r w:rsidR="003F2F70" w:rsidRPr="00AA0F6D">
        <w:t xml:space="preserve">That power of attorney makes </w:t>
      </w:r>
      <w:r w:rsidR="00AA4FA6" w:rsidRPr="00AA0F6D">
        <w:t>explicit</w:t>
      </w:r>
      <w:r w:rsidR="003F2F70" w:rsidRPr="00AA0F6D">
        <w:t xml:space="preserve"> reference to sale of the immovable property to the defendant in terms of the deed of sale.</w:t>
      </w:r>
      <w:r w:rsidR="000A17E5" w:rsidRPr="00AA0F6D">
        <w:rPr>
          <w:rStyle w:val="FootnoteReference"/>
        </w:rPr>
        <w:footnoteReference w:id="31"/>
      </w:r>
      <w:r w:rsidR="003F2F70" w:rsidRPr="00AA0F6D">
        <w:t xml:space="preserve"> </w:t>
      </w:r>
      <w:r w:rsidR="005856D9" w:rsidRPr="00AA0F6D">
        <w:t>That was the trigger for the deed of transfer being concluded during April 2008</w:t>
      </w:r>
      <w:r w:rsidR="00157616" w:rsidRPr="00AA0F6D">
        <w:t xml:space="preserve">, </w:t>
      </w:r>
      <w:r w:rsidR="00157616" w:rsidRPr="00AA0F6D">
        <w:lastRenderedPageBreak/>
        <w:t>some four months later</w:t>
      </w:r>
      <w:r w:rsidR="007E74C8" w:rsidRPr="00AA0F6D">
        <w:t xml:space="preserve">. </w:t>
      </w:r>
      <w:r w:rsidR="00FF6E3C" w:rsidRPr="00AA0F6D">
        <w:t xml:space="preserve">In terms of that deed, the immovable property was duly sold for an agreed R9,1 million. </w:t>
      </w:r>
      <w:r w:rsidR="00896440" w:rsidRPr="00AA0F6D">
        <w:t>On the evidence, any suggestion that the agreement</w:t>
      </w:r>
      <w:r w:rsidR="008435D7" w:rsidRPr="00AA0F6D">
        <w:t>, properly interpreted,</w:t>
      </w:r>
      <w:r w:rsidR="00896440" w:rsidRPr="00AA0F6D">
        <w:t xml:space="preserve"> was for payment of this amount in return for only the undivided portion must be rejected.</w:t>
      </w:r>
      <w:r w:rsidR="001E6197" w:rsidRPr="00AA0F6D">
        <w:t xml:space="preserve"> That conclusion is buttressed by the plaintiff’s preceding plan to swop portions of property with Otto without any compensation payable. </w:t>
      </w:r>
      <w:r w:rsidR="009B62CB" w:rsidRPr="00AA0F6D">
        <w:t xml:space="preserve">As had been the case then, it was satisfied with </w:t>
      </w:r>
      <w:r w:rsidR="00260A61" w:rsidRPr="00AA0F6D">
        <w:t>transfer of</w:t>
      </w:r>
      <w:r w:rsidR="009B62CB" w:rsidRPr="00AA0F6D">
        <w:t xml:space="preserve"> the entire immovable property </w:t>
      </w:r>
      <w:r w:rsidR="009A114D" w:rsidRPr="00AA0F6D">
        <w:t>before continuing with any attempts to formally swop land.</w:t>
      </w:r>
      <w:r w:rsidR="00F87420" w:rsidRPr="00AA0F6D">
        <w:t xml:space="preserve"> Having </w:t>
      </w:r>
      <w:r w:rsidR="001B79BD" w:rsidRPr="00AA0F6D">
        <w:t xml:space="preserve">taken transfer of the immovable property, permitted Otto to use a portion of that property, while separately reaching agreement </w:t>
      </w:r>
      <w:r w:rsidR="0027396D" w:rsidRPr="00AA0F6D">
        <w:t xml:space="preserve">on transfer of portions of each other’s land without compensation, the plaintiff </w:t>
      </w:r>
      <w:r w:rsidR="007D75F4" w:rsidRPr="00AA0F6D">
        <w:t xml:space="preserve">proceeded in a similar vein in its dealings with </w:t>
      </w:r>
      <w:r w:rsidR="008F2757" w:rsidRPr="00AA0F6D">
        <w:t>the defendant.</w:t>
      </w:r>
      <w:r w:rsidR="0027396D" w:rsidRPr="00AA0F6D">
        <w:t xml:space="preserve"> </w:t>
      </w:r>
      <w:r w:rsidR="002D0970" w:rsidRPr="00AA0F6D">
        <w:t>The handwritten note appended to the diagram attached to the deed of sale</w:t>
      </w:r>
      <w:r w:rsidR="00920A5B" w:rsidRPr="00AA0F6D">
        <w:t>, with its reference to Otto, confirms that it was not Mr Van Bergen’s intention to keep a portion of the immovable property for himself.</w:t>
      </w:r>
    </w:p>
    <w:p w14:paraId="4882F793" w14:textId="77777777" w:rsidR="00896440" w:rsidRPr="00AA0F6D" w:rsidRDefault="00896440" w:rsidP="00896440">
      <w:pPr>
        <w:pStyle w:val="ListParagraph"/>
        <w:autoSpaceDE w:val="0"/>
        <w:autoSpaceDN w:val="0"/>
        <w:adjustRightInd w:val="0"/>
        <w:ind w:left="0"/>
        <w:jc w:val="both"/>
      </w:pPr>
    </w:p>
    <w:p w14:paraId="72727E24" w14:textId="47AC65FD" w:rsidR="004A7387" w:rsidRPr="00AA0F6D" w:rsidRDefault="00A011F8" w:rsidP="00A011F8">
      <w:pPr>
        <w:autoSpaceDE w:val="0"/>
        <w:autoSpaceDN w:val="0"/>
        <w:adjustRightInd w:val="0"/>
        <w:jc w:val="both"/>
      </w:pPr>
      <w:r w:rsidRPr="00AA0F6D">
        <w:t>[44]</w:t>
      </w:r>
      <w:r w:rsidRPr="00AA0F6D">
        <w:tab/>
      </w:r>
      <w:r w:rsidR="007E74C8" w:rsidRPr="00AA0F6D">
        <w:t>Little of significance followed during the subsequent years until issue of summons in this matter.</w:t>
      </w:r>
      <w:r w:rsidR="00EA033F" w:rsidRPr="00AA0F6D">
        <w:t xml:space="preserve"> </w:t>
      </w:r>
      <w:r w:rsidR="003D0718" w:rsidRPr="00AA0F6D">
        <w:t>It is so that e</w:t>
      </w:r>
      <w:r w:rsidR="00EA033F" w:rsidRPr="00AA0F6D">
        <w:t xml:space="preserve">ither </w:t>
      </w:r>
      <w:r w:rsidR="00FD415E" w:rsidRPr="00AA0F6D">
        <w:t>Otto or Piggeries have continuously made use of a portion of the property</w:t>
      </w:r>
      <w:r w:rsidR="003864A5" w:rsidRPr="00AA0F6D">
        <w:t xml:space="preserve"> with the knowledge of the respective owners</w:t>
      </w:r>
      <w:r w:rsidR="001078BF" w:rsidRPr="00AA0F6D">
        <w:t>, and that the defendant was willing to engage with Piggeries in an attempt to formalise a swop</w:t>
      </w:r>
      <w:r w:rsidR="009D4BF8" w:rsidRPr="00AA0F6D">
        <w:t xml:space="preserve"> including a portion of the immovable propert</w:t>
      </w:r>
      <w:r w:rsidR="00896440" w:rsidRPr="00AA0F6D">
        <w:t>y</w:t>
      </w:r>
      <w:r w:rsidR="00B647DC" w:rsidRPr="00AA0F6D">
        <w:t>.</w:t>
      </w:r>
      <w:r w:rsidR="00FD415E" w:rsidRPr="00AA0F6D">
        <w:t xml:space="preserve"> </w:t>
      </w:r>
      <w:r w:rsidR="0044598F" w:rsidRPr="00AA0F6D">
        <w:t xml:space="preserve">Considered together with the </w:t>
      </w:r>
      <w:r w:rsidR="00CC62DA" w:rsidRPr="00AA0F6D">
        <w:t>conduct of the parties subsequent to the conclusion of the contract of sale</w:t>
      </w:r>
      <w:r w:rsidR="0044598F" w:rsidRPr="00AA0F6D">
        <w:t>, however, t</w:t>
      </w:r>
      <w:r w:rsidR="00B647DC" w:rsidRPr="00AA0F6D">
        <w:t xml:space="preserve">hat usage </w:t>
      </w:r>
      <w:r w:rsidR="00F6502A" w:rsidRPr="00AA0F6D">
        <w:t xml:space="preserve">pales into insignificance in respect </w:t>
      </w:r>
      <w:r w:rsidR="00FD415E" w:rsidRPr="00AA0F6D">
        <w:t xml:space="preserve">of </w:t>
      </w:r>
      <w:r w:rsidR="008E1DC0" w:rsidRPr="00AA0F6D">
        <w:t xml:space="preserve">assessing </w:t>
      </w:r>
      <w:r w:rsidR="00FD415E" w:rsidRPr="00AA0F6D">
        <w:t xml:space="preserve">the parties’ </w:t>
      </w:r>
      <w:r w:rsidR="00AA20C5" w:rsidRPr="00AA0F6D">
        <w:t xml:space="preserve">intended scope of the deed of sale and </w:t>
      </w:r>
      <w:r w:rsidR="00FD415E" w:rsidRPr="00AA0F6D">
        <w:t xml:space="preserve">intentions as to </w:t>
      </w:r>
      <w:r w:rsidR="00AA20C5" w:rsidRPr="00AA0F6D">
        <w:t xml:space="preserve">transfer of </w:t>
      </w:r>
      <w:r w:rsidR="00FD415E" w:rsidRPr="00AA0F6D">
        <w:t>ownership</w:t>
      </w:r>
      <w:r w:rsidR="00AA20C5" w:rsidRPr="00AA0F6D">
        <w:t xml:space="preserve"> of the immovable property</w:t>
      </w:r>
      <w:r w:rsidR="00D63574" w:rsidRPr="00AA0F6D">
        <w:t>.</w:t>
      </w:r>
      <w:r w:rsidR="00E02696" w:rsidRPr="00AA0F6D">
        <w:t xml:space="preserve"> That the defendant may never have intended to utilise a portion of the immovable property</w:t>
      </w:r>
      <w:r w:rsidR="00946724" w:rsidRPr="00AA0F6D">
        <w:t>, and permitted Piggeries to utilise same rent free,</w:t>
      </w:r>
      <w:r w:rsidR="00E02696" w:rsidRPr="00AA0F6D">
        <w:t xml:space="preserve"> </w:t>
      </w:r>
      <w:r w:rsidR="00BD1E67" w:rsidRPr="00AA0F6D">
        <w:t>does not</w:t>
      </w:r>
      <w:r w:rsidR="004020B5" w:rsidRPr="00AA0F6D">
        <w:t xml:space="preserve"> overtake </w:t>
      </w:r>
      <w:r w:rsidR="00BD1E67" w:rsidRPr="00AA0F6D">
        <w:t>the clear intention to purchase the immovable property in its entirety.</w:t>
      </w:r>
    </w:p>
    <w:p w14:paraId="3894CD86" w14:textId="77777777" w:rsidR="00191046" w:rsidRPr="00AA0F6D" w:rsidRDefault="00191046" w:rsidP="00191046">
      <w:pPr>
        <w:pStyle w:val="ListParagraph"/>
        <w:autoSpaceDE w:val="0"/>
        <w:autoSpaceDN w:val="0"/>
        <w:adjustRightInd w:val="0"/>
        <w:ind w:left="0"/>
        <w:jc w:val="both"/>
      </w:pPr>
    </w:p>
    <w:p w14:paraId="588A5146" w14:textId="72D9765D" w:rsidR="009E5BC3" w:rsidRPr="00AA0F6D" w:rsidRDefault="00A011F8" w:rsidP="00A011F8">
      <w:pPr>
        <w:autoSpaceDE w:val="0"/>
        <w:autoSpaceDN w:val="0"/>
        <w:adjustRightInd w:val="0"/>
        <w:jc w:val="both"/>
      </w:pPr>
      <w:r w:rsidRPr="00AA0F6D">
        <w:t>[45]</w:t>
      </w:r>
      <w:r w:rsidRPr="00AA0F6D">
        <w:tab/>
      </w:r>
      <w:r w:rsidR="00191046" w:rsidRPr="00AA0F6D">
        <w:t>In the event that this interpretation is erroneous, it may be added that clause</w:t>
      </w:r>
      <w:r w:rsidR="00D64764" w:rsidRPr="00AA0F6D">
        <w:t> </w:t>
      </w:r>
      <w:r w:rsidR="00EF36D0" w:rsidRPr="00AA0F6D">
        <w:t>24.5</w:t>
      </w:r>
      <w:r w:rsidR="00191046" w:rsidRPr="00AA0F6D">
        <w:t xml:space="preserve"> cannot be said to reflect ‘the principal purpose of the contract’.</w:t>
      </w:r>
      <w:r w:rsidR="00191046" w:rsidRPr="00AA0F6D">
        <w:rPr>
          <w:rStyle w:val="FootnoteReference"/>
        </w:rPr>
        <w:footnoteReference w:id="32"/>
      </w:r>
      <w:r w:rsidR="00191046" w:rsidRPr="00AA0F6D">
        <w:t xml:space="preserve"> Rather, it is a recording, by the seller, of future intended activities. The probable intention of the parties, as is apparent from the contract as a whole, was that the principal purpose of the contract was to enable the defendant to purchase the immovable property as a </w:t>
      </w:r>
      <w:r w:rsidR="00191046" w:rsidRPr="00AA0F6D">
        <w:lastRenderedPageBreak/>
        <w:t>whole, with the clause constituting only a subsidiary point.</w:t>
      </w:r>
      <w:r w:rsidR="00191046" w:rsidRPr="00AA0F6D">
        <w:rPr>
          <w:rStyle w:val="FootnoteReference"/>
        </w:rPr>
        <w:footnoteReference w:id="33"/>
      </w:r>
      <w:r w:rsidR="00E8789F" w:rsidRPr="00AA0F6D">
        <w:t xml:space="preserve"> As judgments of the SCA have indicated, </w:t>
      </w:r>
      <w:r w:rsidR="00FF2C31" w:rsidRPr="00AA0F6D">
        <w:t>while the agreement for future cooperation with the defendant may have been included in the contract of sale, and was therefore practically linked, juristically they may be treated separately</w:t>
      </w:r>
      <w:r w:rsidR="00913BE0" w:rsidRPr="00AA0F6D">
        <w:t>.</w:t>
      </w:r>
      <w:r w:rsidR="00913BE0" w:rsidRPr="00AA0F6D">
        <w:rPr>
          <w:rStyle w:val="FootnoteReference"/>
        </w:rPr>
        <w:footnoteReference w:id="34"/>
      </w:r>
      <w:r w:rsidR="00727513" w:rsidRPr="00AA0F6D">
        <w:t xml:space="preserve"> This was the probable intention of the parties</w:t>
      </w:r>
      <w:r w:rsidR="00F67DC2" w:rsidRPr="00AA0F6D">
        <w:t>, which is the key principle for determining severability</w:t>
      </w:r>
      <w:r w:rsidR="00727513" w:rsidRPr="00AA0F6D">
        <w:t>.</w:t>
      </w:r>
      <w:r w:rsidR="00727513" w:rsidRPr="00AA0F6D">
        <w:rPr>
          <w:rStyle w:val="FootnoteReference"/>
        </w:rPr>
        <w:footnoteReference w:id="35"/>
      </w:r>
      <w:r w:rsidR="00913BE0" w:rsidRPr="00AA0F6D">
        <w:t xml:space="preserve"> </w:t>
      </w:r>
      <w:r w:rsidR="00EA15A4" w:rsidRPr="00AA0F6D">
        <w:t>The wording of the clause suggests separate or distinct performance, so that the agreement to cooperate on a future date is divisible.</w:t>
      </w:r>
      <w:r w:rsidR="00367616" w:rsidRPr="00AA0F6D">
        <w:rPr>
          <w:rStyle w:val="FootnoteReference"/>
        </w:rPr>
        <w:footnoteReference w:id="36"/>
      </w:r>
      <w:r w:rsidR="00EA15A4" w:rsidRPr="00AA0F6D">
        <w:t xml:space="preserve"> </w:t>
      </w:r>
      <w:r w:rsidR="006A5ECF" w:rsidRPr="00AA0F6D">
        <w:t xml:space="preserve">In support of this assessment, </w:t>
      </w:r>
      <w:r w:rsidR="002501D7" w:rsidRPr="00AA0F6D">
        <w:t xml:space="preserve">and applying the test cited in </w:t>
      </w:r>
      <w:r w:rsidR="002501D7" w:rsidRPr="00A011F8">
        <w:rPr>
          <w:i/>
          <w:iCs/>
        </w:rPr>
        <w:t>Bob’s Shoe Centre v Heneways Freight Services (Pty) Ltd</w:t>
      </w:r>
      <w:r w:rsidR="002501D7" w:rsidRPr="00AA0F6D">
        <w:t>,</w:t>
      </w:r>
      <w:r w:rsidR="002501D7" w:rsidRPr="00A011F8">
        <w:rPr>
          <w:i/>
          <w:iCs/>
        </w:rPr>
        <w:t xml:space="preserve"> </w:t>
      </w:r>
      <w:r w:rsidR="006A5ECF" w:rsidRPr="00AA0F6D">
        <w:t>it is apparent that the parties would have entered into the contract even without that provision.</w:t>
      </w:r>
      <w:r w:rsidR="004644C2" w:rsidRPr="00AA0F6D">
        <w:rPr>
          <w:rStyle w:val="FootnoteReference"/>
        </w:rPr>
        <w:footnoteReference w:id="37"/>
      </w:r>
      <w:r w:rsidR="006A5ECF" w:rsidRPr="00AA0F6D">
        <w:t xml:space="preserve"> </w:t>
      </w:r>
      <w:r w:rsidR="00465028" w:rsidRPr="00AA0F6D">
        <w:t>The consequences for the plaintiff’s alternative claim remains the same</w:t>
      </w:r>
      <w:r w:rsidR="007F1E49" w:rsidRPr="00AA0F6D">
        <w:t xml:space="preserve"> throughout the analysis</w:t>
      </w:r>
      <w:r w:rsidR="00465028" w:rsidRPr="00AA0F6D">
        <w:t>.</w:t>
      </w:r>
      <w:r w:rsidR="00225CB4" w:rsidRPr="00AA0F6D">
        <w:rPr>
          <w:rStyle w:val="FootnoteReference"/>
        </w:rPr>
        <w:footnoteReference w:id="38"/>
      </w:r>
      <w:r w:rsidR="00465028" w:rsidRPr="00AA0F6D">
        <w:t xml:space="preserve"> It </w:t>
      </w:r>
      <w:r w:rsidR="00D84B69" w:rsidRPr="00AA0F6D">
        <w:t>stands to</w:t>
      </w:r>
      <w:r w:rsidR="000B7E3F" w:rsidRPr="00AA0F6D">
        <w:t xml:space="preserve"> be dismissed.</w:t>
      </w:r>
    </w:p>
    <w:p w14:paraId="4393891C" w14:textId="160D3FEF" w:rsidR="00ED3AF1" w:rsidRPr="00AA0F6D" w:rsidRDefault="00ED3AF1" w:rsidP="00BF6005">
      <w:pPr>
        <w:pStyle w:val="ListParagraph"/>
        <w:autoSpaceDE w:val="0"/>
        <w:autoSpaceDN w:val="0"/>
        <w:adjustRightInd w:val="0"/>
        <w:ind w:left="0"/>
        <w:jc w:val="both"/>
        <w:rPr>
          <w:sz w:val="22"/>
          <w:szCs w:val="22"/>
        </w:rPr>
      </w:pPr>
    </w:p>
    <w:p w14:paraId="155A6DBF" w14:textId="7EF315A6" w:rsidR="000107AD" w:rsidRPr="00AA0F6D" w:rsidRDefault="000107AD" w:rsidP="00BF6005">
      <w:pPr>
        <w:pStyle w:val="ListParagraph"/>
        <w:autoSpaceDE w:val="0"/>
        <w:autoSpaceDN w:val="0"/>
        <w:adjustRightInd w:val="0"/>
        <w:ind w:left="0"/>
        <w:jc w:val="both"/>
        <w:rPr>
          <w:b/>
          <w:bCs/>
          <w:i/>
          <w:iCs/>
          <w:sz w:val="22"/>
          <w:szCs w:val="22"/>
        </w:rPr>
      </w:pPr>
      <w:r w:rsidRPr="00AA0F6D">
        <w:rPr>
          <w:b/>
          <w:bCs/>
          <w:i/>
          <w:iCs/>
          <w:sz w:val="22"/>
          <w:szCs w:val="22"/>
        </w:rPr>
        <w:t>The main claim</w:t>
      </w:r>
    </w:p>
    <w:p w14:paraId="4E928AF3" w14:textId="77777777" w:rsidR="000107AD" w:rsidRPr="00AA0F6D" w:rsidRDefault="000107AD" w:rsidP="00BF6005">
      <w:pPr>
        <w:pStyle w:val="ListParagraph"/>
        <w:autoSpaceDE w:val="0"/>
        <w:autoSpaceDN w:val="0"/>
        <w:adjustRightInd w:val="0"/>
        <w:ind w:left="0"/>
        <w:jc w:val="both"/>
        <w:rPr>
          <w:b/>
          <w:bCs/>
          <w:i/>
          <w:iCs/>
          <w:sz w:val="22"/>
          <w:szCs w:val="22"/>
        </w:rPr>
      </w:pPr>
    </w:p>
    <w:p w14:paraId="661F2B3A" w14:textId="1BFE8F39" w:rsidR="00DF73D3" w:rsidRPr="00AA0F6D" w:rsidRDefault="00A011F8" w:rsidP="00A011F8">
      <w:pPr>
        <w:autoSpaceDE w:val="0"/>
        <w:autoSpaceDN w:val="0"/>
        <w:adjustRightInd w:val="0"/>
        <w:jc w:val="both"/>
      </w:pPr>
      <w:r w:rsidRPr="00AA0F6D">
        <w:t>[46]</w:t>
      </w:r>
      <w:r w:rsidRPr="00AA0F6D">
        <w:tab/>
      </w:r>
      <w:r w:rsidR="00D651C9" w:rsidRPr="00A011F8">
        <w:rPr>
          <w:i/>
          <w:iCs/>
        </w:rPr>
        <w:t>Mr Nepgen</w:t>
      </w:r>
      <w:r w:rsidR="00D651C9" w:rsidRPr="00AA0F6D">
        <w:t>, for the plaintiff, submitted</w:t>
      </w:r>
      <w:r w:rsidR="000107AD" w:rsidRPr="00AA0F6D">
        <w:t xml:space="preserve"> </w:t>
      </w:r>
      <w:r w:rsidR="00D651C9" w:rsidRPr="00AA0F6D">
        <w:t xml:space="preserve">that the relief seeking the correction of the Register of Deeds to reflect the ownership of the plaintiff would effectively be vindicatory in nature. </w:t>
      </w:r>
      <w:r w:rsidR="009E3638" w:rsidRPr="00AA0F6D">
        <w:t xml:space="preserve">In the case of a </w:t>
      </w:r>
      <w:r w:rsidR="009E3638" w:rsidRPr="00A011F8">
        <w:rPr>
          <w:i/>
          <w:iCs/>
        </w:rPr>
        <w:t>rei vindicatio</w:t>
      </w:r>
      <w:r w:rsidR="009E3638" w:rsidRPr="00AA0F6D">
        <w:t>, the claimant seeks to vindicate an asset of which he is the owner. This is based on a right to recover the asset from a possessor, as an incident of a real right of ownership.</w:t>
      </w:r>
      <w:r w:rsidR="009E3638" w:rsidRPr="00AA0F6D">
        <w:rPr>
          <w:rStyle w:val="FootnoteReference"/>
        </w:rPr>
        <w:footnoteReference w:id="39"/>
      </w:r>
    </w:p>
    <w:p w14:paraId="54CA4269" w14:textId="77777777" w:rsidR="00DF73D3" w:rsidRPr="00AA0F6D" w:rsidRDefault="00DF73D3" w:rsidP="00DF73D3">
      <w:pPr>
        <w:pStyle w:val="ListParagraph"/>
      </w:pPr>
    </w:p>
    <w:p w14:paraId="44E52257" w14:textId="3C71D137" w:rsidR="00C763BA" w:rsidRPr="00AA0F6D" w:rsidRDefault="00A011F8" w:rsidP="00A011F8">
      <w:pPr>
        <w:autoSpaceDE w:val="0"/>
        <w:autoSpaceDN w:val="0"/>
        <w:adjustRightInd w:val="0"/>
        <w:jc w:val="both"/>
      </w:pPr>
      <w:r w:rsidRPr="00AA0F6D">
        <w:t>[47]</w:t>
      </w:r>
      <w:r w:rsidRPr="00AA0F6D">
        <w:tab/>
      </w:r>
      <w:r w:rsidR="008A2A64" w:rsidRPr="00AA0F6D">
        <w:t>That being the pleaded case, t</w:t>
      </w:r>
      <w:r w:rsidR="00797C06" w:rsidRPr="00AA0F6D">
        <w:t>he difficulty for the plaintiff is immediately apparent</w:t>
      </w:r>
      <w:r w:rsidR="004A2B8E" w:rsidRPr="00AA0F6D">
        <w:t xml:space="preserve"> considering the evidence</w:t>
      </w:r>
      <w:r w:rsidR="00797C06" w:rsidRPr="00AA0F6D">
        <w:t xml:space="preserve">. </w:t>
      </w:r>
      <w:r w:rsidR="00F54759" w:rsidRPr="00AA0F6D">
        <w:t>O</w:t>
      </w:r>
      <w:r w:rsidR="00BC1045" w:rsidRPr="00AA0F6D">
        <w:t xml:space="preserve">nce a transferor has transferred an object, even by virtue of an invalid </w:t>
      </w:r>
      <w:r w:rsidR="00BC1045" w:rsidRPr="00A011F8">
        <w:rPr>
          <w:i/>
          <w:iCs/>
        </w:rPr>
        <w:t>causa</w:t>
      </w:r>
      <w:r w:rsidR="00BC1045" w:rsidRPr="00AA0F6D">
        <w:t xml:space="preserve">, ownership passes to the transferee and the transferor is deprived of the </w:t>
      </w:r>
      <w:r w:rsidR="00BC1045" w:rsidRPr="00A011F8">
        <w:rPr>
          <w:i/>
          <w:iCs/>
        </w:rPr>
        <w:t>rei vindicatio</w:t>
      </w:r>
      <w:r w:rsidR="00BC1045" w:rsidRPr="00AA0F6D">
        <w:t>.</w:t>
      </w:r>
      <w:r w:rsidR="00BC1045" w:rsidRPr="00AA0F6D">
        <w:rPr>
          <w:rStyle w:val="FootnoteReference"/>
        </w:rPr>
        <w:footnoteReference w:id="40"/>
      </w:r>
      <w:r w:rsidR="009010E7" w:rsidRPr="00AA0F6D">
        <w:t xml:space="preserve"> </w:t>
      </w:r>
      <w:r w:rsidR="00777B31" w:rsidRPr="00AA0F6D">
        <w:t xml:space="preserve">For that remedy, </w:t>
      </w:r>
      <w:r w:rsidR="001C46A3" w:rsidRPr="00AA0F6D">
        <w:t>o</w:t>
      </w:r>
      <w:r w:rsidR="00F06802" w:rsidRPr="00AA0F6D">
        <w:t xml:space="preserve">wnership was an essential averment </w:t>
      </w:r>
      <w:r w:rsidR="00F06802" w:rsidRPr="00AA0F6D">
        <w:lastRenderedPageBreak/>
        <w:t xml:space="preserve">and had to be adequately proved </w:t>
      </w:r>
      <w:r w:rsidR="00560862" w:rsidRPr="00AA0F6D">
        <w:t>by the plaintiff</w:t>
      </w:r>
      <w:r w:rsidR="004C3C35" w:rsidRPr="00AA0F6D">
        <w:t xml:space="preserve"> on a balance of probabilities</w:t>
      </w:r>
      <w:r w:rsidR="00560862" w:rsidRPr="00AA0F6D">
        <w:t>.</w:t>
      </w:r>
      <w:r w:rsidR="002D3A15" w:rsidRPr="00AA0F6D">
        <w:rPr>
          <w:rStyle w:val="FootnoteReference"/>
        </w:rPr>
        <w:footnoteReference w:id="41"/>
      </w:r>
      <w:r w:rsidR="002D3A15" w:rsidRPr="00AA0F6D">
        <w:t xml:space="preserve"> </w:t>
      </w:r>
      <w:r w:rsidR="00B958CA" w:rsidRPr="00AA0F6D">
        <w:t>Failure to adduce proper proof would result in the failure of vindicatory proceedings, irrespective of the defendant’s own entitlement.</w:t>
      </w:r>
      <w:r w:rsidR="00042934" w:rsidRPr="00AA0F6D">
        <w:rPr>
          <w:rStyle w:val="FootnoteReference"/>
        </w:rPr>
        <w:footnoteReference w:id="42"/>
      </w:r>
      <w:r w:rsidR="00B958CA" w:rsidRPr="00AA0F6D">
        <w:t xml:space="preserve"> </w:t>
      </w:r>
      <w:r w:rsidR="009804C3" w:rsidRPr="00AA0F6D">
        <w:t>Considering the evidence presented,</w:t>
      </w:r>
      <w:r w:rsidR="004449E9" w:rsidRPr="00AA0F6D">
        <w:t xml:space="preserve"> including the</w:t>
      </w:r>
      <w:r w:rsidR="004536DF" w:rsidRPr="00AA0F6D">
        <w:t xml:space="preserve"> admitted</w:t>
      </w:r>
      <w:r w:rsidR="004449E9" w:rsidRPr="00AA0F6D">
        <w:t xml:space="preserve"> </w:t>
      </w:r>
      <w:r w:rsidR="00C424A7" w:rsidRPr="00AA0F6D">
        <w:t>registration</w:t>
      </w:r>
      <w:r w:rsidR="004449E9" w:rsidRPr="00AA0F6D">
        <w:t xml:space="preserve"> </w:t>
      </w:r>
      <w:r w:rsidR="002E30FE" w:rsidRPr="00AA0F6D">
        <w:t xml:space="preserve">of the immovable property </w:t>
      </w:r>
      <w:r w:rsidR="000D3F48" w:rsidRPr="00AA0F6D">
        <w:t>in the name of</w:t>
      </w:r>
      <w:r w:rsidR="004449E9" w:rsidRPr="00AA0F6D">
        <w:t xml:space="preserve"> the </w:t>
      </w:r>
      <w:r w:rsidR="00314C5D" w:rsidRPr="00AA0F6D">
        <w:t>defendant,</w:t>
      </w:r>
      <w:r w:rsidR="00B70686" w:rsidRPr="00AA0F6D">
        <w:rPr>
          <w:rStyle w:val="FootnoteReference"/>
        </w:rPr>
        <w:footnoteReference w:id="43"/>
      </w:r>
      <w:r w:rsidR="009804C3" w:rsidRPr="00AA0F6D">
        <w:t xml:space="preserve"> the plaintiff has failed to prove that it is the owner of the immovable property on a balance of probabilities.</w:t>
      </w:r>
      <w:r w:rsidR="00873BE2" w:rsidRPr="00AA0F6D">
        <w:rPr>
          <w:rStyle w:val="FootnoteReference"/>
        </w:rPr>
        <w:footnoteReference w:id="44"/>
      </w:r>
      <w:r w:rsidR="009804C3" w:rsidRPr="00AA0F6D">
        <w:t xml:space="preserve"> </w:t>
      </w:r>
      <w:r w:rsidR="002A5EE2" w:rsidRPr="00AA0F6D">
        <w:t xml:space="preserve">To the extent that the main claim is vindicatory in nature, the plaintiff </w:t>
      </w:r>
      <w:r w:rsidR="0061740C" w:rsidRPr="00AA0F6D">
        <w:t xml:space="preserve">therefore </w:t>
      </w:r>
      <w:r w:rsidR="002A5EE2" w:rsidRPr="00AA0F6D">
        <w:t>fails at the first hurdle.</w:t>
      </w:r>
      <w:r w:rsidR="00C763BA" w:rsidRPr="00AA0F6D">
        <w:t xml:space="preserve"> </w:t>
      </w:r>
      <w:r w:rsidR="00F70C1E" w:rsidRPr="00AA0F6D">
        <w:t xml:space="preserve">For the sake of completeness, </w:t>
      </w:r>
      <w:r w:rsidR="00AE7BC2" w:rsidRPr="00AA0F6D">
        <w:t xml:space="preserve">what remains is to consider the main claim </w:t>
      </w:r>
      <w:r w:rsidR="007B4F60" w:rsidRPr="00AA0F6D">
        <w:t>outside of this categorisation.</w:t>
      </w:r>
    </w:p>
    <w:p w14:paraId="256344A4" w14:textId="77777777" w:rsidR="00C763BA" w:rsidRPr="00AA0F6D" w:rsidRDefault="00C763BA" w:rsidP="00C763BA">
      <w:pPr>
        <w:pStyle w:val="ListParagraph"/>
        <w:rPr>
          <w:i/>
          <w:iCs/>
        </w:rPr>
      </w:pPr>
    </w:p>
    <w:p w14:paraId="050064EA" w14:textId="4AB9DF75" w:rsidR="00BF6005" w:rsidRPr="00AA0F6D" w:rsidRDefault="00A011F8" w:rsidP="00A011F8">
      <w:pPr>
        <w:autoSpaceDE w:val="0"/>
        <w:autoSpaceDN w:val="0"/>
        <w:adjustRightInd w:val="0"/>
        <w:jc w:val="both"/>
      </w:pPr>
      <w:r w:rsidRPr="00AA0F6D">
        <w:t>[48]</w:t>
      </w:r>
      <w:r w:rsidRPr="00AA0F6D">
        <w:tab/>
      </w:r>
      <w:r w:rsidR="00DF73D3" w:rsidRPr="00A011F8">
        <w:rPr>
          <w:i/>
          <w:iCs/>
        </w:rPr>
        <w:t>Mr De La Harpe</w:t>
      </w:r>
      <w:r w:rsidR="00CF2252" w:rsidRPr="00AA0F6D">
        <w:t xml:space="preserve"> </w:t>
      </w:r>
      <w:r w:rsidR="00DF73D3" w:rsidRPr="00AA0F6D">
        <w:t>pointed out</w:t>
      </w:r>
      <w:r w:rsidR="003339E4" w:rsidRPr="00AA0F6D">
        <w:t xml:space="preserve"> that</w:t>
      </w:r>
      <w:r w:rsidR="00DF73D3" w:rsidRPr="00AA0F6D">
        <w:t xml:space="preserve"> the plaintiff’s claim, properly construed, was not based on alleged (present) ownership of the immovable property and, consequently, could not be vindicatory.</w:t>
      </w:r>
      <w:r w:rsidR="009A386D" w:rsidRPr="00AA0F6D">
        <w:rPr>
          <w:rStyle w:val="FootnoteReference"/>
        </w:rPr>
        <w:footnoteReference w:id="45"/>
      </w:r>
      <w:r w:rsidR="00EB072B" w:rsidRPr="00AA0F6D">
        <w:t xml:space="preserve"> </w:t>
      </w:r>
      <w:r w:rsidR="00C050B0" w:rsidRPr="00AA0F6D">
        <w:t>Indeed, t</w:t>
      </w:r>
      <w:r w:rsidR="006078E8" w:rsidRPr="00AA0F6D">
        <w:t xml:space="preserve">hat </w:t>
      </w:r>
      <w:r w:rsidR="00C050B0" w:rsidRPr="00AA0F6D">
        <w:t>approach</w:t>
      </w:r>
      <w:r w:rsidR="006078E8" w:rsidRPr="00AA0F6D">
        <w:t>, and reliance on</w:t>
      </w:r>
      <w:r w:rsidR="00D651C9" w:rsidRPr="00AA0F6D">
        <w:t xml:space="preserve"> </w:t>
      </w:r>
      <w:r w:rsidR="004D0173" w:rsidRPr="00AA0F6D">
        <w:t xml:space="preserve">the SCA decision in </w:t>
      </w:r>
      <w:r w:rsidR="00D651C9" w:rsidRPr="00A011F8">
        <w:rPr>
          <w:i/>
          <w:iCs/>
        </w:rPr>
        <w:t>Absa Bank Limited v Keet</w:t>
      </w:r>
      <w:r w:rsidR="0044068F" w:rsidRPr="00A011F8">
        <w:rPr>
          <w:i/>
          <w:iCs/>
        </w:rPr>
        <w:t xml:space="preserve"> </w:t>
      </w:r>
      <w:r w:rsidR="0044068F" w:rsidRPr="00AA0F6D">
        <w:t>(‘</w:t>
      </w:r>
      <w:r w:rsidR="0044068F" w:rsidRPr="00A011F8">
        <w:rPr>
          <w:i/>
          <w:iCs/>
        </w:rPr>
        <w:t>Keet</w:t>
      </w:r>
      <w:r w:rsidR="0044068F" w:rsidRPr="00AA0F6D">
        <w:t>’)</w:t>
      </w:r>
      <w:r w:rsidR="002A3AD3" w:rsidRPr="00AA0F6D">
        <w:t>,</w:t>
      </w:r>
      <w:r w:rsidR="00D651C9" w:rsidRPr="00AA0F6D">
        <w:rPr>
          <w:rStyle w:val="FootnoteReference"/>
        </w:rPr>
        <w:footnoteReference w:id="46"/>
      </w:r>
      <w:r w:rsidR="002A3AD3" w:rsidRPr="00AA0F6D">
        <w:t xml:space="preserve"> </w:t>
      </w:r>
      <w:r w:rsidR="009137D4" w:rsidRPr="00AA0F6D">
        <w:t>appears to have been designed purely to avoid the plaintiff’s difficult</w:t>
      </w:r>
      <w:r w:rsidR="00662877" w:rsidRPr="00AA0F6D">
        <w:t>ies</w:t>
      </w:r>
      <w:r w:rsidR="009137D4" w:rsidRPr="00AA0F6D">
        <w:t xml:space="preserve"> in </w:t>
      </w:r>
      <w:r w:rsidR="00662877" w:rsidRPr="00AA0F6D">
        <w:t>overcoming the prescription point, on the basis that the claim was not a ‘debt’ and had consequently not prescribed.</w:t>
      </w:r>
    </w:p>
    <w:p w14:paraId="75A0A6F3" w14:textId="77777777" w:rsidR="00662877" w:rsidRPr="00AA0F6D" w:rsidRDefault="00662877" w:rsidP="00AA0F6D"/>
    <w:p w14:paraId="1223C994" w14:textId="62D8D84F" w:rsidR="00D65732" w:rsidRPr="00AA0F6D" w:rsidRDefault="00A011F8" w:rsidP="00A011F8">
      <w:pPr>
        <w:autoSpaceDE w:val="0"/>
        <w:autoSpaceDN w:val="0"/>
        <w:adjustRightInd w:val="0"/>
        <w:jc w:val="both"/>
      </w:pPr>
      <w:r w:rsidRPr="00AA0F6D">
        <w:t>[49]</w:t>
      </w:r>
      <w:r w:rsidRPr="00AA0F6D">
        <w:tab/>
      </w:r>
      <w:r w:rsidR="00662877" w:rsidRPr="00A011F8">
        <w:rPr>
          <w:i/>
          <w:iCs/>
        </w:rPr>
        <w:t xml:space="preserve">Keet </w:t>
      </w:r>
      <w:r w:rsidR="00662877" w:rsidRPr="00AA0F6D">
        <w:t>is distinguishable on the facts.</w:t>
      </w:r>
      <w:r w:rsidR="00625CE5" w:rsidRPr="00AA0F6D">
        <w:rPr>
          <w:rStyle w:val="FootnoteReference"/>
        </w:rPr>
        <w:footnoteReference w:id="47"/>
      </w:r>
      <w:r w:rsidR="00794441" w:rsidRPr="00AA0F6D">
        <w:t xml:space="preserve"> </w:t>
      </w:r>
      <w:r w:rsidR="00DA1931" w:rsidRPr="00AA0F6D">
        <w:t xml:space="preserve">In </w:t>
      </w:r>
      <w:r w:rsidR="00DA1931" w:rsidRPr="00A011F8">
        <w:rPr>
          <w:i/>
          <w:iCs/>
        </w:rPr>
        <w:t>Keet</w:t>
      </w:r>
      <w:r w:rsidR="00DA1931" w:rsidRPr="00AA0F6D">
        <w:t>, it was an express term of the agreement that ownership of the vehicle sold would not pass to the respondent until all amounts owing under the agreement had been paid in full. It was a further term of the agreement that, if the respondent failed to comply with any provisions of the agreement, or failed to make any payment in terms thereof, the appellant would be entitled to the return and possession of the vehicle.</w:t>
      </w:r>
      <w:r w:rsidR="00DA1931" w:rsidRPr="00AA0F6D">
        <w:rPr>
          <w:rStyle w:val="FootnoteReference"/>
        </w:rPr>
        <w:footnoteReference w:id="48"/>
      </w:r>
      <w:r w:rsidR="004D2A35" w:rsidRPr="00AA0F6D">
        <w:t xml:space="preserve"> As was the case in </w:t>
      </w:r>
      <w:r w:rsidR="004D2A35" w:rsidRPr="00A011F8">
        <w:rPr>
          <w:i/>
          <w:iCs/>
        </w:rPr>
        <w:t xml:space="preserve">Staegemann </w:t>
      </w:r>
      <w:r w:rsidR="004D2A35" w:rsidRPr="00A011F8">
        <w:rPr>
          <w:i/>
          <w:iCs/>
        </w:rPr>
        <w:lastRenderedPageBreak/>
        <w:t>v Langhoven</w:t>
      </w:r>
      <w:r w:rsidR="004D0173" w:rsidRPr="00AA0F6D">
        <w:t>,</w:t>
      </w:r>
      <w:r w:rsidR="004D2A35" w:rsidRPr="00AA0F6D">
        <w:rPr>
          <w:rStyle w:val="FootnoteReference"/>
        </w:rPr>
        <w:footnoteReference w:id="49"/>
      </w:r>
      <w:r w:rsidR="004D0173" w:rsidRPr="00AA0F6D">
        <w:t xml:space="preserve"> upon which the SCA in </w:t>
      </w:r>
      <w:r w:rsidR="004D0173" w:rsidRPr="00A011F8">
        <w:rPr>
          <w:i/>
          <w:iCs/>
        </w:rPr>
        <w:t>Keet</w:t>
      </w:r>
      <w:r w:rsidR="004D0173" w:rsidRPr="00AA0F6D">
        <w:t xml:space="preserve"> relied, the applicant claimed the return of </w:t>
      </w:r>
      <w:r w:rsidR="004D0173" w:rsidRPr="00A011F8">
        <w:rPr>
          <w:i/>
          <w:iCs/>
        </w:rPr>
        <w:t>his</w:t>
      </w:r>
      <w:r w:rsidR="004D0173" w:rsidRPr="00AA0F6D">
        <w:t xml:space="preserve"> vehicle</w:t>
      </w:r>
      <w:r w:rsidR="00C344DF" w:rsidRPr="00AA0F6D">
        <w:t>. The claim, being based on ownership of a thing, was vindicatory and therefore could not be described as a debt as envisaged by the Prescription Act.</w:t>
      </w:r>
      <w:r w:rsidR="00DB48C1" w:rsidRPr="00AA0F6D">
        <w:rPr>
          <w:rStyle w:val="FootnoteReference"/>
        </w:rPr>
        <w:footnoteReference w:id="50"/>
      </w:r>
    </w:p>
    <w:p w14:paraId="01F8E14D" w14:textId="77777777" w:rsidR="00D65732" w:rsidRPr="00AA0F6D" w:rsidRDefault="00D65732" w:rsidP="00D65732">
      <w:pPr>
        <w:pStyle w:val="ListParagraph"/>
      </w:pPr>
    </w:p>
    <w:p w14:paraId="51050C46" w14:textId="30FC7685" w:rsidR="0044068F" w:rsidRPr="00AA0F6D" w:rsidRDefault="00A011F8" w:rsidP="00A011F8">
      <w:pPr>
        <w:autoSpaceDE w:val="0"/>
        <w:autoSpaceDN w:val="0"/>
        <w:adjustRightInd w:val="0"/>
        <w:jc w:val="both"/>
      </w:pPr>
      <w:r w:rsidRPr="00AA0F6D">
        <w:t>[50]</w:t>
      </w:r>
      <w:r w:rsidRPr="00AA0F6D">
        <w:tab/>
      </w:r>
      <w:r w:rsidR="00D65732" w:rsidRPr="00A011F8">
        <w:rPr>
          <w:i/>
          <w:iCs/>
        </w:rPr>
        <w:t>Leketi v Tladi NO and Others</w:t>
      </w:r>
      <w:r w:rsidR="00ED4792" w:rsidRPr="00A011F8">
        <w:rPr>
          <w:i/>
          <w:iCs/>
        </w:rPr>
        <w:t xml:space="preserve"> </w:t>
      </w:r>
      <w:r w:rsidR="00ED4792" w:rsidRPr="00AA0F6D">
        <w:t>(‘</w:t>
      </w:r>
      <w:r w:rsidR="00ED4792" w:rsidRPr="00A011F8">
        <w:rPr>
          <w:i/>
          <w:iCs/>
        </w:rPr>
        <w:t>Leketi</w:t>
      </w:r>
      <w:r w:rsidR="00ED4792" w:rsidRPr="00AA0F6D">
        <w:t>’)</w:t>
      </w:r>
      <w:r w:rsidR="00F73259" w:rsidRPr="00AA0F6D">
        <w:t xml:space="preserve"> appears to be closer to the mark.</w:t>
      </w:r>
      <w:r w:rsidR="00D65732" w:rsidRPr="00AA0F6D">
        <w:rPr>
          <w:rStyle w:val="FootnoteReference"/>
        </w:rPr>
        <w:footnoteReference w:id="51"/>
      </w:r>
      <w:r w:rsidR="00CA71DC" w:rsidRPr="00AA0F6D">
        <w:t xml:space="preserve"> </w:t>
      </w:r>
      <w:r w:rsidR="00AB6D01" w:rsidRPr="00AA0F6D">
        <w:t>Here t</w:t>
      </w:r>
      <w:r w:rsidR="00CA71DC" w:rsidRPr="00AA0F6D">
        <w:t>he appellant claimed that the immovable property in question was the property of his late father</w:t>
      </w:r>
      <w:r w:rsidR="006340C1" w:rsidRPr="00AA0F6D">
        <w:t xml:space="preserve"> (‘GM’)</w:t>
      </w:r>
      <w:r w:rsidR="006F21C5" w:rsidRPr="00AA0F6D">
        <w:t xml:space="preserve">, and that he </w:t>
      </w:r>
      <w:r w:rsidR="00FE7AAE" w:rsidRPr="00AA0F6D">
        <w:t xml:space="preserve">had a right to the property in terms of ‘intestate devolution according to Black custom’. Instead, his grandfather </w:t>
      </w:r>
      <w:r w:rsidR="006340C1" w:rsidRPr="00AA0F6D">
        <w:t xml:space="preserve">(‘AM’) </w:t>
      </w:r>
      <w:r w:rsidR="00FE7AAE" w:rsidRPr="00AA0F6D">
        <w:t xml:space="preserve">had fraudulently caused the property to be transferred and registered in his name by representing to the Registrar of Deeds, Pretoria, that he was the only male heir of </w:t>
      </w:r>
      <w:r w:rsidR="006340C1" w:rsidRPr="00AA0F6D">
        <w:t>GM</w:t>
      </w:r>
      <w:r w:rsidR="00751325" w:rsidRPr="00AA0F6D">
        <w:t>. AM had subsequently executed a will in which he bequeathed the disputed property to other people.</w:t>
      </w:r>
      <w:r w:rsidR="00505E60" w:rsidRPr="00AA0F6D">
        <w:t xml:space="preserve"> The appellant’s claim </w:t>
      </w:r>
      <w:r w:rsidR="00477992" w:rsidRPr="00AA0F6D">
        <w:t xml:space="preserve">was for a declarator and vindicatory relief aimed at recovering </w:t>
      </w:r>
      <w:r w:rsidR="00834E59" w:rsidRPr="00AA0F6D">
        <w:t xml:space="preserve">the property </w:t>
      </w:r>
      <w:r w:rsidR="00477992" w:rsidRPr="00AA0F6D">
        <w:t>from AM’s estate</w:t>
      </w:r>
      <w:r w:rsidR="001965EA" w:rsidRPr="00AA0F6D">
        <w:t>.</w:t>
      </w:r>
      <w:r w:rsidR="005E24AD" w:rsidRPr="00AA0F6D">
        <w:t xml:space="preserve"> The SCA concluded that the appellant could have acquired knowledge of AM’s fraud </w:t>
      </w:r>
      <w:r w:rsidR="00D93284" w:rsidRPr="00AA0F6D">
        <w:t>sooner, through the exercise of reasonable care, so that the claim had prescribed.</w:t>
      </w:r>
    </w:p>
    <w:p w14:paraId="014ED76A" w14:textId="77777777" w:rsidR="008375AF" w:rsidRPr="00AA0F6D" w:rsidRDefault="008375AF" w:rsidP="00AA0F6D"/>
    <w:p w14:paraId="288E974B" w14:textId="1C40312C" w:rsidR="008375AF" w:rsidRPr="00AA0F6D" w:rsidRDefault="00A011F8" w:rsidP="00A011F8">
      <w:pPr>
        <w:autoSpaceDE w:val="0"/>
        <w:autoSpaceDN w:val="0"/>
        <w:adjustRightInd w:val="0"/>
        <w:jc w:val="both"/>
      </w:pPr>
      <w:r w:rsidRPr="00AA0F6D">
        <w:t>[51]</w:t>
      </w:r>
      <w:r w:rsidRPr="00AA0F6D">
        <w:tab/>
      </w:r>
      <w:r w:rsidR="00926FCE" w:rsidRPr="00AA0F6D">
        <w:t xml:space="preserve">Importantly, the SCA in </w:t>
      </w:r>
      <w:r w:rsidR="00926FCE" w:rsidRPr="00A011F8">
        <w:rPr>
          <w:i/>
          <w:iCs/>
        </w:rPr>
        <w:t xml:space="preserve">Keet </w:t>
      </w:r>
      <w:r w:rsidR="00926FCE" w:rsidRPr="00AA0F6D">
        <w:t xml:space="preserve">noted the distinction between vindicatory claims and </w:t>
      </w:r>
      <w:r w:rsidR="00C37EFF" w:rsidRPr="00AA0F6D">
        <w:t xml:space="preserve">the claim in </w:t>
      </w:r>
      <w:r w:rsidR="00C37EFF" w:rsidRPr="00A011F8">
        <w:rPr>
          <w:i/>
          <w:iCs/>
        </w:rPr>
        <w:t xml:space="preserve">Leketi </w:t>
      </w:r>
      <w:r w:rsidR="00926FCE" w:rsidRPr="00AA0F6D">
        <w:t>for ‘recovery’ of immovable property that was allegedly transferred fraudulently</w:t>
      </w:r>
      <w:r w:rsidR="008E769D" w:rsidRPr="00AA0F6D">
        <w:t>:</w:t>
      </w:r>
    </w:p>
    <w:p w14:paraId="446F36E5" w14:textId="48A351EC" w:rsidR="008E769D" w:rsidRPr="00AA0F6D" w:rsidRDefault="008E769D" w:rsidP="008E769D">
      <w:pPr>
        <w:pStyle w:val="ListParagraph"/>
        <w:autoSpaceDE w:val="0"/>
        <w:autoSpaceDN w:val="0"/>
        <w:adjustRightInd w:val="0"/>
        <w:ind w:left="0"/>
        <w:jc w:val="both"/>
      </w:pPr>
    </w:p>
    <w:p w14:paraId="49B4B4EB" w14:textId="72F3287F" w:rsidR="0044068F" w:rsidRPr="00AA0F6D" w:rsidRDefault="00653D0A" w:rsidP="00D41A0E">
      <w:pPr>
        <w:pStyle w:val="ListParagraph"/>
        <w:autoSpaceDE w:val="0"/>
        <w:autoSpaceDN w:val="0"/>
        <w:adjustRightInd w:val="0"/>
        <w:ind w:left="0"/>
        <w:jc w:val="both"/>
        <w:rPr>
          <w:sz w:val="22"/>
          <w:szCs w:val="22"/>
        </w:rPr>
      </w:pPr>
      <w:r w:rsidRPr="00AA0F6D">
        <w:rPr>
          <w:sz w:val="22"/>
          <w:szCs w:val="22"/>
        </w:rPr>
        <w:t xml:space="preserve">‘In </w:t>
      </w:r>
      <w:r w:rsidR="00081092" w:rsidRPr="00AA0F6D">
        <w:rPr>
          <w:i/>
          <w:iCs/>
          <w:sz w:val="22"/>
          <w:szCs w:val="22"/>
        </w:rPr>
        <w:t>Leketi</w:t>
      </w:r>
      <w:r w:rsidR="00081092" w:rsidRPr="00AA0F6D">
        <w:rPr>
          <w:sz w:val="22"/>
          <w:szCs w:val="22"/>
        </w:rPr>
        <w:t xml:space="preserve"> the … claim was directed at setting aside the registration in the name of his grandfather and then procuring transfer of the property from his late father’s estate. The claim was not a vindicatory claim …’</w:t>
      </w:r>
    </w:p>
    <w:p w14:paraId="68785F86" w14:textId="77777777" w:rsidR="00F55B4E" w:rsidRPr="00AA0F6D" w:rsidRDefault="00F55B4E" w:rsidP="00F55B4E">
      <w:pPr>
        <w:pStyle w:val="ListParagraph"/>
        <w:autoSpaceDE w:val="0"/>
        <w:autoSpaceDN w:val="0"/>
        <w:adjustRightInd w:val="0"/>
        <w:ind w:left="0"/>
        <w:jc w:val="both"/>
      </w:pPr>
    </w:p>
    <w:p w14:paraId="1DBC772A" w14:textId="3FF92F51" w:rsidR="004121EA" w:rsidRPr="00AA0F6D" w:rsidRDefault="00A011F8" w:rsidP="00A011F8">
      <w:pPr>
        <w:autoSpaceDE w:val="0"/>
        <w:autoSpaceDN w:val="0"/>
        <w:adjustRightInd w:val="0"/>
        <w:jc w:val="both"/>
      </w:pPr>
      <w:r w:rsidRPr="00AA0F6D">
        <w:t>[52]</w:t>
      </w:r>
      <w:r w:rsidRPr="00AA0F6D">
        <w:tab/>
      </w:r>
      <w:r w:rsidR="00F25F2E" w:rsidRPr="00AA0F6D">
        <w:t>It may be accepted that</w:t>
      </w:r>
      <w:r w:rsidR="003176AD" w:rsidRPr="00AA0F6D">
        <w:t>, p</w:t>
      </w:r>
      <w:r w:rsidR="00114BC6" w:rsidRPr="00AA0F6D">
        <w:t xml:space="preserve">roperly construed, the claim advanced was in the form of </w:t>
      </w:r>
      <w:r w:rsidR="004D6367" w:rsidRPr="00AA0F6D">
        <w:t>the</w:t>
      </w:r>
      <w:r w:rsidR="00114BC6" w:rsidRPr="00AA0F6D">
        <w:t xml:space="preserve"> </w:t>
      </w:r>
      <w:r w:rsidR="00114BC6" w:rsidRPr="00A011F8">
        <w:rPr>
          <w:i/>
          <w:iCs/>
        </w:rPr>
        <w:t>condictio</w:t>
      </w:r>
      <w:r w:rsidR="00114BC6" w:rsidRPr="00AA0F6D">
        <w:t xml:space="preserve"> as against the defendant for the return of the immovable </w:t>
      </w:r>
      <w:r w:rsidR="00114BC6" w:rsidRPr="00AA0F6D">
        <w:lastRenderedPageBreak/>
        <w:t>property</w:t>
      </w:r>
      <w:r w:rsidR="00F25F2E" w:rsidRPr="00AA0F6D">
        <w:t>.</w:t>
      </w:r>
      <w:r w:rsidR="008D726D" w:rsidRPr="00AA0F6D">
        <w:rPr>
          <w:rStyle w:val="FootnoteReference"/>
        </w:rPr>
        <w:footnoteReference w:id="52"/>
      </w:r>
      <w:r w:rsidR="00114BC6" w:rsidRPr="00AA0F6D">
        <w:t xml:space="preserve"> </w:t>
      </w:r>
      <w:r w:rsidR="00BC0D86" w:rsidRPr="00AA0F6D">
        <w:t>For reasons that follow, t</w:t>
      </w:r>
      <w:r w:rsidR="00C95DF0" w:rsidRPr="00AA0F6D">
        <w:t xml:space="preserve">hat claim </w:t>
      </w:r>
      <w:r w:rsidR="00CF2252" w:rsidRPr="00AA0F6D">
        <w:t>must</w:t>
      </w:r>
      <w:r w:rsidR="00C95DF0" w:rsidRPr="00AA0F6D">
        <w:t xml:space="preserve"> be dismissed either on the basis that it has prescribed, or because the central requirement has not been proved.</w:t>
      </w:r>
    </w:p>
    <w:p w14:paraId="0832BB86" w14:textId="77777777" w:rsidR="004121EA" w:rsidRPr="00AA0F6D" w:rsidRDefault="004121EA" w:rsidP="004121EA">
      <w:pPr>
        <w:pStyle w:val="ListParagraph"/>
        <w:autoSpaceDE w:val="0"/>
        <w:autoSpaceDN w:val="0"/>
        <w:adjustRightInd w:val="0"/>
        <w:ind w:left="0"/>
        <w:jc w:val="both"/>
      </w:pPr>
    </w:p>
    <w:p w14:paraId="6174E1C8" w14:textId="3CAB96A3" w:rsidR="00DE70D2" w:rsidRPr="00AA0F6D" w:rsidRDefault="00A011F8" w:rsidP="00A011F8">
      <w:pPr>
        <w:autoSpaceDE w:val="0"/>
        <w:autoSpaceDN w:val="0"/>
        <w:adjustRightInd w:val="0"/>
        <w:jc w:val="both"/>
      </w:pPr>
      <w:r w:rsidRPr="00AA0F6D">
        <w:t>[53]</w:t>
      </w:r>
      <w:r w:rsidRPr="00AA0F6D">
        <w:tab/>
      </w:r>
      <w:r w:rsidR="00114BC6" w:rsidRPr="00AA0F6D">
        <w:t>The real right having already passed to the defendant on transfer, despite any deficiency of the underlying contract, that remedy</w:t>
      </w:r>
      <w:r w:rsidR="00C07F18" w:rsidRPr="00AA0F6D">
        <w:t xml:space="preserve"> was only a personal action.</w:t>
      </w:r>
      <w:r w:rsidR="000005F5" w:rsidRPr="00AA0F6D">
        <w:rPr>
          <w:rStyle w:val="FootnoteReference"/>
        </w:rPr>
        <w:footnoteReference w:id="53"/>
      </w:r>
      <w:r w:rsidR="00114BC6" w:rsidRPr="00A011F8">
        <w:rPr>
          <w:i/>
          <w:iCs/>
        </w:rPr>
        <w:t xml:space="preserve"> </w:t>
      </w:r>
      <w:r w:rsidR="00613C65" w:rsidRPr="00AA0F6D">
        <w:t>Consequ</w:t>
      </w:r>
      <w:r w:rsidR="00DA052C" w:rsidRPr="00AA0F6D">
        <w:t>e</w:t>
      </w:r>
      <w:r w:rsidR="00613C65" w:rsidRPr="00AA0F6D">
        <w:t>ntly, and t</w:t>
      </w:r>
      <w:r w:rsidR="009120D4" w:rsidRPr="00AA0F6D">
        <w:t xml:space="preserve">o the extent that it remains open for the plaintiff to argue </w:t>
      </w:r>
      <w:r w:rsidR="00E10855" w:rsidRPr="00AA0F6D">
        <w:t>the</w:t>
      </w:r>
      <w:r w:rsidR="00270CA0" w:rsidRPr="00AA0F6D">
        <w:t xml:space="preserve"> main claim</w:t>
      </w:r>
      <w:r w:rsidR="00DB5F80" w:rsidRPr="00AA0F6D">
        <w:t xml:space="preserve"> outside of </w:t>
      </w:r>
      <w:r w:rsidR="00E10855" w:rsidRPr="00AA0F6D">
        <w:t>the pleaded</w:t>
      </w:r>
      <w:r w:rsidR="00DB5F80" w:rsidRPr="00AA0F6D">
        <w:t xml:space="preserve"> claim</w:t>
      </w:r>
      <w:r w:rsidR="00B00042" w:rsidRPr="00AA0F6D">
        <w:t xml:space="preserve"> for vindicatory relief</w:t>
      </w:r>
      <w:r w:rsidR="00DB5F80" w:rsidRPr="00AA0F6D">
        <w:t>,</w:t>
      </w:r>
      <w:r w:rsidR="0062334D" w:rsidRPr="00AA0F6D">
        <w:t xml:space="preserve"> </w:t>
      </w:r>
      <w:r w:rsidR="00D520FC" w:rsidRPr="00AA0F6D">
        <w:t xml:space="preserve">the </w:t>
      </w:r>
      <w:r w:rsidR="00D979C3" w:rsidRPr="00AA0F6D">
        <w:t xml:space="preserve">defendant’s prescription point </w:t>
      </w:r>
      <w:r w:rsidR="002530D7" w:rsidRPr="00AA0F6D">
        <w:t>is decisive</w:t>
      </w:r>
      <w:r w:rsidR="00D979C3" w:rsidRPr="00AA0F6D">
        <w:t>.</w:t>
      </w:r>
      <w:r w:rsidR="0013197C" w:rsidRPr="00AA0F6D">
        <w:t xml:space="preserve"> </w:t>
      </w:r>
      <w:r w:rsidR="00876B7A" w:rsidRPr="00AA0F6D">
        <w:t xml:space="preserve">This is because such a claim would amount to a claim </w:t>
      </w:r>
      <w:r w:rsidR="009B51B3" w:rsidRPr="00AA0F6D">
        <w:t>for transfer of immovable property in the name of the defendant</w:t>
      </w:r>
      <w:r w:rsidR="00166ADB" w:rsidRPr="00AA0F6D">
        <w:t>, which constitutes a ‘debt’ for purposes of the Prescription Act.</w:t>
      </w:r>
    </w:p>
    <w:p w14:paraId="05878C9C" w14:textId="77777777" w:rsidR="00DE70D2" w:rsidRPr="00AA0F6D" w:rsidRDefault="00DE70D2" w:rsidP="00DE70D2">
      <w:pPr>
        <w:pStyle w:val="ListParagraph"/>
        <w:autoSpaceDE w:val="0"/>
        <w:autoSpaceDN w:val="0"/>
        <w:adjustRightInd w:val="0"/>
        <w:ind w:left="0"/>
        <w:jc w:val="both"/>
      </w:pPr>
    </w:p>
    <w:p w14:paraId="2064E3C7" w14:textId="7042FBAE" w:rsidR="001051BC" w:rsidRPr="00AA0F6D" w:rsidRDefault="00A011F8" w:rsidP="00A011F8">
      <w:pPr>
        <w:autoSpaceDE w:val="0"/>
        <w:autoSpaceDN w:val="0"/>
        <w:adjustRightInd w:val="0"/>
        <w:jc w:val="both"/>
      </w:pPr>
      <w:r w:rsidRPr="00AA0F6D">
        <w:t>[54]</w:t>
      </w:r>
      <w:r w:rsidRPr="00AA0F6D">
        <w:tab/>
      </w:r>
      <w:r w:rsidR="001051BC" w:rsidRPr="00AA0F6D">
        <w:t xml:space="preserve">In </w:t>
      </w:r>
      <w:r w:rsidR="001051BC" w:rsidRPr="00A011F8">
        <w:rPr>
          <w:i/>
          <w:iCs/>
        </w:rPr>
        <w:t>Ethekwini Municipality v Mounthaven (Pty) Ltd</w:t>
      </w:r>
      <w:r w:rsidR="001051BC" w:rsidRPr="00AA0F6D">
        <w:t>,</w:t>
      </w:r>
      <w:r w:rsidR="001051BC" w:rsidRPr="00AA0F6D">
        <w:rPr>
          <w:rStyle w:val="FootnoteReference"/>
        </w:rPr>
        <w:footnoteReference w:id="54"/>
      </w:r>
      <w:r w:rsidR="001051BC" w:rsidRPr="00AA0F6D">
        <w:t xml:space="preserve"> the Constitutional Court considered the appellant’s claim for retransfer of a property that it had earlier sold to the respondent, based on a reversionary clause in the original deed of sale and subsequent deed of transfer. Both the SCA and the </w:t>
      </w:r>
      <w:r w:rsidR="00C71BB5">
        <w:t xml:space="preserve">court </w:t>
      </w:r>
      <w:r w:rsidR="00C71BB5" w:rsidRPr="00A011F8">
        <w:rPr>
          <w:i/>
          <w:iCs/>
        </w:rPr>
        <w:t>a quo</w:t>
      </w:r>
      <w:r w:rsidR="001051BC" w:rsidRPr="00AA0F6D">
        <w:t xml:space="preserve"> had considered the registered right contained in the clause to constitute a ‘debt’ that had prescribed in terms of the Prescription Act. In answering the question whether the claim was a ‘debt’, Froneman J, on behalf of a unanimous court, held as follows (footnotes omitted):</w:t>
      </w:r>
      <w:r w:rsidR="001051BC" w:rsidRPr="00AA0F6D">
        <w:rPr>
          <w:rStyle w:val="FootnoteReference"/>
        </w:rPr>
        <w:footnoteReference w:id="55"/>
      </w:r>
    </w:p>
    <w:p w14:paraId="73EB72E8" w14:textId="511FB1CD" w:rsidR="0012228F" w:rsidRPr="00AA0F6D" w:rsidRDefault="0012228F" w:rsidP="0012228F"/>
    <w:p w14:paraId="47F4E4B5" w14:textId="17983091" w:rsidR="0012228F" w:rsidRPr="00AA0F6D" w:rsidRDefault="0012228F" w:rsidP="007B156B">
      <w:pPr>
        <w:pStyle w:val="ListParagraph"/>
        <w:autoSpaceDE w:val="0"/>
        <w:autoSpaceDN w:val="0"/>
        <w:adjustRightInd w:val="0"/>
        <w:ind w:left="0"/>
        <w:jc w:val="both"/>
        <w:rPr>
          <w:sz w:val="22"/>
          <w:szCs w:val="22"/>
        </w:rPr>
      </w:pPr>
      <w:r w:rsidRPr="00AA0F6D">
        <w:rPr>
          <w:sz w:val="22"/>
          <w:szCs w:val="22"/>
        </w:rPr>
        <w:t xml:space="preserve">‘In terms of the dictionary meaning of “debt” accepted in </w:t>
      </w:r>
      <w:r w:rsidRPr="00AA0F6D">
        <w:rPr>
          <w:i/>
          <w:iCs/>
          <w:sz w:val="22"/>
          <w:szCs w:val="22"/>
        </w:rPr>
        <w:t>Makate</w:t>
      </w:r>
      <w:r w:rsidRPr="00AA0F6D">
        <w:rPr>
          <w:sz w:val="22"/>
          <w:szCs w:val="22"/>
        </w:rPr>
        <w:t xml:space="preserve">, an obligation to pay money, deliver goods, or render services is included under the definition and would prescribe within three years under the Prescription Act. Material or corporeal goods consist of property, movable or immovable. Ownership of movable corporeal property is transferred to another by delivery, actual or deemed, of the goods. That is practically impossible in the case of immovable property like land. Hence it is an accepted principle of venerable ancestry in our law that the equivalent of delivery of movables is, in the case of immovable property, registration of transfer in the deeds office. </w:t>
      </w:r>
      <w:r w:rsidRPr="00AA0F6D">
        <w:rPr>
          <w:i/>
          <w:iCs/>
          <w:sz w:val="22"/>
          <w:szCs w:val="22"/>
        </w:rPr>
        <w:t xml:space="preserve">A claim to transfer immovable property in the name of another is thus a claim to perform an obligation to deliver goods in the form of immovable </w:t>
      </w:r>
      <w:r w:rsidRPr="00AA0F6D">
        <w:rPr>
          <w:i/>
          <w:iCs/>
          <w:sz w:val="22"/>
          <w:szCs w:val="22"/>
        </w:rPr>
        <w:lastRenderedPageBreak/>
        <w:t>property. It is a “debt” in the dictionary sense accepted in Makate. It really is as simple and straightforward as that</w:t>
      </w:r>
      <w:r w:rsidRPr="00AA0F6D">
        <w:rPr>
          <w:sz w:val="22"/>
          <w:szCs w:val="22"/>
        </w:rPr>
        <w:t>.’</w:t>
      </w:r>
      <w:r w:rsidR="00642504" w:rsidRPr="00AA0F6D">
        <w:rPr>
          <w:sz w:val="22"/>
          <w:szCs w:val="22"/>
        </w:rPr>
        <w:t xml:space="preserve"> (</w:t>
      </w:r>
      <w:r w:rsidR="003D077F" w:rsidRPr="00AA0F6D">
        <w:rPr>
          <w:sz w:val="22"/>
          <w:szCs w:val="22"/>
        </w:rPr>
        <w:t>O</w:t>
      </w:r>
      <w:r w:rsidR="00642504" w:rsidRPr="00AA0F6D">
        <w:rPr>
          <w:sz w:val="22"/>
          <w:szCs w:val="22"/>
        </w:rPr>
        <w:t>wn emphasis</w:t>
      </w:r>
      <w:r w:rsidR="0051619E">
        <w:rPr>
          <w:sz w:val="22"/>
          <w:szCs w:val="22"/>
        </w:rPr>
        <w:t>.</w:t>
      </w:r>
      <w:r w:rsidR="00642504" w:rsidRPr="00AA0F6D">
        <w:rPr>
          <w:sz w:val="22"/>
          <w:szCs w:val="22"/>
        </w:rPr>
        <w:t>)</w:t>
      </w:r>
    </w:p>
    <w:p w14:paraId="72556564" w14:textId="77777777" w:rsidR="0012228F" w:rsidRPr="00AA0F6D" w:rsidRDefault="0012228F" w:rsidP="0012228F"/>
    <w:p w14:paraId="2879DBA7" w14:textId="2A76A6DA" w:rsidR="00F323CD" w:rsidRPr="00AA0F6D" w:rsidRDefault="00A011F8" w:rsidP="00A011F8">
      <w:pPr>
        <w:autoSpaceDE w:val="0"/>
        <w:autoSpaceDN w:val="0"/>
        <w:adjustRightInd w:val="0"/>
        <w:jc w:val="both"/>
      </w:pPr>
      <w:r w:rsidRPr="00AA0F6D">
        <w:t>[55]</w:t>
      </w:r>
      <w:r w:rsidRPr="00AA0F6D">
        <w:tab/>
      </w:r>
      <w:r w:rsidR="00890BF1" w:rsidRPr="00AA0F6D">
        <w:t>Prescription of the debt commenced running when it became due.</w:t>
      </w:r>
      <w:r w:rsidR="000C385B" w:rsidRPr="00AA0F6D">
        <w:rPr>
          <w:rStyle w:val="FootnoteReference"/>
        </w:rPr>
        <w:footnoteReference w:id="56"/>
      </w:r>
      <w:r w:rsidR="00890BF1" w:rsidRPr="00AA0F6D">
        <w:t xml:space="preserve"> </w:t>
      </w:r>
      <w:r w:rsidR="0003655B" w:rsidRPr="00AA0F6D">
        <w:t xml:space="preserve">That requires consideration of the </w:t>
      </w:r>
      <w:r w:rsidR="001B5925" w:rsidRPr="00AA0F6D">
        <w:t xml:space="preserve">extent of the </w:t>
      </w:r>
      <w:r w:rsidR="0003655B" w:rsidRPr="00AA0F6D">
        <w:t>plaintiff’s knowledge of the identity of the debtor and of the facts from which the debt arises</w:t>
      </w:r>
      <w:r w:rsidR="000C385B" w:rsidRPr="00AA0F6D">
        <w:t>.</w:t>
      </w:r>
      <w:r w:rsidR="003C2B0E" w:rsidRPr="00AA0F6D">
        <w:rPr>
          <w:rStyle w:val="FootnoteReference"/>
        </w:rPr>
        <w:footnoteReference w:id="57"/>
      </w:r>
      <w:r w:rsidR="001B5925" w:rsidRPr="00AA0F6D">
        <w:t xml:space="preserve"> </w:t>
      </w:r>
      <w:r w:rsidR="00DC4FA0" w:rsidRPr="00AA0F6D">
        <w:t>Considering</w:t>
      </w:r>
      <w:r w:rsidR="001B5925" w:rsidRPr="00AA0F6D">
        <w:t xml:space="preserve"> the particulars of claim</w:t>
      </w:r>
      <w:r w:rsidR="005705CF" w:rsidRPr="00AA0F6D">
        <w:t xml:space="preserve"> and the </w:t>
      </w:r>
      <w:r w:rsidR="007041C7" w:rsidRPr="00AA0F6D">
        <w:t>evidence</w:t>
      </w:r>
      <w:r w:rsidR="005F0C0F" w:rsidRPr="00AA0F6D">
        <w:t xml:space="preserve">, the plaintiff, through Mr Van Bergen, can be said to have had knowledge of </w:t>
      </w:r>
      <w:r w:rsidR="009B10D7" w:rsidRPr="00AA0F6D">
        <w:t>sufficient</w:t>
      </w:r>
      <w:r w:rsidR="005F0C0F" w:rsidRPr="00AA0F6D">
        <w:t xml:space="preserve"> material facts </w:t>
      </w:r>
      <w:r w:rsidR="007C2500" w:rsidRPr="00AA0F6D">
        <w:t>pertaining to the debt by time transfer occurred.</w:t>
      </w:r>
      <w:r w:rsidR="00684FA2" w:rsidRPr="00AA0F6D">
        <w:rPr>
          <w:rStyle w:val="FootnoteReference"/>
        </w:rPr>
        <w:footnoteReference w:id="58"/>
      </w:r>
      <w:r w:rsidR="00E7626A" w:rsidRPr="00AA0F6D">
        <w:t xml:space="preserve"> </w:t>
      </w:r>
      <w:r w:rsidR="00BC1199" w:rsidRPr="00AA0F6D">
        <w:t xml:space="preserve">That includes knowledge that the deed of sale, on the plaintiff’s version, was only for the undivided portion and </w:t>
      </w:r>
      <w:r w:rsidR="00565EC0" w:rsidRPr="00AA0F6D">
        <w:t>that ministerial consent had not been obtained</w:t>
      </w:r>
      <w:r w:rsidR="00BC1199" w:rsidRPr="00AA0F6D">
        <w:t>.</w:t>
      </w:r>
      <w:r w:rsidR="00A43EBE" w:rsidRPr="00AA0F6D">
        <w:rPr>
          <w:rStyle w:val="FootnoteReference"/>
        </w:rPr>
        <w:footnoteReference w:id="59"/>
      </w:r>
      <w:r w:rsidR="00BC1199" w:rsidRPr="00AA0F6D">
        <w:t xml:space="preserve"> </w:t>
      </w:r>
      <w:r w:rsidR="005407E4" w:rsidRPr="00AA0F6D">
        <w:t xml:space="preserve">As such, </w:t>
      </w:r>
      <w:r w:rsidR="008777FF" w:rsidRPr="00AA0F6D">
        <w:t xml:space="preserve">the defendant has established that </w:t>
      </w:r>
      <w:r w:rsidR="005407E4" w:rsidRPr="00AA0F6D">
        <w:t xml:space="preserve">any such claim </w:t>
      </w:r>
      <w:r w:rsidR="008777FF" w:rsidRPr="00AA0F6D">
        <w:t>has prescribed.</w:t>
      </w:r>
      <w:r w:rsidR="00250991" w:rsidRPr="00AA0F6D">
        <w:rPr>
          <w:rStyle w:val="FootnoteReference"/>
        </w:rPr>
        <w:footnoteReference w:id="60"/>
      </w:r>
    </w:p>
    <w:p w14:paraId="35B05740" w14:textId="77777777" w:rsidR="00F323CD" w:rsidRPr="00AA0F6D" w:rsidRDefault="00F323CD" w:rsidP="00F323CD">
      <w:pPr>
        <w:pStyle w:val="ListParagraph"/>
        <w:autoSpaceDE w:val="0"/>
        <w:autoSpaceDN w:val="0"/>
        <w:adjustRightInd w:val="0"/>
        <w:ind w:left="0"/>
        <w:jc w:val="both"/>
      </w:pPr>
    </w:p>
    <w:p w14:paraId="7E21DB6A" w14:textId="20ABBBB4" w:rsidR="0012228F" w:rsidRPr="00AA0F6D" w:rsidRDefault="00A011F8" w:rsidP="00A011F8">
      <w:pPr>
        <w:autoSpaceDE w:val="0"/>
        <w:autoSpaceDN w:val="0"/>
        <w:adjustRightInd w:val="0"/>
        <w:jc w:val="both"/>
      </w:pPr>
      <w:r w:rsidRPr="00AA0F6D">
        <w:t>[56]</w:t>
      </w:r>
      <w:r w:rsidRPr="00AA0F6D">
        <w:tab/>
      </w:r>
      <w:r w:rsidR="00A76889" w:rsidRPr="00AA0F6D">
        <w:t>It follows from the earlier analysis of the provisions of the deed of sale</w:t>
      </w:r>
      <w:r w:rsidR="0005655E" w:rsidRPr="00AA0F6D">
        <w:t xml:space="preserve"> that the outcome would have been the same even if this had not been the case</w:t>
      </w:r>
      <w:r w:rsidR="00F323CD" w:rsidRPr="00AA0F6D">
        <w:t xml:space="preserve">. This is because the central requirement of the </w:t>
      </w:r>
      <w:r w:rsidR="00F323CD" w:rsidRPr="00A011F8">
        <w:rPr>
          <w:i/>
          <w:iCs/>
        </w:rPr>
        <w:t>condictio</w:t>
      </w:r>
      <w:r w:rsidR="00F323CD" w:rsidRPr="00AA0F6D">
        <w:t xml:space="preserve"> is that the transfer occurred pursuant to an agreement that is void and unenforceable because it is illegal.</w:t>
      </w:r>
      <w:r w:rsidR="00F323CD" w:rsidRPr="00AA0F6D">
        <w:rPr>
          <w:rStyle w:val="FootnoteReference"/>
        </w:rPr>
        <w:footnoteReference w:id="61"/>
      </w:r>
      <w:r w:rsidR="00215BA8" w:rsidRPr="00AA0F6D">
        <w:t xml:space="preserve"> On my assessment that requirement has not been met</w:t>
      </w:r>
      <w:r w:rsidR="00D112D0" w:rsidRPr="00AA0F6D">
        <w:t>. The result is</w:t>
      </w:r>
      <w:r w:rsidR="0005655E" w:rsidRPr="00AA0F6D">
        <w:t xml:space="preserve"> that</w:t>
      </w:r>
      <w:r w:rsidR="00D112D0" w:rsidRPr="00AA0F6D">
        <w:t>, on this basis too,</w:t>
      </w:r>
      <w:r w:rsidR="0005655E" w:rsidRPr="00AA0F6D">
        <w:t xml:space="preserve"> the main claim must be dismissed.</w:t>
      </w:r>
    </w:p>
    <w:p w14:paraId="27A0CBA8" w14:textId="77777777" w:rsidR="009E1EB5" w:rsidRDefault="009E1EB5" w:rsidP="009E1EB5">
      <w:pPr>
        <w:pStyle w:val="ListParagraph"/>
        <w:autoSpaceDE w:val="0"/>
        <w:autoSpaceDN w:val="0"/>
        <w:adjustRightInd w:val="0"/>
        <w:ind w:left="0"/>
        <w:jc w:val="both"/>
      </w:pPr>
    </w:p>
    <w:p w14:paraId="22F2708F" w14:textId="77777777" w:rsidR="00511D4C" w:rsidRDefault="00511D4C" w:rsidP="009E1EB5">
      <w:pPr>
        <w:pStyle w:val="ListParagraph"/>
        <w:autoSpaceDE w:val="0"/>
        <w:autoSpaceDN w:val="0"/>
        <w:adjustRightInd w:val="0"/>
        <w:ind w:left="0"/>
        <w:jc w:val="both"/>
      </w:pPr>
    </w:p>
    <w:p w14:paraId="0461D50D" w14:textId="77777777" w:rsidR="00511D4C" w:rsidRDefault="00511D4C" w:rsidP="009E1EB5">
      <w:pPr>
        <w:pStyle w:val="ListParagraph"/>
        <w:autoSpaceDE w:val="0"/>
        <w:autoSpaceDN w:val="0"/>
        <w:adjustRightInd w:val="0"/>
        <w:ind w:left="0"/>
        <w:jc w:val="both"/>
      </w:pPr>
    </w:p>
    <w:p w14:paraId="2FFF9984" w14:textId="77777777" w:rsidR="00511D4C" w:rsidRPr="00AA0F6D" w:rsidRDefault="00511D4C" w:rsidP="009E1EB5">
      <w:pPr>
        <w:pStyle w:val="ListParagraph"/>
        <w:autoSpaceDE w:val="0"/>
        <w:autoSpaceDN w:val="0"/>
        <w:adjustRightInd w:val="0"/>
        <w:ind w:left="0"/>
        <w:jc w:val="both"/>
      </w:pPr>
    </w:p>
    <w:p w14:paraId="61017BB9" w14:textId="33F4540A" w:rsidR="009E1EB5" w:rsidRPr="00AA0F6D" w:rsidRDefault="009E1EB5" w:rsidP="009E1EB5">
      <w:pPr>
        <w:pStyle w:val="ListParagraph"/>
        <w:autoSpaceDE w:val="0"/>
        <w:autoSpaceDN w:val="0"/>
        <w:adjustRightInd w:val="0"/>
        <w:ind w:left="0"/>
        <w:jc w:val="both"/>
        <w:rPr>
          <w:b/>
          <w:bCs/>
        </w:rPr>
      </w:pPr>
      <w:r w:rsidRPr="00AA0F6D">
        <w:rPr>
          <w:b/>
          <w:bCs/>
        </w:rPr>
        <w:lastRenderedPageBreak/>
        <w:t>Order</w:t>
      </w:r>
    </w:p>
    <w:p w14:paraId="6523CDA4" w14:textId="77777777" w:rsidR="009E1EB5" w:rsidRPr="00AA0F6D" w:rsidRDefault="009E1EB5" w:rsidP="009E1EB5">
      <w:pPr>
        <w:pStyle w:val="ListParagraph"/>
        <w:autoSpaceDE w:val="0"/>
        <w:autoSpaceDN w:val="0"/>
        <w:adjustRightInd w:val="0"/>
        <w:ind w:left="0"/>
        <w:jc w:val="both"/>
        <w:rPr>
          <w:b/>
          <w:bCs/>
        </w:rPr>
      </w:pPr>
    </w:p>
    <w:p w14:paraId="3198E2B8" w14:textId="6E99AD6E" w:rsidR="009E1EB5" w:rsidRPr="00AA0F6D" w:rsidRDefault="00A011F8" w:rsidP="00A011F8">
      <w:pPr>
        <w:autoSpaceDE w:val="0"/>
        <w:autoSpaceDN w:val="0"/>
        <w:adjustRightInd w:val="0"/>
        <w:jc w:val="both"/>
      </w:pPr>
      <w:r w:rsidRPr="00AA0F6D">
        <w:t>[57]</w:t>
      </w:r>
      <w:r w:rsidRPr="00AA0F6D">
        <w:tab/>
      </w:r>
      <w:r w:rsidR="009E1EB5" w:rsidRPr="00AA0F6D">
        <w:t>I make the following order:</w:t>
      </w:r>
    </w:p>
    <w:p w14:paraId="6762B200" w14:textId="77777777" w:rsidR="009E1EB5" w:rsidRPr="00AA0F6D" w:rsidRDefault="009E1EB5" w:rsidP="009E1EB5">
      <w:pPr>
        <w:pStyle w:val="ListParagraph"/>
        <w:autoSpaceDE w:val="0"/>
        <w:autoSpaceDN w:val="0"/>
        <w:adjustRightInd w:val="0"/>
        <w:ind w:left="0"/>
        <w:jc w:val="both"/>
      </w:pPr>
    </w:p>
    <w:p w14:paraId="0D2C6D3D" w14:textId="4E544842" w:rsidR="009E1EB5" w:rsidRPr="00AA0F6D" w:rsidRDefault="00A011F8" w:rsidP="00A011F8">
      <w:pPr>
        <w:autoSpaceDE w:val="0"/>
        <w:autoSpaceDN w:val="0"/>
        <w:adjustRightInd w:val="0"/>
        <w:ind w:left="1440" w:hanging="731"/>
        <w:jc w:val="both"/>
      </w:pPr>
      <w:r w:rsidRPr="00AA0F6D">
        <w:t>1.</w:t>
      </w:r>
      <w:r w:rsidRPr="00AA0F6D">
        <w:tab/>
      </w:r>
      <w:r w:rsidR="009E1EB5" w:rsidRPr="00AA0F6D">
        <w:t xml:space="preserve">The plaintiff’s claims are dismissed with costs, including the costs of </w:t>
      </w:r>
      <w:r w:rsidR="00E76092" w:rsidRPr="00AA0F6D">
        <w:t xml:space="preserve">the </w:t>
      </w:r>
      <w:r w:rsidR="009E1EB5" w:rsidRPr="00AA0F6D">
        <w:t>preparation of heads of argument.</w:t>
      </w:r>
    </w:p>
    <w:p w14:paraId="2494A84C" w14:textId="77777777" w:rsidR="002817C3" w:rsidRPr="00AA0F6D" w:rsidRDefault="002817C3" w:rsidP="00682CE5">
      <w:pPr>
        <w:autoSpaceDE w:val="0"/>
        <w:autoSpaceDN w:val="0"/>
        <w:adjustRightInd w:val="0"/>
        <w:jc w:val="both"/>
      </w:pPr>
    </w:p>
    <w:p w14:paraId="5D6F23F5" w14:textId="77777777" w:rsidR="00185A78" w:rsidRDefault="00185A78" w:rsidP="00CA056D">
      <w:pPr>
        <w:jc w:val="both"/>
      </w:pPr>
    </w:p>
    <w:p w14:paraId="363DCE68" w14:textId="6A15B289" w:rsidR="00D450B5" w:rsidRPr="00AA0F6D" w:rsidRDefault="00D450B5" w:rsidP="00CA056D">
      <w:pPr>
        <w:jc w:val="both"/>
      </w:pPr>
      <w:r w:rsidRPr="00AA0F6D">
        <w:t>_______________</w:t>
      </w:r>
      <w:r w:rsidR="00276100" w:rsidRPr="00AA0F6D">
        <w:t>__________</w:t>
      </w:r>
    </w:p>
    <w:p w14:paraId="7C243A9A" w14:textId="5DB728F0" w:rsidR="00D450B5" w:rsidRPr="00AA0F6D" w:rsidRDefault="00D450B5" w:rsidP="00CA056D">
      <w:pPr>
        <w:jc w:val="both"/>
        <w:rPr>
          <w:b/>
          <w:bCs/>
        </w:rPr>
      </w:pPr>
      <w:r w:rsidRPr="00AA0F6D">
        <w:rPr>
          <w:b/>
          <w:bCs/>
        </w:rPr>
        <w:t>A GOVINDJEE</w:t>
      </w:r>
    </w:p>
    <w:p w14:paraId="14E92973" w14:textId="77777777" w:rsidR="00D450B5" w:rsidRPr="00AA0F6D" w:rsidRDefault="00D450B5" w:rsidP="00CA056D">
      <w:pPr>
        <w:jc w:val="both"/>
        <w:rPr>
          <w:b/>
          <w:bCs/>
        </w:rPr>
      </w:pPr>
      <w:r w:rsidRPr="00AA0F6D">
        <w:rPr>
          <w:b/>
          <w:bCs/>
        </w:rPr>
        <w:t>JUDGE OF THE HIGH COURT</w:t>
      </w:r>
    </w:p>
    <w:p w14:paraId="56442A86" w14:textId="4A1F9AD4" w:rsidR="00AA32DA" w:rsidRPr="00AA0F6D" w:rsidRDefault="00AA32DA" w:rsidP="004A5151">
      <w:pPr>
        <w:autoSpaceDE w:val="0"/>
        <w:autoSpaceDN w:val="0"/>
        <w:adjustRightInd w:val="0"/>
        <w:jc w:val="both"/>
      </w:pPr>
    </w:p>
    <w:p w14:paraId="04EEEF0A" w14:textId="14179626" w:rsidR="007A7BBE" w:rsidRPr="00AA0F6D" w:rsidRDefault="007A7BBE" w:rsidP="00CA056D">
      <w:pPr>
        <w:widowControl w:val="0"/>
        <w:ind w:right="656"/>
        <w:rPr>
          <w:spacing w:val="14"/>
          <w:kern w:val="2"/>
        </w:rPr>
      </w:pPr>
      <w:r w:rsidRPr="009C21E0">
        <w:rPr>
          <w:b/>
          <w:bCs/>
          <w:spacing w:val="14"/>
          <w:kern w:val="2"/>
        </w:rPr>
        <w:t>Heard</w:t>
      </w:r>
      <w:r w:rsidRPr="00AA0F6D">
        <w:rPr>
          <w:spacing w:val="14"/>
          <w:kern w:val="2"/>
        </w:rPr>
        <w:t>:</w:t>
      </w:r>
      <w:r w:rsidR="009C21E0">
        <w:rPr>
          <w:spacing w:val="14"/>
          <w:kern w:val="2"/>
        </w:rPr>
        <w:t xml:space="preserve"> 18,19 &amp; 21 July 2023</w:t>
      </w:r>
    </w:p>
    <w:p w14:paraId="299C01BC" w14:textId="77777777" w:rsidR="00CA056D" w:rsidRPr="00AA0F6D" w:rsidRDefault="00CA056D" w:rsidP="000D4C7F">
      <w:pPr>
        <w:widowControl w:val="0"/>
        <w:ind w:left="4320" w:right="656" w:firstLine="720"/>
        <w:jc w:val="right"/>
        <w:rPr>
          <w:spacing w:val="14"/>
          <w:kern w:val="2"/>
        </w:rPr>
      </w:pPr>
    </w:p>
    <w:p w14:paraId="5D550954" w14:textId="301B1B2D" w:rsidR="007A7BBE" w:rsidRDefault="007A7BBE" w:rsidP="00CA056D">
      <w:pPr>
        <w:widowControl w:val="0"/>
        <w:ind w:right="656"/>
        <w:rPr>
          <w:spacing w:val="14"/>
          <w:kern w:val="2"/>
        </w:rPr>
      </w:pPr>
      <w:r w:rsidRPr="009C21E0">
        <w:rPr>
          <w:b/>
          <w:bCs/>
          <w:spacing w:val="14"/>
          <w:kern w:val="2"/>
        </w:rPr>
        <w:t>Delivered</w:t>
      </w:r>
      <w:r w:rsidRPr="00AA0F6D">
        <w:rPr>
          <w:spacing w:val="14"/>
          <w:kern w:val="2"/>
        </w:rPr>
        <w:t>:</w:t>
      </w:r>
      <w:r w:rsidR="009C21E0">
        <w:rPr>
          <w:spacing w:val="14"/>
          <w:kern w:val="2"/>
        </w:rPr>
        <w:t xml:space="preserve"> 17 October 2023</w:t>
      </w:r>
    </w:p>
    <w:p w14:paraId="53DE517A" w14:textId="77777777" w:rsidR="00511D4C" w:rsidRDefault="00511D4C" w:rsidP="00CA056D">
      <w:pPr>
        <w:widowControl w:val="0"/>
        <w:ind w:right="656"/>
        <w:rPr>
          <w:spacing w:val="14"/>
          <w:kern w:val="2"/>
        </w:rPr>
      </w:pPr>
    </w:p>
    <w:p w14:paraId="7E27F0CE" w14:textId="77777777" w:rsidR="00511D4C" w:rsidRDefault="00511D4C" w:rsidP="00CA056D">
      <w:pPr>
        <w:widowControl w:val="0"/>
        <w:ind w:right="656"/>
        <w:rPr>
          <w:spacing w:val="14"/>
          <w:kern w:val="2"/>
        </w:rPr>
      </w:pPr>
    </w:p>
    <w:p w14:paraId="16A98420" w14:textId="77777777" w:rsidR="00511D4C" w:rsidRDefault="00511D4C" w:rsidP="00CA056D">
      <w:pPr>
        <w:widowControl w:val="0"/>
        <w:ind w:right="656"/>
        <w:rPr>
          <w:spacing w:val="14"/>
          <w:kern w:val="2"/>
        </w:rPr>
      </w:pPr>
    </w:p>
    <w:p w14:paraId="76906117" w14:textId="77777777" w:rsidR="00511D4C" w:rsidRDefault="00511D4C" w:rsidP="00CA056D">
      <w:pPr>
        <w:widowControl w:val="0"/>
        <w:ind w:right="656"/>
        <w:rPr>
          <w:spacing w:val="14"/>
          <w:kern w:val="2"/>
        </w:rPr>
      </w:pPr>
    </w:p>
    <w:p w14:paraId="6BE4A4D4" w14:textId="77777777" w:rsidR="00511D4C" w:rsidRDefault="00511D4C" w:rsidP="00CA056D">
      <w:pPr>
        <w:widowControl w:val="0"/>
        <w:ind w:right="656"/>
        <w:rPr>
          <w:spacing w:val="14"/>
          <w:kern w:val="2"/>
        </w:rPr>
      </w:pPr>
    </w:p>
    <w:p w14:paraId="7CFF043B" w14:textId="77777777" w:rsidR="00511D4C" w:rsidRDefault="00511D4C" w:rsidP="00CA056D">
      <w:pPr>
        <w:widowControl w:val="0"/>
        <w:ind w:right="656"/>
        <w:rPr>
          <w:spacing w:val="14"/>
          <w:kern w:val="2"/>
        </w:rPr>
      </w:pPr>
    </w:p>
    <w:p w14:paraId="15CDA24F" w14:textId="77777777" w:rsidR="00511D4C" w:rsidRDefault="00511D4C" w:rsidP="00CA056D">
      <w:pPr>
        <w:widowControl w:val="0"/>
        <w:ind w:right="656"/>
        <w:rPr>
          <w:spacing w:val="14"/>
          <w:kern w:val="2"/>
        </w:rPr>
      </w:pPr>
    </w:p>
    <w:p w14:paraId="63EF8ADF" w14:textId="77777777" w:rsidR="00511D4C" w:rsidRDefault="00511D4C" w:rsidP="00CA056D">
      <w:pPr>
        <w:widowControl w:val="0"/>
        <w:ind w:right="656"/>
        <w:rPr>
          <w:spacing w:val="14"/>
          <w:kern w:val="2"/>
        </w:rPr>
      </w:pPr>
    </w:p>
    <w:p w14:paraId="22F4BDBC" w14:textId="77777777" w:rsidR="00511D4C" w:rsidRDefault="00511D4C" w:rsidP="00CA056D">
      <w:pPr>
        <w:widowControl w:val="0"/>
        <w:ind w:right="656"/>
        <w:rPr>
          <w:spacing w:val="14"/>
          <w:kern w:val="2"/>
        </w:rPr>
      </w:pPr>
    </w:p>
    <w:p w14:paraId="31AEC47F" w14:textId="77777777" w:rsidR="00511D4C" w:rsidRDefault="00511D4C" w:rsidP="00CA056D">
      <w:pPr>
        <w:widowControl w:val="0"/>
        <w:ind w:right="656"/>
        <w:rPr>
          <w:spacing w:val="14"/>
          <w:kern w:val="2"/>
        </w:rPr>
      </w:pPr>
    </w:p>
    <w:p w14:paraId="7327CB5F" w14:textId="77777777" w:rsidR="00511D4C" w:rsidRDefault="00511D4C" w:rsidP="00CA056D">
      <w:pPr>
        <w:widowControl w:val="0"/>
        <w:ind w:right="656"/>
        <w:rPr>
          <w:spacing w:val="14"/>
          <w:kern w:val="2"/>
        </w:rPr>
      </w:pPr>
    </w:p>
    <w:p w14:paraId="3FD5E46F" w14:textId="77777777" w:rsidR="00511D4C" w:rsidRDefault="00511D4C" w:rsidP="00CA056D">
      <w:pPr>
        <w:widowControl w:val="0"/>
        <w:ind w:right="656"/>
        <w:rPr>
          <w:spacing w:val="14"/>
          <w:kern w:val="2"/>
        </w:rPr>
      </w:pPr>
    </w:p>
    <w:p w14:paraId="78AED5DA" w14:textId="77777777" w:rsidR="00511D4C" w:rsidRDefault="00511D4C" w:rsidP="00CA056D">
      <w:pPr>
        <w:widowControl w:val="0"/>
        <w:ind w:right="656"/>
        <w:rPr>
          <w:spacing w:val="14"/>
          <w:kern w:val="2"/>
        </w:rPr>
      </w:pPr>
    </w:p>
    <w:p w14:paraId="7E28FE6D" w14:textId="77777777" w:rsidR="00511D4C" w:rsidRDefault="00511D4C" w:rsidP="00CA056D">
      <w:pPr>
        <w:widowControl w:val="0"/>
        <w:ind w:right="656"/>
        <w:rPr>
          <w:spacing w:val="14"/>
          <w:kern w:val="2"/>
        </w:rPr>
      </w:pPr>
    </w:p>
    <w:p w14:paraId="22F5FB7F" w14:textId="77777777" w:rsidR="00511D4C" w:rsidRDefault="00511D4C" w:rsidP="00CA056D">
      <w:pPr>
        <w:widowControl w:val="0"/>
        <w:ind w:right="656"/>
        <w:rPr>
          <w:spacing w:val="14"/>
          <w:kern w:val="2"/>
        </w:rPr>
      </w:pPr>
    </w:p>
    <w:p w14:paraId="7EE3EEEF" w14:textId="77777777" w:rsidR="00511D4C" w:rsidRDefault="00511D4C" w:rsidP="00CA056D">
      <w:pPr>
        <w:widowControl w:val="0"/>
        <w:ind w:right="656"/>
        <w:rPr>
          <w:spacing w:val="14"/>
          <w:kern w:val="2"/>
        </w:rPr>
      </w:pPr>
    </w:p>
    <w:p w14:paraId="35B4FB1F" w14:textId="77777777" w:rsidR="00511D4C" w:rsidRDefault="00511D4C" w:rsidP="00CA056D">
      <w:pPr>
        <w:widowControl w:val="0"/>
        <w:ind w:right="656"/>
        <w:rPr>
          <w:spacing w:val="14"/>
          <w:kern w:val="2"/>
        </w:rPr>
      </w:pPr>
    </w:p>
    <w:p w14:paraId="12893CD7" w14:textId="77777777" w:rsidR="00511D4C" w:rsidRDefault="00511D4C" w:rsidP="00CA056D">
      <w:pPr>
        <w:widowControl w:val="0"/>
        <w:ind w:right="656"/>
        <w:rPr>
          <w:spacing w:val="14"/>
          <w:kern w:val="2"/>
        </w:rPr>
      </w:pPr>
    </w:p>
    <w:p w14:paraId="4C003728" w14:textId="77777777" w:rsidR="00511D4C" w:rsidRPr="00AA0F6D" w:rsidRDefault="00511D4C" w:rsidP="00CA056D">
      <w:pPr>
        <w:widowControl w:val="0"/>
        <w:ind w:right="656"/>
        <w:rPr>
          <w:spacing w:val="14"/>
          <w:kern w:val="2"/>
        </w:rPr>
      </w:pPr>
    </w:p>
    <w:p w14:paraId="0BAE84DD" w14:textId="6C5B7F8A" w:rsidR="007C247A" w:rsidRPr="00AA0F6D" w:rsidRDefault="007C247A" w:rsidP="00772E4B">
      <w:pPr>
        <w:jc w:val="both"/>
      </w:pPr>
      <w:r w:rsidRPr="00AA0F6D">
        <w:lastRenderedPageBreak/>
        <w:t>Appearances:</w:t>
      </w:r>
    </w:p>
    <w:p w14:paraId="66837056" w14:textId="5B798FD9" w:rsidR="00C33845" w:rsidRPr="00AA0F6D" w:rsidRDefault="00C33845" w:rsidP="00772E4B">
      <w:pPr>
        <w:jc w:val="both"/>
      </w:pPr>
    </w:p>
    <w:p w14:paraId="1A96B021" w14:textId="7990F908" w:rsidR="00C33845" w:rsidRDefault="009C21E0" w:rsidP="00772E4B">
      <w:pPr>
        <w:jc w:val="both"/>
      </w:pPr>
      <w:r>
        <w:t>Counsel f</w:t>
      </w:r>
      <w:r w:rsidR="00C33845" w:rsidRPr="00AA0F6D">
        <w:t xml:space="preserve">or </w:t>
      </w:r>
      <w:r>
        <w:t>the Plaintiff</w:t>
      </w:r>
      <w:r w:rsidR="00C33845" w:rsidRPr="00AA0F6D">
        <w:t>:</w:t>
      </w:r>
      <w:r w:rsidR="00C33845" w:rsidRPr="00AA0F6D">
        <w:tab/>
      </w:r>
      <w:r w:rsidR="00C33845" w:rsidRPr="00AA0F6D">
        <w:tab/>
      </w:r>
      <w:r w:rsidR="00C33845" w:rsidRPr="00AA0F6D">
        <w:tab/>
      </w:r>
      <w:r>
        <w:t>Adv JJ Nepgen</w:t>
      </w:r>
    </w:p>
    <w:p w14:paraId="4D378320" w14:textId="727CE768" w:rsidR="009C21E0" w:rsidRDefault="009C21E0" w:rsidP="00772E4B">
      <w:pPr>
        <w:jc w:val="both"/>
      </w:pPr>
      <w:r>
        <w:tab/>
      </w:r>
      <w:r>
        <w:tab/>
      </w:r>
      <w:r>
        <w:tab/>
      </w:r>
      <w:r>
        <w:tab/>
      </w:r>
      <w:r>
        <w:tab/>
      </w:r>
      <w:r>
        <w:tab/>
        <w:t>Chambers, Gqeberha</w:t>
      </w:r>
    </w:p>
    <w:p w14:paraId="26CAAFCF" w14:textId="77777777" w:rsidR="009C21E0" w:rsidRDefault="009C21E0" w:rsidP="00772E4B">
      <w:pPr>
        <w:jc w:val="both"/>
      </w:pPr>
    </w:p>
    <w:p w14:paraId="24E4ED06" w14:textId="4392D4C4" w:rsidR="009C21E0" w:rsidRDefault="009C21E0" w:rsidP="00772E4B">
      <w:pPr>
        <w:jc w:val="both"/>
      </w:pPr>
      <w:r>
        <w:t>Instructed by:</w:t>
      </w:r>
      <w:r w:rsidR="00E144A9">
        <w:tab/>
      </w:r>
      <w:r w:rsidR="00E144A9">
        <w:tab/>
      </w:r>
      <w:r w:rsidR="00E144A9">
        <w:tab/>
      </w:r>
      <w:r w:rsidR="00E144A9">
        <w:tab/>
        <w:t>Nolte Smit Inc.</w:t>
      </w:r>
    </w:p>
    <w:p w14:paraId="5F8AB673" w14:textId="263A77A8" w:rsidR="00E144A9" w:rsidRDefault="00E144A9" w:rsidP="00772E4B">
      <w:pPr>
        <w:jc w:val="both"/>
      </w:pPr>
      <w:r>
        <w:tab/>
      </w:r>
      <w:r>
        <w:tab/>
      </w:r>
      <w:r>
        <w:tab/>
      </w:r>
      <w:r>
        <w:tab/>
      </w:r>
      <w:r>
        <w:tab/>
      </w:r>
      <w:r>
        <w:tab/>
        <w:t>Plaintiff’s Attorneys</w:t>
      </w:r>
    </w:p>
    <w:p w14:paraId="101B626D" w14:textId="1C3158A3" w:rsidR="00E144A9" w:rsidRDefault="00E144A9" w:rsidP="00772E4B">
      <w:pPr>
        <w:jc w:val="both"/>
      </w:pPr>
      <w:r>
        <w:tab/>
      </w:r>
      <w:r>
        <w:tab/>
      </w:r>
      <w:r>
        <w:tab/>
      </w:r>
      <w:r>
        <w:tab/>
      </w:r>
      <w:r>
        <w:tab/>
      </w:r>
      <w:r>
        <w:tab/>
        <w:t>51A Hill Street</w:t>
      </w:r>
    </w:p>
    <w:p w14:paraId="35BD9195" w14:textId="2E9BFCCC" w:rsidR="00E144A9" w:rsidRDefault="00E144A9" w:rsidP="00772E4B">
      <w:pPr>
        <w:jc w:val="both"/>
      </w:pPr>
      <w:r>
        <w:tab/>
      </w:r>
      <w:r>
        <w:tab/>
      </w:r>
      <w:r>
        <w:tab/>
      </w:r>
      <w:r>
        <w:tab/>
      </w:r>
      <w:r>
        <w:tab/>
      </w:r>
      <w:r>
        <w:tab/>
        <w:t>Makhanda</w:t>
      </w:r>
    </w:p>
    <w:p w14:paraId="1B787207" w14:textId="6B9BB02F" w:rsidR="00E144A9" w:rsidRPr="00AA0F6D" w:rsidRDefault="00E144A9" w:rsidP="00772E4B">
      <w:pPr>
        <w:jc w:val="both"/>
      </w:pPr>
      <w:r>
        <w:tab/>
      </w:r>
      <w:r>
        <w:tab/>
      </w:r>
      <w:r>
        <w:tab/>
      </w:r>
      <w:r>
        <w:tab/>
      </w:r>
      <w:r>
        <w:tab/>
      </w:r>
      <w:r>
        <w:tab/>
        <w:t>Tel: 046 622 7209</w:t>
      </w:r>
    </w:p>
    <w:p w14:paraId="020EA7D5" w14:textId="77777777" w:rsidR="00C33845" w:rsidRPr="00AA0F6D" w:rsidRDefault="00C33845" w:rsidP="00772E4B">
      <w:pPr>
        <w:jc w:val="both"/>
      </w:pPr>
    </w:p>
    <w:p w14:paraId="23A2D137" w14:textId="77777777" w:rsidR="00C33845" w:rsidRPr="00AA0F6D" w:rsidRDefault="00C33845" w:rsidP="00772E4B">
      <w:pPr>
        <w:jc w:val="both"/>
      </w:pPr>
    </w:p>
    <w:p w14:paraId="1A7A7824" w14:textId="27550729" w:rsidR="00654F5C" w:rsidRDefault="00E144A9" w:rsidP="00666E6A">
      <w:pPr>
        <w:jc w:val="both"/>
      </w:pPr>
      <w:r>
        <w:t>Counsel f</w:t>
      </w:r>
      <w:r w:rsidR="00C33845" w:rsidRPr="00AA0F6D">
        <w:t xml:space="preserve">or </w:t>
      </w:r>
      <w:r w:rsidR="009C21E0">
        <w:t>the First Defendant</w:t>
      </w:r>
      <w:r w:rsidR="00C33845" w:rsidRPr="00AA0F6D">
        <w:t>:</w:t>
      </w:r>
      <w:r w:rsidR="00C33845" w:rsidRPr="00AA0F6D">
        <w:tab/>
      </w:r>
      <w:r w:rsidR="00C33845" w:rsidRPr="00AA0F6D">
        <w:tab/>
      </w:r>
      <w:r w:rsidR="00654F5C">
        <w:t>Adv DH De La Harpe</w:t>
      </w:r>
      <w:r w:rsidR="00511D4C">
        <w:t xml:space="preserve"> SC</w:t>
      </w:r>
    </w:p>
    <w:p w14:paraId="3144181D" w14:textId="77777777" w:rsidR="00E144A9" w:rsidRDefault="00654F5C" w:rsidP="00666E6A">
      <w:pPr>
        <w:jc w:val="both"/>
      </w:pPr>
      <w:r>
        <w:tab/>
      </w:r>
      <w:r>
        <w:tab/>
      </w:r>
      <w:r>
        <w:tab/>
      </w:r>
      <w:r>
        <w:tab/>
      </w:r>
      <w:r>
        <w:tab/>
      </w:r>
      <w:r>
        <w:tab/>
        <w:t>Chambers, Makhanda</w:t>
      </w:r>
    </w:p>
    <w:p w14:paraId="59B31985" w14:textId="77777777" w:rsidR="00E144A9" w:rsidRDefault="00E144A9" w:rsidP="00666E6A">
      <w:pPr>
        <w:jc w:val="both"/>
      </w:pPr>
    </w:p>
    <w:p w14:paraId="1D538249" w14:textId="69D5BB47" w:rsidR="00E144A9" w:rsidRDefault="00E144A9" w:rsidP="00666E6A">
      <w:pPr>
        <w:jc w:val="both"/>
      </w:pPr>
      <w:r>
        <w:t>Instructed by:</w:t>
      </w:r>
      <w:r>
        <w:tab/>
      </w:r>
      <w:r>
        <w:tab/>
      </w:r>
      <w:r>
        <w:tab/>
      </w:r>
      <w:r>
        <w:tab/>
        <w:t>De Jager &amp; Lordan</w:t>
      </w:r>
      <w:r w:rsidR="00C33845" w:rsidRPr="00AA0F6D">
        <w:tab/>
      </w:r>
      <w:r>
        <w:t>Inc.</w:t>
      </w:r>
    </w:p>
    <w:p w14:paraId="10929E27" w14:textId="77777777" w:rsidR="00E144A9" w:rsidRDefault="00E144A9" w:rsidP="00666E6A">
      <w:pPr>
        <w:jc w:val="both"/>
      </w:pPr>
      <w:r>
        <w:tab/>
      </w:r>
      <w:r>
        <w:tab/>
      </w:r>
      <w:r>
        <w:tab/>
      </w:r>
      <w:r>
        <w:tab/>
      </w:r>
      <w:r>
        <w:tab/>
      </w:r>
      <w:r>
        <w:tab/>
        <w:t>First Defendant’s Attorneys</w:t>
      </w:r>
    </w:p>
    <w:p w14:paraId="0E1DB9D6" w14:textId="31B45082" w:rsidR="00E144A9" w:rsidRDefault="00E144A9" w:rsidP="00666E6A">
      <w:pPr>
        <w:jc w:val="both"/>
      </w:pPr>
      <w:r>
        <w:tab/>
      </w:r>
      <w:r>
        <w:tab/>
      </w:r>
      <w:r>
        <w:tab/>
      </w:r>
      <w:r>
        <w:tab/>
      </w:r>
      <w:r>
        <w:tab/>
      </w:r>
      <w:r>
        <w:tab/>
        <w:t>2 Allen Street</w:t>
      </w:r>
    </w:p>
    <w:p w14:paraId="1493F6F1" w14:textId="0C662F5B" w:rsidR="00E144A9" w:rsidRDefault="00E144A9" w:rsidP="00666E6A">
      <w:pPr>
        <w:jc w:val="both"/>
      </w:pPr>
      <w:r>
        <w:tab/>
      </w:r>
      <w:r>
        <w:tab/>
      </w:r>
      <w:r>
        <w:tab/>
      </w:r>
      <w:r>
        <w:tab/>
      </w:r>
      <w:r>
        <w:tab/>
      </w:r>
      <w:r>
        <w:tab/>
        <w:t>Makhanda</w:t>
      </w:r>
    </w:p>
    <w:p w14:paraId="25FE4945" w14:textId="161DE645" w:rsidR="00E144A9" w:rsidRDefault="00E144A9" w:rsidP="00666E6A">
      <w:pPr>
        <w:jc w:val="both"/>
      </w:pPr>
      <w:r>
        <w:tab/>
      </w:r>
      <w:r>
        <w:tab/>
      </w:r>
      <w:r>
        <w:tab/>
      </w:r>
      <w:r>
        <w:tab/>
      </w:r>
      <w:r>
        <w:tab/>
      </w:r>
      <w:r>
        <w:tab/>
        <w:t>Tel: 046 622 2799</w:t>
      </w:r>
    </w:p>
    <w:p w14:paraId="631AD31F" w14:textId="070C1BDA" w:rsidR="008677E3" w:rsidRPr="00044B50" w:rsidRDefault="00E144A9" w:rsidP="00666E6A">
      <w:pPr>
        <w:jc w:val="both"/>
        <w:rPr>
          <w:lang w:val="en-GB"/>
        </w:rPr>
      </w:pPr>
      <w:r>
        <w:tab/>
      </w:r>
      <w:r>
        <w:tab/>
      </w:r>
      <w:r>
        <w:tab/>
      </w:r>
      <w:r>
        <w:tab/>
      </w:r>
      <w:r>
        <w:tab/>
      </w:r>
      <w:r>
        <w:tab/>
      </w:r>
      <w:r w:rsidR="00C33845" w:rsidRPr="00AA0F6D">
        <w:tab/>
      </w:r>
      <w:r w:rsidR="00C33845" w:rsidRPr="00AA0F6D">
        <w:tab/>
      </w:r>
      <w:r w:rsidR="00C33845" w:rsidRPr="00AA0F6D">
        <w:tab/>
      </w:r>
      <w:r w:rsidR="00C33845" w:rsidRPr="00AA0F6D">
        <w:tab/>
      </w:r>
    </w:p>
    <w:sectPr w:rsidR="008677E3" w:rsidRPr="00044B50" w:rsidSect="00146BA3">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110A8" w14:textId="77777777" w:rsidR="00CC6A5F" w:rsidRPr="00FD0D4A" w:rsidRDefault="00CC6A5F" w:rsidP="00005691">
      <w:r w:rsidRPr="00FD0D4A">
        <w:separator/>
      </w:r>
    </w:p>
  </w:endnote>
  <w:endnote w:type="continuationSeparator" w:id="0">
    <w:p w14:paraId="7DDD6DF4" w14:textId="77777777" w:rsidR="00CC6A5F" w:rsidRPr="00FD0D4A" w:rsidRDefault="00CC6A5F" w:rsidP="00005691">
      <w:r w:rsidRPr="00FD0D4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C1742" w14:textId="77777777" w:rsidR="00CC6A5F" w:rsidRPr="00FD0D4A" w:rsidRDefault="00CC6A5F" w:rsidP="00005691">
      <w:r w:rsidRPr="00FD0D4A">
        <w:separator/>
      </w:r>
    </w:p>
  </w:footnote>
  <w:footnote w:type="continuationSeparator" w:id="0">
    <w:p w14:paraId="5E7E0F62" w14:textId="77777777" w:rsidR="00CC6A5F" w:rsidRPr="00FD0D4A" w:rsidRDefault="00CC6A5F" w:rsidP="00005691">
      <w:r w:rsidRPr="00FD0D4A">
        <w:continuationSeparator/>
      </w:r>
    </w:p>
  </w:footnote>
  <w:footnote w:id="1">
    <w:p w14:paraId="3C9AD686" w14:textId="77777777" w:rsidR="001D7534" w:rsidRPr="00AA0F6D" w:rsidRDefault="001D7534" w:rsidP="001D7534">
      <w:pPr>
        <w:pStyle w:val="FootnoteText"/>
        <w:spacing w:line="240" w:lineRule="auto"/>
        <w:jc w:val="both"/>
      </w:pPr>
      <w:r w:rsidRPr="00FD0D4A">
        <w:rPr>
          <w:rStyle w:val="FootnoteReference"/>
        </w:rPr>
        <w:footnoteRef/>
      </w:r>
      <w:r w:rsidRPr="00FD0D4A">
        <w:t xml:space="preserve"> </w:t>
      </w:r>
      <w:r w:rsidRPr="00AA0F6D">
        <w:t>Act 70 of 1970.</w:t>
      </w:r>
    </w:p>
  </w:footnote>
  <w:footnote w:id="2">
    <w:p w14:paraId="0B9B1388" w14:textId="1C8DFB1E" w:rsidR="001A0FF9" w:rsidRPr="00AA0F6D" w:rsidRDefault="001A0FF9" w:rsidP="00215BA8">
      <w:pPr>
        <w:pStyle w:val="FootnoteText"/>
        <w:spacing w:line="240" w:lineRule="auto"/>
        <w:jc w:val="both"/>
      </w:pPr>
      <w:r w:rsidRPr="00FD0D4A">
        <w:rPr>
          <w:rStyle w:val="FootnoteReference"/>
        </w:rPr>
        <w:footnoteRef/>
      </w:r>
      <w:r w:rsidRPr="00FD0D4A">
        <w:t xml:space="preserve"> </w:t>
      </w:r>
      <w:r w:rsidRPr="00AA0F6D">
        <w:t xml:space="preserve">In </w:t>
      </w:r>
      <w:r w:rsidRPr="00AA0F6D">
        <w:rPr>
          <w:i/>
          <w:iCs/>
        </w:rPr>
        <w:t>Nuance Investments (Pty) Ltd v Maghilda Investments (Pty) Ltd and Others</w:t>
      </w:r>
      <w:r w:rsidRPr="00AA0F6D">
        <w:t xml:space="preserve"> </w:t>
      </w:r>
      <w:r w:rsidR="00A202A0" w:rsidRPr="00FD0D4A">
        <w:t xml:space="preserve">[2016] ZASCA 190; </w:t>
      </w:r>
      <w:r w:rsidRPr="00AA0F6D">
        <w:t xml:space="preserve">[2017] 1 All SA 401 (SCA) </w:t>
      </w:r>
      <w:r w:rsidR="00046950" w:rsidRPr="00AA0F6D">
        <w:t>(‘</w:t>
      </w:r>
      <w:r w:rsidR="00046950" w:rsidRPr="00AA0F6D">
        <w:rPr>
          <w:i/>
          <w:iCs/>
        </w:rPr>
        <w:t>Nuance</w:t>
      </w:r>
      <w:r w:rsidR="00046950" w:rsidRPr="00AA0F6D">
        <w:t xml:space="preserve">’) </w:t>
      </w:r>
      <w:r w:rsidRPr="00AA0F6D">
        <w:t>para 26, Willis JA described similar issues as ‘an intricate web of tangled questions of law …[that] are not straigh</w:t>
      </w:r>
      <w:r w:rsidR="003722BD" w:rsidRPr="00AA0F6D">
        <w:t>t</w:t>
      </w:r>
      <w:r w:rsidRPr="00AA0F6D">
        <w:t>forward’.</w:t>
      </w:r>
    </w:p>
  </w:footnote>
  <w:footnote w:id="3">
    <w:p w14:paraId="69649E87" w14:textId="1B181CCC" w:rsidR="0056537C" w:rsidRPr="00AA0F6D" w:rsidRDefault="0056537C" w:rsidP="00215BA8">
      <w:pPr>
        <w:pStyle w:val="FootnoteText"/>
        <w:spacing w:line="240" w:lineRule="auto"/>
        <w:jc w:val="both"/>
      </w:pPr>
      <w:r w:rsidRPr="00FD0D4A">
        <w:rPr>
          <w:rStyle w:val="FootnoteReference"/>
        </w:rPr>
        <w:footnoteRef/>
      </w:r>
      <w:r w:rsidRPr="00FD0D4A">
        <w:t xml:space="preserve"> </w:t>
      </w:r>
      <w:r w:rsidRPr="00AA0F6D">
        <w:t xml:space="preserve">See </w:t>
      </w:r>
      <w:r w:rsidRPr="00AA0F6D">
        <w:rPr>
          <w:i/>
          <w:iCs/>
        </w:rPr>
        <w:t xml:space="preserve">Off-Beat Holiday Club &amp; Another v Sanbonani Holiday Spa Shareblock Ltd and Others </w:t>
      </w:r>
      <w:r w:rsidR="00A202A0" w:rsidRPr="00AA0F6D">
        <w:t>[2017] ZACC 15</w:t>
      </w:r>
      <w:r w:rsidR="00A202A0" w:rsidRPr="00FD0D4A">
        <w:t xml:space="preserve">; </w:t>
      </w:r>
      <w:r w:rsidRPr="00AA0F6D">
        <w:t>2017 (5) SA 9 (CC)</w:t>
      </w:r>
      <w:r w:rsidR="00A202A0" w:rsidRPr="00AA0F6D">
        <w:t xml:space="preserve">; </w:t>
      </w:r>
      <w:r w:rsidR="00A202A0" w:rsidRPr="00FD0D4A">
        <w:t>2017 (7) BCLR 916 (CC)</w:t>
      </w:r>
      <w:r w:rsidRPr="00AA0F6D">
        <w:t xml:space="preserve"> par</w:t>
      </w:r>
      <w:r w:rsidR="00D60C0B" w:rsidRPr="00AA0F6D">
        <w:t>a 31</w:t>
      </w:r>
      <w:r w:rsidRPr="00AA0F6D">
        <w:t>.</w:t>
      </w:r>
    </w:p>
  </w:footnote>
  <w:footnote w:id="4">
    <w:p w14:paraId="3AE635EB" w14:textId="03E2E470" w:rsidR="004A5D2A" w:rsidRPr="00AA0F6D" w:rsidRDefault="004A5D2A" w:rsidP="00215BA8">
      <w:pPr>
        <w:pStyle w:val="FootnoteText"/>
        <w:spacing w:line="240" w:lineRule="auto"/>
        <w:jc w:val="both"/>
      </w:pPr>
      <w:r w:rsidRPr="00FD0D4A">
        <w:rPr>
          <w:rStyle w:val="FootnoteReference"/>
        </w:rPr>
        <w:footnoteRef/>
      </w:r>
      <w:r w:rsidRPr="00FD0D4A">
        <w:t xml:space="preserve"> </w:t>
      </w:r>
      <w:r w:rsidRPr="00AA0F6D">
        <w:t>Section 3</w:t>
      </w:r>
      <w:r w:rsidRPr="00AA0F6D">
        <w:rPr>
          <w:i/>
          <w:iCs/>
        </w:rPr>
        <w:t>(e)</w:t>
      </w:r>
      <w:r w:rsidRPr="00AA0F6D">
        <w:t xml:space="preserve">(i) provides that, subject to the provisions of section 2, no portion of agricultural land, whether surveyed or not, and whether there is any building thereon or not, shall be sold or advertised for sale, except for the purposes of a mine as defined in </w:t>
      </w:r>
      <w:r w:rsidR="009E4B69">
        <w:t>legislation</w:t>
      </w:r>
      <w:r w:rsidRPr="00AA0F6D">
        <w:t xml:space="preserve"> unless the Minister has consented in writing.</w:t>
      </w:r>
      <w:r w:rsidR="009A186F" w:rsidRPr="00AA0F6D">
        <w:t xml:space="preserve"> </w:t>
      </w:r>
      <w:r w:rsidR="005F42AA">
        <w:t xml:space="preserve">On the definition of agricultural land, see T Kotze </w:t>
      </w:r>
      <w:r w:rsidR="005F42AA">
        <w:rPr>
          <w:i/>
          <w:iCs/>
        </w:rPr>
        <w:t xml:space="preserve">The regulation of agricultural land in South Africa: A legal comparative perspective </w:t>
      </w:r>
      <w:r w:rsidR="005F42AA">
        <w:t xml:space="preserve">(unpublished LLD dissertation, Stellenbosch University, 2020) chapter 2. </w:t>
      </w:r>
      <w:r w:rsidR="009A186F" w:rsidRPr="00AA0F6D">
        <w:t xml:space="preserve">The purpose of the Act is to prevent the fragmentation of agricultural land into uneconomic units: </w:t>
      </w:r>
      <w:r w:rsidR="003D08A3" w:rsidRPr="00AA0F6D">
        <w:t xml:space="preserve">see </w:t>
      </w:r>
      <w:r w:rsidR="001E0696" w:rsidRPr="00AA0F6D">
        <w:rPr>
          <w:i/>
          <w:iCs/>
        </w:rPr>
        <w:t>Wary</w:t>
      </w:r>
      <w:r w:rsidR="009A186F" w:rsidRPr="00AA0F6D">
        <w:rPr>
          <w:i/>
          <w:iCs/>
        </w:rPr>
        <w:t xml:space="preserve"> Holdings (Pty) Ltd v Stalwo (Pty) Ltd and Another</w:t>
      </w:r>
      <w:r w:rsidR="009A186F" w:rsidRPr="00AA0F6D">
        <w:t xml:space="preserve"> </w:t>
      </w:r>
      <w:r w:rsidR="00DB15F3" w:rsidRPr="00FD0D4A">
        <w:t xml:space="preserve">[2008] ZACC 12; </w:t>
      </w:r>
      <w:r w:rsidR="009A186F" w:rsidRPr="00AA0F6D">
        <w:t>2009 (1) SA 337 (CC)</w:t>
      </w:r>
      <w:r w:rsidR="00DB15F3" w:rsidRPr="00AA0F6D">
        <w:t xml:space="preserve">; </w:t>
      </w:r>
      <w:r w:rsidR="00DB15F3" w:rsidRPr="00FD0D4A">
        <w:t>2008 (11) BCLR 1123 (CC)</w:t>
      </w:r>
      <w:r w:rsidR="009A186F" w:rsidRPr="00AA0F6D">
        <w:t>.</w:t>
      </w:r>
    </w:p>
  </w:footnote>
  <w:footnote w:id="5">
    <w:p w14:paraId="59AE86B5" w14:textId="0BDD2E96" w:rsidR="005D785B" w:rsidRPr="00AA0F6D" w:rsidRDefault="005D785B" w:rsidP="00215BA8">
      <w:pPr>
        <w:pStyle w:val="FootnoteText"/>
        <w:spacing w:line="240" w:lineRule="auto"/>
        <w:jc w:val="both"/>
      </w:pPr>
      <w:r w:rsidRPr="00FD0D4A">
        <w:rPr>
          <w:rStyle w:val="FootnoteReference"/>
        </w:rPr>
        <w:footnoteRef/>
      </w:r>
      <w:r w:rsidRPr="00FD0D4A">
        <w:t xml:space="preserve"> </w:t>
      </w:r>
      <w:r w:rsidRPr="00AA0F6D">
        <w:t>The plaintiff tendered to repay the defendant the purchase price against rectification of the Register of Deeds to reflect the plaintiff as the owner of the immovable property.</w:t>
      </w:r>
    </w:p>
  </w:footnote>
  <w:footnote w:id="6">
    <w:p w14:paraId="0447BE66" w14:textId="070D733B" w:rsidR="006D18FD" w:rsidRPr="00AA0F6D" w:rsidRDefault="006D18FD" w:rsidP="00215BA8">
      <w:pPr>
        <w:pStyle w:val="FootnoteText"/>
        <w:spacing w:line="240" w:lineRule="auto"/>
        <w:jc w:val="both"/>
      </w:pPr>
      <w:r w:rsidRPr="00FD0D4A">
        <w:rPr>
          <w:rStyle w:val="FootnoteReference"/>
        </w:rPr>
        <w:footnoteRef/>
      </w:r>
      <w:r w:rsidRPr="00FD0D4A">
        <w:t xml:space="preserve"> </w:t>
      </w:r>
      <w:r w:rsidRPr="00AA0F6D">
        <w:t xml:space="preserve">The defendant’s </w:t>
      </w:r>
      <w:r w:rsidR="00C02DBA" w:rsidRPr="00AA0F6D">
        <w:t xml:space="preserve">rejoinder </w:t>
      </w:r>
      <w:r w:rsidR="0041424F" w:rsidRPr="00AA0F6D">
        <w:t>persisted with the special plea of prescription</w:t>
      </w:r>
      <w:r w:rsidR="00C02DBA" w:rsidRPr="00AA0F6D">
        <w:t>: ‘The first defendant … denies that the plaintiff’s claim is a vindicatory claim and pleads further that that plaintiff’s claim, as it is advanced in its particulars of claim, is for an order declaring the deed of sale, annexure “POC 1”, unlawful and void and a consequent claim for the transfer of the property, by the plaintiff to the first defendant, to be cancelled and set aside and which claim, being the complement of the plaintiff’s claimed right to an order declaring the deed of sale unlawful and void, and which claims constitute a debt for the purposes of prescription in terms of the Prescription Act’</w:t>
      </w:r>
      <w:r w:rsidR="00F335D9" w:rsidRPr="00AA0F6D">
        <w:t>.</w:t>
      </w:r>
    </w:p>
  </w:footnote>
  <w:footnote w:id="7">
    <w:p w14:paraId="5CFEA2A6" w14:textId="4DAD50F1" w:rsidR="001360C5" w:rsidRPr="00AA0F6D" w:rsidRDefault="001360C5" w:rsidP="00215BA8">
      <w:pPr>
        <w:pStyle w:val="FootnoteText"/>
        <w:spacing w:line="240" w:lineRule="auto"/>
        <w:jc w:val="both"/>
      </w:pPr>
      <w:r w:rsidRPr="00FD0D4A">
        <w:rPr>
          <w:rStyle w:val="FootnoteReference"/>
        </w:rPr>
        <w:footnoteRef/>
      </w:r>
      <w:r w:rsidRPr="00FD0D4A">
        <w:t xml:space="preserve"> </w:t>
      </w:r>
      <w:r w:rsidRPr="00AA0F6D">
        <w:t>Act 68 of 1969.</w:t>
      </w:r>
    </w:p>
  </w:footnote>
  <w:footnote w:id="8">
    <w:p w14:paraId="227E865F" w14:textId="63B72C6B" w:rsidR="00CE4B24" w:rsidRPr="00AA0F6D" w:rsidRDefault="00CE4B24" w:rsidP="00215BA8">
      <w:pPr>
        <w:pStyle w:val="FootnoteText"/>
        <w:spacing w:line="240" w:lineRule="auto"/>
        <w:jc w:val="both"/>
      </w:pPr>
      <w:r w:rsidRPr="00FD0D4A">
        <w:rPr>
          <w:rStyle w:val="FootnoteReference"/>
        </w:rPr>
        <w:footnoteRef/>
      </w:r>
      <w:r w:rsidRPr="00FD0D4A">
        <w:t xml:space="preserve"> </w:t>
      </w:r>
      <w:r w:rsidRPr="00AA0F6D">
        <w:t>Clause 18 of that document reads as follows:</w:t>
      </w:r>
    </w:p>
    <w:p w14:paraId="052FE622" w14:textId="03324218" w:rsidR="00CE4B24" w:rsidRPr="00AA0F6D" w:rsidRDefault="001568B3" w:rsidP="00215BA8">
      <w:pPr>
        <w:pStyle w:val="FootnoteText"/>
        <w:spacing w:line="240" w:lineRule="auto"/>
        <w:jc w:val="both"/>
      </w:pPr>
      <w:r w:rsidRPr="00AA0F6D">
        <w:t>‘</w:t>
      </w:r>
      <w:r w:rsidR="00CE4B24" w:rsidRPr="00AA0F6D">
        <w:t>18.1</w:t>
      </w:r>
      <w:r w:rsidR="00CE4B24" w:rsidRPr="00AA0F6D">
        <w:tab/>
        <w:t xml:space="preserve">Die koop is onderhewig daaraan dat: - </w:t>
      </w:r>
    </w:p>
    <w:p w14:paraId="0D8E40E6" w14:textId="4E011BA8" w:rsidR="00CE4B24" w:rsidRPr="00AA0F6D" w:rsidRDefault="00CE4B24" w:rsidP="00215BA8">
      <w:pPr>
        <w:pStyle w:val="FootnoteText"/>
        <w:spacing w:line="240" w:lineRule="auto"/>
        <w:ind w:left="1440" w:hanging="720"/>
        <w:jc w:val="both"/>
      </w:pPr>
      <w:r w:rsidRPr="00AA0F6D">
        <w:t>18.1.1</w:t>
      </w:r>
      <w:r w:rsidRPr="00AA0F6D">
        <w:tab/>
        <w:t>die Koper die reg sal hê o</w:t>
      </w:r>
      <w:r w:rsidR="00877F8E" w:rsidRPr="00AA0F6D">
        <w:t>m</w:t>
      </w:r>
      <w:r w:rsidRPr="00AA0F6D">
        <w:t xml:space="preserve"> op sodanige gedeelte van Blok 12 soos aangedui op die kaart hierby a</w:t>
      </w:r>
      <w:r w:rsidR="00877F8E" w:rsidRPr="00AA0F6D">
        <w:t>a</w:t>
      </w:r>
      <w:r w:rsidRPr="00AA0F6D">
        <w:t>nge</w:t>
      </w:r>
      <w:r w:rsidR="00877F8E" w:rsidRPr="00AA0F6D">
        <w:t>h</w:t>
      </w:r>
      <w:r w:rsidRPr="00AA0F6D">
        <w:t>eg, te oorskre</w:t>
      </w:r>
      <w:r w:rsidR="002A7AC1" w:rsidRPr="00AA0F6D">
        <w:t>i</w:t>
      </w:r>
      <w:r w:rsidRPr="00AA0F6D">
        <w:t xml:space="preserve"> deur midde</w:t>
      </w:r>
      <w:r w:rsidR="00FD1D0B" w:rsidRPr="00AA0F6D">
        <w:t>l</w:t>
      </w:r>
      <w:r w:rsidRPr="00AA0F6D">
        <w:t xml:space="preserve"> van </w:t>
      </w:r>
      <w:r w:rsidR="000B4E63" w:rsidRPr="00AA0F6D">
        <w:t>’</w:t>
      </w:r>
      <w:r w:rsidRPr="00AA0F6D">
        <w:t>n spilpunt wat die Koper van voorneme is om op die hierin verkoopte eiendom, op te rig; en</w:t>
      </w:r>
    </w:p>
    <w:p w14:paraId="600C13E4" w14:textId="5FD8D874" w:rsidR="00CE4B24" w:rsidRPr="00AA0F6D" w:rsidRDefault="00CE4B24" w:rsidP="00215BA8">
      <w:pPr>
        <w:pStyle w:val="FootnoteText"/>
        <w:spacing w:line="240" w:lineRule="auto"/>
        <w:ind w:left="1440" w:hanging="720"/>
        <w:jc w:val="both"/>
      </w:pPr>
      <w:r w:rsidRPr="00AA0F6D">
        <w:t>18.1.2</w:t>
      </w:r>
      <w:r w:rsidRPr="00AA0F6D">
        <w:tab/>
        <w:t>dat Carel Lodewyk Otto die reg sal hê</w:t>
      </w:r>
      <w:r w:rsidR="00350EE0" w:rsidRPr="00AA0F6D">
        <w:t xml:space="preserve"> om op Blok 20 soos aangedui op die kaart hierby aangeheg, te oorskrei</w:t>
      </w:r>
      <w:r w:rsidR="000B4E63" w:rsidRPr="00AA0F6D">
        <w:t xml:space="preserve"> deur </w:t>
      </w:r>
      <w:r w:rsidR="002E7393" w:rsidRPr="00AA0F6D">
        <w:t>middel</w:t>
      </w:r>
      <w:r w:rsidR="000B4E63" w:rsidRPr="00AA0F6D">
        <w:t xml:space="preserve"> van ’n spilpunt wat hy van voorneme is om op die oo</w:t>
      </w:r>
      <w:r w:rsidR="008224FE" w:rsidRPr="00AA0F6D">
        <w:t>r</w:t>
      </w:r>
      <w:r w:rsidR="000B4E63" w:rsidRPr="00AA0F6D">
        <w:t>blywende eiendom op te rig; en</w:t>
      </w:r>
    </w:p>
    <w:p w14:paraId="2A4E06D7" w14:textId="2A0A495F" w:rsidR="000B4E63" w:rsidRPr="00AA0F6D" w:rsidRDefault="000B4E63" w:rsidP="00AA0F6D">
      <w:pPr>
        <w:pStyle w:val="FootnoteText"/>
        <w:spacing w:after="120" w:line="240" w:lineRule="auto"/>
        <w:ind w:left="1440" w:hanging="720"/>
        <w:jc w:val="both"/>
      </w:pPr>
      <w:r w:rsidRPr="00AA0F6D">
        <w:t>18.1.3</w:t>
      </w:r>
      <w:r w:rsidRPr="00AA0F6D">
        <w:tab/>
        <w:t>dat Carel Lodewyk Otto die uitsluitlike gebruik sal hê van alle gedeeltes wat deur die spilpunt synde Blok 11 op die kaar</w:t>
      </w:r>
      <w:r w:rsidR="00F91734" w:rsidRPr="00AA0F6D">
        <w:t>t</w:t>
      </w:r>
      <w:r w:rsidRPr="00AA0F6D">
        <w:t xml:space="preserve"> besproei word asook Blokke 13, 14 en 15.</w:t>
      </w:r>
    </w:p>
    <w:p w14:paraId="2F664123" w14:textId="1129BF7C" w:rsidR="000B4E63" w:rsidRPr="00AA0F6D" w:rsidRDefault="000B4E63" w:rsidP="00215BA8">
      <w:pPr>
        <w:pStyle w:val="FootnoteText"/>
        <w:spacing w:line="240" w:lineRule="auto"/>
        <w:ind w:left="720" w:hanging="720"/>
        <w:jc w:val="both"/>
      </w:pPr>
      <w:r w:rsidRPr="00AA0F6D">
        <w:t>18.2</w:t>
      </w:r>
      <w:r w:rsidRPr="00AA0F6D">
        <w:tab/>
        <w:t xml:space="preserve">Dit word voorts </w:t>
      </w:r>
      <w:r w:rsidR="0081679C" w:rsidRPr="00AA0F6D">
        <w:t>hiermee geboekstaaf dat dit die partye se bedoeling is om binne ’redelik tyd aansoek te doen om die onderve</w:t>
      </w:r>
      <w:r w:rsidR="00823C28" w:rsidRPr="00AA0F6D">
        <w:t>r</w:t>
      </w:r>
      <w:r w:rsidR="0081679C" w:rsidRPr="00AA0F6D">
        <w:t xml:space="preserve">deling en konsolidasie van die hiermee verkoopte en aangresende eiendomme sodat die gedeeltes waarna in Sub-Klousule 1 hiervan verwys, van en by hul eiendom afgesny en byvoeg word en oor te </w:t>
      </w:r>
      <w:r w:rsidR="00E11090" w:rsidRPr="00AA0F6D">
        <w:t>d</w:t>
      </w:r>
      <w:r w:rsidR="0081679C" w:rsidRPr="00AA0F6D">
        <w:t>ra aan die ander party.’</w:t>
      </w:r>
    </w:p>
  </w:footnote>
  <w:footnote w:id="9">
    <w:p w14:paraId="1A9ADC40" w14:textId="1322BAB0" w:rsidR="002A38A7" w:rsidRPr="00AA0F6D" w:rsidRDefault="002A38A7" w:rsidP="00215BA8">
      <w:pPr>
        <w:pStyle w:val="FootnoteText"/>
        <w:spacing w:line="240" w:lineRule="auto"/>
        <w:jc w:val="both"/>
      </w:pPr>
      <w:r w:rsidRPr="00FD0D4A">
        <w:rPr>
          <w:rStyle w:val="FootnoteReference"/>
        </w:rPr>
        <w:footnoteRef/>
      </w:r>
      <w:r w:rsidRPr="00FD0D4A">
        <w:t xml:space="preserve"> </w:t>
      </w:r>
      <w:r w:rsidRPr="00AA0F6D">
        <w:t xml:space="preserve">On such an approach being adopted in the context of a special plea, see </w:t>
      </w:r>
      <w:r w:rsidRPr="00AA0F6D">
        <w:rPr>
          <w:i/>
          <w:iCs/>
        </w:rPr>
        <w:t>David Beckett Construction (Pty) Ltd v Bristow</w:t>
      </w:r>
      <w:r w:rsidRPr="00AA0F6D">
        <w:t xml:space="preserve"> 1987 (3) SA 275 (W) at 277J</w:t>
      </w:r>
      <w:r w:rsidR="00BC1CFF">
        <w:t>—</w:t>
      </w:r>
      <w:r w:rsidRPr="00AA0F6D">
        <w:t>282D.</w:t>
      </w:r>
    </w:p>
  </w:footnote>
  <w:footnote w:id="10">
    <w:p w14:paraId="73D3DE63" w14:textId="1431C665" w:rsidR="0029003C" w:rsidRPr="00AA0F6D" w:rsidRDefault="0029003C" w:rsidP="00215BA8">
      <w:pPr>
        <w:pStyle w:val="FootnoteText"/>
        <w:spacing w:line="240" w:lineRule="auto"/>
        <w:jc w:val="both"/>
      </w:pPr>
      <w:r w:rsidRPr="00FD0D4A">
        <w:rPr>
          <w:rStyle w:val="FootnoteReference"/>
        </w:rPr>
        <w:footnoteRef/>
      </w:r>
      <w:r w:rsidRPr="00FD0D4A">
        <w:t xml:space="preserve"> </w:t>
      </w:r>
      <w:r w:rsidRPr="00AA0F6D">
        <w:t xml:space="preserve">See F du Bois (ed) </w:t>
      </w:r>
      <w:r w:rsidRPr="00AA0F6D">
        <w:rPr>
          <w:i/>
          <w:iCs/>
        </w:rPr>
        <w:t>Wille’s</w:t>
      </w:r>
      <w:r w:rsidRPr="00AA0F6D">
        <w:t xml:space="preserve"> </w:t>
      </w:r>
      <w:r w:rsidRPr="00AA0F6D">
        <w:rPr>
          <w:i/>
          <w:iCs/>
        </w:rPr>
        <w:t>Principles of South African Law</w:t>
      </w:r>
      <w:r w:rsidRPr="00AA0F6D">
        <w:t xml:space="preserve"> 9 </w:t>
      </w:r>
      <w:r w:rsidR="00792B4C" w:rsidRPr="00AA0F6D">
        <w:t>e</w:t>
      </w:r>
      <w:r w:rsidRPr="00AA0F6D">
        <w:t>d (</w:t>
      </w:r>
      <w:r w:rsidR="00792B4C" w:rsidRPr="00AA0F6D">
        <w:t>2007</w:t>
      </w:r>
      <w:r w:rsidRPr="00AA0F6D">
        <w:t>) at 521</w:t>
      </w:r>
      <w:r w:rsidR="005149C7" w:rsidRPr="00AA0F6D">
        <w:t>: at the moment of transfer, the transferor must have the intention to transfer ownership (</w:t>
      </w:r>
      <w:r w:rsidR="005149C7" w:rsidRPr="00AA0F6D">
        <w:rPr>
          <w:i/>
          <w:iCs/>
        </w:rPr>
        <w:t>animus transferendi domini</w:t>
      </w:r>
      <w:r w:rsidR="005149C7" w:rsidRPr="00AA0F6D">
        <w:t>) and the transferee must have the intention to accept ownership (</w:t>
      </w:r>
      <w:r w:rsidR="005149C7" w:rsidRPr="00AA0F6D">
        <w:rPr>
          <w:i/>
          <w:iCs/>
        </w:rPr>
        <w:t>animus accipiendi dominii</w:t>
      </w:r>
      <w:r w:rsidR="005149C7" w:rsidRPr="00AA0F6D">
        <w:t>).</w:t>
      </w:r>
    </w:p>
  </w:footnote>
  <w:footnote w:id="11">
    <w:p w14:paraId="7726FB76" w14:textId="5494CB5C" w:rsidR="00C948BE" w:rsidRPr="00AA0F6D" w:rsidRDefault="00C948BE" w:rsidP="00215BA8">
      <w:pPr>
        <w:pStyle w:val="FootnoteText"/>
        <w:spacing w:line="240" w:lineRule="auto"/>
        <w:jc w:val="both"/>
      </w:pPr>
      <w:r w:rsidRPr="00FD0D4A">
        <w:rPr>
          <w:rStyle w:val="FootnoteReference"/>
        </w:rPr>
        <w:footnoteRef/>
      </w:r>
      <w:r w:rsidRPr="00FD0D4A">
        <w:t xml:space="preserve"> </w:t>
      </w:r>
      <w:r w:rsidRPr="00AA0F6D">
        <w:t xml:space="preserve">See </w:t>
      </w:r>
      <w:r w:rsidRPr="00AA0F6D">
        <w:rPr>
          <w:i/>
          <w:iCs/>
        </w:rPr>
        <w:t xml:space="preserve">Nuance </w:t>
      </w:r>
      <w:r w:rsidR="0065251B" w:rsidRPr="00AA0F6D">
        <w:t xml:space="preserve">above n </w:t>
      </w:r>
      <w:r w:rsidR="00E02EF3" w:rsidRPr="00AA0F6D">
        <w:t>2</w:t>
      </w:r>
      <w:r w:rsidR="0065251B" w:rsidRPr="00AA0F6D">
        <w:t xml:space="preserve"> </w:t>
      </w:r>
      <w:r w:rsidR="00FE248B" w:rsidRPr="00AA0F6D">
        <w:t>para 22</w:t>
      </w:r>
      <w:r w:rsidR="00B51264" w:rsidRPr="00AA0F6D">
        <w:t xml:space="preserve">: </w:t>
      </w:r>
      <w:r w:rsidR="00917B5D" w:rsidRPr="00AA0F6D">
        <w:t>‘…</w:t>
      </w:r>
      <w:r w:rsidR="00B51264" w:rsidRPr="00AA0F6D">
        <w:t>ownership passes on registration if there is a real agreement to do so, that is, an intention to transfer and receive ownership</w:t>
      </w:r>
      <w:r w:rsidR="00917B5D" w:rsidRPr="00AA0F6D">
        <w:t>’</w:t>
      </w:r>
      <w:r w:rsidR="00792B4C" w:rsidRPr="00AA0F6D">
        <w:t>.</w:t>
      </w:r>
    </w:p>
  </w:footnote>
  <w:footnote w:id="12">
    <w:p w14:paraId="6749DFF3" w14:textId="3FFEA5B9" w:rsidR="00E32F50" w:rsidRPr="00AA0F6D" w:rsidRDefault="00E32F50" w:rsidP="00215BA8">
      <w:pPr>
        <w:pStyle w:val="FootnoteText"/>
        <w:spacing w:line="240" w:lineRule="auto"/>
        <w:jc w:val="both"/>
      </w:pPr>
      <w:r w:rsidRPr="00FD0D4A">
        <w:rPr>
          <w:rStyle w:val="FootnoteReference"/>
        </w:rPr>
        <w:footnoteRef/>
      </w:r>
      <w:r w:rsidRPr="00FD0D4A">
        <w:t xml:space="preserve"> </w:t>
      </w:r>
      <w:r w:rsidRPr="00AA0F6D">
        <w:t xml:space="preserve">See </w:t>
      </w:r>
      <w:r w:rsidR="0062753E" w:rsidRPr="00AA0F6D">
        <w:t xml:space="preserve">G Muller et al </w:t>
      </w:r>
      <w:r w:rsidR="0062753E" w:rsidRPr="00AA0F6D">
        <w:rPr>
          <w:i/>
          <w:iCs/>
        </w:rPr>
        <w:t>Silberberg and Schoeman’s The Law of Property</w:t>
      </w:r>
      <w:r w:rsidR="0062753E" w:rsidRPr="00AA0F6D">
        <w:t xml:space="preserve"> 6 </w:t>
      </w:r>
      <w:r w:rsidR="00792B4C" w:rsidRPr="00AA0F6D">
        <w:t>ed</w:t>
      </w:r>
      <w:r w:rsidR="0062753E" w:rsidRPr="00AA0F6D">
        <w:t xml:space="preserve"> (2019) at 245.</w:t>
      </w:r>
      <w:r w:rsidR="00A83912" w:rsidRPr="00AA0F6D">
        <w:t xml:space="preserve"> Also see </w:t>
      </w:r>
      <w:r w:rsidR="00A83912" w:rsidRPr="00AA0F6D">
        <w:rPr>
          <w:i/>
          <w:iCs/>
        </w:rPr>
        <w:t xml:space="preserve">Klerck NO v </w:t>
      </w:r>
      <w:r w:rsidR="00424A4A" w:rsidRPr="00AA0F6D">
        <w:rPr>
          <w:i/>
          <w:iCs/>
        </w:rPr>
        <w:t xml:space="preserve">Van Zyl and </w:t>
      </w:r>
      <w:r w:rsidR="00A83912" w:rsidRPr="00AA0F6D">
        <w:rPr>
          <w:i/>
          <w:iCs/>
        </w:rPr>
        <w:t>Maritz NNO</w:t>
      </w:r>
      <w:r w:rsidR="00424A4A" w:rsidRPr="00AA0F6D">
        <w:rPr>
          <w:i/>
          <w:iCs/>
        </w:rPr>
        <w:t xml:space="preserve"> and Another</w:t>
      </w:r>
      <w:r w:rsidR="00A83912" w:rsidRPr="00AA0F6D">
        <w:t xml:space="preserve"> 1989 (4) SA 263</w:t>
      </w:r>
      <w:r w:rsidR="00792B4C" w:rsidRPr="00AA0F6D">
        <w:t xml:space="preserve"> (SE)</w:t>
      </w:r>
      <w:r w:rsidR="00A83912" w:rsidRPr="00AA0F6D">
        <w:t>.</w:t>
      </w:r>
    </w:p>
  </w:footnote>
  <w:footnote w:id="13">
    <w:p w14:paraId="06323DB4" w14:textId="4422F762" w:rsidR="00870489" w:rsidRPr="00AA0F6D" w:rsidRDefault="00870489" w:rsidP="00215BA8">
      <w:pPr>
        <w:pStyle w:val="FootnoteText"/>
        <w:spacing w:line="240" w:lineRule="auto"/>
        <w:jc w:val="both"/>
      </w:pPr>
      <w:r w:rsidRPr="00FD0D4A">
        <w:rPr>
          <w:rStyle w:val="FootnoteReference"/>
        </w:rPr>
        <w:footnoteRef/>
      </w:r>
      <w:r w:rsidRPr="00FD0D4A">
        <w:t xml:space="preserve"> </w:t>
      </w:r>
      <w:r w:rsidRPr="00AA0F6D">
        <w:rPr>
          <w:i/>
          <w:iCs/>
        </w:rPr>
        <w:t>Legator McKenna Incorporated &amp; Another v Shea &amp; Others</w:t>
      </w:r>
      <w:r w:rsidRPr="00AA0F6D">
        <w:t xml:space="preserve"> </w:t>
      </w:r>
      <w:r w:rsidR="00422777" w:rsidRPr="00FD0D4A">
        <w:t xml:space="preserve">[2008] ZASCA 144; </w:t>
      </w:r>
      <w:r w:rsidRPr="00AA0F6D">
        <w:t>2010 (1) SA 35 (SCA)</w:t>
      </w:r>
      <w:r w:rsidR="00422777" w:rsidRPr="00AA0F6D">
        <w:t xml:space="preserve">; </w:t>
      </w:r>
      <w:r w:rsidR="00422777" w:rsidRPr="00FD0D4A">
        <w:t>[2009] 2 All SA 45 (SCA)</w:t>
      </w:r>
      <w:r w:rsidRPr="00AA0F6D">
        <w:t xml:space="preserve"> </w:t>
      </w:r>
      <w:r w:rsidR="007C3C56" w:rsidRPr="00AA0F6D">
        <w:t>(‘</w:t>
      </w:r>
      <w:r w:rsidR="007C3C56" w:rsidRPr="00AA0F6D">
        <w:rPr>
          <w:i/>
          <w:iCs/>
        </w:rPr>
        <w:t>Legator McKenna</w:t>
      </w:r>
      <w:r w:rsidR="007C3C56" w:rsidRPr="00AA0F6D">
        <w:t>’)</w:t>
      </w:r>
      <w:r w:rsidR="007C3C56" w:rsidRPr="00AA0F6D">
        <w:rPr>
          <w:i/>
          <w:iCs/>
        </w:rPr>
        <w:t xml:space="preserve"> </w:t>
      </w:r>
      <w:r w:rsidRPr="00AA0F6D">
        <w:t>para 22</w:t>
      </w:r>
      <w:r w:rsidR="00FF45E5" w:rsidRPr="00AA0F6D">
        <w:t>: ownership will not pass, despite registration or transfer, if there is a defect in the ‘real agreement’.</w:t>
      </w:r>
    </w:p>
  </w:footnote>
  <w:footnote w:id="14">
    <w:p w14:paraId="4AE363B0" w14:textId="2601AB2D" w:rsidR="0022418D" w:rsidRPr="00AA0F6D" w:rsidRDefault="0022418D" w:rsidP="00215BA8">
      <w:pPr>
        <w:pStyle w:val="FootnoteText"/>
        <w:spacing w:line="240" w:lineRule="auto"/>
        <w:jc w:val="both"/>
      </w:pPr>
      <w:r w:rsidRPr="00FD0D4A">
        <w:rPr>
          <w:rStyle w:val="FootnoteReference"/>
        </w:rPr>
        <w:footnoteRef/>
      </w:r>
      <w:r w:rsidRPr="00FD0D4A">
        <w:t xml:space="preserve"> </w:t>
      </w:r>
      <w:r w:rsidRPr="00AA0F6D">
        <w:t xml:space="preserve">Du Bois above n </w:t>
      </w:r>
      <w:r w:rsidR="00107681" w:rsidRPr="00AA0F6D">
        <w:t>10</w:t>
      </w:r>
      <w:r w:rsidRPr="00AA0F6D">
        <w:t xml:space="preserve"> at 522.</w:t>
      </w:r>
      <w:r w:rsidR="007C3C56" w:rsidRPr="00AA0F6D">
        <w:t xml:space="preserve"> </w:t>
      </w:r>
      <w:r w:rsidR="007C3C56" w:rsidRPr="00AA0F6D">
        <w:rPr>
          <w:i/>
          <w:iCs/>
        </w:rPr>
        <w:t xml:space="preserve">Legator McKenna </w:t>
      </w:r>
      <w:r w:rsidR="007C3C56" w:rsidRPr="00AA0F6D">
        <w:t xml:space="preserve">above n </w:t>
      </w:r>
      <w:r w:rsidR="00107681" w:rsidRPr="00AA0F6D">
        <w:t xml:space="preserve">13 </w:t>
      </w:r>
      <w:r w:rsidR="007C3C56" w:rsidRPr="00AA0F6D">
        <w:t>para 25.</w:t>
      </w:r>
    </w:p>
  </w:footnote>
  <w:footnote w:id="15">
    <w:p w14:paraId="2CD4CD86" w14:textId="627E372F" w:rsidR="00552CE8" w:rsidRPr="00AA0F6D" w:rsidRDefault="00552CE8" w:rsidP="00215BA8">
      <w:pPr>
        <w:pStyle w:val="FootnoteText"/>
        <w:spacing w:line="240" w:lineRule="auto"/>
        <w:jc w:val="both"/>
      </w:pPr>
      <w:r w:rsidRPr="00FD0D4A">
        <w:rPr>
          <w:rStyle w:val="FootnoteReference"/>
        </w:rPr>
        <w:footnoteRef/>
      </w:r>
      <w:r w:rsidRPr="00FD0D4A">
        <w:t xml:space="preserve"> </w:t>
      </w:r>
      <w:r w:rsidRPr="00AA0F6D">
        <w:t xml:space="preserve">Du Bois above n </w:t>
      </w:r>
      <w:r w:rsidR="00107681" w:rsidRPr="00AA0F6D">
        <w:t xml:space="preserve">10 </w:t>
      </w:r>
      <w:r w:rsidRPr="00AA0F6D">
        <w:t>at 522</w:t>
      </w:r>
      <w:r w:rsidR="0068311A" w:rsidRPr="00AA0F6D">
        <w:t>, 523</w:t>
      </w:r>
      <w:r w:rsidRPr="00AA0F6D">
        <w:t xml:space="preserve">: </w:t>
      </w:r>
      <w:r w:rsidR="00C706C8" w:rsidRPr="00AA0F6D">
        <w:t>i</w:t>
      </w:r>
      <w:r w:rsidRPr="00AA0F6D">
        <w:t>f there is a serious intention to transfer ownership, ownership passes to the transferee.</w:t>
      </w:r>
      <w:r w:rsidR="00373ECE" w:rsidRPr="00AA0F6D">
        <w:t xml:space="preserve"> Following the abstract system of transfer, such intention can exist in the absence of a valid cause.</w:t>
      </w:r>
      <w:r w:rsidR="00F55752" w:rsidRPr="00AA0F6D">
        <w:t xml:space="preserve"> </w:t>
      </w:r>
      <w:r w:rsidR="00F8632F" w:rsidRPr="00AA0F6D">
        <w:t>In other words, t</w:t>
      </w:r>
      <w:r w:rsidR="00F55752" w:rsidRPr="00AA0F6D">
        <w:t>he reason for the transfer, whether invalid, putative or defective, does not affect passing of ownership where the parties intend ownership to pass</w:t>
      </w:r>
      <w:r w:rsidR="0069408D" w:rsidRPr="00AA0F6D">
        <w:t>.</w:t>
      </w:r>
      <w:r w:rsidR="00E72EB2" w:rsidRPr="00AA0F6D">
        <w:t xml:space="preserve"> Also see Muller et al </w:t>
      </w:r>
      <w:r w:rsidR="00AE257F" w:rsidRPr="00AA0F6D">
        <w:t xml:space="preserve">above n 12 </w:t>
      </w:r>
      <w:r w:rsidR="00E72EB2" w:rsidRPr="00AA0F6D">
        <w:t>at 80: even an illegal underlying contract may be followed by a perfectly valid act of transfer.</w:t>
      </w:r>
    </w:p>
  </w:footnote>
  <w:footnote w:id="16">
    <w:p w14:paraId="34972757" w14:textId="27287F7A" w:rsidR="005A2601" w:rsidRPr="00AA0F6D" w:rsidRDefault="005A2601" w:rsidP="00215BA8">
      <w:pPr>
        <w:pStyle w:val="FootnoteText"/>
        <w:spacing w:line="240" w:lineRule="auto"/>
        <w:jc w:val="both"/>
      </w:pPr>
      <w:r w:rsidRPr="00FD0D4A">
        <w:rPr>
          <w:rStyle w:val="FootnoteReference"/>
        </w:rPr>
        <w:footnoteRef/>
      </w:r>
      <w:r w:rsidRPr="00FD0D4A">
        <w:t xml:space="preserve"> </w:t>
      </w:r>
      <w:r w:rsidR="00F65EBF" w:rsidRPr="00FD0D4A">
        <w:t xml:space="preserve">See </w:t>
      </w:r>
      <w:r w:rsidRPr="00AA0F6D">
        <w:t xml:space="preserve">Du Bois above n </w:t>
      </w:r>
      <w:r w:rsidR="00D00D04" w:rsidRPr="00AA0F6D">
        <w:t>10</w:t>
      </w:r>
      <w:r w:rsidRPr="00AA0F6D">
        <w:t xml:space="preserve"> at 523, 524</w:t>
      </w:r>
      <w:r w:rsidR="00F65EBF" w:rsidRPr="00AA0F6D">
        <w:t xml:space="preserve"> and the authorities cited</w:t>
      </w:r>
      <w:r w:rsidR="00D26118" w:rsidRPr="00AA0F6D">
        <w:t>.</w:t>
      </w:r>
      <w:r w:rsidR="00056EA6" w:rsidRPr="00AA0F6D">
        <w:t xml:space="preserve"> Also see the remarks of Harms DP</w:t>
      </w:r>
      <w:r w:rsidR="00287342" w:rsidRPr="00AA0F6D">
        <w:t>, in the context of reliance on estoppel,</w:t>
      </w:r>
      <w:r w:rsidR="00056EA6" w:rsidRPr="00AA0F6D">
        <w:t xml:space="preserve"> in </w:t>
      </w:r>
      <w:r w:rsidR="00056EA6" w:rsidRPr="00AA0F6D">
        <w:rPr>
          <w:i/>
          <w:iCs/>
        </w:rPr>
        <w:t>Oriental Products v Pegma 178 Investments Trading</w:t>
      </w:r>
      <w:r w:rsidR="00056EA6" w:rsidRPr="00AA0F6D">
        <w:t xml:space="preserve"> </w:t>
      </w:r>
      <w:r w:rsidR="00E13CFF" w:rsidRPr="00554EE2">
        <w:rPr>
          <w:i/>
          <w:iCs/>
        </w:rPr>
        <w:t>CC and Others</w:t>
      </w:r>
      <w:r w:rsidR="00E13CFF" w:rsidRPr="00AA0F6D">
        <w:t xml:space="preserve"> </w:t>
      </w:r>
      <w:r w:rsidR="00E13CFF" w:rsidRPr="00FD0D4A">
        <w:t xml:space="preserve">[2010] ZASCA 166; </w:t>
      </w:r>
      <w:r w:rsidR="00056EA6" w:rsidRPr="00AA0F6D">
        <w:t>2011 (2) SA 508 (SCA)</w:t>
      </w:r>
      <w:r w:rsidR="00E13CFF" w:rsidRPr="00AA0F6D">
        <w:t xml:space="preserve">; </w:t>
      </w:r>
      <w:r w:rsidR="00E13CFF" w:rsidRPr="00FD0D4A">
        <w:t>[2011] 3 All SA 173 (SCA)</w:t>
      </w:r>
      <w:r w:rsidR="00056EA6" w:rsidRPr="00AA0F6D">
        <w:t xml:space="preserve"> para 28: ‘By knowingly leaving the register to reflect the incorrect position as to ownership, the appellant, by omission, represented to the world in general, and to the first respondent in particular, that the second respondent was the true owner of the property’</w:t>
      </w:r>
      <w:r w:rsidR="009B25B6" w:rsidRPr="00AA0F6D">
        <w:t>.</w:t>
      </w:r>
    </w:p>
  </w:footnote>
  <w:footnote w:id="17">
    <w:p w14:paraId="3E17A05D" w14:textId="57AF39EB" w:rsidR="005A030F" w:rsidRPr="00AA0F6D" w:rsidRDefault="005A030F" w:rsidP="00215BA8">
      <w:pPr>
        <w:pStyle w:val="FootnoteText"/>
        <w:spacing w:line="240" w:lineRule="auto"/>
        <w:jc w:val="both"/>
      </w:pPr>
      <w:r w:rsidRPr="00FD0D4A">
        <w:rPr>
          <w:rStyle w:val="FootnoteReference"/>
        </w:rPr>
        <w:footnoteRef/>
      </w:r>
      <w:r w:rsidRPr="00FD0D4A">
        <w:t xml:space="preserve"> </w:t>
      </w:r>
      <w:r w:rsidR="0076277F" w:rsidRPr="00AA0F6D">
        <w:t>Muller et al</w:t>
      </w:r>
      <w:r w:rsidRPr="00AA0F6D">
        <w:t xml:space="preserve"> </w:t>
      </w:r>
      <w:r w:rsidR="001D7DE9" w:rsidRPr="00AA0F6D">
        <w:t xml:space="preserve">above n 12 </w:t>
      </w:r>
      <w:r w:rsidRPr="00AA0F6D">
        <w:t>at 245, 246.</w:t>
      </w:r>
      <w:r w:rsidR="00500547" w:rsidRPr="00AA0F6D">
        <w:t xml:space="preserve"> Also see </w:t>
      </w:r>
      <w:r w:rsidR="00500547" w:rsidRPr="00AA0F6D">
        <w:rPr>
          <w:i/>
          <w:iCs/>
        </w:rPr>
        <w:t>Du Plessis v Prophitius and Another</w:t>
      </w:r>
      <w:r w:rsidR="00500547" w:rsidRPr="00AA0F6D">
        <w:t xml:space="preserve"> </w:t>
      </w:r>
      <w:r w:rsidR="00D335F3" w:rsidRPr="00FD0D4A">
        <w:t xml:space="preserve">[2009] ZASCA 79; </w:t>
      </w:r>
      <w:r w:rsidR="00500547" w:rsidRPr="00AA0F6D">
        <w:t>2010 (1) SA 49 (SCA)</w:t>
      </w:r>
      <w:r w:rsidR="00D335F3" w:rsidRPr="00AA0F6D">
        <w:t xml:space="preserve">; </w:t>
      </w:r>
      <w:r w:rsidR="00D335F3" w:rsidRPr="00FD0D4A">
        <w:t>[2009] 4 All SA 302 (SCA)</w:t>
      </w:r>
      <w:r w:rsidR="00500547" w:rsidRPr="00AA0F6D">
        <w:t xml:space="preserve"> para 11.</w:t>
      </w:r>
      <w:r w:rsidR="00277C7A" w:rsidRPr="00AA0F6D">
        <w:t xml:space="preserve"> Cf </w:t>
      </w:r>
      <w:r w:rsidR="00277C7A" w:rsidRPr="00AA0F6D">
        <w:rPr>
          <w:i/>
          <w:iCs/>
        </w:rPr>
        <w:t>Bester NO and Others v Schmidt Bou Ontwikkelings CC</w:t>
      </w:r>
      <w:r w:rsidR="00277C7A" w:rsidRPr="00AA0F6D">
        <w:t xml:space="preserve"> </w:t>
      </w:r>
      <w:r w:rsidR="00D335F3" w:rsidRPr="00FD0D4A">
        <w:t>[2012] ZASCA 125; 2013 (1) SA 125 (SCA).</w:t>
      </w:r>
    </w:p>
  </w:footnote>
  <w:footnote w:id="18">
    <w:p w14:paraId="5499A8F5" w14:textId="4660185C" w:rsidR="00277411" w:rsidRPr="00AA0F6D" w:rsidRDefault="00277411" w:rsidP="00215BA8">
      <w:pPr>
        <w:pStyle w:val="FootnoteText"/>
        <w:spacing w:line="240" w:lineRule="auto"/>
        <w:jc w:val="both"/>
      </w:pPr>
      <w:r w:rsidRPr="00FD0D4A">
        <w:rPr>
          <w:rStyle w:val="FootnoteReference"/>
        </w:rPr>
        <w:footnoteRef/>
      </w:r>
      <w:r w:rsidRPr="00FD0D4A">
        <w:t xml:space="preserve"> </w:t>
      </w:r>
      <w:r w:rsidRPr="00AA0F6D">
        <w:rPr>
          <w:i/>
          <w:iCs/>
        </w:rPr>
        <w:t>Gardens Estate Ltd v Lewis</w:t>
      </w:r>
      <w:r w:rsidRPr="00AA0F6D">
        <w:t xml:space="preserve"> 1920 AD 144.</w:t>
      </w:r>
    </w:p>
  </w:footnote>
  <w:footnote w:id="19">
    <w:p w14:paraId="50308F77" w14:textId="113E1C36" w:rsidR="00B70A99" w:rsidRPr="00AA0F6D" w:rsidRDefault="00B70A99" w:rsidP="00215BA8">
      <w:pPr>
        <w:pStyle w:val="FootnoteText"/>
        <w:spacing w:line="240" w:lineRule="auto"/>
        <w:jc w:val="both"/>
      </w:pPr>
      <w:r w:rsidRPr="00FD0D4A">
        <w:rPr>
          <w:rStyle w:val="FootnoteReference"/>
        </w:rPr>
        <w:footnoteRef/>
      </w:r>
      <w:r w:rsidRPr="00FD0D4A">
        <w:t xml:space="preserve"> </w:t>
      </w:r>
      <w:r w:rsidR="007C0909" w:rsidRPr="00FD0D4A">
        <w:t>Ibid</w:t>
      </w:r>
      <w:r w:rsidRPr="00FD0D4A">
        <w:t xml:space="preserve"> at 149.</w:t>
      </w:r>
    </w:p>
  </w:footnote>
  <w:footnote w:id="20">
    <w:p w14:paraId="5DB1248B" w14:textId="784DDAF6" w:rsidR="00C5287F" w:rsidRPr="00AA0F6D" w:rsidRDefault="00C5287F" w:rsidP="00215BA8">
      <w:pPr>
        <w:pStyle w:val="FootnoteText"/>
        <w:spacing w:line="240" w:lineRule="auto"/>
        <w:jc w:val="both"/>
      </w:pPr>
      <w:r w:rsidRPr="00FD0D4A">
        <w:rPr>
          <w:rStyle w:val="FootnoteReference"/>
        </w:rPr>
        <w:footnoteRef/>
      </w:r>
      <w:r w:rsidRPr="00FD0D4A">
        <w:t xml:space="preserve"> </w:t>
      </w:r>
      <w:r w:rsidR="00811688" w:rsidRPr="00AA0F6D">
        <w:t xml:space="preserve">See </w:t>
      </w:r>
      <w:r w:rsidR="00811688" w:rsidRPr="00AA0F6D">
        <w:rPr>
          <w:i/>
          <w:iCs/>
        </w:rPr>
        <w:t xml:space="preserve">Gardens Estate Ltd v Lewis </w:t>
      </w:r>
      <w:r w:rsidR="00811688" w:rsidRPr="00AA0F6D">
        <w:t xml:space="preserve">above n </w:t>
      </w:r>
      <w:r w:rsidR="000D7982" w:rsidRPr="00AA0F6D">
        <w:t>18</w:t>
      </w:r>
      <w:r w:rsidR="00811688" w:rsidRPr="00AA0F6D">
        <w:t xml:space="preserve"> at 149, particularly the following: </w:t>
      </w:r>
      <w:r w:rsidR="00AF4F7E" w:rsidRPr="00AA0F6D">
        <w:t xml:space="preserve">‘No doubt the position of </w:t>
      </w:r>
      <w:r w:rsidR="00AF4F7E" w:rsidRPr="00AA0F6D">
        <w:rPr>
          <w:i/>
          <w:iCs/>
        </w:rPr>
        <w:t>Voet</w:t>
      </w:r>
      <w:r w:rsidR="00AF4F7E" w:rsidRPr="00AA0F6D">
        <w:t xml:space="preserve"> 41.1.35., supported as it is by the authority of the </w:t>
      </w:r>
      <w:r w:rsidR="00AF4F7E" w:rsidRPr="00AA0F6D">
        <w:rPr>
          <w:i/>
          <w:iCs/>
        </w:rPr>
        <w:t>Digest</w:t>
      </w:r>
      <w:r w:rsidR="00AF4F7E" w:rsidRPr="00AA0F6D">
        <w:t xml:space="preserve"> 41.1.31 and 44.7.55, that mere delivery without the intention to transfer the ownership does not pass dominium, is impregnable, but so long as the Deed of Transfer and the diagram stand – and it is now too late to attempt to rectify it – the argument for the respondent is hopeless’</w:t>
      </w:r>
      <w:r w:rsidR="004436EE" w:rsidRPr="00AA0F6D">
        <w:t>.</w:t>
      </w:r>
    </w:p>
  </w:footnote>
  <w:footnote w:id="21">
    <w:p w14:paraId="0D249AA7" w14:textId="5E1AB336" w:rsidR="002A19C0" w:rsidRPr="00AA0F6D" w:rsidRDefault="002A19C0" w:rsidP="00215BA8">
      <w:pPr>
        <w:pStyle w:val="FootnoteText"/>
        <w:spacing w:line="240" w:lineRule="auto"/>
        <w:jc w:val="both"/>
      </w:pPr>
      <w:r w:rsidRPr="00FD0D4A">
        <w:rPr>
          <w:rStyle w:val="FootnoteReference"/>
        </w:rPr>
        <w:footnoteRef/>
      </w:r>
      <w:r w:rsidRPr="00FD0D4A">
        <w:t xml:space="preserve"> </w:t>
      </w:r>
      <w:r w:rsidRPr="00AA0F6D">
        <w:rPr>
          <w:i/>
          <w:iCs/>
        </w:rPr>
        <w:t>Gardens Estate Ltd v Lewis</w:t>
      </w:r>
      <w:r w:rsidRPr="00AA0F6D">
        <w:t xml:space="preserve"> above n </w:t>
      </w:r>
      <w:r w:rsidR="002D56E6" w:rsidRPr="00AA0F6D">
        <w:t>18</w:t>
      </w:r>
      <w:r w:rsidRPr="00AA0F6D">
        <w:t xml:space="preserve"> at 149.</w:t>
      </w:r>
      <w:r w:rsidR="00AD51D8" w:rsidRPr="00AA0F6D">
        <w:t xml:space="preserve"> On the meaning of ‘portion’, in the context of the Act, see </w:t>
      </w:r>
      <w:r w:rsidR="00AD51D8" w:rsidRPr="00AA0F6D">
        <w:rPr>
          <w:i/>
          <w:iCs/>
        </w:rPr>
        <w:t>Adlem and Another v Arlow</w:t>
      </w:r>
      <w:r w:rsidR="00AD51D8" w:rsidRPr="00AA0F6D">
        <w:t xml:space="preserve"> </w:t>
      </w:r>
      <w:r w:rsidR="00DD1A4F" w:rsidRPr="00FD0D4A">
        <w:t xml:space="preserve">[2012] ZASCA 164; </w:t>
      </w:r>
      <w:r w:rsidR="00AD51D8" w:rsidRPr="00AA0F6D">
        <w:t>2013 (3) SA 1 (SCA)</w:t>
      </w:r>
      <w:r w:rsidR="00DD1A4F" w:rsidRPr="00AA0F6D">
        <w:t xml:space="preserve">; </w:t>
      </w:r>
      <w:r w:rsidR="00DD1A4F" w:rsidRPr="00FD0D4A">
        <w:t>[2013] 1 All SA 1 (SCA)</w:t>
      </w:r>
      <w:r w:rsidR="00AD51D8" w:rsidRPr="00AA0F6D">
        <w:t xml:space="preserve"> para 13.</w:t>
      </w:r>
    </w:p>
  </w:footnote>
  <w:footnote w:id="22">
    <w:p w14:paraId="0E07CAE4" w14:textId="5DD61377" w:rsidR="00A52C3E" w:rsidRPr="00AA0F6D" w:rsidRDefault="00A52C3E" w:rsidP="00215BA8">
      <w:pPr>
        <w:pStyle w:val="FootnoteText"/>
        <w:spacing w:line="240" w:lineRule="auto"/>
        <w:jc w:val="both"/>
      </w:pPr>
      <w:r w:rsidRPr="00FD0D4A">
        <w:rPr>
          <w:rStyle w:val="FootnoteReference"/>
        </w:rPr>
        <w:footnoteRef/>
      </w:r>
      <w:r w:rsidRPr="00FD0D4A">
        <w:t xml:space="preserve"> </w:t>
      </w:r>
      <w:r w:rsidRPr="00AA0F6D">
        <w:t xml:space="preserve">See the judgment of Centlivres JA in </w:t>
      </w:r>
      <w:r w:rsidRPr="00AA0F6D">
        <w:rPr>
          <w:i/>
          <w:iCs/>
        </w:rPr>
        <w:t>Commissioner of Customs and Excise v Randles Brothers &amp; Hudsom Ltd</w:t>
      </w:r>
      <w:r w:rsidRPr="00AA0F6D">
        <w:t xml:space="preserve"> 1941 (AD) 369 </w:t>
      </w:r>
      <w:r w:rsidR="002936BC" w:rsidRPr="00AA0F6D">
        <w:t>(‘</w:t>
      </w:r>
      <w:r w:rsidR="002936BC" w:rsidRPr="00AA0F6D">
        <w:rPr>
          <w:i/>
          <w:iCs/>
        </w:rPr>
        <w:t>Randles Brothers</w:t>
      </w:r>
      <w:r w:rsidR="002936BC" w:rsidRPr="00AA0F6D">
        <w:t>’)</w:t>
      </w:r>
      <w:r w:rsidR="002936BC" w:rsidRPr="00AA0F6D">
        <w:rPr>
          <w:i/>
          <w:iCs/>
        </w:rPr>
        <w:t xml:space="preserve"> </w:t>
      </w:r>
      <w:r w:rsidRPr="00AA0F6D">
        <w:t>at 411: ‘There may be direct evidence of an intention to pass and acquire ownership and, if there is, there is no need to rely on a preceding legal transaction in order to show that ownership has, as a fact, passed … [S]uch intention may be proved in various ways’</w:t>
      </w:r>
      <w:r w:rsidR="004C27BE" w:rsidRPr="00AA0F6D">
        <w:t>.</w:t>
      </w:r>
      <w:r w:rsidR="00B35060" w:rsidRPr="00AA0F6D">
        <w:t xml:space="preserve"> Also see </w:t>
      </w:r>
      <w:r w:rsidR="00B35060" w:rsidRPr="00AA0F6D">
        <w:rPr>
          <w:i/>
          <w:iCs/>
        </w:rPr>
        <w:t>Meintjies NO v Coetzer and Others</w:t>
      </w:r>
      <w:r w:rsidR="00B35060" w:rsidRPr="00AA0F6D">
        <w:t xml:space="preserve"> </w:t>
      </w:r>
      <w:r w:rsidR="004C27BE" w:rsidRPr="00FD0D4A">
        <w:t xml:space="preserve">[2010] ZASCA 32; </w:t>
      </w:r>
      <w:r w:rsidR="00B35060" w:rsidRPr="00AA0F6D">
        <w:t>2010 (5) SA 186 (SCA)</w:t>
      </w:r>
      <w:r w:rsidR="004C27BE" w:rsidRPr="00AA0F6D">
        <w:t xml:space="preserve">; </w:t>
      </w:r>
      <w:r w:rsidR="004C27BE" w:rsidRPr="00FD0D4A">
        <w:t>[2010] 4 All SA 34 (SCA)</w:t>
      </w:r>
      <w:r w:rsidR="00B35060" w:rsidRPr="00AA0F6D">
        <w:t>.</w:t>
      </w:r>
    </w:p>
  </w:footnote>
  <w:footnote w:id="23">
    <w:p w14:paraId="204F56C5" w14:textId="5B4523F4" w:rsidR="00BA38F8" w:rsidRPr="00AA0F6D" w:rsidRDefault="00BA38F8" w:rsidP="00215BA8">
      <w:pPr>
        <w:pStyle w:val="FootnoteText"/>
        <w:spacing w:line="240" w:lineRule="auto"/>
        <w:jc w:val="both"/>
      </w:pPr>
      <w:r w:rsidRPr="00FD0D4A">
        <w:rPr>
          <w:rStyle w:val="FootnoteReference"/>
        </w:rPr>
        <w:footnoteRef/>
      </w:r>
      <w:r w:rsidRPr="00FD0D4A">
        <w:t xml:space="preserve"> </w:t>
      </w:r>
      <w:r w:rsidRPr="00AA0F6D">
        <w:t xml:space="preserve">Muller et al </w:t>
      </w:r>
      <w:r w:rsidR="00A7257B" w:rsidRPr="00AA0F6D">
        <w:t xml:space="preserve">above n 12 </w:t>
      </w:r>
      <w:r w:rsidRPr="00AA0F6D">
        <w:t>at 80.</w:t>
      </w:r>
    </w:p>
  </w:footnote>
  <w:footnote w:id="24">
    <w:p w14:paraId="3B043B5A" w14:textId="616A27D6" w:rsidR="00585250" w:rsidRPr="00AA0F6D" w:rsidRDefault="00585250" w:rsidP="00215BA8">
      <w:pPr>
        <w:pStyle w:val="FootnoteText"/>
        <w:spacing w:line="240" w:lineRule="auto"/>
        <w:jc w:val="both"/>
      </w:pPr>
      <w:r w:rsidRPr="00FD0D4A">
        <w:rPr>
          <w:rStyle w:val="FootnoteReference"/>
        </w:rPr>
        <w:footnoteRef/>
      </w:r>
      <w:r w:rsidRPr="00FD0D4A">
        <w:t xml:space="preserve"> </w:t>
      </w:r>
      <w:r w:rsidR="00AA674B" w:rsidRPr="00AA0F6D">
        <w:t>Ibid at</w:t>
      </w:r>
      <w:r w:rsidRPr="00AA0F6D">
        <w:t xml:space="preserve"> 77.</w:t>
      </w:r>
    </w:p>
  </w:footnote>
  <w:footnote w:id="25">
    <w:p w14:paraId="52951601" w14:textId="514F569A" w:rsidR="009F75DC" w:rsidRPr="00AA0F6D" w:rsidRDefault="009F75DC" w:rsidP="00215BA8">
      <w:pPr>
        <w:pStyle w:val="FootnoteText"/>
        <w:spacing w:line="240" w:lineRule="auto"/>
        <w:jc w:val="both"/>
      </w:pPr>
      <w:r w:rsidRPr="00FD0D4A">
        <w:rPr>
          <w:rStyle w:val="FootnoteReference"/>
        </w:rPr>
        <w:footnoteRef/>
      </w:r>
      <w:r w:rsidRPr="00FD0D4A">
        <w:t xml:space="preserve"> </w:t>
      </w:r>
      <w:r w:rsidRPr="00AA0F6D">
        <w:rPr>
          <w:i/>
          <w:iCs/>
        </w:rPr>
        <w:t xml:space="preserve">Randles Brothers </w:t>
      </w:r>
      <w:r w:rsidR="00300A2D" w:rsidRPr="00AA0F6D">
        <w:t>above n 22</w:t>
      </w:r>
      <w:r w:rsidRPr="00AA0F6D">
        <w:t xml:space="preserve"> at 396, 401 and 402.</w:t>
      </w:r>
    </w:p>
  </w:footnote>
  <w:footnote w:id="26">
    <w:p w14:paraId="3CFF504F" w14:textId="5B89796E" w:rsidR="00DF5250" w:rsidRPr="00AA0F6D" w:rsidRDefault="00DF5250" w:rsidP="00215BA8">
      <w:pPr>
        <w:pStyle w:val="FootnoteText"/>
        <w:spacing w:line="240" w:lineRule="auto"/>
        <w:jc w:val="both"/>
      </w:pPr>
      <w:r w:rsidRPr="00FD0D4A">
        <w:rPr>
          <w:rStyle w:val="FootnoteReference"/>
        </w:rPr>
        <w:footnoteRef/>
      </w:r>
      <w:r w:rsidRPr="00FD0D4A">
        <w:t xml:space="preserve"> </w:t>
      </w:r>
      <w:r w:rsidRPr="00AA0F6D">
        <w:rPr>
          <w:i/>
          <w:iCs/>
        </w:rPr>
        <w:t>Natal Joint Municipal Pension Fund v Endumeni Municipality</w:t>
      </w:r>
      <w:r w:rsidRPr="00AA0F6D">
        <w:t xml:space="preserve"> </w:t>
      </w:r>
      <w:r w:rsidR="004C27BE" w:rsidRPr="00FD0D4A">
        <w:t xml:space="preserve">[2012] ZASCA 13; </w:t>
      </w:r>
      <w:r w:rsidRPr="00AA0F6D">
        <w:t>2012 (4) SA 593 (SCA)</w:t>
      </w:r>
      <w:r w:rsidR="004C27BE" w:rsidRPr="00AA0F6D">
        <w:t xml:space="preserve">; </w:t>
      </w:r>
      <w:r w:rsidR="004C27BE" w:rsidRPr="00FD0D4A">
        <w:t>[2012] 2 All SA 262 (SCA)</w:t>
      </w:r>
      <w:r w:rsidRPr="00AA0F6D">
        <w:t xml:space="preserve"> para 18</w:t>
      </w:r>
      <w:r w:rsidR="00D10889" w:rsidRPr="00AA0F6D">
        <w:t>.</w:t>
      </w:r>
      <w:r w:rsidR="002422BD" w:rsidRPr="00AA0F6D">
        <w:t xml:space="preserve"> It is accepted that the written agreement is conclusive as to its terms and that no evidence is admissible to prove them, and that the document may not be contradicted, altered, added to or varied by the oral evidence adduced: </w:t>
      </w:r>
      <w:r w:rsidR="002422BD" w:rsidRPr="00AA0F6D">
        <w:rPr>
          <w:i/>
          <w:iCs/>
        </w:rPr>
        <w:t>Dreyer NO and Another v AXZS Industries</w:t>
      </w:r>
      <w:r w:rsidR="002422BD" w:rsidRPr="00AA0F6D">
        <w:t xml:space="preserve"> </w:t>
      </w:r>
      <w:r w:rsidR="002422BD" w:rsidRPr="00AA0F6D">
        <w:rPr>
          <w:i/>
          <w:iCs/>
        </w:rPr>
        <w:t>(Pty) Ltd</w:t>
      </w:r>
      <w:r w:rsidR="002422BD" w:rsidRPr="00AA0F6D">
        <w:t xml:space="preserve"> </w:t>
      </w:r>
      <w:r w:rsidR="004C27BE" w:rsidRPr="00FD0D4A">
        <w:t xml:space="preserve">[2005] ZASCA 88; </w:t>
      </w:r>
      <w:r w:rsidR="002422BD" w:rsidRPr="00AA0F6D">
        <w:t>2006 (5) SA 548 (SCA)</w:t>
      </w:r>
      <w:r w:rsidR="004C27BE" w:rsidRPr="00AA0F6D">
        <w:t xml:space="preserve">; </w:t>
      </w:r>
      <w:r w:rsidR="004C27BE" w:rsidRPr="00FD0D4A">
        <w:t>[2006] 3 All SA 219 (SCA)</w:t>
      </w:r>
      <w:r w:rsidR="002422BD" w:rsidRPr="00AA0F6D">
        <w:t xml:space="preserve"> para 18.</w:t>
      </w:r>
    </w:p>
  </w:footnote>
  <w:footnote w:id="27">
    <w:p w14:paraId="4423C0BE" w14:textId="0FC3FAC0" w:rsidR="00E15876" w:rsidRPr="00AA0F6D" w:rsidRDefault="00E15876" w:rsidP="00215BA8">
      <w:pPr>
        <w:pStyle w:val="FootnoteText"/>
        <w:spacing w:line="240" w:lineRule="auto"/>
        <w:jc w:val="both"/>
      </w:pPr>
      <w:r w:rsidRPr="00FD0D4A">
        <w:rPr>
          <w:rStyle w:val="FootnoteReference"/>
        </w:rPr>
        <w:footnoteRef/>
      </w:r>
      <w:r w:rsidRPr="00FD0D4A">
        <w:t xml:space="preserve"> </w:t>
      </w:r>
      <w:r w:rsidRPr="00AA0F6D">
        <w:t>Clause 7 also provides that the seller shall not be liable for ‘any difference or shortfall, neither shall he be entitled to claim additional compensation for any excess’.</w:t>
      </w:r>
    </w:p>
  </w:footnote>
  <w:footnote w:id="28">
    <w:p w14:paraId="25417D37" w14:textId="795BA98D" w:rsidR="00D60C2B" w:rsidRPr="00AA0F6D" w:rsidRDefault="00D60C2B" w:rsidP="00215BA8">
      <w:pPr>
        <w:pStyle w:val="FootnoteText"/>
        <w:spacing w:line="240" w:lineRule="auto"/>
        <w:jc w:val="both"/>
      </w:pPr>
      <w:r w:rsidRPr="00FD0D4A">
        <w:rPr>
          <w:rStyle w:val="FootnoteReference"/>
        </w:rPr>
        <w:footnoteRef/>
      </w:r>
      <w:r w:rsidRPr="00FD0D4A">
        <w:t xml:space="preserve"> </w:t>
      </w:r>
      <w:r w:rsidRPr="00AA0F6D">
        <w:t>The other clauses relied upon by the plaintiff were clauses 8, 13, 22 and 24.2</w:t>
      </w:r>
      <w:r w:rsidR="00B32871" w:rsidRPr="00AA0F6D">
        <w:t>. L</w:t>
      </w:r>
      <w:r w:rsidRPr="00AA0F6D">
        <w:t>ittle was made of this during argument and</w:t>
      </w:r>
      <w:r w:rsidR="00373D71" w:rsidRPr="00AA0F6D">
        <w:t xml:space="preserve"> the clauses</w:t>
      </w:r>
      <w:r w:rsidR="001940AF" w:rsidRPr="00AA0F6D">
        <w:t xml:space="preserve"> fail</w:t>
      </w:r>
      <w:r w:rsidRPr="00AA0F6D">
        <w:t xml:space="preserve"> to support the plaintiff’s position.</w:t>
      </w:r>
    </w:p>
  </w:footnote>
  <w:footnote w:id="29">
    <w:p w14:paraId="4C1BD010" w14:textId="4123665F" w:rsidR="00D26D98" w:rsidRPr="00AA0F6D" w:rsidRDefault="00D26D98" w:rsidP="00215BA8">
      <w:pPr>
        <w:pStyle w:val="FootnoteText"/>
        <w:spacing w:line="240" w:lineRule="auto"/>
        <w:jc w:val="both"/>
      </w:pPr>
      <w:r w:rsidRPr="00FD0D4A">
        <w:rPr>
          <w:rStyle w:val="FootnoteReference"/>
        </w:rPr>
        <w:footnoteRef/>
      </w:r>
      <w:r w:rsidRPr="00FD0D4A">
        <w:t xml:space="preserve"> </w:t>
      </w:r>
      <w:r w:rsidRPr="00AA0F6D">
        <w:t xml:space="preserve">On the role of context, including the parties’ subsequent conduct in implementing their agreement, in interpretation of a </w:t>
      </w:r>
      <w:r w:rsidR="000B3255" w:rsidRPr="00AA0F6D">
        <w:t xml:space="preserve">contract, see </w:t>
      </w:r>
      <w:r w:rsidR="008861AC" w:rsidRPr="00AA0F6D">
        <w:t xml:space="preserve">the judgments of Wallis JA in </w:t>
      </w:r>
      <w:r w:rsidR="000B3255" w:rsidRPr="00AA0F6D">
        <w:rPr>
          <w:i/>
          <w:iCs/>
        </w:rPr>
        <w:t>Bothma-Batho Transport (Edms) Bpk v S Bothma en Seun Transports (Edms) Bpk</w:t>
      </w:r>
      <w:r w:rsidR="000B3255" w:rsidRPr="00AA0F6D">
        <w:t xml:space="preserve"> </w:t>
      </w:r>
      <w:r w:rsidR="000A6EC0" w:rsidRPr="00FD0D4A">
        <w:t xml:space="preserve">[2013] ZASCA 176; </w:t>
      </w:r>
      <w:r w:rsidR="000B3255" w:rsidRPr="00AA0F6D">
        <w:t>2014 (2) SA 494 (SCA)</w:t>
      </w:r>
      <w:r w:rsidR="000A6EC0" w:rsidRPr="00AA0F6D">
        <w:t xml:space="preserve">; </w:t>
      </w:r>
      <w:r w:rsidR="000A6EC0" w:rsidRPr="00FD0D4A">
        <w:t>[2014] 1 All SA 517 (SCA)</w:t>
      </w:r>
      <w:r w:rsidR="000B3255" w:rsidRPr="00AA0F6D">
        <w:t xml:space="preserve"> para 12</w:t>
      </w:r>
      <w:r w:rsidR="004E1570" w:rsidRPr="00AA0F6D">
        <w:t xml:space="preserve"> and </w:t>
      </w:r>
      <w:r w:rsidR="004E1570" w:rsidRPr="00AA0F6D">
        <w:rPr>
          <w:i/>
          <w:iCs/>
        </w:rPr>
        <w:t xml:space="preserve">Comwezi Security Services (Pty) Ltd &amp; Another v Cape Empowerment Trust </w:t>
      </w:r>
      <w:r w:rsidR="00AF5D77" w:rsidRPr="00AA0F6D">
        <w:rPr>
          <w:i/>
          <w:iCs/>
        </w:rPr>
        <w:t>Ltd</w:t>
      </w:r>
      <w:r w:rsidR="004E1570" w:rsidRPr="00AA0F6D">
        <w:t xml:space="preserve"> [2012] ZASCA 126</w:t>
      </w:r>
      <w:r w:rsidR="00AF5D77" w:rsidRPr="00AA0F6D">
        <w:t xml:space="preserve"> (‘</w:t>
      </w:r>
      <w:r w:rsidR="00AF5D77" w:rsidRPr="00AA0F6D">
        <w:rPr>
          <w:i/>
          <w:iCs/>
        </w:rPr>
        <w:t>Comwezi</w:t>
      </w:r>
      <w:r w:rsidR="00AF5D77" w:rsidRPr="00AA0F6D">
        <w:t>’)</w:t>
      </w:r>
      <w:r w:rsidR="004E1570" w:rsidRPr="00AA0F6D">
        <w:t xml:space="preserve"> para 15.</w:t>
      </w:r>
      <w:r w:rsidR="0021255B" w:rsidRPr="00AA0F6D">
        <w:t xml:space="preserve"> Also see </w:t>
      </w:r>
      <w:r w:rsidR="0021255B" w:rsidRPr="00AA0F6D">
        <w:rPr>
          <w:i/>
          <w:iCs/>
        </w:rPr>
        <w:t>Novartis SA (Pty) Ltd v Maphil Trading (Pty) Ltd</w:t>
      </w:r>
      <w:r w:rsidR="0021255B" w:rsidRPr="00AA0F6D">
        <w:t xml:space="preserve"> </w:t>
      </w:r>
      <w:r w:rsidR="00F21B1F" w:rsidRPr="00FD0D4A">
        <w:t xml:space="preserve">[2015] ZASCA 111; </w:t>
      </w:r>
      <w:r w:rsidR="0021255B" w:rsidRPr="00AA0F6D">
        <w:t>2016 (1) SA 518 (SCA)</w:t>
      </w:r>
      <w:r w:rsidR="00F21B1F" w:rsidRPr="00AA0F6D">
        <w:t xml:space="preserve">; </w:t>
      </w:r>
      <w:r w:rsidR="00F21B1F" w:rsidRPr="00FD0D4A">
        <w:t>[2015] 4 All SA 417 (SCA)</w:t>
      </w:r>
      <w:r w:rsidR="0021255B" w:rsidRPr="00AA0F6D">
        <w:t xml:space="preserve"> para 35.</w:t>
      </w:r>
    </w:p>
  </w:footnote>
  <w:footnote w:id="30">
    <w:p w14:paraId="47F538F0" w14:textId="5E03A7B1" w:rsidR="00AF5D77" w:rsidRPr="00AA0F6D" w:rsidRDefault="00AF5D77" w:rsidP="00215BA8">
      <w:pPr>
        <w:pStyle w:val="FootnoteText"/>
        <w:spacing w:line="240" w:lineRule="auto"/>
        <w:jc w:val="both"/>
      </w:pPr>
      <w:r w:rsidRPr="00FD0D4A">
        <w:rPr>
          <w:rStyle w:val="FootnoteReference"/>
        </w:rPr>
        <w:footnoteRef/>
      </w:r>
      <w:r w:rsidRPr="00FD0D4A">
        <w:t xml:space="preserve"> </w:t>
      </w:r>
      <w:r w:rsidRPr="00FD0D4A">
        <w:rPr>
          <w:i/>
          <w:iCs/>
        </w:rPr>
        <w:t>Comwezi</w:t>
      </w:r>
      <w:r w:rsidRPr="00FD0D4A">
        <w:t xml:space="preserve"> above n </w:t>
      </w:r>
      <w:r w:rsidR="0067605E" w:rsidRPr="00FD0D4A">
        <w:t>29</w:t>
      </w:r>
      <w:r w:rsidRPr="00FD0D4A">
        <w:t xml:space="preserve"> para 15.</w:t>
      </w:r>
    </w:p>
  </w:footnote>
  <w:footnote w:id="31">
    <w:p w14:paraId="2A6B3146" w14:textId="6AA3F2B1" w:rsidR="000A17E5" w:rsidRPr="00AA0F6D" w:rsidRDefault="000A17E5" w:rsidP="00215BA8">
      <w:pPr>
        <w:pStyle w:val="FootnoteText"/>
        <w:spacing w:line="240" w:lineRule="auto"/>
        <w:jc w:val="both"/>
      </w:pPr>
      <w:r w:rsidRPr="00FD0D4A">
        <w:rPr>
          <w:rStyle w:val="FootnoteReference"/>
        </w:rPr>
        <w:footnoteRef/>
      </w:r>
      <w:r w:rsidRPr="00FD0D4A">
        <w:t xml:space="preserve"> </w:t>
      </w:r>
      <w:r w:rsidRPr="00AA0F6D">
        <w:t>The wording appears as follows: ‘…the following property…in extent 552.0256 hectares held by deed of transfer no T…</w:t>
      </w:r>
      <w:r w:rsidRPr="00AA0F6D">
        <w:rPr>
          <w:i/>
          <w:iCs/>
        </w:rPr>
        <w:t>sold to him by me</w:t>
      </w:r>
      <w:r w:rsidRPr="00AA0F6D">
        <w:t xml:space="preserve"> by Private on 19 November 2007, for the sum of R9 100 000 …’</w:t>
      </w:r>
      <w:r w:rsidR="0063187F" w:rsidRPr="00AA0F6D">
        <w:t xml:space="preserve"> (</w:t>
      </w:r>
      <w:r w:rsidR="00D64764" w:rsidRPr="00AA0F6D">
        <w:t>O</w:t>
      </w:r>
      <w:r w:rsidR="0063187F" w:rsidRPr="00AA0F6D">
        <w:t>wn emphasis</w:t>
      </w:r>
      <w:r w:rsidR="00D64764" w:rsidRPr="00AA0F6D">
        <w:t>.</w:t>
      </w:r>
      <w:r w:rsidR="0063187F" w:rsidRPr="00AA0F6D">
        <w:t>)</w:t>
      </w:r>
    </w:p>
  </w:footnote>
  <w:footnote w:id="32">
    <w:p w14:paraId="14684D31" w14:textId="2EA24E0A" w:rsidR="00191046" w:rsidRPr="00AA0F6D" w:rsidRDefault="00191046" w:rsidP="00215BA8">
      <w:pPr>
        <w:pStyle w:val="FootnoteText"/>
        <w:spacing w:line="240" w:lineRule="auto"/>
        <w:jc w:val="both"/>
      </w:pPr>
      <w:r w:rsidRPr="00FD0D4A">
        <w:rPr>
          <w:rStyle w:val="FootnoteReference"/>
        </w:rPr>
        <w:footnoteRef/>
      </w:r>
      <w:r w:rsidRPr="00FD0D4A">
        <w:t xml:space="preserve"> </w:t>
      </w:r>
      <w:r w:rsidRPr="00AA0F6D">
        <w:t xml:space="preserve">Cf </w:t>
      </w:r>
      <w:r w:rsidRPr="00AA0F6D">
        <w:rPr>
          <w:i/>
          <w:iCs/>
        </w:rPr>
        <w:t>Four Arrows Investment 68 (Pty) Ltd v Abigail Construction CC and Another</w:t>
      </w:r>
      <w:r w:rsidRPr="00AA0F6D">
        <w:t xml:space="preserve"> </w:t>
      </w:r>
      <w:r w:rsidR="00D64764" w:rsidRPr="00FD0D4A">
        <w:t>[2015] ZASCA 121; 2016 (1) SA 257 (SCA)</w:t>
      </w:r>
      <w:r w:rsidRPr="00AA0F6D">
        <w:t xml:space="preserve"> (‘</w:t>
      </w:r>
      <w:r w:rsidRPr="00AA0F6D">
        <w:rPr>
          <w:i/>
          <w:iCs/>
        </w:rPr>
        <w:t>Four Arrows</w:t>
      </w:r>
      <w:r w:rsidRPr="00AA0F6D">
        <w:t>’)</w:t>
      </w:r>
      <w:r w:rsidRPr="00AA0F6D">
        <w:rPr>
          <w:i/>
          <w:iCs/>
        </w:rPr>
        <w:t xml:space="preserve"> </w:t>
      </w:r>
      <w:r w:rsidRPr="00AA0F6D">
        <w:t>para 5, where all the clauses, barring one, indicated an intended sale of the property subject to a suspensive condition.</w:t>
      </w:r>
    </w:p>
  </w:footnote>
  <w:footnote w:id="33">
    <w:p w14:paraId="0065FD2A" w14:textId="0BB9834B" w:rsidR="00191046" w:rsidRPr="00AA0F6D" w:rsidRDefault="00191046" w:rsidP="00215BA8">
      <w:pPr>
        <w:pStyle w:val="FootnoteText"/>
        <w:spacing w:line="240" w:lineRule="auto"/>
        <w:jc w:val="both"/>
      </w:pPr>
      <w:r w:rsidRPr="00FD0D4A">
        <w:rPr>
          <w:rStyle w:val="FootnoteReference"/>
        </w:rPr>
        <w:footnoteRef/>
      </w:r>
      <w:r w:rsidRPr="00FD0D4A">
        <w:t xml:space="preserve"> </w:t>
      </w:r>
      <w:r w:rsidRPr="00AA0F6D">
        <w:t xml:space="preserve">See </w:t>
      </w:r>
      <w:r w:rsidRPr="00AA0F6D">
        <w:rPr>
          <w:i/>
          <w:iCs/>
        </w:rPr>
        <w:t>Sasfin (Pty) Ltd v Beukes</w:t>
      </w:r>
      <w:r w:rsidRPr="00AA0F6D">
        <w:t xml:space="preserve"> [1988] ZASCA 94; 1989 (1) SA 1 (A)</w:t>
      </w:r>
      <w:r w:rsidR="00D64764" w:rsidRPr="00AA0F6D">
        <w:t xml:space="preserve">; </w:t>
      </w:r>
      <w:r w:rsidR="00D64764" w:rsidRPr="00FD0D4A">
        <w:t xml:space="preserve">[1989] 1 All SA 347 (A) </w:t>
      </w:r>
      <w:r w:rsidR="00727513" w:rsidRPr="00AA0F6D">
        <w:t>(</w:t>
      </w:r>
      <w:r w:rsidR="00727513" w:rsidRPr="00AA0F6D">
        <w:rPr>
          <w:i/>
          <w:iCs/>
        </w:rPr>
        <w:t>‘Sasfin</w:t>
      </w:r>
      <w:r w:rsidR="00727513" w:rsidRPr="00AA0F6D">
        <w:t>’)</w:t>
      </w:r>
      <w:r w:rsidR="00727513" w:rsidRPr="00AA0F6D">
        <w:rPr>
          <w:i/>
          <w:iCs/>
        </w:rPr>
        <w:t xml:space="preserve"> </w:t>
      </w:r>
      <w:r w:rsidRPr="00AA0F6D">
        <w:t>at 16B and 17D</w:t>
      </w:r>
      <w:r w:rsidR="008D7EAE">
        <w:t>—</w:t>
      </w:r>
      <w:r w:rsidRPr="00AA0F6D">
        <w:t xml:space="preserve">E, as applied in </w:t>
      </w:r>
      <w:r w:rsidRPr="00AA0F6D">
        <w:rPr>
          <w:i/>
          <w:iCs/>
        </w:rPr>
        <w:t xml:space="preserve">Four Arrows </w:t>
      </w:r>
      <w:r w:rsidRPr="00AA0F6D">
        <w:t xml:space="preserve">above n </w:t>
      </w:r>
      <w:r w:rsidR="00EB46F9" w:rsidRPr="00AA0F6D">
        <w:t>32</w:t>
      </w:r>
      <w:r w:rsidRPr="00AA0F6D">
        <w:t xml:space="preserve"> para 13.</w:t>
      </w:r>
    </w:p>
  </w:footnote>
  <w:footnote w:id="34">
    <w:p w14:paraId="2BE5C549" w14:textId="34D47460" w:rsidR="00017A8A" w:rsidRPr="00FD0D4A" w:rsidRDefault="00913BE0" w:rsidP="00017A8A">
      <w:pPr>
        <w:pStyle w:val="FootnoteText"/>
        <w:spacing w:line="240" w:lineRule="auto"/>
        <w:jc w:val="both"/>
        <w:rPr>
          <w:i/>
          <w:iCs/>
        </w:rPr>
      </w:pPr>
      <w:r w:rsidRPr="00FD0D4A">
        <w:rPr>
          <w:rStyle w:val="FootnoteReference"/>
        </w:rPr>
        <w:footnoteRef/>
      </w:r>
      <w:r w:rsidRPr="00FD0D4A">
        <w:t xml:space="preserve"> </w:t>
      </w:r>
      <w:r w:rsidRPr="00AA0F6D">
        <w:t xml:space="preserve">See </w:t>
      </w:r>
      <w:r w:rsidRPr="00AA0F6D">
        <w:rPr>
          <w:i/>
          <w:iCs/>
        </w:rPr>
        <w:t xml:space="preserve">Middleton v Carr </w:t>
      </w:r>
      <w:r w:rsidRPr="00AA0F6D">
        <w:t xml:space="preserve">1949 (2) SA 374 (A) at 391; </w:t>
      </w:r>
      <w:r w:rsidRPr="00AA0F6D">
        <w:rPr>
          <w:i/>
          <w:iCs/>
        </w:rPr>
        <w:t xml:space="preserve">Nash v Golden Dumps (Pty) Ltd </w:t>
      </w:r>
      <w:r w:rsidR="00017A8A" w:rsidRPr="00AA0F6D">
        <w:t>[1985] ZASCA 6</w:t>
      </w:r>
      <w:r w:rsidR="00017A8A" w:rsidRPr="00FD0D4A">
        <w:t>;</w:t>
      </w:r>
    </w:p>
    <w:p w14:paraId="26ADBE5A" w14:textId="65F6AB9B" w:rsidR="00913BE0" w:rsidRPr="00AA0F6D" w:rsidRDefault="00913BE0" w:rsidP="00215BA8">
      <w:pPr>
        <w:pStyle w:val="FootnoteText"/>
        <w:spacing w:line="240" w:lineRule="auto"/>
        <w:jc w:val="both"/>
      </w:pPr>
      <w:r w:rsidRPr="00AA0F6D">
        <w:t>1985 (3) SA 1 (A)</w:t>
      </w:r>
      <w:r w:rsidR="00017A8A" w:rsidRPr="00AA0F6D">
        <w:t xml:space="preserve">; </w:t>
      </w:r>
      <w:r w:rsidR="00017A8A" w:rsidRPr="00FD0D4A">
        <w:t>[1985] 2 All SA 161 (A)</w:t>
      </w:r>
      <w:r w:rsidRPr="00AA0F6D">
        <w:t xml:space="preserve"> at 23D</w:t>
      </w:r>
      <w:r w:rsidR="008D7EAE">
        <w:t>—</w:t>
      </w:r>
      <w:r w:rsidRPr="00AA0F6D">
        <w:t>E.</w:t>
      </w:r>
    </w:p>
  </w:footnote>
  <w:footnote w:id="35">
    <w:p w14:paraId="7D346BD5" w14:textId="4CA8EFBF" w:rsidR="00727513" w:rsidRPr="00AA0F6D" w:rsidRDefault="00727513" w:rsidP="00215BA8">
      <w:pPr>
        <w:pStyle w:val="FootnoteText"/>
        <w:spacing w:line="240" w:lineRule="auto"/>
        <w:jc w:val="both"/>
        <w:rPr>
          <w:i/>
          <w:iCs/>
        </w:rPr>
      </w:pPr>
      <w:r w:rsidRPr="00FD0D4A">
        <w:rPr>
          <w:rStyle w:val="FootnoteReference"/>
        </w:rPr>
        <w:footnoteRef/>
      </w:r>
      <w:r w:rsidRPr="00FD0D4A">
        <w:t xml:space="preserve"> </w:t>
      </w:r>
      <w:r w:rsidR="00BA03EF" w:rsidRPr="00AA0F6D">
        <w:rPr>
          <w:i/>
          <w:iCs/>
        </w:rPr>
        <w:t>Sasfin</w:t>
      </w:r>
      <w:r w:rsidR="00BA03EF" w:rsidRPr="00AA0F6D">
        <w:t xml:space="preserve"> above n</w:t>
      </w:r>
      <w:r w:rsidR="00C379DB" w:rsidRPr="00AA0F6D">
        <w:t xml:space="preserve"> 33</w:t>
      </w:r>
      <w:r w:rsidR="00BA03EF" w:rsidRPr="00AA0F6D">
        <w:t xml:space="preserve"> at 16</w:t>
      </w:r>
      <w:r w:rsidR="009E7425" w:rsidRPr="00AA0F6D">
        <w:t>A</w:t>
      </w:r>
      <w:r w:rsidR="00BC1CFF">
        <w:t>—</w:t>
      </w:r>
      <w:r w:rsidR="009E7425" w:rsidRPr="00AA0F6D">
        <w:t>B.</w:t>
      </w:r>
    </w:p>
  </w:footnote>
  <w:footnote w:id="36">
    <w:p w14:paraId="4CEBB224" w14:textId="1244C827" w:rsidR="00367616" w:rsidRPr="00AA0F6D" w:rsidRDefault="00367616" w:rsidP="00215BA8">
      <w:pPr>
        <w:pStyle w:val="FootnoteText"/>
        <w:spacing w:line="240" w:lineRule="auto"/>
        <w:jc w:val="both"/>
      </w:pPr>
      <w:r w:rsidRPr="00FD0D4A">
        <w:rPr>
          <w:rStyle w:val="FootnoteReference"/>
        </w:rPr>
        <w:footnoteRef/>
      </w:r>
      <w:r w:rsidRPr="00FD0D4A">
        <w:t xml:space="preserve"> </w:t>
      </w:r>
      <w:r w:rsidRPr="00AA0F6D">
        <w:t xml:space="preserve">Performance will usually by its very nature be divisible where the contract makes provision for separate or distinct performances: </w:t>
      </w:r>
      <w:r w:rsidRPr="00AA0F6D">
        <w:rPr>
          <w:i/>
          <w:iCs/>
        </w:rPr>
        <w:t xml:space="preserve">Bob’s Shoe Centre v Heneways Freight Services (Pty) Ltd </w:t>
      </w:r>
      <w:r w:rsidR="00017A8A" w:rsidRPr="00AA0F6D">
        <w:t>[1994] ZASCA 158</w:t>
      </w:r>
      <w:r w:rsidR="00017A8A" w:rsidRPr="00FD0D4A">
        <w:t xml:space="preserve">; </w:t>
      </w:r>
      <w:r w:rsidRPr="00AA0F6D">
        <w:t>1995 (2) SA 421 (A</w:t>
      </w:r>
      <w:r w:rsidR="00017A8A" w:rsidRPr="00AA0F6D">
        <w:t>D</w:t>
      </w:r>
      <w:r w:rsidRPr="00AA0F6D">
        <w:t>)</w:t>
      </w:r>
      <w:r w:rsidR="00017A8A" w:rsidRPr="00AA0F6D">
        <w:t xml:space="preserve">; </w:t>
      </w:r>
      <w:r w:rsidR="00017A8A" w:rsidRPr="00FD0D4A">
        <w:t>[1995] 1 All SA 693 (A)</w:t>
      </w:r>
      <w:r w:rsidRPr="00AA0F6D">
        <w:t xml:space="preserve"> </w:t>
      </w:r>
      <w:r w:rsidR="004644C2" w:rsidRPr="00AA0F6D">
        <w:t>(‘</w:t>
      </w:r>
      <w:r w:rsidR="004644C2" w:rsidRPr="00AA0F6D">
        <w:rPr>
          <w:i/>
          <w:iCs/>
        </w:rPr>
        <w:t>Bob’s Shoe Centre’</w:t>
      </w:r>
      <w:r w:rsidR="004644C2" w:rsidRPr="00AA0F6D">
        <w:t xml:space="preserve">) </w:t>
      </w:r>
      <w:r w:rsidRPr="00AA0F6D">
        <w:t>at 429H</w:t>
      </w:r>
      <w:r w:rsidR="008D7EAE">
        <w:t>—</w:t>
      </w:r>
      <w:r w:rsidRPr="00AA0F6D">
        <w:t>I</w:t>
      </w:r>
      <w:r w:rsidR="00416446" w:rsidRPr="00AA0F6D">
        <w:t>.</w:t>
      </w:r>
      <w:r w:rsidR="006A5ECF" w:rsidRPr="00AA0F6D">
        <w:t xml:space="preserve"> Also see </w:t>
      </w:r>
      <w:r w:rsidR="006A5ECF" w:rsidRPr="00AA0F6D">
        <w:rPr>
          <w:i/>
          <w:iCs/>
        </w:rPr>
        <w:t>Du Plooy v Sasol Bedryf (Edms) Bpk</w:t>
      </w:r>
      <w:r w:rsidR="006A5ECF" w:rsidRPr="00AA0F6D">
        <w:t xml:space="preserve"> </w:t>
      </w:r>
      <w:r w:rsidR="00017A8A" w:rsidRPr="00FD0D4A">
        <w:t xml:space="preserve">[1987] ZASCA 123; </w:t>
      </w:r>
      <w:r w:rsidR="006A5ECF" w:rsidRPr="00AA0F6D">
        <w:t>1988 (1) SA 438 (A)</w:t>
      </w:r>
      <w:r w:rsidR="00017A8A" w:rsidRPr="00AA0F6D">
        <w:t xml:space="preserve">; </w:t>
      </w:r>
      <w:r w:rsidR="00017A8A" w:rsidRPr="00FD0D4A">
        <w:t>[1988] 1 All SA 417 (A)</w:t>
      </w:r>
      <w:r w:rsidR="006A5ECF" w:rsidRPr="00AA0F6D">
        <w:t>.</w:t>
      </w:r>
    </w:p>
  </w:footnote>
  <w:footnote w:id="37">
    <w:p w14:paraId="6BDF7D90" w14:textId="097D8EFF" w:rsidR="004644C2" w:rsidRPr="00AA0F6D" w:rsidRDefault="004644C2" w:rsidP="00215BA8">
      <w:pPr>
        <w:pStyle w:val="FootnoteText"/>
        <w:spacing w:line="240" w:lineRule="auto"/>
        <w:jc w:val="both"/>
      </w:pPr>
      <w:r w:rsidRPr="00FD0D4A">
        <w:rPr>
          <w:rStyle w:val="FootnoteReference"/>
        </w:rPr>
        <w:footnoteRef/>
      </w:r>
      <w:r w:rsidRPr="00FD0D4A">
        <w:t xml:space="preserve"> </w:t>
      </w:r>
      <w:r w:rsidRPr="00AA0F6D">
        <w:t xml:space="preserve">See </w:t>
      </w:r>
      <w:r w:rsidR="0013158F" w:rsidRPr="00AA0F6D">
        <w:rPr>
          <w:i/>
          <w:iCs/>
        </w:rPr>
        <w:t>Bob’s Shoe Centre</w:t>
      </w:r>
      <w:r w:rsidR="0013158F" w:rsidRPr="00AA0F6D">
        <w:t xml:space="preserve"> above n </w:t>
      </w:r>
      <w:r w:rsidR="00F6220D" w:rsidRPr="00AA0F6D">
        <w:t>36</w:t>
      </w:r>
      <w:r w:rsidR="0013158F" w:rsidRPr="00AA0F6D">
        <w:t xml:space="preserve"> at 430G</w:t>
      </w:r>
      <w:r w:rsidR="008D7EAE">
        <w:t>—</w:t>
      </w:r>
      <w:r w:rsidR="0013158F" w:rsidRPr="00AA0F6D">
        <w:t>H.</w:t>
      </w:r>
    </w:p>
  </w:footnote>
  <w:footnote w:id="38">
    <w:p w14:paraId="1605540A" w14:textId="229FAB3E" w:rsidR="00225CB4" w:rsidRPr="00AA0F6D" w:rsidRDefault="00225CB4" w:rsidP="00215BA8">
      <w:pPr>
        <w:pStyle w:val="FootnoteText"/>
        <w:spacing w:line="240" w:lineRule="auto"/>
        <w:jc w:val="both"/>
      </w:pPr>
      <w:r w:rsidRPr="00FD0D4A">
        <w:rPr>
          <w:rStyle w:val="FootnoteReference"/>
        </w:rPr>
        <w:footnoteRef/>
      </w:r>
      <w:r w:rsidRPr="00FD0D4A">
        <w:t xml:space="preserve"> </w:t>
      </w:r>
      <w:r w:rsidRPr="00AA0F6D">
        <w:t xml:space="preserve">See </w:t>
      </w:r>
      <w:r w:rsidRPr="00AA0F6D">
        <w:rPr>
          <w:i/>
          <w:iCs/>
        </w:rPr>
        <w:t xml:space="preserve">Bob’s Shoe Centre </w:t>
      </w:r>
      <w:r w:rsidR="00DA7F5F" w:rsidRPr="00AA0F6D">
        <w:t xml:space="preserve">above n </w:t>
      </w:r>
      <w:r w:rsidR="00CE4ED1" w:rsidRPr="00AA0F6D">
        <w:t>36</w:t>
      </w:r>
      <w:r w:rsidR="00DA7F5F" w:rsidRPr="00AA0F6D">
        <w:t xml:space="preserve"> </w:t>
      </w:r>
      <w:r w:rsidRPr="00AA0F6D">
        <w:t>at 429F</w:t>
      </w:r>
      <w:r w:rsidR="008D7EAE">
        <w:t>—</w:t>
      </w:r>
      <w:r w:rsidRPr="00AA0F6D">
        <w:t>I</w:t>
      </w:r>
      <w:r w:rsidR="001347ED" w:rsidRPr="00AA0F6D">
        <w:t xml:space="preserve"> and following</w:t>
      </w:r>
      <w:r w:rsidR="00887C30">
        <w:t xml:space="preserve">; </w:t>
      </w:r>
      <w:r w:rsidR="00AB6F2C" w:rsidRPr="00AA0F6D">
        <w:rPr>
          <w:i/>
          <w:iCs/>
        </w:rPr>
        <w:t xml:space="preserve">Exdev </w:t>
      </w:r>
      <w:r w:rsidR="00017A8A" w:rsidRPr="00FD0D4A">
        <w:rPr>
          <w:i/>
          <w:iCs/>
        </w:rPr>
        <w:t xml:space="preserve">(Pty) Ltd and Another </w:t>
      </w:r>
      <w:r w:rsidR="00AB6F2C" w:rsidRPr="00AA0F6D">
        <w:rPr>
          <w:i/>
          <w:iCs/>
        </w:rPr>
        <w:t xml:space="preserve">v Pekudei Investments </w:t>
      </w:r>
      <w:r w:rsidR="00017A8A" w:rsidRPr="00AA0F6D">
        <w:rPr>
          <w:i/>
          <w:iCs/>
        </w:rPr>
        <w:t xml:space="preserve">(Pty) Ltd </w:t>
      </w:r>
      <w:r w:rsidR="00017A8A" w:rsidRPr="00AA0F6D">
        <w:t>[2010] ZASCA 170;</w:t>
      </w:r>
      <w:r w:rsidR="00017A8A" w:rsidRPr="00FD0D4A">
        <w:rPr>
          <w:i/>
          <w:iCs/>
        </w:rPr>
        <w:t xml:space="preserve"> </w:t>
      </w:r>
      <w:r w:rsidR="00AB6F2C" w:rsidRPr="00AA0F6D">
        <w:t>2011 (2) SA 282 (SCA)</w:t>
      </w:r>
      <w:r w:rsidR="00017A8A" w:rsidRPr="00AA0F6D">
        <w:t xml:space="preserve">; </w:t>
      </w:r>
      <w:r w:rsidR="00017A8A" w:rsidRPr="00FD0D4A">
        <w:t>[2011] 2 All SA 371 (SCA)</w:t>
      </w:r>
      <w:r w:rsidR="00AB6F2C" w:rsidRPr="00AA0F6D">
        <w:t xml:space="preserve"> para 14.</w:t>
      </w:r>
    </w:p>
  </w:footnote>
  <w:footnote w:id="39">
    <w:p w14:paraId="283236D2" w14:textId="07C32948" w:rsidR="009E3638" w:rsidRPr="00AA0F6D" w:rsidRDefault="009E3638" w:rsidP="00215BA8">
      <w:pPr>
        <w:pStyle w:val="FootnoteText"/>
        <w:spacing w:line="240" w:lineRule="auto"/>
        <w:jc w:val="both"/>
      </w:pPr>
      <w:r w:rsidRPr="00FD0D4A">
        <w:rPr>
          <w:rStyle w:val="FootnoteReference"/>
        </w:rPr>
        <w:footnoteRef/>
      </w:r>
      <w:r w:rsidRPr="00FD0D4A">
        <w:t xml:space="preserve"> </w:t>
      </w:r>
      <w:r w:rsidRPr="00AA0F6D">
        <w:rPr>
          <w:i/>
          <w:iCs/>
        </w:rPr>
        <w:t>Cook v Morrison and Another</w:t>
      </w:r>
      <w:r w:rsidRPr="00AA0F6D">
        <w:t xml:space="preserve"> </w:t>
      </w:r>
      <w:r w:rsidR="00BC7689" w:rsidRPr="00FD0D4A">
        <w:t xml:space="preserve">[2019] ZASCA 8; </w:t>
      </w:r>
      <w:r w:rsidRPr="00AA0F6D">
        <w:t>2019 (5) SA 51 (SCA)</w:t>
      </w:r>
      <w:r w:rsidR="00BC7689" w:rsidRPr="00AA0F6D">
        <w:t xml:space="preserve">; </w:t>
      </w:r>
      <w:r w:rsidR="00BC7689" w:rsidRPr="00FD0D4A">
        <w:t>[2019] 3 All SA 673 (SCA)</w:t>
      </w:r>
      <w:r w:rsidRPr="00AA0F6D">
        <w:t xml:space="preserve"> para 17.</w:t>
      </w:r>
    </w:p>
  </w:footnote>
  <w:footnote w:id="40">
    <w:p w14:paraId="3CE7E568" w14:textId="6E9DB3B9" w:rsidR="00BC1045" w:rsidRPr="00BC1CFF" w:rsidRDefault="00BC1045" w:rsidP="00215BA8">
      <w:pPr>
        <w:pStyle w:val="FootnoteText"/>
        <w:spacing w:line="240" w:lineRule="auto"/>
        <w:jc w:val="both"/>
      </w:pPr>
      <w:r w:rsidRPr="00FD0D4A">
        <w:rPr>
          <w:rStyle w:val="FootnoteReference"/>
        </w:rPr>
        <w:footnoteRef/>
      </w:r>
      <w:r w:rsidRPr="00FD0D4A">
        <w:t xml:space="preserve"> </w:t>
      </w:r>
      <w:r w:rsidRPr="00AA0F6D">
        <w:t xml:space="preserve">See ‘Things’ in </w:t>
      </w:r>
      <w:r w:rsidR="00BC7689" w:rsidRPr="00AA0F6D">
        <w:rPr>
          <w:i/>
          <w:iCs/>
        </w:rPr>
        <w:t>Lawsa</w:t>
      </w:r>
      <w:r w:rsidRPr="00AA0F6D">
        <w:rPr>
          <w:i/>
          <w:iCs/>
        </w:rPr>
        <w:t xml:space="preserve"> </w:t>
      </w:r>
      <w:r w:rsidRPr="00AA0F6D">
        <w:t xml:space="preserve">2 </w:t>
      </w:r>
      <w:r w:rsidR="00BC7689" w:rsidRPr="00AA0F6D">
        <w:t>ed</w:t>
      </w:r>
      <w:r w:rsidRPr="00AA0F6D">
        <w:t xml:space="preserve"> para 13</w:t>
      </w:r>
      <w:r w:rsidR="00BC1CFF">
        <w:t xml:space="preserve">; ZT Boggenpoel </w:t>
      </w:r>
      <w:r w:rsidR="00BC1CFF">
        <w:rPr>
          <w:i/>
          <w:iCs/>
        </w:rPr>
        <w:t>Property Remedies</w:t>
      </w:r>
      <w:r w:rsidR="00BC1CFF">
        <w:t xml:space="preserve"> (2017)</w:t>
      </w:r>
      <w:r w:rsidR="00957FD8">
        <w:t xml:space="preserve"> </w:t>
      </w:r>
      <w:r w:rsidR="00B97BBE">
        <w:t xml:space="preserve">at </w:t>
      </w:r>
      <w:r w:rsidR="00957FD8">
        <w:t>38 and following</w:t>
      </w:r>
      <w:r w:rsidR="00BC1CFF">
        <w:t>.</w:t>
      </w:r>
    </w:p>
  </w:footnote>
  <w:footnote w:id="41">
    <w:p w14:paraId="4AC648E7" w14:textId="0CFBEE52" w:rsidR="002D3A15" w:rsidRPr="00AA0F6D" w:rsidRDefault="002D3A15" w:rsidP="00215BA8">
      <w:pPr>
        <w:pStyle w:val="FootnoteText"/>
        <w:spacing w:line="240" w:lineRule="auto"/>
        <w:jc w:val="both"/>
      </w:pPr>
      <w:r w:rsidRPr="00FD0D4A">
        <w:rPr>
          <w:rStyle w:val="FootnoteReference"/>
        </w:rPr>
        <w:footnoteRef/>
      </w:r>
      <w:r w:rsidRPr="00FD0D4A">
        <w:t xml:space="preserve"> </w:t>
      </w:r>
      <w:r w:rsidRPr="00AA0F6D">
        <w:rPr>
          <w:i/>
          <w:iCs/>
        </w:rPr>
        <w:t xml:space="preserve">Ruskin NO v Thiergen </w:t>
      </w:r>
      <w:r w:rsidRPr="00AA0F6D">
        <w:t>1962 (3) SA 737 (A) at 744A</w:t>
      </w:r>
      <w:r w:rsidR="00BC1CFF">
        <w:t>—</w:t>
      </w:r>
      <w:r w:rsidRPr="00AA0F6D">
        <w:t>B.</w:t>
      </w:r>
    </w:p>
  </w:footnote>
  <w:footnote w:id="42">
    <w:p w14:paraId="3124DA11" w14:textId="697C5D8C" w:rsidR="00042934" w:rsidRPr="00AA0F6D" w:rsidRDefault="00042934" w:rsidP="00215BA8">
      <w:pPr>
        <w:pStyle w:val="FootnoteText"/>
        <w:spacing w:line="240" w:lineRule="auto"/>
        <w:jc w:val="both"/>
      </w:pPr>
      <w:r w:rsidRPr="00FD0D4A">
        <w:rPr>
          <w:rStyle w:val="FootnoteReference"/>
        </w:rPr>
        <w:footnoteRef/>
      </w:r>
      <w:r w:rsidRPr="00FD0D4A">
        <w:t xml:space="preserve"> </w:t>
      </w:r>
      <w:r w:rsidRPr="00AA0F6D">
        <w:rPr>
          <w:i/>
          <w:iCs/>
        </w:rPr>
        <w:t>Goudini Chrome (Pty) Ltd v MCC Contracts (Pty) Ltd</w:t>
      </w:r>
      <w:r w:rsidRPr="00AA0F6D">
        <w:t xml:space="preserve"> </w:t>
      </w:r>
      <w:r w:rsidR="00BC7689" w:rsidRPr="00FD0D4A">
        <w:t xml:space="preserve">[1992] ZASCA 186; </w:t>
      </w:r>
      <w:r w:rsidRPr="00AA0F6D">
        <w:t>1993 (1) SA 77 (A)</w:t>
      </w:r>
      <w:r w:rsidR="00F71884" w:rsidRPr="00AA0F6D">
        <w:t xml:space="preserve">; </w:t>
      </w:r>
      <w:r w:rsidR="00F71884" w:rsidRPr="00FD0D4A">
        <w:t>[1993] 1 All SA 259 (A)</w:t>
      </w:r>
      <w:r w:rsidRPr="00AA0F6D">
        <w:t xml:space="preserve"> </w:t>
      </w:r>
      <w:r w:rsidR="0020506C" w:rsidRPr="00AA0F6D">
        <w:t>(‘</w:t>
      </w:r>
      <w:r w:rsidR="0020506C" w:rsidRPr="00AA0F6D">
        <w:rPr>
          <w:i/>
          <w:iCs/>
        </w:rPr>
        <w:t>Goudini</w:t>
      </w:r>
      <w:r w:rsidR="0020506C" w:rsidRPr="00AA0F6D">
        <w:t>’)</w:t>
      </w:r>
      <w:r w:rsidR="0020506C" w:rsidRPr="00AA0F6D">
        <w:rPr>
          <w:i/>
          <w:iCs/>
        </w:rPr>
        <w:t xml:space="preserve"> </w:t>
      </w:r>
      <w:r w:rsidRPr="00AA0F6D">
        <w:t>at 82A</w:t>
      </w:r>
      <w:r w:rsidR="00BC1CFF">
        <w:t>—</w:t>
      </w:r>
      <w:r w:rsidRPr="00AA0F6D">
        <w:t>B.</w:t>
      </w:r>
    </w:p>
  </w:footnote>
  <w:footnote w:id="43">
    <w:p w14:paraId="02B6BAFE" w14:textId="0E1C8613" w:rsidR="00B70686" w:rsidRPr="00AA0F6D" w:rsidRDefault="00B70686" w:rsidP="00215BA8">
      <w:pPr>
        <w:pStyle w:val="FootnoteText"/>
        <w:spacing w:line="240" w:lineRule="auto"/>
        <w:jc w:val="both"/>
      </w:pPr>
      <w:r w:rsidRPr="00FD0D4A">
        <w:rPr>
          <w:rStyle w:val="FootnoteReference"/>
        </w:rPr>
        <w:footnoteRef/>
      </w:r>
      <w:r w:rsidRPr="00FD0D4A">
        <w:t xml:space="preserve"> </w:t>
      </w:r>
      <w:r w:rsidRPr="00AA0F6D">
        <w:t>Paragraph 9 of the particulars of claim makes reference to the plaintiff’s transfer of the immovable property to the defendant.</w:t>
      </w:r>
    </w:p>
  </w:footnote>
  <w:footnote w:id="44">
    <w:p w14:paraId="41E09C87" w14:textId="0681BC4D" w:rsidR="00873BE2" w:rsidRPr="00AA0F6D" w:rsidRDefault="00873BE2" w:rsidP="00215BA8">
      <w:pPr>
        <w:pStyle w:val="FootnoteText"/>
        <w:spacing w:line="240" w:lineRule="auto"/>
        <w:jc w:val="both"/>
      </w:pPr>
      <w:r w:rsidRPr="00FD0D4A">
        <w:rPr>
          <w:rStyle w:val="FootnoteReference"/>
        </w:rPr>
        <w:footnoteRef/>
      </w:r>
      <w:r w:rsidRPr="00FD0D4A">
        <w:t xml:space="preserve"> </w:t>
      </w:r>
      <w:r w:rsidRPr="00AA0F6D">
        <w:t xml:space="preserve">See, in general, </w:t>
      </w:r>
      <w:r w:rsidRPr="00AA0F6D">
        <w:rPr>
          <w:i/>
          <w:iCs/>
        </w:rPr>
        <w:t>Badenhorst NO v Manyatta Properties Close Corporation and Others</w:t>
      </w:r>
      <w:r w:rsidRPr="00AA0F6D">
        <w:t xml:space="preserve"> [2021] ZAMPMBHC 54</w:t>
      </w:r>
      <w:r w:rsidR="00EB4BFF" w:rsidRPr="00AA0F6D">
        <w:t xml:space="preserve">; </w:t>
      </w:r>
      <w:r w:rsidR="00EB4BFF" w:rsidRPr="00AA0F6D">
        <w:rPr>
          <w:i/>
          <w:iCs/>
        </w:rPr>
        <w:t>Fischer NO and Others v Mahlabe</w:t>
      </w:r>
      <w:r w:rsidR="00EB4BFF" w:rsidRPr="00AA0F6D">
        <w:t xml:space="preserve"> [2018] ZANCHC 7</w:t>
      </w:r>
      <w:r w:rsidR="00F7276A" w:rsidRPr="00AA0F6D">
        <w:t>.</w:t>
      </w:r>
      <w:r w:rsidR="0020506C" w:rsidRPr="00AA0F6D">
        <w:t xml:space="preserve"> </w:t>
      </w:r>
      <w:r w:rsidR="00C74849" w:rsidRPr="00AA0F6D">
        <w:t xml:space="preserve">The best evidence of ownership of immovable property is the title deed to that property: </w:t>
      </w:r>
      <w:r w:rsidR="00FE277D" w:rsidRPr="00AA0F6D">
        <w:rPr>
          <w:i/>
          <w:iCs/>
        </w:rPr>
        <w:t>Goudini</w:t>
      </w:r>
      <w:r w:rsidR="00FE277D" w:rsidRPr="00AA0F6D">
        <w:t xml:space="preserve"> above n </w:t>
      </w:r>
      <w:r w:rsidR="0097213C" w:rsidRPr="00AA0F6D">
        <w:t>42</w:t>
      </w:r>
      <w:r w:rsidR="00FE277D" w:rsidRPr="00AA0F6D">
        <w:t xml:space="preserve"> at 82A</w:t>
      </w:r>
      <w:r w:rsidR="00BC1CFF">
        <w:t>—</w:t>
      </w:r>
      <w:r w:rsidR="00FE277D" w:rsidRPr="00AA0F6D">
        <w:t>B.</w:t>
      </w:r>
    </w:p>
  </w:footnote>
  <w:footnote w:id="45">
    <w:p w14:paraId="1BD30D26" w14:textId="335DD58E" w:rsidR="009A386D" w:rsidRPr="00AA0F6D" w:rsidRDefault="009A386D" w:rsidP="00215BA8">
      <w:pPr>
        <w:pStyle w:val="FootnoteText"/>
        <w:spacing w:line="240" w:lineRule="auto"/>
        <w:jc w:val="both"/>
      </w:pPr>
      <w:r w:rsidRPr="00FD0D4A">
        <w:rPr>
          <w:rStyle w:val="FootnoteReference"/>
        </w:rPr>
        <w:footnoteRef/>
      </w:r>
      <w:r w:rsidRPr="00FD0D4A">
        <w:t xml:space="preserve"> </w:t>
      </w:r>
      <w:r w:rsidR="00DE3E4A" w:rsidRPr="00FD0D4A">
        <w:t>This was based on the plaintiff’s particulars of claim disclosing transfer of the immovable property to the defendant</w:t>
      </w:r>
      <w:r w:rsidR="00786CD7" w:rsidRPr="00FD0D4A">
        <w:t xml:space="preserve"> so that, upon registration</w:t>
      </w:r>
      <w:r w:rsidR="00637BFB" w:rsidRPr="00FD0D4A">
        <w:t>,</w:t>
      </w:r>
      <w:r w:rsidR="00786CD7" w:rsidRPr="00FD0D4A">
        <w:t xml:space="preserve"> the defendant acquired a real right of ownership. </w:t>
      </w:r>
      <w:r w:rsidR="00234DC2" w:rsidRPr="00FD0D4A">
        <w:rPr>
          <w:i/>
          <w:iCs/>
        </w:rPr>
        <w:t>Ethekwini Municipality v Mounthaven (Pty) Ltd</w:t>
      </w:r>
      <w:r w:rsidR="00234DC2" w:rsidRPr="00FD0D4A">
        <w:t xml:space="preserve"> </w:t>
      </w:r>
      <w:r w:rsidR="0097213C" w:rsidRPr="00FD0D4A">
        <w:t xml:space="preserve">[2018] ZACC 43; </w:t>
      </w:r>
      <w:r w:rsidR="00234DC2" w:rsidRPr="00FD0D4A">
        <w:t>2019 (4) SA 394 (CC)</w:t>
      </w:r>
      <w:r w:rsidR="0097213C" w:rsidRPr="00FD0D4A">
        <w:t>; 2019 (2) BCLR 236 (CC)</w:t>
      </w:r>
      <w:r w:rsidR="00234DC2" w:rsidRPr="00FD0D4A">
        <w:t xml:space="preserve"> (‘</w:t>
      </w:r>
      <w:r w:rsidRPr="00AA0F6D">
        <w:rPr>
          <w:i/>
          <w:iCs/>
        </w:rPr>
        <w:t>Mounthaven</w:t>
      </w:r>
      <w:r w:rsidR="00234DC2" w:rsidRPr="00AA0F6D">
        <w:t>’)</w:t>
      </w:r>
      <w:r w:rsidRPr="00AA0F6D">
        <w:t xml:space="preserve"> para 19.</w:t>
      </w:r>
      <w:r w:rsidRPr="00AA0F6D">
        <w:rPr>
          <w:i/>
          <w:iCs/>
        </w:rPr>
        <w:t xml:space="preserve"> </w:t>
      </w:r>
      <w:r w:rsidRPr="00AA0F6D">
        <w:t xml:space="preserve">Also see </w:t>
      </w:r>
      <w:r w:rsidRPr="00AA0F6D">
        <w:rPr>
          <w:i/>
          <w:iCs/>
        </w:rPr>
        <w:t>Harris v Trustee of Buissinne</w:t>
      </w:r>
      <w:r w:rsidRPr="00AA0F6D">
        <w:t xml:space="preserve"> (1840) 2 Menz 105 at 107</w:t>
      </w:r>
      <w:r w:rsidR="00BC1CFF">
        <w:t>—</w:t>
      </w:r>
      <w:r w:rsidRPr="00AA0F6D">
        <w:t xml:space="preserve">108 as cited in </w:t>
      </w:r>
      <w:r w:rsidRPr="00AA0F6D">
        <w:rPr>
          <w:i/>
          <w:iCs/>
        </w:rPr>
        <w:t>Jordaan and Others v Tshwane Metropolitan Municipality and Others</w:t>
      </w:r>
      <w:r w:rsidRPr="00AA0F6D">
        <w:t xml:space="preserve"> </w:t>
      </w:r>
      <w:r w:rsidR="0097213C" w:rsidRPr="00FD0D4A">
        <w:t xml:space="preserve">[2017] ZACC 31; </w:t>
      </w:r>
      <w:r w:rsidRPr="00AA0F6D">
        <w:t>2017 (6) SA 287 (CC)</w:t>
      </w:r>
      <w:r w:rsidR="0097213C" w:rsidRPr="00AA0F6D">
        <w:t xml:space="preserve">; </w:t>
      </w:r>
      <w:r w:rsidR="0097213C" w:rsidRPr="00FD0D4A">
        <w:t xml:space="preserve">2017 (11) BCLR 1370 (CC) </w:t>
      </w:r>
      <w:r w:rsidR="00235A34" w:rsidRPr="00AA0F6D">
        <w:t>para 34.</w:t>
      </w:r>
    </w:p>
  </w:footnote>
  <w:footnote w:id="46">
    <w:p w14:paraId="1C315878" w14:textId="46A45E74" w:rsidR="00D651C9" w:rsidRPr="00AA0F6D" w:rsidRDefault="00D651C9" w:rsidP="00215BA8">
      <w:pPr>
        <w:pStyle w:val="FootnoteText"/>
        <w:spacing w:line="240" w:lineRule="auto"/>
        <w:jc w:val="both"/>
      </w:pPr>
      <w:r w:rsidRPr="00FD0D4A">
        <w:rPr>
          <w:rStyle w:val="FootnoteReference"/>
        </w:rPr>
        <w:footnoteRef/>
      </w:r>
      <w:r w:rsidRPr="00FD0D4A">
        <w:t xml:space="preserve"> </w:t>
      </w:r>
      <w:r w:rsidRPr="00AA0F6D">
        <w:rPr>
          <w:i/>
          <w:iCs/>
        </w:rPr>
        <w:t>Absa Bank Limited v Keet</w:t>
      </w:r>
      <w:r w:rsidRPr="00AA0F6D">
        <w:t xml:space="preserve"> </w:t>
      </w:r>
      <w:r w:rsidR="005857B7" w:rsidRPr="00FD0D4A">
        <w:t xml:space="preserve">[2015] ZASCA 81; </w:t>
      </w:r>
      <w:r w:rsidRPr="00AA0F6D">
        <w:t>2015 (4) SA 474 (SCA)</w:t>
      </w:r>
      <w:r w:rsidR="005857B7" w:rsidRPr="00AA0F6D">
        <w:t xml:space="preserve">; </w:t>
      </w:r>
      <w:r w:rsidR="005857B7" w:rsidRPr="00FD0D4A">
        <w:t>[2015] 4 All SA 1 (SCA)</w:t>
      </w:r>
      <w:r w:rsidR="00DA1931" w:rsidRPr="00AA0F6D">
        <w:t xml:space="preserve"> (‘</w:t>
      </w:r>
      <w:r w:rsidR="00DA1931" w:rsidRPr="00AA0F6D">
        <w:rPr>
          <w:i/>
          <w:iCs/>
        </w:rPr>
        <w:t>Keet</w:t>
      </w:r>
      <w:r w:rsidR="00DA1931" w:rsidRPr="00AA0F6D">
        <w:t>’)</w:t>
      </w:r>
      <w:r w:rsidRPr="00AA0F6D">
        <w:t>.</w:t>
      </w:r>
    </w:p>
  </w:footnote>
  <w:footnote w:id="47">
    <w:p w14:paraId="3A8FBD2E" w14:textId="08515282" w:rsidR="00625CE5" w:rsidRPr="00AA0F6D" w:rsidRDefault="00625CE5" w:rsidP="00215BA8">
      <w:pPr>
        <w:pStyle w:val="FootnoteText"/>
        <w:spacing w:line="240" w:lineRule="auto"/>
        <w:jc w:val="both"/>
      </w:pPr>
      <w:r w:rsidRPr="00FD0D4A">
        <w:rPr>
          <w:rStyle w:val="FootnoteReference"/>
        </w:rPr>
        <w:footnoteRef/>
      </w:r>
      <w:r w:rsidRPr="00FD0D4A">
        <w:t xml:space="preserve"> </w:t>
      </w:r>
      <w:r w:rsidRPr="00AA0F6D">
        <w:t xml:space="preserve">See </w:t>
      </w:r>
      <w:r w:rsidRPr="00AA0F6D">
        <w:rPr>
          <w:i/>
          <w:iCs/>
        </w:rPr>
        <w:t>Cook v Morrison and Another</w:t>
      </w:r>
      <w:r w:rsidRPr="00AA0F6D">
        <w:t xml:space="preserve"> </w:t>
      </w:r>
      <w:r w:rsidR="00EA6533" w:rsidRPr="00AA0F6D">
        <w:t>above n 39</w:t>
      </w:r>
      <w:r w:rsidRPr="00AA0F6D">
        <w:t xml:space="preserve"> para 17.</w:t>
      </w:r>
    </w:p>
  </w:footnote>
  <w:footnote w:id="48">
    <w:p w14:paraId="6E22FD18" w14:textId="0C10CDC0" w:rsidR="00DA1931" w:rsidRPr="00AA0F6D" w:rsidRDefault="00DA1931" w:rsidP="00215BA8">
      <w:pPr>
        <w:pStyle w:val="FootnoteText"/>
        <w:spacing w:line="240" w:lineRule="auto"/>
        <w:jc w:val="both"/>
      </w:pPr>
      <w:r w:rsidRPr="00FD0D4A">
        <w:rPr>
          <w:rStyle w:val="FootnoteReference"/>
        </w:rPr>
        <w:footnoteRef/>
      </w:r>
      <w:r w:rsidRPr="00FD0D4A">
        <w:t xml:space="preserve"> </w:t>
      </w:r>
      <w:r w:rsidRPr="00AA0F6D">
        <w:rPr>
          <w:i/>
          <w:iCs/>
        </w:rPr>
        <w:t>Keet</w:t>
      </w:r>
      <w:r w:rsidRPr="00AA0F6D">
        <w:t xml:space="preserve"> </w:t>
      </w:r>
      <w:r w:rsidR="002C3314" w:rsidRPr="00AA0F6D">
        <w:t xml:space="preserve">above n </w:t>
      </w:r>
      <w:r w:rsidR="00A44CB0" w:rsidRPr="00AA0F6D">
        <w:t>46</w:t>
      </w:r>
      <w:r w:rsidR="002C3314" w:rsidRPr="00AA0F6D">
        <w:t xml:space="preserve"> para 3.</w:t>
      </w:r>
    </w:p>
  </w:footnote>
  <w:footnote w:id="49">
    <w:p w14:paraId="10448B96" w14:textId="34E120D4" w:rsidR="004D2A35" w:rsidRPr="00AA0F6D" w:rsidRDefault="004D2A35" w:rsidP="00215BA8">
      <w:pPr>
        <w:pStyle w:val="FootnoteText"/>
        <w:spacing w:line="240" w:lineRule="auto"/>
        <w:jc w:val="both"/>
      </w:pPr>
      <w:r w:rsidRPr="00FD0D4A">
        <w:rPr>
          <w:rStyle w:val="FootnoteReference"/>
        </w:rPr>
        <w:footnoteRef/>
      </w:r>
      <w:r w:rsidRPr="00FD0D4A">
        <w:t xml:space="preserve"> </w:t>
      </w:r>
      <w:r w:rsidRPr="00AA0F6D">
        <w:rPr>
          <w:i/>
          <w:iCs/>
        </w:rPr>
        <w:t>Staegemann v Langhoven</w:t>
      </w:r>
      <w:r w:rsidRPr="00AA0F6D">
        <w:t xml:space="preserve"> </w:t>
      </w:r>
      <w:r w:rsidR="00E32A91" w:rsidRPr="00AA0F6D">
        <w:rPr>
          <w:i/>
          <w:iCs/>
        </w:rPr>
        <w:t>and Others</w:t>
      </w:r>
      <w:r w:rsidR="00E32A91" w:rsidRPr="00AA0F6D">
        <w:t xml:space="preserve"> </w:t>
      </w:r>
      <w:r w:rsidR="005857B7" w:rsidRPr="00FD0D4A">
        <w:t xml:space="preserve">[2011] ZAWCHC 302; </w:t>
      </w:r>
      <w:r w:rsidRPr="00AA0F6D">
        <w:t>2011 (5) SA 648 (WCC).</w:t>
      </w:r>
    </w:p>
  </w:footnote>
  <w:footnote w:id="50">
    <w:p w14:paraId="44F4DF76" w14:textId="62ECBC33" w:rsidR="00DB48C1" w:rsidRPr="00AA0F6D" w:rsidRDefault="00DB48C1" w:rsidP="00215BA8">
      <w:pPr>
        <w:pStyle w:val="FootnoteText"/>
        <w:spacing w:line="240" w:lineRule="auto"/>
        <w:jc w:val="both"/>
      </w:pPr>
      <w:r w:rsidRPr="00FD0D4A">
        <w:rPr>
          <w:rStyle w:val="FootnoteReference"/>
        </w:rPr>
        <w:footnoteRef/>
      </w:r>
      <w:r w:rsidRPr="00FD0D4A">
        <w:t xml:space="preserve"> </w:t>
      </w:r>
      <w:r w:rsidRPr="00AA0F6D">
        <w:rPr>
          <w:i/>
          <w:iCs/>
        </w:rPr>
        <w:t>Keet</w:t>
      </w:r>
      <w:r w:rsidRPr="00AA0F6D">
        <w:t xml:space="preserve"> above n </w:t>
      </w:r>
      <w:r w:rsidR="00AF1EDC" w:rsidRPr="00AA0F6D">
        <w:t>46</w:t>
      </w:r>
      <w:r w:rsidRPr="00AA0F6D">
        <w:t xml:space="preserve"> para 20.</w:t>
      </w:r>
      <w:r w:rsidR="003D10FC" w:rsidRPr="00AA0F6D">
        <w:t xml:space="preserve"> The SCA went on to explain the basis for this decision, which was grounded in a person entitled to a real right over a thing utilising a vindicatory action</w:t>
      </w:r>
      <w:r w:rsidR="00607C1A" w:rsidRPr="00AA0F6D">
        <w:t>, as a right of ownership,</w:t>
      </w:r>
      <w:r w:rsidR="003D10FC" w:rsidRPr="00AA0F6D">
        <w:t xml:space="preserve"> to claim that thing from any individual interfering with the right.</w:t>
      </w:r>
      <w:r w:rsidR="00114AE4" w:rsidRPr="00AA0F6D">
        <w:t xml:space="preserve"> A relative right only enforceable against a determined individual or a class of individuals would only be a personal right.</w:t>
      </w:r>
    </w:p>
  </w:footnote>
  <w:footnote w:id="51">
    <w:p w14:paraId="3EA65D4B" w14:textId="2D188E6E" w:rsidR="00D65732" w:rsidRPr="00AA0F6D" w:rsidRDefault="00D65732" w:rsidP="00215BA8">
      <w:pPr>
        <w:pStyle w:val="FootnoteText"/>
        <w:spacing w:line="240" w:lineRule="auto"/>
        <w:jc w:val="both"/>
      </w:pPr>
      <w:r w:rsidRPr="00FD0D4A">
        <w:rPr>
          <w:rStyle w:val="FootnoteReference"/>
        </w:rPr>
        <w:footnoteRef/>
      </w:r>
      <w:r w:rsidRPr="00FD0D4A">
        <w:t xml:space="preserve"> </w:t>
      </w:r>
      <w:r w:rsidRPr="00AA0F6D">
        <w:rPr>
          <w:i/>
          <w:iCs/>
        </w:rPr>
        <w:t>Leketi v Tladi NO and Others</w:t>
      </w:r>
      <w:r w:rsidRPr="00AA0F6D">
        <w:t xml:space="preserve"> </w:t>
      </w:r>
      <w:r w:rsidR="00FD0D4A" w:rsidRPr="00FD0D4A">
        <w:t>[2010] ZASCA 38</w:t>
      </w:r>
      <w:r w:rsidR="00FD0D4A">
        <w:t xml:space="preserve">; </w:t>
      </w:r>
      <w:r w:rsidRPr="00AA0F6D">
        <w:t>[2010] 3 All SA 519 (SCA)</w:t>
      </w:r>
      <w:r w:rsidR="00B5183E" w:rsidRPr="00AA0F6D">
        <w:t>.</w:t>
      </w:r>
    </w:p>
  </w:footnote>
  <w:footnote w:id="52">
    <w:p w14:paraId="5D807134" w14:textId="010C4BB7" w:rsidR="008D726D" w:rsidRPr="008C55DF" w:rsidRDefault="008D726D" w:rsidP="00215BA8">
      <w:pPr>
        <w:pStyle w:val="FootnoteText"/>
        <w:spacing w:line="240" w:lineRule="auto"/>
        <w:jc w:val="both"/>
      </w:pPr>
      <w:r w:rsidRPr="00FD0D4A">
        <w:rPr>
          <w:rStyle w:val="FootnoteReference"/>
        </w:rPr>
        <w:footnoteRef/>
      </w:r>
      <w:r w:rsidRPr="00FD0D4A">
        <w:t xml:space="preserve"> </w:t>
      </w:r>
      <w:r w:rsidRPr="00AA0F6D">
        <w:t xml:space="preserve">See </w:t>
      </w:r>
      <w:r w:rsidRPr="00AA0F6D">
        <w:rPr>
          <w:i/>
          <w:iCs/>
        </w:rPr>
        <w:t xml:space="preserve">First National Bank of SA Ltd v Perry NO </w:t>
      </w:r>
      <w:r w:rsidR="00EB76BE" w:rsidRPr="00AA0F6D">
        <w:t>(</w:t>
      </w:r>
      <w:r w:rsidR="00855570" w:rsidRPr="00AA0F6D">
        <w:t>‘</w:t>
      </w:r>
      <w:r w:rsidR="00EB76BE" w:rsidRPr="00AA0F6D">
        <w:rPr>
          <w:i/>
          <w:iCs/>
        </w:rPr>
        <w:t>Perry</w:t>
      </w:r>
      <w:r w:rsidR="0070233C" w:rsidRPr="00AA0F6D">
        <w:rPr>
          <w:i/>
          <w:iCs/>
        </w:rPr>
        <w:t xml:space="preserve"> NO</w:t>
      </w:r>
      <w:r w:rsidR="00855570" w:rsidRPr="00AA0F6D">
        <w:t>’</w:t>
      </w:r>
      <w:r w:rsidR="00EB76BE" w:rsidRPr="00AA0F6D">
        <w:t xml:space="preserve">) </w:t>
      </w:r>
      <w:r w:rsidR="00FD0D4A" w:rsidRPr="00FD0D4A">
        <w:t>[2001] ZASCA 37</w:t>
      </w:r>
      <w:r w:rsidR="00FD0D4A">
        <w:t xml:space="preserve">; </w:t>
      </w:r>
      <w:r w:rsidRPr="00AA0F6D">
        <w:t>2001 (3) SA 960 (SCA)</w:t>
      </w:r>
      <w:r w:rsidR="00FD0D4A">
        <w:t xml:space="preserve">; </w:t>
      </w:r>
      <w:r w:rsidR="00FD0D4A" w:rsidRPr="00FD0D4A">
        <w:t>[2001] 3 All SA 331 (A)</w:t>
      </w:r>
      <w:r w:rsidRPr="00AA0F6D">
        <w:t xml:space="preserve"> at 969.</w:t>
      </w:r>
      <w:r w:rsidR="008C55DF">
        <w:t xml:space="preserve"> Also see JE Du Plessis </w:t>
      </w:r>
      <w:r w:rsidR="008C55DF">
        <w:rPr>
          <w:i/>
          <w:iCs/>
        </w:rPr>
        <w:t>The South African Law of Unjustified Enrichment</w:t>
      </w:r>
      <w:r w:rsidR="008C55DF">
        <w:t xml:space="preserve"> (2012) at 195 and following.</w:t>
      </w:r>
    </w:p>
  </w:footnote>
  <w:footnote w:id="53">
    <w:p w14:paraId="4177DC5A" w14:textId="6EC1343A" w:rsidR="000005F5" w:rsidRPr="00AA0F6D" w:rsidRDefault="000005F5" w:rsidP="00215BA8">
      <w:pPr>
        <w:pStyle w:val="FootnoteText"/>
        <w:spacing w:line="240" w:lineRule="auto"/>
        <w:jc w:val="both"/>
      </w:pPr>
      <w:r w:rsidRPr="00FD0D4A">
        <w:rPr>
          <w:rStyle w:val="FootnoteReference"/>
        </w:rPr>
        <w:footnoteRef/>
      </w:r>
      <w:r w:rsidRPr="00FD0D4A">
        <w:t xml:space="preserve"> </w:t>
      </w:r>
      <w:r w:rsidRPr="00AA0F6D">
        <w:t xml:space="preserve">See Muller et al </w:t>
      </w:r>
      <w:r w:rsidR="006F4885" w:rsidRPr="00AA0F6D">
        <w:t>above n 1</w:t>
      </w:r>
      <w:r w:rsidR="00D3387F" w:rsidRPr="00AA0F6D">
        <w:t xml:space="preserve">2 </w:t>
      </w:r>
      <w:r w:rsidRPr="00AA0F6D">
        <w:t>at 77.</w:t>
      </w:r>
    </w:p>
  </w:footnote>
  <w:footnote w:id="54">
    <w:p w14:paraId="0C5E0395" w14:textId="3D5178D8" w:rsidR="001051BC" w:rsidRPr="00AA0F6D" w:rsidRDefault="001051BC" w:rsidP="00215BA8">
      <w:pPr>
        <w:pStyle w:val="FootnoteText"/>
        <w:spacing w:line="240" w:lineRule="auto"/>
        <w:jc w:val="both"/>
      </w:pPr>
      <w:r w:rsidRPr="00FD0D4A">
        <w:rPr>
          <w:rStyle w:val="FootnoteReference"/>
        </w:rPr>
        <w:footnoteRef/>
      </w:r>
      <w:r w:rsidRPr="00FD0D4A">
        <w:t xml:space="preserve"> </w:t>
      </w:r>
      <w:r w:rsidRPr="00FD0D4A">
        <w:rPr>
          <w:i/>
          <w:iCs/>
        </w:rPr>
        <w:t>Mounthaven</w:t>
      </w:r>
      <w:r w:rsidR="00234DC2" w:rsidRPr="00FD0D4A">
        <w:t xml:space="preserve"> above n 45</w:t>
      </w:r>
      <w:r w:rsidR="008371C7" w:rsidRPr="00FD0D4A">
        <w:t>.</w:t>
      </w:r>
    </w:p>
  </w:footnote>
  <w:footnote w:id="55">
    <w:p w14:paraId="0DBC3323" w14:textId="04FD8A30" w:rsidR="001051BC" w:rsidRPr="00AA0F6D" w:rsidRDefault="001051BC" w:rsidP="00215BA8">
      <w:pPr>
        <w:pStyle w:val="FootnoteText"/>
        <w:spacing w:line="240" w:lineRule="auto"/>
        <w:jc w:val="both"/>
      </w:pPr>
      <w:r w:rsidRPr="00FD0D4A">
        <w:rPr>
          <w:rStyle w:val="FootnoteReference"/>
        </w:rPr>
        <w:footnoteRef/>
      </w:r>
      <w:r w:rsidRPr="00FD0D4A">
        <w:t xml:space="preserve"> </w:t>
      </w:r>
      <w:r w:rsidR="00234DC2" w:rsidRPr="00AA0F6D">
        <w:rPr>
          <w:i/>
          <w:iCs/>
        </w:rPr>
        <w:t xml:space="preserve">Mounthaven </w:t>
      </w:r>
      <w:r w:rsidR="00234DC2" w:rsidRPr="00AA0F6D">
        <w:t>above n 45</w:t>
      </w:r>
      <w:r w:rsidRPr="00AA0F6D">
        <w:t xml:space="preserve"> para 8. Also see </w:t>
      </w:r>
      <w:r w:rsidRPr="00AA0F6D">
        <w:rPr>
          <w:i/>
          <w:iCs/>
        </w:rPr>
        <w:t>Makate v Vodacom</w:t>
      </w:r>
      <w:r w:rsidRPr="00AA0F6D">
        <w:t xml:space="preserve"> </w:t>
      </w:r>
      <w:r w:rsidR="0051619E" w:rsidRPr="0051619E">
        <w:t>[2016] ZACC 13</w:t>
      </w:r>
      <w:r w:rsidR="0051619E">
        <w:t xml:space="preserve">; </w:t>
      </w:r>
      <w:r w:rsidRPr="00AA0F6D">
        <w:t>2016 (4) SA 121 (CC)</w:t>
      </w:r>
      <w:r w:rsidR="0051619E">
        <w:t xml:space="preserve">; </w:t>
      </w:r>
      <w:r w:rsidR="0051619E" w:rsidRPr="0051619E">
        <w:t>2016 (6) BCLR 709 (CC)</w:t>
      </w:r>
      <w:r w:rsidRPr="00AA0F6D">
        <w:t xml:space="preserve"> paras 83, 85.</w:t>
      </w:r>
    </w:p>
  </w:footnote>
  <w:footnote w:id="56">
    <w:p w14:paraId="79E99C8B" w14:textId="5C82358A" w:rsidR="000C385B" w:rsidRPr="00C53741" w:rsidRDefault="000C385B" w:rsidP="00215BA8">
      <w:pPr>
        <w:pStyle w:val="FootnoteText"/>
        <w:spacing w:line="240" w:lineRule="auto"/>
        <w:jc w:val="both"/>
      </w:pPr>
      <w:r w:rsidRPr="00FD0D4A">
        <w:rPr>
          <w:rStyle w:val="FootnoteReference"/>
        </w:rPr>
        <w:footnoteRef/>
      </w:r>
      <w:r w:rsidRPr="00FD0D4A">
        <w:t xml:space="preserve"> </w:t>
      </w:r>
      <w:r w:rsidRPr="00AA0F6D">
        <w:t>S</w:t>
      </w:r>
      <w:r w:rsidR="00A4634E">
        <w:t>ection</w:t>
      </w:r>
      <w:r w:rsidRPr="00AA0F6D">
        <w:t xml:space="preserve"> 12(1) of the Prescription Act.</w:t>
      </w:r>
      <w:r w:rsidR="0045638F" w:rsidRPr="00AA0F6D">
        <w:t xml:space="preserve"> </w:t>
      </w:r>
      <w:r w:rsidR="008F541C" w:rsidRPr="00AA0F6D">
        <w:t xml:space="preserve">The general principle is that the period of prescription of claims for restitution commence running on the day upon which the person claiming restitution had performed, because the right to claim restitution arose on that date: </w:t>
      </w:r>
      <w:r w:rsidR="008F541C" w:rsidRPr="00AA0F6D">
        <w:rPr>
          <w:i/>
          <w:iCs/>
        </w:rPr>
        <w:t>Van Staden v Fourie</w:t>
      </w:r>
      <w:r w:rsidR="008F541C" w:rsidRPr="00AA0F6D">
        <w:t xml:space="preserve"> </w:t>
      </w:r>
      <w:r w:rsidR="00A4634E" w:rsidRPr="00A4634E">
        <w:t>[1989] ZASCA 36</w:t>
      </w:r>
      <w:r w:rsidR="00A4634E">
        <w:t xml:space="preserve">; </w:t>
      </w:r>
      <w:r w:rsidR="008F541C" w:rsidRPr="00AA0F6D">
        <w:t>1989 (3) SA 200 (A)</w:t>
      </w:r>
      <w:r w:rsidR="00A4634E">
        <w:t xml:space="preserve">; </w:t>
      </w:r>
      <w:r w:rsidR="00A4634E" w:rsidRPr="00A4634E">
        <w:t>[1989] 2 All SA 329 (A)</w:t>
      </w:r>
      <w:r w:rsidR="008F541C" w:rsidRPr="00AA0F6D">
        <w:t xml:space="preserve"> at 215B</w:t>
      </w:r>
      <w:r w:rsidR="00C53741">
        <w:t xml:space="preserve">; M Loubser </w:t>
      </w:r>
      <w:r w:rsidR="00C53741">
        <w:rPr>
          <w:i/>
          <w:iCs/>
        </w:rPr>
        <w:t xml:space="preserve">Extinctive Prescription </w:t>
      </w:r>
      <w:r w:rsidR="00C53741">
        <w:t xml:space="preserve">2ed (2019) </w:t>
      </w:r>
      <w:r w:rsidR="000F70E0">
        <w:t xml:space="preserve">at </w:t>
      </w:r>
      <w:r w:rsidR="00C53741">
        <w:t>121—125</w:t>
      </w:r>
      <w:r w:rsidR="00A87A23">
        <w:t>.</w:t>
      </w:r>
    </w:p>
  </w:footnote>
  <w:footnote w:id="57">
    <w:p w14:paraId="5E42C5D2" w14:textId="69891150" w:rsidR="003C2B0E" w:rsidRPr="00AA0F6D" w:rsidRDefault="003C2B0E" w:rsidP="00215BA8">
      <w:pPr>
        <w:pStyle w:val="FootnoteText"/>
        <w:spacing w:line="240" w:lineRule="auto"/>
        <w:jc w:val="both"/>
      </w:pPr>
      <w:r w:rsidRPr="00FD0D4A">
        <w:rPr>
          <w:rStyle w:val="FootnoteReference"/>
        </w:rPr>
        <w:footnoteRef/>
      </w:r>
      <w:r w:rsidRPr="00FD0D4A">
        <w:t xml:space="preserve"> </w:t>
      </w:r>
      <w:r w:rsidRPr="00AA0F6D">
        <w:t>S</w:t>
      </w:r>
      <w:r w:rsidR="000F539C">
        <w:t>ection</w:t>
      </w:r>
      <w:r w:rsidRPr="00AA0F6D">
        <w:t xml:space="preserve"> 12(3) of the Prescription Act.</w:t>
      </w:r>
      <w:r w:rsidR="008F094B" w:rsidRPr="00AA0F6D">
        <w:t xml:space="preserve"> Knowledge of the unlawfulness of an agreement is not a fact and the running of prescription is not postponed until a creditor becomes aware of the full extent of its legal rights: see </w:t>
      </w:r>
      <w:r w:rsidR="008F094B" w:rsidRPr="00AA0F6D">
        <w:rPr>
          <w:i/>
          <w:iCs/>
        </w:rPr>
        <w:t>Minister of Finance &amp; Others v Gore NO</w:t>
      </w:r>
      <w:r w:rsidR="008F094B" w:rsidRPr="00AA0F6D">
        <w:t xml:space="preserve"> 2007 (1) SA 111 (SCA) para 17.</w:t>
      </w:r>
    </w:p>
  </w:footnote>
  <w:footnote w:id="58">
    <w:p w14:paraId="050DDA3C" w14:textId="6299E1D9" w:rsidR="00684FA2" w:rsidRPr="00AA0F6D" w:rsidRDefault="00684FA2" w:rsidP="00215BA8">
      <w:pPr>
        <w:pStyle w:val="FootnoteText"/>
        <w:spacing w:line="240" w:lineRule="auto"/>
        <w:jc w:val="both"/>
      </w:pPr>
      <w:r w:rsidRPr="00FD0D4A">
        <w:rPr>
          <w:rStyle w:val="FootnoteReference"/>
        </w:rPr>
        <w:footnoteRef/>
      </w:r>
      <w:r w:rsidRPr="00FD0D4A">
        <w:t xml:space="preserve"> See, in general, </w:t>
      </w:r>
      <w:r w:rsidRPr="00FD0D4A">
        <w:rPr>
          <w:i/>
          <w:iCs/>
        </w:rPr>
        <w:t xml:space="preserve">Links v </w:t>
      </w:r>
      <w:r w:rsidR="000F539C" w:rsidRPr="000F539C">
        <w:rPr>
          <w:i/>
          <w:iCs/>
        </w:rPr>
        <w:t>Member of the Executive Council, Department of Health, Northern Cape Province</w:t>
      </w:r>
      <w:r w:rsidR="000F539C">
        <w:rPr>
          <w:i/>
          <w:iCs/>
        </w:rPr>
        <w:t xml:space="preserve"> </w:t>
      </w:r>
      <w:r w:rsidR="000F539C" w:rsidRPr="00AA0F6D">
        <w:t>[2016] ZACC 10</w:t>
      </w:r>
      <w:r w:rsidR="000F539C">
        <w:t xml:space="preserve">; </w:t>
      </w:r>
      <w:r w:rsidRPr="00FD0D4A">
        <w:t>2016 (4) SA 414 (CC)</w:t>
      </w:r>
      <w:r w:rsidR="000F539C">
        <w:t xml:space="preserve">; </w:t>
      </w:r>
      <w:r w:rsidR="000F539C" w:rsidRPr="000F539C">
        <w:t>2016 (5) BCLR 656 (CC)</w:t>
      </w:r>
      <w:r w:rsidRPr="00FD0D4A">
        <w:t>.</w:t>
      </w:r>
    </w:p>
  </w:footnote>
  <w:footnote w:id="59">
    <w:p w14:paraId="4806F172" w14:textId="62AC572D" w:rsidR="00A43EBE" w:rsidRPr="00AA0F6D" w:rsidRDefault="00A43EBE" w:rsidP="00215BA8">
      <w:pPr>
        <w:pStyle w:val="FootnoteText"/>
        <w:spacing w:line="240" w:lineRule="auto"/>
        <w:jc w:val="both"/>
      </w:pPr>
      <w:r w:rsidRPr="00FD0D4A">
        <w:rPr>
          <w:rStyle w:val="FootnoteReference"/>
        </w:rPr>
        <w:footnoteRef/>
      </w:r>
      <w:r w:rsidRPr="00FD0D4A">
        <w:t xml:space="preserve"> </w:t>
      </w:r>
      <w:r w:rsidRPr="00AA0F6D">
        <w:t xml:space="preserve">In terms of s 4 of the Act, it is the duty of the owner of the land, wishing to lease or sell a portion of agricultural land to obtain ministerial consent before concluding an agreement: Cf </w:t>
      </w:r>
      <w:r w:rsidRPr="00AA0F6D">
        <w:rPr>
          <w:i/>
          <w:iCs/>
        </w:rPr>
        <w:t>Nuance</w:t>
      </w:r>
      <w:r w:rsidRPr="00AA0F6D">
        <w:t xml:space="preserve"> above n </w:t>
      </w:r>
      <w:r w:rsidR="00E55DB1" w:rsidRPr="00AA0F6D">
        <w:t>2</w:t>
      </w:r>
      <w:r w:rsidRPr="00AA0F6D">
        <w:t xml:space="preserve"> para 14</w:t>
      </w:r>
      <w:r w:rsidR="00FF26C7" w:rsidRPr="00AA0F6D">
        <w:t xml:space="preserve">, in the context of </w:t>
      </w:r>
      <w:r w:rsidR="00025321" w:rsidRPr="00AA0F6D">
        <w:t>a</w:t>
      </w:r>
      <w:r w:rsidR="00FF26C7" w:rsidRPr="00AA0F6D">
        <w:t xml:space="preserve"> seller raising prescription</w:t>
      </w:r>
      <w:r w:rsidR="006A21C4" w:rsidRPr="00AA0F6D">
        <w:t>, as opposed to a purchaser.</w:t>
      </w:r>
      <w:r w:rsidR="00565EC0" w:rsidRPr="00AA0F6D">
        <w:t xml:space="preserve"> </w:t>
      </w:r>
    </w:p>
  </w:footnote>
  <w:footnote w:id="60">
    <w:p w14:paraId="60C73D7E" w14:textId="0AD83DFC" w:rsidR="00250991" w:rsidRPr="00AA0F6D" w:rsidRDefault="00250991" w:rsidP="00215BA8">
      <w:pPr>
        <w:pStyle w:val="FootnoteText"/>
        <w:spacing w:line="240" w:lineRule="auto"/>
        <w:jc w:val="both"/>
      </w:pPr>
      <w:r w:rsidRPr="00FD0D4A">
        <w:rPr>
          <w:rStyle w:val="FootnoteReference"/>
        </w:rPr>
        <w:footnoteRef/>
      </w:r>
      <w:r w:rsidRPr="00FD0D4A">
        <w:t xml:space="preserve"> </w:t>
      </w:r>
      <w:r w:rsidRPr="00AA0F6D">
        <w:t xml:space="preserve">See </w:t>
      </w:r>
      <w:r w:rsidRPr="00AA0F6D">
        <w:rPr>
          <w:i/>
          <w:iCs/>
        </w:rPr>
        <w:t>Claasen v Bester</w:t>
      </w:r>
      <w:r w:rsidRPr="00AA0F6D">
        <w:t xml:space="preserve"> </w:t>
      </w:r>
      <w:r w:rsidR="00B03945" w:rsidRPr="00B03945">
        <w:t>[2011] ZASCA 197</w:t>
      </w:r>
      <w:r w:rsidR="00B03945">
        <w:t xml:space="preserve">; </w:t>
      </w:r>
      <w:r w:rsidRPr="00AA0F6D">
        <w:t>2012 (2) SA 404 (SCA)</w:t>
      </w:r>
      <w:r w:rsidR="004D2917" w:rsidRPr="00AA0F6D">
        <w:t>.</w:t>
      </w:r>
      <w:r w:rsidR="00BE6ABA" w:rsidRPr="00AA0F6D">
        <w:t xml:space="preserve"> Also see </w:t>
      </w:r>
      <w:r w:rsidR="00BE6ABA" w:rsidRPr="00AA0F6D">
        <w:rPr>
          <w:i/>
          <w:iCs/>
        </w:rPr>
        <w:t>Knysna Hotel CC v Coetzee NO</w:t>
      </w:r>
      <w:r w:rsidR="00BE6ABA" w:rsidRPr="00AA0F6D">
        <w:t xml:space="preserve"> </w:t>
      </w:r>
      <w:r w:rsidR="00B03945" w:rsidRPr="00B03945">
        <w:t>[1997] ZASCA 114</w:t>
      </w:r>
      <w:r w:rsidR="00B03945">
        <w:t xml:space="preserve">; </w:t>
      </w:r>
      <w:r w:rsidR="00BE6ABA" w:rsidRPr="00AA0F6D">
        <w:t>1998 (2) SA 743 (SCA)</w:t>
      </w:r>
      <w:r w:rsidR="00B03945">
        <w:t xml:space="preserve">; </w:t>
      </w:r>
      <w:r w:rsidR="00B03945" w:rsidRPr="00B03945">
        <w:t>[1998] 1 All SA 261 (A)</w:t>
      </w:r>
      <w:r w:rsidR="00BE6ABA" w:rsidRPr="00AA0F6D">
        <w:t xml:space="preserve"> at 754B/C</w:t>
      </w:r>
      <w:r w:rsidR="00BC1CFF">
        <w:t>—</w:t>
      </w:r>
      <w:r w:rsidR="00BE6ABA" w:rsidRPr="00AA0F6D">
        <w:t>E</w:t>
      </w:r>
      <w:r w:rsidR="00DE1630" w:rsidRPr="00AA0F6D">
        <w:t>: a formally valid transfer may be challenged on a number of grounds but remains valid until set aside by an order of court.</w:t>
      </w:r>
    </w:p>
  </w:footnote>
  <w:footnote w:id="61">
    <w:p w14:paraId="4DCD8013" w14:textId="70405684" w:rsidR="00F323CD" w:rsidRPr="00215BA8" w:rsidRDefault="00F323CD" w:rsidP="00215BA8">
      <w:pPr>
        <w:pStyle w:val="FootnoteText"/>
        <w:spacing w:line="240" w:lineRule="auto"/>
        <w:jc w:val="both"/>
        <w:rPr>
          <w:lang w:val="en-US"/>
        </w:rPr>
      </w:pPr>
      <w:r w:rsidRPr="00FD0D4A">
        <w:rPr>
          <w:rStyle w:val="FootnoteReference"/>
        </w:rPr>
        <w:footnoteRef/>
      </w:r>
      <w:r w:rsidRPr="00FD0D4A">
        <w:t xml:space="preserve"> </w:t>
      </w:r>
      <w:r w:rsidR="00CD1486" w:rsidRPr="00AA0F6D">
        <w:rPr>
          <w:i/>
          <w:iCs/>
        </w:rPr>
        <w:t xml:space="preserve">Perry NO </w:t>
      </w:r>
      <w:r w:rsidR="0070233C" w:rsidRPr="00AA0F6D">
        <w:t>above n</w:t>
      </w:r>
      <w:r w:rsidR="00CD1486" w:rsidRPr="00AA0F6D">
        <w:t xml:space="preserve"> </w:t>
      </w:r>
      <w:r w:rsidR="0070233C" w:rsidRPr="00AA0F6D">
        <w:t xml:space="preserve">52 </w:t>
      </w:r>
      <w:r w:rsidR="00CD1486" w:rsidRPr="00AA0F6D">
        <w:t>para 23.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Pr="00FD0D4A" w:rsidRDefault="00146BA3" w:rsidP="006F2614">
        <w:pPr>
          <w:pStyle w:val="Header"/>
          <w:framePr w:wrap="none" w:vAnchor="text" w:hAnchor="margin" w:xAlign="right" w:y="1"/>
          <w:rPr>
            <w:rStyle w:val="PageNumber"/>
          </w:rPr>
        </w:pPr>
        <w:r w:rsidRPr="00FD0D4A">
          <w:rPr>
            <w:rStyle w:val="PageNumber"/>
          </w:rPr>
          <w:fldChar w:fldCharType="begin"/>
        </w:r>
        <w:r w:rsidRPr="00FD0D4A">
          <w:rPr>
            <w:rStyle w:val="PageNumber"/>
          </w:rPr>
          <w:instrText xml:space="preserve"> PAGE </w:instrText>
        </w:r>
        <w:r w:rsidRPr="00FD0D4A">
          <w:rPr>
            <w:rStyle w:val="PageNumber"/>
          </w:rPr>
          <w:fldChar w:fldCharType="end"/>
        </w:r>
      </w:p>
    </w:sdtContent>
  </w:sdt>
  <w:p w14:paraId="2674FADB" w14:textId="77777777" w:rsidR="00146BA3" w:rsidRPr="00FD0D4A" w:rsidRDefault="00146BA3" w:rsidP="00146BA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14796027"/>
      <w:docPartObj>
        <w:docPartGallery w:val="Page Numbers (Top of Page)"/>
        <w:docPartUnique/>
      </w:docPartObj>
    </w:sdtPr>
    <w:sdtEndPr>
      <w:rPr>
        <w:rStyle w:val="PageNumber"/>
      </w:rPr>
    </w:sdtEndPr>
    <w:sdtContent>
      <w:p w14:paraId="35370323" w14:textId="0E306E23" w:rsidR="00146BA3" w:rsidRPr="00FD0D4A" w:rsidRDefault="00146BA3" w:rsidP="006F2614">
        <w:pPr>
          <w:pStyle w:val="Header"/>
          <w:framePr w:wrap="none" w:vAnchor="text" w:hAnchor="margin" w:xAlign="right" w:y="1"/>
          <w:rPr>
            <w:rStyle w:val="PageNumber"/>
          </w:rPr>
        </w:pPr>
        <w:r w:rsidRPr="00FD0D4A">
          <w:rPr>
            <w:rStyle w:val="PageNumber"/>
          </w:rPr>
          <w:fldChar w:fldCharType="begin"/>
        </w:r>
        <w:r w:rsidRPr="00FD0D4A">
          <w:rPr>
            <w:rStyle w:val="PageNumber"/>
          </w:rPr>
          <w:instrText xml:space="preserve"> PAGE </w:instrText>
        </w:r>
        <w:r w:rsidRPr="00FD0D4A">
          <w:rPr>
            <w:rStyle w:val="PageNumber"/>
          </w:rPr>
          <w:fldChar w:fldCharType="separate"/>
        </w:r>
        <w:r w:rsidR="00A011F8">
          <w:rPr>
            <w:rStyle w:val="PageNumber"/>
            <w:noProof/>
          </w:rPr>
          <w:t>2</w:t>
        </w:r>
        <w:r w:rsidRPr="00FD0D4A">
          <w:rPr>
            <w:rStyle w:val="PageNumber"/>
          </w:rPr>
          <w:fldChar w:fldCharType="end"/>
        </w:r>
      </w:p>
    </w:sdtContent>
  </w:sdt>
  <w:p w14:paraId="21F7A9BA" w14:textId="77777777" w:rsidR="00146BA3" w:rsidRPr="00FD0D4A" w:rsidRDefault="00146BA3" w:rsidP="00146BA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2283F"/>
    <w:multiLevelType w:val="hybridMultilevel"/>
    <w:tmpl w:val="649E8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9"/>
  </w:num>
  <w:num w:numId="6">
    <w:abstractNumId w:val="7"/>
  </w:num>
  <w:num w:numId="7">
    <w:abstractNumId w:val="11"/>
  </w:num>
  <w:num w:numId="8">
    <w:abstractNumId w:val="1"/>
  </w:num>
  <w:num w:numId="9">
    <w:abstractNumId w:val="6"/>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5F5"/>
    <w:rsid w:val="00000935"/>
    <w:rsid w:val="00000C26"/>
    <w:rsid w:val="00000F33"/>
    <w:rsid w:val="0000141B"/>
    <w:rsid w:val="0000206B"/>
    <w:rsid w:val="0000217A"/>
    <w:rsid w:val="000040B7"/>
    <w:rsid w:val="0000454A"/>
    <w:rsid w:val="00004E1E"/>
    <w:rsid w:val="000052F0"/>
    <w:rsid w:val="00005691"/>
    <w:rsid w:val="00005ABB"/>
    <w:rsid w:val="00005BC2"/>
    <w:rsid w:val="0000642E"/>
    <w:rsid w:val="00006EF3"/>
    <w:rsid w:val="00007087"/>
    <w:rsid w:val="00007904"/>
    <w:rsid w:val="000107AD"/>
    <w:rsid w:val="000109B4"/>
    <w:rsid w:val="00010F20"/>
    <w:rsid w:val="00012A2F"/>
    <w:rsid w:val="00014437"/>
    <w:rsid w:val="00014770"/>
    <w:rsid w:val="00014A87"/>
    <w:rsid w:val="00016052"/>
    <w:rsid w:val="00016FDA"/>
    <w:rsid w:val="00017A8A"/>
    <w:rsid w:val="000220C3"/>
    <w:rsid w:val="00022804"/>
    <w:rsid w:val="000228B4"/>
    <w:rsid w:val="0002300E"/>
    <w:rsid w:val="0002350E"/>
    <w:rsid w:val="0002414B"/>
    <w:rsid w:val="00025321"/>
    <w:rsid w:val="000275C9"/>
    <w:rsid w:val="0002794E"/>
    <w:rsid w:val="00027DA3"/>
    <w:rsid w:val="00030182"/>
    <w:rsid w:val="0003094F"/>
    <w:rsid w:val="00030A25"/>
    <w:rsid w:val="00030F06"/>
    <w:rsid w:val="000323B0"/>
    <w:rsid w:val="000341AF"/>
    <w:rsid w:val="00034B32"/>
    <w:rsid w:val="0003553E"/>
    <w:rsid w:val="00035710"/>
    <w:rsid w:val="0003655B"/>
    <w:rsid w:val="00036BAC"/>
    <w:rsid w:val="0004040E"/>
    <w:rsid w:val="00040F79"/>
    <w:rsid w:val="000422CD"/>
    <w:rsid w:val="00042934"/>
    <w:rsid w:val="000432AD"/>
    <w:rsid w:val="0004347D"/>
    <w:rsid w:val="0004373B"/>
    <w:rsid w:val="00044468"/>
    <w:rsid w:val="00044B50"/>
    <w:rsid w:val="000451D0"/>
    <w:rsid w:val="0004554A"/>
    <w:rsid w:val="00046950"/>
    <w:rsid w:val="00046D66"/>
    <w:rsid w:val="00047035"/>
    <w:rsid w:val="00047840"/>
    <w:rsid w:val="000478E8"/>
    <w:rsid w:val="000501AC"/>
    <w:rsid w:val="0005061D"/>
    <w:rsid w:val="000506CA"/>
    <w:rsid w:val="00050F6B"/>
    <w:rsid w:val="00051F6C"/>
    <w:rsid w:val="000536DD"/>
    <w:rsid w:val="00053860"/>
    <w:rsid w:val="00053D81"/>
    <w:rsid w:val="00054DEC"/>
    <w:rsid w:val="00055C33"/>
    <w:rsid w:val="00056042"/>
    <w:rsid w:val="0005655E"/>
    <w:rsid w:val="00056EA6"/>
    <w:rsid w:val="00056FBA"/>
    <w:rsid w:val="00057450"/>
    <w:rsid w:val="000574BF"/>
    <w:rsid w:val="00062EAE"/>
    <w:rsid w:val="00063188"/>
    <w:rsid w:val="00063C6E"/>
    <w:rsid w:val="00063D5A"/>
    <w:rsid w:val="00065B59"/>
    <w:rsid w:val="00065FA3"/>
    <w:rsid w:val="0007050F"/>
    <w:rsid w:val="0007150E"/>
    <w:rsid w:val="0007234C"/>
    <w:rsid w:val="00073EFC"/>
    <w:rsid w:val="00077178"/>
    <w:rsid w:val="000778A4"/>
    <w:rsid w:val="00080004"/>
    <w:rsid w:val="000803AF"/>
    <w:rsid w:val="00080D4E"/>
    <w:rsid w:val="00081092"/>
    <w:rsid w:val="0008110A"/>
    <w:rsid w:val="000815F5"/>
    <w:rsid w:val="00081F24"/>
    <w:rsid w:val="0008244B"/>
    <w:rsid w:val="00083322"/>
    <w:rsid w:val="00083386"/>
    <w:rsid w:val="000833DB"/>
    <w:rsid w:val="0008387C"/>
    <w:rsid w:val="00084677"/>
    <w:rsid w:val="00084C6F"/>
    <w:rsid w:val="00086278"/>
    <w:rsid w:val="00086A06"/>
    <w:rsid w:val="00087CDF"/>
    <w:rsid w:val="0009015D"/>
    <w:rsid w:val="000910CD"/>
    <w:rsid w:val="00091F8C"/>
    <w:rsid w:val="0009497C"/>
    <w:rsid w:val="00095EAA"/>
    <w:rsid w:val="00096BC1"/>
    <w:rsid w:val="000976CA"/>
    <w:rsid w:val="000A17E5"/>
    <w:rsid w:val="000A43C5"/>
    <w:rsid w:val="000A4550"/>
    <w:rsid w:val="000A554F"/>
    <w:rsid w:val="000A59DC"/>
    <w:rsid w:val="000A6EC0"/>
    <w:rsid w:val="000B087C"/>
    <w:rsid w:val="000B0946"/>
    <w:rsid w:val="000B0DC8"/>
    <w:rsid w:val="000B1670"/>
    <w:rsid w:val="000B1ADC"/>
    <w:rsid w:val="000B26AE"/>
    <w:rsid w:val="000B26CF"/>
    <w:rsid w:val="000B28E3"/>
    <w:rsid w:val="000B3255"/>
    <w:rsid w:val="000B4E63"/>
    <w:rsid w:val="000B5790"/>
    <w:rsid w:val="000B5929"/>
    <w:rsid w:val="000B5FBC"/>
    <w:rsid w:val="000B613D"/>
    <w:rsid w:val="000B6309"/>
    <w:rsid w:val="000B643B"/>
    <w:rsid w:val="000B7830"/>
    <w:rsid w:val="000B78EC"/>
    <w:rsid w:val="000B7B6D"/>
    <w:rsid w:val="000B7E3F"/>
    <w:rsid w:val="000C2D21"/>
    <w:rsid w:val="000C3531"/>
    <w:rsid w:val="000C3620"/>
    <w:rsid w:val="000C385B"/>
    <w:rsid w:val="000C39A5"/>
    <w:rsid w:val="000C450C"/>
    <w:rsid w:val="000C4C72"/>
    <w:rsid w:val="000C7620"/>
    <w:rsid w:val="000C7746"/>
    <w:rsid w:val="000C7A27"/>
    <w:rsid w:val="000C7EB2"/>
    <w:rsid w:val="000D085B"/>
    <w:rsid w:val="000D0D78"/>
    <w:rsid w:val="000D1EF9"/>
    <w:rsid w:val="000D22FB"/>
    <w:rsid w:val="000D3F48"/>
    <w:rsid w:val="000D487F"/>
    <w:rsid w:val="000D4BFA"/>
    <w:rsid w:val="000D4C7F"/>
    <w:rsid w:val="000D667A"/>
    <w:rsid w:val="000D69CE"/>
    <w:rsid w:val="000D6CFA"/>
    <w:rsid w:val="000D7982"/>
    <w:rsid w:val="000E0295"/>
    <w:rsid w:val="000E1C45"/>
    <w:rsid w:val="000E2444"/>
    <w:rsid w:val="000E3E15"/>
    <w:rsid w:val="000E43C2"/>
    <w:rsid w:val="000E4DEB"/>
    <w:rsid w:val="000E4F0D"/>
    <w:rsid w:val="000E5080"/>
    <w:rsid w:val="000E5100"/>
    <w:rsid w:val="000E5B25"/>
    <w:rsid w:val="000E6C18"/>
    <w:rsid w:val="000E7097"/>
    <w:rsid w:val="000E7ECD"/>
    <w:rsid w:val="000F05E0"/>
    <w:rsid w:val="000F1A95"/>
    <w:rsid w:val="000F29F5"/>
    <w:rsid w:val="000F2D1C"/>
    <w:rsid w:val="000F45AC"/>
    <w:rsid w:val="000F539C"/>
    <w:rsid w:val="000F6BFE"/>
    <w:rsid w:val="000F70E0"/>
    <w:rsid w:val="000F7DF4"/>
    <w:rsid w:val="0010068E"/>
    <w:rsid w:val="00100F9A"/>
    <w:rsid w:val="0010218C"/>
    <w:rsid w:val="00102D5B"/>
    <w:rsid w:val="00103CEE"/>
    <w:rsid w:val="001044DB"/>
    <w:rsid w:val="001051BC"/>
    <w:rsid w:val="00105EB6"/>
    <w:rsid w:val="0010622C"/>
    <w:rsid w:val="0010673B"/>
    <w:rsid w:val="00107681"/>
    <w:rsid w:val="001078B5"/>
    <w:rsid w:val="001078BF"/>
    <w:rsid w:val="00107A5F"/>
    <w:rsid w:val="00107F93"/>
    <w:rsid w:val="0011026A"/>
    <w:rsid w:val="00110EF0"/>
    <w:rsid w:val="001114F3"/>
    <w:rsid w:val="001124A5"/>
    <w:rsid w:val="001125AD"/>
    <w:rsid w:val="00114AE4"/>
    <w:rsid w:val="00114BC6"/>
    <w:rsid w:val="00116EB9"/>
    <w:rsid w:val="00120E93"/>
    <w:rsid w:val="00121ADE"/>
    <w:rsid w:val="0012228F"/>
    <w:rsid w:val="001225F2"/>
    <w:rsid w:val="001226DE"/>
    <w:rsid w:val="00123296"/>
    <w:rsid w:val="0012621C"/>
    <w:rsid w:val="0012700C"/>
    <w:rsid w:val="0012733C"/>
    <w:rsid w:val="001276FC"/>
    <w:rsid w:val="00127BB4"/>
    <w:rsid w:val="00130228"/>
    <w:rsid w:val="0013158F"/>
    <w:rsid w:val="0013197C"/>
    <w:rsid w:val="00131984"/>
    <w:rsid w:val="00131A28"/>
    <w:rsid w:val="00132B4B"/>
    <w:rsid w:val="001331F5"/>
    <w:rsid w:val="001337CC"/>
    <w:rsid w:val="001347ED"/>
    <w:rsid w:val="00134C11"/>
    <w:rsid w:val="001352F5"/>
    <w:rsid w:val="00135C81"/>
    <w:rsid w:val="001360C5"/>
    <w:rsid w:val="00137E08"/>
    <w:rsid w:val="0014127C"/>
    <w:rsid w:val="0014183D"/>
    <w:rsid w:val="0014188A"/>
    <w:rsid w:val="00142F79"/>
    <w:rsid w:val="001435EB"/>
    <w:rsid w:val="001436D9"/>
    <w:rsid w:val="00144140"/>
    <w:rsid w:val="00144974"/>
    <w:rsid w:val="001464F3"/>
    <w:rsid w:val="00146BA3"/>
    <w:rsid w:val="00147911"/>
    <w:rsid w:val="00147A7F"/>
    <w:rsid w:val="0015128A"/>
    <w:rsid w:val="001517E0"/>
    <w:rsid w:val="0015385E"/>
    <w:rsid w:val="001568B3"/>
    <w:rsid w:val="00157616"/>
    <w:rsid w:val="00157785"/>
    <w:rsid w:val="00157898"/>
    <w:rsid w:val="00157C19"/>
    <w:rsid w:val="00160EBC"/>
    <w:rsid w:val="00160F58"/>
    <w:rsid w:val="001618D1"/>
    <w:rsid w:val="00163A58"/>
    <w:rsid w:val="00164B7B"/>
    <w:rsid w:val="00166ADB"/>
    <w:rsid w:val="00167DF3"/>
    <w:rsid w:val="00171BFA"/>
    <w:rsid w:val="00172B5C"/>
    <w:rsid w:val="00173547"/>
    <w:rsid w:val="00174996"/>
    <w:rsid w:val="00174B6D"/>
    <w:rsid w:val="001751EB"/>
    <w:rsid w:val="001752F1"/>
    <w:rsid w:val="00175C1E"/>
    <w:rsid w:val="0017614D"/>
    <w:rsid w:val="00177DAB"/>
    <w:rsid w:val="0018006A"/>
    <w:rsid w:val="00180593"/>
    <w:rsid w:val="00180813"/>
    <w:rsid w:val="00180F4E"/>
    <w:rsid w:val="00181339"/>
    <w:rsid w:val="00181923"/>
    <w:rsid w:val="00181AE1"/>
    <w:rsid w:val="00181E7E"/>
    <w:rsid w:val="00182175"/>
    <w:rsid w:val="0018360E"/>
    <w:rsid w:val="00184625"/>
    <w:rsid w:val="001849C7"/>
    <w:rsid w:val="00185A78"/>
    <w:rsid w:val="00185DEB"/>
    <w:rsid w:val="00186769"/>
    <w:rsid w:val="001870AF"/>
    <w:rsid w:val="00187161"/>
    <w:rsid w:val="00190386"/>
    <w:rsid w:val="00191046"/>
    <w:rsid w:val="00191768"/>
    <w:rsid w:val="00192869"/>
    <w:rsid w:val="00192FCC"/>
    <w:rsid w:val="00193338"/>
    <w:rsid w:val="00193C25"/>
    <w:rsid w:val="001940AF"/>
    <w:rsid w:val="001943D2"/>
    <w:rsid w:val="001954F0"/>
    <w:rsid w:val="00195571"/>
    <w:rsid w:val="001955AB"/>
    <w:rsid w:val="001955BB"/>
    <w:rsid w:val="0019614C"/>
    <w:rsid w:val="001965EA"/>
    <w:rsid w:val="00196742"/>
    <w:rsid w:val="00197E36"/>
    <w:rsid w:val="001A0FF9"/>
    <w:rsid w:val="001A3072"/>
    <w:rsid w:val="001A3AE4"/>
    <w:rsid w:val="001A4F33"/>
    <w:rsid w:val="001B0D01"/>
    <w:rsid w:val="001B2578"/>
    <w:rsid w:val="001B2FE4"/>
    <w:rsid w:val="001B505F"/>
    <w:rsid w:val="001B5925"/>
    <w:rsid w:val="001B69E3"/>
    <w:rsid w:val="001B79BD"/>
    <w:rsid w:val="001C04BC"/>
    <w:rsid w:val="001C1162"/>
    <w:rsid w:val="001C2BCC"/>
    <w:rsid w:val="001C2DD7"/>
    <w:rsid w:val="001C309E"/>
    <w:rsid w:val="001C46A3"/>
    <w:rsid w:val="001C48A5"/>
    <w:rsid w:val="001C5230"/>
    <w:rsid w:val="001C7061"/>
    <w:rsid w:val="001D076F"/>
    <w:rsid w:val="001D0962"/>
    <w:rsid w:val="001D214B"/>
    <w:rsid w:val="001D4C5E"/>
    <w:rsid w:val="001D5A9D"/>
    <w:rsid w:val="001D5F83"/>
    <w:rsid w:val="001D61C8"/>
    <w:rsid w:val="001D7534"/>
    <w:rsid w:val="001D7DE9"/>
    <w:rsid w:val="001E0473"/>
    <w:rsid w:val="001E0696"/>
    <w:rsid w:val="001E0F36"/>
    <w:rsid w:val="001E1834"/>
    <w:rsid w:val="001E1B07"/>
    <w:rsid w:val="001E1B88"/>
    <w:rsid w:val="001E24E0"/>
    <w:rsid w:val="001E36CB"/>
    <w:rsid w:val="001E4824"/>
    <w:rsid w:val="001E6197"/>
    <w:rsid w:val="001E640A"/>
    <w:rsid w:val="001E69B2"/>
    <w:rsid w:val="001E6A6E"/>
    <w:rsid w:val="001E701F"/>
    <w:rsid w:val="001E7844"/>
    <w:rsid w:val="001E78D5"/>
    <w:rsid w:val="001E7C8F"/>
    <w:rsid w:val="001F0821"/>
    <w:rsid w:val="001F2276"/>
    <w:rsid w:val="001F335C"/>
    <w:rsid w:val="001F3A41"/>
    <w:rsid w:val="001F59AB"/>
    <w:rsid w:val="00200D0B"/>
    <w:rsid w:val="00201DC6"/>
    <w:rsid w:val="00201F12"/>
    <w:rsid w:val="002037D7"/>
    <w:rsid w:val="0020506C"/>
    <w:rsid w:val="00206D6C"/>
    <w:rsid w:val="00207573"/>
    <w:rsid w:val="002079F3"/>
    <w:rsid w:val="00210FA9"/>
    <w:rsid w:val="002115FE"/>
    <w:rsid w:val="0021255B"/>
    <w:rsid w:val="00212CA4"/>
    <w:rsid w:val="00213565"/>
    <w:rsid w:val="0021430F"/>
    <w:rsid w:val="00215BA8"/>
    <w:rsid w:val="00215EBC"/>
    <w:rsid w:val="0021730A"/>
    <w:rsid w:val="00217399"/>
    <w:rsid w:val="002203EC"/>
    <w:rsid w:val="0022168C"/>
    <w:rsid w:val="00222854"/>
    <w:rsid w:val="0022418D"/>
    <w:rsid w:val="00224363"/>
    <w:rsid w:val="0022594E"/>
    <w:rsid w:val="00225CB4"/>
    <w:rsid w:val="00226444"/>
    <w:rsid w:val="002266C2"/>
    <w:rsid w:val="00226ADA"/>
    <w:rsid w:val="00226B0B"/>
    <w:rsid w:val="00226F1B"/>
    <w:rsid w:val="00227379"/>
    <w:rsid w:val="0023027B"/>
    <w:rsid w:val="00230B10"/>
    <w:rsid w:val="00231325"/>
    <w:rsid w:val="00231589"/>
    <w:rsid w:val="002324CE"/>
    <w:rsid w:val="002327AF"/>
    <w:rsid w:val="00233F4E"/>
    <w:rsid w:val="0023410F"/>
    <w:rsid w:val="00234DC2"/>
    <w:rsid w:val="00235A34"/>
    <w:rsid w:val="0023677B"/>
    <w:rsid w:val="00236B9D"/>
    <w:rsid w:val="0023740C"/>
    <w:rsid w:val="0023768E"/>
    <w:rsid w:val="002378A2"/>
    <w:rsid w:val="00237DED"/>
    <w:rsid w:val="002402F6"/>
    <w:rsid w:val="002422BD"/>
    <w:rsid w:val="00242806"/>
    <w:rsid w:val="00242953"/>
    <w:rsid w:val="00245504"/>
    <w:rsid w:val="00245BEB"/>
    <w:rsid w:val="00247551"/>
    <w:rsid w:val="002501D7"/>
    <w:rsid w:val="00250530"/>
    <w:rsid w:val="0025056A"/>
    <w:rsid w:val="00250991"/>
    <w:rsid w:val="00252FC1"/>
    <w:rsid w:val="002530D7"/>
    <w:rsid w:val="00253273"/>
    <w:rsid w:val="00253799"/>
    <w:rsid w:val="00253D1C"/>
    <w:rsid w:val="0025446F"/>
    <w:rsid w:val="00255293"/>
    <w:rsid w:val="00256208"/>
    <w:rsid w:val="00256A0C"/>
    <w:rsid w:val="00256FCC"/>
    <w:rsid w:val="00257A15"/>
    <w:rsid w:val="002606D8"/>
    <w:rsid w:val="00260A61"/>
    <w:rsid w:val="00260A94"/>
    <w:rsid w:val="00260B67"/>
    <w:rsid w:val="002612A5"/>
    <w:rsid w:val="00261583"/>
    <w:rsid w:val="0026158F"/>
    <w:rsid w:val="002617D8"/>
    <w:rsid w:val="00261AFE"/>
    <w:rsid w:val="00261D8A"/>
    <w:rsid w:val="00262D2A"/>
    <w:rsid w:val="002635B7"/>
    <w:rsid w:val="00263AA3"/>
    <w:rsid w:val="00263B8D"/>
    <w:rsid w:val="0026495C"/>
    <w:rsid w:val="002649CB"/>
    <w:rsid w:val="00265010"/>
    <w:rsid w:val="00265180"/>
    <w:rsid w:val="00265AEB"/>
    <w:rsid w:val="0026634E"/>
    <w:rsid w:val="0026645C"/>
    <w:rsid w:val="00266DA0"/>
    <w:rsid w:val="0027051C"/>
    <w:rsid w:val="002705E9"/>
    <w:rsid w:val="00270CA0"/>
    <w:rsid w:val="002710CE"/>
    <w:rsid w:val="002738DF"/>
    <w:rsid w:val="00273903"/>
    <w:rsid w:val="0027396D"/>
    <w:rsid w:val="00274C64"/>
    <w:rsid w:val="00274D48"/>
    <w:rsid w:val="00275410"/>
    <w:rsid w:val="00275798"/>
    <w:rsid w:val="00275AE0"/>
    <w:rsid w:val="00276100"/>
    <w:rsid w:val="0027706A"/>
    <w:rsid w:val="00277411"/>
    <w:rsid w:val="00277C7A"/>
    <w:rsid w:val="00277EB6"/>
    <w:rsid w:val="00280167"/>
    <w:rsid w:val="002807C5"/>
    <w:rsid w:val="002817C3"/>
    <w:rsid w:val="0028182D"/>
    <w:rsid w:val="0028272E"/>
    <w:rsid w:val="00284532"/>
    <w:rsid w:val="00284E5E"/>
    <w:rsid w:val="002852C4"/>
    <w:rsid w:val="00285664"/>
    <w:rsid w:val="00285F41"/>
    <w:rsid w:val="00287342"/>
    <w:rsid w:val="00287A18"/>
    <w:rsid w:val="00287A26"/>
    <w:rsid w:val="0029003C"/>
    <w:rsid w:val="00290804"/>
    <w:rsid w:val="00290DC6"/>
    <w:rsid w:val="00290E92"/>
    <w:rsid w:val="00291861"/>
    <w:rsid w:val="00291DE0"/>
    <w:rsid w:val="00292A42"/>
    <w:rsid w:val="002936BC"/>
    <w:rsid w:val="0029395B"/>
    <w:rsid w:val="00294129"/>
    <w:rsid w:val="00294313"/>
    <w:rsid w:val="00295EC5"/>
    <w:rsid w:val="002960D0"/>
    <w:rsid w:val="002A00EC"/>
    <w:rsid w:val="002A01B5"/>
    <w:rsid w:val="002A080F"/>
    <w:rsid w:val="002A0D15"/>
    <w:rsid w:val="002A0EB5"/>
    <w:rsid w:val="002A157A"/>
    <w:rsid w:val="002A1950"/>
    <w:rsid w:val="002A19C0"/>
    <w:rsid w:val="002A1D97"/>
    <w:rsid w:val="002A1E2F"/>
    <w:rsid w:val="002A21AF"/>
    <w:rsid w:val="002A2AA4"/>
    <w:rsid w:val="002A36B9"/>
    <w:rsid w:val="002A3836"/>
    <w:rsid w:val="002A38A7"/>
    <w:rsid w:val="002A3AD3"/>
    <w:rsid w:val="002A3C5C"/>
    <w:rsid w:val="002A531C"/>
    <w:rsid w:val="002A5EE2"/>
    <w:rsid w:val="002A61D9"/>
    <w:rsid w:val="002A6332"/>
    <w:rsid w:val="002A6593"/>
    <w:rsid w:val="002A6B82"/>
    <w:rsid w:val="002A73A7"/>
    <w:rsid w:val="002A763B"/>
    <w:rsid w:val="002A7AC1"/>
    <w:rsid w:val="002B0DEA"/>
    <w:rsid w:val="002B31B7"/>
    <w:rsid w:val="002B3FE3"/>
    <w:rsid w:val="002B4197"/>
    <w:rsid w:val="002B4B61"/>
    <w:rsid w:val="002B54B7"/>
    <w:rsid w:val="002B5CE9"/>
    <w:rsid w:val="002B6730"/>
    <w:rsid w:val="002B7874"/>
    <w:rsid w:val="002C1779"/>
    <w:rsid w:val="002C1ECF"/>
    <w:rsid w:val="002C1ED3"/>
    <w:rsid w:val="002C1F6E"/>
    <w:rsid w:val="002C3314"/>
    <w:rsid w:val="002C3A0D"/>
    <w:rsid w:val="002C45D8"/>
    <w:rsid w:val="002C5A45"/>
    <w:rsid w:val="002C7128"/>
    <w:rsid w:val="002C75A7"/>
    <w:rsid w:val="002D0970"/>
    <w:rsid w:val="002D1C26"/>
    <w:rsid w:val="002D1EB8"/>
    <w:rsid w:val="002D25B5"/>
    <w:rsid w:val="002D3A15"/>
    <w:rsid w:val="002D4734"/>
    <w:rsid w:val="002D4CBC"/>
    <w:rsid w:val="002D56E6"/>
    <w:rsid w:val="002D6B1F"/>
    <w:rsid w:val="002D6D70"/>
    <w:rsid w:val="002D7292"/>
    <w:rsid w:val="002E02FB"/>
    <w:rsid w:val="002E0B56"/>
    <w:rsid w:val="002E0CCA"/>
    <w:rsid w:val="002E141A"/>
    <w:rsid w:val="002E179F"/>
    <w:rsid w:val="002E1B95"/>
    <w:rsid w:val="002E2D98"/>
    <w:rsid w:val="002E30FE"/>
    <w:rsid w:val="002E3EC7"/>
    <w:rsid w:val="002E4808"/>
    <w:rsid w:val="002E483E"/>
    <w:rsid w:val="002E6090"/>
    <w:rsid w:val="002E6D7C"/>
    <w:rsid w:val="002E7045"/>
    <w:rsid w:val="002E7199"/>
    <w:rsid w:val="002E7393"/>
    <w:rsid w:val="002E7AB4"/>
    <w:rsid w:val="002E7F55"/>
    <w:rsid w:val="002F012F"/>
    <w:rsid w:val="002F0513"/>
    <w:rsid w:val="002F0990"/>
    <w:rsid w:val="002F0C58"/>
    <w:rsid w:val="002F13D1"/>
    <w:rsid w:val="002F37F8"/>
    <w:rsid w:val="002F4EDB"/>
    <w:rsid w:val="002F60D3"/>
    <w:rsid w:val="002F7293"/>
    <w:rsid w:val="002F7574"/>
    <w:rsid w:val="00300A2D"/>
    <w:rsid w:val="00300A59"/>
    <w:rsid w:val="0030214A"/>
    <w:rsid w:val="00302E78"/>
    <w:rsid w:val="003035F7"/>
    <w:rsid w:val="00306288"/>
    <w:rsid w:val="0030796A"/>
    <w:rsid w:val="003103F6"/>
    <w:rsid w:val="00310B86"/>
    <w:rsid w:val="00311925"/>
    <w:rsid w:val="00312599"/>
    <w:rsid w:val="003140F9"/>
    <w:rsid w:val="003148EA"/>
    <w:rsid w:val="00314B69"/>
    <w:rsid w:val="00314C5D"/>
    <w:rsid w:val="00314C77"/>
    <w:rsid w:val="003150CA"/>
    <w:rsid w:val="00315CB8"/>
    <w:rsid w:val="00315D8D"/>
    <w:rsid w:val="003167B6"/>
    <w:rsid w:val="003168ED"/>
    <w:rsid w:val="00316EC1"/>
    <w:rsid w:val="003172EB"/>
    <w:rsid w:val="003176AD"/>
    <w:rsid w:val="00317AB4"/>
    <w:rsid w:val="00321026"/>
    <w:rsid w:val="0032133B"/>
    <w:rsid w:val="003218F8"/>
    <w:rsid w:val="00321E11"/>
    <w:rsid w:val="003228A7"/>
    <w:rsid w:val="00322E67"/>
    <w:rsid w:val="00323354"/>
    <w:rsid w:val="00323477"/>
    <w:rsid w:val="00324CE8"/>
    <w:rsid w:val="00324FAF"/>
    <w:rsid w:val="00325BD4"/>
    <w:rsid w:val="00325E7A"/>
    <w:rsid w:val="00326A33"/>
    <w:rsid w:val="0032785C"/>
    <w:rsid w:val="00327E36"/>
    <w:rsid w:val="00327E53"/>
    <w:rsid w:val="003304B7"/>
    <w:rsid w:val="00330795"/>
    <w:rsid w:val="00330E85"/>
    <w:rsid w:val="0033219D"/>
    <w:rsid w:val="003339E4"/>
    <w:rsid w:val="00334624"/>
    <w:rsid w:val="00334C27"/>
    <w:rsid w:val="00335693"/>
    <w:rsid w:val="00335712"/>
    <w:rsid w:val="00335897"/>
    <w:rsid w:val="0033634C"/>
    <w:rsid w:val="0033669D"/>
    <w:rsid w:val="003367DD"/>
    <w:rsid w:val="0034206E"/>
    <w:rsid w:val="00343E5D"/>
    <w:rsid w:val="0034439B"/>
    <w:rsid w:val="003455A7"/>
    <w:rsid w:val="00345E50"/>
    <w:rsid w:val="00346650"/>
    <w:rsid w:val="003469BB"/>
    <w:rsid w:val="003479B5"/>
    <w:rsid w:val="00350743"/>
    <w:rsid w:val="00350A47"/>
    <w:rsid w:val="00350EE0"/>
    <w:rsid w:val="003513CA"/>
    <w:rsid w:val="00351FAC"/>
    <w:rsid w:val="003529AF"/>
    <w:rsid w:val="00353652"/>
    <w:rsid w:val="00353DAD"/>
    <w:rsid w:val="003564CA"/>
    <w:rsid w:val="0035756C"/>
    <w:rsid w:val="00357751"/>
    <w:rsid w:val="00357798"/>
    <w:rsid w:val="00357B51"/>
    <w:rsid w:val="003601F1"/>
    <w:rsid w:val="00360257"/>
    <w:rsid w:val="00360BFC"/>
    <w:rsid w:val="003618FC"/>
    <w:rsid w:val="00361923"/>
    <w:rsid w:val="00361FD3"/>
    <w:rsid w:val="00362A40"/>
    <w:rsid w:val="00363BF3"/>
    <w:rsid w:val="003649E8"/>
    <w:rsid w:val="00366631"/>
    <w:rsid w:val="00367616"/>
    <w:rsid w:val="003679D5"/>
    <w:rsid w:val="00367B79"/>
    <w:rsid w:val="003700BB"/>
    <w:rsid w:val="0037015D"/>
    <w:rsid w:val="0037217E"/>
    <w:rsid w:val="003722BD"/>
    <w:rsid w:val="00373BB6"/>
    <w:rsid w:val="00373D71"/>
    <w:rsid w:val="00373ECE"/>
    <w:rsid w:val="00374F02"/>
    <w:rsid w:val="00375614"/>
    <w:rsid w:val="00377F75"/>
    <w:rsid w:val="00380E60"/>
    <w:rsid w:val="003811FA"/>
    <w:rsid w:val="00381483"/>
    <w:rsid w:val="00381C36"/>
    <w:rsid w:val="00381D62"/>
    <w:rsid w:val="0038271E"/>
    <w:rsid w:val="00382ADF"/>
    <w:rsid w:val="00385E36"/>
    <w:rsid w:val="003864A5"/>
    <w:rsid w:val="003869D5"/>
    <w:rsid w:val="00390432"/>
    <w:rsid w:val="003905B9"/>
    <w:rsid w:val="0039206E"/>
    <w:rsid w:val="00392A4B"/>
    <w:rsid w:val="00392AA2"/>
    <w:rsid w:val="00393BA3"/>
    <w:rsid w:val="00394350"/>
    <w:rsid w:val="0039527F"/>
    <w:rsid w:val="00395A4A"/>
    <w:rsid w:val="00395A71"/>
    <w:rsid w:val="0039682A"/>
    <w:rsid w:val="0039699B"/>
    <w:rsid w:val="003A37F4"/>
    <w:rsid w:val="003A38A5"/>
    <w:rsid w:val="003A4F1D"/>
    <w:rsid w:val="003A4F95"/>
    <w:rsid w:val="003A679F"/>
    <w:rsid w:val="003A6F71"/>
    <w:rsid w:val="003A7052"/>
    <w:rsid w:val="003A72A2"/>
    <w:rsid w:val="003A745C"/>
    <w:rsid w:val="003A7AA6"/>
    <w:rsid w:val="003A7BAA"/>
    <w:rsid w:val="003B01D4"/>
    <w:rsid w:val="003B10EC"/>
    <w:rsid w:val="003B1570"/>
    <w:rsid w:val="003B15C9"/>
    <w:rsid w:val="003B21BF"/>
    <w:rsid w:val="003B254C"/>
    <w:rsid w:val="003B2A2D"/>
    <w:rsid w:val="003B3358"/>
    <w:rsid w:val="003B3C31"/>
    <w:rsid w:val="003B43B8"/>
    <w:rsid w:val="003B5FEE"/>
    <w:rsid w:val="003B7471"/>
    <w:rsid w:val="003B76D9"/>
    <w:rsid w:val="003C02BE"/>
    <w:rsid w:val="003C0CEB"/>
    <w:rsid w:val="003C2226"/>
    <w:rsid w:val="003C2B0E"/>
    <w:rsid w:val="003C2EF2"/>
    <w:rsid w:val="003C351A"/>
    <w:rsid w:val="003C3BC6"/>
    <w:rsid w:val="003C5934"/>
    <w:rsid w:val="003C7080"/>
    <w:rsid w:val="003D0718"/>
    <w:rsid w:val="003D077F"/>
    <w:rsid w:val="003D08A3"/>
    <w:rsid w:val="003D10FC"/>
    <w:rsid w:val="003D11D0"/>
    <w:rsid w:val="003D239A"/>
    <w:rsid w:val="003D2C74"/>
    <w:rsid w:val="003D5245"/>
    <w:rsid w:val="003D5507"/>
    <w:rsid w:val="003D5A10"/>
    <w:rsid w:val="003D5E6D"/>
    <w:rsid w:val="003D7199"/>
    <w:rsid w:val="003D776B"/>
    <w:rsid w:val="003D7CB9"/>
    <w:rsid w:val="003E0F7C"/>
    <w:rsid w:val="003E109F"/>
    <w:rsid w:val="003E2B73"/>
    <w:rsid w:val="003E2F03"/>
    <w:rsid w:val="003E3BBF"/>
    <w:rsid w:val="003E424A"/>
    <w:rsid w:val="003E52DA"/>
    <w:rsid w:val="003E5BB2"/>
    <w:rsid w:val="003E75F3"/>
    <w:rsid w:val="003F0A9B"/>
    <w:rsid w:val="003F0D9E"/>
    <w:rsid w:val="003F1974"/>
    <w:rsid w:val="003F1E28"/>
    <w:rsid w:val="003F2109"/>
    <w:rsid w:val="003F2790"/>
    <w:rsid w:val="003F2F5E"/>
    <w:rsid w:val="003F2F70"/>
    <w:rsid w:val="003F50FF"/>
    <w:rsid w:val="003F5900"/>
    <w:rsid w:val="003F6355"/>
    <w:rsid w:val="003F6AA7"/>
    <w:rsid w:val="003F78D8"/>
    <w:rsid w:val="00400266"/>
    <w:rsid w:val="00401A9A"/>
    <w:rsid w:val="004020B5"/>
    <w:rsid w:val="00402EEA"/>
    <w:rsid w:val="00403E53"/>
    <w:rsid w:val="00404201"/>
    <w:rsid w:val="004046F1"/>
    <w:rsid w:val="00404B13"/>
    <w:rsid w:val="00405CEF"/>
    <w:rsid w:val="00406337"/>
    <w:rsid w:val="00406A00"/>
    <w:rsid w:val="004074B3"/>
    <w:rsid w:val="004075EA"/>
    <w:rsid w:val="004101E9"/>
    <w:rsid w:val="00410922"/>
    <w:rsid w:val="00410C82"/>
    <w:rsid w:val="0041108E"/>
    <w:rsid w:val="004121EA"/>
    <w:rsid w:val="00412DF2"/>
    <w:rsid w:val="00412F12"/>
    <w:rsid w:val="0041352D"/>
    <w:rsid w:val="004138F5"/>
    <w:rsid w:val="00413D22"/>
    <w:rsid w:val="00413DB3"/>
    <w:rsid w:val="0041424F"/>
    <w:rsid w:val="00414C90"/>
    <w:rsid w:val="00414E18"/>
    <w:rsid w:val="004162BE"/>
    <w:rsid w:val="00416446"/>
    <w:rsid w:val="004165B0"/>
    <w:rsid w:val="004165D6"/>
    <w:rsid w:val="0042037E"/>
    <w:rsid w:val="0042163E"/>
    <w:rsid w:val="00421C74"/>
    <w:rsid w:val="00422777"/>
    <w:rsid w:val="00423163"/>
    <w:rsid w:val="004244A5"/>
    <w:rsid w:val="00424A4A"/>
    <w:rsid w:val="00427318"/>
    <w:rsid w:val="004276CD"/>
    <w:rsid w:val="0042778E"/>
    <w:rsid w:val="00427843"/>
    <w:rsid w:val="004302B6"/>
    <w:rsid w:val="0043064C"/>
    <w:rsid w:val="0043230A"/>
    <w:rsid w:val="0043511C"/>
    <w:rsid w:val="00435538"/>
    <w:rsid w:val="00437E88"/>
    <w:rsid w:val="00440672"/>
    <w:rsid w:val="0044068F"/>
    <w:rsid w:val="00440D52"/>
    <w:rsid w:val="00441D80"/>
    <w:rsid w:val="00441E70"/>
    <w:rsid w:val="004429F0"/>
    <w:rsid w:val="00442C91"/>
    <w:rsid w:val="004436EE"/>
    <w:rsid w:val="00443779"/>
    <w:rsid w:val="00443CCC"/>
    <w:rsid w:val="004441E4"/>
    <w:rsid w:val="004448E8"/>
    <w:rsid w:val="004449E9"/>
    <w:rsid w:val="0044598F"/>
    <w:rsid w:val="004474FB"/>
    <w:rsid w:val="00451FDC"/>
    <w:rsid w:val="00451FE3"/>
    <w:rsid w:val="00452514"/>
    <w:rsid w:val="004528CC"/>
    <w:rsid w:val="004529C3"/>
    <w:rsid w:val="00452CFC"/>
    <w:rsid w:val="004536DF"/>
    <w:rsid w:val="0045608B"/>
    <w:rsid w:val="0045638F"/>
    <w:rsid w:val="004571CA"/>
    <w:rsid w:val="00457E0E"/>
    <w:rsid w:val="004644C2"/>
    <w:rsid w:val="00465028"/>
    <w:rsid w:val="004652FD"/>
    <w:rsid w:val="004657F4"/>
    <w:rsid w:val="00466079"/>
    <w:rsid w:val="00466979"/>
    <w:rsid w:val="00466D17"/>
    <w:rsid w:val="00467E20"/>
    <w:rsid w:val="00470FD2"/>
    <w:rsid w:val="004718E1"/>
    <w:rsid w:val="0047210D"/>
    <w:rsid w:val="00472A4C"/>
    <w:rsid w:val="00472B05"/>
    <w:rsid w:val="00472E85"/>
    <w:rsid w:val="00473068"/>
    <w:rsid w:val="004735D5"/>
    <w:rsid w:val="0047556B"/>
    <w:rsid w:val="00475C2D"/>
    <w:rsid w:val="004764D3"/>
    <w:rsid w:val="0047651C"/>
    <w:rsid w:val="00477226"/>
    <w:rsid w:val="00477992"/>
    <w:rsid w:val="004802DE"/>
    <w:rsid w:val="004813E8"/>
    <w:rsid w:val="0048236E"/>
    <w:rsid w:val="004827F3"/>
    <w:rsid w:val="004829F2"/>
    <w:rsid w:val="004834D8"/>
    <w:rsid w:val="00485FAE"/>
    <w:rsid w:val="00486114"/>
    <w:rsid w:val="004863E4"/>
    <w:rsid w:val="00487264"/>
    <w:rsid w:val="00487674"/>
    <w:rsid w:val="00490D2A"/>
    <w:rsid w:val="0049105D"/>
    <w:rsid w:val="004918C4"/>
    <w:rsid w:val="004932A2"/>
    <w:rsid w:val="00495342"/>
    <w:rsid w:val="00496336"/>
    <w:rsid w:val="00496E8C"/>
    <w:rsid w:val="00496EAA"/>
    <w:rsid w:val="00497FDD"/>
    <w:rsid w:val="004A00B9"/>
    <w:rsid w:val="004A08D7"/>
    <w:rsid w:val="004A2B8E"/>
    <w:rsid w:val="004A45E6"/>
    <w:rsid w:val="004A5151"/>
    <w:rsid w:val="004A5D2A"/>
    <w:rsid w:val="004A5DB1"/>
    <w:rsid w:val="004A687F"/>
    <w:rsid w:val="004A7359"/>
    <w:rsid w:val="004A7387"/>
    <w:rsid w:val="004B13FB"/>
    <w:rsid w:val="004B3161"/>
    <w:rsid w:val="004B5BAF"/>
    <w:rsid w:val="004B5CB4"/>
    <w:rsid w:val="004B5D69"/>
    <w:rsid w:val="004B632A"/>
    <w:rsid w:val="004B6ED2"/>
    <w:rsid w:val="004B7E82"/>
    <w:rsid w:val="004C06AD"/>
    <w:rsid w:val="004C0946"/>
    <w:rsid w:val="004C0C08"/>
    <w:rsid w:val="004C13CF"/>
    <w:rsid w:val="004C27BE"/>
    <w:rsid w:val="004C3075"/>
    <w:rsid w:val="004C3C35"/>
    <w:rsid w:val="004C5FC7"/>
    <w:rsid w:val="004C60B5"/>
    <w:rsid w:val="004C7EB2"/>
    <w:rsid w:val="004D0163"/>
    <w:rsid w:val="004D0173"/>
    <w:rsid w:val="004D0AC5"/>
    <w:rsid w:val="004D1904"/>
    <w:rsid w:val="004D19EB"/>
    <w:rsid w:val="004D1AAF"/>
    <w:rsid w:val="004D1E32"/>
    <w:rsid w:val="004D2917"/>
    <w:rsid w:val="004D2A35"/>
    <w:rsid w:val="004D3210"/>
    <w:rsid w:val="004D35C6"/>
    <w:rsid w:val="004D4F8E"/>
    <w:rsid w:val="004D4FA2"/>
    <w:rsid w:val="004D6367"/>
    <w:rsid w:val="004E06B4"/>
    <w:rsid w:val="004E0749"/>
    <w:rsid w:val="004E1570"/>
    <w:rsid w:val="004E189A"/>
    <w:rsid w:val="004E1A28"/>
    <w:rsid w:val="004E2076"/>
    <w:rsid w:val="004E2574"/>
    <w:rsid w:val="004E2F8E"/>
    <w:rsid w:val="004E318F"/>
    <w:rsid w:val="004E3A23"/>
    <w:rsid w:val="004E490D"/>
    <w:rsid w:val="004E5050"/>
    <w:rsid w:val="004E5A0A"/>
    <w:rsid w:val="004E5E71"/>
    <w:rsid w:val="004E6694"/>
    <w:rsid w:val="004E6764"/>
    <w:rsid w:val="004E791F"/>
    <w:rsid w:val="004F0176"/>
    <w:rsid w:val="004F021C"/>
    <w:rsid w:val="004F1757"/>
    <w:rsid w:val="004F1D20"/>
    <w:rsid w:val="004F2E89"/>
    <w:rsid w:val="004F326C"/>
    <w:rsid w:val="004F38A6"/>
    <w:rsid w:val="004F444A"/>
    <w:rsid w:val="004F4747"/>
    <w:rsid w:val="004F4FB1"/>
    <w:rsid w:val="004F5575"/>
    <w:rsid w:val="004F595F"/>
    <w:rsid w:val="004F73FF"/>
    <w:rsid w:val="004F79D9"/>
    <w:rsid w:val="00500547"/>
    <w:rsid w:val="00500D6E"/>
    <w:rsid w:val="005014BC"/>
    <w:rsid w:val="0050151F"/>
    <w:rsid w:val="00501617"/>
    <w:rsid w:val="00502229"/>
    <w:rsid w:val="005030DE"/>
    <w:rsid w:val="00504BCF"/>
    <w:rsid w:val="00505E60"/>
    <w:rsid w:val="005061C4"/>
    <w:rsid w:val="0050634D"/>
    <w:rsid w:val="005069BA"/>
    <w:rsid w:val="005078B2"/>
    <w:rsid w:val="005079C1"/>
    <w:rsid w:val="00507BBF"/>
    <w:rsid w:val="00511260"/>
    <w:rsid w:val="00511565"/>
    <w:rsid w:val="00511705"/>
    <w:rsid w:val="0051172C"/>
    <w:rsid w:val="00511D4C"/>
    <w:rsid w:val="0051380C"/>
    <w:rsid w:val="005138CD"/>
    <w:rsid w:val="00514878"/>
    <w:rsid w:val="005149C7"/>
    <w:rsid w:val="00514B1C"/>
    <w:rsid w:val="00514C36"/>
    <w:rsid w:val="0051619E"/>
    <w:rsid w:val="0051706E"/>
    <w:rsid w:val="00517207"/>
    <w:rsid w:val="00520D77"/>
    <w:rsid w:val="00520E7F"/>
    <w:rsid w:val="00523DBC"/>
    <w:rsid w:val="005244E9"/>
    <w:rsid w:val="005249E3"/>
    <w:rsid w:val="00525D8C"/>
    <w:rsid w:val="00525DF3"/>
    <w:rsid w:val="0053019E"/>
    <w:rsid w:val="00530509"/>
    <w:rsid w:val="00532080"/>
    <w:rsid w:val="005322CB"/>
    <w:rsid w:val="00532E05"/>
    <w:rsid w:val="00537853"/>
    <w:rsid w:val="00537A77"/>
    <w:rsid w:val="005407E4"/>
    <w:rsid w:val="00540F2D"/>
    <w:rsid w:val="00541F84"/>
    <w:rsid w:val="00545009"/>
    <w:rsid w:val="00545140"/>
    <w:rsid w:val="00545668"/>
    <w:rsid w:val="005462E0"/>
    <w:rsid w:val="005463BA"/>
    <w:rsid w:val="0055098F"/>
    <w:rsid w:val="005517B9"/>
    <w:rsid w:val="00552CE8"/>
    <w:rsid w:val="00553708"/>
    <w:rsid w:val="00553E7D"/>
    <w:rsid w:val="005542BD"/>
    <w:rsid w:val="00554EE2"/>
    <w:rsid w:val="00555AB0"/>
    <w:rsid w:val="00556489"/>
    <w:rsid w:val="00556EDA"/>
    <w:rsid w:val="00556FC7"/>
    <w:rsid w:val="005573D6"/>
    <w:rsid w:val="0056029F"/>
    <w:rsid w:val="00560862"/>
    <w:rsid w:val="00564230"/>
    <w:rsid w:val="0056487C"/>
    <w:rsid w:val="0056509F"/>
    <w:rsid w:val="00565211"/>
    <w:rsid w:val="00565326"/>
    <w:rsid w:val="0056537C"/>
    <w:rsid w:val="00565EC0"/>
    <w:rsid w:val="00566000"/>
    <w:rsid w:val="00567C77"/>
    <w:rsid w:val="005700B8"/>
    <w:rsid w:val="005703D6"/>
    <w:rsid w:val="005705CF"/>
    <w:rsid w:val="00570A0D"/>
    <w:rsid w:val="00571026"/>
    <w:rsid w:val="005710BD"/>
    <w:rsid w:val="00571F2C"/>
    <w:rsid w:val="005754FC"/>
    <w:rsid w:val="00575F9C"/>
    <w:rsid w:val="00576979"/>
    <w:rsid w:val="00577D50"/>
    <w:rsid w:val="00580D85"/>
    <w:rsid w:val="005813AC"/>
    <w:rsid w:val="00581598"/>
    <w:rsid w:val="00583353"/>
    <w:rsid w:val="00583484"/>
    <w:rsid w:val="0058354A"/>
    <w:rsid w:val="00584BA7"/>
    <w:rsid w:val="00585250"/>
    <w:rsid w:val="005856D9"/>
    <w:rsid w:val="005857B7"/>
    <w:rsid w:val="00586CFB"/>
    <w:rsid w:val="00587BB6"/>
    <w:rsid w:val="00587D29"/>
    <w:rsid w:val="00591072"/>
    <w:rsid w:val="005934B8"/>
    <w:rsid w:val="00594C9D"/>
    <w:rsid w:val="00595C65"/>
    <w:rsid w:val="005964E5"/>
    <w:rsid w:val="00596894"/>
    <w:rsid w:val="005969E2"/>
    <w:rsid w:val="00597705"/>
    <w:rsid w:val="005A030F"/>
    <w:rsid w:val="005A2449"/>
    <w:rsid w:val="005A2601"/>
    <w:rsid w:val="005A2C31"/>
    <w:rsid w:val="005A2C73"/>
    <w:rsid w:val="005A3E4D"/>
    <w:rsid w:val="005A4FC0"/>
    <w:rsid w:val="005A5931"/>
    <w:rsid w:val="005A5F50"/>
    <w:rsid w:val="005A6995"/>
    <w:rsid w:val="005A71F7"/>
    <w:rsid w:val="005B1333"/>
    <w:rsid w:val="005B1872"/>
    <w:rsid w:val="005B1CD9"/>
    <w:rsid w:val="005B2911"/>
    <w:rsid w:val="005B38E9"/>
    <w:rsid w:val="005B5A72"/>
    <w:rsid w:val="005B5E35"/>
    <w:rsid w:val="005B649F"/>
    <w:rsid w:val="005B6F4A"/>
    <w:rsid w:val="005B7922"/>
    <w:rsid w:val="005B7CEE"/>
    <w:rsid w:val="005C05E8"/>
    <w:rsid w:val="005C1439"/>
    <w:rsid w:val="005C15DC"/>
    <w:rsid w:val="005C1DEC"/>
    <w:rsid w:val="005C28AE"/>
    <w:rsid w:val="005C36E4"/>
    <w:rsid w:val="005C4FDA"/>
    <w:rsid w:val="005C5C47"/>
    <w:rsid w:val="005C634B"/>
    <w:rsid w:val="005C6A41"/>
    <w:rsid w:val="005C7428"/>
    <w:rsid w:val="005D0320"/>
    <w:rsid w:val="005D0B78"/>
    <w:rsid w:val="005D1EEE"/>
    <w:rsid w:val="005D25D6"/>
    <w:rsid w:val="005D3407"/>
    <w:rsid w:val="005D3941"/>
    <w:rsid w:val="005D411A"/>
    <w:rsid w:val="005D47C3"/>
    <w:rsid w:val="005D505B"/>
    <w:rsid w:val="005D5E9D"/>
    <w:rsid w:val="005D5F0D"/>
    <w:rsid w:val="005D62FD"/>
    <w:rsid w:val="005D6A52"/>
    <w:rsid w:val="005D6BF3"/>
    <w:rsid w:val="005D6D77"/>
    <w:rsid w:val="005D785B"/>
    <w:rsid w:val="005E0431"/>
    <w:rsid w:val="005E24AD"/>
    <w:rsid w:val="005E2F30"/>
    <w:rsid w:val="005E3541"/>
    <w:rsid w:val="005E411E"/>
    <w:rsid w:val="005E560B"/>
    <w:rsid w:val="005E5B46"/>
    <w:rsid w:val="005E601A"/>
    <w:rsid w:val="005E700A"/>
    <w:rsid w:val="005F03D5"/>
    <w:rsid w:val="005F04A5"/>
    <w:rsid w:val="005F0C0F"/>
    <w:rsid w:val="005F0E45"/>
    <w:rsid w:val="005F158C"/>
    <w:rsid w:val="005F236B"/>
    <w:rsid w:val="005F2AEB"/>
    <w:rsid w:val="005F3909"/>
    <w:rsid w:val="005F3C13"/>
    <w:rsid w:val="005F42AA"/>
    <w:rsid w:val="005F69C3"/>
    <w:rsid w:val="005F6D85"/>
    <w:rsid w:val="005F6E96"/>
    <w:rsid w:val="005F77BC"/>
    <w:rsid w:val="0060023C"/>
    <w:rsid w:val="00600269"/>
    <w:rsid w:val="0060138F"/>
    <w:rsid w:val="0060391E"/>
    <w:rsid w:val="0060443D"/>
    <w:rsid w:val="0060486E"/>
    <w:rsid w:val="00604B4C"/>
    <w:rsid w:val="00604CBB"/>
    <w:rsid w:val="006052BC"/>
    <w:rsid w:val="006062FB"/>
    <w:rsid w:val="00606867"/>
    <w:rsid w:val="00607419"/>
    <w:rsid w:val="006076FD"/>
    <w:rsid w:val="006078E8"/>
    <w:rsid w:val="00607C1A"/>
    <w:rsid w:val="006101AF"/>
    <w:rsid w:val="006122EE"/>
    <w:rsid w:val="00612393"/>
    <w:rsid w:val="00612ACF"/>
    <w:rsid w:val="00613C65"/>
    <w:rsid w:val="00613E36"/>
    <w:rsid w:val="00614A7A"/>
    <w:rsid w:val="00616B35"/>
    <w:rsid w:val="0061740C"/>
    <w:rsid w:val="00617A30"/>
    <w:rsid w:val="00617AB2"/>
    <w:rsid w:val="00617F99"/>
    <w:rsid w:val="006215E6"/>
    <w:rsid w:val="00621B4B"/>
    <w:rsid w:val="006232F1"/>
    <w:rsid w:val="0062334D"/>
    <w:rsid w:val="006238F7"/>
    <w:rsid w:val="00623DDE"/>
    <w:rsid w:val="00624695"/>
    <w:rsid w:val="006249C3"/>
    <w:rsid w:val="00625CE5"/>
    <w:rsid w:val="00625D2D"/>
    <w:rsid w:val="00627084"/>
    <w:rsid w:val="006271A4"/>
    <w:rsid w:val="0062753E"/>
    <w:rsid w:val="00630138"/>
    <w:rsid w:val="006313FC"/>
    <w:rsid w:val="0063187F"/>
    <w:rsid w:val="00632158"/>
    <w:rsid w:val="006332F2"/>
    <w:rsid w:val="006340C1"/>
    <w:rsid w:val="00634B17"/>
    <w:rsid w:val="0063513F"/>
    <w:rsid w:val="00637A17"/>
    <w:rsid w:val="00637BFB"/>
    <w:rsid w:val="00641035"/>
    <w:rsid w:val="00641661"/>
    <w:rsid w:val="00642504"/>
    <w:rsid w:val="00644FB0"/>
    <w:rsid w:val="0064546D"/>
    <w:rsid w:val="00646EC5"/>
    <w:rsid w:val="006476E6"/>
    <w:rsid w:val="00650EE2"/>
    <w:rsid w:val="006511A4"/>
    <w:rsid w:val="0065138C"/>
    <w:rsid w:val="006513E2"/>
    <w:rsid w:val="00651916"/>
    <w:rsid w:val="00651DE7"/>
    <w:rsid w:val="0065251B"/>
    <w:rsid w:val="006531C9"/>
    <w:rsid w:val="006535E1"/>
    <w:rsid w:val="00653D0A"/>
    <w:rsid w:val="00654F5C"/>
    <w:rsid w:val="0065508A"/>
    <w:rsid w:val="006573F7"/>
    <w:rsid w:val="0065748F"/>
    <w:rsid w:val="006574D6"/>
    <w:rsid w:val="006577BB"/>
    <w:rsid w:val="0066025E"/>
    <w:rsid w:val="00660FF6"/>
    <w:rsid w:val="00661D64"/>
    <w:rsid w:val="006625FF"/>
    <w:rsid w:val="00662682"/>
    <w:rsid w:val="00662877"/>
    <w:rsid w:val="00662967"/>
    <w:rsid w:val="00663031"/>
    <w:rsid w:val="006632F2"/>
    <w:rsid w:val="006639A0"/>
    <w:rsid w:val="00663D7F"/>
    <w:rsid w:val="00664CD0"/>
    <w:rsid w:val="00665D94"/>
    <w:rsid w:val="00665EB5"/>
    <w:rsid w:val="006668FE"/>
    <w:rsid w:val="00666E6A"/>
    <w:rsid w:val="00667591"/>
    <w:rsid w:val="00667635"/>
    <w:rsid w:val="00667F9F"/>
    <w:rsid w:val="006710E7"/>
    <w:rsid w:val="00671258"/>
    <w:rsid w:val="00671A0B"/>
    <w:rsid w:val="0067210D"/>
    <w:rsid w:val="006734D0"/>
    <w:rsid w:val="00675C81"/>
    <w:rsid w:val="0067605E"/>
    <w:rsid w:val="00676216"/>
    <w:rsid w:val="0068034D"/>
    <w:rsid w:val="00681152"/>
    <w:rsid w:val="00681C4C"/>
    <w:rsid w:val="00682987"/>
    <w:rsid w:val="00682CE5"/>
    <w:rsid w:val="0068311A"/>
    <w:rsid w:val="006841DC"/>
    <w:rsid w:val="0068453A"/>
    <w:rsid w:val="0068468E"/>
    <w:rsid w:val="00684FA2"/>
    <w:rsid w:val="00685DAD"/>
    <w:rsid w:val="0068615D"/>
    <w:rsid w:val="0068675A"/>
    <w:rsid w:val="0069106B"/>
    <w:rsid w:val="00691634"/>
    <w:rsid w:val="00691AF2"/>
    <w:rsid w:val="00691CB2"/>
    <w:rsid w:val="006939CB"/>
    <w:rsid w:val="0069408D"/>
    <w:rsid w:val="00694527"/>
    <w:rsid w:val="0069550C"/>
    <w:rsid w:val="00696399"/>
    <w:rsid w:val="00697465"/>
    <w:rsid w:val="00697CC7"/>
    <w:rsid w:val="00697D69"/>
    <w:rsid w:val="00697EB1"/>
    <w:rsid w:val="006A21C4"/>
    <w:rsid w:val="006A2310"/>
    <w:rsid w:val="006A2706"/>
    <w:rsid w:val="006A478A"/>
    <w:rsid w:val="006A498B"/>
    <w:rsid w:val="006A4D0B"/>
    <w:rsid w:val="006A5ECF"/>
    <w:rsid w:val="006A7DA6"/>
    <w:rsid w:val="006B150C"/>
    <w:rsid w:val="006B1DCE"/>
    <w:rsid w:val="006B2337"/>
    <w:rsid w:val="006B42B2"/>
    <w:rsid w:val="006B5654"/>
    <w:rsid w:val="006B6180"/>
    <w:rsid w:val="006B692B"/>
    <w:rsid w:val="006B7767"/>
    <w:rsid w:val="006C177A"/>
    <w:rsid w:val="006C1B13"/>
    <w:rsid w:val="006C32C4"/>
    <w:rsid w:val="006C3CFF"/>
    <w:rsid w:val="006C4D5A"/>
    <w:rsid w:val="006C5087"/>
    <w:rsid w:val="006C7877"/>
    <w:rsid w:val="006D0221"/>
    <w:rsid w:val="006D067F"/>
    <w:rsid w:val="006D07FB"/>
    <w:rsid w:val="006D18FD"/>
    <w:rsid w:val="006D2CC1"/>
    <w:rsid w:val="006D5A67"/>
    <w:rsid w:val="006D762E"/>
    <w:rsid w:val="006D7DFD"/>
    <w:rsid w:val="006E0E28"/>
    <w:rsid w:val="006E16D1"/>
    <w:rsid w:val="006E28B2"/>
    <w:rsid w:val="006E2B6D"/>
    <w:rsid w:val="006E3BE4"/>
    <w:rsid w:val="006E3C88"/>
    <w:rsid w:val="006E44FE"/>
    <w:rsid w:val="006E4C1C"/>
    <w:rsid w:val="006E4D6B"/>
    <w:rsid w:val="006E6BC1"/>
    <w:rsid w:val="006F09D8"/>
    <w:rsid w:val="006F1624"/>
    <w:rsid w:val="006F21C5"/>
    <w:rsid w:val="006F3052"/>
    <w:rsid w:val="006F31BD"/>
    <w:rsid w:val="006F3259"/>
    <w:rsid w:val="006F3C00"/>
    <w:rsid w:val="006F4885"/>
    <w:rsid w:val="006F749A"/>
    <w:rsid w:val="006F78DB"/>
    <w:rsid w:val="0070233C"/>
    <w:rsid w:val="00702BA5"/>
    <w:rsid w:val="00702C42"/>
    <w:rsid w:val="0070389B"/>
    <w:rsid w:val="007041C7"/>
    <w:rsid w:val="00704A2E"/>
    <w:rsid w:val="00704CF2"/>
    <w:rsid w:val="007052CF"/>
    <w:rsid w:val="007057AB"/>
    <w:rsid w:val="0070591B"/>
    <w:rsid w:val="00705F57"/>
    <w:rsid w:val="00707343"/>
    <w:rsid w:val="007073FB"/>
    <w:rsid w:val="0071002C"/>
    <w:rsid w:val="00710290"/>
    <w:rsid w:val="00710C28"/>
    <w:rsid w:val="00711C08"/>
    <w:rsid w:val="00711CC1"/>
    <w:rsid w:val="00712EB6"/>
    <w:rsid w:val="00712ED3"/>
    <w:rsid w:val="00714697"/>
    <w:rsid w:val="00714806"/>
    <w:rsid w:val="00714C9E"/>
    <w:rsid w:val="00715651"/>
    <w:rsid w:val="00717903"/>
    <w:rsid w:val="00717B10"/>
    <w:rsid w:val="00721506"/>
    <w:rsid w:val="00721996"/>
    <w:rsid w:val="00722F0D"/>
    <w:rsid w:val="00723863"/>
    <w:rsid w:val="00724B29"/>
    <w:rsid w:val="00727513"/>
    <w:rsid w:val="00727A78"/>
    <w:rsid w:val="00727F30"/>
    <w:rsid w:val="0073074B"/>
    <w:rsid w:val="00730A5A"/>
    <w:rsid w:val="00731207"/>
    <w:rsid w:val="00734430"/>
    <w:rsid w:val="00734613"/>
    <w:rsid w:val="0074053C"/>
    <w:rsid w:val="00742CFB"/>
    <w:rsid w:val="00742EA5"/>
    <w:rsid w:val="00743D4D"/>
    <w:rsid w:val="00743EB1"/>
    <w:rsid w:val="00743F52"/>
    <w:rsid w:val="0074485F"/>
    <w:rsid w:val="007451A8"/>
    <w:rsid w:val="0074527C"/>
    <w:rsid w:val="00745A93"/>
    <w:rsid w:val="00745BF2"/>
    <w:rsid w:val="00745E2B"/>
    <w:rsid w:val="0074672A"/>
    <w:rsid w:val="00746757"/>
    <w:rsid w:val="00751325"/>
    <w:rsid w:val="00751ADD"/>
    <w:rsid w:val="007520F6"/>
    <w:rsid w:val="007532C0"/>
    <w:rsid w:val="0075381F"/>
    <w:rsid w:val="00756020"/>
    <w:rsid w:val="00756098"/>
    <w:rsid w:val="007566EF"/>
    <w:rsid w:val="007575F8"/>
    <w:rsid w:val="00757F15"/>
    <w:rsid w:val="00757F3C"/>
    <w:rsid w:val="007616B2"/>
    <w:rsid w:val="0076272B"/>
    <w:rsid w:val="0076277F"/>
    <w:rsid w:val="007631E0"/>
    <w:rsid w:val="00763628"/>
    <w:rsid w:val="00763AAA"/>
    <w:rsid w:val="00763BF3"/>
    <w:rsid w:val="00764F87"/>
    <w:rsid w:val="00765641"/>
    <w:rsid w:val="00766E61"/>
    <w:rsid w:val="0076719B"/>
    <w:rsid w:val="0076725F"/>
    <w:rsid w:val="00767A6B"/>
    <w:rsid w:val="00770372"/>
    <w:rsid w:val="00770D12"/>
    <w:rsid w:val="00771094"/>
    <w:rsid w:val="00771421"/>
    <w:rsid w:val="00772E4B"/>
    <w:rsid w:val="0077333F"/>
    <w:rsid w:val="007744D5"/>
    <w:rsid w:val="0077459E"/>
    <w:rsid w:val="00775448"/>
    <w:rsid w:val="0077676B"/>
    <w:rsid w:val="00776953"/>
    <w:rsid w:val="00776F65"/>
    <w:rsid w:val="00777B31"/>
    <w:rsid w:val="00782782"/>
    <w:rsid w:val="0078290C"/>
    <w:rsid w:val="007839D9"/>
    <w:rsid w:val="00783ADE"/>
    <w:rsid w:val="007841E0"/>
    <w:rsid w:val="0078585B"/>
    <w:rsid w:val="007863FC"/>
    <w:rsid w:val="007866DC"/>
    <w:rsid w:val="00786CD7"/>
    <w:rsid w:val="007870E3"/>
    <w:rsid w:val="0079065B"/>
    <w:rsid w:val="00791465"/>
    <w:rsid w:val="00791C4E"/>
    <w:rsid w:val="00791D8B"/>
    <w:rsid w:val="007921F7"/>
    <w:rsid w:val="0079276A"/>
    <w:rsid w:val="00792B4C"/>
    <w:rsid w:val="00794441"/>
    <w:rsid w:val="00794AA8"/>
    <w:rsid w:val="00796561"/>
    <w:rsid w:val="00796986"/>
    <w:rsid w:val="00796F39"/>
    <w:rsid w:val="00796F7A"/>
    <w:rsid w:val="007973C6"/>
    <w:rsid w:val="00797473"/>
    <w:rsid w:val="00797A49"/>
    <w:rsid w:val="00797C06"/>
    <w:rsid w:val="007A1488"/>
    <w:rsid w:val="007A1A81"/>
    <w:rsid w:val="007A2884"/>
    <w:rsid w:val="007A3705"/>
    <w:rsid w:val="007A39B0"/>
    <w:rsid w:val="007A7BBE"/>
    <w:rsid w:val="007B0FEA"/>
    <w:rsid w:val="007B156B"/>
    <w:rsid w:val="007B196E"/>
    <w:rsid w:val="007B1F09"/>
    <w:rsid w:val="007B3992"/>
    <w:rsid w:val="007B4AE1"/>
    <w:rsid w:val="007B4D33"/>
    <w:rsid w:val="007B4F60"/>
    <w:rsid w:val="007B566C"/>
    <w:rsid w:val="007B686F"/>
    <w:rsid w:val="007B6CEF"/>
    <w:rsid w:val="007C0909"/>
    <w:rsid w:val="007C17AD"/>
    <w:rsid w:val="007C247A"/>
    <w:rsid w:val="007C2500"/>
    <w:rsid w:val="007C3C56"/>
    <w:rsid w:val="007C4731"/>
    <w:rsid w:val="007C546A"/>
    <w:rsid w:val="007C59BE"/>
    <w:rsid w:val="007D0644"/>
    <w:rsid w:val="007D0A2D"/>
    <w:rsid w:val="007D1CD1"/>
    <w:rsid w:val="007D2DCD"/>
    <w:rsid w:val="007D3ACE"/>
    <w:rsid w:val="007D541F"/>
    <w:rsid w:val="007D5C51"/>
    <w:rsid w:val="007D5F8E"/>
    <w:rsid w:val="007D64EC"/>
    <w:rsid w:val="007D6B57"/>
    <w:rsid w:val="007D727F"/>
    <w:rsid w:val="007D75F4"/>
    <w:rsid w:val="007D76D7"/>
    <w:rsid w:val="007E05A2"/>
    <w:rsid w:val="007E1089"/>
    <w:rsid w:val="007E1B26"/>
    <w:rsid w:val="007E1F8D"/>
    <w:rsid w:val="007E25ED"/>
    <w:rsid w:val="007E4988"/>
    <w:rsid w:val="007E5E24"/>
    <w:rsid w:val="007E74C8"/>
    <w:rsid w:val="007F1875"/>
    <w:rsid w:val="007F1E49"/>
    <w:rsid w:val="007F1E72"/>
    <w:rsid w:val="007F24F8"/>
    <w:rsid w:val="007F2C37"/>
    <w:rsid w:val="007F4798"/>
    <w:rsid w:val="007F5026"/>
    <w:rsid w:val="00800438"/>
    <w:rsid w:val="008007BF"/>
    <w:rsid w:val="00800BC2"/>
    <w:rsid w:val="008019A5"/>
    <w:rsid w:val="008020C2"/>
    <w:rsid w:val="008020CD"/>
    <w:rsid w:val="0080296A"/>
    <w:rsid w:val="00803543"/>
    <w:rsid w:val="008051F9"/>
    <w:rsid w:val="00806AFC"/>
    <w:rsid w:val="00806F23"/>
    <w:rsid w:val="00807082"/>
    <w:rsid w:val="00810045"/>
    <w:rsid w:val="00810336"/>
    <w:rsid w:val="0081156D"/>
    <w:rsid w:val="008115DC"/>
    <w:rsid w:val="00811688"/>
    <w:rsid w:val="00811B30"/>
    <w:rsid w:val="00812A02"/>
    <w:rsid w:val="00812D95"/>
    <w:rsid w:val="00813448"/>
    <w:rsid w:val="00814877"/>
    <w:rsid w:val="00814EDE"/>
    <w:rsid w:val="0081612B"/>
    <w:rsid w:val="0081679C"/>
    <w:rsid w:val="00816ED1"/>
    <w:rsid w:val="008203EA"/>
    <w:rsid w:val="008205D0"/>
    <w:rsid w:val="00821D82"/>
    <w:rsid w:val="008224FE"/>
    <w:rsid w:val="00822939"/>
    <w:rsid w:val="008230F2"/>
    <w:rsid w:val="00823442"/>
    <w:rsid w:val="00823C28"/>
    <w:rsid w:val="00823CFE"/>
    <w:rsid w:val="008242ED"/>
    <w:rsid w:val="00824D6B"/>
    <w:rsid w:val="00825700"/>
    <w:rsid w:val="008275E4"/>
    <w:rsid w:val="008276BB"/>
    <w:rsid w:val="00830F6A"/>
    <w:rsid w:val="0083257F"/>
    <w:rsid w:val="00832EA6"/>
    <w:rsid w:val="00832FD6"/>
    <w:rsid w:val="0083336E"/>
    <w:rsid w:val="00833CD1"/>
    <w:rsid w:val="00833E35"/>
    <w:rsid w:val="00834066"/>
    <w:rsid w:val="008343B4"/>
    <w:rsid w:val="00834A05"/>
    <w:rsid w:val="00834E59"/>
    <w:rsid w:val="00836944"/>
    <w:rsid w:val="008371C7"/>
    <w:rsid w:val="008375AF"/>
    <w:rsid w:val="00837B9A"/>
    <w:rsid w:val="00837E1F"/>
    <w:rsid w:val="008405CE"/>
    <w:rsid w:val="008405CF"/>
    <w:rsid w:val="008407DB"/>
    <w:rsid w:val="00841726"/>
    <w:rsid w:val="008417D1"/>
    <w:rsid w:val="008426AA"/>
    <w:rsid w:val="00842787"/>
    <w:rsid w:val="0084295A"/>
    <w:rsid w:val="008435D7"/>
    <w:rsid w:val="00843697"/>
    <w:rsid w:val="0084393F"/>
    <w:rsid w:val="00846269"/>
    <w:rsid w:val="00851511"/>
    <w:rsid w:val="008517C8"/>
    <w:rsid w:val="00851995"/>
    <w:rsid w:val="008536CA"/>
    <w:rsid w:val="008547C2"/>
    <w:rsid w:val="00854A89"/>
    <w:rsid w:val="00855355"/>
    <w:rsid w:val="00855570"/>
    <w:rsid w:val="008557C2"/>
    <w:rsid w:val="00855F97"/>
    <w:rsid w:val="0085768F"/>
    <w:rsid w:val="0086080D"/>
    <w:rsid w:val="008634DE"/>
    <w:rsid w:val="008647BD"/>
    <w:rsid w:val="008665C4"/>
    <w:rsid w:val="0086751C"/>
    <w:rsid w:val="008677E3"/>
    <w:rsid w:val="00870489"/>
    <w:rsid w:val="00870B41"/>
    <w:rsid w:val="0087195C"/>
    <w:rsid w:val="00872644"/>
    <w:rsid w:val="00873BE2"/>
    <w:rsid w:val="00873C6E"/>
    <w:rsid w:val="00873EB9"/>
    <w:rsid w:val="008746CD"/>
    <w:rsid w:val="00875D5A"/>
    <w:rsid w:val="00875F1E"/>
    <w:rsid w:val="00876B7A"/>
    <w:rsid w:val="008777FF"/>
    <w:rsid w:val="00877F8E"/>
    <w:rsid w:val="00880351"/>
    <w:rsid w:val="0088086C"/>
    <w:rsid w:val="008825BB"/>
    <w:rsid w:val="00882735"/>
    <w:rsid w:val="0088275A"/>
    <w:rsid w:val="00882EFE"/>
    <w:rsid w:val="00883683"/>
    <w:rsid w:val="00885C05"/>
    <w:rsid w:val="00885F6F"/>
    <w:rsid w:val="0088613D"/>
    <w:rsid w:val="008861AC"/>
    <w:rsid w:val="0088738E"/>
    <w:rsid w:val="00887C30"/>
    <w:rsid w:val="00890BF1"/>
    <w:rsid w:val="00890F28"/>
    <w:rsid w:val="00892541"/>
    <w:rsid w:val="008932BB"/>
    <w:rsid w:val="0089372D"/>
    <w:rsid w:val="00893CF5"/>
    <w:rsid w:val="00893E14"/>
    <w:rsid w:val="0089533C"/>
    <w:rsid w:val="00895554"/>
    <w:rsid w:val="008957A8"/>
    <w:rsid w:val="00895A54"/>
    <w:rsid w:val="00896440"/>
    <w:rsid w:val="00896B6A"/>
    <w:rsid w:val="00896DA2"/>
    <w:rsid w:val="00897843"/>
    <w:rsid w:val="00897F76"/>
    <w:rsid w:val="008A005F"/>
    <w:rsid w:val="008A0454"/>
    <w:rsid w:val="008A1381"/>
    <w:rsid w:val="008A1A60"/>
    <w:rsid w:val="008A24B0"/>
    <w:rsid w:val="008A2A64"/>
    <w:rsid w:val="008A3B56"/>
    <w:rsid w:val="008A3FA6"/>
    <w:rsid w:val="008A4281"/>
    <w:rsid w:val="008A48F8"/>
    <w:rsid w:val="008A508C"/>
    <w:rsid w:val="008A537D"/>
    <w:rsid w:val="008A5D97"/>
    <w:rsid w:val="008A7240"/>
    <w:rsid w:val="008A75F3"/>
    <w:rsid w:val="008A7BFC"/>
    <w:rsid w:val="008A7CF7"/>
    <w:rsid w:val="008A7FAD"/>
    <w:rsid w:val="008B100F"/>
    <w:rsid w:val="008B1DA6"/>
    <w:rsid w:val="008B3660"/>
    <w:rsid w:val="008B3CBF"/>
    <w:rsid w:val="008B4449"/>
    <w:rsid w:val="008B7066"/>
    <w:rsid w:val="008C0800"/>
    <w:rsid w:val="008C210D"/>
    <w:rsid w:val="008C2DD6"/>
    <w:rsid w:val="008C3B23"/>
    <w:rsid w:val="008C3E59"/>
    <w:rsid w:val="008C480D"/>
    <w:rsid w:val="008C4C45"/>
    <w:rsid w:val="008C55DF"/>
    <w:rsid w:val="008C651B"/>
    <w:rsid w:val="008C6608"/>
    <w:rsid w:val="008C7138"/>
    <w:rsid w:val="008D136B"/>
    <w:rsid w:val="008D2564"/>
    <w:rsid w:val="008D3105"/>
    <w:rsid w:val="008D3C26"/>
    <w:rsid w:val="008D5A7F"/>
    <w:rsid w:val="008D61B6"/>
    <w:rsid w:val="008D726D"/>
    <w:rsid w:val="008D7EAE"/>
    <w:rsid w:val="008E1626"/>
    <w:rsid w:val="008E1DC0"/>
    <w:rsid w:val="008E270C"/>
    <w:rsid w:val="008E4518"/>
    <w:rsid w:val="008E51D4"/>
    <w:rsid w:val="008E66F8"/>
    <w:rsid w:val="008E74EF"/>
    <w:rsid w:val="008E769D"/>
    <w:rsid w:val="008E7904"/>
    <w:rsid w:val="008E7EFA"/>
    <w:rsid w:val="008F051D"/>
    <w:rsid w:val="008F094B"/>
    <w:rsid w:val="008F0FC5"/>
    <w:rsid w:val="008F0FD2"/>
    <w:rsid w:val="008F17A3"/>
    <w:rsid w:val="008F2757"/>
    <w:rsid w:val="008F4376"/>
    <w:rsid w:val="008F541C"/>
    <w:rsid w:val="008F59AF"/>
    <w:rsid w:val="008F5B07"/>
    <w:rsid w:val="008F5E59"/>
    <w:rsid w:val="008F61FC"/>
    <w:rsid w:val="008F6FA7"/>
    <w:rsid w:val="008F74A5"/>
    <w:rsid w:val="009010E7"/>
    <w:rsid w:val="00901474"/>
    <w:rsid w:val="009014FD"/>
    <w:rsid w:val="009026A3"/>
    <w:rsid w:val="00902AA7"/>
    <w:rsid w:val="00902C55"/>
    <w:rsid w:val="00903100"/>
    <w:rsid w:val="00903496"/>
    <w:rsid w:val="00903A37"/>
    <w:rsid w:val="009041F8"/>
    <w:rsid w:val="00904564"/>
    <w:rsid w:val="00904D53"/>
    <w:rsid w:val="00905A95"/>
    <w:rsid w:val="00905C49"/>
    <w:rsid w:val="00906C53"/>
    <w:rsid w:val="0090737A"/>
    <w:rsid w:val="00907905"/>
    <w:rsid w:val="00911F48"/>
    <w:rsid w:val="009120D4"/>
    <w:rsid w:val="00912CB4"/>
    <w:rsid w:val="009137D4"/>
    <w:rsid w:val="00913AB9"/>
    <w:rsid w:val="00913BE0"/>
    <w:rsid w:val="0091491D"/>
    <w:rsid w:val="0091517B"/>
    <w:rsid w:val="00917B5D"/>
    <w:rsid w:val="00917D2B"/>
    <w:rsid w:val="00920A5B"/>
    <w:rsid w:val="00921597"/>
    <w:rsid w:val="00921696"/>
    <w:rsid w:val="00921C3E"/>
    <w:rsid w:val="009242CB"/>
    <w:rsid w:val="0092525C"/>
    <w:rsid w:val="009257EE"/>
    <w:rsid w:val="009262E3"/>
    <w:rsid w:val="00926FCE"/>
    <w:rsid w:val="009270D9"/>
    <w:rsid w:val="00927E7F"/>
    <w:rsid w:val="009300E6"/>
    <w:rsid w:val="00930547"/>
    <w:rsid w:val="00931856"/>
    <w:rsid w:val="00931957"/>
    <w:rsid w:val="00932259"/>
    <w:rsid w:val="00932EF2"/>
    <w:rsid w:val="00933494"/>
    <w:rsid w:val="009339E1"/>
    <w:rsid w:val="0093469B"/>
    <w:rsid w:val="009357A9"/>
    <w:rsid w:val="009358E0"/>
    <w:rsid w:val="00937043"/>
    <w:rsid w:val="00937B2D"/>
    <w:rsid w:val="00937F6E"/>
    <w:rsid w:val="00940225"/>
    <w:rsid w:val="009429D4"/>
    <w:rsid w:val="00943D4D"/>
    <w:rsid w:val="00943F93"/>
    <w:rsid w:val="00944464"/>
    <w:rsid w:val="00945BC4"/>
    <w:rsid w:val="00946724"/>
    <w:rsid w:val="009478DB"/>
    <w:rsid w:val="0095011B"/>
    <w:rsid w:val="009503FE"/>
    <w:rsid w:val="00951A23"/>
    <w:rsid w:val="00951EFE"/>
    <w:rsid w:val="0095291D"/>
    <w:rsid w:val="00953E9C"/>
    <w:rsid w:val="00954778"/>
    <w:rsid w:val="00955742"/>
    <w:rsid w:val="009559C5"/>
    <w:rsid w:val="00956262"/>
    <w:rsid w:val="0095687B"/>
    <w:rsid w:val="00957730"/>
    <w:rsid w:val="00957FD8"/>
    <w:rsid w:val="00960CDB"/>
    <w:rsid w:val="00961D47"/>
    <w:rsid w:val="00962E0E"/>
    <w:rsid w:val="009639F6"/>
    <w:rsid w:val="00964882"/>
    <w:rsid w:val="009648F1"/>
    <w:rsid w:val="00964C44"/>
    <w:rsid w:val="00964DFA"/>
    <w:rsid w:val="00964F36"/>
    <w:rsid w:val="0096634B"/>
    <w:rsid w:val="00970649"/>
    <w:rsid w:val="0097136D"/>
    <w:rsid w:val="00971D2F"/>
    <w:rsid w:val="0097213C"/>
    <w:rsid w:val="0097257C"/>
    <w:rsid w:val="00972CC8"/>
    <w:rsid w:val="009737E6"/>
    <w:rsid w:val="00973A74"/>
    <w:rsid w:val="0097492C"/>
    <w:rsid w:val="009749EF"/>
    <w:rsid w:val="00974E2D"/>
    <w:rsid w:val="00975DB5"/>
    <w:rsid w:val="00976DCD"/>
    <w:rsid w:val="00976F0D"/>
    <w:rsid w:val="009804C3"/>
    <w:rsid w:val="0098066C"/>
    <w:rsid w:val="00980EFA"/>
    <w:rsid w:val="009812F2"/>
    <w:rsid w:val="009814B0"/>
    <w:rsid w:val="00981871"/>
    <w:rsid w:val="00982287"/>
    <w:rsid w:val="00984181"/>
    <w:rsid w:val="0098571F"/>
    <w:rsid w:val="00985F80"/>
    <w:rsid w:val="00987780"/>
    <w:rsid w:val="0099005D"/>
    <w:rsid w:val="009911F7"/>
    <w:rsid w:val="00992B0D"/>
    <w:rsid w:val="0099435F"/>
    <w:rsid w:val="009943F8"/>
    <w:rsid w:val="00994579"/>
    <w:rsid w:val="009949C6"/>
    <w:rsid w:val="009969E0"/>
    <w:rsid w:val="00996B5C"/>
    <w:rsid w:val="009A0015"/>
    <w:rsid w:val="009A0545"/>
    <w:rsid w:val="009A0B4E"/>
    <w:rsid w:val="009A0F92"/>
    <w:rsid w:val="009A114D"/>
    <w:rsid w:val="009A186F"/>
    <w:rsid w:val="009A1912"/>
    <w:rsid w:val="009A1EC2"/>
    <w:rsid w:val="009A36AF"/>
    <w:rsid w:val="009A386D"/>
    <w:rsid w:val="009A3E97"/>
    <w:rsid w:val="009A591E"/>
    <w:rsid w:val="009A77E7"/>
    <w:rsid w:val="009B10D7"/>
    <w:rsid w:val="009B1B5C"/>
    <w:rsid w:val="009B25B6"/>
    <w:rsid w:val="009B306D"/>
    <w:rsid w:val="009B47C7"/>
    <w:rsid w:val="009B51B3"/>
    <w:rsid w:val="009B5983"/>
    <w:rsid w:val="009B5BA0"/>
    <w:rsid w:val="009B62CB"/>
    <w:rsid w:val="009B7B65"/>
    <w:rsid w:val="009C052D"/>
    <w:rsid w:val="009C09A0"/>
    <w:rsid w:val="009C2135"/>
    <w:rsid w:val="009C21E0"/>
    <w:rsid w:val="009C323D"/>
    <w:rsid w:val="009C36F1"/>
    <w:rsid w:val="009C3B51"/>
    <w:rsid w:val="009C3E3C"/>
    <w:rsid w:val="009C4F54"/>
    <w:rsid w:val="009C5271"/>
    <w:rsid w:val="009C6176"/>
    <w:rsid w:val="009C63A4"/>
    <w:rsid w:val="009C63D5"/>
    <w:rsid w:val="009C6B5F"/>
    <w:rsid w:val="009C787C"/>
    <w:rsid w:val="009C7FC6"/>
    <w:rsid w:val="009D0657"/>
    <w:rsid w:val="009D0837"/>
    <w:rsid w:val="009D161A"/>
    <w:rsid w:val="009D1693"/>
    <w:rsid w:val="009D1BCC"/>
    <w:rsid w:val="009D2269"/>
    <w:rsid w:val="009D22D0"/>
    <w:rsid w:val="009D37F3"/>
    <w:rsid w:val="009D3D26"/>
    <w:rsid w:val="009D4AB7"/>
    <w:rsid w:val="009D4BF8"/>
    <w:rsid w:val="009D5302"/>
    <w:rsid w:val="009D62F3"/>
    <w:rsid w:val="009D754F"/>
    <w:rsid w:val="009E1896"/>
    <w:rsid w:val="009E1980"/>
    <w:rsid w:val="009E1ACC"/>
    <w:rsid w:val="009E1EB5"/>
    <w:rsid w:val="009E20B0"/>
    <w:rsid w:val="009E24F9"/>
    <w:rsid w:val="009E2833"/>
    <w:rsid w:val="009E29D3"/>
    <w:rsid w:val="009E2BB3"/>
    <w:rsid w:val="009E325E"/>
    <w:rsid w:val="009E326D"/>
    <w:rsid w:val="009E3484"/>
    <w:rsid w:val="009E3638"/>
    <w:rsid w:val="009E405C"/>
    <w:rsid w:val="009E4B69"/>
    <w:rsid w:val="009E569F"/>
    <w:rsid w:val="009E5BC3"/>
    <w:rsid w:val="009E5FDA"/>
    <w:rsid w:val="009E646F"/>
    <w:rsid w:val="009E7425"/>
    <w:rsid w:val="009E776E"/>
    <w:rsid w:val="009F1760"/>
    <w:rsid w:val="009F2926"/>
    <w:rsid w:val="009F3786"/>
    <w:rsid w:val="009F41F3"/>
    <w:rsid w:val="009F4396"/>
    <w:rsid w:val="009F4595"/>
    <w:rsid w:val="009F54D5"/>
    <w:rsid w:val="009F5BAA"/>
    <w:rsid w:val="009F5D93"/>
    <w:rsid w:val="009F6649"/>
    <w:rsid w:val="009F6EB9"/>
    <w:rsid w:val="009F6F14"/>
    <w:rsid w:val="009F7433"/>
    <w:rsid w:val="009F75DC"/>
    <w:rsid w:val="009F7605"/>
    <w:rsid w:val="00A00A2A"/>
    <w:rsid w:val="00A00F3C"/>
    <w:rsid w:val="00A011F8"/>
    <w:rsid w:val="00A0144A"/>
    <w:rsid w:val="00A02844"/>
    <w:rsid w:val="00A034F2"/>
    <w:rsid w:val="00A042CC"/>
    <w:rsid w:val="00A06BF5"/>
    <w:rsid w:val="00A076B8"/>
    <w:rsid w:val="00A07E9C"/>
    <w:rsid w:val="00A11066"/>
    <w:rsid w:val="00A1196D"/>
    <w:rsid w:val="00A11A36"/>
    <w:rsid w:val="00A122F8"/>
    <w:rsid w:val="00A1243E"/>
    <w:rsid w:val="00A12914"/>
    <w:rsid w:val="00A12EEB"/>
    <w:rsid w:val="00A14173"/>
    <w:rsid w:val="00A167B8"/>
    <w:rsid w:val="00A17060"/>
    <w:rsid w:val="00A17ED7"/>
    <w:rsid w:val="00A202A0"/>
    <w:rsid w:val="00A20492"/>
    <w:rsid w:val="00A2185E"/>
    <w:rsid w:val="00A21919"/>
    <w:rsid w:val="00A21DD1"/>
    <w:rsid w:val="00A2298E"/>
    <w:rsid w:val="00A2576A"/>
    <w:rsid w:val="00A26381"/>
    <w:rsid w:val="00A3010F"/>
    <w:rsid w:val="00A31C08"/>
    <w:rsid w:val="00A32889"/>
    <w:rsid w:val="00A331C2"/>
    <w:rsid w:val="00A35FD8"/>
    <w:rsid w:val="00A36628"/>
    <w:rsid w:val="00A36A40"/>
    <w:rsid w:val="00A36D42"/>
    <w:rsid w:val="00A379C6"/>
    <w:rsid w:val="00A4092D"/>
    <w:rsid w:val="00A414A1"/>
    <w:rsid w:val="00A419A8"/>
    <w:rsid w:val="00A41BC0"/>
    <w:rsid w:val="00A42893"/>
    <w:rsid w:val="00A42906"/>
    <w:rsid w:val="00A42A76"/>
    <w:rsid w:val="00A43E5D"/>
    <w:rsid w:val="00A43EBE"/>
    <w:rsid w:val="00A44385"/>
    <w:rsid w:val="00A44CB0"/>
    <w:rsid w:val="00A45490"/>
    <w:rsid w:val="00A4634E"/>
    <w:rsid w:val="00A4723D"/>
    <w:rsid w:val="00A47250"/>
    <w:rsid w:val="00A5180C"/>
    <w:rsid w:val="00A521EE"/>
    <w:rsid w:val="00A52C3E"/>
    <w:rsid w:val="00A5427C"/>
    <w:rsid w:val="00A55725"/>
    <w:rsid w:val="00A603C3"/>
    <w:rsid w:val="00A60D37"/>
    <w:rsid w:val="00A61267"/>
    <w:rsid w:val="00A63829"/>
    <w:rsid w:val="00A64250"/>
    <w:rsid w:val="00A64FD8"/>
    <w:rsid w:val="00A6550F"/>
    <w:rsid w:val="00A65A1E"/>
    <w:rsid w:val="00A67C97"/>
    <w:rsid w:val="00A711F9"/>
    <w:rsid w:val="00A71783"/>
    <w:rsid w:val="00A719FE"/>
    <w:rsid w:val="00A7257B"/>
    <w:rsid w:val="00A74937"/>
    <w:rsid w:val="00A74B84"/>
    <w:rsid w:val="00A75B8E"/>
    <w:rsid w:val="00A75DB2"/>
    <w:rsid w:val="00A75E06"/>
    <w:rsid w:val="00A76889"/>
    <w:rsid w:val="00A76F7F"/>
    <w:rsid w:val="00A773C9"/>
    <w:rsid w:val="00A80111"/>
    <w:rsid w:val="00A81DF8"/>
    <w:rsid w:val="00A82282"/>
    <w:rsid w:val="00A82B55"/>
    <w:rsid w:val="00A83912"/>
    <w:rsid w:val="00A83F39"/>
    <w:rsid w:val="00A84210"/>
    <w:rsid w:val="00A853CE"/>
    <w:rsid w:val="00A85465"/>
    <w:rsid w:val="00A85B77"/>
    <w:rsid w:val="00A866AE"/>
    <w:rsid w:val="00A878A5"/>
    <w:rsid w:val="00A87A23"/>
    <w:rsid w:val="00A87D38"/>
    <w:rsid w:val="00A92225"/>
    <w:rsid w:val="00A92330"/>
    <w:rsid w:val="00A92788"/>
    <w:rsid w:val="00A9381F"/>
    <w:rsid w:val="00A958D5"/>
    <w:rsid w:val="00A95B9A"/>
    <w:rsid w:val="00A95CB4"/>
    <w:rsid w:val="00A976E6"/>
    <w:rsid w:val="00AA00D8"/>
    <w:rsid w:val="00AA09A5"/>
    <w:rsid w:val="00AA0F6D"/>
    <w:rsid w:val="00AA20C5"/>
    <w:rsid w:val="00AA228B"/>
    <w:rsid w:val="00AA23C4"/>
    <w:rsid w:val="00AA23E8"/>
    <w:rsid w:val="00AA31AE"/>
    <w:rsid w:val="00AA32DA"/>
    <w:rsid w:val="00AA33D1"/>
    <w:rsid w:val="00AA45A4"/>
    <w:rsid w:val="00AA4712"/>
    <w:rsid w:val="00AA4FA6"/>
    <w:rsid w:val="00AA4FAB"/>
    <w:rsid w:val="00AA65F4"/>
    <w:rsid w:val="00AA674B"/>
    <w:rsid w:val="00AA7A71"/>
    <w:rsid w:val="00AA7D35"/>
    <w:rsid w:val="00AB01B3"/>
    <w:rsid w:val="00AB0723"/>
    <w:rsid w:val="00AB1B2B"/>
    <w:rsid w:val="00AB322D"/>
    <w:rsid w:val="00AB43EE"/>
    <w:rsid w:val="00AB4F07"/>
    <w:rsid w:val="00AB5121"/>
    <w:rsid w:val="00AB51EA"/>
    <w:rsid w:val="00AB5981"/>
    <w:rsid w:val="00AB6D01"/>
    <w:rsid w:val="00AB6F0C"/>
    <w:rsid w:val="00AB6F2C"/>
    <w:rsid w:val="00AC0AF7"/>
    <w:rsid w:val="00AC1EC5"/>
    <w:rsid w:val="00AC20D0"/>
    <w:rsid w:val="00AC2F36"/>
    <w:rsid w:val="00AC33EE"/>
    <w:rsid w:val="00AC43C5"/>
    <w:rsid w:val="00AC4AC4"/>
    <w:rsid w:val="00AC7F40"/>
    <w:rsid w:val="00AC7FDF"/>
    <w:rsid w:val="00AD0197"/>
    <w:rsid w:val="00AD029A"/>
    <w:rsid w:val="00AD0544"/>
    <w:rsid w:val="00AD0616"/>
    <w:rsid w:val="00AD061A"/>
    <w:rsid w:val="00AD0E2A"/>
    <w:rsid w:val="00AD1C15"/>
    <w:rsid w:val="00AD35F0"/>
    <w:rsid w:val="00AD51D8"/>
    <w:rsid w:val="00AD6B3C"/>
    <w:rsid w:val="00AE099A"/>
    <w:rsid w:val="00AE0E35"/>
    <w:rsid w:val="00AE154F"/>
    <w:rsid w:val="00AE18E1"/>
    <w:rsid w:val="00AE1961"/>
    <w:rsid w:val="00AE1EE1"/>
    <w:rsid w:val="00AE207E"/>
    <w:rsid w:val="00AE227D"/>
    <w:rsid w:val="00AE257F"/>
    <w:rsid w:val="00AE2782"/>
    <w:rsid w:val="00AE2C20"/>
    <w:rsid w:val="00AE3DA1"/>
    <w:rsid w:val="00AE3DAE"/>
    <w:rsid w:val="00AE412E"/>
    <w:rsid w:val="00AE48C5"/>
    <w:rsid w:val="00AE5E46"/>
    <w:rsid w:val="00AE66FE"/>
    <w:rsid w:val="00AE7BC2"/>
    <w:rsid w:val="00AF05EC"/>
    <w:rsid w:val="00AF1DD3"/>
    <w:rsid w:val="00AF1EDC"/>
    <w:rsid w:val="00AF252E"/>
    <w:rsid w:val="00AF2AE0"/>
    <w:rsid w:val="00AF399D"/>
    <w:rsid w:val="00AF3B33"/>
    <w:rsid w:val="00AF3D6B"/>
    <w:rsid w:val="00AF4917"/>
    <w:rsid w:val="00AF4DC9"/>
    <w:rsid w:val="00AF4F7E"/>
    <w:rsid w:val="00AF5A44"/>
    <w:rsid w:val="00AF5D77"/>
    <w:rsid w:val="00AF6292"/>
    <w:rsid w:val="00AF680F"/>
    <w:rsid w:val="00AF6DF0"/>
    <w:rsid w:val="00AF7EB8"/>
    <w:rsid w:val="00B00042"/>
    <w:rsid w:val="00B00514"/>
    <w:rsid w:val="00B00C04"/>
    <w:rsid w:val="00B01C2D"/>
    <w:rsid w:val="00B01FAF"/>
    <w:rsid w:val="00B03945"/>
    <w:rsid w:val="00B04260"/>
    <w:rsid w:val="00B04A4E"/>
    <w:rsid w:val="00B0511A"/>
    <w:rsid w:val="00B05594"/>
    <w:rsid w:val="00B05D39"/>
    <w:rsid w:val="00B100BE"/>
    <w:rsid w:val="00B10243"/>
    <w:rsid w:val="00B11284"/>
    <w:rsid w:val="00B11F80"/>
    <w:rsid w:val="00B123CF"/>
    <w:rsid w:val="00B13A6B"/>
    <w:rsid w:val="00B14940"/>
    <w:rsid w:val="00B14FF9"/>
    <w:rsid w:val="00B1541D"/>
    <w:rsid w:val="00B15D9A"/>
    <w:rsid w:val="00B160F4"/>
    <w:rsid w:val="00B1684F"/>
    <w:rsid w:val="00B1722F"/>
    <w:rsid w:val="00B17CCB"/>
    <w:rsid w:val="00B202B9"/>
    <w:rsid w:val="00B2048E"/>
    <w:rsid w:val="00B207AC"/>
    <w:rsid w:val="00B20D36"/>
    <w:rsid w:val="00B21512"/>
    <w:rsid w:val="00B21FA2"/>
    <w:rsid w:val="00B235FF"/>
    <w:rsid w:val="00B23F8C"/>
    <w:rsid w:val="00B24486"/>
    <w:rsid w:val="00B24846"/>
    <w:rsid w:val="00B24DFB"/>
    <w:rsid w:val="00B26963"/>
    <w:rsid w:val="00B26AA4"/>
    <w:rsid w:val="00B278FC"/>
    <w:rsid w:val="00B30BDA"/>
    <w:rsid w:val="00B30C98"/>
    <w:rsid w:val="00B316D4"/>
    <w:rsid w:val="00B32871"/>
    <w:rsid w:val="00B32AE8"/>
    <w:rsid w:val="00B3323A"/>
    <w:rsid w:val="00B341C8"/>
    <w:rsid w:val="00B3492A"/>
    <w:rsid w:val="00B34ECD"/>
    <w:rsid w:val="00B35060"/>
    <w:rsid w:val="00B35758"/>
    <w:rsid w:val="00B36696"/>
    <w:rsid w:val="00B370FE"/>
    <w:rsid w:val="00B379BA"/>
    <w:rsid w:val="00B40B34"/>
    <w:rsid w:val="00B418D6"/>
    <w:rsid w:val="00B434AB"/>
    <w:rsid w:val="00B442AF"/>
    <w:rsid w:val="00B446F9"/>
    <w:rsid w:val="00B46ADF"/>
    <w:rsid w:val="00B5001F"/>
    <w:rsid w:val="00B50382"/>
    <w:rsid w:val="00B5075E"/>
    <w:rsid w:val="00B508C9"/>
    <w:rsid w:val="00B51264"/>
    <w:rsid w:val="00B512A3"/>
    <w:rsid w:val="00B5183E"/>
    <w:rsid w:val="00B51F04"/>
    <w:rsid w:val="00B52A61"/>
    <w:rsid w:val="00B53331"/>
    <w:rsid w:val="00B543E3"/>
    <w:rsid w:val="00B559B2"/>
    <w:rsid w:val="00B565D4"/>
    <w:rsid w:val="00B56BAF"/>
    <w:rsid w:val="00B56D2F"/>
    <w:rsid w:val="00B56DA8"/>
    <w:rsid w:val="00B5709C"/>
    <w:rsid w:val="00B573A4"/>
    <w:rsid w:val="00B57BF8"/>
    <w:rsid w:val="00B60892"/>
    <w:rsid w:val="00B60E51"/>
    <w:rsid w:val="00B62B27"/>
    <w:rsid w:val="00B63F7F"/>
    <w:rsid w:val="00B647DC"/>
    <w:rsid w:val="00B6521A"/>
    <w:rsid w:val="00B6537F"/>
    <w:rsid w:val="00B65433"/>
    <w:rsid w:val="00B65D0C"/>
    <w:rsid w:val="00B65DEE"/>
    <w:rsid w:val="00B673D7"/>
    <w:rsid w:val="00B6740D"/>
    <w:rsid w:val="00B67AB5"/>
    <w:rsid w:val="00B70686"/>
    <w:rsid w:val="00B70A99"/>
    <w:rsid w:val="00B71571"/>
    <w:rsid w:val="00B715B1"/>
    <w:rsid w:val="00B753A6"/>
    <w:rsid w:val="00B7619E"/>
    <w:rsid w:val="00B77677"/>
    <w:rsid w:val="00B77BF3"/>
    <w:rsid w:val="00B77FF6"/>
    <w:rsid w:val="00B80C3D"/>
    <w:rsid w:val="00B81BBA"/>
    <w:rsid w:val="00B83257"/>
    <w:rsid w:val="00B8381D"/>
    <w:rsid w:val="00B84964"/>
    <w:rsid w:val="00B849F3"/>
    <w:rsid w:val="00B85F87"/>
    <w:rsid w:val="00B9092D"/>
    <w:rsid w:val="00B90B81"/>
    <w:rsid w:val="00B91527"/>
    <w:rsid w:val="00B91812"/>
    <w:rsid w:val="00B9213D"/>
    <w:rsid w:val="00B92470"/>
    <w:rsid w:val="00B925A8"/>
    <w:rsid w:val="00B929D1"/>
    <w:rsid w:val="00B92D69"/>
    <w:rsid w:val="00B93AC6"/>
    <w:rsid w:val="00B95349"/>
    <w:rsid w:val="00B955C0"/>
    <w:rsid w:val="00B958CA"/>
    <w:rsid w:val="00B95B4E"/>
    <w:rsid w:val="00B95B9C"/>
    <w:rsid w:val="00B961E2"/>
    <w:rsid w:val="00B97111"/>
    <w:rsid w:val="00B974A4"/>
    <w:rsid w:val="00B97BBE"/>
    <w:rsid w:val="00BA0067"/>
    <w:rsid w:val="00BA03EF"/>
    <w:rsid w:val="00BA0F9A"/>
    <w:rsid w:val="00BA1861"/>
    <w:rsid w:val="00BA2179"/>
    <w:rsid w:val="00BA23E4"/>
    <w:rsid w:val="00BA38F8"/>
    <w:rsid w:val="00BA52B1"/>
    <w:rsid w:val="00BA645C"/>
    <w:rsid w:val="00BA65AC"/>
    <w:rsid w:val="00BB0A69"/>
    <w:rsid w:val="00BB2985"/>
    <w:rsid w:val="00BB2AA8"/>
    <w:rsid w:val="00BB373F"/>
    <w:rsid w:val="00BC0A20"/>
    <w:rsid w:val="00BC0D86"/>
    <w:rsid w:val="00BC1045"/>
    <w:rsid w:val="00BC1199"/>
    <w:rsid w:val="00BC1CFF"/>
    <w:rsid w:val="00BC21A0"/>
    <w:rsid w:val="00BC251D"/>
    <w:rsid w:val="00BC3167"/>
    <w:rsid w:val="00BC3E56"/>
    <w:rsid w:val="00BC4EF3"/>
    <w:rsid w:val="00BC557C"/>
    <w:rsid w:val="00BC5A21"/>
    <w:rsid w:val="00BC7689"/>
    <w:rsid w:val="00BC77C0"/>
    <w:rsid w:val="00BD0B25"/>
    <w:rsid w:val="00BD1E37"/>
    <w:rsid w:val="00BD1E67"/>
    <w:rsid w:val="00BD214A"/>
    <w:rsid w:val="00BD234D"/>
    <w:rsid w:val="00BD2561"/>
    <w:rsid w:val="00BD2A03"/>
    <w:rsid w:val="00BD2B1F"/>
    <w:rsid w:val="00BD5DCD"/>
    <w:rsid w:val="00BD60E8"/>
    <w:rsid w:val="00BD616D"/>
    <w:rsid w:val="00BD6C4D"/>
    <w:rsid w:val="00BD7A8A"/>
    <w:rsid w:val="00BE0997"/>
    <w:rsid w:val="00BE1907"/>
    <w:rsid w:val="00BE1A97"/>
    <w:rsid w:val="00BE3AF3"/>
    <w:rsid w:val="00BE485B"/>
    <w:rsid w:val="00BE6A74"/>
    <w:rsid w:val="00BE6ABA"/>
    <w:rsid w:val="00BE7D08"/>
    <w:rsid w:val="00BE7E3A"/>
    <w:rsid w:val="00BF0840"/>
    <w:rsid w:val="00BF0AFD"/>
    <w:rsid w:val="00BF0DFF"/>
    <w:rsid w:val="00BF0E1B"/>
    <w:rsid w:val="00BF22B8"/>
    <w:rsid w:val="00BF2603"/>
    <w:rsid w:val="00BF34DE"/>
    <w:rsid w:val="00BF51CE"/>
    <w:rsid w:val="00BF5A9E"/>
    <w:rsid w:val="00BF6005"/>
    <w:rsid w:val="00BF6541"/>
    <w:rsid w:val="00BF6BFC"/>
    <w:rsid w:val="00C01A0D"/>
    <w:rsid w:val="00C01D7D"/>
    <w:rsid w:val="00C028D9"/>
    <w:rsid w:val="00C02DBA"/>
    <w:rsid w:val="00C03203"/>
    <w:rsid w:val="00C036E4"/>
    <w:rsid w:val="00C038B8"/>
    <w:rsid w:val="00C03B35"/>
    <w:rsid w:val="00C050B0"/>
    <w:rsid w:val="00C06574"/>
    <w:rsid w:val="00C06F31"/>
    <w:rsid w:val="00C07F18"/>
    <w:rsid w:val="00C11EE9"/>
    <w:rsid w:val="00C12B8C"/>
    <w:rsid w:val="00C132FD"/>
    <w:rsid w:val="00C155D9"/>
    <w:rsid w:val="00C17266"/>
    <w:rsid w:val="00C17F17"/>
    <w:rsid w:val="00C20EF0"/>
    <w:rsid w:val="00C2211D"/>
    <w:rsid w:val="00C225D2"/>
    <w:rsid w:val="00C2344F"/>
    <w:rsid w:val="00C246F2"/>
    <w:rsid w:val="00C2500C"/>
    <w:rsid w:val="00C26707"/>
    <w:rsid w:val="00C27719"/>
    <w:rsid w:val="00C31BCD"/>
    <w:rsid w:val="00C320EB"/>
    <w:rsid w:val="00C32F7B"/>
    <w:rsid w:val="00C33845"/>
    <w:rsid w:val="00C344DF"/>
    <w:rsid w:val="00C3513F"/>
    <w:rsid w:val="00C352A5"/>
    <w:rsid w:val="00C355AA"/>
    <w:rsid w:val="00C36223"/>
    <w:rsid w:val="00C379DB"/>
    <w:rsid w:val="00C37C39"/>
    <w:rsid w:val="00C37EFF"/>
    <w:rsid w:val="00C405B5"/>
    <w:rsid w:val="00C40725"/>
    <w:rsid w:val="00C40ACD"/>
    <w:rsid w:val="00C4101F"/>
    <w:rsid w:val="00C410FE"/>
    <w:rsid w:val="00C4207E"/>
    <w:rsid w:val="00C424A7"/>
    <w:rsid w:val="00C44A66"/>
    <w:rsid w:val="00C451A3"/>
    <w:rsid w:val="00C454EB"/>
    <w:rsid w:val="00C4577E"/>
    <w:rsid w:val="00C466B8"/>
    <w:rsid w:val="00C50C8F"/>
    <w:rsid w:val="00C50D41"/>
    <w:rsid w:val="00C51156"/>
    <w:rsid w:val="00C51209"/>
    <w:rsid w:val="00C51F72"/>
    <w:rsid w:val="00C524C8"/>
    <w:rsid w:val="00C5287F"/>
    <w:rsid w:val="00C53741"/>
    <w:rsid w:val="00C53FD7"/>
    <w:rsid w:val="00C55C61"/>
    <w:rsid w:val="00C57047"/>
    <w:rsid w:val="00C57955"/>
    <w:rsid w:val="00C6201F"/>
    <w:rsid w:val="00C64363"/>
    <w:rsid w:val="00C645EE"/>
    <w:rsid w:val="00C64627"/>
    <w:rsid w:val="00C64F44"/>
    <w:rsid w:val="00C650ED"/>
    <w:rsid w:val="00C65132"/>
    <w:rsid w:val="00C6562D"/>
    <w:rsid w:val="00C65F6A"/>
    <w:rsid w:val="00C67CFC"/>
    <w:rsid w:val="00C67F3E"/>
    <w:rsid w:val="00C706C8"/>
    <w:rsid w:val="00C70CD5"/>
    <w:rsid w:val="00C7194E"/>
    <w:rsid w:val="00C71BB5"/>
    <w:rsid w:val="00C71DB8"/>
    <w:rsid w:val="00C7216F"/>
    <w:rsid w:val="00C730E4"/>
    <w:rsid w:val="00C73BB8"/>
    <w:rsid w:val="00C74849"/>
    <w:rsid w:val="00C74CC5"/>
    <w:rsid w:val="00C763BA"/>
    <w:rsid w:val="00C76824"/>
    <w:rsid w:val="00C76B48"/>
    <w:rsid w:val="00C76CC4"/>
    <w:rsid w:val="00C771E1"/>
    <w:rsid w:val="00C77815"/>
    <w:rsid w:val="00C823AB"/>
    <w:rsid w:val="00C823C5"/>
    <w:rsid w:val="00C82D42"/>
    <w:rsid w:val="00C8322A"/>
    <w:rsid w:val="00C83583"/>
    <w:rsid w:val="00C83FA3"/>
    <w:rsid w:val="00C84B12"/>
    <w:rsid w:val="00C864A8"/>
    <w:rsid w:val="00C869BC"/>
    <w:rsid w:val="00C8737E"/>
    <w:rsid w:val="00C90444"/>
    <w:rsid w:val="00C9065A"/>
    <w:rsid w:val="00C9243B"/>
    <w:rsid w:val="00C92754"/>
    <w:rsid w:val="00C93D95"/>
    <w:rsid w:val="00C948BE"/>
    <w:rsid w:val="00C953C0"/>
    <w:rsid w:val="00C95DF0"/>
    <w:rsid w:val="00C9658F"/>
    <w:rsid w:val="00C96E5A"/>
    <w:rsid w:val="00C97ACC"/>
    <w:rsid w:val="00C97F71"/>
    <w:rsid w:val="00CA056D"/>
    <w:rsid w:val="00CA181F"/>
    <w:rsid w:val="00CA22C7"/>
    <w:rsid w:val="00CA2A54"/>
    <w:rsid w:val="00CA3219"/>
    <w:rsid w:val="00CA3B10"/>
    <w:rsid w:val="00CA3BBD"/>
    <w:rsid w:val="00CA46E3"/>
    <w:rsid w:val="00CA71DC"/>
    <w:rsid w:val="00CB01EB"/>
    <w:rsid w:val="00CB0DFA"/>
    <w:rsid w:val="00CB250C"/>
    <w:rsid w:val="00CB34D5"/>
    <w:rsid w:val="00CB53DA"/>
    <w:rsid w:val="00CB5C01"/>
    <w:rsid w:val="00CB61C7"/>
    <w:rsid w:val="00CB6435"/>
    <w:rsid w:val="00CB6CB0"/>
    <w:rsid w:val="00CB7525"/>
    <w:rsid w:val="00CB7FBD"/>
    <w:rsid w:val="00CC134C"/>
    <w:rsid w:val="00CC36F9"/>
    <w:rsid w:val="00CC3E8F"/>
    <w:rsid w:val="00CC3F86"/>
    <w:rsid w:val="00CC59D5"/>
    <w:rsid w:val="00CC62DA"/>
    <w:rsid w:val="00CC6A5F"/>
    <w:rsid w:val="00CC7BD2"/>
    <w:rsid w:val="00CC7F6E"/>
    <w:rsid w:val="00CD0BA2"/>
    <w:rsid w:val="00CD0DAA"/>
    <w:rsid w:val="00CD1486"/>
    <w:rsid w:val="00CD18DE"/>
    <w:rsid w:val="00CD2C35"/>
    <w:rsid w:val="00CD2E30"/>
    <w:rsid w:val="00CD643B"/>
    <w:rsid w:val="00CD7B7F"/>
    <w:rsid w:val="00CE0D42"/>
    <w:rsid w:val="00CE19D1"/>
    <w:rsid w:val="00CE23EF"/>
    <w:rsid w:val="00CE28AB"/>
    <w:rsid w:val="00CE3F39"/>
    <w:rsid w:val="00CE4B24"/>
    <w:rsid w:val="00CE4ED1"/>
    <w:rsid w:val="00CE6197"/>
    <w:rsid w:val="00CE6490"/>
    <w:rsid w:val="00CE6BEE"/>
    <w:rsid w:val="00CE702E"/>
    <w:rsid w:val="00CE7723"/>
    <w:rsid w:val="00CE7F5F"/>
    <w:rsid w:val="00CF0094"/>
    <w:rsid w:val="00CF0412"/>
    <w:rsid w:val="00CF088A"/>
    <w:rsid w:val="00CF1AEC"/>
    <w:rsid w:val="00CF2252"/>
    <w:rsid w:val="00CF38F2"/>
    <w:rsid w:val="00CF5CD7"/>
    <w:rsid w:val="00CF79DF"/>
    <w:rsid w:val="00D0060C"/>
    <w:rsid w:val="00D00702"/>
    <w:rsid w:val="00D00D04"/>
    <w:rsid w:val="00D01E61"/>
    <w:rsid w:val="00D02296"/>
    <w:rsid w:val="00D02B99"/>
    <w:rsid w:val="00D0306C"/>
    <w:rsid w:val="00D034FA"/>
    <w:rsid w:val="00D06027"/>
    <w:rsid w:val="00D0751A"/>
    <w:rsid w:val="00D078F8"/>
    <w:rsid w:val="00D07D25"/>
    <w:rsid w:val="00D10128"/>
    <w:rsid w:val="00D10188"/>
    <w:rsid w:val="00D102C2"/>
    <w:rsid w:val="00D10889"/>
    <w:rsid w:val="00D10C17"/>
    <w:rsid w:val="00D110F0"/>
    <w:rsid w:val="00D11222"/>
    <w:rsid w:val="00D112D0"/>
    <w:rsid w:val="00D116BA"/>
    <w:rsid w:val="00D12852"/>
    <w:rsid w:val="00D13010"/>
    <w:rsid w:val="00D133F0"/>
    <w:rsid w:val="00D143ED"/>
    <w:rsid w:val="00D1565C"/>
    <w:rsid w:val="00D15A0F"/>
    <w:rsid w:val="00D1675E"/>
    <w:rsid w:val="00D16C5A"/>
    <w:rsid w:val="00D16DAA"/>
    <w:rsid w:val="00D17E12"/>
    <w:rsid w:val="00D20258"/>
    <w:rsid w:val="00D20F59"/>
    <w:rsid w:val="00D21487"/>
    <w:rsid w:val="00D21601"/>
    <w:rsid w:val="00D21B84"/>
    <w:rsid w:val="00D22983"/>
    <w:rsid w:val="00D25359"/>
    <w:rsid w:val="00D25E7D"/>
    <w:rsid w:val="00D26118"/>
    <w:rsid w:val="00D261EA"/>
    <w:rsid w:val="00D26504"/>
    <w:rsid w:val="00D26D6A"/>
    <w:rsid w:val="00D26D98"/>
    <w:rsid w:val="00D27732"/>
    <w:rsid w:val="00D27842"/>
    <w:rsid w:val="00D30628"/>
    <w:rsid w:val="00D30CEE"/>
    <w:rsid w:val="00D31D6C"/>
    <w:rsid w:val="00D32B3D"/>
    <w:rsid w:val="00D335F3"/>
    <w:rsid w:val="00D3387F"/>
    <w:rsid w:val="00D33C8D"/>
    <w:rsid w:val="00D36A1A"/>
    <w:rsid w:val="00D37148"/>
    <w:rsid w:val="00D37A00"/>
    <w:rsid w:val="00D40860"/>
    <w:rsid w:val="00D40CE0"/>
    <w:rsid w:val="00D41A0E"/>
    <w:rsid w:val="00D41D0C"/>
    <w:rsid w:val="00D42164"/>
    <w:rsid w:val="00D4280D"/>
    <w:rsid w:val="00D42B76"/>
    <w:rsid w:val="00D430BA"/>
    <w:rsid w:val="00D43787"/>
    <w:rsid w:val="00D447D8"/>
    <w:rsid w:val="00D447FF"/>
    <w:rsid w:val="00D450B5"/>
    <w:rsid w:val="00D45623"/>
    <w:rsid w:val="00D45942"/>
    <w:rsid w:val="00D45968"/>
    <w:rsid w:val="00D468AF"/>
    <w:rsid w:val="00D470FA"/>
    <w:rsid w:val="00D47F57"/>
    <w:rsid w:val="00D50405"/>
    <w:rsid w:val="00D50944"/>
    <w:rsid w:val="00D50983"/>
    <w:rsid w:val="00D50DE7"/>
    <w:rsid w:val="00D51975"/>
    <w:rsid w:val="00D520FC"/>
    <w:rsid w:val="00D524BA"/>
    <w:rsid w:val="00D529B4"/>
    <w:rsid w:val="00D53B35"/>
    <w:rsid w:val="00D549C1"/>
    <w:rsid w:val="00D55693"/>
    <w:rsid w:val="00D5648F"/>
    <w:rsid w:val="00D56E3B"/>
    <w:rsid w:val="00D57CC2"/>
    <w:rsid w:val="00D60C0B"/>
    <w:rsid w:val="00D60C2B"/>
    <w:rsid w:val="00D60EBC"/>
    <w:rsid w:val="00D616EC"/>
    <w:rsid w:val="00D61736"/>
    <w:rsid w:val="00D625B8"/>
    <w:rsid w:val="00D63574"/>
    <w:rsid w:val="00D6376A"/>
    <w:rsid w:val="00D64764"/>
    <w:rsid w:val="00D648BA"/>
    <w:rsid w:val="00D651C9"/>
    <w:rsid w:val="00D65424"/>
    <w:rsid w:val="00D65732"/>
    <w:rsid w:val="00D66709"/>
    <w:rsid w:val="00D66A4D"/>
    <w:rsid w:val="00D71E62"/>
    <w:rsid w:val="00D724E1"/>
    <w:rsid w:val="00D76A95"/>
    <w:rsid w:val="00D772C7"/>
    <w:rsid w:val="00D77466"/>
    <w:rsid w:val="00D801E1"/>
    <w:rsid w:val="00D82515"/>
    <w:rsid w:val="00D82682"/>
    <w:rsid w:val="00D82E21"/>
    <w:rsid w:val="00D840E2"/>
    <w:rsid w:val="00D846FE"/>
    <w:rsid w:val="00D84B69"/>
    <w:rsid w:val="00D852B0"/>
    <w:rsid w:val="00D85B69"/>
    <w:rsid w:val="00D85C03"/>
    <w:rsid w:val="00D860CB"/>
    <w:rsid w:val="00D86A7C"/>
    <w:rsid w:val="00D8780C"/>
    <w:rsid w:val="00D87C68"/>
    <w:rsid w:val="00D90413"/>
    <w:rsid w:val="00D90E8F"/>
    <w:rsid w:val="00D92783"/>
    <w:rsid w:val="00D92B70"/>
    <w:rsid w:val="00D92D3B"/>
    <w:rsid w:val="00D93284"/>
    <w:rsid w:val="00D9456A"/>
    <w:rsid w:val="00D94831"/>
    <w:rsid w:val="00D94B4E"/>
    <w:rsid w:val="00D94DBD"/>
    <w:rsid w:val="00D96BB0"/>
    <w:rsid w:val="00D979C3"/>
    <w:rsid w:val="00DA00BB"/>
    <w:rsid w:val="00DA052C"/>
    <w:rsid w:val="00DA1931"/>
    <w:rsid w:val="00DA1D6A"/>
    <w:rsid w:val="00DA38F9"/>
    <w:rsid w:val="00DA5826"/>
    <w:rsid w:val="00DA776D"/>
    <w:rsid w:val="00DA7AAB"/>
    <w:rsid w:val="00DA7E0C"/>
    <w:rsid w:val="00DA7F28"/>
    <w:rsid w:val="00DA7F5F"/>
    <w:rsid w:val="00DB0815"/>
    <w:rsid w:val="00DB15F3"/>
    <w:rsid w:val="00DB1859"/>
    <w:rsid w:val="00DB3669"/>
    <w:rsid w:val="00DB3ABE"/>
    <w:rsid w:val="00DB4875"/>
    <w:rsid w:val="00DB48C1"/>
    <w:rsid w:val="00DB4A59"/>
    <w:rsid w:val="00DB5F80"/>
    <w:rsid w:val="00DB6676"/>
    <w:rsid w:val="00DC0F56"/>
    <w:rsid w:val="00DC139F"/>
    <w:rsid w:val="00DC1AB0"/>
    <w:rsid w:val="00DC2ABE"/>
    <w:rsid w:val="00DC32F8"/>
    <w:rsid w:val="00DC44F2"/>
    <w:rsid w:val="00DC4AF3"/>
    <w:rsid w:val="00DC4FA0"/>
    <w:rsid w:val="00DC59DE"/>
    <w:rsid w:val="00DC5A11"/>
    <w:rsid w:val="00DC6E7B"/>
    <w:rsid w:val="00DC7217"/>
    <w:rsid w:val="00DC79BB"/>
    <w:rsid w:val="00DD11EB"/>
    <w:rsid w:val="00DD1753"/>
    <w:rsid w:val="00DD1A4F"/>
    <w:rsid w:val="00DD1B8B"/>
    <w:rsid w:val="00DD1F32"/>
    <w:rsid w:val="00DD23D6"/>
    <w:rsid w:val="00DD3B82"/>
    <w:rsid w:val="00DD3C16"/>
    <w:rsid w:val="00DD4151"/>
    <w:rsid w:val="00DD4855"/>
    <w:rsid w:val="00DD5892"/>
    <w:rsid w:val="00DD7131"/>
    <w:rsid w:val="00DD75C4"/>
    <w:rsid w:val="00DE02F6"/>
    <w:rsid w:val="00DE1226"/>
    <w:rsid w:val="00DE1630"/>
    <w:rsid w:val="00DE1FBA"/>
    <w:rsid w:val="00DE3E4A"/>
    <w:rsid w:val="00DE4550"/>
    <w:rsid w:val="00DE55DE"/>
    <w:rsid w:val="00DE5968"/>
    <w:rsid w:val="00DE6A2A"/>
    <w:rsid w:val="00DE70D2"/>
    <w:rsid w:val="00DF09EB"/>
    <w:rsid w:val="00DF1227"/>
    <w:rsid w:val="00DF131F"/>
    <w:rsid w:val="00DF2C98"/>
    <w:rsid w:val="00DF2D99"/>
    <w:rsid w:val="00DF3D68"/>
    <w:rsid w:val="00DF42E2"/>
    <w:rsid w:val="00DF5250"/>
    <w:rsid w:val="00DF73D3"/>
    <w:rsid w:val="00DF77FD"/>
    <w:rsid w:val="00DF7853"/>
    <w:rsid w:val="00DF7AB6"/>
    <w:rsid w:val="00DF7EF4"/>
    <w:rsid w:val="00E005C6"/>
    <w:rsid w:val="00E00DCA"/>
    <w:rsid w:val="00E01FD2"/>
    <w:rsid w:val="00E02696"/>
    <w:rsid w:val="00E02EF3"/>
    <w:rsid w:val="00E033B7"/>
    <w:rsid w:val="00E038DB"/>
    <w:rsid w:val="00E04FFB"/>
    <w:rsid w:val="00E05EEE"/>
    <w:rsid w:val="00E065DD"/>
    <w:rsid w:val="00E06FB3"/>
    <w:rsid w:val="00E075A8"/>
    <w:rsid w:val="00E07D5A"/>
    <w:rsid w:val="00E105EE"/>
    <w:rsid w:val="00E10855"/>
    <w:rsid w:val="00E10D91"/>
    <w:rsid w:val="00E11090"/>
    <w:rsid w:val="00E1165F"/>
    <w:rsid w:val="00E11D80"/>
    <w:rsid w:val="00E134FC"/>
    <w:rsid w:val="00E13BFF"/>
    <w:rsid w:val="00E13CFF"/>
    <w:rsid w:val="00E140F7"/>
    <w:rsid w:val="00E1436B"/>
    <w:rsid w:val="00E144A9"/>
    <w:rsid w:val="00E14F22"/>
    <w:rsid w:val="00E151BD"/>
    <w:rsid w:val="00E15876"/>
    <w:rsid w:val="00E170FA"/>
    <w:rsid w:val="00E2020E"/>
    <w:rsid w:val="00E20D15"/>
    <w:rsid w:val="00E21EB3"/>
    <w:rsid w:val="00E2365A"/>
    <w:rsid w:val="00E236B2"/>
    <w:rsid w:val="00E253F6"/>
    <w:rsid w:val="00E25A13"/>
    <w:rsid w:val="00E25ADA"/>
    <w:rsid w:val="00E26F75"/>
    <w:rsid w:val="00E26FC3"/>
    <w:rsid w:val="00E27C6B"/>
    <w:rsid w:val="00E3064C"/>
    <w:rsid w:val="00E32488"/>
    <w:rsid w:val="00E32A91"/>
    <w:rsid w:val="00E32F50"/>
    <w:rsid w:val="00E33007"/>
    <w:rsid w:val="00E34483"/>
    <w:rsid w:val="00E3456D"/>
    <w:rsid w:val="00E406B2"/>
    <w:rsid w:val="00E4160C"/>
    <w:rsid w:val="00E4190D"/>
    <w:rsid w:val="00E425CA"/>
    <w:rsid w:val="00E43061"/>
    <w:rsid w:val="00E44987"/>
    <w:rsid w:val="00E44EB9"/>
    <w:rsid w:val="00E44F34"/>
    <w:rsid w:val="00E45859"/>
    <w:rsid w:val="00E45CDB"/>
    <w:rsid w:val="00E4710B"/>
    <w:rsid w:val="00E47666"/>
    <w:rsid w:val="00E47C2B"/>
    <w:rsid w:val="00E504E9"/>
    <w:rsid w:val="00E50658"/>
    <w:rsid w:val="00E507A9"/>
    <w:rsid w:val="00E5091E"/>
    <w:rsid w:val="00E51559"/>
    <w:rsid w:val="00E5253D"/>
    <w:rsid w:val="00E53860"/>
    <w:rsid w:val="00E54BCA"/>
    <w:rsid w:val="00E554E7"/>
    <w:rsid w:val="00E55DB1"/>
    <w:rsid w:val="00E567A0"/>
    <w:rsid w:val="00E5688C"/>
    <w:rsid w:val="00E57C72"/>
    <w:rsid w:val="00E60AEE"/>
    <w:rsid w:val="00E60DD6"/>
    <w:rsid w:val="00E611B1"/>
    <w:rsid w:val="00E61A74"/>
    <w:rsid w:val="00E6204D"/>
    <w:rsid w:val="00E62B72"/>
    <w:rsid w:val="00E63F44"/>
    <w:rsid w:val="00E6547E"/>
    <w:rsid w:val="00E65E36"/>
    <w:rsid w:val="00E669A1"/>
    <w:rsid w:val="00E67625"/>
    <w:rsid w:val="00E700D9"/>
    <w:rsid w:val="00E70496"/>
    <w:rsid w:val="00E72EB2"/>
    <w:rsid w:val="00E75B9F"/>
    <w:rsid w:val="00E75FF6"/>
    <w:rsid w:val="00E76092"/>
    <w:rsid w:val="00E7626A"/>
    <w:rsid w:val="00E76AC1"/>
    <w:rsid w:val="00E77A6F"/>
    <w:rsid w:val="00E8137E"/>
    <w:rsid w:val="00E83659"/>
    <w:rsid w:val="00E8390A"/>
    <w:rsid w:val="00E83A3B"/>
    <w:rsid w:val="00E83C88"/>
    <w:rsid w:val="00E84055"/>
    <w:rsid w:val="00E84595"/>
    <w:rsid w:val="00E874C9"/>
    <w:rsid w:val="00E8789F"/>
    <w:rsid w:val="00E901D7"/>
    <w:rsid w:val="00E9172D"/>
    <w:rsid w:val="00E91BD8"/>
    <w:rsid w:val="00E922BE"/>
    <w:rsid w:val="00E9258D"/>
    <w:rsid w:val="00E9268E"/>
    <w:rsid w:val="00E92B00"/>
    <w:rsid w:val="00E93346"/>
    <w:rsid w:val="00E9368B"/>
    <w:rsid w:val="00E94D9A"/>
    <w:rsid w:val="00E951CA"/>
    <w:rsid w:val="00E953FA"/>
    <w:rsid w:val="00E97D0F"/>
    <w:rsid w:val="00E97E28"/>
    <w:rsid w:val="00EA0200"/>
    <w:rsid w:val="00EA033F"/>
    <w:rsid w:val="00EA15A4"/>
    <w:rsid w:val="00EA200B"/>
    <w:rsid w:val="00EA24FF"/>
    <w:rsid w:val="00EA317F"/>
    <w:rsid w:val="00EA484D"/>
    <w:rsid w:val="00EA4A96"/>
    <w:rsid w:val="00EA6533"/>
    <w:rsid w:val="00EA6752"/>
    <w:rsid w:val="00EA7014"/>
    <w:rsid w:val="00EA7D9D"/>
    <w:rsid w:val="00EB072B"/>
    <w:rsid w:val="00EB104B"/>
    <w:rsid w:val="00EB1A14"/>
    <w:rsid w:val="00EB1C95"/>
    <w:rsid w:val="00EB3B0A"/>
    <w:rsid w:val="00EB3DAC"/>
    <w:rsid w:val="00EB4093"/>
    <w:rsid w:val="00EB46F3"/>
    <w:rsid w:val="00EB46F9"/>
    <w:rsid w:val="00EB4958"/>
    <w:rsid w:val="00EB4BFF"/>
    <w:rsid w:val="00EB5448"/>
    <w:rsid w:val="00EB6D09"/>
    <w:rsid w:val="00EB76BE"/>
    <w:rsid w:val="00EC05CA"/>
    <w:rsid w:val="00EC1371"/>
    <w:rsid w:val="00EC2406"/>
    <w:rsid w:val="00EC2445"/>
    <w:rsid w:val="00EC33B2"/>
    <w:rsid w:val="00EC3796"/>
    <w:rsid w:val="00EC41A4"/>
    <w:rsid w:val="00EC5D78"/>
    <w:rsid w:val="00EC6563"/>
    <w:rsid w:val="00EC6B1C"/>
    <w:rsid w:val="00EC7294"/>
    <w:rsid w:val="00EC7555"/>
    <w:rsid w:val="00EC7728"/>
    <w:rsid w:val="00ED0109"/>
    <w:rsid w:val="00ED0680"/>
    <w:rsid w:val="00ED10A6"/>
    <w:rsid w:val="00ED27B9"/>
    <w:rsid w:val="00ED2905"/>
    <w:rsid w:val="00ED290F"/>
    <w:rsid w:val="00ED36B0"/>
    <w:rsid w:val="00ED3AF1"/>
    <w:rsid w:val="00ED3D65"/>
    <w:rsid w:val="00ED4792"/>
    <w:rsid w:val="00ED5C28"/>
    <w:rsid w:val="00ED7E7A"/>
    <w:rsid w:val="00ED7F96"/>
    <w:rsid w:val="00EE0D8C"/>
    <w:rsid w:val="00EE149D"/>
    <w:rsid w:val="00EE172B"/>
    <w:rsid w:val="00EE20A8"/>
    <w:rsid w:val="00EE2BBE"/>
    <w:rsid w:val="00EE3F56"/>
    <w:rsid w:val="00EE4BB2"/>
    <w:rsid w:val="00EE50F0"/>
    <w:rsid w:val="00EE560A"/>
    <w:rsid w:val="00EE5925"/>
    <w:rsid w:val="00EE6B47"/>
    <w:rsid w:val="00EE733B"/>
    <w:rsid w:val="00EE7B6D"/>
    <w:rsid w:val="00EF13A5"/>
    <w:rsid w:val="00EF1724"/>
    <w:rsid w:val="00EF1AA9"/>
    <w:rsid w:val="00EF1B4E"/>
    <w:rsid w:val="00EF1CC2"/>
    <w:rsid w:val="00EF20A3"/>
    <w:rsid w:val="00EF36D0"/>
    <w:rsid w:val="00EF3963"/>
    <w:rsid w:val="00EF4A2E"/>
    <w:rsid w:val="00EF5079"/>
    <w:rsid w:val="00EF7A77"/>
    <w:rsid w:val="00EF7DE3"/>
    <w:rsid w:val="00F006C9"/>
    <w:rsid w:val="00F0157C"/>
    <w:rsid w:val="00F02DA1"/>
    <w:rsid w:val="00F02F54"/>
    <w:rsid w:val="00F035E3"/>
    <w:rsid w:val="00F03638"/>
    <w:rsid w:val="00F039ED"/>
    <w:rsid w:val="00F03F16"/>
    <w:rsid w:val="00F04C4D"/>
    <w:rsid w:val="00F05F08"/>
    <w:rsid w:val="00F0620D"/>
    <w:rsid w:val="00F06802"/>
    <w:rsid w:val="00F07ECC"/>
    <w:rsid w:val="00F10116"/>
    <w:rsid w:val="00F11B23"/>
    <w:rsid w:val="00F1344F"/>
    <w:rsid w:val="00F134A9"/>
    <w:rsid w:val="00F13850"/>
    <w:rsid w:val="00F13A34"/>
    <w:rsid w:val="00F146CB"/>
    <w:rsid w:val="00F14B1E"/>
    <w:rsid w:val="00F15D92"/>
    <w:rsid w:val="00F2062A"/>
    <w:rsid w:val="00F21B1F"/>
    <w:rsid w:val="00F21E75"/>
    <w:rsid w:val="00F220EF"/>
    <w:rsid w:val="00F2298C"/>
    <w:rsid w:val="00F24CF2"/>
    <w:rsid w:val="00F25235"/>
    <w:rsid w:val="00F254F6"/>
    <w:rsid w:val="00F25F2E"/>
    <w:rsid w:val="00F27C03"/>
    <w:rsid w:val="00F3022D"/>
    <w:rsid w:val="00F30487"/>
    <w:rsid w:val="00F30708"/>
    <w:rsid w:val="00F31B3B"/>
    <w:rsid w:val="00F31E35"/>
    <w:rsid w:val="00F3220C"/>
    <w:rsid w:val="00F3228A"/>
    <w:rsid w:val="00F323CD"/>
    <w:rsid w:val="00F335D9"/>
    <w:rsid w:val="00F3395E"/>
    <w:rsid w:val="00F33A72"/>
    <w:rsid w:val="00F33DA0"/>
    <w:rsid w:val="00F3415D"/>
    <w:rsid w:val="00F363F1"/>
    <w:rsid w:val="00F37256"/>
    <w:rsid w:val="00F3730E"/>
    <w:rsid w:val="00F37EF3"/>
    <w:rsid w:val="00F43572"/>
    <w:rsid w:val="00F43DFC"/>
    <w:rsid w:val="00F4442D"/>
    <w:rsid w:val="00F45A29"/>
    <w:rsid w:val="00F45E5A"/>
    <w:rsid w:val="00F46D2E"/>
    <w:rsid w:val="00F470F5"/>
    <w:rsid w:val="00F50172"/>
    <w:rsid w:val="00F54735"/>
    <w:rsid w:val="00F54740"/>
    <w:rsid w:val="00F54759"/>
    <w:rsid w:val="00F55752"/>
    <w:rsid w:val="00F55B4E"/>
    <w:rsid w:val="00F565D0"/>
    <w:rsid w:val="00F57A3E"/>
    <w:rsid w:val="00F60AFA"/>
    <w:rsid w:val="00F6205A"/>
    <w:rsid w:val="00F6220D"/>
    <w:rsid w:val="00F62899"/>
    <w:rsid w:val="00F637A9"/>
    <w:rsid w:val="00F63A4A"/>
    <w:rsid w:val="00F63E31"/>
    <w:rsid w:val="00F645AE"/>
    <w:rsid w:val="00F64BE9"/>
    <w:rsid w:val="00F6502A"/>
    <w:rsid w:val="00F65EBF"/>
    <w:rsid w:val="00F674C5"/>
    <w:rsid w:val="00F67D00"/>
    <w:rsid w:val="00F67D2C"/>
    <w:rsid w:val="00F67DC2"/>
    <w:rsid w:val="00F70011"/>
    <w:rsid w:val="00F70B33"/>
    <w:rsid w:val="00F70C1E"/>
    <w:rsid w:val="00F71884"/>
    <w:rsid w:val="00F71D92"/>
    <w:rsid w:val="00F720FA"/>
    <w:rsid w:val="00F7244E"/>
    <w:rsid w:val="00F7276A"/>
    <w:rsid w:val="00F73259"/>
    <w:rsid w:val="00F733B2"/>
    <w:rsid w:val="00F75DF6"/>
    <w:rsid w:val="00F76CD9"/>
    <w:rsid w:val="00F772EA"/>
    <w:rsid w:val="00F77698"/>
    <w:rsid w:val="00F8004F"/>
    <w:rsid w:val="00F8134C"/>
    <w:rsid w:val="00F83BC2"/>
    <w:rsid w:val="00F8435A"/>
    <w:rsid w:val="00F84ED2"/>
    <w:rsid w:val="00F85072"/>
    <w:rsid w:val="00F85925"/>
    <w:rsid w:val="00F8632F"/>
    <w:rsid w:val="00F87420"/>
    <w:rsid w:val="00F87AC1"/>
    <w:rsid w:val="00F90290"/>
    <w:rsid w:val="00F915B8"/>
    <w:rsid w:val="00F91734"/>
    <w:rsid w:val="00F91B3B"/>
    <w:rsid w:val="00F94EC0"/>
    <w:rsid w:val="00F95794"/>
    <w:rsid w:val="00F976C6"/>
    <w:rsid w:val="00FA0C52"/>
    <w:rsid w:val="00FA1A94"/>
    <w:rsid w:val="00FA1CFB"/>
    <w:rsid w:val="00FA1F90"/>
    <w:rsid w:val="00FA215D"/>
    <w:rsid w:val="00FA2451"/>
    <w:rsid w:val="00FA25A9"/>
    <w:rsid w:val="00FA2726"/>
    <w:rsid w:val="00FA3FB9"/>
    <w:rsid w:val="00FA4447"/>
    <w:rsid w:val="00FA457D"/>
    <w:rsid w:val="00FA691B"/>
    <w:rsid w:val="00FA6E33"/>
    <w:rsid w:val="00FA72B1"/>
    <w:rsid w:val="00FA7977"/>
    <w:rsid w:val="00FB22F4"/>
    <w:rsid w:val="00FB2FBB"/>
    <w:rsid w:val="00FB2FEA"/>
    <w:rsid w:val="00FB4B02"/>
    <w:rsid w:val="00FB6180"/>
    <w:rsid w:val="00FB726B"/>
    <w:rsid w:val="00FC479C"/>
    <w:rsid w:val="00FC5AB3"/>
    <w:rsid w:val="00FC6E57"/>
    <w:rsid w:val="00FC7151"/>
    <w:rsid w:val="00FC7BF1"/>
    <w:rsid w:val="00FD0560"/>
    <w:rsid w:val="00FD0C02"/>
    <w:rsid w:val="00FD0D4A"/>
    <w:rsid w:val="00FD1D0B"/>
    <w:rsid w:val="00FD1FCF"/>
    <w:rsid w:val="00FD282F"/>
    <w:rsid w:val="00FD415E"/>
    <w:rsid w:val="00FD56F4"/>
    <w:rsid w:val="00FD5A8E"/>
    <w:rsid w:val="00FD5E4C"/>
    <w:rsid w:val="00FD6D32"/>
    <w:rsid w:val="00FD6EAA"/>
    <w:rsid w:val="00FE0ABB"/>
    <w:rsid w:val="00FE141F"/>
    <w:rsid w:val="00FE1DC8"/>
    <w:rsid w:val="00FE20F0"/>
    <w:rsid w:val="00FE248B"/>
    <w:rsid w:val="00FE277D"/>
    <w:rsid w:val="00FE7911"/>
    <w:rsid w:val="00FE7AAE"/>
    <w:rsid w:val="00FF1735"/>
    <w:rsid w:val="00FF26C7"/>
    <w:rsid w:val="00FF2C31"/>
    <w:rsid w:val="00FF31C9"/>
    <w:rsid w:val="00FF3D51"/>
    <w:rsid w:val="00FF45E5"/>
    <w:rsid w:val="00FF4E93"/>
    <w:rsid w:val="00FF5DB9"/>
    <w:rsid w:val="00FF663F"/>
    <w:rsid w:val="00FF6E3C"/>
    <w:rsid w:val="00FF7AE0"/>
    <w:rsid w:val="00FF7AF0"/>
    <w:rsid w:val="00FF7F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202A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paragraph" w:styleId="Revision">
    <w:name w:val="Revision"/>
    <w:hidden/>
    <w:uiPriority w:val="99"/>
    <w:semiHidden/>
    <w:rsid w:val="0003094F"/>
    <w:pPr>
      <w:spacing w:line="240" w:lineRule="auto"/>
    </w:pPr>
  </w:style>
  <w:style w:type="character" w:customStyle="1" w:styleId="Heading2Char">
    <w:name w:val="Heading 2 Char"/>
    <w:basedOn w:val="DefaultParagraphFont"/>
    <w:link w:val="Heading2"/>
    <w:uiPriority w:val="9"/>
    <w:semiHidden/>
    <w:rsid w:val="00A202A0"/>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A202A0"/>
    <w:rPr>
      <w:sz w:val="16"/>
      <w:szCs w:val="16"/>
    </w:rPr>
  </w:style>
  <w:style w:type="paragraph" w:styleId="CommentText">
    <w:name w:val="annotation text"/>
    <w:basedOn w:val="Normal"/>
    <w:link w:val="CommentTextChar"/>
    <w:uiPriority w:val="99"/>
    <w:unhideWhenUsed/>
    <w:rsid w:val="00A202A0"/>
    <w:pPr>
      <w:spacing w:line="240" w:lineRule="auto"/>
    </w:pPr>
    <w:rPr>
      <w:sz w:val="20"/>
      <w:szCs w:val="20"/>
    </w:rPr>
  </w:style>
  <w:style w:type="character" w:customStyle="1" w:styleId="CommentTextChar">
    <w:name w:val="Comment Text Char"/>
    <w:basedOn w:val="DefaultParagraphFont"/>
    <w:link w:val="CommentText"/>
    <w:uiPriority w:val="99"/>
    <w:rsid w:val="00A202A0"/>
    <w:rPr>
      <w:sz w:val="20"/>
      <w:szCs w:val="20"/>
    </w:rPr>
  </w:style>
  <w:style w:type="paragraph" w:styleId="CommentSubject">
    <w:name w:val="annotation subject"/>
    <w:basedOn w:val="CommentText"/>
    <w:next w:val="CommentText"/>
    <w:link w:val="CommentSubjectChar"/>
    <w:uiPriority w:val="99"/>
    <w:semiHidden/>
    <w:unhideWhenUsed/>
    <w:rsid w:val="00A202A0"/>
    <w:rPr>
      <w:b/>
      <w:bCs/>
    </w:rPr>
  </w:style>
  <w:style w:type="character" w:customStyle="1" w:styleId="CommentSubjectChar">
    <w:name w:val="Comment Subject Char"/>
    <w:basedOn w:val="CommentTextChar"/>
    <w:link w:val="CommentSubject"/>
    <w:uiPriority w:val="99"/>
    <w:semiHidden/>
    <w:rsid w:val="00A202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5379">
      <w:bodyDiv w:val="1"/>
      <w:marLeft w:val="0"/>
      <w:marRight w:val="0"/>
      <w:marTop w:val="0"/>
      <w:marBottom w:val="0"/>
      <w:divBdr>
        <w:top w:val="none" w:sz="0" w:space="0" w:color="auto"/>
        <w:left w:val="none" w:sz="0" w:space="0" w:color="auto"/>
        <w:bottom w:val="none" w:sz="0" w:space="0" w:color="auto"/>
        <w:right w:val="none" w:sz="0" w:space="0" w:color="auto"/>
      </w:divBdr>
    </w:div>
    <w:div w:id="145127159">
      <w:bodyDiv w:val="1"/>
      <w:marLeft w:val="0"/>
      <w:marRight w:val="0"/>
      <w:marTop w:val="0"/>
      <w:marBottom w:val="0"/>
      <w:divBdr>
        <w:top w:val="none" w:sz="0" w:space="0" w:color="auto"/>
        <w:left w:val="none" w:sz="0" w:space="0" w:color="auto"/>
        <w:bottom w:val="none" w:sz="0" w:space="0" w:color="auto"/>
        <w:right w:val="none" w:sz="0" w:space="0" w:color="auto"/>
      </w:divBdr>
    </w:div>
    <w:div w:id="158933388">
      <w:bodyDiv w:val="1"/>
      <w:marLeft w:val="0"/>
      <w:marRight w:val="0"/>
      <w:marTop w:val="0"/>
      <w:marBottom w:val="0"/>
      <w:divBdr>
        <w:top w:val="none" w:sz="0" w:space="0" w:color="auto"/>
        <w:left w:val="none" w:sz="0" w:space="0" w:color="auto"/>
        <w:bottom w:val="none" w:sz="0" w:space="0" w:color="auto"/>
        <w:right w:val="none" w:sz="0" w:space="0" w:color="auto"/>
      </w:divBdr>
    </w:div>
    <w:div w:id="165368259">
      <w:bodyDiv w:val="1"/>
      <w:marLeft w:val="0"/>
      <w:marRight w:val="0"/>
      <w:marTop w:val="0"/>
      <w:marBottom w:val="0"/>
      <w:divBdr>
        <w:top w:val="none" w:sz="0" w:space="0" w:color="auto"/>
        <w:left w:val="none" w:sz="0" w:space="0" w:color="auto"/>
        <w:bottom w:val="none" w:sz="0" w:space="0" w:color="auto"/>
        <w:right w:val="none" w:sz="0" w:space="0" w:color="auto"/>
      </w:divBdr>
    </w:div>
    <w:div w:id="265500139">
      <w:bodyDiv w:val="1"/>
      <w:marLeft w:val="0"/>
      <w:marRight w:val="0"/>
      <w:marTop w:val="0"/>
      <w:marBottom w:val="0"/>
      <w:divBdr>
        <w:top w:val="none" w:sz="0" w:space="0" w:color="auto"/>
        <w:left w:val="none" w:sz="0" w:space="0" w:color="auto"/>
        <w:bottom w:val="none" w:sz="0" w:space="0" w:color="auto"/>
        <w:right w:val="none" w:sz="0" w:space="0" w:color="auto"/>
      </w:divBdr>
    </w:div>
    <w:div w:id="272564428">
      <w:bodyDiv w:val="1"/>
      <w:marLeft w:val="0"/>
      <w:marRight w:val="0"/>
      <w:marTop w:val="0"/>
      <w:marBottom w:val="0"/>
      <w:divBdr>
        <w:top w:val="none" w:sz="0" w:space="0" w:color="auto"/>
        <w:left w:val="none" w:sz="0" w:space="0" w:color="auto"/>
        <w:bottom w:val="none" w:sz="0" w:space="0" w:color="auto"/>
        <w:right w:val="none" w:sz="0" w:space="0" w:color="auto"/>
      </w:divBdr>
    </w:div>
    <w:div w:id="279536903">
      <w:bodyDiv w:val="1"/>
      <w:marLeft w:val="0"/>
      <w:marRight w:val="0"/>
      <w:marTop w:val="0"/>
      <w:marBottom w:val="0"/>
      <w:divBdr>
        <w:top w:val="none" w:sz="0" w:space="0" w:color="auto"/>
        <w:left w:val="none" w:sz="0" w:space="0" w:color="auto"/>
        <w:bottom w:val="none" w:sz="0" w:space="0" w:color="auto"/>
        <w:right w:val="none" w:sz="0" w:space="0" w:color="auto"/>
      </w:divBdr>
    </w:div>
    <w:div w:id="310601725">
      <w:bodyDiv w:val="1"/>
      <w:marLeft w:val="0"/>
      <w:marRight w:val="0"/>
      <w:marTop w:val="0"/>
      <w:marBottom w:val="0"/>
      <w:divBdr>
        <w:top w:val="none" w:sz="0" w:space="0" w:color="auto"/>
        <w:left w:val="none" w:sz="0" w:space="0" w:color="auto"/>
        <w:bottom w:val="none" w:sz="0" w:space="0" w:color="auto"/>
        <w:right w:val="none" w:sz="0" w:space="0" w:color="auto"/>
      </w:divBdr>
    </w:div>
    <w:div w:id="314990591">
      <w:bodyDiv w:val="1"/>
      <w:marLeft w:val="0"/>
      <w:marRight w:val="0"/>
      <w:marTop w:val="0"/>
      <w:marBottom w:val="0"/>
      <w:divBdr>
        <w:top w:val="none" w:sz="0" w:space="0" w:color="auto"/>
        <w:left w:val="none" w:sz="0" w:space="0" w:color="auto"/>
        <w:bottom w:val="none" w:sz="0" w:space="0" w:color="auto"/>
        <w:right w:val="none" w:sz="0" w:space="0" w:color="auto"/>
      </w:divBdr>
    </w:div>
    <w:div w:id="365063914">
      <w:bodyDiv w:val="1"/>
      <w:marLeft w:val="0"/>
      <w:marRight w:val="0"/>
      <w:marTop w:val="0"/>
      <w:marBottom w:val="0"/>
      <w:divBdr>
        <w:top w:val="none" w:sz="0" w:space="0" w:color="auto"/>
        <w:left w:val="none" w:sz="0" w:space="0" w:color="auto"/>
        <w:bottom w:val="none" w:sz="0" w:space="0" w:color="auto"/>
        <w:right w:val="none" w:sz="0" w:space="0" w:color="auto"/>
      </w:divBdr>
    </w:div>
    <w:div w:id="454179047">
      <w:bodyDiv w:val="1"/>
      <w:marLeft w:val="0"/>
      <w:marRight w:val="0"/>
      <w:marTop w:val="0"/>
      <w:marBottom w:val="0"/>
      <w:divBdr>
        <w:top w:val="none" w:sz="0" w:space="0" w:color="auto"/>
        <w:left w:val="none" w:sz="0" w:space="0" w:color="auto"/>
        <w:bottom w:val="none" w:sz="0" w:space="0" w:color="auto"/>
        <w:right w:val="none" w:sz="0" w:space="0" w:color="auto"/>
      </w:divBdr>
    </w:div>
    <w:div w:id="467163014">
      <w:bodyDiv w:val="1"/>
      <w:marLeft w:val="0"/>
      <w:marRight w:val="0"/>
      <w:marTop w:val="0"/>
      <w:marBottom w:val="0"/>
      <w:divBdr>
        <w:top w:val="none" w:sz="0" w:space="0" w:color="auto"/>
        <w:left w:val="none" w:sz="0" w:space="0" w:color="auto"/>
        <w:bottom w:val="none" w:sz="0" w:space="0" w:color="auto"/>
        <w:right w:val="none" w:sz="0" w:space="0" w:color="auto"/>
      </w:divBdr>
    </w:div>
    <w:div w:id="479811434">
      <w:bodyDiv w:val="1"/>
      <w:marLeft w:val="0"/>
      <w:marRight w:val="0"/>
      <w:marTop w:val="0"/>
      <w:marBottom w:val="0"/>
      <w:divBdr>
        <w:top w:val="none" w:sz="0" w:space="0" w:color="auto"/>
        <w:left w:val="none" w:sz="0" w:space="0" w:color="auto"/>
        <w:bottom w:val="none" w:sz="0" w:space="0" w:color="auto"/>
        <w:right w:val="none" w:sz="0" w:space="0" w:color="auto"/>
      </w:divBdr>
    </w:div>
    <w:div w:id="479813279">
      <w:bodyDiv w:val="1"/>
      <w:marLeft w:val="0"/>
      <w:marRight w:val="0"/>
      <w:marTop w:val="0"/>
      <w:marBottom w:val="0"/>
      <w:divBdr>
        <w:top w:val="none" w:sz="0" w:space="0" w:color="auto"/>
        <w:left w:val="none" w:sz="0" w:space="0" w:color="auto"/>
        <w:bottom w:val="none" w:sz="0" w:space="0" w:color="auto"/>
        <w:right w:val="none" w:sz="0" w:space="0" w:color="auto"/>
      </w:divBdr>
    </w:div>
    <w:div w:id="487213398">
      <w:bodyDiv w:val="1"/>
      <w:marLeft w:val="0"/>
      <w:marRight w:val="0"/>
      <w:marTop w:val="0"/>
      <w:marBottom w:val="0"/>
      <w:divBdr>
        <w:top w:val="none" w:sz="0" w:space="0" w:color="auto"/>
        <w:left w:val="none" w:sz="0" w:space="0" w:color="auto"/>
        <w:bottom w:val="none" w:sz="0" w:space="0" w:color="auto"/>
        <w:right w:val="none" w:sz="0" w:space="0" w:color="auto"/>
      </w:divBdr>
    </w:div>
    <w:div w:id="494536351">
      <w:bodyDiv w:val="1"/>
      <w:marLeft w:val="0"/>
      <w:marRight w:val="0"/>
      <w:marTop w:val="0"/>
      <w:marBottom w:val="0"/>
      <w:divBdr>
        <w:top w:val="none" w:sz="0" w:space="0" w:color="auto"/>
        <w:left w:val="none" w:sz="0" w:space="0" w:color="auto"/>
        <w:bottom w:val="none" w:sz="0" w:space="0" w:color="auto"/>
        <w:right w:val="none" w:sz="0" w:space="0" w:color="auto"/>
      </w:divBdr>
    </w:div>
    <w:div w:id="499582726">
      <w:bodyDiv w:val="1"/>
      <w:marLeft w:val="0"/>
      <w:marRight w:val="0"/>
      <w:marTop w:val="0"/>
      <w:marBottom w:val="0"/>
      <w:divBdr>
        <w:top w:val="none" w:sz="0" w:space="0" w:color="auto"/>
        <w:left w:val="none" w:sz="0" w:space="0" w:color="auto"/>
        <w:bottom w:val="none" w:sz="0" w:space="0" w:color="auto"/>
        <w:right w:val="none" w:sz="0" w:space="0" w:color="auto"/>
      </w:divBdr>
    </w:div>
    <w:div w:id="536740685">
      <w:bodyDiv w:val="1"/>
      <w:marLeft w:val="0"/>
      <w:marRight w:val="0"/>
      <w:marTop w:val="0"/>
      <w:marBottom w:val="0"/>
      <w:divBdr>
        <w:top w:val="none" w:sz="0" w:space="0" w:color="auto"/>
        <w:left w:val="none" w:sz="0" w:space="0" w:color="auto"/>
        <w:bottom w:val="none" w:sz="0" w:space="0" w:color="auto"/>
        <w:right w:val="none" w:sz="0" w:space="0" w:color="auto"/>
      </w:divBdr>
    </w:div>
    <w:div w:id="597442233">
      <w:bodyDiv w:val="1"/>
      <w:marLeft w:val="0"/>
      <w:marRight w:val="0"/>
      <w:marTop w:val="0"/>
      <w:marBottom w:val="0"/>
      <w:divBdr>
        <w:top w:val="none" w:sz="0" w:space="0" w:color="auto"/>
        <w:left w:val="none" w:sz="0" w:space="0" w:color="auto"/>
        <w:bottom w:val="none" w:sz="0" w:space="0" w:color="auto"/>
        <w:right w:val="none" w:sz="0" w:space="0" w:color="auto"/>
      </w:divBdr>
    </w:div>
    <w:div w:id="665208606">
      <w:bodyDiv w:val="1"/>
      <w:marLeft w:val="0"/>
      <w:marRight w:val="0"/>
      <w:marTop w:val="0"/>
      <w:marBottom w:val="0"/>
      <w:divBdr>
        <w:top w:val="none" w:sz="0" w:space="0" w:color="auto"/>
        <w:left w:val="none" w:sz="0" w:space="0" w:color="auto"/>
        <w:bottom w:val="none" w:sz="0" w:space="0" w:color="auto"/>
        <w:right w:val="none" w:sz="0" w:space="0" w:color="auto"/>
      </w:divBdr>
    </w:div>
    <w:div w:id="678772126">
      <w:bodyDiv w:val="1"/>
      <w:marLeft w:val="0"/>
      <w:marRight w:val="0"/>
      <w:marTop w:val="0"/>
      <w:marBottom w:val="0"/>
      <w:divBdr>
        <w:top w:val="none" w:sz="0" w:space="0" w:color="auto"/>
        <w:left w:val="none" w:sz="0" w:space="0" w:color="auto"/>
        <w:bottom w:val="none" w:sz="0" w:space="0" w:color="auto"/>
        <w:right w:val="none" w:sz="0" w:space="0" w:color="auto"/>
      </w:divBdr>
    </w:div>
    <w:div w:id="689336104">
      <w:bodyDiv w:val="1"/>
      <w:marLeft w:val="0"/>
      <w:marRight w:val="0"/>
      <w:marTop w:val="0"/>
      <w:marBottom w:val="0"/>
      <w:divBdr>
        <w:top w:val="none" w:sz="0" w:space="0" w:color="auto"/>
        <w:left w:val="none" w:sz="0" w:space="0" w:color="auto"/>
        <w:bottom w:val="none" w:sz="0" w:space="0" w:color="auto"/>
        <w:right w:val="none" w:sz="0" w:space="0" w:color="auto"/>
      </w:divBdr>
    </w:div>
    <w:div w:id="744374744">
      <w:bodyDiv w:val="1"/>
      <w:marLeft w:val="0"/>
      <w:marRight w:val="0"/>
      <w:marTop w:val="0"/>
      <w:marBottom w:val="0"/>
      <w:divBdr>
        <w:top w:val="none" w:sz="0" w:space="0" w:color="auto"/>
        <w:left w:val="none" w:sz="0" w:space="0" w:color="auto"/>
        <w:bottom w:val="none" w:sz="0" w:space="0" w:color="auto"/>
        <w:right w:val="none" w:sz="0" w:space="0" w:color="auto"/>
      </w:divBdr>
    </w:div>
    <w:div w:id="865562978">
      <w:bodyDiv w:val="1"/>
      <w:marLeft w:val="0"/>
      <w:marRight w:val="0"/>
      <w:marTop w:val="0"/>
      <w:marBottom w:val="0"/>
      <w:divBdr>
        <w:top w:val="none" w:sz="0" w:space="0" w:color="auto"/>
        <w:left w:val="none" w:sz="0" w:space="0" w:color="auto"/>
        <w:bottom w:val="none" w:sz="0" w:space="0" w:color="auto"/>
        <w:right w:val="none" w:sz="0" w:space="0" w:color="auto"/>
      </w:divBdr>
    </w:div>
    <w:div w:id="879980741">
      <w:bodyDiv w:val="1"/>
      <w:marLeft w:val="0"/>
      <w:marRight w:val="0"/>
      <w:marTop w:val="0"/>
      <w:marBottom w:val="0"/>
      <w:divBdr>
        <w:top w:val="none" w:sz="0" w:space="0" w:color="auto"/>
        <w:left w:val="none" w:sz="0" w:space="0" w:color="auto"/>
        <w:bottom w:val="none" w:sz="0" w:space="0" w:color="auto"/>
        <w:right w:val="none" w:sz="0" w:space="0" w:color="auto"/>
      </w:divBdr>
    </w:div>
    <w:div w:id="974603381">
      <w:bodyDiv w:val="1"/>
      <w:marLeft w:val="0"/>
      <w:marRight w:val="0"/>
      <w:marTop w:val="0"/>
      <w:marBottom w:val="0"/>
      <w:divBdr>
        <w:top w:val="none" w:sz="0" w:space="0" w:color="auto"/>
        <w:left w:val="none" w:sz="0" w:space="0" w:color="auto"/>
        <w:bottom w:val="none" w:sz="0" w:space="0" w:color="auto"/>
        <w:right w:val="none" w:sz="0" w:space="0" w:color="auto"/>
      </w:divBdr>
    </w:div>
    <w:div w:id="1018046915">
      <w:bodyDiv w:val="1"/>
      <w:marLeft w:val="0"/>
      <w:marRight w:val="0"/>
      <w:marTop w:val="0"/>
      <w:marBottom w:val="0"/>
      <w:divBdr>
        <w:top w:val="none" w:sz="0" w:space="0" w:color="auto"/>
        <w:left w:val="none" w:sz="0" w:space="0" w:color="auto"/>
        <w:bottom w:val="none" w:sz="0" w:space="0" w:color="auto"/>
        <w:right w:val="none" w:sz="0" w:space="0" w:color="auto"/>
      </w:divBdr>
    </w:div>
    <w:div w:id="1042556227">
      <w:bodyDiv w:val="1"/>
      <w:marLeft w:val="0"/>
      <w:marRight w:val="0"/>
      <w:marTop w:val="0"/>
      <w:marBottom w:val="0"/>
      <w:divBdr>
        <w:top w:val="none" w:sz="0" w:space="0" w:color="auto"/>
        <w:left w:val="none" w:sz="0" w:space="0" w:color="auto"/>
        <w:bottom w:val="none" w:sz="0" w:space="0" w:color="auto"/>
        <w:right w:val="none" w:sz="0" w:space="0" w:color="auto"/>
      </w:divBdr>
    </w:div>
    <w:div w:id="1066220242">
      <w:bodyDiv w:val="1"/>
      <w:marLeft w:val="0"/>
      <w:marRight w:val="0"/>
      <w:marTop w:val="0"/>
      <w:marBottom w:val="0"/>
      <w:divBdr>
        <w:top w:val="none" w:sz="0" w:space="0" w:color="auto"/>
        <w:left w:val="none" w:sz="0" w:space="0" w:color="auto"/>
        <w:bottom w:val="none" w:sz="0" w:space="0" w:color="auto"/>
        <w:right w:val="none" w:sz="0" w:space="0" w:color="auto"/>
      </w:divBdr>
    </w:div>
    <w:div w:id="1067453556">
      <w:bodyDiv w:val="1"/>
      <w:marLeft w:val="0"/>
      <w:marRight w:val="0"/>
      <w:marTop w:val="0"/>
      <w:marBottom w:val="0"/>
      <w:divBdr>
        <w:top w:val="none" w:sz="0" w:space="0" w:color="auto"/>
        <w:left w:val="none" w:sz="0" w:space="0" w:color="auto"/>
        <w:bottom w:val="none" w:sz="0" w:space="0" w:color="auto"/>
        <w:right w:val="none" w:sz="0" w:space="0" w:color="auto"/>
      </w:divBdr>
    </w:div>
    <w:div w:id="1154567937">
      <w:bodyDiv w:val="1"/>
      <w:marLeft w:val="0"/>
      <w:marRight w:val="0"/>
      <w:marTop w:val="0"/>
      <w:marBottom w:val="0"/>
      <w:divBdr>
        <w:top w:val="none" w:sz="0" w:space="0" w:color="auto"/>
        <w:left w:val="none" w:sz="0" w:space="0" w:color="auto"/>
        <w:bottom w:val="none" w:sz="0" w:space="0" w:color="auto"/>
        <w:right w:val="none" w:sz="0" w:space="0" w:color="auto"/>
      </w:divBdr>
    </w:div>
    <w:div w:id="1166628630">
      <w:bodyDiv w:val="1"/>
      <w:marLeft w:val="0"/>
      <w:marRight w:val="0"/>
      <w:marTop w:val="0"/>
      <w:marBottom w:val="0"/>
      <w:divBdr>
        <w:top w:val="none" w:sz="0" w:space="0" w:color="auto"/>
        <w:left w:val="none" w:sz="0" w:space="0" w:color="auto"/>
        <w:bottom w:val="none" w:sz="0" w:space="0" w:color="auto"/>
        <w:right w:val="none" w:sz="0" w:space="0" w:color="auto"/>
      </w:divBdr>
    </w:div>
    <w:div w:id="1182089795">
      <w:bodyDiv w:val="1"/>
      <w:marLeft w:val="0"/>
      <w:marRight w:val="0"/>
      <w:marTop w:val="0"/>
      <w:marBottom w:val="0"/>
      <w:divBdr>
        <w:top w:val="none" w:sz="0" w:space="0" w:color="auto"/>
        <w:left w:val="none" w:sz="0" w:space="0" w:color="auto"/>
        <w:bottom w:val="none" w:sz="0" w:space="0" w:color="auto"/>
        <w:right w:val="none" w:sz="0" w:space="0" w:color="auto"/>
      </w:divBdr>
    </w:div>
    <w:div w:id="1285037844">
      <w:bodyDiv w:val="1"/>
      <w:marLeft w:val="0"/>
      <w:marRight w:val="0"/>
      <w:marTop w:val="0"/>
      <w:marBottom w:val="0"/>
      <w:divBdr>
        <w:top w:val="none" w:sz="0" w:space="0" w:color="auto"/>
        <w:left w:val="none" w:sz="0" w:space="0" w:color="auto"/>
        <w:bottom w:val="none" w:sz="0" w:space="0" w:color="auto"/>
        <w:right w:val="none" w:sz="0" w:space="0" w:color="auto"/>
      </w:divBdr>
    </w:div>
    <w:div w:id="1311327857">
      <w:bodyDiv w:val="1"/>
      <w:marLeft w:val="0"/>
      <w:marRight w:val="0"/>
      <w:marTop w:val="0"/>
      <w:marBottom w:val="0"/>
      <w:divBdr>
        <w:top w:val="none" w:sz="0" w:space="0" w:color="auto"/>
        <w:left w:val="none" w:sz="0" w:space="0" w:color="auto"/>
        <w:bottom w:val="none" w:sz="0" w:space="0" w:color="auto"/>
        <w:right w:val="none" w:sz="0" w:space="0" w:color="auto"/>
      </w:divBdr>
    </w:div>
    <w:div w:id="1382749518">
      <w:bodyDiv w:val="1"/>
      <w:marLeft w:val="0"/>
      <w:marRight w:val="0"/>
      <w:marTop w:val="0"/>
      <w:marBottom w:val="0"/>
      <w:divBdr>
        <w:top w:val="none" w:sz="0" w:space="0" w:color="auto"/>
        <w:left w:val="none" w:sz="0" w:space="0" w:color="auto"/>
        <w:bottom w:val="none" w:sz="0" w:space="0" w:color="auto"/>
        <w:right w:val="none" w:sz="0" w:space="0" w:color="auto"/>
      </w:divBdr>
    </w:div>
    <w:div w:id="1433941266">
      <w:bodyDiv w:val="1"/>
      <w:marLeft w:val="0"/>
      <w:marRight w:val="0"/>
      <w:marTop w:val="0"/>
      <w:marBottom w:val="0"/>
      <w:divBdr>
        <w:top w:val="none" w:sz="0" w:space="0" w:color="auto"/>
        <w:left w:val="none" w:sz="0" w:space="0" w:color="auto"/>
        <w:bottom w:val="none" w:sz="0" w:space="0" w:color="auto"/>
        <w:right w:val="none" w:sz="0" w:space="0" w:color="auto"/>
      </w:divBdr>
    </w:div>
    <w:div w:id="1452436250">
      <w:bodyDiv w:val="1"/>
      <w:marLeft w:val="0"/>
      <w:marRight w:val="0"/>
      <w:marTop w:val="0"/>
      <w:marBottom w:val="0"/>
      <w:divBdr>
        <w:top w:val="none" w:sz="0" w:space="0" w:color="auto"/>
        <w:left w:val="none" w:sz="0" w:space="0" w:color="auto"/>
        <w:bottom w:val="none" w:sz="0" w:space="0" w:color="auto"/>
        <w:right w:val="none" w:sz="0" w:space="0" w:color="auto"/>
      </w:divBdr>
    </w:div>
    <w:div w:id="1456289658">
      <w:bodyDiv w:val="1"/>
      <w:marLeft w:val="0"/>
      <w:marRight w:val="0"/>
      <w:marTop w:val="0"/>
      <w:marBottom w:val="0"/>
      <w:divBdr>
        <w:top w:val="none" w:sz="0" w:space="0" w:color="auto"/>
        <w:left w:val="none" w:sz="0" w:space="0" w:color="auto"/>
        <w:bottom w:val="none" w:sz="0" w:space="0" w:color="auto"/>
        <w:right w:val="none" w:sz="0" w:space="0" w:color="auto"/>
      </w:divBdr>
    </w:div>
    <w:div w:id="1483889782">
      <w:bodyDiv w:val="1"/>
      <w:marLeft w:val="0"/>
      <w:marRight w:val="0"/>
      <w:marTop w:val="0"/>
      <w:marBottom w:val="0"/>
      <w:divBdr>
        <w:top w:val="none" w:sz="0" w:space="0" w:color="auto"/>
        <w:left w:val="none" w:sz="0" w:space="0" w:color="auto"/>
        <w:bottom w:val="none" w:sz="0" w:space="0" w:color="auto"/>
        <w:right w:val="none" w:sz="0" w:space="0" w:color="auto"/>
      </w:divBdr>
    </w:div>
    <w:div w:id="1490366070">
      <w:bodyDiv w:val="1"/>
      <w:marLeft w:val="0"/>
      <w:marRight w:val="0"/>
      <w:marTop w:val="0"/>
      <w:marBottom w:val="0"/>
      <w:divBdr>
        <w:top w:val="none" w:sz="0" w:space="0" w:color="auto"/>
        <w:left w:val="none" w:sz="0" w:space="0" w:color="auto"/>
        <w:bottom w:val="none" w:sz="0" w:space="0" w:color="auto"/>
        <w:right w:val="none" w:sz="0" w:space="0" w:color="auto"/>
      </w:divBdr>
    </w:div>
    <w:div w:id="1545287316">
      <w:bodyDiv w:val="1"/>
      <w:marLeft w:val="0"/>
      <w:marRight w:val="0"/>
      <w:marTop w:val="0"/>
      <w:marBottom w:val="0"/>
      <w:divBdr>
        <w:top w:val="none" w:sz="0" w:space="0" w:color="auto"/>
        <w:left w:val="none" w:sz="0" w:space="0" w:color="auto"/>
        <w:bottom w:val="none" w:sz="0" w:space="0" w:color="auto"/>
        <w:right w:val="none" w:sz="0" w:space="0" w:color="auto"/>
      </w:divBdr>
    </w:div>
    <w:div w:id="1594777659">
      <w:bodyDiv w:val="1"/>
      <w:marLeft w:val="0"/>
      <w:marRight w:val="0"/>
      <w:marTop w:val="0"/>
      <w:marBottom w:val="0"/>
      <w:divBdr>
        <w:top w:val="none" w:sz="0" w:space="0" w:color="auto"/>
        <w:left w:val="none" w:sz="0" w:space="0" w:color="auto"/>
        <w:bottom w:val="none" w:sz="0" w:space="0" w:color="auto"/>
        <w:right w:val="none" w:sz="0" w:space="0" w:color="auto"/>
      </w:divBdr>
    </w:div>
    <w:div w:id="1596480375">
      <w:bodyDiv w:val="1"/>
      <w:marLeft w:val="0"/>
      <w:marRight w:val="0"/>
      <w:marTop w:val="0"/>
      <w:marBottom w:val="0"/>
      <w:divBdr>
        <w:top w:val="none" w:sz="0" w:space="0" w:color="auto"/>
        <w:left w:val="none" w:sz="0" w:space="0" w:color="auto"/>
        <w:bottom w:val="none" w:sz="0" w:space="0" w:color="auto"/>
        <w:right w:val="none" w:sz="0" w:space="0" w:color="auto"/>
      </w:divBdr>
    </w:div>
    <w:div w:id="1673488401">
      <w:bodyDiv w:val="1"/>
      <w:marLeft w:val="0"/>
      <w:marRight w:val="0"/>
      <w:marTop w:val="0"/>
      <w:marBottom w:val="0"/>
      <w:divBdr>
        <w:top w:val="none" w:sz="0" w:space="0" w:color="auto"/>
        <w:left w:val="none" w:sz="0" w:space="0" w:color="auto"/>
        <w:bottom w:val="none" w:sz="0" w:space="0" w:color="auto"/>
        <w:right w:val="none" w:sz="0" w:space="0" w:color="auto"/>
      </w:divBdr>
    </w:div>
    <w:div w:id="1738476871">
      <w:bodyDiv w:val="1"/>
      <w:marLeft w:val="0"/>
      <w:marRight w:val="0"/>
      <w:marTop w:val="0"/>
      <w:marBottom w:val="0"/>
      <w:divBdr>
        <w:top w:val="none" w:sz="0" w:space="0" w:color="auto"/>
        <w:left w:val="none" w:sz="0" w:space="0" w:color="auto"/>
        <w:bottom w:val="none" w:sz="0" w:space="0" w:color="auto"/>
        <w:right w:val="none" w:sz="0" w:space="0" w:color="auto"/>
      </w:divBdr>
    </w:div>
    <w:div w:id="1753434491">
      <w:bodyDiv w:val="1"/>
      <w:marLeft w:val="0"/>
      <w:marRight w:val="0"/>
      <w:marTop w:val="0"/>
      <w:marBottom w:val="0"/>
      <w:divBdr>
        <w:top w:val="none" w:sz="0" w:space="0" w:color="auto"/>
        <w:left w:val="none" w:sz="0" w:space="0" w:color="auto"/>
        <w:bottom w:val="none" w:sz="0" w:space="0" w:color="auto"/>
        <w:right w:val="none" w:sz="0" w:space="0" w:color="auto"/>
      </w:divBdr>
    </w:div>
    <w:div w:id="1770276083">
      <w:bodyDiv w:val="1"/>
      <w:marLeft w:val="0"/>
      <w:marRight w:val="0"/>
      <w:marTop w:val="0"/>
      <w:marBottom w:val="0"/>
      <w:divBdr>
        <w:top w:val="none" w:sz="0" w:space="0" w:color="auto"/>
        <w:left w:val="none" w:sz="0" w:space="0" w:color="auto"/>
        <w:bottom w:val="none" w:sz="0" w:space="0" w:color="auto"/>
        <w:right w:val="none" w:sz="0" w:space="0" w:color="auto"/>
      </w:divBdr>
    </w:div>
    <w:div w:id="1785349059">
      <w:bodyDiv w:val="1"/>
      <w:marLeft w:val="0"/>
      <w:marRight w:val="0"/>
      <w:marTop w:val="0"/>
      <w:marBottom w:val="0"/>
      <w:divBdr>
        <w:top w:val="none" w:sz="0" w:space="0" w:color="auto"/>
        <w:left w:val="none" w:sz="0" w:space="0" w:color="auto"/>
        <w:bottom w:val="none" w:sz="0" w:space="0" w:color="auto"/>
        <w:right w:val="none" w:sz="0" w:space="0" w:color="auto"/>
      </w:divBdr>
    </w:div>
    <w:div w:id="1841693484">
      <w:bodyDiv w:val="1"/>
      <w:marLeft w:val="0"/>
      <w:marRight w:val="0"/>
      <w:marTop w:val="0"/>
      <w:marBottom w:val="0"/>
      <w:divBdr>
        <w:top w:val="none" w:sz="0" w:space="0" w:color="auto"/>
        <w:left w:val="none" w:sz="0" w:space="0" w:color="auto"/>
        <w:bottom w:val="none" w:sz="0" w:space="0" w:color="auto"/>
        <w:right w:val="none" w:sz="0" w:space="0" w:color="auto"/>
      </w:divBdr>
    </w:div>
    <w:div w:id="1880241763">
      <w:bodyDiv w:val="1"/>
      <w:marLeft w:val="0"/>
      <w:marRight w:val="0"/>
      <w:marTop w:val="0"/>
      <w:marBottom w:val="0"/>
      <w:divBdr>
        <w:top w:val="none" w:sz="0" w:space="0" w:color="auto"/>
        <w:left w:val="none" w:sz="0" w:space="0" w:color="auto"/>
        <w:bottom w:val="none" w:sz="0" w:space="0" w:color="auto"/>
        <w:right w:val="none" w:sz="0" w:space="0" w:color="auto"/>
      </w:divBdr>
    </w:div>
    <w:div w:id="1894004958">
      <w:bodyDiv w:val="1"/>
      <w:marLeft w:val="0"/>
      <w:marRight w:val="0"/>
      <w:marTop w:val="0"/>
      <w:marBottom w:val="0"/>
      <w:divBdr>
        <w:top w:val="none" w:sz="0" w:space="0" w:color="auto"/>
        <w:left w:val="none" w:sz="0" w:space="0" w:color="auto"/>
        <w:bottom w:val="none" w:sz="0" w:space="0" w:color="auto"/>
        <w:right w:val="none" w:sz="0" w:space="0" w:color="auto"/>
      </w:divBdr>
    </w:div>
    <w:div w:id="1936202727">
      <w:bodyDiv w:val="1"/>
      <w:marLeft w:val="0"/>
      <w:marRight w:val="0"/>
      <w:marTop w:val="0"/>
      <w:marBottom w:val="0"/>
      <w:divBdr>
        <w:top w:val="none" w:sz="0" w:space="0" w:color="auto"/>
        <w:left w:val="none" w:sz="0" w:space="0" w:color="auto"/>
        <w:bottom w:val="none" w:sz="0" w:space="0" w:color="auto"/>
        <w:right w:val="none" w:sz="0" w:space="0" w:color="auto"/>
      </w:divBdr>
    </w:div>
    <w:div w:id="2018463094">
      <w:bodyDiv w:val="1"/>
      <w:marLeft w:val="0"/>
      <w:marRight w:val="0"/>
      <w:marTop w:val="0"/>
      <w:marBottom w:val="0"/>
      <w:divBdr>
        <w:top w:val="none" w:sz="0" w:space="0" w:color="auto"/>
        <w:left w:val="none" w:sz="0" w:space="0" w:color="auto"/>
        <w:bottom w:val="none" w:sz="0" w:space="0" w:color="auto"/>
        <w:right w:val="none" w:sz="0" w:space="0" w:color="auto"/>
      </w:divBdr>
    </w:div>
    <w:div w:id="2029867592">
      <w:bodyDiv w:val="1"/>
      <w:marLeft w:val="0"/>
      <w:marRight w:val="0"/>
      <w:marTop w:val="0"/>
      <w:marBottom w:val="0"/>
      <w:divBdr>
        <w:top w:val="none" w:sz="0" w:space="0" w:color="auto"/>
        <w:left w:val="none" w:sz="0" w:space="0" w:color="auto"/>
        <w:bottom w:val="none" w:sz="0" w:space="0" w:color="auto"/>
        <w:right w:val="none" w:sz="0" w:space="0" w:color="auto"/>
      </w:divBdr>
    </w:div>
    <w:div w:id="2091003185">
      <w:bodyDiv w:val="1"/>
      <w:marLeft w:val="0"/>
      <w:marRight w:val="0"/>
      <w:marTop w:val="0"/>
      <w:marBottom w:val="0"/>
      <w:divBdr>
        <w:top w:val="none" w:sz="0" w:space="0" w:color="auto"/>
        <w:left w:val="none" w:sz="0" w:space="0" w:color="auto"/>
        <w:bottom w:val="none" w:sz="0" w:space="0" w:color="auto"/>
        <w:right w:val="none" w:sz="0" w:space="0" w:color="auto"/>
      </w:divBdr>
    </w:div>
    <w:div w:id="2111319648">
      <w:bodyDiv w:val="1"/>
      <w:marLeft w:val="0"/>
      <w:marRight w:val="0"/>
      <w:marTop w:val="0"/>
      <w:marBottom w:val="0"/>
      <w:divBdr>
        <w:top w:val="none" w:sz="0" w:space="0" w:color="auto"/>
        <w:left w:val="none" w:sz="0" w:space="0" w:color="auto"/>
        <w:bottom w:val="none" w:sz="0" w:space="0" w:color="auto"/>
        <w:right w:val="none" w:sz="0" w:space="0" w:color="auto"/>
      </w:divBdr>
    </w:div>
    <w:div w:id="2141342422">
      <w:bodyDiv w:val="1"/>
      <w:marLeft w:val="0"/>
      <w:marRight w:val="0"/>
      <w:marTop w:val="0"/>
      <w:marBottom w:val="0"/>
      <w:divBdr>
        <w:top w:val="none" w:sz="0" w:space="0" w:color="auto"/>
        <w:left w:val="none" w:sz="0" w:space="0" w:color="auto"/>
        <w:bottom w:val="none" w:sz="0" w:space="0" w:color="auto"/>
        <w:right w:val="none" w:sz="0" w:space="0" w:color="auto"/>
      </w:divBdr>
    </w:div>
    <w:div w:id="214697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E08AC-AE34-4286-A1BE-CB5457E64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6640</Words>
  <Characters>37850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Mary Bruce</cp:lastModifiedBy>
  <cp:revision>3</cp:revision>
  <dcterms:created xsi:type="dcterms:W3CDTF">2023-10-17T19:43:00Z</dcterms:created>
  <dcterms:modified xsi:type="dcterms:W3CDTF">2023-10-26T10:17:00Z</dcterms:modified>
</cp:coreProperties>
</file>