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E0FD4" w14:textId="4B18B047" w:rsidR="00DD09BC" w:rsidRDefault="00DD09BC" w:rsidP="00DD09BC">
      <w:pPr>
        <w:widowControl w:val="0"/>
        <w:spacing w:after="0" w:line="360" w:lineRule="auto"/>
        <w:jc w:val="center"/>
        <w:rPr>
          <w:rFonts w:ascii="Arial" w:eastAsia="Times New Roman" w:hAnsi="Arial" w:cs="Arial"/>
          <w:sz w:val="24"/>
          <w:szCs w:val="24"/>
        </w:rPr>
      </w:pPr>
      <w:bookmarkStart w:id="0" w:name="_GoBack"/>
      <w:bookmarkEnd w:id="0"/>
      <w:r>
        <w:rPr>
          <w:rFonts w:ascii="Arial" w:eastAsia="Times New Roman" w:hAnsi="Arial" w:cs="Arial"/>
          <w:noProof/>
          <w:sz w:val="24"/>
          <w:szCs w:val="24"/>
          <w:lang w:eastAsia="en-ZA"/>
        </w:rPr>
        <w:drawing>
          <wp:inline distT="0" distB="0" distL="0" distR="0" wp14:anchorId="7B9DF3C7" wp14:editId="0B6F623F">
            <wp:extent cx="990600" cy="990600"/>
            <wp:effectExtent l="0" t="0" r="0" b="0"/>
            <wp:docPr id="18240230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BD21FA4" w14:textId="77777777" w:rsidR="00DD09BC" w:rsidRDefault="00DD09BC" w:rsidP="00DD09BC">
      <w:pPr>
        <w:widowControl w:val="0"/>
        <w:spacing w:after="0" w:line="360" w:lineRule="auto"/>
        <w:jc w:val="center"/>
        <w:rPr>
          <w:rFonts w:ascii="Arial" w:eastAsia="Times New Roman" w:hAnsi="Arial" w:cs="Arial"/>
          <w:b/>
          <w:sz w:val="24"/>
          <w:szCs w:val="24"/>
        </w:rPr>
      </w:pPr>
      <w:r>
        <w:rPr>
          <w:rFonts w:ascii="Arial" w:eastAsia="Times New Roman" w:hAnsi="Arial" w:cs="Arial"/>
          <w:b/>
          <w:sz w:val="24"/>
          <w:szCs w:val="24"/>
        </w:rPr>
        <w:t>IN THE HIGH COURT OF SOUTH AFRICA</w:t>
      </w:r>
    </w:p>
    <w:p w14:paraId="5714B882" w14:textId="6D79E972" w:rsidR="00DD09BC" w:rsidRDefault="00DD09BC" w:rsidP="00DD09BC">
      <w:pPr>
        <w:widowControl w:val="0"/>
        <w:tabs>
          <w:tab w:val="right" w:pos="9213"/>
        </w:tabs>
        <w:spacing w:line="720" w:lineRule="auto"/>
        <w:jc w:val="center"/>
        <w:rPr>
          <w:rFonts w:ascii="Arial" w:hAnsi="Arial" w:cs="Arial"/>
          <w:sz w:val="24"/>
          <w:szCs w:val="24"/>
        </w:rPr>
      </w:pPr>
      <w:r>
        <w:rPr>
          <w:rFonts w:ascii="Arial" w:hAnsi="Arial" w:cs="Arial"/>
          <w:b/>
          <w:sz w:val="24"/>
          <w:szCs w:val="24"/>
        </w:rPr>
        <w:t>(EASTERN CAPE DIVISION, MAKHANDA)</w:t>
      </w:r>
    </w:p>
    <w:p w14:paraId="50F73C93" w14:textId="4435852C" w:rsidR="00DD09BC" w:rsidRDefault="00DD09BC" w:rsidP="00DD09BC">
      <w:pPr>
        <w:widowControl w:val="0"/>
        <w:tabs>
          <w:tab w:val="right" w:pos="9213"/>
        </w:tabs>
        <w:spacing w:line="240" w:lineRule="auto"/>
        <w:rPr>
          <w:rFonts w:ascii="Arial" w:hAnsi="Arial" w:cs="Arial"/>
          <w:sz w:val="24"/>
          <w:szCs w:val="24"/>
        </w:rPr>
      </w:pPr>
      <w:r>
        <w:rPr>
          <w:rFonts w:ascii="Arial" w:hAnsi="Arial" w:cs="Arial"/>
          <w:sz w:val="24"/>
          <w:szCs w:val="24"/>
        </w:rPr>
        <w:tab/>
        <w:t>CASE NO. 1121/2020</w:t>
      </w:r>
    </w:p>
    <w:p w14:paraId="37DBBC14" w14:textId="77777777" w:rsidR="00DD09BC" w:rsidRDefault="00DD09BC" w:rsidP="00DD09BC">
      <w:pPr>
        <w:widowControl w:val="0"/>
        <w:tabs>
          <w:tab w:val="right" w:pos="9213"/>
        </w:tabs>
        <w:spacing w:line="360" w:lineRule="auto"/>
        <w:rPr>
          <w:rFonts w:ascii="Arial" w:hAnsi="Arial" w:cs="Arial"/>
          <w:sz w:val="24"/>
          <w:szCs w:val="24"/>
        </w:rPr>
      </w:pPr>
      <w:r>
        <w:rPr>
          <w:rFonts w:ascii="Arial" w:hAnsi="Arial" w:cs="Arial"/>
          <w:sz w:val="24"/>
          <w:szCs w:val="24"/>
        </w:rPr>
        <w:t>In the matter between:</w:t>
      </w:r>
    </w:p>
    <w:p w14:paraId="03CB1B98" w14:textId="72FC5CEC" w:rsidR="00DD09BC" w:rsidRDefault="00DD09BC" w:rsidP="00DD09BC">
      <w:pPr>
        <w:widowControl w:val="0"/>
        <w:tabs>
          <w:tab w:val="right" w:pos="9213"/>
        </w:tabs>
        <w:spacing w:line="240" w:lineRule="auto"/>
        <w:rPr>
          <w:rFonts w:ascii="Arial" w:hAnsi="Arial" w:cs="Arial"/>
          <w:b/>
          <w:sz w:val="24"/>
          <w:szCs w:val="24"/>
        </w:rPr>
      </w:pPr>
      <w:r>
        <w:rPr>
          <w:rFonts w:ascii="Arial" w:hAnsi="Arial" w:cs="Arial"/>
          <w:b/>
          <w:sz w:val="24"/>
          <w:szCs w:val="24"/>
        </w:rPr>
        <w:t>HR FOCUS CC</w:t>
      </w:r>
      <w:r>
        <w:rPr>
          <w:rFonts w:ascii="Arial" w:hAnsi="Arial" w:cs="Arial"/>
          <w:b/>
          <w:sz w:val="24"/>
          <w:szCs w:val="24"/>
        </w:rPr>
        <w:tab/>
        <w:t>Applicant</w:t>
      </w:r>
    </w:p>
    <w:p w14:paraId="21EE3EE8" w14:textId="77777777" w:rsidR="00DD09BC" w:rsidRDefault="00DD09BC" w:rsidP="00DD09BC">
      <w:pPr>
        <w:widowControl w:val="0"/>
        <w:tabs>
          <w:tab w:val="right" w:pos="9213"/>
        </w:tabs>
        <w:spacing w:line="240" w:lineRule="auto"/>
        <w:rPr>
          <w:rFonts w:ascii="Arial" w:hAnsi="Arial" w:cs="Arial"/>
          <w:b/>
          <w:sz w:val="24"/>
          <w:szCs w:val="24"/>
        </w:rPr>
      </w:pPr>
    </w:p>
    <w:p w14:paraId="4BF015F5" w14:textId="77777777" w:rsidR="00DD09BC" w:rsidRDefault="00DD09BC" w:rsidP="00DD09BC">
      <w:pPr>
        <w:widowControl w:val="0"/>
        <w:tabs>
          <w:tab w:val="right" w:pos="9213"/>
        </w:tabs>
        <w:spacing w:line="240" w:lineRule="auto"/>
        <w:rPr>
          <w:rFonts w:ascii="Arial" w:hAnsi="Arial" w:cs="Arial"/>
          <w:sz w:val="24"/>
          <w:szCs w:val="24"/>
        </w:rPr>
      </w:pPr>
      <w:r>
        <w:rPr>
          <w:rFonts w:ascii="Arial" w:hAnsi="Arial" w:cs="Arial"/>
          <w:sz w:val="24"/>
          <w:szCs w:val="24"/>
        </w:rPr>
        <w:t>and</w:t>
      </w:r>
    </w:p>
    <w:p w14:paraId="54874360" w14:textId="77777777" w:rsidR="00DD09BC" w:rsidRDefault="00DD09BC" w:rsidP="00DD09BC">
      <w:pPr>
        <w:widowControl w:val="0"/>
        <w:tabs>
          <w:tab w:val="right" w:pos="9213"/>
        </w:tabs>
        <w:spacing w:line="240" w:lineRule="auto"/>
        <w:rPr>
          <w:rFonts w:ascii="Arial" w:hAnsi="Arial" w:cs="Arial"/>
          <w:sz w:val="24"/>
          <w:szCs w:val="24"/>
        </w:rPr>
      </w:pPr>
    </w:p>
    <w:p w14:paraId="2965E4D5" w14:textId="77777777" w:rsidR="00DD09BC" w:rsidRDefault="00DD09BC" w:rsidP="00DD09BC">
      <w:pPr>
        <w:widowControl w:val="0"/>
        <w:tabs>
          <w:tab w:val="right" w:pos="9213"/>
        </w:tabs>
        <w:spacing w:line="240" w:lineRule="auto"/>
        <w:rPr>
          <w:rFonts w:ascii="Arial" w:hAnsi="Arial" w:cs="Arial"/>
          <w:b/>
          <w:sz w:val="24"/>
          <w:szCs w:val="24"/>
        </w:rPr>
      </w:pPr>
      <w:r>
        <w:rPr>
          <w:rFonts w:ascii="Arial" w:hAnsi="Arial" w:cs="Arial"/>
          <w:b/>
          <w:sz w:val="24"/>
          <w:szCs w:val="24"/>
        </w:rPr>
        <w:t xml:space="preserve">THE COMMISSIONER FOR THE </w:t>
      </w:r>
    </w:p>
    <w:p w14:paraId="64309EE0" w14:textId="67ECDEBD" w:rsidR="00DD09BC" w:rsidRDefault="00DD09BC" w:rsidP="00DD09BC">
      <w:pPr>
        <w:widowControl w:val="0"/>
        <w:tabs>
          <w:tab w:val="right" w:pos="9213"/>
        </w:tabs>
        <w:spacing w:line="240" w:lineRule="auto"/>
        <w:rPr>
          <w:rFonts w:ascii="Arial" w:hAnsi="Arial" w:cs="Arial"/>
          <w:b/>
          <w:sz w:val="24"/>
          <w:szCs w:val="24"/>
          <w:lang w:val="en-GB"/>
        </w:rPr>
      </w:pPr>
      <w:r>
        <w:rPr>
          <w:rFonts w:ascii="Arial" w:hAnsi="Arial" w:cs="Arial"/>
          <w:b/>
          <w:sz w:val="24"/>
          <w:szCs w:val="24"/>
        </w:rPr>
        <w:t>SOUTH AFRICAN REVENUE SERVICE</w:t>
      </w:r>
      <w:r>
        <w:rPr>
          <w:rFonts w:ascii="Arial" w:hAnsi="Arial" w:cs="Arial"/>
          <w:b/>
          <w:sz w:val="24"/>
          <w:szCs w:val="24"/>
        </w:rPr>
        <w:tab/>
        <w:t>Respondent</w:t>
      </w:r>
    </w:p>
    <w:p w14:paraId="384BF1E2" w14:textId="77777777" w:rsidR="00DD09BC" w:rsidRDefault="00DD09BC" w:rsidP="00DD09BC">
      <w:pPr>
        <w:spacing w:line="360" w:lineRule="auto"/>
        <w:rPr>
          <w:rFonts w:ascii="Arial" w:hAnsi="Arial" w:cs="Arial"/>
          <w:sz w:val="24"/>
          <w:szCs w:val="24"/>
        </w:rPr>
      </w:pPr>
      <w:r>
        <w:rPr>
          <w:rFonts w:ascii="Arial" w:hAnsi="Arial" w:cs="Arial"/>
          <w:sz w:val="24"/>
          <w:szCs w:val="24"/>
        </w:rPr>
        <w:t>______________________________________________________________________</w:t>
      </w:r>
    </w:p>
    <w:p w14:paraId="548B4444" w14:textId="77777777" w:rsidR="00DD09BC" w:rsidRDefault="00DD09BC" w:rsidP="00DD09BC">
      <w:pPr>
        <w:spacing w:line="360" w:lineRule="auto"/>
        <w:jc w:val="center"/>
        <w:rPr>
          <w:rFonts w:ascii="Arial" w:hAnsi="Arial" w:cs="Arial"/>
          <w:b/>
          <w:bCs/>
          <w:sz w:val="24"/>
          <w:szCs w:val="24"/>
        </w:rPr>
      </w:pPr>
      <w:r>
        <w:rPr>
          <w:rFonts w:ascii="Arial" w:hAnsi="Arial" w:cs="Arial"/>
          <w:b/>
          <w:bCs/>
          <w:sz w:val="24"/>
          <w:szCs w:val="24"/>
        </w:rPr>
        <w:t>JUDGMENT</w:t>
      </w:r>
    </w:p>
    <w:p w14:paraId="7DC6C462" w14:textId="77777777" w:rsidR="00DD09BC" w:rsidRDefault="00DD09BC" w:rsidP="00DD09BC">
      <w:pPr>
        <w:spacing w:line="360" w:lineRule="auto"/>
        <w:rPr>
          <w:rFonts w:ascii="Arial" w:hAnsi="Arial" w:cs="Arial"/>
          <w:sz w:val="24"/>
          <w:szCs w:val="24"/>
        </w:rPr>
      </w:pPr>
      <w:r>
        <w:rPr>
          <w:rFonts w:ascii="Arial" w:hAnsi="Arial" w:cs="Arial"/>
          <w:sz w:val="24"/>
          <w:szCs w:val="24"/>
        </w:rPr>
        <w:t>______________________________________________________________________</w:t>
      </w:r>
    </w:p>
    <w:p w14:paraId="4D68E214" w14:textId="77777777" w:rsidR="00DD09BC" w:rsidRDefault="00DD09BC" w:rsidP="00DD09BC">
      <w:pPr>
        <w:spacing w:line="360" w:lineRule="auto"/>
        <w:rPr>
          <w:rFonts w:ascii="Arial" w:hAnsi="Arial" w:cs="Arial"/>
          <w:b/>
          <w:bCs/>
          <w:sz w:val="24"/>
          <w:szCs w:val="24"/>
        </w:rPr>
      </w:pPr>
      <w:r>
        <w:rPr>
          <w:rFonts w:ascii="Arial" w:hAnsi="Arial" w:cs="Arial"/>
          <w:b/>
          <w:bCs/>
          <w:sz w:val="24"/>
          <w:szCs w:val="24"/>
        </w:rPr>
        <w:t>LAING J</w:t>
      </w:r>
    </w:p>
    <w:p w14:paraId="75A9D6E5" w14:textId="77777777" w:rsidR="00382E24" w:rsidRDefault="00382E24" w:rsidP="00382E24">
      <w:pPr>
        <w:spacing w:line="360" w:lineRule="auto"/>
        <w:rPr>
          <w:rFonts w:ascii="Arial" w:hAnsi="Arial" w:cs="Arial"/>
          <w:sz w:val="24"/>
          <w:szCs w:val="24"/>
        </w:rPr>
      </w:pPr>
    </w:p>
    <w:p w14:paraId="57BE9454" w14:textId="10551CA8" w:rsidR="00382E24" w:rsidRPr="00736318" w:rsidRDefault="00736318" w:rsidP="00736318">
      <w:pPr>
        <w:spacing w:line="360" w:lineRule="auto"/>
        <w:jc w:val="both"/>
        <w:rPr>
          <w:rFonts w:ascii="Arial" w:hAnsi="Arial" w:cs="Arial"/>
          <w:sz w:val="24"/>
          <w:szCs w:val="24"/>
        </w:rPr>
      </w:pPr>
      <w:r w:rsidRPr="00DD09BC">
        <w:rPr>
          <w:rFonts w:ascii="Arial" w:hAnsi="Arial" w:cs="Arial"/>
          <w:sz w:val="24"/>
          <w:szCs w:val="24"/>
        </w:rPr>
        <w:t>[1]</w:t>
      </w:r>
      <w:r w:rsidRPr="00DD09BC">
        <w:rPr>
          <w:rFonts w:ascii="Arial" w:hAnsi="Arial" w:cs="Arial"/>
          <w:sz w:val="24"/>
          <w:szCs w:val="24"/>
        </w:rPr>
        <w:tab/>
      </w:r>
      <w:r w:rsidR="00382E24" w:rsidRPr="00736318">
        <w:rPr>
          <w:rFonts w:ascii="Arial" w:hAnsi="Arial" w:cs="Arial"/>
          <w:sz w:val="24"/>
          <w:szCs w:val="24"/>
        </w:rPr>
        <w:t>This is an application</w:t>
      </w:r>
      <w:r w:rsidR="00F36D62" w:rsidRPr="00736318">
        <w:rPr>
          <w:rFonts w:ascii="Arial" w:hAnsi="Arial" w:cs="Arial"/>
          <w:sz w:val="24"/>
          <w:szCs w:val="24"/>
        </w:rPr>
        <w:t xml:space="preserve"> for </w:t>
      </w:r>
      <w:r w:rsidR="006F74A5" w:rsidRPr="00736318">
        <w:rPr>
          <w:rFonts w:ascii="Arial" w:hAnsi="Arial" w:cs="Arial"/>
          <w:sz w:val="24"/>
          <w:szCs w:val="24"/>
        </w:rPr>
        <w:t>the payment of certain tax refunds</w:t>
      </w:r>
      <w:r w:rsidR="007E07A7" w:rsidRPr="00736318">
        <w:rPr>
          <w:rFonts w:ascii="Arial" w:hAnsi="Arial" w:cs="Arial"/>
          <w:sz w:val="24"/>
          <w:szCs w:val="24"/>
        </w:rPr>
        <w:t xml:space="preserve">, together with interest and costs. </w:t>
      </w:r>
      <w:r w:rsidR="0084021C" w:rsidRPr="00736318">
        <w:rPr>
          <w:rFonts w:ascii="Arial" w:hAnsi="Arial" w:cs="Arial"/>
          <w:sz w:val="24"/>
          <w:szCs w:val="24"/>
        </w:rPr>
        <w:t xml:space="preserve">By reason of </w:t>
      </w:r>
      <w:r w:rsidR="00E16614" w:rsidRPr="00736318">
        <w:rPr>
          <w:rFonts w:ascii="Arial" w:hAnsi="Arial" w:cs="Arial"/>
          <w:sz w:val="24"/>
          <w:szCs w:val="24"/>
        </w:rPr>
        <w:t xml:space="preserve">the </w:t>
      </w:r>
      <w:r w:rsidR="00EE5C91" w:rsidRPr="00736318">
        <w:rPr>
          <w:rFonts w:ascii="Arial" w:hAnsi="Arial" w:cs="Arial"/>
          <w:sz w:val="24"/>
          <w:szCs w:val="24"/>
        </w:rPr>
        <w:t>way</w:t>
      </w:r>
      <w:r w:rsidR="00E16614" w:rsidRPr="00736318">
        <w:rPr>
          <w:rFonts w:ascii="Arial" w:hAnsi="Arial" w:cs="Arial"/>
          <w:sz w:val="24"/>
          <w:szCs w:val="24"/>
        </w:rPr>
        <w:t xml:space="preserve"> proceedings have been conducted, however, the issues before court pertain to </w:t>
      </w:r>
      <w:r w:rsidR="0086754E" w:rsidRPr="00736318">
        <w:rPr>
          <w:rFonts w:ascii="Arial" w:hAnsi="Arial" w:cs="Arial"/>
          <w:sz w:val="24"/>
          <w:szCs w:val="24"/>
        </w:rPr>
        <w:t xml:space="preserve">the subject of </w:t>
      </w:r>
      <w:r w:rsidR="00A93CE5" w:rsidRPr="00736318">
        <w:rPr>
          <w:rFonts w:ascii="Arial" w:hAnsi="Arial" w:cs="Arial"/>
          <w:sz w:val="24"/>
          <w:szCs w:val="24"/>
        </w:rPr>
        <w:t>two interlocutory</w:t>
      </w:r>
      <w:r w:rsidR="00853A93" w:rsidRPr="00736318">
        <w:rPr>
          <w:rFonts w:ascii="Arial" w:hAnsi="Arial" w:cs="Arial"/>
          <w:sz w:val="24"/>
          <w:szCs w:val="24"/>
        </w:rPr>
        <w:t xml:space="preserve"> applications brought by the respective parties.</w:t>
      </w:r>
    </w:p>
    <w:p w14:paraId="47098C2C" w14:textId="77777777" w:rsidR="00853A93" w:rsidRDefault="00853A93" w:rsidP="00382E24">
      <w:pPr>
        <w:spacing w:line="360" w:lineRule="auto"/>
        <w:rPr>
          <w:rFonts w:ascii="Arial" w:hAnsi="Arial" w:cs="Arial"/>
          <w:sz w:val="24"/>
          <w:szCs w:val="24"/>
        </w:rPr>
      </w:pPr>
    </w:p>
    <w:p w14:paraId="524B7C27" w14:textId="7ED4B754" w:rsidR="00CD3184" w:rsidRPr="00CD3184" w:rsidRDefault="00CD3184" w:rsidP="00DD09BC">
      <w:pPr>
        <w:spacing w:line="360" w:lineRule="auto"/>
        <w:jc w:val="both"/>
        <w:rPr>
          <w:rFonts w:ascii="Arial" w:hAnsi="Arial" w:cs="Arial"/>
          <w:b/>
          <w:bCs/>
          <w:sz w:val="24"/>
          <w:szCs w:val="24"/>
        </w:rPr>
      </w:pPr>
      <w:r w:rsidRPr="00CD3184">
        <w:rPr>
          <w:rFonts w:ascii="Arial" w:hAnsi="Arial" w:cs="Arial"/>
          <w:b/>
          <w:bCs/>
          <w:sz w:val="24"/>
          <w:szCs w:val="24"/>
        </w:rPr>
        <w:t>The main application</w:t>
      </w:r>
    </w:p>
    <w:p w14:paraId="6A6EBF39" w14:textId="77777777" w:rsidR="00CD3184" w:rsidRDefault="00CD3184" w:rsidP="00382E24">
      <w:pPr>
        <w:spacing w:line="360" w:lineRule="auto"/>
        <w:rPr>
          <w:rFonts w:ascii="Arial" w:hAnsi="Arial" w:cs="Arial"/>
          <w:sz w:val="24"/>
          <w:szCs w:val="24"/>
        </w:rPr>
      </w:pPr>
    </w:p>
    <w:p w14:paraId="51D41DAA" w14:textId="2D8CD67D" w:rsidR="00DD09BC" w:rsidRPr="00736318" w:rsidRDefault="00736318" w:rsidP="00736318">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A15507" w:rsidRPr="00736318">
        <w:rPr>
          <w:rFonts w:ascii="Arial" w:hAnsi="Arial" w:cs="Arial"/>
          <w:sz w:val="24"/>
          <w:szCs w:val="24"/>
        </w:rPr>
        <w:t>I</w:t>
      </w:r>
      <w:r w:rsidR="00EE5C91" w:rsidRPr="00736318">
        <w:rPr>
          <w:rFonts w:ascii="Arial" w:hAnsi="Arial" w:cs="Arial"/>
          <w:sz w:val="24"/>
          <w:szCs w:val="24"/>
        </w:rPr>
        <w:t>n its founding affidavit to the main application</w:t>
      </w:r>
      <w:r w:rsidR="00A705FF" w:rsidRPr="00736318">
        <w:rPr>
          <w:rFonts w:ascii="Arial" w:hAnsi="Arial" w:cs="Arial"/>
          <w:sz w:val="24"/>
          <w:szCs w:val="24"/>
        </w:rPr>
        <w:t xml:space="preserve">, </w:t>
      </w:r>
      <w:r w:rsidR="00A15507" w:rsidRPr="00736318">
        <w:rPr>
          <w:rFonts w:ascii="Arial" w:hAnsi="Arial" w:cs="Arial"/>
          <w:sz w:val="24"/>
          <w:szCs w:val="24"/>
        </w:rPr>
        <w:t xml:space="preserve">the applicant </w:t>
      </w:r>
      <w:r w:rsidR="00A705FF" w:rsidRPr="00736318">
        <w:rPr>
          <w:rFonts w:ascii="Arial" w:hAnsi="Arial" w:cs="Arial"/>
          <w:sz w:val="24"/>
          <w:szCs w:val="24"/>
        </w:rPr>
        <w:t xml:space="preserve">describes itself as a close corporation </w:t>
      </w:r>
      <w:r w:rsidR="00676E18" w:rsidRPr="00736318">
        <w:rPr>
          <w:rFonts w:ascii="Arial" w:hAnsi="Arial" w:cs="Arial"/>
          <w:sz w:val="24"/>
          <w:szCs w:val="24"/>
        </w:rPr>
        <w:t>that provides</w:t>
      </w:r>
      <w:r w:rsidR="004B1D67" w:rsidRPr="00736318">
        <w:rPr>
          <w:rFonts w:ascii="Arial" w:hAnsi="Arial" w:cs="Arial"/>
          <w:sz w:val="24"/>
          <w:szCs w:val="24"/>
        </w:rPr>
        <w:t xml:space="preserve">, </w:t>
      </w:r>
      <w:r w:rsidR="004B1D67" w:rsidRPr="00736318">
        <w:rPr>
          <w:rFonts w:ascii="Arial" w:hAnsi="Arial" w:cs="Arial"/>
          <w:i/>
          <w:iCs/>
          <w:sz w:val="24"/>
          <w:szCs w:val="24"/>
        </w:rPr>
        <w:t>inter alia</w:t>
      </w:r>
      <w:r w:rsidR="004B1D67" w:rsidRPr="00736318">
        <w:rPr>
          <w:rFonts w:ascii="Arial" w:hAnsi="Arial" w:cs="Arial"/>
          <w:sz w:val="24"/>
          <w:szCs w:val="24"/>
        </w:rPr>
        <w:t>, certain</w:t>
      </w:r>
      <w:r w:rsidR="00676E18" w:rsidRPr="00736318">
        <w:rPr>
          <w:rFonts w:ascii="Arial" w:hAnsi="Arial" w:cs="Arial"/>
          <w:sz w:val="24"/>
          <w:szCs w:val="24"/>
        </w:rPr>
        <w:t xml:space="preserve"> payroll administration services to its </w:t>
      </w:r>
      <w:r w:rsidR="004B1D67" w:rsidRPr="00736318">
        <w:rPr>
          <w:rFonts w:ascii="Arial" w:hAnsi="Arial" w:cs="Arial"/>
          <w:sz w:val="24"/>
          <w:szCs w:val="24"/>
        </w:rPr>
        <w:t xml:space="preserve">various </w:t>
      </w:r>
      <w:r w:rsidR="00676E18" w:rsidRPr="00736318">
        <w:rPr>
          <w:rFonts w:ascii="Arial" w:hAnsi="Arial" w:cs="Arial"/>
          <w:sz w:val="24"/>
          <w:szCs w:val="24"/>
        </w:rPr>
        <w:t>clients.</w:t>
      </w:r>
      <w:r w:rsidR="00A0041D" w:rsidRPr="00736318">
        <w:rPr>
          <w:rFonts w:ascii="Arial" w:hAnsi="Arial" w:cs="Arial"/>
          <w:sz w:val="24"/>
          <w:szCs w:val="24"/>
        </w:rPr>
        <w:t xml:space="preserve"> These include the calculation, </w:t>
      </w:r>
      <w:r w:rsidR="00F36D72" w:rsidRPr="00736318">
        <w:rPr>
          <w:rFonts w:ascii="Arial" w:hAnsi="Arial" w:cs="Arial"/>
          <w:sz w:val="24"/>
          <w:szCs w:val="24"/>
        </w:rPr>
        <w:t xml:space="preserve">submission, and receipt, of </w:t>
      </w:r>
      <w:r w:rsidR="00A90C5E" w:rsidRPr="00736318">
        <w:rPr>
          <w:rFonts w:ascii="Arial" w:hAnsi="Arial" w:cs="Arial"/>
          <w:sz w:val="24"/>
          <w:szCs w:val="24"/>
        </w:rPr>
        <w:t>Employment Tax Incentive (‘ETI’)</w:t>
      </w:r>
      <w:r w:rsidR="000B5E6B" w:rsidRPr="00736318">
        <w:rPr>
          <w:rFonts w:ascii="Arial" w:hAnsi="Arial" w:cs="Arial"/>
          <w:sz w:val="24"/>
          <w:szCs w:val="24"/>
        </w:rPr>
        <w:t xml:space="preserve"> </w:t>
      </w:r>
      <w:r w:rsidR="00FF236E" w:rsidRPr="00736318">
        <w:rPr>
          <w:rFonts w:ascii="Arial" w:hAnsi="Arial" w:cs="Arial"/>
          <w:sz w:val="24"/>
          <w:szCs w:val="24"/>
        </w:rPr>
        <w:t xml:space="preserve">assessments and </w:t>
      </w:r>
      <w:r w:rsidR="000B5E6B" w:rsidRPr="00736318">
        <w:rPr>
          <w:rFonts w:ascii="Arial" w:hAnsi="Arial" w:cs="Arial"/>
          <w:sz w:val="24"/>
          <w:szCs w:val="24"/>
        </w:rPr>
        <w:t xml:space="preserve">refunds. </w:t>
      </w:r>
    </w:p>
    <w:p w14:paraId="232D9894" w14:textId="77777777" w:rsidR="00DD09BC" w:rsidRDefault="00DD09BC" w:rsidP="00DD09BC">
      <w:pPr>
        <w:pStyle w:val="ListParagraph"/>
        <w:spacing w:line="360" w:lineRule="auto"/>
        <w:ind w:left="0"/>
        <w:jc w:val="both"/>
        <w:rPr>
          <w:rFonts w:ascii="Arial" w:hAnsi="Arial" w:cs="Arial"/>
          <w:sz w:val="24"/>
          <w:szCs w:val="24"/>
        </w:rPr>
      </w:pPr>
    </w:p>
    <w:p w14:paraId="0A3D728C" w14:textId="6101879F"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B0F66" w:rsidRPr="00736318">
        <w:rPr>
          <w:rFonts w:ascii="Arial" w:hAnsi="Arial" w:cs="Arial"/>
          <w:sz w:val="24"/>
          <w:szCs w:val="24"/>
        </w:rPr>
        <w:t xml:space="preserve">Previously, the applicant sent </w:t>
      </w:r>
      <w:r w:rsidR="00E6783F" w:rsidRPr="00736318">
        <w:rPr>
          <w:rFonts w:ascii="Arial" w:hAnsi="Arial" w:cs="Arial"/>
          <w:sz w:val="24"/>
          <w:szCs w:val="24"/>
        </w:rPr>
        <w:t>ETI assessments to the respondent</w:t>
      </w:r>
      <w:r w:rsidR="00CC6A81" w:rsidRPr="00736318">
        <w:rPr>
          <w:rFonts w:ascii="Arial" w:hAnsi="Arial" w:cs="Arial"/>
          <w:sz w:val="24"/>
          <w:szCs w:val="24"/>
        </w:rPr>
        <w:t xml:space="preserve"> on behalf of its clients</w:t>
      </w:r>
      <w:r w:rsidR="00E6783F" w:rsidRPr="00736318">
        <w:rPr>
          <w:rFonts w:ascii="Arial" w:hAnsi="Arial" w:cs="Arial"/>
          <w:sz w:val="24"/>
          <w:szCs w:val="24"/>
        </w:rPr>
        <w:t xml:space="preserve">, claiming payment of </w:t>
      </w:r>
      <w:r w:rsidR="006957A7" w:rsidRPr="00736318">
        <w:rPr>
          <w:rFonts w:ascii="Arial" w:hAnsi="Arial" w:cs="Arial"/>
          <w:sz w:val="24"/>
          <w:szCs w:val="24"/>
        </w:rPr>
        <w:t xml:space="preserve">refunds. </w:t>
      </w:r>
      <w:r w:rsidR="00A36903" w:rsidRPr="00736318">
        <w:rPr>
          <w:rFonts w:ascii="Arial" w:hAnsi="Arial" w:cs="Arial"/>
          <w:sz w:val="24"/>
          <w:szCs w:val="24"/>
        </w:rPr>
        <w:t xml:space="preserve">By reason of the </w:t>
      </w:r>
      <w:r w:rsidR="00D06D4A" w:rsidRPr="00736318">
        <w:rPr>
          <w:rFonts w:ascii="Arial" w:hAnsi="Arial" w:cs="Arial"/>
          <w:sz w:val="24"/>
          <w:szCs w:val="24"/>
        </w:rPr>
        <w:t xml:space="preserve">respondent’s delay in </w:t>
      </w:r>
      <w:r w:rsidR="001838C0" w:rsidRPr="00736318">
        <w:rPr>
          <w:rFonts w:ascii="Arial" w:hAnsi="Arial" w:cs="Arial"/>
          <w:sz w:val="24"/>
          <w:szCs w:val="24"/>
        </w:rPr>
        <w:t xml:space="preserve">making payment, together with the </w:t>
      </w:r>
      <w:r w:rsidR="00604AD2" w:rsidRPr="00736318">
        <w:rPr>
          <w:rFonts w:ascii="Arial" w:hAnsi="Arial" w:cs="Arial"/>
          <w:sz w:val="24"/>
          <w:szCs w:val="24"/>
        </w:rPr>
        <w:t xml:space="preserve">negative impact of the </w:t>
      </w:r>
      <w:r w:rsidR="00CE6832" w:rsidRPr="00736318">
        <w:rPr>
          <w:rFonts w:ascii="Arial" w:hAnsi="Arial" w:cs="Arial"/>
          <w:sz w:val="24"/>
          <w:szCs w:val="24"/>
        </w:rPr>
        <w:t xml:space="preserve">president’s </w:t>
      </w:r>
      <w:r w:rsidR="00604AD2" w:rsidRPr="00736318">
        <w:rPr>
          <w:rFonts w:ascii="Arial" w:hAnsi="Arial" w:cs="Arial"/>
          <w:sz w:val="24"/>
          <w:szCs w:val="24"/>
        </w:rPr>
        <w:t xml:space="preserve">declaration of a national state of disaster </w:t>
      </w:r>
      <w:r w:rsidR="00CE6832" w:rsidRPr="00736318">
        <w:rPr>
          <w:rFonts w:ascii="Arial" w:hAnsi="Arial" w:cs="Arial"/>
          <w:sz w:val="24"/>
          <w:szCs w:val="24"/>
        </w:rPr>
        <w:t>in response to the COVID-19 pandemic, the applicant found itself under increasing financial pressur</w:t>
      </w:r>
      <w:r w:rsidR="0079605E" w:rsidRPr="00736318">
        <w:rPr>
          <w:rFonts w:ascii="Arial" w:hAnsi="Arial" w:cs="Arial"/>
          <w:sz w:val="24"/>
          <w:szCs w:val="24"/>
        </w:rPr>
        <w:t xml:space="preserve">e, prompting it to </w:t>
      </w:r>
      <w:r w:rsidR="00A15507" w:rsidRPr="00736318">
        <w:rPr>
          <w:rFonts w:ascii="Arial" w:hAnsi="Arial" w:cs="Arial"/>
          <w:sz w:val="24"/>
          <w:szCs w:val="24"/>
        </w:rPr>
        <w:t>institute urgent motion proceedings on 9 June 2020.</w:t>
      </w:r>
    </w:p>
    <w:p w14:paraId="72600F0B" w14:textId="77777777" w:rsidR="00DD09BC" w:rsidRPr="00DD09BC" w:rsidRDefault="00DD09BC" w:rsidP="00DD09BC">
      <w:pPr>
        <w:pStyle w:val="ListParagraph"/>
        <w:rPr>
          <w:rFonts w:ascii="Arial" w:hAnsi="Arial" w:cs="Arial"/>
          <w:sz w:val="24"/>
          <w:szCs w:val="24"/>
        </w:rPr>
      </w:pPr>
    </w:p>
    <w:p w14:paraId="1F581370" w14:textId="242F5866"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7138DD" w:rsidRPr="00736318">
        <w:rPr>
          <w:rFonts w:ascii="Arial" w:hAnsi="Arial" w:cs="Arial"/>
          <w:sz w:val="24"/>
          <w:szCs w:val="24"/>
        </w:rPr>
        <w:t xml:space="preserve">The parties are </w:t>
      </w:r>
      <w:r w:rsidR="0050494D" w:rsidRPr="00736318">
        <w:rPr>
          <w:rFonts w:ascii="Arial" w:hAnsi="Arial" w:cs="Arial"/>
          <w:sz w:val="24"/>
          <w:szCs w:val="24"/>
        </w:rPr>
        <w:t>currently in</w:t>
      </w:r>
      <w:r w:rsidR="002F5754" w:rsidRPr="00736318">
        <w:rPr>
          <w:rFonts w:ascii="Arial" w:hAnsi="Arial" w:cs="Arial"/>
          <w:sz w:val="24"/>
          <w:szCs w:val="24"/>
        </w:rPr>
        <w:t>volved in a separate</w:t>
      </w:r>
      <w:r w:rsidR="0050494D" w:rsidRPr="00736318">
        <w:rPr>
          <w:rFonts w:ascii="Arial" w:hAnsi="Arial" w:cs="Arial"/>
          <w:sz w:val="24"/>
          <w:szCs w:val="24"/>
        </w:rPr>
        <w:t xml:space="preserve"> dispute</w:t>
      </w:r>
      <w:r w:rsidR="006C637D" w:rsidRPr="00736318">
        <w:rPr>
          <w:rFonts w:ascii="Arial" w:hAnsi="Arial" w:cs="Arial"/>
          <w:sz w:val="24"/>
          <w:szCs w:val="24"/>
        </w:rPr>
        <w:t xml:space="preserve"> before the Tax Appeal Court concerning </w:t>
      </w:r>
      <w:r w:rsidR="0050494D" w:rsidRPr="00736318">
        <w:rPr>
          <w:rFonts w:ascii="Arial" w:hAnsi="Arial" w:cs="Arial"/>
          <w:sz w:val="24"/>
          <w:szCs w:val="24"/>
        </w:rPr>
        <w:t xml:space="preserve">the </w:t>
      </w:r>
      <w:r w:rsidR="00B06AE4" w:rsidRPr="00736318">
        <w:rPr>
          <w:rFonts w:ascii="Arial" w:hAnsi="Arial" w:cs="Arial"/>
          <w:sz w:val="24"/>
          <w:szCs w:val="24"/>
        </w:rPr>
        <w:t xml:space="preserve">applicant’s liability for </w:t>
      </w:r>
      <w:r w:rsidR="00CA1FF1" w:rsidRPr="00736318">
        <w:rPr>
          <w:rFonts w:ascii="Arial" w:hAnsi="Arial" w:cs="Arial"/>
          <w:sz w:val="24"/>
          <w:szCs w:val="24"/>
        </w:rPr>
        <w:t xml:space="preserve">Skills Development Levy </w:t>
      </w:r>
      <w:r w:rsidR="0038568C" w:rsidRPr="00736318">
        <w:rPr>
          <w:rFonts w:ascii="Arial" w:hAnsi="Arial" w:cs="Arial"/>
          <w:sz w:val="24"/>
          <w:szCs w:val="24"/>
        </w:rPr>
        <w:t xml:space="preserve">(‘SDL’) and </w:t>
      </w:r>
      <w:r w:rsidR="002F5754" w:rsidRPr="00736318">
        <w:rPr>
          <w:rFonts w:ascii="Arial" w:hAnsi="Arial" w:cs="Arial"/>
          <w:sz w:val="24"/>
          <w:szCs w:val="24"/>
        </w:rPr>
        <w:t>Value Added Tax (‘VAT’) payments</w:t>
      </w:r>
      <w:r w:rsidR="006C637D" w:rsidRPr="00736318">
        <w:rPr>
          <w:rFonts w:ascii="Arial" w:hAnsi="Arial" w:cs="Arial"/>
          <w:sz w:val="24"/>
          <w:szCs w:val="24"/>
        </w:rPr>
        <w:t>.</w:t>
      </w:r>
      <w:r w:rsidR="00E25620" w:rsidRPr="00736318">
        <w:rPr>
          <w:rFonts w:ascii="Arial" w:hAnsi="Arial" w:cs="Arial"/>
          <w:sz w:val="24"/>
          <w:szCs w:val="24"/>
        </w:rPr>
        <w:t xml:space="preserve"> The respondent subsequently approved a request for the suspension of payment of the disputed liability.</w:t>
      </w:r>
      <w:r w:rsidR="00E25620" w:rsidRPr="00E25620">
        <w:rPr>
          <w:vertAlign w:val="superscript"/>
        </w:rPr>
        <w:footnoteReference w:id="1"/>
      </w:r>
    </w:p>
    <w:p w14:paraId="10EE7FDD" w14:textId="77777777" w:rsidR="00DD09BC" w:rsidRPr="00DD09BC" w:rsidRDefault="00DD09BC" w:rsidP="00DD09BC">
      <w:pPr>
        <w:pStyle w:val="ListParagraph"/>
        <w:rPr>
          <w:rFonts w:ascii="Arial" w:hAnsi="Arial" w:cs="Arial"/>
          <w:sz w:val="24"/>
          <w:szCs w:val="24"/>
        </w:rPr>
      </w:pPr>
    </w:p>
    <w:p w14:paraId="28FF9763" w14:textId="30F8194B"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2D106F" w:rsidRPr="00736318">
        <w:rPr>
          <w:rFonts w:ascii="Arial" w:hAnsi="Arial" w:cs="Arial"/>
          <w:sz w:val="24"/>
          <w:szCs w:val="24"/>
        </w:rPr>
        <w:t>Consequently, t</w:t>
      </w:r>
      <w:r w:rsidR="00754AE4" w:rsidRPr="00736318">
        <w:rPr>
          <w:rFonts w:ascii="Arial" w:hAnsi="Arial" w:cs="Arial"/>
          <w:sz w:val="24"/>
          <w:szCs w:val="24"/>
        </w:rPr>
        <w:t>he applicant</w:t>
      </w:r>
      <w:r w:rsidR="008E279F" w:rsidRPr="00736318">
        <w:rPr>
          <w:rFonts w:ascii="Arial" w:hAnsi="Arial" w:cs="Arial"/>
          <w:sz w:val="24"/>
          <w:szCs w:val="24"/>
        </w:rPr>
        <w:t xml:space="preserve"> </w:t>
      </w:r>
      <w:r w:rsidR="002A6C87" w:rsidRPr="00736318">
        <w:rPr>
          <w:rFonts w:ascii="Arial" w:hAnsi="Arial" w:cs="Arial"/>
          <w:sz w:val="24"/>
          <w:szCs w:val="24"/>
        </w:rPr>
        <w:t xml:space="preserve">claims payment </w:t>
      </w:r>
      <w:r w:rsidR="006957A7" w:rsidRPr="00736318">
        <w:rPr>
          <w:rFonts w:ascii="Arial" w:hAnsi="Arial" w:cs="Arial"/>
          <w:sz w:val="24"/>
          <w:szCs w:val="24"/>
        </w:rPr>
        <w:t xml:space="preserve">of </w:t>
      </w:r>
      <w:r w:rsidR="00924C2B" w:rsidRPr="00736318">
        <w:rPr>
          <w:rFonts w:ascii="Arial" w:hAnsi="Arial" w:cs="Arial"/>
          <w:sz w:val="24"/>
          <w:szCs w:val="24"/>
        </w:rPr>
        <w:t>ETI refunds in the amount of R 12,975,071</w:t>
      </w:r>
      <w:r w:rsidR="00CF381E" w:rsidRPr="00736318">
        <w:rPr>
          <w:rFonts w:ascii="Arial" w:hAnsi="Arial" w:cs="Arial"/>
          <w:sz w:val="24"/>
          <w:szCs w:val="24"/>
        </w:rPr>
        <w:t>. It also claims payment of interest thereon at the prescribed legal rate</w:t>
      </w:r>
      <w:r w:rsidR="00706896" w:rsidRPr="00736318">
        <w:rPr>
          <w:rFonts w:ascii="Arial" w:hAnsi="Arial" w:cs="Arial"/>
          <w:sz w:val="24"/>
          <w:szCs w:val="24"/>
        </w:rPr>
        <w:t xml:space="preserve">, </w:t>
      </w:r>
      <w:r w:rsidR="00E579E9" w:rsidRPr="00736318">
        <w:rPr>
          <w:rFonts w:ascii="Arial" w:hAnsi="Arial" w:cs="Arial"/>
          <w:sz w:val="24"/>
          <w:szCs w:val="24"/>
        </w:rPr>
        <w:t xml:space="preserve">as </w:t>
      </w:r>
      <w:r w:rsidR="00BA15DC" w:rsidRPr="00736318">
        <w:rPr>
          <w:rFonts w:ascii="Arial" w:hAnsi="Arial" w:cs="Arial"/>
          <w:sz w:val="24"/>
          <w:szCs w:val="24"/>
        </w:rPr>
        <w:t>stipulated</w:t>
      </w:r>
      <w:r w:rsidR="00706896" w:rsidRPr="00736318">
        <w:rPr>
          <w:rFonts w:ascii="Arial" w:hAnsi="Arial" w:cs="Arial"/>
          <w:sz w:val="24"/>
          <w:szCs w:val="24"/>
        </w:rPr>
        <w:t xml:space="preserve"> under </w:t>
      </w:r>
      <w:r w:rsidR="00BA15DC" w:rsidRPr="00736318">
        <w:rPr>
          <w:rFonts w:ascii="Arial" w:hAnsi="Arial" w:cs="Arial"/>
          <w:sz w:val="24"/>
          <w:szCs w:val="24"/>
        </w:rPr>
        <w:t xml:space="preserve">sections 187 to 189 of the </w:t>
      </w:r>
      <w:r w:rsidR="00E579E9" w:rsidRPr="00736318">
        <w:rPr>
          <w:rFonts w:ascii="Arial" w:hAnsi="Arial" w:cs="Arial"/>
          <w:sz w:val="24"/>
          <w:szCs w:val="24"/>
        </w:rPr>
        <w:t>Tax Administration Act 28 of 2011</w:t>
      </w:r>
      <w:r w:rsidR="00CD3D9D" w:rsidRPr="00736318">
        <w:rPr>
          <w:rFonts w:ascii="Arial" w:hAnsi="Arial" w:cs="Arial"/>
          <w:sz w:val="24"/>
          <w:szCs w:val="24"/>
        </w:rPr>
        <w:t xml:space="preserve"> (‘TAA’)</w:t>
      </w:r>
      <w:r w:rsidR="00B8220C" w:rsidRPr="00736318">
        <w:rPr>
          <w:rFonts w:ascii="Arial" w:hAnsi="Arial" w:cs="Arial"/>
          <w:sz w:val="24"/>
          <w:szCs w:val="24"/>
        </w:rPr>
        <w:t>.</w:t>
      </w:r>
    </w:p>
    <w:p w14:paraId="705F7167" w14:textId="77777777" w:rsidR="00DD09BC" w:rsidRPr="00DD09BC" w:rsidRDefault="00DD09BC" w:rsidP="00DD09BC">
      <w:pPr>
        <w:pStyle w:val="ListParagraph"/>
        <w:rPr>
          <w:rFonts w:ascii="Arial" w:hAnsi="Arial" w:cs="Arial"/>
          <w:sz w:val="24"/>
          <w:szCs w:val="24"/>
        </w:rPr>
      </w:pPr>
    </w:p>
    <w:p w14:paraId="1DC5EC17" w14:textId="05A86DB0"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453A71" w:rsidRPr="00736318">
        <w:rPr>
          <w:rFonts w:ascii="Arial" w:hAnsi="Arial" w:cs="Arial"/>
          <w:sz w:val="24"/>
          <w:szCs w:val="24"/>
        </w:rPr>
        <w:t>It is common cause that the respondent paid the ETI refunds to the applicant</w:t>
      </w:r>
      <w:r w:rsidR="00E451C0" w:rsidRPr="00736318">
        <w:rPr>
          <w:rFonts w:ascii="Arial" w:hAnsi="Arial" w:cs="Arial"/>
          <w:sz w:val="24"/>
          <w:szCs w:val="24"/>
        </w:rPr>
        <w:t xml:space="preserve"> </w:t>
      </w:r>
      <w:r w:rsidR="0071095D" w:rsidRPr="00736318">
        <w:rPr>
          <w:rFonts w:ascii="Arial" w:hAnsi="Arial" w:cs="Arial"/>
          <w:sz w:val="24"/>
          <w:szCs w:val="24"/>
        </w:rPr>
        <w:t xml:space="preserve">on </w:t>
      </w:r>
      <w:r w:rsidR="009F64FD" w:rsidRPr="00736318">
        <w:rPr>
          <w:rFonts w:ascii="Arial" w:hAnsi="Arial" w:cs="Arial"/>
          <w:sz w:val="24"/>
          <w:szCs w:val="24"/>
        </w:rPr>
        <w:t xml:space="preserve">11 June 2020, </w:t>
      </w:r>
      <w:r w:rsidR="00327842" w:rsidRPr="00736318">
        <w:rPr>
          <w:rFonts w:ascii="Arial" w:hAnsi="Arial" w:cs="Arial"/>
          <w:sz w:val="24"/>
          <w:szCs w:val="24"/>
        </w:rPr>
        <w:t>shortly after service of the main application</w:t>
      </w:r>
      <w:r w:rsidR="00FD360F" w:rsidRPr="00736318">
        <w:rPr>
          <w:rFonts w:ascii="Arial" w:hAnsi="Arial" w:cs="Arial"/>
          <w:sz w:val="24"/>
          <w:szCs w:val="24"/>
        </w:rPr>
        <w:t>.</w:t>
      </w:r>
      <w:r w:rsidR="00F4579A" w:rsidRPr="00736318">
        <w:rPr>
          <w:rFonts w:ascii="Arial" w:hAnsi="Arial" w:cs="Arial"/>
          <w:sz w:val="24"/>
          <w:szCs w:val="24"/>
        </w:rPr>
        <w:t xml:space="preserve"> </w:t>
      </w:r>
      <w:r w:rsidR="002C0A46" w:rsidRPr="00736318">
        <w:rPr>
          <w:rFonts w:ascii="Arial" w:hAnsi="Arial" w:cs="Arial"/>
          <w:sz w:val="24"/>
          <w:szCs w:val="24"/>
        </w:rPr>
        <w:t xml:space="preserve">The respondent has tendered </w:t>
      </w:r>
      <w:r w:rsidR="0023553B" w:rsidRPr="00736318">
        <w:rPr>
          <w:rFonts w:ascii="Arial" w:hAnsi="Arial" w:cs="Arial"/>
          <w:sz w:val="24"/>
          <w:szCs w:val="24"/>
        </w:rPr>
        <w:t>payment of the applicant’s costs until the above date</w:t>
      </w:r>
      <w:r w:rsidR="004B733F" w:rsidRPr="00736318">
        <w:rPr>
          <w:rFonts w:ascii="Arial" w:hAnsi="Arial" w:cs="Arial"/>
          <w:sz w:val="24"/>
          <w:szCs w:val="24"/>
        </w:rPr>
        <w:t>. It</w:t>
      </w:r>
      <w:r w:rsidR="0023553B" w:rsidRPr="00736318">
        <w:rPr>
          <w:rFonts w:ascii="Arial" w:hAnsi="Arial" w:cs="Arial"/>
          <w:sz w:val="24"/>
          <w:szCs w:val="24"/>
        </w:rPr>
        <w:t xml:space="preserve"> has</w:t>
      </w:r>
      <w:r w:rsidR="004B733F" w:rsidRPr="00736318">
        <w:rPr>
          <w:rFonts w:ascii="Arial" w:hAnsi="Arial" w:cs="Arial"/>
          <w:sz w:val="24"/>
          <w:szCs w:val="24"/>
        </w:rPr>
        <w:t>, however,</w:t>
      </w:r>
      <w:r w:rsidR="0023553B" w:rsidRPr="00736318">
        <w:rPr>
          <w:rFonts w:ascii="Arial" w:hAnsi="Arial" w:cs="Arial"/>
          <w:sz w:val="24"/>
          <w:szCs w:val="24"/>
        </w:rPr>
        <w:t xml:space="preserve"> denied liability for the payment of interest, </w:t>
      </w:r>
      <w:r w:rsidR="00502F00" w:rsidRPr="00736318">
        <w:rPr>
          <w:rFonts w:ascii="Arial" w:hAnsi="Arial" w:cs="Arial"/>
          <w:sz w:val="24"/>
          <w:szCs w:val="24"/>
        </w:rPr>
        <w:t xml:space="preserve">contending that neither the </w:t>
      </w:r>
      <w:r w:rsidR="004B733F" w:rsidRPr="00736318">
        <w:rPr>
          <w:rFonts w:ascii="Arial" w:hAnsi="Arial" w:cs="Arial"/>
          <w:sz w:val="24"/>
          <w:szCs w:val="24"/>
        </w:rPr>
        <w:t xml:space="preserve">TAA nor the </w:t>
      </w:r>
      <w:r w:rsidR="005F3B07" w:rsidRPr="00736318">
        <w:rPr>
          <w:rFonts w:ascii="Arial" w:hAnsi="Arial" w:cs="Arial"/>
          <w:sz w:val="24"/>
          <w:szCs w:val="24"/>
        </w:rPr>
        <w:t>Employment Tax Incentive Act</w:t>
      </w:r>
      <w:r w:rsidR="009744B6" w:rsidRPr="00736318">
        <w:rPr>
          <w:rFonts w:ascii="Arial" w:hAnsi="Arial" w:cs="Arial"/>
          <w:sz w:val="24"/>
          <w:szCs w:val="24"/>
        </w:rPr>
        <w:t xml:space="preserve"> 26 of 2013 (‘ETI Act’) provide</w:t>
      </w:r>
      <w:r w:rsidR="008763F9" w:rsidRPr="00736318">
        <w:rPr>
          <w:rFonts w:ascii="Arial" w:hAnsi="Arial" w:cs="Arial"/>
          <w:sz w:val="24"/>
          <w:szCs w:val="24"/>
        </w:rPr>
        <w:t>s</w:t>
      </w:r>
      <w:r w:rsidR="009744B6" w:rsidRPr="00736318">
        <w:rPr>
          <w:rFonts w:ascii="Arial" w:hAnsi="Arial" w:cs="Arial"/>
          <w:sz w:val="24"/>
          <w:szCs w:val="24"/>
        </w:rPr>
        <w:t xml:space="preserve"> for the accrual and payment of interest</w:t>
      </w:r>
      <w:r w:rsidR="00535A25" w:rsidRPr="00736318">
        <w:rPr>
          <w:rFonts w:ascii="Arial" w:hAnsi="Arial" w:cs="Arial"/>
          <w:sz w:val="24"/>
          <w:szCs w:val="24"/>
        </w:rPr>
        <w:t>, as claimed by the applicant.</w:t>
      </w:r>
    </w:p>
    <w:p w14:paraId="4CFEF71C" w14:textId="77777777" w:rsidR="00DD09BC" w:rsidRPr="00DD09BC" w:rsidRDefault="00DD09BC" w:rsidP="00DD09BC">
      <w:pPr>
        <w:pStyle w:val="ListParagraph"/>
        <w:rPr>
          <w:rFonts w:ascii="Arial" w:hAnsi="Arial" w:cs="Arial"/>
          <w:sz w:val="24"/>
          <w:szCs w:val="24"/>
        </w:rPr>
      </w:pPr>
    </w:p>
    <w:p w14:paraId="3A0F53DC" w14:textId="19EBA4D1" w:rsidR="004B27D2" w:rsidRPr="00736318" w:rsidRDefault="00736318" w:rsidP="00736318">
      <w:pPr>
        <w:spacing w:line="360" w:lineRule="auto"/>
        <w:jc w:val="both"/>
        <w:rPr>
          <w:rFonts w:ascii="Arial" w:hAnsi="Arial" w:cs="Arial"/>
          <w:sz w:val="24"/>
          <w:szCs w:val="24"/>
        </w:rPr>
      </w:pPr>
      <w:r w:rsidRPr="00DD09BC">
        <w:rPr>
          <w:rFonts w:ascii="Arial" w:hAnsi="Arial" w:cs="Arial"/>
          <w:sz w:val="24"/>
          <w:szCs w:val="24"/>
        </w:rPr>
        <w:t>[7]</w:t>
      </w:r>
      <w:r w:rsidRPr="00DD09BC">
        <w:rPr>
          <w:rFonts w:ascii="Arial" w:hAnsi="Arial" w:cs="Arial"/>
          <w:sz w:val="24"/>
          <w:szCs w:val="24"/>
        </w:rPr>
        <w:tab/>
      </w:r>
      <w:r w:rsidR="00CD3184" w:rsidRPr="00736318">
        <w:rPr>
          <w:rFonts w:ascii="Arial" w:hAnsi="Arial" w:cs="Arial"/>
          <w:sz w:val="24"/>
          <w:szCs w:val="24"/>
        </w:rPr>
        <w:t>I</w:t>
      </w:r>
      <w:r w:rsidR="00A30A0E" w:rsidRPr="00736318">
        <w:rPr>
          <w:rFonts w:ascii="Arial" w:hAnsi="Arial" w:cs="Arial"/>
          <w:sz w:val="24"/>
          <w:szCs w:val="24"/>
        </w:rPr>
        <w:t>n reply,</w:t>
      </w:r>
      <w:r w:rsidR="00CC0C74" w:rsidRPr="00736318">
        <w:rPr>
          <w:rFonts w:ascii="Arial" w:hAnsi="Arial" w:cs="Arial"/>
          <w:sz w:val="24"/>
          <w:szCs w:val="24"/>
        </w:rPr>
        <w:t xml:space="preserve"> </w:t>
      </w:r>
      <w:r w:rsidR="00CD3184" w:rsidRPr="00736318">
        <w:rPr>
          <w:rFonts w:ascii="Arial" w:hAnsi="Arial" w:cs="Arial"/>
          <w:sz w:val="24"/>
          <w:szCs w:val="24"/>
        </w:rPr>
        <w:t xml:space="preserve">the applicant persists </w:t>
      </w:r>
      <w:r w:rsidR="00CC0C74" w:rsidRPr="00736318">
        <w:rPr>
          <w:rFonts w:ascii="Arial" w:hAnsi="Arial" w:cs="Arial"/>
          <w:sz w:val="24"/>
          <w:szCs w:val="24"/>
        </w:rPr>
        <w:t>in its claim for the payment of interest</w:t>
      </w:r>
      <w:r w:rsidR="001465DC" w:rsidRPr="00736318">
        <w:rPr>
          <w:rFonts w:ascii="Arial" w:hAnsi="Arial" w:cs="Arial"/>
          <w:sz w:val="24"/>
          <w:szCs w:val="24"/>
        </w:rPr>
        <w:t xml:space="preserve"> in terms of the TAA.</w:t>
      </w:r>
    </w:p>
    <w:p w14:paraId="125B8737" w14:textId="39C875F5" w:rsidR="00FD33FC" w:rsidRPr="00ED341C" w:rsidRDefault="00EA7597" w:rsidP="00DD09BC">
      <w:pPr>
        <w:spacing w:line="360" w:lineRule="auto"/>
        <w:jc w:val="both"/>
        <w:rPr>
          <w:rFonts w:ascii="Arial" w:hAnsi="Arial" w:cs="Arial"/>
          <w:b/>
          <w:bCs/>
          <w:sz w:val="24"/>
          <w:szCs w:val="24"/>
        </w:rPr>
      </w:pPr>
      <w:r>
        <w:rPr>
          <w:rFonts w:ascii="Arial" w:hAnsi="Arial" w:cs="Arial"/>
          <w:b/>
          <w:bCs/>
          <w:sz w:val="24"/>
          <w:szCs w:val="24"/>
        </w:rPr>
        <w:t>Further</w:t>
      </w:r>
      <w:r w:rsidR="00FD33FC" w:rsidRPr="00ED341C">
        <w:rPr>
          <w:rFonts w:ascii="Arial" w:hAnsi="Arial" w:cs="Arial"/>
          <w:b/>
          <w:bCs/>
          <w:sz w:val="24"/>
          <w:szCs w:val="24"/>
        </w:rPr>
        <w:t xml:space="preserve"> developments</w:t>
      </w:r>
    </w:p>
    <w:p w14:paraId="231677C5" w14:textId="77777777" w:rsidR="0012159F" w:rsidRDefault="0012159F" w:rsidP="00382E24">
      <w:pPr>
        <w:spacing w:line="360" w:lineRule="auto"/>
        <w:rPr>
          <w:rFonts w:ascii="Arial" w:hAnsi="Arial" w:cs="Arial"/>
          <w:sz w:val="24"/>
          <w:szCs w:val="24"/>
        </w:rPr>
      </w:pPr>
    </w:p>
    <w:p w14:paraId="0D5BCFD7" w14:textId="46A56E66"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12159F" w:rsidRPr="00736318">
        <w:rPr>
          <w:rFonts w:ascii="Arial" w:hAnsi="Arial" w:cs="Arial"/>
          <w:sz w:val="24"/>
          <w:szCs w:val="24"/>
        </w:rPr>
        <w:t xml:space="preserve">The applicant </w:t>
      </w:r>
      <w:r w:rsidR="00ED341C" w:rsidRPr="00736318">
        <w:rPr>
          <w:rFonts w:ascii="Arial" w:hAnsi="Arial" w:cs="Arial"/>
          <w:sz w:val="24"/>
          <w:szCs w:val="24"/>
        </w:rPr>
        <w:t>later applied</w:t>
      </w:r>
      <w:r w:rsidR="00294E77" w:rsidRPr="00736318">
        <w:rPr>
          <w:rFonts w:ascii="Arial" w:hAnsi="Arial" w:cs="Arial"/>
          <w:sz w:val="24"/>
          <w:szCs w:val="24"/>
        </w:rPr>
        <w:t xml:space="preserve"> </w:t>
      </w:r>
      <w:r w:rsidR="00ED341C" w:rsidRPr="00736318">
        <w:rPr>
          <w:rFonts w:ascii="Arial" w:hAnsi="Arial" w:cs="Arial"/>
          <w:sz w:val="24"/>
          <w:szCs w:val="24"/>
        </w:rPr>
        <w:t>for leave to amend its notice of motion.</w:t>
      </w:r>
      <w:r w:rsidR="00976ED2" w:rsidRPr="00736318">
        <w:rPr>
          <w:rFonts w:ascii="Arial" w:hAnsi="Arial" w:cs="Arial"/>
          <w:sz w:val="24"/>
          <w:szCs w:val="24"/>
        </w:rPr>
        <w:t xml:space="preserve"> </w:t>
      </w:r>
      <w:r w:rsidR="00294E77" w:rsidRPr="00736318">
        <w:rPr>
          <w:rFonts w:ascii="Arial" w:hAnsi="Arial" w:cs="Arial"/>
          <w:sz w:val="24"/>
          <w:szCs w:val="24"/>
        </w:rPr>
        <w:t xml:space="preserve">The court </w:t>
      </w:r>
      <w:r w:rsidR="00D76E5F" w:rsidRPr="00736318">
        <w:rPr>
          <w:rFonts w:ascii="Arial" w:hAnsi="Arial" w:cs="Arial"/>
          <w:sz w:val="24"/>
          <w:szCs w:val="24"/>
        </w:rPr>
        <w:t>made</w:t>
      </w:r>
      <w:r w:rsidR="00294E77" w:rsidRPr="00736318">
        <w:rPr>
          <w:rFonts w:ascii="Arial" w:hAnsi="Arial" w:cs="Arial"/>
          <w:sz w:val="24"/>
          <w:szCs w:val="24"/>
        </w:rPr>
        <w:t xml:space="preserve"> an order to that effect on </w:t>
      </w:r>
      <w:r w:rsidR="00B90330" w:rsidRPr="00736318">
        <w:rPr>
          <w:rFonts w:ascii="Arial" w:hAnsi="Arial" w:cs="Arial"/>
          <w:sz w:val="24"/>
          <w:szCs w:val="24"/>
        </w:rPr>
        <w:t>3 August 2021</w:t>
      </w:r>
      <w:r w:rsidR="00482FDB" w:rsidRPr="00736318">
        <w:rPr>
          <w:rFonts w:ascii="Arial" w:hAnsi="Arial" w:cs="Arial"/>
          <w:sz w:val="24"/>
          <w:szCs w:val="24"/>
        </w:rPr>
        <w:t>. In terms of its amended</w:t>
      </w:r>
      <w:r w:rsidR="003A1F17" w:rsidRPr="00736318">
        <w:rPr>
          <w:rFonts w:ascii="Arial" w:hAnsi="Arial" w:cs="Arial"/>
          <w:sz w:val="24"/>
          <w:szCs w:val="24"/>
        </w:rPr>
        <w:t xml:space="preserve"> notice, the </w:t>
      </w:r>
      <w:r w:rsidR="00334AF1" w:rsidRPr="00736318">
        <w:rPr>
          <w:rFonts w:ascii="Arial" w:hAnsi="Arial" w:cs="Arial"/>
          <w:sz w:val="24"/>
          <w:szCs w:val="24"/>
        </w:rPr>
        <w:t>applicant</w:t>
      </w:r>
      <w:r w:rsidR="00372EF7" w:rsidRPr="00736318">
        <w:rPr>
          <w:rFonts w:ascii="Arial" w:hAnsi="Arial" w:cs="Arial"/>
          <w:sz w:val="24"/>
          <w:szCs w:val="24"/>
        </w:rPr>
        <w:t xml:space="preserve"> claim</w:t>
      </w:r>
      <w:r w:rsidR="003A1F17" w:rsidRPr="00736318">
        <w:rPr>
          <w:rFonts w:ascii="Arial" w:hAnsi="Arial" w:cs="Arial"/>
          <w:sz w:val="24"/>
          <w:szCs w:val="24"/>
        </w:rPr>
        <w:t>s</w:t>
      </w:r>
      <w:r w:rsidR="00372EF7" w:rsidRPr="00736318">
        <w:rPr>
          <w:rFonts w:ascii="Arial" w:hAnsi="Arial" w:cs="Arial"/>
          <w:sz w:val="24"/>
          <w:szCs w:val="24"/>
        </w:rPr>
        <w:t xml:space="preserve"> payment </w:t>
      </w:r>
      <w:r w:rsidR="004F2F4F" w:rsidRPr="00736318">
        <w:rPr>
          <w:rFonts w:ascii="Arial" w:hAnsi="Arial" w:cs="Arial"/>
          <w:sz w:val="24"/>
          <w:szCs w:val="24"/>
        </w:rPr>
        <w:t xml:space="preserve">of interest </w:t>
      </w:r>
      <w:r w:rsidR="00372EF7" w:rsidRPr="00736318">
        <w:rPr>
          <w:rFonts w:ascii="Arial" w:hAnsi="Arial" w:cs="Arial"/>
          <w:sz w:val="24"/>
          <w:szCs w:val="24"/>
        </w:rPr>
        <w:t>in terms of the TAA,</w:t>
      </w:r>
      <w:r w:rsidR="00976ED2" w:rsidRPr="00736318">
        <w:rPr>
          <w:rFonts w:ascii="Arial" w:hAnsi="Arial" w:cs="Arial"/>
          <w:sz w:val="24"/>
          <w:szCs w:val="24"/>
        </w:rPr>
        <w:t xml:space="preserve"> </w:t>
      </w:r>
      <w:r w:rsidR="001C0B85" w:rsidRPr="00736318">
        <w:rPr>
          <w:rFonts w:ascii="Arial" w:hAnsi="Arial" w:cs="Arial"/>
          <w:sz w:val="24"/>
          <w:szCs w:val="24"/>
        </w:rPr>
        <w:t>alternative</w:t>
      </w:r>
      <w:r w:rsidR="005A5BF5" w:rsidRPr="00736318">
        <w:rPr>
          <w:rFonts w:ascii="Arial" w:hAnsi="Arial" w:cs="Arial"/>
          <w:sz w:val="24"/>
          <w:szCs w:val="24"/>
        </w:rPr>
        <w:t>ly</w:t>
      </w:r>
      <w:r w:rsidR="001C0B85" w:rsidRPr="00736318">
        <w:rPr>
          <w:rFonts w:ascii="Arial" w:hAnsi="Arial" w:cs="Arial"/>
          <w:sz w:val="24"/>
          <w:szCs w:val="24"/>
        </w:rPr>
        <w:t xml:space="preserve"> at the prevailing legal rate</w:t>
      </w:r>
      <w:r w:rsidR="006672FB" w:rsidRPr="00736318">
        <w:rPr>
          <w:rFonts w:ascii="Arial" w:hAnsi="Arial" w:cs="Arial"/>
          <w:sz w:val="24"/>
          <w:szCs w:val="24"/>
        </w:rPr>
        <w:t>.</w:t>
      </w:r>
      <w:r w:rsidR="00372EF7" w:rsidRPr="00736318">
        <w:rPr>
          <w:rFonts w:ascii="Arial" w:hAnsi="Arial" w:cs="Arial"/>
          <w:sz w:val="24"/>
          <w:szCs w:val="24"/>
        </w:rPr>
        <w:t xml:space="preserve"> </w:t>
      </w:r>
    </w:p>
    <w:p w14:paraId="5AE8CFAE" w14:textId="77777777" w:rsidR="00DD09BC" w:rsidRDefault="00DD09BC" w:rsidP="00DD09BC">
      <w:pPr>
        <w:pStyle w:val="ListParagraph"/>
        <w:spacing w:line="360" w:lineRule="auto"/>
        <w:ind w:left="0"/>
        <w:jc w:val="both"/>
        <w:rPr>
          <w:rFonts w:ascii="Arial" w:hAnsi="Arial" w:cs="Arial"/>
          <w:sz w:val="24"/>
          <w:szCs w:val="24"/>
        </w:rPr>
      </w:pPr>
    </w:p>
    <w:p w14:paraId="2EB4BDFB" w14:textId="201328A9" w:rsidR="0012159F" w:rsidRPr="00736318" w:rsidRDefault="00736318" w:rsidP="00736318">
      <w:pPr>
        <w:spacing w:line="360" w:lineRule="auto"/>
        <w:jc w:val="both"/>
        <w:rPr>
          <w:rFonts w:ascii="Arial" w:hAnsi="Arial" w:cs="Arial"/>
          <w:sz w:val="24"/>
          <w:szCs w:val="24"/>
        </w:rPr>
      </w:pPr>
      <w:r w:rsidRPr="00DD09BC">
        <w:rPr>
          <w:rFonts w:ascii="Arial" w:hAnsi="Arial" w:cs="Arial"/>
          <w:sz w:val="24"/>
          <w:szCs w:val="24"/>
        </w:rPr>
        <w:t>[9]</w:t>
      </w:r>
      <w:r w:rsidRPr="00DD09BC">
        <w:rPr>
          <w:rFonts w:ascii="Arial" w:hAnsi="Arial" w:cs="Arial"/>
          <w:sz w:val="24"/>
          <w:szCs w:val="24"/>
        </w:rPr>
        <w:tab/>
      </w:r>
      <w:r w:rsidR="00D36B54" w:rsidRPr="00736318">
        <w:rPr>
          <w:rFonts w:ascii="Arial" w:hAnsi="Arial" w:cs="Arial"/>
          <w:sz w:val="24"/>
          <w:szCs w:val="24"/>
        </w:rPr>
        <w:t>Th</w:t>
      </w:r>
      <w:r w:rsidR="00EA7597" w:rsidRPr="00736318">
        <w:rPr>
          <w:rFonts w:ascii="Arial" w:hAnsi="Arial" w:cs="Arial"/>
          <w:sz w:val="24"/>
          <w:szCs w:val="24"/>
        </w:rPr>
        <w:t xml:space="preserve">e court </w:t>
      </w:r>
      <w:r w:rsidR="006D1D8D" w:rsidRPr="00736318">
        <w:rPr>
          <w:rFonts w:ascii="Arial" w:hAnsi="Arial" w:cs="Arial"/>
          <w:sz w:val="24"/>
          <w:szCs w:val="24"/>
        </w:rPr>
        <w:t xml:space="preserve">subsequently </w:t>
      </w:r>
      <w:r w:rsidR="005C6B87" w:rsidRPr="00736318">
        <w:rPr>
          <w:rFonts w:ascii="Arial" w:hAnsi="Arial" w:cs="Arial"/>
          <w:sz w:val="24"/>
          <w:szCs w:val="24"/>
        </w:rPr>
        <w:t xml:space="preserve">made a further order on 29 November 2022, </w:t>
      </w:r>
      <w:r w:rsidR="006D1D8D" w:rsidRPr="00736318">
        <w:rPr>
          <w:rFonts w:ascii="Arial" w:hAnsi="Arial" w:cs="Arial"/>
          <w:sz w:val="24"/>
          <w:szCs w:val="24"/>
        </w:rPr>
        <w:t>grant</w:t>
      </w:r>
      <w:r w:rsidR="005C6B87" w:rsidRPr="00736318">
        <w:rPr>
          <w:rFonts w:ascii="Arial" w:hAnsi="Arial" w:cs="Arial"/>
          <w:sz w:val="24"/>
          <w:szCs w:val="24"/>
        </w:rPr>
        <w:t>ing</w:t>
      </w:r>
      <w:r w:rsidR="006D1D8D" w:rsidRPr="00736318">
        <w:rPr>
          <w:rFonts w:ascii="Arial" w:hAnsi="Arial" w:cs="Arial"/>
          <w:sz w:val="24"/>
          <w:szCs w:val="24"/>
        </w:rPr>
        <w:t xml:space="preserve"> leave to </w:t>
      </w:r>
      <w:r w:rsidR="00CE6965" w:rsidRPr="00736318">
        <w:rPr>
          <w:rFonts w:ascii="Arial" w:hAnsi="Arial" w:cs="Arial"/>
          <w:sz w:val="24"/>
          <w:szCs w:val="24"/>
        </w:rPr>
        <w:t xml:space="preserve">both parties </w:t>
      </w:r>
      <w:r w:rsidR="00A00822" w:rsidRPr="00736318">
        <w:rPr>
          <w:rFonts w:ascii="Arial" w:hAnsi="Arial" w:cs="Arial"/>
          <w:sz w:val="24"/>
          <w:szCs w:val="24"/>
        </w:rPr>
        <w:t>to deliver supplementary</w:t>
      </w:r>
      <w:r w:rsidR="00CE6965" w:rsidRPr="00736318">
        <w:rPr>
          <w:rFonts w:ascii="Arial" w:hAnsi="Arial" w:cs="Arial"/>
          <w:sz w:val="24"/>
          <w:szCs w:val="24"/>
        </w:rPr>
        <w:t xml:space="preserve"> papers</w:t>
      </w:r>
      <w:r w:rsidR="00D04F6A" w:rsidRPr="00736318">
        <w:rPr>
          <w:rFonts w:ascii="Arial" w:hAnsi="Arial" w:cs="Arial"/>
          <w:sz w:val="24"/>
          <w:szCs w:val="24"/>
        </w:rPr>
        <w:t>.</w:t>
      </w:r>
    </w:p>
    <w:p w14:paraId="5490A77C" w14:textId="77777777" w:rsidR="004A448D" w:rsidRDefault="004A448D" w:rsidP="00382E24">
      <w:pPr>
        <w:spacing w:line="360" w:lineRule="auto"/>
        <w:rPr>
          <w:rFonts w:ascii="Arial" w:hAnsi="Arial" w:cs="Arial"/>
          <w:sz w:val="24"/>
          <w:szCs w:val="24"/>
        </w:rPr>
      </w:pPr>
    </w:p>
    <w:p w14:paraId="6CD40837" w14:textId="46445BCF" w:rsidR="004A448D" w:rsidRPr="004A448D" w:rsidRDefault="004A448D" w:rsidP="00DD09BC">
      <w:pPr>
        <w:spacing w:line="360" w:lineRule="auto"/>
        <w:jc w:val="both"/>
        <w:rPr>
          <w:rFonts w:ascii="Arial" w:hAnsi="Arial" w:cs="Arial"/>
          <w:i/>
          <w:iCs/>
          <w:sz w:val="24"/>
          <w:szCs w:val="24"/>
        </w:rPr>
      </w:pPr>
      <w:r w:rsidRPr="004A448D">
        <w:rPr>
          <w:rFonts w:ascii="Arial" w:hAnsi="Arial" w:cs="Arial"/>
          <w:i/>
          <w:iCs/>
          <w:sz w:val="24"/>
          <w:szCs w:val="24"/>
        </w:rPr>
        <w:t>Respondent’s supplementary answering affidavit</w:t>
      </w:r>
    </w:p>
    <w:p w14:paraId="02D09FE1" w14:textId="77777777" w:rsidR="004A448D" w:rsidRDefault="004A448D" w:rsidP="00382E24">
      <w:pPr>
        <w:spacing w:line="360" w:lineRule="auto"/>
        <w:rPr>
          <w:rFonts w:ascii="Arial" w:hAnsi="Arial" w:cs="Arial"/>
          <w:sz w:val="24"/>
          <w:szCs w:val="24"/>
        </w:rPr>
      </w:pPr>
    </w:p>
    <w:p w14:paraId="4ABF056C" w14:textId="4F327516"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460460" w:rsidRPr="00736318">
        <w:rPr>
          <w:rFonts w:ascii="Arial" w:hAnsi="Arial" w:cs="Arial"/>
          <w:sz w:val="24"/>
          <w:szCs w:val="24"/>
        </w:rPr>
        <w:t xml:space="preserve">In its supplementary answering affidavit, </w:t>
      </w:r>
      <w:r w:rsidR="009D792F" w:rsidRPr="00736318">
        <w:rPr>
          <w:rFonts w:ascii="Arial" w:hAnsi="Arial" w:cs="Arial"/>
          <w:sz w:val="24"/>
          <w:szCs w:val="24"/>
        </w:rPr>
        <w:t xml:space="preserve">served on 6 December </w:t>
      </w:r>
      <w:r w:rsidR="00A622ED" w:rsidRPr="00736318">
        <w:rPr>
          <w:rFonts w:ascii="Arial" w:hAnsi="Arial" w:cs="Arial"/>
          <w:sz w:val="24"/>
          <w:szCs w:val="24"/>
        </w:rPr>
        <w:t xml:space="preserve">2022, </w:t>
      </w:r>
      <w:r w:rsidR="00460460" w:rsidRPr="00736318">
        <w:rPr>
          <w:rFonts w:ascii="Arial" w:hAnsi="Arial" w:cs="Arial"/>
          <w:sz w:val="24"/>
          <w:szCs w:val="24"/>
        </w:rPr>
        <w:t xml:space="preserve">the respondent </w:t>
      </w:r>
      <w:r w:rsidR="00E83403" w:rsidRPr="00736318">
        <w:rPr>
          <w:rFonts w:ascii="Arial" w:hAnsi="Arial" w:cs="Arial"/>
          <w:sz w:val="24"/>
          <w:szCs w:val="24"/>
        </w:rPr>
        <w:t xml:space="preserve">explains that </w:t>
      </w:r>
      <w:r w:rsidR="00B04EDF" w:rsidRPr="00736318">
        <w:rPr>
          <w:rFonts w:ascii="Arial" w:hAnsi="Arial" w:cs="Arial"/>
          <w:sz w:val="24"/>
          <w:szCs w:val="24"/>
        </w:rPr>
        <w:t>the applicant</w:t>
      </w:r>
      <w:r w:rsidR="0093399B" w:rsidRPr="00736318">
        <w:rPr>
          <w:rFonts w:ascii="Arial" w:hAnsi="Arial" w:cs="Arial"/>
          <w:sz w:val="24"/>
          <w:szCs w:val="24"/>
        </w:rPr>
        <w:t xml:space="preserve">’s alternative claim </w:t>
      </w:r>
      <w:r w:rsidR="006E663A" w:rsidRPr="00736318">
        <w:rPr>
          <w:rFonts w:ascii="Arial" w:hAnsi="Arial" w:cs="Arial"/>
          <w:sz w:val="24"/>
          <w:szCs w:val="24"/>
        </w:rPr>
        <w:t xml:space="preserve">is one for the payment of </w:t>
      </w:r>
      <w:r w:rsidR="006E663A" w:rsidRPr="00736318">
        <w:rPr>
          <w:rFonts w:ascii="Arial" w:hAnsi="Arial" w:cs="Arial"/>
          <w:i/>
          <w:iCs/>
          <w:sz w:val="24"/>
          <w:szCs w:val="24"/>
        </w:rPr>
        <w:t>mora</w:t>
      </w:r>
      <w:r w:rsidR="006E663A" w:rsidRPr="00736318">
        <w:rPr>
          <w:rFonts w:ascii="Arial" w:hAnsi="Arial" w:cs="Arial"/>
          <w:sz w:val="24"/>
          <w:szCs w:val="24"/>
        </w:rPr>
        <w:t xml:space="preserve"> interest.</w:t>
      </w:r>
      <w:r w:rsidR="009F4463" w:rsidRPr="00736318">
        <w:rPr>
          <w:rFonts w:ascii="Arial" w:hAnsi="Arial" w:cs="Arial"/>
          <w:sz w:val="24"/>
          <w:szCs w:val="24"/>
        </w:rPr>
        <w:t xml:space="preserve"> It </w:t>
      </w:r>
      <w:r w:rsidR="00B630B5" w:rsidRPr="00736318">
        <w:rPr>
          <w:rFonts w:ascii="Arial" w:hAnsi="Arial" w:cs="Arial"/>
          <w:sz w:val="24"/>
          <w:szCs w:val="24"/>
        </w:rPr>
        <w:t xml:space="preserve">argues that the applicant is required to persuade the court that </w:t>
      </w:r>
      <w:r w:rsidR="000F64E9" w:rsidRPr="00736318">
        <w:rPr>
          <w:rFonts w:ascii="Arial" w:hAnsi="Arial" w:cs="Arial"/>
          <w:sz w:val="24"/>
          <w:szCs w:val="24"/>
        </w:rPr>
        <w:t>the South African Revenue Service (‘SARS’)</w:t>
      </w:r>
      <w:r w:rsidR="009443FE" w:rsidRPr="00736318">
        <w:rPr>
          <w:rFonts w:ascii="Arial" w:hAnsi="Arial" w:cs="Arial"/>
          <w:sz w:val="24"/>
          <w:szCs w:val="24"/>
        </w:rPr>
        <w:t xml:space="preserve"> owed </w:t>
      </w:r>
      <w:r w:rsidR="005D520E" w:rsidRPr="00736318">
        <w:rPr>
          <w:rFonts w:ascii="Arial" w:hAnsi="Arial" w:cs="Arial"/>
          <w:sz w:val="24"/>
          <w:szCs w:val="24"/>
        </w:rPr>
        <w:t>certain debts to the applicant</w:t>
      </w:r>
      <w:r w:rsidR="00E875A4" w:rsidRPr="00736318">
        <w:rPr>
          <w:rFonts w:ascii="Arial" w:hAnsi="Arial" w:cs="Arial"/>
          <w:sz w:val="24"/>
          <w:szCs w:val="24"/>
        </w:rPr>
        <w:t>,</w:t>
      </w:r>
      <w:r w:rsidR="005D520E" w:rsidRPr="00736318">
        <w:rPr>
          <w:rFonts w:ascii="Arial" w:hAnsi="Arial" w:cs="Arial"/>
          <w:sz w:val="24"/>
          <w:szCs w:val="24"/>
        </w:rPr>
        <w:t xml:space="preserve"> and that it was in</w:t>
      </w:r>
      <w:r w:rsidR="005D520E" w:rsidRPr="00736318">
        <w:rPr>
          <w:rFonts w:ascii="Arial" w:hAnsi="Arial" w:cs="Arial"/>
          <w:i/>
          <w:iCs/>
          <w:sz w:val="24"/>
          <w:szCs w:val="24"/>
        </w:rPr>
        <w:t xml:space="preserve"> mora</w:t>
      </w:r>
      <w:r w:rsidR="005D520E" w:rsidRPr="00736318">
        <w:rPr>
          <w:rFonts w:ascii="Arial" w:hAnsi="Arial" w:cs="Arial"/>
          <w:sz w:val="24"/>
          <w:szCs w:val="24"/>
        </w:rPr>
        <w:t xml:space="preserve"> regarding such </w:t>
      </w:r>
      <w:r w:rsidR="00E875A4" w:rsidRPr="00736318">
        <w:rPr>
          <w:rFonts w:ascii="Arial" w:hAnsi="Arial" w:cs="Arial"/>
          <w:sz w:val="24"/>
          <w:szCs w:val="24"/>
        </w:rPr>
        <w:t>debts.</w:t>
      </w:r>
      <w:r w:rsidR="00797580" w:rsidRPr="00736318">
        <w:rPr>
          <w:rFonts w:ascii="Arial" w:hAnsi="Arial" w:cs="Arial"/>
          <w:sz w:val="24"/>
          <w:szCs w:val="24"/>
        </w:rPr>
        <w:t xml:space="preserve"> </w:t>
      </w:r>
      <w:r w:rsidR="00291143" w:rsidRPr="00736318">
        <w:rPr>
          <w:rFonts w:ascii="Arial" w:hAnsi="Arial" w:cs="Arial"/>
          <w:sz w:val="24"/>
          <w:szCs w:val="24"/>
        </w:rPr>
        <w:t>The respondent asserts that th</w:t>
      </w:r>
      <w:r w:rsidR="00FA24A9" w:rsidRPr="00736318">
        <w:rPr>
          <w:rFonts w:ascii="Arial" w:hAnsi="Arial" w:cs="Arial"/>
          <w:sz w:val="24"/>
          <w:szCs w:val="24"/>
        </w:rPr>
        <w:t>is is simply not the case</w:t>
      </w:r>
      <w:r w:rsidR="009C68BD" w:rsidRPr="00736318">
        <w:rPr>
          <w:rFonts w:ascii="Arial" w:hAnsi="Arial" w:cs="Arial"/>
          <w:sz w:val="24"/>
          <w:szCs w:val="24"/>
        </w:rPr>
        <w:t xml:space="preserve">; the applicant is not entitled to </w:t>
      </w:r>
      <w:r w:rsidR="00FB27CB" w:rsidRPr="00736318">
        <w:rPr>
          <w:rFonts w:ascii="Arial" w:hAnsi="Arial" w:cs="Arial"/>
          <w:sz w:val="24"/>
          <w:szCs w:val="24"/>
        </w:rPr>
        <w:t xml:space="preserve">the payment of </w:t>
      </w:r>
      <w:r w:rsidR="00FB27CB" w:rsidRPr="00736318">
        <w:rPr>
          <w:rFonts w:ascii="Arial" w:hAnsi="Arial" w:cs="Arial"/>
          <w:i/>
          <w:iCs/>
          <w:sz w:val="24"/>
          <w:szCs w:val="24"/>
        </w:rPr>
        <w:t>mora</w:t>
      </w:r>
      <w:r w:rsidR="00FB27CB" w:rsidRPr="00736318">
        <w:rPr>
          <w:rFonts w:ascii="Arial" w:hAnsi="Arial" w:cs="Arial"/>
          <w:sz w:val="24"/>
          <w:szCs w:val="24"/>
        </w:rPr>
        <w:t xml:space="preserve"> interest.</w:t>
      </w:r>
      <w:r w:rsidR="008D2CD8" w:rsidRPr="00736318">
        <w:rPr>
          <w:rFonts w:ascii="Arial" w:hAnsi="Arial" w:cs="Arial"/>
          <w:sz w:val="24"/>
          <w:szCs w:val="24"/>
        </w:rPr>
        <w:t xml:space="preserve"> This is because the Prescribed Rate of Interest </w:t>
      </w:r>
      <w:r w:rsidR="005458AE" w:rsidRPr="00736318">
        <w:rPr>
          <w:rFonts w:ascii="Arial" w:hAnsi="Arial" w:cs="Arial"/>
          <w:sz w:val="24"/>
          <w:szCs w:val="24"/>
        </w:rPr>
        <w:t>Act 55 of 1975 (‘PRIA’) d</w:t>
      </w:r>
      <w:r w:rsidR="00632CB7" w:rsidRPr="00736318">
        <w:rPr>
          <w:rFonts w:ascii="Arial" w:hAnsi="Arial" w:cs="Arial"/>
          <w:sz w:val="24"/>
          <w:szCs w:val="24"/>
        </w:rPr>
        <w:t>oes</w:t>
      </w:r>
      <w:r w:rsidR="005458AE" w:rsidRPr="00736318">
        <w:rPr>
          <w:rFonts w:ascii="Arial" w:hAnsi="Arial" w:cs="Arial"/>
          <w:sz w:val="24"/>
          <w:szCs w:val="24"/>
        </w:rPr>
        <w:t xml:space="preserve"> not apply</w:t>
      </w:r>
      <w:r w:rsidR="00955F12" w:rsidRPr="00736318">
        <w:rPr>
          <w:rFonts w:ascii="Arial" w:hAnsi="Arial" w:cs="Arial"/>
          <w:sz w:val="24"/>
          <w:szCs w:val="24"/>
        </w:rPr>
        <w:t>.</w:t>
      </w:r>
    </w:p>
    <w:p w14:paraId="3775475E" w14:textId="77777777" w:rsidR="00DD09BC" w:rsidRDefault="00DD09BC" w:rsidP="00DD09BC">
      <w:pPr>
        <w:pStyle w:val="ListParagraph"/>
        <w:spacing w:line="360" w:lineRule="auto"/>
        <w:ind w:left="0"/>
        <w:jc w:val="both"/>
        <w:rPr>
          <w:rFonts w:ascii="Arial" w:hAnsi="Arial" w:cs="Arial"/>
          <w:sz w:val="24"/>
          <w:szCs w:val="24"/>
        </w:rPr>
      </w:pPr>
    </w:p>
    <w:p w14:paraId="00A715ED" w14:textId="578B5ABC"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6C0E78" w:rsidRPr="00736318">
        <w:rPr>
          <w:rFonts w:ascii="Arial" w:hAnsi="Arial" w:cs="Arial"/>
          <w:sz w:val="24"/>
          <w:szCs w:val="24"/>
        </w:rPr>
        <w:t xml:space="preserve">The respondent </w:t>
      </w:r>
      <w:r w:rsidR="007F1E88" w:rsidRPr="00736318">
        <w:rPr>
          <w:rFonts w:ascii="Arial" w:hAnsi="Arial" w:cs="Arial"/>
          <w:sz w:val="24"/>
          <w:szCs w:val="24"/>
        </w:rPr>
        <w:t xml:space="preserve">goes on to </w:t>
      </w:r>
      <w:r w:rsidR="00A97EFA" w:rsidRPr="00736318">
        <w:rPr>
          <w:rFonts w:ascii="Arial" w:hAnsi="Arial" w:cs="Arial"/>
          <w:sz w:val="24"/>
          <w:szCs w:val="24"/>
        </w:rPr>
        <w:t xml:space="preserve">discuss the meaning of </w:t>
      </w:r>
      <w:r w:rsidR="0051360C" w:rsidRPr="00736318">
        <w:rPr>
          <w:rFonts w:ascii="Arial" w:hAnsi="Arial" w:cs="Arial"/>
          <w:sz w:val="24"/>
          <w:szCs w:val="24"/>
        </w:rPr>
        <w:t xml:space="preserve">‘employer’ and ‘employee’ within the context of the </w:t>
      </w:r>
      <w:r w:rsidR="00C03800" w:rsidRPr="00736318">
        <w:rPr>
          <w:rFonts w:ascii="Arial" w:hAnsi="Arial" w:cs="Arial"/>
          <w:sz w:val="24"/>
          <w:szCs w:val="24"/>
        </w:rPr>
        <w:t>ETI</w:t>
      </w:r>
      <w:r w:rsidR="00761849" w:rsidRPr="00736318">
        <w:rPr>
          <w:rFonts w:ascii="Arial" w:hAnsi="Arial" w:cs="Arial"/>
          <w:sz w:val="24"/>
          <w:szCs w:val="24"/>
        </w:rPr>
        <w:t xml:space="preserve"> Act and the Fourth Schedule to the Income Tax Act </w:t>
      </w:r>
      <w:r w:rsidR="0025151B" w:rsidRPr="00736318">
        <w:rPr>
          <w:rFonts w:ascii="Arial" w:hAnsi="Arial" w:cs="Arial"/>
          <w:sz w:val="24"/>
          <w:szCs w:val="24"/>
        </w:rPr>
        <w:t>58 of 1962 (‘ITA’)</w:t>
      </w:r>
      <w:r w:rsidR="0048695D" w:rsidRPr="00736318">
        <w:rPr>
          <w:rFonts w:ascii="Arial" w:hAnsi="Arial" w:cs="Arial"/>
          <w:sz w:val="24"/>
          <w:szCs w:val="24"/>
        </w:rPr>
        <w:t xml:space="preserve">, before </w:t>
      </w:r>
      <w:r w:rsidR="007F1E88" w:rsidRPr="00736318">
        <w:rPr>
          <w:rFonts w:ascii="Arial" w:hAnsi="Arial" w:cs="Arial"/>
          <w:sz w:val="24"/>
          <w:szCs w:val="24"/>
        </w:rPr>
        <w:t>refer</w:t>
      </w:r>
      <w:r w:rsidR="0048695D" w:rsidRPr="00736318">
        <w:rPr>
          <w:rFonts w:ascii="Arial" w:hAnsi="Arial" w:cs="Arial"/>
          <w:sz w:val="24"/>
          <w:szCs w:val="24"/>
        </w:rPr>
        <w:t>ring</w:t>
      </w:r>
      <w:r w:rsidR="007F1E88" w:rsidRPr="00736318">
        <w:rPr>
          <w:rFonts w:ascii="Arial" w:hAnsi="Arial" w:cs="Arial"/>
          <w:sz w:val="24"/>
          <w:szCs w:val="24"/>
        </w:rPr>
        <w:t xml:space="preserve"> to the </w:t>
      </w:r>
      <w:r w:rsidR="00BA1460" w:rsidRPr="00736318">
        <w:rPr>
          <w:rFonts w:ascii="Arial" w:hAnsi="Arial" w:cs="Arial"/>
          <w:sz w:val="24"/>
          <w:szCs w:val="24"/>
        </w:rPr>
        <w:t>dispute</w:t>
      </w:r>
      <w:r w:rsidR="007F1E88" w:rsidRPr="00736318">
        <w:rPr>
          <w:rFonts w:ascii="Arial" w:hAnsi="Arial" w:cs="Arial"/>
          <w:sz w:val="24"/>
          <w:szCs w:val="24"/>
        </w:rPr>
        <w:t xml:space="preserve"> </w:t>
      </w:r>
      <w:r w:rsidR="008F79B3" w:rsidRPr="00736318">
        <w:rPr>
          <w:rFonts w:ascii="Arial" w:hAnsi="Arial" w:cs="Arial"/>
          <w:sz w:val="24"/>
          <w:szCs w:val="24"/>
        </w:rPr>
        <w:t>in</w:t>
      </w:r>
      <w:r w:rsidR="007F1E88" w:rsidRPr="00736318">
        <w:rPr>
          <w:rFonts w:ascii="Arial" w:hAnsi="Arial" w:cs="Arial"/>
          <w:sz w:val="24"/>
          <w:szCs w:val="24"/>
        </w:rPr>
        <w:t xml:space="preserve"> the </w:t>
      </w:r>
      <w:r w:rsidR="002C550B" w:rsidRPr="00736318">
        <w:rPr>
          <w:rFonts w:ascii="Arial" w:hAnsi="Arial" w:cs="Arial"/>
          <w:sz w:val="24"/>
          <w:szCs w:val="24"/>
        </w:rPr>
        <w:t>Tax Appeal Court</w:t>
      </w:r>
      <w:r w:rsidR="0048695D" w:rsidRPr="00736318">
        <w:rPr>
          <w:rFonts w:ascii="Arial" w:hAnsi="Arial" w:cs="Arial"/>
          <w:sz w:val="24"/>
          <w:szCs w:val="24"/>
        </w:rPr>
        <w:t>. A</w:t>
      </w:r>
      <w:r w:rsidR="004A4889" w:rsidRPr="00736318">
        <w:rPr>
          <w:rFonts w:ascii="Arial" w:hAnsi="Arial" w:cs="Arial"/>
          <w:sz w:val="24"/>
          <w:szCs w:val="24"/>
        </w:rPr>
        <w:t xml:space="preserve"> key issue</w:t>
      </w:r>
      <w:r w:rsidR="00BA1460" w:rsidRPr="00736318">
        <w:rPr>
          <w:rFonts w:ascii="Arial" w:hAnsi="Arial" w:cs="Arial"/>
          <w:sz w:val="24"/>
          <w:szCs w:val="24"/>
        </w:rPr>
        <w:t xml:space="preserve"> in that regard </w:t>
      </w:r>
      <w:r w:rsidR="004A4889" w:rsidRPr="00736318">
        <w:rPr>
          <w:rFonts w:ascii="Arial" w:hAnsi="Arial" w:cs="Arial"/>
          <w:sz w:val="24"/>
          <w:szCs w:val="24"/>
        </w:rPr>
        <w:t xml:space="preserve">is whether the applicant is liable for the payment of SDL on </w:t>
      </w:r>
      <w:r w:rsidR="00731530" w:rsidRPr="00736318">
        <w:rPr>
          <w:rFonts w:ascii="Arial" w:hAnsi="Arial" w:cs="Arial"/>
          <w:sz w:val="24"/>
          <w:szCs w:val="24"/>
        </w:rPr>
        <w:t xml:space="preserve">the remuneration of employees. </w:t>
      </w:r>
      <w:r w:rsidR="00752BFB" w:rsidRPr="00736318">
        <w:rPr>
          <w:rFonts w:ascii="Arial" w:hAnsi="Arial" w:cs="Arial"/>
          <w:sz w:val="24"/>
          <w:szCs w:val="24"/>
        </w:rPr>
        <w:t>T</w:t>
      </w:r>
      <w:r w:rsidR="00715AC1" w:rsidRPr="00736318">
        <w:rPr>
          <w:rFonts w:ascii="Arial" w:hAnsi="Arial" w:cs="Arial"/>
          <w:sz w:val="24"/>
          <w:szCs w:val="24"/>
        </w:rPr>
        <w:t xml:space="preserve">he respondent attaches </w:t>
      </w:r>
      <w:r w:rsidR="008562E9" w:rsidRPr="00736318">
        <w:rPr>
          <w:rFonts w:ascii="Arial" w:hAnsi="Arial" w:cs="Arial"/>
          <w:sz w:val="24"/>
          <w:szCs w:val="24"/>
        </w:rPr>
        <w:t xml:space="preserve">a copy of the applicant’s statement of its grounds </w:t>
      </w:r>
      <w:r w:rsidR="008562E9" w:rsidRPr="00736318">
        <w:rPr>
          <w:rFonts w:ascii="Arial" w:hAnsi="Arial" w:cs="Arial"/>
          <w:sz w:val="24"/>
          <w:szCs w:val="24"/>
        </w:rPr>
        <w:lastRenderedPageBreak/>
        <w:t>of appeal</w:t>
      </w:r>
      <w:r w:rsidR="006E1B16" w:rsidRPr="00736318">
        <w:rPr>
          <w:rFonts w:ascii="Arial" w:hAnsi="Arial" w:cs="Arial"/>
          <w:sz w:val="24"/>
          <w:szCs w:val="24"/>
        </w:rPr>
        <w:t xml:space="preserve"> to its supplementary answering affidavit and points out that </w:t>
      </w:r>
      <w:r w:rsidR="00C46C55" w:rsidRPr="00736318">
        <w:rPr>
          <w:rFonts w:ascii="Arial" w:hAnsi="Arial" w:cs="Arial"/>
          <w:sz w:val="24"/>
          <w:szCs w:val="24"/>
        </w:rPr>
        <w:t xml:space="preserve">there are </w:t>
      </w:r>
      <w:r w:rsidR="00F82D6C" w:rsidRPr="00736318">
        <w:rPr>
          <w:rFonts w:ascii="Arial" w:hAnsi="Arial" w:cs="Arial"/>
          <w:sz w:val="24"/>
          <w:szCs w:val="24"/>
        </w:rPr>
        <w:t>several</w:t>
      </w:r>
      <w:r w:rsidR="00C46C55" w:rsidRPr="00736318">
        <w:rPr>
          <w:rFonts w:ascii="Arial" w:hAnsi="Arial" w:cs="Arial"/>
          <w:sz w:val="24"/>
          <w:szCs w:val="24"/>
        </w:rPr>
        <w:t xml:space="preserve"> assertions therein that have a direct bearing on the main application.</w:t>
      </w:r>
      <w:r w:rsidR="00C2647B" w:rsidRPr="00736318">
        <w:rPr>
          <w:rFonts w:ascii="Arial" w:hAnsi="Arial" w:cs="Arial"/>
          <w:sz w:val="24"/>
          <w:szCs w:val="24"/>
        </w:rPr>
        <w:t xml:space="preserve"> </w:t>
      </w:r>
      <w:r w:rsidR="00E922F5" w:rsidRPr="00736318">
        <w:rPr>
          <w:rFonts w:ascii="Arial" w:hAnsi="Arial" w:cs="Arial"/>
          <w:sz w:val="24"/>
          <w:szCs w:val="24"/>
        </w:rPr>
        <w:t>Importantly, t</w:t>
      </w:r>
      <w:r w:rsidR="00081A07" w:rsidRPr="00736318">
        <w:rPr>
          <w:rFonts w:ascii="Arial" w:hAnsi="Arial" w:cs="Arial"/>
          <w:sz w:val="24"/>
          <w:szCs w:val="24"/>
        </w:rPr>
        <w:t xml:space="preserve">he applicant </w:t>
      </w:r>
      <w:r w:rsidR="00051F4A" w:rsidRPr="00736318">
        <w:rPr>
          <w:rFonts w:ascii="Arial" w:hAnsi="Arial" w:cs="Arial"/>
          <w:sz w:val="24"/>
          <w:szCs w:val="24"/>
        </w:rPr>
        <w:t>asserts</w:t>
      </w:r>
      <w:r w:rsidR="00DC70B9" w:rsidRPr="00736318">
        <w:rPr>
          <w:rFonts w:ascii="Arial" w:hAnsi="Arial" w:cs="Arial"/>
          <w:sz w:val="24"/>
          <w:szCs w:val="24"/>
        </w:rPr>
        <w:t xml:space="preserve"> in terms thereof</w:t>
      </w:r>
      <w:r w:rsidR="00051F4A" w:rsidRPr="00736318">
        <w:rPr>
          <w:rFonts w:ascii="Arial" w:hAnsi="Arial" w:cs="Arial"/>
          <w:sz w:val="24"/>
          <w:szCs w:val="24"/>
        </w:rPr>
        <w:t xml:space="preserve"> </w:t>
      </w:r>
      <w:r w:rsidR="00081A07" w:rsidRPr="00736318">
        <w:rPr>
          <w:rFonts w:ascii="Arial" w:hAnsi="Arial" w:cs="Arial"/>
          <w:sz w:val="24"/>
          <w:szCs w:val="24"/>
        </w:rPr>
        <w:t xml:space="preserve">that </w:t>
      </w:r>
      <w:r w:rsidR="000A68DF" w:rsidRPr="00736318">
        <w:rPr>
          <w:rFonts w:ascii="Arial" w:hAnsi="Arial" w:cs="Arial"/>
          <w:sz w:val="24"/>
          <w:szCs w:val="24"/>
        </w:rPr>
        <w:t xml:space="preserve">the respondent’s </w:t>
      </w:r>
      <w:r w:rsidR="00435CEA" w:rsidRPr="00736318">
        <w:rPr>
          <w:rFonts w:ascii="Arial" w:hAnsi="Arial" w:cs="Arial"/>
          <w:sz w:val="24"/>
          <w:szCs w:val="24"/>
        </w:rPr>
        <w:t>contention that it had 4,500 employees was incorrect</w:t>
      </w:r>
      <w:r w:rsidR="00274CF0" w:rsidRPr="00736318">
        <w:rPr>
          <w:rFonts w:ascii="Arial" w:hAnsi="Arial" w:cs="Arial"/>
          <w:sz w:val="24"/>
          <w:szCs w:val="24"/>
        </w:rPr>
        <w:t xml:space="preserve"> </w:t>
      </w:r>
      <w:r w:rsidR="00435CEA" w:rsidRPr="00736318">
        <w:rPr>
          <w:rFonts w:ascii="Arial" w:hAnsi="Arial" w:cs="Arial"/>
          <w:sz w:val="24"/>
          <w:szCs w:val="24"/>
        </w:rPr>
        <w:t>because such employees</w:t>
      </w:r>
      <w:r w:rsidR="00580296" w:rsidRPr="00736318">
        <w:rPr>
          <w:rFonts w:ascii="Arial" w:hAnsi="Arial" w:cs="Arial"/>
          <w:sz w:val="24"/>
          <w:szCs w:val="24"/>
        </w:rPr>
        <w:t xml:space="preserve"> were employed by its various </w:t>
      </w:r>
      <w:r w:rsidR="00F31B60" w:rsidRPr="00736318">
        <w:rPr>
          <w:rFonts w:ascii="Arial" w:hAnsi="Arial" w:cs="Arial"/>
          <w:sz w:val="24"/>
          <w:szCs w:val="24"/>
        </w:rPr>
        <w:t>clients</w:t>
      </w:r>
      <w:r w:rsidR="00E2302D" w:rsidRPr="00736318">
        <w:rPr>
          <w:rFonts w:ascii="Arial" w:hAnsi="Arial" w:cs="Arial"/>
          <w:sz w:val="24"/>
          <w:szCs w:val="24"/>
        </w:rPr>
        <w:t>. I</w:t>
      </w:r>
      <w:r w:rsidR="00081A07" w:rsidRPr="00736318">
        <w:rPr>
          <w:rFonts w:ascii="Arial" w:hAnsi="Arial" w:cs="Arial"/>
          <w:sz w:val="24"/>
          <w:szCs w:val="24"/>
        </w:rPr>
        <w:t>t</w:t>
      </w:r>
      <w:r w:rsidR="00504287" w:rsidRPr="00736318">
        <w:rPr>
          <w:rFonts w:ascii="Arial" w:hAnsi="Arial" w:cs="Arial"/>
          <w:sz w:val="24"/>
          <w:szCs w:val="24"/>
        </w:rPr>
        <w:t xml:space="preserve"> merely acted as an agent or as a payroll administrator</w:t>
      </w:r>
      <w:r w:rsidR="00D24FB6" w:rsidRPr="00736318">
        <w:rPr>
          <w:rFonts w:ascii="Arial" w:hAnsi="Arial" w:cs="Arial"/>
          <w:sz w:val="24"/>
          <w:szCs w:val="24"/>
        </w:rPr>
        <w:t xml:space="preserve"> and </w:t>
      </w:r>
      <w:r w:rsidR="00051F4A" w:rsidRPr="00736318">
        <w:rPr>
          <w:rFonts w:ascii="Arial" w:hAnsi="Arial" w:cs="Arial"/>
          <w:sz w:val="24"/>
          <w:szCs w:val="24"/>
        </w:rPr>
        <w:t>ha</w:t>
      </w:r>
      <w:r w:rsidR="00D7633A" w:rsidRPr="00736318">
        <w:rPr>
          <w:rFonts w:ascii="Arial" w:hAnsi="Arial" w:cs="Arial"/>
          <w:sz w:val="24"/>
          <w:szCs w:val="24"/>
        </w:rPr>
        <w:t xml:space="preserve">d a </w:t>
      </w:r>
      <w:r w:rsidR="00051F4A" w:rsidRPr="00736318">
        <w:rPr>
          <w:rFonts w:ascii="Arial" w:hAnsi="Arial" w:cs="Arial"/>
          <w:sz w:val="24"/>
          <w:szCs w:val="24"/>
        </w:rPr>
        <w:t>s</w:t>
      </w:r>
      <w:r w:rsidR="00D7633A" w:rsidRPr="00736318">
        <w:rPr>
          <w:rFonts w:ascii="Arial" w:hAnsi="Arial" w:cs="Arial"/>
          <w:sz w:val="24"/>
          <w:szCs w:val="24"/>
        </w:rPr>
        <w:t>taff of only</w:t>
      </w:r>
      <w:r w:rsidR="00051F4A" w:rsidRPr="00736318">
        <w:rPr>
          <w:rFonts w:ascii="Arial" w:hAnsi="Arial" w:cs="Arial"/>
          <w:sz w:val="24"/>
          <w:szCs w:val="24"/>
        </w:rPr>
        <w:t xml:space="preserve"> </w:t>
      </w:r>
      <w:r w:rsidR="007463F0" w:rsidRPr="00736318">
        <w:rPr>
          <w:rFonts w:ascii="Arial" w:hAnsi="Arial" w:cs="Arial"/>
          <w:sz w:val="24"/>
          <w:szCs w:val="24"/>
        </w:rPr>
        <w:t>15 employees</w:t>
      </w:r>
      <w:r w:rsidR="006D4585" w:rsidRPr="00736318">
        <w:rPr>
          <w:rFonts w:ascii="Arial" w:hAnsi="Arial" w:cs="Arial"/>
          <w:sz w:val="24"/>
          <w:szCs w:val="24"/>
        </w:rPr>
        <w:t xml:space="preserve">. </w:t>
      </w:r>
      <w:r w:rsidR="002F4BA4" w:rsidRPr="00736318">
        <w:rPr>
          <w:rFonts w:ascii="Arial" w:hAnsi="Arial" w:cs="Arial"/>
          <w:sz w:val="24"/>
          <w:szCs w:val="24"/>
        </w:rPr>
        <w:t xml:space="preserve">It was not the principal employer of the 4,500 employees </w:t>
      </w:r>
      <w:r w:rsidR="00A0266C" w:rsidRPr="00736318">
        <w:rPr>
          <w:rFonts w:ascii="Arial" w:hAnsi="Arial" w:cs="Arial"/>
          <w:sz w:val="24"/>
          <w:szCs w:val="24"/>
        </w:rPr>
        <w:t>mentioned by the respondent.</w:t>
      </w:r>
    </w:p>
    <w:p w14:paraId="2500CACA" w14:textId="77777777" w:rsidR="00DD09BC" w:rsidRPr="00DD09BC" w:rsidRDefault="00DD09BC" w:rsidP="00DD09BC">
      <w:pPr>
        <w:pStyle w:val="ListParagraph"/>
        <w:rPr>
          <w:rFonts w:ascii="Arial" w:hAnsi="Arial" w:cs="Arial"/>
          <w:sz w:val="24"/>
          <w:szCs w:val="24"/>
        </w:rPr>
      </w:pPr>
    </w:p>
    <w:p w14:paraId="134456D5" w14:textId="74E05FAF" w:rsidR="006C7FF5" w:rsidRPr="00736318" w:rsidRDefault="00736318" w:rsidP="00736318">
      <w:pPr>
        <w:spacing w:line="360" w:lineRule="auto"/>
        <w:jc w:val="both"/>
        <w:rPr>
          <w:rFonts w:ascii="Arial" w:hAnsi="Arial" w:cs="Arial"/>
          <w:sz w:val="24"/>
          <w:szCs w:val="24"/>
        </w:rPr>
      </w:pPr>
      <w:r w:rsidRPr="00DD09BC">
        <w:rPr>
          <w:rFonts w:ascii="Arial" w:hAnsi="Arial" w:cs="Arial"/>
          <w:sz w:val="24"/>
          <w:szCs w:val="24"/>
        </w:rPr>
        <w:t>[12]</w:t>
      </w:r>
      <w:r w:rsidRPr="00DD09BC">
        <w:rPr>
          <w:rFonts w:ascii="Arial" w:hAnsi="Arial" w:cs="Arial"/>
          <w:sz w:val="24"/>
          <w:szCs w:val="24"/>
        </w:rPr>
        <w:tab/>
      </w:r>
      <w:r w:rsidR="006C7FF5" w:rsidRPr="00736318">
        <w:rPr>
          <w:rFonts w:ascii="Arial" w:hAnsi="Arial" w:cs="Arial"/>
          <w:sz w:val="24"/>
          <w:szCs w:val="24"/>
        </w:rPr>
        <w:t xml:space="preserve">Consequently, argues the respondent, </w:t>
      </w:r>
      <w:r w:rsidR="00606C3A" w:rsidRPr="00736318">
        <w:rPr>
          <w:rFonts w:ascii="Arial" w:hAnsi="Arial" w:cs="Arial"/>
          <w:sz w:val="24"/>
          <w:szCs w:val="24"/>
        </w:rPr>
        <w:t xml:space="preserve">the applicant did not qualify as an employer </w:t>
      </w:r>
      <w:r w:rsidR="00DC70B9" w:rsidRPr="00736318">
        <w:rPr>
          <w:rFonts w:ascii="Arial" w:hAnsi="Arial" w:cs="Arial"/>
          <w:sz w:val="24"/>
          <w:szCs w:val="24"/>
        </w:rPr>
        <w:t xml:space="preserve">under </w:t>
      </w:r>
      <w:r w:rsidR="00606C3A" w:rsidRPr="00736318">
        <w:rPr>
          <w:rFonts w:ascii="Arial" w:hAnsi="Arial" w:cs="Arial"/>
          <w:sz w:val="24"/>
          <w:szCs w:val="24"/>
        </w:rPr>
        <w:t xml:space="preserve">either the </w:t>
      </w:r>
      <w:r w:rsidR="0093776E" w:rsidRPr="00736318">
        <w:rPr>
          <w:rFonts w:ascii="Arial" w:hAnsi="Arial" w:cs="Arial"/>
          <w:sz w:val="24"/>
          <w:szCs w:val="24"/>
        </w:rPr>
        <w:t>ETI Act or the Fourt</w:t>
      </w:r>
      <w:r w:rsidR="006A0B9B" w:rsidRPr="00736318">
        <w:rPr>
          <w:rFonts w:ascii="Arial" w:hAnsi="Arial" w:cs="Arial"/>
          <w:sz w:val="24"/>
          <w:szCs w:val="24"/>
        </w:rPr>
        <w:t>h</w:t>
      </w:r>
      <w:r w:rsidR="0093776E" w:rsidRPr="00736318">
        <w:rPr>
          <w:rFonts w:ascii="Arial" w:hAnsi="Arial" w:cs="Arial"/>
          <w:sz w:val="24"/>
          <w:szCs w:val="24"/>
        </w:rPr>
        <w:t xml:space="preserve"> Schedule to the ITA.</w:t>
      </w:r>
      <w:r w:rsidR="006A0B9B" w:rsidRPr="00736318">
        <w:rPr>
          <w:rFonts w:ascii="Arial" w:hAnsi="Arial" w:cs="Arial"/>
          <w:sz w:val="24"/>
          <w:szCs w:val="24"/>
        </w:rPr>
        <w:t xml:space="preserve"> This was </w:t>
      </w:r>
      <w:r w:rsidR="000E4B38" w:rsidRPr="00736318">
        <w:rPr>
          <w:rFonts w:ascii="Arial" w:hAnsi="Arial" w:cs="Arial"/>
          <w:sz w:val="24"/>
          <w:szCs w:val="24"/>
        </w:rPr>
        <w:t>based on</w:t>
      </w:r>
      <w:r w:rsidR="006A0B9B" w:rsidRPr="00736318">
        <w:rPr>
          <w:rFonts w:ascii="Arial" w:hAnsi="Arial" w:cs="Arial"/>
          <w:sz w:val="24"/>
          <w:szCs w:val="24"/>
        </w:rPr>
        <w:t xml:space="preserve"> its own assertions.</w:t>
      </w:r>
      <w:r w:rsidR="00483768" w:rsidRPr="00736318">
        <w:rPr>
          <w:rFonts w:ascii="Arial" w:hAnsi="Arial" w:cs="Arial"/>
          <w:sz w:val="24"/>
          <w:szCs w:val="24"/>
        </w:rPr>
        <w:t xml:space="preserve"> It was not entitled to</w:t>
      </w:r>
      <w:r w:rsidR="004F39DB" w:rsidRPr="00736318">
        <w:rPr>
          <w:rFonts w:ascii="Arial" w:hAnsi="Arial" w:cs="Arial"/>
          <w:sz w:val="24"/>
          <w:szCs w:val="24"/>
        </w:rPr>
        <w:t xml:space="preserve"> </w:t>
      </w:r>
      <w:r w:rsidR="004C3755" w:rsidRPr="00736318">
        <w:rPr>
          <w:rFonts w:ascii="Arial" w:hAnsi="Arial" w:cs="Arial"/>
          <w:sz w:val="24"/>
          <w:szCs w:val="24"/>
        </w:rPr>
        <w:t xml:space="preserve">payment of </w:t>
      </w:r>
      <w:r w:rsidR="004F39DB" w:rsidRPr="00736318">
        <w:rPr>
          <w:rFonts w:ascii="Arial" w:hAnsi="Arial" w:cs="Arial"/>
          <w:sz w:val="24"/>
          <w:szCs w:val="24"/>
        </w:rPr>
        <w:t>its claim in the main application.</w:t>
      </w:r>
    </w:p>
    <w:p w14:paraId="520DCF05" w14:textId="77777777" w:rsidR="00044067" w:rsidRDefault="00044067" w:rsidP="00382E24">
      <w:pPr>
        <w:spacing w:line="360" w:lineRule="auto"/>
        <w:rPr>
          <w:rFonts w:ascii="Arial" w:hAnsi="Arial" w:cs="Arial"/>
          <w:sz w:val="24"/>
          <w:szCs w:val="24"/>
        </w:rPr>
      </w:pPr>
    </w:p>
    <w:p w14:paraId="055A04FB" w14:textId="0841DA0C" w:rsidR="00044067" w:rsidRPr="00347999" w:rsidRDefault="00044067" w:rsidP="00DD09BC">
      <w:pPr>
        <w:spacing w:line="360" w:lineRule="auto"/>
        <w:jc w:val="both"/>
        <w:rPr>
          <w:rFonts w:ascii="Arial" w:hAnsi="Arial" w:cs="Arial"/>
          <w:i/>
          <w:iCs/>
          <w:sz w:val="24"/>
          <w:szCs w:val="24"/>
        </w:rPr>
      </w:pPr>
      <w:r w:rsidRPr="00347999">
        <w:rPr>
          <w:rFonts w:ascii="Arial" w:hAnsi="Arial" w:cs="Arial"/>
          <w:i/>
          <w:iCs/>
          <w:sz w:val="24"/>
          <w:szCs w:val="24"/>
        </w:rPr>
        <w:t xml:space="preserve">Applicant’s supplementary </w:t>
      </w:r>
      <w:r w:rsidR="00F2306A" w:rsidRPr="00347999">
        <w:rPr>
          <w:rFonts w:ascii="Arial" w:hAnsi="Arial" w:cs="Arial"/>
          <w:i/>
          <w:iCs/>
          <w:sz w:val="24"/>
          <w:szCs w:val="24"/>
        </w:rPr>
        <w:t>founding affidavit and replying affidavit</w:t>
      </w:r>
      <w:r w:rsidR="00C10C90" w:rsidRPr="00347999">
        <w:rPr>
          <w:rFonts w:ascii="Arial" w:hAnsi="Arial" w:cs="Arial"/>
          <w:i/>
          <w:iCs/>
          <w:sz w:val="24"/>
          <w:szCs w:val="24"/>
        </w:rPr>
        <w:t xml:space="preserve"> to the respondent’s supplementary answering affidavit</w:t>
      </w:r>
    </w:p>
    <w:p w14:paraId="54B4FEA4" w14:textId="77777777" w:rsidR="00C10C90" w:rsidRDefault="00C10C90" w:rsidP="00382E24">
      <w:pPr>
        <w:spacing w:line="360" w:lineRule="auto"/>
        <w:rPr>
          <w:rFonts w:ascii="Arial" w:hAnsi="Arial" w:cs="Arial"/>
          <w:sz w:val="24"/>
          <w:szCs w:val="24"/>
        </w:rPr>
      </w:pPr>
    </w:p>
    <w:p w14:paraId="1B7E0DAC" w14:textId="33724E1A"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87009D" w:rsidRPr="00736318">
        <w:rPr>
          <w:rFonts w:ascii="Arial" w:hAnsi="Arial" w:cs="Arial"/>
          <w:sz w:val="24"/>
          <w:szCs w:val="24"/>
        </w:rPr>
        <w:t>The applicant served</w:t>
      </w:r>
      <w:r w:rsidR="006E0804" w:rsidRPr="00736318">
        <w:rPr>
          <w:rFonts w:ascii="Arial" w:hAnsi="Arial" w:cs="Arial"/>
          <w:sz w:val="24"/>
          <w:szCs w:val="24"/>
        </w:rPr>
        <w:t xml:space="preserve"> its </w:t>
      </w:r>
      <w:r w:rsidR="005F3E7C" w:rsidRPr="00736318">
        <w:rPr>
          <w:rFonts w:ascii="Arial" w:hAnsi="Arial" w:cs="Arial"/>
          <w:sz w:val="24"/>
          <w:szCs w:val="24"/>
        </w:rPr>
        <w:t xml:space="preserve">supplementary </w:t>
      </w:r>
      <w:r w:rsidR="00342DD5" w:rsidRPr="00736318">
        <w:rPr>
          <w:rFonts w:ascii="Arial" w:hAnsi="Arial" w:cs="Arial"/>
          <w:sz w:val="24"/>
          <w:szCs w:val="24"/>
        </w:rPr>
        <w:t>affidavit</w:t>
      </w:r>
      <w:r w:rsidR="000B0452" w:rsidRPr="00736318">
        <w:rPr>
          <w:rFonts w:ascii="Arial" w:hAnsi="Arial" w:cs="Arial"/>
          <w:sz w:val="24"/>
          <w:szCs w:val="24"/>
        </w:rPr>
        <w:t>, as described above</w:t>
      </w:r>
      <w:r w:rsidR="0087009D" w:rsidRPr="00736318">
        <w:rPr>
          <w:rFonts w:ascii="Arial" w:hAnsi="Arial" w:cs="Arial"/>
          <w:sz w:val="24"/>
          <w:szCs w:val="24"/>
        </w:rPr>
        <w:t xml:space="preserve">, </w:t>
      </w:r>
      <w:r w:rsidR="00D10A0A" w:rsidRPr="00736318">
        <w:rPr>
          <w:rFonts w:ascii="Arial" w:hAnsi="Arial" w:cs="Arial"/>
          <w:sz w:val="24"/>
          <w:szCs w:val="24"/>
        </w:rPr>
        <w:t>on 23 May 2023</w:t>
      </w:r>
      <w:r w:rsidR="0087009D" w:rsidRPr="00736318">
        <w:rPr>
          <w:rFonts w:ascii="Arial" w:hAnsi="Arial" w:cs="Arial"/>
          <w:sz w:val="24"/>
          <w:szCs w:val="24"/>
        </w:rPr>
        <w:t xml:space="preserve">. It </w:t>
      </w:r>
      <w:r w:rsidR="000F5073" w:rsidRPr="00736318">
        <w:rPr>
          <w:rFonts w:ascii="Arial" w:hAnsi="Arial" w:cs="Arial"/>
          <w:sz w:val="24"/>
          <w:szCs w:val="24"/>
        </w:rPr>
        <w:t xml:space="preserve">avers that it did so </w:t>
      </w:r>
      <w:r w:rsidR="00DC70B9" w:rsidRPr="00736318">
        <w:rPr>
          <w:rFonts w:ascii="Arial" w:hAnsi="Arial" w:cs="Arial"/>
          <w:sz w:val="24"/>
          <w:szCs w:val="24"/>
        </w:rPr>
        <w:t xml:space="preserve">not only </w:t>
      </w:r>
      <w:r w:rsidR="000F5073" w:rsidRPr="00736318">
        <w:rPr>
          <w:rFonts w:ascii="Arial" w:hAnsi="Arial" w:cs="Arial"/>
          <w:sz w:val="24"/>
          <w:szCs w:val="24"/>
        </w:rPr>
        <w:t>to reply to the a</w:t>
      </w:r>
      <w:r w:rsidR="00D00742" w:rsidRPr="00736318">
        <w:rPr>
          <w:rFonts w:ascii="Arial" w:hAnsi="Arial" w:cs="Arial"/>
          <w:sz w:val="24"/>
          <w:szCs w:val="24"/>
        </w:rPr>
        <w:t xml:space="preserve">llegations made in the </w:t>
      </w:r>
      <w:r w:rsidR="00527B16" w:rsidRPr="00736318">
        <w:rPr>
          <w:rFonts w:ascii="Arial" w:hAnsi="Arial" w:cs="Arial"/>
          <w:sz w:val="24"/>
          <w:szCs w:val="24"/>
        </w:rPr>
        <w:t xml:space="preserve">respondent’s </w:t>
      </w:r>
      <w:r w:rsidR="00D00742" w:rsidRPr="00736318">
        <w:rPr>
          <w:rFonts w:ascii="Arial" w:hAnsi="Arial" w:cs="Arial"/>
          <w:sz w:val="24"/>
          <w:szCs w:val="24"/>
        </w:rPr>
        <w:t>supplementary answering affidavit</w:t>
      </w:r>
      <w:r w:rsidR="009351A0" w:rsidRPr="00736318">
        <w:rPr>
          <w:rFonts w:ascii="Arial" w:hAnsi="Arial" w:cs="Arial"/>
          <w:sz w:val="24"/>
          <w:szCs w:val="24"/>
        </w:rPr>
        <w:t xml:space="preserve"> but also to supplement its founding affidavit </w:t>
      </w:r>
      <w:r w:rsidR="0001383A" w:rsidRPr="00736318">
        <w:rPr>
          <w:rFonts w:ascii="Arial" w:hAnsi="Arial" w:cs="Arial"/>
          <w:sz w:val="24"/>
          <w:szCs w:val="24"/>
        </w:rPr>
        <w:t>‘insofar as it is suggested that the applicant is introducing new matter that is not in reply’</w:t>
      </w:r>
      <w:r w:rsidR="00887321" w:rsidRPr="00736318">
        <w:rPr>
          <w:rFonts w:ascii="Arial" w:hAnsi="Arial" w:cs="Arial"/>
          <w:sz w:val="24"/>
          <w:szCs w:val="24"/>
        </w:rPr>
        <w:t>.</w:t>
      </w:r>
    </w:p>
    <w:p w14:paraId="0A506F66" w14:textId="77777777" w:rsidR="00DD09BC" w:rsidRDefault="00DD09BC" w:rsidP="00DD09BC">
      <w:pPr>
        <w:pStyle w:val="ListParagraph"/>
        <w:spacing w:line="360" w:lineRule="auto"/>
        <w:ind w:left="0"/>
        <w:jc w:val="both"/>
        <w:rPr>
          <w:rFonts w:ascii="Arial" w:hAnsi="Arial" w:cs="Arial"/>
          <w:sz w:val="24"/>
          <w:szCs w:val="24"/>
        </w:rPr>
      </w:pPr>
    </w:p>
    <w:p w14:paraId="03EB379F" w14:textId="55D54408"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ED3C4E" w:rsidRPr="00736318">
        <w:rPr>
          <w:rFonts w:ascii="Arial" w:hAnsi="Arial" w:cs="Arial"/>
          <w:sz w:val="24"/>
          <w:szCs w:val="24"/>
        </w:rPr>
        <w:t xml:space="preserve">It is the applicant’s </w:t>
      </w:r>
      <w:r w:rsidR="00D0060D" w:rsidRPr="00736318">
        <w:rPr>
          <w:rFonts w:ascii="Arial" w:hAnsi="Arial" w:cs="Arial"/>
          <w:sz w:val="24"/>
          <w:szCs w:val="24"/>
        </w:rPr>
        <w:t xml:space="preserve">firm contention that </w:t>
      </w:r>
      <w:r w:rsidR="004D0042" w:rsidRPr="00736318">
        <w:rPr>
          <w:rFonts w:ascii="Arial" w:hAnsi="Arial" w:cs="Arial"/>
          <w:sz w:val="24"/>
          <w:szCs w:val="24"/>
        </w:rPr>
        <w:t xml:space="preserve">it acts as an agent for its various clients. The </w:t>
      </w:r>
      <w:r w:rsidR="00D0060D" w:rsidRPr="00736318">
        <w:rPr>
          <w:rFonts w:ascii="Arial" w:hAnsi="Arial" w:cs="Arial"/>
          <w:sz w:val="24"/>
          <w:szCs w:val="24"/>
        </w:rPr>
        <w:t xml:space="preserve">founding </w:t>
      </w:r>
      <w:r w:rsidR="004D0042" w:rsidRPr="00736318">
        <w:rPr>
          <w:rFonts w:ascii="Arial" w:hAnsi="Arial" w:cs="Arial"/>
          <w:sz w:val="24"/>
          <w:szCs w:val="24"/>
        </w:rPr>
        <w:t xml:space="preserve">affidavit makes </w:t>
      </w:r>
      <w:r w:rsidR="00D2672E" w:rsidRPr="00736318">
        <w:rPr>
          <w:rFonts w:ascii="Arial" w:hAnsi="Arial" w:cs="Arial"/>
          <w:sz w:val="24"/>
          <w:szCs w:val="24"/>
        </w:rPr>
        <w:t>this clear.</w:t>
      </w:r>
      <w:r w:rsidR="003508D9" w:rsidRPr="00736318">
        <w:rPr>
          <w:rFonts w:ascii="Arial" w:hAnsi="Arial" w:cs="Arial"/>
          <w:sz w:val="24"/>
          <w:szCs w:val="24"/>
        </w:rPr>
        <w:t xml:space="preserve"> By reason of the respondent’s having </w:t>
      </w:r>
      <w:r w:rsidR="00D43F10" w:rsidRPr="00736318">
        <w:rPr>
          <w:rFonts w:ascii="Arial" w:hAnsi="Arial" w:cs="Arial"/>
          <w:sz w:val="24"/>
          <w:szCs w:val="24"/>
        </w:rPr>
        <w:t xml:space="preserve">paid the ETI refunds, the only remaining issues between the parties are </w:t>
      </w:r>
      <w:r w:rsidR="007B1446" w:rsidRPr="00736318">
        <w:rPr>
          <w:rFonts w:ascii="Arial" w:hAnsi="Arial" w:cs="Arial"/>
          <w:sz w:val="24"/>
          <w:szCs w:val="24"/>
        </w:rPr>
        <w:t>the payment of interest and costs.</w:t>
      </w:r>
      <w:r w:rsidR="0063405F" w:rsidRPr="00736318">
        <w:rPr>
          <w:rFonts w:ascii="Arial" w:hAnsi="Arial" w:cs="Arial"/>
          <w:sz w:val="24"/>
          <w:szCs w:val="24"/>
        </w:rPr>
        <w:t xml:space="preserve"> The applicant then goes on to detail the </w:t>
      </w:r>
      <w:r w:rsidR="00727C24" w:rsidRPr="00736318">
        <w:rPr>
          <w:rFonts w:ascii="Arial" w:hAnsi="Arial" w:cs="Arial"/>
          <w:sz w:val="24"/>
          <w:szCs w:val="24"/>
        </w:rPr>
        <w:t xml:space="preserve">basis upon which </w:t>
      </w:r>
      <w:r w:rsidR="00133937" w:rsidRPr="00736318">
        <w:rPr>
          <w:rFonts w:ascii="Arial" w:hAnsi="Arial" w:cs="Arial"/>
          <w:sz w:val="24"/>
          <w:szCs w:val="24"/>
        </w:rPr>
        <w:t xml:space="preserve">the respondent sought to </w:t>
      </w:r>
      <w:r w:rsidR="002A3568" w:rsidRPr="00736318">
        <w:rPr>
          <w:rFonts w:ascii="Arial" w:hAnsi="Arial" w:cs="Arial"/>
          <w:sz w:val="24"/>
          <w:szCs w:val="24"/>
        </w:rPr>
        <w:t>supplement its answering affidavit</w:t>
      </w:r>
      <w:r w:rsidR="007D7B46" w:rsidRPr="00736318">
        <w:rPr>
          <w:rFonts w:ascii="Arial" w:hAnsi="Arial" w:cs="Arial"/>
          <w:sz w:val="24"/>
          <w:szCs w:val="24"/>
        </w:rPr>
        <w:t xml:space="preserve">, saying that the essence of the respondent’s argument is that </w:t>
      </w:r>
      <w:r w:rsidR="00897731" w:rsidRPr="00736318">
        <w:rPr>
          <w:rFonts w:ascii="Arial" w:hAnsi="Arial" w:cs="Arial"/>
          <w:sz w:val="24"/>
          <w:szCs w:val="24"/>
        </w:rPr>
        <w:t xml:space="preserve">the applicant does not, in the </w:t>
      </w:r>
      <w:r w:rsidR="00D82D61" w:rsidRPr="00736318">
        <w:rPr>
          <w:rFonts w:ascii="Arial" w:hAnsi="Arial" w:cs="Arial"/>
          <w:sz w:val="24"/>
          <w:szCs w:val="24"/>
        </w:rPr>
        <w:t>main</w:t>
      </w:r>
      <w:r w:rsidR="00897731" w:rsidRPr="00736318">
        <w:rPr>
          <w:rFonts w:ascii="Arial" w:hAnsi="Arial" w:cs="Arial"/>
          <w:sz w:val="24"/>
          <w:szCs w:val="24"/>
        </w:rPr>
        <w:t xml:space="preserve"> application, sue as an agent or as a representative of any third parties</w:t>
      </w:r>
      <w:r w:rsidR="00DC0359" w:rsidRPr="00736318">
        <w:rPr>
          <w:rFonts w:ascii="Arial" w:hAnsi="Arial" w:cs="Arial"/>
          <w:sz w:val="24"/>
          <w:szCs w:val="24"/>
        </w:rPr>
        <w:t xml:space="preserve"> but does so in its own right. This</w:t>
      </w:r>
      <w:r w:rsidR="0077027C" w:rsidRPr="00736318">
        <w:rPr>
          <w:rFonts w:ascii="Arial" w:hAnsi="Arial" w:cs="Arial"/>
          <w:sz w:val="24"/>
          <w:szCs w:val="24"/>
        </w:rPr>
        <w:t xml:space="preserve"> allegedly</w:t>
      </w:r>
      <w:r w:rsidR="00DC0359" w:rsidRPr="00736318">
        <w:rPr>
          <w:rFonts w:ascii="Arial" w:hAnsi="Arial" w:cs="Arial"/>
          <w:sz w:val="24"/>
          <w:szCs w:val="24"/>
        </w:rPr>
        <w:t xml:space="preserve"> </w:t>
      </w:r>
      <w:r w:rsidR="00EE7D22" w:rsidRPr="00736318">
        <w:rPr>
          <w:rFonts w:ascii="Arial" w:hAnsi="Arial" w:cs="Arial"/>
          <w:sz w:val="24"/>
          <w:szCs w:val="24"/>
        </w:rPr>
        <w:t>contradicts the applicant’s position in the Tax Appeal Court</w:t>
      </w:r>
      <w:r w:rsidR="00350D26" w:rsidRPr="00736318">
        <w:rPr>
          <w:rFonts w:ascii="Arial" w:hAnsi="Arial" w:cs="Arial"/>
          <w:sz w:val="24"/>
          <w:szCs w:val="24"/>
        </w:rPr>
        <w:t>. The applicant avers that</w:t>
      </w:r>
      <w:r w:rsidR="007C322F" w:rsidRPr="00736318">
        <w:rPr>
          <w:rFonts w:ascii="Arial" w:hAnsi="Arial" w:cs="Arial"/>
          <w:sz w:val="24"/>
          <w:szCs w:val="24"/>
        </w:rPr>
        <w:t xml:space="preserve">, for the sake of </w:t>
      </w:r>
      <w:r w:rsidR="007C322F" w:rsidRPr="00736318">
        <w:rPr>
          <w:rFonts w:ascii="Arial" w:hAnsi="Arial" w:cs="Arial"/>
          <w:sz w:val="24"/>
          <w:szCs w:val="24"/>
        </w:rPr>
        <w:lastRenderedPageBreak/>
        <w:t xml:space="preserve">pragmatism and avoiding </w:t>
      </w:r>
      <w:r w:rsidR="003B67FB" w:rsidRPr="00736318">
        <w:rPr>
          <w:rFonts w:ascii="Arial" w:hAnsi="Arial" w:cs="Arial"/>
          <w:sz w:val="24"/>
          <w:szCs w:val="24"/>
        </w:rPr>
        <w:t>unnecessary costs,</w:t>
      </w:r>
      <w:r w:rsidR="00350D26" w:rsidRPr="00736318">
        <w:rPr>
          <w:rFonts w:ascii="Arial" w:hAnsi="Arial" w:cs="Arial"/>
          <w:sz w:val="24"/>
          <w:szCs w:val="24"/>
        </w:rPr>
        <w:t xml:space="preserve"> it did not oppose the respondent’s </w:t>
      </w:r>
      <w:r w:rsidR="000D6961" w:rsidRPr="00736318">
        <w:rPr>
          <w:rFonts w:ascii="Arial" w:hAnsi="Arial" w:cs="Arial"/>
          <w:sz w:val="24"/>
          <w:szCs w:val="24"/>
        </w:rPr>
        <w:t>application for leave to supplement</w:t>
      </w:r>
      <w:r w:rsidR="003B67FB" w:rsidRPr="00736318">
        <w:rPr>
          <w:rFonts w:ascii="Arial" w:hAnsi="Arial" w:cs="Arial"/>
          <w:sz w:val="24"/>
          <w:szCs w:val="24"/>
        </w:rPr>
        <w:t>.</w:t>
      </w:r>
      <w:r w:rsidR="00EB1271" w:rsidRPr="00736318">
        <w:rPr>
          <w:rFonts w:ascii="Arial" w:hAnsi="Arial" w:cs="Arial"/>
          <w:sz w:val="24"/>
          <w:szCs w:val="24"/>
        </w:rPr>
        <w:t xml:space="preserve"> Notwithstanding, </w:t>
      </w:r>
      <w:r w:rsidR="002412E8" w:rsidRPr="00736318">
        <w:rPr>
          <w:rFonts w:ascii="Arial" w:hAnsi="Arial" w:cs="Arial"/>
          <w:sz w:val="24"/>
          <w:szCs w:val="24"/>
        </w:rPr>
        <w:t>say</w:t>
      </w:r>
      <w:r w:rsidR="00EB1271" w:rsidRPr="00736318">
        <w:rPr>
          <w:rFonts w:ascii="Arial" w:hAnsi="Arial" w:cs="Arial"/>
          <w:sz w:val="24"/>
          <w:szCs w:val="24"/>
        </w:rPr>
        <w:t xml:space="preserve">s the applicant, the </w:t>
      </w:r>
      <w:r w:rsidR="003D4777" w:rsidRPr="00736318">
        <w:rPr>
          <w:rFonts w:ascii="Arial" w:hAnsi="Arial" w:cs="Arial"/>
          <w:sz w:val="24"/>
          <w:szCs w:val="24"/>
        </w:rPr>
        <w:t>respondent’s supplementary answering affidavit</w:t>
      </w:r>
      <w:r w:rsidR="00872810" w:rsidRPr="00736318">
        <w:rPr>
          <w:rFonts w:ascii="Arial" w:hAnsi="Arial" w:cs="Arial"/>
          <w:sz w:val="24"/>
          <w:szCs w:val="24"/>
        </w:rPr>
        <w:t xml:space="preserve"> relies on different </w:t>
      </w:r>
      <w:r w:rsidR="00A00F57" w:rsidRPr="00736318">
        <w:rPr>
          <w:rFonts w:ascii="Arial" w:hAnsi="Arial" w:cs="Arial"/>
          <w:sz w:val="24"/>
          <w:szCs w:val="24"/>
        </w:rPr>
        <w:t>ground</w:t>
      </w:r>
      <w:r w:rsidR="004C55AE" w:rsidRPr="00736318">
        <w:rPr>
          <w:rFonts w:ascii="Arial" w:hAnsi="Arial" w:cs="Arial"/>
          <w:sz w:val="24"/>
          <w:szCs w:val="24"/>
        </w:rPr>
        <w:t>s</w:t>
      </w:r>
      <w:r w:rsidR="00A00F57" w:rsidRPr="00736318">
        <w:rPr>
          <w:rFonts w:ascii="Arial" w:hAnsi="Arial" w:cs="Arial"/>
          <w:sz w:val="24"/>
          <w:szCs w:val="24"/>
        </w:rPr>
        <w:t xml:space="preserve"> and deals with matters not arising from the </w:t>
      </w:r>
      <w:r w:rsidR="004C55AE" w:rsidRPr="00736318">
        <w:rPr>
          <w:rFonts w:ascii="Arial" w:hAnsi="Arial" w:cs="Arial"/>
          <w:sz w:val="24"/>
          <w:szCs w:val="24"/>
        </w:rPr>
        <w:t>amended notice of motion.</w:t>
      </w:r>
    </w:p>
    <w:p w14:paraId="71C17B7E" w14:textId="77777777" w:rsidR="00DD09BC" w:rsidRPr="00DD09BC" w:rsidRDefault="00DD09BC" w:rsidP="00DD09BC">
      <w:pPr>
        <w:pStyle w:val="ListParagraph"/>
        <w:rPr>
          <w:rFonts w:ascii="Arial" w:hAnsi="Arial" w:cs="Arial"/>
          <w:sz w:val="24"/>
          <w:szCs w:val="24"/>
        </w:rPr>
      </w:pPr>
    </w:p>
    <w:p w14:paraId="29D64547" w14:textId="7807CBBE"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8E471C" w:rsidRPr="00736318">
        <w:rPr>
          <w:rFonts w:ascii="Arial" w:hAnsi="Arial" w:cs="Arial"/>
          <w:sz w:val="24"/>
          <w:szCs w:val="24"/>
        </w:rPr>
        <w:t xml:space="preserve">The applicant explains that </w:t>
      </w:r>
      <w:r w:rsidR="008C5819" w:rsidRPr="00736318">
        <w:rPr>
          <w:rFonts w:ascii="Arial" w:hAnsi="Arial" w:cs="Arial"/>
          <w:sz w:val="24"/>
          <w:szCs w:val="24"/>
        </w:rPr>
        <w:t xml:space="preserve">the </w:t>
      </w:r>
      <w:r w:rsidR="005F072A" w:rsidRPr="00736318">
        <w:rPr>
          <w:rFonts w:ascii="Arial" w:hAnsi="Arial" w:cs="Arial"/>
          <w:sz w:val="24"/>
          <w:szCs w:val="24"/>
        </w:rPr>
        <w:t xml:space="preserve">facts necessary to determine its </w:t>
      </w:r>
      <w:r w:rsidR="009F1325" w:rsidRPr="00736318">
        <w:rPr>
          <w:rFonts w:ascii="Arial" w:hAnsi="Arial" w:cs="Arial"/>
          <w:sz w:val="24"/>
          <w:szCs w:val="24"/>
        </w:rPr>
        <w:t xml:space="preserve">claim for </w:t>
      </w:r>
      <w:r w:rsidR="005F072A" w:rsidRPr="00736318">
        <w:rPr>
          <w:rFonts w:ascii="Arial" w:hAnsi="Arial" w:cs="Arial"/>
          <w:i/>
          <w:iCs/>
          <w:sz w:val="24"/>
          <w:szCs w:val="24"/>
        </w:rPr>
        <w:t>mora</w:t>
      </w:r>
      <w:r w:rsidR="005F072A" w:rsidRPr="00736318">
        <w:rPr>
          <w:rFonts w:ascii="Arial" w:hAnsi="Arial" w:cs="Arial"/>
          <w:sz w:val="24"/>
          <w:szCs w:val="24"/>
        </w:rPr>
        <w:t xml:space="preserve"> interest </w:t>
      </w:r>
      <w:r w:rsidR="007C6853" w:rsidRPr="00736318">
        <w:rPr>
          <w:rFonts w:ascii="Arial" w:hAnsi="Arial" w:cs="Arial"/>
          <w:sz w:val="24"/>
          <w:szCs w:val="24"/>
        </w:rPr>
        <w:t>have already been alleged in its founding affidavit</w:t>
      </w:r>
      <w:r w:rsidR="002412E8" w:rsidRPr="00736318">
        <w:rPr>
          <w:rFonts w:ascii="Arial" w:hAnsi="Arial" w:cs="Arial"/>
          <w:sz w:val="24"/>
          <w:szCs w:val="24"/>
        </w:rPr>
        <w:t xml:space="preserve">, read with the </w:t>
      </w:r>
      <w:r w:rsidR="00A12702" w:rsidRPr="00736318">
        <w:rPr>
          <w:rFonts w:ascii="Arial" w:hAnsi="Arial" w:cs="Arial"/>
          <w:sz w:val="24"/>
          <w:szCs w:val="24"/>
        </w:rPr>
        <w:t>accompanying statements of account.</w:t>
      </w:r>
      <w:r w:rsidR="00F1395C" w:rsidRPr="00736318">
        <w:rPr>
          <w:rFonts w:ascii="Arial" w:hAnsi="Arial" w:cs="Arial"/>
          <w:sz w:val="24"/>
          <w:szCs w:val="24"/>
        </w:rPr>
        <w:t xml:space="preserve"> It also explains why prescription does not arise.</w:t>
      </w:r>
      <w:r w:rsidR="009B6FD3" w:rsidRPr="00736318">
        <w:rPr>
          <w:rFonts w:ascii="Arial" w:hAnsi="Arial" w:cs="Arial"/>
          <w:sz w:val="24"/>
          <w:szCs w:val="24"/>
        </w:rPr>
        <w:t xml:space="preserve"> </w:t>
      </w:r>
      <w:r w:rsidR="00055783" w:rsidRPr="00736318">
        <w:rPr>
          <w:rFonts w:ascii="Arial" w:hAnsi="Arial" w:cs="Arial"/>
          <w:sz w:val="24"/>
          <w:szCs w:val="24"/>
        </w:rPr>
        <w:t xml:space="preserve">Regarding the matter before the Tax Appeal Court, the applicant </w:t>
      </w:r>
      <w:r w:rsidR="000C1C4C" w:rsidRPr="00736318">
        <w:rPr>
          <w:rFonts w:ascii="Arial" w:hAnsi="Arial" w:cs="Arial"/>
          <w:sz w:val="24"/>
          <w:szCs w:val="24"/>
        </w:rPr>
        <w:t xml:space="preserve">asserts that </w:t>
      </w:r>
      <w:r w:rsidR="00DC763A" w:rsidRPr="00736318">
        <w:rPr>
          <w:rFonts w:ascii="Arial" w:hAnsi="Arial" w:cs="Arial"/>
          <w:sz w:val="24"/>
          <w:szCs w:val="24"/>
        </w:rPr>
        <w:t xml:space="preserve">it had </w:t>
      </w:r>
      <w:r w:rsidR="000954EB" w:rsidRPr="00736318">
        <w:rPr>
          <w:rFonts w:ascii="Arial" w:hAnsi="Arial" w:cs="Arial"/>
          <w:sz w:val="24"/>
          <w:szCs w:val="24"/>
        </w:rPr>
        <w:t xml:space="preserve">previously mentioned this; the respondent was, in any event, </w:t>
      </w:r>
      <w:r w:rsidR="00AD15B3" w:rsidRPr="00736318">
        <w:rPr>
          <w:rFonts w:ascii="Arial" w:hAnsi="Arial" w:cs="Arial"/>
          <w:sz w:val="24"/>
          <w:szCs w:val="24"/>
        </w:rPr>
        <w:t>involved in both matters.</w:t>
      </w:r>
    </w:p>
    <w:p w14:paraId="1C2C900F" w14:textId="77777777" w:rsidR="00DD09BC" w:rsidRPr="00DD09BC" w:rsidRDefault="00DD09BC" w:rsidP="00DD09BC">
      <w:pPr>
        <w:pStyle w:val="ListParagraph"/>
        <w:rPr>
          <w:rFonts w:ascii="Arial" w:hAnsi="Arial" w:cs="Arial"/>
          <w:sz w:val="24"/>
          <w:szCs w:val="24"/>
        </w:rPr>
      </w:pPr>
    </w:p>
    <w:p w14:paraId="7B1F1944" w14:textId="5AAE7EEA"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F42D9A" w:rsidRPr="00736318">
        <w:rPr>
          <w:rFonts w:ascii="Arial" w:hAnsi="Arial" w:cs="Arial"/>
          <w:sz w:val="24"/>
          <w:szCs w:val="24"/>
        </w:rPr>
        <w:t xml:space="preserve">If the respondent is successful in the Tax Appeal Court, argues the applicant, then </w:t>
      </w:r>
      <w:r w:rsidR="00925CE4" w:rsidRPr="00736318">
        <w:rPr>
          <w:rFonts w:ascii="Arial" w:hAnsi="Arial" w:cs="Arial"/>
          <w:sz w:val="24"/>
          <w:szCs w:val="24"/>
        </w:rPr>
        <w:t xml:space="preserve">it will have demonstrated </w:t>
      </w:r>
      <w:r w:rsidR="00F61B5F" w:rsidRPr="00736318">
        <w:rPr>
          <w:rFonts w:ascii="Arial" w:hAnsi="Arial" w:cs="Arial"/>
          <w:sz w:val="24"/>
          <w:szCs w:val="24"/>
        </w:rPr>
        <w:t xml:space="preserve">that </w:t>
      </w:r>
      <w:r w:rsidR="00925CE4" w:rsidRPr="00736318">
        <w:rPr>
          <w:rFonts w:ascii="Arial" w:hAnsi="Arial" w:cs="Arial"/>
          <w:sz w:val="24"/>
          <w:szCs w:val="24"/>
        </w:rPr>
        <w:t>the applicant</w:t>
      </w:r>
      <w:r w:rsidR="00F61B5F" w:rsidRPr="00736318">
        <w:rPr>
          <w:rFonts w:ascii="Arial" w:hAnsi="Arial" w:cs="Arial"/>
          <w:sz w:val="24"/>
          <w:szCs w:val="24"/>
        </w:rPr>
        <w:t xml:space="preserve"> is</w:t>
      </w:r>
      <w:r w:rsidR="00925CE4" w:rsidRPr="00736318">
        <w:rPr>
          <w:rFonts w:ascii="Arial" w:hAnsi="Arial" w:cs="Arial"/>
          <w:sz w:val="24"/>
          <w:szCs w:val="24"/>
        </w:rPr>
        <w:t xml:space="preserve"> entitle</w:t>
      </w:r>
      <w:r w:rsidR="00F61B5F" w:rsidRPr="00736318">
        <w:rPr>
          <w:rFonts w:ascii="Arial" w:hAnsi="Arial" w:cs="Arial"/>
          <w:sz w:val="24"/>
          <w:szCs w:val="24"/>
        </w:rPr>
        <w:t xml:space="preserve">d </w:t>
      </w:r>
      <w:r w:rsidR="00925CE4" w:rsidRPr="00736318">
        <w:rPr>
          <w:rFonts w:ascii="Arial" w:hAnsi="Arial" w:cs="Arial"/>
          <w:sz w:val="24"/>
          <w:szCs w:val="24"/>
        </w:rPr>
        <w:t>to the ETI refunds.</w:t>
      </w:r>
      <w:r w:rsidR="001272E7" w:rsidRPr="00736318">
        <w:rPr>
          <w:rFonts w:ascii="Arial" w:hAnsi="Arial" w:cs="Arial"/>
          <w:sz w:val="24"/>
          <w:szCs w:val="24"/>
        </w:rPr>
        <w:t xml:space="preserve"> </w:t>
      </w:r>
      <w:r w:rsidR="002E74AB" w:rsidRPr="00736318">
        <w:rPr>
          <w:rFonts w:ascii="Arial" w:hAnsi="Arial" w:cs="Arial"/>
          <w:sz w:val="24"/>
          <w:szCs w:val="24"/>
        </w:rPr>
        <w:t xml:space="preserve">The applicant contends, however, that </w:t>
      </w:r>
      <w:r w:rsidR="0050452F" w:rsidRPr="00736318">
        <w:rPr>
          <w:rFonts w:ascii="Arial" w:hAnsi="Arial" w:cs="Arial"/>
          <w:sz w:val="24"/>
          <w:szCs w:val="24"/>
        </w:rPr>
        <w:t>it has consistently described itself</w:t>
      </w:r>
      <w:r w:rsidR="00E5436E" w:rsidRPr="00736318">
        <w:rPr>
          <w:rFonts w:ascii="Arial" w:hAnsi="Arial" w:cs="Arial"/>
          <w:sz w:val="24"/>
          <w:szCs w:val="24"/>
        </w:rPr>
        <w:t>, in both sets of proceedings,</w:t>
      </w:r>
      <w:r w:rsidR="0050452F" w:rsidRPr="00736318">
        <w:rPr>
          <w:rFonts w:ascii="Arial" w:hAnsi="Arial" w:cs="Arial"/>
          <w:sz w:val="24"/>
          <w:szCs w:val="24"/>
        </w:rPr>
        <w:t xml:space="preserve"> as </w:t>
      </w:r>
      <w:r w:rsidR="00EE3453" w:rsidRPr="00736318">
        <w:rPr>
          <w:rFonts w:ascii="Arial" w:hAnsi="Arial" w:cs="Arial"/>
          <w:sz w:val="24"/>
          <w:szCs w:val="24"/>
        </w:rPr>
        <w:t xml:space="preserve">an agent that administers the </w:t>
      </w:r>
      <w:r w:rsidR="00147C4D" w:rsidRPr="00736318">
        <w:rPr>
          <w:rFonts w:ascii="Arial" w:hAnsi="Arial" w:cs="Arial"/>
          <w:sz w:val="24"/>
          <w:szCs w:val="24"/>
        </w:rPr>
        <w:t>payrolls of its various clients</w:t>
      </w:r>
      <w:r w:rsidR="004B5AEF" w:rsidRPr="00736318">
        <w:rPr>
          <w:rFonts w:ascii="Arial" w:hAnsi="Arial" w:cs="Arial"/>
          <w:sz w:val="24"/>
          <w:szCs w:val="24"/>
        </w:rPr>
        <w:t xml:space="preserve">. Upon receipt </w:t>
      </w:r>
      <w:r w:rsidR="00937239" w:rsidRPr="00736318">
        <w:rPr>
          <w:rFonts w:ascii="Arial" w:hAnsi="Arial" w:cs="Arial"/>
          <w:sz w:val="24"/>
          <w:szCs w:val="24"/>
        </w:rPr>
        <w:t xml:space="preserve">of </w:t>
      </w:r>
      <w:r w:rsidR="00386B67" w:rsidRPr="00736318">
        <w:rPr>
          <w:rFonts w:ascii="Arial" w:hAnsi="Arial" w:cs="Arial"/>
          <w:sz w:val="24"/>
          <w:szCs w:val="24"/>
        </w:rPr>
        <w:t xml:space="preserve">the </w:t>
      </w:r>
      <w:r w:rsidR="00937239" w:rsidRPr="00736318">
        <w:rPr>
          <w:rFonts w:ascii="Arial" w:hAnsi="Arial" w:cs="Arial"/>
          <w:sz w:val="24"/>
          <w:szCs w:val="24"/>
        </w:rPr>
        <w:t xml:space="preserve">ETI refunds, the applicant credits its clients </w:t>
      </w:r>
      <w:r w:rsidR="00386B67" w:rsidRPr="00736318">
        <w:rPr>
          <w:rFonts w:ascii="Arial" w:hAnsi="Arial" w:cs="Arial"/>
          <w:sz w:val="24"/>
          <w:szCs w:val="24"/>
        </w:rPr>
        <w:t>accordingly.</w:t>
      </w:r>
      <w:r w:rsidR="00CF34F1" w:rsidRPr="00736318">
        <w:rPr>
          <w:rFonts w:ascii="Arial" w:hAnsi="Arial" w:cs="Arial"/>
          <w:sz w:val="24"/>
          <w:szCs w:val="24"/>
        </w:rPr>
        <w:t xml:space="preserve"> It </w:t>
      </w:r>
      <w:r w:rsidR="002A1005" w:rsidRPr="00736318">
        <w:rPr>
          <w:rFonts w:ascii="Arial" w:hAnsi="Arial" w:cs="Arial"/>
          <w:sz w:val="24"/>
          <w:szCs w:val="24"/>
        </w:rPr>
        <w:t xml:space="preserve">says that it has usually based its </w:t>
      </w:r>
      <w:r w:rsidR="001F617A" w:rsidRPr="00736318">
        <w:rPr>
          <w:rFonts w:ascii="Arial" w:hAnsi="Arial" w:cs="Arial"/>
          <w:sz w:val="24"/>
          <w:szCs w:val="24"/>
        </w:rPr>
        <w:t>relationship with clients on verbal agreements but has, more recently,</w:t>
      </w:r>
      <w:r w:rsidR="008813E0" w:rsidRPr="00736318">
        <w:rPr>
          <w:rFonts w:ascii="Arial" w:hAnsi="Arial" w:cs="Arial"/>
          <w:sz w:val="24"/>
          <w:szCs w:val="24"/>
        </w:rPr>
        <w:t xml:space="preserve"> resorted to written agreements for the sake of clarity.</w:t>
      </w:r>
      <w:r w:rsidR="00B42C64" w:rsidRPr="00736318">
        <w:rPr>
          <w:rFonts w:ascii="Arial" w:hAnsi="Arial" w:cs="Arial"/>
          <w:sz w:val="24"/>
          <w:szCs w:val="24"/>
        </w:rPr>
        <w:t xml:space="preserve"> </w:t>
      </w:r>
      <w:r w:rsidR="005A1A5B" w:rsidRPr="00736318">
        <w:rPr>
          <w:rFonts w:ascii="Arial" w:hAnsi="Arial" w:cs="Arial"/>
          <w:sz w:val="24"/>
          <w:szCs w:val="24"/>
        </w:rPr>
        <w:t xml:space="preserve">It attaches an example to its </w:t>
      </w:r>
      <w:r w:rsidR="00DB66B9" w:rsidRPr="00736318">
        <w:rPr>
          <w:rFonts w:ascii="Arial" w:hAnsi="Arial" w:cs="Arial"/>
          <w:sz w:val="24"/>
          <w:szCs w:val="24"/>
        </w:rPr>
        <w:t xml:space="preserve">supplementary </w:t>
      </w:r>
      <w:r w:rsidR="00973FB1" w:rsidRPr="00736318">
        <w:rPr>
          <w:rFonts w:ascii="Arial" w:hAnsi="Arial" w:cs="Arial"/>
          <w:sz w:val="24"/>
          <w:szCs w:val="24"/>
        </w:rPr>
        <w:t>affidavit</w:t>
      </w:r>
      <w:r w:rsidR="00DB66B9" w:rsidRPr="00736318">
        <w:rPr>
          <w:rFonts w:ascii="Arial" w:hAnsi="Arial" w:cs="Arial"/>
          <w:sz w:val="24"/>
          <w:szCs w:val="24"/>
        </w:rPr>
        <w:t xml:space="preserve"> to demonstrate</w:t>
      </w:r>
      <w:r w:rsidR="008872DB" w:rsidRPr="00736318">
        <w:rPr>
          <w:rFonts w:ascii="Arial" w:hAnsi="Arial" w:cs="Arial"/>
          <w:sz w:val="24"/>
          <w:szCs w:val="24"/>
        </w:rPr>
        <w:t xml:space="preserve"> that it refers to the applicant as a ‘designated agent’, whose </w:t>
      </w:r>
      <w:r w:rsidR="006E18F1" w:rsidRPr="00736318">
        <w:rPr>
          <w:rFonts w:ascii="Arial" w:hAnsi="Arial" w:cs="Arial"/>
          <w:sz w:val="24"/>
          <w:szCs w:val="24"/>
        </w:rPr>
        <w:t xml:space="preserve">responsibilities include the collection of </w:t>
      </w:r>
      <w:r w:rsidR="005C7057" w:rsidRPr="00736318">
        <w:rPr>
          <w:rFonts w:ascii="Arial" w:hAnsi="Arial" w:cs="Arial"/>
          <w:sz w:val="24"/>
          <w:szCs w:val="24"/>
        </w:rPr>
        <w:t xml:space="preserve">the </w:t>
      </w:r>
      <w:r w:rsidR="006E18F1" w:rsidRPr="00736318">
        <w:rPr>
          <w:rFonts w:ascii="Arial" w:hAnsi="Arial" w:cs="Arial"/>
          <w:sz w:val="24"/>
          <w:szCs w:val="24"/>
        </w:rPr>
        <w:t>ETI refunds</w:t>
      </w:r>
      <w:r w:rsidR="00412BEE" w:rsidRPr="00736318">
        <w:rPr>
          <w:rFonts w:ascii="Arial" w:hAnsi="Arial" w:cs="Arial"/>
          <w:sz w:val="24"/>
          <w:szCs w:val="24"/>
        </w:rPr>
        <w:t>.</w:t>
      </w:r>
      <w:r w:rsidR="00CA485F" w:rsidRPr="00736318">
        <w:rPr>
          <w:rFonts w:ascii="Arial" w:hAnsi="Arial" w:cs="Arial"/>
          <w:sz w:val="24"/>
          <w:szCs w:val="24"/>
        </w:rPr>
        <w:t xml:space="preserve"> </w:t>
      </w:r>
      <w:r w:rsidR="00CA0839" w:rsidRPr="00736318">
        <w:rPr>
          <w:rFonts w:ascii="Arial" w:hAnsi="Arial" w:cs="Arial"/>
          <w:sz w:val="24"/>
          <w:szCs w:val="24"/>
        </w:rPr>
        <w:t>In submitting</w:t>
      </w:r>
      <w:r w:rsidR="00F71C78" w:rsidRPr="00736318">
        <w:rPr>
          <w:rFonts w:ascii="Arial" w:hAnsi="Arial" w:cs="Arial"/>
          <w:sz w:val="24"/>
          <w:szCs w:val="24"/>
        </w:rPr>
        <w:t xml:space="preserve"> </w:t>
      </w:r>
      <w:r w:rsidR="00A60F29" w:rsidRPr="00736318">
        <w:rPr>
          <w:rFonts w:ascii="Arial" w:hAnsi="Arial" w:cs="Arial"/>
          <w:sz w:val="24"/>
          <w:szCs w:val="24"/>
        </w:rPr>
        <w:t>assessme</w:t>
      </w:r>
      <w:r w:rsidR="002329C9" w:rsidRPr="00736318">
        <w:rPr>
          <w:rFonts w:ascii="Arial" w:hAnsi="Arial" w:cs="Arial"/>
          <w:sz w:val="24"/>
          <w:szCs w:val="24"/>
        </w:rPr>
        <w:t xml:space="preserve">nts or </w:t>
      </w:r>
      <w:r w:rsidR="006A792E" w:rsidRPr="00736318">
        <w:rPr>
          <w:rFonts w:ascii="Arial" w:hAnsi="Arial" w:cs="Arial"/>
          <w:sz w:val="24"/>
          <w:szCs w:val="24"/>
        </w:rPr>
        <w:t>returns on behalf of its client</w:t>
      </w:r>
      <w:r w:rsidR="00897B7F" w:rsidRPr="00736318">
        <w:rPr>
          <w:rFonts w:ascii="Arial" w:hAnsi="Arial" w:cs="Arial"/>
          <w:sz w:val="24"/>
          <w:szCs w:val="24"/>
        </w:rPr>
        <w:t>s</w:t>
      </w:r>
      <w:r w:rsidR="006A792E" w:rsidRPr="00736318">
        <w:rPr>
          <w:rFonts w:ascii="Arial" w:hAnsi="Arial" w:cs="Arial"/>
          <w:sz w:val="24"/>
          <w:szCs w:val="24"/>
        </w:rPr>
        <w:t xml:space="preserve">, the applicant </w:t>
      </w:r>
      <w:r w:rsidR="00B631B2" w:rsidRPr="00736318">
        <w:rPr>
          <w:rFonts w:ascii="Arial" w:hAnsi="Arial" w:cs="Arial"/>
          <w:sz w:val="24"/>
          <w:szCs w:val="24"/>
        </w:rPr>
        <w:t>refers to itself as the employer, but this is done purely for convenienc</w:t>
      </w:r>
      <w:r w:rsidR="0090375D" w:rsidRPr="00736318">
        <w:rPr>
          <w:rFonts w:ascii="Arial" w:hAnsi="Arial" w:cs="Arial"/>
          <w:sz w:val="24"/>
          <w:szCs w:val="24"/>
        </w:rPr>
        <w:t>e</w:t>
      </w:r>
      <w:r w:rsidR="001A1F9C" w:rsidRPr="00736318">
        <w:rPr>
          <w:rFonts w:ascii="Arial" w:hAnsi="Arial" w:cs="Arial"/>
          <w:sz w:val="24"/>
          <w:szCs w:val="24"/>
        </w:rPr>
        <w:t xml:space="preserve">. It contends that </w:t>
      </w:r>
      <w:r w:rsidR="00BC2207" w:rsidRPr="00736318">
        <w:rPr>
          <w:rFonts w:ascii="Arial" w:hAnsi="Arial" w:cs="Arial"/>
          <w:sz w:val="24"/>
          <w:szCs w:val="24"/>
        </w:rPr>
        <w:t xml:space="preserve">a tacit cession must be deemed to have been concluded with its clients, to the </w:t>
      </w:r>
      <w:r w:rsidR="00897B7F" w:rsidRPr="00736318">
        <w:rPr>
          <w:rFonts w:ascii="Arial" w:hAnsi="Arial" w:cs="Arial"/>
          <w:sz w:val="24"/>
          <w:szCs w:val="24"/>
        </w:rPr>
        <w:t xml:space="preserve">effect that </w:t>
      </w:r>
      <w:r w:rsidR="00460794" w:rsidRPr="00736318">
        <w:rPr>
          <w:rFonts w:ascii="Arial" w:hAnsi="Arial" w:cs="Arial"/>
          <w:sz w:val="24"/>
          <w:szCs w:val="24"/>
        </w:rPr>
        <w:t>they</w:t>
      </w:r>
      <w:r w:rsidR="00897B7F" w:rsidRPr="00736318">
        <w:rPr>
          <w:rFonts w:ascii="Arial" w:hAnsi="Arial" w:cs="Arial"/>
          <w:sz w:val="24"/>
          <w:szCs w:val="24"/>
        </w:rPr>
        <w:t xml:space="preserve"> ceded </w:t>
      </w:r>
      <w:r w:rsidR="00395CC6" w:rsidRPr="00736318">
        <w:rPr>
          <w:rFonts w:ascii="Arial" w:hAnsi="Arial" w:cs="Arial"/>
          <w:sz w:val="24"/>
          <w:szCs w:val="24"/>
        </w:rPr>
        <w:t>their claims for</w:t>
      </w:r>
      <w:r w:rsidR="002E1623" w:rsidRPr="00736318">
        <w:rPr>
          <w:rFonts w:ascii="Arial" w:hAnsi="Arial" w:cs="Arial"/>
          <w:sz w:val="24"/>
          <w:szCs w:val="24"/>
        </w:rPr>
        <w:t xml:space="preserve"> the</w:t>
      </w:r>
      <w:r w:rsidR="00395CC6" w:rsidRPr="00736318">
        <w:rPr>
          <w:rFonts w:ascii="Arial" w:hAnsi="Arial" w:cs="Arial"/>
          <w:sz w:val="24"/>
          <w:szCs w:val="24"/>
        </w:rPr>
        <w:t xml:space="preserve"> ETI refunds to the applicant so that it could recover such amounts on their behalf, </w:t>
      </w:r>
      <w:r w:rsidR="00DE0E2D" w:rsidRPr="00736318">
        <w:rPr>
          <w:rFonts w:ascii="Arial" w:hAnsi="Arial" w:cs="Arial"/>
          <w:sz w:val="24"/>
          <w:szCs w:val="24"/>
        </w:rPr>
        <w:t xml:space="preserve">and the applicant was obliged to credit such amounts to </w:t>
      </w:r>
      <w:r w:rsidR="004A7F4B" w:rsidRPr="00736318">
        <w:rPr>
          <w:rFonts w:ascii="Arial" w:hAnsi="Arial" w:cs="Arial"/>
          <w:sz w:val="24"/>
          <w:szCs w:val="24"/>
        </w:rPr>
        <w:t xml:space="preserve">its clients or </w:t>
      </w:r>
      <w:r w:rsidR="00553BE1" w:rsidRPr="00736318">
        <w:rPr>
          <w:rFonts w:ascii="Arial" w:hAnsi="Arial" w:cs="Arial"/>
          <w:sz w:val="24"/>
          <w:szCs w:val="24"/>
        </w:rPr>
        <w:t xml:space="preserve">to </w:t>
      </w:r>
      <w:r w:rsidR="004A7F4B" w:rsidRPr="00736318">
        <w:rPr>
          <w:rFonts w:ascii="Arial" w:hAnsi="Arial" w:cs="Arial"/>
          <w:sz w:val="24"/>
          <w:szCs w:val="24"/>
        </w:rPr>
        <w:t xml:space="preserve">set </w:t>
      </w:r>
      <w:r w:rsidR="00553BE1" w:rsidRPr="00736318">
        <w:rPr>
          <w:rFonts w:ascii="Arial" w:hAnsi="Arial" w:cs="Arial"/>
          <w:sz w:val="24"/>
          <w:szCs w:val="24"/>
        </w:rPr>
        <w:t xml:space="preserve">off </w:t>
      </w:r>
      <w:r w:rsidR="004A7F4B" w:rsidRPr="00736318">
        <w:rPr>
          <w:rFonts w:ascii="Arial" w:hAnsi="Arial" w:cs="Arial"/>
          <w:sz w:val="24"/>
          <w:szCs w:val="24"/>
        </w:rPr>
        <w:t xml:space="preserve">the amounts against outstanding </w:t>
      </w:r>
      <w:r w:rsidR="00D65122" w:rsidRPr="00736318">
        <w:rPr>
          <w:rFonts w:ascii="Arial" w:hAnsi="Arial" w:cs="Arial"/>
          <w:sz w:val="24"/>
          <w:szCs w:val="24"/>
        </w:rPr>
        <w:t>service fees and other charges.</w:t>
      </w:r>
    </w:p>
    <w:p w14:paraId="2AD82FD3" w14:textId="77777777" w:rsidR="00DD09BC" w:rsidRDefault="00DD09BC" w:rsidP="00DD09BC">
      <w:pPr>
        <w:pStyle w:val="ListParagraph"/>
        <w:spacing w:line="360" w:lineRule="auto"/>
        <w:ind w:left="0"/>
        <w:jc w:val="both"/>
        <w:rPr>
          <w:rFonts w:ascii="Arial" w:hAnsi="Arial" w:cs="Arial"/>
          <w:sz w:val="24"/>
          <w:szCs w:val="24"/>
        </w:rPr>
      </w:pPr>
    </w:p>
    <w:p w14:paraId="56F97959" w14:textId="3D4D5AE2"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2E1623" w:rsidRPr="00736318">
        <w:rPr>
          <w:rFonts w:ascii="Arial" w:hAnsi="Arial" w:cs="Arial"/>
          <w:sz w:val="24"/>
          <w:szCs w:val="24"/>
        </w:rPr>
        <w:t xml:space="preserve">Regarding the question of </w:t>
      </w:r>
      <w:r w:rsidR="002E1623" w:rsidRPr="00736318">
        <w:rPr>
          <w:rFonts w:ascii="Arial" w:hAnsi="Arial" w:cs="Arial"/>
          <w:i/>
          <w:iCs/>
          <w:sz w:val="24"/>
          <w:szCs w:val="24"/>
        </w:rPr>
        <w:t>locus standi</w:t>
      </w:r>
      <w:r w:rsidR="002E1623" w:rsidRPr="00736318">
        <w:rPr>
          <w:rFonts w:ascii="Arial" w:hAnsi="Arial" w:cs="Arial"/>
          <w:sz w:val="24"/>
          <w:szCs w:val="24"/>
        </w:rPr>
        <w:t xml:space="preserve">, the applicant </w:t>
      </w:r>
      <w:r w:rsidR="00215A63" w:rsidRPr="00736318">
        <w:rPr>
          <w:rFonts w:ascii="Arial" w:hAnsi="Arial" w:cs="Arial"/>
          <w:sz w:val="24"/>
          <w:szCs w:val="24"/>
        </w:rPr>
        <w:t xml:space="preserve">argues that it has the necessary standing to </w:t>
      </w:r>
      <w:r w:rsidR="00230757" w:rsidRPr="00736318">
        <w:rPr>
          <w:rFonts w:ascii="Arial" w:hAnsi="Arial" w:cs="Arial"/>
          <w:sz w:val="24"/>
          <w:szCs w:val="24"/>
        </w:rPr>
        <w:t xml:space="preserve">claim the ETI refunds. This is because the respondent has admitted </w:t>
      </w:r>
      <w:r w:rsidR="00230757" w:rsidRPr="00736318">
        <w:rPr>
          <w:rFonts w:ascii="Arial" w:hAnsi="Arial" w:cs="Arial"/>
          <w:sz w:val="24"/>
          <w:szCs w:val="24"/>
        </w:rPr>
        <w:lastRenderedPageBreak/>
        <w:t xml:space="preserve">same by </w:t>
      </w:r>
      <w:r w:rsidR="0077603E" w:rsidRPr="00736318">
        <w:rPr>
          <w:rFonts w:ascii="Arial" w:hAnsi="Arial" w:cs="Arial"/>
          <w:sz w:val="24"/>
          <w:szCs w:val="24"/>
        </w:rPr>
        <w:t>paying</w:t>
      </w:r>
      <w:r w:rsidR="0001218C" w:rsidRPr="00736318">
        <w:rPr>
          <w:rFonts w:ascii="Arial" w:hAnsi="Arial" w:cs="Arial"/>
          <w:sz w:val="24"/>
          <w:szCs w:val="24"/>
        </w:rPr>
        <w:t xml:space="preserve"> the ETI refunds previously claimed</w:t>
      </w:r>
      <w:r w:rsidR="000F72BC" w:rsidRPr="00736318">
        <w:rPr>
          <w:rFonts w:ascii="Arial" w:hAnsi="Arial" w:cs="Arial"/>
          <w:sz w:val="24"/>
          <w:szCs w:val="24"/>
        </w:rPr>
        <w:t xml:space="preserve">, </w:t>
      </w:r>
      <w:r w:rsidR="00EE4E56" w:rsidRPr="00736318">
        <w:rPr>
          <w:rFonts w:ascii="Arial" w:hAnsi="Arial" w:cs="Arial"/>
          <w:sz w:val="24"/>
          <w:szCs w:val="24"/>
        </w:rPr>
        <w:t>and</w:t>
      </w:r>
      <w:r w:rsidR="000F72BC" w:rsidRPr="00736318">
        <w:rPr>
          <w:rFonts w:ascii="Arial" w:hAnsi="Arial" w:cs="Arial"/>
          <w:sz w:val="24"/>
          <w:szCs w:val="24"/>
        </w:rPr>
        <w:t xml:space="preserve"> because there are </w:t>
      </w:r>
      <w:r w:rsidR="00C022EF" w:rsidRPr="00736318">
        <w:rPr>
          <w:rFonts w:ascii="Arial" w:hAnsi="Arial" w:cs="Arial"/>
          <w:sz w:val="24"/>
          <w:szCs w:val="24"/>
        </w:rPr>
        <w:t>several</w:t>
      </w:r>
      <w:r w:rsidR="000F72BC" w:rsidRPr="00736318">
        <w:rPr>
          <w:rFonts w:ascii="Arial" w:hAnsi="Arial" w:cs="Arial"/>
          <w:sz w:val="24"/>
          <w:szCs w:val="24"/>
        </w:rPr>
        <w:t xml:space="preserve"> exceptions </w:t>
      </w:r>
      <w:r w:rsidR="000149E3" w:rsidRPr="00736318">
        <w:rPr>
          <w:rFonts w:ascii="Arial" w:hAnsi="Arial" w:cs="Arial"/>
          <w:sz w:val="24"/>
          <w:szCs w:val="24"/>
        </w:rPr>
        <w:t xml:space="preserve">that apply </w:t>
      </w:r>
      <w:r w:rsidR="004E03FC" w:rsidRPr="00736318">
        <w:rPr>
          <w:rFonts w:ascii="Arial" w:hAnsi="Arial" w:cs="Arial"/>
          <w:sz w:val="24"/>
          <w:szCs w:val="24"/>
        </w:rPr>
        <w:t>to the principle that an agent cannot sue on behalf of its principal</w:t>
      </w:r>
      <w:r w:rsidR="00897DCC" w:rsidRPr="00736318">
        <w:rPr>
          <w:rFonts w:ascii="Arial" w:hAnsi="Arial" w:cs="Arial"/>
          <w:sz w:val="24"/>
          <w:szCs w:val="24"/>
        </w:rPr>
        <w:t>.</w:t>
      </w:r>
    </w:p>
    <w:p w14:paraId="3BB13CD9" w14:textId="77777777" w:rsidR="00DD09BC" w:rsidRPr="00DD09BC" w:rsidRDefault="00DD09BC" w:rsidP="00DD09BC">
      <w:pPr>
        <w:pStyle w:val="ListParagraph"/>
        <w:rPr>
          <w:rFonts w:ascii="Arial" w:hAnsi="Arial" w:cs="Arial"/>
          <w:sz w:val="24"/>
          <w:szCs w:val="24"/>
        </w:rPr>
      </w:pPr>
    </w:p>
    <w:p w14:paraId="23D01F92" w14:textId="34597B84"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897DCC" w:rsidRPr="00736318">
        <w:rPr>
          <w:rFonts w:ascii="Arial" w:hAnsi="Arial" w:cs="Arial"/>
          <w:sz w:val="24"/>
          <w:szCs w:val="24"/>
        </w:rPr>
        <w:t xml:space="preserve">The applicant </w:t>
      </w:r>
      <w:r w:rsidR="008C309D" w:rsidRPr="00736318">
        <w:rPr>
          <w:rFonts w:ascii="Arial" w:hAnsi="Arial" w:cs="Arial"/>
          <w:sz w:val="24"/>
          <w:szCs w:val="24"/>
        </w:rPr>
        <w:t xml:space="preserve">maintains that if the respondent’s position is that the ETI refunds ought never to have been paid, by reason of the applicant’s lack of </w:t>
      </w:r>
      <w:r w:rsidR="008C309D" w:rsidRPr="00736318">
        <w:rPr>
          <w:rFonts w:ascii="Arial" w:hAnsi="Arial" w:cs="Arial"/>
          <w:i/>
          <w:iCs/>
          <w:sz w:val="24"/>
          <w:szCs w:val="24"/>
        </w:rPr>
        <w:t>locus standi</w:t>
      </w:r>
      <w:r w:rsidR="008C309D" w:rsidRPr="00736318">
        <w:rPr>
          <w:rFonts w:ascii="Arial" w:hAnsi="Arial" w:cs="Arial"/>
          <w:sz w:val="24"/>
          <w:szCs w:val="24"/>
        </w:rPr>
        <w:t xml:space="preserve">, then </w:t>
      </w:r>
      <w:r w:rsidR="005E3E71" w:rsidRPr="00736318">
        <w:rPr>
          <w:rFonts w:ascii="Arial" w:hAnsi="Arial" w:cs="Arial"/>
          <w:sz w:val="24"/>
          <w:szCs w:val="24"/>
        </w:rPr>
        <w:t xml:space="preserve">the respondent </w:t>
      </w:r>
      <w:r w:rsidR="003F3EEB" w:rsidRPr="00736318">
        <w:rPr>
          <w:rFonts w:ascii="Arial" w:hAnsi="Arial" w:cs="Arial"/>
          <w:sz w:val="24"/>
          <w:szCs w:val="24"/>
        </w:rPr>
        <w:t xml:space="preserve">should have exercised </w:t>
      </w:r>
      <w:r w:rsidR="005E3E71" w:rsidRPr="00736318">
        <w:rPr>
          <w:rFonts w:ascii="Arial" w:hAnsi="Arial" w:cs="Arial"/>
          <w:sz w:val="24"/>
          <w:szCs w:val="24"/>
        </w:rPr>
        <w:t xml:space="preserve">the </w:t>
      </w:r>
      <w:r w:rsidR="003F3EEB" w:rsidRPr="00736318">
        <w:rPr>
          <w:rFonts w:ascii="Arial" w:hAnsi="Arial" w:cs="Arial"/>
          <w:sz w:val="24"/>
          <w:szCs w:val="24"/>
        </w:rPr>
        <w:t xml:space="preserve">audit powers </w:t>
      </w:r>
      <w:r w:rsidR="005E3E71" w:rsidRPr="00736318">
        <w:rPr>
          <w:rFonts w:ascii="Arial" w:hAnsi="Arial" w:cs="Arial"/>
          <w:sz w:val="24"/>
          <w:szCs w:val="24"/>
        </w:rPr>
        <w:t xml:space="preserve">available under the TAA </w:t>
      </w:r>
      <w:r w:rsidR="003F3EEB" w:rsidRPr="00736318">
        <w:rPr>
          <w:rFonts w:ascii="Arial" w:hAnsi="Arial" w:cs="Arial"/>
          <w:sz w:val="24"/>
          <w:szCs w:val="24"/>
        </w:rPr>
        <w:t xml:space="preserve">to </w:t>
      </w:r>
      <w:r w:rsidR="00A64196" w:rsidRPr="00736318">
        <w:rPr>
          <w:rFonts w:ascii="Arial" w:hAnsi="Arial" w:cs="Arial"/>
          <w:sz w:val="24"/>
          <w:szCs w:val="24"/>
        </w:rPr>
        <w:t>issue additional assessments that reversed the ETI refunds claimed by the applicant.</w:t>
      </w:r>
      <w:r w:rsidR="00BD2CE3" w:rsidRPr="00736318">
        <w:rPr>
          <w:rFonts w:ascii="Arial" w:hAnsi="Arial" w:cs="Arial"/>
          <w:sz w:val="24"/>
          <w:szCs w:val="24"/>
        </w:rPr>
        <w:t xml:space="preserve"> </w:t>
      </w:r>
      <w:r w:rsidR="00445DEC" w:rsidRPr="00736318">
        <w:rPr>
          <w:rFonts w:ascii="Arial" w:hAnsi="Arial" w:cs="Arial"/>
          <w:sz w:val="24"/>
          <w:szCs w:val="24"/>
        </w:rPr>
        <w:t>The respondent</w:t>
      </w:r>
      <w:r w:rsidR="00A02CCE" w:rsidRPr="00736318">
        <w:rPr>
          <w:rFonts w:ascii="Arial" w:hAnsi="Arial" w:cs="Arial"/>
          <w:sz w:val="24"/>
          <w:szCs w:val="24"/>
        </w:rPr>
        <w:t xml:space="preserve"> could not circumvent the process by </w:t>
      </w:r>
      <w:r w:rsidR="00B96F9D" w:rsidRPr="00736318">
        <w:rPr>
          <w:rFonts w:ascii="Arial" w:hAnsi="Arial" w:cs="Arial"/>
          <w:sz w:val="24"/>
          <w:szCs w:val="24"/>
        </w:rPr>
        <w:t>expecting the court to come to its a</w:t>
      </w:r>
      <w:r w:rsidR="009C2BA3" w:rsidRPr="00736318">
        <w:rPr>
          <w:rFonts w:ascii="Arial" w:hAnsi="Arial" w:cs="Arial"/>
          <w:sz w:val="24"/>
          <w:szCs w:val="24"/>
        </w:rPr>
        <w:t>id</w:t>
      </w:r>
      <w:r w:rsidR="00B96F9D" w:rsidRPr="00736318">
        <w:rPr>
          <w:rFonts w:ascii="Arial" w:hAnsi="Arial" w:cs="Arial"/>
          <w:sz w:val="24"/>
          <w:szCs w:val="24"/>
        </w:rPr>
        <w:t>.</w:t>
      </w:r>
    </w:p>
    <w:p w14:paraId="0257EFA5" w14:textId="77777777" w:rsidR="00DD09BC" w:rsidRPr="00DD09BC" w:rsidRDefault="00DD09BC" w:rsidP="00DD09BC">
      <w:pPr>
        <w:pStyle w:val="ListParagraph"/>
        <w:rPr>
          <w:rFonts w:ascii="Arial" w:hAnsi="Arial" w:cs="Arial"/>
          <w:sz w:val="24"/>
          <w:szCs w:val="24"/>
        </w:rPr>
      </w:pPr>
    </w:p>
    <w:p w14:paraId="44FDAC85" w14:textId="6DDA3510"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E648FE" w:rsidRPr="00736318">
        <w:rPr>
          <w:rFonts w:ascii="Arial" w:hAnsi="Arial" w:cs="Arial"/>
          <w:sz w:val="24"/>
          <w:szCs w:val="24"/>
        </w:rPr>
        <w:t xml:space="preserve">It is, asserts the applicant, the respondent </w:t>
      </w:r>
      <w:r w:rsidR="00CD6A02" w:rsidRPr="00736318">
        <w:rPr>
          <w:rFonts w:ascii="Arial" w:hAnsi="Arial" w:cs="Arial"/>
          <w:sz w:val="24"/>
          <w:szCs w:val="24"/>
        </w:rPr>
        <w:t>who has been contradictory.</w:t>
      </w:r>
      <w:r w:rsidR="000A543F" w:rsidRPr="00736318">
        <w:rPr>
          <w:rFonts w:ascii="Arial" w:hAnsi="Arial" w:cs="Arial"/>
          <w:sz w:val="24"/>
          <w:szCs w:val="24"/>
        </w:rPr>
        <w:t xml:space="preserve"> To that extent, the applicant points out that </w:t>
      </w:r>
      <w:r w:rsidR="00AA3ACF" w:rsidRPr="00736318">
        <w:rPr>
          <w:rFonts w:ascii="Arial" w:hAnsi="Arial" w:cs="Arial"/>
          <w:sz w:val="24"/>
          <w:szCs w:val="24"/>
        </w:rPr>
        <w:t>the respondent has argued in the Tax Appeal Court that the applicant is</w:t>
      </w:r>
      <w:r w:rsidR="00B6648D" w:rsidRPr="00736318">
        <w:rPr>
          <w:rFonts w:ascii="Arial" w:hAnsi="Arial" w:cs="Arial"/>
          <w:sz w:val="24"/>
          <w:szCs w:val="24"/>
        </w:rPr>
        <w:t xml:space="preserve"> an</w:t>
      </w:r>
      <w:r w:rsidR="00AA3ACF" w:rsidRPr="00736318">
        <w:rPr>
          <w:rFonts w:ascii="Arial" w:hAnsi="Arial" w:cs="Arial"/>
          <w:sz w:val="24"/>
          <w:szCs w:val="24"/>
        </w:rPr>
        <w:t xml:space="preserve"> employer</w:t>
      </w:r>
      <w:r w:rsidR="00EB6A17" w:rsidRPr="00736318">
        <w:rPr>
          <w:rFonts w:ascii="Arial" w:hAnsi="Arial" w:cs="Arial"/>
          <w:sz w:val="24"/>
          <w:szCs w:val="24"/>
        </w:rPr>
        <w:t xml:space="preserve">. This </w:t>
      </w:r>
      <w:r w:rsidR="00440DB3" w:rsidRPr="00736318">
        <w:rPr>
          <w:rFonts w:ascii="Arial" w:hAnsi="Arial" w:cs="Arial"/>
          <w:sz w:val="24"/>
          <w:szCs w:val="24"/>
        </w:rPr>
        <w:t>attracts VAT obligations.</w:t>
      </w:r>
      <w:r w:rsidR="00CC7764" w:rsidRPr="00736318">
        <w:rPr>
          <w:rFonts w:ascii="Arial" w:hAnsi="Arial" w:cs="Arial"/>
          <w:sz w:val="24"/>
          <w:szCs w:val="24"/>
        </w:rPr>
        <w:t xml:space="preserve"> The </w:t>
      </w:r>
      <w:r w:rsidR="00274654" w:rsidRPr="00736318">
        <w:rPr>
          <w:rFonts w:ascii="Arial" w:hAnsi="Arial" w:cs="Arial"/>
          <w:sz w:val="24"/>
          <w:szCs w:val="24"/>
        </w:rPr>
        <w:t>respondent uses the same argument in relation to the applicant’s alleged SDL liabilit</w:t>
      </w:r>
      <w:r w:rsidR="008723DD" w:rsidRPr="00736318">
        <w:rPr>
          <w:rFonts w:ascii="Arial" w:hAnsi="Arial" w:cs="Arial"/>
          <w:sz w:val="24"/>
          <w:szCs w:val="24"/>
        </w:rPr>
        <w:t>y.</w:t>
      </w:r>
      <w:r w:rsidR="007E6938" w:rsidRPr="00736318">
        <w:rPr>
          <w:rFonts w:ascii="Arial" w:hAnsi="Arial" w:cs="Arial"/>
          <w:sz w:val="24"/>
          <w:szCs w:val="24"/>
        </w:rPr>
        <w:t xml:space="preserve"> If the Tax Appeal Court finds in favour of the respondent, then there would </w:t>
      </w:r>
      <w:r w:rsidR="00133C04" w:rsidRPr="00736318">
        <w:rPr>
          <w:rFonts w:ascii="Arial" w:hAnsi="Arial" w:cs="Arial"/>
          <w:sz w:val="24"/>
          <w:szCs w:val="24"/>
        </w:rPr>
        <w:t xml:space="preserve">be no basis for the respondent’s opposition </w:t>
      </w:r>
      <w:r w:rsidR="004F4BF8" w:rsidRPr="00736318">
        <w:rPr>
          <w:rFonts w:ascii="Arial" w:hAnsi="Arial" w:cs="Arial"/>
          <w:sz w:val="24"/>
          <w:szCs w:val="24"/>
        </w:rPr>
        <w:t>in the present matter.</w:t>
      </w:r>
      <w:r w:rsidR="00A965AA" w:rsidRPr="00736318">
        <w:rPr>
          <w:rFonts w:ascii="Arial" w:hAnsi="Arial" w:cs="Arial"/>
          <w:sz w:val="24"/>
          <w:szCs w:val="24"/>
        </w:rPr>
        <w:t xml:space="preserve"> The applicant would be entitled to payment of the ETI refunds</w:t>
      </w:r>
      <w:r w:rsidR="007935EA" w:rsidRPr="00736318">
        <w:rPr>
          <w:rFonts w:ascii="Arial" w:hAnsi="Arial" w:cs="Arial"/>
          <w:sz w:val="24"/>
          <w:szCs w:val="24"/>
        </w:rPr>
        <w:t xml:space="preserve">, </w:t>
      </w:r>
      <w:r w:rsidR="000A5B63" w:rsidRPr="00736318">
        <w:rPr>
          <w:rFonts w:ascii="Arial" w:hAnsi="Arial" w:cs="Arial"/>
          <w:sz w:val="24"/>
          <w:szCs w:val="24"/>
        </w:rPr>
        <w:t xml:space="preserve">together with </w:t>
      </w:r>
      <w:r w:rsidR="007935EA" w:rsidRPr="00736318">
        <w:rPr>
          <w:rFonts w:ascii="Arial" w:hAnsi="Arial" w:cs="Arial"/>
          <w:sz w:val="24"/>
          <w:szCs w:val="24"/>
        </w:rPr>
        <w:t>interest and costs</w:t>
      </w:r>
      <w:r w:rsidR="00A965AA" w:rsidRPr="00736318">
        <w:rPr>
          <w:rFonts w:ascii="Arial" w:hAnsi="Arial" w:cs="Arial"/>
          <w:sz w:val="24"/>
          <w:szCs w:val="24"/>
        </w:rPr>
        <w:t>.</w:t>
      </w:r>
      <w:r w:rsidR="005D458E" w:rsidRPr="00736318">
        <w:rPr>
          <w:rFonts w:ascii="Arial" w:hAnsi="Arial" w:cs="Arial"/>
          <w:sz w:val="24"/>
          <w:szCs w:val="24"/>
        </w:rPr>
        <w:t xml:space="preserve"> </w:t>
      </w:r>
      <w:r w:rsidR="009E2FEC" w:rsidRPr="00736318">
        <w:rPr>
          <w:rFonts w:ascii="Arial" w:hAnsi="Arial" w:cs="Arial"/>
          <w:sz w:val="24"/>
          <w:szCs w:val="24"/>
        </w:rPr>
        <w:t>If, notwithstanding, the respondent w</w:t>
      </w:r>
      <w:r w:rsidR="002B2937" w:rsidRPr="00736318">
        <w:rPr>
          <w:rFonts w:ascii="Arial" w:hAnsi="Arial" w:cs="Arial"/>
          <w:sz w:val="24"/>
          <w:szCs w:val="24"/>
        </w:rPr>
        <w:t>as</w:t>
      </w:r>
      <w:r w:rsidR="009E2FEC" w:rsidRPr="00736318">
        <w:rPr>
          <w:rFonts w:ascii="Arial" w:hAnsi="Arial" w:cs="Arial"/>
          <w:sz w:val="24"/>
          <w:szCs w:val="24"/>
        </w:rPr>
        <w:t xml:space="preserve"> unsuccessful in the Tax Appeal </w:t>
      </w:r>
      <w:r w:rsidR="002B2937" w:rsidRPr="00736318">
        <w:rPr>
          <w:rFonts w:ascii="Arial" w:hAnsi="Arial" w:cs="Arial"/>
          <w:sz w:val="24"/>
          <w:szCs w:val="24"/>
        </w:rPr>
        <w:t>Court</w:t>
      </w:r>
      <w:r w:rsidR="00B063AA" w:rsidRPr="00736318">
        <w:rPr>
          <w:rFonts w:ascii="Arial" w:hAnsi="Arial" w:cs="Arial"/>
          <w:sz w:val="24"/>
          <w:szCs w:val="24"/>
        </w:rPr>
        <w:t xml:space="preserve">, then the applicant would </w:t>
      </w:r>
      <w:r w:rsidR="0083625B" w:rsidRPr="00736318">
        <w:rPr>
          <w:rFonts w:ascii="Arial" w:hAnsi="Arial" w:cs="Arial"/>
          <w:sz w:val="24"/>
          <w:szCs w:val="24"/>
        </w:rPr>
        <w:t xml:space="preserve">still </w:t>
      </w:r>
      <w:r w:rsidR="00B063AA" w:rsidRPr="00736318">
        <w:rPr>
          <w:rFonts w:ascii="Arial" w:hAnsi="Arial" w:cs="Arial"/>
          <w:sz w:val="24"/>
          <w:szCs w:val="24"/>
        </w:rPr>
        <w:t xml:space="preserve">not be prevented from claiming the </w:t>
      </w:r>
      <w:r w:rsidR="00791129" w:rsidRPr="00736318">
        <w:rPr>
          <w:rFonts w:ascii="Arial" w:hAnsi="Arial" w:cs="Arial"/>
          <w:sz w:val="24"/>
          <w:szCs w:val="24"/>
        </w:rPr>
        <w:t>ETI refund because it had done so as an agent and on behalf of its various clients.</w:t>
      </w:r>
      <w:r w:rsidR="007F04C1" w:rsidRPr="00736318">
        <w:rPr>
          <w:rFonts w:ascii="Arial" w:hAnsi="Arial" w:cs="Arial"/>
          <w:sz w:val="24"/>
          <w:szCs w:val="24"/>
        </w:rPr>
        <w:t xml:space="preserve"> </w:t>
      </w:r>
      <w:r w:rsidR="00F772D6" w:rsidRPr="00736318">
        <w:rPr>
          <w:rFonts w:ascii="Arial" w:hAnsi="Arial" w:cs="Arial"/>
          <w:sz w:val="24"/>
          <w:szCs w:val="24"/>
        </w:rPr>
        <w:t xml:space="preserve">Its approach in </w:t>
      </w:r>
      <w:r w:rsidR="00AE0325" w:rsidRPr="00736318">
        <w:rPr>
          <w:rFonts w:ascii="Arial" w:hAnsi="Arial" w:cs="Arial"/>
          <w:sz w:val="24"/>
          <w:szCs w:val="24"/>
        </w:rPr>
        <w:t xml:space="preserve">both sets of proceedings </w:t>
      </w:r>
      <w:r w:rsidR="007F04C1" w:rsidRPr="00736318">
        <w:rPr>
          <w:rFonts w:ascii="Arial" w:hAnsi="Arial" w:cs="Arial"/>
          <w:sz w:val="24"/>
          <w:szCs w:val="24"/>
        </w:rPr>
        <w:t>ha</w:t>
      </w:r>
      <w:r w:rsidR="00741598" w:rsidRPr="00736318">
        <w:rPr>
          <w:rFonts w:ascii="Arial" w:hAnsi="Arial" w:cs="Arial"/>
          <w:sz w:val="24"/>
          <w:szCs w:val="24"/>
        </w:rPr>
        <w:t>s</w:t>
      </w:r>
      <w:r w:rsidR="007F04C1" w:rsidRPr="00736318">
        <w:rPr>
          <w:rFonts w:ascii="Arial" w:hAnsi="Arial" w:cs="Arial"/>
          <w:sz w:val="24"/>
          <w:szCs w:val="24"/>
        </w:rPr>
        <w:t xml:space="preserve"> been consistent </w:t>
      </w:r>
      <w:r w:rsidR="00AF6A4B" w:rsidRPr="00736318">
        <w:rPr>
          <w:rFonts w:ascii="Arial" w:hAnsi="Arial" w:cs="Arial"/>
          <w:sz w:val="24"/>
          <w:szCs w:val="24"/>
        </w:rPr>
        <w:t>in this regard.</w:t>
      </w:r>
    </w:p>
    <w:p w14:paraId="52D0462D" w14:textId="77777777" w:rsidR="00DD09BC" w:rsidRPr="00DD09BC" w:rsidRDefault="00DD09BC" w:rsidP="00DD09BC">
      <w:pPr>
        <w:pStyle w:val="ListParagraph"/>
        <w:rPr>
          <w:rFonts w:ascii="Arial" w:hAnsi="Arial" w:cs="Arial"/>
          <w:sz w:val="24"/>
          <w:szCs w:val="24"/>
        </w:rPr>
      </w:pPr>
    </w:p>
    <w:p w14:paraId="41457456" w14:textId="2E4E4CC1"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F772D6" w:rsidRPr="00736318">
        <w:rPr>
          <w:rFonts w:ascii="Arial" w:hAnsi="Arial" w:cs="Arial"/>
          <w:sz w:val="24"/>
          <w:szCs w:val="24"/>
        </w:rPr>
        <w:t xml:space="preserve">The applicant </w:t>
      </w:r>
      <w:r w:rsidR="00F03879" w:rsidRPr="00736318">
        <w:rPr>
          <w:rFonts w:ascii="Arial" w:hAnsi="Arial" w:cs="Arial"/>
          <w:sz w:val="24"/>
          <w:szCs w:val="24"/>
        </w:rPr>
        <w:t>su</w:t>
      </w:r>
      <w:r w:rsidR="00037C6F" w:rsidRPr="00736318">
        <w:rPr>
          <w:rFonts w:ascii="Arial" w:hAnsi="Arial" w:cs="Arial"/>
          <w:sz w:val="24"/>
          <w:szCs w:val="24"/>
        </w:rPr>
        <w:t>bmit</w:t>
      </w:r>
      <w:r w:rsidR="00F03879" w:rsidRPr="00736318">
        <w:rPr>
          <w:rFonts w:ascii="Arial" w:hAnsi="Arial" w:cs="Arial"/>
          <w:sz w:val="24"/>
          <w:szCs w:val="24"/>
        </w:rPr>
        <w:t xml:space="preserve">s that </w:t>
      </w:r>
      <w:r w:rsidR="00037C6F" w:rsidRPr="00736318">
        <w:rPr>
          <w:rFonts w:ascii="Arial" w:hAnsi="Arial" w:cs="Arial"/>
          <w:sz w:val="24"/>
          <w:szCs w:val="24"/>
        </w:rPr>
        <w:t xml:space="preserve">the finding of the Tax Appeal Court would </w:t>
      </w:r>
      <w:r w:rsidR="004D09B3" w:rsidRPr="00736318">
        <w:rPr>
          <w:rFonts w:ascii="Arial" w:hAnsi="Arial" w:cs="Arial"/>
          <w:sz w:val="24"/>
          <w:szCs w:val="24"/>
        </w:rPr>
        <w:t xml:space="preserve">assist in the determination of whether it was entitled to the relief sought under the </w:t>
      </w:r>
      <w:r w:rsidR="00741598" w:rsidRPr="00736318">
        <w:rPr>
          <w:rFonts w:ascii="Arial" w:hAnsi="Arial" w:cs="Arial"/>
          <w:sz w:val="24"/>
          <w:szCs w:val="24"/>
        </w:rPr>
        <w:t>main</w:t>
      </w:r>
      <w:r w:rsidR="00815692" w:rsidRPr="00736318">
        <w:rPr>
          <w:rFonts w:ascii="Arial" w:hAnsi="Arial" w:cs="Arial"/>
          <w:sz w:val="24"/>
          <w:szCs w:val="24"/>
        </w:rPr>
        <w:t xml:space="preserve"> </w:t>
      </w:r>
      <w:r w:rsidR="004D09B3" w:rsidRPr="00736318">
        <w:rPr>
          <w:rFonts w:ascii="Arial" w:hAnsi="Arial" w:cs="Arial"/>
          <w:sz w:val="24"/>
          <w:szCs w:val="24"/>
        </w:rPr>
        <w:t>application.</w:t>
      </w:r>
      <w:r w:rsidR="00FE7F9A" w:rsidRPr="00736318">
        <w:rPr>
          <w:rFonts w:ascii="Arial" w:hAnsi="Arial" w:cs="Arial"/>
          <w:sz w:val="24"/>
          <w:szCs w:val="24"/>
        </w:rPr>
        <w:t xml:space="preserve"> </w:t>
      </w:r>
      <w:r w:rsidR="003E376F" w:rsidRPr="00736318">
        <w:rPr>
          <w:rFonts w:ascii="Arial" w:hAnsi="Arial" w:cs="Arial"/>
          <w:sz w:val="24"/>
          <w:szCs w:val="24"/>
        </w:rPr>
        <w:t xml:space="preserve">It would be sensible to postpone </w:t>
      </w:r>
      <w:r w:rsidR="00B64B6A" w:rsidRPr="00736318">
        <w:rPr>
          <w:rFonts w:ascii="Arial" w:hAnsi="Arial" w:cs="Arial"/>
          <w:sz w:val="24"/>
          <w:szCs w:val="24"/>
        </w:rPr>
        <w:t>it</w:t>
      </w:r>
      <w:r w:rsidR="00815692" w:rsidRPr="00736318">
        <w:rPr>
          <w:rFonts w:ascii="Arial" w:hAnsi="Arial" w:cs="Arial"/>
          <w:sz w:val="24"/>
          <w:szCs w:val="24"/>
        </w:rPr>
        <w:t>, pending the finalization of the appeal.</w:t>
      </w:r>
    </w:p>
    <w:p w14:paraId="208CD698" w14:textId="77777777" w:rsidR="00DD09BC" w:rsidRPr="00DD09BC" w:rsidRDefault="00DD09BC" w:rsidP="00DD09BC">
      <w:pPr>
        <w:pStyle w:val="ListParagraph"/>
        <w:rPr>
          <w:rFonts w:ascii="Arial" w:hAnsi="Arial" w:cs="Arial"/>
          <w:sz w:val="24"/>
          <w:szCs w:val="24"/>
        </w:rPr>
      </w:pPr>
    </w:p>
    <w:p w14:paraId="79A9D471" w14:textId="4FFC66DC" w:rsidR="003B1B1C" w:rsidRPr="00736318" w:rsidRDefault="00736318" w:rsidP="00736318">
      <w:pPr>
        <w:spacing w:line="360" w:lineRule="auto"/>
        <w:jc w:val="both"/>
        <w:rPr>
          <w:rFonts w:ascii="Arial" w:hAnsi="Arial" w:cs="Arial"/>
          <w:sz w:val="24"/>
          <w:szCs w:val="24"/>
        </w:rPr>
      </w:pPr>
      <w:r w:rsidRPr="00DD09BC">
        <w:rPr>
          <w:rFonts w:ascii="Arial" w:hAnsi="Arial" w:cs="Arial"/>
          <w:sz w:val="24"/>
          <w:szCs w:val="24"/>
        </w:rPr>
        <w:t>[21]</w:t>
      </w:r>
      <w:r w:rsidRPr="00DD09BC">
        <w:rPr>
          <w:rFonts w:ascii="Arial" w:hAnsi="Arial" w:cs="Arial"/>
          <w:sz w:val="24"/>
          <w:szCs w:val="24"/>
        </w:rPr>
        <w:tab/>
      </w:r>
      <w:r w:rsidR="00E83CB4" w:rsidRPr="00736318">
        <w:rPr>
          <w:rFonts w:ascii="Arial" w:hAnsi="Arial" w:cs="Arial"/>
          <w:sz w:val="24"/>
          <w:szCs w:val="24"/>
        </w:rPr>
        <w:t>The reason</w:t>
      </w:r>
      <w:r w:rsidR="001121E9" w:rsidRPr="00736318">
        <w:rPr>
          <w:rFonts w:ascii="Arial" w:hAnsi="Arial" w:cs="Arial"/>
          <w:sz w:val="24"/>
          <w:szCs w:val="24"/>
        </w:rPr>
        <w:t>s</w:t>
      </w:r>
      <w:r w:rsidR="00E83CB4" w:rsidRPr="00736318">
        <w:rPr>
          <w:rFonts w:ascii="Arial" w:hAnsi="Arial" w:cs="Arial"/>
          <w:sz w:val="24"/>
          <w:szCs w:val="24"/>
        </w:rPr>
        <w:t xml:space="preserve"> for the delay in </w:t>
      </w:r>
      <w:r w:rsidR="001121E9" w:rsidRPr="00736318">
        <w:rPr>
          <w:rFonts w:ascii="Arial" w:hAnsi="Arial" w:cs="Arial"/>
          <w:sz w:val="24"/>
          <w:szCs w:val="24"/>
        </w:rPr>
        <w:t xml:space="preserve">the delivery of the applicant’s supplementary </w:t>
      </w:r>
      <w:r w:rsidR="008E46B6" w:rsidRPr="00736318">
        <w:rPr>
          <w:rFonts w:ascii="Arial" w:hAnsi="Arial" w:cs="Arial"/>
          <w:sz w:val="24"/>
          <w:szCs w:val="24"/>
        </w:rPr>
        <w:t>affidavit</w:t>
      </w:r>
      <w:r w:rsidR="001121E9" w:rsidRPr="00736318">
        <w:rPr>
          <w:rFonts w:ascii="Arial" w:hAnsi="Arial" w:cs="Arial"/>
          <w:sz w:val="24"/>
          <w:szCs w:val="24"/>
        </w:rPr>
        <w:t xml:space="preserve"> are provided. It seeks </w:t>
      </w:r>
      <w:r w:rsidR="00962E41" w:rsidRPr="00736318">
        <w:rPr>
          <w:rFonts w:ascii="Arial" w:hAnsi="Arial" w:cs="Arial"/>
          <w:sz w:val="24"/>
          <w:szCs w:val="24"/>
        </w:rPr>
        <w:t xml:space="preserve">condonation, </w:t>
      </w:r>
      <w:r w:rsidR="000A5B63" w:rsidRPr="00736318">
        <w:rPr>
          <w:rFonts w:ascii="Arial" w:hAnsi="Arial" w:cs="Arial"/>
          <w:sz w:val="24"/>
          <w:szCs w:val="24"/>
        </w:rPr>
        <w:t xml:space="preserve">as well </w:t>
      </w:r>
      <w:r w:rsidR="00EB18BB" w:rsidRPr="00736318">
        <w:rPr>
          <w:rFonts w:ascii="Arial" w:hAnsi="Arial" w:cs="Arial"/>
          <w:sz w:val="24"/>
          <w:szCs w:val="24"/>
        </w:rPr>
        <w:t xml:space="preserve">as </w:t>
      </w:r>
      <w:r w:rsidR="000B21CF" w:rsidRPr="00736318">
        <w:rPr>
          <w:rFonts w:ascii="Arial" w:hAnsi="Arial" w:cs="Arial"/>
          <w:sz w:val="24"/>
          <w:szCs w:val="24"/>
        </w:rPr>
        <w:t xml:space="preserve">leave </w:t>
      </w:r>
      <w:r w:rsidR="00962E41" w:rsidRPr="00736318">
        <w:rPr>
          <w:rFonts w:ascii="Arial" w:hAnsi="Arial" w:cs="Arial"/>
          <w:sz w:val="24"/>
          <w:szCs w:val="24"/>
        </w:rPr>
        <w:t xml:space="preserve">to deliver the </w:t>
      </w:r>
      <w:r w:rsidR="005E0B7D" w:rsidRPr="00736318">
        <w:rPr>
          <w:rFonts w:ascii="Arial" w:hAnsi="Arial" w:cs="Arial"/>
          <w:sz w:val="24"/>
          <w:szCs w:val="24"/>
        </w:rPr>
        <w:t>supplementary affidavit</w:t>
      </w:r>
      <w:r w:rsidR="00962E41" w:rsidRPr="00736318">
        <w:rPr>
          <w:rFonts w:ascii="Arial" w:hAnsi="Arial" w:cs="Arial"/>
          <w:sz w:val="24"/>
          <w:szCs w:val="24"/>
        </w:rPr>
        <w:t xml:space="preserve"> </w:t>
      </w:r>
      <w:r w:rsidR="00B25C29" w:rsidRPr="00736318">
        <w:rPr>
          <w:rFonts w:ascii="Arial" w:hAnsi="Arial" w:cs="Arial"/>
          <w:sz w:val="24"/>
          <w:szCs w:val="24"/>
        </w:rPr>
        <w:t xml:space="preserve">insofar as </w:t>
      </w:r>
      <w:r w:rsidR="005E0B7D" w:rsidRPr="00736318">
        <w:rPr>
          <w:rFonts w:ascii="Arial" w:hAnsi="Arial" w:cs="Arial"/>
          <w:sz w:val="24"/>
          <w:szCs w:val="24"/>
        </w:rPr>
        <w:t xml:space="preserve">it </w:t>
      </w:r>
      <w:r w:rsidR="000F2847" w:rsidRPr="00736318">
        <w:rPr>
          <w:rFonts w:ascii="Arial" w:hAnsi="Arial" w:cs="Arial"/>
          <w:sz w:val="24"/>
          <w:szCs w:val="24"/>
        </w:rPr>
        <w:t xml:space="preserve">may </w:t>
      </w:r>
      <w:r w:rsidR="00EB18BB" w:rsidRPr="00736318">
        <w:rPr>
          <w:rFonts w:ascii="Arial" w:hAnsi="Arial" w:cs="Arial"/>
          <w:sz w:val="24"/>
          <w:szCs w:val="24"/>
        </w:rPr>
        <w:t>be</w:t>
      </w:r>
      <w:r w:rsidR="00702420" w:rsidRPr="00736318">
        <w:rPr>
          <w:rFonts w:ascii="Arial" w:hAnsi="Arial" w:cs="Arial"/>
          <w:sz w:val="24"/>
          <w:szCs w:val="24"/>
        </w:rPr>
        <w:t xml:space="preserve"> </w:t>
      </w:r>
      <w:r w:rsidR="005E0B7D" w:rsidRPr="00736318">
        <w:rPr>
          <w:rFonts w:ascii="Arial" w:hAnsi="Arial" w:cs="Arial"/>
          <w:sz w:val="24"/>
          <w:szCs w:val="24"/>
        </w:rPr>
        <w:t xml:space="preserve">construed as </w:t>
      </w:r>
      <w:r w:rsidR="000F2847" w:rsidRPr="00736318">
        <w:rPr>
          <w:rFonts w:ascii="Arial" w:hAnsi="Arial" w:cs="Arial"/>
          <w:sz w:val="24"/>
          <w:szCs w:val="24"/>
        </w:rPr>
        <w:t>a supplementary founding affidavit.</w:t>
      </w:r>
      <w:r w:rsidR="00B25C29" w:rsidRPr="00736318">
        <w:rPr>
          <w:rFonts w:ascii="Arial" w:hAnsi="Arial" w:cs="Arial"/>
          <w:sz w:val="24"/>
          <w:szCs w:val="24"/>
        </w:rPr>
        <w:t xml:space="preserve"> </w:t>
      </w:r>
      <w:r w:rsidR="004E4EC6" w:rsidRPr="00736318">
        <w:rPr>
          <w:rFonts w:ascii="Arial" w:hAnsi="Arial" w:cs="Arial"/>
          <w:sz w:val="24"/>
          <w:szCs w:val="24"/>
        </w:rPr>
        <w:t xml:space="preserve">The applicant reiterates that </w:t>
      </w:r>
      <w:r w:rsidR="00EB18BB" w:rsidRPr="00736318">
        <w:rPr>
          <w:rFonts w:ascii="Arial" w:hAnsi="Arial" w:cs="Arial"/>
          <w:sz w:val="24"/>
          <w:szCs w:val="24"/>
        </w:rPr>
        <w:t xml:space="preserve">the main issue to be decided is whether </w:t>
      </w:r>
      <w:r w:rsidR="005F0325" w:rsidRPr="00736318">
        <w:rPr>
          <w:rFonts w:ascii="Arial" w:hAnsi="Arial" w:cs="Arial"/>
          <w:sz w:val="24"/>
          <w:szCs w:val="24"/>
        </w:rPr>
        <w:t>the applicant can claim interest in its capacity as agent for its various clients.</w:t>
      </w:r>
    </w:p>
    <w:p w14:paraId="7C90FB96" w14:textId="77777777" w:rsidR="00432C36" w:rsidRDefault="00432C36" w:rsidP="00382E24">
      <w:pPr>
        <w:spacing w:line="360" w:lineRule="auto"/>
        <w:rPr>
          <w:rFonts w:ascii="Arial" w:hAnsi="Arial" w:cs="Arial"/>
          <w:sz w:val="24"/>
          <w:szCs w:val="24"/>
        </w:rPr>
      </w:pPr>
    </w:p>
    <w:p w14:paraId="560BD1B1" w14:textId="2FE4DB60" w:rsidR="00432C36" w:rsidRPr="00A2371F" w:rsidRDefault="00432C36" w:rsidP="00DD09BC">
      <w:pPr>
        <w:spacing w:line="360" w:lineRule="auto"/>
        <w:jc w:val="both"/>
        <w:rPr>
          <w:rFonts w:ascii="Arial" w:hAnsi="Arial" w:cs="Arial"/>
          <w:b/>
          <w:bCs/>
          <w:sz w:val="24"/>
          <w:szCs w:val="24"/>
        </w:rPr>
      </w:pPr>
      <w:r w:rsidRPr="00A2371F">
        <w:rPr>
          <w:rFonts w:ascii="Arial" w:hAnsi="Arial" w:cs="Arial"/>
          <w:b/>
          <w:bCs/>
          <w:sz w:val="24"/>
          <w:szCs w:val="24"/>
        </w:rPr>
        <w:t>The interlocutory applications</w:t>
      </w:r>
    </w:p>
    <w:p w14:paraId="74C6F7FA" w14:textId="77777777" w:rsidR="00432C36" w:rsidRDefault="00432C36" w:rsidP="00382E24">
      <w:pPr>
        <w:spacing w:line="360" w:lineRule="auto"/>
        <w:rPr>
          <w:rFonts w:ascii="Arial" w:hAnsi="Arial" w:cs="Arial"/>
          <w:sz w:val="24"/>
          <w:szCs w:val="24"/>
        </w:rPr>
      </w:pPr>
    </w:p>
    <w:p w14:paraId="7B94B820" w14:textId="002126F4" w:rsidR="00C11C3C" w:rsidRPr="00736318" w:rsidRDefault="00736318" w:rsidP="00736318">
      <w:pPr>
        <w:spacing w:line="360" w:lineRule="auto"/>
        <w:jc w:val="both"/>
        <w:rPr>
          <w:rFonts w:ascii="Arial" w:hAnsi="Arial" w:cs="Arial"/>
          <w:sz w:val="24"/>
          <w:szCs w:val="24"/>
        </w:rPr>
      </w:pPr>
      <w:r w:rsidRPr="00DD09BC">
        <w:rPr>
          <w:rFonts w:ascii="Arial" w:hAnsi="Arial" w:cs="Arial"/>
          <w:sz w:val="24"/>
          <w:szCs w:val="24"/>
        </w:rPr>
        <w:t>[22]</w:t>
      </w:r>
      <w:r w:rsidRPr="00DD09BC">
        <w:rPr>
          <w:rFonts w:ascii="Arial" w:hAnsi="Arial" w:cs="Arial"/>
          <w:sz w:val="24"/>
          <w:szCs w:val="24"/>
        </w:rPr>
        <w:tab/>
      </w:r>
      <w:r w:rsidR="002B1B55" w:rsidRPr="00736318">
        <w:rPr>
          <w:rFonts w:ascii="Arial" w:hAnsi="Arial" w:cs="Arial"/>
          <w:sz w:val="24"/>
          <w:szCs w:val="24"/>
        </w:rPr>
        <w:t xml:space="preserve">The applicant’s delivery of its supplementary </w:t>
      </w:r>
      <w:r w:rsidR="000930FD" w:rsidRPr="00736318">
        <w:rPr>
          <w:rFonts w:ascii="Arial" w:hAnsi="Arial" w:cs="Arial"/>
          <w:sz w:val="24"/>
          <w:szCs w:val="24"/>
        </w:rPr>
        <w:t>affidavit</w:t>
      </w:r>
      <w:r w:rsidR="002B1B55" w:rsidRPr="00736318">
        <w:rPr>
          <w:rFonts w:ascii="Arial" w:hAnsi="Arial" w:cs="Arial"/>
          <w:sz w:val="24"/>
          <w:szCs w:val="24"/>
        </w:rPr>
        <w:t xml:space="preserve"> prompted the </w:t>
      </w:r>
      <w:r w:rsidR="00C11C3C" w:rsidRPr="00736318">
        <w:rPr>
          <w:rFonts w:ascii="Arial" w:hAnsi="Arial" w:cs="Arial"/>
          <w:sz w:val="24"/>
          <w:szCs w:val="24"/>
        </w:rPr>
        <w:t>swift delivery of a pair of interlocutory applications. These form the focus of the present matter and are described below.</w:t>
      </w:r>
    </w:p>
    <w:p w14:paraId="3DECAA9D" w14:textId="77777777" w:rsidR="00B64B6A" w:rsidRDefault="00B64B6A" w:rsidP="00DD09BC">
      <w:pPr>
        <w:spacing w:line="360" w:lineRule="auto"/>
        <w:jc w:val="both"/>
        <w:rPr>
          <w:rFonts w:ascii="Arial" w:hAnsi="Arial" w:cs="Arial"/>
          <w:i/>
          <w:iCs/>
          <w:sz w:val="24"/>
          <w:szCs w:val="24"/>
        </w:rPr>
      </w:pPr>
    </w:p>
    <w:p w14:paraId="2F173C90" w14:textId="14EC079C" w:rsidR="00C11C3C" w:rsidRPr="00416616" w:rsidRDefault="00416616" w:rsidP="00DD09BC">
      <w:pPr>
        <w:spacing w:line="360" w:lineRule="auto"/>
        <w:jc w:val="both"/>
        <w:rPr>
          <w:rFonts w:ascii="Arial" w:hAnsi="Arial" w:cs="Arial"/>
          <w:i/>
          <w:iCs/>
          <w:sz w:val="24"/>
          <w:szCs w:val="24"/>
        </w:rPr>
      </w:pPr>
      <w:r w:rsidRPr="00416616">
        <w:rPr>
          <w:rFonts w:ascii="Arial" w:hAnsi="Arial" w:cs="Arial"/>
          <w:i/>
          <w:iCs/>
          <w:sz w:val="24"/>
          <w:szCs w:val="24"/>
        </w:rPr>
        <w:t>Respondent’s application to strike out</w:t>
      </w:r>
    </w:p>
    <w:p w14:paraId="147F733E" w14:textId="615FEEA2"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416616" w:rsidRPr="00736318">
        <w:rPr>
          <w:rFonts w:ascii="Arial" w:hAnsi="Arial" w:cs="Arial"/>
          <w:sz w:val="24"/>
          <w:szCs w:val="24"/>
        </w:rPr>
        <w:t>T</w:t>
      </w:r>
      <w:r w:rsidR="00267179" w:rsidRPr="00736318">
        <w:rPr>
          <w:rFonts w:ascii="Arial" w:hAnsi="Arial" w:cs="Arial"/>
          <w:sz w:val="24"/>
          <w:szCs w:val="24"/>
        </w:rPr>
        <w:t xml:space="preserve">he </w:t>
      </w:r>
      <w:r w:rsidR="005F71D5" w:rsidRPr="00736318">
        <w:rPr>
          <w:rFonts w:ascii="Arial" w:hAnsi="Arial" w:cs="Arial"/>
          <w:sz w:val="24"/>
          <w:szCs w:val="24"/>
        </w:rPr>
        <w:t>respondent served</w:t>
      </w:r>
      <w:r w:rsidR="00416616" w:rsidRPr="00736318">
        <w:rPr>
          <w:rFonts w:ascii="Arial" w:hAnsi="Arial" w:cs="Arial"/>
          <w:sz w:val="24"/>
          <w:szCs w:val="24"/>
        </w:rPr>
        <w:t xml:space="preserve"> </w:t>
      </w:r>
      <w:r w:rsidR="00927DF8" w:rsidRPr="00736318">
        <w:rPr>
          <w:rFonts w:ascii="Arial" w:hAnsi="Arial" w:cs="Arial"/>
          <w:sz w:val="24"/>
          <w:szCs w:val="24"/>
        </w:rPr>
        <w:t>an application to strike</w:t>
      </w:r>
      <w:r w:rsidR="006E7E30" w:rsidRPr="00736318">
        <w:rPr>
          <w:rFonts w:ascii="Arial" w:hAnsi="Arial" w:cs="Arial"/>
          <w:sz w:val="24"/>
          <w:szCs w:val="24"/>
        </w:rPr>
        <w:t xml:space="preserve"> out</w:t>
      </w:r>
      <w:r w:rsidR="00416616" w:rsidRPr="00736318">
        <w:rPr>
          <w:rFonts w:ascii="Arial" w:hAnsi="Arial" w:cs="Arial"/>
          <w:sz w:val="24"/>
          <w:szCs w:val="24"/>
        </w:rPr>
        <w:t xml:space="preserve"> on 18 July 2023</w:t>
      </w:r>
      <w:r w:rsidR="004507BF" w:rsidRPr="00736318">
        <w:rPr>
          <w:rFonts w:ascii="Arial" w:hAnsi="Arial" w:cs="Arial"/>
          <w:sz w:val="24"/>
          <w:szCs w:val="24"/>
        </w:rPr>
        <w:t xml:space="preserve">. It </w:t>
      </w:r>
      <w:r w:rsidR="00FC45AF" w:rsidRPr="00736318">
        <w:rPr>
          <w:rFonts w:ascii="Arial" w:hAnsi="Arial" w:cs="Arial"/>
          <w:sz w:val="24"/>
          <w:szCs w:val="24"/>
        </w:rPr>
        <w:t xml:space="preserve">argues that </w:t>
      </w:r>
      <w:r w:rsidR="008634D0" w:rsidRPr="00736318">
        <w:rPr>
          <w:rFonts w:ascii="Arial" w:hAnsi="Arial" w:cs="Arial"/>
          <w:sz w:val="24"/>
          <w:szCs w:val="24"/>
        </w:rPr>
        <w:t xml:space="preserve">the applicant delivered its </w:t>
      </w:r>
      <w:r w:rsidR="009D3718" w:rsidRPr="00736318">
        <w:rPr>
          <w:rFonts w:ascii="Arial" w:hAnsi="Arial" w:cs="Arial"/>
          <w:sz w:val="24"/>
          <w:szCs w:val="24"/>
        </w:rPr>
        <w:t xml:space="preserve">supplementary </w:t>
      </w:r>
      <w:r w:rsidR="000930FD" w:rsidRPr="00736318">
        <w:rPr>
          <w:rFonts w:ascii="Arial" w:hAnsi="Arial" w:cs="Arial"/>
          <w:sz w:val="24"/>
          <w:szCs w:val="24"/>
        </w:rPr>
        <w:t>affidavit</w:t>
      </w:r>
      <w:r w:rsidR="00E53AD5" w:rsidRPr="00736318">
        <w:rPr>
          <w:rFonts w:ascii="Arial" w:hAnsi="Arial" w:cs="Arial"/>
          <w:sz w:val="24"/>
          <w:szCs w:val="24"/>
        </w:rPr>
        <w:t xml:space="preserve"> without complying with the </w:t>
      </w:r>
      <w:r w:rsidR="00E50B57" w:rsidRPr="00736318">
        <w:rPr>
          <w:rFonts w:ascii="Arial" w:hAnsi="Arial" w:cs="Arial"/>
          <w:sz w:val="24"/>
          <w:szCs w:val="24"/>
        </w:rPr>
        <w:t xml:space="preserve">order of 29 November 2022 and without </w:t>
      </w:r>
      <w:r w:rsidR="00093CC7" w:rsidRPr="00736318">
        <w:rPr>
          <w:rFonts w:ascii="Arial" w:hAnsi="Arial" w:cs="Arial"/>
          <w:sz w:val="24"/>
          <w:szCs w:val="24"/>
        </w:rPr>
        <w:t xml:space="preserve">obtaining further </w:t>
      </w:r>
      <w:r w:rsidR="00E53AD5" w:rsidRPr="00736318">
        <w:rPr>
          <w:rFonts w:ascii="Arial" w:hAnsi="Arial" w:cs="Arial"/>
          <w:sz w:val="24"/>
          <w:szCs w:val="24"/>
        </w:rPr>
        <w:t xml:space="preserve">leave </w:t>
      </w:r>
      <w:r w:rsidR="00093CC7" w:rsidRPr="00736318">
        <w:rPr>
          <w:rFonts w:ascii="Arial" w:hAnsi="Arial" w:cs="Arial"/>
          <w:sz w:val="24"/>
          <w:szCs w:val="24"/>
        </w:rPr>
        <w:t xml:space="preserve">from </w:t>
      </w:r>
      <w:r w:rsidR="00E53AD5" w:rsidRPr="00736318">
        <w:rPr>
          <w:rFonts w:ascii="Arial" w:hAnsi="Arial" w:cs="Arial"/>
          <w:sz w:val="24"/>
          <w:szCs w:val="24"/>
        </w:rPr>
        <w:t>the c</w:t>
      </w:r>
      <w:r w:rsidR="00876E89" w:rsidRPr="00736318">
        <w:rPr>
          <w:rFonts w:ascii="Arial" w:hAnsi="Arial" w:cs="Arial"/>
          <w:sz w:val="24"/>
          <w:szCs w:val="24"/>
        </w:rPr>
        <w:t xml:space="preserve">ourt. The respondent contends that the applicant has not </w:t>
      </w:r>
      <w:r w:rsidR="006F50AB" w:rsidRPr="00736318">
        <w:rPr>
          <w:rFonts w:ascii="Arial" w:hAnsi="Arial" w:cs="Arial"/>
          <w:sz w:val="24"/>
          <w:szCs w:val="24"/>
        </w:rPr>
        <w:t>identified which portions of its founding affidavit it seeks to supplement</w:t>
      </w:r>
      <w:r w:rsidR="0031245A" w:rsidRPr="00736318">
        <w:rPr>
          <w:rFonts w:ascii="Arial" w:hAnsi="Arial" w:cs="Arial"/>
          <w:sz w:val="24"/>
          <w:szCs w:val="24"/>
        </w:rPr>
        <w:t xml:space="preserve"> and </w:t>
      </w:r>
      <w:r w:rsidR="009C1B46" w:rsidRPr="00736318">
        <w:rPr>
          <w:rFonts w:ascii="Arial" w:hAnsi="Arial" w:cs="Arial"/>
          <w:sz w:val="24"/>
          <w:szCs w:val="24"/>
        </w:rPr>
        <w:t xml:space="preserve">has </w:t>
      </w:r>
      <w:r w:rsidR="0031245A" w:rsidRPr="00736318">
        <w:rPr>
          <w:rFonts w:ascii="Arial" w:hAnsi="Arial" w:cs="Arial"/>
          <w:sz w:val="24"/>
          <w:szCs w:val="24"/>
        </w:rPr>
        <w:t xml:space="preserve">never afforded the respondent an opportunity to </w:t>
      </w:r>
      <w:r w:rsidR="00F7645A" w:rsidRPr="00736318">
        <w:rPr>
          <w:rFonts w:ascii="Arial" w:hAnsi="Arial" w:cs="Arial"/>
          <w:sz w:val="24"/>
          <w:szCs w:val="24"/>
        </w:rPr>
        <w:t xml:space="preserve">consider </w:t>
      </w:r>
      <w:r w:rsidR="0092041B" w:rsidRPr="00736318">
        <w:rPr>
          <w:rFonts w:ascii="Arial" w:hAnsi="Arial" w:cs="Arial"/>
          <w:sz w:val="24"/>
          <w:szCs w:val="24"/>
        </w:rPr>
        <w:t xml:space="preserve">and oppose </w:t>
      </w:r>
      <w:r w:rsidR="00F7645A" w:rsidRPr="00736318">
        <w:rPr>
          <w:rFonts w:ascii="Arial" w:hAnsi="Arial" w:cs="Arial"/>
          <w:sz w:val="24"/>
          <w:szCs w:val="24"/>
        </w:rPr>
        <w:t xml:space="preserve">the grounds upon which it sought to </w:t>
      </w:r>
      <w:r w:rsidR="0094389E" w:rsidRPr="00736318">
        <w:rPr>
          <w:rFonts w:ascii="Arial" w:hAnsi="Arial" w:cs="Arial"/>
          <w:sz w:val="24"/>
          <w:szCs w:val="24"/>
        </w:rPr>
        <w:t>do so</w:t>
      </w:r>
      <w:r w:rsidR="000F5908" w:rsidRPr="00736318">
        <w:rPr>
          <w:rFonts w:ascii="Arial" w:hAnsi="Arial" w:cs="Arial"/>
          <w:sz w:val="24"/>
          <w:szCs w:val="24"/>
        </w:rPr>
        <w:t xml:space="preserve">. The principle of </w:t>
      </w:r>
      <w:r w:rsidR="000F5908" w:rsidRPr="00736318">
        <w:rPr>
          <w:rFonts w:ascii="Arial" w:hAnsi="Arial" w:cs="Arial"/>
          <w:i/>
          <w:iCs/>
          <w:sz w:val="24"/>
          <w:szCs w:val="24"/>
        </w:rPr>
        <w:t>audi alter</w:t>
      </w:r>
      <w:r w:rsidR="006209F6" w:rsidRPr="00736318">
        <w:rPr>
          <w:rFonts w:ascii="Arial" w:hAnsi="Arial" w:cs="Arial"/>
          <w:i/>
          <w:iCs/>
          <w:sz w:val="24"/>
          <w:szCs w:val="24"/>
        </w:rPr>
        <w:t>a</w:t>
      </w:r>
      <w:r w:rsidR="000F5908" w:rsidRPr="00736318">
        <w:rPr>
          <w:rFonts w:ascii="Arial" w:hAnsi="Arial" w:cs="Arial"/>
          <w:i/>
          <w:iCs/>
          <w:sz w:val="24"/>
          <w:szCs w:val="24"/>
        </w:rPr>
        <w:t>m partem</w:t>
      </w:r>
      <w:r w:rsidR="000F5908" w:rsidRPr="00736318">
        <w:rPr>
          <w:rFonts w:ascii="Arial" w:hAnsi="Arial" w:cs="Arial"/>
          <w:sz w:val="24"/>
          <w:szCs w:val="24"/>
        </w:rPr>
        <w:t xml:space="preserve"> ha</w:t>
      </w:r>
      <w:r w:rsidR="003F3217" w:rsidRPr="00736318">
        <w:rPr>
          <w:rFonts w:ascii="Arial" w:hAnsi="Arial" w:cs="Arial"/>
          <w:sz w:val="24"/>
          <w:szCs w:val="24"/>
        </w:rPr>
        <w:t>s</w:t>
      </w:r>
      <w:r w:rsidR="000F5908" w:rsidRPr="00736318">
        <w:rPr>
          <w:rFonts w:ascii="Arial" w:hAnsi="Arial" w:cs="Arial"/>
          <w:sz w:val="24"/>
          <w:szCs w:val="24"/>
        </w:rPr>
        <w:t xml:space="preserve"> been </w:t>
      </w:r>
      <w:r w:rsidR="001513FB" w:rsidRPr="00736318">
        <w:rPr>
          <w:rFonts w:ascii="Arial" w:hAnsi="Arial" w:cs="Arial"/>
          <w:sz w:val="24"/>
          <w:szCs w:val="24"/>
        </w:rPr>
        <w:t>flout</w:t>
      </w:r>
      <w:r w:rsidR="000F5908" w:rsidRPr="00736318">
        <w:rPr>
          <w:rFonts w:ascii="Arial" w:hAnsi="Arial" w:cs="Arial"/>
          <w:sz w:val="24"/>
          <w:szCs w:val="24"/>
        </w:rPr>
        <w:t>ed.</w:t>
      </w:r>
      <w:r w:rsidR="007069FB" w:rsidRPr="00736318">
        <w:rPr>
          <w:rFonts w:ascii="Arial" w:hAnsi="Arial" w:cs="Arial"/>
          <w:sz w:val="24"/>
          <w:szCs w:val="24"/>
        </w:rPr>
        <w:t xml:space="preserve"> The respondent also asserts that the applicant</w:t>
      </w:r>
      <w:r w:rsidR="007E0F6B" w:rsidRPr="00736318">
        <w:rPr>
          <w:rFonts w:ascii="Arial" w:hAnsi="Arial" w:cs="Arial"/>
          <w:sz w:val="24"/>
          <w:szCs w:val="24"/>
        </w:rPr>
        <w:t xml:space="preserve"> has failed to set out the </w:t>
      </w:r>
      <w:r w:rsidR="00E4555F" w:rsidRPr="00736318">
        <w:rPr>
          <w:rFonts w:ascii="Arial" w:hAnsi="Arial" w:cs="Arial"/>
          <w:sz w:val="24"/>
          <w:szCs w:val="24"/>
        </w:rPr>
        <w:t xml:space="preserve">factual </w:t>
      </w:r>
      <w:r w:rsidR="007E0F6B" w:rsidRPr="00736318">
        <w:rPr>
          <w:rFonts w:ascii="Arial" w:hAnsi="Arial" w:cs="Arial"/>
          <w:sz w:val="24"/>
          <w:szCs w:val="24"/>
        </w:rPr>
        <w:t xml:space="preserve">basis upon which to materially alter or supplement the founding affidavit, pointing out, too, that the deponent </w:t>
      </w:r>
      <w:r w:rsidR="0088583E" w:rsidRPr="00736318">
        <w:rPr>
          <w:rFonts w:ascii="Arial" w:hAnsi="Arial" w:cs="Arial"/>
          <w:sz w:val="24"/>
          <w:szCs w:val="24"/>
        </w:rPr>
        <w:t>t</w:t>
      </w:r>
      <w:r w:rsidR="00F81D98" w:rsidRPr="00736318">
        <w:rPr>
          <w:rFonts w:ascii="Arial" w:hAnsi="Arial" w:cs="Arial"/>
          <w:sz w:val="24"/>
          <w:szCs w:val="24"/>
        </w:rPr>
        <w:t xml:space="preserve">o </w:t>
      </w:r>
      <w:r w:rsidR="007E0F6B" w:rsidRPr="00736318">
        <w:rPr>
          <w:rFonts w:ascii="Arial" w:hAnsi="Arial" w:cs="Arial"/>
          <w:sz w:val="24"/>
          <w:szCs w:val="24"/>
        </w:rPr>
        <w:t xml:space="preserve">the supplementary </w:t>
      </w:r>
      <w:r w:rsidR="00D61F67" w:rsidRPr="00736318">
        <w:rPr>
          <w:rFonts w:ascii="Arial" w:hAnsi="Arial" w:cs="Arial"/>
          <w:sz w:val="24"/>
          <w:szCs w:val="24"/>
        </w:rPr>
        <w:t>affidavit</w:t>
      </w:r>
      <w:r w:rsidR="007E0F6B" w:rsidRPr="00736318">
        <w:rPr>
          <w:rFonts w:ascii="Arial" w:hAnsi="Arial" w:cs="Arial"/>
          <w:sz w:val="24"/>
          <w:szCs w:val="24"/>
        </w:rPr>
        <w:t xml:space="preserve"> is </w:t>
      </w:r>
      <w:r w:rsidR="00445329" w:rsidRPr="00736318">
        <w:rPr>
          <w:rFonts w:ascii="Arial" w:hAnsi="Arial" w:cs="Arial"/>
          <w:sz w:val="24"/>
          <w:szCs w:val="24"/>
        </w:rPr>
        <w:t>not the same person.</w:t>
      </w:r>
      <w:r w:rsidR="002F220F" w:rsidRPr="00736318">
        <w:rPr>
          <w:rFonts w:ascii="Arial" w:hAnsi="Arial" w:cs="Arial"/>
          <w:sz w:val="24"/>
          <w:szCs w:val="24"/>
        </w:rPr>
        <w:t xml:space="preserve"> </w:t>
      </w:r>
    </w:p>
    <w:p w14:paraId="34C46B02" w14:textId="77777777" w:rsidR="00DD09BC" w:rsidRDefault="00DD09BC" w:rsidP="00DD09BC">
      <w:pPr>
        <w:pStyle w:val="ListParagraph"/>
        <w:spacing w:line="360" w:lineRule="auto"/>
        <w:ind w:left="0"/>
        <w:jc w:val="both"/>
        <w:rPr>
          <w:rFonts w:ascii="Arial" w:hAnsi="Arial" w:cs="Arial"/>
          <w:sz w:val="24"/>
          <w:szCs w:val="24"/>
        </w:rPr>
      </w:pPr>
    </w:p>
    <w:p w14:paraId="2498CED6" w14:textId="43F54C4F" w:rsidR="00DC5245" w:rsidRPr="00736318" w:rsidRDefault="00736318" w:rsidP="00736318">
      <w:pPr>
        <w:spacing w:line="360" w:lineRule="auto"/>
        <w:jc w:val="both"/>
        <w:rPr>
          <w:rFonts w:ascii="Arial" w:hAnsi="Arial" w:cs="Arial"/>
          <w:sz w:val="24"/>
          <w:szCs w:val="24"/>
        </w:rPr>
      </w:pPr>
      <w:r w:rsidRPr="00DD09BC">
        <w:rPr>
          <w:rFonts w:ascii="Arial" w:hAnsi="Arial" w:cs="Arial"/>
          <w:sz w:val="24"/>
          <w:szCs w:val="24"/>
        </w:rPr>
        <w:t>[24]</w:t>
      </w:r>
      <w:r w:rsidRPr="00DD09BC">
        <w:rPr>
          <w:rFonts w:ascii="Arial" w:hAnsi="Arial" w:cs="Arial"/>
          <w:sz w:val="24"/>
          <w:szCs w:val="24"/>
        </w:rPr>
        <w:tab/>
      </w:r>
      <w:r w:rsidR="00DC5245" w:rsidRPr="00736318">
        <w:rPr>
          <w:rFonts w:ascii="Arial" w:hAnsi="Arial" w:cs="Arial"/>
          <w:sz w:val="24"/>
          <w:szCs w:val="24"/>
        </w:rPr>
        <w:t>I</w:t>
      </w:r>
      <w:r w:rsidR="00B55DFF" w:rsidRPr="00736318">
        <w:rPr>
          <w:rFonts w:ascii="Arial" w:hAnsi="Arial" w:cs="Arial"/>
          <w:sz w:val="24"/>
          <w:szCs w:val="24"/>
        </w:rPr>
        <w:t>f</w:t>
      </w:r>
      <w:r w:rsidR="00DC5245" w:rsidRPr="00736318">
        <w:rPr>
          <w:rFonts w:ascii="Arial" w:hAnsi="Arial" w:cs="Arial"/>
          <w:sz w:val="24"/>
          <w:szCs w:val="24"/>
        </w:rPr>
        <w:t xml:space="preserve"> the supplementary </w:t>
      </w:r>
      <w:r w:rsidR="00D61F67" w:rsidRPr="00736318">
        <w:rPr>
          <w:rFonts w:ascii="Arial" w:hAnsi="Arial" w:cs="Arial"/>
          <w:sz w:val="24"/>
          <w:szCs w:val="24"/>
        </w:rPr>
        <w:t>affidavit is</w:t>
      </w:r>
      <w:r w:rsidR="00DC5245" w:rsidRPr="00736318">
        <w:rPr>
          <w:rFonts w:ascii="Arial" w:hAnsi="Arial" w:cs="Arial"/>
          <w:sz w:val="24"/>
          <w:szCs w:val="24"/>
        </w:rPr>
        <w:t xml:space="preserve"> not </w:t>
      </w:r>
      <w:r w:rsidR="00B55DFF" w:rsidRPr="00736318">
        <w:rPr>
          <w:rFonts w:ascii="Arial" w:hAnsi="Arial" w:cs="Arial"/>
          <w:sz w:val="24"/>
          <w:szCs w:val="24"/>
        </w:rPr>
        <w:t xml:space="preserve">struck out or set aside, then the respondent </w:t>
      </w:r>
      <w:r w:rsidR="00B855F1" w:rsidRPr="00736318">
        <w:rPr>
          <w:rFonts w:ascii="Arial" w:hAnsi="Arial" w:cs="Arial"/>
          <w:sz w:val="24"/>
          <w:szCs w:val="24"/>
        </w:rPr>
        <w:t>applie</w:t>
      </w:r>
      <w:r w:rsidR="00DD3E67" w:rsidRPr="00736318">
        <w:rPr>
          <w:rFonts w:ascii="Arial" w:hAnsi="Arial" w:cs="Arial"/>
          <w:sz w:val="24"/>
          <w:szCs w:val="24"/>
        </w:rPr>
        <w:t>s</w:t>
      </w:r>
      <w:r w:rsidR="00B855F1" w:rsidRPr="00736318">
        <w:rPr>
          <w:rFonts w:ascii="Arial" w:hAnsi="Arial" w:cs="Arial"/>
          <w:sz w:val="24"/>
          <w:szCs w:val="24"/>
        </w:rPr>
        <w:t xml:space="preserve"> for the striking out of specific </w:t>
      </w:r>
      <w:r w:rsidR="00FF6DBE" w:rsidRPr="00736318">
        <w:rPr>
          <w:rFonts w:ascii="Arial" w:hAnsi="Arial" w:cs="Arial"/>
          <w:sz w:val="24"/>
          <w:szCs w:val="24"/>
        </w:rPr>
        <w:t xml:space="preserve">paragraphs. The </w:t>
      </w:r>
      <w:r w:rsidR="00DD3E67" w:rsidRPr="00736318">
        <w:rPr>
          <w:rFonts w:ascii="Arial" w:hAnsi="Arial" w:cs="Arial"/>
          <w:sz w:val="24"/>
          <w:szCs w:val="24"/>
        </w:rPr>
        <w:t xml:space="preserve">grounds are set out in the application. These include </w:t>
      </w:r>
      <w:r w:rsidR="008E0B95" w:rsidRPr="00736318">
        <w:rPr>
          <w:rFonts w:ascii="Arial" w:hAnsi="Arial" w:cs="Arial"/>
          <w:sz w:val="24"/>
          <w:szCs w:val="24"/>
        </w:rPr>
        <w:t>the applicant’s alleged introduction of new matter</w:t>
      </w:r>
      <w:r w:rsidR="00AA5B69" w:rsidRPr="00736318">
        <w:rPr>
          <w:rFonts w:ascii="Arial" w:hAnsi="Arial" w:cs="Arial"/>
          <w:sz w:val="24"/>
          <w:szCs w:val="24"/>
        </w:rPr>
        <w:t xml:space="preserve"> </w:t>
      </w:r>
      <w:r w:rsidR="00243AD0" w:rsidRPr="00736318">
        <w:rPr>
          <w:rFonts w:ascii="Arial" w:hAnsi="Arial" w:cs="Arial"/>
          <w:sz w:val="24"/>
          <w:szCs w:val="24"/>
        </w:rPr>
        <w:t>and</w:t>
      </w:r>
      <w:r w:rsidR="00AA5B69" w:rsidRPr="00736318">
        <w:rPr>
          <w:rFonts w:ascii="Arial" w:hAnsi="Arial" w:cs="Arial"/>
          <w:sz w:val="24"/>
          <w:szCs w:val="24"/>
        </w:rPr>
        <w:t xml:space="preserve"> matter that is </w:t>
      </w:r>
      <w:r w:rsidR="00243AD0" w:rsidRPr="00736318">
        <w:rPr>
          <w:rFonts w:ascii="Arial" w:hAnsi="Arial" w:cs="Arial"/>
          <w:sz w:val="24"/>
          <w:szCs w:val="24"/>
        </w:rPr>
        <w:t>scandalous, argumentative</w:t>
      </w:r>
      <w:r w:rsidR="008D0EE3" w:rsidRPr="00736318">
        <w:rPr>
          <w:rFonts w:ascii="Arial" w:hAnsi="Arial" w:cs="Arial"/>
          <w:sz w:val="24"/>
          <w:szCs w:val="24"/>
        </w:rPr>
        <w:t>, irrelevant, or hearsay.</w:t>
      </w:r>
    </w:p>
    <w:p w14:paraId="3ED87979" w14:textId="77777777" w:rsidR="00124F0F" w:rsidRDefault="00124F0F" w:rsidP="00382E24">
      <w:pPr>
        <w:spacing w:line="360" w:lineRule="auto"/>
        <w:rPr>
          <w:rFonts w:ascii="Arial" w:hAnsi="Arial" w:cs="Arial"/>
          <w:sz w:val="24"/>
          <w:szCs w:val="24"/>
        </w:rPr>
      </w:pPr>
    </w:p>
    <w:p w14:paraId="7C121546" w14:textId="71FF91ED" w:rsidR="00124F0F" w:rsidRPr="006F5B04" w:rsidRDefault="00124F0F" w:rsidP="00DD09BC">
      <w:pPr>
        <w:spacing w:line="360" w:lineRule="auto"/>
        <w:jc w:val="both"/>
        <w:rPr>
          <w:rFonts w:ascii="Arial" w:hAnsi="Arial" w:cs="Arial"/>
          <w:i/>
          <w:iCs/>
          <w:sz w:val="24"/>
          <w:szCs w:val="24"/>
        </w:rPr>
      </w:pPr>
      <w:r w:rsidRPr="006F5B04">
        <w:rPr>
          <w:rFonts w:ascii="Arial" w:hAnsi="Arial" w:cs="Arial"/>
          <w:i/>
          <w:iCs/>
          <w:sz w:val="24"/>
          <w:szCs w:val="24"/>
        </w:rPr>
        <w:t xml:space="preserve">Applicant’s </w:t>
      </w:r>
      <w:r w:rsidR="006F5B04" w:rsidRPr="006F5B04">
        <w:rPr>
          <w:rFonts w:ascii="Arial" w:hAnsi="Arial" w:cs="Arial"/>
          <w:i/>
          <w:iCs/>
          <w:sz w:val="24"/>
          <w:szCs w:val="24"/>
        </w:rPr>
        <w:t>application for, inter alia, condonation</w:t>
      </w:r>
    </w:p>
    <w:p w14:paraId="0EF7B4CA" w14:textId="77777777" w:rsidR="006F5B04" w:rsidRDefault="006F5B04" w:rsidP="00382E24">
      <w:pPr>
        <w:spacing w:line="360" w:lineRule="auto"/>
        <w:rPr>
          <w:rFonts w:ascii="Arial" w:hAnsi="Arial" w:cs="Arial"/>
          <w:sz w:val="24"/>
          <w:szCs w:val="24"/>
        </w:rPr>
      </w:pPr>
    </w:p>
    <w:p w14:paraId="1AA21C5C" w14:textId="7E9C8750" w:rsidR="00230E07" w:rsidRPr="00736318" w:rsidRDefault="00736318" w:rsidP="00736318">
      <w:pPr>
        <w:spacing w:line="360" w:lineRule="auto"/>
        <w:jc w:val="both"/>
        <w:rPr>
          <w:rFonts w:ascii="Arial" w:hAnsi="Arial" w:cs="Arial"/>
          <w:sz w:val="24"/>
          <w:szCs w:val="24"/>
        </w:rPr>
      </w:pPr>
      <w:r w:rsidRPr="00DD09BC">
        <w:rPr>
          <w:rFonts w:ascii="Arial" w:hAnsi="Arial" w:cs="Arial"/>
          <w:sz w:val="24"/>
          <w:szCs w:val="24"/>
        </w:rPr>
        <w:t>[25]</w:t>
      </w:r>
      <w:r w:rsidRPr="00DD09BC">
        <w:rPr>
          <w:rFonts w:ascii="Arial" w:hAnsi="Arial" w:cs="Arial"/>
          <w:sz w:val="24"/>
          <w:szCs w:val="24"/>
        </w:rPr>
        <w:tab/>
      </w:r>
      <w:r w:rsidR="00FA0D8D" w:rsidRPr="00736318">
        <w:rPr>
          <w:rFonts w:ascii="Arial" w:hAnsi="Arial" w:cs="Arial"/>
          <w:sz w:val="24"/>
          <w:szCs w:val="24"/>
        </w:rPr>
        <w:t>T</w:t>
      </w:r>
      <w:r w:rsidR="009C1B46" w:rsidRPr="00736318">
        <w:rPr>
          <w:rFonts w:ascii="Arial" w:hAnsi="Arial" w:cs="Arial"/>
          <w:sz w:val="24"/>
          <w:szCs w:val="24"/>
        </w:rPr>
        <w:t xml:space="preserve">he </w:t>
      </w:r>
      <w:r w:rsidR="00FA0D8D" w:rsidRPr="00736318">
        <w:rPr>
          <w:rFonts w:ascii="Arial" w:hAnsi="Arial" w:cs="Arial"/>
          <w:sz w:val="24"/>
          <w:szCs w:val="24"/>
        </w:rPr>
        <w:t xml:space="preserve">applicant </w:t>
      </w:r>
      <w:r w:rsidR="007F1107" w:rsidRPr="00736318">
        <w:rPr>
          <w:rFonts w:ascii="Arial" w:hAnsi="Arial" w:cs="Arial"/>
          <w:sz w:val="24"/>
          <w:szCs w:val="24"/>
        </w:rPr>
        <w:t>served</w:t>
      </w:r>
      <w:r w:rsidR="00AA6B0C" w:rsidRPr="00736318">
        <w:rPr>
          <w:rFonts w:ascii="Arial" w:hAnsi="Arial" w:cs="Arial"/>
          <w:sz w:val="24"/>
          <w:szCs w:val="24"/>
        </w:rPr>
        <w:t>, on 21 July 2023,</w:t>
      </w:r>
      <w:r w:rsidR="007F1107" w:rsidRPr="00736318">
        <w:rPr>
          <w:rFonts w:ascii="Arial" w:hAnsi="Arial" w:cs="Arial"/>
          <w:sz w:val="24"/>
          <w:szCs w:val="24"/>
        </w:rPr>
        <w:t xml:space="preserve"> </w:t>
      </w:r>
      <w:r w:rsidR="00AA6B0C" w:rsidRPr="00736318">
        <w:rPr>
          <w:rFonts w:ascii="Arial" w:hAnsi="Arial" w:cs="Arial"/>
          <w:sz w:val="24"/>
          <w:szCs w:val="24"/>
        </w:rPr>
        <w:t xml:space="preserve">an </w:t>
      </w:r>
      <w:r w:rsidR="007F1107" w:rsidRPr="00736318">
        <w:rPr>
          <w:rFonts w:ascii="Arial" w:hAnsi="Arial" w:cs="Arial"/>
          <w:sz w:val="24"/>
          <w:szCs w:val="24"/>
        </w:rPr>
        <w:t>application for condonation</w:t>
      </w:r>
      <w:r w:rsidR="002D42A1" w:rsidRPr="00736318">
        <w:rPr>
          <w:rFonts w:ascii="Arial" w:hAnsi="Arial" w:cs="Arial"/>
          <w:sz w:val="24"/>
          <w:szCs w:val="24"/>
        </w:rPr>
        <w:t xml:space="preserve"> of the late delivery of </w:t>
      </w:r>
      <w:r w:rsidR="0083457D" w:rsidRPr="00736318">
        <w:rPr>
          <w:rFonts w:ascii="Arial" w:hAnsi="Arial" w:cs="Arial"/>
          <w:sz w:val="24"/>
          <w:szCs w:val="24"/>
        </w:rPr>
        <w:t xml:space="preserve">what it termed </w:t>
      </w:r>
      <w:r w:rsidR="002D42A1" w:rsidRPr="00736318">
        <w:rPr>
          <w:rFonts w:ascii="Arial" w:hAnsi="Arial" w:cs="Arial"/>
          <w:sz w:val="24"/>
          <w:szCs w:val="24"/>
        </w:rPr>
        <w:t>its replying affidavit.</w:t>
      </w:r>
      <w:r w:rsidR="00157182" w:rsidRPr="00736318">
        <w:rPr>
          <w:rFonts w:ascii="Arial" w:hAnsi="Arial" w:cs="Arial"/>
          <w:sz w:val="24"/>
          <w:szCs w:val="24"/>
        </w:rPr>
        <w:t xml:space="preserve"> </w:t>
      </w:r>
      <w:r w:rsidR="00553195" w:rsidRPr="00736318">
        <w:rPr>
          <w:rFonts w:ascii="Arial" w:hAnsi="Arial" w:cs="Arial"/>
          <w:sz w:val="24"/>
          <w:szCs w:val="24"/>
        </w:rPr>
        <w:t xml:space="preserve">It also sought </w:t>
      </w:r>
      <w:r w:rsidR="009E31DD" w:rsidRPr="00736318">
        <w:rPr>
          <w:rFonts w:ascii="Arial" w:hAnsi="Arial" w:cs="Arial"/>
          <w:sz w:val="24"/>
          <w:szCs w:val="24"/>
        </w:rPr>
        <w:t>the following relief</w:t>
      </w:r>
      <w:r w:rsidR="00281E3D" w:rsidRPr="00736318">
        <w:rPr>
          <w:rFonts w:ascii="Arial" w:hAnsi="Arial" w:cs="Arial"/>
          <w:sz w:val="24"/>
          <w:szCs w:val="24"/>
        </w:rPr>
        <w:t>:</w:t>
      </w:r>
    </w:p>
    <w:p w14:paraId="421BC57D" w14:textId="77777777" w:rsidR="005A49FC" w:rsidRDefault="005A49FC" w:rsidP="00177B67">
      <w:pPr>
        <w:spacing w:line="360" w:lineRule="auto"/>
        <w:ind w:left="720"/>
        <w:rPr>
          <w:rFonts w:ascii="Arial" w:hAnsi="Arial" w:cs="Arial"/>
          <w:sz w:val="24"/>
          <w:szCs w:val="24"/>
        </w:rPr>
      </w:pPr>
    </w:p>
    <w:p w14:paraId="5CB178F4" w14:textId="77D85AAE" w:rsidR="00281E3D" w:rsidRPr="005A49FC" w:rsidRDefault="00281E3D" w:rsidP="00DD09BC">
      <w:pPr>
        <w:spacing w:line="360" w:lineRule="auto"/>
        <w:ind w:left="720"/>
        <w:jc w:val="both"/>
        <w:rPr>
          <w:rFonts w:ascii="Arial" w:hAnsi="Arial" w:cs="Arial"/>
          <w:sz w:val="20"/>
          <w:szCs w:val="20"/>
        </w:rPr>
      </w:pPr>
      <w:r w:rsidRPr="005A49FC">
        <w:rPr>
          <w:rFonts w:ascii="Arial" w:hAnsi="Arial" w:cs="Arial"/>
          <w:sz w:val="20"/>
          <w:szCs w:val="20"/>
        </w:rPr>
        <w:t>‘(</w:t>
      </w:r>
      <w:r w:rsidR="00177B67" w:rsidRPr="005A49FC">
        <w:rPr>
          <w:rFonts w:ascii="Arial" w:hAnsi="Arial" w:cs="Arial"/>
          <w:sz w:val="20"/>
          <w:szCs w:val="20"/>
        </w:rPr>
        <w:t>t</w:t>
      </w:r>
      <w:r w:rsidRPr="005A49FC">
        <w:rPr>
          <w:rFonts w:ascii="Arial" w:hAnsi="Arial" w:cs="Arial"/>
          <w:sz w:val="20"/>
          <w:szCs w:val="20"/>
        </w:rPr>
        <w:t xml:space="preserve">o the extent necessary, the </w:t>
      </w:r>
      <w:r w:rsidR="00177B67" w:rsidRPr="005A49FC">
        <w:rPr>
          <w:rFonts w:ascii="Arial" w:hAnsi="Arial" w:cs="Arial"/>
          <w:sz w:val="20"/>
          <w:szCs w:val="20"/>
        </w:rPr>
        <w:t>a</w:t>
      </w:r>
      <w:r w:rsidR="004F474B" w:rsidRPr="005A49FC">
        <w:rPr>
          <w:rFonts w:ascii="Arial" w:hAnsi="Arial" w:cs="Arial"/>
          <w:sz w:val="20"/>
          <w:szCs w:val="20"/>
        </w:rPr>
        <w:t>pplicant not conceding that all such allegations constitute new matter)</w:t>
      </w:r>
      <w:r w:rsidR="00177B67" w:rsidRPr="005A49FC">
        <w:rPr>
          <w:rFonts w:ascii="Arial" w:hAnsi="Arial" w:cs="Arial"/>
          <w:sz w:val="20"/>
          <w:szCs w:val="20"/>
        </w:rPr>
        <w:t xml:space="preserve"> [that the] applicant is granted leave to </w:t>
      </w:r>
      <w:r w:rsidR="008231BD" w:rsidRPr="005A49FC">
        <w:rPr>
          <w:rFonts w:ascii="Arial" w:hAnsi="Arial" w:cs="Arial"/>
          <w:sz w:val="20"/>
          <w:szCs w:val="20"/>
        </w:rPr>
        <w:t xml:space="preserve">supplement the applicant’s founding affidavit in respect of any new matter that is held </w:t>
      </w:r>
      <w:r w:rsidR="007F153D" w:rsidRPr="005A49FC">
        <w:rPr>
          <w:rFonts w:ascii="Arial" w:hAnsi="Arial" w:cs="Arial"/>
          <w:sz w:val="20"/>
          <w:szCs w:val="20"/>
        </w:rPr>
        <w:t>not to be in reply to the supplementary answering affidavit of the respondent</w:t>
      </w:r>
      <w:r w:rsidR="00BD75E2" w:rsidRPr="005A49FC">
        <w:rPr>
          <w:rFonts w:ascii="Arial" w:hAnsi="Arial" w:cs="Arial"/>
          <w:sz w:val="20"/>
          <w:szCs w:val="20"/>
        </w:rPr>
        <w:t>…’</w:t>
      </w:r>
    </w:p>
    <w:p w14:paraId="08BE38FF" w14:textId="77777777" w:rsidR="005A49FC" w:rsidRDefault="005A49FC" w:rsidP="00BD75E2">
      <w:pPr>
        <w:spacing w:line="360" w:lineRule="auto"/>
        <w:rPr>
          <w:rFonts w:ascii="Arial" w:hAnsi="Arial" w:cs="Arial"/>
          <w:sz w:val="24"/>
          <w:szCs w:val="24"/>
        </w:rPr>
      </w:pPr>
    </w:p>
    <w:p w14:paraId="7E095441" w14:textId="0462C90B"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BD75E2" w:rsidRPr="00736318">
        <w:rPr>
          <w:rFonts w:ascii="Arial" w:hAnsi="Arial" w:cs="Arial"/>
          <w:sz w:val="24"/>
          <w:szCs w:val="24"/>
        </w:rPr>
        <w:t xml:space="preserve">The </w:t>
      </w:r>
      <w:r w:rsidR="005828AF" w:rsidRPr="00736318">
        <w:rPr>
          <w:rFonts w:ascii="Arial" w:hAnsi="Arial" w:cs="Arial"/>
          <w:sz w:val="24"/>
          <w:szCs w:val="24"/>
        </w:rPr>
        <w:t>relevant paragraphs</w:t>
      </w:r>
      <w:r w:rsidR="003B2825" w:rsidRPr="00736318">
        <w:rPr>
          <w:rFonts w:ascii="Arial" w:hAnsi="Arial" w:cs="Arial"/>
          <w:sz w:val="24"/>
          <w:szCs w:val="24"/>
        </w:rPr>
        <w:t xml:space="preserve"> or portions thereof, constituting possible new matter, </w:t>
      </w:r>
      <w:r w:rsidR="005A49FC" w:rsidRPr="00736318">
        <w:rPr>
          <w:rFonts w:ascii="Arial" w:hAnsi="Arial" w:cs="Arial"/>
          <w:sz w:val="24"/>
          <w:szCs w:val="24"/>
        </w:rPr>
        <w:t xml:space="preserve">are then listed thereunder. </w:t>
      </w:r>
    </w:p>
    <w:p w14:paraId="53D16355" w14:textId="77777777" w:rsidR="00DD09BC" w:rsidRDefault="00DD09BC" w:rsidP="00DD09BC">
      <w:pPr>
        <w:pStyle w:val="ListParagraph"/>
        <w:spacing w:line="360" w:lineRule="auto"/>
        <w:ind w:left="0"/>
        <w:jc w:val="both"/>
        <w:rPr>
          <w:rFonts w:ascii="Arial" w:hAnsi="Arial" w:cs="Arial"/>
          <w:sz w:val="24"/>
          <w:szCs w:val="24"/>
        </w:rPr>
      </w:pPr>
    </w:p>
    <w:p w14:paraId="396F317E" w14:textId="3A4462C1" w:rsidR="00F93EE5" w:rsidRPr="00736318" w:rsidRDefault="00736318" w:rsidP="00736318">
      <w:pPr>
        <w:spacing w:line="360" w:lineRule="auto"/>
        <w:jc w:val="both"/>
        <w:rPr>
          <w:rFonts w:ascii="Arial" w:hAnsi="Arial" w:cs="Arial"/>
          <w:sz w:val="24"/>
          <w:szCs w:val="24"/>
        </w:rPr>
      </w:pPr>
      <w:r w:rsidRPr="00DD09BC">
        <w:rPr>
          <w:rFonts w:ascii="Arial" w:hAnsi="Arial" w:cs="Arial"/>
          <w:sz w:val="24"/>
          <w:szCs w:val="24"/>
        </w:rPr>
        <w:t>[27]</w:t>
      </w:r>
      <w:r w:rsidRPr="00DD09BC">
        <w:rPr>
          <w:rFonts w:ascii="Arial" w:hAnsi="Arial" w:cs="Arial"/>
          <w:sz w:val="24"/>
          <w:szCs w:val="24"/>
        </w:rPr>
        <w:tab/>
      </w:r>
      <w:r w:rsidR="00F93EE5" w:rsidRPr="00736318">
        <w:rPr>
          <w:rFonts w:ascii="Arial" w:hAnsi="Arial" w:cs="Arial"/>
          <w:sz w:val="24"/>
          <w:szCs w:val="24"/>
        </w:rPr>
        <w:t>The applicant sought</w:t>
      </w:r>
      <w:r w:rsidR="00991BEF" w:rsidRPr="00736318">
        <w:rPr>
          <w:rFonts w:ascii="Arial" w:hAnsi="Arial" w:cs="Arial"/>
          <w:sz w:val="24"/>
          <w:szCs w:val="24"/>
        </w:rPr>
        <w:t>, too,</w:t>
      </w:r>
      <w:r w:rsidR="00F93EE5" w:rsidRPr="00736318">
        <w:rPr>
          <w:rFonts w:ascii="Arial" w:hAnsi="Arial" w:cs="Arial"/>
          <w:sz w:val="24"/>
          <w:szCs w:val="24"/>
        </w:rPr>
        <w:t xml:space="preserve"> </w:t>
      </w:r>
      <w:r w:rsidR="00383640" w:rsidRPr="00736318">
        <w:rPr>
          <w:rFonts w:ascii="Arial" w:hAnsi="Arial" w:cs="Arial"/>
          <w:sz w:val="24"/>
          <w:szCs w:val="24"/>
        </w:rPr>
        <w:t>the postponement of the hearing of the main application, pending the finalization of the matter in the Tax Appeal Court</w:t>
      </w:r>
      <w:r w:rsidR="00C36915" w:rsidRPr="00736318">
        <w:rPr>
          <w:rFonts w:ascii="Arial" w:hAnsi="Arial" w:cs="Arial"/>
          <w:sz w:val="24"/>
          <w:szCs w:val="24"/>
        </w:rPr>
        <w:t xml:space="preserve">. </w:t>
      </w:r>
      <w:r w:rsidR="00A5346F" w:rsidRPr="00736318">
        <w:rPr>
          <w:rFonts w:ascii="Arial" w:hAnsi="Arial" w:cs="Arial"/>
          <w:sz w:val="24"/>
          <w:szCs w:val="24"/>
        </w:rPr>
        <w:t>In addition, i</w:t>
      </w:r>
      <w:r w:rsidR="00C36915" w:rsidRPr="00736318">
        <w:rPr>
          <w:rFonts w:ascii="Arial" w:hAnsi="Arial" w:cs="Arial"/>
          <w:sz w:val="24"/>
          <w:szCs w:val="24"/>
        </w:rPr>
        <w:t xml:space="preserve">t sought leave </w:t>
      </w:r>
      <w:r w:rsidR="004474D6" w:rsidRPr="00736318">
        <w:rPr>
          <w:rFonts w:ascii="Arial" w:hAnsi="Arial" w:cs="Arial"/>
          <w:sz w:val="24"/>
          <w:szCs w:val="24"/>
        </w:rPr>
        <w:t xml:space="preserve">for both parties </w:t>
      </w:r>
      <w:r w:rsidR="00C36915" w:rsidRPr="00736318">
        <w:rPr>
          <w:rFonts w:ascii="Arial" w:hAnsi="Arial" w:cs="Arial"/>
          <w:sz w:val="24"/>
          <w:szCs w:val="24"/>
        </w:rPr>
        <w:t xml:space="preserve">to supplement </w:t>
      </w:r>
      <w:r w:rsidR="004474D6" w:rsidRPr="00736318">
        <w:rPr>
          <w:rFonts w:ascii="Arial" w:hAnsi="Arial" w:cs="Arial"/>
          <w:sz w:val="24"/>
          <w:szCs w:val="24"/>
        </w:rPr>
        <w:t xml:space="preserve">their papers </w:t>
      </w:r>
      <w:r w:rsidR="00935B31" w:rsidRPr="00736318">
        <w:rPr>
          <w:rFonts w:ascii="Arial" w:hAnsi="Arial" w:cs="Arial"/>
          <w:sz w:val="24"/>
          <w:szCs w:val="24"/>
        </w:rPr>
        <w:t xml:space="preserve">pursuant to the finalization of </w:t>
      </w:r>
      <w:r w:rsidR="008538DF" w:rsidRPr="00736318">
        <w:rPr>
          <w:rFonts w:ascii="Arial" w:hAnsi="Arial" w:cs="Arial"/>
          <w:sz w:val="24"/>
          <w:szCs w:val="24"/>
        </w:rPr>
        <w:t xml:space="preserve">such </w:t>
      </w:r>
      <w:r w:rsidR="00935B31" w:rsidRPr="00736318">
        <w:rPr>
          <w:rFonts w:ascii="Arial" w:hAnsi="Arial" w:cs="Arial"/>
          <w:sz w:val="24"/>
          <w:szCs w:val="24"/>
        </w:rPr>
        <w:t>appeal</w:t>
      </w:r>
      <w:r w:rsidR="008538DF" w:rsidRPr="00736318">
        <w:rPr>
          <w:rFonts w:ascii="Arial" w:hAnsi="Arial" w:cs="Arial"/>
          <w:sz w:val="24"/>
          <w:szCs w:val="24"/>
        </w:rPr>
        <w:t>.</w:t>
      </w:r>
    </w:p>
    <w:p w14:paraId="6A0F5A6B" w14:textId="77777777" w:rsidR="00D536BF" w:rsidRDefault="00D536BF" w:rsidP="00BD75E2">
      <w:pPr>
        <w:spacing w:line="360" w:lineRule="auto"/>
        <w:rPr>
          <w:rFonts w:ascii="Arial" w:hAnsi="Arial" w:cs="Arial"/>
          <w:sz w:val="24"/>
          <w:szCs w:val="24"/>
        </w:rPr>
      </w:pPr>
    </w:p>
    <w:p w14:paraId="478EE15B" w14:textId="4F682990" w:rsidR="00D536BF" w:rsidRPr="00D536BF" w:rsidRDefault="00D536BF" w:rsidP="00DD09BC">
      <w:pPr>
        <w:spacing w:line="360" w:lineRule="auto"/>
        <w:jc w:val="both"/>
        <w:rPr>
          <w:rFonts w:ascii="Arial" w:hAnsi="Arial" w:cs="Arial"/>
          <w:b/>
          <w:bCs/>
          <w:sz w:val="24"/>
          <w:szCs w:val="24"/>
        </w:rPr>
      </w:pPr>
      <w:r w:rsidRPr="00D536BF">
        <w:rPr>
          <w:rFonts w:ascii="Arial" w:hAnsi="Arial" w:cs="Arial"/>
          <w:b/>
          <w:bCs/>
          <w:sz w:val="24"/>
          <w:szCs w:val="24"/>
        </w:rPr>
        <w:t>Issues to be decided</w:t>
      </w:r>
    </w:p>
    <w:p w14:paraId="0207C0E5" w14:textId="77777777" w:rsidR="00D536BF" w:rsidRDefault="00D536BF" w:rsidP="00BD75E2">
      <w:pPr>
        <w:spacing w:line="360" w:lineRule="auto"/>
        <w:rPr>
          <w:rFonts w:ascii="Arial" w:hAnsi="Arial" w:cs="Arial"/>
          <w:sz w:val="24"/>
          <w:szCs w:val="24"/>
        </w:rPr>
      </w:pPr>
    </w:p>
    <w:p w14:paraId="0D7B0EE4" w14:textId="3C1B5716"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D536BF" w:rsidRPr="00736318">
        <w:rPr>
          <w:rFonts w:ascii="Arial" w:hAnsi="Arial" w:cs="Arial"/>
          <w:sz w:val="24"/>
          <w:szCs w:val="24"/>
        </w:rPr>
        <w:t>At</w:t>
      </w:r>
      <w:r w:rsidR="002340B5" w:rsidRPr="00736318">
        <w:rPr>
          <w:rFonts w:ascii="Arial" w:hAnsi="Arial" w:cs="Arial"/>
          <w:sz w:val="24"/>
          <w:szCs w:val="24"/>
        </w:rPr>
        <w:t xml:space="preserve"> the </w:t>
      </w:r>
      <w:r w:rsidR="00240EF2" w:rsidRPr="00736318">
        <w:rPr>
          <w:rFonts w:ascii="Arial" w:hAnsi="Arial" w:cs="Arial"/>
          <w:sz w:val="24"/>
          <w:szCs w:val="24"/>
        </w:rPr>
        <w:t xml:space="preserve">hearing of the matter there was, understandably, </w:t>
      </w:r>
      <w:r w:rsidR="00A77D2D" w:rsidRPr="00736318">
        <w:rPr>
          <w:rFonts w:ascii="Arial" w:hAnsi="Arial" w:cs="Arial"/>
          <w:sz w:val="24"/>
          <w:szCs w:val="24"/>
        </w:rPr>
        <w:t xml:space="preserve">some </w:t>
      </w:r>
      <w:r w:rsidR="00E965E5" w:rsidRPr="00736318">
        <w:rPr>
          <w:rFonts w:ascii="Arial" w:hAnsi="Arial" w:cs="Arial"/>
          <w:sz w:val="24"/>
          <w:szCs w:val="24"/>
        </w:rPr>
        <w:t>uncertainty about what was precisely before the court for determination.</w:t>
      </w:r>
      <w:r w:rsidR="00F845DC" w:rsidRPr="00736318">
        <w:rPr>
          <w:rFonts w:ascii="Arial" w:hAnsi="Arial" w:cs="Arial"/>
          <w:sz w:val="24"/>
          <w:szCs w:val="24"/>
        </w:rPr>
        <w:t xml:space="preserve"> </w:t>
      </w:r>
      <w:r w:rsidR="005117BE" w:rsidRPr="00736318">
        <w:rPr>
          <w:rFonts w:ascii="Arial" w:hAnsi="Arial" w:cs="Arial"/>
          <w:sz w:val="24"/>
          <w:szCs w:val="24"/>
        </w:rPr>
        <w:t>This was only clarified during argument.</w:t>
      </w:r>
    </w:p>
    <w:p w14:paraId="513DC38D" w14:textId="77777777" w:rsidR="00DD09BC" w:rsidRDefault="00DD09BC" w:rsidP="00DD09BC">
      <w:pPr>
        <w:pStyle w:val="ListParagraph"/>
        <w:spacing w:line="360" w:lineRule="auto"/>
        <w:ind w:left="0"/>
        <w:jc w:val="both"/>
        <w:rPr>
          <w:rFonts w:ascii="Arial" w:hAnsi="Arial" w:cs="Arial"/>
          <w:sz w:val="24"/>
          <w:szCs w:val="24"/>
        </w:rPr>
      </w:pPr>
    </w:p>
    <w:p w14:paraId="3CEC1BF2" w14:textId="1FE0C32F"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0E72FF" w:rsidRPr="00736318">
        <w:rPr>
          <w:rFonts w:ascii="Arial" w:hAnsi="Arial" w:cs="Arial"/>
          <w:sz w:val="24"/>
          <w:szCs w:val="24"/>
        </w:rPr>
        <w:t>Counsel for the respondent indicated</w:t>
      </w:r>
      <w:r w:rsidR="00267C05" w:rsidRPr="00736318">
        <w:rPr>
          <w:rFonts w:ascii="Arial" w:hAnsi="Arial" w:cs="Arial"/>
          <w:sz w:val="24"/>
          <w:szCs w:val="24"/>
        </w:rPr>
        <w:t xml:space="preserve"> </w:t>
      </w:r>
      <w:r w:rsidR="0063135C" w:rsidRPr="00736318">
        <w:rPr>
          <w:rFonts w:ascii="Arial" w:hAnsi="Arial" w:cs="Arial"/>
          <w:sz w:val="24"/>
          <w:szCs w:val="24"/>
        </w:rPr>
        <w:t xml:space="preserve">that </w:t>
      </w:r>
      <w:r w:rsidR="00F57338" w:rsidRPr="00736318">
        <w:rPr>
          <w:rFonts w:ascii="Arial" w:hAnsi="Arial" w:cs="Arial"/>
          <w:sz w:val="24"/>
          <w:szCs w:val="24"/>
        </w:rPr>
        <w:t xml:space="preserve">his client sought the relief set out in terms of the first part of </w:t>
      </w:r>
      <w:r w:rsidR="0039194E" w:rsidRPr="00736318">
        <w:rPr>
          <w:rFonts w:ascii="Arial" w:hAnsi="Arial" w:cs="Arial"/>
          <w:sz w:val="24"/>
          <w:szCs w:val="24"/>
        </w:rPr>
        <w:t xml:space="preserve">its application to strike out, viz. that the applicant’s supplementary affidavit be </w:t>
      </w:r>
      <w:r w:rsidR="00120DA2" w:rsidRPr="00736318">
        <w:rPr>
          <w:rFonts w:ascii="Arial" w:hAnsi="Arial" w:cs="Arial"/>
          <w:sz w:val="24"/>
          <w:szCs w:val="24"/>
        </w:rPr>
        <w:t xml:space="preserve">struck out or set aside, alternatively that it be treated as </w:t>
      </w:r>
      <w:r w:rsidR="00120DA2" w:rsidRPr="00736318">
        <w:rPr>
          <w:rFonts w:ascii="Arial" w:hAnsi="Arial" w:cs="Arial"/>
          <w:i/>
          <w:iCs/>
          <w:sz w:val="24"/>
          <w:szCs w:val="24"/>
        </w:rPr>
        <w:t>pro non scripto</w:t>
      </w:r>
      <w:r w:rsidR="00120DA2" w:rsidRPr="00736318">
        <w:rPr>
          <w:rFonts w:ascii="Arial" w:hAnsi="Arial" w:cs="Arial"/>
          <w:sz w:val="24"/>
          <w:szCs w:val="24"/>
        </w:rPr>
        <w:t>.</w:t>
      </w:r>
      <w:r w:rsidR="00436D68" w:rsidRPr="00736318">
        <w:rPr>
          <w:rFonts w:ascii="Arial" w:hAnsi="Arial" w:cs="Arial"/>
          <w:sz w:val="24"/>
          <w:szCs w:val="24"/>
        </w:rPr>
        <w:t xml:space="preserve"> The second part of the application </w:t>
      </w:r>
      <w:r w:rsidR="00B5756B" w:rsidRPr="00736318">
        <w:rPr>
          <w:rFonts w:ascii="Arial" w:hAnsi="Arial" w:cs="Arial"/>
          <w:sz w:val="24"/>
          <w:szCs w:val="24"/>
        </w:rPr>
        <w:t xml:space="preserve">would be argued </w:t>
      </w:r>
      <w:r w:rsidR="005C5EBD" w:rsidRPr="00736318">
        <w:rPr>
          <w:rFonts w:ascii="Arial" w:hAnsi="Arial" w:cs="Arial"/>
          <w:sz w:val="24"/>
          <w:szCs w:val="24"/>
        </w:rPr>
        <w:t>only when dealing with the merits of the main application.</w:t>
      </w:r>
    </w:p>
    <w:p w14:paraId="48F8E3B0" w14:textId="77777777" w:rsidR="00DD09BC" w:rsidRPr="00DD09BC" w:rsidRDefault="00DD09BC" w:rsidP="00DD09BC">
      <w:pPr>
        <w:pStyle w:val="ListParagraph"/>
        <w:rPr>
          <w:rFonts w:ascii="Arial" w:hAnsi="Arial" w:cs="Arial"/>
          <w:sz w:val="24"/>
          <w:szCs w:val="24"/>
        </w:rPr>
      </w:pPr>
    </w:p>
    <w:p w14:paraId="576891F0" w14:textId="57C1FCE1"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267C05" w:rsidRPr="00736318">
        <w:rPr>
          <w:rFonts w:ascii="Arial" w:hAnsi="Arial" w:cs="Arial"/>
          <w:sz w:val="24"/>
          <w:szCs w:val="24"/>
        </w:rPr>
        <w:t>Counsel for the applicant</w:t>
      </w:r>
      <w:r w:rsidR="00671907" w:rsidRPr="00736318">
        <w:rPr>
          <w:rFonts w:ascii="Arial" w:hAnsi="Arial" w:cs="Arial"/>
          <w:sz w:val="24"/>
          <w:szCs w:val="24"/>
        </w:rPr>
        <w:t xml:space="preserve"> </w:t>
      </w:r>
      <w:r w:rsidR="006737B3" w:rsidRPr="00736318">
        <w:rPr>
          <w:rFonts w:ascii="Arial" w:hAnsi="Arial" w:cs="Arial"/>
          <w:sz w:val="24"/>
          <w:szCs w:val="24"/>
        </w:rPr>
        <w:t xml:space="preserve">confirmed that his client sought the relief limited to the first and second prayers of its </w:t>
      </w:r>
      <w:r w:rsidR="00DE31E8" w:rsidRPr="00736318">
        <w:rPr>
          <w:rFonts w:ascii="Arial" w:hAnsi="Arial" w:cs="Arial"/>
          <w:sz w:val="24"/>
          <w:szCs w:val="24"/>
        </w:rPr>
        <w:t xml:space="preserve">application. </w:t>
      </w:r>
      <w:r w:rsidR="007F2C81" w:rsidRPr="00736318">
        <w:rPr>
          <w:rFonts w:ascii="Arial" w:hAnsi="Arial" w:cs="Arial"/>
          <w:sz w:val="24"/>
          <w:szCs w:val="24"/>
        </w:rPr>
        <w:t>T</w:t>
      </w:r>
      <w:r w:rsidR="00DE31E8" w:rsidRPr="00736318">
        <w:rPr>
          <w:rFonts w:ascii="Arial" w:hAnsi="Arial" w:cs="Arial"/>
          <w:sz w:val="24"/>
          <w:szCs w:val="24"/>
        </w:rPr>
        <w:t>his pertained to</w:t>
      </w:r>
      <w:r w:rsidR="00B90F9B" w:rsidRPr="00736318">
        <w:rPr>
          <w:rFonts w:ascii="Arial" w:hAnsi="Arial" w:cs="Arial"/>
          <w:sz w:val="24"/>
          <w:szCs w:val="24"/>
        </w:rPr>
        <w:t xml:space="preserve"> condonation for the </w:t>
      </w:r>
      <w:r w:rsidR="007F2C81" w:rsidRPr="00736318">
        <w:rPr>
          <w:rFonts w:ascii="Arial" w:hAnsi="Arial" w:cs="Arial"/>
          <w:sz w:val="24"/>
          <w:szCs w:val="24"/>
        </w:rPr>
        <w:lastRenderedPageBreak/>
        <w:t xml:space="preserve">applicant’s late delivery of its replying </w:t>
      </w:r>
      <w:r w:rsidR="003F60BE" w:rsidRPr="00736318">
        <w:rPr>
          <w:rFonts w:ascii="Arial" w:hAnsi="Arial" w:cs="Arial"/>
          <w:sz w:val="24"/>
          <w:szCs w:val="24"/>
        </w:rPr>
        <w:t>affidavit and</w:t>
      </w:r>
      <w:r w:rsidR="007F2C81" w:rsidRPr="00736318">
        <w:rPr>
          <w:rFonts w:ascii="Arial" w:hAnsi="Arial" w:cs="Arial"/>
          <w:sz w:val="24"/>
          <w:szCs w:val="24"/>
        </w:rPr>
        <w:t xml:space="preserve"> </w:t>
      </w:r>
      <w:r w:rsidR="002B65EB" w:rsidRPr="00736318">
        <w:rPr>
          <w:rFonts w:ascii="Arial" w:hAnsi="Arial" w:cs="Arial"/>
          <w:sz w:val="24"/>
          <w:szCs w:val="24"/>
        </w:rPr>
        <w:t xml:space="preserve">leave for the applicant to supplement its </w:t>
      </w:r>
      <w:r w:rsidR="0095017D" w:rsidRPr="00736318">
        <w:rPr>
          <w:rFonts w:ascii="Arial" w:hAnsi="Arial" w:cs="Arial"/>
          <w:sz w:val="24"/>
          <w:szCs w:val="24"/>
        </w:rPr>
        <w:t>founding affidavit.</w:t>
      </w:r>
      <w:r w:rsidR="003F60BE" w:rsidRPr="00736318">
        <w:rPr>
          <w:rFonts w:ascii="Arial" w:hAnsi="Arial" w:cs="Arial"/>
          <w:sz w:val="24"/>
          <w:szCs w:val="24"/>
        </w:rPr>
        <w:t xml:space="preserve"> The </w:t>
      </w:r>
      <w:r w:rsidR="00B62A05" w:rsidRPr="00736318">
        <w:rPr>
          <w:rFonts w:ascii="Arial" w:hAnsi="Arial" w:cs="Arial"/>
          <w:sz w:val="24"/>
          <w:szCs w:val="24"/>
        </w:rPr>
        <w:t xml:space="preserve">applicant </w:t>
      </w:r>
      <w:r w:rsidR="00992BCB" w:rsidRPr="00736318">
        <w:rPr>
          <w:rFonts w:ascii="Arial" w:hAnsi="Arial" w:cs="Arial"/>
          <w:sz w:val="24"/>
          <w:szCs w:val="24"/>
        </w:rPr>
        <w:t>did not</w:t>
      </w:r>
      <w:r w:rsidR="00B62A05" w:rsidRPr="00736318">
        <w:rPr>
          <w:rFonts w:ascii="Arial" w:hAnsi="Arial" w:cs="Arial"/>
          <w:sz w:val="24"/>
          <w:szCs w:val="24"/>
        </w:rPr>
        <w:t xml:space="preserve"> pursue the postponement of the hearing of the main application</w:t>
      </w:r>
      <w:r w:rsidR="00193CEE" w:rsidRPr="00736318">
        <w:rPr>
          <w:rFonts w:ascii="Arial" w:hAnsi="Arial" w:cs="Arial"/>
          <w:sz w:val="24"/>
          <w:szCs w:val="24"/>
        </w:rPr>
        <w:t xml:space="preserve">; </w:t>
      </w:r>
      <w:r w:rsidR="00992BCB" w:rsidRPr="00736318">
        <w:rPr>
          <w:rFonts w:ascii="Arial" w:hAnsi="Arial" w:cs="Arial"/>
          <w:sz w:val="24"/>
          <w:szCs w:val="24"/>
        </w:rPr>
        <w:t xml:space="preserve">it also declined to pursue </w:t>
      </w:r>
      <w:r w:rsidR="00193CEE" w:rsidRPr="00736318">
        <w:rPr>
          <w:rFonts w:ascii="Arial" w:hAnsi="Arial" w:cs="Arial"/>
          <w:sz w:val="24"/>
          <w:szCs w:val="24"/>
        </w:rPr>
        <w:t>the granting of leave to both parties</w:t>
      </w:r>
      <w:r w:rsidR="00BE6C85" w:rsidRPr="00736318">
        <w:rPr>
          <w:rFonts w:ascii="Arial" w:hAnsi="Arial" w:cs="Arial"/>
          <w:sz w:val="24"/>
          <w:szCs w:val="24"/>
        </w:rPr>
        <w:t xml:space="preserve"> to supplement their papers</w:t>
      </w:r>
      <w:r w:rsidR="00071B34" w:rsidRPr="00736318">
        <w:rPr>
          <w:rFonts w:ascii="Arial" w:hAnsi="Arial" w:cs="Arial"/>
          <w:sz w:val="24"/>
          <w:szCs w:val="24"/>
        </w:rPr>
        <w:t xml:space="preserve">, consequent to the </w:t>
      </w:r>
      <w:r w:rsidR="00E74AFA" w:rsidRPr="00736318">
        <w:rPr>
          <w:rFonts w:ascii="Arial" w:hAnsi="Arial" w:cs="Arial"/>
          <w:sz w:val="24"/>
          <w:szCs w:val="24"/>
        </w:rPr>
        <w:t xml:space="preserve">eventual </w:t>
      </w:r>
      <w:r w:rsidR="00071B34" w:rsidRPr="00736318">
        <w:rPr>
          <w:rFonts w:ascii="Arial" w:hAnsi="Arial" w:cs="Arial"/>
          <w:sz w:val="24"/>
          <w:szCs w:val="24"/>
        </w:rPr>
        <w:t>finalization of the appeal</w:t>
      </w:r>
      <w:r w:rsidR="00BE6C85" w:rsidRPr="00736318">
        <w:rPr>
          <w:rFonts w:ascii="Arial" w:hAnsi="Arial" w:cs="Arial"/>
          <w:sz w:val="24"/>
          <w:szCs w:val="24"/>
        </w:rPr>
        <w:t>.</w:t>
      </w:r>
    </w:p>
    <w:p w14:paraId="61B383F2" w14:textId="77777777" w:rsidR="00DD09BC" w:rsidRPr="00DD09BC" w:rsidRDefault="00DD09BC" w:rsidP="00DD09BC">
      <w:pPr>
        <w:pStyle w:val="ListParagraph"/>
        <w:rPr>
          <w:rFonts w:ascii="Arial" w:hAnsi="Arial" w:cs="Arial"/>
          <w:sz w:val="24"/>
          <w:szCs w:val="24"/>
        </w:rPr>
      </w:pPr>
    </w:p>
    <w:p w14:paraId="09A0A79F" w14:textId="7575A577"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DC70B9" w:rsidRPr="00736318">
        <w:rPr>
          <w:rFonts w:ascii="Arial" w:hAnsi="Arial" w:cs="Arial"/>
          <w:sz w:val="24"/>
          <w:szCs w:val="24"/>
        </w:rPr>
        <w:t xml:space="preserve">The </w:t>
      </w:r>
      <w:r w:rsidR="006A31C9" w:rsidRPr="00736318">
        <w:rPr>
          <w:rFonts w:ascii="Arial" w:hAnsi="Arial" w:cs="Arial"/>
          <w:sz w:val="24"/>
          <w:szCs w:val="24"/>
        </w:rPr>
        <w:t xml:space="preserve">determination of </w:t>
      </w:r>
      <w:r w:rsidR="00DC70B9" w:rsidRPr="00736318">
        <w:rPr>
          <w:rFonts w:ascii="Arial" w:hAnsi="Arial" w:cs="Arial"/>
          <w:sz w:val="24"/>
          <w:szCs w:val="24"/>
        </w:rPr>
        <w:t xml:space="preserve">one application will </w:t>
      </w:r>
      <w:r w:rsidR="00576854" w:rsidRPr="00736318">
        <w:rPr>
          <w:rFonts w:ascii="Arial" w:hAnsi="Arial" w:cs="Arial"/>
          <w:sz w:val="24"/>
          <w:szCs w:val="24"/>
        </w:rPr>
        <w:t xml:space="preserve">prove decisive of the </w:t>
      </w:r>
      <w:r w:rsidR="00DC70B9" w:rsidRPr="00736318">
        <w:rPr>
          <w:rFonts w:ascii="Arial" w:hAnsi="Arial" w:cs="Arial"/>
          <w:sz w:val="24"/>
          <w:szCs w:val="24"/>
        </w:rPr>
        <w:t xml:space="preserve">other. </w:t>
      </w:r>
      <w:r w:rsidR="00C752CF" w:rsidRPr="00736318">
        <w:rPr>
          <w:rFonts w:ascii="Arial" w:hAnsi="Arial" w:cs="Arial"/>
          <w:sz w:val="24"/>
          <w:szCs w:val="24"/>
        </w:rPr>
        <w:t>It needs to be said that counsel for the respondent urged the court to deal with the main application simultaneously</w:t>
      </w:r>
      <w:r w:rsidR="00DA6259" w:rsidRPr="00736318">
        <w:rPr>
          <w:rFonts w:ascii="Arial" w:hAnsi="Arial" w:cs="Arial"/>
          <w:sz w:val="24"/>
          <w:szCs w:val="24"/>
        </w:rPr>
        <w:t xml:space="preserve"> with the interlocutory applications</w:t>
      </w:r>
      <w:r w:rsidR="00C752CF" w:rsidRPr="00736318">
        <w:rPr>
          <w:rFonts w:ascii="Arial" w:hAnsi="Arial" w:cs="Arial"/>
          <w:sz w:val="24"/>
          <w:szCs w:val="24"/>
        </w:rPr>
        <w:t>, rather than deal with the matter on a piecemeal basis. The reason for the court not to have done so appears from the judgment.</w:t>
      </w:r>
    </w:p>
    <w:p w14:paraId="39FC7196" w14:textId="77777777" w:rsidR="00DA6259" w:rsidRPr="00DA6259" w:rsidRDefault="00DA6259" w:rsidP="00DA6259">
      <w:pPr>
        <w:pStyle w:val="ListParagraph"/>
        <w:rPr>
          <w:rFonts w:ascii="Arial" w:hAnsi="Arial" w:cs="Arial"/>
          <w:sz w:val="24"/>
          <w:szCs w:val="24"/>
        </w:rPr>
      </w:pPr>
    </w:p>
    <w:p w14:paraId="20DF84F5" w14:textId="77777777" w:rsidR="00DA6259" w:rsidRDefault="00DA6259" w:rsidP="00DA6259">
      <w:pPr>
        <w:pStyle w:val="ListParagraph"/>
        <w:spacing w:line="360" w:lineRule="auto"/>
        <w:ind w:left="0"/>
        <w:jc w:val="both"/>
        <w:rPr>
          <w:rFonts w:ascii="Arial" w:hAnsi="Arial" w:cs="Arial"/>
          <w:sz w:val="24"/>
          <w:szCs w:val="24"/>
        </w:rPr>
      </w:pPr>
    </w:p>
    <w:p w14:paraId="248B642B" w14:textId="337612B6" w:rsidR="00CC5594" w:rsidRPr="00736318" w:rsidRDefault="00736318" w:rsidP="00736318">
      <w:pPr>
        <w:spacing w:line="360" w:lineRule="auto"/>
        <w:jc w:val="both"/>
        <w:rPr>
          <w:rFonts w:ascii="Arial" w:hAnsi="Arial" w:cs="Arial"/>
          <w:sz w:val="24"/>
          <w:szCs w:val="24"/>
        </w:rPr>
      </w:pPr>
      <w:r w:rsidRPr="00DD09BC">
        <w:rPr>
          <w:rFonts w:ascii="Arial" w:hAnsi="Arial" w:cs="Arial"/>
          <w:sz w:val="24"/>
          <w:szCs w:val="24"/>
        </w:rPr>
        <w:t>[32]</w:t>
      </w:r>
      <w:r w:rsidRPr="00DD09BC">
        <w:rPr>
          <w:rFonts w:ascii="Arial" w:hAnsi="Arial" w:cs="Arial"/>
          <w:sz w:val="24"/>
          <w:szCs w:val="24"/>
        </w:rPr>
        <w:tab/>
      </w:r>
      <w:r w:rsidR="00CC5594" w:rsidRPr="00736318">
        <w:rPr>
          <w:rFonts w:ascii="Arial" w:hAnsi="Arial" w:cs="Arial"/>
          <w:sz w:val="24"/>
          <w:szCs w:val="24"/>
        </w:rPr>
        <w:t>A brief discussion of the applicable principles follows.</w:t>
      </w:r>
    </w:p>
    <w:p w14:paraId="69E5C05E" w14:textId="4B65C740" w:rsidR="00CC5594" w:rsidRPr="00355DEA" w:rsidRDefault="00CC5594" w:rsidP="00DD09BC">
      <w:pPr>
        <w:spacing w:line="360" w:lineRule="auto"/>
        <w:jc w:val="both"/>
        <w:rPr>
          <w:rFonts w:ascii="Arial" w:hAnsi="Arial" w:cs="Arial"/>
          <w:b/>
          <w:bCs/>
          <w:sz w:val="24"/>
          <w:szCs w:val="24"/>
        </w:rPr>
      </w:pPr>
      <w:r w:rsidRPr="00355DEA">
        <w:rPr>
          <w:rFonts w:ascii="Arial" w:hAnsi="Arial" w:cs="Arial"/>
          <w:b/>
          <w:bCs/>
          <w:sz w:val="24"/>
          <w:szCs w:val="24"/>
        </w:rPr>
        <w:t>Legal framework</w:t>
      </w:r>
    </w:p>
    <w:p w14:paraId="192D34DF" w14:textId="77777777" w:rsidR="00CC5594" w:rsidRDefault="00CC5594" w:rsidP="00BD75E2">
      <w:pPr>
        <w:spacing w:line="360" w:lineRule="auto"/>
        <w:rPr>
          <w:rFonts w:ascii="Arial" w:hAnsi="Arial" w:cs="Arial"/>
          <w:sz w:val="24"/>
          <w:szCs w:val="24"/>
        </w:rPr>
      </w:pPr>
    </w:p>
    <w:p w14:paraId="45AEAAA1" w14:textId="5185B5B1" w:rsidR="00CC5594" w:rsidRPr="00736318" w:rsidRDefault="00736318" w:rsidP="00736318">
      <w:pPr>
        <w:spacing w:line="360" w:lineRule="auto"/>
        <w:jc w:val="both"/>
        <w:rPr>
          <w:rFonts w:ascii="Arial" w:hAnsi="Arial" w:cs="Arial"/>
          <w:sz w:val="24"/>
          <w:szCs w:val="24"/>
        </w:rPr>
      </w:pPr>
      <w:r w:rsidRPr="00DD09BC">
        <w:rPr>
          <w:rFonts w:ascii="Arial" w:hAnsi="Arial" w:cs="Arial"/>
          <w:sz w:val="24"/>
          <w:szCs w:val="24"/>
        </w:rPr>
        <w:t>[33]</w:t>
      </w:r>
      <w:r w:rsidRPr="00DD09BC">
        <w:rPr>
          <w:rFonts w:ascii="Arial" w:hAnsi="Arial" w:cs="Arial"/>
          <w:sz w:val="24"/>
          <w:szCs w:val="24"/>
        </w:rPr>
        <w:tab/>
      </w:r>
      <w:r w:rsidR="00355DEA" w:rsidRPr="00736318">
        <w:rPr>
          <w:rFonts w:ascii="Arial" w:hAnsi="Arial" w:cs="Arial"/>
          <w:sz w:val="24"/>
          <w:szCs w:val="24"/>
        </w:rPr>
        <w:t xml:space="preserve">The Uniform Rules of Court (‘URC’) provide, in terms of </w:t>
      </w:r>
      <w:r w:rsidR="0095797D" w:rsidRPr="00736318">
        <w:rPr>
          <w:rFonts w:ascii="Arial" w:hAnsi="Arial" w:cs="Arial"/>
          <w:sz w:val="24"/>
          <w:szCs w:val="24"/>
        </w:rPr>
        <w:t>rule 6(5)(e), that a court may, in its discretion, permit the filing of fu</w:t>
      </w:r>
      <w:r w:rsidR="0071313D" w:rsidRPr="00736318">
        <w:rPr>
          <w:rFonts w:ascii="Arial" w:hAnsi="Arial" w:cs="Arial"/>
          <w:sz w:val="24"/>
          <w:szCs w:val="24"/>
        </w:rPr>
        <w:t>rther affidavits.</w:t>
      </w:r>
      <w:r w:rsidR="00A2643A" w:rsidRPr="00736318">
        <w:rPr>
          <w:rFonts w:ascii="Arial" w:hAnsi="Arial" w:cs="Arial"/>
          <w:sz w:val="24"/>
          <w:szCs w:val="24"/>
        </w:rPr>
        <w:t xml:space="preserve"> It </w:t>
      </w:r>
      <w:r w:rsidR="004C1BC3" w:rsidRPr="00736318">
        <w:rPr>
          <w:rFonts w:ascii="Arial" w:hAnsi="Arial" w:cs="Arial"/>
          <w:sz w:val="24"/>
          <w:szCs w:val="24"/>
        </w:rPr>
        <w:t xml:space="preserve">is trite that such discretion should be exercised to ensure that </w:t>
      </w:r>
      <w:r w:rsidR="00BD7688" w:rsidRPr="00736318">
        <w:rPr>
          <w:rFonts w:ascii="Arial" w:hAnsi="Arial" w:cs="Arial"/>
          <w:sz w:val="24"/>
          <w:szCs w:val="24"/>
        </w:rPr>
        <w:t>a matter be adjudicated upon all the facts that are relevant to the issues in dispute</w:t>
      </w:r>
      <w:r w:rsidR="006275FB" w:rsidRPr="00736318">
        <w:rPr>
          <w:rFonts w:ascii="Arial" w:hAnsi="Arial" w:cs="Arial"/>
          <w:sz w:val="24"/>
          <w:szCs w:val="24"/>
        </w:rPr>
        <w:t>.</w:t>
      </w:r>
      <w:r w:rsidR="006275FB">
        <w:rPr>
          <w:rStyle w:val="FootnoteReference"/>
          <w:rFonts w:ascii="Arial" w:hAnsi="Arial" w:cs="Arial"/>
          <w:sz w:val="24"/>
          <w:szCs w:val="24"/>
        </w:rPr>
        <w:footnoteReference w:id="2"/>
      </w:r>
      <w:r w:rsidR="00DA1D5F" w:rsidRPr="00736318">
        <w:rPr>
          <w:rFonts w:ascii="Arial" w:hAnsi="Arial" w:cs="Arial"/>
          <w:sz w:val="24"/>
          <w:szCs w:val="24"/>
        </w:rPr>
        <w:t xml:space="preserve"> DE van Logger</w:t>
      </w:r>
      <w:r w:rsidR="00BE4BF0" w:rsidRPr="00736318">
        <w:rPr>
          <w:rFonts w:ascii="Arial" w:hAnsi="Arial" w:cs="Arial"/>
          <w:sz w:val="24"/>
          <w:szCs w:val="24"/>
        </w:rPr>
        <w:t xml:space="preserve">enberg </w:t>
      </w:r>
      <w:r w:rsidR="002F72B9" w:rsidRPr="00736318">
        <w:rPr>
          <w:rFonts w:ascii="Arial" w:hAnsi="Arial" w:cs="Arial"/>
          <w:sz w:val="24"/>
          <w:szCs w:val="24"/>
        </w:rPr>
        <w:t>remark</w:t>
      </w:r>
      <w:r w:rsidR="00BE4BF0" w:rsidRPr="00736318">
        <w:rPr>
          <w:rFonts w:ascii="Arial" w:hAnsi="Arial" w:cs="Arial"/>
          <w:sz w:val="24"/>
          <w:szCs w:val="24"/>
        </w:rPr>
        <w:t>s that:</w:t>
      </w:r>
    </w:p>
    <w:p w14:paraId="7FD3A1D4" w14:textId="77777777" w:rsidR="002F72B9" w:rsidRDefault="002F72B9" w:rsidP="00DD09BC">
      <w:pPr>
        <w:spacing w:line="360" w:lineRule="auto"/>
        <w:ind w:left="720"/>
        <w:jc w:val="both"/>
        <w:rPr>
          <w:rFonts w:ascii="Arial" w:hAnsi="Arial" w:cs="Arial"/>
          <w:sz w:val="24"/>
          <w:szCs w:val="24"/>
        </w:rPr>
      </w:pPr>
    </w:p>
    <w:p w14:paraId="4CB80102" w14:textId="1AF68EDE" w:rsidR="00BE4BF0" w:rsidRPr="00015F07" w:rsidRDefault="00BE4BF0" w:rsidP="00DD09BC">
      <w:pPr>
        <w:spacing w:line="360" w:lineRule="auto"/>
        <w:ind w:left="720"/>
        <w:jc w:val="both"/>
        <w:rPr>
          <w:rFonts w:ascii="Arial" w:hAnsi="Arial" w:cs="Arial"/>
          <w:sz w:val="20"/>
          <w:szCs w:val="20"/>
        </w:rPr>
      </w:pPr>
      <w:r w:rsidRPr="00015F07">
        <w:rPr>
          <w:rFonts w:ascii="Arial" w:hAnsi="Arial" w:cs="Arial"/>
          <w:sz w:val="20"/>
          <w:szCs w:val="20"/>
        </w:rPr>
        <w:t>‘</w:t>
      </w:r>
      <w:r w:rsidR="007419B0" w:rsidRPr="00015F07">
        <w:rPr>
          <w:rFonts w:ascii="Arial" w:hAnsi="Arial" w:cs="Arial"/>
          <w:sz w:val="20"/>
          <w:szCs w:val="20"/>
        </w:rPr>
        <w:t>…a party cannot take it upon himself</w:t>
      </w:r>
      <w:r w:rsidR="00EE4D1A" w:rsidRPr="00015F07">
        <w:rPr>
          <w:rFonts w:ascii="Arial" w:hAnsi="Arial" w:cs="Arial"/>
          <w:sz w:val="20"/>
          <w:szCs w:val="20"/>
        </w:rPr>
        <w:t xml:space="preserve"> to simply file further affidavits</w:t>
      </w:r>
      <w:r w:rsidR="0048592D" w:rsidRPr="00015F07">
        <w:rPr>
          <w:rFonts w:ascii="Arial" w:hAnsi="Arial" w:cs="Arial"/>
          <w:sz w:val="20"/>
          <w:szCs w:val="20"/>
        </w:rPr>
        <w:t xml:space="preserve"> without first having obtained the leave of the court to do so.</w:t>
      </w:r>
      <w:r w:rsidR="00C41D47" w:rsidRPr="00015F07">
        <w:rPr>
          <w:rFonts w:ascii="Arial" w:hAnsi="Arial" w:cs="Arial"/>
          <w:sz w:val="20"/>
          <w:szCs w:val="20"/>
        </w:rPr>
        <w:t xml:space="preserve"> It has been held that where further affidavits are filed without the leave of the court</w:t>
      </w:r>
      <w:r w:rsidR="00147DDA" w:rsidRPr="00015F07">
        <w:rPr>
          <w:rFonts w:ascii="Arial" w:hAnsi="Arial" w:cs="Arial"/>
          <w:sz w:val="20"/>
          <w:szCs w:val="20"/>
        </w:rPr>
        <w:t xml:space="preserve">, the court can regard such affidavits as </w:t>
      </w:r>
      <w:r w:rsidR="00147DDA" w:rsidRPr="00015F07">
        <w:rPr>
          <w:rFonts w:ascii="Arial" w:hAnsi="Arial" w:cs="Arial"/>
          <w:i/>
          <w:iCs/>
          <w:sz w:val="20"/>
          <w:szCs w:val="20"/>
        </w:rPr>
        <w:t>pro non scripto</w:t>
      </w:r>
      <w:r w:rsidR="00147DDA" w:rsidRPr="00015F07">
        <w:rPr>
          <w:rFonts w:ascii="Arial" w:hAnsi="Arial" w:cs="Arial"/>
          <w:sz w:val="20"/>
          <w:szCs w:val="20"/>
        </w:rPr>
        <w:t>.</w:t>
      </w:r>
      <w:r w:rsidR="00422816" w:rsidRPr="00015F07">
        <w:rPr>
          <w:rFonts w:ascii="Arial" w:hAnsi="Arial" w:cs="Arial"/>
          <w:sz w:val="20"/>
          <w:szCs w:val="20"/>
        </w:rPr>
        <w:t xml:space="preserve"> While the general rules regarding the </w:t>
      </w:r>
      <w:r w:rsidR="008137DC" w:rsidRPr="00015F07">
        <w:rPr>
          <w:rFonts w:ascii="Arial" w:hAnsi="Arial" w:cs="Arial"/>
          <w:sz w:val="20"/>
          <w:szCs w:val="20"/>
        </w:rPr>
        <w:t>number of sets and proper sequence of affidavits should ordinarily be observed</w:t>
      </w:r>
      <w:r w:rsidR="009E21A3" w:rsidRPr="00015F07">
        <w:rPr>
          <w:rFonts w:ascii="Arial" w:hAnsi="Arial" w:cs="Arial"/>
          <w:sz w:val="20"/>
          <w:szCs w:val="20"/>
        </w:rPr>
        <w:t>, some flexibility must necessarily also be permitted.</w:t>
      </w:r>
      <w:r w:rsidR="00327CC1" w:rsidRPr="00015F07">
        <w:rPr>
          <w:rFonts w:ascii="Arial" w:hAnsi="Arial" w:cs="Arial"/>
          <w:sz w:val="20"/>
          <w:szCs w:val="20"/>
        </w:rPr>
        <w:t xml:space="preserve"> It is only in exceptional circumstances that a fourth set of affidavits will be received</w:t>
      </w:r>
      <w:r w:rsidR="0097147F" w:rsidRPr="00015F07">
        <w:rPr>
          <w:rFonts w:ascii="Arial" w:hAnsi="Arial" w:cs="Arial"/>
          <w:sz w:val="20"/>
          <w:szCs w:val="20"/>
        </w:rPr>
        <w:t xml:space="preserve">. Special circumstances may exist where something unexpected or new emerged </w:t>
      </w:r>
      <w:r w:rsidR="002F72B9" w:rsidRPr="00015F07">
        <w:rPr>
          <w:rFonts w:ascii="Arial" w:hAnsi="Arial" w:cs="Arial"/>
          <w:sz w:val="20"/>
          <w:szCs w:val="20"/>
        </w:rPr>
        <w:t>from the applicant’s replying affidavit.</w:t>
      </w:r>
      <w:r w:rsidR="007419B0" w:rsidRPr="00015F07">
        <w:rPr>
          <w:rFonts w:ascii="Arial" w:hAnsi="Arial" w:cs="Arial"/>
          <w:sz w:val="20"/>
          <w:szCs w:val="20"/>
        </w:rPr>
        <w:t>’</w:t>
      </w:r>
      <w:r w:rsidR="007419B0" w:rsidRPr="00015F07">
        <w:rPr>
          <w:rStyle w:val="FootnoteReference"/>
          <w:rFonts w:ascii="Arial" w:hAnsi="Arial" w:cs="Arial"/>
          <w:sz w:val="20"/>
          <w:szCs w:val="20"/>
        </w:rPr>
        <w:footnoteReference w:id="3"/>
      </w:r>
    </w:p>
    <w:p w14:paraId="38A48562" w14:textId="77777777" w:rsidR="00015F07" w:rsidRDefault="00015F07" w:rsidP="00521AEB">
      <w:pPr>
        <w:spacing w:line="360" w:lineRule="auto"/>
        <w:rPr>
          <w:rFonts w:ascii="Arial" w:hAnsi="Arial" w:cs="Arial"/>
          <w:sz w:val="24"/>
          <w:szCs w:val="24"/>
        </w:rPr>
      </w:pPr>
    </w:p>
    <w:p w14:paraId="4E7C245F" w14:textId="2F5684C6"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521AEB" w:rsidRPr="00736318">
        <w:rPr>
          <w:rFonts w:ascii="Arial" w:hAnsi="Arial" w:cs="Arial"/>
          <w:sz w:val="24"/>
          <w:szCs w:val="24"/>
        </w:rPr>
        <w:t xml:space="preserve">Whether a further </w:t>
      </w:r>
      <w:r w:rsidR="002D0164" w:rsidRPr="00736318">
        <w:rPr>
          <w:rFonts w:ascii="Arial" w:hAnsi="Arial" w:cs="Arial"/>
          <w:sz w:val="24"/>
          <w:szCs w:val="24"/>
        </w:rPr>
        <w:t>set of affidavits should be admitted comes down to a question of fairness</w:t>
      </w:r>
      <w:r w:rsidR="00015F07" w:rsidRPr="00736318">
        <w:rPr>
          <w:rFonts w:ascii="Arial" w:hAnsi="Arial" w:cs="Arial"/>
          <w:sz w:val="24"/>
          <w:szCs w:val="24"/>
        </w:rPr>
        <w:t xml:space="preserve"> to both parties.</w:t>
      </w:r>
      <w:r w:rsidR="006C2AF1">
        <w:rPr>
          <w:rStyle w:val="FootnoteReference"/>
          <w:rFonts w:ascii="Arial" w:hAnsi="Arial" w:cs="Arial"/>
          <w:sz w:val="24"/>
          <w:szCs w:val="24"/>
        </w:rPr>
        <w:footnoteReference w:id="4"/>
      </w:r>
      <w:r w:rsidR="00015F07" w:rsidRPr="00736318">
        <w:rPr>
          <w:rFonts w:ascii="Arial" w:hAnsi="Arial" w:cs="Arial"/>
          <w:sz w:val="24"/>
          <w:szCs w:val="24"/>
        </w:rPr>
        <w:t xml:space="preserve"> It must not result in prejudice.</w:t>
      </w:r>
    </w:p>
    <w:p w14:paraId="1A951821" w14:textId="77777777" w:rsidR="00DD09BC" w:rsidRDefault="00DD09BC" w:rsidP="00DD09BC">
      <w:pPr>
        <w:pStyle w:val="ListParagraph"/>
        <w:spacing w:line="360" w:lineRule="auto"/>
        <w:ind w:left="0"/>
        <w:jc w:val="both"/>
        <w:rPr>
          <w:rFonts w:ascii="Arial" w:hAnsi="Arial" w:cs="Arial"/>
          <w:sz w:val="24"/>
          <w:szCs w:val="24"/>
        </w:rPr>
      </w:pPr>
    </w:p>
    <w:p w14:paraId="024E56B7" w14:textId="7ECC2831" w:rsidR="00DD09BC" w:rsidRPr="00736318" w:rsidRDefault="00736318" w:rsidP="00736318">
      <w:pPr>
        <w:spacing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EB78DE" w:rsidRPr="00736318">
        <w:rPr>
          <w:rFonts w:ascii="Arial" w:hAnsi="Arial" w:cs="Arial"/>
          <w:sz w:val="24"/>
          <w:szCs w:val="24"/>
        </w:rPr>
        <w:t>F</w:t>
      </w:r>
      <w:r w:rsidR="00C34FA2" w:rsidRPr="00736318">
        <w:rPr>
          <w:rFonts w:ascii="Arial" w:hAnsi="Arial" w:cs="Arial"/>
          <w:sz w:val="24"/>
          <w:szCs w:val="24"/>
        </w:rPr>
        <w:t>urthermore</w:t>
      </w:r>
      <w:r w:rsidR="00EB78DE" w:rsidRPr="00736318">
        <w:rPr>
          <w:rFonts w:ascii="Arial" w:hAnsi="Arial" w:cs="Arial"/>
          <w:sz w:val="24"/>
          <w:szCs w:val="24"/>
        </w:rPr>
        <w:t>,</w:t>
      </w:r>
      <w:r w:rsidR="00A81C9B" w:rsidRPr="00736318">
        <w:rPr>
          <w:rFonts w:ascii="Arial" w:hAnsi="Arial" w:cs="Arial"/>
          <w:sz w:val="24"/>
          <w:szCs w:val="24"/>
        </w:rPr>
        <w:t xml:space="preserve"> under rule 6(15), </w:t>
      </w:r>
      <w:r w:rsidR="00EB78DE" w:rsidRPr="00736318">
        <w:rPr>
          <w:rFonts w:ascii="Arial" w:hAnsi="Arial" w:cs="Arial"/>
          <w:sz w:val="24"/>
          <w:szCs w:val="24"/>
        </w:rPr>
        <w:t xml:space="preserve">a court may </w:t>
      </w:r>
      <w:r w:rsidR="00C726F3" w:rsidRPr="00736318">
        <w:rPr>
          <w:rFonts w:ascii="Arial" w:hAnsi="Arial" w:cs="Arial"/>
          <w:sz w:val="24"/>
          <w:szCs w:val="24"/>
        </w:rPr>
        <w:t>strike out from an affidavit any matter which is scandalous, vexatious, or irrelevant</w:t>
      </w:r>
      <w:r w:rsidR="001F38B1" w:rsidRPr="00736318">
        <w:rPr>
          <w:rFonts w:ascii="Arial" w:hAnsi="Arial" w:cs="Arial"/>
          <w:sz w:val="24"/>
          <w:szCs w:val="24"/>
        </w:rPr>
        <w:t xml:space="preserve">. </w:t>
      </w:r>
      <w:r w:rsidR="007F4F9D" w:rsidRPr="00736318">
        <w:rPr>
          <w:rFonts w:ascii="Arial" w:hAnsi="Arial" w:cs="Arial"/>
          <w:sz w:val="24"/>
          <w:szCs w:val="24"/>
        </w:rPr>
        <w:t xml:space="preserve">It has been held that the </w:t>
      </w:r>
      <w:r w:rsidR="00AC18BB" w:rsidRPr="00736318">
        <w:rPr>
          <w:rFonts w:ascii="Arial" w:hAnsi="Arial" w:cs="Arial"/>
          <w:sz w:val="24"/>
          <w:szCs w:val="24"/>
        </w:rPr>
        <w:t>rule is wide enough to allow a court to strike out inadmissible evidence</w:t>
      </w:r>
      <w:r w:rsidR="001D18D9" w:rsidRPr="00736318">
        <w:rPr>
          <w:rFonts w:ascii="Arial" w:hAnsi="Arial" w:cs="Arial"/>
          <w:sz w:val="24"/>
          <w:szCs w:val="24"/>
        </w:rPr>
        <w:t xml:space="preserve">, </w:t>
      </w:r>
      <w:r w:rsidR="00813747" w:rsidRPr="00736318">
        <w:rPr>
          <w:rFonts w:ascii="Arial" w:hAnsi="Arial" w:cs="Arial"/>
          <w:sz w:val="24"/>
          <w:szCs w:val="24"/>
        </w:rPr>
        <w:t>e.g.,</w:t>
      </w:r>
      <w:r w:rsidR="001D18D9" w:rsidRPr="00736318">
        <w:rPr>
          <w:rFonts w:ascii="Arial" w:hAnsi="Arial" w:cs="Arial"/>
          <w:sz w:val="24"/>
          <w:szCs w:val="24"/>
        </w:rPr>
        <w:t xml:space="preserve"> hearsay</w:t>
      </w:r>
      <w:r w:rsidR="00C83D52" w:rsidRPr="00736318">
        <w:rPr>
          <w:rFonts w:ascii="Arial" w:hAnsi="Arial" w:cs="Arial"/>
          <w:sz w:val="24"/>
          <w:szCs w:val="24"/>
        </w:rPr>
        <w:t>, as well as argument, and new matter.</w:t>
      </w:r>
      <w:r w:rsidR="00F87DF2">
        <w:rPr>
          <w:rStyle w:val="FootnoteReference"/>
          <w:rFonts w:ascii="Arial" w:hAnsi="Arial" w:cs="Arial"/>
          <w:sz w:val="24"/>
          <w:szCs w:val="24"/>
        </w:rPr>
        <w:footnoteReference w:id="5"/>
      </w:r>
    </w:p>
    <w:p w14:paraId="249CEAAA" w14:textId="77777777" w:rsidR="00933909" w:rsidRPr="00933909" w:rsidRDefault="00933909" w:rsidP="00933909">
      <w:pPr>
        <w:pStyle w:val="ListParagraph"/>
        <w:rPr>
          <w:rFonts w:ascii="Arial" w:hAnsi="Arial" w:cs="Arial"/>
          <w:sz w:val="24"/>
          <w:szCs w:val="24"/>
        </w:rPr>
      </w:pPr>
    </w:p>
    <w:p w14:paraId="624F6114" w14:textId="312BB63A" w:rsidR="00C16376" w:rsidRPr="00736318" w:rsidRDefault="00736318" w:rsidP="00736318">
      <w:pPr>
        <w:spacing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6A6B9B" w:rsidRPr="00736318">
        <w:rPr>
          <w:rFonts w:ascii="Arial" w:hAnsi="Arial" w:cs="Arial"/>
          <w:sz w:val="24"/>
          <w:szCs w:val="24"/>
        </w:rPr>
        <w:t>Still within the context of the URC, a</w:t>
      </w:r>
      <w:r w:rsidR="00854549" w:rsidRPr="00736318">
        <w:rPr>
          <w:rFonts w:ascii="Arial" w:hAnsi="Arial" w:cs="Arial"/>
          <w:sz w:val="24"/>
          <w:szCs w:val="24"/>
        </w:rPr>
        <w:t xml:space="preserve"> party may, in terms of rule 28(1)</w:t>
      </w:r>
      <w:r w:rsidR="002E0C8F" w:rsidRPr="00736318">
        <w:rPr>
          <w:rFonts w:ascii="Arial" w:hAnsi="Arial" w:cs="Arial"/>
          <w:sz w:val="24"/>
          <w:szCs w:val="24"/>
        </w:rPr>
        <w:t>, amend a pleading or document other than a sworn statement.</w:t>
      </w:r>
      <w:r w:rsidR="00586296" w:rsidRPr="00736318">
        <w:rPr>
          <w:rFonts w:ascii="Arial" w:hAnsi="Arial" w:cs="Arial"/>
          <w:sz w:val="24"/>
          <w:szCs w:val="24"/>
        </w:rPr>
        <w:t xml:space="preserve"> </w:t>
      </w:r>
      <w:r w:rsidR="00B716E7" w:rsidRPr="00736318">
        <w:rPr>
          <w:rFonts w:ascii="Arial" w:hAnsi="Arial" w:cs="Arial"/>
          <w:sz w:val="24"/>
          <w:szCs w:val="24"/>
        </w:rPr>
        <w:t>To attempt to amend</w:t>
      </w:r>
      <w:r w:rsidR="00586296" w:rsidRPr="00736318">
        <w:rPr>
          <w:rFonts w:ascii="Arial" w:hAnsi="Arial" w:cs="Arial"/>
          <w:sz w:val="24"/>
          <w:szCs w:val="24"/>
        </w:rPr>
        <w:t xml:space="preserve"> an affidavit would </w:t>
      </w:r>
      <w:r w:rsidR="00F86E40" w:rsidRPr="00736318">
        <w:rPr>
          <w:rFonts w:ascii="Arial" w:hAnsi="Arial" w:cs="Arial"/>
          <w:sz w:val="24"/>
          <w:szCs w:val="24"/>
        </w:rPr>
        <w:t xml:space="preserve">be to attempt to change </w:t>
      </w:r>
      <w:r w:rsidR="00120F41" w:rsidRPr="00736318">
        <w:rPr>
          <w:rFonts w:ascii="Arial" w:hAnsi="Arial" w:cs="Arial"/>
          <w:sz w:val="24"/>
          <w:szCs w:val="24"/>
        </w:rPr>
        <w:t xml:space="preserve">written </w:t>
      </w:r>
      <w:r w:rsidR="00F86E40" w:rsidRPr="00736318">
        <w:rPr>
          <w:rFonts w:ascii="Arial" w:hAnsi="Arial" w:cs="Arial"/>
          <w:sz w:val="24"/>
          <w:szCs w:val="24"/>
        </w:rPr>
        <w:t xml:space="preserve">evidence </w:t>
      </w:r>
      <w:r w:rsidR="00120F41" w:rsidRPr="00736318">
        <w:rPr>
          <w:rFonts w:ascii="Arial" w:hAnsi="Arial" w:cs="Arial"/>
          <w:sz w:val="24"/>
          <w:szCs w:val="24"/>
        </w:rPr>
        <w:t xml:space="preserve">previously given under oath. It is not permitted </w:t>
      </w:r>
      <w:r w:rsidR="00881F49" w:rsidRPr="00736318">
        <w:rPr>
          <w:rFonts w:ascii="Arial" w:hAnsi="Arial" w:cs="Arial"/>
          <w:sz w:val="24"/>
          <w:szCs w:val="24"/>
        </w:rPr>
        <w:t xml:space="preserve">unless the party who </w:t>
      </w:r>
      <w:r w:rsidR="00970263" w:rsidRPr="00736318">
        <w:rPr>
          <w:rFonts w:ascii="Arial" w:hAnsi="Arial" w:cs="Arial"/>
          <w:sz w:val="24"/>
          <w:szCs w:val="24"/>
        </w:rPr>
        <w:t xml:space="preserve">originally </w:t>
      </w:r>
      <w:r w:rsidR="00881F49" w:rsidRPr="00736318">
        <w:rPr>
          <w:rFonts w:ascii="Arial" w:hAnsi="Arial" w:cs="Arial"/>
          <w:sz w:val="24"/>
          <w:szCs w:val="24"/>
        </w:rPr>
        <w:t xml:space="preserve">gave such evidence </w:t>
      </w:r>
      <w:r w:rsidR="00970263" w:rsidRPr="00736318">
        <w:rPr>
          <w:rFonts w:ascii="Arial" w:hAnsi="Arial" w:cs="Arial"/>
          <w:sz w:val="24"/>
          <w:szCs w:val="24"/>
        </w:rPr>
        <w:t xml:space="preserve">presents further evidence </w:t>
      </w:r>
      <w:r w:rsidR="00F1686C" w:rsidRPr="00736318">
        <w:rPr>
          <w:rFonts w:ascii="Arial" w:hAnsi="Arial" w:cs="Arial"/>
          <w:sz w:val="24"/>
          <w:szCs w:val="24"/>
        </w:rPr>
        <w:t xml:space="preserve">under oath, by way of affidavit where </w:t>
      </w:r>
      <w:r w:rsidR="00B10DA4" w:rsidRPr="00736318">
        <w:rPr>
          <w:rFonts w:ascii="Arial" w:hAnsi="Arial" w:cs="Arial"/>
          <w:sz w:val="24"/>
          <w:szCs w:val="24"/>
        </w:rPr>
        <w:t>required</w:t>
      </w:r>
      <w:r w:rsidR="00F1686C" w:rsidRPr="00736318">
        <w:rPr>
          <w:rFonts w:ascii="Arial" w:hAnsi="Arial" w:cs="Arial"/>
          <w:sz w:val="24"/>
          <w:szCs w:val="24"/>
        </w:rPr>
        <w:t>.</w:t>
      </w:r>
      <w:r w:rsidR="00C911ED">
        <w:rPr>
          <w:rStyle w:val="FootnoteReference"/>
          <w:rFonts w:ascii="Arial" w:hAnsi="Arial" w:cs="Arial"/>
          <w:sz w:val="24"/>
          <w:szCs w:val="24"/>
        </w:rPr>
        <w:footnoteReference w:id="6"/>
      </w:r>
    </w:p>
    <w:p w14:paraId="74E1B101" w14:textId="77777777" w:rsidR="00C16376" w:rsidRDefault="00C16376" w:rsidP="00C16376">
      <w:pPr>
        <w:pStyle w:val="ListParagraph"/>
        <w:spacing w:line="360" w:lineRule="auto"/>
        <w:ind w:left="0"/>
        <w:jc w:val="both"/>
        <w:rPr>
          <w:rFonts w:ascii="Arial" w:hAnsi="Arial" w:cs="Arial"/>
          <w:sz w:val="24"/>
          <w:szCs w:val="24"/>
        </w:rPr>
      </w:pPr>
    </w:p>
    <w:p w14:paraId="574FBA8B" w14:textId="742A1618" w:rsidR="00EC2821" w:rsidRPr="00736318" w:rsidRDefault="00736318" w:rsidP="00736318">
      <w:pPr>
        <w:spacing w:line="360" w:lineRule="auto"/>
        <w:jc w:val="both"/>
        <w:rPr>
          <w:rFonts w:ascii="Arial" w:hAnsi="Arial" w:cs="Arial"/>
          <w:sz w:val="24"/>
          <w:szCs w:val="24"/>
        </w:rPr>
      </w:pPr>
      <w:r w:rsidRPr="00C16376">
        <w:rPr>
          <w:rFonts w:ascii="Arial" w:hAnsi="Arial" w:cs="Arial"/>
          <w:sz w:val="24"/>
          <w:szCs w:val="24"/>
        </w:rPr>
        <w:t>[37]</w:t>
      </w:r>
      <w:r w:rsidRPr="00C16376">
        <w:rPr>
          <w:rFonts w:ascii="Arial" w:hAnsi="Arial" w:cs="Arial"/>
          <w:sz w:val="24"/>
          <w:szCs w:val="24"/>
        </w:rPr>
        <w:tab/>
      </w:r>
      <w:r w:rsidR="00EC2821" w:rsidRPr="00736318">
        <w:rPr>
          <w:rFonts w:ascii="Arial" w:hAnsi="Arial" w:cs="Arial"/>
          <w:sz w:val="24"/>
          <w:szCs w:val="24"/>
        </w:rPr>
        <w:t>The above principles comprise a very basic framework within which to decide the issues identified</w:t>
      </w:r>
      <w:r w:rsidR="00661ED3" w:rsidRPr="00736318">
        <w:rPr>
          <w:rFonts w:ascii="Arial" w:hAnsi="Arial" w:cs="Arial"/>
          <w:sz w:val="24"/>
          <w:szCs w:val="24"/>
        </w:rPr>
        <w:t xml:space="preserve"> by the parties.</w:t>
      </w:r>
    </w:p>
    <w:p w14:paraId="756EB6C0" w14:textId="77777777" w:rsidR="00661ED3" w:rsidRDefault="00661ED3" w:rsidP="00521AEB">
      <w:pPr>
        <w:spacing w:line="360" w:lineRule="auto"/>
        <w:rPr>
          <w:rFonts w:ascii="Arial" w:hAnsi="Arial" w:cs="Arial"/>
          <w:sz w:val="24"/>
          <w:szCs w:val="24"/>
        </w:rPr>
      </w:pPr>
    </w:p>
    <w:p w14:paraId="66A4BC49" w14:textId="55399166" w:rsidR="00661ED3" w:rsidRPr="00F43687" w:rsidRDefault="00661ED3" w:rsidP="00C16376">
      <w:pPr>
        <w:spacing w:line="360" w:lineRule="auto"/>
        <w:jc w:val="both"/>
        <w:rPr>
          <w:rFonts w:ascii="Arial" w:hAnsi="Arial" w:cs="Arial"/>
          <w:b/>
          <w:bCs/>
          <w:sz w:val="24"/>
          <w:szCs w:val="24"/>
        </w:rPr>
      </w:pPr>
      <w:r w:rsidRPr="00F43687">
        <w:rPr>
          <w:rFonts w:ascii="Arial" w:hAnsi="Arial" w:cs="Arial"/>
          <w:b/>
          <w:bCs/>
          <w:sz w:val="24"/>
          <w:szCs w:val="24"/>
        </w:rPr>
        <w:t>Application of principles</w:t>
      </w:r>
    </w:p>
    <w:p w14:paraId="6AC4D58C" w14:textId="77777777" w:rsidR="00F43687" w:rsidRDefault="00F43687" w:rsidP="00521AEB">
      <w:pPr>
        <w:spacing w:line="360" w:lineRule="auto"/>
        <w:rPr>
          <w:rFonts w:ascii="Arial" w:hAnsi="Arial" w:cs="Arial"/>
          <w:sz w:val="24"/>
          <w:szCs w:val="24"/>
        </w:rPr>
      </w:pPr>
    </w:p>
    <w:p w14:paraId="49F52ED5" w14:textId="7AC14BDE" w:rsidR="00C16376" w:rsidRPr="00736318" w:rsidRDefault="00736318" w:rsidP="00736318">
      <w:pPr>
        <w:spacing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8F14FF" w:rsidRPr="00736318">
        <w:rPr>
          <w:rFonts w:ascii="Arial" w:hAnsi="Arial" w:cs="Arial"/>
          <w:sz w:val="24"/>
          <w:szCs w:val="24"/>
        </w:rPr>
        <w:t xml:space="preserve">The applicant </w:t>
      </w:r>
      <w:r w:rsidR="00F67FAB" w:rsidRPr="00736318">
        <w:rPr>
          <w:rFonts w:ascii="Arial" w:hAnsi="Arial" w:cs="Arial"/>
          <w:sz w:val="24"/>
          <w:szCs w:val="24"/>
        </w:rPr>
        <w:t xml:space="preserve">argues that </w:t>
      </w:r>
      <w:r w:rsidR="00B10DB7" w:rsidRPr="00736318">
        <w:rPr>
          <w:rFonts w:ascii="Arial" w:hAnsi="Arial" w:cs="Arial"/>
          <w:sz w:val="24"/>
          <w:szCs w:val="24"/>
        </w:rPr>
        <w:t xml:space="preserve">the respondent obtained the leave of the court to </w:t>
      </w:r>
      <w:r w:rsidR="0061133C" w:rsidRPr="00736318">
        <w:rPr>
          <w:rFonts w:ascii="Arial" w:hAnsi="Arial" w:cs="Arial"/>
          <w:sz w:val="24"/>
          <w:szCs w:val="24"/>
        </w:rPr>
        <w:t xml:space="preserve">deliver a supplementary answering affidavit </w:t>
      </w:r>
      <w:r w:rsidR="00B10DB7" w:rsidRPr="00736318">
        <w:rPr>
          <w:rFonts w:ascii="Arial" w:hAnsi="Arial" w:cs="Arial"/>
          <w:sz w:val="24"/>
          <w:szCs w:val="24"/>
        </w:rPr>
        <w:t xml:space="preserve">not so much </w:t>
      </w:r>
      <w:r w:rsidR="0061133C" w:rsidRPr="00736318">
        <w:rPr>
          <w:rFonts w:ascii="Arial" w:hAnsi="Arial" w:cs="Arial"/>
          <w:sz w:val="24"/>
          <w:szCs w:val="24"/>
        </w:rPr>
        <w:t xml:space="preserve">to deal with the applicant’s amended notice of motion as to </w:t>
      </w:r>
      <w:r w:rsidR="000B4500" w:rsidRPr="00736318">
        <w:rPr>
          <w:rFonts w:ascii="Arial" w:hAnsi="Arial" w:cs="Arial"/>
          <w:sz w:val="24"/>
          <w:szCs w:val="24"/>
        </w:rPr>
        <w:t>deal with the issues that arose in the Tax Appeal Court.</w:t>
      </w:r>
      <w:r w:rsidR="001E04D2" w:rsidRPr="00736318">
        <w:rPr>
          <w:rFonts w:ascii="Arial" w:hAnsi="Arial" w:cs="Arial"/>
          <w:sz w:val="24"/>
          <w:szCs w:val="24"/>
        </w:rPr>
        <w:t xml:space="preserve"> The main </w:t>
      </w:r>
      <w:r w:rsidR="001E04D2" w:rsidRPr="00736318">
        <w:rPr>
          <w:rFonts w:ascii="Arial" w:hAnsi="Arial" w:cs="Arial"/>
          <w:sz w:val="24"/>
          <w:szCs w:val="24"/>
        </w:rPr>
        <w:lastRenderedPageBreak/>
        <w:t xml:space="preserve">issue, </w:t>
      </w:r>
      <w:r w:rsidR="00E16B0C" w:rsidRPr="00736318">
        <w:rPr>
          <w:rFonts w:ascii="Arial" w:hAnsi="Arial" w:cs="Arial"/>
          <w:sz w:val="24"/>
          <w:szCs w:val="24"/>
        </w:rPr>
        <w:t>say</w:t>
      </w:r>
      <w:r w:rsidR="00834723" w:rsidRPr="00736318">
        <w:rPr>
          <w:rFonts w:ascii="Arial" w:hAnsi="Arial" w:cs="Arial"/>
          <w:sz w:val="24"/>
          <w:szCs w:val="24"/>
        </w:rPr>
        <w:t xml:space="preserve">s the applicant, is its </w:t>
      </w:r>
      <w:r w:rsidR="00E16B0C" w:rsidRPr="00736318">
        <w:rPr>
          <w:rFonts w:ascii="Arial" w:hAnsi="Arial" w:cs="Arial"/>
          <w:sz w:val="24"/>
          <w:szCs w:val="24"/>
        </w:rPr>
        <w:t xml:space="preserve">assertion that it is not </w:t>
      </w:r>
      <w:r w:rsidR="0017326D" w:rsidRPr="00736318">
        <w:rPr>
          <w:rFonts w:ascii="Arial" w:hAnsi="Arial" w:cs="Arial"/>
          <w:sz w:val="24"/>
          <w:szCs w:val="24"/>
        </w:rPr>
        <w:t>an employer</w:t>
      </w:r>
      <w:r w:rsidR="0078604A" w:rsidRPr="00736318">
        <w:rPr>
          <w:rFonts w:ascii="Arial" w:hAnsi="Arial" w:cs="Arial"/>
          <w:sz w:val="24"/>
          <w:szCs w:val="24"/>
        </w:rPr>
        <w:t xml:space="preserve"> of the 4,500 employees mentioned by the respondent.</w:t>
      </w:r>
      <w:r w:rsidR="000B770F" w:rsidRPr="00736318">
        <w:rPr>
          <w:rFonts w:ascii="Arial" w:hAnsi="Arial" w:cs="Arial"/>
          <w:sz w:val="24"/>
          <w:szCs w:val="24"/>
        </w:rPr>
        <w:t xml:space="preserve"> The purpose of </w:t>
      </w:r>
      <w:r w:rsidR="00EC4D69" w:rsidRPr="00736318">
        <w:rPr>
          <w:rFonts w:ascii="Arial" w:hAnsi="Arial" w:cs="Arial"/>
          <w:sz w:val="24"/>
          <w:szCs w:val="24"/>
        </w:rPr>
        <w:t xml:space="preserve">the applicant’s supplementary affidavit was </w:t>
      </w:r>
      <w:r w:rsidR="001B0B68" w:rsidRPr="00736318">
        <w:rPr>
          <w:rFonts w:ascii="Arial" w:hAnsi="Arial" w:cs="Arial"/>
          <w:sz w:val="24"/>
          <w:szCs w:val="24"/>
        </w:rPr>
        <w:t xml:space="preserve">essentially </w:t>
      </w:r>
      <w:r w:rsidR="008262AF" w:rsidRPr="00736318">
        <w:rPr>
          <w:rFonts w:ascii="Arial" w:hAnsi="Arial" w:cs="Arial"/>
          <w:sz w:val="24"/>
          <w:szCs w:val="24"/>
        </w:rPr>
        <w:t xml:space="preserve">two-fold: (a) </w:t>
      </w:r>
      <w:r w:rsidR="00EC4D69" w:rsidRPr="00736318">
        <w:rPr>
          <w:rFonts w:ascii="Arial" w:hAnsi="Arial" w:cs="Arial"/>
          <w:sz w:val="24"/>
          <w:szCs w:val="24"/>
        </w:rPr>
        <w:t>to reply to the averments made by the respondent</w:t>
      </w:r>
      <w:r w:rsidR="00FB0D41" w:rsidRPr="00736318">
        <w:rPr>
          <w:rFonts w:ascii="Arial" w:hAnsi="Arial" w:cs="Arial"/>
          <w:sz w:val="24"/>
          <w:szCs w:val="24"/>
        </w:rPr>
        <w:t xml:space="preserve"> in its supplementary answering affidavit</w:t>
      </w:r>
      <w:r w:rsidR="003C093F" w:rsidRPr="00736318">
        <w:rPr>
          <w:rFonts w:ascii="Arial" w:hAnsi="Arial" w:cs="Arial"/>
          <w:sz w:val="24"/>
          <w:szCs w:val="24"/>
        </w:rPr>
        <w:t>; and (b) to supplement its founding affidavit</w:t>
      </w:r>
      <w:r w:rsidR="00E137A6" w:rsidRPr="00736318">
        <w:rPr>
          <w:rFonts w:ascii="Arial" w:hAnsi="Arial" w:cs="Arial"/>
          <w:sz w:val="24"/>
          <w:szCs w:val="24"/>
        </w:rPr>
        <w:t xml:space="preserve"> ‘insofar as it is suggested that the applicant is introducing new matter that is not in reply’</w:t>
      </w:r>
      <w:r w:rsidR="002234E7" w:rsidRPr="00736318">
        <w:rPr>
          <w:rFonts w:ascii="Arial" w:hAnsi="Arial" w:cs="Arial"/>
          <w:sz w:val="24"/>
          <w:szCs w:val="24"/>
        </w:rPr>
        <w:t>.</w:t>
      </w:r>
    </w:p>
    <w:p w14:paraId="09440008" w14:textId="77777777" w:rsidR="00C16376" w:rsidRDefault="00C16376" w:rsidP="00C16376">
      <w:pPr>
        <w:pStyle w:val="ListParagraph"/>
        <w:spacing w:line="360" w:lineRule="auto"/>
        <w:ind w:left="0"/>
        <w:jc w:val="both"/>
        <w:rPr>
          <w:rFonts w:ascii="Arial" w:hAnsi="Arial" w:cs="Arial"/>
          <w:sz w:val="24"/>
          <w:szCs w:val="24"/>
        </w:rPr>
      </w:pPr>
    </w:p>
    <w:p w14:paraId="59E5065B" w14:textId="568B6091" w:rsidR="00C16376" w:rsidRPr="00736318" w:rsidRDefault="00736318" w:rsidP="00736318">
      <w:pPr>
        <w:spacing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06161D" w:rsidRPr="00736318">
        <w:rPr>
          <w:rFonts w:ascii="Arial" w:hAnsi="Arial" w:cs="Arial"/>
          <w:sz w:val="24"/>
          <w:szCs w:val="24"/>
        </w:rPr>
        <w:t>Pertinently</w:t>
      </w:r>
      <w:r w:rsidR="00C64350" w:rsidRPr="00736318">
        <w:rPr>
          <w:rFonts w:ascii="Arial" w:hAnsi="Arial" w:cs="Arial"/>
          <w:sz w:val="24"/>
          <w:szCs w:val="24"/>
        </w:rPr>
        <w:t>, counsel for the applicant</w:t>
      </w:r>
      <w:r w:rsidR="00F82BB2" w:rsidRPr="00736318">
        <w:rPr>
          <w:rFonts w:ascii="Arial" w:hAnsi="Arial" w:cs="Arial"/>
          <w:sz w:val="24"/>
          <w:szCs w:val="24"/>
        </w:rPr>
        <w:t xml:space="preserve"> </w:t>
      </w:r>
      <w:r w:rsidR="00CF57E7" w:rsidRPr="00736318">
        <w:rPr>
          <w:rFonts w:ascii="Arial" w:hAnsi="Arial" w:cs="Arial"/>
          <w:sz w:val="24"/>
          <w:szCs w:val="24"/>
        </w:rPr>
        <w:t xml:space="preserve">contended </w:t>
      </w:r>
      <w:r w:rsidR="00F82BB2" w:rsidRPr="00736318">
        <w:rPr>
          <w:rFonts w:ascii="Arial" w:hAnsi="Arial" w:cs="Arial"/>
          <w:sz w:val="24"/>
          <w:szCs w:val="24"/>
        </w:rPr>
        <w:t xml:space="preserve">in argument </w:t>
      </w:r>
      <w:r w:rsidR="00CF57E7" w:rsidRPr="00736318">
        <w:rPr>
          <w:rFonts w:ascii="Arial" w:hAnsi="Arial" w:cs="Arial"/>
          <w:sz w:val="24"/>
          <w:szCs w:val="24"/>
        </w:rPr>
        <w:t xml:space="preserve">that the </w:t>
      </w:r>
      <w:r w:rsidR="00DD3339" w:rsidRPr="00736318">
        <w:rPr>
          <w:rFonts w:ascii="Arial" w:hAnsi="Arial" w:cs="Arial"/>
          <w:sz w:val="24"/>
          <w:szCs w:val="24"/>
        </w:rPr>
        <w:t xml:space="preserve">supplementary affidavit served </w:t>
      </w:r>
      <w:r w:rsidR="0006193F" w:rsidRPr="00736318">
        <w:rPr>
          <w:rFonts w:ascii="Arial" w:hAnsi="Arial" w:cs="Arial"/>
          <w:sz w:val="24"/>
          <w:szCs w:val="24"/>
        </w:rPr>
        <w:t xml:space="preserve">additional purposes. These included the need </w:t>
      </w:r>
      <w:r w:rsidR="00E571EC" w:rsidRPr="00736318">
        <w:rPr>
          <w:rFonts w:ascii="Arial" w:hAnsi="Arial" w:cs="Arial"/>
          <w:sz w:val="24"/>
          <w:szCs w:val="24"/>
        </w:rPr>
        <w:t xml:space="preserve">for the applicant </w:t>
      </w:r>
      <w:r w:rsidR="00DD3339" w:rsidRPr="00736318">
        <w:rPr>
          <w:rFonts w:ascii="Arial" w:hAnsi="Arial" w:cs="Arial"/>
          <w:sz w:val="24"/>
          <w:szCs w:val="24"/>
        </w:rPr>
        <w:t xml:space="preserve">to address the question of </w:t>
      </w:r>
      <w:r w:rsidR="00E571EC" w:rsidRPr="00736318">
        <w:rPr>
          <w:rFonts w:ascii="Arial" w:hAnsi="Arial" w:cs="Arial"/>
          <w:sz w:val="24"/>
          <w:szCs w:val="24"/>
        </w:rPr>
        <w:t>its</w:t>
      </w:r>
      <w:r w:rsidR="00DD3339" w:rsidRPr="00736318">
        <w:rPr>
          <w:rFonts w:ascii="Arial" w:hAnsi="Arial" w:cs="Arial"/>
          <w:sz w:val="24"/>
          <w:szCs w:val="24"/>
        </w:rPr>
        <w:t xml:space="preserve"> </w:t>
      </w:r>
      <w:r w:rsidR="00DD3339" w:rsidRPr="00736318">
        <w:rPr>
          <w:rFonts w:ascii="Arial" w:hAnsi="Arial" w:cs="Arial"/>
          <w:i/>
          <w:iCs/>
          <w:sz w:val="24"/>
          <w:szCs w:val="24"/>
        </w:rPr>
        <w:t>locus standi</w:t>
      </w:r>
      <w:r w:rsidR="00F82BB2" w:rsidRPr="00736318">
        <w:rPr>
          <w:rFonts w:ascii="Arial" w:hAnsi="Arial" w:cs="Arial"/>
          <w:sz w:val="24"/>
          <w:szCs w:val="24"/>
        </w:rPr>
        <w:t>,</w:t>
      </w:r>
      <w:r w:rsidR="00EA0DA6" w:rsidRPr="00736318">
        <w:rPr>
          <w:rFonts w:ascii="Arial" w:hAnsi="Arial" w:cs="Arial"/>
          <w:sz w:val="24"/>
          <w:szCs w:val="24"/>
        </w:rPr>
        <w:t xml:space="preserve"> </w:t>
      </w:r>
      <w:r w:rsidR="00E571EC" w:rsidRPr="00736318">
        <w:rPr>
          <w:rFonts w:ascii="Arial" w:hAnsi="Arial" w:cs="Arial"/>
          <w:sz w:val="24"/>
          <w:szCs w:val="24"/>
        </w:rPr>
        <w:t>considering</w:t>
      </w:r>
      <w:r w:rsidR="00EA0DA6" w:rsidRPr="00736318">
        <w:rPr>
          <w:rFonts w:ascii="Arial" w:hAnsi="Arial" w:cs="Arial"/>
          <w:sz w:val="24"/>
          <w:szCs w:val="24"/>
        </w:rPr>
        <w:t xml:space="preserve"> the respondent’s having raised the issue</w:t>
      </w:r>
      <w:r w:rsidR="00427F6D" w:rsidRPr="00736318">
        <w:rPr>
          <w:rFonts w:ascii="Arial" w:hAnsi="Arial" w:cs="Arial"/>
          <w:sz w:val="24"/>
          <w:szCs w:val="24"/>
        </w:rPr>
        <w:t xml:space="preserve"> about whether the applicant is an employer</w:t>
      </w:r>
      <w:r w:rsidR="0006193F" w:rsidRPr="00736318">
        <w:rPr>
          <w:rFonts w:ascii="Arial" w:hAnsi="Arial" w:cs="Arial"/>
          <w:sz w:val="24"/>
          <w:szCs w:val="24"/>
        </w:rPr>
        <w:t xml:space="preserve"> for purposes of claiming payment of the ETI refunds</w:t>
      </w:r>
      <w:r w:rsidR="00F82BB2" w:rsidRPr="00736318">
        <w:rPr>
          <w:rFonts w:ascii="Arial" w:hAnsi="Arial" w:cs="Arial"/>
          <w:sz w:val="24"/>
          <w:szCs w:val="24"/>
        </w:rPr>
        <w:t xml:space="preserve">. It also </w:t>
      </w:r>
      <w:r w:rsidR="00B94FF3" w:rsidRPr="00736318">
        <w:rPr>
          <w:rFonts w:ascii="Arial" w:hAnsi="Arial" w:cs="Arial"/>
          <w:sz w:val="24"/>
          <w:szCs w:val="24"/>
        </w:rPr>
        <w:t>served to highlight the respondent’s alleged contradictory stance in relation</w:t>
      </w:r>
      <w:r w:rsidR="008D1D3B" w:rsidRPr="00736318">
        <w:rPr>
          <w:rFonts w:ascii="Arial" w:hAnsi="Arial" w:cs="Arial"/>
          <w:sz w:val="24"/>
          <w:szCs w:val="24"/>
        </w:rPr>
        <w:t xml:space="preserve"> there</w:t>
      </w:r>
      <w:r w:rsidR="00D90C28" w:rsidRPr="00736318">
        <w:rPr>
          <w:rFonts w:ascii="Arial" w:hAnsi="Arial" w:cs="Arial"/>
          <w:sz w:val="24"/>
          <w:szCs w:val="24"/>
        </w:rPr>
        <w:t>to</w:t>
      </w:r>
      <w:r w:rsidR="008D1D3B" w:rsidRPr="00736318">
        <w:rPr>
          <w:rFonts w:ascii="Arial" w:hAnsi="Arial" w:cs="Arial"/>
          <w:sz w:val="24"/>
          <w:szCs w:val="24"/>
        </w:rPr>
        <w:t xml:space="preserve">, as apparent </w:t>
      </w:r>
      <w:r w:rsidR="00912252" w:rsidRPr="00736318">
        <w:rPr>
          <w:rFonts w:ascii="Arial" w:hAnsi="Arial" w:cs="Arial"/>
          <w:sz w:val="24"/>
          <w:szCs w:val="24"/>
        </w:rPr>
        <w:t>from</w:t>
      </w:r>
      <w:r w:rsidR="00D90C28" w:rsidRPr="00736318">
        <w:rPr>
          <w:rFonts w:ascii="Arial" w:hAnsi="Arial" w:cs="Arial"/>
          <w:sz w:val="24"/>
          <w:szCs w:val="24"/>
        </w:rPr>
        <w:t xml:space="preserve"> the Tax Appeal Court proceedings</w:t>
      </w:r>
      <w:r w:rsidR="009C63BE" w:rsidRPr="00736318">
        <w:rPr>
          <w:rFonts w:ascii="Arial" w:hAnsi="Arial" w:cs="Arial"/>
          <w:sz w:val="24"/>
          <w:szCs w:val="24"/>
        </w:rPr>
        <w:t xml:space="preserve"> on the one hand</w:t>
      </w:r>
      <w:r w:rsidR="00401831" w:rsidRPr="00736318">
        <w:rPr>
          <w:rFonts w:ascii="Arial" w:hAnsi="Arial" w:cs="Arial"/>
          <w:sz w:val="24"/>
          <w:szCs w:val="24"/>
        </w:rPr>
        <w:t xml:space="preserve"> </w:t>
      </w:r>
      <w:r w:rsidR="009C63BE" w:rsidRPr="00736318">
        <w:rPr>
          <w:rFonts w:ascii="Arial" w:hAnsi="Arial" w:cs="Arial"/>
          <w:sz w:val="24"/>
          <w:szCs w:val="24"/>
        </w:rPr>
        <w:t xml:space="preserve">and the </w:t>
      </w:r>
      <w:r w:rsidR="0024555F" w:rsidRPr="00736318">
        <w:rPr>
          <w:rFonts w:ascii="Arial" w:hAnsi="Arial" w:cs="Arial"/>
          <w:sz w:val="24"/>
          <w:szCs w:val="24"/>
        </w:rPr>
        <w:t>main application before this court</w:t>
      </w:r>
      <w:r w:rsidR="009C63BE" w:rsidRPr="00736318">
        <w:rPr>
          <w:rFonts w:ascii="Arial" w:hAnsi="Arial" w:cs="Arial"/>
          <w:sz w:val="24"/>
          <w:szCs w:val="24"/>
        </w:rPr>
        <w:t xml:space="preserve"> on the other.</w:t>
      </w:r>
      <w:r w:rsidR="00912252" w:rsidRPr="00736318">
        <w:rPr>
          <w:rFonts w:ascii="Arial" w:hAnsi="Arial" w:cs="Arial"/>
          <w:sz w:val="24"/>
          <w:szCs w:val="24"/>
        </w:rPr>
        <w:t xml:space="preserve"> It served, </w:t>
      </w:r>
      <w:r w:rsidR="001F33AD" w:rsidRPr="00736318">
        <w:rPr>
          <w:rFonts w:ascii="Arial" w:hAnsi="Arial" w:cs="Arial"/>
          <w:sz w:val="24"/>
          <w:szCs w:val="24"/>
        </w:rPr>
        <w:t xml:space="preserve">moreover, to motivate for the </w:t>
      </w:r>
      <w:r w:rsidR="00B67853" w:rsidRPr="00736318">
        <w:rPr>
          <w:rFonts w:ascii="Arial" w:hAnsi="Arial" w:cs="Arial"/>
          <w:sz w:val="24"/>
          <w:szCs w:val="24"/>
        </w:rPr>
        <w:t xml:space="preserve">stay of the </w:t>
      </w:r>
      <w:r w:rsidR="00CE5A18" w:rsidRPr="00736318">
        <w:rPr>
          <w:rFonts w:ascii="Arial" w:hAnsi="Arial" w:cs="Arial"/>
          <w:sz w:val="24"/>
          <w:szCs w:val="24"/>
        </w:rPr>
        <w:t>main application</w:t>
      </w:r>
      <w:r w:rsidR="00B67853" w:rsidRPr="00736318">
        <w:rPr>
          <w:rFonts w:ascii="Arial" w:hAnsi="Arial" w:cs="Arial"/>
          <w:sz w:val="24"/>
          <w:szCs w:val="24"/>
        </w:rPr>
        <w:t xml:space="preserve"> pending the finalization of the appeal, and </w:t>
      </w:r>
      <w:r w:rsidR="005A23E0" w:rsidRPr="00736318">
        <w:rPr>
          <w:rFonts w:ascii="Arial" w:hAnsi="Arial" w:cs="Arial"/>
          <w:sz w:val="24"/>
          <w:szCs w:val="24"/>
        </w:rPr>
        <w:t xml:space="preserve">to provide a basis upon which to seek condonation for </w:t>
      </w:r>
      <w:r w:rsidR="00D22DBF" w:rsidRPr="00736318">
        <w:rPr>
          <w:rFonts w:ascii="Arial" w:hAnsi="Arial" w:cs="Arial"/>
          <w:sz w:val="24"/>
          <w:szCs w:val="24"/>
        </w:rPr>
        <w:t>late delivery.</w:t>
      </w:r>
    </w:p>
    <w:p w14:paraId="4231AF78" w14:textId="77777777" w:rsidR="00C16376" w:rsidRPr="00C16376" w:rsidRDefault="00C16376" w:rsidP="00C16376">
      <w:pPr>
        <w:pStyle w:val="ListParagraph"/>
        <w:rPr>
          <w:rFonts w:ascii="Arial" w:hAnsi="Arial" w:cs="Arial"/>
          <w:sz w:val="24"/>
          <w:szCs w:val="24"/>
        </w:rPr>
      </w:pPr>
    </w:p>
    <w:p w14:paraId="41BD8360" w14:textId="4FBDD769" w:rsidR="00C16376" w:rsidRPr="00736318" w:rsidRDefault="00736318" w:rsidP="00736318">
      <w:pPr>
        <w:spacing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8E1900" w:rsidRPr="00736318">
        <w:rPr>
          <w:rFonts w:ascii="Arial" w:hAnsi="Arial" w:cs="Arial"/>
          <w:sz w:val="24"/>
          <w:szCs w:val="24"/>
        </w:rPr>
        <w:t xml:space="preserve">The </w:t>
      </w:r>
      <w:r w:rsidR="00AD1E03" w:rsidRPr="00736318">
        <w:rPr>
          <w:rFonts w:ascii="Arial" w:hAnsi="Arial" w:cs="Arial"/>
          <w:sz w:val="24"/>
          <w:szCs w:val="24"/>
        </w:rPr>
        <w:t>immediate difficulty facing the applicant</w:t>
      </w:r>
      <w:r w:rsidR="0070393C" w:rsidRPr="00736318">
        <w:rPr>
          <w:rFonts w:ascii="Arial" w:hAnsi="Arial" w:cs="Arial"/>
          <w:sz w:val="24"/>
          <w:szCs w:val="24"/>
        </w:rPr>
        <w:t>, however,</w:t>
      </w:r>
      <w:r w:rsidR="00AD1E03" w:rsidRPr="00736318">
        <w:rPr>
          <w:rFonts w:ascii="Arial" w:hAnsi="Arial" w:cs="Arial"/>
          <w:sz w:val="24"/>
          <w:szCs w:val="24"/>
        </w:rPr>
        <w:t xml:space="preserve"> is</w:t>
      </w:r>
      <w:r w:rsidR="005C6FF5" w:rsidRPr="00736318">
        <w:rPr>
          <w:rFonts w:ascii="Arial" w:hAnsi="Arial" w:cs="Arial"/>
          <w:sz w:val="24"/>
          <w:szCs w:val="24"/>
        </w:rPr>
        <w:t xml:space="preserve"> </w:t>
      </w:r>
      <w:r w:rsidR="00AD1E03" w:rsidRPr="00736318">
        <w:rPr>
          <w:rFonts w:ascii="Arial" w:hAnsi="Arial" w:cs="Arial"/>
          <w:sz w:val="24"/>
          <w:szCs w:val="24"/>
        </w:rPr>
        <w:t>th</w:t>
      </w:r>
      <w:r w:rsidR="005674F2" w:rsidRPr="00736318">
        <w:rPr>
          <w:rFonts w:ascii="Arial" w:hAnsi="Arial" w:cs="Arial"/>
          <w:sz w:val="24"/>
          <w:szCs w:val="24"/>
        </w:rPr>
        <w:t>at</w:t>
      </w:r>
      <w:r w:rsidR="005C6FF5" w:rsidRPr="00736318">
        <w:rPr>
          <w:rFonts w:ascii="Arial" w:hAnsi="Arial" w:cs="Arial"/>
          <w:sz w:val="24"/>
          <w:szCs w:val="24"/>
        </w:rPr>
        <w:t xml:space="preserve">, pursuant to </w:t>
      </w:r>
      <w:r w:rsidR="005D2653" w:rsidRPr="00736318">
        <w:rPr>
          <w:rFonts w:ascii="Arial" w:hAnsi="Arial" w:cs="Arial"/>
          <w:sz w:val="24"/>
          <w:szCs w:val="24"/>
        </w:rPr>
        <w:t>the</w:t>
      </w:r>
      <w:r w:rsidR="005C6FF5" w:rsidRPr="00736318">
        <w:rPr>
          <w:rFonts w:ascii="Arial" w:hAnsi="Arial" w:cs="Arial"/>
          <w:sz w:val="24"/>
          <w:szCs w:val="24"/>
        </w:rPr>
        <w:t xml:space="preserve"> amendment of its notice of motion</w:t>
      </w:r>
      <w:r w:rsidR="005D2653" w:rsidRPr="00736318">
        <w:rPr>
          <w:rFonts w:ascii="Arial" w:hAnsi="Arial" w:cs="Arial"/>
          <w:sz w:val="24"/>
          <w:szCs w:val="24"/>
        </w:rPr>
        <w:t xml:space="preserve">, </w:t>
      </w:r>
      <w:r w:rsidR="005674F2" w:rsidRPr="00736318">
        <w:rPr>
          <w:rFonts w:ascii="Arial" w:hAnsi="Arial" w:cs="Arial"/>
          <w:sz w:val="24"/>
          <w:szCs w:val="24"/>
        </w:rPr>
        <w:t>it was granted leave</w:t>
      </w:r>
      <w:r w:rsidR="005D2653" w:rsidRPr="00736318">
        <w:rPr>
          <w:rFonts w:ascii="Arial" w:hAnsi="Arial" w:cs="Arial"/>
          <w:sz w:val="24"/>
          <w:szCs w:val="24"/>
        </w:rPr>
        <w:t xml:space="preserve"> </w:t>
      </w:r>
      <w:r w:rsidR="005D5FB8" w:rsidRPr="00736318">
        <w:rPr>
          <w:rFonts w:ascii="Arial" w:hAnsi="Arial" w:cs="Arial"/>
          <w:sz w:val="24"/>
          <w:szCs w:val="24"/>
        </w:rPr>
        <w:t xml:space="preserve">merely </w:t>
      </w:r>
      <w:r w:rsidR="005D2653" w:rsidRPr="00736318">
        <w:rPr>
          <w:rFonts w:ascii="Arial" w:hAnsi="Arial" w:cs="Arial"/>
          <w:sz w:val="24"/>
          <w:szCs w:val="24"/>
        </w:rPr>
        <w:t xml:space="preserve">to </w:t>
      </w:r>
      <w:r w:rsidR="005D5FB8" w:rsidRPr="00736318">
        <w:rPr>
          <w:rFonts w:ascii="Arial" w:hAnsi="Arial" w:cs="Arial"/>
          <w:sz w:val="24"/>
          <w:szCs w:val="24"/>
        </w:rPr>
        <w:t>deliver a supplementary rep</w:t>
      </w:r>
      <w:r w:rsidR="0009196B" w:rsidRPr="00736318">
        <w:rPr>
          <w:rFonts w:ascii="Arial" w:hAnsi="Arial" w:cs="Arial"/>
          <w:sz w:val="24"/>
          <w:szCs w:val="24"/>
        </w:rPr>
        <w:t>l</w:t>
      </w:r>
      <w:r w:rsidR="005D5FB8" w:rsidRPr="00736318">
        <w:rPr>
          <w:rFonts w:ascii="Arial" w:hAnsi="Arial" w:cs="Arial"/>
          <w:sz w:val="24"/>
          <w:szCs w:val="24"/>
        </w:rPr>
        <w:t>ying affidavit</w:t>
      </w:r>
      <w:r w:rsidR="0009196B" w:rsidRPr="00736318">
        <w:rPr>
          <w:rFonts w:ascii="Arial" w:hAnsi="Arial" w:cs="Arial"/>
          <w:sz w:val="24"/>
          <w:szCs w:val="24"/>
        </w:rPr>
        <w:t xml:space="preserve">. This was to </w:t>
      </w:r>
      <w:r w:rsidR="00902915" w:rsidRPr="00736318">
        <w:rPr>
          <w:rFonts w:ascii="Arial" w:hAnsi="Arial" w:cs="Arial"/>
          <w:sz w:val="24"/>
          <w:szCs w:val="24"/>
        </w:rPr>
        <w:t xml:space="preserve">deal with the respondent’s supplementary answering affidavit. It was not granted leave to deliver </w:t>
      </w:r>
      <w:r w:rsidR="00C548AA" w:rsidRPr="00736318">
        <w:rPr>
          <w:rFonts w:ascii="Arial" w:hAnsi="Arial" w:cs="Arial"/>
          <w:sz w:val="24"/>
          <w:szCs w:val="24"/>
        </w:rPr>
        <w:t>a</w:t>
      </w:r>
      <w:r w:rsidR="00902915" w:rsidRPr="00736318">
        <w:rPr>
          <w:rFonts w:ascii="Arial" w:hAnsi="Arial" w:cs="Arial"/>
          <w:sz w:val="24"/>
          <w:szCs w:val="24"/>
        </w:rPr>
        <w:t xml:space="preserve"> multi-purpose affidavit </w:t>
      </w:r>
      <w:r w:rsidR="009C43B2" w:rsidRPr="00736318">
        <w:rPr>
          <w:rFonts w:ascii="Arial" w:hAnsi="Arial" w:cs="Arial"/>
          <w:sz w:val="24"/>
          <w:szCs w:val="24"/>
        </w:rPr>
        <w:t>of the nature presently before the court</w:t>
      </w:r>
      <w:r w:rsidR="00B65401" w:rsidRPr="00736318">
        <w:rPr>
          <w:rFonts w:ascii="Arial" w:hAnsi="Arial" w:cs="Arial"/>
          <w:sz w:val="24"/>
          <w:szCs w:val="24"/>
        </w:rPr>
        <w:t>.</w:t>
      </w:r>
    </w:p>
    <w:p w14:paraId="1E65D271" w14:textId="77777777" w:rsidR="00C16376" w:rsidRPr="00C16376" w:rsidRDefault="00C16376" w:rsidP="00C16376">
      <w:pPr>
        <w:pStyle w:val="ListParagraph"/>
        <w:rPr>
          <w:rFonts w:ascii="Arial" w:hAnsi="Arial" w:cs="Arial"/>
          <w:sz w:val="24"/>
          <w:szCs w:val="24"/>
        </w:rPr>
      </w:pPr>
    </w:p>
    <w:p w14:paraId="54C4C165" w14:textId="2C4ECFAF" w:rsidR="00C16376" w:rsidRPr="00736318" w:rsidRDefault="00736318" w:rsidP="00736318">
      <w:pPr>
        <w:spacing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DE33E5" w:rsidRPr="00736318">
        <w:rPr>
          <w:rFonts w:ascii="Arial" w:hAnsi="Arial" w:cs="Arial"/>
          <w:sz w:val="24"/>
          <w:szCs w:val="24"/>
        </w:rPr>
        <w:t>Counsel for t</w:t>
      </w:r>
      <w:r w:rsidR="00B65401" w:rsidRPr="00736318">
        <w:rPr>
          <w:rFonts w:ascii="Arial" w:hAnsi="Arial" w:cs="Arial"/>
          <w:sz w:val="24"/>
          <w:szCs w:val="24"/>
        </w:rPr>
        <w:t>he respondent</w:t>
      </w:r>
      <w:r w:rsidR="00DE33E5" w:rsidRPr="00736318">
        <w:rPr>
          <w:rFonts w:ascii="Arial" w:hAnsi="Arial" w:cs="Arial"/>
          <w:sz w:val="24"/>
          <w:szCs w:val="24"/>
        </w:rPr>
        <w:t xml:space="preserve"> aptly </w:t>
      </w:r>
      <w:r w:rsidR="00F96D80" w:rsidRPr="00736318">
        <w:rPr>
          <w:rFonts w:ascii="Arial" w:hAnsi="Arial" w:cs="Arial"/>
          <w:sz w:val="24"/>
          <w:szCs w:val="24"/>
        </w:rPr>
        <w:t xml:space="preserve">restated the </w:t>
      </w:r>
      <w:r w:rsidR="002939DB" w:rsidRPr="00736318">
        <w:rPr>
          <w:rFonts w:ascii="Arial" w:hAnsi="Arial" w:cs="Arial"/>
          <w:sz w:val="24"/>
          <w:szCs w:val="24"/>
        </w:rPr>
        <w:t xml:space="preserve">fundamental principle that a party is required to </w:t>
      </w:r>
      <w:r w:rsidR="00E1601C" w:rsidRPr="00736318">
        <w:rPr>
          <w:rFonts w:ascii="Arial" w:hAnsi="Arial" w:cs="Arial"/>
          <w:sz w:val="24"/>
          <w:szCs w:val="24"/>
        </w:rPr>
        <w:t xml:space="preserve">plead its case fully in its founding </w:t>
      </w:r>
      <w:r w:rsidR="00BB6EA4" w:rsidRPr="00736318">
        <w:rPr>
          <w:rFonts w:ascii="Arial" w:hAnsi="Arial" w:cs="Arial"/>
          <w:sz w:val="24"/>
          <w:szCs w:val="24"/>
        </w:rPr>
        <w:t>papers.</w:t>
      </w:r>
      <w:r w:rsidR="00BB6EA4">
        <w:rPr>
          <w:rStyle w:val="FootnoteReference"/>
          <w:rFonts w:ascii="Arial" w:hAnsi="Arial" w:cs="Arial"/>
          <w:sz w:val="24"/>
          <w:szCs w:val="24"/>
        </w:rPr>
        <w:footnoteReference w:id="7"/>
      </w:r>
      <w:r w:rsidR="00627922" w:rsidRPr="00736318">
        <w:rPr>
          <w:rFonts w:ascii="Arial" w:hAnsi="Arial" w:cs="Arial"/>
          <w:sz w:val="24"/>
          <w:szCs w:val="24"/>
        </w:rPr>
        <w:t xml:space="preserve"> </w:t>
      </w:r>
      <w:r w:rsidR="00B7754E" w:rsidRPr="00736318">
        <w:rPr>
          <w:rFonts w:ascii="Arial" w:hAnsi="Arial" w:cs="Arial"/>
          <w:sz w:val="24"/>
          <w:szCs w:val="24"/>
        </w:rPr>
        <w:t>He or she is required</w:t>
      </w:r>
      <w:r w:rsidR="000C23D8" w:rsidRPr="00736318">
        <w:rPr>
          <w:rFonts w:ascii="Arial" w:hAnsi="Arial" w:cs="Arial"/>
          <w:sz w:val="24"/>
          <w:szCs w:val="24"/>
        </w:rPr>
        <w:t xml:space="preserve"> to </w:t>
      </w:r>
      <w:r w:rsidR="006E2FB2" w:rsidRPr="00736318">
        <w:rPr>
          <w:rFonts w:ascii="Arial" w:hAnsi="Arial" w:cs="Arial"/>
          <w:sz w:val="24"/>
          <w:szCs w:val="24"/>
        </w:rPr>
        <w:t>set out</w:t>
      </w:r>
      <w:r w:rsidR="004D6AED" w:rsidRPr="00736318">
        <w:rPr>
          <w:rFonts w:ascii="Arial" w:hAnsi="Arial" w:cs="Arial"/>
          <w:sz w:val="24"/>
          <w:szCs w:val="24"/>
        </w:rPr>
        <w:t xml:space="preserve">, in his or her founding </w:t>
      </w:r>
      <w:r w:rsidR="008B3269" w:rsidRPr="00736318">
        <w:rPr>
          <w:rFonts w:ascii="Arial" w:hAnsi="Arial" w:cs="Arial"/>
          <w:sz w:val="24"/>
          <w:szCs w:val="24"/>
        </w:rPr>
        <w:t>affidavit,</w:t>
      </w:r>
      <w:r w:rsidR="006E2FB2" w:rsidRPr="00736318">
        <w:rPr>
          <w:rFonts w:ascii="Arial" w:hAnsi="Arial" w:cs="Arial"/>
          <w:sz w:val="24"/>
          <w:szCs w:val="24"/>
        </w:rPr>
        <w:t xml:space="preserve"> all the factual allegations relied upon </w:t>
      </w:r>
      <w:r w:rsidR="004D6AED" w:rsidRPr="00736318">
        <w:rPr>
          <w:rFonts w:ascii="Arial" w:hAnsi="Arial" w:cs="Arial"/>
          <w:sz w:val="24"/>
          <w:szCs w:val="24"/>
        </w:rPr>
        <w:t>in relation</w:t>
      </w:r>
      <w:r w:rsidR="008B3269" w:rsidRPr="00736318">
        <w:rPr>
          <w:rFonts w:ascii="Arial" w:hAnsi="Arial" w:cs="Arial"/>
          <w:sz w:val="24"/>
          <w:szCs w:val="24"/>
        </w:rPr>
        <w:t xml:space="preserve"> to the relief </w:t>
      </w:r>
      <w:r w:rsidR="008B3269" w:rsidRPr="00736318">
        <w:rPr>
          <w:rFonts w:ascii="Arial" w:hAnsi="Arial" w:cs="Arial"/>
          <w:sz w:val="24"/>
          <w:szCs w:val="24"/>
        </w:rPr>
        <w:lastRenderedPageBreak/>
        <w:t>sought</w:t>
      </w:r>
      <w:r w:rsidR="0037653A" w:rsidRPr="00736318">
        <w:rPr>
          <w:rFonts w:ascii="Arial" w:hAnsi="Arial" w:cs="Arial"/>
          <w:sz w:val="24"/>
          <w:szCs w:val="24"/>
        </w:rPr>
        <w:t>.</w:t>
      </w:r>
      <w:r w:rsidR="00804977">
        <w:rPr>
          <w:rStyle w:val="FootnoteReference"/>
          <w:rFonts w:ascii="Arial" w:hAnsi="Arial" w:cs="Arial"/>
          <w:sz w:val="24"/>
          <w:szCs w:val="24"/>
        </w:rPr>
        <w:footnoteReference w:id="8"/>
      </w:r>
      <w:r w:rsidR="0008542B" w:rsidRPr="00736318">
        <w:rPr>
          <w:rFonts w:ascii="Arial" w:hAnsi="Arial" w:cs="Arial"/>
          <w:sz w:val="24"/>
          <w:szCs w:val="24"/>
        </w:rPr>
        <w:t xml:space="preserve"> The applicant</w:t>
      </w:r>
      <w:r w:rsidR="00347897" w:rsidRPr="00736318">
        <w:rPr>
          <w:rFonts w:ascii="Arial" w:hAnsi="Arial" w:cs="Arial"/>
          <w:sz w:val="24"/>
          <w:szCs w:val="24"/>
        </w:rPr>
        <w:t>, however,</w:t>
      </w:r>
      <w:r w:rsidR="00E95DF0" w:rsidRPr="00736318">
        <w:rPr>
          <w:rFonts w:ascii="Arial" w:hAnsi="Arial" w:cs="Arial"/>
          <w:sz w:val="24"/>
          <w:szCs w:val="24"/>
        </w:rPr>
        <w:t xml:space="preserve"> has delivered </w:t>
      </w:r>
      <w:r w:rsidR="00347897" w:rsidRPr="00736318">
        <w:rPr>
          <w:rFonts w:ascii="Arial" w:hAnsi="Arial" w:cs="Arial"/>
          <w:sz w:val="24"/>
          <w:szCs w:val="24"/>
        </w:rPr>
        <w:t xml:space="preserve">an affidavit </w:t>
      </w:r>
      <w:r w:rsidR="009F2920" w:rsidRPr="00736318">
        <w:rPr>
          <w:rFonts w:ascii="Arial" w:hAnsi="Arial" w:cs="Arial"/>
          <w:sz w:val="24"/>
          <w:szCs w:val="24"/>
        </w:rPr>
        <w:t>that purports to be both a supplementary replying affidavit and a supplementary founding affidavit</w:t>
      </w:r>
      <w:r w:rsidR="00467649" w:rsidRPr="00736318">
        <w:rPr>
          <w:rFonts w:ascii="Arial" w:hAnsi="Arial" w:cs="Arial"/>
          <w:sz w:val="24"/>
          <w:szCs w:val="24"/>
        </w:rPr>
        <w:t xml:space="preserve">. It would be impossible, </w:t>
      </w:r>
      <w:r w:rsidR="00EB7089" w:rsidRPr="00736318">
        <w:rPr>
          <w:rFonts w:ascii="Arial" w:hAnsi="Arial" w:cs="Arial"/>
          <w:sz w:val="24"/>
          <w:szCs w:val="24"/>
        </w:rPr>
        <w:t xml:space="preserve">argued counsel, to unravel which portions pertain to </w:t>
      </w:r>
      <w:r w:rsidR="00FA0611" w:rsidRPr="00736318">
        <w:rPr>
          <w:rFonts w:ascii="Arial" w:hAnsi="Arial" w:cs="Arial"/>
          <w:sz w:val="24"/>
          <w:szCs w:val="24"/>
        </w:rPr>
        <w:t>either one or the other.</w:t>
      </w:r>
      <w:r w:rsidR="00C67F6A" w:rsidRPr="00736318">
        <w:rPr>
          <w:rFonts w:ascii="Arial" w:hAnsi="Arial" w:cs="Arial"/>
          <w:sz w:val="24"/>
          <w:szCs w:val="24"/>
        </w:rPr>
        <w:t xml:space="preserve"> Th</w:t>
      </w:r>
      <w:r w:rsidR="00663DF0" w:rsidRPr="00736318">
        <w:rPr>
          <w:rFonts w:ascii="Arial" w:hAnsi="Arial" w:cs="Arial"/>
          <w:sz w:val="24"/>
          <w:szCs w:val="24"/>
        </w:rPr>
        <w:t>is would amount to piecemeal guesswork</w:t>
      </w:r>
      <w:r w:rsidR="00183669" w:rsidRPr="00736318">
        <w:rPr>
          <w:rFonts w:ascii="Arial" w:hAnsi="Arial" w:cs="Arial"/>
          <w:sz w:val="24"/>
          <w:szCs w:val="24"/>
        </w:rPr>
        <w:t xml:space="preserve"> that would </w:t>
      </w:r>
      <w:r w:rsidR="000047BB" w:rsidRPr="00736318">
        <w:rPr>
          <w:rFonts w:ascii="Arial" w:hAnsi="Arial" w:cs="Arial"/>
          <w:sz w:val="24"/>
          <w:szCs w:val="24"/>
        </w:rPr>
        <w:t xml:space="preserve">cause uncertainty, </w:t>
      </w:r>
      <w:r w:rsidR="00262548" w:rsidRPr="00736318">
        <w:rPr>
          <w:rFonts w:ascii="Arial" w:hAnsi="Arial" w:cs="Arial"/>
          <w:sz w:val="24"/>
          <w:szCs w:val="24"/>
        </w:rPr>
        <w:t xml:space="preserve">offend established practice, </w:t>
      </w:r>
      <w:r w:rsidR="000047BB" w:rsidRPr="00736318">
        <w:rPr>
          <w:rFonts w:ascii="Arial" w:hAnsi="Arial" w:cs="Arial"/>
          <w:sz w:val="24"/>
          <w:szCs w:val="24"/>
        </w:rPr>
        <w:t xml:space="preserve">undermine the principle of </w:t>
      </w:r>
      <w:r w:rsidR="000047BB" w:rsidRPr="00736318">
        <w:rPr>
          <w:rFonts w:ascii="Arial" w:hAnsi="Arial" w:cs="Arial"/>
          <w:i/>
          <w:iCs/>
          <w:sz w:val="24"/>
          <w:szCs w:val="24"/>
        </w:rPr>
        <w:t>audi alteram partem</w:t>
      </w:r>
      <w:r w:rsidR="000047BB" w:rsidRPr="00736318">
        <w:rPr>
          <w:rFonts w:ascii="Arial" w:hAnsi="Arial" w:cs="Arial"/>
          <w:sz w:val="24"/>
          <w:szCs w:val="24"/>
        </w:rPr>
        <w:t>, infringe the URC</w:t>
      </w:r>
      <w:r w:rsidR="00262548" w:rsidRPr="00736318">
        <w:rPr>
          <w:rFonts w:ascii="Arial" w:hAnsi="Arial" w:cs="Arial"/>
          <w:sz w:val="24"/>
          <w:szCs w:val="24"/>
        </w:rPr>
        <w:t>,</w:t>
      </w:r>
      <w:r w:rsidR="00494E62" w:rsidRPr="00736318">
        <w:rPr>
          <w:rFonts w:ascii="Arial" w:hAnsi="Arial" w:cs="Arial"/>
          <w:sz w:val="24"/>
          <w:szCs w:val="24"/>
        </w:rPr>
        <w:t xml:space="preserve"> and disregard the case law. In short, argued </w:t>
      </w:r>
      <w:r w:rsidR="00206D66" w:rsidRPr="00736318">
        <w:rPr>
          <w:rFonts w:ascii="Arial" w:hAnsi="Arial" w:cs="Arial"/>
          <w:sz w:val="24"/>
          <w:szCs w:val="24"/>
        </w:rPr>
        <w:t>counsel, it would amount to an abuse of process.</w:t>
      </w:r>
      <w:r w:rsidR="00262548" w:rsidRPr="00736318">
        <w:rPr>
          <w:rFonts w:ascii="Arial" w:hAnsi="Arial" w:cs="Arial"/>
          <w:sz w:val="24"/>
          <w:szCs w:val="24"/>
        </w:rPr>
        <w:t xml:space="preserve"> </w:t>
      </w:r>
      <w:r w:rsidR="00910C9A" w:rsidRPr="00736318">
        <w:rPr>
          <w:rFonts w:ascii="Arial" w:hAnsi="Arial" w:cs="Arial"/>
          <w:sz w:val="24"/>
          <w:szCs w:val="24"/>
        </w:rPr>
        <w:t>The court is inclined to agree.</w:t>
      </w:r>
    </w:p>
    <w:p w14:paraId="1B3C13D7" w14:textId="77777777" w:rsidR="00C16376" w:rsidRPr="00C16376" w:rsidRDefault="00C16376" w:rsidP="00C16376">
      <w:pPr>
        <w:pStyle w:val="ListParagraph"/>
        <w:rPr>
          <w:rFonts w:ascii="Arial" w:hAnsi="Arial" w:cs="Arial"/>
          <w:sz w:val="24"/>
          <w:szCs w:val="24"/>
        </w:rPr>
      </w:pPr>
    </w:p>
    <w:p w14:paraId="4FA1956E" w14:textId="7AB7CA8B" w:rsidR="004E318C" w:rsidRPr="00736318" w:rsidRDefault="00736318" w:rsidP="00736318">
      <w:pPr>
        <w:spacing w:line="360" w:lineRule="auto"/>
        <w:jc w:val="both"/>
        <w:rPr>
          <w:rFonts w:ascii="Arial" w:hAnsi="Arial" w:cs="Arial"/>
          <w:sz w:val="24"/>
          <w:szCs w:val="24"/>
        </w:rPr>
      </w:pPr>
      <w:r w:rsidRPr="00C16376">
        <w:rPr>
          <w:rFonts w:ascii="Arial" w:hAnsi="Arial" w:cs="Arial"/>
          <w:sz w:val="24"/>
          <w:szCs w:val="24"/>
        </w:rPr>
        <w:t>[42]</w:t>
      </w:r>
      <w:r w:rsidRPr="00C16376">
        <w:rPr>
          <w:rFonts w:ascii="Arial" w:hAnsi="Arial" w:cs="Arial"/>
          <w:sz w:val="24"/>
          <w:szCs w:val="24"/>
        </w:rPr>
        <w:tab/>
      </w:r>
      <w:r w:rsidR="004E318C" w:rsidRPr="00736318">
        <w:rPr>
          <w:rFonts w:ascii="Arial" w:hAnsi="Arial" w:cs="Arial"/>
          <w:sz w:val="24"/>
          <w:szCs w:val="24"/>
        </w:rPr>
        <w:t xml:space="preserve">In </w:t>
      </w:r>
      <w:r w:rsidR="00E3344D" w:rsidRPr="00736318">
        <w:rPr>
          <w:rFonts w:ascii="Arial" w:hAnsi="Arial" w:cs="Arial"/>
          <w:i/>
          <w:iCs/>
          <w:sz w:val="24"/>
          <w:szCs w:val="24"/>
        </w:rPr>
        <w:t>Hano Trading CC v JR 209</w:t>
      </w:r>
      <w:r w:rsidR="001F343F" w:rsidRPr="00736318">
        <w:rPr>
          <w:rFonts w:ascii="Arial" w:hAnsi="Arial" w:cs="Arial"/>
          <w:i/>
          <w:iCs/>
          <w:sz w:val="24"/>
          <w:szCs w:val="24"/>
        </w:rPr>
        <w:t xml:space="preserve"> Investments (Pty) Ltd and another</w:t>
      </w:r>
      <w:r w:rsidR="001F343F" w:rsidRPr="00736318">
        <w:rPr>
          <w:rFonts w:ascii="Arial" w:hAnsi="Arial" w:cs="Arial"/>
          <w:sz w:val="24"/>
          <w:szCs w:val="24"/>
        </w:rPr>
        <w:t>,</w:t>
      </w:r>
      <w:r w:rsidR="001F343F">
        <w:rPr>
          <w:rStyle w:val="FootnoteReference"/>
          <w:rFonts w:ascii="Arial" w:hAnsi="Arial" w:cs="Arial"/>
          <w:sz w:val="24"/>
          <w:szCs w:val="24"/>
        </w:rPr>
        <w:footnoteReference w:id="9"/>
      </w:r>
      <w:r w:rsidR="000C25E0" w:rsidRPr="00736318">
        <w:rPr>
          <w:rFonts w:ascii="Arial" w:hAnsi="Arial" w:cs="Arial"/>
          <w:sz w:val="24"/>
          <w:szCs w:val="24"/>
        </w:rPr>
        <w:t xml:space="preserve"> the Supreme Court of Appeal, per Erasmus AJA, held as follows:</w:t>
      </w:r>
    </w:p>
    <w:p w14:paraId="1974A530" w14:textId="77777777" w:rsidR="00DC14D1" w:rsidRDefault="00DC14D1" w:rsidP="00C16376">
      <w:pPr>
        <w:spacing w:line="360" w:lineRule="auto"/>
        <w:ind w:left="720"/>
        <w:jc w:val="both"/>
        <w:rPr>
          <w:rFonts w:ascii="Arial" w:hAnsi="Arial" w:cs="Arial"/>
          <w:sz w:val="24"/>
          <w:szCs w:val="24"/>
        </w:rPr>
      </w:pPr>
    </w:p>
    <w:p w14:paraId="0B5BEA21" w14:textId="6082EAC0" w:rsidR="00BA3937" w:rsidRPr="001D2350" w:rsidRDefault="00BA3937" w:rsidP="00C16376">
      <w:pPr>
        <w:spacing w:line="360" w:lineRule="auto"/>
        <w:ind w:left="720"/>
        <w:jc w:val="both"/>
        <w:rPr>
          <w:rFonts w:ascii="Arial" w:hAnsi="Arial" w:cs="Arial"/>
          <w:sz w:val="20"/>
          <w:szCs w:val="20"/>
        </w:rPr>
      </w:pPr>
      <w:r w:rsidRPr="001D2350">
        <w:rPr>
          <w:rFonts w:ascii="Arial" w:hAnsi="Arial" w:cs="Arial"/>
          <w:sz w:val="20"/>
          <w:szCs w:val="20"/>
        </w:rPr>
        <w:t>‘…</w:t>
      </w:r>
      <w:r w:rsidR="001477BA" w:rsidRPr="001D2350">
        <w:rPr>
          <w:rFonts w:ascii="Arial" w:hAnsi="Arial" w:cs="Arial"/>
          <w:sz w:val="20"/>
          <w:szCs w:val="20"/>
        </w:rPr>
        <w:t xml:space="preserve">rule 6(5)(e) establishes clearly that </w:t>
      </w:r>
      <w:r w:rsidR="00A43A7C" w:rsidRPr="001D2350">
        <w:rPr>
          <w:rFonts w:ascii="Arial" w:hAnsi="Arial" w:cs="Arial"/>
          <w:sz w:val="20"/>
          <w:szCs w:val="20"/>
        </w:rPr>
        <w:t xml:space="preserve">the filing of further </w:t>
      </w:r>
      <w:r w:rsidR="00306E8D" w:rsidRPr="001D2350">
        <w:rPr>
          <w:rFonts w:ascii="Arial" w:hAnsi="Arial" w:cs="Arial"/>
          <w:sz w:val="20"/>
          <w:szCs w:val="20"/>
        </w:rPr>
        <w:t>affidavits is only permitted</w:t>
      </w:r>
      <w:r w:rsidR="00E110BA" w:rsidRPr="001D2350">
        <w:rPr>
          <w:rFonts w:ascii="Arial" w:hAnsi="Arial" w:cs="Arial"/>
          <w:sz w:val="20"/>
          <w:szCs w:val="20"/>
        </w:rPr>
        <w:t xml:space="preserve"> with the indulgence of the court. A court, as arbiter, has the sole discretion </w:t>
      </w:r>
      <w:r w:rsidR="009C1798" w:rsidRPr="001D2350">
        <w:rPr>
          <w:rFonts w:ascii="Arial" w:hAnsi="Arial" w:cs="Arial"/>
          <w:sz w:val="20"/>
          <w:szCs w:val="20"/>
        </w:rPr>
        <w:t>whether to allow the affidavits or not. A court will only exercise its discretion</w:t>
      </w:r>
      <w:r w:rsidR="009C4802" w:rsidRPr="001D2350">
        <w:rPr>
          <w:rFonts w:ascii="Arial" w:hAnsi="Arial" w:cs="Arial"/>
          <w:sz w:val="20"/>
          <w:szCs w:val="20"/>
        </w:rPr>
        <w:t xml:space="preserve"> in this regard where there is good reason for doing so.</w:t>
      </w:r>
    </w:p>
    <w:p w14:paraId="6517DA8A" w14:textId="6DA7B3A5" w:rsidR="009C4802" w:rsidRPr="001D2350" w:rsidRDefault="009C4802" w:rsidP="00C16376">
      <w:pPr>
        <w:spacing w:line="360" w:lineRule="auto"/>
        <w:ind w:left="720"/>
        <w:jc w:val="both"/>
        <w:rPr>
          <w:rFonts w:ascii="Arial" w:hAnsi="Arial" w:cs="Arial"/>
          <w:sz w:val="20"/>
          <w:szCs w:val="20"/>
        </w:rPr>
      </w:pPr>
      <w:r w:rsidRPr="001D2350">
        <w:rPr>
          <w:rFonts w:ascii="Arial" w:hAnsi="Arial" w:cs="Arial"/>
          <w:sz w:val="20"/>
          <w:szCs w:val="20"/>
        </w:rPr>
        <w:t xml:space="preserve">…This court stated in </w:t>
      </w:r>
      <w:r w:rsidRPr="001D2350">
        <w:rPr>
          <w:rFonts w:ascii="Arial" w:hAnsi="Arial" w:cs="Arial"/>
          <w:i/>
          <w:iCs/>
          <w:sz w:val="20"/>
          <w:szCs w:val="20"/>
        </w:rPr>
        <w:t>James Brown</w:t>
      </w:r>
      <w:r w:rsidR="00E16E25" w:rsidRPr="001D2350">
        <w:rPr>
          <w:rFonts w:ascii="Arial" w:hAnsi="Arial" w:cs="Arial"/>
          <w:i/>
          <w:iCs/>
          <w:sz w:val="20"/>
          <w:szCs w:val="20"/>
        </w:rPr>
        <w:t xml:space="preserve"> &amp; Hamer (Pty) Ltd (previously named </w:t>
      </w:r>
      <w:r w:rsidR="008A2C2F" w:rsidRPr="001D2350">
        <w:rPr>
          <w:rFonts w:ascii="Arial" w:hAnsi="Arial" w:cs="Arial"/>
          <w:i/>
          <w:iCs/>
          <w:sz w:val="20"/>
          <w:szCs w:val="20"/>
        </w:rPr>
        <w:t>Gilbert Hamer &amp; Co Ltd</w:t>
      </w:r>
      <w:r w:rsidR="006B0E00" w:rsidRPr="001D2350">
        <w:rPr>
          <w:rFonts w:ascii="Arial" w:hAnsi="Arial" w:cs="Arial"/>
          <w:i/>
          <w:iCs/>
          <w:sz w:val="20"/>
          <w:szCs w:val="20"/>
        </w:rPr>
        <w:t>) v Simmons N</w:t>
      </w:r>
      <w:r w:rsidR="00467DC1" w:rsidRPr="001D2350">
        <w:rPr>
          <w:rFonts w:ascii="Arial" w:hAnsi="Arial" w:cs="Arial"/>
          <w:i/>
          <w:iCs/>
          <w:sz w:val="20"/>
          <w:szCs w:val="20"/>
        </w:rPr>
        <w:t>O</w:t>
      </w:r>
      <w:r w:rsidR="00D91761" w:rsidRPr="001D2350">
        <w:rPr>
          <w:rStyle w:val="FootnoteReference"/>
          <w:rFonts w:ascii="Arial" w:hAnsi="Arial" w:cs="Arial"/>
          <w:sz w:val="20"/>
          <w:szCs w:val="20"/>
        </w:rPr>
        <w:footnoteReference w:id="10"/>
      </w:r>
      <w:r w:rsidR="007336AC">
        <w:rPr>
          <w:rFonts w:ascii="Arial" w:hAnsi="Arial" w:cs="Arial"/>
          <w:sz w:val="20"/>
          <w:szCs w:val="20"/>
        </w:rPr>
        <w:t xml:space="preserve"> </w:t>
      </w:r>
      <w:r w:rsidR="00DC14D1" w:rsidRPr="001D2350">
        <w:rPr>
          <w:rFonts w:ascii="Arial" w:hAnsi="Arial" w:cs="Arial"/>
          <w:sz w:val="20"/>
          <w:szCs w:val="20"/>
        </w:rPr>
        <w:t>that:</w:t>
      </w:r>
    </w:p>
    <w:p w14:paraId="0DF7BA98" w14:textId="7869BA22" w:rsidR="00C87FF6" w:rsidRPr="001D2350" w:rsidRDefault="00C87FF6" w:rsidP="00C16376">
      <w:pPr>
        <w:spacing w:line="360" w:lineRule="auto"/>
        <w:ind w:left="1440"/>
        <w:jc w:val="both"/>
        <w:rPr>
          <w:rFonts w:ascii="Arial" w:hAnsi="Arial" w:cs="Arial"/>
          <w:sz w:val="20"/>
          <w:szCs w:val="20"/>
        </w:rPr>
      </w:pPr>
      <w:r w:rsidRPr="001D2350">
        <w:rPr>
          <w:rFonts w:ascii="Arial" w:hAnsi="Arial" w:cs="Arial"/>
          <w:sz w:val="20"/>
          <w:szCs w:val="20"/>
        </w:rPr>
        <w:t xml:space="preserve">“It is in the interests of the administration of justice that </w:t>
      </w:r>
      <w:r w:rsidR="009611B7" w:rsidRPr="001D2350">
        <w:rPr>
          <w:rFonts w:ascii="Arial" w:hAnsi="Arial" w:cs="Arial"/>
          <w:sz w:val="20"/>
          <w:szCs w:val="20"/>
        </w:rPr>
        <w:t xml:space="preserve">the </w:t>
      </w:r>
      <w:r w:rsidR="00813747" w:rsidRPr="001D2350">
        <w:rPr>
          <w:rFonts w:ascii="Arial" w:hAnsi="Arial" w:cs="Arial"/>
          <w:sz w:val="20"/>
          <w:szCs w:val="20"/>
        </w:rPr>
        <w:t>well-known</w:t>
      </w:r>
      <w:r w:rsidR="009611B7" w:rsidRPr="001D2350">
        <w:rPr>
          <w:rFonts w:ascii="Arial" w:hAnsi="Arial" w:cs="Arial"/>
          <w:sz w:val="20"/>
          <w:szCs w:val="20"/>
        </w:rPr>
        <w:t xml:space="preserve"> and </w:t>
      </w:r>
      <w:r w:rsidR="00813747" w:rsidRPr="001D2350">
        <w:rPr>
          <w:rFonts w:ascii="Arial" w:hAnsi="Arial" w:cs="Arial"/>
          <w:sz w:val="20"/>
          <w:szCs w:val="20"/>
        </w:rPr>
        <w:t>well-established</w:t>
      </w:r>
      <w:r w:rsidR="009611B7" w:rsidRPr="001D2350">
        <w:rPr>
          <w:rFonts w:ascii="Arial" w:hAnsi="Arial" w:cs="Arial"/>
          <w:sz w:val="20"/>
          <w:szCs w:val="20"/>
        </w:rPr>
        <w:t xml:space="preserve"> general rules regarding </w:t>
      </w:r>
      <w:r w:rsidR="006067F1" w:rsidRPr="001D2350">
        <w:rPr>
          <w:rFonts w:ascii="Arial" w:hAnsi="Arial" w:cs="Arial"/>
          <w:sz w:val="20"/>
          <w:szCs w:val="20"/>
        </w:rPr>
        <w:t xml:space="preserve">the number of sets and the proper sequence of affidavits in motion proceedings </w:t>
      </w:r>
      <w:r w:rsidR="00482F37" w:rsidRPr="001D2350">
        <w:rPr>
          <w:rFonts w:ascii="Arial" w:hAnsi="Arial" w:cs="Arial"/>
          <w:sz w:val="20"/>
          <w:szCs w:val="20"/>
        </w:rPr>
        <w:t xml:space="preserve">should ordinarily be observed. That is not to say that </w:t>
      </w:r>
      <w:r w:rsidR="00910EAB" w:rsidRPr="001D2350">
        <w:rPr>
          <w:rFonts w:ascii="Arial" w:hAnsi="Arial" w:cs="Arial"/>
          <w:sz w:val="20"/>
          <w:szCs w:val="20"/>
        </w:rPr>
        <w:t xml:space="preserve">those general rules must always be rigidly applied: some flexibility, controlled by the presiding </w:t>
      </w:r>
      <w:r w:rsidR="00BE547F" w:rsidRPr="001D2350">
        <w:rPr>
          <w:rFonts w:ascii="Arial" w:hAnsi="Arial" w:cs="Arial"/>
          <w:sz w:val="20"/>
          <w:szCs w:val="20"/>
        </w:rPr>
        <w:t>J</w:t>
      </w:r>
      <w:r w:rsidR="00910EAB" w:rsidRPr="001D2350">
        <w:rPr>
          <w:rFonts w:ascii="Arial" w:hAnsi="Arial" w:cs="Arial"/>
          <w:sz w:val="20"/>
          <w:szCs w:val="20"/>
        </w:rPr>
        <w:t>udge</w:t>
      </w:r>
      <w:r w:rsidR="00BE547F" w:rsidRPr="001D2350">
        <w:rPr>
          <w:rFonts w:ascii="Arial" w:hAnsi="Arial" w:cs="Arial"/>
          <w:sz w:val="20"/>
          <w:szCs w:val="20"/>
        </w:rPr>
        <w:t xml:space="preserve"> exercising his discretion in relation to the facts of the case before him</w:t>
      </w:r>
      <w:r w:rsidR="00521D0C" w:rsidRPr="001D2350">
        <w:rPr>
          <w:rFonts w:ascii="Arial" w:hAnsi="Arial" w:cs="Arial"/>
          <w:sz w:val="20"/>
          <w:szCs w:val="20"/>
        </w:rPr>
        <w:t xml:space="preserve">, must necessarily also be permitted. Where, as in the present case, </w:t>
      </w:r>
      <w:r w:rsidR="00AC6E02" w:rsidRPr="001D2350">
        <w:rPr>
          <w:rFonts w:ascii="Arial" w:hAnsi="Arial" w:cs="Arial"/>
          <w:sz w:val="20"/>
          <w:szCs w:val="20"/>
        </w:rPr>
        <w:t>an affidavit is tendered in motion proceedings both late and out of its ordinary sequence</w:t>
      </w:r>
      <w:r w:rsidR="00687601" w:rsidRPr="001D2350">
        <w:rPr>
          <w:rFonts w:ascii="Arial" w:hAnsi="Arial" w:cs="Arial"/>
          <w:sz w:val="20"/>
          <w:szCs w:val="20"/>
        </w:rPr>
        <w:t>, the party tendering it is seeking not a right, but an indulgence from the Court</w:t>
      </w:r>
      <w:r w:rsidR="004B70D2" w:rsidRPr="001D2350">
        <w:rPr>
          <w:rFonts w:ascii="Arial" w:hAnsi="Arial" w:cs="Arial"/>
          <w:sz w:val="20"/>
          <w:szCs w:val="20"/>
        </w:rPr>
        <w:t>: he must both advance his explanation of why the affidavit is out of time</w:t>
      </w:r>
      <w:r w:rsidR="00F446CC" w:rsidRPr="001D2350">
        <w:rPr>
          <w:rFonts w:ascii="Arial" w:hAnsi="Arial" w:cs="Arial"/>
          <w:sz w:val="20"/>
          <w:szCs w:val="20"/>
        </w:rPr>
        <w:t xml:space="preserve"> and satisfy the Court that, although the affidavit is late, it should, having regard to all the circumstances of the case</w:t>
      </w:r>
      <w:r w:rsidR="0056660C" w:rsidRPr="001D2350">
        <w:rPr>
          <w:rFonts w:ascii="Arial" w:hAnsi="Arial" w:cs="Arial"/>
          <w:sz w:val="20"/>
          <w:szCs w:val="20"/>
        </w:rPr>
        <w:t xml:space="preserve">, nevertheless be received. Attempted definition of the ambit </w:t>
      </w:r>
      <w:r w:rsidR="00C850B8" w:rsidRPr="001D2350">
        <w:rPr>
          <w:rFonts w:ascii="Arial" w:hAnsi="Arial" w:cs="Arial"/>
          <w:sz w:val="20"/>
          <w:szCs w:val="20"/>
        </w:rPr>
        <w:t>of a discretion is neither easy nor desirable. In any event, I do not find it necessary</w:t>
      </w:r>
      <w:r w:rsidR="00784547" w:rsidRPr="001D2350">
        <w:rPr>
          <w:rFonts w:ascii="Arial" w:hAnsi="Arial" w:cs="Arial"/>
          <w:sz w:val="20"/>
          <w:szCs w:val="20"/>
        </w:rPr>
        <w:t xml:space="preserve"> to enter upon any recital or evaluation of the various considerations </w:t>
      </w:r>
      <w:r w:rsidR="0050035F" w:rsidRPr="001D2350">
        <w:rPr>
          <w:rFonts w:ascii="Arial" w:hAnsi="Arial" w:cs="Arial"/>
          <w:sz w:val="20"/>
          <w:szCs w:val="20"/>
        </w:rPr>
        <w:t>which</w:t>
      </w:r>
      <w:r w:rsidR="00784547" w:rsidRPr="001D2350">
        <w:rPr>
          <w:rFonts w:ascii="Arial" w:hAnsi="Arial" w:cs="Arial"/>
          <w:sz w:val="20"/>
          <w:szCs w:val="20"/>
        </w:rPr>
        <w:t xml:space="preserve"> have guided </w:t>
      </w:r>
      <w:r w:rsidR="0050035F" w:rsidRPr="001D2350">
        <w:rPr>
          <w:rFonts w:ascii="Arial" w:hAnsi="Arial" w:cs="Arial"/>
          <w:sz w:val="20"/>
          <w:szCs w:val="20"/>
        </w:rPr>
        <w:t xml:space="preserve">Provincial </w:t>
      </w:r>
      <w:r w:rsidR="0050035F" w:rsidRPr="001D2350">
        <w:rPr>
          <w:rFonts w:ascii="Arial" w:hAnsi="Arial" w:cs="Arial"/>
          <w:sz w:val="20"/>
          <w:szCs w:val="20"/>
        </w:rPr>
        <w:lastRenderedPageBreak/>
        <w:t>Courts in exercising a discretion to admit or reject a late</w:t>
      </w:r>
      <w:r w:rsidR="00B9725F" w:rsidRPr="001D2350">
        <w:rPr>
          <w:rFonts w:ascii="Arial" w:hAnsi="Arial" w:cs="Arial"/>
          <w:sz w:val="20"/>
          <w:szCs w:val="20"/>
        </w:rPr>
        <w:t xml:space="preserve"> tendered affidavit…</w:t>
      </w:r>
      <w:r w:rsidR="00836438" w:rsidRPr="001D2350">
        <w:rPr>
          <w:rFonts w:ascii="Arial" w:hAnsi="Arial" w:cs="Arial"/>
          <w:sz w:val="20"/>
          <w:szCs w:val="20"/>
        </w:rPr>
        <w:t xml:space="preserve"> It is sufficient for the purposes of this appeal to say that, </w:t>
      </w:r>
      <w:r w:rsidR="0033594B" w:rsidRPr="001D2350">
        <w:rPr>
          <w:rFonts w:ascii="Arial" w:hAnsi="Arial" w:cs="Arial"/>
          <w:sz w:val="20"/>
          <w:szCs w:val="20"/>
        </w:rPr>
        <w:t>on any approach to the problem, the adequacy or otherwise</w:t>
      </w:r>
      <w:r w:rsidR="009D5D66" w:rsidRPr="001D2350">
        <w:rPr>
          <w:rFonts w:ascii="Arial" w:hAnsi="Arial" w:cs="Arial"/>
          <w:sz w:val="20"/>
          <w:szCs w:val="20"/>
        </w:rPr>
        <w:t xml:space="preserve"> of the explanation</w:t>
      </w:r>
      <w:r w:rsidR="00AD07E8" w:rsidRPr="001D2350">
        <w:rPr>
          <w:rFonts w:ascii="Arial" w:hAnsi="Arial" w:cs="Arial"/>
          <w:sz w:val="20"/>
          <w:szCs w:val="20"/>
        </w:rPr>
        <w:t xml:space="preserve"> for the late tendering </w:t>
      </w:r>
      <w:r w:rsidR="00A761DC" w:rsidRPr="001D2350">
        <w:rPr>
          <w:rFonts w:ascii="Arial" w:hAnsi="Arial" w:cs="Arial"/>
          <w:sz w:val="20"/>
          <w:szCs w:val="20"/>
        </w:rPr>
        <w:t>of the affidavit will always be an important factor in the enquiry.”</w:t>
      </w:r>
    </w:p>
    <w:p w14:paraId="750659FC" w14:textId="2478D2A8" w:rsidR="00A761DC" w:rsidRPr="001D2350" w:rsidRDefault="00773A0B" w:rsidP="00C16376">
      <w:pPr>
        <w:spacing w:line="360" w:lineRule="auto"/>
        <w:ind w:left="720"/>
        <w:jc w:val="both"/>
        <w:rPr>
          <w:rFonts w:ascii="Arial" w:hAnsi="Arial" w:cs="Arial"/>
          <w:sz w:val="20"/>
          <w:szCs w:val="20"/>
        </w:rPr>
      </w:pPr>
      <w:r w:rsidRPr="001D2350">
        <w:rPr>
          <w:rFonts w:ascii="Arial" w:hAnsi="Arial" w:cs="Arial"/>
          <w:sz w:val="20"/>
          <w:szCs w:val="20"/>
        </w:rPr>
        <w:t xml:space="preserve">…It was then later stated by Dlodlo J in </w:t>
      </w:r>
      <w:r w:rsidRPr="001D2350">
        <w:rPr>
          <w:rFonts w:ascii="Arial" w:hAnsi="Arial" w:cs="Arial"/>
          <w:i/>
          <w:iCs/>
          <w:sz w:val="20"/>
          <w:szCs w:val="20"/>
        </w:rPr>
        <w:t>Standard Bank of SA Ltd</w:t>
      </w:r>
      <w:r w:rsidR="00A471AA" w:rsidRPr="001D2350">
        <w:rPr>
          <w:rFonts w:ascii="Arial" w:hAnsi="Arial" w:cs="Arial"/>
          <w:i/>
          <w:iCs/>
          <w:sz w:val="20"/>
          <w:szCs w:val="20"/>
        </w:rPr>
        <w:t xml:space="preserve"> v Sewpersadh and another</w:t>
      </w:r>
      <w:r w:rsidR="00A471AA" w:rsidRPr="001D2350">
        <w:rPr>
          <w:rStyle w:val="FootnoteReference"/>
          <w:rFonts w:ascii="Arial" w:hAnsi="Arial" w:cs="Arial"/>
          <w:sz w:val="20"/>
          <w:szCs w:val="20"/>
        </w:rPr>
        <w:footnoteReference w:id="11"/>
      </w:r>
      <w:r w:rsidR="00EA4094" w:rsidRPr="001D2350">
        <w:rPr>
          <w:rFonts w:ascii="Arial" w:hAnsi="Arial" w:cs="Arial"/>
          <w:sz w:val="20"/>
          <w:szCs w:val="20"/>
        </w:rPr>
        <w:t>:</w:t>
      </w:r>
    </w:p>
    <w:p w14:paraId="46C35C86" w14:textId="5B0F6F16" w:rsidR="00EA4094" w:rsidRPr="001D2350" w:rsidRDefault="00EA4094" w:rsidP="00C16376">
      <w:pPr>
        <w:spacing w:line="360" w:lineRule="auto"/>
        <w:ind w:left="1440"/>
        <w:jc w:val="both"/>
        <w:rPr>
          <w:rFonts w:ascii="Arial" w:hAnsi="Arial" w:cs="Arial"/>
          <w:sz w:val="20"/>
          <w:szCs w:val="20"/>
        </w:rPr>
      </w:pPr>
      <w:r w:rsidRPr="001D2350">
        <w:rPr>
          <w:rFonts w:ascii="Arial" w:hAnsi="Arial" w:cs="Arial"/>
          <w:sz w:val="20"/>
          <w:szCs w:val="20"/>
        </w:rPr>
        <w:t xml:space="preserve">“The applicant is simply not allowed </w:t>
      </w:r>
      <w:r w:rsidR="00B30C77" w:rsidRPr="001D2350">
        <w:rPr>
          <w:rFonts w:ascii="Arial" w:hAnsi="Arial" w:cs="Arial"/>
          <w:sz w:val="20"/>
          <w:szCs w:val="20"/>
        </w:rPr>
        <w:t>in law to take it upon himself</w:t>
      </w:r>
      <w:r w:rsidR="001F447D" w:rsidRPr="001D2350">
        <w:rPr>
          <w:rFonts w:ascii="Arial" w:hAnsi="Arial" w:cs="Arial"/>
          <w:sz w:val="20"/>
          <w:szCs w:val="20"/>
        </w:rPr>
        <w:t xml:space="preserve"> and [to] file an additional affidavit and put same on record</w:t>
      </w:r>
      <w:r w:rsidR="003A5D6C" w:rsidRPr="001D2350">
        <w:rPr>
          <w:rFonts w:ascii="Arial" w:hAnsi="Arial" w:cs="Arial"/>
          <w:sz w:val="20"/>
          <w:szCs w:val="20"/>
        </w:rPr>
        <w:t xml:space="preserve"> without even serving the other party with the said affidavit…</w:t>
      </w:r>
    </w:p>
    <w:p w14:paraId="7A0AF643" w14:textId="7A257FB9" w:rsidR="003A5D6C" w:rsidRPr="001D2350" w:rsidRDefault="003A5D6C" w:rsidP="00C16376">
      <w:pPr>
        <w:spacing w:line="360" w:lineRule="auto"/>
        <w:ind w:left="1440"/>
        <w:jc w:val="both"/>
        <w:rPr>
          <w:rFonts w:ascii="Arial" w:hAnsi="Arial" w:cs="Arial"/>
          <w:sz w:val="20"/>
          <w:szCs w:val="20"/>
        </w:rPr>
      </w:pPr>
      <w:r w:rsidRPr="001D2350">
        <w:rPr>
          <w:rFonts w:ascii="Arial" w:hAnsi="Arial" w:cs="Arial"/>
          <w:sz w:val="20"/>
          <w:szCs w:val="20"/>
        </w:rPr>
        <w:t xml:space="preserve">Clearly a litigant who wished to file </w:t>
      </w:r>
      <w:r w:rsidR="00D458E0" w:rsidRPr="001D2350">
        <w:rPr>
          <w:rFonts w:ascii="Arial" w:hAnsi="Arial" w:cs="Arial"/>
          <w:sz w:val="20"/>
          <w:szCs w:val="20"/>
        </w:rPr>
        <w:t>a further affidavit must make formal application for leave to do so.</w:t>
      </w:r>
      <w:r w:rsidR="006621FD" w:rsidRPr="001D2350">
        <w:rPr>
          <w:rFonts w:ascii="Arial" w:hAnsi="Arial" w:cs="Arial"/>
          <w:sz w:val="20"/>
          <w:szCs w:val="20"/>
        </w:rPr>
        <w:t xml:space="preserve"> It cannot simply slip the affidavit into the Court file</w:t>
      </w:r>
      <w:r w:rsidR="003557C0" w:rsidRPr="001D2350">
        <w:rPr>
          <w:rFonts w:ascii="Arial" w:hAnsi="Arial" w:cs="Arial"/>
          <w:sz w:val="20"/>
          <w:szCs w:val="20"/>
        </w:rPr>
        <w:t xml:space="preserve"> (as it appears to have been the case in the instant matter).</w:t>
      </w:r>
      <w:r w:rsidR="006621FD" w:rsidRPr="001D2350">
        <w:rPr>
          <w:rFonts w:ascii="Arial" w:hAnsi="Arial" w:cs="Arial"/>
          <w:sz w:val="20"/>
          <w:szCs w:val="20"/>
        </w:rPr>
        <w:t xml:space="preserve"> I am of the firm view</w:t>
      </w:r>
      <w:r w:rsidR="006C729D" w:rsidRPr="001D2350">
        <w:rPr>
          <w:rFonts w:ascii="Arial" w:hAnsi="Arial" w:cs="Arial"/>
          <w:sz w:val="20"/>
          <w:szCs w:val="20"/>
        </w:rPr>
        <w:t xml:space="preserve"> that this affidavit falls to be regarded as </w:t>
      </w:r>
      <w:r w:rsidR="006C729D" w:rsidRPr="007336AC">
        <w:rPr>
          <w:rFonts w:ascii="Arial" w:hAnsi="Arial" w:cs="Arial"/>
          <w:i/>
          <w:iCs/>
          <w:sz w:val="20"/>
          <w:szCs w:val="20"/>
        </w:rPr>
        <w:t>pro non scripto</w:t>
      </w:r>
      <w:r w:rsidR="006C729D" w:rsidRPr="001D2350">
        <w:rPr>
          <w:rFonts w:ascii="Arial" w:hAnsi="Arial" w:cs="Arial"/>
          <w:sz w:val="20"/>
          <w:szCs w:val="20"/>
        </w:rPr>
        <w:t>.”</w:t>
      </w:r>
    </w:p>
    <w:p w14:paraId="202DE178" w14:textId="7BA8BBCE" w:rsidR="00D33816" w:rsidRPr="001D2350" w:rsidRDefault="00D33816" w:rsidP="00C16376">
      <w:pPr>
        <w:spacing w:line="360" w:lineRule="auto"/>
        <w:ind w:left="720"/>
        <w:jc w:val="both"/>
        <w:rPr>
          <w:rFonts w:ascii="Arial" w:hAnsi="Arial" w:cs="Arial"/>
          <w:sz w:val="20"/>
          <w:szCs w:val="20"/>
        </w:rPr>
      </w:pPr>
      <w:r w:rsidRPr="001D2350">
        <w:rPr>
          <w:rFonts w:ascii="Arial" w:hAnsi="Arial" w:cs="Arial"/>
          <w:sz w:val="20"/>
          <w:szCs w:val="20"/>
        </w:rPr>
        <w:t>…To permit the</w:t>
      </w:r>
      <w:r w:rsidR="00233B1F" w:rsidRPr="001D2350">
        <w:rPr>
          <w:rFonts w:ascii="Arial" w:hAnsi="Arial" w:cs="Arial"/>
          <w:sz w:val="20"/>
          <w:szCs w:val="20"/>
        </w:rPr>
        <w:t xml:space="preserve"> filing of further affidavits severely prejudices the party </w:t>
      </w:r>
      <w:r w:rsidR="00813BC0" w:rsidRPr="001D2350">
        <w:rPr>
          <w:rFonts w:ascii="Arial" w:hAnsi="Arial" w:cs="Arial"/>
          <w:sz w:val="20"/>
          <w:szCs w:val="20"/>
        </w:rPr>
        <w:t>who has to meet a case based on those submissions.’</w:t>
      </w:r>
      <w:r w:rsidRPr="001D2350">
        <w:rPr>
          <w:rFonts w:ascii="Arial" w:hAnsi="Arial" w:cs="Arial"/>
          <w:sz w:val="20"/>
          <w:szCs w:val="20"/>
        </w:rPr>
        <w:t xml:space="preserve"> </w:t>
      </w:r>
    </w:p>
    <w:p w14:paraId="6EDB7F8A" w14:textId="77777777" w:rsidR="00DC14D1" w:rsidRDefault="00DC14D1" w:rsidP="00C16376">
      <w:pPr>
        <w:spacing w:line="360" w:lineRule="auto"/>
        <w:jc w:val="both"/>
        <w:rPr>
          <w:rFonts w:ascii="Arial" w:hAnsi="Arial" w:cs="Arial"/>
          <w:sz w:val="24"/>
          <w:szCs w:val="24"/>
        </w:rPr>
      </w:pPr>
    </w:p>
    <w:p w14:paraId="58AEBB34" w14:textId="326AA30F" w:rsidR="00206C48" w:rsidRPr="00736318" w:rsidRDefault="00736318" w:rsidP="00736318">
      <w:pPr>
        <w:spacing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206C48" w:rsidRPr="00736318">
        <w:rPr>
          <w:rFonts w:ascii="Arial" w:hAnsi="Arial" w:cs="Arial"/>
          <w:sz w:val="24"/>
          <w:szCs w:val="24"/>
        </w:rPr>
        <w:t>It is clear from the above that</w:t>
      </w:r>
      <w:r w:rsidR="00666A3B" w:rsidRPr="00736318">
        <w:rPr>
          <w:rFonts w:ascii="Arial" w:hAnsi="Arial" w:cs="Arial"/>
          <w:sz w:val="24"/>
          <w:szCs w:val="24"/>
        </w:rPr>
        <w:t xml:space="preserve"> the court enjoys a wide discretion regarding whether to accept</w:t>
      </w:r>
      <w:r w:rsidR="00D52453" w:rsidRPr="00736318">
        <w:rPr>
          <w:rFonts w:ascii="Arial" w:hAnsi="Arial" w:cs="Arial"/>
          <w:sz w:val="24"/>
          <w:szCs w:val="24"/>
        </w:rPr>
        <w:t xml:space="preserve"> further affidavits. Whereas the applicant obtained </w:t>
      </w:r>
      <w:r w:rsidR="00B936AF" w:rsidRPr="00736318">
        <w:rPr>
          <w:rFonts w:ascii="Arial" w:hAnsi="Arial" w:cs="Arial"/>
          <w:sz w:val="24"/>
          <w:szCs w:val="24"/>
        </w:rPr>
        <w:t xml:space="preserve">leave to deliver a supplementary </w:t>
      </w:r>
      <w:r w:rsidR="00282E04" w:rsidRPr="00736318">
        <w:rPr>
          <w:rFonts w:ascii="Arial" w:hAnsi="Arial" w:cs="Arial"/>
          <w:sz w:val="24"/>
          <w:szCs w:val="24"/>
        </w:rPr>
        <w:t xml:space="preserve">replying </w:t>
      </w:r>
      <w:r w:rsidR="00B936AF" w:rsidRPr="00736318">
        <w:rPr>
          <w:rFonts w:ascii="Arial" w:hAnsi="Arial" w:cs="Arial"/>
          <w:sz w:val="24"/>
          <w:szCs w:val="24"/>
        </w:rPr>
        <w:t>affidavit, the present supplementary affidavit can</w:t>
      </w:r>
      <w:r w:rsidR="00482B4C" w:rsidRPr="00736318">
        <w:rPr>
          <w:rFonts w:ascii="Arial" w:hAnsi="Arial" w:cs="Arial"/>
          <w:sz w:val="24"/>
          <w:szCs w:val="24"/>
        </w:rPr>
        <w:t>, nevertheless,</w:t>
      </w:r>
      <w:r w:rsidR="00B936AF" w:rsidRPr="00736318">
        <w:rPr>
          <w:rFonts w:ascii="Arial" w:hAnsi="Arial" w:cs="Arial"/>
          <w:sz w:val="24"/>
          <w:szCs w:val="24"/>
        </w:rPr>
        <w:t xml:space="preserve"> hardly be described as such</w:t>
      </w:r>
      <w:r w:rsidR="00282E04" w:rsidRPr="00736318">
        <w:rPr>
          <w:rFonts w:ascii="Arial" w:hAnsi="Arial" w:cs="Arial"/>
          <w:sz w:val="24"/>
          <w:szCs w:val="24"/>
        </w:rPr>
        <w:t>.</w:t>
      </w:r>
      <w:r w:rsidR="00666A3B" w:rsidRPr="00736318">
        <w:rPr>
          <w:rFonts w:ascii="Arial" w:hAnsi="Arial" w:cs="Arial"/>
          <w:sz w:val="24"/>
          <w:szCs w:val="24"/>
        </w:rPr>
        <w:t xml:space="preserve"> </w:t>
      </w:r>
    </w:p>
    <w:p w14:paraId="7475693C" w14:textId="77777777" w:rsidR="00C16376" w:rsidRPr="00C16376" w:rsidRDefault="00C16376" w:rsidP="00C16376">
      <w:pPr>
        <w:pStyle w:val="ListParagraph"/>
        <w:spacing w:line="360" w:lineRule="auto"/>
        <w:ind w:left="0"/>
        <w:jc w:val="both"/>
        <w:rPr>
          <w:rFonts w:ascii="Arial" w:hAnsi="Arial" w:cs="Arial"/>
          <w:sz w:val="24"/>
          <w:szCs w:val="24"/>
        </w:rPr>
      </w:pPr>
    </w:p>
    <w:p w14:paraId="49971217" w14:textId="0044D684" w:rsidR="00C16376" w:rsidRPr="00736318" w:rsidRDefault="00736318" w:rsidP="00736318">
      <w:pPr>
        <w:spacing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3D28F6" w:rsidRPr="00736318">
        <w:rPr>
          <w:rFonts w:ascii="Arial" w:hAnsi="Arial" w:cs="Arial"/>
          <w:sz w:val="24"/>
          <w:szCs w:val="24"/>
        </w:rPr>
        <w:t>Counsel for t</w:t>
      </w:r>
      <w:r w:rsidR="00C55E35" w:rsidRPr="00736318">
        <w:rPr>
          <w:rFonts w:ascii="Arial" w:hAnsi="Arial" w:cs="Arial"/>
          <w:sz w:val="24"/>
          <w:szCs w:val="24"/>
        </w:rPr>
        <w:t xml:space="preserve">he applicant </w:t>
      </w:r>
      <w:r w:rsidR="00935052" w:rsidRPr="00736318">
        <w:rPr>
          <w:rFonts w:ascii="Arial" w:hAnsi="Arial" w:cs="Arial"/>
          <w:sz w:val="24"/>
          <w:szCs w:val="24"/>
        </w:rPr>
        <w:t>emphasise</w:t>
      </w:r>
      <w:r w:rsidR="003D28F6" w:rsidRPr="00736318">
        <w:rPr>
          <w:rFonts w:ascii="Arial" w:hAnsi="Arial" w:cs="Arial"/>
          <w:sz w:val="24"/>
          <w:szCs w:val="24"/>
        </w:rPr>
        <w:t>d</w:t>
      </w:r>
      <w:r w:rsidR="00053979" w:rsidRPr="00736318">
        <w:rPr>
          <w:rFonts w:ascii="Arial" w:hAnsi="Arial" w:cs="Arial"/>
          <w:sz w:val="24"/>
          <w:szCs w:val="24"/>
        </w:rPr>
        <w:t xml:space="preserve"> </w:t>
      </w:r>
      <w:r w:rsidR="00935052" w:rsidRPr="00736318">
        <w:rPr>
          <w:rFonts w:ascii="Arial" w:hAnsi="Arial" w:cs="Arial"/>
          <w:sz w:val="24"/>
          <w:szCs w:val="24"/>
        </w:rPr>
        <w:t xml:space="preserve">that </w:t>
      </w:r>
      <w:r w:rsidR="007E1DEA" w:rsidRPr="00736318">
        <w:rPr>
          <w:rFonts w:ascii="Arial" w:hAnsi="Arial" w:cs="Arial"/>
          <w:sz w:val="24"/>
          <w:szCs w:val="24"/>
        </w:rPr>
        <w:t xml:space="preserve">the context of the present dispute is all-important. </w:t>
      </w:r>
      <w:r w:rsidR="008C1E8E" w:rsidRPr="00736318">
        <w:rPr>
          <w:rFonts w:ascii="Arial" w:hAnsi="Arial" w:cs="Arial"/>
          <w:sz w:val="24"/>
          <w:szCs w:val="24"/>
        </w:rPr>
        <w:t xml:space="preserve">The </w:t>
      </w:r>
      <w:r w:rsidR="004E359F" w:rsidRPr="00736318">
        <w:rPr>
          <w:rFonts w:ascii="Arial" w:hAnsi="Arial" w:cs="Arial"/>
          <w:sz w:val="24"/>
          <w:szCs w:val="24"/>
        </w:rPr>
        <w:t xml:space="preserve">genesis of its supplementary affidavit was the respondent’s supplementary answering affidavit, which </w:t>
      </w:r>
      <w:r w:rsidR="005B7224" w:rsidRPr="00736318">
        <w:rPr>
          <w:rFonts w:ascii="Arial" w:hAnsi="Arial" w:cs="Arial"/>
          <w:sz w:val="24"/>
          <w:szCs w:val="24"/>
        </w:rPr>
        <w:t>introduced an entirely new angle to the matter</w:t>
      </w:r>
      <w:r w:rsidR="0010273A" w:rsidRPr="00736318">
        <w:rPr>
          <w:rFonts w:ascii="Arial" w:hAnsi="Arial" w:cs="Arial"/>
          <w:sz w:val="24"/>
          <w:szCs w:val="24"/>
        </w:rPr>
        <w:t xml:space="preserve">. The respondent </w:t>
      </w:r>
      <w:r w:rsidR="005B7224" w:rsidRPr="00736318">
        <w:rPr>
          <w:rFonts w:ascii="Arial" w:hAnsi="Arial" w:cs="Arial"/>
          <w:sz w:val="24"/>
          <w:szCs w:val="24"/>
        </w:rPr>
        <w:t>alleg</w:t>
      </w:r>
      <w:r w:rsidR="0010273A" w:rsidRPr="00736318">
        <w:rPr>
          <w:rFonts w:ascii="Arial" w:hAnsi="Arial" w:cs="Arial"/>
          <w:sz w:val="24"/>
          <w:szCs w:val="24"/>
        </w:rPr>
        <w:t>ed</w:t>
      </w:r>
      <w:r w:rsidR="005B7224" w:rsidRPr="00736318">
        <w:rPr>
          <w:rFonts w:ascii="Arial" w:hAnsi="Arial" w:cs="Arial"/>
          <w:sz w:val="24"/>
          <w:szCs w:val="24"/>
        </w:rPr>
        <w:t xml:space="preserve"> </w:t>
      </w:r>
      <w:r w:rsidR="00842A53" w:rsidRPr="00736318">
        <w:rPr>
          <w:rFonts w:ascii="Arial" w:hAnsi="Arial" w:cs="Arial"/>
          <w:sz w:val="24"/>
          <w:szCs w:val="24"/>
        </w:rPr>
        <w:t xml:space="preserve">that </w:t>
      </w:r>
      <w:r w:rsidR="0003186B" w:rsidRPr="00736318">
        <w:rPr>
          <w:rFonts w:ascii="Arial" w:hAnsi="Arial" w:cs="Arial"/>
          <w:sz w:val="24"/>
          <w:szCs w:val="24"/>
        </w:rPr>
        <w:t xml:space="preserve">the </w:t>
      </w:r>
      <w:r w:rsidR="003B441C" w:rsidRPr="00736318">
        <w:rPr>
          <w:rFonts w:ascii="Arial" w:hAnsi="Arial" w:cs="Arial"/>
          <w:sz w:val="24"/>
          <w:szCs w:val="24"/>
        </w:rPr>
        <w:t xml:space="preserve">applicant was not entitled to payment of the ETI refunds, notwithstanding </w:t>
      </w:r>
      <w:r w:rsidR="00BD3B44" w:rsidRPr="00736318">
        <w:rPr>
          <w:rFonts w:ascii="Arial" w:hAnsi="Arial" w:cs="Arial"/>
          <w:sz w:val="24"/>
          <w:szCs w:val="24"/>
        </w:rPr>
        <w:t xml:space="preserve">the fact that it had </w:t>
      </w:r>
      <w:r w:rsidR="003B441C" w:rsidRPr="00736318">
        <w:rPr>
          <w:rFonts w:ascii="Arial" w:hAnsi="Arial" w:cs="Arial"/>
          <w:sz w:val="24"/>
          <w:szCs w:val="24"/>
        </w:rPr>
        <w:t xml:space="preserve">already received payment </w:t>
      </w:r>
      <w:r w:rsidR="0010273A" w:rsidRPr="00736318">
        <w:rPr>
          <w:rFonts w:ascii="Arial" w:hAnsi="Arial" w:cs="Arial"/>
          <w:sz w:val="24"/>
          <w:szCs w:val="24"/>
        </w:rPr>
        <w:t>thereof</w:t>
      </w:r>
      <w:r w:rsidR="00BD3B44" w:rsidRPr="00736318">
        <w:rPr>
          <w:rFonts w:ascii="Arial" w:hAnsi="Arial" w:cs="Arial"/>
          <w:sz w:val="24"/>
          <w:szCs w:val="24"/>
        </w:rPr>
        <w:t xml:space="preserve">, because of </w:t>
      </w:r>
      <w:r w:rsidR="00D15540" w:rsidRPr="00736318">
        <w:rPr>
          <w:rFonts w:ascii="Arial" w:hAnsi="Arial" w:cs="Arial"/>
          <w:sz w:val="24"/>
          <w:szCs w:val="24"/>
        </w:rPr>
        <w:t>the</w:t>
      </w:r>
      <w:r w:rsidR="00BD3B44" w:rsidRPr="00736318">
        <w:rPr>
          <w:rFonts w:ascii="Arial" w:hAnsi="Arial" w:cs="Arial"/>
          <w:sz w:val="24"/>
          <w:szCs w:val="24"/>
        </w:rPr>
        <w:t xml:space="preserve"> </w:t>
      </w:r>
      <w:r w:rsidR="00FE75E3" w:rsidRPr="00736318">
        <w:rPr>
          <w:rFonts w:ascii="Arial" w:hAnsi="Arial" w:cs="Arial"/>
          <w:sz w:val="24"/>
          <w:szCs w:val="24"/>
        </w:rPr>
        <w:t>assert</w:t>
      </w:r>
      <w:r w:rsidR="00D15540" w:rsidRPr="00736318">
        <w:rPr>
          <w:rFonts w:ascii="Arial" w:hAnsi="Arial" w:cs="Arial"/>
          <w:sz w:val="24"/>
          <w:szCs w:val="24"/>
        </w:rPr>
        <w:t xml:space="preserve">ion, </w:t>
      </w:r>
      <w:r w:rsidR="0010273A" w:rsidRPr="00736318">
        <w:rPr>
          <w:rFonts w:ascii="Arial" w:hAnsi="Arial" w:cs="Arial"/>
          <w:sz w:val="24"/>
          <w:szCs w:val="24"/>
        </w:rPr>
        <w:t xml:space="preserve">made </w:t>
      </w:r>
      <w:r w:rsidR="00D15540" w:rsidRPr="00736318">
        <w:rPr>
          <w:rFonts w:ascii="Arial" w:hAnsi="Arial" w:cs="Arial"/>
          <w:sz w:val="24"/>
          <w:szCs w:val="24"/>
        </w:rPr>
        <w:t xml:space="preserve">in its </w:t>
      </w:r>
      <w:r w:rsidR="00FE75E3" w:rsidRPr="00736318">
        <w:rPr>
          <w:rFonts w:ascii="Arial" w:hAnsi="Arial" w:cs="Arial"/>
          <w:sz w:val="24"/>
          <w:szCs w:val="24"/>
        </w:rPr>
        <w:t>s</w:t>
      </w:r>
      <w:r w:rsidR="0010273A" w:rsidRPr="00736318">
        <w:rPr>
          <w:rFonts w:ascii="Arial" w:hAnsi="Arial" w:cs="Arial"/>
          <w:sz w:val="24"/>
          <w:szCs w:val="24"/>
        </w:rPr>
        <w:t xml:space="preserve">tatement of appeal in the Tax Appeal Court, that it was not </w:t>
      </w:r>
      <w:r w:rsidR="00930936" w:rsidRPr="00736318">
        <w:rPr>
          <w:rFonts w:ascii="Arial" w:hAnsi="Arial" w:cs="Arial"/>
          <w:sz w:val="24"/>
          <w:szCs w:val="24"/>
        </w:rPr>
        <w:t>a</w:t>
      </w:r>
      <w:r w:rsidR="0010273A" w:rsidRPr="00736318">
        <w:rPr>
          <w:rFonts w:ascii="Arial" w:hAnsi="Arial" w:cs="Arial"/>
          <w:sz w:val="24"/>
          <w:szCs w:val="24"/>
        </w:rPr>
        <w:t xml:space="preserve"> principal employer</w:t>
      </w:r>
      <w:r w:rsidR="00C94899" w:rsidRPr="00736318">
        <w:rPr>
          <w:rFonts w:ascii="Arial" w:hAnsi="Arial" w:cs="Arial"/>
          <w:sz w:val="24"/>
          <w:szCs w:val="24"/>
        </w:rPr>
        <w:t xml:space="preserve">. This meant, argued the respondent, that it did not qualify as an employer under </w:t>
      </w:r>
      <w:r w:rsidR="00E54FED" w:rsidRPr="00736318">
        <w:rPr>
          <w:rFonts w:ascii="Arial" w:hAnsi="Arial" w:cs="Arial"/>
          <w:sz w:val="24"/>
          <w:szCs w:val="24"/>
        </w:rPr>
        <w:t xml:space="preserve">either the ETI Act </w:t>
      </w:r>
      <w:r w:rsidR="001747A2" w:rsidRPr="00736318">
        <w:rPr>
          <w:rFonts w:ascii="Arial" w:hAnsi="Arial" w:cs="Arial"/>
          <w:sz w:val="24"/>
          <w:szCs w:val="24"/>
        </w:rPr>
        <w:t>or the Fourt</w:t>
      </w:r>
      <w:r w:rsidR="006A7610" w:rsidRPr="00736318">
        <w:rPr>
          <w:rFonts w:ascii="Arial" w:hAnsi="Arial" w:cs="Arial"/>
          <w:sz w:val="24"/>
          <w:szCs w:val="24"/>
        </w:rPr>
        <w:t>h</w:t>
      </w:r>
      <w:r w:rsidR="001747A2" w:rsidRPr="00736318">
        <w:rPr>
          <w:rFonts w:ascii="Arial" w:hAnsi="Arial" w:cs="Arial"/>
          <w:sz w:val="24"/>
          <w:szCs w:val="24"/>
        </w:rPr>
        <w:t xml:space="preserve"> Schedule to the ITA. The applicant had painted itself into a corner. </w:t>
      </w:r>
      <w:r w:rsidR="00CD255B" w:rsidRPr="00736318">
        <w:rPr>
          <w:rFonts w:ascii="Arial" w:hAnsi="Arial" w:cs="Arial"/>
          <w:sz w:val="24"/>
          <w:szCs w:val="24"/>
        </w:rPr>
        <w:t>This, of course,</w:t>
      </w:r>
      <w:r w:rsidR="009B4A05" w:rsidRPr="00736318">
        <w:rPr>
          <w:rFonts w:ascii="Arial" w:hAnsi="Arial" w:cs="Arial"/>
          <w:sz w:val="24"/>
          <w:szCs w:val="24"/>
        </w:rPr>
        <w:t xml:space="preserve"> </w:t>
      </w:r>
      <w:r w:rsidR="001B10CB" w:rsidRPr="00736318">
        <w:rPr>
          <w:rFonts w:ascii="Arial" w:hAnsi="Arial" w:cs="Arial"/>
          <w:sz w:val="24"/>
          <w:szCs w:val="24"/>
        </w:rPr>
        <w:t xml:space="preserve">called for a proper </w:t>
      </w:r>
      <w:r w:rsidR="00E63E2D" w:rsidRPr="00736318">
        <w:rPr>
          <w:rFonts w:ascii="Arial" w:hAnsi="Arial" w:cs="Arial"/>
          <w:sz w:val="24"/>
          <w:szCs w:val="24"/>
        </w:rPr>
        <w:t xml:space="preserve">explanation, says the applicant, which inevitably entailed </w:t>
      </w:r>
      <w:r w:rsidR="00E63E2D" w:rsidRPr="00736318">
        <w:rPr>
          <w:rFonts w:ascii="Arial" w:hAnsi="Arial" w:cs="Arial"/>
          <w:sz w:val="24"/>
          <w:szCs w:val="24"/>
        </w:rPr>
        <w:lastRenderedPageBreak/>
        <w:t>the introduction of new matter.</w:t>
      </w:r>
      <w:r w:rsidR="00100B7E" w:rsidRPr="00736318">
        <w:rPr>
          <w:rFonts w:ascii="Arial" w:hAnsi="Arial" w:cs="Arial"/>
          <w:sz w:val="24"/>
          <w:szCs w:val="24"/>
        </w:rPr>
        <w:t xml:space="preserve"> </w:t>
      </w:r>
      <w:r w:rsidR="00276D68" w:rsidRPr="00736318">
        <w:rPr>
          <w:rFonts w:ascii="Arial" w:hAnsi="Arial" w:cs="Arial"/>
          <w:sz w:val="24"/>
          <w:szCs w:val="24"/>
        </w:rPr>
        <w:t xml:space="preserve">It was essential, too, from the applicant’s perspective, to highlight the </w:t>
      </w:r>
      <w:r w:rsidR="00FF575B" w:rsidRPr="00736318">
        <w:rPr>
          <w:rFonts w:ascii="Arial" w:hAnsi="Arial" w:cs="Arial"/>
          <w:sz w:val="24"/>
          <w:szCs w:val="24"/>
        </w:rPr>
        <w:t xml:space="preserve">contradictory stance that the respondent had created for itself by </w:t>
      </w:r>
      <w:r w:rsidR="005A276C" w:rsidRPr="00736318">
        <w:rPr>
          <w:rFonts w:ascii="Arial" w:hAnsi="Arial" w:cs="Arial"/>
          <w:sz w:val="24"/>
          <w:szCs w:val="24"/>
        </w:rPr>
        <w:t>adopting such an approach</w:t>
      </w:r>
      <w:r w:rsidR="003547E4" w:rsidRPr="00736318">
        <w:rPr>
          <w:rFonts w:ascii="Arial" w:hAnsi="Arial" w:cs="Arial"/>
          <w:sz w:val="24"/>
          <w:szCs w:val="24"/>
        </w:rPr>
        <w:t xml:space="preserve">. The respondent had, </w:t>
      </w:r>
      <w:r w:rsidR="005A276C" w:rsidRPr="00736318">
        <w:rPr>
          <w:rFonts w:ascii="Arial" w:hAnsi="Arial" w:cs="Arial"/>
          <w:sz w:val="24"/>
          <w:szCs w:val="24"/>
        </w:rPr>
        <w:t>contend</w:t>
      </w:r>
      <w:r w:rsidR="006A1FA0" w:rsidRPr="00736318">
        <w:rPr>
          <w:rFonts w:ascii="Arial" w:hAnsi="Arial" w:cs="Arial"/>
          <w:sz w:val="24"/>
          <w:szCs w:val="24"/>
        </w:rPr>
        <w:t>ed counsel for</w:t>
      </w:r>
      <w:r w:rsidR="0079796E" w:rsidRPr="00736318">
        <w:rPr>
          <w:rFonts w:ascii="Arial" w:hAnsi="Arial" w:cs="Arial"/>
          <w:sz w:val="24"/>
          <w:szCs w:val="24"/>
        </w:rPr>
        <w:t xml:space="preserve"> the applicant, opened </w:t>
      </w:r>
      <w:r w:rsidR="000E02E4" w:rsidRPr="00736318">
        <w:rPr>
          <w:rFonts w:ascii="Arial" w:hAnsi="Arial" w:cs="Arial"/>
          <w:sz w:val="24"/>
          <w:szCs w:val="24"/>
        </w:rPr>
        <w:t>Pandora’s box.</w:t>
      </w:r>
    </w:p>
    <w:p w14:paraId="1740A415" w14:textId="77777777" w:rsidR="00C16376" w:rsidRDefault="00C16376" w:rsidP="00C16376">
      <w:pPr>
        <w:pStyle w:val="ListParagraph"/>
        <w:spacing w:line="360" w:lineRule="auto"/>
        <w:ind w:left="0"/>
        <w:jc w:val="both"/>
        <w:rPr>
          <w:rFonts w:ascii="Arial" w:hAnsi="Arial" w:cs="Arial"/>
          <w:sz w:val="24"/>
          <w:szCs w:val="24"/>
        </w:rPr>
      </w:pPr>
    </w:p>
    <w:p w14:paraId="513FFD7D" w14:textId="45D55111" w:rsidR="00087698" w:rsidRPr="00736318" w:rsidRDefault="00736318" w:rsidP="00736318">
      <w:pPr>
        <w:spacing w:line="360" w:lineRule="auto"/>
        <w:jc w:val="both"/>
        <w:rPr>
          <w:rFonts w:ascii="Arial" w:hAnsi="Arial" w:cs="Arial"/>
          <w:sz w:val="24"/>
          <w:szCs w:val="24"/>
        </w:rPr>
      </w:pPr>
      <w:r w:rsidRPr="00C16376">
        <w:rPr>
          <w:rFonts w:ascii="Arial" w:hAnsi="Arial" w:cs="Arial"/>
          <w:sz w:val="24"/>
          <w:szCs w:val="24"/>
        </w:rPr>
        <w:t>[45]</w:t>
      </w:r>
      <w:r w:rsidRPr="00C16376">
        <w:rPr>
          <w:rFonts w:ascii="Arial" w:hAnsi="Arial" w:cs="Arial"/>
          <w:sz w:val="24"/>
          <w:szCs w:val="24"/>
        </w:rPr>
        <w:tab/>
      </w:r>
      <w:r w:rsidR="00EB7772" w:rsidRPr="00736318">
        <w:rPr>
          <w:rFonts w:ascii="Arial" w:hAnsi="Arial" w:cs="Arial"/>
          <w:sz w:val="24"/>
          <w:szCs w:val="24"/>
        </w:rPr>
        <w:t xml:space="preserve">There is authority for the </w:t>
      </w:r>
      <w:r w:rsidR="00245439" w:rsidRPr="00736318">
        <w:rPr>
          <w:rFonts w:ascii="Arial" w:hAnsi="Arial" w:cs="Arial"/>
          <w:sz w:val="24"/>
          <w:szCs w:val="24"/>
        </w:rPr>
        <w:t xml:space="preserve">proposition that </w:t>
      </w:r>
      <w:r w:rsidR="007F63AF" w:rsidRPr="00736318">
        <w:rPr>
          <w:rFonts w:ascii="Arial" w:hAnsi="Arial" w:cs="Arial"/>
          <w:sz w:val="24"/>
          <w:szCs w:val="24"/>
        </w:rPr>
        <w:t>a</w:t>
      </w:r>
      <w:r w:rsidR="008051BB" w:rsidRPr="00736318">
        <w:rPr>
          <w:rFonts w:ascii="Arial" w:hAnsi="Arial" w:cs="Arial"/>
          <w:sz w:val="24"/>
          <w:szCs w:val="24"/>
        </w:rPr>
        <w:t xml:space="preserve"> party in the position of the applicant may introduce further corroborating facts </w:t>
      </w:r>
      <w:r w:rsidR="00207D82" w:rsidRPr="00736318">
        <w:rPr>
          <w:rFonts w:ascii="Arial" w:hAnsi="Arial" w:cs="Arial"/>
          <w:sz w:val="24"/>
          <w:szCs w:val="24"/>
        </w:rPr>
        <w:t>to respond to the contents of the answering affidavit</w:t>
      </w:r>
      <w:r w:rsidR="00E4521B" w:rsidRPr="00736318">
        <w:rPr>
          <w:rFonts w:ascii="Arial" w:hAnsi="Arial" w:cs="Arial"/>
          <w:sz w:val="24"/>
          <w:szCs w:val="24"/>
        </w:rPr>
        <w:t>.</w:t>
      </w:r>
      <w:r w:rsidR="00E4521B" w:rsidRPr="00E4521B">
        <w:rPr>
          <w:vertAlign w:val="superscript"/>
        </w:rPr>
        <w:footnoteReference w:id="12"/>
      </w:r>
      <w:r w:rsidR="00E4521B" w:rsidRPr="00736318">
        <w:rPr>
          <w:rFonts w:ascii="Arial" w:hAnsi="Arial" w:cs="Arial"/>
          <w:sz w:val="24"/>
          <w:szCs w:val="24"/>
        </w:rPr>
        <w:t xml:space="preserve"> This is so even where certain of the</w:t>
      </w:r>
      <w:r w:rsidR="0049392E" w:rsidRPr="00736318">
        <w:rPr>
          <w:rFonts w:ascii="Arial" w:hAnsi="Arial" w:cs="Arial"/>
          <w:sz w:val="24"/>
          <w:szCs w:val="24"/>
        </w:rPr>
        <w:t xml:space="preserve"> averments could have been made in the founding affidavit.</w:t>
      </w:r>
      <w:r w:rsidR="0017177C">
        <w:rPr>
          <w:rStyle w:val="FootnoteReference"/>
          <w:rFonts w:ascii="Arial" w:hAnsi="Arial" w:cs="Arial"/>
          <w:sz w:val="24"/>
          <w:szCs w:val="24"/>
        </w:rPr>
        <w:footnoteReference w:id="13"/>
      </w:r>
      <w:r w:rsidR="00FA38E2" w:rsidRPr="00736318">
        <w:rPr>
          <w:rFonts w:ascii="Arial" w:hAnsi="Arial" w:cs="Arial"/>
          <w:sz w:val="24"/>
          <w:szCs w:val="24"/>
        </w:rPr>
        <w:t xml:space="preserve"> </w:t>
      </w:r>
      <w:r w:rsidR="00490F69" w:rsidRPr="00736318">
        <w:rPr>
          <w:rFonts w:ascii="Arial" w:hAnsi="Arial" w:cs="Arial"/>
          <w:sz w:val="24"/>
          <w:szCs w:val="24"/>
        </w:rPr>
        <w:t>Counsel for the applicant correctly pointed out</w:t>
      </w:r>
      <w:r w:rsidR="00FA553D" w:rsidRPr="00736318">
        <w:rPr>
          <w:rFonts w:ascii="Arial" w:hAnsi="Arial" w:cs="Arial"/>
          <w:sz w:val="24"/>
          <w:szCs w:val="24"/>
        </w:rPr>
        <w:t xml:space="preserve"> that the dividing line between what was new matter </w:t>
      </w:r>
      <w:r w:rsidR="00C70391" w:rsidRPr="00736318">
        <w:rPr>
          <w:rFonts w:ascii="Arial" w:hAnsi="Arial" w:cs="Arial"/>
          <w:sz w:val="24"/>
          <w:szCs w:val="24"/>
        </w:rPr>
        <w:t xml:space="preserve">in a replying affidavit and </w:t>
      </w:r>
      <w:r w:rsidR="006D4B03" w:rsidRPr="00736318">
        <w:rPr>
          <w:rFonts w:ascii="Arial" w:hAnsi="Arial" w:cs="Arial"/>
          <w:sz w:val="24"/>
          <w:szCs w:val="24"/>
        </w:rPr>
        <w:t xml:space="preserve">what was merely a reply to the answering affidavit was not easy to draw. </w:t>
      </w:r>
      <w:r w:rsidR="00CD157A" w:rsidRPr="00736318">
        <w:rPr>
          <w:rFonts w:ascii="Arial" w:hAnsi="Arial" w:cs="Arial"/>
          <w:sz w:val="24"/>
          <w:szCs w:val="24"/>
        </w:rPr>
        <w:t xml:space="preserve">In </w:t>
      </w:r>
      <w:r w:rsidR="00CD157A" w:rsidRPr="00736318">
        <w:rPr>
          <w:rFonts w:ascii="Arial" w:hAnsi="Arial" w:cs="Arial"/>
          <w:i/>
          <w:iCs/>
          <w:sz w:val="24"/>
          <w:szCs w:val="24"/>
        </w:rPr>
        <w:t>Smith</w:t>
      </w:r>
      <w:r w:rsidR="00712821" w:rsidRPr="00736318">
        <w:rPr>
          <w:rFonts w:ascii="Arial" w:hAnsi="Arial" w:cs="Arial"/>
          <w:i/>
          <w:iCs/>
          <w:sz w:val="24"/>
          <w:szCs w:val="24"/>
        </w:rPr>
        <w:t xml:space="preserve"> v Kwanon</w:t>
      </w:r>
      <w:r w:rsidR="009135C2" w:rsidRPr="00736318">
        <w:rPr>
          <w:rFonts w:ascii="Arial" w:hAnsi="Arial" w:cs="Arial"/>
          <w:i/>
          <w:iCs/>
          <w:sz w:val="24"/>
          <w:szCs w:val="24"/>
        </w:rPr>
        <w:t>qubela</w:t>
      </w:r>
      <w:r w:rsidR="0049376D" w:rsidRPr="00736318">
        <w:rPr>
          <w:rFonts w:ascii="Arial" w:hAnsi="Arial" w:cs="Arial"/>
          <w:i/>
          <w:iCs/>
          <w:sz w:val="24"/>
          <w:szCs w:val="24"/>
        </w:rPr>
        <w:t xml:space="preserve"> Town Council</w:t>
      </w:r>
      <w:r w:rsidR="009135C2" w:rsidRPr="00736318">
        <w:rPr>
          <w:rFonts w:ascii="Arial" w:hAnsi="Arial" w:cs="Arial"/>
          <w:sz w:val="24"/>
          <w:szCs w:val="24"/>
        </w:rPr>
        <w:t>,</w:t>
      </w:r>
      <w:r w:rsidR="009135C2">
        <w:rPr>
          <w:rStyle w:val="FootnoteReference"/>
          <w:rFonts w:ascii="Arial" w:hAnsi="Arial" w:cs="Arial"/>
          <w:sz w:val="24"/>
          <w:szCs w:val="24"/>
        </w:rPr>
        <w:footnoteReference w:id="14"/>
      </w:r>
      <w:r w:rsidR="0049376D" w:rsidRPr="00736318">
        <w:rPr>
          <w:rFonts w:ascii="Arial" w:hAnsi="Arial" w:cs="Arial"/>
          <w:sz w:val="24"/>
          <w:szCs w:val="24"/>
        </w:rPr>
        <w:t xml:space="preserve"> Harms JA held that:</w:t>
      </w:r>
    </w:p>
    <w:p w14:paraId="0293DCDA" w14:textId="77777777" w:rsidR="008D4B18" w:rsidRDefault="008D4B18" w:rsidP="00C16376">
      <w:pPr>
        <w:spacing w:line="360" w:lineRule="auto"/>
        <w:ind w:left="720"/>
        <w:jc w:val="both"/>
        <w:rPr>
          <w:rFonts w:ascii="Arial" w:hAnsi="Arial" w:cs="Arial"/>
          <w:sz w:val="24"/>
          <w:szCs w:val="24"/>
        </w:rPr>
      </w:pPr>
    </w:p>
    <w:p w14:paraId="26E7EF2D" w14:textId="77974DE2" w:rsidR="00C55E35" w:rsidRPr="00745198" w:rsidRDefault="00CE2AB7" w:rsidP="00C16376">
      <w:pPr>
        <w:spacing w:line="360" w:lineRule="auto"/>
        <w:ind w:left="720"/>
        <w:jc w:val="both"/>
        <w:rPr>
          <w:rFonts w:ascii="Arial" w:hAnsi="Arial" w:cs="Arial"/>
          <w:sz w:val="20"/>
          <w:szCs w:val="20"/>
        </w:rPr>
      </w:pPr>
      <w:r w:rsidRPr="00745198">
        <w:rPr>
          <w:rFonts w:ascii="Arial" w:hAnsi="Arial" w:cs="Arial"/>
          <w:sz w:val="20"/>
          <w:szCs w:val="20"/>
        </w:rPr>
        <w:t>‘The rule against new matter in reply is not absolute</w:t>
      </w:r>
      <w:r w:rsidR="00244B85" w:rsidRPr="00745198">
        <w:rPr>
          <w:rFonts w:ascii="Arial" w:hAnsi="Arial" w:cs="Arial"/>
          <w:sz w:val="20"/>
          <w:szCs w:val="20"/>
        </w:rPr>
        <w:t xml:space="preserve">… and should be applied with a fair measure of </w:t>
      </w:r>
      <w:r w:rsidR="00587214" w:rsidRPr="00745198">
        <w:rPr>
          <w:rFonts w:ascii="Arial" w:hAnsi="Arial" w:cs="Arial"/>
          <w:sz w:val="20"/>
          <w:szCs w:val="20"/>
        </w:rPr>
        <w:t xml:space="preserve">common sense. For instance, in the present case, </w:t>
      </w:r>
      <w:r w:rsidR="00D639E5" w:rsidRPr="00745198">
        <w:rPr>
          <w:rFonts w:ascii="Arial" w:hAnsi="Arial" w:cs="Arial"/>
          <w:sz w:val="20"/>
          <w:szCs w:val="20"/>
        </w:rPr>
        <w:t xml:space="preserve">the point provided no material or substantial advantage to Smith- at least, counsel could not point to any- </w:t>
      </w:r>
      <w:r w:rsidR="004E23FB" w:rsidRPr="00745198">
        <w:rPr>
          <w:rFonts w:ascii="Arial" w:hAnsi="Arial" w:cs="Arial"/>
          <w:sz w:val="20"/>
          <w:szCs w:val="20"/>
        </w:rPr>
        <w:t>and it simply at great cost postponed the day of reckoning</w:t>
      </w:r>
      <w:r w:rsidR="00830ED0" w:rsidRPr="00745198">
        <w:rPr>
          <w:rFonts w:ascii="Arial" w:hAnsi="Arial" w:cs="Arial"/>
          <w:sz w:val="20"/>
          <w:szCs w:val="20"/>
        </w:rPr>
        <w:t>…’</w:t>
      </w:r>
      <w:r w:rsidR="00830ED0" w:rsidRPr="00745198">
        <w:rPr>
          <w:rStyle w:val="FootnoteReference"/>
          <w:rFonts w:ascii="Arial" w:hAnsi="Arial" w:cs="Arial"/>
          <w:sz w:val="20"/>
          <w:szCs w:val="20"/>
        </w:rPr>
        <w:footnoteReference w:id="15"/>
      </w:r>
    </w:p>
    <w:p w14:paraId="50287733" w14:textId="77777777" w:rsidR="00F91F37" w:rsidRDefault="00F91F37" w:rsidP="00C16376">
      <w:pPr>
        <w:spacing w:line="360" w:lineRule="auto"/>
        <w:jc w:val="both"/>
        <w:rPr>
          <w:rFonts w:ascii="Arial" w:hAnsi="Arial" w:cs="Arial"/>
          <w:sz w:val="24"/>
          <w:szCs w:val="24"/>
        </w:rPr>
      </w:pPr>
    </w:p>
    <w:p w14:paraId="480EEE9F" w14:textId="535F65B7" w:rsidR="00C16376" w:rsidRPr="00736318" w:rsidRDefault="00736318" w:rsidP="00736318">
      <w:pPr>
        <w:spacing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F91F37" w:rsidRPr="00736318">
        <w:rPr>
          <w:rFonts w:ascii="Arial" w:hAnsi="Arial" w:cs="Arial"/>
          <w:sz w:val="24"/>
          <w:szCs w:val="24"/>
        </w:rPr>
        <w:t xml:space="preserve">Mindful of the above, the applicant </w:t>
      </w:r>
      <w:r w:rsidR="002346E7" w:rsidRPr="00736318">
        <w:rPr>
          <w:rFonts w:ascii="Arial" w:hAnsi="Arial" w:cs="Arial"/>
          <w:sz w:val="24"/>
          <w:szCs w:val="24"/>
        </w:rPr>
        <w:t>argue</w:t>
      </w:r>
      <w:r w:rsidR="006A1FA0" w:rsidRPr="00736318">
        <w:rPr>
          <w:rFonts w:ascii="Arial" w:hAnsi="Arial" w:cs="Arial"/>
          <w:sz w:val="24"/>
          <w:szCs w:val="24"/>
        </w:rPr>
        <w:t>d</w:t>
      </w:r>
      <w:r w:rsidR="002346E7" w:rsidRPr="00736318">
        <w:rPr>
          <w:rFonts w:ascii="Arial" w:hAnsi="Arial" w:cs="Arial"/>
          <w:sz w:val="24"/>
          <w:szCs w:val="24"/>
        </w:rPr>
        <w:t xml:space="preserve"> that common sense dictates that the information contained in its supplementary affidavit should be </w:t>
      </w:r>
      <w:r w:rsidR="008D4B18" w:rsidRPr="00736318">
        <w:rPr>
          <w:rFonts w:ascii="Arial" w:hAnsi="Arial" w:cs="Arial"/>
          <w:sz w:val="24"/>
          <w:szCs w:val="24"/>
        </w:rPr>
        <w:t>permitted</w:t>
      </w:r>
      <w:r w:rsidR="00D13571" w:rsidRPr="00736318">
        <w:rPr>
          <w:rFonts w:ascii="Arial" w:hAnsi="Arial" w:cs="Arial"/>
          <w:sz w:val="24"/>
          <w:szCs w:val="24"/>
        </w:rPr>
        <w:t>. T</w:t>
      </w:r>
      <w:r w:rsidR="008D4B18" w:rsidRPr="00736318">
        <w:rPr>
          <w:rFonts w:ascii="Arial" w:hAnsi="Arial" w:cs="Arial"/>
          <w:sz w:val="24"/>
          <w:szCs w:val="24"/>
        </w:rPr>
        <w:t xml:space="preserve">he respondent should be afforded an opportunity to deliver </w:t>
      </w:r>
      <w:r w:rsidR="00F44022" w:rsidRPr="00736318">
        <w:rPr>
          <w:rFonts w:ascii="Arial" w:hAnsi="Arial" w:cs="Arial"/>
          <w:sz w:val="24"/>
          <w:szCs w:val="24"/>
        </w:rPr>
        <w:t xml:space="preserve">a </w:t>
      </w:r>
      <w:r w:rsidR="008D4B18" w:rsidRPr="00736318">
        <w:rPr>
          <w:rFonts w:ascii="Arial" w:hAnsi="Arial" w:cs="Arial"/>
          <w:sz w:val="24"/>
          <w:szCs w:val="24"/>
        </w:rPr>
        <w:t>further affidavit</w:t>
      </w:r>
      <w:r w:rsidR="00F44022" w:rsidRPr="00736318">
        <w:rPr>
          <w:rFonts w:ascii="Arial" w:hAnsi="Arial" w:cs="Arial"/>
          <w:sz w:val="24"/>
          <w:szCs w:val="24"/>
        </w:rPr>
        <w:t xml:space="preserve"> where nece</w:t>
      </w:r>
      <w:r w:rsidR="008D4B18" w:rsidRPr="00736318">
        <w:rPr>
          <w:rFonts w:ascii="Arial" w:hAnsi="Arial" w:cs="Arial"/>
          <w:sz w:val="24"/>
          <w:szCs w:val="24"/>
        </w:rPr>
        <w:t>s</w:t>
      </w:r>
      <w:r w:rsidR="00F44022" w:rsidRPr="00736318">
        <w:rPr>
          <w:rFonts w:ascii="Arial" w:hAnsi="Arial" w:cs="Arial"/>
          <w:sz w:val="24"/>
          <w:szCs w:val="24"/>
        </w:rPr>
        <w:t>sary</w:t>
      </w:r>
      <w:r w:rsidR="008D4B18" w:rsidRPr="00736318">
        <w:rPr>
          <w:rFonts w:ascii="Arial" w:hAnsi="Arial" w:cs="Arial"/>
          <w:sz w:val="24"/>
          <w:szCs w:val="24"/>
        </w:rPr>
        <w:t>.</w:t>
      </w:r>
    </w:p>
    <w:p w14:paraId="15FAEC74" w14:textId="77777777" w:rsidR="00C16376" w:rsidRDefault="00C16376" w:rsidP="00C16376">
      <w:pPr>
        <w:pStyle w:val="ListParagraph"/>
        <w:spacing w:line="360" w:lineRule="auto"/>
        <w:ind w:left="0"/>
        <w:jc w:val="both"/>
        <w:rPr>
          <w:rFonts w:ascii="Arial" w:hAnsi="Arial" w:cs="Arial"/>
          <w:sz w:val="24"/>
          <w:szCs w:val="24"/>
        </w:rPr>
      </w:pPr>
    </w:p>
    <w:p w14:paraId="0835DFAE" w14:textId="1587BFBE" w:rsidR="00C16376" w:rsidRPr="00736318" w:rsidRDefault="00736318" w:rsidP="00736318">
      <w:pPr>
        <w:spacing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A4001C" w:rsidRPr="00736318">
        <w:rPr>
          <w:rFonts w:ascii="Arial" w:hAnsi="Arial" w:cs="Arial"/>
          <w:sz w:val="24"/>
          <w:szCs w:val="24"/>
        </w:rPr>
        <w:t>Whereas the respondent’s supplementary answering affidavit clearly called for a robust response from the applicant</w:t>
      </w:r>
      <w:r w:rsidR="00CF66C3" w:rsidRPr="00736318">
        <w:rPr>
          <w:rFonts w:ascii="Arial" w:hAnsi="Arial" w:cs="Arial"/>
          <w:sz w:val="24"/>
          <w:szCs w:val="24"/>
        </w:rPr>
        <w:t xml:space="preserve">, the primary </w:t>
      </w:r>
      <w:r w:rsidR="00EF1278" w:rsidRPr="00736318">
        <w:rPr>
          <w:rFonts w:ascii="Arial" w:hAnsi="Arial" w:cs="Arial"/>
          <w:sz w:val="24"/>
          <w:szCs w:val="24"/>
        </w:rPr>
        <w:t xml:space="preserve">shortcoming in the applicant’s </w:t>
      </w:r>
      <w:r w:rsidR="00BC730C" w:rsidRPr="00736318">
        <w:rPr>
          <w:rFonts w:ascii="Arial" w:hAnsi="Arial" w:cs="Arial"/>
          <w:sz w:val="24"/>
          <w:szCs w:val="24"/>
        </w:rPr>
        <w:t xml:space="preserve">supplementary affidavit is that it is not simply a </w:t>
      </w:r>
      <w:r w:rsidR="00F61B0D" w:rsidRPr="00736318">
        <w:rPr>
          <w:rFonts w:ascii="Arial" w:hAnsi="Arial" w:cs="Arial"/>
          <w:sz w:val="24"/>
          <w:szCs w:val="24"/>
        </w:rPr>
        <w:t xml:space="preserve">reply. It purports to supplement </w:t>
      </w:r>
      <w:r w:rsidR="003B3B08" w:rsidRPr="00736318">
        <w:rPr>
          <w:rFonts w:ascii="Arial" w:hAnsi="Arial" w:cs="Arial"/>
          <w:sz w:val="24"/>
          <w:szCs w:val="24"/>
        </w:rPr>
        <w:t xml:space="preserve">the </w:t>
      </w:r>
      <w:r w:rsidR="003B3B08" w:rsidRPr="00736318">
        <w:rPr>
          <w:rFonts w:ascii="Arial" w:hAnsi="Arial" w:cs="Arial"/>
          <w:sz w:val="24"/>
          <w:szCs w:val="24"/>
        </w:rPr>
        <w:lastRenderedPageBreak/>
        <w:t xml:space="preserve">founding affidavit and </w:t>
      </w:r>
      <w:r w:rsidR="00E27175" w:rsidRPr="00736318">
        <w:rPr>
          <w:rFonts w:ascii="Arial" w:hAnsi="Arial" w:cs="Arial"/>
          <w:sz w:val="24"/>
          <w:szCs w:val="24"/>
        </w:rPr>
        <w:t xml:space="preserve">to </w:t>
      </w:r>
      <w:r w:rsidR="003B3B08" w:rsidRPr="00736318">
        <w:rPr>
          <w:rFonts w:ascii="Arial" w:hAnsi="Arial" w:cs="Arial"/>
          <w:sz w:val="24"/>
          <w:szCs w:val="24"/>
        </w:rPr>
        <w:t>attempt to achieve a great deal more besides</w:t>
      </w:r>
      <w:r w:rsidR="00A60CC8" w:rsidRPr="00736318">
        <w:rPr>
          <w:rFonts w:ascii="Arial" w:hAnsi="Arial" w:cs="Arial"/>
          <w:sz w:val="24"/>
          <w:szCs w:val="24"/>
        </w:rPr>
        <w:t xml:space="preserve">. </w:t>
      </w:r>
      <w:r w:rsidR="00E27175" w:rsidRPr="00736318">
        <w:rPr>
          <w:rFonts w:ascii="Arial" w:hAnsi="Arial" w:cs="Arial"/>
          <w:sz w:val="24"/>
          <w:szCs w:val="24"/>
        </w:rPr>
        <w:t>A common-sense</w:t>
      </w:r>
      <w:r w:rsidR="00A60CC8" w:rsidRPr="00736318">
        <w:rPr>
          <w:rFonts w:ascii="Arial" w:hAnsi="Arial" w:cs="Arial"/>
          <w:sz w:val="24"/>
          <w:szCs w:val="24"/>
        </w:rPr>
        <w:t xml:space="preserve"> approach </w:t>
      </w:r>
      <w:r w:rsidR="00E27175" w:rsidRPr="00736318">
        <w:rPr>
          <w:rFonts w:ascii="Arial" w:hAnsi="Arial" w:cs="Arial"/>
          <w:sz w:val="24"/>
          <w:szCs w:val="24"/>
        </w:rPr>
        <w:t xml:space="preserve">may well </w:t>
      </w:r>
      <w:r w:rsidR="00DF7289" w:rsidRPr="00736318">
        <w:rPr>
          <w:rFonts w:ascii="Arial" w:hAnsi="Arial" w:cs="Arial"/>
          <w:sz w:val="24"/>
          <w:szCs w:val="24"/>
        </w:rPr>
        <w:t xml:space="preserve">allow such a multi-purpose affidavit in some </w:t>
      </w:r>
      <w:r w:rsidR="000F0B87" w:rsidRPr="00736318">
        <w:rPr>
          <w:rFonts w:ascii="Arial" w:hAnsi="Arial" w:cs="Arial"/>
          <w:sz w:val="24"/>
          <w:szCs w:val="24"/>
        </w:rPr>
        <w:t>circumstances,</w:t>
      </w:r>
      <w:r w:rsidR="00DF7289" w:rsidRPr="00736318">
        <w:rPr>
          <w:rFonts w:ascii="Arial" w:hAnsi="Arial" w:cs="Arial"/>
          <w:sz w:val="24"/>
          <w:szCs w:val="24"/>
        </w:rPr>
        <w:t xml:space="preserve"> but </w:t>
      </w:r>
      <w:r w:rsidR="009A6021" w:rsidRPr="00736318">
        <w:rPr>
          <w:rFonts w:ascii="Arial" w:hAnsi="Arial" w:cs="Arial"/>
          <w:sz w:val="24"/>
          <w:szCs w:val="24"/>
        </w:rPr>
        <w:t>not all.</w:t>
      </w:r>
      <w:r w:rsidR="00A8162E" w:rsidRPr="00736318">
        <w:rPr>
          <w:rFonts w:ascii="Arial" w:hAnsi="Arial" w:cs="Arial"/>
          <w:sz w:val="24"/>
          <w:szCs w:val="24"/>
        </w:rPr>
        <w:t xml:space="preserve"> </w:t>
      </w:r>
      <w:r w:rsidR="000F0B87" w:rsidRPr="00736318">
        <w:rPr>
          <w:rFonts w:ascii="Arial" w:hAnsi="Arial" w:cs="Arial"/>
          <w:sz w:val="24"/>
          <w:szCs w:val="24"/>
        </w:rPr>
        <w:t xml:space="preserve">The </w:t>
      </w:r>
      <w:r w:rsidR="006F2F00" w:rsidRPr="00736318">
        <w:rPr>
          <w:rFonts w:ascii="Arial" w:hAnsi="Arial" w:cs="Arial"/>
          <w:sz w:val="24"/>
          <w:szCs w:val="24"/>
        </w:rPr>
        <w:t xml:space="preserve">basic principle remains that a party must </w:t>
      </w:r>
      <w:r w:rsidR="007835E9" w:rsidRPr="00736318">
        <w:rPr>
          <w:rFonts w:ascii="Arial" w:hAnsi="Arial" w:cs="Arial"/>
          <w:sz w:val="24"/>
          <w:szCs w:val="24"/>
        </w:rPr>
        <w:t xml:space="preserve">set out its case in its founding papers. </w:t>
      </w:r>
      <w:r w:rsidR="006A0594" w:rsidRPr="00736318">
        <w:rPr>
          <w:rFonts w:ascii="Arial" w:hAnsi="Arial" w:cs="Arial"/>
          <w:sz w:val="24"/>
          <w:szCs w:val="24"/>
        </w:rPr>
        <w:t xml:space="preserve">Further affidavits are permissible, at the discretion of the court, but </w:t>
      </w:r>
      <w:r w:rsidR="002650E9" w:rsidRPr="00736318">
        <w:rPr>
          <w:rFonts w:ascii="Arial" w:hAnsi="Arial" w:cs="Arial"/>
          <w:sz w:val="24"/>
          <w:szCs w:val="24"/>
        </w:rPr>
        <w:t>only in exceptional circumstances.</w:t>
      </w:r>
      <w:r w:rsidR="002238C2">
        <w:rPr>
          <w:rStyle w:val="FootnoteReference"/>
          <w:rFonts w:ascii="Arial" w:hAnsi="Arial" w:cs="Arial"/>
          <w:sz w:val="24"/>
          <w:szCs w:val="24"/>
        </w:rPr>
        <w:footnoteReference w:id="16"/>
      </w:r>
    </w:p>
    <w:p w14:paraId="15D2C199" w14:textId="77777777" w:rsidR="00C16376" w:rsidRPr="00C16376" w:rsidRDefault="00C16376" w:rsidP="00C16376">
      <w:pPr>
        <w:pStyle w:val="ListParagraph"/>
        <w:rPr>
          <w:rFonts w:ascii="Arial" w:hAnsi="Arial" w:cs="Arial"/>
          <w:sz w:val="24"/>
          <w:szCs w:val="24"/>
        </w:rPr>
      </w:pPr>
    </w:p>
    <w:p w14:paraId="20E7D45E" w14:textId="3706C072" w:rsidR="00C16376" w:rsidRPr="00736318" w:rsidRDefault="00736318" w:rsidP="00736318">
      <w:pPr>
        <w:spacing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E004ED" w:rsidRPr="00736318">
        <w:rPr>
          <w:rFonts w:ascii="Arial" w:hAnsi="Arial" w:cs="Arial"/>
          <w:sz w:val="24"/>
          <w:szCs w:val="24"/>
        </w:rPr>
        <w:t>Counsel for t</w:t>
      </w:r>
      <w:r w:rsidR="00B34386" w:rsidRPr="00736318">
        <w:rPr>
          <w:rFonts w:ascii="Arial" w:hAnsi="Arial" w:cs="Arial"/>
          <w:sz w:val="24"/>
          <w:szCs w:val="24"/>
        </w:rPr>
        <w:t>he respondent</w:t>
      </w:r>
      <w:r w:rsidR="005B44C7" w:rsidRPr="00736318">
        <w:rPr>
          <w:rFonts w:ascii="Arial" w:hAnsi="Arial" w:cs="Arial"/>
          <w:sz w:val="24"/>
          <w:szCs w:val="24"/>
        </w:rPr>
        <w:t xml:space="preserve"> </w:t>
      </w:r>
      <w:r w:rsidR="00535071" w:rsidRPr="00736318">
        <w:rPr>
          <w:rFonts w:ascii="Arial" w:hAnsi="Arial" w:cs="Arial"/>
          <w:sz w:val="24"/>
          <w:szCs w:val="24"/>
        </w:rPr>
        <w:t xml:space="preserve">strongly </w:t>
      </w:r>
      <w:r w:rsidR="00BF1AB2" w:rsidRPr="00736318">
        <w:rPr>
          <w:rFonts w:ascii="Arial" w:hAnsi="Arial" w:cs="Arial"/>
          <w:sz w:val="24"/>
          <w:szCs w:val="24"/>
        </w:rPr>
        <w:t xml:space="preserve">contended </w:t>
      </w:r>
      <w:r w:rsidR="005B44C7" w:rsidRPr="00736318">
        <w:rPr>
          <w:rFonts w:ascii="Arial" w:hAnsi="Arial" w:cs="Arial"/>
          <w:sz w:val="24"/>
          <w:szCs w:val="24"/>
        </w:rPr>
        <w:t xml:space="preserve">that </w:t>
      </w:r>
      <w:r w:rsidR="00535071" w:rsidRPr="00736318">
        <w:rPr>
          <w:rFonts w:ascii="Arial" w:hAnsi="Arial" w:cs="Arial"/>
          <w:sz w:val="24"/>
          <w:szCs w:val="24"/>
        </w:rPr>
        <w:t xml:space="preserve">it would be impossible to </w:t>
      </w:r>
      <w:r w:rsidR="008B439A" w:rsidRPr="00736318">
        <w:rPr>
          <w:rFonts w:ascii="Arial" w:hAnsi="Arial" w:cs="Arial"/>
          <w:sz w:val="24"/>
          <w:szCs w:val="24"/>
        </w:rPr>
        <w:t xml:space="preserve">determine which portions of the </w:t>
      </w:r>
      <w:r w:rsidR="00D060F6" w:rsidRPr="00736318">
        <w:rPr>
          <w:rFonts w:ascii="Arial" w:hAnsi="Arial" w:cs="Arial"/>
          <w:sz w:val="24"/>
          <w:szCs w:val="24"/>
        </w:rPr>
        <w:t xml:space="preserve">supplementary </w:t>
      </w:r>
      <w:r w:rsidR="003C526A" w:rsidRPr="00736318">
        <w:rPr>
          <w:rFonts w:ascii="Arial" w:hAnsi="Arial" w:cs="Arial"/>
          <w:sz w:val="24"/>
          <w:szCs w:val="24"/>
        </w:rPr>
        <w:t xml:space="preserve">affidavit purport to supplement the founding affidavit and which portions purport to </w:t>
      </w:r>
      <w:r w:rsidR="004F21AE" w:rsidRPr="00736318">
        <w:rPr>
          <w:rFonts w:ascii="Arial" w:hAnsi="Arial" w:cs="Arial"/>
          <w:sz w:val="24"/>
          <w:szCs w:val="24"/>
        </w:rPr>
        <w:t xml:space="preserve">constitute a supplementary </w:t>
      </w:r>
      <w:r w:rsidR="003C526A" w:rsidRPr="00736318">
        <w:rPr>
          <w:rFonts w:ascii="Arial" w:hAnsi="Arial" w:cs="Arial"/>
          <w:sz w:val="24"/>
          <w:szCs w:val="24"/>
        </w:rPr>
        <w:t>reply</w:t>
      </w:r>
      <w:r w:rsidR="004F21AE" w:rsidRPr="00736318">
        <w:rPr>
          <w:rFonts w:ascii="Arial" w:hAnsi="Arial" w:cs="Arial"/>
          <w:sz w:val="24"/>
          <w:szCs w:val="24"/>
        </w:rPr>
        <w:t xml:space="preserve">. </w:t>
      </w:r>
      <w:r w:rsidR="00223C6F" w:rsidRPr="00736318">
        <w:rPr>
          <w:rFonts w:ascii="Arial" w:hAnsi="Arial" w:cs="Arial"/>
          <w:sz w:val="24"/>
          <w:szCs w:val="24"/>
        </w:rPr>
        <w:t xml:space="preserve">In the words of counsel, what the founding affidavit would </w:t>
      </w:r>
      <w:r w:rsidR="00464840" w:rsidRPr="00736318">
        <w:rPr>
          <w:rFonts w:ascii="Arial" w:hAnsi="Arial" w:cs="Arial"/>
          <w:sz w:val="24"/>
          <w:szCs w:val="24"/>
        </w:rPr>
        <w:t xml:space="preserve">then </w:t>
      </w:r>
      <w:r w:rsidR="00223C6F" w:rsidRPr="00736318">
        <w:rPr>
          <w:rFonts w:ascii="Arial" w:hAnsi="Arial" w:cs="Arial"/>
          <w:sz w:val="24"/>
          <w:szCs w:val="24"/>
        </w:rPr>
        <w:t>comprise</w:t>
      </w:r>
      <w:r w:rsidR="00464840" w:rsidRPr="00736318">
        <w:rPr>
          <w:rFonts w:ascii="Arial" w:hAnsi="Arial" w:cs="Arial"/>
          <w:sz w:val="24"/>
          <w:szCs w:val="24"/>
        </w:rPr>
        <w:t xml:space="preserve"> </w:t>
      </w:r>
      <w:r w:rsidR="00616409" w:rsidRPr="00736318">
        <w:rPr>
          <w:rFonts w:ascii="Arial" w:hAnsi="Arial" w:cs="Arial"/>
          <w:sz w:val="24"/>
          <w:szCs w:val="24"/>
        </w:rPr>
        <w:t xml:space="preserve">‘is </w:t>
      </w:r>
      <w:r w:rsidR="00464840" w:rsidRPr="00736318">
        <w:rPr>
          <w:rFonts w:ascii="Arial" w:hAnsi="Arial" w:cs="Arial"/>
          <w:sz w:val="24"/>
          <w:szCs w:val="24"/>
        </w:rPr>
        <w:t>as clear as mud’.</w:t>
      </w:r>
      <w:r w:rsidR="00243E04" w:rsidRPr="00736318">
        <w:rPr>
          <w:rFonts w:ascii="Arial" w:hAnsi="Arial" w:cs="Arial"/>
          <w:sz w:val="24"/>
          <w:szCs w:val="24"/>
        </w:rPr>
        <w:t xml:space="preserve"> </w:t>
      </w:r>
      <w:r w:rsidR="00464840" w:rsidRPr="00736318">
        <w:rPr>
          <w:rFonts w:ascii="Arial" w:hAnsi="Arial" w:cs="Arial"/>
          <w:sz w:val="24"/>
          <w:szCs w:val="24"/>
        </w:rPr>
        <w:t xml:space="preserve">The </w:t>
      </w:r>
      <w:r w:rsidR="00424EA1" w:rsidRPr="00736318">
        <w:rPr>
          <w:rFonts w:ascii="Arial" w:hAnsi="Arial" w:cs="Arial"/>
          <w:sz w:val="24"/>
          <w:szCs w:val="24"/>
        </w:rPr>
        <w:t xml:space="preserve">other difficulties mentioned by the </w:t>
      </w:r>
      <w:r w:rsidR="00B66CCB" w:rsidRPr="00736318">
        <w:rPr>
          <w:rFonts w:ascii="Arial" w:hAnsi="Arial" w:cs="Arial"/>
          <w:sz w:val="24"/>
          <w:szCs w:val="24"/>
        </w:rPr>
        <w:t xml:space="preserve">respondent are that the deponent to the supplementary affidavit is </w:t>
      </w:r>
      <w:r w:rsidR="007445C3" w:rsidRPr="00736318">
        <w:rPr>
          <w:rFonts w:ascii="Arial" w:hAnsi="Arial" w:cs="Arial"/>
          <w:sz w:val="24"/>
          <w:szCs w:val="24"/>
        </w:rPr>
        <w:t>not the same as the deponent to the founding affidavit.</w:t>
      </w:r>
      <w:r w:rsidR="007445C3">
        <w:rPr>
          <w:rStyle w:val="FootnoteReference"/>
          <w:rFonts w:ascii="Arial" w:hAnsi="Arial" w:cs="Arial"/>
          <w:sz w:val="24"/>
          <w:szCs w:val="24"/>
        </w:rPr>
        <w:footnoteReference w:id="17"/>
      </w:r>
      <w:r w:rsidR="00B43649" w:rsidRPr="00736318">
        <w:rPr>
          <w:rFonts w:ascii="Arial" w:hAnsi="Arial" w:cs="Arial"/>
          <w:sz w:val="24"/>
          <w:szCs w:val="24"/>
        </w:rPr>
        <w:t xml:space="preserve"> In addition, the applicant had converted from a close </w:t>
      </w:r>
      <w:r w:rsidR="00162C9D" w:rsidRPr="00736318">
        <w:rPr>
          <w:rFonts w:ascii="Arial" w:hAnsi="Arial" w:cs="Arial"/>
          <w:sz w:val="24"/>
          <w:szCs w:val="24"/>
        </w:rPr>
        <w:t xml:space="preserve">corporation to a private company. </w:t>
      </w:r>
      <w:r w:rsidR="00A33E15" w:rsidRPr="00736318">
        <w:rPr>
          <w:rFonts w:ascii="Arial" w:hAnsi="Arial" w:cs="Arial"/>
          <w:sz w:val="24"/>
          <w:szCs w:val="24"/>
        </w:rPr>
        <w:t>These factors created further obstacles to the acceptance of the supplementary affidavit</w:t>
      </w:r>
      <w:r w:rsidR="00243E04" w:rsidRPr="00736318">
        <w:rPr>
          <w:rFonts w:ascii="Arial" w:hAnsi="Arial" w:cs="Arial"/>
          <w:sz w:val="24"/>
          <w:szCs w:val="24"/>
        </w:rPr>
        <w:t>.</w:t>
      </w:r>
    </w:p>
    <w:p w14:paraId="78CADD6E" w14:textId="77777777" w:rsidR="00C16376" w:rsidRPr="00C16376" w:rsidRDefault="00C16376" w:rsidP="00C16376">
      <w:pPr>
        <w:pStyle w:val="ListParagraph"/>
        <w:rPr>
          <w:rFonts w:ascii="Arial" w:hAnsi="Arial" w:cs="Arial"/>
          <w:sz w:val="24"/>
          <w:szCs w:val="24"/>
        </w:rPr>
      </w:pPr>
    </w:p>
    <w:p w14:paraId="53696D0C" w14:textId="3F2B9429" w:rsidR="00C16376" w:rsidRPr="00736318" w:rsidRDefault="00736318" w:rsidP="00736318">
      <w:pPr>
        <w:spacing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DC197F" w:rsidRPr="00736318">
        <w:rPr>
          <w:rFonts w:ascii="Arial" w:hAnsi="Arial" w:cs="Arial"/>
          <w:sz w:val="24"/>
          <w:szCs w:val="24"/>
        </w:rPr>
        <w:t xml:space="preserve">The court agrees with the respondent. </w:t>
      </w:r>
      <w:r w:rsidR="00DC0F64" w:rsidRPr="00736318">
        <w:rPr>
          <w:rFonts w:ascii="Arial" w:hAnsi="Arial" w:cs="Arial"/>
          <w:sz w:val="24"/>
          <w:szCs w:val="24"/>
        </w:rPr>
        <w:t xml:space="preserve">Importantly, however, there is a further factor that militates against the acceptance of the supplementary </w:t>
      </w:r>
      <w:r w:rsidR="00EF4289" w:rsidRPr="00736318">
        <w:rPr>
          <w:rFonts w:ascii="Arial" w:hAnsi="Arial" w:cs="Arial"/>
          <w:sz w:val="24"/>
          <w:szCs w:val="24"/>
        </w:rPr>
        <w:t>affidavit,</w:t>
      </w:r>
      <w:r w:rsidR="00DC0F64" w:rsidRPr="00736318">
        <w:rPr>
          <w:rFonts w:ascii="Arial" w:hAnsi="Arial" w:cs="Arial"/>
          <w:sz w:val="24"/>
          <w:szCs w:val="24"/>
        </w:rPr>
        <w:t xml:space="preserve"> but which seems to have </w:t>
      </w:r>
      <w:r w:rsidR="00EF4289" w:rsidRPr="00736318">
        <w:rPr>
          <w:rFonts w:ascii="Arial" w:hAnsi="Arial" w:cs="Arial"/>
          <w:sz w:val="24"/>
          <w:szCs w:val="24"/>
        </w:rPr>
        <w:t xml:space="preserve">been obscured to some extent during argument. Counsel for the applicant </w:t>
      </w:r>
      <w:r w:rsidR="009F7D13" w:rsidRPr="00736318">
        <w:rPr>
          <w:rFonts w:ascii="Arial" w:hAnsi="Arial" w:cs="Arial"/>
          <w:sz w:val="24"/>
          <w:szCs w:val="24"/>
        </w:rPr>
        <w:t xml:space="preserve">previously </w:t>
      </w:r>
      <w:r w:rsidR="00A6588D" w:rsidRPr="00736318">
        <w:rPr>
          <w:rFonts w:ascii="Arial" w:hAnsi="Arial" w:cs="Arial"/>
          <w:sz w:val="24"/>
          <w:szCs w:val="24"/>
        </w:rPr>
        <w:t xml:space="preserve">contended that </w:t>
      </w:r>
      <w:r w:rsidR="009F7D13" w:rsidRPr="00736318">
        <w:rPr>
          <w:rFonts w:ascii="Arial" w:hAnsi="Arial" w:cs="Arial"/>
          <w:sz w:val="24"/>
          <w:szCs w:val="24"/>
        </w:rPr>
        <w:t xml:space="preserve">the principles of </w:t>
      </w:r>
      <w:r w:rsidR="009F7D13" w:rsidRPr="00736318">
        <w:rPr>
          <w:rFonts w:ascii="Arial" w:hAnsi="Arial" w:cs="Arial"/>
          <w:i/>
          <w:iCs/>
          <w:sz w:val="24"/>
          <w:szCs w:val="24"/>
        </w:rPr>
        <w:t>lis alibi pendens</w:t>
      </w:r>
      <w:r w:rsidR="009F7D13" w:rsidRPr="00736318">
        <w:rPr>
          <w:rFonts w:ascii="Arial" w:hAnsi="Arial" w:cs="Arial"/>
          <w:sz w:val="24"/>
          <w:szCs w:val="24"/>
        </w:rPr>
        <w:t xml:space="preserve"> app</w:t>
      </w:r>
      <w:r w:rsidR="00ED2A41" w:rsidRPr="00736318">
        <w:rPr>
          <w:rFonts w:ascii="Arial" w:hAnsi="Arial" w:cs="Arial"/>
          <w:sz w:val="24"/>
          <w:szCs w:val="24"/>
        </w:rPr>
        <w:t xml:space="preserve">ly </w:t>
      </w:r>
      <w:r w:rsidR="00263852" w:rsidRPr="00736318">
        <w:rPr>
          <w:rFonts w:ascii="Arial" w:hAnsi="Arial" w:cs="Arial"/>
          <w:sz w:val="24"/>
          <w:szCs w:val="24"/>
        </w:rPr>
        <w:t>since</w:t>
      </w:r>
      <w:r w:rsidR="006A1FA0" w:rsidRPr="00736318">
        <w:rPr>
          <w:rFonts w:ascii="Arial" w:hAnsi="Arial" w:cs="Arial"/>
          <w:sz w:val="24"/>
          <w:szCs w:val="24"/>
        </w:rPr>
        <w:t xml:space="preserve"> </w:t>
      </w:r>
      <w:r w:rsidR="00263852" w:rsidRPr="00736318">
        <w:rPr>
          <w:rFonts w:ascii="Arial" w:hAnsi="Arial" w:cs="Arial"/>
          <w:sz w:val="24"/>
          <w:szCs w:val="24"/>
        </w:rPr>
        <w:t>there is pending litigation in two courts, involving the same parties, and the same issues.</w:t>
      </w:r>
      <w:r w:rsidR="00263852">
        <w:rPr>
          <w:rStyle w:val="FootnoteReference"/>
          <w:rFonts w:ascii="Arial" w:hAnsi="Arial" w:cs="Arial"/>
          <w:sz w:val="24"/>
          <w:szCs w:val="24"/>
        </w:rPr>
        <w:footnoteReference w:id="18"/>
      </w:r>
      <w:r w:rsidR="00263852" w:rsidRPr="00736318">
        <w:rPr>
          <w:rFonts w:ascii="Arial" w:hAnsi="Arial" w:cs="Arial"/>
          <w:sz w:val="24"/>
          <w:szCs w:val="24"/>
        </w:rPr>
        <w:t xml:space="preserve"> The applicant, in the end, did not pursue the postponement of the hearing of the main application</w:t>
      </w:r>
      <w:r w:rsidR="00DB14C4" w:rsidRPr="00736318">
        <w:rPr>
          <w:rFonts w:ascii="Arial" w:hAnsi="Arial" w:cs="Arial"/>
          <w:sz w:val="24"/>
          <w:szCs w:val="24"/>
        </w:rPr>
        <w:t xml:space="preserve"> and this court is not required to decide the issue of </w:t>
      </w:r>
      <w:r w:rsidR="00DB14C4" w:rsidRPr="00736318">
        <w:rPr>
          <w:rFonts w:ascii="Arial" w:hAnsi="Arial" w:cs="Arial"/>
          <w:i/>
          <w:iCs/>
          <w:sz w:val="24"/>
          <w:szCs w:val="24"/>
        </w:rPr>
        <w:t>lis alibi pendens</w:t>
      </w:r>
      <w:r w:rsidR="00DB14C4" w:rsidRPr="00736318">
        <w:rPr>
          <w:rFonts w:ascii="Arial" w:hAnsi="Arial" w:cs="Arial"/>
          <w:sz w:val="24"/>
          <w:szCs w:val="24"/>
        </w:rPr>
        <w:t xml:space="preserve">. Nevertheless, the fact remains that the outcome of the proceedings in the Tax Appeal Court, where, at the time of writing, judgment is still awaited, are likely to have a considerable impact on the </w:t>
      </w:r>
      <w:r w:rsidR="00DB14C4" w:rsidRPr="00736318">
        <w:rPr>
          <w:rFonts w:ascii="Arial" w:hAnsi="Arial" w:cs="Arial"/>
          <w:sz w:val="24"/>
          <w:szCs w:val="24"/>
        </w:rPr>
        <w:lastRenderedPageBreak/>
        <w:t xml:space="preserve">proceedings in the main application. </w:t>
      </w:r>
      <w:r w:rsidR="004836BD" w:rsidRPr="00736318">
        <w:rPr>
          <w:rFonts w:ascii="Arial" w:hAnsi="Arial" w:cs="Arial"/>
          <w:sz w:val="24"/>
          <w:szCs w:val="24"/>
        </w:rPr>
        <w:t>I</w:t>
      </w:r>
      <w:r w:rsidR="00DB14C4" w:rsidRPr="00736318">
        <w:rPr>
          <w:rFonts w:ascii="Arial" w:hAnsi="Arial" w:cs="Arial"/>
          <w:sz w:val="24"/>
          <w:szCs w:val="24"/>
        </w:rPr>
        <w:t xml:space="preserve">nsofar as the Tax Appeal Court </w:t>
      </w:r>
      <w:r w:rsidR="004836BD" w:rsidRPr="00736318">
        <w:rPr>
          <w:rFonts w:ascii="Arial" w:hAnsi="Arial" w:cs="Arial"/>
          <w:sz w:val="24"/>
          <w:szCs w:val="24"/>
        </w:rPr>
        <w:t xml:space="preserve">decides </w:t>
      </w:r>
      <w:r w:rsidR="00DB14C4" w:rsidRPr="00736318">
        <w:rPr>
          <w:rFonts w:ascii="Arial" w:hAnsi="Arial" w:cs="Arial"/>
          <w:sz w:val="24"/>
          <w:szCs w:val="24"/>
        </w:rPr>
        <w:t>whether the applicant was a principal employer</w:t>
      </w:r>
      <w:r w:rsidR="004836BD" w:rsidRPr="00736318">
        <w:rPr>
          <w:rFonts w:ascii="Arial" w:hAnsi="Arial" w:cs="Arial"/>
          <w:sz w:val="24"/>
          <w:szCs w:val="24"/>
        </w:rPr>
        <w:t>, the finding will undoubtedly trigger the need for the parties to file further affidavits in the main application, subject, of course, to the discretion of this court. To permit the delivery of the applicant’s supplementary affidavit at this stage would be premature, at best. It would, at worst, make the ‘muddy morass of papers’, as counsel for the respondent termed it, all the muddier.</w:t>
      </w:r>
    </w:p>
    <w:p w14:paraId="41087EB0" w14:textId="77777777" w:rsidR="00C16376" w:rsidRDefault="00C16376" w:rsidP="00C16376">
      <w:pPr>
        <w:pStyle w:val="ListParagraph"/>
        <w:spacing w:line="360" w:lineRule="auto"/>
        <w:ind w:left="0"/>
        <w:jc w:val="both"/>
        <w:rPr>
          <w:rFonts w:ascii="Arial" w:hAnsi="Arial" w:cs="Arial"/>
          <w:sz w:val="24"/>
          <w:szCs w:val="24"/>
        </w:rPr>
      </w:pPr>
    </w:p>
    <w:p w14:paraId="3EF21590" w14:textId="56B9209C" w:rsidR="00C752CF" w:rsidRPr="00736318" w:rsidRDefault="00736318" w:rsidP="00736318">
      <w:pPr>
        <w:spacing w:line="360" w:lineRule="auto"/>
        <w:jc w:val="both"/>
        <w:rPr>
          <w:rFonts w:ascii="Arial" w:hAnsi="Arial" w:cs="Arial"/>
          <w:sz w:val="24"/>
          <w:szCs w:val="24"/>
        </w:rPr>
      </w:pPr>
      <w:r w:rsidRPr="00C16376">
        <w:rPr>
          <w:rFonts w:ascii="Arial" w:hAnsi="Arial" w:cs="Arial"/>
          <w:sz w:val="24"/>
          <w:szCs w:val="24"/>
        </w:rPr>
        <w:t>[50]</w:t>
      </w:r>
      <w:r w:rsidRPr="00C16376">
        <w:rPr>
          <w:rFonts w:ascii="Arial" w:hAnsi="Arial" w:cs="Arial"/>
          <w:sz w:val="24"/>
          <w:szCs w:val="24"/>
        </w:rPr>
        <w:tab/>
      </w:r>
      <w:r w:rsidR="00C752CF" w:rsidRPr="00736318">
        <w:rPr>
          <w:rFonts w:ascii="Arial" w:hAnsi="Arial" w:cs="Arial"/>
          <w:sz w:val="24"/>
          <w:szCs w:val="24"/>
        </w:rPr>
        <w:t>The above reasoning underlies the refusal of the court to deal with the main application simultaneously. Whereas piecemeal litigation ought to be avoided, this cannot be escaped in the present matter when the proceedings in the Tax Appeal Court are still pending.</w:t>
      </w:r>
    </w:p>
    <w:p w14:paraId="259FD903" w14:textId="77777777" w:rsidR="00CE7242" w:rsidRDefault="00CE7242" w:rsidP="00C16376">
      <w:pPr>
        <w:spacing w:line="360" w:lineRule="auto"/>
        <w:jc w:val="both"/>
        <w:rPr>
          <w:rFonts w:ascii="Arial" w:hAnsi="Arial" w:cs="Arial"/>
          <w:sz w:val="24"/>
          <w:szCs w:val="24"/>
        </w:rPr>
      </w:pPr>
    </w:p>
    <w:p w14:paraId="5C935E2D" w14:textId="73A8624A" w:rsidR="00CE7242" w:rsidRPr="00CE7242" w:rsidRDefault="00CE7242" w:rsidP="00C16376">
      <w:pPr>
        <w:spacing w:line="360" w:lineRule="auto"/>
        <w:jc w:val="both"/>
        <w:rPr>
          <w:rFonts w:ascii="Arial" w:hAnsi="Arial" w:cs="Arial"/>
          <w:b/>
          <w:bCs/>
          <w:sz w:val="24"/>
          <w:szCs w:val="24"/>
        </w:rPr>
      </w:pPr>
      <w:r w:rsidRPr="00CE7242">
        <w:rPr>
          <w:rFonts w:ascii="Arial" w:hAnsi="Arial" w:cs="Arial"/>
          <w:b/>
          <w:bCs/>
          <w:sz w:val="24"/>
          <w:szCs w:val="24"/>
        </w:rPr>
        <w:t>Relief and order</w:t>
      </w:r>
    </w:p>
    <w:p w14:paraId="42B2975C" w14:textId="77777777" w:rsidR="00CE7242" w:rsidRDefault="00CE7242" w:rsidP="00C16376">
      <w:pPr>
        <w:spacing w:line="360" w:lineRule="auto"/>
        <w:jc w:val="both"/>
        <w:rPr>
          <w:rFonts w:ascii="Arial" w:hAnsi="Arial" w:cs="Arial"/>
          <w:sz w:val="24"/>
          <w:szCs w:val="24"/>
        </w:rPr>
      </w:pPr>
    </w:p>
    <w:p w14:paraId="6EFE31ED" w14:textId="6280148E" w:rsidR="00C16376" w:rsidRPr="00736318" w:rsidRDefault="00736318" w:rsidP="00736318">
      <w:pPr>
        <w:spacing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CE7242" w:rsidRPr="00736318">
        <w:rPr>
          <w:rFonts w:ascii="Arial" w:hAnsi="Arial" w:cs="Arial"/>
          <w:sz w:val="24"/>
          <w:szCs w:val="24"/>
        </w:rPr>
        <w:t>Ultimately, the court is not persuaded that it should exercise its discretion in favour of the applicant. The prejudice that would be caused to the respondent in permitting the filing of the supplementary affidavit is plain enough to see.</w:t>
      </w:r>
      <w:r w:rsidR="00C9795E" w:rsidRPr="00736318">
        <w:rPr>
          <w:rFonts w:ascii="Arial" w:hAnsi="Arial" w:cs="Arial"/>
          <w:sz w:val="24"/>
          <w:szCs w:val="24"/>
        </w:rPr>
        <w:t xml:space="preserve"> </w:t>
      </w:r>
      <w:r w:rsidR="00CE7242" w:rsidRPr="00736318">
        <w:rPr>
          <w:rFonts w:ascii="Arial" w:hAnsi="Arial" w:cs="Arial"/>
          <w:sz w:val="24"/>
          <w:szCs w:val="24"/>
        </w:rPr>
        <w:t xml:space="preserve">The court is also of the view that the ambit of rule 6(15) is sufficiently broad to allow the striking out or setting aside of the supplementary affidavit. There is sufficient case law, as </w:t>
      </w:r>
      <w:r w:rsidR="005F19D0" w:rsidRPr="00736318">
        <w:rPr>
          <w:rFonts w:ascii="Arial" w:hAnsi="Arial" w:cs="Arial"/>
          <w:sz w:val="24"/>
          <w:szCs w:val="24"/>
        </w:rPr>
        <w:t>cit</w:t>
      </w:r>
      <w:r w:rsidR="00CE7242" w:rsidRPr="00736318">
        <w:rPr>
          <w:rFonts w:ascii="Arial" w:hAnsi="Arial" w:cs="Arial"/>
          <w:sz w:val="24"/>
          <w:szCs w:val="24"/>
        </w:rPr>
        <w:t>ed by counsel for the respondent,</w:t>
      </w:r>
      <w:r w:rsidR="005F19D0">
        <w:rPr>
          <w:rStyle w:val="FootnoteReference"/>
          <w:rFonts w:ascii="Arial" w:hAnsi="Arial" w:cs="Arial"/>
          <w:sz w:val="24"/>
          <w:szCs w:val="24"/>
        </w:rPr>
        <w:footnoteReference w:id="19"/>
      </w:r>
      <w:r w:rsidR="00CE7242" w:rsidRPr="00736318">
        <w:rPr>
          <w:rFonts w:ascii="Arial" w:hAnsi="Arial" w:cs="Arial"/>
          <w:sz w:val="24"/>
          <w:szCs w:val="24"/>
        </w:rPr>
        <w:t xml:space="preserve"> </w:t>
      </w:r>
      <w:r w:rsidR="00C9795E" w:rsidRPr="00736318">
        <w:rPr>
          <w:rFonts w:ascii="Arial" w:hAnsi="Arial" w:cs="Arial"/>
          <w:sz w:val="24"/>
          <w:szCs w:val="24"/>
        </w:rPr>
        <w:t xml:space="preserve">for this to be done in </w:t>
      </w:r>
      <w:r w:rsidR="009C2BA3" w:rsidRPr="00736318">
        <w:rPr>
          <w:rFonts w:ascii="Arial" w:hAnsi="Arial" w:cs="Arial"/>
          <w:sz w:val="24"/>
          <w:szCs w:val="24"/>
        </w:rPr>
        <w:t xml:space="preserve">its </w:t>
      </w:r>
      <w:r w:rsidR="00C9795E" w:rsidRPr="00736318">
        <w:rPr>
          <w:rFonts w:ascii="Arial" w:hAnsi="Arial" w:cs="Arial"/>
          <w:sz w:val="24"/>
          <w:szCs w:val="24"/>
        </w:rPr>
        <w:t>entirety.</w:t>
      </w:r>
    </w:p>
    <w:p w14:paraId="083F242B" w14:textId="76AA2162" w:rsidR="00C16376" w:rsidRPr="00736318" w:rsidRDefault="00736318" w:rsidP="00736318">
      <w:pPr>
        <w:spacing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C9795E" w:rsidRPr="00736318">
        <w:rPr>
          <w:rFonts w:ascii="Arial" w:hAnsi="Arial" w:cs="Arial"/>
          <w:sz w:val="24"/>
          <w:szCs w:val="24"/>
        </w:rPr>
        <w:t>Regarding costs, there is no reason why the general rule should not follow to the effect that the successful party is entitled to its costs. There is also no reason why the respondent’s request for</w:t>
      </w:r>
      <w:r w:rsidR="00A33683" w:rsidRPr="00736318">
        <w:rPr>
          <w:rFonts w:ascii="Arial" w:hAnsi="Arial" w:cs="Arial"/>
          <w:sz w:val="24"/>
          <w:szCs w:val="24"/>
        </w:rPr>
        <w:t xml:space="preserve"> the </w:t>
      </w:r>
      <w:r w:rsidR="00C9795E" w:rsidRPr="00736318">
        <w:rPr>
          <w:rFonts w:ascii="Arial" w:hAnsi="Arial" w:cs="Arial"/>
          <w:sz w:val="24"/>
          <w:szCs w:val="24"/>
        </w:rPr>
        <w:t>costs of two counsel</w:t>
      </w:r>
      <w:r w:rsidR="00A33683" w:rsidRPr="00736318">
        <w:rPr>
          <w:rFonts w:ascii="Arial" w:hAnsi="Arial" w:cs="Arial"/>
          <w:sz w:val="24"/>
          <w:szCs w:val="24"/>
        </w:rPr>
        <w:t xml:space="preserve"> should be denied, given the complexity of the matter. A party and party scale would be appropriate.</w:t>
      </w:r>
    </w:p>
    <w:p w14:paraId="795B290F" w14:textId="77777777" w:rsidR="00C16376" w:rsidRPr="00C16376" w:rsidRDefault="00C16376" w:rsidP="00C16376">
      <w:pPr>
        <w:pStyle w:val="ListParagraph"/>
        <w:rPr>
          <w:rFonts w:ascii="Arial" w:hAnsi="Arial" w:cs="Arial"/>
          <w:sz w:val="24"/>
          <w:szCs w:val="24"/>
        </w:rPr>
      </w:pPr>
    </w:p>
    <w:p w14:paraId="02FC8F0B" w14:textId="079CB723" w:rsidR="00A33683" w:rsidRPr="00736318" w:rsidRDefault="00736318" w:rsidP="00736318">
      <w:pPr>
        <w:spacing w:line="360" w:lineRule="auto"/>
        <w:jc w:val="both"/>
        <w:rPr>
          <w:rFonts w:ascii="Arial" w:hAnsi="Arial" w:cs="Arial"/>
          <w:sz w:val="24"/>
          <w:szCs w:val="24"/>
        </w:rPr>
      </w:pPr>
      <w:r w:rsidRPr="00C16376">
        <w:rPr>
          <w:rFonts w:ascii="Arial" w:hAnsi="Arial" w:cs="Arial"/>
          <w:sz w:val="24"/>
          <w:szCs w:val="24"/>
        </w:rPr>
        <w:lastRenderedPageBreak/>
        <w:t>[53]</w:t>
      </w:r>
      <w:r w:rsidRPr="00C16376">
        <w:rPr>
          <w:rFonts w:ascii="Arial" w:hAnsi="Arial" w:cs="Arial"/>
          <w:sz w:val="24"/>
          <w:szCs w:val="24"/>
        </w:rPr>
        <w:tab/>
      </w:r>
      <w:r w:rsidR="00A33683" w:rsidRPr="00736318">
        <w:rPr>
          <w:rFonts w:ascii="Arial" w:hAnsi="Arial" w:cs="Arial"/>
          <w:sz w:val="24"/>
          <w:szCs w:val="24"/>
        </w:rPr>
        <w:t>In the circumstances, the following order is made:</w:t>
      </w:r>
    </w:p>
    <w:p w14:paraId="76FCE7C5" w14:textId="77777777" w:rsidR="00A33683" w:rsidRDefault="00A33683" w:rsidP="00C16376">
      <w:pPr>
        <w:pStyle w:val="ListParagraph"/>
        <w:spacing w:line="360" w:lineRule="auto"/>
        <w:jc w:val="both"/>
        <w:rPr>
          <w:rFonts w:ascii="Arial" w:hAnsi="Arial" w:cs="Arial"/>
          <w:sz w:val="24"/>
          <w:szCs w:val="24"/>
        </w:rPr>
      </w:pPr>
    </w:p>
    <w:p w14:paraId="0A03BAA9" w14:textId="5A10AC53" w:rsidR="00C16376" w:rsidRPr="00736318" w:rsidRDefault="00736318" w:rsidP="00736318">
      <w:pPr>
        <w:spacing w:line="360" w:lineRule="auto"/>
        <w:ind w:left="1418" w:hanging="709"/>
        <w:jc w:val="both"/>
        <w:rPr>
          <w:rFonts w:ascii="Arial" w:hAnsi="Arial" w:cs="Arial"/>
          <w:sz w:val="24"/>
          <w:szCs w:val="24"/>
        </w:rPr>
      </w:pPr>
      <w:r>
        <w:rPr>
          <w:rFonts w:ascii="Arial" w:hAnsi="Arial" w:cs="Arial"/>
          <w:sz w:val="24"/>
          <w:szCs w:val="24"/>
        </w:rPr>
        <w:t>(a)</w:t>
      </w:r>
      <w:r>
        <w:rPr>
          <w:rFonts w:ascii="Arial" w:hAnsi="Arial" w:cs="Arial"/>
          <w:sz w:val="24"/>
          <w:szCs w:val="24"/>
        </w:rPr>
        <w:tab/>
      </w:r>
      <w:r w:rsidR="00A33683" w:rsidRPr="00736318">
        <w:rPr>
          <w:rFonts w:ascii="Arial" w:hAnsi="Arial" w:cs="Arial"/>
          <w:sz w:val="24"/>
          <w:szCs w:val="24"/>
        </w:rPr>
        <w:t>the respondent’s application to strike out, dated 17 July 2023, is granted, and the applicant’s supplementary founding affidavit and replying affidavit to the respondent’s supplementary answering affidavit is struck out in its entirety;</w:t>
      </w:r>
    </w:p>
    <w:p w14:paraId="7FD6B80B" w14:textId="77777777" w:rsidR="00C16376" w:rsidRDefault="00C16376" w:rsidP="00C16376">
      <w:pPr>
        <w:pStyle w:val="ListParagraph"/>
        <w:spacing w:line="360" w:lineRule="auto"/>
        <w:ind w:left="1418"/>
        <w:jc w:val="both"/>
        <w:rPr>
          <w:rFonts w:ascii="Arial" w:hAnsi="Arial" w:cs="Arial"/>
          <w:sz w:val="24"/>
          <w:szCs w:val="24"/>
        </w:rPr>
      </w:pPr>
    </w:p>
    <w:p w14:paraId="1AB7FE1F" w14:textId="2CC32D90" w:rsidR="00C16376" w:rsidRPr="00736318" w:rsidRDefault="00736318" w:rsidP="00736318">
      <w:pPr>
        <w:spacing w:line="360" w:lineRule="auto"/>
        <w:ind w:left="1418" w:hanging="709"/>
        <w:jc w:val="both"/>
        <w:rPr>
          <w:rFonts w:ascii="Arial" w:hAnsi="Arial" w:cs="Arial"/>
          <w:sz w:val="24"/>
          <w:szCs w:val="24"/>
        </w:rPr>
      </w:pPr>
      <w:r>
        <w:rPr>
          <w:rFonts w:ascii="Arial" w:hAnsi="Arial" w:cs="Arial"/>
          <w:sz w:val="24"/>
          <w:szCs w:val="24"/>
        </w:rPr>
        <w:t>(b)</w:t>
      </w:r>
      <w:r>
        <w:rPr>
          <w:rFonts w:ascii="Arial" w:hAnsi="Arial" w:cs="Arial"/>
          <w:sz w:val="24"/>
          <w:szCs w:val="24"/>
        </w:rPr>
        <w:tab/>
      </w:r>
      <w:r w:rsidR="00A33683" w:rsidRPr="00736318">
        <w:rPr>
          <w:rFonts w:ascii="Arial" w:hAnsi="Arial" w:cs="Arial"/>
          <w:sz w:val="24"/>
          <w:szCs w:val="24"/>
        </w:rPr>
        <w:t xml:space="preserve">the applicant’s interlocutory application, dated 21 July 2023, is dismissed; and </w:t>
      </w:r>
    </w:p>
    <w:p w14:paraId="1F9C9CF1" w14:textId="77777777" w:rsidR="00C16376" w:rsidRPr="00C16376" w:rsidRDefault="00C16376" w:rsidP="00C16376">
      <w:pPr>
        <w:pStyle w:val="ListParagraph"/>
        <w:rPr>
          <w:rFonts w:ascii="Arial" w:hAnsi="Arial" w:cs="Arial"/>
          <w:sz w:val="24"/>
          <w:szCs w:val="24"/>
        </w:rPr>
      </w:pPr>
    </w:p>
    <w:p w14:paraId="324FB841" w14:textId="7160A663" w:rsidR="00A33683" w:rsidRPr="00736318" w:rsidRDefault="00736318" w:rsidP="00736318">
      <w:pPr>
        <w:spacing w:line="360" w:lineRule="auto"/>
        <w:ind w:left="1418" w:hanging="709"/>
        <w:jc w:val="both"/>
        <w:rPr>
          <w:rFonts w:ascii="Arial" w:hAnsi="Arial" w:cs="Arial"/>
          <w:sz w:val="24"/>
          <w:szCs w:val="24"/>
        </w:rPr>
      </w:pPr>
      <w:r w:rsidRPr="00C16376">
        <w:rPr>
          <w:rFonts w:ascii="Arial" w:hAnsi="Arial" w:cs="Arial"/>
          <w:sz w:val="24"/>
          <w:szCs w:val="24"/>
        </w:rPr>
        <w:t>(c)</w:t>
      </w:r>
      <w:r w:rsidRPr="00C16376">
        <w:rPr>
          <w:rFonts w:ascii="Arial" w:hAnsi="Arial" w:cs="Arial"/>
          <w:sz w:val="24"/>
          <w:szCs w:val="24"/>
        </w:rPr>
        <w:tab/>
      </w:r>
      <w:r w:rsidR="00A33683" w:rsidRPr="00736318">
        <w:rPr>
          <w:rFonts w:ascii="Arial" w:hAnsi="Arial" w:cs="Arial"/>
          <w:sz w:val="24"/>
          <w:szCs w:val="24"/>
        </w:rPr>
        <w:t>the applicant is directed to pay the costs of both applications on a party and party scale, including the costs of two counsel.</w:t>
      </w:r>
    </w:p>
    <w:p w14:paraId="4B5245A4" w14:textId="77777777" w:rsidR="00A33683" w:rsidRDefault="00A33683" w:rsidP="00C16376">
      <w:pPr>
        <w:spacing w:line="360" w:lineRule="auto"/>
        <w:jc w:val="both"/>
        <w:rPr>
          <w:rFonts w:ascii="Arial" w:hAnsi="Arial" w:cs="Arial"/>
          <w:sz w:val="24"/>
          <w:szCs w:val="24"/>
        </w:rPr>
      </w:pPr>
    </w:p>
    <w:p w14:paraId="3A35703D" w14:textId="77777777" w:rsidR="00C76F57" w:rsidRDefault="00C76F57" w:rsidP="00C16376">
      <w:pPr>
        <w:spacing w:line="360" w:lineRule="auto"/>
        <w:jc w:val="both"/>
        <w:rPr>
          <w:rFonts w:ascii="Arial" w:hAnsi="Arial" w:cs="Arial"/>
          <w:sz w:val="24"/>
          <w:szCs w:val="24"/>
        </w:rPr>
      </w:pPr>
    </w:p>
    <w:p w14:paraId="05C6112D" w14:textId="41671709" w:rsidR="00A33683" w:rsidRDefault="00A33683" w:rsidP="00C16376">
      <w:pPr>
        <w:spacing w:line="240" w:lineRule="auto"/>
        <w:jc w:val="both"/>
        <w:rPr>
          <w:rFonts w:ascii="Arial" w:hAnsi="Arial" w:cs="Arial"/>
          <w:sz w:val="24"/>
          <w:szCs w:val="24"/>
        </w:rPr>
      </w:pPr>
      <w:r>
        <w:rPr>
          <w:rFonts w:ascii="Arial" w:hAnsi="Arial" w:cs="Arial"/>
          <w:sz w:val="24"/>
          <w:szCs w:val="24"/>
        </w:rPr>
        <w:t>_________________________</w:t>
      </w:r>
    </w:p>
    <w:p w14:paraId="29FC96BE" w14:textId="32A78F6A" w:rsidR="00A33683" w:rsidRPr="005A6653" w:rsidRDefault="00A33683" w:rsidP="00C16376">
      <w:pPr>
        <w:spacing w:line="240" w:lineRule="auto"/>
        <w:jc w:val="both"/>
        <w:rPr>
          <w:rFonts w:ascii="Arial" w:hAnsi="Arial" w:cs="Arial"/>
          <w:b/>
          <w:bCs/>
          <w:sz w:val="24"/>
          <w:szCs w:val="24"/>
        </w:rPr>
      </w:pPr>
      <w:r w:rsidRPr="005A6653">
        <w:rPr>
          <w:rFonts w:ascii="Arial" w:hAnsi="Arial" w:cs="Arial"/>
          <w:b/>
          <w:bCs/>
          <w:sz w:val="24"/>
          <w:szCs w:val="24"/>
        </w:rPr>
        <w:t>JGA LAING</w:t>
      </w:r>
    </w:p>
    <w:p w14:paraId="5F396D2E" w14:textId="03BAF4B1" w:rsidR="00A33683" w:rsidRPr="005A6653" w:rsidRDefault="00A33683" w:rsidP="00C16376">
      <w:pPr>
        <w:spacing w:line="240" w:lineRule="auto"/>
        <w:jc w:val="both"/>
        <w:rPr>
          <w:rFonts w:ascii="Arial" w:hAnsi="Arial" w:cs="Arial"/>
          <w:b/>
          <w:bCs/>
          <w:sz w:val="24"/>
          <w:szCs w:val="24"/>
        </w:rPr>
      </w:pPr>
      <w:r w:rsidRPr="005A6653">
        <w:rPr>
          <w:rFonts w:ascii="Arial" w:hAnsi="Arial" w:cs="Arial"/>
          <w:b/>
          <w:bCs/>
          <w:sz w:val="24"/>
          <w:szCs w:val="24"/>
        </w:rPr>
        <w:t>JUDGE OF THE HIGH COURT</w:t>
      </w:r>
    </w:p>
    <w:p w14:paraId="37FBB65A" w14:textId="77777777" w:rsidR="00A33683" w:rsidRDefault="00A33683" w:rsidP="00C16376">
      <w:pPr>
        <w:spacing w:line="360" w:lineRule="auto"/>
        <w:jc w:val="both"/>
        <w:rPr>
          <w:rFonts w:ascii="Arial" w:hAnsi="Arial" w:cs="Arial"/>
          <w:sz w:val="24"/>
          <w:szCs w:val="24"/>
        </w:rPr>
      </w:pPr>
    </w:p>
    <w:p w14:paraId="3CD7A6A3" w14:textId="77777777" w:rsidR="0002294A" w:rsidRDefault="0002294A" w:rsidP="00C16376">
      <w:pPr>
        <w:spacing w:line="360" w:lineRule="auto"/>
        <w:jc w:val="both"/>
        <w:rPr>
          <w:rFonts w:ascii="Arial" w:hAnsi="Arial" w:cs="Arial"/>
          <w:sz w:val="24"/>
          <w:szCs w:val="24"/>
        </w:rPr>
      </w:pPr>
    </w:p>
    <w:p w14:paraId="5708747A" w14:textId="77777777" w:rsidR="0002294A" w:rsidRDefault="0002294A" w:rsidP="00C16376">
      <w:pPr>
        <w:spacing w:line="360" w:lineRule="auto"/>
        <w:jc w:val="both"/>
        <w:rPr>
          <w:rFonts w:ascii="Arial" w:hAnsi="Arial" w:cs="Arial"/>
          <w:sz w:val="24"/>
          <w:szCs w:val="24"/>
        </w:rPr>
      </w:pPr>
    </w:p>
    <w:p w14:paraId="3775795F" w14:textId="77777777" w:rsidR="0002294A" w:rsidRDefault="0002294A" w:rsidP="00C16376">
      <w:pPr>
        <w:spacing w:line="360" w:lineRule="auto"/>
        <w:jc w:val="both"/>
        <w:rPr>
          <w:rFonts w:ascii="Arial" w:hAnsi="Arial" w:cs="Arial"/>
          <w:sz w:val="24"/>
          <w:szCs w:val="24"/>
        </w:rPr>
      </w:pPr>
    </w:p>
    <w:p w14:paraId="06674621" w14:textId="77777777" w:rsidR="0002294A" w:rsidRDefault="0002294A" w:rsidP="00C16376">
      <w:pPr>
        <w:spacing w:line="360" w:lineRule="auto"/>
        <w:jc w:val="both"/>
        <w:rPr>
          <w:rFonts w:ascii="Arial" w:hAnsi="Arial" w:cs="Arial"/>
          <w:sz w:val="24"/>
          <w:szCs w:val="24"/>
        </w:rPr>
      </w:pPr>
    </w:p>
    <w:p w14:paraId="135021F6" w14:textId="77777777" w:rsidR="00D35475" w:rsidRDefault="00D35475" w:rsidP="00C16376">
      <w:pPr>
        <w:spacing w:line="360" w:lineRule="auto"/>
        <w:jc w:val="both"/>
        <w:rPr>
          <w:rFonts w:ascii="Arial" w:hAnsi="Arial" w:cs="Arial"/>
          <w:sz w:val="24"/>
          <w:szCs w:val="24"/>
        </w:rPr>
      </w:pPr>
    </w:p>
    <w:p w14:paraId="503EC476" w14:textId="1B99ED8D" w:rsidR="00841E3C" w:rsidRPr="009C2BA3" w:rsidRDefault="00841E3C" w:rsidP="00C16376">
      <w:pPr>
        <w:spacing w:line="360" w:lineRule="auto"/>
        <w:jc w:val="both"/>
        <w:rPr>
          <w:rFonts w:ascii="Arial" w:hAnsi="Arial" w:cs="Arial"/>
          <w:b/>
          <w:bCs/>
          <w:sz w:val="24"/>
          <w:szCs w:val="24"/>
        </w:rPr>
      </w:pPr>
      <w:r w:rsidRPr="009C2BA3">
        <w:rPr>
          <w:rFonts w:ascii="Arial" w:hAnsi="Arial" w:cs="Arial"/>
          <w:b/>
          <w:bCs/>
          <w:sz w:val="24"/>
          <w:szCs w:val="24"/>
        </w:rPr>
        <w:t>APPEARANCES</w:t>
      </w:r>
    </w:p>
    <w:p w14:paraId="34173121" w14:textId="4F93DC53" w:rsidR="00841E3C" w:rsidRDefault="00841E3C" w:rsidP="00C16376">
      <w:pPr>
        <w:spacing w:line="360" w:lineRule="auto"/>
        <w:jc w:val="both"/>
        <w:rPr>
          <w:rFonts w:ascii="Arial" w:hAnsi="Arial" w:cs="Arial"/>
          <w:sz w:val="24"/>
          <w:szCs w:val="24"/>
        </w:rPr>
      </w:pPr>
      <w:r>
        <w:rPr>
          <w:rFonts w:ascii="Arial" w:hAnsi="Arial" w:cs="Arial"/>
          <w:sz w:val="24"/>
          <w:szCs w:val="24"/>
        </w:rPr>
        <w:t>For the applicant:</w:t>
      </w:r>
      <w:r>
        <w:rPr>
          <w:rFonts w:ascii="Arial" w:hAnsi="Arial" w:cs="Arial"/>
          <w:sz w:val="24"/>
          <w:szCs w:val="24"/>
        </w:rPr>
        <w:tab/>
      </w:r>
      <w:r>
        <w:rPr>
          <w:rFonts w:ascii="Arial" w:hAnsi="Arial" w:cs="Arial"/>
          <w:sz w:val="24"/>
          <w:szCs w:val="24"/>
        </w:rPr>
        <w:tab/>
      </w:r>
      <w:r w:rsidR="005A6653">
        <w:rPr>
          <w:rFonts w:ascii="Arial" w:hAnsi="Arial" w:cs="Arial"/>
          <w:sz w:val="24"/>
          <w:szCs w:val="24"/>
        </w:rPr>
        <w:tab/>
      </w:r>
      <w:r>
        <w:rPr>
          <w:rFonts w:ascii="Arial" w:hAnsi="Arial" w:cs="Arial"/>
          <w:sz w:val="24"/>
          <w:szCs w:val="24"/>
        </w:rPr>
        <w:t>Adv AC Botha SC</w:t>
      </w:r>
    </w:p>
    <w:p w14:paraId="0636485D" w14:textId="0C91C734" w:rsidR="00841E3C" w:rsidRDefault="00841E3C" w:rsidP="00C16376">
      <w:pPr>
        <w:spacing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6653">
        <w:rPr>
          <w:rFonts w:ascii="Arial" w:hAnsi="Arial" w:cs="Arial"/>
          <w:sz w:val="24"/>
          <w:szCs w:val="24"/>
        </w:rPr>
        <w:tab/>
      </w:r>
      <w:r>
        <w:rPr>
          <w:rFonts w:ascii="Arial" w:hAnsi="Arial" w:cs="Arial"/>
          <w:sz w:val="24"/>
          <w:szCs w:val="24"/>
        </w:rPr>
        <w:t>Adv KD Williams</w:t>
      </w:r>
    </w:p>
    <w:p w14:paraId="36E66A2D" w14:textId="77777777" w:rsidR="009C2BA3" w:rsidRDefault="009C2BA3" w:rsidP="00C16376">
      <w:pPr>
        <w:spacing w:line="360" w:lineRule="auto"/>
        <w:jc w:val="both"/>
        <w:rPr>
          <w:rFonts w:ascii="Arial" w:hAnsi="Arial" w:cs="Arial"/>
          <w:sz w:val="24"/>
          <w:szCs w:val="24"/>
        </w:rPr>
      </w:pPr>
    </w:p>
    <w:p w14:paraId="2B2F8279" w14:textId="586507BB" w:rsidR="00841E3C" w:rsidRDefault="00841E3C" w:rsidP="00C16376">
      <w:pPr>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5A6653">
        <w:rPr>
          <w:rFonts w:ascii="Arial" w:hAnsi="Arial" w:cs="Arial"/>
          <w:sz w:val="24"/>
          <w:szCs w:val="24"/>
        </w:rPr>
        <w:tab/>
      </w:r>
      <w:r>
        <w:rPr>
          <w:rFonts w:ascii="Arial" w:hAnsi="Arial" w:cs="Arial"/>
          <w:sz w:val="24"/>
          <w:szCs w:val="24"/>
        </w:rPr>
        <w:t>Wheeldon Rushmere &amp; Cole Inc</w:t>
      </w:r>
    </w:p>
    <w:p w14:paraId="69F9E9A8" w14:textId="7E2298BB" w:rsidR="00841E3C" w:rsidRDefault="00841E3C" w:rsidP="00C163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6653">
        <w:rPr>
          <w:rFonts w:ascii="Arial" w:hAnsi="Arial" w:cs="Arial"/>
          <w:sz w:val="24"/>
          <w:szCs w:val="24"/>
        </w:rPr>
        <w:tab/>
      </w:r>
      <w:r>
        <w:rPr>
          <w:rFonts w:ascii="Arial" w:hAnsi="Arial" w:cs="Arial"/>
          <w:sz w:val="24"/>
          <w:szCs w:val="24"/>
        </w:rPr>
        <w:t>Matthew Fosi Chambers</w:t>
      </w:r>
    </w:p>
    <w:p w14:paraId="7897DFC9" w14:textId="4E110611" w:rsidR="00841E3C" w:rsidRDefault="00841E3C" w:rsidP="00C163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6653">
        <w:rPr>
          <w:rFonts w:ascii="Arial" w:hAnsi="Arial" w:cs="Arial"/>
          <w:sz w:val="24"/>
          <w:szCs w:val="24"/>
        </w:rPr>
        <w:tab/>
      </w:r>
      <w:r>
        <w:rPr>
          <w:rFonts w:ascii="Arial" w:hAnsi="Arial" w:cs="Arial"/>
          <w:sz w:val="24"/>
          <w:szCs w:val="24"/>
        </w:rPr>
        <w:t>119 High Street</w:t>
      </w:r>
    </w:p>
    <w:p w14:paraId="2299374C" w14:textId="3A544612" w:rsidR="00841E3C" w:rsidRDefault="00841E3C" w:rsidP="00C163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6653">
        <w:rPr>
          <w:rFonts w:ascii="Arial" w:hAnsi="Arial" w:cs="Arial"/>
          <w:sz w:val="24"/>
          <w:szCs w:val="24"/>
        </w:rPr>
        <w:tab/>
      </w:r>
      <w:r>
        <w:rPr>
          <w:rFonts w:ascii="Arial" w:hAnsi="Arial" w:cs="Arial"/>
          <w:sz w:val="24"/>
          <w:szCs w:val="24"/>
        </w:rPr>
        <w:t>Makhanda</w:t>
      </w:r>
    </w:p>
    <w:p w14:paraId="2E048240" w14:textId="78BB08FA" w:rsidR="005A6653" w:rsidRDefault="00841E3C" w:rsidP="00C163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6653">
        <w:rPr>
          <w:rFonts w:ascii="Arial" w:hAnsi="Arial" w:cs="Arial"/>
          <w:sz w:val="24"/>
          <w:szCs w:val="24"/>
        </w:rPr>
        <w:tab/>
        <w:t>Tel: 046 622 7005</w:t>
      </w:r>
    </w:p>
    <w:p w14:paraId="03D9BBE4" w14:textId="5C566058" w:rsidR="005A6653" w:rsidRPr="005A6653" w:rsidRDefault="005A6653" w:rsidP="00C163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6653">
        <w:rPr>
          <w:rFonts w:ascii="Arial" w:hAnsi="Arial" w:cs="Arial"/>
          <w:sz w:val="24"/>
          <w:szCs w:val="24"/>
        </w:rPr>
        <w:t>(Ref: Ms Amm)</w:t>
      </w:r>
    </w:p>
    <w:p w14:paraId="730E9728" w14:textId="78B53F9D" w:rsidR="00841E3C" w:rsidRDefault="00841E3C" w:rsidP="00C163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6653">
        <w:rPr>
          <w:rFonts w:ascii="Arial" w:hAnsi="Arial" w:cs="Arial"/>
          <w:sz w:val="24"/>
          <w:szCs w:val="24"/>
        </w:rPr>
        <w:tab/>
      </w:r>
      <w:r>
        <w:rPr>
          <w:rFonts w:ascii="Arial" w:hAnsi="Arial" w:cs="Arial"/>
          <w:sz w:val="24"/>
          <w:szCs w:val="24"/>
        </w:rPr>
        <w:t>As instructed by:</w:t>
      </w:r>
    </w:p>
    <w:p w14:paraId="43536271" w14:textId="52288CFA" w:rsidR="00841E3C" w:rsidRDefault="00841E3C" w:rsidP="00C163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6653">
        <w:rPr>
          <w:rFonts w:ascii="Arial" w:hAnsi="Arial" w:cs="Arial"/>
          <w:sz w:val="24"/>
          <w:szCs w:val="24"/>
        </w:rPr>
        <w:tab/>
      </w:r>
      <w:r>
        <w:rPr>
          <w:rFonts w:ascii="Arial" w:hAnsi="Arial" w:cs="Arial"/>
          <w:sz w:val="24"/>
          <w:szCs w:val="24"/>
        </w:rPr>
        <w:t>Pieterse Seller Erasmus TRM</w:t>
      </w:r>
    </w:p>
    <w:p w14:paraId="6A1E6225" w14:textId="2B39596E" w:rsidR="00841E3C" w:rsidRDefault="00841E3C" w:rsidP="00C163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6653">
        <w:rPr>
          <w:rFonts w:ascii="Arial" w:hAnsi="Arial" w:cs="Arial"/>
          <w:sz w:val="24"/>
          <w:szCs w:val="24"/>
        </w:rPr>
        <w:tab/>
      </w:r>
      <w:r>
        <w:rPr>
          <w:rFonts w:ascii="Arial" w:hAnsi="Arial" w:cs="Arial"/>
          <w:sz w:val="24"/>
          <w:szCs w:val="24"/>
        </w:rPr>
        <w:t>174B Cape Road</w:t>
      </w:r>
    </w:p>
    <w:p w14:paraId="7BCBFA04" w14:textId="4B1978BA" w:rsidR="00841E3C" w:rsidRDefault="00841E3C" w:rsidP="00C163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6653">
        <w:rPr>
          <w:rFonts w:ascii="Arial" w:hAnsi="Arial" w:cs="Arial"/>
          <w:sz w:val="24"/>
          <w:szCs w:val="24"/>
        </w:rPr>
        <w:tab/>
      </w:r>
      <w:r>
        <w:rPr>
          <w:rFonts w:ascii="Arial" w:hAnsi="Arial" w:cs="Arial"/>
          <w:sz w:val="24"/>
          <w:szCs w:val="24"/>
        </w:rPr>
        <w:t>Mill Park</w:t>
      </w:r>
    </w:p>
    <w:p w14:paraId="2B50E4F2" w14:textId="4B244FE2" w:rsidR="00841E3C" w:rsidRDefault="00841E3C" w:rsidP="00C163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6653">
        <w:rPr>
          <w:rFonts w:ascii="Arial" w:hAnsi="Arial" w:cs="Arial"/>
          <w:sz w:val="24"/>
          <w:szCs w:val="24"/>
        </w:rPr>
        <w:tab/>
      </w:r>
      <w:r>
        <w:rPr>
          <w:rFonts w:ascii="Arial" w:hAnsi="Arial" w:cs="Arial"/>
          <w:sz w:val="24"/>
          <w:szCs w:val="24"/>
        </w:rPr>
        <w:t>Gqeberha</w:t>
      </w:r>
    </w:p>
    <w:p w14:paraId="356F982E" w14:textId="5707390B" w:rsidR="00841E3C" w:rsidRDefault="00841E3C" w:rsidP="00C163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6653">
        <w:rPr>
          <w:rFonts w:ascii="Arial" w:hAnsi="Arial" w:cs="Arial"/>
          <w:sz w:val="24"/>
          <w:szCs w:val="24"/>
        </w:rPr>
        <w:tab/>
      </w:r>
      <w:r>
        <w:rPr>
          <w:rFonts w:ascii="Arial" w:hAnsi="Arial" w:cs="Arial"/>
          <w:sz w:val="24"/>
          <w:szCs w:val="24"/>
        </w:rPr>
        <w:t xml:space="preserve">(Ref: </w:t>
      </w:r>
      <w:r w:rsidR="005A6653">
        <w:rPr>
          <w:rFonts w:ascii="Arial" w:hAnsi="Arial" w:cs="Arial"/>
          <w:sz w:val="24"/>
          <w:szCs w:val="24"/>
        </w:rPr>
        <w:t>Mr Pieterse</w:t>
      </w:r>
      <w:r>
        <w:rPr>
          <w:rFonts w:ascii="Arial" w:hAnsi="Arial" w:cs="Arial"/>
          <w:sz w:val="24"/>
          <w:szCs w:val="24"/>
        </w:rPr>
        <w:t>)</w:t>
      </w:r>
    </w:p>
    <w:p w14:paraId="4F48FE24" w14:textId="77777777" w:rsidR="00841E3C" w:rsidRDefault="00841E3C" w:rsidP="00C16376">
      <w:pPr>
        <w:spacing w:line="360" w:lineRule="auto"/>
        <w:jc w:val="both"/>
        <w:rPr>
          <w:rFonts w:ascii="Arial" w:hAnsi="Arial" w:cs="Arial"/>
          <w:sz w:val="24"/>
          <w:szCs w:val="24"/>
        </w:rPr>
      </w:pPr>
    </w:p>
    <w:p w14:paraId="4C8F14E5" w14:textId="22815784" w:rsidR="00841E3C" w:rsidRDefault="00841E3C" w:rsidP="00C16376">
      <w:pPr>
        <w:spacing w:line="360" w:lineRule="auto"/>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sidR="005A6653">
        <w:rPr>
          <w:rFonts w:ascii="Arial" w:hAnsi="Arial" w:cs="Arial"/>
          <w:sz w:val="24"/>
          <w:szCs w:val="24"/>
        </w:rPr>
        <w:tab/>
      </w:r>
      <w:r>
        <w:rPr>
          <w:rFonts w:ascii="Arial" w:hAnsi="Arial" w:cs="Arial"/>
          <w:sz w:val="24"/>
          <w:szCs w:val="24"/>
        </w:rPr>
        <w:t>Adv MG Swanepoel SC</w:t>
      </w:r>
    </w:p>
    <w:p w14:paraId="0B25CA2B" w14:textId="59B226A4" w:rsidR="00841E3C" w:rsidRDefault="00841E3C" w:rsidP="00C163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6653">
        <w:rPr>
          <w:rFonts w:ascii="Arial" w:hAnsi="Arial" w:cs="Arial"/>
          <w:sz w:val="24"/>
          <w:szCs w:val="24"/>
        </w:rPr>
        <w:tab/>
      </w:r>
      <w:r>
        <w:rPr>
          <w:rFonts w:ascii="Arial" w:hAnsi="Arial" w:cs="Arial"/>
          <w:sz w:val="24"/>
          <w:szCs w:val="24"/>
        </w:rPr>
        <w:t>Adv T Zietsman</w:t>
      </w:r>
    </w:p>
    <w:p w14:paraId="0F2E4188" w14:textId="77777777" w:rsidR="00841E3C" w:rsidRDefault="00841E3C" w:rsidP="00C16376">
      <w:pPr>
        <w:spacing w:line="360" w:lineRule="auto"/>
        <w:jc w:val="both"/>
        <w:rPr>
          <w:rFonts w:ascii="Arial" w:hAnsi="Arial" w:cs="Arial"/>
          <w:sz w:val="24"/>
          <w:szCs w:val="24"/>
        </w:rPr>
      </w:pPr>
    </w:p>
    <w:p w14:paraId="720E1F07" w14:textId="19F7FD03" w:rsidR="00841E3C" w:rsidRDefault="00841E3C" w:rsidP="00C16376">
      <w:pPr>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5A6653">
        <w:rPr>
          <w:rFonts w:ascii="Arial" w:hAnsi="Arial" w:cs="Arial"/>
          <w:sz w:val="24"/>
          <w:szCs w:val="24"/>
        </w:rPr>
        <w:tab/>
      </w:r>
      <w:r>
        <w:rPr>
          <w:rFonts w:ascii="Arial" w:hAnsi="Arial" w:cs="Arial"/>
          <w:sz w:val="24"/>
          <w:szCs w:val="24"/>
        </w:rPr>
        <w:t xml:space="preserve">Whitesides </w:t>
      </w:r>
    </w:p>
    <w:p w14:paraId="4DF1F183" w14:textId="15813C6E" w:rsidR="00841E3C" w:rsidRDefault="00841E3C" w:rsidP="00C163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6653">
        <w:rPr>
          <w:rFonts w:ascii="Arial" w:hAnsi="Arial" w:cs="Arial"/>
          <w:sz w:val="24"/>
          <w:szCs w:val="24"/>
        </w:rPr>
        <w:tab/>
      </w:r>
      <w:r>
        <w:rPr>
          <w:rFonts w:ascii="Arial" w:hAnsi="Arial" w:cs="Arial"/>
          <w:sz w:val="24"/>
          <w:szCs w:val="24"/>
        </w:rPr>
        <w:t>53 African Street</w:t>
      </w:r>
    </w:p>
    <w:p w14:paraId="4F2FB71B" w14:textId="3C0B3872" w:rsidR="00841E3C" w:rsidRDefault="00841E3C" w:rsidP="00C163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6653">
        <w:rPr>
          <w:rFonts w:ascii="Arial" w:hAnsi="Arial" w:cs="Arial"/>
          <w:sz w:val="24"/>
          <w:szCs w:val="24"/>
        </w:rPr>
        <w:tab/>
      </w:r>
      <w:r>
        <w:rPr>
          <w:rFonts w:ascii="Arial" w:hAnsi="Arial" w:cs="Arial"/>
          <w:sz w:val="24"/>
          <w:szCs w:val="24"/>
        </w:rPr>
        <w:t>Makhanda</w:t>
      </w:r>
    </w:p>
    <w:p w14:paraId="383CF095" w14:textId="1C6078E9" w:rsidR="005A6653" w:rsidRDefault="005A6653" w:rsidP="00C163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046 622 7117</w:t>
      </w:r>
    </w:p>
    <w:p w14:paraId="1A65A0F0" w14:textId="0139AAF7" w:rsidR="005A6653" w:rsidRDefault="005A6653" w:rsidP="00C163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 Mr Barrow)</w:t>
      </w:r>
    </w:p>
    <w:p w14:paraId="21D27C3F" w14:textId="7479D6FD" w:rsidR="005A6653" w:rsidRDefault="005A6653" w:rsidP="00C16376">
      <w:pPr>
        <w:spacing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 instructed by:</w:t>
      </w:r>
    </w:p>
    <w:p w14:paraId="19001FD0" w14:textId="01354A8E" w:rsidR="005A6653" w:rsidRDefault="005A6653" w:rsidP="00C163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Office of the State Attorney, Gqeberha</w:t>
      </w:r>
    </w:p>
    <w:p w14:paraId="03C79AAB" w14:textId="188D5652" w:rsidR="005A6653" w:rsidRDefault="005A6653" w:rsidP="00C163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(Ref: Mr Swartz)</w:t>
      </w:r>
    </w:p>
    <w:p w14:paraId="76F6182D" w14:textId="77777777" w:rsidR="005A6653" w:rsidRDefault="005A6653" w:rsidP="00C16376">
      <w:pPr>
        <w:spacing w:line="360" w:lineRule="auto"/>
        <w:jc w:val="both"/>
        <w:rPr>
          <w:rFonts w:ascii="Arial" w:hAnsi="Arial" w:cs="Arial"/>
          <w:sz w:val="24"/>
          <w:szCs w:val="24"/>
        </w:rPr>
      </w:pPr>
    </w:p>
    <w:p w14:paraId="5A6DBF44" w14:textId="7AEE06F1" w:rsidR="005A6653" w:rsidRDefault="005A6653" w:rsidP="00C16376">
      <w:pPr>
        <w:spacing w:line="360" w:lineRule="auto"/>
        <w:jc w:val="both"/>
        <w:rPr>
          <w:rFonts w:ascii="Arial" w:hAnsi="Arial" w:cs="Arial"/>
          <w:sz w:val="24"/>
          <w:szCs w:val="24"/>
        </w:rPr>
      </w:pPr>
      <w:r>
        <w:rPr>
          <w:rFonts w:ascii="Arial" w:hAnsi="Arial" w:cs="Arial"/>
          <w:sz w:val="24"/>
          <w:szCs w:val="24"/>
        </w:rPr>
        <w:t>Date of hearing:</w:t>
      </w:r>
      <w:r>
        <w:rPr>
          <w:rFonts w:ascii="Arial" w:hAnsi="Arial" w:cs="Arial"/>
          <w:sz w:val="24"/>
          <w:szCs w:val="24"/>
        </w:rPr>
        <w:tab/>
      </w:r>
      <w:r>
        <w:rPr>
          <w:rFonts w:ascii="Arial" w:hAnsi="Arial" w:cs="Arial"/>
          <w:sz w:val="24"/>
          <w:szCs w:val="24"/>
        </w:rPr>
        <w:tab/>
      </w:r>
      <w:r>
        <w:rPr>
          <w:rFonts w:ascii="Arial" w:hAnsi="Arial" w:cs="Arial"/>
          <w:sz w:val="24"/>
          <w:szCs w:val="24"/>
        </w:rPr>
        <w:tab/>
        <w:t>17 August 2023</w:t>
      </w:r>
    </w:p>
    <w:p w14:paraId="15EE6D73" w14:textId="6320C337" w:rsidR="005A6653" w:rsidRPr="00A33683" w:rsidRDefault="005A6653" w:rsidP="00C16376">
      <w:pPr>
        <w:spacing w:line="360" w:lineRule="auto"/>
        <w:jc w:val="both"/>
        <w:rPr>
          <w:rFonts w:ascii="Arial" w:hAnsi="Arial" w:cs="Arial"/>
          <w:sz w:val="24"/>
          <w:szCs w:val="24"/>
        </w:rPr>
      </w:pPr>
      <w:r>
        <w:rPr>
          <w:rFonts w:ascii="Arial" w:hAnsi="Arial" w:cs="Arial"/>
          <w:sz w:val="24"/>
          <w:szCs w:val="24"/>
        </w:rPr>
        <w:t>Date of delivery of judgment:</w:t>
      </w:r>
      <w:r>
        <w:rPr>
          <w:rFonts w:ascii="Arial" w:hAnsi="Arial" w:cs="Arial"/>
          <w:sz w:val="24"/>
          <w:szCs w:val="24"/>
        </w:rPr>
        <w:tab/>
        <w:t>17 October 2023</w:t>
      </w:r>
    </w:p>
    <w:sectPr w:rsidR="005A6653" w:rsidRPr="00A33683" w:rsidSect="00C1637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30D60" w14:textId="77777777" w:rsidR="00C46F66" w:rsidRDefault="00C46F66" w:rsidP="00F85DB7">
      <w:pPr>
        <w:spacing w:after="0" w:line="240" w:lineRule="auto"/>
      </w:pPr>
      <w:r>
        <w:separator/>
      </w:r>
    </w:p>
  </w:endnote>
  <w:endnote w:type="continuationSeparator" w:id="0">
    <w:p w14:paraId="318DE6FC" w14:textId="77777777" w:rsidR="00C46F66" w:rsidRDefault="00C46F66" w:rsidP="00F8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FF01B" w14:textId="77777777" w:rsidR="00C46F66" w:rsidRDefault="00C46F66" w:rsidP="00F85DB7">
      <w:pPr>
        <w:spacing w:after="0" w:line="240" w:lineRule="auto"/>
      </w:pPr>
      <w:r>
        <w:separator/>
      </w:r>
    </w:p>
  </w:footnote>
  <w:footnote w:type="continuationSeparator" w:id="0">
    <w:p w14:paraId="1B0130D6" w14:textId="77777777" w:rsidR="00C46F66" w:rsidRDefault="00C46F66" w:rsidP="00F85DB7">
      <w:pPr>
        <w:spacing w:after="0" w:line="240" w:lineRule="auto"/>
      </w:pPr>
      <w:r>
        <w:continuationSeparator/>
      </w:r>
    </w:p>
  </w:footnote>
  <w:footnote w:id="1">
    <w:p w14:paraId="6B7860EE" w14:textId="77777777" w:rsidR="00E25620" w:rsidRPr="00F85DB7" w:rsidRDefault="00E25620" w:rsidP="00DD09BC">
      <w:pPr>
        <w:pStyle w:val="FootnoteText"/>
        <w:jc w:val="both"/>
        <w:rPr>
          <w:lang w:val="en-US"/>
        </w:rPr>
      </w:pPr>
      <w:r>
        <w:rPr>
          <w:rStyle w:val="FootnoteReference"/>
        </w:rPr>
        <w:footnoteRef/>
      </w:r>
      <w:r>
        <w:t xml:space="preserve"> </w:t>
      </w:r>
      <w:r>
        <w:rPr>
          <w:lang w:val="en-US"/>
        </w:rPr>
        <w:t>The approval was given in terms of section 164 of the Tax Administration Act 28 of 2011.</w:t>
      </w:r>
    </w:p>
  </w:footnote>
  <w:footnote w:id="2">
    <w:p w14:paraId="5D60F771" w14:textId="2905A97C" w:rsidR="006275FB" w:rsidRPr="006275FB" w:rsidRDefault="006275FB" w:rsidP="00DD09BC">
      <w:pPr>
        <w:pStyle w:val="FootnoteText"/>
        <w:jc w:val="both"/>
        <w:rPr>
          <w:lang w:val="en-US"/>
        </w:rPr>
      </w:pPr>
      <w:r>
        <w:rPr>
          <w:rStyle w:val="FootnoteReference"/>
        </w:rPr>
        <w:footnoteRef/>
      </w:r>
      <w:r>
        <w:t xml:space="preserve"> </w:t>
      </w:r>
      <w:r w:rsidR="007E2F43" w:rsidRPr="00E42C9C">
        <w:rPr>
          <w:i/>
          <w:iCs/>
          <w:lang w:val="en-US"/>
        </w:rPr>
        <w:t>Dickinson v South African General Electric</w:t>
      </w:r>
      <w:r w:rsidR="00F81993" w:rsidRPr="00E42C9C">
        <w:rPr>
          <w:i/>
          <w:iCs/>
          <w:lang w:val="en-US"/>
        </w:rPr>
        <w:t xml:space="preserve"> Co (Pty) Ltd</w:t>
      </w:r>
      <w:r w:rsidR="00F81993">
        <w:rPr>
          <w:lang w:val="en-US"/>
        </w:rPr>
        <w:t xml:space="preserve"> 1973 (2) SA 620 (A), at </w:t>
      </w:r>
      <w:r w:rsidR="00E42C9C">
        <w:rPr>
          <w:lang w:val="en-US"/>
        </w:rPr>
        <w:t xml:space="preserve">628F. </w:t>
      </w:r>
    </w:p>
  </w:footnote>
  <w:footnote w:id="3">
    <w:p w14:paraId="01A6B30A" w14:textId="25F4AF79" w:rsidR="007419B0" w:rsidRPr="007419B0" w:rsidRDefault="007419B0" w:rsidP="00DD09BC">
      <w:pPr>
        <w:pStyle w:val="FootnoteText"/>
        <w:jc w:val="both"/>
        <w:rPr>
          <w:lang w:val="en-US"/>
        </w:rPr>
      </w:pPr>
      <w:r>
        <w:rPr>
          <w:rStyle w:val="FootnoteReference"/>
        </w:rPr>
        <w:footnoteRef/>
      </w:r>
      <w:r>
        <w:t xml:space="preserve"> </w:t>
      </w:r>
      <w:r>
        <w:rPr>
          <w:lang w:val="en-US"/>
        </w:rPr>
        <w:t xml:space="preserve">DE van Loggerenberg, </w:t>
      </w:r>
      <w:r w:rsidRPr="00EE4D1A">
        <w:rPr>
          <w:i/>
          <w:iCs/>
          <w:lang w:val="en-US"/>
        </w:rPr>
        <w:t>Erasmus: Superior Court Practice</w:t>
      </w:r>
      <w:r w:rsidR="001C7558">
        <w:rPr>
          <w:lang w:val="en-US"/>
        </w:rPr>
        <w:t xml:space="preserve"> (Jutastat e-publications, </w:t>
      </w:r>
      <w:r w:rsidR="00525EFD">
        <w:rPr>
          <w:lang w:val="en-US"/>
        </w:rPr>
        <w:t>RS 18, 2022</w:t>
      </w:r>
      <w:r w:rsidR="00EE4D1A">
        <w:rPr>
          <w:lang w:val="en-US"/>
        </w:rPr>
        <w:t>), at D1-68.</w:t>
      </w:r>
    </w:p>
  </w:footnote>
  <w:footnote w:id="4">
    <w:p w14:paraId="7349012F" w14:textId="46DAFA69" w:rsidR="006C2AF1" w:rsidRPr="006C2AF1" w:rsidRDefault="006C2AF1" w:rsidP="00DD09BC">
      <w:pPr>
        <w:pStyle w:val="FootnoteText"/>
        <w:jc w:val="both"/>
        <w:rPr>
          <w:lang w:val="en-US"/>
        </w:rPr>
      </w:pPr>
      <w:r>
        <w:rPr>
          <w:rStyle w:val="FootnoteReference"/>
        </w:rPr>
        <w:footnoteRef/>
      </w:r>
      <w:r>
        <w:t xml:space="preserve"> </w:t>
      </w:r>
      <w:r w:rsidR="00D4637F" w:rsidRPr="003E05A2">
        <w:rPr>
          <w:i/>
          <w:iCs/>
          <w:lang w:val="en-US"/>
        </w:rPr>
        <w:t>Milne NO v Fabric House (Pty) Ltd</w:t>
      </w:r>
      <w:r w:rsidR="00D4637F">
        <w:rPr>
          <w:lang w:val="en-US"/>
        </w:rPr>
        <w:t xml:space="preserve"> 1957 (3) SA 63 (N)</w:t>
      </w:r>
      <w:r w:rsidR="00CA3486">
        <w:rPr>
          <w:lang w:val="en-US"/>
        </w:rPr>
        <w:t xml:space="preserve">, at 65A; </w:t>
      </w:r>
      <w:r w:rsidR="00CA3486" w:rsidRPr="003E05A2">
        <w:rPr>
          <w:i/>
          <w:iCs/>
          <w:lang w:val="en-US"/>
        </w:rPr>
        <w:t>Broode NO v Maposa</w:t>
      </w:r>
      <w:r w:rsidR="00CA3486">
        <w:rPr>
          <w:lang w:val="en-US"/>
        </w:rPr>
        <w:t xml:space="preserve"> 2018 (3) SA </w:t>
      </w:r>
      <w:r w:rsidR="00363BFD">
        <w:rPr>
          <w:lang w:val="en-US"/>
        </w:rPr>
        <w:t xml:space="preserve">129 (WCC), at 137G; and </w:t>
      </w:r>
      <w:r w:rsidR="00363BFD" w:rsidRPr="003E05A2">
        <w:rPr>
          <w:i/>
          <w:iCs/>
          <w:lang w:val="en-US"/>
        </w:rPr>
        <w:t>Amedee v Fidele</w:t>
      </w:r>
      <w:r w:rsidR="00622FFF">
        <w:rPr>
          <w:lang w:val="en-US"/>
        </w:rPr>
        <w:t xml:space="preserve"> (unreported, GJ case no 20/9529, 20 December 2021), at </w:t>
      </w:r>
      <w:r w:rsidR="003E05A2">
        <w:rPr>
          <w:lang w:val="en-US"/>
        </w:rPr>
        <w:t>paragraph [79].</w:t>
      </w:r>
    </w:p>
  </w:footnote>
  <w:footnote w:id="5">
    <w:p w14:paraId="7BBADC80" w14:textId="515E5EA2" w:rsidR="00F87DF2" w:rsidRPr="00F87DF2" w:rsidRDefault="00F87DF2" w:rsidP="00DD09BC">
      <w:pPr>
        <w:pStyle w:val="FootnoteText"/>
        <w:jc w:val="both"/>
        <w:rPr>
          <w:lang w:val="en-US"/>
        </w:rPr>
      </w:pPr>
      <w:r>
        <w:rPr>
          <w:rStyle w:val="FootnoteReference"/>
        </w:rPr>
        <w:footnoteRef/>
      </w:r>
      <w:r>
        <w:t xml:space="preserve"> </w:t>
      </w:r>
      <w:r w:rsidR="00093047" w:rsidRPr="0076542F">
        <w:rPr>
          <w:i/>
          <w:iCs/>
          <w:lang w:val="en-US"/>
        </w:rPr>
        <w:t xml:space="preserve">Premier </w:t>
      </w:r>
      <w:r w:rsidR="00CA0887" w:rsidRPr="0076542F">
        <w:rPr>
          <w:i/>
          <w:iCs/>
          <w:lang w:val="en-US"/>
        </w:rPr>
        <w:t>Produce Co v Mavros</w:t>
      </w:r>
      <w:r w:rsidR="00CA0887">
        <w:rPr>
          <w:lang w:val="en-US"/>
        </w:rPr>
        <w:t xml:space="preserve"> 1931 WLD 91; </w:t>
      </w:r>
      <w:r w:rsidR="006207FC" w:rsidRPr="0076542F">
        <w:rPr>
          <w:i/>
          <w:iCs/>
          <w:lang w:val="en-US"/>
        </w:rPr>
        <w:t xml:space="preserve">SA Railways and Harbours </w:t>
      </w:r>
      <w:r w:rsidR="00034941" w:rsidRPr="0076542F">
        <w:rPr>
          <w:i/>
          <w:iCs/>
          <w:lang w:val="en-US"/>
        </w:rPr>
        <w:t>v Hermanus Municipality</w:t>
      </w:r>
      <w:r w:rsidR="00034941">
        <w:rPr>
          <w:lang w:val="en-US"/>
        </w:rPr>
        <w:t xml:space="preserve"> 1931 CPD 184; and </w:t>
      </w:r>
      <w:r w:rsidR="00F4635D" w:rsidRPr="0076542F">
        <w:rPr>
          <w:i/>
          <w:iCs/>
          <w:lang w:val="en-US"/>
        </w:rPr>
        <w:t>Titty’s Bar and Bottle Store (Pty) Ltd</w:t>
      </w:r>
      <w:r w:rsidR="007D7BAD" w:rsidRPr="0076542F">
        <w:rPr>
          <w:i/>
          <w:iCs/>
          <w:lang w:val="en-US"/>
        </w:rPr>
        <w:t xml:space="preserve"> v ABC Garage (Pty) Ltd</w:t>
      </w:r>
      <w:r w:rsidR="007D7BAD">
        <w:rPr>
          <w:lang w:val="en-US"/>
        </w:rPr>
        <w:t xml:space="preserve"> 1974 (4) SA </w:t>
      </w:r>
      <w:r w:rsidR="0076542F">
        <w:rPr>
          <w:lang w:val="en-US"/>
        </w:rPr>
        <w:t>362 (T).</w:t>
      </w:r>
    </w:p>
  </w:footnote>
  <w:footnote w:id="6">
    <w:p w14:paraId="32C7A73E" w14:textId="1D598817" w:rsidR="00C911ED" w:rsidRPr="00C911ED" w:rsidRDefault="00C911ED" w:rsidP="00C16376">
      <w:pPr>
        <w:pStyle w:val="FootnoteText"/>
        <w:jc w:val="both"/>
        <w:rPr>
          <w:lang w:val="en-US"/>
        </w:rPr>
      </w:pPr>
      <w:r>
        <w:rPr>
          <w:rStyle w:val="FootnoteReference"/>
        </w:rPr>
        <w:footnoteRef/>
      </w:r>
      <w:r>
        <w:t xml:space="preserve"> </w:t>
      </w:r>
      <w:r w:rsidRPr="00B91E7D">
        <w:rPr>
          <w:i/>
          <w:iCs/>
          <w:lang w:val="en-US"/>
        </w:rPr>
        <w:t>Brummund v Brummund’s Estate</w:t>
      </w:r>
      <w:r>
        <w:rPr>
          <w:lang w:val="en-US"/>
        </w:rPr>
        <w:t xml:space="preserve"> 1993 (2) SA </w:t>
      </w:r>
      <w:r w:rsidR="00B91E7D">
        <w:rPr>
          <w:lang w:val="en-US"/>
        </w:rPr>
        <w:t>494 (NmHC), at 498E.</w:t>
      </w:r>
    </w:p>
  </w:footnote>
  <w:footnote w:id="7">
    <w:p w14:paraId="496F4358" w14:textId="5E5977BF" w:rsidR="00BB6EA4" w:rsidRPr="00BB6EA4" w:rsidRDefault="00BB6EA4">
      <w:pPr>
        <w:pStyle w:val="FootnoteText"/>
        <w:rPr>
          <w:lang w:val="en-US"/>
        </w:rPr>
      </w:pPr>
      <w:r>
        <w:rPr>
          <w:rStyle w:val="FootnoteReference"/>
        </w:rPr>
        <w:footnoteRef/>
      </w:r>
      <w:r>
        <w:t xml:space="preserve"> </w:t>
      </w:r>
      <w:r w:rsidRPr="009C21C3">
        <w:rPr>
          <w:i/>
          <w:iCs/>
          <w:lang w:val="en-US"/>
        </w:rPr>
        <w:t xml:space="preserve">National Council of Societies for the Prevention of Cruelty to </w:t>
      </w:r>
      <w:r w:rsidR="007A6A4F" w:rsidRPr="009C21C3">
        <w:rPr>
          <w:i/>
          <w:iCs/>
          <w:lang w:val="en-US"/>
        </w:rPr>
        <w:t xml:space="preserve">Animals v </w:t>
      </w:r>
      <w:r w:rsidR="008305D7" w:rsidRPr="009C21C3">
        <w:rPr>
          <w:i/>
          <w:iCs/>
          <w:lang w:val="en-US"/>
        </w:rPr>
        <w:t>Openshaw</w:t>
      </w:r>
      <w:r w:rsidR="008305D7">
        <w:rPr>
          <w:lang w:val="en-US"/>
        </w:rPr>
        <w:t xml:space="preserve"> 2008 (5) 339 (SCA), at 349A-B; </w:t>
      </w:r>
      <w:r w:rsidR="0008005D" w:rsidRPr="009C21C3">
        <w:rPr>
          <w:i/>
          <w:iCs/>
          <w:lang w:val="en-US"/>
        </w:rPr>
        <w:t xml:space="preserve">Minister of Land Affairs </w:t>
      </w:r>
      <w:r w:rsidR="009272E4" w:rsidRPr="009C21C3">
        <w:rPr>
          <w:i/>
          <w:iCs/>
          <w:lang w:val="en-US"/>
        </w:rPr>
        <w:t>and Agriculture and others v D &amp; F Wevell Trust</w:t>
      </w:r>
      <w:r w:rsidR="00051647" w:rsidRPr="009C21C3">
        <w:rPr>
          <w:i/>
          <w:iCs/>
          <w:lang w:val="en-US"/>
        </w:rPr>
        <w:t xml:space="preserve"> and others</w:t>
      </w:r>
      <w:r w:rsidR="00051647">
        <w:rPr>
          <w:lang w:val="en-US"/>
        </w:rPr>
        <w:t xml:space="preserve"> 2008 (2) SA </w:t>
      </w:r>
      <w:r w:rsidR="006545C3">
        <w:rPr>
          <w:lang w:val="en-US"/>
        </w:rPr>
        <w:t>184 (SCA)</w:t>
      </w:r>
      <w:r w:rsidR="008C4721">
        <w:rPr>
          <w:lang w:val="en-US"/>
        </w:rPr>
        <w:t>, at 200C-E.</w:t>
      </w:r>
    </w:p>
  </w:footnote>
  <w:footnote w:id="8">
    <w:p w14:paraId="28601C61" w14:textId="65CF5009" w:rsidR="00804977" w:rsidRPr="00804977" w:rsidRDefault="00804977">
      <w:pPr>
        <w:pStyle w:val="FootnoteText"/>
        <w:rPr>
          <w:lang w:val="en-US"/>
        </w:rPr>
      </w:pPr>
      <w:r>
        <w:rPr>
          <w:rStyle w:val="FootnoteReference"/>
        </w:rPr>
        <w:footnoteRef/>
      </w:r>
      <w:r>
        <w:t xml:space="preserve"> See </w:t>
      </w:r>
      <w:r w:rsidR="005F5704" w:rsidRPr="005572A0">
        <w:rPr>
          <w:i/>
          <w:iCs/>
        </w:rPr>
        <w:t xml:space="preserve">Transnet </w:t>
      </w:r>
      <w:r w:rsidR="006D61A1" w:rsidRPr="005572A0">
        <w:rPr>
          <w:i/>
          <w:iCs/>
        </w:rPr>
        <w:t>v Rubenstein</w:t>
      </w:r>
      <w:r w:rsidR="006D61A1">
        <w:t xml:space="preserve"> 2006 (1) SA 591 (SCA)</w:t>
      </w:r>
      <w:r w:rsidR="001C29AC">
        <w:t xml:space="preserve">, at paragraph [28]; </w:t>
      </w:r>
      <w:r w:rsidRPr="0061428D">
        <w:rPr>
          <w:i/>
          <w:iCs/>
          <w:lang w:val="en-US"/>
        </w:rPr>
        <w:t>Openshaw</w:t>
      </w:r>
      <w:r w:rsidR="00D41166">
        <w:rPr>
          <w:lang w:val="en-US"/>
        </w:rPr>
        <w:t xml:space="preserve">, n7 </w:t>
      </w:r>
      <w:r w:rsidR="0061428D" w:rsidRPr="0061428D">
        <w:rPr>
          <w:i/>
          <w:iCs/>
          <w:lang w:val="en-US"/>
        </w:rPr>
        <w:t>supra</w:t>
      </w:r>
      <w:r w:rsidR="00D41166">
        <w:rPr>
          <w:lang w:val="en-US"/>
        </w:rPr>
        <w:t>, at paragraphs [29] to [30]</w:t>
      </w:r>
      <w:r w:rsidR="0061428D">
        <w:rPr>
          <w:lang w:val="en-US"/>
        </w:rPr>
        <w:t xml:space="preserve">; </w:t>
      </w:r>
      <w:r w:rsidR="0061428D" w:rsidRPr="00F77944">
        <w:rPr>
          <w:i/>
          <w:iCs/>
          <w:lang w:val="en-US"/>
        </w:rPr>
        <w:t>Van der Merwe and another v Taylor NO and others</w:t>
      </w:r>
      <w:r w:rsidR="00675304">
        <w:rPr>
          <w:lang w:val="en-US"/>
        </w:rPr>
        <w:t xml:space="preserve"> 2008 (1) SA 1 (CC), at </w:t>
      </w:r>
      <w:r w:rsidR="00344685">
        <w:rPr>
          <w:lang w:val="en-US"/>
        </w:rPr>
        <w:t>paragraph [122]</w:t>
      </w:r>
      <w:r w:rsidR="00F77944">
        <w:rPr>
          <w:lang w:val="en-US"/>
        </w:rPr>
        <w:t>. See, too, the provisions of rule 6(1) of the URC.</w:t>
      </w:r>
    </w:p>
  </w:footnote>
  <w:footnote w:id="9">
    <w:p w14:paraId="19B5A47D" w14:textId="7C294541" w:rsidR="001F343F" w:rsidRPr="001F343F" w:rsidRDefault="001F343F">
      <w:pPr>
        <w:pStyle w:val="FootnoteText"/>
        <w:rPr>
          <w:lang w:val="en-US"/>
        </w:rPr>
      </w:pPr>
      <w:r>
        <w:rPr>
          <w:rStyle w:val="FootnoteReference"/>
        </w:rPr>
        <w:footnoteRef/>
      </w:r>
      <w:r>
        <w:t xml:space="preserve"> </w:t>
      </w:r>
      <w:r>
        <w:rPr>
          <w:lang w:val="en-US"/>
        </w:rPr>
        <w:t xml:space="preserve">2013 (1) </w:t>
      </w:r>
      <w:r w:rsidR="006559D5">
        <w:rPr>
          <w:lang w:val="en-US"/>
        </w:rPr>
        <w:t xml:space="preserve">SA 161 </w:t>
      </w:r>
      <w:r w:rsidR="0056652F">
        <w:rPr>
          <w:lang w:val="en-US"/>
        </w:rPr>
        <w:t>(SCA)</w:t>
      </w:r>
      <w:r w:rsidR="0094570C">
        <w:rPr>
          <w:lang w:val="en-US"/>
        </w:rPr>
        <w:t>, at paragraphs [11] to [14]</w:t>
      </w:r>
      <w:r w:rsidR="0056652F">
        <w:rPr>
          <w:lang w:val="en-US"/>
        </w:rPr>
        <w:t>.</w:t>
      </w:r>
    </w:p>
  </w:footnote>
  <w:footnote w:id="10">
    <w:p w14:paraId="41172BF8" w14:textId="7C6C44D9" w:rsidR="00D91761" w:rsidRPr="00D91761" w:rsidRDefault="00D91761">
      <w:pPr>
        <w:pStyle w:val="FootnoteText"/>
        <w:rPr>
          <w:lang w:val="en-US"/>
        </w:rPr>
      </w:pPr>
      <w:r>
        <w:rPr>
          <w:rStyle w:val="FootnoteReference"/>
        </w:rPr>
        <w:footnoteRef/>
      </w:r>
      <w:r>
        <w:t xml:space="preserve"> </w:t>
      </w:r>
      <w:r>
        <w:rPr>
          <w:lang w:val="en-US"/>
        </w:rPr>
        <w:t>1963 (4) SA 656 (A)</w:t>
      </w:r>
      <w:r w:rsidR="004E7E76">
        <w:rPr>
          <w:lang w:val="en-US"/>
        </w:rPr>
        <w:t>, at 660D-H.</w:t>
      </w:r>
    </w:p>
  </w:footnote>
  <w:footnote w:id="11">
    <w:p w14:paraId="36F784E5" w14:textId="681EC42B" w:rsidR="00A471AA" w:rsidRPr="00A471AA" w:rsidRDefault="00A471AA">
      <w:pPr>
        <w:pStyle w:val="FootnoteText"/>
        <w:rPr>
          <w:lang w:val="en-US"/>
        </w:rPr>
      </w:pPr>
      <w:r>
        <w:rPr>
          <w:rStyle w:val="FootnoteReference"/>
        </w:rPr>
        <w:footnoteRef/>
      </w:r>
      <w:r>
        <w:t xml:space="preserve"> </w:t>
      </w:r>
      <w:r>
        <w:rPr>
          <w:lang w:val="en-US"/>
        </w:rPr>
        <w:t xml:space="preserve">2005 (4) SA </w:t>
      </w:r>
      <w:r w:rsidR="008E67C3">
        <w:rPr>
          <w:lang w:val="en-US"/>
        </w:rPr>
        <w:t>148 (C), at paragraphs [12] to [13].</w:t>
      </w:r>
    </w:p>
  </w:footnote>
  <w:footnote w:id="12">
    <w:p w14:paraId="0F5B190F" w14:textId="55727A09" w:rsidR="00E4521B" w:rsidRPr="005B357F" w:rsidRDefault="00E4521B" w:rsidP="00E4521B">
      <w:pPr>
        <w:pStyle w:val="FootnoteText"/>
        <w:rPr>
          <w:lang w:val="en-US"/>
        </w:rPr>
      </w:pPr>
      <w:r>
        <w:rPr>
          <w:rStyle w:val="FootnoteReference"/>
        </w:rPr>
        <w:footnoteRef/>
      </w:r>
      <w:r>
        <w:t xml:space="preserve"> </w:t>
      </w:r>
      <w:r w:rsidRPr="00E4521B">
        <w:rPr>
          <w:i/>
          <w:iCs/>
        </w:rPr>
        <w:t>eBotswana (Pty) Ltd v Sentech (Pty) Ltd</w:t>
      </w:r>
      <w:r>
        <w:t xml:space="preserve"> </w:t>
      </w:r>
      <w:r>
        <w:rPr>
          <w:lang w:val="en-US"/>
        </w:rPr>
        <w:t xml:space="preserve">2013 (6) SA 327 (GSJ), at </w:t>
      </w:r>
      <w:r w:rsidR="0017177C">
        <w:rPr>
          <w:lang w:val="en-US"/>
        </w:rPr>
        <w:t>paragraph [28]</w:t>
      </w:r>
      <w:r>
        <w:rPr>
          <w:lang w:val="en-US"/>
        </w:rPr>
        <w:t>.</w:t>
      </w:r>
    </w:p>
  </w:footnote>
  <w:footnote w:id="13">
    <w:p w14:paraId="0852BE51" w14:textId="0CA82D3C" w:rsidR="0017177C" w:rsidRPr="0017177C" w:rsidRDefault="0017177C">
      <w:pPr>
        <w:pStyle w:val="FootnoteText"/>
        <w:rPr>
          <w:lang w:val="en-US"/>
        </w:rPr>
      </w:pPr>
      <w:r>
        <w:rPr>
          <w:rStyle w:val="FootnoteReference"/>
        </w:rPr>
        <w:footnoteRef/>
      </w:r>
      <w:r>
        <w:t xml:space="preserve"> Ibid.</w:t>
      </w:r>
    </w:p>
  </w:footnote>
  <w:footnote w:id="14">
    <w:p w14:paraId="1E8D2926" w14:textId="096EEC73" w:rsidR="009135C2" w:rsidRPr="009135C2" w:rsidRDefault="009135C2">
      <w:pPr>
        <w:pStyle w:val="FootnoteText"/>
        <w:rPr>
          <w:lang w:val="en-US"/>
        </w:rPr>
      </w:pPr>
      <w:r>
        <w:rPr>
          <w:rStyle w:val="FootnoteReference"/>
        </w:rPr>
        <w:footnoteRef/>
      </w:r>
      <w:r>
        <w:t xml:space="preserve"> </w:t>
      </w:r>
      <w:r w:rsidR="0049376D">
        <w:rPr>
          <w:lang w:val="en-US"/>
        </w:rPr>
        <w:t>1999 (4) SA 947 (SCA).</w:t>
      </w:r>
    </w:p>
  </w:footnote>
  <w:footnote w:id="15">
    <w:p w14:paraId="11A372FC" w14:textId="7DF86AB6" w:rsidR="00830ED0" w:rsidRPr="00830ED0" w:rsidRDefault="00830ED0" w:rsidP="00C16376">
      <w:pPr>
        <w:pStyle w:val="FootnoteText"/>
        <w:jc w:val="both"/>
        <w:rPr>
          <w:lang w:val="en-US"/>
        </w:rPr>
      </w:pPr>
      <w:r>
        <w:rPr>
          <w:rStyle w:val="FootnoteReference"/>
        </w:rPr>
        <w:footnoteRef/>
      </w:r>
      <w:r>
        <w:t xml:space="preserve"> </w:t>
      </w:r>
      <w:r>
        <w:rPr>
          <w:lang w:val="en-US"/>
        </w:rPr>
        <w:t>At paragraph [15].</w:t>
      </w:r>
    </w:p>
  </w:footnote>
  <w:footnote w:id="16">
    <w:p w14:paraId="1689E024" w14:textId="325D473F" w:rsidR="002238C2" w:rsidRPr="002238C2" w:rsidRDefault="002238C2" w:rsidP="00C16376">
      <w:pPr>
        <w:pStyle w:val="FootnoteText"/>
        <w:jc w:val="both"/>
        <w:rPr>
          <w:lang w:val="en-US"/>
        </w:rPr>
      </w:pPr>
      <w:r>
        <w:rPr>
          <w:rStyle w:val="FootnoteReference"/>
        </w:rPr>
        <w:footnoteRef/>
      </w:r>
      <w:r>
        <w:t xml:space="preserve"> </w:t>
      </w:r>
      <w:r w:rsidR="00C24268">
        <w:t xml:space="preserve">See </w:t>
      </w:r>
      <w:r w:rsidRPr="00473D86">
        <w:rPr>
          <w:i/>
          <w:iCs/>
          <w:lang w:val="en-US"/>
        </w:rPr>
        <w:t>Bangtoo Bros and others v National Transport Commission and others</w:t>
      </w:r>
      <w:r>
        <w:rPr>
          <w:lang w:val="en-US"/>
        </w:rPr>
        <w:t xml:space="preserve"> </w:t>
      </w:r>
      <w:r w:rsidR="00473D86">
        <w:rPr>
          <w:lang w:val="en-US"/>
        </w:rPr>
        <w:t xml:space="preserve">1973 (4) SA 667 (N), at 680B; </w:t>
      </w:r>
      <w:r w:rsidR="00C24268">
        <w:rPr>
          <w:lang w:val="en-US"/>
        </w:rPr>
        <w:t xml:space="preserve">see, too, </w:t>
      </w:r>
      <w:r w:rsidR="00D91D61" w:rsidRPr="00C24268">
        <w:rPr>
          <w:i/>
          <w:iCs/>
          <w:lang w:val="en-US"/>
        </w:rPr>
        <w:t>Sewpersadh</w:t>
      </w:r>
      <w:r w:rsidR="00D91D61">
        <w:rPr>
          <w:lang w:val="en-US"/>
        </w:rPr>
        <w:t xml:space="preserve">, n 11 </w:t>
      </w:r>
      <w:r w:rsidR="00D91D61" w:rsidRPr="00C24268">
        <w:rPr>
          <w:i/>
          <w:iCs/>
          <w:lang w:val="en-US"/>
        </w:rPr>
        <w:t>supra</w:t>
      </w:r>
      <w:r w:rsidR="00D91D61">
        <w:rPr>
          <w:lang w:val="en-US"/>
        </w:rPr>
        <w:t>, at paragraph [10]</w:t>
      </w:r>
      <w:r w:rsidR="00C24268">
        <w:rPr>
          <w:lang w:val="en-US"/>
        </w:rPr>
        <w:t>, where Dlo</w:t>
      </w:r>
      <w:r w:rsidR="002C41F9">
        <w:rPr>
          <w:lang w:val="en-US"/>
        </w:rPr>
        <w:t>dlo J referred to ‘special circumstances’</w:t>
      </w:r>
      <w:r w:rsidR="00D91D61">
        <w:rPr>
          <w:lang w:val="en-US"/>
        </w:rPr>
        <w:t>.</w:t>
      </w:r>
    </w:p>
  </w:footnote>
  <w:footnote w:id="17">
    <w:p w14:paraId="49E9D4EE" w14:textId="28D5D06E" w:rsidR="007445C3" w:rsidRPr="007445C3" w:rsidRDefault="007445C3" w:rsidP="00C16376">
      <w:pPr>
        <w:pStyle w:val="FootnoteText"/>
        <w:jc w:val="both"/>
        <w:rPr>
          <w:lang w:val="en-US"/>
        </w:rPr>
      </w:pPr>
      <w:r>
        <w:rPr>
          <w:rStyle w:val="FootnoteReference"/>
        </w:rPr>
        <w:footnoteRef/>
      </w:r>
      <w:r>
        <w:t xml:space="preserve"> </w:t>
      </w:r>
      <w:r>
        <w:rPr>
          <w:lang w:val="en-US"/>
        </w:rPr>
        <w:t xml:space="preserve">A Mr </w:t>
      </w:r>
      <w:r w:rsidR="000B5EBB">
        <w:rPr>
          <w:lang w:val="en-US"/>
        </w:rPr>
        <w:t xml:space="preserve">Bruce Butler deposed to the founding affidavit, describing himself as the sole member of the applicant. </w:t>
      </w:r>
      <w:r w:rsidR="00D9050E">
        <w:rPr>
          <w:lang w:val="en-US"/>
        </w:rPr>
        <w:t xml:space="preserve">A Mr </w:t>
      </w:r>
      <w:r w:rsidR="00E67636">
        <w:rPr>
          <w:lang w:val="en-US"/>
        </w:rPr>
        <w:t xml:space="preserve">David Butler deposed to the supplementary affidavit; </w:t>
      </w:r>
      <w:r w:rsidR="00B106EB">
        <w:rPr>
          <w:lang w:val="en-US"/>
        </w:rPr>
        <w:t>explain</w:t>
      </w:r>
      <w:r w:rsidR="00DC45E8">
        <w:rPr>
          <w:lang w:val="en-US"/>
        </w:rPr>
        <w:t>ing</w:t>
      </w:r>
      <w:r w:rsidR="00B106EB">
        <w:rPr>
          <w:lang w:val="en-US"/>
        </w:rPr>
        <w:t xml:space="preserve"> that he was the son of the late Mr Bruce Butler, who </w:t>
      </w:r>
      <w:r w:rsidR="00B43649">
        <w:rPr>
          <w:lang w:val="en-US"/>
        </w:rPr>
        <w:t xml:space="preserve">had </w:t>
      </w:r>
      <w:r w:rsidR="00B106EB">
        <w:rPr>
          <w:lang w:val="en-US"/>
        </w:rPr>
        <w:t xml:space="preserve">passed away </w:t>
      </w:r>
      <w:r w:rsidR="006A1FA0">
        <w:rPr>
          <w:lang w:val="en-US"/>
        </w:rPr>
        <w:t>during</w:t>
      </w:r>
      <w:r w:rsidR="00DC45E8">
        <w:rPr>
          <w:lang w:val="en-US"/>
        </w:rPr>
        <w:t xml:space="preserve"> the litigation.</w:t>
      </w:r>
    </w:p>
  </w:footnote>
  <w:footnote w:id="18">
    <w:p w14:paraId="26974FC1" w14:textId="02AE4612" w:rsidR="00263852" w:rsidRPr="00263852" w:rsidRDefault="00263852" w:rsidP="00C16376">
      <w:pPr>
        <w:pStyle w:val="FootnoteText"/>
        <w:jc w:val="both"/>
        <w:rPr>
          <w:lang w:val="en-US"/>
        </w:rPr>
      </w:pPr>
      <w:r>
        <w:rPr>
          <w:rStyle w:val="FootnoteReference"/>
        </w:rPr>
        <w:footnoteRef/>
      </w:r>
      <w:r>
        <w:t xml:space="preserve"> </w:t>
      </w:r>
      <w:r>
        <w:rPr>
          <w:lang w:val="en-US"/>
        </w:rPr>
        <w:t xml:space="preserve">The three requirements for successful reliance on a plea of </w:t>
      </w:r>
      <w:r w:rsidRPr="00DB14C4">
        <w:rPr>
          <w:i/>
          <w:iCs/>
          <w:lang w:val="en-US"/>
        </w:rPr>
        <w:t>lis pendens</w:t>
      </w:r>
      <w:r>
        <w:rPr>
          <w:lang w:val="en-US"/>
        </w:rPr>
        <w:t xml:space="preserve"> are that </w:t>
      </w:r>
      <w:r w:rsidR="00DB14C4">
        <w:rPr>
          <w:lang w:val="en-US"/>
        </w:rPr>
        <w:t xml:space="preserve">the litigation is between the same parties, that the cause of action is the same, and that the same relief is sought in both. See </w:t>
      </w:r>
      <w:r w:rsidRPr="00DB14C4">
        <w:rPr>
          <w:i/>
          <w:iCs/>
          <w:lang w:val="en-US"/>
        </w:rPr>
        <w:t>Caesarstone Sdot-Yam Ltd v World of Marble and Granite 2000 CC and others</w:t>
      </w:r>
      <w:r>
        <w:rPr>
          <w:lang w:val="en-US"/>
        </w:rPr>
        <w:t xml:space="preserve"> 2013 (6) SA 499 (SCA), at </w:t>
      </w:r>
      <w:r w:rsidR="00DB14C4">
        <w:rPr>
          <w:lang w:val="en-US"/>
        </w:rPr>
        <w:t>paragraph [12].</w:t>
      </w:r>
    </w:p>
  </w:footnote>
  <w:footnote w:id="19">
    <w:p w14:paraId="43632EB8" w14:textId="22488D2D" w:rsidR="005F19D0" w:rsidRPr="005F19D0" w:rsidRDefault="005F19D0" w:rsidP="00C16376">
      <w:pPr>
        <w:pStyle w:val="FootnoteText"/>
        <w:jc w:val="both"/>
        <w:rPr>
          <w:lang w:val="en-US"/>
        </w:rPr>
      </w:pPr>
      <w:r>
        <w:rPr>
          <w:rStyle w:val="FootnoteReference"/>
        </w:rPr>
        <w:footnoteRef/>
      </w:r>
      <w:r>
        <w:t xml:space="preserve"> </w:t>
      </w:r>
      <w:r>
        <w:rPr>
          <w:lang w:val="en-US"/>
        </w:rPr>
        <w:t xml:space="preserve">See </w:t>
      </w:r>
      <w:r w:rsidRPr="00C9795E">
        <w:rPr>
          <w:i/>
          <w:iCs/>
          <w:lang w:val="en-US"/>
        </w:rPr>
        <w:t>Van Zyl and others v Government of the Republic of South Africa and others</w:t>
      </w:r>
      <w:r>
        <w:rPr>
          <w:lang w:val="en-US"/>
        </w:rPr>
        <w:t xml:space="preserve"> 2008 (3) SA 294 (SCA), at paragraphs [45] to [46]. See, too, </w:t>
      </w:r>
      <w:r w:rsidRPr="00C9795E">
        <w:rPr>
          <w:i/>
          <w:iCs/>
          <w:lang w:val="en-US"/>
        </w:rPr>
        <w:t>Sewpersadh</w:t>
      </w:r>
      <w:r>
        <w:rPr>
          <w:lang w:val="en-US"/>
        </w:rPr>
        <w:t xml:space="preserve">, n 11 </w:t>
      </w:r>
      <w:r w:rsidRPr="00C9795E">
        <w:rPr>
          <w:i/>
          <w:iCs/>
          <w:lang w:val="en-US"/>
        </w:rPr>
        <w:t>supra</w:t>
      </w:r>
      <w:r>
        <w:rPr>
          <w:lang w:val="en-US"/>
        </w:rPr>
        <w:t xml:space="preserve">, at paragraph [13]; and </w:t>
      </w:r>
      <w:r w:rsidRPr="00C9795E">
        <w:rPr>
          <w:i/>
          <w:iCs/>
          <w:lang w:val="en-US"/>
        </w:rPr>
        <w:t>Wingaardt and others v Grobler and another</w:t>
      </w:r>
      <w:r>
        <w:rPr>
          <w:lang w:val="en-US"/>
        </w:rPr>
        <w:t xml:space="preserve"> 2010 (6) SA 148 (ECG), at </w:t>
      </w:r>
      <w:r w:rsidR="00C9795E">
        <w:rPr>
          <w:lang w:val="en-US"/>
        </w:rPr>
        <w:t>paragraphs [17] to [22].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422880"/>
      <w:docPartObj>
        <w:docPartGallery w:val="Page Numbers (Top of Page)"/>
        <w:docPartUnique/>
      </w:docPartObj>
    </w:sdtPr>
    <w:sdtEndPr>
      <w:rPr>
        <w:noProof/>
      </w:rPr>
    </w:sdtEndPr>
    <w:sdtContent>
      <w:p w14:paraId="279AB7A4" w14:textId="24EA0BD9" w:rsidR="00C16376" w:rsidRDefault="00C16376">
        <w:pPr>
          <w:pStyle w:val="Header"/>
          <w:jc w:val="center"/>
        </w:pPr>
        <w:r>
          <w:fldChar w:fldCharType="begin"/>
        </w:r>
        <w:r>
          <w:instrText xml:space="preserve"> PAGE   \* MERGEFORMAT </w:instrText>
        </w:r>
        <w:r>
          <w:fldChar w:fldCharType="separate"/>
        </w:r>
        <w:r w:rsidR="00736318">
          <w:rPr>
            <w:noProof/>
          </w:rPr>
          <w:t>19</w:t>
        </w:r>
        <w:r>
          <w:rPr>
            <w:noProof/>
          </w:rPr>
          <w:fldChar w:fldCharType="end"/>
        </w:r>
      </w:p>
    </w:sdtContent>
  </w:sdt>
  <w:p w14:paraId="707D93AC" w14:textId="77777777" w:rsidR="00C16376" w:rsidRDefault="00C163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6959"/>
    <w:multiLevelType w:val="hybridMultilevel"/>
    <w:tmpl w:val="735E43F0"/>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0A716E"/>
    <w:multiLevelType w:val="hybridMultilevel"/>
    <w:tmpl w:val="05A61E2E"/>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9DA1D50"/>
    <w:multiLevelType w:val="hybridMultilevel"/>
    <w:tmpl w:val="7BD89316"/>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24D087E"/>
    <w:multiLevelType w:val="hybridMultilevel"/>
    <w:tmpl w:val="ACF81748"/>
    <w:lvl w:ilvl="0" w:tplc="66C05E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24"/>
    <w:rsid w:val="0000382C"/>
    <w:rsid w:val="000047BB"/>
    <w:rsid w:val="0001218C"/>
    <w:rsid w:val="0001383A"/>
    <w:rsid w:val="000149E3"/>
    <w:rsid w:val="00015F07"/>
    <w:rsid w:val="0002294A"/>
    <w:rsid w:val="0003186B"/>
    <w:rsid w:val="00034941"/>
    <w:rsid w:val="00037C6F"/>
    <w:rsid w:val="00044067"/>
    <w:rsid w:val="00047A6D"/>
    <w:rsid w:val="00051647"/>
    <w:rsid w:val="00051F4A"/>
    <w:rsid w:val="00053979"/>
    <w:rsid w:val="00055783"/>
    <w:rsid w:val="0006161D"/>
    <w:rsid w:val="0006193F"/>
    <w:rsid w:val="00071B34"/>
    <w:rsid w:val="000754B3"/>
    <w:rsid w:val="0008005D"/>
    <w:rsid w:val="00081A07"/>
    <w:rsid w:val="0008542B"/>
    <w:rsid w:val="00087698"/>
    <w:rsid w:val="0009196B"/>
    <w:rsid w:val="00093047"/>
    <w:rsid w:val="000930FD"/>
    <w:rsid w:val="00093CC7"/>
    <w:rsid w:val="000954EB"/>
    <w:rsid w:val="000A543F"/>
    <w:rsid w:val="000A5B63"/>
    <w:rsid w:val="000A68DF"/>
    <w:rsid w:val="000B0452"/>
    <w:rsid w:val="000B21CF"/>
    <w:rsid w:val="000B4500"/>
    <w:rsid w:val="000B5E6B"/>
    <w:rsid w:val="000B5EBB"/>
    <w:rsid w:val="000B770F"/>
    <w:rsid w:val="000C1C4C"/>
    <w:rsid w:val="000C23D8"/>
    <w:rsid w:val="000C25E0"/>
    <w:rsid w:val="000D3623"/>
    <w:rsid w:val="000D4332"/>
    <w:rsid w:val="000D6961"/>
    <w:rsid w:val="000E02E4"/>
    <w:rsid w:val="000E4B38"/>
    <w:rsid w:val="000E72FF"/>
    <w:rsid w:val="000F0B87"/>
    <w:rsid w:val="000F16D6"/>
    <w:rsid w:val="000F2847"/>
    <w:rsid w:val="000F5073"/>
    <w:rsid w:val="000F5908"/>
    <w:rsid w:val="000F64E9"/>
    <w:rsid w:val="000F72BC"/>
    <w:rsid w:val="00100B7E"/>
    <w:rsid w:val="0010273A"/>
    <w:rsid w:val="001121E9"/>
    <w:rsid w:val="00120DA2"/>
    <w:rsid w:val="00120F41"/>
    <w:rsid w:val="0012159F"/>
    <w:rsid w:val="00124F0F"/>
    <w:rsid w:val="001272E7"/>
    <w:rsid w:val="00133937"/>
    <w:rsid w:val="00133C04"/>
    <w:rsid w:val="001465DC"/>
    <w:rsid w:val="001477BA"/>
    <w:rsid w:val="00147C4D"/>
    <w:rsid w:val="00147DDA"/>
    <w:rsid w:val="001513FB"/>
    <w:rsid w:val="00152BDF"/>
    <w:rsid w:val="00157182"/>
    <w:rsid w:val="00162C9D"/>
    <w:rsid w:val="0017177C"/>
    <w:rsid w:val="0017326D"/>
    <w:rsid w:val="001747A2"/>
    <w:rsid w:val="00177B67"/>
    <w:rsid w:val="00183669"/>
    <w:rsid w:val="001838C0"/>
    <w:rsid w:val="00193CEE"/>
    <w:rsid w:val="001A1F9C"/>
    <w:rsid w:val="001B0B68"/>
    <w:rsid w:val="001B10CB"/>
    <w:rsid w:val="001B6650"/>
    <w:rsid w:val="001C0B85"/>
    <w:rsid w:val="001C1910"/>
    <w:rsid w:val="001C29AC"/>
    <w:rsid w:val="001C7558"/>
    <w:rsid w:val="001D18D9"/>
    <w:rsid w:val="001D2350"/>
    <w:rsid w:val="001E04D2"/>
    <w:rsid w:val="001E6E82"/>
    <w:rsid w:val="001F33AD"/>
    <w:rsid w:val="001F343F"/>
    <w:rsid w:val="001F38B1"/>
    <w:rsid w:val="001F447D"/>
    <w:rsid w:val="001F617A"/>
    <w:rsid w:val="00206C48"/>
    <w:rsid w:val="00206D66"/>
    <w:rsid w:val="00207D82"/>
    <w:rsid w:val="00215A63"/>
    <w:rsid w:val="002234E7"/>
    <w:rsid w:val="002238C2"/>
    <w:rsid w:val="00223C6F"/>
    <w:rsid w:val="00230757"/>
    <w:rsid w:val="00230E07"/>
    <w:rsid w:val="002329C9"/>
    <w:rsid w:val="00233B1F"/>
    <w:rsid w:val="002340B5"/>
    <w:rsid w:val="002346E7"/>
    <w:rsid w:val="0023553B"/>
    <w:rsid w:val="00240EF2"/>
    <w:rsid w:val="002412E8"/>
    <w:rsid w:val="00243AD0"/>
    <w:rsid w:val="00243E04"/>
    <w:rsid w:val="00244B85"/>
    <w:rsid w:val="00245439"/>
    <w:rsid w:val="0024555F"/>
    <w:rsid w:val="0025151B"/>
    <w:rsid w:val="00256248"/>
    <w:rsid w:val="00262548"/>
    <w:rsid w:val="00263852"/>
    <w:rsid w:val="002650E9"/>
    <w:rsid w:val="00267179"/>
    <w:rsid w:val="00267C05"/>
    <w:rsid w:val="00274654"/>
    <w:rsid w:val="00274CF0"/>
    <w:rsid w:val="00276D68"/>
    <w:rsid w:val="00281E3D"/>
    <w:rsid w:val="00282E04"/>
    <w:rsid w:val="00291143"/>
    <w:rsid w:val="002939DB"/>
    <w:rsid w:val="00294E77"/>
    <w:rsid w:val="002A1005"/>
    <w:rsid w:val="002A1BFB"/>
    <w:rsid w:val="002A3568"/>
    <w:rsid w:val="002A6C87"/>
    <w:rsid w:val="002A7D67"/>
    <w:rsid w:val="002B1B55"/>
    <w:rsid w:val="002B2937"/>
    <w:rsid w:val="002B3E5E"/>
    <w:rsid w:val="002B65EB"/>
    <w:rsid w:val="002C0A46"/>
    <w:rsid w:val="002C41F9"/>
    <w:rsid w:val="002C550B"/>
    <w:rsid w:val="002D0164"/>
    <w:rsid w:val="002D106F"/>
    <w:rsid w:val="002D42A1"/>
    <w:rsid w:val="002D5D4D"/>
    <w:rsid w:val="002E0C8F"/>
    <w:rsid w:val="002E1623"/>
    <w:rsid w:val="002E74AB"/>
    <w:rsid w:val="002F220F"/>
    <w:rsid w:val="002F4BA4"/>
    <w:rsid w:val="002F5754"/>
    <w:rsid w:val="002F72B9"/>
    <w:rsid w:val="002F7C58"/>
    <w:rsid w:val="00306E8D"/>
    <w:rsid w:val="0031245A"/>
    <w:rsid w:val="00327842"/>
    <w:rsid w:val="00327CC1"/>
    <w:rsid w:val="00334AF1"/>
    <w:rsid w:val="0033594B"/>
    <w:rsid w:val="00342DD5"/>
    <w:rsid w:val="00344685"/>
    <w:rsid w:val="00347897"/>
    <w:rsid w:val="00347999"/>
    <w:rsid w:val="003508D9"/>
    <w:rsid w:val="00350D26"/>
    <w:rsid w:val="003547E4"/>
    <w:rsid w:val="003557C0"/>
    <w:rsid w:val="00355DEA"/>
    <w:rsid w:val="00363BFD"/>
    <w:rsid w:val="00372EF7"/>
    <w:rsid w:val="0037653A"/>
    <w:rsid w:val="00380309"/>
    <w:rsid w:val="00380FE2"/>
    <w:rsid w:val="00382E24"/>
    <w:rsid w:val="00383640"/>
    <w:rsid w:val="0038568C"/>
    <w:rsid w:val="00386B67"/>
    <w:rsid w:val="0039194E"/>
    <w:rsid w:val="00395CC6"/>
    <w:rsid w:val="003A1F17"/>
    <w:rsid w:val="003A5D6C"/>
    <w:rsid w:val="003B1B1C"/>
    <w:rsid w:val="003B2825"/>
    <w:rsid w:val="003B3B08"/>
    <w:rsid w:val="003B441C"/>
    <w:rsid w:val="003B51FC"/>
    <w:rsid w:val="003B67FB"/>
    <w:rsid w:val="003C093F"/>
    <w:rsid w:val="003C526A"/>
    <w:rsid w:val="003D28F6"/>
    <w:rsid w:val="003D4777"/>
    <w:rsid w:val="003E05A2"/>
    <w:rsid w:val="003E376F"/>
    <w:rsid w:val="003F3217"/>
    <w:rsid w:val="003F3EEB"/>
    <w:rsid w:val="003F60BE"/>
    <w:rsid w:val="00401831"/>
    <w:rsid w:val="00401EE8"/>
    <w:rsid w:val="00412BEE"/>
    <w:rsid w:val="00416616"/>
    <w:rsid w:val="00422816"/>
    <w:rsid w:val="00424EA1"/>
    <w:rsid w:val="004265B9"/>
    <w:rsid w:val="00427F6D"/>
    <w:rsid w:val="0043287B"/>
    <w:rsid w:val="00432C36"/>
    <w:rsid w:val="00435CEA"/>
    <w:rsid w:val="00436D68"/>
    <w:rsid w:val="004372C0"/>
    <w:rsid w:val="00440DB3"/>
    <w:rsid w:val="00445329"/>
    <w:rsid w:val="00445DEC"/>
    <w:rsid w:val="004474D6"/>
    <w:rsid w:val="00450780"/>
    <w:rsid w:val="004507BF"/>
    <w:rsid w:val="00453A71"/>
    <w:rsid w:val="00460460"/>
    <w:rsid w:val="00460794"/>
    <w:rsid w:val="00464840"/>
    <w:rsid w:val="00467649"/>
    <w:rsid w:val="00467DC1"/>
    <w:rsid w:val="004724C6"/>
    <w:rsid w:val="0047268B"/>
    <w:rsid w:val="00473D86"/>
    <w:rsid w:val="00482B4C"/>
    <w:rsid w:val="00482F37"/>
    <w:rsid w:val="00482FDB"/>
    <w:rsid w:val="004831C5"/>
    <w:rsid w:val="004836BD"/>
    <w:rsid w:val="00483768"/>
    <w:rsid w:val="0048592D"/>
    <w:rsid w:val="0048695D"/>
    <w:rsid w:val="00490F69"/>
    <w:rsid w:val="0049376D"/>
    <w:rsid w:val="0049392E"/>
    <w:rsid w:val="00494E62"/>
    <w:rsid w:val="004A448D"/>
    <w:rsid w:val="004A4889"/>
    <w:rsid w:val="004A7F4B"/>
    <w:rsid w:val="004B0F66"/>
    <w:rsid w:val="004B1D67"/>
    <w:rsid w:val="004B27D2"/>
    <w:rsid w:val="004B5AEF"/>
    <w:rsid w:val="004B70D2"/>
    <w:rsid w:val="004B733F"/>
    <w:rsid w:val="004C1BC3"/>
    <w:rsid w:val="004C3755"/>
    <w:rsid w:val="004C55AE"/>
    <w:rsid w:val="004D0042"/>
    <w:rsid w:val="004D09B3"/>
    <w:rsid w:val="004D6AED"/>
    <w:rsid w:val="004D6BE2"/>
    <w:rsid w:val="004E03FC"/>
    <w:rsid w:val="004E23FB"/>
    <w:rsid w:val="004E318C"/>
    <w:rsid w:val="004E359F"/>
    <w:rsid w:val="004E4EC6"/>
    <w:rsid w:val="004E7E76"/>
    <w:rsid w:val="004F21AE"/>
    <w:rsid w:val="004F2F4F"/>
    <w:rsid w:val="004F39DB"/>
    <w:rsid w:val="004F474B"/>
    <w:rsid w:val="004F4BF8"/>
    <w:rsid w:val="004F5973"/>
    <w:rsid w:val="0050035F"/>
    <w:rsid w:val="005015F8"/>
    <w:rsid w:val="00502F00"/>
    <w:rsid w:val="00504287"/>
    <w:rsid w:val="0050452F"/>
    <w:rsid w:val="0050494D"/>
    <w:rsid w:val="00510126"/>
    <w:rsid w:val="005117BE"/>
    <w:rsid w:val="0051360C"/>
    <w:rsid w:val="00521AEB"/>
    <w:rsid w:val="00521D0C"/>
    <w:rsid w:val="00525EFD"/>
    <w:rsid w:val="00527B16"/>
    <w:rsid w:val="00535071"/>
    <w:rsid w:val="00535A25"/>
    <w:rsid w:val="005458AE"/>
    <w:rsid w:val="00551AA4"/>
    <w:rsid w:val="00553195"/>
    <w:rsid w:val="00553BE1"/>
    <w:rsid w:val="005572A0"/>
    <w:rsid w:val="00561FA6"/>
    <w:rsid w:val="0056652F"/>
    <w:rsid w:val="0056660C"/>
    <w:rsid w:val="005674F2"/>
    <w:rsid w:val="00576854"/>
    <w:rsid w:val="00580296"/>
    <w:rsid w:val="00581867"/>
    <w:rsid w:val="005828AF"/>
    <w:rsid w:val="00586296"/>
    <w:rsid w:val="00587214"/>
    <w:rsid w:val="00590906"/>
    <w:rsid w:val="005A1A5B"/>
    <w:rsid w:val="005A23E0"/>
    <w:rsid w:val="005A276C"/>
    <w:rsid w:val="005A49FC"/>
    <w:rsid w:val="005A5BF5"/>
    <w:rsid w:val="005A6653"/>
    <w:rsid w:val="005B1D4B"/>
    <w:rsid w:val="005B357F"/>
    <w:rsid w:val="005B44C7"/>
    <w:rsid w:val="005B7224"/>
    <w:rsid w:val="005C1A49"/>
    <w:rsid w:val="005C2787"/>
    <w:rsid w:val="005C5EBD"/>
    <w:rsid w:val="005C6B87"/>
    <w:rsid w:val="005C6FF5"/>
    <w:rsid w:val="005C7057"/>
    <w:rsid w:val="005D2653"/>
    <w:rsid w:val="005D458E"/>
    <w:rsid w:val="005D520E"/>
    <w:rsid w:val="005D5FB8"/>
    <w:rsid w:val="005E0702"/>
    <w:rsid w:val="005E0B7D"/>
    <w:rsid w:val="005E3E71"/>
    <w:rsid w:val="005E5D30"/>
    <w:rsid w:val="005F0325"/>
    <w:rsid w:val="005F072A"/>
    <w:rsid w:val="005F19D0"/>
    <w:rsid w:val="005F3B07"/>
    <w:rsid w:val="005F3E7C"/>
    <w:rsid w:val="005F5704"/>
    <w:rsid w:val="005F71D5"/>
    <w:rsid w:val="00604AD2"/>
    <w:rsid w:val="006067F1"/>
    <w:rsid w:val="00606C3A"/>
    <w:rsid w:val="0061133C"/>
    <w:rsid w:val="0061428D"/>
    <w:rsid w:val="00616409"/>
    <w:rsid w:val="006207FC"/>
    <w:rsid w:val="006209F6"/>
    <w:rsid w:val="00622FFF"/>
    <w:rsid w:val="00624FDD"/>
    <w:rsid w:val="006275FB"/>
    <w:rsid w:val="00627922"/>
    <w:rsid w:val="0063135C"/>
    <w:rsid w:val="00632CB7"/>
    <w:rsid w:val="0063405F"/>
    <w:rsid w:val="00636D49"/>
    <w:rsid w:val="006545C3"/>
    <w:rsid w:val="006559D5"/>
    <w:rsid w:val="00661ED3"/>
    <w:rsid w:val="006621FD"/>
    <w:rsid w:val="00663DF0"/>
    <w:rsid w:val="00666A3B"/>
    <w:rsid w:val="006672FB"/>
    <w:rsid w:val="00671907"/>
    <w:rsid w:val="006737B3"/>
    <w:rsid w:val="00675304"/>
    <w:rsid w:val="00676E18"/>
    <w:rsid w:val="00683AAA"/>
    <w:rsid w:val="00687601"/>
    <w:rsid w:val="006957A7"/>
    <w:rsid w:val="006A0594"/>
    <w:rsid w:val="006A0B9B"/>
    <w:rsid w:val="006A1FA0"/>
    <w:rsid w:val="006A31C9"/>
    <w:rsid w:val="006A644D"/>
    <w:rsid w:val="006A6620"/>
    <w:rsid w:val="006A6B9B"/>
    <w:rsid w:val="006A7610"/>
    <w:rsid w:val="006A792E"/>
    <w:rsid w:val="006A7CAB"/>
    <w:rsid w:val="006B0E00"/>
    <w:rsid w:val="006C0E78"/>
    <w:rsid w:val="006C2AF1"/>
    <w:rsid w:val="006C637D"/>
    <w:rsid w:val="006C729D"/>
    <w:rsid w:val="006C7FF5"/>
    <w:rsid w:val="006D1D8D"/>
    <w:rsid w:val="006D4585"/>
    <w:rsid w:val="006D4B03"/>
    <w:rsid w:val="006D61A1"/>
    <w:rsid w:val="006E0804"/>
    <w:rsid w:val="006E0B34"/>
    <w:rsid w:val="006E18F1"/>
    <w:rsid w:val="006E1B16"/>
    <w:rsid w:val="006E2FB2"/>
    <w:rsid w:val="006E663A"/>
    <w:rsid w:val="006E7E30"/>
    <w:rsid w:val="006F2F00"/>
    <w:rsid w:val="006F50AB"/>
    <w:rsid w:val="006F5B04"/>
    <w:rsid w:val="006F74A5"/>
    <w:rsid w:val="00702420"/>
    <w:rsid w:val="0070393C"/>
    <w:rsid w:val="00706896"/>
    <w:rsid w:val="007069FB"/>
    <w:rsid w:val="0071095D"/>
    <w:rsid w:val="00712821"/>
    <w:rsid w:val="00712E69"/>
    <w:rsid w:val="0071313D"/>
    <w:rsid w:val="007138DD"/>
    <w:rsid w:val="00715AC1"/>
    <w:rsid w:val="00720CE5"/>
    <w:rsid w:val="00727C24"/>
    <w:rsid w:val="00727F1A"/>
    <w:rsid w:val="00731530"/>
    <w:rsid w:val="007336AC"/>
    <w:rsid w:val="00736318"/>
    <w:rsid w:val="00741598"/>
    <w:rsid w:val="007419B0"/>
    <w:rsid w:val="007445C3"/>
    <w:rsid w:val="00745198"/>
    <w:rsid w:val="007463F0"/>
    <w:rsid w:val="00752BFB"/>
    <w:rsid w:val="00754AE4"/>
    <w:rsid w:val="00761849"/>
    <w:rsid w:val="0076542F"/>
    <w:rsid w:val="0077027C"/>
    <w:rsid w:val="00773A0B"/>
    <w:rsid w:val="0077603E"/>
    <w:rsid w:val="007835E9"/>
    <w:rsid w:val="00784044"/>
    <w:rsid w:val="00784547"/>
    <w:rsid w:val="00784DFB"/>
    <w:rsid w:val="0078604A"/>
    <w:rsid w:val="00791129"/>
    <w:rsid w:val="007935EA"/>
    <w:rsid w:val="00795095"/>
    <w:rsid w:val="0079605E"/>
    <w:rsid w:val="00797580"/>
    <w:rsid w:val="0079796E"/>
    <w:rsid w:val="007A6A4F"/>
    <w:rsid w:val="007B1446"/>
    <w:rsid w:val="007C322F"/>
    <w:rsid w:val="007C6853"/>
    <w:rsid w:val="007D7B46"/>
    <w:rsid w:val="007D7BAD"/>
    <w:rsid w:val="007E07A7"/>
    <w:rsid w:val="007E0F6B"/>
    <w:rsid w:val="007E1DEA"/>
    <w:rsid w:val="007E2F43"/>
    <w:rsid w:val="007E6938"/>
    <w:rsid w:val="007F04C1"/>
    <w:rsid w:val="007F1107"/>
    <w:rsid w:val="007F153D"/>
    <w:rsid w:val="007F1E88"/>
    <w:rsid w:val="007F2C81"/>
    <w:rsid w:val="007F4F9D"/>
    <w:rsid w:val="007F63AF"/>
    <w:rsid w:val="00804977"/>
    <w:rsid w:val="008051BB"/>
    <w:rsid w:val="008108F6"/>
    <w:rsid w:val="0081154E"/>
    <w:rsid w:val="00813747"/>
    <w:rsid w:val="008137DC"/>
    <w:rsid w:val="00813BC0"/>
    <w:rsid w:val="00815692"/>
    <w:rsid w:val="00820C28"/>
    <w:rsid w:val="008231BD"/>
    <w:rsid w:val="0082355F"/>
    <w:rsid w:val="008262AF"/>
    <w:rsid w:val="008305D7"/>
    <w:rsid w:val="00830ED0"/>
    <w:rsid w:val="0083457D"/>
    <w:rsid w:val="00834723"/>
    <w:rsid w:val="0083625B"/>
    <w:rsid w:val="00836438"/>
    <w:rsid w:val="0084021C"/>
    <w:rsid w:val="00841E3C"/>
    <w:rsid w:val="00842A53"/>
    <w:rsid w:val="008538DF"/>
    <w:rsid w:val="00853A93"/>
    <w:rsid w:val="00854549"/>
    <w:rsid w:val="008562E9"/>
    <w:rsid w:val="008634D0"/>
    <w:rsid w:val="0086754E"/>
    <w:rsid w:val="0087009D"/>
    <w:rsid w:val="008723DD"/>
    <w:rsid w:val="00872810"/>
    <w:rsid w:val="008763F9"/>
    <w:rsid w:val="00876E89"/>
    <w:rsid w:val="008813E0"/>
    <w:rsid w:val="00881F49"/>
    <w:rsid w:val="0088583E"/>
    <w:rsid w:val="008872DB"/>
    <w:rsid w:val="00887321"/>
    <w:rsid w:val="008875BD"/>
    <w:rsid w:val="00897731"/>
    <w:rsid w:val="00897B7F"/>
    <w:rsid w:val="00897DCC"/>
    <w:rsid w:val="008A2C2F"/>
    <w:rsid w:val="008A62DA"/>
    <w:rsid w:val="008B3269"/>
    <w:rsid w:val="008B439A"/>
    <w:rsid w:val="008C1E8E"/>
    <w:rsid w:val="008C309D"/>
    <w:rsid w:val="008C4721"/>
    <w:rsid w:val="008C5819"/>
    <w:rsid w:val="008D0EE3"/>
    <w:rsid w:val="008D1D3B"/>
    <w:rsid w:val="008D2CD8"/>
    <w:rsid w:val="008D4B18"/>
    <w:rsid w:val="008E0B95"/>
    <w:rsid w:val="008E1900"/>
    <w:rsid w:val="008E279F"/>
    <w:rsid w:val="008E46B6"/>
    <w:rsid w:val="008E471C"/>
    <w:rsid w:val="008E67C3"/>
    <w:rsid w:val="008F14FF"/>
    <w:rsid w:val="008F3AA6"/>
    <w:rsid w:val="008F79B3"/>
    <w:rsid w:val="00902915"/>
    <w:rsid w:val="0090375D"/>
    <w:rsid w:val="00910C9A"/>
    <w:rsid w:val="00910EAB"/>
    <w:rsid w:val="00912252"/>
    <w:rsid w:val="009135C2"/>
    <w:rsid w:val="0092041B"/>
    <w:rsid w:val="00924C2B"/>
    <w:rsid w:val="00925CE4"/>
    <w:rsid w:val="009272E4"/>
    <w:rsid w:val="00927DF8"/>
    <w:rsid w:val="00930936"/>
    <w:rsid w:val="00933909"/>
    <w:rsid w:val="0093399B"/>
    <w:rsid w:val="00935052"/>
    <w:rsid w:val="009351A0"/>
    <w:rsid w:val="00935B31"/>
    <w:rsid w:val="00937239"/>
    <w:rsid w:val="0093776E"/>
    <w:rsid w:val="0094201E"/>
    <w:rsid w:val="0094389E"/>
    <w:rsid w:val="009443FE"/>
    <w:rsid w:val="0094570C"/>
    <w:rsid w:val="0095017D"/>
    <w:rsid w:val="009508CE"/>
    <w:rsid w:val="009527E5"/>
    <w:rsid w:val="00955F12"/>
    <w:rsid w:val="0095797D"/>
    <w:rsid w:val="009611B7"/>
    <w:rsid w:val="00962E41"/>
    <w:rsid w:val="00970263"/>
    <w:rsid w:val="0097147F"/>
    <w:rsid w:val="00973FB1"/>
    <w:rsid w:val="009744B6"/>
    <w:rsid w:val="009761A7"/>
    <w:rsid w:val="00976ED2"/>
    <w:rsid w:val="00977EF2"/>
    <w:rsid w:val="009855A4"/>
    <w:rsid w:val="00991BEF"/>
    <w:rsid w:val="00992BCB"/>
    <w:rsid w:val="009A1D00"/>
    <w:rsid w:val="009A6021"/>
    <w:rsid w:val="009B4A05"/>
    <w:rsid w:val="009B6FD3"/>
    <w:rsid w:val="009C1798"/>
    <w:rsid w:val="009C1B46"/>
    <w:rsid w:val="009C21C3"/>
    <w:rsid w:val="009C2BA3"/>
    <w:rsid w:val="009C43B2"/>
    <w:rsid w:val="009C4802"/>
    <w:rsid w:val="009C63BE"/>
    <w:rsid w:val="009C68BD"/>
    <w:rsid w:val="009D3718"/>
    <w:rsid w:val="009D5D66"/>
    <w:rsid w:val="009D792F"/>
    <w:rsid w:val="009E21A3"/>
    <w:rsid w:val="009E2FEC"/>
    <w:rsid w:val="009E31DD"/>
    <w:rsid w:val="009F1325"/>
    <w:rsid w:val="009F2920"/>
    <w:rsid w:val="009F4463"/>
    <w:rsid w:val="009F64FD"/>
    <w:rsid w:val="009F7D13"/>
    <w:rsid w:val="00A0041D"/>
    <w:rsid w:val="00A00822"/>
    <w:rsid w:val="00A00F57"/>
    <w:rsid w:val="00A0266C"/>
    <w:rsid w:val="00A02CCE"/>
    <w:rsid w:val="00A049A1"/>
    <w:rsid w:val="00A12702"/>
    <w:rsid w:val="00A15507"/>
    <w:rsid w:val="00A2371F"/>
    <w:rsid w:val="00A2643A"/>
    <w:rsid w:val="00A27CC0"/>
    <w:rsid w:val="00A30A0E"/>
    <w:rsid w:val="00A33683"/>
    <w:rsid w:val="00A33E15"/>
    <w:rsid w:val="00A36903"/>
    <w:rsid w:val="00A4001C"/>
    <w:rsid w:val="00A424B3"/>
    <w:rsid w:val="00A43A7C"/>
    <w:rsid w:val="00A471AA"/>
    <w:rsid w:val="00A5346F"/>
    <w:rsid w:val="00A561D7"/>
    <w:rsid w:val="00A60CC8"/>
    <w:rsid w:val="00A60F29"/>
    <w:rsid w:val="00A622ED"/>
    <w:rsid w:val="00A64196"/>
    <w:rsid w:val="00A6588D"/>
    <w:rsid w:val="00A705FF"/>
    <w:rsid w:val="00A761DC"/>
    <w:rsid w:val="00A77D2D"/>
    <w:rsid w:val="00A8162E"/>
    <w:rsid w:val="00A81C9B"/>
    <w:rsid w:val="00A90C5E"/>
    <w:rsid w:val="00A93CE5"/>
    <w:rsid w:val="00A965AA"/>
    <w:rsid w:val="00A97EFA"/>
    <w:rsid w:val="00AA3ACF"/>
    <w:rsid w:val="00AA5B69"/>
    <w:rsid w:val="00AA6B0C"/>
    <w:rsid w:val="00AB0ED0"/>
    <w:rsid w:val="00AC18BB"/>
    <w:rsid w:val="00AC6E02"/>
    <w:rsid w:val="00AD07E8"/>
    <w:rsid w:val="00AD15B3"/>
    <w:rsid w:val="00AD1E03"/>
    <w:rsid w:val="00AE0325"/>
    <w:rsid w:val="00AE5204"/>
    <w:rsid w:val="00AF6A4B"/>
    <w:rsid w:val="00B04EDF"/>
    <w:rsid w:val="00B063AA"/>
    <w:rsid w:val="00B06AE4"/>
    <w:rsid w:val="00B106EB"/>
    <w:rsid w:val="00B10DA4"/>
    <w:rsid w:val="00B10DB7"/>
    <w:rsid w:val="00B25C29"/>
    <w:rsid w:val="00B30C77"/>
    <w:rsid w:val="00B34386"/>
    <w:rsid w:val="00B42C64"/>
    <w:rsid w:val="00B43649"/>
    <w:rsid w:val="00B55DFF"/>
    <w:rsid w:val="00B5756B"/>
    <w:rsid w:val="00B62A05"/>
    <w:rsid w:val="00B630B5"/>
    <w:rsid w:val="00B631B2"/>
    <w:rsid w:val="00B64B6A"/>
    <w:rsid w:val="00B65401"/>
    <w:rsid w:val="00B6648D"/>
    <w:rsid w:val="00B66CCB"/>
    <w:rsid w:val="00B67853"/>
    <w:rsid w:val="00B716E7"/>
    <w:rsid w:val="00B7754E"/>
    <w:rsid w:val="00B8220C"/>
    <w:rsid w:val="00B855F1"/>
    <w:rsid w:val="00B90330"/>
    <w:rsid w:val="00B90F9B"/>
    <w:rsid w:val="00B91E7D"/>
    <w:rsid w:val="00B92667"/>
    <w:rsid w:val="00B936AF"/>
    <w:rsid w:val="00B94FF3"/>
    <w:rsid w:val="00B96F9D"/>
    <w:rsid w:val="00B9725F"/>
    <w:rsid w:val="00BA1460"/>
    <w:rsid w:val="00BA15DC"/>
    <w:rsid w:val="00BA3937"/>
    <w:rsid w:val="00BB6EA4"/>
    <w:rsid w:val="00BC1EB4"/>
    <w:rsid w:val="00BC2207"/>
    <w:rsid w:val="00BC730C"/>
    <w:rsid w:val="00BD2CE3"/>
    <w:rsid w:val="00BD3B44"/>
    <w:rsid w:val="00BD4A2F"/>
    <w:rsid w:val="00BD75E2"/>
    <w:rsid w:val="00BD7688"/>
    <w:rsid w:val="00BE4BF0"/>
    <w:rsid w:val="00BE547F"/>
    <w:rsid w:val="00BE6C85"/>
    <w:rsid w:val="00BF1401"/>
    <w:rsid w:val="00BF1AB2"/>
    <w:rsid w:val="00C022EF"/>
    <w:rsid w:val="00C03800"/>
    <w:rsid w:val="00C0669D"/>
    <w:rsid w:val="00C10C90"/>
    <w:rsid w:val="00C11C3C"/>
    <w:rsid w:val="00C16376"/>
    <w:rsid w:val="00C24268"/>
    <w:rsid w:val="00C2647B"/>
    <w:rsid w:val="00C31CF8"/>
    <w:rsid w:val="00C34FA2"/>
    <w:rsid w:val="00C36915"/>
    <w:rsid w:val="00C41D47"/>
    <w:rsid w:val="00C4431F"/>
    <w:rsid w:val="00C44F84"/>
    <w:rsid w:val="00C46C55"/>
    <w:rsid w:val="00C46F66"/>
    <w:rsid w:val="00C5227D"/>
    <w:rsid w:val="00C548AA"/>
    <w:rsid w:val="00C55E35"/>
    <w:rsid w:val="00C64350"/>
    <w:rsid w:val="00C67F6A"/>
    <w:rsid w:val="00C70391"/>
    <w:rsid w:val="00C726F3"/>
    <w:rsid w:val="00C752CF"/>
    <w:rsid w:val="00C76F57"/>
    <w:rsid w:val="00C83D52"/>
    <w:rsid w:val="00C850B8"/>
    <w:rsid w:val="00C87FF6"/>
    <w:rsid w:val="00C911ED"/>
    <w:rsid w:val="00C92FBE"/>
    <w:rsid w:val="00C94899"/>
    <w:rsid w:val="00C9795E"/>
    <w:rsid w:val="00CA0839"/>
    <w:rsid w:val="00CA0887"/>
    <w:rsid w:val="00CA1FF1"/>
    <w:rsid w:val="00CA3486"/>
    <w:rsid w:val="00CA485F"/>
    <w:rsid w:val="00CB138B"/>
    <w:rsid w:val="00CC0C74"/>
    <w:rsid w:val="00CC5594"/>
    <w:rsid w:val="00CC6A81"/>
    <w:rsid w:val="00CC7764"/>
    <w:rsid w:val="00CD157A"/>
    <w:rsid w:val="00CD255B"/>
    <w:rsid w:val="00CD3184"/>
    <w:rsid w:val="00CD3D9D"/>
    <w:rsid w:val="00CD6A02"/>
    <w:rsid w:val="00CE2AB7"/>
    <w:rsid w:val="00CE2DF6"/>
    <w:rsid w:val="00CE4B55"/>
    <w:rsid w:val="00CE5A18"/>
    <w:rsid w:val="00CE656F"/>
    <w:rsid w:val="00CE6832"/>
    <w:rsid w:val="00CE6965"/>
    <w:rsid w:val="00CE7242"/>
    <w:rsid w:val="00CF34F1"/>
    <w:rsid w:val="00CF381E"/>
    <w:rsid w:val="00CF57E7"/>
    <w:rsid w:val="00CF66C3"/>
    <w:rsid w:val="00D0060D"/>
    <w:rsid w:val="00D00742"/>
    <w:rsid w:val="00D04F6A"/>
    <w:rsid w:val="00D05FD1"/>
    <w:rsid w:val="00D060F6"/>
    <w:rsid w:val="00D06D4A"/>
    <w:rsid w:val="00D10A0A"/>
    <w:rsid w:val="00D13571"/>
    <w:rsid w:val="00D15540"/>
    <w:rsid w:val="00D224FB"/>
    <w:rsid w:val="00D22DBF"/>
    <w:rsid w:val="00D24FB6"/>
    <w:rsid w:val="00D2672E"/>
    <w:rsid w:val="00D302DA"/>
    <w:rsid w:val="00D33816"/>
    <w:rsid w:val="00D34A46"/>
    <w:rsid w:val="00D35475"/>
    <w:rsid w:val="00D36B54"/>
    <w:rsid w:val="00D41166"/>
    <w:rsid w:val="00D43F10"/>
    <w:rsid w:val="00D458E0"/>
    <w:rsid w:val="00D4637F"/>
    <w:rsid w:val="00D52453"/>
    <w:rsid w:val="00D536BF"/>
    <w:rsid w:val="00D61F67"/>
    <w:rsid w:val="00D639E5"/>
    <w:rsid w:val="00D65122"/>
    <w:rsid w:val="00D7633A"/>
    <w:rsid w:val="00D76E5F"/>
    <w:rsid w:val="00D76F6C"/>
    <w:rsid w:val="00D824E9"/>
    <w:rsid w:val="00D82D61"/>
    <w:rsid w:val="00D9050E"/>
    <w:rsid w:val="00D90C28"/>
    <w:rsid w:val="00D91761"/>
    <w:rsid w:val="00D91D61"/>
    <w:rsid w:val="00DA1D5F"/>
    <w:rsid w:val="00DA6259"/>
    <w:rsid w:val="00DA7745"/>
    <w:rsid w:val="00DB14C4"/>
    <w:rsid w:val="00DB5BA2"/>
    <w:rsid w:val="00DB66B9"/>
    <w:rsid w:val="00DC009B"/>
    <w:rsid w:val="00DC0359"/>
    <w:rsid w:val="00DC0F64"/>
    <w:rsid w:val="00DC14D1"/>
    <w:rsid w:val="00DC197F"/>
    <w:rsid w:val="00DC45E8"/>
    <w:rsid w:val="00DC5245"/>
    <w:rsid w:val="00DC70B9"/>
    <w:rsid w:val="00DC763A"/>
    <w:rsid w:val="00DD09BC"/>
    <w:rsid w:val="00DD3339"/>
    <w:rsid w:val="00DD384A"/>
    <w:rsid w:val="00DD3E67"/>
    <w:rsid w:val="00DD6B93"/>
    <w:rsid w:val="00DE0E2D"/>
    <w:rsid w:val="00DE31E8"/>
    <w:rsid w:val="00DE33E5"/>
    <w:rsid w:val="00DF7289"/>
    <w:rsid w:val="00E004ED"/>
    <w:rsid w:val="00E110BA"/>
    <w:rsid w:val="00E137A6"/>
    <w:rsid w:val="00E1601C"/>
    <w:rsid w:val="00E16614"/>
    <w:rsid w:val="00E16B0C"/>
    <w:rsid w:val="00E16E25"/>
    <w:rsid w:val="00E20ED8"/>
    <w:rsid w:val="00E2302D"/>
    <w:rsid w:val="00E25620"/>
    <w:rsid w:val="00E27175"/>
    <w:rsid w:val="00E3344D"/>
    <w:rsid w:val="00E42C9C"/>
    <w:rsid w:val="00E451C0"/>
    <w:rsid w:val="00E4521B"/>
    <w:rsid w:val="00E4555F"/>
    <w:rsid w:val="00E50B57"/>
    <w:rsid w:val="00E53AD5"/>
    <w:rsid w:val="00E5436E"/>
    <w:rsid w:val="00E54FED"/>
    <w:rsid w:val="00E550A8"/>
    <w:rsid w:val="00E571EC"/>
    <w:rsid w:val="00E579E9"/>
    <w:rsid w:val="00E63E2D"/>
    <w:rsid w:val="00E648FE"/>
    <w:rsid w:val="00E64F6E"/>
    <w:rsid w:val="00E67636"/>
    <w:rsid w:val="00E6783F"/>
    <w:rsid w:val="00E74AFA"/>
    <w:rsid w:val="00E8152C"/>
    <w:rsid w:val="00E83403"/>
    <w:rsid w:val="00E83CB4"/>
    <w:rsid w:val="00E875A4"/>
    <w:rsid w:val="00E922F5"/>
    <w:rsid w:val="00E923E9"/>
    <w:rsid w:val="00E95DF0"/>
    <w:rsid w:val="00E965E5"/>
    <w:rsid w:val="00EA0DA6"/>
    <w:rsid w:val="00EA4094"/>
    <w:rsid w:val="00EA7597"/>
    <w:rsid w:val="00EB05E9"/>
    <w:rsid w:val="00EB1271"/>
    <w:rsid w:val="00EB18BB"/>
    <w:rsid w:val="00EB6A17"/>
    <w:rsid w:val="00EB7089"/>
    <w:rsid w:val="00EB7772"/>
    <w:rsid w:val="00EB78DE"/>
    <w:rsid w:val="00EC2821"/>
    <w:rsid w:val="00EC3DB4"/>
    <w:rsid w:val="00EC4D69"/>
    <w:rsid w:val="00ED2A41"/>
    <w:rsid w:val="00ED341C"/>
    <w:rsid w:val="00ED3C4E"/>
    <w:rsid w:val="00EE3453"/>
    <w:rsid w:val="00EE4D1A"/>
    <w:rsid w:val="00EE4E56"/>
    <w:rsid w:val="00EE5699"/>
    <w:rsid w:val="00EE5C91"/>
    <w:rsid w:val="00EE7D22"/>
    <w:rsid w:val="00EF1278"/>
    <w:rsid w:val="00EF4289"/>
    <w:rsid w:val="00F03879"/>
    <w:rsid w:val="00F066A3"/>
    <w:rsid w:val="00F1395C"/>
    <w:rsid w:val="00F1686C"/>
    <w:rsid w:val="00F22265"/>
    <w:rsid w:val="00F2306A"/>
    <w:rsid w:val="00F3036F"/>
    <w:rsid w:val="00F31B1A"/>
    <w:rsid w:val="00F31B60"/>
    <w:rsid w:val="00F36D62"/>
    <w:rsid w:val="00F36D72"/>
    <w:rsid w:val="00F42D9A"/>
    <w:rsid w:val="00F43687"/>
    <w:rsid w:val="00F44022"/>
    <w:rsid w:val="00F446CC"/>
    <w:rsid w:val="00F4579A"/>
    <w:rsid w:val="00F4635D"/>
    <w:rsid w:val="00F471A2"/>
    <w:rsid w:val="00F47BBE"/>
    <w:rsid w:val="00F5164E"/>
    <w:rsid w:val="00F57338"/>
    <w:rsid w:val="00F61B0D"/>
    <w:rsid w:val="00F61B5F"/>
    <w:rsid w:val="00F6667D"/>
    <w:rsid w:val="00F67FAB"/>
    <w:rsid w:val="00F71C78"/>
    <w:rsid w:val="00F7645A"/>
    <w:rsid w:val="00F772D6"/>
    <w:rsid w:val="00F77944"/>
    <w:rsid w:val="00F81993"/>
    <w:rsid w:val="00F81D98"/>
    <w:rsid w:val="00F82BB2"/>
    <w:rsid w:val="00F82D6C"/>
    <w:rsid w:val="00F845DC"/>
    <w:rsid w:val="00F85DB7"/>
    <w:rsid w:val="00F86E40"/>
    <w:rsid w:val="00F87DF2"/>
    <w:rsid w:val="00F91F37"/>
    <w:rsid w:val="00F93EE5"/>
    <w:rsid w:val="00F94A40"/>
    <w:rsid w:val="00F955D8"/>
    <w:rsid w:val="00F96D80"/>
    <w:rsid w:val="00FA0611"/>
    <w:rsid w:val="00FA0D8D"/>
    <w:rsid w:val="00FA24A9"/>
    <w:rsid w:val="00FA38E2"/>
    <w:rsid w:val="00FA553D"/>
    <w:rsid w:val="00FB0D41"/>
    <w:rsid w:val="00FB27CB"/>
    <w:rsid w:val="00FB5C51"/>
    <w:rsid w:val="00FC45AF"/>
    <w:rsid w:val="00FD33FC"/>
    <w:rsid w:val="00FD360F"/>
    <w:rsid w:val="00FE6A97"/>
    <w:rsid w:val="00FE75E3"/>
    <w:rsid w:val="00FE7F9A"/>
    <w:rsid w:val="00FF236E"/>
    <w:rsid w:val="00FF575B"/>
    <w:rsid w:val="00FF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7FB1"/>
  <w15:chartTrackingRefBased/>
  <w15:docId w15:val="{B20D3DC8-AD95-4928-B998-599B3952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5D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DB7"/>
    <w:rPr>
      <w:sz w:val="20"/>
      <w:szCs w:val="20"/>
      <w:lang w:val="en-ZA"/>
    </w:rPr>
  </w:style>
  <w:style w:type="character" w:styleId="FootnoteReference">
    <w:name w:val="footnote reference"/>
    <w:basedOn w:val="DefaultParagraphFont"/>
    <w:uiPriority w:val="99"/>
    <w:semiHidden/>
    <w:unhideWhenUsed/>
    <w:rsid w:val="00F85DB7"/>
    <w:rPr>
      <w:vertAlign w:val="superscript"/>
    </w:rPr>
  </w:style>
  <w:style w:type="paragraph" w:styleId="ListParagraph">
    <w:name w:val="List Paragraph"/>
    <w:basedOn w:val="Normal"/>
    <w:uiPriority w:val="34"/>
    <w:qFormat/>
    <w:rsid w:val="00A33683"/>
    <w:pPr>
      <w:ind w:left="720"/>
      <w:contextualSpacing/>
    </w:pPr>
  </w:style>
  <w:style w:type="paragraph" w:styleId="Header">
    <w:name w:val="header"/>
    <w:basedOn w:val="Normal"/>
    <w:link w:val="HeaderChar"/>
    <w:uiPriority w:val="99"/>
    <w:unhideWhenUsed/>
    <w:rsid w:val="00C16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376"/>
    <w:rPr>
      <w:lang w:val="en-ZA"/>
    </w:rPr>
  </w:style>
  <w:style w:type="paragraph" w:styleId="Footer">
    <w:name w:val="footer"/>
    <w:basedOn w:val="Normal"/>
    <w:link w:val="FooterChar"/>
    <w:uiPriority w:val="99"/>
    <w:unhideWhenUsed/>
    <w:rsid w:val="00C16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376"/>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30F6-C1FE-49E8-A2E2-7A84C33C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4347</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Mary Bruce</cp:lastModifiedBy>
  <cp:revision>3</cp:revision>
  <cp:lastPrinted>2023-10-16T12:31:00Z</cp:lastPrinted>
  <dcterms:created xsi:type="dcterms:W3CDTF">2023-10-26T09:10:00Z</dcterms:created>
  <dcterms:modified xsi:type="dcterms:W3CDTF">2023-10-26T10:23:00Z</dcterms:modified>
</cp:coreProperties>
</file>